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0ED7B1" w14:textId="005241E5" w:rsidR="00AA636C" w:rsidRPr="00472D1C" w:rsidRDefault="00AA636C" w:rsidP="003C648C">
      <w:pPr>
        <w:pStyle w:val="Body"/>
        <w:spacing w:before="240" w:after="240" w:line="240" w:lineRule="auto"/>
        <w:jc w:val="center"/>
        <w:rPr>
          <w:b/>
          <w:bCs/>
          <w:sz w:val="40"/>
          <w:szCs w:val="40"/>
        </w:rPr>
      </w:pPr>
      <w:r w:rsidRPr="00472D1C">
        <w:rPr>
          <w:b/>
          <w:bCs/>
          <w:sz w:val="40"/>
          <w:szCs w:val="40"/>
        </w:rPr>
        <w:t>NATIONAL INSTITUTE FOR HEALTH AND CARE EXCELLENCE</w:t>
      </w:r>
    </w:p>
    <w:p w14:paraId="7A75851A" w14:textId="77777777" w:rsidR="00AA636C" w:rsidRPr="00472D1C" w:rsidRDefault="00AA636C" w:rsidP="00077947">
      <w:pPr>
        <w:pStyle w:val="Body"/>
        <w:spacing w:before="240" w:after="240" w:line="240" w:lineRule="auto"/>
        <w:jc w:val="center"/>
        <w:rPr>
          <w:sz w:val="24"/>
          <w:szCs w:val="24"/>
        </w:rPr>
      </w:pPr>
    </w:p>
    <w:p w14:paraId="0980348E" w14:textId="77777777" w:rsidR="00AA636C" w:rsidRPr="00472D1C" w:rsidRDefault="00AA636C" w:rsidP="00077947">
      <w:pPr>
        <w:pStyle w:val="Body"/>
        <w:spacing w:before="240" w:after="240" w:line="240" w:lineRule="auto"/>
        <w:jc w:val="center"/>
        <w:rPr>
          <w:sz w:val="24"/>
          <w:szCs w:val="24"/>
        </w:rPr>
      </w:pPr>
    </w:p>
    <w:p w14:paraId="166CD3AD" w14:textId="56462B92" w:rsidR="00AA636C" w:rsidRPr="00472D1C" w:rsidRDefault="00AA636C" w:rsidP="00077947">
      <w:pPr>
        <w:pStyle w:val="Body"/>
        <w:spacing w:before="240" w:after="240" w:line="240" w:lineRule="auto"/>
        <w:jc w:val="center"/>
        <w:rPr>
          <w:b/>
          <w:bCs/>
          <w:sz w:val="40"/>
          <w:szCs w:val="40"/>
        </w:rPr>
      </w:pPr>
      <w:r w:rsidRPr="00472D1C">
        <w:rPr>
          <w:b/>
          <w:bCs/>
          <w:sz w:val="40"/>
          <w:szCs w:val="40"/>
        </w:rPr>
        <w:t>Single technology appraisal</w:t>
      </w:r>
    </w:p>
    <w:p w14:paraId="68014E24" w14:textId="77777777" w:rsidR="00AA636C" w:rsidRPr="00472D1C" w:rsidRDefault="00AA636C" w:rsidP="00077947">
      <w:pPr>
        <w:pStyle w:val="Body"/>
        <w:spacing w:before="240" w:after="240" w:line="240" w:lineRule="auto"/>
        <w:jc w:val="center"/>
        <w:rPr>
          <w:sz w:val="24"/>
          <w:szCs w:val="24"/>
        </w:rPr>
      </w:pPr>
    </w:p>
    <w:p w14:paraId="151FA10F" w14:textId="704A4ECB" w:rsidR="00AA636C" w:rsidRPr="00D4787A" w:rsidRDefault="002D444E" w:rsidP="00077947">
      <w:pPr>
        <w:pStyle w:val="Body"/>
        <w:spacing w:before="240" w:after="240" w:line="240" w:lineRule="auto"/>
        <w:jc w:val="center"/>
        <w:rPr>
          <w:b/>
          <w:bCs/>
          <w:sz w:val="40"/>
          <w:szCs w:val="40"/>
        </w:rPr>
      </w:pPr>
      <w:r w:rsidRPr="00D4787A">
        <w:rPr>
          <w:b/>
          <w:bCs/>
          <w:sz w:val="40"/>
          <w:szCs w:val="40"/>
        </w:rPr>
        <w:t>Trastuzumab deruxtecan for treating</w:t>
      </w:r>
      <w:r w:rsidR="003A4051" w:rsidRPr="00D4787A">
        <w:rPr>
          <w:b/>
          <w:bCs/>
          <w:sz w:val="40"/>
          <w:szCs w:val="40"/>
        </w:rPr>
        <w:br/>
      </w:r>
      <w:r w:rsidRPr="002646F6">
        <w:rPr>
          <w:b/>
          <w:bCs/>
          <w:sz w:val="40"/>
          <w:szCs w:val="40"/>
        </w:rPr>
        <w:t>HER2-</w:t>
      </w:r>
      <w:r w:rsidR="009C311F" w:rsidRPr="002646F6">
        <w:rPr>
          <w:b/>
          <w:bCs/>
          <w:sz w:val="40"/>
          <w:szCs w:val="40"/>
        </w:rPr>
        <w:t>low</w:t>
      </w:r>
      <w:r w:rsidRPr="002646F6">
        <w:rPr>
          <w:b/>
          <w:bCs/>
          <w:sz w:val="40"/>
          <w:szCs w:val="40"/>
        </w:rPr>
        <w:t xml:space="preserve"> </w:t>
      </w:r>
      <w:r w:rsidR="003E2B48" w:rsidRPr="002646F6">
        <w:rPr>
          <w:b/>
          <w:bCs/>
          <w:sz w:val="40"/>
          <w:szCs w:val="40"/>
        </w:rPr>
        <w:t>unresectable</w:t>
      </w:r>
      <w:r w:rsidRPr="002646F6">
        <w:rPr>
          <w:b/>
          <w:bCs/>
          <w:sz w:val="40"/>
          <w:szCs w:val="40"/>
        </w:rPr>
        <w:t xml:space="preserve"> </w:t>
      </w:r>
      <w:r w:rsidR="00184722" w:rsidRPr="002646F6">
        <w:rPr>
          <w:b/>
          <w:bCs/>
          <w:sz w:val="40"/>
          <w:szCs w:val="40"/>
        </w:rPr>
        <w:t xml:space="preserve">or metastatic </w:t>
      </w:r>
      <w:r w:rsidRPr="002646F6">
        <w:rPr>
          <w:b/>
          <w:bCs/>
          <w:sz w:val="40"/>
          <w:szCs w:val="40"/>
        </w:rPr>
        <w:t>breast cancer</w:t>
      </w:r>
      <w:r w:rsidR="003E2B48" w:rsidRPr="002646F6">
        <w:rPr>
          <w:b/>
          <w:bCs/>
          <w:sz w:val="40"/>
          <w:szCs w:val="40"/>
        </w:rPr>
        <w:t xml:space="preserve"> after chemotherapy</w:t>
      </w:r>
      <w:r w:rsidRPr="002646F6">
        <w:rPr>
          <w:b/>
          <w:bCs/>
          <w:sz w:val="40"/>
          <w:szCs w:val="40"/>
        </w:rPr>
        <w:t xml:space="preserve"> [ID39</w:t>
      </w:r>
      <w:r w:rsidR="007437FC" w:rsidRPr="002646F6">
        <w:rPr>
          <w:b/>
          <w:bCs/>
          <w:sz w:val="40"/>
          <w:szCs w:val="40"/>
        </w:rPr>
        <w:t>35</w:t>
      </w:r>
      <w:r w:rsidR="009001D8" w:rsidRPr="002646F6">
        <w:rPr>
          <w:b/>
          <w:bCs/>
          <w:sz w:val="40"/>
          <w:szCs w:val="40"/>
        </w:rPr>
        <w:t>]</w:t>
      </w:r>
    </w:p>
    <w:p w14:paraId="79727817" w14:textId="4DABEAAF" w:rsidR="00AA636C" w:rsidRPr="00472D1C" w:rsidRDefault="00AA636C" w:rsidP="00077947">
      <w:pPr>
        <w:pStyle w:val="Body"/>
        <w:spacing w:before="240" w:after="240" w:line="240" w:lineRule="auto"/>
        <w:jc w:val="center"/>
        <w:rPr>
          <w:sz w:val="24"/>
          <w:szCs w:val="24"/>
        </w:rPr>
      </w:pPr>
    </w:p>
    <w:p w14:paraId="57571723" w14:textId="77777777" w:rsidR="00122D8A" w:rsidRPr="00472D1C" w:rsidRDefault="00122D8A" w:rsidP="00077947">
      <w:pPr>
        <w:pStyle w:val="Body"/>
        <w:spacing w:before="240" w:after="240" w:line="240" w:lineRule="auto"/>
        <w:jc w:val="center"/>
        <w:rPr>
          <w:sz w:val="24"/>
          <w:szCs w:val="24"/>
        </w:rPr>
      </w:pPr>
    </w:p>
    <w:p w14:paraId="3775FAAD" w14:textId="5D02615F" w:rsidR="00AA636C" w:rsidRPr="00472D1C" w:rsidRDefault="00AA636C" w:rsidP="00077947">
      <w:pPr>
        <w:pStyle w:val="Body"/>
        <w:spacing w:before="240" w:after="240" w:line="240" w:lineRule="auto"/>
        <w:jc w:val="center"/>
        <w:rPr>
          <w:b/>
          <w:bCs/>
          <w:sz w:val="40"/>
          <w:szCs w:val="40"/>
        </w:rPr>
      </w:pPr>
      <w:r w:rsidRPr="00472D1C">
        <w:rPr>
          <w:b/>
          <w:bCs/>
          <w:sz w:val="40"/>
          <w:szCs w:val="40"/>
        </w:rPr>
        <w:t>Document B</w:t>
      </w:r>
    </w:p>
    <w:p w14:paraId="441E7D1D" w14:textId="77777777" w:rsidR="00AA636C" w:rsidRPr="00472D1C" w:rsidRDefault="00AA636C" w:rsidP="00077947">
      <w:pPr>
        <w:pStyle w:val="Body"/>
        <w:spacing w:before="240" w:after="240" w:line="240" w:lineRule="auto"/>
        <w:jc w:val="center"/>
        <w:rPr>
          <w:b/>
          <w:bCs/>
          <w:sz w:val="40"/>
          <w:szCs w:val="40"/>
        </w:rPr>
      </w:pPr>
      <w:r w:rsidRPr="00472D1C">
        <w:rPr>
          <w:b/>
          <w:bCs/>
          <w:sz w:val="40"/>
          <w:szCs w:val="40"/>
        </w:rPr>
        <w:t>Company evidence submission</w:t>
      </w:r>
    </w:p>
    <w:p w14:paraId="60B29933" w14:textId="77777777" w:rsidR="00AA636C" w:rsidRPr="00472D1C" w:rsidRDefault="00AA636C" w:rsidP="00077947">
      <w:pPr>
        <w:pStyle w:val="Body"/>
        <w:spacing w:before="240" w:after="240" w:line="240" w:lineRule="auto"/>
        <w:jc w:val="center"/>
        <w:rPr>
          <w:sz w:val="24"/>
          <w:szCs w:val="24"/>
        </w:rPr>
      </w:pPr>
    </w:p>
    <w:p w14:paraId="3EAC274C" w14:textId="77777777" w:rsidR="00AA636C" w:rsidRPr="00472D1C" w:rsidRDefault="00AA636C" w:rsidP="00FE1599">
      <w:pPr>
        <w:pStyle w:val="Body"/>
      </w:pPr>
    </w:p>
    <w:p w14:paraId="6D6C6C6B" w14:textId="77777777" w:rsidR="00AA636C" w:rsidRPr="00472D1C" w:rsidRDefault="00AA636C" w:rsidP="00FE1599">
      <w:pPr>
        <w:pStyle w:val="Body"/>
      </w:pPr>
    </w:p>
    <w:p w14:paraId="73882E98" w14:textId="77777777" w:rsidR="00AA636C" w:rsidRPr="00D4787A" w:rsidRDefault="00AA636C" w:rsidP="00FE1599">
      <w:pPr>
        <w:pStyle w:val="Body"/>
      </w:pPr>
    </w:p>
    <w:p w14:paraId="5E2DAF83" w14:textId="71335FA4" w:rsidR="007E707D" w:rsidRPr="002646F6" w:rsidRDefault="00F75996" w:rsidP="007E707D">
      <w:pPr>
        <w:pStyle w:val="Body"/>
        <w:jc w:val="center"/>
        <w:rPr>
          <w:b/>
          <w:bCs/>
          <w:sz w:val="24"/>
          <w:szCs w:val="24"/>
        </w:rPr>
      </w:pPr>
      <w:r w:rsidRPr="002646F6">
        <w:rPr>
          <w:b/>
          <w:bCs/>
          <w:sz w:val="24"/>
          <w:szCs w:val="24"/>
        </w:rPr>
        <w:t>March</w:t>
      </w:r>
      <w:r w:rsidR="007E707D" w:rsidRPr="002646F6">
        <w:rPr>
          <w:b/>
          <w:bCs/>
          <w:sz w:val="24"/>
          <w:szCs w:val="24"/>
        </w:rPr>
        <w:t xml:space="preserve"> 2023</w:t>
      </w:r>
    </w:p>
    <w:tbl>
      <w:tblPr>
        <w:tblStyle w:val="TableGrid"/>
        <w:tblW w:w="0" w:type="auto"/>
        <w:tblLook w:val="04A0" w:firstRow="1" w:lastRow="0" w:firstColumn="1" w:lastColumn="0" w:noHBand="0" w:noVBand="1"/>
      </w:tblPr>
      <w:tblGrid>
        <w:gridCol w:w="4531"/>
        <w:gridCol w:w="1418"/>
        <w:gridCol w:w="1843"/>
        <w:gridCol w:w="1224"/>
      </w:tblGrid>
      <w:tr w:rsidR="00472D1C" w:rsidRPr="00472D1C" w14:paraId="5CF80BF4" w14:textId="77777777" w:rsidTr="00074922">
        <w:tc>
          <w:tcPr>
            <w:tcW w:w="4531" w:type="dxa"/>
          </w:tcPr>
          <w:p w14:paraId="41BF2708" w14:textId="6129FE6B" w:rsidR="00941B60" w:rsidRPr="00472D1C" w:rsidRDefault="00941B60" w:rsidP="00672DFD">
            <w:pPr>
              <w:pStyle w:val="Body"/>
              <w:spacing w:after="240"/>
              <w:rPr>
                <w:b/>
                <w:bCs/>
                <w:sz w:val="24"/>
                <w:szCs w:val="24"/>
              </w:rPr>
            </w:pPr>
            <w:r w:rsidRPr="00472D1C">
              <w:rPr>
                <w:b/>
                <w:bCs/>
                <w:sz w:val="24"/>
                <w:szCs w:val="24"/>
              </w:rPr>
              <w:t>File name</w:t>
            </w:r>
          </w:p>
        </w:tc>
        <w:tc>
          <w:tcPr>
            <w:tcW w:w="1418" w:type="dxa"/>
          </w:tcPr>
          <w:p w14:paraId="5D493858" w14:textId="6C1D174D" w:rsidR="00941B60" w:rsidRPr="00472D1C" w:rsidRDefault="00941B60" w:rsidP="00672DFD">
            <w:pPr>
              <w:pStyle w:val="Body"/>
              <w:spacing w:after="240"/>
              <w:rPr>
                <w:b/>
                <w:bCs/>
                <w:sz w:val="24"/>
                <w:szCs w:val="24"/>
              </w:rPr>
            </w:pPr>
            <w:r w:rsidRPr="00472D1C">
              <w:rPr>
                <w:b/>
                <w:bCs/>
                <w:sz w:val="24"/>
                <w:szCs w:val="24"/>
              </w:rPr>
              <w:t>Version</w:t>
            </w:r>
          </w:p>
        </w:tc>
        <w:tc>
          <w:tcPr>
            <w:tcW w:w="1843" w:type="dxa"/>
          </w:tcPr>
          <w:p w14:paraId="5D036B06" w14:textId="60A75EF8" w:rsidR="00941B60" w:rsidRPr="00472D1C" w:rsidRDefault="00941B60" w:rsidP="00672DFD">
            <w:pPr>
              <w:pStyle w:val="Body"/>
              <w:spacing w:after="240"/>
              <w:rPr>
                <w:b/>
                <w:bCs/>
                <w:sz w:val="24"/>
                <w:szCs w:val="24"/>
              </w:rPr>
            </w:pPr>
            <w:r w:rsidRPr="00472D1C">
              <w:rPr>
                <w:b/>
                <w:bCs/>
                <w:sz w:val="24"/>
                <w:szCs w:val="24"/>
              </w:rPr>
              <w:t>Contains confidential information</w:t>
            </w:r>
          </w:p>
        </w:tc>
        <w:tc>
          <w:tcPr>
            <w:tcW w:w="1224" w:type="dxa"/>
          </w:tcPr>
          <w:p w14:paraId="672DA3F6" w14:textId="1F1FA013" w:rsidR="00941B60" w:rsidRPr="00472D1C" w:rsidRDefault="00941B60" w:rsidP="00672DFD">
            <w:pPr>
              <w:pStyle w:val="Body"/>
              <w:spacing w:after="240"/>
              <w:rPr>
                <w:b/>
                <w:bCs/>
                <w:sz w:val="24"/>
                <w:szCs w:val="24"/>
              </w:rPr>
            </w:pPr>
            <w:r w:rsidRPr="00472D1C">
              <w:rPr>
                <w:b/>
                <w:bCs/>
                <w:sz w:val="24"/>
                <w:szCs w:val="24"/>
              </w:rPr>
              <w:t>Date</w:t>
            </w:r>
          </w:p>
        </w:tc>
      </w:tr>
      <w:tr w:rsidR="00941B60" w:rsidRPr="00472D1C" w14:paraId="256E29EE" w14:textId="77777777" w:rsidTr="00074922">
        <w:tc>
          <w:tcPr>
            <w:tcW w:w="4531" w:type="dxa"/>
          </w:tcPr>
          <w:p w14:paraId="32EF6596" w14:textId="2569D0A7" w:rsidR="00941B60" w:rsidRPr="000848D8" w:rsidRDefault="00FC5424" w:rsidP="00672DFD">
            <w:pPr>
              <w:pStyle w:val="Body"/>
              <w:spacing w:after="240"/>
            </w:pPr>
            <w:r w:rsidRPr="000848D8">
              <w:t>ID39</w:t>
            </w:r>
            <w:r w:rsidR="00AE2242" w:rsidRPr="000848D8">
              <w:t>35</w:t>
            </w:r>
            <w:r w:rsidRPr="000848D8">
              <w:t>_T-DXd_HER2</w:t>
            </w:r>
            <w:r w:rsidR="00F825FF" w:rsidRPr="000848D8">
              <w:t>-low</w:t>
            </w:r>
            <w:r w:rsidR="000814EB" w:rsidRPr="000848D8">
              <w:t xml:space="preserve"> </w:t>
            </w:r>
            <w:r w:rsidRPr="000848D8">
              <w:t>mBC_Document B</w:t>
            </w:r>
            <w:r w:rsidR="007C0CB3">
              <w:t>_10Mar2023_</w:t>
            </w:r>
            <w:r w:rsidR="00963D77">
              <w:t>[</w:t>
            </w:r>
            <w:r w:rsidR="007C0CB3">
              <w:t>FullyRedacted</w:t>
            </w:r>
            <w:r w:rsidR="00E35EC8">
              <w:t>]</w:t>
            </w:r>
          </w:p>
        </w:tc>
        <w:tc>
          <w:tcPr>
            <w:tcW w:w="1418" w:type="dxa"/>
          </w:tcPr>
          <w:p w14:paraId="2518EC15" w14:textId="3088DD64" w:rsidR="00941B60" w:rsidRPr="000848D8" w:rsidRDefault="00FC5424" w:rsidP="00672DFD">
            <w:pPr>
              <w:pStyle w:val="Body"/>
              <w:spacing w:after="240"/>
            </w:pPr>
            <w:r w:rsidRPr="000848D8">
              <w:t>1</w:t>
            </w:r>
            <w:r w:rsidR="00074922" w:rsidRPr="000848D8">
              <w:t>.</w:t>
            </w:r>
            <w:r w:rsidRPr="000848D8">
              <w:t>0</w:t>
            </w:r>
          </w:p>
        </w:tc>
        <w:tc>
          <w:tcPr>
            <w:tcW w:w="1843" w:type="dxa"/>
          </w:tcPr>
          <w:p w14:paraId="4825AB22" w14:textId="42564E87" w:rsidR="00941B60" w:rsidRPr="000848D8" w:rsidRDefault="00941B60" w:rsidP="00672DFD">
            <w:pPr>
              <w:pStyle w:val="Body"/>
              <w:spacing w:after="240"/>
            </w:pPr>
            <w:r w:rsidRPr="000848D8">
              <w:t>Yes</w:t>
            </w:r>
          </w:p>
        </w:tc>
        <w:tc>
          <w:tcPr>
            <w:tcW w:w="1224" w:type="dxa"/>
          </w:tcPr>
          <w:p w14:paraId="68231875" w14:textId="71BD8C6C" w:rsidR="00941B60" w:rsidRPr="000848D8" w:rsidRDefault="00F75996" w:rsidP="00672DFD">
            <w:pPr>
              <w:pStyle w:val="Body"/>
              <w:spacing w:after="240"/>
            </w:pPr>
            <w:r w:rsidRPr="000848D8">
              <w:t>10</w:t>
            </w:r>
            <w:r w:rsidR="00074922" w:rsidRPr="000848D8">
              <w:t>/</w:t>
            </w:r>
            <w:r w:rsidRPr="000848D8">
              <w:t>3</w:t>
            </w:r>
            <w:r w:rsidR="00074922" w:rsidRPr="000848D8">
              <w:t>/</w:t>
            </w:r>
            <w:r w:rsidR="00B242F3" w:rsidRPr="000848D8">
              <w:t>20</w:t>
            </w:r>
            <w:r w:rsidR="00074922" w:rsidRPr="000848D8">
              <w:t>22</w:t>
            </w:r>
          </w:p>
        </w:tc>
      </w:tr>
    </w:tbl>
    <w:p w14:paraId="2549BA31" w14:textId="77777777" w:rsidR="00892CE3" w:rsidRPr="00472D1C" w:rsidRDefault="00892CE3" w:rsidP="00FE1599">
      <w:pPr>
        <w:pStyle w:val="Body"/>
      </w:pPr>
    </w:p>
    <w:p w14:paraId="5D3E9B4F" w14:textId="7EFF5AC2" w:rsidR="00892CE3" w:rsidRPr="00472D1C" w:rsidRDefault="00892CE3" w:rsidP="00FE1599">
      <w:pPr>
        <w:pStyle w:val="Body"/>
      </w:pPr>
      <w:r w:rsidRPr="00472D1C">
        <w:br w:type="page"/>
      </w:r>
    </w:p>
    <w:p w14:paraId="45D902E9" w14:textId="77777777" w:rsidR="00AA636C" w:rsidRPr="00CC3618" w:rsidRDefault="00AA636C" w:rsidP="005B4DB2">
      <w:pPr>
        <w:pStyle w:val="nonTOCheading"/>
      </w:pPr>
      <w:r w:rsidRPr="00CC3618">
        <w:lastRenderedPageBreak/>
        <w:t>Contents</w:t>
      </w:r>
    </w:p>
    <w:p w14:paraId="1230C10A" w14:textId="26CD381A" w:rsidR="00145F42" w:rsidRDefault="000C0EBD">
      <w:pPr>
        <w:pStyle w:val="TOC1"/>
        <w:rPr>
          <w:rFonts w:asciiTheme="minorHAnsi" w:eastAsiaTheme="minorEastAsia" w:hAnsiTheme="minorHAnsi"/>
          <w:noProof/>
          <w:lang w:eastAsia="en-GB"/>
        </w:rPr>
      </w:pPr>
      <w:r>
        <w:fldChar w:fldCharType="begin"/>
      </w:r>
      <w:r>
        <w:instrText xml:space="preserve"> TOC \o "1-1" \h \z \t "Heading 2,2,Heading 3,3" </w:instrText>
      </w:r>
      <w:r>
        <w:fldChar w:fldCharType="separate"/>
      </w:r>
      <w:hyperlink w:anchor="_Toc129350841" w:history="1">
        <w:r w:rsidR="00145F42" w:rsidRPr="006308E3">
          <w:rPr>
            <w:rStyle w:val="Hyperlink"/>
            <w:noProof/>
          </w:rPr>
          <w:t>Abbreviations</w:t>
        </w:r>
        <w:r w:rsidR="00145F42">
          <w:rPr>
            <w:noProof/>
            <w:webHidden/>
          </w:rPr>
          <w:tab/>
        </w:r>
        <w:r w:rsidR="00145F42">
          <w:rPr>
            <w:noProof/>
            <w:webHidden/>
          </w:rPr>
          <w:fldChar w:fldCharType="begin"/>
        </w:r>
        <w:r w:rsidR="00145F42">
          <w:rPr>
            <w:noProof/>
            <w:webHidden/>
          </w:rPr>
          <w:instrText xml:space="preserve"> PAGEREF _Toc129350841 \h </w:instrText>
        </w:r>
        <w:r w:rsidR="00145F42">
          <w:rPr>
            <w:noProof/>
            <w:webHidden/>
          </w:rPr>
        </w:r>
        <w:r w:rsidR="00145F42">
          <w:rPr>
            <w:noProof/>
            <w:webHidden/>
          </w:rPr>
          <w:fldChar w:fldCharType="separate"/>
        </w:r>
        <w:r w:rsidR="00145F42">
          <w:rPr>
            <w:noProof/>
            <w:webHidden/>
          </w:rPr>
          <w:t>8</w:t>
        </w:r>
        <w:r w:rsidR="00145F42">
          <w:rPr>
            <w:noProof/>
            <w:webHidden/>
          </w:rPr>
          <w:fldChar w:fldCharType="end"/>
        </w:r>
      </w:hyperlink>
    </w:p>
    <w:p w14:paraId="736A4CBC" w14:textId="1EF4A556" w:rsidR="00145F42" w:rsidRDefault="00145F42">
      <w:pPr>
        <w:pStyle w:val="TOC1"/>
        <w:rPr>
          <w:rFonts w:asciiTheme="minorHAnsi" w:eastAsiaTheme="minorEastAsia" w:hAnsiTheme="minorHAnsi"/>
          <w:noProof/>
          <w:lang w:eastAsia="en-GB"/>
        </w:rPr>
      </w:pPr>
      <w:hyperlink w:anchor="_Toc129350842" w:history="1">
        <w:r w:rsidRPr="006308E3">
          <w:rPr>
            <w:rStyle w:val="Hyperlink"/>
            <w:noProof/>
          </w:rPr>
          <w:t>B.1</w:t>
        </w:r>
        <w:r>
          <w:rPr>
            <w:rFonts w:asciiTheme="minorHAnsi" w:eastAsiaTheme="minorEastAsia" w:hAnsiTheme="minorHAnsi"/>
            <w:noProof/>
            <w:lang w:eastAsia="en-GB"/>
          </w:rPr>
          <w:tab/>
        </w:r>
        <w:r w:rsidRPr="006308E3">
          <w:rPr>
            <w:rStyle w:val="Hyperlink"/>
            <w:noProof/>
          </w:rPr>
          <w:t>Decision problem, description of the technology and clinical care pathway</w:t>
        </w:r>
        <w:r>
          <w:rPr>
            <w:noProof/>
            <w:webHidden/>
          </w:rPr>
          <w:tab/>
        </w:r>
        <w:r>
          <w:rPr>
            <w:noProof/>
            <w:webHidden/>
          </w:rPr>
          <w:fldChar w:fldCharType="begin"/>
        </w:r>
        <w:r>
          <w:rPr>
            <w:noProof/>
            <w:webHidden/>
          </w:rPr>
          <w:instrText xml:space="preserve"> PAGEREF _Toc129350842 \h </w:instrText>
        </w:r>
        <w:r>
          <w:rPr>
            <w:noProof/>
            <w:webHidden/>
          </w:rPr>
        </w:r>
        <w:r>
          <w:rPr>
            <w:noProof/>
            <w:webHidden/>
          </w:rPr>
          <w:fldChar w:fldCharType="separate"/>
        </w:r>
        <w:r>
          <w:rPr>
            <w:noProof/>
            <w:webHidden/>
          </w:rPr>
          <w:t>10</w:t>
        </w:r>
        <w:r>
          <w:rPr>
            <w:noProof/>
            <w:webHidden/>
          </w:rPr>
          <w:fldChar w:fldCharType="end"/>
        </w:r>
      </w:hyperlink>
    </w:p>
    <w:p w14:paraId="500EB9AA" w14:textId="257D8F15" w:rsidR="00145F42" w:rsidRDefault="00145F42">
      <w:pPr>
        <w:pStyle w:val="TOC2"/>
        <w:rPr>
          <w:rFonts w:asciiTheme="minorHAnsi" w:eastAsiaTheme="minorEastAsia" w:hAnsiTheme="minorHAnsi"/>
          <w:noProof/>
          <w:lang w:eastAsia="en-GB"/>
        </w:rPr>
      </w:pPr>
      <w:hyperlink w:anchor="_Toc129350843" w:history="1">
        <w:r w:rsidRPr="006308E3">
          <w:rPr>
            <w:rStyle w:val="Hyperlink"/>
            <w:noProof/>
          </w:rPr>
          <w:t>B.1.1</w:t>
        </w:r>
        <w:r>
          <w:rPr>
            <w:rFonts w:asciiTheme="minorHAnsi" w:eastAsiaTheme="minorEastAsia" w:hAnsiTheme="minorHAnsi"/>
            <w:noProof/>
            <w:lang w:eastAsia="en-GB"/>
          </w:rPr>
          <w:tab/>
        </w:r>
        <w:r w:rsidRPr="006308E3">
          <w:rPr>
            <w:rStyle w:val="Hyperlink"/>
            <w:noProof/>
          </w:rPr>
          <w:t>Decision problem</w:t>
        </w:r>
        <w:r>
          <w:rPr>
            <w:noProof/>
            <w:webHidden/>
          </w:rPr>
          <w:tab/>
        </w:r>
        <w:r>
          <w:rPr>
            <w:noProof/>
            <w:webHidden/>
          </w:rPr>
          <w:fldChar w:fldCharType="begin"/>
        </w:r>
        <w:r>
          <w:rPr>
            <w:noProof/>
            <w:webHidden/>
          </w:rPr>
          <w:instrText xml:space="preserve"> PAGEREF _Toc129350843 \h </w:instrText>
        </w:r>
        <w:r>
          <w:rPr>
            <w:noProof/>
            <w:webHidden/>
          </w:rPr>
        </w:r>
        <w:r>
          <w:rPr>
            <w:noProof/>
            <w:webHidden/>
          </w:rPr>
          <w:fldChar w:fldCharType="separate"/>
        </w:r>
        <w:r>
          <w:rPr>
            <w:noProof/>
            <w:webHidden/>
          </w:rPr>
          <w:t>10</w:t>
        </w:r>
        <w:r>
          <w:rPr>
            <w:noProof/>
            <w:webHidden/>
          </w:rPr>
          <w:fldChar w:fldCharType="end"/>
        </w:r>
      </w:hyperlink>
    </w:p>
    <w:p w14:paraId="5FF581DA" w14:textId="0DE4A5B7" w:rsidR="00145F42" w:rsidRDefault="00145F42">
      <w:pPr>
        <w:pStyle w:val="TOC2"/>
        <w:rPr>
          <w:rFonts w:asciiTheme="minorHAnsi" w:eastAsiaTheme="minorEastAsia" w:hAnsiTheme="minorHAnsi"/>
          <w:noProof/>
          <w:lang w:eastAsia="en-GB"/>
        </w:rPr>
      </w:pPr>
      <w:hyperlink w:anchor="_Toc129350844" w:history="1">
        <w:r w:rsidRPr="006308E3">
          <w:rPr>
            <w:rStyle w:val="Hyperlink"/>
            <w:noProof/>
          </w:rPr>
          <w:t>B.1.2</w:t>
        </w:r>
        <w:r>
          <w:rPr>
            <w:rFonts w:asciiTheme="minorHAnsi" w:eastAsiaTheme="minorEastAsia" w:hAnsiTheme="minorHAnsi"/>
            <w:noProof/>
            <w:lang w:eastAsia="en-GB"/>
          </w:rPr>
          <w:tab/>
        </w:r>
        <w:r w:rsidRPr="006308E3">
          <w:rPr>
            <w:rStyle w:val="Hyperlink"/>
            <w:noProof/>
          </w:rPr>
          <w:t>Description of the technology being appraised</w:t>
        </w:r>
        <w:r>
          <w:rPr>
            <w:noProof/>
            <w:webHidden/>
          </w:rPr>
          <w:tab/>
        </w:r>
        <w:r>
          <w:rPr>
            <w:noProof/>
            <w:webHidden/>
          </w:rPr>
          <w:fldChar w:fldCharType="begin"/>
        </w:r>
        <w:r>
          <w:rPr>
            <w:noProof/>
            <w:webHidden/>
          </w:rPr>
          <w:instrText xml:space="preserve"> PAGEREF _Toc129350844 \h </w:instrText>
        </w:r>
        <w:r>
          <w:rPr>
            <w:noProof/>
            <w:webHidden/>
          </w:rPr>
        </w:r>
        <w:r>
          <w:rPr>
            <w:noProof/>
            <w:webHidden/>
          </w:rPr>
          <w:fldChar w:fldCharType="separate"/>
        </w:r>
        <w:r>
          <w:rPr>
            <w:noProof/>
            <w:webHidden/>
          </w:rPr>
          <w:t>14</w:t>
        </w:r>
        <w:r>
          <w:rPr>
            <w:noProof/>
            <w:webHidden/>
          </w:rPr>
          <w:fldChar w:fldCharType="end"/>
        </w:r>
      </w:hyperlink>
    </w:p>
    <w:p w14:paraId="688372E4" w14:textId="4212D452" w:rsidR="00145F42" w:rsidRDefault="00145F42">
      <w:pPr>
        <w:pStyle w:val="TOC2"/>
        <w:rPr>
          <w:rFonts w:asciiTheme="minorHAnsi" w:eastAsiaTheme="minorEastAsia" w:hAnsiTheme="minorHAnsi"/>
          <w:noProof/>
          <w:lang w:eastAsia="en-GB"/>
        </w:rPr>
      </w:pPr>
      <w:hyperlink w:anchor="_Toc129350845" w:history="1">
        <w:r w:rsidRPr="006308E3">
          <w:rPr>
            <w:rStyle w:val="Hyperlink"/>
            <w:noProof/>
          </w:rPr>
          <w:t>B.1.3</w:t>
        </w:r>
        <w:r>
          <w:rPr>
            <w:rFonts w:asciiTheme="minorHAnsi" w:eastAsiaTheme="minorEastAsia" w:hAnsiTheme="minorHAnsi"/>
            <w:noProof/>
            <w:lang w:eastAsia="en-GB"/>
          </w:rPr>
          <w:tab/>
        </w:r>
        <w:r w:rsidRPr="006308E3">
          <w:rPr>
            <w:rStyle w:val="Hyperlink"/>
            <w:noProof/>
          </w:rPr>
          <w:t>Health condition and position of the technology in the treatment pathway</w:t>
        </w:r>
        <w:r>
          <w:rPr>
            <w:noProof/>
            <w:webHidden/>
          </w:rPr>
          <w:tab/>
        </w:r>
        <w:r>
          <w:rPr>
            <w:noProof/>
            <w:webHidden/>
          </w:rPr>
          <w:fldChar w:fldCharType="begin"/>
        </w:r>
        <w:r>
          <w:rPr>
            <w:noProof/>
            <w:webHidden/>
          </w:rPr>
          <w:instrText xml:space="preserve"> PAGEREF _Toc129350845 \h </w:instrText>
        </w:r>
        <w:r>
          <w:rPr>
            <w:noProof/>
            <w:webHidden/>
          </w:rPr>
        </w:r>
        <w:r>
          <w:rPr>
            <w:noProof/>
            <w:webHidden/>
          </w:rPr>
          <w:fldChar w:fldCharType="separate"/>
        </w:r>
        <w:r>
          <w:rPr>
            <w:noProof/>
            <w:webHidden/>
          </w:rPr>
          <w:t>16</w:t>
        </w:r>
        <w:r>
          <w:rPr>
            <w:noProof/>
            <w:webHidden/>
          </w:rPr>
          <w:fldChar w:fldCharType="end"/>
        </w:r>
      </w:hyperlink>
    </w:p>
    <w:p w14:paraId="15DB87D9" w14:textId="146E10A0"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846" w:history="1">
        <w:r w:rsidRPr="006308E3">
          <w:rPr>
            <w:rStyle w:val="Hyperlink"/>
            <w:noProof/>
          </w:rPr>
          <w:t>B.1.3.1</w:t>
        </w:r>
        <w:r>
          <w:rPr>
            <w:rFonts w:asciiTheme="minorHAnsi" w:eastAsiaTheme="minorEastAsia" w:hAnsiTheme="minorHAnsi"/>
            <w:noProof/>
            <w:lang w:eastAsia="en-GB"/>
          </w:rPr>
          <w:tab/>
        </w:r>
        <w:r w:rsidRPr="006308E3">
          <w:rPr>
            <w:rStyle w:val="Hyperlink"/>
            <w:noProof/>
          </w:rPr>
          <w:t>Disease overview</w:t>
        </w:r>
        <w:r>
          <w:rPr>
            <w:noProof/>
            <w:webHidden/>
          </w:rPr>
          <w:tab/>
        </w:r>
        <w:r>
          <w:rPr>
            <w:noProof/>
            <w:webHidden/>
          </w:rPr>
          <w:fldChar w:fldCharType="begin"/>
        </w:r>
        <w:r>
          <w:rPr>
            <w:noProof/>
            <w:webHidden/>
          </w:rPr>
          <w:instrText xml:space="preserve"> PAGEREF _Toc129350846 \h </w:instrText>
        </w:r>
        <w:r>
          <w:rPr>
            <w:noProof/>
            <w:webHidden/>
          </w:rPr>
        </w:r>
        <w:r>
          <w:rPr>
            <w:noProof/>
            <w:webHidden/>
          </w:rPr>
          <w:fldChar w:fldCharType="separate"/>
        </w:r>
        <w:r>
          <w:rPr>
            <w:noProof/>
            <w:webHidden/>
          </w:rPr>
          <w:t>18</w:t>
        </w:r>
        <w:r>
          <w:rPr>
            <w:noProof/>
            <w:webHidden/>
          </w:rPr>
          <w:fldChar w:fldCharType="end"/>
        </w:r>
      </w:hyperlink>
    </w:p>
    <w:p w14:paraId="21F73C57" w14:textId="6594FE78"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847" w:history="1">
        <w:r w:rsidRPr="006308E3">
          <w:rPr>
            <w:rStyle w:val="Hyperlink"/>
            <w:noProof/>
          </w:rPr>
          <w:t>B.1.3.2</w:t>
        </w:r>
        <w:r>
          <w:rPr>
            <w:rFonts w:asciiTheme="minorHAnsi" w:eastAsiaTheme="minorEastAsia" w:hAnsiTheme="minorHAnsi"/>
            <w:noProof/>
            <w:lang w:eastAsia="en-GB"/>
          </w:rPr>
          <w:tab/>
        </w:r>
        <w:r w:rsidRPr="006308E3">
          <w:rPr>
            <w:rStyle w:val="Hyperlink"/>
            <w:noProof/>
          </w:rPr>
          <w:t>Burden of breast cancer</w:t>
        </w:r>
        <w:r>
          <w:rPr>
            <w:noProof/>
            <w:webHidden/>
          </w:rPr>
          <w:tab/>
        </w:r>
        <w:r>
          <w:rPr>
            <w:noProof/>
            <w:webHidden/>
          </w:rPr>
          <w:fldChar w:fldCharType="begin"/>
        </w:r>
        <w:r>
          <w:rPr>
            <w:noProof/>
            <w:webHidden/>
          </w:rPr>
          <w:instrText xml:space="preserve"> PAGEREF _Toc129350847 \h </w:instrText>
        </w:r>
        <w:r>
          <w:rPr>
            <w:noProof/>
            <w:webHidden/>
          </w:rPr>
        </w:r>
        <w:r>
          <w:rPr>
            <w:noProof/>
            <w:webHidden/>
          </w:rPr>
          <w:fldChar w:fldCharType="separate"/>
        </w:r>
        <w:r>
          <w:rPr>
            <w:noProof/>
            <w:webHidden/>
          </w:rPr>
          <w:t>22</w:t>
        </w:r>
        <w:r>
          <w:rPr>
            <w:noProof/>
            <w:webHidden/>
          </w:rPr>
          <w:fldChar w:fldCharType="end"/>
        </w:r>
      </w:hyperlink>
    </w:p>
    <w:p w14:paraId="24D2AB66" w14:textId="01AF0559"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848" w:history="1">
        <w:r w:rsidRPr="006308E3">
          <w:rPr>
            <w:rStyle w:val="Hyperlink"/>
            <w:noProof/>
          </w:rPr>
          <w:t>B.1.3.3</w:t>
        </w:r>
        <w:r>
          <w:rPr>
            <w:rFonts w:asciiTheme="minorHAnsi" w:eastAsiaTheme="minorEastAsia" w:hAnsiTheme="minorHAnsi"/>
            <w:noProof/>
            <w:lang w:eastAsia="en-GB"/>
          </w:rPr>
          <w:tab/>
        </w:r>
        <w:r w:rsidRPr="006308E3">
          <w:rPr>
            <w:rStyle w:val="Hyperlink"/>
            <w:noProof/>
          </w:rPr>
          <w:t>Current treatment pathway</w:t>
        </w:r>
        <w:r>
          <w:rPr>
            <w:noProof/>
            <w:webHidden/>
          </w:rPr>
          <w:tab/>
        </w:r>
        <w:r>
          <w:rPr>
            <w:noProof/>
            <w:webHidden/>
          </w:rPr>
          <w:fldChar w:fldCharType="begin"/>
        </w:r>
        <w:r>
          <w:rPr>
            <w:noProof/>
            <w:webHidden/>
          </w:rPr>
          <w:instrText xml:space="preserve"> PAGEREF _Toc129350848 \h </w:instrText>
        </w:r>
        <w:r>
          <w:rPr>
            <w:noProof/>
            <w:webHidden/>
          </w:rPr>
        </w:r>
        <w:r>
          <w:rPr>
            <w:noProof/>
            <w:webHidden/>
          </w:rPr>
          <w:fldChar w:fldCharType="separate"/>
        </w:r>
        <w:r>
          <w:rPr>
            <w:noProof/>
            <w:webHidden/>
          </w:rPr>
          <w:t>30</w:t>
        </w:r>
        <w:r>
          <w:rPr>
            <w:noProof/>
            <w:webHidden/>
          </w:rPr>
          <w:fldChar w:fldCharType="end"/>
        </w:r>
      </w:hyperlink>
    </w:p>
    <w:p w14:paraId="41064112" w14:textId="1C5A46EB"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849" w:history="1">
        <w:r w:rsidRPr="006308E3">
          <w:rPr>
            <w:rStyle w:val="Hyperlink"/>
            <w:noProof/>
          </w:rPr>
          <w:t>B.1.3.4</w:t>
        </w:r>
        <w:r>
          <w:rPr>
            <w:rFonts w:asciiTheme="minorHAnsi" w:eastAsiaTheme="minorEastAsia" w:hAnsiTheme="minorHAnsi"/>
            <w:noProof/>
            <w:lang w:eastAsia="en-GB"/>
          </w:rPr>
          <w:tab/>
        </w:r>
        <w:r w:rsidRPr="006308E3">
          <w:rPr>
            <w:rStyle w:val="Hyperlink"/>
            <w:noProof/>
          </w:rPr>
          <w:t>Unmet need for effective targeted therapy in HER2-low u/mBC</w:t>
        </w:r>
        <w:r>
          <w:rPr>
            <w:noProof/>
            <w:webHidden/>
          </w:rPr>
          <w:tab/>
        </w:r>
        <w:r>
          <w:rPr>
            <w:noProof/>
            <w:webHidden/>
          </w:rPr>
          <w:fldChar w:fldCharType="begin"/>
        </w:r>
        <w:r>
          <w:rPr>
            <w:noProof/>
            <w:webHidden/>
          </w:rPr>
          <w:instrText xml:space="preserve"> PAGEREF _Toc129350849 \h </w:instrText>
        </w:r>
        <w:r>
          <w:rPr>
            <w:noProof/>
            <w:webHidden/>
          </w:rPr>
        </w:r>
        <w:r>
          <w:rPr>
            <w:noProof/>
            <w:webHidden/>
          </w:rPr>
          <w:fldChar w:fldCharType="separate"/>
        </w:r>
        <w:r>
          <w:rPr>
            <w:noProof/>
            <w:webHidden/>
          </w:rPr>
          <w:t>35</w:t>
        </w:r>
        <w:r>
          <w:rPr>
            <w:noProof/>
            <w:webHidden/>
          </w:rPr>
          <w:fldChar w:fldCharType="end"/>
        </w:r>
      </w:hyperlink>
    </w:p>
    <w:p w14:paraId="27FB214A" w14:textId="1E47FC08"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850" w:history="1">
        <w:r w:rsidRPr="006308E3">
          <w:rPr>
            <w:rStyle w:val="Hyperlink"/>
            <w:noProof/>
          </w:rPr>
          <w:t>B.1.3.5</w:t>
        </w:r>
        <w:r>
          <w:rPr>
            <w:rFonts w:asciiTheme="minorHAnsi" w:eastAsiaTheme="minorEastAsia" w:hAnsiTheme="minorHAnsi"/>
            <w:noProof/>
            <w:lang w:eastAsia="en-GB"/>
          </w:rPr>
          <w:tab/>
        </w:r>
        <w:r w:rsidRPr="006308E3">
          <w:rPr>
            <w:rStyle w:val="Hyperlink"/>
            <w:noProof/>
          </w:rPr>
          <w:t>Proposed place of T-DXd in the HER2-low u/mBC treatment pathway</w:t>
        </w:r>
        <w:r>
          <w:rPr>
            <w:noProof/>
            <w:webHidden/>
          </w:rPr>
          <w:tab/>
        </w:r>
        <w:r>
          <w:rPr>
            <w:noProof/>
            <w:webHidden/>
          </w:rPr>
          <w:fldChar w:fldCharType="begin"/>
        </w:r>
        <w:r>
          <w:rPr>
            <w:noProof/>
            <w:webHidden/>
          </w:rPr>
          <w:instrText xml:space="preserve"> PAGEREF _Toc129350850 \h </w:instrText>
        </w:r>
        <w:r>
          <w:rPr>
            <w:noProof/>
            <w:webHidden/>
          </w:rPr>
        </w:r>
        <w:r>
          <w:rPr>
            <w:noProof/>
            <w:webHidden/>
          </w:rPr>
          <w:fldChar w:fldCharType="separate"/>
        </w:r>
        <w:r>
          <w:rPr>
            <w:noProof/>
            <w:webHidden/>
          </w:rPr>
          <w:t>36</w:t>
        </w:r>
        <w:r>
          <w:rPr>
            <w:noProof/>
            <w:webHidden/>
          </w:rPr>
          <w:fldChar w:fldCharType="end"/>
        </w:r>
      </w:hyperlink>
    </w:p>
    <w:p w14:paraId="6838CDE0" w14:textId="72665F9D"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851" w:history="1">
        <w:r w:rsidRPr="006308E3">
          <w:rPr>
            <w:rStyle w:val="Hyperlink"/>
            <w:noProof/>
          </w:rPr>
          <w:t>B.1.3.6</w:t>
        </w:r>
        <w:r>
          <w:rPr>
            <w:rFonts w:asciiTheme="minorHAnsi" w:eastAsiaTheme="minorEastAsia" w:hAnsiTheme="minorHAnsi"/>
            <w:noProof/>
            <w:lang w:eastAsia="en-GB"/>
          </w:rPr>
          <w:tab/>
        </w:r>
        <w:r w:rsidRPr="006308E3">
          <w:rPr>
            <w:rStyle w:val="Hyperlink"/>
            <w:noProof/>
          </w:rPr>
          <w:t>Relevance of the DESTINY-Breast04 TPC arm to UK clinical practice and the comparators in the decision problem</w:t>
        </w:r>
        <w:r>
          <w:rPr>
            <w:noProof/>
            <w:webHidden/>
          </w:rPr>
          <w:tab/>
        </w:r>
        <w:r>
          <w:rPr>
            <w:noProof/>
            <w:webHidden/>
          </w:rPr>
          <w:fldChar w:fldCharType="begin"/>
        </w:r>
        <w:r>
          <w:rPr>
            <w:noProof/>
            <w:webHidden/>
          </w:rPr>
          <w:instrText xml:space="preserve"> PAGEREF _Toc129350851 \h </w:instrText>
        </w:r>
        <w:r>
          <w:rPr>
            <w:noProof/>
            <w:webHidden/>
          </w:rPr>
        </w:r>
        <w:r>
          <w:rPr>
            <w:noProof/>
            <w:webHidden/>
          </w:rPr>
          <w:fldChar w:fldCharType="separate"/>
        </w:r>
        <w:r>
          <w:rPr>
            <w:noProof/>
            <w:webHidden/>
          </w:rPr>
          <w:t>37</w:t>
        </w:r>
        <w:r>
          <w:rPr>
            <w:noProof/>
            <w:webHidden/>
          </w:rPr>
          <w:fldChar w:fldCharType="end"/>
        </w:r>
      </w:hyperlink>
    </w:p>
    <w:p w14:paraId="663EFAD7" w14:textId="0D47FD62" w:rsidR="00145F42" w:rsidRDefault="00145F42">
      <w:pPr>
        <w:pStyle w:val="TOC2"/>
        <w:rPr>
          <w:rFonts w:asciiTheme="minorHAnsi" w:eastAsiaTheme="minorEastAsia" w:hAnsiTheme="minorHAnsi"/>
          <w:noProof/>
          <w:lang w:eastAsia="en-GB"/>
        </w:rPr>
      </w:pPr>
      <w:hyperlink w:anchor="_Toc129350852" w:history="1">
        <w:r w:rsidRPr="006308E3">
          <w:rPr>
            <w:rStyle w:val="Hyperlink"/>
            <w:noProof/>
          </w:rPr>
          <w:t>B.1.4</w:t>
        </w:r>
        <w:r>
          <w:rPr>
            <w:rFonts w:asciiTheme="minorHAnsi" w:eastAsiaTheme="minorEastAsia" w:hAnsiTheme="minorHAnsi"/>
            <w:noProof/>
            <w:lang w:eastAsia="en-GB"/>
          </w:rPr>
          <w:tab/>
        </w:r>
        <w:r w:rsidRPr="006308E3">
          <w:rPr>
            <w:rStyle w:val="Hyperlink"/>
            <w:noProof/>
          </w:rPr>
          <w:t>Equality considerations</w:t>
        </w:r>
        <w:r>
          <w:rPr>
            <w:noProof/>
            <w:webHidden/>
          </w:rPr>
          <w:tab/>
        </w:r>
        <w:r>
          <w:rPr>
            <w:noProof/>
            <w:webHidden/>
          </w:rPr>
          <w:fldChar w:fldCharType="begin"/>
        </w:r>
        <w:r>
          <w:rPr>
            <w:noProof/>
            <w:webHidden/>
          </w:rPr>
          <w:instrText xml:space="preserve"> PAGEREF _Toc129350852 \h </w:instrText>
        </w:r>
        <w:r>
          <w:rPr>
            <w:noProof/>
            <w:webHidden/>
          </w:rPr>
        </w:r>
        <w:r>
          <w:rPr>
            <w:noProof/>
            <w:webHidden/>
          </w:rPr>
          <w:fldChar w:fldCharType="separate"/>
        </w:r>
        <w:r>
          <w:rPr>
            <w:noProof/>
            <w:webHidden/>
          </w:rPr>
          <w:t>42</w:t>
        </w:r>
        <w:r>
          <w:rPr>
            <w:noProof/>
            <w:webHidden/>
          </w:rPr>
          <w:fldChar w:fldCharType="end"/>
        </w:r>
      </w:hyperlink>
    </w:p>
    <w:p w14:paraId="1929FC99" w14:textId="081CFC4C" w:rsidR="00145F42" w:rsidRDefault="00145F42">
      <w:pPr>
        <w:pStyle w:val="TOC1"/>
        <w:rPr>
          <w:rFonts w:asciiTheme="minorHAnsi" w:eastAsiaTheme="minorEastAsia" w:hAnsiTheme="minorHAnsi"/>
          <w:noProof/>
          <w:lang w:eastAsia="en-GB"/>
        </w:rPr>
      </w:pPr>
      <w:hyperlink w:anchor="_Toc129350853" w:history="1">
        <w:r w:rsidRPr="006308E3">
          <w:rPr>
            <w:rStyle w:val="Hyperlink"/>
            <w:noProof/>
          </w:rPr>
          <w:t>B.2</w:t>
        </w:r>
        <w:r>
          <w:rPr>
            <w:rFonts w:asciiTheme="minorHAnsi" w:eastAsiaTheme="minorEastAsia" w:hAnsiTheme="minorHAnsi"/>
            <w:noProof/>
            <w:lang w:eastAsia="en-GB"/>
          </w:rPr>
          <w:tab/>
        </w:r>
        <w:r w:rsidRPr="006308E3">
          <w:rPr>
            <w:rStyle w:val="Hyperlink"/>
            <w:noProof/>
          </w:rPr>
          <w:t>Clinical effectiveness</w:t>
        </w:r>
        <w:r>
          <w:rPr>
            <w:noProof/>
            <w:webHidden/>
          </w:rPr>
          <w:tab/>
        </w:r>
        <w:r>
          <w:rPr>
            <w:noProof/>
            <w:webHidden/>
          </w:rPr>
          <w:fldChar w:fldCharType="begin"/>
        </w:r>
        <w:r>
          <w:rPr>
            <w:noProof/>
            <w:webHidden/>
          </w:rPr>
          <w:instrText xml:space="preserve"> PAGEREF _Toc129350853 \h </w:instrText>
        </w:r>
        <w:r>
          <w:rPr>
            <w:noProof/>
            <w:webHidden/>
          </w:rPr>
        </w:r>
        <w:r>
          <w:rPr>
            <w:noProof/>
            <w:webHidden/>
          </w:rPr>
          <w:fldChar w:fldCharType="separate"/>
        </w:r>
        <w:r>
          <w:rPr>
            <w:noProof/>
            <w:webHidden/>
          </w:rPr>
          <w:t>43</w:t>
        </w:r>
        <w:r>
          <w:rPr>
            <w:noProof/>
            <w:webHidden/>
          </w:rPr>
          <w:fldChar w:fldCharType="end"/>
        </w:r>
      </w:hyperlink>
    </w:p>
    <w:p w14:paraId="7ACC4209" w14:textId="1B1430B4" w:rsidR="00145F42" w:rsidRDefault="00145F42">
      <w:pPr>
        <w:pStyle w:val="TOC2"/>
        <w:rPr>
          <w:rFonts w:asciiTheme="minorHAnsi" w:eastAsiaTheme="minorEastAsia" w:hAnsiTheme="minorHAnsi"/>
          <w:noProof/>
          <w:lang w:eastAsia="en-GB"/>
        </w:rPr>
      </w:pPr>
      <w:hyperlink w:anchor="_Toc129350854" w:history="1">
        <w:r w:rsidRPr="006308E3">
          <w:rPr>
            <w:rStyle w:val="Hyperlink"/>
            <w:noProof/>
          </w:rPr>
          <w:t>B.2.1</w:t>
        </w:r>
        <w:r>
          <w:rPr>
            <w:rFonts w:asciiTheme="minorHAnsi" w:eastAsiaTheme="minorEastAsia" w:hAnsiTheme="minorHAnsi"/>
            <w:noProof/>
            <w:lang w:eastAsia="en-GB"/>
          </w:rPr>
          <w:tab/>
        </w:r>
        <w:r w:rsidRPr="006308E3">
          <w:rPr>
            <w:rStyle w:val="Hyperlink"/>
            <w:noProof/>
          </w:rPr>
          <w:t>Identification and selection of relevant studies</w:t>
        </w:r>
        <w:r>
          <w:rPr>
            <w:noProof/>
            <w:webHidden/>
          </w:rPr>
          <w:tab/>
        </w:r>
        <w:r>
          <w:rPr>
            <w:noProof/>
            <w:webHidden/>
          </w:rPr>
          <w:fldChar w:fldCharType="begin"/>
        </w:r>
        <w:r>
          <w:rPr>
            <w:noProof/>
            <w:webHidden/>
          </w:rPr>
          <w:instrText xml:space="preserve"> PAGEREF _Toc129350854 \h </w:instrText>
        </w:r>
        <w:r>
          <w:rPr>
            <w:noProof/>
            <w:webHidden/>
          </w:rPr>
        </w:r>
        <w:r>
          <w:rPr>
            <w:noProof/>
            <w:webHidden/>
          </w:rPr>
          <w:fldChar w:fldCharType="separate"/>
        </w:r>
        <w:r>
          <w:rPr>
            <w:noProof/>
            <w:webHidden/>
          </w:rPr>
          <w:t>45</w:t>
        </w:r>
        <w:r>
          <w:rPr>
            <w:noProof/>
            <w:webHidden/>
          </w:rPr>
          <w:fldChar w:fldCharType="end"/>
        </w:r>
      </w:hyperlink>
    </w:p>
    <w:p w14:paraId="090E45EA" w14:textId="10D8F808" w:rsidR="00145F42" w:rsidRDefault="00145F42">
      <w:pPr>
        <w:pStyle w:val="TOC2"/>
        <w:rPr>
          <w:rFonts w:asciiTheme="minorHAnsi" w:eastAsiaTheme="minorEastAsia" w:hAnsiTheme="minorHAnsi"/>
          <w:noProof/>
          <w:lang w:eastAsia="en-GB"/>
        </w:rPr>
      </w:pPr>
      <w:hyperlink w:anchor="_Toc129350855" w:history="1">
        <w:r w:rsidRPr="006308E3">
          <w:rPr>
            <w:rStyle w:val="Hyperlink"/>
            <w:noProof/>
          </w:rPr>
          <w:t>B.2.2</w:t>
        </w:r>
        <w:r>
          <w:rPr>
            <w:rFonts w:asciiTheme="minorHAnsi" w:eastAsiaTheme="minorEastAsia" w:hAnsiTheme="minorHAnsi"/>
            <w:noProof/>
            <w:lang w:eastAsia="en-GB"/>
          </w:rPr>
          <w:tab/>
        </w:r>
        <w:r w:rsidRPr="006308E3">
          <w:rPr>
            <w:rStyle w:val="Hyperlink"/>
            <w:noProof/>
          </w:rPr>
          <w:t>List of relevant clinical effectiveness evidence</w:t>
        </w:r>
        <w:r>
          <w:rPr>
            <w:noProof/>
            <w:webHidden/>
          </w:rPr>
          <w:tab/>
        </w:r>
        <w:r>
          <w:rPr>
            <w:noProof/>
            <w:webHidden/>
          </w:rPr>
          <w:fldChar w:fldCharType="begin"/>
        </w:r>
        <w:r>
          <w:rPr>
            <w:noProof/>
            <w:webHidden/>
          </w:rPr>
          <w:instrText xml:space="preserve"> PAGEREF _Toc129350855 \h </w:instrText>
        </w:r>
        <w:r>
          <w:rPr>
            <w:noProof/>
            <w:webHidden/>
          </w:rPr>
        </w:r>
        <w:r>
          <w:rPr>
            <w:noProof/>
            <w:webHidden/>
          </w:rPr>
          <w:fldChar w:fldCharType="separate"/>
        </w:r>
        <w:r>
          <w:rPr>
            <w:noProof/>
            <w:webHidden/>
          </w:rPr>
          <w:t>46</w:t>
        </w:r>
        <w:r>
          <w:rPr>
            <w:noProof/>
            <w:webHidden/>
          </w:rPr>
          <w:fldChar w:fldCharType="end"/>
        </w:r>
      </w:hyperlink>
    </w:p>
    <w:p w14:paraId="039CD231" w14:textId="4E8D61EF" w:rsidR="00145F42" w:rsidRDefault="00145F42">
      <w:pPr>
        <w:pStyle w:val="TOC2"/>
        <w:rPr>
          <w:rFonts w:asciiTheme="minorHAnsi" w:eastAsiaTheme="minorEastAsia" w:hAnsiTheme="minorHAnsi"/>
          <w:noProof/>
          <w:lang w:eastAsia="en-GB"/>
        </w:rPr>
      </w:pPr>
      <w:hyperlink w:anchor="_Toc129350856" w:history="1">
        <w:r w:rsidRPr="006308E3">
          <w:rPr>
            <w:rStyle w:val="Hyperlink"/>
            <w:noProof/>
          </w:rPr>
          <w:t>B.2.3</w:t>
        </w:r>
        <w:r>
          <w:rPr>
            <w:rFonts w:asciiTheme="minorHAnsi" w:eastAsiaTheme="minorEastAsia" w:hAnsiTheme="minorHAnsi"/>
            <w:noProof/>
            <w:lang w:eastAsia="en-GB"/>
          </w:rPr>
          <w:tab/>
        </w:r>
        <w:r w:rsidRPr="006308E3">
          <w:rPr>
            <w:rStyle w:val="Hyperlink"/>
            <w:noProof/>
          </w:rPr>
          <w:t>Summary of methodology of the relevant clinical effectiveness evidence</w:t>
        </w:r>
        <w:r>
          <w:rPr>
            <w:noProof/>
            <w:webHidden/>
          </w:rPr>
          <w:tab/>
        </w:r>
        <w:r>
          <w:rPr>
            <w:noProof/>
            <w:webHidden/>
          </w:rPr>
          <w:fldChar w:fldCharType="begin"/>
        </w:r>
        <w:r>
          <w:rPr>
            <w:noProof/>
            <w:webHidden/>
          </w:rPr>
          <w:instrText xml:space="preserve"> PAGEREF _Toc129350856 \h </w:instrText>
        </w:r>
        <w:r>
          <w:rPr>
            <w:noProof/>
            <w:webHidden/>
          </w:rPr>
        </w:r>
        <w:r>
          <w:rPr>
            <w:noProof/>
            <w:webHidden/>
          </w:rPr>
          <w:fldChar w:fldCharType="separate"/>
        </w:r>
        <w:r>
          <w:rPr>
            <w:noProof/>
            <w:webHidden/>
          </w:rPr>
          <w:t>47</w:t>
        </w:r>
        <w:r>
          <w:rPr>
            <w:noProof/>
            <w:webHidden/>
          </w:rPr>
          <w:fldChar w:fldCharType="end"/>
        </w:r>
      </w:hyperlink>
    </w:p>
    <w:p w14:paraId="32384D69" w14:textId="25600844"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857" w:history="1">
        <w:r w:rsidRPr="006308E3">
          <w:rPr>
            <w:rStyle w:val="Hyperlink"/>
            <w:noProof/>
          </w:rPr>
          <w:t>B.2.3.1</w:t>
        </w:r>
        <w:r>
          <w:rPr>
            <w:rFonts w:asciiTheme="minorHAnsi" w:eastAsiaTheme="minorEastAsia" w:hAnsiTheme="minorHAnsi"/>
            <w:noProof/>
            <w:lang w:eastAsia="en-GB"/>
          </w:rPr>
          <w:tab/>
        </w:r>
        <w:r w:rsidRPr="006308E3">
          <w:rPr>
            <w:rStyle w:val="Hyperlink"/>
            <w:noProof/>
          </w:rPr>
          <w:t>DESTINY-Breast04</w:t>
        </w:r>
        <w:r>
          <w:rPr>
            <w:noProof/>
            <w:webHidden/>
          </w:rPr>
          <w:tab/>
        </w:r>
        <w:r>
          <w:rPr>
            <w:noProof/>
            <w:webHidden/>
          </w:rPr>
          <w:fldChar w:fldCharType="begin"/>
        </w:r>
        <w:r>
          <w:rPr>
            <w:noProof/>
            <w:webHidden/>
          </w:rPr>
          <w:instrText xml:space="preserve"> PAGEREF _Toc129350857 \h </w:instrText>
        </w:r>
        <w:r>
          <w:rPr>
            <w:noProof/>
            <w:webHidden/>
          </w:rPr>
        </w:r>
        <w:r>
          <w:rPr>
            <w:noProof/>
            <w:webHidden/>
          </w:rPr>
          <w:fldChar w:fldCharType="separate"/>
        </w:r>
        <w:r>
          <w:rPr>
            <w:noProof/>
            <w:webHidden/>
          </w:rPr>
          <w:t>47</w:t>
        </w:r>
        <w:r>
          <w:rPr>
            <w:noProof/>
            <w:webHidden/>
          </w:rPr>
          <w:fldChar w:fldCharType="end"/>
        </w:r>
      </w:hyperlink>
    </w:p>
    <w:p w14:paraId="34FE840C" w14:textId="6709568D" w:rsidR="00145F42" w:rsidRDefault="00145F42">
      <w:pPr>
        <w:pStyle w:val="TOC2"/>
        <w:rPr>
          <w:rFonts w:asciiTheme="minorHAnsi" w:eastAsiaTheme="minorEastAsia" w:hAnsiTheme="minorHAnsi"/>
          <w:noProof/>
          <w:lang w:eastAsia="en-GB"/>
        </w:rPr>
      </w:pPr>
      <w:hyperlink w:anchor="_Toc129350858" w:history="1">
        <w:r w:rsidRPr="006308E3">
          <w:rPr>
            <w:rStyle w:val="Hyperlink"/>
            <w:noProof/>
          </w:rPr>
          <w:t>B.2.4</w:t>
        </w:r>
        <w:r>
          <w:rPr>
            <w:rFonts w:asciiTheme="minorHAnsi" w:eastAsiaTheme="minorEastAsia" w:hAnsiTheme="minorHAnsi"/>
            <w:noProof/>
            <w:lang w:eastAsia="en-GB"/>
          </w:rPr>
          <w:tab/>
        </w:r>
        <w:r w:rsidRPr="006308E3">
          <w:rPr>
            <w:rStyle w:val="Hyperlink"/>
            <w:noProof/>
          </w:rPr>
          <w:t>Statistical analysis and definition of study groups in the relevant clinical effectiveness evidence</w:t>
        </w:r>
        <w:r>
          <w:rPr>
            <w:noProof/>
            <w:webHidden/>
          </w:rPr>
          <w:tab/>
        </w:r>
        <w:r>
          <w:rPr>
            <w:noProof/>
            <w:webHidden/>
          </w:rPr>
          <w:fldChar w:fldCharType="begin"/>
        </w:r>
        <w:r>
          <w:rPr>
            <w:noProof/>
            <w:webHidden/>
          </w:rPr>
          <w:instrText xml:space="preserve"> PAGEREF _Toc129350858 \h </w:instrText>
        </w:r>
        <w:r>
          <w:rPr>
            <w:noProof/>
            <w:webHidden/>
          </w:rPr>
        </w:r>
        <w:r>
          <w:rPr>
            <w:noProof/>
            <w:webHidden/>
          </w:rPr>
          <w:fldChar w:fldCharType="separate"/>
        </w:r>
        <w:r>
          <w:rPr>
            <w:noProof/>
            <w:webHidden/>
          </w:rPr>
          <w:t>58</w:t>
        </w:r>
        <w:r>
          <w:rPr>
            <w:noProof/>
            <w:webHidden/>
          </w:rPr>
          <w:fldChar w:fldCharType="end"/>
        </w:r>
      </w:hyperlink>
    </w:p>
    <w:p w14:paraId="231C7E1A" w14:textId="5FC016B7"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859" w:history="1">
        <w:r w:rsidRPr="006308E3">
          <w:rPr>
            <w:rStyle w:val="Hyperlink"/>
            <w:noProof/>
          </w:rPr>
          <w:t>B.2.4.1</w:t>
        </w:r>
        <w:r>
          <w:rPr>
            <w:rFonts w:asciiTheme="minorHAnsi" w:eastAsiaTheme="minorEastAsia" w:hAnsiTheme="minorHAnsi"/>
            <w:noProof/>
            <w:lang w:eastAsia="en-GB"/>
          </w:rPr>
          <w:tab/>
        </w:r>
        <w:r w:rsidRPr="006308E3">
          <w:rPr>
            <w:rStyle w:val="Hyperlink"/>
            <w:noProof/>
          </w:rPr>
          <w:t>Analysis sets</w:t>
        </w:r>
        <w:r>
          <w:rPr>
            <w:noProof/>
            <w:webHidden/>
          </w:rPr>
          <w:tab/>
        </w:r>
        <w:r>
          <w:rPr>
            <w:noProof/>
            <w:webHidden/>
          </w:rPr>
          <w:fldChar w:fldCharType="begin"/>
        </w:r>
        <w:r>
          <w:rPr>
            <w:noProof/>
            <w:webHidden/>
          </w:rPr>
          <w:instrText xml:space="preserve"> PAGEREF _Toc129350859 \h </w:instrText>
        </w:r>
        <w:r>
          <w:rPr>
            <w:noProof/>
            <w:webHidden/>
          </w:rPr>
        </w:r>
        <w:r>
          <w:rPr>
            <w:noProof/>
            <w:webHidden/>
          </w:rPr>
          <w:fldChar w:fldCharType="separate"/>
        </w:r>
        <w:r>
          <w:rPr>
            <w:noProof/>
            <w:webHidden/>
          </w:rPr>
          <w:t>58</w:t>
        </w:r>
        <w:r>
          <w:rPr>
            <w:noProof/>
            <w:webHidden/>
          </w:rPr>
          <w:fldChar w:fldCharType="end"/>
        </w:r>
      </w:hyperlink>
    </w:p>
    <w:p w14:paraId="171E78B3" w14:textId="67991CF3"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860" w:history="1">
        <w:r w:rsidRPr="006308E3">
          <w:rPr>
            <w:rStyle w:val="Hyperlink"/>
            <w:noProof/>
          </w:rPr>
          <w:t>B.2.4.2</w:t>
        </w:r>
        <w:r>
          <w:rPr>
            <w:rFonts w:asciiTheme="minorHAnsi" w:eastAsiaTheme="minorEastAsia" w:hAnsiTheme="minorHAnsi"/>
            <w:noProof/>
            <w:lang w:eastAsia="en-GB"/>
          </w:rPr>
          <w:tab/>
        </w:r>
        <w:r w:rsidRPr="006308E3">
          <w:rPr>
            <w:rStyle w:val="Hyperlink"/>
            <w:noProof/>
          </w:rPr>
          <w:t>Statistical analyses</w:t>
        </w:r>
        <w:r>
          <w:rPr>
            <w:noProof/>
            <w:webHidden/>
          </w:rPr>
          <w:tab/>
        </w:r>
        <w:r>
          <w:rPr>
            <w:noProof/>
            <w:webHidden/>
          </w:rPr>
          <w:fldChar w:fldCharType="begin"/>
        </w:r>
        <w:r>
          <w:rPr>
            <w:noProof/>
            <w:webHidden/>
          </w:rPr>
          <w:instrText xml:space="preserve"> PAGEREF _Toc129350860 \h </w:instrText>
        </w:r>
        <w:r>
          <w:rPr>
            <w:noProof/>
            <w:webHidden/>
          </w:rPr>
        </w:r>
        <w:r>
          <w:rPr>
            <w:noProof/>
            <w:webHidden/>
          </w:rPr>
          <w:fldChar w:fldCharType="separate"/>
        </w:r>
        <w:r>
          <w:rPr>
            <w:noProof/>
            <w:webHidden/>
          </w:rPr>
          <w:t>59</w:t>
        </w:r>
        <w:r>
          <w:rPr>
            <w:noProof/>
            <w:webHidden/>
          </w:rPr>
          <w:fldChar w:fldCharType="end"/>
        </w:r>
      </w:hyperlink>
    </w:p>
    <w:p w14:paraId="070928EC" w14:textId="3E24BDE8"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861" w:history="1">
        <w:r w:rsidRPr="006308E3">
          <w:rPr>
            <w:rStyle w:val="Hyperlink"/>
            <w:noProof/>
          </w:rPr>
          <w:t>B.2.4.3</w:t>
        </w:r>
        <w:r>
          <w:rPr>
            <w:rFonts w:asciiTheme="minorHAnsi" w:eastAsiaTheme="minorEastAsia" w:hAnsiTheme="minorHAnsi"/>
            <w:noProof/>
            <w:lang w:eastAsia="en-GB"/>
          </w:rPr>
          <w:tab/>
        </w:r>
        <w:r w:rsidRPr="006308E3">
          <w:rPr>
            <w:rStyle w:val="Hyperlink"/>
            <w:noProof/>
          </w:rPr>
          <w:t>Patient flow in DESTINY-Breast04</w:t>
        </w:r>
        <w:r>
          <w:rPr>
            <w:noProof/>
            <w:webHidden/>
          </w:rPr>
          <w:tab/>
        </w:r>
        <w:r>
          <w:rPr>
            <w:noProof/>
            <w:webHidden/>
          </w:rPr>
          <w:fldChar w:fldCharType="begin"/>
        </w:r>
        <w:r>
          <w:rPr>
            <w:noProof/>
            <w:webHidden/>
          </w:rPr>
          <w:instrText xml:space="preserve"> PAGEREF _Toc129350861 \h </w:instrText>
        </w:r>
        <w:r>
          <w:rPr>
            <w:noProof/>
            <w:webHidden/>
          </w:rPr>
        </w:r>
        <w:r>
          <w:rPr>
            <w:noProof/>
            <w:webHidden/>
          </w:rPr>
          <w:fldChar w:fldCharType="separate"/>
        </w:r>
        <w:r>
          <w:rPr>
            <w:noProof/>
            <w:webHidden/>
          </w:rPr>
          <w:t>63</w:t>
        </w:r>
        <w:r>
          <w:rPr>
            <w:noProof/>
            <w:webHidden/>
          </w:rPr>
          <w:fldChar w:fldCharType="end"/>
        </w:r>
      </w:hyperlink>
    </w:p>
    <w:p w14:paraId="05739A90" w14:textId="0B645AF5"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862" w:history="1">
        <w:r w:rsidRPr="006308E3">
          <w:rPr>
            <w:rStyle w:val="Hyperlink"/>
            <w:noProof/>
          </w:rPr>
          <w:t>B.2.4.4</w:t>
        </w:r>
        <w:r>
          <w:rPr>
            <w:rFonts w:asciiTheme="minorHAnsi" w:eastAsiaTheme="minorEastAsia" w:hAnsiTheme="minorHAnsi"/>
            <w:noProof/>
            <w:lang w:eastAsia="en-GB"/>
          </w:rPr>
          <w:tab/>
        </w:r>
        <w:r w:rsidRPr="006308E3">
          <w:rPr>
            <w:rStyle w:val="Hyperlink"/>
            <w:noProof/>
          </w:rPr>
          <w:t>Patient baseline characteristics</w:t>
        </w:r>
        <w:r>
          <w:rPr>
            <w:noProof/>
            <w:webHidden/>
          </w:rPr>
          <w:tab/>
        </w:r>
        <w:r>
          <w:rPr>
            <w:noProof/>
            <w:webHidden/>
          </w:rPr>
          <w:fldChar w:fldCharType="begin"/>
        </w:r>
        <w:r>
          <w:rPr>
            <w:noProof/>
            <w:webHidden/>
          </w:rPr>
          <w:instrText xml:space="preserve"> PAGEREF _Toc129350862 \h </w:instrText>
        </w:r>
        <w:r>
          <w:rPr>
            <w:noProof/>
            <w:webHidden/>
          </w:rPr>
        </w:r>
        <w:r>
          <w:rPr>
            <w:noProof/>
            <w:webHidden/>
          </w:rPr>
          <w:fldChar w:fldCharType="separate"/>
        </w:r>
        <w:r>
          <w:rPr>
            <w:noProof/>
            <w:webHidden/>
          </w:rPr>
          <w:t>65</w:t>
        </w:r>
        <w:r>
          <w:rPr>
            <w:noProof/>
            <w:webHidden/>
          </w:rPr>
          <w:fldChar w:fldCharType="end"/>
        </w:r>
      </w:hyperlink>
    </w:p>
    <w:p w14:paraId="3EFD3BF6" w14:textId="2F7E3615" w:rsidR="00145F42" w:rsidRDefault="00145F42">
      <w:pPr>
        <w:pStyle w:val="TOC2"/>
        <w:rPr>
          <w:rFonts w:asciiTheme="minorHAnsi" w:eastAsiaTheme="minorEastAsia" w:hAnsiTheme="minorHAnsi"/>
          <w:noProof/>
          <w:lang w:eastAsia="en-GB"/>
        </w:rPr>
      </w:pPr>
      <w:hyperlink w:anchor="_Toc129350863" w:history="1">
        <w:r w:rsidRPr="006308E3">
          <w:rPr>
            <w:rStyle w:val="Hyperlink"/>
            <w:noProof/>
          </w:rPr>
          <w:t>B.2.5</w:t>
        </w:r>
        <w:r>
          <w:rPr>
            <w:rFonts w:asciiTheme="minorHAnsi" w:eastAsiaTheme="minorEastAsia" w:hAnsiTheme="minorHAnsi"/>
            <w:noProof/>
            <w:lang w:eastAsia="en-GB"/>
          </w:rPr>
          <w:tab/>
        </w:r>
        <w:r w:rsidRPr="006308E3">
          <w:rPr>
            <w:rStyle w:val="Hyperlink"/>
            <w:noProof/>
          </w:rPr>
          <w:t>Critical appraisal of the relevant clinical effectiveness evidence</w:t>
        </w:r>
        <w:r>
          <w:rPr>
            <w:noProof/>
            <w:webHidden/>
          </w:rPr>
          <w:tab/>
        </w:r>
        <w:r>
          <w:rPr>
            <w:noProof/>
            <w:webHidden/>
          </w:rPr>
          <w:fldChar w:fldCharType="begin"/>
        </w:r>
        <w:r>
          <w:rPr>
            <w:noProof/>
            <w:webHidden/>
          </w:rPr>
          <w:instrText xml:space="preserve"> PAGEREF _Toc129350863 \h </w:instrText>
        </w:r>
        <w:r>
          <w:rPr>
            <w:noProof/>
            <w:webHidden/>
          </w:rPr>
        </w:r>
        <w:r>
          <w:rPr>
            <w:noProof/>
            <w:webHidden/>
          </w:rPr>
          <w:fldChar w:fldCharType="separate"/>
        </w:r>
        <w:r>
          <w:rPr>
            <w:noProof/>
            <w:webHidden/>
          </w:rPr>
          <w:t>68</w:t>
        </w:r>
        <w:r>
          <w:rPr>
            <w:noProof/>
            <w:webHidden/>
          </w:rPr>
          <w:fldChar w:fldCharType="end"/>
        </w:r>
      </w:hyperlink>
    </w:p>
    <w:p w14:paraId="13F2284F" w14:textId="5D630774"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864" w:history="1">
        <w:r w:rsidRPr="006308E3">
          <w:rPr>
            <w:rStyle w:val="Hyperlink"/>
            <w:noProof/>
          </w:rPr>
          <w:t>B.2.5.1</w:t>
        </w:r>
        <w:r>
          <w:rPr>
            <w:rFonts w:asciiTheme="minorHAnsi" w:eastAsiaTheme="minorEastAsia" w:hAnsiTheme="minorHAnsi"/>
            <w:noProof/>
            <w:lang w:eastAsia="en-GB"/>
          </w:rPr>
          <w:tab/>
        </w:r>
        <w:r w:rsidRPr="006308E3">
          <w:rPr>
            <w:rStyle w:val="Hyperlink"/>
            <w:noProof/>
          </w:rPr>
          <w:t>Limitations of the evidence base</w:t>
        </w:r>
        <w:r>
          <w:rPr>
            <w:noProof/>
            <w:webHidden/>
          </w:rPr>
          <w:tab/>
        </w:r>
        <w:r>
          <w:rPr>
            <w:noProof/>
            <w:webHidden/>
          </w:rPr>
          <w:fldChar w:fldCharType="begin"/>
        </w:r>
        <w:r>
          <w:rPr>
            <w:noProof/>
            <w:webHidden/>
          </w:rPr>
          <w:instrText xml:space="preserve"> PAGEREF _Toc129350864 \h </w:instrText>
        </w:r>
        <w:r>
          <w:rPr>
            <w:noProof/>
            <w:webHidden/>
          </w:rPr>
        </w:r>
        <w:r>
          <w:rPr>
            <w:noProof/>
            <w:webHidden/>
          </w:rPr>
          <w:fldChar w:fldCharType="separate"/>
        </w:r>
        <w:r>
          <w:rPr>
            <w:noProof/>
            <w:webHidden/>
          </w:rPr>
          <w:t>69</w:t>
        </w:r>
        <w:r>
          <w:rPr>
            <w:noProof/>
            <w:webHidden/>
          </w:rPr>
          <w:fldChar w:fldCharType="end"/>
        </w:r>
      </w:hyperlink>
    </w:p>
    <w:p w14:paraId="4C010D4E" w14:textId="17028A19" w:rsidR="00145F42" w:rsidRDefault="00145F42">
      <w:pPr>
        <w:pStyle w:val="TOC2"/>
        <w:rPr>
          <w:rFonts w:asciiTheme="minorHAnsi" w:eastAsiaTheme="minorEastAsia" w:hAnsiTheme="minorHAnsi"/>
          <w:noProof/>
          <w:lang w:eastAsia="en-GB"/>
        </w:rPr>
      </w:pPr>
      <w:hyperlink w:anchor="_Toc129350865" w:history="1">
        <w:r w:rsidRPr="006308E3">
          <w:rPr>
            <w:rStyle w:val="Hyperlink"/>
            <w:noProof/>
          </w:rPr>
          <w:t>B.2.6</w:t>
        </w:r>
        <w:r>
          <w:rPr>
            <w:rFonts w:asciiTheme="minorHAnsi" w:eastAsiaTheme="minorEastAsia" w:hAnsiTheme="minorHAnsi"/>
            <w:noProof/>
            <w:lang w:eastAsia="en-GB"/>
          </w:rPr>
          <w:tab/>
        </w:r>
        <w:r w:rsidRPr="006308E3">
          <w:rPr>
            <w:rStyle w:val="Hyperlink"/>
            <w:noProof/>
          </w:rPr>
          <w:t>Clinical effectiveness results of the relevant trials</w:t>
        </w:r>
        <w:r>
          <w:rPr>
            <w:noProof/>
            <w:webHidden/>
          </w:rPr>
          <w:tab/>
        </w:r>
        <w:r>
          <w:rPr>
            <w:noProof/>
            <w:webHidden/>
          </w:rPr>
          <w:fldChar w:fldCharType="begin"/>
        </w:r>
        <w:r>
          <w:rPr>
            <w:noProof/>
            <w:webHidden/>
          </w:rPr>
          <w:instrText xml:space="preserve"> PAGEREF _Toc129350865 \h </w:instrText>
        </w:r>
        <w:r>
          <w:rPr>
            <w:noProof/>
            <w:webHidden/>
          </w:rPr>
        </w:r>
        <w:r>
          <w:rPr>
            <w:noProof/>
            <w:webHidden/>
          </w:rPr>
          <w:fldChar w:fldCharType="separate"/>
        </w:r>
        <w:r>
          <w:rPr>
            <w:noProof/>
            <w:webHidden/>
          </w:rPr>
          <w:t>70</w:t>
        </w:r>
        <w:r>
          <w:rPr>
            <w:noProof/>
            <w:webHidden/>
          </w:rPr>
          <w:fldChar w:fldCharType="end"/>
        </w:r>
      </w:hyperlink>
    </w:p>
    <w:p w14:paraId="5F68426D" w14:textId="7ED81ED1"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866" w:history="1">
        <w:r w:rsidRPr="006308E3">
          <w:rPr>
            <w:rStyle w:val="Hyperlink"/>
            <w:noProof/>
          </w:rPr>
          <w:t>B.2.6.1</w:t>
        </w:r>
        <w:r>
          <w:rPr>
            <w:rFonts w:asciiTheme="minorHAnsi" w:eastAsiaTheme="minorEastAsia" w:hAnsiTheme="minorHAnsi"/>
            <w:noProof/>
            <w:lang w:eastAsia="en-GB"/>
          </w:rPr>
          <w:tab/>
        </w:r>
        <w:r w:rsidRPr="006308E3">
          <w:rPr>
            <w:rStyle w:val="Hyperlink"/>
            <w:noProof/>
          </w:rPr>
          <w:t>DESTINY-Breast04</w:t>
        </w:r>
        <w:r>
          <w:rPr>
            <w:noProof/>
            <w:webHidden/>
          </w:rPr>
          <w:tab/>
        </w:r>
        <w:r>
          <w:rPr>
            <w:noProof/>
            <w:webHidden/>
          </w:rPr>
          <w:fldChar w:fldCharType="begin"/>
        </w:r>
        <w:r>
          <w:rPr>
            <w:noProof/>
            <w:webHidden/>
          </w:rPr>
          <w:instrText xml:space="preserve"> PAGEREF _Toc129350866 \h </w:instrText>
        </w:r>
        <w:r>
          <w:rPr>
            <w:noProof/>
            <w:webHidden/>
          </w:rPr>
        </w:r>
        <w:r>
          <w:rPr>
            <w:noProof/>
            <w:webHidden/>
          </w:rPr>
          <w:fldChar w:fldCharType="separate"/>
        </w:r>
        <w:r>
          <w:rPr>
            <w:noProof/>
            <w:webHidden/>
          </w:rPr>
          <w:t>70</w:t>
        </w:r>
        <w:r>
          <w:rPr>
            <w:noProof/>
            <w:webHidden/>
          </w:rPr>
          <w:fldChar w:fldCharType="end"/>
        </w:r>
      </w:hyperlink>
    </w:p>
    <w:p w14:paraId="3DC92850" w14:textId="144D0BC5"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867" w:history="1">
        <w:r w:rsidRPr="006308E3">
          <w:rPr>
            <w:rStyle w:val="Hyperlink"/>
            <w:noProof/>
          </w:rPr>
          <w:t>B.2.6.2</w:t>
        </w:r>
        <w:r>
          <w:rPr>
            <w:rFonts w:asciiTheme="minorHAnsi" w:eastAsiaTheme="minorEastAsia" w:hAnsiTheme="minorHAnsi"/>
            <w:noProof/>
            <w:lang w:eastAsia="en-GB"/>
          </w:rPr>
          <w:tab/>
        </w:r>
        <w:r w:rsidRPr="006308E3">
          <w:rPr>
            <w:rStyle w:val="Hyperlink"/>
            <w:noProof/>
          </w:rPr>
          <w:t>Efficacy conclusions</w:t>
        </w:r>
        <w:r>
          <w:rPr>
            <w:noProof/>
            <w:webHidden/>
          </w:rPr>
          <w:tab/>
        </w:r>
        <w:r>
          <w:rPr>
            <w:noProof/>
            <w:webHidden/>
          </w:rPr>
          <w:fldChar w:fldCharType="begin"/>
        </w:r>
        <w:r>
          <w:rPr>
            <w:noProof/>
            <w:webHidden/>
          </w:rPr>
          <w:instrText xml:space="preserve"> PAGEREF _Toc129350867 \h </w:instrText>
        </w:r>
        <w:r>
          <w:rPr>
            <w:noProof/>
            <w:webHidden/>
          </w:rPr>
        </w:r>
        <w:r>
          <w:rPr>
            <w:noProof/>
            <w:webHidden/>
          </w:rPr>
          <w:fldChar w:fldCharType="separate"/>
        </w:r>
        <w:r>
          <w:rPr>
            <w:noProof/>
            <w:webHidden/>
          </w:rPr>
          <w:t>85</w:t>
        </w:r>
        <w:r>
          <w:rPr>
            <w:noProof/>
            <w:webHidden/>
          </w:rPr>
          <w:fldChar w:fldCharType="end"/>
        </w:r>
      </w:hyperlink>
    </w:p>
    <w:p w14:paraId="691C614C" w14:textId="2B5CD8AD" w:rsidR="00145F42" w:rsidRDefault="00145F42">
      <w:pPr>
        <w:pStyle w:val="TOC2"/>
        <w:rPr>
          <w:rFonts w:asciiTheme="minorHAnsi" w:eastAsiaTheme="minorEastAsia" w:hAnsiTheme="minorHAnsi"/>
          <w:noProof/>
          <w:lang w:eastAsia="en-GB"/>
        </w:rPr>
      </w:pPr>
      <w:hyperlink w:anchor="_Toc129350868" w:history="1">
        <w:r w:rsidRPr="006308E3">
          <w:rPr>
            <w:rStyle w:val="Hyperlink"/>
            <w:noProof/>
          </w:rPr>
          <w:t>B.2.7</w:t>
        </w:r>
        <w:r>
          <w:rPr>
            <w:rFonts w:asciiTheme="minorHAnsi" w:eastAsiaTheme="minorEastAsia" w:hAnsiTheme="minorHAnsi"/>
            <w:noProof/>
            <w:lang w:eastAsia="en-GB"/>
          </w:rPr>
          <w:tab/>
        </w:r>
        <w:r w:rsidRPr="006308E3">
          <w:rPr>
            <w:rStyle w:val="Hyperlink"/>
            <w:noProof/>
          </w:rPr>
          <w:t>Subgroup analysis</w:t>
        </w:r>
        <w:r>
          <w:rPr>
            <w:noProof/>
            <w:webHidden/>
          </w:rPr>
          <w:tab/>
        </w:r>
        <w:r>
          <w:rPr>
            <w:noProof/>
            <w:webHidden/>
          </w:rPr>
          <w:fldChar w:fldCharType="begin"/>
        </w:r>
        <w:r>
          <w:rPr>
            <w:noProof/>
            <w:webHidden/>
          </w:rPr>
          <w:instrText xml:space="preserve"> PAGEREF _Toc129350868 \h </w:instrText>
        </w:r>
        <w:r>
          <w:rPr>
            <w:noProof/>
            <w:webHidden/>
          </w:rPr>
        </w:r>
        <w:r>
          <w:rPr>
            <w:noProof/>
            <w:webHidden/>
          </w:rPr>
          <w:fldChar w:fldCharType="separate"/>
        </w:r>
        <w:r>
          <w:rPr>
            <w:noProof/>
            <w:webHidden/>
          </w:rPr>
          <w:t>86</w:t>
        </w:r>
        <w:r>
          <w:rPr>
            <w:noProof/>
            <w:webHidden/>
          </w:rPr>
          <w:fldChar w:fldCharType="end"/>
        </w:r>
      </w:hyperlink>
    </w:p>
    <w:p w14:paraId="00CD9175" w14:textId="085BE4CC"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869" w:history="1">
        <w:r w:rsidRPr="006308E3">
          <w:rPr>
            <w:rStyle w:val="Hyperlink"/>
            <w:noProof/>
          </w:rPr>
          <w:t>B.2.7.1</w:t>
        </w:r>
        <w:r>
          <w:rPr>
            <w:rFonts w:asciiTheme="minorHAnsi" w:eastAsiaTheme="minorEastAsia" w:hAnsiTheme="minorHAnsi"/>
            <w:noProof/>
            <w:lang w:eastAsia="en-GB"/>
          </w:rPr>
          <w:tab/>
        </w:r>
        <w:r w:rsidRPr="006308E3">
          <w:rPr>
            <w:rStyle w:val="Hyperlink"/>
            <w:noProof/>
          </w:rPr>
          <w:t>PFS by BICR | Pre-specified analysis in key subgroups | FAS</w:t>
        </w:r>
        <w:r>
          <w:rPr>
            <w:noProof/>
            <w:webHidden/>
          </w:rPr>
          <w:tab/>
        </w:r>
        <w:r>
          <w:rPr>
            <w:noProof/>
            <w:webHidden/>
          </w:rPr>
          <w:fldChar w:fldCharType="begin"/>
        </w:r>
        <w:r>
          <w:rPr>
            <w:noProof/>
            <w:webHidden/>
          </w:rPr>
          <w:instrText xml:space="preserve"> PAGEREF _Toc129350869 \h </w:instrText>
        </w:r>
        <w:r>
          <w:rPr>
            <w:noProof/>
            <w:webHidden/>
          </w:rPr>
        </w:r>
        <w:r>
          <w:rPr>
            <w:noProof/>
            <w:webHidden/>
          </w:rPr>
          <w:fldChar w:fldCharType="separate"/>
        </w:r>
        <w:r>
          <w:rPr>
            <w:noProof/>
            <w:webHidden/>
          </w:rPr>
          <w:t>87</w:t>
        </w:r>
        <w:r>
          <w:rPr>
            <w:noProof/>
            <w:webHidden/>
          </w:rPr>
          <w:fldChar w:fldCharType="end"/>
        </w:r>
      </w:hyperlink>
    </w:p>
    <w:p w14:paraId="6951D7BE" w14:textId="6DCEFB44"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870" w:history="1">
        <w:r w:rsidRPr="006308E3">
          <w:rPr>
            <w:rStyle w:val="Hyperlink"/>
            <w:noProof/>
          </w:rPr>
          <w:t>B.2.7.2</w:t>
        </w:r>
        <w:r>
          <w:rPr>
            <w:rFonts w:asciiTheme="minorHAnsi" w:eastAsiaTheme="minorEastAsia" w:hAnsiTheme="minorHAnsi"/>
            <w:noProof/>
            <w:lang w:eastAsia="en-GB"/>
          </w:rPr>
          <w:tab/>
        </w:r>
        <w:r w:rsidRPr="006308E3">
          <w:rPr>
            <w:rStyle w:val="Hyperlink"/>
            <w:noProof/>
          </w:rPr>
          <w:t>Exploratory efficacy | Efficacy in the HR-negative cohort</w:t>
        </w:r>
        <w:r>
          <w:rPr>
            <w:noProof/>
            <w:webHidden/>
          </w:rPr>
          <w:tab/>
        </w:r>
        <w:r>
          <w:rPr>
            <w:noProof/>
            <w:webHidden/>
          </w:rPr>
          <w:fldChar w:fldCharType="begin"/>
        </w:r>
        <w:r>
          <w:rPr>
            <w:noProof/>
            <w:webHidden/>
          </w:rPr>
          <w:instrText xml:space="preserve"> PAGEREF _Toc129350870 \h </w:instrText>
        </w:r>
        <w:r>
          <w:rPr>
            <w:noProof/>
            <w:webHidden/>
          </w:rPr>
        </w:r>
        <w:r>
          <w:rPr>
            <w:noProof/>
            <w:webHidden/>
          </w:rPr>
          <w:fldChar w:fldCharType="separate"/>
        </w:r>
        <w:r>
          <w:rPr>
            <w:noProof/>
            <w:webHidden/>
          </w:rPr>
          <w:t>91</w:t>
        </w:r>
        <w:r>
          <w:rPr>
            <w:noProof/>
            <w:webHidden/>
          </w:rPr>
          <w:fldChar w:fldCharType="end"/>
        </w:r>
      </w:hyperlink>
    </w:p>
    <w:p w14:paraId="03CE949B" w14:textId="388BCD1B" w:rsidR="00145F42" w:rsidRDefault="00145F42">
      <w:pPr>
        <w:pStyle w:val="TOC2"/>
        <w:rPr>
          <w:rFonts w:asciiTheme="minorHAnsi" w:eastAsiaTheme="minorEastAsia" w:hAnsiTheme="minorHAnsi"/>
          <w:noProof/>
          <w:lang w:eastAsia="en-GB"/>
        </w:rPr>
      </w:pPr>
      <w:hyperlink w:anchor="_Toc129350871" w:history="1">
        <w:r w:rsidRPr="006308E3">
          <w:rPr>
            <w:rStyle w:val="Hyperlink"/>
            <w:noProof/>
          </w:rPr>
          <w:t>B.2.8</w:t>
        </w:r>
        <w:r>
          <w:rPr>
            <w:rFonts w:asciiTheme="minorHAnsi" w:eastAsiaTheme="minorEastAsia" w:hAnsiTheme="minorHAnsi"/>
            <w:noProof/>
            <w:lang w:eastAsia="en-GB"/>
          </w:rPr>
          <w:tab/>
        </w:r>
        <w:r w:rsidRPr="006308E3">
          <w:rPr>
            <w:rStyle w:val="Hyperlink"/>
            <w:noProof/>
          </w:rPr>
          <w:t>Meta-analysis</w:t>
        </w:r>
        <w:r>
          <w:rPr>
            <w:noProof/>
            <w:webHidden/>
          </w:rPr>
          <w:tab/>
        </w:r>
        <w:r>
          <w:rPr>
            <w:noProof/>
            <w:webHidden/>
          </w:rPr>
          <w:fldChar w:fldCharType="begin"/>
        </w:r>
        <w:r>
          <w:rPr>
            <w:noProof/>
            <w:webHidden/>
          </w:rPr>
          <w:instrText xml:space="preserve"> PAGEREF _Toc129350871 \h </w:instrText>
        </w:r>
        <w:r>
          <w:rPr>
            <w:noProof/>
            <w:webHidden/>
          </w:rPr>
        </w:r>
        <w:r>
          <w:rPr>
            <w:noProof/>
            <w:webHidden/>
          </w:rPr>
          <w:fldChar w:fldCharType="separate"/>
        </w:r>
        <w:r>
          <w:rPr>
            <w:noProof/>
            <w:webHidden/>
          </w:rPr>
          <w:t>91</w:t>
        </w:r>
        <w:r>
          <w:rPr>
            <w:noProof/>
            <w:webHidden/>
          </w:rPr>
          <w:fldChar w:fldCharType="end"/>
        </w:r>
      </w:hyperlink>
    </w:p>
    <w:p w14:paraId="2727B190" w14:textId="726D6D8C" w:rsidR="00145F42" w:rsidRDefault="00145F42">
      <w:pPr>
        <w:pStyle w:val="TOC2"/>
        <w:rPr>
          <w:rFonts w:asciiTheme="minorHAnsi" w:eastAsiaTheme="minorEastAsia" w:hAnsiTheme="minorHAnsi"/>
          <w:noProof/>
          <w:lang w:eastAsia="en-GB"/>
        </w:rPr>
      </w:pPr>
      <w:hyperlink w:anchor="_Toc129350872" w:history="1">
        <w:r w:rsidRPr="006308E3">
          <w:rPr>
            <w:rStyle w:val="Hyperlink"/>
            <w:noProof/>
          </w:rPr>
          <w:t>B.2.9</w:t>
        </w:r>
        <w:r>
          <w:rPr>
            <w:rFonts w:asciiTheme="minorHAnsi" w:eastAsiaTheme="minorEastAsia" w:hAnsiTheme="minorHAnsi"/>
            <w:noProof/>
            <w:lang w:eastAsia="en-GB"/>
          </w:rPr>
          <w:tab/>
        </w:r>
        <w:r w:rsidRPr="006308E3">
          <w:rPr>
            <w:rStyle w:val="Hyperlink"/>
            <w:noProof/>
          </w:rPr>
          <w:t>Indirect and mixed treatment comparisons</w:t>
        </w:r>
        <w:r>
          <w:rPr>
            <w:noProof/>
            <w:webHidden/>
          </w:rPr>
          <w:tab/>
        </w:r>
        <w:r>
          <w:rPr>
            <w:noProof/>
            <w:webHidden/>
          </w:rPr>
          <w:fldChar w:fldCharType="begin"/>
        </w:r>
        <w:r>
          <w:rPr>
            <w:noProof/>
            <w:webHidden/>
          </w:rPr>
          <w:instrText xml:space="preserve"> PAGEREF _Toc129350872 \h </w:instrText>
        </w:r>
        <w:r>
          <w:rPr>
            <w:noProof/>
            <w:webHidden/>
          </w:rPr>
        </w:r>
        <w:r>
          <w:rPr>
            <w:noProof/>
            <w:webHidden/>
          </w:rPr>
          <w:fldChar w:fldCharType="separate"/>
        </w:r>
        <w:r>
          <w:rPr>
            <w:noProof/>
            <w:webHidden/>
          </w:rPr>
          <w:t>91</w:t>
        </w:r>
        <w:r>
          <w:rPr>
            <w:noProof/>
            <w:webHidden/>
          </w:rPr>
          <w:fldChar w:fldCharType="end"/>
        </w:r>
      </w:hyperlink>
    </w:p>
    <w:p w14:paraId="38D39E15" w14:textId="49410045" w:rsidR="00145F42" w:rsidRDefault="00145F42">
      <w:pPr>
        <w:pStyle w:val="TOC2"/>
        <w:rPr>
          <w:rFonts w:asciiTheme="minorHAnsi" w:eastAsiaTheme="minorEastAsia" w:hAnsiTheme="minorHAnsi"/>
          <w:noProof/>
          <w:lang w:eastAsia="en-GB"/>
        </w:rPr>
      </w:pPr>
      <w:hyperlink w:anchor="_Toc129350873" w:history="1">
        <w:r w:rsidRPr="006308E3">
          <w:rPr>
            <w:rStyle w:val="Hyperlink"/>
            <w:noProof/>
          </w:rPr>
          <w:t>B.2.10</w:t>
        </w:r>
        <w:r>
          <w:rPr>
            <w:rFonts w:asciiTheme="minorHAnsi" w:eastAsiaTheme="minorEastAsia" w:hAnsiTheme="minorHAnsi"/>
            <w:noProof/>
            <w:lang w:eastAsia="en-GB"/>
          </w:rPr>
          <w:tab/>
        </w:r>
        <w:r w:rsidRPr="006308E3">
          <w:rPr>
            <w:rStyle w:val="Hyperlink"/>
            <w:noProof/>
          </w:rPr>
          <w:t>Adverse reactions</w:t>
        </w:r>
        <w:r>
          <w:rPr>
            <w:noProof/>
            <w:webHidden/>
          </w:rPr>
          <w:tab/>
        </w:r>
        <w:r>
          <w:rPr>
            <w:noProof/>
            <w:webHidden/>
          </w:rPr>
          <w:fldChar w:fldCharType="begin"/>
        </w:r>
        <w:r>
          <w:rPr>
            <w:noProof/>
            <w:webHidden/>
          </w:rPr>
          <w:instrText xml:space="preserve"> PAGEREF _Toc129350873 \h </w:instrText>
        </w:r>
        <w:r>
          <w:rPr>
            <w:noProof/>
            <w:webHidden/>
          </w:rPr>
        </w:r>
        <w:r>
          <w:rPr>
            <w:noProof/>
            <w:webHidden/>
          </w:rPr>
          <w:fldChar w:fldCharType="separate"/>
        </w:r>
        <w:r>
          <w:rPr>
            <w:noProof/>
            <w:webHidden/>
          </w:rPr>
          <w:t>93</w:t>
        </w:r>
        <w:r>
          <w:rPr>
            <w:noProof/>
            <w:webHidden/>
          </w:rPr>
          <w:fldChar w:fldCharType="end"/>
        </w:r>
      </w:hyperlink>
    </w:p>
    <w:p w14:paraId="29644B05" w14:textId="3C689378"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874" w:history="1">
        <w:r w:rsidRPr="006308E3">
          <w:rPr>
            <w:rStyle w:val="Hyperlink"/>
            <w:noProof/>
          </w:rPr>
          <w:t>B.2.10.1</w:t>
        </w:r>
        <w:r>
          <w:rPr>
            <w:rFonts w:asciiTheme="minorHAnsi" w:eastAsiaTheme="minorEastAsia" w:hAnsiTheme="minorHAnsi"/>
            <w:noProof/>
            <w:lang w:eastAsia="en-GB"/>
          </w:rPr>
          <w:tab/>
        </w:r>
        <w:r w:rsidRPr="006308E3">
          <w:rPr>
            <w:rStyle w:val="Hyperlink"/>
            <w:noProof/>
          </w:rPr>
          <w:t>DESTINY-Breast04</w:t>
        </w:r>
        <w:r>
          <w:rPr>
            <w:noProof/>
            <w:webHidden/>
          </w:rPr>
          <w:tab/>
        </w:r>
        <w:r>
          <w:rPr>
            <w:noProof/>
            <w:webHidden/>
          </w:rPr>
          <w:fldChar w:fldCharType="begin"/>
        </w:r>
        <w:r>
          <w:rPr>
            <w:noProof/>
            <w:webHidden/>
          </w:rPr>
          <w:instrText xml:space="preserve"> PAGEREF _Toc129350874 \h </w:instrText>
        </w:r>
        <w:r>
          <w:rPr>
            <w:noProof/>
            <w:webHidden/>
          </w:rPr>
        </w:r>
        <w:r>
          <w:rPr>
            <w:noProof/>
            <w:webHidden/>
          </w:rPr>
          <w:fldChar w:fldCharType="separate"/>
        </w:r>
        <w:r>
          <w:rPr>
            <w:noProof/>
            <w:webHidden/>
          </w:rPr>
          <w:t>93</w:t>
        </w:r>
        <w:r>
          <w:rPr>
            <w:noProof/>
            <w:webHidden/>
          </w:rPr>
          <w:fldChar w:fldCharType="end"/>
        </w:r>
      </w:hyperlink>
    </w:p>
    <w:p w14:paraId="079ECBEC" w14:textId="752E9028"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875" w:history="1">
        <w:r w:rsidRPr="006308E3">
          <w:rPr>
            <w:rStyle w:val="Hyperlink"/>
            <w:noProof/>
          </w:rPr>
          <w:t>B.2.10.2</w:t>
        </w:r>
        <w:r>
          <w:rPr>
            <w:rFonts w:asciiTheme="minorHAnsi" w:eastAsiaTheme="minorEastAsia" w:hAnsiTheme="minorHAnsi"/>
            <w:noProof/>
            <w:lang w:eastAsia="en-GB"/>
          </w:rPr>
          <w:tab/>
        </w:r>
        <w:r w:rsidRPr="006308E3">
          <w:rPr>
            <w:rStyle w:val="Hyperlink"/>
            <w:noProof/>
          </w:rPr>
          <w:t>Safety conclusions</w:t>
        </w:r>
        <w:r>
          <w:rPr>
            <w:noProof/>
            <w:webHidden/>
          </w:rPr>
          <w:tab/>
        </w:r>
        <w:r>
          <w:rPr>
            <w:noProof/>
            <w:webHidden/>
          </w:rPr>
          <w:fldChar w:fldCharType="begin"/>
        </w:r>
        <w:r>
          <w:rPr>
            <w:noProof/>
            <w:webHidden/>
          </w:rPr>
          <w:instrText xml:space="preserve"> PAGEREF _Toc129350875 \h </w:instrText>
        </w:r>
        <w:r>
          <w:rPr>
            <w:noProof/>
            <w:webHidden/>
          </w:rPr>
        </w:r>
        <w:r>
          <w:rPr>
            <w:noProof/>
            <w:webHidden/>
          </w:rPr>
          <w:fldChar w:fldCharType="separate"/>
        </w:r>
        <w:r>
          <w:rPr>
            <w:noProof/>
            <w:webHidden/>
          </w:rPr>
          <w:t>101</w:t>
        </w:r>
        <w:r>
          <w:rPr>
            <w:noProof/>
            <w:webHidden/>
          </w:rPr>
          <w:fldChar w:fldCharType="end"/>
        </w:r>
      </w:hyperlink>
    </w:p>
    <w:p w14:paraId="7201CCB0" w14:textId="1CD88F03" w:rsidR="00145F42" w:rsidRDefault="00145F42">
      <w:pPr>
        <w:pStyle w:val="TOC2"/>
        <w:rPr>
          <w:rFonts w:asciiTheme="minorHAnsi" w:eastAsiaTheme="minorEastAsia" w:hAnsiTheme="minorHAnsi"/>
          <w:noProof/>
          <w:lang w:eastAsia="en-GB"/>
        </w:rPr>
      </w:pPr>
      <w:hyperlink w:anchor="_Toc129350876" w:history="1">
        <w:r w:rsidRPr="006308E3">
          <w:rPr>
            <w:rStyle w:val="Hyperlink"/>
            <w:noProof/>
          </w:rPr>
          <w:t>B.2.11</w:t>
        </w:r>
        <w:r>
          <w:rPr>
            <w:rFonts w:asciiTheme="minorHAnsi" w:eastAsiaTheme="minorEastAsia" w:hAnsiTheme="minorHAnsi"/>
            <w:noProof/>
            <w:lang w:eastAsia="en-GB"/>
          </w:rPr>
          <w:tab/>
        </w:r>
        <w:r w:rsidRPr="006308E3">
          <w:rPr>
            <w:rStyle w:val="Hyperlink"/>
            <w:noProof/>
          </w:rPr>
          <w:t>Ongoing studies</w:t>
        </w:r>
        <w:r>
          <w:rPr>
            <w:noProof/>
            <w:webHidden/>
          </w:rPr>
          <w:tab/>
        </w:r>
        <w:r>
          <w:rPr>
            <w:noProof/>
            <w:webHidden/>
          </w:rPr>
          <w:fldChar w:fldCharType="begin"/>
        </w:r>
        <w:r>
          <w:rPr>
            <w:noProof/>
            <w:webHidden/>
          </w:rPr>
          <w:instrText xml:space="preserve"> PAGEREF _Toc129350876 \h </w:instrText>
        </w:r>
        <w:r>
          <w:rPr>
            <w:noProof/>
            <w:webHidden/>
          </w:rPr>
        </w:r>
        <w:r>
          <w:rPr>
            <w:noProof/>
            <w:webHidden/>
          </w:rPr>
          <w:fldChar w:fldCharType="separate"/>
        </w:r>
        <w:r>
          <w:rPr>
            <w:noProof/>
            <w:webHidden/>
          </w:rPr>
          <w:t>102</w:t>
        </w:r>
        <w:r>
          <w:rPr>
            <w:noProof/>
            <w:webHidden/>
          </w:rPr>
          <w:fldChar w:fldCharType="end"/>
        </w:r>
      </w:hyperlink>
    </w:p>
    <w:p w14:paraId="4A165F5E" w14:textId="2B932EFC" w:rsidR="00145F42" w:rsidRDefault="00145F42">
      <w:pPr>
        <w:pStyle w:val="TOC2"/>
        <w:rPr>
          <w:rFonts w:asciiTheme="minorHAnsi" w:eastAsiaTheme="minorEastAsia" w:hAnsiTheme="minorHAnsi"/>
          <w:noProof/>
          <w:lang w:eastAsia="en-GB"/>
        </w:rPr>
      </w:pPr>
      <w:hyperlink w:anchor="_Toc129350877" w:history="1">
        <w:r w:rsidRPr="006308E3">
          <w:rPr>
            <w:rStyle w:val="Hyperlink"/>
            <w:noProof/>
          </w:rPr>
          <w:t>B.2.12</w:t>
        </w:r>
        <w:r>
          <w:rPr>
            <w:rFonts w:asciiTheme="minorHAnsi" w:eastAsiaTheme="minorEastAsia" w:hAnsiTheme="minorHAnsi"/>
            <w:noProof/>
            <w:lang w:eastAsia="en-GB"/>
          </w:rPr>
          <w:tab/>
        </w:r>
        <w:r w:rsidRPr="006308E3">
          <w:rPr>
            <w:rStyle w:val="Hyperlink"/>
            <w:noProof/>
          </w:rPr>
          <w:t>Interpretation of clinical effectiveness and safety evidence</w:t>
        </w:r>
        <w:r>
          <w:rPr>
            <w:noProof/>
            <w:webHidden/>
          </w:rPr>
          <w:tab/>
        </w:r>
        <w:r>
          <w:rPr>
            <w:noProof/>
            <w:webHidden/>
          </w:rPr>
          <w:fldChar w:fldCharType="begin"/>
        </w:r>
        <w:r>
          <w:rPr>
            <w:noProof/>
            <w:webHidden/>
          </w:rPr>
          <w:instrText xml:space="preserve"> PAGEREF _Toc129350877 \h </w:instrText>
        </w:r>
        <w:r>
          <w:rPr>
            <w:noProof/>
            <w:webHidden/>
          </w:rPr>
        </w:r>
        <w:r>
          <w:rPr>
            <w:noProof/>
            <w:webHidden/>
          </w:rPr>
          <w:fldChar w:fldCharType="separate"/>
        </w:r>
        <w:r>
          <w:rPr>
            <w:noProof/>
            <w:webHidden/>
          </w:rPr>
          <w:t>102</w:t>
        </w:r>
        <w:r>
          <w:rPr>
            <w:noProof/>
            <w:webHidden/>
          </w:rPr>
          <w:fldChar w:fldCharType="end"/>
        </w:r>
      </w:hyperlink>
    </w:p>
    <w:p w14:paraId="5755747C" w14:textId="156632CC"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878" w:history="1">
        <w:r w:rsidRPr="006308E3">
          <w:rPr>
            <w:rStyle w:val="Hyperlink"/>
            <w:noProof/>
          </w:rPr>
          <w:t>B.2.12.1</w:t>
        </w:r>
        <w:r>
          <w:rPr>
            <w:rFonts w:asciiTheme="minorHAnsi" w:eastAsiaTheme="minorEastAsia" w:hAnsiTheme="minorHAnsi"/>
            <w:noProof/>
            <w:lang w:eastAsia="en-GB"/>
          </w:rPr>
          <w:tab/>
        </w:r>
        <w:r w:rsidRPr="006308E3">
          <w:rPr>
            <w:rStyle w:val="Hyperlink"/>
            <w:noProof/>
          </w:rPr>
          <w:t>Principal findings from the clinical evidence</w:t>
        </w:r>
        <w:r>
          <w:rPr>
            <w:noProof/>
            <w:webHidden/>
          </w:rPr>
          <w:tab/>
        </w:r>
        <w:r>
          <w:rPr>
            <w:noProof/>
            <w:webHidden/>
          </w:rPr>
          <w:fldChar w:fldCharType="begin"/>
        </w:r>
        <w:r>
          <w:rPr>
            <w:noProof/>
            <w:webHidden/>
          </w:rPr>
          <w:instrText xml:space="preserve"> PAGEREF _Toc129350878 \h </w:instrText>
        </w:r>
        <w:r>
          <w:rPr>
            <w:noProof/>
            <w:webHidden/>
          </w:rPr>
        </w:r>
        <w:r>
          <w:rPr>
            <w:noProof/>
            <w:webHidden/>
          </w:rPr>
          <w:fldChar w:fldCharType="separate"/>
        </w:r>
        <w:r>
          <w:rPr>
            <w:noProof/>
            <w:webHidden/>
          </w:rPr>
          <w:t>102</w:t>
        </w:r>
        <w:r>
          <w:rPr>
            <w:noProof/>
            <w:webHidden/>
          </w:rPr>
          <w:fldChar w:fldCharType="end"/>
        </w:r>
      </w:hyperlink>
    </w:p>
    <w:p w14:paraId="0462A300" w14:textId="739D599F"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879" w:history="1">
        <w:r w:rsidRPr="006308E3">
          <w:rPr>
            <w:rStyle w:val="Hyperlink"/>
            <w:noProof/>
          </w:rPr>
          <w:t>B.2.12.2</w:t>
        </w:r>
        <w:r>
          <w:rPr>
            <w:rFonts w:asciiTheme="minorHAnsi" w:eastAsiaTheme="minorEastAsia" w:hAnsiTheme="minorHAnsi"/>
            <w:noProof/>
            <w:lang w:eastAsia="en-GB"/>
          </w:rPr>
          <w:tab/>
        </w:r>
        <w:r w:rsidRPr="006308E3">
          <w:rPr>
            <w:rStyle w:val="Hyperlink"/>
            <w:noProof/>
          </w:rPr>
          <w:t>Strengths and limitations of the clinical evidence base for T-DXd</w:t>
        </w:r>
        <w:r>
          <w:rPr>
            <w:noProof/>
            <w:webHidden/>
          </w:rPr>
          <w:tab/>
        </w:r>
        <w:r>
          <w:rPr>
            <w:noProof/>
            <w:webHidden/>
          </w:rPr>
          <w:fldChar w:fldCharType="begin"/>
        </w:r>
        <w:r>
          <w:rPr>
            <w:noProof/>
            <w:webHidden/>
          </w:rPr>
          <w:instrText xml:space="preserve"> PAGEREF _Toc129350879 \h </w:instrText>
        </w:r>
        <w:r>
          <w:rPr>
            <w:noProof/>
            <w:webHidden/>
          </w:rPr>
        </w:r>
        <w:r>
          <w:rPr>
            <w:noProof/>
            <w:webHidden/>
          </w:rPr>
          <w:fldChar w:fldCharType="separate"/>
        </w:r>
        <w:r>
          <w:rPr>
            <w:noProof/>
            <w:webHidden/>
          </w:rPr>
          <w:t>108</w:t>
        </w:r>
        <w:r>
          <w:rPr>
            <w:noProof/>
            <w:webHidden/>
          </w:rPr>
          <w:fldChar w:fldCharType="end"/>
        </w:r>
      </w:hyperlink>
    </w:p>
    <w:p w14:paraId="5713E455" w14:textId="046FE872"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880" w:history="1">
        <w:r w:rsidRPr="006308E3">
          <w:rPr>
            <w:rStyle w:val="Hyperlink"/>
            <w:noProof/>
          </w:rPr>
          <w:t>B.2.12.3</w:t>
        </w:r>
        <w:r>
          <w:rPr>
            <w:rFonts w:asciiTheme="minorHAnsi" w:eastAsiaTheme="minorEastAsia" w:hAnsiTheme="minorHAnsi"/>
            <w:noProof/>
            <w:lang w:eastAsia="en-GB"/>
          </w:rPr>
          <w:tab/>
        </w:r>
        <w:r w:rsidRPr="006308E3">
          <w:rPr>
            <w:rStyle w:val="Hyperlink"/>
            <w:noProof/>
          </w:rPr>
          <w:t>Summary</w:t>
        </w:r>
        <w:r>
          <w:rPr>
            <w:noProof/>
            <w:webHidden/>
          </w:rPr>
          <w:tab/>
        </w:r>
        <w:r>
          <w:rPr>
            <w:noProof/>
            <w:webHidden/>
          </w:rPr>
          <w:fldChar w:fldCharType="begin"/>
        </w:r>
        <w:r>
          <w:rPr>
            <w:noProof/>
            <w:webHidden/>
          </w:rPr>
          <w:instrText xml:space="preserve"> PAGEREF _Toc129350880 \h </w:instrText>
        </w:r>
        <w:r>
          <w:rPr>
            <w:noProof/>
            <w:webHidden/>
          </w:rPr>
        </w:r>
        <w:r>
          <w:rPr>
            <w:noProof/>
            <w:webHidden/>
          </w:rPr>
          <w:fldChar w:fldCharType="separate"/>
        </w:r>
        <w:r>
          <w:rPr>
            <w:noProof/>
            <w:webHidden/>
          </w:rPr>
          <w:t>110</w:t>
        </w:r>
        <w:r>
          <w:rPr>
            <w:noProof/>
            <w:webHidden/>
          </w:rPr>
          <w:fldChar w:fldCharType="end"/>
        </w:r>
      </w:hyperlink>
    </w:p>
    <w:p w14:paraId="312B6699" w14:textId="21659020" w:rsidR="00145F42" w:rsidRDefault="00145F42">
      <w:pPr>
        <w:pStyle w:val="TOC1"/>
        <w:rPr>
          <w:rFonts w:asciiTheme="minorHAnsi" w:eastAsiaTheme="minorEastAsia" w:hAnsiTheme="minorHAnsi"/>
          <w:noProof/>
          <w:lang w:eastAsia="en-GB"/>
        </w:rPr>
      </w:pPr>
      <w:hyperlink w:anchor="_Toc129350881" w:history="1">
        <w:r w:rsidRPr="006308E3">
          <w:rPr>
            <w:rStyle w:val="Hyperlink"/>
            <w:noProof/>
          </w:rPr>
          <w:t>B.3</w:t>
        </w:r>
        <w:r>
          <w:rPr>
            <w:rFonts w:asciiTheme="minorHAnsi" w:eastAsiaTheme="minorEastAsia" w:hAnsiTheme="minorHAnsi"/>
            <w:noProof/>
            <w:lang w:eastAsia="en-GB"/>
          </w:rPr>
          <w:tab/>
        </w:r>
        <w:r w:rsidRPr="006308E3">
          <w:rPr>
            <w:rStyle w:val="Hyperlink"/>
            <w:noProof/>
          </w:rPr>
          <w:t>Cost-effectiveness</w:t>
        </w:r>
        <w:r>
          <w:rPr>
            <w:noProof/>
            <w:webHidden/>
          </w:rPr>
          <w:tab/>
        </w:r>
        <w:r>
          <w:rPr>
            <w:noProof/>
            <w:webHidden/>
          </w:rPr>
          <w:fldChar w:fldCharType="begin"/>
        </w:r>
        <w:r>
          <w:rPr>
            <w:noProof/>
            <w:webHidden/>
          </w:rPr>
          <w:instrText xml:space="preserve"> PAGEREF _Toc129350881 \h </w:instrText>
        </w:r>
        <w:r>
          <w:rPr>
            <w:noProof/>
            <w:webHidden/>
          </w:rPr>
        </w:r>
        <w:r>
          <w:rPr>
            <w:noProof/>
            <w:webHidden/>
          </w:rPr>
          <w:fldChar w:fldCharType="separate"/>
        </w:r>
        <w:r>
          <w:rPr>
            <w:noProof/>
            <w:webHidden/>
          </w:rPr>
          <w:t>112</w:t>
        </w:r>
        <w:r>
          <w:rPr>
            <w:noProof/>
            <w:webHidden/>
          </w:rPr>
          <w:fldChar w:fldCharType="end"/>
        </w:r>
      </w:hyperlink>
    </w:p>
    <w:p w14:paraId="690BCDA0" w14:textId="0B17226B" w:rsidR="00145F42" w:rsidRDefault="00145F42">
      <w:pPr>
        <w:pStyle w:val="TOC2"/>
        <w:rPr>
          <w:rFonts w:asciiTheme="minorHAnsi" w:eastAsiaTheme="minorEastAsia" w:hAnsiTheme="minorHAnsi"/>
          <w:noProof/>
          <w:lang w:eastAsia="en-GB"/>
        </w:rPr>
      </w:pPr>
      <w:hyperlink w:anchor="_Toc129350882" w:history="1">
        <w:r w:rsidRPr="006308E3">
          <w:rPr>
            <w:rStyle w:val="Hyperlink"/>
            <w:noProof/>
          </w:rPr>
          <w:t>B.3.1</w:t>
        </w:r>
        <w:r>
          <w:rPr>
            <w:rFonts w:asciiTheme="minorHAnsi" w:eastAsiaTheme="minorEastAsia" w:hAnsiTheme="minorHAnsi"/>
            <w:noProof/>
            <w:lang w:eastAsia="en-GB"/>
          </w:rPr>
          <w:tab/>
        </w:r>
        <w:r w:rsidRPr="006308E3">
          <w:rPr>
            <w:rStyle w:val="Hyperlink"/>
            <w:noProof/>
          </w:rPr>
          <w:t>Published cost-effectiveness studies</w:t>
        </w:r>
        <w:r>
          <w:rPr>
            <w:noProof/>
            <w:webHidden/>
          </w:rPr>
          <w:tab/>
        </w:r>
        <w:r>
          <w:rPr>
            <w:noProof/>
            <w:webHidden/>
          </w:rPr>
          <w:fldChar w:fldCharType="begin"/>
        </w:r>
        <w:r>
          <w:rPr>
            <w:noProof/>
            <w:webHidden/>
          </w:rPr>
          <w:instrText xml:space="preserve"> PAGEREF _Toc129350882 \h </w:instrText>
        </w:r>
        <w:r>
          <w:rPr>
            <w:noProof/>
            <w:webHidden/>
          </w:rPr>
        </w:r>
        <w:r>
          <w:rPr>
            <w:noProof/>
            <w:webHidden/>
          </w:rPr>
          <w:fldChar w:fldCharType="separate"/>
        </w:r>
        <w:r>
          <w:rPr>
            <w:noProof/>
            <w:webHidden/>
          </w:rPr>
          <w:t>112</w:t>
        </w:r>
        <w:r>
          <w:rPr>
            <w:noProof/>
            <w:webHidden/>
          </w:rPr>
          <w:fldChar w:fldCharType="end"/>
        </w:r>
      </w:hyperlink>
    </w:p>
    <w:p w14:paraId="04DC6F5C" w14:textId="383F9957" w:rsidR="00145F42" w:rsidRDefault="00145F42">
      <w:pPr>
        <w:pStyle w:val="TOC2"/>
        <w:rPr>
          <w:rFonts w:asciiTheme="minorHAnsi" w:eastAsiaTheme="minorEastAsia" w:hAnsiTheme="minorHAnsi"/>
          <w:noProof/>
          <w:lang w:eastAsia="en-GB"/>
        </w:rPr>
      </w:pPr>
      <w:hyperlink w:anchor="_Toc129350883" w:history="1">
        <w:r w:rsidRPr="006308E3">
          <w:rPr>
            <w:rStyle w:val="Hyperlink"/>
            <w:noProof/>
          </w:rPr>
          <w:t>B.3.2</w:t>
        </w:r>
        <w:r>
          <w:rPr>
            <w:rFonts w:asciiTheme="minorHAnsi" w:eastAsiaTheme="minorEastAsia" w:hAnsiTheme="minorHAnsi"/>
            <w:noProof/>
            <w:lang w:eastAsia="en-GB"/>
          </w:rPr>
          <w:tab/>
        </w:r>
        <w:r w:rsidRPr="006308E3">
          <w:rPr>
            <w:rStyle w:val="Hyperlink"/>
            <w:noProof/>
          </w:rPr>
          <w:t>Economic analysis</w:t>
        </w:r>
        <w:r>
          <w:rPr>
            <w:noProof/>
            <w:webHidden/>
          </w:rPr>
          <w:tab/>
        </w:r>
        <w:r>
          <w:rPr>
            <w:noProof/>
            <w:webHidden/>
          </w:rPr>
          <w:fldChar w:fldCharType="begin"/>
        </w:r>
        <w:r>
          <w:rPr>
            <w:noProof/>
            <w:webHidden/>
          </w:rPr>
          <w:instrText xml:space="preserve"> PAGEREF _Toc129350883 \h </w:instrText>
        </w:r>
        <w:r>
          <w:rPr>
            <w:noProof/>
            <w:webHidden/>
          </w:rPr>
        </w:r>
        <w:r>
          <w:rPr>
            <w:noProof/>
            <w:webHidden/>
          </w:rPr>
          <w:fldChar w:fldCharType="separate"/>
        </w:r>
        <w:r>
          <w:rPr>
            <w:noProof/>
            <w:webHidden/>
          </w:rPr>
          <w:t>115</w:t>
        </w:r>
        <w:r>
          <w:rPr>
            <w:noProof/>
            <w:webHidden/>
          </w:rPr>
          <w:fldChar w:fldCharType="end"/>
        </w:r>
      </w:hyperlink>
    </w:p>
    <w:p w14:paraId="17A8D60B" w14:textId="338B9538"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884" w:history="1">
        <w:r w:rsidRPr="006308E3">
          <w:rPr>
            <w:rStyle w:val="Hyperlink"/>
            <w:noProof/>
          </w:rPr>
          <w:t>B.3.2.1</w:t>
        </w:r>
        <w:r>
          <w:rPr>
            <w:rFonts w:asciiTheme="minorHAnsi" w:eastAsiaTheme="minorEastAsia" w:hAnsiTheme="minorHAnsi"/>
            <w:noProof/>
            <w:lang w:eastAsia="en-GB"/>
          </w:rPr>
          <w:tab/>
        </w:r>
        <w:r w:rsidRPr="006308E3">
          <w:rPr>
            <w:rStyle w:val="Hyperlink"/>
            <w:noProof/>
          </w:rPr>
          <w:t>Patient population</w:t>
        </w:r>
        <w:r>
          <w:rPr>
            <w:noProof/>
            <w:webHidden/>
          </w:rPr>
          <w:tab/>
        </w:r>
        <w:r>
          <w:rPr>
            <w:noProof/>
            <w:webHidden/>
          </w:rPr>
          <w:fldChar w:fldCharType="begin"/>
        </w:r>
        <w:r>
          <w:rPr>
            <w:noProof/>
            <w:webHidden/>
          </w:rPr>
          <w:instrText xml:space="preserve"> PAGEREF _Toc129350884 \h </w:instrText>
        </w:r>
        <w:r>
          <w:rPr>
            <w:noProof/>
            <w:webHidden/>
          </w:rPr>
        </w:r>
        <w:r>
          <w:rPr>
            <w:noProof/>
            <w:webHidden/>
          </w:rPr>
          <w:fldChar w:fldCharType="separate"/>
        </w:r>
        <w:r>
          <w:rPr>
            <w:noProof/>
            <w:webHidden/>
          </w:rPr>
          <w:t>115</w:t>
        </w:r>
        <w:r>
          <w:rPr>
            <w:noProof/>
            <w:webHidden/>
          </w:rPr>
          <w:fldChar w:fldCharType="end"/>
        </w:r>
      </w:hyperlink>
    </w:p>
    <w:p w14:paraId="4328319F" w14:textId="1AD8EEF4"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885" w:history="1">
        <w:r w:rsidRPr="006308E3">
          <w:rPr>
            <w:rStyle w:val="Hyperlink"/>
            <w:noProof/>
          </w:rPr>
          <w:t>B.3.2.2</w:t>
        </w:r>
        <w:r>
          <w:rPr>
            <w:rFonts w:asciiTheme="minorHAnsi" w:eastAsiaTheme="minorEastAsia" w:hAnsiTheme="minorHAnsi"/>
            <w:noProof/>
            <w:lang w:eastAsia="en-GB"/>
          </w:rPr>
          <w:tab/>
        </w:r>
        <w:r w:rsidRPr="006308E3">
          <w:rPr>
            <w:rStyle w:val="Hyperlink"/>
            <w:noProof/>
          </w:rPr>
          <w:t>Model structure</w:t>
        </w:r>
        <w:r>
          <w:rPr>
            <w:noProof/>
            <w:webHidden/>
          </w:rPr>
          <w:tab/>
        </w:r>
        <w:r>
          <w:rPr>
            <w:noProof/>
            <w:webHidden/>
          </w:rPr>
          <w:fldChar w:fldCharType="begin"/>
        </w:r>
        <w:r>
          <w:rPr>
            <w:noProof/>
            <w:webHidden/>
          </w:rPr>
          <w:instrText xml:space="preserve"> PAGEREF _Toc129350885 \h </w:instrText>
        </w:r>
        <w:r>
          <w:rPr>
            <w:noProof/>
            <w:webHidden/>
          </w:rPr>
        </w:r>
        <w:r>
          <w:rPr>
            <w:noProof/>
            <w:webHidden/>
          </w:rPr>
          <w:fldChar w:fldCharType="separate"/>
        </w:r>
        <w:r>
          <w:rPr>
            <w:noProof/>
            <w:webHidden/>
          </w:rPr>
          <w:t>115</w:t>
        </w:r>
        <w:r>
          <w:rPr>
            <w:noProof/>
            <w:webHidden/>
          </w:rPr>
          <w:fldChar w:fldCharType="end"/>
        </w:r>
      </w:hyperlink>
    </w:p>
    <w:p w14:paraId="7804817E" w14:textId="16E07742"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886" w:history="1">
        <w:r w:rsidRPr="006308E3">
          <w:rPr>
            <w:rStyle w:val="Hyperlink"/>
            <w:noProof/>
          </w:rPr>
          <w:t>B.3.2.3</w:t>
        </w:r>
        <w:r>
          <w:rPr>
            <w:rFonts w:asciiTheme="minorHAnsi" w:eastAsiaTheme="minorEastAsia" w:hAnsiTheme="minorHAnsi"/>
            <w:noProof/>
            <w:lang w:eastAsia="en-GB"/>
          </w:rPr>
          <w:tab/>
        </w:r>
        <w:r w:rsidRPr="006308E3">
          <w:rPr>
            <w:rStyle w:val="Hyperlink"/>
            <w:noProof/>
          </w:rPr>
          <w:t>Intervention technology and comparators</w:t>
        </w:r>
        <w:r>
          <w:rPr>
            <w:noProof/>
            <w:webHidden/>
          </w:rPr>
          <w:tab/>
        </w:r>
        <w:r>
          <w:rPr>
            <w:noProof/>
            <w:webHidden/>
          </w:rPr>
          <w:fldChar w:fldCharType="begin"/>
        </w:r>
        <w:r>
          <w:rPr>
            <w:noProof/>
            <w:webHidden/>
          </w:rPr>
          <w:instrText xml:space="preserve"> PAGEREF _Toc129350886 \h </w:instrText>
        </w:r>
        <w:r>
          <w:rPr>
            <w:noProof/>
            <w:webHidden/>
          </w:rPr>
        </w:r>
        <w:r>
          <w:rPr>
            <w:noProof/>
            <w:webHidden/>
          </w:rPr>
          <w:fldChar w:fldCharType="separate"/>
        </w:r>
        <w:r>
          <w:rPr>
            <w:noProof/>
            <w:webHidden/>
          </w:rPr>
          <w:t>120</w:t>
        </w:r>
        <w:r>
          <w:rPr>
            <w:noProof/>
            <w:webHidden/>
          </w:rPr>
          <w:fldChar w:fldCharType="end"/>
        </w:r>
      </w:hyperlink>
    </w:p>
    <w:p w14:paraId="5FE8ABB8" w14:textId="50C226F8" w:rsidR="00145F42" w:rsidRDefault="00145F42">
      <w:pPr>
        <w:pStyle w:val="TOC2"/>
        <w:rPr>
          <w:rFonts w:asciiTheme="minorHAnsi" w:eastAsiaTheme="minorEastAsia" w:hAnsiTheme="minorHAnsi"/>
          <w:noProof/>
          <w:lang w:eastAsia="en-GB"/>
        </w:rPr>
      </w:pPr>
      <w:hyperlink w:anchor="_Toc129350887" w:history="1">
        <w:r w:rsidRPr="006308E3">
          <w:rPr>
            <w:rStyle w:val="Hyperlink"/>
            <w:noProof/>
          </w:rPr>
          <w:t>B.3.3</w:t>
        </w:r>
        <w:r>
          <w:rPr>
            <w:rFonts w:asciiTheme="minorHAnsi" w:eastAsiaTheme="minorEastAsia" w:hAnsiTheme="minorHAnsi"/>
            <w:noProof/>
            <w:lang w:eastAsia="en-GB"/>
          </w:rPr>
          <w:tab/>
        </w:r>
        <w:r w:rsidRPr="006308E3">
          <w:rPr>
            <w:rStyle w:val="Hyperlink"/>
            <w:noProof/>
          </w:rPr>
          <w:t>Clinical parameters and variables</w:t>
        </w:r>
        <w:r>
          <w:rPr>
            <w:noProof/>
            <w:webHidden/>
          </w:rPr>
          <w:tab/>
        </w:r>
        <w:r>
          <w:rPr>
            <w:noProof/>
            <w:webHidden/>
          </w:rPr>
          <w:fldChar w:fldCharType="begin"/>
        </w:r>
        <w:r>
          <w:rPr>
            <w:noProof/>
            <w:webHidden/>
          </w:rPr>
          <w:instrText xml:space="preserve"> PAGEREF _Toc129350887 \h </w:instrText>
        </w:r>
        <w:r>
          <w:rPr>
            <w:noProof/>
            <w:webHidden/>
          </w:rPr>
        </w:r>
        <w:r>
          <w:rPr>
            <w:noProof/>
            <w:webHidden/>
          </w:rPr>
          <w:fldChar w:fldCharType="separate"/>
        </w:r>
        <w:r>
          <w:rPr>
            <w:noProof/>
            <w:webHidden/>
          </w:rPr>
          <w:t>120</w:t>
        </w:r>
        <w:r>
          <w:rPr>
            <w:noProof/>
            <w:webHidden/>
          </w:rPr>
          <w:fldChar w:fldCharType="end"/>
        </w:r>
      </w:hyperlink>
    </w:p>
    <w:p w14:paraId="7C108FE0" w14:textId="688B548D"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888" w:history="1">
        <w:r w:rsidRPr="006308E3">
          <w:rPr>
            <w:rStyle w:val="Hyperlink"/>
            <w:noProof/>
          </w:rPr>
          <w:t>B.3.3.1</w:t>
        </w:r>
        <w:r>
          <w:rPr>
            <w:rFonts w:asciiTheme="minorHAnsi" w:eastAsiaTheme="minorEastAsia" w:hAnsiTheme="minorHAnsi"/>
            <w:noProof/>
            <w:lang w:eastAsia="en-GB"/>
          </w:rPr>
          <w:tab/>
        </w:r>
        <w:r w:rsidRPr="006308E3">
          <w:rPr>
            <w:rStyle w:val="Hyperlink"/>
            <w:noProof/>
          </w:rPr>
          <w:t>Baseline patient characteristics</w:t>
        </w:r>
        <w:r>
          <w:rPr>
            <w:noProof/>
            <w:webHidden/>
          </w:rPr>
          <w:tab/>
        </w:r>
        <w:r>
          <w:rPr>
            <w:noProof/>
            <w:webHidden/>
          </w:rPr>
          <w:fldChar w:fldCharType="begin"/>
        </w:r>
        <w:r>
          <w:rPr>
            <w:noProof/>
            <w:webHidden/>
          </w:rPr>
          <w:instrText xml:space="preserve"> PAGEREF _Toc129350888 \h </w:instrText>
        </w:r>
        <w:r>
          <w:rPr>
            <w:noProof/>
            <w:webHidden/>
          </w:rPr>
        </w:r>
        <w:r>
          <w:rPr>
            <w:noProof/>
            <w:webHidden/>
          </w:rPr>
          <w:fldChar w:fldCharType="separate"/>
        </w:r>
        <w:r>
          <w:rPr>
            <w:noProof/>
            <w:webHidden/>
          </w:rPr>
          <w:t>121</w:t>
        </w:r>
        <w:r>
          <w:rPr>
            <w:noProof/>
            <w:webHidden/>
          </w:rPr>
          <w:fldChar w:fldCharType="end"/>
        </w:r>
      </w:hyperlink>
    </w:p>
    <w:p w14:paraId="226C8302" w14:textId="66EF3C05"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889" w:history="1">
        <w:r w:rsidRPr="006308E3">
          <w:rPr>
            <w:rStyle w:val="Hyperlink"/>
            <w:noProof/>
          </w:rPr>
          <w:t>B.3.3.2</w:t>
        </w:r>
        <w:r>
          <w:rPr>
            <w:rFonts w:asciiTheme="minorHAnsi" w:eastAsiaTheme="minorEastAsia" w:hAnsiTheme="minorHAnsi"/>
            <w:noProof/>
            <w:lang w:eastAsia="en-GB"/>
          </w:rPr>
          <w:tab/>
        </w:r>
        <w:r w:rsidRPr="006308E3">
          <w:rPr>
            <w:rStyle w:val="Hyperlink"/>
            <w:noProof/>
          </w:rPr>
          <w:t>Efficacy</w:t>
        </w:r>
        <w:r>
          <w:rPr>
            <w:noProof/>
            <w:webHidden/>
          </w:rPr>
          <w:tab/>
        </w:r>
        <w:r>
          <w:rPr>
            <w:noProof/>
            <w:webHidden/>
          </w:rPr>
          <w:fldChar w:fldCharType="begin"/>
        </w:r>
        <w:r>
          <w:rPr>
            <w:noProof/>
            <w:webHidden/>
          </w:rPr>
          <w:instrText xml:space="preserve"> PAGEREF _Toc129350889 \h </w:instrText>
        </w:r>
        <w:r>
          <w:rPr>
            <w:noProof/>
            <w:webHidden/>
          </w:rPr>
        </w:r>
        <w:r>
          <w:rPr>
            <w:noProof/>
            <w:webHidden/>
          </w:rPr>
          <w:fldChar w:fldCharType="separate"/>
        </w:r>
        <w:r>
          <w:rPr>
            <w:noProof/>
            <w:webHidden/>
          </w:rPr>
          <w:t>121</w:t>
        </w:r>
        <w:r>
          <w:rPr>
            <w:noProof/>
            <w:webHidden/>
          </w:rPr>
          <w:fldChar w:fldCharType="end"/>
        </w:r>
      </w:hyperlink>
    </w:p>
    <w:p w14:paraId="37EA964E" w14:textId="20B2D322"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890" w:history="1">
        <w:r w:rsidRPr="006308E3">
          <w:rPr>
            <w:rStyle w:val="Hyperlink"/>
            <w:noProof/>
          </w:rPr>
          <w:t>B.3.3.3</w:t>
        </w:r>
        <w:r>
          <w:rPr>
            <w:rFonts w:asciiTheme="minorHAnsi" w:eastAsiaTheme="minorEastAsia" w:hAnsiTheme="minorHAnsi"/>
            <w:noProof/>
            <w:lang w:eastAsia="en-GB"/>
          </w:rPr>
          <w:tab/>
        </w:r>
        <w:r w:rsidRPr="006308E3">
          <w:rPr>
            <w:rStyle w:val="Hyperlink"/>
            <w:noProof/>
          </w:rPr>
          <w:t>Safety</w:t>
        </w:r>
        <w:r>
          <w:rPr>
            <w:noProof/>
            <w:webHidden/>
          </w:rPr>
          <w:tab/>
        </w:r>
        <w:r>
          <w:rPr>
            <w:noProof/>
            <w:webHidden/>
          </w:rPr>
          <w:fldChar w:fldCharType="begin"/>
        </w:r>
        <w:r>
          <w:rPr>
            <w:noProof/>
            <w:webHidden/>
          </w:rPr>
          <w:instrText xml:space="preserve"> PAGEREF _Toc129350890 \h </w:instrText>
        </w:r>
        <w:r>
          <w:rPr>
            <w:noProof/>
            <w:webHidden/>
          </w:rPr>
        </w:r>
        <w:r>
          <w:rPr>
            <w:noProof/>
            <w:webHidden/>
          </w:rPr>
          <w:fldChar w:fldCharType="separate"/>
        </w:r>
        <w:r>
          <w:rPr>
            <w:noProof/>
            <w:webHidden/>
          </w:rPr>
          <w:t>140</w:t>
        </w:r>
        <w:r>
          <w:rPr>
            <w:noProof/>
            <w:webHidden/>
          </w:rPr>
          <w:fldChar w:fldCharType="end"/>
        </w:r>
      </w:hyperlink>
    </w:p>
    <w:p w14:paraId="3D94F91D" w14:textId="3C0F736F"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891" w:history="1">
        <w:r w:rsidRPr="006308E3">
          <w:rPr>
            <w:rStyle w:val="Hyperlink"/>
            <w:noProof/>
          </w:rPr>
          <w:t>B.3.3.4</w:t>
        </w:r>
        <w:r>
          <w:rPr>
            <w:rFonts w:asciiTheme="minorHAnsi" w:eastAsiaTheme="minorEastAsia" w:hAnsiTheme="minorHAnsi"/>
            <w:noProof/>
            <w:lang w:eastAsia="en-GB"/>
          </w:rPr>
          <w:tab/>
        </w:r>
        <w:r w:rsidRPr="006308E3">
          <w:rPr>
            <w:rStyle w:val="Hyperlink"/>
            <w:noProof/>
          </w:rPr>
          <w:t>Efficacy summary</w:t>
        </w:r>
        <w:r>
          <w:rPr>
            <w:noProof/>
            <w:webHidden/>
          </w:rPr>
          <w:tab/>
        </w:r>
        <w:r>
          <w:rPr>
            <w:noProof/>
            <w:webHidden/>
          </w:rPr>
          <w:fldChar w:fldCharType="begin"/>
        </w:r>
        <w:r>
          <w:rPr>
            <w:noProof/>
            <w:webHidden/>
          </w:rPr>
          <w:instrText xml:space="preserve"> PAGEREF _Toc129350891 \h </w:instrText>
        </w:r>
        <w:r>
          <w:rPr>
            <w:noProof/>
            <w:webHidden/>
          </w:rPr>
        </w:r>
        <w:r>
          <w:rPr>
            <w:noProof/>
            <w:webHidden/>
          </w:rPr>
          <w:fldChar w:fldCharType="separate"/>
        </w:r>
        <w:r>
          <w:rPr>
            <w:noProof/>
            <w:webHidden/>
          </w:rPr>
          <w:t>141</w:t>
        </w:r>
        <w:r>
          <w:rPr>
            <w:noProof/>
            <w:webHidden/>
          </w:rPr>
          <w:fldChar w:fldCharType="end"/>
        </w:r>
      </w:hyperlink>
    </w:p>
    <w:p w14:paraId="1725B204" w14:textId="2458F845" w:rsidR="00145F42" w:rsidRDefault="00145F42">
      <w:pPr>
        <w:pStyle w:val="TOC2"/>
        <w:rPr>
          <w:rFonts w:asciiTheme="minorHAnsi" w:eastAsiaTheme="minorEastAsia" w:hAnsiTheme="minorHAnsi"/>
          <w:noProof/>
          <w:lang w:eastAsia="en-GB"/>
        </w:rPr>
      </w:pPr>
      <w:hyperlink w:anchor="_Toc129350892" w:history="1">
        <w:r w:rsidRPr="006308E3">
          <w:rPr>
            <w:rStyle w:val="Hyperlink"/>
            <w:noProof/>
          </w:rPr>
          <w:t>B.3.4</w:t>
        </w:r>
        <w:r>
          <w:rPr>
            <w:rFonts w:asciiTheme="minorHAnsi" w:eastAsiaTheme="minorEastAsia" w:hAnsiTheme="minorHAnsi"/>
            <w:noProof/>
            <w:lang w:eastAsia="en-GB"/>
          </w:rPr>
          <w:tab/>
        </w:r>
        <w:r w:rsidRPr="006308E3">
          <w:rPr>
            <w:rStyle w:val="Hyperlink"/>
            <w:noProof/>
          </w:rPr>
          <w:t>Measurement and valuation of health effects</w:t>
        </w:r>
        <w:r>
          <w:rPr>
            <w:noProof/>
            <w:webHidden/>
          </w:rPr>
          <w:tab/>
        </w:r>
        <w:r>
          <w:rPr>
            <w:noProof/>
            <w:webHidden/>
          </w:rPr>
          <w:fldChar w:fldCharType="begin"/>
        </w:r>
        <w:r>
          <w:rPr>
            <w:noProof/>
            <w:webHidden/>
          </w:rPr>
          <w:instrText xml:space="preserve"> PAGEREF _Toc129350892 \h </w:instrText>
        </w:r>
        <w:r>
          <w:rPr>
            <w:noProof/>
            <w:webHidden/>
          </w:rPr>
        </w:r>
        <w:r>
          <w:rPr>
            <w:noProof/>
            <w:webHidden/>
          </w:rPr>
          <w:fldChar w:fldCharType="separate"/>
        </w:r>
        <w:r>
          <w:rPr>
            <w:noProof/>
            <w:webHidden/>
          </w:rPr>
          <w:t>143</w:t>
        </w:r>
        <w:r>
          <w:rPr>
            <w:noProof/>
            <w:webHidden/>
          </w:rPr>
          <w:fldChar w:fldCharType="end"/>
        </w:r>
      </w:hyperlink>
    </w:p>
    <w:p w14:paraId="1C2B0D2F" w14:textId="77022114"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893" w:history="1">
        <w:r w:rsidRPr="006308E3">
          <w:rPr>
            <w:rStyle w:val="Hyperlink"/>
            <w:noProof/>
          </w:rPr>
          <w:t>B.3.4.1</w:t>
        </w:r>
        <w:r>
          <w:rPr>
            <w:rFonts w:asciiTheme="minorHAnsi" w:eastAsiaTheme="minorEastAsia" w:hAnsiTheme="minorHAnsi"/>
            <w:noProof/>
            <w:lang w:eastAsia="en-GB"/>
          </w:rPr>
          <w:tab/>
        </w:r>
        <w:r w:rsidRPr="006308E3">
          <w:rPr>
            <w:rStyle w:val="Hyperlink"/>
            <w:noProof/>
          </w:rPr>
          <w:t>Health-related quality-of-life data from clinical trials</w:t>
        </w:r>
        <w:r>
          <w:rPr>
            <w:noProof/>
            <w:webHidden/>
          </w:rPr>
          <w:tab/>
        </w:r>
        <w:r>
          <w:rPr>
            <w:noProof/>
            <w:webHidden/>
          </w:rPr>
          <w:fldChar w:fldCharType="begin"/>
        </w:r>
        <w:r>
          <w:rPr>
            <w:noProof/>
            <w:webHidden/>
          </w:rPr>
          <w:instrText xml:space="preserve"> PAGEREF _Toc129350893 \h </w:instrText>
        </w:r>
        <w:r>
          <w:rPr>
            <w:noProof/>
            <w:webHidden/>
          </w:rPr>
        </w:r>
        <w:r>
          <w:rPr>
            <w:noProof/>
            <w:webHidden/>
          </w:rPr>
          <w:fldChar w:fldCharType="separate"/>
        </w:r>
        <w:r>
          <w:rPr>
            <w:noProof/>
            <w:webHidden/>
          </w:rPr>
          <w:t>143</w:t>
        </w:r>
        <w:r>
          <w:rPr>
            <w:noProof/>
            <w:webHidden/>
          </w:rPr>
          <w:fldChar w:fldCharType="end"/>
        </w:r>
      </w:hyperlink>
    </w:p>
    <w:p w14:paraId="3AA593B9" w14:textId="629BE058"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894" w:history="1">
        <w:r w:rsidRPr="006308E3">
          <w:rPr>
            <w:rStyle w:val="Hyperlink"/>
            <w:noProof/>
          </w:rPr>
          <w:t>B.3.4.2</w:t>
        </w:r>
        <w:r>
          <w:rPr>
            <w:rFonts w:asciiTheme="minorHAnsi" w:eastAsiaTheme="minorEastAsia" w:hAnsiTheme="minorHAnsi"/>
            <w:noProof/>
            <w:lang w:eastAsia="en-GB"/>
          </w:rPr>
          <w:tab/>
        </w:r>
        <w:r w:rsidRPr="006308E3">
          <w:rPr>
            <w:rStyle w:val="Hyperlink"/>
            <w:noProof/>
          </w:rPr>
          <w:t>Mapping of EQ-5D-5L to EQ-5D-3L</w:t>
        </w:r>
        <w:r>
          <w:rPr>
            <w:noProof/>
            <w:webHidden/>
          </w:rPr>
          <w:tab/>
        </w:r>
        <w:r>
          <w:rPr>
            <w:noProof/>
            <w:webHidden/>
          </w:rPr>
          <w:fldChar w:fldCharType="begin"/>
        </w:r>
        <w:r>
          <w:rPr>
            <w:noProof/>
            <w:webHidden/>
          </w:rPr>
          <w:instrText xml:space="preserve"> PAGEREF _Toc129350894 \h </w:instrText>
        </w:r>
        <w:r>
          <w:rPr>
            <w:noProof/>
            <w:webHidden/>
          </w:rPr>
        </w:r>
        <w:r>
          <w:rPr>
            <w:noProof/>
            <w:webHidden/>
          </w:rPr>
          <w:fldChar w:fldCharType="separate"/>
        </w:r>
        <w:r>
          <w:rPr>
            <w:noProof/>
            <w:webHidden/>
          </w:rPr>
          <w:t>143</w:t>
        </w:r>
        <w:r>
          <w:rPr>
            <w:noProof/>
            <w:webHidden/>
          </w:rPr>
          <w:fldChar w:fldCharType="end"/>
        </w:r>
      </w:hyperlink>
    </w:p>
    <w:p w14:paraId="7D20FD44" w14:textId="1A81D078"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895" w:history="1">
        <w:r w:rsidRPr="006308E3">
          <w:rPr>
            <w:rStyle w:val="Hyperlink"/>
            <w:noProof/>
          </w:rPr>
          <w:t>B.3.4.3</w:t>
        </w:r>
        <w:r>
          <w:rPr>
            <w:rFonts w:asciiTheme="minorHAnsi" w:eastAsiaTheme="minorEastAsia" w:hAnsiTheme="minorHAnsi"/>
            <w:noProof/>
            <w:lang w:eastAsia="en-GB"/>
          </w:rPr>
          <w:tab/>
        </w:r>
        <w:r w:rsidRPr="006308E3">
          <w:rPr>
            <w:rStyle w:val="Hyperlink"/>
            <w:noProof/>
          </w:rPr>
          <w:t>Health-related quality-of-life studies</w:t>
        </w:r>
        <w:r>
          <w:rPr>
            <w:noProof/>
            <w:webHidden/>
          </w:rPr>
          <w:tab/>
        </w:r>
        <w:r>
          <w:rPr>
            <w:noProof/>
            <w:webHidden/>
          </w:rPr>
          <w:fldChar w:fldCharType="begin"/>
        </w:r>
        <w:r>
          <w:rPr>
            <w:noProof/>
            <w:webHidden/>
          </w:rPr>
          <w:instrText xml:space="preserve"> PAGEREF _Toc129350895 \h </w:instrText>
        </w:r>
        <w:r>
          <w:rPr>
            <w:noProof/>
            <w:webHidden/>
          </w:rPr>
        </w:r>
        <w:r>
          <w:rPr>
            <w:noProof/>
            <w:webHidden/>
          </w:rPr>
          <w:fldChar w:fldCharType="separate"/>
        </w:r>
        <w:r>
          <w:rPr>
            <w:noProof/>
            <w:webHidden/>
          </w:rPr>
          <w:t>145</w:t>
        </w:r>
        <w:r>
          <w:rPr>
            <w:noProof/>
            <w:webHidden/>
          </w:rPr>
          <w:fldChar w:fldCharType="end"/>
        </w:r>
      </w:hyperlink>
    </w:p>
    <w:p w14:paraId="75A10A78" w14:textId="2ACE7A2E"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896" w:history="1">
        <w:r w:rsidRPr="006308E3">
          <w:rPr>
            <w:rStyle w:val="Hyperlink"/>
            <w:noProof/>
          </w:rPr>
          <w:t>B.3.4.4</w:t>
        </w:r>
        <w:r>
          <w:rPr>
            <w:rFonts w:asciiTheme="minorHAnsi" w:eastAsiaTheme="minorEastAsia" w:hAnsiTheme="minorHAnsi"/>
            <w:noProof/>
            <w:lang w:eastAsia="en-GB"/>
          </w:rPr>
          <w:tab/>
        </w:r>
        <w:r w:rsidRPr="006308E3">
          <w:rPr>
            <w:rStyle w:val="Hyperlink"/>
            <w:noProof/>
          </w:rPr>
          <w:t>Adverse reactions</w:t>
        </w:r>
        <w:r>
          <w:rPr>
            <w:noProof/>
            <w:webHidden/>
          </w:rPr>
          <w:tab/>
        </w:r>
        <w:r>
          <w:rPr>
            <w:noProof/>
            <w:webHidden/>
          </w:rPr>
          <w:fldChar w:fldCharType="begin"/>
        </w:r>
        <w:r>
          <w:rPr>
            <w:noProof/>
            <w:webHidden/>
          </w:rPr>
          <w:instrText xml:space="preserve"> PAGEREF _Toc129350896 \h </w:instrText>
        </w:r>
        <w:r>
          <w:rPr>
            <w:noProof/>
            <w:webHidden/>
          </w:rPr>
        </w:r>
        <w:r>
          <w:rPr>
            <w:noProof/>
            <w:webHidden/>
          </w:rPr>
          <w:fldChar w:fldCharType="separate"/>
        </w:r>
        <w:r>
          <w:rPr>
            <w:noProof/>
            <w:webHidden/>
          </w:rPr>
          <w:t>147</w:t>
        </w:r>
        <w:r>
          <w:rPr>
            <w:noProof/>
            <w:webHidden/>
          </w:rPr>
          <w:fldChar w:fldCharType="end"/>
        </w:r>
      </w:hyperlink>
    </w:p>
    <w:p w14:paraId="3E1B85AB" w14:textId="738A4791"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897" w:history="1">
        <w:r w:rsidRPr="006308E3">
          <w:rPr>
            <w:rStyle w:val="Hyperlink"/>
            <w:noProof/>
          </w:rPr>
          <w:t>B.3.4.5</w:t>
        </w:r>
        <w:r>
          <w:rPr>
            <w:rFonts w:asciiTheme="minorHAnsi" w:eastAsiaTheme="minorEastAsia" w:hAnsiTheme="minorHAnsi"/>
            <w:noProof/>
            <w:lang w:eastAsia="en-GB"/>
          </w:rPr>
          <w:tab/>
        </w:r>
        <w:r w:rsidRPr="006308E3">
          <w:rPr>
            <w:rStyle w:val="Hyperlink"/>
            <w:noProof/>
          </w:rPr>
          <w:t>Health-related quality-of-life data used in the cost-effectiveness analysis</w:t>
        </w:r>
        <w:r>
          <w:rPr>
            <w:noProof/>
            <w:webHidden/>
          </w:rPr>
          <w:tab/>
        </w:r>
        <w:r>
          <w:rPr>
            <w:noProof/>
            <w:webHidden/>
          </w:rPr>
          <w:fldChar w:fldCharType="begin"/>
        </w:r>
        <w:r>
          <w:rPr>
            <w:noProof/>
            <w:webHidden/>
          </w:rPr>
          <w:instrText xml:space="preserve"> PAGEREF _Toc129350897 \h </w:instrText>
        </w:r>
        <w:r>
          <w:rPr>
            <w:noProof/>
            <w:webHidden/>
          </w:rPr>
        </w:r>
        <w:r>
          <w:rPr>
            <w:noProof/>
            <w:webHidden/>
          </w:rPr>
          <w:fldChar w:fldCharType="separate"/>
        </w:r>
        <w:r>
          <w:rPr>
            <w:noProof/>
            <w:webHidden/>
          </w:rPr>
          <w:t>148</w:t>
        </w:r>
        <w:r>
          <w:rPr>
            <w:noProof/>
            <w:webHidden/>
          </w:rPr>
          <w:fldChar w:fldCharType="end"/>
        </w:r>
      </w:hyperlink>
    </w:p>
    <w:p w14:paraId="40E3D680" w14:textId="01287B3F" w:rsidR="00145F42" w:rsidRDefault="00145F42">
      <w:pPr>
        <w:pStyle w:val="TOC2"/>
        <w:rPr>
          <w:rFonts w:asciiTheme="minorHAnsi" w:eastAsiaTheme="minorEastAsia" w:hAnsiTheme="minorHAnsi"/>
          <w:noProof/>
          <w:lang w:eastAsia="en-GB"/>
        </w:rPr>
      </w:pPr>
      <w:hyperlink w:anchor="_Toc129350898" w:history="1">
        <w:r w:rsidRPr="006308E3">
          <w:rPr>
            <w:rStyle w:val="Hyperlink"/>
            <w:noProof/>
          </w:rPr>
          <w:t>B.3.5</w:t>
        </w:r>
        <w:r>
          <w:rPr>
            <w:rFonts w:asciiTheme="minorHAnsi" w:eastAsiaTheme="minorEastAsia" w:hAnsiTheme="minorHAnsi"/>
            <w:noProof/>
            <w:lang w:eastAsia="en-GB"/>
          </w:rPr>
          <w:tab/>
        </w:r>
        <w:r w:rsidRPr="006308E3">
          <w:rPr>
            <w:rStyle w:val="Hyperlink"/>
            <w:noProof/>
          </w:rPr>
          <w:t>Cost and healthcare resource use identification, measurement and valuation</w:t>
        </w:r>
        <w:r>
          <w:rPr>
            <w:noProof/>
            <w:webHidden/>
          </w:rPr>
          <w:tab/>
        </w:r>
        <w:r>
          <w:rPr>
            <w:noProof/>
            <w:webHidden/>
          </w:rPr>
          <w:fldChar w:fldCharType="begin"/>
        </w:r>
        <w:r>
          <w:rPr>
            <w:noProof/>
            <w:webHidden/>
          </w:rPr>
          <w:instrText xml:space="preserve"> PAGEREF _Toc129350898 \h </w:instrText>
        </w:r>
        <w:r>
          <w:rPr>
            <w:noProof/>
            <w:webHidden/>
          </w:rPr>
        </w:r>
        <w:r>
          <w:rPr>
            <w:noProof/>
            <w:webHidden/>
          </w:rPr>
          <w:fldChar w:fldCharType="separate"/>
        </w:r>
        <w:r>
          <w:rPr>
            <w:noProof/>
            <w:webHidden/>
          </w:rPr>
          <w:t>150</w:t>
        </w:r>
        <w:r>
          <w:rPr>
            <w:noProof/>
            <w:webHidden/>
          </w:rPr>
          <w:fldChar w:fldCharType="end"/>
        </w:r>
      </w:hyperlink>
    </w:p>
    <w:p w14:paraId="7FA8BD1F" w14:textId="086B0B93"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899" w:history="1">
        <w:r w:rsidRPr="006308E3">
          <w:rPr>
            <w:rStyle w:val="Hyperlink"/>
            <w:noProof/>
          </w:rPr>
          <w:t>B.3.5.1</w:t>
        </w:r>
        <w:r>
          <w:rPr>
            <w:rFonts w:asciiTheme="minorHAnsi" w:eastAsiaTheme="minorEastAsia" w:hAnsiTheme="minorHAnsi"/>
            <w:noProof/>
            <w:lang w:eastAsia="en-GB"/>
          </w:rPr>
          <w:tab/>
        </w:r>
        <w:r w:rsidRPr="006308E3">
          <w:rPr>
            <w:rStyle w:val="Hyperlink"/>
            <w:noProof/>
          </w:rPr>
          <w:t>Intervention and comparators’ costs and resource use</w:t>
        </w:r>
        <w:r>
          <w:rPr>
            <w:noProof/>
            <w:webHidden/>
          </w:rPr>
          <w:tab/>
        </w:r>
        <w:r>
          <w:rPr>
            <w:noProof/>
            <w:webHidden/>
          </w:rPr>
          <w:fldChar w:fldCharType="begin"/>
        </w:r>
        <w:r>
          <w:rPr>
            <w:noProof/>
            <w:webHidden/>
          </w:rPr>
          <w:instrText xml:space="preserve"> PAGEREF _Toc129350899 \h </w:instrText>
        </w:r>
        <w:r>
          <w:rPr>
            <w:noProof/>
            <w:webHidden/>
          </w:rPr>
        </w:r>
        <w:r>
          <w:rPr>
            <w:noProof/>
            <w:webHidden/>
          </w:rPr>
          <w:fldChar w:fldCharType="separate"/>
        </w:r>
        <w:r>
          <w:rPr>
            <w:noProof/>
            <w:webHidden/>
          </w:rPr>
          <w:t>150</w:t>
        </w:r>
        <w:r>
          <w:rPr>
            <w:noProof/>
            <w:webHidden/>
          </w:rPr>
          <w:fldChar w:fldCharType="end"/>
        </w:r>
      </w:hyperlink>
    </w:p>
    <w:p w14:paraId="076C3930" w14:textId="52CF17FE"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900" w:history="1">
        <w:r w:rsidRPr="006308E3">
          <w:rPr>
            <w:rStyle w:val="Hyperlink"/>
            <w:noProof/>
          </w:rPr>
          <w:t>B.3.5.2</w:t>
        </w:r>
        <w:r>
          <w:rPr>
            <w:rFonts w:asciiTheme="minorHAnsi" w:eastAsiaTheme="minorEastAsia" w:hAnsiTheme="minorHAnsi"/>
            <w:noProof/>
            <w:lang w:eastAsia="en-GB"/>
          </w:rPr>
          <w:tab/>
        </w:r>
        <w:r w:rsidRPr="006308E3">
          <w:rPr>
            <w:rStyle w:val="Hyperlink"/>
            <w:noProof/>
          </w:rPr>
          <w:t>Health-state unit costs and resource use</w:t>
        </w:r>
        <w:r>
          <w:rPr>
            <w:noProof/>
            <w:webHidden/>
          </w:rPr>
          <w:tab/>
        </w:r>
        <w:r>
          <w:rPr>
            <w:noProof/>
            <w:webHidden/>
          </w:rPr>
          <w:fldChar w:fldCharType="begin"/>
        </w:r>
        <w:r>
          <w:rPr>
            <w:noProof/>
            <w:webHidden/>
          </w:rPr>
          <w:instrText xml:space="preserve"> PAGEREF _Toc129350900 \h </w:instrText>
        </w:r>
        <w:r>
          <w:rPr>
            <w:noProof/>
            <w:webHidden/>
          </w:rPr>
        </w:r>
        <w:r>
          <w:rPr>
            <w:noProof/>
            <w:webHidden/>
          </w:rPr>
          <w:fldChar w:fldCharType="separate"/>
        </w:r>
        <w:r>
          <w:rPr>
            <w:noProof/>
            <w:webHidden/>
          </w:rPr>
          <w:t>153</w:t>
        </w:r>
        <w:r>
          <w:rPr>
            <w:noProof/>
            <w:webHidden/>
          </w:rPr>
          <w:fldChar w:fldCharType="end"/>
        </w:r>
      </w:hyperlink>
    </w:p>
    <w:p w14:paraId="5DDAA1B4" w14:textId="395096CE"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901" w:history="1">
        <w:r w:rsidRPr="006308E3">
          <w:rPr>
            <w:rStyle w:val="Hyperlink"/>
            <w:noProof/>
          </w:rPr>
          <w:t>B.3.5.3</w:t>
        </w:r>
        <w:r>
          <w:rPr>
            <w:rFonts w:asciiTheme="minorHAnsi" w:eastAsiaTheme="minorEastAsia" w:hAnsiTheme="minorHAnsi"/>
            <w:noProof/>
            <w:lang w:eastAsia="en-GB"/>
          </w:rPr>
          <w:tab/>
        </w:r>
        <w:r w:rsidRPr="006308E3">
          <w:rPr>
            <w:rStyle w:val="Hyperlink"/>
            <w:noProof/>
          </w:rPr>
          <w:t>Adverse event unit costs and resource use</w:t>
        </w:r>
        <w:r>
          <w:rPr>
            <w:noProof/>
            <w:webHidden/>
          </w:rPr>
          <w:tab/>
        </w:r>
        <w:r>
          <w:rPr>
            <w:noProof/>
            <w:webHidden/>
          </w:rPr>
          <w:fldChar w:fldCharType="begin"/>
        </w:r>
        <w:r>
          <w:rPr>
            <w:noProof/>
            <w:webHidden/>
          </w:rPr>
          <w:instrText xml:space="preserve"> PAGEREF _Toc129350901 \h </w:instrText>
        </w:r>
        <w:r>
          <w:rPr>
            <w:noProof/>
            <w:webHidden/>
          </w:rPr>
        </w:r>
        <w:r>
          <w:rPr>
            <w:noProof/>
            <w:webHidden/>
          </w:rPr>
          <w:fldChar w:fldCharType="separate"/>
        </w:r>
        <w:r>
          <w:rPr>
            <w:noProof/>
            <w:webHidden/>
          </w:rPr>
          <w:t>154</w:t>
        </w:r>
        <w:r>
          <w:rPr>
            <w:noProof/>
            <w:webHidden/>
          </w:rPr>
          <w:fldChar w:fldCharType="end"/>
        </w:r>
      </w:hyperlink>
    </w:p>
    <w:p w14:paraId="277A6A3B" w14:textId="3E777F52"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902" w:history="1">
        <w:r w:rsidRPr="006308E3">
          <w:rPr>
            <w:rStyle w:val="Hyperlink"/>
            <w:noProof/>
          </w:rPr>
          <w:t>B.3.5.4</w:t>
        </w:r>
        <w:r>
          <w:rPr>
            <w:rFonts w:asciiTheme="minorHAnsi" w:eastAsiaTheme="minorEastAsia" w:hAnsiTheme="minorHAnsi"/>
            <w:noProof/>
            <w:lang w:eastAsia="en-GB"/>
          </w:rPr>
          <w:tab/>
        </w:r>
        <w:r w:rsidRPr="006308E3">
          <w:rPr>
            <w:rStyle w:val="Hyperlink"/>
            <w:noProof/>
          </w:rPr>
          <w:t>Miscellaneous unit costs and resource use</w:t>
        </w:r>
        <w:r>
          <w:rPr>
            <w:noProof/>
            <w:webHidden/>
          </w:rPr>
          <w:tab/>
        </w:r>
        <w:r>
          <w:rPr>
            <w:noProof/>
            <w:webHidden/>
          </w:rPr>
          <w:fldChar w:fldCharType="begin"/>
        </w:r>
        <w:r>
          <w:rPr>
            <w:noProof/>
            <w:webHidden/>
          </w:rPr>
          <w:instrText xml:space="preserve"> PAGEREF _Toc129350902 \h </w:instrText>
        </w:r>
        <w:r>
          <w:rPr>
            <w:noProof/>
            <w:webHidden/>
          </w:rPr>
        </w:r>
        <w:r>
          <w:rPr>
            <w:noProof/>
            <w:webHidden/>
          </w:rPr>
          <w:fldChar w:fldCharType="separate"/>
        </w:r>
        <w:r>
          <w:rPr>
            <w:noProof/>
            <w:webHidden/>
          </w:rPr>
          <w:t>155</w:t>
        </w:r>
        <w:r>
          <w:rPr>
            <w:noProof/>
            <w:webHidden/>
          </w:rPr>
          <w:fldChar w:fldCharType="end"/>
        </w:r>
      </w:hyperlink>
    </w:p>
    <w:p w14:paraId="1E4A2C3B" w14:textId="71BC7346" w:rsidR="00145F42" w:rsidRDefault="00145F42">
      <w:pPr>
        <w:pStyle w:val="TOC2"/>
        <w:rPr>
          <w:rFonts w:asciiTheme="minorHAnsi" w:eastAsiaTheme="minorEastAsia" w:hAnsiTheme="minorHAnsi"/>
          <w:noProof/>
          <w:lang w:eastAsia="en-GB"/>
        </w:rPr>
      </w:pPr>
      <w:hyperlink w:anchor="_Toc129350903" w:history="1">
        <w:r w:rsidRPr="006308E3">
          <w:rPr>
            <w:rStyle w:val="Hyperlink"/>
            <w:noProof/>
          </w:rPr>
          <w:t>B.3.6</w:t>
        </w:r>
        <w:r>
          <w:rPr>
            <w:rFonts w:asciiTheme="minorHAnsi" w:eastAsiaTheme="minorEastAsia" w:hAnsiTheme="minorHAnsi"/>
            <w:noProof/>
            <w:lang w:eastAsia="en-GB"/>
          </w:rPr>
          <w:tab/>
        </w:r>
        <w:r w:rsidRPr="006308E3">
          <w:rPr>
            <w:rStyle w:val="Hyperlink"/>
            <w:noProof/>
          </w:rPr>
          <w:t>Severity</w:t>
        </w:r>
        <w:r>
          <w:rPr>
            <w:noProof/>
            <w:webHidden/>
          </w:rPr>
          <w:tab/>
        </w:r>
        <w:r>
          <w:rPr>
            <w:noProof/>
            <w:webHidden/>
          </w:rPr>
          <w:fldChar w:fldCharType="begin"/>
        </w:r>
        <w:r>
          <w:rPr>
            <w:noProof/>
            <w:webHidden/>
          </w:rPr>
          <w:instrText xml:space="preserve"> PAGEREF _Toc129350903 \h </w:instrText>
        </w:r>
        <w:r>
          <w:rPr>
            <w:noProof/>
            <w:webHidden/>
          </w:rPr>
        </w:r>
        <w:r>
          <w:rPr>
            <w:noProof/>
            <w:webHidden/>
          </w:rPr>
          <w:fldChar w:fldCharType="separate"/>
        </w:r>
        <w:r>
          <w:rPr>
            <w:noProof/>
            <w:webHidden/>
          </w:rPr>
          <w:t>158</w:t>
        </w:r>
        <w:r>
          <w:rPr>
            <w:noProof/>
            <w:webHidden/>
          </w:rPr>
          <w:fldChar w:fldCharType="end"/>
        </w:r>
      </w:hyperlink>
    </w:p>
    <w:p w14:paraId="1E8FA243" w14:textId="61636604"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904" w:history="1">
        <w:r w:rsidRPr="006308E3">
          <w:rPr>
            <w:rStyle w:val="Hyperlink"/>
            <w:noProof/>
          </w:rPr>
          <w:t>B.3.6.1</w:t>
        </w:r>
        <w:r>
          <w:rPr>
            <w:rFonts w:asciiTheme="minorHAnsi" w:eastAsiaTheme="minorEastAsia" w:hAnsiTheme="minorHAnsi"/>
            <w:noProof/>
            <w:lang w:eastAsia="en-GB"/>
          </w:rPr>
          <w:tab/>
        </w:r>
        <w:r w:rsidRPr="006308E3">
          <w:rPr>
            <w:rStyle w:val="Hyperlink"/>
            <w:noProof/>
          </w:rPr>
          <w:t>Overview</w:t>
        </w:r>
        <w:r>
          <w:rPr>
            <w:noProof/>
            <w:webHidden/>
          </w:rPr>
          <w:tab/>
        </w:r>
        <w:r>
          <w:rPr>
            <w:noProof/>
            <w:webHidden/>
          </w:rPr>
          <w:fldChar w:fldCharType="begin"/>
        </w:r>
        <w:r>
          <w:rPr>
            <w:noProof/>
            <w:webHidden/>
          </w:rPr>
          <w:instrText xml:space="preserve"> PAGEREF _Toc129350904 \h </w:instrText>
        </w:r>
        <w:r>
          <w:rPr>
            <w:noProof/>
            <w:webHidden/>
          </w:rPr>
        </w:r>
        <w:r>
          <w:rPr>
            <w:noProof/>
            <w:webHidden/>
          </w:rPr>
          <w:fldChar w:fldCharType="separate"/>
        </w:r>
        <w:r>
          <w:rPr>
            <w:noProof/>
            <w:webHidden/>
          </w:rPr>
          <w:t>158</w:t>
        </w:r>
        <w:r>
          <w:rPr>
            <w:noProof/>
            <w:webHidden/>
          </w:rPr>
          <w:fldChar w:fldCharType="end"/>
        </w:r>
      </w:hyperlink>
    </w:p>
    <w:p w14:paraId="07509B1E" w14:textId="73F7AE7E"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905" w:history="1">
        <w:r w:rsidRPr="006308E3">
          <w:rPr>
            <w:rStyle w:val="Hyperlink"/>
            <w:noProof/>
          </w:rPr>
          <w:t>B.3.6.2</w:t>
        </w:r>
        <w:r>
          <w:rPr>
            <w:rFonts w:asciiTheme="minorHAnsi" w:eastAsiaTheme="minorEastAsia" w:hAnsiTheme="minorHAnsi"/>
            <w:noProof/>
            <w:lang w:eastAsia="en-GB"/>
          </w:rPr>
          <w:tab/>
        </w:r>
        <w:r w:rsidRPr="006308E3">
          <w:rPr>
            <w:rStyle w:val="Hyperlink"/>
            <w:noProof/>
          </w:rPr>
          <w:t>End-of-life criteria</w:t>
        </w:r>
        <w:r>
          <w:rPr>
            <w:noProof/>
            <w:webHidden/>
          </w:rPr>
          <w:tab/>
        </w:r>
        <w:r>
          <w:rPr>
            <w:noProof/>
            <w:webHidden/>
          </w:rPr>
          <w:fldChar w:fldCharType="begin"/>
        </w:r>
        <w:r>
          <w:rPr>
            <w:noProof/>
            <w:webHidden/>
          </w:rPr>
          <w:instrText xml:space="preserve"> PAGEREF _Toc129350905 \h </w:instrText>
        </w:r>
        <w:r>
          <w:rPr>
            <w:noProof/>
            <w:webHidden/>
          </w:rPr>
        </w:r>
        <w:r>
          <w:rPr>
            <w:noProof/>
            <w:webHidden/>
          </w:rPr>
          <w:fldChar w:fldCharType="separate"/>
        </w:r>
        <w:r>
          <w:rPr>
            <w:noProof/>
            <w:webHidden/>
          </w:rPr>
          <w:t>159</w:t>
        </w:r>
        <w:r>
          <w:rPr>
            <w:noProof/>
            <w:webHidden/>
          </w:rPr>
          <w:fldChar w:fldCharType="end"/>
        </w:r>
      </w:hyperlink>
    </w:p>
    <w:p w14:paraId="3A5B78E8" w14:textId="0A6FAE86"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906" w:history="1">
        <w:r w:rsidRPr="006308E3">
          <w:rPr>
            <w:rStyle w:val="Hyperlink"/>
            <w:noProof/>
          </w:rPr>
          <w:t>B.3.6.3</w:t>
        </w:r>
        <w:r>
          <w:rPr>
            <w:rFonts w:asciiTheme="minorHAnsi" w:eastAsiaTheme="minorEastAsia" w:hAnsiTheme="minorHAnsi"/>
            <w:noProof/>
            <w:lang w:eastAsia="en-GB"/>
          </w:rPr>
          <w:tab/>
        </w:r>
        <w:r w:rsidRPr="006308E3">
          <w:rPr>
            <w:rStyle w:val="Hyperlink"/>
            <w:noProof/>
          </w:rPr>
          <w:t>Severity modifier</w:t>
        </w:r>
        <w:r>
          <w:rPr>
            <w:noProof/>
            <w:webHidden/>
          </w:rPr>
          <w:tab/>
        </w:r>
        <w:r>
          <w:rPr>
            <w:noProof/>
            <w:webHidden/>
          </w:rPr>
          <w:fldChar w:fldCharType="begin"/>
        </w:r>
        <w:r>
          <w:rPr>
            <w:noProof/>
            <w:webHidden/>
          </w:rPr>
          <w:instrText xml:space="preserve"> PAGEREF _Toc129350906 \h </w:instrText>
        </w:r>
        <w:r>
          <w:rPr>
            <w:noProof/>
            <w:webHidden/>
          </w:rPr>
        </w:r>
        <w:r>
          <w:rPr>
            <w:noProof/>
            <w:webHidden/>
          </w:rPr>
          <w:fldChar w:fldCharType="separate"/>
        </w:r>
        <w:r>
          <w:rPr>
            <w:noProof/>
            <w:webHidden/>
          </w:rPr>
          <w:t>159</w:t>
        </w:r>
        <w:r>
          <w:rPr>
            <w:noProof/>
            <w:webHidden/>
          </w:rPr>
          <w:fldChar w:fldCharType="end"/>
        </w:r>
      </w:hyperlink>
    </w:p>
    <w:p w14:paraId="623A4029" w14:textId="5FBCFBE8" w:rsidR="00145F42" w:rsidRDefault="00145F42">
      <w:pPr>
        <w:pStyle w:val="TOC2"/>
        <w:rPr>
          <w:rFonts w:asciiTheme="minorHAnsi" w:eastAsiaTheme="minorEastAsia" w:hAnsiTheme="minorHAnsi"/>
          <w:noProof/>
          <w:lang w:eastAsia="en-GB"/>
        </w:rPr>
      </w:pPr>
      <w:hyperlink w:anchor="_Toc129350907" w:history="1">
        <w:r w:rsidRPr="006308E3">
          <w:rPr>
            <w:rStyle w:val="Hyperlink"/>
            <w:noProof/>
          </w:rPr>
          <w:t>B.3.7</w:t>
        </w:r>
        <w:r>
          <w:rPr>
            <w:rFonts w:asciiTheme="minorHAnsi" w:eastAsiaTheme="minorEastAsia" w:hAnsiTheme="minorHAnsi"/>
            <w:noProof/>
            <w:lang w:eastAsia="en-GB"/>
          </w:rPr>
          <w:tab/>
        </w:r>
        <w:r w:rsidRPr="006308E3">
          <w:rPr>
            <w:rStyle w:val="Hyperlink"/>
            <w:noProof/>
          </w:rPr>
          <w:t>Uncertainty</w:t>
        </w:r>
        <w:r>
          <w:rPr>
            <w:noProof/>
            <w:webHidden/>
          </w:rPr>
          <w:tab/>
        </w:r>
        <w:r>
          <w:rPr>
            <w:noProof/>
            <w:webHidden/>
          </w:rPr>
          <w:fldChar w:fldCharType="begin"/>
        </w:r>
        <w:r>
          <w:rPr>
            <w:noProof/>
            <w:webHidden/>
          </w:rPr>
          <w:instrText xml:space="preserve"> PAGEREF _Toc129350907 \h </w:instrText>
        </w:r>
        <w:r>
          <w:rPr>
            <w:noProof/>
            <w:webHidden/>
          </w:rPr>
        </w:r>
        <w:r>
          <w:rPr>
            <w:noProof/>
            <w:webHidden/>
          </w:rPr>
          <w:fldChar w:fldCharType="separate"/>
        </w:r>
        <w:r>
          <w:rPr>
            <w:noProof/>
            <w:webHidden/>
          </w:rPr>
          <w:t>162</w:t>
        </w:r>
        <w:r>
          <w:rPr>
            <w:noProof/>
            <w:webHidden/>
          </w:rPr>
          <w:fldChar w:fldCharType="end"/>
        </w:r>
      </w:hyperlink>
    </w:p>
    <w:p w14:paraId="6FBC439A" w14:textId="4F29CFD1" w:rsidR="00145F42" w:rsidRDefault="00145F42">
      <w:pPr>
        <w:pStyle w:val="TOC2"/>
        <w:rPr>
          <w:rFonts w:asciiTheme="minorHAnsi" w:eastAsiaTheme="minorEastAsia" w:hAnsiTheme="minorHAnsi"/>
          <w:noProof/>
          <w:lang w:eastAsia="en-GB"/>
        </w:rPr>
      </w:pPr>
      <w:hyperlink w:anchor="_Toc129350908" w:history="1">
        <w:r w:rsidRPr="006308E3">
          <w:rPr>
            <w:rStyle w:val="Hyperlink"/>
            <w:noProof/>
          </w:rPr>
          <w:t>B.3.8</w:t>
        </w:r>
        <w:r>
          <w:rPr>
            <w:rFonts w:asciiTheme="minorHAnsi" w:eastAsiaTheme="minorEastAsia" w:hAnsiTheme="minorHAnsi"/>
            <w:noProof/>
            <w:lang w:eastAsia="en-GB"/>
          </w:rPr>
          <w:tab/>
        </w:r>
        <w:r w:rsidRPr="006308E3">
          <w:rPr>
            <w:rStyle w:val="Hyperlink"/>
            <w:noProof/>
          </w:rPr>
          <w:t>Managed access proposal</w:t>
        </w:r>
        <w:r>
          <w:rPr>
            <w:noProof/>
            <w:webHidden/>
          </w:rPr>
          <w:tab/>
        </w:r>
        <w:r>
          <w:rPr>
            <w:noProof/>
            <w:webHidden/>
          </w:rPr>
          <w:fldChar w:fldCharType="begin"/>
        </w:r>
        <w:r>
          <w:rPr>
            <w:noProof/>
            <w:webHidden/>
          </w:rPr>
          <w:instrText xml:space="preserve"> PAGEREF _Toc129350908 \h </w:instrText>
        </w:r>
        <w:r>
          <w:rPr>
            <w:noProof/>
            <w:webHidden/>
          </w:rPr>
        </w:r>
        <w:r>
          <w:rPr>
            <w:noProof/>
            <w:webHidden/>
          </w:rPr>
          <w:fldChar w:fldCharType="separate"/>
        </w:r>
        <w:r>
          <w:rPr>
            <w:noProof/>
            <w:webHidden/>
          </w:rPr>
          <w:t>162</w:t>
        </w:r>
        <w:r>
          <w:rPr>
            <w:noProof/>
            <w:webHidden/>
          </w:rPr>
          <w:fldChar w:fldCharType="end"/>
        </w:r>
      </w:hyperlink>
    </w:p>
    <w:p w14:paraId="247A5B91" w14:textId="40874822" w:rsidR="00145F42" w:rsidRDefault="00145F42">
      <w:pPr>
        <w:pStyle w:val="TOC2"/>
        <w:rPr>
          <w:rFonts w:asciiTheme="minorHAnsi" w:eastAsiaTheme="minorEastAsia" w:hAnsiTheme="minorHAnsi"/>
          <w:noProof/>
          <w:lang w:eastAsia="en-GB"/>
        </w:rPr>
      </w:pPr>
      <w:hyperlink w:anchor="_Toc129350909" w:history="1">
        <w:r w:rsidRPr="006308E3">
          <w:rPr>
            <w:rStyle w:val="Hyperlink"/>
            <w:noProof/>
          </w:rPr>
          <w:t>B.3.9</w:t>
        </w:r>
        <w:r>
          <w:rPr>
            <w:rFonts w:asciiTheme="minorHAnsi" w:eastAsiaTheme="minorEastAsia" w:hAnsiTheme="minorHAnsi"/>
            <w:noProof/>
            <w:lang w:eastAsia="en-GB"/>
          </w:rPr>
          <w:tab/>
        </w:r>
        <w:r w:rsidRPr="006308E3">
          <w:rPr>
            <w:rStyle w:val="Hyperlink"/>
            <w:noProof/>
          </w:rPr>
          <w:t>Summary of base-case analysis inputs and assumptions</w:t>
        </w:r>
        <w:r>
          <w:rPr>
            <w:noProof/>
            <w:webHidden/>
          </w:rPr>
          <w:tab/>
        </w:r>
        <w:r>
          <w:rPr>
            <w:noProof/>
            <w:webHidden/>
          </w:rPr>
          <w:fldChar w:fldCharType="begin"/>
        </w:r>
        <w:r>
          <w:rPr>
            <w:noProof/>
            <w:webHidden/>
          </w:rPr>
          <w:instrText xml:space="preserve"> PAGEREF _Toc129350909 \h </w:instrText>
        </w:r>
        <w:r>
          <w:rPr>
            <w:noProof/>
            <w:webHidden/>
          </w:rPr>
        </w:r>
        <w:r>
          <w:rPr>
            <w:noProof/>
            <w:webHidden/>
          </w:rPr>
          <w:fldChar w:fldCharType="separate"/>
        </w:r>
        <w:r>
          <w:rPr>
            <w:noProof/>
            <w:webHidden/>
          </w:rPr>
          <w:t>163</w:t>
        </w:r>
        <w:r>
          <w:rPr>
            <w:noProof/>
            <w:webHidden/>
          </w:rPr>
          <w:fldChar w:fldCharType="end"/>
        </w:r>
      </w:hyperlink>
    </w:p>
    <w:p w14:paraId="05177D75" w14:textId="4349864E"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910" w:history="1">
        <w:r w:rsidRPr="006308E3">
          <w:rPr>
            <w:rStyle w:val="Hyperlink"/>
            <w:noProof/>
          </w:rPr>
          <w:t>B.3.9.1</w:t>
        </w:r>
        <w:r>
          <w:rPr>
            <w:rFonts w:asciiTheme="minorHAnsi" w:eastAsiaTheme="minorEastAsia" w:hAnsiTheme="minorHAnsi"/>
            <w:noProof/>
            <w:lang w:eastAsia="en-GB"/>
          </w:rPr>
          <w:tab/>
        </w:r>
        <w:r w:rsidRPr="006308E3">
          <w:rPr>
            <w:rStyle w:val="Hyperlink"/>
            <w:noProof/>
          </w:rPr>
          <w:t>Summary of base-case analysis input</w:t>
        </w:r>
        <w:r>
          <w:rPr>
            <w:noProof/>
            <w:webHidden/>
          </w:rPr>
          <w:tab/>
        </w:r>
        <w:r>
          <w:rPr>
            <w:noProof/>
            <w:webHidden/>
          </w:rPr>
          <w:fldChar w:fldCharType="begin"/>
        </w:r>
        <w:r>
          <w:rPr>
            <w:noProof/>
            <w:webHidden/>
          </w:rPr>
          <w:instrText xml:space="preserve"> PAGEREF _Toc129350910 \h </w:instrText>
        </w:r>
        <w:r>
          <w:rPr>
            <w:noProof/>
            <w:webHidden/>
          </w:rPr>
        </w:r>
        <w:r>
          <w:rPr>
            <w:noProof/>
            <w:webHidden/>
          </w:rPr>
          <w:fldChar w:fldCharType="separate"/>
        </w:r>
        <w:r>
          <w:rPr>
            <w:noProof/>
            <w:webHidden/>
          </w:rPr>
          <w:t>163</w:t>
        </w:r>
        <w:r>
          <w:rPr>
            <w:noProof/>
            <w:webHidden/>
          </w:rPr>
          <w:fldChar w:fldCharType="end"/>
        </w:r>
      </w:hyperlink>
    </w:p>
    <w:p w14:paraId="71349252" w14:textId="0574454D"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911" w:history="1">
        <w:r w:rsidRPr="006308E3">
          <w:rPr>
            <w:rStyle w:val="Hyperlink"/>
            <w:noProof/>
          </w:rPr>
          <w:t>B.3.9.2</w:t>
        </w:r>
        <w:r>
          <w:rPr>
            <w:rFonts w:asciiTheme="minorHAnsi" w:eastAsiaTheme="minorEastAsia" w:hAnsiTheme="minorHAnsi"/>
            <w:noProof/>
            <w:lang w:eastAsia="en-GB"/>
          </w:rPr>
          <w:tab/>
        </w:r>
        <w:r w:rsidRPr="006308E3">
          <w:rPr>
            <w:rStyle w:val="Hyperlink"/>
            <w:noProof/>
          </w:rPr>
          <w:t>Assumptions</w:t>
        </w:r>
        <w:r>
          <w:rPr>
            <w:noProof/>
            <w:webHidden/>
          </w:rPr>
          <w:tab/>
        </w:r>
        <w:r>
          <w:rPr>
            <w:noProof/>
            <w:webHidden/>
          </w:rPr>
          <w:fldChar w:fldCharType="begin"/>
        </w:r>
        <w:r>
          <w:rPr>
            <w:noProof/>
            <w:webHidden/>
          </w:rPr>
          <w:instrText xml:space="preserve"> PAGEREF _Toc129350911 \h </w:instrText>
        </w:r>
        <w:r>
          <w:rPr>
            <w:noProof/>
            <w:webHidden/>
          </w:rPr>
        </w:r>
        <w:r>
          <w:rPr>
            <w:noProof/>
            <w:webHidden/>
          </w:rPr>
          <w:fldChar w:fldCharType="separate"/>
        </w:r>
        <w:r>
          <w:rPr>
            <w:noProof/>
            <w:webHidden/>
          </w:rPr>
          <w:t>166</w:t>
        </w:r>
        <w:r>
          <w:rPr>
            <w:noProof/>
            <w:webHidden/>
          </w:rPr>
          <w:fldChar w:fldCharType="end"/>
        </w:r>
      </w:hyperlink>
    </w:p>
    <w:p w14:paraId="08DE4310" w14:textId="4FA1AB96" w:rsidR="00145F42" w:rsidRDefault="00145F42">
      <w:pPr>
        <w:pStyle w:val="TOC2"/>
        <w:rPr>
          <w:rFonts w:asciiTheme="minorHAnsi" w:eastAsiaTheme="minorEastAsia" w:hAnsiTheme="minorHAnsi"/>
          <w:noProof/>
          <w:lang w:eastAsia="en-GB"/>
        </w:rPr>
      </w:pPr>
      <w:hyperlink w:anchor="_Toc129350912" w:history="1">
        <w:r w:rsidRPr="006308E3">
          <w:rPr>
            <w:rStyle w:val="Hyperlink"/>
            <w:noProof/>
          </w:rPr>
          <w:t>B.3.10</w:t>
        </w:r>
        <w:r>
          <w:rPr>
            <w:rFonts w:asciiTheme="minorHAnsi" w:eastAsiaTheme="minorEastAsia" w:hAnsiTheme="minorHAnsi"/>
            <w:noProof/>
            <w:lang w:eastAsia="en-GB"/>
          </w:rPr>
          <w:tab/>
        </w:r>
        <w:r w:rsidRPr="006308E3">
          <w:rPr>
            <w:rStyle w:val="Hyperlink"/>
            <w:noProof/>
          </w:rPr>
          <w:t>Base-case results</w:t>
        </w:r>
        <w:r>
          <w:rPr>
            <w:noProof/>
            <w:webHidden/>
          </w:rPr>
          <w:tab/>
        </w:r>
        <w:r>
          <w:rPr>
            <w:noProof/>
            <w:webHidden/>
          </w:rPr>
          <w:fldChar w:fldCharType="begin"/>
        </w:r>
        <w:r>
          <w:rPr>
            <w:noProof/>
            <w:webHidden/>
          </w:rPr>
          <w:instrText xml:space="preserve"> PAGEREF _Toc129350912 \h </w:instrText>
        </w:r>
        <w:r>
          <w:rPr>
            <w:noProof/>
            <w:webHidden/>
          </w:rPr>
        </w:r>
        <w:r>
          <w:rPr>
            <w:noProof/>
            <w:webHidden/>
          </w:rPr>
          <w:fldChar w:fldCharType="separate"/>
        </w:r>
        <w:r>
          <w:rPr>
            <w:noProof/>
            <w:webHidden/>
          </w:rPr>
          <w:t>169</w:t>
        </w:r>
        <w:r>
          <w:rPr>
            <w:noProof/>
            <w:webHidden/>
          </w:rPr>
          <w:fldChar w:fldCharType="end"/>
        </w:r>
      </w:hyperlink>
    </w:p>
    <w:p w14:paraId="51BF663F" w14:textId="6350A3AF"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913" w:history="1">
        <w:r w:rsidRPr="006308E3">
          <w:rPr>
            <w:rStyle w:val="Hyperlink"/>
            <w:noProof/>
          </w:rPr>
          <w:t>B.3.10.1</w:t>
        </w:r>
        <w:r>
          <w:rPr>
            <w:rFonts w:asciiTheme="minorHAnsi" w:eastAsiaTheme="minorEastAsia" w:hAnsiTheme="minorHAnsi"/>
            <w:noProof/>
            <w:lang w:eastAsia="en-GB"/>
          </w:rPr>
          <w:tab/>
        </w:r>
        <w:r w:rsidRPr="006308E3">
          <w:rPr>
            <w:rStyle w:val="Hyperlink"/>
            <w:noProof/>
          </w:rPr>
          <w:t>Base-case incremental cost-effectiveness analysis results</w:t>
        </w:r>
        <w:r>
          <w:rPr>
            <w:noProof/>
            <w:webHidden/>
          </w:rPr>
          <w:tab/>
        </w:r>
        <w:r>
          <w:rPr>
            <w:noProof/>
            <w:webHidden/>
          </w:rPr>
          <w:fldChar w:fldCharType="begin"/>
        </w:r>
        <w:r>
          <w:rPr>
            <w:noProof/>
            <w:webHidden/>
          </w:rPr>
          <w:instrText xml:space="preserve"> PAGEREF _Toc129350913 \h </w:instrText>
        </w:r>
        <w:r>
          <w:rPr>
            <w:noProof/>
            <w:webHidden/>
          </w:rPr>
        </w:r>
        <w:r>
          <w:rPr>
            <w:noProof/>
            <w:webHidden/>
          </w:rPr>
          <w:fldChar w:fldCharType="separate"/>
        </w:r>
        <w:r>
          <w:rPr>
            <w:noProof/>
            <w:webHidden/>
          </w:rPr>
          <w:t>169</w:t>
        </w:r>
        <w:r>
          <w:rPr>
            <w:noProof/>
            <w:webHidden/>
          </w:rPr>
          <w:fldChar w:fldCharType="end"/>
        </w:r>
      </w:hyperlink>
    </w:p>
    <w:p w14:paraId="36C269E3" w14:textId="63237760" w:rsidR="00145F42" w:rsidRDefault="00145F42">
      <w:pPr>
        <w:pStyle w:val="TOC2"/>
        <w:rPr>
          <w:rFonts w:asciiTheme="minorHAnsi" w:eastAsiaTheme="minorEastAsia" w:hAnsiTheme="minorHAnsi"/>
          <w:noProof/>
          <w:lang w:eastAsia="en-GB"/>
        </w:rPr>
      </w:pPr>
      <w:hyperlink w:anchor="_Toc129350914" w:history="1">
        <w:r w:rsidRPr="006308E3">
          <w:rPr>
            <w:rStyle w:val="Hyperlink"/>
            <w:noProof/>
          </w:rPr>
          <w:t>B.3.11</w:t>
        </w:r>
        <w:r>
          <w:rPr>
            <w:rFonts w:asciiTheme="minorHAnsi" w:eastAsiaTheme="minorEastAsia" w:hAnsiTheme="minorHAnsi"/>
            <w:noProof/>
            <w:lang w:eastAsia="en-GB"/>
          </w:rPr>
          <w:tab/>
        </w:r>
        <w:r w:rsidRPr="006308E3">
          <w:rPr>
            <w:rStyle w:val="Hyperlink"/>
            <w:noProof/>
          </w:rPr>
          <w:t>Exploring uncertainty</w:t>
        </w:r>
        <w:r>
          <w:rPr>
            <w:noProof/>
            <w:webHidden/>
          </w:rPr>
          <w:tab/>
        </w:r>
        <w:r>
          <w:rPr>
            <w:noProof/>
            <w:webHidden/>
          </w:rPr>
          <w:fldChar w:fldCharType="begin"/>
        </w:r>
        <w:r>
          <w:rPr>
            <w:noProof/>
            <w:webHidden/>
          </w:rPr>
          <w:instrText xml:space="preserve"> PAGEREF _Toc129350914 \h </w:instrText>
        </w:r>
        <w:r>
          <w:rPr>
            <w:noProof/>
            <w:webHidden/>
          </w:rPr>
        </w:r>
        <w:r>
          <w:rPr>
            <w:noProof/>
            <w:webHidden/>
          </w:rPr>
          <w:fldChar w:fldCharType="separate"/>
        </w:r>
        <w:r>
          <w:rPr>
            <w:noProof/>
            <w:webHidden/>
          </w:rPr>
          <w:t>171</w:t>
        </w:r>
        <w:r>
          <w:rPr>
            <w:noProof/>
            <w:webHidden/>
          </w:rPr>
          <w:fldChar w:fldCharType="end"/>
        </w:r>
      </w:hyperlink>
    </w:p>
    <w:p w14:paraId="5B64EBA0" w14:textId="2D6621D9"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915" w:history="1">
        <w:r w:rsidRPr="006308E3">
          <w:rPr>
            <w:rStyle w:val="Hyperlink"/>
            <w:noProof/>
          </w:rPr>
          <w:t>B.3.11.1</w:t>
        </w:r>
        <w:r>
          <w:rPr>
            <w:rFonts w:asciiTheme="minorHAnsi" w:eastAsiaTheme="minorEastAsia" w:hAnsiTheme="minorHAnsi"/>
            <w:noProof/>
            <w:lang w:eastAsia="en-GB"/>
          </w:rPr>
          <w:tab/>
        </w:r>
        <w:r w:rsidRPr="006308E3">
          <w:rPr>
            <w:rStyle w:val="Hyperlink"/>
            <w:noProof/>
          </w:rPr>
          <w:t>Probabilistic sensitivity analysis</w:t>
        </w:r>
        <w:r>
          <w:rPr>
            <w:noProof/>
            <w:webHidden/>
          </w:rPr>
          <w:tab/>
        </w:r>
        <w:r>
          <w:rPr>
            <w:noProof/>
            <w:webHidden/>
          </w:rPr>
          <w:fldChar w:fldCharType="begin"/>
        </w:r>
        <w:r>
          <w:rPr>
            <w:noProof/>
            <w:webHidden/>
          </w:rPr>
          <w:instrText xml:space="preserve"> PAGEREF _Toc129350915 \h </w:instrText>
        </w:r>
        <w:r>
          <w:rPr>
            <w:noProof/>
            <w:webHidden/>
          </w:rPr>
        </w:r>
        <w:r>
          <w:rPr>
            <w:noProof/>
            <w:webHidden/>
          </w:rPr>
          <w:fldChar w:fldCharType="separate"/>
        </w:r>
        <w:r>
          <w:rPr>
            <w:noProof/>
            <w:webHidden/>
          </w:rPr>
          <w:t>171</w:t>
        </w:r>
        <w:r>
          <w:rPr>
            <w:noProof/>
            <w:webHidden/>
          </w:rPr>
          <w:fldChar w:fldCharType="end"/>
        </w:r>
      </w:hyperlink>
    </w:p>
    <w:p w14:paraId="49B041E0" w14:textId="6DF93E47"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916" w:history="1">
        <w:r w:rsidRPr="006308E3">
          <w:rPr>
            <w:rStyle w:val="Hyperlink"/>
            <w:noProof/>
          </w:rPr>
          <w:t>B.3.11.2</w:t>
        </w:r>
        <w:r>
          <w:rPr>
            <w:rFonts w:asciiTheme="minorHAnsi" w:eastAsiaTheme="minorEastAsia" w:hAnsiTheme="minorHAnsi"/>
            <w:noProof/>
            <w:lang w:eastAsia="en-GB"/>
          </w:rPr>
          <w:tab/>
        </w:r>
        <w:r w:rsidRPr="006308E3">
          <w:rPr>
            <w:rStyle w:val="Hyperlink"/>
            <w:noProof/>
          </w:rPr>
          <w:t>Deterministic sensitivity analysis</w:t>
        </w:r>
        <w:r>
          <w:rPr>
            <w:noProof/>
            <w:webHidden/>
          </w:rPr>
          <w:tab/>
        </w:r>
        <w:r>
          <w:rPr>
            <w:noProof/>
            <w:webHidden/>
          </w:rPr>
          <w:fldChar w:fldCharType="begin"/>
        </w:r>
        <w:r>
          <w:rPr>
            <w:noProof/>
            <w:webHidden/>
          </w:rPr>
          <w:instrText xml:space="preserve"> PAGEREF _Toc129350916 \h </w:instrText>
        </w:r>
        <w:r>
          <w:rPr>
            <w:noProof/>
            <w:webHidden/>
          </w:rPr>
        </w:r>
        <w:r>
          <w:rPr>
            <w:noProof/>
            <w:webHidden/>
          </w:rPr>
          <w:fldChar w:fldCharType="separate"/>
        </w:r>
        <w:r>
          <w:rPr>
            <w:noProof/>
            <w:webHidden/>
          </w:rPr>
          <w:t>172</w:t>
        </w:r>
        <w:r>
          <w:rPr>
            <w:noProof/>
            <w:webHidden/>
          </w:rPr>
          <w:fldChar w:fldCharType="end"/>
        </w:r>
      </w:hyperlink>
    </w:p>
    <w:p w14:paraId="09DC05AC" w14:textId="100434B3"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917" w:history="1">
        <w:r w:rsidRPr="006308E3">
          <w:rPr>
            <w:rStyle w:val="Hyperlink"/>
            <w:noProof/>
          </w:rPr>
          <w:t>B.3.11.3</w:t>
        </w:r>
        <w:r>
          <w:rPr>
            <w:rFonts w:asciiTheme="minorHAnsi" w:eastAsiaTheme="minorEastAsia" w:hAnsiTheme="minorHAnsi"/>
            <w:noProof/>
            <w:lang w:eastAsia="en-GB"/>
          </w:rPr>
          <w:tab/>
        </w:r>
        <w:r w:rsidRPr="006308E3">
          <w:rPr>
            <w:rStyle w:val="Hyperlink"/>
            <w:noProof/>
          </w:rPr>
          <w:t>Scenario analysis</w:t>
        </w:r>
        <w:r>
          <w:rPr>
            <w:noProof/>
            <w:webHidden/>
          </w:rPr>
          <w:tab/>
        </w:r>
        <w:r>
          <w:rPr>
            <w:noProof/>
            <w:webHidden/>
          </w:rPr>
          <w:fldChar w:fldCharType="begin"/>
        </w:r>
        <w:r>
          <w:rPr>
            <w:noProof/>
            <w:webHidden/>
          </w:rPr>
          <w:instrText xml:space="preserve"> PAGEREF _Toc129350917 \h </w:instrText>
        </w:r>
        <w:r>
          <w:rPr>
            <w:noProof/>
            <w:webHidden/>
          </w:rPr>
        </w:r>
        <w:r>
          <w:rPr>
            <w:noProof/>
            <w:webHidden/>
          </w:rPr>
          <w:fldChar w:fldCharType="separate"/>
        </w:r>
        <w:r>
          <w:rPr>
            <w:noProof/>
            <w:webHidden/>
          </w:rPr>
          <w:t>173</w:t>
        </w:r>
        <w:r>
          <w:rPr>
            <w:noProof/>
            <w:webHidden/>
          </w:rPr>
          <w:fldChar w:fldCharType="end"/>
        </w:r>
      </w:hyperlink>
    </w:p>
    <w:p w14:paraId="58D23C0C" w14:textId="618F66DF" w:rsidR="00145F42" w:rsidRDefault="00145F42">
      <w:pPr>
        <w:pStyle w:val="TOC2"/>
        <w:rPr>
          <w:rFonts w:asciiTheme="minorHAnsi" w:eastAsiaTheme="minorEastAsia" w:hAnsiTheme="minorHAnsi"/>
          <w:noProof/>
          <w:lang w:eastAsia="en-GB"/>
        </w:rPr>
      </w:pPr>
      <w:hyperlink w:anchor="_Toc129350918" w:history="1">
        <w:r w:rsidRPr="006308E3">
          <w:rPr>
            <w:rStyle w:val="Hyperlink"/>
            <w:noProof/>
          </w:rPr>
          <w:t>B.3.12</w:t>
        </w:r>
        <w:r>
          <w:rPr>
            <w:rFonts w:asciiTheme="minorHAnsi" w:eastAsiaTheme="minorEastAsia" w:hAnsiTheme="minorHAnsi"/>
            <w:noProof/>
            <w:lang w:eastAsia="en-GB"/>
          </w:rPr>
          <w:tab/>
        </w:r>
        <w:r w:rsidRPr="006308E3">
          <w:rPr>
            <w:rStyle w:val="Hyperlink"/>
            <w:noProof/>
          </w:rPr>
          <w:t>Subgroup analysis</w:t>
        </w:r>
        <w:r>
          <w:rPr>
            <w:noProof/>
            <w:webHidden/>
          </w:rPr>
          <w:tab/>
        </w:r>
        <w:r>
          <w:rPr>
            <w:noProof/>
            <w:webHidden/>
          </w:rPr>
          <w:fldChar w:fldCharType="begin"/>
        </w:r>
        <w:r>
          <w:rPr>
            <w:noProof/>
            <w:webHidden/>
          </w:rPr>
          <w:instrText xml:space="preserve"> PAGEREF _Toc129350918 \h </w:instrText>
        </w:r>
        <w:r>
          <w:rPr>
            <w:noProof/>
            <w:webHidden/>
          </w:rPr>
        </w:r>
        <w:r>
          <w:rPr>
            <w:noProof/>
            <w:webHidden/>
          </w:rPr>
          <w:fldChar w:fldCharType="separate"/>
        </w:r>
        <w:r>
          <w:rPr>
            <w:noProof/>
            <w:webHidden/>
          </w:rPr>
          <w:t>175</w:t>
        </w:r>
        <w:r>
          <w:rPr>
            <w:noProof/>
            <w:webHidden/>
          </w:rPr>
          <w:fldChar w:fldCharType="end"/>
        </w:r>
      </w:hyperlink>
    </w:p>
    <w:p w14:paraId="14568AC7" w14:textId="625AF396" w:rsidR="00145F42" w:rsidRDefault="00145F42">
      <w:pPr>
        <w:pStyle w:val="TOC2"/>
        <w:rPr>
          <w:rFonts w:asciiTheme="minorHAnsi" w:eastAsiaTheme="minorEastAsia" w:hAnsiTheme="minorHAnsi"/>
          <w:noProof/>
          <w:lang w:eastAsia="en-GB"/>
        </w:rPr>
      </w:pPr>
      <w:hyperlink w:anchor="_Toc129350919" w:history="1">
        <w:r w:rsidRPr="006308E3">
          <w:rPr>
            <w:rStyle w:val="Hyperlink"/>
            <w:noProof/>
          </w:rPr>
          <w:t>B.3.13</w:t>
        </w:r>
        <w:r>
          <w:rPr>
            <w:rFonts w:asciiTheme="minorHAnsi" w:eastAsiaTheme="minorEastAsia" w:hAnsiTheme="minorHAnsi"/>
            <w:noProof/>
            <w:lang w:eastAsia="en-GB"/>
          </w:rPr>
          <w:tab/>
        </w:r>
        <w:r w:rsidRPr="006308E3">
          <w:rPr>
            <w:rStyle w:val="Hyperlink"/>
            <w:noProof/>
          </w:rPr>
          <w:t>Benefits not captured in the QALY calculation</w:t>
        </w:r>
        <w:r>
          <w:rPr>
            <w:noProof/>
            <w:webHidden/>
          </w:rPr>
          <w:tab/>
        </w:r>
        <w:r>
          <w:rPr>
            <w:noProof/>
            <w:webHidden/>
          </w:rPr>
          <w:fldChar w:fldCharType="begin"/>
        </w:r>
        <w:r>
          <w:rPr>
            <w:noProof/>
            <w:webHidden/>
          </w:rPr>
          <w:instrText xml:space="preserve"> PAGEREF _Toc129350919 \h </w:instrText>
        </w:r>
        <w:r>
          <w:rPr>
            <w:noProof/>
            <w:webHidden/>
          </w:rPr>
        </w:r>
        <w:r>
          <w:rPr>
            <w:noProof/>
            <w:webHidden/>
          </w:rPr>
          <w:fldChar w:fldCharType="separate"/>
        </w:r>
        <w:r>
          <w:rPr>
            <w:noProof/>
            <w:webHidden/>
          </w:rPr>
          <w:t>175</w:t>
        </w:r>
        <w:r>
          <w:rPr>
            <w:noProof/>
            <w:webHidden/>
          </w:rPr>
          <w:fldChar w:fldCharType="end"/>
        </w:r>
      </w:hyperlink>
    </w:p>
    <w:p w14:paraId="5716B5C7" w14:textId="5F602C4E" w:rsidR="00145F42" w:rsidRDefault="00145F42">
      <w:pPr>
        <w:pStyle w:val="TOC2"/>
        <w:rPr>
          <w:rFonts w:asciiTheme="minorHAnsi" w:eastAsiaTheme="minorEastAsia" w:hAnsiTheme="minorHAnsi"/>
          <w:noProof/>
          <w:lang w:eastAsia="en-GB"/>
        </w:rPr>
      </w:pPr>
      <w:hyperlink w:anchor="_Toc129350920" w:history="1">
        <w:r w:rsidRPr="006308E3">
          <w:rPr>
            <w:rStyle w:val="Hyperlink"/>
            <w:noProof/>
          </w:rPr>
          <w:t>B.3.14</w:t>
        </w:r>
        <w:r>
          <w:rPr>
            <w:rFonts w:asciiTheme="minorHAnsi" w:eastAsiaTheme="minorEastAsia" w:hAnsiTheme="minorHAnsi"/>
            <w:noProof/>
            <w:lang w:eastAsia="en-GB"/>
          </w:rPr>
          <w:tab/>
        </w:r>
        <w:r w:rsidRPr="006308E3">
          <w:rPr>
            <w:rStyle w:val="Hyperlink"/>
            <w:noProof/>
          </w:rPr>
          <w:t>Validation</w:t>
        </w:r>
        <w:r>
          <w:rPr>
            <w:noProof/>
            <w:webHidden/>
          </w:rPr>
          <w:tab/>
        </w:r>
        <w:r>
          <w:rPr>
            <w:noProof/>
            <w:webHidden/>
          </w:rPr>
          <w:fldChar w:fldCharType="begin"/>
        </w:r>
        <w:r>
          <w:rPr>
            <w:noProof/>
            <w:webHidden/>
          </w:rPr>
          <w:instrText xml:space="preserve"> PAGEREF _Toc129350920 \h </w:instrText>
        </w:r>
        <w:r>
          <w:rPr>
            <w:noProof/>
            <w:webHidden/>
          </w:rPr>
        </w:r>
        <w:r>
          <w:rPr>
            <w:noProof/>
            <w:webHidden/>
          </w:rPr>
          <w:fldChar w:fldCharType="separate"/>
        </w:r>
        <w:r>
          <w:rPr>
            <w:noProof/>
            <w:webHidden/>
          </w:rPr>
          <w:t>176</w:t>
        </w:r>
        <w:r>
          <w:rPr>
            <w:noProof/>
            <w:webHidden/>
          </w:rPr>
          <w:fldChar w:fldCharType="end"/>
        </w:r>
      </w:hyperlink>
    </w:p>
    <w:p w14:paraId="1D488A0F" w14:textId="2D03C599"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921" w:history="1">
        <w:r w:rsidRPr="006308E3">
          <w:rPr>
            <w:rStyle w:val="Hyperlink"/>
            <w:noProof/>
          </w:rPr>
          <w:t>B.3.14.1</w:t>
        </w:r>
        <w:r>
          <w:rPr>
            <w:rFonts w:asciiTheme="minorHAnsi" w:eastAsiaTheme="minorEastAsia" w:hAnsiTheme="minorHAnsi"/>
            <w:noProof/>
            <w:lang w:eastAsia="en-GB"/>
          </w:rPr>
          <w:tab/>
        </w:r>
        <w:r w:rsidRPr="006308E3">
          <w:rPr>
            <w:rStyle w:val="Hyperlink"/>
            <w:noProof/>
          </w:rPr>
          <w:t>Independent technical cost-effectiveness model QC</w:t>
        </w:r>
        <w:r>
          <w:rPr>
            <w:noProof/>
            <w:webHidden/>
          </w:rPr>
          <w:tab/>
        </w:r>
        <w:r>
          <w:rPr>
            <w:noProof/>
            <w:webHidden/>
          </w:rPr>
          <w:fldChar w:fldCharType="begin"/>
        </w:r>
        <w:r>
          <w:rPr>
            <w:noProof/>
            <w:webHidden/>
          </w:rPr>
          <w:instrText xml:space="preserve"> PAGEREF _Toc129350921 \h </w:instrText>
        </w:r>
        <w:r>
          <w:rPr>
            <w:noProof/>
            <w:webHidden/>
          </w:rPr>
        </w:r>
        <w:r>
          <w:rPr>
            <w:noProof/>
            <w:webHidden/>
          </w:rPr>
          <w:fldChar w:fldCharType="separate"/>
        </w:r>
        <w:r>
          <w:rPr>
            <w:noProof/>
            <w:webHidden/>
          </w:rPr>
          <w:t>176</w:t>
        </w:r>
        <w:r>
          <w:rPr>
            <w:noProof/>
            <w:webHidden/>
          </w:rPr>
          <w:fldChar w:fldCharType="end"/>
        </w:r>
      </w:hyperlink>
    </w:p>
    <w:p w14:paraId="02E5111C" w14:textId="7575D893"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922" w:history="1">
        <w:r w:rsidRPr="006308E3">
          <w:rPr>
            <w:rStyle w:val="Hyperlink"/>
            <w:noProof/>
          </w:rPr>
          <w:t>B.3.14.2</w:t>
        </w:r>
        <w:r>
          <w:rPr>
            <w:rFonts w:asciiTheme="minorHAnsi" w:eastAsiaTheme="minorEastAsia" w:hAnsiTheme="minorHAnsi"/>
            <w:noProof/>
            <w:lang w:eastAsia="en-GB"/>
          </w:rPr>
          <w:tab/>
        </w:r>
        <w:r w:rsidRPr="006308E3">
          <w:rPr>
            <w:rStyle w:val="Hyperlink"/>
            <w:noProof/>
          </w:rPr>
          <w:t>Expert validation of cost-effectiveness analysis</w:t>
        </w:r>
        <w:r>
          <w:rPr>
            <w:noProof/>
            <w:webHidden/>
          </w:rPr>
          <w:tab/>
        </w:r>
        <w:r>
          <w:rPr>
            <w:noProof/>
            <w:webHidden/>
          </w:rPr>
          <w:fldChar w:fldCharType="begin"/>
        </w:r>
        <w:r>
          <w:rPr>
            <w:noProof/>
            <w:webHidden/>
          </w:rPr>
          <w:instrText xml:space="preserve"> PAGEREF _Toc129350922 \h </w:instrText>
        </w:r>
        <w:r>
          <w:rPr>
            <w:noProof/>
            <w:webHidden/>
          </w:rPr>
        </w:r>
        <w:r>
          <w:rPr>
            <w:noProof/>
            <w:webHidden/>
          </w:rPr>
          <w:fldChar w:fldCharType="separate"/>
        </w:r>
        <w:r>
          <w:rPr>
            <w:noProof/>
            <w:webHidden/>
          </w:rPr>
          <w:t>177</w:t>
        </w:r>
        <w:r>
          <w:rPr>
            <w:noProof/>
            <w:webHidden/>
          </w:rPr>
          <w:fldChar w:fldCharType="end"/>
        </w:r>
      </w:hyperlink>
    </w:p>
    <w:p w14:paraId="28CE005E" w14:textId="5DC97DCB"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923" w:history="1">
        <w:r w:rsidRPr="006308E3">
          <w:rPr>
            <w:rStyle w:val="Hyperlink"/>
            <w:noProof/>
          </w:rPr>
          <w:t>B.3.14.3</w:t>
        </w:r>
        <w:r>
          <w:rPr>
            <w:rFonts w:asciiTheme="minorHAnsi" w:eastAsiaTheme="minorEastAsia" w:hAnsiTheme="minorHAnsi"/>
            <w:noProof/>
            <w:lang w:eastAsia="en-GB"/>
          </w:rPr>
          <w:tab/>
        </w:r>
        <w:r w:rsidRPr="006308E3">
          <w:rPr>
            <w:rStyle w:val="Hyperlink"/>
            <w:noProof/>
          </w:rPr>
          <w:t>Internal validation</w:t>
        </w:r>
        <w:r>
          <w:rPr>
            <w:noProof/>
            <w:webHidden/>
          </w:rPr>
          <w:tab/>
        </w:r>
        <w:r>
          <w:rPr>
            <w:noProof/>
            <w:webHidden/>
          </w:rPr>
          <w:fldChar w:fldCharType="begin"/>
        </w:r>
        <w:r>
          <w:rPr>
            <w:noProof/>
            <w:webHidden/>
          </w:rPr>
          <w:instrText xml:space="preserve"> PAGEREF _Toc129350923 \h </w:instrText>
        </w:r>
        <w:r>
          <w:rPr>
            <w:noProof/>
            <w:webHidden/>
          </w:rPr>
        </w:r>
        <w:r>
          <w:rPr>
            <w:noProof/>
            <w:webHidden/>
          </w:rPr>
          <w:fldChar w:fldCharType="separate"/>
        </w:r>
        <w:r>
          <w:rPr>
            <w:noProof/>
            <w:webHidden/>
          </w:rPr>
          <w:t>177</w:t>
        </w:r>
        <w:r>
          <w:rPr>
            <w:noProof/>
            <w:webHidden/>
          </w:rPr>
          <w:fldChar w:fldCharType="end"/>
        </w:r>
      </w:hyperlink>
    </w:p>
    <w:p w14:paraId="01F0DB8A" w14:textId="080C2911" w:rsidR="00145F42" w:rsidRDefault="00145F42">
      <w:pPr>
        <w:pStyle w:val="TOC3"/>
        <w:tabs>
          <w:tab w:val="left" w:pos="1540"/>
          <w:tab w:val="right" w:leader="dot" w:pos="9628"/>
        </w:tabs>
        <w:rPr>
          <w:rFonts w:asciiTheme="minorHAnsi" w:eastAsiaTheme="minorEastAsia" w:hAnsiTheme="minorHAnsi"/>
          <w:noProof/>
          <w:lang w:eastAsia="en-GB"/>
        </w:rPr>
      </w:pPr>
      <w:hyperlink w:anchor="_Toc129350924" w:history="1">
        <w:r w:rsidRPr="006308E3">
          <w:rPr>
            <w:rStyle w:val="Hyperlink"/>
            <w:noProof/>
          </w:rPr>
          <w:t>B.3.14.4</w:t>
        </w:r>
        <w:r>
          <w:rPr>
            <w:rFonts w:asciiTheme="minorHAnsi" w:eastAsiaTheme="minorEastAsia" w:hAnsiTheme="minorHAnsi"/>
            <w:noProof/>
            <w:lang w:eastAsia="en-GB"/>
          </w:rPr>
          <w:tab/>
        </w:r>
        <w:r w:rsidRPr="006308E3">
          <w:rPr>
            <w:rStyle w:val="Hyperlink"/>
            <w:noProof/>
          </w:rPr>
          <w:t>External validation</w:t>
        </w:r>
        <w:r>
          <w:rPr>
            <w:noProof/>
            <w:webHidden/>
          </w:rPr>
          <w:tab/>
        </w:r>
        <w:r>
          <w:rPr>
            <w:noProof/>
            <w:webHidden/>
          </w:rPr>
          <w:fldChar w:fldCharType="begin"/>
        </w:r>
        <w:r>
          <w:rPr>
            <w:noProof/>
            <w:webHidden/>
          </w:rPr>
          <w:instrText xml:space="preserve"> PAGEREF _Toc129350924 \h </w:instrText>
        </w:r>
        <w:r>
          <w:rPr>
            <w:noProof/>
            <w:webHidden/>
          </w:rPr>
        </w:r>
        <w:r>
          <w:rPr>
            <w:noProof/>
            <w:webHidden/>
          </w:rPr>
          <w:fldChar w:fldCharType="separate"/>
        </w:r>
        <w:r>
          <w:rPr>
            <w:noProof/>
            <w:webHidden/>
          </w:rPr>
          <w:t>177</w:t>
        </w:r>
        <w:r>
          <w:rPr>
            <w:noProof/>
            <w:webHidden/>
          </w:rPr>
          <w:fldChar w:fldCharType="end"/>
        </w:r>
      </w:hyperlink>
    </w:p>
    <w:p w14:paraId="1022E8E5" w14:textId="2A2FE5FB" w:rsidR="00145F42" w:rsidRDefault="00145F42">
      <w:pPr>
        <w:pStyle w:val="TOC2"/>
        <w:rPr>
          <w:rFonts w:asciiTheme="minorHAnsi" w:eastAsiaTheme="minorEastAsia" w:hAnsiTheme="minorHAnsi"/>
          <w:noProof/>
          <w:lang w:eastAsia="en-GB"/>
        </w:rPr>
      </w:pPr>
      <w:hyperlink w:anchor="_Toc129350925" w:history="1">
        <w:r w:rsidRPr="006308E3">
          <w:rPr>
            <w:rStyle w:val="Hyperlink"/>
            <w:noProof/>
          </w:rPr>
          <w:t>B.3.15</w:t>
        </w:r>
        <w:r>
          <w:rPr>
            <w:rFonts w:asciiTheme="minorHAnsi" w:eastAsiaTheme="minorEastAsia" w:hAnsiTheme="minorHAnsi"/>
            <w:noProof/>
            <w:lang w:eastAsia="en-GB"/>
          </w:rPr>
          <w:tab/>
        </w:r>
        <w:r w:rsidRPr="006308E3">
          <w:rPr>
            <w:rStyle w:val="Hyperlink"/>
            <w:noProof/>
          </w:rPr>
          <w:t>Interpretation and conclusions of economic evidence</w:t>
        </w:r>
        <w:r>
          <w:rPr>
            <w:noProof/>
            <w:webHidden/>
          </w:rPr>
          <w:tab/>
        </w:r>
        <w:r>
          <w:rPr>
            <w:noProof/>
            <w:webHidden/>
          </w:rPr>
          <w:fldChar w:fldCharType="begin"/>
        </w:r>
        <w:r>
          <w:rPr>
            <w:noProof/>
            <w:webHidden/>
          </w:rPr>
          <w:instrText xml:space="preserve"> PAGEREF _Toc129350925 \h </w:instrText>
        </w:r>
        <w:r>
          <w:rPr>
            <w:noProof/>
            <w:webHidden/>
          </w:rPr>
        </w:r>
        <w:r>
          <w:rPr>
            <w:noProof/>
            <w:webHidden/>
          </w:rPr>
          <w:fldChar w:fldCharType="separate"/>
        </w:r>
        <w:r>
          <w:rPr>
            <w:noProof/>
            <w:webHidden/>
          </w:rPr>
          <w:t>178</w:t>
        </w:r>
        <w:r>
          <w:rPr>
            <w:noProof/>
            <w:webHidden/>
          </w:rPr>
          <w:fldChar w:fldCharType="end"/>
        </w:r>
      </w:hyperlink>
    </w:p>
    <w:p w14:paraId="264D4FAB" w14:textId="33A22D74" w:rsidR="00145F42" w:rsidRDefault="00145F42">
      <w:pPr>
        <w:pStyle w:val="TOC1"/>
        <w:rPr>
          <w:rFonts w:asciiTheme="minorHAnsi" w:eastAsiaTheme="minorEastAsia" w:hAnsiTheme="minorHAnsi"/>
          <w:noProof/>
          <w:lang w:eastAsia="en-GB"/>
        </w:rPr>
      </w:pPr>
      <w:hyperlink w:anchor="_Toc129350926" w:history="1">
        <w:r w:rsidRPr="006308E3">
          <w:rPr>
            <w:rStyle w:val="Hyperlink"/>
            <w:noProof/>
          </w:rPr>
          <w:t>B.4</w:t>
        </w:r>
        <w:r>
          <w:rPr>
            <w:rFonts w:asciiTheme="minorHAnsi" w:eastAsiaTheme="minorEastAsia" w:hAnsiTheme="minorHAnsi"/>
            <w:noProof/>
            <w:lang w:eastAsia="en-GB"/>
          </w:rPr>
          <w:tab/>
        </w:r>
        <w:r w:rsidRPr="006308E3">
          <w:rPr>
            <w:rStyle w:val="Hyperlink"/>
            <w:noProof/>
          </w:rPr>
          <w:t>References</w:t>
        </w:r>
        <w:r>
          <w:rPr>
            <w:noProof/>
            <w:webHidden/>
          </w:rPr>
          <w:tab/>
        </w:r>
        <w:r>
          <w:rPr>
            <w:noProof/>
            <w:webHidden/>
          </w:rPr>
          <w:fldChar w:fldCharType="begin"/>
        </w:r>
        <w:r>
          <w:rPr>
            <w:noProof/>
            <w:webHidden/>
          </w:rPr>
          <w:instrText xml:space="preserve"> PAGEREF _Toc129350926 \h </w:instrText>
        </w:r>
        <w:r>
          <w:rPr>
            <w:noProof/>
            <w:webHidden/>
          </w:rPr>
        </w:r>
        <w:r>
          <w:rPr>
            <w:noProof/>
            <w:webHidden/>
          </w:rPr>
          <w:fldChar w:fldCharType="separate"/>
        </w:r>
        <w:r>
          <w:rPr>
            <w:noProof/>
            <w:webHidden/>
          </w:rPr>
          <w:t>182</w:t>
        </w:r>
        <w:r>
          <w:rPr>
            <w:noProof/>
            <w:webHidden/>
          </w:rPr>
          <w:fldChar w:fldCharType="end"/>
        </w:r>
      </w:hyperlink>
    </w:p>
    <w:p w14:paraId="5D545395" w14:textId="7EF61F9F" w:rsidR="00D91260" w:rsidRDefault="000C0EBD" w:rsidP="003C648C">
      <w:pPr>
        <w:pStyle w:val="TOC1"/>
      </w:pPr>
      <w:r>
        <w:fldChar w:fldCharType="end"/>
      </w:r>
    </w:p>
    <w:p w14:paraId="3B56A549" w14:textId="04CA265B" w:rsidR="00D11C52" w:rsidRDefault="00D11C52" w:rsidP="00A302A5">
      <w:pPr>
        <w:pStyle w:val="TOC1"/>
      </w:pPr>
    </w:p>
    <w:p w14:paraId="2EB0E88F" w14:textId="089CD630" w:rsidR="00AA636C" w:rsidRPr="005B4DB2" w:rsidRDefault="00AA636C" w:rsidP="005B4DB2">
      <w:pPr>
        <w:pStyle w:val="nonTOCheading"/>
      </w:pPr>
      <w:r w:rsidRPr="005B4DB2">
        <w:t>List of figures</w:t>
      </w:r>
    </w:p>
    <w:p w14:paraId="55D37F8D" w14:textId="3904CE05" w:rsidR="00145F42" w:rsidRPr="001E6E81" w:rsidRDefault="00D84870">
      <w:pPr>
        <w:pStyle w:val="TableofFigures"/>
        <w:tabs>
          <w:tab w:val="right" w:leader="dot" w:pos="9628"/>
        </w:tabs>
        <w:rPr>
          <w:rFonts w:asciiTheme="minorHAnsi" w:eastAsiaTheme="minorEastAsia" w:hAnsiTheme="minorHAnsi"/>
          <w:noProof/>
          <w:lang w:eastAsia="en-GB"/>
        </w:rPr>
      </w:pPr>
      <w:r>
        <w:fldChar w:fldCharType="begin"/>
      </w:r>
      <w:r>
        <w:instrText xml:space="preserve"> TOC \h \z \c "Figure" </w:instrText>
      </w:r>
      <w:r>
        <w:fldChar w:fldCharType="separate"/>
      </w:r>
      <w:hyperlink w:anchor="_Toc129350927" w:history="1">
        <w:r w:rsidR="00145F42" w:rsidRPr="001E6E81">
          <w:rPr>
            <w:rStyle w:val="Hyperlink"/>
            <w:noProof/>
          </w:rPr>
          <w:t>Figure 1: Trastuzumab deruxtecan mechanism of action</w:t>
        </w:r>
        <w:r w:rsidR="00145F42" w:rsidRPr="001E6E81">
          <w:rPr>
            <w:rStyle w:val="Hyperlink"/>
            <w:rFonts w:cs="Arial"/>
            <w:noProof/>
            <w:vertAlign w:val="superscript"/>
          </w:rPr>
          <w:t>20</w:t>
        </w:r>
        <w:r w:rsidR="00145F42" w:rsidRPr="001E6E81">
          <w:rPr>
            <w:noProof/>
            <w:webHidden/>
          </w:rPr>
          <w:tab/>
        </w:r>
        <w:r w:rsidR="00145F42" w:rsidRPr="001E6E81">
          <w:rPr>
            <w:noProof/>
            <w:webHidden/>
          </w:rPr>
          <w:fldChar w:fldCharType="begin"/>
        </w:r>
        <w:r w:rsidR="00145F42" w:rsidRPr="001E6E81">
          <w:rPr>
            <w:noProof/>
            <w:webHidden/>
          </w:rPr>
          <w:instrText xml:space="preserve"> PAGEREF _Toc129350927 \h </w:instrText>
        </w:r>
        <w:r w:rsidR="00145F42" w:rsidRPr="001E6E81">
          <w:rPr>
            <w:noProof/>
            <w:webHidden/>
          </w:rPr>
        </w:r>
        <w:r w:rsidR="00145F42" w:rsidRPr="001E6E81">
          <w:rPr>
            <w:noProof/>
            <w:webHidden/>
          </w:rPr>
          <w:fldChar w:fldCharType="separate"/>
        </w:r>
        <w:r w:rsidR="00145F42" w:rsidRPr="001E6E81">
          <w:rPr>
            <w:noProof/>
            <w:webHidden/>
          </w:rPr>
          <w:t>16</w:t>
        </w:r>
        <w:r w:rsidR="00145F42" w:rsidRPr="001E6E81">
          <w:rPr>
            <w:noProof/>
            <w:webHidden/>
          </w:rPr>
          <w:fldChar w:fldCharType="end"/>
        </w:r>
      </w:hyperlink>
    </w:p>
    <w:p w14:paraId="2DD11A9E" w14:textId="5E3BC800" w:rsidR="00145F42" w:rsidRPr="001E6E81" w:rsidRDefault="00145F42">
      <w:pPr>
        <w:pStyle w:val="TableofFigures"/>
        <w:tabs>
          <w:tab w:val="right" w:leader="dot" w:pos="9628"/>
        </w:tabs>
        <w:rPr>
          <w:rFonts w:asciiTheme="minorHAnsi" w:eastAsiaTheme="minorEastAsia" w:hAnsiTheme="minorHAnsi"/>
          <w:noProof/>
          <w:lang w:eastAsia="en-GB"/>
        </w:rPr>
      </w:pPr>
      <w:hyperlink w:anchor="_Toc129350928" w:history="1">
        <w:r w:rsidRPr="001E6E81">
          <w:rPr>
            <w:rStyle w:val="Hyperlink"/>
            <w:noProof/>
          </w:rPr>
          <w:t>Figure 2: Staging of invasive BC according to the AJCC</w:t>
        </w:r>
        <w:r w:rsidRPr="001E6E81">
          <w:rPr>
            <w:noProof/>
            <w:webHidden/>
          </w:rPr>
          <w:tab/>
        </w:r>
        <w:r w:rsidRPr="001E6E81">
          <w:rPr>
            <w:noProof/>
            <w:webHidden/>
          </w:rPr>
          <w:fldChar w:fldCharType="begin"/>
        </w:r>
        <w:r w:rsidRPr="001E6E81">
          <w:rPr>
            <w:noProof/>
            <w:webHidden/>
          </w:rPr>
          <w:instrText xml:space="preserve"> PAGEREF _Toc129350928 \h </w:instrText>
        </w:r>
        <w:r w:rsidRPr="001E6E81">
          <w:rPr>
            <w:noProof/>
            <w:webHidden/>
          </w:rPr>
        </w:r>
        <w:r w:rsidRPr="001E6E81">
          <w:rPr>
            <w:noProof/>
            <w:webHidden/>
          </w:rPr>
          <w:fldChar w:fldCharType="separate"/>
        </w:r>
        <w:r w:rsidRPr="001E6E81">
          <w:rPr>
            <w:noProof/>
            <w:webHidden/>
          </w:rPr>
          <w:t>20</w:t>
        </w:r>
        <w:r w:rsidRPr="001E6E81">
          <w:rPr>
            <w:noProof/>
            <w:webHidden/>
          </w:rPr>
          <w:fldChar w:fldCharType="end"/>
        </w:r>
      </w:hyperlink>
    </w:p>
    <w:p w14:paraId="49F6E36F" w14:textId="77CAE5D1" w:rsidR="00145F42" w:rsidRPr="001E6E81" w:rsidRDefault="00145F42">
      <w:pPr>
        <w:pStyle w:val="TableofFigures"/>
        <w:tabs>
          <w:tab w:val="right" w:leader="dot" w:pos="9628"/>
        </w:tabs>
        <w:rPr>
          <w:rFonts w:asciiTheme="minorHAnsi" w:eastAsiaTheme="minorEastAsia" w:hAnsiTheme="minorHAnsi"/>
          <w:noProof/>
          <w:lang w:eastAsia="en-GB"/>
        </w:rPr>
      </w:pPr>
      <w:hyperlink w:anchor="_Toc129350929" w:history="1">
        <w:r w:rsidRPr="001E6E81">
          <w:rPr>
            <w:rStyle w:val="Hyperlink"/>
            <w:noProof/>
          </w:rPr>
          <w:t>Figure 3: HER2 testing paradigm</w:t>
        </w:r>
        <w:r w:rsidRPr="001E6E81">
          <w:rPr>
            <w:noProof/>
            <w:webHidden/>
          </w:rPr>
          <w:tab/>
        </w:r>
        <w:r w:rsidRPr="001E6E81">
          <w:rPr>
            <w:noProof/>
            <w:webHidden/>
          </w:rPr>
          <w:fldChar w:fldCharType="begin"/>
        </w:r>
        <w:r w:rsidRPr="001E6E81">
          <w:rPr>
            <w:noProof/>
            <w:webHidden/>
          </w:rPr>
          <w:instrText xml:space="preserve"> PAGEREF _Toc129350929 \h </w:instrText>
        </w:r>
        <w:r w:rsidRPr="001E6E81">
          <w:rPr>
            <w:noProof/>
            <w:webHidden/>
          </w:rPr>
        </w:r>
        <w:r w:rsidRPr="001E6E81">
          <w:rPr>
            <w:noProof/>
            <w:webHidden/>
          </w:rPr>
          <w:fldChar w:fldCharType="separate"/>
        </w:r>
        <w:r w:rsidRPr="001E6E81">
          <w:rPr>
            <w:noProof/>
            <w:webHidden/>
          </w:rPr>
          <w:t>22</w:t>
        </w:r>
        <w:r w:rsidRPr="001E6E81">
          <w:rPr>
            <w:noProof/>
            <w:webHidden/>
          </w:rPr>
          <w:fldChar w:fldCharType="end"/>
        </w:r>
      </w:hyperlink>
    </w:p>
    <w:p w14:paraId="1F7FF078" w14:textId="70B9C65C" w:rsidR="00145F42" w:rsidRPr="001E6E81" w:rsidRDefault="00145F42">
      <w:pPr>
        <w:pStyle w:val="TableofFigures"/>
        <w:tabs>
          <w:tab w:val="right" w:leader="dot" w:pos="9628"/>
        </w:tabs>
        <w:rPr>
          <w:rFonts w:asciiTheme="minorHAnsi" w:eastAsiaTheme="minorEastAsia" w:hAnsiTheme="minorHAnsi"/>
          <w:noProof/>
          <w:lang w:eastAsia="en-GB"/>
        </w:rPr>
      </w:pPr>
      <w:hyperlink w:anchor="_Toc129350930" w:history="1">
        <w:r w:rsidRPr="001E6E81">
          <w:rPr>
            <w:rStyle w:val="Hyperlink"/>
            <w:noProof/>
          </w:rPr>
          <w:t>Figure 4: Patient QoL according to EQ-5D-5L by disease stage</w:t>
        </w:r>
        <w:r w:rsidRPr="001E6E81">
          <w:rPr>
            <w:noProof/>
            <w:webHidden/>
          </w:rPr>
          <w:tab/>
        </w:r>
        <w:r w:rsidRPr="001E6E81">
          <w:rPr>
            <w:noProof/>
            <w:webHidden/>
          </w:rPr>
          <w:fldChar w:fldCharType="begin"/>
        </w:r>
        <w:r w:rsidRPr="001E6E81">
          <w:rPr>
            <w:noProof/>
            <w:webHidden/>
          </w:rPr>
          <w:instrText xml:space="preserve"> PAGEREF _Toc129350930 \h </w:instrText>
        </w:r>
        <w:r w:rsidRPr="001E6E81">
          <w:rPr>
            <w:noProof/>
            <w:webHidden/>
          </w:rPr>
        </w:r>
        <w:r w:rsidRPr="001E6E81">
          <w:rPr>
            <w:noProof/>
            <w:webHidden/>
          </w:rPr>
          <w:fldChar w:fldCharType="separate"/>
        </w:r>
        <w:r w:rsidRPr="001E6E81">
          <w:rPr>
            <w:noProof/>
            <w:webHidden/>
          </w:rPr>
          <w:t>24</w:t>
        </w:r>
        <w:r w:rsidRPr="001E6E81">
          <w:rPr>
            <w:noProof/>
            <w:webHidden/>
          </w:rPr>
          <w:fldChar w:fldCharType="end"/>
        </w:r>
      </w:hyperlink>
    </w:p>
    <w:p w14:paraId="0A38E897" w14:textId="5EA62232" w:rsidR="00145F42" w:rsidRPr="001E6E81" w:rsidRDefault="00145F42">
      <w:pPr>
        <w:pStyle w:val="TableofFigures"/>
        <w:tabs>
          <w:tab w:val="right" w:leader="dot" w:pos="9628"/>
        </w:tabs>
        <w:rPr>
          <w:rFonts w:asciiTheme="minorHAnsi" w:eastAsiaTheme="minorEastAsia" w:hAnsiTheme="minorHAnsi"/>
          <w:noProof/>
          <w:lang w:eastAsia="en-GB"/>
        </w:rPr>
      </w:pPr>
      <w:hyperlink w:anchor="_Toc129350931" w:history="1">
        <w:r w:rsidRPr="001E6E81">
          <w:rPr>
            <w:rStyle w:val="Hyperlink"/>
            <w:noProof/>
          </w:rPr>
          <w:t>Figure 5: Current treatment pathway for HER2-low/HR-positive u/mBC in England</w:t>
        </w:r>
        <w:r w:rsidRPr="001E6E81">
          <w:rPr>
            <w:noProof/>
            <w:webHidden/>
          </w:rPr>
          <w:tab/>
        </w:r>
        <w:r w:rsidRPr="001E6E81">
          <w:rPr>
            <w:noProof/>
            <w:webHidden/>
          </w:rPr>
          <w:fldChar w:fldCharType="begin"/>
        </w:r>
        <w:r w:rsidRPr="001E6E81">
          <w:rPr>
            <w:noProof/>
            <w:webHidden/>
          </w:rPr>
          <w:instrText xml:space="preserve"> PAGEREF _Toc129350931 \h </w:instrText>
        </w:r>
        <w:r w:rsidRPr="001E6E81">
          <w:rPr>
            <w:noProof/>
            <w:webHidden/>
          </w:rPr>
        </w:r>
        <w:r w:rsidRPr="001E6E81">
          <w:rPr>
            <w:noProof/>
            <w:webHidden/>
          </w:rPr>
          <w:fldChar w:fldCharType="separate"/>
        </w:r>
        <w:r w:rsidRPr="001E6E81">
          <w:rPr>
            <w:noProof/>
            <w:webHidden/>
          </w:rPr>
          <w:t>33</w:t>
        </w:r>
        <w:r w:rsidRPr="001E6E81">
          <w:rPr>
            <w:noProof/>
            <w:webHidden/>
          </w:rPr>
          <w:fldChar w:fldCharType="end"/>
        </w:r>
      </w:hyperlink>
    </w:p>
    <w:p w14:paraId="443F96C9" w14:textId="2FD823DC" w:rsidR="00145F42" w:rsidRPr="001E6E81" w:rsidRDefault="00145F42">
      <w:pPr>
        <w:pStyle w:val="TableofFigures"/>
        <w:tabs>
          <w:tab w:val="right" w:leader="dot" w:pos="9628"/>
        </w:tabs>
        <w:rPr>
          <w:rFonts w:asciiTheme="minorHAnsi" w:eastAsiaTheme="minorEastAsia" w:hAnsiTheme="minorHAnsi"/>
          <w:noProof/>
          <w:lang w:eastAsia="en-GB"/>
        </w:rPr>
      </w:pPr>
      <w:hyperlink w:anchor="_Toc129350932" w:history="1">
        <w:r w:rsidRPr="001E6E81">
          <w:rPr>
            <w:rStyle w:val="Hyperlink"/>
            <w:noProof/>
          </w:rPr>
          <w:t>Figure 6: Current pathway for HER2-low/HR-negative u/mBC in England*</w:t>
        </w:r>
        <w:r w:rsidRPr="001E6E81">
          <w:rPr>
            <w:noProof/>
            <w:webHidden/>
          </w:rPr>
          <w:tab/>
        </w:r>
        <w:r w:rsidRPr="001E6E81">
          <w:rPr>
            <w:noProof/>
            <w:webHidden/>
          </w:rPr>
          <w:fldChar w:fldCharType="begin"/>
        </w:r>
        <w:r w:rsidRPr="001E6E81">
          <w:rPr>
            <w:noProof/>
            <w:webHidden/>
          </w:rPr>
          <w:instrText xml:space="preserve"> PAGEREF _Toc129350932 \h </w:instrText>
        </w:r>
        <w:r w:rsidRPr="001E6E81">
          <w:rPr>
            <w:noProof/>
            <w:webHidden/>
          </w:rPr>
        </w:r>
        <w:r w:rsidRPr="001E6E81">
          <w:rPr>
            <w:noProof/>
            <w:webHidden/>
          </w:rPr>
          <w:fldChar w:fldCharType="separate"/>
        </w:r>
        <w:r w:rsidRPr="001E6E81">
          <w:rPr>
            <w:noProof/>
            <w:webHidden/>
          </w:rPr>
          <w:t>34</w:t>
        </w:r>
        <w:r w:rsidRPr="001E6E81">
          <w:rPr>
            <w:noProof/>
            <w:webHidden/>
          </w:rPr>
          <w:fldChar w:fldCharType="end"/>
        </w:r>
      </w:hyperlink>
    </w:p>
    <w:p w14:paraId="5688841F" w14:textId="2D2FE3DD" w:rsidR="00145F42" w:rsidRPr="001E6E81" w:rsidRDefault="00145F42">
      <w:pPr>
        <w:pStyle w:val="TableofFigures"/>
        <w:tabs>
          <w:tab w:val="right" w:leader="dot" w:pos="9628"/>
        </w:tabs>
        <w:rPr>
          <w:rFonts w:asciiTheme="minorHAnsi" w:eastAsiaTheme="minorEastAsia" w:hAnsiTheme="minorHAnsi"/>
          <w:noProof/>
          <w:lang w:eastAsia="en-GB"/>
        </w:rPr>
      </w:pPr>
      <w:hyperlink w:anchor="_Toc129350933" w:history="1">
        <w:r w:rsidRPr="001E6E81">
          <w:rPr>
            <w:rStyle w:val="Hyperlink"/>
            <w:noProof/>
          </w:rPr>
          <w:t>Figure 7: Proposed positioning of T-DXd in HER2-low/HR-positive u/mBC pathway*</w:t>
        </w:r>
        <w:r w:rsidRPr="001E6E81">
          <w:rPr>
            <w:noProof/>
            <w:webHidden/>
          </w:rPr>
          <w:tab/>
        </w:r>
        <w:r w:rsidRPr="001E6E81">
          <w:rPr>
            <w:noProof/>
            <w:webHidden/>
          </w:rPr>
          <w:fldChar w:fldCharType="begin"/>
        </w:r>
        <w:r w:rsidRPr="001E6E81">
          <w:rPr>
            <w:noProof/>
            <w:webHidden/>
          </w:rPr>
          <w:instrText xml:space="preserve"> PAGEREF _Toc129350933 \h </w:instrText>
        </w:r>
        <w:r w:rsidRPr="001E6E81">
          <w:rPr>
            <w:noProof/>
            <w:webHidden/>
          </w:rPr>
        </w:r>
        <w:r w:rsidRPr="001E6E81">
          <w:rPr>
            <w:noProof/>
            <w:webHidden/>
          </w:rPr>
          <w:fldChar w:fldCharType="separate"/>
        </w:r>
        <w:r w:rsidRPr="001E6E81">
          <w:rPr>
            <w:noProof/>
            <w:webHidden/>
          </w:rPr>
          <w:t>36</w:t>
        </w:r>
        <w:r w:rsidRPr="001E6E81">
          <w:rPr>
            <w:noProof/>
            <w:webHidden/>
          </w:rPr>
          <w:fldChar w:fldCharType="end"/>
        </w:r>
      </w:hyperlink>
    </w:p>
    <w:p w14:paraId="4E4170B4" w14:textId="359BDA67" w:rsidR="00145F42" w:rsidRPr="001E6E81" w:rsidRDefault="00145F42">
      <w:pPr>
        <w:pStyle w:val="TableofFigures"/>
        <w:tabs>
          <w:tab w:val="right" w:leader="dot" w:pos="9628"/>
        </w:tabs>
        <w:rPr>
          <w:rFonts w:asciiTheme="minorHAnsi" w:eastAsiaTheme="minorEastAsia" w:hAnsiTheme="minorHAnsi"/>
          <w:noProof/>
          <w:lang w:eastAsia="en-GB"/>
        </w:rPr>
      </w:pPr>
      <w:hyperlink w:anchor="_Toc129350934" w:history="1">
        <w:r w:rsidRPr="001E6E81">
          <w:rPr>
            <w:rStyle w:val="Hyperlink"/>
            <w:noProof/>
          </w:rPr>
          <w:t>Figure 8: Proposed positioning of T-DXd in HER2-low/HR-negative u/mBC pathway*</w:t>
        </w:r>
        <w:r w:rsidRPr="001E6E81">
          <w:rPr>
            <w:noProof/>
            <w:webHidden/>
          </w:rPr>
          <w:tab/>
        </w:r>
        <w:r w:rsidRPr="001E6E81">
          <w:rPr>
            <w:noProof/>
            <w:webHidden/>
          </w:rPr>
          <w:fldChar w:fldCharType="begin"/>
        </w:r>
        <w:r w:rsidRPr="001E6E81">
          <w:rPr>
            <w:noProof/>
            <w:webHidden/>
          </w:rPr>
          <w:instrText xml:space="preserve"> PAGEREF _Toc129350934 \h </w:instrText>
        </w:r>
        <w:r w:rsidRPr="001E6E81">
          <w:rPr>
            <w:noProof/>
            <w:webHidden/>
          </w:rPr>
        </w:r>
        <w:r w:rsidRPr="001E6E81">
          <w:rPr>
            <w:noProof/>
            <w:webHidden/>
          </w:rPr>
          <w:fldChar w:fldCharType="separate"/>
        </w:r>
        <w:r w:rsidRPr="001E6E81">
          <w:rPr>
            <w:noProof/>
            <w:webHidden/>
          </w:rPr>
          <w:t>37</w:t>
        </w:r>
        <w:r w:rsidRPr="001E6E81">
          <w:rPr>
            <w:noProof/>
            <w:webHidden/>
          </w:rPr>
          <w:fldChar w:fldCharType="end"/>
        </w:r>
      </w:hyperlink>
    </w:p>
    <w:p w14:paraId="3F8D8242" w14:textId="6BEB4590" w:rsidR="00145F42" w:rsidRPr="001E6E81" w:rsidRDefault="00145F42">
      <w:pPr>
        <w:pStyle w:val="TableofFigures"/>
        <w:tabs>
          <w:tab w:val="right" w:leader="dot" w:pos="9628"/>
        </w:tabs>
        <w:rPr>
          <w:rFonts w:asciiTheme="minorHAnsi" w:eastAsiaTheme="minorEastAsia" w:hAnsiTheme="minorHAnsi"/>
          <w:noProof/>
          <w:lang w:eastAsia="en-GB"/>
        </w:rPr>
      </w:pPr>
      <w:hyperlink w:anchor="_Toc129350935" w:history="1">
        <w:r w:rsidRPr="001E6E81">
          <w:rPr>
            <w:rStyle w:val="Hyperlink"/>
            <w:noProof/>
          </w:rPr>
          <w:t>Figure 9: DESTINY-Breast04 | Study design</w:t>
        </w:r>
        <w:r w:rsidRPr="001E6E81">
          <w:rPr>
            <w:noProof/>
            <w:webHidden/>
          </w:rPr>
          <w:tab/>
        </w:r>
        <w:r w:rsidRPr="001E6E81">
          <w:rPr>
            <w:noProof/>
            <w:webHidden/>
          </w:rPr>
          <w:fldChar w:fldCharType="begin"/>
        </w:r>
        <w:r w:rsidRPr="001E6E81">
          <w:rPr>
            <w:noProof/>
            <w:webHidden/>
          </w:rPr>
          <w:instrText xml:space="preserve"> PAGEREF _Toc129350935 \h </w:instrText>
        </w:r>
        <w:r w:rsidRPr="001E6E81">
          <w:rPr>
            <w:noProof/>
            <w:webHidden/>
          </w:rPr>
        </w:r>
        <w:r w:rsidRPr="001E6E81">
          <w:rPr>
            <w:noProof/>
            <w:webHidden/>
          </w:rPr>
          <w:fldChar w:fldCharType="separate"/>
        </w:r>
        <w:r w:rsidRPr="001E6E81">
          <w:rPr>
            <w:noProof/>
            <w:webHidden/>
          </w:rPr>
          <w:t>48</w:t>
        </w:r>
        <w:r w:rsidRPr="001E6E81">
          <w:rPr>
            <w:noProof/>
            <w:webHidden/>
          </w:rPr>
          <w:fldChar w:fldCharType="end"/>
        </w:r>
      </w:hyperlink>
    </w:p>
    <w:p w14:paraId="32CAE1CA" w14:textId="7A13019A" w:rsidR="00145F42" w:rsidRPr="001E6E81" w:rsidRDefault="00145F42">
      <w:pPr>
        <w:pStyle w:val="TableofFigures"/>
        <w:tabs>
          <w:tab w:val="right" w:leader="dot" w:pos="9628"/>
        </w:tabs>
        <w:rPr>
          <w:rFonts w:asciiTheme="minorHAnsi" w:eastAsiaTheme="minorEastAsia" w:hAnsiTheme="minorHAnsi"/>
          <w:noProof/>
          <w:lang w:eastAsia="en-GB"/>
        </w:rPr>
      </w:pPr>
      <w:hyperlink w:anchor="_Toc129350936" w:history="1">
        <w:r w:rsidRPr="001E6E81">
          <w:rPr>
            <w:rStyle w:val="Hyperlink"/>
            <w:rFonts w:cs="Arial"/>
            <w:noProof/>
          </w:rPr>
          <w:t>Figure 10: DESTINY-Breast04 | Patient disposition</w:t>
        </w:r>
        <w:r w:rsidRPr="001E6E81">
          <w:rPr>
            <w:noProof/>
            <w:webHidden/>
          </w:rPr>
          <w:tab/>
        </w:r>
        <w:r w:rsidRPr="001E6E81">
          <w:rPr>
            <w:noProof/>
            <w:webHidden/>
          </w:rPr>
          <w:fldChar w:fldCharType="begin"/>
        </w:r>
        <w:r w:rsidRPr="001E6E81">
          <w:rPr>
            <w:noProof/>
            <w:webHidden/>
          </w:rPr>
          <w:instrText xml:space="preserve"> PAGEREF _Toc129350936 \h </w:instrText>
        </w:r>
        <w:r w:rsidRPr="001E6E81">
          <w:rPr>
            <w:noProof/>
            <w:webHidden/>
          </w:rPr>
        </w:r>
        <w:r w:rsidRPr="001E6E81">
          <w:rPr>
            <w:noProof/>
            <w:webHidden/>
          </w:rPr>
          <w:fldChar w:fldCharType="separate"/>
        </w:r>
        <w:r w:rsidRPr="001E6E81">
          <w:rPr>
            <w:noProof/>
            <w:webHidden/>
          </w:rPr>
          <w:t>64</w:t>
        </w:r>
        <w:r w:rsidRPr="001E6E81">
          <w:rPr>
            <w:noProof/>
            <w:webHidden/>
          </w:rPr>
          <w:fldChar w:fldCharType="end"/>
        </w:r>
      </w:hyperlink>
    </w:p>
    <w:p w14:paraId="2C44C49F" w14:textId="59C3FDB8" w:rsidR="00145F42" w:rsidRPr="001E6E81" w:rsidRDefault="00145F42">
      <w:pPr>
        <w:pStyle w:val="TableofFigures"/>
        <w:tabs>
          <w:tab w:val="right" w:leader="dot" w:pos="9628"/>
        </w:tabs>
        <w:rPr>
          <w:rFonts w:asciiTheme="minorHAnsi" w:eastAsiaTheme="minorEastAsia" w:hAnsiTheme="minorHAnsi"/>
          <w:noProof/>
          <w:lang w:eastAsia="en-GB"/>
        </w:rPr>
      </w:pPr>
      <w:hyperlink w:anchor="_Toc129350937" w:history="1">
        <w:r w:rsidRPr="001E6E81">
          <w:rPr>
            <w:rStyle w:val="Hyperlink"/>
            <w:noProof/>
          </w:rPr>
          <w:t>Figure 11: DESTINY-Breast04 | Kaplan-Meier of PFS by BICR | HR-positive cohort</w:t>
        </w:r>
        <w:r w:rsidRPr="001E6E81">
          <w:rPr>
            <w:noProof/>
            <w:webHidden/>
          </w:rPr>
          <w:tab/>
        </w:r>
        <w:r w:rsidRPr="001E6E81">
          <w:rPr>
            <w:noProof/>
            <w:webHidden/>
          </w:rPr>
          <w:fldChar w:fldCharType="begin"/>
        </w:r>
        <w:r w:rsidRPr="001E6E81">
          <w:rPr>
            <w:noProof/>
            <w:webHidden/>
          </w:rPr>
          <w:instrText xml:space="preserve"> PAGEREF _Toc129350937 \h </w:instrText>
        </w:r>
        <w:r w:rsidRPr="001E6E81">
          <w:rPr>
            <w:noProof/>
            <w:webHidden/>
          </w:rPr>
        </w:r>
        <w:r w:rsidRPr="001E6E81">
          <w:rPr>
            <w:noProof/>
            <w:webHidden/>
          </w:rPr>
          <w:fldChar w:fldCharType="separate"/>
        </w:r>
        <w:r w:rsidRPr="001E6E81">
          <w:rPr>
            <w:noProof/>
            <w:webHidden/>
          </w:rPr>
          <w:t>71</w:t>
        </w:r>
        <w:r w:rsidRPr="001E6E81">
          <w:rPr>
            <w:noProof/>
            <w:webHidden/>
          </w:rPr>
          <w:fldChar w:fldCharType="end"/>
        </w:r>
      </w:hyperlink>
    </w:p>
    <w:p w14:paraId="6537D11D" w14:textId="018E83F7" w:rsidR="00145F42" w:rsidRPr="001E6E81" w:rsidRDefault="00145F42">
      <w:pPr>
        <w:pStyle w:val="TableofFigures"/>
        <w:tabs>
          <w:tab w:val="right" w:leader="dot" w:pos="9628"/>
        </w:tabs>
        <w:rPr>
          <w:rFonts w:asciiTheme="minorHAnsi" w:eastAsiaTheme="minorEastAsia" w:hAnsiTheme="minorHAnsi"/>
          <w:noProof/>
          <w:lang w:eastAsia="en-GB"/>
        </w:rPr>
      </w:pPr>
      <w:hyperlink w:anchor="_Toc129350938" w:history="1">
        <w:r w:rsidRPr="001E6E81">
          <w:rPr>
            <w:rStyle w:val="Hyperlink"/>
            <w:noProof/>
          </w:rPr>
          <w:t>Figure 12: DESTINY-Breast04 | Kaplan-Meier of PFS by BICR | FAS</w:t>
        </w:r>
        <w:r w:rsidRPr="001E6E81">
          <w:rPr>
            <w:noProof/>
            <w:webHidden/>
          </w:rPr>
          <w:tab/>
        </w:r>
        <w:r w:rsidRPr="001E6E81">
          <w:rPr>
            <w:noProof/>
            <w:webHidden/>
          </w:rPr>
          <w:fldChar w:fldCharType="begin"/>
        </w:r>
        <w:r w:rsidRPr="001E6E81">
          <w:rPr>
            <w:noProof/>
            <w:webHidden/>
          </w:rPr>
          <w:instrText xml:space="preserve"> PAGEREF _Toc129350938 \h </w:instrText>
        </w:r>
        <w:r w:rsidRPr="001E6E81">
          <w:rPr>
            <w:noProof/>
            <w:webHidden/>
          </w:rPr>
        </w:r>
        <w:r w:rsidRPr="001E6E81">
          <w:rPr>
            <w:noProof/>
            <w:webHidden/>
          </w:rPr>
          <w:fldChar w:fldCharType="separate"/>
        </w:r>
        <w:r w:rsidRPr="001E6E81">
          <w:rPr>
            <w:noProof/>
            <w:webHidden/>
          </w:rPr>
          <w:t>73</w:t>
        </w:r>
        <w:r w:rsidRPr="001E6E81">
          <w:rPr>
            <w:noProof/>
            <w:webHidden/>
          </w:rPr>
          <w:fldChar w:fldCharType="end"/>
        </w:r>
      </w:hyperlink>
    </w:p>
    <w:p w14:paraId="295E3F12" w14:textId="3D794059" w:rsidR="00145F42" w:rsidRPr="001E6E81" w:rsidRDefault="00145F42">
      <w:pPr>
        <w:pStyle w:val="TableofFigures"/>
        <w:tabs>
          <w:tab w:val="right" w:leader="dot" w:pos="9628"/>
        </w:tabs>
        <w:rPr>
          <w:rFonts w:asciiTheme="minorHAnsi" w:eastAsiaTheme="minorEastAsia" w:hAnsiTheme="minorHAnsi"/>
          <w:noProof/>
          <w:lang w:eastAsia="en-GB"/>
        </w:rPr>
      </w:pPr>
      <w:hyperlink w:anchor="_Toc129350939" w:history="1">
        <w:r w:rsidRPr="001E6E81">
          <w:rPr>
            <w:rStyle w:val="Hyperlink"/>
            <w:noProof/>
          </w:rPr>
          <w:t>Figure 13: DESTINY-Breast04 | Kaplan-Meier of OS | HR-positive cohort</w:t>
        </w:r>
        <w:r w:rsidRPr="001E6E81">
          <w:rPr>
            <w:noProof/>
            <w:webHidden/>
          </w:rPr>
          <w:tab/>
        </w:r>
        <w:r w:rsidRPr="001E6E81">
          <w:rPr>
            <w:noProof/>
            <w:webHidden/>
          </w:rPr>
          <w:fldChar w:fldCharType="begin"/>
        </w:r>
        <w:r w:rsidRPr="001E6E81">
          <w:rPr>
            <w:noProof/>
            <w:webHidden/>
          </w:rPr>
          <w:instrText xml:space="preserve"> PAGEREF _Toc129350939 \h </w:instrText>
        </w:r>
        <w:r w:rsidRPr="001E6E81">
          <w:rPr>
            <w:noProof/>
            <w:webHidden/>
          </w:rPr>
        </w:r>
        <w:r w:rsidRPr="001E6E81">
          <w:rPr>
            <w:noProof/>
            <w:webHidden/>
          </w:rPr>
          <w:fldChar w:fldCharType="separate"/>
        </w:r>
        <w:r w:rsidRPr="001E6E81">
          <w:rPr>
            <w:noProof/>
            <w:webHidden/>
          </w:rPr>
          <w:t>75</w:t>
        </w:r>
        <w:r w:rsidRPr="001E6E81">
          <w:rPr>
            <w:noProof/>
            <w:webHidden/>
          </w:rPr>
          <w:fldChar w:fldCharType="end"/>
        </w:r>
      </w:hyperlink>
    </w:p>
    <w:p w14:paraId="1FA660D8" w14:textId="6FA99117" w:rsidR="00145F42" w:rsidRPr="001E6E81" w:rsidRDefault="00145F42">
      <w:pPr>
        <w:pStyle w:val="TableofFigures"/>
        <w:tabs>
          <w:tab w:val="right" w:leader="dot" w:pos="9628"/>
        </w:tabs>
        <w:rPr>
          <w:rFonts w:asciiTheme="minorHAnsi" w:eastAsiaTheme="minorEastAsia" w:hAnsiTheme="minorHAnsi"/>
          <w:noProof/>
          <w:lang w:eastAsia="en-GB"/>
        </w:rPr>
      </w:pPr>
      <w:hyperlink w:anchor="_Toc129350940" w:history="1">
        <w:r w:rsidRPr="001E6E81">
          <w:rPr>
            <w:rStyle w:val="Hyperlink"/>
            <w:noProof/>
          </w:rPr>
          <w:t>Figure 14: DESTINY-Breast04 | Kaplan-Meier of OS | FAS</w:t>
        </w:r>
        <w:r w:rsidRPr="001E6E81">
          <w:rPr>
            <w:noProof/>
            <w:webHidden/>
          </w:rPr>
          <w:tab/>
        </w:r>
        <w:r w:rsidRPr="001E6E81">
          <w:rPr>
            <w:noProof/>
            <w:webHidden/>
          </w:rPr>
          <w:fldChar w:fldCharType="begin"/>
        </w:r>
        <w:r w:rsidRPr="001E6E81">
          <w:rPr>
            <w:noProof/>
            <w:webHidden/>
          </w:rPr>
          <w:instrText xml:space="preserve"> PAGEREF _Toc129350940 \h </w:instrText>
        </w:r>
        <w:r w:rsidRPr="001E6E81">
          <w:rPr>
            <w:noProof/>
            <w:webHidden/>
          </w:rPr>
        </w:r>
        <w:r w:rsidRPr="001E6E81">
          <w:rPr>
            <w:noProof/>
            <w:webHidden/>
          </w:rPr>
          <w:fldChar w:fldCharType="separate"/>
        </w:r>
        <w:r w:rsidRPr="001E6E81">
          <w:rPr>
            <w:noProof/>
            <w:webHidden/>
          </w:rPr>
          <w:t>77</w:t>
        </w:r>
        <w:r w:rsidRPr="001E6E81">
          <w:rPr>
            <w:noProof/>
            <w:webHidden/>
          </w:rPr>
          <w:fldChar w:fldCharType="end"/>
        </w:r>
      </w:hyperlink>
    </w:p>
    <w:p w14:paraId="4CDE0700" w14:textId="2694E5FB" w:rsidR="00145F42" w:rsidRPr="001E6E81" w:rsidRDefault="00145F42">
      <w:pPr>
        <w:pStyle w:val="TableofFigures"/>
        <w:tabs>
          <w:tab w:val="right" w:leader="dot" w:pos="9628"/>
        </w:tabs>
        <w:rPr>
          <w:rFonts w:asciiTheme="minorHAnsi" w:eastAsiaTheme="minorEastAsia" w:hAnsiTheme="minorHAnsi"/>
          <w:noProof/>
          <w:lang w:eastAsia="en-GB"/>
        </w:rPr>
      </w:pPr>
      <w:hyperlink w:anchor="_Toc129350941" w:history="1">
        <w:r w:rsidRPr="001E6E81">
          <w:rPr>
            <w:rStyle w:val="Hyperlink"/>
            <w:noProof/>
          </w:rPr>
          <w:t>Figure 15: DESTINY-Breast04 | Waterfall plot of percentage change in sum of diameters of target lesions from baseline to best post-baseline value based on BICR | FAS</w:t>
        </w:r>
        <w:r w:rsidRPr="001E6E81">
          <w:rPr>
            <w:noProof/>
            <w:webHidden/>
          </w:rPr>
          <w:tab/>
        </w:r>
        <w:r w:rsidRPr="001E6E81">
          <w:rPr>
            <w:noProof/>
            <w:webHidden/>
          </w:rPr>
          <w:fldChar w:fldCharType="begin"/>
        </w:r>
        <w:r w:rsidRPr="001E6E81">
          <w:rPr>
            <w:noProof/>
            <w:webHidden/>
          </w:rPr>
          <w:instrText xml:space="preserve"> PAGEREF _Toc129350941 \h </w:instrText>
        </w:r>
        <w:r w:rsidRPr="001E6E81">
          <w:rPr>
            <w:noProof/>
            <w:webHidden/>
          </w:rPr>
        </w:r>
        <w:r w:rsidRPr="001E6E81">
          <w:rPr>
            <w:noProof/>
            <w:webHidden/>
          </w:rPr>
          <w:fldChar w:fldCharType="separate"/>
        </w:r>
        <w:r w:rsidRPr="001E6E81">
          <w:rPr>
            <w:noProof/>
            <w:webHidden/>
          </w:rPr>
          <w:t>80</w:t>
        </w:r>
        <w:r w:rsidRPr="001E6E81">
          <w:rPr>
            <w:noProof/>
            <w:webHidden/>
          </w:rPr>
          <w:fldChar w:fldCharType="end"/>
        </w:r>
      </w:hyperlink>
    </w:p>
    <w:p w14:paraId="7CBF5E3E" w14:textId="3E6A9876" w:rsidR="00145F42" w:rsidRPr="001E6E81" w:rsidRDefault="00145F42">
      <w:pPr>
        <w:pStyle w:val="TableofFigures"/>
        <w:tabs>
          <w:tab w:val="right" w:leader="dot" w:pos="9628"/>
        </w:tabs>
        <w:rPr>
          <w:rFonts w:asciiTheme="minorHAnsi" w:eastAsiaTheme="minorEastAsia" w:hAnsiTheme="minorHAnsi"/>
          <w:noProof/>
          <w:lang w:eastAsia="en-GB"/>
        </w:rPr>
      </w:pPr>
      <w:hyperlink w:anchor="_Toc129350942" w:history="1">
        <w:r w:rsidRPr="001E6E81">
          <w:rPr>
            <w:rStyle w:val="Hyperlink"/>
            <w:noProof/>
          </w:rPr>
          <w:t>Figure 16: DESTINY-Breast04 | Kaplan-Meier plot of time to definitive deterioration of EQ-5D-5L VAS | FAS</w:t>
        </w:r>
        <w:r w:rsidRPr="001E6E81">
          <w:rPr>
            <w:noProof/>
            <w:webHidden/>
          </w:rPr>
          <w:tab/>
        </w:r>
        <w:r w:rsidRPr="001E6E81">
          <w:rPr>
            <w:noProof/>
            <w:webHidden/>
          </w:rPr>
          <w:fldChar w:fldCharType="begin"/>
        </w:r>
        <w:r w:rsidRPr="001E6E81">
          <w:rPr>
            <w:noProof/>
            <w:webHidden/>
          </w:rPr>
          <w:instrText xml:space="preserve"> PAGEREF _Toc129350942 \h </w:instrText>
        </w:r>
        <w:r w:rsidRPr="001E6E81">
          <w:rPr>
            <w:noProof/>
            <w:webHidden/>
          </w:rPr>
        </w:r>
        <w:r w:rsidRPr="001E6E81">
          <w:rPr>
            <w:noProof/>
            <w:webHidden/>
          </w:rPr>
          <w:fldChar w:fldCharType="separate"/>
        </w:r>
        <w:r w:rsidRPr="001E6E81">
          <w:rPr>
            <w:noProof/>
            <w:webHidden/>
          </w:rPr>
          <w:t>82</w:t>
        </w:r>
        <w:r w:rsidRPr="001E6E81">
          <w:rPr>
            <w:noProof/>
            <w:webHidden/>
          </w:rPr>
          <w:fldChar w:fldCharType="end"/>
        </w:r>
      </w:hyperlink>
    </w:p>
    <w:p w14:paraId="548F6928" w14:textId="7AF8D34E" w:rsidR="00145F42" w:rsidRPr="001E6E81" w:rsidRDefault="00145F42">
      <w:pPr>
        <w:pStyle w:val="TableofFigures"/>
        <w:tabs>
          <w:tab w:val="right" w:leader="dot" w:pos="9628"/>
        </w:tabs>
        <w:rPr>
          <w:rFonts w:asciiTheme="minorHAnsi" w:eastAsiaTheme="minorEastAsia" w:hAnsiTheme="minorHAnsi"/>
          <w:noProof/>
          <w:lang w:eastAsia="en-GB"/>
        </w:rPr>
      </w:pPr>
      <w:hyperlink w:anchor="_Toc129350943" w:history="1">
        <w:r w:rsidRPr="001E6E81">
          <w:rPr>
            <w:rStyle w:val="Hyperlink"/>
            <w:noProof/>
          </w:rPr>
          <w:t>Figure 17: DESTINY-Breast04 | Kaplan-Meier plot of time to definitive deterioration of EORTC QLQ-30 GHS | FAS</w:t>
        </w:r>
        <w:r w:rsidRPr="001E6E81">
          <w:rPr>
            <w:noProof/>
            <w:webHidden/>
          </w:rPr>
          <w:tab/>
        </w:r>
        <w:r w:rsidRPr="001E6E81">
          <w:rPr>
            <w:noProof/>
            <w:webHidden/>
          </w:rPr>
          <w:fldChar w:fldCharType="begin"/>
        </w:r>
        <w:r w:rsidRPr="001E6E81">
          <w:rPr>
            <w:noProof/>
            <w:webHidden/>
          </w:rPr>
          <w:instrText xml:space="preserve"> PAGEREF _Toc129350943 \h </w:instrText>
        </w:r>
        <w:r w:rsidRPr="001E6E81">
          <w:rPr>
            <w:noProof/>
            <w:webHidden/>
          </w:rPr>
        </w:r>
        <w:r w:rsidRPr="001E6E81">
          <w:rPr>
            <w:noProof/>
            <w:webHidden/>
          </w:rPr>
          <w:fldChar w:fldCharType="separate"/>
        </w:r>
        <w:r w:rsidRPr="001E6E81">
          <w:rPr>
            <w:noProof/>
            <w:webHidden/>
          </w:rPr>
          <w:t>83</w:t>
        </w:r>
        <w:r w:rsidRPr="001E6E81">
          <w:rPr>
            <w:noProof/>
            <w:webHidden/>
          </w:rPr>
          <w:fldChar w:fldCharType="end"/>
        </w:r>
      </w:hyperlink>
    </w:p>
    <w:p w14:paraId="1CC20E75" w14:textId="4B1231AF" w:rsidR="00145F42" w:rsidRPr="001E6E81" w:rsidRDefault="00145F42">
      <w:pPr>
        <w:pStyle w:val="TableofFigures"/>
        <w:tabs>
          <w:tab w:val="right" w:leader="dot" w:pos="9628"/>
        </w:tabs>
        <w:rPr>
          <w:rFonts w:asciiTheme="minorHAnsi" w:eastAsiaTheme="minorEastAsia" w:hAnsiTheme="minorHAnsi"/>
          <w:noProof/>
          <w:lang w:eastAsia="en-GB"/>
        </w:rPr>
      </w:pPr>
      <w:hyperlink w:anchor="_Toc129350944" w:history="1">
        <w:r w:rsidRPr="001E6E81">
          <w:rPr>
            <w:rStyle w:val="Hyperlink"/>
            <w:noProof/>
          </w:rPr>
          <w:t>Figure 18: DESTINY-Breast04 | Kaplan-Meier plot of time to definitive deterioration of the EORTC QLQ-C30 | HR-positive cohort</w:t>
        </w:r>
        <w:r w:rsidRPr="001E6E81">
          <w:rPr>
            <w:noProof/>
            <w:webHidden/>
          </w:rPr>
          <w:tab/>
        </w:r>
        <w:r w:rsidRPr="001E6E81">
          <w:rPr>
            <w:noProof/>
            <w:webHidden/>
          </w:rPr>
          <w:fldChar w:fldCharType="begin"/>
        </w:r>
        <w:r w:rsidRPr="001E6E81">
          <w:rPr>
            <w:noProof/>
            <w:webHidden/>
          </w:rPr>
          <w:instrText xml:space="preserve"> PAGEREF _Toc129350944 \h </w:instrText>
        </w:r>
        <w:r w:rsidRPr="001E6E81">
          <w:rPr>
            <w:noProof/>
            <w:webHidden/>
          </w:rPr>
        </w:r>
        <w:r w:rsidRPr="001E6E81">
          <w:rPr>
            <w:noProof/>
            <w:webHidden/>
          </w:rPr>
          <w:fldChar w:fldCharType="separate"/>
        </w:r>
        <w:r w:rsidRPr="001E6E81">
          <w:rPr>
            <w:noProof/>
            <w:webHidden/>
          </w:rPr>
          <w:t>83</w:t>
        </w:r>
        <w:r w:rsidRPr="001E6E81">
          <w:rPr>
            <w:noProof/>
            <w:webHidden/>
          </w:rPr>
          <w:fldChar w:fldCharType="end"/>
        </w:r>
      </w:hyperlink>
    </w:p>
    <w:p w14:paraId="5BB159B2" w14:textId="75AE7B0C" w:rsidR="00145F42" w:rsidRPr="001E6E81" w:rsidRDefault="00145F42">
      <w:pPr>
        <w:pStyle w:val="TableofFigures"/>
        <w:tabs>
          <w:tab w:val="right" w:leader="dot" w:pos="9628"/>
        </w:tabs>
        <w:rPr>
          <w:rFonts w:asciiTheme="minorHAnsi" w:eastAsiaTheme="minorEastAsia" w:hAnsiTheme="minorHAnsi"/>
          <w:noProof/>
          <w:lang w:eastAsia="en-GB"/>
        </w:rPr>
      </w:pPr>
      <w:hyperlink w:anchor="_Toc129350945" w:history="1">
        <w:r w:rsidRPr="001E6E81">
          <w:rPr>
            <w:rStyle w:val="Hyperlink"/>
            <w:noProof/>
          </w:rPr>
          <w:t>Figure 19: DESTINY-Breast04 | Time to definitive deterioration in PRO measures | HR-positive cohort</w:t>
        </w:r>
        <w:r w:rsidRPr="001E6E81">
          <w:rPr>
            <w:noProof/>
            <w:webHidden/>
          </w:rPr>
          <w:tab/>
        </w:r>
        <w:r w:rsidRPr="001E6E81">
          <w:rPr>
            <w:noProof/>
            <w:webHidden/>
          </w:rPr>
          <w:fldChar w:fldCharType="begin"/>
        </w:r>
        <w:r w:rsidRPr="001E6E81">
          <w:rPr>
            <w:noProof/>
            <w:webHidden/>
          </w:rPr>
          <w:instrText xml:space="preserve"> PAGEREF _Toc129350945 \h </w:instrText>
        </w:r>
        <w:r w:rsidRPr="001E6E81">
          <w:rPr>
            <w:noProof/>
            <w:webHidden/>
          </w:rPr>
        </w:r>
        <w:r w:rsidRPr="001E6E81">
          <w:rPr>
            <w:noProof/>
            <w:webHidden/>
          </w:rPr>
          <w:fldChar w:fldCharType="separate"/>
        </w:r>
        <w:r w:rsidRPr="001E6E81">
          <w:rPr>
            <w:noProof/>
            <w:webHidden/>
          </w:rPr>
          <w:t>84</w:t>
        </w:r>
        <w:r w:rsidRPr="001E6E81">
          <w:rPr>
            <w:noProof/>
            <w:webHidden/>
          </w:rPr>
          <w:fldChar w:fldCharType="end"/>
        </w:r>
      </w:hyperlink>
    </w:p>
    <w:p w14:paraId="3DCAEE89" w14:textId="31DFC891" w:rsidR="00145F42" w:rsidRPr="001E6E81" w:rsidRDefault="00145F42">
      <w:pPr>
        <w:pStyle w:val="TableofFigures"/>
        <w:tabs>
          <w:tab w:val="right" w:leader="dot" w:pos="9628"/>
        </w:tabs>
        <w:rPr>
          <w:rFonts w:asciiTheme="minorHAnsi" w:eastAsiaTheme="minorEastAsia" w:hAnsiTheme="minorHAnsi"/>
          <w:noProof/>
          <w:lang w:eastAsia="en-GB"/>
        </w:rPr>
      </w:pPr>
      <w:hyperlink w:anchor="_Toc129350946" w:history="1">
        <w:r w:rsidRPr="001E6E81">
          <w:rPr>
            <w:rStyle w:val="Hyperlink"/>
            <w:noProof/>
          </w:rPr>
          <w:t>Figure 20: DESTINY-Breast04 | Kaplan-Meier plot of time to definitive deterioration of EORTC QLQ-BR45 | FAS</w:t>
        </w:r>
        <w:r w:rsidRPr="001E6E81">
          <w:rPr>
            <w:noProof/>
            <w:webHidden/>
          </w:rPr>
          <w:tab/>
        </w:r>
        <w:r w:rsidRPr="001E6E81">
          <w:rPr>
            <w:noProof/>
            <w:webHidden/>
          </w:rPr>
          <w:fldChar w:fldCharType="begin"/>
        </w:r>
        <w:r w:rsidRPr="001E6E81">
          <w:rPr>
            <w:noProof/>
            <w:webHidden/>
          </w:rPr>
          <w:instrText xml:space="preserve"> PAGEREF _Toc129350946 \h </w:instrText>
        </w:r>
        <w:r w:rsidRPr="001E6E81">
          <w:rPr>
            <w:noProof/>
            <w:webHidden/>
          </w:rPr>
        </w:r>
        <w:r w:rsidRPr="001E6E81">
          <w:rPr>
            <w:noProof/>
            <w:webHidden/>
          </w:rPr>
          <w:fldChar w:fldCharType="separate"/>
        </w:r>
        <w:r w:rsidRPr="001E6E81">
          <w:rPr>
            <w:noProof/>
            <w:webHidden/>
          </w:rPr>
          <w:t>85</w:t>
        </w:r>
        <w:r w:rsidRPr="001E6E81">
          <w:rPr>
            <w:noProof/>
            <w:webHidden/>
          </w:rPr>
          <w:fldChar w:fldCharType="end"/>
        </w:r>
      </w:hyperlink>
    </w:p>
    <w:p w14:paraId="2D2DD4B0" w14:textId="66E245AB" w:rsidR="00145F42" w:rsidRPr="001E6E81" w:rsidRDefault="00145F42">
      <w:pPr>
        <w:pStyle w:val="TableofFigures"/>
        <w:tabs>
          <w:tab w:val="right" w:leader="dot" w:pos="9628"/>
        </w:tabs>
        <w:rPr>
          <w:rFonts w:asciiTheme="minorHAnsi" w:eastAsiaTheme="minorEastAsia" w:hAnsiTheme="minorHAnsi"/>
          <w:noProof/>
          <w:lang w:eastAsia="en-GB"/>
        </w:rPr>
      </w:pPr>
      <w:hyperlink w:anchor="_Toc129350947" w:history="1">
        <w:r w:rsidRPr="001E6E81">
          <w:rPr>
            <w:rStyle w:val="Hyperlink"/>
            <w:noProof/>
          </w:rPr>
          <w:t>Figure 21: DESTINY-Breast04 | Forest plot of PFS by BICR | FAS | Analysis in all subgroups</w:t>
        </w:r>
        <w:r w:rsidRPr="001E6E81">
          <w:rPr>
            <w:rStyle w:val="Hyperlink"/>
            <w:noProof/>
            <w:vertAlign w:val="superscript"/>
          </w:rPr>
          <w:t>a</w:t>
        </w:r>
        <w:r w:rsidRPr="001E6E81">
          <w:rPr>
            <w:noProof/>
            <w:webHidden/>
          </w:rPr>
          <w:tab/>
        </w:r>
        <w:r w:rsidRPr="001E6E81">
          <w:rPr>
            <w:noProof/>
            <w:webHidden/>
          </w:rPr>
          <w:fldChar w:fldCharType="begin"/>
        </w:r>
        <w:r w:rsidRPr="001E6E81">
          <w:rPr>
            <w:noProof/>
            <w:webHidden/>
          </w:rPr>
          <w:instrText xml:space="preserve"> PAGEREF _Toc129350947 \h </w:instrText>
        </w:r>
        <w:r w:rsidRPr="001E6E81">
          <w:rPr>
            <w:noProof/>
            <w:webHidden/>
          </w:rPr>
        </w:r>
        <w:r w:rsidRPr="001E6E81">
          <w:rPr>
            <w:noProof/>
            <w:webHidden/>
          </w:rPr>
          <w:fldChar w:fldCharType="separate"/>
        </w:r>
        <w:r w:rsidRPr="001E6E81">
          <w:rPr>
            <w:noProof/>
            <w:webHidden/>
          </w:rPr>
          <w:t>88</w:t>
        </w:r>
        <w:r w:rsidRPr="001E6E81">
          <w:rPr>
            <w:noProof/>
            <w:webHidden/>
          </w:rPr>
          <w:fldChar w:fldCharType="end"/>
        </w:r>
      </w:hyperlink>
    </w:p>
    <w:p w14:paraId="52453263" w14:textId="4AE5B6C6" w:rsidR="00145F42" w:rsidRPr="001E6E81" w:rsidRDefault="00145F42">
      <w:pPr>
        <w:pStyle w:val="TableofFigures"/>
        <w:tabs>
          <w:tab w:val="right" w:leader="dot" w:pos="9628"/>
        </w:tabs>
        <w:rPr>
          <w:rFonts w:asciiTheme="minorHAnsi" w:eastAsiaTheme="minorEastAsia" w:hAnsiTheme="minorHAnsi"/>
          <w:noProof/>
          <w:lang w:eastAsia="en-GB"/>
        </w:rPr>
      </w:pPr>
      <w:hyperlink w:anchor="_Toc129350948" w:history="1">
        <w:r w:rsidRPr="001E6E81">
          <w:rPr>
            <w:rStyle w:val="Hyperlink"/>
            <w:noProof/>
          </w:rPr>
          <w:t>Figure 22: Model schematic</w:t>
        </w:r>
        <w:r w:rsidRPr="001E6E81">
          <w:rPr>
            <w:noProof/>
            <w:webHidden/>
          </w:rPr>
          <w:tab/>
        </w:r>
        <w:r w:rsidRPr="001E6E81">
          <w:rPr>
            <w:noProof/>
            <w:webHidden/>
          </w:rPr>
          <w:fldChar w:fldCharType="begin"/>
        </w:r>
        <w:r w:rsidRPr="001E6E81">
          <w:rPr>
            <w:noProof/>
            <w:webHidden/>
          </w:rPr>
          <w:instrText xml:space="preserve"> PAGEREF _Toc129350948 \h </w:instrText>
        </w:r>
        <w:r w:rsidRPr="001E6E81">
          <w:rPr>
            <w:noProof/>
            <w:webHidden/>
          </w:rPr>
        </w:r>
        <w:r w:rsidRPr="001E6E81">
          <w:rPr>
            <w:noProof/>
            <w:webHidden/>
          </w:rPr>
          <w:fldChar w:fldCharType="separate"/>
        </w:r>
        <w:r w:rsidRPr="001E6E81">
          <w:rPr>
            <w:noProof/>
            <w:webHidden/>
          </w:rPr>
          <w:t>116</w:t>
        </w:r>
        <w:r w:rsidRPr="001E6E81">
          <w:rPr>
            <w:noProof/>
            <w:webHidden/>
          </w:rPr>
          <w:fldChar w:fldCharType="end"/>
        </w:r>
      </w:hyperlink>
    </w:p>
    <w:p w14:paraId="43AAE09F" w14:textId="17E4027C" w:rsidR="00145F42" w:rsidRPr="001E6E81" w:rsidRDefault="00145F42">
      <w:pPr>
        <w:pStyle w:val="TableofFigures"/>
        <w:tabs>
          <w:tab w:val="right" w:leader="dot" w:pos="9628"/>
        </w:tabs>
        <w:rPr>
          <w:rFonts w:asciiTheme="minorHAnsi" w:eastAsiaTheme="minorEastAsia" w:hAnsiTheme="minorHAnsi"/>
          <w:noProof/>
          <w:lang w:eastAsia="en-GB"/>
        </w:rPr>
      </w:pPr>
      <w:hyperlink w:anchor="_Toc129350949" w:history="1">
        <w:r w:rsidRPr="001E6E81">
          <w:rPr>
            <w:rStyle w:val="Hyperlink"/>
            <w:noProof/>
          </w:rPr>
          <w:t>Figure 23: Partitioned survival analysis</w:t>
        </w:r>
        <w:r w:rsidRPr="001E6E81">
          <w:rPr>
            <w:noProof/>
            <w:webHidden/>
          </w:rPr>
          <w:tab/>
        </w:r>
        <w:r w:rsidRPr="001E6E81">
          <w:rPr>
            <w:noProof/>
            <w:webHidden/>
          </w:rPr>
          <w:fldChar w:fldCharType="begin"/>
        </w:r>
        <w:r w:rsidRPr="001E6E81">
          <w:rPr>
            <w:noProof/>
            <w:webHidden/>
          </w:rPr>
          <w:instrText xml:space="preserve"> PAGEREF _Toc129350949 \h </w:instrText>
        </w:r>
        <w:r w:rsidRPr="001E6E81">
          <w:rPr>
            <w:noProof/>
            <w:webHidden/>
          </w:rPr>
        </w:r>
        <w:r w:rsidRPr="001E6E81">
          <w:rPr>
            <w:noProof/>
            <w:webHidden/>
          </w:rPr>
          <w:fldChar w:fldCharType="separate"/>
        </w:r>
        <w:r w:rsidRPr="001E6E81">
          <w:rPr>
            <w:noProof/>
            <w:webHidden/>
          </w:rPr>
          <w:t>116</w:t>
        </w:r>
        <w:r w:rsidRPr="001E6E81">
          <w:rPr>
            <w:noProof/>
            <w:webHidden/>
          </w:rPr>
          <w:fldChar w:fldCharType="end"/>
        </w:r>
      </w:hyperlink>
    </w:p>
    <w:p w14:paraId="0D7819BE" w14:textId="40BA26F6" w:rsidR="00145F42" w:rsidRPr="001E6E81" w:rsidRDefault="00145F42">
      <w:pPr>
        <w:pStyle w:val="TableofFigures"/>
        <w:tabs>
          <w:tab w:val="right" w:leader="dot" w:pos="9628"/>
        </w:tabs>
        <w:rPr>
          <w:rFonts w:asciiTheme="minorHAnsi" w:eastAsiaTheme="minorEastAsia" w:hAnsiTheme="minorHAnsi"/>
          <w:noProof/>
          <w:lang w:eastAsia="en-GB"/>
        </w:rPr>
      </w:pPr>
      <w:hyperlink w:anchor="_Toc129350950" w:history="1">
        <w:r w:rsidRPr="001E6E81">
          <w:rPr>
            <w:rStyle w:val="Hyperlink"/>
            <w:noProof/>
          </w:rPr>
          <w:t>Figure 24: OS KM from DESTINY-Breast04 in the FAS population (T-DXd and TPC)</w:t>
        </w:r>
        <w:r w:rsidRPr="001E6E81">
          <w:rPr>
            <w:noProof/>
            <w:webHidden/>
          </w:rPr>
          <w:tab/>
        </w:r>
        <w:r w:rsidRPr="001E6E81">
          <w:rPr>
            <w:noProof/>
            <w:webHidden/>
          </w:rPr>
          <w:fldChar w:fldCharType="begin"/>
        </w:r>
        <w:r w:rsidRPr="001E6E81">
          <w:rPr>
            <w:noProof/>
            <w:webHidden/>
          </w:rPr>
          <w:instrText xml:space="preserve"> PAGEREF _Toc129350950 \h </w:instrText>
        </w:r>
        <w:r w:rsidRPr="001E6E81">
          <w:rPr>
            <w:noProof/>
            <w:webHidden/>
          </w:rPr>
        </w:r>
        <w:r w:rsidRPr="001E6E81">
          <w:rPr>
            <w:noProof/>
            <w:webHidden/>
          </w:rPr>
          <w:fldChar w:fldCharType="separate"/>
        </w:r>
        <w:r w:rsidRPr="001E6E81">
          <w:rPr>
            <w:noProof/>
            <w:webHidden/>
          </w:rPr>
          <w:t>122</w:t>
        </w:r>
        <w:r w:rsidRPr="001E6E81">
          <w:rPr>
            <w:noProof/>
            <w:webHidden/>
          </w:rPr>
          <w:fldChar w:fldCharType="end"/>
        </w:r>
      </w:hyperlink>
    </w:p>
    <w:p w14:paraId="538049AA" w14:textId="215A9BCF" w:rsidR="00145F42" w:rsidRPr="001E6E81" w:rsidRDefault="00145F42">
      <w:pPr>
        <w:pStyle w:val="TableofFigures"/>
        <w:tabs>
          <w:tab w:val="right" w:leader="dot" w:pos="9628"/>
        </w:tabs>
        <w:rPr>
          <w:rFonts w:asciiTheme="minorHAnsi" w:eastAsiaTheme="minorEastAsia" w:hAnsiTheme="minorHAnsi"/>
          <w:noProof/>
          <w:lang w:eastAsia="en-GB"/>
        </w:rPr>
      </w:pPr>
      <w:hyperlink w:anchor="_Toc129350951" w:history="1">
        <w:r w:rsidRPr="001E6E81">
          <w:rPr>
            <w:rStyle w:val="Hyperlink"/>
            <w:noProof/>
          </w:rPr>
          <w:t>Figure 25: Log-cumulative hazard plot of OS from DESTINY-Breast04 in the FAS population</w:t>
        </w:r>
        <w:r w:rsidRPr="001E6E81">
          <w:rPr>
            <w:noProof/>
            <w:webHidden/>
          </w:rPr>
          <w:tab/>
        </w:r>
        <w:r w:rsidRPr="001E6E81">
          <w:rPr>
            <w:noProof/>
            <w:webHidden/>
          </w:rPr>
          <w:fldChar w:fldCharType="begin"/>
        </w:r>
        <w:r w:rsidRPr="001E6E81">
          <w:rPr>
            <w:noProof/>
            <w:webHidden/>
          </w:rPr>
          <w:instrText xml:space="preserve"> PAGEREF _Toc129350951 \h </w:instrText>
        </w:r>
        <w:r w:rsidRPr="001E6E81">
          <w:rPr>
            <w:noProof/>
            <w:webHidden/>
          </w:rPr>
        </w:r>
        <w:r w:rsidRPr="001E6E81">
          <w:rPr>
            <w:noProof/>
            <w:webHidden/>
          </w:rPr>
          <w:fldChar w:fldCharType="separate"/>
        </w:r>
        <w:r w:rsidRPr="001E6E81">
          <w:rPr>
            <w:noProof/>
            <w:webHidden/>
          </w:rPr>
          <w:t>123</w:t>
        </w:r>
        <w:r w:rsidRPr="001E6E81">
          <w:rPr>
            <w:noProof/>
            <w:webHidden/>
          </w:rPr>
          <w:fldChar w:fldCharType="end"/>
        </w:r>
      </w:hyperlink>
    </w:p>
    <w:p w14:paraId="7B96EF12" w14:textId="0DA9101A" w:rsidR="00145F42" w:rsidRPr="001E6E81" w:rsidRDefault="00145F42">
      <w:pPr>
        <w:pStyle w:val="TableofFigures"/>
        <w:tabs>
          <w:tab w:val="right" w:leader="dot" w:pos="9628"/>
        </w:tabs>
        <w:rPr>
          <w:rFonts w:asciiTheme="minorHAnsi" w:eastAsiaTheme="minorEastAsia" w:hAnsiTheme="minorHAnsi"/>
          <w:noProof/>
          <w:lang w:eastAsia="en-GB"/>
        </w:rPr>
      </w:pPr>
      <w:hyperlink w:anchor="_Toc129350952" w:history="1">
        <w:r w:rsidRPr="001E6E81">
          <w:rPr>
            <w:rStyle w:val="Hyperlink"/>
            <w:noProof/>
          </w:rPr>
          <w:t>Figure 26: Observed versus predicted OS for TPC over a 3-year time horizon in the FAS population</w:t>
        </w:r>
        <w:r w:rsidRPr="001E6E81">
          <w:rPr>
            <w:noProof/>
            <w:webHidden/>
          </w:rPr>
          <w:tab/>
        </w:r>
        <w:r w:rsidRPr="001E6E81">
          <w:rPr>
            <w:noProof/>
            <w:webHidden/>
          </w:rPr>
          <w:fldChar w:fldCharType="begin"/>
        </w:r>
        <w:r w:rsidRPr="001E6E81">
          <w:rPr>
            <w:noProof/>
            <w:webHidden/>
          </w:rPr>
          <w:instrText xml:space="preserve"> PAGEREF _Toc129350952 \h </w:instrText>
        </w:r>
        <w:r w:rsidRPr="001E6E81">
          <w:rPr>
            <w:noProof/>
            <w:webHidden/>
          </w:rPr>
        </w:r>
        <w:r w:rsidRPr="001E6E81">
          <w:rPr>
            <w:noProof/>
            <w:webHidden/>
          </w:rPr>
          <w:fldChar w:fldCharType="separate"/>
        </w:r>
        <w:r w:rsidRPr="001E6E81">
          <w:rPr>
            <w:noProof/>
            <w:webHidden/>
          </w:rPr>
          <w:t>125</w:t>
        </w:r>
        <w:r w:rsidRPr="001E6E81">
          <w:rPr>
            <w:noProof/>
            <w:webHidden/>
          </w:rPr>
          <w:fldChar w:fldCharType="end"/>
        </w:r>
      </w:hyperlink>
    </w:p>
    <w:p w14:paraId="685E9074" w14:textId="5CCEBDFE" w:rsidR="00145F42" w:rsidRPr="001E6E81" w:rsidRDefault="00145F42">
      <w:pPr>
        <w:pStyle w:val="TableofFigures"/>
        <w:tabs>
          <w:tab w:val="right" w:leader="dot" w:pos="9628"/>
        </w:tabs>
        <w:rPr>
          <w:rFonts w:asciiTheme="minorHAnsi" w:eastAsiaTheme="minorEastAsia" w:hAnsiTheme="minorHAnsi"/>
          <w:noProof/>
          <w:lang w:eastAsia="en-GB"/>
        </w:rPr>
      </w:pPr>
      <w:hyperlink w:anchor="_Toc129350953" w:history="1">
        <w:r w:rsidRPr="001E6E81">
          <w:rPr>
            <w:rStyle w:val="Hyperlink"/>
            <w:noProof/>
          </w:rPr>
          <w:t>Figure 27: Observed versus predicted OS for T-DXd over a 3-year time horizon in the FAS population</w:t>
        </w:r>
        <w:r w:rsidRPr="001E6E81">
          <w:rPr>
            <w:noProof/>
            <w:webHidden/>
          </w:rPr>
          <w:tab/>
        </w:r>
        <w:r w:rsidRPr="001E6E81">
          <w:rPr>
            <w:noProof/>
            <w:webHidden/>
          </w:rPr>
          <w:fldChar w:fldCharType="begin"/>
        </w:r>
        <w:r w:rsidRPr="001E6E81">
          <w:rPr>
            <w:noProof/>
            <w:webHidden/>
          </w:rPr>
          <w:instrText xml:space="preserve"> PAGEREF _Toc129350953 \h </w:instrText>
        </w:r>
        <w:r w:rsidRPr="001E6E81">
          <w:rPr>
            <w:noProof/>
            <w:webHidden/>
          </w:rPr>
        </w:r>
        <w:r w:rsidRPr="001E6E81">
          <w:rPr>
            <w:noProof/>
            <w:webHidden/>
          </w:rPr>
          <w:fldChar w:fldCharType="separate"/>
        </w:r>
        <w:r w:rsidRPr="001E6E81">
          <w:rPr>
            <w:noProof/>
            <w:webHidden/>
          </w:rPr>
          <w:t>125</w:t>
        </w:r>
        <w:r w:rsidRPr="001E6E81">
          <w:rPr>
            <w:noProof/>
            <w:webHidden/>
          </w:rPr>
          <w:fldChar w:fldCharType="end"/>
        </w:r>
      </w:hyperlink>
    </w:p>
    <w:p w14:paraId="0ED8A95B" w14:textId="61D4CDBD" w:rsidR="00145F42" w:rsidRPr="001E6E81" w:rsidRDefault="00145F42">
      <w:pPr>
        <w:pStyle w:val="TableofFigures"/>
        <w:tabs>
          <w:tab w:val="right" w:leader="dot" w:pos="9628"/>
        </w:tabs>
        <w:rPr>
          <w:rFonts w:asciiTheme="minorHAnsi" w:eastAsiaTheme="minorEastAsia" w:hAnsiTheme="minorHAnsi"/>
          <w:noProof/>
          <w:lang w:eastAsia="en-GB"/>
        </w:rPr>
      </w:pPr>
      <w:hyperlink w:anchor="_Toc129350954" w:history="1">
        <w:r w:rsidRPr="001E6E81">
          <w:rPr>
            <w:rStyle w:val="Hyperlink"/>
            <w:noProof/>
          </w:rPr>
          <w:t>Figure 28: Observed versus predicted OS for TPC in the FAS population over a 25-year time horizon in the FAS population</w:t>
        </w:r>
        <w:r w:rsidRPr="001E6E81">
          <w:rPr>
            <w:noProof/>
            <w:webHidden/>
          </w:rPr>
          <w:tab/>
        </w:r>
        <w:r w:rsidRPr="001E6E81">
          <w:rPr>
            <w:noProof/>
            <w:webHidden/>
          </w:rPr>
          <w:fldChar w:fldCharType="begin"/>
        </w:r>
        <w:r w:rsidRPr="001E6E81">
          <w:rPr>
            <w:noProof/>
            <w:webHidden/>
          </w:rPr>
          <w:instrText xml:space="preserve"> PAGEREF _Toc129350954 \h </w:instrText>
        </w:r>
        <w:r w:rsidRPr="001E6E81">
          <w:rPr>
            <w:noProof/>
            <w:webHidden/>
          </w:rPr>
        </w:r>
        <w:r w:rsidRPr="001E6E81">
          <w:rPr>
            <w:noProof/>
            <w:webHidden/>
          </w:rPr>
          <w:fldChar w:fldCharType="separate"/>
        </w:r>
        <w:r w:rsidRPr="001E6E81">
          <w:rPr>
            <w:noProof/>
            <w:webHidden/>
          </w:rPr>
          <w:t>126</w:t>
        </w:r>
        <w:r w:rsidRPr="001E6E81">
          <w:rPr>
            <w:noProof/>
            <w:webHidden/>
          </w:rPr>
          <w:fldChar w:fldCharType="end"/>
        </w:r>
      </w:hyperlink>
    </w:p>
    <w:p w14:paraId="28E5BB29" w14:textId="2AE58C3C" w:rsidR="00145F42" w:rsidRPr="001E6E81" w:rsidRDefault="00145F42">
      <w:pPr>
        <w:pStyle w:val="TableofFigures"/>
        <w:tabs>
          <w:tab w:val="right" w:leader="dot" w:pos="9628"/>
        </w:tabs>
        <w:rPr>
          <w:rFonts w:asciiTheme="minorHAnsi" w:eastAsiaTheme="minorEastAsia" w:hAnsiTheme="minorHAnsi"/>
          <w:noProof/>
          <w:lang w:eastAsia="en-GB"/>
        </w:rPr>
      </w:pPr>
      <w:hyperlink w:anchor="_Toc129350955" w:history="1">
        <w:r w:rsidRPr="001E6E81">
          <w:rPr>
            <w:rStyle w:val="Hyperlink"/>
            <w:noProof/>
          </w:rPr>
          <w:t>Figure 29: Observed versus predicted OS for T-DXd in the FAS population over a 25-year time horizon in the FAS population</w:t>
        </w:r>
        <w:r w:rsidRPr="001E6E81">
          <w:rPr>
            <w:noProof/>
            <w:webHidden/>
          </w:rPr>
          <w:tab/>
        </w:r>
        <w:r w:rsidRPr="001E6E81">
          <w:rPr>
            <w:noProof/>
            <w:webHidden/>
          </w:rPr>
          <w:fldChar w:fldCharType="begin"/>
        </w:r>
        <w:r w:rsidRPr="001E6E81">
          <w:rPr>
            <w:noProof/>
            <w:webHidden/>
          </w:rPr>
          <w:instrText xml:space="preserve"> PAGEREF _Toc129350955 \h </w:instrText>
        </w:r>
        <w:r w:rsidRPr="001E6E81">
          <w:rPr>
            <w:noProof/>
            <w:webHidden/>
          </w:rPr>
        </w:r>
        <w:r w:rsidRPr="001E6E81">
          <w:rPr>
            <w:noProof/>
            <w:webHidden/>
          </w:rPr>
          <w:fldChar w:fldCharType="separate"/>
        </w:r>
        <w:r w:rsidRPr="001E6E81">
          <w:rPr>
            <w:noProof/>
            <w:webHidden/>
          </w:rPr>
          <w:t>126</w:t>
        </w:r>
        <w:r w:rsidRPr="001E6E81">
          <w:rPr>
            <w:noProof/>
            <w:webHidden/>
          </w:rPr>
          <w:fldChar w:fldCharType="end"/>
        </w:r>
      </w:hyperlink>
    </w:p>
    <w:p w14:paraId="1049E917" w14:textId="3A58E0EA" w:rsidR="00145F42" w:rsidRPr="001E6E81" w:rsidRDefault="00145F42">
      <w:pPr>
        <w:pStyle w:val="TableofFigures"/>
        <w:tabs>
          <w:tab w:val="right" w:leader="dot" w:pos="9628"/>
        </w:tabs>
        <w:rPr>
          <w:rFonts w:asciiTheme="minorHAnsi" w:eastAsiaTheme="minorEastAsia" w:hAnsiTheme="minorHAnsi"/>
          <w:noProof/>
          <w:lang w:eastAsia="en-GB"/>
        </w:rPr>
      </w:pPr>
      <w:hyperlink w:anchor="_Toc129350956" w:history="1">
        <w:r w:rsidRPr="001E6E81">
          <w:rPr>
            <w:rStyle w:val="Hyperlink"/>
            <w:noProof/>
          </w:rPr>
          <w:t>Figure 30: Base-case extrapolations for OS in the FAS population (log-logistic, T-DXd and TPC)</w:t>
        </w:r>
        <w:r w:rsidRPr="001E6E81">
          <w:rPr>
            <w:noProof/>
            <w:webHidden/>
          </w:rPr>
          <w:tab/>
        </w:r>
        <w:r w:rsidRPr="001E6E81">
          <w:rPr>
            <w:noProof/>
            <w:webHidden/>
          </w:rPr>
          <w:fldChar w:fldCharType="begin"/>
        </w:r>
        <w:r w:rsidRPr="001E6E81">
          <w:rPr>
            <w:noProof/>
            <w:webHidden/>
          </w:rPr>
          <w:instrText xml:space="preserve"> PAGEREF _Toc129350956 \h </w:instrText>
        </w:r>
        <w:r w:rsidRPr="001E6E81">
          <w:rPr>
            <w:noProof/>
            <w:webHidden/>
          </w:rPr>
        </w:r>
        <w:r w:rsidRPr="001E6E81">
          <w:rPr>
            <w:noProof/>
            <w:webHidden/>
          </w:rPr>
          <w:fldChar w:fldCharType="separate"/>
        </w:r>
        <w:r w:rsidRPr="001E6E81">
          <w:rPr>
            <w:noProof/>
            <w:webHidden/>
          </w:rPr>
          <w:t>128</w:t>
        </w:r>
        <w:r w:rsidRPr="001E6E81">
          <w:rPr>
            <w:noProof/>
            <w:webHidden/>
          </w:rPr>
          <w:fldChar w:fldCharType="end"/>
        </w:r>
      </w:hyperlink>
    </w:p>
    <w:p w14:paraId="7E7FDEFC" w14:textId="5824EB97" w:rsidR="00145F42" w:rsidRPr="001E6E81" w:rsidRDefault="00145F42">
      <w:pPr>
        <w:pStyle w:val="TableofFigures"/>
        <w:tabs>
          <w:tab w:val="right" w:leader="dot" w:pos="9628"/>
        </w:tabs>
        <w:rPr>
          <w:rFonts w:asciiTheme="minorHAnsi" w:eastAsiaTheme="minorEastAsia" w:hAnsiTheme="minorHAnsi"/>
          <w:noProof/>
          <w:lang w:eastAsia="en-GB"/>
        </w:rPr>
      </w:pPr>
      <w:hyperlink w:anchor="_Toc129350957" w:history="1">
        <w:r w:rsidRPr="001E6E81">
          <w:rPr>
            <w:rStyle w:val="Hyperlink"/>
            <w:noProof/>
          </w:rPr>
          <w:t>Figure 31: PFS KM from DESTINY-Breast04 in the FAS population (T-DXd and TPC)</w:t>
        </w:r>
        <w:r w:rsidRPr="001E6E81">
          <w:rPr>
            <w:noProof/>
            <w:webHidden/>
          </w:rPr>
          <w:tab/>
        </w:r>
        <w:r w:rsidRPr="001E6E81">
          <w:rPr>
            <w:noProof/>
            <w:webHidden/>
          </w:rPr>
          <w:fldChar w:fldCharType="begin"/>
        </w:r>
        <w:r w:rsidRPr="001E6E81">
          <w:rPr>
            <w:noProof/>
            <w:webHidden/>
          </w:rPr>
          <w:instrText xml:space="preserve"> PAGEREF _Toc129350957 \h </w:instrText>
        </w:r>
        <w:r w:rsidRPr="001E6E81">
          <w:rPr>
            <w:noProof/>
            <w:webHidden/>
          </w:rPr>
        </w:r>
        <w:r w:rsidRPr="001E6E81">
          <w:rPr>
            <w:noProof/>
            <w:webHidden/>
          </w:rPr>
          <w:fldChar w:fldCharType="separate"/>
        </w:r>
        <w:r w:rsidRPr="001E6E81">
          <w:rPr>
            <w:noProof/>
            <w:webHidden/>
          </w:rPr>
          <w:t>129</w:t>
        </w:r>
        <w:r w:rsidRPr="001E6E81">
          <w:rPr>
            <w:noProof/>
            <w:webHidden/>
          </w:rPr>
          <w:fldChar w:fldCharType="end"/>
        </w:r>
      </w:hyperlink>
    </w:p>
    <w:p w14:paraId="0A9A5C44" w14:textId="1C8300BE" w:rsidR="00145F42" w:rsidRPr="001E6E81" w:rsidRDefault="00145F42">
      <w:pPr>
        <w:pStyle w:val="TableofFigures"/>
        <w:tabs>
          <w:tab w:val="right" w:leader="dot" w:pos="9628"/>
        </w:tabs>
        <w:rPr>
          <w:rFonts w:asciiTheme="minorHAnsi" w:eastAsiaTheme="minorEastAsia" w:hAnsiTheme="minorHAnsi"/>
          <w:noProof/>
          <w:lang w:eastAsia="en-GB"/>
        </w:rPr>
      </w:pPr>
      <w:hyperlink w:anchor="_Toc129350958" w:history="1">
        <w:r w:rsidRPr="001E6E81">
          <w:rPr>
            <w:rStyle w:val="Hyperlink"/>
            <w:noProof/>
          </w:rPr>
          <w:t>Figure 32: DESTINY-Breast04 – Log-cumulative hazard plot – PFS, FAS population</w:t>
        </w:r>
        <w:r w:rsidRPr="001E6E81">
          <w:rPr>
            <w:noProof/>
            <w:webHidden/>
          </w:rPr>
          <w:tab/>
        </w:r>
        <w:r w:rsidRPr="001E6E81">
          <w:rPr>
            <w:noProof/>
            <w:webHidden/>
          </w:rPr>
          <w:fldChar w:fldCharType="begin"/>
        </w:r>
        <w:r w:rsidRPr="001E6E81">
          <w:rPr>
            <w:noProof/>
            <w:webHidden/>
          </w:rPr>
          <w:instrText xml:space="preserve"> PAGEREF _Toc129350958 \h </w:instrText>
        </w:r>
        <w:r w:rsidRPr="001E6E81">
          <w:rPr>
            <w:noProof/>
            <w:webHidden/>
          </w:rPr>
        </w:r>
        <w:r w:rsidRPr="001E6E81">
          <w:rPr>
            <w:noProof/>
            <w:webHidden/>
          </w:rPr>
          <w:fldChar w:fldCharType="separate"/>
        </w:r>
        <w:r w:rsidRPr="001E6E81">
          <w:rPr>
            <w:noProof/>
            <w:webHidden/>
          </w:rPr>
          <w:t>130</w:t>
        </w:r>
        <w:r w:rsidRPr="001E6E81">
          <w:rPr>
            <w:noProof/>
            <w:webHidden/>
          </w:rPr>
          <w:fldChar w:fldCharType="end"/>
        </w:r>
      </w:hyperlink>
    </w:p>
    <w:p w14:paraId="5ED253C6" w14:textId="71DF39DF" w:rsidR="00145F42" w:rsidRPr="001E6E81" w:rsidRDefault="00145F42">
      <w:pPr>
        <w:pStyle w:val="TableofFigures"/>
        <w:tabs>
          <w:tab w:val="right" w:leader="dot" w:pos="9628"/>
        </w:tabs>
        <w:rPr>
          <w:rFonts w:asciiTheme="minorHAnsi" w:eastAsiaTheme="minorEastAsia" w:hAnsiTheme="minorHAnsi"/>
          <w:noProof/>
          <w:lang w:eastAsia="en-GB"/>
        </w:rPr>
      </w:pPr>
      <w:hyperlink w:anchor="_Toc129350959" w:history="1">
        <w:r w:rsidRPr="001E6E81">
          <w:rPr>
            <w:rStyle w:val="Hyperlink"/>
            <w:noProof/>
          </w:rPr>
          <w:t>Figure 33: Observed versus predicted PFS (TPC) in the FAS population over a 3-year time horizon in the FAS population</w:t>
        </w:r>
        <w:r w:rsidRPr="001E6E81">
          <w:rPr>
            <w:noProof/>
            <w:webHidden/>
          </w:rPr>
          <w:tab/>
        </w:r>
        <w:r w:rsidRPr="001E6E81">
          <w:rPr>
            <w:noProof/>
            <w:webHidden/>
          </w:rPr>
          <w:fldChar w:fldCharType="begin"/>
        </w:r>
        <w:r w:rsidRPr="001E6E81">
          <w:rPr>
            <w:noProof/>
            <w:webHidden/>
          </w:rPr>
          <w:instrText xml:space="preserve"> PAGEREF _Toc129350959 \h </w:instrText>
        </w:r>
        <w:r w:rsidRPr="001E6E81">
          <w:rPr>
            <w:noProof/>
            <w:webHidden/>
          </w:rPr>
        </w:r>
        <w:r w:rsidRPr="001E6E81">
          <w:rPr>
            <w:noProof/>
            <w:webHidden/>
          </w:rPr>
          <w:fldChar w:fldCharType="separate"/>
        </w:r>
        <w:r w:rsidRPr="001E6E81">
          <w:rPr>
            <w:noProof/>
            <w:webHidden/>
          </w:rPr>
          <w:t>131</w:t>
        </w:r>
        <w:r w:rsidRPr="001E6E81">
          <w:rPr>
            <w:noProof/>
            <w:webHidden/>
          </w:rPr>
          <w:fldChar w:fldCharType="end"/>
        </w:r>
      </w:hyperlink>
    </w:p>
    <w:p w14:paraId="45E4C02D" w14:textId="43BB8483" w:rsidR="00145F42" w:rsidRPr="001E6E81" w:rsidRDefault="00145F42">
      <w:pPr>
        <w:pStyle w:val="TableofFigures"/>
        <w:tabs>
          <w:tab w:val="right" w:leader="dot" w:pos="9628"/>
        </w:tabs>
        <w:rPr>
          <w:rFonts w:asciiTheme="minorHAnsi" w:eastAsiaTheme="minorEastAsia" w:hAnsiTheme="minorHAnsi"/>
          <w:noProof/>
          <w:lang w:eastAsia="en-GB"/>
        </w:rPr>
      </w:pPr>
      <w:hyperlink w:anchor="_Toc129350960" w:history="1">
        <w:r w:rsidRPr="001E6E81">
          <w:rPr>
            <w:rStyle w:val="Hyperlink"/>
            <w:noProof/>
          </w:rPr>
          <w:t>Figure 34: Observed versus predicted PFS (T-DXd) in the FAS population over a 3-year time horizon in the FAS population</w:t>
        </w:r>
        <w:r w:rsidRPr="001E6E81">
          <w:rPr>
            <w:noProof/>
            <w:webHidden/>
          </w:rPr>
          <w:tab/>
        </w:r>
        <w:r w:rsidRPr="001E6E81">
          <w:rPr>
            <w:noProof/>
            <w:webHidden/>
          </w:rPr>
          <w:fldChar w:fldCharType="begin"/>
        </w:r>
        <w:r w:rsidRPr="001E6E81">
          <w:rPr>
            <w:noProof/>
            <w:webHidden/>
          </w:rPr>
          <w:instrText xml:space="preserve"> PAGEREF _Toc129350960 \h </w:instrText>
        </w:r>
        <w:r w:rsidRPr="001E6E81">
          <w:rPr>
            <w:noProof/>
            <w:webHidden/>
          </w:rPr>
        </w:r>
        <w:r w:rsidRPr="001E6E81">
          <w:rPr>
            <w:noProof/>
            <w:webHidden/>
          </w:rPr>
          <w:fldChar w:fldCharType="separate"/>
        </w:r>
        <w:r w:rsidRPr="001E6E81">
          <w:rPr>
            <w:noProof/>
            <w:webHidden/>
          </w:rPr>
          <w:t>132</w:t>
        </w:r>
        <w:r w:rsidRPr="001E6E81">
          <w:rPr>
            <w:noProof/>
            <w:webHidden/>
          </w:rPr>
          <w:fldChar w:fldCharType="end"/>
        </w:r>
      </w:hyperlink>
    </w:p>
    <w:p w14:paraId="73AD51BD" w14:textId="788F7A74" w:rsidR="00145F42" w:rsidRPr="001E6E81" w:rsidRDefault="00145F42">
      <w:pPr>
        <w:pStyle w:val="TableofFigures"/>
        <w:tabs>
          <w:tab w:val="right" w:leader="dot" w:pos="9628"/>
        </w:tabs>
        <w:rPr>
          <w:rFonts w:asciiTheme="minorHAnsi" w:eastAsiaTheme="minorEastAsia" w:hAnsiTheme="minorHAnsi"/>
          <w:noProof/>
          <w:lang w:eastAsia="en-GB"/>
        </w:rPr>
      </w:pPr>
      <w:hyperlink w:anchor="_Toc129350961" w:history="1">
        <w:r w:rsidRPr="001E6E81">
          <w:rPr>
            <w:rStyle w:val="Hyperlink"/>
            <w:noProof/>
          </w:rPr>
          <w:t>Figure 35: Observed versus predicted PFS (TPC) in the FAS population over a 10-year time horizon in the FAS population</w:t>
        </w:r>
        <w:r w:rsidRPr="001E6E81">
          <w:rPr>
            <w:noProof/>
            <w:webHidden/>
          </w:rPr>
          <w:tab/>
        </w:r>
        <w:r w:rsidRPr="001E6E81">
          <w:rPr>
            <w:noProof/>
            <w:webHidden/>
          </w:rPr>
          <w:fldChar w:fldCharType="begin"/>
        </w:r>
        <w:r w:rsidRPr="001E6E81">
          <w:rPr>
            <w:noProof/>
            <w:webHidden/>
          </w:rPr>
          <w:instrText xml:space="preserve"> PAGEREF _Toc129350961 \h </w:instrText>
        </w:r>
        <w:r w:rsidRPr="001E6E81">
          <w:rPr>
            <w:noProof/>
            <w:webHidden/>
          </w:rPr>
        </w:r>
        <w:r w:rsidRPr="001E6E81">
          <w:rPr>
            <w:noProof/>
            <w:webHidden/>
          </w:rPr>
          <w:fldChar w:fldCharType="separate"/>
        </w:r>
        <w:r w:rsidRPr="001E6E81">
          <w:rPr>
            <w:noProof/>
            <w:webHidden/>
          </w:rPr>
          <w:t>133</w:t>
        </w:r>
        <w:r w:rsidRPr="001E6E81">
          <w:rPr>
            <w:noProof/>
            <w:webHidden/>
          </w:rPr>
          <w:fldChar w:fldCharType="end"/>
        </w:r>
      </w:hyperlink>
    </w:p>
    <w:p w14:paraId="5B25C63B" w14:textId="707EABBE" w:rsidR="00145F42" w:rsidRPr="001E6E81" w:rsidRDefault="00145F42">
      <w:pPr>
        <w:pStyle w:val="TableofFigures"/>
        <w:tabs>
          <w:tab w:val="right" w:leader="dot" w:pos="9628"/>
        </w:tabs>
        <w:rPr>
          <w:rFonts w:asciiTheme="minorHAnsi" w:eastAsiaTheme="minorEastAsia" w:hAnsiTheme="minorHAnsi"/>
          <w:noProof/>
          <w:lang w:eastAsia="en-GB"/>
        </w:rPr>
      </w:pPr>
      <w:hyperlink w:anchor="_Toc129350962" w:history="1">
        <w:r w:rsidRPr="001E6E81">
          <w:rPr>
            <w:rStyle w:val="Hyperlink"/>
            <w:noProof/>
          </w:rPr>
          <w:t>Figure 36: Observed versus predicted PFS (T-DXd) in the FAS population over a 10-year time horizon in the FAS population</w:t>
        </w:r>
        <w:r w:rsidRPr="001E6E81">
          <w:rPr>
            <w:noProof/>
            <w:webHidden/>
          </w:rPr>
          <w:tab/>
        </w:r>
        <w:r w:rsidRPr="001E6E81">
          <w:rPr>
            <w:noProof/>
            <w:webHidden/>
          </w:rPr>
          <w:fldChar w:fldCharType="begin"/>
        </w:r>
        <w:r w:rsidRPr="001E6E81">
          <w:rPr>
            <w:noProof/>
            <w:webHidden/>
          </w:rPr>
          <w:instrText xml:space="preserve"> PAGEREF _Toc129350962 \h </w:instrText>
        </w:r>
        <w:r w:rsidRPr="001E6E81">
          <w:rPr>
            <w:noProof/>
            <w:webHidden/>
          </w:rPr>
        </w:r>
        <w:r w:rsidRPr="001E6E81">
          <w:rPr>
            <w:noProof/>
            <w:webHidden/>
          </w:rPr>
          <w:fldChar w:fldCharType="separate"/>
        </w:r>
        <w:r w:rsidRPr="001E6E81">
          <w:rPr>
            <w:noProof/>
            <w:webHidden/>
          </w:rPr>
          <w:t>134</w:t>
        </w:r>
        <w:r w:rsidRPr="001E6E81">
          <w:rPr>
            <w:noProof/>
            <w:webHidden/>
          </w:rPr>
          <w:fldChar w:fldCharType="end"/>
        </w:r>
      </w:hyperlink>
    </w:p>
    <w:p w14:paraId="5332A7F7" w14:textId="63E2857E" w:rsidR="00145F42" w:rsidRPr="001E6E81" w:rsidRDefault="00145F42">
      <w:pPr>
        <w:pStyle w:val="TableofFigures"/>
        <w:tabs>
          <w:tab w:val="right" w:leader="dot" w:pos="9628"/>
        </w:tabs>
        <w:rPr>
          <w:rFonts w:asciiTheme="minorHAnsi" w:eastAsiaTheme="minorEastAsia" w:hAnsiTheme="minorHAnsi"/>
          <w:noProof/>
          <w:lang w:eastAsia="en-GB"/>
        </w:rPr>
      </w:pPr>
      <w:hyperlink w:anchor="_Toc129350963" w:history="1">
        <w:r w:rsidRPr="001E6E81">
          <w:rPr>
            <w:rStyle w:val="Hyperlink"/>
            <w:noProof/>
          </w:rPr>
          <w:t>Figure 37: Base-case extrapolations for PFS in the FAS population (log-logistic, T-DXd and TPC)</w:t>
        </w:r>
        <w:r w:rsidRPr="001E6E81">
          <w:rPr>
            <w:noProof/>
            <w:webHidden/>
          </w:rPr>
          <w:tab/>
        </w:r>
        <w:r w:rsidRPr="001E6E81">
          <w:rPr>
            <w:noProof/>
            <w:webHidden/>
          </w:rPr>
          <w:fldChar w:fldCharType="begin"/>
        </w:r>
        <w:r w:rsidRPr="001E6E81">
          <w:rPr>
            <w:noProof/>
            <w:webHidden/>
          </w:rPr>
          <w:instrText xml:space="preserve"> PAGEREF _Toc129350963 \h </w:instrText>
        </w:r>
        <w:r w:rsidRPr="001E6E81">
          <w:rPr>
            <w:noProof/>
            <w:webHidden/>
          </w:rPr>
        </w:r>
        <w:r w:rsidRPr="001E6E81">
          <w:rPr>
            <w:noProof/>
            <w:webHidden/>
          </w:rPr>
          <w:fldChar w:fldCharType="separate"/>
        </w:r>
        <w:r w:rsidRPr="001E6E81">
          <w:rPr>
            <w:noProof/>
            <w:webHidden/>
          </w:rPr>
          <w:t>135</w:t>
        </w:r>
        <w:r w:rsidRPr="001E6E81">
          <w:rPr>
            <w:noProof/>
            <w:webHidden/>
          </w:rPr>
          <w:fldChar w:fldCharType="end"/>
        </w:r>
      </w:hyperlink>
    </w:p>
    <w:p w14:paraId="59628319" w14:textId="7EA49E37" w:rsidR="00145F42" w:rsidRPr="001E6E81" w:rsidRDefault="00145F42">
      <w:pPr>
        <w:pStyle w:val="TableofFigures"/>
        <w:tabs>
          <w:tab w:val="right" w:leader="dot" w:pos="9628"/>
        </w:tabs>
        <w:rPr>
          <w:rFonts w:asciiTheme="minorHAnsi" w:eastAsiaTheme="minorEastAsia" w:hAnsiTheme="minorHAnsi"/>
          <w:noProof/>
          <w:lang w:eastAsia="en-GB"/>
        </w:rPr>
      </w:pPr>
      <w:hyperlink w:anchor="_Toc129350964" w:history="1">
        <w:r w:rsidRPr="001E6E81">
          <w:rPr>
            <w:rStyle w:val="Hyperlink"/>
            <w:noProof/>
          </w:rPr>
          <w:t>Figure 38: TTD KM from DESTINY-Breast04 in the FAS population (T-DXd and TPC)</w:t>
        </w:r>
        <w:r w:rsidRPr="001E6E81">
          <w:rPr>
            <w:noProof/>
            <w:webHidden/>
          </w:rPr>
          <w:tab/>
        </w:r>
        <w:r w:rsidRPr="001E6E81">
          <w:rPr>
            <w:noProof/>
            <w:webHidden/>
          </w:rPr>
          <w:fldChar w:fldCharType="begin"/>
        </w:r>
        <w:r w:rsidRPr="001E6E81">
          <w:rPr>
            <w:noProof/>
            <w:webHidden/>
          </w:rPr>
          <w:instrText xml:space="preserve"> PAGEREF _Toc129350964 \h </w:instrText>
        </w:r>
        <w:r w:rsidRPr="001E6E81">
          <w:rPr>
            <w:noProof/>
            <w:webHidden/>
          </w:rPr>
        </w:r>
        <w:r w:rsidRPr="001E6E81">
          <w:rPr>
            <w:noProof/>
            <w:webHidden/>
          </w:rPr>
          <w:fldChar w:fldCharType="separate"/>
        </w:r>
        <w:r w:rsidRPr="001E6E81">
          <w:rPr>
            <w:noProof/>
            <w:webHidden/>
          </w:rPr>
          <w:t>136</w:t>
        </w:r>
        <w:r w:rsidRPr="001E6E81">
          <w:rPr>
            <w:noProof/>
            <w:webHidden/>
          </w:rPr>
          <w:fldChar w:fldCharType="end"/>
        </w:r>
      </w:hyperlink>
    </w:p>
    <w:p w14:paraId="334C4427" w14:textId="3D9DF90C" w:rsidR="00145F42" w:rsidRPr="001E6E81" w:rsidRDefault="00145F42">
      <w:pPr>
        <w:pStyle w:val="TableofFigures"/>
        <w:tabs>
          <w:tab w:val="right" w:leader="dot" w:pos="9628"/>
        </w:tabs>
        <w:rPr>
          <w:rFonts w:asciiTheme="minorHAnsi" w:eastAsiaTheme="minorEastAsia" w:hAnsiTheme="minorHAnsi"/>
          <w:noProof/>
          <w:lang w:eastAsia="en-GB"/>
        </w:rPr>
      </w:pPr>
      <w:hyperlink w:anchor="_Toc129350965" w:history="1">
        <w:r w:rsidRPr="001E6E81">
          <w:rPr>
            <w:rStyle w:val="Hyperlink"/>
            <w:noProof/>
          </w:rPr>
          <w:t>Figure 39: Log-cumulative hazard plot of TTD from DESTINY-Breast04</w:t>
        </w:r>
        <w:r w:rsidRPr="001E6E81">
          <w:rPr>
            <w:noProof/>
            <w:webHidden/>
          </w:rPr>
          <w:tab/>
        </w:r>
        <w:r w:rsidRPr="001E6E81">
          <w:rPr>
            <w:noProof/>
            <w:webHidden/>
          </w:rPr>
          <w:fldChar w:fldCharType="begin"/>
        </w:r>
        <w:r w:rsidRPr="001E6E81">
          <w:rPr>
            <w:noProof/>
            <w:webHidden/>
          </w:rPr>
          <w:instrText xml:space="preserve"> PAGEREF _Toc129350965 \h </w:instrText>
        </w:r>
        <w:r w:rsidRPr="001E6E81">
          <w:rPr>
            <w:noProof/>
            <w:webHidden/>
          </w:rPr>
        </w:r>
        <w:r w:rsidRPr="001E6E81">
          <w:rPr>
            <w:noProof/>
            <w:webHidden/>
          </w:rPr>
          <w:fldChar w:fldCharType="separate"/>
        </w:r>
        <w:r w:rsidRPr="001E6E81">
          <w:rPr>
            <w:noProof/>
            <w:webHidden/>
          </w:rPr>
          <w:t>137</w:t>
        </w:r>
        <w:r w:rsidRPr="001E6E81">
          <w:rPr>
            <w:noProof/>
            <w:webHidden/>
          </w:rPr>
          <w:fldChar w:fldCharType="end"/>
        </w:r>
      </w:hyperlink>
    </w:p>
    <w:p w14:paraId="0FDF5F7E" w14:textId="79308F1E" w:rsidR="00145F42" w:rsidRPr="001E6E81" w:rsidRDefault="00145F42">
      <w:pPr>
        <w:pStyle w:val="TableofFigures"/>
        <w:tabs>
          <w:tab w:val="right" w:leader="dot" w:pos="9628"/>
        </w:tabs>
        <w:rPr>
          <w:rFonts w:asciiTheme="minorHAnsi" w:eastAsiaTheme="minorEastAsia" w:hAnsiTheme="minorHAnsi"/>
          <w:noProof/>
          <w:lang w:eastAsia="en-GB"/>
        </w:rPr>
      </w:pPr>
      <w:hyperlink w:anchor="_Toc129350966" w:history="1">
        <w:r w:rsidRPr="001E6E81">
          <w:rPr>
            <w:rStyle w:val="Hyperlink"/>
            <w:noProof/>
          </w:rPr>
          <w:t>Figure 40: Observed versus predicted TTD (TPC) in the FAS population over 4 years</w:t>
        </w:r>
        <w:r w:rsidRPr="001E6E81">
          <w:rPr>
            <w:noProof/>
            <w:webHidden/>
          </w:rPr>
          <w:tab/>
        </w:r>
        <w:r w:rsidRPr="001E6E81">
          <w:rPr>
            <w:noProof/>
            <w:webHidden/>
          </w:rPr>
          <w:fldChar w:fldCharType="begin"/>
        </w:r>
        <w:r w:rsidRPr="001E6E81">
          <w:rPr>
            <w:noProof/>
            <w:webHidden/>
          </w:rPr>
          <w:instrText xml:space="preserve"> PAGEREF _Toc129350966 \h </w:instrText>
        </w:r>
        <w:r w:rsidRPr="001E6E81">
          <w:rPr>
            <w:noProof/>
            <w:webHidden/>
          </w:rPr>
        </w:r>
        <w:r w:rsidRPr="001E6E81">
          <w:rPr>
            <w:noProof/>
            <w:webHidden/>
          </w:rPr>
          <w:fldChar w:fldCharType="separate"/>
        </w:r>
        <w:r w:rsidRPr="001E6E81">
          <w:rPr>
            <w:noProof/>
            <w:webHidden/>
          </w:rPr>
          <w:t>138</w:t>
        </w:r>
        <w:r w:rsidRPr="001E6E81">
          <w:rPr>
            <w:noProof/>
            <w:webHidden/>
          </w:rPr>
          <w:fldChar w:fldCharType="end"/>
        </w:r>
      </w:hyperlink>
    </w:p>
    <w:p w14:paraId="075F17A7" w14:textId="201D77F4" w:rsidR="00145F42" w:rsidRPr="001E6E81" w:rsidRDefault="00145F42">
      <w:pPr>
        <w:pStyle w:val="TableofFigures"/>
        <w:tabs>
          <w:tab w:val="right" w:leader="dot" w:pos="9628"/>
        </w:tabs>
        <w:rPr>
          <w:rFonts w:asciiTheme="minorHAnsi" w:eastAsiaTheme="minorEastAsia" w:hAnsiTheme="minorHAnsi"/>
          <w:noProof/>
          <w:lang w:eastAsia="en-GB"/>
        </w:rPr>
      </w:pPr>
      <w:hyperlink w:anchor="_Toc129350967" w:history="1">
        <w:r w:rsidRPr="001E6E81">
          <w:rPr>
            <w:rStyle w:val="Hyperlink"/>
            <w:noProof/>
          </w:rPr>
          <w:t>Figure 41: Observed versus predicted TTD (T-DXd) in the FAS population over 4 years</w:t>
        </w:r>
        <w:r w:rsidRPr="001E6E81">
          <w:rPr>
            <w:noProof/>
            <w:webHidden/>
          </w:rPr>
          <w:tab/>
        </w:r>
        <w:r w:rsidRPr="001E6E81">
          <w:rPr>
            <w:noProof/>
            <w:webHidden/>
          </w:rPr>
          <w:fldChar w:fldCharType="begin"/>
        </w:r>
        <w:r w:rsidRPr="001E6E81">
          <w:rPr>
            <w:noProof/>
            <w:webHidden/>
          </w:rPr>
          <w:instrText xml:space="preserve"> PAGEREF _Toc129350967 \h </w:instrText>
        </w:r>
        <w:r w:rsidRPr="001E6E81">
          <w:rPr>
            <w:noProof/>
            <w:webHidden/>
          </w:rPr>
        </w:r>
        <w:r w:rsidRPr="001E6E81">
          <w:rPr>
            <w:noProof/>
            <w:webHidden/>
          </w:rPr>
          <w:fldChar w:fldCharType="separate"/>
        </w:r>
        <w:r w:rsidRPr="001E6E81">
          <w:rPr>
            <w:noProof/>
            <w:webHidden/>
          </w:rPr>
          <w:t>139</w:t>
        </w:r>
        <w:r w:rsidRPr="001E6E81">
          <w:rPr>
            <w:noProof/>
            <w:webHidden/>
          </w:rPr>
          <w:fldChar w:fldCharType="end"/>
        </w:r>
      </w:hyperlink>
    </w:p>
    <w:p w14:paraId="661B21F4" w14:textId="2BC79B06" w:rsidR="00145F42" w:rsidRPr="001E6E81" w:rsidRDefault="00145F42">
      <w:pPr>
        <w:pStyle w:val="TableofFigures"/>
        <w:tabs>
          <w:tab w:val="right" w:leader="dot" w:pos="9628"/>
        </w:tabs>
        <w:rPr>
          <w:rFonts w:asciiTheme="minorHAnsi" w:eastAsiaTheme="minorEastAsia" w:hAnsiTheme="minorHAnsi"/>
          <w:noProof/>
          <w:lang w:eastAsia="en-GB"/>
        </w:rPr>
      </w:pPr>
      <w:hyperlink w:anchor="_Toc129350968" w:history="1">
        <w:r w:rsidRPr="001E6E81">
          <w:rPr>
            <w:rStyle w:val="Hyperlink"/>
            <w:noProof/>
          </w:rPr>
          <w:t>Figure 42: Base-case extrapolations for TTD in the FAS population (generalised gamma, T-DXd and TPC)</w:t>
        </w:r>
        <w:r w:rsidRPr="001E6E81">
          <w:rPr>
            <w:noProof/>
            <w:webHidden/>
          </w:rPr>
          <w:tab/>
        </w:r>
        <w:r w:rsidRPr="001E6E81">
          <w:rPr>
            <w:noProof/>
            <w:webHidden/>
          </w:rPr>
          <w:fldChar w:fldCharType="begin"/>
        </w:r>
        <w:r w:rsidRPr="001E6E81">
          <w:rPr>
            <w:noProof/>
            <w:webHidden/>
          </w:rPr>
          <w:instrText xml:space="preserve"> PAGEREF _Toc129350968 \h </w:instrText>
        </w:r>
        <w:r w:rsidRPr="001E6E81">
          <w:rPr>
            <w:noProof/>
            <w:webHidden/>
          </w:rPr>
        </w:r>
        <w:r w:rsidRPr="001E6E81">
          <w:rPr>
            <w:noProof/>
            <w:webHidden/>
          </w:rPr>
          <w:fldChar w:fldCharType="separate"/>
        </w:r>
        <w:r w:rsidRPr="001E6E81">
          <w:rPr>
            <w:noProof/>
            <w:webHidden/>
          </w:rPr>
          <w:t>140</w:t>
        </w:r>
        <w:r w:rsidRPr="001E6E81">
          <w:rPr>
            <w:noProof/>
            <w:webHidden/>
          </w:rPr>
          <w:fldChar w:fldCharType="end"/>
        </w:r>
      </w:hyperlink>
    </w:p>
    <w:p w14:paraId="39F28800" w14:textId="41BC6BB8" w:rsidR="00145F42" w:rsidRPr="001E6E81" w:rsidRDefault="00145F42">
      <w:pPr>
        <w:pStyle w:val="TableofFigures"/>
        <w:tabs>
          <w:tab w:val="right" w:leader="dot" w:pos="9628"/>
        </w:tabs>
        <w:rPr>
          <w:rFonts w:asciiTheme="minorHAnsi" w:eastAsiaTheme="minorEastAsia" w:hAnsiTheme="minorHAnsi"/>
          <w:noProof/>
          <w:lang w:eastAsia="en-GB"/>
        </w:rPr>
      </w:pPr>
      <w:hyperlink w:anchor="_Toc129350969" w:history="1">
        <w:r w:rsidRPr="001E6E81">
          <w:rPr>
            <w:rStyle w:val="Hyperlink"/>
            <w:noProof/>
          </w:rPr>
          <w:t>Figure 43: Summary of base case* efficacy (OS, PFS and TTD) for T-DXd in the FAS population</w:t>
        </w:r>
        <w:r w:rsidRPr="001E6E81">
          <w:rPr>
            <w:noProof/>
            <w:webHidden/>
          </w:rPr>
          <w:tab/>
        </w:r>
        <w:r w:rsidRPr="001E6E81">
          <w:rPr>
            <w:noProof/>
            <w:webHidden/>
          </w:rPr>
          <w:fldChar w:fldCharType="begin"/>
        </w:r>
        <w:r w:rsidRPr="001E6E81">
          <w:rPr>
            <w:noProof/>
            <w:webHidden/>
          </w:rPr>
          <w:instrText xml:space="preserve"> PAGEREF _Toc129350969 \h </w:instrText>
        </w:r>
        <w:r w:rsidRPr="001E6E81">
          <w:rPr>
            <w:noProof/>
            <w:webHidden/>
          </w:rPr>
        </w:r>
        <w:r w:rsidRPr="001E6E81">
          <w:rPr>
            <w:noProof/>
            <w:webHidden/>
          </w:rPr>
          <w:fldChar w:fldCharType="separate"/>
        </w:r>
        <w:r w:rsidRPr="001E6E81">
          <w:rPr>
            <w:noProof/>
            <w:webHidden/>
          </w:rPr>
          <w:t>142</w:t>
        </w:r>
        <w:r w:rsidRPr="001E6E81">
          <w:rPr>
            <w:noProof/>
            <w:webHidden/>
          </w:rPr>
          <w:fldChar w:fldCharType="end"/>
        </w:r>
      </w:hyperlink>
    </w:p>
    <w:p w14:paraId="2858333B" w14:textId="0BF4C5FF" w:rsidR="00145F42" w:rsidRPr="001E6E81" w:rsidRDefault="00145F42">
      <w:pPr>
        <w:pStyle w:val="TableofFigures"/>
        <w:tabs>
          <w:tab w:val="right" w:leader="dot" w:pos="9628"/>
        </w:tabs>
        <w:rPr>
          <w:rFonts w:asciiTheme="minorHAnsi" w:eastAsiaTheme="minorEastAsia" w:hAnsiTheme="minorHAnsi"/>
          <w:noProof/>
          <w:lang w:eastAsia="en-GB"/>
        </w:rPr>
      </w:pPr>
      <w:hyperlink w:anchor="_Toc129350970" w:history="1">
        <w:r w:rsidRPr="001E6E81">
          <w:rPr>
            <w:rStyle w:val="Hyperlink"/>
            <w:noProof/>
          </w:rPr>
          <w:t>Figure 44: Summary of base case efficacy* (OS, PFS and TTD) for TPC in the FAS population</w:t>
        </w:r>
        <w:r w:rsidRPr="001E6E81">
          <w:rPr>
            <w:noProof/>
            <w:webHidden/>
          </w:rPr>
          <w:tab/>
        </w:r>
        <w:r w:rsidRPr="001E6E81">
          <w:rPr>
            <w:noProof/>
            <w:webHidden/>
          </w:rPr>
          <w:fldChar w:fldCharType="begin"/>
        </w:r>
        <w:r w:rsidRPr="001E6E81">
          <w:rPr>
            <w:noProof/>
            <w:webHidden/>
          </w:rPr>
          <w:instrText xml:space="preserve"> PAGEREF _Toc129350970 \h </w:instrText>
        </w:r>
        <w:r w:rsidRPr="001E6E81">
          <w:rPr>
            <w:noProof/>
            <w:webHidden/>
          </w:rPr>
        </w:r>
        <w:r w:rsidRPr="001E6E81">
          <w:rPr>
            <w:noProof/>
            <w:webHidden/>
          </w:rPr>
          <w:fldChar w:fldCharType="separate"/>
        </w:r>
        <w:r w:rsidRPr="001E6E81">
          <w:rPr>
            <w:noProof/>
            <w:webHidden/>
          </w:rPr>
          <w:t>142</w:t>
        </w:r>
        <w:r w:rsidRPr="001E6E81">
          <w:rPr>
            <w:noProof/>
            <w:webHidden/>
          </w:rPr>
          <w:fldChar w:fldCharType="end"/>
        </w:r>
      </w:hyperlink>
    </w:p>
    <w:p w14:paraId="5AB21FFF" w14:textId="7434AA12" w:rsidR="00145F42" w:rsidRPr="001E6E81" w:rsidRDefault="00145F42">
      <w:pPr>
        <w:pStyle w:val="TableofFigures"/>
        <w:tabs>
          <w:tab w:val="right" w:leader="dot" w:pos="9628"/>
        </w:tabs>
        <w:rPr>
          <w:rFonts w:asciiTheme="minorHAnsi" w:eastAsiaTheme="minorEastAsia" w:hAnsiTheme="minorHAnsi"/>
          <w:noProof/>
          <w:lang w:eastAsia="en-GB"/>
        </w:rPr>
      </w:pPr>
      <w:hyperlink w:anchor="_Toc129350971" w:history="1">
        <w:r w:rsidRPr="001E6E81">
          <w:rPr>
            <w:rStyle w:val="Hyperlink"/>
            <w:noProof/>
          </w:rPr>
          <w:t>Figure 45: Summary of base case efficacy* (OS, PFS and TTD) for TPC and T-DXd in the FAS population</w:t>
        </w:r>
        <w:r w:rsidRPr="001E6E81">
          <w:rPr>
            <w:noProof/>
            <w:webHidden/>
          </w:rPr>
          <w:tab/>
        </w:r>
        <w:r w:rsidRPr="001E6E81">
          <w:rPr>
            <w:noProof/>
            <w:webHidden/>
          </w:rPr>
          <w:fldChar w:fldCharType="begin"/>
        </w:r>
        <w:r w:rsidRPr="001E6E81">
          <w:rPr>
            <w:noProof/>
            <w:webHidden/>
          </w:rPr>
          <w:instrText xml:space="preserve"> PAGEREF _Toc129350971 \h </w:instrText>
        </w:r>
        <w:r w:rsidRPr="001E6E81">
          <w:rPr>
            <w:noProof/>
            <w:webHidden/>
          </w:rPr>
        </w:r>
        <w:r w:rsidRPr="001E6E81">
          <w:rPr>
            <w:noProof/>
            <w:webHidden/>
          </w:rPr>
          <w:fldChar w:fldCharType="separate"/>
        </w:r>
        <w:r w:rsidRPr="001E6E81">
          <w:rPr>
            <w:noProof/>
            <w:webHidden/>
          </w:rPr>
          <w:t>143</w:t>
        </w:r>
        <w:r w:rsidRPr="001E6E81">
          <w:rPr>
            <w:noProof/>
            <w:webHidden/>
          </w:rPr>
          <w:fldChar w:fldCharType="end"/>
        </w:r>
      </w:hyperlink>
    </w:p>
    <w:p w14:paraId="7E825100" w14:textId="6F9CE2F9" w:rsidR="00145F42" w:rsidRPr="001E6E81" w:rsidRDefault="00145F42">
      <w:pPr>
        <w:pStyle w:val="TableofFigures"/>
        <w:tabs>
          <w:tab w:val="right" w:leader="dot" w:pos="9628"/>
        </w:tabs>
        <w:rPr>
          <w:rFonts w:asciiTheme="minorHAnsi" w:eastAsiaTheme="minorEastAsia" w:hAnsiTheme="minorHAnsi"/>
          <w:noProof/>
          <w:lang w:eastAsia="en-GB"/>
        </w:rPr>
      </w:pPr>
      <w:hyperlink w:anchor="_Toc129350972" w:history="1">
        <w:r w:rsidRPr="001E6E81">
          <w:rPr>
            <w:rStyle w:val="Hyperlink"/>
            <w:noProof/>
          </w:rPr>
          <w:t>Figure 46: Cost-effectiveness plane – T-DXd (at the PAS price) vs. TPC (no severity modifier applied)*</w:t>
        </w:r>
        <w:r w:rsidRPr="001E6E81">
          <w:rPr>
            <w:noProof/>
            <w:webHidden/>
          </w:rPr>
          <w:tab/>
        </w:r>
        <w:r w:rsidRPr="001E6E81">
          <w:rPr>
            <w:noProof/>
            <w:webHidden/>
          </w:rPr>
          <w:fldChar w:fldCharType="begin"/>
        </w:r>
        <w:r w:rsidRPr="001E6E81">
          <w:rPr>
            <w:noProof/>
            <w:webHidden/>
          </w:rPr>
          <w:instrText xml:space="preserve"> PAGEREF _Toc129350972 \h </w:instrText>
        </w:r>
        <w:r w:rsidRPr="001E6E81">
          <w:rPr>
            <w:noProof/>
            <w:webHidden/>
          </w:rPr>
        </w:r>
        <w:r w:rsidRPr="001E6E81">
          <w:rPr>
            <w:noProof/>
            <w:webHidden/>
          </w:rPr>
          <w:fldChar w:fldCharType="separate"/>
        </w:r>
        <w:r w:rsidRPr="001E6E81">
          <w:rPr>
            <w:noProof/>
            <w:webHidden/>
          </w:rPr>
          <w:t>171</w:t>
        </w:r>
        <w:r w:rsidRPr="001E6E81">
          <w:rPr>
            <w:noProof/>
            <w:webHidden/>
          </w:rPr>
          <w:fldChar w:fldCharType="end"/>
        </w:r>
      </w:hyperlink>
    </w:p>
    <w:p w14:paraId="686A6542" w14:textId="57C20ECA" w:rsidR="00145F42" w:rsidRPr="001E6E81" w:rsidRDefault="00145F42">
      <w:pPr>
        <w:pStyle w:val="TableofFigures"/>
        <w:tabs>
          <w:tab w:val="right" w:leader="dot" w:pos="9628"/>
        </w:tabs>
        <w:rPr>
          <w:rFonts w:asciiTheme="minorHAnsi" w:eastAsiaTheme="minorEastAsia" w:hAnsiTheme="minorHAnsi"/>
          <w:noProof/>
          <w:lang w:eastAsia="en-GB"/>
        </w:rPr>
      </w:pPr>
      <w:hyperlink w:anchor="_Toc129350973" w:history="1">
        <w:r w:rsidRPr="001E6E81">
          <w:rPr>
            <w:rStyle w:val="Hyperlink"/>
            <w:noProof/>
          </w:rPr>
          <w:t>Figure 47: Cost-effective acceptability curve – T-DXd (at the PAS price) vs. TPC (no severity modifier)*</w:t>
        </w:r>
        <w:r w:rsidRPr="001E6E81">
          <w:rPr>
            <w:noProof/>
            <w:webHidden/>
          </w:rPr>
          <w:tab/>
        </w:r>
        <w:r w:rsidRPr="001E6E81">
          <w:rPr>
            <w:noProof/>
            <w:webHidden/>
          </w:rPr>
          <w:fldChar w:fldCharType="begin"/>
        </w:r>
        <w:r w:rsidRPr="001E6E81">
          <w:rPr>
            <w:noProof/>
            <w:webHidden/>
          </w:rPr>
          <w:instrText xml:space="preserve"> PAGEREF _Toc129350973 \h </w:instrText>
        </w:r>
        <w:r w:rsidRPr="001E6E81">
          <w:rPr>
            <w:noProof/>
            <w:webHidden/>
          </w:rPr>
        </w:r>
        <w:r w:rsidRPr="001E6E81">
          <w:rPr>
            <w:noProof/>
            <w:webHidden/>
          </w:rPr>
          <w:fldChar w:fldCharType="separate"/>
        </w:r>
        <w:r w:rsidRPr="001E6E81">
          <w:rPr>
            <w:noProof/>
            <w:webHidden/>
          </w:rPr>
          <w:t>172</w:t>
        </w:r>
        <w:r w:rsidRPr="001E6E81">
          <w:rPr>
            <w:noProof/>
            <w:webHidden/>
          </w:rPr>
          <w:fldChar w:fldCharType="end"/>
        </w:r>
      </w:hyperlink>
    </w:p>
    <w:p w14:paraId="54BB8358" w14:textId="765D65D3" w:rsidR="00145F42" w:rsidRPr="001E6E81" w:rsidRDefault="00145F42">
      <w:pPr>
        <w:pStyle w:val="TableofFigures"/>
        <w:tabs>
          <w:tab w:val="right" w:leader="dot" w:pos="9628"/>
        </w:tabs>
        <w:rPr>
          <w:rFonts w:asciiTheme="minorHAnsi" w:eastAsiaTheme="minorEastAsia" w:hAnsiTheme="minorHAnsi"/>
          <w:noProof/>
          <w:lang w:eastAsia="en-GB"/>
        </w:rPr>
      </w:pPr>
      <w:hyperlink w:anchor="_Toc129350974" w:history="1">
        <w:r w:rsidRPr="001E6E81">
          <w:rPr>
            <w:rStyle w:val="Hyperlink"/>
            <w:noProof/>
          </w:rPr>
          <w:t>Figure 48: Tornado plot showing OWSA results on the ICER (T-DXd [at the PAS price] vs. TPC , no severity modifier applied)*</w:t>
        </w:r>
        <w:r w:rsidRPr="001E6E81">
          <w:rPr>
            <w:noProof/>
            <w:webHidden/>
          </w:rPr>
          <w:tab/>
        </w:r>
        <w:r w:rsidRPr="001E6E81">
          <w:rPr>
            <w:noProof/>
            <w:webHidden/>
          </w:rPr>
          <w:fldChar w:fldCharType="begin"/>
        </w:r>
        <w:r w:rsidRPr="001E6E81">
          <w:rPr>
            <w:noProof/>
            <w:webHidden/>
          </w:rPr>
          <w:instrText xml:space="preserve"> PAGEREF _Toc129350974 \h </w:instrText>
        </w:r>
        <w:r w:rsidRPr="001E6E81">
          <w:rPr>
            <w:noProof/>
            <w:webHidden/>
          </w:rPr>
        </w:r>
        <w:r w:rsidRPr="001E6E81">
          <w:rPr>
            <w:noProof/>
            <w:webHidden/>
          </w:rPr>
          <w:fldChar w:fldCharType="separate"/>
        </w:r>
        <w:r w:rsidRPr="001E6E81">
          <w:rPr>
            <w:noProof/>
            <w:webHidden/>
          </w:rPr>
          <w:t>173</w:t>
        </w:r>
        <w:r w:rsidRPr="001E6E81">
          <w:rPr>
            <w:noProof/>
            <w:webHidden/>
          </w:rPr>
          <w:fldChar w:fldCharType="end"/>
        </w:r>
      </w:hyperlink>
    </w:p>
    <w:p w14:paraId="38AAB62A" w14:textId="0AE13086" w:rsidR="00145F42" w:rsidRDefault="00145F42">
      <w:pPr>
        <w:pStyle w:val="TableofFigures"/>
        <w:tabs>
          <w:tab w:val="right" w:leader="dot" w:pos="9628"/>
        </w:tabs>
        <w:rPr>
          <w:rFonts w:asciiTheme="minorHAnsi" w:eastAsiaTheme="minorEastAsia" w:hAnsiTheme="minorHAnsi"/>
          <w:noProof/>
          <w:lang w:eastAsia="en-GB"/>
        </w:rPr>
      </w:pPr>
      <w:hyperlink w:anchor="_Toc129350975" w:history="1">
        <w:r w:rsidRPr="001E6E81">
          <w:rPr>
            <w:rStyle w:val="Hyperlink"/>
            <w:noProof/>
          </w:rPr>
          <w:t>Figure 49: Cost-effectiveness plane for the scenario analysis (probabilistic results, based on results with PAS, no severity modifier applied)</w:t>
        </w:r>
        <w:r w:rsidRPr="001E6E81">
          <w:rPr>
            <w:noProof/>
            <w:webHidden/>
          </w:rPr>
          <w:tab/>
        </w:r>
        <w:r w:rsidRPr="001E6E81">
          <w:rPr>
            <w:noProof/>
            <w:webHidden/>
          </w:rPr>
          <w:fldChar w:fldCharType="begin"/>
        </w:r>
        <w:r w:rsidRPr="001E6E81">
          <w:rPr>
            <w:noProof/>
            <w:webHidden/>
          </w:rPr>
          <w:instrText xml:space="preserve"> PAGEREF _Toc129350975 \h </w:instrText>
        </w:r>
        <w:r w:rsidRPr="001E6E81">
          <w:rPr>
            <w:noProof/>
            <w:webHidden/>
          </w:rPr>
        </w:r>
        <w:r w:rsidRPr="001E6E81">
          <w:rPr>
            <w:noProof/>
            <w:webHidden/>
          </w:rPr>
          <w:fldChar w:fldCharType="separate"/>
        </w:r>
        <w:r w:rsidRPr="001E6E81">
          <w:rPr>
            <w:noProof/>
            <w:webHidden/>
          </w:rPr>
          <w:t>175</w:t>
        </w:r>
        <w:r w:rsidRPr="001E6E81">
          <w:rPr>
            <w:noProof/>
            <w:webHidden/>
          </w:rPr>
          <w:fldChar w:fldCharType="end"/>
        </w:r>
      </w:hyperlink>
    </w:p>
    <w:p w14:paraId="37F63509" w14:textId="081B3204" w:rsidR="005B4DB2" w:rsidRPr="005B4DB2" w:rsidRDefault="00D84870" w:rsidP="00D84870">
      <w:pPr>
        <w:pStyle w:val="nonTOCheading"/>
        <w:spacing w:before="240"/>
      </w:pPr>
      <w:r>
        <w:fldChar w:fldCharType="end"/>
      </w:r>
      <w:r w:rsidR="00AA636C" w:rsidRPr="005B4DB2">
        <w:t>List of tables</w:t>
      </w:r>
    </w:p>
    <w:p w14:paraId="19348048" w14:textId="72DC275C" w:rsidR="00145F42" w:rsidRDefault="00D84870">
      <w:pPr>
        <w:pStyle w:val="TableofFigures"/>
        <w:tabs>
          <w:tab w:val="right" w:leader="dot" w:pos="9628"/>
        </w:tabs>
        <w:rPr>
          <w:rFonts w:asciiTheme="minorHAnsi" w:eastAsiaTheme="minorEastAsia" w:hAnsiTheme="minorHAnsi"/>
          <w:noProof/>
          <w:lang w:eastAsia="en-GB"/>
        </w:rPr>
      </w:pPr>
      <w:r>
        <w:fldChar w:fldCharType="begin"/>
      </w:r>
      <w:r>
        <w:instrText xml:space="preserve"> TOC \h \z \c "Table" </w:instrText>
      </w:r>
      <w:r>
        <w:fldChar w:fldCharType="separate"/>
      </w:r>
      <w:hyperlink w:anchor="_Toc129350976" w:history="1">
        <w:r w:rsidR="00145F42" w:rsidRPr="00E54599">
          <w:rPr>
            <w:rStyle w:val="Hyperlink"/>
            <w:noProof/>
          </w:rPr>
          <w:t>Table 1: The decision problem</w:t>
        </w:r>
        <w:r w:rsidR="00145F42">
          <w:rPr>
            <w:noProof/>
            <w:webHidden/>
          </w:rPr>
          <w:tab/>
        </w:r>
        <w:r w:rsidR="00145F42">
          <w:rPr>
            <w:noProof/>
            <w:webHidden/>
          </w:rPr>
          <w:fldChar w:fldCharType="begin"/>
        </w:r>
        <w:r w:rsidR="00145F42">
          <w:rPr>
            <w:noProof/>
            <w:webHidden/>
          </w:rPr>
          <w:instrText xml:space="preserve"> PAGEREF _Toc129350976 \h </w:instrText>
        </w:r>
        <w:r w:rsidR="00145F42">
          <w:rPr>
            <w:noProof/>
            <w:webHidden/>
          </w:rPr>
        </w:r>
        <w:r w:rsidR="00145F42">
          <w:rPr>
            <w:noProof/>
            <w:webHidden/>
          </w:rPr>
          <w:fldChar w:fldCharType="separate"/>
        </w:r>
        <w:r w:rsidR="00145F42">
          <w:rPr>
            <w:noProof/>
            <w:webHidden/>
          </w:rPr>
          <w:t>11</w:t>
        </w:r>
        <w:r w:rsidR="00145F42">
          <w:rPr>
            <w:noProof/>
            <w:webHidden/>
          </w:rPr>
          <w:fldChar w:fldCharType="end"/>
        </w:r>
      </w:hyperlink>
    </w:p>
    <w:p w14:paraId="0E2A0E6B" w14:textId="0882D3F6" w:rsidR="00145F42" w:rsidRDefault="00145F42">
      <w:pPr>
        <w:pStyle w:val="TableofFigures"/>
        <w:tabs>
          <w:tab w:val="right" w:leader="dot" w:pos="9628"/>
        </w:tabs>
        <w:rPr>
          <w:rFonts w:asciiTheme="minorHAnsi" w:eastAsiaTheme="minorEastAsia" w:hAnsiTheme="minorHAnsi"/>
          <w:noProof/>
          <w:lang w:eastAsia="en-GB"/>
        </w:rPr>
      </w:pPr>
      <w:hyperlink w:anchor="_Toc129350977" w:history="1">
        <w:r w:rsidRPr="00E54599">
          <w:rPr>
            <w:rStyle w:val="Hyperlink"/>
            <w:noProof/>
          </w:rPr>
          <w:t>Table 2: Technology being appraised</w:t>
        </w:r>
        <w:r>
          <w:rPr>
            <w:noProof/>
            <w:webHidden/>
          </w:rPr>
          <w:tab/>
        </w:r>
        <w:r>
          <w:rPr>
            <w:noProof/>
            <w:webHidden/>
          </w:rPr>
          <w:fldChar w:fldCharType="begin"/>
        </w:r>
        <w:r>
          <w:rPr>
            <w:noProof/>
            <w:webHidden/>
          </w:rPr>
          <w:instrText xml:space="preserve"> PAGEREF _Toc129350977 \h </w:instrText>
        </w:r>
        <w:r>
          <w:rPr>
            <w:noProof/>
            <w:webHidden/>
          </w:rPr>
        </w:r>
        <w:r>
          <w:rPr>
            <w:noProof/>
            <w:webHidden/>
          </w:rPr>
          <w:fldChar w:fldCharType="separate"/>
        </w:r>
        <w:r>
          <w:rPr>
            <w:noProof/>
            <w:webHidden/>
          </w:rPr>
          <w:t>14</w:t>
        </w:r>
        <w:r>
          <w:rPr>
            <w:noProof/>
            <w:webHidden/>
          </w:rPr>
          <w:fldChar w:fldCharType="end"/>
        </w:r>
      </w:hyperlink>
    </w:p>
    <w:p w14:paraId="7E77E48D" w14:textId="3DC298D3" w:rsidR="00145F42" w:rsidRDefault="00145F42">
      <w:pPr>
        <w:pStyle w:val="TableofFigures"/>
        <w:tabs>
          <w:tab w:val="right" w:leader="dot" w:pos="9628"/>
        </w:tabs>
        <w:rPr>
          <w:rFonts w:asciiTheme="minorHAnsi" w:eastAsiaTheme="minorEastAsia" w:hAnsiTheme="minorHAnsi"/>
          <w:noProof/>
          <w:lang w:eastAsia="en-GB"/>
        </w:rPr>
      </w:pPr>
      <w:hyperlink w:anchor="_Toc129350978" w:history="1">
        <w:r w:rsidRPr="00E54599">
          <w:rPr>
            <w:rStyle w:val="Hyperlink"/>
            <w:noProof/>
          </w:rPr>
          <w:t>Table 3: Current biomarker status for breast cancer</w:t>
        </w:r>
        <w:r>
          <w:rPr>
            <w:noProof/>
            <w:webHidden/>
          </w:rPr>
          <w:tab/>
        </w:r>
        <w:r>
          <w:rPr>
            <w:noProof/>
            <w:webHidden/>
          </w:rPr>
          <w:fldChar w:fldCharType="begin"/>
        </w:r>
        <w:r>
          <w:rPr>
            <w:noProof/>
            <w:webHidden/>
          </w:rPr>
          <w:instrText xml:space="preserve"> PAGEREF _Toc129350978 \h </w:instrText>
        </w:r>
        <w:r>
          <w:rPr>
            <w:noProof/>
            <w:webHidden/>
          </w:rPr>
        </w:r>
        <w:r>
          <w:rPr>
            <w:noProof/>
            <w:webHidden/>
          </w:rPr>
          <w:fldChar w:fldCharType="separate"/>
        </w:r>
        <w:r>
          <w:rPr>
            <w:noProof/>
            <w:webHidden/>
          </w:rPr>
          <w:t>21</w:t>
        </w:r>
        <w:r>
          <w:rPr>
            <w:noProof/>
            <w:webHidden/>
          </w:rPr>
          <w:fldChar w:fldCharType="end"/>
        </w:r>
      </w:hyperlink>
    </w:p>
    <w:p w14:paraId="5887F294" w14:textId="1F1179B6" w:rsidR="00145F42" w:rsidRDefault="00145F42">
      <w:pPr>
        <w:pStyle w:val="TableofFigures"/>
        <w:tabs>
          <w:tab w:val="right" w:leader="dot" w:pos="9628"/>
        </w:tabs>
        <w:rPr>
          <w:rFonts w:asciiTheme="minorHAnsi" w:eastAsiaTheme="minorEastAsia" w:hAnsiTheme="minorHAnsi"/>
          <w:noProof/>
          <w:lang w:eastAsia="en-GB"/>
        </w:rPr>
      </w:pPr>
      <w:hyperlink w:anchor="_Toc129350979" w:history="1">
        <w:r w:rsidRPr="00E54599">
          <w:rPr>
            <w:rStyle w:val="Hyperlink"/>
            <w:noProof/>
          </w:rPr>
          <w:t>Table 4: Site-specific symptoms of metastases in BC</w:t>
        </w:r>
        <w:r>
          <w:rPr>
            <w:noProof/>
            <w:webHidden/>
          </w:rPr>
          <w:tab/>
        </w:r>
        <w:r>
          <w:rPr>
            <w:noProof/>
            <w:webHidden/>
          </w:rPr>
          <w:fldChar w:fldCharType="begin"/>
        </w:r>
        <w:r>
          <w:rPr>
            <w:noProof/>
            <w:webHidden/>
          </w:rPr>
          <w:instrText xml:space="preserve"> PAGEREF _Toc129350979 \h </w:instrText>
        </w:r>
        <w:r>
          <w:rPr>
            <w:noProof/>
            <w:webHidden/>
          </w:rPr>
        </w:r>
        <w:r>
          <w:rPr>
            <w:noProof/>
            <w:webHidden/>
          </w:rPr>
          <w:fldChar w:fldCharType="separate"/>
        </w:r>
        <w:r>
          <w:rPr>
            <w:noProof/>
            <w:webHidden/>
          </w:rPr>
          <w:t>23</w:t>
        </w:r>
        <w:r>
          <w:rPr>
            <w:noProof/>
            <w:webHidden/>
          </w:rPr>
          <w:fldChar w:fldCharType="end"/>
        </w:r>
      </w:hyperlink>
    </w:p>
    <w:p w14:paraId="7271ED42" w14:textId="607EC7A7" w:rsidR="00145F42" w:rsidRDefault="00145F42">
      <w:pPr>
        <w:pStyle w:val="TableofFigures"/>
        <w:tabs>
          <w:tab w:val="right" w:leader="dot" w:pos="9628"/>
        </w:tabs>
        <w:rPr>
          <w:rFonts w:asciiTheme="minorHAnsi" w:eastAsiaTheme="minorEastAsia" w:hAnsiTheme="minorHAnsi"/>
          <w:noProof/>
          <w:lang w:eastAsia="en-GB"/>
        </w:rPr>
      </w:pPr>
      <w:hyperlink w:anchor="_Toc129350980" w:history="1">
        <w:r w:rsidRPr="00E54599">
          <w:rPr>
            <w:rStyle w:val="Hyperlink"/>
            <w:noProof/>
          </w:rPr>
          <w:t>Table 5: PFS and OS outcomes by line of therapy in HER2-negative u/mBC</w:t>
        </w:r>
        <w:r>
          <w:rPr>
            <w:noProof/>
            <w:webHidden/>
          </w:rPr>
          <w:tab/>
        </w:r>
        <w:r>
          <w:rPr>
            <w:noProof/>
            <w:webHidden/>
          </w:rPr>
          <w:fldChar w:fldCharType="begin"/>
        </w:r>
        <w:r>
          <w:rPr>
            <w:noProof/>
            <w:webHidden/>
          </w:rPr>
          <w:instrText xml:space="preserve"> PAGEREF _Toc129350980 \h </w:instrText>
        </w:r>
        <w:r>
          <w:rPr>
            <w:noProof/>
            <w:webHidden/>
          </w:rPr>
        </w:r>
        <w:r>
          <w:rPr>
            <w:noProof/>
            <w:webHidden/>
          </w:rPr>
          <w:fldChar w:fldCharType="separate"/>
        </w:r>
        <w:r>
          <w:rPr>
            <w:noProof/>
            <w:webHidden/>
          </w:rPr>
          <w:t>29</w:t>
        </w:r>
        <w:r>
          <w:rPr>
            <w:noProof/>
            <w:webHidden/>
          </w:rPr>
          <w:fldChar w:fldCharType="end"/>
        </w:r>
      </w:hyperlink>
    </w:p>
    <w:p w14:paraId="17A7E07C" w14:textId="7B1FD76C" w:rsidR="00145F42" w:rsidRDefault="00145F42">
      <w:pPr>
        <w:pStyle w:val="TableofFigures"/>
        <w:tabs>
          <w:tab w:val="right" w:leader="dot" w:pos="9628"/>
        </w:tabs>
        <w:rPr>
          <w:rFonts w:asciiTheme="minorHAnsi" w:eastAsiaTheme="minorEastAsia" w:hAnsiTheme="minorHAnsi"/>
          <w:noProof/>
          <w:lang w:eastAsia="en-GB"/>
        </w:rPr>
      </w:pPr>
      <w:hyperlink w:anchor="_Toc129350981" w:history="1">
        <w:r w:rsidRPr="00E54599">
          <w:rPr>
            <w:rStyle w:val="Hyperlink"/>
            <w:noProof/>
          </w:rPr>
          <w:t>Table 6: Summary of published NICE TAs with a positive recommendation in HER2-negative/HR-positive advanced BC*</w:t>
        </w:r>
        <w:r>
          <w:rPr>
            <w:noProof/>
            <w:webHidden/>
          </w:rPr>
          <w:tab/>
        </w:r>
        <w:r>
          <w:rPr>
            <w:noProof/>
            <w:webHidden/>
          </w:rPr>
          <w:fldChar w:fldCharType="begin"/>
        </w:r>
        <w:r>
          <w:rPr>
            <w:noProof/>
            <w:webHidden/>
          </w:rPr>
          <w:instrText xml:space="preserve"> PAGEREF _Toc129350981 \h </w:instrText>
        </w:r>
        <w:r>
          <w:rPr>
            <w:noProof/>
            <w:webHidden/>
          </w:rPr>
        </w:r>
        <w:r>
          <w:rPr>
            <w:noProof/>
            <w:webHidden/>
          </w:rPr>
          <w:fldChar w:fldCharType="separate"/>
        </w:r>
        <w:r>
          <w:rPr>
            <w:noProof/>
            <w:webHidden/>
          </w:rPr>
          <w:t>31</w:t>
        </w:r>
        <w:r>
          <w:rPr>
            <w:noProof/>
            <w:webHidden/>
          </w:rPr>
          <w:fldChar w:fldCharType="end"/>
        </w:r>
      </w:hyperlink>
    </w:p>
    <w:p w14:paraId="1E5BB0EB" w14:textId="1F6E48DF" w:rsidR="00145F42" w:rsidRDefault="00145F42">
      <w:pPr>
        <w:pStyle w:val="TableofFigures"/>
        <w:tabs>
          <w:tab w:val="right" w:leader="dot" w:pos="9628"/>
        </w:tabs>
        <w:rPr>
          <w:rFonts w:asciiTheme="minorHAnsi" w:eastAsiaTheme="minorEastAsia" w:hAnsiTheme="minorHAnsi"/>
          <w:noProof/>
          <w:lang w:eastAsia="en-GB"/>
        </w:rPr>
      </w:pPr>
      <w:hyperlink w:anchor="_Toc129350982" w:history="1">
        <w:r w:rsidRPr="00E54599">
          <w:rPr>
            <w:rStyle w:val="Hyperlink"/>
            <w:noProof/>
          </w:rPr>
          <w:t>Table 7: Summary of published NICE TAs with a positive recommendation in HER2-negative/HR-negative advanced BC (i.e. TNBC)</w:t>
        </w:r>
        <w:r>
          <w:rPr>
            <w:noProof/>
            <w:webHidden/>
          </w:rPr>
          <w:tab/>
        </w:r>
        <w:r>
          <w:rPr>
            <w:noProof/>
            <w:webHidden/>
          </w:rPr>
          <w:fldChar w:fldCharType="begin"/>
        </w:r>
        <w:r>
          <w:rPr>
            <w:noProof/>
            <w:webHidden/>
          </w:rPr>
          <w:instrText xml:space="preserve"> PAGEREF _Toc129350982 \h </w:instrText>
        </w:r>
        <w:r>
          <w:rPr>
            <w:noProof/>
            <w:webHidden/>
          </w:rPr>
        </w:r>
        <w:r>
          <w:rPr>
            <w:noProof/>
            <w:webHidden/>
          </w:rPr>
          <w:fldChar w:fldCharType="separate"/>
        </w:r>
        <w:r>
          <w:rPr>
            <w:noProof/>
            <w:webHidden/>
          </w:rPr>
          <w:t>32</w:t>
        </w:r>
        <w:r>
          <w:rPr>
            <w:noProof/>
            <w:webHidden/>
          </w:rPr>
          <w:fldChar w:fldCharType="end"/>
        </w:r>
      </w:hyperlink>
    </w:p>
    <w:p w14:paraId="3E9EDFDE" w14:textId="0AC6BBF0" w:rsidR="00145F42" w:rsidRDefault="00145F42">
      <w:pPr>
        <w:pStyle w:val="TableofFigures"/>
        <w:tabs>
          <w:tab w:val="right" w:leader="dot" w:pos="9628"/>
        </w:tabs>
        <w:rPr>
          <w:rFonts w:asciiTheme="minorHAnsi" w:eastAsiaTheme="minorEastAsia" w:hAnsiTheme="minorHAnsi"/>
          <w:noProof/>
          <w:lang w:eastAsia="en-GB"/>
        </w:rPr>
      </w:pPr>
      <w:hyperlink w:anchor="_Toc129350983" w:history="1">
        <w:r w:rsidRPr="00E54599">
          <w:rPr>
            <w:rStyle w:val="Hyperlink"/>
            <w:noProof/>
          </w:rPr>
          <w:t>Table 8: Clinical effectiveness evidence</w:t>
        </w:r>
        <w:r>
          <w:rPr>
            <w:noProof/>
            <w:webHidden/>
          </w:rPr>
          <w:tab/>
        </w:r>
        <w:r>
          <w:rPr>
            <w:noProof/>
            <w:webHidden/>
          </w:rPr>
          <w:fldChar w:fldCharType="begin"/>
        </w:r>
        <w:r>
          <w:rPr>
            <w:noProof/>
            <w:webHidden/>
          </w:rPr>
          <w:instrText xml:space="preserve"> PAGEREF _Toc129350983 \h </w:instrText>
        </w:r>
        <w:r>
          <w:rPr>
            <w:noProof/>
            <w:webHidden/>
          </w:rPr>
        </w:r>
        <w:r>
          <w:rPr>
            <w:noProof/>
            <w:webHidden/>
          </w:rPr>
          <w:fldChar w:fldCharType="separate"/>
        </w:r>
        <w:r>
          <w:rPr>
            <w:noProof/>
            <w:webHidden/>
          </w:rPr>
          <w:t>46</w:t>
        </w:r>
        <w:r>
          <w:rPr>
            <w:noProof/>
            <w:webHidden/>
          </w:rPr>
          <w:fldChar w:fldCharType="end"/>
        </w:r>
      </w:hyperlink>
    </w:p>
    <w:p w14:paraId="6FFF1FD6" w14:textId="105DCDD5" w:rsidR="00145F42" w:rsidRDefault="00145F42">
      <w:pPr>
        <w:pStyle w:val="TableofFigures"/>
        <w:tabs>
          <w:tab w:val="right" w:leader="dot" w:pos="9628"/>
        </w:tabs>
        <w:rPr>
          <w:rFonts w:asciiTheme="minorHAnsi" w:eastAsiaTheme="minorEastAsia" w:hAnsiTheme="minorHAnsi"/>
          <w:noProof/>
          <w:lang w:eastAsia="en-GB"/>
        </w:rPr>
      </w:pPr>
      <w:hyperlink w:anchor="_Toc129350984" w:history="1">
        <w:r w:rsidRPr="00E54599">
          <w:rPr>
            <w:rStyle w:val="Hyperlink"/>
            <w:noProof/>
          </w:rPr>
          <w:t>Table 9: Summary of DESTINY-Breast04 methodology</w:t>
        </w:r>
        <w:r>
          <w:rPr>
            <w:noProof/>
            <w:webHidden/>
          </w:rPr>
          <w:tab/>
        </w:r>
        <w:r>
          <w:rPr>
            <w:noProof/>
            <w:webHidden/>
          </w:rPr>
          <w:fldChar w:fldCharType="begin"/>
        </w:r>
        <w:r>
          <w:rPr>
            <w:noProof/>
            <w:webHidden/>
          </w:rPr>
          <w:instrText xml:space="preserve"> PAGEREF _Toc129350984 \h </w:instrText>
        </w:r>
        <w:r>
          <w:rPr>
            <w:noProof/>
            <w:webHidden/>
          </w:rPr>
        </w:r>
        <w:r>
          <w:rPr>
            <w:noProof/>
            <w:webHidden/>
          </w:rPr>
          <w:fldChar w:fldCharType="separate"/>
        </w:r>
        <w:r>
          <w:rPr>
            <w:noProof/>
            <w:webHidden/>
          </w:rPr>
          <w:t>48</w:t>
        </w:r>
        <w:r>
          <w:rPr>
            <w:noProof/>
            <w:webHidden/>
          </w:rPr>
          <w:fldChar w:fldCharType="end"/>
        </w:r>
      </w:hyperlink>
    </w:p>
    <w:p w14:paraId="29754CEE" w14:textId="5120E459" w:rsidR="00145F42" w:rsidRDefault="00145F42">
      <w:pPr>
        <w:pStyle w:val="TableofFigures"/>
        <w:tabs>
          <w:tab w:val="right" w:leader="dot" w:pos="9628"/>
        </w:tabs>
        <w:rPr>
          <w:rFonts w:asciiTheme="minorHAnsi" w:eastAsiaTheme="minorEastAsia" w:hAnsiTheme="minorHAnsi"/>
          <w:noProof/>
          <w:lang w:eastAsia="en-GB"/>
        </w:rPr>
      </w:pPr>
      <w:hyperlink w:anchor="_Toc129350985" w:history="1">
        <w:r w:rsidRPr="00E54599">
          <w:rPr>
            <w:rStyle w:val="Hyperlink"/>
            <w:noProof/>
          </w:rPr>
          <w:t>Table 10: DESTINY-Breast04 | Summary of key endpoints</w:t>
        </w:r>
        <w:r>
          <w:rPr>
            <w:noProof/>
            <w:webHidden/>
          </w:rPr>
          <w:tab/>
        </w:r>
        <w:r>
          <w:rPr>
            <w:noProof/>
            <w:webHidden/>
          </w:rPr>
          <w:fldChar w:fldCharType="begin"/>
        </w:r>
        <w:r>
          <w:rPr>
            <w:noProof/>
            <w:webHidden/>
          </w:rPr>
          <w:instrText xml:space="preserve"> PAGEREF _Toc129350985 \h </w:instrText>
        </w:r>
        <w:r>
          <w:rPr>
            <w:noProof/>
            <w:webHidden/>
          </w:rPr>
        </w:r>
        <w:r>
          <w:rPr>
            <w:noProof/>
            <w:webHidden/>
          </w:rPr>
          <w:fldChar w:fldCharType="separate"/>
        </w:r>
        <w:r>
          <w:rPr>
            <w:noProof/>
            <w:webHidden/>
          </w:rPr>
          <w:t>53</w:t>
        </w:r>
        <w:r>
          <w:rPr>
            <w:noProof/>
            <w:webHidden/>
          </w:rPr>
          <w:fldChar w:fldCharType="end"/>
        </w:r>
      </w:hyperlink>
    </w:p>
    <w:p w14:paraId="1415076D" w14:textId="7F15C4FB" w:rsidR="00145F42" w:rsidRDefault="00145F42">
      <w:pPr>
        <w:pStyle w:val="TableofFigures"/>
        <w:tabs>
          <w:tab w:val="right" w:leader="dot" w:pos="9628"/>
        </w:tabs>
        <w:rPr>
          <w:rFonts w:asciiTheme="minorHAnsi" w:eastAsiaTheme="minorEastAsia" w:hAnsiTheme="minorHAnsi"/>
          <w:noProof/>
          <w:lang w:eastAsia="en-GB"/>
        </w:rPr>
      </w:pPr>
      <w:hyperlink w:anchor="_Toc129350986" w:history="1">
        <w:r w:rsidRPr="00E54599">
          <w:rPr>
            <w:rStyle w:val="Hyperlink"/>
            <w:noProof/>
          </w:rPr>
          <w:t>Table 11: DESTINY-Breast04 | Analysis sets</w:t>
        </w:r>
        <w:r>
          <w:rPr>
            <w:noProof/>
            <w:webHidden/>
          </w:rPr>
          <w:tab/>
        </w:r>
        <w:r>
          <w:rPr>
            <w:noProof/>
            <w:webHidden/>
          </w:rPr>
          <w:fldChar w:fldCharType="begin"/>
        </w:r>
        <w:r>
          <w:rPr>
            <w:noProof/>
            <w:webHidden/>
          </w:rPr>
          <w:instrText xml:space="preserve"> PAGEREF _Toc129350986 \h </w:instrText>
        </w:r>
        <w:r>
          <w:rPr>
            <w:noProof/>
            <w:webHidden/>
          </w:rPr>
        </w:r>
        <w:r>
          <w:rPr>
            <w:noProof/>
            <w:webHidden/>
          </w:rPr>
          <w:fldChar w:fldCharType="separate"/>
        </w:r>
        <w:r>
          <w:rPr>
            <w:noProof/>
            <w:webHidden/>
          </w:rPr>
          <w:t>59</w:t>
        </w:r>
        <w:r>
          <w:rPr>
            <w:noProof/>
            <w:webHidden/>
          </w:rPr>
          <w:fldChar w:fldCharType="end"/>
        </w:r>
      </w:hyperlink>
    </w:p>
    <w:p w14:paraId="05CAA696" w14:textId="59403293" w:rsidR="00145F42" w:rsidRDefault="00145F42">
      <w:pPr>
        <w:pStyle w:val="TableofFigures"/>
        <w:tabs>
          <w:tab w:val="right" w:leader="dot" w:pos="9628"/>
        </w:tabs>
        <w:rPr>
          <w:rFonts w:asciiTheme="minorHAnsi" w:eastAsiaTheme="minorEastAsia" w:hAnsiTheme="minorHAnsi"/>
          <w:noProof/>
          <w:lang w:eastAsia="en-GB"/>
        </w:rPr>
      </w:pPr>
      <w:hyperlink w:anchor="_Toc129350987" w:history="1">
        <w:r w:rsidRPr="00E54599">
          <w:rPr>
            <w:rStyle w:val="Hyperlink"/>
            <w:noProof/>
          </w:rPr>
          <w:t>Table 12: DESTINY-Breast04 | Summary of statistical analyses</w:t>
        </w:r>
        <w:r>
          <w:rPr>
            <w:noProof/>
            <w:webHidden/>
          </w:rPr>
          <w:tab/>
        </w:r>
        <w:r>
          <w:rPr>
            <w:noProof/>
            <w:webHidden/>
          </w:rPr>
          <w:fldChar w:fldCharType="begin"/>
        </w:r>
        <w:r>
          <w:rPr>
            <w:noProof/>
            <w:webHidden/>
          </w:rPr>
          <w:instrText xml:space="preserve"> PAGEREF _Toc129350987 \h </w:instrText>
        </w:r>
        <w:r>
          <w:rPr>
            <w:noProof/>
            <w:webHidden/>
          </w:rPr>
        </w:r>
        <w:r>
          <w:rPr>
            <w:noProof/>
            <w:webHidden/>
          </w:rPr>
          <w:fldChar w:fldCharType="separate"/>
        </w:r>
        <w:r>
          <w:rPr>
            <w:noProof/>
            <w:webHidden/>
          </w:rPr>
          <w:t>60</w:t>
        </w:r>
        <w:r>
          <w:rPr>
            <w:noProof/>
            <w:webHidden/>
          </w:rPr>
          <w:fldChar w:fldCharType="end"/>
        </w:r>
      </w:hyperlink>
    </w:p>
    <w:p w14:paraId="4A656EA1" w14:textId="5E04D826" w:rsidR="00145F42" w:rsidRDefault="00145F42">
      <w:pPr>
        <w:pStyle w:val="TableofFigures"/>
        <w:tabs>
          <w:tab w:val="right" w:leader="dot" w:pos="9628"/>
        </w:tabs>
        <w:rPr>
          <w:rFonts w:asciiTheme="minorHAnsi" w:eastAsiaTheme="minorEastAsia" w:hAnsiTheme="minorHAnsi"/>
          <w:noProof/>
          <w:lang w:eastAsia="en-GB"/>
        </w:rPr>
      </w:pPr>
      <w:hyperlink w:anchor="_Toc129350988" w:history="1">
        <w:r w:rsidRPr="00E54599">
          <w:rPr>
            <w:rStyle w:val="Hyperlink"/>
            <w:noProof/>
          </w:rPr>
          <w:t>Table 13: Disposition of all screened patients | HR-positive cohort and FAS</w:t>
        </w:r>
        <w:r>
          <w:rPr>
            <w:noProof/>
            <w:webHidden/>
          </w:rPr>
          <w:tab/>
        </w:r>
        <w:r>
          <w:rPr>
            <w:noProof/>
            <w:webHidden/>
          </w:rPr>
          <w:fldChar w:fldCharType="begin"/>
        </w:r>
        <w:r>
          <w:rPr>
            <w:noProof/>
            <w:webHidden/>
          </w:rPr>
          <w:instrText xml:space="preserve"> PAGEREF _Toc129350988 \h </w:instrText>
        </w:r>
        <w:r>
          <w:rPr>
            <w:noProof/>
            <w:webHidden/>
          </w:rPr>
        </w:r>
        <w:r>
          <w:rPr>
            <w:noProof/>
            <w:webHidden/>
          </w:rPr>
          <w:fldChar w:fldCharType="separate"/>
        </w:r>
        <w:r>
          <w:rPr>
            <w:noProof/>
            <w:webHidden/>
          </w:rPr>
          <w:t>64</w:t>
        </w:r>
        <w:r>
          <w:rPr>
            <w:noProof/>
            <w:webHidden/>
          </w:rPr>
          <w:fldChar w:fldCharType="end"/>
        </w:r>
      </w:hyperlink>
    </w:p>
    <w:p w14:paraId="305201C9" w14:textId="5019FB87" w:rsidR="00145F42" w:rsidRDefault="00145F42">
      <w:pPr>
        <w:pStyle w:val="TableofFigures"/>
        <w:tabs>
          <w:tab w:val="right" w:leader="dot" w:pos="9628"/>
        </w:tabs>
        <w:rPr>
          <w:rFonts w:asciiTheme="minorHAnsi" w:eastAsiaTheme="minorEastAsia" w:hAnsiTheme="minorHAnsi"/>
          <w:noProof/>
          <w:lang w:eastAsia="en-GB"/>
        </w:rPr>
      </w:pPr>
      <w:hyperlink w:anchor="_Toc129350989" w:history="1">
        <w:r w:rsidRPr="00E54599">
          <w:rPr>
            <w:rStyle w:val="Hyperlink"/>
            <w:noProof/>
          </w:rPr>
          <w:t>Table 14: TPC single-agent chemotherapy use | All screened patients (N=184)</w:t>
        </w:r>
        <w:r>
          <w:rPr>
            <w:noProof/>
            <w:webHidden/>
          </w:rPr>
          <w:tab/>
        </w:r>
        <w:r>
          <w:rPr>
            <w:noProof/>
            <w:webHidden/>
          </w:rPr>
          <w:fldChar w:fldCharType="begin"/>
        </w:r>
        <w:r>
          <w:rPr>
            <w:noProof/>
            <w:webHidden/>
          </w:rPr>
          <w:instrText xml:space="preserve"> PAGEREF _Toc129350989 \h </w:instrText>
        </w:r>
        <w:r>
          <w:rPr>
            <w:noProof/>
            <w:webHidden/>
          </w:rPr>
        </w:r>
        <w:r>
          <w:rPr>
            <w:noProof/>
            <w:webHidden/>
          </w:rPr>
          <w:fldChar w:fldCharType="separate"/>
        </w:r>
        <w:r>
          <w:rPr>
            <w:noProof/>
            <w:webHidden/>
          </w:rPr>
          <w:t>65</w:t>
        </w:r>
        <w:r>
          <w:rPr>
            <w:noProof/>
            <w:webHidden/>
          </w:rPr>
          <w:fldChar w:fldCharType="end"/>
        </w:r>
      </w:hyperlink>
    </w:p>
    <w:p w14:paraId="551B5A0E" w14:textId="4377CBBE" w:rsidR="00145F42" w:rsidRDefault="00145F42">
      <w:pPr>
        <w:pStyle w:val="TableofFigures"/>
        <w:tabs>
          <w:tab w:val="right" w:leader="dot" w:pos="9628"/>
        </w:tabs>
        <w:rPr>
          <w:rFonts w:asciiTheme="minorHAnsi" w:eastAsiaTheme="minorEastAsia" w:hAnsiTheme="minorHAnsi"/>
          <w:noProof/>
          <w:lang w:eastAsia="en-GB"/>
        </w:rPr>
      </w:pPr>
      <w:hyperlink w:anchor="_Toc129350990" w:history="1">
        <w:r w:rsidRPr="00E54599">
          <w:rPr>
            <w:rStyle w:val="Hyperlink"/>
            <w:noProof/>
          </w:rPr>
          <w:t>Table 15: DESTINY-Breast04 | Patient baseline characteristics</w:t>
        </w:r>
        <w:r>
          <w:rPr>
            <w:noProof/>
            <w:webHidden/>
          </w:rPr>
          <w:tab/>
        </w:r>
        <w:r>
          <w:rPr>
            <w:noProof/>
            <w:webHidden/>
          </w:rPr>
          <w:fldChar w:fldCharType="begin"/>
        </w:r>
        <w:r>
          <w:rPr>
            <w:noProof/>
            <w:webHidden/>
          </w:rPr>
          <w:instrText xml:space="preserve"> PAGEREF _Toc129350990 \h </w:instrText>
        </w:r>
        <w:r>
          <w:rPr>
            <w:noProof/>
            <w:webHidden/>
          </w:rPr>
        </w:r>
        <w:r>
          <w:rPr>
            <w:noProof/>
            <w:webHidden/>
          </w:rPr>
          <w:fldChar w:fldCharType="separate"/>
        </w:r>
        <w:r>
          <w:rPr>
            <w:noProof/>
            <w:webHidden/>
          </w:rPr>
          <w:t>66</w:t>
        </w:r>
        <w:r>
          <w:rPr>
            <w:noProof/>
            <w:webHidden/>
          </w:rPr>
          <w:fldChar w:fldCharType="end"/>
        </w:r>
      </w:hyperlink>
    </w:p>
    <w:p w14:paraId="155AA35B" w14:textId="1BC71976" w:rsidR="00145F42" w:rsidRDefault="00145F42">
      <w:pPr>
        <w:pStyle w:val="TableofFigures"/>
        <w:tabs>
          <w:tab w:val="right" w:leader="dot" w:pos="9628"/>
        </w:tabs>
        <w:rPr>
          <w:rFonts w:asciiTheme="minorHAnsi" w:eastAsiaTheme="minorEastAsia" w:hAnsiTheme="minorHAnsi"/>
          <w:noProof/>
          <w:lang w:eastAsia="en-GB"/>
        </w:rPr>
      </w:pPr>
      <w:hyperlink w:anchor="_Toc129350991" w:history="1">
        <w:r w:rsidRPr="00E54599">
          <w:rPr>
            <w:rStyle w:val="Hyperlink"/>
            <w:noProof/>
          </w:rPr>
          <w:t>Table 16: DESTINY-Breast04 | Quality assessment results</w:t>
        </w:r>
        <w:r>
          <w:rPr>
            <w:noProof/>
            <w:webHidden/>
          </w:rPr>
          <w:tab/>
        </w:r>
        <w:r>
          <w:rPr>
            <w:noProof/>
            <w:webHidden/>
          </w:rPr>
          <w:fldChar w:fldCharType="begin"/>
        </w:r>
        <w:r>
          <w:rPr>
            <w:noProof/>
            <w:webHidden/>
          </w:rPr>
          <w:instrText xml:space="preserve"> PAGEREF _Toc129350991 \h </w:instrText>
        </w:r>
        <w:r>
          <w:rPr>
            <w:noProof/>
            <w:webHidden/>
          </w:rPr>
        </w:r>
        <w:r>
          <w:rPr>
            <w:noProof/>
            <w:webHidden/>
          </w:rPr>
          <w:fldChar w:fldCharType="separate"/>
        </w:r>
        <w:r>
          <w:rPr>
            <w:noProof/>
            <w:webHidden/>
          </w:rPr>
          <w:t>68</w:t>
        </w:r>
        <w:r>
          <w:rPr>
            <w:noProof/>
            <w:webHidden/>
          </w:rPr>
          <w:fldChar w:fldCharType="end"/>
        </w:r>
      </w:hyperlink>
    </w:p>
    <w:p w14:paraId="51398C7C" w14:textId="63895723" w:rsidR="00145F42" w:rsidRDefault="00145F42">
      <w:pPr>
        <w:pStyle w:val="TableofFigures"/>
        <w:tabs>
          <w:tab w:val="right" w:leader="dot" w:pos="9628"/>
        </w:tabs>
        <w:rPr>
          <w:rFonts w:asciiTheme="minorHAnsi" w:eastAsiaTheme="minorEastAsia" w:hAnsiTheme="minorHAnsi"/>
          <w:noProof/>
          <w:lang w:eastAsia="en-GB"/>
        </w:rPr>
      </w:pPr>
      <w:hyperlink w:anchor="_Toc129350992" w:history="1">
        <w:r w:rsidRPr="00E54599">
          <w:rPr>
            <w:rStyle w:val="Hyperlink"/>
            <w:noProof/>
          </w:rPr>
          <w:t>Table 17: DESTINY-Breast04 | Analysis of PFS by BICR | HR-positive cohort</w:t>
        </w:r>
        <w:r>
          <w:rPr>
            <w:noProof/>
            <w:webHidden/>
          </w:rPr>
          <w:tab/>
        </w:r>
        <w:r>
          <w:rPr>
            <w:noProof/>
            <w:webHidden/>
          </w:rPr>
          <w:fldChar w:fldCharType="begin"/>
        </w:r>
        <w:r>
          <w:rPr>
            <w:noProof/>
            <w:webHidden/>
          </w:rPr>
          <w:instrText xml:space="preserve"> PAGEREF _Toc129350992 \h </w:instrText>
        </w:r>
        <w:r>
          <w:rPr>
            <w:noProof/>
            <w:webHidden/>
          </w:rPr>
        </w:r>
        <w:r>
          <w:rPr>
            <w:noProof/>
            <w:webHidden/>
          </w:rPr>
          <w:fldChar w:fldCharType="separate"/>
        </w:r>
        <w:r>
          <w:rPr>
            <w:noProof/>
            <w:webHidden/>
          </w:rPr>
          <w:t>72</w:t>
        </w:r>
        <w:r>
          <w:rPr>
            <w:noProof/>
            <w:webHidden/>
          </w:rPr>
          <w:fldChar w:fldCharType="end"/>
        </w:r>
      </w:hyperlink>
    </w:p>
    <w:p w14:paraId="27CF5441" w14:textId="38C3E8FE" w:rsidR="00145F42" w:rsidRDefault="00145F42">
      <w:pPr>
        <w:pStyle w:val="TableofFigures"/>
        <w:tabs>
          <w:tab w:val="right" w:leader="dot" w:pos="9628"/>
        </w:tabs>
        <w:rPr>
          <w:rFonts w:asciiTheme="minorHAnsi" w:eastAsiaTheme="minorEastAsia" w:hAnsiTheme="minorHAnsi"/>
          <w:noProof/>
          <w:lang w:eastAsia="en-GB"/>
        </w:rPr>
      </w:pPr>
      <w:hyperlink w:anchor="_Toc129350993" w:history="1">
        <w:r w:rsidRPr="00E54599">
          <w:rPr>
            <w:rStyle w:val="Hyperlink"/>
            <w:noProof/>
          </w:rPr>
          <w:t>Table 18: DESTINY-Breast04 | Analysis of PFS by BICR | FAS</w:t>
        </w:r>
        <w:r>
          <w:rPr>
            <w:noProof/>
            <w:webHidden/>
          </w:rPr>
          <w:tab/>
        </w:r>
        <w:r>
          <w:rPr>
            <w:noProof/>
            <w:webHidden/>
          </w:rPr>
          <w:fldChar w:fldCharType="begin"/>
        </w:r>
        <w:r>
          <w:rPr>
            <w:noProof/>
            <w:webHidden/>
          </w:rPr>
          <w:instrText xml:space="preserve"> PAGEREF _Toc129350993 \h </w:instrText>
        </w:r>
        <w:r>
          <w:rPr>
            <w:noProof/>
            <w:webHidden/>
          </w:rPr>
        </w:r>
        <w:r>
          <w:rPr>
            <w:noProof/>
            <w:webHidden/>
          </w:rPr>
          <w:fldChar w:fldCharType="separate"/>
        </w:r>
        <w:r>
          <w:rPr>
            <w:noProof/>
            <w:webHidden/>
          </w:rPr>
          <w:t>73</w:t>
        </w:r>
        <w:r>
          <w:rPr>
            <w:noProof/>
            <w:webHidden/>
          </w:rPr>
          <w:fldChar w:fldCharType="end"/>
        </w:r>
      </w:hyperlink>
    </w:p>
    <w:p w14:paraId="57E007F8" w14:textId="47BCEBB9" w:rsidR="00145F42" w:rsidRDefault="00145F42">
      <w:pPr>
        <w:pStyle w:val="TableofFigures"/>
        <w:tabs>
          <w:tab w:val="right" w:leader="dot" w:pos="9628"/>
        </w:tabs>
        <w:rPr>
          <w:rFonts w:asciiTheme="minorHAnsi" w:eastAsiaTheme="minorEastAsia" w:hAnsiTheme="minorHAnsi"/>
          <w:noProof/>
          <w:lang w:eastAsia="en-GB"/>
        </w:rPr>
      </w:pPr>
      <w:hyperlink w:anchor="_Toc129350994" w:history="1">
        <w:r w:rsidRPr="00E54599">
          <w:rPr>
            <w:rStyle w:val="Hyperlink"/>
            <w:noProof/>
          </w:rPr>
          <w:t>Table 19: DESTINY-Breast04 | Analysis of OS | HR-positive cohort</w:t>
        </w:r>
        <w:r>
          <w:rPr>
            <w:noProof/>
            <w:webHidden/>
          </w:rPr>
          <w:tab/>
        </w:r>
        <w:r>
          <w:rPr>
            <w:noProof/>
            <w:webHidden/>
          </w:rPr>
          <w:fldChar w:fldCharType="begin"/>
        </w:r>
        <w:r>
          <w:rPr>
            <w:noProof/>
            <w:webHidden/>
          </w:rPr>
          <w:instrText xml:space="preserve"> PAGEREF _Toc129350994 \h </w:instrText>
        </w:r>
        <w:r>
          <w:rPr>
            <w:noProof/>
            <w:webHidden/>
          </w:rPr>
        </w:r>
        <w:r>
          <w:rPr>
            <w:noProof/>
            <w:webHidden/>
          </w:rPr>
          <w:fldChar w:fldCharType="separate"/>
        </w:r>
        <w:r>
          <w:rPr>
            <w:noProof/>
            <w:webHidden/>
          </w:rPr>
          <w:t>75</w:t>
        </w:r>
        <w:r>
          <w:rPr>
            <w:noProof/>
            <w:webHidden/>
          </w:rPr>
          <w:fldChar w:fldCharType="end"/>
        </w:r>
      </w:hyperlink>
    </w:p>
    <w:p w14:paraId="489EA470" w14:textId="65BD68A4" w:rsidR="00145F42" w:rsidRDefault="00145F42">
      <w:pPr>
        <w:pStyle w:val="TableofFigures"/>
        <w:tabs>
          <w:tab w:val="right" w:leader="dot" w:pos="9628"/>
        </w:tabs>
        <w:rPr>
          <w:rFonts w:asciiTheme="minorHAnsi" w:eastAsiaTheme="minorEastAsia" w:hAnsiTheme="minorHAnsi"/>
          <w:noProof/>
          <w:lang w:eastAsia="en-GB"/>
        </w:rPr>
      </w:pPr>
      <w:hyperlink w:anchor="_Toc129350995" w:history="1">
        <w:r w:rsidRPr="00E54599">
          <w:rPr>
            <w:rStyle w:val="Hyperlink"/>
            <w:noProof/>
          </w:rPr>
          <w:t>Table 20: DESTINY-Breast04 | Analysis of OS | FAS</w:t>
        </w:r>
        <w:r>
          <w:rPr>
            <w:noProof/>
            <w:webHidden/>
          </w:rPr>
          <w:tab/>
        </w:r>
        <w:r>
          <w:rPr>
            <w:noProof/>
            <w:webHidden/>
          </w:rPr>
          <w:fldChar w:fldCharType="begin"/>
        </w:r>
        <w:r>
          <w:rPr>
            <w:noProof/>
            <w:webHidden/>
          </w:rPr>
          <w:instrText xml:space="preserve"> PAGEREF _Toc129350995 \h </w:instrText>
        </w:r>
        <w:r>
          <w:rPr>
            <w:noProof/>
            <w:webHidden/>
          </w:rPr>
        </w:r>
        <w:r>
          <w:rPr>
            <w:noProof/>
            <w:webHidden/>
          </w:rPr>
          <w:fldChar w:fldCharType="separate"/>
        </w:r>
        <w:r>
          <w:rPr>
            <w:noProof/>
            <w:webHidden/>
          </w:rPr>
          <w:t>77</w:t>
        </w:r>
        <w:r>
          <w:rPr>
            <w:noProof/>
            <w:webHidden/>
          </w:rPr>
          <w:fldChar w:fldCharType="end"/>
        </w:r>
      </w:hyperlink>
    </w:p>
    <w:p w14:paraId="09173362" w14:textId="2F6A2591" w:rsidR="00145F42" w:rsidRDefault="00145F42">
      <w:pPr>
        <w:pStyle w:val="TableofFigures"/>
        <w:tabs>
          <w:tab w:val="right" w:leader="dot" w:pos="9628"/>
        </w:tabs>
        <w:rPr>
          <w:rFonts w:asciiTheme="minorHAnsi" w:eastAsiaTheme="minorEastAsia" w:hAnsiTheme="minorHAnsi"/>
          <w:noProof/>
          <w:lang w:eastAsia="en-GB"/>
        </w:rPr>
      </w:pPr>
      <w:hyperlink w:anchor="_Toc129350996" w:history="1">
        <w:r w:rsidRPr="00E54599">
          <w:rPr>
            <w:rStyle w:val="Hyperlink"/>
            <w:noProof/>
          </w:rPr>
          <w:t>Table 21: DESTINY-Breast04 | Best overall response and ORR by BICR or IA | FAS and HR-positive cohort</w:t>
        </w:r>
        <w:r>
          <w:rPr>
            <w:noProof/>
            <w:webHidden/>
          </w:rPr>
          <w:tab/>
        </w:r>
        <w:r>
          <w:rPr>
            <w:noProof/>
            <w:webHidden/>
          </w:rPr>
          <w:fldChar w:fldCharType="begin"/>
        </w:r>
        <w:r>
          <w:rPr>
            <w:noProof/>
            <w:webHidden/>
          </w:rPr>
          <w:instrText xml:space="preserve"> PAGEREF _Toc129350996 \h </w:instrText>
        </w:r>
        <w:r>
          <w:rPr>
            <w:noProof/>
            <w:webHidden/>
          </w:rPr>
        </w:r>
        <w:r>
          <w:rPr>
            <w:noProof/>
            <w:webHidden/>
          </w:rPr>
          <w:fldChar w:fldCharType="separate"/>
        </w:r>
        <w:r>
          <w:rPr>
            <w:noProof/>
            <w:webHidden/>
          </w:rPr>
          <w:t>78</w:t>
        </w:r>
        <w:r>
          <w:rPr>
            <w:noProof/>
            <w:webHidden/>
          </w:rPr>
          <w:fldChar w:fldCharType="end"/>
        </w:r>
      </w:hyperlink>
    </w:p>
    <w:p w14:paraId="5A1AF025" w14:textId="06FAF3D3" w:rsidR="00145F42" w:rsidRDefault="00145F42">
      <w:pPr>
        <w:pStyle w:val="TableofFigures"/>
        <w:tabs>
          <w:tab w:val="right" w:leader="dot" w:pos="9628"/>
        </w:tabs>
        <w:rPr>
          <w:rFonts w:asciiTheme="minorHAnsi" w:eastAsiaTheme="minorEastAsia" w:hAnsiTheme="minorHAnsi"/>
          <w:noProof/>
          <w:lang w:eastAsia="en-GB"/>
        </w:rPr>
      </w:pPr>
      <w:hyperlink w:anchor="_Toc129350997" w:history="1">
        <w:r w:rsidRPr="00E54599">
          <w:rPr>
            <w:rStyle w:val="Hyperlink"/>
            <w:noProof/>
          </w:rPr>
          <w:t>Table 22: DESTINY-Breast04 | Study drug exposure | SAS</w:t>
        </w:r>
        <w:r>
          <w:rPr>
            <w:noProof/>
            <w:webHidden/>
          </w:rPr>
          <w:tab/>
        </w:r>
        <w:r>
          <w:rPr>
            <w:noProof/>
            <w:webHidden/>
          </w:rPr>
          <w:fldChar w:fldCharType="begin"/>
        </w:r>
        <w:r>
          <w:rPr>
            <w:noProof/>
            <w:webHidden/>
          </w:rPr>
          <w:instrText xml:space="preserve"> PAGEREF _Toc129350997 \h </w:instrText>
        </w:r>
        <w:r>
          <w:rPr>
            <w:noProof/>
            <w:webHidden/>
          </w:rPr>
        </w:r>
        <w:r>
          <w:rPr>
            <w:noProof/>
            <w:webHidden/>
          </w:rPr>
          <w:fldChar w:fldCharType="separate"/>
        </w:r>
        <w:r>
          <w:rPr>
            <w:noProof/>
            <w:webHidden/>
          </w:rPr>
          <w:t>95</w:t>
        </w:r>
        <w:r>
          <w:rPr>
            <w:noProof/>
            <w:webHidden/>
          </w:rPr>
          <w:fldChar w:fldCharType="end"/>
        </w:r>
      </w:hyperlink>
    </w:p>
    <w:p w14:paraId="567BA876" w14:textId="3E18AF4B" w:rsidR="00145F42" w:rsidRDefault="00145F42">
      <w:pPr>
        <w:pStyle w:val="TableofFigures"/>
        <w:tabs>
          <w:tab w:val="right" w:leader="dot" w:pos="9628"/>
        </w:tabs>
        <w:rPr>
          <w:rFonts w:asciiTheme="minorHAnsi" w:eastAsiaTheme="minorEastAsia" w:hAnsiTheme="minorHAnsi"/>
          <w:noProof/>
          <w:lang w:eastAsia="en-GB"/>
        </w:rPr>
      </w:pPr>
      <w:hyperlink w:anchor="_Toc129350998" w:history="1">
        <w:r w:rsidRPr="00E54599">
          <w:rPr>
            <w:rStyle w:val="Hyperlink"/>
            <w:noProof/>
          </w:rPr>
          <w:t>Table 23: DESTINY-Breast04 | Summary of TEAEs | SAS</w:t>
        </w:r>
        <w:r>
          <w:rPr>
            <w:noProof/>
            <w:webHidden/>
          </w:rPr>
          <w:tab/>
        </w:r>
        <w:r>
          <w:rPr>
            <w:noProof/>
            <w:webHidden/>
          </w:rPr>
          <w:fldChar w:fldCharType="begin"/>
        </w:r>
        <w:r>
          <w:rPr>
            <w:noProof/>
            <w:webHidden/>
          </w:rPr>
          <w:instrText xml:space="preserve"> PAGEREF _Toc129350998 \h </w:instrText>
        </w:r>
        <w:r>
          <w:rPr>
            <w:noProof/>
            <w:webHidden/>
          </w:rPr>
        </w:r>
        <w:r>
          <w:rPr>
            <w:noProof/>
            <w:webHidden/>
          </w:rPr>
          <w:fldChar w:fldCharType="separate"/>
        </w:r>
        <w:r>
          <w:rPr>
            <w:noProof/>
            <w:webHidden/>
          </w:rPr>
          <w:t>96</w:t>
        </w:r>
        <w:r>
          <w:rPr>
            <w:noProof/>
            <w:webHidden/>
          </w:rPr>
          <w:fldChar w:fldCharType="end"/>
        </w:r>
      </w:hyperlink>
    </w:p>
    <w:p w14:paraId="60FA9BB8" w14:textId="63C27DAE" w:rsidR="00145F42" w:rsidRDefault="00145F42">
      <w:pPr>
        <w:pStyle w:val="TableofFigures"/>
        <w:tabs>
          <w:tab w:val="right" w:leader="dot" w:pos="9628"/>
        </w:tabs>
        <w:rPr>
          <w:rFonts w:asciiTheme="minorHAnsi" w:eastAsiaTheme="minorEastAsia" w:hAnsiTheme="minorHAnsi"/>
          <w:noProof/>
          <w:lang w:eastAsia="en-GB"/>
        </w:rPr>
      </w:pPr>
      <w:hyperlink w:anchor="_Toc129350999" w:history="1">
        <w:r w:rsidRPr="00E54599">
          <w:rPr>
            <w:rStyle w:val="Hyperlink"/>
            <w:noProof/>
          </w:rPr>
          <w:t>Table 24: DESTINY-Breast04 | TEAEs by cycle | SAS</w:t>
        </w:r>
        <w:r>
          <w:rPr>
            <w:noProof/>
            <w:webHidden/>
          </w:rPr>
          <w:tab/>
        </w:r>
        <w:r>
          <w:rPr>
            <w:noProof/>
            <w:webHidden/>
          </w:rPr>
          <w:fldChar w:fldCharType="begin"/>
        </w:r>
        <w:r>
          <w:rPr>
            <w:noProof/>
            <w:webHidden/>
          </w:rPr>
          <w:instrText xml:space="preserve"> PAGEREF _Toc129350999 \h </w:instrText>
        </w:r>
        <w:r>
          <w:rPr>
            <w:noProof/>
            <w:webHidden/>
          </w:rPr>
        </w:r>
        <w:r>
          <w:rPr>
            <w:noProof/>
            <w:webHidden/>
          </w:rPr>
          <w:fldChar w:fldCharType="separate"/>
        </w:r>
        <w:r>
          <w:rPr>
            <w:noProof/>
            <w:webHidden/>
          </w:rPr>
          <w:t>96</w:t>
        </w:r>
        <w:r>
          <w:rPr>
            <w:noProof/>
            <w:webHidden/>
          </w:rPr>
          <w:fldChar w:fldCharType="end"/>
        </w:r>
      </w:hyperlink>
    </w:p>
    <w:p w14:paraId="0934CE6B" w14:textId="31B45EB5" w:rsidR="00145F42" w:rsidRDefault="00145F42">
      <w:pPr>
        <w:pStyle w:val="TableofFigures"/>
        <w:tabs>
          <w:tab w:val="right" w:leader="dot" w:pos="9628"/>
        </w:tabs>
        <w:rPr>
          <w:rFonts w:asciiTheme="minorHAnsi" w:eastAsiaTheme="minorEastAsia" w:hAnsiTheme="minorHAnsi"/>
          <w:noProof/>
          <w:lang w:eastAsia="en-GB"/>
        </w:rPr>
      </w:pPr>
      <w:hyperlink w:anchor="_Toc129351000" w:history="1">
        <w:r w:rsidRPr="00E54599">
          <w:rPr>
            <w:rStyle w:val="Hyperlink"/>
            <w:noProof/>
          </w:rPr>
          <w:t>Table 25: DESTINY-Breast04 | TEAEs in ≥20% of patients | SAS</w:t>
        </w:r>
        <w:r>
          <w:rPr>
            <w:noProof/>
            <w:webHidden/>
          </w:rPr>
          <w:tab/>
        </w:r>
        <w:r>
          <w:rPr>
            <w:noProof/>
            <w:webHidden/>
          </w:rPr>
          <w:fldChar w:fldCharType="begin"/>
        </w:r>
        <w:r>
          <w:rPr>
            <w:noProof/>
            <w:webHidden/>
          </w:rPr>
          <w:instrText xml:space="preserve"> PAGEREF _Toc129351000 \h </w:instrText>
        </w:r>
        <w:r>
          <w:rPr>
            <w:noProof/>
            <w:webHidden/>
          </w:rPr>
        </w:r>
        <w:r>
          <w:rPr>
            <w:noProof/>
            <w:webHidden/>
          </w:rPr>
          <w:fldChar w:fldCharType="separate"/>
        </w:r>
        <w:r>
          <w:rPr>
            <w:noProof/>
            <w:webHidden/>
          </w:rPr>
          <w:t>97</w:t>
        </w:r>
        <w:r>
          <w:rPr>
            <w:noProof/>
            <w:webHidden/>
          </w:rPr>
          <w:fldChar w:fldCharType="end"/>
        </w:r>
      </w:hyperlink>
    </w:p>
    <w:p w14:paraId="49DF99EA" w14:textId="14A5A15E" w:rsidR="00145F42" w:rsidRDefault="00145F42">
      <w:pPr>
        <w:pStyle w:val="TableofFigures"/>
        <w:tabs>
          <w:tab w:val="right" w:leader="dot" w:pos="9628"/>
        </w:tabs>
        <w:rPr>
          <w:rFonts w:asciiTheme="minorHAnsi" w:eastAsiaTheme="minorEastAsia" w:hAnsiTheme="minorHAnsi"/>
          <w:noProof/>
          <w:lang w:eastAsia="en-GB"/>
        </w:rPr>
      </w:pPr>
      <w:hyperlink w:anchor="_Toc129351001" w:history="1">
        <w:r w:rsidRPr="00E54599">
          <w:rPr>
            <w:rStyle w:val="Hyperlink"/>
            <w:noProof/>
          </w:rPr>
          <w:t>Table 26: DESTINY-Breast04 | Drug-related TEAEs in ≥10% of patients | SAS</w:t>
        </w:r>
        <w:r>
          <w:rPr>
            <w:noProof/>
            <w:webHidden/>
          </w:rPr>
          <w:tab/>
        </w:r>
        <w:r>
          <w:rPr>
            <w:noProof/>
            <w:webHidden/>
          </w:rPr>
          <w:fldChar w:fldCharType="begin"/>
        </w:r>
        <w:r>
          <w:rPr>
            <w:noProof/>
            <w:webHidden/>
          </w:rPr>
          <w:instrText xml:space="preserve"> PAGEREF _Toc129351001 \h </w:instrText>
        </w:r>
        <w:r>
          <w:rPr>
            <w:noProof/>
            <w:webHidden/>
          </w:rPr>
        </w:r>
        <w:r>
          <w:rPr>
            <w:noProof/>
            <w:webHidden/>
          </w:rPr>
          <w:fldChar w:fldCharType="separate"/>
        </w:r>
        <w:r>
          <w:rPr>
            <w:noProof/>
            <w:webHidden/>
          </w:rPr>
          <w:t>98</w:t>
        </w:r>
        <w:r>
          <w:rPr>
            <w:noProof/>
            <w:webHidden/>
          </w:rPr>
          <w:fldChar w:fldCharType="end"/>
        </w:r>
      </w:hyperlink>
    </w:p>
    <w:p w14:paraId="222084F2" w14:textId="2A6E011B" w:rsidR="00145F42" w:rsidRDefault="00145F42">
      <w:pPr>
        <w:pStyle w:val="TableofFigures"/>
        <w:tabs>
          <w:tab w:val="right" w:leader="dot" w:pos="9628"/>
        </w:tabs>
        <w:rPr>
          <w:rFonts w:asciiTheme="minorHAnsi" w:eastAsiaTheme="minorEastAsia" w:hAnsiTheme="minorHAnsi"/>
          <w:noProof/>
          <w:lang w:eastAsia="en-GB"/>
        </w:rPr>
      </w:pPr>
      <w:hyperlink w:anchor="_Toc129351002" w:history="1">
        <w:r w:rsidRPr="00E54599">
          <w:rPr>
            <w:rStyle w:val="Hyperlink"/>
            <w:noProof/>
          </w:rPr>
          <w:t>Table 27: TEAEs associated with changes to treatment occurring in ≥2% of patients in either arm | SAS</w:t>
        </w:r>
        <w:r>
          <w:rPr>
            <w:noProof/>
            <w:webHidden/>
          </w:rPr>
          <w:tab/>
        </w:r>
        <w:r>
          <w:rPr>
            <w:noProof/>
            <w:webHidden/>
          </w:rPr>
          <w:fldChar w:fldCharType="begin"/>
        </w:r>
        <w:r>
          <w:rPr>
            <w:noProof/>
            <w:webHidden/>
          </w:rPr>
          <w:instrText xml:space="preserve"> PAGEREF _Toc129351002 \h </w:instrText>
        </w:r>
        <w:r>
          <w:rPr>
            <w:noProof/>
            <w:webHidden/>
          </w:rPr>
        </w:r>
        <w:r>
          <w:rPr>
            <w:noProof/>
            <w:webHidden/>
          </w:rPr>
          <w:fldChar w:fldCharType="separate"/>
        </w:r>
        <w:r>
          <w:rPr>
            <w:noProof/>
            <w:webHidden/>
          </w:rPr>
          <w:t>100</w:t>
        </w:r>
        <w:r>
          <w:rPr>
            <w:noProof/>
            <w:webHidden/>
          </w:rPr>
          <w:fldChar w:fldCharType="end"/>
        </w:r>
      </w:hyperlink>
    </w:p>
    <w:p w14:paraId="5498F0B5" w14:textId="19377D35" w:rsidR="00145F42" w:rsidRDefault="00145F42">
      <w:pPr>
        <w:pStyle w:val="TableofFigures"/>
        <w:tabs>
          <w:tab w:val="right" w:leader="dot" w:pos="9628"/>
        </w:tabs>
        <w:rPr>
          <w:rFonts w:asciiTheme="minorHAnsi" w:eastAsiaTheme="minorEastAsia" w:hAnsiTheme="minorHAnsi"/>
          <w:noProof/>
          <w:lang w:eastAsia="en-GB"/>
        </w:rPr>
      </w:pPr>
      <w:hyperlink w:anchor="_Toc129351003" w:history="1">
        <w:r w:rsidRPr="00E54599">
          <w:rPr>
            <w:rStyle w:val="Hyperlink"/>
            <w:noProof/>
          </w:rPr>
          <w:t>Table 28: TEAEs adjudicated as drug-related ILD/pneumonitis* by CTCAE v5.0 Grade</w:t>
        </w:r>
        <w:r>
          <w:rPr>
            <w:noProof/>
            <w:webHidden/>
          </w:rPr>
          <w:tab/>
        </w:r>
        <w:r>
          <w:rPr>
            <w:noProof/>
            <w:webHidden/>
          </w:rPr>
          <w:fldChar w:fldCharType="begin"/>
        </w:r>
        <w:r>
          <w:rPr>
            <w:noProof/>
            <w:webHidden/>
          </w:rPr>
          <w:instrText xml:space="preserve"> PAGEREF _Toc129351003 \h </w:instrText>
        </w:r>
        <w:r>
          <w:rPr>
            <w:noProof/>
            <w:webHidden/>
          </w:rPr>
        </w:r>
        <w:r>
          <w:rPr>
            <w:noProof/>
            <w:webHidden/>
          </w:rPr>
          <w:fldChar w:fldCharType="separate"/>
        </w:r>
        <w:r>
          <w:rPr>
            <w:noProof/>
            <w:webHidden/>
          </w:rPr>
          <w:t>101</w:t>
        </w:r>
        <w:r>
          <w:rPr>
            <w:noProof/>
            <w:webHidden/>
          </w:rPr>
          <w:fldChar w:fldCharType="end"/>
        </w:r>
      </w:hyperlink>
    </w:p>
    <w:p w14:paraId="0A5743D2" w14:textId="68E71CA9" w:rsidR="00145F42" w:rsidRDefault="00145F42">
      <w:pPr>
        <w:pStyle w:val="TableofFigures"/>
        <w:tabs>
          <w:tab w:val="right" w:leader="dot" w:pos="9628"/>
        </w:tabs>
        <w:rPr>
          <w:rFonts w:asciiTheme="minorHAnsi" w:eastAsiaTheme="minorEastAsia" w:hAnsiTheme="minorHAnsi"/>
          <w:noProof/>
          <w:lang w:eastAsia="en-GB"/>
        </w:rPr>
      </w:pPr>
      <w:hyperlink w:anchor="_Toc129351004" w:history="1">
        <w:r w:rsidRPr="00E54599">
          <w:rPr>
            <w:rStyle w:val="Hyperlink"/>
            <w:noProof/>
          </w:rPr>
          <w:t>Table 29: TEAEs of LV dysfunction by CTCAE v5.0 Grade</w:t>
        </w:r>
        <w:r>
          <w:rPr>
            <w:noProof/>
            <w:webHidden/>
          </w:rPr>
          <w:tab/>
        </w:r>
        <w:r>
          <w:rPr>
            <w:noProof/>
            <w:webHidden/>
          </w:rPr>
          <w:fldChar w:fldCharType="begin"/>
        </w:r>
        <w:r>
          <w:rPr>
            <w:noProof/>
            <w:webHidden/>
          </w:rPr>
          <w:instrText xml:space="preserve"> PAGEREF _Toc129351004 \h </w:instrText>
        </w:r>
        <w:r>
          <w:rPr>
            <w:noProof/>
            <w:webHidden/>
          </w:rPr>
        </w:r>
        <w:r>
          <w:rPr>
            <w:noProof/>
            <w:webHidden/>
          </w:rPr>
          <w:fldChar w:fldCharType="separate"/>
        </w:r>
        <w:r>
          <w:rPr>
            <w:noProof/>
            <w:webHidden/>
          </w:rPr>
          <w:t>101</w:t>
        </w:r>
        <w:r>
          <w:rPr>
            <w:noProof/>
            <w:webHidden/>
          </w:rPr>
          <w:fldChar w:fldCharType="end"/>
        </w:r>
      </w:hyperlink>
    </w:p>
    <w:p w14:paraId="50D190A0" w14:textId="6A3AC6DA" w:rsidR="00145F42" w:rsidRDefault="00145F42">
      <w:pPr>
        <w:pStyle w:val="TableofFigures"/>
        <w:tabs>
          <w:tab w:val="right" w:leader="dot" w:pos="9628"/>
        </w:tabs>
        <w:rPr>
          <w:rFonts w:asciiTheme="minorHAnsi" w:eastAsiaTheme="minorEastAsia" w:hAnsiTheme="minorHAnsi"/>
          <w:noProof/>
          <w:lang w:eastAsia="en-GB"/>
        </w:rPr>
      </w:pPr>
      <w:hyperlink w:anchor="_Toc129351005" w:history="1">
        <w:r w:rsidRPr="00E54599">
          <w:rPr>
            <w:rStyle w:val="Hyperlink"/>
            <w:noProof/>
          </w:rPr>
          <w:t>Table 30: External validity comparison of PFS and OS in DESTINY-Breast04 with previous studies in HER2-negative u/mBC</w:t>
        </w:r>
        <w:r>
          <w:rPr>
            <w:noProof/>
            <w:webHidden/>
          </w:rPr>
          <w:tab/>
        </w:r>
        <w:r>
          <w:rPr>
            <w:noProof/>
            <w:webHidden/>
          </w:rPr>
          <w:fldChar w:fldCharType="begin"/>
        </w:r>
        <w:r>
          <w:rPr>
            <w:noProof/>
            <w:webHidden/>
          </w:rPr>
          <w:instrText xml:space="preserve"> PAGEREF _Toc129351005 \h </w:instrText>
        </w:r>
        <w:r>
          <w:rPr>
            <w:noProof/>
            <w:webHidden/>
          </w:rPr>
        </w:r>
        <w:r>
          <w:rPr>
            <w:noProof/>
            <w:webHidden/>
          </w:rPr>
          <w:fldChar w:fldCharType="separate"/>
        </w:r>
        <w:r>
          <w:rPr>
            <w:noProof/>
            <w:webHidden/>
          </w:rPr>
          <w:t>106</w:t>
        </w:r>
        <w:r>
          <w:rPr>
            <w:noProof/>
            <w:webHidden/>
          </w:rPr>
          <w:fldChar w:fldCharType="end"/>
        </w:r>
      </w:hyperlink>
    </w:p>
    <w:p w14:paraId="12A632F4" w14:textId="641248A1" w:rsidR="00145F42" w:rsidRDefault="00145F42">
      <w:pPr>
        <w:pStyle w:val="TableofFigures"/>
        <w:tabs>
          <w:tab w:val="right" w:leader="dot" w:pos="9628"/>
        </w:tabs>
        <w:rPr>
          <w:rFonts w:asciiTheme="minorHAnsi" w:eastAsiaTheme="minorEastAsia" w:hAnsiTheme="minorHAnsi"/>
          <w:noProof/>
          <w:lang w:eastAsia="en-GB"/>
        </w:rPr>
      </w:pPr>
      <w:hyperlink w:anchor="_Toc129351006" w:history="1">
        <w:r w:rsidRPr="00E54599">
          <w:rPr>
            <w:rStyle w:val="Hyperlink"/>
            <w:noProof/>
          </w:rPr>
          <w:t>Table 31: Summary list of published cost-effectiveness studies (original SLR; 25 February 2022)</w:t>
        </w:r>
        <w:r>
          <w:rPr>
            <w:noProof/>
            <w:webHidden/>
          </w:rPr>
          <w:tab/>
        </w:r>
        <w:r>
          <w:rPr>
            <w:noProof/>
            <w:webHidden/>
          </w:rPr>
          <w:fldChar w:fldCharType="begin"/>
        </w:r>
        <w:r>
          <w:rPr>
            <w:noProof/>
            <w:webHidden/>
          </w:rPr>
          <w:instrText xml:space="preserve"> PAGEREF _Toc129351006 \h </w:instrText>
        </w:r>
        <w:r>
          <w:rPr>
            <w:noProof/>
            <w:webHidden/>
          </w:rPr>
        </w:r>
        <w:r>
          <w:rPr>
            <w:noProof/>
            <w:webHidden/>
          </w:rPr>
          <w:fldChar w:fldCharType="separate"/>
        </w:r>
        <w:r>
          <w:rPr>
            <w:noProof/>
            <w:webHidden/>
          </w:rPr>
          <w:t>113</w:t>
        </w:r>
        <w:r>
          <w:rPr>
            <w:noProof/>
            <w:webHidden/>
          </w:rPr>
          <w:fldChar w:fldCharType="end"/>
        </w:r>
      </w:hyperlink>
    </w:p>
    <w:p w14:paraId="0CFD728A" w14:textId="22BDEEAA" w:rsidR="00145F42" w:rsidRDefault="00145F42">
      <w:pPr>
        <w:pStyle w:val="TableofFigures"/>
        <w:tabs>
          <w:tab w:val="right" w:leader="dot" w:pos="9628"/>
        </w:tabs>
        <w:rPr>
          <w:rFonts w:asciiTheme="minorHAnsi" w:eastAsiaTheme="minorEastAsia" w:hAnsiTheme="minorHAnsi"/>
          <w:noProof/>
          <w:lang w:eastAsia="en-GB"/>
        </w:rPr>
      </w:pPr>
      <w:hyperlink w:anchor="_Toc129351007" w:history="1">
        <w:r w:rsidRPr="00E54599">
          <w:rPr>
            <w:rStyle w:val="Hyperlink"/>
            <w:noProof/>
          </w:rPr>
          <w:t>Table 32: Summary list of published cost-effectiveness evaluations from relevant NICE TAs (hand search update; 13 February 2023)</w:t>
        </w:r>
        <w:r>
          <w:rPr>
            <w:noProof/>
            <w:webHidden/>
          </w:rPr>
          <w:tab/>
        </w:r>
        <w:r>
          <w:rPr>
            <w:noProof/>
            <w:webHidden/>
          </w:rPr>
          <w:fldChar w:fldCharType="begin"/>
        </w:r>
        <w:r>
          <w:rPr>
            <w:noProof/>
            <w:webHidden/>
          </w:rPr>
          <w:instrText xml:space="preserve"> PAGEREF _Toc129351007 \h </w:instrText>
        </w:r>
        <w:r>
          <w:rPr>
            <w:noProof/>
            <w:webHidden/>
          </w:rPr>
        </w:r>
        <w:r>
          <w:rPr>
            <w:noProof/>
            <w:webHidden/>
          </w:rPr>
          <w:fldChar w:fldCharType="separate"/>
        </w:r>
        <w:r>
          <w:rPr>
            <w:noProof/>
            <w:webHidden/>
          </w:rPr>
          <w:t>113</w:t>
        </w:r>
        <w:r>
          <w:rPr>
            <w:noProof/>
            <w:webHidden/>
          </w:rPr>
          <w:fldChar w:fldCharType="end"/>
        </w:r>
      </w:hyperlink>
    </w:p>
    <w:p w14:paraId="721FDEF0" w14:textId="28162F18" w:rsidR="00145F42" w:rsidRDefault="00145F42">
      <w:pPr>
        <w:pStyle w:val="TableofFigures"/>
        <w:tabs>
          <w:tab w:val="right" w:leader="dot" w:pos="9628"/>
        </w:tabs>
        <w:rPr>
          <w:rFonts w:asciiTheme="minorHAnsi" w:eastAsiaTheme="minorEastAsia" w:hAnsiTheme="minorHAnsi"/>
          <w:noProof/>
          <w:lang w:eastAsia="en-GB"/>
        </w:rPr>
      </w:pPr>
      <w:hyperlink w:anchor="_Toc129351008" w:history="1">
        <w:r w:rsidRPr="00E54599">
          <w:rPr>
            <w:rStyle w:val="Hyperlink"/>
            <w:noProof/>
          </w:rPr>
          <w:t>Table 33: Features of the economic analysis</w:t>
        </w:r>
        <w:r>
          <w:rPr>
            <w:noProof/>
            <w:webHidden/>
          </w:rPr>
          <w:tab/>
        </w:r>
        <w:r>
          <w:rPr>
            <w:noProof/>
            <w:webHidden/>
          </w:rPr>
          <w:fldChar w:fldCharType="begin"/>
        </w:r>
        <w:r>
          <w:rPr>
            <w:noProof/>
            <w:webHidden/>
          </w:rPr>
          <w:instrText xml:space="preserve"> PAGEREF _Toc129351008 \h </w:instrText>
        </w:r>
        <w:r>
          <w:rPr>
            <w:noProof/>
            <w:webHidden/>
          </w:rPr>
        </w:r>
        <w:r>
          <w:rPr>
            <w:noProof/>
            <w:webHidden/>
          </w:rPr>
          <w:fldChar w:fldCharType="separate"/>
        </w:r>
        <w:r>
          <w:rPr>
            <w:noProof/>
            <w:webHidden/>
          </w:rPr>
          <w:t>118</w:t>
        </w:r>
        <w:r>
          <w:rPr>
            <w:noProof/>
            <w:webHidden/>
          </w:rPr>
          <w:fldChar w:fldCharType="end"/>
        </w:r>
      </w:hyperlink>
    </w:p>
    <w:p w14:paraId="4BB88FFA" w14:textId="3E969CA6" w:rsidR="00145F42" w:rsidRDefault="00145F42">
      <w:pPr>
        <w:pStyle w:val="TableofFigures"/>
        <w:tabs>
          <w:tab w:val="right" w:leader="dot" w:pos="9628"/>
        </w:tabs>
        <w:rPr>
          <w:rFonts w:asciiTheme="minorHAnsi" w:eastAsiaTheme="minorEastAsia" w:hAnsiTheme="minorHAnsi"/>
          <w:noProof/>
          <w:lang w:eastAsia="en-GB"/>
        </w:rPr>
      </w:pPr>
      <w:hyperlink w:anchor="_Toc129351009" w:history="1">
        <w:r w:rsidRPr="00E54599">
          <w:rPr>
            <w:rStyle w:val="Hyperlink"/>
            <w:noProof/>
          </w:rPr>
          <w:t>Table 34: Baseline patients characteristics informing the economic model | FAS</w:t>
        </w:r>
        <w:r>
          <w:rPr>
            <w:noProof/>
            <w:webHidden/>
          </w:rPr>
          <w:tab/>
        </w:r>
        <w:r>
          <w:rPr>
            <w:noProof/>
            <w:webHidden/>
          </w:rPr>
          <w:fldChar w:fldCharType="begin"/>
        </w:r>
        <w:r>
          <w:rPr>
            <w:noProof/>
            <w:webHidden/>
          </w:rPr>
          <w:instrText xml:space="preserve"> PAGEREF _Toc129351009 \h </w:instrText>
        </w:r>
        <w:r>
          <w:rPr>
            <w:noProof/>
            <w:webHidden/>
          </w:rPr>
        </w:r>
        <w:r>
          <w:rPr>
            <w:noProof/>
            <w:webHidden/>
          </w:rPr>
          <w:fldChar w:fldCharType="separate"/>
        </w:r>
        <w:r>
          <w:rPr>
            <w:noProof/>
            <w:webHidden/>
          </w:rPr>
          <w:t>121</w:t>
        </w:r>
        <w:r>
          <w:rPr>
            <w:noProof/>
            <w:webHidden/>
          </w:rPr>
          <w:fldChar w:fldCharType="end"/>
        </w:r>
      </w:hyperlink>
    </w:p>
    <w:p w14:paraId="02784E27" w14:textId="5D5E88CF" w:rsidR="00145F42" w:rsidRDefault="00145F42">
      <w:pPr>
        <w:pStyle w:val="TableofFigures"/>
        <w:tabs>
          <w:tab w:val="right" w:leader="dot" w:pos="9628"/>
        </w:tabs>
        <w:rPr>
          <w:rFonts w:asciiTheme="minorHAnsi" w:eastAsiaTheme="minorEastAsia" w:hAnsiTheme="minorHAnsi"/>
          <w:noProof/>
          <w:lang w:eastAsia="en-GB"/>
        </w:rPr>
      </w:pPr>
      <w:hyperlink w:anchor="_Toc129351010" w:history="1">
        <w:r w:rsidRPr="00E54599">
          <w:rPr>
            <w:rStyle w:val="Hyperlink"/>
            <w:noProof/>
          </w:rPr>
          <w:t>Table 35: Statistical goodness-of-fit scores (OS, independent models) in the FAS population</w:t>
        </w:r>
        <w:r>
          <w:rPr>
            <w:noProof/>
            <w:webHidden/>
          </w:rPr>
          <w:tab/>
        </w:r>
        <w:r>
          <w:rPr>
            <w:noProof/>
            <w:webHidden/>
          </w:rPr>
          <w:fldChar w:fldCharType="begin"/>
        </w:r>
        <w:r>
          <w:rPr>
            <w:noProof/>
            <w:webHidden/>
          </w:rPr>
          <w:instrText xml:space="preserve"> PAGEREF _Toc129351010 \h </w:instrText>
        </w:r>
        <w:r>
          <w:rPr>
            <w:noProof/>
            <w:webHidden/>
          </w:rPr>
        </w:r>
        <w:r>
          <w:rPr>
            <w:noProof/>
            <w:webHidden/>
          </w:rPr>
          <w:fldChar w:fldCharType="separate"/>
        </w:r>
        <w:r>
          <w:rPr>
            <w:noProof/>
            <w:webHidden/>
          </w:rPr>
          <w:t>124</w:t>
        </w:r>
        <w:r>
          <w:rPr>
            <w:noProof/>
            <w:webHidden/>
          </w:rPr>
          <w:fldChar w:fldCharType="end"/>
        </w:r>
      </w:hyperlink>
    </w:p>
    <w:p w14:paraId="5C5AE9F6" w14:textId="3ADC8024" w:rsidR="00145F42" w:rsidRDefault="00145F42">
      <w:pPr>
        <w:pStyle w:val="TableofFigures"/>
        <w:tabs>
          <w:tab w:val="right" w:leader="dot" w:pos="9628"/>
        </w:tabs>
        <w:rPr>
          <w:rFonts w:asciiTheme="minorHAnsi" w:eastAsiaTheme="minorEastAsia" w:hAnsiTheme="minorHAnsi"/>
          <w:noProof/>
          <w:lang w:eastAsia="en-GB"/>
        </w:rPr>
      </w:pPr>
      <w:hyperlink w:anchor="_Toc129351011" w:history="1">
        <w:r w:rsidRPr="00E54599">
          <w:rPr>
            <w:rStyle w:val="Hyperlink"/>
            <w:noProof/>
          </w:rPr>
          <w:t>Table 36: OS in the FAS population: Predictions by independently fitted distributions in T-DXd and TPC</w:t>
        </w:r>
        <w:r>
          <w:rPr>
            <w:noProof/>
            <w:webHidden/>
          </w:rPr>
          <w:tab/>
        </w:r>
        <w:r>
          <w:rPr>
            <w:noProof/>
            <w:webHidden/>
          </w:rPr>
          <w:fldChar w:fldCharType="begin"/>
        </w:r>
        <w:r>
          <w:rPr>
            <w:noProof/>
            <w:webHidden/>
          </w:rPr>
          <w:instrText xml:space="preserve"> PAGEREF _Toc129351011 \h </w:instrText>
        </w:r>
        <w:r>
          <w:rPr>
            <w:noProof/>
            <w:webHidden/>
          </w:rPr>
        </w:r>
        <w:r>
          <w:rPr>
            <w:noProof/>
            <w:webHidden/>
          </w:rPr>
          <w:fldChar w:fldCharType="separate"/>
        </w:r>
        <w:r>
          <w:rPr>
            <w:noProof/>
            <w:webHidden/>
          </w:rPr>
          <w:t>127</w:t>
        </w:r>
        <w:r>
          <w:rPr>
            <w:noProof/>
            <w:webHidden/>
          </w:rPr>
          <w:fldChar w:fldCharType="end"/>
        </w:r>
      </w:hyperlink>
    </w:p>
    <w:p w14:paraId="26CE5A43" w14:textId="21C5395F" w:rsidR="00145F42" w:rsidRDefault="00145F42">
      <w:pPr>
        <w:pStyle w:val="TableofFigures"/>
        <w:tabs>
          <w:tab w:val="right" w:leader="dot" w:pos="9628"/>
        </w:tabs>
        <w:rPr>
          <w:rFonts w:asciiTheme="minorHAnsi" w:eastAsiaTheme="minorEastAsia" w:hAnsiTheme="minorHAnsi"/>
          <w:noProof/>
          <w:lang w:eastAsia="en-GB"/>
        </w:rPr>
      </w:pPr>
      <w:hyperlink w:anchor="_Toc129351012" w:history="1">
        <w:r w:rsidRPr="00E54599">
          <w:rPr>
            <w:rStyle w:val="Hyperlink"/>
            <w:noProof/>
          </w:rPr>
          <w:t>Table 37: Statistical goodness-of-fit scores (PFS, independent models) in the FAS population</w:t>
        </w:r>
        <w:r>
          <w:rPr>
            <w:noProof/>
            <w:webHidden/>
          </w:rPr>
          <w:tab/>
        </w:r>
        <w:r>
          <w:rPr>
            <w:noProof/>
            <w:webHidden/>
          </w:rPr>
          <w:fldChar w:fldCharType="begin"/>
        </w:r>
        <w:r>
          <w:rPr>
            <w:noProof/>
            <w:webHidden/>
          </w:rPr>
          <w:instrText xml:space="preserve"> PAGEREF _Toc129351012 \h </w:instrText>
        </w:r>
        <w:r>
          <w:rPr>
            <w:noProof/>
            <w:webHidden/>
          </w:rPr>
        </w:r>
        <w:r>
          <w:rPr>
            <w:noProof/>
            <w:webHidden/>
          </w:rPr>
          <w:fldChar w:fldCharType="separate"/>
        </w:r>
        <w:r>
          <w:rPr>
            <w:noProof/>
            <w:webHidden/>
          </w:rPr>
          <w:t>131</w:t>
        </w:r>
        <w:r>
          <w:rPr>
            <w:noProof/>
            <w:webHidden/>
          </w:rPr>
          <w:fldChar w:fldCharType="end"/>
        </w:r>
      </w:hyperlink>
    </w:p>
    <w:p w14:paraId="5569894A" w14:textId="1E1EEE68" w:rsidR="00145F42" w:rsidRDefault="00145F42">
      <w:pPr>
        <w:pStyle w:val="TableofFigures"/>
        <w:tabs>
          <w:tab w:val="right" w:leader="dot" w:pos="9628"/>
        </w:tabs>
        <w:rPr>
          <w:rFonts w:asciiTheme="minorHAnsi" w:eastAsiaTheme="minorEastAsia" w:hAnsiTheme="minorHAnsi"/>
          <w:noProof/>
          <w:lang w:eastAsia="en-GB"/>
        </w:rPr>
      </w:pPr>
      <w:hyperlink w:anchor="_Toc129351013" w:history="1">
        <w:r w:rsidRPr="00E54599">
          <w:rPr>
            <w:rStyle w:val="Hyperlink"/>
            <w:noProof/>
          </w:rPr>
          <w:t>Table 38: PFS in the FAS population: Predictions by independently fitted distributions in T-DXd and TPC</w:t>
        </w:r>
        <w:r>
          <w:rPr>
            <w:noProof/>
            <w:webHidden/>
          </w:rPr>
          <w:tab/>
        </w:r>
        <w:r>
          <w:rPr>
            <w:noProof/>
            <w:webHidden/>
          </w:rPr>
          <w:fldChar w:fldCharType="begin"/>
        </w:r>
        <w:r>
          <w:rPr>
            <w:noProof/>
            <w:webHidden/>
          </w:rPr>
          <w:instrText xml:space="preserve"> PAGEREF _Toc129351013 \h </w:instrText>
        </w:r>
        <w:r>
          <w:rPr>
            <w:noProof/>
            <w:webHidden/>
          </w:rPr>
        </w:r>
        <w:r>
          <w:rPr>
            <w:noProof/>
            <w:webHidden/>
          </w:rPr>
          <w:fldChar w:fldCharType="separate"/>
        </w:r>
        <w:r>
          <w:rPr>
            <w:noProof/>
            <w:webHidden/>
          </w:rPr>
          <w:t>133</w:t>
        </w:r>
        <w:r>
          <w:rPr>
            <w:noProof/>
            <w:webHidden/>
          </w:rPr>
          <w:fldChar w:fldCharType="end"/>
        </w:r>
      </w:hyperlink>
    </w:p>
    <w:p w14:paraId="4CC4CAA0" w14:textId="7CB40A09" w:rsidR="00145F42" w:rsidRDefault="00145F42">
      <w:pPr>
        <w:pStyle w:val="TableofFigures"/>
        <w:tabs>
          <w:tab w:val="right" w:leader="dot" w:pos="9628"/>
        </w:tabs>
        <w:rPr>
          <w:rFonts w:asciiTheme="minorHAnsi" w:eastAsiaTheme="minorEastAsia" w:hAnsiTheme="minorHAnsi"/>
          <w:noProof/>
          <w:lang w:eastAsia="en-GB"/>
        </w:rPr>
      </w:pPr>
      <w:hyperlink w:anchor="_Toc129351014" w:history="1">
        <w:r w:rsidRPr="00E54599">
          <w:rPr>
            <w:rStyle w:val="Hyperlink"/>
            <w:noProof/>
          </w:rPr>
          <w:t>Table 39: Statistical goodness-of-fit scores (TTD, independent models) in the FAS population</w:t>
        </w:r>
        <w:r>
          <w:rPr>
            <w:noProof/>
            <w:webHidden/>
          </w:rPr>
          <w:tab/>
        </w:r>
        <w:r>
          <w:rPr>
            <w:noProof/>
            <w:webHidden/>
          </w:rPr>
          <w:fldChar w:fldCharType="begin"/>
        </w:r>
        <w:r>
          <w:rPr>
            <w:noProof/>
            <w:webHidden/>
          </w:rPr>
          <w:instrText xml:space="preserve"> PAGEREF _Toc129351014 \h </w:instrText>
        </w:r>
        <w:r>
          <w:rPr>
            <w:noProof/>
            <w:webHidden/>
          </w:rPr>
        </w:r>
        <w:r>
          <w:rPr>
            <w:noProof/>
            <w:webHidden/>
          </w:rPr>
          <w:fldChar w:fldCharType="separate"/>
        </w:r>
        <w:r>
          <w:rPr>
            <w:noProof/>
            <w:webHidden/>
          </w:rPr>
          <w:t>138</w:t>
        </w:r>
        <w:r>
          <w:rPr>
            <w:noProof/>
            <w:webHidden/>
          </w:rPr>
          <w:fldChar w:fldCharType="end"/>
        </w:r>
      </w:hyperlink>
    </w:p>
    <w:p w14:paraId="349E47CC" w14:textId="41CDF055" w:rsidR="00145F42" w:rsidRDefault="00145F42">
      <w:pPr>
        <w:pStyle w:val="TableofFigures"/>
        <w:tabs>
          <w:tab w:val="right" w:leader="dot" w:pos="9628"/>
        </w:tabs>
        <w:rPr>
          <w:rFonts w:asciiTheme="minorHAnsi" w:eastAsiaTheme="minorEastAsia" w:hAnsiTheme="minorHAnsi"/>
          <w:noProof/>
          <w:lang w:eastAsia="en-GB"/>
        </w:rPr>
      </w:pPr>
      <w:hyperlink w:anchor="_Toc129351015" w:history="1">
        <w:r w:rsidRPr="00E54599">
          <w:rPr>
            <w:rStyle w:val="Hyperlink"/>
            <w:noProof/>
          </w:rPr>
          <w:t>Table 40:</w:t>
        </w:r>
        <w:r w:rsidRPr="00E54599">
          <w:rPr>
            <w:rStyle w:val="Hyperlink"/>
            <w:rFonts w:cs="Arial"/>
            <w:noProof/>
          </w:rPr>
          <w:t xml:space="preserve"> TTD in the FAS population: Predictions by independently fitted distributions in TPC and T-DXd</w:t>
        </w:r>
        <w:r>
          <w:rPr>
            <w:noProof/>
            <w:webHidden/>
          </w:rPr>
          <w:tab/>
        </w:r>
        <w:r>
          <w:rPr>
            <w:noProof/>
            <w:webHidden/>
          </w:rPr>
          <w:fldChar w:fldCharType="begin"/>
        </w:r>
        <w:r>
          <w:rPr>
            <w:noProof/>
            <w:webHidden/>
          </w:rPr>
          <w:instrText xml:space="preserve"> PAGEREF _Toc129351015 \h </w:instrText>
        </w:r>
        <w:r>
          <w:rPr>
            <w:noProof/>
            <w:webHidden/>
          </w:rPr>
        </w:r>
        <w:r>
          <w:rPr>
            <w:noProof/>
            <w:webHidden/>
          </w:rPr>
          <w:fldChar w:fldCharType="separate"/>
        </w:r>
        <w:r>
          <w:rPr>
            <w:noProof/>
            <w:webHidden/>
          </w:rPr>
          <w:t>139</w:t>
        </w:r>
        <w:r>
          <w:rPr>
            <w:noProof/>
            <w:webHidden/>
          </w:rPr>
          <w:fldChar w:fldCharType="end"/>
        </w:r>
      </w:hyperlink>
    </w:p>
    <w:p w14:paraId="373537A0" w14:textId="63E39546" w:rsidR="00145F42" w:rsidRDefault="00145F42">
      <w:pPr>
        <w:pStyle w:val="TableofFigures"/>
        <w:tabs>
          <w:tab w:val="right" w:leader="dot" w:pos="9628"/>
        </w:tabs>
        <w:rPr>
          <w:rFonts w:asciiTheme="minorHAnsi" w:eastAsiaTheme="minorEastAsia" w:hAnsiTheme="minorHAnsi"/>
          <w:noProof/>
          <w:lang w:eastAsia="en-GB"/>
        </w:rPr>
      </w:pPr>
      <w:hyperlink w:anchor="_Toc129351016" w:history="1">
        <w:r w:rsidRPr="00E54599">
          <w:rPr>
            <w:rStyle w:val="Hyperlink"/>
            <w:noProof/>
          </w:rPr>
          <w:t>Table 41: Adverse event incidence included in the economic model</w:t>
        </w:r>
        <w:r>
          <w:rPr>
            <w:noProof/>
            <w:webHidden/>
          </w:rPr>
          <w:tab/>
        </w:r>
        <w:r>
          <w:rPr>
            <w:noProof/>
            <w:webHidden/>
          </w:rPr>
          <w:fldChar w:fldCharType="begin"/>
        </w:r>
        <w:r>
          <w:rPr>
            <w:noProof/>
            <w:webHidden/>
          </w:rPr>
          <w:instrText xml:space="preserve"> PAGEREF _Toc129351016 \h </w:instrText>
        </w:r>
        <w:r>
          <w:rPr>
            <w:noProof/>
            <w:webHidden/>
          </w:rPr>
        </w:r>
        <w:r>
          <w:rPr>
            <w:noProof/>
            <w:webHidden/>
          </w:rPr>
          <w:fldChar w:fldCharType="separate"/>
        </w:r>
        <w:r>
          <w:rPr>
            <w:noProof/>
            <w:webHidden/>
          </w:rPr>
          <w:t>141</w:t>
        </w:r>
        <w:r>
          <w:rPr>
            <w:noProof/>
            <w:webHidden/>
          </w:rPr>
          <w:fldChar w:fldCharType="end"/>
        </w:r>
      </w:hyperlink>
    </w:p>
    <w:p w14:paraId="0FA3B8CA" w14:textId="79D7A8FC" w:rsidR="00145F42" w:rsidRDefault="00145F42">
      <w:pPr>
        <w:pStyle w:val="TableofFigures"/>
        <w:tabs>
          <w:tab w:val="right" w:leader="dot" w:pos="9628"/>
        </w:tabs>
        <w:rPr>
          <w:rFonts w:asciiTheme="minorHAnsi" w:eastAsiaTheme="minorEastAsia" w:hAnsiTheme="minorHAnsi"/>
          <w:noProof/>
          <w:lang w:eastAsia="en-GB"/>
        </w:rPr>
      </w:pPr>
      <w:hyperlink w:anchor="_Toc129351017" w:history="1">
        <w:r w:rsidRPr="00E54599">
          <w:rPr>
            <w:rStyle w:val="Hyperlink"/>
            <w:noProof/>
          </w:rPr>
          <w:t>Table 42: Summary of clinical model parameters and variables used in economic model base case</w:t>
        </w:r>
        <w:r>
          <w:rPr>
            <w:noProof/>
            <w:webHidden/>
          </w:rPr>
          <w:tab/>
        </w:r>
        <w:r>
          <w:rPr>
            <w:noProof/>
            <w:webHidden/>
          </w:rPr>
          <w:fldChar w:fldCharType="begin"/>
        </w:r>
        <w:r>
          <w:rPr>
            <w:noProof/>
            <w:webHidden/>
          </w:rPr>
          <w:instrText xml:space="preserve"> PAGEREF _Toc129351017 \h </w:instrText>
        </w:r>
        <w:r>
          <w:rPr>
            <w:noProof/>
            <w:webHidden/>
          </w:rPr>
        </w:r>
        <w:r>
          <w:rPr>
            <w:noProof/>
            <w:webHidden/>
          </w:rPr>
          <w:fldChar w:fldCharType="separate"/>
        </w:r>
        <w:r>
          <w:rPr>
            <w:noProof/>
            <w:webHidden/>
          </w:rPr>
          <w:t>141</w:t>
        </w:r>
        <w:r>
          <w:rPr>
            <w:noProof/>
            <w:webHidden/>
          </w:rPr>
          <w:fldChar w:fldCharType="end"/>
        </w:r>
      </w:hyperlink>
    </w:p>
    <w:p w14:paraId="16F4D1B0" w14:textId="4DB30D95" w:rsidR="00145F42" w:rsidRDefault="00145F42">
      <w:pPr>
        <w:pStyle w:val="TableofFigures"/>
        <w:tabs>
          <w:tab w:val="right" w:leader="dot" w:pos="9628"/>
        </w:tabs>
        <w:rPr>
          <w:rFonts w:asciiTheme="minorHAnsi" w:eastAsiaTheme="minorEastAsia" w:hAnsiTheme="minorHAnsi"/>
          <w:noProof/>
          <w:lang w:eastAsia="en-GB"/>
        </w:rPr>
      </w:pPr>
      <w:hyperlink w:anchor="_Toc129351018" w:history="1">
        <w:r w:rsidRPr="00E54599">
          <w:rPr>
            <w:rStyle w:val="Hyperlink"/>
            <w:noProof/>
          </w:rPr>
          <w:t>Table 43: Summary of utility values by progression status in the FAS population</w:t>
        </w:r>
        <w:r>
          <w:rPr>
            <w:noProof/>
            <w:webHidden/>
          </w:rPr>
          <w:tab/>
        </w:r>
        <w:r>
          <w:rPr>
            <w:noProof/>
            <w:webHidden/>
          </w:rPr>
          <w:fldChar w:fldCharType="begin"/>
        </w:r>
        <w:r>
          <w:rPr>
            <w:noProof/>
            <w:webHidden/>
          </w:rPr>
          <w:instrText xml:space="preserve"> PAGEREF _Toc129351018 \h </w:instrText>
        </w:r>
        <w:r>
          <w:rPr>
            <w:noProof/>
            <w:webHidden/>
          </w:rPr>
        </w:r>
        <w:r>
          <w:rPr>
            <w:noProof/>
            <w:webHidden/>
          </w:rPr>
          <w:fldChar w:fldCharType="separate"/>
        </w:r>
        <w:r>
          <w:rPr>
            <w:noProof/>
            <w:webHidden/>
          </w:rPr>
          <w:t>144</w:t>
        </w:r>
        <w:r>
          <w:rPr>
            <w:noProof/>
            <w:webHidden/>
          </w:rPr>
          <w:fldChar w:fldCharType="end"/>
        </w:r>
      </w:hyperlink>
    </w:p>
    <w:p w14:paraId="491CF82C" w14:textId="1683FB4F" w:rsidR="00145F42" w:rsidRDefault="00145F42">
      <w:pPr>
        <w:pStyle w:val="TableofFigures"/>
        <w:tabs>
          <w:tab w:val="right" w:leader="dot" w:pos="9628"/>
        </w:tabs>
        <w:rPr>
          <w:rFonts w:asciiTheme="minorHAnsi" w:eastAsiaTheme="minorEastAsia" w:hAnsiTheme="minorHAnsi"/>
          <w:noProof/>
          <w:lang w:eastAsia="en-GB"/>
        </w:rPr>
      </w:pPr>
      <w:hyperlink w:anchor="_Toc129351019" w:history="1">
        <w:r w:rsidRPr="00E54599">
          <w:rPr>
            <w:rStyle w:val="Hyperlink"/>
            <w:noProof/>
          </w:rPr>
          <w:t>Table 44: Regression coefficients</w:t>
        </w:r>
        <w:r>
          <w:rPr>
            <w:noProof/>
            <w:webHidden/>
          </w:rPr>
          <w:tab/>
        </w:r>
        <w:r>
          <w:rPr>
            <w:noProof/>
            <w:webHidden/>
          </w:rPr>
          <w:fldChar w:fldCharType="begin"/>
        </w:r>
        <w:r>
          <w:rPr>
            <w:noProof/>
            <w:webHidden/>
          </w:rPr>
          <w:instrText xml:space="preserve"> PAGEREF _Toc129351019 \h </w:instrText>
        </w:r>
        <w:r>
          <w:rPr>
            <w:noProof/>
            <w:webHidden/>
          </w:rPr>
        </w:r>
        <w:r>
          <w:rPr>
            <w:noProof/>
            <w:webHidden/>
          </w:rPr>
          <w:fldChar w:fldCharType="separate"/>
        </w:r>
        <w:r>
          <w:rPr>
            <w:noProof/>
            <w:webHidden/>
          </w:rPr>
          <w:t>144</w:t>
        </w:r>
        <w:r>
          <w:rPr>
            <w:noProof/>
            <w:webHidden/>
          </w:rPr>
          <w:fldChar w:fldCharType="end"/>
        </w:r>
      </w:hyperlink>
    </w:p>
    <w:p w14:paraId="77698267" w14:textId="0A9591C2" w:rsidR="00145F42" w:rsidRDefault="00145F42">
      <w:pPr>
        <w:pStyle w:val="TableofFigures"/>
        <w:tabs>
          <w:tab w:val="right" w:leader="dot" w:pos="9628"/>
        </w:tabs>
        <w:rPr>
          <w:rFonts w:asciiTheme="minorHAnsi" w:eastAsiaTheme="minorEastAsia" w:hAnsiTheme="minorHAnsi"/>
          <w:noProof/>
          <w:lang w:eastAsia="en-GB"/>
        </w:rPr>
      </w:pPr>
      <w:hyperlink w:anchor="_Toc129351020" w:history="1">
        <w:r w:rsidRPr="00E54599">
          <w:rPr>
            <w:rStyle w:val="Hyperlink"/>
            <w:noProof/>
          </w:rPr>
          <w:t>Table 45: Mapped UK EQ-5D-3L utility values from DESTINY-Breast04 by progression status and treatment arm</w:t>
        </w:r>
        <w:r>
          <w:rPr>
            <w:noProof/>
            <w:webHidden/>
          </w:rPr>
          <w:tab/>
        </w:r>
        <w:r>
          <w:rPr>
            <w:noProof/>
            <w:webHidden/>
          </w:rPr>
          <w:fldChar w:fldCharType="begin"/>
        </w:r>
        <w:r>
          <w:rPr>
            <w:noProof/>
            <w:webHidden/>
          </w:rPr>
          <w:instrText xml:space="preserve"> PAGEREF _Toc129351020 \h </w:instrText>
        </w:r>
        <w:r>
          <w:rPr>
            <w:noProof/>
            <w:webHidden/>
          </w:rPr>
        </w:r>
        <w:r>
          <w:rPr>
            <w:noProof/>
            <w:webHidden/>
          </w:rPr>
          <w:fldChar w:fldCharType="separate"/>
        </w:r>
        <w:r>
          <w:rPr>
            <w:noProof/>
            <w:webHidden/>
          </w:rPr>
          <w:t>145</w:t>
        </w:r>
        <w:r>
          <w:rPr>
            <w:noProof/>
            <w:webHidden/>
          </w:rPr>
          <w:fldChar w:fldCharType="end"/>
        </w:r>
      </w:hyperlink>
    </w:p>
    <w:p w14:paraId="25BCA221" w14:textId="5587DB25" w:rsidR="00145F42" w:rsidRDefault="00145F42">
      <w:pPr>
        <w:pStyle w:val="TableofFigures"/>
        <w:tabs>
          <w:tab w:val="right" w:leader="dot" w:pos="9628"/>
        </w:tabs>
        <w:rPr>
          <w:rFonts w:asciiTheme="minorHAnsi" w:eastAsiaTheme="minorEastAsia" w:hAnsiTheme="minorHAnsi"/>
          <w:noProof/>
          <w:lang w:eastAsia="en-GB"/>
        </w:rPr>
      </w:pPr>
      <w:hyperlink w:anchor="_Toc129351021" w:history="1">
        <w:r w:rsidRPr="00E54599">
          <w:rPr>
            <w:rStyle w:val="Hyperlink"/>
            <w:noProof/>
          </w:rPr>
          <w:t>Table 46: DESTINY-Breast04 patient characteristics (ages) and objective response rate</w:t>
        </w:r>
        <w:r w:rsidRPr="00E54599">
          <w:rPr>
            <w:rStyle w:val="Hyperlink"/>
            <w:rFonts w:cs="Arial"/>
            <w:noProof/>
            <w:vertAlign w:val="superscript"/>
          </w:rPr>
          <w:t>6,7</w:t>
        </w:r>
        <w:r>
          <w:rPr>
            <w:noProof/>
            <w:webHidden/>
          </w:rPr>
          <w:tab/>
        </w:r>
        <w:r>
          <w:rPr>
            <w:noProof/>
            <w:webHidden/>
          </w:rPr>
          <w:fldChar w:fldCharType="begin"/>
        </w:r>
        <w:r>
          <w:rPr>
            <w:noProof/>
            <w:webHidden/>
          </w:rPr>
          <w:instrText xml:space="preserve"> PAGEREF _Toc129351021 \h </w:instrText>
        </w:r>
        <w:r>
          <w:rPr>
            <w:noProof/>
            <w:webHidden/>
          </w:rPr>
        </w:r>
        <w:r>
          <w:rPr>
            <w:noProof/>
            <w:webHidden/>
          </w:rPr>
          <w:fldChar w:fldCharType="separate"/>
        </w:r>
        <w:r>
          <w:rPr>
            <w:noProof/>
            <w:webHidden/>
          </w:rPr>
          <w:t>146</w:t>
        </w:r>
        <w:r>
          <w:rPr>
            <w:noProof/>
            <w:webHidden/>
          </w:rPr>
          <w:fldChar w:fldCharType="end"/>
        </w:r>
      </w:hyperlink>
    </w:p>
    <w:p w14:paraId="50A49771" w14:textId="2B9727CC" w:rsidR="00145F42" w:rsidRDefault="00145F42">
      <w:pPr>
        <w:pStyle w:val="TableofFigures"/>
        <w:tabs>
          <w:tab w:val="right" w:leader="dot" w:pos="9628"/>
        </w:tabs>
        <w:rPr>
          <w:rFonts w:asciiTheme="minorHAnsi" w:eastAsiaTheme="minorEastAsia" w:hAnsiTheme="minorHAnsi"/>
          <w:noProof/>
          <w:lang w:eastAsia="en-GB"/>
        </w:rPr>
      </w:pPr>
      <w:hyperlink w:anchor="_Toc129351022" w:history="1">
        <w:r w:rsidRPr="00E54599">
          <w:rPr>
            <w:rStyle w:val="Hyperlink"/>
            <w:noProof/>
          </w:rPr>
          <w:t xml:space="preserve">Table 47: Inputs to derive utilities from Lloyd et al. </w:t>
        </w:r>
        <w:r w:rsidRPr="00E54599">
          <w:rPr>
            <w:rStyle w:val="Hyperlink"/>
            <w:rFonts w:cs="Arial"/>
            <w:noProof/>
            <w:vertAlign w:val="superscript"/>
          </w:rPr>
          <w:t>169</w:t>
        </w:r>
        <w:r>
          <w:rPr>
            <w:noProof/>
            <w:webHidden/>
          </w:rPr>
          <w:tab/>
        </w:r>
        <w:r>
          <w:rPr>
            <w:noProof/>
            <w:webHidden/>
          </w:rPr>
          <w:fldChar w:fldCharType="begin"/>
        </w:r>
        <w:r>
          <w:rPr>
            <w:noProof/>
            <w:webHidden/>
          </w:rPr>
          <w:instrText xml:space="preserve"> PAGEREF _Toc129351022 \h </w:instrText>
        </w:r>
        <w:r>
          <w:rPr>
            <w:noProof/>
            <w:webHidden/>
          </w:rPr>
        </w:r>
        <w:r>
          <w:rPr>
            <w:noProof/>
            <w:webHidden/>
          </w:rPr>
          <w:fldChar w:fldCharType="separate"/>
        </w:r>
        <w:r>
          <w:rPr>
            <w:noProof/>
            <w:webHidden/>
          </w:rPr>
          <w:t>146</w:t>
        </w:r>
        <w:r>
          <w:rPr>
            <w:noProof/>
            <w:webHidden/>
          </w:rPr>
          <w:fldChar w:fldCharType="end"/>
        </w:r>
      </w:hyperlink>
    </w:p>
    <w:p w14:paraId="5552A084" w14:textId="67179B92" w:rsidR="00145F42" w:rsidRDefault="00145F42">
      <w:pPr>
        <w:pStyle w:val="TableofFigures"/>
        <w:tabs>
          <w:tab w:val="right" w:leader="dot" w:pos="9628"/>
        </w:tabs>
        <w:rPr>
          <w:rFonts w:asciiTheme="minorHAnsi" w:eastAsiaTheme="minorEastAsia" w:hAnsiTheme="minorHAnsi"/>
          <w:noProof/>
          <w:lang w:eastAsia="en-GB"/>
        </w:rPr>
      </w:pPr>
      <w:hyperlink w:anchor="_Toc129351023" w:history="1">
        <w:r w:rsidRPr="00E54599">
          <w:rPr>
            <w:rStyle w:val="Hyperlink"/>
            <w:noProof/>
          </w:rPr>
          <w:t xml:space="preserve">Table 48: Utilities derived from Lloyd et al. </w:t>
        </w:r>
        <w:r w:rsidRPr="00E54599">
          <w:rPr>
            <w:rStyle w:val="Hyperlink"/>
            <w:rFonts w:cs="Arial"/>
            <w:noProof/>
            <w:vertAlign w:val="superscript"/>
          </w:rPr>
          <w:t>169</w:t>
        </w:r>
        <w:r>
          <w:rPr>
            <w:noProof/>
            <w:webHidden/>
          </w:rPr>
          <w:tab/>
        </w:r>
        <w:r>
          <w:rPr>
            <w:noProof/>
            <w:webHidden/>
          </w:rPr>
          <w:fldChar w:fldCharType="begin"/>
        </w:r>
        <w:r>
          <w:rPr>
            <w:noProof/>
            <w:webHidden/>
          </w:rPr>
          <w:instrText xml:space="preserve"> PAGEREF _Toc129351023 \h </w:instrText>
        </w:r>
        <w:r>
          <w:rPr>
            <w:noProof/>
            <w:webHidden/>
          </w:rPr>
        </w:r>
        <w:r>
          <w:rPr>
            <w:noProof/>
            <w:webHidden/>
          </w:rPr>
          <w:fldChar w:fldCharType="separate"/>
        </w:r>
        <w:r>
          <w:rPr>
            <w:noProof/>
            <w:webHidden/>
          </w:rPr>
          <w:t>146</w:t>
        </w:r>
        <w:r>
          <w:rPr>
            <w:noProof/>
            <w:webHidden/>
          </w:rPr>
          <w:fldChar w:fldCharType="end"/>
        </w:r>
      </w:hyperlink>
    </w:p>
    <w:p w14:paraId="5DE4D951" w14:textId="2270C509" w:rsidR="00145F42" w:rsidRDefault="00145F42">
      <w:pPr>
        <w:pStyle w:val="TableofFigures"/>
        <w:tabs>
          <w:tab w:val="right" w:leader="dot" w:pos="9628"/>
        </w:tabs>
        <w:rPr>
          <w:rFonts w:asciiTheme="minorHAnsi" w:eastAsiaTheme="minorEastAsia" w:hAnsiTheme="minorHAnsi"/>
          <w:noProof/>
          <w:lang w:eastAsia="en-GB"/>
        </w:rPr>
      </w:pPr>
      <w:hyperlink w:anchor="_Toc129351024" w:history="1">
        <w:r w:rsidRPr="00E54599">
          <w:rPr>
            <w:rStyle w:val="Hyperlink"/>
            <w:noProof/>
          </w:rPr>
          <w:t>Table 49: Summary of utility values applied in previous submissions</w:t>
        </w:r>
        <w:r>
          <w:rPr>
            <w:noProof/>
            <w:webHidden/>
          </w:rPr>
          <w:tab/>
        </w:r>
        <w:r>
          <w:rPr>
            <w:noProof/>
            <w:webHidden/>
          </w:rPr>
          <w:fldChar w:fldCharType="begin"/>
        </w:r>
        <w:r>
          <w:rPr>
            <w:noProof/>
            <w:webHidden/>
          </w:rPr>
          <w:instrText xml:space="preserve"> PAGEREF _Toc129351024 \h </w:instrText>
        </w:r>
        <w:r>
          <w:rPr>
            <w:noProof/>
            <w:webHidden/>
          </w:rPr>
        </w:r>
        <w:r>
          <w:rPr>
            <w:noProof/>
            <w:webHidden/>
          </w:rPr>
          <w:fldChar w:fldCharType="separate"/>
        </w:r>
        <w:r>
          <w:rPr>
            <w:noProof/>
            <w:webHidden/>
          </w:rPr>
          <w:t>147</w:t>
        </w:r>
        <w:r>
          <w:rPr>
            <w:noProof/>
            <w:webHidden/>
          </w:rPr>
          <w:fldChar w:fldCharType="end"/>
        </w:r>
      </w:hyperlink>
    </w:p>
    <w:p w14:paraId="2F71F1D0" w14:textId="0480B53B" w:rsidR="00145F42" w:rsidRDefault="00145F42">
      <w:pPr>
        <w:pStyle w:val="TableofFigures"/>
        <w:tabs>
          <w:tab w:val="right" w:leader="dot" w:pos="9628"/>
        </w:tabs>
        <w:rPr>
          <w:rFonts w:asciiTheme="minorHAnsi" w:eastAsiaTheme="minorEastAsia" w:hAnsiTheme="minorHAnsi"/>
          <w:noProof/>
          <w:lang w:eastAsia="en-GB"/>
        </w:rPr>
      </w:pPr>
      <w:hyperlink w:anchor="_Toc129351025" w:history="1">
        <w:r w:rsidRPr="00E54599">
          <w:rPr>
            <w:rStyle w:val="Hyperlink"/>
            <w:noProof/>
          </w:rPr>
          <w:t>Table 50: Disutilities for adverse events</w:t>
        </w:r>
        <w:r>
          <w:rPr>
            <w:noProof/>
            <w:webHidden/>
          </w:rPr>
          <w:tab/>
        </w:r>
        <w:r>
          <w:rPr>
            <w:noProof/>
            <w:webHidden/>
          </w:rPr>
          <w:fldChar w:fldCharType="begin"/>
        </w:r>
        <w:r>
          <w:rPr>
            <w:noProof/>
            <w:webHidden/>
          </w:rPr>
          <w:instrText xml:space="preserve"> PAGEREF _Toc129351025 \h </w:instrText>
        </w:r>
        <w:r>
          <w:rPr>
            <w:noProof/>
            <w:webHidden/>
          </w:rPr>
        </w:r>
        <w:r>
          <w:rPr>
            <w:noProof/>
            <w:webHidden/>
          </w:rPr>
          <w:fldChar w:fldCharType="separate"/>
        </w:r>
        <w:r>
          <w:rPr>
            <w:noProof/>
            <w:webHidden/>
          </w:rPr>
          <w:t>148</w:t>
        </w:r>
        <w:r>
          <w:rPr>
            <w:noProof/>
            <w:webHidden/>
          </w:rPr>
          <w:fldChar w:fldCharType="end"/>
        </w:r>
      </w:hyperlink>
    </w:p>
    <w:p w14:paraId="415675EE" w14:textId="03092AA6" w:rsidR="00145F42" w:rsidRDefault="00145F42">
      <w:pPr>
        <w:pStyle w:val="TableofFigures"/>
        <w:tabs>
          <w:tab w:val="right" w:leader="dot" w:pos="9628"/>
        </w:tabs>
        <w:rPr>
          <w:rFonts w:asciiTheme="minorHAnsi" w:eastAsiaTheme="minorEastAsia" w:hAnsiTheme="minorHAnsi"/>
          <w:noProof/>
          <w:lang w:eastAsia="en-GB"/>
        </w:rPr>
      </w:pPr>
      <w:hyperlink w:anchor="_Toc129351026" w:history="1">
        <w:r w:rsidRPr="00E54599">
          <w:rPr>
            <w:rStyle w:val="Hyperlink"/>
            <w:noProof/>
          </w:rPr>
          <w:t>Table 51: Summary of utility values for cost-effectiveness analysis</w:t>
        </w:r>
        <w:r>
          <w:rPr>
            <w:noProof/>
            <w:webHidden/>
          </w:rPr>
          <w:tab/>
        </w:r>
        <w:r>
          <w:rPr>
            <w:noProof/>
            <w:webHidden/>
          </w:rPr>
          <w:fldChar w:fldCharType="begin"/>
        </w:r>
        <w:r>
          <w:rPr>
            <w:noProof/>
            <w:webHidden/>
          </w:rPr>
          <w:instrText xml:space="preserve"> PAGEREF _Toc129351026 \h </w:instrText>
        </w:r>
        <w:r>
          <w:rPr>
            <w:noProof/>
            <w:webHidden/>
          </w:rPr>
        </w:r>
        <w:r>
          <w:rPr>
            <w:noProof/>
            <w:webHidden/>
          </w:rPr>
          <w:fldChar w:fldCharType="separate"/>
        </w:r>
        <w:r>
          <w:rPr>
            <w:noProof/>
            <w:webHidden/>
          </w:rPr>
          <w:t>149</w:t>
        </w:r>
        <w:r>
          <w:rPr>
            <w:noProof/>
            <w:webHidden/>
          </w:rPr>
          <w:fldChar w:fldCharType="end"/>
        </w:r>
      </w:hyperlink>
    </w:p>
    <w:p w14:paraId="2CF6FC3C" w14:textId="15E60301" w:rsidR="00145F42" w:rsidRDefault="00145F42">
      <w:pPr>
        <w:pStyle w:val="TableofFigures"/>
        <w:tabs>
          <w:tab w:val="right" w:leader="dot" w:pos="9628"/>
        </w:tabs>
        <w:rPr>
          <w:rFonts w:asciiTheme="minorHAnsi" w:eastAsiaTheme="minorEastAsia" w:hAnsiTheme="minorHAnsi"/>
          <w:noProof/>
          <w:lang w:eastAsia="en-GB"/>
        </w:rPr>
      </w:pPr>
      <w:hyperlink w:anchor="_Toc129351027" w:history="1">
        <w:r w:rsidRPr="00E54599">
          <w:rPr>
            <w:rStyle w:val="Hyperlink"/>
            <w:noProof/>
          </w:rPr>
          <w:t>Table 52: Unit drug costs</w:t>
        </w:r>
        <w:r>
          <w:rPr>
            <w:noProof/>
            <w:webHidden/>
          </w:rPr>
          <w:tab/>
        </w:r>
        <w:r>
          <w:rPr>
            <w:noProof/>
            <w:webHidden/>
          </w:rPr>
          <w:fldChar w:fldCharType="begin"/>
        </w:r>
        <w:r>
          <w:rPr>
            <w:noProof/>
            <w:webHidden/>
          </w:rPr>
          <w:instrText xml:space="preserve"> PAGEREF _Toc129351027 \h </w:instrText>
        </w:r>
        <w:r>
          <w:rPr>
            <w:noProof/>
            <w:webHidden/>
          </w:rPr>
        </w:r>
        <w:r>
          <w:rPr>
            <w:noProof/>
            <w:webHidden/>
          </w:rPr>
          <w:fldChar w:fldCharType="separate"/>
        </w:r>
        <w:r>
          <w:rPr>
            <w:noProof/>
            <w:webHidden/>
          </w:rPr>
          <w:t>150</w:t>
        </w:r>
        <w:r>
          <w:rPr>
            <w:noProof/>
            <w:webHidden/>
          </w:rPr>
          <w:fldChar w:fldCharType="end"/>
        </w:r>
      </w:hyperlink>
    </w:p>
    <w:p w14:paraId="1A375C4C" w14:textId="0227505A" w:rsidR="00145F42" w:rsidRDefault="00145F42">
      <w:pPr>
        <w:pStyle w:val="TableofFigures"/>
        <w:tabs>
          <w:tab w:val="right" w:leader="dot" w:pos="9628"/>
        </w:tabs>
        <w:rPr>
          <w:rFonts w:asciiTheme="minorHAnsi" w:eastAsiaTheme="minorEastAsia" w:hAnsiTheme="minorHAnsi"/>
          <w:noProof/>
          <w:lang w:eastAsia="en-GB"/>
        </w:rPr>
      </w:pPr>
      <w:hyperlink w:anchor="_Toc129351028" w:history="1">
        <w:r w:rsidRPr="00E54599">
          <w:rPr>
            <w:rStyle w:val="Hyperlink"/>
            <w:noProof/>
          </w:rPr>
          <w:t>Table 53: Dose regimens for T-DXd and TPC</w:t>
        </w:r>
        <w:r>
          <w:rPr>
            <w:noProof/>
            <w:webHidden/>
          </w:rPr>
          <w:tab/>
        </w:r>
        <w:r>
          <w:rPr>
            <w:noProof/>
            <w:webHidden/>
          </w:rPr>
          <w:fldChar w:fldCharType="begin"/>
        </w:r>
        <w:r>
          <w:rPr>
            <w:noProof/>
            <w:webHidden/>
          </w:rPr>
          <w:instrText xml:space="preserve"> PAGEREF _Toc129351028 \h </w:instrText>
        </w:r>
        <w:r>
          <w:rPr>
            <w:noProof/>
            <w:webHidden/>
          </w:rPr>
        </w:r>
        <w:r>
          <w:rPr>
            <w:noProof/>
            <w:webHidden/>
          </w:rPr>
          <w:fldChar w:fldCharType="separate"/>
        </w:r>
        <w:r>
          <w:rPr>
            <w:noProof/>
            <w:webHidden/>
          </w:rPr>
          <w:t>151</w:t>
        </w:r>
        <w:r>
          <w:rPr>
            <w:noProof/>
            <w:webHidden/>
          </w:rPr>
          <w:fldChar w:fldCharType="end"/>
        </w:r>
      </w:hyperlink>
    </w:p>
    <w:p w14:paraId="58DC828F" w14:textId="2E9083A6" w:rsidR="00145F42" w:rsidRDefault="00145F42">
      <w:pPr>
        <w:pStyle w:val="TableofFigures"/>
        <w:tabs>
          <w:tab w:val="right" w:leader="dot" w:pos="9628"/>
        </w:tabs>
        <w:rPr>
          <w:rFonts w:asciiTheme="minorHAnsi" w:eastAsiaTheme="minorEastAsia" w:hAnsiTheme="minorHAnsi"/>
          <w:noProof/>
          <w:lang w:eastAsia="en-GB"/>
        </w:rPr>
      </w:pPr>
      <w:hyperlink w:anchor="_Toc129351029" w:history="1">
        <w:r w:rsidRPr="00E54599">
          <w:rPr>
            <w:rStyle w:val="Hyperlink"/>
            <w:noProof/>
          </w:rPr>
          <w:t>Table 54: Dosing schedules and cost per 21-day treatment cycle</w:t>
        </w:r>
        <w:r>
          <w:rPr>
            <w:noProof/>
            <w:webHidden/>
          </w:rPr>
          <w:tab/>
        </w:r>
        <w:r>
          <w:rPr>
            <w:noProof/>
            <w:webHidden/>
          </w:rPr>
          <w:fldChar w:fldCharType="begin"/>
        </w:r>
        <w:r>
          <w:rPr>
            <w:noProof/>
            <w:webHidden/>
          </w:rPr>
          <w:instrText xml:space="preserve"> PAGEREF _Toc129351029 \h </w:instrText>
        </w:r>
        <w:r>
          <w:rPr>
            <w:noProof/>
            <w:webHidden/>
          </w:rPr>
        </w:r>
        <w:r>
          <w:rPr>
            <w:noProof/>
            <w:webHidden/>
          </w:rPr>
          <w:fldChar w:fldCharType="separate"/>
        </w:r>
        <w:r>
          <w:rPr>
            <w:noProof/>
            <w:webHidden/>
          </w:rPr>
          <w:t>152</w:t>
        </w:r>
        <w:r>
          <w:rPr>
            <w:noProof/>
            <w:webHidden/>
          </w:rPr>
          <w:fldChar w:fldCharType="end"/>
        </w:r>
      </w:hyperlink>
    </w:p>
    <w:p w14:paraId="1E899592" w14:textId="59C6C85C" w:rsidR="00145F42" w:rsidRDefault="00145F42">
      <w:pPr>
        <w:pStyle w:val="TableofFigures"/>
        <w:tabs>
          <w:tab w:val="right" w:leader="dot" w:pos="9628"/>
        </w:tabs>
        <w:rPr>
          <w:rFonts w:asciiTheme="minorHAnsi" w:eastAsiaTheme="minorEastAsia" w:hAnsiTheme="minorHAnsi"/>
          <w:noProof/>
          <w:lang w:eastAsia="en-GB"/>
        </w:rPr>
      </w:pPr>
      <w:hyperlink w:anchor="_Toc129351030" w:history="1">
        <w:r w:rsidRPr="00E54599">
          <w:rPr>
            <w:rStyle w:val="Hyperlink"/>
            <w:noProof/>
          </w:rPr>
          <w:t>Table 55: Administration costs</w:t>
        </w:r>
        <w:r>
          <w:rPr>
            <w:noProof/>
            <w:webHidden/>
          </w:rPr>
          <w:tab/>
        </w:r>
        <w:r>
          <w:rPr>
            <w:noProof/>
            <w:webHidden/>
          </w:rPr>
          <w:fldChar w:fldCharType="begin"/>
        </w:r>
        <w:r>
          <w:rPr>
            <w:noProof/>
            <w:webHidden/>
          </w:rPr>
          <w:instrText xml:space="preserve"> PAGEREF _Toc129351030 \h </w:instrText>
        </w:r>
        <w:r>
          <w:rPr>
            <w:noProof/>
            <w:webHidden/>
          </w:rPr>
        </w:r>
        <w:r>
          <w:rPr>
            <w:noProof/>
            <w:webHidden/>
          </w:rPr>
          <w:fldChar w:fldCharType="separate"/>
        </w:r>
        <w:r>
          <w:rPr>
            <w:noProof/>
            <w:webHidden/>
          </w:rPr>
          <w:t>153</w:t>
        </w:r>
        <w:r>
          <w:rPr>
            <w:noProof/>
            <w:webHidden/>
          </w:rPr>
          <w:fldChar w:fldCharType="end"/>
        </w:r>
      </w:hyperlink>
    </w:p>
    <w:p w14:paraId="1F3BD1EA" w14:textId="64F97C0E" w:rsidR="00145F42" w:rsidRDefault="00145F42">
      <w:pPr>
        <w:pStyle w:val="TableofFigures"/>
        <w:tabs>
          <w:tab w:val="right" w:leader="dot" w:pos="9628"/>
        </w:tabs>
        <w:rPr>
          <w:rFonts w:asciiTheme="minorHAnsi" w:eastAsiaTheme="minorEastAsia" w:hAnsiTheme="minorHAnsi"/>
          <w:noProof/>
          <w:lang w:eastAsia="en-GB"/>
        </w:rPr>
      </w:pPr>
      <w:hyperlink w:anchor="_Toc129351031" w:history="1">
        <w:r w:rsidRPr="00E54599">
          <w:rPr>
            <w:rStyle w:val="Hyperlink"/>
            <w:noProof/>
          </w:rPr>
          <w:t>Table 56: Monitoring costs and frequencies</w:t>
        </w:r>
        <w:r>
          <w:rPr>
            <w:noProof/>
            <w:webHidden/>
          </w:rPr>
          <w:tab/>
        </w:r>
        <w:r>
          <w:rPr>
            <w:noProof/>
            <w:webHidden/>
          </w:rPr>
          <w:fldChar w:fldCharType="begin"/>
        </w:r>
        <w:r>
          <w:rPr>
            <w:noProof/>
            <w:webHidden/>
          </w:rPr>
          <w:instrText xml:space="preserve"> PAGEREF _Toc129351031 \h </w:instrText>
        </w:r>
        <w:r>
          <w:rPr>
            <w:noProof/>
            <w:webHidden/>
          </w:rPr>
        </w:r>
        <w:r>
          <w:rPr>
            <w:noProof/>
            <w:webHidden/>
          </w:rPr>
          <w:fldChar w:fldCharType="separate"/>
        </w:r>
        <w:r>
          <w:rPr>
            <w:noProof/>
            <w:webHidden/>
          </w:rPr>
          <w:t>154</w:t>
        </w:r>
        <w:r>
          <w:rPr>
            <w:noProof/>
            <w:webHidden/>
          </w:rPr>
          <w:fldChar w:fldCharType="end"/>
        </w:r>
      </w:hyperlink>
    </w:p>
    <w:p w14:paraId="54F0C99C" w14:textId="5B8F3BD0" w:rsidR="00145F42" w:rsidRDefault="00145F42">
      <w:pPr>
        <w:pStyle w:val="TableofFigures"/>
        <w:tabs>
          <w:tab w:val="right" w:leader="dot" w:pos="9628"/>
        </w:tabs>
        <w:rPr>
          <w:rFonts w:asciiTheme="minorHAnsi" w:eastAsiaTheme="minorEastAsia" w:hAnsiTheme="minorHAnsi"/>
          <w:noProof/>
          <w:lang w:eastAsia="en-GB"/>
        </w:rPr>
      </w:pPr>
      <w:hyperlink w:anchor="_Toc129351032" w:history="1">
        <w:r w:rsidRPr="00E54599">
          <w:rPr>
            <w:rStyle w:val="Hyperlink"/>
            <w:noProof/>
          </w:rPr>
          <w:t>Table 57: Adverse event costs included in the model</w:t>
        </w:r>
        <w:r>
          <w:rPr>
            <w:noProof/>
            <w:webHidden/>
          </w:rPr>
          <w:tab/>
        </w:r>
        <w:r>
          <w:rPr>
            <w:noProof/>
            <w:webHidden/>
          </w:rPr>
          <w:fldChar w:fldCharType="begin"/>
        </w:r>
        <w:r>
          <w:rPr>
            <w:noProof/>
            <w:webHidden/>
          </w:rPr>
          <w:instrText xml:space="preserve"> PAGEREF _Toc129351032 \h </w:instrText>
        </w:r>
        <w:r>
          <w:rPr>
            <w:noProof/>
            <w:webHidden/>
          </w:rPr>
        </w:r>
        <w:r>
          <w:rPr>
            <w:noProof/>
            <w:webHidden/>
          </w:rPr>
          <w:fldChar w:fldCharType="separate"/>
        </w:r>
        <w:r>
          <w:rPr>
            <w:noProof/>
            <w:webHidden/>
          </w:rPr>
          <w:t>155</w:t>
        </w:r>
        <w:r>
          <w:rPr>
            <w:noProof/>
            <w:webHidden/>
          </w:rPr>
          <w:fldChar w:fldCharType="end"/>
        </w:r>
      </w:hyperlink>
    </w:p>
    <w:p w14:paraId="34734A14" w14:textId="045E4CF0" w:rsidR="00145F42" w:rsidRDefault="00145F42">
      <w:pPr>
        <w:pStyle w:val="TableofFigures"/>
        <w:tabs>
          <w:tab w:val="right" w:leader="dot" w:pos="9628"/>
        </w:tabs>
        <w:rPr>
          <w:rFonts w:asciiTheme="minorHAnsi" w:eastAsiaTheme="minorEastAsia" w:hAnsiTheme="minorHAnsi"/>
          <w:noProof/>
          <w:lang w:eastAsia="en-GB"/>
        </w:rPr>
      </w:pPr>
      <w:hyperlink w:anchor="_Toc129351033" w:history="1">
        <w:r w:rsidRPr="00E54599">
          <w:rPr>
            <w:rStyle w:val="Hyperlink"/>
            <w:noProof/>
          </w:rPr>
          <w:t>Table 58: Total adverse event costs</w:t>
        </w:r>
        <w:r>
          <w:rPr>
            <w:noProof/>
            <w:webHidden/>
          </w:rPr>
          <w:tab/>
        </w:r>
        <w:r>
          <w:rPr>
            <w:noProof/>
            <w:webHidden/>
          </w:rPr>
          <w:fldChar w:fldCharType="begin"/>
        </w:r>
        <w:r>
          <w:rPr>
            <w:noProof/>
            <w:webHidden/>
          </w:rPr>
          <w:instrText xml:space="preserve"> PAGEREF _Toc129351033 \h </w:instrText>
        </w:r>
        <w:r>
          <w:rPr>
            <w:noProof/>
            <w:webHidden/>
          </w:rPr>
        </w:r>
        <w:r>
          <w:rPr>
            <w:noProof/>
            <w:webHidden/>
          </w:rPr>
          <w:fldChar w:fldCharType="separate"/>
        </w:r>
        <w:r>
          <w:rPr>
            <w:noProof/>
            <w:webHidden/>
          </w:rPr>
          <w:t>155</w:t>
        </w:r>
        <w:r>
          <w:rPr>
            <w:noProof/>
            <w:webHidden/>
          </w:rPr>
          <w:fldChar w:fldCharType="end"/>
        </w:r>
      </w:hyperlink>
    </w:p>
    <w:p w14:paraId="45EDA407" w14:textId="2362DE29" w:rsidR="00145F42" w:rsidRDefault="00145F42">
      <w:pPr>
        <w:pStyle w:val="TableofFigures"/>
        <w:tabs>
          <w:tab w:val="right" w:leader="dot" w:pos="9628"/>
        </w:tabs>
        <w:rPr>
          <w:rFonts w:asciiTheme="minorHAnsi" w:eastAsiaTheme="minorEastAsia" w:hAnsiTheme="minorHAnsi"/>
          <w:noProof/>
          <w:lang w:eastAsia="en-GB"/>
        </w:rPr>
      </w:pPr>
      <w:hyperlink w:anchor="_Toc129351034" w:history="1">
        <w:r w:rsidRPr="00E54599">
          <w:rPr>
            <w:rStyle w:val="Hyperlink"/>
            <w:noProof/>
          </w:rPr>
          <w:t>Table 59: Weighted median duration of subsequent treatment | FAS</w:t>
        </w:r>
        <w:r>
          <w:rPr>
            <w:noProof/>
            <w:webHidden/>
          </w:rPr>
          <w:tab/>
        </w:r>
        <w:r>
          <w:rPr>
            <w:noProof/>
            <w:webHidden/>
          </w:rPr>
          <w:fldChar w:fldCharType="begin"/>
        </w:r>
        <w:r>
          <w:rPr>
            <w:noProof/>
            <w:webHidden/>
          </w:rPr>
          <w:instrText xml:space="preserve"> PAGEREF _Toc129351034 \h </w:instrText>
        </w:r>
        <w:r>
          <w:rPr>
            <w:noProof/>
            <w:webHidden/>
          </w:rPr>
        </w:r>
        <w:r>
          <w:rPr>
            <w:noProof/>
            <w:webHidden/>
          </w:rPr>
          <w:fldChar w:fldCharType="separate"/>
        </w:r>
        <w:r>
          <w:rPr>
            <w:noProof/>
            <w:webHidden/>
          </w:rPr>
          <w:t>156</w:t>
        </w:r>
        <w:r>
          <w:rPr>
            <w:noProof/>
            <w:webHidden/>
          </w:rPr>
          <w:fldChar w:fldCharType="end"/>
        </w:r>
      </w:hyperlink>
    </w:p>
    <w:p w14:paraId="48BA7450" w14:textId="5A626862" w:rsidR="00145F42" w:rsidRDefault="00145F42">
      <w:pPr>
        <w:pStyle w:val="TableofFigures"/>
        <w:tabs>
          <w:tab w:val="right" w:leader="dot" w:pos="9628"/>
        </w:tabs>
        <w:rPr>
          <w:rFonts w:asciiTheme="minorHAnsi" w:eastAsiaTheme="minorEastAsia" w:hAnsiTheme="minorHAnsi"/>
          <w:noProof/>
          <w:lang w:eastAsia="en-GB"/>
        </w:rPr>
      </w:pPr>
      <w:hyperlink w:anchor="_Toc129351035" w:history="1">
        <w:r w:rsidRPr="00E54599">
          <w:rPr>
            <w:rStyle w:val="Hyperlink"/>
            <w:noProof/>
          </w:rPr>
          <w:t>Table 60: Subsequent therapy costs</w:t>
        </w:r>
        <w:r>
          <w:rPr>
            <w:noProof/>
            <w:webHidden/>
          </w:rPr>
          <w:tab/>
        </w:r>
        <w:r>
          <w:rPr>
            <w:noProof/>
            <w:webHidden/>
          </w:rPr>
          <w:fldChar w:fldCharType="begin"/>
        </w:r>
        <w:r>
          <w:rPr>
            <w:noProof/>
            <w:webHidden/>
          </w:rPr>
          <w:instrText xml:space="preserve"> PAGEREF _Toc129351035 \h </w:instrText>
        </w:r>
        <w:r>
          <w:rPr>
            <w:noProof/>
            <w:webHidden/>
          </w:rPr>
        </w:r>
        <w:r>
          <w:rPr>
            <w:noProof/>
            <w:webHidden/>
          </w:rPr>
          <w:fldChar w:fldCharType="separate"/>
        </w:r>
        <w:r>
          <w:rPr>
            <w:noProof/>
            <w:webHidden/>
          </w:rPr>
          <w:t>157</w:t>
        </w:r>
        <w:r>
          <w:rPr>
            <w:noProof/>
            <w:webHidden/>
          </w:rPr>
          <w:fldChar w:fldCharType="end"/>
        </w:r>
      </w:hyperlink>
    </w:p>
    <w:p w14:paraId="340CFDC0" w14:textId="671FF614" w:rsidR="00145F42" w:rsidRDefault="00145F42">
      <w:pPr>
        <w:pStyle w:val="TableofFigures"/>
        <w:tabs>
          <w:tab w:val="right" w:leader="dot" w:pos="9628"/>
        </w:tabs>
        <w:rPr>
          <w:rFonts w:asciiTheme="minorHAnsi" w:eastAsiaTheme="minorEastAsia" w:hAnsiTheme="minorHAnsi"/>
          <w:noProof/>
          <w:lang w:eastAsia="en-GB"/>
        </w:rPr>
      </w:pPr>
      <w:hyperlink w:anchor="_Toc129351036" w:history="1">
        <w:r w:rsidRPr="00E54599">
          <w:rPr>
            <w:rStyle w:val="Hyperlink"/>
            <w:noProof/>
          </w:rPr>
          <w:t>Table 61: Total subsequent therapy costs applied in the model</w:t>
        </w:r>
        <w:r>
          <w:rPr>
            <w:noProof/>
            <w:webHidden/>
          </w:rPr>
          <w:tab/>
        </w:r>
        <w:r>
          <w:rPr>
            <w:noProof/>
            <w:webHidden/>
          </w:rPr>
          <w:fldChar w:fldCharType="begin"/>
        </w:r>
        <w:r>
          <w:rPr>
            <w:noProof/>
            <w:webHidden/>
          </w:rPr>
          <w:instrText xml:space="preserve"> PAGEREF _Toc129351036 \h </w:instrText>
        </w:r>
        <w:r>
          <w:rPr>
            <w:noProof/>
            <w:webHidden/>
          </w:rPr>
        </w:r>
        <w:r>
          <w:rPr>
            <w:noProof/>
            <w:webHidden/>
          </w:rPr>
          <w:fldChar w:fldCharType="separate"/>
        </w:r>
        <w:r>
          <w:rPr>
            <w:noProof/>
            <w:webHidden/>
          </w:rPr>
          <w:t>158</w:t>
        </w:r>
        <w:r>
          <w:rPr>
            <w:noProof/>
            <w:webHidden/>
          </w:rPr>
          <w:fldChar w:fldCharType="end"/>
        </w:r>
      </w:hyperlink>
    </w:p>
    <w:p w14:paraId="716F7CAC" w14:textId="02529F75" w:rsidR="00145F42" w:rsidRDefault="00145F42">
      <w:pPr>
        <w:pStyle w:val="TableofFigures"/>
        <w:tabs>
          <w:tab w:val="right" w:leader="dot" w:pos="9628"/>
        </w:tabs>
        <w:rPr>
          <w:rFonts w:asciiTheme="minorHAnsi" w:eastAsiaTheme="minorEastAsia" w:hAnsiTheme="minorHAnsi"/>
          <w:noProof/>
          <w:lang w:eastAsia="en-GB"/>
        </w:rPr>
      </w:pPr>
      <w:hyperlink w:anchor="_Toc129351037" w:history="1">
        <w:r w:rsidRPr="00E54599">
          <w:rPr>
            <w:rStyle w:val="Hyperlink"/>
            <w:noProof/>
          </w:rPr>
          <w:t>Table 62: QALY weights referenced within the new NICE manual</w:t>
        </w:r>
        <w:r>
          <w:rPr>
            <w:noProof/>
            <w:webHidden/>
          </w:rPr>
          <w:tab/>
        </w:r>
        <w:r>
          <w:rPr>
            <w:noProof/>
            <w:webHidden/>
          </w:rPr>
          <w:fldChar w:fldCharType="begin"/>
        </w:r>
        <w:r>
          <w:rPr>
            <w:noProof/>
            <w:webHidden/>
          </w:rPr>
          <w:instrText xml:space="preserve"> PAGEREF _Toc129351037 \h </w:instrText>
        </w:r>
        <w:r>
          <w:rPr>
            <w:noProof/>
            <w:webHidden/>
          </w:rPr>
        </w:r>
        <w:r>
          <w:rPr>
            <w:noProof/>
            <w:webHidden/>
          </w:rPr>
          <w:fldChar w:fldCharType="separate"/>
        </w:r>
        <w:r>
          <w:rPr>
            <w:noProof/>
            <w:webHidden/>
          </w:rPr>
          <w:t>159</w:t>
        </w:r>
        <w:r>
          <w:rPr>
            <w:noProof/>
            <w:webHidden/>
          </w:rPr>
          <w:fldChar w:fldCharType="end"/>
        </w:r>
      </w:hyperlink>
    </w:p>
    <w:p w14:paraId="5D0ECF17" w14:textId="4E889DC8" w:rsidR="00145F42" w:rsidRDefault="00145F42">
      <w:pPr>
        <w:pStyle w:val="TableofFigures"/>
        <w:tabs>
          <w:tab w:val="right" w:leader="dot" w:pos="9628"/>
        </w:tabs>
        <w:rPr>
          <w:rFonts w:asciiTheme="minorHAnsi" w:eastAsiaTheme="minorEastAsia" w:hAnsiTheme="minorHAnsi"/>
          <w:noProof/>
          <w:lang w:eastAsia="en-GB"/>
        </w:rPr>
      </w:pPr>
      <w:hyperlink w:anchor="_Toc129351038" w:history="1">
        <w:r w:rsidRPr="00E54599">
          <w:rPr>
            <w:rStyle w:val="Hyperlink"/>
            <w:noProof/>
          </w:rPr>
          <w:t>Table 63: Summary features of QALY shortfall analysis | FAS population</w:t>
        </w:r>
        <w:r>
          <w:rPr>
            <w:noProof/>
            <w:webHidden/>
          </w:rPr>
          <w:tab/>
        </w:r>
        <w:r>
          <w:rPr>
            <w:noProof/>
            <w:webHidden/>
          </w:rPr>
          <w:fldChar w:fldCharType="begin"/>
        </w:r>
        <w:r>
          <w:rPr>
            <w:noProof/>
            <w:webHidden/>
          </w:rPr>
          <w:instrText xml:space="preserve"> PAGEREF _Toc129351038 \h </w:instrText>
        </w:r>
        <w:r>
          <w:rPr>
            <w:noProof/>
            <w:webHidden/>
          </w:rPr>
        </w:r>
        <w:r>
          <w:rPr>
            <w:noProof/>
            <w:webHidden/>
          </w:rPr>
          <w:fldChar w:fldCharType="separate"/>
        </w:r>
        <w:r>
          <w:rPr>
            <w:noProof/>
            <w:webHidden/>
          </w:rPr>
          <w:t>160</w:t>
        </w:r>
        <w:r>
          <w:rPr>
            <w:noProof/>
            <w:webHidden/>
          </w:rPr>
          <w:fldChar w:fldCharType="end"/>
        </w:r>
      </w:hyperlink>
    </w:p>
    <w:p w14:paraId="1C2B81E5" w14:textId="63EBD3EC" w:rsidR="00145F42" w:rsidRDefault="00145F42">
      <w:pPr>
        <w:pStyle w:val="TableofFigures"/>
        <w:tabs>
          <w:tab w:val="right" w:leader="dot" w:pos="9628"/>
        </w:tabs>
        <w:rPr>
          <w:rFonts w:asciiTheme="minorHAnsi" w:eastAsiaTheme="minorEastAsia" w:hAnsiTheme="minorHAnsi"/>
          <w:noProof/>
          <w:lang w:eastAsia="en-GB"/>
        </w:rPr>
      </w:pPr>
      <w:hyperlink w:anchor="_Toc129351039" w:history="1">
        <w:r w:rsidRPr="00E54599">
          <w:rPr>
            <w:rStyle w:val="Hyperlink"/>
            <w:noProof/>
          </w:rPr>
          <w:t>Table 64: Results of the QALY shortfall analysis | FAS population</w:t>
        </w:r>
        <w:r>
          <w:rPr>
            <w:noProof/>
            <w:webHidden/>
          </w:rPr>
          <w:tab/>
        </w:r>
        <w:r>
          <w:rPr>
            <w:noProof/>
            <w:webHidden/>
          </w:rPr>
          <w:fldChar w:fldCharType="begin"/>
        </w:r>
        <w:r>
          <w:rPr>
            <w:noProof/>
            <w:webHidden/>
          </w:rPr>
          <w:instrText xml:space="preserve"> PAGEREF _Toc129351039 \h </w:instrText>
        </w:r>
        <w:r>
          <w:rPr>
            <w:noProof/>
            <w:webHidden/>
          </w:rPr>
        </w:r>
        <w:r>
          <w:rPr>
            <w:noProof/>
            <w:webHidden/>
          </w:rPr>
          <w:fldChar w:fldCharType="separate"/>
        </w:r>
        <w:r>
          <w:rPr>
            <w:noProof/>
            <w:webHidden/>
          </w:rPr>
          <w:t>160</w:t>
        </w:r>
        <w:r>
          <w:rPr>
            <w:noProof/>
            <w:webHidden/>
          </w:rPr>
          <w:fldChar w:fldCharType="end"/>
        </w:r>
      </w:hyperlink>
    </w:p>
    <w:p w14:paraId="4C22EE2E" w14:textId="53DBA6AD" w:rsidR="00145F42" w:rsidRDefault="00145F42">
      <w:pPr>
        <w:pStyle w:val="TableofFigures"/>
        <w:tabs>
          <w:tab w:val="right" w:leader="dot" w:pos="9628"/>
        </w:tabs>
        <w:rPr>
          <w:rFonts w:asciiTheme="minorHAnsi" w:eastAsiaTheme="minorEastAsia" w:hAnsiTheme="minorHAnsi"/>
          <w:noProof/>
          <w:lang w:eastAsia="en-GB"/>
        </w:rPr>
      </w:pPr>
      <w:hyperlink w:anchor="_Toc129351040" w:history="1">
        <w:r w:rsidRPr="00E54599">
          <w:rPr>
            <w:rStyle w:val="Hyperlink"/>
            <w:noProof/>
          </w:rPr>
          <w:t>Table 65: Summary of variables applied and tested in economic model</w:t>
        </w:r>
        <w:r>
          <w:rPr>
            <w:noProof/>
            <w:webHidden/>
          </w:rPr>
          <w:tab/>
        </w:r>
        <w:r>
          <w:rPr>
            <w:noProof/>
            <w:webHidden/>
          </w:rPr>
          <w:fldChar w:fldCharType="begin"/>
        </w:r>
        <w:r>
          <w:rPr>
            <w:noProof/>
            <w:webHidden/>
          </w:rPr>
          <w:instrText xml:space="preserve"> PAGEREF _Toc129351040 \h </w:instrText>
        </w:r>
        <w:r>
          <w:rPr>
            <w:noProof/>
            <w:webHidden/>
          </w:rPr>
        </w:r>
        <w:r>
          <w:rPr>
            <w:noProof/>
            <w:webHidden/>
          </w:rPr>
          <w:fldChar w:fldCharType="separate"/>
        </w:r>
        <w:r>
          <w:rPr>
            <w:noProof/>
            <w:webHidden/>
          </w:rPr>
          <w:t>162</w:t>
        </w:r>
        <w:r>
          <w:rPr>
            <w:noProof/>
            <w:webHidden/>
          </w:rPr>
          <w:fldChar w:fldCharType="end"/>
        </w:r>
      </w:hyperlink>
    </w:p>
    <w:p w14:paraId="73183931" w14:textId="370A24E6" w:rsidR="00145F42" w:rsidRDefault="00145F42">
      <w:pPr>
        <w:pStyle w:val="TableofFigures"/>
        <w:tabs>
          <w:tab w:val="right" w:leader="dot" w:pos="9628"/>
        </w:tabs>
        <w:rPr>
          <w:rFonts w:asciiTheme="minorHAnsi" w:eastAsiaTheme="minorEastAsia" w:hAnsiTheme="minorHAnsi"/>
          <w:noProof/>
          <w:lang w:eastAsia="en-GB"/>
        </w:rPr>
      </w:pPr>
      <w:hyperlink w:anchor="_Toc129351041" w:history="1">
        <w:r w:rsidRPr="00E54599">
          <w:rPr>
            <w:rStyle w:val="Hyperlink"/>
            <w:noProof/>
          </w:rPr>
          <w:t>Table 66: Summary of base case variables applied in the economic model</w:t>
        </w:r>
        <w:r>
          <w:rPr>
            <w:noProof/>
            <w:webHidden/>
          </w:rPr>
          <w:tab/>
        </w:r>
        <w:r>
          <w:rPr>
            <w:noProof/>
            <w:webHidden/>
          </w:rPr>
          <w:fldChar w:fldCharType="begin"/>
        </w:r>
        <w:r>
          <w:rPr>
            <w:noProof/>
            <w:webHidden/>
          </w:rPr>
          <w:instrText xml:space="preserve"> PAGEREF _Toc129351041 \h </w:instrText>
        </w:r>
        <w:r>
          <w:rPr>
            <w:noProof/>
            <w:webHidden/>
          </w:rPr>
        </w:r>
        <w:r>
          <w:rPr>
            <w:noProof/>
            <w:webHidden/>
          </w:rPr>
          <w:fldChar w:fldCharType="separate"/>
        </w:r>
        <w:r>
          <w:rPr>
            <w:noProof/>
            <w:webHidden/>
          </w:rPr>
          <w:t>163</w:t>
        </w:r>
        <w:r>
          <w:rPr>
            <w:noProof/>
            <w:webHidden/>
          </w:rPr>
          <w:fldChar w:fldCharType="end"/>
        </w:r>
      </w:hyperlink>
    </w:p>
    <w:p w14:paraId="03570EE1" w14:textId="1B661E45" w:rsidR="00145F42" w:rsidRDefault="00145F42">
      <w:pPr>
        <w:pStyle w:val="TableofFigures"/>
        <w:tabs>
          <w:tab w:val="right" w:leader="dot" w:pos="9628"/>
        </w:tabs>
        <w:rPr>
          <w:rFonts w:asciiTheme="minorHAnsi" w:eastAsiaTheme="minorEastAsia" w:hAnsiTheme="minorHAnsi"/>
          <w:noProof/>
          <w:lang w:eastAsia="en-GB"/>
        </w:rPr>
      </w:pPr>
      <w:hyperlink w:anchor="_Toc129351042" w:history="1">
        <w:r w:rsidRPr="00E54599">
          <w:rPr>
            <w:rStyle w:val="Hyperlink"/>
            <w:noProof/>
          </w:rPr>
          <w:t>Table 67: Summary of key model assumptions</w:t>
        </w:r>
        <w:r>
          <w:rPr>
            <w:noProof/>
            <w:webHidden/>
          </w:rPr>
          <w:tab/>
        </w:r>
        <w:r>
          <w:rPr>
            <w:noProof/>
            <w:webHidden/>
          </w:rPr>
          <w:fldChar w:fldCharType="begin"/>
        </w:r>
        <w:r>
          <w:rPr>
            <w:noProof/>
            <w:webHidden/>
          </w:rPr>
          <w:instrText xml:space="preserve"> PAGEREF _Toc129351042 \h </w:instrText>
        </w:r>
        <w:r>
          <w:rPr>
            <w:noProof/>
            <w:webHidden/>
          </w:rPr>
        </w:r>
        <w:r>
          <w:rPr>
            <w:noProof/>
            <w:webHidden/>
          </w:rPr>
          <w:fldChar w:fldCharType="separate"/>
        </w:r>
        <w:r>
          <w:rPr>
            <w:noProof/>
            <w:webHidden/>
          </w:rPr>
          <w:t>166</w:t>
        </w:r>
        <w:r>
          <w:rPr>
            <w:noProof/>
            <w:webHidden/>
          </w:rPr>
          <w:fldChar w:fldCharType="end"/>
        </w:r>
      </w:hyperlink>
    </w:p>
    <w:p w14:paraId="3DE28DCD" w14:textId="2344A86F" w:rsidR="00145F42" w:rsidRDefault="00145F42">
      <w:pPr>
        <w:pStyle w:val="TableofFigures"/>
        <w:tabs>
          <w:tab w:val="right" w:leader="dot" w:pos="9628"/>
        </w:tabs>
        <w:rPr>
          <w:rFonts w:asciiTheme="minorHAnsi" w:eastAsiaTheme="minorEastAsia" w:hAnsiTheme="minorHAnsi"/>
          <w:noProof/>
          <w:lang w:eastAsia="en-GB"/>
        </w:rPr>
      </w:pPr>
      <w:hyperlink w:anchor="_Toc129351043" w:history="1">
        <w:r w:rsidRPr="00E54599">
          <w:rPr>
            <w:rStyle w:val="Hyperlink"/>
            <w:noProof/>
          </w:rPr>
          <w:t>Table 68: Base case deterministic results in the FAS population (T-DXd PAS price; no severity modifier)</w:t>
        </w:r>
        <w:r>
          <w:rPr>
            <w:noProof/>
            <w:webHidden/>
          </w:rPr>
          <w:tab/>
        </w:r>
        <w:r>
          <w:rPr>
            <w:noProof/>
            <w:webHidden/>
          </w:rPr>
          <w:fldChar w:fldCharType="begin"/>
        </w:r>
        <w:r>
          <w:rPr>
            <w:noProof/>
            <w:webHidden/>
          </w:rPr>
          <w:instrText xml:space="preserve"> PAGEREF _Toc129351043 \h </w:instrText>
        </w:r>
        <w:r>
          <w:rPr>
            <w:noProof/>
            <w:webHidden/>
          </w:rPr>
        </w:r>
        <w:r>
          <w:rPr>
            <w:noProof/>
            <w:webHidden/>
          </w:rPr>
          <w:fldChar w:fldCharType="separate"/>
        </w:r>
        <w:r>
          <w:rPr>
            <w:noProof/>
            <w:webHidden/>
          </w:rPr>
          <w:t>169</w:t>
        </w:r>
        <w:r>
          <w:rPr>
            <w:noProof/>
            <w:webHidden/>
          </w:rPr>
          <w:fldChar w:fldCharType="end"/>
        </w:r>
      </w:hyperlink>
    </w:p>
    <w:p w14:paraId="3766D6ED" w14:textId="611053E7" w:rsidR="00145F42" w:rsidRDefault="00145F42">
      <w:pPr>
        <w:pStyle w:val="TableofFigures"/>
        <w:tabs>
          <w:tab w:val="right" w:leader="dot" w:pos="9628"/>
        </w:tabs>
        <w:rPr>
          <w:rFonts w:asciiTheme="minorHAnsi" w:eastAsiaTheme="minorEastAsia" w:hAnsiTheme="minorHAnsi"/>
          <w:noProof/>
          <w:lang w:eastAsia="en-GB"/>
        </w:rPr>
      </w:pPr>
      <w:hyperlink w:anchor="_Toc129351044" w:history="1">
        <w:r w:rsidRPr="00E54599">
          <w:rPr>
            <w:rStyle w:val="Hyperlink"/>
            <w:noProof/>
          </w:rPr>
          <w:t>Table 69: Net health benefit (at the PAS price, no severity modifier)</w:t>
        </w:r>
        <w:r>
          <w:rPr>
            <w:noProof/>
            <w:webHidden/>
          </w:rPr>
          <w:tab/>
        </w:r>
        <w:r>
          <w:rPr>
            <w:noProof/>
            <w:webHidden/>
          </w:rPr>
          <w:fldChar w:fldCharType="begin"/>
        </w:r>
        <w:r>
          <w:rPr>
            <w:noProof/>
            <w:webHidden/>
          </w:rPr>
          <w:instrText xml:space="preserve"> PAGEREF _Toc129351044 \h </w:instrText>
        </w:r>
        <w:r>
          <w:rPr>
            <w:noProof/>
            <w:webHidden/>
          </w:rPr>
        </w:r>
        <w:r>
          <w:rPr>
            <w:noProof/>
            <w:webHidden/>
          </w:rPr>
          <w:fldChar w:fldCharType="separate"/>
        </w:r>
        <w:r>
          <w:rPr>
            <w:noProof/>
            <w:webHidden/>
          </w:rPr>
          <w:t>170</w:t>
        </w:r>
        <w:r>
          <w:rPr>
            <w:noProof/>
            <w:webHidden/>
          </w:rPr>
          <w:fldChar w:fldCharType="end"/>
        </w:r>
      </w:hyperlink>
    </w:p>
    <w:p w14:paraId="7F5019AF" w14:textId="77B5A878" w:rsidR="00145F42" w:rsidRPr="00430942" w:rsidRDefault="00145F42">
      <w:pPr>
        <w:pStyle w:val="TableofFigures"/>
        <w:tabs>
          <w:tab w:val="right" w:leader="dot" w:pos="9628"/>
        </w:tabs>
        <w:rPr>
          <w:rFonts w:asciiTheme="minorHAnsi" w:eastAsiaTheme="minorEastAsia" w:hAnsiTheme="minorHAnsi"/>
          <w:noProof/>
          <w:lang w:eastAsia="en-GB"/>
        </w:rPr>
      </w:pPr>
      <w:hyperlink w:anchor="_Toc129351045" w:history="1">
        <w:r w:rsidRPr="00430942">
          <w:rPr>
            <w:rStyle w:val="Hyperlink"/>
            <w:noProof/>
          </w:rPr>
          <w:t>Table 70: Mean PSA results (at the PAS price, no severity modifier applied)*</w:t>
        </w:r>
        <w:r w:rsidRPr="00430942">
          <w:rPr>
            <w:noProof/>
            <w:webHidden/>
          </w:rPr>
          <w:tab/>
        </w:r>
        <w:r w:rsidRPr="00430942">
          <w:rPr>
            <w:noProof/>
            <w:webHidden/>
          </w:rPr>
          <w:fldChar w:fldCharType="begin"/>
        </w:r>
        <w:r w:rsidRPr="00430942">
          <w:rPr>
            <w:noProof/>
            <w:webHidden/>
          </w:rPr>
          <w:instrText xml:space="preserve"> PAGEREF _Toc129351045 \h </w:instrText>
        </w:r>
        <w:r w:rsidRPr="00430942">
          <w:rPr>
            <w:noProof/>
            <w:webHidden/>
          </w:rPr>
        </w:r>
        <w:r w:rsidRPr="00430942">
          <w:rPr>
            <w:noProof/>
            <w:webHidden/>
          </w:rPr>
          <w:fldChar w:fldCharType="separate"/>
        </w:r>
        <w:r w:rsidRPr="00430942">
          <w:rPr>
            <w:noProof/>
            <w:webHidden/>
          </w:rPr>
          <w:t>171</w:t>
        </w:r>
        <w:r w:rsidRPr="00430942">
          <w:rPr>
            <w:noProof/>
            <w:webHidden/>
          </w:rPr>
          <w:fldChar w:fldCharType="end"/>
        </w:r>
      </w:hyperlink>
    </w:p>
    <w:p w14:paraId="3EF65BBD" w14:textId="6166B72F" w:rsidR="00145F42" w:rsidRPr="00430942" w:rsidRDefault="00145F42">
      <w:pPr>
        <w:pStyle w:val="TableofFigures"/>
        <w:tabs>
          <w:tab w:val="right" w:leader="dot" w:pos="9628"/>
        </w:tabs>
        <w:rPr>
          <w:rFonts w:asciiTheme="minorHAnsi" w:eastAsiaTheme="minorEastAsia" w:hAnsiTheme="minorHAnsi"/>
          <w:noProof/>
          <w:lang w:eastAsia="en-GB"/>
        </w:rPr>
      </w:pPr>
      <w:hyperlink w:anchor="_Toc129351046" w:history="1">
        <w:r w:rsidRPr="00430942">
          <w:rPr>
            <w:rStyle w:val="Hyperlink"/>
            <w:noProof/>
          </w:rPr>
          <w:t>Table 71: OWSA results (T-DXd [at the PAS price] vs. TPC, no severity modifier applied)*</w:t>
        </w:r>
        <w:r w:rsidRPr="00430942">
          <w:rPr>
            <w:noProof/>
            <w:webHidden/>
          </w:rPr>
          <w:tab/>
        </w:r>
        <w:r w:rsidRPr="00430942">
          <w:rPr>
            <w:noProof/>
            <w:webHidden/>
          </w:rPr>
          <w:fldChar w:fldCharType="begin"/>
        </w:r>
        <w:r w:rsidRPr="00430942">
          <w:rPr>
            <w:noProof/>
            <w:webHidden/>
          </w:rPr>
          <w:instrText xml:space="preserve"> PAGEREF _Toc129351046 \h </w:instrText>
        </w:r>
        <w:r w:rsidRPr="00430942">
          <w:rPr>
            <w:noProof/>
            <w:webHidden/>
          </w:rPr>
        </w:r>
        <w:r w:rsidRPr="00430942">
          <w:rPr>
            <w:noProof/>
            <w:webHidden/>
          </w:rPr>
          <w:fldChar w:fldCharType="separate"/>
        </w:r>
        <w:r w:rsidRPr="00430942">
          <w:rPr>
            <w:noProof/>
            <w:webHidden/>
          </w:rPr>
          <w:t>173</w:t>
        </w:r>
        <w:r w:rsidRPr="00430942">
          <w:rPr>
            <w:noProof/>
            <w:webHidden/>
          </w:rPr>
          <w:fldChar w:fldCharType="end"/>
        </w:r>
      </w:hyperlink>
    </w:p>
    <w:p w14:paraId="0C2A4398" w14:textId="603C60FD" w:rsidR="00145F42" w:rsidRPr="00430942" w:rsidRDefault="00145F42">
      <w:pPr>
        <w:pStyle w:val="TableofFigures"/>
        <w:tabs>
          <w:tab w:val="right" w:leader="dot" w:pos="9628"/>
        </w:tabs>
        <w:rPr>
          <w:rFonts w:asciiTheme="minorHAnsi" w:eastAsiaTheme="minorEastAsia" w:hAnsiTheme="minorHAnsi"/>
          <w:noProof/>
          <w:lang w:eastAsia="en-GB"/>
        </w:rPr>
      </w:pPr>
      <w:hyperlink w:anchor="_Toc129351047" w:history="1">
        <w:r w:rsidRPr="00430942">
          <w:rPr>
            <w:rStyle w:val="Hyperlink"/>
            <w:noProof/>
          </w:rPr>
          <w:t>Table 72: Scenario analysis (probabilistic results –  T-DXd [at the PAS price] vs. TPC, no severity modifier applied)</w:t>
        </w:r>
        <w:r w:rsidRPr="00430942">
          <w:rPr>
            <w:noProof/>
            <w:webHidden/>
          </w:rPr>
          <w:tab/>
        </w:r>
        <w:r w:rsidRPr="00430942">
          <w:rPr>
            <w:noProof/>
            <w:webHidden/>
          </w:rPr>
          <w:fldChar w:fldCharType="begin"/>
        </w:r>
        <w:r w:rsidRPr="00430942">
          <w:rPr>
            <w:noProof/>
            <w:webHidden/>
          </w:rPr>
          <w:instrText xml:space="preserve"> PAGEREF _Toc129351047 \h </w:instrText>
        </w:r>
        <w:r w:rsidRPr="00430942">
          <w:rPr>
            <w:noProof/>
            <w:webHidden/>
          </w:rPr>
        </w:r>
        <w:r w:rsidRPr="00430942">
          <w:rPr>
            <w:noProof/>
            <w:webHidden/>
          </w:rPr>
          <w:fldChar w:fldCharType="separate"/>
        </w:r>
        <w:r w:rsidRPr="00430942">
          <w:rPr>
            <w:noProof/>
            <w:webHidden/>
          </w:rPr>
          <w:t>174</w:t>
        </w:r>
        <w:r w:rsidRPr="00430942">
          <w:rPr>
            <w:noProof/>
            <w:webHidden/>
          </w:rPr>
          <w:fldChar w:fldCharType="end"/>
        </w:r>
      </w:hyperlink>
    </w:p>
    <w:p w14:paraId="4C6FE134" w14:textId="79A13A76" w:rsidR="00145F42" w:rsidRPr="00430942" w:rsidRDefault="00145F42">
      <w:pPr>
        <w:pStyle w:val="TableofFigures"/>
        <w:tabs>
          <w:tab w:val="right" w:leader="dot" w:pos="9628"/>
        </w:tabs>
        <w:rPr>
          <w:rFonts w:asciiTheme="minorHAnsi" w:eastAsiaTheme="minorEastAsia" w:hAnsiTheme="minorHAnsi"/>
          <w:noProof/>
          <w:lang w:eastAsia="en-GB"/>
        </w:rPr>
      </w:pPr>
      <w:hyperlink w:anchor="_Toc129351048" w:history="1">
        <w:r w:rsidRPr="00430942">
          <w:rPr>
            <w:rStyle w:val="Hyperlink"/>
            <w:noProof/>
          </w:rPr>
          <w:t>Table 73: Internal and external validation for modelled OS and PFS | TPC</w:t>
        </w:r>
        <w:r w:rsidRPr="00430942">
          <w:rPr>
            <w:noProof/>
            <w:webHidden/>
          </w:rPr>
          <w:tab/>
        </w:r>
        <w:r w:rsidRPr="00430942">
          <w:rPr>
            <w:noProof/>
            <w:webHidden/>
          </w:rPr>
          <w:fldChar w:fldCharType="begin"/>
        </w:r>
        <w:r w:rsidRPr="00430942">
          <w:rPr>
            <w:noProof/>
            <w:webHidden/>
          </w:rPr>
          <w:instrText xml:space="preserve"> PAGEREF _Toc129351048 \h </w:instrText>
        </w:r>
        <w:r w:rsidRPr="00430942">
          <w:rPr>
            <w:noProof/>
            <w:webHidden/>
          </w:rPr>
        </w:r>
        <w:r w:rsidRPr="00430942">
          <w:rPr>
            <w:noProof/>
            <w:webHidden/>
          </w:rPr>
          <w:fldChar w:fldCharType="separate"/>
        </w:r>
        <w:r w:rsidRPr="00430942">
          <w:rPr>
            <w:noProof/>
            <w:webHidden/>
          </w:rPr>
          <w:t>178</w:t>
        </w:r>
        <w:r w:rsidRPr="00430942">
          <w:rPr>
            <w:noProof/>
            <w:webHidden/>
          </w:rPr>
          <w:fldChar w:fldCharType="end"/>
        </w:r>
      </w:hyperlink>
    </w:p>
    <w:p w14:paraId="5F7748D2" w14:textId="7B1F7090" w:rsidR="005B4DB2" w:rsidRDefault="00D84870" w:rsidP="00AF4273">
      <w:pPr>
        <w:pStyle w:val="NICEnormal"/>
      </w:pPr>
      <w:r>
        <w:fldChar w:fldCharType="end"/>
      </w:r>
      <w:r w:rsidR="005B4DB2">
        <w:br w:type="page"/>
      </w:r>
    </w:p>
    <w:p w14:paraId="6CF13059" w14:textId="7EAB4DEF" w:rsidR="005B4DB2" w:rsidRDefault="005B4DB2" w:rsidP="00A907C6">
      <w:pPr>
        <w:pStyle w:val="Heading1"/>
        <w:numPr>
          <w:ilvl w:val="0"/>
          <w:numId w:val="0"/>
        </w:numPr>
        <w:ind w:left="357" w:hanging="357"/>
      </w:pPr>
      <w:bookmarkStart w:id="0" w:name="_Toc129350841"/>
      <w:r>
        <w:lastRenderedPageBreak/>
        <w:t>Abbreviations</w:t>
      </w:r>
      <w:bookmarkEnd w:id="0"/>
    </w:p>
    <w:p w14:paraId="599FE682" w14:textId="77777777" w:rsidR="00693E91" w:rsidRPr="00F8420E" w:rsidRDefault="00693E91" w:rsidP="00693E91">
      <w:pPr>
        <w:spacing w:after="0" w:line="240" w:lineRule="auto"/>
        <w:rPr>
          <w:color w:val="262626" w:themeColor="text1" w:themeTint="D9"/>
          <w:lang w:val="en-US"/>
        </w:rPr>
      </w:pPr>
    </w:p>
    <w:p w14:paraId="665AE935" w14:textId="77777777" w:rsidR="00693E91" w:rsidRDefault="00693E91" w:rsidP="00693E91">
      <w:pPr>
        <w:spacing w:after="0" w:line="240" w:lineRule="auto"/>
        <w:rPr>
          <w:color w:val="262626" w:themeColor="text1" w:themeTint="D9"/>
          <w:lang w:val="en-US"/>
        </w:rPr>
        <w:sectPr w:rsidR="00693E91" w:rsidSect="00805123">
          <w:footnotePr>
            <w:numFmt w:val="lowerLetter"/>
          </w:footnotePr>
          <w:pgSz w:w="11906" w:h="16838"/>
          <w:pgMar w:top="1134" w:right="1134" w:bottom="1134" w:left="1134" w:header="709" w:footer="709" w:gutter="0"/>
          <w:cols w:space="708"/>
          <w:docGrid w:linePitch="360"/>
        </w:sectPr>
      </w:pPr>
    </w:p>
    <w:p w14:paraId="241B224F" w14:textId="77777777" w:rsidR="00693E91" w:rsidRDefault="00693E91" w:rsidP="00693E91">
      <w:pPr>
        <w:spacing w:after="0" w:line="240" w:lineRule="auto"/>
        <w:rPr>
          <w:color w:val="262626" w:themeColor="text1" w:themeTint="D9"/>
          <w:lang w:val="en-US"/>
        </w:rPr>
      </w:pPr>
    </w:p>
    <w:p w14:paraId="3FFFE826" w14:textId="77777777" w:rsidR="00693E91" w:rsidRDefault="00693E91" w:rsidP="00693E91">
      <w:pPr>
        <w:sectPr w:rsidR="00693E91" w:rsidSect="00805123">
          <w:footnotePr>
            <w:numFmt w:val="lowerLetter"/>
          </w:footnotePr>
          <w:type w:val="continuous"/>
          <w:pgSz w:w="11906" w:h="16838"/>
          <w:pgMar w:top="1134" w:right="1134" w:bottom="1134" w:left="1134" w:header="709" w:footer="709" w:gutter="0"/>
          <w:cols w:num="2" w:space="708"/>
          <w:docGrid w:linePitch="360"/>
        </w:sectPr>
      </w:pPr>
    </w:p>
    <w:p w14:paraId="6187DA3A" w14:textId="2647D253" w:rsidR="00F7181E" w:rsidRDefault="00F7181E" w:rsidP="00F7181E">
      <w:pPr>
        <w:pStyle w:val="Heading1"/>
      </w:pPr>
      <w:bookmarkStart w:id="1" w:name="_Ref99727373"/>
      <w:bookmarkStart w:id="2" w:name="_Toc129350842"/>
      <w:r>
        <w:lastRenderedPageBreak/>
        <w:t>Decision problem, description of the technology and clinical care pathway</w:t>
      </w:r>
      <w:bookmarkEnd w:id="1"/>
      <w:bookmarkEnd w:id="2"/>
    </w:p>
    <w:p w14:paraId="33CBDF4D" w14:textId="05355A10" w:rsidR="00F7181E" w:rsidRDefault="00F7181E" w:rsidP="00F7181E">
      <w:pPr>
        <w:pStyle w:val="Heading2"/>
      </w:pPr>
      <w:bookmarkStart w:id="3" w:name="_Ref126932847"/>
      <w:bookmarkStart w:id="4" w:name="_Ref126932874"/>
      <w:bookmarkStart w:id="5" w:name="_Ref126933043"/>
      <w:bookmarkStart w:id="6" w:name="_Ref126933084"/>
      <w:bookmarkStart w:id="7" w:name="_Toc129350843"/>
      <w:r>
        <w:t>Decision problem</w:t>
      </w:r>
      <w:bookmarkEnd w:id="3"/>
      <w:bookmarkEnd w:id="4"/>
      <w:bookmarkEnd w:id="5"/>
      <w:bookmarkEnd w:id="6"/>
      <w:bookmarkEnd w:id="7"/>
    </w:p>
    <w:p w14:paraId="283481B5" w14:textId="6BE7E551" w:rsidR="00A323FD" w:rsidRPr="002646F6" w:rsidRDefault="00184722" w:rsidP="004C2A9A">
      <w:pPr>
        <w:pStyle w:val="Body"/>
      </w:pPr>
      <w:r w:rsidRPr="002646F6">
        <w:t xml:space="preserve">This submission focuses on trastuzumab deruxtecan (T-DXd) as a treatment for unresectable or metastatic human epidermal growth factor receptor 2 (HER2)-low breast cancer (BC) after chemotherapy. </w:t>
      </w:r>
    </w:p>
    <w:p w14:paraId="68DA79FA" w14:textId="2F49D5FE" w:rsidR="006A29FD" w:rsidRPr="002646F6" w:rsidRDefault="00F728A1" w:rsidP="004C2A9A">
      <w:pPr>
        <w:pStyle w:val="Body"/>
      </w:pPr>
      <w:r w:rsidRPr="002646F6">
        <w:t>The submission covers the technology’s full marketing authorisation for this indication</w:t>
      </w:r>
      <w:r w:rsidR="00184722" w:rsidRPr="002646F6">
        <w:t xml:space="preserve"> </w:t>
      </w:r>
      <w:r w:rsidR="002D1549" w:rsidRPr="002646F6">
        <w:t>and</w:t>
      </w:r>
      <w:r w:rsidR="007B6613" w:rsidRPr="002646F6">
        <w:t xml:space="preserve"> is </w:t>
      </w:r>
      <w:r w:rsidR="0078021F" w:rsidRPr="002646F6">
        <w:t xml:space="preserve">consistent </w:t>
      </w:r>
      <w:r w:rsidR="007B6613" w:rsidRPr="002646F6">
        <w:t xml:space="preserve">with the </w:t>
      </w:r>
      <w:r w:rsidR="007C26F7" w:rsidRPr="002646F6">
        <w:t xml:space="preserve">final </w:t>
      </w:r>
      <w:r w:rsidR="007B6613" w:rsidRPr="002646F6">
        <w:t xml:space="preserve">scope </w:t>
      </w:r>
      <w:r w:rsidR="00B3425B" w:rsidRPr="002646F6">
        <w:t xml:space="preserve">issued </w:t>
      </w:r>
      <w:r w:rsidR="00C70AF1" w:rsidRPr="002646F6">
        <w:t>by the National Institute of Health and Care Excellence (NICE)</w:t>
      </w:r>
      <w:r w:rsidR="007C26F7" w:rsidRPr="002646F6">
        <w:t xml:space="preserve"> and the NICE reference </w:t>
      </w:r>
      <w:r w:rsidR="00756E90" w:rsidRPr="002646F6">
        <w:t>case</w:t>
      </w:r>
      <w:r w:rsidR="00B1780C" w:rsidRPr="002646F6">
        <w:t>.</w:t>
      </w:r>
      <w:r w:rsidR="00FD57F4">
        <w:fldChar w:fldCharType="begin"/>
      </w:r>
      <w:r w:rsidR="00CA6345">
        <w:instrText xml:space="preserve"> ADDIN ZOTERO_ITEM CSL_CITATION {"citationID":"qh4saM7D","properties":{"formattedCitation":"\\super 1,2\\nosupersub{}","plainCitation":"1,2","noteIndex":0},"citationItems":[{"id":66383,"uris":["http://zotero.org/groups/4797619/items/Y75R2AJY"],"itemData":{"id":66383,"type":"webpage","language":"eng","note":"publisher: NICE","title":"Final Scope. Trastuzumab deruxtecan for treating HER2-low unresectable or metastatic breast cancer after chemotherapy","URL":"https://www.nice.org.uk/guidance/gid-ta10813/documents/final-scope","author":[{"family":"NICE","given":""}],"accessed":{"date-parts":[["2022",11,29]]},"issued":{"date-parts":[["2023",1,6]]}}},{"id":65886,"uris":["http://zotero.org/groups/4797619/items/2LQNV7UR"],"itemData":{"id":65886,"type":"webpage","abstract":"This guide describes the methods and processes, including expected timescales, that NICE follows when carrying out health technology evaluations. The methods and processes are designed to produce robust guidance for the NHS in an open, transparent and timely way, with appropriate contribution from stakeholders. Organisations invited to contribute to health technology evaluation development should read this manual in conjunction with the NICE health technology evaluation topic selection: the manual. All documents are available on the NICE website.","language":"eng","note":"publisher: NICE","title":"NICE health technology evaluations: the manual","title-short":"NICE health technology evaluations","URL":"https://www.nice.org.uk/process/pmg36/chapter/introduction-to-health-technology-evaluation","author":[{"family":"NICE","given":""}],"accessed":{"date-parts":[["2022",10,19]]},"issued":{"date-parts":[["2022",1]]}}}],"schema":"https://github.com/citation-style-language/schema/raw/master/csl-citation.json"} </w:instrText>
      </w:r>
      <w:r w:rsidR="00FD57F4">
        <w:fldChar w:fldCharType="separate"/>
      </w:r>
      <w:r w:rsidR="00FD57F4" w:rsidRPr="00FD57F4">
        <w:rPr>
          <w:rFonts w:cs="Arial"/>
          <w:szCs w:val="24"/>
          <w:vertAlign w:val="superscript"/>
        </w:rPr>
        <w:t>1,2</w:t>
      </w:r>
      <w:r w:rsidR="00FD57F4">
        <w:fldChar w:fldCharType="end"/>
      </w:r>
      <w:r w:rsidR="004C2A9A" w:rsidRPr="002646F6">
        <w:t xml:space="preserve"> </w:t>
      </w:r>
    </w:p>
    <w:p w14:paraId="01462486" w14:textId="3BEB685D" w:rsidR="00031612" w:rsidRDefault="00A36A60" w:rsidP="00151591">
      <w:pPr>
        <w:pStyle w:val="Body"/>
      </w:pPr>
      <w:r>
        <w:t>T</w:t>
      </w:r>
      <w:r w:rsidR="004C2A9A">
        <w:t>he</w:t>
      </w:r>
      <w:r w:rsidR="0016789F">
        <w:t xml:space="preserve"> </w:t>
      </w:r>
      <w:r w:rsidR="00CE59A4">
        <w:t xml:space="preserve">European </w:t>
      </w:r>
      <w:r w:rsidR="00562DE0">
        <w:t>Medicines Agency</w:t>
      </w:r>
      <w:r w:rsidR="007F08AC">
        <w:t xml:space="preserve"> (EMA)</w:t>
      </w:r>
      <w:r w:rsidR="00CE59A4">
        <w:t xml:space="preserve"> </w:t>
      </w:r>
      <w:r w:rsidR="00184722">
        <w:t xml:space="preserve">marketing authorisation for T-DXd </w:t>
      </w:r>
      <w:r w:rsidR="006264B3">
        <w:t>(Enhertu</w:t>
      </w:r>
      <w:r w:rsidR="006264B3" w:rsidRPr="797502B6">
        <w:rPr>
          <w:rFonts w:cs="Arial"/>
          <w:vertAlign w:val="superscript"/>
        </w:rPr>
        <w:t>®</w:t>
      </w:r>
      <w:r w:rsidR="006264B3">
        <w:t xml:space="preserve">) </w:t>
      </w:r>
      <w:r w:rsidR="00324BF0">
        <w:t xml:space="preserve">in this indication </w:t>
      </w:r>
      <w:r w:rsidR="00184722">
        <w:t>is</w:t>
      </w:r>
      <w:r w:rsidR="00CE59A4">
        <w:t>:</w:t>
      </w:r>
      <w:r w:rsidR="00184722">
        <w:t xml:space="preserve"> </w:t>
      </w:r>
      <w:r w:rsidR="00CE59A4" w:rsidRPr="003C648C">
        <w:rPr>
          <w:i/>
          <w:iCs/>
        </w:rPr>
        <w:t>Enhertu</w:t>
      </w:r>
      <w:r w:rsidR="00184722" w:rsidRPr="003C648C">
        <w:rPr>
          <w:i/>
        </w:rPr>
        <w:t xml:space="preserve"> </w:t>
      </w:r>
      <w:r w:rsidR="008F7B32" w:rsidRPr="003C648C">
        <w:rPr>
          <w:i/>
        </w:rPr>
        <w:t>as monotherapy</w:t>
      </w:r>
      <w:r w:rsidR="008F7B32" w:rsidRPr="003C648C">
        <w:rPr>
          <w:i/>
          <w:iCs/>
        </w:rPr>
        <w:t xml:space="preserve"> </w:t>
      </w:r>
      <w:r w:rsidR="00CE59A4" w:rsidRPr="003C648C">
        <w:rPr>
          <w:i/>
          <w:iCs/>
        </w:rPr>
        <w:t>is indicated</w:t>
      </w:r>
      <w:r w:rsidR="008F7B32" w:rsidRPr="003C648C">
        <w:rPr>
          <w:i/>
        </w:rPr>
        <w:t xml:space="preserve"> for the treatment of adult patients with unresectable or metastatic HER2 low breast cancer who have received prior chemotherapy in the metastatic setting or developed disease recurrence during or within 6 months of completing adjuvant chemotherapy</w:t>
      </w:r>
      <w:r w:rsidR="006264B3" w:rsidRPr="003C648C">
        <w:rPr>
          <w:i/>
        </w:rPr>
        <w:t xml:space="preserve"> (see section 4.2)</w:t>
      </w:r>
      <w:r w:rsidR="006264B3" w:rsidRPr="003C648C">
        <w:rPr>
          <w:i/>
          <w:iCs/>
        </w:rPr>
        <w:t>.</w:t>
      </w:r>
      <w:r w:rsidR="00017705">
        <w:rPr>
          <w:i/>
          <w:iCs/>
        </w:rPr>
        <w:fldChar w:fldCharType="begin"/>
      </w:r>
      <w:r w:rsidR="00CA6345">
        <w:rPr>
          <w:i/>
          <w:iCs/>
        </w:rPr>
        <w:instrText xml:space="preserve"> ADDIN ZOTERO_ITEM CSL_CITATION {"citationID":"Rfw1symE","properties":{"formattedCitation":"\\super 3\\nosupersub{}","plainCitation":"3","noteIndex":0},"citationItems":[{"id":66851,"uris":["http://zotero.org/groups/4797619/items/EUUYPVTM"],"itemData":{"id":66851,"type":"document","title":"EMA Enhertu Summary of Product Characteristics (SmPC)","URL":"https://www.ema.europa.eu/en/documents/product-information/enhertu-epar-product-information_en.pdf","author":[{"family":"European Medicines Agency (EMA)","given":""}],"issued":{"date-parts":[["2023"]]}}}],"schema":"https://github.com/citation-style-language/schema/raw/master/csl-citation.json"} </w:instrText>
      </w:r>
      <w:r w:rsidR="00017705">
        <w:rPr>
          <w:i/>
          <w:iCs/>
        </w:rPr>
        <w:fldChar w:fldCharType="separate"/>
      </w:r>
      <w:r w:rsidR="00FD57F4" w:rsidRPr="00FD57F4">
        <w:rPr>
          <w:rFonts w:cs="Arial"/>
          <w:szCs w:val="24"/>
          <w:vertAlign w:val="superscript"/>
        </w:rPr>
        <w:t>3</w:t>
      </w:r>
      <w:r w:rsidR="00017705">
        <w:rPr>
          <w:i/>
          <w:iCs/>
        </w:rPr>
        <w:fldChar w:fldCharType="end"/>
      </w:r>
    </w:p>
    <w:p w14:paraId="1E4BC7C5" w14:textId="2FA5A432" w:rsidR="00F81750" w:rsidRPr="00F81750" w:rsidRDefault="00F81750" w:rsidP="00151591">
      <w:pPr>
        <w:pStyle w:val="Body"/>
        <w:rPr>
          <w:u w:val="single"/>
        </w:rPr>
      </w:pPr>
      <w:r>
        <w:t xml:space="preserve">The UK marketing authorisation </w:t>
      </w:r>
      <w:r w:rsidR="001145D8">
        <w:t xml:space="preserve">wording for this indication is </w:t>
      </w:r>
      <w:r w:rsidR="00F77ABC" w:rsidRPr="00F77ABC">
        <w:rPr>
          <w:color w:val="000000"/>
          <w:highlight w:val="black"/>
        </w:rPr>
        <w:t>xxxxxxxxxxxxxxxxxxxxxxxxxxxx</w:t>
      </w:r>
      <w:r w:rsidR="00430942">
        <w:rPr>
          <w:color w:val="000000"/>
          <w:highlight w:val="black"/>
        </w:rPr>
        <w:t xml:space="preserve"> </w:t>
      </w:r>
      <w:r w:rsidR="00F77ABC" w:rsidRPr="00F77ABC">
        <w:rPr>
          <w:color w:val="000000"/>
          <w:highlight w:val="black"/>
        </w:rPr>
        <w:t>xxxxxxxxxxxxxxxxxxxx</w:t>
      </w:r>
      <w:r w:rsidR="001145D8">
        <w:t>.</w:t>
      </w:r>
    </w:p>
    <w:p w14:paraId="6B6D9932" w14:textId="53D5B3E5" w:rsidR="00BA5729" w:rsidRPr="002646F6" w:rsidRDefault="00BA5729" w:rsidP="00BA5729">
      <w:pPr>
        <w:pStyle w:val="Body"/>
      </w:pPr>
      <w:r w:rsidRPr="002646F6">
        <w:t xml:space="preserve">T-DXd is currently recommended by NICE – via the Cancer Drugs Fund (CDF) – for treating HER2-positive unresectable or metastatic BC after 2 or more anti-HER2 therapies </w:t>
      </w:r>
      <w:r w:rsidR="000E648B">
        <w:t>(Technology Appraisal 704 [</w:t>
      </w:r>
      <w:r w:rsidRPr="002646F6">
        <w:t>TA704</w:t>
      </w:r>
      <w:r w:rsidR="000E648B">
        <w:t>])</w:t>
      </w:r>
      <w:r>
        <w:t>,</w:t>
      </w:r>
      <w:r w:rsidRPr="002646F6">
        <w:fldChar w:fldCharType="begin"/>
      </w:r>
      <w:r w:rsidR="00CA6345">
        <w:instrText xml:space="preserve"> ADDIN ZOTERO_ITEM CSL_CITATION {"citationID":"Lhav97R0","properties":{"formattedCitation":"\\super 4\\nosupersub{}","plainCitation":"4","noteIndex":0},"citationItems":[{"id":65878,"uris":["http://zotero.org/groups/4797619/items/ESRZZTT8"],"itemData":{"id":65878,"type":"webpage","abstract":"Evidence-based recommendations on trastuzumab deruxtecan (Enhertu) for treating HER2-positive unresectable or metastatic breast cancer in adults after 2 or more","language":"eng","note":"publisher: NICE","title":"Trastuzumab deruxtecan for treating HER2-positive unresectable or metastatic breast cancer after 2 or more anti-HER2 therapies | NICE [TA704]","URL":"https://www.nice.org.uk/guidance/ta704","author":[{"family":"NICE","given":""}],"accessed":{"date-parts":[["2022",9,29]]}}}],"schema":"https://github.com/citation-style-language/schema/raw/master/csl-citation.json"} </w:instrText>
      </w:r>
      <w:r w:rsidRPr="002646F6">
        <w:fldChar w:fldCharType="separate"/>
      </w:r>
      <w:r w:rsidR="00FD57F4" w:rsidRPr="00FD57F4">
        <w:rPr>
          <w:rFonts w:cs="Arial"/>
          <w:szCs w:val="24"/>
          <w:vertAlign w:val="superscript"/>
        </w:rPr>
        <w:t>4</w:t>
      </w:r>
      <w:r w:rsidRPr="002646F6">
        <w:fldChar w:fldCharType="end"/>
      </w:r>
      <w:r>
        <w:t xml:space="preserve"> and for </w:t>
      </w:r>
      <w:r w:rsidRPr="00813BEB">
        <w:t>treating HER2-positive unresectable or metastatic breast cancer after 1 or more anti-HER2 treatments</w:t>
      </w:r>
      <w:r>
        <w:t xml:space="preserve"> [TA862].</w:t>
      </w:r>
      <w:r>
        <w:fldChar w:fldCharType="begin"/>
      </w:r>
      <w:r w:rsidR="00CA6345">
        <w:instrText xml:space="preserve"> ADDIN ZOTERO_ITEM CSL_CITATION {"citationID":"j12oZq35","properties":{"formattedCitation":"\\super 5\\nosupersub{}","plainCitation":"5","noteIndex":0},"citationItems":[{"id":66214,"uris":["http://zotero.org/groups/4797619/items/H2PQC2GH"],"itemData":{"id":66214,"type":"webpage","abstract":"Trastuzumab deruxtecan for treating HER2-positive unresectable or metastatic breast cancer after trastuzumab and a taxane [TA862]","language":"eng","note":"publisher: NICE","title":"Trastuzumab deruxtecan for treating HER2-positive unresectable or metastatic breast cancer after 1 or more anti-HER2 therapies | NICE [TA862]","URL":"https://www.nice.org.uk/guidance/indevelopment/gid-ta10804/documents","author":[{"family":"NICE","given":""}],"accessed":{"date-parts":[["2023",2,5]]},"issued":{"date-parts":[["2023",2]]}}}],"schema":"https://github.com/citation-style-language/schema/raw/master/csl-citation.json"} </w:instrText>
      </w:r>
      <w:r>
        <w:fldChar w:fldCharType="separate"/>
      </w:r>
      <w:r w:rsidR="00FD57F4" w:rsidRPr="00FD57F4">
        <w:rPr>
          <w:rFonts w:cs="Arial"/>
          <w:szCs w:val="24"/>
          <w:vertAlign w:val="superscript"/>
        </w:rPr>
        <w:t>5</w:t>
      </w:r>
      <w:r>
        <w:fldChar w:fldCharType="end"/>
      </w:r>
      <w:r>
        <w:t xml:space="preserve"> </w:t>
      </w:r>
    </w:p>
    <w:p w14:paraId="697D0061" w14:textId="762186BF" w:rsidR="00151591" w:rsidRDefault="003305BB" w:rsidP="00151591">
      <w:pPr>
        <w:pStyle w:val="Body"/>
      </w:pPr>
      <w:r w:rsidRPr="00A206AC">
        <w:t>The</w:t>
      </w:r>
      <w:r w:rsidR="00AE6998" w:rsidRPr="00A206AC">
        <w:t xml:space="preserve"> decision problem </w:t>
      </w:r>
      <w:r w:rsidR="007740BA" w:rsidRPr="00A206AC">
        <w:t>for this appraisal</w:t>
      </w:r>
      <w:r w:rsidRPr="00A206AC">
        <w:t xml:space="preserve"> </w:t>
      </w:r>
      <w:r w:rsidR="00AE6998" w:rsidRPr="00A206AC">
        <w:t xml:space="preserve">is </w:t>
      </w:r>
      <w:r w:rsidRPr="00A206AC">
        <w:t>presented</w:t>
      </w:r>
      <w:r w:rsidR="00AE6998" w:rsidRPr="00A206AC">
        <w:t xml:space="preserve"> in </w:t>
      </w:r>
      <w:r w:rsidR="00AE6998" w:rsidRPr="00CF3FF8">
        <w:rPr>
          <w:b/>
          <w:bCs/>
        </w:rPr>
        <w:fldChar w:fldCharType="begin"/>
      </w:r>
      <w:r w:rsidR="00AE6998" w:rsidRPr="00CF3FF8">
        <w:rPr>
          <w:b/>
          <w:bCs/>
        </w:rPr>
        <w:instrText xml:space="preserve"> REF _Ref86329005 \h </w:instrText>
      </w:r>
      <w:r w:rsidR="006310D4" w:rsidRPr="00CF3FF8">
        <w:rPr>
          <w:b/>
          <w:bCs/>
        </w:rPr>
        <w:instrText xml:space="preserve"> \* MERGEFORMAT </w:instrText>
      </w:r>
      <w:r w:rsidR="00AE6998" w:rsidRPr="00CF3FF8">
        <w:rPr>
          <w:b/>
          <w:bCs/>
        </w:rPr>
      </w:r>
      <w:r w:rsidR="00AE6998" w:rsidRPr="00CF3FF8">
        <w:rPr>
          <w:b/>
          <w:bCs/>
        </w:rPr>
        <w:fldChar w:fldCharType="separate"/>
      </w:r>
      <w:r w:rsidR="00145F42" w:rsidRPr="00145F42">
        <w:rPr>
          <w:b/>
          <w:bCs/>
        </w:rPr>
        <w:t xml:space="preserve">Table </w:t>
      </w:r>
      <w:r w:rsidR="00145F42" w:rsidRPr="00145F42">
        <w:rPr>
          <w:b/>
          <w:bCs/>
          <w:noProof/>
        </w:rPr>
        <w:t>1</w:t>
      </w:r>
      <w:r w:rsidR="00AE6998" w:rsidRPr="00CF3FF8">
        <w:rPr>
          <w:b/>
          <w:bCs/>
        </w:rPr>
        <w:fldChar w:fldCharType="end"/>
      </w:r>
      <w:r w:rsidR="0005225C" w:rsidRPr="00A206AC">
        <w:t>.</w:t>
      </w:r>
    </w:p>
    <w:p w14:paraId="7FCA205A" w14:textId="77777777" w:rsidR="00026CF2" w:rsidRDefault="00026CF2" w:rsidP="00151591">
      <w:pPr>
        <w:pStyle w:val="Body"/>
      </w:pPr>
    </w:p>
    <w:p w14:paraId="2EAD6E4A" w14:textId="25FCF544" w:rsidR="000315C9" w:rsidRPr="000315C9" w:rsidRDefault="000315C9" w:rsidP="000315C9">
      <w:pPr>
        <w:tabs>
          <w:tab w:val="left" w:pos="3075"/>
        </w:tabs>
        <w:sectPr w:rsidR="000315C9" w:rsidRPr="000315C9">
          <w:footerReference w:type="default" r:id="rId11"/>
          <w:footnotePr>
            <w:numFmt w:val="lowerLetter"/>
          </w:footnotePr>
          <w:pgSz w:w="11906" w:h="16838"/>
          <w:pgMar w:top="1440" w:right="1440" w:bottom="1440" w:left="1440" w:header="708" w:footer="708" w:gutter="0"/>
          <w:cols w:space="708"/>
          <w:docGrid w:linePitch="360"/>
        </w:sectPr>
      </w:pPr>
    </w:p>
    <w:p w14:paraId="4E6CEAC4" w14:textId="05B865CC" w:rsidR="00F7181E" w:rsidRDefault="00F7181E" w:rsidP="00F7181E">
      <w:pPr>
        <w:pStyle w:val="Caption"/>
      </w:pPr>
      <w:bookmarkStart w:id="9" w:name="_Ref86329005"/>
      <w:bookmarkStart w:id="10" w:name="_Toc95826053"/>
      <w:bookmarkStart w:id="11" w:name="_Toc129350976"/>
      <w:r>
        <w:lastRenderedPageBreak/>
        <w:t xml:space="preserve">Table </w:t>
      </w:r>
      <w:r>
        <w:fldChar w:fldCharType="begin"/>
      </w:r>
      <w:r>
        <w:instrText>SEQ Table \* ARABIC</w:instrText>
      </w:r>
      <w:r>
        <w:fldChar w:fldCharType="separate"/>
      </w:r>
      <w:r w:rsidR="00145F42">
        <w:rPr>
          <w:noProof/>
        </w:rPr>
        <w:t>1</w:t>
      </w:r>
      <w:r>
        <w:fldChar w:fldCharType="end"/>
      </w:r>
      <w:bookmarkEnd w:id="9"/>
      <w:r>
        <w:t>: The decision problem</w:t>
      </w:r>
      <w:bookmarkEnd w:id="10"/>
      <w:bookmarkEnd w:id="11"/>
    </w:p>
    <w:tbl>
      <w:tblPr>
        <w:tblStyle w:val="Generaltable"/>
        <w:tblW w:w="5000" w:type="pct"/>
        <w:tblLook w:val="04A0" w:firstRow="1" w:lastRow="0" w:firstColumn="1" w:lastColumn="0" w:noHBand="0" w:noVBand="1"/>
      </w:tblPr>
      <w:tblGrid>
        <w:gridCol w:w="1594"/>
        <w:gridCol w:w="3787"/>
        <w:gridCol w:w="3685"/>
        <w:gridCol w:w="4882"/>
      </w:tblGrid>
      <w:tr w:rsidR="00593324" w14:paraId="01ED874D" w14:textId="77777777" w:rsidTr="00A819C7">
        <w:trPr>
          <w:cnfStyle w:val="100000000000" w:firstRow="1" w:lastRow="0" w:firstColumn="0" w:lastColumn="0" w:oddVBand="0" w:evenVBand="0" w:oddHBand="0" w:evenHBand="0" w:firstRowFirstColumn="0" w:firstRowLastColumn="0" w:lastRowFirstColumn="0" w:lastRowLastColumn="0"/>
        </w:trPr>
        <w:tc>
          <w:tcPr>
            <w:tcW w:w="571" w:type="pct"/>
          </w:tcPr>
          <w:p w14:paraId="437751E5" w14:textId="77777777" w:rsidR="00F7181E" w:rsidRPr="00E15B5F" w:rsidRDefault="00F7181E" w:rsidP="00CA3FCC">
            <w:pPr>
              <w:pStyle w:val="Tableheading"/>
            </w:pPr>
          </w:p>
        </w:tc>
        <w:tc>
          <w:tcPr>
            <w:tcW w:w="1358" w:type="pct"/>
          </w:tcPr>
          <w:p w14:paraId="538D9F39" w14:textId="0C6CB574" w:rsidR="00F7181E" w:rsidRPr="00E15B5F" w:rsidRDefault="00F7181E" w:rsidP="00CA3FCC">
            <w:pPr>
              <w:pStyle w:val="Tableheading"/>
            </w:pPr>
            <w:r w:rsidRPr="00E15B5F">
              <w:t>Final scope issued by NICE</w:t>
            </w:r>
          </w:p>
        </w:tc>
        <w:tc>
          <w:tcPr>
            <w:tcW w:w="1321" w:type="pct"/>
          </w:tcPr>
          <w:p w14:paraId="7B223029" w14:textId="77777777" w:rsidR="00F7181E" w:rsidRPr="00E15B5F" w:rsidRDefault="00F7181E" w:rsidP="00CA3FCC">
            <w:pPr>
              <w:pStyle w:val="Tableheading"/>
            </w:pPr>
            <w:r w:rsidRPr="00E15B5F">
              <w:t>Decision problem addressed in the company submission</w:t>
            </w:r>
          </w:p>
        </w:tc>
        <w:tc>
          <w:tcPr>
            <w:tcW w:w="1750" w:type="pct"/>
          </w:tcPr>
          <w:p w14:paraId="699E88A8" w14:textId="77777777" w:rsidR="00F7181E" w:rsidRPr="00E15B5F" w:rsidRDefault="00F7181E" w:rsidP="00CA3FCC">
            <w:pPr>
              <w:pStyle w:val="Tableheading"/>
            </w:pPr>
            <w:r w:rsidRPr="00E15B5F">
              <w:t>Rationale if different from the final NICE scope</w:t>
            </w:r>
          </w:p>
        </w:tc>
      </w:tr>
      <w:tr w:rsidR="00D3536B" w:rsidRPr="00D3536B" w14:paraId="6ED38D62" w14:textId="77777777" w:rsidTr="00A819C7">
        <w:tc>
          <w:tcPr>
            <w:tcW w:w="571" w:type="pct"/>
          </w:tcPr>
          <w:p w14:paraId="106C4887" w14:textId="77777777" w:rsidR="00F53A26" w:rsidRPr="002646F6" w:rsidRDefault="00F53A26" w:rsidP="00F53A26">
            <w:pPr>
              <w:pStyle w:val="Tableheading"/>
              <w:rPr>
                <w:color w:val="000000" w:themeColor="text1"/>
              </w:rPr>
            </w:pPr>
            <w:r w:rsidRPr="002646F6">
              <w:rPr>
                <w:color w:val="000000" w:themeColor="text1"/>
              </w:rPr>
              <w:t>Population</w:t>
            </w:r>
          </w:p>
        </w:tc>
        <w:tc>
          <w:tcPr>
            <w:tcW w:w="1358" w:type="pct"/>
          </w:tcPr>
          <w:p w14:paraId="25271553" w14:textId="769B7CBC" w:rsidR="00F53A26" w:rsidRPr="002646F6" w:rsidRDefault="00A275E2" w:rsidP="00F53A26">
            <w:pPr>
              <w:pStyle w:val="Tablebody"/>
              <w:rPr>
                <w:color w:val="000000" w:themeColor="text1"/>
              </w:rPr>
            </w:pPr>
            <w:r w:rsidRPr="002646F6">
              <w:rPr>
                <w:color w:val="000000" w:themeColor="text1"/>
              </w:rPr>
              <w:t xml:space="preserve">Adults </w:t>
            </w:r>
            <w:r w:rsidR="0033439E" w:rsidRPr="002646F6">
              <w:rPr>
                <w:color w:val="000000" w:themeColor="text1"/>
              </w:rPr>
              <w:t xml:space="preserve">with HER2-low, unresectable or metastatic </w:t>
            </w:r>
            <w:r w:rsidR="005E3C52">
              <w:rPr>
                <w:color w:val="000000" w:themeColor="text1"/>
              </w:rPr>
              <w:t>BC</w:t>
            </w:r>
            <w:r w:rsidR="0033439E" w:rsidRPr="002646F6">
              <w:rPr>
                <w:color w:val="000000" w:themeColor="text1"/>
              </w:rPr>
              <w:t xml:space="preserve"> previously treated with chemotherapy</w:t>
            </w:r>
          </w:p>
        </w:tc>
        <w:tc>
          <w:tcPr>
            <w:tcW w:w="1321" w:type="pct"/>
          </w:tcPr>
          <w:p w14:paraId="6769D70F" w14:textId="49C305B6" w:rsidR="00F53A26" w:rsidRPr="002646F6" w:rsidRDefault="00F53A26" w:rsidP="00F53A26">
            <w:pPr>
              <w:pStyle w:val="Tabletext"/>
              <w:rPr>
                <w:color w:val="000000" w:themeColor="text1"/>
                <w:szCs w:val="20"/>
              </w:rPr>
            </w:pPr>
            <w:r w:rsidRPr="002646F6">
              <w:rPr>
                <w:color w:val="000000" w:themeColor="text1"/>
              </w:rPr>
              <w:t xml:space="preserve">As per </w:t>
            </w:r>
            <w:r w:rsidR="00883198" w:rsidRPr="002646F6">
              <w:rPr>
                <w:color w:val="000000" w:themeColor="text1"/>
              </w:rPr>
              <w:t xml:space="preserve">the </w:t>
            </w:r>
            <w:r w:rsidRPr="002646F6">
              <w:rPr>
                <w:color w:val="000000" w:themeColor="text1"/>
              </w:rPr>
              <w:t>final scope</w:t>
            </w:r>
            <w:r w:rsidR="006C1C8C" w:rsidRPr="002646F6">
              <w:rPr>
                <w:color w:val="000000" w:themeColor="text1"/>
              </w:rPr>
              <w:t xml:space="preserve"> issued by NICE</w:t>
            </w:r>
          </w:p>
        </w:tc>
        <w:tc>
          <w:tcPr>
            <w:tcW w:w="1750" w:type="pct"/>
          </w:tcPr>
          <w:p w14:paraId="626C4658" w14:textId="61B1382F" w:rsidR="00F53A26" w:rsidRPr="002646F6" w:rsidRDefault="00F53A26" w:rsidP="00F53A26">
            <w:pPr>
              <w:pStyle w:val="Tablebody"/>
              <w:rPr>
                <w:color w:val="000000" w:themeColor="text1"/>
              </w:rPr>
            </w:pPr>
            <w:r w:rsidRPr="002646F6">
              <w:rPr>
                <w:color w:val="000000" w:themeColor="text1"/>
              </w:rPr>
              <w:t>N/A</w:t>
            </w:r>
          </w:p>
        </w:tc>
      </w:tr>
      <w:tr w:rsidR="00D3536B" w:rsidRPr="00D3536B" w14:paraId="3A7988D8" w14:textId="77777777" w:rsidTr="00A819C7">
        <w:tc>
          <w:tcPr>
            <w:tcW w:w="571" w:type="pct"/>
          </w:tcPr>
          <w:p w14:paraId="44E3ECA0" w14:textId="77777777" w:rsidR="00E5322E" w:rsidRPr="002646F6" w:rsidRDefault="00E5322E" w:rsidP="00E5322E">
            <w:pPr>
              <w:pStyle w:val="Tableheading"/>
              <w:rPr>
                <w:color w:val="000000" w:themeColor="text1"/>
              </w:rPr>
            </w:pPr>
            <w:r w:rsidRPr="002646F6">
              <w:rPr>
                <w:color w:val="000000" w:themeColor="text1"/>
              </w:rPr>
              <w:t>Intervention</w:t>
            </w:r>
          </w:p>
        </w:tc>
        <w:tc>
          <w:tcPr>
            <w:tcW w:w="1358" w:type="pct"/>
          </w:tcPr>
          <w:p w14:paraId="76F9920F" w14:textId="543F5ABA" w:rsidR="00E5322E" w:rsidRPr="002646F6" w:rsidRDefault="00E5322E" w:rsidP="00E5322E">
            <w:pPr>
              <w:pStyle w:val="Tablebody"/>
              <w:rPr>
                <w:color w:val="000000" w:themeColor="text1"/>
              </w:rPr>
            </w:pPr>
            <w:r w:rsidRPr="002646F6">
              <w:rPr>
                <w:color w:val="000000" w:themeColor="text1"/>
              </w:rPr>
              <w:t>Trastuzumab deruxtecan</w:t>
            </w:r>
            <w:r w:rsidR="00983968" w:rsidRPr="002646F6">
              <w:rPr>
                <w:color w:val="000000" w:themeColor="text1"/>
              </w:rPr>
              <w:t xml:space="preserve"> (</w:t>
            </w:r>
            <w:r w:rsidR="00EE27FD" w:rsidRPr="002646F6">
              <w:rPr>
                <w:color w:val="000000" w:themeColor="text1"/>
              </w:rPr>
              <w:t>Enhertu</w:t>
            </w:r>
            <w:r w:rsidR="00630ED7" w:rsidRPr="002646F6">
              <w:rPr>
                <w:color w:val="000000" w:themeColor="text1"/>
                <w:vertAlign w:val="superscript"/>
              </w:rPr>
              <w:t>®</w:t>
            </w:r>
            <w:r w:rsidR="00983968" w:rsidRPr="002646F6">
              <w:rPr>
                <w:color w:val="000000" w:themeColor="text1"/>
              </w:rPr>
              <w:t>)</w:t>
            </w:r>
          </w:p>
        </w:tc>
        <w:tc>
          <w:tcPr>
            <w:tcW w:w="1321" w:type="pct"/>
          </w:tcPr>
          <w:p w14:paraId="5F6544C8" w14:textId="2B5E615D" w:rsidR="00E5322E" w:rsidRPr="002646F6" w:rsidRDefault="000C0ECF" w:rsidP="00E5322E">
            <w:pPr>
              <w:pStyle w:val="Tablebody"/>
              <w:rPr>
                <w:color w:val="000000" w:themeColor="text1"/>
              </w:rPr>
            </w:pPr>
            <w:r w:rsidRPr="002646F6">
              <w:rPr>
                <w:color w:val="000000" w:themeColor="text1"/>
              </w:rPr>
              <w:t xml:space="preserve">As per </w:t>
            </w:r>
            <w:r w:rsidR="00883198" w:rsidRPr="002646F6">
              <w:rPr>
                <w:color w:val="000000" w:themeColor="text1"/>
              </w:rPr>
              <w:t xml:space="preserve">the </w:t>
            </w:r>
            <w:r w:rsidRPr="002646F6">
              <w:rPr>
                <w:color w:val="000000" w:themeColor="text1"/>
              </w:rPr>
              <w:t>final scope</w:t>
            </w:r>
            <w:r w:rsidR="006C1C8C" w:rsidRPr="002646F6">
              <w:rPr>
                <w:color w:val="000000" w:themeColor="text1"/>
              </w:rPr>
              <w:t xml:space="preserve"> issued by NICE</w:t>
            </w:r>
          </w:p>
        </w:tc>
        <w:tc>
          <w:tcPr>
            <w:tcW w:w="1750" w:type="pct"/>
          </w:tcPr>
          <w:p w14:paraId="4B0C85E5" w14:textId="454635B5" w:rsidR="00E5322E" w:rsidRPr="002646F6" w:rsidRDefault="00E5322E" w:rsidP="00E5322E">
            <w:pPr>
              <w:pStyle w:val="Tablebody"/>
              <w:rPr>
                <w:color w:val="000000" w:themeColor="text1"/>
              </w:rPr>
            </w:pPr>
            <w:r w:rsidRPr="002646F6">
              <w:rPr>
                <w:color w:val="000000" w:themeColor="text1"/>
              </w:rPr>
              <w:t>N</w:t>
            </w:r>
            <w:r w:rsidR="000C0ECF" w:rsidRPr="002646F6">
              <w:rPr>
                <w:color w:val="000000" w:themeColor="text1"/>
              </w:rPr>
              <w:t>/</w:t>
            </w:r>
            <w:r w:rsidRPr="002646F6">
              <w:rPr>
                <w:color w:val="000000" w:themeColor="text1"/>
              </w:rPr>
              <w:t>A</w:t>
            </w:r>
          </w:p>
        </w:tc>
      </w:tr>
      <w:tr w:rsidR="00D3536B" w:rsidRPr="00D3536B" w14:paraId="68A85969" w14:textId="77777777" w:rsidTr="00A819C7">
        <w:tc>
          <w:tcPr>
            <w:tcW w:w="571" w:type="pct"/>
          </w:tcPr>
          <w:p w14:paraId="63839A76" w14:textId="77777777" w:rsidR="00E5322E" w:rsidRPr="002646F6" w:rsidRDefault="00E5322E" w:rsidP="00E5322E">
            <w:pPr>
              <w:pStyle w:val="Tableheading"/>
              <w:rPr>
                <w:color w:val="000000" w:themeColor="text1"/>
              </w:rPr>
            </w:pPr>
            <w:r w:rsidRPr="002646F6">
              <w:rPr>
                <w:color w:val="000000" w:themeColor="text1"/>
              </w:rPr>
              <w:t>Comparator(s)</w:t>
            </w:r>
          </w:p>
        </w:tc>
        <w:tc>
          <w:tcPr>
            <w:tcW w:w="1358" w:type="pct"/>
          </w:tcPr>
          <w:p w14:paraId="5EDBCDD5" w14:textId="005967AC" w:rsidR="00184722" w:rsidRPr="002646F6" w:rsidRDefault="00184722" w:rsidP="0031043B">
            <w:pPr>
              <w:pStyle w:val="Tablebody"/>
              <w:rPr>
                <w:color w:val="000000" w:themeColor="text1"/>
              </w:rPr>
            </w:pPr>
            <w:r w:rsidRPr="002646F6">
              <w:rPr>
                <w:color w:val="000000" w:themeColor="text1"/>
              </w:rPr>
              <w:t>The comparators</w:t>
            </w:r>
            <w:r w:rsidR="00DA2DC8" w:rsidRPr="002646F6">
              <w:rPr>
                <w:color w:val="000000" w:themeColor="text1"/>
              </w:rPr>
              <w:t xml:space="preserve"> stated</w:t>
            </w:r>
            <w:r w:rsidRPr="002646F6">
              <w:rPr>
                <w:color w:val="000000" w:themeColor="text1"/>
              </w:rPr>
              <w:t xml:space="preserve"> in the final scope are</w:t>
            </w:r>
            <w:r w:rsidR="00DA2DC8" w:rsidRPr="002646F6">
              <w:rPr>
                <w:color w:val="000000" w:themeColor="text1"/>
              </w:rPr>
              <w:t>:</w:t>
            </w:r>
            <w:r w:rsidRPr="002646F6">
              <w:rPr>
                <w:color w:val="000000" w:themeColor="text1"/>
              </w:rPr>
              <w:t xml:space="preserve"> </w:t>
            </w:r>
          </w:p>
          <w:p w14:paraId="31743D05" w14:textId="77777777" w:rsidR="00184722" w:rsidRPr="002646F6" w:rsidRDefault="00184722" w:rsidP="0031043B">
            <w:pPr>
              <w:pStyle w:val="Tablebullet1"/>
              <w:rPr>
                <w:color w:val="000000" w:themeColor="text1"/>
              </w:rPr>
            </w:pPr>
            <w:r w:rsidRPr="002646F6">
              <w:rPr>
                <w:color w:val="000000" w:themeColor="text1"/>
              </w:rPr>
              <w:t xml:space="preserve">established clinical management without T-DXd, including: anthracyclines, capecitabine, platinum therapies, taxanes, and vinorelbine; </w:t>
            </w:r>
          </w:p>
          <w:p w14:paraId="5355BE15" w14:textId="77777777" w:rsidR="00184722" w:rsidRPr="002646F6" w:rsidRDefault="00184722" w:rsidP="0031043B">
            <w:pPr>
              <w:pStyle w:val="Tablebullet1"/>
              <w:rPr>
                <w:color w:val="000000" w:themeColor="text1"/>
              </w:rPr>
            </w:pPr>
            <w:r w:rsidRPr="002646F6">
              <w:rPr>
                <w:color w:val="000000" w:themeColor="text1"/>
              </w:rPr>
              <w:t xml:space="preserve">for people who have had 2 or more lines of chemotherapy for metastatic disease: eribulin; </w:t>
            </w:r>
          </w:p>
          <w:p w14:paraId="4AC99275" w14:textId="19B4F0EA" w:rsidR="00E5322E" w:rsidRPr="002646F6" w:rsidRDefault="00184722" w:rsidP="0031043B">
            <w:pPr>
              <w:pStyle w:val="Tablebullet1"/>
              <w:rPr>
                <w:color w:val="000000" w:themeColor="text1"/>
              </w:rPr>
            </w:pPr>
            <w:r w:rsidRPr="002646F6">
              <w:rPr>
                <w:color w:val="000000" w:themeColor="text1"/>
              </w:rPr>
              <w:t xml:space="preserve">for people whose disease is HR-negative: </w:t>
            </w:r>
            <w:r w:rsidR="00AD4A6A">
              <w:rPr>
                <w:color w:val="000000" w:themeColor="text1"/>
              </w:rPr>
              <w:t>SG</w:t>
            </w:r>
            <w:r w:rsidRPr="002646F6">
              <w:rPr>
                <w:color w:val="000000" w:themeColor="text1"/>
              </w:rPr>
              <w:t>.</w:t>
            </w:r>
            <w:r w:rsidRPr="002646F6">
              <w:rPr>
                <w:color w:val="000000" w:themeColor="text1"/>
              </w:rPr>
              <w:fldChar w:fldCharType="begin"/>
            </w:r>
            <w:r w:rsidR="00CA6345">
              <w:rPr>
                <w:color w:val="000000" w:themeColor="text1"/>
              </w:rPr>
              <w:instrText xml:space="preserve"> ADDIN ZOTERO_ITEM CSL_CITATION {"citationID":"ajum1htlo","properties":{"formattedCitation":"\\super 1\\nosupersub{}","plainCitation":"1","noteIndex":0},"citationItems":[{"id":66383,"uris":["http://zotero.org/groups/4797619/items/Y75R2AJY"],"itemData":{"id":66383,"type":"webpage","language":"eng","note":"publisher: NICE","title":"Final Scope. Trastuzumab deruxtecan for treating HER2-low unresectable or metastatic breast cancer after chemotherapy","URL":"https://www.nice.org.uk/guidance/gid-ta10813/documents/final-scope","author":[{"family":"NICE","given":""}],"accessed":{"date-parts":[["2022",11,29]]},"issued":{"date-parts":[["2023",1,6]]}}}],"schema":"https://github.com/citation-style-language/schema/raw/master/csl-citation.json"} </w:instrText>
            </w:r>
            <w:r w:rsidRPr="002646F6">
              <w:rPr>
                <w:color w:val="000000" w:themeColor="text1"/>
              </w:rPr>
              <w:fldChar w:fldCharType="separate"/>
            </w:r>
            <w:r w:rsidR="00FD57F4" w:rsidRPr="00FD57F4">
              <w:rPr>
                <w:rFonts w:cs="Arial"/>
                <w:vertAlign w:val="superscript"/>
              </w:rPr>
              <w:t>1</w:t>
            </w:r>
            <w:r w:rsidRPr="002646F6">
              <w:rPr>
                <w:color w:val="000000" w:themeColor="text1"/>
              </w:rPr>
              <w:fldChar w:fldCharType="end"/>
            </w:r>
            <w:r w:rsidRPr="002646F6">
              <w:rPr>
                <w:color w:val="000000" w:themeColor="text1"/>
              </w:rPr>
              <w:t xml:space="preserve"> </w:t>
            </w:r>
          </w:p>
        </w:tc>
        <w:tc>
          <w:tcPr>
            <w:tcW w:w="1321" w:type="pct"/>
          </w:tcPr>
          <w:p w14:paraId="6D67451A" w14:textId="749E8F45" w:rsidR="00BD4DEB" w:rsidRDefault="00C72D9E" w:rsidP="00B628CC">
            <w:pPr>
              <w:pStyle w:val="Tablebody"/>
              <w:spacing w:after="120"/>
              <w:rPr>
                <w:color w:val="000000" w:themeColor="text1"/>
              </w:rPr>
            </w:pPr>
            <w:r>
              <w:rPr>
                <w:color w:val="000000" w:themeColor="text1"/>
              </w:rPr>
              <w:t xml:space="preserve">The </w:t>
            </w:r>
            <w:r w:rsidR="00B6239E">
              <w:rPr>
                <w:color w:val="000000" w:themeColor="text1"/>
              </w:rPr>
              <w:t xml:space="preserve">key </w:t>
            </w:r>
            <w:r w:rsidR="00F71E9D">
              <w:rPr>
                <w:color w:val="000000" w:themeColor="text1"/>
              </w:rPr>
              <w:t>comparator</w:t>
            </w:r>
            <w:r>
              <w:rPr>
                <w:color w:val="000000" w:themeColor="text1"/>
              </w:rPr>
              <w:t xml:space="preserve"> in the company </w:t>
            </w:r>
            <w:r w:rsidR="00B6239E">
              <w:rPr>
                <w:color w:val="000000" w:themeColor="text1"/>
              </w:rPr>
              <w:t xml:space="preserve">submission is the TPC arm </w:t>
            </w:r>
            <w:r w:rsidR="00EA7B94">
              <w:rPr>
                <w:color w:val="000000" w:themeColor="text1"/>
              </w:rPr>
              <w:t xml:space="preserve">from </w:t>
            </w:r>
            <w:r w:rsidR="00B6239E">
              <w:rPr>
                <w:color w:val="000000" w:themeColor="text1"/>
              </w:rPr>
              <w:t xml:space="preserve">the pivotal </w:t>
            </w:r>
            <w:r w:rsidR="003C6AD3">
              <w:rPr>
                <w:color w:val="000000" w:themeColor="text1"/>
              </w:rPr>
              <w:t>P</w:t>
            </w:r>
            <w:r w:rsidR="00B6239E">
              <w:rPr>
                <w:color w:val="000000" w:themeColor="text1"/>
              </w:rPr>
              <w:t>hase III DESTINY-Breast04 study</w:t>
            </w:r>
            <w:r w:rsidR="00A400F9">
              <w:rPr>
                <w:color w:val="000000" w:themeColor="text1"/>
              </w:rPr>
              <w:t>,</w:t>
            </w:r>
            <w:r w:rsidR="00E94180">
              <w:rPr>
                <w:color w:val="000000" w:themeColor="text1"/>
              </w:rPr>
              <w:t xml:space="preserve"> which is comprised of a basket of non-targeted chemotherapy agents</w:t>
            </w:r>
            <w:r w:rsidR="00B6239E">
              <w:rPr>
                <w:color w:val="000000" w:themeColor="text1"/>
              </w:rPr>
              <w:t>.</w:t>
            </w:r>
            <w:r w:rsidR="00E67630">
              <w:rPr>
                <w:color w:val="000000" w:themeColor="text1"/>
              </w:rPr>
              <w:fldChar w:fldCharType="begin"/>
            </w:r>
            <w:r w:rsidR="00CA6345">
              <w:rPr>
                <w:color w:val="000000" w:themeColor="text1"/>
              </w:rPr>
              <w:instrText xml:space="preserve"> ADDIN ZOTERO_ITEM CSL_CITATION {"citationID":"H14ZxjgB","properties":{"formattedCitation":"\\super 6,7\\nosupersub{}","plainCitation":"6,7","noteIndex":0},"citationItems":[{"id":66153,"uris":["http://zotero.org/groups/4797619/items/DIMCLQBB"],"itemData":{"id":66153,"type":"article-journal","container-title":"New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00E67630">
              <w:rPr>
                <w:color w:val="000000" w:themeColor="text1"/>
              </w:rPr>
              <w:fldChar w:fldCharType="separate"/>
            </w:r>
            <w:r w:rsidR="00FD57F4" w:rsidRPr="00FD57F4">
              <w:rPr>
                <w:rFonts w:cs="Arial"/>
                <w:szCs w:val="24"/>
                <w:vertAlign w:val="superscript"/>
              </w:rPr>
              <w:t>6,7</w:t>
            </w:r>
            <w:r w:rsidR="00E67630">
              <w:rPr>
                <w:color w:val="000000" w:themeColor="text1"/>
              </w:rPr>
              <w:fldChar w:fldCharType="end"/>
            </w:r>
            <w:r w:rsidR="00B6239E">
              <w:rPr>
                <w:color w:val="000000" w:themeColor="text1"/>
              </w:rPr>
              <w:t xml:space="preserve"> </w:t>
            </w:r>
          </w:p>
          <w:p w14:paraId="32047A6E" w14:textId="7A30A76A" w:rsidR="00685E0E" w:rsidRPr="002646F6" w:rsidRDefault="00B6239E" w:rsidP="003C648C">
            <w:pPr>
              <w:pStyle w:val="Tablebody"/>
              <w:spacing w:after="120"/>
              <w:rPr>
                <w:color w:val="000000" w:themeColor="text1"/>
              </w:rPr>
            </w:pPr>
            <w:r>
              <w:rPr>
                <w:color w:val="000000" w:themeColor="text1"/>
              </w:rPr>
              <w:t xml:space="preserve">The TPC arm comprises </w:t>
            </w:r>
            <w:r w:rsidR="00934647">
              <w:rPr>
                <w:color w:val="000000" w:themeColor="text1"/>
              </w:rPr>
              <w:t>the following single-agent ch</w:t>
            </w:r>
            <w:r w:rsidR="000D0291">
              <w:rPr>
                <w:color w:val="000000" w:themeColor="text1"/>
              </w:rPr>
              <w:t xml:space="preserve">emotherapies: </w:t>
            </w:r>
            <w:r w:rsidR="00934647">
              <w:rPr>
                <w:color w:val="000000" w:themeColor="text1"/>
              </w:rPr>
              <w:t>eribulin, capecitabine, paclitaxel, gemcitabine, and nab-paclitaxel.</w:t>
            </w:r>
            <w:r w:rsidR="00C72D9E">
              <w:rPr>
                <w:color w:val="000000" w:themeColor="text1"/>
              </w:rPr>
              <w:t xml:space="preserve"> </w:t>
            </w:r>
            <w:r w:rsidR="00F71E9D">
              <w:rPr>
                <w:color w:val="000000" w:themeColor="text1"/>
              </w:rPr>
              <w:t xml:space="preserve"> </w:t>
            </w:r>
          </w:p>
        </w:tc>
        <w:tc>
          <w:tcPr>
            <w:tcW w:w="1750" w:type="pct"/>
          </w:tcPr>
          <w:p w14:paraId="211887FF" w14:textId="21C8E3D8" w:rsidR="00F0333F" w:rsidRPr="005610D8" w:rsidRDefault="00F0333F" w:rsidP="00531993">
            <w:pPr>
              <w:pStyle w:val="Tablebullet1"/>
              <w:numPr>
                <w:ilvl w:val="0"/>
                <w:numId w:val="0"/>
              </w:numPr>
            </w:pPr>
            <w:r w:rsidRPr="005610D8">
              <w:t>The TPC arm is an</w:t>
            </w:r>
            <w:r w:rsidR="00531993">
              <w:t xml:space="preserve"> </w:t>
            </w:r>
            <w:r w:rsidRPr="005610D8">
              <w:t>appropriate comparator for this appraisal for the reasons</w:t>
            </w:r>
            <w:r w:rsidR="00531993">
              <w:t xml:space="preserve"> summarised below (for more information on the relevance of TPC to UK clinical practice and the decision problem, see </w:t>
            </w:r>
            <w:r w:rsidR="00531993" w:rsidRPr="00531993">
              <w:rPr>
                <w:b/>
                <w:bCs/>
              </w:rPr>
              <w:t xml:space="preserve">Section </w:t>
            </w:r>
            <w:r w:rsidR="00531993" w:rsidRPr="00531993">
              <w:rPr>
                <w:b/>
                <w:bCs/>
              </w:rPr>
              <w:fldChar w:fldCharType="begin"/>
            </w:r>
            <w:r w:rsidR="00531993" w:rsidRPr="00531993">
              <w:rPr>
                <w:b/>
                <w:bCs/>
              </w:rPr>
              <w:instrText xml:space="preserve"> REF _Ref128653606 \r \h </w:instrText>
            </w:r>
            <w:r w:rsidR="00531993">
              <w:rPr>
                <w:b/>
                <w:bCs/>
              </w:rPr>
              <w:instrText xml:space="preserve"> \* MERGEFORMAT </w:instrText>
            </w:r>
            <w:r w:rsidR="00531993" w:rsidRPr="00531993">
              <w:rPr>
                <w:b/>
                <w:bCs/>
              </w:rPr>
            </w:r>
            <w:r w:rsidR="00531993" w:rsidRPr="00531993">
              <w:rPr>
                <w:b/>
                <w:bCs/>
              </w:rPr>
              <w:fldChar w:fldCharType="separate"/>
            </w:r>
            <w:r w:rsidR="00145F42">
              <w:rPr>
                <w:b/>
                <w:bCs/>
              </w:rPr>
              <w:t>B.1.3.6</w:t>
            </w:r>
            <w:r w:rsidR="00531993" w:rsidRPr="00531993">
              <w:rPr>
                <w:b/>
                <w:bCs/>
              </w:rPr>
              <w:fldChar w:fldCharType="end"/>
            </w:r>
            <w:r w:rsidR="00531993" w:rsidRPr="00531993">
              <w:t>)</w:t>
            </w:r>
            <w:r w:rsidRPr="005610D8">
              <w:t>:</w:t>
            </w:r>
          </w:p>
          <w:p w14:paraId="4526060C" w14:textId="6294CD7A" w:rsidR="00F0333F" w:rsidRPr="005610D8" w:rsidRDefault="00F0333F" w:rsidP="005610D8">
            <w:pPr>
              <w:pStyle w:val="Tablebullet1"/>
            </w:pPr>
            <w:r w:rsidRPr="005610D8">
              <w:t>The DESTINY-Breast04 TPC arm broadly aligns with UK clinical practice (</w:t>
            </w:r>
            <w:r w:rsidRPr="005610D8">
              <w:rPr>
                <w:b/>
                <w:bCs/>
              </w:rPr>
              <w:t>Section</w:t>
            </w:r>
            <w:r w:rsidR="00531993">
              <w:rPr>
                <w:b/>
                <w:bCs/>
              </w:rPr>
              <w:t xml:space="preserve"> </w:t>
            </w:r>
            <w:r w:rsidR="009A34CC">
              <w:rPr>
                <w:b/>
                <w:bCs/>
              </w:rPr>
              <w:fldChar w:fldCharType="begin"/>
            </w:r>
            <w:r w:rsidR="009A34CC">
              <w:rPr>
                <w:b/>
                <w:bCs/>
              </w:rPr>
              <w:instrText xml:space="preserve"> REF _Ref128653718 \r \h </w:instrText>
            </w:r>
            <w:r w:rsidR="009A34CC">
              <w:rPr>
                <w:b/>
                <w:bCs/>
              </w:rPr>
            </w:r>
            <w:r w:rsidR="009A34CC">
              <w:rPr>
                <w:b/>
                <w:bCs/>
              </w:rPr>
              <w:fldChar w:fldCharType="separate"/>
            </w:r>
            <w:r w:rsidR="00145F42">
              <w:rPr>
                <w:b/>
                <w:bCs/>
              </w:rPr>
              <w:t>B.1.3.6.1</w:t>
            </w:r>
            <w:r w:rsidR="009A34CC">
              <w:rPr>
                <w:b/>
                <w:bCs/>
              </w:rPr>
              <w:fldChar w:fldCharType="end"/>
            </w:r>
            <w:r w:rsidRPr="005610D8">
              <w:t>).</w:t>
            </w:r>
          </w:p>
          <w:p w14:paraId="5EC2CDFA" w14:textId="49C483C1" w:rsidR="00F0333F" w:rsidRPr="005610D8" w:rsidRDefault="00F0333F" w:rsidP="005610D8">
            <w:pPr>
              <w:pStyle w:val="Tablebullet1"/>
            </w:pPr>
            <w:r w:rsidRPr="005610D8">
              <w:t>Using the DESTINY-Breast04 TPC arm means directly leveraging data from prespecified analyses from the key evidence source for the appraisal (</w:t>
            </w:r>
            <w:r w:rsidRPr="005610D8">
              <w:rPr>
                <w:b/>
                <w:bCs/>
              </w:rPr>
              <w:t>Section</w:t>
            </w:r>
            <w:r w:rsidR="009A34CC">
              <w:rPr>
                <w:b/>
                <w:bCs/>
              </w:rPr>
              <w:t xml:space="preserve"> </w:t>
            </w:r>
            <w:r w:rsidR="009A34CC">
              <w:rPr>
                <w:b/>
                <w:bCs/>
              </w:rPr>
              <w:fldChar w:fldCharType="begin"/>
            </w:r>
            <w:r w:rsidR="009A34CC">
              <w:rPr>
                <w:b/>
                <w:bCs/>
              </w:rPr>
              <w:instrText xml:space="preserve"> REF _Ref128653720 \r \h </w:instrText>
            </w:r>
            <w:r w:rsidR="009A34CC">
              <w:rPr>
                <w:b/>
                <w:bCs/>
              </w:rPr>
            </w:r>
            <w:r w:rsidR="009A34CC">
              <w:rPr>
                <w:b/>
                <w:bCs/>
              </w:rPr>
              <w:fldChar w:fldCharType="separate"/>
            </w:r>
            <w:r w:rsidR="00145F42">
              <w:rPr>
                <w:b/>
                <w:bCs/>
              </w:rPr>
              <w:t>B.1.3.6.2</w:t>
            </w:r>
            <w:r w:rsidR="009A34CC">
              <w:rPr>
                <w:b/>
                <w:bCs/>
              </w:rPr>
              <w:fldChar w:fldCharType="end"/>
            </w:r>
            <w:r w:rsidRPr="005610D8">
              <w:t>)</w:t>
            </w:r>
          </w:p>
          <w:p w14:paraId="36927C14" w14:textId="6C66B9B4" w:rsidR="005610D8" w:rsidRDefault="00F0333F" w:rsidP="005610D8">
            <w:pPr>
              <w:pStyle w:val="Tablebullet1"/>
            </w:pPr>
            <w:r w:rsidRPr="005610D8">
              <w:t>Differences between the final scope comparators and TPC arm therapies are unlikely to impact decision-making (</w:t>
            </w:r>
            <w:r w:rsidRPr="005610D8">
              <w:rPr>
                <w:b/>
                <w:bCs/>
              </w:rPr>
              <w:t>Section</w:t>
            </w:r>
            <w:r w:rsidR="009A34CC">
              <w:rPr>
                <w:b/>
                <w:bCs/>
              </w:rPr>
              <w:t xml:space="preserve"> </w:t>
            </w:r>
            <w:r w:rsidR="009A34CC">
              <w:rPr>
                <w:b/>
                <w:bCs/>
              </w:rPr>
              <w:fldChar w:fldCharType="begin"/>
            </w:r>
            <w:r w:rsidR="009A34CC">
              <w:rPr>
                <w:b/>
                <w:bCs/>
              </w:rPr>
              <w:instrText xml:space="preserve"> REF _Ref128653722 \r \h </w:instrText>
            </w:r>
            <w:r w:rsidR="009A34CC">
              <w:rPr>
                <w:b/>
                <w:bCs/>
              </w:rPr>
            </w:r>
            <w:r w:rsidR="009A34CC">
              <w:rPr>
                <w:b/>
                <w:bCs/>
              </w:rPr>
              <w:fldChar w:fldCharType="separate"/>
            </w:r>
            <w:r w:rsidR="00145F42">
              <w:rPr>
                <w:b/>
                <w:bCs/>
              </w:rPr>
              <w:t>B.1.3.6.3</w:t>
            </w:r>
            <w:r w:rsidR="009A34CC">
              <w:rPr>
                <w:b/>
                <w:bCs/>
              </w:rPr>
              <w:fldChar w:fldCharType="end"/>
            </w:r>
            <w:r w:rsidRPr="005610D8">
              <w:t>).</w:t>
            </w:r>
          </w:p>
          <w:p w14:paraId="70D9A553" w14:textId="5CE7A812" w:rsidR="00C072EF" w:rsidRPr="002646F6" w:rsidRDefault="00F0333F" w:rsidP="005610D8">
            <w:pPr>
              <w:pStyle w:val="Tablebullet1"/>
              <w:rPr>
                <w:color w:val="000000" w:themeColor="text1"/>
              </w:rPr>
            </w:pPr>
            <w:r w:rsidRPr="005610D8">
              <w:t>A similar TPC arm was accepted as the comparator by NICE in a recent HER2-negative u/mBC appraisal (</w:t>
            </w:r>
            <w:r w:rsidRPr="005610D8">
              <w:rPr>
                <w:b/>
                <w:bCs/>
              </w:rPr>
              <w:t>Section</w:t>
            </w:r>
            <w:r w:rsidR="00531993">
              <w:rPr>
                <w:b/>
                <w:bCs/>
              </w:rPr>
              <w:t xml:space="preserve"> </w:t>
            </w:r>
            <w:r w:rsidR="009A34CC">
              <w:rPr>
                <w:b/>
                <w:bCs/>
              </w:rPr>
              <w:fldChar w:fldCharType="begin"/>
            </w:r>
            <w:r w:rsidR="009A34CC">
              <w:rPr>
                <w:b/>
                <w:bCs/>
              </w:rPr>
              <w:instrText xml:space="preserve"> REF _Ref128653726 \r \h </w:instrText>
            </w:r>
            <w:r w:rsidR="009A34CC">
              <w:rPr>
                <w:b/>
                <w:bCs/>
              </w:rPr>
            </w:r>
            <w:r w:rsidR="009A34CC">
              <w:rPr>
                <w:b/>
                <w:bCs/>
              </w:rPr>
              <w:fldChar w:fldCharType="separate"/>
            </w:r>
            <w:r w:rsidR="00145F42">
              <w:rPr>
                <w:b/>
                <w:bCs/>
              </w:rPr>
              <w:t>B.1.3.6.4</w:t>
            </w:r>
            <w:r w:rsidR="009A34CC">
              <w:rPr>
                <w:b/>
                <w:bCs/>
              </w:rPr>
              <w:fldChar w:fldCharType="end"/>
            </w:r>
            <w:r w:rsidRPr="005610D8">
              <w:t>).</w:t>
            </w:r>
          </w:p>
        </w:tc>
      </w:tr>
      <w:tr w:rsidR="00D3536B" w:rsidRPr="00D3536B" w14:paraId="3BE00D8A" w14:textId="77777777" w:rsidTr="00A819C7">
        <w:tc>
          <w:tcPr>
            <w:tcW w:w="571" w:type="pct"/>
          </w:tcPr>
          <w:p w14:paraId="1D7AFF84" w14:textId="5999D17D" w:rsidR="00970527" w:rsidRPr="002646F6" w:rsidRDefault="00970527" w:rsidP="00970527">
            <w:pPr>
              <w:pStyle w:val="Tableheading"/>
              <w:rPr>
                <w:color w:val="000000" w:themeColor="text1"/>
              </w:rPr>
            </w:pPr>
            <w:r w:rsidRPr="002646F6">
              <w:rPr>
                <w:color w:val="000000" w:themeColor="text1"/>
              </w:rPr>
              <w:t>Outcomes</w:t>
            </w:r>
          </w:p>
        </w:tc>
        <w:tc>
          <w:tcPr>
            <w:tcW w:w="1358" w:type="pct"/>
          </w:tcPr>
          <w:p w14:paraId="11FD8044" w14:textId="77777777" w:rsidR="00CF6826" w:rsidRPr="002646F6" w:rsidRDefault="00CF6826" w:rsidP="00CF6826">
            <w:pPr>
              <w:pStyle w:val="Tablebody"/>
              <w:rPr>
                <w:color w:val="000000" w:themeColor="text1"/>
              </w:rPr>
            </w:pPr>
            <w:r w:rsidRPr="002646F6">
              <w:rPr>
                <w:color w:val="000000" w:themeColor="text1"/>
              </w:rPr>
              <w:t>The outcome measures to be considered include:</w:t>
            </w:r>
          </w:p>
          <w:p w14:paraId="08BC1C15" w14:textId="140BDF6E" w:rsidR="0056513C" w:rsidRPr="002646F6" w:rsidRDefault="0056513C" w:rsidP="00A819C7">
            <w:pPr>
              <w:pStyle w:val="Tablebullet1"/>
              <w:spacing w:before="0" w:after="0"/>
              <w:rPr>
                <w:color w:val="000000" w:themeColor="text1"/>
              </w:rPr>
            </w:pPr>
            <w:r>
              <w:rPr>
                <w:color w:val="000000" w:themeColor="text1"/>
              </w:rPr>
              <w:t>PFS</w:t>
            </w:r>
          </w:p>
          <w:p w14:paraId="5C2988E2" w14:textId="778B7F60" w:rsidR="0056513C" w:rsidRPr="002646F6" w:rsidRDefault="0056513C" w:rsidP="00A819C7">
            <w:pPr>
              <w:pStyle w:val="Tablebullet1"/>
              <w:spacing w:before="0" w:after="0"/>
              <w:rPr>
                <w:color w:val="000000" w:themeColor="text1"/>
              </w:rPr>
            </w:pPr>
            <w:r>
              <w:rPr>
                <w:color w:val="000000" w:themeColor="text1"/>
              </w:rPr>
              <w:t>OS</w:t>
            </w:r>
          </w:p>
          <w:p w14:paraId="7620E9DC" w14:textId="298A8EBC" w:rsidR="00CF6826" w:rsidRPr="002646F6" w:rsidRDefault="004E2322" w:rsidP="00A819C7">
            <w:pPr>
              <w:pStyle w:val="Tablebullet1"/>
              <w:spacing w:before="0" w:after="0"/>
              <w:rPr>
                <w:color w:val="000000" w:themeColor="text1"/>
              </w:rPr>
            </w:pPr>
            <w:r w:rsidRPr="002646F6">
              <w:rPr>
                <w:color w:val="000000" w:themeColor="text1"/>
              </w:rPr>
              <w:t>R</w:t>
            </w:r>
            <w:r w:rsidR="00CF6826" w:rsidRPr="002646F6">
              <w:rPr>
                <w:color w:val="000000" w:themeColor="text1"/>
              </w:rPr>
              <w:t>esponse rate</w:t>
            </w:r>
          </w:p>
          <w:p w14:paraId="67B884EC" w14:textId="2162E184" w:rsidR="00CF6826" w:rsidRPr="002646F6" w:rsidRDefault="004E2322" w:rsidP="00A819C7">
            <w:pPr>
              <w:pStyle w:val="Tablebullet1"/>
              <w:spacing w:before="0" w:after="0"/>
              <w:rPr>
                <w:color w:val="000000" w:themeColor="text1"/>
              </w:rPr>
            </w:pPr>
            <w:r w:rsidRPr="002646F6">
              <w:rPr>
                <w:color w:val="000000" w:themeColor="text1"/>
              </w:rPr>
              <w:t>D</w:t>
            </w:r>
            <w:r w:rsidR="00CF6826" w:rsidRPr="002646F6">
              <w:rPr>
                <w:color w:val="000000" w:themeColor="text1"/>
              </w:rPr>
              <w:t>uration of response</w:t>
            </w:r>
          </w:p>
          <w:p w14:paraId="31DCC287" w14:textId="61E1DD7C" w:rsidR="00A02527" w:rsidRPr="002646F6" w:rsidRDefault="004E2322" w:rsidP="00A819C7">
            <w:pPr>
              <w:pStyle w:val="Tablebullet1"/>
              <w:spacing w:before="0" w:after="0"/>
              <w:rPr>
                <w:color w:val="000000" w:themeColor="text1"/>
              </w:rPr>
            </w:pPr>
            <w:r w:rsidRPr="002646F6">
              <w:rPr>
                <w:color w:val="000000" w:themeColor="text1"/>
              </w:rPr>
              <w:t>A</w:t>
            </w:r>
            <w:r w:rsidR="00CF6826" w:rsidRPr="002646F6">
              <w:rPr>
                <w:color w:val="000000" w:themeColor="text1"/>
              </w:rPr>
              <w:t>dverse effects of treatmen</w:t>
            </w:r>
            <w:r w:rsidR="00A02527" w:rsidRPr="002646F6">
              <w:rPr>
                <w:color w:val="000000" w:themeColor="text1"/>
              </w:rPr>
              <w:t>t</w:t>
            </w:r>
          </w:p>
          <w:p w14:paraId="12A933C9" w14:textId="7194EC7B" w:rsidR="00A02527" w:rsidRPr="002646F6" w:rsidRDefault="0056513C" w:rsidP="00A819C7">
            <w:pPr>
              <w:pStyle w:val="Tablebullet1"/>
              <w:spacing w:before="0" w:after="0"/>
              <w:rPr>
                <w:color w:val="000000" w:themeColor="text1"/>
              </w:rPr>
            </w:pPr>
            <w:r>
              <w:rPr>
                <w:color w:val="000000" w:themeColor="text1"/>
              </w:rPr>
              <w:t>HRQoL</w:t>
            </w:r>
          </w:p>
        </w:tc>
        <w:tc>
          <w:tcPr>
            <w:tcW w:w="1321" w:type="pct"/>
          </w:tcPr>
          <w:p w14:paraId="1F66D06A" w14:textId="661A003A" w:rsidR="00BD1966" w:rsidRPr="002646F6" w:rsidRDefault="00BD1966" w:rsidP="00BD1966">
            <w:pPr>
              <w:pStyle w:val="Tabletext"/>
              <w:rPr>
                <w:color w:val="000000" w:themeColor="text1"/>
              </w:rPr>
            </w:pPr>
            <w:r w:rsidRPr="002646F6">
              <w:rPr>
                <w:color w:val="000000" w:themeColor="text1"/>
              </w:rPr>
              <w:t>The outcome measures from DESTINY-Breast04 that are presented and included in the economic model are:</w:t>
            </w:r>
          </w:p>
          <w:p w14:paraId="46564694" w14:textId="7C08ADA2" w:rsidR="00BD1966" w:rsidRPr="002646F6" w:rsidRDefault="00BD1966" w:rsidP="00A819C7">
            <w:pPr>
              <w:pStyle w:val="Tablebullet1"/>
              <w:spacing w:before="0" w:after="0"/>
              <w:rPr>
                <w:color w:val="000000" w:themeColor="text1"/>
              </w:rPr>
            </w:pPr>
            <w:r w:rsidRPr="002646F6">
              <w:rPr>
                <w:color w:val="000000" w:themeColor="text1"/>
              </w:rPr>
              <w:t xml:space="preserve">PFS by </w:t>
            </w:r>
            <w:r w:rsidR="006022AD">
              <w:rPr>
                <w:color w:val="000000" w:themeColor="text1"/>
              </w:rPr>
              <w:t>BICR (</w:t>
            </w:r>
            <w:r w:rsidRPr="002646F6">
              <w:rPr>
                <w:color w:val="000000" w:themeColor="text1"/>
              </w:rPr>
              <w:t>primary endpoint)</w:t>
            </w:r>
          </w:p>
          <w:p w14:paraId="76DE6DF5" w14:textId="207C914D" w:rsidR="00BD1966" w:rsidRPr="002646F6" w:rsidRDefault="00BD1966" w:rsidP="00A819C7">
            <w:pPr>
              <w:pStyle w:val="Tablebullet1"/>
              <w:spacing w:before="0" w:after="0"/>
              <w:rPr>
                <w:color w:val="000000" w:themeColor="text1"/>
              </w:rPr>
            </w:pPr>
            <w:r w:rsidRPr="002646F6">
              <w:rPr>
                <w:color w:val="000000" w:themeColor="text1"/>
              </w:rPr>
              <w:t>O</w:t>
            </w:r>
            <w:r w:rsidR="006022AD">
              <w:rPr>
                <w:color w:val="000000" w:themeColor="text1"/>
              </w:rPr>
              <w:t>S</w:t>
            </w:r>
          </w:p>
          <w:p w14:paraId="4E2D5A2C" w14:textId="77777777" w:rsidR="00BD1966" w:rsidRPr="002646F6" w:rsidRDefault="00BD1966" w:rsidP="00A819C7">
            <w:pPr>
              <w:pStyle w:val="Tablebullet1"/>
              <w:spacing w:before="0" w:after="0"/>
              <w:rPr>
                <w:color w:val="000000" w:themeColor="text1"/>
              </w:rPr>
            </w:pPr>
            <w:r w:rsidRPr="002646F6">
              <w:rPr>
                <w:color w:val="000000" w:themeColor="text1"/>
              </w:rPr>
              <w:t>HRQoL measured via the EQ-5D-5L</w:t>
            </w:r>
          </w:p>
          <w:p w14:paraId="56BFAAF2" w14:textId="3A23F1BD" w:rsidR="00BD1966" w:rsidRPr="002646F6" w:rsidRDefault="00BD1966" w:rsidP="00A819C7">
            <w:pPr>
              <w:pStyle w:val="Tablebullet1"/>
              <w:spacing w:before="0" w:after="0"/>
              <w:rPr>
                <w:color w:val="000000" w:themeColor="text1"/>
              </w:rPr>
            </w:pPr>
            <w:r w:rsidRPr="002646F6">
              <w:rPr>
                <w:color w:val="000000" w:themeColor="text1"/>
              </w:rPr>
              <w:t>Adverse effects of treatment</w:t>
            </w:r>
          </w:p>
          <w:p w14:paraId="287D2B94" w14:textId="1B2894EA" w:rsidR="003B4A3B" w:rsidRPr="002646F6" w:rsidRDefault="007C251E" w:rsidP="00A819C7">
            <w:pPr>
              <w:pStyle w:val="Tablebullet1"/>
              <w:spacing w:before="0" w:after="0"/>
              <w:rPr>
                <w:color w:val="000000" w:themeColor="text1"/>
              </w:rPr>
            </w:pPr>
            <w:r>
              <w:rPr>
                <w:color w:val="000000" w:themeColor="text1"/>
              </w:rPr>
              <w:t>Response rates by BICR</w:t>
            </w:r>
          </w:p>
          <w:p w14:paraId="3948010B" w14:textId="6B06DF93" w:rsidR="00BD1966" w:rsidRPr="002646F6" w:rsidRDefault="00BD1966" w:rsidP="00BD1966">
            <w:pPr>
              <w:pStyle w:val="Tabletext"/>
              <w:rPr>
                <w:color w:val="000000" w:themeColor="text1"/>
              </w:rPr>
            </w:pPr>
            <w:r w:rsidRPr="002646F6">
              <w:rPr>
                <w:color w:val="000000" w:themeColor="text1"/>
              </w:rPr>
              <w:lastRenderedPageBreak/>
              <w:t>In addition, data from the following endpoints from the DESTINY-Breast04 trial are also presented</w:t>
            </w:r>
            <w:r w:rsidR="00224F05">
              <w:rPr>
                <w:color w:val="000000" w:themeColor="text1"/>
              </w:rPr>
              <w:t xml:space="preserve"> in this evidence submission</w:t>
            </w:r>
            <w:r w:rsidRPr="002646F6">
              <w:rPr>
                <w:color w:val="000000" w:themeColor="text1"/>
              </w:rPr>
              <w:t>:</w:t>
            </w:r>
          </w:p>
          <w:p w14:paraId="78BBC1F6" w14:textId="73FA114A" w:rsidR="00BD1966" w:rsidRDefault="00BD1966" w:rsidP="00A819C7">
            <w:pPr>
              <w:pStyle w:val="Tablebullet1"/>
              <w:spacing w:before="0" w:after="0"/>
              <w:rPr>
                <w:color w:val="000000" w:themeColor="text1"/>
              </w:rPr>
            </w:pPr>
            <w:r w:rsidRPr="002646F6">
              <w:rPr>
                <w:color w:val="000000" w:themeColor="text1"/>
              </w:rPr>
              <w:t xml:space="preserve">PFS by </w:t>
            </w:r>
            <w:r w:rsidR="00DC6698">
              <w:rPr>
                <w:color w:val="000000" w:themeColor="text1"/>
              </w:rPr>
              <w:t>IA</w:t>
            </w:r>
          </w:p>
          <w:p w14:paraId="40B0F86D" w14:textId="51660CA9" w:rsidR="004557D0" w:rsidRPr="002646F6" w:rsidRDefault="004557D0" w:rsidP="00A819C7">
            <w:pPr>
              <w:pStyle w:val="Tablebullet1"/>
              <w:spacing w:before="0" w:after="0"/>
              <w:rPr>
                <w:color w:val="000000" w:themeColor="text1"/>
              </w:rPr>
            </w:pPr>
            <w:r>
              <w:rPr>
                <w:color w:val="000000" w:themeColor="text1"/>
              </w:rPr>
              <w:t>Response rates by BICR</w:t>
            </w:r>
            <w:r w:rsidR="0085695C">
              <w:rPr>
                <w:color w:val="000000" w:themeColor="text1"/>
              </w:rPr>
              <w:t xml:space="preserve"> and IA</w:t>
            </w:r>
          </w:p>
          <w:p w14:paraId="49E750F1" w14:textId="7FDBF1D5" w:rsidR="00BD1966" w:rsidRPr="002646F6" w:rsidRDefault="00BD1966" w:rsidP="00A819C7">
            <w:pPr>
              <w:pStyle w:val="Tablebullet1"/>
              <w:spacing w:before="0" w:after="0"/>
              <w:rPr>
                <w:color w:val="000000" w:themeColor="text1"/>
              </w:rPr>
            </w:pPr>
            <w:r w:rsidRPr="002646F6">
              <w:rPr>
                <w:color w:val="000000" w:themeColor="text1"/>
              </w:rPr>
              <w:t>Clinical benefit rate by BICR</w:t>
            </w:r>
          </w:p>
          <w:p w14:paraId="4A1911A8" w14:textId="219D4A24" w:rsidR="00BD1966" w:rsidRPr="002646F6" w:rsidRDefault="00BD1966" w:rsidP="00A819C7">
            <w:pPr>
              <w:pStyle w:val="Tablebullet1"/>
              <w:spacing w:before="0" w:after="0"/>
              <w:rPr>
                <w:color w:val="000000" w:themeColor="text1"/>
              </w:rPr>
            </w:pPr>
            <w:r w:rsidRPr="002646F6">
              <w:rPr>
                <w:color w:val="000000" w:themeColor="text1"/>
              </w:rPr>
              <w:t>Duration of response by BICR</w:t>
            </w:r>
          </w:p>
          <w:p w14:paraId="3EC72748" w14:textId="77777777" w:rsidR="00BD1966" w:rsidRPr="002646F6" w:rsidRDefault="00BD1966" w:rsidP="00A819C7">
            <w:pPr>
              <w:pStyle w:val="Tablebullet1"/>
              <w:spacing w:before="0" w:after="0"/>
              <w:rPr>
                <w:color w:val="000000" w:themeColor="text1"/>
              </w:rPr>
            </w:pPr>
            <w:r w:rsidRPr="002646F6">
              <w:rPr>
                <w:color w:val="000000" w:themeColor="text1"/>
              </w:rPr>
              <w:t>Time to response</w:t>
            </w:r>
          </w:p>
          <w:p w14:paraId="292E7B5F" w14:textId="77777777" w:rsidR="00B93D41" w:rsidRDefault="00BD1966" w:rsidP="00A819C7">
            <w:pPr>
              <w:pStyle w:val="Tablebullet1"/>
              <w:spacing w:before="0" w:after="0"/>
              <w:rPr>
                <w:color w:val="000000" w:themeColor="text1"/>
              </w:rPr>
            </w:pPr>
            <w:r w:rsidRPr="002646F6">
              <w:rPr>
                <w:color w:val="000000" w:themeColor="text1"/>
              </w:rPr>
              <w:t>HRQoL measured by the EORTC QLQ-C30 and EORTC QLQ-BR45</w:t>
            </w:r>
          </w:p>
          <w:p w14:paraId="00346EC7" w14:textId="71871BFB" w:rsidR="00C46443" w:rsidRPr="002646F6" w:rsidRDefault="00C46443" w:rsidP="00A819C7">
            <w:pPr>
              <w:pStyle w:val="Tablebullet1"/>
              <w:spacing w:before="0" w:after="0"/>
              <w:rPr>
                <w:color w:val="000000" w:themeColor="text1"/>
              </w:rPr>
            </w:pPr>
            <w:r>
              <w:rPr>
                <w:color w:val="000000" w:themeColor="text1"/>
              </w:rPr>
              <w:t>Hospitalisation</w:t>
            </w:r>
            <w:r w:rsidR="00E555C7">
              <w:rPr>
                <w:color w:val="000000" w:themeColor="text1"/>
              </w:rPr>
              <w:t>-</w:t>
            </w:r>
            <w:r w:rsidR="007B78A8">
              <w:rPr>
                <w:color w:val="000000" w:themeColor="text1"/>
              </w:rPr>
              <w:t>related endpoints</w:t>
            </w:r>
          </w:p>
        </w:tc>
        <w:tc>
          <w:tcPr>
            <w:tcW w:w="1750" w:type="pct"/>
          </w:tcPr>
          <w:p w14:paraId="768A8A14" w14:textId="5B764462" w:rsidR="00970527" w:rsidRPr="002646F6" w:rsidRDefault="00452646" w:rsidP="00970527">
            <w:pPr>
              <w:pStyle w:val="Tablebody"/>
              <w:rPr>
                <w:color w:val="000000" w:themeColor="text1"/>
              </w:rPr>
            </w:pPr>
            <w:r>
              <w:rPr>
                <w:color w:val="000000" w:themeColor="text1"/>
              </w:rPr>
              <w:lastRenderedPageBreak/>
              <w:t>N/A</w:t>
            </w:r>
          </w:p>
        </w:tc>
      </w:tr>
      <w:tr w:rsidR="00D3536B" w:rsidRPr="00D3536B" w14:paraId="60FFEA33" w14:textId="77777777" w:rsidTr="00A819C7">
        <w:tc>
          <w:tcPr>
            <w:tcW w:w="571" w:type="pct"/>
          </w:tcPr>
          <w:p w14:paraId="1D743B21" w14:textId="77777777" w:rsidR="00970527" w:rsidRPr="002646F6" w:rsidRDefault="00970527" w:rsidP="00970527">
            <w:pPr>
              <w:pStyle w:val="Tableheading"/>
              <w:rPr>
                <w:color w:val="000000" w:themeColor="text1"/>
              </w:rPr>
            </w:pPr>
            <w:r w:rsidRPr="002646F6">
              <w:rPr>
                <w:color w:val="000000" w:themeColor="text1"/>
              </w:rPr>
              <w:t>Economic analysis</w:t>
            </w:r>
          </w:p>
        </w:tc>
        <w:tc>
          <w:tcPr>
            <w:tcW w:w="1358" w:type="pct"/>
          </w:tcPr>
          <w:p w14:paraId="45F9DBB1" w14:textId="21EBA5CB" w:rsidR="00970527" w:rsidRPr="002646F6" w:rsidRDefault="00970527" w:rsidP="002646F6">
            <w:pPr>
              <w:pStyle w:val="Tablebody"/>
              <w:spacing w:after="120"/>
              <w:rPr>
                <w:color w:val="000000" w:themeColor="text1"/>
              </w:rPr>
            </w:pPr>
            <w:r w:rsidRPr="002646F6">
              <w:rPr>
                <w:color w:val="000000" w:themeColor="text1"/>
              </w:rPr>
              <w:t>The reference case stipulates that the cost</w:t>
            </w:r>
            <w:r w:rsidR="00BC63EB">
              <w:rPr>
                <w:color w:val="000000" w:themeColor="text1"/>
              </w:rPr>
              <w:t>-</w:t>
            </w:r>
            <w:r w:rsidRPr="002646F6">
              <w:rPr>
                <w:color w:val="000000" w:themeColor="text1"/>
              </w:rPr>
              <w:t>effectiveness of treatments should be expressed in terms of incremental cost per quality-adjusted life year.</w:t>
            </w:r>
          </w:p>
          <w:p w14:paraId="1EBB1B66" w14:textId="6C26D06A" w:rsidR="00970527" w:rsidRPr="002646F6" w:rsidRDefault="00970527" w:rsidP="002646F6">
            <w:pPr>
              <w:pStyle w:val="Tablebody"/>
              <w:spacing w:after="120"/>
              <w:rPr>
                <w:color w:val="000000" w:themeColor="text1"/>
              </w:rPr>
            </w:pPr>
            <w:r w:rsidRPr="002646F6">
              <w:rPr>
                <w:color w:val="000000" w:themeColor="text1"/>
              </w:rPr>
              <w:t>The reference case stipulates that the time horizon for estimating clinical and cost</w:t>
            </w:r>
            <w:r w:rsidR="00BC63EB">
              <w:rPr>
                <w:color w:val="000000" w:themeColor="text1"/>
              </w:rPr>
              <w:t>-</w:t>
            </w:r>
            <w:r w:rsidRPr="002646F6">
              <w:rPr>
                <w:color w:val="000000" w:themeColor="text1"/>
              </w:rPr>
              <w:t>effectiveness should be sufficiently long to reflect any differences in costs or outcomes between the technologies being compared.</w:t>
            </w:r>
          </w:p>
          <w:p w14:paraId="0B16CE02" w14:textId="2ED21ECF" w:rsidR="00970527" w:rsidRPr="002646F6" w:rsidRDefault="00970527" w:rsidP="002646F6">
            <w:pPr>
              <w:pStyle w:val="Tablebody"/>
              <w:spacing w:after="120"/>
              <w:rPr>
                <w:color w:val="000000" w:themeColor="text1"/>
              </w:rPr>
            </w:pPr>
            <w:r w:rsidRPr="002646F6">
              <w:rPr>
                <w:color w:val="000000" w:themeColor="text1"/>
              </w:rPr>
              <w:t xml:space="preserve">Costs will be considered from an NHS and </w:t>
            </w:r>
            <w:r w:rsidR="00EB0361" w:rsidRPr="002646F6">
              <w:rPr>
                <w:color w:val="000000" w:themeColor="text1"/>
              </w:rPr>
              <w:t>PSS</w:t>
            </w:r>
            <w:r w:rsidRPr="002646F6">
              <w:rPr>
                <w:color w:val="000000" w:themeColor="text1"/>
              </w:rPr>
              <w:t xml:space="preserve"> perspective.</w:t>
            </w:r>
          </w:p>
          <w:p w14:paraId="65973F69" w14:textId="77777777" w:rsidR="00970527" w:rsidRPr="002646F6" w:rsidRDefault="00970527" w:rsidP="002646F6">
            <w:pPr>
              <w:pStyle w:val="Tablebody"/>
              <w:spacing w:after="120"/>
              <w:rPr>
                <w:color w:val="000000" w:themeColor="text1"/>
              </w:rPr>
            </w:pPr>
            <w:r w:rsidRPr="002646F6">
              <w:rPr>
                <w:color w:val="000000" w:themeColor="text1"/>
              </w:rPr>
              <w:t>The availability of any commercial arrangements for the intervention, comparator and subsequent treatment technologies will be taken into account.</w:t>
            </w:r>
          </w:p>
          <w:p w14:paraId="0F0D2C38" w14:textId="4BD43060" w:rsidR="00A275E2" w:rsidRPr="002646F6" w:rsidRDefault="00A275E2" w:rsidP="002646F6">
            <w:pPr>
              <w:pStyle w:val="CommentText"/>
              <w:spacing w:after="120"/>
              <w:rPr>
                <w:color w:val="000000" w:themeColor="text1"/>
              </w:rPr>
            </w:pPr>
            <w:r w:rsidRPr="002646F6">
              <w:rPr>
                <w:color w:val="000000" w:themeColor="text1"/>
              </w:rPr>
              <w:t>The availability and cost of biosimilar and generic products should be taken into account.</w:t>
            </w:r>
          </w:p>
        </w:tc>
        <w:tc>
          <w:tcPr>
            <w:tcW w:w="1321" w:type="pct"/>
          </w:tcPr>
          <w:p w14:paraId="6A8FCBF2" w14:textId="44EAAE88" w:rsidR="00970527" w:rsidRPr="002646F6" w:rsidRDefault="00970527" w:rsidP="00970527">
            <w:pPr>
              <w:pStyle w:val="Tabletext"/>
              <w:rPr>
                <w:color w:val="000000" w:themeColor="text1"/>
              </w:rPr>
            </w:pPr>
            <w:r w:rsidRPr="002646F6">
              <w:rPr>
                <w:color w:val="000000" w:themeColor="text1"/>
              </w:rPr>
              <w:t>As per final scope issued by NICE</w:t>
            </w:r>
          </w:p>
          <w:p w14:paraId="5ED20322" w14:textId="36034E34" w:rsidR="00970527" w:rsidRPr="002646F6" w:rsidRDefault="00970527" w:rsidP="00615E6C">
            <w:pPr>
              <w:pStyle w:val="Tablebullet1"/>
              <w:rPr>
                <w:color w:val="000000" w:themeColor="text1"/>
              </w:rPr>
            </w:pPr>
            <w:r w:rsidRPr="002646F6">
              <w:rPr>
                <w:color w:val="000000" w:themeColor="text1"/>
              </w:rPr>
              <w:t>A cost-utility analysis will be performed, with the key outcome being the ICER</w:t>
            </w:r>
            <w:r w:rsidR="005A19F6">
              <w:rPr>
                <w:color w:val="000000" w:themeColor="text1"/>
              </w:rPr>
              <w:t>.</w:t>
            </w:r>
          </w:p>
          <w:p w14:paraId="128CE1D4" w14:textId="29BE49A3" w:rsidR="00970527" w:rsidRPr="002646F6" w:rsidRDefault="00970527" w:rsidP="00615E6C">
            <w:pPr>
              <w:pStyle w:val="Tablebullet1"/>
              <w:rPr>
                <w:color w:val="000000" w:themeColor="text1"/>
              </w:rPr>
            </w:pPr>
            <w:r w:rsidRPr="002646F6">
              <w:rPr>
                <w:color w:val="000000" w:themeColor="text1"/>
              </w:rPr>
              <w:t>A lifetime time horizon will be used</w:t>
            </w:r>
            <w:r w:rsidR="005A19F6">
              <w:rPr>
                <w:color w:val="000000" w:themeColor="text1"/>
              </w:rPr>
              <w:t>.</w:t>
            </w:r>
          </w:p>
          <w:p w14:paraId="52ED4465" w14:textId="041BB534" w:rsidR="00615E6C" w:rsidRPr="002646F6" w:rsidRDefault="00970527" w:rsidP="00615E6C">
            <w:pPr>
              <w:pStyle w:val="Tablebullet1"/>
              <w:rPr>
                <w:color w:val="000000" w:themeColor="text1"/>
              </w:rPr>
            </w:pPr>
            <w:r w:rsidRPr="002646F6">
              <w:rPr>
                <w:color w:val="000000" w:themeColor="text1"/>
              </w:rPr>
              <w:t>Costs will be considered from an NHS and PSS perspective</w:t>
            </w:r>
            <w:r w:rsidR="005A19F6">
              <w:rPr>
                <w:color w:val="000000" w:themeColor="text1"/>
              </w:rPr>
              <w:t>.</w:t>
            </w:r>
          </w:p>
          <w:p w14:paraId="076621E9" w14:textId="3782A344" w:rsidR="00970527" w:rsidRPr="002646F6" w:rsidRDefault="00970527" w:rsidP="00615E6C">
            <w:pPr>
              <w:pStyle w:val="Tablebullet1"/>
              <w:rPr>
                <w:color w:val="000000" w:themeColor="text1"/>
              </w:rPr>
            </w:pPr>
            <w:r w:rsidRPr="002646F6">
              <w:rPr>
                <w:color w:val="000000" w:themeColor="text1"/>
              </w:rPr>
              <w:t>The availability of any commercial arrangements for the intervention, comparator and subsequent treatment technologies will be taken into account</w:t>
            </w:r>
            <w:r w:rsidR="005A19F6">
              <w:rPr>
                <w:color w:val="000000" w:themeColor="text1"/>
              </w:rPr>
              <w:t>.</w:t>
            </w:r>
          </w:p>
        </w:tc>
        <w:tc>
          <w:tcPr>
            <w:tcW w:w="1750" w:type="pct"/>
          </w:tcPr>
          <w:p w14:paraId="742F98A5" w14:textId="54D68B91" w:rsidR="00970527" w:rsidRPr="002646F6" w:rsidRDefault="008129A9" w:rsidP="00970527">
            <w:pPr>
              <w:pStyle w:val="Tablebody"/>
              <w:rPr>
                <w:color w:val="000000" w:themeColor="text1"/>
              </w:rPr>
            </w:pPr>
            <w:r w:rsidRPr="002646F6">
              <w:rPr>
                <w:color w:val="000000" w:themeColor="text1"/>
              </w:rPr>
              <w:t>N/A</w:t>
            </w:r>
          </w:p>
        </w:tc>
      </w:tr>
    </w:tbl>
    <w:p w14:paraId="7EABB739" w14:textId="43F5D98B" w:rsidR="00F7181E" w:rsidRPr="00B82463" w:rsidRDefault="00721DC9" w:rsidP="00B82463">
      <w:pPr>
        <w:pStyle w:val="Footnotes"/>
        <w:rPr>
          <w:color w:val="000000" w:themeColor="text1"/>
        </w:rPr>
        <w:sectPr w:rsidR="00F7181E" w:rsidRPr="00B82463" w:rsidSect="00D5612C">
          <w:footnotePr>
            <w:numFmt w:val="lowerLetter"/>
          </w:footnotePr>
          <w:pgSz w:w="16838" w:h="11906" w:orient="landscape"/>
          <w:pgMar w:top="1440" w:right="1440" w:bottom="1440" w:left="1440" w:header="708" w:footer="708" w:gutter="0"/>
          <w:cols w:space="708"/>
          <w:docGrid w:linePitch="360"/>
        </w:sectPr>
      </w:pPr>
      <w:r w:rsidRPr="002646F6">
        <w:rPr>
          <w:color w:val="000000" w:themeColor="text1"/>
        </w:rPr>
        <w:t>A</w:t>
      </w:r>
      <w:r w:rsidR="00F7181E" w:rsidRPr="002646F6">
        <w:rPr>
          <w:color w:val="000000" w:themeColor="text1"/>
        </w:rPr>
        <w:t>bbreviations</w:t>
      </w:r>
      <w:r w:rsidR="000A5B5F" w:rsidRPr="002646F6">
        <w:rPr>
          <w:color w:val="000000" w:themeColor="text1"/>
        </w:rPr>
        <w:t xml:space="preserve">: </w:t>
      </w:r>
      <w:r w:rsidR="00AE330A" w:rsidRPr="002646F6">
        <w:rPr>
          <w:color w:val="000000" w:themeColor="text1"/>
        </w:rPr>
        <w:t xml:space="preserve">BICR, blinded independent central review; EORTC QLQ, European Organisation for Research and Treatment of Cancer </w:t>
      </w:r>
      <w:r w:rsidR="005754E8">
        <w:rPr>
          <w:color w:val="000000" w:themeColor="text1"/>
        </w:rPr>
        <w:t>Quality-of-life</w:t>
      </w:r>
      <w:r w:rsidR="00AE330A" w:rsidRPr="002646F6">
        <w:rPr>
          <w:color w:val="000000" w:themeColor="text1"/>
        </w:rPr>
        <w:t xml:space="preserve"> Questionnaire; EQ-5D-5L, EuroQol five-dimension, five level instrument; </w:t>
      </w:r>
      <w:r w:rsidR="00E37B06" w:rsidRPr="002646F6">
        <w:rPr>
          <w:color w:val="000000" w:themeColor="text1"/>
        </w:rPr>
        <w:t xml:space="preserve">FAS, full analysis set; </w:t>
      </w:r>
      <w:r w:rsidR="00AE330A" w:rsidRPr="002646F6">
        <w:rPr>
          <w:color w:val="000000" w:themeColor="text1"/>
        </w:rPr>
        <w:t xml:space="preserve">HER2, human epidermal growth factor receptor 2; </w:t>
      </w:r>
      <w:r w:rsidR="00A729F3" w:rsidRPr="002646F6">
        <w:rPr>
          <w:color w:val="000000" w:themeColor="text1"/>
        </w:rPr>
        <w:t xml:space="preserve">HR, hormone receptor; </w:t>
      </w:r>
      <w:r w:rsidR="00AE330A" w:rsidRPr="002646F6">
        <w:rPr>
          <w:color w:val="000000" w:themeColor="text1"/>
        </w:rPr>
        <w:t xml:space="preserve">HRQoL, health-related </w:t>
      </w:r>
      <w:r w:rsidR="005754E8">
        <w:rPr>
          <w:color w:val="000000" w:themeColor="text1"/>
        </w:rPr>
        <w:t>quality-of-life</w:t>
      </w:r>
      <w:r w:rsidR="00AE330A" w:rsidRPr="002646F6">
        <w:rPr>
          <w:color w:val="000000" w:themeColor="text1"/>
        </w:rPr>
        <w:t xml:space="preserve">; IA, investigator assessment; ICER, incremental cost-effectiveness ratio; </w:t>
      </w:r>
      <w:r w:rsidR="008129A9" w:rsidRPr="002646F6">
        <w:rPr>
          <w:color w:val="000000" w:themeColor="text1"/>
        </w:rPr>
        <w:t xml:space="preserve">N/A, not applicable; </w:t>
      </w:r>
      <w:r w:rsidR="00AE330A" w:rsidRPr="002646F6">
        <w:rPr>
          <w:color w:val="000000" w:themeColor="text1"/>
        </w:rPr>
        <w:t xml:space="preserve">NHS, National Health Service; NICE, National Institute for Health </w:t>
      </w:r>
      <w:r w:rsidR="00AE330A" w:rsidRPr="002646F6">
        <w:rPr>
          <w:color w:val="000000" w:themeColor="text1"/>
        </w:rPr>
        <w:lastRenderedPageBreak/>
        <w:t>and Care Excellence; PFS, progression-free survival; PSS, Personal Social Services; QALY, quality-adjusted life year</w:t>
      </w:r>
      <w:r w:rsidR="009137AE" w:rsidRPr="002646F6">
        <w:rPr>
          <w:color w:val="000000" w:themeColor="text1"/>
        </w:rPr>
        <w:t xml:space="preserve">; </w:t>
      </w:r>
      <w:r w:rsidR="00AD4A6A">
        <w:rPr>
          <w:color w:val="000000" w:themeColor="text1"/>
        </w:rPr>
        <w:t xml:space="preserve">SG, sacituzumab govitecan; </w:t>
      </w:r>
      <w:r w:rsidR="009137AE" w:rsidRPr="002646F6">
        <w:rPr>
          <w:color w:val="000000" w:themeColor="text1"/>
        </w:rPr>
        <w:t>T-DXd, trastuzumab deruxtecan</w:t>
      </w:r>
      <w:r w:rsidR="000A7DDF">
        <w:rPr>
          <w:color w:val="000000" w:themeColor="text1"/>
        </w:rPr>
        <w:t>; TPC</w:t>
      </w:r>
      <w:r w:rsidR="00621C11">
        <w:rPr>
          <w:color w:val="000000" w:themeColor="text1"/>
        </w:rPr>
        <w:t>, Treatment of physician’s choice</w:t>
      </w:r>
      <w:r w:rsidR="00DB3F77">
        <w:rPr>
          <w:color w:val="000000" w:themeColor="text1"/>
        </w:rPr>
        <w:t>.</w:t>
      </w:r>
    </w:p>
    <w:p w14:paraId="1CA0FA39" w14:textId="781557E2" w:rsidR="00F7181E" w:rsidRDefault="00F7181E" w:rsidP="00F7181E">
      <w:pPr>
        <w:pStyle w:val="Heading2"/>
      </w:pPr>
      <w:bookmarkStart w:id="12" w:name="_Toc129001097"/>
      <w:bookmarkStart w:id="13" w:name="_Toc129040037"/>
      <w:bookmarkStart w:id="14" w:name="_Toc129052322"/>
      <w:bookmarkStart w:id="15" w:name="_Toc129053123"/>
      <w:bookmarkStart w:id="16" w:name="_Toc129001098"/>
      <w:bookmarkStart w:id="17" w:name="_Toc129040038"/>
      <w:bookmarkStart w:id="18" w:name="_Toc129052323"/>
      <w:bookmarkStart w:id="19" w:name="_Toc129053124"/>
      <w:bookmarkStart w:id="20" w:name="_Toc129350844"/>
      <w:bookmarkEnd w:id="12"/>
      <w:bookmarkEnd w:id="13"/>
      <w:bookmarkEnd w:id="14"/>
      <w:bookmarkEnd w:id="15"/>
      <w:bookmarkEnd w:id="16"/>
      <w:bookmarkEnd w:id="17"/>
      <w:bookmarkEnd w:id="18"/>
      <w:bookmarkEnd w:id="19"/>
      <w:r>
        <w:lastRenderedPageBreak/>
        <w:t>Description of the technology being appraised</w:t>
      </w:r>
      <w:bookmarkEnd w:id="20"/>
    </w:p>
    <w:p w14:paraId="6A6C75E3" w14:textId="40FFB46B" w:rsidR="002B4CA3" w:rsidRDefault="002B4CA3" w:rsidP="002B4CA3">
      <w:pPr>
        <w:pStyle w:val="Body"/>
      </w:pPr>
      <w:bookmarkStart w:id="21" w:name="_Ref89158332"/>
      <w:bookmarkStart w:id="22" w:name="_Toc95826054"/>
      <w:r>
        <w:t xml:space="preserve">A description of T-DXd is presented in </w:t>
      </w:r>
      <w:r w:rsidR="00501822" w:rsidRPr="009F4EB7">
        <w:rPr>
          <w:b/>
          <w:bCs/>
        </w:rPr>
        <w:fldChar w:fldCharType="begin"/>
      </w:r>
      <w:r w:rsidR="00501822" w:rsidRPr="009F4EB7">
        <w:rPr>
          <w:b/>
          <w:bCs/>
        </w:rPr>
        <w:instrText xml:space="preserve"> REF _Ref101384694 \h </w:instrText>
      </w:r>
      <w:r w:rsidR="009F4EB7">
        <w:rPr>
          <w:b/>
          <w:bCs/>
        </w:rPr>
        <w:instrText xml:space="preserve"> \* MERGEFORMAT </w:instrText>
      </w:r>
      <w:r w:rsidR="00501822" w:rsidRPr="009F4EB7">
        <w:rPr>
          <w:b/>
          <w:bCs/>
        </w:rPr>
      </w:r>
      <w:r w:rsidR="00501822" w:rsidRPr="009F4EB7">
        <w:rPr>
          <w:b/>
          <w:bCs/>
        </w:rPr>
        <w:fldChar w:fldCharType="separate"/>
      </w:r>
      <w:r w:rsidR="00145F42" w:rsidRPr="00145F42">
        <w:rPr>
          <w:b/>
          <w:bCs/>
        </w:rPr>
        <w:t xml:space="preserve">Table </w:t>
      </w:r>
      <w:r w:rsidR="00145F42" w:rsidRPr="00145F42">
        <w:rPr>
          <w:b/>
          <w:bCs/>
          <w:noProof/>
        </w:rPr>
        <w:t>2</w:t>
      </w:r>
      <w:r w:rsidR="00501822" w:rsidRPr="009F4EB7">
        <w:rPr>
          <w:b/>
          <w:bCs/>
        </w:rPr>
        <w:fldChar w:fldCharType="end"/>
      </w:r>
      <w:r>
        <w:t xml:space="preserve">. The current summary of product characteristics (SmPC) is provided in </w:t>
      </w:r>
      <w:r w:rsidRPr="00A6448D">
        <w:rPr>
          <w:b/>
          <w:bCs/>
        </w:rPr>
        <w:t>Appendix C</w:t>
      </w:r>
      <w:r>
        <w:t xml:space="preserve">. The </w:t>
      </w:r>
      <w:r w:rsidR="006E68FF">
        <w:t>European</w:t>
      </w:r>
      <w:r>
        <w:t xml:space="preserve"> Public Assessment Report (</w:t>
      </w:r>
      <w:r w:rsidR="006E68FF">
        <w:t>E</w:t>
      </w:r>
      <w:r>
        <w:t xml:space="preserve">PAR) </w:t>
      </w:r>
      <w:r w:rsidR="006E68FF">
        <w:t>is provided in</w:t>
      </w:r>
      <w:r w:rsidR="00230C89">
        <w:rPr>
          <w:b/>
          <w:bCs/>
        </w:rPr>
        <w:t xml:space="preserve"> </w:t>
      </w:r>
      <w:r w:rsidR="00191A69">
        <w:rPr>
          <w:b/>
          <w:bCs/>
        </w:rPr>
        <w:t xml:space="preserve">Appendix C </w:t>
      </w:r>
      <w:r w:rsidR="00191A69">
        <w:t xml:space="preserve">and </w:t>
      </w:r>
      <w:r w:rsidR="00230C89" w:rsidRPr="003C648C">
        <w:t>the reference pack</w:t>
      </w:r>
      <w:r w:rsidR="006E68FF">
        <w:t>.</w:t>
      </w:r>
      <w:r w:rsidR="0064122E">
        <w:fldChar w:fldCharType="begin"/>
      </w:r>
      <w:r w:rsidR="00CA6345">
        <w:instrText xml:space="preserve"> ADDIN ZOTERO_ITEM CSL_CITATION {"citationID":"qWSMDLbi","properties":{"formattedCitation":"\\super 8\\nosupersub{}","plainCitation":"8","noteIndex":0},"citationItems":[{"id":66850,"uris":["http://zotero.org/groups/4797619/items/5XYDXDZL"],"itemData":{"id":66850,"type":"document","title":"Enhertu European Public Assessment Report (EPAR) Type II Variation. Procedure no. EMEA/H/C/005124/II/0022. Version 2.0. 15 December 2022.","URL":"https://www.ema.europa.eu/documents/variation-report/enhertu-h-c-005124-ii-0022-epar-assessment-report-variation_en.pdf","author":[{"family":"European Medicines Agency (EMA)","given":""}],"issued":{"date-parts":[["2022"]]}}}],"schema":"https://github.com/citation-style-language/schema/raw/master/csl-citation.json"} </w:instrText>
      </w:r>
      <w:r w:rsidR="0064122E">
        <w:fldChar w:fldCharType="separate"/>
      </w:r>
      <w:r w:rsidR="00FD57F4" w:rsidRPr="00FD57F4">
        <w:rPr>
          <w:rFonts w:cs="Arial"/>
          <w:szCs w:val="24"/>
          <w:vertAlign w:val="superscript"/>
        </w:rPr>
        <w:t>8</w:t>
      </w:r>
      <w:r w:rsidR="0064122E">
        <w:fldChar w:fldCharType="end"/>
      </w:r>
    </w:p>
    <w:p w14:paraId="5DF37781" w14:textId="186A24B9" w:rsidR="002B4CA3" w:rsidRDefault="002B4CA3" w:rsidP="002B4CA3">
      <w:pPr>
        <w:pStyle w:val="Caption"/>
      </w:pPr>
      <w:bookmarkStart w:id="23" w:name="_Ref101384694"/>
      <w:bookmarkStart w:id="24" w:name="_Toc129350977"/>
      <w:r>
        <w:t xml:space="preserve">Table </w:t>
      </w:r>
      <w:r>
        <w:fldChar w:fldCharType="begin"/>
      </w:r>
      <w:r>
        <w:instrText>SEQ Table \* ARABIC</w:instrText>
      </w:r>
      <w:r>
        <w:fldChar w:fldCharType="separate"/>
      </w:r>
      <w:r w:rsidR="00145F42">
        <w:rPr>
          <w:noProof/>
        </w:rPr>
        <w:t>2</w:t>
      </w:r>
      <w:r>
        <w:fldChar w:fldCharType="end"/>
      </w:r>
      <w:bookmarkEnd w:id="23"/>
      <w:r>
        <w:t>: Technology being appraised</w:t>
      </w:r>
      <w:bookmarkEnd w:id="24"/>
    </w:p>
    <w:tbl>
      <w:tblPr>
        <w:tblStyle w:val="TableGrid"/>
        <w:tblW w:w="0" w:type="auto"/>
        <w:tblLook w:val="04A0" w:firstRow="1" w:lastRow="0" w:firstColumn="1" w:lastColumn="0" w:noHBand="0" w:noVBand="1"/>
      </w:tblPr>
      <w:tblGrid>
        <w:gridCol w:w="2833"/>
        <w:gridCol w:w="6183"/>
      </w:tblGrid>
      <w:tr w:rsidR="002B4CA3" w:rsidRPr="003F091B" w14:paraId="2CF6399E" w14:textId="77777777" w:rsidTr="00613B4E">
        <w:tc>
          <w:tcPr>
            <w:tcW w:w="2833" w:type="dxa"/>
            <w:shd w:val="clear" w:color="auto" w:fill="D9D9D9" w:themeFill="background1" w:themeFillShade="D9"/>
          </w:tcPr>
          <w:p w14:paraId="603C7B3C" w14:textId="77777777" w:rsidR="002B4CA3" w:rsidRDefault="002B4CA3" w:rsidP="004A6035">
            <w:pPr>
              <w:pStyle w:val="Tableheading"/>
            </w:pPr>
            <w:r>
              <w:t>UK approved name and brand name</w:t>
            </w:r>
          </w:p>
        </w:tc>
        <w:tc>
          <w:tcPr>
            <w:tcW w:w="6183" w:type="dxa"/>
          </w:tcPr>
          <w:p w14:paraId="0B5091CE" w14:textId="77777777" w:rsidR="002B4CA3" w:rsidRPr="0072418A" w:rsidRDefault="002B4CA3" w:rsidP="00613B4E">
            <w:pPr>
              <w:pStyle w:val="Tablebody"/>
              <w:rPr>
                <w:highlight w:val="cyan"/>
              </w:rPr>
            </w:pPr>
            <w:r w:rsidRPr="0072418A">
              <w:t>Trastuzumab deruxtecan (T-DXd; ENHERTU</w:t>
            </w:r>
            <w:r w:rsidRPr="0072418A">
              <w:rPr>
                <w:vertAlign w:val="superscript"/>
              </w:rPr>
              <w:t>®</w:t>
            </w:r>
            <w:r w:rsidRPr="0072418A">
              <w:t>)</w:t>
            </w:r>
          </w:p>
        </w:tc>
      </w:tr>
      <w:tr w:rsidR="0055215B" w:rsidRPr="0055215B" w14:paraId="1C20BEF1" w14:textId="77777777" w:rsidTr="00613B4E">
        <w:tc>
          <w:tcPr>
            <w:tcW w:w="2833" w:type="dxa"/>
            <w:shd w:val="clear" w:color="auto" w:fill="D9D9D9" w:themeFill="background1" w:themeFillShade="D9"/>
          </w:tcPr>
          <w:p w14:paraId="7D0D3B8F" w14:textId="024D1D54" w:rsidR="002B4CA3" w:rsidRPr="0055215B" w:rsidRDefault="002B4CA3" w:rsidP="004A6035">
            <w:pPr>
              <w:pStyle w:val="Tableheading"/>
            </w:pPr>
            <w:r w:rsidRPr="0055215B">
              <w:t>Mechanism</w:t>
            </w:r>
            <w:r w:rsidRPr="0055215B">
              <w:rPr>
                <w:szCs w:val="16"/>
              </w:rPr>
              <w:t xml:space="preserve"> of action (</w:t>
            </w:r>
            <w:r w:rsidR="00CE77D2" w:rsidRPr="0055215B">
              <w:rPr>
                <w:szCs w:val="16"/>
              </w:rPr>
              <w:t>See</w:t>
            </w:r>
            <w:r w:rsidR="009A3C98">
              <w:rPr>
                <w:szCs w:val="16"/>
              </w:rPr>
              <w:t xml:space="preserve"> </w:t>
            </w:r>
            <w:r w:rsidR="009A3C98">
              <w:rPr>
                <w:szCs w:val="16"/>
              </w:rPr>
              <w:fldChar w:fldCharType="begin"/>
            </w:r>
            <w:r w:rsidR="009A3C98">
              <w:rPr>
                <w:szCs w:val="16"/>
              </w:rPr>
              <w:instrText xml:space="preserve"> REF _Ref121943093 \h </w:instrText>
            </w:r>
            <w:r w:rsidR="009A3C98">
              <w:rPr>
                <w:szCs w:val="16"/>
              </w:rPr>
            </w:r>
            <w:r w:rsidR="009A3C98">
              <w:rPr>
                <w:szCs w:val="16"/>
              </w:rPr>
              <w:fldChar w:fldCharType="separate"/>
            </w:r>
            <w:r w:rsidR="00145F42">
              <w:t xml:space="preserve">Figure </w:t>
            </w:r>
            <w:r w:rsidR="00145F42">
              <w:rPr>
                <w:noProof/>
              </w:rPr>
              <w:t>1</w:t>
            </w:r>
            <w:r w:rsidR="009A3C98">
              <w:rPr>
                <w:szCs w:val="16"/>
              </w:rPr>
              <w:fldChar w:fldCharType="end"/>
            </w:r>
            <w:r w:rsidRPr="0055215B">
              <w:rPr>
                <w:szCs w:val="16"/>
              </w:rPr>
              <w:t>)</w:t>
            </w:r>
          </w:p>
        </w:tc>
        <w:tc>
          <w:tcPr>
            <w:tcW w:w="6183" w:type="dxa"/>
          </w:tcPr>
          <w:p w14:paraId="33C2794C" w14:textId="47AAB5C9" w:rsidR="00A275E2" w:rsidRPr="0055215B" w:rsidRDefault="002B4CA3" w:rsidP="0031043B">
            <w:pPr>
              <w:pStyle w:val="Tablebody"/>
              <w:spacing w:after="120"/>
            </w:pPr>
            <w:r w:rsidRPr="0055215B">
              <w:t>Using optimised technology, DXd ADC</w:t>
            </w:r>
            <w:r w:rsidR="00710F41" w:rsidRPr="0055215B">
              <w:t>s</w:t>
            </w:r>
            <w:r w:rsidRPr="0055215B">
              <w:t xml:space="preserve"> are composed of a mAb covalently linked to a potent membrane-permeable topoisomerase I inhibitor payload (an exatecan derivative, DXd) via a stable tetrapeptide-based linker selectively cleaved within tumour cells. Evidence supports the portability of DXd ADC technology to multiple </w:t>
            </w:r>
            <w:r w:rsidRPr="005F58F8">
              <w:rPr>
                <w:rStyle w:val="NICECICChar"/>
                <w:rFonts w:eastAsiaTheme="minorHAnsi"/>
              </w:rPr>
              <w:t>tumour targets.</w:t>
            </w:r>
            <w:r w:rsidR="00BA0514" w:rsidRPr="005F58F8">
              <w:rPr>
                <w:rStyle w:val="NICECICChar"/>
                <w:rFonts w:eastAsiaTheme="minorHAnsi"/>
              </w:rPr>
              <w:fldChar w:fldCharType="begin"/>
            </w:r>
            <w:r w:rsidR="00CA6345" w:rsidRPr="005F58F8">
              <w:rPr>
                <w:rStyle w:val="NICECICChar"/>
                <w:rFonts w:eastAsiaTheme="minorHAnsi"/>
              </w:rPr>
              <w:instrText xml:space="preserve"> ADDIN ZOTERO_ITEM CSL_CITATION {"citationID":"Gpc56BR6","properties":{"formattedCitation":"\\super 9\\nosupersub{}","plainCitation":"9","noteIndex":0},"citationItems":[{"id":65858,"uris":["http://zotero.org/groups/4797619/items/KP9URXV6"],"itemData":{"id":65858,"type":"article-journal","container-title":"Annals of Oncology: Official Journal of the European Society for Medical Oncology","DOI":"10.1016/j.annonc.2019.11.019","ISSN":"1569-8041","issue":"3","journalAbbreviation":"Ann Oncol","language":"eng","note":"PMID: 32067685","page":"430-434","source":"PubMed","title":"The art of innovation: clinical development of trastuzumab deruxtecan and redefining how antibody-drug conjugates target HER2-positive cancers","title-short":"The art of innovation","volume":"31","author":[{"family":"Yver","given":"A."},{"family":"Agatsuma","given":"T."},{"family":"Soria","given":"J.-C."}],"issued":{"date-parts":[["2020",3]]}}}],"schema":"https://github.com/citation-style-language/schema/raw/master/csl-citation.json"} </w:instrText>
            </w:r>
            <w:r w:rsidR="00BA0514" w:rsidRPr="005F58F8">
              <w:rPr>
                <w:rStyle w:val="NICECICChar"/>
                <w:rFonts w:eastAsiaTheme="minorHAnsi"/>
              </w:rPr>
              <w:fldChar w:fldCharType="separate"/>
            </w:r>
            <w:r w:rsidR="00FD57F4" w:rsidRPr="005F58F8">
              <w:rPr>
                <w:rStyle w:val="NICECICChar"/>
                <w:rFonts w:eastAsiaTheme="minorHAnsi"/>
              </w:rPr>
              <w:t>9</w:t>
            </w:r>
            <w:r w:rsidR="00BA0514" w:rsidRPr="005F58F8">
              <w:rPr>
                <w:rStyle w:val="NICECICChar"/>
                <w:rFonts w:eastAsiaTheme="minorHAnsi"/>
              </w:rPr>
              <w:fldChar w:fldCharType="end"/>
            </w:r>
            <w:r w:rsidRPr="005F58F8">
              <w:rPr>
                <w:rStyle w:val="NICECICChar"/>
                <w:rFonts w:eastAsiaTheme="minorHAnsi"/>
              </w:rPr>
              <w:t xml:space="preserve"> DXd</w:t>
            </w:r>
            <w:r w:rsidRPr="0055215B">
              <w:t xml:space="preserve"> ADCs are specifically designed to enhance selective tumour cell death and reduce systemic exposure to the topoisomerase I inhibitor payload. Intact DXd ADCs display long-term stability in plasma. The tetrapeptide-based cleavable linker and payload are stable in plasma.</w:t>
            </w:r>
            <w:r w:rsidR="00FA2427" w:rsidRPr="0055215B">
              <w:fldChar w:fldCharType="begin"/>
            </w:r>
            <w:r w:rsidR="00CA6345">
              <w:instrText xml:space="preserve"> ADDIN ZOTERO_ITEM CSL_CITATION {"citationID":"HhokGUMx","properties":{"formattedCitation":"\\super 10\\uc0\\u8211{}13\\nosupersub{}","plainCitation":"10–13","noteIndex":0},"citationItems":[{"id":65857,"uris":["http://zotero.org/groups/4797619/items/EI78MMCK"],"itemData":{"id":65857,"type":"article-journal","abstract":"PURPOSE: An anti-HER2 antibody-drug conjugate with a novel topoisomerase I inhibitor, DS-8201a, was generated as a new antitumor drug candidate, and its preclinical pharmacologic profile was assessed.\nEXPERIMENTAL DESIGN: In vitro and in vivo pharmacologic activities of DS-8201a were evaluated and compared with T-DM1 in several HER2-positive cell lines and patient-derived xenograft (PDX) models. The mechanism of action for the efficacy was also evaluated. Pharmacokinetics in cynomolgus monkeys and the safety profiles in rats and cynomolgus monkeys were assessed.\nRESULTS: DS-8201a exhibited a HER2 expression-dependent cell growth-inhibitory activity and induced tumor regression with a single dosing at more than 1 mg/kg in a HER2-positive gastric cancer NCI-N87 model. Binding activity to HER2 and ADCC activity of DS-8201a were comparable with unconjugated anti-HER2 antibody. DS-8201a also showed an inhibitory activity to Akt phosphorylation. DS-8201a induced phosphorylation of Chk1 and Histone H2A.X, the markers of DNA damage. Pharmacokinetics and safety profiles of DS-8201a were favorable and the highest non-severely toxic dose was 30 mg/kg in cynomolgus monkeys, supporting DS-8201a as being well tolerated in humans. DS-8201a was effective in a T-DM1-insensitive PDX model with high HER2 expression. DS-8201a, but not T-DM1, demonstrated antitumor efficacy against several breast cancer PDX models with low HER2 expression.\nCONCLUSIONS: DS-8201a exhibited a potent antitumor activity in a broad selection of HER2-positive models and favorable pharmacokinetics and safety profiles. The results demonstrate that DS-8201a will be a valuable therapy with a great potential to respond to T-DM1-insensitive HER2-positive cancers and low HER2-expressing cancers. Clin Cancer Res; 22(20); 5097-108. ©2016 AACR.","container-title":"Clinical Cancer Research: An Official Journal of the American Association for Cancer Research","DOI":"10.1158/1078-0432.CCR-15-2822","ISSN":"1557-3265","issue":"20","journalAbbreviation":"Clin Cancer Res","language":"eng","note":"PMID: 27026201","page":"5097-5108","source":"PubMed","title":"DS-8201a, A Novel HER2-Targeting ADC with a Novel DNA Topoisomerase I Inhibitor, Demonstrates a Promising Antitumor Efficacy with Differentiation from T-DM1","volume":"22","author":[{"family":"Ogitani","given":"Yusuke"},{"family":"Aida","given":"Tetsuo"},{"family":"Hagihara","given":"Katsunobu"},{"family":"Yamaguchi","given":"Junko"},{"family":"Ishii","given":"Chiaki"},{"family":"Harada","given":"Naoya"},{"family":"Soma","given":"Masako"},{"family":"Okamoto","given":"Hiromi"},{"family":"Oitate","given":"Masataka"},{"family":"Arakawa","given":"Shingo"},{"family":"Hirai","given":"Takehiro"},{"family":"Atsumi","given":"Ryo"},{"family":"Nakada","given":"Takashi"},{"family":"Hayakawa","given":"Ichiro"},{"family":"Abe","given":"Yuki"},{"family":"Agatsuma","given":"Toshinori"}],"issued":{"date-parts":[["2016",10,15]]}}},{"id":65856,"uris":["http://zotero.org/groups/4797619/items/MHLH9KAL"],"itemData":{"id":65856,"type":"article-journal","abstract":"A major limitation of traditional chemotherapy for cancer is dose-limiting toxicity, caused by the exposure of non-tumor cells to cytotoxic agents. Use of molecular targeted drugs, such as specific kinase inhibitors and monoclonal antibodies, is a possible solution to overcome this limitation and has achieved clinical success so far. Use of an antibody-drug conjugate (ADC) is a rational strategy for improving efficacy and reducing systemic adverse events. ADCs use antibodies selectively to deliver a potent cytotoxic agent to tumor cells, thus drastically improving the therapeutic index of chemotherapeutic agents. Lessons learned from clinical failure of early ADCs during the 1980s to 90s have recently led to improvements in ADC technology, and resulted in the approval of four novel ADCs. Nonetheless, further advances in ADC technology are still required to streamline their clinical efficacy and reduce toxicity. [fam-] Trastuzumab deruxtecan (DS-8201a) is a next-generation ADC that satisfies these requirements based on currently available evidence. DS-8201a has several innovative features; a highly potent novel payload with a high drug-to-antibody ratio, good homogeneity, a tumor-selective cleavable linker, stable linker-payload in circulation, and a short systemic half-life cytotoxic agent in vivo; the released cytotoxic payload could exert a bystander effect. With respect to its preclinical profiles, DS-8201a could provide a valuable therapy with a great potential against HER2-expressing cancers in clinical settings. In a phase I trial, DS-8201a showed acceptable safety profiles with potential therapeutic efficacy, with the wide therapeutic index.","container-title":"Chemical &amp; Pharmaceutical Bulletin","DOI":"10.1248/cpb.c18-00744","ISSN":"1347-5223","issue":"3","journalAbbreviation":"Chem Pharm Bull (Tokyo)","language":"eng","note":"PMID: 30827997","page":"173-185","source":"PubMed","title":"The Latest Research and Development into the Antibody-Drug Conjugate, [fam-] Trastuzumab Deruxtecan (DS-8201a), for HER2 Cancer Therapy","volume":"67","author":[{"family":"Nakada","given":"Takashi"},{"family":"Sugihara","given":"Kiyoshi"},{"family":"Jikoh","given":"Takahiro"},{"family":"Abe","given":"Yuki"},{"family":"Agatsuma","given":"Toshinori"}],"issued":{"date-parts":[["2019"]]}}},{"id":65855,"uris":["http://zotero.org/groups/4797619/items/4RILEFSL"],"itemData":{"id":65855,"type":"article-journal","abstract":"Trastuzumab deruxtecan (DS-8201a) is an antibody-drug conjugate (ADC) composed of a monoclonal antibody targeting human epidermal growth factor receptor 2 (HER2) conjugated to a topoisomerase I inhibitor (DXd) at a drug-to-antibody ratio (DAR) of 7-8. Here, we examined the pharmacokinetic (PK) profiles of DS-8201a and DXd in cynomolgus monkeys, a cross-reactive species. Following intravenous (iv) administration of DS-8201a, the linker was stable in plasma, and systemic DXd exposure was low. DXd was rapidly cleared following iv dosing. Biodistribution studies revealed that intact DS-8201a was present mostly in the blood without tissue-specific retention. The major pathway of excretion for DXd was the faecal route following iv administration of radiolabelled DS-8201a. The only detectable metabolite in the urine and faeces was unmetabolized DXd. DXd is a substrate of organic anion transporting polypeptides, P-gp, and breast cancer resistance protein. In conclusion, the stable linker in circulation and the high clearance of DXd upon release resulted in the low systemic exposure to DXd. Furthermore, the minimal tissue-specific retention and rapid excretion of DXd into faeces as its unmetabolized form with potentially limited impact on drug - drug interaction as a victim were also critical elements of the PK profile of DS-8201a.","container-title":"Xenobiotica; the Fate of Foreign Compounds in Biological Systems","DOI":"10.1080/00498254.2018.1531158","ISSN":"1366-5928","issue":"9","journalAbbreviation":"Xenobiotica","language":"eng","note":"PMID: 30351177","page":"1086-1096","source":"PubMed","title":"Comprehensive preclinical pharmacokinetic evaluations of trastuzumab deruxtecan (DS-8201a), a HER2-targeting antibody-drug conjugate, in cynomolgus monkeys","volume":"49","author":[{"family":"Nagai","given":"Yoko"},{"family":"Oitate","given":"Masataka"},{"family":"Shiozawa","given":"Hideyuki"},{"family":"Ando","given":"Osamu"}],"issued":{"date-parts":[["2019",9]]}}},{"id":65854,"uris":["http://zotero.org/groups/4797619/items/HUABVT9M"],"itemData":{"id":65854,"type":"article-journal","abstract":"DE-310 is composed of the topoisomerase-I inhibitor DX-8951 (exatecan) and carboxymethyldextran polyalcohol (CM-Dex-PA) carrier, which are covalently linked via peptidyl spacer (Gly-Gly-Phe-Gly). In this study, we investigated relationship between the cathepsin activity and the drug release of DE-310 by use of human liver origin cathepsin (B, L and H) and tumor cells (murine tumor cells (Meth A and M5076), and human tumor cells (HCT116, A549, PC-12, T98G, and HL-60)). Preliminary studies indicated that human liver cathepsin B produced Glycyl DX-8951 (G-DX-8951) from DE-310 more preferentially than DX-8951, whereas human liver cathepsin L produced DX-8951 preferentially. Release of drugs from DE-310 and cathepsin activities were measured in tumor cell types. The release of both DX-8951 and G-DX-8951 from DE-310 correlated well with cathepsin B activity of tumor cells. The release of DX-8951 was weakly, but not significantly, correlated with cathepsin L activity. In M5076 (high cathepsin activity) or Meth A (low cathepsin activity) xenograft models, the levels of DX-8951 and G-DX-8951 in M5076 were higher than in Meth A after single intravenous administration of DE-310. Our findings suggest that cathepsin B is primarily responsible for drug release from DE-310 in tumor.","container-title":"Biological &amp; Pharmaceutical Bulletin","DOI":"10.1248/bpb.30.2365","ISSN":"0918-6158","issue":"12","journalAbbreviation":"Biol Pharm Bull","language":"eng","note":"PMID: 18057727","page":"2365-2370","source":"PubMed","title":"Relationship between drug release of DE-310, macromolecular prodrug of DX-8951f, and cathepsins activity in several tumors","volume":"30","author":[{"family":"Shiose","given":"Yoshinobu"},{"family":"Ochi","given":"Yusuke"},{"family":"Kuga","given":"Hiroshi"},{"family":"Yamashita","given":"Fumiyoshi"},{"family":"Hashida","given":"Mitsuru"}],"issued":{"date-parts":[["2007",12]]}}}],"schema":"https://github.com/citation-style-language/schema/raw/master/csl-citation.json"} </w:instrText>
            </w:r>
            <w:r w:rsidR="00FA2427" w:rsidRPr="0055215B">
              <w:fldChar w:fldCharType="separate"/>
            </w:r>
            <w:r w:rsidR="00FD57F4" w:rsidRPr="00FD57F4">
              <w:rPr>
                <w:rFonts w:cs="Arial"/>
                <w:szCs w:val="24"/>
                <w:vertAlign w:val="superscript"/>
              </w:rPr>
              <w:t>10–13</w:t>
            </w:r>
            <w:r w:rsidR="00FA2427" w:rsidRPr="0055215B">
              <w:fldChar w:fldCharType="end"/>
            </w:r>
            <w:r w:rsidRPr="0055215B">
              <w:t xml:space="preserve"> The stable linker ensures minimal release of payload in circulation, reducing the risk of off-target toxicity. The linker is selectively cleaved by lysosomal enzymes typically</w:t>
            </w:r>
            <w:r w:rsidRPr="005F58F8">
              <w:rPr>
                <w:rStyle w:val="NICEnormalChar"/>
              </w:rPr>
              <w:t xml:space="preserve"> upregulated</w:t>
            </w:r>
            <w:r w:rsidRPr="0055215B">
              <w:t xml:space="preserve"> in tumour cells.</w:t>
            </w:r>
            <w:r w:rsidR="002B1261" w:rsidRPr="0055215B">
              <w:fldChar w:fldCharType="begin"/>
            </w:r>
            <w:r w:rsidR="00CA6345">
              <w:instrText xml:space="preserve"> ADDIN ZOTERO_ITEM CSL_CITATION {"citationID":"EgXuZInQ","properties":{"formattedCitation":"\\super 10,11\\nosupersub{}","plainCitation":"10,11","noteIndex":0},"citationItems":[{"id":65857,"uris":["http://zotero.org/groups/4797619/items/EI78MMCK"],"itemData":{"id":65857,"type":"article-journal","abstract":"PURPOSE: An anti-HER2 antibody-drug conjugate with a novel topoisomerase I inhibitor, DS-8201a, was generated as a new antitumor drug candidate, and its preclinical pharmacologic profile was assessed.\nEXPERIMENTAL DESIGN: In vitro and in vivo pharmacologic activities of DS-8201a were evaluated and compared with T-DM1 in several HER2-positive cell lines and patient-derived xenograft (PDX) models. The mechanism of action for the efficacy was also evaluated. Pharmacokinetics in cynomolgus monkeys and the safety profiles in rats and cynomolgus monkeys were assessed.\nRESULTS: DS-8201a exhibited a HER2 expression-dependent cell growth-inhibitory activity and induced tumor regression with a single dosing at more than 1 mg/kg in a HER2-positive gastric cancer NCI-N87 model. Binding activity to HER2 and ADCC activity of DS-8201a were comparable with unconjugated anti-HER2 antibody. DS-8201a also showed an inhibitory activity to Akt phosphorylation. DS-8201a induced phosphorylation of Chk1 and Histone H2A.X, the markers of DNA damage. Pharmacokinetics and safety profiles of DS-8201a were favorable and the highest non-severely toxic dose was 30 mg/kg in cynomolgus monkeys, supporting DS-8201a as being well tolerated in humans. DS-8201a was effective in a T-DM1-insensitive PDX model with high HER2 expression. DS-8201a, but not T-DM1, demonstrated antitumor efficacy against several breast cancer PDX models with low HER2 expression.\nCONCLUSIONS: DS-8201a exhibited a potent antitumor activity in a broad selection of HER2-positive models and favorable pharmacokinetics and safety profiles. The results demonstrate that DS-8201a will be a valuable therapy with a great potential to respond to T-DM1-insensitive HER2-positive cancers and low HER2-expressing cancers. Clin Cancer Res; 22(20); 5097-108. ©2016 AACR.","container-title":"Clinical Cancer Research: An Official Journal of the American Association for Cancer Research","DOI":"10.1158/1078-0432.CCR-15-2822","ISSN":"1557-3265","issue":"20","journalAbbreviation":"Clin Cancer Res","language":"eng","note":"PMID: 27026201","page":"5097-5108","source":"PubMed","title":"DS-8201a, A Novel HER2-Targeting ADC with a Novel DNA Topoisomerase I Inhibitor, Demonstrates a Promising Antitumor Efficacy with Differentiation from T-DM1","volume":"22","author":[{"family":"Ogitani","given":"Yusuke"},{"family":"Aida","given":"Tetsuo"},{"family":"Hagihara","given":"Katsunobu"},{"family":"Yamaguchi","given":"Junko"},{"family":"Ishii","given":"Chiaki"},{"family":"Harada","given":"Naoya"},{"family":"Soma","given":"Masako"},{"family":"Okamoto","given":"Hiromi"},{"family":"Oitate","given":"Masataka"},{"family":"Arakawa","given":"Shingo"},{"family":"Hirai","given":"Takehiro"},{"family":"Atsumi","given":"Ryo"},{"family":"Nakada","given":"Takashi"},{"family":"Hayakawa","given":"Ichiro"},{"family":"Abe","given":"Yuki"},{"family":"Agatsuma","given":"Toshinori"}],"issued":{"date-parts":[["2016",10,15]]}}},{"id":65856,"uris":["http://zotero.org/groups/4797619/items/MHLH9KAL"],"itemData":{"id":65856,"type":"article-journal","abstract":"A major limitation of traditional chemotherapy for cancer is dose-limiting toxicity, caused by the exposure of non-tumor cells to cytotoxic agents. Use of molecular targeted drugs, such as specific kinase inhibitors and monoclonal antibodies, is a possible solution to overcome this limitation and has achieved clinical success so far. Use of an antibody-drug conjugate (ADC) is a rational strategy for improving efficacy and reducing systemic adverse events. ADCs use antibodies selectively to deliver a potent cytotoxic agent to tumor cells, thus drastically improving the therapeutic index of chemotherapeutic agents. Lessons learned from clinical failure of early ADCs during the 1980s to 90s have recently led to improvements in ADC technology, and resulted in the approval of four novel ADCs. Nonetheless, further advances in ADC technology are still required to streamline their clinical efficacy and reduce toxicity. [fam-] Trastuzumab deruxtecan (DS-8201a) is a next-generation ADC that satisfies these requirements based on currently available evidence. DS-8201a has several innovative features; a highly potent novel payload with a high drug-to-antibody ratio, good homogeneity, a tumor-selective cleavable linker, stable linker-payload in circulation, and a short systemic half-life cytotoxic agent in vivo; the released cytotoxic payload could exert a bystander effect. With respect to its preclinical profiles, DS-8201a could provide a valuable therapy with a great potential against HER2-expressing cancers in clinical settings. In a phase I trial, DS-8201a showed acceptable safety profiles with potential therapeutic efficacy, with the wide therapeutic index.","container-title":"Chemical &amp; Pharmaceutical Bulletin","DOI":"10.1248/cpb.c18-00744","ISSN":"1347-5223","issue":"3","journalAbbreviation":"Chem Pharm Bull (Tokyo)","language":"eng","note":"PMID: 30827997","page":"173-185","source":"PubMed","title":"The Latest Research and Development into the Antibody-Drug Conjugate, [fam-] Trastuzumab Deruxtecan (DS-8201a), for HER2 Cancer Therapy","volume":"67","author":[{"family":"Nakada","given":"Takashi"},{"family":"Sugihara","given":"Kiyoshi"},{"family":"Jikoh","given":"Takahiro"},{"family":"Abe","given":"Yuki"},{"family":"Agatsuma","given":"Toshinori"}],"issued":{"date-parts":[["2019"]]}}}],"schema":"https://github.com/citation-style-language/schema/raw/master/csl-citation.json"} </w:instrText>
            </w:r>
            <w:r w:rsidR="002B1261" w:rsidRPr="0055215B">
              <w:fldChar w:fldCharType="separate"/>
            </w:r>
            <w:r w:rsidR="00FD57F4" w:rsidRPr="00FD57F4">
              <w:rPr>
                <w:rFonts w:cs="Arial"/>
                <w:szCs w:val="24"/>
                <w:vertAlign w:val="superscript"/>
              </w:rPr>
              <w:t>10,11</w:t>
            </w:r>
            <w:r w:rsidR="002B1261" w:rsidRPr="0055215B">
              <w:fldChar w:fldCharType="end"/>
            </w:r>
            <w:r w:rsidRPr="0055215B">
              <w:t xml:space="preserve"> The payload is cell membrane</w:t>
            </w:r>
            <w:r w:rsidR="00E90448">
              <w:t>-</w:t>
            </w:r>
            <w:r w:rsidRPr="0055215B">
              <w:t>permeable, which enables a bystander antitumour effect resulting in elimination of both target and surrounding tumour cells.</w:t>
            </w:r>
            <w:r w:rsidR="006B606E" w:rsidRPr="0055215B">
              <w:fldChar w:fldCharType="begin"/>
            </w:r>
            <w:r w:rsidR="00CA6345">
              <w:instrText xml:space="preserve"> ADDIN ZOTERO_ITEM CSL_CITATION {"citationID":"MG8FTrOb","properties":{"formattedCitation":"\\super 11\\uc0\\u8211{}14\\nosupersub{}","plainCitation":"11–14","noteIndex":0},"citationItems":[{"id":65856,"uris":["http://zotero.org/groups/4797619/items/MHLH9KAL"],"itemData":{"id":65856,"type":"article-journal","abstract":"A major limitation of traditional chemotherapy for cancer is dose-limiting toxicity, caused by the exposure of non-tumor cells to cytotoxic agents. Use of molecular targeted drugs, such as specific kinase inhibitors and monoclonal antibodies, is a possible solution to overcome this limitation and has achieved clinical success so far. Use of an antibody-drug conjugate (ADC) is a rational strategy for improving efficacy and reducing systemic adverse events. ADCs use antibodies selectively to deliver a potent cytotoxic agent to tumor cells, thus drastically improving the therapeutic index of chemotherapeutic agents. Lessons learned from clinical failure of early ADCs during the 1980s to 90s have recently led to improvements in ADC technology, and resulted in the approval of four novel ADCs. Nonetheless, further advances in ADC technology are still required to streamline their clinical efficacy and reduce toxicity. [fam-] Trastuzumab deruxtecan (DS-8201a) is a next-generation ADC that satisfies these requirements based on currently available evidence. DS-8201a has several innovative features; a highly potent novel payload with a high drug-to-antibody ratio, good homogeneity, a tumor-selective cleavable linker, stable linker-payload in circulation, and a short systemic half-life cytotoxic agent in vivo; the released cytotoxic payload could exert a bystander effect. With respect to its preclinical profiles, DS-8201a could provide a valuable therapy with a great potential against HER2-expressing cancers in clinical settings. In a phase I trial, DS-8201a showed acceptable safety profiles with potential therapeutic efficacy, with the wide therapeutic index.","container-title":"Chemical &amp; Pharmaceutical Bulletin","DOI":"10.1248/cpb.c18-00744","ISSN":"1347-5223","issue":"3","journalAbbreviation":"Chem Pharm Bull (Tokyo)","language":"eng","note":"PMID: 30827997","page":"173-185","source":"PubMed","title":"The Latest Research and Development into the Antibody-Drug Conjugate, [fam-] Trastuzumab Deruxtecan (DS-8201a), for HER2 Cancer Therapy","volume":"67","author":[{"family":"Nakada","given":"Takashi"},{"family":"Sugihara","given":"Kiyoshi"},{"family":"Jikoh","given":"Takahiro"},{"family":"Abe","given":"Yuki"},{"family":"Agatsuma","given":"Toshinori"}],"issued":{"date-parts":[["2019"]]}}},{"id":65855,"uris":["http://zotero.org/groups/4797619/items/4RILEFSL"],"itemData":{"id":65855,"type":"article-journal","abstract":"Trastuzumab deruxtecan (DS-8201a) is an antibody-drug conjugate (ADC) composed of a monoclonal antibody targeting human epidermal growth factor receptor 2 (HER2) conjugated to a topoisomerase I inhibitor (DXd) at a drug-to-antibody ratio (DAR) of 7-8. Here, we examined the pharmacokinetic (PK) profiles of DS-8201a and DXd in cynomolgus monkeys, a cross-reactive species. Following intravenous (iv) administration of DS-8201a, the linker was stable in plasma, and systemic DXd exposure was low. DXd was rapidly cleared following iv dosing. Biodistribution studies revealed that intact DS-8201a was present mostly in the blood without tissue-specific retention. The major pathway of excretion for DXd was the faecal route following iv administration of radiolabelled DS-8201a. The only detectable metabolite in the urine and faeces was unmetabolized DXd. DXd is a substrate of organic anion transporting polypeptides, P-gp, and breast cancer resistance protein. In conclusion, the stable linker in circulation and the high clearance of DXd upon release resulted in the low systemic exposure to DXd. Furthermore, the minimal tissue-specific retention and rapid excretion of DXd into faeces as its unmetabolized form with potentially limited impact on drug - drug interaction as a victim were also critical elements of the PK profile of DS-8201a.","container-title":"Xenobiotica; the Fate of Foreign Compounds in Biological Systems","DOI":"10.1080/00498254.2018.1531158","ISSN":"1366-5928","issue":"9","journalAbbreviation":"Xenobiotica","language":"eng","note":"PMID: 30351177","page":"1086-1096","source":"PubMed","title":"Comprehensive preclinical pharmacokinetic evaluations of trastuzumab deruxtecan (DS-8201a), a HER2-targeting antibody-drug conjugate, in cynomolgus monkeys","volume":"49","author":[{"family":"Nagai","given":"Yoko"},{"family":"Oitate","given":"Masataka"},{"family":"Shiozawa","given":"Hideyuki"},{"family":"Ando","given":"Osamu"}],"issued":{"date-parts":[["2019",9]]}}},{"id":65854,"uris":["http://zotero.org/groups/4797619/items/HUABVT9M"],"itemData":{"id":65854,"type":"article-journal","abstract":"DE-310 is composed of the topoisomerase-I inhibitor DX-8951 (exatecan) and carboxymethyldextran polyalcohol (CM-Dex-PA) carrier, which are covalently linked via peptidyl spacer (Gly-Gly-Phe-Gly). In this study, we investigated relationship between the cathepsin activity and the drug release of DE-310 by use of human liver origin cathepsin (B, L and H) and tumor cells (murine tumor cells (Meth A and M5076), and human tumor cells (HCT116, A549, PC-12, T98G, and HL-60)). Preliminary studies indicated that human liver cathepsin B produced Glycyl DX-8951 (G-DX-8951) from DE-310 more preferentially than DX-8951, whereas human liver cathepsin L produced DX-8951 preferentially. Release of drugs from DE-310 and cathepsin activities were measured in tumor cell types. The release of both DX-8951 and G-DX-8951 from DE-310 correlated well with cathepsin B activity of tumor cells. The release of DX-8951 was weakly, but not significantly, correlated with cathepsin L activity. In M5076 (high cathepsin activity) or Meth A (low cathepsin activity) xenograft models, the levels of DX-8951 and G-DX-8951 in M5076 were higher than in Meth A after single intravenous administration of DE-310. Our findings suggest that cathepsin B is primarily responsible for drug release from DE-310 in tumor.","container-title":"Biological &amp; Pharmaceutical Bulletin","DOI":"10.1248/bpb.30.2365","ISSN":"0918-6158","issue":"12","journalAbbreviation":"Biol Pharm Bull","language":"eng","note":"PMID: 18057727","page":"2365-2370","source":"PubMed","title":"Relationship between drug release of DE-310, macromolecular prodrug of DX-8951f, and cathepsins activity in several tumors","volume":"30","author":[{"family":"Shiose","given":"Yoshinobu"},{"family":"Ochi","given":"Yusuke"},{"family":"Kuga","given":"Hiroshi"},{"family":"Yamashita","given":"Fumiyoshi"},{"family":"Hashida","given":"Mitsuru"}],"issued":{"date-parts":[["2007",12]]}}},{"id":65853,"uris":["http://zotero.org/groups/4797619/items/MWGAM3VZ"],"itemData":{"id":65853,"type":"article-journal","abstract":"Antibody-drug conjugates deliver anticancer agents selectively and efficiently to tumor tissue and have significant antitumor efficacy with a wide therapeutic window. DS-8201a is a human epidermal growth factor receptor 2 (HER2)-targeting antibody-drug conjugate prepared using a novel linker-payload system with a potent topoisomerase I inhibitor, exatecan derivative (DX-8951 derivative, DXd). It was effective against trastuzumab emtansine (T-DM1)-insensitive patient-derived xenograft models with both high and low HER2 expression. In this study, the bystander killing effect of DS-8201a was evaluated and compared with that of T-DM1. We confirmed that the payload of DS-8201a, DXd (1), was highly membrane-permeable whereas that of T-DM1, Lys-SMCC-DM1, had a low level of permeability. Under a coculture condition of HER2-positive KPL-4 cells and negative MDA-MB-468 cells in vitro, DS-8201a killed both cells, whereas T-DM1 and an antibody-drug conjugate with a low permeable payload, anti-HER2-DXd (2), did not. In vivo evaluation was carried out using mice inoculated with a mixture of HER2-positive NCI-N87 cells and HER2-negative MDA-MB-468-Luc cells by using an in vivo imaging system. In vivo, DS-8201a reduced the luciferase signal of the mice, indicating suppression of the MDA-MB-468-Luc population; however, T-DM1 and anti-HER2-DXd (2) did not. Furthermore, it was confirmed that DS-8201a was not effective against MDA-MB-468-Luc tumors inoculated at the opposite side of the NCI-N87 tumor, suggesting that the bystander killing effect of DS-8201a is observed only in cells neighboring HER2-positive cells, indicating low concern in terms of systemic toxicity. These results indicated that DS-8201a has a potent bystander effect due to a highly membrane-permeable payload and is beneficial in treating tumors with HER2 heterogeneity that are unresponsive to T-DM1.","container-title":"Cancer Science","DOI":"10.1111/cas.12966","ISSN":"1349-7006","issue":"7","journalAbbreviation":"Cancer Sci","language":"eng","note":"PMID: 27166974\nPMCID: PMC4946713","page":"1039-1046","source":"PubMed","title":"Bystander killing effect of DS-8201a, a novel anti-human epidermal growth factor receptor 2 antibody-drug conjugate, in tumors with human epidermal growth factor receptor 2 heterogeneity","volume":"107","author":[{"family":"Ogitani","given":"Yusuke"},{"family":"Hagihara","given":"Katsunobu"},{"family":"Oitate","given":"Masataka"},{"family":"Naito","given":"Hiroyuki"},{"family":"Agatsuma","given":"Toshinori"}],"issued":{"date-parts":[["2016",7]]}}}],"schema":"https://github.com/citation-style-language/schema/raw/master/csl-citation.json"} </w:instrText>
            </w:r>
            <w:r w:rsidR="006B606E" w:rsidRPr="0055215B">
              <w:fldChar w:fldCharType="separate"/>
            </w:r>
            <w:r w:rsidR="00FD57F4" w:rsidRPr="00FD57F4">
              <w:rPr>
                <w:rFonts w:cs="Arial"/>
                <w:szCs w:val="24"/>
                <w:vertAlign w:val="superscript"/>
              </w:rPr>
              <w:t>11–14</w:t>
            </w:r>
            <w:r w:rsidR="006B606E" w:rsidRPr="0055215B">
              <w:fldChar w:fldCharType="end"/>
            </w:r>
            <w:r w:rsidRPr="0055215B">
              <w:t xml:space="preserve"> The payload has a short half-life in systemic circulation.</w:t>
            </w:r>
            <w:r w:rsidR="007D2D10" w:rsidRPr="0055215B">
              <w:fldChar w:fldCharType="begin"/>
            </w:r>
            <w:r w:rsidR="00CA6345">
              <w:instrText xml:space="preserve"> ADDIN ZOTERO_ITEM CSL_CITATION {"citationID":"h1faZNim","properties":{"formattedCitation":"\\super 10,11\\nosupersub{}","plainCitation":"10,11","noteIndex":0},"citationItems":[{"id":65857,"uris":["http://zotero.org/groups/4797619/items/EI78MMCK"],"itemData":{"id":65857,"type":"article-journal","abstract":"PURPOSE: An anti-HER2 antibody-drug conjugate with a novel topoisomerase I inhibitor, DS-8201a, was generated as a new antitumor drug candidate, and its preclinical pharmacologic profile was assessed.\nEXPERIMENTAL DESIGN: In vitro and in vivo pharmacologic activities of DS-8201a were evaluated and compared with T-DM1 in several HER2-positive cell lines and patient-derived xenograft (PDX) models. The mechanism of action for the efficacy was also evaluated. Pharmacokinetics in cynomolgus monkeys and the safety profiles in rats and cynomolgus monkeys were assessed.\nRESULTS: DS-8201a exhibited a HER2 expression-dependent cell growth-inhibitory activity and induced tumor regression with a single dosing at more than 1 mg/kg in a HER2-positive gastric cancer NCI-N87 model. Binding activity to HER2 and ADCC activity of DS-8201a were comparable with unconjugated anti-HER2 antibody. DS-8201a also showed an inhibitory activity to Akt phosphorylation. DS-8201a induced phosphorylation of Chk1 and Histone H2A.X, the markers of DNA damage. Pharmacokinetics and safety profiles of DS-8201a were favorable and the highest non-severely toxic dose was 30 mg/kg in cynomolgus monkeys, supporting DS-8201a as being well tolerated in humans. DS-8201a was effective in a T-DM1-insensitive PDX model with high HER2 expression. DS-8201a, but not T-DM1, demonstrated antitumor efficacy against several breast cancer PDX models with low HER2 expression.\nCONCLUSIONS: DS-8201a exhibited a potent antitumor activity in a broad selection of HER2-positive models and favorable pharmacokinetics and safety profiles. The results demonstrate that DS-8201a will be a valuable therapy with a great potential to respond to T-DM1-insensitive HER2-positive cancers and low HER2-expressing cancers. Clin Cancer Res; 22(20); 5097-108. ©2016 AACR.","container-title":"Clinical Cancer Research: An Official Journal of the American Association for Cancer Research","DOI":"10.1158/1078-0432.CCR-15-2822","ISSN":"1557-3265","issue":"20","journalAbbreviation":"Clin Cancer Res","language":"eng","note":"PMID: 27026201","page":"5097-5108","source":"PubMed","title":"DS-8201a, A Novel HER2-Targeting ADC with a Novel DNA Topoisomerase I Inhibitor, Demonstrates a Promising Antitumor Efficacy with Differentiation from T-DM1","volume":"22","author":[{"family":"Ogitani","given":"Yusuke"},{"family":"Aida","given":"Tetsuo"},{"family":"Hagihara","given":"Katsunobu"},{"family":"Yamaguchi","given":"Junko"},{"family":"Ishii","given":"Chiaki"},{"family":"Harada","given":"Naoya"},{"family":"Soma","given":"Masako"},{"family":"Okamoto","given":"Hiromi"},{"family":"Oitate","given":"Masataka"},{"family":"Arakawa","given":"Shingo"},{"family":"Hirai","given":"Takehiro"},{"family":"Atsumi","given":"Ryo"},{"family":"Nakada","given":"Takashi"},{"family":"Hayakawa","given":"Ichiro"},{"family":"Abe","given":"Yuki"},{"family":"Agatsuma","given":"Toshinori"}],"issued":{"date-parts":[["2016",10,15]]}}},{"id":65856,"uris":["http://zotero.org/groups/4797619/items/MHLH9KAL"],"itemData":{"id":65856,"type":"article-journal","abstract":"A major limitation of traditional chemotherapy for cancer is dose-limiting toxicity, caused by the exposure of non-tumor cells to cytotoxic agents. Use of molecular targeted drugs, such as specific kinase inhibitors and monoclonal antibodies, is a possible solution to overcome this limitation and has achieved clinical success so far. Use of an antibody-drug conjugate (ADC) is a rational strategy for improving efficacy and reducing systemic adverse events. ADCs use antibodies selectively to deliver a potent cytotoxic agent to tumor cells, thus drastically improving the therapeutic index of chemotherapeutic agents. Lessons learned from clinical failure of early ADCs during the 1980s to 90s have recently led to improvements in ADC technology, and resulted in the approval of four novel ADCs. Nonetheless, further advances in ADC technology are still required to streamline their clinical efficacy and reduce toxicity. [fam-] Trastuzumab deruxtecan (DS-8201a) is a next-generation ADC that satisfies these requirements based on currently available evidence. DS-8201a has several innovative features; a highly potent novel payload with a high drug-to-antibody ratio, good homogeneity, a tumor-selective cleavable linker, stable linker-payload in circulation, and a short systemic half-life cytotoxic agent in vivo; the released cytotoxic payload could exert a bystander effect. With respect to its preclinical profiles, DS-8201a could provide a valuable therapy with a great potential against HER2-expressing cancers in clinical settings. In a phase I trial, DS-8201a showed acceptable safety profiles with potential therapeutic efficacy, with the wide therapeutic index.","container-title":"Chemical &amp; Pharmaceutical Bulletin","DOI":"10.1248/cpb.c18-00744","ISSN":"1347-5223","issue":"3","journalAbbreviation":"Chem Pharm Bull (Tokyo)","language":"eng","note":"PMID: 30827997","page":"173-185","source":"PubMed","title":"The Latest Research and Development into the Antibody-Drug Conjugate, [fam-] Trastuzumab Deruxtecan (DS-8201a), for HER2 Cancer Therapy","volume":"67","author":[{"family":"Nakada","given":"Takashi"},{"family":"Sugihara","given":"Kiyoshi"},{"family":"Jikoh","given":"Takahiro"},{"family":"Abe","given":"Yuki"},{"family":"Agatsuma","given":"Toshinori"}],"issued":{"date-parts":[["2019"]]}}}],"schema":"https://github.com/citation-style-language/schema/raw/master/csl-citation.json"} </w:instrText>
            </w:r>
            <w:r w:rsidR="007D2D10" w:rsidRPr="0055215B">
              <w:fldChar w:fldCharType="separate"/>
            </w:r>
            <w:r w:rsidR="00FD57F4" w:rsidRPr="00FD57F4">
              <w:rPr>
                <w:rFonts w:cs="Arial"/>
                <w:szCs w:val="24"/>
                <w:vertAlign w:val="superscript"/>
              </w:rPr>
              <w:t>10,11</w:t>
            </w:r>
            <w:r w:rsidR="007D2D10" w:rsidRPr="0055215B">
              <w:fldChar w:fldCharType="end"/>
            </w:r>
            <w:r w:rsidR="007D2D10" w:rsidRPr="0055215B">
              <w:t xml:space="preserve"> </w:t>
            </w:r>
          </w:p>
          <w:p w14:paraId="0CBB28D5" w14:textId="51E79C88" w:rsidR="002B4CA3" w:rsidRPr="0055215B" w:rsidRDefault="002B4CA3" w:rsidP="0031043B">
            <w:pPr>
              <w:pStyle w:val="Tablebody"/>
              <w:spacing w:after="120"/>
            </w:pPr>
            <w:r w:rsidRPr="0055215B">
              <w:t>T-DXd is composed of a humanised anti-HER2 IgG1 mAb with the same amino acid sequence as trastuzumab covalently linked to the membrane-permeable topoisomerase I inhibitor payload DXd via a stable tetrapeptide-based linker selectively cleaved within tumour cells.</w:t>
            </w:r>
            <w:r w:rsidR="004643BF" w:rsidRPr="0055215B">
              <w:fldChar w:fldCharType="begin"/>
            </w:r>
            <w:r w:rsidR="00CA6345">
              <w:instrText xml:space="preserve"> ADDIN ZOTERO_ITEM CSL_CITATION {"citationID":"HKBtdrmJ","properties":{"formattedCitation":"\\super 10,11\\nosupersub{}","plainCitation":"10,11","noteIndex":0},"citationItems":[{"id":65857,"uris":["http://zotero.org/groups/4797619/items/EI78MMCK"],"itemData":{"id":65857,"type":"article-journal","abstract":"PURPOSE: An anti-HER2 antibody-drug conjugate with a novel topoisomerase I inhibitor, DS-8201a, was generated as a new antitumor drug candidate, and its preclinical pharmacologic profile was assessed.\nEXPERIMENTAL DESIGN: In vitro and in vivo pharmacologic activities of DS-8201a were evaluated and compared with T-DM1 in several HER2-positive cell lines and patient-derived xenograft (PDX) models. The mechanism of action for the efficacy was also evaluated. Pharmacokinetics in cynomolgus monkeys and the safety profiles in rats and cynomolgus monkeys were assessed.\nRESULTS: DS-8201a exhibited a HER2 expression-dependent cell growth-inhibitory activity and induced tumor regression with a single dosing at more than 1 mg/kg in a HER2-positive gastric cancer NCI-N87 model. Binding activity to HER2 and ADCC activity of DS-8201a were comparable with unconjugated anti-HER2 antibody. DS-8201a also showed an inhibitory activity to Akt phosphorylation. DS-8201a induced phosphorylation of Chk1 and Histone H2A.X, the markers of DNA damage. Pharmacokinetics and safety profiles of DS-8201a were favorable and the highest non-severely toxic dose was 30 mg/kg in cynomolgus monkeys, supporting DS-8201a as being well tolerated in humans. DS-8201a was effective in a T-DM1-insensitive PDX model with high HER2 expression. DS-8201a, but not T-DM1, demonstrated antitumor efficacy against several breast cancer PDX models with low HER2 expression.\nCONCLUSIONS: DS-8201a exhibited a potent antitumor activity in a broad selection of HER2-positive models and favorable pharmacokinetics and safety profiles. The results demonstrate that DS-8201a will be a valuable therapy with a great potential to respond to T-DM1-insensitive HER2-positive cancers and low HER2-expressing cancers. Clin Cancer Res; 22(20); 5097-108. ©2016 AACR.","container-title":"Clinical Cancer Research: An Official Journal of the American Association for Cancer Research","DOI":"10.1158/1078-0432.CCR-15-2822","ISSN":"1557-3265","issue":"20","journalAbbreviation":"Clin Cancer Res","language":"eng","note":"PMID: 27026201","page":"5097-5108","source":"PubMed","title":"DS-8201a, A Novel HER2-Targeting ADC with a Novel DNA Topoisomerase I Inhibitor, Demonstrates a Promising Antitumor Efficacy with Differentiation from T-DM1","volume":"22","author":[{"family":"Ogitani","given":"Yusuke"},{"family":"Aida","given":"Tetsuo"},{"family":"Hagihara","given":"Katsunobu"},{"family":"Yamaguchi","given":"Junko"},{"family":"Ishii","given":"Chiaki"},{"family":"Harada","given":"Naoya"},{"family":"Soma","given":"Masako"},{"family":"Okamoto","given":"Hiromi"},{"family":"Oitate","given":"Masataka"},{"family":"Arakawa","given":"Shingo"},{"family":"Hirai","given":"Takehiro"},{"family":"Atsumi","given":"Ryo"},{"family":"Nakada","given":"Takashi"},{"family":"Hayakawa","given":"Ichiro"},{"family":"Abe","given":"Yuki"},{"family":"Agatsuma","given":"Toshinori"}],"issued":{"date-parts":[["2016",10,15]]}}},{"id":65856,"uris":["http://zotero.org/groups/4797619/items/MHLH9KAL"],"itemData":{"id":65856,"type":"article-journal","abstract":"A major limitation of traditional chemotherapy for cancer is dose-limiting toxicity, caused by the exposure of non-tumor cells to cytotoxic agents. Use of molecular targeted drugs, such as specific kinase inhibitors and monoclonal antibodies, is a possible solution to overcome this limitation and has achieved clinical success so far. Use of an antibody-drug conjugate (ADC) is a rational strategy for improving efficacy and reducing systemic adverse events. ADCs use antibodies selectively to deliver a potent cytotoxic agent to tumor cells, thus drastically improving the therapeutic index of chemotherapeutic agents. Lessons learned from clinical failure of early ADCs during the 1980s to 90s have recently led to improvements in ADC technology, and resulted in the approval of four novel ADCs. Nonetheless, further advances in ADC technology are still required to streamline their clinical efficacy and reduce toxicity. [fam-] Trastuzumab deruxtecan (DS-8201a) is a next-generation ADC that satisfies these requirements based on currently available evidence. DS-8201a has several innovative features; a highly potent novel payload with a high drug-to-antibody ratio, good homogeneity, a tumor-selective cleavable linker, stable linker-payload in circulation, and a short systemic half-life cytotoxic agent in vivo; the released cytotoxic payload could exert a bystander effect. With respect to its preclinical profiles, DS-8201a could provide a valuable therapy with a great potential against HER2-expressing cancers in clinical settings. In a phase I trial, DS-8201a showed acceptable safety profiles with potential therapeutic efficacy, with the wide therapeutic index.","container-title":"Chemical &amp; Pharmaceutical Bulletin","DOI":"10.1248/cpb.c18-00744","ISSN":"1347-5223","issue":"3","journalAbbreviation":"Chem Pharm Bull (Tokyo)","language":"eng","note":"PMID: 30827997","page":"173-185","source":"PubMed","title":"The Latest Research and Development into the Antibody-Drug Conjugate, [fam-] Trastuzumab Deruxtecan (DS-8201a), for HER2 Cancer Therapy","volume":"67","author":[{"family":"Nakada","given":"Takashi"},{"family":"Sugihara","given":"Kiyoshi"},{"family":"Jikoh","given":"Takahiro"},{"family":"Abe","given":"Yuki"},{"family":"Agatsuma","given":"Toshinori"}],"issued":{"date-parts":[["2019"]]}}}],"schema":"https://github.com/citation-style-language/schema/raw/master/csl-citation.json"} </w:instrText>
            </w:r>
            <w:r w:rsidR="004643BF" w:rsidRPr="0055215B">
              <w:fldChar w:fldCharType="separate"/>
            </w:r>
            <w:r w:rsidR="00FD57F4" w:rsidRPr="00FD57F4">
              <w:rPr>
                <w:rFonts w:cs="Arial"/>
                <w:szCs w:val="24"/>
                <w:vertAlign w:val="superscript"/>
              </w:rPr>
              <w:t>10,11</w:t>
            </w:r>
            <w:r w:rsidR="004643BF" w:rsidRPr="0055215B">
              <w:fldChar w:fldCharType="end"/>
            </w:r>
            <w:r w:rsidRPr="0055215B">
              <w:t xml:space="preserve"> The drug-to-antibody ratio of T-DXd is optimised and homogeneous and is approximately 8*.</w:t>
            </w:r>
          </w:p>
          <w:p w14:paraId="031A1EEB" w14:textId="22429557" w:rsidR="00E46124" w:rsidRPr="0055215B" w:rsidRDefault="005236ED" w:rsidP="00BB76B0">
            <w:pPr>
              <w:pStyle w:val="Tablebody"/>
              <w:rPr>
                <w:rStyle w:val="EndnoteReference"/>
                <w:vertAlign w:val="baseline"/>
              </w:rPr>
            </w:pPr>
            <w:r w:rsidRPr="0055215B">
              <w:t>The HER2-directed mAb selectively binds to its target, HER2, which is expressed on the tumour cell surface.</w:t>
            </w:r>
            <w:r w:rsidRPr="0055215B">
              <w:fldChar w:fldCharType="begin"/>
            </w:r>
            <w:r w:rsidR="00CA6345">
              <w:instrText xml:space="preserve"> ADDIN ZOTERO_ITEM CSL_CITATION {"citationID":"RjDfdSAe","properties":{"formattedCitation":"\\super 10\\nosupersub{}","plainCitation":"10","noteIndex":0},"citationItems":[{"id":65857,"uris":["http://zotero.org/groups/4797619/items/EI78MMCK"],"itemData":{"id":65857,"type":"article-journal","abstract":"PURPOSE: An anti-HER2 antibody-drug conjugate with a novel topoisomerase I inhibitor, DS-8201a, was generated as a new antitumor drug candidate, and its preclinical pharmacologic profile was assessed.\nEXPERIMENTAL DESIGN: In vitro and in vivo pharmacologic activities of DS-8201a were evaluated and compared with T-DM1 in several HER2-positive cell lines and patient-derived xenograft (PDX) models. The mechanism of action for the efficacy was also evaluated. Pharmacokinetics in cynomolgus monkeys and the safety profiles in rats and cynomolgus monkeys were assessed.\nRESULTS: DS-8201a exhibited a HER2 expression-dependent cell growth-inhibitory activity and induced tumor regression with a single dosing at more than 1 mg/kg in a HER2-positive gastric cancer NCI-N87 model. Binding activity to HER2 and ADCC activity of DS-8201a were comparable with unconjugated anti-HER2 antibody. DS-8201a also showed an inhibitory activity to Akt phosphorylation. DS-8201a induced phosphorylation of Chk1 and Histone H2A.X, the markers of DNA damage. Pharmacokinetics and safety profiles of DS-8201a were favorable and the highest non-severely toxic dose was 30 mg/kg in cynomolgus monkeys, supporting DS-8201a as being well tolerated in humans. DS-8201a was effective in a T-DM1-insensitive PDX model with high HER2 expression. DS-8201a, but not T-DM1, demonstrated antitumor efficacy against several breast cancer PDX models with low HER2 expression.\nCONCLUSIONS: DS-8201a exhibited a potent antitumor activity in a broad selection of HER2-positive models and favorable pharmacokinetics and safety profiles. The results demonstrate that DS-8201a will be a valuable therapy with a great potential to respond to T-DM1-insensitive HER2-positive cancers and low HER2-expressing cancers. Clin Cancer Res; 22(20); 5097-108. ©2016 AACR.","container-title":"Clinical Cancer Research: An Official Journal of the American Association for Cancer Research","DOI":"10.1158/1078-0432.CCR-15-2822","ISSN":"1557-3265","issue":"20","journalAbbreviation":"Clin Cancer Res","language":"eng","note":"PMID: 27026201","page":"5097-5108","source":"PubMed","title":"DS-8201a, A Novel HER2-Targeting ADC with a Novel DNA Topoisomerase I Inhibitor, Demonstrates a Promising Antitumor Efficacy with Differentiation from T-DM1","volume":"22","author":[{"family":"Ogitani","given":"Yusuke"},{"family":"Aida","given":"Tetsuo"},{"family":"Hagihara","given":"Katsunobu"},{"family":"Yamaguchi","given":"Junko"},{"family":"Ishii","given":"Chiaki"},{"family":"Harada","given":"Naoya"},{"family":"Soma","given":"Masako"},{"family":"Okamoto","given":"Hiromi"},{"family":"Oitate","given":"Masataka"},{"family":"Arakawa","given":"Shingo"},{"family":"Hirai","given":"Takehiro"},{"family":"Atsumi","given":"Ryo"},{"family":"Nakada","given":"Takashi"},{"family":"Hayakawa","given":"Ichiro"},{"family":"Abe","given":"Yuki"},{"family":"Agatsuma","given":"Toshinori"}],"issued":{"date-parts":[["2016",10,15]]}}}],"schema":"https://github.com/citation-style-language/schema/raw/master/csl-citation.json"} </w:instrText>
            </w:r>
            <w:r w:rsidRPr="0055215B">
              <w:fldChar w:fldCharType="separate"/>
            </w:r>
            <w:r w:rsidR="00FD57F4" w:rsidRPr="00FD57F4">
              <w:rPr>
                <w:rFonts w:cs="Arial"/>
                <w:szCs w:val="24"/>
                <w:vertAlign w:val="superscript"/>
              </w:rPr>
              <w:t>10</w:t>
            </w:r>
            <w:r w:rsidRPr="0055215B">
              <w:fldChar w:fldCharType="end"/>
            </w:r>
            <w:r w:rsidRPr="0055215B">
              <w:t xml:space="preserve"> The ADC is internalised by the tumour cell, where intracellular lysosomal enzymes typically upregulated in tumour cells selectively cleave the tetrapeptide-based linker.</w:t>
            </w:r>
            <w:r w:rsidRPr="0055215B">
              <w:fldChar w:fldCharType="begin"/>
            </w:r>
            <w:r w:rsidR="00CA6345">
              <w:instrText xml:space="preserve"> ADDIN ZOTERO_ITEM CSL_CITATION {"citationID":"NoQnO3wj","properties":{"formattedCitation":"\\super 15\\uc0\\u8211{}17\\nosupersub{}","plainCitation":"15–17","noteIndex":0},"citationItems":[{"id":65851,"uris":["http://zotero.org/groups/4797619/items/AXV4BP4N"],"itemData":{"id":65851,"type":"article-journal","abstract":"Trastuzumab conjugates consisting of exatecan derivatives were prepared and their biological activities and physicochemical properties were evaluated. The ADCs showed strong efficacy and a low aggregation rate. The exatecan derivatives were covalently connected via a peptidyl spacer (Gly-Gly-Phe-Gly), which is assumed to be stable in circulation, and were cleaved by lysosomal enzymes following ADC internalization into tumor tissue. These anti-HER2 ADCs exhibited a high potency, specifically against HER2-positive cancer cell lines in vitro. The ADCs, bearing exatecan derivatives which have more than two methylene chains, exhibited superior cytotoxicity. It was speculated that steric hindrance of the cleavable amide moiety could be involved in the drug release. The adequate alkyl lengths of exatecan derivatives (13, 14, 15) were from two to four in terms of aggregation rate. The ADC having a hydrophilic moiety showed good efficacy in a HER2-positive and Trastuzumab-resistant breast carcinoma cell model in mice.","container-title":"Bioorganic &amp; Medicinal Chemistry Letters","DOI":"10.1016/j.bmcl.2016.02.020","ISSN":"1464-3405","issue":"6","journalAbbreviation":"Bioorg Med Chem Lett","language":"eng","note":"PMID: 26898815","page":"1542-1545","source":"PubMed","title":"Novel antibody drug conjugates containing exatecan derivative-based cytotoxic payloads","volume":"26","author":[{"family":"Nakada","given":"Takashi"},{"family":"Masuda","given":"Takeshi"},{"family":"Naito","given":"Hiroyuki"},{"family":"Yoshida","given":"Masao"},{"family":"Ashida","given":"Shinji"},{"family":"Morita","given":"Koji"},{"family":"Miyazaki","given":"Hideki"},{"family":"Kasuya","given":"Yuji"},{"family":"Ogitani","given":"Yusuke"},{"family":"Yamaguchi","given":"Junko"},{"family":"Abe","given":"Yuki"},{"family":"Honda","given":"Takeshi"}],"issued":{"date-parts":[["2016",3,15]]}}},{"id":65850,"uris":["http://zotero.org/groups/4797619/items/NGRDFLTG"],"itemData":{"id":65850,"type":"article-journal","abstract":"Proteases, including intracellular proteases, play roles at many different stages of malignant progression. Our focus here is cathepsin B, a lysosomal cysteine cathepsin. High levels of cathepsin B are found in a wide variety of human cancers, levels that often induce secretion and association of cathepsin B with the tumor cell membrane. In experimental models, such as transgenic models of murine pancreatic and mammary carcinomas, causal roles for cathepsin B have been demonstrated in initiation, growth/tumor cell proliferation, angiogenesis, invasion, and metastasis. Tumor growth in transgenic models is promoted by cathepsin B in tumor-associated cells, for example, tumor-associated macrophages, as well as in tumor cells. In transgenic models, the absence of cathepsin B has been associated with enhanced apoptosis, yet cathepsin B also has been shown to contribute to apoptosis. Cathepsin B is part of a proteolytic pathway identified in xenograft models of human glioma; targeting only cathepsin B in these tumors is less effective than targeting cathepsin B in combination with other proteases or protease receptors. Understanding the mechanisms responsible for increased expression of cathepsin B in tumors and association of cathepsin B with tumor cell membranes is needed to determine whether targeting cathepsin B could be of therapeutic benefit.","container-title":"Proteomics. Clinical Applications","DOI":"10.1002/prca.201300105","ISSN":"1862-8354","issue":"5-6","journalAbbreviation":"Proteomics Clin Appl","language":"eng","note":"PMID: 24677670\nPMCID: PMC4205946","page":"427-437","source":"PubMed","title":"Cathepsin B: multiple roles in cancer","title-short":"Cathepsin B","volume":"8","author":[{"family":"Aggarwal","given":"Neha"},{"family":"Sloane","given":"Bonnie F."}],"issued":{"date-parts":[["2014",6]]}}},{"id":65849,"uris":["http://zotero.org/groups/4797619/items/DMLGJE9A"],"itemData":{"id":65849,"type":"article-journal","abstract":"OBJECTIVES: The cysteine proteases cathepsin B (CTSB) and L (CTSL) have been implicated in tumor spread and metastatic formation. In pancreatic adenocarcinoma, the role of these proteases is not very well defined. To find out which cell types produce CTSB and CTSL and to evaluate the prognostic impact of these proteases, 70 specimens from curatively resected patients with pancreatic adenocarcinoma were examined by in situ hybridization and immunohisto-chemistry.\nMETHODS: Seventy patients with ductal adenocarcinoma of the pancreas were studied after R0 resection with a follow-up of at least 3 years. CTSB and CTSL expression was performed immunohisto-chemically using polyclonal anti-CTSB and CTSL antibodies. To detect cell types involved in producing CTSB and CTSL as well as the intracellular localization of specific mRNA sequences, nonisotopic in situ hybridization was performed. The correlations among CTSB and CTSL expression, clinicopathologic parameters, and clinical outcome were analyzed.\nRESULTS: The immunoreactivity was 96% for CTSB and 90% for CTSL. Positive mRNA signals were obtained in the cytoplasm tumor cells, macrophages, and fibroblasts in 77% for CTSB and 81% for CTSL, respectively. Statistical analysis showed a significant correlation between CTSB/CTSL expression and tumor grading (P &lt; 0.05) and between CTSB and lymphatic invasion (P = 0.05). Kaplan-Meier analyses revealed statistical significance for CTSB/CTSL expression with the survival after curative resection (P &lt; 0.05). Both proteases are strong prognostic markers in multivariate analysis (P = 0.0001) beside UICC stage, nodal status, tumor size, and grading (P &lt; 0.05). Furthermore, CTSB expression is an independent prognostic marker for cancer recurrence within 6 months after curative surgery in multivariate analysis (P = 0.0001).\nCONCLUSIONS: CTSB and CTSL are strong and independent prognostic markers in resectable pancreatic adenocarcinoma rather than UICC stage, TNM classification, or tumor grading. Furthermore, CTSB is a predictor for early recurrence after curative resection. These data underline the significance of tumor-associated proteolysis for cancer invasion and metastasis and may lead to defining subgroups of patients with early recurrence and poor outcome.","container-title":"Pancreas","DOI":"10.1097/00006676-200410000-00005","ISSN":"1536-4828","issue":"3","journalAbbreviation":"Pancreas","language":"eng","note":"PMID: 15367886","page":"204-211","source":"PubMed","title":"Prognostic impact of cysteine proteases cathepsin B and cathepsin L in pancreatic adenocarcinoma","volume":"29","author":[{"family":"Niedergethmann","given":"Marco"},{"family":"Wostbrock","given":"Birgit"},{"family":"Sturm","given":"Jörg W."},{"family":"Willeke","given":"Frank"},{"family":"Post","given":"Stefan"},{"family":"Hildenbrand","given":"Ralf"}],"issued":{"date-parts":[["2004",10]]}}}],"schema":"https://github.com/citation-style-language/schema/raw/master/csl-citation.json"} </w:instrText>
            </w:r>
            <w:r w:rsidRPr="0055215B">
              <w:fldChar w:fldCharType="separate"/>
            </w:r>
            <w:r w:rsidR="00FD57F4" w:rsidRPr="00FD57F4">
              <w:rPr>
                <w:rFonts w:cs="Arial"/>
                <w:szCs w:val="24"/>
                <w:vertAlign w:val="superscript"/>
              </w:rPr>
              <w:t>15–17</w:t>
            </w:r>
            <w:r w:rsidRPr="0055215B">
              <w:fldChar w:fldCharType="end"/>
            </w:r>
            <w:r w:rsidRPr="0055215B">
              <w:t xml:space="preserve"> The payload is released into the cytoplasm of the cell.</w:t>
            </w:r>
            <w:r w:rsidRPr="0055215B">
              <w:fldChar w:fldCharType="begin"/>
            </w:r>
            <w:r w:rsidR="00CA6345">
              <w:instrText xml:space="preserve"> ADDIN ZOTERO_ITEM CSL_CITATION {"citationID":"QihTqaO4","properties":{"formattedCitation":"\\super 10\\nosupersub{}","plainCitation":"10","noteIndex":0},"citationItems":[{"id":65857,"uris":["http://zotero.org/groups/4797619/items/EI78MMCK"],"itemData":{"id":65857,"type":"article-journal","abstract":"PURPOSE: An anti-HER2 antibody-drug conjugate with a novel topoisomerase I inhibitor, DS-8201a, was generated as a new antitumor drug candidate, and its preclinical pharmacologic profile was assessed.\nEXPERIMENTAL DESIGN: In vitro and in vivo pharmacologic activities of DS-8201a were evaluated and compared with T-DM1 in several HER2-positive cell lines and patient-derived xenograft (PDX) models. The mechanism of action for the efficacy was also evaluated. Pharmacokinetics in cynomolgus monkeys and the safety profiles in rats and cynomolgus monkeys were assessed.\nRESULTS: DS-8201a exhibited a HER2 expression-dependent cell growth-inhibitory activity and induced tumor regression with a single dosing at more than 1 mg/kg in a HER2-positive gastric cancer NCI-N87 model. Binding activity to HER2 and ADCC activity of DS-8201a were comparable with unconjugated anti-HER2 antibody. DS-8201a also showed an inhibitory activity to Akt phosphorylation. DS-8201a induced phosphorylation of Chk1 and Histone H2A.X, the markers of DNA damage. Pharmacokinetics and safety profiles of DS-8201a were favorable and the highest non-severely toxic dose was 30 mg/kg in cynomolgus monkeys, supporting DS-8201a as being well tolerated in humans. DS-8201a was effective in a T-DM1-insensitive PDX model with high HER2 expression. DS-8201a, but not T-DM1, demonstrated antitumor efficacy against several breast cancer PDX models with low HER2 expression.\nCONCLUSIONS: DS-8201a exhibited a potent antitumor activity in a broad selection of HER2-positive models and favorable pharmacokinetics and safety profiles. The results demonstrate that DS-8201a will be a valuable therapy with a great potential to respond to T-DM1-insensitive HER2-positive cancers and low HER2-expressing cancers. Clin Cancer Res; 22(20); 5097-108. ©2016 AACR.","container-title":"Clinical Cancer Research: An Official Journal of the American Association for Cancer Research","DOI":"10.1158/1078-0432.CCR-15-2822","ISSN":"1557-3265","issue":"20","journalAbbreviation":"Clin Cancer Res","language":"eng","note":"PMID: 27026201","page":"5097-5108","source":"PubMed","title":"DS-8201a, A Novel HER2-Targeting ADC with a Novel DNA Topoisomerase I Inhibitor, Demonstrates a Promising Antitumor Efficacy with Differentiation from T-DM1","volume":"22","author":[{"family":"Ogitani","given":"Yusuke"},{"family":"Aida","given":"Tetsuo"},{"family":"Hagihara","given":"Katsunobu"},{"family":"Yamaguchi","given":"Junko"},{"family":"Ishii","given":"Chiaki"},{"family":"Harada","given":"Naoya"},{"family":"Soma","given":"Masako"},{"family":"Okamoto","given":"Hiromi"},{"family":"Oitate","given":"Masataka"},{"family":"Arakawa","given":"Shingo"},{"family":"Hirai","given":"Takehiro"},{"family":"Atsumi","given":"Ryo"},{"family":"Nakada","given":"Takashi"},{"family":"Hayakawa","given":"Ichiro"},{"family":"Abe","given":"Yuki"},{"family":"Agatsuma","given":"Toshinori"}],"issued":{"date-parts":[["2016",10,15]]}}}],"schema":"https://github.com/citation-style-language/schema/raw/master/csl-citation.json"} </w:instrText>
            </w:r>
            <w:r w:rsidRPr="0055215B">
              <w:fldChar w:fldCharType="separate"/>
            </w:r>
            <w:r w:rsidR="00FD57F4" w:rsidRPr="00FD57F4">
              <w:rPr>
                <w:rFonts w:cs="Arial"/>
                <w:szCs w:val="24"/>
                <w:vertAlign w:val="superscript"/>
              </w:rPr>
              <w:t>10</w:t>
            </w:r>
            <w:r w:rsidRPr="0055215B">
              <w:fldChar w:fldCharType="end"/>
            </w:r>
            <w:r w:rsidRPr="0055215B">
              <w:t xml:space="preserve"> The released payload enters the cell nucleus and damages the tumour cell’s DNA, which results in tumour cell death</w:t>
            </w:r>
            <w:r w:rsidR="00BA0C68" w:rsidRPr="002646F6">
              <w:t>.</w:t>
            </w:r>
            <w:r w:rsidR="00011ED3" w:rsidRPr="0055215B">
              <w:fldChar w:fldCharType="begin"/>
            </w:r>
            <w:r w:rsidR="00CA6345">
              <w:instrText xml:space="preserve"> ADDIN ZOTERO_ITEM CSL_CITATION {"citationID":"bhCoJi95","properties":{"formattedCitation":"\\super 6,18\\nosupersub{}","plainCitation":"6,18","noteIndex":0},"citationItems":[{"id":66153,"uris":["http://zotero.org/groups/4797619/items/DIMCLQBB"],"itemData":{"id":66153,"type":"article-journal","container-title":"New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A."}],"issued":{"date-parts":[["2022",7,7]]}}},{"id":65852,"uris":["http://zotero.org/groups/4797619/items/AT863AI3"],"itemData":{"id":65852,"type":"webpage","abstract":"Enhertu extended survival in patients with metastatic HER2-low breast cancer longer than standard chemo, a clinical trial showed.","genre":"cgvBlogPost","language":"en","note":"archive_location: nciglobal,ncienterprise","title":"Trastuzumab Deruxtecan for Metastatic HER2-Low Breast Cancer - NCI","URL":"https://www.cancer.gov/news-events/cancer-currents-blog/2022/enhertu-her2-low-breast-cancer","accessed":{"date-parts":[["2022",9,29]]},"issued":{"date-parts":[["2022",7,5]]}}}],"schema":"https://github.com/citation-style-language/schema/raw/master/csl-citation.json"} </w:instrText>
            </w:r>
            <w:r w:rsidR="00011ED3" w:rsidRPr="0055215B">
              <w:fldChar w:fldCharType="separate"/>
            </w:r>
            <w:r w:rsidR="00FD57F4" w:rsidRPr="00FD57F4">
              <w:rPr>
                <w:rFonts w:cs="Arial"/>
                <w:szCs w:val="24"/>
                <w:vertAlign w:val="superscript"/>
              </w:rPr>
              <w:t>6,18</w:t>
            </w:r>
            <w:r w:rsidR="00011ED3" w:rsidRPr="0055215B">
              <w:fldChar w:fldCharType="end"/>
            </w:r>
            <w:r w:rsidR="00BA0C68" w:rsidRPr="002646F6">
              <w:t xml:space="preserve">  </w:t>
            </w:r>
          </w:p>
        </w:tc>
      </w:tr>
      <w:tr w:rsidR="0055215B" w:rsidRPr="0055215B" w14:paraId="390E0A1A" w14:textId="77777777" w:rsidTr="00613B4E">
        <w:tc>
          <w:tcPr>
            <w:tcW w:w="2833" w:type="dxa"/>
            <w:shd w:val="clear" w:color="auto" w:fill="D9D9D9" w:themeFill="background1" w:themeFillShade="D9"/>
          </w:tcPr>
          <w:p w14:paraId="2F49E56B" w14:textId="77777777" w:rsidR="002B4CA3" w:rsidRPr="0055215B" w:rsidRDefault="002B4CA3" w:rsidP="00613B4E">
            <w:pPr>
              <w:pStyle w:val="Tableheading"/>
            </w:pPr>
            <w:r w:rsidRPr="0055215B">
              <w:t>Marketing authorisation/CE mark status</w:t>
            </w:r>
          </w:p>
        </w:tc>
        <w:tc>
          <w:tcPr>
            <w:tcW w:w="6183" w:type="dxa"/>
          </w:tcPr>
          <w:p w14:paraId="3DBDCFE8" w14:textId="456B8B7B" w:rsidR="00C602F8" w:rsidRPr="0055215B" w:rsidRDefault="002B4CA3" w:rsidP="00613B4E">
            <w:pPr>
              <w:pStyle w:val="Tablebody"/>
            </w:pPr>
            <w:r w:rsidRPr="002646F6">
              <w:t xml:space="preserve">T-DXd </w:t>
            </w:r>
            <w:r w:rsidR="001B7FC9" w:rsidRPr="002646F6">
              <w:t xml:space="preserve">received </w:t>
            </w:r>
            <w:r w:rsidR="00550FF9">
              <w:t>European Commission approval</w:t>
            </w:r>
            <w:r w:rsidR="00F218A0" w:rsidRPr="002646F6">
              <w:t xml:space="preserve"> in HER2-low u/mBC</w:t>
            </w:r>
            <w:r w:rsidR="00C602F8" w:rsidRPr="002646F6">
              <w:t xml:space="preserve"> in </w:t>
            </w:r>
            <w:r w:rsidR="00550FF9">
              <w:t>January 2023.</w:t>
            </w:r>
            <w:r w:rsidR="006E3CE0" w:rsidRPr="0055215B">
              <w:t xml:space="preserve"> </w:t>
            </w:r>
          </w:p>
          <w:p w14:paraId="40F2F763" w14:textId="36AB9F2B" w:rsidR="002B4CA3" w:rsidRPr="0055215B" w:rsidRDefault="006E3CE0" w:rsidP="00613B4E">
            <w:pPr>
              <w:pStyle w:val="Tablebody"/>
              <w:rPr>
                <w:u w:val="single"/>
              </w:rPr>
            </w:pPr>
            <w:r w:rsidRPr="0055215B">
              <w:t>T-DXd</w:t>
            </w:r>
            <w:r w:rsidR="00F218A0" w:rsidRPr="0055215B">
              <w:t xml:space="preserve"> </w:t>
            </w:r>
            <w:r w:rsidR="002B4CA3" w:rsidRPr="0055215B">
              <w:t>is being assessed</w:t>
            </w:r>
            <w:r w:rsidR="00720054" w:rsidRPr="0055215B">
              <w:t xml:space="preserve"> </w:t>
            </w:r>
            <w:r w:rsidR="00D4311C" w:rsidRPr="0055215B">
              <w:t xml:space="preserve">for the indication in this submission </w:t>
            </w:r>
            <w:r w:rsidR="002B4CA3" w:rsidRPr="0055215B">
              <w:t xml:space="preserve">by the MHRA through the European Commission Decision Reliance Procedure. MHRA approval is expected in </w:t>
            </w:r>
            <w:r w:rsidR="00F77ABC" w:rsidRPr="00F77ABC">
              <w:rPr>
                <w:color w:val="000000"/>
                <w:highlight w:val="black"/>
              </w:rPr>
              <w:t>xxxxxxxxxx</w:t>
            </w:r>
            <w:r w:rsidR="002B4CA3" w:rsidRPr="0055215B">
              <w:t>.</w:t>
            </w:r>
          </w:p>
          <w:p w14:paraId="44096FAD" w14:textId="0BFC4858" w:rsidR="002B4CA3" w:rsidRPr="0055215B" w:rsidRDefault="003B2F99" w:rsidP="00613B4E">
            <w:pPr>
              <w:pStyle w:val="Tablebody"/>
            </w:pPr>
            <w:r w:rsidRPr="0055215B">
              <w:t xml:space="preserve">T-DXd was awarded the Innovation Passport designation by the </w:t>
            </w:r>
            <w:r w:rsidR="00F632AA" w:rsidRPr="0055215B">
              <w:t xml:space="preserve">ILAP steering group </w:t>
            </w:r>
            <w:r w:rsidRPr="0055215B">
              <w:t>in May 2022</w:t>
            </w:r>
            <w:r w:rsidR="00F632AA" w:rsidRPr="0055215B">
              <w:t xml:space="preserve"> (ILAP reference number ILAP/IP/22/08265/01)</w:t>
            </w:r>
            <w:r w:rsidR="00532AD4" w:rsidRPr="0055215B">
              <w:t xml:space="preserve">  </w:t>
            </w:r>
          </w:p>
        </w:tc>
      </w:tr>
      <w:tr w:rsidR="0055215B" w:rsidRPr="0055215B" w14:paraId="4AA66A4E" w14:textId="77777777" w:rsidTr="00613B4E">
        <w:tc>
          <w:tcPr>
            <w:tcW w:w="2833" w:type="dxa"/>
            <w:shd w:val="clear" w:color="auto" w:fill="D9D9D9" w:themeFill="background1" w:themeFillShade="D9"/>
          </w:tcPr>
          <w:p w14:paraId="6AA66182" w14:textId="10E77CB0" w:rsidR="002B4CA3" w:rsidRPr="0055215B" w:rsidRDefault="002B4CA3" w:rsidP="00613B4E">
            <w:pPr>
              <w:pStyle w:val="Tableheading"/>
            </w:pPr>
            <w:r w:rsidRPr="0055215B">
              <w:t xml:space="preserve">Indications and any restriction(s) as described in the </w:t>
            </w:r>
            <w:r w:rsidR="007A7F51">
              <w:t>SmPC</w:t>
            </w:r>
          </w:p>
        </w:tc>
        <w:tc>
          <w:tcPr>
            <w:tcW w:w="6183" w:type="dxa"/>
          </w:tcPr>
          <w:p w14:paraId="408557AC" w14:textId="7C4E0DDB" w:rsidR="00953256" w:rsidRPr="0055215B" w:rsidRDefault="00A91C9D" w:rsidP="00953256">
            <w:pPr>
              <w:pStyle w:val="Tablebody"/>
            </w:pPr>
            <w:r w:rsidRPr="002646F6">
              <w:t>T</w:t>
            </w:r>
            <w:r w:rsidR="00B7563B" w:rsidRPr="002646F6">
              <w:t>he</w:t>
            </w:r>
            <w:r w:rsidRPr="002646F6">
              <w:t xml:space="preserve"> </w:t>
            </w:r>
            <w:r w:rsidRPr="002646F6">
              <w:rPr>
                <w:bCs/>
              </w:rPr>
              <w:t>current</w:t>
            </w:r>
            <w:r w:rsidRPr="002646F6">
              <w:t xml:space="preserve"> </w:t>
            </w:r>
            <w:r w:rsidR="00F8567A" w:rsidRPr="002646F6">
              <w:t>licen</w:t>
            </w:r>
            <w:r w:rsidR="0072572E">
              <w:t>s</w:t>
            </w:r>
            <w:r w:rsidR="00F8567A" w:rsidRPr="002646F6">
              <w:t>ed indication</w:t>
            </w:r>
            <w:r w:rsidR="00277D67">
              <w:t>s</w:t>
            </w:r>
            <w:r w:rsidR="00F8567A" w:rsidRPr="002646F6">
              <w:t xml:space="preserve"> for T-DXd </w:t>
            </w:r>
            <w:r w:rsidR="00277D67">
              <w:t>are</w:t>
            </w:r>
            <w:r w:rsidR="00F8567A" w:rsidRPr="002646F6">
              <w:t>:</w:t>
            </w:r>
            <w:r w:rsidRPr="002646F6">
              <w:t xml:space="preserve"> </w:t>
            </w:r>
          </w:p>
          <w:p w14:paraId="1EC44318" w14:textId="35BBD72C" w:rsidR="005C48C9" w:rsidRPr="003C648C" w:rsidRDefault="002B4CA3" w:rsidP="00954359">
            <w:pPr>
              <w:pStyle w:val="Tablebody"/>
              <w:numPr>
                <w:ilvl w:val="0"/>
                <w:numId w:val="31"/>
              </w:numPr>
              <w:ind w:left="315" w:hanging="284"/>
              <w:rPr>
                <w:i/>
              </w:rPr>
            </w:pPr>
            <w:r w:rsidRPr="003C648C">
              <w:rPr>
                <w:i/>
              </w:rPr>
              <w:t xml:space="preserve">T-DXd as monotherapy </w:t>
            </w:r>
            <w:r w:rsidR="00966A7D">
              <w:rPr>
                <w:i/>
              </w:rPr>
              <w:t xml:space="preserve">is indicated </w:t>
            </w:r>
            <w:r w:rsidRPr="003C648C">
              <w:rPr>
                <w:i/>
              </w:rPr>
              <w:t>for the treatment of adult patients with unresectable or metastatic HER2</w:t>
            </w:r>
            <w:r w:rsidR="00BB353C" w:rsidRPr="003C648C">
              <w:rPr>
                <w:i/>
              </w:rPr>
              <w:t>-</w:t>
            </w:r>
            <w:r w:rsidRPr="003C648C">
              <w:rPr>
                <w:i/>
              </w:rPr>
              <w:t xml:space="preserve">positive </w:t>
            </w:r>
            <w:r w:rsidR="00487773">
              <w:rPr>
                <w:i/>
              </w:rPr>
              <w:t>breast cancer</w:t>
            </w:r>
            <w:r w:rsidR="00487773" w:rsidRPr="003C648C">
              <w:rPr>
                <w:i/>
              </w:rPr>
              <w:t xml:space="preserve"> </w:t>
            </w:r>
            <w:r w:rsidRPr="003C648C">
              <w:rPr>
                <w:i/>
              </w:rPr>
              <w:t>who have received one or more prior anti-HER2-based regimens</w:t>
            </w:r>
            <w:r w:rsidR="000527B3" w:rsidRPr="003C648C">
              <w:rPr>
                <w:i/>
              </w:rPr>
              <w:t>.</w:t>
            </w:r>
          </w:p>
          <w:p w14:paraId="386BED1D" w14:textId="4D2A417E" w:rsidR="00DB53E5" w:rsidRPr="00731D94" w:rsidRDefault="005C48C9" w:rsidP="00F710CB">
            <w:pPr>
              <w:pStyle w:val="Tablebody"/>
              <w:numPr>
                <w:ilvl w:val="0"/>
                <w:numId w:val="31"/>
              </w:numPr>
              <w:spacing w:after="120"/>
              <w:ind w:left="312" w:hanging="284"/>
              <w:rPr>
                <w:u w:val="single"/>
              </w:rPr>
            </w:pPr>
            <w:r w:rsidRPr="00731D94">
              <w:rPr>
                <w:i/>
              </w:rPr>
              <w:t>T-DXd as monotherapy</w:t>
            </w:r>
            <w:r w:rsidR="00446B40" w:rsidRPr="00731D94">
              <w:rPr>
                <w:i/>
              </w:rPr>
              <w:t xml:space="preserve"> is indicated</w:t>
            </w:r>
            <w:r w:rsidRPr="00731D94">
              <w:rPr>
                <w:i/>
              </w:rPr>
              <w:t xml:space="preserve"> for the treatment of adult patients with advanced HER2-positive gastric or </w:t>
            </w:r>
            <w:r w:rsidRPr="00731D94">
              <w:rPr>
                <w:i/>
              </w:rPr>
              <w:lastRenderedPageBreak/>
              <w:t>gastroesophageal junction</w:t>
            </w:r>
            <w:r w:rsidR="00925137" w:rsidRPr="00731D94">
              <w:rPr>
                <w:i/>
              </w:rPr>
              <w:t xml:space="preserve"> (GEJ)</w:t>
            </w:r>
            <w:r w:rsidRPr="00731D94">
              <w:rPr>
                <w:i/>
              </w:rPr>
              <w:t xml:space="preserve"> adenocarcinoma who have received a prior trastuzumab-based regimen. </w:t>
            </w:r>
          </w:p>
          <w:p w14:paraId="1F743C0E" w14:textId="691F6845" w:rsidR="00DB53E5" w:rsidRPr="002646F6" w:rsidRDefault="00277D67" w:rsidP="002646F6">
            <w:pPr>
              <w:pStyle w:val="Tablebody"/>
            </w:pPr>
            <w:r>
              <w:t xml:space="preserve">The </w:t>
            </w:r>
            <w:r w:rsidR="00F70A6D">
              <w:t xml:space="preserve">EMA </w:t>
            </w:r>
            <w:r>
              <w:t>marketing authorisation in this indication is</w:t>
            </w:r>
            <w:r w:rsidR="00DB53E5" w:rsidRPr="002646F6">
              <w:t xml:space="preserve">: </w:t>
            </w:r>
          </w:p>
          <w:p w14:paraId="1296970F" w14:textId="67796114" w:rsidR="00926D74" w:rsidRPr="003C648C" w:rsidRDefault="0029174E" w:rsidP="00954359">
            <w:pPr>
              <w:pStyle w:val="Tablebody"/>
              <w:numPr>
                <w:ilvl w:val="0"/>
                <w:numId w:val="31"/>
              </w:numPr>
              <w:ind w:left="315" w:hanging="284"/>
            </w:pPr>
            <w:r w:rsidRPr="003C648C">
              <w:rPr>
                <w:i/>
              </w:rPr>
              <w:t xml:space="preserve">T-DXd as monotherapy </w:t>
            </w:r>
            <w:r w:rsidR="00ED6061" w:rsidRPr="003C648C">
              <w:rPr>
                <w:i/>
              </w:rPr>
              <w:t>is indicated for the treatment of adult patients with unresectable or metastatic HER2 low breast cancer who have received prior chemotherapy in the metastatic setting or developed disease recurrence during or within 6 months of completing adjuvant chemotherapy</w:t>
            </w:r>
            <w:r w:rsidR="00A472FE">
              <w:t xml:space="preserve"> </w:t>
            </w:r>
            <w:r w:rsidR="00A472FE" w:rsidRPr="005C1F04">
              <w:rPr>
                <w:i/>
              </w:rPr>
              <w:t>(see section 4.2)</w:t>
            </w:r>
            <w:r w:rsidR="00A472FE" w:rsidRPr="005C1F04">
              <w:rPr>
                <w:i/>
                <w:iCs/>
              </w:rPr>
              <w:t>.</w:t>
            </w:r>
            <w:r w:rsidR="00A472FE">
              <w:rPr>
                <w:i/>
                <w:iCs/>
              </w:rPr>
              <w:fldChar w:fldCharType="begin"/>
            </w:r>
            <w:r w:rsidR="00CA6345">
              <w:rPr>
                <w:i/>
                <w:iCs/>
              </w:rPr>
              <w:instrText xml:space="preserve"> ADDIN ZOTERO_ITEM CSL_CITATION {"citationID":"uaUHv6SH","properties":{"formattedCitation":"\\super 3\\nosupersub{}","plainCitation":"3","noteIndex":0},"citationItems":[{"id":66851,"uris":["http://zotero.org/groups/4797619/items/EUUYPVTM"],"itemData":{"id":66851,"type":"document","title":"EMA Enhertu Summary of Product Characteristics (SmPC)","URL":"https://www.ema.europa.eu/en/documents/product-information/enhertu-epar-product-information_en.pdf","author":[{"family":"European Medicines Agency (EMA)","given":""}],"issued":{"date-parts":[["2023"]]}}}],"schema":"https://github.com/citation-style-language/schema/raw/master/csl-citation.json"} </w:instrText>
            </w:r>
            <w:r w:rsidR="00A472FE">
              <w:rPr>
                <w:i/>
                <w:iCs/>
              </w:rPr>
              <w:fldChar w:fldCharType="separate"/>
            </w:r>
            <w:r w:rsidR="00FD57F4" w:rsidRPr="00FD57F4">
              <w:rPr>
                <w:rFonts w:cs="Arial"/>
                <w:szCs w:val="24"/>
                <w:vertAlign w:val="superscript"/>
              </w:rPr>
              <w:t>3</w:t>
            </w:r>
            <w:r w:rsidR="00A472FE">
              <w:rPr>
                <w:i/>
                <w:iCs/>
              </w:rPr>
              <w:fldChar w:fldCharType="end"/>
            </w:r>
          </w:p>
          <w:p w14:paraId="5CD0A067" w14:textId="0098E557" w:rsidR="00277D67" w:rsidRPr="0055215B" w:rsidRDefault="00277D67" w:rsidP="003C648C">
            <w:pPr>
              <w:pStyle w:val="Tablebody"/>
              <w:ind w:left="31"/>
            </w:pPr>
            <w:r w:rsidRPr="002646F6">
              <w:t xml:space="preserve">The wording of the </w:t>
            </w:r>
            <w:r>
              <w:t>UK marketing authorisation</w:t>
            </w:r>
            <w:r w:rsidRPr="002646F6">
              <w:t xml:space="preserve"> is</w:t>
            </w:r>
            <w:r>
              <w:t xml:space="preserve"> expected </w:t>
            </w:r>
            <w:r w:rsidR="00F77ABC" w:rsidRPr="00F77ABC">
              <w:rPr>
                <w:color w:val="000000"/>
                <w:highlight w:val="black"/>
              </w:rPr>
              <w:t>xxxxxx</w:t>
            </w:r>
            <w:r w:rsidR="00430942">
              <w:rPr>
                <w:color w:val="000000"/>
                <w:highlight w:val="black"/>
              </w:rPr>
              <w:t xml:space="preserve"> </w:t>
            </w:r>
            <w:r w:rsidR="00F77ABC" w:rsidRPr="00F77ABC">
              <w:rPr>
                <w:color w:val="000000"/>
                <w:highlight w:val="black"/>
              </w:rPr>
              <w:t>xxxxxxxxxxxxxxxxxxxxxxxxxxxxxxxxxx</w:t>
            </w:r>
          </w:p>
        </w:tc>
      </w:tr>
      <w:tr w:rsidR="0055215B" w:rsidRPr="0055215B" w14:paraId="553B3CCD" w14:textId="77777777" w:rsidTr="00613B4E">
        <w:tc>
          <w:tcPr>
            <w:tcW w:w="2833" w:type="dxa"/>
            <w:shd w:val="clear" w:color="auto" w:fill="D9D9D9" w:themeFill="background1" w:themeFillShade="D9"/>
          </w:tcPr>
          <w:p w14:paraId="6D4918D6" w14:textId="77777777" w:rsidR="002B4CA3" w:rsidRPr="0055215B" w:rsidRDefault="002B4CA3" w:rsidP="00613B4E">
            <w:pPr>
              <w:pStyle w:val="Tableheading"/>
            </w:pPr>
            <w:r w:rsidRPr="0055215B">
              <w:lastRenderedPageBreak/>
              <w:t>Method of administration and dosage</w:t>
            </w:r>
          </w:p>
        </w:tc>
        <w:tc>
          <w:tcPr>
            <w:tcW w:w="6183" w:type="dxa"/>
          </w:tcPr>
          <w:p w14:paraId="284AB62A" w14:textId="6BB2A952" w:rsidR="002B4CA3" w:rsidRPr="0055215B" w:rsidRDefault="002B4CA3" w:rsidP="00613B4E">
            <w:pPr>
              <w:pStyle w:val="Tablebody"/>
              <w:rPr>
                <w:highlight w:val="cyan"/>
              </w:rPr>
            </w:pPr>
            <w:r w:rsidRPr="0055215B">
              <w:t>T-DXd is administered as an intravenous infusion once every 3 weeks (21-day cycle) until disease progression or unacceptable toxicity. The recommended dosage is 5.4 m</w:t>
            </w:r>
            <w:r w:rsidR="005F58F8">
              <w:t>A=</w:t>
            </w:r>
            <w:r w:rsidRPr="0055215B">
              <w:t>g/kg</w:t>
            </w:r>
            <w:r w:rsidR="001D743C" w:rsidRPr="0055215B">
              <w:t>.</w:t>
            </w:r>
          </w:p>
        </w:tc>
      </w:tr>
      <w:tr w:rsidR="0055215B" w:rsidRPr="0055215B" w14:paraId="288E7A1D" w14:textId="77777777" w:rsidTr="00613B4E">
        <w:tc>
          <w:tcPr>
            <w:tcW w:w="2833" w:type="dxa"/>
            <w:shd w:val="clear" w:color="auto" w:fill="D9D9D9" w:themeFill="background1" w:themeFillShade="D9"/>
          </w:tcPr>
          <w:p w14:paraId="5C98729E" w14:textId="77777777" w:rsidR="002B4CA3" w:rsidRPr="0055215B" w:rsidRDefault="002B4CA3" w:rsidP="00613B4E">
            <w:pPr>
              <w:pStyle w:val="Tableheading"/>
            </w:pPr>
            <w:r w:rsidRPr="0055215B">
              <w:t>Additional tests or investigations</w:t>
            </w:r>
          </w:p>
        </w:tc>
        <w:tc>
          <w:tcPr>
            <w:tcW w:w="6183" w:type="dxa"/>
          </w:tcPr>
          <w:p w14:paraId="3151C20F" w14:textId="4DFE2ABF" w:rsidR="008124BA" w:rsidRPr="002646F6" w:rsidRDefault="00F200D6" w:rsidP="00751828">
            <w:pPr>
              <w:pStyle w:val="Tablebody"/>
              <w:rPr>
                <w:sz w:val="22"/>
                <w:szCs w:val="22"/>
              </w:rPr>
            </w:pPr>
            <w:r w:rsidRPr="002646F6">
              <w:t xml:space="preserve">HER2 status is routinely assessed in NHS clinical </w:t>
            </w:r>
            <w:r w:rsidR="005A453B" w:rsidRPr="002646F6">
              <w:t>practice</w:t>
            </w:r>
            <w:r w:rsidR="001B57A8">
              <w:t xml:space="preserve"> through IHC and ISH. According to a 2022 </w:t>
            </w:r>
            <w:r w:rsidR="006F374C">
              <w:t>update to UK HER2 testing recommendations</w:t>
            </w:r>
            <w:r w:rsidRPr="002646F6">
              <w:t xml:space="preserve">, </w:t>
            </w:r>
            <w:r w:rsidR="006F374C">
              <w:t>the introduction of HER2-low does not require a change in practice in terms of testing procedures</w:t>
            </w:r>
            <w:r w:rsidRPr="002646F6">
              <w:t>.</w:t>
            </w:r>
            <w:r w:rsidR="00457068">
              <w:fldChar w:fldCharType="begin"/>
            </w:r>
            <w:r w:rsidR="00CA6345">
              <w:instrText xml:space="preserve"> ADDIN ZOTERO_ITEM CSL_CITATION {"citationID":"CbRGznia","properties":{"formattedCitation":"\\super 19\\nosupersub{}","plainCitation":"19","noteIndex":0},"citationItems":[{"id":66780,"uris":["http://zotero.org/groups/4797619/items/367PY2PF"],"itemData":{"id":66780,"type":"article-journal","abstract":"The last UK breast cancer (BC) human epidermal growth factor receptor 2 (HER2) testing guideline recommendations were published in 2015. Since then, new data and therapeutic strategies have emerged. The American Society of Clinical Oncology (ASCO)/College of American Pathologists (CAP) published a focused update in 2018 that reclassified in situ hybridisation (ISH) Group 2 (immunohistochemistry (IHC) score 2+and HER2/chromosome enumeration probe 17 (CEP17) ratio ≥2.0 and HER2 copy number &lt;4.0 signals/cell), as well as addressed other concerns raised by previous guidelines. The present article further refines UK guidelines, with specific attention to definitions of HER2 status focusing on eight key areas: (1) HER2 equivocal (IHC 2+) and assignment of the ASCO/CAP ISH group 2 tumours; (2) the definition of the group of BCs with low IHC scores for HER2 with emphasis on the distinction between IHC score 1+ (HER2-Low) from HER2 IHC score 0 (HER2 negative); (3) reporting cases showing HER2 heterogeneity; (4) HER2 testing in specific settings, including on cytological material; (5) repeat HER2 testing, (6) HER2 testing turnaround time targets; (7) the potential role of next generation sequencing and other diagnostic molecular assays for routine testing of HER2 status in BC and (8) use of image analysis to score HER2 IHC. The two tiered system of HER2 assessment remains unchanged, with first line IHC and then ISH limited to IHC equivocal cases (IHC score 2+) but emerging data on the relationship between IHC scores and levels of response to anti-HER2 therapy are considered. Here, we present the latest UK recommendations for HER2 status evaluation in BC, and where relevant, the differences from other published guidelines.","container-title":"Journal of Clinical Pathology","DOI":"10.1136/jcp-2022-208632","ISSN":"1472-4146","journalAbbreviation":"J Clin Pathol","language":"eng","note":"PMID: 36564170","page":"jcp-2022-208632","source":"PubMed","title":"UK recommendations for HER2 assessment in breast cancer: an update","title-short":"UK recommendations for HER2 assessment in breast cancer","author":[{"family":"Rakha","given":"Emad A."},{"family":"Tan","given":"Puay Hoon"},{"family":"Quinn","given":"Cecily"},{"family":"Provenzano","given":"Elena"},{"family":"Shaaban","given":"Abeer M."},{"family":"Deb","given":"Rahul"},{"family":"Callagy","given":"Grace"},{"family":"Starczynski","given":"Jane"},{"family":"Lee","given":"Andrew H. S."},{"family":"Ellis","given":"Ian O."},{"family":"Pinder","given":"Sarah E."}],"issued":{"date-parts":[["2022",12,23]]}}}],"schema":"https://github.com/citation-style-language/schema/raw/master/csl-citation.json"} </w:instrText>
            </w:r>
            <w:r w:rsidR="00457068">
              <w:fldChar w:fldCharType="separate"/>
            </w:r>
            <w:r w:rsidR="00FD57F4" w:rsidRPr="00FD57F4">
              <w:rPr>
                <w:rFonts w:cs="Arial"/>
                <w:szCs w:val="24"/>
                <w:vertAlign w:val="superscript"/>
              </w:rPr>
              <w:t>19</w:t>
            </w:r>
            <w:r w:rsidR="00457068">
              <w:fldChar w:fldCharType="end"/>
            </w:r>
            <w:r w:rsidRPr="002646F6">
              <w:t xml:space="preserve"> Therefore, no additional tests are required to determine eligibility for T-DXd in HER2-low BC. </w:t>
            </w:r>
          </w:p>
        </w:tc>
      </w:tr>
      <w:tr w:rsidR="0055215B" w:rsidRPr="0055215B" w14:paraId="6EEDA6C6" w14:textId="77777777" w:rsidTr="00613B4E">
        <w:tc>
          <w:tcPr>
            <w:tcW w:w="2833" w:type="dxa"/>
            <w:shd w:val="clear" w:color="auto" w:fill="D9D9D9" w:themeFill="background1" w:themeFillShade="D9"/>
          </w:tcPr>
          <w:p w14:paraId="7CEF7B01" w14:textId="77777777" w:rsidR="002B4CA3" w:rsidRPr="0055215B" w:rsidRDefault="002B4CA3" w:rsidP="00613B4E">
            <w:pPr>
              <w:pStyle w:val="Tableheading"/>
            </w:pPr>
            <w:r w:rsidRPr="0055215B">
              <w:t>List price and average cost of a course of treatment</w:t>
            </w:r>
          </w:p>
        </w:tc>
        <w:tc>
          <w:tcPr>
            <w:tcW w:w="6183" w:type="dxa"/>
          </w:tcPr>
          <w:p w14:paraId="0A4ED8B7" w14:textId="77777777" w:rsidR="002B4CA3" w:rsidRPr="0055215B" w:rsidRDefault="002B4CA3" w:rsidP="00613B4E">
            <w:pPr>
              <w:pStyle w:val="Tablebody"/>
            </w:pPr>
            <w:r w:rsidRPr="0055215B">
              <w:t>List price: £1,455.00 per 100 mg vial</w:t>
            </w:r>
          </w:p>
          <w:p w14:paraId="0DDCA7FF" w14:textId="5F016DD6" w:rsidR="002B4CA3" w:rsidRPr="0055215B" w:rsidRDefault="002B4CA3" w:rsidP="00954359">
            <w:pPr>
              <w:pStyle w:val="Tablebody"/>
              <w:numPr>
                <w:ilvl w:val="0"/>
                <w:numId w:val="14"/>
              </w:numPr>
            </w:pPr>
            <w:r w:rsidRPr="0055215B">
              <w:t xml:space="preserve">Cost per cycle: </w:t>
            </w:r>
            <w:r w:rsidR="00294FDC" w:rsidRPr="00294FDC">
              <w:rPr>
                <w:color w:val="000000"/>
                <w:highlight w:val="black"/>
              </w:rPr>
              <w:t>xxxxxxxxx</w:t>
            </w:r>
            <w:r w:rsidR="009A31C6" w:rsidRPr="00562B2E">
              <w:rPr>
                <w:color w:val="000000" w:themeColor="text1"/>
              </w:rPr>
              <w:t xml:space="preserve"> </w:t>
            </w:r>
            <w:r w:rsidRPr="0055215B">
              <w:rPr>
                <w:rFonts w:cs="Arial"/>
                <w:vertAlign w:val="superscript"/>
              </w:rPr>
              <w:t>†</w:t>
            </w:r>
          </w:p>
          <w:p w14:paraId="65258800" w14:textId="216371F8" w:rsidR="002B4CA3" w:rsidRPr="0055215B" w:rsidRDefault="002B4CA3" w:rsidP="00954359">
            <w:pPr>
              <w:pStyle w:val="Tablebody"/>
              <w:numPr>
                <w:ilvl w:val="0"/>
                <w:numId w:val="14"/>
              </w:numPr>
            </w:pPr>
            <w:r w:rsidRPr="0055215B">
              <w:t xml:space="preserve">Cost per course: </w:t>
            </w:r>
            <w:r w:rsidR="00294FDC" w:rsidRPr="00294FDC">
              <w:rPr>
                <w:color w:val="000000"/>
                <w:highlight w:val="black"/>
              </w:rPr>
              <w:t>xxxxxxxxxx</w:t>
            </w:r>
            <w:r w:rsidR="0071006A" w:rsidRPr="00F710CB">
              <w:t xml:space="preserve"> </w:t>
            </w:r>
            <w:r w:rsidR="00B646F0" w:rsidRPr="0055215B">
              <w:rPr>
                <w:rFonts w:cs="Arial"/>
                <w:vertAlign w:val="superscript"/>
              </w:rPr>
              <w:t>‡</w:t>
            </w:r>
          </w:p>
          <w:p w14:paraId="6BDF41D6" w14:textId="48D6208D" w:rsidR="002B4CA3" w:rsidRPr="0055215B" w:rsidRDefault="002B4CA3" w:rsidP="00613B4E">
            <w:pPr>
              <w:pStyle w:val="Tablebody"/>
            </w:pPr>
            <w:r w:rsidRPr="0055215B">
              <w:t xml:space="preserve">All </w:t>
            </w:r>
            <w:r w:rsidR="003B6629" w:rsidRPr="0055215B">
              <w:t xml:space="preserve">costs </w:t>
            </w:r>
            <w:r w:rsidRPr="0055215B">
              <w:t>exclude VAT</w:t>
            </w:r>
          </w:p>
        </w:tc>
      </w:tr>
      <w:tr w:rsidR="0055215B" w:rsidRPr="0055215B" w14:paraId="504F57DB" w14:textId="77777777" w:rsidTr="00613B4E">
        <w:tc>
          <w:tcPr>
            <w:tcW w:w="2833" w:type="dxa"/>
            <w:shd w:val="clear" w:color="auto" w:fill="D9D9D9" w:themeFill="background1" w:themeFillShade="D9"/>
          </w:tcPr>
          <w:p w14:paraId="2E23F9D5" w14:textId="77777777" w:rsidR="002B4CA3" w:rsidRPr="0055215B" w:rsidRDefault="002B4CA3" w:rsidP="00613B4E">
            <w:pPr>
              <w:pStyle w:val="Tableheading"/>
              <w:keepNext/>
            </w:pPr>
            <w:r w:rsidRPr="0055215B">
              <w:t>Patient access scheme (if applicable)</w:t>
            </w:r>
          </w:p>
        </w:tc>
        <w:tc>
          <w:tcPr>
            <w:tcW w:w="6183" w:type="dxa"/>
          </w:tcPr>
          <w:p w14:paraId="35343C9E" w14:textId="15586872" w:rsidR="002B4CA3" w:rsidRPr="0055215B" w:rsidRDefault="002B4CA3" w:rsidP="00613B4E">
            <w:pPr>
              <w:pStyle w:val="Tablebody"/>
            </w:pPr>
            <w:r w:rsidRPr="0055215B">
              <w:t xml:space="preserve">A simple discount PAS for T-DXd in the form of a fixed price </w:t>
            </w:r>
            <w:r w:rsidR="00983896">
              <w:t>is currently operational</w:t>
            </w:r>
            <w:r w:rsidR="00162809">
              <w:t xml:space="preserve"> in the NHS</w:t>
            </w:r>
            <w:r w:rsidRPr="0055215B">
              <w:t>.</w:t>
            </w:r>
          </w:p>
          <w:p w14:paraId="300643E1" w14:textId="0EFC8125" w:rsidR="002B4CA3" w:rsidRPr="0055215B" w:rsidRDefault="002B4CA3" w:rsidP="00613B4E">
            <w:pPr>
              <w:pStyle w:val="Tablebody"/>
            </w:pPr>
            <w:r w:rsidRPr="0055215B">
              <w:t xml:space="preserve">PAS price: </w:t>
            </w:r>
            <w:r w:rsidR="00F77ABC" w:rsidRPr="00F77ABC">
              <w:rPr>
                <w:color w:val="000000"/>
                <w:highlight w:val="black"/>
              </w:rPr>
              <w:t>xxxxxxx</w:t>
            </w:r>
            <w:r w:rsidRPr="002646F6">
              <w:t xml:space="preserve"> </w:t>
            </w:r>
            <w:r w:rsidRPr="0055215B">
              <w:t>per 100 mg vial</w:t>
            </w:r>
          </w:p>
          <w:p w14:paraId="7B66D757" w14:textId="12E4EAAB" w:rsidR="002B4CA3" w:rsidRPr="0055215B" w:rsidRDefault="002B4CA3" w:rsidP="00954359">
            <w:pPr>
              <w:pStyle w:val="Tablebody"/>
              <w:keepNext/>
              <w:numPr>
                <w:ilvl w:val="0"/>
                <w:numId w:val="15"/>
              </w:numPr>
            </w:pPr>
            <w:r w:rsidRPr="0055215B">
              <w:t xml:space="preserve">Cost per cycle: </w:t>
            </w:r>
            <w:r w:rsidR="00F77ABC" w:rsidRPr="00F77ABC">
              <w:rPr>
                <w:color w:val="000000"/>
                <w:highlight w:val="black"/>
              </w:rPr>
              <w:t>xxxxxxxxx</w:t>
            </w:r>
            <w:r w:rsidR="009A31C6" w:rsidRPr="00F710CB">
              <w:t xml:space="preserve"> </w:t>
            </w:r>
            <w:r w:rsidRPr="0055215B">
              <w:rPr>
                <w:rFonts w:cs="Arial"/>
                <w:vertAlign w:val="superscript"/>
              </w:rPr>
              <w:t>†</w:t>
            </w:r>
          </w:p>
          <w:p w14:paraId="3360252F" w14:textId="178041FF" w:rsidR="002B4CA3" w:rsidRPr="0055215B" w:rsidRDefault="002B4CA3" w:rsidP="00954359">
            <w:pPr>
              <w:pStyle w:val="Tablebody"/>
              <w:numPr>
                <w:ilvl w:val="0"/>
                <w:numId w:val="15"/>
              </w:numPr>
            </w:pPr>
            <w:r w:rsidRPr="0055215B">
              <w:t xml:space="preserve">Cost per course: </w:t>
            </w:r>
            <w:r w:rsidR="00F77ABC" w:rsidRPr="00F77ABC">
              <w:rPr>
                <w:color w:val="000000"/>
                <w:highlight w:val="black"/>
              </w:rPr>
              <w:t>xxxxxxxxxx</w:t>
            </w:r>
            <w:r w:rsidR="009A31C6" w:rsidRPr="00F710CB">
              <w:t xml:space="preserve"> </w:t>
            </w:r>
            <w:r w:rsidRPr="0055215B">
              <w:rPr>
                <w:rFonts w:cs="Arial"/>
                <w:vertAlign w:val="superscript"/>
              </w:rPr>
              <w:t>‡</w:t>
            </w:r>
          </w:p>
          <w:p w14:paraId="0A7F4A3A" w14:textId="08326093" w:rsidR="002B4CA3" w:rsidRPr="0055215B" w:rsidRDefault="002B4CA3" w:rsidP="00613B4E">
            <w:pPr>
              <w:pStyle w:val="Tablebody"/>
            </w:pPr>
            <w:r w:rsidRPr="0055215B">
              <w:t xml:space="preserve">All </w:t>
            </w:r>
            <w:r w:rsidR="003B6629" w:rsidRPr="0055215B">
              <w:t xml:space="preserve">costs </w:t>
            </w:r>
            <w:r w:rsidRPr="0055215B">
              <w:t>exclude VAT</w:t>
            </w:r>
          </w:p>
        </w:tc>
      </w:tr>
    </w:tbl>
    <w:p w14:paraId="0EEA3CA9" w14:textId="22F59E22" w:rsidR="002B4CA3" w:rsidRPr="0055215B" w:rsidRDefault="002B4CA3" w:rsidP="002B4CA3">
      <w:pPr>
        <w:pStyle w:val="Footnotes"/>
      </w:pPr>
      <w:r w:rsidRPr="0055215B">
        <w:t xml:space="preserve">*ADCs are a mixture of molecules in which the drug-to-antibody ratio is variable. Homogeneity of drug-to-antibody ratio refers to a mixture in which there is low variability of drug-to-antibody ratio; the payload number per antibody falls into a narrow range. </w:t>
      </w:r>
      <w:r w:rsidRPr="0055215B">
        <w:br/>
      </w:r>
      <w:r w:rsidRPr="0055215B">
        <w:rPr>
          <w:rFonts w:cs="Arial"/>
        </w:rPr>
        <w:t>†</w:t>
      </w:r>
      <w:r w:rsidR="00AA3E4D" w:rsidRPr="0055215B" w:rsidDel="00AA3E4D">
        <w:t xml:space="preserve"> </w:t>
      </w:r>
      <w:r w:rsidR="00AA3E4D" w:rsidRPr="0055215B">
        <w:t xml:space="preserve">Cost calculation is based on assumptions in the company CE model base case in B3. </w:t>
      </w:r>
      <w:r w:rsidRPr="0055215B">
        <w:br/>
      </w:r>
      <w:r w:rsidRPr="0055215B">
        <w:rPr>
          <w:rFonts w:cs="Arial"/>
          <w:vertAlign w:val="superscript"/>
        </w:rPr>
        <w:t>‡</w:t>
      </w:r>
      <w:r w:rsidR="009A31C6" w:rsidRPr="009A31C6">
        <w:rPr>
          <w:color w:val="000000" w:themeColor="text1"/>
        </w:rPr>
        <w:t xml:space="preserve"> </w:t>
      </w:r>
      <w:r w:rsidR="009A31C6" w:rsidRPr="00562B2E">
        <w:rPr>
          <w:color w:val="000000" w:themeColor="text1"/>
        </w:rPr>
        <w:t xml:space="preserve">Cost per course </w:t>
      </w:r>
      <w:r w:rsidR="009A31C6">
        <w:rPr>
          <w:color w:val="000000" w:themeColor="text1"/>
        </w:rPr>
        <w:t>calculated as median time on treatment [</w:t>
      </w:r>
      <w:r w:rsidR="00294FDC" w:rsidRPr="00294FDC">
        <w:rPr>
          <w:color w:val="000000"/>
          <w:highlight w:val="black"/>
        </w:rPr>
        <w:t>xxxx</w:t>
      </w:r>
      <w:r w:rsidR="009A31C6">
        <w:rPr>
          <w:color w:val="000000" w:themeColor="text1"/>
        </w:rPr>
        <w:t xml:space="preserve"> months = </w:t>
      </w:r>
      <w:r w:rsidR="00294FDC" w:rsidRPr="00294FDC">
        <w:rPr>
          <w:color w:val="000000"/>
          <w:highlight w:val="black"/>
        </w:rPr>
        <w:t>xxxxx</w:t>
      </w:r>
      <w:r w:rsidR="009A31C6">
        <w:rPr>
          <w:color w:val="000000" w:themeColor="text1"/>
        </w:rPr>
        <w:t xml:space="preserve"> cycles] multiplied by cost</w:t>
      </w:r>
      <w:r w:rsidR="009A31C6" w:rsidRPr="00562B2E">
        <w:rPr>
          <w:color w:val="000000" w:themeColor="text1"/>
        </w:rPr>
        <w:t xml:space="preserve"> </w:t>
      </w:r>
      <w:r w:rsidR="009A31C6">
        <w:rPr>
          <w:color w:val="000000" w:themeColor="text1"/>
        </w:rPr>
        <w:t>per cycle,</w:t>
      </w:r>
      <w:r w:rsidR="009A31C6" w:rsidRPr="00562B2E">
        <w:rPr>
          <w:color w:val="000000" w:themeColor="text1"/>
        </w:rPr>
        <w:t xml:space="preserve"> calculated in the cost-effectiveness</w:t>
      </w:r>
      <w:r w:rsidR="009A31C6" w:rsidRPr="00562B2E">
        <w:rPr>
          <w:color w:val="000000" w:themeColor="text1"/>
          <w:sz w:val="20"/>
        </w:rPr>
        <w:t xml:space="preserve"> </w:t>
      </w:r>
      <w:r w:rsidR="009A31C6" w:rsidRPr="00D4551E">
        <w:rPr>
          <w:color w:val="000000" w:themeColor="text1"/>
        </w:rPr>
        <w:t>analysis</w:t>
      </w:r>
      <w:r w:rsidR="004038CA">
        <w:rPr>
          <w:color w:val="000000" w:themeColor="text1"/>
        </w:rPr>
        <w:t>.</w:t>
      </w:r>
      <w:r w:rsidR="009A31C6" w:rsidRPr="0055215B" w:rsidDel="009A31C6">
        <w:rPr>
          <w:rFonts w:cs="Arial"/>
        </w:rPr>
        <w:t xml:space="preserve"> </w:t>
      </w:r>
      <w:r w:rsidRPr="0055215B">
        <w:br/>
        <w:t xml:space="preserve">Abbreviations: ADC, antibody-drug conjugate; </w:t>
      </w:r>
      <w:r w:rsidR="001A3B8F" w:rsidRPr="0055215B">
        <w:t xml:space="preserve">BC, breast cancer; </w:t>
      </w:r>
      <w:r w:rsidR="00C8133A" w:rsidRPr="0055215B">
        <w:t xml:space="preserve">CHMP, Committee for Medicinal Products for Human Use; </w:t>
      </w:r>
      <w:r w:rsidR="007C5D6F">
        <w:t xml:space="preserve">DNA, </w:t>
      </w:r>
      <w:r w:rsidR="001E6F62">
        <w:t>d</w:t>
      </w:r>
      <w:r w:rsidR="001E6F62" w:rsidRPr="002F110B">
        <w:t>eoxyribonucleic acid;</w:t>
      </w:r>
      <w:r w:rsidR="007C5D6F">
        <w:t xml:space="preserve"> </w:t>
      </w:r>
      <w:r w:rsidRPr="0055215B">
        <w:t>HER2, human epidermal growth factor receptor 2;</w:t>
      </w:r>
      <w:r w:rsidR="009067D3" w:rsidRPr="0055215B">
        <w:t xml:space="preserve"> </w:t>
      </w:r>
      <w:r w:rsidR="005A0D51" w:rsidRPr="002646F6">
        <w:t xml:space="preserve">IHC, immunohistochemistry; </w:t>
      </w:r>
      <w:r w:rsidR="00DE38A5" w:rsidRPr="002646F6">
        <w:t>ISH, in</w:t>
      </w:r>
      <w:r w:rsidR="00E555C7">
        <w:t xml:space="preserve"> </w:t>
      </w:r>
      <w:r w:rsidR="00DE38A5" w:rsidRPr="002646F6">
        <w:t xml:space="preserve">situ hybridisation; </w:t>
      </w:r>
      <w:r w:rsidRPr="0055215B">
        <w:t>mAb, monoclonal antibody; MHRA, Medicines and Healthcare products Regulatory Agency; NHS, National Health Service; PAS, patient access scheme; T</w:t>
      </w:r>
      <w:r w:rsidRPr="0055215B">
        <w:noBreakHyphen/>
        <w:t>DXd, trastuzumab deruxtecan</w:t>
      </w:r>
      <w:r w:rsidR="00687D99" w:rsidRPr="0055215B">
        <w:t xml:space="preserve">; </w:t>
      </w:r>
      <w:r w:rsidR="00687D99" w:rsidRPr="002646F6">
        <w:t>VAT, value added tax</w:t>
      </w:r>
      <w:r w:rsidR="00DB3F77">
        <w:t>.</w:t>
      </w:r>
      <w:r w:rsidRPr="0055215B">
        <w:br w:type="page"/>
      </w:r>
    </w:p>
    <w:p w14:paraId="742B3A3F" w14:textId="7C1E2032" w:rsidR="00653EB9" w:rsidRPr="002F5915" w:rsidRDefault="00227EBF" w:rsidP="0034331F">
      <w:pPr>
        <w:pStyle w:val="NICEnormal"/>
      </w:pPr>
      <w:r w:rsidRPr="00227EBF">
        <w:rPr>
          <w:b/>
        </w:rPr>
        <w:lastRenderedPageBreak/>
        <w:fldChar w:fldCharType="begin"/>
      </w:r>
      <w:r w:rsidRPr="00227EBF">
        <w:rPr>
          <w:b/>
        </w:rPr>
        <w:instrText xml:space="preserve"> REF _Ref121943093 \h  \* MERGEFORMAT </w:instrText>
      </w:r>
      <w:r w:rsidRPr="00227EBF">
        <w:rPr>
          <w:b/>
        </w:rPr>
      </w:r>
      <w:r w:rsidRPr="00227EBF">
        <w:rPr>
          <w:b/>
        </w:rPr>
        <w:fldChar w:fldCharType="separate"/>
      </w:r>
      <w:r w:rsidR="00145F42" w:rsidRPr="00145F42">
        <w:rPr>
          <w:b/>
        </w:rPr>
        <w:t xml:space="preserve">Figure </w:t>
      </w:r>
      <w:r w:rsidR="00145F42" w:rsidRPr="00145F42">
        <w:rPr>
          <w:b/>
          <w:noProof/>
        </w:rPr>
        <w:t>1</w:t>
      </w:r>
      <w:r w:rsidRPr="00227EBF">
        <w:rPr>
          <w:b/>
        </w:rPr>
        <w:fldChar w:fldCharType="end"/>
      </w:r>
      <w:r>
        <w:rPr>
          <w:b/>
        </w:rPr>
        <w:t xml:space="preserve"> </w:t>
      </w:r>
      <w:r w:rsidR="00F62F1E">
        <w:t xml:space="preserve">presents an overview of the mechanism of action of T-DXd. </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6"/>
      </w:tblGrid>
      <w:tr w:rsidR="00F62F1E" w14:paraId="4566CBE0" w14:textId="77777777" w:rsidTr="00390513">
        <w:trPr>
          <w:trHeight w:val="475"/>
        </w:trPr>
        <w:tc>
          <w:tcPr>
            <w:tcW w:w="9067" w:type="dxa"/>
            <w:tcBorders>
              <w:bottom w:val="single" w:sz="4" w:space="0" w:color="auto"/>
            </w:tcBorders>
          </w:tcPr>
          <w:p w14:paraId="28A10C6F" w14:textId="0D25B260" w:rsidR="00DB133C" w:rsidRPr="00DB133C" w:rsidRDefault="00227EBF" w:rsidP="00E25549">
            <w:pPr>
              <w:pStyle w:val="Caption"/>
            </w:pPr>
            <w:bookmarkStart w:id="25" w:name="_Ref121943093"/>
            <w:bookmarkStart w:id="26" w:name="_Toc129350927"/>
            <w:r>
              <w:t xml:space="preserve">Figure </w:t>
            </w:r>
            <w:r>
              <w:fldChar w:fldCharType="begin"/>
            </w:r>
            <w:r>
              <w:instrText>SEQ Figure \* ARABIC</w:instrText>
            </w:r>
            <w:r>
              <w:fldChar w:fldCharType="separate"/>
            </w:r>
            <w:r w:rsidR="00145F42">
              <w:rPr>
                <w:noProof/>
              </w:rPr>
              <w:t>1</w:t>
            </w:r>
            <w:r>
              <w:fldChar w:fldCharType="end"/>
            </w:r>
            <w:bookmarkEnd w:id="25"/>
            <w:r>
              <w:t>: Trastuzumab deruxtecan mechanism of action</w:t>
            </w:r>
            <w:r w:rsidR="00C2204F">
              <w:fldChar w:fldCharType="begin"/>
            </w:r>
            <w:r w:rsidR="00CA6345">
              <w:instrText xml:space="preserve"> ADDIN ZOTERO_ITEM CSL_CITATION {"citationID":"W8MPKxn5","properties":{"formattedCitation":"\\super 20\\nosupersub{}","plainCitation":"20","noteIndex":0},"citationItems":[{"id":65848,"uris":["http://zotero.org/groups/4797619/items/XCBQ3YJP"],"itemData":{"id":65848,"type":"article-journal","abstract":"This is a summary of the article discussing the results of the DESTINY-Breast01 study originally published in the New England Journal of Medicine. The DESTINY-Breast01 study is a clinical study in participants with a type of breast cancer called HER2-positive breast cancer. The participants in the study received a treatment called trastuzumab deruxtecan, also known as T-DXd. The purpose of this summary is to help you understand the results of the DESTINY-Breast01 study. T-DXd is currently available as a treatment for adults with HER2-positive breast cancer that cannot be removed by surgery, also called unresectable, or that has spread, also called metastatic. In the DESTINY-Breast01 study, all the participants had HER2-positive breast cancer that was metastatic or unresectable. All participants were required to have had previous treatment for their HER2-positive breast cancer with another treatment, called trastuzumab emtansine or T-DM1. All the participants received T-DXd every 3 weeks. Part 1 was done to learn how T-DXd acted in the body, and to choose a dose to give to all the participants in Part 2. In Part 2, 184 participants received T-DXd at 5.4 mg/kg and the results showed that T-DXd reduced tumor growth. Up to 60.9% of the participants had their tumors shrink or disappear, with a treatment response that lasted for nearly 15 months on average. The participants lived with their cancer for around 16 months before it got worse. During the study, 183 out of 184 participants had side effects, known as adverse events. The most common adverse event was nausea. There were 42 participants (22.8%) who had serious adverse events, including lung toxicity. These results suggest that T-DXd could be a treatment option for people with metastatic HER2-positive breast cancer who have already been treated with T-DM1. Additional studies will provide more information and results about T-DXd. ClinicalTrials.gov NCT number: NCT03248492. To read the full Plain Language Summary of this article, click on the View Article button above and download the PDF. Link to original article here.","container-title":"Future Oncology (London, England)","DOI":"10.2217/fon-2021-0427","ISSN":"1744-8301","issue":"26","journalAbbreviation":"Future Oncol","language":"eng","note":"PMID: 34263665","page":"3415-3423","source":"PubMed","title":"Trastuzumab deruxtecan in previously treated HER2-positive metastatic breast cancer: Plain language summary of the DESTINY-Breast01 study","title-short":"Trastuzumab deruxtecan in previously treated HER2-positive metastatic breast cancer","volume":"17","author":[{"family":"Modi","given":"Shanu"}],"issued":{"date-parts":[["2021",9,1]]}}}],"schema":"https://github.com/citation-style-language/schema/raw/master/csl-citation.json"} </w:instrText>
            </w:r>
            <w:r w:rsidR="00C2204F">
              <w:fldChar w:fldCharType="separate"/>
            </w:r>
            <w:r w:rsidR="00FD57F4" w:rsidRPr="00FD57F4">
              <w:rPr>
                <w:rFonts w:cs="Arial"/>
                <w:szCs w:val="24"/>
                <w:vertAlign w:val="superscript"/>
              </w:rPr>
              <w:t>20</w:t>
            </w:r>
            <w:bookmarkEnd w:id="26"/>
            <w:r w:rsidR="00C2204F">
              <w:fldChar w:fldCharType="end"/>
            </w:r>
          </w:p>
        </w:tc>
      </w:tr>
      <w:tr w:rsidR="00F62F1E" w14:paraId="356571C8" w14:textId="77777777" w:rsidTr="00390513">
        <w:trPr>
          <w:trHeight w:val="5558"/>
        </w:trPr>
        <w:tc>
          <w:tcPr>
            <w:tcW w:w="9067" w:type="dxa"/>
            <w:tcBorders>
              <w:top w:val="single" w:sz="4" w:space="0" w:color="auto"/>
              <w:left w:val="single" w:sz="4" w:space="0" w:color="auto"/>
              <w:bottom w:val="single" w:sz="4" w:space="0" w:color="auto"/>
              <w:right w:val="single" w:sz="4" w:space="0" w:color="auto"/>
            </w:tcBorders>
          </w:tcPr>
          <w:p w14:paraId="13A82A24" w14:textId="77777777" w:rsidR="00F62F1E" w:rsidRDefault="00F62F1E" w:rsidP="00390513">
            <w:pPr>
              <w:pStyle w:val="Body"/>
              <w:spacing w:after="0"/>
            </w:pPr>
            <w:r w:rsidRPr="00950EA5">
              <w:rPr>
                <w:noProof/>
              </w:rPr>
              <w:drawing>
                <wp:inline distT="0" distB="0" distL="0" distR="0" wp14:anchorId="6F072B2A" wp14:editId="70ABDC19">
                  <wp:extent cx="5731510" cy="3488055"/>
                  <wp:effectExtent l="0" t="0" r="254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stretch>
                            <a:fillRect/>
                          </a:stretch>
                        </pic:blipFill>
                        <pic:spPr>
                          <a:xfrm>
                            <a:off x="0" y="0"/>
                            <a:ext cx="5731510" cy="3488055"/>
                          </a:xfrm>
                          <a:prstGeom prst="rect">
                            <a:avLst/>
                          </a:prstGeom>
                        </pic:spPr>
                      </pic:pic>
                    </a:graphicData>
                  </a:graphic>
                </wp:inline>
              </w:drawing>
            </w:r>
          </w:p>
        </w:tc>
      </w:tr>
      <w:tr w:rsidR="00F62F1E" w14:paraId="595A0F3B" w14:textId="77777777" w:rsidTr="00390513">
        <w:trPr>
          <w:trHeight w:val="554"/>
        </w:trPr>
        <w:tc>
          <w:tcPr>
            <w:tcW w:w="9067" w:type="dxa"/>
            <w:tcBorders>
              <w:top w:val="single" w:sz="4" w:space="0" w:color="auto"/>
            </w:tcBorders>
          </w:tcPr>
          <w:p w14:paraId="0FCAE32C" w14:textId="77777777" w:rsidR="00F62F1E" w:rsidRDefault="00F62F1E" w:rsidP="00B329E4">
            <w:pPr>
              <w:pStyle w:val="Footnotes"/>
              <w:spacing w:after="0"/>
            </w:pPr>
            <w:r>
              <w:t>Abbreviations: HER2, human epidermal growth factor receptor 2; T</w:t>
            </w:r>
            <w:r>
              <w:noBreakHyphen/>
              <w:t>DXd, trastuzumab deruxtecan.</w:t>
            </w:r>
          </w:p>
          <w:p w14:paraId="7579B678" w14:textId="21F5ED2D" w:rsidR="00F62F1E" w:rsidRPr="00897404" w:rsidRDefault="00F62F1E" w:rsidP="00227EBF">
            <w:pPr>
              <w:pStyle w:val="Footnotes"/>
              <w:keepNext/>
            </w:pPr>
            <w:r>
              <w:t>Source: Modi et al</w:t>
            </w:r>
            <w:r w:rsidR="009F4EB7">
              <w:t>.</w:t>
            </w:r>
            <w:r>
              <w:t>, 2021</w:t>
            </w:r>
            <w:r w:rsidR="00E5249D">
              <w:fldChar w:fldCharType="begin"/>
            </w:r>
            <w:r w:rsidR="00CA6345">
              <w:instrText xml:space="preserve"> ADDIN ZOTERO_ITEM CSL_CITATION {"citationID":"gkzWHxnr","properties":{"formattedCitation":"\\super 20\\nosupersub{}","plainCitation":"20","noteIndex":0},"citationItems":[{"id":65848,"uris":["http://zotero.org/groups/4797619/items/XCBQ3YJP"],"itemData":{"id":65848,"type":"article-journal","abstract":"This is a summary of the article discussing the results of the DESTINY-Breast01 study originally published in the New England Journal of Medicine. The DESTINY-Breast01 study is a clinical study in participants with a type of breast cancer called HER2-positive breast cancer. The participants in the study received a treatment called trastuzumab deruxtecan, also known as T-DXd. The purpose of this summary is to help you understand the results of the DESTINY-Breast01 study. T-DXd is currently available as a treatment for adults with HER2-positive breast cancer that cannot be removed by surgery, also called unresectable, or that has spread, also called metastatic. In the DESTINY-Breast01 study, all the participants had HER2-positive breast cancer that was metastatic or unresectable. All participants were required to have had previous treatment for their HER2-positive breast cancer with another treatment, called trastuzumab emtansine or T-DM1. All the participants received T-DXd every 3 weeks. Part 1 was done to learn how T-DXd acted in the body, and to choose a dose to give to all the participants in Part 2. In Part 2, 184 participants received T-DXd at 5.4 mg/kg and the results showed that T-DXd reduced tumor growth. Up to 60.9% of the participants had their tumors shrink or disappear, with a treatment response that lasted for nearly 15 months on average. The participants lived with their cancer for around 16 months before it got worse. During the study, 183 out of 184 participants had side effects, known as adverse events. The most common adverse event was nausea. There were 42 participants (22.8%) who had serious adverse events, including lung toxicity. These results suggest that T-DXd could be a treatment option for people with metastatic HER2-positive breast cancer who have already been treated with T-DM1. Additional studies will provide more information and results about T-DXd. ClinicalTrials.gov NCT number: NCT03248492. To read the full Plain Language Summary of this article, click on the View Article button above and download the PDF. Link to original article here.","container-title":"Future Oncology (London, England)","DOI":"10.2217/fon-2021-0427","ISSN":"1744-8301","issue":"26","journalAbbreviation":"Future Oncol","language":"eng","note":"PMID: 34263665","page":"3415-3423","source":"PubMed","title":"Trastuzumab deruxtecan in previously treated HER2-positive metastatic breast cancer: Plain language summary of the DESTINY-Breast01 study","title-short":"Trastuzumab deruxtecan in previously treated HER2-positive metastatic breast cancer","volume":"17","author":[{"family":"Modi","given":"Shanu"}],"issued":{"date-parts":[["2021",9,1]]}}}],"schema":"https://github.com/citation-style-language/schema/raw/master/csl-citation.json"} </w:instrText>
            </w:r>
            <w:r w:rsidR="00E5249D">
              <w:fldChar w:fldCharType="separate"/>
            </w:r>
            <w:r w:rsidR="00FD57F4" w:rsidRPr="00FD57F4">
              <w:rPr>
                <w:rFonts w:cs="Arial"/>
                <w:szCs w:val="24"/>
                <w:vertAlign w:val="superscript"/>
              </w:rPr>
              <w:t>20</w:t>
            </w:r>
            <w:r w:rsidR="00E5249D">
              <w:fldChar w:fldCharType="end"/>
            </w:r>
          </w:p>
        </w:tc>
      </w:tr>
    </w:tbl>
    <w:p w14:paraId="6512F4CC" w14:textId="4DEF427E" w:rsidR="00F7181E" w:rsidRDefault="00F7181E" w:rsidP="00F7181E">
      <w:pPr>
        <w:pStyle w:val="Heading2"/>
      </w:pPr>
      <w:bookmarkStart w:id="27" w:name="_Toc101382222"/>
      <w:bookmarkStart w:id="28" w:name="_Toc101382223"/>
      <w:bookmarkStart w:id="29" w:name="_Toc101382260"/>
      <w:bookmarkStart w:id="30" w:name="_Ref99727416"/>
      <w:bookmarkStart w:id="31" w:name="_Toc129350845"/>
      <w:bookmarkEnd w:id="21"/>
      <w:bookmarkEnd w:id="22"/>
      <w:bookmarkEnd w:id="27"/>
      <w:bookmarkEnd w:id="28"/>
      <w:bookmarkEnd w:id="29"/>
      <w:r>
        <w:t>Health condition and position of the technology in the treatment pathway</w:t>
      </w:r>
      <w:bookmarkEnd w:id="30"/>
      <w:bookmarkEnd w:id="31"/>
    </w:p>
    <w:tbl>
      <w:tblPr>
        <w:tblStyle w:val="TableGrid"/>
        <w:tblW w:w="0" w:type="auto"/>
        <w:shd w:val="clear" w:color="auto" w:fill="D9D9D9" w:themeFill="background1" w:themeFillShade="D9"/>
        <w:tblLook w:val="04A0" w:firstRow="1" w:lastRow="0" w:firstColumn="1" w:lastColumn="0" w:noHBand="0" w:noVBand="1"/>
      </w:tblPr>
      <w:tblGrid>
        <w:gridCol w:w="9016"/>
      </w:tblGrid>
      <w:tr w:rsidR="007C2B76" w:rsidRPr="007C2B76" w14:paraId="79E9F672" w14:textId="77777777" w:rsidTr="00CA3FCC">
        <w:tc>
          <w:tcPr>
            <w:tcW w:w="9016" w:type="dxa"/>
            <w:shd w:val="clear" w:color="auto" w:fill="D9D9D9" w:themeFill="background1" w:themeFillShade="D9"/>
          </w:tcPr>
          <w:p w14:paraId="21CC71E7" w14:textId="7118099E" w:rsidR="00E31B6F" w:rsidRPr="007C2B76" w:rsidRDefault="001D2B5D" w:rsidP="00E31B6F">
            <w:pPr>
              <w:pStyle w:val="Summarybox"/>
              <w:rPr>
                <w:b/>
                <w:bCs/>
              </w:rPr>
            </w:pPr>
            <w:r w:rsidRPr="002646F6">
              <w:rPr>
                <w:b/>
                <w:bCs/>
              </w:rPr>
              <w:t xml:space="preserve">There is an </w:t>
            </w:r>
            <w:r w:rsidR="00123175" w:rsidRPr="002646F6">
              <w:rPr>
                <w:b/>
                <w:bCs/>
              </w:rPr>
              <w:t xml:space="preserve">unmet need for effective targeted therapies </w:t>
            </w:r>
            <w:r w:rsidR="003D3882">
              <w:rPr>
                <w:b/>
                <w:bCs/>
              </w:rPr>
              <w:t>in</w:t>
            </w:r>
            <w:r w:rsidR="003D3882" w:rsidRPr="002646F6">
              <w:rPr>
                <w:b/>
                <w:bCs/>
              </w:rPr>
              <w:t xml:space="preserve"> </w:t>
            </w:r>
            <w:r w:rsidR="00C71B1A" w:rsidRPr="002646F6">
              <w:rPr>
                <w:b/>
                <w:bCs/>
              </w:rPr>
              <w:t>HER2-low u/mBC</w:t>
            </w:r>
            <w:r w:rsidR="00E72EFD" w:rsidRPr="002646F6">
              <w:rPr>
                <w:b/>
                <w:bCs/>
              </w:rPr>
              <w:t xml:space="preserve"> </w:t>
            </w:r>
            <w:r w:rsidR="00123175" w:rsidRPr="002646F6">
              <w:rPr>
                <w:b/>
                <w:bCs/>
              </w:rPr>
              <w:t>given that current</w:t>
            </w:r>
            <w:r w:rsidR="004E6692" w:rsidRPr="002646F6">
              <w:rPr>
                <w:b/>
                <w:bCs/>
              </w:rPr>
              <w:t xml:space="preserve"> treatment </w:t>
            </w:r>
            <w:r w:rsidR="000224CA" w:rsidRPr="002646F6">
              <w:rPr>
                <w:b/>
                <w:bCs/>
              </w:rPr>
              <w:t xml:space="preserve">after prior chemotherapy </w:t>
            </w:r>
            <w:r w:rsidR="004E6692" w:rsidRPr="002646F6">
              <w:rPr>
                <w:b/>
                <w:bCs/>
              </w:rPr>
              <w:t xml:space="preserve">is limited to </w:t>
            </w:r>
            <w:r w:rsidR="00A56F92" w:rsidRPr="002646F6">
              <w:rPr>
                <w:b/>
                <w:bCs/>
              </w:rPr>
              <w:t xml:space="preserve">non-targeted chemotherapies </w:t>
            </w:r>
            <w:r w:rsidR="004E6692" w:rsidRPr="002646F6">
              <w:rPr>
                <w:b/>
                <w:bCs/>
              </w:rPr>
              <w:t>which are associated with limited efficacy</w:t>
            </w:r>
            <w:r w:rsidR="00E72EFD" w:rsidRPr="002646F6">
              <w:rPr>
                <w:b/>
                <w:bCs/>
              </w:rPr>
              <w:t>.</w:t>
            </w:r>
          </w:p>
          <w:p w14:paraId="770CD459" w14:textId="61611CEB" w:rsidR="00546543" w:rsidRPr="007C2B76" w:rsidRDefault="00546543" w:rsidP="00954359">
            <w:pPr>
              <w:pStyle w:val="Summarybox"/>
              <w:numPr>
                <w:ilvl w:val="0"/>
                <w:numId w:val="31"/>
              </w:numPr>
              <w:rPr>
                <w:rFonts w:cs="Arial"/>
              </w:rPr>
            </w:pPr>
            <w:r w:rsidRPr="007C2B76">
              <w:rPr>
                <w:rFonts w:cs="Arial"/>
              </w:rPr>
              <w:t xml:space="preserve">BC is the most common cancer in the UK with </w:t>
            </w:r>
            <w:r w:rsidR="00D012F5" w:rsidRPr="007C2B76">
              <w:rPr>
                <w:rFonts w:cs="Arial"/>
              </w:rPr>
              <w:t>45,291</w:t>
            </w:r>
            <w:r w:rsidRPr="002646F6">
              <w:rPr>
                <w:rFonts w:cs="Arial"/>
              </w:rPr>
              <w:t> </w:t>
            </w:r>
            <w:r w:rsidRPr="007C2B76">
              <w:rPr>
                <w:rFonts w:cs="Arial"/>
              </w:rPr>
              <w:t xml:space="preserve">cases recorded in England in </w:t>
            </w:r>
            <w:r w:rsidRPr="002646F6">
              <w:rPr>
                <w:rFonts w:cs="Arial"/>
              </w:rPr>
              <w:t>2020.</w:t>
            </w:r>
            <w:r w:rsidR="00733788">
              <w:rPr>
                <w:rFonts w:cs="Arial"/>
              </w:rPr>
              <w:fldChar w:fldCharType="begin"/>
            </w:r>
            <w:r w:rsidR="00CA6345">
              <w:rPr>
                <w:rFonts w:cs="Arial"/>
              </w:rPr>
              <w:instrText xml:space="preserve"> ADDIN ZOTERO_ITEM CSL_CITATION {"citationID":"JE2FoWDF","properties":{"formattedCitation":"\\super 21\\nosupersub{}","plainCitation":"21","noteIndex":0},"citationItems":[{"id":66339,"uris":["http://zotero.org/groups/4797619/items/REJQKHRI"],"itemData":{"id":66339,"type":"webpage","title":"CancerData","URL":"https://www.cancerdata.nhs.uk/incidence_and_mortality","accessed":{"date-parts":[["2022",12,14]]}}}],"schema":"https://github.com/citation-style-language/schema/raw/master/csl-citation.json"} </w:instrText>
            </w:r>
            <w:r w:rsidR="00733788">
              <w:rPr>
                <w:rFonts w:cs="Arial"/>
              </w:rPr>
              <w:fldChar w:fldCharType="separate"/>
            </w:r>
            <w:r w:rsidR="00FD57F4" w:rsidRPr="00FD57F4">
              <w:rPr>
                <w:rFonts w:cs="Arial"/>
                <w:szCs w:val="24"/>
                <w:vertAlign w:val="superscript"/>
              </w:rPr>
              <w:t>21</w:t>
            </w:r>
            <w:r w:rsidR="00733788">
              <w:rPr>
                <w:rFonts w:cs="Arial"/>
              </w:rPr>
              <w:fldChar w:fldCharType="end"/>
            </w:r>
            <w:r w:rsidRPr="002646F6">
              <w:rPr>
                <w:rFonts w:cs="Arial"/>
              </w:rPr>
              <w:t xml:space="preserve"> </w:t>
            </w:r>
            <w:r w:rsidRPr="007C2B76">
              <w:rPr>
                <w:rFonts w:cs="Arial"/>
              </w:rPr>
              <w:t>Most cases (&gt;</w:t>
            </w:r>
            <w:r w:rsidRPr="002646F6">
              <w:rPr>
                <w:rFonts w:cs="Arial"/>
              </w:rPr>
              <w:t>70</w:t>
            </w:r>
            <w:r w:rsidRPr="007C2B76">
              <w:rPr>
                <w:rFonts w:cs="Arial"/>
              </w:rPr>
              <w:t>%) of BC are diagnosed at Stage I–II.</w:t>
            </w:r>
            <w:r w:rsidRPr="007C2B76">
              <w:rPr>
                <w:rFonts w:cs="Arial"/>
              </w:rPr>
              <w:fldChar w:fldCharType="begin"/>
            </w:r>
            <w:r w:rsidR="00CA6345">
              <w:rPr>
                <w:rFonts w:cs="Arial"/>
              </w:rPr>
              <w:instrText xml:space="preserve"> ADDIN ZOTERO_ITEM CSL_CITATION {"citationID":"F2k0fTvI","properties":{"formattedCitation":"\\super 22\\nosupersub{}","plainCitation":"22","noteIndex":0},"citationItems":[{"id":65845,"uris":["http://zotero.org/groups/4797619/items/GDHZTYNF"],"itemData":{"id":65845,"type":"webpage","abstract":"Cancer diagnoses and age-standardised incidence rates in 2019 for all types of cancer by age, sex and region including breast, prostate, lung and colorectal cancer. Cancer incidence by deprivation and stage at diagnosis also presented where appropriate.","container-title":"NHS Digital","language":"en","title":"Cancer Registration Statistics, England 2019","URL":"https://digital.nhs.uk/data-and-information/publications/statistical/cancer-registration-statistics/england-2019","accessed":{"date-parts":[["2022",10,3]]}}}],"schema":"https://github.com/citation-style-language/schema/raw/master/csl-citation.json"} </w:instrText>
            </w:r>
            <w:r w:rsidRPr="007C2B76">
              <w:rPr>
                <w:rFonts w:cs="Arial"/>
              </w:rPr>
              <w:fldChar w:fldCharType="separate"/>
            </w:r>
            <w:r w:rsidR="00FD57F4" w:rsidRPr="00FD57F4">
              <w:rPr>
                <w:rFonts w:cs="Arial"/>
                <w:szCs w:val="24"/>
                <w:vertAlign w:val="superscript"/>
              </w:rPr>
              <w:t>22</w:t>
            </w:r>
            <w:r w:rsidRPr="007C2B76">
              <w:rPr>
                <w:rFonts w:cs="Arial"/>
              </w:rPr>
              <w:fldChar w:fldCharType="end"/>
            </w:r>
          </w:p>
          <w:p w14:paraId="423B5391" w14:textId="651AB09A" w:rsidR="00546543" w:rsidRPr="007C2B76" w:rsidRDefault="00546543" w:rsidP="00954359">
            <w:pPr>
              <w:pStyle w:val="Summarybox"/>
              <w:numPr>
                <w:ilvl w:val="0"/>
                <w:numId w:val="31"/>
              </w:numPr>
              <w:rPr>
                <w:rFonts w:cs="Arial"/>
              </w:rPr>
            </w:pPr>
            <w:r w:rsidRPr="002646F6">
              <w:rPr>
                <w:rFonts w:cs="Arial"/>
              </w:rPr>
              <w:t xml:space="preserve">Since </w:t>
            </w:r>
            <w:r w:rsidRPr="007C2B76">
              <w:rPr>
                <w:rFonts w:cs="Arial"/>
              </w:rPr>
              <w:t xml:space="preserve">therapy with curative potential is available </w:t>
            </w:r>
            <w:r w:rsidRPr="002646F6">
              <w:rPr>
                <w:rFonts w:cs="Arial"/>
              </w:rPr>
              <w:t xml:space="preserve">for </w:t>
            </w:r>
            <w:r w:rsidR="00F80FB9" w:rsidRPr="002646F6">
              <w:rPr>
                <w:rFonts w:cs="Arial"/>
              </w:rPr>
              <w:t>Stage I</w:t>
            </w:r>
            <w:r w:rsidR="008A56D8" w:rsidRPr="002646F6">
              <w:rPr>
                <w:rFonts w:cs="Arial"/>
              </w:rPr>
              <w:t xml:space="preserve">–III </w:t>
            </w:r>
            <w:r w:rsidRPr="002646F6">
              <w:rPr>
                <w:rFonts w:cs="Arial"/>
              </w:rPr>
              <w:t>BC,</w:t>
            </w:r>
            <w:r w:rsidRPr="007C2B76">
              <w:rPr>
                <w:rFonts w:cs="Arial"/>
              </w:rPr>
              <w:fldChar w:fldCharType="begin"/>
            </w:r>
            <w:r w:rsidR="00CA6345">
              <w:rPr>
                <w:rFonts w:cs="Arial"/>
              </w:rPr>
              <w:instrText xml:space="preserve"> ADDIN ZOTERO_ITEM CSL_CITATION {"citationID":"7jpzS3UR","properties":{"formattedCitation":"\\super 23\\nosupersub{}","plainCitation":"23","noteIndex":0},"citationItems":[{"id":65877,"uris":["http://zotero.org/groups/4797619/items/AACWD3EG"],"itemData":{"id":65877,"type":"webpage","abstract":"This guideline covers diagnosing and managing early and locally advanced breast cancer. It aims to help healthcare professionals offer the right treatments to people, taking into account the person's individual preferences","language":"eng","note":"publisher: NICE","title":"Early and locally advanced breast cancer: diagnosis and management | NICE [NG101]","title-short":"Overview | Early and locally advanced breast cancer","URL":"https://www.nice.org.uk/guidance/ng101","author":[{"family":"NICE","given":""}],"accessed":{"date-parts":[["2022",10,3]]}},"locator":"101"}],"schema":"https://github.com/citation-style-language/schema/raw/master/csl-citation.json"} </w:instrText>
            </w:r>
            <w:r w:rsidRPr="007C2B76">
              <w:rPr>
                <w:rFonts w:cs="Arial"/>
              </w:rPr>
              <w:fldChar w:fldCharType="separate"/>
            </w:r>
            <w:r w:rsidR="00FD57F4" w:rsidRPr="00FD57F4">
              <w:rPr>
                <w:rFonts w:cs="Arial"/>
                <w:szCs w:val="24"/>
                <w:vertAlign w:val="superscript"/>
              </w:rPr>
              <w:t>23</w:t>
            </w:r>
            <w:r w:rsidRPr="007C2B76">
              <w:rPr>
                <w:rFonts w:cs="Arial"/>
              </w:rPr>
              <w:fldChar w:fldCharType="end"/>
            </w:r>
            <w:r w:rsidRPr="007C2B76">
              <w:rPr>
                <w:rFonts w:cs="Arial"/>
              </w:rPr>
              <w:t xml:space="preserve"> prognosis is good</w:t>
            </w:r>
            <w:r w:rsidR="00506CE7" w:rsidRPr="007C2B76">
              <w:rPr>
                <w:rFonts w:cs="Arial"/>
              </w:rPr>
              <w:t>,</w:t>
            </w:r>
            <w:r w:rsidRPr="007C2B76">
              <w:rPr>
                <w:rFonts w:cs="Arial"/>
              </w:rPr>
              <w:t xml:space="preserve"> </w:t>
            </w:r>
            <w:r w:rsidRPr="002646F6">
              <w:rPr>
                <w:rFonts w:cs="Arial"/>
              </w:rPr>
              <w:t xml:space="preserve">with age-standardised </w:t>
            </w:r>
            <w:r w:rsidRPr="007C2B76">
              <w:rPr>
                <w:rFonts w:cs="Arial"/>
              </w:rPr>
              <w:t>1-year survival rang</w:t>
            </w:r>
            <w:r w:rsidRPr="002646F6">
              <w:rPr>
                <w:rFonts w:cs="Arial"/>
              </w:rPr>
              <w:t>ing</w:t>
            </w:r>
            <w:r w:rsidRPr="007C2B76">
              <w:rPr>
                <w:rFonts w:cs="Arial"/>
              </w:rPr>
              <w:t xml:space="preserve"> from 95.7−100.0%, and 5-year survival </w:t>
            </w:r>
            <w:r w:rsidR="00FF2FA0" w:rsidRPr="002646F6">
              <w:rPr>
                <w:rFonts w:cs="Arial"/>
              </w:rPr>
              <w:t xml:space="preserve">ranging </w:t>
            </w:r>
            <w:r w:rsidRPr="007C2B76">
              <w:rPr>
                <w:rFonts w:cs="Arial"/>
              </w:rPr>
              <w:t>from 73.8–98.7%.</w:t>
            </w:r>
            <w:r w:rsidRPr="007C2B76">
              <w:rPr>
                <w:rFonts w:cs="Arial"/>
              </w:rPr>
              <w:fldChar w:fldCharType="begin"/>
            </w:r>
            <w:r w:rsidR="00CA6345">
              <w:rPr>
                <w:rFonts w:cs="Arial"/>
              </w:rPr>
              <w:instrText xml:space="preserve"> ADDIN ZOTERO_ITEM CSL_CITATION {"citationID":"M3ql3tVd","properties":{"formattedCitation":"\\super 24\\nosupersub{}","plainCitation":"24","noteIndex":0},"citationItems":[{"id":65843,"uris":["http://zotero.org/groups/4797619/items/VS53CJPX"],"itemData":{"id":65843,"type":"webpage","abstract":"Cancer survival statistics for adults and children by stage at diagnosis and by different geographical variations.","container-title":"GOV.UK","language":"en","title":"Cancer survival in England for patients diagnosed between 2014 and 2018, and followed up until 2019","URL":"https://www.gov.uk/government/statistics/cancer-survival-in-england-for-patients-diagnosed-between-2014-and-2018-and-followed-up-until-2019","accessed":{"date-parts":[["2022",10,3]]}}}],"schema":"https://github.com/citation-style-language/schema/raw/master/csl-citation.json"} </w:instrText>
            </w:r>
            <w:r w:rsidRPr="007C2B76">
              <w:rPr>
                <w:rFonts w:cs="Arial"/>
              </w:rPr>
              <w:fldChar w:fldCharType="separate"/>
            </w:r>
            <w:r w:rsidR="00FD57F4" w:rsidRPr="00FD57F4">
              <w:rPr>
                <w:rFonts w:cs="Arial"/>
                <w:szCs w:val="24"/>
                <w:vertAlign w:val="superscript"/>
              </w:rPr>
              <w:t>24</w:t>
            </w:r>
            <w:r w:rsidRPr="007C2B76">
              <w:rPr>
                <w:rFonts w:cs="Arial"/>
              </w:rPr>
              <w:fldChar w:fldCharType="end"/>
            </w:r>
          </w:p>
          <w:p w14:paraId="7901B79E" w14:textId="27B4E777" w:rsidR="00546543" w:rsidRPr="007C2B76" w:rsidRDefault="00FF2FA0" w:rsidP="00954359">
            <w:pPr>
              <w:pStyle w:val="Summarybox"/>
              <w:numPr>
                <w:ilvl w:val="0"/>
                <w:numId w:val="31"/>
              </w:numPr>
              <w:rPr>
                <w:rFonts w:cs="Arial"/>
              </w:rPr>
            </w:pPr>
            <w:r w:rsidRPr="007C2B76">
              <w:rPr>
                <w:rFonts w:cs="Arial"/>
              </w:rPr>
              <w:t>F</w:t>
            </w:r>
            <w:r w:rsidR="00546543" w:rsidRPr="007C2B76">
              <w:rPr>
                <w:rFonts w:cs="Arial"/>
              </w:rPr>
              <w:t xml:space="preserve">or patients diagnosed with – or who develop – unresectable (inoperable Stage III) or metastatic (Stage IV) disease, no curative therapy is available. </w:t>
            </w:r>
            <w:r w:rsidR="00546543" w:rsidRPr="002646F6">
              <w:rPr>
                <w:rFonts w:cs="Arial"/>
              </w:rPr>
              <w:t xml:space="preserve">Survival outcomes </w:t>
            </w:r>
            <w:r w:rsidR="00546543" w:rsidRPr="007C2B76">
              <w:rPr>
                <w:rFonts w:cs="Arial"/>
              </w:rPr>
              <w:t>for patients diagnosed with mBC are poor, with 1- and 5-year age-standardised survival of 66.2% and 26.6%, respectively.</w:t>
            </w:r>
            <w:r w:rsidR="00546543" w:rsidRPr="007C2B76">
              <w:rPr>
                <w:rFonts w:cs="Arial"/>
              </w:rPr>
              <w:fldChar w:fldCharType="begin"/>
            </w:r>
            <w:r w:rsidR="00CA6345">
              <w:rPr>
                <w:rFonts w:cs="Arial"/>
              </w:rPr>
              <w:instrText xml:space="preserve"> ADDIN ZOTERO_ITEM CSL_CITATION {"citationID":"bKqyCfKt","properties":{"formattedCitation":"\\super 24\\nosupersub{}","plainCitation":"24","noteIndex":0},"citationItems":[{"id":65843,"uris":["http://zotero.org/groups/4797619/items/VS53CJPX"],"itemData":{"id":65843,"type":"webpage","abstract":"Cancer survival statistics for adults and children by stage at diagnosis and by different geographical variations.","container-title":"GOV.UK","language":"en","title":"Cancer survival in England for patients diagnosed between 2014 and 2018, and followed up until 2019","URL":"https://www.gov.uk/government/statistics/cancer-survival-in-england-for-patients-diagnosed-between-2014-and-2018-and-followed-up-until-2019","accessed":{"date-parts":[["2022",10,3]]}}}],"schema":"https://github.com/citation-style-language/schema/raw/master/csl-citation.json"} </w:instrText>
            </w:r>
            <w:r w:rsidR="00546543" w:rsidRPr="007C2B76">
              <w:rPr>
                <w:rFonts w:cs="Arial"/>
              </w:rPr>
              <w:fldChar w:fldCharType="separate"/>
            </w:r>
            <w:r w:rsidR="00FD57F4" w:rsidRPr="00FD57F4">
              <w:rPr>
                <w:rFonts w:cs="Arial"/>
                <w:szCs w:val="24"/>
                <w:vertAlign w:val="superscript"/>
              </w:rPr>
              <w:t>24</w:t>
            </w:r>
            <w:r w:rsidR="00546543" w:rsidRPr="007C2B76">
              <w:rPr>
                <w:rFonts w:cs="Arial"/>
              </w:rPr>
              <w:fldChar w:fldCharType="end"/>
            </w:r>
          </w:p>
          <w:p w14:paraId="6FD17C1B" w14:textId="4F5B54A7" w:rsidR="00F61CAF" w:rsidRPr="002646F6" w:rsidRDefault="00F61CAF" w:rsidP="00954359">
            <w:pPr>
              <w:pStyle w:val="Summarybox"/>
              <w:numPr>
                <w:ilvl w:val="0"/>
                <w:numId w:val="31"/>
              </w:numPr>
              <w:rPr>
                <w:rFonts w:cs="Arial"/>
              </w:rPr>
            </w:pPr>
            <w:r w:rsidRPr="007C2B76">
              <w:rPr>
                <w:rFonts w:cs="Arial"/>
              </w:rPr>
              <w:t>The burden of mBC is high</w:t>
            </w:r>
            <w:r w:rsidR="001444BD" w:rsidRPr="007C2B76">
              <w:rPr>
                <w:rFonts w:cs="Arial"/>
              </w:rPr>
              <w:t xml:space="preserve">, </w:t>
            </w:r>
            <w:r w:rsidR="002B1FE6" w:rsidRPr="007C2B76">
              <w:rPr>
                <w:rFonts w:cs="Arial"/>
              </w:rPr>
              <w:t>predominantly due to symptoms caused by secondary tumours, which contribute substantial</w:t>
            </w:r>
            <w:r w:rsidR="008A56D8" w:rsidRPr="007C2B76">
              <w:rPr>
                <w:rFonts w:cs="Arial"/>
              </w:rPr>
              <w:t xml:space="preserve"> physical and</w:t>
            </w:r>
            <w:r w:rsidR="002B1FE6" w:rsidRPr="007C2B76">
              <w:rPr>
                <w:rFonts w:cs="Arial"/>
              </w:rPr>
              <w:t xml:space="preserve"> mental burden, impair QoL, and increase hospital and treatment costs compared with early-stage disease.</w:t>
            </w:r>
            <w:r w:rsidR="0006098E" w:rsidRPr="007C2B76">
              <w:rPr>
                <w:rFonts w:cs="Arial"/>
              </w:rPr>
              <w:fldChar w:fldCharType="begin"/>
            </w:r>
            <w:r w:rsidR="00CA6345">
              <w:rPr>
                <w:rFonts w:cs="Arial"/>
              </w:rPr>
              <w:instrText xml:space="preserve"> ADDIN ZOTERO_ITEM CSL_CITATION {"citationID":"Rrk9HSFp","properties":{"formattedCitation":"\\super 25\\uc0\\u8211{}31\\nosupersub{}","plainCitation":"25–31","noteIndex":0},"citationItems":[{"id":65914,"uris":["http://zotero.org/groups/4797619/items/VWFBS6EV"],"itemData":{"id":65914,"type":"article-journal","abstract":"The most common symptoms in patients with breast cancer metastases are identified and an overview of their management is provided., Approximately 40,000 women die as a result of breast cancer each year and many more live with advanced disease. When breast cancer recurs, the goals of treatment often shift from one of cure to controlling the disease for as long as possible while palliating symptoms interfering with the patient's functional status and quality of life. This requires ongoing discussions with the patient and family about the goals of care. Many symptoms depend on the site of metastasis, with bone being the most frequent, and commonly occur with fatigue, depression, insomnia, and pain. The purpose of this paper is to identify and provide an overview of the management of the most common symptoms in patients with breast cancer metastases.","container-title":"The Oncologist","DOI":"10.1634/theoncologist.2011-0159","ISSN":"1083-7159","issue":"9","journalAbbreviation":"Oncologist","note":"PMID: 21880861\nPMCID: PMC3228166","page":"1203-1214","source":"PubMed Central","title":"Symptom Management in Metastatic Breast Cancer","volume":"16","author":[{"family":"Irvin","given":"William"},{"family":"Muss","given":"Hyman B."},{"family":"Mayer","given":"Deborah K."}],"issued":{"date-parts":[["2011",9]]}}},{"id":65913,"uris":["http://zotero.org/groups/4797619/items/CJ5T6X82"],"itemData":{"id":65913,"type":"webpage","title":"Symptoms of secondary breast cancer | Cancer Research UK","URL":"https://www.cancerresearchuk.org/about-cancer/breast-cancer/secondary/symptoms","accessed":{"date-parts":[["2022",10,24]]}}},{"id":65899,"uris":["http://zotero.org/groups/4797619/items/725ZVB2J"],"itemData":{"id":65899,"type":"article-journal","abstract":"BACKGROUND: Physical symptom burden and psychologic symptoms are highly prevalent in women with breast cancer. The Distress Thermometer and Problem List (DT&amp;PL) is commonly used in oncology clinics to screen for distress and its accompanying Physical Problem List (PPL) identifies pertinent physical symptoms.\nOBJECTIVE: We sought to identify physical symptoms found on the PPL and evaluate whether they are associated with psychologic symptoms in women with breast cancer.\nMETHODS: Patients (n=125) with breast cancer (Stage 0-IV) completed the DT&amp;PL and the Hospital Anxiety and Depression Scale. They reported bother from any of 22 PPL items on the DT&amp;PL. PPL items were assessed for their associations with distress, Hospital Anxiety and Depression Scale-anxiety, and Hospital Anxiety and Depression Scale-depression. The total number of PPL items endorsed per patient was evaluated for associations with psychologic outcomes, controlling for relevant demographic factors.\nRESULTS: Most physical problems were associated with depression (n = 13, 87%), and anxiety (n = 8, 53%), but fewer were associated with distress (n = 4, 27%). In multivariate analyses, a higher total number of problems was associated with younger age (p = 0.03) and more depressive symptoms (p &lt; 0.001).\nCONCLUSION: Physical symptom burden detected by the DT&amp;PL co-occurs with depression most commonly and to a lesser extent anxiety and distress in women with breast cancer. Depression is associated with more types of physical symptoms and a total number of physical symptoms. The endorsement of multiple PPL items on the DT&amp;PL should prompt an evaluation for depression. Similarly, depression should prompt the evaluation and treatment of physical symptom burden.","container-title":"Psychosomatics","DOI":"10.1016/j.psym.2018.01.005","ISSN":"1545-7206","issue":"5","journalAbbreviation":"Psychosomatics","language":"eng","note":"PMID: 29525522\nPMCID: PMC6067989","page":"464-471","source":"PubMed","title":"Physical Symptom Burden and Its Association With Distress, Anxiety, and Depression in Breast Cancer","volume":"59","author":[{"family":"McFarland","given":"Daniel C."},{"family":"Shaffer","given":"Kelly M."},{"family":"Tiersten","given":"Amy"},{"family":"Holland","given":"Jimmie"}],"issued":{"date-parts":[["2018",10]]}}},{"id":66113,"uris":["http://zotero.org/groups/4797619/items/RHJ4MR8W"],"itemData":{"id":66113,"type":"article-journal","abstract":"The impact of different disease stages and treatment for human epidermal growth factor 2 positive (HER2-positive) breast cancer (BC) on work productivity and health-related quality of life (HRQoL) is poorly understood.","container-title":"Health and Quality of Life Outcomes","DOI":"10.1186/s12955-020-01603-w","ISSN":"1477-7525","issue":"1","journalAbbreviation":"Health and Quality of Life Outcomes","page":"353","source":"BioMed Central","title":"Health-related quality of life and work productivity in UK patients with HER2-positive breast cancer: a cross-sectional study evaluating the relationships between disease and treatment stage","title-short":"Health-related quality of life and work productivity in UK patients with HER2-positive breast cancer","volume":"18","author":[{"family":"Verrill","given":"Mark"},{"family":"Wardley","given":"Andrew M."},{"family":"Retzler","given":"Jenny"},{"family":"Smith","given":"Adam B."},{"family":"Bottomley","given":"Catherine"},{"family":"Ní Dhochartaigh","given":"Sorcha"},{"family":"Tran","given":"Irwin"},{"family":"Leslie","given":"Iain"},{"family":"Schmid","given":"Peter"}],"issued":{"date-parts":[["2020",11,2]]}}},{"id":65898,"uris":["http://zotero.org/groups/4797619/items/Q2XRFZMQ"],"itemData":{"id":65898,"type":"article-journal","abstract":"BACKGROUND: Young adults with cancer experience disruptions in their normal developmental trajectories and commonly experience psychologic distress related to their diagnoses. Young women with metastatic breast cancer (MBC) are at particular risk of adverse mental health outcomes.\nOBJECTIVE: We sought to determine the prevalence of and factors associated with anxiety and depression symptoms in young women with newly diagnosed de novo MBC.\nMETHODS: A total of 54 women with newly diagnosed de novo MBC were identified from an ongoing, prospective, multicenter cohort of women diagnosed with breast cancer at age &lt;40. Depression and anxiety symptoms were assessed using the Hospital Anxiety and Depression Scale (HADS). Items assessing socio-demographics, physical symptom burden, social support, and disease and treatment history, with complementary medical record review, were used to assess variables potentially associated with anxiety and depression symptoms.\nRESULTS: Mean HADS Depression score was 4.4 (standard deviation = 3.7) and mean HADS Anxiety score was 7.9 (standard deviation = 5.0). Eleven (20%) women scored ≥8 on the HADS Depression subscale, the suggested threshold for depression/anxiety screening, and 24 (44%) women scored ≥8 on the HADS Anxiety subscale. In a multivariable model of anxiety, higher physical symptom scores (odds ratio = 4.41, p = 0.005) was significantly associated with higher anxiety scores. None of the other variables improved the model fit.\nCONCLUSION: In this study, a considerable proportion of young women with newly diagnosed MBC experienced anxiety symptoms, although depression was less common. Future strategies focused on distress reduction in young MBC patients should focus on physical symptom management as well as anxiety identification and management.","container-title":"Psychosomatics","DOI":"10.1016/j.psym.2018.01.007","ISSN":"1545-7206","issue":"3","journalAbbreviation":"Psychosomatics","language":"eng","note":"PMID: 29525523\nPMCID: PMC5935568","page":"251-258","source":"PubMed","title":"Anxiety and Depression in Young Women With Metastatic Breast Cancer: A Cross-Sectional Study","title-short":"Anxiety and Depression in Young Women With Metastatic Breast Cancer","volume":"59","author":[{"family":"Park","given":"Eliza M."},{"family":"Gelber","given":"Shari"},{"family":"Rosenberg","given":"Shoshana M."},{"family":"Seah","given":"Davinia S. E."},{"family":"Schapira","given":"Lidia"},{"family":"Come","given":"Steven E."},{"family":"Partridge","given":"Ann H."}],"issued":{"date-parts":[["2018",6]]}}},{"id":65896,"uris":["http://zotero.org/groups/4797619/items/AJX85HLT"],"itemData":{"id":65896,"type":"article-journal","abstract":"BACKGROUND: The rising financial burden of cancer on health-care systems worldwide has led to the increased demand for evidence-based research on which to base reimbursement decisions. Economic evaluations are an integral component of this necessary research. Ascertainment of reliable health-care cost and quality-of-life estimates to inform such studies has historically been challenging, but recent advances in informatics in the United Kingdom provide new opportunities.\nMETHODS: The costs of hospital care for breast, colorectal and prostate cancer disease-free survivors were calculated over 15 months from initial diagnosis of cancer using routinely collected data within a UK National Health Service (NHS) Hospital Trust. Costs were linked at patient level to patient-reported outcomes and registry-derived sociodemographic factors. Predictors of cost and the relationship between costs and patient-reported utility were examined.\nRESULTS: The study population included 223 breast cancer patients, 145 colorectal and 104 prostate cancer patients. The mean 15-month cumulative health-care costs were £12 595 (95% CI £11 517-£13 722), £12 643 (£11 282-£14 102) and £3722 (£3263-£4208), per-patient respectively. The majority of costs occurred within the first 6 months from diagnosis. Clinical stage was the most important predictor of costs for all cancer types. EQ-5D score was predictive of costs in colorectal cancer but not in breast or prostate cancer.\nCONCLUSION: It is now possible to evaluate health-care cost using routine NHS data sets. Such methods can be utilised in future retrospective and prospective studies to efficiently collect economic data.","container-title":"British Journal of Cancer","DOI":"10.1038/bjc.2014.644","ISSN":"1532-1827","issue":"5","journalAbbreviation":"Br J Cancer","language":"eng","note":"PMID: 25602964\nPMCID: PMC4453947","page":"948-956","source":"PubMed","title":"Costs of cancer care for use in economic evaluation: a UK analysis of patient-level routine health system data","title-short":"Costs of cancer care for use in economic evaluation","volume":"112","author":[{"family":"Hall","given":"P. S."},{"family":"Hamilton","given":"P."},{"family":"Hulme","given":"C. T."},{"family":"Meads","given":"D. M."},{"family":"Jones","given":"H."},{"family":"Newsham","given":"A."},{"family":"Marti","given":"J."},{"family":"Smith","given":"A. F."},{"family":"Mason","given":"H."},{"family":"Velikova","given":"G."},{"family":"Ashley","given":"L."},{"family":"Wright","given":"P."}],"issued":{"date-parts":[["2015",3,3]]}}},{"id":65895,"uris":["http://zotero.org/groups/4797619/items/MW5KFY5Y"],"itemData":{"id":65895,"type":"article-journal","abstract":"BACKGROUND: Published evidence on treatment costs of breast cancer varies widely in methodology and a global systematic review is lacking.\nOBJECTIVES: This study aimed to conduct a systematic review to compare treatment costs of breast cancer by stage at diagnosis across countries at different levels of socio-economic development, and to identify key methodological differences in costing approaches.\nDATA SOURCES: MEDLINE, EMBASE, and NHS Economic Evaluation Database (NHS EED) before April 2018.\nELIGIBILITY CRITERIA: Studies were eligible if they reported treatment costs of breast cancer by stage at diagnosis using patient level data, in any language.\nSTUDY APPRAISAL AND SYNTHESIS METHODS: Study characteristics and treatment costs by stage were summarised. Study quality was assessed using the Drummond Checklist, and detailed methodological differences were further compared.\nRESULTS: Twenty studies were included, 15 from high-income countries and five from low- and middle-income countries. Eleven studies used the FIGO staging system, and the mean treatment costs of breast cancer at Stage II, III and IV were 32%, 95%, and 109% higher than Stage I. Five studies categorised stage as in situ, local, regional and distant. The mean treatment costs of regional and distant breast cancer were 41% and 165% higher than local breast cancer. Overall, the quality of studies ranged from 50% (lowest quality) to 84% (highest). Most studies used regression frameworks but the choice of regression model was rarely justified. Few studies described key methodological issues including skewness, zero values, censored data, missing data, and the inclusion of control groups to estimate disease-attributable costs.\nCONCLUSIONS: Treatment costs of breast cancer generally increased with the advancement of the disease stage at diagnosis. Methodological issues should be better handled and properly described in future costing studies.","container-title":"PloS One","DOI":"10.1371/journal.pone.0207993","ISSN":"1932-6203","issue":"11","journalAbbreviation":"PLoS One","language":"eng","note":"PMID: 30475890\nPMCID: PMC6258130","page":"e0207993","source":"PubMed","title":"Global treatment costs of breast cancer by stage: A systematic review","title-short":"Global treatment costs of breast cancer by stage","volume":"13","author":[{"family":"Sun","given":"Li"},{"family":"Legood","given":"Rosa"},{"family":"Dos-Santos-Silva","given":"Isabel"},{"family":"Gaiha","given":"Shivani Mathur"},{"family":"Sadique","given":"Zia"}],"issued":{"date-parts":[["2018"]]}}}],"schema":"https://github.com/citation-style-language/schema/raw/master/csl-citation.json"} </w:instrText>
            </w:r>
            <w:r w:rsidR="0006098E" w:rsidRPr="007C2B76">
              <w:rPr>
                <w:rFonts w:cs="Arial"/>
              </w:rPr>
              <w:fldChar w:fldCharType="separate"/>
            </w:r>
            <w:r w:rsidR="00FD57F4" w:rsidRPr="00FD57F4">
              <w:rPr>
                <w:rFonts w:cs="Arial"/>
                <w:szCs w:val="24"/>
                <w:vertAlign w:val="superscript"/>
              </w:rPr>
              <w:t>25–31</w:t>
            </w:r>
            <w:r w:rsidR="0006098E" w:rsidRPr="007C2B76">
              <w:rPr>
                <w:rFonts w:cs="Arial"/>
              </w:rPr>
              <w:fldChar w:fldCharType="end"/>
            </w:r>
            <w:r w:rsidR="002B1FE6" w:rsidRPr="007C2B76">
              <w:rPr>
                <w:rFonts w:cs="Arial"/>
              </w:rPr>
              <w:t xml:space="preserve"> </w:t>
            </w:r>
          </w:p>
          <w:p w14:paraId="0A5C3463" w14:textId="1FDCCF17" w:rsidR="00CE69CA" w:rsidRPr="007C2B76" w:rsidRDefault="004376B4" w:rsidP="00954359">
            <w:pPr>
              <w:pStyle w:val="Summarybox"/>
              <w:numPr>
                <w:ilvl w:val="0"/>
                <w:numId w:val="31"/>
              </w:numPr>
              <w:rPr>
                <w:rFonts w:cs="Arial"/>
              </w:rPr>
            </w:pPr>
            <w:r w:rsidRPr="007C2B76">
              <w:rPr>
                <w:rFonts w:cs="Arial"/>
              </w:rPr>
              <w:t xml:space="preserve">The goal of </w:t>
            </w:r>
            <w:r w:rsidRPr="002646F6">
              <w:rPr>
                <w:rFonts w:cs="Arial"/>
                <w:bCs/>
                <w:iCs/>
              </w:rPr>
              <w:t>treatment for u/mBC</w:t>
            </w:r>
            <w:r w:rsidRPr="007C2B76">
              <w:rPr>
                <w:rFonts w:cs="Arial"/>
              </w:rPr>
              <w:t xml:space="preserve"> is to delay disease progression and </w:t>
            </w:r>
            <w:r w:rsidRPr="002646F6">
              <w:rPr>
                <w:rFonts w:cs="Arial"/>
                <w:bCs/>
                <w:iCs/>
              </w:rPr>
              <w:t xml:space="preserve">prolong survival while maintaining </w:t>
            </w:r>
            <w:r w:rsidR="008A56D8" w:rsidRPr="002646F6">
              <w:rPr>
                <w:rFonts w:cs="Arial"/>
                <w:bCs/>
                <w:iCs/>
              </w:rPr>
              <w:t xml:space="preserve">QoL </w:t>
            </w:r>
            <w:r w:rsidRPr="002646F6">
              <w:rPr>
                <w:rFonts w:cs="Arial"/>
                <w:bCs/>
                <w:iCs/>
              </w:rPr>
              <w:t>through</w:t>
            </w:r>
            <w:r w:rsidR="00B01592">
              <w:rPr>
                <w:rFonts w:cs="Arial"/>
                <w:bCs/>
                <w:iCs/>
              </w:rPr>
              <w:t xml:space="preserve"> disease control and</w:t>
            </w:r>
            <w:r w:rsidRPr="002646F6">
              <w:rPr>
                <w:rFonts w:cs="Arial"/>
                <w:bCs/>
                <w:iCs/>
              </w:rPr>
              <w:t xml:space="preserve"> a manageable safety profile.</w:t>
            </w:r>
            <w:r w:rsidRPr="002646F6">
              <w:rPr>
                <w:rFonts w:cs="Arial"/>
                <w:bCs/>
                <w:iCs/>
              </w:rPr>
              <w:fldChar w:fldCharType="begin"/>
            </w:r>
            <w:r w:rsidR="00CA6345">
              <w:rPr>
                <w:rFonts w:cs="Arial"/>
                <w:bCs/>
                <w:iCs/>
              </w:rPr>
              <w:instrText xml:space="preserve"> ADDIN ZOTERO_ITEM CSL_CITATION {"citationID":"A56DhliF","properties":{"formattedCitation":"\\super 32,33\\nosupersub{}","plainCitation":"32,33","noteIndex":0},"citationItems":[{"id":65957,"uris":["http://zotero.org/groups/4797619/items/T5WEEHEL"],"itemData":{"id":65957,"type":"webpage","abstract":"Learn about the treatment options for secondary breast cancer.","container-title":"Breast Cancer Now","language":"en","title":"Secondary breast cancer treatments","URL":"https://breastcancernow.org/information-support/facing-breast-cancer/secondary-metastatic-breast-cancer/secondary-breast-cancer-treatment","accessed":{"date-parts":[["2022",10,3]]},"issued":{"date-parts":[["2015",12,16]]}}},{"id":65958,"uris":["http://zotero.org/groups/4797619/items/8R7LHWBA"],"itemData":{"id":65958,"type":"webpage","abstract":"ON THIS PAGE: You will learn about the different types of treatments doctors use for people with metastatic breast cancer. Use the menu to see other pages.","container-title":"Cancer.Net","language":"en","title":"Breast Cancer - Metastatic - Types of Treatment","URL":"https://www.cancer.net/cancer-types/breast-cancer-metastatic/types-treatment","accessed":{"date-parts":[["2022",10,3]]},"issued":{"date-parts":[["2017",5,19]]}}}],"schema":"https://github.com/citation-style-language/schema/raw/master/csl-citation.json"} </w:instrText>
            </w:r>
            <w:r w:rsidRPr="002646F6">
              <w:rPr>
                <w:rFonts w:cs="Arial"/>
                <w:bCs/>
                <w:iCs/>
              </w:rPr>
              <w:fldChar w:fldCharType="separate"/>
            </w:r>
            <w:r w:rsidR="00FD57F4" w:rsidRPr="00FD57F4">
              <w:rPr>
                <w:rFonts w:cs="Arial"/>
                <w:szCs w:val="24"/>
                <w:vertAlign w:val="superscript"/>
              </w:rPr>
              <w:t>32,33</w:t>
            </w:r>
            <w:r w:rsidRPr="002646F6">
              <w:rPr>
                <w:rFonts w:cs="Arial"/>
                <w:bCs/>
                <w:iCs/>
              </w:rPr>
              <w:fldChar w:fldCharType="end"/>
            </w:r>
            <w:r w:rsidRPr="002646F6">
              <w:rPr>
                <w:rFonts w:cs="Arial"/>
                <w:bCs/>
                <w:iCs/>
              </w:rPr>
              <w:t xml:space="preserve"> </w:t>
            </w:r>
          </w:p>
          <w:p w14:paraId="34CFB95A" w14:textId="63E0C03D" w:rsidR="00546543" w:rsidRPr="007C2B76" w:rsidRDefault="00AF06D5" w:rsidP="00954359">
            <w:pPr>
              <w:pStyle w:val="Summarybox"/>
              <w:numPr>
                <w:ilvl w:val="0"/>
                <w:numId w:val="31"/>
              </w:numPr>
              <w:rPr>
                <w:rFonts w:cs="Arial"/>
              </w:rPr>
            </w:pPr>
            <w:r w:rsidRPr="002646F6">
              <w:rPr>
                <w:rFonts w:cs="Arial"/>
              </w:rPr>
              <w:lastRenderedPageBreak/>
              <w:t>HER</w:t>
            </w:r>
            <w:r w:rsidR="00E3633C" w:rsidRPr="002646F6">
              <w:rPr>
                <w:rFonts w:cs="Arial"/>
              </w:rPr>
              <w:t>2</w:t>
            </w:r>
            <w:r w:rsidRPr="002646F6">
              <w:rPr>
                <w:rFonts w:cs="Arial"/>
              </w:rPr>
              <w:t xml:space="preserve"> is </w:t>
            </w:r>
            <w:r w:rsidR="00DD71D3" w:rsidRPr="002646F6">
              <w:rPr>
                <w:rFonts w:cs="Arial"/>
              </w:rPr>
              <w:t>a</w:t>
            </w:r>
            <w:r w:rsidRPr="002646F6">
              <w:rPr>
                <w:rFonts w:cs="Arial"/>
              </w:rPr>
              <w:t xml:space="preserve"> </w:t>
            </w:r>
            <w:r w:rsidR="00546543" w:rsidRPr="002646F6">
              <w:rPr>
                <w:rFonts w:cs="Arial"/>
              </w:rPr>
              <w:t>key biomarker in BC</w:t>
            </w:r>
            <w:r w:rsidR="00E3151A" w:rsidRPr="002646F6">
              <w:rPr>
                <w:rFonts w:cs="Arial"/>
              </w:rPr>
              <w:t xml:space="preserve"> </w:t>
            </w:r>
            <w:r w:rsidR="00B36679" w:rsidRPr="002646F6">
              <w:rPr>
                <w:rFonts w:cs="Arial"/>
              </w:rPr>
              <w:t>associated with</w:t>
            </w:r>
            <w:r w:rsidR="00E3151A" w:rsidRPr="002646F6">
              <w:rPr>
                <w:rFonts w:cs="Arial"/>
              </w:rPr>
              <w:t xml:space="preserve"> </w:t>
            </w:r>
            <w:r w:rsidR="00E3151A" w:rsidRPr="007C2B76">
              <w:rPr>
                <w:rFonts w:cs="Arial"/>
              </w:rPr>
              <w:t>aggressive disease</w:t>
            </w:r>
            <w:r w:rsidR="00592E4C" w:rsidRPr="007C2B76">
              <w:rPr>
                <w:rFonts w:cs="Arial"/>
              </w:rPr>
              <w:t>.</w:t>
            </w:r>
            <w:r w:rsidR="00546543" w:rsidRPr="002646F6">
              <w:rPr>
                <w:rFonts w:cs="Arial"/>
              </w:rPr>
              <w:fldChar w:fldCharType="begin"/>
            </w:r>
            <w:r w:rsidR="00CA6345">
              <w:rPr>
                <w:rFonts w:cs="Arial"/>
              </w:rPr>
              <w:instrText xml:space="preserve"> ADDIN ZOTERO_ITEM CSL_CITATION {"citationID":"VPwGiE9e","properties":{"formattedCitation":"\\super 34\\uc0\\u8211{}37\\nosupersub{}","plainCitation":"34–37","noteIndex":0},"citationItems":[{"id":66211,"uris":["http://zotero.org/groups/4797619/items/9EM59V9B"],"itemData":{"id":66211,"type":"article-journal","abstract":"The HER-2/neu oncogene is a member of the erbB-like oncogene family, and is related to, but distinct from, the epidermal growth\nfactor receptor. This gene has been shown to be amplified in human breast cancer cell lines. In the current study, alterations\nof the gene in 189 primary human breast cancers were investigated. HER-2/neu was found to be amplified from 2- to greater\nthan 20-fold in 30% of the tumors. Correlation of gene amplification with several disease parameters was evaluated. Amplification\nof the HER-2/neu gene was a significant predictor of both overall survival and time to relapse in patients with breast cancer.\nIt retained its significance even when adjustments were made for other known prognostic factors. Moreover, HER-2/neu amplification\nhad greater prognostic value than most currently used prognostic factors, including hormonal-receptor status, in lymph node-positive\ndisease. These data indicate that this gene may play a role in the biologic behavior and/or pathogenesis of human breast cancer.","container-title":"Science (New York, N.Y.)","DOI":"10.1126/science.3798106","journalAbbreviation":"Science (New York, N.Y.)","page":"177-82","source":"ResearchGate","title":"Slamon DJ, Clark GM, Wong SG, Levin WJ, Ullrich A, McGuire WLHuman breast cancer: correlation of relapse and survival with amplification of the HER-2/neu oncogene. Science (Wash DC) 235: 177-182","title-short":"Slamon DJ, Clark GM, Wong SG, Levin WJ, Ullrich A, McGuire WLHuman breast cancer","volume":"235","author":[{"family":"Slamon","given":"Dennis"},{"family":"Clark","given":"Gary"},{"family":"Wong","given":"Steven"},{"family":"Levin","given":"Wendy"},{"family":"Ullrich","given":"Axel"},{"family":"McGuire","given":"William"}],"issued":{"date-parts":[["1987",2,1]]}}},{"id":65866,"uris":["http://zotero.org/groups/4797619/items/3AESVSNK"],"itemData":{"id":65866,"type":"webpage","abstract":"This guideline covers care and support for people with advanced (stage 4) breast cancer. It aims to help them and their healthcare professionals make shared","language":"eng","note":"publisher: NICE","title":"Advanced breast cancer: diagnosis and treatment | NICE CG81","title-short":"NICE CG81. Recommendations | Advanced breast cancer","URL":"https://www.nice.org.uk/guidance/cg81/chapter/Recommendations","author":[{"family":"NICE","given":""}],"accessed":{"date-parts":[["2022",10,17]]},"issued":{"date-parts":[["2017"]]}}},{"id":65911,"uris":["http://zotero.org/groups/4797619/items/CV2NXX7U"],"itemData":{"id":65911,"type":"webpage","title":"Invasive breast cancer | Cancer Research UK","URL":"https://www.cancerresearchuk.org/about-cancer/breast-cancer/stages-types-grades/types/invasive-breast-cancer","accessed":{"date-parts":[["2022",10,24]]}}},{"id":66209,"uris":["http://zotero.org/groups/4797619/items/6LM9KQ5C"],"itemData":{"id":66209,"type":"article-journal","abstract":"The introduction of anti-HER2 therapies to the treatment of patients with HER2-positive breast cancer has led to dramatic improvements in survival in both early and advanced settings. Despite this breakthrough, nearly all patients with metastatic HER2-positive breast cancer eventually progress on anti-HER2 therapy due to de novo or acquired resistance. A better understanding not only of the underlying mechanisms of HER2 therapy resistance but of tumor heterogeneity as well as the host and tumor microenvironment is essential for the development of new strategies to further improve patient outcomes. One strategy has focused on inhibiting the HER2 signaling pathway more effectively with dual-blockade approaches and developing improved anti-HER2 therapies like antibody-drug conjugates, new anti-HER2 antibodies, bispecific antibodies, or novel tyrosine kinase inhibitors that might replace or be used in addition to some of the current anti-HER2 treatments. Combinations of anti-HER2 therapy with other agents like immune checkpoint inhibitors, CDK4/6 inhibitors, and PI3K/AKT/mTOR inhibitors are also being extensively evaluated in clinical trials. These add-on strategies of combining optimized targeted therapies could potentially improve outcomes for patients with HER2-positive breast cancer but may also allow de-escalation of treatment in some patients, potentially sparing some from unnecessary treatments, and their related toxicities and costs.","container-title":"Therapeutic Advances in Medical Oncology","DOI":"10.1177/1758835919833519","ISSN":"1758-8340","journalAbbreviation":"Ther Adv Med Oncol","language":"eng","note":"PMID: 30911337\nPMCID: PMC6425535","page":"1758835919833519","source":"PubMed","title":"HER2-positive breast cancer: new therapeutic frontiers and overcoming resistance","title-short":"HER2-positive breast cancer","volume":"11","author":[{"family":"Pernas","given":"Sonia"},{"family":"Tolaney","given":"Sara M."}],"issued":{"date-parts":[["2019"]]}}}],"schema":"https://github.com/citation-style-language/schema/raw/master/csl-citation.json"} </w:instrText>
            </w:r>
            <w:r w:rsidR="00546543" w:rsidRPr="002646F6">
              <w:rPr>
                <w:rFonts w:cs="Arial"/>
              </w:rPr>
              <w:fldChar w:fldCharType="separate"/>
            </w:r>
            <w:r w:rsidR="00FD57F4" w:rsidRPr="00FD57F4">
              <w:rPr>
                <w:rFonts w:cs="Arial"/>
                <w:szCs w:val="24"/>
                <w:vertAlign w:val="superscript"/>
              </w:rPr>
              <w:t>34–37</w:t>
            </w:r>
            <w:r w:rsidR="00546543" w:rsidRPr="002646F6">
              <w:rPr>
                <w:rFonts w:cs="Arial"/>
              </w:rPr>
              <w:fldChar w:fldCharType="end"/>
            </w:r>
            <w:r w:rsidR="00546543" w:rsidRPr="002646F6">
              <w:rPr>
                <w:rFonts w:cs="Arial"/>
              </w:rPr>
              <w:fldChar w:fldCharType="begin"/>
            </w:r>
            <w:r w:rsidR="00546543" w:rsidRPr="002646F6">
              <w:rPr>
                <w:rFonts w:cs="Arial"/>
              </w:rPr>
              <w:instrText xml:space="preserve"> ADDIN EN.CITE &lt;EndNote&gt;&lt;Cite&gt;&lt;Author&gt;NICE&lt;/Author&gt;&lt;Year&gt;16 Aug 2017&lt;/Year&gt;&lt;RecNum&gt;19&lt;/RecNum&gt;&lt;DisplayText&gt;&lt;style face="superscript"&gt;40,42&lt;/style&gt;&lt;/DisplayText&gt;&lt;record&gt;&lt;rec-number&gt;19&lt;/rec-number&gt;&lt;foreign-keys&gt;&lt;key app="EN" db-id="zsraxr2sldvt0herzw7x5028s0efeazsx9r0" timestamp="1632415497"&gt;19&lt;/key&gt;&lt;/foreign-keys&gt;&lt;ref-type name="Journal Article"&gt;17&lt;/ref-type&gt;&lt;contributors&gt;&lt;authors&gt;&lt;author&gt;NICE,&lt;/author&gt;&lt;/authors&gt;&lt;/contributors&gt;&lt;titles&gt;&lt;title&gt;CG81: Advanced breast cancer: diagnosis and treatment&lt;/title&gt;&lt;secondary-title&gt;Available at: https://www.nice.org.uk/guidance/cg81 [last accessed: 23/09/2021]&lt;/secondary-title&gt;&lt;/titles&gt;&lt;periodical&gt;&lt;full-title&gt;Available at: https://www.nice.org.uk/guidance/cg81 [last accessed: 23/09/2021]&lt;/full-title&gt;&lt;/periodical&gt;&lt;dates&gt;&lt;year&gt;16 Aug 2017&lt;/year&gt;&lt;/dates&gt;&lt;urls&gt;&lt;/urls&gt;&lt;/record&gt;&lt;/Cite&gt;&lt;Cite&gt;&lt;Author&gt;Cancer Research UK&lt;/Author&gt;&lt;Year&gt;2020&lt;/Year&gt;&lt;RecNum&gt;34&lt;/RecNum&gt;&lt;record&gt;&lt;rec-number&gt;34&lt;/rec-number&gt;&lt;foreign-keys&gt;&lt;key app="EN" db-id="zsraxr2sldvt0herzw7x5028s0efeazsx9r0" timestamp="1634820573"&gt;34&lt;/key&gt;&lt;/foreign-keys&gt;&lt;ref-type name="Journal Article"&gt;17&lt;/ref-type&gt;&lt;contributors&gt;&lt;authors&gt;&lt;author&gt;Cancer Research UK,&lt;/author&gt;&lt;/authors&gt;&lt;/contributors&gt;&lt;titles&gt;&lt;title&gt;Tests on your breast cancer cells&lt;/title&gt;&lt;secondary-title&gt;Available at: https://www.cancerresearchuk.org/about-cancer/breast-cancer/getting-diagnosed/tests-diagnose/hormone-receptor-testing-breast-cancer [last accessed: 21/10/2021]&lt;/secondary-title&gt;&lt;/titles&gt;&lt;periodical&gt;&lt;full-title&gt;Available at: https://www.cancerresearchuk.org/about-cancer/breast-cancer/getting-diagnosed/tests-diagnose/hormone-receptor-testing-breast-cancer [last accessed: 21/10/2021]&lt;/full-title&gt;&lt;/periodical&gt;&lt;dates&gt;&lt;year&gt;2020&lt;/year&gt;&lt;/dates&gt;&lt;urls&gt;&lt;/urls&gt;&lt;/record&gt;&lt;/Cite&gt;&lt;/EndNote&gt;</w:instrText>
            </w:r>
            <w:r w:rsidR="00546543" w:rsidRPr="002646F6">
              <w:rPr>
                <w:rFonts w:cs="Arial"/>
              </w:rPr>
              <w:fldChar w:fldCharType="separate"/>
            </w:r>
            <w:r w:rsidR="00546543" w:rsidRPr="002646F6">
              <w:rPr>
                <w:rFonts w:cs="Arial"/>
              </w:rPr>
              <w:fldChar w:fldCharType="end"/>
            </w:r>
            <w:r w:rsidR="00546543" w:rsidRPr="002646F6">
              <w:rPr>
                <w:rFonts w:cs="Arial"/>
              </w:rPr>
              <w:t xml:space="preserve"> </w:t>
            </w:r>
            <w:r w:rsidR="00B36679" w:rsidRPr="002646F6">
              <w:rPr>
                <w:rFonts w:cs="Arial"/>
              </w:rPr>
              <w:t>P</w:t>
            </w:r>
            <w:r w:rsidR="00E260E9" w:rsidRPr="002646F6">
              <w:rPr>
                <w:rFonts w:cs="Arial"/>
              </w:rPr>
              <w:t>atients are classified as either HER2-positive or HER2-negative and treated accordingly.</w:t>
            </w:r>
            <w:r w:rsidR="00C87C5D" w:rsidRPr="002646F6">
              <w:fldChar w:fldCharType="begin"/>
            </w:r>
            <w:r w:rsidR="00CA6345">
              <w:instrText xml:space="preserve"> ADDIN ZOTERO_ITEM CSL_CITATION {"citationID":"0DhESxYD","properties":{"formattedCitation":"\\super 38\\nosupersub{}","plainCitation":"38","noteIndex":0},"citationItems":[{"id":65946,"uris":["http://zotero.org/groups/4797619/items/WH43D5QI"],"itemData":{"id":65946,"type":"article-journal","abstract":"About a half of HER2-negative breast cancer (BC) show HER2-low expression that can be targeted by new antibody-drug conjugates. The main aim of this study is to describe the evolution of HER2 expression from primary BC to relapse by including HER2-low category in both primary and recurrent BC samples. Patients with matched primary and relapse BC samples were included. HER2 was evaluated according to ASCO/CAP recommendations in place at the time of diagnosis. A cutoff of &gt;10% cells staining for HER2-positivity was applied. HER2-negative cases were sub-classified as HER2-low (IHC = 1 + /2+ and ISH not amplified), or HER2-0 (IHC-0). 547 patients were included. The proportion of HER2-low cases was 34.2% on the primary tumor and 37.3% on the relapse samples. Among HER2-negative cases, HER2-low status was more frequent in HR-positive vs triple-negative tumors (47.3% vs 35.4% on primary tumor samples, 53.8% vs 36.2% on relapse samples). The overall rate of HER2 discordance was 38.0%, mostly represented by HER2-0 switching to HER2-low (15%) and HER2-low switching to HER2-0 (14%). Among patients with a primary HER2-negative tumor, the rate of HER2 discordance was higher in HR-positive/HER2-negative vs triple-negative cases (45.5% vs 36.7% p = 0.170). This difference was mostly driven by cases switching from HER2-0 to HER2-low. HER2-low expression is highly unstable during disease evolution. Relapse biopsy in case of a primary HER2-0 tumor may open new therapeutic opportunities in a relevant proportion of patients.","container-title":"npj Breast Cancer","DOI":"10.1038/s41523-021-00343-4","ISSN":"2374-4677","issue":"1","language":"en","license":"2021 The Author(s)","note":"number: 1\npublisher: Nature Publishing Group","page":"1-8","source":"www.nature.com","title":"Evolution of HER2-low expression from primary to recurrent breast cancer","volume":"7","author":[{"family":"Miglietta","given":"Federica"},{"family":"Griguolo","given":"Gaia"},{"family":"Bottosso","given":"Michele"},{"family":"Giarratano","given":"Tommaso"},{"family":"Lo Mele","given":"Marcello"},{"family":"Fassan","given":"Matteo"},{"family":"Cacciatore","given":"Matilde"},{"family":"Genovesi","given":"Elisa"},{"family":"De Bartolo","given":"Debora"},{"family":"Vernaci","given":"Grazia"},{"family":"Amato","given":"Ottavia"},{"family":"Conte","given":"PierFranco"},{"family":"Guarneri","given":"Valentina"},{"family":"Dieci","given":"Maria Vittoria"}],"issued":{"date-parts":[["2021",10,12]]}}}],"schema":"https://github.com/citation-style-language/schema/raw/master/csl-citation.json"} </w:instrText>
            </w:r>
            <w:r w:rsidR="00C87C5D" w:rsidRPr="002646F6">
              <w:fldChar w:fldCharType="separate"/>
            </w:r>
            <w:r w:rsidR="00FD57F4" w:rsidRPr="00FD57F4">
              <w:rPr>
                <w:rFonts w:cs="Arial"/>
                <w:szCs w:val="24"/>
                <w:vertAlign w:val="superscript"/>
              </w:rPr>
              <w:t>38</w:t>
            </w:r>
            <w:r w:rsidR="00C87C5D" w:rsidRPr="002646F6">
              <w:fldChar w:fldCharType="end"/>
            </w:r>
            <w:r w:rsidR="00C87C5D" w:rsidRPr="002646F6">
              <w:t xml:space="preserve"> </w:t>
            </w:r>
          </w:p>
          <w:p w14:paraId="0BA6264F" w14:textId="32152809" w:rsidR="00ED784F" w:rsidRPr="002646F6" w:rsidRDefault="00DE1FCE" w:rsidP="00954359">
            <w:pPr>
              <w:pStyle w:val="Summarybox"/>
              <w:numPr>
                <w:ilvl w:val="0"/>
                <w:numId w:val="31"/>
              </w:numPr>
              <w:rPr>
                <w:rFonts w:cs="Arial"/>
                <w:lang w:eastAsia="ja-JP"/>
              </w:rPr>
            </w:pPr>
            <w:r w:rsidRPr="002646F6">
              <w:rPr>
                <w:rFonts w:cs="Arial"/>
              </w:rPr>
              <w:t xml:space="preserve">HER2-targeted therapies such as </w:t>
            </w:r>
            <w:r w:rsidR="0080334B" w:rsidRPr="002646F6">
              <w:rPr>
                <w:rFonts w:cs="Arial"/>
              </w:rPr>
              <w:t xml:space="preserve">trastuzumab, </w:t>
            </w:r>
            <w:r w:rsidRPr="002646F6">
              <w:rPr>
                <w:rFonts w:cs="Arial"/>
              </w:rPr>
              <w:t>T-DM1</w:t>
            </w:r>
            <w:r w:rsidR="00782A4D" w:rsidRPr="002646F6">
              <w:rPr>
                <w:rFonts w:cs="Arial"/>
              </w:rPr>
              <w:t xml:space="preserve"> and </w:t>
            </w:r>
            <w:r w:rsidRPr="002646F6">
              <w:rPr>
                <w:rFonts w:cs="Arial"/>
              </w:rPr>
              <w:t>T-DXd</w:t>
            </w:r>
            <w:r w:rsidR="0097530C" w:rsidRPr="002646F6">
              <w:rPr>
                <w:rFonts w:cs="Arial"/>
              </w:rPr>
              <w:t>,</w:t>
            </w:r>
            <w:r w:rsidR="007A5C28" w:rsidRPr="002646F6">
              <w:rPr>
                <w:rFonts w:cs="Arial"/>
              </w:rPr>
              <w:fldChar w:fldCharType="begin"/>
            </w:r>
            <w:r w:rsidR="00CA6345">
              <w:rPr>
                <w:rFonts w:cs="Arial"/>
              </w:rPr>
              <w:instrText xml:space="preserve"> ADDIN ZOTERO_ITEM CSL_CITATION {"citationID":"sCgGtxVS","properties":{"formattedCitation":"\\super 4,39,40\\nosupersub{}","plainCitation":"4,39,40","noteIndex":0},"citationItems":[{"id":65878,"uris":["http://zotero.org/groups/4797619/items/ESRZZTT8"],"itemData":{"id":65878,"type":"webpage","abstract":"Evidence-based recommendations on trastuzumab deruxtecan (Enhertu) for treating HER2-positive unresectable or metastatic breast cancer in adults after 2 or more","language":"eng","note":"publisher: NICE","title":"Trastuzumab deruxtecan for treating HER2-positive unresectable or metastatic breast cancer after 2 or more anti-HER2 therapies | NICE [TA704]","URL":"https://www.nice.org.uk/guidance/ta704","author":[{"family":"NICE","given":""}],"accessed":{"date-parts":[["2022",9,29]]}}},{"id":66118,"uris":["http://zotero.org/groups/4797619/items/AHEIFDP5"],"itemData":{"id":66118,"type":"webpage","abstract":"Evidence-based recommendations on trastuzumab emtansine (Kadcyla) for human epidermal growth factor receptor 2 (HER2)</w:instrText>
            </w:r>
            <w:r w:rsidR="00CA6345">
              <w:rPr>
                <w:rFonts w:ascii="Cambria Math" w:hAnsi="Cambria Math" w:cs="Cambria Math"/>
              </w:rPr>
              <w:instrText>‑</w:instrText>
            </w:r>
            <w:r w:rsidR="00CA6345">
              <w:rPr>
                <w:rFonts w:cs="Arial"/>
              </w:rPr>
              <w:instrText>positive, unresectable, locally advanced","language":"eng","note":"publisher: NICE","title":"Trastuzumab emtansine for treating HER2-positive advanced breast cancer after trastuzumab and a taxane | NICE [TA458}","URL":"https://www.nice.org.uk/guidance/ta458","author":[{"family":"NICE","given":""}],"accessed":{"date-parts":[["2022",11,8]]}}},{"id":65879,"uris":["http://zotero.org/groups/4797619/items/TIXIRI4S"],"itemData":{"id":65879,"type":"webpage","abstract":"Evidence-based recommendations on pertuzumab (Perjeta) for treating HER2</w:instrText>
            </w:r>
            <w:r w:rsidR="00CA6345">
              <w:rPr>
                <w:rFonts w:ascii="Cambria Math" w:hAnsi="Cambria Math" w:cs="Cambria Math"/>
              </w:rPr>
              <w:instrText>‑</w:instrText>
            </w:r>
            <w:r w:rsidR="00CA6345">
              <w:rPr>
                <w:rFonts w:cs="Arial"/>
              </w:rPr>
              <w:instrText xml:space="preserve">positive, locally recurrent or metastatic (secondary) breast cancer that has not been","language":"eng","note":"publisher: NICE","title":"Pertuzumab with trastuzumab and docetaxel for treating HER2-positive breast cancer | NICE [TA509]","URL":"https://www.nice.org.uk/guidance/TA509","author":[{"family":"NICE","given":""}],"accessed":{"date-parts":[["2022",9,29]]}}}],"schema":"https://github.com/citation-style-language/schema/raw/master/csl-citation.json"} </w:instrText>
            </w:r>
            <w:r w:rsidR="007A5C28" w:rsidRPr="002646F6">
              <w:rPr>
                <w:rFonts w:cs="Arial"/>
              </w:rPr>
              <w:fldChar w:fldCharType="separate"/>
            </w:r>
            <w:r w:rsidR="00FD57F4" w:rsidRPr="00FD57F4">
              <w:rPr>
                <w:rFonts w:cs="Arial"/>
                <w:szCs w:val="24"/>
                <w:vertAlign w:val="superscript"/>
              </w:rPr>
              <w:t>4,39,40</w:t>
            </w:r>
            <w:r w:rsidR="007A5C28" w:rsidRPr="002646F6">
              <w:rPr>
                <w:rFonts w:cs="Arial"/>
              </w:rPr>
              <w:fldChar w:fldCharType="end"/>
            </w:r>
            <w:r w:rsidR="0097530C" w:rsidRPr="002646F6">
              <w:rPr>
                <w:rFonts w:cs="Arial"/>
              </w:rPr>
              <w:t xml:space="preserve"> </w:t>
            </w:r>
            <w:r w:rsidRPr="002646F6">
              <w:rPr>
                <w:rFonts w:cs="Arial"/>
              </w:rPr>
              <w:t xml:space="preserve">have transformed the treatment pathway in </w:t>
            </w:r>
            <w:r w:rsidR="00EE1AD3" w:rsidRPr="002646F6">
              <w:rPr>
                <w:rFonts w:cs="Arial"/>
              </w:rPr>
              <w:t xml:space="preserve">HER2-positive </w:t>
            </w:r>
            <w:r w:rsidRPr="002646F6">
              <w:rPr>
                <w:rFonts w:cs="Arial"/>
              </w:rPr>
              <w:t xml:space="preserve">u/mBC </w:t>
            </w:r>
            <w:r w:rsidR="003C6D53" w:rsidRPr="002646F6">
              <w:rPr>
                <w:rFonts w:cs="Arial"/>
              </w:rPr>
              <w:t>by</w:t>
            </w:r>
            <w:r w:rsidRPr="002646F6">
              <w:rPr>
                <w:rFonts w:cs="Arial"/>
              </w:rPr>
              <w:t xml:space="preserve"> delive</w:t>
            </w:r>
            <w:r w:rsidR="003C6D53" w:rsidRPr="002646F6">
              <w:rPr>
                <w:rFonts w:cs="Arial"/>
              </w:rPr>
              <w:t>ring</w:t>
            </w:r>
            <w:r w:rsidRPr="002646F6">
              <w:rPr>
                <w:rFonts w:cs="Arial"/>
              </w:rPr>
              <w:t xml:space="preserve"> significant improvements in PFS and OS </w:t>
            </w:r>
            <w:r w:rsidR="003C6D53" w:rsidRPr="002646F6">
              <w:rPr>
                <w:rFonts w:cs="Arial"/>
              </w:rPr>
              <w:t xml:space="preserve">across </w:t>
            </w:r>
            <w:r w:rsidRPr="002646F6">
              <w:rPr>
                <w:rFonts w:cs="Arial"/>
              </w:rPr>
              <w:t>lines of therapy compared with conventional chemotherapy.</w:t>
            </w:r>
            <w:r w:rsidRPr="002646F6">
              <w:rPr>
                <w:rFonts w:cs="Arial"/>
              </w:rPr>
              <w:fldChar w:fldCharType="begin"/>
            </w:r>
            <w:r w:rsidR="00CA6345">
              <w:rPr>
                <w:rFonts w:cs="Arial"/>
              </w:rPr>
              <w:instrText xml:space="preserve"> ADDIN ZOTERO_ITEM CSL_CITATION {"citationID":"A9zuCbri","properties":{"formattedCitation":"\\super 37,41\\nosupersub{}","plainCitation":"37,41","noteIndex":0},"citationItems":[{"id":66209,"uris":["http://zotero.org/groups/4797619/items/6LM9KQ5C"],"itemData":{"id":66209,"type":"article-journal","abstract":"The introduction of anti-HER2 therapies to the treatment of patients with HER2-positive breast cancer has led to dramatic improvements in survival in both early and advanced settings. Despite this breakthrough, nearly all patients with metastatic HER2-positive breast cancer eventually progress on anti-HER2 therapy due to de novo or acquired resistance. A better understanding not only of the underlying mechanisms of HER2 therapy resistance but of tumor heterogeneity as well as the host and tumor microenvironment is essential for the development of new strategies to further improve patient outcomes. One strategy has focused on inhibiting the HER2 signaling pathway more effectively with dual-blockade approaches and developing improved anti-HER2 therapies like antibody-drug conjugates, new anti-HER2 antibodies, bispecific antibodies, or novel tyrosine kinase inhibitors that might replace or be used in addition to some of the current anti-HER2 treatments. Combinations of anti-HER2 therapy with other agents like immune checkpoint inhibitors, CDK4/6 inhibitors, and PI3K/AKT/mTOR inhibitors are also being extensively evaluated in clinical trials. These add-on strategies of combining optimized targeted therapies could potentially improve outcomes for patients with HER2-positive breast cancer but may also allow de-escalation of treatment in some patients, potentially sparing some from unnecessary treatments, and their related toxicities and costs.","container-title":"Therapeutic Advances in Medical Oncology","DOI":"10.1177/1758835919833519","ISSN":"1758-8340","journalAbbreviation":"Ther Adv Med Oncol","language":"eng","note":"PMID: 30911337\nPMCID: PMC6425535","page":"1758835919833519","source":"PubMed","title":"HER2-positive breast cancer: new therapeutic frontiers and overcoming resistance","title-short":"HER2-positive breast cancer","volume":"11","author":[{"family":"Pernas","given":"Sonia"},{"family":"Tolaney","given":"Sara M."}],"issued":{"date-parts":[["2019"]]}}},{"id":65912,"uris":["http://zotero.org/groups/4797619/items/I884832A"],"itemData":{"id":65912,"type":"article-journal","abstract":"Advances in HER2-targeted therapies have improved the survival of patients with HER2-positive breast cancer. The standard-of-care treatment for localized disease has been chemotherapy and 1 year of adjuvant HER2-targeted therapy, typically with the anti-HER2 antibody trastuzumab. Despite the effectiveness of this treatment, disease relapse occurs in a subset of patients; thus, focus has been placed on escalating treatment by either combining different HER2-targeted agents or extending the duration of HER2-targeted therapy. Indeed, dual HER2-targeted therapies and extended-duration anti-HER2 therapy, as well as adjuvant therapy with the anti-HER2 antibody-drug conjugate T-DM1, have all been approved for clinical use. Emerging evidence suggests, however, that some patients do not derive sufficient benefit from these additional therapies to offset the associated toxicities and/or costs. Similarly, the universal use of chemotherapy might not benefit all patients, and treatment de-escalation through omissi</w:instrText>
            </w:r>
            <w:r w:rsidR="00CA6345">
              <w:rPr>
                <w:rFonts w:cs="Arial"/>
                <w:lang w:eastAsia="ja-JP"/>
              </w:rPr>
              <w:instrText xml:space="preserve">on of chemotherapy has shown promise in clinical trials and is currently being explored further. The future of precision medicine should therefore involve tailoring of therapy based on the genetics and biology of each tumour and the clinical characteristics of each patient. Predictive biomarkers that enable the identification of patients who will benefit from either escalated or de-escalated treatment will be crucial to this approach. In this Review, we summarize the available HER2-targeted agents and associated mechanisms of resistance, and describe the current therapeutic landscape of early stage HER2-positive breast cancer, focusing on strategies for treatment escalation or de-escalation.","container-title":"Nature Reviews. Clinical Oncology","DOI":"10.1038/s41571-019-0299-9","ISSN":"1759-4782","issue":"4","journalAbbreviation":"Nat Rev Clin Oncol","language":"eng","note":"PMID: 31836877\nPMCID: PMC8023395","page":"233-250","source":"PubMed","title":"Towards personalized treatment for early stage HER2-positive breast cancer","volume":"17","author":[{"family":"Goutsouliak","given":"Kristina"},{"family":"Veeraraghavan","given":"Jamunarani"},{"family":"Sethunath","given":"Vidyalakshmi"},{"family":"De Angelis","given":"Carmine"},{"family":"Osborne","given":"C. Kent"},{"family":"Rimawi","given":"Mothaffar F."},{"family":"Schiff","given":"Rachel"}],"issued":{"date-parts":[["2020",4]]}}}],"schema":"https://github.com/citation-style-language/schema/raw/master/csl-citation.json"} </w:instrText>
            </w:r>
            <w:r w:rsidRPr="002646F6">
              <w:rPr>
                <w:rFonts w:cs="Arial"/>
              </w:rPr>
              <w:fldChar w:fldCharType="separate"/>
            </w:r>
            <w:r w:rsidR="00FD57F4" w:rsidRPr="00FD57F4">
              <w:rPr>
                <w:rFonts w:cs="Arial"/>
                <w:szCs w:val="24"/>
                <w:vertAlign w:val="superscript"/>
                <w:lang w:eastAsia="ja-JP"/>
              </w:rPr>
              <w:t>37,41</w:t>
            </w:r>
            <w:r w:rsidRPr="002646F6">
              <w:rPr>
                <w:rFonts w:cs="Arial"/>
              </w:rPr>
              <w:fldChar w:fldCharType="end"/>
            </w:r>
          </w:p>
          <w:p w14:paraId="1A6E2B3E" w14:textId="4E4DB9E7" w:rsidR="00ED784F" w:rsidRPr="002646F6" w:rsidRDefault="00ED784F" w:rsidP="00954359">
            <w:pPr>
              <w:pStyle w:val="Summarybox"/>
              <w:numPr>
                <w:ilvl w:val="0"/>
                <w:numId w:val="31"/>
              </w:numPr>
              <w:rPr>
                <w:rFonts w:cs="Arial"/>
              </w:rPr>
            </w:pPr>
            <w:r w:rsidRPr="002646F6">
              <w:rPr>
                <w:lang w:eastAsia="ja-JP"/>
              </w:rPr>
              <w:t xml:space="preserve">For patients with HER2-negative mBC, the only options available for the majority of patients after exhausting targeted therapies (e.g., </w:t>
            </w:r>
            <w:r w:rsidR="00E66BFA">
              <w:rPr>
                <w:lang w:eastAsia="ja-JP"/>
              </w:rPr>
              <w:t>CDK4/6i</w:t>
            </w:r>
            <w:r w:rsidRPr="002646F6">
              <w:rPr>
                <w:lang w:eastAsia="ja-JP"/>
              </w:rPr>
              <w:t>, ET and PARP inhibitors) are sequential lines of non-targete</w:t>
            </w:r>
            <w:r w:rsidRPr="002646F6">
              <w:t>d, single-agent chemotherapy.</w:t>
            </w:r>
            <w:r w:rsidRPr="002646F6">
              <w:rPr>
                <w:rFonts w:cs="Arial"/>
              </w:rPr>
              <w:fldChar w:fldCharType="begin"/>
            </w:r>
            <w:r w:rsidR="00CA6345">
              <w:rPr>
                <w:rFonts w:cs="Arial"/>
              </w:rPr>
              <w:instrText xml:space="preserve"> ADDIN ZOTERO_ITEM CSL_CITATION {"citationID":"2GYX8C8d","properties":{"formattedCitation":"\\super 35,42\\nosupersub{}","plainCitation":"35,42","noteIndex":0},"citationItems":[{"id":65955,"uris":["http://zotero.org/groups/4797619/items/4KXA6CCG"],"itemData":{"id":65955,"type":"article-journal","container-title":"Annals of Oncology: Official Journal of the European Society for Medical Oncology","DOI":"10.1016/j.annonc.2021.09.019","ISSN":"1569-8041","issue":"12","journalAbbreviation":"Ann Oncol","language":"eng","note":"PMID: 34678411","page":"1475-1495","source":"PubMed","title":"ESMO Clinical Practice Guideline for the diagnosis, staging and treatment of patients with metastatic breast cancer","volume":"32","author":[{"family":"Gennari","given":"A."},{"family":"André","given":"F."},{"family":"Barrios","given":"C. H."},{"family":"Cortés","given":"J."},{"family":"Azambuja","given":"E.","non-dropping-particle":"de"},{"family":"DeMichele","given":"A."},{"family":"Dent","given":"R."},{"family":"Fenlon","given":"D."},{"family":"Gligorov","given":"J."},{"family":"Hurvitz","given":"S. A."},{"family":"Im","given":"S.-A."},{"family":"Krug","given":"D."},{"family":"Kunz","given":"W. G."},{"family":"Loi","given":"S."},{"family":"Penault-Llorca","given":"F."},{"family":"Ricke","given":"J."},{"family":"Robson","given":"M."},{"family":"Rugo","given":"H. S."},{"family":"Saura","given":"C."},{"family":"Schmid","given":"P."},{"family":"Singer","given":"C. F."},{"family":"Spanic","given":"T."},{"family":"Tolaney","given":"S. M."},{"family":"Turner","given":"N. C."},{"family":"Curigliano","given":"G."},{"family":"Loibl","given":"S."},{"family":"Paluch-Shimon","given":"S."},{"family":"Harbeck","given":"N."},{"literal":"ESMO Guidelines Committee. Electronic address: clinicalguidelines@esmo.org"}],"issued":{"date-parts":[["2021",12]]}}},{"id":65866,"uris":["http://zotero.org/groups/4797619/items/3AESVSNK"],"itemData":{"id":65866,"type":"webpage","abstract":"This guideline covers care and support for people with advanced (stage 4) breast cancer. It aims to help them and their healthcare professionals make shared","language":"eng","note":"publisher: NICE","title":"Advanced breast cancer: diagnosis and treatment | NICE CG81","title-short":"NICE CG81. Recommendations | Advanced breast cancer","URL":"https://www.nice.org.uk/guidance/cg81/chapter/Recommendations","author":[{"family":"NICE","given":""}],"accessed":{"date-parts":[["2022",10,17]]},"issued":{"date-parts":[["2017"]]}}}],"schema":"https://github.com/citation-style-language/schema/raw/master/csl-citation.json"} </w:instrText>
            </w:r>
            <w:r w:rsidRPr="002646F6">
              <w:rPr>
                <w:rFonts w:cs="Arial"/>
              </w:rPr>
              <w:fldChar w:fldCharType="separate"/>
            </w:r>
            <w:r w:rsidR="00FD57F4" w:rsidRPr="00FD57F4">
              <w:rPr>
                <w:rFonts w:cs="Arial"/>
                <w:szCs w:val="24"/>
                <w:vertAlign w:val="superscript"/>
              </w:rPr>
              <w:t>35,42</w:t>
            </w:r>
            <w:r w:rsidRPr="002646F6">
              <w:rPr>
                <w:rFonts w:cs="Arial"/>
              </w:rPr>
              <w:fldChar w:fldCharType="end"/>
            </w:r>
          </w:p>
          <w:p w14:paraId="4549AC25" w14:textId="7917B709" w:rsidR="001B7AB0" w:rsidRPr="002646F6" w:rsidRDefault="00A46E63" w:rsidP="00954359">
            <w:pPr>
              <w:pStyle w:val="Summarybox"/>
              <w:numPr>
                <w:ilvl w:val="0"/>
                <w:numId w:val="31"/>
              </w:numPr>
              <w:rPr>
                <w:rFonts w:cs="Arial"/>
              </w:rPr>
            </w:pPr>
            <w:r w:rsidRPr="002646F6">
              <w:rPr>
                <w:rFonts w:cs="Arial"/>
              </w:rPr>
              <w:t xml:space="preserve">Survival outcomes are poor with non-targeted chemotherapy in </w:t>
            </w:r>
            <w:r w:rsidR="001628A9" w:rsidRPr="002646F6">
              <w:rPr>
                <w:rFonts w:cs="Arial"/>
              </w:rPr>
              <w:t xml:space="preserve">the metastatic setting in </w:t>
            </w:r>
            <w:r w:rsidRPr="002646F6">
              <w:rPr>
                <w:rFonts w:cs="Arial"/>
              </w:rPr>
              <w:t>HER2-negative u/mBC</w:t>
            </w:r>
            <w:r w:rsidR="00300E6D" w:rsidRPr="002646F6">
              <w:rPr>
                <w:rFonts w:cs="Arial"/>
              </w:rPr>
              <w:t xml:space="preserve">. </w:t>
            </w:r>
            <w:r w:rsidR="00E85CA2" w:rsidRPr="002646F6">
              <w:rPr>
                <w:rFonts w:cs="Arial"/>
              </w:rPr>
              <w:t xml:space="preserve">In </w:t>
            </w:r>
            <w:r w:rsidR="00E85CA2" w:rsidRPr="002646F6">
              <w:t>HER2-negative/HR-positive u/mBC, m</w:t>
            </w:r>
            <w:r w:rsidR="006535FD">
              <w:t xml:space="preserve">edian </w:t>
            </w:r>
            <w:r w:rsidR="00E85CA2" w:rsidRPr="002646F6">
              <w:t xml:space="preserve">PFS </w:t>
            </w:r>
            <w:r w:rsidR="00ED0A54" w:rsidRPr="002646F6">
              <w:t xml:space="preserve">is </w:t>
            </w:r>
            <w:r w:rsidR="0029676B" w:rsidRPr="00040FAA">
              <w:t>3.</w:t>
            </w:r>
            <w:r w:rsidR="0029676B">
              <w:t>6</w:t>
            </w:r>
            <w:r w:rsidR="0029676B" w:rsidRPr="00040FAA">
              <w:t>–4.2 months and median OS of 11.5–</w:t>
            </w:r>
            <w:r w:rsidR="0029676B">
              <w:t xml:space="preserve">16.1 </w:t>
            </w:r>
            <w:r w:rsidR="0029676B" w:rsidRPr="00040FAA">
              <w:t>months.</w:t>
            </w:r>
            <w:r w:rsidR="0029676B">
              <w:fldChar w:fldCharType="begin"/>
            </w:r>
            <w:r w:rsidR="00CA6345">
              <w:instrText xml:space="preserve"> ADDIN ZOTERO_ITEM CSL_CITATION {"citationID":"LF14KC4f","properties":{"formattedCitation":"\\super 43\\uc0\\u8211{}47\\nosupersub{}","plainCitation":"43–47","noteIndex":0},"citationItems":[{"id":66149,"uris":["http://zotero.org/groups/4797619/items/8M7DF85G"],"itemData":{"id":66149,"type":"article-journal","abstract":"BACKGROUND: Based on data from two multicenter, phase III clinical trials (Studies 301 and 305), eribulin (a microtubule dynamics inhibitor) is indicated in the European Union (EU) for patients with locally advanced or metastatic breast cancer (MBC) after ≥1 prior chemotherapy for advanced disease, including an anthracycline and a taxane in either the adjuvant or metastatic setting. Data from Studies 305 and 301 were pooled to investigate the efficacy of eribulin in various subgroups of patients who matched the EU label, including those with human epidermal growth factor receptor 2 (HER2)-negative and triple-negative disease.\nPATIENTS AND METHODS: In Study 305 (NCT00388726), patients were randomized 2:1 to eribulin mesylate 1.4 mg/m(2) (equivalent to eribulin 1.23 mg/m(2) [expressed as free base]) intravenously on days 1 and 8 every 21 days] or treatment of physician's choice after 2-5 prior chemotherapies (≥2 for advanced disease), including an anthracycline and a taxane (in early/advanced setting). In Study 301 (NCT00337103), patients were randomized 1:1 to eribulin (as above) or capecitabine (1.25 g/m(2) orally twice daily on days 1-14 every 21 days) following ≤3 prior chemotherapies (≤2 for advanced disease), including an anthracycline and a taxane. Efficacy end points were investigated in the intent-to-treat population and subgroups, pooled as discussed above.\nRESULTS: Overall, 1644 patients were included (eribulin: 946; control: 698); baseline characteristics were well matched. Overall survival was significantly longer with eribulin versus control (P &lt; 0.01), as were progression-free survival and clinical benefit rate (both P &lt; 0.05). Significant survival benefits with eribulin versus control were observed in a wide range of patient subgroups, including HER2-negative or triple-negative disease (all P &lt; 0.05).\nCONCLUSION: Our findings underline the survival benefit achieved by eribulin used according to EU label in the overall MBC population and in various subgroups of interest, including patients with HER2-negative and triple-negative disease.","container-title":"Annals of Oncology: Official Journal of the European Society for Medical Oncology","DOI":"10.1093/annonc/mdw203","ISSN":"1569-8041","issue":"8","journalAbbreviation":"Ann Oncol","language":"eng","note":"PMID: 27177860\nPMCID: PMC4959925","page":"1525-1531","source":"PubMed","title":"Pooled analyses of eribulin in metastatic breast cancer patients with at least one prior chemotherapy","volume":"27","author":[{"family":"Pivot","given":"X."},{"family":"Marmé","given":"F."},{"family":"Koenigsberg","given":"R."},{"family":"Guo","given":"M."},{"family":"Berrak","given":"E."},{"family":"Wolfer","given":"A."}],"issued":{"date-parts":[["2016",8]]}}},{"id":66152,"uris":["http://zotero.org/groups/4797619/items/K2TXU8UJ"],"itemData":{"id":66152,"type":"article-journal","abstract":"BACKGROUND: Treatments with survival benefit are greatly needed for women with heavily pretreated metastatic breast cancer. Eribulin mesilate is a non-taxane microtubule dynamics inhibitor with a novel mode of action. We aimed to compare overall survival of heavily pretreated patients receiving eribulin versus currently available treatments.\nMETHODS: In this phase 3 open-label study, women with locally recurrent or metastatic breast cancer were randomly allocated (2:1) to eribulin mesilate (1·4 mg/m(2) administered intravenously during 2-5 min on days 1 and 8 of a 21-day cycle) or treatment of physician's choice (TPC). Patients had received between two and five previous chemotherapy regimens (two or more for advanced disease), including an anthracycline and a taxane, unless contraindicated. Randomisation was stratified by geographical region, previous capecitabine treatment, and human epidermal growth factor receptor 2 status. Patients and investigators were not masked to treatment allocation. The primary endpoint was overall survival in the intention-to-treat population. This study is registered at ClinicalTrials.gov, number NCT00388726.\nFINDINGS: 762 women were randomly allocated to treatment groups (508 eribulin, 254 TPC). Overall survival was significantly improved in women assigned to eribulin (median 13·1 months, 95% CI 11·8-14·3) compared with TPC (10·6 months, 9·3-12·5; hazard ratio 0·81, 95% CI 0·66-0·99; p=0·041). The most common adverse events in both groups were asthenia or fatigue (270 [54%] of 503 patients on eribulin and 98 [40%] of 247 patients on TPC at all grades) and neutropenia (260 [52%] patients receiving eribulin and 73 [30%] of those on TPC at all grades). Peripheral neuropathy was the most common adverse event leading to discontinuation from eribulin, occurring in 24 (5%) of 503 patients.\nINTERPRETATION: Eribulin showed a significant and clinically meaningful improvement in overall survival compared with TPC in women with heavily pretreated metastatic breast cancer. This finding challenges the notion that improved overall survival is an unrealistic expectation during evaluation of new anticancer therapies in the refractory setting.\nFUNDING: Eisai.","container-title":"Lancet (London, England)","DOI":"10.1016/S0140-6736(11)60070-6","ISSN":"1474-547X","issue":"9769","journalAbbreviation":"Lancet","language":"eng","note":"PMID: 21376385","page":"914-923","source":"PubMed","title":"Eribulin monotherapy versus treatment of physician's choice in patients with metastatic breast cancer (EMBRACE): a phase 3 open-label randomised study","title-short":"Eribulin monotherapy versus treatment of physician's choice in patients with metastatic breast cancer (EMBRACE)","volume":"377","author":[{"family":"Cortes","given":"Javier"},{"family":"O'Shaughnessy","given":"Joyce"},{"family":"Loesch","given":"David"},{"family":"Blum","given":"Joanne L."},{"family":"Vahdat","given":"Linda T."},{"family":"Petrakova","given":"Katarina"},{"family":"Chollet","given":"Philippe"},{"family":"Manikas","given":"Alexey"},{"family":"Diéras","given":"Veronique"},{"family":"Delozier","given":"Thierry"},{"family":"Vladimirov","given":"Vladimir"},{"family":"Cardoso","given":"Fatima"},{"family":"Koh","given":"Han"},{"family":"Bougnoux","given":"Philippe"},{"family":"Dutcus","given":"Corina E."},{"family":"Seegobin","given":"Seth"},{"family":"Mir","given":"Denis"},{"family":"Meneses","given":"Nicole"},{"family":"Wanders","given":"Jantien"},{"family":"Twelves","given":"Chris"},{"literal":"EMBRACE (Eisai Metastatic Breast Cancer Study Assessing Physician's Choice Versus E7389) investigators"}],"issued":{"date-parts":[["2011",3,12]]}}},{"id":66151,"uris":["http://zotero.org/groups/4797619/items/RLDAE79H"],"itemData":{"id":66151,"type":"article-journal","abstract":"PURPOSE AND METHODS: Our secondary analyses compared survival with eribulin versus capecitabine in various patient subgroups from a phase 3, open-label, randomized study. Eligible women aged ≥18 years with advanced/metastatic breast cancer and ≤3 prior chemotherapies (≤2 for advanced/metastatic disease), including an anthracycline and taxane, were randomized 1:1 to intravenous eribulin mesylate 1.4 mg/m(2) on days 1 and 8 or twice-daily oral capecitabine 1250 mg/m(2) on days 1-14 (21-day cycles).\nRESULTS: In the intent-to-treat population (eribulin 554 and capecitabine 548), overall survival appeared longer with eribulin than capecitabine in various subgroups, including patients with human epidermal growth factor receptor 2-negative (15.9 versus 13.5 months, respectively), estrogen receptor-negative (14.4 versus 10.5 months, respectively), and triple-negative (14.4 versus 9.4 months, respectively) disease. Progression-free survival was similar between the treatment arms.\nCONCLUSIONS: Patients with advanced/metastatic breast cancer and human epidermal growth factor receptor 2-, estrogen receptor-, or triple-negative disease may gain particular benefit from eribulin as first-, second-, and third-line chemotherapies.\nTRIAL REGISTRATION PRIMARY STUDY: This study reports the subgroup analyses of eribulin versus capecitabine from a phase 3, open-label, randomized study (www.clinicaltrials.gov; ClinicalTrials.gov identifier: NCT00337103).","container-title":"Breast Cancer: Basic and Clinical Research","DOI":"10.4137/BCBCR.S39615","ISSN":"1178-2234","journalAbbreviation":"Breast Cancer (Auckl)","language":"eng","note":"PMID: 27398025\nPMCID: PMC4927108","page":"77-84","source":"PubMed","title":"Subgroup Analyses from a Phase 3, Open-Label, Randomized Study of Eribulin Mesylate Versus Capecitabine in Pretreated Patients with Advanced or Metastatic Breast Cancer","volume":"10","author":[{"family":"Twelves","given":"Chris"},{"family":"Awada","given":"Ahmad"},{"family":"Cortes","given":"Javier"},{"family":"Yelle","given":"Louise"},{"family":"Velikova","given":"Galina"},{"family":"Olivo","given":"Martin S."},{"family":"Song","given":"James"},{"family":"Dutcus","given":"Corina E."},{"family":"Kaufman","given":"Peter A."}],"issued":{"date-parts":[["2016"]]}}},{"id":66150,"uris":["http://zotero.org/groups/4797619/items/FWP3JYLN"],"itemData":{"id":66150,"type":"article-journal","abstract":"This post hoc subgroup analysis of a large phase 3 study compared the efficacy and safety of eribulin versus capecitabine in patients with human epidermal growth factor receptor 2 (HER2)-negative metastatic breast cancer who received second-line treatment. In the phase 3 study, women with advanced/metastatic breast cancer and ≤ 3 prior chemotherapies were randomized 1:1 to eribulin mesilate 1.4 mg/m2 intravenously on days 1 and 8, or twice-daily oral capecitabine 1.25 g/m2 on days 1-14 (21-day cycles). This analysis included 392 patients. Median overall survival was longer in patients receiving eribulin compared with capecitabine (16.1 vs 13.5 months, respectively; HR 0.77, P = 0.026). Median progression-free survival and response rates were similar between arms. Both treatments had manageable safety profiles.","container-title":"Breast Cancer (Tokyo, Japan)","DOI":"10.1007/s12282-017-0826-4","ISSN":"1880-4233","issue":"3","journalAbbreviation":"Breast Cancer","language":"eng","note":"PMID: 29302858\nPMCID: PMC5906517","page":"370-374","source":"PubMed","title":"Subgroup analysis of patients with HER2-negative metastatic breast cancer in the second-line setting from a phase 3, open-label, randomized study of eribulin mesilate versus capecitabine","volume":"25","author":[{"family":"Pivot","given":"Xavier"},{"family":"Im","given":"Seock Ah"},{"family":"Guo","given":"Matthew"},{"family":"Marmé","given":"Frederik"}],"issued":{"date-parts":[["2018",5]]}}},{"id":66278,"uris":["http://zotero.org/groups/4797619/items/L9C8M9U3"],"itemData":{"id":66278,"type":"article-journal","abstract":"BACKGROUND: Use of antiangiogenic agents in treatment of metastatic breast cancer (MBC) remains controversial. We evaluated the efficacy and safety of ramucirumab and eribulin versus eribulin alone as third- to fifth-line therapy in women with advanced breast cancer.\nPATIENTS AND METHODS: In this randomized (1:1), open-label, phase II study, US women aged 18 years or older with 2 to 4 previous chemotherapy regimens for locally recurrent or MBC, previous anthracycline and taxane treatment, and Eastern Cooperative Oncology Group performance status of 0 or 1 received ramucirumab with eribulin or eribulin alone in 21-day cycles (eribulin 1.4 mg/m2 intravenously on days 1 and 8; ramucirumab 10 mg/kg intravenously on day 1). Randomization was stratified according to previous antiangiogenic therapy and triple-negative status. The primary end point was progression-free survival (PFS) in the intention to treat population.\nRESULTS: One hundred forty-one women were randomized to ramucirumab with eribulin (n = 71) or eribulin alone (n = 70). Median PFS for ramucirumab with eribulin was 4.4 months (95% confidence interval [CI], 3.1-6.7) compared with 4.1 months (95% CI, 3.2-5.6) for eribulin (hazard ratio [HR], 0.83; 95% CI, 0.56-1.23; P = .35). Median overall survival in patients who received ramucirumab with eribulin was 13.5 months (95% CI, 10.4-17.9) compared with 11.5 months (95% CI, 9.0-17.3) in patients who received eribulin alone (HR, 0.91; 95% CI, 0.59-1.41; P = .68); objective response rate was 21% (13 of 62 patients) for the combination and 28% (17 of 60 patients) for eribulin alone. No unexpected toxicity was identified for the combination.\nCONCLUSION: Ramucirumab combined with eribulin did not significantly improve PFS in advanced MBC.","container-title":"Clinical Breast Cancer","DOI":"10.1016/j.clbc.2016.07.005","ISSN":"1938-0666","issue":"6","journalAbbreviation":"Clin Breast Cancer","language":"eng","note":"PMID: 27569274","page":"471-479.e1","source":"PubMed","title":"Ramucirumab With Eribulin Versus Eribulin in Locally Recurrent or Metastatic Breast Cancer Previously Treated With Anthracycline and Taxane Therapy: A Multicenter, Randomized, Phase II Study","title-short":"Ramucirumab With Eribulin Versus Eribulin in Locally Recurrent or Metastatic Breast Cancer Previously Treated With Anthracycline and Taxane Therapy","volume":"16","author":[{"family":"Yardley","given":"Denise A."},{"family":"Reeves","given":"James"},{"family":"Dees","given":"E. Claire"},{"family":"Osborne","given":"Cynthia"},{"family":"Paul","given":"Devchand"},{"family":"Ademuyiwa","given":"Foluso"},{"family":"Soliman","given":"Hatem"},{"family":"Guthrie","given":"Troy"},{"family":"Andersen","given":"Jay"},{"family":"Krekow","given":"Lea"},{"family":"Choksi","given":"Janak"},{"family":"Daniel","given":"Brooke"},{"family":"Danso","given":"Michael"},{"family":"Favret","given":"Anne"},{"family":"Oommen","given":"Sanjay"},{"family":"Brufsky","given":"Adam"},{"family":"Bromund","given":"Jane L."},{"family":"Lin","given":"Yong"},{"family":"Ibrahim","given":"Ayman B."},{"family":"Richards","given":"Paul D."}],"issued":{"date-parts":[["2016",12]]}}}],"schema":"https://github.com/citation-style-language/schema/raw/master/csl-citation.json"} </w:instrText>
            </w:r>
            <w:r w:rsidR="0029676B">
              <w:fldChar w:fldCharType="separate"/>
            </w:r>
            <w:r w:rsidR="00FD57F4" w:rsidRPr="00FD57F4">
              <w:rPr>
                <w:rFonts w:cs="Arial"/>
                <w:szCs w:val="24"/>
                <w:vertAlign w:val="superscript"/>
              </w:rPr>
              <w:t>43–47</w:t>
            </w:r>
            <w:r w:rsidR="0029676B">
              <w:fldChar w:fldCharType="end"/>
            </w:r>
            <w:r w:rsidR="006B380D" w:rsidRPr="002646F6">
              <w:t xml:space="preserve"> </w:t>
            </w:r>
            <w:r w:rsidR="002D18F3" w:rsidRPr="002646F6">
              <w:t xml:space="preserve">Outcomes are even </w:t>
            </w:r>
            <w:r w:rsidR="00736046" w:rsidRPr="002646F6">
              <w:t xml:space="preserve">poorer </w:t>
            </w:r>
            <w:r w:rsidR="002D18F3" w:rsidRPr="002646F6">
              <w:t>in</w:t>
            </w:r>
            <w:r w:rsidR="001628A9" w:rsidRPr="002646F6">
              <w:rPr>
                <w:rFonts w:cs="Arial"/>
              </w:rPr>
              <w:t xml:space="preserve"> </w:t>
            </w:r>
            <w:r w:rsidR="0013511A" w:rsidRPr="002646F6">
              <w:rPr>
                <w:rFonts w:cs="Arial"/>
              </w:rPr>
              <w:t>HER2-negative/HR-negative</w:t>
            </w:r>
            <w:r w:rsidR="00803784" w:rsidRPr="002646F6">
              <w:rPr>
                <w:rFonts w:cs="Arial"/>
              </w:rPr>
              <w:t xml:space="preserve"> (TNBC)</w:t>
            </w:r>
            <w:r w:rsidRPr="002646F6">
              <w:rPr>
                <w:rFonts w:cs="Arial"/>
              </w:rPr>
              <w:t xml:space="preserve"> </w:t>
            </w:r>
            <w:r w:rsidR="001628A9" w:rsidRPr="002646F6">
              <w:rPr>
                <w:rFonts w:cs="Arial"/>
              </w:rPr>
              <w:t>u/mBC</w:t>
            </w:r>
            <w:r w:rsidR="007E646B" w:rsidRPr="002646F6">
              <w:rPr>
                <w:rFonts w:cs="Arial"/>
              </w:rPr>
              <w:t>,</w:t>
            </w:r>
            <w:r w:rsidR="001F0AB4" w:rsidRPr="002646F6">
              <w:rPr>
                <w:rFonts w:cs="Arial"/>
              </w:rPr>
              <w:t xml:space="preserve"> </w:t>
            </w:r>
            <w:r w:rsidR="00AA5A1F" w:rsidRPr="002646F6">
              <w:rPr>
                <w:rFonts w:cs="Arial"/>
              </w:rPr>
              <w:t xml:space="preserve">where </w:t>
            </w:r>
            <w:r w:rsidR="00E76ED0" w:rsidRPr="002646F6">
              <w:rPr>
                <w:rFonts w:cs="Arial"/>
              </w:rPr>
              <w:t>m</w:t>
            </w:r>
            <w:r w:rsidR="004E1D18" w:rsidRPr="002646F6">
              <w:rPr>
                <w:rFonts w:cs="Arial"/>
              </w:rPr>
              <w:t xml:space="preserve">edian </w:t>
            </w:r>
            <w:r w:rsidR="00E76ED0" w:rsidRPr="002646F6">
              <w:rPr>
                <w:rFonts w:cs="Arial"/>
              </w:rPr>
              <w:t>PF</w:t>
            </w:r>
            <w:r w:rsidR="00FB17E4">
              <w:rPr>
                <w:rFonts w:cs="Arial"/>
              </w:rPr>
              <w:t>S</w:t>
            </w:r>
            <w:r w:rsidR="00E76ED0" w:rsidRPr="002646F6">
              <w:rPr>
                <w:rFonts w:cs="Arial"/>
              </w:rPr>
              <w:t xml:space="preserve"> is </w:t>
            </w:r>
            <w:r w:rsidR="00AE1339" w:rsidRPr="00040FAA">
              <w:t>1.7–2.8</w:t>
            </w:r>
            <w:r w:rsidR="00E76ED0" w:rsidRPr="002646F6">
              <w:rPr>
                <w:rFonts w:cs="Arial"/>
              </w:rPr>
              <w:t xml:space="preserve"> months and m</w:t>
            </w:r>
            <w:r w:rsidR="00FB17E4">
              <w:rPr>
                <w:rFonts w:cs="Arial"/>
              </w:rPr>
              <w:t xml:space="preserve">edian </w:t>
            </w:r>
            <w:r w:rsidR="00E76ED0" w:rsidRPr="002646F6">
              <w:rPr>
                <w:rFonts w:cs="Arial"/>
              </w:rPr>
              <w:t xml:space="preserve">OS </w:t>
            </w:r>
            <w:r w:rsidR="00FB17E4">
              <w:rPr>
                <w:rFonts w:cs="Arial"/>
              </w:rPr>
              <w:t xml:space="preserve">is </w:t>
            </w:r>
            <w:r w:rsidR="000861B6" w:rsidRPr="00040FAA">
              <w:t>6.7–</w:t>
            </w:r>
            <w:r w:rsidR="000861B6">
              <w:t>12.4</w:t>
            </w:r>
            <w:r w:rsidR="000861B6" w:rsidRPr="00040FAA">
              <w:t xml:space="preserve"> </w:t>
            </w:r>
            <w:r w:rsidR="00E76ED0" w:rsidRPr="002646F6">
              <w:rPr>
                <w:rFonts w:cs="Arial"/>
              </w:rPr>
              <w:t>months.</w:t>
            </w:r>
            <w:r w:rsidR="003637F7">
              <w:rPr>
                <w:rFonts w:cs="Arial"/>
              </w:rPr>
              <w:fldChar w:fldCharType="begin"/>
            </w:r>
            <w:r w:rsidR="00CA6345">
              <w:rPr>
                <w:rFonts w:cs="Arial"/>
              </w:rPr>
              <w:instrText xml:space="preserve"> ADDIN ZOTERO_ITEM CSL_CITATION {"citationID":"xrFDabQ0","properties":{"formattedCitation":"\\super 43,48\\uc0\\u8211{}50\\nosupersub{}","plainCitation":"43,48–50","noteIndex":0},"citationItems":[{"id":66444,"uris":["http://zotero.org/groups/4797619/items/44JAGUPG"],"itemData":{"id":66444,"type":"article-journal","container-title":"New England Journal of Medicine","DOI":"10.1056/NEJMoa2028485","ISSN":"0028-4793","issue":"16","note":"publisher: Massachusetts Medical Society\n_eprint: https://doi.org/10.1056/NEJMoa2028485\nPMID: 33882206","page":"1529-1541","source":"Taylor and Francis+NEJM","title":"Sacituzumab Govitecan in Metastatic Triple-Negative Breast Cancer","volume":"384","author":[{"family":"Bardia","given":"Aditya"},{"family":"Hurvitz","given":"Sara A."},{"family":"Tolaney","given":"Sara M."},{"family":"Loirat","given":"Delphine"},{"family":"Punie","given":"Kevin"},{"family":"Oliveira","given":"Mafalda"},{"family":"Brufsky","given":"Adam"},{"family":"Sardesai","given":"Sagar D."},{"family":"Kalinsky","given":"Kevin"},{"family":"Zelnak","given":"Amelia B."},{"family":"Weaver","given":"Robert"},{"family":"Traina","given":"Tiffany"},{"family":"Dalenc","given":"Florence"},{"family":"Aftimos","given":"Philippe"},{"family":"Lynce","given":"Filipa"},{"family":"Diab","given":"Sami"},{"family":"Cortés","given":"Javier"},{"family":"O’Shaughnessy","given":"Joyce"},{"family":"Diéras","given":"Véronique"},{"family":"Ferrario","given":"Cristiano"},{"family":"Schmid","given":"Peter"},{"family":"Carey","given":"Lisa A."},{"family":"Gianni","given":"Luca"},{"family":"Piccart","given":"Martine J."},{"family":"Loibl","given":"Sibylle"},{"family":"Goldenberg","given":"David M."},{"family":"Hong","given":"Quan"},{"family":"Olivo","given":"Martin S."},{"family":"Itri","given":"Loretta M."},{"family":"Rugo","given":"Hope S."}],"issued":{"date-parts":[["2021",4,22]]}}},{"id":66149,"uris":["http://zotero.org/groups/4797619/items/8M7DF85G"],"itemData":{"id":66149,"type":"article-journal","abstract":"BACKGROUND: Based on data from two multicenter, phase III clinical trials (Studies 301 and 305), eribulin (a microtubule dynamics inhibitor) is indicated in the European Union (EU) for patients with locally advanced or metastatic breast cancer (MBC) after ≥1 prior chemotherapy for advanced disease, including an anthracycline and a taxane in either the adjuvant or metastatic setting. Data from Studies 305 and 301 were pooled to investigate the efficacy of eribulin in various subgroups of patients who matched the EU label, including those with human epidermal growth factor receptor 2 (HER2)-negative and triple-negative disease.\nPATIENTS AND METHODS: In Study 305 (NCT00388726), patients were randomized 2:1 to eribulin mesylate 1.4 mg/m(2) (equivalent to eribulin 1.23 mg/m(2) [expressed as free base]) intravenously on days 1 and 8 every 21 days] or treatment of physician's choice after 2-5 prior chemotherapies (≥2 for advanced disease), including an anthracycline and a taxane (in early/advanced setting). In Study 301 (NCT00337103), patients were randomized 1:1 to eribulin (as above) or capecitabine (1.25 g/m(2) orally twice daily on days 1-14 every 21 days) following ≤3 prior chemotherapies (≤2 for advanced disease), including an anthracycline and a taxane. Efficacy end points were investigated in the intent-to-treat population and subgroups, pooled as discussed above.\nRESULTS: Overall, 1644 patients were included (eribulin: 946; control: 698); baseline characteristics were well matched. Overall survival was significantly longer with eribulin versus control (P &lt; 0.01), as were progression-free survival and clinical benefit rate (both P &lt; 0.05). Significant survival benefits with eribulin versus control were observed in a wide range of patient subgroups, including HER2-negative or triple-negative disease (all P &lt; 0.05).\nCONCLUSION: Our findings underline the survival benefit achieved by eribulin used according to EU label in the overall MBC population and in various subgroups of interest, including patients with HER2-negative and triple-negative disease.","container-title":"Annals of Oncology: Official Journal of the European Society for Medical Oncology","DOI":"10.1093/annonc/mdw203","ISSN":"1569-8041","issue":"8","journalAbbreviation":"Ann Oncol","language":"eng","note":"PMID: 27177860\nPMCID: PMC4959925","page":"1525-1531","source":"PubMed","title":"Pooled analyses of eribulin in metastatic breast cancer patients with at least one prior chemotherapy","volume":"27","author":[{"family":"Pivot","given":"X."},{"family":"Marmé","given":"F."},{"family":"Koenigsberg","given":"R."},{"family":"Guo","given":"M."},{"family":"Berrak","given":"E."},{"family":"Wolfer","given":"A."}],"issued":{"date-parts":[["2016",8]]}}},{"id":66764,"uris":["http://zotero.org/groups/4797619/items/YX8NEWUE"],"itemData":{"id":66764,"type":"article-journal","container-title":"The Lancet Oncology","DOI":"10.1016/S1470-2045(20)30754-3","ISSN":"1470-2045, 1474-5488","issue":"4","journalAbbreviation":"The Lancet Oncology","language":"English","note":"publisher: Elsevier\nPMID: 33676601","page":"499-511","source":"www.thelancet.com","title":"Pembrolizumab versus investigator-choice chemotherapy for metastatic triple-negative breast cancer (KEYNOTE-119): a randomised, open-label, phase 3 trial","title-short":"Pembrolizumab versus investigator-choice chemotherapy for metastatic triple-negative breast cancer (KEYNOTE-119)","volume":"22","author":[{"family":"Winer","given":"Eric P."},{"family":"Lipatov","given":"Oleg"},{"family":"Im","given":"Seock-Ah"},{"family":"Goncalves","given":"Anthony"},{"family":"Muñoz-Couselo","given":"Eva"},{"family":"Lee","given":"Keun Seok"},{"family":"Schmid","given":"Peter"},{"family":"Tamura","given":"Kenji"},{"family":"Testa","given":"Laura"},{"family":"Witzel","given":"Isabell"},{"family":"Ohtani","given":"Shoichiro"},{"family":"Turner","given":"Nicholas"},{"family":"Zambelli","given":"Stefania"},{"family":"Harbeck","given":"Nadia"},{"family":"Andre","given":"Fabrice"},{"family":"Dent","given":"Rebecca"},{"family":"Zhou","given":"Xuan"},{"family":"Karantza","given":"Vassiliki"},{"family":"Mejia","given":"Jaime"},{"family":"Cortes","given":"Javier"}],"issued":{"date-parts":[["2021",4,1]]}}},{"id":66759,"uris":["http://zotero.org/groups/4797619/items/WRYWKH52"],"itemData":{"id":66759,"type":"article-journal","abstract":"The METRIC study (NCT#0199733) explored a novel antibody–drug conjugate, glembatumumab vedotin (GV), targeting gpNMB that is overexpressed in ~40% of patients with triple-negative breast cancer (TNBC) and associated with poor prognosis. The study was a randomized, open-label, phase 2b study that evaluated progression-free survival (PFS) of GV compared with capecitabine in gpNMB-overexpressing TNBC. Patients who had previously received anthracycline and taxane-based therapy were randomized 2:1 to receive, GV (1.88 mg/kg IV q21 days) or capecitabine (2500 mg/m2 PO daily d1–14 q21 days). The primary endpoint was RECIST 1.1 PFS per independent, blinded central review. In all, 327 patients were randomized to GV (213 treated) or capecitabine (92 treated). Median PFS was 2.9 months for GV vs. 2.8 months for capecitabine. The most common grade ≥3 toxicities for GV were neutropenia, rash, and leukopenia, and for capecitabine were fatigue, diarrhea, and palmar-plantar erythrodysesthesia. The study did not meet the primary endpoint of improved PFS over capecitabine or demonstrate a relative risk/benefit improvement over capecitabine.","container-title":"npj Breast Cancer","DOI":"10.1038/s41523-021-00244-6","ISSN":"2374-4677","issue":"1","language":"en","license":"2021 The Author(s)","note":"number: 1\npublisher: Nature Publishing Group","page":"1-10","source":"www.nature.com","title":"Glembatumumab vedotin for patients with metastatic, gpNMB overexpressing, triple-negative breast cancer (“METRIC”): a randomized multicenter study","title-short":"Glembatumumab vedotin for patients with metastatic, gpNMB overexpressing, triple-negative breast cancer (“METRIC”)","volume":"7","author":[{"family":"Vahdat","given":"Linda T."},{"family":"Schmid","given":"Peter"},{"family":"Forero-Torres","given":"Andres"},{"family":"Blackwell","given":"Kimberly"},{"family":"Telli","given":"Melinda L."},{"family":"Melisko","given":"Michelle"},{"family":"Möbus","given":"Volker"},{"family":"Cortes","given":"Javier"},{"family":"Montero","given":"Alberto J."},{"family":"Ma","given":"Cynthia"},{"family":"Nanda","given":"Rita"},{"family":"Wright","given":"Gail S."},{"family":"He","given":"Yi"},{"family":"Hawthorne","given":"Thomas"},{"family":"Bagley","given":"Rebecca G."},{"family":"Halim","given":"Abdel-Baset"},{"family":"Turner","given":"Christopher D."},{"family":"Yardley","given":"Denise A."}],"issued":{"date-parts":[["2021",5,20]]}}}],"schema":"https://github.com/citation-style-language/schema/raw/master/csl-citation.json"} </w:instrText>
            </w:r>
            <w:r w:rsidR="003637F7">
              <w:rPr>
                <w:rFonts w:cs="Arial"/>
              </w:rPr>
              <w:fldChar w:fldCharType="separate"/>
            </w:r>
            <w:r w:rsidR="00FD57F4" w:rsidRPr="00FD57F4">
              <w:rPr>
                <w:rFonts w:cs="Arial"/>
                <w:szCs w:val="24"/>
                <w:vertAlign w:val="superscript"/>
              </w:rPr>
              <w:t>43,48–50</w:t>
            </w:r>
            <w:r w:rsidR="003637F7">
              <w:rPr>
                <w:rFonts w:cs="Arial"/>
              </w:rPr>
              <w:fldChar w:fldCharType="end"/>
            </w:r>
            <w:r w:rsidR="003637F7" w:rsidRPr="002646F6">
              <w:rPr>
                <w:rFonts w:cs="Arial"/>
              </w:rPr>
              <w:t xml:space="preserve"> </w:t>
            </w:r>
            <w:r w:rsidR="00333ACA">
              <w:rPr>
                <w:rStyle w:val="ui-provider"/>
              </w:rPr>
              <w:t>Across all studies of patients with HER2-negative u/mBC (i.e., any HR-status: HR-negative, HR-positive, or HR-status unspecified), non-targeted chemotherapy is associated with a median PFS of 1.7–6.6 months and median OS of 6.7–20.7 months.</w:t>
            </w:r>
            <w:r w:rsidR="00333ACA">
              <w:fldChar w:fldCharType="begin"/>
            </w:r>
            <w:r w:rsidR="00CA6345">
              <w:instrText xml:space="preserve"> ADDIN ZOTERO_ITEM CSL_CITATION {"citationID":"PHi7SAUb","properties":{"formattedCitation":"\\super 43\\uc0\\u8211{}55\\nosupersub{}","plainCitation":"43–55","noteIndex":0},"citationItems":[{"id":66278,"uris":["http://zotero.org/groups/4797619/items/L9C8M9U3"],"itemData":{"id":66278,"type":"article-journal","abstract":"BACKGROUND: Use of antiangiogenic agents in treatment of metastatic breast cancer (MBC) remains controversial. We evaluated the efficacy and safety of ramucirumab and eribulin versus eribulin alone as third- to fifth-line therapy in women with advanced breast cancer.\nPATIENTS AND METHODS: In this randomized (1:1), open-label, phase II study, US women aged 18 years or older with 2 to 4 previous chemotherapy regimens for locally recurrent or MBC, previous anthracycline and taxane treatment, and Eastern Cooperative Oncology Group performance status of 0 or 1 received ramucirumab with eribulin or eribulin alone in 21-day cycles (eribulin 1.4 mg/m2 intravenously on days 1 and 8; ramucirumab 10 mg/kg intravenously on day 1). Randomization was stratified according to previous antiangiogenic therapy and triple-negative status. The primary end point was progression-free survival (PFS) in the intention to treat population.\nRESULTS: One hundred forty-one women were randomized to ramucirumab with eribulin (n = 71) or eribulin alone (n = 70). Median PFS for ramucirumab with eribulin was 4.4 months (95% confidence interval [CI], 3.1-6.7) compared with 4.1 months (95% CI, 3.2-5.6) for eribulin (hazard ratio [HR], 0.83; 95% CI, 0.56-1.23; P = .35). Median overall survival in patients who received ramucirumab with eribulin was 13.5 months (95% CI, 10.4-17.9) compared with 11.5 months (95% CI, 9.0-17.3) in patients who received eribulin alone (HR, 0.91; 95% CI, 0.59-1.41; P = .68); objective response rate was 21% (13 of 62 patients) for the combination and 28% (17 of 60 patients) for eribulin alone. No unexpected toxicity was identified for the combination.\nCONCLUSION: Ramucirumab combined with eribulin did not significantly improve PFS in advanced MBC.","container-title":"Clinical Breast Cancer","DOI":"10.1016/j.clbc.2016.07.005","ISSN":"1938-0666","issue":"6","journalAbbreviation":"Clin Breast Cancer","language":"eng","note":"PMID: 27569274","page":"471-479.e1","source":"PubMed","title":"Ramucirumab With Eribulin Versus Eribulin in Locally Recurrent or Metastatic Breast Cancer Previously Treated With Anthracycline and Taxane Therapy: A Multicenter, Randomized, Phase II Study","title-short":"Ramucirumab With Eribulin Versus Eribulin in Locally Recurrent or Metastatic Breast Cancer Previously Treated With Anthracycline and Taxane Therapy","volume":"16","author":[{"family":"Yardley","given":"Denise A."},{"family":"Reeves","given":"James"},{"family":"Dees","given":"E. Claire"},{"family":"Osborne","given":"Cynthia"},{"family":"Paul","given":"Devchand"},{"family":"Ademuyiwa","given":"Foluso"},{"family":"Soliman","given":"Hatem"},{"family":"Guthrie","given":"Troy"},{"family":"Andersen","given":"Jay"},{"family":"Krekow","given":"Lea"},{"family":"Choksi","given":"Janak"},{"family":"Daniel","given":"Brooke"},{"family":"Danso","given":"Michael"},{"family":"Favret","given":"Anne"},{"family":"Oommen","given":"Sanjay"},{"family":"Brufsky","given":"Adam"},{"family":"Bromund","given":"Jane L."},{"family":"Lin","given":"Yong"},{"family":"Ibrahim","given":"Ayman B."},{"family":"Richards","given":"Paul D."}],"issued":{"date-parts":[["2016",12]]}}},{"id":66146,"uris":["http://zotero.org/groups/4797619/items/CXIIHEH4"],"itemData":{"id":66146,"type":"article-journal","abstract":"PURPOSE: Improving the outcome of patients with HER2-negative metastatic breast cancer experiencing tumour progression following first-line chemotherapy remains an urgent medical need. The purpose of the VicTORia trial was to show superiority of everolimus in combination with vinorelbine versus vinorelbine monotherapy as second-line chemotherapy for patients with advanced HER2 negative breast cancer.\nMETHODS: In this randomised phase II trial, 133 patients were recruited in 32 centres in Germany. Patients were randomised 1:1 to second-line chemotherapy either with vinorelbine plus everolimus (arm1) or vinorelbine alone (arm2). Primary endpoint was progression-free survival (PFS). Secondary endpoints were PFS rate at 6 months, overall survival (OS), overall response rate (ORR) and safety. Baseline PI3 K mutational status was determined in plasma samples.\nRESULTS: Median progression-free survival was not different between arms (arm1 vs. arm2: 4.01 months, 95% CI 2.40-6.09 vs. 4.08, 95% CI 2.80-5.33). PFS rate at 6 months (arm1 vs. arm2: 39.4%, 95% CI 27.6-50.9% vs. 36.6%, 95% CI 24.6-48.6%), median OS (arm1 vs. arm2: 16.3 months, 95% CI 11.4-19.0 vs. 13.8 months, 95% CI 10.2-19.1) and ORR were not different between arms. Most frequent grade 3/4 adverse events were neutropenia (50% vs. 40%), gastrointestinal toxicities (19.1% vs. 6.1%), and infections (19.1% vs. 7.7%). PI3 K mutational status was neither associated with PFS nor with OS.\nCONCLUSION: Although well tolerated, the efficacy of everolimus and vinorelbine combination therapy was not superior to vinorelbine monotherapy. There was no correlation between PI3 K mutational status and efficacy. EudracCT No 2011-001024-38, ClinicalTrials.gov No NCT01520103.","container-title":"Breast Cancer Research and Treatment","DOI":"10.1007/s10549-019-05280-2","ISSN":"1573-7217","issue":"3","journalAbbreviation":"Breast Cancer Res Treat","language":"eng","note":"PMID: 31115844","page":"637-647","source":"PubMed","title":"VicTORia: a randomised phase II study to compare vinorelbine in combination with the mTOR inhibitor everolimus versus vinorelbine monotherapy for second-line chemotherapy in advanced HER2-negative breast cancer","title-short":"VicTORia","volume":"176","author":[{"family":"Decker","given":"Thomas"},{"family":"Marschner","given":"Norbert"},{"family":"Muendlein","given":"Axel"},{"family":"Welt","given":"Anja"},{"family":"Hagen","given":"Volker"},{"family":"Rauh","given":"Jaqueline"},{"family":"Schröder","given":"Helge"},{"family":"Jaehnig","given":"Peter"},{"family":"Potthoff","given":"Karin"},{"family":"Lerchenmüller","given":"Christian"}],"issued":{"date-parts":[["2019",8]]}}},{"id":66766,"uris":["http://zotero.org/groups/4797619/items/9JHDBM4N"],"itemData":{"id":66766,"type":"article-journal","abstract":"Background: Previously, we showed that reintroduction of the same (first-line) chemotherapy at progression could only partially make up for the loss in efficacy as compared to continuously delivered first-line chemotherapy. Here, we report the probability of starting second-line study chemotherapy in the Stop&amp;Go trial, and the progression-free survival (PFS) and overall survival (OS) of patients who received both the first- and second-line treatment in an intermittent versus continuous schedule.Methods: First-line chemotherapy comprised paclitaxel plus bevacizumab, second-line capecitabine or non-pegylated liposomal doxorubicin, given per treatment line as two times four cycles (intermittent) or as eight consecutive cycles (continuous).Results: Of the 420 patients who started first-line treatment within the Stop&amp;Go trial (210:210), a total of 270 patients continued on second-line study treatment (64% of all), which consisted of capecitabine in 201 patients and of non-pegylated liposomal doxorubicin in 69 patients, evenly distributed between the treatment arms. Median PFS was 3.7 versus 5.0 months (HR 1.07; 95% CI: 0.82–1.38) and median OS 10.9 versus 12.4 months (HR 1.27; 95% CI: 0.98–1.66) for intermittent versus continuous second-line chemotherapy. Second-line PFS was positively influenced by prior hormonal therapy for metastatic disease and longer first-line PFS duration, while triple-negative tumor status had a negative influence. Patients with a shorter time to progression (TTP) in first-line (≤10 months) had a higher probability of starting second-line treatment if they received intermittent compared to continuous chemotherapy (OR 1.97; 95% CI: 1.02–3.80).Conclusion: We recommend continuous scheduling of both the first- and second-line chemotherapy for advanced breast cancer.","container-title":"Acta Oncologica","DOI":"10.1080/0284186X.2020.1731923","ISSN":"0284-186X","issue":"6","note":"publisher: Taylor &amp; Francis\n_eprint: https://doi.org/10.1080/0284186X.2020.1731923\nPMID: 32141389","page":"713-722","source":"Taylor and Francis+NEJM","title":"Secondary analyses of the randomized phase III Stop&amp;Go study: efficacy of second-line intermittent versus continuous chemotherapy in HER2-negative advanced breast cancer","title-short":"Secondary analyses of the randomized phase III Stop&amp;Go study","volume":"59","author":[{"family":"Claessens","given":"Anouk K. M."},{"family":"Erdkamp","given":"Frans L. G."},{"family":"Lopez-Yurda","given":"Marta"},{"family":"Bouma","given":"Jeanette M."},{"family":"Rademaker-Lakhai","given":"Jeany M."},{"family":"Honkoop","given":"Aafke H."},{"family":"Graaf","given":"Hiltje","non-dropping-particle":"de"},{"family":"Tjan-Heijnen","given":"Vivianne C. G."},{"family":"Bos","given":"Monique E. M. M."}],"issued":{"date-parts":[["2020",6,2]]}}},{"id":66756,"uris":["http://zotero.org/groups/4797619/items/97GZ44K7"],"itemData":{"id":66756,"type":"article-journal","abstract":"PURPOSE: This phase III study compared the efficacy and safety of bevacizumab combined with standard chemotherapy regimens versus chemotherapy alone as second-line treatment of patients with human epidermal growth factor receptor 2 (HER2) -negative metastatic breast cancer.\nPATIENTS AND METHODS: Patients were randomly assigned 2:1 to chemotherapy + bevacizumab or to chemotherapy + placebo. Before random assignment, investigators chose capecitabine, a taxane (paclitaxel, nab-paclitaxel, or docetaxel), gemcitabine, or vinorelbine. Dosing for bevacizumab or placebo was 15 mg/kg every 3 weeks or 10 mg/kg every 2 weeks, depending on chemotherapy regimen. The primary end point was progression-free survival (PFS). Secondary end points included overall survival, PFS by chemotherapy cohort, objective response rate (ORR), duration of objective response, 1-year survival rate, and safety.\nRESULTS: RIBBON-2 enrolled 684 patients (225, chemotherapy + placebo; 459, chemotherapy + bevacizumab). The combination of bevacizumab with chemotherapy demonstrated a statistically significant benefit. Median PFS increased from 5.1 to 7.2 months (stratified hazard ratio for PFS, 0.78; 95% CI, 0.64 to 0.93; P = .0072). The 10% improvement in ORR between the placebo- and bevacizumab-containing arms (39.5% v 29.6%; P = .0193), although not statistically significant, was consistent with previous trials. There was no statistically significant difference in overall survival. The most common grade ≥ 3 adverse events (AEs) related to bevacizumab treatment were hypertension (9.0%) and proteinuria (3.1%). There was an increased number of AEs leading to study discontinuation in the chemotherapy + bevacizumab arm compared with the chemotherapy + placebo arm (13.3% v 7.2%).\nCONCLUSION: The combination of bevacizumab with commonly used chemotherapies improved PFS in the second-line treatment of patients with HER2-negative metastatic breast cancer, with a safety profile comparable with that in prior phase III studies.","container-title":"Journal of Clinical Oncology: Official Journal of the American Society of Clinical Oncology","DOI":"10.1200/JCO.2010.34.1255","ISSN":"1527-7755","issue":"32","journalAbbreviation":"J Clin Oncol","language":"eng","note":"PMID: 21990397","page":"4286-4293","source":"PubMed","title":"RIBBON-2: a randomized, double-blind, placebo-controlled, phase III trial evaluating the efficacy and safety of bevacizumab in combination with chemotherapy for second-line treatment of human epidermal growth factor receptor 2-negative metastatic breast cancer","title-short":"RIBBON-2","volume":"29","author":[{"family":"Brufsky","given":"Adam M."},{"family":"Hurvitz","given":"Sara"},{"family":"Perez","given":"Edith"},{"family":"Swamy","given":"Raji"},{"family":"Valero","given":"Vicente"},{"family":"O'Neill","given":"Vincent"},{"family":"Rugo","given":"Hope S."}],"issued":{"date-parts":[["2011",11,10]]}}},{"id":66777,"uris":["http://zotero.org/groups/4797619/items/VJ3GUGK2"],"itemData":{"id":66777,"type":"article-journal","abstract":"Background\nWe conducted an open-label, randomized, two-arm multi-center study to assess the efficacy and safety of paclitaxel versus paclitaxel + sorafenib in patients with locally advanced or metastatic HER2-negative breast cancer.\n\nMethods\nPatients were randomly assigned to receive either paclitaxel monotherapy (80 mg/m2) weekly (3 weeks on, 1 week off) plus sorafenib 400 mg orally, twice a day taken continuously throughout 28 day cycles. Sorafenib dose was gradually escalated from a starting dose of 200 mg twice a day. The primary endpoint was progression free survival (PFS).\n\nResults\nA pre-planned efficacy interim analysis was performed on the data of 60 patients, 30 patients in each treatment arm. Median PFS was estimated at 6.6 months (95% CI: 5.1 to 9.0) in patients randomized to single-agent paclitaxel (Arm A) and 5.6 months (95% CI: 3.8 to 6.5) in patients randomized to paclitaxel-sorafenib combination (Arm B) therapy. Contrary to the hypothesis, the treatment effect was statistically significant in favor of paclitaxel monotherapy (hazard ratio 1.80, 95% CI: 1.02 to 3.20; log-rank test P = 0.0409). It was decided to stop the trial early for futility. Median OS was also in favor of Arm A (20.7 months (95% CI: 16.4 to 26.7) versus 12.1 months (95% CI: 5.8 to 20.4) in Arm B. Clinical control was achieved in 28 patients (93.3%) in Arm A and in 21 patients 70.0% in Arm B. Overall response rate was met in 43.3% of patients in Arm A and in 40.0% in Arm B. Toxicities were increased in Arm B with higher rates of diarrhea, nausea, neutropenia, hand-foot skin reaction (HFSR) and anorexia, Grad 3 and 4 toxicities were rare.\n\nConclusions\nIn this pre-planned interim analysis, paclitaxel-sorafenib combination therapy was not found to be superior to paclitaxel monotherapy with regard to the primary end point, progression-free survival. The trial was therefore discontinued early. There was no indication of more favorable outcomes for combination therapy in secondary efficacy end points. As expected, the safety and toxicity profile of the combination therapy was less favorable compared to monotherapy. Overall, this trial did not demonstrate that adding sorafenib to second- or third-line paclitaxel provides any clinical benefit to patients with HER2-negative advanced or metastatic breast cancer. Cautious dosing using a sorafenib ramp up schedule might have contributed to negative results.\n\nTrial registration\nThe study was registered at EudraCT (No 2009–018025-73) and retrospectively registered at Clinical trials.gov on March 17, 2011 (NCT01320111).","container-title":"BMC Cancer","DOI":"10.1186/s12885-017-3492-1","ISSN":"1471-2407","journalAbbreviation":"BMC Cancer","note":"PMID: 28743247\nPMCID: PMC5526236","page":"499","source":"PubMed Central","title":"A randomized phase II study of paclitaxel alone versus paclitaxel plus sorafenib in second- and third-line treatment of patients with HER2-negative metastatic breast cancer (PASO)","volume":"17","author":[{"family":"Decker","given":"Thomas"},{"family":"Overkamp","given":"Friedrich"},{"family":"Rösel","given":"Siegfried"},{"family":"Nusch","given":"Arnd"},{"family":"Göhler","given":"Thomas"},{"family":"Indorf","given":"Martin"},{"family":"Sahlmann","given":"Jörg"},{"family":"Trarbach","given":"Tanja"}],"issued":{"date-parts":[["2017",7,25]]}}},{"id":66774,"uris":["http://zotero.org/groups/4797619/items/2HU3NYWK"],"itemData":{"id":66774,"type":"article-journal","abstract":"Purpose\n\nGlycoprotein NMB (gpNMB), a negative prognostic marker, is overexpressed in multiple tumor types. Glembatumumab vedotin is a gpNMB-specific monoclonal antibody conjugated to the potent cytotoxin monomethyl auristatin E. This phase II study investigated the activity of glembatumumab vedotin in advanced breast cancer by gpNMB expression.\n\nPatients and Methods\n\nPatients (n = 124) with refractory breast cancer that expressed gpNMB in ≥ 5% of epithelial or stromal cells by central immunohistochemistry were stratified by gpNMB expression (tumor, low stromal intensity, high stromal intensity) and were randomly assigned 2:1 to glembatumumab vedotin (n = 83) or investigator's choice (IC) chemotherapy (n = 41). The study was powered to detect overall objective response rate (ORR) in the glembatumumab vedotin arm between 10% (null) and 22.5% (alternative hypothesis) with preplanned investigation of activity by gpNMB distribution and/or intensity (Stratum 1 to Stratum 3).\n\nResults\n\nGlembatumumab vedotin was well tolerated as compared with IC chemotherapy (less hematologic toxicity; more rash, pruritus, neuropathy, and alopecia). ORR was 6% (five of 83) for glembatumumab vedotin versus 7% (three of 41) for IC, without significant intertreatment differences for predefined strata. Secondary end point revealed ORR of 12% (10 of 83) versus 12% (five of 41) overall, and 30% (seven of 23) versus 9% (one of 11) for gpNMB overexpression (≥ 25% of tumor cells). Unplanned analysis showed ORR of 18% (five of 28) versus 0% (0 of 11) in patients with triple-negative breast cancer (TNBC), and 40% (four of 10) versus 0% (zero of six) in gpNMB-overexpressing TNBC.\n\nConclusion\n\nGlembatumumab vedotin is well tolerated in heavily pretreated patients with breast cancer. Although the primary end point in advanced gpNMB-expressing breast cancer was not met for all enrolled patients (median tumor gpNMB expression, 5%), activity may be enhanced in patients with gpNMB-overexpressing tumors and/or TNBC. A pivotal phase II trial (METRIC [Metastatic Triple-Negative Breast Cancer]) is underway.","container-title":"Journal of Clinical Oncology","DOI":"10.1200/JCO.2014.56.2959","ISSN":"0732-183X","issue":"14","journalAbbreviation":"JCO","note":"publisher: Wolters Kluwer","page":"1609-1619","source":"ascopubs.org (Atypon)","title":"EMERGE: A Randomized Phase II Study of the Antibody-Drug Conjugate Glembatumumab Vedotin in Advanced Glycoprotein NMB–Expressing Breast Cancer","title-short":"EMERGE","volume":"33","author":[{"family":"Yardley","given":"Denise A."},{"family":"Weaver","given":"Robert"},{"family":"Melisko","given":"Michelle E."},{"family":"Saleh","given":"Mansoor N."},{"family":"Arena","given":"Francis P."},{"family":"Forero","given":"Andres"},{"family":"Cigler","given":"Tessa"},{"family":"Stopeck","given":"Alison"},{"family":"Citrin","given":"Dennis"},{"family":"Oliff","given":"Ira"},{"family":"Bechhold","given":"Rebecca"},{"family":"Loutfi","given":"Randa"},{"family":"Garcia","given":"Agustin A."},{"family":"Cruickshank","given":"Scott"},{"family":"Crowley","given":"Elizabeth"},{"family":"Green","given":"Jennifer"},{"family":"Hawthorne","given":"Thomas"},{"family":"Yellin","given":"Michael J."},{"family":"Davis","given":"Thomas A."},{"family":"Vahdat","given":"Linda T."}],"issued":{"date-parts":[["2015",5,10]]}}},{"id":66149,"uris":["http://zotero.org/groups/4797619/items/8M7DF85G"],"itemData":{"id":66149,"type":"article-journal","abstract":"BACKGROUND: Based on data from two multicenter, phase III clinical trials (Studies 301 and 305), eribulin (a microtubule dynamics inhibitor) is indicated in the European Union (EU) for patients with locally advanced or metastatic breast cancer (MBC) after ≥1 prior chemotherapy for advanced disease, including an anthracycline and a taxane in either the adjuvant or metastatic setting. Data from Studies 305 and 301 were pooled to investigate the efficacy of eribulin in various subgroups of patients who matched the EU label, including those with human epidermal growth factor receptor 2 (HER2)-negative and triple-negative disease.\nPATIENTS AND METHODS: In Study 305 (NCT00388726), patients were randomized 2:1 to eribulin mesylate 1.4 mg/m(2) (equivalent to eribulin 1.23 mg/m(2) [expressed as free base]) intravenously on days 1 and 8 every 21 days] or treatment of physician's choice after 2-5 prior chemotherapies (≥2 for advanced disease), including an anthracycline and a taxane (in early/advanced setting). In Study 301 (NCT00337103), patients were randomized 1:1 to eribulin (as above) or capecitabine (1.25 g/m(2) orally twice daily on days 1-14 every 21 days) following ≤3 prior chemotherapies (≤2 for advanced disease), including an anthracycline and a taxane. Efficacy end points were investigated in the intent-to-treat population and subgroups, pooled as discussed above.\nRESULTS: Overall, 1644 patients were included (eribulin: 946; control: 698); baseline characteristics were well matched. Overall survival was significantly longer with eribulin versus control (P &lt; 0.01), as were progression-free survival and clinical benefit rate (both P &lt; 0.05). Significant survival benefits with eribulin versus control were observed in a wide range of patient subgroups, including HER2-negative or triple-negative disease (all P &lt; 0.05).\nCONCLUSION: Our findings underline the survival benefit achieved by eribulin used according to EU label in the overall MBC population and in various subgroups of interest, including patients with HER2-negative and triple-negative disease.","container-title":"Annals of Oncology: Official Journal of the European Society for Medical Oncology","DOI":"10.1093/annonc/mdw203","ISSN":"1569-8041","issue":"8","journalAbbreviation":"Ann Oncol","language":"eng","note":"PMID: 27177860\nPMCID: PMC4959925","page":"1525-1531","source":"PubMed","title":"Pooled analyses of eribulin in metastatic breast cancer patients with at least one prior chemotherapy","volume":"27","author":[{"family":"Pivot","given":"X."},{"family":"Marmé","given":"F."},{"family":"Koenigsberg","given":"R."},{"family":"Guo","given":"M."},{"family":"Berrak","given":"E."},{"family":"Wolfer","given":"A."}],"issued":{"date-parts":[["2016",8]]}}},{"id":66150,"uris":["http://zotero.org/groups/4797619/items/FWP3JYLN"],"itemData":{"id":66150,"type":"article-journal","abstract":"This post hoc subgroup analysis of a large phase 3 study compared the efficacy and safety of eribulin versus capecitabine in patients with human epidermal growth factor receptor 2 (HER2)-negative metastatic breast cancer who received second-line treatment. In the phase 3 study, women with advanced/metastatic breast cancer and ≤ 3 prior chemotherapies were randomized 1:1 to eribulin mesilate 1.4 mg/m2 intravenously on days 1 and 8, or twice-daily oral capecitabine 1.25 g/m2 on days 1-14 (21-day cycles). This analysis included 392 patients. Median overall survival was longer in patients receiving eribulin compared with capecitabine (16.1 vs 13.5 months, respectively; HR 0.77, P = 0.026). Median progression-free survival and response rates were similar between arms. Both treatments had manageable safety profiles.","container-title":"Breast Cancer (Tokyo, Japan)","DOI":"10.1007/s12282-017-0826-4","ISSN":"1880-4233","issue":"3","journalAbbreviation":"Breast Cancer","language":"eng","note":"PMID: 29302858\nPMCID: PMC5906517","page":"370-374","source":"PubMed","title":"Subgroup analysis of patients with HER2-negative metastatic breast cancer in the second-line setting from a phase 3, open-label, randomized study of eribulin mesilate versus capecitabine","volume":"25","author":[{"family":"Pivot","given":"Xavier"},{"family":"Im","given":"Seock Ah"},{"family":"Guo","given":"Matthew"},{"family":"Marmé","given":"Frederik"}],"issued":{"date-parts":[["2018",5]]}}},{"id":66151,"uris":["http://zotero.org/groups/4797619/items/RLDAE79H"],"itemData":{"id":66151,"type":"article-journal","abstract":"PURPOSE AND METHODS: Our secondary analyses compared survival with eribulin versus capecitabine in various patient subgroups from a phase 3, open-label, randomized study. Eligible women aged ≥18 years with advanced/metastatic breast cancer and ≤3 prior chemotherapies (≤2 for advanced/metastatic disease), including an anthracycline and taxane, were randomized 1:1 to intravenous eribulin mesylate 1.4 mg/m(2) on days 1 and 8 or twice-daily oral capecitabine 1250 mg/m(2) on days 1-14 (21-day cycles).\nRESULTS: In the intent-to-treat population (eribulin 554 and capecitabine 548), overall survival appeared longer with eribulin than capecitabine in various subgroups, including patients with human epidermal growth factor receptor 2-negative (15.9 versus 13.5 months, respectively), estrogen receptor-negative (14.4 versus 10.5 months, respectively), and triple-negative (14.4 versus 9.4 months, respectively) disease. Progression-free survival was similar between the treatment arms.\nCONCLUSIONS: Patients with advanced/metastatic breast cancer and human epidermal growth factor receptor 2-, estrogen receptor-, or triple-negative disease may gain particular benefit from eribulin as first-, second-, and third-line chemotherapies.\nTRIAL REGISTRATION PRIMARY STUDY: This study reports the subgroup analyses of eribulin versus capecitabine from a phase 3, open-label, randomized study (www.clinicaltrials.gov; ClinicalTrials.gov identifier: NCT00337103).","container-title":"Breast Cancer: Basic and Clinical Research","DOI":"10.4137/BCBCR.S39615","ISSN":"1178-2234","journalAbbreviation":"Breast Cancer (Auckl)","language":"eng","note":"PMID: 27398025\nPMCID: PMC4927108","page":"77-84","source":"PubMed","title":"Subgroup Analyses from a Phase 3, Open-Label, Randomized Study of Eribulin Mesylate Versus Capecitabine in Pretreated Patients with Advanced or Metastatic Breast Cancer","volume":"10","author":[{"family":"Twelves","given":"Chris"},{"family":"Awada","given":"Ahmad"},{"family":"Cortes","given":"Javier"},{"family":"Yelle","given":"Louise"},{"family":"Velikova","given":"Galina"},{"family":"Olivo","given":"Martin S."},{"family":"Song","given":"James"},{"family":"Dutcus","given":"Corina E."},{"family":"Kaufman","given":"Peter A."}],"issued":{"date-parts":[["2016"]]}}},{"id":66152,"uris":["http://zotero.org/groups/4797619/items/K2TXU8UJ"],"itemData":{"id":66152,"type":"article-journal","abstract":"BACKGROUND: Treatments with survival benefit are greatly needed for women with heavily pretreated metastatic breast cancer. Eribulin mesilate is a non-taxane microtubule dynamics inhibitor with a novel mode of action. We aimed to compare overall survival of heavily pretreated patients receiving eribulin versus currently available treatments.\nMETHODS: In this phase 3 open-label study, women with locally recurrent or metastatic breast cancer were randomly allocated (2:1) to eribulin mesilate (1·4 mg/m(2) administered intravenously during 2-5 min on days 1 and 8 of a 21-day cycle) or treatment of physician's choice (TPC). Patients had received between two and five previous chemotherapy regimens (two or more for advanced disease), including an anthracycline and a taxane, unless contraindicated. Randomisation was stratified by geographical region, previous capecitabine treatment, and human epidermal growth factor receptor 2 status. Patients and investigators were not masked to treatment allocation. The primary endpoint was overall survival in the intention-to-treat population. This study is registered at ClinicalTrials.gov, number NCT00388726.\nFINDINGS: 762 women were randomly allocated to treatment groups (508 eribulin, 254 TPC). Overall survival was significantly improved in women assigned to eribulin (median 13·1 months, 95% CI 11·8-14·3) compared with TPC (10·6 months, 9·3-12·5; hazard ratio 0·81, 95% CI 0·66-0·99; p=0·041). The most common adverse events in both groups were asthenia or fatigue (270 [54%] of 503 patients on eribulin and 98 [40%] of 247 patients on TPC at all grades) and neutropenia (260 [52%] patients receiving eribulin and 73 [30%] of those on TPC at all grades). Peripheral neuropathy was the most common adverse event leading to discontinuation from eribulin, occurring in 24 (5%) of 503 patients.\nINTERPRETATION: Eribulin showed a significant and clinically meaningful improvement in overall survival compared with TPC in women with heavily pretreated metastatic breast cancer. This finding challenges the notion that improved overall survival is an unrealistic expectation during evaluation of new anticancer therapies in the refractory setting.\nFUNDING: Eisai.","container-title":"Lancet (London, England)","DOI":"10.1016/S0140-6736(11)60070-6","ISSN":"1474-547X","issue":"9769","journalAbbreviation":"Lancet","language":"eng","note":"PMID: 21376385","page":"914-923","source":"PubMed","title":"Eribulin monotherapy versus treatment of physician's choice in patients with metastatic breast cancer (EMBRACE): a phase 3 open-label randomised study","title-short":"Eribulin monotherapy versus treatment of physician's choice in patients with metastatic breast cancer (EMBRACE)","volume":"377","author":[{"family":"Cortes","given":"Javier"},{"family":"O'Shaughnessy","given":"Joyce"},{"family":"Loesch","given":"David"},{"family":"Blum","given":"Joanne L."},{"family":"Vahdat","given":"Linda T."},{"family":"Petrakova","given":"Katarina"},{"family":"Chollet","given":"Philippe"},{"family":"Manikas","given":"Alexey"},{"family":"Diéras","given":"Veronique"},{"family":"Delozier","given":"Thierry"},{"family":"Vladimirov","given":"Vladimir"},{"family":"Cardoso","given":"Fatima"},{"family":"Koh","given":"Han"},{"family":"Bougnoux","given":"Philippe"},{"family":"Dutcus","given":"Corina E."},{"family":"Seegobin","given":"Seth"},{"family":"Mir","given":"Denis"},{"family":"Meneses","given":"Nicole"},{"family":"Wanders","given":"Jantien"},{"family":"Twelves","given":"Chris"},{"literal":"EMBRACE (Eisai Metastatic Breast Cancer Study Assessing Physician's Choice Versus E7389) investigators"}],"issued":{"date-parts":[["2011",3,12]]}}},{"id":66759,"uris":["http://zotero.org/groups/4797619/items/WRYWKH52"],"itemData":{"id":66759,"type":"article-journal","abstract":"The METRIC study (NCT#0199733) explored a novel antibody–drug conjugate, glembatumumab vedotin (GV), targeting gpNMB that is overexpressed in ~40% of patients with triple-negative breast cancer (TNBC) and associated with poor prognosis. The study was a randomized, open-label, phase 2b study that evaluated progression-free survival (PFS) of GV compared with capecitabine in gpNMB-overexpressing TNBC. Patients who had previously received anthracycline and taxane-based therapy were randomized 2:1 to receive, GV (1.88 mg/kg IV q21 days) or capecitabine (2500 mg/m2 PO daily d1–14 q21 days). The primary endpoint was RECIST 1.1 PFS per independent, blinded central review. In all, 327 patients were randomized to GV (213 treated) or capecitabine (92 treated). Median PFS was 2.9 months for GV vs. 2.8 months for capecitabine. The most common grade ≥3 toxicities for GV were neutropenia, rash, and leukopenia, and for capecitabine were fatigue, diarrhea, and palmar-plantar erythrodysesthesia. The study did not meet the primary endpoint of improved PFS over capecitabine or demonstrate a relative risk/benefit improvement over capecitabine.","container-title":"npj Breast Cancer","DOI":"10.1038/s41523-021-00244-6","ISSN":"2374-4677","issue":"1","language":"en","license":"2021 The Author(s)","note":"number: 1\npublisher: Nature Publishing Group","page":"1-10","source":"www.nature.com","title":"Glembatumumab vedotin for patients with metastatic, gpNMB overexpressing, triple-negative breast cancer (“METRIC”): a randomized multicenter study","title-short":"Glembatumumab vedotin for patients with metastatic, gpNMB overexpressing, triple-negative breast cancer (“METRIC”)","volume":"7","author":[{"family":"Vahdat","given":"Linda T."},{"family":"Schmid","given":"Peter"},{"family":"Forero-Torres","given":"Andres"},{"family":"Blackwell","given":"Kimberly"},{"family":"Telli","given":"Melinda L."},{"family":"Melisko","given":"Michelle"},{"family":"Möbus","given":"Volker"},{"family":"Cortes","given":"Javier"},{"family":"Montero","given":"Alberto J."},{"family":"Ma","given":"Cynthia"},{"family":"Nanda","given":"Rita"},{"family":"Wright","given":"Gail S."},{"family":"He","given":"Yi"},{"family":"Hawthorne","given":"Thomas"},{"family":"Bagley","given":"Rebecca G."},{"family":"Halim","given":"Abdel-Baset"},{"family":"Turner","given":"Christopher D."},{"family":"Yardley","given":"Denise A."}],"issued":{"date-parts":[["2021",5,20]]}}},{"id":66444,"uris":["http://zotero.org/groups/4797619/items/44JAGUPG"],"itemData":{"id":66444,"type":"article-journal","container-title":"New England Journal of Medicine","DOI":"10.1056/NEJMoa2028485","ISSN":"0028-4793","issue":"16","note":"publisher: Massachusetts Medical Society\n_eprint: https://doi.org/10.1056/NEJMoa2028485\nPMID: 33882206","page":"1529-1541","source":"Taylor and Francis+NEJM","title":"Sacituzumab Govitecan in Metastatic Triple-Negative Breast Cancer","volume":"384","author":[{"family":"Bardia","given":"Aditya"},{"family":"Hurvitz","given":"Sara A."},{"family":"Tolaney","given":"Sara M."},{"family":"Loirat","given":"Delphine"},{"family":"Punie","given":"Kevin"},{"family":"Oliveira","given":"Mafalda"},{"family":"Brufsky","given":"Adam"},{"family":"Sardesai","given":"Sagar D."},{"family":"Kalinsky","given":"Kevin"},{"family":"Zelnak","given":"Amelia B."},{"family":"Weaver","given":"Robert"},{"family":"Traina","given":"Tiffany"},{"family":"Dalenc","given":"Florence"},{"family":"Aftimos","given":"Philippe"},{"family":"Lynce","given":"Filipa"},{"family":"Diab","given":"Sami"},{"family":"Cortés","given":"Javier"},{"family":"O’Shaughnessy","given":"Joyce"},{"family":"Diéras","given":"Véronique"},{"family":"Ferrario","given":"Cristiano"},{"family":"Schmid","given":"Peter"},{"family":"Carey","given":"Lisa A."},{"family":"Gianni","given":"Luca"},{"family":"Piccart","given":"Martine J."},{"family":"Loibl","given":"Sibylle"},{"family":"Goldenberg","given":"David M."},{"family":"Hong","given":"Quan"},{"family":"Olivo","given":"Martin S."},{"family":"Itri","given":"Loretta M."},{"family":"Rugo","given":"Hope S."}],"issued":{"date-parts":[["2021",4,22]]}}},{"id":66764,"uris":["http://zotero.org/groups/4797619/items/YX8NEWUE"],"itemData":{"id":66764,"type":"article-journal","container-title":"The Lancet Oncology","DOI":"10.1016/S1470-2045(20)30754-3","ISSN":"1470-2045, 1474-5488","issue":"4","journalAbbreviation":"The Lancet Oncology","language":"English","note":"publisher: Elsevier\nPMID: 33676601","page":"499-511","source":"www.thelancet.com","title":"Pembrolizumab versus investigator-choice chemotherapy for metastatic triple-negative breast cancer (KEYNOTE-119): a randomised, open-label, phase 3 trial","title-short":"Pembrolizumab versus investigator-choice chemotherapy for metastatic triple-negative breast cancer (KEYNOTE-119)","volume":"22","author":[{"family":"Winer","given":"Eric P."},{"family":"Lipatov","given":"Oleg"},{"family":"Im","given":"Seock-Ah"},{"family":"Goncalves","given":"Anthony"},{"family":"Muñoz-Couselo","given":"Eva"},{"family":"Lee","given":"Keun Seok"},{"family":"Schmid","given":"Peter"},{"family":"Tamura","given":"Kenji"},{"family":"Testa","given":"Laura"},{"family":"Witzel","given":"Isabell"},{"family":"Ohtani","given":"Shoichiro"},{"family":"Turner","given":"Nicholas"},{"family":"Zambelli","given":"Stefania"},{"family":"Harbeck","given":"Nadia"},{"family":"Andre","given":"Fabrice"},{"family":"Dent","given":"Rebecca"},{"family":"Zhou","given":"Xuan"},{"family":"Karantza","given":"Vassiliki"},{"family":"Mejia","given":"Jaime"},{"family":"Cortes","given":"Javier"}],"issued":{"date-parts":[["2021",4,1]]}}}],"schema":"https://github.com/citation-style-language/schema/raw/master/csl-citation.json"} </w:instrText>
            </w:r>
            <w:r w:rsidR="00333ACA">
              <w:fldChar w:fldCharType="separate"/>
            </w:r>
            <w:r w:rsidR="00FD57F4" w:rsidRPr="00FD57F4">
              <w:rPr>
                <w:rFonts w:cs="Arial"/>
                <w:szCs w:val="24"/>
                <w:vertAlign w:val="superscript"/>
              </w:rPr>
              <w:t>43–55</w:t>
            </w:r>
            <w:r w:rsidR="00333ACA">
              <w:fldChar w:fldCharType="end"/>
            </w:r>
            <w:r w:rsidR="00333ACA">
              <w:rPr>
                <w:rFonts w:cs="Arial"/>
              </w:rPr>
              <w:t xml:space="preserve"> </w:t>
            </w:r>
          </w:p>
          <w:p w14:paraId="2F97897B" w14:textId="35B80FD8" w:rsidR="00D41BC8" w:rsidRPr="00D41BC8" w:rsidRDefault="009C0B94" w:rsidP="00954359">
            <w:pPr>
              <w:pStyle w:val="Summarybox"/>
              <w:numPr>
                <w:ilvl w:val="0"/>
                <w:numId w:val="31"/>
              </w:numPr>
              <w:rPr>
                <w:rFonts w:cs="Arial"/>
              </w:rPr>
            </w:pPr>
            <w:r w:rsidRPr="002646F6">
              <w:rPr>
                <w:rFonts w:cs="Arial"/>
              </w:rPr>
              <w:t xml:space="preserve">A </w:t>
            </w:r>
            <w:r w:rsidR="00350EA3" w:rsidRPr="002646F6">
              <w:rPr>
                <w:rFonts w:cs="Arial"/>
              </w:rPr>
              <w:t xml:space="preserve">significant </w:t>
            </w:r>
            <w:r w:rsidRPr="002646F6">
              <w:rPr>
                <w:rFonts w:cs="Arial"/>
              </w:rPr>
              <w:t>proportion of patients</w:t>
            </w:r>
            <w:r w:rsidR="00970BCE" w:rsidRPr="002646F6">
              <w:rPr>
                <w:rFonts w:cs="Arial"/>
              </w:rPr>
              <w:t xml:space="preserve"> </w:t>
            </w:r>
            <w:r w:rsidR="009348CB" w:rsidRPr="002646F6">
              <w:rPr>
                <w:rFonts w:cs="Arial"/>
              </w:rPr>
              <w:t xml:space="preserve">currently </w:t>
            </w:r>
            <w:r w:rsidR="00240DDA" w:rsidRPr="002646F6">
              <w:rPr>
                <w:rFonts w:cs="Arial"/>
              </w:rPr>
              <w:t>classified as</w:t>
            </w:r>
            <w:r w:rsidR="009348CB" w:rsidRPr="002646F6">
              <w:rPr>
                <w:rFonts w:cs="Arial"/>
              </w:rPr>
              <w:t xml:space="preserve"> HER2-negativ</w:t>
            </w:r>
            <w:r w:rsidR="00421816" w:rsidRPr="002646F6">
              <w:rPr>
                <w:rFonts w:cs="Arial"/>
              </w:rPr>
              <w:t>e (~59%)</w:t>
            </w:r>
            <w:r w:rsidR="009348CB" w:rsidRPr="002646F6">
              <w:rPr>
                <w:rFonts w:cs="Arial"/>
              </w:rPr>
              <w:t xml:space="preserve"> </w:t>
            </w:r>
            <w:r w:rsidR="003E797B" w:rsidRPr="002646F6">
              <w:rPr>
                <w:rFonts w:cs="Arial"/>
              </w:rPr>
              <w:t>have tumours expressing low</w:t>
            </w:r>
            <w:r w:rsidR="00987F92" w:rsidRPr="002646F6">
              <w:rPr>
                <w:rFonts w:cs="Arial"/>
              </w:rPr>
              <w:t>er</w:t>
            </w:r>
            <w:r w:rsidR="003E797B" w:rsidRPr="002646F6">
              <w:rPr>
                <w:rFonts w:cs="Arial"/>
              </w:rPr>
              <w:t xml:space="preserve"> levels of </w:t>
            </w:r>
            <w:r w:rsidR="00BD4287">
              <w:rPr>
                <w:rFonts w:cs="Arial"/>
              </w:rPr>
              <w:t xml:space="preserve">the </w:t>
            </w:r>
            <w:r w:rsidR="003E797B" w:rsidRPr="002646F6">
              <w:rPr>
                <w:rFonts w:cs="Arial"/>
              </w:rPr>
              <w:t>HER2</w:t>
            </w:r>
            <w:r w:rsidR="00D74C1E" w:rsidRPr="002646F6">
              <w:rPr>
                <w:rFonts w:cs="Arial"/>
              </w:rPr>
              <w:t xml:space="preserve"> </w:t>
            </w:r>
            <w:r w:rsidR="00BD4287">
              <w:rPr>
                <w:rFonts w:cs="Arial"/>
              </w:rPr>
              <w:t xml:space="preserve">receptor </w:t>
            </w:r>
            <w:r w:rsidR="00D74C1E" w:rsidRPr="002646F6">
              <w:rPr>
                <w:rFonts w:cs="Arial"/>
              </w:rPr>
              <w:t>(HER2-low</w:t>
            </w:r>
            <w:r w:rsidR="003F0AC7" w:rsidRPr="002646F6">
              <w:rPr>
                <w:rFonts w:cs="Arial"/>
              </w:rPr>
              <w:t xml:space="preserve"> BC</w:t>
            </w:r>
            <w:r w:rsidR="00D74C1E" w:rsidRPr="002646F6">
              <w:rPr>
                <w:rFonts w:cs="Arial"/>
              </w:rPr>
              <w:t>)</w:t>
            </w:r>
            <w:r w:rsidR="007C642E" w:rsidRPr="002646F6">
              <w:rPr>
                <w:rFonts w:cs="Arial"/>
              </w:rPr>
              <w:t>.</w:t>
            </w:r>
            <w:r w:rsidR="003E797B" w:rsidRPr="002646F6">
              <w:fldChar w:fldCharType="begin"/>
            </w:r>
            <w:r w:rsidR="00CA6345">
              <w:instrText xml:space="preserve"> ADDIN ZOTERO_ITEM CSL_CITATION {"citationID":"49AumbqU","properties":{"formattedCitation":"\\super 56\\nosupersub{}","plainCitation":"56","noteIndex":0},"citationItems":[{"id":65940,"uris":["http://zotero.org/groups/4797619/items/7UYVWR36"],"itemData":{"id":65940,"type":"article-journal","container-title":"The Journal of Pathology: Clinical Research","DOI":"10.1002/cjp2.173","ISSN":"2056-4538, 2056-4538","issue":"3","journalAbbreviation":"J Pathol Clin Res","language":"en","page":"227-227","source":"DOI.org (Crossref)","title":"Breast cancer biomarkers in clinical testing: analysis of a UK NEQAS ICC &amp; ISH database containing results from 199 300 patients","title-short":"‘Breast cancer biomarkers in clinical testing","volume":"6","author":[{"family":"Dodson","given":"Andrew"},{"family":"Parry","given":"Suzanne"},{"family":"Ibrahim","given":"Merdol"},{"family":"Bartlett","given":"John M. S."},{"family":"Pinder","given":"Sarah E."},{"family":"Dowsett","given":"Mitch"},{"family":"Miller","given":"Keith"}],"issued":{"date-parts":[["2020",7]]}}}],"schema":"https://github.com/citation-style-language/schema/raw/master/csl-citation.json"} </w:instrText>
            </w:r>
            <w:r w:rsidR="003E797B" w:rsidRPr="002646F6">
              <w:fldChar w:fldCharType="separate"/>
            </w:r>
            <w:r w:rsidR="00FD57F4" w:rsidRPr="00FD57F4">
              <w:rPr>
                <w:rFonts w:cs="Arial"/>
                <w:szCs w:val="24"/>
                <w:vertAlign w:val="superscript"/>
              </w:rPr>
              <w:t>56</w:t>
            </w:r>
            <w:r w:rsidR="003E797B" w:rsidRPr="002646F6">
              <w:fldChar w:fldCharType="end"/>
            </w:r>
            <w:r w:rsidR="007C642E" w:rsidRPr="002646F6">
              <w:t xml:space="preserve"> </w:t>
            </w:r>
          </w:p>
          <w:p w14:paraId="2AFF0FAF" w14:textId="6F18DB94" w:rsidR="00324A2E" w:rsidRPr="002646F6" w:rsidRDefault="00D41BC8" w:rsidP="00954359">
            <w:pPr>
              <w:pStyle w:val="Summarybox"/>
              <w:numPr>
                <w:ilvl w:val="0"/>
                <w:numId w:val="31"/>
              </w:numPr>
              <w:rPr>
                <w:rFonts w:cs="Arial"/>
              </w:rPr>
            </w:pPr>
            <w:r>
              <w:rPr>
                <w:rFonts w:cs="Arial"/>
              </w:rPr>
              <w:t>T</w:t>
            </w:r>
            <w:r w:rsidRPr="002646F6">
              <w:rPr>
                <w:rFonts w:cs="Arial"/>
              </w:rPr>
              <w:t>he efficacy of</w:t>
            </w:r>
            <w:r>
              <w:rPr>
                <w:rFonts w:cs="Arial"/>
              </w:rPr>
              <w:t xml:space="preserve"> existing</w:t>
            </w:r>
            <w:r w:rsidRPr="002646F6">
              <w:rPr>
                <w:rFonts w:cs="Arial"/>
              </w:rPr>
              <w:t xml:space="preserve"> anti-HER2 therapies</w:t>
            </w:r>
            <w:r>
              <w:t xml:space="preserve"> has </w:t>
            </w:r>
            <w:r w:rsidR="00DA3732">
              <w:t>only been demonstrated with</w:t>
            </w:r>
            <w:r w:rsidR="007E24AC">
              <w:t xml:space="preserve"> </w:t>
            </w:r>
            <w:r w:rsidR="00881A46" w:rsidRPr="002646F6">
              <w:rPr>
                <w:rFonts w:cs="Arial"/>
              </w:rPr>
              <w:t>HER2</w:t>
            </w:r>
            <w:r w:rsidR="00907A98">
              <w:rPr>
                <w:rFonts w:cs="Arial"/>
              </w:rPr>
              <w:t>-positive disease</w:t>
            </w:r>
            <w:r w:rsidR="000863D7" w:rsidRPr="002646F6">
              <w:rPr>
                <w:rFonts w:cs="Arial"/>
              </w:rPr>
              <w:t>,</w:t>
            </w:r>
            <w:r w:rsidR="00BD6BE1" w:rsidRPr="002646F6">
              <w:rPr>
                <w:rFonts w:cs="Arial"/>
              </w:rPr>
              <w:fldChar w:fldCharType="begin"/>
            </w:r>
            <w:r w:rsidR="00CA6345">
              <w:rPr>
                <w:rFonts w:cs="Arial"/>
              </w:rPr>
              <w:instrText xml:space="preserve"> ADDIN ZOTERO_ITEM CSL_CITATION {"citationID":"pASihjVT","properties":{"formattedCitation":"\\super 57,58\\nosupersub{}","plainCitation":"57,58","noteIndex":0},"citationItems":[{"id":66281,"uris":["http://zotero.org/groups/4797619/items/3BD9235C"],"itemData":{"id":66281,"type":"article-journal","abstract":"PURPOSE: Adjuvant trastuzumab reduces invasive breast cancer (IBC) recurrence and risk for death in patients with HER2-amplified or overexpressing IBC. A subset of patients in the landmark trastuzumab adjuvant trials who originally tested HER2-positive but were HER2-negative by central HER2 testing appeared to possibly benefit from trastuzumab. The objective for the NSABP B-47 trial was to determine whether the addition of trastuzumab to adjuvant chemotherapy (CRx) would improve invasive disease-free survival (IDFS) in patients with HER2-negative breast cancer.\nPATIENTS AND METHODS: A total of 3,270 women with high-risk primary IBC were randomly assigned to CRx with or without 1 year of trastuzumab. Eligibility criteria included immunohistochemistry (IHC) score 1+ or 2+ with fluorescence in situ hybridization ratio (FISH) &lt; 2.0 or, if ratio was not performed, HER2 gene copy number &lt; 4.0. CRx was either docetaxel plus cyclophosphamide or doxorubicin and cyclophosphamide followed by weekly paclitaxel for 12 weeks.\nRESULTS: At a median follow-up of 46 months, the addition of trastuzumab to CRx did not improve IDFS (5-year IDFS: 89.8% with CRx plus trastuzumab [CRxT] v 89.2% with CRx alone; hazard ratio [HR], 0.98; 95% CI, 0.76 to 1.25; P = .85). These findings did not differ by level of HER2 IHC expression, lymph node involvement, or hormone-receptor status. For distant recurrence-free interval, 5-year estimates were 92.7% with CRxT compared with 93.6% for CRx alone (HR, 1.10; 95% CI, 0.81 to 1.50; P = .55) and for overall survival (OS) were 94.8% with CRxT and 96.3% in CRx alone (HR, 1.33; 95% CI, 0.90 to 1.95; P = .15). There were no unexpected toxicities from the addition of trastuzumab to CRx.\nCONCLUSION: The addition of trastuzumab to CRx did not improve IDFS, distant recurrence-free interval, or OS in women with non-HER2-overexpressing IBC. Trastuzumab does not benefit women without IHC 3+ or FISH ratio-amplified breast cancer.","container-title":"Journal of Clinical Oncology: Official Journal of the American Society of Clinical Oncology","DOI":"10.1200/JCO.19.01455","ISSN":"1527-7755","issue":"5","journalAbbreviation":"J Clin Oncol","language":"eng","note":"PMID: 31821109\nPMCID: PMC7007289","page":"444-453","source":"PubMed","title":"NSABP B-47/NRG Oncology Phase III Randomized Trial Comparing Adjuvant Chemotherapy With or Without Trastuzumab in High-Risk Invasive Breast Cancer Negative for HER2 by FISH and With IHC 1+ or 2","volume":"38","author":[{"family":"Fehrenbacher","given":"Louis"},{"family":"Cecchini","given":"Reena S."},{"family":"Geyer","given":"Charles E."},{"family":"Rastogi","given":"Priya"},{"family":"Costantino","given":"Joseph P."},{"family":"Atkins","given":"James N."},{"family":"Crown","given":"John P."},{"family":"Polikoff","given":"Jonathan"},{"family":"Boileau","given":"Jean-Francois"},{"family":"Provencher","given":"Louise"},{"family":"Stokoe","given":"Christopher"},{"family":"Moore","given":"Timothy D."},{"family":"Robidoux","given":"André"},{"family":"Flynn","given":"Patrick J."},{"family":"Borges","given":"Virginia F."},{"family":"Albain","given":"Kathy S."},{"family":"Swain","given":"Sandra M."},{"family":"Paik","given":"Soonmyung"},{"family":"Mamounas","given":"Eleftherios P."},{"family":"Wolmark","given":"Norman"}],"issued":{"date-parts":[["2020",2,10]]}}},{"id":66424,"uris":["http://zotero.org/groups/4797619/items/8W6ENR4V"],"itemData":{"id":66424,"type":"article-journal","abstract":"Purpose\nPertuzumab is a humanized monoclonal antibody inhibiting human epidermal growth factor receptor 2 (HER2) dimerization. The aim of this phase II trial was to assess the antitumor activity and safety profile of pertuzumab monotherapy in patients with HER2-negative metastatic breast cancer. The utility of biomarkers detected in paraffin-embedded tissue as predictors of response was also explored.\n\nPatients and Methods\nThis was an international, multicenter, open-label, randomized phase II study. Patients (n = 79) with centrally confirmed HER2-negative metastatic breast cancer were randomly assigned to receive pertuzumab once every 3 weeks with a loading dose of 840 mg followed thereafter by either 420 mg (arm A) or 1,050 mg (arm B). Patients were stratified by country and prior taxane therapy.\n\nResults\nOf 79 patients who were randomly assigned, 78 were included in the intent-to-treat population. In arm A (n = 41), two patients had partial responses, and 18 patients (44%) experienced stable disease (SD) lasting ≥ 12 weeks. In arm B (n = 37), SD was observed in 14 patients (38%). Overall, six of 78 patients responded or had SD ≥ 6 months. Pertuzumab was generally well tolerated, and most adverse events were mild to moderate. Decline in left ventricular ejection fraction of ≥ 10% and/or to less than 50% was observed in eight patients, with one case of congestive heart failure in arm A. Pharmacokinetic data supported a fixed dose of pertuzumab once every 3 weeks.\n\nConclusion\nThe limited efficacy observed in this study, generally SD of relatively short duration, suggested little benefit of further investigation of single-agent pertuzumab in unselected patients with HER2-negative disease.","container-title":"Journal of Clinical Oncology","DOI":"10.1200/JCO.2009.24.1661","ISSN":"0732-183X","issue":"7","journalAbbreviation":"J Clin Oncol","note":"PMID: 20124183\nPMCID: PMC4979215","page":"1131-1137","source":"PubMed Central","title":"Open-Label, Phase II, Multicenter, Randomized Study of the Efficacy and Safety of Two Dose Levels of Pertuzumab, a Human Epidermal Growth Factor Receptor 2 Dimerization Inhibitor, in Patients With Human Epidermal Growth Factor Receptor 2–Negative Metastatic Breast Cancer","volume":"28","author":[{"family":"Gianni","given":"Luca"},{"family":"Lladó","given":"Anna"},{"family":"Bianchi","given":"Giulia"},{"family":"Cortes","given":"Javier"},{"family":"Kellokumpu-Lehtinen","given":"Pirkko-Liisa"},{"family":"Cameron","given":"David A."},{"family":"Miles","given":"David"},{"family":"Salvagni","given":"Stefania"},{"family":"Wardley","given":"Andrew"},{"family":"Goeminne","given":"Jean-Charles"},{"family":"Hersberger","given":"Veronica"},{"family":"Baselga","given":"José"}],"issued":{"date-parts":[["2010",3,1]]}}}],"schema":"https://github.com/citation-style-language/schema/raw/master/csl-citation.json"} </w:instrText>
            </w:r>
            <w:r w:rsidR="00BD6BE1" w:rsidRPr="002646F6">
              <w:rPr>
                <w:rFonts w:cs="Arial"/>
              </w:rPr>
              <w:fldChar w:fldCharType="separate"/>
            </w:r>
            <w:r w:rsidR="00FD57F4" w:rsidRPr="00FD57F4">
              <w:rPr>
                <w:rFonts w:cs="Arial"/>
                <w:szCs w:val="24"/>
                <w:vertAlign w:val="superscript"/>
              </w:rPr>
              <w:t>57,58</w:t>
            </w:r>
            <w:r w:rsidR="00BD6BE1" w:rsidRPr="002646F6">
              <w:rPr>
                <w:rFonts w:cs="Arial"/>
              </w:rPr>
              <w:fldChar w:fldCharType="end"/>
            </w:r>
            <w:r w:rsidR="000863D7" w:rsidRPr="002646F6">
              <w:rPr>
                <w:rFonts w:cs="Arial"/>
              </w:rPr>
              <w:t xml:space="preserve"> </w:t>
            </w:r>
            <w:r w:rsidR="00284B8A" w:rsidRPr="002646F6">
              <w:rPr>
                <w:rFonts w:cs="Arial"/>
              </w:rPr>
              <w:t xml:space="preserve">meaning that </w:t>
            </w:r>
            <w:r w:rsidR="00881A46" w:rsidRPr="002646F6">
              <w:rPr>
                <w:rFonts w:cs="Arial"/>
              </w:rPr>
              <w:t>p</w:t>
            </w:r>
            <w:r w:rsidR="00A95DC1" w:rsidRPr="002646F6">
              <w:rPr>
                <w:rFonts w:cs="Arial"/>
              </w:rPr>
              <w:t>atients with HER2-low</w:t>
            </w:r>
            <w:r w:rsidR="00C6415C" w:rsidRPr="002646F6">
              <w:rPr>
                <w:rFonts w:cs="Arial"/>
              </w:rPr>
              <w:t xml:space="preserve"> </w:t>
            </w:r>
            <w:r w:rsidR="003F0AC7" w:rsidRPr="002646F6">
              <w:rPr>
                <w:rFonts w:cs="Arial"/>
              </w:rPr>
              <w:t>BC</w:t>
            </w:r>
            <w:r w:rsidR="00A95DC1" w:rsidRPr="002646F6">
              <w:rPr>
                <w:rFonts w:cs="Arial"/>
              </w:rPr>
              <w:t xml:space="preserve"> </w:t>
            </w:r>
            <w:r w:rsidR="001B0F5B" w:rsidRPr="002646F6">
              <w:rPr>
                <w:rFonts w:cs="Arial"/>
              </w:rPr>
              <w:t>are treated according to HER2-negative treatment pathways</w:t>
            </w:r>
            <w:r w:rsidR="00F34A98" w:rsidRPr="002646F6">
              <w:rPr>
                <w:rFonts w:cs="Arial"/>
              </w:rPr>
              <w:t>.</w:t>
            </w:r>
            <w:r w:rsidR="00E05984" w:rsidRPr="002646F6">
              <w:rPr>
                <w:rFonts w:cs="Arial"/>
              </w:rPr>
              <w:t xml:space="preserve"> </w:t>
            </w:r>
            <w:r w:rsidR="00324A2E" w:rsidRPr="002646F6">
              <w:rPr>
                <w:rFonts w:cs="Arial"/>
              </w:rPr>
              <w:t xml:space="preserve"> </w:t>
            </w:r>
          </w:p>
          <w:p w14:paraId="467C499D" w14:textId="03E5C8B9" w:rsidR="009C0B94" w:rsidRPr="002646F6" w:rsidRDefault="00324A2E" w:rsidP="00954359">
            <w:pPr>
              <w:pStyle w:val="Summarybox"/>
              <w:numPr>
                <w:ilvl w:val="0"/>
                <w:numId w:val="31"/>
              </w:numPr>
              <w:rPr>
                <w:rFonts w:cs="Arial"/>
              </w:rPr>
            </w:pPr>
            <w:r w:rsidRPr="002646F6">
              <w:rPr>
                <w:rFonts w:cs="Arial"/>
              </w:rPr>
              <w:t xml:space="preserve">There is a need, therefore, for </w:t>
            </w:r>
            <w:r w:rsidR="00003048" w:rsidRPr="002646F6">
              <w:rPr>
                <w:rFonts w:cs="Arial"/>
              </w:rPr>
              <w:t>effective</w:t>
            </w:r>
            <w:r w:rsidR="00C2148D" w:rsidRPr="002646F6">
              <w:rPr>
                <w:rFonts w:cs="Arial"/>
              </w:rPr>
              <w:t>,</w:t>
            </w:r>
            <w:r w:rsidR="00003048" w:rsidRPr="002646F6">
              <w:rPr>
                <w:rFonts w:cs="Arial"/>
              </w:rPr>
              <w:t xml:space="preserve"> </w:t>
            </w:r>
            <w:r w:rsidRPr="002646F6">
              <w:rPr>
                <w:rFonts w:cs="Arial"/>
              </w:rPr>
              <w:t>novel treatment approaches in HER2-negative u/mBC</w:t>
            </w:r>
            <w:r w:rsidR="00C2148D" w:rsidRPr="002646F6">
              <w:rPr>
                <w:rFonts w:cs="Arial"/>
              </w:rPr>
              <w:t>,</w:t>
            </w:r>
            <w:r w:rsidR="00DA1C75" w:rsidRPr="002646F6">
              <w:rPr>
                <w:rFonts w:cs="Arial"/>
              </w:rPr>
              <w:t xml:space="preserve"> including those expressing lower levels of HER2</w:t>
            </w:r>
            <w:r w:rsidR="00C2148D" w:rsidRPr="002646F6">
              <w:rPr>
                <w:rFonts w:cs="Arial"/>
              </w:rPr>
              <w:t>.</w:t>
            </w:r>
          </w:p>
          <w:p w14:paraId="3BC9B58F" w14:textId="704134AE" w:rsidR="004B18C2" w:rsidRDefault="00B73180" w:rsidP="00954359">
            <w:pPr>
              <w:pStyle w:val="Summarybox"/>
              <w:numPr>
                <w:ilvl w:val="0"/>
                <w:numId w:val="31"/>
              </w:numPr>
              <w:rPr>
                <w:rFonts w:cs="Arial"/>
              </w:rPr>
            </w:pPr>
            <w:r w:rsidRPr="007C2B76">
              <w:rPr>
                <w:rFonts w:cs="Arial"/>
              </w:rPr>
              <w:t xml:space="preserve">T-DXd is </w:t>
            </w:r>
            <w:r w:rsidR="003F15E5" w:rsidRPr="007C2B76">
              <w:rPr>
                <w:rFonts w:cs="Arial"/>
              </w:rPr>
              <w:t>an ADC that selectively binds to HER2 expressed on tumour cells and releases the highly potent cytotoxic DXd payload within the cell, causing cell</w:t>
            </w:r>
            <w:r w:rsidR="00764BEE" w:rsidRPr="007C2B76">
              <w:rPr>
                <w:rFonts w:cs="Arial"/>
              </w:rPr>
              <w:t xml:space="preserve"> death</w:t>
            </w:r>
            <w:r w:rsidR="003F15E5" w:rsidRPr="007C2B76">
              <w:rPr>
                <w:rFonts w:cs="Arial"/>
              </w:rPr>
              <w:t>.</w:t>
            </w:r>
            <w:r w:rsidR="00C21AA0" w:rsidRPr="007C2B76">
              <w:rPr>
                <w:rFonts w:cs="Arial"/>
              </w:rPr>
              <w:fldChar w:fldCharType="begin"/>
            </w:r>
            <w:r w:rsidR="00CA6345">
              <w:rPr>
                <w:rFonts w:cs="Arial"/>
              </w:rPr>
              <w:instrText xml:space="preserve"> ADDIN ZOTERO_ITEM CSL_CITATION {"citationID":"B8ukJ3Y8","properties":{"formattedCitation":"\\super 10,11,14\\nosupersub{}","plainCitation":"10,11,14","noteIndex":0},"citationItems":[{"id":65857,"uris":["http://zotero.org/groups/4797619/items/EI78MMCK"],"itemData":{"id":65857,"type":"article-journal","abstract":"PURPOSE: An anti-HER2 antibody-drug conjugate with a novel topoisomerase I inhibitor, DS-8201a, was generated as a new antitumor drug candidate, and its preclinical pharmacologic profile was assessed.\nEXPERIMENTAL DESIGN: In vitro and in vivo pharmacologic activities of DS-8201a were evaluated and compared with T-DM1 in several HER2-positive cell lines and patient-derived xenograft (PDX) models. The mechanism of action for the efficacy was also evaluated. Pharmacokinetics in cynomolgus monkeys and the safety profiles in rats and cynomolgus monkeys were assessed.\nRESULTS: DS-8201a exhibited a HER2 expression-dependent cell growth-inhibitory activity and induced tumor regression with a single dosing at more than 1 mg/kg in a HER2-positive gastric cancer NCI-N87 model. Binding activity to HER2 and ADCC activity of DS-8201a were comparable with unconjugated anti-HER2 antibody. DS-8201a also showed an inhibitory activity to Akt phosphorylation. DS-8201a induced phosphorylation of Chk1 and Histone H2A.X, the markers of DNA damage. Pharmacokinetics and safety profiles of DS-8201a were favorable and the highest non-severely toxic dose was 30 mg/kg in cynomolgus monkeys, supporting DS-8201a as being well tolerated in humans. DS-8201a was effective in a T-DM1-insensitive PDX model with high HER2 expression. DS-8201a, but not T-DM1, demonstrated antitumor efficacy against several breast cancer PDX models with low HER2 expression.\nCONCLUSIONS: DS-8201a exhibited a potent antitumor activity in a broad selection of HER2-positive models and favorable pharmacokinetics and safety profiles. The results demonstrate that DS-8201a will be a valuable therapy with a great potential to respond to T-DM1-insensitive HER2-positive cancers and low HER2-expressing cancers. Clin Cancer Res; 22(20); 5097-108. ©2016 AACR.","container-title":"Clinical Cancer Research: An Official Journal of the American Association for Cancer Research","DOI":"10.1158/1078-0432.CCR-15-2822","ISSN":"1557-3265","issue":"20","journalAbbreviation":"Clin Cancer Res","language":"eng","note":"PMID: 27026201","page":"5097-5108","source":"PubMed","title":"DS-8201a, A Novel HER2-Targeting ADC with a Novel DNA Topoisomerase I Inhibitor, Demonstrates a Promising Antitumor Efficacy with Differentiation from T-DM1","volume":"22","author":[{"family":"Ogitani","given":"Yusuke"},{"family":"Aida","given":"Tetsuo"},{"family":"Hagihara","given":"Katsunobu"},{"family":"Yamaguchi","given":"Junko"},{"family":"Ishii","given":"Chiaki"},{"family":"Harada","given":"Naoya"},{"family":"Soma","given":"Masako"},{"family":"Okamoto","given":"Hiromi"},{"family":"Oitate","given":"Masataka"},{"family":"Arakawa","given":"Shingo"},{"family":"Hirai","given":"Takehiro"},{"family":"Atsumi","given":"Ryo"},{"family":"Nakada","given":"Takashi"},{"family":"Hayakawa","given":"Ichiro"},{"family":"Abe","given":"Yuki"},{"family":"Agatsuma","given":"Toshinori"}],"issued":{"date-parts":[["2016",10,15]]}}},{"id":65856,"uris":["http://zotero.org/groups/4797619/items/MHLH9KAL"],"itemData":{"id":65856,"type":"article-journal","abstract":"A major limitation of traditional chemotherapy for cancer is dose-limiting toxicity, caused by the exposure of non-tumor cells to cytotoxic agents. Use of molecular targeted drugs, such as specific kinase inhibitors and monoclonal antibodies, is a possible solution to overcome this limitation and has achieved clinical success so far. Use of an antibody-drug conjugate (ADC) is a rational strategy for improving efficacy and reducing systemic adverse events. ADCs use antibodies selectively to deliver a potent cytotoxic agent to tumor cells, thus drastically improving the therapeutic index of chemotherapeutic agents. Lessons learned from clinical failure of early ADCs during the 1980s to 90s have recently led to improvements in ADC technology, and resulted in the approval of four novel ADCs. Nonetheless, further advances in ADC technology are still required to streamline their clinical efficacy and reduce toxicity. [fam-] Trastuzumab deruxtecan (DS-8201a) is a next-generation ADC that satisfies these requirements based on currently available evidence. DS-8201a has several innovative features; a highly potent novel payload with a high drug-to-antibody ratio, good homogeneity, a tumor-selective cleavable linker, stable linker-payload in circulation, and a short systemic half-life cytotoxic agent in vivo; the released cytotoxic payload could exert a bystander effect. With respect to its preclinical profiles, DS-8201a could provide a valuable therapy with a great potential against HER2-expressing cancers in clinical settings. In a phase I trial, DS-8201a showed acceptable safety profiles with potential therapeutic efficacy, with the wide therapeutic index.","container-title":"Chemical &amp; Pharmaceutical Bulletin","DOI":"10.1248/cpb.c18-00744","ISSN":"1347-5223","issue":"3","journalAbbreviation":"Chem Pharm Bull (Tokyo)","language":"eng","note":"PMID: 30827997","page":"173-185","source":"PubMed","title":"The Latest Research and Development into the Antibody-Drug Conjugate, [fam-] Trastuzumab Deruxtecan (DS-8201a), for HER2 Cancer Therapy","volume":"67","author":[{"family":"Nakada","given":"Takashi"},{"family":"Sugihara","given":"Kiyoshi"},{"family":"Jikoh","given":"Takahiro"},{"family":"Abe","given":"Yuki"},{"family":"Agatsuma","given":"Toshinori"}],"issued":{"date-parts":[["2019"]]}}},{"id":65853,"uris":["http://zotero.org/groups/4797619/items/MWGAM3VZ"],"itemData":{"id":65853,"type":"article-journal","abstract":"Antibody-drug conjugates deliver anticancer agents selectively and efficiently to tumor tissue and have significant antitumor efficacy with a wide therapeutic window. DS-8201a is a human epidermal growth factor receptor 2 (HER2)-targeting antibody-drug conjugate prepared using a novel linker-payload system with a potent topoisomerase I inhibitor, exatecan derivative (DX-8951 derivative, DXd). It was effective against trastuzumab emtansine (T-DM1)-insensitive patient-derived xenograft models with both high and low HER2 expression. In this study, the bystander killing effect of DS-8201a was evaluated and compared with that of T-DM1. We confirmed that the payload of DS-8201a, DXd (1), was highly membrane-permeable whereas that of T-DM1, Lys-SMCC-DM1, had a low level of permeability. Under a coculture condition of HER2-positive KPL-4 cells and negative MDA-MB-468 cells in vitro, DS-8201a killed both cells, whereas T-DM1 and an antibody-drug conjugate with a low permeable payload, anti-HER2-DXd (2), did not. In vivo evaluation was carried out using mice inoculated with a mixture of HER2-positive NCI-N87 cells and HER2-negative MDA-MB-468-Luc cells by using an in vivo imaging system. In vivo, DS-8201a reduced the luciferase signal of the mice, indicating suppression of the MDA-MB-468-Luc population; however, T-DM1 and anti-HER2-DXd (2) did not. Furthermore, it was confirmed that DS-8201a was not effective against MDA-MB-468-Luc tumors inoculated at the opposite side of the NCI-N87 tumor, suggesting that the bystander killing effect of DS-8201a is observed only in cells neighboring HER2-positive cells, indicating low concern in terms of systemic toxicity. These results indicated that DS-8201a has a potent bystander effect due to a highly membrane-permeable payload and is beneficial in treating tumors with HER2 heterogeneity that are unresponsive to T-DM1.","container-title":"Cancer Science","DOI":"10.1111/cas.12966","ISSN":"1349-7006","issue":"7","journalAbbreviation":"Cancer Sci","language":"eng","note":"PMID: 27166974\nPMCID: PMC4946713","page":"1039-1046","source":"PubMed","title":"Bystander killing effect of DS-8201a, a novel anti-human epidermal growth factor receptor 2 antibody-drug conjugate, in tumors with human epidermal growth factor receptor 2 heterogeneity","volume":"107","author":[{"family":"Ogitani","given":"Yusuke"},{"family":"Hagihara","given":"Katsunobu"},{"family":"Oitate","given":"Masataka"},{"family":"Naito","given":"Hiroyuki"},{"family":"Agatsuma","given":"Toshinori"}],"issued":{"date-parts":[["2016",7]]}}}],"schema":"https://github.com/citation-style-language/schema/raw/master/csl-citation.json"} </w:instrText>
            </w:r>
            <w:r w:rsidR="00C21AA0" w:rsidRPr="007C2B76">
              <w:rPr>
                <w:rFonts w:cs="Arial"/>
              </w:rPr>
              <w:fldChar w:fldCharType="separate"/>
            </w:r>
            <w:r w:rsidR="00FD57F4" w:rsidRPr="00FD57F4">
              <w:rPr>
                <w:rFonts w:cs="Arial"/>
                <w:szCs w:val="24"/>
                <w:vertAlign w:val="superscript"/>
              </w:rPr>
              <w:t>10,11,14</w:t>
            </w:r>
            <w:r w:rsidR="00C21AA0" w:rsidRPr="007C2B76">
              <w:rPr>
                <w:rFonts w:cs="Arial"/>
              </w:rPr>
              <w:fldChar w:fldCharType="end"/>
            </w:r>
            <w:r w:rsidR="00AA5B60" w:rsidRPr="007C2B76">
              <w:rPr>
                <w:rFonts w:cs="Arial"/>
              </w:rPr>
              <w:t xml:space="preserve"> </w:t>
            </w:r>
          </w:p>
          <w:p w14:paraId="62C2EB5A" w14:textId="55AB0333" w:rsidR="00CF03F2" w:rsidRDefault="000E0893" w:rsidP="00954359">
            <w:pPr>
              <w:pStyle w:val="Summarybox"/>
              <w:numPr>
                <w:ilvl w:val="0"/>
                <w:numId w:val="31"/>
              </w:numPr>
              <w:rPr>
                <w:rFonts w:cs="Arial"/>
              </w:rPr>
            </w:pPr>
            <w:r>
              <w:rPr>
                <w:rFonts w:cs="Arial"/>
              </w:rPr>
              <w:t>While</w:t>
            </w:r>
            <w:r w:rsidRPr="007C22F9">
              <w:rPr>
                <w:rFonts w:cs="Arial"/>
              </w:rPr>
              <w:t xml:space="preserve"> </w:t>
            </w:r>
            <w:r w:rsidR="00241A7A">
              <w:rPr>
                <w:rFonts w:cs="Arial"/>
              </w:rPr>
              <w:t xml:space="preserve">existing </w:t>
            </w:r>
            <w:r w:rsidR="00241A7A" w:rsidRPr="007C22F9">
              <w:rPr>
                <w:rFonts w:cs="Arial"/>
              </w:rPr>
              <w:t>anti-HER2 therapies</w:t>
            </w:r>
            <w:r w:rsidR="00241A7A">
              <w:rPr>
                <w:rFonts w:cs="Arial"/>
              </w:rPr>
              <w:t xml:space="preserve"> have only demonstrated efficacy in HER2-positive </w:t>
            </w:r>
            <w:r w:rsidR="004B18C2">
              <w:rPr>
                <w:rFonts w:cs="Arial"/>
              </w:rPr>
              <w:t>BC</w:t>
            </w:r>
            <w:r w:rsidR="00152A02" w:rsidRPr="007C22F9">
              <w:rPr>
                <w:rFonts w:cs="Arial"/>
              </w:rPr>
              <w:t xml:space="preserve">, </w:t>
            </w:r>
            <w:r w:rsidR="007B701C">
              <w:rPr>
                <w:rFonts w:cs="Arial"/>
              </w:rPr>
              <w:t>T-DXd</w:t>
            </w:r>
            <w:r w:rsidR="00152A02" w:rsidRPr="007C22F9">
              <w:rPr>
                <w:rFonts w:cs="Arial"/>
              </w:rPr>
              <w:t xml:space="preserve"> has shown evidence of antitumour activity across a range of HER2 expression</w:t>
            </w:r>
            <w:r w:rsidR="00FE6FD5">
              <w:rPr>
                <w:rFonts w:cs="Arial"/>
              </w:rPr>
              <w:t xml:space="preserve"> levels</w:t>
            </w:r>
            <w:r w:rsidR="0049081A">
              <w:rPr>
                <w:rFonts w:cs="Arial"/>
              </w:rPr>
              <w:fldChar w:fldCharType="begin"/>
            </w:r>
            <w:r w:rsidR="00CA6345">
              <w:rPr>
                <w:rFonts w:cs="Arial"/>
              </w:rPr>
              <w:instrText xml:space="preserve"> ADDIN ZOTERO_ITEM CSL_CITATION {"citationID":"syEFUNzL","properties":{"formattedCitation":"\\super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0049081A">
              <w:rPr>
                <w:rFonts w:cs="Arial"/>
              </w:rPr>
              <w:fldChar w:fldCharType="separate"/>
            </w:r>
            <w:r w:rsidR="00FD57F4" w:rsidRPr="00FD57F4">
              <w:rPr>
                <w:rFonts w:cs="Arial"/>
                <w:szCs w:val="24"/>
                <w:vertAlign w:val="superscript"/>
              </w:rPr>
              <w:t>6</w:t>
            </w:r>
            <w:r w:rsidR="0049081A">
              <w:rPr>
                <w:rFonts w:cs="Arial"/>
              </w:rPr>
              <w:fldChar w:fldCharType="end"/>
            </w:r>
            <w:r w:rsidR="00EF1A1B">
              <w:rPr>
                <w:rFonts w:cs="Arial"/>
              </w:rPr>
              <w:t xml:space="preserve"> and </w:t>
            </w:r>
            <w:r w:rsidR="00AA5B60" w:rsidRPr="002646F6">
              <w:rPr>
                <w:rFonts w:cs="Arial"/>
              </w:rPr>
              <w:t xml:space="preserve">is the first </w:t>
            </w:r>
            <w:r w:rsidR="00840B46" w:rsidRPr="002646F6">
              <w:rPr>
                <w:rFonts w:cs="Arial"/>
              </w:rPr>
              <w:t>HER2-targeted treatment to show</w:t>
            </w:r>
            <w:r w:rsidR="003463B2" w:rsidRPr="002646F6">
              <w:rPr>
                <w:rFonts w:cs="Arial"/>
              </w:rPr>
              <w:t xml:space="preserve"> efficacy in HER2-low </w:t>
            </w:r>
            <w:r w:rsidR="009A2DA1" w:rsidRPr="002646F6">
              <w:rPr>
                <w:rFonts w:cs="Arial"/>
              </w:rPr>
              <w:t>u/m</w:t>
            </w:r>
            <w:r w:rsidR="003463B2" w:rsidRPr="002646F6">
              <w:rPr>
                <w:rFonts w:cs="Arial"/>
              </w:rPr>
              <w:t>BC</w:t>
            </w:r>
            <w:r w:rsidR="00EF1A1B">
              <w:rPr>
                <w:rFonts w:cs="Arial"/>
              </w:rPr>
              <w:t>.</w:t>
            </w:r>
            <w:r w:rsidR="003463B2" w:rsidRPr="002646F6">
              <w:rPr>
                <w:rFonts w:cs="Arial"/>
              </w:rPr>
              <w:t xml:space="preserve"> </w:t>
            </w:r>
          </w:p>
          <w:p w14:paraId="08CDA595" w14:textId="2EE1FDF2" w:rsidR="0069195B" w:rsidRPr="007C2B76" w:rsidRDefault="00CF03F2" w:rsidP="00954359">
            <w:pPr>
              <w:pStyle w:val="Summarybox"/>
              <w:numPr>
                <w:ilvl w:val="0"/>
                <w:numId w:val="31"/>
              </w:numPr>
              <w:rPr>
                <w:rFonts w:cs="Arial"/>
              </w:rPr>
            </w:pPr>
            <w:r>
              <w:rPr>
                <w:rFonts w:cs="Arial"/>
              </w:rPr>
              <w:t>Based on DESTINY-Breast04</w:t>
            </w:r>
            <w:r w:rsidR="00294D45">
              <w:rPr>
                <w:rFonts w:cs="Arial"/>
              </w:rPr>
              <w:t xml:space="preserve">, T-DXd </w:t>
            </w:r>
            <w:r w:rsidR="002F3A8E">
              <w:rPr>
                <w:rFonts w:cs="Arial"/>
              </w:rPr>
              <w:t xml:space="preserve">is </w:t>
            </w:r>
            <w:r w:rsidR="009A2DA1" w:rsidRPr="002646F6">
              <w:rPr>
                <w:rFonts w:cs="Arial"/>
              </w:rPr>
              <w:t xml:space="preserve">the </w:t>
            </w:r>
            <w:r w:rsidR="006C1B91">
              <w:rPr>
                <w:rFonts w:cs="Arial"/>
              </w:rPr>
              <w:t xml:space="preserve">first and </w:t>
            </w:r>
            <w:r w:rsidR="00AA5B60" w:rsidRPr="002646F6">
              <w:rPr>
                <w:rFonts w:cs="Arial"/>
              </w:rPr>
              <w:t xml:space="preserve">only </w:t>
            </w:r>
            <w:r w:rsidR="009B276A" w:rsidRPr="002646F6">
              <w:rPr>
                <w:rFonts w:cs="Arial"/>
              </w:rPr>
              <w:t>EMA</w:t>
            </w:r>
            <w:r w:rsidR="00485C17">
              <w:rPr>
                <w:rFonts w:cs="Arial"/>
              </w:rPr>
              <w:t>-</w:t>
            </w:r>
            <w:r w:rsidR="003463B2" w:rsidRPr="002646F6">
              <w:rPr>
                <w:rFonts w:cs="Arial"/>
              </w:rPr>
              <w:t xml:space="preserve"> and MHRA</w:t>
            </w:r>
            <w:r w:rsidR="00AA5B60" w:rsidRPr="002646F6">
              <w:rPr>
                <w:rFonts w:cs="Arial"/>
              </w:rPr>
              <w:t>-approved therapy for HER2-low u/mBC.</w:t>
            </w:r>
            <w:r w:rsidR="00AA5B60" w:rsidRPr="007C2B76">
              <w:rPr>
                <w:rFonts w:cs="Arial"/>
              </w:rPr>
              <w:t xml:space="preserve"> </w:t>
            </w:r>
          </w:p>
          <w:p w14:paraId="484E2B8F" w14:textId="2D21BF0A" w:rsidR="001B428A" w:rsidRPr="002646F6" w:rsidRDefault="00BD614D" w:rsidP="00954359">
            <w:pPr>
              <w:pStyle w:val="Summarybox"/>
              <w:numPr>
                <w:ilvl w:val="0"/>
                <w:numId w:val="31"/>
              </w:numPr>
              <w:spacing w:after="120"/>
              <w:ind w:left="714" w:hanging="357"/>
            </w:pPr>
            <w:r w:rsidRPr="002646F6">
              <w:rPr>
                <w:rFonts w:cs="Arial"/>
              </w:rPr>
              <w:t xml:space="preserve">In the UK clinical pathway, </w:t>
            </w:r>
            <w:r w:rsidR="00AA5B60" w:rsidRPr="002646F6">
              <w:rPr>
                <w:rFonts w:cs="Arial"/>
              </w:rPr>
              <w:t>T-DXd</w:t>
            </w:r>
            <w:r w:rsidRPr="002646F6">
              <w:rPr>
                <w:rFonts w:cs="Arial"/>
              </w:rPr>
              <w:t xml:space="preserve"> is </w:t>
            </w:r>
            <w:r w:rsidR="00FD350A" w:rsidRPr="002646F6">
              <w:rPr>
                <w:rFonts w:cs="Arial"/>
              </w:rPr>
              <w:t xml:space="preserve">expected to </w:t>
            </w:r>
            <w:r w:rsidR="009858EC" w:rsidRPr="002646F6">
              <w:rPr>
                <w:rFonts w:cs="Arial"/>
              </w:rPr>
              <w:t>replace non-targeted chemotherap</w:t>
            </w:r>
            <w:r w:rsidR="00993B7F" w:rsidRPr="002646F6">
              <w:rPr>
                <w:rFonts w:cs="Arial"/>
              </w:rPr>
              <w:t>ies</w:t>
            </w:r>
            <w:r w:rsidR="00FD350A" w:rsidRPr="002646F6">
              <w:rPr>
                <w:rFonts w:cs="Arial"/>
              </w:rPr>
              <w:t xml:space="preserve"> </w:t>
            </w:r>
            <w:r w:rsidR="00993B7F" w:rsidRPr="002646F6">
              <w:rPr>
                <w:rFonts w:cs="Arial"/>
              </w:rPr>
              <w:t>in</w:t>
            </w:r>
            <w:r w:rsidR="00C93B8F" w:rsidRPr="002646F6">
              <w:rPr>
                <w:rFonts w:cs="Arial"/>
              </w:rPr>
              <w:t xml:space="preserve"> the treatment of</w:t>
            </w:r>
            <w:r w:rsidR="00FD350A" w:rsidRPr="002646F6">
              <w:rPr>
                <w:rFonts w:cs="Arial"/>
              </w:rPr>
              <w:t xml:space="preserve"> patients with HER2-low u/mBC</w:t>
            </w:r>
            <w:r w:rsidR="009D53CE">
              <w:rPr>
                <w:rFonts w:cs="Arial"/>
              </w:rPr>
              <w:t xml:space="preserve"> who </w:t>
            </w:r>
            <w:r w:rsidR="003A284B">
              <w:rPr>
                <w:rFonts w:cs="Arial"/>
              </w:rPr>
              <w:t>have received prior chemotherapy in the metastatic setting</w:t>
            </w:r>
            <w:r w:rsidR="006864D2">
              <w:rPr>
                <w:rFonts w:cs="Arial"/>
              </w:rPr>
              <w:t xml:space="preserve"> or developed </w:t>
            </w:r>
            <w:r w:rsidR="006B4043">
              <w:rPr>
                <w:rFonts w:cs="Arial"/>
              </w:rPr>
              <w:t xml:space="preserve">disease </w:t>
            </w:r>
            <w:r w:rsidR="006864D2">
              <w:rPr>
                <w:rFonts w:cs="Arial"/>
              </w:rPr>
              <w:t>recurrence within 6 months of completing adjuvant chemotherapy</w:t>
            </w:r>
            <w:r w:rsidR="00931BB2">
              <w:rPr>
                <w:rFonts w:cs="Arial"/>
              </w:rPr>
              <w:t xml:space="preserve">. </w:t>
            </w:r>
            <w:r w:rsidR="003A64B1">
              <w:rPr>
                <w:rFonts w:cs="Arial"/>
              </w:rPr>
              <w:t>The UK indication</w:t>
            </w:r>
            <w:r w:rsidR="00351E6E">
              <w:rPr>
                <w:rFonts w:cs="Arial"/>
              </w:rPr>
              <w:t xml:space="preserve"> </w:t>
            </w:r>
            <w:r w:rsidR="00F77ABC" w:rsidRPr="00F77ABC">
              <w:rPr>
                <w:rFonts w:cs="Arial"/>
                <w:color w:val="000000"/>
                <w:highlight w:val="black"/>
              </w:rPr>
              <w:t>xxxxxxxxxxxxxxxxxxxxxxxxxxxxxxxxxxxxxxxxxxxxxxxxxxxxxxx</w:t>
            </w:r>
            <w:r w:rsidR="00753ACA">
              <w:rPr>
                <w:rFonts w:cs="Arial"/>
              </w:rPr>
              <w:t>, which is</w:t>
            </w:r>
            <w:r w:rsidR="003A64B1">
              <w:rPr>
                <w:rFonts w:cs="Arial"/>
              </w:rPr>
              <w:t>:</w:t>
            </w:r>
            <w:r w:rsidR="00931BB2">
              <w:rPr>
                <w:rFonts w:cs="Arial"/>
              </w:rPr>
              <w:t xml:space="preserve"> </w:t>
            </w:r>
            <w:r w:rsidR="00753ACA" w:rsidRPr="005C1F04">
              <w:rPr>
                <w:i/>
                <w:iCs/>
              </w:rPr>
              <w:t>Enhertu as monotherapy is indicated for the treatment of adult patients with unresectable or metastatic HER2 low breast cancer who have received prior chemotherapy in the metastatic setting or developed disease recurrence during or within 6 months of completing adjuvant chemotherapy (see section 4.2</w:t>
            </w:r>
            <w:r w:rsidR="00753ACA" w:rsidRPr="003C648C">
              <w:rPr>
                <w:i/>
                <w:iCs/>
              </w:rPr>
              <w:t>)</w:t>
            </w:r>
            <w:r w:rsidR="003A64B1" w:rsidRPr="003C648C">
              <w:rPr>
                <w:i/>
                <w:iCs/>
              </w:rPr>
              <w:t>.</w:t>
            </w:r>
            <w:r w:rsidR="000D134F">
              <w:rPr>
                <w:i/>
                <w:iCs/>
              </w:rPr>
              <w:fldChar w:fldCharType="begin"/>
            </w:r>
            <w:r w:rsidR="00CA6345">
              <w:rPr>
                <w:i/>
                <w:iCs/>
              </w:rPr>
              <w:instrText xml:space="preserve"> ADDIN ZOTERO_ITEM CSL_CITATION {"citationID":"RieZtnCl","properties":{"formattedCitation":"\\super 3\\nosupersub{}","plainCitation":"3","noteIndex":0},"citationItems":[{"id":66851,"uris":["http://zotero.org/groups/4797619/items/EUUYPVTM"],"itemData":{"id":66851,"type":"document","title":"EMA Enhertu Summary of Product Characteristics (SmPC)","URL":"https://www.ema.europa.eu/en/documents/product-information/enhertu-epar-product-information_en.pdf","author":[{"family":"European Medicines Agency (EMA)","given":""}],"issued":{"date-parts":[["2023"]]}}}],"schema":"https://github.com/citation-style-language/schema/raw/master/csl-citation.json"} </w:instrText>
            </w:r>
            <w:r w:rsidR="000D134F">
              <w:rPr>
                <w:i/>
                <w:iCs/>
              </w:rPr>
              <w:fldChar w:fldCharType="separate"/>
            </w:r>
            <w:r w:rsidR="00FD57F4" w:rsidRPr="00FD57F4">
              <w:rPr>
                <w:rFonts w:cs="Arial"/>
                <w:szCs w:val="24"/>
                <w:vertAlign w:val="superscript"/>
              </w:rPr>
              <w:t>3</w:t>
            </w:r>
            <w:r w:rsidR="000D134F">
              <w:rPr>
                <w:i/>
                <w:iCs/>
              </w:rPr>
              <w:fldChar w:fldCharType="end"/>
            </w:r>
          </w:p>
        </w:tc>
      </w:tr>
    </w:tbl>
    <w:p w14:paraId="22745557" w14:textId="7EBC7DB0" w:rsidR="00A2485A" w:rsidRPr="002646F6" w:rsidRDefault="00A2485A" w:rsidP="00A2485A">
      <w:pPr>
        <w:pStyle w:val="Legend"/>
        <w:rPr>
          <w:color w:val="auto"/>
        </w:rPr>
      </w:pPr>
      <w:bookmarkStart w:id="32" w:name="_Ref121932766"/>
      <w:bookmarkStart w:id="33" w:name="_Ref121932774"/>
      <w:bookmarkStart w:id="34" w:name="_Ref121932783"/>
      <w:r w:rsidRPr="002646F6">
        <w:rPr>
          <w:color w:val="auto"/>
        </w:rPr>
        <w:lastRenderedPageBreak/>
        <w:t xml:space="preserve">Abbreviations: </w:t>
      </w:r>
      <w:r w:rsidR="00E17727" w:rsidRPr="002646F6">
        <w:rPr>
          <w:color w:val="auto"/>
        </w:rPr>
        <w:t>ADC,</w:t>
      </w:r>
      <w:r w:rsidR="0058611D" w:rsidRPr="002646F6">
        <w:rPr>
          <w:color w:val="auto"/>
        </w:rPr>
        <w:t xml:space="preserve"> antibody-drug conjugate</w:t>
      </w:r>
      <w:r w:rsidR="00E17727" w:rsidRPr="002646F6">
        <w:rPr>
          <w:color w:val="auto"/>
        </w:rPr>
        <w:t xml:space="preserve">; </w:t>
      </w:r>
      <w:r w:rsidR="00E90C46" w:rsidRPr="002646F6">
        <w:rPr>
          <w:color w:val="auto"/>
        </w:rPr>
        <w:t>BC, breast cancer;</w:t>
      </w:r>
      <w:r w:rsidR="00454B9B" w:rsidRPr="002646F6">
        <w:rPr>
          <w:color w:val="auto"/>
        </w:rPr>
        <w:t xml:space="preserve"> </w:t>
      </w:r>
      <w:r w:rsidR="00E66BFA">
        <w:rPr>
          <w:color w:val="auto"/>
        </w:rPr>
        <w:t>CDK4/6i</w:t>
      </w:r>
      <w:r w:rsidR="00454B9B" w:rsidRPr="002646F6">
        <w:rPr>
          <w:color w:val="auto"/>
        </w:rPr>
        <w:t>, cyclin-dependent kinase 4/6 inhibitor</w:t>
      </w:r>
      <w:r w:rsidR="00217352" w:rsidRPr="002646F6">
        <w:rPr>
          <w:color w:val="auto"/>
        </w:rPr>
        <w:t>;</w:t>
      </w:r>
      <w:r w:rsidR="008368F3" w:rsidRPr="002646F6">
        <w:rPr>
          <w:color w:val="auto"/>
        </w:rPr>
        <w:t xml:space="preserve"> </w:t>
      </w:r>
      <w:r w:rsidR="0055562E" w:rsidRPr="002646F6">
        <w:rPr>
          <w:color w:val="auto"/>
        </w:rPr>
        <w:t>CG81</w:t>
      </w:r>
      <w:r w:rsidR="00E61955" w:rsidRPr="002646F6">
        <w:rPr>
          <w:color w:val="auto"/>
        </w:rPr>
        <w:t xml:space="preserve">, </w:t>
      </w:r>
      <w:r w:rsidR="0055562E" w:rsidRPr="002646F6">
        <w:rPr>
          <w:color w:val="auto"/>
        </w:rPr>
        <w:t>Clinical Guideline 81</w:t>
      </w:r>
      <w:r w:rsidR="00E61955" w:rsidRPr="002646F6">
        <w:rPr>
          <w:color w:val="auto"/>
        </w:rPr>
        <w:t>;</w:t>
      </w:r>
      <w:r w:rsidR="0055562E" w:rsidRPr="002646F6">
        <w:rPr>
          <w:color w:val="auto"/>
        </w:rPr>
        <w:t xml:space="preserve"> </w:t>
      </w:r>
      <w:r w:rsidR="009572A9" w:rsidRPr="002646F6">
        <w:rPr>
          <w:color w:val="auto"/>
        </w:rPr>
        <w:t xml:space="preserve">CHMP, Committee for Medicinal Products for Human Use; </w:t>
      </w:r>
      <w:r w:rsidR="009E0E8D" w:rsidRPr="002646F6">
        <w:rPr>
          <w:color w:val="auto"/>
        </w:rPr>
        <w:t xml:space="preserve">EMA, European Medicines Agency; </w:t>
      </w:r>
      <w:r w:rsidR="008368F3" w:rsidRPr="002646F6">
        <w:rPr>
          <w:color w:val="auto"/>
        </w:rPr>
        <w:t>ESMO, European Society for Medical Oncology</w:t>
      </w:r>
      <w:r w:rsidR="00144C6B" w:rsidRPr="002646F6">
        <w:rPr>
          <w:color w:val="auto"/>
        </w:rPr>
        <w:t>;</w:t>
      </w:r>
      <w:r w:rsidR="00E90C46" w:rsidRPr="002646F6">
        <w:rPr>
          <w:color w:val="auto"/>
        </w:rPr>
        <w:t xml:space="preserve"> </w:t>
      </w:r>
      <w:r w:rsidR="00272356" w:rsidRPr="002646F6">
        <w:rPr>
          <w:color w:val="auto"/>
        </w:rPr>
        <w:t xml:space="preserve">ET, endocrine </w:t>
      </w:r>
      <w:r w:rsidR="00454B9B" w:rsidRPr="002646F6">
        <w:rPr>
          <w:color w:val="auto"/>
        </w:rPr>
        <w:t xml:space="preserve">therapy; </w:t>
      </w:r>
      <w:r w:rsidR="00E90C46" w:rsidRPr="002646F6">
        <w:rPr>
          <w:color w:val="auto"/>
        </w:rPr>
        <w:t xml:space="preserve">HER2, human epidermal growth factor receptor 2; </w:t>
      </w:r>
      <w:r w:rsidR="00564D6A" w:rsidRPr="002646F6">
        <w:rPr>
          <w:color w:val="auto"/>
        </w:rPr>
        <w:t xml:space="preserve">HR, hormone receptor; </w:t>
      </w:r>
      <w:r w:rsidR="002916D8" w:rsidRPr="002646F6">
        <w:rPr>
          <w:color w:val="auto"/>
        </w:rPr>
        <w:t xml:space="preserve">NICE, </w:t>
      </w:r>
      <w:r w:rsidR="00E41E34" w:rsidRPr="002646F6">
        <w:rPr>
          <w:color w:val="auto"/>
        </w:rPr>
        <w:t>National Institute for Health and Care Excellence;</w:t>
      </w:r>
      <w:r w:rsidR="00E90C46" w:rsidRPr="002646F6">
        <w:rPr>
          <w:color w:val="auto"/>
        </w:rPr>
        <w:t xml:space="preserve"> OS, overall survival</w:t>
      </w:r>
      <w:r w:rsidR="00E41E34" w:rsidRPr="002646F6">
        <w:rPr>
          <w:color w:val="auto"/>
        </w:rPr>
        <w:t xml:space="preserve">; </w:t>
      </w:r>
      <w:r w:rsidR="00797880" w:rsidRPr="002646F6">
        <w:rPr>
          <w:color w:val="auto"/>
        </w:rPr>
        <w:t xml:space="preserve">PARP, </w:t>
      </w:r>
      <w:r w:rsidR="004B2E9C" w:rsidRPr="002646F6">
        <w:rPr>
          <w:color w:val="auto"/>
        </w:rPr>
        <w:t>poly ADP-ribose polymerase</w:t>
      </w:r>
      <w:r w:rsidR="00797880" w:rsidRPr="002646F6">
        <w:rPr>
          <w:color w:val="auto"/>
        </w:rPr>
        <w:t xml:space="preserve">; </w:t>
      </w:r>
      <w:r w:rsidR="00BB3B3B" w:rsidRPr="002646F6">
        <w:rPr>
          <w:color w:val="auto"/>
        </w:rPr>
        <w:t xml:space="preserve">PFS, progression-free survival; </w:t>
      </w:r>
      <w:r w:rsidR="00E41E34" w:rsidRPr="002646F6">
        <w:rPr>
          <w:color w:val="auto"/>
        </w:rPr>
        <w:t xml:space="preserve">T-DM1, </w:t>
      </w:r>
      <w:r w:rsidR="00564D6A" w:rsidRPr="002646F6">
        <w:rPr>
          <w:color w:val="auto"/>
        </w:rPr>
        <w:t>Trastuzumab emtansine</w:t>
      </w:r>
      <w:r w:rsidR="00BB3B3B" w:rsidRPr="002646F6">
        <w:rPr>
          <w:color w:val="auto"/>
          <w:sz w:val="20"/>
          <w:szCs w:val="20"/>
        </w:rPr>
        <w:t xml:space="preserve">; </w:t>
      </w:r>
      <w:r w:rsidR="00BB3B3B" w:rsidRPr="002646F6">
        <w:rPr>
          <w:color w:val="auto"/>
        </w:rPr>
        <w:t xml:space="preserve">T-DXd, </w:t>
      </w:r>
      <w:r w:rsidR="00E17727" w:rsidRPr="002646F6">
        <w:rPr>
          <w:color w:val="auto"/>
        </w:rPr>
        <w:t>Trastuzumab deruxtecan</w:t>
      </w:r>
      <w:r w:rsidR="00BB3B3B" w:rsidRPr="002646F6">
        <w:rPr>
          <w:color w:val="auto"/>
        </w:rPr>
        <w:t>; u/mBC, unresectable</w:t>
      </w:r>
      <w:r w:rsidR="00C71B1A" w:rsidRPr="002646F6">
        <w:rPr>
          <w:color w:val="auto"/>
        </w:rPr>
        <w:t xml:space="preserve"> or </w:t>
      </w:r>
      <w:r w:rsidR="00BB3B3B" w:rsidRPr="002646F6">
        <w:rPr>
          <w:color w:val="auto"/>
        </w:rPr>
        <w:t>metastatic breast cancer</w:t>
      </w:r>
      <w:r w:rsidR="00471DA9" w:rsidRPr="002646F6">
        <w:rPr>
          <w:color w:val="auto"/>
        </w:rPr>
        <w:t>; Q</w:t>
      </w:r>
      <w:r w:rsidR="007A5CB5" w:rsidRPr="002646F6">
        <w:rPr>
          <w:color w:val="auto"/>
        </w:rPr>
        <w:t xml:space="preserve">oL, </w:t>
      </w:r>
      <w:r w:rsidR="005754E8">
        <w:rPr>
          <w:color w:val="auto"/>
        </w:rPr>
        <w:t>quality-of-life</w:t>
      </w:r>
      <w:r w:rsidR="007A5CB5" w:rsidRPr="002646F6">
        <w:rPr>
          <w:color w:val="auto"/>
        </w:rPr>
        <w:t>; TNBC, triple-negative breast cancer.</w:t>
      </w:r>
    </w:p>
    <w:p w14:paraId="755F0310" w14:textId="3E87EECA" w:rsidR="00E16194" w:rsidRPr="00E16194" w:rsidRDefault="00D17A02" w:rsidP="00E16194">
      <w:pPr>
        <w:pStyle w:val="Heading3"/>
      </w:pPr>
      <w:bookmarkStart w:id="35" w:name="_Ref125465612"/>
      <w:bookmarkStart w:id="36" w:name="_Ref125465617"/>
      <w:bookmarkStart w:id="37" w:name="_Toc129350846"/>
      <w:r w:rsidRPr="00D17A02">
        <w:lastRenderedPageBreak/>
        <w:t>Disease</w:t>
      </w:r>
      <w:r w:rsidR="00F7181E" w:rsidRPr="00D17A02">
        <w:t xml:space="preserve"> </w:t>
      </w:r>
      <w:r w:rsidR="00F7181E">
        <w:t>overview</w:t>
      </w:r>
      <w:bookmarkEnd w:id="32"/>
      <w:bookmarkEnd w:id="33"/>
      <w:bookmarkEnd w:id="34"/>
      <w:bookmarkEnd w:id="35"/>
      <w:bookmarkEnd w:id="36"/>
      <w:bookmarkEnd w:id="37"/>
    </w:p>
    <w:p w14:paraId="458752CE" w14:textId="21DFE086" w:rsidR="005216D7" w:rsidRPr="002646F6" w:rsidRDefault="00C559E4" w:rsidP="009506B5">
      <w:pPr>
        <w:pStyle w:val="Heading4"/>
      </w:pPr>
      <w:r w:rsidRPr="002646F6">
        <w:t>B</w:t>
      </w:r>
      <w:r w:rsidR="00870F65" w:rsidRPr="002646F6">
        <w:t>reast cancer</w:t>
      </w:r>
      <w:r w:rsidRPr="002646F6">
        <w:t xml:space="preserve"> overview</w:t>
      </w:r>
    </w:p>
    <w:p w14:paraId="6CB5F291" w14:textId="0C429DC3" w:rsidR="002D6844" w:rsidRPr="00155680" w:rsidRDefault="002D6844" w:rsidP="002D6844">
      <w:pPr>
        <w:pStyle w:val="Body"/>
      </w:pPr>
      <w:r w:rsidRPr="00155680">
        <w:t xml:space="preserve">Breast cancer is the most common cancer in the UK with </w:t>
      </w:r>
      <w:r w:rsidR="007056FC" w:rsidRPr="002646F6">
        <w:t xml:space="preserve">45,291 </w:t>
      </w:r>
      <w:r w:rsidRPr="00155680">
        <w:t xml:space="preserve">cases recorded in England in </w:t>
      </w:r>
      <w:r w:rsidRPr="002646F6">
        <w:t>20</w:t>
      </w:r>
      <w:r w:rsidR="00061EDF" w:rsidRPr="002646F6">
        <w:t>20</w:t>
      </w:r>
      <w:r w:rsidR="009C3A79" w:rsidRPr="002646F6">
        <w:t>.</w:t>
      </w:r>
      <w:r w:rsidR="003622EC" w:rsidRPr="002646F6">
        <w:fldChar w:fldCharType="begin"/>
      </w:r>
      <w:r w:rsidR="00CA6345">
        <w:instrText xml:space="preserve"> ADDIN ZOTERO_ITEM CSL_CITATION {"citationID":"5HU3Yx0b","properties":{"formattedCitation":"\\super 21\\nosupersub{}","plainCitation":"21","noteIndex":0},"citationItems":[{"id":66339,"uris":["http://zotero.org/groups/4797619/items/REJQKHRI"],"itemData":{"id":66339,"type":"webpage","title":"CancerData","URL":"https://www.cancerdata.nhs.uk/incidence_and_mortality","accessed":{"date-parts":[["2022",12,14]]}}}],"schema":"https://github.com/citation-style-language/schema/raw/master/csl-citation.json"} </w:instrText>
      </w:r>
      <w:r w:rsidR="003622EC" w:rsidRPr="002646F6">
        <w:fldChar w:fldCharType="separate"/>
      </w:r>
      <w:r w:rsidR="00FD57F4" w:rsidRPr="00FD57F4">
        <w:rPr>
          <w:rFonts w:cs="Arial"/>
          <w:szCs w:val="24"/>
          <w:vertAlign w:val="superscript"/>
        </w:rPr>
        <w:t>21</w:t>
      </w:r>
      <w:r w:rsidR="003622EC" w:rsidRPr="002646F6">
        <w:fldChar w:fldCharType="end"/>
      </w:r>
      <w:r w:rsidRPr="00155680">
        <w:t xml:space="preserve"> B</w:t>
      </w:r>
      <w:r w:rsidR="0027039D">
        <w:t>C</w:t>
      </w:r>
      <w:r w:rsidRPr="00155680">
        <w:t xml:space="preserve"> predominantly affects women, who comprise 99% of cases</w:t>
      </w:r>
      <w:r w:rsidR="006B114C" w:rsidRPr="00155680">
        <w:t>,</w:t>
      </w:r>
      <w:r w:rsidR="0088582B" w:rsidRPr="00155680">
        <w:fldChar w:fldCharType="begin"/>
      </w:r>
      <w:r w:rsidR="00CA6345">
        <w:instrText xml:space="preserve"> ADDIN ZOTERO_ITEM CSL_CITATION {"citationID":"NjP9iD7c","properties":{"formattedCitation":"\\super 59,60\\nosupersub{}","plainCitation":"59,60","noteIndex":0},"citationItems":[{"id":65921,"uris":["http://zotero.org/groups/4797619/items/IYTIPWSY"],"itemData":{"id":65921,"type":"webpage","abstract":"Cancer diagnoses and age-standardised incidence rates for all types of cancer by age and sex.","container-title":"GOV.UK","language":"en","title":"Cancer registration statistics: England 2018 final release","title-short":"Cancer registration statistics","URL":"https://www.gov.uk/government/statistics/cancer-registration-statistics-england-2018-final-release","accessed":{"date-parts":[["2022",10,24]]}}},{"id":65920,"uris":["http://zotero.org/groups/4797619/items/NT8PXFFR"],"itemData":{"id":65920,"type":"article-journal","abstract":"Breast cancer is the second leading cause of cancer deaths among women. The development of breast cancer is a multi-step process involving multiple cell types, and its prevention remains challenging in the world. Early diagnosis of breast cancer is one of the best approaches to prevent this disease. In some developed countries, the 5-year relative survival rate of breast cancer patients is above 80% due to early prevention. In the recent decade, great progress has been made in the understanding of breast cancer as well as in the development of preventative methods. The pathogenesis and tumor drug-resistant mechanisms are revealed by discovering breast cancer stem cells, and many genes are found related to breast cancer. Currently, people have more drug options for the chemoprevention of breast cancer, while biological prevention has been recently developed to improve patients' quality of life. In this review, we will summarize key studies of pathogenesis, related genes, risk factors and preventative methods on breast cancer over the past years. These findings represent a small step in the long fight against breast cancer.","container-title":"International Journal of Biological Sciences","DOI":"10.7150/ijbs.21635","ISSN":"1449-2288","issue":"11","journalAbbreviation":"Int J Biol Sci","language":"eng","note":"PMID: 29209143\nPMCID: PMC5715522","page":"1387-1397","source":"PubMed","title":"Risk Factors and Preventions of Breast Cancer","volume":"13","author":[{"family":"Sun","given":"Yi-Sheng"},{"family":"Zhao","given":"Zhao"},{"family":"Yang","given":"Zhang-Nv"},{"family":"Xu","given":"Fang"},{"family":"Lu","given":"Hang-Jing"},{"family":"Zhu","given":"Zhi-Yong"},{"family":"Shi","given":"Wen"},{"family":"Jiang","given":"Jianmin"},{"family":"Yao","given":"Ping-Ping"},{"family":"Zhu","given":"Han-Ping"}],"issued":{"date-parts":[["2017"]]}}}],"schema":"https://github.com/citation-style-language/schema/raw/master/csl-citation.json"} </w:instrText>
      </w:r>
      <w:r w:rsidR="0088582B" w:rsidRPr="00155680">
        <w:fldChar w:fldCharType="separate"/>
      </w:r>
      <w:r w:rsidR="00FD57F4" w:rsidRPr="00FD57F4">
        <w:rPr>
          <w:rFonts w:cs="Arial"/>
          <w:szCs w:val="24"/>
          <w:vertAlign w:val="superscript"/>
        </w:rPr>
        <w:t>59,60</w:t>
      </w:r>
      <w:r w:rsidR="0088582B" w:rsidRPr="00155680">
        <w:fldChar w:fldCharType="end"/>
      </w:r>
      <w:r w:rsidRPr="00155680">
        <w:t xml:space="preserve"> and prevalence increases with ag</w:t>
      </w:r>
      <w:r w:rsidR="005D14A7" w:rsidRPr="00155680">
        <w:t>e</w:t>
      </w:r>
      <w:r w:rsidR="001B17CA" w:rsidRPr="00155680">
        <w:t>.</w:t>
      </w:r>
      <w:r w:rsidR="005D14A7" w:rsidRPr="00155680">
        <w:fldChar w:fldCharType="begin"/>
      </w:r>
      <w:r w:rsidR="00CA6345">
        <w:instrText xml:space="preserve"> ADDIN ZOTERO_ITEM CSL_CITATION {"citationID":"A26sUeUz","properties":{"formattedCitation":"\\super 60\\nosupersub{}","plainCitation":"60","noteIndex":0},"citationItems":[{"id":65920,"uris":["http://zotero.org/groups/4797619/items/NT8PXFFR"],"itemData":{"id":65920,"type":"article-journal","abstract":"Breast cancer is the second leading cause of cancer deaths among women. The development of breast cancer is a multi-step process involving multiple cell types, and its prevention remains challenging in the world. Early diagnosis of breast cancer is one of the best approaches to prevent this disease. In some developed countries, the 5-year relative survival rate of breast cancer patients is above 80% due to early prevention. In the recent decade, great progress has been made in the understanding of breast cancer as well as in the development of preventative methods. The pathogenesis and tumor drug-resistant mechanisms are revealed by discovering breast cancer stem cells, and many genes are found related to breast cancer. Currently, people have more drug options for the chemoprevention of breast cancer, while biological prevention has been recently developed to improve patients' quality of life. In this review, we will summarize key studies of pathogenesis, related genes, risk factors and preventative methods on breast cancer over the past years. These findings represent a small step in the long fight against breast cancer.","container-title":"International Journal of Biological Sciences","DOI":"10.7150/ijbs.21635","ISSN":"1449-2288","issue":"11","journalAbbreviation":"Int J Biol Sci","language":"eng","note":"PMID: 29209143\nPMCID: PMC5715522","page":"1387-1397","source":"PubMed","title":"Risk Factors and Preventions of Breast Cancer","volume":"13","author":[{"family":"Sun","given":"Yi-Sheng"},{"family":"Zhao","given":"Zhao"},{"family":"Yang","given":"Zhang-Nv"},{"family":"Xu","given":"Fang"},{"family":"Lu","given":"Hang-Jing"},{"family":"Zhu","given":"Zhi-Yong"},{"family":"Shi","given":"Wen"},{"family":"Jiang","given":"Jianmin"},{"family":"Yao","given":"Ping-Ping"},{"family":"Zhu","given":"Han-Ping"}],"issued":{"date-parts":[["2017"]]}}}],"schema":"https://github.com/citation-style-language/schema/raw/master/csl-citation.json"} </w:instrText>
      </w:r>
      <w:r w:rsidR="005D14A7" w:rsidRPr="00155680">
        <w:fldChar w:fldCharType="separate"/>
      </w:r>
      <w:r w:rsidR="00FD57F4" w:rsidRPr="00FD57F4">
        <w:rPr>
          <w:rFonts w:cs="Arial"/>
          <w:szCs w:val="24"/>
          <w:vertAlign w:val="superscript"/>
        </w:rPr>
        <w:t>60</w:t>
      </w:r>
      <w:r w:rsidR="005D14A7" w:rsidRPr="00155680">
        <w:fldChar w:fldCharType="end"/>
      </w:r>
      <w:r w:rsidR="005D14A7" w:rsidRPr="00155680">
        <w:t xml:space="preserve"> </w:t>
      </w:r>
      <w:r w:rsidRPr="00155680">
        <w:t>Staging of BC categorises the disease according to extent of spread: early BC (Stage I–II) is still localised in the breast tissue, Stage III (locally advanced) disease has typically spread beyond the breast tissue to the lymph nodes, and Stage IV (advanced or metastatic) disease occurs when the tumour has metastasised to other organs.</w:t>
      </w:r>
      <w:r w:rsidR="00A7279C" w:rsidRPr="00155680">
        <w:fldChar w:fldCharType="begin"/>
      </w:r>
      <w:r w:rsidR="00CA6345">
        <w:instrText xml:space="preserve"> ADDIN ZOTERO_ITEM CSL_CITATION {"citationID":"pSG6zh7K","properties":{"formattedCitation":"\\super 61,62\\nosupersub{}","plainCitation":"61,62","noteIndex":0},"citationItems":[{"id":65919,"uris":["http://zotero.org/groups/4797619/items/G6L4YFBT"],"itemData":{"id":65919,"type":"webpage","abstract":"When someone is diagnosed with breast cancer, doctors will determine if it has spread. This process is called staging. Learn about what your cancer stage means.","language":"en","title":"Stages of Breast Cancer | Understand Breast Cancer Staging","URL":"https://www.cancer.org/cancer/breast-cancer/understanding-a-breast-cancer-diagnosis/stages-of-breast-cancer.html","accessed":{"date-parts":[["2022",10,24]]}}},{"id":65918,"uris":["http://zotero.org/groups/4797619/items/II8TLYNX"],"itemData":{"id":65918,"type":"webpage","title":"Number stages of breast cancer | Cancer Research UK","URL":"https://www.cancerresearchuk.org/about-cancer/breast-cancer/stages-types-grades/number-stages","accessed":{"date-parts":[["2022",10,24]]}}}],"schema":"https://github.com/citation-style-language/schema/raw/master/csl-citation.json"} </w:instrText>
      </w:r>
      <w:r w:rsidR="00A7279C" w:rsidRPr="00155680">
        <w:fldChar w:fldCharType="separate"/>
      </w:r>
      <w:r w:rsidR="00FD57F4" w:rsidRPr="00FD57F4">
        <w:rPr>
          <w:rFonts w:cs="Arial"/>
          <w:szCs w:val="24"/>
          <w:vertAlign w:val="superscript"/>
        </w:rPr>
        <w:t>61,62</w:t>
      </w:r>
      <w:r w:rsidR="00A7279C" w:rsidRPr="00155680">
        <w:fldChar w:fldCharType="end"/>
      </w:r>
    </w:p>
    <w:p w14:paraId="1B27A5EE" w14:textId="41E385E3" w:rsidR="002D6844" w:rsidRPr="00D30D35" w:rsidRDefault="002D6844" w:rsidP="002D6844">
      <w:pPr>
        <w:pStyle w:val="Body"/>
      </w:pPr>
      <w:r>
        <w:t xml:space="preserve">Over 70% of </w:t>
      </w:r>
      <w:r w:rsidRPr="00D55DDB">
        <w:t xml:space="preserve">patients are diagnosed at </w:t>
      </w:r>
      <w:r>
        <w:t>S</w:t>
      </w:r>
      <w:r w:rsidRPr="00D55DDB">
        <w:t>tage I–II BC</w:t>
      </w:r>
      <w:r>
        <w:t>,</w:t>
      </w:r>
      <w:r w:rsidR="000878F2">
        <w:fldChar w:fldCharType="begin"/>
      </w:r>
      <w:r w:rsidR="00CA6345">
        <w:instrText xml:space="preserve"> ADDIN ZOTERO_ITEM CSL_CITATION {"citationID":"jRm0QOz1","properties":{"formattedCitation":"\\super 22\\nosupersub{}","plainCitation":"22","noteIndex":0},"citationItems":[{"id":65845,"uris":["http://zotero.org/groups/4797619/items/GDHZTYNF"],"itemData":{"id":65845,"type":"webpage","abstract":"Cancer diagnoses and age-standardised incidence rates in 2019 for all types of cancer by age, sex and region including breast, prostate, lung and colorectal cancer. Cancer incidence by deprivation and stage at diagnosis also presented where appropriate.","container-title":"NHS Digital","language":"en","title":"Cancer Registration Statistics, England 2019","URL":"https://digital.nhs.uk/data-and-information/publications/statistical/cancer-registration-statistics/england-2019","accessed":{"date-parts":[["2022",10,3]]}}}],"schema":"https://github.com/citation-style-language/schema/raw/master/csl-citation.json"} </w:instrText>
      </w:r>
      <w:r w:rsidR="000878F2">
        <w:fldChar w:fldCharType="separate"/>
      </w:r>
      <w:r w:rsidR="00FD57F4" w:rsidRPr="00FD57F4">
        <w:rPr>
          <w:rFonts w:cs="Arial"/>
          <w:szCs w:val="24"/>
          <w:vertAlign w:val="superscript"/>
        </w:rPr>
        <w:t>22</w:t>
      </w:r>
      <w:r w:rsidR="000878F2">
        <w:fldChar w:fldCharType="end"/>
      </w:r>
      <w:r>
        <w:t xml:space="preserve"> and for these patients, and many with Stage III disease, tumour resection is the mainstay of therapy because it has curative potential and provides good survival outcomes.</w:t>
      </w:r>
      <w:r w:rsidR="001C668E">
        <w:fldChar w:fldCharType="begin"/>
      </w:r>
      <w:r w:rsidR="004838B9">
        <w:instrText xml:space="preserve"> ADDIN EN.CITE &lt;EndNote&gt;&lt;Cite&gt;&lt;Author&gt;NICE&lt;/Author&gt;&lt;Year&gt;18 July 2018&lt;/Year&gt;&lt;RecNum&gt;18&lt;/RecNum&gt;&lt;DisplayText&gt;&lt;style face="superscript"&gt;27,37&lt;/style&gt;&lt;/DisplayText&gt;&lt;record&gt;&lt;rec-number&gt;18&lt;/rec-number&gt;&lt;foreign-keys&gt;&lt;key app="EN" db-id="zsraxr2sldvt0herzw7x5028s0efeazsx9r0" timestamp="1632415409"&gt;18&lt;/key&gt;&lt;/foreign-keys&gt;&lt;ref-type name="Journal Article"&gt;17&lt;/ref-type&gt;&lt;contributors&gt;&lt;authors&gt;&lt;author&gt;NICE,&lt;/author&gt;&lt;/authors&gt;&lt;/contributors&gt;&lt;titles&gt;&lt;title&gt;NG101: Early and locally advanced breast cancer: diagnosis and management&lt;/title&gt;&lt;secondary-title&gt;Available at: https://www.nice.org.uk/guidance/ng101 [last accessed: 23/09/2021]&lt;/secondary-title&gt;&lt;/titles&gt;&lt;periodical&gt;&lt;full-title&gt;Available at: https://www.nice.org.uk/guidance/ng101 [last accessed: 23/09/2021]&lt;/full-title&gt;&lt;/periodical&gt;&lt;dates&gt;&lt;year&gt;18 July 2018&lt;/year&gt;&lt;/dates&gt;&lt;urls&gt;&lt;/urls&gt;&lt;/record&gt;&lt;/Cite&gt;&lt;Cite&gt;&lt;Author&gt;NICE&lt;/Author&gt;&lt;Year&gt;15 Sept 2021&lt;/Year&gt;&lt;RecNum&gt;97&lt;/RecNum&gt;&lt;record&gt;&lt;rec-number&gt;97&lt;/rec-number&gt;&lt;foreign-keys&gt;&lt;key app="EN" db-id="zsraxr2sldvt0herzw7x5028s0efeazsx9r0" timestamp="1638872215"&gt;97&lt;/key&gt;&lt;/foreign-keys&gt;&lt;ref-type name="Journal Article"&gt;17&lt;/ref-type&gt;&lt;contributors&gt;&lt;authors&gt;&lt;author&gt;NICE,&lt;/author&gt;&lt;/authors&gt;&lt;/contributors&gt;&lt;titles&gt;&lt;title&gt;NICE pathways: Early and locally advanced breast cancer overview&lt;/title&gt;&lt;secondary-title&gt;Available at: https://pathways.nice.org.uk/pathways/early-and-locally-advanced-breast-cancer#content=view-node%3Anodes-surgery-to-the-breast [last accessed: 07/12/2021]&lt;/secondary-title&gt;&lt;/titles&gt;&lt;periodical&gt;&lt;full-title&gt;Available at: https://pathways.nice.org.uk/pathways/early-and-locally-advanced-breast-cancer#content=view-node%3Anodes-surgery-to-the-breast [last accessed: 07/12/2021]&lt;/full-title&gt;&lt;/periodical&gt;&lt;dates&gt;&lt;year&gt;15 Sept 2021&lt;/year&gt;&lt;/dates&gt;&lt;urls&gt;&lt;/urls&gt;&lt;/record&gt;&lt;/Cite&gt;&lt;/EndNote&gt;</w:instrText>
      </w:r>
      <w:r w:rsidR="001C668E">
        <w:fldChar w:fldCharType="separate"/>
      </w:r>
      <w:r w:rsidR="001C668E">
        <w:fldChar w:fldCharType="end"/>
      </w:r>
      <w:r w:rsidR="00A20210">
        <w:fldChar w:fldCharType="begin"/>
      </w:r>
      <w:r w:rsidR="00CA6345">
        <w:instrText xml:space="preserve"> ADDIN ZOTERO_ITEM CSL_CITATION {"citationID":"k5QvqFUb","properties":{"formattedCitation":"\\super 23\\nosupersub{}","plainCitation":"23","noteIndex":0},"citationItems":[{"id":65877,"uris":["http://zotero.org/groups/4797619/items/AACWD3EG"],"itemData":{"id":65877,"type":"webpage","abstract":"This guideline covers diagnosing and managing early and locally advanced breast cancer. It aims to help healthcare professionals offer the right treatments to people, taking into account the person's individual preferences","language":"eng","note":"publisher: NICE","title":"Early and locally advanced breast cancer: diagnosis and management | NICE [NG101]","title-short":"Overview | Early and locally advanced breast cancer","URL":"https://www.nice.org.uk/guidance/ng101","author":[{"family":"NICE","given":""}],"accessed":{"date-parts":[["2022",10,3]]}}}],"schema":"https://github.com/citation-style-language/schema/raw/master/csl-citation.json"} </w:instrText>
      </w:r>
      <w:r w:rsidR="00A20210">
        <w:fldChar w:fldCharType="separate"/>
      </w:r>
      <w:r w:rsidR="00FD57F4" w:rsidRPr="00FD57F4">
        <w:rPr>
          <w:rFonts w:cs="Arial"/>
          <w:szCs w:val="24"/>
          <w:vertAlign w:val="superscript"/>
        </w:rPr>
        <w:t>23</w:t>
      </w:r>
      <w:r w:rsidR="00A20210">
        <w:fldChar w:fldCharType="end"/>
      </w:r>
      <w:r>
        <w:t xml:space="preserve"> Historically, outcomes in BC have improved over time,</w:t>
      </w:r>
      <w:r w:rsidR="00F42A46">
        <w:fldChar w:fldCharType="begin"/>
      </w:r>
      <w:r w:rsidR="00CA6345">
        <w:instrText xml:space="preserve"> ADDIN ZOTERO_ITEM CSL_CITATION {"citationID":"YANEkf36","properties":{"formattedCitation":"\\super 24\\nosupersub{}","plainCitation":"24","noteIndex":0},"citationItems":[{"id":65843,"uris":["http://zotero.org/groups/4797619/items/VS53CJPX"],"itemData":{"id":65843,"type":"webpage","abstract":"Cancer survival statistics for adults and children by stage at diagnosis and by different geographical variations.","container-title":"GOV.UK","language":"en","title":"Cancer survival in England for patients diagnosed between 2014 and 2018, and followed up until 2019","URL":"https://www.gov.uk/government/statistics/cancer-survival-in-england-for-patients-diagnosed-between-2014-and-2018-and-followed-up-until-2019","accessed":{"date-parts":[["2022",10,3]]}}}],"schema":"https://github.com/citation-style-language/schema/raw/master/csl-citation.json"} </w:instrText>
      </w:r>
      <w:r w:rsidR="00F42A46">
        <w:fldChar w:fldCharType="separate"/>
      </w:r>
      <w:r w:rsidR="00FD57F4" w:rsidRPr="00FD57F4">
        <w:rPr>
          <w:rFonts w:cs="Arial"/>
          <w:szCs w:val="24"/>
          <w:vertAlign w:val="superscript"/>
        </w:rPr>
        <w:t>24</w:t>
      </w:r>
      <w:r w:rsidR="00F42A46">
        <w:fldChar w:fldCharType="end"/>
      </w:r>
      <w:r>
        <w:t xml:space="preserve"> largely due to improved screening and early identification.</w:t>
      </w:r>
      <w:r w:rsidR="00C85D31">
        <w:fldChar w:fldCharType="begin"/>
      </w:r>
      <w:r w:rsidR="00CA6345">
        <w:instrText xml:space="preserve"> ADDIN ZOTERO_ITEM CSL_CITATION {"citationID":"NzR0AfiD","properties":{"formattedCitation":"\\super 63\\nosupersub{}","plainCitation":"63","noteIndex":0},"citationItems":[{"id":65916,"uris":["http://zotero.org/groups/4797619/items/TUXY6P4T"],"itemData":{"id":65916,"type":"article-journal","abstract":"Background:\nPopulation breast screening has been implemented in the UK for over 25 years, but the size of benefit attributable to such programmes remains controversial. We have conducted the first individual-based cohort evaluation of population breast screening in the UK, to estimate the impact of the NHS breast screening programme (NHSBSP) on breast cancer mortality.\n\nMethods:\nWe followed 988 090 women aged 49–64 years in 1991 resident in England and Wales, who because of the staggered implementation of the NHSBSP, included both invited subjects and an uninvited control group. Individual-level breast screening histories were linked to individual-level mortality and breast cancer incidence data from national registers. Risk of death from breast cancer was investigated by incidence-based mortality analyses in relation to intention to screen and first round attendance. Overdiagnosis of breast cancer following a single screening round was also investigated.\n\nResults:\nInvitation to NHSBSP screening was associated with a reduction in breast cancer mortality in 1991–2005 of 21% (RR=0.79, 95% CI: 0.73–0.84, P&lt;0·001) after adjustment for age, socioeconomic status and lead-time. Breast cancer deaths among first invitation attenders were 46% lower than among non-attenders (RR=0.54, 95% CI: 0.51–0·57, P&lt;0.001) and 32% lower following adjustment for age, socioeconomic status and self-selection bias (RR=0.68, 95% CI: 0.63–0·73, P&lt;0.001). There was little evidence of overdiagnosis associated with invitation to first screen.\n\nConclusions:\nThe results indicate a substantial, statistically significant reduction in breast cancer mortality between 1991 and 2005 associated with NHSBSP activity. This is important in public health terms.","container-title":"British Journal of Cancer","DOI":"10.1038/bjc.2016.415","ISSN":"0007-0920","issue":"2","journalAbbreviation":"Br J Cancer","note":"PMID: 27931047\nPMCID: PMC5243996","page":"246-252","source":"PubMed Central","title":"Effect of population breast screening on breast cancer mortality up to 2005 in England and Wales: an individual-level cohort study","title-short":"Effect of population breast screening on breast cancer mortality up to 2005 in England and Wales","volume":"116","author":[{"family":"Johns","given":"Louise E"},{"family":"Coleman","given":"Derek A"},{"family":"Swerdlow","given":"Anthony J"},{"family":"Moss","given":"Susan M"}],"issued":{"date-parts":[["2017",1,17]]}}}],"schema":"https://github.com/citation-style-language/schema/raw/master/csl-citation.json"} </w:instrText>
      </w:r>
      <w:r w:rsidR="00C85D31">
        <w:fldChar w:fldCharType="separate"/>
      </w:r>
      <w:r w:rsidR="00FD57F4" w:rsidRPr="00FD57F4">
        <w:rPr>
          <w:rFonts w:cs="Arial"/>
          <w:szCs w:val="24"/>
          <w:vertAlign w:val="superscript"/>
        </w:rPr>
        <w:t>63</w:t>
      </w:r>
      <w:r w:rsidR="00C85D31">
        <w:fldChar w:fldCharType="end"/>
      </w:r>
      <w:r>
        <w:t xml:space="preserve"> Early diagnosis allows treatment at an earlier disease stage, typically when the tumour remains localised to the breast tissue and surgical resection remains a treatment option.</w:t>
      </w:r>
      <w:r w:rsidR="00474B50">
        <w:rPr>
          <w:color w:val="FF0000"/>
        </w:rPr>
        <w:fldChar w:fldCharType="begin"/>
      </w:r>
      <w:r w:rsidR="00CA6345">
        <w:rPr>
          <w:color w:val="FF0000"/>
        </w:rPr>
        <w:instrText xml:space="preserve"> ADDIN ZOTERO_ITEM CSL_CITATION {"citationID":"LXk3kari","properties":{"formattedCitation":"\\super 63\\nosupersub{}","plainCitation":"63","noteIndex":0},"citationItems":[{"id":65916,"uris":["http://zotero.org/groups/4797619/items/TUXY6P4T"],"itemData":{"id":65916,"type":"article-journal","abstract":"Background:\nPopulation breast screening has been implemented in the UK for over 25 years, but the size of benefit attributable to such programmes remains controversial. We have conducted the first individual-based cohort evaluation of population breast screening in the UK, to estimate the impact of the NHS breast screening programme (NHSBSP) on breast cancer mortality.\n\nMethods:\nWe followed 988 090 women aged 49–64 years in 1991 resident in England and Wales, who because of the staggered implementation of the NHSBSP, included both invited subjects and an uninvited control group. Individual-level breast screening histories were linked to individual-level mortality and breast cancer incidence data from national registers. Risk of death from breast cancer was investigated by incidence-based mortality analyses in relation to intention to screen and first round attendance. Overdiagnosis of breast cancer following a single screening round was also investigated.\n\nResults:\nInvitation to NHSBSP screening was associated with a reduction in breast cancer mortality in 1991–2005 of 21% (RR=0.79, 95% CI: 0.73–0.84, P&lt;0·001) after adjustment for age, socioeconomic status and lead-time. Breast cancer deaths among first invitation attenders were 46% lower than among non-attenders (RR=0.54, 95% CI: 0.51–0·57, P&lt;0.001) and 32% lower following adjustment for age, socioeconomic status and self-selection bias (RR=0.68, 95% CI: 0.63–0·73, P&lt;0.001). There was little evidence of overdiagnosis associated with invitation to first screen.\n\nConclusions:\nThe results indicate a substantial, statistically significant reduction in breast cancer mortality between 1991 and 2005 associated with NHSBSP activity. This is important in public health terms.","container-title":"British Journal of Cancer","DOI":"10.1038/bjc.2016.415","ISSN":"0007-0920","issue":"2","journalAbbreviation":"Br J Cancer","note":"PMID: 27931047\nPMCID: PMC5243996","page":"246-252","source":"PubMed Central","title":"Effect of population breast screening on breast cancer mortality up to 2005 in England and Wales: an individual-level cohort study","title-short":"Effect of population breast screening on breast cancer mortality up to 2005 in England and Wales","volume":"116","author":[{"family":"Johns","given":"Louise E"},{"family":"Coleman","given":"Derek A"},{"family":"Swerdlow","given":"Anthony J"},{"family":"Moss","given":"Susan M"}],"issued":{"date-parts":[["2017",1,17]]}}}],"schema":"https://github.com/citation-style-language/schema/raw/master/csl-citation.json"} </w:instrText>
      </w:r>
      <w:r w:rsidR="00474B50">
        <w:rPr>
          <w:color w:val="FF0000"/>
        </w:rPr>
        <w:fldChar w:fldCharType="separate"/>
      </w:r>
      <w:r w:rsidR="00FD57F4" w:rsidRPr="00FD57F4">
        <w:rPr>
          <w:rFonts w:cs="Arial"/>
          <w:szCs w:val="24"/>
          <w:vertAlign w:val="superscript"/>
        </w:rPr>
        <w:t>63</w:t>
      </w:r>
      <w:r w:rsidR="00474B50">
        <w:rPr>
          <w:color w:val="FF0000"/>
        </w:rPr>
        <w:fldChar w:fldCharType="end"/>
      </w:r>
      <w:r>
        <w:t xml:space="preserve"> Consequently, age-standardised 1-year survival for Stage I–III BC ranges from 95.7−100.0</w:t>
      </w:r>
      <w:r w:rsidRPr="00D30D35">
        <w:t>%, and 5-year survival from 73.8–98.7%.</w:t>
      </w:r>
      <w:r w:rsidR="005C555D">
        <w:fldChar w:fldCharType="begin"/>
      </w:r>
      <w:r w:rsidR="00CA6345">
        <w:instrText xml:space="preserve"> ADDIN ZOTERO_ITEM CSL_CITATION {"citationID":"gwEIdsZG","properties":{"formattedCitation":"\\super 24\\nosupersub{}","plainCitation":"24","noteIndex":0},"citationItems":[{"id":65843,"uris":["http://zotero.org/groups/4797619/items/VS53CJPX"],"itemData":{"id":65843,"type":"webpage","abstract":"Cancer survival statistics for adults and children by stage at diagnosis and by different geographical variations.","container-title":"GOV.UK","language":"en","title":"Cancer survival in England for patients diagnosed between 2014 and 2018, and followed up until 2019","URL":"https://www.gov.uk/government/statistics/cancer-survival-in-england-for-patients-diagnosed-between-2014-and-2018-and-followed-up-until-2019","accessed":{"date-parts":[["2022",10,3]]}}}],"schema":"https://github.com/citation-style-language/schema/raw/master/csl-citation.json"} </w:instrText>
      </w:r>
      <w:r w:rsidR="005C555D">
        <w:fldChar w:fldCharType="separate"/>
      </w:r>
      <w:r w:rsidR="00FD57F4" w:rsidRPr="00FD57F4">
        <w:rPr>
          <w:rFonts w:cs="Arial"/>
          <w:szCs w:val="24"/>
          <w:vertAlign w:val="superscript"/>
        </w:rPr>
        <w:t>24</w:t>
      </w:r>
      <w:r w:rsidR="005C555D">
        <w:fldChar w:fldCharType="end"/>
      </w:r>
    </w:p>
    <w:p w14:paraId="5B155BAC" w14:textId="0C291DAD" w:rsidR="002D6844" w:rsidRDefault="002D6844" w:rsidP="002D6844">
      <w:pPr>
        <w:pStyle w:val="Body"/>
      </w:pPr>
      <w:r w:rsidRPr="009B3EE6">
        <w:t xml:space="preserve">Despite the general improvement in BC outcomes over time, </w:t>
      </w:r>
      <w:r>
        <w:t xml:space="preserve">an unmet need remains for those </w:t>
      </w:r>
      <w:r w:rsidRPr="009B3EE6">
        <w:t xml:space="preserve">patients with unresectable (inoperable) Stage III or metastatic (Stage IV) BC </w:t>
      </w:r>
      <w:r w:rsidRPr="00D30D35">
        <w:t>(</w:t>
      </w:r>
      <w:r w:rsidR="009144E1" w:rsidRPr="00BF28E7">
        <w:rPr>
          <w:b/>
          <w:bCs/>
        </w:rPr>
        <w:t>Section</w:t>
      </w:r>
      <w:r w:rsidR="00A85EA1">
        <w:rPr>
          <w:b/>
          <w:bCs/>
        </w:rPr>
        <w:t xml:space="preserve"> </w:t>
      </w:r>
      <w:r w:rsidR="00A85EA1">
        <w:rPr>
          <w:b/>
          <w:bCs/>
        </w:rPr>
        <w:fldChar w:fldCharType="begin"/>
      </w:r>
      <w:r w:rsidR="00A85EA1">
        <w:rPr>
          <w:b/>
          <w:bCs/>
        </w:rPr>
        <w:instrText xml:space="preserve"> REF _Ref126933423 \n \h </w:instrText>
      </w:r>
      <w:r w:rsidR="00A85EA1">
        <w:rPr>
          <w:b/>
          <w:bCs/>
        </w:rPr>
      </w:r>
      <w:r w:rsidR="00A85EA1">
        <w:rPr>
          <w:b/>
          <w:bCs/>
        </w:rPr>
        <w:fldChar w:fldCharType="separate"/>
      </w:r>
      <w:r w:rsidR="00145F42">
        <w:rPr>
          <w:b/>
          <w:bCs/>
        </w:rPr>
        <w:t>B.1.3.4</w:t>
      </w:r>
      <w:r w:rsidR="00A85EA1">
        <w:rPr>
          <w:b/>
          <w:bCs/>
        </w:rPr>
        <w:fldChar w:fldCharType="end"/>
      </w:r>
      <w:r w:rsidRPr="00D30D35">
        <w:t>). Survival outcomes in these patients are poor: 1-year and 5-year age-standardised survival for patients diagnosed with Stage IV BC is 66.2% and 26.6%, respectively.</w:t>
      </w:r>
      <w:r w:rsidR="00B15928">
        <w:rPr>
          <w:color w:val="FF0000"/>
        </w:rPr>
        <w:fldChar w:fldCharType="begin"/>
      </w:r>
      <w:r w:rsidR="00CA6345">
        <w:rPr>
          <w:color w:val="FF0000"/>
        </w:rPr>
        <w:instrText xml:space="preserve"> ADDIN ZOTERO_ITEM CSL_CITATION {"citationID":"evNV7rqM","properties":{"formattedCitation":"\\super 24\\nosupersub{}","plainCitation":"24","noteIndex":0},"citationItems":[{"id":65843,"uris":["http://zotero.org/groups/4797619/items/VS53CJPX"],"itemData":{"id":65843,"type":"webpage","abstract":"Cancer survival statistics for adults and children by stage at diagnosis and by different geographical variations.","container-title":"GOV.UK","language":"en","title":"Cancer survival in England for patients diagnosed between 2014 and 2018, and followed up until 2019","URL":"https://www.gov.uk/government/statistics/cancer-survival-in-england-for-patients-diagnosed-between-2014-and-2018-and-followed-up-until-2019","accessed":{"date-parts":[["2022",10,3]]}}}],"schema":"https://github.com/citation-style-language/schema/raw/master/csl-citation.json"} </w:instrText>
      </w:r>
      <w:r w:rsidR="00B15928">
        <w:rPr>
          <w:color w:val="FF0000"/>
        </w:rPr>
        <w:fldChar w:fldCharType="separate"/>
      </w:r>
      <w:r w:rsidR="00FD57F4" w:rsidRPr="00FD57F4">
        <w:rPr>
          <w:rFonts w:cs="Arial"/>
          <w:szCs w:val="24"/>
          <w:vertAlign w:val="superscript"/>
        </w:rPr>
        <w:t>24</w:t>
      </w:r>
      <w:r w:rsidR="00B15928">
        <w:rPr>
          <w:color w:val="FF0000"/>
        </w:rPr>
        <w:fldChar w:fldCharType="end"/>
      </w:r>
      <w:r w:rsidR="006C34B9">
        <w:rPr>
          <w:color w:val="FF0000"/>
        </w:rPr>
        <w:t xml:space="preserve"> </w:t>
      </w:r>
      <w:r w:rsidRPr="00D30D35">
        <w:t>Patients with mBC also face a greater disease burden than patients with early BC,</w:t>
      </w:r>
      <w:r w:rsidR="00F104EA">
        <w:fldChar w:fldCharType="begin"/>
      </w:r>
      <w:r w:rsidR="00CA6345">
        <w:instrText xml:space="preserve"> ADDIN ZOTERO_ITEM CSL_CITATION {"citationID":"0lMk5yP5","properties":{"formattedCitation":"\\super 28\\nosupersub{}","plainCitation":"28","noteIndex":0},"citationItems":[{"id":66113,"uris":["http://zotero.org/groups/4797619/items/RHJ4MR8W"],"itemData":{"id":66113,"type":"article-journal","abstract":"The impact of different disease stages and treatment for human epidermal growth factor 2 positive (HER2-positive) breast cancer (BC) on work productivity and health-related quality of life (HRQoL) is poorly understood.","container-title":"Health and Quality of Life Outcomes","DOI":"10.1186/s12955-020-01603-w","ISSN":"1477-7525","issue":"1","journalAbbreviation":"Health and Quality of Life Outcomes","page":"353","source":"BioMed Central","title":"Health-related quality of life and work productivity in UK patients with HER2-positive breast cancer: a cross-sectional study evaluating the relationships between disease and treatment stage","title-short":"Health-related quality of life and work productivity in UK patients with HER2-positive breast cancer","volume":"18","author":[{"family":"Verrill","given":"Mark"},{"family":"Wardley","given":"Andrew M."},{"family":"Retzler","given":"Jenny"},{"family":"Smith","given":"Adam B."},{"family":"Bottomley","given":"Catherine"},{"family":"Ní Dhochartaigh","given":"Sorcha"},{"family":"Tran","given":"Irwin"},{"family":"Leslie","given":"Iain"},{"family":"Schmid","given":"Peter"}],"issued":{"date-parts":[["2020",11,2]]}}}],"schema":"https://github.com/citation-style-language/schema/raw/master/csl-citation.json"} </w:instrText>
      </w:r>
      <w:r w:rsidR="00F104EA">
        <w:fldChar w:fldCharType="separate"/>
      </w:r>
      <w:r w:rsidR="00FD57F4" w:rsidRPr="00FD57F4">
        <w:rPr>
          <w:rFonts w:cs="Arial"/>
          <w:szCs w:val="24"/>
          <w:vertAlign w:val="superscript"/>
        </w:rPr>
        <w:t>28</w:t>
      </w:r>
      <w:r w:rsidR="00F104EA">
        <w:fldChar w:fldCharType="end"/>
      </w:r>
      <w:r w:rsidRPr="00D30D35">
        <w:t xml:space="preserve"> as metastases impose symptoms such as seizures, jaundice, and pleural effusion.</w:t>
      </w:r>
      <w:r w:rsidRPr="00D813C5">
        <w:rPr>
          <w:color w:val="FF0000"/>
        </w:rPr>
        <w:t xml:space="preserve"> </w:t>
      </w:r>
      <w:r w:rsidR="00FD65FA">
        <w:rPr>
          <w:color w:val="FF0000"/>
        </w:rPr>
        <w:fldChar w:fldCharType="begin"/>
      </w:r>
      <w:r w:rsidR="00CA6345">
        <w:rPr>
          <w:color w:val="FF0000"/>
        </w:rPr>
        <w:instrText xml:space="preserve"> ADDIN ZOTERO_ITEM CSL_CITATION {"citationID":"Gy3Gz3dA","properties":{"formattedCitation":"\\super 25,26\\nosupersub{}","plainCitation":"25,26","noteIndex":0},"citationItems":[{"id":65914,"uris":["http://zotero.org/groups/4797619/items/VWFBS6EV"],"itemData":{"id":65914,"type":"article-journal","abstract":"The most common symptoms in patients with breast cancer metastases are identified and an overview of their management is provided., Approximately 40,000 women die as a result of breast cancer each year and many more live with advanced disease. When breast cancer recurs, the goals of treatment often shift from one of cure to controlling the disease for as long as possible while palliating symptoms interfering with the patient's functional status and quality of life. This requires ongoing discussions with the patient and family about the goals of care. Many symptoms depend on the site of metastasis, with bone being the most frequent, and commonly occur with fatigue, depression, insomnia, and pain. The purpose of this paper is to identify and provide an overview of the management of the most common symptoms in patients with breast cancer metastases.","container-title":"The Oncologist","DOI":"10.1634/theoncologist.2011-0159","ISSN":"1083-7159","issue":"9","journalAbbreviation":"Oncologist","note":"PMID: 21880861\nPMCID: PMC3228166","page":"1203-1214","source":"PubMed Central","title":"Symptom Management in Metastatic Breast Cancer","volume":"16","author":[{"family":"Irvin","given":"William"},{"family":"Muss","given":"Hyman B."},{"family":"Mayer","given":"Deborah K."}],"issued":{"date-parts":[["2011",9]]}}},{"id":65913,"uris":["http://zotero.org/groups/4797619/items/CJ5T6X82"],"itemData":{"id":65913,"type":"webpage","title":"Symptoms of secondary breast cancer | Cancer Research UK","URL":"https://www.cancerresearchuk.org/about-cancer/breast-cancer/secondary/symptoms","accessed":{"date-parts":[["2022",10,24]]}}}],"schema":"https://github.com/citation-style-language/schema/raw/master/csl-citation.json"} </w:instrText>
      </w:r>
      <w:r w:rsidR="00FD65FA">
        <w:rPr>
          <w:color w:val="FF0000"/>
        </w:rPr>
        <w:fldChar w:fldCharType="separate"/>
      </w:r>
      <w:r w:rsidR="00FD57F4" w:rsidRPr="00FD57F4">
        <w:rPr>
          <w:rFonts w:cs="Arial"/>
          <w:szCs w:val="24"/>
          <w:vertAlign w:val="superscript"/>
        </w:rPr>
        <w:t>25,26</w:t>
      </w:r>
      <w:r w:rsidR="00FD65FA">
        <w:rPr>
          <w:color w:val="FF0000"/>
        </w:rPr>
        <w:fldChar w:fldCharType="end"/>
      </w:r>
      <w:r w:rsidR="005D1531">
        <w:rPr>
          <w:color w:val="FF0000"/>
        </w:rPr>
        <w:t xml:space="preserve"> </w:t>
      </w:r>
      <w:r w:rsidRPr="00D30D35">
        <w:t>Treatment resistance is frequent in advanced disease,</w:t>
      </w:r>
      <w:r w:rsidR="003A5DC0">
        <w:rPr>
          <w:color w:val="FF0000"/>
        </w:rPr>
        <w:fldChar w:fldCharType="begin"/>
      </w:r>
      <w:r w:rsidR="00CA6345">
        <w:rPr>
          <w:color w:val="FF0000"/>
        </w:rPr>
        <w:instrText xml:space="preserve"> ADDIN ZOTERO_ITEM CSL_CITATION {"citationID":"Wr0kGll9","properties":{"formattedCitation":"\\super 41\\nosupersub{}","plainCitation":"41","noteIndex":0},"citationItems":[{"id":65912,"uris":["http://zotero.org/groups/4797619/items/I884832A"],"itemData":{"id":65912,"type":"article-journal","abstract":"Advances in HER2-targeted therapies have improved the survival of patients with HER2-positive breast cancer. The standard-of-care treatment for localized disease has been chemotherapy and 1 year of adjuvant HER2-targeted therapy, typically with the anti-HER2 antibody trastuzumab. Despite the effectiveness of this treatment, disease relapse occurs in a subset of patients; thus, focus has been placed on escalating treatment by either combining different HER2-targeted agents or extending the duration of HER2-targeted therapy. Indeed, dual HER2-targeted therapies and extended-duration anti-HER2 therapy, as well as adjuvant therapy with the anti-HER2 antibody-drug conjugate T-DM1, have all been approved for clinical use. Emerging evidence suggests, however, that some patients do not derive sufficient benefit from these additional therapies to offset the associated toxicities and/or costs. Similarly, the universal use of chemotherapy might not benefit all patients, and treatment de-escalation through omission of chemotherapy has shown promise in clinical trials and is currently being explored further. The future of precision medicine should therefore involve tailoring of therapy based on the genetics and biology of each tumour and the clinical characteristics of each patient. Predictive biomarkers that enable the identification of patients who will benefit from either escalated or de-escalated treatment will be crucial to this approach. In this Review, we summarize the available HER2-targeted agents and associated mechanisms of resistance, and describe the current therapeutic landscape of early stage HER2-positive breast cancer, focusing on strategies for treatment escalation or de-escalation.","container-title":"Nature Reviews. Clinical Oncology","DOI":"10.1038/s41571-019-0299-9","ISSN":"1759-4782","issue":"4","journalAbbreviation":"Nat Rev Clin Oncol","language":"eng","note":"PMID: 31836877\nPMCID: PMC8023395","page":"233-250","source":"PubMed","title":"Towards personalized treatment for early stage HER2-positive breast cancer","volume":"17","author":[{"family":"Goutsouliak","given":"Kristina"},{"family":"Veeraraghavan","given":"Jamunarani"},{"family":"Sethunath","given":"Vidyalakshmi"},{"family":"De Angelis","given":"Carmine"},{"family":"Osborne","given":"C. Kent"},{"family":"Rimawi","given":"Mothaffar F."},{"family":"Schiff","given":"Rachel"}],"issued":{"date-parts":[["2020",4]]}}}],"schema":"https://github.com/citation-style-language/schema/raw/master/csl-citation.json"} </w:instrText>
      </w:r>
      <w:r w:rsidR="003A5DC0">
        <w:rPr>
          <w:color w:val="FF0000"/>
        </w:rPr>
        <w:fldChar w:fldCharType="separate"/>
      </w:r>
      <w:r w:rsidR="00FD57F4" w:rsidRPr="00FD57F4">
        <w:rPr>
          <w:rFonts w:cs="Arial"/>
          <w:szCs w:val="24"/>
          <w:vertAlign w:val="superscript"/>
        </w:rPr>
        <w:t>41</w:t>
      </w:r>
      <w:r w:rsidR="003A5DC0">
        <w:rPr>
          <w:color w:val="FF0000"/>
        </w:rPr>
        <w:fldChar w:fldCharType="end"/>
      </w:r>
      <w:r w:rsidRPr="00D30D35">
        <w:t xml:space="preserve"> which effectively reduces available treatment options.</w:t>
      </w:r>
    </w:p>
    <w:p w14:paraId="3BB3D0CF" w14:textId="0415FFF8" w:rsidR="00502FFA" w:rsidRDefault="007A2F0C" w:rsidP="004D5915">
      <w:pPr>
        <w:pStyle w:val="Body"/>
        <w:rPr>
          <w:rFonts w:cs="Arial"/>
          <w:szCs w:val="24"/>
        </w:rPr>
      </w:pPr>
      <w:r w:rsidRPr="00D30D35">
        <w:t xml:space="preserve">Prognosis and treatment of BC is based on various factors, including disease severity and </w:t>
      </w:r>
      <w:r w:rsidR="008C491D">
        <w:t xml:space="preserve">the </w:t>
      </w:r>
      <w:r w:rsidRPr="00D30D35">
        <w:t xml:space="preserve">presence of specific biomarkers. </w:t>
      </w:r>
      <w:r>
        <w:t>The k</w:t>
      </w:r>
      <w:r w:rsidRPr="00D30D35">
        <w:t>ey biomarkers in BC are HER2 and hormone receptor</w:t>
      </w:r>
      <w:r>
        <w:t xml:space="preserve"> </w:t>
      </w:r>
      <w:r w:rsidRPr="00D30D35">
        <w:t>expression (</w:t>
      </w:r>
      <w:r w:rsidR="00F0578F">
        <w:t>comprising</w:t>
      </w:r>
      <w:r w:rsidR="00F0578F" w:rsidRPr="00D30D35">
        <w:t xml:space="preserve"> </w:t>
      </w:r>
      <w:r w:rsidRPr="00D30D35">
        <w:t>oestrogen and progesterone receptor</w:t>
      </w:r>
      <w:r w:rsidR="0033404D">
        <w:t>s</w:t>
      </w:r>
      <w:r w:rsidRPr="00D30D35">
        <w:t>).</w:t>
      </w:r>
      <w:r>
        <w:fldChar w:fldCharType="begin"/>
      </w:r>
      <w:r w:rsidR="00CA6345">
        <w:instrText xml:space="preserve"> ADDIN ZOTERO_ITEM CSL_CITATION {"citationID":"Xhn7Pivc","properties":{"formattedCitation":"\\super 35,36\\nosupersub{}","plainCitation":"35,36","noteIndex":0},"citationItems":[{"id":65866,"uris":["http://zotero.org/groups/4797619/items/3AESVSNK"],"itemData":{"id":65866,"type":"webpage","abstract":"This guideline covers care and support for people with advanced (stage 4) breast cancer. It aims to help them and their healthcare professionals make shared","language":"eng","note":"publisher: NICE","title":"Advanced breast cancer: diagnosis and treatment | NICE CG81","title-short":"NICE CG81. Recommendations | Advanced breast cancer","URL":"https://www.nice.org.uk/guidance/cg81/chapter/Recommendations","author":[{"family":"NICE","given":""}],"accessed":{"date-parts":[["2022",10,17]]},"issued":{"date-parts":[["2017"]]}}},{"id":65911,"uris":["http://zotero.org/groups/4797619/items/CV2NXX7U"],"itemData":{"id":65911,"type":"webpage","title":"Invasive breast cancer | Cancer Research UK","URL":"https://www.cancerresearchuk.org/about-cancer/breast-cancer/stages-types-grades/types/invasive-breast-cancer","accessed":{"date-parts":[["2022",10,24]]}}}],"schema":"https://github.com/citation-style-language/schema/raw/master/csl-citation.json"} </w:instrText>
      </w:r>
      <w:r>
        <w:fldChar w:fldCharType="separate"/>
      </w:r>
      <w:r w:rsidR="00FD57F4" w:rsidRPr="00FD57F4">
        <w:rPr>
          <w:rFonts w:cs="Arial"/>
          <w:szCs w:val="24"/>
          <w:vertAlign w:val="superscript"/>
        </w:rPr>
        <w:t>35,36</w:t>
      </w:r>
      <w:r>
        <w:fldChar w:fldCharType="end"/>
      </w:r>
      <w:r w:rsidR="00087831">
        <w:t xml:space="preserve"> Under current treatment pathways, patients are classified as either HER2-positive or HER2-negative</w:t>
      </w:r>
      <w:r w:rsidR="00246FDF">
        <w:t>, and hormone re</w:t>
      </w:r>
      <w:r w:rsidR="000A7CD9">
        <w:t>ceptor</w:t>
      </w:r>
      <w:r w:rsidR="00343C90">
        <w:t xml:space="preserve"> </w:t>
      </w:r>
      <w:r w:rsidR="000A7CD9">
        <w:t>positive</w:t>
      </w:r>
      <w:r w:rsidR="00343C90">
        <w:t xml:space="preserve"> (HR-positive)</w:t>
      </w:r>
      <w:r w:rsidR="0076563E">
        <w:t xml:space="preserve"> </w:t>
      </w:r>
      <w:r w:rsidR="000A7CD9">
        <w:t>or</w:t>
      </w:r>
      <w:r w:rsidR="004152B4">
        <w:t xml:space="preserve"> </w:t>
      </w:r>
      <w:r w:rsidR="00343C90">
        <w:t>hormone receptor negative (HR-negative)</w:t>
      </w:r>
      <w:r w:rsidR="000A7CD9">
        <w:t>.</w:t>
      </w:r>
      <w:r w:rsidR="00691663">
        <w:fldChar w:fldCharType="begin"/>
      </w:r>
      <w:r w:rsidR="00CA6345">
        <w:instrText xml:space="preserve"> ADDIN ZOTERO_ITEM CSL_CITATION {"citationID":"CF27Avix","properties":{"formattedCitation":"\\super 38\\nosupersub{}","plainCitation":"38","noteIndex":0},"citationItems":[{"id":65946,"uris":["http://zotero.org/groups/4797619/items/WH43D5QI"],"itemData":{"id":65946,"type":"article-journal","abstract":"About a half of HER2-negative breast cancer (BC) show HER2-low expression that can be targeted by new antibody-drug conjugates. The main aim of this study is to describe the evolution of HER2 expression from primary BC to relapse by including HER2-low category in both primary and recurrent BC samples. Patients with matched primary and relapse BC samples were included. HER2 was evaluated according to ASCO/CAP recommendations in place at the time of diagnosis. A cutoff of &gt;10% cells staining for HER2-positivity was applied. HER2-negative cases were sub-classified as HER2-low (IHC = 1 + /2+ and ISH not amplified), or HER2-0 (IHC-0). 547 patients were included. The proportion of HER2-low cases was 34.2% on the primary tumor and 37.3% on the relapse samples. Among HER2-negative cases, HER2-low status was more frequent in HR-positive vs triple-negative tumors (47.3% vs 35.4% on primary tumor samples, 53.8% vs 36.2% on relapse samples). The overall rate of HER2 discordance was 38.0%, mostly represented by HER2-0 switching to HER2-low (15%) and HER2-low switching to HER2-0 (14%). Among patients with a primary HER2-negative tumor, the rate of HER2 discordance was higher in HR-positive/HER2-negative vs triple-negative cases (45.5% vs 36.7% p = 0.170). This difference was mostly driven by cases switching from HER2-0 to HER2-low. HER2-low expression is highly unstable during disease evolution. Relapse biopsy in case of a primary HER2-0 tumor may open new therapeutic opportunities in a relevant proportion of patients.","container-title":"npj Breast Cancer","DOI":"10.1038/s41523-021-00343-4","ISSN":"2374-4677","issue":"1","language":"en","license":"2021 The Author(s)","note":"number: 1\npublisher: Nature Publishing Group","page":"1-8","source":"www.nature.com","title":"Evolution of HER2-low expression from primary to recurrent breast cancer","volume":"7","author":[{"family":"Miglietta","given":"Federica"},{"family":"Griguolo","given":"Gaia"},{"family":"Bottosso","given":"Michele"},{"family":"Giarratano","given":"Tommaso"},{"family":"Lo Mele","given":"Marcello"},{"family":"Fassan","given":"Matteo"},{"family":"Cacciatore","given":"Matilde"},{"family":"Genovesi","given":"Elisa"},{"family":"De Bartolo","given":"Debora"},{"family":"Vernaci","given":"Grazia"},{"family":"Amato","given":"Ottavia"},{"family":"Conte","given":"PierFranco"},{"family":"Guarneri","given":"Valentina"},{"family":"Dieci","given":"Maria Vittoria"}],"issued":{"date-parts":[["2021",10,12]]}}}],"schema":"https://github.com/citation-style-language/schema/raw/master/csl-citation.json"} </w:instrText>
      </w:r>
      <w:r w:rsidR="00691663">
        <w:fldChar w:fldCharType="separate"/>
      </w:r>
      <w:r w:rsidR="00FD57F4" w:rsidRPr="00FD57F4">
        <w:rPr>
          <w:rFonts w:cs="Arial"/>
          <w:szCs w:val="24"/>
          <w:vertAlign w:val="superscript"/>
        </w:rPr>
        <w:t>38</w:t>
      </w:r>
      <w:r w:rsidR="00691663">
        <w:fldChar w:fldCharType="end"/>
      </w:r>
      <w:r w:rsidR="00087831">
        <w:t xml:space="preserve"> </w:t>
      </w:r>
      <w:r w:rsidRPr="00D813C5">
        <w:fldChar w:fldCharType="begin"/>
      </w:r>
      <w:r>
        <w:instrText xml:space="preserve"> ADDIN EN.CITE &lt;EndNote&gt;&lt;Cite&gt;&lt;Author&gt;NICE&lt;/Author&gt;&lt;Year&gt;16 Aug 2017&lt;/Year&gt;&lt;RecNum&gt;19&lt;/RecNum&gt;&lt;DisplayText&gt;&lt;style face="superscript"&gt;40,42&lt;/style&gt;&lt;/DisplayText&gt;&lt;record&gt;&lt;rec-number&gt;19&lt;/rec-number&gt;&lt;foreign-keys&gt;&lt;key app="EN" db-id="zsraxr2sldvt0herzw7x5028s0efeazsx9r0" timestamp="1632415497"&gt;19&lt;/key&gt;&lt;/foreign-keys&gt;&lt;ref-type name="Journal Article"&gt;17&lt;/ref-type&gt;&lt;contributors&gt;&lt;authors&gt;&lt;author&gt;NICE,&lt;/author&gt;&lt;/authors&gt;&lt;/contributors&gt;&lt;titles&gt;&lt;title&gt;CG81: Advanced breast cancer: diagnosis and treatment&lt;/title&gt;&lt;secondary-title&gt;Available at: https://www.nice.org.uk/guidance/cg81 [last accessed: 23/09/2021]&lt;/secondary-title&gt;&lt;/titles&gt;&lt;periodical&gt;&lt;full-title&gt;Available at: https://www.nice.org.uk/guidance/cg81 [last accessed: 23/09/2021]&lt;/full-title&gt;&lt;/periodical&gt;&lt;dates&gt;&lt;year&gt;16 Aug 2017&lt;/year&gt;&lt;/dates&gt;&lt;urls&gt;&lt;/urls&gt;&lt;/record&gt;&lt;/Cite&gt;&lt;Cite&gt;&lt;Author&gt;Cancer Research UK&lt;/Author&gt;&lt;Year&gt;2020&lt;/Year&gt;&lt;RecNum&gt;34&lt;/RecNum&gt;&lt;record&gt;&lt;rec-number&gt;34&lt;/rec-number&gt;&lt;foreign-keys&gt;&lt;key app="EN" db-id="zsraxr2sldvt0herzw7x5028s0efeazsx9r0" timestamp="1634820573"&gt;34&lt;/key&gt;&lt;/foreign-keys&gt;&lt;ref-type name="Journal Article"&gt;17&lt;/ref-type&gt;&lt;contributors&gt;&lt;authors&gt;&lt;author&gt;Cancer Research UK,&lt;/author&gt;&lt;/authors&gt;&lt;/contributors&gt;&lt;titles&gt;&lt;title&gt;Tests on your breast cancer cells&lt;/title&gt;&lt;secondary-title&gt;Available at: https://www.cancerresearchuk.org/about-cancer/breast-cancer/getting-diagnosed/tests-diagnose/hormone-receptor-testing-breast-cancer [last accessed: 21/10/2021]&lt;/secondary-title&gt;&lt;/titles&gt;&lt;periodical&gt;&lt;full-title&gt;Available at: https://www.cancerresearchuk.org/about-cancer/breast-cancer/getting-diagnosed/tests-diagnose/hormone-receptor-testing-breast-cancer [last accessed: 21/10/2021]&lt;/full-title&gt;&lt;/periodical&gt;&lt;dates&gt;&lt;year&gt;2020&lt;/year&gt;&lt;/dates&gt;&lt;urls&gt;&lt;/urls&gt;&lt;/record&gt;&lt;/Cite&gt;&lt;/EndNote&gt;</w:instrText>
      </w:r>
      <w:r w:rsidRPr="00D813C5">
        <w:fldChar w:fldCharType="separate"/>
      </w:r>
      <w:r w:rsidRPr="00D813C5">
        <w:rPr>
          <w:color w:val="FF0000"/>
        </w:rPr>
        <w:fldChar w:fldCharType="end"/>
      </w:r>
      <w:r>
        <w:rPr>
          <w:color w:val="FF0000"/>
        </w:rPr>
        <w:t xml:space="preserve"> </w:t>
      </w:r>
      <w:r w:rsidR="000E165A" w:rsidRPr="000E165A">
        <w:t xml:space="preserve"> </w:t>
      </w:r>
    </w:p>
    <w:p w14:paraId="749795CC" w14:textId="03298D0D" w:rsidR="00C6369B" w:rsidRPr="000C3D6C" w:rsidRDefault="000E165A" w:rsidP="00C6369B">
      <w:pPr>
        <w:pStyle w:val="Body"/>
      </w:pPr>
      <w:r w:rsidRPr="000C3D6C">
        <w:t>HER2-pos</w:t>
      </w:r>
      <w:r w:rsidR="00207CF6" w:rsidRPr="000C3D6C">
        <w:t>itive</w:t>
      </w:r>
      <w:r w:rsidR="00371A0E" w:rsidRPr="000C3D6C">
        <w:t xml:space="preserve"> </w:t>
      </w:r>
      <w:r w:rsidRPr="000C3D6C">
        <w:t>BC</w:t>
      </w:r>
      <w:r w:rsidR="00946EE1" w:rsidRPr="000C3D6C">
        <w:t xml:space="preserve">, which is present in </w:t>
      </w:r>
      <w:r w:rsidR="0015077D">
        <w:t>13</w:t>
      </w:r>
      <w:r w:rsidR="00EC3831">
        <w:t>–</w:t>
      </w:r>
      <w:r w:rsidR="0015077D">
        <w:t>20%</w:t>
      </w:r>
      <w:r w:rsidR="00001516" w:rsidRPr="000C3D6C">
        <w:t xml:space="preserve"> </w:t>
      </w:r>
      <w:r w:rsidR="00946EE1" w:rsidRPr="000C3D6C">
        <w:t>of patients with BC,</w:t>
      </w:r>
      <w:r w:rsidR="003D3A08">
        <w:fldChar w:fldCharType="begin"/>
      </w:r>
      <w:r w:rsidR="00CA6345">
        <w:instrText xml:space="preserve"> ADDIN ZOTERO_ITEM CSL_CITATION {"citationID":"rGMnRasr","properties":{"formattedCitation":"\\super 56,64\\nosupersub{}","plainCitation":"56,64","noteIndex":0},"citationItems":[{"id":65940,"uris":["http://zotero.org/groups/4797619/items/7UYVWR36"],"itemData":{"id":65940,"type":"article-journal","container-title":"The Journal of Pathology: Clinical Research","DOI":"10.1002/cjp2.173","ISSN":"2056-4538, 2056-4538","issue":"3","journalAbbreviation":"J Pathol Clin Res","language":"en","page":"227-227","source":"DOI.org (Crossref)","title":"Breast cancer biomarkers in clinical testing: analysis of a UK NEQAS ICC &amp; ISH database containing results from 199 300 patients","title-short":"‘Breast cancer biomarkers in clinical testing","volume":"6","author":[{"family":"Dodson","given":"Andrew"},{"family":"Parry","given":"Suzanne"},{"family":"Ibrahim","given":"Merdol"},{"family":"Bartlett","given":"John M. S."},{"family":"Pinder","given":"Sarah E."},{"family":"Dowsett","given":"Mitch"},{"family":"Miller","given":"Keith"}],"issued":{"date-parts":[["2020",7]]}}},{"id":65941,"uris":["http://zotero.org/groups/4797619/items/5UY5TU6N"],"itemData":{"id":65941,"type":"article-journal","abstract":"Human epidermal growth factor receptor 2 (HER2) overexpression is present in approximately 15% of early invasive breast cancers, and is an important predictive and prognostic marker. The substantial benefits achieved with anti-HER2 targeted therapies in patients with HER2-positive breast cancer have emphasised the need for accurate assessment of HER2 status. Current data indicate that HER2 test accuracy improved following previous publication of guidelines and the implementation of an external quality assessment scheme with a decline in false-positive and false-negative rates. This paper provides an update of the guidelines for HER2 testing in the UK. The aim is to further improve the analytical validity and clinical utility of HER2 testing by providing guidelines of test performance parameters, and recommendations on the postanalytical interpretation of test results. HER2 status should be determined in all newly diagnosed and recurrent breast cancers. Testing involves immunohistochemistry with &gt;10% complete strong membrane staining defining a positive status. In situ hybridisation, either fluorescent or bright field chromogenic, is used either upfront or in immunohistochemistry borderline cases to detect the presence of HER2 gene amplification. Situations where repeat HER2 testing is advised are outlined and the impact of genetic heterogeneity is discussed. Strict quality control and external quality assurance of validated assays are essential. Testing laboratories should perform ongoing competency assessment and proficiency tests and ensure the reliability and accuracy of the assay. Pathologists, oncologists and surgeons involved in test interpretation and clinical use should adhere to published guidelines and maintain accurate performance and consistent interpretation of test results.","container-title":"Journal of Clinical Pathology","DOI":"10.1136/jclinpath-2014-202571","ISSN":"1472-4146","issue":"2","journalAbbreviation":"J Clin Pathol","language":"eng","note":"PMID: 25488926\nPMCID: PMC4316916","page":"93-99","source":"PubMed","title":"Updated UK Recommendations for HER2 assessment in breast cancer","volume":"68","author":[{"family":"Rakha","given":"Emad A."},{"family":"Pinder","given":"Sarah E."},{"family":"Bartlett","given":"John M. S."},{"family":"Ibrahim","given":"Merdol"},{"family":"Starczynski","given":"Jane"},{"family":"Carder","given":"Pauline J."},{"family":"Provenzano","given":"Elena"},{"family":"Hanby","given":"Andrew"},{"family":"Hales","given":"Sally"},{"family":"Lee","given":"Andrew H. S."},{"family":"Ellis","given":"Ian O."},{"literal":"National Coordinating Committee for Breast Pathology"}],"issued":{"date-parts":[["2015",2]]}}}],"schema":"https://github.com/citation-style-language/schema/raw/master/csl-citation.json"} </w:instrText>
      </w:r>
      <w:r w:rsidR="003D3A08">
        <w:fldChar w:fldCharType="separate"/>
      </w:r>
      <w:r w:rsidR="00FD57F4" w:rsidRPr="00FD57F4">
        <w:rPr>
          <w:rFonts w:cs="Arial"/>
          <w:szCs w:val="24"/>
          <w:vertAlign w:val="superscript"/>
        </w:rPr>
        <w:t>56,64</w:t>
      </w:r>
      <w:r w:rsidR="003D3A08">
        <w:fldChar w:fldCharType="end"/>
      </w:r>
      <w:r w:rsidR="00F238A8" w:rsidDel="00F238A8">
        <w:t xml:space="preserve"> </w:t>
      </w:r>
      <w:r w:rsidRPr="000C3D6C">
        <w:t>results in aggressive disease</w:t>
      </w:r>
      <w:r w:rsidR="002A12A0" w:rsidRPr="000C3D6C">
        <w:fldChar w:fldCharType="begin"/>
      </w:r>
      <w:r w:rsidR="00CA6345">
        <w:instrText xml:space="preserve"> ADDIN ZOTERO_ITEM CSL_CITATION {"citationID":"sGaMnKAh","properties":{"formattedCitation":"\\super 34\\nosupersub{}","plainCitation":"34","noteIndex":0},"citationItems":[{"id":66211,"uris":["http://zotero.org/groups/4797619/items/9EM59V9B"],"itemData":{"id":66211,"type":"article-journal","abstract":"The HER-2/neu oncogene is a member of the erbB-like oncogene family, and is related to, but distinct from, the epidermal growth\nfactor receptor. This gene has been shown to be amplified in human breast cancer cell lines. In the current study, alterations\nof the gene in 189 primary human breast cancers were investigated. HER-2/neu was found to be amplified from 2- to greater\nthan 20-fold in 30% of the tumors. Correlation of gene amplification with several disease parameters was evaluated. Amplification\nof the HER-2/neu gene was a significant predictor of both overall survival and time to relapse in patients with breast cancer.\nIt retained its significance even when adjustments were made for other known prognostic factors. Moreover, HER-2/neu amplification\nhad greater prognostic value than most currently used prognostic factors, including hormonal-receptor status, in lymph node-positive\ndisease. These data indicate that this gene may play a role in the biologic behavior and/or pathogenesis of human breast cancer.","container-title":"Science (New York, N.Y.)","DOI":"10.1126/science.3798106","journalAbbreviation":"Science (New York, N.Y.)","page":"177-82","source":"ResearchGate","title":"Slamon DJ, Clark GM, Wong SG, Levin WJ, Ullrich A, McGuire WLHuman breast cancer: correlation of relapse and survival with amplification of the HER-2/neu oncogene. Science (Wash DC) 235: 177-182","title-short":"Slamon DJ, Clark GM, Wong SG, Levin WJ, Ullrich A, McGuire WLHuman breast cancer","volume":"235","author":[{"family":"Slamon","given":"Dennis"},{"family":"Clark","given":"Gary"},{"family":"Wong","given":"Steven"},{"family":"Levin","given":"Wendy"},{"family":"Ullrich","given":"Axel"},{"family":"McGuire","given":"William"}],"issued":{"date-parts":[["1987",2,1]]}}}],"schema":"https://github.com/citation-style-language/schema/raw/master/csl-citation.json"} </w:instrText>
      </w:r>
      <w:r w:rsidR="002A12A0" w:rsidRPr="000C3D6C">
        <w:fldChar w:fldCharType="separate"/>
      </w:r>
      <w:r w:rsidR="00FD57F4" w:rsidRPr="00FD57F4">
        <w:rPr>
          <w:rFonts w:cs="Arial"/>
          <w:szCs w:val="24"/>
          <w:vertAlign w:val="superscript"/>
        </w:rPr>
        <w:t>34</w:t>
      </w:r>
      <w:r w:rsidR="002A12A0" w:rsidRPr="000C3D6C">
        <w:fldChar w:fldCharType="end"/>
      </w:r>
      <w:r w:rsidR="00612764" w:rsidRPr="000C3D6C">
        <w:t xml:space="preserve"> </w:t>
      </w:r>
      <w:r w:rsidRPr="000C3D6C">
        <w:t>that responds poorly to conventional chemotherapy.</w:t>
      </w:r>
      <w:r w:rsidR="002C4060" w:rsidRPr="000C3D6C">
        <w:fldChar w:fldCharType="begin"/>
      </w:r>
      <w:r w:rsidR="00CA6345">
        <w:instrText xml:space="preserve"> ADDIN ZOTERO_ITEM CSL_CITATION {"citationID":"F5oMtU5g","properties":{"formattedCitation":"\\super 60\\nosupersub{}","plainCitation":"60","noteIndex":0},"citationItems":[{"id":65920,"uris":["http://zotero.org/groups/4797619/items/NT8PXFFR"],"itemData":{"id":65920,"type":"article-journal","abstract":"Breast cancer is the second leading cause of cancer deaths among women. The development of breast cancer is a multi-step process involving multiple cell types, and its prevention remains challenging in the world. Early diagnosis of breast cancer is one of the best approaches to prevent this disease. In some developed countries, the 5-year relative survival rate of breast cancer patients is above 80% due to early prevention. In the recent decade, great progress has been made in the understanding of breast cancer as well as in the development of preventative methods. The pathogenesis and tumor drug-resistant mechanisms are revealed by discovering breast cancer stem cells, and many genes are found related to breast cancer. Currently, people have more drug options for the chemoprevention of breast cancer, while biological prevention has been recently developed to improve patients' quality of life. In this review, we will summarize key studies of pathogenesis, related genes, risk factors and preventative methods on breast cancer over the past years. These findings represent a small step in the long fight against breast cancer.","container-title":"International Journal of Biological Sciences","DOI":"10.7150/ijbs.21635","ISSN":"1449-2288","issue":"11","journalAbbreviation":"Int J Biol Sci","language":"eng","note":"PMID: 29209143\nPMCID: PMC5715522","page":"1387-1397","source":"PubMed","title":"Risk Factors and Preventions of Breast Cancer","volume":"13","author":[{"family":"Sun","given":"Yi-Sheng"},{"family":"Zhao","given":"Zhao"},{"family":"Yang","given":"Zhang-Nv"},{"family":"Xu","given":"Fang"},{"family":"Lu","given":"Hang-Jing"},{"family":"Zhu","given":"Zhi-Yong"},{"family":"Shi","given":"Wen"},{"family":"Jiang","given":"Jianmin"},{"family":"Yao","given":"Ping-Ping"},{"family":"Zhu","given":"Han-Ping"}],"issued":{"date-parts":[["2017"]]}}}],"schema":"https://github.com/citation-style-language/schema/raw/master/csl-citation.json"} </w:instrText>
      </w:r>
      <w:r w:rsidR="002C4060" w:rsidRPr="000C3D6C">
        <w:fldChar w:fldCharType="separate"/>
      </w:r>
      <w:r w:rsidR="00FD57F4" w:rsidRPr="00FD57F4">
        <w:rPr>
          <w:rFonts w:cs="Arial"/>
          <w:szCs w:val="24"/>
          <w:vertAlign w:val="superscript"/>
        </w:rPr>
        <w:t>60</w:t>
      </w:r>
      <w:r w:rsidR="002C4060" w:rsidRPr="000C3D6C">
        <w:fldChar w:fldCharType="end"/>
      </w:r>
      <w:r w:rsidRPr="000C3D6C">
        <w:t xml:space="preserve"> </w:t>
      </w:r>
      <w:r w:rsidR="00893B41" w:rsidRPr="000C3D6C">
        <w:t>A</w:t>
      </w:r>
      <w:r w:rsidR="00EC7A97" w:rsidRPr="000C3D6C">
        <w:t>nti-</w:t>
      </w:r>
      <w:r w:rsidR="00C6369B" w:rsidRPr="000C3D6C">
        <w:t xml:space="preserve">HER2 treatments </w:t>
      </w:r>
      <w:r w:rsidR="00BA0550" w:rsidRPr="000C3D6C">
        <w:t xml:space="preserve">have </w:t>
      </w:r>
      <w:r w:rsidR="00C53E1B" w:rsidRPr="002646F6">
        <w:t>markedly</w:t>
      </w:r>
      <w:r w:rsidR="00C6369B" w:rsidRPr="002646F6">
        <w:t xml:space="preserve"> improve</w:t>
      </w:r>
      <w:r w:rsidR="00C53E1B" w:rsidRPr="002646F6">
        <w:t>d</w:t>
      </w:r>
      <w:r w:rsidR="00C6369B" w:rsidRPr="002646F6">
        <w:t xml:space="preserve"> </w:t>
      </w:r>
      <w:r w:rsidR="00342C06" w:rsidRPr="002646F6">
        <w:t>survival outcomes</w:t>
      </w:r>
      <w:r w:rsidR="00C6369B" w:rsidRPr="002646F6">
        <w:t xml:space="preserve"> </w:t>
      </w:r>
      <w:r w:rsidR="00C6369B" w:rsidRPr="000C3D6C">
        <w:t>vs. non-targeted chemotherapy</w:t>
      </w:r>
      <w:r w:rsidR="004030DE" w:rsidRPr="000C3D6C">
        <w:fldChar w:fldCharType="begin"/>
      </w:r>
      <w:r w:rsidR="00CA6345">
        <w:instrText xml:space="preserve"> ADDIN ZOTERO_ITEM CSL_CITATION {"citationID":"tLxcfFmV","properties":{"formattedCitation":"\\super 37,41\\nosupersub{}","plainCitation":"37,41","noteIndex":0},"citationItems":[{"id":65912,"uris":["http://zotero.org/groups/4797619/items/I884832A"],"itemData":{"id":65912,"type":"article-journal","abstract":"Advances in HER2-targeted therapies have improved the survival of patients with HER2-positive breast cancer. The standard-of-care treatment for localized disease has been chemotherapy and 1 year of adjuvant HER2-targeted therapy, typically with the anti-HER2 antibody trastuzumab. Despite the effectiveness of this treatment, disease relapse occurs in a subset of patients; thus, focus has been placed on escalating treatment by either combining different HER2-targeted agents or extending the duration of HER2-targeted therapy. Indeed, dual HER2-targeted therapies and extended-duration anti-HER2 therapy, as well as adjuvant therapy with the anti-HER2 antibody-drug conjugate T-DM1, have all been approved for clinical use. Emerging evidence suggests, however, that some patients do not derive sufficient benefit from these additional therapies to offset the associated toxicities and/or costs. Similarly, the universal use of chemotherapy might not benefit all patients, and treatment de-escalation through omission of chemotherapy has shown promise in clinical trials and is currently being explored further. The future of precision medicine should therefore involve tailoring of therapy based on the genetics and biology of each tumour and the clinical characteristics of each patient. Predictive biomarkers that enable the identification of patients who will benefit from either escalated or de-escalated treatment will be crucial to this approach. In this Review, we summarize the available HER2-targeted agents and associated mechanisms of resistance, and describe the current therapeutic landscape of early stage HER2-positive breast cancer, focusing on strategies for treatment escalation or de-escalation.","container-title":"Nature Reviews. Clinical Oncology","DOI":"10.1038/s41571-019-0299-9","ISSN":"1759-4782","issue":"4","journalAbbreviation":"Nat Rev Clin Oncol","language":"eng","note":"PMID: 31836877\nPMCID: PMC8023395","page":"233-250","source":"PubMed","title":"Towards personalized treatment for early stage HER2-positive breast cancer","volume":"17","author":[{"family":"Goutsouliak","given":"Kristina"},{"family":"Veeraraghavan","given":"Jamunarani"},{"family":"Sethunath","given":"Vidyalakshmi"},{"family":"De Angelis","given":"Carmine"},{"family":"Osborne","given":"C. Kent"},{"family":"Rimawi","given":"Mothaffar F."},{"family":"Schiff","given":"Rachel"}],"issued":{"date-parts":[["2020",4]]}}},{"id":66209,"uris":["http://zotero.org/groups/4797619/items/6LM9KQ5C"],"itemData":{"id":66209,"type":"article-journal","abstract":"The introduction of anti-HER2 therapies to the treatment of patients with HER2-positive breast cancer has led to dramatic improvements in survival in both early and advanced settings. Despite this breakthrough, nearly all patients with metastatic HER2-positive breast cancer eventually progress on anti-HER2 therapy due to de novo or acquired resistance. A better understanding not only of the underlying mechanisms of HER2 therapy resistance but of tumor heterogeneity as well as the host and tumor microenvironment is essential for the development of new strategies to further improve patient outcomes. One strategy has focused on inhibiting the HER2 signaling pathway more effectively with dual-blockade approaches and developing improved anti-HER2 therapies like antibody-drug conjugates, new anti-HER2 antibodies, bispecific antibodies, or novel tyrosine kinase inhibitors that might replace or be used in addition to some of the current anti-HER2 treatments. Combinations of anti-HER2 therapy with other agents like immune checkpoint inhibitors, CDK4/6 inhibitors, and PI3K/AKT/mTOR inhibitors are also being extensively evaluated in clinical trials. These add-on strategies of combining optimized targeted therapies could potentially improve outcomes for patients with HER2-positive breast cancer but may also allow de-escalation of treatment in some patients, potentially sparing some from unnecessary treatments, and their related toxicities and costs.","container-title":"Therapeutic Advances in Medical Oncology","DOI":"10.1177/1758835919833519","ISSN":"1758-8340","journalAbbreviation":"Ther Adv Med Oncol","language":"eng","note":"PMID: 30911337\nPMCID: PMC6425535","page":"1758835919833519","source":"PubMed","title":"HER2-positive breast cancer: new therapeutic frontiers and overcoming resistance","title-short":"HER2-positive breast cancer","volume":"11","author":[{"family":"Pernas","given":"Sonia"},{"family":"Tolaney","given":"Sara M."}],"issued":{"date-parts":[["2019"]]}}}],"schema":"https://github.com/citation-style-language/schema/raw/master/csl-citation.json"} </w:instrText>
      </w:r>
      <w:r w:rsidR="004030DE" w:rsidRPr="000C3D6C">
        <w:fldChar w:fldCharType="separate"/>
      </w:r>
      <w:r w:rsidR="00FD57F4" w:rsidRPr="00FD57F4">
        <w:rPr>
          <w:rFonts w:cs="Arial"/>
          <w:szCs w:val="24"/>
          <w:vertAlign w:val="superscript"/>
        </w:rPr>
        <w:t>37,41</w:t>
      </w:r>
      <w:r w:rsidR="004030DE" w:rsidRPr="000C3D6C">
        <w:fldChar w:fldCharType="end"/>
      </w:r>
      <w:r w:rsidR="00494208" w:rsidRPr="000C3D6C">
        <w:t xml:space="preserve"> </w:t>
      </w:r>
      <w:r w:rsidR="00615B58" w:rsidRPr="000C3D6C">
        <w:t xml:space="preserve">and have </w:t>
      </w:r>
      <w:r w:rsidR="00494208" w:rsidRPr="000C3D6C">
        <w:t xml:space="preserve">become the standard of care </w:t>
      </w:r>
      <w:r w:rsidR="00615B58" w:rsidRPr="000C3D6C">
        <w:t>in HER2-positive</w:t>
      </w:r>
      <w:r w:rsidR="00B05B43">
        <w:t xml:space="preserve"> unresectable or metastatic BC</w:t>
      </w:r>
      <w:r w:rsidR="00615B58" w:rsidRPr="000C3D6C">
        <w:t xml:space="preserve"> </w:t>
      </w:r>
      <w:r w:rsidR="00B05B43">
        <w:t>(</w:t>
      </w:r>
      <w:r w:rsidR="00615B58" w:rsidRPr="000C3D6C">
        <w:t>u/mBC</w:t>
      </w:r>
      <w:r w:rsidR="00B05B43">
        <w:t>)</w:t>
      </w:r>
      <w:r w:rsidR="00494208" w:rsidRPr="000C3D6C">
        <w:t>.</w:t>
      </w:r>
      <w:r w:rsidR="00E0781E" w:rsidRPr="000C3D6C">
        <w:t xml:space="preserve"> </w:t>
      </w:r>
      <w:r w:rsidR="000767E8" w:rsidRPr="000C3D6C">
        <w:t>In first</w:t>
      </w:r>
      <w:r w:rsidR="005457CA">
        <w:t xml:space="preserve"> </w:t>
      </w:r>
      <w:r w:rsidR="000767E8" w:rsidRPr="000C3D6C">
        <w:t xml:space="preserve">line, </w:t>
      </w:r>
      <w:r w:rsidR="00C6369B" w:rsidRPr="000C3D6C">
        <w:t xml:space="preserve">pertuzumab with trastuzumab and docetaxel </w:t>
      </w:r>
      <w:r w:rsidR="00CB4737" w:rsidRPr="000C3D6C">
        <w:t>is</w:t>
      </w:r>
      <w:r w:rsidR="00C6369B" w:rsidRPr="000C3D6C">
        <w:t xml:space="preserve"> associated with a median </w:t>
      </w:r>
      <w:r w:rsidR="00511A6A" w:rsidRPr="000C3D6C">
        <w:t>progression-free survival</w:t>
      </w:r>
      <w:r w:rsidR="000C3D6C">
        <w:t xml:space="preserve"> (PFS)</w:t>
      </w:r>
      <w:r w:rsidR="00A94DDB" w:rsidRPr="000C3D6C">
        <w:t xml:space="preserve"> </w:t>
      </w:r>
      <w:r w:rsidR="00C6369B" w:rsidRPr="000C3D6C">
        <w:t xml:space="preserve">and </w:t>
      </w:r>
      <w:r w:rsidR="00511A6A" w:rsidRPr="000C3D6C">
        <w:t xml:space="preserve">median </w:t>
      </w:r>
      <w:r w:rsidR="009F1817">
        <w:t>OS</w:t>
      </w:r>
      <w:r w:rsidR="00C6369B" w:rsidRPr="000C3D6C">
        <w:t xml:space="preserve"> of 18.7 months and 56.5 months</w:t>
      </w:r>
      <w:r w:rsidR="002B6F5B">
        <w:t>, respectively</w:t>
      </w:r>
      <w:r w:rsidR="00C6369B" w:rsidRPr="000C3D6C">
        <w:t>.</w:t>
      </w:r>
      <w:r w:rsidR="00AD099A" w:rsidRPr="000C3D6C">
        <w:fldChar w:fldCharType="begin"/>
      </w:r>
      <w:r w:rsidR="00CA6345">
        <w:instrText xml:space="preserve"> ADDIN ZOTERO_ITEM CSL_CITATION {"citationID":"B7XDGhXS","properties":{"formattedCitation":"\\super 40,65\\nosupersub{}","plainCitation":"40,65","noteIndex":0},"citationItems":[{"id":65879,"uris":["http://zotero.org/groups/4797619/items/TIXIRI4S"],"itemData":{"id":65879,"type":"webpage","abstract":"Evidence-based recommendations on pertuzumab (Perjeta) for treating HER2</w:instrText>
      </w:r>
      <w:r w:rsidR="00CA6345">
        <w:rPr>
          <w:rFonts w:ascii="Cambria Math" w:hAnsi="Cambria Math" w:cs="Cambria Math"/>
        </w:rPr>
        <w:instrText>‑</w:instrText>
      </w:r>
      <w:r w:rsidR="00CA6345">
        <w:instrText xml:space="preserve">positive, locally recurrent or metastatic (secondary) breast cancer that has not been","language":"eng","note":"publisher: NICE","title":"Pertuzumab with trastuzumab and docetaxel for treating HER2-positive breast cancer | NICE [TA509]","URL":"https://www.nice.org.uk/guidance/TA509","author":[{"family":"NICE","given":""}],"accessed":{"date-parts":[["2022",9,29]]}}},{"id":66208,"uris":["http://zotero.org/groups/4797619/items/KWKE3I8M"],"itemData":{"id":66208,"type":"article-journal","abstract":"BACKGROUND: In patients with metastatic breast cancer that is positive for human epidermal growth factor receptor 2 (HER2), progression-free survival was significantly improved after first-line therapy with pertuzumab, trastuzumab, and docetaxel, as compared with placebo, trastuzumab, and docetaxel. Overall survival was significantly improved with pertuzumab in an interim analysis without the median being reached. We report final prespecified overall survival results with a median follow-up of 50 months.\nMETHODS: We randomly assigned patients with metastatic breast cancer who had not received previous chemotherapy or anti-HER2 therapy for their metastatic disease to receive the pertuzumab combination or the placebo combination. The secondary end points of overall survival, investigator-assessed progression-free survival, independently assessed duration of response, and safety are reported. Sensitivity analyses were adjusted for patients who crossed over from placebo to pertuzumab after the interim analysis.\nRESULTS: The median overall survival was 56.5 months (95% confidence interval [CI], 49.3 to not reached) in the group receiving the pertuzumab combination, as compared with 40.8 months (95% CI, 35.8 to 48.3) in the group receiving the placebo combination (hazard ratio favoring the pertuzumab group, 0.68; 95% CI, 0.56 to 0.84; P&lt;0.001), a difference of 15.7 months. This analysis was not adjusted for crossover to the pertuzumab group and is therefore conservative. Results of sensitivity analyses after adjustment for crossover were consistent. Median progression-free survival as assessed by investigators improved by 6.3 months in the pertuzumab group (hazard ratio, 0.68; 95% CI, 0.58 to 0.80). Pertuzumab extended the median duration of response by 7.7 months, as independently assessed. Most adverse events occurred during the administration of docetaxel in the two groups, with long-term cardiac safety maintained.\nCONCLUSIONS: In patients with HER2-positive metastatic breast cancer, the addition of pertuzumab to trastuzumab and docetaxel, as compared with the addition of placebo, significantly improved the median overall survival to 56.5 months and extended the results of previous analyses showing the efficacy of this drug combination. (Funded by F. Hoffmann-La Roche and Genentech; CLEOPATRA ClinicalTrials.gov number, NCT00567190.).","container-title":"The New England Journal of Medicine","DOI":"10.1056/NEJMoa1413513","ISSN":"1533-4406","issue":"8","journalAbbreviation":"N Engl J Med","language":"eng","note":"PMID: 25693012\nPMCID: PMC5584549","page":"724-734","source":"PubMed","title":"Pertuzumab, trastuzumab, and docetaxel in HER2-positive metastatic breast cancer","volume":"372","author":[{"family":"Swain","given":"Sandra M."},{"family":"Baselga","given":"José"},{"family":"Kim","given":"Sung-Bae"},{"family":"Ro","given":"Jungsil"},{"family":"Semiglazov","given":"Vladimir"},{"family":"Campone","given":"Mario"},{"family":"Ciruelos","given":"Eva"},{"family":"Ferrero","given":"Jean-Marc"},{"family":"Schneeweiss","given":"Andreas"},{"family":"Heeson","given":"Sarah"},{"family":"Clark","given":"Emma"},{"family":"Ross","given":"Graham"},{"family":"Benyunes","given":"Mark C."},{"family":"Cortés","given":"Javier"},{"literal":"CLEOPATRA Study Group"}],"issued":{"date-parts":[["2015",2,19]]}}}],"schema":"https://github.com/citation-style-language/schema/raw/master/csl-citation.json"} </w:instrText>
      </w:r>
      <w:r w:rsidR="00AD099A" w:rsidRPr="000C3D6C">
        <w:fldChar w:fldCharType="separate"/>
      </w:r>
      <w:r w:rsidR="00FD57F4" w:rsidRPr="00FD57F4">
        <w:rPr>
          <w:rFonts w:cs="Arial"/>
          <w:szCs w:val="24"/>
          <w:vertAlign w:val="superscript"/>
        </w:rPr>
        <w:t>40,65</w:t>
      </w:r>
      <w:r w:rsidR="00AD099A" w:rsidRPr="000C3D6C">
        <w:fldChar w:fldCharType="end"/>
      </w:r>
      <w:r w:rsidR="00C6369B" w:rsidRPr="000C3D6C">
        <w:t xml:space="preserve"> </w:t>
      </w:r>
      <w:r w:rsidR="00CB4737" w:rsidRPr="002646F6">
        <w:t xml:space="preserve">In second-line, </w:t>
      </w:r>
      <w:r w:rsidR="008424A8">
        <w:t xml:space="preserve">trastuzumab emtansine </w:t>
      </w:r>
      <w:r w:rsidR="00585287">
        <w:t>(</w:t>
      </w:r>
      <w:r w:rsidR="00A54C3F" w:rsidRPr="000C3D6C">
        <w:t>T</w:t>
      </w:r>
      <w:r w:rsidR="00A54C3F" w:rsidRPr="000C3D6C">
        <w:noBreakHyphen/>
        <w:t>DM1</w:t>
      </w:r>
      <w:r w:rsidR="00585287">
        <w:t>)</w:t>
      </w:r>
      <w:r w:rsidR="00817801">
        <w:t>, which</w:t>
      </w:r>
      <w:r w:rsidR="00A54C3F" w:rsidRPr="000C3D6C">
        <w:t xml:space="preserve"> </w:t>
      </w:r>
      <w:r w:rsidR="00255239">
        <w:t xml:space="preserve">has been </w:t>
      </w:r>
      <w:r w:rsidR="00817801">
        <w:t xml:space="preserve">available since 2014 (via the CDF) and </w:t>
      </w:r>
      <w:r w:rsidR="00817801" w:rsidRPr="000C3D6C">
        <w:t>was</w:t>
      </w:r>
      <w:r w:rsidR="00A54C3F" w:rsidRPr="000C3D6C">
        <w:t xml:space="preserve"> recommended by NICE </w:t>
      </w:r>
      <w:r w:rsidR="00E90814" w:rsidRPr="000C3D6C">
        <w:t>in 201</w:t>
      </w:r>
      <w:r w:rsidR="002E1ACD">
        <w:t>7</w:t>
      </w:r>
      <w:r w:rsidR="00817801">
        <w:t>,</w:t>
      </w:r>
      <w:r w:rsidR="00A54C3F" w:rsidRPr="000C3D6C">
        <w:t xml:space="preserve"> is associated with a </w:t>
      </w:r>
      <w:r w:rsidR="00511A6A" w:rsidRPr="000C3D6C">
        <w:t>m</w:t>
      </w:r>
      <w:r w:rsidR="002E5043">
        <w:t xml:space="preserve">edian </w:t>
      </w:r>
      <w:r w:rsidR="00A54C3F" w:rsidRPr="000C3D6C">
        <w:t xml:space="preserve">PFS and </w:t>
      </w:r>
      <w:r w:rsidR="00511A6A" w:rsidRPr="000C3D6C">
        <w:t>m</w:t>
      </w:r>
      <w:r w:rsidR="002E5043">
        <w:t xml:space="preserve">edian </w:t>
      </w:r>
      <w:r w:rsidR="00A54C3F" w:rsidRPr="000C3D6C">
        <w:t>OS of 9.</w:t>
      </w:r>
      <w:r w:rsidR="00FE305E">
        <w:t>4</w:t>
      </w:r>
      <w:r w:rsidR="00A54C3F" w:rsidRPr="000C3D6C">
        <w:t xml:space="preserve"> and 29.9 months</w:t>
      </w:r>
      <w:r w:rsidR="00AC4989">
        <w:t>, respectively</w:t>
      </w:r>
      <w:r w:rsidR="003C3098" w:rsidRPr="000C3D6C">
        <w:t>.</w:t>
      </w:r>
      <w:r w:rsidR="00A54C3F" w:rsidRPr="000C3D6C">
        <w:fldChar w:fldCharType="begin"/>
      </w:r>
      <w:r w:rsidR="00CA6345">
        <w:instrText xml:space="preserve"> ADDIN ZOTERO_ITEM CSL_CITATION {"citationID":"PwONERVC","properties":{"formattedCitation":"\\super 66,67\\nosupersub{}","plainCitation":"66,67","noteIndex":0},"citationItems":[{"id":66203,"uris":["http://zotero.org/groups/4797619/items/GCCMFJJ4"],"itemData":{"id":66203,"type":"article-journal","abstract":"BACKGROUND: The antibody-drug conjugate trastuzumab emtansine is indicated for the treatment of patients with HER2-positive metastatic breast cancer previously treated with trastuzumab and a taxane. Approval of this drug was based on progression-free survival and interim overall survival data from the phase 3 EMILIA study. In this report, we present a descriptive analysis of the final overall survival data from that trial.\nMETHODS: EMILIA was a randomised, international, open-label, phase 3 study of men and women aged 18 years or older with HER2-positive unresectable, locally advanced or metastatic breast cancer previously treated with trastuzumab and a taxane. Enrolled patients were randomly assigned (1:1) via a hierarchical, dynamic randomisation scheme and an interactive voice response system to trastuzumab emtansine (3·6 mg/kg intravenously every 3 weeks) or control (capecitabine 1000 mg/m2 self-administered orally twice daily on days 1-14 on each 21-day cycle, plus lapatinib 1250 mg orally once daily on days 1-21). Randomisation was stratified by world region (USA vs western Europe vs or other), number of previous chemotherapy regimens for unresectable, locally advanced, or metastatic disease (0 or 1 vs &gt;1), and disease involvement (visceral vs non-visceral). The coprimary efficacy endpoints were progression-free survival (per independent review committee assessment) and overall survival. Efficacy was analysed in the intention-to-treat population; safety was analysed in all patients who received at least one dose of study treatment, with patients analysed according to the treatment actually received. On May 30, 2012, the study protocol was amended to allow crossover from control to trastuzumab emtansine after the second interim overall survival analysis crossed the prespecified overall survival efficacy boundary. This study is registered with ClinicalTrials.gov, number NCT00829166.\nFINDINGS: Between Feb 23, 2009, and Oct 13, 2011, 991 eligible patients were enrolled and randomly assigned to either trastuzumab emtansine (n=495) or capecitabine and lapatinib (control; n=496). In this final descriptive analysis, median overall survival was longer with trastuzumab emtansine than with control (29·9 months [95% CI 26·3-34·1] vs 25·9 months [95% CI 22·7-28·3]; hazard ratio 0·75 [95% CI 0·64-0·88]). 136 (27%) of 496 patients crossed over from control to trastuzumab emtansine after the second interim overall survival analysis (median follow-up duration 24·1 months [IQR 19·5-26·1]). Of those patients originally randomly assigned to trastuzumab emtansine, 254 (51%) of 495 received capecitabine and 241 [49%] of 495 received lapatinib (separately or in combination) after study drug discontinuation. In the safety population (488 patients treated with capecitabine plus lapatinib, 490 patients treated with trastuzumab emtansine), fewer grade 3 or worse adverse events occurred with trastuzumab emtansine (233 [48%] of 490) than with capecitabine plus lapatinib control treatment (291 [60%] of 488). In the control group, the most frequently reported grade 3 or worse adverse events were diarrhoea (103 [21%] of 488 patients) followed by palmar-plantar erythrodysaesthesia syndrome (87 [18%]), and vomiting (24 [5%]). The safety profile of trastuzumab emtansine was similar to that reported previously; the most frequently reported grade 3 or worse adverse events in the trastuzumab emtansine group were thrombocytopenia (70 [14%] of 490), increased aspartate aminotransferase levels (22 [5%]), and anaemia (19 [4%]). Nine patients died from adverse events; five of these deaths were judged to be related to treatment (two in the control group [coronary artery disease and multiorgan failure] and three in the trastuzumab emtansine group [metabolic encephalopathy, neutropenic sepsis, and acute myeloid leukaemia]).\nINTERPRETATION: This descriptive analysis of final overall survival in the EMILIA trial shows that trastuzumab emtansine improved overall survival in patients with previously treated HER2-positive metastatic breast cancer even in the presence of crossover treatment. The safety profile was similar to that reported in previous analyses, reaffirming trastuzumab emtansine as an efficacious and tolerable treatment in this patient population.\nFUNDING: F Hoffmann-La Roche/Genentech.","container-title":"The Lancet. Oncology","DOI":"10.1016/S1470-2045(17)30312-1","ISSN":"1474-5488","issue":"6","journalAbbreviation":"Lancet Oncol","language":"eng","note":"PMID: 28526536\nPMCID: PMC5531181","page":"732-742","source":"PubMed","title":"Trastuzumab emtansine versus capecitabine plus lapatinib in patients with previously treated HER2-positive advanced breast cancer (EMILIA): a descriptive analysis of final overall survival results from a randomised, open-label, phase 3 trial","title-short":"Trastuzumab emtansine versus capecitabine plus lapatinib in patients with previously treated HER2-positive advanced breast cancer (EMILIA)","volume":"18","author":[{"family":"Diéras","given":"Véronique"},{"family":"Miles","given":"David"},{"family":"Verma","given":"Sunil"},{"family":"Pegram","given":"Mark"},{"family":"Welslau","given":"Manfred"},{"family":"Baselga","given":"José"},{"family":"Krop","given":"Ian E."},{"family":"Blackwell","given":"Kim"},{"family":"Hoersch","given":"Silke"},{"family":"Xu","given":"Jin"},{"family":"Green","given":"Marjorie"},{"family":"Gianni","given":"Luca"}],"issued":{"date-parts":[["2017",6]]}}},{"id":66202,"uris":["http://zotero.org/groups/4797619/items/73NV87CG"],"itemData":{"id":66202,"type":"article-journal","abstract":"Amplification of human epidermal growth factor receptor 2 (HER2, also called ErbB2) occurs in approximately 20% of breast cancers and is associated with shortened survival.1–3 Combining HER2-targeted agents with standard chemotherapy is an effective therapeutic approach for patients with HER2-positive metastatic breast cancer. When combined with first-line chemotherapy, trastuzumab increases the time to progression and overall survival among patients with metastatic disease.4,5 The addition of lapatinib to capecitabine increases the time to progression in patients previously treated with trastuzumab, an anthracycline, and a taxane,6 and this combination is a standard option for disease progression with trastuzumab. Trastuzumab emtansine . . .","container-title":"New England Journal of Medicine","DOI":"10.1056/NEJMoa1209124","ISSN":"0028-4793","issue":"19","note":"publisher: Massachusetts Medical Society\n_eprint: https://doi.org/10.1056/NEJMoa1209124\nPMID: 23020162","page":"1783-1791","source":"Taylor and Francis+NEJM","title":"Trastuzumab Emtansine for HER2-Positive Advanced Breast Cancer","volume":"367","author":[{"family":"Verma","given":"Sunil"},{"family":"Miles","given":"David"},{"family":"Gianni","given":"Luca"},{"family":"Krop","given":"Ian E."},{"family":"Welslau","given":"Manfred"},{"family":"Baselga","given":"José"},{"family":"Pegram","given":"Mark"},{"family":"Oh","given":"Do-Youn"},{"family":"Diéras","given":"Véronique"},{"family":"Guardino","given":"Ellie"},{"family":"Fang","given":"Liang"},{"family":"Lu","given":"Michael W."},{"family":"Olsen","given":"Steven"},{"family":"Blackwell","given":"Kim"}],"issued":{"date-parts":[["2012",11,8]]}}}],"schema":"https://github.com/citation-style-language/schema/raw/master/csl-citation.json"} </w:instrText>
      </w:r>
      <w:r w:rsidR="00A54C3F" w:rsidRPr="000C3D6C">
        <w:fldChar w:fldCharType="separate"/>
      </w:r>
      <w:r w:rsidR="00FD57F4" w:rsidRPr="00FD57F4">
        <w:rPr>
          <w:rFonts w:cs="Arial"/>
          <w:szCs w:val="24"/>
          <w:vertAlign w:val="superscript"/>
        </w:rPr>
        <w:t>66,67</w:t>
      </w:r>
      <w:r w:rsidR="00A54C3F" w:rsidRPr="000C3D6C">
        <w:fldChar w:fldCharType="end"/>
      </w:r>
      <w:r w:rsidR="00140977" w:rsidRPr="000C3D6C">
        <w:t xml:space="preserve"> </w:t>
      </w:r>
      <w:r w:rsidR="009D18BF">
        <w:t>Recently</w:t>
      </w:r>
      <w:r w:rsidR="004A28EE">
        <w:t xml:space="preserve"> (Feb</w:t>
      </w:r>
      <w:r w:rsidR="00B031C0">
        <w:t>ruary</w:t>
      </w:r>
      <w:r w:rsidR="004A28EE">
        <w:t xml:space="preserve"> 2023)</w:t>
      </w:r>
      <w:r w:rsidR="009D18BF">
        <w:t>,</w:t>
      </w:r>
      <w:r w:rsidR="00674DE7">
        <w:t xml:space="preserve"> </w:t>
      </w:r>
      <w:r w:rsidR="009D18BF" w:rsidRPr="000C3D6C">
        <w:t xml:space="preserve">T-DXd received a positive </w:t>
      </w:r>
      <w:r w:rsidR="00395503">
        <w:t xml:space="preserve">NICE </w:t>
      </w:r>
      <w:r w:rsidR="009D18BF" w:rsidRPr="000C3D6C">
        <w:t xml:space="preserve">recommendation </w:t>
      </w:r>
      <w:r w:rsidR="009265F9">
        <w:t xml:space="preserve">for use in </w:t>
      </w:r>
      <w:r w:rsidR="00674DE7">
        <w:t xml:space="preserve">the CDF </w:t>
      </w:r>
      <w:r w:rsidR="009D18BF" w:rsidRPr="000C3D6C">
        <w:t>for treating HER2-positive u/mBC after one or more anti-HER2 therapies [</w:t>
      </w:r>
      <w:r w:rsidR="009D18BF">
        <w:t>TA862</w:t>
      </w:r>
      <w:r w:rsidR="009D18BF" w:rsidRPr="000C3D6C">
        <w:t>]</w:t>
      </w:r>
      <w:r w:rsidR="00802D26">
        <w:fldChar w:fldCharType="begin"/>
      </w:r>
      <w:r w:rsidR="00CA6345">
        <w:instrText xml:space="preserve"> ADDIN ZOTERO_ITEM CSL_CITATION {"citationID":"ZJrqVrnH","properties":{"formattedCitation":"\\super 5\\nosupersub{}","plainCitation":"5","noteIndex":0},"citationItems":[{"id":66214,"uris":["http://zotero.org/groups/4797619/items/H2PQC2GH"],"itemData":{"id":66214,"type":"webpage","abstract":"Trastuzumab deruxtecan for treating HER2-positive unresectable or metastatic breast cancer after trastuzumab and a taxane [TA862]","language":"eng","note":"publisher: NICE","title":"Trastuzumab deruxtecan for treating HER2-positive unresectable or metastatic breast cancer after 1 or more anti-HER2 therapies | NICE [TA862]","URL":"https://www.nice.org.uk/guidance/indevelopment/gid-ta10804/documents","author":[{"family":"NICE","given":""}],"accessed":{"date-parts":[["2023",2,5]]},"issued":{"date-parts":[["2023",2]]}}}],"schema":"https://github.com/citation-style-language/schema/raw/master/csl-citation.json"} </w:instrText>
      </w:r>
      <w:r w:rsidR="00802D26">
        <w:fldChar w:fldCharType="separate"/>
      </w:r>
      <w:r w:rsidR="00FD57F4" w:rsidRPr="00FD57F4">
        <w:rPr>
          <w:rFonts w:cs="Arial"/>
          <w:szCs w:val="24"/>
          <w:vertAlign w:val="superscript"/>
        </w:rPr>
        <w:t>5</w:t>
      </w:r>
      <w:r w:rsidR="00802D26">
        <w:fldChar w:fldCharType="end"/>
      </w:r>
      <w:r w:rsidR="009D18BF">
        <w:t xml:space="preserve"> based on </w:t>
      </w:r>
      <w:r w:rsidR="00DD7CD1">
        <w:t>the first interim analysis of DESTINY-Breast03</w:t>
      </w:r>
      <w:r w:rsidR="006C37F2">
        <w:t>,</w:t>
      </w:r>
      <w:r w:rsidR="00DD7CD1">
        <w:t xml:space="preserve"> which </w:t>
      </w:r>
      <w:r w:rsidR="00AA00D1">
        <w:t xml:space="preserve">demonstrated an unprecedented </w:t>
      </w:r>
      <w:r w:rsidR="00C01793">
        <w:t>efficacy</w:t>
      </w:r>
      <w:r w:rsidR="00AA00D1">
        <w:t xml:space="preserve"> benefit</w:t>
      </w:r>
      <w:r w:rsidR="00C01793">
        <w:t xml:space="preserve"> </w:t>
      </w:r>
      <w:r w:rsidR="006748B3">
        <w:t xml:space="preserve">for </w:t>
      </w:r>
      <w:r w:rsidR="00DD7CD1">
        <w:t xml:space="preserve">T-DXd </w:t>
      </w:r>
      <w:r w:rsidR="006748B3">
        <w:t xml:space="preserve">compared </w:t>
      </w:r>
      <w:r w:rsidR="00DD7CD1">
        <w:t>with T-DM1</w:t>
      </w:r>
      <w:r w:rsidR="006B4372">
        <w:t xml:space="preserve"> in these patients</w:t>
      </w:r>
      <w:r w:rsidR="004B2498">
        <w:t xml:space="preserve"> </w:t>
      </w:r>
      <w:r w:rsidR="004B2498" w:rsidRPr="00050843">
        <w:t>(PFS by BICR; HR: 0.28; 95% CI: 0.22, 0.37 [p=7.8×10</w:t>
      </w:r>
      <w:r w:rsidR="004B2498" w:rsidRPr="00050843">
        <w:rPr>
          <w:vertAlign w:val="superscript"/>
        </w:rPr>
        <w:t>−22</w:t>
      </w:r>
      <w:r w:rsidR="004B2498" w:rsidRPr="00050843">
        <w:t>])</w:t>
      </w:r>
      <w:r w:rsidR="00111F20">
        <w:t>.</w:t>
      </w:r>
      <w:r w:rsidR="00766CA2">
        <w:fldChar w:fldCharType="begin"/>
      </w:r>
      <w:r w:rsidR="00CA6345">
        <w:instrText xml:space="preserve"> ADDIN ZOTERO_ITEM CSL_CITATION {"citationID":"wK5XlhAu","properties":{"formattedCitation":"\\super 68\\nosupersub{}","plainCitation":"68","noteIndex":0},"citationItems":[{"id":66397,"uris":["http://zotero.org/groups/4797619/items/ID7JDCSX"],"itemData":{"id":66397,"type":"article-journal","abstract":"BACKGROUND: Trastuzumab emtansine is the current standard treatment for patients with human epidermal growth factor receptor 2 (HER2)-positive metastatic breast cancer whose disease progresses after treatment with a combination of anti-HER2 antibodies and a taxane.\nMETHODS: We conducted a phase 3, multicenter, open-label, randomized trial to compare the efficacy and safety of trastuzumab deruxtecan (a HER2 antibody-drug conjugate) with those of trastuzumab emtansine in patients with HER2-positive metastatic breast cancer previously treated with trastuzumab and a taxane. The primary end point was progression-free survival (as determined by blinded independent central review); secondary end points included overall survival, objective response, and safety.\nRESULTS: Among 524 randomly assigned patients, the percentage of those who were alive without disease progression at 12 months was 75.8% (95% confidence interval [CI], 69.8 to 80.7) with trastuzumab deruxtecan and 34.1% (95% CI, 27.7 to 40.5) with trastuzumab emtansine (hazard ratio for progression or death from any cause, 0.28; 95% CI, 0.22 to 0.37; P&lt;0.001). The percentage of patients who were alive at 12 months was 94.1% (95% CI, 90.3 to 96.4) with trastuzumab deruxtecan and 85.9% (95% CI, 80.9 to 89.7) with trastuzumab emtansine (hazard ratio for death, 0.55; 95% CI, 0.36 to 0.86; prespecified significance boundary not reached). An overall response (a complete or partial response) occurred in 79.7% (95% CI, 74.3 to 84.4) of the patients who received trastuzumab deruxtecan and in 34.2% (95% CI, 28.5 to 40.3) of those who received trastuzumab emtansine. The incidence of drug-related adverse events of any grade was 98.1% with trastuzumab deruxtecan and 86.6% with trastuzumab emtansine, and the incidence of drug-related adverse events of grade 3 or 4 was 45.1% and 39.8%, respectively. Adjudicated drug-related interstitial lung disease or pneumonitis occurred in 10.5% of the patients in the trastuzumab deruxtecan group and in 1.9% of those in the trastuzumab emtansine group; none of these events were of grade 4 or 5.\nCONCLUSIONS: Among patients with HER2-positive metastatic breast cancer previously treated with trastuzumab and a taxane, the risk of disease progression or death was lower among those who received trastuzumab deruxtecan than among those who received trastuzumab emtansine. Treatment with trastuzumab deruxtecan was associated with interstitial lung disease and pneumonitis. (Funded by Daiichi Sankyo and AstraZeneca; DESTINY-Breast03 ClinicalTrials.gov number, NCT03529110.).","container-title":"The New England Journal of Medicine","DOI":"10.1056/NEJMoa2115022","ISSN":"1533-4406","issue":"12","journalAbbreviation":"N Engl J Med","language":"eng","note":"PMID: 35320644","page":"1143-1154","source":"PubMed","title":"Trastuzumab Deruxtecan versus Trastuzumab Emtansine for Breast Cancer","volume":"386","author":[{"family":"Cortés","given":"Javier"},{"family":"Kim","given":"Sung-Bae"},{"family":"Chung","given":"Wei-Pang"},{"family":"Im","given":"Seock-Ah"},{"family":"Park","given":"Yeon Hee"},{"family":"Hegg","given":"Roberto"},{"family":"Kim","given":"Min Hwan"},{"family":"Tseng","given":"Ling-Ming"},{"family":"Petry","given":"Vanessa"},{"family":"Chung","given":"Chi-Feng"},{"family":"Iwata","given":"Hiroji"},{"family":"Hamilton","given":"Erika"},{"family":"Curigliano","given":"Giuseppe"},{"family":"Xu","given":"Binghe"},{"family":"Huang","given":"Chiun-Sheng"},{"family":"Kim","given":"Jee Hyun"},{"family":"Chiu","given":"Joanne W. Y."},{"family":"Pedrini","given":"Jose Luiz"},{"family":"Lee","given":"Caleb"},{"family":"Liu","given":"Yali"},{"family":"Cathcart","given":"Jillian"},{"family":"Bako","given":"Emarjola"},{"family":"Verma","given":"Sunil"},{"family":"Hurvitz","given":"Sara A."},{"literal":"DESTINY-Breast03 Trial Investigators"}],"issued":{"date-parts":[["2022",3,24]]}}}],"schema":"https://github.com/citation-style-language/schema/raw/master/csl-citation.json"} </w:instrText>
      </w:r>
      <w:r w:rsidR="00766CA2">
        <w:fldChar w:fldCharType="separate"/>
      </w:r>
      <w:r w:rsidR="00FD57F4" w:rsidRPr="00FD57F4">
        <w:rPr>
          <w:rFonts w:cs="Arial"/>
          <w:szCs w:val="24"/>
          <w:vertAlign w:val="superscript"/>
        </w:rPr>
        <w:t>68</w:t>
      </w:r>
      <w:r w:rsidR="00766CA2">
        <w:fldChar w:fldCharType="end"/>
      </w:r>
      <w:r w:rsidR="0015785C">
        <w:t xml:space="preserve"> </w:t>
      </w:r>
      <w:r w:rsidR="006B4372">
        <w:t xml:space="preserve">A second </w:t>
      </w:r>
      <w:r w:rsidR="00AC4989">
        <w:t xml:space="preserve">interim analysis of </w:t>
      </w:r>
      <w:r w:rsidR="003347A2" w:rsidRPr="002646F6">
        <w:t>DESTINY-Breast0</w:t>
      </w:r>
      <w:r w:rsidR="008816E5" w:rsidRPr="002646F6">
        <w:t>3</w:t>
      </w:r>
      <w:r w:rsidR="003347A2" w:rsidRPr="002646F6">
        <w:t xml:space="preserve"> </w:t>
      </w:r>
      <w:r w:rsidR="004B2498">
        <w:t xml:space="preserve">subsequently confirmed the </w:t>
      </w:r>
      <w:r w:rsidR="002077E0">
        <w:t>PFS benefit</w:t>
      </w:r>
      <w:r w:rsidR="00557134" w:rsidRPr="002646F6">
        <w:t xml:space="preserve"> </w:t>
      </w:r>
      <w:r w:rsidR="0005728C">
        <w:t>(HR: 0.33; 95% CI: 0.26, 0.43; P</w:t>
      </w:r>
      <w:r w:rsidR="0035053C">
        <w:t xml:space="preserve">&lt;0.0001) </w:t>
      </w:r>
      <w:r w:rsidR="00E62D86" w:rsidRPr="002646F6">
        <w:t xml:space="preserve">and </w:t>
      </w:r>
      <w:r w:rsidR="002077E0">
        <w:t xml:space="preserve">demonstrated statistically significant </w:t>
      </w:r>
      <w:r w:rsidR="00E62D86" w:rsidRPr="002646F6">
        <w:t>OS</w:t>
      </w:r>
      <w:r w:rsidR="002077E0">
        <w:t xml:space="preserve"> benefit</w:t>
      </w:r>
      <w:r w:rsidR="00E62D86" w:rsidRPr="002646F6">
        <w:t xml:space="preserve"> </w:t>
      </w:r>
      <w:r w:rsidR="002541D2">
        <w:t>(HR: 0.64; 95% CI: 0.47, 0.67</w:t>
      </w:r>
      <w:r w:rsidR="0005728C">
        <w:t xml:space="preserve">; </w:t>
      </w:r>
      <w:r w:rsidR="00E103C1">
        <w:t>p</w:t>
      </w:r>
      <w:r w:rsidR="0005728C">
        <w:t>=0.0037</w:t>
      </w:r>
      <w:r w:rsidR="002541D2">
        <w:t xml:space="preserve">) </w:t>
      </w:r>
      <w:r w:rsidR="00140977" w:rsidRPr="002646F6">
        <w:t>compared with T-DM</w:t>
      </w:r>
      <w:r w:rsidR="00BD09F0">
        <w:t>1</w:t>
      </w:r>
      <w:r w:rsidR="00651494">
        <w:t>.</w:t>
      </w:r>
      <w:r w:rsidR="00651494">
        <w:fldChar w:fldCharType="begin"/>
      </w:r>
      <w:r w:rsidR="00CA6345">
        <w:instrText xml:space="preserve"> ADDIN ZOTERO_ITEM CSL_CITATION {"citationID":"2HdSbPQg","properties":{"formattedCitation":"\\super 69\\nosupersub{}","plainCitation":"69","noteIndex":0},"citationItems":[{"id":66445,"uris":["http://zotero.org/groups/4797619/items/8TY59N97"],"itemData":{"id":66445,"type":"speech","title":"GS2-02: Trastuzumab deruxtecan versus trastuzumab emtansine in patients with HER2-positive metastatic breast cancer: Updated results of the randomized, phase 3 study DESTINY-Breast03. Presented at the San Antonio Breast Cancer Symposium (SABCS).","author":[{"family":"Hurvitz","given":"S"},{"family":"Hegg","given":"R"},{"family":"Chung","given":"W"},{"family":"Im","given":"S"},{"family":"Jacot","given":""},{"family":"Ganju","given":"V"},{"family":"Chiu","given":"J"},{"family":"Xu,","given":"B"},{"family":"Hamilton","given":"E"},{"family":"Madhusudan","given":"S"},{"family":"Iwata","given":"H"},{"family":"Sevilay","given":"A"},{"family":"Henning","given":"J"},{"family":"Curigliano","given":"G"},{"family":"Perez-Garcia","given":"J"},{"family":"Egorov","given":"A"},{"family":"Liu","given":"Y"},{"family":"Cathcart","given":"Y"},{"family":"Ashfaque","given":"S"},{"family":"Cortes","given":"J"}],"issued":{"date-parts":[["2022",12]]}}}],"schema":"https://github.com/citation-style-language/schema/raw/master/csl-citation.json"} </w:instrText>
      </w:r>
      <w:r w:rsidR="00651494">
        <w:fldChar w:fldCharType="separate"/>
      </w:r>
      <w:r w:rsidR="00FD57F4" w:rsidRPr="00FD57F4">
        <w:rPr>
          <w:rFonts w:cs="Arial"/>
          <w:szCs w:val="24"/>
          <w:vertAlign w:val="superscript"/>
        </w:rPr>
        <w:t>69</w:t>
      </w:r>
      <w:r w:rsidR="00651494">
        <w:fldChar w:fldCharType="end"/>
      </w:r>
      <w:r w:rsidR="00EC17C6">
        <w:t xml:space="preserve"> </w:t>
      </w:r>
      <w:r w:rsidR="009626BB" w:rsidRPr="000C3D6C">
        <w:t xml:space="preserve">After two or more prior </w:t>
      </w:r>
      <w:r w:rsidR="009626BB" w:rsidRPr="000C3D6C">
        <w:lastRenderedPageBreak/>
        <w:t xml:space="preserve">anti-HER2 therapies, </w:t>
      </w:r>
      <w:r w:rsidR="00A92F40" w:rsidRPr="002646F6">
        <w:t xml:space="preserve">HER2-targeted therapies </w:t>
      </w:r>
      <w:r w:rsidR="00A10D5B" w:rsidRPr="002646F6">
        <w:t>including</w:t>
      </w:r>
      <w:r w:rsidR="00775631" w:rsidRPr="002646F6">
        <w:t xml:space="preserve"> </w:t>
      </w:r>
      <w:r w:rsidR="002604A7" w:rsidRPr="002646F6">
        <w:t>T-DXd</w:t>
      </w:r>
      <w:r w:rsidR="00A92F40" w:rsidRPr="002646F6">
        <w:t>,</w:t>
      </w:r>
      <w:r w:rsidR="00CB3661" w:rsidRPr="002646F6">
        <w:t xml:space="preserve"> and tucatinib with trastuzumab and capecitabine</w:t>
      </w:r>
      <w:r w:rsidR="00A92F40" w:rsidRPr="002646F6">
        <w:t>,</w:t>
      </w:r>
      <w:r w:rsidR="00CB3661" w:rsidRPr="002646F6">
        <w:t xml:space="preserve"> </w:t>
      </w:r>
      <w:r w:rsidR="00A92F40" w:rsidRPr="002646F6">
        <w:t>are</w:t>
      </w:r>
      <w:r w:rsidR="00054EA0" w:rsidRPr="002646F6">
        <w:t xml:space="preserve"> </w:t>
      </w:r>
      <w:r w:rsidR="00AB6FDE" w:rsidRPr="002646F6">
        <w:t>recommended by NICE</w:t>
      </w:r>
      <w:r w:rsidR="006A7E7A">
        <w:t xml:space="preserve"> for</w:t>
      </w:r>
      <w:r w:rsidR="00F30DD6">
        <w:t xml:space="preserve"> </w:t>
      </w:r>
      <w:r w:rsidR="006A7E7A">
        <w:t xml:space="preserve">HER2-positive </w:t>
      </w:r>
      <w:r w:rsidR="00F30DD6">
        <w:t>u/m</w:t>
      </w:r>
      <w:r w:rsidR="006A7E7A">
        <w:t>BC</w:t>
      </w:r>
      <w:r w:rsidR="003213FD" w:rsidRPr="000C3D6C">
        <w:t>.</w:t>
      </w:r>
      <w:r w:rsidR="003A2493" w:rsidRPr="000C3D6C">
        <w:fldChar w:fldCharType="begin"/>
      </w:r>
      <w:r w:rsidR="00CA6345">
        <w:instrText xml:space="preserve"> ADDIN ZOTERO_ITEM CSL_CITATION {"citationID":"slN9Q12t","properties":{"formattedCitation":"\\super 4,70\\nosupersub{}","plainCitation":"4,70","noteIndex":0},"citationItems":[{"id":65878,"uris":["http://zotero.org/groups/4797619/items/ESRZZTT8"],"itemData":{"id":65878,"type":"webpage","abstract":"Evidence-based recommendations on trastuzumab deruxtecan (Enhertu) for treating HER2-positive unresectable or metastatic breast cancer in adults after 2 or more","language":"eng","note":"publisher: NICE","title":"Trastuzumab deruxtecan for treating HER2-positive unresectable or metastatic breast cancer after 2 or more anti-HER2 therapies | NICE [TA704]","URL":"https://www.nice.org.uk/guidance/ta704","author":[{"family":"NICE","given":""}],"accessed":{"date-parts":[["2022",9,29]]}}},{"id":66197,"uris":["http://zotero.org/groups/4797619/items/IHG3AZAS"],"itemData":{"id":66197,"type":"webpage","abstract":"Evidence-based recommendations on tucatinib (TUKYSA) for HER2-positive locally advanced or metastatic breast cancer in adults after 2 or more anti-HER2 treatment therapies","language":"eng","note":"publisher: NICE","title":"Tucatinib with trastuzumab and capecitabine for treating HER2-positive advanced breast cancer after 2 or more anti-HER2 therapies | NICE [TA786]","URL":"https://www.nice.org.uk/guidance/ta786","author":[{"family":"NICE","given":""}],"accessed":{"date-parts":[["2022",11,29]]}}}],"schema":"https://github.com/citation-style-language/schema/raw/master/csl-citation.json"} </w:instrText>
      </w:r>
      <w:r w:rsidR="003A2493" w:rsidRPr="000C3D6C">
        <w:fldChar w:fldCharType="separate"/>
      </w:r>
      <w:r w:rsidR="00FD57F4" w:rsidRPr="00FD57F4">
        <w:rPr>
          <w:rFonts w:cs="Arial"/>
          <w:szCs w:val="24"/>
          <w:vertAlign w:val="superscript"/>
        </w:rPr>
        <w:t>4,70</w:t>
      </w:r>
      <w:r w:rsidR="003A2493" w:rsidRPr="000C3D6C">
        <w:fldChar w:fldCharType="end"/>
      </w:r>
      <w:r w:rsidR="006B7133" w:rsidRPr="000C3D6C">
        <w:t xml:space="preserve"> </w:t>
      </w:r>
      <w:r w:rsidR="0088575C" w:rsidRPr="002646F6">
        <w:t xml:space="preserve">These HER2 targeted treatments </w:t>
      </w:r>
      <w:r w:rsidR="009E1634" w:rsidRPr="002646F6">
        <w:t xml:space="preserve">have transformed treatment of HER2-positive disease across lines of therapy compared with non-targeted chemotherapies. </w:t>
      </w:r>
    </w:p>
    <w:p w14:paraId="1CEB9240" w14:textId="66F61284" w:rsidR="006040DC" w:rsidRDefault="003848A8" w:rsidP="00957FE4">
      <w:pPr>
        <w:pStyle w:val="Body"/>
      </w:pPr>
      <w:r w:rsidRPr="002646F6">
        <w:t>HER2-neg</w:t>
      </w:r>
      <w:r w:rsidR="00EF792C" w:rsidRPr="002646F6">
        <w:t>ative</w:t>
      </w:r>
      <w:r w:rsidRPr="002646F6">
        <w:t xml:space="preserve"> BC</w:t>
      </w:r>
      <w:r w:rsidR="00E12D96" w:rsidRPr="002646F6">
        <w:t xml:space="preserve"> is</w:t>
      </w:r>
      <w:r w:rsidR="009661C4" w:rsidRPr="002646F6">
        <w:t xml:space="preserve"> currently</w:t>
      </w:r>
      <w:r w:rsidR="00123F39" w:rsidRPr="002646F6">
        <w:t xml:space="preserve"> </w:t>
      </w:r>
      <w:r w:rsidR="0058590F" w:rsidRPr="002646F6">
        <w:t>characterised by no</w:t>
      </w:r>
      <w:r w:rsidR="006E6B82" w:rsidRPr="002646F6">
        <w:t xml:space="preserve"> or lo</w:t>
      </w:r>
      <w:r w:rsidR="003A4AD0" w:rsidRPr="002646F6">
        <w:t>w</w:t>
      </w:r>
      <w:r w:rsidR="00FA6D9D" w:rsidRPr="002646F6">
        <w:t>er</w:t>
      </w:r>
      <w:r w:rsidR="003A4AD0" w:rsidRPr="002646F6">
        <w:t xml:space="preserve"> level</w:t>
      </w:r>
      <w:r w:rsidR="00123F39" w:rsidRPr="002646F6">
        <w:t>s</w:t>
      </w:r>
      <w:r w:rsidR="003A4AD0" w:rsidRPr="002646F6">
        <w:t xml:space="preserve"> of</w:t>
      </w:r>
      <w:r w:rsidR="0058590F" w:rsidRPr="002646F6">
        <w:t xml:space="preserve"> </w:t>
      </w:r>
      <w:r w:rsidR="003A4AD0" w:rsidRPr="002646F6">
        <w:t>HER2</w:t>
      </w:r>
      <w:r w:rsidR="0058590F" w:rsidRPr="002646F6">
        <w:t xml:space="preserve"> expression </w:t>
      </w:r>
      <w:r w:rsidR="00EF0B77" w:rsidRPr="002646F6">
        <w:t>on the surface of</w:t>
      </w:r>
      <w:r w:rsidR="00EE5886" w:rsidRPr="002646F6">
        <w:t xml:space="preserve"> </w:t>
      </w:r>
      <w:r w:rsidR="00D229FA" w:rsidRPr="002646F6">
        <w:t xml:space="preserve">BC </w:t>
      </w:r>
      <w:r w:rsidR="00EF0B77" w:rsidRPr="002646F6">
        <w:t>cells</w:t>
      </w:r>
      <w:r w:rsidR="00E12D96" w:rsidRPr="002646F6">
        <w:t xml:space="preserve"> and</w:t>
      </w:r>
      <w:r w:rsidR="00C9104F" w:rsidRPr="002646F6">
        <w:t xml:space="preserve"> </w:t>
      </w:r>
      <w:r w:rsidR="0009304A" w:rsidRPr="002646F6">
        <w:t>account</w:t>
      </w:r>
      <w:r w:rsidR="00C9104F" w:rsidRPr="002646F6">
        <w:t>s</w:t>
      </w:r>
      <w:r w:rsidR="0009304A" w:rsidRPr="002646F6">
        <w:t xml:space="preserve"> for </w:t>
      </w:r>
      <w:r w:rsidR="00204377">
        <w:t>80–87</w:t>
      </w:r>
      <w:r w:rsidR="00314DCE" w:rsidRPr="002646F6">
        <w:t xml:space="preserve">% of all </w:t>
      </w:r>
      <w:r w:rsidR="00E6739B" w:rsidRPr="002646F6">
        <w:t xml:space="preserve">cases of </w:t>
      </w:r>
      <w:r w:rsidR="00314DCE" w:rsidRPr="002646F6">
        <w:t>BC.</w:t>
      </w:r>
      <w:r w:rsidR="00D60EC5">
        <w:fldChar w:fldCharType="begin"/>
      </w:r>
      <w:r w:rsidR="00CA6345">
        <w:instrText xml:space="preserve"> ADDIN ZOTERO_ITEM CSL_CITATION {"citationID":"Mrx3tfls","properties":{"formattedCitation":"\\super 56,64\\nosupersub{}","plainCitation":"56,64","noteIndex":0},"citationItems":[{"id":65940,"uris":["http://zotero.org/groups/4797619/items/7UYVWR36"],"itemData":{"id":65940,"type":"article-journal","container-title":"The Journal of Pathology: Clinical Research","DOI":"10.1002/cjp2.173","ISSN":"2056-4538, 2056-4538","issue":"3","journalAbbreviation":"J Pathol Clin Res","language":"en","page":"227-227","source":"DOI.org (Crossref)","title":"Breast cancer biomarkers in clinical testing: analysis of a UK NEQAS ICC &amp; ISH database containing results from 199 300 patients","title-short":"‘Breast cancer biomarkers in clinical testing","volume":"6","author":[{"family":"Dodson","given":"Andrew"},{"family":"Parry","given":"Suzanne"},{"family":"Ibrahim","given":"Merdol"},{"family":"Bartlett","given":"John M. S."},{"family":"Pinder","given":"Sarah E."},{"family":"Dowsett","given":"Mitch"},{"family":"Miller","given":"Keith"}],"issued":{"date-parts":[["2020",7]]}}},{"id":65941,"uris":["http://zotero.org/groups/4797619/items/5UY5TU6N"],"itemData":{"id":65941,"type":"article-journal","abstract":"Human epidermal growth factor receptor 2 (HER2) overexpression is present in approximately 15% of early invasive breast cancers, and is an important predictive and prognostic marker. The substantial benefits achieved with anti-HER2 targeted therapies in patients with HER2-positive breast cancer have emphasised the need for accurate assessment of HER2 status. Current data indicate that HER2 test accuracy improved following previous publication of guidelines and the implementation of an external quality assessment scheme with a decline in false-positive and false-negative rates. This paper provides an update of the guidelines for HER2 testing in the UK. The aim is to further improve the analytical validity and clinical utility of HER2 testing by providing guidelines of test performance parameters, and recommendations on the postanalytical interpretation of test results. HER2 status should be determined in all newly diagnosed and recurrent breast cancers. Testing involves immunohistochemistry with &gt;10% complete strong membrane staining defining a positive status. In situ hybridisation, either fluorescent or bright field chromogenic, is used either upfront or in immunohistochemistry borderline cases to detect the presence of HER2 gene amplification. Situations where repeat HER2 testing is advised are outlined and the impact of genetic heterogeneity is discussed. Strict quality control and external quality assurance of validated assays are essential. Testing laboratories should perform ongoing competency assessment and proficiency tests and ensure the reliability and accuracy of the assay. Pathologists, oncologists and surgeons involved in test interpretation and clinical use should adhere to published guidelines and maintain accurate performance and consistent interpretation of test results.","container-title":"Journal of Clinical Pathology","DOI":"10.1136/jclinpath-2014-202571","ISSN":"1472-4146","issue":"2","journalAbbreviation":"J Clin Pathol","language":"eng","note":"PMID: 25488926\nPMCID: PMC4316916","page":"93-99","source":"PubMed","title":"Updated UK Recommendations for HER2 assessment in breast cancer","volume":"68","author":[{"family":"Rakha","given":"Emad A."},{"family":"Pinder","given":"Sarah E."},{"family":"Bartlett","given":"John M. S."},{"family":"Ibrahim","given":"Merdol"},{"family":"Starczynski","given":"Jane"},{"family":"Carder","given":"Pauline J."},{"family":"Provenzano","given":"Elena"},{"family":"Hanby","given":"Andrew"},{"family":"Hales","given":"Sally"},{"family":"Lee","given":"Andrew H. S."},{"family":"Ellis","given":"Ian O."},{"literal":"National Coordinating Committee for Breast Pathology"}],"issued":{"date-parts":[["2015",2]]}}}],"schema":"https://github.com/citation-style-language/schema/raw/master/csl-citation.json"} </w:instrText>
      </w:r>
      <w:r w:rsidR="00D60EC5">
        <w:fldChar w:fldCharType="separate"/>
      </w:r>
      <w:r w:rsidR="00FD57F4" w:rsidRPr="00FD57F4">
        <w:rPr>
          <w:rFonts w:cs="Arial"/>
          <w:szCs w:val="24"/>
          <w:vertAlign w:val="superscript"/>
        </w:rPr>
        <w:t>56,64</w:t>
      </w:r>
      <w:r w:rsidR="00D60EC5">
        <w:fldChar w:fldCharType="end"/>
      </w:r>
      <w:r w:rsidR="00011292">
        <w:t xml:space="preserve"> Once</w:t>
      </w:r>
      <w:r w:rsidR="00F5750D">
        <w:t xml:space="preserve"> patients with HER2-negative u/mBC have exhausted </w:t>
      </w:r>
      <w:r w:rsidR="008616F6">
        <w:t>targeted</w:t>
      </w:r>
      <w:r w:rsidR="00B16620">
        <w:t xml:space="preserve"> treatment options such as</w:t>
      </w:r>
      <w:r w:rsidR="002F43BF">
        <w:t xml:space="preserve"> </w:t>
      </w:r>
      <w:r w:rsidR="002F43BF" w:rsidRPr="002646F6">
        <w:t>cyclin-dependent kinase inhibitors</w:t>
      </w:r>
      <w:r w:rsidR="002F43BF" w:rsidRPr="00C61DA6">
        <w:t xml:space="preserve"> (</w:t>
      </w:r>
      <w:r w:rsidR="002F43BF">
        <w:t>CDK4/6i</w:t>
      </w:r>
      <w:r w:rsidR="002F43BF" w:rsidRPr="00C61DA6">
        <w:t>s), endocrine therapy (ET) and</w:t>
      </w:r>
      <w:r w:rsidR="002F43BF" w:rsidRPr="002646F6">
        <w:t xml:space="preserve"> poly </w:t>
      </w:r>
      <w:r w:rsidR="002F43BF">
        <w:t>adenosine diphosphate (</w:t>
      </w:r>
      <w:r w:rsidR="002F43BF" w:rsidRPr="002646F6">
        <w:t>ADP</w:t>
      </w:r>
      <w:r w:rsidR="002F43BF">
        <w:t>)</w:t>
      </w:r>
      <w:r w:rsidR="002F43BF" w:rsidRPr="002646F6">
        <w:t>-ribose polymerase</w:t>
      </w:r>
      <w:r w:rsidR="002F43BF" w:rsidRPr="00C61DA6">
        <w:t xml:space="preserve"> (PARP) inhibitors,</w:t>
      </w:r>
      <w:r w:rsidR="002F43BF" w:rsidRPr="002646F6">
        <w:fldChar w:fldCharType="begin"/>
      </w:r>
      <w:r w:rsidR="00CA6345">
        <w:instrText xml:space="preserve"> ADDIN ZOTERO_ITEM CSL_CITATION {"citationID":"R3zPNhEy","properties":{"formattedCitation":"\\super 35,42\\nosupersub{}","plainCitation":"35,42","noteIndex":0},"citationItems":[{"id":65866,"uris":["http://zotero.org/groups/4797619/items/3AESVSNK"],"itemData":{"id":65866,"type":"webpage","abstract":"This guideline covers care and support for people with advanced (stage 4) breast cancer. It aims to help them and their healthcare professionals make shared","language":"eng","note":"publisher: NICE","title":"Advanced breast cancer: diagnosis and treatment | NICE CG81","title-short":"NICE CG81. Recommendations | Advanced breast cancer","URL":"https://www.nice.org.uk/guidance/cg81/chapter/Recommendations","author":[{"family":"NICE","given":""}],"accessed":{"date-parts":[["2022",10,17]]},"issued":{"date-parts":[["2017"]]}}},{"id":65955,"uris":["http://zotero.org/groups/4797619/items/4KXA6CCG"],"itemData":{"id":65955,"type":"article-journal","container-title":"Annals of Oncology: Official Journal of the European Society for Medical Oncology","DOI":"10.1016/j.annonc.2021.09.019","ISSN":"1569-8041","issue":"12","journalAbbreviation":"Ann Oncol","language":"eng","note":"PMID: 34678411","page":"1475-1495","source":"PubMed","title":"ESMO Clinical Practice Guideline for the diagnosis, staging and treatment of patients with metastatic breast cancer","volume":"32","author":[{"family":"Gennari","given":"A."},{"family":"André","given":"F."},{"family":"Barrios","given":"C. H."},{"family":"Cortés","given":"J."},{"family":"Azambuja","given":"E.","non-dropping-particle":"de"},{"family":"DeMichele","given":"A."},{"family":"Dent","given":"R."},{"family":"Fenlon","given":"D."},{"family":"Gligorov","given":"J."},{"family":"Hurvitz","given":"S. A."},{"family":"Im","given":"S.-A."},{"family":"Krug","given":"D."},{"family":"Kunz","given":"W. G."},{"family":"Loi","given":"S."},{"family":"Penault-Llorca","given":"F."},{"family":"Ricke","given":"J."},{"family":"Robson","given":"M."},{"family":"Rugo","given":"H. S."},{"family":"Saura","given":"C."},{"family":"Schmid","given":"P."},{"family":"Singer","given":"C. F."},{"family":"Spanic","given":"T."},{"family":"Tolaney","given":"S. M."},{"family":"Turner","given":"N. C."},{"family":"Curigliano","given":"G."},{"family":"Loibl","given":"S."},{"family":"Paluch-Shimon","given":"S."},{"family":"Harbeck","given":"N."},{"literal":"ESMO Guidelines Committee. Electronic address: clinicalguidelines@esmo.org"}],"issued":{"date-parts":[["2021",12]]}}}],"schema":"https://github.com/citation-style-language/schema/raw/master/csl-citation.json"} </w:instrText>
      </w:r>
      <w:r w:rsidR="002F43BF" w:rsidRPr="002646F6">
        <w:fldChar w:fldCharType="separate"/>
      </w:r>
      <w:r w:rsidR="00FD57F4" w:rsidRPr="00FD57F4">
        <w:rPr>
          <w:rFonts w:cs="Arial"/>
          <w:szCs w:val="24"/>
          <w:vertAlign w:val="superscript"/>
        </w:rPr>
        <w:t>35,42</w:t>
      </w:r>
      <w:r w:rsidR="002F43BF" w:rsidRPr="002646F6">
        <w:fldChar w:fldCharType="end"/>
      </w:r>
      <w:r w:rsidR="00B16620">
        <w:t xml:space="preserve"> </w:t>
      </w:r>
      <w:r w:rsidR="002F43BF">
        <w:t>treatment options are predominantly limited to non-targeted chemotherapies which are associated with poor outcomes.</w:t>
      </w:r>
      <w:r w:rsidR="00A94DDB" w:rsidRPr="002646F6">
        <w:t xml:space="preserve"> A</w:t>
      </w:r>
      <w:r w:rsidR="00CF5328" w:rsidRPr="002646F6">
        <w:t xml:space="preserve">fter </w:t>
      </w:r>
      <w:r w:rsidR="00384439">
        <w:t xml:space="preserve">at least </w:t>
      </w:r>
      <w:r w:rsidR="00CF5328" w:rsidRPr="002646F6">
        <w:t>one line of chemotherapy in the metastatic setting</w:t>
      </w:r>
      <w:r w:rsidR="00A94DDB" w:rsidRPr="002646F6">
        <w:t>,</w:t>
      </w:r>
      <w:r w:rsidR="00236775" w:rsidRPr="002646F6">
        <w:t xml:space="preserve"> </w:t>
      </w:r>
      <w:r w:rsidR="00973196" w:rsidRPr="002646F6">
        <w:t>non-targeted chemotherapy is associated with</w:t>
      </w:r>
      <w:r w:rsidR="00BD3AF4">
        <w:t xml:space="preserve"> a median</w:t>
      </w:r>
      <w:r w:rsidR="00973196" w:rsidRPr="002646F6">
        <w:t xml:space="preserve"> </w:t>
      </w:r>
      <w:r w:rsidR="00A42B76" w:rsidRPr="00040FAA">
        <w:t>PFS of 3.</w:t>
      </w:r>
      <w:r w:rsidR="00A42B76">
        <w:t>6</w:t>
      </w:r>
      <w:r w:rsidR="00A42B76" w:rsidRPr="00040FAA">
        <w:t>–4.2 months and median OS of 11.5–</w:t>
      </w:r>
      <w:r w:rsidR="00A42B76">
        <w:t>16.1</w:t>
      </w:r>
      <w:r w:rsidR="00EF6CA7" w:rsidRPr="00EF6CA7">
        <w:t xml:space="preserve"> months</w:t>
      </w:r>
      <w:r w:rsidR="00A42B76">
        <w:t xml:space="preserve"> in HER2-negative/HR-positive u/mBC</w:t>
      </w:r>
      <w:r w:rsidR="00EF6CA7" w:rsidRPr="00EF6CA7">
        <w:t>.</w:t>
      </w:r>
      <w:r w:rsidR="00ED3A40">
        <w:fldChar w:fldCharType="begin"/>
      </w:r>
      <w:r w:rsidR="00CA6345">
        <w:instrText xml:space="preserve"> ADDIN ZOTERO_ITEM CSL_CITATION {"citationID":"hqpKt6JM","properties":{"formattedCitation":"\\super 43\\uc0\\u8211{}47\\nosupersub{}","plainCitation":"43–47","noteIndex":0},"citationItems":[{"id":66149,"uris":["http://zotero.org/groups/4797619/items/8M7DF85G"],"itemData":{"id":66149,"type":"article-journal","abstract":"BACKGROUND: Based on data from two multicenter, phase III clinical trials (Studies 301 and 305), eribulin (a microtubule dynamics inhibitor) is indicated in the European Union (EU) for patients with locally advanced or metastatic breast cancer (MBC) after ≥1 prior chemotherapy for advanced disease, including an anthracycline and a taxane in either the adjuvant or metastatic setting. Data from Studies 305 and 301 were pooled to investigate the efficacy of eribulin in various subgroups of patients who matched the EU label, including those with human epidermal growth factor receptor 2 (HER2)-negative and triple-negative disease.\nPATIENTS AND METHODS: In Study 305 (NCT00388726), patients were randomized 2:1 to eribulin mesylate 1.4 mg/m(2) (equivalent to eribulin 1.23 mg/m(2) [expressed as free base]) intravenously on days 1 and 8 every 21 days] or treatment of physician's choice after 2-5 prior chemotherapies (≥2 for advanced disease), including an anthracycline and a taxane (in early/advanced setting). In Study 301 (NCT00337103), patients were randomized 1:1 to eribulin (as above) or capecitabine (1.25 g/m(2) orally twice daily on days 1-14 every 21 days) following ≤3 prior chemotherapies (≤2 for advanced disease), including an anthracycline and a taxane. Efficacy end points were investigated in the intent-to-treat population and subgroups, pooled as discussed above.\nRESULTS: Overall, 1644 patients were included (eribulin: 946; control: 698); baseline characteristics were well matched. Overall survival was significantly longer with eribulin versus control (P &lt; 0.01), as were progression-free survival and clinical benefit rate (both P &lt; 0.05). Significant survival benefits with eribulin versus control were observed in a wide range of patient subgroups, including HER2-negative or triple-negative disease (all P &lt; 0.05).\nCONCLUSION: Our findings underline the survival benefit achieved by eribulin used according to EU label in the overall MBC population and in various subgroups of interest, including patients with HER2-negative and triple-negative disease.","container-title":"Annals of Oncology: Official Journal of the European Society for Medical Oncology","DOI":"10.1093/annonc/mdw203","ISSN":"1569-8041","issue":"8","journalAbbreviation":"Ann Oncol","language":"eng","note":"PMID: 27177860\nPMCID: PMC4959925","page":"1525-1531","source":"PubMed","title":"Pooled analyses of eribulin in metastatic breast cancer patients with at least one prior chemotherapy","volume":"27","author":[{"family":"Pivot","given":"X."},{"family":"Marmé","given":"F."},{"family":"Koenigsberg","given":"R."},{"family":"Guo","given":"M."},{"family":"Berrak","given":"E."},{"family":"Wolfer","given":"A."}],"issued":{"date-parts":[["2016",8]]}}},{"id":66152,"uris":["http://zotero.org/groups/4797619/items/K2TXU8UJ"],"itemData":{"id":66152,"type":"article-journal","abstract":"BACKGROUND: Treatments with survival benefit are greatly needed for women with heavily pretreated metastatic breast cancer. Eribulin mesilate is a non-taxane microtubule dynamics inhibitor with a novel mode of action. We aimed to compare overall survival of heavily pretreated patients receiving eribulin versus currently available treatments.\nMETHODS: In this phase 3 open-label study, women with locally recurrent or metastatic breast cancer were randomly allocated (2:1) to eribulin mesilate (1·4 mg/m(2) administered intravenously during 2-5 min on days 1 and 8 of a 21-day cycle) or treatment of physician's choice (TPC). Patients had received between two and five previous chemotherapy regimens (two or more for advanced disease), including an anthracycline and a taxane, unless contraindicated. Randomisation was stratified by geographical region, previous capecitabine treatment, and human epidermal growth factor receptor 2 status. Patients and investigators were not masked to treatment allocation. The primary endpoint was overall survival in the intention-to-treat population. This study is registered at ClinicalTrials.gov, number NCT00388726.\nFINDINGS: 762 women were randomly allocated to treatment groups (508 eribulin, 254 TPC). Overall survival was significantly improved in women assigned to eribulin (median 13·1 months, 95% CI 11·8-14·3) compared with TPC (10·6 months, 9·3-12·5; hazard ratio 0·81, 95% CI 0·66-0·99; p=0·041). The most common adverse events in both groups were asthenia or fatigue (270 [54%] of 503 patients on eribulin and 98 [40%] of 247 patients on TPC at all grades) and neutropenia (260 [52%] patients receiving eribulin and 73 [30%] of those on TPC at all grades). Peripheral neuropathy was the most common adverse event leading to discontinuation from eribulin, occurring in 24 (5%) of 503 patients.\nINTERPRETATION: Eribulin showed a significant and clinically meaningful improvement in overall survival compared with TPC in women with heavily pretreated metastatic breast cancer. This finding challenges the notion that improved overall survival is an unrealistic expectation during evaluation of new anticancer therapies in the refractory setting.\nFUNDING: Eisai.","container-title":"Lancet (London, England)","DOI":"10.1016/S0140-6736(11)60070-6","ISSN":"1474-547X","issue":"9769","journalAbbreviation":"Lancet","language":"eng","note":"PMID: 21376385","page":"914-923","source":"PubMed","title":"Eribulin monotherapy versus treatment of physician's choice in patients with metastatic breast cancer (EMBRACE): a phase 3 open-label randomised study","title-short":"Eribulin monotherapy versus treatment of physician's choice in patients with metastatic breast cancer (EMBRACE)","volume":"377","author":[{"family":"Cortes","given":"Javier"},{"family":"O'Shaughnessy","given":"Joyce"},{"family":"Loesch","given":"David"},{"family":"Blum","given":"Joanne L."},{"family":"Vahdat","given":"Linda T."},{"family":"Petrakova","given":"Katarina"},{"family":"Chollet","given":"Philippe"},{"family":"Manikas","given":"Alexey"},{"family":"Diéras","given":"Veronique"},{"family":"Delozier","given":"Thierry"},{"family":"Vladimirov","given":"Vladimir"},{"family":"Cardoso","given":"Fatima"},{"family":"Koh","given":"Han"},{"family":"Bougnoux","given":"Philippe"},{"family":"Dutcus","given":"Corina E."},{"family":"Seegobin","given":"Seth"},{"family":"Mir","given":"Denis"},{"family":"Meneses","given":"Nicole"},{"family":"Wanders","given":"Jantien"},{"family":"Twelves","given":"Chris"},{"literal":"EMBRACE (Eisai Metastatic Breast Cancer Study Assessing Physician's Choice Versus E7389) investigators"}],"issued":{"date-parts":[["2011",3,12]]}}},{"id":66151,"uris":["http://zotero.org/groups/4797619/items/RLDAE79H"],"itemData":{"id":66151,"type":"article-journal","abstract":"PURPOSE AND METHODS: Our secondary analyses compared survival with eribulin versus capecitabine in various patient subgroups from a phase 3, open-label, randomized study. Eligible women aged ≥18 years with advanced/metastatic breast cancer and ≤3 prior chemotherapies (≤2 for advanced/metastatic disease), including an anthracycline and taxane, were randomized 1:1 to intravenous eribulin mesylate 1.4 mg/m(2) on days 1 and 8 or twice-daily oral capecitabine 1250 mg/m(2) on days 1-14 (21-day cycles).\nRESULTS: In the intent-to-treat population (eribulin 554 and capecitabine 548), overall survival appeared longer with eribulin than capecitabine in various subgroups, including patients with human epidermal growth factor receptor 2-negative (15.9 versus 13.5 months, respectively), estrogen receptor-negative (14.4 versus 10.5 months, respectively), and triple-negative (14.4 versus 9.4 months, respectively) disease. Progression-free survival was similar between the treatment arms.\nCONCLUSIONS: Patients with advanced/metastatic breast cancer and human epidermal growth factor receptor 2-, estrogen receptor-, or triple-negative disease may gain particular benefit from eribulin as first-, second-, and third-line chemotherapies.\nTRIAL REGISTRATION PRIMARY STUDY: This study reports the subgroup analyses of eribulin versus capecitabine from a phase 3, open-label, randomized study (www.clinicaltrials.gov; ClinicalTrials.gov identifier: NCT00337103).","container-title":"Breast Cancer: Basic and Clinical Research","DOI":"10.4137/BCBCR.S39615","ISSN":"1178-2234","journalAbbreviation":"Breast Cancer (Auckl)","language":"eng","note":"PMID: 27398025\nPMCID: PMC4927108","page":"77-84","source":"PubMed","title":"Subgroup Analyses from a Phase 3, Open-Label, Randomized Study of Eribulin Mesylate Versus Capecitabine in Pretreated Patients with Advanced or Metastatic Breast Cancer","volume":"10","author":[{"family":"Twelves","given":"Chris"},{"family":"Awada","given":"Ahmad"},{"family":"Cortes","given":"Javier"},{"family":"Yelle","given":"Louise"},{"family":"Velikova","given":"Galina"},{"family":"Olivo","given":"Martin S."},{"family":"Song","given":"James"},{"family":"Dutcus","given":"Corina E."},{"family":"Kaufman","given":"Peter A."}],"issued":{"date-parts":[["2016"]]}}},{"id":66150,"uris":["http://zotero.org/groups/4797619/items/FWP3JYLN"],"itemData":{"id":66150,"type":"article-journal","abstract":"This post hoc subgroup analysis of a large phase 3 study compared the efficacy and safety of eribulin versus capecitabine in patients with human epidermal growth factor receptor 2 (HER2)-negative metastatic breast cancer who received second-line treatment. In the phase 3 study, women with advanced/metastatic breast cancer and ≤ 3 prior chemotherapies were randomized 1:1 to eribulin mesilate 1.4 mg/m2 intravenously on days 1 and 8, or twice-daily oral capecitabine 1.25 g/m2 on days 1-14 (21-day cycles). This analysis included 392 patients. Median overall survival was longer in patients receiving eribulin compared with capecitabine (16.1 vs 13.5 months, respectively; HR 0.77, P = 0.026). Median progression-free survival and response rates were similar between arms. Both treatments had manageable safety profiles.","container-title":"Breast Cancer (Tokyo, Japan)","DOI":"10.1007/s12282-017-0826-4","ISSN":"1880-4233","issue":"3","journalAbbreviation":"Breast Cancer","language":"eng","note":"PMID: 29302858\nPMCID: PMC5906517","page":"370-374","source":"PubMed","title":"Subgroup analysis of patients with HER2-negative metastatic breast cancer in the second-line setting from a phase 3, open-label, randomized study of eribulin mesilate versus capecitabine","volume":"25","author":[{"family":"Pivot","given":"Xavier"},{"family":"Im","given":"Seock Ah"},{"family":"Guo","given":"Matthew"},{"family":"Marmé","given":"Frederik"}],"issued":{"date-parts":[["2018",5]]}}},{"id":66278,"uris":["http://zotero.org/groups/4797619/items/L9C8M9U3"],"itemData":{"id":66278,"type":"article-journal","abstract":"BACKGROUND: Use of antiangiogenic agents in treatment of metastatic breast cancer (MBC) remains controversial. We evaluated the efficacy and safety of ramucirumab and eribulin versus eribulin alone as third- to fifth-line therapy in women with advanced breast cancer.\nPATIENTS AND METHODS: In this randomized (1:1), open-label, phase II study, US women aged 18 years or older with 2 to 4 previous chemotherapy regimens for locally recurrent or MBC, previous anthracycline and taxane treatment, and Eastern Cooperative Oncology Group performance status of 0 or 1 received ramucirumab with eribulin or eribulin alone in 21-day cycles (eribulin 1.4 mg/m2 intravenously on days 1 and 8; ramucirumab 10 mg/kg intravenously on day 1). Randomization was stratified according to previous antiangiogenic therapy and triple-negative status. The primary end point was progression-free survival (PFS) in the intention to treat population.\nRESULTS: One hundred forty-one women were randomized to ramucirumab with eribulin (n = 71) or eribulin alone (n = 70). Median PFS for ramucirumab with eribulin was 4.4 months (95% confidence interval [CI], 3.1-6.7) compared with 4.1 months (95% CI, 3.2-5.6) for eribulin (hazard ratio [HR], 0.83; 95% CI, 0.56-1.23; P = .35). Median overall survival in patients who received ramucirumab with eribulin was 13.5 months (95% CI, 10.4-17.9) compared with 11.5 months (95% CI, 9.0-17.3) in patients who received eribulin alone (HR, 0.91; 95% CI, 0.59-1.41; P = .68); objective response rate was 21% (13 of 62 patients) for the combination and 28% (17 of 60 patients) for eribulin alone. No unexpected toxicity was identified for the combination.\nCONCLUSION: Ramucirumab combined with eribulin did not significantly improve PFS in advanced MBC.","container-title":"Clinical Breast Cancer","DOI":"10.1016/j.clbc.2016.07.005","ISSN":"1938-0666","issue":"6","journalAbbreviation":"Clin Breast Cancer","language":"eng","note":"PMID: 27569274","page":"471-479.e1","source":"PubMed","title":"Ramucirumab With Eribulin Versus Eribulin in Locally Recurrent or Metastatic Breast Cancer Previously Treated With Anthracycline and Taxane Therapy: A Multicenter, Randomized, Phase II Study","title-short":"Ramucirumab With Eribulin Versus Eribulin in Locally Recurrent or Metastatic Breast Cancer Previously Treated With Anthracycline and Taxane Therapy","volume":"16","author":[{"family":"Yardley","given":"Denise A."},{"family":"Reeves","given":"James"},{"family":"Dees","given":"E. Claire"},{"family":"Osborne","given":"Cynthia"},{"family":"Paul","given":"Devchand"},{"family":"Ademuyiwa","given":"Foluso"},{"family":"Soliman","given":"Hatem"},{"family":"Guthrie","given":"Troy"},{"family":"Andersen","given":"Jay"},{"family":"Krekow","given":"Lea"},{"family":"Choksi","given":"Janak"},{"family":"Daniel","given":"Brooke"},{"family":"Danso","given":"Michael"},{"family":"Favret","given":"Anne"},{"family":"Oommen","given":"Sanjay"},{"family":"Brufsky","given":"Adam"},{"family":"Bromund","given":"Jane L."},{"family":"Lin","given":"Yong"},{"family":"Ibrahim","given":"Ayman B."},{"family":"Richards","given":"Paul D."}],"issued":{"date-parts":[["2016",12]]}}}],"schema":"https://github.com/citation-style-language/schema/raw/master/csl-citation.json"} </w:instrText>
      </w:r>
      <w:r w:rsidR="00ED3A40">
        <w:fldChar w:fldCharType="separate"/>
      </w:r>
      <w:r w:rsidR="00FD57F4" w:rsidRPr="00FD57F4">
        <w:rPr>
          <w:rFonts w:cs="Arial"/>
          <w:szCs w:val="24"/>
          <w:vertAlign w:val="superscript"/>
        </w:rPr>
        <w:t>43–47</w:t>
      </w:r>
      <w:r w:rsidR="00ED3A40">
        <w:fldChar w:fldCharType="end"/>
      </w:r>
      <w:r w:rsidR="00D154F3" w:rsidRPr="002646F6">
        <w:t xml:space="preserve"> </w:t>
      </w:r>
      <w:r w:rsidR="00F07B93" w:rsidRPr="002646F6">
        <w:t xml:space="preserve">In </w:t>
      </w:r>
      <w:r w:rsidR="0013511A" w:rsidRPr="002646F6">
        <w:t>HER2-negative/HR-negative</w:t>
      </w:r>
      <w:r w:rsidR="00F07B93" w:rsidRPr="002646F6">
        <w:t xml:space="preserve"> u/mBC, </w:t>
      </w:r>
      <w:r w:rsidR="00E05C64" w:rsidRPr="002646F6">
        <w:t xml:space="preserve">outcomes are </w:t>
      </w:r>
      <w:r w:rsidR="00EE53D1" w:rsidRPr="002646F6">
        <w:t>even worse,</w:t>
      </w:r>
      <w:r w:rsidR="004109B8" w:rsidRPr="002646F6">
        <w:t xml:space="preserve"> </w:t>
      </w:r>
      <w:r w:rsidR="00973196" w:rsidRPr="002646F6">
        <w:t xml:space="preserve">with </w:t>
      </w:r>
      <w:r w:rsidR="00F07B93" w:rsidRPr="002646F6">
        <w:t>m</w:t>
      </w:r>
      <w:r w:rsidR="000A2584">
        <w:t xml:space="preserve">edian </w:t>
      </w:r>
      <w:r w:rsidR="00F07B93" w:rsidRPr="002646F6">
        <w:t>PFS and m</w:t>
      </w:r>
      <w:r w:rsidR="000A2584">
        <w:t xml:space="preserve">edian </w:t>
      </w:r>
      <w:r w:rsidR="00F07B93" w:rsidRPr="002646F6">
        <w:t xml:space="preserve">OS </w:t>
      </w:r>
      <w:r w:rsidR="00973196" w:rsidRPr="002646F6">
        <w:t>of</w:t>
      </w:r>
      <w:r w:rsidR="00DA7AE5" w:rsidRPr="002646F6">
        <w:t xml:space="preserve"> </w:t>
      </w:r>
      <w:r w:rsidR="00B30465">
        <w:t>1.7</w:t>
      </w:r>
      <w:r w:rsidR="00DA7AE5" w:rsidRPr="002646F6">
        <w:t>–</w:t>
      </w:r>
      <w:r w:rsidR="000015AE">
        <w:t>2.8</w:t>
      </w:r>
      <w:r w:rsidR="00DA7AE5" w:rsidRPr="002646F6">
        <w:t xml:space="preserve"> months </w:t>
      </w:r>
      <w:r w:rsidR="00562572" w:rsidRPr="002646F6">
        <w:t>and</w:t>
      </w:r>
      <w:r w:rsidR="00CC680D" w:rsidRPr="002646F6">
        <w:t xml:space="preserve"> </w:t>
      </w:r>
      <w:r w:rsidR="00C27C13">
        <w:t>6.7</w:t>
      </w:r>
      <w:r w:rsidR="0024419B" w:rsidRPr="002646F6">
        <w:t>–12.4 months</w:t>
      </w:r>
      <w:r w:rsidR="00562572" w:rsidRPr="002646F6">
        <w:t>, respectively</w:t>
      </w:r>
      <w:r w:rsidR="0024419B" w:rsidRPr="002646F6">
        <w:t>.</w:t>
      </w:r>
      <w:r w:rsidR="0024419B" w:rsidRPr="002646F6">
        <w:fldChar w:fldCharType="begin"/>
      </w:r>
      <w:r w:rsidR="00CA6345">
        <w:instrText xml:space="preserve"> ADDIN ZOTERO_ITEM CSL_CITATION {"citationID":"39vcJbNI","properties":{"formattedCitation":"\\super 43,48\\uc0\\u8211{}50\\nosupersub{}","plainCitation":"43,48–50","noteIndex":0},"citationItems":[{"id":66444,"uris":["http://zotero.org/groups/4797619/items/44JAGUPG"],"itemData":{"id":66444,"type":"article-journal","container-title":"New England Journal of Medicine","DOI":"10.1056/NEJMoa2028485","ISSN":"0028-4793","issue":"16","note":"publisher: Massachusetts Medical Society\n_eprint: https://doi.org/10.1056/NEJMoa2028485\nPMID: 33882206","page":"1529-1541","source":"Taylor and Francis+NEJM","title":"Sacituzumab Govitecan in Metastatic Triple-Negative Breast Cancer","volume":"384","author":[{"family":"Bardia","given":"Aditya"},{"family":"Hurvitz","given":"Sara A."},{"family":"Tolaney","given":"Sara M."},{"family":"Loirat","given":"Delphine"},{"family":"Punie","given":"Kevin"},{"family":"Oliveira","given":"Mafalda"},{"family":"Brufsky","given":"Adam"},{"family":"Sardesai","given":"Sagar D."},{"family":"Kalinsky","given":"Kevin"},{"family":"Zelnak","given":"Amelia B."},{"family":"Weaver","given":"Robert"},{"family":"Traina","given":"Tiffany"},{"family":"Dalenc","given":"Florence"},{"family":"Aftimos","given":"Philippe"},{"family":"Lynce","given":"Filipa"},{"family":"Diab","given":"Sami"},{"family":"Cortés","given":"Javier"},{"family":"O’Shaughnessy","given":"Joyce"},{"family":"Diéras","given":"Véronique"},{"family":"Ferrario","given":"Cristiano"},{"family":"Schmid","given":"Peter"},{"family":"Carey","given":"Lisa A."},{"family":"Gianni","given":"Luca"},{"family":"Piccart","given":"Martine J."},{"family":"Loibl","given":"Sibylle"},{"family":"Goldenberg","given":"David M."},{"family":"Hong","given":"Quan"},{"family":"Olivo","given":"Martin S."},{"family":"Itri","given":"Loretta M."},{"family":"Rugo","given":"Hope S."}],"issued":{"date-parts":[["2021",4,22]]}}},{"id":66149,"uris":["http://zotero.org/groups/4797619/items/8M7DF85G"],"itemData":{"id":66149,"type":"article-journal","abstract":"BACKGROUND: Based on data from two multicenter, phase III clinical trials (Studies 301 and 305), eribulin (a microtubule dynamics inhibitor) is indicated in the European Union (EU) for patients with locally advanced or metastatic breast cancer (MBC) after ≥1 prior chemotherapy for advanced disease, including an anthracycline and a taxane in either the adjuvant or metastatic setting. Data from Studies 305 and 301 were pooled to investigate the efficacy of eribulin in various subgroups of patients who matched the EU label, including those with human epidermal growth factor receptor 2 (HER2)-negative and triple-negative disease.\nPATIENTS AND METHODS: In Study 305 (NCT00388726), patients were randomized 2:1 to eribulin mesylate 1.4 mg/m(2) (equivalent to eribulin 1.23 mg/m(2) [expressed as free base]) intravenously on days 1 and 8 every 21 days] or treatment of physician's choice after 2-5 prior chemotherapies (≥2 for advanced disease), including an anthracycline and a taxane (in early/advanced setting). In Study 301 (NCT00337103), patients were randomized 1:1 to eribulin (as above) or capecitabine (1.25 g/m(2) orally twice daily on days 1-14 every 21 days) following ≤3 prior chemotherapies (≤2 for advanced disease), including an anthracycline and a taxane. Efficacy end points were investigated in the intent-to-treat population and subgroups, pooled as discussed above.\nRESULTS: Overall, 1644 patients were included (eribulin: 946; control: 698); baseline characteristics were well matched. Overall survival was significantly longer with eribulin versus control (P &lt; 0.01), as were progression-free survival and clinical benefit rate (both P &lt; 0.05). Significant survival benefits with eribulin versus control were observed in a wide range of patient subgroups, including HER2-negative or triple-negative disease (all P &lt; 0.05).\nCONCLUSION: Our findings underline the survival benefit achieved by eribulin used according to EU label in the overall MBC population and in various subgroups of interest, including patients with HER2-negative and triple-negative disease.","container-title":"Annals of Oncology: Official Journal of the European Society for Medical Oncology","DOI":"10.1093/annonc/mdw203","ISSN":"1569-8041","issue":"8","journalAbbreviation":"Ann Oncol","language":"eng","note":"PMID: 27177860\nPMCID: PMC4959925","page":"1525-1531","source":"PubMed","title":"Pooled analyses of eribulin in metastatic breast cancer patients with at least one prior chemotherapy","volume":"27","author":[{"family":"Pivot","given":"X."},{"family":"Marmé","given":"F."},{"family":"Koenigsberg","given":"R."},{"family":"Guo","given":"M."},{"family":"Berrak","given":"E."},{"family":"Wolfer","given":"A."}],"issued":{"date-parts":[["2016",8]]}}},{"id":66759,"uris":["http://zotero.org/groups/4797619/items/WRYWKH52"],"itemData":{"id":66759,"type":"article-journal","abstract":"The METRIC study (NCT#0199733) explored a novel antibody–drug conjugate, glembatumumab vedotin (GV), targeting gpNMB that is overexpressed in ~40% of patients with triple-negative breast cancer (TNBC) and associated with poor prognosis. The study was a randomized, open-label, phase 2b study that evaluated progression-free survival (PFS) of GV compared with capecitabine in gpNMB-overexpressing TNBC. Patients who had previously received anthracycline and taxane-based therapy were randomized 2:1 to receive, GV (1.88 mg/kg IV q21 days) or capecitabine (2500 mg/m2 PO daily d1–14 q21 days). The primary endpoint was RECIST 1.1 PFS per independent, blinded central review. In all, 327 patients were randomized to GV (213 treated) or capecitabine (92 treated). Median PFS was 2.9 months for GV vs. 2.8 months for capecitabine. The most common grade ≥3 toxicities for GV were neutropenia, rash, and leukopenia, and for capecitabine were fatigue, diarrhea, and palmar-plantar erythrodysesthesia. The study did not meet the primary endpoint of improved PFS over capecitabine or demonstrate a relative risk/benefit improvement over capecitabine.","container-title":"npj Breast Cancer","DOI":"10.1038/s41523-021-00244-6","ISSN":"2374-4677","issue":"1","language":"en","license":"2021 The Author(s)","note":"number: 1\npublisher: Nature Publishing Group","page":"1-10","source":"www.nature.com","title":"Glembatumumab vedotin for patients with metastatic, gpNMB overexpressing, triple-negative breast cancer (“METRIC”): a randomized multicenter study","title-short":"Glembatumumab vedotin for patients with metastatic, gpNMB overexpressing, triple-negative breast cancer (“METRIC”)","volume":"7","author":[{"family":"Vahdat","given":"Linda T."},{"family":"Schmid","given":"Peter"},{"family":"Forero-Torres","given":"Andres"},{"family":"Blackwell","given":"Kimberly"},{"family":"Telli","given":"Melinda L."},{"family":"Melisko","given":"Michelle"},{"family":"Möbus","given":"Volker"},{"family":"Cortes","given":"Javier"},{"family":"Montero","given":"Alberto J."},{"family":"Ma","given":"Cynthia"},{"family":"Nanda","given":"Rita"},{"family":"Wright","given":"Gail S."},{"family":"He","given":"Yi"},{"family":"Hawthorne","given":"Thomas"},{"family":"Bagley","given":"Rebecca G."},{"family":"Halim","given":"Abdel-Baset"},{"family":"Turner","given":"Christopher D."},{"family":"Yardley","given":"Denise A."}],"issued":{"date-parts":[["2021",5,20]]}}},{"id":66764,"uris":["http://zotero.org/groups/4797619/items/YX8NEWUE"],"itemData":{"id":66764,"type":"article-journal","container-title":"The Lancet Oncology","DOI":"10.1016/S1470-2045(20)30754-3","ISSN":"1470-2045, 1474-5488","issue":"4","journalAbbreviation":"The Lancet Oncology","language":"English","note":"publisher: Elsevier\nPMID: 33676601","page":"499-511","source":"www.thelancet.com","title":"Pembrolizumab versus investigator-choice chemotherapy for metastatic triple-negative breast cancer (KEYNOTE-119): a randomised, open-label, phase 3 trial","title-short":"Pembrolizumab versus investigator-choice chemotherapy for metastatic triple-negative breast cancer (KEYNOTE-119)","volume":"22","author":[{"family":"Winer","given":"Eric P."},{"family":"Lipatov","given":"Oleg"},{"family":"Im","given":"Seock-Ah"},{"family":"Goncalves","given":"Anthony"},{"family":"Muñoz-Couselo","given":"Eva"},{"family":"Lee","given":"Keun Seok"},{"family":"Schmid","given":"Peter"},{"family":"Tamura","given":"Kenji"},{"family":"Testa","given":"Laura"},{"family":"Witzel","given":"Isabell"},{"family":"Ohtani","given":"Shoichiro"},{"family":"Turner","given":"Nicholas"},{"family":"Zambelli","given":"Stefania"},{"family":"Harbeck","given":"Nadia"},{"family":"Andre","given":"Fabrice"},{"family":"Dent","given":"Rebecca"},{"family":"Zhou","given":"Xuan"},{"family":"Karantza","given":"Vassiliki"},{"family":"Mejia","given":"Jaime"},{"family":"Cortes","given":"Javier"}],"issued":{"date-parts":[["2021",4,1]]}}}],"schema":"https://github.com/citation-style-language/schema/raw/master/csl-citation.json"} </w:instrText>
      </w:r>
      <w:r w:rsidR="0024419B" w:rsidRPr="002646F6">
        <w:fldChar w:fldCharType="separate"/>
      </w:r>
      <w:r w:rsidR="00FD57F4" w:rsidRPr="00FD57F4">
        <w:rPr>
          <w:rFonts w:cs="Arial"/>
          <w:szCs w:val="24"/>
          <w:vertAlign w:val="superscript"/>
        </w:rPr>
        <w:t>43,48–50</w:t>
      </w:r>
      <w:r w:rsidR="0024419B" w:rsidRPr="002646F6">
        <w:fldChar w:fldCharType="end"/>
      </w:r>
      <w:r w:rsidR="00973196" w:rsidRPr="002646F6">
        <w:t xml:space="preserve"> </w:t>
      </w:r>
      <w:r w:rsidR="004109B8" w:rsidRPr="002646F6">
        <w:t>This</w:t>
      </w:r>
      <w:r w:rsidR="00973196" w:rsidRPr="002646F6">
        <w:t xml:space="preserve"> </w:t>
      </w:r>
      <w:r w:rsidR="00C533AD" w:rsidRPr="002646F6">
        <w:t>highlight</w:t>
      </w:r>
      <w:r w:rsidR="004109B8" w:rsidRPr="002646F6">
        <w:t>s</w:t>
      </w:r>
      <w:r w:rsidR="00C533AD" w:rsidRPr="002646F6">
        <w:t xml:space="preserve"> </w:t>
      </w:r>
      <w:r w:rsidR="004109B8" w:rsidRPr="002646F6">
        <w:t>the</w:t>
      </w:r>
      <w:r w:rsidR="00C533AD" w:rsidRPr="002646F6">
        <w:t xml:space="preserve"> need for </w:t>
      </w:r>
      <w:r w:rsidR="007218F6" w:rsidRPr="002646F6">
        <w:t>more</w:t>
      </w:r>
      <w:r w:rsidR="00C533AD" w:rsidRPr="002646F6">
        <w:t xml:space="preserve"> effective therapies for patients </w:t>
      </w:r>
      <w:r w:rsidR="003879F4" w:rsidRPr="002646F6">
        <w:t xml:space="preserve">with </w:t>
      </w:r>
      <w:r w:rsidR="00EE53D1" w:rsidRPr="002646F6">
        <w:t>u/</w:t>
      </w:r>
      <w:r w:rsidR="003879F4" w:rsidRPr="002646F6">
        <w:t xml:space="preserve">mBC </w:t>
      </w:r>
      <w:r w:rsidR="00C533AD" w:rsidRPr="002646F6">
        <w:t>currently classified as HER2-negative.</w:t>
      </w:r>
      <w:r w:rsidR="0024419B" w:rsidRPr="002646F6">
        <w:t xml:space="preserve"> </w:t>
      </w:r>
    </w:p>
    <w:p w14:paraId="10DD3CD5" w14:textId="48A3EF29" w:rsidR="00957FE4" w:rsidRPr="00C61DA6" w:rsidRDefault="008E08CD" w:rsidP="00957FE4">
      <w:pPr>
        <w:pStyle w:val="Body"/>
      </w:pPr>
      <w:r w:rsidRPr="002646F6">
        <w:t xml:space="preserve">Although </w:t>
      </w:r>
      <w:r w:rsidR="000B376C" w:rsidRPr="002646F6">
        <w:t xml:space="preserve">the current HER2 classification </w:t>
      </w:r>
      <w:r w:rsidR="00EA6735" w:rsidRPr="002646F6">
        <w:t>paradigm</w:t>
      </w:r>
      <w:r w:rsidR="000B376C" w:rsidRPr="002646F6">
        <w:t xml:space="preserve"> </w:t>
      </w:r>
      <w:r w:rsidR="003F7EFA" w:rsidRPr="002646F6">
        <w:t>is binary</w:t>
      </w:r>
      <w:r w:rsidR="00D01679" w:rsidRPr="002646F6">
        <w:t>,</w:t>
      </w:r>
      <w:r w:rsidR="003F7EFA" w:rsidRPr="002646F6">
        <w:t xml:space="preserve"> </w:t>
      </w:r>
      <w:r w:rsidR="00D01679" w:rsidRPr="002646F6">
        <w:t xml:space="preserve">with </w:t>
      </w:r>
      <w:r w:rsidR="004B04F1" w:rsidRPr="002646F6">
        <w:t>patients</w:t>
      </w:r>
      <w:r w:rsidR="00D01679" w:rsidRPr="002646F6">
        <w:t xml:space="preserve"> </w:t>
      </w:r>
      <w:r w:rsidRPr="002646F6">
        <w:t xml:space="preserve">categorised as </w:t>
      </w:r>
      <w:r w:rsidR="004B04F1" w:rsidRPr="002646F6">
        <w:t xml:space="preserve">either </w:t>
      </w:r>
      <w:r w:rsidRPr="002646F6">
        <w:t>HER2-neg</w:t>
      </w:r>
      <w:r w:rsidR="00BB3C50" w:rsidRPr="002646F6">
        <w:t>ative</w:t>
      </w:r>
      <w:r w:rsidR="002C447D" w:rsidRPr="002646F6">
        <w:t xml:space="preserve"> </w:t>
      </w:r>
      <w:r w:rsidR="004B04F1" w:rsidRPr="002646F6">
        <w:t>or HER2-positive,</w:t>
      </w:r>
      <w:r w:rsidRPr="002646F6">
        <w:t xml:space="preserve"> a proportion of </w:t>
      </w:r>
      <w:r w:rsidR="00F71E27" w:rsidRPr="002646F6">
        <w:t>HER2-negative</w:t>
      </w:r>
      <w:r w:rsidRPr="002646F6">
        <w:t xml:space="preserve"> patients </w:t>
      </w:r>
      <w:r w:rsidR="00EB4E11" w:rsidRPr="002646F6">
        <w:t xml:space="preserve">have tumours that </w:t>
      </w:r>
      <w:r w:rsidRPr="002646F6">
        <w:t>express low</w:t>
      </w:r>
      <w:r w:rsidR="00FF29D1" w:rsidRPr="002646F6">
        <w:t>er</w:t>
      </w:r>
      <w:r w:rsidRPr="002646F6">
        <w:t xml:space="preserve"> levels of HER2</w:t>
      </w:r>
      <w:r w:rsidR="00574F87" w:rsidRPr="002646F6">
        <w:t>, c</w:t>
      </w:r>
      <w:r w:rsidR="00F94905" w:rsidRPr="002646F6">
        <w:t xml:space="preserve">lassified as </w:t>
      </w:r>
      <w:r w:rsidR="0059145E" w:rsidRPr="002646F6">
        <w:t>HER2-low</w:t>
      </w:r>
      <w:r w:rsidR="00ED600C" w:rsidRPr="002646F6">
        <w:t>. While</w:t>
      </w:r>
      <w:r w:rsidRPr="002646F6">
        <w:t xml:space="preserve"> HER2-low </w:t>
      </w:r>
      <w:r w:rsidR="001C034E" w:rsidRPr="002646F6">
        <w:t>u/</w:t>
      </w:r>
      <w:r w:rsidRPr="002646F6">
        <w:t>mBC is clinically recognised as a new category of BC</w:t>
      </w:r>
      <w:r w:rsidR="00102434" w:rsidRPr="002646F6">
        <w:t xml:space="preserve"> </w:t>
      </w:r>
      <w:r w:rsidR="00736772" w:rsidRPr="002646F6">
        <w:t>in recent</w:t>
      </w:r>
      <w:r w:rsidR="00FA0C54" w:rsidRPr="002646F6">
        <w:t xml:space="preserve"> clinical</w:t>
      </w:r>
      <w:r w:rsidR="00736772" w:rsidRPr="002646F6">
        <w:t xml:space="preserve"> guidelines </w:t>
      </w:r>
      <w:r w:rsidR="00084DEE" w:rsidRPr="002646F6">
        <w:t xml:space="preserve">by the </w:t>
      </w:r>
      <w:r w:rsidR="00102434" w:rsidRPr="002646F6">
        <w:t>E</w:t>
      </w:r>
      <w:r w:rsidR="009F1817">
        <w:t>SMO</w:t>
      </w:r>
      <w:r w:rsidR="00656218" w:rsidRPr="002646F6">
        <w:t>,</w:t>
      </w:r>
      <w:r w:rsidR="000135A9" w:rsidRPr="002646F6">
        <w:fldChar w:fldCharType="begin"/>
      </w:r>
      <w:r w:rsidR="00CA6345">
        <w:instrText xml:space="preserve"> ADDIN ZOTERO_ITEM CSL_CITATION {"citationID":"OXkPiIEF","properties":{"formattedCitation":"\\super 42\\nosupersub{}","plainCitation":"42","noteIndex":0},"citationItems":[{"id":65955,"uris":["http://zotero.org/groups/4797619/items/4KXA6CCG"],"itemData":{"id":65955,"type":"article-journal","container-title":"Annals of Oncology: Official Journal of the European Society for Medical Oncology","DOI":"10.1016/j.annonc.2021.09.019","ISSN":"1569-8041","issue":"12","journalAbbreviation":"Ann Oncol","language":"eng","note":"PMID: 34678411","page":"1475-1495","source":"PubMed","title":"ESMO Clinical Practice Guideline for the diagnosis, staging and treatment of patients with metastatic breast cancer","volume":"32","author":[{"family":"Gennari","given":"A."},{"family":"André","given":"F."},{"family":"Barrios","given":"C. H."},{"family":"Cortés","given":"J."},{"family":"Azambuja","given":"E.","non-dropping-particle":"de"},{"family":"DeMichele","given":"A."},{"family":"Dent","given":"R."},{"family":"Fenlon","given":"D."},{"family":"Gligorov","given":"J."},{"family":"Hurvitz","given":"S. A."},{"family":"Im","given":"S.-A."},{"family":"Krug","given":"D."},{"family":"Kunz","given":"W. G."},{"family":"Loi","given":"S."},{"family":"Penault-Llorca","given":"F."},{"family":"Ricke","given":"J."},{"family":"Robson","given":"M."},{"family":"Rugo","given":"H. S."},{"family":"Saura","given":"C."},{"family":"Schmid","given":"P."},{"family":"Singer","given":"C. F."},{"family":"Spanic","given":"T."},{"family":"Tolaney","given":"S. M."},{"family":"Turner","given":"N. C."},{"family":"Curigliano","given":"G."},{"family":"Loibl","given":"S."},{"family":"Paluch-Shimon","given":"S."},{"family":"Harbeck","given":"N."},{"literal":"ESMO Guidelines Committee. Electronic address: clinicalguidelines@esmo.org"}],"issued":{"date-parts":[["2021",12]]}}}],"schema":"https://github.com/citation-style-language/schema/raw/master/csl-citation.json"} </w:instrText>
      </w:r>
      <w:r w:rsidR="000135A9" w:rsidRPr="002646F6">
        <w:fldChar w:fldCharType="separate"/>
      </w:r>
      <w:r w:rsidR="00FD57F4" w:rsidRPr="00FD57F4">
        <w:rPr>
          <w:rFonts w:cs="Arial"/>
          <w:szCs w:val="24"/>
          <w:vertAlign w:val="superscript"/>
        </w:rPr>
        <w:t>42</w:t>
      </w:r>
      <w:r w:rsidR="000135A9" w:rsidRPr="002646F6">
        <w:fldChar w:fldCharType="end"/>
      </w:r>
      <w:r w:rsidR="00656218" w:rsidRPr="002646F6">
        <w:t xml:space="preserve"> </w:t>
      </w:r>
      <w:r w:rsidR="00FA0C54" w:rsidRPr="002646F6">
        <w:t xml:space="preserve">the </w:t>
      </w:r>
      <w:r w:rsidR="00084DEE" w:rsidRPr="002646F6">
        <w:t>American Society of Clinical Oncology (</w:t>
      </w:r>
      <w:r w:rsidR="00102434" w:rsidRPr="002646F6">
        <w:t>ASCO</w:t>
      </w:r>
      <w:r w:rsidR="00084DEE" w:rsidRPr="002646F6">
        <w:t>)</w:t>
      </w:r>
      <w:r w:rsidR="0098168F" w:rsidRPr="002646F6">
        <w:t>,</w:t>
      </w:r>
      <w:r w:rsidR="000135A9" w:rsidRPr="002646F6">
        <w:fldChar w:fldCharType="begin"/>
      </w:r>
      <w:r w:rsidR="00CA6345">
        <w:instrText xml:space="preserve"> ADDIN ZOTERO_ITEM CSL_CITATION {"citationID":"13Kzv2ED","properties":{"formattedCitation":"\\super 71\\nosupersub{}","plainCitation":"71","noteIndex":0},"citationItems":[{"id":66147,"uris":["http://zotero.org/groups/4797619/items/YTHABEAP"],"itemData":{"id":66147,"type":"article-journal","abstract":"ASCO Rapid Recommendations Updates highlight revisions to select ASCO guideline recommendations as a response to the emergence of new and practice-changing data. The rapid updates are supported by an evidence review and follow the guideline development processes outlined in the ASCO Guideline Methodology Manual. The goal of these articles is to disseminate updated recommendations, in a timely manner, to better inform health practitioners and the public on the best available cancer care options.","archive_location":"world","container-title":"Journal of Clinical Oncology","DOI":"10.1200/JCO.22.01533","language":"EN","license":"© 2022 by American Society of Clinical Oncology","note":"publisher: Wolters Kluwer Health","source":"ascopubs.org","title":"Chemotherapy and Targeted Therapy for Human Epidermal Growth Factor Receptor 2–Negative Metastatic Breast Cancer That Is Either Endocrine-Pretreated or Hormone Receptor–Negative: ASCO Guideline Rapid Recommendation Update","title-short":"Chemotherapy and Targeted Therapy for Human Epidermal Growth Factor Receptor 2–Negative Metastatic Breast Cancer That Is Either Endocrine-Pretreated or Hormone Receptor–Negative","URL":"https://ascopubs.org/doi/pdf/10.1200/JCO.22.01533?role=tab)","author":[{"family":"Moy","given":"Beverly"},{"family":"Rumble","given":"R. Bryan"},{"family":"Carey","given":"Lisa A."},{"family":"Panel","given":"for the Chemotherapy and Targeted Therapy for HER2-Negative Metastatic Breast Cancer that is Either Endocrine-Pretreated or Hormone Receptor–Negative Expert"}],"accessed":{"date-parts":[["2022",11,16]]},"issued":{"date-parts":[["2022",8,4]]}}}],"schema":"https://github.com/citation-style-language/schema/raw/master/csl-citation.json"} </w:instrText>
      </w:r>
      <w:r w:rsidR="000135A9" w:rsidRPr="002646F6">
        <w:fldChar w:fldCharType="separate"/>
      </w:r>
      <w:r w:rsidR="00FD57F4" w:rsidRPr="00FD57F4">
        <w:rPr>
          <w:rFonts w:cs="Arial"/>
          <w:szCs w:val="24"/>
          <w:vertAlign w:val="superscript"/>
        </w:rPr>
        <w:t>71</w:t>
      </w:r>
      <w:r w:rsidR="000135A9" w:rsidRPr="002646F6">
        <w:fldChar w:fldCharType="end"/>
      </w:r>
      <w:r w:rsidR="00656218" w:rsidRPr="002646F6">
        <w:t xml:space="preserve"> and</w:t>
      </w:r>
      <w:r w:rsidR="000135A9" w:rsidRPr="002646F6">
        <w:t xml:space="preserve"> US National Comprehensive Cancer Network (NCCN)</w:t>
      </w:r>
      <w:r w:rsidR="00CD7F19" w:rsidRPr="002646F6">
        <w:t>,</w:t>
      </w:r>
      <w:r w:rsidR="00802D93" w:rsidRPr="002646F6">
        <w:fldChar w:fldCharType="begin"/>
      </w:r>
      <w:r w:rsidR="00CA6345">
        <w:instrText xml:space="preserve"> ADDIN ZOTERO_ITEM CSL_CITATION {"citationID":"r7FyaA52","properties":{"formattedCitation":"\\super 72\\nosupersub{}","plainCitation":"72","noteIndex":0},"citationItems":[{"id":65859,"uris":["http://zotero.org/groups/4797619/items/73ARJN9L"],"itemData":{"id":65859,"type":"article-journal","language":"EN","note":"publisher: National Comprehensive Cancer Network","title":"NCCN Clinical Practice Guidelines in Oncology, Breast Cancer. Version 4.2022.","URL":"https://www.nccn.org/patients/guidelines/cancers.aspx","author":[{"family":"Gradishar","given":"William J."},{"family":"Moran","given":"Meena S."},{"family":"Abraham","given":"Jame"},{"family":"Aft","given":"Rebecca"},{"family":"Agnese","given":"Doreen"},{"family":"Allison","given":"Kimberly H."},{"family":"Anderson","given":"Bethany"},{"family":"Burstein","given":"Harold J."},{"family":"Chew","given":"Helen"},{"family":"Dang","given":"Chau"},{"family":"Elias","given":"Anthony D."},{"family":"Giordano","given":"Sharon H."},{"family":"Goetz","given":"Matthew P."},{"family":"Goldstein","given":"Lori J."},{"family":"Hurvitz","given":"Sara A."},{"family":"Isakoff","given":"Steven J."},{"family":"Jankowitz","given":"Rachel C."},{"family":"Javid","given":"Sara H."},{"family":"Krishnamurthy","given":"Jairam"},{"family":"Leitch","given":"Marilyn"},{"family":"Lyons","given":"Janice"},{"family":"Mortimer","given":"Joanne"},{"family":"Patel","given":"Sameer A."},{"family":"Pierce","given":"Lori J."},{"family":"Rosenberger","given":"Laura H."},{"family":"Rugo","given":"Hope S."},{"family":"Sitapati","given":"Amy"},{"family":"Smith","given":"Karen Lisa"},{"family":"Smith","given":"Mary Lou"},{"family":"Soliman","given":"Hatem"},{"family":"Stringer-Reasor","given":"Erica M."},{"family":"Telli","given":"Melinda L."},{"family":"Ward","given":"John H."},{"family":"Wisinski","given":"Kari B."},{"family":"Young","given":"Jessica S."},{"family":"Berardi","given":"Ryan"},{"family":"Kumar","given":"Rashmi"}],"accessed":{"date-parts":[["2022",11,3]]},"issued":{"date-parts":[["2022",6,21]]}}}],"schema":"https://github.com/citation-style-language/schema/raw/master/csl-citation.json"} </w:instrText>
      </w:r>
      <w:r w:rsidR="00802D93" w:rsidRPr="002646F6">
        <w:fldChar w:fldCharType="separate"/>
      </w:r>
      <w:r w:rsidR="00FD57F4" w:rsidRPr="00FD57F4">
        <w:rPr>
          <w:rFonts w:cs="Arial"/>
          <w:szCs w:val="24"/>
          <w:vertAlign w:val="superscript"/>
        </w:rPr>
        <w:t>72</w:t>
      </w:r>
      <w:r w:rsidR="00802D93" w:rsidRPr="002646F6">
        <w:fldChar w:fldCharType="end"/>
      </w:r>
      <w:r w:rsidRPr="002646F6">
        <w:t xml:space="preserve"> </w:t>
      </w:r>
      <w:r w:rsidR="00CD7F19" w:rsidRPr="002646F6">
        <w:t xml:space="preserve">in the UK </w:t>
      </w:r>
      <w:r w:rsidR="00F2681E" w:rsidRPr="002646F6">
        <w:t xml:space="preserve">these patients </w:t>
      </w:r>
      <w:r w:rsidRPr="002646F6">
        <w:t>are currently treated according to HER2-neg</w:t>
      </w:r>
      <w:r w:rsidR="00547FD1" w:rsidRPr="002646F6">
        <w:t xml:space="preserve">ative </w:t>
      </w:r>
      <w:r w:rsidRPr="002646F6">
        <w:t>treatment pathways</w:t>
      </w:r>
      <w:r w:rsidR="00182337" w:rsidRPr="002646F6">
        <w:t>.</w:t>
      </w:r>
      <w:r w:rsidR="0098168F" w:rsidRPr="002646F6">
        <w:t xml:space="preserve"> </w:t>
      </w:r>
      <w:r w:rsidR="00977343" w:rsidRPr="002646F6">
        <w:t xml:space="preserve">While the </w:t>
      </w:r>
      <w:r w:rsidR="00D82CBC" w:rsidRPr="00C61DA6">
        <w:t>first anti-</w:t>
      </w:r>
      <w:r w:rsidR="00977343" w:rsidRPr="002646F6">
        <w:t>HER2</w:t>
      </w:r>
      <w:r w:rsidR="00D82CBC" w:rsidRPr="00C61DA6">
        <w:t xml:space="preserve"> </w:t>
      </w:r>
      <w:r w:rsidR="00977343" w:rsidRPr="002646F6">
        <w:t>targeted therapies were no</w:t>
      </w:r>
      <w:r w:rsidR="00D82CBC" w:rsidRPr="00C61DA6">
        <w:t xml:space="preserve">t effective in </w:t>
      </w:r>
      <w:r w:rsidR="00977343" w:rsidRPr="002646F6">
        <w:t>HER2-low u/mBC,</w:t>
      </w:r>
      <w:r w:rsidR="00274D43" w:rsidRPr="00C61DA6">
        <w:fldChar w:fldCharType="begin"/>
      </w:r>
      <w:r w:rsidR="00CA6345">
        <w:instrText xml:space="preserve"> ADDIN ZOTERO_ITEM CSL_CITATION {"citationID":"CmR8cf8I","properties":{"formattedCitation":"\\super 73\\nosupersub{}","plainCitation":"73","noteIndex":0},"citationItems":[{"id":66427,"uris":["http://zotero.org/groups/4797619/items/KMLD9YZX"],"itemData":{"id":66427,"type":"article-journal","abstract":"BACKGROUND: We evaluated the influence of HER2 gene amplification, as determined by fluorescence in situ hybridization (FISH), on clinical outcomes (objective response rates, time to disease progression, and overall survival time) in women with metastatic breast cancer treated with trastuzumab in 3 clinical trials. Breast cancer tissue specimens were evaluated using a direct labeled, dual-probe FISH assay.\nMATERIALS AND METHODS: Specimens with a HER2:CEP17 ratio of &gt; or = 2:0 were considered positive for gene amplification. All specimens had previously demonstrated overexpression of HER2 protein at the 2+ or 3+ level by immunohistochemistry using the Clinical Trials Assay. Response rate, time to disease progression, and survival times were then compared between the FISH-positive and FISH-negative cohorts in each of the 3 clinical trials.\nRESULTS: Informative FISH results were obtained in 765 (96%) of the 799 patients enrolled in the 3 clinical trials. Overall, 596 (78%) were FISH-positive and 169 (22%) were FISH-negative. The proportion of FISH-positive patients was comparable in all 3 trials. Clinical benefit from trastuzumab therapy appeared to be restricted to patients with FISH-positive metastatic breast cancer. In each clinical trial, the cohort of FISH-positive patients had higher overall response rates and longer durations of survival compared with FISH-negative patients.\nCONCLUSION: These data indicate that assessment of HER2 amplification by FISH is the preferred method to select patients for trastuzumab therapy.","container-title":"Clinical Breast Cancer","DOI":"10.3816/CBC.2005.n.026","ISSN":"1526-8209","issue":"3","journalAbbreviation":"Clin Breast Cancer","language":"eng","note":"PMID: 16137435","page":"240-246","source":"PubMed","title":"Evaluation of clinical outcomes according to HER2 detection by fluorescence in situ hybridization in women with metastatic breast cancer treated with trastuzumab","volume":"6","author":[{"family":"Mass","given":"Robert D."},{"family":"Press","given":"Michael F."},{"family":"Anderson","given":"Steven"},{"family":"Cobleigh","given":"Melody A."},{"family":"Vogel","given":"Charles L."},{"family":"Dybdal","given":"Noël"},{"family":"Leiberman","given":"Grazyna"},{"family":"Slamon","given":"Dennis J."}],"issued":{"date-parts":[["2005",8]]}}}],"schema":"https://github.com/citation-style-language/schema/raw/master/csl-citation.json"} </w:instrText>
      </w:r>
      <w:r w:rsidR="00274D43" w:rsidRPr="00C61DA6">
        <w:fldChar w:fldCharType="separate"/>
      </w:r>
      <w:r w:rsidR="00FD57F4" w:rsidRPr="00FD57F4">
        <w:rPr>
          <w:rFonts w:cs="Arial"/>
          <w:szCs w:val="24"/>
          <w:vertAlign w:val="superscript"/>
        </w:rPr>
        <w:t>73</w:t>
      </w:r>
      <w:r w:rsidR="00274D43" w:rsidRPr="00C61DA6">
        <w:fldChar w:fldCharType="end"/>
      </w:r>
      <w:r w:rsidR="00977343" w:rsidRPr="002646F6">
        <w:t xml:space="preserve"> the emergence of newer, more effective HER2-targeted therapies means that there may be an opportunity for improved outcomes in patients with HER2-low u/mBC.</w:t>
      </w:r>
    </w:p>
    <w:p w14:paraId="6A37039E" w14:textId="77777777" w:rsidR="009C0196" w:rsidRPr="00577CC2" w:rsidRDefault="009C0196" w:rsidP="009C0196">
      <w:pPr>
        <w:pStyle w:val="Heading4"/>
      </w:pPr>
      <w:bookmarkStart w:id="38" w:name="_Ref119072096"/>
      <w:r w:rsidRPr="00577CC2">
        <w:t>Epidemiology</w:t>
      </w:r>
      <w:bookmarkEnd w:id="38"/>
      <w:r w:rsidRPr="00577CC2">
        <w:t xml:space="preserve">    </w:t>
      </w:r>
    </w:p>
    <w:p w14:paraId="4DFDDB99" w14:textId="23243436" w:rsidR="00F66B46" w:rsidRDefault="0003443A" w:rsidP="009C1711">
      <w:pPr>
        <w:pStyle w:val="Body"/>
      </w:pPr>
      <w:r w:rsidRPr="00577CC2">
        <w:t xml:space="preserve">In total, </w:t>
      </w:r>
      <w:r w:rsidR="000A2A08" w:rsidRPr="002646F6">
        <w:t>45,2</w:t>
      </w:r>
      <w:r w:rsidR="008647F2" w:rsidRPr="002646F6">
        <w:t>9</w:t>
      </w:r>
      <w:r w:rsidR="000A2A08" w:rsidRPr="002646F6">
        <w:t>1</w:t>
      </w:r>
      <w:r w:rsidR="00752C6E" w:rsidRPr="00577CC2">
        <w:rPr>
          <w:rStyle w:val="CommentReference"/>
        </w:rPr>
        <w:t xml:space="preserve"> </w:t>
      </w:r>
      <w:r w:rsidR="00752C6E" w:rsidRPr="00577CC2">
        <w:t>ne</w:t>
      </w:r>
      <w:r w:rsidRPr="00577CC2">
        <w:t xml:space="preserve">w BC cases were recorded in England in </w:t>
      </w:r>
      <w:r w:rsidRPr="002646F6">
        <w:t>20</w:t>
      </w:r>
      <w:r w:rsidR="000A2A08" w:rsidRPr="002646F6">
        <w:t>20</w:t>
      </w:r>
      <w:r w:rsidR="007E763C" w:rsidRPr="00577CC2">
        <w:t>.</w:t>
      </w:r>
      <w:r w:rsidR="000A2A08" w:rsidRPr="00577CC2">
        <w:fldChar w:fldCharType="begin"/>
      </w:r>
      <w:r w:rsidR="00CA6345">
        <w:instrText xml:space="preserve"> ADDIN ZOTERO_ITEM CSL_CITATION {"citationID":"gkwmcwSE","properties":{"formattedCitation":"\\super 21\\nosupersub{}","plainCitation":"21","noteIndex":0},"citationItems":[{"id":66339,"uris":["http://zotero.org/groups/4797619/items/REJQKHRI"],"itemData":{"id":66339,"type":"webpage","title":"CancerData","URL":"https://www.cancerdata.nhs.uk/incidence_and_mortality","accessed":{"date-parts":[["2022",12,14]]}}}],"schema":"https://github.com/citation-style-language/schema/raw/master/csl-citation.json"} </w:instrText>
      </w:r>
      <w:r w:rsidR="000A2A08" w:rsidRPr="00577CC2">
        <w:fldChar w:fldCharType="separate"/>
      </w:r>
      <w:r w:rsidR="00FD57F4" w:rsidRPr="00FD57F4">
        <w:rPr>
          <w:rFonts w:cs="Arial"/>
          <w:szCs w:val="24"/>
          <w:vertAlign w:val="superscript"/>
        </w:rPr>
        <w:t>21</w:t>
      </w:r>
      <w:r w:rsidR="000A2A08" w:rsidRPr="00577CC2">
        <w:fldChar w:fldCharType="end"/>
      </w:r>
      <w:r w:rsidRPr="00577CC2">
        <w:t xml:space="preserve"> Late-stage BC accounts for a small proportion of BC diagnoses overall: in 20</w:t>
      </w:r>
      <w:r w:rsidR="00B01BA9">
        <w:t>20</w:t>
      </w:r>
      <w:r w:rsidRPr="00577CC2">
        <w:t xml:space="preserve">, </w:t>
      </w:r>
      <w:r w:rsidR="00B01BA9">
        <w:t>6</w:t>
      </w:r>
      <w:r w:rsidRPr="00577CC2">
        <w:t>.</w:t>
      </w:r>
      <w:r w:rsidR="00B01BA9">
        <w:t>5</w:t>
      </w:r>
      <w:r w:rsidRPr="00577CC2">
        <w:t>%</w:t>
      </w:r>
      <w:r w:rsidR="009B24C9">
        <w:t xml:space="preserve"> of new cases</w:t>
      </w:r>
      <w:r w:rsidRPr="00577CC2">
        <w:t xml:space="preserve"> </w:t>
      </w:r>
      <w:r w:rsidR="00B01BA9">
        <w:t xml:space="preserve">were diagnosed as </w:t>
      </w:r>
      <w:r w:rsidRPr="00577CC2">
        <w:t>Stage IV.</w:t>
      </w:r>
      <w:r w:rsidR="00467BD1" w:rsidRPr="00577CC2">
        <w:fldChar w:fldCharType="begin"/>
      </w:r>
      <w:r w:rsidR="00CA6345">
        <w:instrText xml:space="preserve"> ADDIN ZOTERO_ITEM CSL_CITATION {"citationID":"Iifmzdzl","properties":{"formattedCitation":"\\super 74\\nosupersub{}","plainCitation":"74","noteIndex":0},"citationItems":[{"id":65844,"uris":["http://zotero.org/groups/4797619/items/MUMKK8XN"],"itemData":{"id":65844,"type":"webpage","title":"Early Diagnosis","URL":"https://crukcancerintelligence.shinyapps.io/EarlyDiagnosis/","accessed":{"date-parts":[["2022",2,27]]}}}],"schema":"https://github.com/citation-style-language/schema/raw/master/csl-citation.json"} </w:instrText>
      </w:r>
      <w:r w:rsidR="00467BD1" w:rsidRPr="00577CC2">
        <w:fldChar w:fldCharType="separate"/>
      </w:r>
      <w:r w:rsidR="00FD57F4" w:rsidRPr="00FD57F4">
        <w:rPr>
          <w:rFonts w:cs="Arial"/>
          <w:szCs w:val="24"/>
          <w:vertAlign w:val="superscript"/>
        </w:rPr>
        <w:t>74</w:t>
      </w:r>
      <w:r w:rsidR="00467BD1" w:rsidRPr="00577CC2">
        <w:fldChar w:fldCharType="end"/>
      </w:r>
      <w:r w:rsidRPr="00577CC2">
        <w:t xml:space="preserve"> Although no data are published on the specific proportion of patients with Stage III unresectable disease, the majority of Stage III cases are expected to be suitable for surgery. Patients with unresectable BC for whom potentially curative therapy is not an option are therefore expected to be predominantly diagnosed with, or have progressed to, Stage IV metastatic disease.</w:t>
      </w:r>
      <w:r w:rsidR="009C1711" w:rsidRPr="00577CC2">
        <w:t xml:space="preserve"> </w:t>
      </w:r>
      <w:r w:rsidR="00B31C4A" w:rsidRPr="00CD780F">
        <w:t>T</w:t>
      </w:r>
      <w:r w:rsidR="009C1711" w:rsidRPr="00CD780F">
        <w:t xml:space="preserve">he annual probability of progression from early to </w:t>
      </w:r>
      <w:r w:rsidR="00AD418B" w:rsidRPr="00CD780F">
        <w:t>m</w:t>
      </w:r>
      <w:r w:rsidR="009C1711" w:rsidRPr="00CD780F">
        <w:t xml:space="preserve">BC is </w:t>
      </w:r>
      <w:r w:rsidR="004256C5" w:rsidRPr="00CD780F">
        <w:t xml:space="preserve">estimated </w:t>
      </w:r>
      <w:r w:rsidR="009C1711" w:rsidRPr="00CD780F">
        <w:t xml:space="preserve">to be </w:t>
      </w:r>
      <w:r w:rsidR="00740E39" w:rsidRPr="00CD780F">
        <w:t>3</w:t>
      </w:r>
      <w:r w:rsidR="009C1711" w:rsidRPr="00CD780F">
        <w:t>.</w:t>
      </w:r>
      <w:r w:rsidR="00740E39" w:rsidRPr="00CD780F">
        <w:t>7</w:t>
      </w:r>
      <w:r w:rsidR="009C1711" w:rsidRPr="00CD780F">
        <w:t xml:space="preserve">% </w:t>
      </w:r>
      <w:r w:rsidR="00CE4278" w:rsidRPr="00CD780F">
        <w:t xml:space="preserve">based on </w:t>
      </w:r>
      <w:r w:rsidR="00DC2D3B" w:rsidRPr="00CD780F">
        <w:t xml:space="preserve">a </w:t>
      </w:r>
      <w:r w:rsidR="00B46D75" w:rsidRPr="00CD780F">
        <w:t xml:space="preserve">published </w:t>
      </w:r>
      <w:r w:rsidR="00DC2D3B" w:rsidRPr="00CD780F">
        <w:t xml:space="preserve">meta-analysis </w:t>
      </w:r>
      <w:r w:rsidR="00FA20E7" w:rsidRPr="00CD780F">
        <w:t>that reported a</w:t>
      </w:r>
      <w:r w:rsidR="00FE7DC0" w:rsidRPr="00CD780F">
        <w:t xml:space="preserve"> five-year distant recurrence rate of</w:t>
      </w:r>
      <w:r w:rsidR="00FA20E7" w:rsidRPr="00CD780F">
        <w:t xml:space="preserve"> 17.2% in patients with </w:t>
      </w:r>
      <w:r w:rsidR="00B46D75" w:rsidRPr="00CD780F">
        <w:t xml:space="preserve">node-positive, early-stage </w:t>
      </w:r>
      <w:r w:rsidR="00FA20E7" w:rsidRPr="00CD780F">
        <w:t xml:space="preserve">HR-positive/HER2-negative </w:t>
      </w:r>
      <w:r w:rsidR="00B46D75" w:rsidRPr="00CD780F">
        <w:t>BC</w:t>
      </w:r>
      <w:r w:rsidR="00CE4278" w:rsidRPr="00CD780F">
        <w:t xml:space="preserve"> receiving adjuvant </w:t>
      </w:r>
      <w:r w:rsidR="00CD4331">
        <w:t>ET</w:t>
      </w:r>
      <w:r w:rsidR="009F1817">
        <w:t>.</w:t>
      </w:r>
      <w:r w:rsidR="00A83F2F" w:rsidRPr="00CD780F">
        <w:fldChar w:fldCharType="begin"/>
      </w:r>
      <w:r w:rsidR="00CA6345">
        <w:instrText xml:space="preserve"> ADDIN ZOTERO_ITEM CSL_CITATION {"citationID":"L7Y3ldTW","properties":{"formattedCitation":"\\super 75\\nosupersub{}","plainCitation":"75","noteIndex":0},"citationItems":[{"id":66761,"uris":["http://zotero.org/groups/4797619/items/AWMDLKC9"],"itemData":{"id":66761,"type":"article-journal","abstract":"BACKGROUND: A systematic review and meta-analysis was conducted to assess breast cancer (BC) outcomes among patients with early-stage hormone receptor positive (HR+), human epidermal growth factor receptor 2-negative (HER2-) BC, receiving adjuvant endocrine therapy.\nMETHODS: Randomized controlled trials (RCTs) and real-world evidence (RWE) studies were identified using Ovid MEDLINE®, Embase, and Evidence-Based Medicine Reviews. Clinical and methodological similarities including alignment of outcome definitions with standardized definitions for efficacy endpoints criteria were assessed to evaluate feasibility of conducting a meta-analysis. Where feasible, 5-year probabilities of BC recurrence or death were estimated using a Bayesian hierarchical arm-based model.\nRESULTS: Of 21 included studies, 8 RCTs and 4 RWE studies reported outcome data of interest. There was heterogeneity in outcome reporting, as well as variation in recurrence risk amongst studies with aligned reporting. Of the 12 studies, 10 were considered for inclusion in a meta-analysis of BC recurrence or death. Only a subgroup analysis of node-positive patients (3 studies; n = 7307) was deemed feasible. The 5-year probability of BC recurrence or death was 17.2% (95% credible interval: 14.6%-20.3%).\nCONCLUSION: Although studies reporting recurrence outcomes were limited, there remains a high risk of BC recurrence, especially among node-positive patients. Approximately 1 in 6 women with node-positive HR+/HER2- early-stage BC receiving endocrine therapy experience recurrence or death within 5-years of initiating treatment, suggesting a need for novel treatments for this population.","container-title":"Breast (Edinburgh, Scotland)","DOI":"10.1016/j.breast.2021.02.009","ISSN":"1532-3080","journalAbbreviation":"Breast","language":"eng","note":"PMID: 33677313\nPMCID: PMC8089079","page":"5-17","source":"PubMed","title":"Risk of recurrence among patients with HR-positive, HER2-negative, early breast cancer receiving adjuvant endocrine therapy: A systematic review and meta-analysis","title-short":"Risk of recurrence among patients with HR-positive, HER2-negative, early breast cancer receiving adjuvant endocrine therapy","volume":"57","author":[{"family":"Salvo","given":"Elizabeth M."},{"family":"Ramirez","given":"Abril Oliva"},{"family":"Cueto","given":"Jenilee"},{"family":"Law","given":"Ernest H."},{"family":"Situ","given":"Aaron"},{"family":"Cameron","given":"Chris"},{"family":"Samjoo","given":"Imtiaz A."}],"issued":{"date-parts":[["2021",6]]}}}],"schema":"https://github.com/citation-style-language/schema/raw/master/csl-citation.json"} </w:instrText>
      </w:r>
      <w:r w:rsidR="00A83F2F" w:rsidRPr="00CD780F">
        <w:fldChar w:fldCharType="separate"/>
      </w:r>
      <w:r w:rsidR="00FD57F4" w:rsidRPr="00FD57F4">
        <w:rPr>
          <w:rFonts w:cs="Arial"/>
          <w:szCs w:val="24"/>
          <w:vertAlign w:val="superscript"/>
        </w:rPr>
        <w:t>75</w:t>
      </w:r>
      <w:r w:rsidR="00A83F2F" w:rsidRPr="00CD780F">
        <w:fldChar w:fldCharType="end"/>
      </w:r>
      <w:r w:rsidR="00876048" w:rsidRPr="00CD780F">
        <w:t xml:space="preserve"> </w:t>
      </w:r>
      <w:r w:rsidR="00F66B46">
        <w:t>W</w:t>
      </w:r>
      <w:r w:rsidR="00F66B46" w:rsidRPr="002646F6">
        <w:t xml:space="preserve">hen accounting for patients with initial </w:t>
      </w:r>
      <w:r w:rsidR="00F66B46">
        <w:t xml:space="preserve">Stage IV </w:t>
      </w:r>
      <w:r w:rsidR="00F66B46" w:rsidRPr="002646F6">
        <w:t>diagnoses</w:t>
      </w:r>
      <w:r w:rsidR="00F66B46">
        <w:t xml:space="preserve"> (6.5% in England)</w:t>
      </w:r>
      <w:r w:rsidR="00F66B46" w:rsidRPr="002646F6">
        <w:t xml:space="preserve"> and patients who have progressed from earlier stages</w:t>
      </w:r>
      <w:r w:rsidR="00F66B46">
        <w:t xml:space="preserve"> (3.7%), the total number of patients who are diagnosed with or progress to u/mBC each year is 4,511. </w:t>
      </w:r>
    </w:p>
    <w:p w14:paraId="7C7D9FE5" w14:textId="4507D8DF" w:rsidR="00642F36" w:rsidRPr="00577CC2" w:rsidRDefault="00642F36" w:rsidP="00642F36">
      <w:pPr>
        <w:pStyle w:val="Body"/>
      </w:pPr>
      <w:r w:rsidRPr="00103335">
        <w:t>According to an analysis of biomarkers from over 199,000 BCs in the UK, 49% of all BC cases are HER2-low (i.e. IHC1+, IHC2+/ISH</w:t>
      </w:r>
      <w:r w:rsidRPr="000848D8">
        <w:t>-).</w:t>
      </w:r>
      <w:r w:rsidRPr="000848D8">
        <w:fldChar w:fldCharType="begin"/>
      </w:r>
      <w:r w:rsidR="00CA6345" w:rsidRPr="000848D8">
        <w:instrText xml:space="preserve"> ADDIN ZOTERO_ITEM CSL_CITATION {"citationID":"JjL07S2e","properties":{"formattedCitation":"\\super 56\\nosupersub{}","plainCitation":"56","noteIndex":0},"citationItems":[{"id":65940,"uris":["http://zotero.org/groups/4797619/items/7UYVWR36"],"itemData":{"id":65940,"type":"article-journal","container-title":"The Journal of Pathology: Clinical Research","DOI":"10.1002/cjp2.173","ISSN":"2056-4538, 2056-4538","issue":"3","journalAbbreviation":"J Pathol Clin Res","language":"en","page":"227-227","source":"DOI.org (Crossref)","title":"Breast cancer biomarkers in clinical testing: analysis of a UK NEQAS ICC &amp; ISH database containing results from 199 300 patients","title-short":"‘Breast cancer biomarkers in clinical testing","volume":"6","author":[{"family":"Dodson","given":"Andrew"},{"family":"Parry","given":"Suzanne"},{"family":"Ibrahim","given":"Merdol"},{"family":"Bartlett","given":"John M. S."},{"family":"Pinder","given":"Sarah E."},{"family":"Dowsett","given":"Mitch"},{"family":"Miller","given":"Keith"}],"issued":{"date-parts":[["2020",7]]}}}],"schema":"https://github.com/citation-style-language/schema/raw/master/csl-citation.json"} </w:instrText>
      </w:r>
      <w:r w:rsidRPr="000848D8">
        <w:fldChar w:fldCharType="separate"/>
      </w:r>
      <w:r w:rsidR="00FD57F4" w:rsidRPr="000848D8">
        <w:rPr>
          <w:rFonts w:cs="Arial"/>
          <w:szCs w:val="24"/>
          <w:vertAlign w:val="superscript"/>
        </w:rPr>
        <w:t>56</w:t>
      </w:r>
      <w:r w:rsidRPr="000848D8">
        <w:fldChar w:fldCharType="end"/>
      </w:r>
      <w:r w:rsidRPr="000848D8">
        <w:t xml:space="preserve"> </w:t>
      </w:r>
      <w:r w:rsidR="00B85D37" w:rsidRPr="000848D8">
        <w:t>Of t</w:t>
      </w:r>
      <w:r w:rsidR="00771235" w:rsidRPr="000848D8">
        <w:rPr>
          <w:rFonts w:cs="Arial"/>
        </w:rPr>
        <w:t xml:space="preserve">he </w:t>
      </w:r>
      <w:r w:rsidR="00B85D37" w:rsidRPr="000848D8">
        <w:rPr>
          <w:rFonts w:cs="Arial"/>
        </w:rPr>
        <w:t xml:space="preserve">4,511 </w:t>
      </w:r>
      <w:r w:rsidR="00771235" w:rsidRPr="000848D8">
        <w:rPr>
          <w:rFonts w:cs="Arial"/>
        </w:rPr>
        <w:t>total annual population of u/mBC in England</w:t>
      </w:r>
      <w:r w:rsidR="00B85D37" w:rsidRPr="000848D8">
        <w:rPr>
          <w:rFonts w:cs="Arial"/>
        </w:rPr>
        <w:t xml:space="preserve">, </w:t>
      </w:r>
      <w:r w:rsidR="00771235" w:rsidRPr="000848D8">
        <w:rPr>
          <w:rFonts w:cs="Arial"/>
        </w:rPr>
        <w:t xml:space="preserve">2,210 </w:t>
      </w:r>
      <w:r w:rsidR="00B85D37" w:rsidRPr="000848D8">
        <w:rPr>
          <w:rFonts w:cs="Arial"/>
        </w:rPr>
        <w:t xml:space="preserve">are estimated to </w:t>
      </w:r>
      <w:r w:rsidR="00771235" w:rsidRPr="000848D8">
        <w:rPr>
          <w:rFonts w:cs="Arial"/>
        </w:rPr>
        <w:t>have HER2-low u/mBC specifically (based on a reported 49% of all BC cases being HER2-low).</w:t>
      </w:r>
      <w:r w:rsidR="00771235" w:rsidRPr="000848D8">
        <w:rPr>
          <w:rFonts w:cs="Arial"/>
        </w:rPr>
        <w:fldChar w:fldCharType="begin"/>
      </w:r>
      <w:r w:rsidR="00CA6345" w:rsidRPr="000848D8">
        <w:rPr>
          <w:rFonts w:cs="Arial"/>
        </w:rPr>
        <w:instrText xml:space="preserve"> ADDIN ZOTERO_ITEM CSL_CITATION {"citationID":"VnK2S0wh","properties":{"formattedCitation":"\\super 76\\nosupersub{}","plainCitation":"76","noteIndex":0},"citationItems":[{"id":66279,"uris":["http://zotero.org/groups/4797619/items/S5ZP56BG"],"itemData":{"id":66279,"type":"article-journal","abstract":"PURPOSE: There is a lack of treatments providing survival benefit for patients with metastatic triple-negative breast cancer (mTNBC), with no standard of care. A randomized phase II trial showed significant benefit for gemcitabine, carboplatin, and iniparib (GCI) over gemcitabine and carboplatin (GC) in clinical benefit rate, response rate, progression-free survival (PFS), and overall survival (OS). Here, we formally compare the efficacy of these regimens in a phase III trial.\nPATIENTS AND METHODS: Patients with stage IV/locally recurrent TNBC who had received no more than two previous chemotherapy regimens for mTNBC were randomly allocated to gemcitabine 1,000 mg/m(2) and carboplatin area under the curve 2 (days 1 and 8) alone or GC plus iniparib 5.6 mg/kg (days 1, 4, 8, and 11) every 3 weeks. Random assignment was stratified by the number of prior chemotherapies. The coprimary end points were OS and PFS. Patients receiving GC could cross over to iniparib on progression.\nRESULTS: Five hundred nineteen patients were randomly assigned (261 GCI; 258 GC). In the primary analysis, no statistically significant difference was observed for OS (hazard ratio [HR] = 0.88; 95% CI, 0.69 to 1.12; P = .28) nor PFS (HR = 0.79; 95% CI, 0.65 to 0.98; P = .027). An exploratory analysis showed that patients in the second-/third-line had improved OS (HR = 0.65; 95% CI, 0.46 to 0.91) and PFS (HR = 0.68; 95% CI, 0.50 to 0.92) with GCI. The safety profile for GCI was similar to GC.\nCONCLUSION: The trial did not meet the prespecified criteria for the coprimary end points of PFS and OS in the ITT population. The potential benefit with iniparib observed in second-/third-line subgroup warrants further evaluation.","container-title":"Journal of Clinical Oncology: Official Journal of the American Society of Clinical Oncology","DOI":"10.1200/JCO.2014.55.2984","ISSN":"1527-7755","issue":"34","journalAbbreviation":"J Clin Oncol","language":"eng","note":"PMID: 25349301","page":"3840-3847","source":"PubMed","title":"Phase III study of iniparib plus gemcitabine and carboplatin versus gemcitabine and carboplatin in patients with metastatic triple-negative breast cancer","volume":"32","author":[{"family":"O'Shaughnessy","given":"Joyce"},{"family":"Schwartzberg","given":"Lee"},{"family":"Danso","given":"Michael A."},{"family":"Miller","given":"Kathy D."},{"family":"Rugo","given":"Hope S."},{"family":"Neubauer","given":"Marcus"},{"family":"Robert","given":"Nicholas"},{"family":"Hellerstedt","given":"Beth"},{"family":"Saleh","given":"Mansoor"},{"family":"Richards","given":"Paul"},{"family":"Specht","given":"Jennifer M."},{"family":"Yardley","given":"Denise A."},{"family":"Carlson","given":"Robert W."},{"family":"Finn","given":"Richard S."},{"family":"Charpentier","given":"Eric"},{"family":"Garcia-Ribas","given":"Ignacio"},{"family":"Winer","given":"Eric P."}],"issued":{"date-parts":[["2014",12,1]]}}}],"schema":"https://github.com/citation-style-language/schema/raw/master/csl-citation.json"} </w:instrText>
      </w:r>
      <w:r w:rsidR="00771235" w:rsidRPr="000848D8">
        <w:rPr>
          <w:rFonts w:cs="Arial"/>
        </w:rPr>
        <w:fldChar w:fldCharType="separate"/>
      </w:r>
      <w:r w:rsidR="00CA6345" w:rsidRPr="000848D8">
        <w:rPr>
          <w:rFonts w:cs="Arial"/>
          <w:szCs w:val="24"/>
          <w:vertAlign w:val="superscript"/>
        </w:rPr>
        <w:t>76</w:t>
      </w:r>
      <w:r w:rsidR="00771235" w:rsidRPr="000848D8">
        <w:rPr>
          <w:rFonts w:cs="Arial"/>
        </w:rPr>
        <w:fldChar w:fldCharType="end"/>
      </w:r>
      <w:r w:rsidR="00771235" w:rsidRPr="000848D8">
        <w:rPr>
          <w:rFonts w:cs="Arial"/>
        </w:rPr>
        <w:t xml:space="preserve"> </w:t>
      </w:r>
      <w:r w:rsidR="008C39F8" w:rsidRPr="000848D8">
        <w:rPr>
          <w:rStyle w:val="cf01"/>
          <w:rFonts w:ascii="Arial" w:hAnsi="Arial" w:cs="Arial"/>
          <w:color w:val="000000" w:themeColor="text1"/>
          <w:sz w:val="22"/>
          <w:szCs w:val="22"/>
        </w:rPr>
        <w:t>A</w:t>
      </w:r>
      <w:r w:rsidRPr="000848D8">
        <w:rPr>
          <w:rStyle w:val="cf01"/>
          <w:rFonts w:ascii="Arial" w:hAnsi="Arial" w:cs="Arial"/>
          <w:color w:val="000000" w:themeColor="text1"/>
          <w:sz w:val="22"/>
          <w:szCs w:val="22"/>
        </w:rPr>
        <w:t xml:space="preserve"> UK-based real world evidence study that characterised treatment sequence and outcomes for patients</w:t>
      </w:r>
      <w:r w:rsidRPr="00951431">
        <w:rPr>
          <w:rStyle w:val="cf01"/>
          <w:rFonts w:ascii="Arial" w:hAnsi="Arial" w:cs="Arial"/>
          <w:color w:val="000000" w:themeColor="text1"/>
          <w:sz w:val="22"/>
          <w:szCs w:val="22"/>
        </w:rPr>
        <w:t xml:space="preserve"> with HER2-negative/HR-positive mBC at a major regional NHS cancer centre</w:t>
      </w:r>
      <w:r w:rsidR="008C39F8">
        <w:rPr>
          <w:rStyle w:val="cf01"/>
          <w:rFonts w:ascii="Arial" w:hAnsi="Arial" w:cs="Arial"/>
          <w:color w:val="000000" w:themeColor="text1"/>
          <w:sz w:val="22"/>
          <w:szCs w:val="22"/>
        </w:rPr>
        <w:t xml:space="preserve"> showed that</w:t>
      </w:r>
      <w:r w:rsidRPr="00951431">
        <w:rPr>
          <w:rStyle w:val="cf01"/>
          <w:rFonts w:ascii="Arial" w:hAnsi="Arial" w:cs="Arial"/>
          <w:color w:val="000000" w:themeColor="text1"/>
          <w:sz w:val="22"/>
          <w:szCs w:val="22"/>
        </w:rPr>
        <w:t xml:space="preserve"> </w:t>
      </w:r>
      <w:r w:rsidRPr="00951431">
        <w:rPr>
          <w:rFonts w:cs="Arial"/>
        </w:rPr>
        <w:t xml:space="preserve">98.0% </w:t>
      </w:r>
      <w:r w:rsidR="008C39F8">
        <w:rPr>
          <w:rFonts w:cs="Arial"/>
        </w:rPr>
        <w:t xml:space="preserve">of patients </w:t>
      </w:r>
      <w:r w:rsidRPr="00951431">
        <w:rPr>
          <w:rFonts w:cs="Arial"/>
        </w:rPr>
        <w:t>are expected to receive first-line therapy in the metastatic setting</w:t>
      </w:r>
      <w:r w:rsidR="00EB128D">
        <w:rPr>
          <w:rFonts w:cs="Arial"/>
        </w:rPr>
        <w:t>, of which</w:t>
      </w:r>
      <w:r w:rsidRPr="00951431">
        <w:rPr>
          <w:rFonts w:cs="Arial"/>
        </w:rPr>
        <w:t xml:space="preserve"> 66.8%</w:t>
      </w:r>
      <w:r w:rsidR="0054166B">
        <w:rPr>
          <w:rFonts w:cs="Arial"/>
        </w:rPr>
        <w:t xml:space="preserve"> and 61.0%</w:t>
      </w:r>
      <w:r w:rsidRPr="00951431">
        <w:rPr>
          <w:rFonts w:cs="Arial"/>
        </w:rPr>
        <w:t xml:space="preserve"> subsequently receive second-</w:t>
      </w:r>
      <w:r w:rsidR="0054166B">
        <w:rPr>
          <w:rFonts w:cs="Arial"/>
        </w:rPr>
        <w:t xml:space="preserve"> and third-</w:t>
      </w:r>
      <w:r w:rsidRPr="00951431">
        <w:rPr>
          <w:rFonts w:cs="Arial"/>
        </w:rPr>
        <w:t>line therapy</w:t>
      </w:r>
      <w:r w:rsidR="0054166B">
        <w:rPr>
          <w:rFonts w:cs="Arial"/>
        </w:rPr>
        <w:t>, respectively</w:t>
      </w:r>
      <w:r w:rsidRPr="00951431">
        <w:rPr>
          <w:rStyle w:val="cf01"/>
          <w:rFonts w:ascii="Arial" w:hAnsi="Arial" w:cs="Arial"/>
          <w:color w:val="000000" w:themeColor="text1"/>
          <w:sz w:val="22"/>
          <w:szCs w:val="22"/>
        </w:rPr>
        <w:t>.</w:t>
      </w:r>
      <w:r w:rsidRPr="00951431">
        <w:fldChar w:fldCharType="begin"/>
      </w:r>
      <w:r w:rsidR="00CA6345">
        <w:instrText xml:space="preserve"> ADDIN ZOTERO_ITEM CSL_CITATION {"citationID":"v16yEPWq","properties":{"formattedCitation":"\\super 77\\nosupersub{}","plainCitation":"77","noteIndex":0},"citationItems":[{"id":66826,"uris":["http://zotero.org/groups/4797619/items/P7DP36IY"],"itemData":{"id":66826,"type":"article-journal","abstract":"Study aimed to characterise treatment and outcomes for patients with hormone receptor positive (HR+), human epidermal growth factor 2 negative (HER2-) metastatic breast cancer (MBC) within a large regional cancer centre, as a benchmark for evaluating real-world impact of novel therapies.","container-title":"BMC Cancer","DOI":"10.1186/s12885-020-6527-y","ISSN":"1471-2407","issue":"1","journalAbbreviation":"BMC Cancer","page":"53","source":"BioMed Central","title":"Systemic treatment of hormone receptor positive, human epidermal growth factor 2 negative metastatic breast cancer: retrospective analysis from Leeds Cancer Centre","title-short":"Systemic treatment of hormone receptor positive, human epidermal growth factor 2 negative metastatic breast cancer","volume":"20","author":[{"family":"Twelves","given":"Chris"},{"family":"Cheeseman","given":"Sue"},{"family":"Sopwith","given":"Will"},{"family":"Thompson","given":"Matthew"},{"family":"Riaz","given":"Majid"},{"family":"Ahat-Donker","given":"Necibe"},{"family":"Myland","given":"Melissa"},{"family":"Lee","given":"Adam"},{"family":"Przybysz","given":"Raymond"},{"family":"Turner","given":"Stuart"},{"family":"Hall","given":"Geoff"},{"family":"Perren","given":"Tim"}],"issued":{"date-parts":[["2020",1,21]]}}}],"schema":"https://github.com/citation-style-language/schema/raw/master/csl-citation.json"} </w:instrText>
      </w:r>
      <w:r w:rsidRPr="00951431">
        <w:fldChar w:fldCharType="separate"/>
      </w:r>
      <w:r w:rsidR="00CA6345" w:rsidRPr="00CA6345">
        <w:rPr>
          <w:rFonts w:cs="Arial"/>
          <w:szCs w:val="24"/>
          <w:vertAlign w:val="superscript"/>
        </w:rPr>
        <w:t>77</w:t>
      </w:r>
      <w:r w:rsidRPr="00951431">
        <w:fldChar w:fldCharType="end"/>
      </w:r>
      <w:r w:rsidRPr="00951431">
        <w:t xml:space="preserve"> </w:t>
      </w:r>
      <w:r>
        <w:rPr>
          <w:szCs w:val="24"/>
        </w:rPr>
        <w:t xml:space="preserve">T-DXd </w:t>
      </w:r>
      <w:r w:rsidR="0054166B">
        <w:rPr>
          <w:szCs w:val="24"/>
        </w:rPr>
        <w:t xml:space="preserve">is positioned for </w:t>
      </w:r>
      <w:r w:rsidR="0054166B">
        <w:rPr>
          <w:szCs w:val="24"/>
        </w:rPr>
        <w:lastRenderedPageBreak/>
        <w:t xml:space="preserve">use </w:t>
      </w:r>
      <w:r>
        <w:rPr>
          <w:szCs w:val="24"/>
        </w:rPr>
        <w:t xml:space="preserve">in HER2-low/HR-positive </w:t>
      </w:r>
      <w:r w:rsidR="0054166B">
        <w:rPr>
          <w:szCs w:val="24"/>
        </w:rPr>
        <w:t xml:space="preserve">and HER2-low/HR-negative </w:t>
      </w:r>
      <w:r>
        <w:rPr>
          <w:szCs w:val="24"/>
        </w:rPr>
        <w:t xml:space="preserve">patients </w:t>
      </w:r>
      <w:r w:rsidR="0054166B">
        <w:rPr>
          <w:szCs w:val="24"/>
        </w:rPr>
        <w:t xml:space="preserve">as </w:t>
      </w:r>
      <w:r w:rsidR="003D1047">
        <w:rPr>
          <w:szCs w:val="24"/>
        </w:rPr>
        <w:t xml:space="preserve">a </w:t>
      </w:r>
      <w:r>
        <w:rPr>
          <w:szCs w:val="24"/>
        </w:rPr>
        <w:t>third-</w:t>
      </w:r>
      <w:r w:rsidR="003D1047">
        <w:rPr>
          <w:szCs w:val="24"/>
        </w:rPr>
        <w:t xml:space="preserve"> and second-</w:t>
      </w:r>
      <w:r>
        <w:rPr>
          <w:szCs w:val="24"/>
        </w:rPr>
        <w:t>line</w:t>
      </w:r>
      <w:r w:rsidR="003D1047">
        <w:rPr>
          <w:szCs w:val="24"/>
        </w:rPr>
        <w:t xml:space="preserve"> option, respectively</w:t>
      </w:r>
      <w:r>
        <w:rPr>
          <w:szCs w:val="24"/>
        </w:rPr>
        <w:t>.</w:t>
      </w:r>
      <w:r>
        <w:t xml:space="preserve"> </w:t>
      </w:r>
      <w:r w:rsidRPr="00951431">
        <w:t xml:space="preserve">Based on this, there are an estimated </w:t>
      </w:r>
      <w:r w:rsidR="00B823B5">
        <w:t>946</w:t>
      </w:r>
      <w:r w:rsidRPr="00951431">
        <w:t xml:space="preserve"> </w:t>
      </w:r>
      <w:r w:rsidR="003D1047">
        <w:t xml:space="preserve">eligible </w:t>
      </w:r>
      <w:r w:rsidRPr="00951431">
        <w:t>patients relevant to this appraisal</w:t>
      </w:r>
      <w:r w:rsidR="00650AF0">
        <w:t xml:space="preserve">. </w:t>
      </w:r>
    </w:p>
    <w:p w14:paraId="402817AF" w14:textId="77777777" w:rsidR="00E6770E" w:rsidRPr="00D30D35" w:rsidRDefault="00E6770E" w:rsidP="00E16194">
      <w:pPr>
        <w:pStyle w:val="Heading4"/>
      </w:pPr>
      <w:r w:rsidRPr="00D30D35">
        <w:t>Diagnosis</w:t>
      </w:r>
    </w:p>
    <w:p w14:paraId="5D215828" w14:textId="084E0B52" w:rsidR="00E6770E" w:rsidRPr="00D30D35" w:rsidRDefault="00E6770E" w:rsidP="00E6770E">
      <w:pPr>
        <w:pStyle w:val="Body"/>
      </w:pPr>
      <w:r w:rsidRPr="00D30D35">
        <w:t>Initial diagnosis of BC is through breast x-ray (mammogram) and ultrasound, with any breast tissue displaying abnormal characteristics under imaging subjected to biop</w:t>
      </w:r>
      <w:r w:rsidR="005F7E34">
        <w:t>sy</w:t>
      </w:r>
      <w:r w:rsidRPr="00D30D35">
        <w:t xml:space="preserve"> or fine needle aspirates for laboratory diagnosis.</w:t>
      </w:r>
      <w:r w:rsidR="007A2F0C">
        <w:fldChar w:fldCharType="begin"/>
      </w:r>
      <w:r w:rsidR="00CA6345">
        <w:instrText xml:space="preserve"> ADDIN ZOTERO_ITEM CSL_CITATION {"citationID":"r1Dnf3OA","properties":{"formattedCitation":"\\super 78\\nosupersub{}","plainCitation":"78","noteIndex":0},"citationItems":[{"id":65910,"uris":["http://zotero.org/groups/4797619/items/P2A8AHI8"],"itemData":{"id":65910,"type":"webpage","title":"Tests to diagnose breast cancer | Cancer Research UK","URL":"https://www.cancerresearchuk.org/about-cancer/breast-cancer/getting-diagnosed/tests-diagnose","accessed":{"date-parts":[["2022",10,24]]}}}],"schema":"https://github.com/citation-style-language/schema/raw/master/csl-citation.json"} </w:instrText>
      </w:r>
      <w:r w:rsidR="007A2F0C">
        <w:fldChar w:fldCharType="separate"/>
      </w:r>
      <w:r w:rsidR="00CA6345" w:rsidRPr="00CA6345">
        <w:rPr>
          <w:rFonts w:cs="Arial"/>
          <w:szCs w:val="24"/>
          <w:vertAlign w:val="superscript"/>
        </w:rPr>
        <w:t>78</w:t>
      </w:r>
      <w:r w:rsidR="007A2F0C">
        <w:fldChar w:fldCharType="end"/>
      </w:r>
      <w:r w:rsidR="007A2F0C" w:rsidRPr="00D30D35">
        <w:t xml:space="preserve"> </w:t>
      </w:r>
    </w:p>
    <w:p w14:paraId="633FF096" w14:textId="5D10630C" w:rsidR="00E6770E" w:rsidRPr="00D30D35" w:rsidRDefault="00E6770E" w:rsidP="00E6770E">
      <w:pPr>
        <w:pStyle w:val="Body"/>
      </w:pPr>
      <w:r w:rsidRPr="00D30D35">
        <w:t>For patients with advanced</w:t>
      </w:r>
      <w:r w:rsidR="00801EEB">
        <w:t>/metastatic</w:t>
      </w:r>
      <w:r w:rsidRPr="00D30D35">
        <w:t xml:space="preserve"> BC, diagnostic assessment is conducted to d</w:t>
      </w:r>
      <w:r w:rsidR="000F5BB7" w:rsidRPr="00D30D35">
        <w:t>etermine</w:t>
      </w:r>
      <w:r w:rsidRPr="00D30D35">
        <w:t xml:space="preserve"> the extent of metastatic spread. Visceral metastases are assessed with a combination of plain radiography, ultrasound, magnetic resonance imaging (MRI), and computed tomography (CT) scans.</w:t>
      </w:r>
      <w:r w:rsidR="00D12A6B">
        <w:fldChar w:fldCharType="begin"/>
      </w:r>
      <w:r w:rsidR="00CA6345">
        <w:instrText xml:space="preserve"> ADDIN ZOTERO_ITEM CSL_CITATION {"citationID":"iBD5w4Qc","properties":{"formattedCitation":"\\super 35\\nosupersub{}","plainCitation":"35","noteIndex":0},"citationItems":[{"id":65866,"uris":["http://zotero.org/groups/4797619/items/3AESVSNK"],"itemData":{"id":65866,"type":"webpage","abstract":"This guideline covers care and support for people with advanced (stage 4) breast cancer. It aims to help them and their healthcare professionals make shared","language":"eng","note":"publisher: NICE","title":"Advanced breast cancer: diagnosis and treatment | NICE CG81","title-short":"NICE CG81. Recommendations | Advanced breast cancer","URL":"https://www.nice.org.uk/guidance/cg81/chapter/Recommendations","author":[{"family":"NICE","given":""}],"accessed":{"date-parts":[["2022",10,17]]},"issued":{"date-parts":[["2017"]]}}}],"schema":"https://github.com/citation-style-language/schema/raw/master/csl-citation.json"} </w:instrText>
      </w:r>
      <w:r w:rsidR="00D12A6B">
        <w:fldChar w:fldCharType="separate"/>
      </w:r>
      <w:r w:rsidR="00FD57F4" w:rsidRPr="00FD57F4">
        <w:rPr>
          <w:rFonts w:cs="Arial"/>
          <w:szCs w:val="24"/>
          <w:vertAlign w:val="superscript"/>
        </w:rPr>
        <w:t>35</w:t>
      </w:r>
      <w:r w:rsidR="00D12A6B">
        <w:fldChar w:fldCharType="end"/>
      </w:r>
      <w:r w:rsidRPr="00D30D35">
        <w:t xml:space="preserve"> For bone metastases, CT scan with bone windows or MRI (for axial skeleton), bone scintigraphy (axial skeleton or proximal limbs) or plain radiography (proximal limbs) can be conducted. Patients with undiagnosed </w:t>
      </w:r>
      <w:r w:rsidR="006654E1" w:rsidRPr="00D30D35">
        <w:t>m</w:t>
      </w:r>
      <w:r w:rsidRPr="00D30D35">
        <w:t>BC, for whom imaging inconclusively suggests metastasis, should have positron emission tomography (PET)-CT.</w:t>
      </w:r>
      <w:r w:rsidR="00D12A6B">
        <w:fldChar w:fldCharType="begin"/>
      </w:r>
      <w:r w:rsidR="00CA6345">
        <w:instrText xml:space="preserve"> ADDIN ZOTERO_ITEM CSL_CITATION {"citationID":"CDXtiCd0","properties":{"formattedCitation":"\\super 35\\nosupersub{}","plainCitation":"35","noteIndex":0},"citationItems":[{"id":65866,"uris":["http://zotero.org/groups/4797619/items/3AESVSNK"],"itemData":{"id":65866,"type":"webpage","abstract":"This guideline covers care and support for people with advanced (stage 4) breast cancer. It aims to help them and their healthcare professionals make shared","language":"eng","note":"publisher: NICE","title":"Advanced breast cancer: diagnosis and treatment | NICE CG81","title-short":"NICE CG81. Recommendations | Advanced breast cancer","URL":"https://www.nice.org.uk/guidance/cg81/chapter/Recommendations","author":[{"family":"NICE","given":""}],"accessed":{"date-parts":[["2022",10,17]]},"issued":{"date-parts":[["2017"]]}}}],"schema":"https://github.com/citation-style-language/schema/raw/master/csl-citation.json"} </w:instrText>
      </w:r>
      <w:r w:rsidR="00D12A6B">
        <w:fldChar w:fldCharType="separate"/>
      </w:r>
      <w:r w:rsidR="00FD57F4" w:rsidRPr="00FD57F4">
        <w:rPr>
          <w:rFonts w:cs="Arial"/>
          <w:szCs w:val="24"/>
          <w:vertAlign w:val="superscript"/>
        </w:rPr>
        <w:t>35</w:t>
      </w:r>
      <w:r w:rsidR="00D12A6B">
        <w:fldChar w:fldCharType="end"/>
      </w:r>
      <w:r w:rsidR="00D12A6B" w:rsidRPr="00D30D35">
        <w:t xml:space="preserve"> </w:t>
      </w:r>
    </w:p>
    <w:p w14:paraId="26FDA693" w14:textId="077E3DD4" w:rsidR="00E6770E" w:rsidRDefault="00E6770E" w:rsidP="00E16194">
      <w:pPr>
        <w:pStyle w:val="Heading4"/>
      </w:pPr>
      <w:r w:rsidRPr="00D30D35">
        <w:t>Staging and prognostication</w:t>
      </w:r>
    </w:p>
    <w:p w14:paraId="024E99FD" w14:textId="53FD3D04" w:rsidR="00657C52" w:rsidRDefault="00657C52" w:rsidP="00657C52">
      <w:pPr>
        <w:pStyle w:val="Body"/>
      </w:pPr>
      <w:r w:rsidRPr="00D30D35">
        <w:t xml:space="preserve">Severity and invasiveness of BC is established </w:t>
      </w:r>
      <w:r w:rsidR="00A75F5E">
        <w:t>through</w:t>
      </w:r>
      <w:r w:rsidRPr="00D30D35">
        <w:t xml:space="preserve"> TNM (tumour, node, and metastasis) staging according to the American Joint Cancer Committee (AJCC), categorising disease as Stage 0 (non-invasive) or Stage I–IV (</w:t>
      </w:r>
      <w:r w:rsidR="002A640A">
        <w:t>invasive;</w:t>
      </w:r>
      <w:r w:rsidR="00227EBF">
        <w:rPr>
          <w:b/>
          <w:bCs/>
        </w:rPr>
        <w:t xml:space="preserve"> </w:t>
      </w:r>
      <w:r w:rsidR="00227EBF" w:rsidRPr="00227EBF">
        <w:rPr>
          <w:b/>
          <w:bCs/>
        </w:rPr>
        <w:fldChar w:fldCharType="begin"/>
      </w:r>
      <w:r w:rsidR="00227EBF" w:rsidRPr="00227EBF">
        <w:rPr>
          <w:b/>
          <w:bCs/>
        </w:rPr>
        <w:instrText xml:space="preserve"> REF _Ref121943238 \h  \* MERGEFORMAT </w:instrText>
      </w:r>
      <w:r w:rsidR="00227EBF" w:rsidRPr="00227EBF">
        <w:rPr>
          <w:b/>
          <w:bCs/>
        </w:rPr>
      </w:r>
      <w:r w:rsidR="00227EBF" w:rsidRPr="00227EBF">
        <w:rPr>
          <w:b/>
          <w:bCs/>
        </w:rPr>
        <w:fldChar w:fldCharType="separate"/>
      </w:r>
      <w:r w:rsidR="00145F42" w:rsidRPr="00145F42">
        <w:rPr>
          <w:b/>
          <w:bCs/>
        </w:rPr>
        <w:t xml:space="preserve">Figure </w:t>
      </w:r>
      <w:r w:rsidR="00145F42" w:rsidRPr="00145F42">
        <w:rPr>
          <w:b/>
          <w:bCs/>
          <w:noProof/>
        </w:rPr>
        <w:t>2</w:t>
      </w:r>
      <w:r w:rsidR="00227EBF" w:rsidRPr="00227EBF">
        <w:rPr>
          <w:b/>
          <w:bCs/>
        </w:rPr>
        <w:fldChar w:fldCharType="end"/>
      </w:r>
      <w:r w:rsidRPr="00D30D35">
        <w:t>).</w:t>
      </w:r>
      <w:r w:rsidR="00D12A6B">
        <w:fldChar w:fldCharType="begin"/>
      </w:r>
      <w:r w:rsidR="00CA6345">
        <w:instrText xml:space="preserve"> ADDIN ZOTERO_ITEM CSL_CITATION {"citationID":"c6mlJkXI","properties":{"formattedCitation":"\\super 61\\nosupersub{}","plainCitation":"61","noteIndex":0},"citationItems":[{"id":65919,"uris":["http://zotero.org/groups/4797619/items/G6L4YFBT"],"itemData":{"id":65919,"type":"webpage","abstract":"When someone is diagnosed with breast cancer, doctors will determine if it has spread. This process is called staging. Learn about what your cancer stage means.","language":"en","title":"Stages of Breast Cancer | Understand Breast Cancer Staging","URL":"https://www.cancer.org/cancer/breast-cancer/understanding-a-breast-cancer-diagnosis/stages-of-breast-cancer.html","accessed":{"date-parts":[["2022",10,24]]}}}],"schema":"https://github.com/citation-style-language/schema/raw/master/csl-citation.json"} </w:instrText>
      </w:r>
      <w:r w:rsidR="00D12A6B">
        <w:fldChar w:fldCharType="separate"/>
      </w:r>
      <w:r w:rsidR="00FD57F4" w:rsidRPr="00FD57F4">
        <w:rPr>
          <w:rFonts w:cs="Arial"/>
          <w:szCs w:val="24"/>
          <w:vertAlign w:val="superscript"/>
        </w:rPr>
        <w:t>61</w:t>
      </w:r>
      <w:r w:rsidR="00D12A6B">
        <w:fldChar w:fldCharType="end"/>
      </w:r>
      <w:r w:rsidRPr="00D30D35">
        <w:t xml:space="preserve"> Staging is based on tumour size (T), extent of spread to nearby lymph nodes (N), presence of metastases (M), and since 2018 also upon HER2 expression</w:t>
      </w:r>
      <w:r>
        <w:t>, hormone receptor expression, and the cancer grade.</w:t>
      </w:r>
      <w:r w:rsidR="00D12A6B">
        <w:fldChar w:fldCharType="begin"/>
      </w:r>
      <w:r w:rsidR="00CA6345">
        <w:instrText xml:space="preserve"> ADDIN ZOTERO_ITEM CSL_CITATION {"citationID":"MZJIvRKo","properties":{"formattedCitation":"\\super 61,79\\nosupersub{}","plainCitation":"61,79","noteIndex":0},"citationItems":[{"id":65919,"uris":["http://zotero.org/groups/4797619/items/G6L4YFBT"],"itemData":{"id":65919,"type":"webpage","abstract":"When someone is diagnosed with breast cancer, doctors will determine if it has spread. This process is called staging. Learn about what your cancer stage means.","language":"en","title":"Stages of Breast Cancer | Understand Breast Cancer Staging","URL":"https://www.cancer.org/cancer/breast-cancer/understanding-a-breast-cancer-diagnosis/stages-of-breast-cancer.html","accessed":{"date-parts":[["2022",10,24]]}}},{"id":65909,"uris":["http://zotero.org/groups/4797619/items/IN924UE9"],"itemData":{"id":65909,"type":"post-weblog","abstract":"Learn how breast cancer is staged and the stages of breast cancer.","container-title":"Susan G. Komen®","language":"en-US","title":"Breast Cancer Staging","URL":"https://www.komen.org/breast-cancer/diagnosis/stages-staging/","accessed":{"date-parts":[["2022",10,24]]}}}],"schema":"https://github.com/citation-style-language/schema/raw/master/csl-citation.json"} </w:instrText>
      </w:r>
      <w:r w:rsidR="00D12A6B">
        <w:fldChar w:fldCharType="separate"/>
      </w:r>
      <w:r w:rsidR="00CA6345" w:rsidRPr="00CA6345">
        <w:rPr>
          <w:rFonts w:cs="Arial"/>
          <w:szCs w:val="24"/>
          <w:vertAlign w:val="superscript"/>
        </w:rPr>
        <w:t>61,79</w:t>
      </w:r>
      <w:r w:rsidR="00D12A6B">
        <w:fldChar w:fldCharType="end"/>
      </w:r>
      <w:r w:rsidR="00D12A6B">
        <w:t xml:space="preserve"> </w:t>
      </w:r>
    </w:p>
    <w:p w14:paraId="72C3C44D" w14:textId="7CDC0ECF" w:rsidR="002A640A" w:rsidRDefault="00227EBF" w:rsidP="00227EBF">
      <w:pPr>
        <w:pStyle w:val="Caption"/>
      </w:pPr>
      <w:bookmarkStart w:id="39" w:name="_Ref121943238"/>
      <w:bookmarkStart w:id="40" w:name="_Toc129350928"/>
      <w:r>
        <w:t xml:space="preserve">Figure </w:t>
      </w:r>
      <w:r>
        <w:fldChar w:fldCharType="begin"/>
      </w:r>
      <w:r>
        <w:instrText>SEQ Figure \* ARABIC</w:instrText>
      </w:r>
      <w:r>
        <w:fldChar w:fldCharType="separate"/>
      </w:r>
      <w:r w:rsidR="00145F42">
        <w:rPr>
          <w:noProof/>
        </w:rPr>
        <w:t>2</w:t>
      </w:r>
      <w:r>
        <w:fldChar w:fldCharType="end"/>
      </w:r>
      <w:bookmarkEnd w:id="39"/>
      <w:r>
        <w:t>: Staging of invasive BC according to the A</w:t>
      </w:r>
      <w:r w:rsidR="005E3C52">
        <w:t>JCC</w:t>
      </w:r>
      <w:bookmarkEnd w:id="40"/>
    </w:p>
    <w:tbl>
      <w:tblPr>
        <w:tblStyle w:val="Figurebox"/>
        <w:tblW w:w="0" w:type="auto"/>
        <w:tblLook w:val="04A0" w:firstRow="1" w:lastRow="0" w:firstColumn="1" w:lastColumn="0" w:noHBand="0" w:noVBand="1"/>
      </w:tblPr>
      <w:tblGrid>
        <w:gridCol w:w="9016"/>
      </w:tblGrid>
      <w:tr w:rsidR="00E6770E" w14:paraId="451E27B9" w14:textId="77777777" w:rsidTr="008C1DD7">
        <w:tc>
          <w:tcPr>
            <w:tcW w:w="9026" w:type="dxa"/>
            <w:tcBorders>
              <w:top w:val="single" w:sz="4" w:space="0" w:color="auto"/>
              <w:left w:val="single" w:sz="4" w:space="0" w:color="auto"/>
              <w:bottom w:val="single" w:sz="4" w:space="0" w:color="auto"/>
              <w:right w:val="single" w:sz="4" w:space="0" w:color="auto"/>
            </w:tcBorders>
          </w:tcPr>
          <w:p w14:paraId="77D1C276" w14:textId="77777777" w:rsidR="00E6770E" w:rsidRPr="003B6000" w:rsidRDefault="00E6770E" w:rsidP="00C4328B">
            <w:pPr>
              <w:keepNext/>
            </w:pPr>
            <w:r>
              <w:rPr>
                <w:noProof/>
              </w:rPr>
              <w:drawing>
                <wp:inline distT="0" distB="0" distL="0" distR="0" wp14:anchorId="2498DF32" wp14:editId="17B73FF5">
                  <wp:extent cx="5731510" cy="2797175"/>
                  <wp:effectExtent l="0" t="0" r="2540" b="0"/>
                  <wp:docPr id="19" name="Picture 1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97175"/>
                          </a:xfrm>
                          <a:prstGeom prst="rect">
                            <a:avLst/>
                          </a:prstGeom>
                        </pic:spPr>
                      </pic:pic>
                    </a:graphicData>
                  </a:graphic>
                </wp:inline>
              </w:drawing>
            </w:r>
          </w:p>
        </w:tc>
      </w:tr>
    </w:tbl>
    <w:p w14:paraId="1985E8A3" w14:textId="2BC1DB3A" w:rsidR="001B4D4D" w:rsidRDefault="00E6770E" w:rsidP="00875EB8">
      <w:pPr>
        <w:pStyle w:val="Footnotes"/>
      </w:pPr>
      <w:r>
        <w:t>TNM staging categorises cancer stage by size and characteristics of primary tumour (T) and presence of nodal tumours (N), with increasing severity indicated by increasing numbers (from 0–4). Absence or presence of metastases (M) are indicated by M0 or M1, respectively.</w:t>
      </w:r>
      <w:r>
        <w:br/>
        <w:t>Green bars represent the proportion surviving at each timepoint. Grey dashed bars indicate the proportion dead at that timepoint.</w:t>
      </w:r>
      <w:r>
        <w:br/>
        <w:t>Abbreviations: M, metastasis; N, node, T, tumour.</w:t>
      </w:r>
      <w:r>
        <w:br/>
        <w:t xml:space="preserve">Sources: adapted from </w:t>
      </w:r>
      <w:r w:rsidRPr="00C671DB">
        <w:t>American College of Surgeons, 2021 (diagram);</w:t>
      </w:r>
      <w:r w:rsidR="00942CDE">
        <w:fldChar w:fldCharType="begin"/>
      </w:r>
      <w:r w:rsidR="00CA6345">
        <w:instrText xml:space="preserve"> ADDIN ZOTERO_ITEM CSL_CITATION {"citationID":"jPVaqw5B","properties":{"formattedCitation":"\\super 80\\nosupersub{}","plainCitation":"80","noteIndex":0},"citationItems":[{"id":"ZQXrI66U/74Y4RIxI","uris":["http://zotero.org/groups/4797619/items/CR6S3NH4"],"itemData":{"id":185,"type":"webpage","abstract":"The stage of your cancer is based on the size of the tumor and if it has spread to other areas.","container-title":"ACS","language":"en","title":"Breast Cancer Staging","URL":"https://www.facs.org/for-patients/home-skills-for-patients/breast-cancer-surgery/breast-cancer-types/breast-cancer-staging/","accessed":{"date-parts":[["2022",10,24]]}}}],"schema":"https://github.com/citation-style-language/schema/raw/master/csl-citation.json"} </w:instrText>
      </w:r>
      <w:r w:rsidR="00942CDE">
        <w:fldChar w:fldCharType="separate"/>
      </w:r>
      <w:r w:rsidR="00CA6345" w:rsidRPr="00CA6345">
        <w:rPr>
          <w:rFonts w:cs="Arial"/>
          <w:szCs w:val="24"/>
          <w:vertAlign w:val="superscript"/>
        </w:rPr>
        <w:t>80</w:t>
      </w:r>
      <w:r w:rsidR="00942CDE">
        <w:fldChar w:fldCharType="end"/>
      </w:r>
      <w:r w:rsidRPr="00C671DB">
        <w:t xml:space="preserve"> Cancer Research UK, 2020</w:t>
      </w:r>
      <w:r>
        <w:t xml:space="preserve"> (staging information)</w:t>
      </w:r>
      <w:r w:rsidRPr="00C671DB">
        <w:t>;</w:t>
      </w:r>
      <w:r w:rsidR="00942CDE">
        <w:fldChar w:fldCharType="begin"/>
      </w:r>
      <w:r w:rsidR="00CA6345">
        <w:instrText xml:space="preserve"> ADDIN ZOTERO_ITEM CSL_CITATION {"citationID":"1GH0EI27","properties":{"formattedCitation":"\\super 62\\nosupersub{}","plainCitation":"62","noteIndex":0},"citationItems":[{"id":65918,"uris":["http://zotero.org/groups/4797619/items/II8TLYNX"],"itemData":{"id":65918,"type":"webpage","title":"Number stages of breast cancer | Cancer Research UK","URL":"https://www.cancerresearchuk.org/about-cancer/breast-cancer/stages-types-grades/number-stages","accessed":{"date-parts":[["2022",10,24]]}}}],"schema":"https://github.com/citation-style-language/schema/raw/master/csl-citation.json"} </w:instrText>
      </w:r>
      <w:r w:rsidR="00942CDE">
        <w:fldChar w:fldCharType="separate"/>
      </w:r>
      <w:r w:rsidR="00FD57F4" w:rsidRPr="00FD57F4">
        <w:rPr>
          <w:rFonts w:cs="Arial"/>
          <w:szCs w:val="24"/>
          <w:vertAlign w:val="superscript"/>
        </w:rPr>
        <w:t>62</w:t>
      </w:r>
      <w:r w:rsidR="00942CDE">
        <w:fldChar w:fldCharType="end"/>
      </w:r>
      <w:r>
        <w:t xml:space="preserve"> Public Health England, 2020 (survival graphs).</w:t>
      </w:r>
      <w:r w:rsidR="00942CDE">
        <w:fldChar w:fldCharType="begin"/>
      </w:r>
      <w:r w:rsidR="00CA6345">
        <w:instrText xml:space="preserve"> ADDIN ZOTERO_ITEM CSL_CITATION {"citationID":"bmIp5JiL","properties":{"formattedCitation":"\\super 24\\nosupersub{}","plainCitation":"24","noteIndex":0},"citationItems":[{"id":65843,"uris":["http://zotero.org/groups/4797619/items/VS53CJPX"],"itemData":{"id":65843,"type":"webpage","abstract":"Cancer survival statistics for adults and children by stage at diagnosis and by different geographical variations.","container-title":"GOV.UK","language":"en","title":"Cancer survival in England for patients diagnosed between 2014 and 2018, and followed up until 2019","URL":"https://www.gov.uk/government/statistics/cancer-survival-in-england-for-patients-diagnosed-between-2014-and-2018-and-followed-up-until-2019","accessed":{"date-parts":[["2022",10,3]]}}}],"schema":"https://github.com/citation-style-language/schema/raw/master/csl-citation.json"} </w:instrText>
      </w:r>
      <w:r w:rsidR="00942CDE">
        <w:fldChar w:fldCharType="separate"/>
      </w:r>
      <w:r w:rsidR="00FD57F4" w:rsidRPr="00FD57F4">
        <w:rPr>
          <w:rFonts w:cs="Arial"/>
          <w:szCs w:val="24"/>
          <w:vertAlign w:val="superscript"/>
        </w:rPr>
        <w:t>24</w:t>
      </w:r>
      <w:r w:rsidR="00942CDE">
        <w:fldChar w:fldCharType="end"/>
      </w:r>
      <w:r w:rsidR="00942CDE">
        <w:t xml:space="preserve"> </w:t>
      </w:r>
    </w:p>
    <w:p w14:paraId="6E9B31ED" w14:textId="6B118A1B" w:rsidR="00780F1C" w:rsidRPr="002646F6" w:rsidRDefault="00BE31E1" w:rsidP="00B723A0">
      <w:pPr>
        <w:pStyle w:val="Heading4"/>
      </w:pPr>
      <w:r w:rsidRPr="002646F6">
        <w:lastRenderedPageBreak/>
        <w:t>Current b</w:t>
      </w:r>
      <w:r w:rsidR="00FF29F3" w:rsidRPr="002646F6">
        <w:t xml:space="preserve">iomarkers </w:t>
      </w:r>
      <w:r w:rsidRPr="002646F6">
        <w:t>in breast cancer</w:t>
      </w:r>
      <w:r w:rsidR="00BC3EFE" w:rsidRPr="002646F6">
        <w:t xml:space="preserve"> and HER2-low</w:t>
      </w:r>
    </w:p>
    <w:p w14:paraId="196518D7" w14:textId="6F275879" w:rsidR="00427CB3" w:rsidRPr="00B548F3" w:rsidRDefault="001E6916" w:rsidP="001E6916">
      <w:pPr>
        <w:pStyle w:val="Body"/>
      </w:pPr>
      <w:r w:rsidRPr="00B548F3">
        <w:t xml:space="preserve">Although BC exhibits broad and diverse genetic characteristics, prognostication and treatment choice for BC is based on expression of HER2 and </w:t>
      </w:r>
      <w:r w:rsidR="00386FF0">
        <w:t>hormone receptor</w:t>
      </w:r>
      <w:r w:rsidR="00775CCA">
        <w:t>s</w:t>
      </w:r>
      <w:r w:rsidR="007D350A" w:rsidRPr="00B548F3">
        <w:t xml:space="preserve"> </w:t>
      </w:r>
      <w:r w:rsidRPr="00B548F3">
        <w:t>(oestrogen and progesterone</w:t>
      </w:r>
      <w:r w:rsidR="008D4E0A" w:rsidRPr="00B548F3">
        <w:t xml:space="preserve">). </w:t>
      </w:r>
      <w:r w:rsidR="009847DF" w:rsidRPr="00B548F3">
        <w:t xml:space="preserve">Both HER2 and </w:t>
      </w:r>
      <w:r w:rsidR="00386FF0">
        <w:t>hormone receptor</w:t>
      </w:r>
      <w:r w:rsidR="009847DF" w:rsidRPr="00B548F3">
        <w:t xml:space="preserve"> status are routinely tested in clinical practice</w:t>
      </w:r>
      <w:r w:rsidR="00427CB3" w:rsidRPr="00B548F3">
        <w:t>.</w:t>
      </w:r>
      <w:r w:rsidR="009847DF" w:rsidRPr="00B548F3">
        <w:fldChar w:fldCharType="begin"/>
      </w:r>
      <w:r w:rsidR="00CA6345">
        <w:instrText xml:space="preserve"> ADDIN ZOTERO_ITEM CSL_CITATION {"citationID":"h7TipYaA","properties":{"formattedCitation":"\\super 36,81\\nosupersub{}","plainCitation":"36,81","noteIndex":0},"citationItems":[{"id":65911,"uris":["http://zotero.org/groups/4797619/items/CV2NXX7U"],"itemData":{"id":65911,"type":"webpage","title":"Invasive breast cancer | Cancer Research UK","URL":"https://www.cancerresearchuk.org/about-cancer/breast-cancer/stages-types-grades/types/invasive-breast-cancer","accessed":{"date-parts":[["2022",10,24]]}}},{"id":66194,"uris":["http://zotero.org/groups/4797619/items/83WIRZR7"],"itemData":{"id":66194,"type":"webpage","title":"Tests on your breast cancer cells | Cancer research UK","URL":"https://www.cancerresearchuk.org/about-cancer/breast-cancer/getting-diagnosed/tests-diagnose/hormone-receptor-testing-breast-cancer","accessed":{"date-parts":[["2022",11,30]]}}}],"schema":"https://github.com/citation-style-language/schema/raw/master/csl-citation.json"} </w:instrText>
      </w:r>
      <w:r w:rsidR="009847DF" w:rsidRPr="00B548F3">
        <w:fldChar w:fldCharType="separate"/>
      </w:r>
      <w:r w:rsidR="00CA6345" w:rsidRPr="00CA6345">
        <w:rPr>
          <w:rFonts w:cs="Arial"/>
          <w:szCs w:val="24"/>
          <w:vertAlign w:val="superscript"/>
        </w:rPr>
        <w:t>36,81</w:t>
      </w:r>
      <w:r w:rsidR="009847DF" w:rsidRPr="00B548F3">
        <w:fldChar w:fldCharType="end"/>
      </w:r>
      <w:r w:rsidR="00E7652A" w:rsidRPr="00B548F3">
        <w:t xml:space="preserve"> </w:t>
      </w:r>
    </w:p>
    <w:p w14:paraId="222A187A" w14:textId="6C1DB80B" w:rsidR="006F3D1A" w:rsidRPr="002646F6" w:rsidRDefault="00F13C67" w:rsidP="002127F5">
      <w:pPr>
        <w:pStyle w:val="Body"/>
      </w:pPr>
      <w:r w:rsidRPr="002646F6">
        <w:t>Under the current paradigm b</w:t>
      </w:r>
      <w:r w:rsidR="00427CB3" w:rsidRPr="002646F6">
        <w:t xml:space="preserve">oth HER2 and </w:t>
      </w:r>
      <w:r w:rsidR="00386FF0">
        <w:t>hormone receptor</w:t>
      </w:r>
      <w:r w:rsidR="00427CB3" w:rsidRPr="002646F6">
        <w:t xml:space="preserve"> </w:t>
      </w:r>
      <w:r w:rsidR="00E7652A" w:rsidRPr="002646F6">
        <w:t>status are binary</w:t>
      </w:r>
      <w:r w:rsidR="001D13D6" w:rsidRPr="002646F6">
        <w:t xml:space="preserve"> </w:t>
      </w:r>
      <w:r w:rsidR="006F3D1A" w:rsidRPr="002646F6">
        <w:t>–</w:t>
      </w:r>
      <w:r w:rsidR="001D13D6" w:rsidRPr="002646F6">
        <w:t xml:space="preserve"> </w:t>
      </w:r>
      <w:r w:rsidR="0027039D">
        <w:t>BC</w:t>
      </w:r>
      <w:r w:rsidR="006F3D1A" w:rsidRPr="002646F6">
        <w:t xml:space="preserve"> is either HER2-positive or HER2-negative, and HR-positive or HR-negative</w:t>
      </w:r>
      <w:r w:rsidR="00E7652A" w:rsidRPr="002646F6">
        <w:t xml:space="preserve">. </w:t>
      </w:r>
      <w:r w:rsidR="00E13F20" w:rsidRPr="002646F6">
        <w:t xml:space="preserve">HER2-positive </w:t>
      </w:r>
      <w:r w:rsidR="00647358" w:rsidRPr="002646F6">
        <w:t>tumour</w:t>
      </w:r>
      <w:r w:rsidR="000A0D97" w:rsidRPr="002646F6">
        <w:t>s</w:t>
      </w:r>
      <w:r w:rsidR="00647358" w:rsidRPr="002646F6">
        <w:t xml:space="preserve"> express</w:t>
      </w:r>
      <w:r w:rsidR="00E13F20" w:rsidRPr="002646F6">
        <w:t xml:space="preserve"> </w:t>
      </w:r>
      <w:r w:rsidR="00A51EF0" w:rsidRPr="002646F6">
        <w:t>specific levels of</w:t>
      </w:r>
      <w:r w:rsidR="00E13F20" w:rsidRPr="002646F6">
        <w:t xml:space="preserve"> </w:t>
      </w:r>
      <w:r w:rsidR="00A51EF0" w:rsidRPr="002646F6">
        <w:t xml:space="preserve">the </w:t>
      </w:r>
      <w:r w:rsidR="00E13F20" w:rsidRPr="002646F6">
        <w:t>HER2 receptor</w:t>
      </w:r>
      <w:r w:rsidR="00751124" w:rsidRPr="002646F6">
        <w:t xml:space="preserve">: </w:t>
      </w:r>
      <w:r w:rsidR="00E13F20" w:rsidRPr="002646F6">
        <w:t>immunohistochemistry</w:t>
      </w:r>
      <w:r w:rsidR="00472EC8" w:rsidRPr="002646F6">
        <w:t xml:space="preserve"> level 3+</w:t>
      </w:r>
      <w:r w:rsidR="00E13F20" w:rsidRPr="002646F6">
        <w:t xml:space="preserve"> </w:t>
      </w:r>
      <w:r w:rsidR="00D166FE" w:rsidRPr="002646F6">
        <w:t>(</w:t>
      </w:r>
      <w:r w:rsidR="00E13F20" w:rsidRPr="002646F6">
        <w:t>IHC</w:t>
      </w:r>
      <w:r w:rsidR="00472EC8" w:rsidRPr="002646F6">
        <w:t>3+</w:t>
      </w:r>
      <w:r w:rsidR="00665911" w:rsidRPr="002646F6">
        <w:t xml:space="preserve">) </w:t>
      </w:r>
      <w:r w:rsidR="00472EC8" w:rsidRPr="002646F6">
        <w:t>or</w:t>
      </w:r>
      <w:r w:rsidR="00E13F20" w:rsidRPr="002646F6">
        <w:t xml:space="preserve"> </w:t>
      </w:r>
      <w:r w:rsidR="00472EC8" w:rsidRPr="002646F6">
        <w:t xml:space="preserve">IHC 2+ with </w:t>
      </w:r>
      <w:r w:rsidR="00F70D47" w:rsidRPr="002646F6">
        <w:t>gene am</w:t>
      </w:r>
      <w:r w:rsidR="00F07A5D" w:rsidRPr="002646F6">
        <w:t xml:space="preserve">plification </w:t>
      </w:r>
      <w:r w:rsidR="00626F34" w:rsidRPr="002646F6">
        <w:t>(</w:t>
      </w:r>
      <w:r w:rsidR="00F07A5D" w:rsidRPr="002646F6">
        <w:t xml:space="preserve">as assessed </w:t>
      </w:r>
      <w:r w:rsidR="00E13F20" w:rsidRPr="002646F6">
        <w:t>by in situ hybridisation [ISH]</w:t>
      </w:r>
      <w:r w:rsidR="004B3839" w:rsidRPr="002646F6">
        <w:t xml:space="preserve">; </w:t>
      </w:r>
      <w:r w:rsidR="00A72AA6" w:rsidRPr="002646F6">
        <w:t>IHC2+/ISH</w:t>
      </w:r>
      <w:r w:rsidR="009B7536" w:rsidRPr="002646F6">
        <w:t>+</w:t>
      </w:r>
      <w:r w:rsidR="004B3839" w:rsidRPr="002646F6">
        <w:t>)</w:t>
      </w:r>
      <w:r w:rsidR="00E13F20" w:rsidRPr="002646F6">
        <w:t>.</w:t>
      </w:r>
      <w:r w:rsidR="00C37195" w:rsidRPr="002646F6">
        <w:t xml:space="preserve"> </w:t>
      </w:r>
      <w:r w:rsidR="000A0D97" w:rsidRPr="002646F6">
        <w:t xml:space="preserve">HR-positive </w:t>
      </w:r>
      <w:r w:rsidR="00413FFF" w:rsidRPr="002646F6">
        <w:t>tumours</w:t>
      </w:r>
      <w:r w:rsidR="000A0D97" w:rsidRPr="002646F6">
        <w:t xml:space="preserve"> express either or both the oestrogen and progesterone receptors. </w:t>
      </w:r>
      <w:r w:rsidR="00C37195" w:rsidRPr="002646F6">
        <w:t>The definition</w:t>
      </w:r>
      <w:r w:rsidR="007C68D3" w:rsidRPr="002646F6">
        <w:t>s</w:t>
      </w:r>
      <w:r w:rsidR="00C37195" w:rsidRPr="002646F6">
        <w:t xml:space="preserve"> </w:t>
      </w:r>
      <w:r w:rsidR="007C7D52" w:rsidRPr="002646F6">
        <w:t>for HER2 and</w:t>
      </w:r>
      <w:r w:rsidR="00C37195" w:rsidRPr="002646F6">
        <w:t xml:space="preserve"> </w:t>
      </w:r>
      <w:r w:rsidR="00386FF0">
        <w:t>hormone receptor</w:t>
      </w:r>
      <w:r w:rsidR="00C37195" w:rsidRPr="002646F6">
        <w:t xml:space="preserve"> </w:t>
      </w:r>
      <w:r w:rsidR="007C68D3" w:rsidRPr="002646F6">
        <w:t xml:space="preserve">biomarker </w:t>
      </w:r>
      <w:r w:rsidR="00C37195" w:rsidRPr="002646F6">
        <w:t xml:space="preserve">status are </w:t>
      </w:r>
      <w:r w:rsidR="000A0D97" w:rsidRPr="002646F6">
        <w:t xml:space="preserve">provided </w:t>
      </w:r>
      <w:r w:rsidR="00C37195" w:rsidRPr="002646F6">
        <w:t xml:space="preserve">in </w:t>
      </w:r>
      <w:r w:rsidR="00270965" w:rsidRPr="002646F6">
        <w:rPr>
          <w:b/>
          <w:bCs/>
        </w:rPr>
        <w:fldChar w:fldCharType="begin"/>
      </w:r>
      <w:r w:rsidR="00270965" w:rsidRPr="002646F6">
        <w:rPr>
          <w:b/>
          <w:bCs/>
        </w:rPr>
        <w:instrText xml:space="preserve"> REF _Ref121929027 \h  \* MERGEFORMAT </w:instrText>
      </w:r>
      <w:r w:rsidR="00270965" w:rsidRPr="002646F6">
        <w:rPr>
          <w:b/>
          <w:bCs/>
        </w:rPr>
      </w:r>
      <w:r w:rsidR="00270965" w:rsidRPr="002646F6">
        <w:rPr>
          <w:b/>
          <w:bCs/>
        </w:rPr>
        <w:fldChar w:fldCharType="separate"/>
      </w:r>
      <w:r w:rsidR="00145F42" w:rsidRPr="00145F42">
        <w:rPr>
          <w:b/>
          <w:bCs/>
        </w:rPr>
        <w:t xml:space="preserve">Table </w:t>
      </w:r>
      <w:r w:rsidR="00145F42" w:rsidRPr="00145F42">
        <w:rPr>
          <w:b/>
          <w:bCs/>
          <w:noProof/>
        </w:rPr>
        <w:t>3</w:t>
      </w:r>
      <w:r w:rsidR="00270965" w:rsidRPr="002646F6">
        <w:rPr>
          <w:b/>
          <w:bCs/>
        </w:rPr>
        <w:fldChar w:fldCharType="end"/>
      </w:r>
      <w:r w:rsidR="00270965" w:rsidRPr="002646F6">
        <w:rPr>
          <w:b/>
          <w:bCs/>
        </w:rPr>
        <w:t>.</w:t>
      </w:r>
      <w:r w:rsidR="00C37195" w:rsidRPr="002646F6">
        <w:t xml:space="preserve"> </w:t>
      </w:r>
    </w:p>
    <w:p w14:paraId="7E51F40F" w14:textId="17B4753D" w:rsidR="002127F5" w:rsidRPr="002646F6" w:rsidRDefault="00BE31E1" w:rsidP="002127F5">
      <w:pPr>
        <w:pStyle w:val="Body"/>
      </w:pPr>
      <w:r w:rsidRPr="002646F6">
        <w:t xml:space="preserve">Under the current paradigm, </w:t>
      </w:r>
      <w:r w:rsidR="002127F5" w:rsidRPr="002646F6">
        <w:t>BC is</w:t>
      </w:r>
      <w:r w:rsidRPr="002646F6">
        <w:t xml:space="preserve"> therefore</w:t>
      </w:r>
      <w:r w:rsidR="002127F5" w:rsidRPr="002646F6">
        <w:t xml:space="preserve"> classified as either: (i) </w:t>
      </w:r>
      <w:r w:rsidR="0013511A" w:rsidRPr="002646F6">
        <w:t>HER2-positive/HR-positive</w:t>
      </w:r>
      <w:r w:rsidR="002127F5" w:rsidRPr="002646F6">
        <w:t xml:space="preserve">; (ii) </w:t>
      </w:r>
      <w:r w:rsidR="0013511A" w:rsidRPr="002646F6">
        <w:t>HER2-positive/HR-negative</w:t>
      </w:r>
      <w:r w:rsidR="002127F5" w:rsidRPr="002646F6">
        <w:t>; (iii) </w:t>
      </w:r>
      <w:r w:rsidR="0013511A" w:rsidRPr="002646F6">
        <w:t>HER2-negative/HR-positive</w:t>
      </w:r>
      <w:r w:rsidR="002127F5" w:rsidRPr="002646F6">
        <w:t xml:space="preserve">; or (iv) </w:t>
      </w:r>
      <w:r w:rsidR="003A298E">
        <w:t>triple negative BC (</w:t>
      </w:r>
      <w:r w:rsidR="00D211EA">
        <w:t>TNBC</w:t>
      </w:r>
      <w:r w:rsidR="003A298E">
        <w:t>;</w:t>
      </w:r>
      <w:r w:rsidR="0022204A" w:rsidRPr="002646F6">
        <w:t>HER2-negative/HR-negative</w:t>
      </w:r>
      <w:r w:rsidR="002127F5" w:rsidRPr="002646F6">
        <w:t>).</w:t>
      </w:r>
      <w:r w:rsidR="002127F5" w:rsidRPr="002646F6">
        <w:fldChar w:fldCharType="begin"/>
      </w:r>
      <w:r w:rsidR="00CA6345">
        <w:instrText xml:space="preserve"> ADDIN ZOTERO_ITEM CSL_CITATION {"citationID":"xi30B60R","properties":{"formattedCitation":"\\super 38\\nosupersub{}","plainCitation":"38","noteIndex":0},"citationItems":[{"id":65946,"uris":["http://zotero.org/groups/4797619/items/WH43D5QI"],"itemData":{"id":65946,"type":"article-journal","abstract":"About a half of HER2-negative breast cancer (BC) show HER2-low expression that can be targeted by new antibody-drug conjugates. The main aim of this study is to describe the evolution of HER2 expression from primary BC to relapse by including HER2-low category in both primary and recurrent BC samples. Patients with matched primary and relapse BC samples were included. HER2 was evaluated according to ASCO/CAP recommendations in place at the time of diagnosis. A cutoff of &gt;10% cells staining for HER2-positivity was applied. HER2-negative cases were sub-classified as HER2-low (IHC = 1 + /2+ and ISH not amplified), or HER2-0 (IHC-0). 547 patients were included. The proportion of HER2-low cases was 34.2% on the primary tumor and 37.3% on the relapse samples. Among HER2-negative cases, HER2-low status was more frequent in HR-positive vs triple-negative tumors (47.3% vs 35.4% on primary tumor samples, 53.8% vs 36.2% on relapse samples). The overall rate of HER2 discordance was 38.0%, mostly represented by HER2-0 switching to HER2-low (15%) and HER2-low switching to HER2-0 (14%). Among patients with a primary HER2-negative tumor, the rate of HER2 discordance was higher in HR-positive/HER2-negative vs triple-negative cases (45.5% vs 36.7% p = 0.170). This difference was mostly driven by cases switching from HER2-0 to HER2-low. HER2-low expression is highly unstable during disease evolution. Relapse biopsy in case of a primary HER2-0 tumor may open new therapeutic opportunities in a relevant proportion of patients.","container-title":"npj Breast Cancer","DOI":"10.1038/s41523-021-00343-4","ISSN":"2374-4677","issue":"1","language":"en","license":"2021 The Author(s)","note":"number: 1\npublisher: Nature Publishing Group","page":"1-8","source":"www.nature.com","title":"Evolution of HER2-low expression from primary to recurrent breast cancer","volume":"7","author":[{"family":"Miglietta","given":"Federica"},{"family":"Griguolo","given":"Gaia"},{"family":"Bottosso","given":"Michele"},{"family":"Giarratano","given":"Tommaso"},{"family":"Lo Mele","given":"Marcello"},{"family":"Fassan","given":"Matteo"},{"family":"Cacciatore","given":"Matilde"},{"family":"Genovesi","given":"Elisa"},{"family":"De Bartolo","given":"Debora"},{"family":"Vernaci","given":"Grazia"},{"family":"Amato","given":"Ottavia"},{"family":"Conte","given":"PierFranco"},{"family":"Guarneri","given":"Valentina"},{"family":"Dieci","given":"Maria Vittoria"}],"issued":{"date-parts":[["2021",10,12]]}}}],"schema":"https://github.com/citation-style-language/schema/raw/master/csl-citation.json"} </w:instrText>
      </w:r>
      <w:r w:rsidR="002127F5" w:rsidRPr="002646F6">
        <w:fldChar w:fldCharType="separate"/>
      </w:r>
      <w:r w:rsidR="00FD57F4" w:rsidRPr="00FD57F4">
        <w:rPr>
          <w:rFonts w:cs="Arial"/>
          <w:szCs w:val="24"/>
          <w:vertAlign w:val="superscript"/>
        </w:rPr>
        <w:t>38</w:t>
      </w:r>
      <w:r w:rsidR="002127F5" w:rsidRPr="002646F6">
        <w:fldChar w:fldCharType="end"/>
      </w:r>
      <w:r w:rsidR="002127F5" w:rsidRPr="002646F6">
        <w:t xml:space="preserve"> </w:t>
      </w:r>
    </w:p>
    <w:p w14:paraId="71807C21" w14:textId="65B05EAF" w:rsidR="009F5DB2" w:rsidRPr="002646F6" w:rsidRDefault="00270965" w:rsidP="00270965">
      <w:pPr>
        <w:pStyle w:val="Caption"/>
      </w:pPr>
      <w:bookmarkStart w:id="41" w:name="_Ref121929027"/>
      <w:bookmarkStart w:id="42" w:name="_Ref117761636"/>
      <w:bookmarkStart w:id="43" w:name="_Toc129350978"/>
      <w:r w:rsidRPr="002646F6">
        <w:t xml:space="preserve">Table </w:t>
      </w:r>
      <w:r>
        <w:fldChar w:fldCharType="begin"/>
      </w:r>
      <w:r>
        <w:instrText>SEQ Table \* ARABIC</w:instrText>
      </w:r>
      <w:r>
        <w:fldChar w:fldCharType="separate"/>
      </w:r>
      <w:r w:rsidR="00145F42">
        <w:rPr>
          <w:noProof/>
        </w:rPr>
        <w:t>3</w:t>
      </w:r>
      <w:r>
        <w:fldChar w:fldCharType="end"/>
      </w:r>
      <w:bookmarkEnd w:id="41"/>
      <w:r w:rsidRPr="002646F6">
        <w:t>: Current biomarker status for breast cancer</w:t>
      </w:r>
      <w:bookmarkEnd w:id="42"/>
      <w:bookmarkEnd w:id="43"/>
    </w:p>
    <w:tbl>
      <w:tblPr>
        <w:tblStyle w:val="Generaltable"/>
        <w:tblW w:w="9067" w:type="dxa"/>
        <w:tblLook w:val="04A0" w:firstRow="1" w:lastRow="0" w:firstColumn="1" w:lastColumn="0" w:noHBand="0" w:noVBand="1"/>
      </w:tblPr>
      <w:tblGrid>
        <w:gridCol w:w="2122"/>
        <w:gridCol w:w="6945"/>
      </w:tblGrid>
      <w:tr w:rsidR="00B548F3" w:rsidRPr="00B548F3" w14:paraId="24AC5EFA" w14:textId="77777777" w:rsidTr="00BE31E1">
        <w:trPr>
          <w:cnfStyle w:val="100000000000" w:firstRow="1" w:lastRow="0" w:firstColumn="0" w:lastColumn="0" w:oddVBand="0" w:evenVBand="0" w:oddHBand="0" w:evenHBand="0" w:firstRowFirstColumn="0" w:firstRowLastColumn="0" w:lastRowFirstColumn="0" w:lastRowLastColumn="0"/>
          <w:trHeight w:val="340"/>
        </w:trPr>
        <w:tc>
          <w:tcPr>
            <w:tcW w:w="2122" w:type="dxa"/>
            <w:shd w:val="clear" w:color="auto" w:fill="F2F2F2" w:themeFill="background1" w:themeFillShade="F2"/>
            <w:vAlign w:val="center"/>
          </w:tcPr>
          <w:p w14:paraId="6926E756" w14:textId="156B9729" w:rsidR="009F5DB2" w:rsidRPr="002646F6" w:rsidRDefault="00E7652A" w:rsidP="00B723A0">
            <w:pPr>
              <w:pStyle w:val="Body"/>
              <w:spacing w:after="0"/>
              <w:rPr>
                <w:b/>
                <w:bCs/>
              </w:rPr>
            </w:pPr>
            <w:r w:rsidRPr="002646F6">
              <w:rPr>
                <w:b/>
                <w:bCs/>
              </w:rPr>
              <w:t>Biomarker status</w:t>
            </w:r>
            <w:r w:rsidR="009F5DB2" w:rsidRPr="002646F6">
              <w:rPr>
                <w:b/>
                <w:bCs/>
              </w:rPr>
              <w:t xml:space="preserve"> </w:t>
            </w:r>
          </w:p>
        </w:tc>
        <w:tc>
          <w:tcPr>
            <w:tcW w:w="6945" w:type="dxa"/>
            <w:shd w:val="clear" w:color="auto" w:fill="F2F2F2" w:themeFill="background1" w:themeFillShade="F2"/>
            <w:vAlign w:val="center"/>
          </w:tcPr>
          <w:p w14:paraId="1485B712" w14:textId="28D365D5" w:rsidR="009F5DB2" w:rsidRPr="002646F6" w:rsidRDefault="00A76347" w:rsidP="00B723A0">
            <w:pPr>
              <w:pStyle w:val="Body"/>
              <w:spacing w:after="0"/>
              <w:rPr>
                <w:b/>
                <w:bCs/>
              </w:rPr>
            </w:pPr>
            <w:r>
              <w:rPr>
                <w:b/>
                <w:bCs/>
              </w:rPr>
              <w:t>Pathological nomenclature</w:t>
            </w:r>
          </w:p>
        </w:tc>
      </w:tr>
      <w:tr w:rsidR="00B548F3" w:rsidRPr="00B548F3" w14:paraId="7BB73CED" w14:textId="77777777" w:rsidTr="00BE31E1">
        <w:trPr>
          <w:trHeight w:val="340"/>
        </w:trPr>
        <w:tc>
          <w:tcPr>
            <w:tcW w:w="2122" w:type="dxa"/>
            <w:shd w:val="clear" w:color="auto" w:fill="F2F2F2" w:themeFill="background1" w:themeFillShade="F2"/>
            <w:vAlign w:val="center"/>
          </w:tcPr>
          <w:p w14:paraId="178AC07F" w14:textId="37EB7620" w:rsidR="009F5DB2" w:rsidRPr="002646F6" w:rsidRDefault="009F5DB2" w:rsidP="00B723A0">
            <w:pPr>
              <w:pStyle w:val="Body"/>
              <w:spacing w:after="0"/>
            </w:pPr>
            <w:r w:rsidRPr="002646F6">
              <w:t>HER2</w:t>
            </w:r>
            <w:r w:rsidR="00AF1CBA" w:rsidRPr="002646F6">
              <w:t>-positive</w:t>
            </w:r>
          </w:p>
        </w:tc>
        <w:tc>
          <w:tcPr>
            <w:tcW w:w="6945" w:type="dxa"/>
            <w:vAlign w:val="center"/>
          </w:tcPr>
          <w:p w14:paraId="41079490" w14:textId="77777777" w:rsidR="009F5DB2" w:rsidRPr="002646F6" w:rsidRDefault="009F5DB2" w:rsidP="00B723A0">
            <w:pPr>
              <w:pStyle w:val="Body"/>
              <w:spacing w:after="0"/>
            </w:pPr>
            <w:r w:rsidRPr="002646F6">
              <w:t>IHC 3+ or IHC2+/ISH+</w:t>
            </w:r>
          </w:p>
        </w:tc>
      </w:tr>
      <w:tr w:rsidR="00B548F3" w:rsidRPr="00B548F3" w14:paraId="071575CB" w14:textId="77777777" w:rsidTr="00BE31E1">
        <w:trPr>
          <w:trHeight w:val="340"/>
        </w:trPr>
        <w:tc>
          <w:tcPr>
            <w:tcW w:w="2122" w:type="dxa"/>
            <w:shd w:val="clear" w:color="auto" w:fill="F2F2F2" w:themeFill="background1" w:themeFillShade="F2"/>
            <w:vAlign w:val="center"/>
          </w:tcPr>
          <w:p w14:paraId="27B241BC" w14:textId="05936586" w:rsidR="009F5DB2" w:rsidRPr="002646F6" w:rsidRDefault="009F5DB2" w:rsidP="00B723A0">
            <w:pPr>
              <w:pStyle w:val="Body"/>
              <w:spacing w:after="0"/>
            </w:pPr>
            <w:r w:rsidRPr="002646F6">
              <w:t>HER2-</w:t>
            </w:r>
            <w:r w:rsidR="00AF1CBA" w:rsidRPr="002646F6">
              <w:t>negative</w:t>
            </w:r>
          </w:p>
        </w:tc>
        <w:tc>
          <w:tcPr>
            <w:tcW w:w="6945" w:type="dxa"/>
            <w:vAlign w:val="center"/>
          </w:tcPr>
          <w:p w14:paraId="7C90A12F" w14:textId="77777777" w:rsidR="009F5DB2" w:rsidRPr="002646F6" w:rsidRDefault="009F5DB2" w:rsidP="00B723A0">
            <w:pPr>
              <w:pStyle w:val="Body"/>
              <w:spacing w:after="0"/>
            </w:pPr>
            <w:r w:rsidRPr="002646F6">
              <w:t>IHC 0/1+ or IHC2+/ISH-</w:t>
            </w:r>
          </w:p>
        </w:tc>
      </w:tr>
      <w:tr w:rsidR="00B548F3" w:rsidRPr="00B548F3" w14:paraId="4FDC2A83" w14:textId="77777777" w:rsidTr="00BE31E1">
        <w:trPr>
          <w:trHeight w:val="340"/>
        </w:trPr>
        <w:tc>
          <w:tcPr>
            <w:tcW w:w="2122" w:type="dxa"/>
            <w:shd w:val="clear" w:color="auto" w:fill="F2F2F2" w:themeFill="background1" w:themeFillShade="F2"/>
            <w:vAlign w:val="center"/>
          </w:tcPr>
          <w:p w14:paraId="6C891646" w14:textId="3B784512" w:rsidR="00A43B67" w:rsidRPr="002646F6" w:rsidRDefault="00A43B67" w:rsidP="00B723A0">
            <w:pPr>
              <w:pStyle w:val="Body"/>
              <w:spacing w:after="0"/>
            </w:pPr>
            <w:r w:rsidRPr="002646F6">
              <w:t>HR</w:t>
            </w:r>
            <w:r w:rsidR="00AF1CBA" w:rsidRPr="002646F6">
              <w:t>-positive</w:t>
            </w:r>
          </w:p>
        </w:tc>
        <w:tc>
          <w:tcPr>
            <w:tcW w:w="6945" w:type="dxa"/>
            <w:vAlign w:val="center"/>
          </w:tcPr>
          <w:p w14:paraId="62286AD9" w14:textId="7787EECF" w:rsidR="00A43B67" w:rsidRPr="002646F6" w:rsidRDefault="00AF1CBA" w:rsidP="00B723A0">
            <w:pPr>
              <w:pStyle w:val="Body"/>
              <w:spacing w:after="0"/>
            </w:pPr>
            <w:r w:rsidRPr="002646F6">
              <w:t xml:space="preserve">Express either </w:t>
            </w:r>
            <w:r w:rsidR="00BA27C2">
              <w:t xml:space="preserve">or both </w:t>
            </w:r>
            <w:r w:rsidRPr="002646F6">
              <w:t>the oestrogen or progesterone receptor</w:t>
            </w:r>
            <w:r w:rsidR="00F22C05">
              <w:t>s</w:t>
            </w:r>
          </w:p>
        </w:tc>
      </w:tr>
      <w:tr w:rsidR="00B548F3" w:rsidRPr="00B548F3" w14:paraId="570749D3" w14:textId="77777777" w:rsidTr="00BE31E1">
        <w:trPr>
          <w:trHeight w:val="340"/>
        </w:trPr>
        <w:tc>
          <w:tcPr>
            <w:tcW w:w="2122" w:type="dxa"/>
            <w:shd w:val="clear" w:color="auto" w:fill="F2F2F2" w:themeFill="background1" w:themeFillShade="F2"/>
            <w:vAlign w:val="center"/>
          </w:tcPr>
          <w:p w14:paraId="67FA27FE" w14:textId="1A5AE65C" w:rsidR="00A43B67" w:rsidRPr="002646F6" w:rsidRDefault="00AF1CBA" w:rsidP="00B723A0">
            <w:pPr>
              <w:pStyle w:val="Body"/>
              <w:spacing w:after="0"/>
            </w:pPr>
            <w:r w:rsidRPr="002646F6">
              <w:t>HR-negative</w:t>
            </w:r>
          </w:p>
        </w:tc>
        <w:tc>
          <w:tcPr>
            <w:tcW w:w="6945" w:type="dxa"/>
            <w:vAlign w:val="center"/>
          </w:tcPr>
          <w:p w14:paraId="02DD266D" w14:textId="1C60C9BE" w:rsidR="00A43B67" w:rsidRPr="002646F6" w:rsidRDefault="00AF1CBA" w:rsidP="00B723A0">
            <w:pPr>
              <w:pStyle w:val="Body"/>
              <w:spacing w:after="0"/>
            </w:pPr>
            <w:r w:rsidRPr="002646F6">
              <w:t xml:space="preserve">No </w:t>
            </w:r>
            <w:r w:rsidR="00210740" w:rsidRPr="002646F6">
              <w:t>HR receptor expression</w:t>
            </w:r>
            <w:r w:rsidR="004C5BBD">
              <w:t xml:space="preserve"> (&lt;1% expression</w:t>
            </w:r>
            <w:r w:rsidR="00293E72">
              <w:t>*</w:t>
            </w:r>
            <w:r w:rsidR="004C5BBD">
              <w:t>)</w:t>
            </w:r>
          </w:p>
        </w:tc>
      </w:tr>
    </w:tbl>
    <w:p w14:paraId="200F1AFB" w14:textId="551E10D0" w:rsidR="000C4C6E" w:rsidRPr="002646F6" w:rsidRDefault="000C4C6E" w:rsidP="002646F6">
      <w:pPr>
        <w:pStyle w:val="Footnotes"/>
        <w:spacing w:after="0"/>
      </w:pPr>
      <w:r w:rsidRPr="002646F6">
        <w:t>TNBC is HER2-negative/HR-negative.</w:t>
      </w:r>
      <w:r w:rsidR="00CD2D7B">
        <w:br/>
        <w:t>*As per ASCO/CAP guideline.</w:t>
      </w:r>
    </w:p>
    <w:p w14:paraId="117307FF" w14:textId="05E05022" w:rsidR="0013511A" w:rsidRPr="002646F6" w:rsidRDefault="009F5DB2" w:rsidP="002646F6">
      <w:pPr>
        <w:pStyle w:val="Footnotes"/>
        <w:spacing w:after="0"/>
      </w:pPr>
      <w:r w:rsidRPr="002646F6">
        <w:t xml:space="preserve">Abbreviations: </w:t>
      </w:r>
      <w:r w:rsidR="00FD5A84">
        <w:t xml:space="preserve">ASCO, American Society for Clinical Oncology; </w:t>
      </w:r>
      <w:r w:rsidR="000B57F1">
        <w:t xml:space="preserve">CAP, College of American Pathologists; </w:t>
      </w:r>
      <w:r w:rsidRPr="002646F6">
        <w:t>HER2, human epidermal growth factor receptor 2; IHC, immunohistochemistry; ISH, in situ hybridisation</w:t>
      </w:r>
      <w:r w:rsidR="00ED49B2">
        <w:t>.</w:t>
      </w:r>
    </w:p>
    <w:p w14:paraId="7556F3DD" w14:textId="33A346E8" w:rsidR="004B11B5" w:rsidRPr="002646F6" w:rsidRDefault="00BE31E1" w:rsidP="002646F6">
      <w:pPr>
        <w:pStyle w:val="Body"/>
        <w:spacing w:before="240"/>
      </w:pPr>
      <w:r w:rsidRPr="002646F6">
        <w:t xml:space="preserve">While </w:t>
      </w:r>
      <w:r w:rsidR="004748DD" w:rsidRPr="002646F6">
        <w:t>HER</w:t>
      </w:r>
      <w:r w:rsidR="001D4E2C" w:rsidRPr="002646F6">
        <w:t>2</w:t>
      </w:r>
      <w:r w:rsidR="004748DD" w:rsidRPr="002646F6">
        <w:t xml:space="preserve"> status in BC has traditionally been binary</w:t>
      </w:r>
      <w:r w:rsidR="007F683E" w:rsidRPr="002646F6">
        <w:t>,</w:t>
      </w:r>
      <w:r w:rsidRPr="002646F6">
        <w:t xml:space="preserve"> </w:t>
      </w:r>
      <w:r w:rsidR="00EF4F97" w:rsidRPr="002646F6">
        <w:t xml:space="preserve">this does not recognise </w:t>
      </w:r>
      <w:r w:rsidR="008F5D13">
        <w:t>that 5</w:t>
      </w:r>
      <w:r w:rsidR="00457CC4">
        <w:t>8</w:t>
      </w:r>
      <w:r w:rsidR="008F5D13">
        <w:t>%</w:t>
      </w:r>
      <w:r w:rsidR="00EF4F97" w:rsidRPr="002646F6">
        <w:t xml:space="preserve"> of patients </w:t>
      </w:r>
      <w:r w:rsidR="00777EFF" w:rsidRPr="002646F6">
        <w:t xml:space="preserve">currently </w:t>
      </w:r>
      <w:r w:rsidR="005D4DEC" w:rsidRPr="002646F6">
        <w:t xml:space="preserve">classified </w:t>
      </w:r>
      <w:r w:rsidR="00A33563" w:rsidRPr="002646F6">
        <w:t>as HER2-negative</w:t>
      </w:r>
      <w:r w:rsidR="008F5D13">
        <w:t xml:space="preserve"> </w:t>
      </w:r>
      <w:r w:rsidR="00014747">
        <w:t xml:space="preserve">have tumours that </w:t>
      </w:r>
      <w:r w:rsidR="008F5D13">
        <w:t>expr</w:t>
      </w:r>
      <w:r w:rsidR="007503FA">
        <w:t>ess low</w:t>
      </w:r>
      <w:r w:rsidR="002F0EE7">
        <w:t xml:space="preserve"> l</w:t>
      </w:r>
      <w:r w:rsidR="003F229B">
        <w:t>evels of HER2</w:t>
      </w:r>
      <w:r w:rsidR="00130C40">
        <w:t xml:space="preserve"> (i.e. </w:t>
      </w:r>
      <w:r w:rsidR="00014747">
        <w:t>HER2-low</w:t>
      </w:r>
      <w:r w:rsidR="009F7D20">
        <w:t>)</w:t>
      </w:r>
      <w:r w:rsidR="00014747">
        <w:t xml:space="preserve"> defined as </w:t>
      </w:r>
      <w:r w:rsidR="00130C40" w:rsidRPr="002646F6">
        <w:t>IHC1+ or IHC2+/ISH-</w:t>
      </w:r>
      <w:r w:rsidR="007F594B" w:rsidRPr="002646F6">
        <w:t>.</w:t>
      </w:r>
      <w:r w:rsidR="00A32CEB" w:rsidRPr="002646F6">
        <w:fldChar w:fldCharType="begin"/>
      </w:r>
      <w:r w:rsidR="00CA6345">
        <w:instrText xml:space="preserve"> ADDIN ZOTERO_ITEM CSL_CITATION {"citationID":"loV1VsUC","properties":{"formattedCitation":"\\super 56,82\\nosupersub{}","plainCitation":"56,82","noteIndex":0},"citationItems":[{"id":65940,"uris":["http://zotero.org/groups/4797619/items/7UYVWR36"],"itemData":{"id":65940,"type":"article-journal","container-title":"The Journal of Pathology: Clinical Research","DOI":"10.1002/cjp2.173","ISSN":"2056-4538, 2056-4538","issue":"3","journalAbbreviation":"J Pathol Clin Res","language":"en","page":"227-227","source":"DOI.org (Crossref)","title":"Breast cancer biomarkers in clinical testing: analysis of a UK NEQAS ICC &amp; ISH database containing results from 199 300 patients","title-short":"‘Breast cancer biomarkers in clinical testing","volume":"6","author":[{"family":"Dodson","given":"Andrew"},{"family":"Parry","given":"Suzanne"},{"family":"Ibrahim","given":"Merdol"},{"family":"Bartlett","given":"John M. S."},{"family":"Pinder","given":"Sarah E."},{"family":"Dowsett","given":"Mitch"},{"family":"Miller","given":"Keith"}],"issued":{"date-parts":[["2020",7]]}}},{"id":65951,"uris":["http://zotero.org/groups/4797619/items/PIGPP6GR"],"itemData":{"id":65951,"type":"article-journal","abstract":"Simple Summary\nBreast cancer can express, at varied levels, a protein named HER2, commonly responsible for making it grow and send distant metastases. In the past, patients affected by the so called HER2-positive breast cancer had lower probabilities of cure and survival, though with the advent of drugs that target HER2, three decades ago, their prognosis has greatly improved. So far, only patients with strong HER2 expression on their tumour can be treated with these benefitial drugs, like trastuzumab, though recently stronger drugs have also been shown capable of eliminating breast cancer cells with lower levels of HER2 expression (HER2-low). Sooner or later, these new drugs, like trastuzumab-deruxtecan, may be available for treating such patients. Therefore, the aim of this narrative review of the literature is to provide an outline of what is going on on this specific field of research, and what could be expected in the future in the clinic. \n\nAbstract\nSince human epidermal growth factor receptor-2 (HER2) characterization, going through clinical research and regulatory approval of HER2-targeted therapies, much has elapsed and is still unfolding. Hitherto, only breast cancer (BC) patients with HER2 immunohistochemistry 3+ or with HER2 gene fluorescence in-situ hybridization (FISH) amplification (a.k.a., HER2-positive BC) have benefited from anti-HER2 agents. In recent years, however, much of the research effort has been expanded, with positive outcomes being reached for formerly known HER2-negative BC that yet express HER2 to some degree (HER2 immunohistochemistry 1+ or 2+, but FISH negative) and are currently being classified as HER2-low BC for the purpose of trial enrollment. In this sense, our aim is to review the body of evidence of HER2-low BC that led to the study of first-generation anti-HER2 agents, like trastuzumab, and how they have failed to achieve any clinical applicability in this setting. In addition, we review new data that is leading to the growing success of the new generation of drugs, especially the promising HER2-directed antibody–drug conjugates. A narrative review is also performed regarding the rationale behind the consolidated and ongoing clinical trials studying anti-HER2 agents in combination with unrelated agents, such as immunotherapy, endocrine therapy, and CDK4/6 inhibitors. Hopefully, all this ongoing research effort will be able to extend the survival benefits seen with anti-HER2 agents in HER2-positive disease, at least to some degree, to the greater proportion of patients with HER2-low BC.","container-title":"Cancers","DOI":"10.3390/cancers13051015","ISSN":"2072-6694","issue":"5","journalAbbreviation":"Cancers (Basel)","note":"PMID: 33804398\nPMCID: PMC7957750","page":"1015","source":"PubMed Central","title":"The Exciting New Field of HER2-Low Breast Cancer Treatment","volume":"13","author":[{"family":"Eiger","given":"Daniel"},{"family":"Agostinetto","given":"Elisa"},{"family":"Saúde-Conde","given":"Rita"},{"family":"Azambuja","given":"Evandro","non-dropping-particle":"de"}],"issued":{"date-parts":[["2021",3,1]]}}}],"schema":"https://github.com/citation-style-language/schema/raw/master/csl-citation.json"} </w:instrText>
      </w:r>
      <w:r w:rsidR="00A32CEB" w:rsidRPr="002646F6">
        <w:fldChar w:fldCharType="separate"/>
      </w:r>
      <w:r w:rsidR="00CA6345" w:rsidRPr="00CA6345">
        <w:rPr>
          <w:rFonts w:cs="Arial"/>
          <w:szCs w:val="24"/>
          <w:vertAlign w:val="superscript"/>
        </w:rPr>
        <w:t>56,82</w:t>
      </w:r>
      <w:r w:rsidR="00A32CEB" w:rsidRPr="002646F6">
        <w:fldChar w:fldCharType="end"/>
      </w:r>
      <w:r w:rsidR="00730F92" w:rsidRPr="002646F6">
        <w:t xml:space="preserve"> While the first anti-HER2 therapies </w:t>
      </w:r>
      <w:r w:rsidR="00100A4F">
        <w:t>we</w:t>
      </w:r>
      <w:r w:rsidR="00730F92" w:rsidRPr="002646F6">
        <w:t>re not effective in HER2-low,</w:t>
      </w:r>
      <w:r w:rsidR="00897495" w:rsidRPr="002646F6">
        <w:fldChar w:fldCharType="begin"/>
      </w:r>
      <w:r w:rsidR="00CA6345">
        <w:instrText xml:space="preserve"> ADDIN ZOTERO_ITEM CSL_CITATION {"citationID":"rzBT3sWY","properties":{"formattedCitation":"\\super 73\\nosupersub{}","plainCitation":"73","noteIndex":0},"citationItems":[{"id":66427,"uris":["http://zotero.org/groups/4797619/items/KMLD9YZX"],"itemData":{"id":66427,"type":"article-journal","abstract":"BACKGROUND: We evaluated the influence of HER2 gene amplification, as determined by fluorescence in situ hybridization (FISH), on clinical outcomes (objective response rates, time to disease progression, and overall survival time) in women with metastatic breast cancer treated with trastuzumab in 3 clinical trials. Breast cancer tissue specimens were evaluated using a direct labeled, dual-probe FISH assay.\nMATERIALS AND METHODS: Specimens with a HER2:CEP17 ratio of &gt; or = 2:0 were considered positive for gene amplification. All specimens had previously demonstrated overexpression of HER2 protein at the 2+ or 3+ level by immunohistochemistry using the Clinical Trials Assay. Response rate, time to disease progression, and survival times were then compared between the FISH-positive and FISH-negative cohorts in each of the 3 clinical trials.\nRESULTS: Informative FISH results were obtained in 765 (96%) of the 799 patients enrolled in the 3 clinical trials. Overall, 596 (78%) were FISH-positive and 169 (22%) were FISH-negative. The proportion of FISH-positive patients was comparable in all 3 trials. Clinical benefit from trastuzumab therapy appeared to be restricted to patients with FISH-positive metastatic breast cancer. In each clinical trial, the cohort of FISH-positive patients had higher overall response rates and longer durations of survival compared with FISH-negative patients.\nCONCLUSION: These data indicate that assessment of HER2 amplification by FISH is the preferred method to select patients for trastuzumab therapy.","container-title":"Clinical Breast Cancer","DOI":"10.3816/CBC.2005.n.026","ISSN":"1526-8209","issue":"3","journalAbbreviation":"Clin Breast Cancer","language":"eng","note":"PMID: 16137435","page":"240-246","source":"PubMed","title":"Evaluation of clinical outcomes according to HER2 detection by fluorescence in situ hybridization in women with metastatic breast cancer treated with trastuzumab","volume":"6","author":[{"family":"Mass","given":"Robert D."},{"family":"Press","given":"Michael F."},{"family":"Anderson","given":"Steven"},{"family":"Cobleigh","given":"Melody A."},{"family":"Vogel","given":"Charles L."},{"family":"Dybdal","given":"Noël"},{"family":"Leiberman","given":"Grazyna"},{"family":"Slamon","given":"Dennis J."}],"issued":{"date-parts":[["2005",8]]}}}],"schema":"https://github.com/citation-style-language/schema/raw/master/csl-citation.json"} </w:instrText>
      </w:r>
      <w:r w:rsidR="00897495" w:rsidRPr="002646F6">
        <w:fldChar w:fldCharType="separate"/>
      </w:r>
      <w:r w:rsidR="00FD57F4" w:rsidRPr="00FD57F4">
        <w:rPr>
          <w:rFonts w:cs="Arial"/>
          <w:szCs w:val="24"/>
          <w:vertAlign w:val="superscript"/>
        </w:rPr>
        <w:t>73</w:t>
      </w:r>
      <w:r w:rsidR="00897495" w:rsidRPr="002646F6">
        <w:fldChar w:fldCharType="end"/>
      </w:r>
      <w:r w:rsidR="00730F92" w:rsidRPr="002646F6">
        <w:t xml:space="preserve"> the emergence of newer</w:t>
      </w:r>
      <w:r w:rsidR="00AC4AE3" w:rsidRPr="002646F6">
        <w:t>,</w:t>
      </w:r>
      <w:r w:rsidR="00636E52" w:rsidRPr="002646F6">
        <w:t xml:space="preserve"> </w:t>
      </w:r>
      <w:r w:rsidR="003A44E9" w:rsidRPr="002646F6">
        <w:t>more effective HER2-targeted therapies that have improved outcomes in HER2-positive disease compared with earlier HER2-targeted regimens</w:t>
      </w:r>
      <w:r w:rsidR="009D4D9C" w:rsidRPr="002646F6">
        <w:fldChar w:fldCharType="begin"/>
      </w:r>
      <w:r w:rsidR="00CA6345">
        <w:instrText xml:space="preserve"> ADDIN ZOTERO_ITEM CSL_CITATION {"citationID":"vPDo5Ay7","properties":{"formattedCitation":"\\super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009D4D9C" w:rsidRPr="002646F6">
        <w:fldChar w:fldCharType="separate"/>
      </w:r>
      <w:r w:rsidR="00FD57F4" w:rsidRPr="00FD57F4">
        <w:rPr>
          <w:rFonts w:cs="Arial"/>
          <w:szCs w:val="24"/>
          <w:vertAlign w:val="superscript"/>
        </w:rPr>
        <w:t>6</w:t>
      </w:r>
      <w:r w:rsidR="009D4D9C" w:rsidRPr="002646F6">
        <w:fldChar w:fldCharType="end"/>
      </w:r>
      <w:r w:rsidR="003A44E9" w:rsidRPr="002646F6">
        <w:t xml:space="preserve"> </w:t>
      </w:r>
      <w:r w:rsidR="00F03A10" w:rsidRPr="002646F6">
        <w:t xml:space="preserve">has </w:t>
      </w:r>
      <w:r w:rsidR="003A44E9" w:rsidRPr="002646F6">
        <w:t>renewed</w:t>
      </w:r>
      <w:r w:rsidR="00B51DCD" w:rsidRPr="002646F6">
        <w:t xml:space="preserve"> clinical</w:t>
      </w:r>
      <w:r w:rsidR="003A44E9" w:rsidRPr="002646F6">
        <w:t xml:space="preserve"> interest in further refining the HER2 paradigm to </w:t>
      </w:r>
      <w:r w:rsidR="00143FBF" w:rsidRPr="002646F6">
        <w:t>include HER2-low</w:t>
      </w:r>
      <w:r w:rsidR="002465C8" w:rsidRPr="002646F6">
        <w:t>.</w:t>
      </w:r>
      <w:r w:rsidR="00651234" w:rsidRPr="002646F6">
        <w:t xml:space="preserve"> </w:t>
      </w:r>
      <w:r w:rsidR="004B11B5" w:rsidRPr="002646F6">
        <w:t xml:space="preserve">Under this new paradigm, HER2 status is based on a three-tier system: i) HER2-positive, ii) HER2-negative, and iii) HER2-low. </w:t>
      </w:r>
    </w:p>
    <w:p w14:paraId="6D46EF6B" w14:textId="799CF709" w:rsidR="00E7069A" w:rsidRPr="002646F6" w:rsidRDefault="001B1560" w:rsidP="006B613A">
      <w:pPr>
        <w:pStyle w:val="Body"/>
        <w:rPr>
          <w:lang w:eastAsia="ja-JP"/>
        </w:rPr>
      </w:pPr>
      <w:r w:rsidRPr="002646F6">
        <w:t xml:space="preserve">HER2-low </w:t>
      </w:r>
      <w:r w:rsidR="002465C8" w:rsidRPr="002646F6">
        <w:t xml:space="preserve">is </w:t>
      </w:r>
      <w:r w:rsidRPr="002646F6">
        <w:t>now</w:t>
      </w:r>
      <w:r w:rsidR="002465C8" w:rsidRPr="002646F6">
        <w:t xml:space="preserve"> </w:t>
      </w:r>
      <w:r w:rsidRPr="002646F6">
        <w:t xml:space="preserve">recognised in recent </w:t>
      </w:r>
      <w:r w:rsidR="00656218" w:rsidRPr="002646F6">
        <w:t>US (</w:t>
      </w:r>
      <w:r w:rsidRPr="002646F6">
        <w:t>ASCO</w:t>
      </w:r>
      <w:r w:rsidR="00656218" w:rsidRPr="002646F6">
        <w:t xml:space="preserve"> and NCCN)</w:t>
      </w:r>
      <w:r w:rsidR="00ED678F" w:rsidRPr="002646F6">
        <w:fldChar w:fldCharType="begin"/>
      </w:r>
      <w:r w:rsidR="00CA6345">
        <w:instrText xml:space="preserve"> ADDIN ZOTERO_ITEM CSL_CITATION {"citationID":"6ppgFzPb","properties":{"formattedCitation":"\\super 71,72\\nosupersub{}","plainCitation":"71,72","noteIndex":0},"citationItems":[{"id":65859,"uris":["http://zotero.org/groups/4797619/items/73ARJN9L"],"itemData":{"id":65859,"type":"article-journal","language":"EN","note":"publisher: National Comprehensive Cancer Network","title":"NCCN Clinical Practice Guidelines in Oncology, Breast Cancer. Version 4.2022.","URL":"https://www.nccn.org/patients/guidelines/cancers.aspx","author":[{"family":"Gradishar","given":"William J."},{"family":"Moran","given":"Meena S."},{"family":"Abraham","given":"Jame"},{"family":"Aft","given":"Rebecca"},{"family":"Agnese","given":"Doreen"},{"family":"Allison","given":"Kimberly H."},{"family":"Anderson","given":"Bethany"},{"family":"Burstein","given":"Harold J."},{"family":"Chew","given":"Helen"},{"family":"Dang","given":"Chau"},{"family":"Elias","given":"Anthony D."},{"family":"Giordano","given":"Sharon H."},{"family":"Goetz","given":"Matthew P."},{"family":"Goldstein","given":"Lori J."},{"family":"Hurvitz","given":"Sara A."},{"family":"Isakoff","given":"Steven J."},{"family":"Jankowitz","given":"Rachel C."},{"family":"Javid","given":"Sara H."},{"family":"Krishnamurthy","given":"Jairam"},{"family":"Leitch","given":"Marilyn"},{"family":"Lyons","given":"Janice"},{"family":"Mortimer","given":"Joanne"},{"family":"Patel","given":"Sameer A."},{"family":"Pierce","given":"Lori J."},{"family":"Rosenberger","given":"Laura H."},{"family":"Rugo","given":"Hope S."},{"family":"Sitapati","given":"Amy"},{"family":"Smith","given":"Karen Lisa"},{"family":"Smith","given":"Mary Lou"},{"family":"Soliman","given":"Hatem"},{"family":"Stringer-Reasor","given":"Erica M."},{"family":"Telli","given":"Melinda L."},{"family":"Ward","given":"John H."},{"family":"Wisinski","given":"Kari B."},{"family":"Young","given":"Jessica S."},{"family":"Berardi","given":"Ryan"},{"family":"Kumar","given":"Rashmi"}],"accessed":{"date-parts":[["2022",11,3]]},"issued":{"date-parts":[["2022",6,21]]}}},{"id":66147,"uris":["http://zotero.org/groups/4797619/items/YTHABEAP"],"itemData":{"id":66147,"type":"article-journal","abstract":"ASCO Rapid Recommendations Updates highlight revisions to select ASCO guideline recommendations as a response to the emergence of new and practice-changing data. The rapid updates are supported by an evidence review and follow the guideline development processes outlined in the ASCO Guideline Methodology Manual. The goal of these articles is to disseminate updated recommendations, in a timely manner, to better inform health practitioners and the public on the best available cancer care options.","archive_location":"world","container-title":"Journal of Clinical Oncology","DOI":"10.1200/JCO.22.01533","language":"EN","license":"© 2022 by American Society of Clinical Oncology","note":"publisher: Wolters Kluwer Health","source":"ascopubs.org","title":"Chemotherapy and Targeted Therapy for Human Epidermal Growth Factor Receptor 2–Negative Metastatic Breast Cancer That Is Either Endocrine-Pretreated or Hormone Receptor–Negative: ASCO Guideline Rapid Recommendation Update","title-short":"Chemotherapy and Targeted Therapy for Human Epidermal Growth Factor Receptor 2–Negative Metastatic Breast Cancer That Is Either Endocrine-Pretreated or Hormone Receptor–Negative","URL":"https://ascopubs.org/doi/pdf/10.1200/JCO.22.01533?role=tab)","author":[{"family":"Moy","given":"Beverly"},{"family":"Rumble","given":"R. Bryan"},{"family":"Carey","given":"Lisa A."},{"family":"Panel","given":"for the Chemotherapy and Targeted Therapy for HER2-Negative Metastatic Breast Cancer that is Either Endocrine-Pretreated or Hormone Receptor–Negative Expert"}],"accessed":{"date-parts":[["2022",11,16]]},"issued":{"date-parts":[["2022",8,4]]}}}],"schema":"https://github.com/citation-style-language/schema/raw/master/csl-citation.json"} </w:instrText>
      </w:r>
      <w:r w:rsidR="00ED678F" w:rsidRPr="002646F6">
        <w:fldChar w:fldCharType="separate"/>
      </w:r>
      <w:r w:rsidR="00FD57F4" w:rsidRPr="00FD57F4">
        <w:rPr>
          <w:rFonts w:cs="Arial"/>
          <w:szCs w:val="24"/>
          <w:vertAlign w:val="superscript"/>
        </w:rPr>
        <w:t>71,72</w:t>
      </w:r>
      <w:r w:rsidR="00ED678F" w:rsidRPr="002646F6">
        <w:fldChar w:fldCharType="end"/>
      </w:r>
      <w:r w:rsidRPr="002646F6">
        <w:t xml:space="preserve"> and </w:t>
      </w:r>
      <w:r w:rsidR="00656218" w:rsidRPr="002646F6">
        <w:t>European (</w:t>
      </w:r>
      <w:r w:rsidRPr="002646F6">
        <w:t>ESMO</w:t>
      </w:r>
      <w:r w:rsidR="00656218" w:rsidRPr="002646F6">
        <w:t>)</w:t>
      </w:r>
      <w:r w:rsidR="00656218" w:rsidRPr="002646F6">
        <w:fldChar w:fldCharType="begin"/>
      </w:r>
      <w:r w:rsidR="00CA6345">
        <w:instrText xml:space="preserve"> ADDIN ZOTERO_ITEM CSL_CITATION {"citationID":"xTzcyQXi","properties":{"formattedCitation":"\\super 42\\nosupersub{}","plainCitation":"42","noteIndex":0},"citationItems":[{"id":65955,"uris":["http://zotero.org/groups/4797619/items/4KXA6CCG"],"itemData":{"id":65955,"type":"article-journal","container-title":"Annals of Oncology: Official Journal of the European Society for Medical Oncology","DOI":"10.1016/j.annonc.2021.09.019","ISSN":"1569-8041","issue":"12","journalAbbreviation":"Ann Oncol","language":"eng","note":"PMID: 34678411","page":"1475-1495","source":"PubMed","title":"ESMO Clinical Practice Guideline for the diagnosis, staging and treatment of patients with metastatic breast cancer","volume":"32","author":[{"family":"Gennari","given":"A."},{"family":"André","given":"F."},{"family":"Barrios","given":"C. H."},{"family":"Cortés","given":"J."},{"family":"Azambuja","given":"E.","non-dropping-particle":"de"},{"family":"DeMichele","given":"A."},{"family":"Dent","given":"R."},{"family":"Fenlon","given":"D."},{"family":"Gligorov","given":"J."},{"family":"Hurvitz","given":"S. A."},{"family":"Im","given":"S.-A."},{"family":"Krug","given":"D."},{"family":"Kunz","given":"W. G."},{"family":"Loi","given":"S."},{"family":"Penault-Llorca","given":"F."},{"family":"Ricke","given":"J."},{"family":"Robson","given":"M."},{"family":"Rugo","given":"H. S."},{"family":"Saura","given":"C."},{"family":"Schmid","given":"P."},{"family":"Singer","given":"C. F."},{"family":"Spanic","given":"T."},{"family":"Tolaney","given":"S. M."},{"family":"Turner","given":"N. C."},{"family":"Curigliano","given":"G."},{"family":"Loibl","given":"S."},{"family":"Paluch-Shimon","given":"S."},{"family":"Harbeck","given":"N."},{"literal":"ESMO Guidelines Committee. Electronic address: clinicalguidelines@esmo.org"}],"issued":{"date-parts":[["2021",12]]}}}],"schema":"https://github.com/citation-style-language/schema/raw/master/csl-citation.json"} </w:instrText>
      </w:r>
      <w:r w:rsidR="00656218" w:rsidRPr="002646F6">
        <w:fldChar w:fldCharType="separate"/>
      </w:r>
      <w:r w:rsidR="00FD57F4" w:rsidRPr="00FD57F4">
        <w:rPr>
          <w:rFonts w:cs="Arial"/>
          <w:szCs w:val="24"/>
          <w:vertAlign w:val="superscript"/>
        </w:rPr>
        <w:t>42</w:t>
      </w:r>
      <w:r w:rsidR="00656218" w:rsidRPr="002646F6">
        <w:fldChar w:fldCharType="end"/>
      </w:r>
      <w:r w:rsidRPr="002646F6">
        <w:t xml:space="preserve"> clinical guidelines for the management of BC</w:t>
      </w:r>
      <w:r w:rsidR="000F5A3B" w:rsidRPr="002646F6">
        <w:t>, highlighting its potential importance in further defining the management of patients with mBC.</w:t>
      </w:r>
      <w:r w:rsidR="00E365DC">
        <w:t xml:space="preserve"> In addition, </w:t>
      </w:r>
      <w:r w:rsidR="00C8177E">
        <w:t xml:space="preserve">HER2-low is recognised in </w:t>
      </w:r>
      <w:r w:rsidR="00E365DC">
        <w:t>a 2022 update to UK HER2 testing recommendations</w:t>
      </w:r>
      <w:r w:rsidR="00DC03F9">
        <w:t xml:space="preserve">, which states that </w:t>
      </w:r>
      <w:r w:rsidR="00735932">
        <w:t xml:space="preserve">testing for HER2-low will not require a change in current </w:t>
      </w:r>
      <w:r w:rsidR="00854331">
        <w:t>UK practice</w:t>
      </w:r>
      <w:r w:rsidR="009326AA">
        <w:t xml:space="preserve"> in terms of </w:t>
      </w:r>
      <w:r w:rsidR="00617D40">
        <w:t>testing procedures.</w:t>
      </w:r>
      <w:r w:rsidR="00617D40">
        <w:fldChar w:fldCharType="begin"/>
      </w:r>
      <w:r w:rsidR="00CA6345">
        <w:instrText xml:space="preserve"> ADDIN ZOTERO_ITEM CSL_CITATION {"citationID":"37ehXZT2","properties":{"formattedCitation":"\\super 19\\nosupersub{}","plainCitation":"19","noteIndex":0},"citationItems":[{"id":66780,"uris":["http://zotero.org/groups/4797619/items/367PY2PF"],"itemData":{"id":66780,"type":"article-journal","abstract":"The last UK breast cancer (BC) human epidermal growth factor receptor 2 (HER2) testing guideline recommendations were published in 2015. Since then, new data and therapeutic strategies have emerged. The American Society of Clinical Oncology (ASCO)/College of American Pathologists (CAP) published a focused update in 2018 that reclassified in situ hybridisation (ISH) Group 2 (immunohistochemistry (IHC) score 2+and HER2/chromosome enumeration probe 17 (CEP17) ratio ≥2.0 and HER2 copy number &lt;4.0 signals/cell), as well as addressed other concerns raised by previous guidelines. The present article further refines UK guidelines, with specific attention to definitions of HER2 status focusing on eight key areas: (1) HER2 equivocal (IHC 2+) and assignment of the ASCO/CAP ISH group 2 tumours; (2) the definition of the group of BCs with low IHC scores for HER2 with emphasis on the distinction between IHC score 1+ (HER2-Low) from HER2 IHC score 0 (HER2 negative); (3) reporting cases showing HER2 heterogeneity; (4) HER2 testing in specific settings, including on cytological material; (5) repeat HER2 testing, (6) HER2 testing turnaround time targets; (7) the potential role</w:instrText>
      </w:r>
      <w:r w:rsidR="00CA6345">
        <w:rPr>
          <w:lang w:eastAsia="ja-JP"/>
        </w:rPr>
        <w:instrText xml:space="preserve"> of next generation sequencing and other diagnostic molecular assays for routine testing of HER2 status in BC and (8) use of image analysis to score HER2 IHC. The two tiered system of HER2 assessment remains unchanged, with first line IHC and then ISH limited to IHC equivocal cases (IHC score 2+) but emerging data on the relationship between IHC scores and levels of response to anti-HER2 therapy are considered. Here, we present the latest UK recommendations for HER2 status evaluation in BC, and where relevant, the differences from other published guidelines.","container-title":"Journal of Clinical Pathology","DOI":"10.1136/jcp-2022-208632","ISSN":"1472-4146","journalAbbreviation":"J Clin Pathol","language":"eng","note":"PMID: 36564170","page":"jcp-2022-208632","source":"PubMed","title":"UK recommendations for HER2 assessment in breast cancer: an update","title-short":"UK recommendations for HER2 assessment in breast cancer","author":[{"family":"Rakha","given":"Emad A."},{"family":"Tan","given":"Puay Hoon"},{"family":"Quinn","given":"Cecily"},{"family":"Provenzano","given":"Elena"},{"family":"Shaaban","given":"Abeer M."},{"family":"Deb","given":"Rahul"},{"family":"Callagy","given":"Grace"},{"family":"Starczynski","given":"Jane"},{"family":"Lee","given":"Andrew H. S."},{"family":"Ellis","given":"Ian O."},{"family":"Pinder","given":"Sarah E."}],"issued":{"date-parts":[["2022",12,23]]}}}],"schema":"https://github.com/citation-style-language/schema/raw/master/csl-citation.json"} </w:instrText>
      </w:r>
      <w:r w:rsidR="00617D40">
        <w:fldChar w:fldCharType="separate"/>
      </w:r>
      <w:r w:rsidR="00FD57F4" w:rsidRPr="00FD57F4">
        <w:rPr>
          <w:rFonts w:cs="Arial"/>
          <w:szCs w:val="24"/>
          <w:vertAlign w:val="superscript"/>
          <w:lang w:eastAsia="ja-JP"/>
        </w:rPr>
        <w:t>19</w:t>
      </w:r>
      <w:r w:rsidR="00617D40">
        <w:fldChar w:fldCharType="end"/>
      </w:r>
    </w:p>
    <w:p w14:paraId="42EAD69E" w14:textId="47B15FF5" w:rsidR="00687847" w:rsidRDefault="003B4688" w:rsidP="006B613A">
      <w:pPr>
        <w:pStyle w:val="Body"/>
        <w:rPr>
          <w:lang w:eastAsia="ja-JP"/>
        </w:rPr>
      </w:pPr>
      <w:r w:rsidRPr="002646F6">
        <w:rPr>
          <w:b/>
          <w:bCs/>
        </w:rPr>
        <w:fldChar w:fldCharType="begin"/>
      </w:r>
      <w:r w:rsidRPr="002646F6">
        <w:rPr>
          <w:b/>
          <w:bCs/>
          <w:lang w:eastAsia="ja-JP"/>
        </w:rPr>
        <w:instrText xml:space="preserve"> REF _Ref121943286 \h  \* MERGEFORMAT </w:instrText>
      </w:r>
      <w:r w:rsidRPr="002646F6">
        <w:rPr>
          <w:b/>
          <w:bCs/>
        </w:rPr>
      </w:r>
      <w:r w:rsidRPr="002646F6">
        <w:rPr>
          <w:b/>
          <w:bCs/>
        </w:rPr>
        <w:fldChar w:fldCharType="separate"/>
      </w:r>
      <w:r w:rsidR="00145F42" w:rsidRPr="00145F42">
        <w:rPr>
          <w:b/>
          <w:bCs/>
          <w:lang w:eastAsia="ja-JP"/>
        </w:rPr>
        <w:t xml:space="preserve">Figure </w:t>
      </w:r>
      <w:r w:rsidR="00145F42" w:rsidRPr="00145F42">
        <w:rPr>
          <w:b/>
          <w:bCs/>
          <w:noProof/>
          <w:lang w:eastAsia="ja-JP"/>
        </w:rPr>
        <w:t>3</w:t>
      </w:r>
      <w:r w:rsidRPr="002646F6">
        <w:rPr>
          <w:b/>
          <w:bCs/>
        </w:rPr>
        <w:fldChar w:fldCharType="end"/>
      </w:r>
      <w:r w:rsidRPr="002646F6">
        <w:rPr>
          <w:b/>
          <w:bCs/>
          <w:lang w:eastAsia="ja-JP"/>
        </w:rPr>
        <w:t xml:space="preserve"> </w:t>
      </w:r>
      <w:r w:rsidR="00CD02FC" w:rsidRPr="002646F6">
        <w:rPr>
          <w:lang w:eastAsia="ja-JP"/>
        </w:rPr>
        <w:t xml:space="preserve">compares </w:t>
      </w:r>
      <w:r w:rsidRPr="002646F6">
        <w:rPr>
          <w:lang w:eastAsia="ja-JP"/>
        </w:rPr>
        <w:t>the traditional HER2 testing paradigm (</w:t>
      </w:r>
      <w:r w:rsidRPr="002646F6">
        <w:rPr>
          <w:b/>
          <w:bCs/>
        </w:rPr>
        <w:fldChar w:fldCharType="begin"/>
      </w:r>
      <w:r w:rsidRPr="002646F6">
        <w:rPr>
          <w:b/>
          <w:bCs/>
          <w:lang w:eastAsia="ja-JP"/>
        </w:rPr>
        <w:instrText xml:space="preserve"> REF _Ref121943286 \h  \* MERGEFORMAT </w:instrText>
      </w:r>
      <w:r w:rsidRPr="002646F6">
        <w:rPr>
          <w:b/>
          <w:bCs/>
        </w:rPr>
      </w:r>
      <w:r w:rsidRPr="002646F6">
        <w:rPr>
          <w:b/>
          <w:bCs/>
        </w:rPr>
        <w:fldChar w:fldCharType="separate"/>
      </w:r>
      <w:r w:rsidR="00145F42" w:rsidRPr="00145F42">
        <w:rPr>
          <w:b/>
          <w:bCs/>
          <w:lang w:eastAsia="ja-JP"/>
        </w:rPr>
        <w:t xml:space="preserve">Figure </w:t>
      </w:r>
      <w:r w:rsidR="00145F42" w:rsidRPr="00145F42">
        <w:rPr>
          <w:b/>
          <w:bCs/>
          <w:noProof/>
          <w:lang w:eastAsia="ja-JP"/>
        </w:rPr>
        <w:t>3</w:t>
      </w:r>
      <w:r w:rsidRPr="002646F6">
        <w:rPr>
          <w:b/>
          <w:bCs/>
        </w:rPr>
        <w:fldChar w:fldCharType="end"/>
      </w:r>
      <w:r w:rsidRPr="002646F6">
        <w:rPr>
          <w:b/>
          <w:bCs/>
          <w:lang w:eastAsia="ja-JP"/>
        </w:rPr>
        <w:t>A</w:t>
      </w:r>
      <w:r w:rsidRPr="002646F6">
        <w:rPr>
          <w:lang w:eastAsia="ja-JP"/>
        </w:rPr>
        <w:t>) with the new</w:t>
      </w:r>
      <w:r w:rsidR="005E44ED" w:rsidRPr="002646F6">
        <w:rPr>
          <w:lang w:eastAsia="ja-JP"/>
        </w:rPr>
        <w:t xml:space="preserve"> </w:t>
      </w:r>
      <w:r w:rsidRPr="002646F6">
        <w:rPr>
          <w:lang w:eastAsia="ja-JP"/>
        </w:rPr>
        <w:t>paradigm including HER2-low (</w:t>
      </w:r>
      <w:r w:rsidRPr="002646F6">
        <w:rPr>
          <w:b/>
          <w:bCs/>
        </w:rPr>
        <w:fldChar w:fldCharType="begin"/>
      </w:r>
      <w:r w:rsidRPr="002646F6">
        <w:rPr>
          <w:b/>
          <w:bCs/>
          <w:lang w:eastAsia="ja-JP"/>
        </w:rPr>
        <w:instrText xml:space="preserve"> REF _Ref121943286 \h  \* MERGEFORMAT </w:instrText>
      </w:r>
      <w:r w:rsidRPr="002646F6">
        <w:rPr>
          <w:b/>
          <w:bCs/>
        </w:rPr>
      </w:r>
      <w:r w:rsidRPr="002646F6">
        <w:rPr>
          <w:b/>
          <w:bCs/>
        </w:rPr>
        <w:fldChar w:fldCharType="separate"/>
      </w:r>
      <w:r w:rsidR="00145F42" w:rsidRPr="00145F42">
        <w:rPr>
          <w:b/>
          <w:bCs/>
          <w:lang w:eastAsia="ja-JP"/>
        </w:rPr>
        <w:t xml:space="preserve">Figure </w:t>
      </w:r>
      <w:r w:rsidR="00145F42" w:rsidRPr="00145F42">
        <w:rPr>
          <w:b/>
          <w:bCs/>
          <w:noProof/>
          <w:lang w:eastAsia="ja-JP"/>
        </w:rPr>
        <w:t>3</w:t>
      </w:r>
      <w:r w:rsidRPr="002646F6">
        <w:rPr>
          <w:b/>
          <w:bCs/>
        </w:rPr>
        <w:fldChar w:fldCharType="end"/>
      </w:r>
      <w:r w:rsidRPr="002646F6">
        <w:rPr>
          <w:b/>
          <w:bCs/>
          <w:lang w:eastAsia="ja-JP"/>
        </w:rPr>
        <w:t>B</w:t>
      </w:r>
      <w:r w:rsidRPr="002646F6">
        <w:rPr>
          <w:lang w:eastAsia="ja-JP"/>
        </w:rPr>
        <w:t>).</w:t>
      </w:r>
    </w:p>
    <w:p w14:paraId="48C1698D" w14:textId="77777777" w:rsidR="00687847" w:rsidRDefault="00687847">
      <w:pPr>
        <w:rPr>
          <w:lang w:eastAsia="ja-JP"/>
        </w:rPr>
      </w:pPr>
      <w:r>
        <w:rPr>
          <w:lang w:eastAsia="ja-JP"/>
        </w:rPr>
        <w:br w:type="page"/>
      </w:r>
    </w:p>
    <w:p w14:paraId="339AA824" w14:textId="34A8F7ED" w:rsidR="00F36424" w:rsidRPr="002646F6" w:rsidRDefault="00A34481" w:rsidP="005D4157">
      <w:pPr>
        <w:pStyle w:val="Caption"/>
        <w:rPr>
          <w:lang w:eastAsia="ja-JP"/>
        </w:rPr>
      </w:pPr>
      <w:bookmarkStart w:id="44" w:name="_Ref117762300"/>
      <w:bookmarkStart w:id="45" w:name="_Ref121943286"/>
      <w:bookmarkStart w:id="46" w:name="_Toc129350929"/>
      <w:bookmarkEnd w:id="44"/>
      <w:r w:rsidRPr="002646F6">
        <w:rPr>
          <w:lang w:eastAsia="ja-JP"/>
        </w:rPr>
        <w:lastRenderedPageBreak/>
        <w:t xml:space="preserve">Figure </w:t>
      </w:r>
      <w:r>
        <w:fldChar w:fldCharType="begin"/>
      </w:r>
      <w:r>
        <w:rPr>
          <w:lang w:eastAsia="ja-JP"/>
        </w:rPr>
        <w:instrText>SEQ Figure \* ARABIC</w:instrText>
      </w:r>
      <w:r>
        <w:fldChar w:fldCharType="separate"/>
      </w:r>
      <w:r w:rsidR="00145F42">
        <w:rPr>
          <w:noProof/>
          <w:lang w:eastAsia="ja-JP"/>
        </w:rPr>
        <w:t>3</w:t>
      </w:r>
      <w:r>
        <w:fldChar w:fldCharType="end"/>
      </w:r>
      <w:bookmarkEnd w:id="45"/>
      <w:r w:rsidRPr="002646F6">
        <w:rPr>
          <w:lang w:eastAsia="ja-JP"/>
        </w:rPr>
        <w:t xml:space="preserve">: HER2 testing </w:t>
      </w:r>
      <w:r w:rsidR="001579AB">
        <w:rPr>
          <w:lang w:eastAsia="ja-JP"/>
        </w:rPr>
        <w:t>paradigm</w:t>
      </w:r>
      <w:bookmarkEnd w:id="46"/>
    </w:p>
    <w:tbl>
      <w:tblPr>
        <w:tblStyle w:val="TableGrid"/>
        <w:tblW w:w="0" w:type="auto"/>
        <w:tblLook w:val="04A0" w:firstRow="1" w:lastRow="0" w:firstColumn="1" w:lastColumn="0" w:noHBand="0" w:noVBand="1"/>
      </w:tblPr>
      <w:tblGrid>
        <w:gridCol w:w="8992"/>
      </w:tblGrid>
      <w:tr w:rsidR="003F7892" w:rsidRPr="003F7892" w14:paraId="12DDDC53" w14:textId="77777777" w:rsidTr="002D60EB">
        <w:trPr>
          <w:trHeight w:val="70"/>
        </w:trPr>
        <w:tc>
          <w:tcPr>
            <w:tcW w:w="8992" w:type="dxa"/>
          </w:tcPr>
          <w:p w14:paraId="60410354" w14:textId="2B866D16" w:rsidR="00CB7E81" w:rsidRDefault="00B9157D" w:rsidP="00A37380">
            <w:pPr>
              <w:textAlignment w:val="baseline"/>
              <w:rPr>
                <w:b/>
                <w:bCs/>
                <w:sz w:val="20"/>
                <w:szCs w:val="20"/>
                <w:lang w:eastAsia="ja-JP"/>
              </w:rPr>
            </w:pPr>
            <w:bookmarkStart w:id="47" w:name="_Ref99733058"/>
            <w:r w:rsidRPr="002646F6">
              <w:rPr>
                <w:b/>
                <w:bCs/>
                <w:sz w:val="20"/>
                <w:szCs w:val="20"/>
                <w:lang w:eastAsia="ja-JP"/>
              </w:rPr>
              <w:t xml:space="preserve">A: </w:t>
            </w:r>
            <w:r w:rsidR="00307417" w:rsidRPr="002646F6">
              <w:rPr>
                <w:b/>
                <w:bCs/>
                <w:sz w:val="20"/>
                <w:szCs w:val="20"/>
                <w:lang w:eastAsia="ja-JP"/>
              </w:rPr>
              <w:t xml:space="preserve">Traditional </w:t>
            </w:r>
            <w:r w:rsidR="00CB7E81" w:rsidRPr="002646F6">
              <w:rPr>
                <w:b/>
                <w:bCs/>
                <w:sz w:val="20"/>
                <w:szCs w:val="20"/>
                <w:lang w:eastAsia="ja-JP"/>
              </w:rPr>
              <w:t xml:space="preserve">HER2 testing paradigm </w:t>
            </w:r>
            <w:r w:rsidR="00DB3F99" w:rsidRPr="002646F6">
              <w:rPr>
                <w:b/>
                <w:bCs/>
                <w:sz w:val="20"/>
                <w:szCs w:val="20"/>
                <w:lang w:eastAsia="ja-JP"/>
              </w:rPr>
              <w:t>(no HER2-low)</w:t>
            </w:r>
          </w:p>
          <w:p w14:paraId="57811F70" w14:textId="3A04F0BE" w:rsidR="00A9055A" w:rsidRDefault="00A9055A" w:rsidP="00A37380">
            <w:pPr>
              <w:textAlignment w:val="baseline"/>
              <w:rPr>
                <w:b/>
                <w:bCs/>
                <w:sz w:val="20"/>
                <w:szCs w:val="20"/>
                <w:lang w:eastAsia="ja-JP"/>
              </w:rPr>
            </w:pPr>
            <w:r w:rsidRPr="00A9055A">
              <w:rPr>
                <w:b/>
                <w:bCs/>
                <w:noProof/>
                <w:sz w:val="20"/>
                <w:szCs w:val="20"/>
              </w:rPr>
              <w:drawing>
                <wp:inline distT="0" distB="0" distL="0" distR="0" wp14:anchorId="6A946B8F" wp14:editId="324EBC3D">
                  <wp:extent cx="5572664" cy="1857143"/>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8904" cy="1859222"/>
                          </a:xfrm>
                          <a:prstGeom prst="rect">
                            <a:avLst/>
                          </a:prstGeom>
                        </pic:spPr>
                      </pic:pic>
                    </a:graphicData>
                  </a:graphic>
                </wp:inline>
              </w:drawing>
            </w:r>
          </w:p>
          <w:p w14:paraId="5A38249D" w14:textId="0C84665C" w:rsidR="005B52BB" w:rsidRPr="002646F6" w:rsidRDefault="005B52BB" w:rsidP="00A37380">
            <w:pPr>
              <w:textAlignment w:val="baseline"/>
              <w:rPr>
                <w:b/>
                <w:bCs/>
                <w:sz w:val="20"/>
                <w:szCs w:val="20"/>
                <w:lang w:eastAsia="ja-JP"/>
              </w:rPr>
            </w:pPr>
          </w:p>
          <w:p w14:paraId="01B87233" w14:textId="4FB761BF" w:rsidR="007502AC" w:rsidRPr="002646F6" w:rsidRDefault="007502AC" w:rsidP="007502AC">
            <w:pPr>
              <w:pStyle w:val="Footnotes"/>
              <w:spacing w:after="0"/>
              <w:rPr>
                <w:rFonts w:eastAsia="Times New Roman" w:cs="Arial"/>
                <w:b/>
                <w:position w:val="1"/>
                <w:lang w:eastAsia="ja-JP"/>
              </w:rPr>
            </w:pPr>
            <w:r w:rsidRPr="002646F6">
              <w:rPr>
                <w:rFonts w:eastAsia="Times New Roman" w:cs="Arial"/>
                <w:b/>
                <w:position w:val="1"/>
                <w:lang w:eastAsia="ja-JP"/>
              </w:rPr>
              <w:t xml:space="preserve">Under the current testing paradigm, there are two HER2 categories: </w:t>
            </w:r>
          </w:p>
          <w:p w14:paraId="1C01BEB5" w14:textId="34382167" w:rsidR="007502AC" w:rsidRPr="002646F6" w:rsidRDefault="007502AC" w:rsidP="00954359">
            <w:pPr>
              <w:pStyle w:val="Footnotes"/>
              <w:numPr>
                <w:ilvl w:val="0"/>
                <w:numId w:val="31"/>
              </w:numPr>
              <w:spacing w:after="0"/>
              <w:rPr>
                <w:rFonts w:eastAsia="Times New Roman" w:cs="Arial"/>
                <w:lang w:val="en-US" w:eastAsia="ja-JP"/>
              </w:rPr>
            </w:pPr>
            <w:r w:rsidRPr="002646F6">
              <w:rPr>
                <w:rFonts w:eastAsia="Times New Roman" w:cs="Arial"/>
                <w:position w:val="-1"/>
                <w:lang w:eastAsia="ja-JP"/>
              </w:rPr>
              <w:t>HER2</w:t>
            </w:r>
            <w:r w:rsidR="004306BC" w:rsidRPr="002646F6">
              <w:rPr>
                <w:rFonts w:eastAsia="Times New Roman" w:cs="Arial"/>
                <w:position w:val="-1"/>
                <w:lang w:eastAsia="ja-JP"/>
              </w:rPr>
              <w:t>-positive</w:t>
            </w:r>
            <w:r w:rsidRPr="002646F6">
              <w:rPr>
                <w:rFonts w:eastAsia="Times New Roman" w:cs="Arial"/>
                <w:position w:val="-1"/>
                <w:lang w:eastAsia="ja-JP"/>
              </w:rPr>
              <w:t>: IHC3+ or IHC2+/ISH+</w:t>
            </w:r>
            <w:r w:rsidRPr="002646F6">
              <w:rPr>
                <w:rFonts w:eastAsia="Times New Roman" w:cs="Arial"/>
                <w:lang w:val="en-US" w:eastAsia="ja-JP"/>
              </w:rPr>
              <w:t>​</w:t>
            </w:r>
          </w:p>
          <w:p w14:paraId="09FDF7BB" w14:textId="4D5B81C0" w:rsidR="007502AC" w:rsidRPr="002646F6" w:rsidRDefault="007502AC" w:rsidP="00954359">
            <w:pPr>
              <w:pStyle w:val="Footnotes"/>
              <w:numPr>
                <w:ilvl w:val="0"/>
                <w:numId w:val="31"/>
              </w:numPr>
              <w:spacing w:after="0"/>
              <w:rPr>
                <w:rFonts w:eastAsia="Times New Roman" w:cs="Arial"/>
                <w:lang w:val="en-US" w:eastAsia="ja-JP"/>
              </w:rPr>
            </w:pPr>
            <w:r w:rsidRPr="002646F6">
              <w:rPr>
                <w:rFonts w:eastAsia="Times New Roman" w:cs="Arial"/>
                <w:position w:val="-1"/>
                <w:lang w:eastAsia="ja-JP"/>
              </w:rPr>
              <w:t>HER2-</w:t>
            </w:r>
            <w:r w:rsidR="004306BC" w:rsidRPr="002646F6">
              <w:rPr>
                <w:rFonts w:eastAsia="Times New Roman" w:cs="Arial"/>
                <w:position w:val="-1"/>
                <w:lang w:eastAsia="ja-JP"/>
              </w:rPr>
              <w:t>negative</w:t>
            </w:r>
            <w:r w:rsidRPr="002646F6">
              <w:rPr>
                <w:rFonts w:eastAsia="Times New Roman" w:cs="Arial"/>
                <w:position w:val="-1"/>
                <w:lang w:eastAsia="ja-JP"/>
              </w:rPr>
              <w:t>: IHC 0/1+ or 2+/ISH-</w:t>
            </w:r>
          </w:p>
          <w:p w14:paraId="70C8DB88" w14:textId="4B530140" w:rsidR="00CB7E81" w:rsidRPr="002646F6" w:rsidRDefault="00CB7E81" w:rsidP="007502AC">
            <w:pPr>
              <w:textAlignment w:val="baseline"/>
              <w:rPr>
                <w:b/>
                <w:bCs/>
                <w:lang w:eastAsia="ja-JP"/>
              </w:rPr>
            </w:pPr>
          </w:p>
          <w:p w14:paraId="29BA3874" w14:textId="078697F2" w:rsidR="00CB7E81" w:rsidRDefault="00B9157D" w:rsidP="004167B4">
            <w:pPr>
              <w:pStyle w:val="Body"/>
              <w:spacing w:after="0"/>
              <w:rPr>
                <w:b/>
                <w:bCs/>
                <w:sz w:val="20"/>
                <w:szCs w:val="20"/>
                <w:lang w:eastAsia="ja-JP"/>
              </w:rPr>
            </w:pPr>
            <w:r w:rsidRPr="002646F6">
              <w:rPr>
                <w:b/>
                <w:bCs/>
                <w:sz w:val="20"/>
                <w:szCs w:val="20"/>
                <w:lang w:eastAsia="ja-JP"/>
              </w:rPr>
              <w:t xml:space="preserve">B: </w:t>
            </w:r>
            <w:r w:rsidR="008A6B5B" w:rsidRPr="002646F6">
              <w:rPr>
                <w:b/>
                <w:bCs/>
                <w:sz w:val="20"/>
                <w:szCs w:val="20"/>
                <w:lang w:eastAsia="ja-JP"/>
              </w:rPr>
              <w:t>New HER2 testing paradigm</w:t>
            </w:r>
            <w:r w:rsidR="00DB3F99" w:rsidRPr="002646F6">
              <w:rPr>
                <w:b/>
                <w:bCs/>
                <w:sz w:val="20"/>
                <w:szCs w:val="20"/>
                <w:lang w:eastAsia="ja-JP"/>
              </w:rPr>
              <w:t xml:space="preserve"> (</w:t>
            </w:r>
            <w:r w:rsidR="00F03AB5" w:rsidRPr="002646F6">
              <w:rPr>
                <w:b/>
                <w:bCs/>
                <w:sz w:val="20"/>
                <w:szCs w:val="20"/>
                <w:lang w:eastAsia="ja-JP"/>
              </w:rPr>
              <w:t>includ</w:t>
            </w:r>
            <w:r w:rsidR="00DB3F99" w:rsidRPr="002646F6">
              <w:rPr>
                <w:b/>
                <w:bCs/>
                <w:sz w:val="20"/>
                <w:szCs w:val="20"/>
                <w:lang w:eastAsia="ja-JP"/>
              </w:rPr>
              <w:t>es</w:t>
            </w:r>
            <w:r w:rsidR="00F03AB5" w:rsidRPr="002646F6">
              <w:rPr>
                <w:b/>
                <w:bCs/>
                <w:sz w:val="20"/>
                <w:szCs w:val="20"/>
                <w:lang w:eastAsia="ja-JP"/>
              </w:rPr>
              <w:t xml:space="preserve"> </w:t>
            </w:r>
            <w:r w:rsidR="008A6B5B" w:rsidRPr="002646F6">
              <w:rPr>
                <w:b/>
                <w:bCs/>
                <w:sz w:val="20"/>
                <w:szCs w:val="20"/>
                <w:lang w:eastAsia="ja-JP"/>
              </w:rPr>
              <w:t>HER2-low</w:t>
            </w:r>
            <w:r w:rsidR="00DB3F99" w:rsidRPr="002646F6">
              <w:rPr>
                <w:b/>
                <w:bCs/>
                <w:sz w:val="20"/>
                <w:szCs w:val="20"/>
                <w:lang w:eastAsia="ja-JP"/>
              </w:rPr>
              <w:t>)</w:t>
            </w:r>
            <w:r w:rsidR="008A6B5B" w:rsidRPr="002646F6">
              <w:rPr>
                <w:b/>
                <w:bCs/>
                <w:sz w:val="20"/>
                <w:szCs w:val="20"/>
                <w:lang w:eastAsia="ja-JP"/>
              </w:rPr>
              <w:t xml:space="preserve"> </w:t>
            </w:r>
          </w:p>
          <w:p w14:paraId="1CB71072" w14:textId="012D8A4C" w:rsidR="00696798" w:rsidRPr="002646F6" w:rsidRDefault="00696798" w:rsidP="004167B4">
            <w:pPr>
              <w:pStyle w:val="Body"/>
              <w:spacing w:after="0"/>
              <w:rPr>
                <w:b/>
                <w:bCs/>
                <w:sz w:val="20"/>
                <w:szCs w:val="20"/>
                <w:lang w:eastAsia="ja-JP"/>
              </w:rPr>
            </w:pPr>
            <w:r w:rsidRPr="00696798">
              <w:rPr>
                <w:b/>
                <w:bCs/>
                <w:noProof/>
                <w:sz w:val="20"/>
                <w:szCs w:val="20"/>
                <w:lang w:eastAsia="en-GB"/>
              </w:rPr>
              <w:drawing>
                <wp:inline distT="0" distB="0" distL="0" distR="0" wp14:anchorId="4B1F254E" wp14:editId="212D0DCE">
                  <wp:extent cx="5538159" cy="1874482"/>
                  <wp:effectExtent l="0" t="0" r="571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1740" cy="1882464"/>
                          </a:xfrm>
                          <a:prstGeom prst="rect">
                            <a:avLst/>
                          </a:prstGeom>
                        </pic:spPr>
                      </pic:pic>
                    </a:graphicData>
                  </a:graphic>
                </wp:inline>
              </w:drawing>
            </w:r>
          </w:p>
          <w:p w14:paraId="133108AB" w14:textId="32D1A730" w:rsidR="00D513DC" w:rsidRPr="002646F6" w:rsidRDefault="00D513DC" w:rsidP="00D513DC">
            <w:pPr>
              <w:pStyle w:val="Footnotes"/>
              <w:spacing w:after="0"/>
              <w:rPr>
                <w:rFonts w:eastAsia="Times New Roman" w:cs="Arial"/>
                <w:b/>
                <w:position w:val="1"/>
                <w:lang w:eastAsia="ja-JP"/>
              </w:rPr>
            </w:pPr>
            <w:r w:rsidRPr="002646F6">
              <w:rPr>
                <w:rFonts w:eastAsia="Times New Roman" w:cs="Arial"/>
                <w:b/>
                <w:position w:val="1"/>
                <w:lang w:eastAsia="ja-JP"/>
              </w:rPr>
              <w:t xml:space="preserve">Under the </w:t>
            </w:r>
            <w:r w:rsidR="007502AC" w:rsidRPr="002646F6">
              <w:rPr>
                <w:rFonts w:eastAsia="Times New Roman" w:cs="Arial"/>
                <w:b/>
                <w:position w:val="1"/>
                <w:lang w:eastAsia="ja-JP"/>
              </w:rPr>
              <w:t>new testing</w:t>
            </w:r>
            <w:r w:rsidRPr="002646F6">
              <w:rPr>
                <w:rFonts w:eastAsia="Times New Roman" w:cs="Arial"/>
                <w:b/>
                <w:position w:val="1"/>
                <w:lang w:eastAsia="ja-JP"/>
              </w:rPr>
              <w:t xml:space="preserve"> paradigm, there </w:t>
            </w:r>
            <w:r w:rsidR="007D714B" w:rsidRPr="002646F6">
              <w:rPr>
                <w:rFonts w:eastAsia="Times New Roman" w:cs="Arial"/>
                <w:b/>
                <w:position w:val="1"/>
                <w:lang w:eastAsia="ja-JP"/>
              </w:rPr>
              <w:t xml:space="preserve">will be </w:t>
            </w:r>
            <w:r w:rsidRPr="002646F6">
              <w:rPr>
                <w:rFonts w:eastAsia="Times New Roman" w:cs="Arial"/>
                <w:b/>
                <w:position w:val="1"/>
                <w:lang w:eastAsia="ja-JP"/>
              </w:rPr>
              <w:t xml:space="preserve">three HER2 categories: </w:t>
            </w:r>
          </w:p>
          <w:p w14:paraId="5B264CFB" w14:textId="7E6EA5AF" w:rsidR="00D513DC" w:rsidRPr="002646F6" w:rsidRDefault="00D513DC" w:rsidP="00954359">
            <w:pPr>
              <w:pStyle w:val="Footnotes"/>
              <w:numPr>
                <w:ilvl w:val="0"/>
                <w:numId w:val="31"/>
              </w:numPr>
              <w:spacing w:after="0"/>
              <w:rPr>
                <w:rFonts w:eastAsia="Times New Roman" w:cs="Arial"/>
                <w:lang w:val="en-US" w:eastAsia="ja-JP"/>
              </w:rPr>
            </w:pPr>
            <w:r w:rsidRPr="002646F6">
              <w:rPr>
                <w:rFonts w:eastAsia="Times New Roman" w:cs="Arial"/>
                <w:position w:val="-1"/>
                <w:lang w:eastAsia="ja-JP"/>
              </w:rPr>
              <w:t>HER2</w:t>
            </w:r>
            <w:r w:rsidR="004306BC" w:rsidRPr="002646F6">
              <w:rPr>
                <w:rFonts w:eastAsia="Times New Roman" w:cs="Arial"/>
                <w:position w:val="-1"/>
                <w:lang w:eastAsia="ja-JP"/>
              </w:rPr>
              <w:t>-positive</w:t>
            </w:r>
            <w:r w:rsidRPr="002646F6">
              <w:rPr>
                <w:rFonts w:eastAsia="Times New Roman" w:cs="Arial"/>
                <w:position w:val="-1"/>
                <w:lang w:eastAsia="ja-JP"/>
              </w:rPr>
              <w:t>: IHC3+ or IHC2+/ISH+</w:t>
            </w:r>
            <w:r w:rsidRPr="002646F6">
              <w:rPr>
                <w:rFonts w:eastAsia="Times New Roman" w:cs="Arial"/>
                <w:lang w:val="en-US" w:eastAsia="ja-JP"/>
              </w:rPr>
              <w:t xml:space="preserve">​ </w:t>
            </w:r>
          </w:p>
          <w:p w14:paraId="67641040" w14:textId="50489329" w:rsidR="00D513DC" w:rsidRPr="002646F6" w:rsidRDefault="00D513DC" w:rsidP="00954359">
            <w:pPr>
              <w:pStyle w:val="Footnotes"/>
              <w:numPr>
                <w:ilvl w:val="0"/>
                <w:numId w:val="31"/>
              </w:numPr>
              <w:spacing w:after="0"/>
              <w:rPr>
                <w:rFonts w:eastAsia="Times New Roman" w:cs="Arial"/>
                <w:lang w:val="en-US" w:eastAsia="ja-JP"/>
              </w:rPr>
            </w:pPr>
            <w:r w:rsidRPr="002646F6">
              <w:rPr>
                <w:rFonts w:eastAsia="Times New Roman" w:cs="Arial"/>
                <w:position w:val="-1"/>
                <w:lang w:eastAsia="ja-JP"/>
              </w:rPr>
              <w:t>HER2-</w:t>
            </w:r>
            <w:r w:rsidR="004306BC" w:rsidRPr="002646F6">
              <w:rPr>
                <w:rFonts w:eastAsia="Times New Roman" w:cs="Arial"/>
                <w:position w:val="-1"/>
                <w:lang w:eastAsia="ja-JP"/>
              </w:rPr>
              <w:t>negative</w:t>
            </w:r>
            <w:r w:rsidRPr="002646F6">
              <w:rPr>
                <w:rFonts w:eastAsia="Times New Roman" w:cs="Arial"/>
                <w:position w:val="-1"/>
                <w:lang w:eastAsia="ja-JP"/>
              </w:rPr>
              <w:t>: IHC score of 0</w:t>
            </w:r>
          </w:p>
          <w:p w14:paraId="237D2414" w14:textId="12BE9821" w:rsidR="004708CF" w:rsidRPr="00330015" w:rsidRDefault="00D513DC" w:rsidP="00330015">
            <w:pPr>
              <w:pStyle w:val="Footnotes"/>
              <w:numPr>
                <w:ilvl w:val="0"/>
                <w:numId w:val="31"/>
              </w:numPr>
              <w:spacing w:after="120"/>
              <w:ind w:left="714" w:hanging="357"/>
              <w:rPr>
                <w:rFonts w:eastAsia="Times New Roman" w:cs="Arial"/>
                <w:position w:val="-1"/>
                <w:lang w:eastAsia="ja-JP"/>
              </w:rPr>
            </w:pPr>
            <w:r w:rsidRPr="002646F6">
              <w:rPr>
                <w:rFonts w:eastAsia="Times New Roman" w:cs="Arial"/>
                <w:position w:val="-1"/>
                <w:lang w:eastAsia="ja-JP"/>
              </w:rPr>
              <w:t>HER2-low: IHC1+ or IHC2+/ISH-</w:t>
            </w:r>
          </w:p>
        </w:tc>
      </w:tr>
    </w:tbl>
    <w:p w14:paraId="37E620DD" w14:textId="34298488" w:rsidR="00BD0111" w:rsidRPr="002646F6" w:rsidRDefault="00A45BBA" w:rsidP="006C3538">
      <w:pPr>
        <w:pStyle w:val="Body"/>
        <w:rPr>
          <w:sz w:val="16"/>
          <w:szCs w:val="16"/>
        </w:rPr>
      </w:pPr>
      <w:bookmarkStart w:id="48" w:name="_Ref118884556"/>
      <w:r>
        <w:rPr>
          <w:sz w:val="16"/>
          <w:szCs w:val="16"/>
          <w:lang w:eastAsia="ja-JP"/>
        </w:rPr>
        <w:t>Percentages may not equal 100 due to rounding.</w:t>
      </w:r>
      <w:r>
        <w:rPr>
          <w:sz w:val="16"/>
          <w:szCs w:val="16"/>
          <w:lang w:eastAsia="ja-JP"/>
        </w:rPr>
        <w:br/>
      </w:r>
      <w:r w:rsidR="00BD0111" w:rsidRPr="002646F6">
        <w:rPr>
          <w:sz w:val="16"/>
          <w:szCs w:val="16"/>
          <w:lang w:eastAsia="ja-JP"/>
        </w:rPr>
        <w:t>Abbreviations: HER2, human epidermal growth factor receptor-2; IHC, immunohistochemistry; ISH, in situ hybridi</w:t>
      </w:r>
      <w:r w:rsidR="004B3D33">
        <w:rPr>
          <w:sz w:val="16"/>
          <w:szCs w:val="16"/>
          <w:lang w:eastAsia="ja-JP"/>
        </w:rPr>
        <w:t>s</w:t>
      </w:r>
      <w:r w:rsidR="00BD0111" w:rsidRPr="002646F6">
        <w:rPr>
          <w:sz w:val="16"/>
          <w:szCs w:val="16"/>
          <w:lang w:eastAsia="ja-JP"/>
        </w:rPr>
        <w:t>ation</w:t>
      </w:r>
      <w:r w:rsidR="00A17FDA" w:rsidRPr="002646F6">
        <w:rPr>
          <w:sz w:val="16"/>
          <w:szCs w:val="16"/>
          <w:lang w:eastAsia="ja-JP"/>
        </w:rPr>
        <w:br/>
        <w:t>Source: Dodson et al. 2020</w:t>
      </w:r>
      <w:r w:rsidR="00A17FDA" w:rsidRPr="002646F6">
        <w:rPr>
          <w:sz w:val="16"/>
          <w:szCs w:val="16"/>
        </w:rPr>
        <w:fldChar w:fldCharType="begin"/>
      </w:r>
      <w:r w:rsidR="00CA6345">
        <w:rPr>
          <w:sz w:val="16"/>
          <w:szCs w:val="16"/>
          <w:lang w:eastAsia="ja-JP"/>
        </w:rPr>
        <w:instrText xml:space="preserve"> ADDIN ZOTERO_ITEM CSL_CITATION {"citationID":"daMVqvHC","properties":{"formattedCitation":"\\super 56\\nosupersub{}","plainCitation":"56","noteIndex":0},"citationItems":[{"id":65940,"uris":["http://zotero.org/groups/4797619/items/7UYVWR36"],"it</w:instrText>
      </w:r>
      <w:r w:rsidR="00CA6345">
        <w:rPr>
          <w:sz w:val="16"/>
          <w:szCs w:val="16"/>
        </w:rPr>
        <w:instrText xml:space="preserve">emData":{"id":65940,"type":"article-journal","container-title":"The Journal of Pathology: Clinical Research","DOI":"10.1002/cjp2.173","ISSN":"2056-4538, 2056-4538","issue":"3","journalAbbreviation":"J Pathol Clin Res","language":"en","page":"227-227","source":"DOI.org (Crossref)","title":"Breast cancer biomarkers in clinical testing: analysis of a UK NEQAS ICC &amp; ISH database containing results from 199 300 patients","title-short":"‘Breast cancer biomarkers in clinical testing","volume":"6","author":[{"family":"Dodson","given":"Andrew"},{"family":"Parry","given":"Suzanne"},{"family":"Ibrahim","given":"Merdol"},{"family":"Bartlett","given":"John M. S."},{"family":"Pinder","given":"Sarah E."},{"family":"Dowsett","given":"Mitch"},{"family":"Miller","given":"Keith"}],"issued":{"date-parts":[["2020",7]]}}}],"schema":"https://github.com/citation-style-language/schema/raw/master/csl-citation.json"} </w:instrText>
      </w:r>
      <w:r w:rsidR="00A17FDA" w:rsidRPr="002646F6">
        <w:rPr>
          <w:sz w:val="16"/>
          <w:szCs w:val="16"/>
        </w:rPr>
        <w:fldChar w:fldCharType="separate"/>
      </w:r>
      <w:r w:rsidR="00FD57F4" w:rsidRPr="00FD57F4">
        <w:rPr>
          <w:rFonts w:cs="Arial"/>
          <w:sz w:val="16"/>
          <w:szCs w:val="24"/>
          <w:vertAlign w:val="superscript"/>
        </w:rPr>
        <w:t>56</w:t>
      </w:r>
      <w:r w:rsidR="00A17FDA" w:rsidRPr="002646F6">
        <w:rPr>
          <w:sz w:val="16"/>
          <w:szCs w:val="16"/>
        </w:rPr>
        <w:fldChar w:fldCharType="end"/>
      </w:r>
    </w:p>
    <w:p w14:paraId="243AD969" w14:textId="39EB88C7" w:rsidR="006F4CD4" w:rsidRPr="00D30D35" w:rsidRDefault="006F4CD4" w:rsidP="00990894">
      <w:pPr>
        <w:pStyle w:val="Heading3"/>
      </w:pPr>
      <w:bookmarkStart w:id="49" w:name="_Toc129350847"/>
      <w:r w:rsidRPr="00D30D35">
        <w:t>Burden of breast cancer</w:t>
      </w:r>
      <w:bookmarkEnd w:id="47"/>
      <w:bookmarkEnd w:id="48"/>
      <w:bookmarkEnd w:id="49"/>
    </w:p>
    <w:p w14:paraId="00B35077" w14:textId="47EC7FB2" w:rsidR="006F4CD4" w:rsidRPr="00D30D35" w:rsidRDefault="006F4CD4" w:rsidP="006F4CD4">
      <w:pPr>
        <w:pStyle w:val="Heading4"/>
      </w:pPr>
      <w:bookmarkStart w:id="50" w:name="_Ref118904727"/>
      <w:r w:rsidRPr="00D30D35">
        <w:t>Clinical burden</w:t>
      </w:r>
      <w:bookmarkEnd w:id="50"/>
      <w:r w:rsidR="00A94DC9">
        <w:t xml:space="preserve"> of u/mBC</w:t>
      </w:r>
    </w:p>
    <w:p w14:paraId="6E3364EA" w14:textId="10C81F48" w:rsidR="001A7E31" w:rsidRPr="00D30D35" w:rsidRDefault="001A7E31" w:rsidP="001A7E31">
      <w:pPr>
        <w:pStyle w:val="Body"/>
      </w:pPr>
      <w:bookmarkStart w:id="51" w:name="_Ref89967421"/>
      <w:r w:rsidRPr="00D30D35">
        <w:t xml:space="preserve">As a progressive, terminal disease, people with </w:t>
      </w:r>
      <w:r w:rsidR="009079D3">
        <w:t>u/</w:t>
      </w:r>
      <w:r w:rsidRPr="00D30D35">
        <w:t>mBC experience an increasing symptom burden</w:t>
      </w:r>
      <w:r w:rsidR="008227D8">
        <w:t xml:space="preserve"> and </w:t>
      </w:r>
      <w:r w:rsidRPr="00D30D35">
        <w:t>shorter time to next progression</w:t>
      </w:r>
      <w:r w:rsidR="00864462">
        <w:t xml:space="preserve"> </w:t>
      </w:r>
      <w:r w:rsidRPr="00D30D35">
        <w:t>each time their disease progresses.</w:t>
      </w:r>
      <w:r w:rsidR="00942CDE">
        <w:fldChar w:fldCharType="begin"/>
      </w:r>
      <w:r w:rsidR="00CA6345">
        <w:instrText xml:space="preserve"> ADDIN ZOTERO_ITEM CSL_CITATION {"citationID":"5RIrVzNg","properties":{"formattedCitation":"\\super 83\\nosupersub{}","plainCitation":"83","noteIndex":0},"citationItems":[{"id":65906,"uris":["http://zotero.org/groups/4797619/items/7P42XIN7"],"itemData":{"id":65906,"type":"article-journal","abstract":"The clinical progression patterns of metastatic breast cancer (MBC) are heterogeneous; patients experience acute and stable phases at different time points. The acute phase consists of rapid progressive symptomatic changes, whereas in the stable phase, patients have relatively low symptom burden. Therefore, personalized interdisciplinary care is essential. The optimal palliative or supportive care in MBC is to provide comprehensive care that is individually prioritized to the patient's disease status. The purpose of this review is to provide a practical guide for oncologists to understand the priorities for supportive care for patients with MBC in the two phases. We note that for better decision making in patient care, performance status should be broadened to consider not only physical status but also psychosocial needs and cognitive condition. We summarize the clinical importance of physical symptom control, psychosocial support, physical activity, nutrition support, and advance care planning. For optimal care, we present palliative or supportive care checklists according to the disease progression phase, combining the limited evidence with expert input. In the acute phase, close monitoring of the patient's status and symptom management take priority. In the stable phase, the focus can shift to maintenance or improvement of physical strength and emotional condition. Finally, we discuss future directions and unmet needs in providing the best supportive care for patients with MBC.","container-title":"JCO oncology practice","DOI":"10.1200/OP.20.00622","ISSN":"2688-1535","issue":"4","journalAbbreviation":"JCO Oncol Pract","language":"eng","note":"PMID: 33492987\nPMCID: PMC8258141","page":"177-183","source":"PubMed","title":"Optimal Supportive Care for Patients With Metastatic Breast Cancer According to Their Disease Progression Phase","volume":"17","author":[{"family":"Kida","given":"Kumiko"},{"family":"Olver","given":"Ian"},{"family":"Yennu","given":"Sriram"},{"family":"Tripathy","given":"Debu"},{"family":"Ueno","given":"Naoto T."}],"issued":{"date-parts":[["2021",4]]}}}],"schema":"https://github.com/citation-style-language/schema/raw/master/csl-citation.json"} </w:instrText>
      </w:r>
      <w:r w:rsidR="00942CDE">
        <w:fldChar w:fldCharType="separate"/>
      </w:r>
      <w:r w:rsidR="00CA6345" w:rsidRPr="00CA6345">
        <w:rPr>
          <w:rFonts w:cs="Arial"/>
          <w:szCs w:val="24"/>
          <w:vertAlign w:val="superscript"/>
        </w:rPr>
        <w:t>83</w:t>
      </w:r>
      <w:r w:rsidR="00942CDE">
        <w:fldChar w:fldCharType="end"/>
      </w:r>
      <w:r w:rsidR="00942CDE" w:rsidRPr="00D30D35">
        <w:t xml:space="preserve"> </w:t>
      </w:r>
    </w:p>
    <w:p w14:paraId="2B8492FE" w14:textId="1660B3DA" w:rsidR="003E47E2" w:rsidRPr="003166E3" w:rsidRDefault="001A7E31" w:rsidP="001A7E31">
      <w:pPr>
        <w:pStyle w:val="Body"/>
        <w:rPr>
          <w:color w:val="0070C0"/>
        </w:rPr>
      </w:pPr>
      <w:r w:rsidRPr="00D30D35">
        <w:t>Symptoms such as pain, breast or lymph node swelling, or changed appearance of the breast are typically experienced during all stages of BC.</w:t>
      </w:r>
      <w:r w:rsidR="00942CDE">
        <w:fldChar w:fldCharType="begin"/>
      </w:r>
      <w:r w:rsidR="00CA6345">
        <w:instrText xml:space="preserve"> ADDIN ZOTERO_ITEM CSL_CITATION {"citationID":"wONL3MVT","properties":{"formattedCitation":"\\super 84\\nosupersub{}","plainCitation":"84","noteIndex":0},"citationItems":[{"id":65905,"uris":["http://zotero.org/groups/4797619/items/65SETM3K"],"itemData":{"id":65905,"type":"webpage","title":"Breast cancer symptoms | Cancer Research UK","URL":"https://www.cancerresearchuk.org/about-cancer/breast-cancer/symptoms","accessed":{"date-parts":[["2022",10,24]]}}}],"schema":"https://github.com/citation-style-language/schema/raw/master/csl-citation.json"} </w:instrText>
      </w:r>
      <w:r w:rsidR="00942CDE">
        <w:fldChar w:fldCharType="separate"/>
      </w:r>
      <w:r w:rsidR="00CA6345" w:rsidRPr="00CA6345">
        <w:rPr>
          <w:rFonts w:cs="Arial"/>
          <w:szCs w:val="24"/>
          <w:vertAlign w:val="superscript"/>
        </w:rPr>
        <w:t>84</w:t>
      </w:r>
      <w:r w:rsidR="00942CDE">
        <w:fldChar w:fldCharType="end"/>
      </w:r>
      <w:r w:rsidR="00942CDE">
        <w:rPr>
          <w:rFonts w:cs="Arial"/>
          <w:szCs w:val="24"/>
          <w:vertAlign w:val="superscript"/>
        </w:rPr>
        <w:t xml:space="preserve"> </w:t>
      </w:r>
      <w:r w:rsidRPr="00D30D35">
        <w:t xml:space="preserve">However, unlike early-stage BC, </w:t>
      </w:r>
      <w:r w:rsidR="00FA12CC">
        <w:t>u/</w:t>
      </w:r>
      <w:r w:rsidRPr="00D30D35">
        <w:t>mBC imposes a substantial additional symptom burden, including lethargy and low energy levels, reduced appetite, and unexplained weight loss, alongside symptoms</w:t>
      </w:r>
      <w:r>
        <w:t xml:space="preserve"> specific to the</w:t>
      </w:r>
      <w:r w:rsidRPr="00930F69">
        <w:t xml:space="preserve"> location of the metasta</w:t>
      </w:r>
      <w:r>
        <w:t xml:space="preserve">ses </w:t>
      </w:r>
      <w:r w:rsidR="006F4CD4">
        <w:t>(</w:t>
      </w:r>
      <w:r w:rsidR="00270965" w:rsidRPr="00270965">
        <w:rPr>
          <w:b/>
          <w:bCs/>
        </w:rPr>
        <w:fldChar w:fldCharType="begin"/>
      </w:r>
      <w:r w:rsidR="00270965" w:rsidRPr="00270965">
        <w:rPr>
          <w:b/>
          <w:bCs/>
        </w:rPr>
        <w:instrText xml:space="preserve"> REF _Ref121929110 \h </w:instrText>
      </w:r>
      <w:r w:rsidR="00270965">
        <w:rPr>
          <w:b/>
          <w:bCs/>
        </w:rPr>
        <w:instrText xml:space="preserve"> \* MERGEFORMAT </w:instrText>
      </w:r>
      <w:r w:rsidR="00270965" w:rsidRPr="00270965">
        <w:rPr>
          <w:b/>
          <w:bCs/>
        </w:rPr>
      </w:r>
      <w:r w:rsidR="00270965" w:rsidRPr="00270965">
        <w:rPr>
          <w:b/>
          <w:bCs/>
        </w:rPr>
        <w:fldChar w:fldCharType="separate"/>
      </w:r>
      <w:r w:rsidR="00145F42" w:rsidRPr="00145F42">
        <w:rPr>
          <w:b/>
          <w:bCs/>
        </w:rPr>
        <w:t xml:space="preserve">Table </w:t>
      </w:r>
      <w:r w:rsidR="00145F42" w:rsidRPr="00145F42">
        <w:rPr>
          <w:b/>
          <w:bCs/>
          <w:noProof/>
        </w:rPr>
        <w:t>4</w:t>
      </w:r>
      <w:r w:rsidR="00270965" w:rsidRPr="00270965">
        <w:rPr>
          <w:b/>
          <w:bCs/>
        </w:rPr>
        <w:fldChar w:fldCharType="end"/>
      </w:r>
      <w:r w:rsidR="006F4CD4">
        <w:t>)</w:t>
      </w:r>
      <w:r w:rsidR="006F4CD4" w:rsidRPr="00930F69">
        <w:t>.</w:t>
      </w:r>
      <w:r w:rsidR="00942CDE">
        <w:fldChar w:fldCharType="begin"/>
      </w:r>
      <w:r w:rsidR="00CA6345">
        <w:instrText xml:space="preserve"> ADDIN ZOTERO_ITEM CSL_CITATION {"citationID":"OOLmJvuP","properties":{"formattedCitation":"\\super 25,26\\nosupersub{}","plainCitation":"25,26","noteIndex":0},"citationItems":[{"id":65914,"uris":["http://zotero.org/groups/4797619/items/VWFBS6EV"],"itemData":{"id":65914,"type":"article-journal","abstract":"The most common symptoms in patients with breast cancer metastases are identified and an overview of their management is provided., Approximately 40,000 women die as a result of breast cancer each year and many more live with advanced disease. When breast cancer recurs, the goals of treatment often shift from one of cure to controlling the disease for as long as possible while palliating symptoms interfering with the patient's functional status and quality of life. This requires ongoing discussions with the patient and family about the goals of care. Many symptoms depend on the site of metastasis, with bone being the most frequent, and commonly occur with fatigue, depression, insomnia, and pain. The purpose of this paper is to identify and provide an overview of the management of the most common symptoms in patients with breast cancer metastases.","container-title":"The Oncologist","DOI":"10.1634/theoncologist.2011-0159","ISSN":"1083-7159","issue":"9","journalAbbreviation":"Oncologist","note":"PMID: 21880861\nPMCID: PMC3228166","page":"1203-1214","source":"PubMed Central","title":"Symptom Management in Metastatic Breast Cancer","volume":"16","author":[{"family":"Irvin","given":"William"},{"family":"Muss","given":"Hyman B."},{"family":"Mayer","given":"Deborah K."}],"issued":{"date-parts":[["2011",9]]}}},{"id":65913,"uris":["http://zotero.org/groups/4797619/items/CJ5T6X82"],"itemData":{"id":65913,"type":"webpage","title":"Symptoms of secondary breast cancer | Cancer Research UK","URL":"https://www.cancerresearchuk.org/about-cancer/breast-cancer/secondary/symptoms","accessed":{"date-parts":[["2022",10,24]]}}}],"schema":"https://github.com/citation-style-language/schema/raw/master/csl-citation.json"} </w:instrText>
      </w:r>
      <w:r w:rsidR="00942CDE">
        <w:fldChar w:fldCharType="separate"/>
      </w:r>
      <w:r w:rsidR="00FD57F4" w:rsidRPr="00FD57F4">
        <w:rPr>
          <w:rFonts w:cs="Arial"/>
          <w:szCs w:val="24"/>
          <w:vertAlign w:val="superscript"/>
        </w:rPr>
        <w:t>25,26</w:t>
      </w:r>
      <w:r w:rsidR="00942CDE">
        <w:fldChar w:fldCharType="end"/>
      </w:r>
      <w:r w:rsidR="00942CDE">
        <w:t xml:space="preserve"> </w:t>
      </w:r>
    </w:p>
    <w:p w14:paraId="1CCF9A76" w14:textId="59E613CA" w:rsidR="005D35CE" w:rsidRDefault="003E47E2" w:rsidP="0069655A">
      <w:pPr>
        <w:pStyle w:val="Body"/>
      </w:pPr>
      <w:r>
        <w:t>Me</w:t>
      </w:r>
      <w:r w:rsidRPr="00776D3A">
        <w:t>tasta</w:t>
      </w:r>
      <w:r>
        <w:t>ses</w:t>
      </w:r>
      <w:r w:rsidRPr="00776D3A">
        <w:t xml:space="preserve"> </w:t>
      </w:r>
      <w:r>
        <w:t xml:space="preserve">in BC </w:t>
      </w:r>
      <w:r w:rsidRPr="00776D3A">
        <w:t xml:space="preserve">can involve visceral or non-visceral tissue. Visceral metastases are defined as metastases </w:t>
      </w:r>
      <w:r>
        <w:t>in the</w:t>
      </w:r>
      <w:r w:rsidRPr="00776D3A">
        <w:t xml:space="preserve"> liver, lung</w:t>
      </w:r>
      <w:r>
        <w:t>s</w:t>
      </w:r>
      <w:r w:rsidRPr="00776D3A">
        <w:t>, abdominal cavity (leading to ascites), pleural space (leading to pleural effusion) and the central nervous system (CNS)</w:t>
      </w:r>
      <w:r>
        <w:t xml:space="preserve">, </w:t>
      </w:r>
      <w:r w:rsidR="00FD77EF">
        <w:t xml:space="preserve">with related symptoms </w:t>
      </w:r>
      <w:r w:rsidR="004A4E21">
        <w:t xml:space="preserve">varying </w:t>
      </w:r>
      <w:r w:rsidR="007E4283">
        <w:t>from jaundice (live</w:t>
      </w:r>
      <w:r w:rsidR="000706AB">
        <w:t>r</w:t>
      </w:r>
      <w:r w:rsidR="007E4283">
        <w:t xml:space="preserve"> metastases)</w:t>
      </w:r>
      <w:r w:rsidR="004A4E21">
        <w:t xml:space="preserve"> to </w:t>
      </w:r>
      <w:r w:rsidR="00881428">
        <w:t xml:space="preserve">dyspnoea (lung metastases) and </w:t>
      </w:r>
      <w:r w:rsidR="004A4E21">
        <w:t xml:space="preserve">memory </w:t>
      </w:r>
      <w:r w:rsidR="004A4E21">
        <w:lastRenderedPageBreak/>
        <w:t>problems (brain metastases</w:t>
      </w:r>
      <w:r w:rsidR="00AA06CB">
        <w:t xml:space="preserve">; </w:t>
      </w:r>
      <w:r w:rsidR="00AA06CB" w:rsidRPr="002646F6">
        <w:rPr>
          <w:b/>
          <w:bCs/>
        </w:rPr>
        <w:fldChar w:fldCharType="begin"/>
      </w:r>
      <w:r w:rsidR="00AA06CB" w:rsidRPr="002646F6">
        <w:rPr>
          <w:b/>
          <w:bCs/>
        </w:rPr>
        <w:instrText xml:space="preserve"> REF _Ref121929110 \h </w:instrText>
      </w:r>
      <w:r w:rsidR="00AA06CB">
        <w:rPr>
          <w:b/>
          <w:bCs/>
        </w:rPr>
        <w:instrText xml:space="preserve"> \* MERGEFORMAT </w:instrText>
      </w:r>
      <w:r w:rsidR="00AA06CB" w:rsidRPr="002646F6">
        <w:rPr>
          <w:b/>
          <w:bCs/>
        </w:rPr>
      </w:r>
      <w:r w:rsidR="00AA06CB" w:rsidRPr="002646F6">
        <w:rPr>
          <w:b/>
          <w:bCs/>
        </w:rPr>
        <w:fldChar w:fldCharType="separate"/>
      </w:r>
      <w:r w:rsidR="00145F42" w:rsidRPr="00145F42">
        <w:rPr>
          <w:b/>
          <w:bCs/>
        </w:rPr>
        <w:t xml:space="preserve">Table </w:t>
      </w:r>
      <w:r w:rsidR="00145F42" w:rsidRPr="00145F42">
        <w:rPr>
          <w:b/>
          <w:bCs/>
          <w:noProof/>
        </w:rPr>
        <w:t>4</w:t>
      </w:r>
      <w:r w:rsidR="00AA06CB" w:rsidRPr="002646F6">
        <w:rPr>
          <w:b/>
          <w:bCs/>
        </w:rPr>
        <w:fldChar w:fldCharType="end"/>
      </w:r>
      <w:r w:rsidR="00AA06CB">
        <w:t>)</w:t>
      </w:r>
      <w:r w:rsidR="007E4283">
        <w:t>.</w:t>
      </w:r>
      <w:r w:rsidR="00367081">
        <w:fldChar w:fldCharType="begin"/>
      </w:r>
      <w:r w:rsidR="00CA6345">
        <w:instrText xml:space="preserve"> ADDIN ZOTERO_ITEM CSL_CITATION {"citationID":"GVxmcGy8","properties":{"formattedCitation":"\\super 25\\nosupersub{}","plainCitation":"25","noteIndex":0},"citationItems":[{"id":65914,"uris":["http://zotero.org/groups/4797619/items/VWFBS6EV"],"itemData":{"id":65914,"type":"article-journal","abstract":"The most common symptoms in patients with breast cancer metastases are identified and an overview of their management is provided., Approximately 40,000 women die as a result of breast cancer each year and many more live with advanced disease. When breast cancer recurs, the goals of treatment often shift from one of cure to controlling the disease for as long as possible while palliating symptoms interfering with the patient's functional status and quality of life. This requires ongoing discussions with the patient and family about the goals of care. Many symptoms depend on the site of metastasis, with bone being the most frequent, and commonly occur with fatigue, depression, insomnia, and pain. The purpose of this paper is to identify and provide an overview of the management of the most common symptoms in patients with breast cancer metastases.","container-title":"The Oncologist","DOI":"10.1634/theoncologist.2011-0159","ISSN":"1083-7159","issue":"9","journalAbbreviation":"Oncologist","note":"PMID: 21880861\nPMCID: PMC3228166","page":"1203-1214","source":"PubMed Central","title":"Symptom Management in Metastatic Breast Cancer","volume":"16","author":[{"family":"Irvin","given":"William"},{"family":"Muss","given":"Hyman B."},{"family":"Mayer","given":"Deborah K."}],"issued":{"date-parts":[["2011",9]]}}}],"schema":"https://github.com/citation-style-language/schema/raw/master/csl-citation.json"} </w:instrText>
      </w:r>
      <w:r w:rsidR="00367081">
        <w:fldChar w:fldCharType="separate"/>
      </w:r>
      <w:r w:rsidR="00FD57F4" w:rsidRPr="00FD57F4">
        <w:rPr>
          <w:rFonts w:cs="Arial"/>
          <w:szCs w:val="24"/>
          <w:vertAlign w:val="superscript"/>
        </w:rPr>
        <w:t>25</w:t>
      </w:r>
      <w:r w:rsidR="00367081">
        <w:fldChar w:fldCharType="end"/>
      </w:r>
      <w:r w:rsidR="007E4283">
        <w:t xml:space="preserve"> </w:t>
      </w:r>
      <w:r w:rsidR="00B66844">
        <w:t>N</w:t>
      </w:r>
      <w:r w:rsidRPr="00776D3A">
        <w:t>on-visceral</w:t>
      </w:r>
      <w:r w:rsidR="003E651D">
        <w:t xml:space="preserve"> </w:t>
      </w:r>
      <w:r w:rsidR="00B557EC" w:rsidRPr="00776D3A">
        <w:t>metastases are defined as bone, skin, and lymph nod</w:t>
      </w:r>
      <w:r w:rsidR="00B557EC">
        <w:t>e</w:t>
      </w:r>
      <w:r w:rsidR="00B557EC" w:rsidRPr="00776D3A">
        <w:t xml:space="preserve"> metastases</w:t>
      </w:r>
      <w:r w:rsidR="00942CDE">
        <w:t>.</w:t>
      </w:r>
      <w:r w:rsidR="00942CDE">
        <w:fldChar w:fldCharType="begin"/>
      </w:r>
      <w:r w:rsidR="00CA6345">
        <w:instrText xml:space="preserve"> ADDIN ZOTERO_ITEM CSL_CITATION {"citationID":"YH2dtR35","properties":{"formattedCitation":"\\super 85\\nosupersub{}","plainCitation":"85","noteIndex":0},"citationItems":[{"id":65904,"uris":["http://zotero.org/groups/4797619/items/B4LYHYNI"],"itemData":{"id":65904,"type":"article-journal","abstract":"&lt;b&gt;&lt;i&gt;Purpose:&lt;/i&gt;&lt;/b&gt; Differential efficacy of newly registered therapies in subgroups of metastatic breast cancer (MBC) is an important consideration for subsequent use in clinical practice. Unfortunately, such subgroup analyses often are exploratory and rarely statistically adequately powered and may thus be misleading. This analysis aimed to explore a potentially different treatment response to i.v. therapies between visceral and non-visceral MBC. &lt;b&gt;&lt;i&gt;Methods:&lt;/i&gt;&lt;/b&gt; In a systematic literature analysis (PubMed) comprising phase III registration studies for MBC from 1994 to 2014, differences in outcome were evaluated regarding progression-free survival, time to progression, overall survival (OS), and visceral versus non-visceral disease. The impact of HER2 and hormone receptor status was also considered. A total of 16 studies comprising 13,083 patients were selected by considering the information given in the medical product’s professional information and the decision of the US Food and Drug Administration or the European Medicine Agency for approval of the respective therapeutic agents now used in the treatment of MBC. &lt;b&gt;&lt;i&gt;Results:&lt;/i&gt;&lt;/b&gt; No statistically significant differences regarding treatment response and therapy benefit were found in MBC patients with visceral versus non-visceral metastases based on reported hazard ratios and confidence intervals in registration trials. Interesting but nonsignificant differences were found regarding a distinct therapy benefit regarding different metastasis locations in 4 studies. &lt;b&gt;&lt;i&gt;Conclusion:&lt;/i&gt;&lt;/b&gt; For targeted i.v. therapies based on biomarker selection, there is a trend – although not significant – toward a benefit (OS) from combination therapies favoring visceral disease. However, at the present time, metastasis localization should not be used as a predictive marker for choice of systemic therapy in MBC.","container-title":"Breast Care","DOI":"10.1159/000504527","ISSN":"1661-3791, 1661-3805","issue":"5","journalAbbreviation":"BRC","language":"english","note":"publisher: Karger Publishers\nPMID: 33223997","page":"527-533","source":"www.karger.com","title":"Metastatic Breast Cancer: Is There a Differential Therapy Efficacy between Visceral and Non-Visceral Metastatic Breast Cancer?","title-short":"Metastatic Breast Cancer","volume":"15","author":[{"family":"Kolben","given":"Thomas"},{"family":"Bardenhewer","given":"Maximilian"},{"family":"Kolben","given":"Theresa M."},{"family":"Rickerl","given":"Laura"},{"family":"Degenhardt","given":"Tom"},{"family":"Mahner","given":"Sven"},{"family":"Harbeck","given":"Nadia"},{"family":"Wuerstlein","given":"Rachel"}],"issued":{"date-parts":[["2020"]]}}}],"schema":"https://github.com/citation-style-language/schema/raw/master/csl-citation.json"} </w:instrText>
      </w:r>
      <w:r w:rsidR="00942CDE">
        <w:fldChar w:fldCharType="separate"/>
      </w:r>
      <w:r w:rsidR="00CA6345" w:rsidRPr="00CA6345">
        <w:rPr>
          <w:rFonts w:cs="Arial"/>
          <w:szCs w:val="24"/>
          <w:vertAlign w:val="superscript"/>
        </w:rPr>
        <w:t>85</w:t>
      </w:r>
      <w:r w:rsidR="00942CDE">
        <w:fldChar w:fldCharType="end"/>
      </w:r>
      <w:r w:rsidR="00EF422B">
        <w:t xml:space="preserve"> </w:t>
      </w:r>
      <w:r w:rsidR="00B66844">
        <w:t>M</w:t>
      </w:r>
      <w:r w:rsidR="00EF422B" w:rsidRPr="00D30D35">
        <w:t xml:space="preserve">etastasis to </w:t>
      </w:r>
      <w:r w:rsidR="00EF422B">
        <w:t xml:space="preserve">the </w:t>
      </w:r>
      <w:r w:rsidR="00EF422B" w:rsidRPr="00D30D35">
        <w:t>bone is common across all BC subtypes and is the first site of metastasis for more than half of women who develop Stage IV BC</w:t>
      </w:r>
      <w:r w:rsidR="00596A51">
        <w:t>.</w:t>
      </w:r>
      <w:r w:rsidR="00596A51">
        <w:fldChar w:fldCharType="begin"/>
      </w:r>
      <w:r w:rsidR="00CA6345">
        <w:instrText xml:space="preserve"> ADDIN ZOTERO_ITEM CSL_CITATION {"citationID":"DIOGPccj","properties":{"formattedCitation":"\\super 86\\nosupersub{}","plainCitation":"86","noteIndex":0},"citationItems":[{"id":66188,"uris":["http://zotero.org/groups/4797619/items/SQU8AMMM"],"itemData":{"id":66188,"type":"article-journal","abstract":"Metastatic breast cancer (MBC) remains an incurable disease, despite major advances in the treatment in the past 10-12 years. Data on real life overall survival in a non-selected group containing all metastatic breast cancer patients are hard to find in the literature, as is the correlation of their survival with prognostic factors and treatment. This article provides overall survival data for all patients treated for MBC in a single-centre non-academic hospital. Survival data have been correlated with frequently used prognostic factors (subtype, age at diagnosis, M-status at diagnosis, metastases-free interval, and grade). It also gives an insight in the treatments given to and response rates in this population of MBC patients without selection bias representing the real life situation. A total of 169 patients were analysed. Mean survival from metastases is 31·8 months. Overall survival is better for the luminal subtypes, for younger age, for patients with a longer metastases-free interval, and for a lower grade. A small difference in survival has been seen in favour of the patients who represent immediately with metastases. With a larger sample size, we expect these factors to be prognostic significant. The luminal subtypes have a clear predisposition to metastasize in the bone, whereas visceral metastases occur more frequently and earlier in the hormone receptor-negative tumours. Brain metastases do occur in about half of the triple negative tumours and Her2/neu-positive tumours. Overall response rate to first-line chemotherapy was 56% in consecutive lines of treatment, a continuous clinical benefit exceeding 50% when selecting fit patients. This article represents a unique and valuable description of medical oncologists' real-life daily practice in MBC patients, with a clinical outcome that certainly compares to the sparse data provided in the literature.","container-title":"Acta Clinica Belgica","DOI":"10.1179/2295333714Y.0000000016","ISSN":"1784-3286","issue":"3","journalAbbreviation":"Acta Clin Belg","language":"eng","note":"PMID: 24641516","page":"194-199","source":"PubMed","title":"Survival of patients with metastatic breast cancer: a single-centre experience","title-short":"Survival of patients with metastatic breast cancer","volume":"69","author":[{"family":"D'hondt","given":"R."},{"family":"Spoormans","given":"I."},{"family":"Neyens","given":"N."},{"family":"Mortier","given":"N."},{"family":"Van Aelst","given":"F."}],"issued":{"date-parts":[["2014",6]]}}}],"schema":"https://github.com/citation-style-language/schema/raw/master/csl-citation.json"} </w:instrText>
      </w:r>
      <w:r w:rsidR="00596A51">
        <w:fldChar w:fldCharType="separate"/>
      </w:r>
      <w:r w:rsidR="00CA6345" w:rsidRPr="00CA6345">
        <w:rPr>
          <w:rFonts w:cs="Arial"/>
          <w:szCs w:val="24"/>
          <w:vertAlign w:val="superscript"/>
        </w:rPr>
        <w:t>86</w:t>
      </w:r>
      <w:r w:rsidR="00596A51">
        <w:fldChar w:fldCharType="end"/>
      </w:r>
      <w:r w:rsidR="00EF422B" w:rsidRPr="00D30D35">
        <w:t xml:space="preserve"> </w:t>
      </w:r>
      <w:r w:rsidR="008C76AD" w:rsidRPr="002646F6">
        <w:t>Bone metastases</w:t>
      </w:r>
      <w:r w:rsidR="00EF422B" w:rsidRPr="002646F6">
        <w:t xml:space="preserve"> result </w:t>
      </w:r>
      <w:r w:rsidR="00EF422B" w:rsidRPr="00D30D35">
        <w:t>in symptoms such as pain and impaired mobility, confusion (due to hypercalcaemia induced by the bone tumour), or if spinal metastases arise, symptoms such as poor bladder control</w:t>
      </w:r>
      <w:r w:rsidR="00EF422B">
        <w:t xml:space="preserve"> </w:t>
      </w:r>
      <w:r w:rsidR="00EF422B" w:rsidRPr="00D30D35">
        <w:t>(</w:t>
      </w:r>
      <w:r w:rsidR="00465C2A" w:rsidRPr="002646F6">
        <w:rPr>
          <w:b/>
          <w:bCs/>
        </w:rPr>
        <w:fldChar w:fldCharType="begin"/>
      </w:r>
      <w:r w:rsidR="00465C2A" w:rsidRPr="002646F6">
        <w:rPr>
          <w:b/>
          <w:bCs/>
        </w:rPr>
        <w:instrText xml:space="preserve"> REF _Ref121929110 \h </w:instrText>
      </w:r>
      <w:r w:rsidR="00465C2A">
        <w:rPr>
          <w:b/>
          <w:bCs/>
        </w:rPr>
        <w:instrText xml:space="preserve"> \* MERGEFORMAT </w:instrText>
      </w:r>
      <w:r w:rsidR="00465C2A" w:rsidRPr="002646F6">
        <w:rPr>
          <w:b/>
          <w:bCs/>
        </w:rPr>
      </w:r>
      <w:r w:rsidR="00465C2A" w:rsidRPr="002646F6">
        <w:rPr>
          <w:b/>
          <w:bCs/>
        </w:rPr>
        <w:fldChar w:fldCharType="separate"/>
      </w:r>
      <w:r w:rsidR="00145F42" w:rsidRPr="00145F42">
        <w:rPr>
          <w:b/>
          <w:bCs/>
        </w:rPr>
        <w:t xml:space="preserve">Table </w:t>
      </w:r>
      <w:r w:rsidR="00145F42" w:rsidRPr="00145F42">
        <w:rPr>
          <w:b/>
          <w:bCs/>
          <w:noProof/>
        </w:rPr>
        <w:t>4</w:t>
      </w:r>
      <w:r w:rsidR="00465C2A" w:rsidRPr="002646F6">
        <w:rPr>
          <w:b/>
          <w:bCs/>
        </w:rPr>
        <w:fldChar w:fldCharType="end"/>
      </w:r>
      <w:r w:rsidR="00EF422B" w:rsidRPr="00D30D35">
        <w:t>).</w:t>
      </w:r>
      <w:r w:rsidR="00596A51">
        <w:fldChar w:fldCharType="begin"/>
      </w:r>
      <w:r w:rsidR="00CA6345">
        <w:instrText xml:space="preserve"> ADDIN ZOTERO_ITEM CSL_CITATION {"citationID":"qdcMYgPw","properties":{"formattedCitation":"\\super 25,26,87\\nosupersub{}","plainCitation":"25,26,87","noteIndex":0},"citationItems":[{"id":65914,"uris":["http://zotero.org/groups/4797619/items/VWFBS6EV"],"itemData":{"id":65914,"type":"article-journal","abstract":"The most common symptoms in patients with breast cancer metastases are identified and an overview of their management is provided., Approximately 40,000 women die as a result of breast cancer each year and many more live with advanced disease. When breast cancer recurs, the goals of treatment often shift from one of cure to controlling the disease for as long as possible while palliating symptoms interfering with the patient's functional status and quality of life. This requires ongoing discussions with the patient and family about the goals of care. Many symptoms depend on the site of metastasis, with bone being the most frequent, and commonly occur with fatigue, depression, insomnia, and pain. The purpose of this paper is to identify and provide an overview of the management of the most common symptoms in patients with breast cancer metastases.","container-title":"The Oncologist","DOI":"10.1634/theoncologist.2011-0159","ISSN":"1083-7159","issue":"9","journalAbbreviation":"Oncologist","note":"PMID: 21880861\nPMCID: PMC3228166","page":"1203-1214","source":"PubMed Central","title":"Symptom Management in Metastatic Breast Cancer","volume":"16","author":[{"family":"Irvin","given":"William"},{"family":"Muss","given":"Hyman B."},{"family":"Mayer","given":"Deborah K."}],"issued":{"date-parts":[["2011",9]]}}},{"id":65913,"uris":["http://zotero.org/groups/4797619/items/CJ5T6X82"],"itemData":{"id":65913,"type":"webpage","title":"Symptoms of secondary breast cancer | Cancer Research UK","URL":"https://www.cancerresearchuk.org/about-cancer/breast-cancer/secondary/symptoms","accessed":{"date-parts":[["2022",10,24]]}}},{"id":66187,"uris":["http://zotero.org/groups/4797619/items/KGARVNRV"],"itemData":{"id":66187,"type":"webpage","title":"Spinal cord compression | Coping Physically | Cancer Research UK","URL":"https://www.cancerresearchuk.org/about-cancer/coping/physically/spinal-cord-compression/about","accessed":{"date-parts":[["2022",12,1]]}}}],"schema":"https://github.com/citation-style-language/schema/raw/master/csl-citation.json"} </w:instrText>
      </w:r>
      <w:r w:rsidR="00596A51">
        <w:fldChar w:fldCharType="separate"/>
      </w:r>
      <w:r w:rsidR="00CA6345" w:rsidRPr="00CA6345">
        <w:rPr>
          <w:rFonts w:cs="Arial"/>
          <w:szCs w:val="24"/>
          <w:vertAlign w:val="superscript"/>
        </w:rPr>
        <w:t>25,26,87</w:t>
      </w:r>
      <w:r w:rsidR="00596A51">
        <w:fldChar w:fldCharType="end"/>
      </w:r>
      <w:r w:rsidR="00EF422B" w:rsidRPr="00D30D35">
        <w:t xml:space="preserve"> </w:t>
      </w:r>
    </w:p>
    <w:p w14:paraId="72449A0C" w14:textId="7F084397" w:rsidR="00E06869" w:rsidRDefault="005E3CF9" w:rsidP="0031043B">
      <w:pPr>
        <w:pStyle w:val="Body"/>
      </w:pPr>
      <w:r w:rsidRPr="002646F6">
        <w:t xml:space="preserve">In </w:t>
      </w:r>
      <w:r w:rsidR="00BD3CC5" w:rsidRPr="002646F6">
        <w:t>HER2-low specifically</w:t>
      </w:r>
      <w:r w:rsidR="008134E1" w:rsidRPr="002646F6">
        <w:t>,</w:t>
      </w:r>
      <w:r w:rsidR="000C2BA0" w:rsidRPr="002646F6">
        <w:t xml:space="preserve"> </w:t>
      </w:r>
      <w:r w:rsidR="00F73BFF" w:rsidRPr="002646F6">
        <w:t xml:space="preserve">the liver and brain are the most common visceral metastatic sites, </w:t>
      </w:r>
      <w:r w:rsidR="00710B41" w:rsidRPr="002646F6">
        <w:t xml:space="preserve">occurring in </w:t>
      </w:r>
      <w:r w:rsidR="00F73BFF" w:rsidRPr="002646F6">
        <w:t>14% and 11% of cases, respectively.</w:t>
      </w:r>
      <w:r w:rsidR="00E208E6" w:rsidRPr="002646F6">
        <w:fldChar w:fldCharType="begin"/>
      </w:r>
      <w:r w:rsidR="00CA6345">
        <w:instrText xml:space="preserve"> ADDIN ZOTERO_ITEM CSL_CITATION {"citationID":"l7U9AfAi","properties":{"formattedCitation":"\\super 88\\nosupersub{}","plainCitation":"88","noteIndex":0},"citationItems":[{"id":66310,"uris":["http://zotero.org/groups/4797619/items/XAQVWEIW"],"itemData":{"id":66310,"type":"article-journal","abstract":"In advanced breast cancer, biomarker identification and patient selection using a metastatic tumor biopsy is becoming more necessary. However, the biology of metastasis according to the organ site is largely unknown. Here, we evaluated the expression of 771 genes in 184 metastatic samples across 11 organs, including liver, lung, brain, and bone, and made the following observations. First, all PAM50 molecular intrinsic subtypes were represented across organs and within immunohistochemistry</w:instrText>
      </w:r>
      <w:r w:rsidR="00CA6345">
        <w:rPr>
          <w:rFonts w:ascii="Cambria Math" w:hAnsi="Cambria Math" w:cs="Cambria Math"/>
        </w:rPr>
        <w:instrText>‐</w:instrText>
      </w:r>
      <w:r w:rsidR="00CA6345">
        <w:instrText>based groups. Second, HER2</w:instrText>
      </w:r>
      <w:r w:rsidR="00CA6345">
        <w:rPr>
          <w:rFonts w:ascii="Cambria Math" w:hAnsi="Cambria Math" w:cs="Cambria Math"/>
        </w:rPr>
        <w:instrText>‐</w:instrText>
      </w:r>
      <w:r w:rsidR="00CA6345">
        <w:instrText>low disease was identified across all organ sites, including bone, and HER2 expression significantly correlated with ERBB2 expression. Third, the majority of expression variation was explained by intrinsic subtype and not organ of metastasis. Fourth, subtypes and individual subtype</w:instrText>
      </w:r>
      <w:r w:rsidR="00CA6345">
        <w:rPr>
          <w:rFonts w:ascii="Cambria Math" w:hAnsi="Cambria Math" w:cs="Cambria Math"/>
        </w:rPr>
        <w:instrText>‐</w:instrText>
      </w:r>
      <w:r w:rsidR="00CA6345">
        <w:instrText>related genes/signatures were significantly associated with overall survival. Fifth, we identified 74 genes whose expression was organ</w:instrText>
      </w:r>
      <w:r w:rsidR="00CA6345">
        <w:rPr>
          <w:rFonts w:ascii="Cambria Math" w:hAnsi="Cambria Math" w:cs="Cambria Math"/>
        </w:rPr>
        <w:instrText>‐</w:instrText>
      </w:r>
      <w:r w:rsidR="00CA6345">
        <w:instrText>specific and subtype</w:instrText>
      </w:r>
      <w:r w:rsidR="00CA6345">
        <w:rPr>
          <w:rFonts w:ascii="Cambria Math" w:hAnsi="Cambria Math" w:cs="Cambria Math"/>
        </w:rPr>
        <w:instrText>‐</w:instrText>
      </w:r>
      <w:r w:rsidR="00CA6345">
        <w:instrText>independent. Finally, immune profiles were found more expressed in lung compared to brain or liver metastasis. Our results suggest that relevant tumor biology can be captured in metastatic tissues across a variety of organ sites; however, unique biological features according to organ site were also identified and future studies should explore their implications in diagnostic and therapeutic interventions., We evaluated gene expression in 184 metastatic breast cancer samples across 11 organs. All PAM50 subtypes were represented across metastatic sites and associated with survival. HER2</w:instrText>
      </w:r>
      <w:r w:rsidR="00CA6345">
        <w:rPr>
          <w:rFonts w:ascii="Cambria Math" w:hAnsi="Cambria Math" w:cs="Cambria Math"/>
        </w:rPr>
        <w:instrText>‐</w:instrText>
      </w:r>
      <w:r w:rsidR="00CA6345">
        <w:instrText>low disease was identified across sites. Immune gene expression was higher in lung than brain or liver metastasis. Relevant tumor biology can be captured in metastatic tissue, while each site shows unique biological features.","container-title":"Molecular Oncology","DOI":"10.1002/1878-0261.13021","ISSN":"1574-7891","issue":"1","journalAbbreviation":"Mol Oncol","note":"PMID: 34051058\nPMCID: PMC8732356","page":"69-87","source":"PubMed Central","title":"Gene expression profiles of breast cancer metastasis according to organ site","volume":"16","author":[{"family":"Brasó</w:instrText>
      </w:r>
      <w:r w:rsidR="00CA6345">
        <w:rPr>
          <w:rFonts w:ascii="Cambria Math" w:hAnsi="Cambria Math" w:cs="Cambria Math"/>
        </w:rPr>
        <w:instrText>‐</w:instrText>
      </w:r>
      <w:r w:rsidR="00CA6345">
        <w:instrText>Maristany","given":"Fara"},{"family":"Par</w:instrText>
      </w:r>
      <w:r w:rsidR="00CA6345">
        <w:rPr>
          <w:rFonts w:cs="Arial"/>
        </w:rPr>
        <w:instrText>é</w:instrText>
      </w:r>
      <w:r w:rsidR="00CA6345">
        <w:instrText>","given":"Laia"},{"family":"Chic","given":"Nuria"},{"family":"Mart</w:instrText>
      </w:r>
      <w:r w:rsidR="00CA6345">
        <w:rPr>
          <w:rFonts w:cs="Arial"/>
        </w:rPr>
        <w:instrText>í</w:instrText>
      </w:r>
      <w:r w:rsidR="00CA6345">
        <w:instrText>nez</w:instrText>
      </w:r>
      <w:r w:rsidR="00CA6345">
        <w:rPr>
          <w:rFonts w:ascii="Cambria Math" w:hAnsi="Cambria Math" w:cs="Cambria Math"/>
        </w:rPr>
        <w:instrText>‐</w:instrText>
      </w:r>
      <w:r w:rsidR="00CA6345">
        <w:instrText>S</w:instrText>
      </w:r>
      <w:r w:rsidR="00CA6345">
        <w:rPr>
          <w:rFonts w:cs="Arial"/>
        </w:rPr>
        <w:instrText>á</w:instrText>
      </w:r>
      <w:r w:rsidR="00CA6345">
        <w:instrText>ez","given":"Olga"},{"family":"Pascual","given":"Tomás"},{"family":"Mallafré</w:instrText>
      </w:r>
      <w:r w:rsidR="00CA6345">
        <w:rPr>
          <w:rFonts w:ascii="Cambria Math" w:hAnsi="Cambria Math" w:cs="Cambria Math"/>
        </w:rPr>
        <w:instrText>‐</w:instrText>
      </w:r>
      <w:r w:rsidR="00CA6345">
        <w:instrText>Larrosa","given":"Meritxell"},{"family":"Schettini","given":"Francesco"},{"family":"Gonz</w:instrText>
      </w:r>
      <w:r w:rsidR="00CA6345">
        <w:rPr>
          <w:rFonts w:cs="Arial"/>
        </w:rPr>
        <w:instrText>á</w:instrText>
      </w:r>
      <w:r w:rsidR="00CA6345">
        <w:instrText>lez</w:instrText>
      </w:r>
      <w:r w:rsidR="00CA6345">
        <w:rPr>
          <w:rFonts w:ascii="Cambria Math" w:hAnsi="Cambria Math" w:cs="Cambria Math"/>
        </w:rPr>
        <w:instrText>‐</w:instrText>
      </w:r>
      <w:r w:rsidR="00CA6345">
        <w:instrText>Farr</w:instrText>
      </w:r>
      <w:r w:rsidR="00CA6345">
        <w:rPr>
          <w:rFonts w:cs="Arial"/>
        </w:rPr>
        <w:instrText>é</w:instrText>
      </w:r>
      <w:r w:rsidR="00CA6345">
        <w:instrText>","given":"Blanca"},{"family":"Sanfeliu","given":"Esther"},{"family":"Mart</w:instrText>
      </w:r>
      <w:r w:rsidR="00CA6345">
        <w:rPr>
          <w:rFonts w:cs="Arial"/>
        </w:rPr>
        <w:instrText>í</w:instrText>
      </w:r>
      <w:r w:rsidR="00CA6345">
        <w:instrText>nez","given":"D</w:instrText>
      </w:r>
      <w:r w:rsidR="00CA6345">
        <w:rPr>
          <w:rFonts w:cs="Arial"/>
        </w:rPr>
        <w:instrText>é</w:instrText>
      </w:r>
      <w:r w:rsidR="00CA6345">
        <w:instrText xml:space="preserve">bora"},{"family":"Galván","given":"Patricia"},{"family":"Barnadas","given":"Esther"},{"family":"Salinas","given":"Belinda"},{"family":"Tolosa","given":"Pablo"},{"family":"Ciruelos","given":"Eva"},{"family":"Carcelero","given":"Esther"},{"family":"Guillén","given":"Cecilia"},{"family":"Adamo","given":"Barbara"},{"family":"Moreno","given":"Reinaldo"},{"family":"Vidal","given":"Maria"},{"family":"Muñoz","given":"Montserrat"},{"family":"Prat","given":"Aleix"}],"issued":{"date-parts":[["2022",1]]}}}],"schema":"https://github.com/citation-style-language/schema/raw/master/csl-citation.json"} </w:instrText>
      </w:r>
      <w:r w:rsidR="00E208E6" w:rsidRPr="002646F6">
        <w:fldChar w:fldCharType="separate"/>
      </w:r>
      <w:r w:rsidR="00CA6345" w:rsidRPr="00CA6345">
        <w:rPr>
          <w:rFonts w:cs="Arial"/>
          <w:szCs w:val="24"/>
          <w:vertAlign w:val="superscript"/>
        </w:rPr>
        <w:t>88</w:t>
      </w:r>
      <w:r w:rsidR="00E208E6" w:rsidRPr="002646F6">
        <w:fldChar w:fldCharType="end"/>
      </w:r>
      <w:r w:rsidR="009A3417" w:rsidRPr="002646F6">
        <w:t xml:space="preserve"> </w:t>
      </w:r>
      <w:r w:rsidR="001B3B03" w:rsidRPr="002646F6">
        <w:rPr>
          <w:rFonts w:cs="Arial"/>
        </w:rPr>
        <w:t>Complications that arise from liver metastases include sudden hepatic failure, refractory ascites, portal vein thrombosis, and nutritional compromise</w:t>
      </w:r>
      <w:r w:rsidR="003133B2" w:rsidRPr="002646F6">
        <w:rPr>
          <w:rFonts w:cs="Arial"/>
        </w:rPr>
        <w:t>.</w:t>
      </w:r>
      <w:r w:rsidR="001B3B03" w:rsidRPr="002646F6">
        <w:rPr>
          <w:rFonts w:cs="Arial"/>
        </w:rPr>
        <w:fldChar w:fldCharType="begin"/>
      </w:r>
      <w:r w:rsidR="00CA6345">
        <w:rPr>
          <w:rFonts w:cs="Arial"/>
        </w:rPr>
        <w:instrText xml:space="preserve"> ADDIN ZOTERO_ITEM CSL_CITATION {"citationID":"2WCq2Dv0","properties":{"formattedCitation":"\\super 89\\nosupersub{}","plainCitation":"89","noteIndex":0},"citationItems":[{"id":66308,"uris":["http://zotero.org/groups/4797619/items/3AEBKWPI"],"itemData":{"id":66308,"type":"article-journal","abstract":"Hepatic disease associated with breast cancer is common and can result from metastatic spread of the tumour to the liver, or can be caused by systemic treatment with chemotherapeutic or antiendocrine agents. Metastatic disease to the liver can present clinically and pathologically in various ways. Little is known as to why breast cancer can sometimes present as liver dominant disease or with liver involvement as a late event in the disease course. However, there are many postulations involving metastasis organotropism, which might offer future insight. The mainstay of treatment for hepatic metastases continues to be systemic therapy, but several locoregional adjunct therapies exist. Despite these therapies, liver metastasis from breast cancer is associated with a poor prognosis. Ongoing research of the mechanisms and tropism of liver metastasis from breast cancer will hopefully result in improved targeted therapies to reduce their incidence and improve outcomes when they arise.","container-title":"The Lancet. Oncology","DOI":"10.1016/S1470-2045(09)70029-4","ISSN":"1474-5488","issue":"6","journalAbbreviation":"Lancet Oncol","language":"eng","note":"PMID: 19482250","page":"615-621","source":"PubMed","title":"Hepatic complications of breast cancer","volume":"10","author":[{"family":"Diamond","given":"Jennifer R."},{"family":"Finlayson","given":"Christina A."},{"family":"Borges","given":"Virginia F."}],"issued":{"date-parts":[["2009",6]]}}}],"schema":"https://github.com/citation-style-language/schema/raw/master/csl-citation.json"} </w:instrText>
      </w:r>
      <w:r w:rsidR="001B3B03" w:rsidRPr="002646F6">
        <w:rPr>
          <w:rFonts w:cs="Arial"/>
        </w:rPr>
        <w:fldChar w:fldCharType="separate"/>
      </w:r>
      <w:r w:rsidR="00CA6345" w:rsidRPr="00CA6345">
        <w:rPr>
          <w:rFonts w:cs="Arial"/>
          <w:szCs w:val="24"/>
          <w:vertAlign w:val="superscript"/>
        </w:rPr>
        <w:t>89</w:t>
      </w:r>
      <w:r w:rsidR="001B3B03" w:rsidRPr="002646F6">
        <w:rPr>
          <w:rFonts w:cs="Arial"/>
        </w:rPr>
        <w:fldChar w:fldCharType="end"/>
      </w:r>
      <w:r w:rsidR="00716B9F" w:rsidRPr="002646F6">
        <w:rPr>
          <w:rFonts w:cs="Arial"/>
        </w:rPr>
        <w:t xml:space="preserve"> </w:t>
      </w:r>
      <w:r w:rsidR="00321131" w:rsidRPr="007878ED">
        <w:rPr>
          <w:rFonts w:cs="Arial"/>
        </w:rPr>
        <w:t>Th</w:t>
      </w:r>
      <w:r w:rsidR="00321131">
        <w:rPr>
          <w:rFonts w:cs="Arial"/>
        </w:rPr>
        <w:t>e</w:t>
      </w:r>
      <w:r w:rsidR="00321131" w:rsidRPr="007878ED">
        <w:rPr>
          <w:rFonts w:cs="Arial"/>
        </w:rPr>
        <w:t xml:space="preserve">se </w:t>
      </w:r>
      <w:r w:rsidR="001C3B61" w:rsidRPr="007878ED">
        <w:rPr>
          <w:rFonts w:cs="Arial"/>
        </w:rPr>
        <w:t>consequences contribute to a poor prognosis</w:t>
      </w:r>
      <w:r w:rsidR="0019181C">
        <w:rPr>
          <w:rFonts w:cs="Arial"/>
        </w:rPr>
        <w:t xml:space="preserve"> –</w:t>
      </w:r>
      <w:r w:rsidR="0019181C" w:rsidRPr="007878ED">
        <w:rPr>
          <w:rFonts w:cs="Arial"/>
        </w:rPr>
        <w:t xml:space="preserve"> </w:t>
      </w:r>
      <w:r w:rsidR="0019181C">
        <w:rPr>
          <w:rFonts w:cs="Arial"/>
        </w:rPr>
        <w:t xml:space="preserve">patients with liver metastases at initial BC diagnosis have </w:t>
      </w:r>
      <w:r w:rsidR="001C3B61" w:rsidRPr="007878ED">
        <w:rPr>
          <w:rFonts w:cs="Arial"/>
        </w:rPr>
        <w:t xml:space="preserve">a median survival of only </w:t>
      </w:r>
      <w:r w:rsidR="00C74F93">
        <w:rPr>
          <w:rFonts w:cs="Arial"/>
        </w:rPr>
        <w:t>9.0 months (</w:t>
      </w:r>
      <w:r w:rsidR="00F62229">
        <w:rPr>
          <w:rFonts w:cs="Arial"/>
        </w:rPr>
        <w:t xml:space="preserve">TNBC) </w:t>
      </w:r>
      <w:r w:rsidR="003431A6">
        <w:rPr>
          <w:rFonts w:cs="Arial"/>
        </w:rPr>
        <w:t xml:space="preserve">and </w:t>
      </w:r>
      <w:r w:rsidR="00DD7468">
        <w:rPr>
          <w:rFonts w:cs="Arial"/>
        </w:rPr>
        <w:t>21.0 months (HER2-negative/HR-positive)</w:t>
      </w:r>
      <w:r w:rsidR="001E6A9C">
        <w:rPr>
          <w:rFonts w:cs="Arial"/>
        </w:rPr>
        <w:t>, respectively</w:t>
      </w:r>
      <w:r w:rsidR="001C3B61">
        <w:rPr>
          <w:rFonts w:cs="Arial"/>
        </w:rPr>
        <w:t>.</w:t>
      </w:r>
      <w:r w:rsidR="008E4440">
        <w:rPr>
          <w:rFonts w:cs="Arial"/>
        </w:rPr>
        <w:fldChar w:fldCharType="begin"/>
      </w:r>
      <w:r w:rsidR="00CA6345">
        <w:rPr>
          <w:rFonts w:cs="Arial"/>
        </w:rPr>
        <w:instrText xml:space="preserve"> ADDIN ZOTERO_ITEM CSL_CITATION {"citationID":"2v1LpojO","properties":{"formattedCitation":"\\super 90\\nosupersub{}","plainCitation":"90","noteIndex":0},"citationItems":[{"id":66307,"uris":["http://zotero.org/groups/4797619/items/8D38EXEY"],"itemData":{"id":66307,"type":"article-journal","abstract":"BACKGROUND: The purpose of this study was to analyze the incidence and prognostic factors of patients with breast cancer liver metastases (BCLM) at initial diagnosis.\nMETHODS: We utilized the Surveillance, Epidemiology, and End Results database to extract data on patients with primary invasive breast cancer from 2010 to 2014. Multivariate logistic regression was conducted to determine factors associated with the presence of liver metastases upon initial diagnosis of breast cancer. Univariate and multivariate Cox regression analyses were performed to identify the prognostic factors in these patients.\nRESULTS: In total, 3,276 patients with liver metastases were identified upon initial diagnosis of breast cancer. Patients with hormone receptor-negative (HR-), human epidermal growth factor receptor 2-positive (HER2+) breast cancer had the highest incidence (4.6% among the entire population, 46.5% among the metastatic subgroup). Age, gender, race, pathological grade, extrahepatic metastases, tumor subtype, and marital status were identified as factors associated with the presence of liver metastases upon initial diagnosis of breast cancer. The median overall survival among the entire population with BCLM was 20.0 months. Patients with HR+/HER2+ breast cancer had the longest median survival of 36.0 months. The survival analyses indicated that older age, higher pathological grade, extrahepatic metastases, triple-negative subtype, unmarried status, and uninsured status were independent prognostic factors for a poorer prognosis.\nCONCLUSION: The study provides insight into the incidence and prognostic factors for patients with BCLM at initial diagnosis, which is important clinical information for risk evaluation and prognostic assessment.","container-title":"Cancer Management and Research","DOI":"10.2147/CMAR.S178395","ISSN":"1179-1322","journalAbbreviation":"Cancer Manag Res","language":"eng","note":"PMID: 30538544\nPMCID: PMC6255056","page":"5937-5950","source":"PubMed","title":"Incidence and prognostic factors of patients with synchronous liver metastases upon initial diagnosis of breast cancer: a population-based study","title-short":"Incidence and prognostic factors of patients with synchronous liver metastases upon initial diagnosis of breast cancer","volume":"10","author":[{"family":"Zhao","given":"Hai-Yun"},{"family":"Gong","given":"Yue"},{"family":"Ye","given":"Fu-Gui"},{"family":"Ling","given":"Hong"},{"family":"Hu","given":"Xin"}],"issued":{"date-parts":[["2018"]]}}}],"schema":"https://github.com/citation-style-language/schema/raw/master/csl-citation.json"} </w:instrText>
      </w:r>
      <w:r w:rsidR="008E4440">
        <w:rPr>
          <w:rFonts w:cs="Arial"/>
        </w:rPr>
        <w:fldChar w:fldCharType="separate"/>
      </w:r>
      <w:r w:rsidR="00CA6345" w:rsidRPr="00CA6345">
        <w:rPr>
          <w:rFonts w:cs="Arial"/>
          <w:szCs w:val="24"/>
          <w:vertAlign w:val="superscript"/>
        </w:rPr>
        <w:t>90</w:t>
      </w:r>
      <w:r w:rsidR="008E4440">
        <w:rPr>
          <w:rFonts w:cs="Arial"/>
        </w:rPr>
        <w:fldChar w:fldCharType="end"/>
      </w:r>
      <w:r w:rsidR="008E4440">
        <w:rPr>
          <w:rFonts w:cs="Arial"/>
        </w:rPr>
        <w:t xml:space="preserve"> </w:t>
      </w:r>
      <w:r w:rsidR="009A3417" w:rsidRPr="002646F6">
        <w:t>Brain me</w:t>
      </w:r>
      <w:r w:rsidR="003B23F2" w:rsidRPr="002646F6">
        <w:t xml:space="preserve">tastases </w:t>
      </w:r>
      <w:r w:rsidR="009A3E51">
        <w:t>are</w:t>
      </w:r>
      <w:r w:rsidR="009A3E51" w:rsidRPr="002646F6">
        <w:t xml:space="preserve"> </w:t>
      </w:r>
      <w:r w:rsidR="009A3417" w:rsidRPr="002646F6">
        <w:t>associated with neurological impairment on both cognitive and sensory functions</w:t>
      </w:r>
      <w:r w:rsidR="00D801CE">
        <w:t>.</w:t>
      </w:r>
      <w:r w:rsidR="000F3B09">
        <w:fldChar w:fldCharType="begin"/>
      </w:r>
      <w:r w:rsidR="00CA6345">
        <w:instrText xml:space="preserve"> ADDIN ZOTERO_ITEM CSL_CITATION {"citationID":"rF46fWJq","properties":{"formattedCitation":"\\super 91\\nosupersub{}","plainCitation":"91","noteIndex":0},"citationItems":[{"id":66849,"uris":["http://zotero.org/groups/4797619/items/6NNFGW72"],"itemData":{"id":66849,"type":"article-journal","abstract":"As systemic therapy of metastatic breast cancer improves, CNS involvement is becoming a more widespread problem. This article summarizes the current knowledge regarding the incidence, clinical presentation, diagnosis, prognosis, and treatment of CNS metastases in patients with breast cancer. When available, studies specific to breast cancer are presented; in studies in which many solid tumors were evaluated together, the proportion of patients with breast cancer is noted. On the basis of data from randomized trials and retrospective series, neurosurgery and stereotactic radiosurgery (SRS) may prolong survival in patients with single brain metastases. The treatment of multiple metastases remains controversial, as does the routine use of whole-brain radiotherapy (WBRT) after either surgery or SRS. Although it is widely assumed that chemotherapy is of limited benefit, data from case series and case reports suggest otherwise. WBRT, neurosurgery, SRS, and medical therapy each have a role in the treatment of CNS metastases; however, neurologic symptoms frequently are not fully reversible, even with appropriate therapy. Studies specifically targeted toward this group of patients are needed.","container-title":"Journal of Clinical Oncology: Official Journal of the American Society of Clinical Oncology","DOI":"10.1200/JCO.2004.01.175","ISSN":"0732-183X","issue":"17","journalAbbreviation":"J Clin Oncol","language":"eng","note":"PMID: 15337811","page":"3608-3617","source":"PubMed","title":"CNS metastases in breast cancer","volume":"22","author":[{"family":"Lin","given":"Nancy U."},{"family":"Bellon","given":"Jennifer R."},{"family":"Winer","given":"Eric P."}],"issued":{"date-parts":[["2004",9,1]]}}}],"schema":"https://github.com/citation-style-language/schema/raw/master/csl-citation.json"} </w:instrText>
      </w:r>
      <w:r w:rsidR="000F3B09">
        <w:fldChar w:fldCharType="separate"/>
      </w:r>
      <w:r w:rsidR="00CA6345" w:rsidRPr="00CA6345">
        <w:rPr>
          <w:rFonts w:cs="Arial"/>
          <w:szCs w:val="24"/>
          <w:vertAlign w:val="superscript"/>
        </w:rPr>
        <w:t>91</w:t>
      </w:r>
      <w:r w:rsidR="000F3B09">
        <w:fldChar w:fldCharType="end"/>
      </w:r>
      <w:r w:rsidR="00D801CE">
        <w:t xml:space="preserve"> Breast cancer patients who develop brain metastases </w:t>
      </w:r>
      <w:r w:rsidR="00110D6A">
        <w:t xml:space="preserve">have a poor prognosis, </w:t>
      </w:r>
      <w:r w:rsidR="007138E8">
        <w:t xml:space="preserve">with a median survival </w:t>
      </w:r>
      <w:r w:rsidR="00552442">
        <w:t xml:space="preserve">of </w:t>
      </w:r>
      <w:r w:rsidR="003574D2">
        <w:t>2</w:t>
      </w:r>
      <w:r w:rsidR="001E55F0">
        <w:t>.0</w:t>
      </w:r>
      <w:r w:rsidR="00552442">
        <w:t>–</w:t>
      </w:r>
      <w:r w:rsidR="004A422F" w:rsidRPr="004A422F">
        <w:t>25.3 months despite treatment</w:t>
      </w:r>
      <w:r w:rsidR="004A422F">
        <w:t>.</w:t>
      </w:r>
      <w:r w:rsidR="00CF236C">
        <w:fldChar w:fldCharType="begin"/>
      </w:r>
      <w:r w:rsidR="00CA6345">
        <w:instrText xml:space="preserve"> ADDIN ZOTERO_ITEM CSL_CITATION {"citationID":"uMfHgT5H","properties":{"formattedCitation":"\\super 92\\nosupersub{}","plainCitation":"92","noteIndex":0},"citationItems":[{"id":66852,"uris":["http://zotero.org/groups/4797619/items/NSGP5JH4"],"itemData":{"id":66852,"type":"article-journal","abstract":"Breast cancer is a common cause of brain metastases, with metastases occurring in at least 10–16 % of patients. Longer survival of patients with metastatic breast cancer and the use of better imaging techniques are associated with an increased incidence of brain metastases. Unfortunately, patients who develop brain metastases tend to have poor prognosis with short overall survival. In addition, brain metastases are a major cause of morbidity, associated with progressive neurologic deficits that result in a reduced quality of life. Tumor subtypes play a key role in prognosis and treatment selection. Current therapies include surgery, whole-brain radiation therapy, stereotactic radiosurgery, chemotherapy and targeted therapies. However, the timing and appropriate use of these therapies is controversial and careful patient selection by using available prognostic tools is extremely important. This review will focus on current treatment options, novel therapies, future approaches and ongoing clinical trials for patients with breast cancer brain metastases.","container-title":"Experimental Hematology &amp; Oncology","DOI":"10.1186/s40164-015-0028-8","ISSN":"2162-3619","issue":"1","journalAbbreviation":"Experimental Hematology &amp; Oncology","page":"33","source":"BioMed Central","title":"Breast cancer brain metastases: the last frontier","title-short":"Breast cancer brain metastases","volume":"4","author":[{"family":"Leone","given":"José Pablo"},{"family":"Leone","given":"Bernardo Amadeo"}],"issued":{"date-parts":[["2015",11,24]]}}}],"schema":"https://github.com/citation-style-language/schema/raw/master/csl-citation.json"} </w:instrText>
      </w:r>
      <w:r w:rsidR="00CF236C">
        <w:fldChar w:fldCharType="separate"/>
      </w:r>
      <w:r w:rsidR="00CA6345" w:rsidRPr="00CA6345">
        <w:rPr>
          <w:rFonts w:cs="Arial"/>
          <w:szCs w:val="24"/>
          <w:vertAlign w:val="superscript"/>
        </w:rPr>
        <w:t>92</w:t>
      </w:r>
      <w:r w:rsidR="00CF236C">
        <w:fldChar w:fldCharType="end"/>
      </w:r>
    </w:p>
    <w:p w14:paraId="70CC20FB" w14:textId="64C8467A" w:rsidR="00D927BA" w:rsidRPr="00E06869" w:rsidRDefault="004D4371" w:rsidP="0031043B">
      <w:pPr>
        <w:pStyle w:val="Body"/>
      </w:pPr>
      <w:r>
        <w:t>S</w:t>
      </w:r>
      <w:r w:rsidRPr="00D30D35">
        <w:t xml:space="preserve">ymptoms </w:t>
      </w:r>
      <w:r>
        <w:t xml:space="preserve">of </w:t>
      </w:r>
      <w:r w:rsidR="00E44F79">
        <w:t>metastases</w:t>
      </w:r>
      <w:r w:rsidR="000223AB">
        <w:t xml:space="preserve"> </w:t>
      </w:r>
      <w:r w:rsidRPr="00D30D35">
        <w:t>may incur additional resource use and costs due to requirement for further treatment and monitoring and can havnative QoL impact, due to pain and difficulties for the patient in coping with symptoms</w:t>
      </w:r>
      <w:r>
        <w:t>.</w:t>
      </w:r>
    </w:p>
    <w:p w14:paraId="396CCC3B" w14:textId="4DE2ADC0" w:rsidR="004509F4" w:rsidRDefault="00270965" w:rsidP="00270965">
      <w:pPr>
        <w:pStyle w:val="Caption"/>
      </w:pPr>
      <w:bookmarkStart w:id="52" w:name="_Ref121929110"/>
      <w:bookmarkStart w:id="53" w:name="_Ref117770782"/>
      <w:bookmarkStart w:id="54" w:name="_Ref92280729"/>
      <w:bookmarkStart w:id="55" w:name="_Toc129350979"/>
      <w:r>
        <w:t xml:space="preserve">Table </w:t>
      </w:r>
      <w:r>
        <w:fldChar w:fldCharType="begin"/>
      </w:r>
      <w:r>
        <w:instrText>SEQ Table \* ARABIC</w:instrText>
      </w:r>
      <w:r>
        <w:fldChar w:fldCharType="separate"/>
      </w:r>
      <w:r w:rsidR="00145F42">
        <w:rPr>
          <w:noProof/>
        </w:rPr>
        <w:t>4</w:t>
      </w:r>
      <w:r>
        <w:fldChar w:fldCharType="end"/>
      </w:r>
      <w:bookmarkEnd w:id="52"/>
      <w:r>
        <w:t xml:space="preserve">: Site-specific symptoms of metastases in </w:t>
      </w:r>
      <w:bookmarkEnd w:id="53"/>
      <w:bookmarkEnd w:id="54"/>
      <w:r>
        <w:t>BC</w:t>
      </w:r>
      <w:bookmarkEnd w:id="55"/>
    </w:p>
    <w:tbl>
      <w:tblPr>
        <w:tblStyle w:val="Generaltable"/>
        <w:tblW w:w="9067" w:type="dxa"/>
        <w:tblLook w:val="04A0" w:firstRow="1" w:lastRow="0" w:firstColumn="1" w:lastColumn="0" w:noHBand="0" w:noVBand="1"/>
      </w:tblPr>
      <w:tblGrid>
        <w:gridCol w:w="1696"/>
        <w:gridCol w:w="7371"/>
      </w:tblGrid>
      <w:tr w:rsidR="004509F4" w14:paraId="78332CBA" w14:textId="77777777" w:rsidTr="00F55057">
        <w:trPr>
          <w:cnfStyle w:val="100000000000" w:firstRow="1" w:lastRow="0" w:firstColumn="0" w:lastColumn="0" w:oddVBand="0" w:evenVBand="0" w:oddHBand="0" w:evenHBand="0" w:firstRowFirstColumn="0" w:firstRowLastColumn="0" w:lastRowFirstColumn="0" w:lastRowLastColumn="0"/>
          <w:tblHeader/>
        </w:trPr>
        <w:tc>
          <w:tcPr>
            <w:tcW w:w="1696" w:type="dxa"/>
            <w:shd w:val="clear" w:color="auto" w:fill="F2F2F2" w:themeFill="background1" w:themeFillShade="F2"/>
          </w:tcPr>
          <w:p w14:paraId="1DE3B60C" w14:textId="71AFF684" w:rsidR="004509F4" w:rsidRDefault="00F55057">
            <w:pPr>
              <w:pStyle w:val="Tableheading"/>
            </w:pPr>
            <w:r>
              <w:t>Metastasis site</w:t>
            </w:r>
          </w:p>
        </w:tc>
        <w:tc>
          <w:tcPr>
            <w:tcW w:w="7371" w:type="dxa"/>
            <w:shd w:val="clear" w:color="auto" w:fill="F2F2F2" w:themeFill="background1" w:themeFillShade="F2"/>
            <w:vAlign w:val="center"/>
          </w:tcPr>
          <w:p w14:paraId="43CBB031" w14:textId="77777777" w:rsidR="004509F4" w:rsidRDefault="004509F4" w:rsidP="00716B9F">
            <w:pPr>
              <w:pStyle w:val="Tableheading"/>
            </w:pPr>
            <w:r>
              <w:t>Associated symptoms</w:t>
            </w:r>
          </w:p>
        </w:tc>
      </w:tr>
      <w:tr w:rsidR="004509F4" w14:paraId="73C5218D" w14:textId="77777777" w:rsidTr="00F55057">
        <w:tc>
          <w:tcPr>
            <w:tcW w:w="1696" w:type="dxa"/>
            <w:shd w:val="clear" w:color="auto" w:fill="F2F2F2" w:themeFill="background1" w:themeFillShade="F2"/>
          </w:tcPr>
          <w:p w14:paraId="5E47CF1C" w14:textId="77777777" w:rsidR="004509F4" w:rsidRPr="00054763" w:rsidRDefault="004509F4">
            <w:pPr>
              <w:pStyle w:val="Tablebody"/>
              <w:keepNext/>
              <w:rPr>
                <w:b/>
                <w:bCs/>
              </w:rPr>
            </w:pPr>
            <w:r w:rsidRPr="00054763">
              <w:rPr>
                <w:b/>
                <w:bCs/>
              </w:rPr>
              <w:t>General</w:t>
            </w:r>
          </w:p>
        </w:tc>
        <w:tc>
          <w:tcPr>
            <w:tcW w:w="7371" w:type="dxa"/>
          </w:tcPr>
          <w:p w14:paraId="03E1429D" w14:textId="77777777" w:rsidR="004509F4" w:rsidRDefault="004509F4">
            <w:pPr>
              <w:pStyle w:val="Tablebody"/>
            </w:pPr>
            <w:r>
              <w:t>Fatigue, difficulty sleeping, depression</w:t>
            </w:r>
          </w:p>
        </w:tc>
      </w:tr>
      <w:tr w:rsidR="004509F4" w14:paraId="539E36CE" w14:textId="77777777" w:rsidTr="00F55057">
        <w:tc>
          <w:tcPr>
            <w:tcW w:w="1696" w:type="dxa"/>
            <w:shd w:val="clear" w:color="auto" w:fill="F2F2F2" w:themeFill="background1" w:themeFillShade="F2"/>
          </w:tcPr>
          <w:p w14:paraId="6CA517FB" w14:textId="77777777" w:rsidR="004509F4" w:rsidRPr="00054763" w:rsidRDefault="004509F4">
            <w:pPr>
              <w:pStyle w:val="Tablebody"/>
              <w:rPr>
                <w:b/>
                <w:bCs/>
              </w:rPr>
            </w:pPr>
            <w:r w:rsidRPr="00054763">
              <w:rPr>
                <w:b/>
                <w:bCs/>
              </w:rPr>
              <w:t>Brain</w:t>
            </w:r>
          </w:p>
        </w:tc>
        <w:tc>
          <w:tcPr>
            <w:tcW w:w="7371" w:type="dxa"/>
          </w:tcPr>
          <w:p w14:paraId="1495D878" w14:textId="77777777" w:rsidR="004509F4" w:rsidRDefault="004509F4">
            <w:pPr>
              <w:pStyle w:val="Tablebody"/>
            </w:pPr>
            <w:r>
              <w:t>Headache, confusion, weakness or numbness, seizure, altered mentation, memory problems, changes to eyesight, speech impairment, nausea or vomiting</w:t>
            </w:r>
          </w:p>
        </w:tc>
      </w:tr>
      <w:tr w:rsidR="004509F4" w14:paraId="4739D99C" w14:textId="77777777" w:rsidTr="00F55057">
        <w:tc>
          <w:tcPr>
            <w:tcW w:w="1696" w:type="dxa"/>
            <w:shd w:val="clear" w:color="auto" w:fill="F2F2F2" w:themeFill="background1" w:themeFillShade="F2"/>
          </w:tcPr>
          <w:p w14:paraId="77A9540D" w14:textId="77777777" w:rsidR="004509F4" w:rsidRPr="00054763" w:rsidRDefault="004509F4">
            <w:pPr>
              <w:pStyle w:val="Tablebody"/>
              <w:rPr>
                <w:b/>
                <w:bCs/>
              </w:rPr>
            </w:pPr>
            <w:r w:rsidRPr="00054763">
              <w:rPr>
                <w:b/>
                <w:bCs/>
              </w:rPr>
              <w:t>Liver</w:t>
            </w:r>
          </w:p>
        </w:tc>
        <w:tc>
          <w:tcPr>
            <w:tcW w:w="7371" w:type="dxa"/>
          </w:tcPr>
          <w:p w14:paraId="360A610C" w14:textId="77777777" w:rsidR="004509F4" w:rsidRDefault="004509F4">
            <w:pPr>
              <w:pStyle w:val="Tablebody"/>
            </w:pPr>
            <w:r>
              <w:t>Discomfort or pain, nausea, swollen abdomen, loss of appetite, jaundice</w:t>
            </w:r>
          </w:p>
        </w:tc>
      </w:tr>
      <w:tr w:rsidR="004509F4" w14:paraId="74AF69A4" w14:textId="77777777" w:rsidTr="00F55057">
        <w:tc>
          <w:tcPr>
            <w:tcW w:w="1696" w:type="dxa"/>
            <w:shd w:val="clear" w:color="auto" w:fill="F2F2F2" w:themeFill="background1" w:themeFillShade="F2"/>
          </w:tcPr>
          <w:p w14:paraId="115DFDC2" w14:textId="77777777" w:rsidR="004509F4" w:rsidRPr="00054763" w:rsidRDefault="004509F4">
            <w:pPr>
              <w:pStyle w:val="Tablebody"/>
              <w:rPr>
                <w:b/>
                <w:bCs/>
              </w:rPr>
            </w:pPr>
            <w:r w:rsidRPr="00054763">
              <w:rPr>
                <w:b/>
                <w:bCs/>
              </w:rPr>
              <w:t>Lymph nodes</w:t>
            </w:r>
          </w:p>
        </w:tc>
        <w:tc>
          <w:tcPr>
            <w:tcW w:w="7371" w:type="dxa"/>
          </w:tcPr>
          <w:p w14:paraId="5DDCA4E9" w14:textId="77777777" w:rsidR="004509F4" w:rsidRDefault="004509F4">
            <w:pPr>
              <w:pStyle w:val="Tablebody"/>
            </w:pPr>
            <w:r>
              <w:t>Brachial plexopathies, pain</w:t>
            </w:r>
          </w:p>
        </w:tc>
      </w:tr>
      <w:tr w:rsidR="004509F4" w14:paraId="4C357453" w14:textId="77777777" w:rsidTr="00F55057">
        <w:tc>
          <w:tcPr>
            <w:tcW w:w="1696" w:type="dxa"/>
            <w:shd w:val="clear" w:color="auto" w:fill="F2F2F2" w:themeFill="background1" w:themeFillShade="F2"/>
          </w:tcPr>
          <w:p w14:paraId="0874A11B" w14:textId="77777777" w:rsidR="004509F4" w:rsidRPr="00054763" w:rsidRDefault="004509F4">
            <w:pPr>
              <w:pStyle w:val="Tablebody"/>
              <w:rPr>
                <w:b/>
                <w:bCs/>
              </w:rPr>
            </w:pPr>
            <w:r w:rsidRPr="00054763">
              <w:rPr>
                <w:b/>
                <w:bCs/>
              </w:rPr>
              <w:t>Skin</w:t>
            </w:r>
          </w:p>
        </w:tc>
        <w:tc>
          <w:tcPr>
            <w:tcW w:w="7371" w:type="dxa"/>
          </w:tcPr>
          <w:p w14:paraId="7D554B44" w14:textId="04B48F0F" w:rsidR="004509F4" w:rsidRDefault="004509F4" w:rsidP="00CF236C">
            <w:pPr>
              <w:pStyle w:val="Tablebody"/>
              <w:tabs>
                <w:tab w:val="left" w:pos="2350"/>
                <w:tab w:val="center" w:pos="3577"/>
              </w:tabs>
            </w:pPr>
            <w:r>
              <w:t>Pain, infection, bleeding</w:t>
            </w:r>
            <w:r w:rsidR="00CF236C">
              <w:tab/>
            </w:r>
            <w:r w:rsidR="00CF236C">
              <w:tab/>
            </w:r>
          </w:p>
        </w:tc>
      </w:tr>
      <w:tr w:rsidR="004509F4" w14:paraId="4E00FAE0" w14:textId="77777777" w:rsidTr="00F55057">
        <w:tc>
          <w:tcPr>
            <w:tcW w:w="1696" w:type="dxa"/>
            <w:shd w:val="clear" w:color="auto" w:fill="F2F2F2" w:themeFill="background1" w:themeFillShade="F2"/>
          </w:tcPr>
          <w:p w14:paraId="39BC8179" w14:textId="77777777" w:rsidR="004509F4" w:rsidRPr="00054763" w:rsidRDefault="004509F4">
            <w:pPr>
              <w:pStyle w:val="Tablebody"/>
              <w:rPr>
                <w:b/>
                <w:bCs/>
              </w:rPr>
            </w:pPr>
            <w:r w:rsidRPr="00054763">
              <w:rPr>
                <w:b/>
                <w:bCs/>
              </w:rPr>
              <w:t>Bone</w:t>
            </w:r>
          </w:p>
        </w:tc>
        <w:tc>
          <w:tcPr>
            <w:tcW w:w="7371" w:type="dxa"/>
          </w:tcPr>
          <w:p w14:paraId="0FBFD953" w14:textId="77777777" w:rsidR="004509F4" w:rsidRDefault="004509F4">
            <w:pPr>
              <w:pStyle w:val="Tablebody"/>
            </w:pPr>
            <w:r>
              <w:t>Pain, hypercalcaemia, pathologic fracture, loss of mobility</w:t>
            </w:r>
          </w:p>
        </w:tc>
      </w:tr>
      <w:tr w:rsidR="004509F4" w14:paraId="7A1444D3" w14:textId="77777777" w:rsidTr="00F55057">
        <w:tc>
          <w:tcPr>
            <w:tcW w:w="1696" w:type="dxa"/>
            <w:shd w:val="clear" w:color="auto" w:fill="F2F2F2" w:themeFill="background1" w:themeFillShade="F2"/>
          </w:tcPr>
          <w:p w14:paraId="16A54648" w14:textId="77777777" w:rsidR="004509F4" w:rsidRPr="00054763" w:rsidRDefault="004509F4">
            <w:pPr>
              <w:pStyle w:val="Tablebody"/>
              <w:keepNext/>
              <w:rPr>
                <w:b/>
                <w:bCs/>
              </w:rPr>
            </w:pPr>
            <w:r w:rsidRPr="00054763">
              <w:rPr>
                <w:b/>
                <w:bCs/>
              </w:rPr>
              <w:t>Lungs</w:t>
            </w:r>
          </w:p>
        </w:tc>
        <w:tc>
          <w:tcPr>
            <w:tcW w:w="7371" w:type="dxa"/>
          </w:tcPr>
          <w:p w14:paraId="5D860901" w14:textId="77777777" w:rsidR="004509F4" w:rsidRDefault="004509F4">
            <w:pPr>
              <w:pStyle w:val="Tablebody"/>
            </w:pPr>
            <w:r>
              <w:t>Pain, cough, dyspnoea, haemoptysis, weight loss, pleural effusion</w:t>
            </w:r>
          </w:p>
        </w:tc>
      </w:tr>
    </w:tbl>
    <w:p w14:paraId="221BB836" w14:textId="0833CE3E" w:rsidR="004509F4" w:rsidRDefault="004509F4" w:rsidP="004362CF">
      <w:pPr>
        <w:pStyle w:val="Footnotes"/>
      </w:pPr>
      <w:r>
        <w:t>Source: Irvin 2011;</w:t>
      </w:r>
      <w:r>
        <w:fldChar w:fldCharType="begin"/>
      </w:r>
      <w:r w:rsidR="00CA6345">
        <w:instrText xml:space="preserve"> ADDIN ZOTERO_ITEM CSL_CITATION {"citationID":"FlNBYy8H","properties":{"formattedCitation":"\\super 25\\nosupersub{}","plainCitation":"25","noteIndex":0},"citationItems":[{"id":65914,"uris":["http://zotero.org/groups/4797619/items/VWFBS6EV"],"itemData":{"id":65914,"type":"article-journal","abstract":"The most common symptoms in patients with breast cancer metastases are identified and an overview of their management is provided., Approximately 40,000 women die as a result of breast cancer each year and many more live with advanced disease. When breast cancer recurs, the goals of treatment often shift from one of cure to controlling the disease for as long as possible while palliating symptoms interfering with the patient's functional status and quality of life. This requires ongoing discussions with the patient and family about the goals of care. Many symptoms depend on the site of metastasis, with bone being the most frequent, and commonly occur with fatigue, depression, insomnia, and pain. The purpose of this paper is to identify and provide an overview of the management of the most common symptoms in patients with breast cancer metastases.","container-title":"The Oncologist","DOI":"10.1634/theoncologist.2011-0159","ISSN":"1083-7159","issue":"9","journalAbbreviation":"Oncologist","note":"PMID: 21880861\nPMCID: PMC3228166","page":"1203-1214","source":"PubMed Central","title":"Symptom Management in Metastatic Breast Cancer","volume":"16","author":[{"family":"Irvin","given":"William"},{"family":"Muss","given":"Hyman B."},{"family":"Mayer","given":"Deborah K."}],"issued":{"date-parts":[["2011",9]]}}}],"schema":"https://github.com/citation-style-language/schema/raw/master/csl-citation.json"} </w:instrText>
      </w:r>
      <w:r>
        <w:fldChar w:fldCharType="separate"/>
      </w:r>
      <w:r w:rsidR="00FD57F4" w:rsidRPr="00FD57F4">
        <w:rPr>
          <w:rFonts w:cs="Arial"/>
          <w:szCs w:val="24"/>
          <w:vertAlign w:val="superscript"/>
        </w:rPr>
        <w:t>25</w:t>
      </w:r>
      <w:r>
        <w:fldChar w:fldCharType="end"/>
      </w:r>
      <w:r>
        <w:t xml:space="preserve"> Cancer Research UK 2017.</w:t>
      </w:r>
      <w:r>
        <w:fldChar w:fldCharType="begin"/>
      </w:r>
      <w:r w:rsidR="00CA6345">
        <w:instrText xml:space="preserve"> ADDIN ZOTERO_ITEM CSL_CITATION {"citationID":"Eq5lSgrd","properties":{"formattedCitation":"\\super 26\\nosupersub{}","plainCitation":"26","noteIndex":0},"citationItems":[{"id":65913,"uris":["http://zotero.org/groups/4797619/items/CJ5T6X82"],"itemData":{"id":65913,"type":"webpage","title":"Symptoms of secondary breast cancer | Cancer Research UK","URL":"https://www.cancerresearchuk.org/about-cancer/breast-cancer/secondary/symptoms","accessed":{"date-parts":[["2022",10,24]]}}}],"schema":"https://github.com/citation-style-language/schema/raw/master/csl-citation.json"} </w:instrText>
      </w:r>
      <w:r>
        <w:fldChar w:fldCharType="separate"/>
      </w:r>
      <w:r w:rsidR="00FD57F4" w:rsidRPr="00FD57F4">
        <w:rPr>
          <w:rFonts w:cs="Arial"/>
          <w:szCs w:val="24"/>
          <w:vertAlign w:val="superscript"/>
        </w:rPr>
        <w:t>26</w:t>
      </w:r>
      <w:r>
        <w:fldChar w:fldCharType="end"/>
      </w:r>
    </w:p>
    <w:p w14:paraId="4549F306" w14:textId="4E5A63B1" w:rsidR="006F4CD4" w:rsidRDefault="009007B0" w:rsidP="006F4CD4">
      <w:pPr>
        <w:pStyle w:val="Heading4"/>
      </w:pPr>
      <w:bookmarkStart w:id="56" w:name="_Ref97122887"/>
      <w:bookmarkEnd w:id="51"/>
      <w:r>
        <w:t>Q</w:t>
      </w:r>
      <w:r w:rsidR="006F4CD4">
        <w:t>uality-of-life burden</w:t>
      </w:r>
      <w:bookmarkEnd w:id="56"/>
    </w:p>
    <w:p w14:paraId="08266D45" w14:textId="033B79E3" w:rsidR="00405504" w:rsidRPr="00EF0833" w:rsidRDefault="00405504" w:rsidP="00405504">
      <w:pPr>
        <w:pStyle w:val="Body"/>
      </w:pPr>
      <w:bookmarkStart w:id="57" w:name="_Ref90900648"/>
      <w:bookmarkStart w:id="58" w:name="_Ref97122872"/>
      <w:r w:rsidRPr="00EF0833">
        <w:t xml:space="preserve">As expected for a terminal disease with a high symptom burden, BC has a substantial and negative impact on patient </w:t>
      </w:r>
      <w:r w:rsidR="00F94F7D" w:rsidRPr="002646F6">
        <w:t>q</w:t>
      </w:r>
      <w:r w:rsidR="004D06F0" w:rsidRPr="002646F6">
        <w:t>uality and q</w:t>
      </w:r>
      <w:r w:rsidR="00F94F7D" w:rsidRPr="002646F6">
        <w:t xml:space="preserve">uantity </w:t>
      </w:r>
      <w:r w:rsidR="00E56D08" w:rsidRPr="002646F6">
        <w:t>of life</w:t>
      </w:r>
      <w:r w:rsidRPr="00EF0833">
        <w:t xml:space="preserve">. In a 2019 analysis in the UK, the total disability-adjusted life years (DALYs) lost to BC were 282,537 (95% confidence interval [CI]: 263,582, 301,298) </w:t>
      </w:r>
      <w:r w:rsidR="00047F7A" w:rsidRPr="002646F6">
        <w:t xml:space="preserve">in England </w:t>
      </w:r>
      <w:r w:rsidRPr="00EF0833">
        <w:t xml:space="preserve">and 17,358 (95% CI: 15,831, 19,046) </w:t>
      </w:r>
      <w:r w:rsidRPr="002646F6">
        <w:t>in Wales</w:t>
      </w:r>
      <w:r w:rsidRPr="00EF0833">
        <w:t>, indicating substantial burden of disease at a population level</w:t>
      </w:r>
      <w:r w:rsidRPr="002646F6">
        <w:t>.</w:t>
      </w:r>
      <w:hyperlink w:anchor="_ENREF_68" w:tooltip="Global Health Data Exchange (GHDx), 2021 #120" w:history="1">
        <w:r w:rsidR="004838B9" w:rsidRPr="002646F6">
          <w:fldChar w:fldCharType="begin"/>
        </w:r>
        <w:r w:rsidR="004838B9" w:rsidRPr="002646F6">
          <w:instrText xml:space="preserve"> ADDIN EN.CITE &lt;EndNote&gt;&lt;Cite&gt;&lt;Author&gt;Global Health Data Exchange (GHDx)&lt;/Author&gt;&lt;Year&gt;2021&lt;/Year&gt;&lt;RecNum&gt;120&lt;/RecNum&gt;&lt;DisplayText&gt;&lt;style face="superscript"&gt;68&lt;/style&gt;&lt;/DisplayText&gt;&lt;record&gt;&lt;rec-number&gt;120&lt;/rec-number&gt;&lt;foreign-keys&gt;&lt;key app="EN" db-id="zsraxr2sldvt0herzw7x5028s0efeazsx9r0" timestamp="1639999836"&gt;120&lt;/key&gt;&lt;/foreign-keys&gt;&lt;ref-type name="Journal Article"&gt;17&lt;/ref-type&gt;&lt;contributors&gt;&lt;authors&gt;&lt;author&gt;Global Health Data Exchange (GHDx),&lt;/author&gt;&lt;/authors&gt;&lt;/contributors&gt;&lt;titles&gt;&lt;title&gt;GBD Results Tool: DALYs for 2019 with trends since 1990; England and Wales&lt;/title&gt;&lt;secondary-title&gt;Available at: http://ghdx.healthdata.org/gbd-results-tool?params=gbd-api-2019-permalink/93951e9aad22ab8ddae207177a7bb467 [last accessed: 20/12/2021]&lt;/secondary-title&gt;&lt;/titles&gt;&lt;periodical&gt;&lt;full-title&gt;Available at: http://ghdx.healthdata.org/gbd-results-tool?params=gbd-api-2019-permalink/93951e9aad22ab8ddae207177a7bb467 [last accessed: 20/12/2021]&lt;/full-title&gt;&lt;/periodical&gt;&lt;dates&gt;&lt;year&gt;2021&lt;/year&gt;&lt;/dates&gt;&lt;urls&gt;&lt;/urls&gt;&lt;/record&gt;&lt;/Cite&gt;&lt;/EndNote&gt;</w:instrText>
        </w:r>
        <w:r w:rsidR="004838B9" w:rsidRPr="002646F6">
          <w:fldChar w:fldCharType="separate"/>
        </w:r>
        <w:r w:rsidR="004838B9" w:rsidRPr="002646F6">
          <w:rPr>
            <w:noProof/>
            <w:vertAlign w:val="superscript"/>
          </w:rPr>
          <w:t>68</w:t>
        </w:r>
        <w:r w:rsidR="004838B9" w:rsidRPr="002646F6">
          <w:fldChar w:fldCharType="end"/>
        </w:r>
      </w:hyperlink>
      <w:r w:rsidRPr="00EF0833">
        <w:t xml:space="preserve"> Estimates from the Global Burden of Disease Study (1990–2017) indicate that BC </w:t>
      </w:r>
      <w:r w:rsidR="005C68D6" w:rsidRPr="002646F6">
        <w:t>is the leading cause of</w:t>
      </w:r>
      <w:r w:rsidRPr="002646F6">
        <w:t xml:space="preserve"> DALY loss </w:t>
      </w:r>
      <w:r w:rsidRPr="00EF0833">
        <w:t>of any cancer type in women.</w:t>
      </w:r>
      <w:r w:rsidR="00FF2398" w:rsidRPr="002646F6">
        <w:fldChar w:fldCharType="begin"/>
      </w:r>
      <w:r w:rsidR="00CA6345">
        <w:instrText xml:space="preserve"> ADDIN ZOTERO_ITEM CSL_CITATION {"citationID":"sHSRsGeL","properties":{"formattedCitation":"\\super 93\\nosupersub{}","plainCitation":"93","noteIndex":0},"citationItems":[{"id":65903,"uris":["http://zotero.org/groups/4797619/items/H5KWGA4J"],"itemData":{"id":65903,"type":"article-journal","abstract":"Cancer and other noncommunicable diseases (NCDs) are now widely recognized as a threat to global development. The latest United Nations high-level meeting on NCDs reaffirmed this observation and also highlighted the slow progress in meeting the 2011 Political Declaration on the Prevention and Control of Noncommunicable Diseases and the third Sustainable Development Goal. Lack of situational analyses, priority setting, and budgeting have been identified as major obstacles in achieving these goals. All of these have in common that they require information on the local cancer epidemiology. The Global Burden of Disease (GBD) study is uniquely poised to provide these crucial data.To describe cancer burden for 29 cancer groups in 195 countries from 1990 through 2017 to provide data needed for cancer control planning.We used the GBD study estimation methods to describe cancer incidence, mortality, years lived with disability, years of life lost, and disability-adjusted life-years (DALYs). Results are presented at the national level as well as by Socio-demographic Index (SDI), a composite indicator of income, educational attainment, and total fertility rate. We also analyzed the influence of the epidemiological vs the demographic transition on cancer incidence.In 2017, there were 24.5 million incident cancer cases worldwide (16.8 million without nonmelanoma skin cancer [NMSC]) and 9.6 million cancer deaths. The majority of cancer DALYs came from years of life lost (97%), and only 3% came from years lived with disability. The odds of developing cancer were the lowest in the low SDI quintile (1 in 7) and the highest in the high SDI quintile (1 in 2) for both sexes. In 2017, the most common incident cancers in men were NMSC (4.3 million incident cases); tracheal, bronchus, and lung (TBL) cancer (1.5 million incident cases); and prostate cancer (1.3 million incident cases). The most common causes of cancer deaths and DALYs for men were TBL cancer (1.3 million deaths and 28.4 million DALYs), liver cancer (572 000 deaths and 15.2 million DALYs), and stomach cancer (542 000 deaths and 12.2 million DALYs). For women in 2017, the most common incident cancers were NMSC (3.3 million incident cases), breast cancer (1.9 million incident cases), and colorectal cancer (819 000 incident cases). The leading causes of cancer deaths and DALYs for women were breast cancer (601 000 deaths and 17.4 million DALYs), TBL cancer (596 000 deaths and 12.6 million DALYs), and colorectal cancer (414 000 deaths and 8.3 million DALYs).The national epidemiological profiles of cancer burden in the GBD study show large heterogeneities, which are a reflection of different exposures to risk factors, economic settings, lifestyles, and access to care and screening. The GBD study can be used by policy makers and other stakeholders to develop and improve national and local cancer control in order to achieve the global targets and improve equity in cancer care.","container-title":"JAMA Oncology","DOI":"10.1001/jamaoncol.2019.2996","ISSN":"2374-2437","issue":"12","journalAbbreviation":"JAMA Oncology","page":"1749-1768","source":"Silverchair","title":"Global, Regional, and National Cancer Incidence, Mortality, Years of Life Lost, Years Lived With Disability, and Disability-Adjusted Life-Years for 29 Cancer Groups, 1990 to 2017: A Systematic Analysis for the Global Burden of Disease Study","title-short":"Global, Regional, and National Cancer Incidence, Mortality, Years of Life Lost, Years Lived With Disability, and Disability-Adjusted Life-Years for 29 Cancer Groups, 1990 to 2017","volume":"5","author":[{"literal":"Global Burden of Disease Cancer Collaboration"}],"issued":{"date-parts":[["2019",12,1]]}}}],"schema":"https://github.com/citation-style-language/schema/raw/master/csl-citation.json"} </w:instrText>
      </w:r>
      <w:r w:rsidR="00FF2398" w:rsidRPr="002646F6">
        <w:fldChar w:fldCharType="separate"/>
      </w:r>
      <w:r w:rsidR="00CA6345" w:rsidRPr="00CA6345">
        <w:rPr>
          <w:rFonts w:cs="Arial"/>
          <w:szCs w:val="24"/>
          <w:vertAlign w:val="superscript"/>
        </w:rPr>
        <w:t>93</w:t>
      </w:r>
      <w:r w:rsidR="00FF2398" w:rsidRPr="002646F6">
        <w:fldChar w:fldCharType="end"/>
      </w:r>
      <w:r w:rsidRPr="00EF0833">
        <w:t xml:space="preserve"> </w:t>
      </w:r>
    </w:p>
    <w:p w14:paraId="174FB644" w14:textId="21A85EC1" w:rsidR="00C02412" w:rsidRPr="00EF0833" w:rsidRDefault="00C02412" w:rsidP="00405504">
      <w:pPr>
        <w:pStyle w:val="Body"/>
      </w:pPr>
      <w:r w:rsidRPr="00EF0833">
        <w:t>The high DALY loss in BC derives largely from years of life lost, accounting for 93% of the total,</w:t>
      </w:r>
      <w:r w:rsidR="00D2387F" w:rsidRPr="00EF0833">
        <w:fldChar w:fldCharType="begin"/>
      </w:r>
      <w:r w:rsidR="00CA6345">
        <w:instrText xml:space="preserve"> ADDIN ZOTERO_ITEM CSL_CITATION {"citationID":"p6yXFZky","properties":{"formattedCitation":"\\super 93\\nosupersub{}","plainCitation":"93","noteIndex":0},"citationItems":[{"id":65903,"uris":["http://zotero.org/groups/4797619/items/H5KWGA4J"],"itemData":{"id":65903,"type":"article-journal","abstract":"Cancer and other noncommunicable diseases (NCDs) are now widely recognized as a threat to global development. The latest United Nations high-level meeting on NCDs reaffirmed this observation and also highlighted the slow progress in meeting the 2011 Political Declaration on the Prevention and Control of Noncommunicable Diseases and the third Sustainable Development Goal. Lack of situational analyses, priority setting, and budgeting have been identified as major obstacles in achieving these goals. All of these have in common that they require information on the local cancer epidemiology. The Global Burden of Disease (GBD) study is uniquely poised to provide these crucial data.To describe cancer burden for 29 cancer groups in 195 countries from 1990 through 2017 to provide data needed for cancer control planning.We used the GBD study estimation methods to describe cancer incidence, mortality, years lived with disability, years of life lost, and disability-adjusted life-years (DALYs). Results are presented at the national level as well as by Socio-demographic Index (SDI), a composite indicator of income, educational attainment, and total fertility rate. We also analyzed the influence of the epidemiological vs the demographic transition on cancer incidence.In 2017, there were 24.5 million incident cancer cases worldwide (16.8 million without nonmelanoma skin cancer [NMSC]) and 9.6 million cancer deaths. The majority of cancer DALYs came from years of life lost (97%), and only 3% came from years lived with disability. The odds of developing cancer were the lowest in the low SDI quintile (1 in 7) and the highest in the high SDI quintile (1 in 2) for both sexes. In 2017, the most common incident cancers in men were NMSC (4.3 million incident cases); tracheal, bronchus, and lung (TBL) cancer (1.5 million incident cases); and prostate cancer (1.3 million incident cases). The most common causes of cancer deaths and DALYs for men were TBL cancer (1.3 million deaths and 28.4 million DALYs), liver cancer (572 000 deaths and 15.2 million DALYs), and stomach cancer (542 000 deaths and 12.2 million DALYs). For women in 2017, the most common incident cancers were NMSC (3.3 million incident cases), breast cancer (1.9 million incident cases), and colorectal cancer (819 000 incident cases). The leading causes of cancer deaths and DALYs for women were breast cancer (601 000 deaths and 17.4 million DALYs), TBL cancer (596 000 deaths and 12.6 million DALYs), and colorectal cancer (414 000 deaths and 8.3 million DALYs).The national epidemiological profiles of cancer burden in the GBD study show large heterogeneities, which are a reflection of different exposures to risk factors, economic settings, lifestyles, and access to care and screening. The GBD study can be used by policy makers and other stakeholders to develop and improve national and local cancer control in order to achieve the global targets and improve equity in cancer care.","container-title":"JAMA Oncology","DOI":"10.1001/jamaoncol.2019.2996","ISSN":"2374-2437","issue":"12","journalAbbreviation":"JAMA Oncology","page":"1749-1768","source":"Silverchair","title":"Global, Regional, and National Cancer Incidence, Mortality, Years of Life Lost, Years Lived With Disability, and Disability-Adjusted Life-Years for 29 Cancer Groups, 1990 to 2017: A Systematic Analysis for the Global Burden of Disease Study","title-short":"Global, Regional, and National Cancer Incidence, Mortality, Years of Life Lost, Years Lived With Disability, and Disability-Adjusted Life-Years for 29 Cancer Groups, 1990 to 2017","volume":"5","author":[{"literal":"Global Burden of Disease Cancer Collaboration"}],"issued":{"date-parts":[["2019",12,1]]}}}],"schema":"https://github.com/citation-style-language/schema/raw/master/csl-citation.json"} </w:instrText>
      </w:r>
      <w:r w:rsidR="00D2387F" w:rsidRPr="00EF0833">
        <w:fldChar w:fldCharType="separate"/>
      </w:r>
      <w:r w:rsidR="00CA6345" w:rsidRPr="00CA6345">
        <w:rPr>
          <w:rFonts w:cs="Arial"/>
          <w:szCs w:val="24"/>
          <w:vertAlign w:val="superscript"/>
        </w:rPr>
        <w:t>93</w:t>
      </w:r>
      <w:r w:rsidR="00D2387F" w:rsidRPr="00EF0833">
        <w:fldChar w:fldCharType="end"/>
      </w:r>
      <w:r w:rsidRPr="00EF0833">
        <w:t xml:space="preserve"> and so </w:t>
      </w:r>
      <w:r w:rsidR="00CA0A60" w:rsidRPr="00EF0833">
        <w:t xml:space="preserve">is </w:t>
      </w:r>
      <w:r w:rsidRPr="00EF0833">
        <w:t>likely to be driven by the terminal or incurable stages of disease (unresectable Stage III and Stage IV) rather than the early stages</w:t>
      </w:r>
      <w:r w:rsidR="00121F5A" w:rsidRPr="00EF0833">
        <w:t>,</w:t>
      </w:r>
      <w:r w:rsidRPr="00EF0833">
        <w:t xml:space="preserve"> which have good survival outcomes (</w:t>
      </w:r>
      <w:r w:rsidRPr="002646F6">
        <w:rPr>
          <w:b/>
          <w:bCs/>
        </w:rPr>
        <w:t>Section</w:t>
      </w:r>
      <w:r w:rsidR="003A6A60">
        <w:rPr>
          <w:b/>
          <w:bCs/>
        </w:rPr>
        <w:t xml:space="preserve"> </w:t>
      </w:r>
      <w:r w:rsidR="003A6A60">
        <w:rPr>
          <w:b/>
          <w:bCs/>
        </w:rPr>
        <w:fldChar w:fldCharType="begin"/>
      </w:r>
      <w:r w:rsidR="003A6A60">
        <w:rPr>
          <w:b/>
          <w:bCs/>
        </w:rPr>
        <w:instrText xml:space="preserve"> REF _Ref126933487 \n \h </w:instrText>
      </w:r>
      <w:r w:rsidR="003A6A60">
        <w:rPr>
          <w:b/>
          <w:bCs/>
        </w:rPr>
      </w:r>
      <w:r w:rsidR="003A6A60">
        <w:rPr>
          <w:b/>
          <w:bCs/>
        </w:rPr>
        <w:fldChar w:fldCharType="separate"/>
      </w:r>
      <w:r w:rsidR="00145F42">
        <w:rPr>
          <w:b/>
          <w:bCs/>
        </w:rPr>
        <w:t>B.1.3.2.6</w:t>
      </w:r>
      <w:r w:rsidR="003A6A60">
        <w:rPr>
          <w:b/>
          <w:bCs/>
        </w:rPr>
        <w:fldChar w:fldCharType="end"/>
      </w:r>
      <w:r w:rsidRPr="00EF0833">
        <w:t xml:space="preserve">). </w:t>
      </w:r>
    </w:p>
    <w:p w14:paraId="7894E6A7" w14:textId="31AA52D5" w:rsidR="00405504" w:rsidRPr="003E002E" w:rsidRDefault="00405504" w:rsidP="009506B5">
      <w:pPr>
        <w:pStyle w:val="Heading5"/>
        <w:ind w:left="1276" w:hanging="1276"/>
      </w:pPr>
      <w:r w:rsidRPr="003E002E">
        <w:t>Impact of disease stage on QoL</w:t>
      </w:r>
    </w:p>
    <w:p w14:paraId="41E1955A" w14:textId="40AD243A" w:rsidR="00802858" w:rsidRPr="002F71EA" w:rsidRDefault="005754E8" w:rsidP="002646F6">
      <w:r>
        <w:t>Quality-of-</w:t>
      </w:r>
      <w:r w:rsidR="00930CF0" w:rsidRPr="002646F6">
        <w:t>life</w:t>
      </w:r>
      <w:r w:rsidR="00C9178E">
        <w:t xml:space="preserve"> (QoL)</w:t>
      </w:r>
      <w:r w:rsidR="00930CF0" w:rsidRPr="002646F6">
        <w:t xml:space="preserve"> for patients with BC is lower than for the general population in similar age categories,</w:t>
      </w:r>
      <w:r w:rsidR="009E3E86" w:rsidRPr="002F71EA">
        <w:fldChar w:fldCharType="begin"/>
      </w:r>
      <w:r w:rsidR="00CA6345">
        <w:instrText xml:space="preserve"> ADDIN ZOTERO_ITEM CSL_CITATION {"citationID":"a8QhqXrO","properties":{"formattedCitation":"\\super 28,94\\nosupersub{}","plainCitation":"28,94","noteIndex":0},"citationItems":[{"id":66113,"uris":["http://zotero.org/groups/4797619/items/RHJ4MR8W"],"itemData":{"id":66113,"type":"article-journal","abstract":"The impact of different disease stages and treatment for human epidermal growth factor 2 positive (HER2-positive) breast cancer (BC) on work productivity and health-related quality of life (HRQoL) is poorly understood.","container-title":"Health and Quality of Life Outcomes","DOI":"10.1186/s12955-020-01603-w","ISSN":"1477-7525","issue":"1","journalAbbreviation":"Health and Quality of Life Outcomes","page":"353","source":"BioMed Central","title":"Health-related quality of life and work productivity in UK patients with HER2-positive breast cancer: a cross-sectional study evaluating the relationships between disease and treatment stage","title-short":"Health-related quality of life and work productivity in UK patients with HER2-positive breast cancer","volume":"18","author":[{"family":"Verrill","given":"Mark"},{"family":"Wardley","given":"Andrew M."},{"family":"Retzler","given":"Jenny"},{"family":"Smith","given":"Adam B."},{"family":"Bottomley","given":"Catherine"},{"family":"Ní Dhochartaigh","given":"Sorcha"},{"family":"Tran","given":"Irwin"},{"family":"Leslie","given":"Iain"},{"family":"Schmid","given":"Peter"}],"issued":{"date-parts":[["2020",11,2]]}}},{"id":65902,"uris":["http://zotero.org/groups/4797619/items/79F4N4MW"],"itemData":{"id":65902,"type":"article-journal","abstract":"BACKGROUND: Decision analytic models in health care require baseline health-related quality of life data to accurately assess the benefits of interventions. The use of inappropriate baselines such as assuming the value of perfect health (EQ-5D = 1) for not having a condition may overestimate the benefits of some treatment and thus distort policy decisions informed by cost per quality adjusted life years thresholds.\nOBJECTIVE: The primary objective was to determine if data from the general population are appropriate for baseline health state utility values (HSUVs) when condition specific data are not available.\nMETHODS: Data from four consecutive Health Surveys for England were pooled. Self-reported health status and EQ-5D data were extracted and used to generate mean HSUVs for cohorts with or without prevalent health conditions. These were compared with mean HSUVs from all respondents irrespective of health status.\nRESULTS: More than 45% of respondents (n = 41,174) reported at least one condition and almost 20% reported at least two. Our results suggest that data from the general population could be used to approximate baseline HSUVs in some analyses, but not all. In particular, HSUVs from the general population would not be an appropriate baseline for cohorts who have just one condition. In these instances, if condition specific data are not available, data from respondents who report they do not have any prevalent health condition may be more appropriate. Exploratory analyses suggest the decrement on health-related quality of life may not be constant across ages for all conditions and these relationships may be condition specific. Additional research is required to validate our findings.","container-title":"Value in Health: The Journal of the International Society for Pharmacoeconomics and Outcomes Research","DOI":"10.1016/j.jval.2010.10.029","ISSN":"1524-4733","issue":"4","journalAbbreviation":"Value Health","language":"eng","note":"PMID: 21669378","page":"539-545","source":"PubMed","title":"Using health state utility values from the general population to approximate baselines in decision analytic models when condition-specific data are not available","volume":"14","author":[{"family":"Ara","given":"Roberta"},{"family":"Brazier","given":"John E."}],"issued":{"date-parts":[["2011",6]]}}}],"schema":"https://github.com/citation-style-language/schema/raw/master/csl-citation.json"} </w:instrText>
      </w:r>
      <w:r w:rsidR="009E3E86" w:rsidRPr="002F71EA">
        <w:fldChar w:fldCharType="separate"/>
      </w:r>
      <w:r w:rsidR="00CA6345" w:rsidRPr="00CA6345">
        <w:rPr>
          <w:rFonts w:cs="Arial"/>
          <w:szCs w:val="24"/>
          <w:vertAlign w:val="superscript"/>
        </w:rPr>
        <w:t>28,94</w:t>
      </w:r>
      <w:r w:rsidR="009E3E86" w:rsidRPr="002F71EA">
        <w:fldChar w:fldCharType="end"/>
      </w:r>
      <w:r w:rsidR="00930CF0" w:rsidRPr="002646F6">
        <w:t xml:space="preserve"> and worsens with disease stage</w:t>
      </w:r>
      <w:r w:rsidR="00307302" w:rsidRPr="002F71EA">
        <w:t>.</w:t>
      </w:r>
      <w:r w:rsidR="00307302" w:rsidRPr="002646F6">
        <w:fldChar w:fldCharType="begin"/>
      </w:r>
      <w:r w:rsidR="00CA6345">
        <w:instrText xml:space="preserve"> ADDIN ZOTERO_ITEM CSL_CITATION {"citationID":"e2sq6Jx6","properties":{"formattedCitation":"\\super 28\\nosupersub{}","plainCitation":"28","noteIndex":0},"citationItems":[{"id":66113,"uris":["http://zotero.org/groups/4797619/items/RHJ4MR8W"],"itemData":{"id":66113,"type":"article-journal","abstract":"The impact of different disease stages and treatment for human epidermal growth factor 2 positive (HER2-positive) breast cancer (BC) on work productivity and health-related quality of life (HRQoL) is poorly understood.","container-title":"Health and Quality of Life Outcomes","DOI":"10.1186/s12955-020-01603-w","ISSN":"1477-7525","issue":"1","journalAbbreviation":"Health and Quality of Life Outcomes","page":"353","source":"BioMed Central","title":"Health-related quality of life and work productivity in UK patients with HER2-positive breast cancer: a cross-sectional study evaluating the relationships between disease and treatment stage","title-short":"Health-related quality of life and work productivity in UK patients with HER2-positive breast cancer","volume":"18","author":[{"family":"Verrill","given":"Mark"},{"family":"Wardley","given":"Andrew M."},{"family":"Retzler","given":"Jenny"},{"family":"Smith","given":"Adam B."},{"family":"Bottomley","given":"Catherine"},{"family":"Ní Dhochartaigh","given":"Sorcha"},{"family":"Tran","given":"Irwin"},{"family":"Leslie","given":"Iain"},{"family":"Schmid","given":"Peter"}],"issued":{"date-parts":[["2020",11,2]]}}}],"schema":"https://github.com/citation-style-language/schema/raw/master/csl-citation.json"} </w:instrText>
      </w:r>
      <w:r w:rsidR="00307302" w:rsidRPr="002646F6">
        <w:fldChar w:fldCharType="separate"/>
      </w:r>
      <w:r w:rsidR="00FD57F4" w:rsidRPr="00FD57F4">
        <w:rPr>
          <w:rFonts w:cs="Arial"/>
          <w:szCs w:val="24"/>
          <w:vertAlign w:val="superscript"/>
        </w:rPr>
        <w:t>28</w:t>
      </w:r>
      <w:r w:rsidR="00307302" w:rsidRPr="002646F6">
        <w:fldChar w:fldCharType="end"/>
      </w:r>
      <w:r w:rsidR="00307302" w:rsidRPr="002646F6">
        <w:t xml:space="preserve"> </w:t>
      </w:r>
      <w:r w:rsidR="00802858" w:rsidRPr="002F71EA">
        <w:t xml:space="preserve">A UK study of HER2-positive BC </w:t>
      </w:r>
      <w:r w:rsidR="00802858" w:rsidRPr="002F71EA">
        <w:lastRenderedPageBreak/>
        <w:t xml:space="preserve">found that metastatic BC is associated with significantly lower health-related </w:t>
      </w:r>
      <w:r>
        <w:t>quality-of-life</w:t>
      </w:r>
      <w:r w:rsidR="00802858" w:rsidRPr="002F71EA">
        <w:t xml:space="preserve"> </w:t>
      </w:r>
      <w:r w:rsidR="00802858" w:rsidRPr="002646F6">
        <w:t>(HRQoL</w:t>
      </w:r>
      <w:r w:rsidR="00C94E72">
        <w:t>)</w:t>
      </w:r>
      <w:r w:rsidR="00802858" w:rsidRPr="002646F6">
        <w:t xml:space="preserve"> measured by FACT-B</w:t>
      </w:r>
      <w:r w:rsidR="00BC31E9" w:rsidRPr="002612F7">
        <w:rPr>
          <w:rStyle w:val="FootnoteReference"/>
        </w:rPr>
        <w:footnoteReference w:id="2"/>
      </w:r>
      <w:r w:rsidR="00802858" w:rsidRPr="002646F6">
        <w:t xml:space="preserve"> and </w:t>
      </w:r>
      <w:r w:rsidR="004777C3" w:rsidRPr="002646F6">
        <w:t>FACT-G</w:t>
      </w:r>
      <w:r w:rsidR="00BC31E9" w:rsidRPr="002612F7">
        <w:rPr>
          <w:rStyle w:val="FootnoteReference"/>
        </w:rPr>
        <w:footnoteReference w:id="3"/>
      </w:r>
      <w:r w:rsidR="00802858" w:rsidRPr="002646F6">
        <w:t xml:space="preserve">, </w:t>
      </w:r>
      <w:r w:rsidR="00802858" w:rsidRPr="002F71EA">
        <w:t xml:space="preserve">and </w:t>
      </w:r>
      <w:r w:rsidR="00802858" w:rsidRPr="002646F6">
        <w:t>EQ-5D-5L</w:t>
      </w:r>
      <w:r w:rsidR="00661253" w:rsidRPr="002612F7">
        <w:rPr>
          <w:rStyle w:val="FootnoteReference"/>
        </w:rPr>
        <w:footnoteReference w:id="4"/>
      </w:r>
      <w:r w:rsidR="00802858" w:rsidRPr="002646F6">
        <w:t xml:space="preserve"> </w:t>
      </w:r>
      <w:r w:rsidR="00802858" w:rsidRPr="002F71EA">
        <w:t>than both early BC in remission and early BC undergoing active treatment after surgery (all p&lt;0.001).</w:t>
      </w:r>
      <w:r w:rsidR="00A92137" w:rsidRPr="002F71EA">
        <w:fldChar w:fldCharType="begin"/>
      </w:r>
      <w:r w:rsidR="00CA6345">
        <w:instrText xml:space="preserve"> ADDIN ZOTERO_ITEM CSL_CITATION {"citationID":"3cGuE3Uq","properties":{"formattedCitation":"\\super 28\\nosupersub{}","plainCitation":"28","noteIndex":0},"citationItems":[{"id":66113,"uris":["http://zotero.org/groups/4797619/items/RHJ4MR8W"],"itemData":{"id":66113,"type":"article-journal","abstract":"The impact of different disease stages and treatment for human epidermal growth factor 2 positive (HER2-positive) breast cancer (BC) on work productivity and health-related quality of life (HRQoL) is poorly understood.","container-title":"Health and Quality of Life Outcomes","DOI":"10.1186/s12955-020-01603-w","ISSN":"1477-7525","issue":"1","journalAbbreviation":"Health and Quality of Life Outcomes","page":"353","source":"BioMed Central","title":"Health-related quality of life and work productivity in UK patients with HER2-positive breast cancer: a cross-sectional study evaluating the relationships between disease and treatment stage","title-short":"Health-related quality of life and work productivity in UK patients with HER2-positive breast cancer","volume":"18","author":[{"family":"Verrill","given":"Mark"},{"family":"Wardley","given":"Andrew M."},{"family":"Retzler","given":"Jenny"},{"family":"Smith","given":"Adam B."},{"family":"Bottomley","given":"Catherine"},{"family":"Ní Dhochartaigh","given":"Sorcha"},{"family":"Tran","given":"Irwin"},{"family":"Leslie","given":"Iain"},{"family":"Schmid","given":"Peter"}],"issued":{"date-parts":[["2020",11,2]]}}}],"schema":"https://github.com/citation-style-language/schema/raw/master/csl-citation.json"} </w:instrText>
      </w:r>
      <w:r w:rsidR="00A92137" w:rsidRPr="002F71EA">
        <w:fldChar w:fldCharType="separate"/>
      </w:r>
      <w:r w:rsidR="00FD57F4" w:rsidRPr="00FD57F4">
        <w:rPr>
          <w:rFonts w:cs="Arial"/>
          <w:szCs w:val="24"/>
          <w:vertAlign w:val="superscript"/>
        </w:rPr>
        <w:t>28</w:t>
      </w:r>
      <w:r w:rsidR="00A92137" w:rsidRPr="002F71EA">
        <w:fldChar w:fldCharType="end"/>
      </w:r>
      <w:r w:rsidR="00802858" w:rsidRPr="002F71EA">
        <w:t xml:space="preserve"> </w:t>
      </w:r>
      <w:r w:rsidR="004855CE" w:rsidRPr="002F71EA">
        <w:t>Overall, patients with mBC reported significantly higher activity impairment – measured using the</w:t>
      </w:r>
      <w:r w:rsidR="00B2787D">
        <w:t xml:space="preserve"> </w:t>
      </w:r>
      <w:r w:rsidR="004855CE" w:rsidRPr="002F71EA">
        <w:t>WPAI</w:t>
      </w:r>
      <w:r w:rsidR="00661253" w:rsidRPr="002612F7">
        <w:rPr>
          <w:rStyle w:val="FootnoteReference"/>
        </w:rPr>
        <w:footnoteReference w:id="5"/>
      </w:r>
      <w:r w:rsidR="004855CE" w:rsidRPr="002F71EA">
        <w:t xml:space="preserve"> activity impairment subscale – compared with patients with early BC on treatment post-surgery or after treatment completion (48.1% vs. 34.0% vs. 27.6%; p&lt;0.001).</w:t>
      </w:r>
      <w:r w:rsidR="009C5987" w:rsidRPr="002F71EA">
        <w:fldChar w:fldCharType="begin"/>
      </w:r>
      <w:r w:rsidR="00CA6345">
        <w:instrText xml:space="preserve"> ADDIN ZOTERO_ITEM CSL_CITATION {"citationID":"3lXeo5qL","properties":{"formattedCitation":"\\super 28\\nosupersub{}","plainCitation":"28","noteIndex":0},"citationItems":[{"id":66113,"uris":["http://zotero.org/groups/4797619/items/RHJ4MR8W"],"itemData":{"id":66113,"type":"article-journal","abstract":"The impact of different disease stages and treatment for human epidermal growth factor 2 positive (HER2-positive) breast cancer (BC) on work productivity and health-related quality of life (HRQoL) is poorly understood.","container-title":"Health and Quality of Life Outcomes","DOI":"10.1186/s12955-020-01603-w","ISSN":"1477-7525","issue":"1","journalAbbreviation":"Health and Quality of Life Outcomes","page":"353","source":"BioMed Central","title":"Health-related quality of life and work productivity in UK patients with HER2-positive breast cancer: a cross-sectional study evaluating the relationships between disease and treatment stage","title-short":"Health-related quality of life and work productivity in UK patients with HER2-positive breast cancer","volume":"18","author":[{"family":"Verrill","given":"Mark"},{"family":"Wardley","given":"Andrew M."},{"family":"Retzler","given":"Jenny"},{"family":"Smith","given":"Adam B."},{"family":"Bottomley","given":"Catherine"},{"family":"Ní Dhochartaigh","given":"Sorcha"},{"family":"Tran","given":"Irwin"},{"family":"Leslie","given":"Iain"},{"family":"Schmid","given":"Peter"}],"issued":{"date-parts":[["2020",11,2]]}}}],"schema":"https://github.com/citation-style-language/schema/raw/master/csl-citation.json"} </w:instrText>
      </w:r>
      <w:r w:rsidR="009C5987" w:rsidRPr="002F71EA">
        <w:fldChar w:fldCharType="separate"/>
      </w:r>
      <w:r w:rsidR="00FD57F4" w:rsidRPr="00FD57F4">
        <w:rPr>
          <w:rFonts w:cs="Arial"/>
          <w:szCs w:val="24"/>
          <w:vertAlign w:val="superscript"/>
        </w:rPr>
        <w:t>28</w:t>
      </w:r>
      <w:r w:rsidR="009C5987" w:rsidRPr="002F71EA">
        <w:fldChar w:fldCharType="end"/>
      </w:r>
      <w:r w:rsidR="001E21A1" w:rsidRPr="002F71EA">
        <w:t xml:space="preserve"> Moreover, mBC imposes restrictions on patients in terms of self-care and usual activities, with more patients reporting moderate or worse problems across EQ-5D-5L domains than in early BC (</w:t>
      </w:r>
      <w:r w:rsidR="00A34481" w:rsidRPr="002F71EA">
        <w:rPr>
          <w:b/>
          <w:bCs/>
        </w:rPr>
        <w:fldChar w:fldCharType="begin"/>
      </w:r>
      <w:r w:rsidR="00A34481" w:rsidRPr="002F71EA">
        <w:rPr>
          <w:b/>
          <w:bCs/>
        </w:rPr>
        <w:instrText xml:space="preserve"> REF _Ref121943363 \h  \* MERGEFORMAT </w:instrText>
      </w:r>
      <w:r w:rsidR="00A34481" w:rsidRPr="002F71EA">
        <w:rPr>
          <w:b/>
          <w:bCs/>
        </w:rPr>
      </w:r>
      <w:r w:rsidR="00A34481" w:rsidRPr="002F71EA">
        <w:rPr>
          <w:b/>
          <w:bCs/>
        </w:rPr>
        <w:fldChar w:fldCharType="separate"/>
      </w:r>
      <w:r w:rsidR="00145F42" w:rsidRPr="00145F42">
        <w:rPr>
          <w:b/>
          <w:bCs/>
        </w:rPr>
        <w:t xml:space="preserve">Figure </w:t>
      </w:r>
      <w:r w:rsidR="00145F42" w:rsidRPr="00145F42">
        <w:rPr>
          <w:b/>
          <w:bCs/>
          <w:noProof/>
        </w:rPr>
        <w:t>4</w:t>
      </w:r>
      <w:r w:rsidR="00A34481" w:rsidRPr="002F71EA">
        <w:rPr>
          <w:b/>
          <w:bCs/>
        </w:rPr>
        <w:fldChar w:fldCharType="end"/>
      </w:r>
      <w:r w:rsidR="001E21A1" w:rsidRPr="002F71EA">
        <w:t>).</w:t>
      </w:r>
      <w:r w:rsidR="001E21A1" w:rsidRPr="002F71EA">
        <w:fldChar w:fldCharType="begin"/>
      </w:r>
      <w:r w:rsidR="00CA6345">
        <w:instrText xml:space="preserve"> ADDIN ZOTERO_ITEM CSL_CITATION {"citationID":"dNDGWyLd","properties":{"formattedCitation":"\\super 28\\nosupersub{}","plainCitation":"28","noteIndex":0},"citationItems":[{"id":66113,"uris":["http://zotero.org/groups/4797619/items/RHJ4MR8W"],"itemData":{"id":66113,"type":"article-journal","abstract":"The impact of different disease stages and treatment for human epidermal growth factor 2 positive (HER2-positive) breast cancer (BC) on work productivity and health-related quality of life (HRQoL) is poorly understood.","container-title":"Health and Quality of Life Outcomes","DOI":"10.1186/s12955-020-01603-w","ISSN":"1477-7525","issue":"1","journalAbbreviation":"Health and Quality of Life Outcomes","page":"353","source":"BioMed Central","title":"Health-related quality of life and work productivity in UK patients with HER2-positive breast cancer: a cross-sectional study evaluating the relationships between disease and treatment stage","title-short":"Health-related quality of life and work productivity in UK patients with HER2-positive breast cancer","volume":"18","author":[{"family":"Verrill","given":"Mark"},{"family":"Wardley","given":"Andrew M."},{"family":"Retzler","given":"Jenny"},{"family":"Smith","given":"Adam B."},{"family":"Bottomley","given":"Catherine"},{"family":"Ní Dhochartaigh","given":"Sorcha"},{"family":"Tran","given":"Irwin"},{"family":"Leslie","given":"Iain"},{"family":"Schmid","given":"Peter"}],"issued":{"date-parts":[["2020",11,2]]}}}],"schema":"https://github.com/citation-style-language/schema/raw/master/csl-citation.json"} </w:instrText>
      </w:r>
      <w:r w:rsidR="001E21A1" w:rsidRPr="002F71EA">
        <w:fldChar w:fldCharType="separate"/>
      </w:r>
      <w:r w:rsidR="00FD57F4" w:rsidRPr="00FD57F4">
        <w:rPr>
          <w:rFonts w:cs="Arial"/>
          <w:szCs w:val="24"/>
          <w:vertAlign w:val="superscript"/>
        </w:rPr>
        <w:t>28</w:t>
      </w:r>
      <w:r w:rsidR="001E21A1" w:rsidRPr="002F71EA">
        <w:fldChar w:fldCharType="end"/>
      </w:r>
    </w:p>
    <w:p w14:paraId="2532174E" w14:textId="4DD0C37E" w:rsidR="00AC2997" w:rsidRPr="002A39D1" w:rsidRDefault="00A34481" w:rsidP="00A34481">
      <w:pPr>
        <w:pStyle w:val="Caption"/>
        <w:rPr>
          <w:bCs/>
        </w:rPr>
      </w:pPr>
      <w:bookmarkStart w:id="59" w:name="_Ref121943363"/>
      <w:bookmarkStart w:id="60" w:name="_Ref117773785"/>
      <w:bookmarkStart w:id="61" w:name="_Toc129350930"/>
      <w:bookmarkEnd w:id="57"/>
      <w:r>
        <w:t xml:space="preserve">Figure </w:t>
      </w:r>
      <w:r>
        <w:fldChar w:fldCharType="begin"/>
      </w:r>
      <w:r>
        <w:instrText>SEQ Figure \* ARABIC</w:instrText>
      </w:r>
      <w:r>
        <w:fldChar w:fldCharType="separate"/>
      </w:r>
      <w:r w:rsidR="00145F42">
        <w:rPr>
          <w:noProof/>
        </w:rPr>
        <w:t>4</w:t>
      </w:r>
      <w:r>
        <w:fldChar w:fldCharType="end"/>
      </w:r>
      <w:bookmarkEnd w:id="59"/>
      <w:r>
        <w:t>: Patient QoL according to EQ-5D-5L by disease stage</w:t>
      </w:r>
      <w:bookmarkEnd w:id="60"/>
      <w:bookmarkEnd w:id="61"/>
    </w:p>
    <w:tbl>
      <w:tblPr>
        <w:tblStyle w:val="Figurebox"/>
        <w:tblW w:w="9026" w:type="dxa"/>
        <w:tblLook w:val="04A0" w:firstRow="1" w:lastRow="0" w:firstColumn="1" w:lastColumn="0" w:noHBand="0" w:noVBand="1"/>
      </w:tblPr>
      <w:tblGrid>
        <w:gridCol w:w="9026"/>
      </w:tblGrid>
      <w:tr w:rsidR="00405504" w14:paraId="3C834E4B" w14:textId="77777777" w:rsidTr="009506B5">
        <w:tc>
          <w:tcPr>
            <w:tcW w:w="90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4858CB" w14:textId="12326DF9" w:rsidR="00405504" w:rsidRPr="0039456B" w:rsidRDefault="00417C92" w:rsidP="009506B5">
            <w:pPr>
              <w:pStyle w:val="Caption"/>
              <w:spacing w:before="120" w:after="120"/>
              <w:jc w:val="center"/>
            </w:pPr>
            <w:r>
              <w:rPr>
                <w:noProof/>
              </w:rPr>
              <w:drawing>
                <wp:inline distT="0" distB="0" distL="0" distR="0" wp14:anchorId="228575FE" wp14:editId="1B0B0DB9">
                  <wp:extent cx="5343277" cy="2453195"/>
                  <wp:effectExtent l="0" t="0" r="0" b="4445"/>
                  <wp:docPr id="8" name="Picture 8" descr="A picture containing text, building, window bli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building, window blin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45917" cy="2454407"/>
                          </a:xfrm>
                          <a:prstGeom prst="rect">
                            <a:avLst/>
                          </a:prstGeom>
                        </pic:spPr>
                      </pic:pic>
                    </a:graphicData>
                  </a:graphic>
                </wp:inline>
              </w:drawing>
            </w:r>
          </w:p>
        </w:tc>
      </w:tr>
      <w:tr w:rsidR="00405504" w14:paraId="2D97E344" w14:textId="77777777" w:rsidTr="009506B5">
        <w:tc>
          <w:tcPr>
            <w:tcW w:w="9026" w:type="dxa"/>
            <w:tcBorders>
              <w:top w:val="single" w:sz="4" w:space="0" w:color="000000" w:themeColor="text1"/>
            </w:tcBorders>
          </w:tcPr>
          <w:p w14:paraId="145F7854" w14:textId="01B69F0E" w:rsidR="00405504" w:rsidRDefault="00293466" w:rsidP="00105B98">
            <w:pPr>
              <w:pStyle w:val="Footnotes"/>
              <w:rPr>
                <w:noProof/>
              </w:rPr>
            </w:pPr>
            <w:r w:rsidRPr="00293466">
              <w:t xml:space="preserve">Abbreviations: BC, breast cancer; QoL, </w:t>
            </w:r>
            <w:r w:rsidR="005754E8">
              <w:t>quality-of-</w:t>
            </w:r>
            <w:r w:rsidRPr="00293466">
              <w:t>life.</w:t>
            </w:r>
            <w:r w:rsidRPr="00293466">
              <w:br/>
              <w:t>Source: adapted from Verrill et al, 2020.</w:t>
            </w:r>
            <w:r w:rsidR="00F8549A">
              <w:fldChar w:fldCharType="begin"/>
            </w:r>
            <w:r w:rsidR="00CA6345">
              <w:instrText xml:space="preserve"> ADDIN ZOTERO_ITEM CSL_CITATION {"citationID":"W8h0x5nv","properties":{"formattedCitation":"\\super 28\\nosupersub{}","plainCitation":"28","noteIndex":0},"citationItems":[{"id":66113,"uris":["http://zotero.org/groups/4797619/items/RHJ4MR8W"],"itemData":{"id":66113,"type":"article-journal","abstract":"The impact of different disease stages and treatment for human epidermal growth factor 2 positive (HER2-positive) breast cancer (BC) on work productivity and health-related quality of life (HRQoL) is poorly understood.","container-title":"Health and Quality of Life Outcomes","DOI":"10.1186/s12955-020-01603-w","ISSN":"1477-7525","issue":"1","journalAbbreviation":"Health and Quality of Life Outcomes","page":"353","source":"BioMed Central","title":"Health-related quality of life and work productivity in UK patients with HER2-positive breast cancer: a cross-sectional study evaluating the relationships between disease and treatment stage","title-short":"Health-related quality of life and work productivity in UK patients with HER2-positive breast cancer","volume":"18","author":[{"family":"Verrill","given":"Mark"},{"family":"Wardley","given":"Andrew M."},{"family":"Retzler","given":"Jenny"},{"family":"Smith","given":"Adam B."},{"family":"Bottomley","given":"Catherine"},{"family":"Ní Dhochartaigh","given":"Sorcha"},{"family":"Tran","given":"Irwin"},{"family":"Leslie","given":"Iain"},{"family":"Schmid","given":"Peter"}],"issued":{"date-parts":[["2020",11,2]]}}}],"schema":"https://github.com/citation-style-language/schema/raw/master/csl-citation.json"} </w:instrText>
            </w:r>
            <w:r w:rsidR="00F8549A">
              <w:fldChar w:fldCharType="separate"/>
            </w:r>
            <w:r w:rsidR="00FD57F4" w:rsidRPr="00FD57F4">
              <w:rPr>
                <w:rFonts w:cs="Arial"/>
                <w:szCs w:val="24"/>
                <w:vertAlign w:val="superscript"/>
              </w:rPr>
              <w:t>28</w:t>
            </w:r>
            <w:r w:rsidR="00F8549A">
              <w:fldChar w:fldCharType="end"/>
            </w:r>
            <w:r w:rsidR="00F8549A" w:rsidRPr="00293466" w:rsidDel="00F8549A">
              <w:t xml:space="preserve"> </w:t>
            </w:r>
          </w:p>
        </w:tc>
      </w:tr>
    </w:tbl>
    <w:p w14:paraId="51C7B0A0" w14:textId="5D70A14A" w:rsidR="003A610E" w:rsidRPr="00BA61B4" w:rsidRDefault="003A5AC3" w:rsidP="00405504">
      <w:pPr>
        <w:pStyle w:val="Body"/>
      </w:pPr>
      <w:r w:rsidRPr="002646F6">
        <w:t>I</w:t>
      </w:r>
      <w:r w:rsidR="002F710C" w:rsidRPr="002646F6">
        <w:t>n</w:t>
      </w:r>
      <w:r w:rsidR="00056E0F" w:rsidRPr="002646F6">
        <w:t xml:space="preserve"> </w:t>
      </w:r>
      <w:r w:rsidR="00AA0DC6" w:rsidRPr="002646F6">
        <w:t xml:space="preserve">a US study of patients with </w:t>
      </w:r>
      <w:r w:rsidR="003A610E" w:rsidRPr="002646F6">
        <w:t>HER2-negative BC</w:t>
      </w:r>
      <w:r w:rsidR="00AA248D" w:rsidRPr="002646F6">
        <w:t>,</w:t>
      </w:r>
      <w:r w:rsidR="005D1611" w:rsidRPr="002646F6">
        <w:t xml:space="preserve"> </w:t>
      </w:r>
      <w:r w:rsidR="00AA0DC6" w:rsidRPr="002646F6">
        <w:t xml:space="preserve">a </w:t>
      </w:r>
      <w:r w:rsidR="00AA248D" w:rsidRPr="002646F6">
        <w:t xml:space="preserve">more advanced disease </w:t>
      </w:r>
      <w:r w:rsidRPr="002646F6">
        <w:t xml:space="preserve">stage </w:t>
      </w:r>
      <w:r w:rsidR="00AA0DC6" w:rsidRPr="002646F6">
        <w:t>was</w:t>
      </w:r>
      <w:r w:rsidRPr="002646F6">
        <w:t xml:space="preserve"> associated with lower</w:t>
      </w:r>
      <w:r w:rsidR="00AA248D" w:rsidRPr="002646F6">
        <w:t xml:space="preserve"> QoL</w:t>
      </w:r>
      <w:r w:rsidR="00AA0DC6" w:rsidRPr="002646F6">
        <w:t>,</w:t>
      </w:r>
      <w:r w:rsidR="00AA248D" w:rsidRPr="002646F6">
        <w:t xml:space="preserve"> </w:t>
      </w:r>
      <w:r w:rsidR="005D1611" w:rsidRPr="002646F6">
        <w:t xml:space="preserve">as </w:t>
      </w:r>
      <w:r w:rsidR="00AA248D" w:rsidRPr="002646F6">
        <w:t xml:space="preserve">measured </w:t>
      </w:r>
      <w:r w:rsidR="005D1611" w:rsidRPr="002646F6">
        <w:t>by</w:t>
      </w:r>
      <w:r w:rsidR="00AA248D" w:rsidRPr="002646F6">
        <w:t xml:space="preserve"> FACT-B</w:t>
      </w:r>
      <w:r w:rsidR="00103B99" w:rsidRPr="002646F6">
        <w:t xml:space="preserve"> (p</w:t>
      </w:r>
      <w:r w:rsidR="006564A7" w:rsidRPr="002646F6">
        <w:t>&lt;</w:t>
      </w:r>
      <w:r w:rsidR="00103B99" w:rsidRPr="002646F6">
        <w:t>0.05).</w:t>
      </w:r>
      <w:r w:rsidR="003A610E" w:rsidRPr="00BA61B4">
        <w:fldChar w:fldCharType="begin"/>
      </w:r>
      <w:r w:rsidR="00CA6345">
        <w:instrText xml:space="preserve"> ADDIN ZOTERO_ITEM CSL_CITATION {"citationID":"rrn47mNH","properties":{"formattedCitation":"\\super 95\\nosupersub{}","plainCitation":"95","noteIndex":0},"citationItems":[{"id":65931,"uris":["http://zotero.org/groups/4797619/items/SCIQ9MNX"],"itemData":{"id":65931,"type":"article-journal","abstract":"Purpose\nFew studies have assessed quality of life (QOL) of women diagnosed with breast cancer within the first few weeks of their initial diagnosis. We describe QOL among 950 women recently diagnosed with invasive breast cancer.\n\nMethods\nStarting in January 2006, we invited women aged ≥21 years who were diagnosed with first primary invasive breast cancer within Kaiser Permanente Northern California (KPNC) to enroll in the Pathways Study, a prospective study of breast cancer survivorship. QOL was measured using the Functional Assessment of Cancer Therapy-Breast Cancer (FACT-B), along with sociodemographic and social support information. Clinical characteristics were obtained from the KPNC cancer registry and electronic medical record. We used multivariable linear regression models to identify factors associated with QOL scores calculated from the FACT-B.\n\nResults\nThe mean age ± SD of the sample was 59.6 years (±11.9 years), and the mean time ± SD from diagnosis until interview was 8.0 weeks (±3.2 weeks). Younger age at diagnosis was associated with lower scores in all QOL domains (p&lt;0.01), and later stage at diagnosis was associated with lower scores in all domains (p&lt;0.05) except for social well-being. Higher levels of social support were associated with higher QOL except for physical well-being (p&lt;0.05). These associations were stronger within two months of breast cancer diagnosis.\n\nConclusion\nQuality of life as influenced by a diagnosis of breast cancer is an important factor in cancer survivorship. Age, stage at diagnosis, and social support are key factors in this important variable.","container-title":"Breast cancer research and treatment","DOI":"10.1007/s10549-010-0764-8","ISSN":"0167-6806","issue":"2","journalAbbreviation":"Breast Cancer Res Treat","note":"PMID: 20140494\nPMCID: PMC2935682","page":"507-524","source":"PubMed Central","title":"Quality of Life among Women Recently Diagnosed with Invasive Breast Cancer: The Pathways Study","title-short":"Quality of Life among Women Recently Diagnosed with Invasive Breast Cancer","volume":"123","author":[{"family":"Kwan","given":"Marilyn L."},{"family":"Ergas","given":"Isaac Joshua"},{"family":"Somkin","given":"Carol P."},{"family":"Quesenberry","given":"Charles P."},{"family":"Neugut","given":"Alfred I."},{"family":"Hershman","given":"Dawn L."},{"family":"Mandelblatt","given":"Jeanne"},{"family":"Pelayo","given":"Michael P."},{"family":"Timperi","given":"Allegra W."},{"family":"Miles","given":"Sunita Q."},{"family":"Kushi","given":"Lawrence H."}],"issued":{"date-parts":[["2010",9]]}}}],"schema":"https://github.com/citation-style-language/schema/raw/master/csl-citation.json"} </w:instrText>
      </w:r>
      <w:r w:rsidR="003A610E" w:rsidRPr="00BA61B4">
        <w:fldChar w:fldCharType="separate"/>
      </w:r>
      <w:r w:rsidR="00CA6345" w:rsidRPr="00CA6345">
        <w:rPr>
          <w:rFonts w:cs="Arial"/>
          <w:szCs w:val="24"/>
          <w:vertAlign w:val="superscript"/>
        </w:rPr>
        <w:t>95</w:t>
      </w:r>
      <w:r w:rsidR="003A610E" w:rsidRPr="00BA61B4">
        <w:fldChar w:fldCharType="end"/>
      </w:r>
      <w:r w:rsidR="003A610E" w:rsidRPr="002646F6">
        <w:t xml:space="preserve"> An</w:t>
      </w:r>
      <w:r w:rsidR="00500CE3" w:rsidRPr="002646F6">
        <w:t>other</w:t>
      </w:r>
      <w:r w:rsidR="003A610E" w:rsidRPr="002646F6">
        <w:t xml:space="preserve"> study of HER2-negative mBC found disease progression to be associated with worsening of physical symptoms, treatment-emergent adverse events (AEs), acute distress</w:t>
      </w:r>
      <w:r w:rsidR="00500CE3" w:rsidRPr="002646F6">
        <w:t>,</w:t>
      </w:r>
      <w:r w:rsidR="003A610E" w:rsidRPr="002646F6">
        <w:t xml:space="preserve"> and impaired performance scores, all of which are likely to have a negative impact on patient QoL.</w:t>
      </w:r>
      <w:r w:rsidR="003A610E" w:rsidRPr="002646F6">
        <w:fldChar w:fldCharType="begin"/>
      </w:r>
      <w:r w:rsidR="00CA6345">
        <w:instrText xml:space="preserve"> ADDIN ZOTERO_ITEM CSL_CITATION {"citationID":"Y8ST4Hvq","properties":{"formattedCitation":"\\super 96\\nosupersub{}","plainCitation":"96","noteIndex":0},"citationItems":[{"id":65927,"uris":["http://zotero.org/groups/4797619/items/N937K83G"],"itemData":{"id":65927,"type":"article-journal","abstract":"BACKGROUND: This retrospective study evaluated the impact of disease progression and of specific sites of metastasis on patient reported outcomes (PROs) that assess symptom burden and health related quality of life (HRQoL) in women with metastatic breast cancer (mBC).\nMETHODS: HER-2 negative mBC patients (n = 102) were enrolled from 7 U.S. community oncology practices. Demographic, disease and treatment characteristics were abstracted from electronic medical records and linked to archived Patient Care Monitor (PCM) assessments. The PCM is a self-report measure of symptom burden and HRQoL administered as part of routine care in participating practices. Linear mixed models were used to examine change in PCM scores over time.\nRESULTS: Mean age was 57 years, with 72% of patients Caucasian, and 25% African American. Median time from mBC diagnosis to first disease progression was 8.8 months. Metastasis to bone (60%), lung (28%) and liver (26%) predominated at initial metastatic diagnosis. Results showed that PCM items assessing fatigue, physical pain and trouble sleeping were sensitive to either general effects of disease progression or to effects associated with specific sites of metastasis. Progression of disease was also associated with modest but significant worsening of General Physical Symptoms, Treatment Side Effects, Acute Distress and Impaired Performance index scores. In addition, there were marked detrimental effects of liver metastasis on Treatment Side Effects, and of brain metastasis on Acute Distress.\nCONCLUSIONS: Disease progression has a detrimental impact on cancer-related symptoms. Delaying disease progression may have a positive impact on patients' HRQoL.","container-title":"Health and Quality of Life Outcomes","DOI":"10.1186/1477-7525-9-46","ISSN":"1477-7525","journalAbbreviation":"Health Qual Life Outcomes","language":"eng","note":"PMID: 21689425\nPMCID: PMC3142199","page":"46","source":"PubMed","title":"Retrospective study of the effect of disease progression on patient reported outcomes in HER-2 negative metastatic breast cancer patients","volume":"9","author":[{"family":"Walker","given":"Mark S."},{"family":"Hasan","given":"Murad"},{"family":"Yim","given":"Yeun Mi"},{"family":"Yu","given":"Elaine"},{"family":"Stepanski","given":"Edward J."},{"family":"Schwartzberg","given":"Lee S."}],"issued":{"date-parts":[["2011",6,20]]}}}],"schema":"https://github.com/citation-style-language/schema/raw/master/csl-citation.json"} </w:instrText>
      </w:r>
      <w:r w:rsidR="003A610E" w:rsidRPr="002646F6">
        <w:fldChar w:fldCharType="separate"/>
      </w:r>
      <w:r w:rsidR="00CA6345" w:rsidRPr="00CA6345">
        <w:rPr>
          <w:rFonts w:cs="Arial"/>
          <w:szCs w:val="24"/>
          <w:vertAlign w:val="superscript"/>
        </w:rPr>
        <w:t>96</w:t>
      </w:r>
      <w:r w:rsidR="003A610E" w:rsidRPr="002646F6">
        <w:fldChar w:fldCharType="end"/>
      </w:r>
      <w:r w:rsidR="003A610E" w:rsidRPr="002646F6" w:rsidDel="00C115F6">
        <w:t xml:space="preserve"> </w:t>
      </w:r>
    </w:p>
    <w:p w14:paraId="7D0E6476" w14:textId="7B924527" w:rsidR="00C46F01" w:rsidRPr="00BA61B4" w:rsidRDefault="00C46F01" w:rsidP="00405504">
      <w:pPr>
        <w:pStyle w:val="Body"/>
      </w:pPr>
      <w:r w:rsidRPr="00BA61B4">
        <w:t>Metastatic BC also impacts QoL in ways specific to the metastatic location. For example, in patients with bone metastases, skeletal-related events (SREs</w:t>
      </w:r>
      <w:r w:rsidRPr="002612F7">
        <w:rPr>
          <w:rStyle w:val="FootnoteReference"/>
        </w:rPr>
        <w:footnoteReference w:id="6"/>
      </w:r>
      <w:r w:rsidRPr="00BA61B4">
        <w:t>) were found to cause substantial decrement in QoL – assessed using the Brief Pain Inventory – in a pooled analysis of 5,543 patients with solid tumours (including BC) from three Phase III trials.</w:t>
      </w:r>
      <w:r w:rsidRPr="00BA61B4">
        <w:fldChar w:fldCharType="begin"/>
      </w:r>
      <w:r w:rsidR="00CA6345">
        <w:instrText xml:space="preserve"> ADDIN ZOTERO_ITEM CSL_CITATION {"citationID":"Urgfp7fw","properties":{"formattedCitation":"\\super 97\\nosupersub{}","plainCitation":"97","noteIndex":0},"citationItems":[{"id":65901,"uris":["http://zotero.org/groups/4797619/items/LK65JRNJ"],"itemData":{"id":65901,"type":"article-journal","abstract":"PURPOSE: Bone metastases secondary to solid tumors increase the risk of skeletal-related events (SREs), including the occurrence of pathological fracture (PF), radiation to bone (RB), surgery to bone (SB), and spinal cord compression (SCC). The aim of this study was to evaluate the impact of SREs on patients' pain, analgesic use, and pain interference with daily functioning.\nMETHODS: Data were combined from patients with solid tumors and bone metastases who received denosumab or zoledronic acid across three identically designed phase 3 trials (N = 5543). Pain severity (worst pain) and pain interference were assessed using the Brief Pain Inventory at baseline and each monthly visit. Analgesic use was quantified using the Analgesic Quantification Algorithm.\nRESULTS: The proportion of patients with moderate/severe pain and strong opioid use generally increased in the 6 months preceding an SRE and remained elevated, while they remained relatively consistent over time in patients without an SRE. Regression analysis indicated that all SRE types were significantly associated with an increased risk of progression to moderate/severe pain and strong opioid use. PF, RB, and SCC were associated with significantly greater risk of pain interference overall. Results were similar for pain interference with emotional well-being. All SRE types were associated with significantly greater risk of pain interference with physical function.\nCONCLUSIONS: SREs are associated with increased pain and analgesic use in patients with bone metastases. Treatments that prevent SREs may decrease pain and the need for opioid analgesics and reduce the impact of pain on daily functioning.","container-title":"Supportive Care in Cancer: Official Journal of the Multinational Association of Supportive Care in Cancer","DOI":"10.1007/s00520-015-2908-1","ISSN":"1433-7339","issue":"3","journalAbbreviation":"Support Care Cancer","language":"eng","note":"PMID: 26329397\nPMCID: PMC4729787","page":"1327-1337","source":"PubMed","title":"Pain and analgesic use associated with skeletal-related events in patients with advanced cancer and bone metastases","volume":"24","author":[{"family":"Moos","given":"Roger","non-dropping-particle":"von"},{"family":"Body","given":"Jean-Jacques"},{"family":"Egerdie","given":"Blair"},{"family":"Stopeck","given":"Alison"},{"family":"Brown","given":"Janet"},{"family":"Fallowfield","given":"Lesley"},{"family":"Patrick","given":"Donald L."},{"family":"Cleeland","given":"Charles"},{"family":"Damyanov","given":"Danail"},{"family":"Palazzo","given":"Felipe Salvador"},{"family":"Marx","given":"Gavin"},{"family":"Zhou","given":"Ying"},{"family":"Braun","given":"Ada"},{"family":"Balakumaran","given":"Arun"},{"family":"Qian","given":"Yi"}],"issued":{"date-parts":[["2016",3]]}}}],"schema":"https://github.com/citation-style-language/schema/raw/master/csl-citation.json"} </w:instrText>
      </w:r>
      <w:r w:rsidRPr="00BA61B4">
        <w:fldChar w:fldCharType="separate"/>
      </w:r>
      <w:r w:rsidR="00CA6345" w:rsidRPr="00CA6345">
        <w:rPr>
          <w:rFonts w:cs="Arial"/>
          <w:szCs w:val="24"/>
          <w:vertAlign w:val="superscript"/>
        </w:rPr>
        <w:t>97</w:t>
      </w:r>
      <w:r w:rsidRPr="00BA61B4">
        <w:fldChar w:fldCharType="end"/>
      </w:r>
      <w:r w:rsidRPr="00BA61B4">
        <w:t xml:space="preserve"> In the BC population</w:t>
      </w:r>
      <w:r w:rsidR="00854037" w:rsidRPr="00BA61B4">
        <w:t xml:space="preserve"> specifically</w:t>
      </w:r>
      <w:r w:rsidRPr="00BA61B4">
        <w:t xml:space="preserve">, </w:t>
      </w:r>
      <w:r w:rsidR="00854037" w:rsidRPr="00BA61B4">
        <w:t>there was a</w:t>
      </w:r>
      <w:r w:rsidRPr="00BA61B4">
        <w:t xml:space="preserve"> significant risk of clinically meaningful worsening</w:t>
      </w:r>
      <w:r w:rsidRPr="002612F7">
        <w:rPr>
          <w:rStyle w:val="FootnoteReference"/>
        </w:rPr>
        <w:footnoteReference w:id="7"/>
      </w:r>
      <w:r w:rsidRPr="00BA61B4">
        <w:t xml:space="preserve"> from baseline in pain interference</w:t>
      </w:r>
      <w:r w:rsidR="004D78B8" w:rsidRPr="00BA61B4">
        <w:t xml:space="preserve"> </w:t>
      </w:r>
      <w:r w:rsidRPr="00BA61B4">
        <w:t>overall and with physical activity</w:t>
      </w:r>
      <w:r w:rsidR="004D78B8" w:rsidRPr="00BA61B4">
        <w:t>,</w:t>
      </w:r>
      <w:r w:rsidRPr="00BA61B4">
        <w:t xml:space="preserve"> in patients with SREs </w:t>
      </w:r>
      <w:r w:rsidR="004D78B8" w:rsidRPr="00BA61B4">
        <w:t>(</w:t>
      </w:r>
      <w:r w:rsidRPr="00BA61B4">
        <w:t>specifically surgery to bone, radiation to bone, and pathological fractures</w:t>
      </w:r>
      <w:r w:rsidR="004D78B8" w:rsidRPr="00BA61B4">
        <w:t>)</w:t>
      </w:r>
      <w:r w:rsidRPr="00BA61B4">
        <w:t xml:space="preserve"> compared </w:t>
      </w:r>
      <w:r w:rsidR="005E15F4" w:rsidRPr="00BA61B4">
        <w:t>to</w:t>
      </w:r>
      <w:r w:rsidRPr="00BA61B4">
        <w:t xml:space="preserve"> patients without SREs (both p&lt;0.05).</w:t>
      </w:r>
      <w:r w:rsidRPr="00BA61B4">
        <w:fldChar w:fldCharType="begin"/>
      </w:r>
      <w:r w:rsidR="00CA6345">
        <w:instrText xml:space="preserve"> ADDIN ZOTERO_ITEM CSL_CITATION {"citationID":"G1wf2eue","properties":{"formattedCitation":"\\super 97\\nosupersub{}","plainCitation":"97","noteIndex":0},"citationItems":[{"id":65901,"uris":["http://zotero.org/groups/4797619/items/LK65JRNJ"],"itemData":{"id":65901,"type":"article-journal","abstract":"PURPOSE: Bone metastases secondary to solid tumors increase the risk of skeletal-related events (SREs), including the occurrence of pathological fracture (PF), radiation to bone (RB), surgery to bone (SB), and spinal cord compression (SCC). The aim of this study was to evaluate the impact of SREs on patients' pain, analgesic use, and pain interference with daily functioning.\nMETHODS: Data were combined from patients with solid tumors and bone metastases who received denosumab or zoledronic acid across three identically designed phase 3 trials (N = 5543). Pain severity (worst pain) and pain interference were assessed using the Brief Pain Inventory at baseline and each monthly visit. Analgesic use was quantified using the Analgesic Quantification Algorithm.\nRESULTS: The proportion of patients with moderate/severe pain and strong opioid use generally increased in the 6 months preceding an SRE and remained elevated, while they remained relatively consistent over time in patients without an SRE. Regression analysis indicated that all SRE types were significantly associated with an increased risk of progression to moderate/severe pain and strong opioid use. PF, RB, and SCC were associated with significantly greater risk of pain interference overall. Results were similar for pain interference with emotional well-being. All SRE types were associated with significantly greater risk of pain interference with physical function.\nCONCLUSIONS: SREs are associated with increased pain and analgesic use in patients with bone metastases. Treatments that prevent SREs may decrease pain and the need for opioid analgesics and reduce the impact of pain on daily functioning.","container-title":"Supportive Care in Cancer: Official Journal of the Multinational Association of Supportive Care in Cancer","DOI":"10.1007/s00520-015-2908-1","ISSN":"1433-7339","issue":"3","journalAbbreviation":"Support Care Cancer","language":"eng","note":"PMID: 26329397\nPMCID: PMC4729787","page":"1327-1337","source":"PubMed","title":"Pain and analgesic use associated with skeletal-related events in patients with advanced cancer and bone metastases","volume":"24","author":[{"family":"Moos","given":"Roger","non-dropping-particle":"von"},{"family":"Body","given":"Jean-Jacques"},{"family":"Egerdie","given":"Blair"},{"family":"Stopeck","given":"Alison"},{"family":"Brown","given":"Janet"},{"family":"Fallowfield","given":"Lesley"},{"family":"Patrick","given":"Donald L."},{"family":"Cleeland","given":"Charles"},{"family":"Damyanov","given":"Danail"},{"family":"Palazzo","given":"Felipe Salvador"},{"family":"Marx","given":"Gavin"},{"family":"Zhou","given":"Ying"},{"family":"Braun","given":"Ada"},{"family":"Balakumaran","given":"Arun"},{"family":"Qian","given":"Yi"}],"issued":{"date-parts":[["2016",3]]}}}],"schema":"https://github.com/citation-style-language/schema/raw/master/csl-citation.json"} </w:instrText>
      </w:r>
      <w:r w:rsidRPr="00BA61B4">
        <w:fldChar w:fldCharType="separate"/>
      </w:r>
      <w:r w:rsidR="00CA6345" w:rsidRPr="00CA6345">
        <w:rPr>
          <w:rFonts w:cs="Arial"/>
          <w:szCs w:val="24"/>
          <w:vertAlign w:val="superscript"/>
        </w:rPr>
        <w:t>97</w:t>
      </w:r>
      <w:r w:rsidRPr="00BA61B4">
        <w:fldChar w:fldCharType="end"/>
      </w:r>
      <w:r w:rsidRPr="00BA61B4">
        <w:t xml:space="preserve"> </w:t>
      </w:r>
    </w:p>
    <w:p w14:paraId="045D2691" w14:textId="426282BB" w:rsidR="00405504" w:rsidRPr="00D36446" w:rsidRDefault="00405504" w:rsidP="009506B5">
      <w:pPr>
        <w:pStyle w:val="Heading5"/>
        <w:ind w:left="1276" w:hanging="1276"/>
      </w:pPr>
      <w:r w:rsidRPr="00D36446">
        <w:lastRenderedPageBreak/>
        <w:t xml:space="preserve">Impact of </w:t>
      </w:r>
      <w:r w:rsidR="00096174" w:rsidRPr="00D36446">
        <w:t>u/mBC</w:t>
      </w:r>
      <w:r w:rsidRPr="00D36446">
        <w:t xml:space="preserve"> on social functioning and mental health</w:t>
      </w:r>
    </w:p>
    <w:p w14:paraId="54097912" w14:textId="52B169B0" w:rsidR="001F3665" w:rsidRPr="00D36446" w:rsidRDefault="001F3665" w:rsidP="001F3665">
      <w:pPr>
        <w:pStyle w:val="Body"/>
      </w:pPr>
      <w:r w:rsidRPr="00D36446">
        <w:t xml:space="preserve">The </w:t>
      </w:r>
      <w:r w:rsidR="00E56BA8" w:rsidRPr="00D36446">
        <w:t>QoL</w:t>
      </w:r>
      <w:r w:rsidR="005952DA" w:rsidRPr="00D36446">
        <w:t xml:space="preserve"> </w:t>
      </w:r>
      <w:r w:rsidRPr="00D36446">
        <w:t>impact of mBC in women varies by patient demographic, with younger patients</w:t>
      </w:r>
      <w:r w:rsidRPr="002612F7">
        <w:rPr>
          <w:rStyle w:val="FootnoteReference"/>
        </w:rPr>
        <w:footnoteReference w:id="8"/>
      </w:r>
      <w:r w:rsidRPr="00D36446">
        <w:t xml:space="preserve"> more likely to experience impaired social wellbeing than older patients.</w:t>
      </w:r>
      <w:r w:rsidRPr="00D36446">
        <w:fldChar w:fldCharType="begin"/>
      </w:r>
      <w:r w:rsidR="00CA6345">
        <w:instrText xml:space="preserve"> ADDIN ZOTERO_ITEM CSL_CITATION {"citationID":"9KUM84c4","properties":{"formattedCitation":"\\super 98\\nosupersub{}","plainCitation":"98","noteIndex":0},"citationItems":[{"id":65900,"uris":["http://zotero.org/groups/4797619/items/67KNHUMQ"],"itemData":{"id":65900,"type":"article-journal","abstract":"CONTEXT: Despite developments in the medical management of metastatic breast cancer, little is known about the quality of life (QoL) and experience of care in women with it.\nOBJECTIVES: To explore QoL, experience of care, and support needs of women living with metastatic breast cancer in the U.K.\nMETHODS: Questionnaire-based, cross-sectional study, undertaken in two U.K. cancer centers and online via the Breast Cancer Care website, assessing QoL and experience of care in 235 women with metastatic breast cancer.\nRESULTS: QoL was assessed using the Functional Assessment of Cancer Therapy--Breast QoL measure. Overall, QoL was low (mean 89.0, standard deviation 21.8) for total score. Low scores were seen uniformly in physical, social, emotional, and functional well-being domains. Symptom burden was a significant problem, with over one-third of women (34%) reporting high levels of pain and other uncontrolled symptoms. In multiple regression analysis, social well-being was significantly better for older women (P&lt;0.001) but was lower in those with bone metastases only (P=0.002). Functional well-being was significantly higher in women without children (P=0.004). Satisfaction with experience of care was low and appeared to be predominantly in the hospital setting, with little evidence of involvement of general practitioners and palliative care services.\nCONCLUSION: Despite improvements in treatment and survival of women with metastatic breast cancer, this group reports high symptom burden and dissatisfaction with elements of their care, indicating that alternative models of service delivery should be explored.","container-title":"Journal of Pain and Symptom Management","DOI":"10.1016/j.jpainsymman.2011.05.005","ISSN":"1873-6513","issue":"4","journalAbbreviation":"J Pain Symptom Manage","language":"eng","note":"PMID: 22088804","page":"747-758","source":"PubMed","title":"Quality of life and experience of care in women with metastatic breast cancer: a cross-sectional survey","title-short":"Quality of life and experience of care in women with metastatic breast cancer","volume":"43","author":[{"family":"Reed","given":"Elizabeth"},{"family":"Simmonds","given":"Peter"},{"family":"Haviland","given":"Joanne"},{"family":"Corner","given":"Jessica"}],"issued":{"date-parts":[["2012",4]]}}}],"schema":"https://github.com/citation-style-language/schema/raw/master/csl-citation.json"} </w:instrText>
      </w:r>
      <w:r w:rsidRPr="00D36446">
        <w:fldChar w:fldCharType="separate"/>
      </w:r>
      <w:r w:rsidR="00CA6345" w:rsidRPr="00CA6345">
        <w:rPr>
          <w:rFonts w:cs="Arial"/>
          <w:szCs w:val="24"/>
          <w:vertAlign w:val="superscript"/>
        </w:rPr>
        <w:t>98</w:t>
      </w:r>
      <w:r w:rsidRPr="00D36446">
        <w:fldChar w:fldCharType="end"/>
      </w:r>
      <w:r w:rsidRPr="00D36446">
        <w:t xml:space="preserve"> Patients with children are more likely to have impaired functional wellbeing than those without, suggesting the disease impacts on their ability to parent actively and fulfil their social role.</w:t>
      </w:r>
      <w:r w:rsidRPr="00D36446">
        <w:fldChar w:fldCharType="begin"/>
      </w:r>
      <w:r w:rsidR="00CA6345">
        <w:instrText xml:space="preserve"> ADDIN ZOTERO_ITEM CSL_CITATION {"citationID":"5PlZTvUc","properties":{"formattedCitation":"\\super 98\\nosupersub{}","plainCitation":"98","noteIndex":0},"citationItems":[{"id":65900,"uris":["http://zotero.org/groups/4797619/items/67KNHUMQ"],"itemData":{"id":65900,"type":"article-journal","abstract":"CONTEXT: Despite developments in the medical management of metastatic breast cancer, little is known about the quality of life (QoL) and experience of care in women with it.\nOBJECTIVES: To explore QoL, experience of care, and support needs of women living with metastatic breast cancer in the U.K.\nMETHODS: Questionnaire-based, cross-sectional study, undertaken in two U.K. cancer centers and online via the Breast Cancer Care website, assessing QoL and experience of care in 235 women with metastatic breast cancer.\nRESULTS: QoL was assessed using the Functional Assessment of Cancer Therapy--Breast QoL measure. Overall, QoL was low (mean 89.0, standard deviation 21.8) for total score. Low scores were seen uniformly in physical, social, emotional, and functional well-being domains. Symptom burden was a significant problem, with over one-third of women (34%) reporting high levels of pain and other uncontrolled symptoms. In multiple regression analysis, social well-being was significantly better for older women (P&lt;0.001) but was lower in those with bone metastases only (P=0.002). Functional well-being was significantly higher in women without children (P=0.004). Satisfaction with experience of care was low and appeared to be predominantly in the hospital setting, with little evidence of involvement of general practitioners and palliative care services.\nCONCLUSION: Despite improvements in treatment and survival of women with metastatic breast cancer, this group reports high symptom burden and dissatisfaction with elements of their care, indicating that alternative models of service delivery should be explored.","container-title":"Journal of Pain and Symptom Management","DOI":"10.1016/j.jpainsymman.2011.05.005","ISSN":"1873-6513","issue":"4","journalAbbreviation":"J Pain Symptom Manage","language":"eng","note":"PMID: 22088804","page":"747-758","source":"PubMed","title":"Quality of life and experience of care in women with metastatic breast cancer: a cross-sectional survey","title-short":"Quality of life and experience of care in women with metastatic breast cancer","volume":"43","author":[{"family":"Reed","given":"Elizabeth"},{"family":"Simmonds","given":"Peter"},{"family":"Haviland","given":"Joanne"},{"family":"Corner","given":"Jessica"}],"issued":{"date-parts":[["2012",4]]}}}],"schema":"https://github.com/citation-style-language/schema/raw/master/csl-citation.json"} </w:instrText>
      </w:r>
      <w:r w:rsidRPr="00D36446">
        <w:fldChar w:fldCharType="separate"/>
      </w:r>
      <w:r w:rsidR="00CA6345" w:rsidRPr="00CA6345">
        <w:rPr>
          <w:rFonts w:cs="Arial"/>
          <w:szCs w:val="24"/>
          <w:vertAlign w:val="superscript"/>
        </w:rPr>
        <w:t>98</w:t>
      </w:r>
      <w:r w:rsidRPr="00D36446">
        <w:fldChar w:fldCharType="end"/>
      </w:r>
      <w:r w:rsidRPr="00D36446">
        <w:t xml:space="preserve"> </w:t>
      </w:r>
    </w:p>
    <w:p w14:paraId="3873D051" w14:textId="06F73167" w:rsidR="00F331BA" w:rsidRPr="00D36446" w:rsidRDefault="00405504" w:rsidP="00405504">
      <w:pPr>
        <w:pStyle w:val="Body"/>
      </w:pPr>
      <w:r w:rsidRPr="00D36446">
        <w:t>BC symptoms are also associated with a significant mental burden for patients.</w:t>
      </w:r>
      <w:r w:rsidR="00FF2398" w:rsidRPr="00D36446">
        <w:fldChar w:fldCharType="begin"/>
      </w:r>
      <w:r w:rsidR="00CA6345">
        <w:instrText xml:space="preserve"> ADDIN ZOTERO_ITEM CSL_CITATION {"citationID":"mlv06Yzb","properties":{"formattedCitation":"\\super 27,29\\nosupersub{}","plainCitation":"27,29","noteIndex":0},"citationItems":[{"id":65899,"uris":["http://zotero.org/groups/4797619/items/725ZVB2J"],"itemData":{"id":65899,"type":"article-journal","abstract":"BACKGROUND: Physical symptom burden and psychologic symptoms are highly prevalent in women with breast cancer. The Distress Thermometer and Problem List (DT&amp;PL) is commonly used in oncology clinics to screen for distress and its accompanying Physical Problem List (PPL) identifies pertinent physical symptoms.\nOBJECTIVE: We sought to identify physical symptoms found on the PPL and evaluate whether they are associated with psychologic symptoms in women with breast cancer.\nMETHODS: Patients (n=125) with breast cancer (Stage 0-IV) completed the DT&amp;PL and the Hospital Anxiety and Depression Scale. They reported bother from any of 22 PPL items on the DT&amp;PL. PPL items were assessed for their associations with distress, Hospital Anxiety and Depression Scale-anxiety, and Hospital Anxiety and Depression Scale-depression. The total number of PPL items endorsed per patient was evaluated for associations with psychologic outcomes, controlling for relevant demographic factors.\nRESULTS: Most physical problems were associated with depression (n = 13, 87%), and anxiety (n = 8, 53%), but fewer were associated with distress (n = 4, 27%). In multivariate analyses, a higher total number of problems was associated with younger age (p = 0.03) and more depressive symptoms (p &lt; 0.001).\nCONCLUSION: Physical symptom burden detected by the DT&amp;PL co-occurs with depression most commonly and to a lesser extent anxiety and distress in women with breast cancer. Depression is associated with more types of physical symptoms and a total number of physical symptoms. The endorsement of multiple PPL items on the DT&amp;PL should prompt an evaluation for depression. Similarly, depression should prompt the evaluation and treatment of physical symptom burden.","container-title":"Psychosomatics","DOI":"10.1016/j.psym.2018.01.005","ISSN":"1545-7206","issue":"5","journalAbbreviation":"Psychosomatics","language":"eng","note":"PMID: 29525522\nPMCID: PMC6067989","page":"464-471","source":"PubMed","title":"Physical Symptom Burden and Its Association With Distress, Anxiety, and Depression in Breast Cancer","volume":"59","author":[{"family":"McFarland","given":"Daniel C."},{"family":"Shaffer","given":"Kelly M."},{"family":"Tiersten","given":"Amy"},{"family":"Holland","given":"Jimmie"}],"issued":{"date-parts":[["2018",10]]}}},{"id":65898,"uris":["http://zotero.org/groups/4797619/items/Q2XRFZMQ"],"itemData":{"id":65898,"type":"article-journal","abstract":"BACKGROUND: Young adults with cancer experience disruptions in their normal developmental trajectories and commonly experience psychologic distress related to their diagnoses. Young women with metastatic breast cancer (MBC) are at particular risk of adverse mental health outcomes.\nOBJECTIVE: We sought to determine the prevalence of and factors associated with anxiety and depression symptoms in young women with newly diagnosed de novo MBC.\nMETHODS: A total of 54 women with newly diagnosed de novo MBC were identified from an ongoing, prospective, multicenter cohort of women diagnosed with breast cancer at age &lt;40. Depression and anxiety symptoms were assessed using the Hospital Anxiety and Depression Scale (HADS). Items assessing socio-demographics, physical symptom burden, social support, and disease and treatment history, with complementary medical record review, were used to assess variables potentially associated with anxiety and depression symptoms.\nRESULTS: Mean HADS Depression score was 4.4 (standard deviation = 3.7) and mean HADS Anxiety score was 7.9 (standard deviation = 5.0). Eleven (20%) women scored ≥8 on the HADS Depression subscale, the suggested threshold for depression/anxiety screening, and 24 (44%) women scored ≥8 on the HADS Anxiety subscale. In a multivariable model of anxiety, higher physical symptom scores (odds ratio = 4.41, p = 0.005) was significantly associated with higher anxiety scores. None of the other variables improved the model fit.\nCONCLUSION: In this study, a considerable proportion of young women with newly diagnosed MBC experienced anxiety symptoms, although depression was less common. Future strategies focused on distress reduction in young MBC patients should focus on physical symptom management as well as anxiety identification and management.","container-title":"Psychosomatics","DOI":"10.1016/j.psym.2018.01.007","ISSN":"1545-7206","issue":"3","journalAbbreviation":"Psychosomatics","language":"eng","note":"PMID: 29525523\nPMCID: PMC5935568","page":"251-258","source":"PubMed","title":"Anxiety and Depression in Young Women With Metastatic Breast Cancer: A Cross-Sectional Study","title-short":"Anxiety and Depression in Young Women With Metastatic Breast Cancer","volume":"59","author":[{"family":"Park","given":"Eliza M."},{"family":"Gelber","given":"Shari"},{"family":"Rosenberg","given":"Shoshana M."},{"family":"Seah","given":"Davinia S. E."},{"family":"Schapira","given":"Lidia"},{"family":"Come","given":"Steven E."},{"family":"Partridge","given":"Ann H."}],"issued":{"date-parts":[["2018",6]]}}}],"schema":"https://github.com/citation-style-language/schema/raw/master/csl-citation.json"} </w:instrText>
      </w:r>
      <w:r w:rsidR="00FF2398" w:rsidRPr="00D36446">
        <w:fldChar w:fldCharType="separate"/>
      </w:r>
      <w:r w:rsidR="00FD57F4" w:rsidRPr="00FD57F4">
        <w:rPr>
          <w:rFonts w:cs="Arial"/>
          <w:szCs w:val="24"/>
          <w:vertAlign w:val="superscript"/>
        </w:rPr>
        <w:t>27,29</w:t>
      </w:r>
      <w:r w:rsidR="00FF2398" w:rsidRPr="00D36446">
        <w:fldChar w:fldCharType="end"/>
      </w:r>
      <w:r w:rsidR="00FF2398" w:rsidRPr="00D36446">
        <w:t xml:space="preserve"> </w:t>
      </w:r>
      <w:r w:rsidR="00EC66F8" w:rsidRPr="00D36446">
        <w:t xml:space="preserve">In a US study using the Hospital Anxiety and Depression Scale (HADS; N=125), depressive </w:t>
      </w:r>
      <w:r w:rsidRPr="00D36446">
        <w:t>symptoms were significantly associated with the symptom burden of disease in women with BC, regardless of age (p&lt;0.01</w:t>
      </w:r>
      <w:r w:rsidR="004F7D03" w:rsidRPr="00D36446">
        <w:t>)</w:t>
      </w:r>
      <w:r w:rsidRPr="00D36446">
        <w:t>.</w:t>
      </w:r>
      <w:r w:rsidR="00FF2398" w:rsidRPr="00D36446">
        <w:fldChar w:fldCharType="begin"/>
      </w:r>
      <w:r w:rsidR="00CA6345">
        <w:instrText xml:space="preserve"> ADDIN ZOTERO_ITEM CSL_CITATION {"citationID":"SkKVIMIB","properties":{"formattedCitation":"\\super 27\\nosupersub{}","plainCitation":"27","noteIndex":0},"citationItems":[{"id":65899,"uris":["http://zotero.org/groups/4797619/items/725ZVB2J"],"itemData":{"id":65899,"type":"article-journal","abstract":"BACKGROUND: Physical symptom burden and psychologic symptoms are highly prevalent in women with breast cancer. The Distress Thermometer and Problem List (DT&amp;PL) is commonly used in oncology clinics to screen for distress and its accompanying Physical Problem List (PPL) identifies pertinent physical symptoms.\nOBJECTIVE: We sought to identify physical symptoms found on the PPL and evaluate whether they are associated with psychologic symptoms in women with breast cancer.\nMETHODS: Patients (n=125) with breast cancer (Stage 0-IV) completed the DT&amp;PL and the Hospital Anxiety and Depression Scale. They reported bother from any of 22 PPL items on the DT&amp;PL. PPL items were assessed for their associations with distress, Hospital Anxiety and Depression Scale-anxiety, and Hospital Anxiety and Depression Scale-depression. The total number of PPL items endorsed per patient was evaluated for associations with psychologic outcomes, controlling for relevant demographic factors.\nRESULTS: Most physical problems were associated with depression (n = 13, 87%), and anxiety (n = 8, 53%), but fewer were associated with distress (n = 4, 27%). In multivariate analyses, a higher total number of problems was associated with younger age (p = 0.03) and more depressive symptoms (p &lt; 0.001).\nCONCLUSION: Physical symptom burden detected by the DT&amp;PL co-occurs with depression most commonly and to a lesser extent anxiety and distress in women with breast cancer. Depression is associated with more types of physical symptoms and a total number of physical symptoms. The endorsement of multiple PPL items on the DT&amp;PL should prompt an evaluation for depression. Similarly, depression should prompt the evaluation and treatment of physical symptom burden.","container-title":"Psychosomatics","DOI":"10.1016/j.psym.2018.01.005","ISSN":"1545-7206","issue":"5","journalAbbreviation":"Psychosomatics","language":"eng","note":"PMID: 29525522\nPMCID: PMC6067989","page":"464-471","source":"PubMed","title":"Physical Symptom Burden and Its Association With Distress, Anxiety, and Depression in Breast Cancer","volume":"59","author":[{"family":"McFarland","given":"Daniel C."},{"family":"Shaffer","given":"Kelly M."},{"family":"Tiersten","given":"Amy"},{"family":"Holland","given":"Jimmie"}],"issued":{"date-parts":[["2018",10]]}}}],"schema":"https://github.com/citation-style-language/schema/raw/master/csl-citation.json"} </w:instrText>
      </w:r>
      <w:r w:rsidR="00FF2398" w:rsidRPr="00D36446">
        <w:fldChar w:fldCharType="separate"/>
      </w:r>
      <w:r w:rsidR="00FD57F4" w:rsidRPr="00FD57F4">
        <w:rPr>
          <w:rFonts w:cs="Arial"/>
          <w:szCs w:val="24"/>
          <w:vertAlign w:val="superscript"/>
        </w:rPr>
        <w:t>27</w:t>
      </w:r>
      <w:r w:rsidR="00FF2398" w:rsidRPr="00D36446">
        <w:fldChar w:fldCharType="end"/>
      </w:r>
      <w:r w:rsidRPr="00D36446">
        <w:t xml:space="preserve"> </w:t>
      </w:r>
      <w:r w:rsidR="004F7D03" w:rsidRPr="00D36446">
        <w:t xml:space="preserve">In another </w:t>
      </w:r>
      <w:r w:rsidRPr="00D36446">
        <w:t>study</w:t>
      </w:r>
      <w:r w:rsidR="00A9477A" w:rsidRPr="00D36446">
        <w:t>,</w:t>
      </w:r>
      <w:r w:rsidRPr="00D36446">
        <w:t xml:space="preserve"> young North American women diagnosed with </w:t>
      </w:r>
      <w:r w:rsidRPr="00D36446">
        <w:rPr>
          <w:i/>
          <w:iCs/>
        </w:rPr>
        <w:t>de novo</w:t>
      </w:r>
      <w:r w:rsidRPr="00D36446">
        <w:t xml:space="preserve"> mBC (N=54) reported a significant association between higher physical symptom scores and higher HADS anxiety scores (p=0.005)</w:t>
      </w:r>
      <w:r w:rsidR="00FF2398" w:rsidRPr="00D36446">
        <w:t>.</w:t>
      </w:r>
      <w:r w:rsidR="00FF2398" w:rsidRPr="00D36446">
        <w:fldChar w:fldCharType="begin"/>
      </w:r>
      <w:r w:rsidR="00CA6345">
        <w:instrText xml:space="preserve"> ADDIN ZOTERO_ITEM CSL_CITATION {"citationID":"JQj6l12a","properties":{"formattedCitation":"\\super 29\\nosupersub{}","plainCitation":"29","noteIndex":0},"citationItems":[{"id":65898,"uris":["http://zotero.org/groups/4797619/items/Q2XRFZMQ"],"itemData":{"id":65898,"type":"article-journal","abstract":"BACKGROUND: Young adults with cancer experience disruptions in their normal developmental trajectories and commonly experience psychologic distress related to their diagnoses. Young women with metastatic breast cancer (MBC) are at particular risk of adverse mental health outcomes.\nOBJECTIVE: We sought to determine the prevalence of and factors associated with anxiety and depression symptoms in young women with newly diagnosed de novo MBC.\nMETHODS: A total of 54 women with newly diagnosed de novo MBC were identified from an ongoing, prospective, multicenter cohort of women diagnosed with breast cancer at age &lt;40. Depression and anxiety symptoms were assessed using the Hospital Anxiety and Depression Scale (HADS). Items assessing socio-demographics, physical symptom burden, social support, and disease and treatment history, with complementary medical record review, were used to assess variables potentially associated with anxiety and depression symptoms.\nRESULTS: Mean HADS Depression score was 4.4 (standard deviation = 3.7) and mean HADS Anxiety score was 7.9 (standard deviation = 5.0). Eleven (20%) women scored ≥8 on the HADS Depression subscale, the suggested threshold for depression/anxiety screening, and 24 (44%) women scored ≥8 on the HADS Anxiety subscale. In a multivariable model of anxiety, higher physical symptom scores (odds ratio = 4.41, p = 0.005) was significantly associated with higher anxiety scores. None of the other variables improved the model fit.\nCONCLUSION: In this study, a considerable proportion of young women with newly diagnosed MBC experienced anxiety symptoms, although depression was less common. Future strategies focused on distress reduction in young MBC patients should focus on physical symptom management as well as anxiety identification and management.","container-title":"Psychosomatics","DOI":"10.1016/j.psym.2018.01.007","ISSN":"1545-7206","issue":"3","journalAbbreviation":"Psychosomatics","language":"eng","note":"PMID: 29525523\nPMCID: PMC5935568","page":"251-258","source":"PubMed","title":"Anxiety and Depression in Young Women With Metastatic Breast Cancer: A Cross-Sectional Study","title-short":"Anxiety and Depression in Young Women With Metastatic Breast Cancer","volume":"59","author":[{"family":"Park","given":"Eliza M."},{"family":"Gelber","given":"Shari"},{"family":"Rosenberg","given":"Shoshana M."},{"family":"Seah","given":"Davinia S. E."},{"family":"Schapira","given":"Lidia"},{"family":"Come","given":"Steven E."},{"family":"Partridge","given":"Ann H."}],"issued":{"date-parts":[["2018",6]]}}}],"schema":"https://github.com/citation-style-language/schema/raw/master/csl-citation.json"} </w:instrText>
      </w:r>
      <w:r w:rsidR="00FF2398" w:rsidRPr="00D36446">
        <w:fldChar w:fldCharType="separate"/>
      </w:r>
      <w:r w:rsidR="00FD57F4" w:rsidRPr="00FD57F4">
        <w:rPr>
          <w:rFonts w:cs="Arial"/>
          <w:szCs w:val="24"/>
          <w:vertAlign w:val="superscript"/>
        </w:rPr>
        <w:t>29</w:t>
      </w:r>
      <w:r w:rsidR="00FF2398" w:rsidRPr="00D36446">
        <w:fldChar w:fldCharType="end"/>
      </w:r>
      <w:r w:rsidR="00035605" w:rsidRPr="00D36446">
        <w:t xml:space="preserve"> </w:t>
      </w:r>
    </w:p>
    <w:p w14:paraId="744A0676" w14:textId="0CD5601C" w:rsidR="00217DC9" w:rsidRPr="00D36446" w:rsidRDefault="00336C94" w:rsidP="00405504">
      <w:pPr>
        <w:pStyle w:val="Body"/>
      </w:pPr>
      <w:r w:rsidRPr="00D36446">
        <w:t xml:space="preserve">Advanced </w:t>
      </w:r>
      <w:r w:rsidR="00333770" w:rsidRPr="00D36446">
        <w:t>BC</w:t>
      </w:r>
      <w:r w:rsidR="00CF328F">
        <w:t xml:space="preserve"> </w:t>
      </w:r>
      <w:r w:rsidR="00033D9D" w:rsidRPr="00D36446">
        <w:t>also has a considerable emotional impact</w:t>
      </w:r>
      <w:r w:rsidR="001C793A" w:rsidRPr="00D36446">
        <w:t>.</w:t>
      </w:r>
      <w:r w:rsidR="00B819C6" w:rsidRPr="00D36446">
        <w:t xml:space="preserve"> According to a cross-sectional study of 739 </w:t>
      </w:r>
      <w:r w:rsidR="00091FBE" w:rsidRPr="00D36446">
        <w:t xml:space="preserve">BC </w:t>
      </w:r>
      <w:r w:rsidR="00B819C6" w:rsidRPr="00D36446">
        <w:t xml:space="preserve">patients across the US and Europe, patients with </w:t>
      </w:r>
      <w:r w:rsidR="0013511A" w:rsidRPr="00D36446">
        <w:t>HER2-negative/HR-positive</w:t>
      </w:r>
      <w:r w:rsidR="00B819C6" w:rsidRPr="00D36446">
        <w:t xml:space="preserve"> advanced BC reported lower emotional well</w:t>
      </w:r>
      <w:r w:rsidR="00133B67">
        <w:t>being</w:t>
      </w:r>
      <w:r w:rsidR="00B819C6" w:rsidRPr="00D36446">
        <w:t xml:space="preserve"> scores in the FACT-B</w:t>
      </w:r>
      <w:r w:rsidR="008B7732" w:rsidRPr="00D36446">
        <w:t xml:space="preserve"> questionnaire</w:t>
      </w:r>
      <w:r w:rsidR="00B819C6" w:rsidRPr="00D36446">
        <w:t xml:space="preserve"> compared to </w:t>
      </w:r>
      <w:r w:rsidR="001C793A" w:rsidRPr="00D36446">
        <w:t>general population norms</w:t>
      </w:r>
      <w:r w:rsidR="00B819C6" w:rsidRPr="00D36446">
        <w:t xml:space="preserve"> (13.1 vs. 19.9</w:t>
      </w:r>
      <w:r w:rsidR="001C793A" w:rsidRPr="00D36446">
        <w:t>; lower score indicates worse emotional wellbeing</w:t>
      </w:r>
      <w:r w:rsidR="00B819C6" w:rsidRPr="00D36446">
        <w:t>).</w:t>
      </w:r>
      <w:r w:rsidR="00B819C6" w:rsidRPr="00D36446">
        <w:fldChar w:fldCharType="begin"/>
      </w:r>
      <w:r w:rsidR="00CA6345">
        <w:instrText xml:space="preserve"> ADDIN ZOTERO_ITEM CSL_CITATION {"citationID":"SSCStx2y","properties":{"formattedCitation":"\\super 99\\nosupersub{}","plainCitation":"99","noteIndex":0},"citationItems":[{"id":66184,"uris":["http://zotero.org/groups/4797619/items/LLWED5K9"],"itemData":{"id":66184,"type":"article-journal","abstract":"PURPOSE: Globally, around 1.67 million new cases of breast cancer are diagnosed each year, with advanced breast cancer (ABC-Stage III) and metastatic breast cancer (MBC-Stage IV) together accounting for up to 22% of incident cases. Hormone receptor-positive/human epidermal growth factor receptor 2-negative (HR+/HER2-) breast cancer comprises 66% of ABC/MBC. Understanding disease-specific health-related quality of life and patient satisfaction with treatments currently available for HR+/HER2- ABC/MBC in clinical practice is essential for assessing potential unmet need in this patient population.\nMETHODS: Data on treatment patterns in patients with HR+/HER2- ABC/MBC were collected from oncology practices across the United States and Europe in a cross-sectional study in a clinical practice setting, the Adelphi Real World Advanced Breast Cancer Disease Specific Programme. A subset of patients included in the study completed several self-reported tools, including the Functional Assessment of Cancer Therapy-Breast and the Cancer Therapy Satisfaction Questionnaire. Analyses were conducted using data from the overall cohort and stratified by current treatment, metastatic sites, and number of prior therapy lines.\nFINDINGS: Overall, 739 patients were recruited by 173 oncologists; 83% of patients had MBC, with the balance having ABC. The majority of patients with MBC had visceral metastases without bone metastases, and similar percentages of the total study population (≈40%) were receiving chemotherapy and endocrine therapy. Patients receiving only endocrine therapy had significantly better cancer-specific quality of life than did those receiving chemotherapy. Endocrine therapy also associated with fewer concerns about side effects and higher treatment satisfaction than chemotherapy. Statistically lower scores, indicating poorer well-being, were observed in patients with both bone and visceral metastases compared with those with either bone-only or visceral-only metastases for all but the Social/Family Well-Being and Functional Well-Being domains of the Functional Assessment of Cancer Therapy-Breast. Patients with bone and visceral metastases had significantly greater concerns about treatment side effects than those with metastases at other sites. Receipt of a greater number of prior lines of therapy was associated with poorer well-being scores. There was a significant negative association between number of lines of treatment and treatment expectations.\nIMPLICATIONS: Findings from this study from clinical practice suggest that treatment outcomes in HR+/HER2- ABC/MBC could be optimized through improved understanding of the impact that components of patient care have on health-related quality of life and treatment satisfaction.","container-title":"Clinical Therapeutics","DOI":"10.1016/j.clinthera.2017.07.009","ISSN":"1879-114X","issue":"8","journalAbbreviation":"Clin Ther","language":"eng","note":"PMID: 28751098","page":"1719-1728","source":"PubMed","title":"Patient-reported Quality of Life and Treatment Satisfaction in Patients With HR+/HER2- Advanced/Metastatic Breast Cancer","volume":"39","author":[{"family":"Wood","given":"Robert"},{"family":"Mitra","given":"Debanjali"},{"family":"Courcy","given":"Jonathan","non-dropping-particle":"de"},{"family":"Iyer","given":"Shrividya"}],"issued":{"date-parts":[["2017",8]]}}}],"schema":"https://github.com/citation-style-language/schema/raw/master/csl-citation.json"} </w:instrText>
      </w:r>
      <w:r w:rsidR="00B819C6" w:rsidRPr="00D36446">
        <w:fldChar w:fldCharType="separate"/>
      </w:r>
      <w:r w:rsidR="00CA6345" w:rsidRPr="00CA6345">
        <w:rPr>
          <w:rFonts w:cs="Arial"/>
          <w:szCs w:val="24"/>
          <w:vertAlign w:val="superscript"/>
        </w:rPr>
        <w:t>99</w:t>
      </w:r>
      <w:r w:rsidR="00B819C6" w:rsidRPr="00D36446">
        <w:fldChar w:fldCharType="end"/>
      </w:r>
      <w:r w:rsidR="00B819C6" w:rsidRPr="00D36446">
        <w:t xml:space="preserve"> </w:t>
      </w:r>
    </w:p>
    <w:p w14:paraId="39F4BA9B" w14:textId="4C4F57F6" w:rsidR="000A6298" w:rsidRDefault="000A6298" w:rsidP="000A6298">
      <w:pPr>
        <w:pStyle w:val="Heading4"/>
      </w:pPr>
      <w:r>
        <w:t>Treatment burden</w:t>
      </w:r>
    </w:p>
    <w:p w14:paraId="13E26556" w14:textId="1B7A2887" w:rsidR="000A6298" w:rsidRPr="003D2453" w:rsidRDefault="000A6298" w:rsidP="000A6298">
      <w:pPr>
        <w:pStyle w:val="Body"/>
      </w:pPr>
      <w:r w:rsidRPr="003D2453">
        <w:t xml:space="preserve">Beyond the clinical symptoms and </w:t>
      </w:r>
      <w:r w:rsidR="00023B22" w:rsidRPr="003D2453">
        <w:t>QoL</w:t>
      </w:r>
      <w:r w:rsidRPr="003D2453">
        <w:t xml:space="preserve"> impact for patients with u/mBC, treatment itself may be burdensome. </w:t>
      </w:r>
      <w:r w:rsidR="00540E7B" w:rsidRPr="003D2453">
        <w:t>Once patients have exhausted targeted treatment options (</w:t>
      </w:r>
      <w:r w:rsidR="008D6152" w:rsidRPr="003D2453">
        <w:t xml:space="preserve">e.g., </w:t>
      </w:r>
      <w:r w:rsidR="00E66BFA">
        <w:t>CDK4/6i</w:t>
      </w:r>
      <w:r w:rsidR="00540E7B" w:rsidRPr="003D2453">
        <w:t xml:space="preserve">, ET, PARP inhibitors), </w:t>
      </w:r>
      <w:r w:rsidR="00802A7D">
        <w:t xml:space="preserve">treatment options are predominantly limited to </w:t>
      </w:r>
      <w:r w:rsidR="00A555C1" w:rsidRPr="003D2453">
        <w:t xml:space="preserve">non-targeted chemotherapies </w:t>
      </w:r>
      <w:r w:rsidR="00267428" w:rsidRPr="003D2453">
        <w:t>(</w:t>
      </w:r>
      <w:r w:rsidR="00267428" w:rsidRPr="000E0CA5">
        <w:rPr>
          <w:b/>
          <w:bCs/>
        </w:rPr>
        <w:t xml:space="preserve">Section </w:t>
      </w:r>
      <w:r w:rsidR="00267428" w:rsidRPr="000E0CA5">
        <w:rPr>
          <w:b/>
          <w:bCs/>
        </w:rPr>
        <w:fldChar w:fldCharType="begin"/>
      </w:r>
      <w:r w:rsidR="00267428" w:rsidRPr="000E0CA5">
        <w:rPr>
          <w:b/>
          <w:bCs/>
        </w:rPr>
        <w:instrText xml:space="preserve"> REF _Ref100239637 \r \h </w:instrText>
      </w:r>
      <w:r w:rsidR="000E0CA5">
        <w:rPr>
          <w:b/>
          <w:bCs/>
        </w:rPr>
        <w:instrText xml:space="preserve"> \* MERGEFORMAT </w:instrText>
      </w:r>
      <w:r w:rsidR="00267428" w:rsidRPr="000E0CA5">
        <w:rPr>
          <w:b/>
          <w:bCs/>
        </w:rPr>
      </w:r>
      <w:r w:rsidR="00267428" w:rsidRPr="000E0CA5">
        <w:rPr>
          <w:b/>
          <w:bCs/>
        </w:rPr>
        <w:fldChar w:fldCharType="separate"/>
      </w:r>
      <w:r w:rsidR="00145F42">
        <w:rPr>
          <w:b/>
          <w:bCs/>
        </w:rPr>
        <w:t>B.1.3.3</w:t>
      </w:r>
      <w:r w:rsidR="00267428" w:rsidRPr="000E0CA5">
        <w:rPr>
          <w:b/>
          <w:bCs/>
        </w:rPr>
        <w:fldChar w:fldCharType="end"/>
      </w:r>
      <w:r w:rsidR="00267428" w:rsidRPr="003D2453">
        <w:t>)</w:t>
      </w:r>
      <w:r w:rsidRPr="003D2453">
        <w:t xml:space="preserve">. </w:t>
      </w:r>
    </w:p>
    <w:p w14:paraId="6F565294" w14:textId="7DE4059C" w:rsidR="000A6298" w:rsidRPr="003D2453" w:rsidRDefault="00A07EDB" w:rsidP="000A6298">
      <w:pPr>
        <w:pStyle w:val="Body"/>
      </w:pPr>
      <w:r w:rsidRPr="003D2453">
        <w:t>Non-targeted chemotherapy is associated with</w:t>
      </w:r>
      <w:r w:rsidR="007A0FBB" w:rsidRPr="003D2453">
        <w:t xml:space="preserve"> considerable</w:t>
      </w:r>
      <w:r w:rsidRPr="003D2453">
        <w:t xml:space="preserve"> treatment burden. </w:t>
      </w:r>
      <w:r w:rsidR="000A6298" w:rsidRPr="003D2453">
        <w:t xml:space="preserve">Patients with BC treated with chemotherapy report high symptom burden </w:t>
      </w:r>
      <w:r w:rsidR="00D14DD8" w:rsidRPr="003D2453">
        <w:t xml:space="preserve">immediately </w:t>
      </w:r>
      <w:r w:rsidR="000A6298" w:rsidRPr="003D2453">
        <w:t xml:space="preserve">before receiving the next dose of chemotherapy, </w:t>
      </w:r>
      <w:r w:rsidR="004E3E4B" w:rsidRPr="003D2453">
        <w:t xml:space="preserve">and </w:t>
      </w:r>
      <w:r w:rsidR="00D14DD8" w:rsidRPr="003D2453">
        <w:t xml:space="preserve">at </w:t>
      </w:r>
      <w:r w:rsidR="000A6298" w:rsidRPr="003D2453">
        <w:t>one</w:t>
      </w:r>
      <w:r w:rsidR="004E3E4B" w:rsidRPr="003D2453">
        <w:t xml:space="preserve"> and two</w:t>
      </w:r>
      <w:r w:rsidR="000A6298" w:rsidRPr="003D2453">
        <w:t xml:space="preserve"> week</w:t>
      </w:r>
      <w:r w:rsidR="004E3E4B" w:rsidRPr="003D2453">
        <w:t>s</w:t>
      </w:r>
      <w:r w:rsidR="000A6298" w:rsidRPr="003D2453">
        <w:t xml:space="preserve"> after receiving chemotherapy. The five highest occurring symptoms at the three timepoints are lack of energy (86.3%, 90.3% and 86.2, respectively), difficulty sleeping (74.5%, 72.2%, and 66.6%, respectively), hair loss (69.5%, 57.3%, and 54.4%, respectively), pain (60.7%, 69.7%, and, 62.4%, respectively), and feeling drowsy (60.3%, 65.6%, and 51.8%, respectively).</w:t>
      </w:r>
      <w:r w:rsidR="000A6298" w:rsidRPr="003D2453">
        <w:fldChar w:fldCharType="begin"/>
      </w:r>
      <w:r w:rsidR="00CA6345">
        <w:instrText xml:space="preserve"> ADDIN ZOTERO_ITEM CSL_CITATION {"citationID":"TuaUd3Ih","properties":{"formattedCitation":"\\super 100\\nosupersub{}","plainCitation":"100","noteIndex":0},"citationItems":[{"id":66182,"uris":["http://zotero.org/groups/4797619/items/N3573IG3"],"itemData":{"id":66182,"type":"article-journal","abstract":"Context\nPatients with breast cancer who undergo chemotherapy (CTX) experience between 10 and 32 concurrent symptoms. An evaluation of how these symptoms cluster together and how these symptom clusters change over time may provide insights into how to treat these multiple co-occurring symptoms.\n\nObjectives\nThe purposes of this study were to: determine the occurrence rates and severity ratings for 38 common symptoms, evaluate for differences in the number and types of symptom clusters, and evaluate for changes over time in these symptom clusters (i.e., prior to CTX, the week following CTX, and two weeks following CTX).\n\nMethods\nAt each of the assessments, a modified version of the Memorial Symptom Assessment Scale was used to assess the occurrence and severity of the 38 symptoms. Exploratory factor analyses were used to extract the symptom clusters.\n\nResults\nWhile across the two symptom dimensions (i.e., occurrence, severity) and the three assessments, eight distinct symptom clusters were identified, only five were relatively stable across both dimensions and across time (i.e., psychological, hormonal, nutritional, gastrointestinal, epithelial). Two of the additional clusters varied by time but not by symptom dimension (i.e., sickness behavior, weight change). The CTX neuropathy cluster was identified only at the assessment done in the week following CTX.\n\nConclusion\nThese findings provide insights into the most common symptom clusters in patients undergoing CTX for breast cancer. In addition, the most common symptoms within each cluster appear to be relatively stable across the two dimensions, as well as across time.","container-title":"Journal of pain and symptom management","DOI":"10.1016/j.jpainsymman.2017.08.008","ISSN":"0885-3924","issue":"1","journalAbbreviation":"J Pain Symptom Manage","note":"PMID: 28838866\nPMCID: PMC5734998","page":"39-55","source":"PubMed Central","title":"STABILITY OF SYMPTOM CLUSTERS IN PATIENTS WITH BREAST CANCER RECEIVING CHEMOTHERAPY","volume":"55","author":[{"family":"Sullivan","given":"Carmen Ward"},{"family":"Leutwyler","given":"Heather"},{"family":"Dunn","given":"Laura B."},{"family":"Cooper","given":"Bruce A."},{"family":"Paul","given":"Steven M."},{"family":"Levine","given":"Jon D."},{"family":"Hammer","given":"Marilyn"},{"family":"Conley","given":"Yvette P."},{"family":"Miaskowski","given":"Christine A."}],"issued":{"date-parts":[["2018",1]]}}}],"schema":"https://github.com/citation-style-language/schema/raw/master/csl-citation.json"} </w:instrText>
      </w:r>
      <w:r w:rsidR="000A6298" w:rsidRPr="003D2453">
        <w:fldChar w:fldCharType="separate"/>
      </w:r>
      <w:r w:rsidR="00CA6345" w:rsidRPr="00CA6345">
        <w:rPr>
          <w:rFonts w:cs="Arial"/>
          <w:szCs w:val="24"/>
          <w:vertAlign w:val="superscript"/>
        </w:rPr>
        <w:t>100</w:t>
      </w:r>
      <w:r w:rsidR="000A6298" w:rsidRPr="003D2453">
        <w:fldChar w:fldCharType="end"/>
      </w:r>
      <w:r w:rsidR="000A6298" w:rsidRPr="003D2453" w:rsidDel="000A6298">
        <w:t xml:space="preserve"> </w:t>
      </w:r>
    </w:p>
    <w:p w14:paraId="47458C08" w14:textId="12D1F872" w:rsidR="006228DB" w:rsidRPr="003D2453" w:rsidRDefault="00214EC6" w:rsidP="000A6298">
      <w:pPr>
        <w:pStyle w:val="Body"/>
      </w:pPr>
      <w:r w:rsidRPr="003D2453">
        <w:t>Treatment with</w:t>
      </w:r>
      <w:r w:rsidR="00577450" w:rsidRPr="003D2453">
        <w:t xml:space="preserve"> </w:t>
      </w:r>
      <w:r w:rsidR="00BF3A0A" w:rsidRPr="003D2453">
        <w:t xml:space="preserve">non-targeted </w:t>
      </w:r>
      <w:r w:rsidR="0094297A" w:rsidRPr="003D2453">
        <w:t>c</w:t>
      </w:r>
      <w:r w:rsidR="000A6298" w:rsidRPr="003D2453">
        <w:t xml:space="preserve">hemotherapy is also associated with </w:t>
      </w:r>
      <w:r w:rsidR="00577450" w:rsidRPr="003D2453">
        <w:t>a negative</w:t>
      </w:r>
      <w:r w:rsidR="000A6298" w:rsidRPr="003D2453">
        <w:t xml:space="preserve"> QoL and anxiety </w:t>
      </w:r>
      <w:r w:rsidR="00577450" w:rsidRPr="003D2453">
        <w:t>impact</w:t>
      </w:r>
      <w:r w:rsidR="005F30EE" w:rsidRPr="003D2453">
        <w:t xml:space="preserve"> </w:t>
      </w:r>
      <w:r w:rsidR="000A6298" w:rsidRPr="003D2453">
        <w:t xml:space="preserve">in patients with BC. In a UK study, </w:t>
      </w:r>
      <w:r w:rsidR="000A657A" w:rsidRPr="003D2453">
        <w:t>treatment with</w:t>
      </w:r>
      <w:r w:rsidR="00FC3E57">
        <w:t xml:space="preserve"> chemotherapy</w:t>
      </w:r>
      <w:r w:rsidR="000A657A" w:rsidRPr="003D2453">
        <w:t xml:space="preserve"> vs</w:t>
      </w:r>
      <w:r w:rsidR="00C916B6" w:rsidRPr="003D2453">
        <w:t>.</w:t>
      </w:r>
      <w:r w:rsidR="000A657A" w:rsidRPr="003D2453">
        <w:t xml:space="preserve"> without </w:t>
      </w:r>
      <w:r w:rsidR="000A6298" w:rsidRPr="003D2453">
        <w:t xml:space="preserve">chemotherapy was associated with a reduction in QoL – measured using the </w:t>
      </w:r>
      <w:r w:rsidR="005754E8">
        <w:t>Quality-of-life</w:t>
      </w:r>
      <w:r w:rsidR="000A6298" w:rsidRPr="003D2453">
        <w:t xml:space="preserve"> in Adult Cancer Survivors (QLA</w:t>
      </w:r>
      <w:r w:rsidR="002C149D" w:rsidRPr="003D2453">
        <w:t>C</w:t>
      </w:r>
      <w:r w:rsidR="000A6298" w:rsidRPr="003D2453">
        <w:t>S) tool – across generic domains (</w:t>
      </w:r>
      <w:r w:rsidR="000221AC" w:rsidRPr="003D2453">
        <w:t>hazard ratio</w:t>
      </w:r>
      <w:r w:rsidR="00306B18" w:rsidRPr="003D2453">
        <w:t xml:space="preserve"> [</w:t>
      </w:r>
      <w:r w:rsidR="000A6298" w:rsidRPr="003D2453">
        <w:t>HR</w:t>
      </w:r>
      <w:r w:rsidR="00306B18" w:rsidRPr="003D2453">
        <w:t>]</w:t>
      </w:r>
      <w:r w:rsidR="000A6298" w:rsidRPr="003D2453">
        <w:t>: 8.70; 95% CI: 3.80, 13.70) and cancer-specific domains (HR: 10.90; 95% CI: 7.10, 14.70), as well as increased anxiety, measured using the HADS tool (HR: 1.10; 95% CI: 0.20, 2.00).</w:t>
      </w:r>
      <w:r w:rsidR="00886930">
        <w:fldChar w:fldCharType="begin"/>
      </w:r>
      <w:r w:rsidR="00CA6345">
        <w:instrText xml:space="preserve"> ADDIN ZOTERO_ITEM CSL_CITATION {"citationID":"cNFkxHCV","properties":{"formattedCitation":"\\super 101\\nosupersub{}","plainCitation":"101","noteIndex":0},"citationItems":[{"id":66181,"uris":["http://zotero.org/groups/4797619/items/3CZII7Y9"],"itemData":{"id":66181,"type":"article-journal","abstract":"PURPOSE: There is limited high-quality evidence on quality of life, anxiety, and depressive symptoms in breast cancer survivors and women with no history of cancer. We aimed to address this by comparing patient-reported outcomes between breast cancer survivors and women with no history of breast cancer.\nMETHODS: Breast cancer survivors and women with no prior cancer were selected from the UK Clinical Practice Research Datalink GOLD primary care database, which includes population-based primary care electronic health record data. Breast cancer survivors and controls were frequency matched by age and primary care practice. Outcomes were assessed with validated instruments via postal questionnaire. Linear and logistic regression models were fitted to estimate adjusted associations between breast cancer survivorship and outcomes.\nRESULTS: A total of 356 breast cancer survivors (8.1 years post diagnosis) and 252 women with no prior cancer participated in the study. Compared with non-cancer controls, breast cancer survivors had poorer QoL in the domains of cognitive problems (adjusted β (aβ) = 1.4, p = 0.01), sexual function (aβ = 1.7, p = 0.02) and fatigue (aβ = 1.3, p = 0.01), but no difference in negative feelings, positive feelings, pain, or social avoidance. Breast cancer survivors had higher odds of borderline-probable anxiety (score ≥ 8) (adjusted OR = 1.47, 95%CI:1.15-1.87), but no differences in depression. Advanced stage at diagnosis and chemotherapy treatment were associated with poorer QoL.\nCONCLUSIONS: Compared with women with no history of cancer, breast cancer survivors report more problems with cognition, sexual function, fatigue, and anxiety, particularly where their cancer was advanced and/or treated with chemotherapy.\nIMPLICATIONS FOR CANCER SURVIVORS: Breast cancer survivors with more advanced disease and/or treated with chemotherapy should be closely monitored and, when possible, offered evidence-based intervention for fatigue, cognitive dysfunction, and sexual problems.","container-title":"Journal of Cancer Survivorship: Research and Practice","DOI":"10.1007/s11764-020-00950-3","ISSN":"1932-2267","issue":"4","journalAbbreviation":"J Cancer Surviv","language":"eng","note":"PMID: 33089480\nPMCID: PMC8272697","page":"564-575","source":"PubMed","title":"Quality of life and mental health in breast cancer survivors compared with non-cancer controls: a study of patient-reported outcomes in the United Kingdom","title-short":"Quality of life and mental health in breast cancer survivors compared with non-cancer controls","volume":"15","author":[{"family":"Carreira","given":"Helena"},{"family":"Williams","given":"Rachael"},{"family":"Dempsey","given":"Harley"},{"family":"Stanway","given":"Susannah"},{"family":"Smeeth","given":"Liam"},{"family":"Bhaskaran","given":"Krishnan"}],"issued":{"date-parts":[["2021",8]]}}}],"schema":"https://github.com/citation-style-language/schema/raw/master/csl-citation.json"} </w:instrText>
      </w:r>
      <w:r w:rsidR="00886930">
        <w:fldChar w:fldCharType="separate"/>
      </w:r>
      <w:r w:rsidR="00CA6345" w:rsidRPr="00CA6345">
        <w:rPr>
          <w:rFonts w:cs="Arial"/>
          <w:szCs w:val="24"/>
          <w:vertAlign w:val="superscript"/>
        </w:rPr>
        <w:t>101</w:t>
      </w:r>
      <w:r w:rsidR="00886930">
        <w:fldChar w:fldCharType="end"/>
      </w:r>
      <w:r w:rsidR="000A6298" w:rsidRPr="003D2453">
        <w:t xml:space="preserve"> Across treatment types, chemotherapy is associated with significantly greater total toxicity than targeted or hormone therapies (p=0.03). Additionally, disease-limited social activity and a negative impact of BC on closest family are reported by 70% and 61%, respectively, of patients treated with chemotherapy, compared with 50% and 51%, respectively, of those treated with targeted therapy.</w:t>
      </w:r>
      <w:r w:rsidR="00172D99">
        <w:fldChar w:fldCharType="begin"/>
      </w:r>
      <w:r w:rsidR="00CA6345">
        <w:instrText xml:space="preserve"> ADDIN ZOTERO_ITEM CSL_CITATION {"citationID":"HyqAiYFH","properties":{"formattedCitation":"\\super 102\\nosupersub{}","plainCitation":"102","noteIndex":0},"citationItems":[{"id":66180,"uris":["http://zotero.org/groups/4797619/items/IBWTAKTJ"],"itemData":{"id":66180,"type":"article-journal","abstract":"INTRODUCTION: Breast cancer is one of the most important health problems in the world. In recent years, this cancer has achieved a reduction in mortality, which is attributed to the introduction of mass screening and greater efficacy of post-operative treatment. Many patients with breast cancer have indications only for palliative therapy, but the impact of these methods on the quality of life of patients remains a subject of controversy. It remains unknown whether the progress in improving the quality of life in clinical trials also applies to patients treated as part of daily clinical practice. Data on the results of the impact of conducted therapies on the quality of life outside of clinical trials are scarce.\nMETHODS: The results of palliative chemotherapy and first-line hormonotherapy in 351 patients with advanced, metastatic breast cancer treated in the period from January 2010 to December 2016 in two centres were analysed.\nRESULTS: The average age of patients was 62 ± 9.8 years; 139 patients received chemotherapy, 91 - therapy containing trastuzumab, and 121 - hormone therapy. A partial response was obtained in 111 patients (32%), stabilization in 150 (43%), and in 90 patients (26%) progression. Median survival time in the whole group of patients was 36 months. Chemotherapy compared to trastuzumab and hormonotherapy was associated with greater total toxicity (p = 0.03). There was a significant relationship between the type of therapy (hormonotherapy, chemotherapy, targeted therapy) and the general average quality of women's life measured with the EORC-QLQ-C30 questionnaire. In addition, a statistically significant difference was found in some somatic complaints (the scale of QLQ-BR23 symptoms) depending on the type of therapy performed. The lowest intensity of complaints was reported by patients during hormonotherapy, then during targeted therapy, and the largest during chemotherapy.\nCONCLUSIONS: There is no effect of chemotherapy on the overall quality of life. Hormone therapy and trastuzumab therapy improved the quality of life of the treated patients in clinical practice.","container-title":"Health and Quality of Life Outcomes","DOI":"10.1186/s12955-020-01389-x","ISSN":"1477-7525","issue":"1","journalAbbreviation":"Health Qual Life Outcomes","language":"eng","note":"PMID: 32398097\nPMCID: PMC7216605","page":"134","source":"PubMed","title":"Quality of life during chemotherapy, hormonotherapy or antiHER2 therapy of patients with advanced, metastatic breast cancer in clinical practice","volume":"18","author":[{"family":"Adamowicz","given":"Krzysztof"},{"family":"Baczkowska-Waliszewska","given":"Zuzanna"}],"issued":{"date-parts":[["2020",5,12]]}}}],"schema":"https://github.com/citation-style-language/schema/raw/master/csl-citation.json"} </w:instrText>
      </w:r>
      <w:r w:rsidR="00172D99">
        <w:fldChar w:fldCharType="separate"/>
      </w:r>
      <w:r w:rsidR="00CA6345" w:rsidRPr="00CA6345">
        <w:rPr>
          <w:rFonts w:cs="Arial"/>
          <w:szCs w:val="24"/>
          <w:vertAlign w:val="superscript"/>
        </w:rPr>
        <w:t>102</w:t>
      </w:r>
      <w:r w:rsidR="00172D99">
        <w:fldChar w:fldCharType="end"/>
      </w:r>
      <w:r w:rsidR="000A6298" w:rsidRPr="003D2453" w:rsidDel="000A6298">
        <w:t xml:space="preserve"> </w:t>
      </w:r>
    </w:p>
    <w:p w14:paraId="34701504" w14:textId="7F7F1ED5" w:rsidR="008C5A32" w:rsidRPr="002646F6" w:rsidRDefault="001F46CF" w:rsidP="000A6298">
      <w:pPr>
        <w:pStyle w:val="Body"/>
      </w:pPr>
      <w:r w:rsidRPr="00694CC6">
        <w:t xml:space="preserve">Among mBC patients with </w:t>
      </w:r>
      <w:r w:rsidR="0013511A" w:rsidRPr="00694CC6">
        <w:t>HER2-negative/HR-positive</w:t>
      </w:r>
      <w:r w:rsidRPr="00694CC6">
        <w:t xml:space="preserve"> disease, treatment with chemotherapy is significantly associated with lower emotional wellbeing scores than treatment with hormone therapy</w:t>
      </w:r>
      <w:r w:rsidR="00174F9E" w:rsidRPr="00694CC6">
        <w:t xml:space="preserve"> (</w:t>
      </w:r>
      <w:r w:rsidR="00673414" w:rsidRPr="00694CC6">
        <w:t xml:space="preserve">FACT-B; </w:t>
      </w:r>
      <w:r w:rsidR="00174F9E" w:rsidRPr="00694CC6">
        <w:t>p&lt;0.05)</w:t>
      </w:r>
      <w:r w:rsidRPr="00694CC6">
        <w:t>.</w:t>
      </w:r>
      <w:r w:rsidR="00727BA8" w:rsidRPr="00694CC6">
        <w:fldChar w:fldCharType="begin"/>
      </w:r>
      <w:r w:rsidR="00CA6345">
        <w:instrText xml:space="preserve"> ADDIN ZOTERO_ITEM CSL_CITATION {"citationID":"pNZ4f07l","properties":{"formattedCitation":"\\super 103\\nosupersub{}","plainCitation":"103","noteIndex":0},"citationItems":[{"id":65933,"uris":["http://zotero.org/groups/4797619/items/FANC7DMR"],"itemData":{"id":65933,"type":"article-journal","abstract":"This study aimed to characterize the impact of metastatic breast cancer (MBC) and cancer treatments on health-related quality of life, treatment satisfaction, and daily productivity from the patient perspective. This was a cross-sectional survey of patients with MBC (USA, n = 200; EU, n = 160). Post-menopausal women aged ≥50 years with hormone receptor positive (HR+), HER2-negative (HER2-) MBC, currently using hormonal therapy (HT) or using chemotherapy (CT) for ≤1 year were recruited. Fifty three percent (n = 191) reported CT and 47% (n = 169) reported HT use. Adjusting for covariates, HT users reported greater health-related quality of life (p &lt; 0.05), greater satisfaction with treatment and better feelings about side-effects (p &lt; 0.001). HT users reported less bother with treatment side-effects (0-5 scale, p &lt; 0.001) and less activity impairment than CT users (p &lt; 0.001). HT was associated with better patient-reported outcomes than CT in first-line MBC management. These findings should be taken into consideration while making treatment decisions for HR+/HER2- MBC.","container-title":"Expert Review of Pharmacoeconomics &amp; Outcomes Research","DOI":"10.1586/14737167.2014.949243","ISSN":"1744-8379","issue":"6","journalAbbreviation":"Expert Rev Pharmacoecon Outcomes Res","language":"eng","note":"PMID: 25130198","page":"929-940","source":"PubMed","title":"The association of chemotherapy versus hormonal therapy and health outcomes among patients with hormone receptor-positive, HER2-negative metastatic breast cancer: experience from the patient perspective","title-short":"The association of chemotherapy versus hormonal therapy and health outcomes among patients with hormone receptor-positive, HER2-negative metastatic breast cancer","volume":"14","author":[{"family":"Gupta","given":"Shaloo"},{"family":"Zhang","given":"Jie"},{"family":"Jerusalem","given":"Guy"}],"issued":{"date-parts":[["2014",12]]}}}],"schema":"https://github.com/citation-style-language/schema/raw/master/csl-citation.json"} </w:instrText>
      </w:r>
      <w:r w:rsidR="00727BA8" w:rsidRPr="00694CC6">
        <w:fldChar w:fldCharType="separate"/>
      </w:r>
      <w:r w:rsidR="00CA6345" w:rsidRPr="00CA6345">
        <w:rPr>
          <w:rFonts w:cs="Arial"/>
          <w:szCs w:val="24"/>
          <w:vertAlign w:val="superscript"/>
        </w:rPr>
        <w:t>103</w:t>
      </w:r>
      <w:r w:rsidR="00727BA8" w:rsidRPr="00694CC6">
        <w:fldChar w:fldCharType="end"/>
      </w:r>
      <w:r w:rsidRPr="00694CC6">
        <w:t xml:space="preserve"> </w:t>
      </w:r>
      <w:r w:rsidR="00860197" w:rsidRPr="00694CC6">
        <w:t>A</w:t>
      </w:r>
      <w:r w:rsidR="008C5A32" w:rsidRPr="00694CC6">
        <w:t xml:space="preserve"> 2016 US-based study </w:t>
      </w:r>
      <w:r w:rsidR="00EC59D5" w:rsidRPr="00694CC6">
        <w:t xml:space="preserve">of </w:t>
      </w:r>
      <w:r w:rsidR="008C5A32" w:rsidRPr="00694CC6">
        <w:t xml:space="preserve">140 patients </w:t>
      </w:r>
      <w:r w:rsidR="008C5A32" w:rsidRPr="002646F6">
        <w:t>with mBC</w:t>
      </w:r>
      <w:r w:rsidR="00DA6A2E" w:rsidRPr="002646F6">
        <w:t xml:space="preserve"> </w:t>
      </w:r>
      <w:r w:rsidR="00774B22" w:rsidRPr="002646F6">
        <w:t>(</w:t>
      </w:r>
      <w:r w:rsidR="008C2EF9" w:rsidRPr="002646F6">
        <w:t xml:space="preserve">97 </w:t>
      </w:r>
      <w:r w:rsidR="00B45C77">
        <w:t xml:space="preserve">of </w:t>
      </w:r>
      <w:r w:rsidR="00EE358A">
        <w:t>whom</w:t>
      </w:r>
      <w:r w:rsidR="00B45C77">
        <w:t xml:space="preserve"> </w:t>
      </w:r>
      <w:r w:rsidR="00EE358A">
        <w:t>had</w:t>
      </w:r>
      <w:r w:rsidR="00B45C77">
        <w:t xml:space="preserve"> </w:t>
      </w:r>
      <w:r w:rsidR="008C2EF9" w:rsidRPr="002646F6">
        <w:t>HER2-negative</w:t>
      </w:r>
      <w:r w:rsidR="00EE358A">
        <w:t xml:space="preserve"> mBC</w:t>
      </w:r>
      <w:r w:rsidR="008C2EF9" w:rsidRPr="002646F6">
        <w:t xml:space="preserve">) </w:t>
      </w:r>
      <w:r w:rsidR="00DA6A2E" w:rsidRPr="002646F6">
        <w:t>found that</w:t>
      </w:r>
      <w:r w:rsidR="008C5A32" w:rsidRPr="002646F6">
        <w:t xml:space="preserve"> chemotherapy (N=100) </w:t>
      </w:r>
      <w:r w:rsidR="008C5A32" w:rsidRPr="002646F6">
        <w:lastRenderedPageBreak/>
        <w:t xml:space="preserve">was associated with lower scores (worse </w:t>
      </w:r>
      <w:r w:rsidR="008670FF" w:rsidRPr="002646F6">
        <w:t>HR</w:t>
      </w:r>
      <w:r w:rsidR="008C5A32" w:rsidRPr="002646F6">
        <w:t>QoL) on the FACT-B Tri</w:t>
      </w:r>
      <w:r w:rsidR="004E42EE" w:rsidRPr="002646F6">
        <w:t>a</w:t>
      </w:r>
      <w:r w:rsidR="008C5A32" w:rsidRPr="002646F6">
        <w:t>l Outcome Index (66.1 vs</w:t>
      </w:r>
      <w:r w:rsidR="00D834E2">
        <w:t>.</w:t>
      </w:r>
      <w:r w:rsidR="008C5A32" w:rsidRPr="002646F6">
        <w:t xml:space="preserve"> 72.5; p&lt;0.01) and a higher rate of depression symptoms (HADS-D score &gt;7; 22% vs</w:t>
      </w:r>
      <w:r w:rsidR="00D834E2">
        <w:t>.</w:t>
      </w:r>
      <w:r w:rsidR="008C5A32" w:rsidRPr="002646F6">
        <w:t xml:space="preserve"> 7.5%; p=0.03) </w:t>
      </w:r>
      <w:r w:rsidR="00790FA4" w:rsidRPr="002646F6">
        <w:t xml:space="preserve">compared with </w:t>
      </w:r>
      <w:r w:rsidR="00D83447" w:rsidRPr="002646F6">
        <w:t>targeted</w:t>
      </w:r>
      <w:r w:rsidR="008C5A32" w:rsidRPr="002646F6">
        <w:t xml:space="preserve"> therapy (</w:t>
      </w:r>
      <w:r w:rsidR="00174F9E" w:rsidRPr="002646F6">
        <w:t>N</w:t>
      </w:r>
      <w:r w:rsidR="00D834E2">
        <w:t>=</w:t>
      </w:r>
      <w:r w:rsidR="008C5A32" w:rsidRPr="002646F6">
        <w:t>40).</w:t>
      </w:r>
      <w:r w:rsidR="000D7B87" w:rsidRPr="002646F6">
        <w:fldChar w:fldCharType="begin"/>
      </w:r>
      <w:r w:rsidR="00CA6345">
        <w:instrText xml:space="preserve"> ADDIN ZOTERO_ITEM CSL_CITATION {"citationID":"I6iRwirL","properties":{"formattedCitation":"\\super 104\\nosupersub{}","plainCitation":"104","noteIndex":0},"citationItems":[{"id":66183,"uris":["http://zotero.org/groups/4797619/items/U2VBNZXT"],"itemData":{"id":66183,"type":"article-journal","abstract":"Background: Although breast cancer is the second leading cause of cancer-related mortality in women in the United States, few studies focus on the supportive care needs of patients living with metastatic breast cancer (MBC)., Objective: We studied quality of life (QOL), depression, anxiety, and prognostic understanding of patients with MBC., Design: We conducted a cross-sectional study of 140 patients with MBC, stratified by receipt of endocrine therapy or chemotherapy., Measurements: We evaluated anxiety and depression using the Hospital Anxiety and Depression Scale (HADS). We assessed QOL using the Functional Assessment of Cancer Therapy-Breast (FACT-B), specifically measuring the FACT-B Trial Outcome Index (TOI), which includes physical and functional well-being and breast cancer-specific symptoms. Higher FACT-B TOI scores represent better QOL. We used a 12-item questionnaire to assess patients' perceptions of their prognosis and goals of therapy., Results: Compared to those taking endocrine therapy (n = 40), patients receiving chemotherapy (n = 100) reported lower scores on the FACT-B TOI (66.1 versus 72.5, p &lt; 0.01) and more depression symptoms (HADS-D &gt;7; 22% versus 7.5%, p = 0.03). Higher scores on the FACT-B TOI were associated with lower depression (β, −0.16; p &lt; 0.01) and anxiety (β, −0.11; p &lt; 0.01), and patients who reported frequent prognostic conversations with their oncologists had less depression (β, −1.28; p &lt; 0.01). Thirty-nine percent (54/140) reported that their cancer was likely curable., Conclusion: Patients with MBC, particularly those treated with chemotherapy, may benefit from interventions to address their physical, functional, and breast cancer-related symptoms. Many do not report accurate prognostic understanding, and more frequent prognostic conversations might address this information gap.","container-title":"Journal of Palliative Medicine","DOI":"10.1089/jpm.2016.0027","ISSN":"1096-6218","issue":"8","journalAbbreviation":"J Palliat Med","note":"PMID: 27124211\nPMCID: PMC4982956","page":"863-869","source":"PubMed Central","title":"Quality of Life, Mood, and Prognostic Understanding in Patients with Metastatic Breast Cancer","volume":"19","author":[{"family":"Shin","given":"Jennifer A."},{"family":"El-Jawahri","given":"Areej"},{"family":"Parkes","given":"Amanda"},{"family":"Schleicher","given":"Stephen M."},{"family":"Knight","given":"Helen P."},{"family":"Temel","given":"Jennifer S."}],"issued":{"date-parts":[["2016",8,1]]}}}],"schema":"https://github.com/citation-style-language/schema/raw/master/csl-citation.json"} </w:instrText>
      </w:r>
      <w:r w:rsidR="000D7B87" w:rsidRPr="002646F6">
        <w:fldChar w:fldCharType="separate"/>
      </w:r>
      <w:r w:rsidR="00CA6345" w:rsidRPr="00CA6345">
        <w:rPr>
          <w:rFonts w:cs="Arial"/>
          <w:szCs w:val="24"/>
          <w:vertAlign w:val="superscript"/>
        </w:rPr>
        <w:t>104</w:t>
      </w:r>
      <w:r w:rsidR="000D7B87" w:rsidRPr="002646F6">
        <w:fldChar w:fldCharType="end"/>
      </w:r>
      <w:r w:rsidR="008C5A32" w:rsidRPr="002646F6">
        <w:t xml:space="preserve"> </w:t>
      </w:r>
    </w:p>
    <w:bookmarkEnd w:id="58"/>
    <w:p w14:paraId="27689D77" w14:textId="39CE8392" w:rsidR="001B0DBE" w:rsidRDefault="001B0DBE" w:rsidP="009506B5">
      <w:pPr>
        <w:pStyle w:val="Heading4"/>
      </w:pPr>
      <w:r>
        <w:t>Economic burden</w:t>
      </w:r>
    </w:p>
    <w:p w14:paraId="2A986E2D" w14:textId="75F22A8F" w:rsidR="00ED15B6" w:rsidRPr="00DA7380" w:rsidRDefault="004D30BD" w:rsidP="00ED15B6">
      <w:pPr>
        <w:pStyle w:val="Body"/>
      </w:pPr>
      <w:r>
        <w:t xml:space="preserve">The high mortality and morbidity associated with mBC presents a significant economic burden. </w:t>
      </w:r>
      <w:r w:rsidR="00ED15B6" w:rsidRPr="00DA7380">
        <w:t>In general, the management of BC requires substantial resource use in England and Wales. In 2010, the total age-standardised cost of BC care in England was £371 million and £134 million for patients aged 18–64 and ≥65 years, respectively.</w:t>
      </w:r>
      <w:r w:rsidR="00655470">
        <w:fldChar w:fldCharType="begin"/>
      </w:r>
      <w:r w:rsidR="00CA6345">
        <w:instrText xml:space="preserve"> ADDIN ZOTERO_ITEM CSL_CITATION {"citationID":"luXPc9QU","properties":{"formattedCitation":"\\super 105\\nosupersub{}","plainCitation":"105","noteIndex":0},"citationItems":[{"id":65897,"uris":["http://zotero.org/groups/4797619/items/44LL32JN"],"itemData":{"id":65897,"type":"article-journal","abstract":"BACKGROUND: Health systems are facing the challenge of providing care to an increasing population of patients with cancer. However, evidence on costs is limited due to the lack of large longitudinal databases.\nMETHODS: We matched cost of care data to population-based, patient-level data on cancer patients in England. We conducted a retrospective cohort study including all patients age 18 and over with a diagnosis of colorectal (275 985 patients), breast (359 771), prostate (286 426) and lung cancer (283 940) in England between 2001 and 2010. Incidence costs, prevalence costs, and phase of care costs were estimated separately for patients age 18-64 and </w:instrText>
      </w:r>
      <w:r w:rsidR="00CA6345">
        <w:rPr>
          <w:rFonts w:ascii="Cambria Math" w:hAnsi="Cambria Math" w:cs="Cambria Math"/>
        </w:rPr>
        <w:instrText>⩾</w:instrText>
      </w:r>
      <w:r w:rsidR="00CA6345">
        <w:instrText xml:space="preserve">65. Costs of care were compared by patients staging, before and after diagnosis, and with a comparison population without cancer.\nRESULTS: Incidence costs in the first year of diagnosis are noticeably higher in patients age 18-64 than age </w:instrText>
      </w:r>
      <w:r w:rsidR="00CA6345">
        <w:rPr>
          <w:rFonts w:ascii="Cambria Math" w:hAnsi="Cambria Math" w:cs="Cambria Math"/>
        </w:rPr>
        <w:instrText>⩾</w:instrText>
      </w:r>
      <w:r w:rsidR="00CA6345">
        <w:instrText xml:space="preserve">65 across all examined cancers. A lower stage diagnosis is associated with larger cost savings for colorectal and breast cancer in both age groups. The additional costs of care because of the main four cancers amounts to £1.5 billion in 2010, namely 3.0% of the total cost of hospital care.\nCONCLUSIONS: Population-based, patient-level data can be used to provide new evidence on the cost of cancer in England. Early diagnosis and cancer prevention have scope for achieving large cost savings for the health system.","container-title":"British Journal of Cancer","DOI":"10.1038/bjc.2016.77","ISSN":"1532-1827","issue":"11","journalAbbreviation":"Br J Cancer","language":"eng","note":"PMID: 27070711\nPMCID: PMC4891510","page":"1286-1292","source":"PubMed","title":"Cost of care for cancer patients in England: evidence from population-based patient-level data","title-short":"Cost of care for cancer patients in England","volume":"114","author":[{"family":"Laudicella","given":"Mauro"},{"family":"Walsh","given":"Brendan"},{"family":"Burns","given":"Elaine"},{"family":"Smith","given":"Peter C."}],"issued":{"date-parts":[["2016",5,24]]}}}],"schema":"https://github.com/citation-style-language/schema/raw/master/csl-citation.json"} </w:instrText>
      </w:r>
      <w:r w:rsidR="00655470">
        <w:fldChar w:fldCharType="separate"/>
      </w:r>
      <w:r w:rsidR="00CA6345" w:rsidRPr="00CA6345">
        <w:rPr>
          <w:rFonts w:cs="Arial"/>
          <w:szCs w:val="24"/>
          <w:vertAlign w:val="superscript"/>
        </w:rPr>
        <w:t>105</w:t>
      </w:r>
      <w:r w:rsidR="00655470">
        <w:fldChar w:fldCharType="end"/>
      </w:r>
    </w:p>
    <w:p w14:paraId="34C77576" w14:textId="10C27DB4" w:rsidR="00ED15B6" w:rsidRDefault="00ED15B6" w:rsidP="00ED15B6">
      <w:pPr>
        <w:pStyle w:val="Body"/>
      </w:pPr>
      <w:r w:rsidRPr="00DA7380">
        <w:t>Generally, the cost of treating and caring for patients with BC rises as the disease progresses: costs of disease-related hospital care and treatment increase as patients</w:t>
      </w:r>
      <w:r>
        <w:t xml:space="preserve"> progress to locally</w:t>
      </w:r>
      <w:r w:rsidR="00562AA4">
        <w:t xml:space="preserve"> </w:t>
      </w:r>
      <w:r>
        <w:t>advanced or metastatic disease.</w:t>
      </w:r>
      <w:r w:rsidR="00813565">
        <w:fldChar w:fldCharType="begin"/>
      </w:r>
      <w:r w:rsidR="00CA6345">
        <w:instrText xml:space="preserve"> ADDIN ZOTERO_ITEM CSL_CITATION {"citationID":"elk6SLmB","properties":{"formattedCitation":"\\super 30,31\\nosupersub{}","plainCitation":"30,31","noteIndex":0},"citationItems":[{"id":65896,"uris":["http://zotero.org/groups/4797619/items/AJX85HLT"],"itemData":{"id":65896,"type":"article-journal","abstract":"BACKGROUND: The rising financial burden of cancer on health-care systems worldwide has led to the increased demand for evidence-based research on which to base reimbursement decisions. Economic evaluations are an integral component of this necessary research. Ascertainment of reliable health-care cost and quality-of-life estimates to inform such studies has historically been challenging, but recent advances in informatics in the United Kingdom provide new opportunities.\nMETHODS: The costs of hospital care for breast, colorectal and prostate cancer disease-free survivors were calculated over 15 months from initial diagnosis of cancer using routinely collected data within a UK National Health Service (NHS) Hospital Trust. Costs were linked at patient level to patient-reported outcomes and registry-derived sociodemographic factors. Predictors of cost and the relationship between costs and patient-reported utility were examined.\nRESULTS: The study population included 223 breast cancer patients, 145 colorectal and 104 prostate cancer patients. The mean 15-month cumulative health-care costs were £12 595 (95% CI £11 517-£13 722), £12 643 (£11 282-£14 102) and £3722 (£3263-£4208), per-patient respectively. The majority of costs occurred within the first 6 months from diagnosis. Clinical stage was the most important predictor of costs for all cancer types. EQ-5D score was predictive of costs in colorectal cancer but not in breast or prostate cancer.\nCONCLUSION: It is now possible to evaluate health-care cost using routine NHS data sets. Such methods can be utilised in future retrospective and prospective studies to efficiently collect economic data.","container-title":"British Journal of Cancer","DOI":"10.1038/bjc.2014.644","ISSN":"1532-1827","issue":"5","journalAbbreviation":"Br J Cancer","language":"eng","note":"PMID: 25602964\nPMCID: PMC4453947","page":"948-956","source":"PubMed","title":"Costs of cancer care for use in economic evaluation: a UK analysis of patient-level routine health system data","title-short":"Costs of cancer care for use in economic evaluation","volume":"112","author":[{"family":"Hall","given":"P. S."},{"family":"Hamilton","given":"P."},{"family":"Hulme","given":"C. T."},{"family":"Meads","given":"D. M."},{"family":"Jones","given":"H."},{"family":"Newsham","given":"A."},{"family":"Marti","given":"J."},{"family":"Smith","given":"A. F."},{"family":"Mason","given":"H."},{"family":"Velikova","given":"G."},{"family":"Ashley","given":"L."},{"family":"Wright","given":"P."}],"issued":{"date-parts":[["2015",3,3]]}}},{"id":65895,"uris":["http://zotero.org/groups/4797619/items/MW5KFY5Y"],"itemData":{"id":65895,"type":"article-journal","abstract":"BACKGROUND: Published evidence on treatment costs of breast cancer varies widely in methodology and a global systematic review is lacking.\nOBJECTIVES: This study aimed to conduct a systematic review to compare treatment costs of breast cancer by stage at diagnosis across countries at different levels of socio-economic development, and to identify key methodological differences in costing approaches.\nDATA SOURCES: MEDLINE, EMBASE, and NHS Economic Evaluation Database (NHS EED) before April 2018.\nELIGIBILITY CRITERIA: Studies were eligible if they reported treatment costs of breast cancer by stage at diagnosis using patient level data, in any language.\nSTUDY APPRAISAL AND SYNTHESIS METHODS: Study characteristics and treatment costs by stage were summarised. Study quality was assessed using the Drummond Checklist, and detailed methodological differences were further compared.\nRESULTS: Twenty studies were included, 15 from high-income countries and five from low- and middle-income countries. Eleven studies used the FIGO staging system, and the mean treatment costs of breast cancer at Stage II, III and IV were 32%, 95%, and 109% higher than Stage I. Five studies categorised stage as in situ, local, regional and distant. The mean treatment costs of regional and distant breast cancer were 41% and 165% higher than local breast cancer. Overall, the quality of studies ranged from 50% (lowest quality) to 84% (highest). Most studies used regression frameworks but the choice of regression model was rarely justified. Few studies described key methodological issues including skewness, zero values, censored data, missing data, and the inclusion of control groups to estimate disease-attributable costs.\nCONCLUSIONS: Treatment costs of breast cancer generally increased with the advancement of the disease stage at diagnosis. Methodological issues should be better handled and properly described in future costing studies.","container-title":"PloS One","DOI":"10.1371/journal.pone.0207993","ISSN":"1932-6203","issue":"11","journalAbbreviation":"PLoS One","language":"eng","note":"PMID: 30475890\nPMCID: PMC6258130","page":"e0207993","source":"PubMed","title":"Global treatment costs of breast cancer by stage: A systematic review","title-short":"Global treatment costs of breast cancer by stage","volume":"13","author":[{"family":"Sun","given":"Li"},{"family":"Legood","given":"Rosa"},{"family":"Dos-Santos-Silva","given":"Isabel"},{"family":"Gaiha","given":"Shivani Mathur"},{"family":"Sadique","given":"Zia"}],"issued":{"date-parts":[["2018"]]}}}],"schema":"https://github.com/citation-style-language/schema/raw/master/csl-citation.json"} </w:instrText>
      </w:r>
      <w:r w:rsidR="00813565">
        <w:fldChar w:fldCharType="separate"/>
      </w:r>
      <w:r w:rsidR="00FD57F4" w:rsidRPr="00FD57F4">
        <w:rPr>
          <w:rFonts w:cs="Arial"/>
          <w:szCs w:val="24"/>
          <w:vertAlign w:val="superscript"/>
        </w:rPr>
        <w:t>30,31</w:t>
      </w:r>
      <w:r w:rsidR="00813565">
        <w:fldChar w:fldCharType="end"/>
      </w:r>
      <w:r>
        <w:t xml:space="preserve"> Hospital costs over 15 months were significantly associated with disease spread </w:t>
      </w:r>
      <w:r w:rsidRPr="00DA7380">
        <w:t xml:space="preserve">to lymph nodes and </w:t>
      </w:r>
      <w:r>
        <w:t>with how aggressive the cancer was (i.e.</w:t>
      </w:r>
      <w:r w:rsidR="006F52D5">
        <w:t>,</w:t>
      </w:r>
      <w:r>
        <w:t xml:space="preserve"> </w:t>
      </w:r>
      <w:r w:rsidRPr="00DA7380">
        <w:t>Grade 3 BC</w:t>
      </w:r>
      <w:r>
        <w:t>)</w:t>
      </w:r>
      <w:r w:rsidRPr="00DA7380">
        <w:t xml:space="preserve"> in both univariate and multivariate regression analyses in a UK study (all p&lt;0.001).</w:t>
      </w:r>
      <w:r w:rsidR="00813565">
        <w:fldChar w:fldCharType="begin"/>
      </w:r>
      <w:r w:rsidR="00CA6345">
        <w:instrText xml:space="preserve"> ADDIN ZOTERO_ITEM CSL_CITATION {"citationID":"EyxHI4Cc","properties":{"formattedCitation":"\\super 30\\nosupersub{}","plainCitation":"30","noteIndex":0},"citationItems":[{"id":65896,"uris":["http://zotero.org/groups/4797619/items/AJX85HLT"],"itemData":{"id":65896,"type":"article-journal","abstract":"BACKGROUND: The rising financial burden of cancer on health-care systems worldwide has led to the increased demand for evidence-based research on which to base reimbursement decisions. Economic evaluations are an integral component of this necessary research. Ascertainment of reliable health-care cost and quality-of-life estimates to inform such studies has historically been challenging, but recent advances in informatics in the United Kingdom provide new opportunities.\nMETHODS: The costs of hospital care for breast, colorectal and prostate cancer disease-free survivors were calculated over 15 months from initial diagnosis of cancer using routinely collected data within a UK National Health Service (NHS) Hospital Trust. Costs were linked at patient level to patient-reported outcomes and registry-derived sociodemographic factors. Predictors of cost and the relationship between costs and patient-reported utility were examined.\nRESULTS: The study population included 223 breast cancer patients, 145 colorectal and 104 prostate cancer patients. The mean 15-month cumulative health-care costs were £12 595 (95% CI £11 517-£13 722), £12 643 (£11 282-£14 102) and £3722 (£3263-£4208), per-patient respectively. The majority of costs occurred within the first 6 months from diagnosis. Clinical stage was the most important predictor of costs for all cancer types. EQ-5D score was predictive of costs in colorectal cancer but not in breast or prostate cancer.\nCONCLUSION: It is now possible to evaluate health-care cost using routine NHS data sets. Such methods can be utilised in future retrospective and prospective studies to efficiently collect economic data.","container-title":"British Journal of Cancer","DOI":"10.1038/bjc.2014.644","ISSN":"1532-1827","issue":"5","journalAbbreviation":"Br J Cancer","language":"eng","note":"PMID: 25602964\nPMCID: PMC4453947","page":"948-956","source":"PubMed","title":"Costs of cancer care for use in economic evaluation: a UK analysis of patient-level routine health system data","title-short":"Costs of cancer care for use in economic evaluation","volume":"112","author":[{"family":"Hall","given":"P. S."},{"family":"Hamilton","given":"P."},{"family":"Hulme","given":"C. T."},{"family":"Meads","given":"D. M."},{"family":"Jones","given":"H."},{"family":"Newsham","given":"A."},{"family":"Marti","given":"J."},{"family":"Smith","given":"A. F."},{"family":"Mason","given":"H."},{"family":"Velikova","given":"G."},{"family":"Ashley","given":"L."},{"family":"Wright","given":"P."}],"issued":{"date-parts":[["2015",3,3]]}}}],"schema":"https://github.com/citation-style-language/schema/raw/master/csl-citation.json"} </w:instrText>
      </w:r>
      <w:r w:rsidR="00813565">
        <w:fldChar w:fldCharType="separate"/>
      </w:r>
      <w:r w:rsidR="00FD57F4" w:rsidRPr="00FD57F4">
        <w:rPr>
          <w:rFonts w:cs="Arial"/>
          <w:szCs w:val="24"/>
          <w:vertAlign w:val="superscript"/>
        </w:rPr>
        <w:t>30</w:t>
      </w:r>
      <w:r w:rsidR="00813565">
        <w:fldChar w:fldCharType="end"/>
      </w:r>
      <w:r w:rsidRPr="00DA7380">
        <w:t xml:space="preserve"> Treatment costs for distant BC were reported to be 165% higher than for local BC in a global systematic review</w:t>
      </w:r>
      <w:r>
        <w:t>,</w:t>
      </w:r>
      <w:r w:rsidR="00813565">
        <w:fldChar w:fldCharType="begin"/>
      </w:r>
      <w:r w:rsidR="00CA6345">
        <w:instrText xml:space="preserve"> ADDIN ZOTERO_ITEM CSL_CITATION {"citationID":"Ynr9HLNv","properties":{"formattedCitation":"\\super 31\\nosupersub{}","plainCitation":"31","noteIndex":0},"citationItems":[{"id":65895,"uris":["http://zotero.org/groups/4797619/items/MW5KFY5Y"],"itemData":{"id":65895,"type":"article-journal","abstract":"BACKGROUND: Published evidence on treatment costs of breast cancer varies widely in methodology and a global systematic review is lacking.\nOBJECTIVES: This study aimed to conduct a systematic review to compare treatment costs of breast cancer by stage at diagnosis across countries at different levels of socio-economic development, and to identify key methodological differences in costing approaches.\nDATA SOURCES: MEDLINE, EMBASE, and NHS Economic Evaluation Database (NHS EED) before April 2018.\nELIGIBILITY CRITERIA: Studies were eligible if they reported treatment costs of breast cancer by stage at diagnosis using patient level data, in any language.\nSTUDY APPRAISAL AND SYNTHESIS METHODS: Study characteristics and treatment costs by stage were summarised. Study quality was assessed using the Drummond Checklist, and detailed methodological differences were further compared.\nRESULTS: Twenty studies were included, 15 from high-income countries and five from low- and middle-income countries. Eleven studies used the FIGO staging system, and the mean treatment costs of breast cancer at Stage II, III and IV were 32%, 95%, and 109% higher than Stage I. Five studies categorised stage as in situ, local, regional and distant. The mean treatment costs of regional and distant breast cancer were 41% and 165% higher than local breast cancer. Overall, the quality of studies ranged from 50% (lowest quality) to 84% (highest). Most studies used regression frameworks but the choice of regression model was rarely justified. Few studies described key methodological issues including skewness, zero values, censored data, missing data, and the inclusion of control groups to estimate disease-attributable costs.\nCONCLUSIONS: Treatment costs of breast cancer generally increased with the advancement of the disease stage at diagnosis. Methodological issues should be better handled and properly described in future costing studies.","container-title":"PloS One","DOI":"10.1371/journal.pone.0207993","ISSN":"1932-6203","issue":"11","journalAbbreviation":"PLoS One","language":"eng","note":"PMID: 30475890\nPMCID: PMC6258130","page":"e0207993","source":"PubMed","title":"Global treatment costs of breast cancer by stage: A systematic review","title-short":"Global treatment costs of breast cancer by stage","volume":"13","author":[{"family":"Sun","given":"Li"},{"family":"Legood","given":"Rosa"},{"family":"Dos-Santos-Silva","given":"Isabel"},{"family":"Gaiha","given":"Shivani Mathur"},{"family":"Sadique","given":"Zia"}],"issued":{"date-parts":[["2018"]]}}}],"schema":"https://github.com/citation-style-language/schema/raw/master/csl-citation.json"} </w:instrText>
      </w:r>
      <w:r w:rsidR="00813565">
        <w:fldChar w:fldCharType="separate"/>
      </w:r>
      <w:r w:rsidR="00FD57F4" w:rsidRPr="00FD57F4">
        <w:rPr>
          <w:rFonts w:cs="Arial"/>
          <w:szCs w:val="24"/>
          <w:vertAlign w:val="superscript"/>
        </w:rPr>
        <w:t>31</w:t>
      </w:r>
      <w:r w:rsidR="00813565">
        <w:fldChar w:fldCharType="end"/>
      </w:r>
      <w:r>
        <w:t xml:space="preserve"> and i</w:t>
      </w:r>
      <w:r w:rsidRPr="00DA7380">
        <w:t xml:space="preserve">n the first year </w:t>
      </w:r>
      <w:r>
        <w:t>after</w:t>
      </w:r>
      <w:r w:rsidRPr="00DA7380">
        <w:t xml:space="preserve"> diagnosis, Stage III–IV BC is associated with incremental care costs of £2,569 per patient vs. Stage I–II BC in England (the per-patient first-year cost of Stage I–II BC is £10,746).</w:t>
      </w:r>
      <w:r w:rsidR="00813565">
        <w:fldChar w:fldCharType="begin"/>
      </w:r>
      <w:r w:rsidR="00CA6345">
        <w:instrText xml:space="preserve"> ADDIN ZOTERO_ITEM CSL_CITATION {"citationID":"epvHjCuy","properties":{"formattedCitation":"\\super 105\\nosupersub{}","plainCitation":"105","noteIndex":0},"citationItems":[{"id":65897,"uris":["http://zotero.org/groups/4797619/items/44LL32JN"],"itemData":{"id":65897,"type":"article-journal","abstract":"BACKGROUND: Health systems are facing the challenge of providing care to an increasing population of patients with cancer. However, evidence on costs is limited due to the lack of large longitudinal databases.\nMETHODS: We matched cost of care data to population-based, patient-level data on cancer patients in England. We conducted a retrospective cohort study including all patients age 18 and over with a diagnosis of colorectal (275 985 patients), breast (359 771), prostate (286 426) and lung cancer (283 940) in England between 2001 and 2010. Incidence costs, prevalence costs, and phase of care costs were estimated separately for patients age 18-64 and </w:instrText>
      </w:r>
      <w:r w:rsidR="00CA6345">
        <w:rPr>
          <w:rFonts w:ascii="Cambria Math" w:hAnsi="Cambria Math" w:cs="Cambria Math"/>
        </w:rPr>
        <w:instrText>⩾</w:instrText>
      </w:r>
      <w:r w:rsidR="00CA6345">
        <w:instrText xml:space="preserve">65. Costs of care were compared by patients staging, before and after diagnosis, and with a comparison population without cancer.\nRESULTS: Incidence costs in the first year of diagnosis are noticeably higher in patients age 18-64 than age </w:instrText>
      </w:r>
      <w:r w:rsidR="00CA6345">
        <w:rPr>
          <w:rFonts w:ascii="Cambria Math" w:hAnsi="Cambria Math" w:cs="Cambria Math"/>
        </w:rPr>
        <w:instrText>⩾</w:instrText>
      </w:r>
      <w:r w:rsidR="00CA6345">
        <w:instrText xml:space="preserve">65 across all examined cancers. A lower stage diagnosis is associated with larger cost savings for colorectal and breast cancer in both age groups. The additional costs of care because of the main four cancers amounts to £1.5 billion in 2010, namely 3.0% of the total cost of hospital care.\nCONCLUSIONS: Population-based, patient-level data can be used to provide new evidence on the cost of cancer in England. Early diagnosis and cancer prevention have scope for achieving large cost savings for the health system.","container-title":"British Journal of Cancer","DOI":"10.1038/bjc.2016.77","ISSN":"1532-1827","issue":"11","journalAbbreviation":"Br J Cancer","language":"eng","note":"PMID: 27070711\nPMCID: PMC4891510","page":"1286-1292","source":"PubMed","title":"Cost of care for cancer patients in England: evidence from population-based patient-level data","title-short":"Cost of care for cancer patients in England","volume":"114","author":[{"family":"Laudicella","given":"Mauro"},{"family":"Walsh","given":"Brendan"},{"family":"Burns","given":"Elaine"},{"family":"Smith","given":"Peter C."}],"issued":{"date-parts":[["2016",5,24]]}}}],"schema":"https://github.com/citation-style-language/schema/raw/master/csl-citation.json"} </w:instrText>
      </w:r>
      <w:r w:rsidR="00813565">
        <w:fldChar w:fldCharType="separate"/>
      </w:r>
      <w:r w:rsidR="00CA6345" w:rsidRPr="00CA6345">
        <w:rPr>
          <w:rFonts w:cs="Arial"/>
          <w:szCs w:val="24"/>
          <w:vertAlign w:val="superscript"/>
        </w:rPr>
        <w:t>105</w:t>
      </w:r>
      <w:r w:rsidR="00813565">
        <w:fldChar w:fldCharType="end"/>
      </w:r>
      <w:r w:rsidR="00813565" w:rsidRPr="00DA7380">
        <w:t xml:space="preserve"> </w:t>
      </w:r>
    </w:p>
    <w:p w14:paraId="210D82A1" w14:textId="2729411B" w:rsidR="00EA55DD" w:rsidRPr="002646F6" w:rsidRDefault="002D1ED2" w:rsidP="00EA55DD">
      <w:pPr>
        <w:pStyle w:val="Body"/>
        <w:rPr>
          <w:lang w:eastAsia="ja-JP"/>
        </w:rPr>
      </w:pPr>
      <w:r w:rsidRPr="00EB4EBA">
        <w:t>Cost drivers associated with mBC include treatment type, inpatient care, outpatient care, home care, surgery, continuous care, and laboratory tests.</w:t>
      </w:r>
      <w:r w:rsidRPr="00EB4EBA">
        <w:fldChar w:fldCharType="begin"/>
      </w:r>
      <w:r w:rsidR="00CA6345">
        <w:instrText xml:space="preserve"> ADDIN ZOTERO_ITEM CSL_CITATION {"citationID":"w1Cvk946","properties":{"formattedCitation":"\\super 106,107\\nosupersub{}","plainCitation":"106,107","noteIndex":0},"citationItems":[{"id":66179,"uris":["http://zotero.org/groups/4797619/items/7UHFRNS7"],"itemData":{"id":66179,"type":"article-journal","abstract":"INTRODUCTION: HER2-positive metastatic breast cancer (mBC) is an incurable disease associated with years of chronic therapy and excess cost. HER2-targeted therapies have shown survival benefit for early-stage and mBC; however, the economic impact of these therapies has not been fully assessed. We evaluated health care resource use (HCRU) and costs of mBC patients treated with HER2-targeted therapy.\nMETHODS: This was a retrospective cohort study using the IQVIA Real-World Data Adjudicated Claims Database (July 1, 2014 to July 31, 2019). Female patients aged ≥18 years with mBC who initiated HER2-targeted therapy in the prior year were identified. The index date was the initiation date of the HER2-targeted agent, after which patients were required to have ≥12 months of follow-up. Annual and cumulative all-cause and BC-related costs (2019 USD) and annual BC-related HCRU were computed in years 1, 2, and 3 following the index date.\nRESULTS: Following the initiation of HER2-targeted therapy, the mean annual total all-cause costs per patient in years 1 (n = 423), 2 (n = 357), and 3 (n = 166) were $320,892 (SD: $224,343), $235,159 (SD: $185,287), and $226,254 (SD: $197,901), respectively. The mean annual total BC-related costs were $240,048 (SD: $151,230), $175,631 (SD: $148,058), and $165,506 (SD: $159,374) in years 1, 2, and 3, respectively. A major portion of BC-related costs were costs associated with HER2-targeted treatment. The 3-year cumulative all-cause and BC-related total costs were $769,573 (SD: $456,920) and $624,455 (SD: $401,319), respectively.\nCONCLUSION: Treatment of HER2-positive mBC is a substantial economic burden. A potential approach to minimizing cost and HCRU is to prevent recurrence.","container-title":"Clinical Breast Cancer","DOI":"10.1016/j.clbc.2021.11.013","ISSN":"1938-0666","issue":"4","journalAbbreviation":"Clin Breast Cancer","language":"eng","note":"PMID: 35067467","page":"e488-e496","source":"PubMed","title":"Health Care Resource Utilization and Costs for Metastatic Breast Cancer Patients Newly Treated with Human Epidermal Growth Factor Receptor 2 (HER2)-Targeted Agents","volume":"22","author":[{"family":"Mahtani","given":"Reshma"},{"family":"Oestreicher","given":"Nina"},{"family":"Lalla","given":"Deepa"},{"family":"Ogbonnaya","given":"Augustina"},{"family":"Saundankar","given":"Vishal"},{"family":"Willey","given":"Joanne"},{"family":"Coutinho","given":"Anna D."},{"family":"McCann","given":"Kelly"}],"issued":{"date-parts":[["2022",6]]}}},{"id":66177,"uris":["http://zotero.org/groups/4797619/items/EDBTE5JW"],"itemData":{"id":66177,"type":"article-journal","abstract":"Purpose\nWe sought to expand the currently limited, Canadian, population-based data on the characteristics, treatment pathways, and health care costs according to stage in patients with human epidermal growth factor receptor-2 positive (HER2+) breast cancer (BC).\n\nMethods\nWe extracted data from the publicly funded health care system in Ontario. Baseline characteristics, treatment patterns, and health care costs were descriptively compared by cancer stage (I–III vs. IV) for adult women diagnosed with invasive HER2+ BC between 2012 and 2016. Resource use was multiplied by unit costs for publicly funded health care services to calculate costs.\n\nResults\nOverall, 4535 patients with stage I–III and 354 with stage IV HER2+ BC were identified. Most patients with stage I–III disease were treated with surgery (4372, 96.4%), with the majority having a lumpectomy, and 3521 (77.6%) received radiation. Neoadjuvant (NAT) and adjuvant (AT) systemic treatment rates were 20.1% (n = 920) and 88.8% (n = 3065), respectively. Systemic treatment was received by 311 patients (87.9%) with metastatic HER2+ BC, 264 of whom (84.9%) received trastuzumab. Annual health care costs per patient were nearly 3 times higher for stage IV vs. stage I–III HER2+ BC.\n\nConclusion\nPer-patient annual costs were substantially higher for women with metastatic HER2+ BC, despite less frequent exposure to surgery and radiation compared to those with early stage disease. Increasing NAT rates in early stage disease represent a critical opportunity to prevent recurrence and reduce the costs associated with treating metastatic HER2+ BC.\n\nElectronic supplementary material\nThe online version of this article (10.1007/s10549-020-05976-w) contains supplementary material, which is available to authorized users.","container-title":"Breast Cancer Research and Treatment","DOI":"10.1007/s10549-020-05976-w","ISSN":"0167-6806","issue":"3","journalAbbreviation":"Breast Cancer Res Treat","note":"PMID: 33090268\nPMCID: PMC7921035","page":"807-815","source":"PubMed Central","title":"A population-based comparison of treatment, resource utilization, and costs by cancer stage for Ontario patients with HER2-positive breast cancer","volume":"185","author":[{"family":"Brezden-Masley","given":"Christine"},{"family":"Fathers","given":"Kelly E."},{"family":"Coombes","given":"Megan E."},{"family":"Pourmirza","given":"Behin"},{"family":"Xue","given":"Cloris"},{"family":"Jerzak","given":"Katarzyna J."}],"issued":{"date-parts":[["2021"]]}}}],"schema":"https://github.com/citation-style-language/schema/raw/master/csl-citation.json"} </w:instrText>
      </w:r>
      <w:r w:rsidRPr="00EB4EBA">
        <w:fldChar w:fldCharType="separate"/>
      </w:r>
      <w:r w:rsidR="00CA6345" w:rsidRPr="00CA6345">
        <w:rPr>
          <w:rFonts w:cs="Arial"/>
          <w:szCs w:val="24"/>
          <w:vertAlign w:val="superscript"/>
        </w:rPr>
        <w:t>106,107</w:t>
      </w:r>
      <w:r w:rsidRPr="00EB4EBA">
        <w:fldChar w:fldCharType="end"/>
      </w:r>
      <w:r w:rsidRPr="00EB4EBA">
        <w:t xml:space="preserve"> </w:t>
      </w:r>
      <w:r w:rsidR="006F357B" w:rsidRPr="00EB4EBA">
        <w:t>Despite lower rates of surgery due to the unresectable nature of many late-stage BC cases, later-stage BC</w:t>
      </w:r>
      <w:r w:rsidR="006F357B" w:rsidRPr="002646F6">
        <w:t xml:space="preserve"> </w:t>
      </w:r>
      <w:r w:rsidR="003976A2" w:rsidRPr="002646F6">
        <w:t>in England</w:t>
      </w:r>
      <w:r w:rsidR="003976A2" w:rsidRPr="00EB4EBA">
        <w:t xml:space="preserve"> </w:t>
      </w:r>
      <w:r w:rsidR="006F357B" w:rsidRPr="00EB4EBA">
        <w:t>is associated with an additional 2.93 inpatient days in the first 12 months, and more day case/regular admissions than early-stage BC.</w:t>
      </w:r>
      <w:r w:rsidR="00B2431A" w:rsidRPr="00EB4EBA">
        <w:fldChar w:fldCharType="begin"/>
      </w:r>
      <w:r w:rsidR="00CA6345">
        <w:instrText xml:space="preserve"> ADDIN ZOTERO_ITEM CSL_CITATION {"citationID":"rVgTYLLC","properties":{"formattedCitation":"\\super 105\\nosupersub{}","plainCitation":"105","noteIndex":0},"citationItems":[{"id":65897,"uris":["http://zotero.org/groups/4797619/items/44LL32JN"],"itemData":{"id":65897,"type":"article-journal","abstract":"BACKGROUND: Health systems are facing the challenge of providing care to an increasing population of patients with cancer. However, evidence on costs is limited due to the lack of large longitudinal databases.\nMETHODS: We matched cost of care data to population-based, patient-level data on cancer patients in England. We conducted a retrospective cohort study including all patients age 18 and over with a diagnosis of colorectal (275 985 patients), breast (359 771), prostate (286 426) and lung cancer (283 940) in England between 2001 and 2010. Incidence costs, prevalence costs, and phase of care costs were estimated separately for patients age 18-64 and </w:instrText>
      </w:r>
      <w:r w:rsidR="00CA6345">
        <w:rPr>
          <w:rFonts w:ascii="Cambria Math" w:hAnsi="Cambria Math" w:cs="Cambria Math"/>
        </w:rPr>
        <w:instrText>⩾</w:instrText>
      </w:r>
      <w:r w:rsidR="00CA6345">
        <w:instrText xml:space="preserve">65. Costs of care were compared by patients staging, before and after diagnosis, and with a comparison population without cancer.\nRESULTS: Incidence costs in the first year of diagnosis are noticeably higher in patients age 18-64 than age </w:instrText>
      </w:r>
      <w:r w:rsidR="00CA6345">
        <w:rPr>
          <w:rFonts w:ascii="Cambria Math" w:hAnsi="Cambria Math" w:cs="Cambria Math"/>
        </w:rPr>
        <w:instrText>⩾</w:instrText>
      </w:r>
      <w:r w:rsidR="00CA6345">
        <w:instrText xml:space="preserve">65 across all examined cancers. A lower stage diagnosis is associated with larger cost savings for colorectal and breast cancer in both age groups. The additional costs of care because of the main four cancers amounts to £1.5 billion in 2010, namely 3.0% of the total cost of hospital care.\nCONCLUSIONS: Population-based, patient-level data can be used to provide new evidence on the cost of cancer in England. Early diagnosis and cancer prevention have scope for achieving large cost savings for the health system.","container-title":"British Journal of Cancer","DOI":"10.1038/bjc.2016.77","ISSN":"1532-1827","issue":"11","journalAbbreviation":"Br J Cancer","language":"eng","note":"PMID: 27070711\nPMCID: PMC4891510","page":"1286-1292","source":"PubMed","title":"Cost of care for cancer patients in England: evidence from population-based patient-level data","title-short":"Cost of care for cancer patients in England","volume":"114","author":[{"family":"Laudicella","given":"Mauro"},{"family":"Walsh","given":"Brendan"},{"family":"Burns","given":"Elaine"},{"family":"Smith","given":"Peter C."}],"issued":{"date-parts":[["2016",5,24]]}}}],"schema":"https://github.com/citation-style-language/schema/raw/master/csl-citation.json"} </w:instrText>
      </w:r>
      <w:r w:rsidR="00B2431A" w:rsidRPr="00EB4EBA">
        <w:fldChar w:fldCharType="separate"/>
      </w:r>
      <w:r w:rsidR="00CA6345" w:rsidRPr="00CA6345">
        <w:rPr>
          <w:rFonts w:cs="Arial"/>
          <w:szCs w:val="24"/>
          <w:vertAlign w:val="superscript"/>
        </w:rPr>
        <w:t>105</w:t>
      </w:r>
      <w:r w:rsidR="00B2431A" w:rsidRPr="00EB4EBA">
        <w:fldChar w:fldCharType="end"/>
      </w:r>
      <w:r w:rsidR="00D96A27" w:rsidRPr="00EB4EBA">
        <w:t xml:space="preserve"> The highest hospital care costs are those in the months prior to death (the ‘terminal’ phase of disease).</w:t>
      </w:r>
      <w:r w:rsidR="005448E9" w:rsidRPr="00EB4EBA">
        <w:fldChar w:fldCharType="begin"/>
      </w:r>
      <w:r w:rsidR="00CA6345">
        <w:instrText xml:space="preserve"> ADDIN ZOTERO_ITEM CSL_CITATION {"citationID":"bBub4OyB","properties":{"formattedCitation":"\\super 105\\nosupersub{}","plainCitation":"105","noteIndex":0},"citationItems":[{"id":65897,"uris":["http://zotero.org/groups/4797619/items/44LL32JN"],"itemData":{"id":65897,"type":"article-journal","abstract":"BACKGROUND: Health systems are facing the challenge of providing care to an increasing population of patients with cancer. However, evidence on costs is limited due to the lack of large longitudinal databases.\nMETHODS: We matched cost of care data to population-based, patient-level data on cancer patients in England. We conducted a retrospective cohort study including all patients age 18 and over with a diagnosis of colorectal (275 985 patients), breast (359 771), prostate (286 426) and lung cancer (283 940) in England between 2001 and 2010. Incidence costs, prevalence costs, and phase of care costs were estimated separately for patients age 18-64 and </w:instrText>
      </w:r>
      <w:r w:rsidR="00CA6345">
        <w:rPr>
          <w:rFonts w:ascii="Cambria Math" w:hAnsi="Cambria Math" w:cs="Cambria Math"/>
        </w:rPr>
        <w:instrText>⩾</w:instrText>
      </w:r>
      <w:r w:rsidR="00CA6345">
        <w:instrText xml:space="preserve">65. Costs of care were compared by patients staging, before and after diagnosis, and with a comparison population without cancer.\nRESULTS: Incidence costs in the first year of diagnosis are noticeably higher in patients age 18-64 than age </w:instrText>
      </w:r>
      <w:r w:rsidR="00CA6345">
        <w:rPr>
          <w:rFonts w:ascii="Cambria Math" w:hAnsi="Cambria Math" w:cs="Cambria Math"/>
        </w:rPr>
        <w:instrText>⩾</w:instrText>
      </w:r>
      <w:r w:rsidR="00CA6345">
        <w:instrText xml:space="preserve">65 across all examined cancers. A lower stage diagnosis is associated with larger cost savings for colorectal and breast cancer in both age groups. The additional costs of care because of the main four cancers amounts to £1.5 billion in 2010, namely 3.0% of the total cost of hospital care.\nCONCLUSIONS: Population-based, patient-level data can be used to provide new evidence on the cost of cancer in England. Early diagnosis and cancer prevention have scope for achieving large cost savings for the health system.","container-title":"British Journal of Cancer","DOI":"10.1038/bjc.2016.77","ISSN":"1532-1827","issue":"11","journalAbbreviation":"Br J Cancer","language":"eng","note":"PMID: 27070711\nPMCID: PMC4891510","page":"1286-1292","source":"PubMed","title":"Cost of care for cancer patients in England: evidence from population-based patient-level data","title-short":"Cost of care for cancer patients in England","volume":"114","author":[{"family":"Laudicella","given":"Mauro"},{"family":"Walsh","given":"Brendan"},{"family":"Burns","given":"Elaine"},{"family":"Smith","given":"Peter C."}],"issued":{"date-parts":[["2016",5,24]]}}}],"schema":"https://github.com/citation-style-language/schema/raw/master/csl-citation.json"} </w:instrText>
      </w:r>
      <w:r w:rsidR="005448E9" w:rsidRPr="00EB4EBA">
        <w:fldChar w:fldCharType="separate"/>
      </w:r>
      <w:r w:rsidR="00CA6345" w:rsidRPr="00CA6345">
        <w:rPr>
          <w:rFonts w:cs="Arial"/>
          <w:szCs w:val="24"/>
          <w:vertAlign w:val="superscript"/>
        </w:rPr>
        <w:t>105</w:t>
      </w:r>
      <w:r w:rsidR="005448E9" w:rsidRPr="00EB4EBA">
        <w:fldChar w:fldCharType="end"/>
      </w:r>
      <w:r w:rsidR="00AD2076" w:rsidRPr="00EB4EBA">
        <w:t xml:space="preserve"> </w:t>
      </w:r>
      <w:r w:rsidRPr="002646F6">
        <w:t>Other cost drivers associated with mBC include palliative car</w:t>
      </w:r>
      <w:r w:rsidR="00335F4C">
        <w:t>e</w:t>
      </w:r>
      <w:r w:rsidR="00FF0CD9">
        <w:t xml:space="preserve"> and</w:t>
      </w:r>
      <w:r w:rsidR="00335F4C">
        <w:t xml:space="preserve"> </w:t>
      </w:r>
      <w:r w:rsidRPr="002646F6">
        <w:t>toxicity management</w:t>
      </w:r>
      <w:r w:rsidR="00415352" w:rsidRPr="002646F6">
        <w:t>,</w:t>
      </w:r>
      <w:r w:rsidRPr="002646F6">
        <w:t xml:space="preserve"> </w:t>
      </w:r>
      <w:r w:rsidR="00FF0CD9">
        <w:t>including the</w:t>
      </w:r>
      <w:r w:rsidR="00415352" w:rsidRPr="002646F6">
        <w:t xml:space="preserve"> </w:t>
      </w:r>
      <w:r w:rsidRPr="002646F6">
        <w:t>treatment of AEs</w:t>
      </w:r>
      <w:r w:rsidR="00E56126" w:rsidRPr="002646F6">
        <w:t xml:space="preserve"> and </w:t>
      </w:r>
      <w:r w:rsidR="006A0DE8">
        <w:t xml:space="preserve">treatment of </w:t>
      </w:r>
      <w:r w:rsidR="00E56126" w:rsidRPr="002646F6">
        <w:t>metastases in common sites such as bone.</w:t>
      </w:r>
      <w:r w:rsidR="0097692E" w:rsidRPr="002646F6">
        <w:fldChar w:fldCharType="begin"/>
      </w:r>
      <w:r w:rsidR="00CA6345">
        <w:instrText xml:space="preserve"> ADDIN ZOTERO_ITEM CSL_CITATION {"citationID":"wvSdMhmN","properties":{"formattedCitation":"\\super 108\\nosupersub{}","plainCitation":"108","noteIndex":0},"citationItems":[{"id":65928,"uris":["http://zotero.org/groups/4797619/items/X2W8S3DI"],"itemData":{"id":65928,"type":"article-journal","abstract":"Objectives  The study aimed to estimate the burden of metastatic breast cancer (mBC) in Spain over 5 years.\nMethods  An incidence-­based cost-­of-i­ llness model was developed in which a cohort of patients with mBC was followed from the diagnosis of metastatic disease over 5 years or death. Resource use data were collected through a physician survey conducted with 10 clinical experts in Spain. The model distinguished patients according to HER2 and hormonal receptor (HR) status, and followed the patient cohort in monthly cycles.\nResults  The incident cohort was estimated to be 2,923 patients with mBC, consisting of 1,575 HER2−/ HR+, 520 HER2+/HR+, 324 HER2+/HR−, and 503 triple negative patients. The estimated mean survival over the 5-­year time period was 2.51 years, on average, with longer survival of 3.36 years for HER2+/HR+, 2.41 years for HER2−/HR+, 2.82 years for HER2+/ HR− and shortest mean survival of 1.74 years for triple negative patients. The total costs were €469,92,731 for the overall population, €190,079,787 for the HER2-/ HR+, €151,045,260 for the HER2+/HR+, €80,827,171 for the HER2+/HR- and €47,540,512 for the triple negative subgroups over 5 years. Per patient total costs were €160,642 on average, €120,664 for HER2-/HR+, €290,346 for HER2+/HR+, €249,152 for HER2+/HR− and €94,572 for triple negative patients over 5 years.\nConclusions  The economic burden of mBC in Spain is significant, but differs by HER2 and HR status. HER2−/ HR +patients account for the highest burden due to the prevalence of this category, but HER2+/HR +patients have the highest per patient costs.","container-title":"European Journal of Hospital Pharmacy","DOI":"10.1136/ejhpharm-2017-001453","ISSN":"2047-9956, 2047-9964","issue":"1","journalAbbreviation":"Eur J Hosp Pharm","language":"en","page":"19-24","source":"DOI.org (Crossref)","title":"The economic burden of metastatic breast cancer in Spain","volume":"27","author":[{"family":"Bermejo de las Heras","given":"Begoña"},{"family":"Cortes Ramon y Cajal","given":"Javier"},{"family":"Galve Calvo","given":"Elena"},{"family":"Haba Rodriguez","given":"Juan","non-dropping-particle":"de la"},{"family":"Garcia Mata","given":"Jesus"},{"family":"Moreno Anton","given":"Fernando"},{"family":"Pelaez Fernandez","given":"Ignacio"},{"family":"Rodriguez-Lescure","given":"Alvaro"},{"family":"Rodriguez Sanchez","given":"Cesar A"},{"family":"Ruiz-Borrego","given":"Manuel"},{"family":"Remak","given":"Edit"},{"family":"Barra","given":"Magdolna"},{"family":"Rivero","given":"Maria"},{"family":"Soto Alvarez","given":"Javier"}],"issued":{"date-parts":[["2020",1]]}}}],"schema":"https://github.com/citation-style-language/schema/raw/master/csl-citation.json"} </w:instrText>
      </w:r>
      <w:r w:rsidR="0097692E" w:rsidRPr="002646F6">
        <w:fldChar w:fldCharType="separate"/>
      </w:r>
      <w:r w:rsidR="00CA6345" w:rsidRPr="00CA6345">
        <w:rPr>
          <w:rFonts w:cs="Arial"/>
          <w:szCs w:val="24"/>
          <w:vertAlign w:val="superscript"/>
        </w:rPr>
        <w:t>108</w:t>
      </w:r>
      <w:r w:rsidR="0097692E" w:rsidRPr="002646F6">
        <w:fldChar w:fldCharType="end"/>
      </w:r>
      <w:r w:rsidRPr="002646F6">
        <w:rPr>
          <w:lang w:eastAsia="ja-JP"/>
        </w:rPr>
        <w:t xml:space="preserve"> </w:t>
      </w:r>
    </w:p>
    <w:p w14:paraId="3BC557E3" w14:textId="5B55B98D" w:rsidR="00622C55" w:rsidRPr="00DA7380" w:rsidRDefault="00622C55" w:rsidP="00622C55">
      <w:pPr>
        <w:pStyle w:val="Heading4"/>
        <w:rPr>
          <w:lang w:eastAsia="ja-JP"/>
        </w:rPr>
      </w:pPr>
      <w:bookmarkStart w:id="62" w:name="_Ref127008085"/>
      <w:bookmarkStart w:id="63" w:name="_Ref99733073"/>
      <w:r w:rsidRPr="00DA7380">
        <w:rPr>
          <w:lang w:eastAsia="ja-JP"/>
        </w:rPr>
        <w:t>Caregiver burden</w:t>
      </w:r>
      <w:bookmarkEnd w:id="62"/>
    </w:p>
    <w:p w14:paraId="75AD349F" w14:textId="1546E18D" w:rsidR="00622C55" w:rsidRPr="006E33DC" w:rsidRDefault="00622C55" w:rsidP="00622C55">
      <w:pPr>
        <w:pStyle w:val="Body"/>
        <w:spacing w:before="120"/>
      </w:pPr>
      <w:r w:rsidRPr="00DA7380">
        <w:rPr>
          <w:lang w:eastAsia="ja-JP"/>
        </w:rPr>
        <w:t>Caregivers of patients with mBC are also impacted by the disease as they may face economic difficulties, psychological problems, marital or familial anxieties, and worries about their loved one’s wellbeing, disease status, and ability to maintain usual life activities.</w:t>
      </w:r>
      <w:r>
        <w:fldChar w:fldCharType="begin"/>
      </w:r>
      <w:r w:rsidR="00CA6345">
        <w:rPr>
          <w:lang w:eastAsia="ja-JP"/>
        </w:rPr>
        <w:instrText xml:space="preserve"> ADDIN ZOTERO_ITEM CSL_CITATION {"citationID":"geDlrw2u","properties":{"formattedCitation":"\\super 109\\nosupersub{}","plainCitation":"109","noteIndex":0},"citationItems":[{"id":65894,"uris":["http://zotero.org/groups/4797619/items/MJE7K35V"],"itemData":{"id":65894,"type":"article-journal","abstract":"Approximately 0.5 million people worldwide die from metastatic breast cancer (mBC) every year. This manuscript provides an overview on the status of mBC in several regions of the world, highlighting the gaps in care, resources, and support available for patients with mBC. Primary research was conducted in 2015 and 2016, comprising four global qualitative and quantitative surveys of approximately 15,000 individuals in 34 countries. Secondary research was conducted using literature reviews of peer-reviewed publications, patient survey reports, and media or online articles. There have been modest improvements in mBC outcomes over the past decade. Patients are not provided with adequate information about mBC. There is a need for open discussion with patients and caregivers about realistic goals; however, physicians are not trained in communicating with patients about their disease. Maintaining patients' quality of life is a crucial goal; however, this has not improved, and in some cases, may have declined in the past decade. Public awareness and understanding of mBC is limited, with damaging consequences for patients and caregivers. Issues affecting employment remain relevant to patients with mBC and their caregivers. Globally, mBC is associated with a substantial economic burden. Relationships with caregivers are crucial to patients with mBC, and caregiver support needs are often overlooked. A strong and united global effort among healthcare professionals, including clinicians, oncologists, pharmaceutical manufacturers, payers, and policy makers, and with advocates, families, and patients, is necessary to improve the outcome and quality of life for patients with mBC.","container-title":"Breast (Edinburgh, Scotland)","DOI":"10.1016/j.breast.2018.03.002","ISSN":"1532-3080","journalAbbreviation":"Breast","language":"eng","note":"PMID: 29679849","page":"131-138","source":"PubMed","title":"Global analysis of advanced/metastatic breast cancer: Decade report (2005-2015)","title-short":"Global analysis of advanced/metastatic breast cancer","volume":"39","author":[{"family":"Cardoso","given":"Fatima"},{"family":"Spence","given":"Danielle"},{"family":"Mertz","given":"Shirley"},{"family":"Corneliussen-James","given":"Dian"},{"family":"Sabelko","given":"Kimberly"},{"family":"Gralow","given":"Julie"},{"family":"Cardoso","given":"Maria-João"},{"family":"Peccatori","given":"Fedro"},{"family":"Paonessa","given":"Diego"},{"family":"Benares","given":"Ann"},{"family":"Sakurai","given":"Naomi"},{"family":"Beishon","given":"Marc"},{"family":"Barker","given":"Sarah-Jane"},{"family":"Mayer","given":"Musa"}],"issued":{"date-parts":[["2018",6]]}}}],"schema":"https://github.com/citation-style-language/schema/raw/master/csl-citation.json"} </w:instrText>
      </w:r>
      <w:r>
        <w:fldChar w:fldCharType="separate"/>
      </w:r>
      <w:r w:rsidR="00CA6345" w:rsidRPr="00CA6345">
        <w:rPr>
          <w:rFonts w:cs="Arial"/>
          <w:szCs w:val="24"/>
          <w:vertAlign w:val="superscript"/>
        </w:rPr>
        <w:t>109</w:t>
      </w:r>
      <w:r>
        <w:fldChar w:fldCharType="end"/>
      </w:r>
      <w:r w:rsidRPr="00DA7380">
        <w:t xml:space="preserve"> The Global Status of Advanced/Metastatic Breast Cancer 2005–2015 Decade Report comprehensively assessed the caregiver burden of BC through surveys and a literature review.</w:t>
      </w:r>
      <w:r>
        <w:fldChar w:fldCharType="begin"/>
      </w:r>
      <w:r w:rsidR="00CA6345">
        <w:instrText xml:space="preserve"> ADDIN ZOTERO_ITEM CSL_CITATION {"citationID":"1kidrp51","properties":{"formattedCitation":"\\super 109\\nosupersub{}","plainCitation":"109","noteIndex":0},"citationItems":[{"id":65894,"uris":["http://zotero.org/groups/4797619/items/MJE7K35V"],"itemData":{"id":65894,"type":"article-journal","abstract":"Approximately 0.5 million people worldwide die from metastatic breast cancer (mBC) every year. This manuscript provides an overview on the status of mBC in several regions of the world, highlighting the gaps in care, resources, and support available for patients with mBC. Primary research was conducted in 2015 and 2016, comprising four global qualitative and quantitative surveys of approximately 15,000 individuals in 34 countries. Secondary research was conducted using literature reviews of peer-reviewed publications, patient survey reports, and media or online articles. There have been modest improvements in mBC outcomes over the past decade. Patients are not provided with adequate information about mBC. There is a need for open discussion with patients and caregivers about realistic goals; however, physicians are not trained in communicating with patients about their disease. Maintaining patients' quality of life is a crucial goal; however, this has not improved, and in some cases, may have declined in the past decade. Public awareness and understanding of mBC is limited, with damaging consequences for patients and caregivers. Issues affecting employment remain relevant to patients with mBC and their caregivers. Globally, mBC is associated with a substantial economic burden. Relationships with caregivers are crucial to patients with mBC, and caregiver support needs are often overlooked. A strong and united global effort among healthcare professionals, including clinicians, oncologists, pharmaceutical manufacturers, payers, and policy makers, and with advocates, families, and patients, is necessary to improve the outcome and quality of life for patients with mBC.","container-title":"Breast (Edinburgh, Scotland)","DOI":"10.1016/j.breast.2018.03.002","ISSN":"1532-3080","journalAbbreviation":"Breast","language":"eng","note":"PMID: 29679849","page":"131-138","source":"PubMed","title":"Global analysis of advanced/metastatic breast cancer: Decade report (2005-2015)","title-short":"Global analysis of advanced/metastatic breast cancer","volume":"39","author":[{"family":"Cardoso","given":"Fatima"},{"family":"Spence","given":"Danielle"},{"family":"Mertz","given":"Shirley"},{"family":"Corneliussen-James","given":"Dian"},{"family":"Sabelko","given":"Kimberly"},{"family":"Gralow","given":"Julie"},{"family":"Cardoso","given":"Maria-João"},{"family":"Peccatori","given":"Fedro"},{"family":"Paonessa","given":"Diego"},{"family":"Benares","given":"Ann"},{"family":"Sakurai","given":"Naomi"},{"family":"Beishon","given":"Marc"},{"family":"Barker","given":"Sarah-Jane"},{"family":"Mayer","given":"Musa"}],"issued":{"date-parts":[["2018",6]]}}}],"schema":"https://github.com/citation-style-language/schema/raw/master/csl-citation.json"} </w:instrText>
      </w:r>
      <w:r>
        <w:fldChar w:fldCharType="separate"/>
      </w:r>
      <w:r w:rsidR="00CA6345" w:rsidRPr="00CA6345">
        <w:rPr>
          <w:rFonts w:cs="Arial"/>
          <w:szCs w:val="24"/>
          <w:vertAlign w:val="superscript"/>
        </w:rPr>
        <w:t>109</w:t>
      </w:r>
      <w:r>
        <w:fldChar w:fldCharType="end"/>
      </w:r>
      <w:r w:rsidRPr="00DA7380">
        <w:t xml:space="preserve"> As a consequence of the psychological and economic strain associated with caring for someone with the disease, caregivers may overlook their own needs, resulting in decreased wellbeing and an increase in symptoms of stress.</w:t>
      </w:r>
      <w:r>
        <w:t xml:space="preserve"> </w:t>
      </w:r>
      <w:r w:rsidR="00BF03E2" w:rsidRPr="00DA7380">
        <w:t>Caring for a patient with mBC can also impact a caregiver’s work, as they may need to take annual or special leave or quit work all together, leading to financial strain and increased indirect economic costs of mBC</w:t>
      </w:r>
      <w:r w:rsidR="00BF03E2">
        <w:t>.</w:t>
      </w:r>
      <w:r w:rsidR="001D42C3">
        <w:fldChar w:fldCharType="begin"/>
      </w:r>
      <w:r w:rsidR="00CA6345">
        <w:instrText xml:space="preserve"> ADDIN ZOTERO_ITEM CSL_CITATION {"citationID":"EFAGbkqm","properties":{"formattedCitation":"\\super 109\\nosupersub{}","plainCitation":"109","noteIndex":0},"citationItems":[{"id":65894,"uris":["http://zotero.org/groups/4797619/items/MJE7K35V"],"itemData":{"id":65894,"type":"article-journal","abstract":"Approximately 0.5 million people worldwide die from metastatic breast cancer (mBC) every year. This manuscript provides an overview on the status of mBC in several regions of the world, highlighting the gaps in care, resources, and support available for patients with mBC. Primary research was conducted in 2015 and 2016, comprising four global qualitative and quantitative surveys of approximately 15,000 individuals in 34 countries. Secondary research was conducted using literature reviews of peer-reviewed publications, patient survey reports, and media or online articles. There have been modest improvements in mBC outcomes over the past decade. Patients are not provided with adequate information about mBC. There is a need for open discussion with patients and caregivers about realistic goals; however, physicians are not trained in communicating with patients about their disease. Maintaining patients' quality of life is a crucial goal; however, this has not improved, and in some cases, may have declined in the past decade. Public awareness and understanding of mBC is limited, with damaging consequences for patients and caregivers. Issues affecting employment remain relevant to patients with mBC and their caregivers. Globally, mBC is associated with a substantial economic burden. Relationships with caregivers are crucial to patients with mBC, and caregiver support needs are often overlooked. A strong and united global effort among healthcare professionals, including clinicians, oncologists, pharmaceutical manufacturers, payers, and policy makers, and with advocates, families, and patients, is necessary to improve the outcome and quality of life for patients with mBC.","container-title":"Breast (Edinburgh, Scotland)","DOI":"10.1016/j.breast.2018.03.002","ISSN":"1532-3080","journalAbbreviation":"Breast","language":"eng","note":"PMID: 29679849","page":"131-138","source":"PubMed","title":"Global analysis of advanced/metastatic breast cancer: Decade report (2005-2015)","title-short":"Global analysis of advanced/metastatic breast cancer","volume":"39","author":[{"family":"Cardoso","given":"Fatima"},{"family":"Spence","given":"Danielle"},{"family":"Mertz","given":"Shirley"},{"family":"Corneliussen-James","given":"Dian"},{"family":"Sabelko","given":"Kimberly"},{"family":"Gralow","given":"Julie"},{"family":"Cardoso","given":"Maria-João"},{"family":"Peccatori","given":"Fedro"},{"family":"Paonessa","given":"Diego"},{"family":"Benares","given":"Ann"},{"family":"Sakurai","given":"Naomi"},{"family":"Beishon","given":"Marc"},{"family":"Barker","given":"Sarah-Jane"},{"family":"Mayer","given":"Musa"}],"issued":{"date-parts":[["2018",6]]}}}],"schema":"https://github.com/citation-style-language/schema/raw/master/csl-citation.json"} </w:instrText>
      </w:r>
      <w:r w:rsidR="001D42C3">
        <w:fldChar w:fldCharType="separate"/>
      </w:r>
      <w:r w:rsidR="00CA6345" w:rsidRPr="00CA6345">
        <w:rPr>
          <w:rFonts w:cs="Arial"/>
          <w:szCs w:val="24"/>
          <w:vertAlign w:val="superscript"/>
        </w:rPr>
        <w:t>109</w:t>
      </w:r>
      <w:r w:rsidR="001D42C3">
        <w:fldChar w:fldCharType="end"/>
      </w:r>
      <w:r w:rsidR="00BF03E2" w:rsidRPr="00DA7380">
        <w:t xml:space="preserve"> </w:t>
      </w:r>
      <w:r w:rsidR="00BF03E2">
        <w:t>I</w:t>
      </w:r>
      <w:r w:rsidR="00BF03E2" w:rsidRPr="00DA7380">
        <w:t xml:space="preserve">n </w:t>
      </w:r>
      <w:r w:rsidR="00BF03E2">
        <w:t>a</w:t>
      </w:r>
      <w:r w:rsidR="00BF03E2" w:rsidRPr="00DA7380">
        <w:t xml:space="preserve"> Canadian study </w:t>
      </w:r>
      <w:r w:rsidR="00695A79">
        <w:t>of</w:t>
      </w:r>
      <w:r w:rsidR="00695A79" w:rsidRPr="00DA7380">
        <w:t xml:space="preserve"> </w:t>
      </w:r>
      <w:r w:rsidR="00BF03E2" w:rsidRPr="00DA7380">
        <w:t xml:space="preserve">mBC, 69% of caregivers surveyed at the start of the palliative period </w:t>
      </w:r>
      <w:r w:rsidR="00BF03E2" w:rsidRPr="006E33DC">
        <w:t>reported that they had missed work due to caregiving (N=58).</w:t>
      </w:r>
      <w:r w:rsidR="003E7E8B">
        <w:fldChar w:fldCharType="begin"/>
      </w:r>
      <w:r w:rsidR="00CA6345">
        <w:instrText xml:space="preserve"> ADDIN ZOTERO_ITEM CSL_CITATION {"citationID":"rtYOwxBf","properties":{"formattedCitation":"\\super 110\\nosupersub{}","plainCitation":"110","noteIndex":0},"citationItems":[{"id":66127,"uris":["http://zotero.org/groups/4797619/items/LSFGNTYV"],"itemData":{"id":66127,"type":"article-journal","abstract":"BACKGROUND: The vital role played by family caregivers in supporting dying cancer patients is well recognized, but the burden and economic impact on caregivers is poorly understood. We prospectively examined the psychosocial, occupational and economic impact of caring for a person with a terminal illness.\nMETHODS: We studied 89 caregivers of women with advanced breast cancer receiving care at either the Ottawa or Hamilton regional cancer centres in Ontario. Patients were followed until their death or study completion at 3 years. Patients identified a principal caregiver to participate in the study. The Karnofsky Performance Status (KPS) index, the Medical Outcomes Study 36-item Short Form (SF-36), the Hospital Anxiety and Depression Scale, the Zarit Burden Inventory, FAMCARE and the Medical Outcomes Study Social Support Survey were administered during follow-up. Economic data were collected by means of a questionnaire administered by an interviewer. Assessments were conducted every 3 months during the palliative period (KPS score &gt; 50) and every 2 weeks during the terminal period (KPS score &lt; or = 50).\nRESULTS: Over half of the caregivers were male (55%) and the patient's spouse or partner (52%), with a mean age of 53 years. At the start of the palliative period, the caregivers' mean physical functioning score was better than the patients' (51.3 v. 35.1, 95% confidence interval [CI] 13.3-20.0); there were similar mean mental functioning scores (46.6 and 47.1 respectively); similar proportions were depressed (11% and 12%); and significantly more caregivers than patients were anxious (35% v. 19%, p = 0.009). More caregivers were depressed (30% v. 9%, p = 0.02) and had a higher level of perceived burden (26.2 v. 19.4, p = 0.02) at the start of the terminal period than at the start of the palliative period. Burden was the most important predictor of both anxiety and depression. Of employed caregivers, 69% reported some form of adverse impact on work. In the terminal period 77% reported missing work because of caregiving responsibilities. Prescription drugs were the most important component of financial burden.\nINTERPRETATION: Caregivers' depression and perceived burden increase as patients' functional status declines. Strategies are needed to help reduce the psychosocial, occupational and economic burden associated with caregiving.","container-title":"CMAJ: Canadian Medical Association journal = journal de l'Association medicale canadienne","DOI":"10.1503/cmaj.1031205","ISSN":"0820-3946","issue":"12","journalAbbreviation":"CMAJ","language":"eng","note":"PMID: 15184333\nPMCID: PMC419766","page":"1795-1801","source":"PubMed","title":"Family caregiver burden: results of a longitudinal study of breast cancer patients and their principal caregivers","title-short":"Family caregiver burden","volume":"170","author":[{"family":"Grunfeld","given":"Eva"},{"family":"Coyle","given":"Doug"},{"family":"Whelan","given":"Timothy"},{"family":"Clinch","given":"Jennifer"},{"family":"Reyno","given":"Leonard"},{"family":"Earle","given":"Craig C."},{"family":"Willan","given":"Andrew"},{"family":"Viola","given":"Raymond"},{"family":"Coristine","given":"Marjorie"},{"family":"Janz","given":"Teresa"},{"family":"Glossop","given":"Robert"}],"issued":{"date-parts":[["2004",6,8]]}}}],"schema":"https://github.com/citation-style-language/schema/raw/master/csl-citation.json"} </w:instrText>
      </w:r>
      <w:r w:rsidR="003E7E8B">
        <w:fldChar w:fldCharType="separate"/>
      </w:r>
      <w:r w:rsidR="00CA6345" w:rsidRPr="00CA6345">
        <w:rPr>
          <w:rFonts w:cs="Arial"/>
          <w:szCs w:val="24"/>
          <w:vertAlign w:val="superscript"/>
        </w:rPr>
        <w:t>110</w:t>
      </w:r>
      <w:r w:rsidR="003E7E8B">
        <w:fldChar w:fldCharType="end"/>
      </w:r>
      <w:r w:rsidR="009C6FA7" w:rsidDel="009C6FA7">
        <w:t xml:space="preserve"> </w:t>
      </w:r>
    </w:p>
    <w:p w14:paraId="7E8AD2F3" w14:textId="58AD4E3F" w:rsidR="00622C55" w:rsidRPr="002646F6" w:rsidRDefault="00622C55" w:rsidP="00042663">
      <w:pPr>
        <w:pStyle w:val="Body"/>
      </w:pPr>
      <w:r w:rsidRPr="002646F6">
        <w:t>Caregivers often report their tasks to be physically and emotionally dema</w:t>
      </w:r>
      <w:r w:rsidR="009C6FA7">
        <w:t>n</w:t>
      </w:r>
      <w:r w:rsidRPr="002646F6">
        <w:t>ding. In a US study evaluating caregiver burden of patients with mBC, 86% of caregivers reported that their life had been negatively affected as a direct result of providing care, with 77% reporting it to be an emotional burden, and 56% reporting it to be a physical burden.</w:t>
      </w:r>
      <w:r w:rsidRPr="002646F6">
        <w:fldChar w:fldCharType="begin"/>
      </w:r>
      <w:r w:rsidR="00CA6345">
        <w:instrText xml:space="preserve"> ADDIN ZOTERO_ITEM CSL_CITATION {"citationID":"W5ivBEwS","properties":{"formattedCitation":"\\super 111\\nosupersub{}","plainCitation":"111","noteIndex":0},"citationItems":[{"id":65922,"uris":["http://zotero.org/groups/4797619/items/MWNVTM7C"],"itemData":{"id":65922,"type":"article-journal","abstract":"Introduction: Caregivers of patients with breast cancer have demonstrated persistent unmet needs, including reduced physical and psychosocial well-being. This may be particularly acute in caregivers of patients with metastatic breast cancer (MBC), whose ongoing treatments and increasing disability with disease progression offer particular challenges. While prevalence of MBC is currently unknown, caregivers of women with MBC represent a sizable group.\nObjective: To explore the emotional, psychological, and social impact on caregivers of patients with MBC and to identify gaps in communications between patients and their caregivers and oncologists.\nMethods: The \"Make Your Dialogue Count\" survey was conducted online, by paper, and by telephone (June-August 2014) among caregivers in the United States (age ≥18 y) who attended ≥50% of doctor visits of women with MBC (age ≥21 y). Survey responses were single- or multiple-response, numeric text, or rated on a 4-point Likert scale. Caregiver data were unweighted and representative only of those responding. Statistically significant differences between groups were determined by standard t-test of column proportions and means at the 95% confidence level.\nResults: 234 caregivers responded; 73% were men, 44% were the patient's spouse/partner, and 27% were nonwhite. Median age was 44 y. The caregivers' loved ones had a median time from initial breast cancer diagnosis of 44 months prior, and 51% had recurred after early breast cancer. Most caregivers (76%) considered themselves to be extremely or very involved in treatment decisions, but a sizable fraction of caregivers were unaware of the HR (20%) or HER2 (29%) status of the patient's cancer, indicating a lack of basic information needed for informed decision-making. While most (93%) said they felt comfortable speaking with the treatment team about MBC treatment, 41% reported communication barriers. Over half of caregivers (53%) felt that nobody understands what they're going through, and most (86%) reported that their lives had been negatively affected in some way (such as sleep habits, relationships and social life, hobbies and personal time, and financial stability and employment). Most caregivers considered caregiving to be an emotional (77%) and physical (56%) burden and 36% felt unappreciated. At the time of initial MBC diagnosis, 69% of caregivers felt it was important/very important for their loved one's doctor to refer them to support services, but only 25% of caregivers reported receiving such a referral. Subgroup analysis of caregiver's gender revealed some differences in responses relating to communications with oncologists, treatment experience, and emotional impact.\nConclusions: While committed to their roles, these caregivers often found their role to be a physical and emotional burden, and many reported feeling isolated and unappreciated for their caregiving. Our findings indicate a strong need for support services specifically tailored to caregivers, including outreach to address emotional, financial, and practical needs stemming from caring for a loved one with MBC. They also indicate a need for improved disease and treatment information exchange between caregivers, patients, and healthcare providers.\nCitation Format: Mayer M, Sampayo I, Bell Dickson R, Citron ML, Brufsky AM. The experience of caregivers of women with metastatic breast cancer: Insights from the Make Your Dialogue Count survey. [abstract]. In: Proceedings of the Thirty-Eighth Annual CTRC-AACR San Antonio Breast Cancer Symposium: 2015 Dec 8-12; San Antonio, TX. Philadelphia (PA): AACR; Cancer Res 2016;76(4 Suppl):Abstract nr P1-11-06.","container-title":"Cancer Research","DOI":"10.1158/1538-7445.SABCS15-P1-11-06","journalAbbreviation":"Cancer Research","page":"P1-11","source":"ResearchGate","title":"Abstract P1-11-06: The experience of caregivers of women with metastatic breast cancer: Insights from the Make Your Dialogue Count survey","title-short":"Abstract P1-11-06","volume":"76","author":[{"family":"Mayer","given":"Musa"},{"family":"Sampayo","given":"I"},{"family":"Dickson","given":"R"},{"family":"Citron","given":"ML"},{"family":"Brufsky","given":"Adam"}],"issued":{"date-parts":[["2016",2,15]]}}}],"schema":"https://github.com/citation-style-language/schema/raw/master/csl-citation.json"} </w:instrText>
      </w:r>
      <w:r w:rsidRPr="002646F6">
        <w:fldChar w:fldCharType="separate"/>
      </w:r>
      <w:r w:rsidR="00CA6345" w:rsidRPr="00CA6345">
        <w:rPr>
          <w:rFonts w:cs="Arial"/>
          <w:szCs w:val="24"/>
          <w:vertAlign w:val="superscript"/>
        </w:rPr>
        <w:t>111</w:t>
      </w:r>
      <w:r w:rsidRPr="002646F6">
        <w:fldChar w:fldCharType="end"/>
      </w:r>
      <w:r w:rsidRPr="002646F6">
        <w:t xml:space="preserve"> </w:t>
      </w:r>
    </w:p>
    <w:p w14:paraId="0B64946A" w14:textId="2187E99B" w:rsidR="00130B13" w:rsidRPr="006E33DC" w:rsidRDefault="00130B13" w:rsidP="002D60EB">
      <w:pPr>
        <w:pStyle w:val="Heading4"/>
      </w:pPr>
      <w:bookmarkStart w:id="64" w:name="_Ref126933487"/>
      <w:r w:rsidRPr="006E33DC">
        <w:t>Mortality and prognosis in u/mBC</w:t>
      </w:r>
      <w:bookmarkEnd w:id="64"/>
    </w:p>
    <w:p w14:paraId="619C4C99" w14:textId="20AC1B41" w:rsidR="004D1C94" w:rsidRPr="006E33DC" w:rsidRDefault="00130B13" w:rsidP="00130B13">
      <w:pPr>
        <w:pStyle w:val="Body"/>
      </w:pPr>
      <w:r w:rsidRPr="006E33DC">
        <w:t>Survival outcomes in patients with mBC in England remain poor compared with patients at earlier stages of BC. According to Public Health England, the 5</w:t>
      </w:r>
      <w:r w:rsidRPr="006E33DC">
        <w:noBreakHyphen/>
        <w:t xml:space="preserve">year survival between 2014 </w:t>
      </w:r>
      <w:r w:rsidRPr="006E33DC">
        <w:lastRenderedPageBreak/>
        <w:t>and 2019 was 98.7% for Stage I BC, 90.2% for Stage II BC, 73.8% for Stage III BC, and only 26.6% for Stage IV (advanced/metastatic) BC (</w:t>
      </w:r>
      <w:r w:rsidR="00462511" w:rsidRPr="00462511">
        <w:rPr>
          <w:b/>
          <w:bCs/>
        </w:rPr>
        <w:fldChar w:fldCharType="begin"/>
      </w:r>
      <w:r w:rsidR="00462511" w:rsidRPr="00462511">
        <w:rPr>
          <w:b/>
          <w:bCs/>
        </w:rPr>
        <w:instrText xml:space="preserve"> REF _Ref121943238 \h  \* MERGEFORMAT </w:instrText>
      </w:r>
      <w:r w:rsidR="00462511" w:rsidRPr="00462511">
        <w:rPr>
          <w:b/>
          <w:bCs/>
        </w:rPr>
      </w:r>
      <w:r w:rsidR="00462511" w:rsidRPr="00462511">
        <w:rPr>
          <w:b/>
          <w:bCs/>
        </w:rPr>
        <w:fldChar w:fldCharType="separate"/>
      </w:r>
      <w:r w:rsidR="00145F42" w:rsidRPr="00145F42">
        <w:rPr>
          <w:b/>
          <w:bCs/>
        </w:rPr>
        <w:t xml:space="preserve">Figure </w:t>
      </w:r>
      <w:r w:rsidR="00145F42" w:rsidRPr="00145F42">
        <w:rPr>
          <w:b/>
          <w:bCs/>
          <w:noProof/>
        </w:rPr>
        <w:t>2</w:t>
      </w:r>
      <w:r w:rsidR="00462511" w:rsidRPr="00462511">
        <w:rPr>
          <w:b/>
          <w:bCs/>
        </w:rPr>
        <w:fldChar w:fldCharType="end"/>
      </w:r>
      <w:r w:rsidRPr="006E33DC">
        <w:t>).</w:t>
      </w:r>
      <w:r w:rsidRPr="006E33DC">
        <w:fldChar w:fldCharType="begin"/>
      </w:r>
      <w:r w:rsidR="00CA6345">
        <w:instrText xml:space="preserve"> ADDIN ZOTERO_ITEM CSL_CITATION {"citationID":"fWdbLaAc","properties":{"formattedCitation":"\\super 24\\nosupersub{}","plainCitation":"24","noteIndex":0},"citationItems":[{"id":65843,"uris":["http://zotero.org/groups/4797619/items/VS53CJPX"],"itemData":{"id":65843,"type":"webpage","abstract":"Cancer survival statistics for adults and children by stage at diagnosis and by different geographical variations.","container-title":"GOV.UK","language":"en","title":"Cancer survival in England for patients diagnosed between 2014 and 2018, and followed up until 2019","URL":"https://www.gov.uk/government/statistics/cancer-survival-in-england-for-patients-diagnosed-between-2014-and-2018-and-followed-up-until-2019","accessed":{"date-parts":[["2022",10,3]]}}}],"schema":"https://github.com/citation-style-language/schema/raw/master/csl-citation.json"} </w:instrText>
      </w:r>
      <w:r w:rsidRPr="006E33DC">
        <w:fldChar w:fldCharType="separate"/>
      </w:r>
      <w:r w:rsidR="00FD57F4" w:rsidRPr="00FD57F4">
        <w:rPr>
          <w:rFonts w:cs="Arial"/>
          <w:szCs w:val="24"/>
          <w:vertAlign w:val="superscript"/>
        </w:rPr>
        <w:t>24</w:t>
      </w:r>
      <w:r w:rsidRPr="006E33DC">
        <w:fldChar w:fldCharType="end"/>
      </w:r>
      <w:r w:rsidRPr="006E33DC">
        <w:t xml:space="preserve"> The proportion of patients surviving their first year from diagnosis gives particular context to the poor prognosis of late-stage BC: whilst net </w:t>
      </w:r>
      <w:r w:rsidRPr="002646F6">
        <w:t xml:space="preserve">one-year </w:t>
      </w:r>
      <w:r w:rsidRPr="006E33DC">
        <w:t>survival is 95.7% in Stage III BC, for which curative resection is possible in some patients, it is</w:t>
      </w:r>
      <w:r w:rsidRPr="002646F6">
        <w:t xml:space="preserve"> just </w:t>
      </w:r>
      <w:r w:rsidRPr="006E33DC">
        <w:t xml:space="preserve">66.2% in Stage IV (i.e. unresectable </w:t>
      </w:r>
      <w:r w:rsidRPr="002646F6">
        <w:t>and metastatic</w:t>
      </w:r>
      <w:r w:rsidRPr="006E33DC">
        <w:t>) BC.</w:t>
      </w:r>
    </w:p>
    <w:p w14:paraId="20EA566F" w14:textId="7EBC61D2" w:rsidR="00720B0E" w:rsidRPr="006E33DC" w:rsidRDefault="00720B0E" w:rsidP="002646F6">
      <w:pPr>
        <w:pStyle w:val="Heading5"/>
        <w:ind w:left="1276" w:hanging="1276"/>
        <w:rPr>
          <w:rStyle w:val="normaltextrun"/>
        </w:rPr>
      </w:pPr>
      <w:r w:rsidRPr="006E33DC">
        <w:rPr>
          <w:rStyle w:val="normaltextrun"/>
          <w:bCs/>
        </w:rPr>
        <w:t>HER2</w:t>
      </w:r>
      <w:r w:rsidRPr="006E33DC">
        <w:rPr>
          <w:rStyle w:val="normaltextrun"/>
        </w:rPr>
        <w:t>-pos</w:t>
      </w:r>
      <w:r w:rsidR="001E05D7" w:rsidRPr="006E33DC">
        <w:rPr>
          <w:rStyle w:val="normaltextrun"/>
        </w:rPr>
        <w:t>itive u/mBC</w:t>
      </w:r>
    </w:p>
    <w:p w14:paraId="302C856F" w14:textId="7C021335" w:rsidR="00B3217A" w:rsidRPr="006E33DC" w:rsidRDefault="00D65A9B" w:rsidP="00130B13">
      <w:pPr>
        <w:pStyle w:val="Body"/>
        <w:rPr>
          <w:rStyle w:val="normaltextrun"/>
        </w:rPr>
      </w:pPr>
      <w:r>
        <w:rPr>
          <w:rStyle w:val="normaltextrun"/>
        </w:rPr>
        <w:t xml:space="preserve">While </w:t>
      </w:r>
      <w:r w:rsidR="00AD197F" w:rsidRPr="006E33DC">
        <w:rPr>
          <w:rStyle w:val="normaltextrun"/>
        </w:rPr>
        <w:t>HER2-positive u/mBC is asso</w:t>
      </w:r>
      <w:r w:rsidR="00755221" w:rsidRPr="006E33DC">
        <w:rPr>
          <w:rStyle w:val="normaltextrun"/>
        </w:rPr>
        <w:t>ciated with aggressive disease</w:t>
      </w:r>
      <w:r w:rsidR="00B45A05" w:rsidRPr="006E33DC">
        <w:rPr>
          <w:rStyle w:val="normaltextrun"/>
        </w:rPr>
        <w:t>,</w:t>
      </w:r>
      <w:r w:rsidR="0076619A" w:rsidRPr="006E33DC">
        <w:rPr>
          <w:rStyle w:val="normaltextrun"/>
        </w:rPr>
        <w:fldChar w:fldCharType="begin"/>
      </w:r>
      <w:r w:rsidR="00CA6345">
        <w:rPr>
          <w:rStyle w:val="normaltextrun"/>
        </w:rPr>
        <w:instrText xml:space="preserve"> ADDIN ZOTERO_ITEM CSL_CITATION {"citationID":"l6v6g6kE","properties":{"formattedCitation":"\\super 34\\nosupersub{}","plainCitation":"34","noteIndex":0},"citationItems":[{"id":66211,"uris":["http://zotero.org/groups/4797619/items/9EM59V9B"],"itemData":{"id":66211,"type":"article-journal","abstract":"The HER-2/neu oncogene is a member of the erbB-like oncogene family, and is related to, but distinct from, the epidermal growth\nfactor receptor. This gene has been shown to be amplified in human breast cancer cell lines. In the current study, alterations\nof the gene in 189 primary human breast cancers were investigated. HER-2/neu was found to be amplified from 2- to greater\nthan 20-fold in 30% of the tumors. Correlation of gene amplification with several disease parameters was evaluated. Amplification\nof the HER-2/neu gene was a significant predictor of both overall survival and time to relapse in patients with breast cancer.\nIt retained its significance even when adjustments were made for other known prognostic factors. Moreover, HER-2/neu amplification\nhad greater prognostic value than most currently used prognostic factors, including hormonal-receptor status, in lymph node-positive\ndisease. These data indicate that this gene may play a role in the biologic behavior and/or pathogenesis of human breast cancer.","container-title":"Science (New York, N.Y.)","DOI":"10.1126/science.3798106","journalAbbreviation":"Science (New York, N.Y.)","page":"177-82","source":"ResearchGate","title":"Slamon DJ, Clark GM, Wong SG, Levin WJ, Ullrich A, McGuire WLHuman breast cancer: correlation of relapse and survival with amplification of the HER-2/neu oncogene. Science (Wash DC) 235: 177-182","title-short":"Slamon DJ, Clark GM, Wong SG, Levin WJ, Ullrich A, McGuire WLHuman breast cancer","volume":"235","author":[{"family":"Slamon","given":"Dennis"},{"family":"Clark","given":"Gary"},{"family":"Wong","given":"Steven"},{"family":"Levin","given":"Wendy"},{"family":"Ullrich","given":"Axel"},{"family":"McGuire","given":"William"}],"issued":{"date-parts":[["1987",2,1]]}}}],"schema":"https://github.com/citation-style-language/schema/raw/master/csl-citation.json"} </w:instrText>
      </w:r>
      <w:r w:rsidR="0076619A" w:rsidRPr="006E33DC">
        <w:rPr>
          <w:rStyle w:val="normaltextrun"/>
        </w:rPr>
        <w:fldChar w:fldCharType="separate"/>
      </w:r>
      <w:r w:rsidR="00FD57F4" w:rsidRPr="00FD57F4">
        <w:rPr>
          <w:rFonts w:cs="Arial"/>
          <w:szCs w:val="24"/>
          <w:vertAlign w:val="superscript"/>
        </w:rPr>
        <w:t>34</w:t>
      </w:r>
      <w:r w:rsidR="0076619A" w:rsidRPr="006E33DC">
        <w:rPr>
          <w:rStyle w:val="normaltextrun"/>
        </w:rPr>
        <w:fldChar w:fldCharType="end"/>
      </w:r>
      <w:r w:rsidR="00B45A05" w:rsidRPr="006E33DC">
        <w:rPr>
          <w:rStyle w:val="normaltextrun"/>
        </w:rPr>
        <w:t xml:space="preserve"> t</w:t>
      </w:r>
      <w:r w:rsidR="00130B13" w:rsidRPr="006E33DC">
        <w:rPr>
          <w:rStyle w:val="normaltextrun"/>
        </w:rPr>
        <w:t>he introduction of HER2-targeted therapies has substantially improved prognosis in the HER2</w:t>
      </w:r>
      <w:r w:rsidR="00494FC2" w:rsidRPr="006E33DC">
        <w:rPr>
          <w:rStyle w:val="normaltextrun"/>
        </w:rPr>
        <w:t>-positive</w:t>
      </w:r>
      <w:r w:rsidR="00130B13" w:rsidRPr="006E33DC">
        <w:rPr>
          <w:rStyle w:val="normaltextrun"/>
        </w:rPr>
        <w:t xml:space="preserve"> population.</w:t>
      </w:r>
      <w:r w:rsidR="00130B13" w:rsidRPr="006E33DC">
        <w:rPr>
          <w:rStyle w:val="normaltextrun"/>
        </w:rPr>
        <w:fldChar w:fldCharType="begin"/>
      </w:r>
      <w:r w:rsidR="00CA6345">
        <w:rPr>
          <w:rStyle w:val="normaltextrun"/>
        </w:rPr>
        <w:instrText xml:space="preserve"> ADDIN ZOTERO_ITEM CSL_CITATION {"citationID":"3p2ccL6I","properties":{"formattedCitation":"\\super 112\\nosupersub{}","plainCitation":"112","noteIndex":0},"citationItems":[{"id":65893,"uris":["http://zotero.org/groups/4797619/items/REUN764G"],"itemData":{"id":65893,"type":"article-journal","abstract":"AIM: We aimed to systematically review and summarize data from the available clinical trials that examined the treatment of HER2-positive metastatic breast cancer.\nMETHODS: We reviewed phase 2 and 3 studies in which an anti-HER2 agent was used in one or both arms of the study. While formal meta-analysis was not possible for such a heterogeneous group of trials, resulting forest plots outline some generalizable findings.\nRESULTS: There is strong evidence that the addition of an anti-HER2 agent to standard chemo- or endocrine therapy improves clinically relevant measurable outcomes. There is also consistent evidence that initial treatment with trastuzumab alone (and subsequent use of a cytotoxic) is inferior to the initial combination of trastuzumab plus chemotherapy, and that either T-DM1 or dual anti-HER2 agents are superior to single anti-HER2 agent regimens. There is no strong evidence that the use of more than one cytotoxic agent together with an anti-HER2 agent confers any benefit over a single cytotoxic, anti-HER2 combination.\nCONCLUSION: This review provides a strong evidence base for current clinical practice with a discussion of treatment in the Australian setting.","container-title":"Asia-Pacific Journal of Clinical Oncology","DOI":"10.1111/ajco.12206","ISSN":"1743-7563","journalAbbreviation":"Asia Pac J Clin Oncol","language":"eng","note":"PMID: 24797445","page":"1-14","source":"PubMed","title":"Systemic treatment of HER2-positive metastatic breast cancer: a systematic review","title-short":"Systemic treatment of HER2-positive metastatic breast cancer","volume":"10 Suppl S4","author":[{"family":"Wilcken","given":"Nicholas"},{"family":"Zdenkowski","given":"Nicholas"},{"family":"White","given":"Michelle"},{"family":"Snyder","given":"Ray"},{"family":"Pittman","given":"Ken"},{"family":"Mainwaring","given":"Paul"},{"family":"Green","given":"Michael"},{"family":"Francis","given":"Prudence"},{"family":"De Boer","given":"Richard"},{"family":"Colosimo","given":"Maree"},{"family":"Chua","given":"Sue"},{"family":"Chirgwin","given":"Jacquie"},{"family":"Beith","given":"Jane"},{"family":"Bell","given":"Richard"}],"issued":{"date-parts":[["2014",6]]}}}],"schema":"https://github.com/citation-style-language/schema/raw/master/csl-citation.json"} </w:instrText>
      </w:r>
      <w:r w:rsidR="00130B13" w:rsidRPr="006E33DC">
        <w:rPr>
          <w:rStyle w:val="normaltextrun"/>
        </w:rPr>
        <w:fldChar w:fldCharType="separate"/>
      </w:r>
      <w:r w:rsidR="00CA6345" w:rsidRPr="00CA6345">
        <w:rPr>
          <w:rFonts w:cs="Arial"/>
          <w:szCs w:val="24"/>
          <w:vertAlign w:val="superscript"/>
        </w:rPr>
        <w:t>112</w:t>
      </w:r>
      <w:r w:rsidR="00130B13" w:rsidRPr="006E33DC">
        <w:rPr>
          <w:rStyle w:val="normaltextrun"/>
        </w:rPr>
        <w:fldChar w:fldCharType="end"/>
      </w:r>
      <w:r w:rsidR="00130B13" w:rsidRPr="006E33DC">
        <w:rPr>
          <w:rStyle w:val="normaltextrun"/>
        </w:rPr>
        <w:t xml:space="preserve"> The introduction of trastuzumab in the first-line setting increased OS in HER2</w:t>
      </w:r>
      <w:r w:rsidR="00494FC2" w:rsidRPr="006E33DC">
        <w:rPr>
          <w:rStyle w:val="normaltextrun"/>
        </w:rPr>
        <w:t>-positive</w:t>
      </w:r>
      <w:r w:rsidR="00130B13" w:rsidRPr="006E33DC">
        <w:rPr>
          <w:rStyle w:val="normaltextrun"/>
        </w:rPr>
        <w:t xml:space="preserve"> mBC, resulting in 5</w:t>
      </w:r>
      <w:r w:rsidR="00130B13" w:rsidRPr="006E33DC">
        <w:rPr>
          <w:rStyle w:val="normaltextrun"/>
        </w:rPr>
        <w:noBreakHyphen/>
        <w:t>year OS of 29.7% and 17.7% in patients with HR</w:t>
      </w:r>
      <w:r w:rsidR="00C0484F" w:rsidRPr="006E33DC">
        <w:rPr>
          <w:rStyle w:val="normaltextrun"/>
        </w:rPr>
        <w:t>-</w:t>
      </w:r>
      <w:r w:rsidR="0066503B" w:rsidRPr="006E33DC">
        <w:rPr>
          <w:rStyle w:val="normaltextrun"/>
        </w:rPr>
        <w:t>positive</w:t>
      </w:r>
      <w:r w:rsidR="00130B13" w:rsidRPr="006E33DC">
        <w:rPr>
          <w:rStyle w:val="normaltextrun"/>
        </w:rPr>
        <w:t xml:space="preserve"> and HR</w:t>
      </w:r>
      <w:r w:rsidR="00C0484F" w:rsidRPr="006E33DC">
        <w:rPr>
          <w:rStyle w:val="normaltextrun"/>
        </w:rPr>
        <w:t>-</w:t>
      </w:r>
      <w:r w:rsidR="0066503B" w:rsidRPr="006E33DC">
        <w:rPr>
          <w:rStyle w:val="normaltextrun"/>
        </w:rPr>
        <w:t>negative</w:t>
      </w:r>
      <w:r w:rsidR="00130B13" w:rsidRPr="006E33DC">
        <w:rPr>
          <w:rStyle w:val="normaltextrun"/>
        </w:rPr>
        <w:t xml:space="preserve"> BC, respectively (vs. 14.5% and 8.9%, respectively, in patients who did not receive trastuzumab).</w:t>
      </w:r>
      <w:r w:rsidR="00130B13" w:rsidRPr="006E33DC">
        <w:rPr>
          <w:rStyle w:val="normaltextrun"/>
        </w:rPr>
        <w:fldChar w:fldCharType="begin"/>
      </w:r>
      <w:r w:rsidR="00CA6345">
        <w:rPr>
          <w:rStyle w:val="normaltextrun"/>
        </w:rPr>
        <w:instrText xml:space="preserve"> ADDIN ZOTERO_ITEM CSL_CITATION {"citationID":"oRGQt0tO","properties":{"formattedCitation":"\\super 113\\nosupersub{}","plainCitation":"113","noteIndex":0},"citationItems":[{"id":65892,"uris":["http://zotero.org/groups/4797619/items/VTE8JEMM"],"itemData":{"id":65892,"type":"article-journal","abstract":"PURPOSE The purpose of this study was to determine whether trastuzumab improves prognosis of women with metastatic human epidermal growth factor receptor 2 (HER2)/neu -positive breast cancer beyond that of women with HER2/neu-negative disease. PATIENTS AND METHODS Two thousand ninety-one women with metastatic breast cancer diagnosed from 1991 to 2007, with known HER2/neu status and who had not received trastuzumab in the adjuvant setting, were identified. Disease was classified into the following three groups: HER2/neu negative, HER2/neu positive without first-line trastuzumab treatment, and HER2/neu positive with first-line trastuzumab treatment. Overall survival (OS) was estimated using the Kaplan-Meier product-limit method and compared between groups with the log-rank test. Cox proportional hazards models were used to determine associations between OS and HER2/neu status after controlling for patient characteristics. Results One hundred eighteen patients (5.6%) had HER2/neu-positive disease without trastuzumab treatment, 191 (9.1%) had HER2/neu-positive disease and received trastuzumab treatment, and 1,782 (85.3%) had HER2/neu-negative disease. Median-follow-up was 16.9 months. One-year survival rates among patients with HER2/neu-negative disease, HER2/neu-positive disease and trastuzumab treatment, and HER2/neu-positive disease and no trastuzumab treatment were 75.1% (95% CI, 72.9% to 77.2%), 86.6% (95% CI, 80.8% to 90.8%), and 70.2% (95% CI, 60.3% to 78.1%), respectively. In a multivariable model, women with HER2/neu-positive disease who received trastuzumab had a 44% reduction in the risk of death compared with women with HER2/neu-negative disease (hazard ratio [HR] = 0.56; 95% CI, 0.45 to 0.69; P &lt; .0001). This HR varied with time and was significant for the first 24 months and not significant after 24 months. CONCLUSION Our results show that women with HER2/neu-positive disease who received trastuzumab had improved prognosis compared with women with HER2/neu-negative disease.","container-title":"Journal of Clinical Oncology: Official Journal of the American Society of Clinical Oncology","DOI":"10.1200/JCO.2008.19.9844","ISSN":"1527-7755","issue":"1","journalAbbreviation":"J Clin Oncol","language":"eng","note":"PMID: 19933921\nPMCID: PMC2799236","page":"92-98","source":"PubMed","title":"Prognosis of women with metastatic breast cancer by HER2 status and trastuzumab treatment: an institutional-based review","title-short":"Prognosis of women with metastatic breast cancer by HER2 status and trastuzumab treatment","volume":"28","author":[{"family":"Dawood","given":"Shaheenah"},{"family":"Broglio","given":"Kristine"},{"family":"Buzdar","given":"Aman U."},{"family":"Hortobagyi","given":"Gabriel N."},{"family":"Giordano","given":"Sharon H."}],"issued":{"date-parts":[["2010",1,1]]}}}],"schema":"https://github.com/citation-style-language/schema/raw/master/csl-citation.json"} </w:instrText>
      </w:r>
      <w:r w:rsidR="00130B13" w:rsidRPr="006E33DC">
        <w:rPr>
          <w:rStyle w:val="normaltextrun"/>
        </w:rPr>
        <w:fldChar w:fldCharType="separate"/>
      </w:r>
      <w:r w:rsidR="00CA6345" w:rsidRPr="00CA6345">
        <w:rPr>
          <w:rFonts w:cs="Arial"/>
          <w:szCs w:val="24"/>
          <w:vertAlign w:val="superscript"/>
        </w:rPr>
        <w:t>113</w:t>
      </w:r>
      <w:r w:rsidR="00130B13" w:rsidRPr="006E33DC">
        <w:rPr>
          <w:rStyle w:val="normaltextrun"/>
        </w:rPr>
        <w:fldChar w:fldCharType="end"/>
      </w:r>
      <w:r w:rsidR="00130B13" w:rsidRPr="006E33DC">
        <w:rPr>
          <w:rStyle w:val="normaltextrun"/>
        </w:rPr>
        <w:t xml:space="preserve"> </w:t>
      </w:r>
      <w:r w:rsidR="00AE626F" w:rsidRPr="006E33DC">
        <w:rPr>
          <w:rStyle w:val="normaltextrun"/>
        </w:rPr>
        <w:t>Subsequently, the CLEOPATRA trial established c</w:t>
      </w:r>
      <w:r w:rsidR="00130B13" w:rsidRPr="006E33DC">
        <w:rPr>
          <w:rStyle w:val="normaltextrun"/>
        </w:rPr>
        <w:t xml:space="preserve">ombination therapy with pertuzumab plus trastuzumab </w:t>
      </w:r>
      <w:r w:rsidR="00024350" w:rsidRPr="006E33DC">
        <w:rPr>
          <w:rStyle w:val="normaltextrun"/>
        </w:rPr>
        <w:t xml:space="preserve">and </w:t>
      </w:r>
      <w:r w:rsidR="00130B13" w:rsidRPr="006E33DC">
        <w:rPr>
          <w:rStyle w:val="normaltextrun"/>
        </w:rPr>
        <w:t xml:space="preserve">docetaxel </w:t>
      </w:r>
      <w:r w:rsidR="00C36E0C" w:rsidRPr="006E33DC">
        <w:rPr>
          <w:rStyle w:val="normaltextrun"/>
        </w:rPr>
        <w:t xml:space="preserve">as a </w:t>
      </w:r>
      <w:r w:rsidR="00624930" w:rsidRPr="006E33DC">
        <w:rPr>
          <w:rStyle w:val="normaltextrun"/>
        </w:rPr>
        <w:t xml:space="preserve">new </w:t>
      </w:r>
      <w:r w:rsidR="00BA5510" w:rsidRPr="006E33DC">
        <w:rPr>
          <w:rStyle w:val="normaltextrun"/>
        </w:rPr>
        <w:t xml:space="preserve">first-line standard of care </w:t>
      </w:r>
      <w:r w:rsidR="00BF5C34" w:rsidRPr="006E33DC">
        <w:rPr>
          <w:rStyle w:val="normaltextrun"/>
        </w:rPr>
        <w:t xml:space="preserve">demonstrating </w:t>
      </w:r>
      <w:r w:rsidR="00D31B7A" w:rsidRPr="006E33DC">
        <w:rPr>
          <w:rStyle w:val="normaltextrun"/>
        </w:rPr>
        <w:t>4-year OS of 57.6%.</w:t>
      </w:r>
      <w:r w:rsidR="006D48FE" w:rsidRPr="006E33DC">
        <w:rPr>
          <w:rStyle w:val="normaltextrun"/>
        </w:rPr>
        <w:fldChar w:fldCharType="begin"/>
      </w:r>
      <w:r w:rsidR="00CA6345">
        <w:rPr>
          <w:rStyle w:val="normaltextrun"/>
        </w:rPr>
        <w:instrText xml:space="preserve"> ADDIN ZOTERO_ITEM CSL_CITATION {"citationID":"5Nu0LYuG","properties":{"formattedCitation":"\\super 42,65\\nosupersub{}","plainCitation":"42,65","noteIndex":0},"citationItems":[{"id":66208,"uris":["http://zotero.org/groups/4797619/items/KWKE3I8M"],"itemData":{"id":66208,"type":"article-journal","abstract":"BACKGROUND: In patients with metastatic breast cancer that is positive for human epidermal growth factor receptor 2 (HER2), progression-free survival was significantly improved after first-line therapy with pertuzumab, trastuzumab, and docetaxel, as compared with placebo, trastuzumab, and docetaxel. Overall survival was significantly improved with pertuzumab in an interim analysis without the median being reached. We report final prespecified overall survival results with a median follow-up of 50 months.\nMETHODS: We randomly assigned patients with metastatic breast cancer who had not received previous chemotherapy or anti-HER2 therapy for their metastatic disease to receive the pertuzumab combination or the placebo combination. The secondary end points of overall survival, investigator-assessed progression-free survival, independently assessed duration of response, and safety are reported. Sensitivity analyses were adjusted for patients who crossed over from placebo to pertuzumab after the interim analysis.\nRESULTS: The median overall survival was 56.5 months (95% confidence interval [CI], 49.3 to not reached) in the group receiving the pertuzumab combination, as compared with 40.8 months (95% CI, 35.8 to 48.3) in the group receiving the placebo combination (hazard ratio favoring the pertuzumab group, 0.68; 95% CI, 0.56 to 0.84; P&lt;0.001), a difference of 15.7 months. This analysis was not adjusted for crossover to the pertuzumab group and is therefore conservative. Results of sensitivity analyses after adjustment for crossover were consistent. Median progression-free survival as assessed by investigators improved by 6.3 months in the pertuzumab group (hazard ratio, 0.68; 95% CI, 0.58 to 0.80). Pertuzumab extended the median duration of response by 7.7 months, as independently assessed. Most adverse events occurred during the administration of docetaxel in the two groups, with long-term cardiac safety maintained.\nCONCLUSIONS: In patients with HER2-positive metastatic breast cancer, the addition of pertuzumab to trastuzumab and docetaxel, as compared with the addition of placebo, significantly improved the median overall survival to 56.5 months and extended the results of previous analyses showing the efficacy of this drug combination. (Funded by F. Hoffmann-La Roche and Genentech; CLEOPATRA ClinicalTrials.gov number, NCT00567190.).","container-title":"The New England Journal of Medicine","DOI":"10.1056/NEJMoa1413513","ISSN":"1533-4406","issue":"8","journalAbbreviation":"N Engl J Med","language":"eng","note":"PMID: 25693012\nPMCID: PMC5584549","page":"724-734","source":"PubMed","title":"Pertuzumab, trastuzumab, and docetaxel in HER2-positive metastatic breast cancer","volume":"372","author":[{"family":"Swain","given":"Sandra M."},{"family":"Baselga","given":"José"},{"family":"Kim","given":"Sung-Bae"},{"family":"Ro","given":"Jungsil"},{"family":"Semiglazov","given":"Vladimir"},{"family":"Campone","given":"Mario"},{"family":"Ciruelos","given":"Eva"},{"family":"Ferrero","given":"Jean-Marc"},{"family":"Schneeweiss","given":"Andreas"},{"family":"Heeson","given":"Sarah"},{"family":"Clark","given":"Emma"},{"family":"Ross","given":"Graham"},{"family":"Benyunes","given":"Mark C."},{"family":"Cortés","given":"Javier"},{"literal":"CLEOPATRA Study Group"}],"issued":{"date-parts":[["2015",2,19]]}}},{"id":65955,"uris":["http://zotero.org/groups/4797619/items/4KXA6CCG"],"itemData":{"id":65955,"type":"article-journal","container-title":"Annals of Oncology: Official Journal of the European Society for Medical Oncology","DOI":"10.1016/j.annonc.2021.09.019","ISSN":"1569-8041","issue":"12","journalAbbreviation":"Ann Oncol","language":"eng","note":"PMID: 34678411","page":"1475-1495","source":"PubMed","title":"ESMO Clinical Practice Guideline for the diagnosis, staging and treatment of patients with metastatic breast cancer","volume":"32","author":[{"family":"Gennari","given":"A."},{"family":"André","given":"F."},{"family":"Barrios","given":"C. H."},{"family":"Cortés","given":"J."},{"family":"Azambuja","given":"E.","non-dropping-particle":"de"},{"family":"DeMichele","given":"A."},{"family":"Dent","given":"R."},{"family":"Fenlon","given":"D."},{"family":"Gligorov","given":"J."},{"family":"Hurvitz","given":"S. A."},{"family":"Im","given":"S.-A."},{"family":"Krug","given":"D."},{"family":"Kunz","given":"W. G."},{"family":"Loi","given":"S."},{"family":"Penault-Llorca","given":"F."},{"family":"Ricke","given":"J."},{"family":"Robson","given":"M."},{"family":"Rugo","given":"H. S."},{"family":"Saura","given":"C."},{"family":"Schmid","given":"P."},{"family":"Singer","given":"C. F."},{"family":"Spanic","given":"T."},{"family":"Tolaney","given":"S. M."},{"family":"Turner","given":"N. C."},{"family":"Curigliano","given":"G."},{"family":"Loibl","given":"S."},{"family":"Paluch-Shimon","given":"S."},{"family":"Harbeck","given":"N."},{"literal":"ESMO Guidelines Committee. Electronic address: clinicalguidelines@esmo.org"}],"issued":{"date-parts":[["2021",12]]}}}],"schema":"https://github.com/citation-style-language/schema/raw/master/csl-citation.json"} </w:instrText>
      </w:r>
      <w:r w:rsidR="006D48FE" w:rsidRPr="006E33DC">
        <w:rPr>
          <w:rStyle w:val="normaltextrun"/>
        </w:rPr>
        <w:fldChar w:fldCharType="separate"/>
      </w:r>
      <w:r w:rsidR="00FD57F4" w:rsidRPr="00FD57F4">
        <w:rPr>
          <w:rFonts w:cs="Arial"/>
          <w:szCs w:val="24"/>
          <w:vertAlign w:val="superscript"/>
        </w:rPr>
        <w:t>42,65</w:t>
      </w:r>
      <w:r w:rsidR="006D48FE" w:rsidRPr="006E33DC">
        <w:rPr>
          <w:rStyle w:val="normaltextrun"/>
        </w:rPr>
        <w:fldChar w:fldCharType="end"/>
      </w:r>
      <w:r w:rsidR="00D31B7A" w:rsidRPr="006E33DC">
        <w:rPr>
          <w:rStyle w:val="normaltextrun"/>
        </w:rPr>
        <w:t xml:space="preserve"> </w:t>
      </w:r>
      <w:r w:rsidR="00CB680E" w:rsidRPr="006E33DC">
        <w:rPr>
          <w:rStyle w:val="normaltextrun"/>
        </w:rPr>
        <w:t>The pertuzumab combination</w:t>
      </w:r>
      <w:r w:rsidR="00BF5C34" w:rsidRPr="006E33DC">
        <w:rPr>
          <w:rStyle w:val="normaltextrun"/>
        </w:rPr>
        <w:t xml:space="preserve"> </w:t>
      </w:r>
      <w:r w:rsidR="000809A8" w:rsidRPr="006E33DC">
        <w:rPr>
          <w:rStyle w:val="normaltextrun"/>
        </w:rPr>
        <w:t>was associated with  median</w:t>
      </w:r>
      <w:r w:rsidR="00130B13" w:rsidRPr="006E33DC">
        <w:rPr>
          <w:rStyle w:val="normaltextrun"/>
        </w:rPr>
        <w:t xml:space="preserve"> </w:t>
      </w:r>
      <w:r w:rsidR="002D0CDA" w:rsidRPr="006E33DC">
        <w:rPr>
          <w:rStyle w:val="normaltextrun"/>
        </w:rPr>
        <w:t xml:space="preserve">PFS of 18.7 months (vs. 12.4 months for placebo plus trastuzumab and docetaxel), and median </w:t>
      </w:r>
      <w:r w:rsidR="00130B13" w:rsidRPr="006E33DC">
        <w:rPr>
          <w:rStyle w:val="normaltextrun"/>
        </w:rPr>
        <w:t xml:space="preserve">OS of 56.5 months </w:t>
      </w:r>
      <w:r w:rsidR="00783D36" w:rsidRPr="006E33DC">
        <w:rPr>
          <w:rStyle w:val="normaltextrun"/>
        </w:rPr>
        <w:t>(</w:t>
      </w:r>
      <w:r w:rsidR="00130B13" w:rsidRPr="006E33DC">
        <w:rPr>
          <w:rStyle w:val="normaltextrun"/>
        </w:rPr>
        <w:t>vs. 40.8</w:t>
      </w:r>
      <w:r w:rsidR="005B5A4C" w:rsidRPr="006E33DC">
        <w:rPr>
          <w:rStyle w:val="normaltextrun"/>
        </w:rPr>
        <w:t> months).</w:t>
      </w:r>
      <w:r w:rsidR="00EF6E92" w:rsidRPr="006E33DC">
        <w:rPr>
          <w:rStyle w:val="normaltextrun"/>
        </w:rPr>
        <w:fldChar w:fldCharType="begin"/>
      </w:r>
      <w:r w:rsidR="00CA6345">
        <w:rPr>
          <w:rStyle w:val="normaltextrun"/>
        </w:rPr>
        <w:instrText xml:space="preserve"> ADDIN ZOTERO_ITEM CSL_CITATION {"citationID":"YlPFUuAg","properties":{"formattedCitation":"\\super 42,65\\nosupersub{}","plainCitation":"42,65","noteIndex":0},"citationItems":[{"id":66208,"uris":["http://zotero.org/groups/4797619/items/KWKE3I8M"],"itemData":{"id":66208,"type":"article-journal","abstract":"BACKGROUND: In patients with metastatic breast cancer that is positive for human epidermal growth factor receptor 2 (HER2), progression-free survival was significantly improved after first-line therapy with pertuzumab, trastuzumab, and docetaxel, as compared with placebo, trastuzumab, and docetaxel. Overall survival was significantly improved with pertuzumab in an interim analysis without the median being reached. We report final prespecified overall survival results with a median follow-up of 50 months.\nMETHODS: We randomly assigned patients with metastatic breast cancer who had not received previous chemotherapy or anti-HER2 therapy for their metastatic disease to receive the pertuzumab combination or the placebo combination. The secondary end points of overall survival, investigator-assessed progression-free survival, independently assessed duration of response, and safety are reported. Sensitivity analyses were adjusted for patients who crossed over from placebo to pertuzumab after the interim analysis.\nRESULTS: The median overall survival was 56.5 months (95% confidence interval [CI], 49.3 to not reached) in the group receiving the pertuzumab combination, as compared with 40.8 months (95% CI, 35.8 to 48.3) in the group receiving the placebo combination (hazard ratio favoring the pertuzumab group, 0.68; 95% CI, 0.56 to 0.84; P&lt;0.001), a difference of 15.7 months. This analysis was not adjusted for crossover to the pertuzumab group and is therefore conservative. Results of sensitivity analyses after adjustment for crossover were consistent. Median progression-free survival as assessed by investigators improved by 6.3 months in the pertuzumab group (hazard ratio, 0.68; 95% CI, 0.58 to 0.80). Pertuzumab extended the median duration of response by 7.7 months, as independently assessed. Most adverse events occurred during the administration of docetaxel in the two groups, with long-term cardiac safety maintained.\nCONCLUSIONS: In patients with HER2-positive metastatic breast cancer, the addition of pertuzumab to trastuzumab and docetaxel, as compared with the addition of placebo, significantly improved the median overall survival to 56.5 months and extended the results of previous analyses showing the efficacy of this drug combination. (Funded by F. Hoffmann-La Roche and Genentech; CLEOPATRA ClinicalTrials.gov number, NCT00567190.).","container-title":"The New England Journal of Medicine","DOI":"10.1056/NEJMoa1413513","ISSN":"1533-4406","issue":"8","journalAbbreviation":"N Engl J Med","language":"eng","note":"PMID: 25693012\nPMCID: PMC5584549","page":"724-734","source":"PubMed","title":"Pertuzumab, trastuzumab, and docetaxel in HER2-positive metastatic breast cancer","volume":"372","author":[{"family":"Swain","given":"Sandra M."},{"family":"Baselga","given":"José"},{"family":"Kim","given":"Sung-Bae"},{"family":"Ro","given":"Jungsil"},{"family":"Semiglazov","given":"Vladimir"},{"family":"Campone","given":"Mario"},{"family":"Ciruelos","given":"Eva"},{"family":"Ferrero","given":"Jean-Marc"},{"family":"Schneeweiss","given":"Andreas"},{"family":"Heeson","given":"Sarah"},{"family":"Clark","given":"Emma"},{"family":"Ross","given":"Graham"},{"family":"Benyunes","given":"Mark C."},{"family":"Cortés","given":"Javier"},{"literal":"CLEOPATRA Study Group"}],"issued":{"date-parts":[["2015",2,19]]}}},{"id":65955,"uris":["http://zotero.org/groups/4797619/items/4KXA6CCG"],"itemData":{"id":65955,"type":"article-journal","container-title":"Annals of Oncology: Official Journal of the European Society for Medical Oncology","DOI":"10.1016/j.annonc.2021.09.019","ISSN":"1569-8041","issue":"12","journalAbbreviation":"Ann Oncol","language":"eng","note":"PMID: 34678411","page":"1475-1495","source":"PubMed","title":"ESMO Clinical Practice Guideline for the diagnosis, staging and treatment of patients with metastatic breast cancer","volume":"32","author":[{"family":"Gennari","given":"A."},{"family":"André","given":"F."},{"family":"Barrios","given":"C. H."},{"family":"Cortés","given":"J."},{"family":"Azambuja","given":"E.","non-dropping-particle":"de"},{"family":"DeMichele","given":"A."},{"family":"Dent","given":"R."},{"family":"Fenlon","given":"D."},{"family":"Gligorov","given":"J."},{"family":"Hurvitz","given":"S. A."},{"family":"Im","given":"S.-A."},{"family":"Krug","given":"D."},{"family":"Kunz","given":"W. G."},{"family":"Loi","given":"S."},{"family":"Penault-Llorca","given":"F."},{"family":"Ricke","given":"J."},{"family":"Robson","given":"M."},{"family":"Rugo","given":"H. S."},{"family":"Saura","given":"C."},{"family":"Schmid","given":"P."},{"family":"Singer","given":"C. F."},{"family":"Spanic","given":"T."},{"family":"Tolaney","given":"S. M."},{"family":"Turner","given":"N. C."},{"family":"Curigliano","given":"G."},{"family":"Loibl","given":"S."},{"family":"Paluch-Shimon","given":"S."},{"family":"Harbeck","given":"N."},{"literal":"ESMO Guidelines Committee. Electronic address: clinicalguidelines@esmo.org"}],"issued":{"date-parts":[["2021",12]]}}}],"schema":"https://github.com/citation-style-language/schema/raw/master/csl-citation.json"} </w:instrText>
      </w:r>
      <w:r w:rsidR="00EF6E92" w:rsidRPr="006E33DC">
        <w:rPr>
          <w:rStyle w:val="normaltextrun"/>
        </w:rPr>
        <w:fldChar w:fldCharType="separate"/>
      </w:r>
      <w:r w:rsidR="00FD57F4" w:rsidRPr="00FD57F4">
        <w:rPr>
          <w:rFonts w:cs="Arial"/>
          <w:szCs w:val="24"/>
          <w:vertAlign w:val="superscript"/>
        </w:rPr>
        <w:t>42,65</w:t>
      </w:r>
      <w:r w:rsidR="00EF6E92" w:rsidRPr="006E33DC">
        <w:rPr>
          <w:rStyle w:val="normaltextrun"/>
        </w:rPr>
        <w:fldChar w:fldCharType="end"/>
      </w:r>
      <w:r w:rsidR="005B5A4C" w:rsidRPr="006E33DC">
        <w:rPr>
          <w:rStyle w:val="normaltextrun"/>
        </w:rPr>
        <w:t xml:space="preserve"> </w:t>
      </w:r>
      <w:r w:rsidR="00B3217A" w:rsidRPr="006E33DC">
        <w:rPr>
          <w:rStyle w:val="normaltextrun"/>
        </w:rPr>
        <w:t>Regimens based around anti-HER2 therapies are now the mainstay of first-line treatment in HER2</w:t>
      </w:r>
      <w:r w:rsidR="0066503B" w:rsidRPr="006E33DC">
        <w:rPr>
          <w:rStyle w:val="normaltextrun"/>
        </w:rPr>
        <w:t>-positive</w:t>
      </w:r>
      <w:r w:rsidR="00B3217A" w:rsidRPr="006E33DC">
        <w:rPr>
          <w:rStyle w:val="normaltextrun"/>
        </w:rPr>
        <w:t xml:space="preserve"> mBC in England rather than chemotherapy alone</w:t>
      </w:r>
      <w:r w:rsidR="004A7111">
        <w:rPr>
          <w:rStyle w:val="normaltextrun"/>
        </w:rPr>
        <w:t>.</w:t>
      </w:r>
      <w:r w:rsidR="00B3217A" w:rsidRPr="006E33DC">
        <w:rPr>
          <w:rStyle w:val="normaltextrun"/>
        </w:rPr>
        <w:t xml:space="preserve"> </w:t>
      </w:r>
    </w:p>
    <w:p w14:paraId="153CF3FD" w14:textId="4F165909" w:rsidR="009C4421" w:rsidRDefault="00B156B1">
      <w:r w:rsidRPr="002646F6">
        <w:t xml:space="preserve">HER2-targeted therapies are also </w:t>
      </w:r>
      <w:r w:rsidR="00B96EF2" w:rsidRPr="002646F6">
        <w:t xml:space="preserve">the standard of care </w:t>
      </w:r>
      <w:r w:rsidRPr="002646F6">
        <w:t xml:space="preserve">in HER2-positive disease in the second- and </w:t>
      </w:r>
      <w:r w:rsidR="00A41E31" w:rsidRPr="002646F6">
        <w:t>later</w:t>
      </w:r>
      <w:r w:rsidR="00662B47" w:rsidRPr="002646F6">
        <w:t>-</w:t>
      </w:r>
      <w:r w:rsidR="00A41E31" w:rsidRPr="002646F6">
        <w:t>line</w:t>
      </w:r>
      <w:r w:rsidRPr="002646F6">
        <w:t xml:space="preserve"> HER2-positive u/mBC setting. </w:t>
      </w:r>
      <w:r w:rsidR="00317729" w:rsidRPr="00317729">
        <w:t xml:space="preserve">T-DM1 has been available since 2014 </w:t>
      </w:r>
      <w:r w:rsidR="00FE6727">
        <w:t>(</w:t>
      </w:r>
      <w:r w:rsidR="00317729" w:rsidRPr="00317729">
        <w:t>via the CDF</w:t>
      </w:r>
      <w:r w:rsidR="00FE6727">
        <w:t>)</w:t>
      </w:r>
      <w:r w:rsidR="00317729" w:rsidRPr="00317729">
        <w:t xml:space="preserve"> and then subsequently via a NICE recommendation in </w:t>
      </w:r>
      <w:r w:rsidR="00E7081A" w:rsidRPr="006E33DC">
        <w:t>2017</w:t>
      </w:r>
      <w:r w:rsidR="0053629F">
        <w:t xml:space="preserve"> (TA</w:t>
      </w:r>
      <w:r w:rsidR="001B203E">
        <w:t>458)</w:t>
      </w:r>
      <w:r w:rsidR="00AF13B6">
        <w:t>.</w:t>
      </w:r>
      <w:r w:rsidR="008653F7" w:rsidRPr="006E33DC">
        <w:fldChar w:fldCharType="begin"/>
      </w:r>
      <w:r w:rsidR="00CA6345">
        <w:instrText xml:space="preserve"> ADDIN ZOTERO_ITEM CSL_CITATION {"citationID":"qTS6DPqs","properties":{"formattedCitation":"\\super 39\\nosupersub{}","plainCitation":"39","noteIndex":0},"citationItems":[{"id":66118,"uris":["http://zotero.org/groups/4797619/items/AHEIFDP5"],"itemData":{"id":66118,"type":"webpage","abstract":"Evidence-based recommendations on trastuzumab emtansine (Kadcyla) for human epidermal growth factor receptor 2 (HER2)</w:instrText>
      </w:r>
      <w:r w:rsidR="00CA6345">
        <w:rPr>
          <w:rFonts w:ascii="Cambria Math" w:hAnsi="Cambria Math" w:cs="Cambria Math"/>
        </w:rPr>
        <w:instrText>‑</w:instrText>
      </w:r>
      <w:r w:rsidR="00CA6345">
        <w:instrText xml:space="preserve">positive, unresectable, locally advanced","language":"eng","note":"publisher: NICE","title":"Trastuzumab emtansine for treating HER2-positive advanced breast cancer after trastuzumab and a taxane | NICE [TA458}","URL":"https://www.nice.org.uk/guidance/ta458","author":[{"family":"NICE","given":""}],"accessed":{"date-parts":[["2022",11,8]]}}}],"schema":"https://github.com/citation-style-language/schema/raw/master/csl-citation.json"} </w:instrText>
      </w:r>
      <w:r w:rsidR="008653F7" w:rsidRPr="006E33DC">
        <w:fldChar w:fldCharType="separate"/>
      </w:r>
      <w:r w:rsidR="00FD57F4" w:rsidRPr="00FD57F4">
        <w:rPr>
          <w:rFonts w:cs="Arial"/>
          <w:szCs w:val="24"/>
          <w:vertAlign w:val="superscript"/>
        </w:rPr>
        <w:t>39</w:t>
      </w:r>
      <w:r w:rsidR="008653F7" w:rsidRPr="006E33DC">
        <w:fldChar w:fldCharType="end"/>
      </w:r>
      <w:r w:rsidR="00B3217A" w:rsidRPr="006E33DC">
        <w:t xml:space="preserve"> </w:t>
      </w:r>
      <w:r w:rsidR="00662E25" w:rsidRPr="002646F6">
        <w:t>T</w:t>
      </w:r>
      <w:r w:rsidR="00B3217A" w:rsidRPr="002646F6">
        <w:t>he EMILIA trial</w:t>
      </w:r>
      <w:r w:rsidR="006351C0" w:rsidRPr="006E33DC">
        <w:t>,</w:t>
      </w:r>
      <w:r w:rsidR="00B3217A" w:rsidRPr="006E33DC">
        <w:t xml:space="preserve"> </w:t>
      </w:r>
      <w:r w:rsidR="005B193C" w:rsidRPr="006E33DC">
        <w:t xml:space="preserve">conducted between 2009–2012, </w:t>
      </w:r>
      <w:r w:rsidR="00B3217A" w:rsidRPr="006E33DC">
        <w:t>enrolled patients treated with prior trastuzumab and a taxane</w:t>
      </w:r>
      <w:r w:rsidR="002644F3" w:rsidRPr="006E33DC">
        <w:t>.</w:t>
      </w:r>
      <w:r w:rsidR="000802A1" w:rsidRPr="006E33DC">
        <w:fldChar w:fldCharType="begin"/>
      </w:r>
      <w:r w:rsidR="00CA6345">
        <w:instrText xml:space="preserve"> ADDIN ZOTERO_ITEM CSL_CITATION {"citationID":"z6XHuGKn","properties":{"formattedCitation":"\\super 40,114\\nosupersub{}","plainCitation":"40,114","noteIndex":0},"citationItems":[{"id":65879,"uris":["http://zotero.org/groups/4797619/items/TIXIRI4S"],"itemData":{"id":65879,"type":"webpage","abstract":"Evidence-based recommendations on pertuzumab (Perjeta) for treating HER2</w:instrText>
      </w:r>
      <w:r w:rsidR="00CA6345">
        <w:rPr>
          <w:rFonts w:ascii="Cambria Math" w:hAnsi="Cambria Math" w:cs="Cambria Math"/>
        </w:rPr>
        <w:instrText>‑</w:instrText>
      </w:r>
      <w:r w:rsidR="00CA6345">
        <w:instrText xml:space="preserve">positive, locally recurrent or metastatic (secondary) breast cancer that has not been","language":"eng","note":"publisher: NICE","title":"Pertuzumab with trastuzumab and docetaxel for treating HER2-positive breast cancer | NICE [TA509]","URL":"https://www.nice.org.uk/guidance/TA509","author":[{"family":"NICE","given":""}],"accessed":{"date-parts":[["2022",9,29]]}}},{"id":66337,"uris":["http://zotero.org/groups/4797619/items/9X5TS32Y"],"itemData":{"id":66337,"type":"report","abstract":"This is a Phase III, randomized, multicenter, international, 2-arm, open-label clinical trial designed to compare the safety and efficacy of trastuzumab emtansine (T-DM1) with that of capecitabine + lapatinib in participants with human epidermal growth factor receptor 2 (HER2)-positive locally advanced or metastatic breast cancer. Participants will be treated until disease progression (PD), unmanageable toxicity, or study termination. Once disease progression is reported, all participants will be followed for survival every 3 months until death, loss to follow-up, withdrawal of consent, or study termination.","genre":"Clinical trial registration","note":"submitted: January 22, 2009","number":"NCT00829166","publisher":"clinicaltrials.gov","source":"clinicaltrials.gov","title":"A Randomized, Multicenter, Phase III Open-label Study of the Efficacy and Safety of Trastuzumab MCC-DM1 vs. Capecitabine + Lapatinib in Patients With HER2-Positive Locally Advanced or Metastatic Breast Cancer Who Have Received Prior Trastuzumab-Based Therapy","title-short":"A Study of Trastuzumab Emtansine Versus Capecitabine + Lapatinib in Participants With HER2-positive Locally Advanced or Metastatic Breast Cancer","URL":"https://clinicaltrials.gov/ct2/show/NCT00829166","author":[{"literal":"Hoffmann-La Roche"}],"accessed":{"date-parts":[["2022",12,12]]},"issued":{"date-parts":[["2016",9,10]]}}}],"schema":"https://github.com/citation-style-language/schema/raw/master/csl-citation.json"} </w:instrText>
      </w:r>
      <w:r w:rsidR="000802A1" w:rsidRPr="006E33DC">
        <w:fldChar w:fldCharType="separate"/>
      </w:r>
      <w:r w:rsidR="00CA6345" w:rsidRPr="00CA6345">
        <w:rPr>
          <w:rFonts w:cs="Arial"/>
          <w:szCs w:val="24"/>
          <w:vertAlign w:val="superscript"/>
        </w:rPr>
        <w:t>40,114</w:t>
      </w:r>
      <w:r w:rsidR="000802A1" w:rsidRPr="006E33DC">
        <w:fldChar w:fldCharType="end"/>
      </w:r>
      <w:r w:rsidR="00B3217A" w:rsidRPr="006E33DC">
        <w:t xml:space="preserve"> </w:t>
      </w:r>
      <w:r w:rsidR="0069673C">
        <w:t xml:space="preserve">In EMILIA, </w:t>
      </w:r>
      <w:r w:rsidR="00A13152" w:rsidRPr="006E33DC">
        <w:t>T-DM1 demonstrated m</w:t>
      </w:r>
      <w:r w:rsidR="005F26E7" w:rsidRPr="006E33DC">
        <w:t xml:space="preserve">edian </w:t>
      </w:r>
      <w:r w:rsidR="00A13152" w:rsidRPr="006E33DC">
        <w:t>PFS and m</w:t>
      </w:r>
      <w:r w:rsidR="005F26E7" w:rsidRPr="006E33DC">
        <w:t xml:space="preserve">edian </w:t>
      </w:r>
      <w:r w:rsidR="00A13152" w:rsidRPr="006E33DC">
        <w:t xml:space="preserve">OS of 9.6 months and </w:t>
      </w:r>
      <w:r w:rsidR="00C91E64" w:rsidRPr="006E33DC">
        <w:t>30.9</w:t>
      </w:r>
      <w:r w:rsidR="002B3F92" w:rsidRPr="006E33DC">
        <w:t xml:space="preserve"> months, respectively, compared with </w:t>
      </w:r>
      <w:r w:rsidR="00334FBB" w:rsidRPr="006E33DC">
        <w:t>6.4 months</w:t>
      </w:r>
      <w:r w:rsidR="000E5F4F" w:rsidRPr="006E33DC">
        <w:t xml:space="preserve"> and 25.1</w:t>
      </w:r>
      <w:r w:rsidR="00334FBB" w:rsidRPr="006E33DC">
        <w:t xml:space="preserve"> </w:t>
      </w:r>
      <w:r w:rsidR="000E5F4F" w:rsidRPr="006E33DC">
        <w:t>months</w:t>
      </w:r>
      <w:r w:rsidR="00821D7A" w:rsidRPr="006E33DC">
        <w:t>, respectively,</w:t>
      </w:r>
      <w:r w:rsidR="000E5F4F" w:rsidRPr="006E33DC">
        <w:t xml:space="preserve"> </w:t>
      </w:r>
      <w:r w:rsidR="000B7405" w:rsidRPr="006E33DC">
        <w:t>with lapatinib plus capecitabine</w:t>
      </w:r>
      <w:r w:rsidR="009A0F5C">
        <w:t>.</w:t>
      </w:r>
      <w:r w:rsidR="00C06173" w:rsidRPr="006E33DC">
        <w:fldChar w:fldCharType="begin"/>
      </w:r>
      <w:r w:rsidR="00CA6345">
        <w:instrText xml:space="preserve"> ADDIN ZOTERO_ITEM CSL_CITATION {"citationID":"b4Qtj7qF","properties":{"formattedCitation":"\\super 66,67\\nosupersub{}","plainCitation":"66,67","noteIndex":0},"citationItems":[{"id":66203,"uris":["http://zotero.org/groups/4797619/items/GCCMFJJ4"],"itemData":{"id":66203,"type":"article-journal","abstract":"BACKGROUND: The antibody-drug conjugate trastuzumab emtansine is indicated for the treatment of patients with HER2-positive metastatic breast cancer previously treated with trastuzumab and a taxane. Approval of this drug was based on progression-free survival and interim overall survival data from the phase 3 EMILIA study. In this report, we present a descriptive analysis of the final overall survival data from that trial.\nMETHODS: EMILIA was a randomised, international, open-label, phase 3 study of men and women aged 18 years or older with HER2-positive unresectable, locally advanced or metastatic breast cancer previously treated with trastuzumab and a taxane. Enrolled patients were randomly assigned (1:1) via a hierarchical, dynamic randomisation scheme and an interactive voice response system to trastuzumab emtansine (3·6 mg/kg intravenously every 3 weeks) or control (capecitabine 1000 mg/m2 self-administered orally twice daily on days 1-14 on each 21-day cycle, plus lapatinib 1250 mg orally once daily on days 1-21). Randomisation was stratified by world region (USA vs western Europe vs or other), number of previous chemotherapy regimens for unresectable, locally advanced, or metastatic disease (0 or 1 vs &gt;1), and disease involvement (visceral vs non-visceral). The coprimary efficacy endpoints were progression-free survival (per independent review committee assessment) and overall survival. Efficacy was analysed in the intention-to-treat population; safety was analysed in all patients who received at least one dose of study treatment, with patients analysed according to the treatment actually received. On May 30, 2012, the study protocol was amended to allow crossover from control to trastuzumab emtansine after the second interim overall survival analysis crossed the prespecified overall survival efficacy boundary. This study is registered with ClinicalTrials.gov, number NCT00829166.\nFINDINGS: Between Feb 23, 2009, and Oct 13, 2011, 991 eligible patients were enrolled and randomly assigned to either trastuzumab emtansine (n=495) or capecitabine and lapatinib (control; n=496). In this final descriptive analysis, median overall survival was longer with trastuzumab emtansine than with control (29·9 months [95% CI 26·3-34·1] vs 25·9 months [95% CI 22·7-28·3]; hazard ratio 0·75 [95% CI 0·64-0·88]). 136 (27%) of 496 patients crossed over from control to trastuzumab emtansine after the second interim overall survival analysis (median follow-up duration 24·1 months [IQR 19·5-26·1]). Of those patients originally randomly assigned to trastuzumab emtansine, 254 (51%) of 495 received capecitabine and 241 [49%] of 495 received lapatinib (separately or in combination) after study drug discontinuation. In the safety population (488 patients treated with capecitabine plus lapatinib, 490 patients treated with trastuzumab emtansine), fewer grade 3 or worse adverse events occurred with trastuzumab emtansine (233 [48%] of 490) than with capecitabine plus lapatinib control treatment (291 [60%] of 488). In the control group, the most frequently reported grade 3 or worse adverse events were diarrhoea (103 [21%] of 488 patients) followed by palmar-plantar erythrodysaesthesia syndrome (87 [18%]), and vomiting (24 [5%]). The safety profile of trastuzumab emtansine was similar to that reported previously; the most frequently reported grade 3 or worse adverse events in the trastuzumab emtansine group were thrombocytopenia (70 [14%] of 490), increased aspartate aminotransferase levels (22 [5%]), and anaemia (19 [4%]). Nine patients died from adverse events; five of these deaths were judged to be related to treatment (two in the control group [coronary artery disease and multiorgan failure] and three in the trastuzumab emtansine group [metabolic encephalopathy, neutropenic sepsis, and acute myeloid leukaemia]).\nINTERPRETATION: This descriptive analysis of final overall survival in the EMILIA trial shows that trastuzumab emtansine improved overall survival in patients with previously treated HER2-positive metastatic breast cancer even in the presence of crossover treatment. The safety profile was similar to that reported in previous analyses, reaffirming trastuzumab emtansine as an efficacious and tolerable treatment in this patient population.\nFUNDING: F Hoffmann-La Roche/Genentech.","container-title":"The Lancet. Oncology","DOI":"10.1016/S1470-2045(17)30312-1","ISSN":"1474-5488","issue":"6","journalAbbreviation":"Lancet Oncol","language":"eng","note":"PMID: 28526536\nPMCID: PMC5531181","page":"732-742","source":"PubMed","title":"Trastuzumab emtansine versus capecitabine plus lapatinib in patients with previously treated HER2-positive advanced breast cancer (EMILIA): a descriptive analysis of final overall survival results from a randomised, open-label, phase 3 trial","title-short":"Trastuzumab emtansine versus capecitabine plus lapatinib in patients with previously treated HER2-positive advanced breast cancer (EMILIA)","volume":"18","author":[{"family":"Diéras","given":"Véronique"},{"family":"Miles","given":"David"},{"family":"Verma","given":"Sunil"},{"family":"Pegram","given":"Mark"},{"family":"Welslau","given":"Manfred"},{"family":"Baselga","given":"José"},{"family":"Krop","given":"Ian E."},{"family":"Blackwell","given":"Kim"},{"family":"Hoersch","given":"Silke"},{"family":"Xu","given":"Jin"},{"family":"Green","given":"Marjorie"},{"family":"Gianni","given":"Luca"}],"issued":{"date-parts":[["2017",6]]}}},{"id":66202,"uris":["http://zotero.org/groups/4797619/items/73NV87CG"],"itemData":{"id":66202,"type":"article-journal","abstract":"Amplification of human epidermal growth factor receptor 2 (HER2, also called ErbB2) occurs in approximately 20% of breast cancers and is associated with shortened survival.1–3 Combining HER2-targeted agents with standard chemotherapy is an effective therapeutic approach for patients with HER2-positive metastatic breast cancer. When combined with first-line chemotherapy, trastuzumab increases the time to progression and overall survival among patients with metastatic disease.4,5 The addition of lapatinib to capecitabine increases the time to progression in patients previously treated with trastuzumab, an anthracycline, and a taxane,6 and this combination is a standard option for disease progression with trastuzumab. Trastuzumab emtansine . . .","container-title":"New England Journal of Medicine","DOI":"10.1056/NEJMoa1209124","ISSN":"0028-4793","issue":"19","note":"publisher: Massachusetts Medical Society\n_eprint: https://doi.org/10.1056/NEJMoa1209124\nPMID: 23020162","page":"1783-1791","source":"Taylor and Francis+NEJM","title":"Trastuzumab Emtansine for HER2-Positive Advanced Breast Cancer","volume":"367","author":[{"family":"Verma","given":"Sunil"},{"family":"Miles","given":"David"},{"family":"Gianni","given":"Luca"},{"family":"Krop","given":"Ian E."},{"family":"Welslau","given":"Manfred"},{"family":"Baselga","given":"José"},{"family":"Pegram","given":"Mark"},{"family":"Oh","given":"Do-Youn"},{"family":"Diéras","given":"Véronique"},{"family":"Guardino","given":"Ellie"},{"family":"Fang","given":"Liang"},{"family":"Lu","given":"Michael W."},{"family":"Olsen","given":"Steven"},{"family":"Blackwell","given":"Kim"}],"issued":{"date-parts":[["2012",11,8]]}}}],"schema":"https://github.com/citation-style-language/schema/raw/master/csl-citation.json"} </w:instrText>
      </w:r>
      <w:r w:rsidR="00C06173" w:rsidRPr="006E33DC">
        <w:fldChar w:fldCharType="separate"/>
      </w:r>
      <w:r w:rsidR="00FD57F4" w:rsidRPr="00FD57F4">
        <w:rPr>
          <w:rFonts w:cs="Arial"/>
          <w:szCs w:val="24"/>
          <w:vertAlign w:val="superscript"/>
        </w:rPr>
        <w:t>66,67</w:t>
      </w:r>
      <w:r w:rsidR="00C06173" w:rsidRPr="006E33DC">
        <w:fldChar w:fldCharType="end"/>
      </w:r>
      <w:r w:rsidR="00C06173" w:rsidRPr="006E33DC">
        <w:t xml:space="preserve"> </w:t>
      </w:r>
    </w:p>
    <w:p w14:paraId="248DA9C0" w14:textId="27628C88" w:rsidR="005C745F" w:rsidRDefault="00686D68" w:rsidP="003C648C">
      <w:r w:rsidRPr="002646F6">
        <w:t>The introduction of T-DXd</w:t>
      </w:r>
      <w:r w:rsidR="006245BD">
        <w:fldChar w:fldCharType="begin"/>
      </w:r>
      <w:r w:rsidR="00CA6345">
        <w:instrText xml:space="preserve"> ADDIN ZOTERO_ITEM CSL_CITATION {"citationID":"RF4DhG4O","properties":{"formattedCitation":"\\super 5\\nosupersub{}","plainCitation":"5","noteIndex":0},"citationItems":[{"id":66214,"uris":["http://zotero.org/groups/4797619/items/H2PQC2GH"],"itemData":{"id":66214,"type":"webpage","abstract":"Trastuzumab deruxtecan for treating HER2-positive unresectable or metastatic breast cancer after trastuzumab and a taxane [TA862]","language":"eng","note":"publisher: NICE","title":"Trastuzumab deruxtecan for treating HER2-positive unresectable or metastatic breast cancer after 1 or more anti-HER2 therapies | NICE [TA862]","URL":"https://www.nice.org.uk/guidance/indevelopment/gid-ta10804/documents","author":[{"family":"NICE","given":""}],"accessed":{"date-parts":[["2023",2,5]]},"issued":{"date-parts":[["2023",2]]}}}],"schema":"https://github.com/citation-style-language/schema/raw/master/csl-citation.json"} </w:instrText>
      </w:r>
      <w:r w:rsidR="006245BD">
        <w:fldChar w:fldCharType="separate"/>
      </w:r>
      <w:r w:rsidR="00FD57F4" w:rsidRPr="00FD57F4">
        <w:rPr>
          <w:rFonts w:cs="Arial"/>
          <w:szCs w:val="24"/>
          <w:vertAlign w:val="superscript"/>
        </w:rPr>
        <w:t>5</w:t>
      </w:r>
      <w:r w:rsidR="006245BD">
        <w:fldChar w:fldCharType="end"/>
      </w:r>
      <w:r w:rsidRPr="002646F6">
        <w:t xml:space="preserve"> has further improved outcomes in second-line HER2-positive u/mBC</w:t>
      </w:r>
      <w:r w:rsidR="009C4421">
        <w:t>.</w:t>
      </w:r>
      <w:r w:rsidR="009C4421" w:rsidRPr="009C4421">
        <w:t xml:space="preserve"> </w:t>
      </w:r>
      <w:r w:rsidR="004A28EE">
        <w:t>In February 2023,</w:t>
      </w:r>
      <w:r w:rsidR="009C4421">
        <w:t xml:space="preserve"> </w:t>
      </w:r>
      <w:r w:rsidR="009C4421" w:rsidRPr="000C3D6C">
        <w:t xml:space="preserve">T-DXd received a positive </w:t>
      </w:r>
      <w:r w:rsidR="009C4421">
        <w:t xml:space="preserve">NICE </w:t>
      </w:r>
      <w:r w:rsidR="009C4421" w:rsidRPr="000C3D6C">
        <w:t xml:space="preserve">recommendation </w:t>
      </w:r>
      <w:r w:rsidR="009C4421">
        <w:t xml:space="preserve">for use in the CDF </w:t>
      </w:r>
      <w:r w:rsidR="009C4421" w:rsidRPr="000C3D6C">
        <w:t>for treating HER2-positive u/mBC after one or more anti-HER2 therapies [</w:t>
      </w:r>
      <w:r w:rsidR="009C4421">
        <w:t>TA862</w:t>
      </w:r>
      <w:r w:rsidR="009C4421" w:rsidRPr="000C3D6C">
        <w:t>]</w:t>
      </w:r>
      <w:r w:rsidR="009C4421">
        <w:t xml:space="preserve"> based on the first interim analysis of DESTINY-Breast03, which demonstrated an unprecedented efficacy benefit for T-DXd compared with T-DM1 </w:t>
      </w:r>
      <w:r w:rsidR="009C4421" w:rsidRPr="00050843">
        <w:t>(PFS by BICR; HR: 0.28; 95% CI: 0.22, 0.37 [p=7.8×10</w:t>
      </w:r>
      <w:r w:rsidR="009C4421" w:rsidRPr="00050843">
        <w:rPr>
          <w:vertAlign w:val="superscript"/>
        </w:rPr>
        <w:t>−22</w:t>
      </w:r>
      <w:r w:rsidR="009C4421" w:rsidRPr="00050843">
        <w:t>])</w:t>
      </w:r>
      <w:r w:rsidR="009C4421">
        <w:t>.</w:t>
      </w:r>
      <w:r w:rsidR="009C4421">
        <w:fldChar w:fldCharType="begin"/>
      </w:r>
      <w:r w:rsidR="00CA6345">
        <w:instrText xml:space="preserve"> ADDIN ZOTERO_ITEM CSL_CITATION {"citationID":"vffO9R95","properties":{"formattedCitation":"\\super 68\\nosupersub{}","plainCitation":"68","noteIndex":0},"citationItems":[{"id":66397,"uris":["http://zotero.org/groups/4797619/items/ID7JDCSX"],"itemData":{"id":66397,"type":"article-journal","abstract":"BACKGROUND: Trastuzumab emtansine is the current standard treatment for patients with human epidermal growth factor receptor 2 (HER2)-positive metastatic breast cancer whose disease progresses after treatment with a combination of anti-HER2 antibodies and a taxane.\nMETHODS: We conducted a phase 3, multicenter, open-label, randomized trial to compare the efficacy and safety of trastuzumab deruxtecan (a HER2 antibody-drug conjugate) with those of trastuzumab emtansine in patients with HER2-positive metastatic breast cancer previously treated with trastuzumab and a taxane. The primary end point was progression-free survival (as determined by blinded independent central review); secondary end points included overall survival, objective response, and safety.\nRESULTS: Among 524 randomly assigned patients, the percentage of those who were alive without disease progression at 12 months was 75.8% (95% confidence interval [CI], 69.8 to 80.7) with trastuzumab deruxtecan and 34.1% (95% CI, 27.7 to 40.5) with trastuzumab emtansine (hazard ratio for progression or death from any cause, 0.28; 95% CI, 0.22 to 0.37; P&lt;0.001). The percentage of patients who were alive at 12 months was 94.1% (95% CI, 90.3 to 96.4) with trastuzumab deruxtecan and 85.9% (95% CI, 80.9 to 89.7) with trastuzumab emtansine (hazard ratio for death, 0.55; 95% CI, 0.36 to 0.86; prespecified significance boundary not reached). An overall response (a complete or partial response) occurred in 79.7% (95% CI, 74.3 to 84.4) of the patients who received trastuzumab deruxtecan and in 34.2% (95% CI, 28.5 to 40.3) of those who received trastuzumab emtansine. The incidence of drug-related adverse events of any grade was 98.1% with trastuzumab deruxtecan and 86.6% with trastuzumab emtansine, and the incidence of drug-related adverse events of grade 3 or 4 was 45.1% and 39.8%, respectively. Adjudicated drug-related interstitial lung disease or pneumonitis occurred in 10.5% of the patients in the trastuzumab deruxtecan group and in 1.9% of those in the trastuzumab emtansine group; none of these events were of grade 4 or 5.\nCONCLUSIONS: Among patients with HER2-positive metastatic breast cancer previously treated with trastuzumab and a taxane, the risk of disease progression or death was lower among those who received trastuzumab deruxtecan than among those who received trastuzumab emtansine. Treatment with trastuzumab deruxtecan was associated with interstitial lung disease and pneumonitis. (Funded by Daiichi Sankyo and AstraZeneca; DESTINY-Breast03 ClinicalTrials.gov number, NCT03529110.).","container-title":"The New England Journal of Medicine","DOI":"10.1056/NEJMoa2115022","ISSN":"1533-4406","issue":"12","journalAbbreviation":"N Engl J Med","language":"eng","note":"PMID: 35320644","page":"1143-1154","source":"PubMed","title":"Trastuzumab Deruxtecan versus Trastuzumab Emtansine for Breast Cancer","volume":"386","author":[{"family":"Cortés","given":"Javier"},{"family":"Kim","given":"Sung-Bae"},{"family":"Chung","given":"Wei-Pang"},{"family":"Im","given":"Seock-Ah"},{"family":"Park","given":"Yeon Hee"},{"family":"Hegg","given":"Roberto"},{"family":"Kim","given":"Min Hwan"},{"family":"Tseng","given":"Ling-Ming"},{"family":"Petry","given":"Vanessa"},{"family":"Chung","given":"Chi-Feng"},{"family":"Iwata","given":"Hiroji"},{"family":"Hamilton","given":"Erika"},{"family":"Curigliano","given":"Giuseppe"},{"family":"Xu","given":"Binghe"},{"family":"Huang","given":"Chiun-Sheng"},{"family":"Kim","given":"Jee Hyun"},{"family":"Chiu","given":"Joanne W. Y."},{"family":"Pedrini","given":"Jose Luiz"},{"family":"Lee","given":"Caleb"},{"family":"Liu","given":"Yali"},{"family":"Cathcart","given":"Jillian"},{"family":"Bako","given":"Emarjola"},{"family":"Verma","given":"Sunil"},{"family":"Hurvitz","given":"Sara A."},{"literal":"DESTINY-Breast03 Trial Investigators"}],"issued":{"date-parts":[["2022",3,24]]}}}],"schema":"https://github.com/citation-style-language/schema/raw/master/csl-citation.json"} </w:instrText>
      </w:r>
      <w:r w:rsidR="009C4421">
        <w:fldChar w:fldCharType="separate"/>
      </w:r>
      <w:r w:rsidR="00FD57F4" w:rsidRPr="00FD57F4">
        <w:rPr>
          <w:rFonts w:cs="Arial"/>
          <w:szCs w:val="24"/>
          <w:vertAlign w:val="superscript"/>
        </w:rPr>
        <w:t>68</w:t>
      </w:r>
      <w:r w:rsidR="009C4421">
        <w:fldChar w:fldCharType="end"/>
      </w:r>
      <w:r w:rsidR="009C4421">
        <w:t xml:space="preserve"> A second interim analysis of </w:t>
      </w:r>
      <w:r w:rsidR="009C4421" w:rsidRPr="002646F6">
        <w:t xml:space="preserve">DESTINY-Breast03 </w:t>
      </w:r>
      <w:r w:rsidR="009C4421">
        <w:t>subsequently confirmed the PFS benefit</w:t>
      </w:r>
      <w:r w:rsidR="009C4421" w:rsidRPr="002646F6">
        <w:t xml:space="preserve"> </w:t>
      </w:r>
      <w:r w:rsidR="009C4421">
        <w:t xml:space="preserve">(HR: 0.33; 95% CI: 0.26, 0.43; P&lt;0.0001) </w:t>
      </w:r>
      <w:r w:rsidR="009C4421" w:rsidRPr="002646F6">
        <w:t xml:space="preserve">and </w:t>
      </w:r>
      <w:r w:rsidR="009C4421">
        <w:t xml:space="preserve">demonstrated statistically significant </w:t>
      </w:r>
      <w:r w:rsidR="009C4421" w:rsidRPr="002646F6">
        <w:t>OS</w:t>
      </w:r>
      <w:r w:rsidR="009C4421">
        <w:t xml:space="preserve"> benefit</w:t>
      </w:r>
      <w:r w:rsidR="009C4421" w:rsidRPr="002646F6">
        <w:t xml:space="preserve"> </w:t>
      </w:r>
      <w:r w:rsidR="009C4421">
        <w:t xml:space="preserve">(HR: 0.64; 95% CI: 0.47, 0.67; p=0.0037) </w:t>
      </w:r>
      <w:r w:rsidR="009C4421" w:rsidRPr="002646F6">
        <w:t>compared with T-DM</w:t>
      </w:r>
      <w:r w:rsidR="009C4421">
        <w:t>1.</w:t>
      </w:r>
      <w:r w:rsidR="009C4421">
        <w:fldChar w:fldCharType="begin"/>
      </w:r>
      <w:r w:rsidR="00CA6345">
        <w:instrText xml:space="preserve"> ADDIN ZOTERO_ITEM CSL_CITATION {"citationID":"HKgZfG7c","properties":{"formattedCitation":"\\super 69\\nosupersub{}","plainCitation":"69","noteIndex":0},"citationItems":[{"id":66445,"uris":["http://zotero.org/groups/4797619/items/8TY59N97"],"itemData":{"id":66445,"type":"speech","title":"GS2-02: Trastuzumab deruxtecan versus trastuzumab emtansine in patients with HER2-positive metastatic breast cancer: Updated results of the randomized, phase 3 study DESTINY-Breast03. Presented at the San Antonio Breast Cancer Symposium (SABCS).","author":[{"family":"Hurvitz","given":"S"},{"family":"Hegg","given":"R"},{"family":"Chung","given":"W"},{"family":"Im","given":"S"},{"family":"Jacot","given":""},{"family":"Ganju","given":"V"},{"family":"Chiu","given":"J"},{"family":"Xu,","given":"B"},{"family":"Hamilton","given":"E"},{"family":"Madhusudan","given":"S"},{"family":"Iwata","given":"H"},{"family":"Sevilay","given":"A"},{"family":"Henning","given":"J"},{"family":"Curigliano","given":"G"},{"family":"Perez-Garcia","given":"J"},{"family":"Egorov","given":"A"},{"family":"Liu","given":"Y"},{"family":"Cathcart","given":"Y"},{"family":"Ashfaque","given":"S"},{"family":"Cortes","given":"J"}],"issued":{"date-parts":[["2022",12]]}}}],"schema":"https://github.com/citation-style-language/schema/raw/master/csl-citation.json"} </w:instrText>
      </w:r>
      <w:r w:rsidR="009C4421">
        <w:fldChar w:fldCharType="separate"/>
      </w:r>
      <w:r w:rsidR="00FD57F4" w:rsidRPr="00FD57F4">
        <w:rPr>
          <w:rFonts w:cs="Arial"/>
          <w:szCs w:val="24"/>
          <w:vertAlign w:val="superscript"/>
        </w:rPr>
        <w:t>69</w:t>
      </w:r>
      <w:r w:rsidR="009C4421">
        <w:fldChar w:fldCharType="end"/>
      </w:r>
      <w:r w:rsidR="009D2F1C">
        <w:t xml:space="preserve"> </w:t>
      </w:r>
      <w:r w:rsidR="007353F2">
        <w:t>The results of DESTINY-Breast03</w:t>
      </w:r>
      <w:r w:rsidR="00A53361">
        <w:t xml:space="preserve"> </w:t>
      </w:r>
      <w:r w:rsidR="002F3DEF">
        <w:t>demonstrate</w:t>
      </w:r>
      <w:r w:rsidR="00FD5781">
        <w:t>d</w:t>
      </w:r>
      <w:r w:rsidR="002F3DEF">
        <w:t xml:space="preserve"> </w:t>
      </w:r>
      <w:r w:rsidR="00A53361">
        <w:t>the unprece</w:t>
      </w:r>
      <w:r w:rsidR="005C745F">
        <w:t xml:space="preserve">dented survival </w:t>
      </w:r>
      <w:r w:rsidR="00FA36E4">
        <w:t>ben</w:t>
      </w:r>
      <w:r w:rsidR="002016C3">
        <w:t xml:space="preserve">efits of T-DXd vs. an already </w:t>
      </w:r>
      <w:r w:rsidR="00BE382D">
        <w:t>very effective drug</w:t>
      </w:r>
      <w:r w:rsidR="009D2F1C">
        <w:t xml:space="preserve"> and the current standard of care</w:t>
      </w:r>
      <w:r w:rsidR="0017580D">
        <w:t>,</w:t>
      </w:r>
      <w:r w:rsidR="00BE382D">
        <w:t xml:space="preserve"> T-DM1. </w:t>
      </w:r>
    </w:p>
    <w:p w14:paraId="716E43EF" w14:textId="0AB60438" w:rsidR="00781D7E" w:rsidRPr="002646F6" w:rsidRDefault="00E540A1" w:rsidP="00014EAD">
      <w:pPr>
        <w:pStyle w:val="Body"/>
      </w:pPr>
      <w:r w:rsidRPr="002646F6">
        <w:t>In the third</w:t>
      </w:r>
      <w:r w:rsidR="00155E69" w:rsidRPr="002646F6">
        <w:t>-</w:t>
      </w:r>
      <w:r w:rsidR="00182277" w:rsidRPr="002646F6">
        <w:t>/later-line</w:t>
      </w:r>
      <w:r w:rsidRPr="002646F6">
        <w:t xml:space="preserve"> </w:t>
      </w:r>
      <w:r w:rsidR="00182277" w:rsidRPr="002646F6">
        <w:t xml:space="preserve">metastatic </w:t>
      </w:r>
      <w:r w:rsidRPr="002646F6">
        <w:t xml:space="preserve">setting, </w:t>
      </w:r>
      <w:r w:rsidR="00FE2700" w:rsidRPr="002646F6">
        <w:t>HER2-targeted</w:t>
      </w:r>
      <w:r w:rsidRPr="002646F6">
        <w:t xml:space="preserve"> therapies have </w:t>
      </w:r>
      <w:r w:rsidR="00155E69" w:rsidRPr="002646F6">
        <w:t xml:space="preserve">also </w:t>
      </w:r>
      <w:r w:rsidR="00DF1D68" w:rsidRPr="002646F6">
        <w:t>delivered</w:t>
      </w:r>
      <w:r w:rsidRPr="002646F6">
        <w:t xml:space="preserve"> PFS and OS</w:t>
      </w:r>
      <w:r w:rsidR="0063771D" w:rsidRPr="002646F6">
        <w:t xml:space="preserve"> </w:t>
      </w:r>
      <w:r w:rsidR="00DF1D68" w:rsidRPr="002646F6">
        <w:t xml:space="preserve">benefits </w:t>
      </w:r>
      <w:r w:rsidR="00EC1EA0" w:rsidRPr="002646F6">
        <w:t>in HER2-positive u/mBC</w:t>
      </w:r>
      <w:r w:rsidRPr="002646F6">
        <w:t xml:space="preserve">. </w:t>
      </w:r>
      <w:r w:rsidR="009C4267">
        <w:t>A</w:t>
      </w:r>
      <w:r w:rsidR="009C4267" w:rsidRPr="002646F6">
        <w:t>s well as being recently approved in the second-line setting</w:t>
      </w:r>
      <w:r w:rsidR="009C4267">
        <w:t xml:space="preserve">, </w:t>
      </w:r>
      <w:r w:rsidR="00B30523" w:rsidRPr="002646F6">
        <w:t>T-DXd is the current standard of care</w:t>
      </w:r>
      <w:r w:rsidR="00420A7B" w:rsidRPr="002646F6">
        <w:t xml:space="preserve"> in </w:t>
      </w:r>
      <w:r w:rsidR="00AE4BCA" w:rsidRPr="002646F6">
        <w:t xml:space="preserve">heavily </w:t>
      </w:r>
      <w:r w:rsidR="00133B67" w:rsidRPr="002646F6">
        <w:t>pre</w:t>
      </w:r>
      <w:r w:rsidR="00133B67">
        <w:t>-treated</w:t>
      </w:r>
      <w:r w:rsidR="00AE4BCA" w:rsidRPr="002646F6">
        <w:t xml:space="preserve"> patients (i.e. third- or-later line in the metastatic setting</w:t>
      </w:r>
      <w:r w:rsidR="00C02169" w:rsidRPr="002646F6">
        <w:t>)</w:t>
      </w:r>
      <w:r w:rsidR="00CC730B" w:rsidRPr="002646F6">
        <w:t>.</w:t>
      </w:r>
      <w:r w:rsidR="00F97855" w:rsidRPr="002646F6">
        <w:fldChar w:fldCharType="begin"/>
      </w:r>
      <w:r w:rsidR="00CA6345">
        <w:instrText xml:space="preserve"> ADDIN ZOTERO_ITEM CSL_CITATION {"citationID":"FKYXW7GD","properties":{"formattedCitation":"\\super 4,42\\nosupersub{}","plainCitation":"4,42","noteIndex":0},"citationItems":[{"id":65878,"uris":["http://zotero.org/groups/4797619/items/ESRZZTT8"],"itemData":{"id":65878,"type":"webpage","abstract":"Evidence-based recommendations on trastuzumab deruxtecan (Enhertu) for treating HER2-positive unresectable or metastatic breast cancer in adults after 2 or more","language":"eng","note":"publisher: NICE","title":"Trastuzumab deruxtecan for treating HER2-positive unresectable or metastatic breast cancer after 2 or more anti-HER2 therapies | NICE [TA704]","URL":"https://www.nice.org.uk/guidance/ta704","author":[{"family":"NICE","given":""}],"accessed":{"date-parts":[["2022",9,29]]}}},{"id":65955,"uris":["http://zotero.org/groups/4797619/items/4KXA6CCG"],"itemData":{"id":65955,"type":"article-journal","container-title":"Annals of Oncology: Official Journal of the European Society for Medical Oncology","DOI":"10.1016/j.annonc.2021.09.019","ISSN":"1569-8041","issue":"12","journalAbbreviation":"Ann Oncol","language":"eng","note":"PMID: 34678411","page":"1475-1495","source":"PubMed","title":"ESMO Clinical Practice Guideline for the diagnosis, staging and treatment of patients with metastatic breast cancer","volume":"32","author":[{"family":"Gennari","given":"A."},{"family":"André","given":"F."},{"family":"Barrios","given":"C. H."},{"family":"Cortés","given":"J."},{"family":"Azambuja","given":"E.","non-dropping-particle":"de"},{"family":"DeMichele","given":"A."},{"family":"Dent","given":"R."},{"family":"Fenlon","given":"D."},{"family":"Gligorov","given":"J."},{"family":"Hurvitz","given":"S. A."},{"family":"Im","given":"S.-A."},{"family":"Krug","given":"D."},{"family":"Kunz","given":"W. G."},{"family":"Loi","given":"S."},{"family":"Penault-Llorca","given":"F."},{"family":"Ricke","given":"J."},{"family":"Robson","given":"M."},{"family":"Rugo","given":"H. S."},{"family":"Saura","given":"C."},{"family":"Schmid","given":"P."},{"family":"Singer","given":"C. F."},{"family":"Spanic","given":"T."},{"family":"Tolaney","given":"S. M."},{"family":"Turner","given":"N. C."},{"family":"Curigliano","given":"G."},{"family":"Loibl","given":"S."},{"family":"Paluch-Shimon","given":"S."},{"family":"Harbeck","given":"N."},{"literal":"ESMO Guidelines Committee. Electronic address: clinicalguidelines@esmo.org"}],"issued":{"date-parts":[["2021",12]]}}}],"schema":"https://github.com/citation-style-language/schema/raw/master/csl-citation.json"} </w:instrText>
      </w:r>
      <w:r w:rsidR="00F97855" w:rsidRPr="002646F6">
        <w:fldChar w:fldCharType="separate"/>
      </w:r>
      <w:r w:rsidR="00FD57F4" w:rsidRPr="00FD57F4">
        <w:rPr>
          <w:rFonts w:cs="Arial"/>
          <w:szCs w:val="24"/>
          <w:vertAlign w:val="superscript"/>
        </w:rPr>
        <w:t>4,42</w:t>
      </w:r>
      <w:r w:rsidR="00F97855" w:rsidRPr="002646F6">
        <w:fldChar w:fldCharType="end"/>
      </w:r>
      <w:r w:rsidR="00B30523" w:rsidRPr="002646F6">
        <w:t xml:space="preserve"> </w:t>
      </w:r>
      <w:r w:rsidR="00781D7E" w:rsidRPr="002646F6">
        <w:t xml:space="preserve">In the DESTINY-Breast01 Phase </w:t>
      </w:r>
      <w:r w:rsidR="002F7432">
        <w:t>II</w:t>
      </w:r>
      <w:r w:rsidR="00781D7E" w:rsidRPr="002646F6">
        <w:t xml:space="preserve"> single-arm study, involving patients who were resistant or refractory to T-DM1, T-DXd was associated with m</w:t>
      </w:r>
      <w:r w:rsidR="00BA5CE1" w:rsidRPr="002646F6">
        <w:t xml:space="preserve">edian </w:t>
      </w:r>
      <w:r w:rsidR="00781D7E" w:rsidRPr="002646F6">
        <w:t xml:space="preserve">PFS of 16.4 months and </w:t>
      </w:r>
      <w:r w:rsidR="00EB328D">
        <w:t xml:space="preserve">median </w:t>
      </w:r>
      <w:r w:rsidR="009622C4">
        <w:t>OS of 29.1 months.</w:t>
      </w:r>
      <w:r w:rsidR="008E208A">
        <w:fldChar w:fldCharType="begin"/>
      </w:r>
      <w:r w:rsidR="00CA6345">
        <w:instrText xml:space="preserve"> ADDIN ZOTERO_ITEM CSL_CITATION {"citationID":"EpuJQiAT","properties":{"formattedCitation":"\\super 115\\nosupersub{}","plainCitation":"115","noteIndex":0},"citationItems":[{"id":66848,"uris":["http://zotero.org/groups/4797619/items/FCHSBXYW"],"itemData":{"id":66848,"type":"paper-conference","event-title":"European Society for Medical Oncology (ESMO) 2021 Annual Meeting","language":"English","title":"Poster 279P: Trastuzumab Deruxtecan (T-DXd) in Patients with HER2-Positive Metastatic Breast Cancer: Updated Survival Results from a Phase 2 Trial (DESTINY-Breast01)","URL":"https://oncologypro.esmo.org/meeting-resources/esmo-congress-2021/trastuzumab-deruxtecan-t-dxd-in-patients-with-her2-positive-metastatic-breast-cancer-mbc-updated-survival-results-from-a-phase-ii-trial-desti","author":[{"family":"Saura","given":"Cristina"},{"family":"Modi","given":"Shanu"},{"family":"Krop","given":"Ian"},{"family":"Park","given":"Yeon Hee"},{"family":"Kim","given":"Sung-Bae"},{"family":"Tamura","given":"Kenji"},{"family":"Andre","given":"Fabrice"},{"family":"Iwata","given":"Hiroji"},{"family":"Ito","given":"Yoshinori"},{"family":"Tsurutani","given":"Junji"},{"family":"Sohn","given":"Joohyuk"},{"family":"Lee","given":"Caleb"},{"family":"Liu","given":"Yali"},{"family":"Cathcart","given":"Jillian"},{"family":"Singh","given":"Jasmeet"},{"family":"Yamashita","given":"Toshinari"}],"accessed":{"date-parts":[["2023",2,22]]},"issued":{"date-parts":[["2021",9]]}}}],"schema":"https://github.com/citation-style-language/schema/raw/master/csl-citation.json"} </w:instrText>
      </w:r>
      <w:r w:rsidR="008E208A">
        <w:fldChar w:fldCharType="separate"/>
      </w:r>
      <w:r w:rsidR="00CA6345" w:rsidRPr="00CA6345">
        <w:rPr>
          <w:rFonts w:cs="Arial"/>
          <w:szCs w:val="24"/>
          <w:vertAlign w:val="superscript"/>
        </w:rPr>
        <w:t>115</w:t>
      </w:r>
      <w:r w:rsidR="008E208A">
        <w:fldChar w:fldCharType="end"/>
      </w:r>
      <w:r w:rsidR="008E208A" w:rsidDel="008E208A">
        <w:t xml:space="preserve"> </w:t>
      </w:r>
      <w:r w:rsidR="00E037F7" w:rsidRPr="002646F6">
        <w:t xml:space="preserve">Results </w:t>
      </w:r>
      <w:r w:rsidR="00095CC5">
        <w:t>from</w:t>
      </w:r>
      <w:r w:rsidR="00095CC5" w:rsidRPr="002646F6">
        <w:t xml:space="preserve"> </w:t>
      </w:r>
      <w:r w:rsidR="00CF6498" w:rsidRPr="002646F6">
        <w:t>DESTINY-Breast01 were</w:t>
      </w:r>
      <w:r w:rsidR="001B1304" w:rsidRPr="002646F6">
        <w:t xml:space="preserve"> validated in a confirmatory </w:t>
      </w:r>
      <w:r w:rsidR="00500957">
        <w:t>Phase III</w:t>
      </w:r>
      <w:r w:rsidR="001B1304" w:rsidRPr="002646F6">
        <w:t xml:space="preserve"> study</w:t>
      </w:r>
      <w:r w:rsidR="000C2555">
        <w:t>,</w:t>
      </w:r>
      <w:r w:rsidR="009B374A" w:rsidRPr="002646F6">
        <w:t xml:space="preserve"> DESTINY-Breast02</w:t>
      </w:r>
      <w:r w:rsidR="001A7C42" w:rsidRPr="002646F6">
        <w:t>, in which</w:t>
      </w:r>
      <w:r w:rsidR="00E10392" w:rsidRPr="002646F6">
        <w:t xml:space="preserve"> T-DXd</w:t>
      </w:r>
      <w:r w:rsidR="00595A80" w:rsidRPr="002646F6">
        <w:t xml:space="preserve"> was associated with median </w:t>
      </w:r>
      <w:r w:rsidR="007668F1" w:rsidRPr="002646F6">
        <w:t xml:space="preserve">PFS of </w:t>
      </w:r>
      <w:r w:rsidR="006C38C3" w:rsidRPr="002646F6">
        <w:t xml:space="preserve">17.8 months (vs. 6.9 months for </w:t>
      </w:r>
      <w:r w:rsidR="003B474A">
        <w:t>TPC</w:t>
      </w:r>
      <w:r w:rsidR="0022109F">
        <w:t>;</w:t>
      </w:r>
      <w:r w:rsidR="00623BD4">
        <w:t xml:space="preserve"> HR:</w:t>
      </w:r>
      <w:r w:rsidR="0022109F">
        <w:t xml:space="preserve"> </w:t>
      </w:r>
      <w:r w:rsidR="00810ECA">
        <w:t xml:space="preserve">0.36; </w:t>
      </w:r>
      <w:r w:rsidR="008629FC">
        <w:t>p&lt;0.0001</w:t>
      </w:r>
      <w:r w:rsidR="006C38C3" w:rsidRPr="002646F6">
        <w:t>)</w:t>
      </w:r>
      <w:r w:rsidR="00851611" w:rsidRPr="002646F6">
        <w:t>, and median OS of 39.2 months (vs. 26.5 months</w:t>
      </w:r>
      <w:r w:rsidR="00F77225">
        <w:t>;</w:t>
      </w:r>
      <w:r w:rsidR="00B04967">
        <w:t xml:space="preserve"> HR</w:t>
      </w:r>
      <w:r w:rsidR="00FC6840">
        <w:t>: 0.6</w:t>
      </w:r>
      <w:r w:rsidR="00EA1A81">
        <w:t>6</w:t>
      </w:r>
      <w:r w:rsidR="00623BD4">
        <w:t>; p=0.0021</w:t>
      </w:r>
      <w:r w:rsidR="00851611" w:rsidRPr="002646F6">
        <w:t>).</w:t>
      </w:r>
      <w:r w:rsidR="00BF228F">
        <w:fldChar w:fldCharType="begin"/>
      </w:r>
      <w:r w:rsidR="00CA6345">
        <w:instrText xml:space="preserve"> ADDIN ZOTERO_ITEM CSL_CITATION {"citationID":"vL5mKnBN","properties":{"formattedCitation":"\\super 116\\nosupersub{}","plainCitation":"116","noteIndex":0},"citationItems":[{"id":66446,"uris":["http://zotero.org/groups/4797619/items/NIGPCHBG"],"itemData":{"id":66446,"type":"speech","title":"GS2-01: Trastuzumab deruxtecan vs physician's choice in patients with HER2+ unresectable and/or metastatic breast cancer previously treated with trastuzumab emtansine: primary results of the randomised, phase 2 study DESTINY-Breast02. Presented at San Antonio Breast Cancer Symposium (SABCS).","author":[{"family":"Krop","given":"I"},{"family":"Park","given":"Y"},{"family":"Kim","given":"S-B"},{"family":"Borges","given":"G"},{"family":"Alksoy","given":"S"},{"family":"Gregori","given":"J"}],"issued":{"date-parts":[["2022",12]]}}}],"schema":"https://github.com/citation-style-language/schema/raw/master/csl-citation.json"} </w:instrText>
      </w:r>
      <w:r w:rsidR="00BF228F">
        <w:fldChar w:fldCharType="separate"/>
      </w:r>
      <w:r w:rsidR="00CA6345" w:rsidRPr="00CA6345">
        <w:rPr>
          <w:rFonts w:cs="Arial"/>
          <w:szCs w:val="24"/>
          <w:vertAlign w:val="superscript"/>
        </w:rPr>
        <w:t>116</w:t>
      </w:r>
      <w:r w:rsidR="00BF228F">
        <w:fldChar w:fldCharType="end"/>
      </w:r>
      <w:r w:rsidR="00851611" w:rsidRPr="002646F6">
        <w:t xml:space="preserve"> </w:t>
      </w:r>
      <w:r w:rsidR="00014AEE" w:rsidRPr="002646F6">
        <w:t xml:space="preserve">Tucanitib </w:t>
      </w:r>
      <w:r w:rsidR="00436771" w:rsidRPr="002646F6">
        <w:t>with trastuzumab and capecitabine</w:t>
      </w:r>
      <w:r w:rsidR="00B960A7" w:rsidRPr="002646F6">
        <w:t xml:space="preserve"> is also available</w:t>
      </w:r>
      <w:r w:rsidR="00922A43" w:rsidRPr="002646F6">
        <w:t xml:space="preserve"> as a targeted treatment option </w:t>
      </w:r>
      <w:r w:rsidR="00922A43" w:rsidRPr="002646F6">
        <w:lastRenderedPageBreak/>
        <w:t>in the third- or-later line setting.</w:t>
      </w:r>
      <w:r w:rsidR="00436771" w:rsidRPr="002646F6">
        <w:t xml:space="preserve"> </w:t>
      </w:r>
      <w:r w:rsidRPr="002646F6">
        <w:t>In</w:t>
      </w:r>
      <w:r w:rsidR="00DF1D68" w:rsidRPr="002646F6">
        <w:t xml:space="preserve"> the</w:t>
      </w:r>
      <w:r w:rsidRPr="002646F6">
        <w:t xml:space="preserve"> HER2CLIMB</w:t>
      </w:r>
      <w:r w:rsidR="00DF1D68" w:rsidRPr="002646F6">
        <w:t xml:space="preserve"> study</w:t>
      </w:r>
      <w:r w:rsidR="00553759" w:rsidRPr="002646F6">
        <w:t xml:space="preserve"> involving patients</w:t>
      </w:r>
      <w:r w:rsidR="00DF1D68" w:rsidRPr="002646F6">
        <w:t xml:space="preserve"> previously treated with trastuzumab, pertuzumab</w:t>
      </w:r>
      <w:r w:rsidR="00182277" w:rsidRPr="002646F6">
        <w:t>,</w:t>
      </w:r>
      <w:r w:rsidR="00DF1D68" w:rsidRPr="002646F6">
        <w:t xml:space="preserve"> and T-DM1</w:t>
      </w:r>
      <w:r w:rsidR="000C7A1B" w:rsidRPr="002646F6">
        <w:t>,</w:t>
      </w:r>
      <w:r w:rsidRPr="002646F6">
        <w:t xml:space="preserve"> tu</w:t>
      </w:r>
      <w:r w:rsidR="003F042D" w:rsidRPr="002646F6">
        <w:t>canitib</w:t>
      </w:r>
      <w:r w:rsidRPr="002646F6">
        <w:t xml:space="preserve"> </w:t>
      </w:r>
      <w:r w:rsidR="000C7A1B" w:rsidRPr="002646F6">
        <w:t xml:space="preserve">plus trastuzumab and capecitabine </w:t>
      </w:r>
      <w:r w:rsidRPr="002646F6">
        <w:t xml:space="preserve">was </w:t>
      </w:r>
      <w:r w:rsidR="000C7A1B" w:rsidRPr="002646F6">
        <w:t xml:space="preserve">associated with </w:t>
      </w:r>
      <w:r w:rsidR="00D417A6" w:rsidRPr="002646F6">
        <w:t>m</w:t>
      </w:r>
      <w:r w:rsidR="005F26E7" w:rsidRPr="002646F6">
        <w:t xml:space="preserve">edian </w:t>
      </w:r>
      <w:r w:rsidR="000C7A1B" w:rsidRPr="002646F6">
        <w:t>P</w:t>
      </w:r>
      <w:r w:rsidR="0069418E" w:rsidRPr="002646F6">
        <w:t xml:space="preserve">FS of </w:t>
      </w:r>
      <w:r w:rsidRPr="002646F6">
        <w:t xml:space="preserve">7.8 months (vs. 5.6 months </w:t>
      </w:r>
      <w:r w:rsidR="0069418E" w:rsidRPr="002646F6">
        <w:t>with</w:t>
      </w:r>
      <w:r w:rsidRPr="002646F6">
        <w:t xml:space="preserve"> placebo</w:t>
      </w:r>
      <w:r w:rsidR="00DA4157" w:rsidRPr="002646F6">
        <w:t xml:space="preserve"> </w:t>
      </w:r>
      <w:r w:rsidR="0069418E" w:rsidRPr="002646F6">
        <w:t>plus trastuzumab and capecitabine</w:t>
      </w:r>
      <w:r w:rsidRPr="002646F6">
        <w:t xml:space="preserve">) and </w:t>
      </w:r>
      <w:r w:rsidR="00D417A6" w:rsidRPr="002646F6">
        <w:t>m</w:t>
      </w:r>
      <w:r w:rsidR="005F26E7" w:rsidRPr="002646F6">
        <w:t xml:space="preserve">edian </w:t>
      </w:r>
      <w:r w:rsidRPr="002646F6">
        <w:t xml:space="preserve">OS </w:t>
      </w:r>
      <w:r w:rsidR="0069418E" w:rsidRPr="002646F6">
        <w:t>of</w:t>
      </w:r>
      <w:r w:rsidRPr="002646F6">
        <w:t xml:space="preserve"> 21.9 months (vs. 17.4 months in the placebo </w:t>
      </w:r>
      <w:r w:rsidR="00DA4157" w:rsidRPr="002646F6">
        <w:t xml:space="preserve">combination </w:t>
      </w:r>
      <w:r w:rsidRPr="002646F6">
        <w:t>group).</w:t>
      </w:r>
      <w:r w:rsidRPr="002646F6">
        <w:fldChar w:fldCharType="begin"/>
      </w:r>
      <w:r w:rsidR="00CA6345">
        <w:instrText xml:space="preserve"> ADDIN ZOTERO_ITEM CSL_CITATION {"citationID":"0wnERHzU","properties":{"formattedCitation":"\\super 117\\nosupersub{}","plainCitation":"117","noteIndex":0},"citationItems":[{"id":66172,"uris":["http://zotero.org/groups/4797619/items/E3JC2CYE"],"itemData":{"id":66172,"type":"article-journal","abstract":"Human epidermal growth factor receptor 2 (HER2) is overexpressed and/or amplified in approximately 20% of breast cancers, conferring an aggressive tumor behavior but also an opportunity for targeted therapies. In the advanced setting, the prognosis of patients suffering from this disease has greatly improved after the introduction of new anti-HER2 drugs beyond trastuzumab. For most patients, a taxane combined with trastuzumab and pertuzumab in the first-line setting, followed by trastuzumab-emtansine in second line, should be considered the standard of care today. However, chemo-free anti-HER2 strategies in hormone receptor-positive, HER2-positive breast cancer could also be considered in selected patients. In the third-line setting and beyond, several emerging anti-HER2 therapies are becoming available, including tucatinib, fam-trastuzumab deruxtecan-nxki (DS-8201a), neratinib, and margetuximab-cmkb. In addition, new compounds and combinations are showing promising results in the late-line setting. The treatment landscape of HER2-positive advanced disease is evolving constantly, active drugs such as pertuzumab and trastuzumab-emtansine are moving to early-stage, many biomarkers, including quantification of HER2 itself, are being explored to improve patient selection, and patient populations with specific needs are emerging, such as those with brain metastasis. Here, we provide an overview of the current and future management of HER2-positive advanced breast cancer.","container-title":"JCO Oncology Practice","DOI":"10.1200/OP.21.00172","ISSN":"2688-1527","issue":"10","note":"publisher: Wolters Kluwer","page":"594-604","source":"ascopubs.org (Atypon)","title":"Current and Future Management of HER2-Positive Metastatic Breast Cancer","volume":"17","author":[{"family":"Martínez-Sáez","given":"Olga"},{"family":"Prat","given":"Aleix"}],"issued":{"date-parts":[["2021",10]]}}}],"schema":"https://github.com/citation-style-language/schema/raw/master/csl-citation.json"} </w:instrText>
      </w:r>
      <w:r w:rsidRPr="002646F6">
        <w:fldChar w:fldCharType="separate"/>
      </w:r>
      <w:r w:rsidR="00CA6345" w:rsidRPr="00CA6345">
        <w:rPr>
          <w:rFonts w:cs="Arial"/>
          <w:szCs w:val="24"/>
          <w:vertAlign w:val="superscript"/>
        </w:rPr>
        <w:t>117</w:t>
      </w:r>
      <w:r w:rsidRPr="002646F6">
        <w:fldChar w:fldCharType="end"/>
      </w:r>
      <w:r w:rsidR="00BE1134" w:rsidRPr="002646F6">
        <w:t xml:space="preserve"> </w:t>
      </w:r>
    </w:p>
    <w:p w14:paraId="4D699D0F" w14:textId="1C676A20" w:rsidR="00130B13" w:rsidRPr="002646F6" w:rsidRDefault="00521707" w:rsidP="00014EAD">
      <w:pPr>
        <w:pStyle w:val="Body"/>
      </w:pPr>
      <w:r w:rsidRPr="002646F6">
        <w:t>Together</w:t>
      </w:r>
      <w:r w:rsidR="00B30770" w:rsidRPr="002646F6">
        <w:t>,</w:t>
      </w:r>
      <w:r w:rsidRPr="002646F6">
        <w:t xml:space="preserve"> these data highlight </w:t>
      </w:r>
      <w:r w:rsidR="00B30770" w:rsidRPr="002646F6">
        <w:t>that</w:t>
      </w:r>
      <w:r w:rsidRPr="002646F6">
        <w:t xml:space="preserve"> </w:t>
      </w:r>
      <w:r w:rsidR="00B96F3B" w:rsidRPr="002646F6">
        <w:t xml:space="preserve">effective </w:t>
      </w:r>
      <w:r w:rsidR="00A41150">
        <w:t>HER2-</w:t>
      </w:r>
      <w:r w:rsidR="001A5A9B" w:rsidRPr="002646F6">
        <w:t>targeted options</w:t>
      </w:r>
      <w:r w:rsidR="007C55D5" w:rsidRPr="002646F6">
        <w:t xml:space="preserve"> are available through treatment lines in </w:t>
      </w:r>
      <w:r w:rsidR="009A446E" w:rsidRPr="002646F6">
        <w:t xml:space="preserve">HER2-positive </w:t>
      </w:r>
      <w:r w:rsidR="007C55D5" w:rsidRPr="002646F6">
        <w:t>u/mBC and</w:t>
      </w:r>
      <w:r w:rsidR="00C95054" w:rsidRPr="002646F6">
        <w:t>, since their introduction,</w:t>
      </w:r>
      <w:r w:rsidR="001A5A9B" w:rsidRPr="002646F6">
        <w:t xml:space="preserve"> </w:t>
      </w:r>
      <w:r w:rsidR="00B96F3B" w:rsidRPr="002646F6">
        <w:t>have</w:t>
      </w:r>
      <w:r w:rsidR="001045FC" w:rsidRPr="002646F6">
        <w:t xml:space="preserve"> substantially</w:t>
      </w:r>
      <w:r w:rsidR="00B96F3B" w:rsidRPr="002646F6">
        <w:t xml:space="preserve"> improved prognosis. </w:t>
      </w:r>
      <w:r w:rsidR="00A167A0" w:rsidRPr="002646F6">
        <w:t xml:space="preserve">In particular, the introduction of T-DXd </w:t>
      </w:r>
      <w:r w:rsidR="00DD0259" w:rsidRPr="002646F6">
        <w:t xml:space="preserve">has led to </w:t>
      </w:r>
      <w:r w:rsidR="00C45805" w:rsidRPr="002646F6">
        <w:t xml:space="preserve">unprecedented </w:t>
      </w:r>
      <w:r w:rsidR="00B5027F" w:rsidRPr="002646F6">
        <w:t>benefits in HER2-positive disease.</w:t>
      </w:r>
    </w:p>
    <w:p w14:paraId="55E2233B" w14:textId="0E2280A8" w:rsidR="001E05D7" w:rsidRPr="002646F6" w:rsidRDefault="001E05D7" w:rsidP="002646F6">
      <w:pPr>
        <w:pStyle w:val="Heading5"/>
        <w:ind w:left="1276" w:hanging="1276"/>
      </w:pPr>
      <w:r w:rsidRPr="002646F6">
        <w:rPr>
          <w:bCs/>
        </w:rPr>
        <w:t>HER2-negative u/mBC</w:t>
      </w:r>
    </w:p>
    <w:p w14:paraId="1BCC9A23" w14:textId="73B33A24" w:rsidR="008B3813" w:rsidRPr="002646F6" w:rsidRDefault="0077540B" w:rsidP="005C14AA">
      <w:pPr>
        <w:pStyle w:val="Body"/>
      </w:pPr>
      <w:r w:rsidRPr="002646F6">
        <w:t xml:space="preserve">While the introduction of </w:t>
      </w:r>
      <w:r w:rsidR="008C4F5F" w:rsidRPr="002646F6">
        <w:t xml:space="preserve">effective </w:t>
      </w:r>
      <w:r w:rsidR="00C40959" w:rsidRPr="002646F6">
        <w:t>HER2-</w:t>
      </w:r>
      <w:r w:rsidRPr="002646F6">
        <w:t>targeted therapies ha</w:t>
      </w:r>
      <w:r w:rsidR="0012258B" w:rsidRPr="002646F6">
        <w:t>ve</w:t>
      </w:r>
      <w:r w:rsidRPr="002646F6">
        <w:t xml:space="preserve"> </w:t>
      </w:r>
      <w:r w:rsidR="0012258B" w:rsidRPr="002646F6">
        <w:t xml:space="preserve">transformed </w:t>
      </w:r>
      <w:r w:rsidRPr="002646F6">
        <w:t xml:space="preserve">outcomes </w:t>
      </w:r>
      <w:r w:rsidR="008D2470" w:rsidRPr="002646F6">
        <w:t>across</w:t>
      </w:r>
      <w:r w:rsidRPr="002646F6">
        <w:t xml:space="preserve"> lines of treatment in HER2-positive u/mBC, </w:t>
      </w:r>
      <w:r w:rsidR="003B474A">
        <w:t xml:space="preserve">HER2-targeted treatments have not been effective in HER2-negative u/mBC. </w:t>
      </w:r>
      <w:r w:rsidR="00C91938" w:rsidRPr="002646F6">
        <w:t xml:space="preserve">Under current treatment pathways, patients with </w:t>
      </w:r>
      <w:r w:rsidR="0013511A" w:rsidRPr="002646F6">
        <w:t>HER2-negative/HR-positive</w:t>
      </w:r>
      <w:r w:rsidR="00C91938" w:rsidRPr="002646F6">
        <w:t xml:space="preserve"> u/mBC are initially treated with </w:t>
      </w:r>
      <w:r w:rsidR="00392CDB" w:rsidRPr="002646F6">
        <w:t xml:space="preserve">therapies targeting the </w:t>
      </w:r>
      <w:r w:rsidR="005C14AA" w:rsidRPr="002646F6">
        <w:t xml:space="preserve">hormone receptor </w:t>
      </w:r>
      <w:r w:rsidR="00392CDB" w:rsidRPr="002646F6">
        <w:t>pathway</w:t>
      </w:r>
      <w:r w:rsidR="00F73931" w:rsidRPr="002646F6">
        <w:t>, for example</w:t>
      </w:r>
      <w:r w:rsidR="00392CDB" w:rsidRPr="002646F6">
        <w:t xml:space="preserve"> </w:t>
      </w:r>
      <w:r w:rsidR="00E66BFA">
        <w:t>CDK4/6i</w:t>
      </w:r>
      <w:r w:rsidR="003918B4">
        <w:t xml:space="preserve">s, </w:t>
      </w:r>
      <w:r w:rsidR="003918B4" w:rsidRPr="002646F6">
        <w:t>ET</w:t>
      </w:r>
      <w:r w:rsidR="003918B4">
        <w:t xml:space="preserve"> and PARP inhibitors. O</w:t>
      </w:r>
      <w:r w:rsidR="00392CDB" w:rsidRPr="002646F6">
        <w:t xml:space="preserve">nce these targeted options are exhausted, </w:t>
      </w:r>
      <w:r w:rsidR="00BD2102" w:rsidRPr="002646F6">
        <w:t xml:space="preserve">treatment is limited to </w:t>
      </w:r>
      <w:r w:rsidR="00392CDB" w:rsidRPr="002646F6">
        <w:t xml:space="preserve">non-targeted </w:t>
      </w:r>
      <w:r w:rsidR="00436194" w:rsidRPr="002646F6">
        <w:t>chemotherapies,</w:t>
      </w:r>
      <w:r w:rsidR="00AB4354" w:rsidRPr="002646F6">
        <w:fldChar w:fldCharType="begin"/>
      </w:r>
      <w:r w:rsidR="00CA6345">
        <w:instrText xml:space="preserve"> ADDIN ZOTERO_ITEM CSL_CITATION {"citationID":"f0CI3b1c","properties":{"formattedCitation":"\\super 35,42\\nosupersub{}","plainCitation":"35,42","noteIndex":0},"citationItems":[{"id":65866,"uris":["http://zotero.org/groups/4797619/items/3AESVSNK"],"itemData":{"id":65866,"type":"webpage","abstract":"This guideline covers care and support for people with advanced (stage 4) breast cancer. It aims to help them and their healthcare professionals make shared","language":"eng","note":"publisher: NICE","title":"Advanced breast cancer: diagnosis and treatment | NICE CG81","title-short":"NICE CG81. Recommendations | Advanced breast cancer","URL":"https://www.nice.org.uk/guidance/cg81/chapter/Recommendations","author":[{"family":"NICE","given":""}],"accessed":{"date-parts":[["2022",10,17]]},"issued":{"date-parts":[["2017"]]}}},{"id":65955,"uris":["http://zotero.org/groups/4797619/items/4KXA6CCG"],"itemData":{"id":65955,"type":"article-journal","container-title":"Annals of Oncology: Official Journal of the European Society for Medical Oncology","DOI":"10.1016/j.annonc.2021.09.019","ISSN":"1569-8041","issue":"12","journalAbbreviation":"Ann Oncol","language":"eng","note":"PMID: 34678411","page":"1475-1495","source":"PubMed","title":"ESMO Clinical Practice Guideline for the diagnosis, staging and treatment of patients with metastatic breast cancer","volume":"32","author":[{"family":"Gennari","given":"A."},{"family":"André","given":"F."},{"family":"Barrios","given":"C. H."},{"family":"Cortés","given":"J."},{"family":"Azambuja","given":"E.","non-dropping-particle":"de"},{"family":"DeMichele","given":"A."},{"family":"Dent","given":"R."},{"family":"Fenlon","given":"D."},{"family":"Gligorov","given":"J."},{"family":"Hurvitz","given":"S. A."},{"family":"Im","given":"S.-A."},{"family":"Krug","given":"D."},{"family":"Kunz","given":"W. G."},{"family":"Loi","given":"S."},{"family":"Penault-Llorca","given":"F."},{"family":"Ricke","given":"J."},{"family":"Robson","given":"M."},{"family":"Rugo","given":"H. S."},{"family":"Saura","given":"C."},{"family":"Schmid","given":"P."},{"family":"Singer","given":"C. F."},{"family":"Spanic","given":"T."},{"family":"Tolaney","given":"S. M."},{"family":"Turner","given":"N. C."},{"family":"Curigliano","given":"G."},{"family":"Loibl","given":"S."},{"family":"Paluch-Shimon","given":"S."},{"family":"Harbeck","given":"N."},{"literal":"ESMO Guidelines Committee. Electronic address: clinicalguidelines@esmo.org"}],"issued":{"date-parts":[["2021",12]]}}}],"schema":"https://github.com/citation-style-language/schema/raw/master/csl-citation.json"} </w:instrText>
      </w:r>
      <w:r w:rsidR="00AB4354" w:rsidRPr="002646F6">
        <w:fldChar w:fldCharType="separate"/>
      </w:r>
      <w:r w:rsidR="00FD57F4" w:rsidRPr="00FD57F4">
        <w:rPr>
          <w:rFonts w:cs="Arial"/>
          <w:szCs w:val="24"/>
          <w:vertAlign w:val="superscript"/>
        </w:rPr>
        <w:t>35,42</w:t>
      </w:r>
      <w:r w:rsidR="00AB4354" w:rsidRPr="002646F6">
        <w:fldChar w:fldCharType="end"/>
      </w:r>
      <w:r w:rsidR="00436194" w:rsidRPr="002646F6">
        <w:t xml:space="preserve"> which are associated with poor outcomes</w:t>
      </w:r>
      <w:r w:rsidR="00392CDB" w:rsidRPr="002646F6">
        <w:t>.</w:t>
      </w:r>
      <w:r w:rsidR="008F76DC" w:rsidRPr="002646F6">
        <w:fldChar w:fldCharType="begin"/>
      </w:r>
      <w:r w:rsidR="00CA6345">
        <w:instrText xml:space="preserve"> ADDIN ZOTERO_ITEM CSL_CITATION {"citationID":"Y75Se4qP","properties":{"formattedCitation":"\\super 43\\uc0\\u8211{}46,51\\nosupersub{}","plainCitation":"43–46,51","noteIndex":0},"citationItems":[{"id":66150,"uris":["http://zotero.org/groups/4797619/items/FWP3JYLN"],"itemData":{"id":66150,"type":"article-journal","abstract":"This post hoc subgroup analysis of a large phase 3 study compared the efficacy and safety of eribulin versus capecitabine in patients with human epidermal growth factor receptor 2 (HER2)-negative metastatic breast cancer who received second-line treatment. In the phase 3 study, women with advanced/metastatic breast cancer and ≤ 3 prior chemotherapies were randomized 1:1 to eribulin mesilate 1.4 mg/m2 intravenously on days 1 and 8, or twice-daily oral capecitabine 1.25 g/m2 on days 1-14 (21-day cycles). This analysis included 392 patients. Median overall survival was longer in patients receiving eribulin compared with capecitabine (16.1 vs 13.5 months, respectively; HR 0.77, P = 0.026). Median progression-free survival and response rates were similar between arms. Both treatments had manageable safety profiles.","container-title":"Breast Cancer (Tokyo, Japan)","DOI":"10.1007/s12282-017-0826-4","ISSN":"1880-4233","issue":"3","journalAbbreviation":"Breast Cancer","language":"eng","note":"PMID: 29302858\nPMCID: PMC5906517","page":"370-374","source":"PubMed","title":"Subgroup analysis of patients with HER2-negative metastatic breast cancer in the second-line setting from a phase 3, open-label, randomized study of eribulin mesilate versus capecitabine","volume":"25","author":[{"family":"Pivot","given":"Xavier"},{"family":"Im","given":"Seock Ah"},{"family":"Guo","given":"Matthew"},{"family":"Marmé","given":"Frederik"}],"issued":{"date-parts":[["2018",5]]}}},{"id":66149,"uris":["http://zotero.org/groups/4797619/items/8M7DF85G"],"itemData":{"id":66149,"type":"article-journal","abstract":"BACKGROUND: Based on data from two multicenter, phase III clinical trials (Studies 301 and 305), eribulin (a microtubule dynamics inhibitor) is indicated in the European Union (EU) for patients with locally advanced or metastatic breast cancer (MBC) after ≥1 prior chemotherapy for advanced disease, including an anthracycline and a taxane in either the adjuvant or metastatic setting. Data from Studies 305 and 301 were pooled to investigate the efficacy of eribulin in various subgroups of patients who matched the EU label, including those with human epidermal growth factor receptor 2 (HER2)-negative and triple-negative disease.\nPATIENTS AND METHODS: In Study 305 (NCT00388726), patients were randomized 2:1 to eribulin mesylate 1.4 mg/m(2) (equivalent to eribulin 1.23 mg/m(2) [expressed as free base]) intravenously on days 1 and 8 every 21 days] or treatment of physician's choice after 2-5 prior chemotherapies (≥2 for advanced disease), including an anthracycline and a taxane (in early/advanced setting). In Study 301 (NCT00337103), patients were randomized 1:1 to eribulin (as above) or capecitabine (1.25 g/m(2) orally twice daily on days 1-14 every 21 days) following ≤3 prior chemotherapies (≤2 for advanced disease), including an anthracycline and a taxane. Efficacy end points were investigated in the intent-to-treat population and subgroups, pooled as discussed above.\nRESULTS: Overall, 1644 patients were included (eribulin: 946; control: 698); baseline characteristics were well matched. Overall survival was significantly longer with eribulin versus control (P &lt; 0.01), as were progression-free survival and clinical benefit rate (both P &lt; 0.05). Significant survival benefits with eribulin versus control were observed in a wide range of patient subgroups, including HER2-negative or triple-negative disease (all P &lt; 0.05).\nCONCLUSION: Our findings underline the survival benefit achieved by eribulin used according to EU label in the overall MBC population and in various subgroups of interest, including patients with HER2-negative and triple-negative disease.","container-title":"Annals of Oncology: Official Journal of the European Society for Medical Oncology","DOI":"10.1093/annonc/mdw203","ISSN":"1569-8041","issue":"8","journalAbbreviation":"Ann Oncol","language":"eng","note":"PMID: 27177860\nPMCID: PMC4959925","page":"1525-1531","source":"PubMed","title":"Pooled analyses of eribulin in metastatic breast cancer patients with at least one prior chemotherapy","volume":"27","author":[{"family":"Pivot","given":"X."},{"family":"Marmé","given":"F."},{"family":"Koenigsberg","given":"R."},{"family":"Guo","given":"M."},{"family":"Berrak","given":"E."},{"family":"Wolfer","given":"A."}],"issued":{"date-parts":[["2016",8]]}}},{"id":66152,"uris":["http://zotero.org/groups/4797619/items/K2TXU8UJ"],"itemData":{"id":66152,"type":"article-journal","abstract":"BACKGROUND: Treatments with survival benefit are greatly needed for women with heavily pretreated metastatic breast cancer. Eribulin mesilate is a non-taxane microtubule dynamics inhibitor with a novel mode of action. We aimed to compare overall survival of heavily pretreated patients receiving eribulin versus currently available treatments.\nMETHODS: In this phase 3 open-label study, women with locally recurrent or metastatic breast cancer were randomly allocated (2:1) to eribulin mesilate (1·4 mg/m(2) administered intravenously during 2-5 min on days 1 and 8 of a 21-day cycle) or treatment of physician's choice (TPC). Patients had received between two and five previous chemotherapy regimens (two or more for advanced disease), including an anthracycline and a taxane, unless contraindicated. Randomisation was stratified by geographical region, previous capecitabine treatment, and human epidermal growth factor receptor 2 status. Patients and investigators were not masked to treatment allocation. The primary endpoint was overall survival in the intention-to-treat population. This study is registered at ClinicalTrials.gov, number NCT00388726.\nFINDINGS: 762 women were randomly allocated to treatment groups (508 eribulin, 254 TPC). Overall survival was significantly improved in women assigned to eribulin (median 13·1 months, 95% CI 11·8-14·3) compared with TPC (10·6 months, 9·3-12·5; hazard ratio 0·81, 95% CI 0·66-0·99; p=0·041). The most common adverse events in both groups were asthenia or fatigue (270 [54%] of 503 patients on eribulin and 98 [40%] of 247 patients on TPC at all grades) and neutropenia (260 [52%] patients receiving eribulin and 73 [30%] of those on TPC at all grades). Peripheral neuropathy was the most common adverse event leading to discontinuation from eribulin, occurring in 24 (5%) of 503 patients.\nINTERPRETATION: Eribulin showed a significant and clinically meaningful improvement in overall survival compared with TPC in women with heavily pretreated metastatic breast cancer. This finding challenges the notion that improved overall survival is an unrealistic expectation during evaluation of new anticancer therapies in the refractory setting.\nFUNDING: Eisai.","container-title":"Lancet (London, England)","DOI":"10.1016/S0140-6736(11)60070-6","ISSN":"1474-547X","issue":"9769","journalAbbreviation":"Lancet","language":"eng","note":"PMID: 21376385","page":"914-923","source":"PubMed","title":"Eribulin monotherapy versus treatment of physician's choice in patients with metastatic breast cancer (EMBRACE): a phase 3 open-label randomised study","title-short":"Eribulin monotherapy versus treatment of physician's choice in patients with metastatic breast cancer (EMBRACE)","volume":"377","author":[{"family":"Cortes","given":"Javier"},{"family":"O'Shaughnessy","given":"Joyce"},{"family":"Loesch","given":"David"},{"family":"Blum","given":"Joanne L."},{"family":"Vahdat","given":"Linda T."},{"family":"Petrakova","given":"Katarina"},{"family":"Chollet","given":"Philippe"},{"family":"Manikas","given":"Alexey"},{"family":"Diéras","given":"Veronique"},{"family":"Delozier","given":"Thierry"},{"family":"Vladimirov","given":"Vladimir"},{"family":"Cardoso","given":"Fatima"},{"family":"Koh","given":"Han"},{"family":"Bougnoux","given":"Philippe"},{"family":"Dutcus","given":"Corina E."},{"family":"Seegobin","given":"Seth"},{"family":"Mir","given":"Denis"},{"family":"Meneses","given":"Nicole"},{"family":"Wanders","given":"Jantien"},{"family":"Twelves","given":"Chris"},{"literal":"EMBRACE (Eisai Metastatic Breast Cancer Study Assessing Physician's Choice Versus E7389) investigators"}],"issued":{"date-parts":[["2011",3,12]]}}},{"id":66151,"uris":["http://zotero.org/groups/4797619/items/RLDAE79H"],"itemData":{"id":66151,"type":"article-journal","abstract":"PURPOSE AND METHODS: Our secondary analyses compared survival with eribulin versus capecitabine in various patient subgroups from a phase 3, open-label, randomized study. Eligible women aged ≥18 years with advanced/metastatic breast cancer and ≤3 prior chemotherapies (≤2 for advanced/metastatic disease), including an anthracycline and taxane, were randomized 1:1 to intravenous eribulin mesylate 1.4 mg/m(2) on days 1 and 8 or twice-daily oral capecitabine 1250 mg/m(2) on days 1-14 (21-day cycles).\nRESULTS: In the intent-to-treat population (eribulin 554 and capecitabine 548), overall survival appeared longer with eribulin than capecitabine in various subgroups, including patients with human epidermal growth factor receptor 2-negative (15.9 versus 13.5 months, respectively), estrogen receptor-negative (14.4 versus 10.5 months, respectively), and triple-negative (14.4 versus 9.4 months, respectively) disease. Progression-free survival was similar between the treatment arms.\nCONCLUSIONS: Patients with advanced/metastatic breast cancer and human epidermal growth factor receptor 2-, estrogen receptor-, or triple-negative disease may gain particular benefit from eribulin as first-, second-, and third-line chemotherapies.\nTRIAL REGISTRATION PRIMARY STUDY: This study reports the subgroup analyses of eribulin versus capecitabine from a phase 3, open-label, randomized study (www.clinicaltrials.gov; ClinicalTrials.gov identifier: NCT00337103).","container-title":"Breast Cancer: Basic and Clinical Research","DOI":"10.4137/BCBCR.S39615","ISSN":"1178-2234","journalAbbreviation":"Breast Cancer (Auckl)","language":"eng","note":"PMID: 27398025\nPMCID: PMC4927108","page":"77-84","source":"PubMed","title":"Subgroup Analyses from a Phase 3, Open-Label, Randomized Study of Eribulin Mesylate Versus Capecitabine in Pretreated Patients with Advanced or Metastatic Breast Cancer","volume":"10","author":[{"family":"Twelves","given":"Chris"},{"family":"Awada","given":"Ahmad"},{"family":"Cortes","given":"Javier"},{"family":"Yelle","given":"Louise"},{"family":"Velikova","given":"Galina"},{"family":"Olivo","given":"Martin S."},{"family":"Song","given":"James"},{"family":"Dutcus","given":"Corina E."},{"family":"Kaufman","given":"Peter A."}],"issued":{"date-parts":[["2016"]]}}},{"id":66146,"uris":["http://zotero.org/groups/4797619/items/CXIIHEH4"],"itemData":{"id":66146,"type":"article-journal","abstract":"PURPOSE: Improving the outcome of patients with HER2-negative metastatic breast cancer experiencing tumour progression following first-line chemotherapy remains an urgent medical need. The purpose of the VicTORia trial was to show superiority of everolimus in combination with vinorelbine versus vinorelbine monotherapy as second-line chemotherapy for patients with advanced HER2 negative breast cancer.\nMETHODS: In this randomised phase II trial, 133 patients were recruited in 32 centres in Germany. Patients were randomised 1:1 to second-line chemotherapy either with vinorelbine plus everolimus (arm1) or vinorelbine alone (arm2). Primary endpoint was progression-free survival (PFS). Secondary endpoints were PFS rate at 6 months, overall survival (OS), overall response rate (ORR) and safety. Baseline PI3 K mutational status was determined in plasma samples.\nRESULTS: Median progression-free survival was not different between arms (arm1 vs. arm2: 4.01 months, 95% CI 2.40-6.09 vs. 4.08, 95% CI 2.80-5.33). PFS rate at 6 months (arm1 vs. arm2: 39.4%, 95% CI 27.6-50.9% vs. 36.6%, 95% CI 24.6-48.6%), median OS (arm1 vs. arm2: 16.3 months, 95% CI 11.4-19.0 vs. 13.8 months, 95% CI 10.2-19.1) and ORR were not different between arms. Most frequent grade 3/4 adverse events were neutropenia (50% vs. 40%), gastrointestinal toxicities (19.1% vs. 6.1%), and infections (19.1% vs. 7.7%). PI3 K mutational status was neither associated with PFS nor with OS.\nCONCLUSION: Although well tolerated, the efficacy of everolimus and vinorelbine combination therapy was not superior to vinorelbine monotherapy. There was no correlation between PI3 K mutational status and efficacy. EudracCT No 2011-001024-38, ClinicalTrials.gov No NCT01520103.","container-title":"Breast Cancer Research and Treatment","DOI":"10.1007/s10549-019-05280-2","ISSN":"1573-7217","issue":"3","journalAbbreviation":"Breast Cancer Res Treat","language":"eng","note":"PMID: 31115844","page":"637-647","source":"PubMed","title":"VicTORia: a randomised phase II study to compare vinorelbine in combination with the mTOR inhibitor everolimus versus vinorelbine monotherapy for second-line chemotherapy in advanced HER2-negative breast cancer","title-short":"VicTORia","volume":"176","author":[{"family":"Decker","given":"Thomas"},{"family":"Marschner","given":"Norbert"},{"family":"Muendlein","given":"Axel"},{"family":"Welt","given":"Anja"},{"family":"Hagen","given":"Volker"},{"family":"Rauh","given":"Jaqueline"},{"family":"Schröder","given":"Helge"},{"family":"Jaehnig","given":"Peter"},{"family":"Potthoff","given":"Karin"},{"family":"Lerchenmüller","given":"Christian"}],"issued":{"date-parts":[["2019",8]]}}}],"schema":"https://github.com/citation-style-language/schema/raw/master/csl-citation.json"} </w:instrText>
      </w:r>
      <w:r w:rsidR="008F76DC" w:rsidRPr="002646F6">
        <w:fldChar w:fldCharType="separate"/>
      </w:r>
      <w:r w:rsidR="00FD57F4" w:rsidRPr="00FD57F4">
        <w:rPr>
          <w:rFonts w:cs="Arial"/>
          <w:szCs w:val="24"/>
          <w:vertAlign w:val="superscript"/>
        </w:rPr>
        <w:t>43–46,51</w:t>
      </w:r>
      <w:r w:rsidR="008F76DC" w:rsidRPr="002646F6">
        <w:fldChar w:fldCharType="end"/>
      </w:r>
      <w:r w:rsidR="00392CDB" w:rsidRPr="002646F6">
        <w:t xml:space="preserve"> </w:t>
      </w:r>
      <w:r w:rsidR="00401776" w:rsidRPr="002646F6">
        <w:t xml:space="preserve">For patients with </w:t>
      </w:r>
      <w:r w:rsidR="0013511A" w:rsidRPr="002646F6">
        <w:t>HER2-negative/HR-negative</w:t>
      </w:r>
      <w:r w:rsidR="00401776" w:rsidRPr="002646F6">
        <w:t xml:space="preserve"> u/mBC (i.e. TNBC), </w:t>
      </w:r>
      <w:r w:rsidR="00C6142A" w:rsidRPr="002646F6">
        <w:t>treatment</w:t>
      </w:r>
      <w:r w:rsidR="00401776" w:rsidRPr="002646F6">
        <w:t xml:space="preserve"> </w:t>
      </w:r>
      <w:r w:rsidR="004A0A7E" w:rsidRPr="002646F6">
        <w:t>is even</w:t>
      </w:r>
      <w:r w:rsidR="00401776" w:rsidRPr="002646F6">
        <w:t xml:space="preserve"> more limited</w:t>
      </w:r>
      <w:r w:rsidR="00B4686A" w:rsidRPr="002646F6">
        <w:t xml:space="preserve">. Across the entire </w:t>
      </w:r>
      <w:r w:rsidR="00C62373" w:rsidRPr="002646F6">
        <w:t>HER2-negative/HR-negative</w:t>
      </w:r>
      <w:r w:rsidR="00B4686A" w:rsidRPr="002646F6">
        <w:t xml:space="preserve"> </w:t>
      </w:r>
      <w:r w:rsidR="0089373F" w:rsidRPr="002646F6">
        <w:t xml:space="preserve">u/mBC </w:t>
      </w:r>
      <w:r w:rsidR="00B4686A" w:rsidRPr="002646F6">
        <w:t xml:space="preserve">pathway, only three targeted options </w:t>
      </w:r>
      <w:r w:rsidR="005E2836">
        <w:t xml:space="preserve">are </w:t>
      </w:r>
      <w:r w:rsidR="00B4686A" w:rsidRPr="002646F6">
        <w:t>available</w:t>
      </w:r>
      <w:r w:rsidR="00125E7B">
        <w:t>:</w:t>
      </w:r>
      <w:r w:rsidR="008C0BAE">
        <w:t xml:space="preserve"> atezolizumab and pembrolizumab as first-line targeted therapies</w:t>
      </w:r>
      <w:r w:rsidR="00125E7B">
        <w:t xml:space="preserve"> (for patients with programmed death ligand 1 (PD-L1)-positive disease only)</w:t>
      </w:r>
      <w:r w:rsidR="008C0BAE">
        <w:t xml:space="preserve">, </w:t>
      </w:r>
      <w:r w:rsidR="007A78B2">
        <w:t>and sacituzumab govitecan</w:t>
      </w:r>
      <w:r w:rsidR="001442C5">
        <w:t xml:space="preserve"> (SG)</w:t>
      </w:r>
      <w:r w:rsidR="007A78B2">
        <w:t xml:space="preserve"> </w:t>
      </w:r>
      <w:r w:rsidR="008C0BAE">
        <w:t xml:space="preserve">as </w:t>
      </w:r>
      <w:r w:rsidR="007A78B2">
        <w:t>second- or later-line targeted therapy</w:t>
      </w:r>
      <w:r w:rsidR="008C0BAE">
        <w:t xml:space="preserve">. </w:t>
      </w:r>
      <w:r w:rsidR="007A78B2">
        <w:t xml:space="preserve"> </w:t>
      </w:r>
    </w:p>
    <w:p w14:paraId="68057365" w14:textId="0360C545" w:rsidR="00762D63" w:rsidRPr="002646F6" w:rsidRDefault="006064D3" w:rsidP="007C43A3">
      <w:pPr>
        <w:pStyle w:val="Body"/>
        <w:rPr>
          <w:rStyle w:val="normaltextrun"/>
        </w:rPr>
      </w:pPr>
      <w:r w:rsidRPr="002646F6">
        <w:t xml:space="preserve">PFS and OS outcomes by line of therapy in </w:t>
      </w:r>
      <w:r w:rsidR="00502027">
        <w:t>HER2-negative</w:t>
      </w:r>
      <w:r w:rsidR="00BA0BB7">
        <w:t xml:space="preserve"> u/mBC</w:t>
      </w:r>
      <w:r w:rsidRPr="002646F6">
        <w:t xml:space="preserve"> </w:t>
      </w:r>
      <w:r w:rsidR="00502027">
        <w:t>(HR</w:t>
      </w:r>
      <w:r w:rsidR="00293E72">
        <w:t>-</w:t>
      </w:r>
      <w:r w:rsidR="00502027">
        <w:t>status</w:t>
      </w:r>
      <w:r w:rsidR="00BA0BB7">
        <w:t xml:space="preserve"> positive, negative, any</w:t>
      </w:r>
      <w:r w:rsidR="00502027">
        <w:t xml:space="preserve">) </w:t>
      </w:r>
      <w:r w:rsidRPr="002646F6">
        <w:t xml:space="preserve">are presented in </w:t>
      </w:r>
      <w:r w:rsidR="00C00515" w:rsidRPr="002646F6">
        <w:rPr>
          <w:b/>
          <w:bCs/>
        </w:rPr>
        <w:fldChar w:fldCharType="begin"/>
      </w:r>
      <w:r w:rsidR="00C00515" w:rsidRPr="002646F6">
        <w:rPr>
          <w:b/>
          <w:bCs/>
        </w:rPr>
        <w:instrText xml:space="preserve"> REF _Ref121942625 \h  \* MERGEFORMAT </w:instrText>
      </w:r>
      <w:r w:rsidR="00C00515" w:rsidRPr="002646F6">
        <w:rPr>
          <w:b/>
          <w:bCs/>
        </w:rPr>
      </w:r>
      <w:r w:rsidR="00C00515" w:rsidRPr="002646F6">
        <w:rPr>
          <w:b/>
          <w:bCs/>
        </w:rPr>
        <w:fldChar w:fldCharType="separate"/>
      </w:r>
      <w:r w:rsidR="00145F42" w:rsidRPr="00145F42">
        <w:rPr>
          <w:b/>
          <w:bCs/>
        </w:rPr>
        <w:t xml:space="preserve">Table </w:t>
      </w:r>
      <w:r w:rsidR="00145F42" w:rsidRPr="00145F42">
        <w:rPr>
          <w:b/>
          <w:bCs/>
          <w:noProof/>
        </w:rPr>
        <w:t>5</w:t>
      </w:r>
      <w:r w:rsidR="00C00515" w:rsidRPr="002646F6">
        <w:rPr>
          <w:b/>
          <w:bCs/>
        </w:rPr>
        <w:fldChar w:fldCharType="end"/>
      </w:r>
      <w:r w:rsidR="00C00515" w:rsidRPr="002646F6">
        <w:t>.</w:t>
      </w:r>
      <w:r w:rsidRPr="002646F6">
        <w:t xml:space="preserve"> </w:t>
      </w:r>
      <w:r w:rsidR="00762D63" w:rsidRPr="00040FAA">
        <w:t xml:space="preserve">In patients currently classified as </w:t>
      </w:r>
      <w:r w:rsidR="0013511A" w:rsidRPr="00040FAA">
        <w:t>HER2-negative/HR-positive</w:t>
      </w:r>
      <w:r w:rsidR="00762D63" w:rsidRPr="00040FAA">
        <w:t xml:space="preserve"> </w:t>
      </w:r>
      <w:r w:rsidR="00B97BDA" w:rsidRPr="00040FAA">
        <w:t>who have received one</w:t>
      </w:r>
      <w:r w:rsidR="00A659B4">
        <w:t xml:space="preserve"> or more</w:t>
      </w:r>
      <w:r w:rsidR="00B97BDA" w:rsidRPr="00040FAA">
        <w:t xml:space="preserve"> line</w:t>
      </w:r>
      <w:r w:rsidR="00A659B4">
        <w:t>s</w:t>
      </w:r>
      <w:r w:rsidR="00B97BDA" w:rsidRPr="00040FAA">
        <w:t xml:space="preserve"> of chemotherapy in the metastatic setting</w:t>
      </w:r>
      <w:r w:rsidR="007C43A3" w:rsidRPr="00040FAA">
        <w:t xml:space="preserve">, </w:t>
      </w:r>
      <w:r w:rsidR="00B7036F" w:rsidRPr="00040FAA">
        <w:t xml:space="preserve">non-targeted chemotherapy is associated with </w:t>
      </w:r>
      <w:r w:rsidR="00D417A6" w:rsidRPr="00040FAA">
        <w:t>m</w:t>
      </w:r>
      <w:r w:rsidR="00EE066A" w:rsidRPr="00040FAA">
        <w:t xml:space="preserve">edian </w:t>
      </w:r>
      <w:r w:rsidR="00762D63" w:rsidRPr="00040FAA">
        <w:t xml:space="preserve">PFS </w:t>
      </w:r>
      <w:r w:rsidR="00B7036F" w:rsidRPr="00040FAA">
        <w:t>of</w:t>
      </w:r>
      <w:r w:rsidR="00762D63" w:rsidRPr="00040FAA">
        <w:t xml:space="preserve"> </w:t>
      </w:r>
      <w:r w:rsidR="00B929C8" w:rsidRPr="00040FAA">
        <w:t>3.</w:t>
      </w:r>
      <w:r w:rsidR="007E33A6">
        <w:t>6</w:t>
      </w:r>
      <w:r w:rsidR="006F1908" w:rsidRPr="00040FAA">
        <w:t>–</w:t>
      </w:r>
      <w:r w:rsidR="00656D00" w:rsidRPr="00040FAA">
        <w:t>4.2</w:t>
      </w:r>
      <w:r w:rsidR="00E22436" w:rsidRPr="00040FAA">
        <w:t xml:space="preserve"> months</w:t>
      </w:r>
      <w:r w:rsidR="00B97BDA" w:rsidRPr="00040FAA">
        <w:t xml:space="preserve"> and m</w:t>
      </w:r>
      <w:r w:rsidR="00EE066A" w:rsidRPr="00040FAA">
        <w:t xml:space="preserve">edian </w:t>
      </w:r>
      <w:r w:rsidR="00762D63" w:rsidRPr="00040FAA">
        <w:t xml:space="preserve">OS </w:t>
      </w:r>
      <w:r w:rsidR="00B97BDA" w:rsidRPr="00040FAA">
        <w:t>of</w:t>
      </w:r>
      <w:r w:rsidR="00762D63" w:rsidRPr="00040FAA">
        <w:t xml:space="preserve"> </w:t>
      </w:r>
      <w:r w:rsidR="00B97BDA" w:rsidRPr="00040FAA">
        <w:t>11.5</w:t>
      </w:r>
      <w:r w:rsidR="0027725A" w:rsidRPr="00040FAA">
        <w:t>–</w:t>
      </w:r>
      <w:r w:rsidR="002E0375">
        <w:t xml:space="preserve">16.1 </w:t>
      </w:r>
      <w:r w:rsidR="0027725A" w:rsidRPr="00040FAA">
        <w:t>months</w:t>
      </w:r>
      <w:r w:rsidR="00B97BDA" w:rsidRPr="00040FAA">
        <w:t>.</w:t>
      </w:r>
      <w:r w:rsidR="00A913A4">
        <w:fldChar w:fldCharType="begin"/>
      </w:r>
      <w:r w:rsidR="00CA6345">
        <w:instrText xml:space="preserve"> ADDIN ZOTERO_ITEM CSL_CITATION {"citationID":"9viGM5lB","properties":{"formattedCitation":"\\super 43\\uc0\\u8211{}47\\nosupersub{}","plainCitation":"43–47","noteIndex":0},"citationItems":[{"id":66149,"uris":["http://zotero.org/groups/4797619/items/8M7DF85G"],"itemData":{"id":66149,"type":"article-journal","abstract":"BACKGROUND: Based on data from two multicenter, phase III clinical trials (Studies 301 and 305), eribulin (a microtubule dynamics inhibitor) is indicated in the European Union (EU) for patients with locally advanced or metastatic breast cancer (MBC) after ≥1 prior chemotherapy for advanced disease, including an anthracycline and a taxane in either the adjuvant or metastatic setting. Data from Studies 305 and 301 were pooled to investigate the efficacy of eribulin in various subgroups of patients who matched the EU label, including those with human epidermal growth factor receptor 2 (HER2)-negative and triple-negative disease.\nPATIENTS AND METHODS: In Study 305 (NCT00388726), patients were randomized 2:1 to eribulin mesylate 1.4 mg/m(2) (equivalent to eribulin 1.23 mg/m(2) [expressed as free base]) intravenously on days 1 and 8 every 21 days] or treatment of physician's choice after 2-5 prior chemotherapies (≥2 for advanced disease), including an anthracycline and a taxane (in early/advanced setting). In Study 301 (NCT00337103), patients were randomized 1:1 to eribulin (as above) or capecitabine (1.25 g/m(2) orally twice daily on days 1-14 every 21 days) following ≤3 prior chemotherapies (≤2 for advanced disease), including an anthracycline and a taxane. Efficacy end points were investigated in the intent-to-treat population and subgroups, pooled as discussed above.\nRESULTS: Overall, 1644 patients were included (eribulin: 946; control: 698); baseline characteristics were well matched. Overall survival was significantly longer with eribulin versus control (P &lt; 0.01), as were progression-free survival and clinical benefit rate (both P &lt; 0.05). Significant survival benefits with eribulin versus control were observed in a wide range of patient subgroups, including HER2-negative or triple-negative disease (all P &lt; 0.05).\nCONCLUSION: Our findings underline the survival benefit achieved by eribulin used according to EU label in the overall MBC population and in various subgroups of interest, including patients with HER2-negative and triple-negative disease.","container-title":"Annals of Oncology: Official Journal of the European Society for Medical Oncology","DOI":"10.1093/annonc/mdw203","ISSN":"1569-8041","issue":"8","journalAbbreviation":"Ann Oncol","language":"eng","note":"PMID: 27177860\nPMCID: PMC4959925","page":"1525-1531","source":"PubMed","title":"Pooled analyses of eribulin in metastatic breast cancer patients with at least one prior chemotherapy","volume":"27","author":[{"family":"Pivot","given":"X."},{"family":"Marmé","given":"F."},{"family":"Koenigsberg","given":"R."},{"family":"Guo","given":"M."},{"family":"Berrak","given":"E."},{"family":"Wolfer","given":"A."}],"issued":{"date-parts":[["2016",8]]}}},{"id":66152,"uris":["http://zotero.org/groups/4797619/items/K2TXU8UJ"],"itemData":{"id":66152,"type":"article-journal","abstract":"BACKGROUND: Treatments with survival benefit are greatly needed for women with heavily pretreated metastatic breast cancer. Eribulin mesilate is a non-taxane microtubule dynamics inhibitor with a novel mode of action. We aimed to compare overall survival of heavily pretreated patients receiving eribulin versus currently available treatments.\nMETHODS: In this phase 3 open-label study, women with locally recurrent or metastatic breast cancer were randomly allocated (2:1) to eribulin mesilate (1·4 mg/m(2) administered intravenously during 2-5 min on days 1 and 8 of a 21-day cycle) or treatment of physician's choice (TPC). Patients had received between two and five previous chemotherapy regimens (two or more for advanced disease), including an anthracycline and a taxane, unless contraindicated. Randomisation was stratified by geographical region, previous capecitabine treatment, and human epidermal growth factor receptor 2 status. Patients and investigators were not masked to treatment allocation. The primary endpoint was overall survival in the intention-to-treat population. This study is registered at ClinicalTrials.gov, number NCT00388726.\nFINDINGS: 762 women were randomly allocated to treatment groups (508 eribulin, 254 TPC). Overall survival was significantly improved in women assigned to eribulin (median 13·1 months, 95% CI 11·8-14·3) compared with TPC (10·6 months, 9·3-12·5; hazard ratio 0·81, 95% CI 0·66-0·99; p=0·041). The most common adverse events in both groups were asthenia or fatigue (270 [54%] of 503 patients on eribulin and 98 [40%] of 247 patients on TPC at all grades) and neutropenia (260 [52%] patients receiving eribulin and 73 [30%] of those on TPC at all grades). Peripheral neuropathy was the most common adverse event leading to discontinuation from eribulin, occurring in 24 (5%) of 503 patients.\nINTERPRETATION: Eribulin showed a significant and clinically meaningful improvement in overall survival compared with TPC in women with heavily pretreated metastatic breast cancer. This finding challenges the notion that improved overall survival is an unrealistic expectation during evaluation of new anticancer therapies in the refractory setting.\nFUNDING: Eisai.","container-title":"Lancet (London, England)","DOI":"10.1016/S0140-6736(11)60070-6","ISSN":"1474-547X","issue":"9769","journalAbbreviation":"Lancet","language":"eng","note":"PMID: 21376385","page":"914-923","source":"PubMed","title":"Eribulin monotherapy versus treatment of physician's choice in patients with metastatic breast cancer (EMBRACE): a phase 3 open-label randomised study","title-short":"Eribulin monotherapy versus treatment of physician's choice in patients with metastatic breast cancer (EMBRACE)","volume":"377","author":[{"family":"Cortes","given":"Javier"},{"family":"O'Shaughnessy","given":"Joyce"},{"family":"Loesch","given":"David"},{"family":"Blum","given":"Joanne L."},{"family":"Vahdat","given":"Linda T."},{"family":"Petrakova","given":"Katarina"},{"family":"Chollet","given":"Philippe"},{"family":"Manikas","given":"Alexey"},{"family":"Diéras","given":"Veronique"},{"family":"Delozier","given":"Thierry"},{"family":"Vladimirov","given":"Vladimir"},{"family":"Cardoso","given":"Fatima"},{"family":"Koh","given":"Han"},{"family":"Bougnoux","given":"Philippe"},{"family":"Dutcus","given":"Corina E."},{"family":"Seegobin","given":"Seth"},{"family":"Mir","given":"Denis"},{"family":"Meneses","given":"Nicole"},{"family":"Wanders","given":"Jantien"},{"family":"Twelves","given":"Chris"},{"literal":"EMBRACE (Eisai Metastatic Breast Cancer Study Assessing Physician's Choice Versus E7389) investigators"}],"issued":{"date-parts":[["2011",3,12]]}}},{"id":66151,"uris":["http://zotero.org/groups/4797619/items/RLDAE79H"],"itemData":{"id":66151,"type":"article-journal","abstract":"PURPOSE AND METHODS: Our secondary analyses compared survival with eribulin versus capecitabine in various patient subgroups from a phase 3, open-label, randomized study. Eligible women aged ≥18 years with advanced/metastatic breast cancer and ≤3 prior chemotherapies (≤2 for advanced/metastatic disease), including an anthracycline and taxane, were randomized 1:1 to intravenous eribulin mesylate 1.4 mg/m(2) on days 1 and 8 or twice-daily oral capecitabine 1250 mg/m(2) on days 1-14 (21-day cycles).\nRESULTS: In the intent-to-treat population (eribulin 554 and capecitabine 548), overall survival appeared longer with eribulin than capecitabine in various subgroups, including patients with human epidermal growth factor receptor 2-negative (15.9 versus 13.5 months, respectively), estrogen receptor-negative (14.4 versus 10.5 months, respectively), and triple-negative (14.4 versus 9.4 months, respectively) disease. Progression-free survival was similar between the treatment arms.\nCONCLUSIONS: Patients with advanced/metastatic breast cancer and human epidermal growth factor receptor 2-, estrogen receptor-, or triple-negative disease may gain particular benefit from eribulin as first-, second-, and third-line chemotherapies.\nTRIAL REGISTRATION PRIMARY STUDY: This study reports the subgroup analyses of eribulin versus capecitabine from a phase 3, open-label, randomized study (www.clinicaltrials.gov; ClinicalTrials.gov identifier: NCT00337103).","container-title":"Breast Cancer: Basic and Clinical Research","DOI":"10.4137/BCBCR.S39615","ISSN":"1178-2234","journalAbbreviation":"Breast Cancer (Auckl)","language":"eng","note":"PMID: 27398025\nPMCID: PMC4927108","page":"77-84","source":"PubMed","title":"Subgroup Analyses from a Phase 3, Open-Label, Randomized Study of Eribulin Mesylate Versus Capecitabine in Pretreated Patients with Advanced or Metastatic Breast Cancer","volume":"10","author":[{"family":"Twelves","given":"Chris"},{"family":"Awada","given":"Ahmad"},{"family":"Cortes","given":"Javier"},{"family":"Yelle","given":"Louise"},{"family":"Velikova","given":"Galina"},{"family":"Olivo","given":"Martin S."},{"family":"Song","given":"James"},{"family":"Dutcus","given":"Corina E."},{"family":"Kaufman","given":"Peter A."}],"issued":{"date-parts":[["2016"]]}}},{"id":66150,"uris":["http://zotero.org/groups/4797619/items/FWP3JYLN"],"itemData":{"id":66150,"type":"article-journal","abstract":"This post hoc subgroup analysis of a large phase 3 study compared the efficacy and safety of eribulin versus capecitabine in patients with human epidermal growth factor receptor 2 (HER2)-negative metastatic breast cancer who received second-line treatment. In the phase 3 study, women with advanced/metastatic breast cancer and ≤ 3 prior chemotherapies were randomized 1:1 to eribulin mesilate 1.4 mg/m2 intravenously on days 1 and 8, or twice-daily oral capecitabine 1.25 g/m2 on days 1-14 (21-day cycles). This analysis included 392 patients. Median overall survival was longer in patients receiving eribulin compared with capecitabine (16.1 vs 13.5 months, respectively; HR 0.77, P = 0.026). Median progression-free survival and response rates were similar between arms. Both treatments had manageable safety profiles.","container-title":"Breast Cancer (Tokyo, Japan)","DOI":"10.1007/s12282-017-0826-4","ISSN":"1880-4233","issue":"3","journalAbbreviation":"Breast Cancer","language":"eng","note":"PMID: 29302858\nPMCID: PMC5906517","page":"370-374","source":"PubMed","title":"Subgroup analysis of patients with HER2-negative metastatic breast cancer in the second-line setting from a phase 3, open-label, randomized study of eribulin mesilate versus capecitabine","volume":"25","author":[{"family":"Pivot","given":"Xavier"},{"family":"Im","given":"Seock Ah"},{"family":"Guo","given":"Matthew"},{"family":"Marmé","given":"Frederik"}],"issued":{"date-parts":[["2018",5]]}}},{"id":66278,"uris":["http://zotero.org/groups/4797619/items/L9C8M9U3"],"itemData":{"id":66278,"type":"article-journal","abstract":"BACKGROUND: Use of antiangiogenic agents in treatment of metastatic breast cancer (MBC) remains controversial. We evaluated the efficacy and safety of ramucirumab and eribulin versus eribulin alone as third- to fifth-line therapy in women with advanced breast cancer.\nPATIENTS AND METHODS: In this randomized (1:1), open-label, phase II study, US women aged 18 years or older with 2 to 4 previous chemotherapy regimens for locally recurrent or MBC, previous anthracycline and taxane treatment, and Eastern Cooperative Oncology Group performance status of 0 or 1 received ramucirumab with eribulin or eribulin alone in 21-day cycles (eribulin 1.4 mg/m2 intravenously on days 1 and 8; ramucirumab 10 mg/kg intravenously on day 1). Randomization was stratified according to previous antiangiogenic therapy and triple-negative status. The primary end point was progression-free survival (PFS) in the intention to treat population.\nRESULTS: One hundred forty-one women were randomized to ramucirumab with eribulin (n = 71) or eribulin alone (n = 70). Median PFS for ramucirumab with eribulin was 4.4 months (95% confidence interval [CI], 3.1-6.7) compared with 4.1 months (95% CI, 3.2-5.6) for eribulin (hazard ratio [HR], 0.83; 95% CI, 0.56-1.23; P = .35). Median overall survival in patients who received ramucirumab with eribulin was 13.5 months (95% CI, 10.4-17.9) compared with 11.5 months (95% CI, 9.0-17.3) in patients who received eribulin alone (HR, 0.91; 95% CI, 0.59-1.41; P = .68); objective response rate was 21% (13 of 62 patients) for the combination and 28% (17 of 60 patients) for eribulin alone. No unexpected toxicity was identified for the combination.\nCONCLUSION: Ramucirumab combined with eribulin did not significantly improve PFS in advanced MBC.","container-title":"Clinical Breast Cancer","DOI":"10.1016/j.clbc.2016.07.005","ISSN":"1938-0666","issue":"6","journalAbbreviation":"Clin Breast Cancer","language":"eng","note":"PMID: 27569274","page":"471-479.e1","source":"PubMed","title":"Ramucirumab With Eribulin Versus Eribulin in Locally Recurrent or Metastatic Breast Cancer Previously Treated With Anthracycline and Taxane Therapy: A Multicenter, Randomized, Phase II Study","title-short":"Ramucirumab With Eribulin Versus Eribulin in Locally Recurrent or Metastatic Breast Cancer Previously Treated With Anthracycline and Taxane Therapy","volume":"16","author":[{"family":"Yardley","given":"Denise A."},{"family":"Reeves","given":"James"},{"family":"Dees","given":"E. Claire"},{"family":"Osborne","given":"Cynthia"},{"family":"Paul","given":"Devchand"},{"family":"Ademuyiwa","given":"Foluso"},{"family":"Soliman","given":"Hatem"},{"family":"Guthrie","given":"Troy"},{"family":"Andersen","given":"Jay"},{"family":"Krekow","given":"Lea"},{"family":"Choksi","given":"Janak"},{"family":"Daniel","given":"Brooke"},{"family":"Danso","given":"Michael"},{"family":"Favret","given":"Anne"},{"family":"Oommen","given":"Sanjay"},{"family":"Brufsky","given":"Adam"},{"family":"Bromund","given":"Jane L."},{"family":"Lin","given":"Yong"},{"family":"Ibrahim","given":"Ayman B."},{"family":"Richards","given":"Paul D."}],"issued":{"date-parts":[["2016",12]]}}}],"schema":"https://github.com/citation-style-language/schema/raw/master/csl-citation.json"} </w:instrText>
      </w:r>
      <w:r w:rsidR="00A913A4">
        <w:fldChar w:fldCharType="separate"/>
      </w:r>
      <w:r w:rsidR="00FD57F4" w:rsidRPr="00FD57F4">
        <w:rPr>
          <w:rFonts w:cs="Arial"/>
          <w:szCs w:val="24"/>
          <w:vertAlign w:val="superscript"/>
        </w:rPr>
        <w:t>43–47</w:t>
      </w:r>
      <w:r w:rsidR="00A913A4">
        <w:fldChar w:fldCharType="end"/>
      </w:r>
      <w:r w:rsidR="00762D63" w:rsidRPr="00040FAA">
        <w:t xml:space="preserve"> </w:t>
      </w:r>
      <w:r w:rsidR="000458E5" w:rsidRPr="00040FAA">
        <w:t>In</w:t>
      </w:r>
      <w:r w:rsidR="00762D63" w:rsidRPr="00040FAA">
        <w:t xml:space="preserve"> patients currently classified as </w:t>
      </w:r>
      <w:r w:rsidR="0013511A" w:rsidRPr="00040FAA">
        <w:t>HER2-negative/HR-negative</w:t>
      </w:r>
      <w:r w:rsidR="000458E5" w:rsidRPr="00040FAA">
        <w:t xml:space="preserve"> (i.e., </w:t>
      </w:r>
      <w:r w:rsidR="00762D63" w:rsidRPr="00040FAA">
        <w:t>TNBC</w:t>
      </w:r>
      <w:r w:rsidR="000458E5" w:rsidRPr="00040FAA">
        <w:t>)</w:t>
      </w:r>
      <w:r w:rsidR="00C85B40" w:rsidRPr="00040FAA">
        <w:t xml:space="preserve"> outcomes are even worse</w:t>
      </w:r>
      <w:r w:rsidR="009973F1" w:rsidRPr="00040FAA">
        <w:t>, with median PFS and median OS of 1.7–2.8 months and 6.7–</w:t>
      </w:r>
      <w:r w:rsidR="00786197">
        <w:t>1</w:t>
      </w:r>
      <w:r w:rsidR="00840C6C">
        <w:t>2.4</w:t>
      </w:r>
      <w:r w:rsidR="009973F1" w:rsidRPr="00040FAA">
        <w:t xml:space="preserve"> months, respectively.</w:t>
      </w:r>
      <w:r w:rsidR="00BA55FB">
        <w:fldChar w:fldCharType="begin"/>
      </w:r>
      <w:r w:rsidR="00CA6345">
        <w:instrText xml:space="preserve"> ADDIN ZOTERO_ITEM CSL_CITATION {"citationID":"WDoJu4RY","properties":{"formattedCitation":"\\super 43,48\\uc0\\u8211{}50\\nosupersub{}","plainCitation":"43,48–50","noteIndex":0},"citationItems":[{"id":66444,"uris":["http://zotero.org/groups/4797619/items/44JAGUPG"],"itemData":{"id":66444,"type":"article-journal","container-title":"New England Journal of Medicine","DOI":"10.1056/NEJMoa2028485","ISSN":"0028-4793","issue":"16","note":"publisher: Massachusetts Medical Society\n_eprint: https://doi.org/10.1056/NEJMoa2028485\nPMID: 33882206","page":"1529-1541","source":"Taylor and Francis+NEJM","title":"Sacituzumab Govitecan in Metastatic Triple-Negative Breast Cancer","volume":"384","author":[{"family":"Bardia","given":"Aditya"},{"family":"Hurvitz","given":"Sara A."},{"family":"Tolaney","given":"Sara M."},{"family":"Loirat","given":"Delphine"},{"family":"Punie","given":"Kevin"},{"family":"Oliveira","given":"Mafalda"},{"family":"Brufsky","given":"Adam"},{"family":"Sardesai","given":"Sagar D."},{"family":"Kalinsky","given":"Kevin"},{"family":"Zelnak","given":"Amelia B."},{"family":"Weaver","given":"Robert"},{"family":"Traina","given":"Tiffany"},{"family":"Dalenc","given":"Florence"},{"family":"Aftimos","given":"Philippe"},{"family":"Lynce","given":"Filipa"},{"family":"Diab","given":"Sami"},{"family":"Cortés","given":"Javier"},{"family":"O’Shaughnessy","given":"Joyce"},{"family":"Diéras","given":"Véronique"},{"family":"Ferrario","given":"Cristiano"},{"family":"Schmid","given":"Peter"},{"family":"Carey","given":"Lisa A."},{"family":"Gianni","given":"Luca"},{"family":"Piccart","given":"Martine J."},{"family":"Loibl","given":"Sibylle"},{"family":"Goldenberg","given":"David M."},{"family":"Hong","given":"Quan"},{"family":"Olivo","given":"Martin S."},{"family":"Itri","given":"Loretta M."},{"family":"Rugo","given":"Hope S."}],"issued":{"date-parts":[["2021",4,22]]}}},{"id":66149,"uris":["http://zotero.org/groups/4797619/items/8M7DF85G"],"itemData":{"id":66149,"type":"article-journal","abstract":"BACKGROUND: Based on data from two multicenter, phase III clinical trials (Studies 301 and 305), eribulin (a microtubule dynamics inhibitor) is indicated in the European Union (EU) for patients with locally advanced or metastatic breast cancer (MBC) after ≥1 prior chemotherapy for advanced disease, including an anthracycline and a taxane in either the adjuvant or metastatic setting. Data from Studies 305 and 301 were pooled to investigate the efficacy of eribulin in various subgroups of patients who matched the EU label, including those with human epidermal growth factor receptor 2 (HER2)-negative and triple-negative disease.\nPATIENTS AND METHODS: In Study 305 (NCT00388726), patients were randomized 2:1 to eribulin mesylate 1.4 mg/m(2) (equivalent to eribulin 1.23 mg/m(2) [expressed as free base]) intravenously on days 1 and 8 every 21 days] or treatment of physician's choice after 2-5 prior chemotherapies (≥2 for advanced disease), including an anthracycline and a taxane (in early/advanced setting). In Study 301 (NCT00337103), patients were randomized 1:1 to eribulin (as above) or capecitabine (1.25 g/m(2) orally twice daily on days 1-14 every 21 days) following ≤3 prior chemotherapies (≤2 for advanced disease), including an anthracycline and a taxane. Efficacy end points were investigated in the intent-to-treat population and subgroups, pooled as discussed above.\nRESULTS: Overall, 1644 patients were included (eribulin: 946; control: 698); baseline characteristics were well matched. Overall survival was significantly longer with eribulin versus control (P &lt; 0.01), as were progression-free survival and clinical benefit rate (both P &lt; 0.05). Significant survival benefits with eribulin versus control were observed in a wide range of patient subgroups, including HER2-negative or triple-negative disease (all P &lt; 0.05).\nCONCLUSION: Our findings underline the survival benefit achieved by eribulin used according to EU label in the overall MBC population and in various subgroups of interest, including patients with HER2-negative and triple-negative disease.","container-title":"Annals of Oncology: Official Journal of the European Society for Medical Oncology","DOI":"10.1093/annonc/mdw203","ISSN":"1569-8041","issue":"8","journalAbbreviation":"Ann Oncol","language":"eng","note":"PMID: 27177860\nPMCID: PMC4959925","page":"1525-1531","source":"PubMed","title":"Pooled analyses of eribulin in metastatic breast cancer patients with at least one prior chemotherapy","volume":"27","author":[{"family":"Pivot","given":"X."},{"family":"Marmé","given":"F."},{"family":"Koenigsberg","given":"R."},{"family":"Guo","given":"M."},{"family":"Berrak","given":"E."},{"family":"Wolfer","given":"A."}],"issued":{"date-parts":[["2016",8]]}}},{"id":66759,"uris":["http://zotero.org/groups/4797619/items/WRYWKH52"],"itemData":{"id":66759,"type":"article-journal","abstract":"The METRIC study (NCT#0199733) explored a novel antibody–drug conjugate, glembatumumab vedotin (GV), targeting gpNMB that is overexpressed in ~40% of patients with triple-negative breast cancer (TNBC) and associated with poor prognosis. The study was a randomized, open-label, phase 2b study that evaluated progression-free survival (PFS) of GV compared with capecitabine in gpNMB-overexpressing TNBC. Patients who had previously received anthracycline and taxane-based therapy were randomized 2:1 to receive, GV (1.88 mg/kg IV q21 days) or capecitabine (2500 mg/m2 PO daily d1–14 q21 days). The primary endpoint was RECIST 1.1 PFS per independent, blinded central review. In all, 327 patients were randomized to GV (213 treated) or capecitabine (92 treated). Median PFS was 2.9 months for GV vs. 2.8 months for capecitabine. The most common grade ≥3 toxicities for GV were neutropenia, rash, and leukopenia, and for capecitabine were fatigue, diarrhea, and palmar-plantar erythrodysesthesia. The study did not meet the primary endpoint of improved PFS over capecitabine or demonstrate a relative risk/benefit improvement over capecitabine.","container-title":"npj Breast Cancer","DOI":"10.1038/s41523-021-00244-6","ISSN":"2374-4677","issue":"1","language":"en","license":"2021 The Author(s)","note":"number: 1\npublisher: Nature Publishing Group","page":"1-10","source":"www.nature.com","title":"Glembatumumab vedotin for patients with metastatic, gpNMB overexpressing, triple-negative breast cancer (“METRIC”): a randomized multicenter study","title-short":"Glembatumumab vedotin for patients with metastatic, gpNMB overexpressing, triple-negative breast cancer (“METRIC”)","volume":"7","author":[{"family":"Vahdat","given":"Linda T."},{"family":"Schmid","given":"Peter"},{"family":"Forero-Torres","given":"Andres"},{"family":"Blackwell","given":"Kimberly"},{"family":"Telli","given":"Melinda L."},{"family":"Melisko","given":"Michelle"},{"family":"Möbus","given":"Volker"},{"family":"Cortes","given":"Javier"},{"family":"Montero","given":"Alberto J."},{"family":"Ma","given":"Cynthia"},{"family":"Nanda","given":"Rita"},{"family":"Wright","given":"Gail S."},{"family":"He","given":"Yi"},{"family":"Hawthorne","given":"Thomas"},{"family":"Bagley","given":"Rebecca G."},{"family":"Halim","given":"Abdel-Baset"},{"family":"Turner","given":"Christopher D."},{"family":"Yardley","given":"Denise A."}],"issued":{"date-parts":[["2021",5,20]]}}},{"id":66764,"uris":["http://zotero.org/groups/4797619/items/YX8NEWUE"],"itemData":{"id":66764,"type":"article-journal","container-title":"The Lancet Oncology","DOI":"10.1016/S1470-2045(20)30754-3","ISSN":"1470-2045, 1474-5488","issue":"4","journalAbbreviation":"The Lancet Oncology","language":"English","note":"publisher: Elsevier\nPMID: 33676601","page":"499-511","source":"www.thelancet.com","title":"Pembrolizumab versus investigator-choice chemotherapy for metastatic triple-negative breast cancer (KEYNOTE-119): a randomised, open-label, phase 3 trial","title-short":"Pembrolizumab versus investigator-choice chemotherapy for metastatic triple-negative breast cancer (KEYNOTE-119)","volume":"22","author":[{"family":"Winer","given":"Eric P."},{"family":"Lipatov","given":"Oleg"},{"family":"Im","given":"Seock-Ah"},{"family":"Goncalves","given":"Anthony"},{"family":"Muñoz-Couselo","given":"Eva"},{"family":"Lee","given":"Keun Seok"},{"family":"Schmid","given":"Peter"},{"family":"Tamura","given":"Kenji"},{"family":"Testa","given":"Laura"},{"family":"Witzel","given":"Isabell"},{"family":"Ohtani","given":"Shoichiro"},{"family":"Turner","given":"Nicholas"},{"family":"Zambelli","given":"Stefania"},{"family":"Harbeck","given":"Nadia"},{"family":"Andre","given":"Fabrice"},{"family":"Dent","given":"Rebecca"},{"family":"Zhou","given":"Xuan"},{"family":"Karantza","given":"Vassiliki"},{"family":"Mejia","given":"Jaime"},{"family":"Cortes","given":"Javier"}],"issued":{"date-parts":[["2021",4,1]]}}}],"schema":"https://github.com/citation-style-language/schema/raw/master/csl-citation.json"} </w:instrText>
      </w:r>
      <w:r w:rsidR="00BA55FB">
        <w:fldChar w:fldCharType="separate"/>
      </w:r>
      <w:r w:rsidR="00FD57F4" w:rsidRPr="00FD57F4">
        <w:rPr>
          <w:rFonts w:cs="Arial"/>
          <w:szCs w:val="24"/>
          <w:vertAlign w:val="superscript"/>
        </w:rPr>
        <w:t>43,48–50</w:t>
      </w:r>
      <w:r w:rsidR="00BA55FB">
        <w:fldChar w:fldCharType="end"/>
      </w:r>
      <w:r w:rsidR="009973F1" w:rsidRPr="002646F6">
        <w:t xml:space="preserve"> </w:t>
      </w:r>
      <w:r w:rsidR="009973F1">
        <w:t xml:space="preserve">In studies of </w:t>
      </w:r>
      <w:r w:rsidR="00040FAA">
        <w:t xml:space="preserve">patients with </w:t>
      </w:r>
      <w:r w:rsidR="009973F1">
        <w:t xml:space="preserve">HER2-negative u/mBC </w:t>
      </w:r>
      <w:r w:rsidR="00BF692C">
        <w:t>(</w:t>
      </w:r>
      <w:r w:rsidR="005D0352">
        <w:t xml:space="preserve">unspecified </w:t>
      </w:r>
      <w:r w:rsidR="00BF692C">
        <w:t>HR</w:t>
      </w:r>
      <w:r w:rsidR="0080120E">
        <w:t>-</w:t>
      </w:r>
      <w:r w:rsidR="00BF692C">
        <w:t xml:space="preserve">status), non-targeted chemotherapy is </w:t>
      </w:r>
      <w:r w:rsidR="00E84F01">
        <w:t xml:space="preserve">associated with a median PFS of </w:t>
      </w:r>
      <w:r w:rsidR="007E3003">
        <w:t>2</w:t>
      </w:r>
      <w:r w:rsidR="00BF692C">
        <w:t>.</w:t>
      </w:r>
      <w:r w:rsidR="007E3003">
        <w:t>0</w:t>
      </w:r>
      <w:r w:rsidR="00BF692C">
        <w:t>–</w:t>
      </w:r>
      <w:r w:rsidR="00C22FFE">
        <w:t xml:space="preserve">6.6 months and median OS </w:t>
      </w:r>
      <w:r w:rsidR="00E84F01">
        <w:t xml:space="preserve">of </w:t>
      </w:r>
      <w:r w:rsidR="00C22FFE">
        <w:t>7.4–2</w:t>
      </w:r>
      <w:r w:rsidR="00BE5127">
        <w:t>0</w:t>
      </w:r>
      <w:r w:rsidR="00C22FFE">
        <w:t>.</w:t>
      </w:r>
      <w:r w:rsidR="00CB19C2">
        <w:t>7</w:t>
      </w:r>
      <w:r w:rsidR="00C22FFE">
        <w:t xml:space="preserve"> months</w:t>
      </w:r>
      <w:r w:rsidR="00C22FFE" w:rsidRPr="009C5835">
        <w:t>.</w:t>
      </w:r>
      <w:r w:rsidR="007C192E">
        <w:fldChar w:fldCharType="begin"/>
      </w:r>
      <w:r w:rsidR="00CA6345">
        <w:instrText xml:space="preserve"> ADDIN ZOTERO_ITEM CSL_CITATION {"citationID":"h2GdHGuy","properties":{"formattedCitation":"\\super 47,51\\uc0\\u8211{}55\\nosupersub{}","plainCitation":"47,51–55","noteIndex":0},"citationItems":[{"id":66278,"uris":["http://zotero.org/groups/4797619/items/L9C8M9U3"],"itemData":{"id":66278,"type":"article-journal","abstract":"BACKGROUND: Use of antiangiogenic agents in treatment of metastatic breast cancer (MBC) remains controversial. We evaluated the efficacy and safety of ramucirumab and eribulin versus eribulin alone as third- to fifth-line therapy in women with advanced breast cancer.\nPATIENTS AND METHODS: In this randomized (1:1), open-label, phase II study, US women aged 18 years or older with 2 to 4 previous chemotherapy regimens for locally recurrent or MBC, previous anthracycline and taxane treatment, and Eastern Cooperative Oncology Group performance status of 0 or 1 received ramucirumab with eribulin or eribulin alone in 21-day cycles (eribulin 1.4 mg/m2 intravenously on days 1 and 8; ramucirumab 10 mg/kg intravenously on day 1). Randomization was stratified according to previous antiangiogenic therapy and triple-negative status. The primary end point was progression-free survival (PFS) in the intention to treat population.\nRESULTS: One hundred forty-one women were randomized to ramucirumab with eribulin (n = 71) or eribulin alone (n = 70). Median PFS for ramucirumab with eribulin was 4.4 months (95% confidence interval [CI], 3.1-6.7) compared with 4.1 months (95% CI, 3.2-5.6) for eribulin (hazard ratio [HR], 0.83; 95% CI, 0.56-1.23; P = .35). Median overall survival in patients who received ramucirumab with eribulin was 13.5 months (95% CI, 10.4-17.9) compared with 11.5 months (95% CI, 9.0-17.3) in patients who received eribulin alone (HR, 0.91; 95% CI, 0.59-1.41; P = .68); objective response rate was 21% (13 of 62 patients) for the combination and 28% (17 of 60 patients) for eribulin alone. No unexpected toxicity was identified for the combination.\nCONCLUSION: Ramucirumab combined with eribulin did not significantly improve PFS in advanced MBC.","container-title":"Clinical Breast Cancer","DOI":"10.1016/j.clbc.2016.07.005","ISSN":"1938-0666","issue":"6","journalAbbreviation":"Clin Breast Cancer","language":"eng","note":"PMID: 27569274","page":"471-479.e1","source":"PubMed","title":"Ramucirumab With Eribulin Versus Eribulin in Locally Recurrent or Metastatic Breast Cancer Previously Treated With Anthracycline and Taxane Therapy: A Multicenter, Randomized, Phase II Study","title-short":"Ramucirumab With Eribulin Versus Eribulin in Locally Recurrent or Metastatic Breast Cancer Previously Treated With Anthracycline and Taxane Therapy","volume":"16","author":[{"family":"Yardley","given":"Denise A."},{"family":"Reeves","given":"James"},{"family":"Dees","given":"E. Claire"},{"family":"Osborne","given":"Cynthia"},{"family":"Paul","given":"Devchand"},{"family":"Ademuyiwa","given":"Foluso"},{"family":"Soliman","given":"Hatem"},{"family":"Guthrie","given":"Troy"},{"family":"Andersen","given":"Jay"},{"family":"Krekow","given":"Lea"},{"family":"Choksi","given":"Janak"},{"family":"Daniel","given":"Brooke"},{"family":"Danso","given":"Michael"},{"family":"Favret","given":"Anne"},{"family":"Oommen","given":"Sanjay"},{"family":"Brufsky","given":"Adam"},{"family":"Bromund","given":"Jane L."},{"family":"Lin","given":"Yong"},{"family":"Ibrahim","given":"Ayman B."},{"family":"Richards","given":"Paul D."}],"issued":{"date-parts":[["2016",12]]}}},{"id":66146,"uris":["http://zotero.org/groups/4797619/items/CXIIHEH4"],"itemData":{"id":66146,"type":"article-journal","abstract":"PURPOSE: Improving the outcome of patients with HER2-negative metastatic breast cancer experiencing tumour progression following first-line chemotherapy remains an urgent medical need. The purpose of the VicTORia trial was to show superiority of everolimus in combination with vinorelbine versus vinorelbine monotherapy as second-line chemotherapy for patients with advanced HER2 negative breast cancer.\nMETHODS: In this randomised phase II trial, 133 patients were recruited in 32 centres in Germany. Patients were randomised 1:1 to second-line chemotherapy either with vinorelbine plus everolimus (arm1) or vinorelbine alone (arm2). Primary endpoint was progression-free survival (PFS). Secondary endpoints were PFS rate at 6 months, overall survival (OS), overall response rate (ORR) and safety. Baseline PI3 K mutational status was determined in plasma samples.\nRESULTS: Median progression-free survival was not different between arms (arm1 vs. arm2: 4.01 months, 95% CI 2.40-6.09 vs. 4.08, 95% CI 2.80-5.33). PFS rate at 6 months (arm1 vs. arm2: 39.4%, 95% CI 27.6-50.9% vs. 36.6%, 95% CI 24.6-48.6%), median OS (arm1 vs. arm2: 16.3 months, 95% CI 11.4-19.0 vs. 13.8 months, 95% CI 10.2-19.1) and ORR were not different between arms. Most frequent grade 3/4 adverse events were neutropenia (50% vs. 40%), gastrointestinal toxicities (19.1% vs. 6.1%), and infections (19.1% vs. 7.7%). PI3 K mutational status was neither associated with PFS nor with OS.\nCONCLUSION: Although well tolerated, the efficacy of everolimus and vinorelbine combination therapy was not superior to vinorelbine monotherapy. There was no correlation between PI3 K mutational status and efficacy. EudracCT No 2011-001024-38, ClinicalTrials.gov No NCT01520103.","container-title":"Breast Cancer Research and Treatment","DOI":"10.1007/s10549-019-05280-2","ISSN":"1573-7217","issue":"3","journalAbbreviation":"Breast Cancer Res Treat","language":"eng","note":"PMID: 31115844","page":"637-647","source":"PubMed","title":"VicTORia: a randomised phase II study to compare vinorelbine in combination with the mTOR inhibitor everolimus versus vinorelbine monotherapy for second-line chemotherapy in advanced HER2-negative breast cancer","title-short":"VicTORia","volume":"176","author":[{"family":"Decker","given":"Thomas"},{"family":"Marschner","given":"Norbert"},{"family":"Muendlein","given":"Axel"},{"family":"Welt","given":"Anja"},{"family":"Hagen","given":"Volker"},{"family":"Rauh","given":"Jaqueline"},{"family":"Schröder","given":"Helge"},{"family":"Jaehnig","given":"Peter"},{"family":"Potthoff","given":"Karin"},{"family":"Lerchenmüller","given":"Christian"}],"issued":{"date-parts":[["2019",8]]}}},{"id":66766,"uris":["http://zotero.org/groups/4797619/items/9JHDBM4N"],"itemData":{"id":66766,"type":"article-journal","abstract":"Background: Previously, we showed that reintroduction of the same (first-line) chemotherapy at progression could only partially make up for the loss in efficacy as compared to continuously delivered first-line chemotherapy. Here, we report the probability of starting second-line study chemotherapy in the Stop&amp;Go trial, and the progression-free survival (PFS) and overall survival (OS) of patients who received both the first- and second-line treatment in an intermittent versus continuous schedule.Methods: First-line chemotherapy comprised paclitaxel plus bevacizumab, second-line capecitabine or non-pegylated liposomal doxorubicin, given per treatment line as two times four cycles (intermittent) or as eight consecutive cycles (continuous).Results: Of the 420 patients who started first-line treatment within the Stop&amp;Go trial (210:210), a total of 270 patients continued on second-line study treatment (64% of all), which consisted of capecitabine in 201 patients and of non-pegylated liposomal doxorubicin in 69 patients, evenly distributed between the treatment arms. Median PFS was 3.7 versus 5.0 months (HR 1.07; 95% CI: 0.82–1.38) and median OS 10.9 versus 12.4 months (HR 1.27; 95% CI: 0.98–1.66) for intermittent versus continuous second-line chemotherapy. Second-line PFS was positively influenced by prior hormonal therapy for metastatic disease and longer first-line PFS duration, while triple-negative tumor status had a negative influence. Patients with a shorter time to progression (TTP) in first-line (≤10 months) had a higher probability of starting second-line treatment if they received intermittent compared to continuous chemotherapy (OR 1.97; 95% CI: 1.02–3.80).Conclusion: We recommend continuous scheduling of both the first- and second-line chemotherapy for advanced breast cancer.","container-title":"Acta Oncologica","DOI":"10.1080/0284186X.2020.1731923","ISSN":"0284-186X","issue":"6","note":"publisher: Taylor &amp; Francis\n_eprint: https://doi.org/10.1080/0284186X.2020.1731923\nPMID: 32141389","page":"713-722","source":"Taylor and Francis+NEJM","title":"Secondary analyses of the randomized phase III Stop&amp;Go study: efficacy of second-line intermittent versus continuous chemotherapy in HER2-negative advanced breast cancer","title-short":"Secondary analyses of the randomized phase III Stop&amp;Go study","volume":"59","author":[{"family":"Claessens","given":"Anouk K. M."},{"family":"Erdkamp","given":"Frans L. G."},{"family":"Lopez-Yurda","given":"Marta"},{"family":"Bouma","given":"Jeanette M."},{"family":"Rademaker-Lakhai","given":"Jeany M."},{"family":"Honkoop","given":"Aafke H."},{"family":"Graaf","given":"Hiltje","non-dropping-particle":"de"},{"family":"Tjan-Heijnen","given":"Vivianne C. G."},{"family":"Bos","given":"Monique E. M. M."}],"issued":{"date-parts":[["2020",6,2]]}}},{"id":66756,"uris":["http://zotero.org/groups/4797619/items/97GZ44K7"],"itemData":{"id":66756,"type":"article-journal","abstract":"PURPOSE: This phase III study compared the efficacy and safety of bevacizumab combined with standard chemotherapy regimens versus chemotherapy alone as second-line treatment of patients with human epidermal growth factor receptor 2 (HER2) -negative metastatic breast cancer.\nPATIENTS AND METHODS: Patients were randomly assigned 2:1 to chemotherapy + bevacizumab or to chemotherapy + placebo. Before random assignment, investigators chose capecitabine, a taxane (paclitaxel, nab-paclitaxel, or docetaxel), gemcitabine, or vinorelbine. Dosing for bevacizumab or placebo was 15 mg/kg every 3 weeks or 10 mg/kg every 2 weeks, depending on chemotherapy regimen. The primary end point was progression-free survival (PFS). Secondary end points included overall survival, PFS by chemotherapy cohort, objective response rate (ORR), duration of objective response, 1-year survival rate, and safety.\nRESULTS: RIBBON-2 enrolled 684 patients (225, chemotherapy + placebo; 459, chemotherapy + bevacizumab). The combination of bevacizumab with chemotherapy demonstrated a statistically significant benefit. Median PFS increased from 5.1 to 7.2 months (stratified hazard ratio for PFS, 0.78; 95% CI, 0.64 to 0.93; P = .0072). The 10% improvement in ORR between the placebo- and bevacizumab-containing arms (39.5% v 29.6%; P = .0193), although not statistically significant, was consistent with previous trials. There was no statistically significant difference in overall survival. The most common grade ≥ 3 adverse events (AEs) related to bevacizumab treatment were hypertension (9.0%) and proteinuria (3.1%). There was an increased number of AEs leading to study discontinuation in the chemotherapy + bevacizumab arm compared with the chemotherapy + placebo arm (13.3% v 7.2%).\nCONCLUSION: The combination of bevacizumab with commonly used chemotherapies improved PFS in the second-line treatment of patients with HER2-negative metastatic breast cancer, with a safety profile comparable with that in prior phase III studies.","container-title":"Journal of Clinical Oncology: Official Journal of the American Society of Clinical Oncology","DOI":"10.1200/JCO.2010.34.1255","ISSN":"1527-7755","issue":"32","journalAbbreviation":"J Clin Oncol","language":"eng","note":"PMID: 21990397","page":"4286-4293","source":"PubMed","title":"RIBBON-2: a randomized, double-blind, placebo-controlled, phase III trial evaluating the efficacy and safety of bevacizumab in combination with chemotherapy for second-line treatment of human epidermal growth factor receptor 2-negative metastatic breast cancer","title-short":"RIBBON-2","volume":"29","author":[{"family":"Brufsky","given":"Adam M."},{"family":"Hurvitz","given":"Sara"},{"family":"Perez","given":"Edith"},{"family":"Swamy","given":"Raji"},{"family":"Valero","given":"Vicente"},{"family":"O'Neill","given":"Vincent"},{"family":"Rugo","given":"Hope S."}],"issued":{"date-parts":[["2011",11,10]]}}},{"id":66777,"uris":["http://zotero.org/groups/4797619/items/VJ3GUGK2"],"itemData":{"id":66777,"type":"article-journal","abstract":"Background\nWe conducted an open-label, randomized, two-arm multi-center study to assess the efficacy and safety of paclitaxel versus paclitaxel + sorafenib in patients with locally advanced or metastatic HER2-negative breast cancer.\n\nMethods\nPatients were randomly assigned to receive either paclitaxel monotherapy (80 mg/m2) weekly (3 weeks on, 1 week off) plus sorafenib 400 mg orally, twice a day taken continuously throughout 28 day cycles. Sorafenib dose was gradually escalated from a starting dose of 200 mg twice a day. The primary endpoint was progression free survival (PFS).\n\nResults\nA pre-planned efficacy interim analysis was performed on the data of 60 patients, 30 patients in each treatment arm. Median PFS was estimated at 6.6 months (95% CI: 5.1 to 9.0) in patients randomized to single-agent paclitaxel (Arm A) and 5.6 months (95% CI: 3.8 to 6.5) in patients randomized to paclitaxel-sorafenib combination (Arm B) therapy. Contrary to the hypothesis, the treatment effect was statistically significant in favor of paclitaxel monotherapy (hazard ratio 1.80, 95% CI: 1.02 to 3.20; log-rank test P = 0.0409). It was decided to stop the trial early for futility. Median OS was also in favor of Arm A (20.7 months (95% CI: 16.4 to 26.7) versus 12.1 months (95% CI: 5.8 to 20.4) in Arm B. Clinical control was achieved in 28 patients (93.3%) in Arm A and in 21 patients 70.0% in Arm B. Overall response rate was met in 43.3% of patients in Arm A and in 40.0% in Arm B. Toxicities were increased in Arm B with higher rates of diarrhea, nausea, neutropenia, hand-foot skin reaction (HFSR) and anorexia, Grad 3 and 4 toxicities were rare.\n\nConclusions\nIn this pre-planned interim analysis, paclitaxel-sorafenib combination therapy was not found to be superior to paclitaxel monotherapy with regard to the primary end point, progression-free survival. The trial was therefore discontinued early. There was no indication of more favorable outcomes for combination therapy in secondary efficacy end points. As expected, the safety and toxicity profile of the combination therapy was less favorable compared to monotherapy. Overall, this trial did not demonstrate that adding sorafenib to second- or third-line paclitaxel provides any clinical benefit to patients with HER2-negative advanced or metastatic breast cancer. Cautious dosing using a sorafenib ramp up schedule might have contributed to negative results.\n\nTrial registration\nThe study was registered at EudraCT (No 2009–018025-73) and retrospectively registered at Clinical trials.gov on March 17, 2011 (NCT01320111).","container-title":"BMC Cancer","DOI":"10.1186/s12885-017-3492-1","ISSN":"1471-2407","journalAbbreviation":"BMC Cancer","note":"PMID: 28743247\nPMCID: PMC5526236","page":"499","source":"PubMed Central","title":"A randomized phase II study of paclitaxel alone versus paclitaxel plus sorafenib in second- and third-line treatment of patients with HER2-negative metastatic breast cancer (PASO)","volume":"17","author":[{"family":"Decker","given":"Thomas"},{"family":"Overkamp","given":"Friedrich"},{"family":"Rösel","given":"Siegfried"},{"family":"Nusch","given":"Arnd"},{"family":"Göhler","given":"Thomas"},{"family":"Indorf","given":"Martin"},{"family":"Sahlmann","given":"Jörg"},{"family":"Trarbach","given":"Tanja"}],"issued":{"date-parts":[["2017",7,25]]}}},{"id":66774,"uris":["http://zotero.org/groups/4797619/items/2HU3NYWK"],"itemData":{"id":66774,"type":"article-journal","abstract":"Purpose\n\nGlycoprotein NMB (gpNMB), a negative prognostic marker, is overexpressed in multiple tumor types. Glembatumumab vedotin is a gpNMB-specific monoclonal antibody conjugated to the potent cytotoxin monomethyl auristatin E. This phase II study investigated the activity of glembatumumab vedotin in advanced breast cancer by gpNMB expression.\n\nPatients and Methods\n\nPatients (n = 124) with refractory breast cancer that expressed gpNMB in ≥ 5% of epithelial or stromal cells by central immunohistochemistry were stratified by gpNMB expression (tumor, low stromal intensity, high stromal intensity) and were randomly assigned 2:1 to glembatumumab vedotin (n = 83) or investigator's choice (IC) chemotherapy (n = 41). The study was powered to detect overall objective response rate (ORR) in the glembatumumab vedotin arm between 10% (null) and 22.5% (alternative hypothesis) with preplanned investigation of activity by gpNMB distribution and/or intensity (Stratum 1 to Stratum 3).\n\nResults\n\nGlembatumumab vedotin was well tolerated as compared with IC chemotherapy (less hematologic toxicity; more rash, pruritus, neuropathy, and alopecia). ORR was 6% (five of 83) for glembatumumab vedotin versus 7% (three of 41) for IC, without significant intertreatment differences for predefined strata. Secondary end point revealed ORR of 12% (10 of 83) versus 12% (five of 41) overall, and 30% (seven of 23) versus 9% (one of 11) for gpNMB overexpression (≥ 25% of tumor cells). Unplanned analysis showed ORR of 18% (five of 28) versus 0% (0 of 11) in patients with triple-negative breast cancer (TNBC), and 40% (four of 10) versus 0% (zero of six) in gpNMB-overexpressing TNBC.\n\nConclusion\n\nGlembatumumab vedotin is well tolerated in heavily pretreated patients with breast cancer. Although the primary end point in advanced gpNMB-expressing breast cancer was not met for all enrolled patients (median tumor gpNMB expression, 5%), activity may be enhanced in patients with gpNMB-overexpressing tumors and/or TNBC. A pivotal phase II trial (METRIC [Metastatic Triple-Negative Breast Cancer]) is underway.","container-title":"Journal of Clinical Oncology","DOI":"10.1200/JCO.2014.56.2959","ISSN":"0732-183X","issue":"14","journalAbbreviation":"JCO","note":"publisher: Wolters Kluwer","page":"1609-1619","source":"ascopubs.org (Atypon)","title":"EMERGE: A Randomized Phase II Study of the Antibody-Drug Conjugate Glembatumumab Vedotin in Advanced Glycoprotein NMB–Expressing Breast Cancer","title-short":"EMERGE","volume":"33","author":[{"family":"Yardley","given":"Denise A."},{"family":"Weaver","given":"Robert"},{"family":"Melisko","given":"Michelle E."},{"family":"Saleh","given":"Mansoor N."},{"family":"Arena","given":"Francis P."},{"family":"Forero","given":"Andres"},{"family":"Cigler","given":"Tessa"},{"family":"Stopeck","given":"Alison"},{"family":"Citrin","given":"Dennis"},{"family":"Oliff","given":"Ira"},{"family":"Bechhold","given":"Rebecca"},{"family":"Loutfi","given":"Randa"},{"family":"Garcia","given":"Agustin A."},{"family":"Cruickshank","given":"Scott"},{"family":"Crowley","given":"Elizabeth"},{"family":"Green","given":"Jennifer"},{"family":"Hawthorne","given":"Thomas"},{"family":"Yellin","given":"Michael J."},{"family":"Davis","given":"Thomas A."},{"family":"Vahdat","given":"Linda T."}],"issued":{"date-parts":[["2015",5,10]]}}}],"schema":"https://github.com/citation-style-language/schema/raw/master/csl-citation.json"} </w:instrText>
      </w:r>
      <w:r w:rsidR="007C192E">
        <w:fldChar w:fldCharType="separate"/>
      </w:r>
      <w:r w:rsidR="00FD57F4" w:rsidRPr="00FD57F4">
        <w:rPr>
          <w:rFonts w:cs="Arial"/>
          <w:szCs w:val="24"/>
          <w:vertAlign w:val="superscript"/>
        </w:rPr>
        <w:t>47,51–55</w:t>
      </w:r>
      <w:r w:rsidR="007C192E">
        <w:fldChar w:fldCharType="end"/>
      </w:r>
      <w:r w:rsidR="00363DCE">
        <w:t xml:space="preserve"> </w:t>
      </w:r>
      <w:r w:rsidR="00363DCE">
        <w:rPr>
          <w:rStyle w:val="ui-provider"/>
        </w:rPr>
        <w:t>Across all studies of patients with HER2-negative u/mBC (i.e., any HR-status: HR-negative, HR-positive, or HR-status unspecified), non-targeted chemotherapy is associated with a median PFS of 1.7–6.6 months and median OS of 6.7–20.7 months.</w:t>
      </w:r>
      <w:r w:rsidR="00173DBD">
        <w:fldChar w:fldCharType="begin"/>
      </w:r>
      <w:r w:rsidR="00CA6345">
        <w:instrText xml:space="preserve"> ADDIN ZOTERO_ITEM CSL_CITATION {"citationID":"F1oKWFhk","properties":{"formattedCitation":"\\super 43\\uc0\\u8211{}55\\nosupersub{}","plainCitation":"43–55","noteIndex":0},"citationItems":[{"id":66278,"uris":["http://zotero.org/groups/4797619/items/L9C8M9U3"],"itemData":{"id":66278,"type":"article-journal","abstract":"BACKGROUND: Use of antiangiogenic agents in treatment of metastatic breast cancer (MBC) remains controversial. We evaluated the efficacy and safety of ramucirumab and eribulin versus eribulin alone as third- to fifth-line therapy in women with advanced breast cancer.\nPATIENTS AND METHODS: In this randomized (1:1), open-label, phase II study, US women aged 18 years or older with 2 to 4 previous chemotherapy regimens for locally recurrent or MBC, previous anthracycline and taxane treatment, and Eastern Cooperative Oncology Group performance status of 0 or 1 received ramucirumab with eribulin or eribulin alone in 21-day cycles (eribulin 1.4 mg/m2 intravenously on days 1 and 8; ramucirumab 10 mg/kg intravenously on day 1). Randomization was stratified according to previous antiangiogenic therapy and triple-negative status. The primary end point was progression-free survival (PFS) in the intention to treat population.\nRESULTS: One hundred forty-one women were randomized to ramucirumab with eribulin (n = 71) or eribulin alone (n = 70). Median PFS for ramucirumab with eribulin was 4.4 months (95% confidence interval [CI], 3.1-6.7) compared with 4.1 months (95% CI, 3.2-5.6) for eribulin (hazard ratio [HR], 0.83; 95% CI, 0.56-1.23; P = .35). Median overall survival in patients who received ramucirumab with eribulin was 13.5 months (95% CI, 10.4-17.9) compared with 11.5 months (95% CI, 9.0-17.3) in patients who received eribulin alone (HR, 0.91; 95% CI, 0.59-1.41; P = .68); objective response rate was 21% (13 of 62 patients) for the combination and 28% (17 of 60 patients) for eribulin alone. No unexpected toxicity was identified for the combination.\nCONCLUSION: Ramucirumab combined with eribulin did not significantly improve PFS in advanced MBC.","container-title":"Clinical Breast Cancer","DOI":"10.1016/j.clbc.2016.07.005","ISSN":"1938-0666","issue":"6","journalAbbreviation":"Clin Breast Cancer","language":"eng","note":"PMID: 27569274","page":"471-479.e1","source":"PubMed","title":"Ramucirumab With Eribulin Versus Eribulin in Locally Recurrent or Metastatic Breast Cancer Previously Treated With Anthracycline and Taxane Therapy: A Multicenter, Randomized, Phase II Study","title-short":"Ramucirumab With Eribulin Versus Eribulin in Locally Recurrent or Metastatic Breast Cancer Previously Treated With Anthracycline and Taxane Therapy","volume":"16","author":[{"family":"Yardley","given":"Denise A."},{"family":"Reeves","given":"James"},{"family":"Dees","given":"E. Claire"},{"family":"Osborne","given":"Cynthia"},{"family":"Paul","given":"Devchand"},{"family":"Ademuyiwa","given":"Foluso"},{"family":"Soliman","given":"Hatem"},{"family":"Guthrie","given":"Troy"},{"family":"Andersen","given":"Jay"},{"family":"Krekow","given":"Lea"},{"family":"Choksi","given":"Janak"},{"family":"Daniel","given":"Brooke"},{"family":"Danso","given":"Michael"},{"family":"Favret","given":"Anne"},{"family":"Oommen","given":"Sanjay"},{"family":"Brufsky","given":"Adam"},{"family":"Bromund","given":"Jane L."},{"family":"Lin","given":"Yong"},{"family":"Ibrahim","given":"Ayman B."},{"family":"Richards","given":"Paul D."}],"issued":{"date-parts":[["2016",12]]}}},{"id":66146,"uris":["http://zotero.org/groups/4797619/items/CXIIHEH4"],"itemData":{"id":66146,"type":"article-journal","abstract":"PURPOSE: Improving the outcome of patients with HER2-negative metastatic breast cancer experiencing tumour progression following first-line chemotherapy remains an urgent medical need. The purpose of the VicTORia trial was to show superiority of everolimus in combination with vinorelbine versus vinorelbine monotherapy as second-line chemotherapy for patients with advanced HER2 negative breast cancer.\nMETHODS: In this randomised phase II trial, 133 patients were recruited in 32 centres in Germany. Patients were randomised 1:1 to second-line chemotherapy either with vinorelbine plus everolimus (arm1) or vinorelbine alone (arm2). Primary endpoint was progression-free survival (PFS). Secondary endpoints were PFS rate at 6 months, overall survival (OS), overall response rate (ORR) and safety. Baseline PI3 K mutational status was determined in plasma samples.\nRESULTS: Median progression-free survival was not different between arms (arm1 vs. arm2: 4.01 months, 95% CI 2.40-6.09 vs. 4.08, 95% CI 2.80-5.33). PFS rate at 6 months (arm1 vs. arm2: 39.4%, 95% CI 27.6-50.9% vs. 36.6%, 95% CI 24.6-48.6%), median OS (arm1 vs. arm2: 16.3 months, 95% CI 11.4-19.0 vs. 13.8 months, 95% CI 10.2-19.1) and ORR were not different between arms. Most frequent grade 3/4 adverse events were neutropenia (50% vs. 40%), gastrointestinal toxicities (19.1% vs. 6.1%), and infections (19.1% vs. 7.7%). PI3 K mutational status was neither associated with PFS nor with OS.\nCONCLUSION: Although well tolerated, the efficacy of everolimus and vinorelbine combination therapy was not superior to vinorelbine monotherapy. There was no correlation between PI3 K mutational status and efficacy. EudracCT No 2011-001024-38, ClinicalTrials.gov No NCT01520103.","container-title":"Breast Cancer Research and Treatment","DOI":"10.1007/s10549-019-05280-2","ISSN":"1573-7217","issue":"3","journalAbbreviation":"Breast Cancer Res Treat","language":"eng","note":"PMID: 31115844","page":"637-647","source":"PubMed","title":"VicTORia: a randomised phase II study to compare vinorelbine in combination with the mTOR inhibitor everolimus versus vinorelbine monotherapy for second-line chemotherapy in advanced HER2-negative breast cancer","title-short":"VicTORia","volume":"176","author":[{"family":"Decker","given":"Thomas"},{"family":"Marschner","given":"Norbert"},{"family":"Muendlein","given":"Axel"},{"family":"Welt","given":"Anja"},{"family":"Hagen","given":"Volker"},{"family":"Rauh","given":"Jaqueline"},{"family":"Schröder","given":"Helge"},{"family":"Jaehnig","given":"Peter"},{"family":"Potthoff","given":"Karin"},{"family":"Lerchenmüller","given":"Christian"}],"issued":{"date-parts":[["2019",8]]}}},{"id":66766,"uris":["http://zotero.org/groups/4797619/items/9JHDBM4N"],"itemData":{"id":66766,"type":"article-journal","abstract":"Background: Previously, we showed that reintroduction of the same (first-line) chemotherapy at progression could only partially make up for the loss in efficacy as compared to continuously delivered first-line chemotherapy. Here, we report the probability of starting second-line study chemotherapy in the Stop&amp;Go trial, and the progression-free survival (PFS) and overall survival (OS) of patients who received both the first- and second-line treatment in an intermittent versus continuous schedule.Methods: First-line chemotherapy comprised paclitaxel plus bevacizumab, second-line capecitabine or non-pegylated liposomal doxorubicin, given per treatment line as two times four cycles (intermittent) or as eight consecutive cycles (continuous).Results: Of the 420 patients who started first-line treatment within the Stop&amp;Go trial (210:210), a total of 270 patients continued on second-line study treatment (64% of all), which consisted of capecitabine in 201 patients and of non-pegylated liposomal doxorubicin in 69 patients, evenly distributed between the treatment arms. Median PFS was 3.7 versus 5.0 months (HR 1.07; 95% CI: 0.82–1.38) and median OS 10.9 versus 12.4 months (HR 1.27; 95% CI: 0.98–1.66) for intermittent versus continuous second-line chemotherapy. Second-line PFS was positively influenced by prior hormonal therapy for metastatic disease and longer first-line PFS duration, while triple-negative tumor status had a negative influence. Patients with a shorter time to progression (TTP) in first-line (≤10 months) had a higher probability of starting second-line treatment if they received intermittent compared to continuous chemotherapy (OR 1.97; 95% CI: 1.02–3.80).Conclusion: We recommend continuous scheduling of both the first- and second-line chemotherapy for advanced breast cancer.","container-title":"Acta Oncologica","DOI":"10.1080/0284186X.2020.1731923","ISSN":"0284-186X","issue":"6","note":"publisher: Taylor &amp; Francis\n_eprint: https://doi.org/10.1080/0284186X.2020.1731923\nPMID: 32141389","page":"713-722","source":"Taylor and Francis+NEJM","title":"Secondary analyses of the randomized phase III Stop&amp;Go study: efficacy of second-line intermittent versus continuous chemotherapy in HER2-negative advanced breast cancer","title-short":"Secondary analyses of the randomized phase III Stop&amp;Go study","volume":"59","author":[{"family":"Claessens","given":"Anouk K. M."},{"family":"Erdkamp","given":"Frans L. G."},{"family":"Lopez-Yurda","given":"Marta"},{"family":"Bouma","given":"Jeanette M."},{"family":"Rademaker-Lakhai","given":"Jeany M."},{"family":"Honkoop","given":"Aafke H."},{"family":"Graaf","given":"Hiltje","non-dropping-particle":"de"},{"family":"Tjan-Heijnen","given":"Vivianne C. G."},{"family":"Bos","given":"Monique E. M. M."}],"issued":{"date-parts":[["2020",6,2]]}}},{"id":66756,"uris":["http://zotero.org/groups/4797619/items/97GZ44K7"],"itemData":{"id":66756,"type":"article-journal","abstract":"PURPOSE: This phase III study compared the efficacy and safety of bevacizumab combined with standard chemotherapy regimens versus chemotherapy alone as second-line treatment of patients with human epidermal growth factor receptor 2 (HER2) -negative metastatic breast cancer.\nPATIENTS AND METHODS: Patients were randomly assigned 2:1 to chemotherapy + bevacizumab or to chemotherapy + placebo. Before random assignment, investigators chose capecitabine, a taxane (paclitaxel, nab-paclitaxel, or docetaxel), gemcitabine, or vinorelbine. Dosing for bevacizumab or placebo was 15 mg/kg every 3 weeks or 10 mg/kg every 2 weeks, depending on chemotherapy regimen. The primary end point was progression-free survival (PFS). Secondary end points included overall survival, PFS by chemotherapy cohort, objective response rate (ORR), duration of objective response, 1-year survival rate, and safety.\nRESULTS: RIBBON-2 enrolled 684 patients (225, chemotherapy + placebo; 459, chemotherapy + bevacizumab). The combination of bevacizumab with chemotherapy demonstrated a statistically significant benefit. Median PFS increased from 5.1 to 7.2 months (stratified hazard ratio for PFS, 0.78; 95% CI, 0.64 to 0.93; P = .0072). The 10% improvement in ORR between the placebo- and bevacizumab-containing arms (39.5% v 29.6%; P = .0193), although not statistically significant, was consistent with previous trials. There was no statistically significant difference in overall survival. The most common grade ≥ 3 adverse events (AEs) related to bevacizumab treatment were hypertension (9.0%) and proteinuria (3.1%). There was an increased number of AEs leading to study discontinuation in the chemotherapy + bevacizumab arm compared with the chemotherapy + placebo arm (13.3% v 7.2%).\nCONCLUSION: The combination of bevacizumab with commonly used chemotherapies improved PFS in the second-line treatment of patients with HER2-negative metastatic breast cancer, with a safety profile comparable with that in prior phase III studies.","container-title":"Journal of Clinical Oncology: Official Journal of the American Society of Clinical Oncology","DOI":"10.1200/JCO.2010.34.1255","ISSN":"1527-7755","issue":"32","journalAbbreviation":"J Clin Oncol","language":"eng","note":"PMID: 21990397","page":"4286-4293","source":"PubMed","title":"RIBBON-2: a randomized, double-blind, placebo-controlled, phase III trial evaluating the efficacy and safety of bevacizumab in combination with chemotherapy for second-line treatment of human epidermal growth factor receptor 2-negative metastatic breast cancer","title-short":"RIBBON-2","volume":"29","author":[{"family":"Brufsky","given":"Adam M."},{"family":"Hurvitz","given":"Sara"},{"family":"Perez","given":"Edith"},{"family":"Swamy","given":"Raji"},{"family":"Valero","given":"Vicente"},{"family":"O'Neill","given":"Vincent"},{"family":"Rugo","given":"Hope S."}],"issued":{"date-parts":[["2011",11,10]]}}},{"id":66777,"uris":["http://zotero.org/groups/4797619/items/VJ3GUGK2"],"itemData":{"id":66777,"type":"article-journal","abstract":"Background\nWe conducted an open-label, randomized, two-arm multi-center study to assess the efficacy and safety of paclitaxel versus paclitaxel + sorafenib in patients with locally advanced or metastatic HER2-negative breast cancer.\n\nMethods\nPatients were randomly assigned to receive either paclitaxel monotherapy (80 mg/m2) weekly (3 weeks on, 1 week off) plus sorafenib 400 mg orally, twice a day taken continuously throughout 28 day cycles. Sorafenib dose was gradually escalated from a starting dose of 200 mg twice a day. The primary endpoint was progression free survival (PFS).\n\nResults\nA pre-planned efficacy interim analysis was performed on the data of 60 patients, 30 patients in each treatment arm. Median PFS was estimated at 6.6 months (95% CI: 5.1 to 9.0) in patients randomized to single-agent paclitaxel (Arm A) and 5.6 months (95% CI: 3.8 to 6.5) in patients randomized to paclitaxel-sorafenib combination (Arm B) therapy. Contrary to the hypothesis, the treatment effect was statistically significant in favor of paclitaxel monotherapy (hazard ratio 1.80, 95% CI: 1.02 to 3.20; log-rank test P = 0.0409). It was decided to stop the trial early for futility. Median OS was also in favor of Arm A (20.7 months (95% CI: 16.4 to 26.7) versus 12.1 months (95% CI: 5.8 to 20.4) in Arm B. Clinical control was achieved in 28 patients (93.3%) in Arm A and in 21 patients 70.0% in Arm B. Overall response rate was met in 43.3% of patients in Arm A and in 40.0% in Arm B. Toxicities were increased in Arm B with higher rates of diarrhea, nausea, neutropenia, hand-foot skin reaction (HFSR) and anorexia, Grad 3 and 4 toxicities were rare.\n\nConclusions\nIn this pre-planned interim analysis, paclitaxel-sorafenib combination therapy was not found to be superior to paclitaxel monotherapy with regard to the primary end point, progression-free survival. The trial was therefore discontinued early. There was no indication of more favorable outcomes for combination therapy in secondary efficacy end points. As expected, the safety and toxicity profile of the combination therapy was less favorable compared to monotherapy. Overall, this trial did not demonstrate that adding sorafenib to second- or third-line paclitaxel provides any clinical benefit to patients with HER2-negative advanced or metastatic breast cancer. Cautious dosing using a sorafenib ramp up schedule might have contributed to negative results.\n\nTrial registration\nThe study was registered at EudraCT (No 2009–018025-73) and retrospectively registered at Clinical trials.gov on March 17, 2011 (NCT01320111).","container-title":"BMC Cancer","DOI":"10.1186/s12885-017-3492-1","ISSN":"1471-2407","journalAbbreviation":"BMC Cancer","note":"PMID: 28743247\nPMCID: PMC5526236","page":"499","source":"PubMed Central","title":"A randomized phase II study of paclitaxel alone versus paclitaxel plus sorafenib in second- and third-line treatment of patients with HER2-negative metastatic breast cancer (PASO)","volume":"17","author":[{"family":"Decker","given":"Thomas"},{"family":"Overkamp","given":"Friedrich"},{"family":"Rösel","given":"Siegfried"},{"family":"Nusch","given":"Arnd"},{"family":"Göhler","given":"Thomas"},{"family":"Indorf","given":"Martin"},{"family":"Sahlmann","given":"Jörg"},{"family":"Trarbach","given":"Tanja"}],"issued":{"date-parts":[["2017",7,25]]}}},{"id":66774,"uris":["http://zotero.org/groups/4797619/items/2HU3NYWK"],"itemData":{"id":66774,"type":"article-journal","abstract":"Purpose\n\nGlycoprotein NMB (gpNMB), a negative prognostic marker, is overexpressed in multiple tumor types. Glembatumumab vedotin is a gpNMB-specific monoclonal antibody conjugated to the potent cytotoxin monomethyl auristatin E. This phase II study investigated the activity of glembatumumab vedotin in advanced breast cancer by gpNMB expression.\n\nPatients and Methods\n\nPatients (n = 124) with refractory breast cancer that expressed gpNMB in ≥ 5% of epithelial or stromal cells by central immunohistochemistry were stratified by gpNMB expression (tumor, low stromal intensity, high stromal intensity) and were randomly assigned 2:1 to glembatumumab vedotin (n = 83) or investigator's choice (IC) chemotherapy (n = 41). The study was powered to detect overall objective response rate (ORR) in the glembatumumab vedotin arm between 10% (null) and 22.5% (alternative hypothesis) with preplanned investigation of activity by gpNMB distribution and/or intensity (Stratum 1 to Stratum 3).\n\nResults\n\nGlembatumumab vedotin was well tolerated as compared with IC chemotherapy (less hematologic toxicity; more rash, pruritus, neuropathy, and alopecia). ORR was 6% (five of 83) for glembatumumab vedotin versus 7% (three of 41) for IC, without significant intertreatment differences for predefined strata. Secondary end point revealed ORR of 12% (10 of 83) versus 12% (five of 41) overall, and 30% (seven of 23) versus 9% (one of 11) for gpNMB overexpression (≥ 25% of tumor cells). Unplanned analysis showed ORR of 18% (five of 28) versus 0% (0 of 11) in patients with triple-negative breast cancer (TNBC), and 40% (four of 10) versus 0% (zero of six) in gpNMB-overexpressing TNBC.\n\nConclusion\n\nGlembatumumab vedotin is well tolerated in heavily pretreated patients with breast cancer. Although the primary end point in advanced gpNMB-expressing breast cancer was not met for all enrolled patients (median tumor gpNMB expression, 5%), activity may be enhanced in patients with gpNMB-overexpressing tumors and/or TNBC. A pivotal phase II trial (METRIC [Metastatic Triple-Negative Breast Cancer]) is underway.","container-title":"Journal of Clinical Oncology","DOI":"10.1200/JCO.2014.56.2959","ISSN":"0732-183X","issue":"14","journalAbbreviation":"JCO","note":"publisher: Wolters Kluwer","page":"1609-1619","source":"ascopubs.org (Atypon)","title":"EMERGE: A Randomized Phase II Study of the Antibody-Drug Conjugate Glembatumumab Vedotin in Advanced Glycoprotein NMB–Expressing Breast Cancer","title-short":"EMERGE","volume":"33","author":[{"family":"Yardley","given":"Denise A."},{"family":"Weaver","given":"Robert"},{"family":"Melisko","given":"Michelle E."},{"family":"Saleh","given":"Mansoor N."},{"family":"Arena","given":"Francis P."},{"family":"Forero","given":"Andres"},{"family":"Cigler","given":"Tessa"},{"family":"Stopeck","given":"Alison"},{"family":"Citrin","given":"Dennis"},{"family":"Oliff","given":"Ira"},{"family":"Bechhold","given":"Rebecca"},{"family":"Loutfi","given":"Randa"},{"family":"Garcia","given":"Agustin A."},{"family":"Cruickshank","given":"Scott"},{"family":"Crowley","given":"Elizabeth"},{"family":"Green","given":"Jennifer"},{"family":"Hawthorne","given":"Thomas"},{"family":"Yellin","given":"Michael J."},{"family":"Davis","given":"Thomas A."},{"family":"Vahdat","given":"Linda T."}],"issued":{"date-parts":[["2015",5,10]]}}},{"id":66149,"uris":["http://zotero.org/groups/4797619/items/8M7DF85G"],"itemData":{"id":66149,"type":"article-journal","abstract":"BACKGROUND: Based on data from two multicenter, phase III clinical trials (Studies 301 and 305), eribulin (a microtubule dynamics inhibitor) is indicated in the European Union (EU) for patients with locally advanced or metastatic breast cancer (MBC) after ≥1 prior chemotherapy for advanced disease, including an anthracycline and a taxane in either the adjuvant or metastatic setting. Data from Studies 305 and 301 were pooled to investigate the efficacy of eribulin in various subgroups of patients who matched the EU label, including those with human epidermal growth factor receptor 2 (HER2)-negative and triple-negative disease.\nPATIENTS AND METHODS: In Study 305 (NCT00388726), patients were randomized 2:1 to eribulin mesylate 1.4 mg/m(2) (equivalent to eribulin 1.23 mg/m(2) [expressed as free base]) intravenously on days 1 and 8 every 21 days] or treatment of physician's choice after 2-5 prior chemotherapies (≥2 for advanced disease), including an anthracycline and a taxane (in early/advanced setting). In Study 301 (NCT00337103), patients were randomized 1:1 to eribulin (as above) or capecitabine (1.25 g/m(2) orally twice daily on days 1-14 every 21 days) following ≤3 prior chemotherapies (≤2 for advanced disease), including an anthracycline and a taxane. Efficacy end points were investigated in the intent-to-treat population and subgroups, pooled as discussed above.\nRESULTS: Overall, 1644 patients were included (eribulin: 946; control: 698); baseline characteristics were well matched. Overall survival was significantly longer with eribulin versus control (P &lt; 0.01), as were progression-free survival and clinical benefit rate (both P &lt; 0.05). Significant survival benefits with eribulin versus control were observed in a wide range of patient subgroups, including HER2-negative or triple-negative disease (all P &lt; 0.05).\nCONCLUSION: Our findings underline the survival benefit achieved by eribulin used according to EU label in the overall MBC population and in various subgroups of interest, including patients with HER2-negative and triple-negative disease.","container-title":"Annals of Oncology: Official Journal of the European Society for Medical Oncology","DOI":"10.1093/annonc/mdw203","ISSN":"1569-8041","issue":"8","journalAbbreviation":"Ann Oncol","language":"eng","note":"PMID: 27177860\nPMCID: PMC4959925","page":"1525-1531","source":"PubMed","title":"Pooled analyses of eribulin in metastatic breast cancer patients with at least one prior chemotherapy","volume":"27","author":[{"family":"Pivot","given":"X."},{"family":"Marmé","given":"F."},{"family":"Koenigsberg","given":"R."},{"family":"Guo","given":"M."},{"family":"Berrak","given":"E."},{"family":"Wolfer","given":"A."}],"issued":{"date-parts":[["2016",8]]}}},{"id":66150,"uris":["http://zotero.org/groups/4797619/items/FWP3JYLN"],"itemData":{"id":66150,"type":"article-journal","abstract":"This post hoc subgroup analysis of a large phase 3 study compared the efficacy and safety of eribulin versus capecitabine in patients with human epidermal growth factor receptor 2 (HER2)-negative metastatic breast cancer who received second-line treatment. In the phase 3 study, women with advanced/metastatic breast cancer and ≤ 3 prior chemotherapies were randomized 1:1 to eribulin mesilate 1.4 mg/m2 intravenously on days 1 and 8, or twice-daily oral capecitabine 1.25 g/m2 on days 1-14 (21-day cycles). This analysis included 392 patients. Median overall survival was longer in patients receiving eribulin compared with capecitabine (16.1 vs 13.5 months, respectively; HR 0.77, P = 0.026). Median progression-free survival and response rates were similar between arms. Both treatments had manageable safety profiles.","container-title":"Breast Cancer (Tokyo, Japan)","DOI":"10.1007/s12282-017-0826-4","ISSN":"1880-4233","issue":"3","journalAbbreviation":"Breast Cancer","language":"eng","note":"PMID: 29302858\nPMCID: PMC5906517","page":"370-374","source":"PubMed","title":"Subgroup analysis of patients with HER2-negative metastatic breast cancer in the second-line setting from a phase 3, open-label, randomized study of eribulin mesilate versus capecitabine","volume":"25","author":[{"family":"Pivot","given":"Xavier"},{"family":"Im","given":"Seock Ah"},{"family":"Guo","given":"Matthew"},{"family":"Marmé","given":"Frederik"}],"issued":{"date-parts":[["2018",5]]}}},{"id":66151,"uris":["http://zotero.org/groups/4797619/items/RLDAE79H"],"itemData":{"id":66151,"type":"article-journal","abstract":"PURPOSE AND METHODS: Our secondary analyses compared survival with eribulin versus capecitabine in various patient subgroups from a phase 3, open-label, randomized study. Eligible women aged ≥18 years with advanced/metastatic breast cancer and ≤3 prior chemotherapies (≤2 for advanced/metastatic disease), including an anthracycline and taxane, were randomized 1:1 to intravenous eribulin mesylate 1.4 mg/m(2) on days 1 and 8 or twice-daily oral capecitabine 1250 mg/m(2) on days 1-14 (21-day cycles).\nRESULTS: In the intent-to-treat population (eribulin 554 and capecitabine 548), overall survival appeared longer with eribulin than capecitabine in various subgroups, including patients with human epidermal growth factor receptor 2-negative (15.9 versus 13.5 months, respectively), estrogen receptor-negative (14.4 versus 10.5 months, respectively), and triple-negative (14.4 versus 9.4 months, respectively) disease. Progression-free survival was similar between the treatment arms.\nCONCLUSIONS: Patients with advanced/metastatic breast cancer and human epidermal growth factor receptor 2-, estrogen receptor-, or triple-negative disease may gain particular benefit from eribulin as first-, second-, and third-line chemotherapies.\nTRIAL REGISTRATION PRIMARY STUDY: This study reports the subgroup analyses of eribulin versus capecitabine from a phase 3, open-label, randomized study (www.clinicaltrials.gov; ClinicalTrials.gov identifier: NCT00337103).","container-title":"Breast Cancer: Basic and Clinical Research","DOI":"10.4137/BCBCR.S39615","ISSN":"1178-2234","journalAbbreviation":"Breast Cancer (Auckl)","language":"eng","note":"PMID: 27398025\nPMCID: PMC4927108","page":"77-84","source":"PubMed","title":"Subgroup Analyses from a Phase 3, Open-Label, Randomized Study of Eribulin Mesylate Versus Capecitabine in Pretreated Patients with Advanced or Metastatic Breast Cancer","volume":"10","author":[{"family":"Twelves","given":"Chris"},{"family":"Awada","given":"Ahmad"},{"family":"Cortes","given":"Javier"},{"family":"Yelle","given":"Louise"},{"family":"Velikova","given":"Galina"},{"family":"Olivo","given":"Martin S."},{"family":"Song","given":"James"},{"family":"Dutcus","given":"Corina E."},{"family":"Kaufman","given":"Peter A."}],"issued":{"date-parts":[["2016"]]}}},{"id":66152,"uris":["http://zotero.org/groups/4797619/items/K2TXU8UJ"],"itemData":{"id":66152,"type":"article-journal","abstract":"BACKGROUND: Treatments with survival benefit are greatly needed for women with heavily pretreated metastatic breast cancer. Eribulin mesilate is a non-taxane microtubule dynamics inhibitor with a novel mode of action. We aimed to compare overall survival of heavily pretreated patients receiving eribulin versus currently available treatments.\nMETHODS: In this phase 3 open-label study, women with locally recurrent or metastatic breast cancer were randomly allocated (2:1) to eribulin mesilate (1·4 mg/m(2) administered intravenously during 2-5 min on days 1 and 8 of a 21-day cycle) or treatment of physician's choice (TPC). Patients had received between two and five previous chemotherapy regimens (two or more for advanced disease), including an anthracycline and a taxane, unless contraindicated. Randomisation was stratified by geographical region, previous capecitabine treatment, and human epidermal growth factor receptor 2 status. Patients and investigators were not masked to treatment allocation. The primary endpoint was overall survival in the intention-to-treat population. This study is registered at ClinicalTrials.gov, number NCT00388726.\nFINDINGS: 762 women were randomly allocated to treatment groups (508 eribulin, 254 TPC). Overall survival was significantly improved in women assigned to eribulin (median 13·1 months, 95% CI 11·8-14·3) compared with TPC (10·6 months, 9·3-12·5; hazard ratio 0·81, 95% CI 0·66-0·99; p=0·041). The most common adverse events in both groups were asthenia or fatigue (270 [54%] of 503 patients on eribulin and 98 [40%] of 247 patients on TPC at all grades) and neutropenia (260 [52%] patients receiving eribulin and 73 [30%] of those on TPC at all grades). Peripheral neuropathy was the most common adverse event leading to discontinuation from eribulin, occurring in 24 (5%) of 503 patients.\nINTERPRETATION: Eribulin showed a significant and clinically meaningful improvement in overall survival compared with TPC in women with heavily pretreated metastatic breast cancer. This finding challenges the notion that improved overall survival is an unrealistic expectation during evaluation of new anticancer therapies in the refractory setting.\nFUNDING: Eisai.","container-title":"Lancet (London, England)","DOI":"10.1016/S0140-6736(11)60070-6","ISSN":"1474-547X","issue":"9769","journalAbbreviation":"Lancet","language":"eng","note":"PMID: 21376385","page":"914-923","source":"PubMed","title":"Eribulin monotherapy versus treatment of physician's choice in patients with metastatic breast cancer (EMBRACE): a phase 3 open-label randomised study","title-short":"Eribulin monotherapy versus treatment of physician's choice in patients with metastatic breast cancer (EMBRACE)","volume":"377","author":[{"family":"Cortes","given":"Javier"},{"family":"O'Shaughnessy","given":"Joyce"},{"family":"Loesch","given":"David"},{"family":"Blum","given":"Joanne L."},{"family":"Vahdat","given":"Linda T."},{"family":"Petrakova","given":"Katarina"},{"family":"Chollet","given":"Philippe"},{"family":"Manikas","given":"Alexey"},{"family":"Diéras","given":"Veronique"},{"family":"Delozier","given":"Thierry"},{"family":"Vladimirov","given":"Vladimir"},{"family":"Cardoso","given":"Fatima"},{"family":"Koh","given":"Han"},{"family":"Bougnoux","given":"Philippe"},{"family":"Dutcus","given":"Corina E."},{"family":"Seegobin","given":"Seth"},{"family":"Mir","given":"Denis"},{"family":"Meneses","given":"Nicole"},{"family":"Wanders","given":"Jantien"},{"family":"Twelves","given":"Chris"},{"literal":"EMBRACE (Eisai Metastatic Breast Cancer Study Assessing Physician's Choice Versus E7389) investigators"}],"issued":{"date-parts":[["2011",3,12]]}}},{"id":66759,"uris":["http://zotero.org/groups/4797619/items/WRYWKH52"],"itemData":{"id":66759,"type":"article-journal","abstract":"The METRIC study (NCT#0199733) explored a novel antibody–drug conjugate, glembatumumab vedotin (GV), targeting gpNMB that is overexpressed in ~40% of patients with triple-negative breast cancer (TNBC) and associated with poor prognosis. The study was a randomized, open-label, phase 2b study that evaluated progression-free survival (PFS) of GV compared with capecitabine in gpNMB-overexpressing TNBC. Patients who had previously received anthracycline and taxane-based therapy were randomized 2:1 to receive, GV (1.88 mg/kg IV q21 days) or capecitabine (2500 mg/m2 PO daily d1–14 q21 days). The primary endpoint was RECIST 1.1 PFS per independent, blinded central review. In all, 327 patients were randomized to GV (213 treated) or capecitabine (92 treated). Median PFS was 2.9 months for GV vs. 2.8 months for capecitabine. The most common grade ≥3 toxicities for GV were neutropenia, rash, and leukopenia, and for capecitabine were fatigue, diarrhea, and palmar-plantar erythrodysesthesia. The study did not meet the primary endpoint of improved PFS over capecitabine or demonstrate a relative risk/benefit improvement over capecitabine.","container-title":"npj Breast Cancer","DOI":"10.1038/s41523-021-00244-6","ISSN":"2374-4677","issue":"1","language":"en","license":"2021 The Author(s)","note":"number: 1\npublisher: Nature Publishing Group","page":"1-10","source":"www.nature.com","title":"Glembatumumab vedotin for patients with metastatic, gpNMB overexpressing, triple-negative breast cancer (“METRIC”): a randomized multicenter study","title-short":"Glembatumumab vedotin for patients with metastatic, gpNMB overexpressing, triple-negative breast cancer (“METRIC”)","volume":"7","author":[{"family":"Vahdat","given":"Linda T."},{"family":"Schmid","given":"Peter"},{"family":"Forero-Torres","given":"Andres"},{"family":"Blackwell","given":"Kimberly"},{"family":"Telli","given":"Melinda L."},{"family":"Melisko","given":"Michelle"},{"family":"Möbus","given":"Volker"},{"family":"Cortes","given":"Javier"},{"family":"Montero","given":"Alberto J."},{"family":"Ma","given":"Cynthia"},{"family":"Nanda","given":"Rita"},{"family":"Wright","given":"Gail S."},{"family":"He","given":"Yi"},{"family":"Hawthorne","given":"Thomas"},{"family":"Bagley","given":"Rebecca G."},{"family":"Halim","given":"Abdel-Baset"},{"family":"Turner","given":"Christopher D."},{"family":"Yardley","given":"Denise A."}],"issued":{"date-parts":[["2021",5,20]]}}},{"id":66444,"uris":["http://zotero.org/groups/4797619/items/44JAGUPG"],"itemData":{"id":66444,"type":"article-journal","container-title":"New England Journal of Medicine","DOI":"10.1056/NEJMoa2028485","ISSN":"0028-4793","issue":"16","note":"publisher: Massachusetts Medical Society\n_eprint: https://doi.org/10.1056/NEJMoa2028485\nPMID: 33882206","page":"1529-1541","source":"Taylor and Francis+NEJM","title":"Sacituzumab Govitecan in Metastatic Triple-Negative Breast Cancer","volume":"384","author":[{"family":"Bardia","given":"Aditya"},{"family":"Hurvitz","given":"Sara A."},{"family":"Tolaney","given":"Sara M."},{"family":"Loirat","given":"Delphine"},{"family":"Punie","given":"Kevin"},{"family":"Oliveira","given":"Mafalda"},{"family":"Brufsky","given":"Adam"},{"family":"Sardesai","given":"Sagar D."},{"family":"Kalinsky","given":"Kevin"},{"family":"Zelnak","given":"Amelia B."},{"family":"Weaver","given":"Robert"},{"family":"Traina","given":"Tiffany"},{"family":"Dalenc","given":"Florence"},{"family":"Aftimos","given":"Philippe"},{"family":"Lynce","given":"Filipa"},{"family":"Diab","given":"Sami"},{"family":"Cortés","given":"Javier"},{"family":"O’Shaughnessy","given":"Joyce"},{"family":"Diéras","given":"Véronique"},{"family":"Ferrario","given":"Cristiano"},{"family":"Schmid","given":"Peter"},{"family":"Carey","given":"Lisa A."},{"family":"Gianni","given":"Luca"},{"family":"Piccart","given":"Martine J."},{"family":"Loibl","given":"Sibylle"},{"family":"Goldenberg","given":"David M."},{"family":"Hong","given":"Quan"},{"family":"Olivo","given":"Martin S."},{"family":"Itri","given":"Loretta M."},{"family":"Rugo","given":"Hope S."}],"issued":{"date-parts":[["2021",4,22]]}}},{"id":66764,"uris":["http://zotero.org/groups/4797619/items/YX8NEWUE"],"itemData":{"id":66764,"type":"article-journal","container-title":"The Lancet Oncology","DOI":"10.1016/S1470-2045(20)30754-3","ISSN":"1470-2045, 1474-5488","issue":"4","journalAbbreviation":"The Lancet Oncology","language":"English","note":"publisher: Elsevier\nPMID: 33676601","page":"499-511","source":"www.thelancet.com","title":"Pembrolizumab versus investigator-choice chemotherapy for metastatic triple-negative breast cancer (KEYNOTE-119): a randomised, open-label, phase 3 trial","title-short":"Pembrolizumab versus investigator-choice chemotherapy for metastatic triple-negative breast cancer (KEYNOTE-119)","volume":"22","author":[{"family":"Winer","given":"Eric P."},{"family":"Lipatov","given":"Oleg"},{"family":"Im","given":"Seock-Ah"},{"family":"Goncalves","given":"Anthony"},{"family":"Muñoz-Couselo","given":"Eva"},{"family":"Lee","given":"Keun Seok"},{"family":"Schmid","given":"Peter"},{"family":"Tamura","given":"Kenji"},{"family":"Testa","given":"Laura"},{"family":"Witzel","given":"Isabell"},{"family":"Ohtani","given":"Shoichiro"},{"family":"Turner","given":"Nicholas"},{"family":"Zambelli","given":"Stefania"},{"family":"Harbeck","given":"Nadia"},{"family":"Andre","given":"Fabrice"},{"family":"Dent","given":"Rebecca"},{"family":"Zhou","given":"Xuan"},{"family":"Karantza","given":"Vassiliki"},{"family":"Mejia","given":"Jaime"},{"family":"Cortes","given":"Javier"}],"issued":{"date-parts":[["2021",4,1]]}}}],"schema":"https://github.com/citation-style-language/schema/raw/master/csl-citation.json"} </w:instrText>
      </w:r>
      <w:r w:rsidR="00173DBD">
        <w:fldChar w:fldCharType="separate"/>
      </w:r>
      <w:r w:rsidR="00FD57F4" w:rsidRPr="00FD57F4">
        <w:rPr>
          <w:rFonts w:cs="Arial"/>
          <w:szCs w:val="24"/>
          <w:vertAlign w:val="superscript"/>
        </w:rPr>
        <w:t>43–55</w:t>
      </w:r>
      <w:r w:rsidR="00173DBD">
        <w:fldChar w:fldCharType="end"/>
      </w:r>
      <w:r w:rsidR="00762D63" w:rsidRPr="009C5835">
        <w:t xml:space="preserve"> </w:t>
      </w:r>
      <w:r w:rsidR="006B0E3A" w:rsidRPr="002646F6">
        <w:t xml:space="preserve">This </w:t>
      </w:r>
      <w:r w:rsidR="00293D96">
        <w:t>highlights</w:t>
      </w:r>
      <w:r w:rsidR="008212F6" w:rsidRPr="002646F6">
        <w:t xml:space="preserve"> </w:t>
      </w:r>
      <w:r w:rsidR="006B0E3A" w:rsidRPr="002646F6">
        <w:t xml:space="preserve">that outcomes in HER2-negative disease are </w:t>
      </w:r>
      <w:r w:rsidR="00293D96">
        <w:t>very</w:t>
      </w:r>
      <w:r w:rsidR="00BB32FE" w:rsidRPr="002646F6">
        <w:t xml:space="preserve"> </w:t>
      </w:r>
      <w:r w:rsidR="006B0E3A" w:rsidRPr="002646F6">
        <w:t xml:space="preserve">poor and </w:t>
      </w:r>
      <w:r w:rsidR="00997261">
        <w:t xml:space="preserve">underscores </w:t>
      </w:r>
      <w:r w:rsidR="00617528">
        <w:t xml:space="preserve">the </w:t>
      </w:r>
      <w:r w:rsidR="00AC2E55" w:rsidRPr="002646F6">
        <w:t xml:space="preserve">need for </w:t>
      </w:r>
      <w:r w:rsidR="00B213E4" w:rsidRPr="002646F6">
        <w:t>innovation in HER2-negative u/mBC</w:t>
      </w:r>
      <w:r w:rsidR="009048CA" w:rsidRPr="002646F6">
        <w:t>.</w:t>
      </w:r>
      <w:r w:rsidR="009C7694" w:rsidRPr="002646F6">
        <w:t xml:space="preserve"> </w:t>
      </w:r>
    </w:p>
    <w:p w14:paraId="76262B40" w14:textId="0BAFFEC9" w:rsidR="009D2255" w:rsidRPr="002646F6" w:rsidRDefault="00DA3905" w:rsidP="009D2255">
      <w:pPr>
        <w:pStyle w:val="Body"/>
      </w:pPr>
      <w:r w:rsidRPr="006E33DC">
        <w:t xml:space="preserve">As demonstrated in </w:t>
      </w:r>
      <w:r w:rsidRPr="006E33DC">
        <w:rPr>
          <w:b/>
          <w:bCs/>
        </w:rPr>
        <w:fldChar w:fldCharType="begin"/>
      </w:r>
      <w:r w:rsidRPr="006E33DC">
        <w:rPr>
          <w:b/>
          <w:bCs/>
        </w:rPr>
        <w:instrText xml:space="preserve"> REF _Ref121942625 \h  \* MERGEFORMAT </w:instrText>
      </w:r>
      <w:r w:rsidRPr="006E33DC">
        <w:rPr>
          <w:b/>
          <w:bCs/>
        </w:rPr>
      </w:r>
      <w:r w:rsidRPr="006E33DC">
        <w:rPr>
          <w:b/>
          <w:bCs/>
        </w:rPr>
        <w:fldChar w:fldCharType="separate"/>
      </w:r>
      <w:r w:rsidR="00145F42" w:rsidRPr="00145F42">
        <w:rPr>
          <w:b/>
          <w:bCs/>
        </w:rPr>
        <w:t>Table 5</w:t>
      </w:r>
      <w:r w:rsidRPr="006E33DC">
        <w:rPr>
          <w:b/>
          <w:bCs/>
        </w:rPr>
        <w:fldChar w:fldCharType="end"/>
      </w:r>
      <w:r w:rsidRPr="006E33DC">
        <w:t xml:space="preserve">, </w:t>
      </w:r>
      <w:r w:rsidR="00C83F22" w:rsidRPr="006E33DC">
        <w:t xml:space="preserve">there is unlikely to be a </w:t>
      </w:r>
      <w:r w:rsidR="00787CE5" w:rsidRPr="006E33DC">
        <w:rPr>
          <w:lang w:eastAsia="en-GB"/>
        </w:rPr>
        <w:t>significant difference</w:t>
      </w:r>
      <w:r w:rsidR="00C83F22" w:rsidRPr="006E33DC">
        <w:rPr>
          <w:lang w:eastAsia="en-GB"/>
        </w:rPr>
        <w:t xml:space="preserve"> in efficacy across non-targeted single-agent chemotherapies used in the </w:t>
      </w:r>
      <w:r w:rsidR="0056228C">
        <w:rPr>
          <w:lang w:eastAsia="en-GB"/>
        </w:rPr>
        <w:t>m</w:t>
      </w:r>
      <w:r w:rsidR="00C83F22" w:rsidRPr="006E33DC">
        <w:rPr>
          <w:lang w:eastAsia="en-GB"/>
        </w:rPr>
        <w:t>BC settin</w:t>
      </w:r>
      <w:r w:rsidR="00787CE5" w:rsidRPr="006E33DC">
        <w:rPr>
          <w:lang w:eastAsia="en-GB"/>
        </w:rPr>
        <w:t>g.</w:t>
      </w:r>
      <w:r w:rsidR="00C83F22" w:rsidRPr="006E33DC">
        <w:rPr>
          <w:lang w:eastAsia="en-GB"/>
        </w:rPr>
        <w:t xml:space="preserve"> </w:t>
      </w:r>
      <w:r w:rsidR="00F73135" w:rsidRPr="006E33DC">
        <w:rPr>
          <w:lang w:eastAsia="en-GB"/>
        </w:rPr>
        <w:t xml:space="preserve">In line with this, a </w:t>
      </w:r>
      <w:r w:rsidR="00FC0EC8" w:rsidRPr="006E33DC">
        <w:rPr>
          <w:lang w:eastAsia="en-GB"/>
        </w:rPr>
        <w:t xml:space="preserve">2009 </w:t>
      </w:r>
      <w:r w:rsidR="00C83F22" w:rsidRPr="006E33DC">
        <w:rPr>
          <w:lang w:eastAsia="en-GB"/>
        </w:rPr>
        <w:t xml:space="preserve">systematic review </w:t>
      </w:r>
      <w:r w:rsidR="00FC0EC8" w:rsidRPr="006E33DC">
        <w:rPr>
          <w:lang w:eastAsia="en-GB"/>
        </w:rPr>
        <w:t xml:space="preserve">of </w:t>
      </w:r>
      <w:r w:rsidR="009F1817">
        <w:rPr>
          <w:lang w:eastAsia="en-GB"/>
        </w:rPr>
        <w:t>RCTs</w:t>
      </w:r>
      <w:r w:rsidR="00FC0EC8" w:rsidRPr="006E33DC">
        <w:rPr>
          <w:lang w:eastAsia="en-GB"/>
        </w:rPr>
        <w:t xml:space="preserve"> on </w:t>
      </w:r>
      <w:r w:rsidR="00C83F22" w:rsidRPr="006E33DC">
        <w:rPr>
          <w:lang w:eastAsia="en-GB"/>
        </w:rPr>
        <w:t xml:space="preserve">the clinical efficacy of cytotoxic agents </w:t>
      </w:r>
      <w:r w:rsidR="00FC0EC8" w:rsidRPr="006E33DC">
        <w:rPr>
          <w:lang w:eastAsia="en-GB"/>
        </w:rPr>
        <w:t xml:space="preserve">used in Europe </w:t>
      </w:r>
      <w:r w:rsidR="00C83F22" w:rsidRPr="006E33DC">
        <w:rPr>
          <w:lang w:eastAsia="en-GB"/>
        </w:rPr>
        <w:t xml:space="preserve">in </w:t>
      </w:r>
      <w:r w:rsidR="008D3AB1" w:rsidRPr="006E33DC">
        <w:rPr>
          <w:lang w:eastAsia="en-GB"/>
        </w:rPr>
        <w:t>anthracycline- and taxane-</w:t>
      </w:r>
      <w:r w:rsidR="007F28D5">
        <w:rPr>
          <w:lang w:eastAsia="en-GB"/>
        </w:rPr>
        <w:t xml:space="preserve"> </w:t>
      </w:r>
      <w:r w:rsidR="008D3AB1" w:rsidRPr="006E33DC">
        <w:rPr>
          <w:lang w:eastAsia="en-GB"/>
        </w:rPr>
        <w:t>pre</w:t>
      </w:r>
      <w:r w:rsidR="007F28D5">
        <w:rPr>
          <w:lang w:eastAsia="en-GB"/>
        </w:rPr>
        <w:t>-</w:t>
      </w:r>
      <w:r w:rsidR="008D3AB1" w:rsidRPr="006E33DC">
        <w:rPr>
          <w:lang w:eastAsia="en-GB"/>
        </w:rPr>
        <w:t xml:space="preserve">treated </w:t>
      </w:r>
      <w:r w:rsidR="00554A73" w:rsidRPr="006E33DC">
        <w:rPr>
          <w:lang w:eastAsia="en-GB"/>
        </w:rPr>
        <w:t xml:space="preserve">advanced BC </w:t>
      </w:r>
      <w:r w:rsidR="0039139D" w:rsidRPr="006E33DC">
        <w:rPr>
          <w:lang w:eastAsia="en-GB"/>
        </w:rPr>
        <w:t>found</w:t>
      </w:r>
      <w:r w:rsidR="00C83F22" w:rsidRPr="006E33DC">
        <w:rPr>
          <w:lang w:eastAsia="en-GB"/>
        </w:rPr>
        <w:t xml:space="preserve"> </w:t>
      </w:r>
      <w:r w:rsidR="00D01F99">
        <w:rPr>
          <w:lang w:eastAsia="en-GB"/>
        </w:rPr>
        <w:t xml:space="preserve">there to be </w:t>
      </w:r>
      <w:r w:rsidR="00C83F22" w:rsidRPr="006E33DC">
        <w:rPr>
          <w:lang w:eastAsia="en-GB"/>
        </w:rPr>
        <w:t xml:space="preserve">no </w:t>
      </w:r>
      <w:r w:rsidR="0039139D" w:rsidRPr="006E33DC">
        <w:rPr>
          <w:lang w:eastAsia="en-GB"/>
        </w:rPr>
        <w:t xml:space="preserve">RCTs </w:t>
      </w:r>
      <w:r w:rsidR="00590CAF">
        <w:rPr>
          <w:lang w:eastAsia="en-GB"/>
        </w:rPr>
        <w:t xml:space="preserve">that </w:t>
      </w:r>
      <w:r w:rsidR="00BD04D5" w:rsidRPr="006E33DC">
        <w:rPr>
          <w:lang w:eastAsia="en-GB"/>
        </w:rPr>
        <w:t>demonstrated a</w:t>
      </w:r>
      <w:r w:rsidR="00C83F22" w:rsidRPr="006E33DC">
        <w:rPr>
          <w:lang w:eastAsia="en-GB"/>
        </w:rPr>
        <w:t xml:space="preserve"> significant </w:t>
      </w:r>
      <w:r w:rsidR="00E56AC4" w:rsidRPr="006E33DC">
        <w:rPr>
          <w:lang w:eastAsia="en-GB"/>
        </w:rPr>
        <w:t xml:space="preserve">OS </w:t>
      </w:r>
      <w:r w:rsidR="00C83F22" w:rsidRPr="006E33DC">
        <w:rPr>
          <w:lang w:eastAsia="en-GB"/>
        </w:rPr>
        <w:t>difference between any of the regimens (capecitabine, gemcitabine, vinorelbine, docetaxel, paclitaxel and paclitaxel protein-bound particles).</w:t>
      </w:r>
      <w:r w:rsidR="00E41F5F" w:rsidRPr="006E33DC">
        <w:rPr>
          <w:lang w:eastAsia="en-GB"/>
        </w:rPr>
        <w:fldChar w:fldCharType="begin"/>
      </w:r>
      <w:r w:rsidR="00CA6345">
        <w:rPr>
          <w:lang w:eastAsia="en-GB"/>
        </w:rPr>
        <w:instrText xml:space="preserve"> ADDIN ZOTERO_ITEM CSL_CITATION {"citationID":"rTtU6fgf","properties":{"formattedCitation":"\\super 118\\nosupersub{}","plainCitation":"118","noteIndex":0},"citationItems":[{"id":66343,"uris":["http://zotero.org/groups/4797619/items/IB6926PV"],"itemData":{"id":66343,"type":"article-journal","abstract":"INTRODUCTION: Currently available evidence does not provide definitive guidance regarding the optimal chemotherapy agents and combinations in anthracycline- and taxane-pretreated advanced breast cancer. We performed a systematic review of controlled clinical trials of the cytotoxic agents currently used for this population in Europe: capecitabine, gemcitabine, vinorelbine, docetaxel, paclitaxel and paclitaxel protein-bound particles.\nMETHOD: A systematic review of randomised (RCT) and non-randomised controlled clinical trials (non-RCTs). The primary outcomes of interest were overall survival (OS) and progression-free survival (PFS); secondary outcomes were duration of response (DR), overall response rate (ORR), adverse events and quality of life (QoL). Six electronic databases and grey literature sources were searched; reference tracking was performed on included publications. A narrative synthesis was conducted: heterogeneity of study design and interventions prevented meta-analysis.\nRESULTS: No randomised controlled trial (RCT) found any significant differences between any of the regimens in terms of OS. In terms of PFS, only gemcitabine plus vinorelbine performed significantly better than its comparator, vinorelbine alone. For secondary outcomes, only capecitabine plus bevacizumab had a significantly better outcome than its comparator, capecitabine alone, in terms of ORR. A low quality non-RCT found that both capecitabine monotherapy and a combination of capecitabine plus vinorelbine were significantly more effective than vinorelbine alone in terms of OS and ORR. Across all trials, median OS for these patients typically remained less than 16 months.\nCONCLUSION: The quantity and quality of the available evidence regarding the efficacy of the particular chemotherapy regimens in patients with advanced breast cancer pretreated with an anthracycline and a taxane is extremely limited. New effective therapies are sorely needed in this population.","container-title":"European Journal of Cancer (Oxford, England: 1990)","DOI":"10.1016/j.ejca.2009.05.035","ISSN":"1879-0852","issue":"16","journalAbbreviation":"Eur J Cancer","language":"eng","note":"PMID: 19615886","page":"2749-2758","source":"PubMed","title":"The clinical efficacy of cytotoxic agents in locally advanced or metastatic breast cancer patients pretreated with an anthracycline and a taxane: a systematic review","title-short":"The clinical efficacy of cytotoxic agents in locally advanced or metastatic breast cancer patients pretreated with an anthracycline and a taxane","volume":"45","author":[{"family":"Jassem","given":"Jacek"},{"family":"Carroll","given":"Christopher"},{"family":"Ward","given":"Sue E."},{"family":"Simpson","given":"Emma"},{"family":"Hind","given":"Daniel"}],"issued":{"date-parts":[["2009",11]]}}}],"schema":"https://github.com/citation-style-language/schema/raw/master/csl-citation.json"} </w:instrText>
      </w:r>
      <w:r w:rsidR="00E41F5F" w:rsidRPr="006E33DC">
        <w:rPr>
          <w:lang w:eastAsia="en-GB"/>
        </w:rPr>
        <w:fldChar w:fldCharType="separate"/>
      </w:r>
      <w:r w:rsidR="00CA6345" w:rsidRPr="00CA6345">
        <w:rPr>
          <w:rFonts w:cs="Arial"/>
          <w:szCs w:val="24"/>
          <w:vertAlign w:val="superscript"/>
        </w:rPr>
        <w:t>118</w:t>
      </w:r>
      <w:r w:rsidR="00E41F5F" w:rsidRPr="006E33DC">
        <w:rPr>
          <w:lang w:eastAsia="en-GB"/>
        </w:rPr>
        <w:fldChar w:fldCharType="end"/>
      </w:r>
      <w:r w:rsidR="00C63B7A" w:rsidRPr="006E33DC">
        <w:rPr>
          <w:lang w:eastAsia="en-GB"/>
        </w:rPr>
        <w:t xml:space="preserve"> </w:t>
      </w:r>
    </w:p>
    <w:p w14:paraId="75E65FB0" w14:textId="0E7DED52" w:rsidR="006064D3" w:rsidRDefault="000D743A" w:rsidP="00E815F6">
      <w:pPr>
        <w:pStyle w:val="Body"/>
        <w:rPr>
          <w:rStyle w:val="normaltextrun"/>
        </w:rPr>
      </w:pPr>
      <w:r w:rsidRPr="002646F6">
        <w:t>Given the role of HER2 in driving poor prognosis</w:t>
      </w:r>
      <w:r w:rsidR="00494290" w:rsidRPr="002646F6">
        <w:t xml:space="preserve"> and the benefits demonstrated by HER2</w:t>
      </w:r>
      <w:r w:rsidR="00002DD5">
        <w:t>-</w:t>
      </w:r>
      <w:r w:rsidR="00494290" w:rsidRPr="002646F6">
        <w:t>targeted treatments in HER2-positive disease</w:t>
      </w:r>
      <w:r w:rsidRPr="002646F6">
        <w:t>,</w:t>
      </w:r>
      <w:r w:rsidR="00741DA1" w:rsidRPr="006E33DC">
        <w:rPr>
          <w:rStyle w:val="normaltextrun"/>
        </w:rPr>
        <w:fldChar w:fldCharType="begin"/>
      </w:r>
      <w:r w:rsidR="00CA6345">
        <w:rPr>
          <w:rStyle w:val="normaltextrun"/>
        </w:rPr>
        <w:instrText xml:space="preserve"> ADDIN ZOTERO_ITEM CSL_CITATION {"citationID":"APwrZcng","properties":{"formattedCitation":"\\super 119,120\\nosupersub{}","plainCitation":"119,120","noteIndex":0},"citationItems":[{"id":66176,"uris":["http://zotero.org/groups/4797619/items/88ZCNZQD"],"itemData":{"id":66176,"type":"article-journal","abstract":"We present a retrospective analysis on a cohort of low-grade, node-negative patients showing that human epidermal growth factor receptor 2 (HER2) status significantly affects the survival in this otherwise very good prognostic group. Our results provide support for the use of adjuvant trastuzumab in patients who are typically classified as having very good prognosis, not routinely offered standard chemotherapy, and who as such do not fit current UK prescribing guidelines for trastuzumab.","container-title":"British Journal of Cancer","DOI":"10.1038/sj.bjc.6604940","ISSN":"1532-1827","issue":"5","journalAbbreviation":"Br J Cancer","language":"eng","note":"PMID: 19223897\nPMCID: PMC2653773","page":"680-683","source":"PubMed","title":"Poor survival outcomes in HER2-positive breast cancer patients with low-grade, node-negative tumours","volume":"100","author":[{"family":"Tovey","given":"S. M."},{"family":"Brown","given":"S."},{"family":"Doughty","given":"J. C."},{"family":"Mallon","given":"E. A."},{"family":"Cooke","given":"T. G."},{"family":"Edwards","given":"J."}],"issued":{"date-parts":[["2009",3,10]]}}},{"id":66175,"uris":["http://zotero.org/groups/4797619/items/FAHWF4EZ"],"itemData":{"id":66175,"type":"article-journal","abstract":"In recent years investigators have looked at the human epidermal growth factor receptor-2 (HER2), which is overexpressed in 20%-30% of breast cancer patients, with regard to its role as a prognostic and predictive factor. Although many studies have suggested that HER2 overexpression may be associated with a poor clinical outcome, other studies have not fully supported this observation. The inconsistencies between studies may be due in part to discrepancies between different HER2 testing methods. To overcome this problem, a radioimmunohistochemical method was developed to quantitatively measure HER2 overexpression levels in breast tumor samples. The application of this method demonstrated that 85% of all breast tumor samples expressed HER2 at levels greater than normal. Of these, 23% expressed HER2 at levels between 45 and 480 times greater than normal, and this was associated with poor clinical outcome. The investigation of HER2 status as a predictor of response to therapy has also yielded many conflicting results. Overall, it appears that HER2 overexpression may correlate with resistance to hormonal therapy, sensitivity to anthracycline-based chemotherapy and resistance to CMF. With the development of targeted anti-HER2 therapies, assessment of HER2 status will be important in stratifying patients to the most appropriate treatment regimens.","container-title":"Annals of Oncology: Official Journal of the European Society for Medical Oncology","DOI":"10.1093/annonc/12.suppl_1.s23","ISSN":"0923-7534","journalAbbreviation":"Ann Oncol","language":"eng","note":"PMID: 11521717","page":"S23-28","source":"PubMed","title":"HER2 as a prognostic and predictive marker for breast cancer","volume":"12 Suppl 1","author":[{"family":"Cooke","given":"T."},{"family":"Reeves","given":"J."},{"family":"Lanigan","given":"A."},{"family":"Stanton","given":"P."}],"issued":{"date-parts":[["2001"]]}}}],"schema":"https://github.com/citation-style-language/schema/raw/master/csl-citation.json"} </w:instrText>
      </w:r>
      <w:r w:rsidR="00741DA1" w:rsidRPr="006E33DC">
        <w:rPr>
          <w:rStyle w:val="normaltextrun"/>
        </w:rPr>
        <w:fldChar w:fldCharType="separate"/>
      </w:r>
      <w:r w:rsidR="00CA6345" w:rsidRPr="00CA6345">
        <w:rPr>
          <w:rFonts w:cs="Arial"/>
          <w:szCs w:val="24"/>
          <w:vertAlign w:val="superscript"/>
        </w:rPr>
        <w:t>119,120</w:t>
      </w:r>
      <w:r w:rsidR="00741DA1" w:rsidRPr="006E33DC">
        <w:rPr>
          <w:rStyle w:val="normaltextrun"/>
        </w:rPr>
        <w:fldChar w:fldCharType="end"/>
      </w:r>
      <w:r w:rsidRPr="002646F6">
        <w:t xml:space="preserve"> effective HER2-targeted therapies have the potential to improve outcomes in </w:t>
      </w:r>
      <w:r w:rsidR="00741DA1" w:rsidRPr="002646F6">
        <w:t>the</w:t>
      </w:r>
      <w:r w:rsidRPr="002646F6">
        <w:t xml:space="preserve"> subset of HER2-negative u/mBC patients who express </w:t>
      </w:r>
      <w:r w:rsidR="002E5BB0" w:rsidRPr="002646F6">
        <w:t xml:space="preserve">lower levels of </w:t>
      </w:r>
      <w:r w:rsidRPr="002646F6">
        <w:t>HER2</w:t>
      </w:r>
      <w:r w:rsidRPr="002646F6">
        <w:rPr>
          <w:rStyle w:val="normaltextrun"/>
        </w:rPr>
        <w:t>.</w:t>
      </w:r>
      <w:r w:rsidR="00140305" w:rsidRPr="002646F6">
        <w:rPr>
          <w:rStyle w:val="normaltextrun"/>
        </w:rPr>
        <w:t xml:space="preserve"> UK clinical experts confirmed</w:t>
      </w:r>
      <w:r w:rsidR="001B2BAF" w:rsidRPr="002646F6">
        <w:rPr>
          <w:rStyle w:val="normaltextrun"/>
        </w:rPr>
        <w:t xml:space="preserve"> that there is </w:t>
      </w:r>
      <w:r w:rsidR="00003427" w:rsidRPr="002646F6">
        <w:rPr>
          <w:rStyle w:val="normaltextrun"/>
        </w:rPr>
        <w:t xml:space="preserve">a </w:t>
      </w:r>
      <w:r w:rsidR="00D25D48" w:rsidRPr="002646F6">
        <w:rPr>
          <w:rStyle w:val="normaltextrun"/>
        </w:rPr>
        <w:t xml:space="preserve">need </w:t>
      </w:r>
      <w:r w:rsidR="001B2BAF" w:rsidRPr="002646F6">
        <w:rPr>
          <w:rStyle w:val="normaltextrun"/>
        </w:rPr>
        <w:t>for effective HER2-targeted therap</w:t>
      </w:r>
      <w:r w:rsidR="00D25D48" w:rsidRPr="002646F6">
        <w:rPr>
          <w:rStyle w:val="normaltextrun"/>
        </w:rPr>
        <w:t>ies</w:t>
      </w:r>
      <w:r w:rsidR="00953F1F" w:rsidRPr="002646F6">
        <w:rPr>
          <w:rStyle w:val="normaltextrun"/>
        </w:rPr>
        <w:t xml:space="preserve"> for patients with HER2-low u/mBC</w:t>
      </w:r>
      <w:r w:rsidR="005509D1" w:rsidRPr="002646F6">
        <w:rPr>
          <w:rStyle w:val="normaltextrun"/>
        </w:rPr>
        <w:t>.</w:t>
      </w:r>
      <w:r w:rsidR="00670D58">
        <w:fldChar w:fldCharType="begin"/>
      </w:r>
      <w:r w:rsidR="00CA6345">
        <w:instrText xml:space="preserve"> ADDIN ZOTERO_ITEM CSL_CITATION {"citationID":"wYca4n4m","properties":{"formattedCitation":"\\super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00670D58">
        <w:fldChar w:fldCharType="separate"/>
      </w:r>
      <w:r w:rsidR="00CA6345" w:rsidRPr="00CA6345">
        <w:rPr>
          <w:rFonts w:cs="Arial"/>
          <w:szCs w:val="24"/>
          <w:vertAlign w:val="superscript"/>
        </w:rPr>
        <w:t>121</w:t>
      </w:r>
      <w:r w:rsidR="00670D58">
        <w:fldChar w:fldCharType="end"/>
      </w:r>
    </w:p>
    <w:p w14:paraId="1A3BC336" w14:textId="77777777" w:rsidR="003D4653" w:rsidRDefault="003D4653" w:rsidP="00E815F6">
      <w:pPr>
        <w:pStyle w:val="Body"/>
        <w:rPr>
          <w:rStyle w:val="normaltextrun"/>
        </w:rPr>
        <w:sectPr w:rsidR="003D4653">
          <w:footnotePr>
            <w:numFmt w:val="lowerLetter"/>
          </w:footnotePr>
          <w:pgSz w:w="11906" w:h="16838"/>
          <w:pgMar w:top="1440" w:right="1440" w:bottom="1440" w:left="1440" w:header="708" w:footer="708" w:gutter="0"/>
          <w:cols w:space="708"/>
          <w:docGrid w:linePitch="360"/>
        </w:sectPr>
      </w:pPr>
    </w:p>
    <w:p w14:paraId="129D6AC5" w14:textId="1A3AB5B1" w:rsidR="00A9491F" w:rsidRPr="002646F6" w:rsidRDefault="00A9491F" w:rsidP="00A9491F">
      <w:pPr>
        <w:pStyle w:val="Caption"/>
      </w:pPr>
      <w:bookmarkStart w:id="65" w:name="_Ref121942625"/>
      <w:bookmarkStart w:id="66" w:name="_Ref125463580"/>
      <w:bookmarkStart w:id="67" w:name="_Toc129350980"/>
      <w:r w:rsidRPr="002646F6">
        <w:lastRenderedPageBreak/>
        <w:t xml:space="preserve">Table </w:t>
      </w:r>
      <w:r>
        <w:fldChar w:fldCharType="begin"/>
      </w:r>
      <w:r>
        <w:instrText>SEQ Table \* ARABIC</w:instrText>
      </w:r>
      <w:r>
        <w:fldChar w:fldCharType="separate"/>
      </w:r>
      <w:r w:rsidR="00145F42">
        <w:rPr>
          <w:noProof/>
        </w:rPr>
        <w:t>5</w:t>
      </w:r>
      <w:r>
        <w:fldChar w:fldCharType="end"/>
      </w:r>
      <w:bookmarkEnd w:id="65"/>
      <w:r w:rsidRPr="002646F6">
        <w:t>: PFS and OS outcomes by line of therapy</w:t>
      </w:r>
      <w:r w:rsidR="001F5ACB" w:rsidRPr="002646F6">
        <w:t xml:space="preserve"> in HER2-negative u/mBC</w:t>
      </w:r>
      <w:bookmarkEnd w:id="66"/>
      <w:bookmarkEnd w:id="67"/>
    </w:p>
    <w:tbl>
      <w:tblPr>
        <w:tblStyle w:val="GridTable1Light"/>
        <w:tblW w:w="143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2830"/>
        <w:gridCol w:w="1418"/>
        <w:gridCol w:w="2410"/>
        <w:gridCol w:w="4961"/>
        <w:gridCol w:w="1417"/>
        <w:gridCol w:w="1276"/>
      </w:tblGrid>
      <w:tr w:rsidR="00820711" w:rsidRPr="00CE5C68" w14:paraId="4ABCBE07" w14:textId="77777777" w:rsidTr="00636F1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0" w:type="dxa"/>
            <w:shd w:val="clear" w:color="auto" w:fill="E7E6E6" w:themeFill="background2"/>
            <w:vAlign w:val="center"/>
          </w:tcPr>
          <w:p w14:paraId="55D5D0AB" w14:textId="77777777" w:rsidR="00820711" w:rsidRPr="00CE5C68" w:rsidRDefault="00820711">
            <w:pPr>
              <w:pStyle w:val="Asctablesandfigures"/>
              <w:rPr>
                <w:rFonts w:ascii="Arial" w:hAnsi="Arial" w:cs="Arial"/>
                <w:sz w:val="20"/>
                <w:szCs w:val="20"/>
                <w:lang w:val="en-GB"/>
              </w:rPr>
            </w:pPr>
            <w:r>
              <w:rPr>
                <w:rFonts w:ascii="Arial" w:hAnsi="Arial" w:cs="Arial"/>
                <w:sz w:val="20"/>
                <w:szCs w:val="20"/>
                <w:lang w:val="en-GB"/>
              </w:rPr>
              <w:t>Author and study details</w:t>
            </w:r>
            <w:r w:rsidRPr="00CE5C68">
              <w:rPr>
                <w:rFonts w:ascii="Arial" w:hAnsi="Arial" w:cs="Arial"/>
                <w:sz w:val="20"/>
                <w:szCs w:val="20"/>
                <w:lang w:val="en-GB"/>
              </w:rPr>
              <w:t xml:space="preserve"> </w:t>
            </w:r>
          </w:p>
        </w:tc>
        <w:tc>
          <w:tcPr>
            <w:tcW w:w="1418" w:type="dxa"/>
            <w:shd w:val="clear" w:color="auto" w:fill="E7E6E6" w:themeFill="background2"/>
            <w:vAlign w:val="center"/>
          </w:tcPr>
          <w:p w14:paraId="06B3168D" w14:textId="77777777" w:rsidR="00820711" w:rsidRPr="0068438F" w:rsidRDefault="00820711">
            <w:pPr>
              <w:pStyle w:val="Asctablesandfigures"/>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GB"/>
              </w:rPr>
            </w:pPr>
            <w:r w:rsidRPr="0068438F">
              <w:rPr>
                <w:rFonts w:ascii="Arial" w:hAnsi="Arial" w:cs="Arial"/>
                <w:sz w:val="20"/>
                <w:szCs w:val="20"/>
                <w:lang w:val="en-GB"/>
              </w:rPr>
              <w:t>Study name</w:t>
            </w:r>
          </w:p>
        </w:tc>
        <w:tc>
          <w:tcPr>
            <w:tcW w:w="2410" w:type="dxa"/>
            <w:shd w:val="clear" w:color="auto" w:fill="E7E6E6" w:themeFill="background2"/>
            <w:vAlign w:val="center"/>
          </w:tcPr>
          <w:p w14:paraId="1F74DE51" w14:textId="77777777" w:rsidR="00820711" w:rsidRPr="00CE5C68" w:rsidRDefault="00820711">
            <w:pPr>
              <w:pStyle w:val="Asctablesandfigures"/>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Line of</w:t>
            </w:r>
            <w:r>
              <w:rPr>
                <w:rFonts w:ascii="Arial" w:hAnsi="Arial" w:cs="Arial"/>
                <w:sz w:val="20"/>
                <w:szCs w:val="20"/>
                <w:lang w:val="en-GB"/>
              </w:rPr>
              <w:t xml:space="preserve"> </w:t>
            </w:r>
            <w:r w:rsidRPr="00CE5C68">
              <w:rPr>
                <w:rFonts w:ascii="Arial" w:hAnsi="Arial" w:cs="Arial"/>
                <w:sz w:val="20"/>
                <w:szCs w:val="20"/>
                <w:lang w:val="en-GB"/>
              </w:rPr>
              <w:t>chemotherapy</w:t>
            </w:r>
            <w:r>
              <w:rPr>
                <w:rFonts w:ascii="Arial" w:hAnsi="Arial" w:cs="Arial"/>
                <w:sz w:val="20"/>
                <w:szCs w:val="20"/>
                <w:lang w:val="en-GB"/>
              </w:rPr>
              <w:t xml:space="preserve"> in the metastatic setting</w:t>
            </w:r>
          </w:p>
        </w:tc>
        <w:tc>
          <w:tcPr>
            <w:tcW w:w="4961" w:type="dxa"/>
            <w:shd w:val="clear" w:color="auto" w:fill="E7E6E6" w:themeFill="background2"/>
            <w:vAlign w:val="center"/>
          </w:tcPr>
          <w:p w14:paraId="61817AA7" w14:textId="77777777" w:rsidR="00820711" w:rsidRPr="00CE5C68" w:rsidRDefault="00820711">
            <w:pPr>
              <w:pStyle w:val="Asctablesandfigures"/>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Treatment</w:t>
            </w:r>
          </w:p>
        </w:tc>
        <w:tc>
          <w:tcPr>
            <w:tcW w:w="1417" w:type="dxa"/>
            <w:shd w:val="clear" w:color="auto" w:fill="E7E6E6" w:themeFill="background2"/>
            <w:vAlign w:val="center"/>
          </w:tcPr>
          <w:p w14:paraId="3F4B3F78" w14:textId="77777777" w:rsidR="00820711" w:rsidRPr="00CE5C68" w:rsidRDefault="00820711">
            <w:pPr>
              <w:pStyle w:val="Asctablesandfigures"/>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Median PFS, months</w:t>
            </w:r>
          </w:p>
        </w:tc>
        <w:tc>
          <w:tcPr>
            <w:tcW w:w="1276" w:type="dxa"/>
            <w:shd w:val="clear" w:color="auto" w:fill="E7E6E6" w:themeFill="background2"/>
            <w:vAlign w:val="center"/>
          </w:tcPr>
          <w:p w14:paraId="44CEC086" w14:textId="77777777" w:rsidR="00820711" w:rsidRPr="00CE5C68" w:rsidRDefault="00820711">
            <w:pPr>
              <w:pStyle w:val="Asctablesandfigures"/>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Median OS, months</w:t>
            </w:r>
          </w:p>
        </w:tc>
      </w:tr>
      <w:tr w:rsidR="00820711" w:rsidRPr="00CE5C68" w14:paraId="49FC63AB" w14:textId="77777777" w:rsidTr="00636F1E">
        <w:trPr>
          <w:trHeight w:val="20"/>
        </w:trPr>
        <w:tc>
          <w:tcPr>
            <w:cnfStyle w:val="001000000000" w:firstRow="0" w:lastRow="0" w:firstColumn="1" w:lastColumn="0" w:oddVBand="0" w:evenVBand="0" w:oddHBand="0" w:evenHBand="0" w:firstRowFirstColumn="0" w:firstRowLastColumn="0" w:lastRowFirstColumn="0" w:lastRowLastColumn="0"/>
            <w:tcW w:w="14312"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vAlign w:val="center"/>
          </w:tcPr>
          <w:p w14:paraId="45D2FB38" w14:textId="77777777" w:rsidR="00820711" w:rsidRPr="00CE5C68" w:rsidRDefault="00820711">
            <w:pPr>
              <w:pStyle w:val="Asctablesandfigures"/>
              <w:rPr>
                <w:rFonts w:ascii="Arial" w:hAnsi="Arial" w:cs="Arial"/>
                <w:sz w:val="20"/>
                <w:szCs w:val="20"/>
                <w:lang w:val="en-GB"/>
              </w:rPr>
            </w:pPr>
            <w:r w:rsidRPr="00CE5C68">
              <w:rPr>
                <w:rFonts w:ascii="Arial" w:hAnsi="Arial" w:cs="Arial"/>
                <w:sz w:val="20"/>
                <w:szCs w:val="20"/>
                <w:lang w:val="en-GB"/>
              </w:rPr>
              <w:t>HER2-negative</w:t>
            </w:r>
            <w:r>
              <w:rPr>
                <w:rFonts w:ascii="Arial" w:hAnsi="Arial" w:cs="Arial"/>
                <w:sz w:val="20"/>
                <w:szCs w:val="20"/>
                <w:lang w:val="en-GB"/>
              </w:rPr>
              <w:t>/HR-positive</w:t>
            </w:r>
          </w:p>
        </w:tc>
      </w:tr>
      <w:tr w:rsidR="00A659B4" w:rsidRPr="00CE5C68" w14:paraId="7626479E" w14:textId="77777777" w:rsidTr="00B65DDA">
        <w:trPr>
          <w:trHeight w:val="20"/>
        </w:trPr>
        <w:tc>
          <w:tcPr>
            <w:cnfStyle w:val="001000000000" w:firstRow="0" w:lastRow="0" w:firstColumn="1" w:lastColumn="0" w:oddVBand="0" w:evenVBand="0" w:oddHBand="0" w:evenHBand="0" w:firstRowFirstColumn="0" w:firstRowLastColumn="0" w:lastRowFirstColumn="0" w:lastRowLastColumn="0"/>
            <w:tcW w:w="2830" w:type="dxa"/>
            <w:vMerge w:val="restart"/>
            <w:shd w:val="clear" w:color="auto" w:fill="F2F2F2" w:themeFill="background1" w:themeFillShade="F2"/>
            <w:vAlign w:val="center"/>
          </w:tcPr>
          <w:p w14:paraId="0A69854B" w14:textId="77777777" w:rsidR="00A659B4" w:rsidRPr="00D850A4" w:rsidRDefault="00A659B4" w:rsidP="00A659B4">
            <w:pPr>
              <w:pStyle w:val="Asctablesandfigures"/>
              <w:rPr>
                <w:rFonts w:ascii="Arial" w:hAnsi="Arial" w:cs="Arial"/>
                <w:sz w:val="20"/>
                <w:szCs w:val="20"/>
                <w:lang w:val="da-DK"/>
              </w:rPr>
            </w:pPr>
            <w:r w:rsidRPr="00D850A4">
              <w:rPr>
                <w:rFonts w:ascii="Arial" w:hAnsi="Arial" w:cs="Arial"/>
                <w:sz w:val="20"/>
                <w:szCs w:val="20"/>
                <w:lang w:val="da-DK"/>
              </w:rPr>
              <w:t>Pivot et al., 2017</w:t>
            </w:r>
          </w:p>
          <w:p w14:paraId="75C471A9" w14:textId="1B300B32" w:rsidR="00A659B4" w:rsidRPr="003C648C" w:rsidRDefault="00A659B4" w:rsidP="00A659B4">
            <w:pPr>
              <w:pStyle w:val="Asctablesandfigures"/>
              <w:rPr>
                <w:rFonts w:ascii="Arial" w:hAnsi="Arial" w:cs="Arial"/>
                <w:sz w:val="20"/>
                <w:szCs w:val="20"/>
                <w:lang w:val="da-DK"/>
              </w:rPr>
            </w:pPr>
            <w:r w:rsidRPr="00D850A4">
              <w:rPr>
                <w:rFonts w:ascii="Arial" w:hAnsi="Arial" w:cs="Arial"/>
                <w:sz w:val="20"/>
                <w:szCs w:val="20"/>
                <w:lang w:val="da-DK"/>
              </w:rPr>
              <w:t>(NCT00337103) Phase III</w:t>
            </w:r>
            <w:r w:rsidRPr="00CE5C68">
              <w:rPr>
                <w:rFonts w:cs="Arial"/>
                <w:sz w:val="20"/>
                <w:szCs w:val="20"/>
              </w:rPr>
              <w:fldChar w:fldCharType="begin"/>
            </w:r>
            <w:r w:rsidR="00CA6345">
              <w:rPr>
                <w:rFonts w:ascii="Arial" w:hAnsi="Arial" w:cs="Arial"/>
                <w:sz w:val="20"/>
                <w:szCs w:val="20"/>
                <w:lang w:val="da-DK"/>
              </w:rPr>
              <w:instrText xml:space="preserve"> ADDIN ZOTERO_ITEM CSL_CITATION {"citationID":"sw8gkIJj","properties":{"formattedCitation":"\\super 46\\nosupersub{}","plainCitation":"46","noteIndex":0},"citationItems":[{"id":66150,"uris":["http://zotero.org/groups/4797619/items/FWP3JYLN"],"itemData":{"id":66150,"type":"article-journal","abstract":"This post hoc subgroup analysis of a large phase 3 study compared the efficacy and safety of eribulin versus capecitabine in patients with human epidermal growth factor receptor 2 (HER2)-negative metastatic breast cancer who received second-line treatment. In the phase 3 study, women with advanced/metastatic breast cancer and ≤ 3 prior chemotherapies were randomized 1:1 to eribulin mesilate 1.4 mg/m2 intravenously on days 1 and 8, or twice-daily oral capecitabine 1.25 g/m2 on days 1-14 (21-day cycles). This analysis included 392 patients. Median overall survival was longer in patients receiving eribulin compared with capecitabine (16.1 vs 13.5 months, respectively; HR 0.77, P = 0.026). Median progression-free survival and response rates were similar between arms. Both treatments had manageable safety profiles.","container-title":"Breast Cancer (Tokyo, Japan)","DOI":"10.1007/s12282-017-0826-4","ISSN":"1880-4233","issue":"3","journalAbbreviation":"Breast Cancer","language":"eng","note":"PMID: 29302858\nPMCID: PMC5906517","page":"370-374","source":"PubMed","title":"Subgroup analysis of patients with HER2-negative metastatic breast cancer in the second-line setting from a phase 3, open-label, randomized study of eribulin mesilate versus capecitabine","volume":"25","author":[{"family":"Pivot","given":"Xavier"},{"family":"Im","given":"Seock Ah"},{"family":"Guo","given":"Matthew"},{"family":"Marmé","given":"Frederik"}],"issued":{"date-parts":[["2018",5]]}}}],"schema":"https://github.com/citation-style-language/schema/raw/master/csl-citation.json"} </w:instrText>
            </w:r>
            <w:r w:rsidRPr="00CE5C68">
              <w:rPr>
                <w:rFonts w:cs="Arial"/>
                <w:sz w:val="20"/>
                <w:szCs w:val="20"/>
              </w:rPr>
              <w:fldChar w:fldCharType="separate"/>
            </w:r>
            <w:r w:rsidR="00FD57F4" w:rsidRPr="00CD6B06">
              <w:rPr>
                <w:rFonts w:ascii="Arial" w:hAnsi="Arial" w:cs="Arial"/>
                <w:sz w:val="20"/>
                <w:vertAlign w:val="superscript"/>
                <w:lang w:val="da-DK"/>
              </w:rPr>
              <w:t>46</w:t>
            </w:r>
            <w:r w:rsidRPr="00CE5C68">
              <w:rPr>
                <w:rFonts w:cs="Arial"/>
                <w:sz w:val="20"/>
                <w:szCs w:val="20"/>
              </w:rPr>
              <w:fldChar w:fldCharType="end"/>
            </w:r>
          </w:p>
        </w:tc>
        <w:tc>
          <w:tcPr>
            <w:tcW w:w="1418" w:type="dxa"/>
            <w:vMerge w:val="restart"/>
            <w:shd w:val="clear" w:color="auto" w:fill="auto"/>
            <w:vAlign w:val="center"/>
          </w:tcPr>
          <w:p w14:paraId="0C494BEC" w14:textId="4167DA5E"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Study 301</w:t>
            </w:r>
          </w:p>
        </w:tc>
        <w:tc>
          <w:tcPr>
            <w:tcW w:w="2410" w:type="dxa"/>
            <w:vMerge w:val="restart"/>
            <w:shd w:val="clear" w:color="auto" w:fill="auto"/>
            <w:vAlign w:val="center"/>
          </w:tcPr>
          <w:p w14:paraId="72F24305" w14:textId="1E11AE2F"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2</w:t>
            </w:r>
          </w:p>
        </w:tc>
        <w:tc>
          <w:tcPr>
            <w:tcW w:w="4961" w:type="dxa"/>
            <w:vMerge w:val="restart"/>
            <w:vAlign w:val="center"/>
          </w:tcPr>
          <w:p w14:paraId="5302100D" w14:textId="2753F1C8"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Eribulin</w:t>
            </w:r>
          </w:p>
        </w:tc>
        <w:tc>
          <w:tcPr>
            <w:tcW w:w="1417" w:type="dxa"/>
            <w:vAlign w:val="center"/>
          </w:tcPr>
          <w:p w14:paraId="112E98AB" w14:textId="5A6F3BAE"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4.2</w:t>
            </w:r>
          </w:p>
        </w:tc>
        <w:tc>
          <w:tcPr>
            <w:tcW w:w="1276" w:type="dxa"/>
            <w:vAlign w:val="center"/>
          </w:tcPr>
          <w:p w14:paraId="43A398B6" w14:textId="78515AA0"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16.1</w:t>
            </w:r>
          </w:p>
        </w:tc>
      </w:tr>
      <w:tr w:rsidR="00A659B4" w:rsidRPr="00CE5C68" w14:paraId="1BB4B3DA" w14:textId="77777777" w:rsidTr="00B65DDA">
        <w:trPr>
          <w:trHeight w:val="20"/>
        </w:trPr>
        <w:tc>
          <w:tcPr>
            <w:cnfStyle w:val="001000000000" w:firstRow="0" w:lastRow="0" w:firstColumn="1" w:lastColumn="0" w:oddVBand="0" w:evenVBand="0" w:oddHBand="0" w:evenHBand="0" w:firstRowFirstColumn="0" w:firstRowLastColumn="0" w:lastRowFirstColumn="0" w:lastRowLastColumn="0"/>
            <w:tcW w:w="2830" w:type="dxa"/>
            <w:vMerge/>
            <w:shd w:val="clear" w:color="auto" w:fill="F2F2F2" w:themeFill="background1" w:themeFillShade="F2"/>
            <w:vAlign w:val="center"/>
          </w:tcPr>
          <w:p w14:paraId="23AC91C2" w14:textId="77777777" w:rsidR="00A659B4" w:rsidRPr="00CE5C68" w:rsidDel="00A659B4" w:rsidRDefault="00A659B4" w:rsidP="00A659B4">
            <w:pPr>
              <w:pStyle w:val="Asctablesandfigures"/>
              <w:rPr>
                <w:rFonts w:ascii="Arial" w:hAnsi="Arial" w:cs="Arial"/>
                <w:sz w:val="20"/>
                <w:szCs w:val="20"/>
                <w:lang w:val="en-GB"/>
              </w:rPr>
            </w:pPr>
          </w:p>
        </w:tc>
        <w:tc>
          <w:tcPr>
            <w:tcW w:w="1418" w:type="dxa"/>
            <w:vMerge/>
            <w:shd w:val="clear" w:color="auto" w:fill="auto"/>
            <w:vAlign w:val="center"/>
          </w:tcPr>
          <w:p w14:paraId="2E6073DA" w14:textId="77777777" w:rsidR="00A659B4" w:rsidDel="00A659B4"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p>
        </w:tc>
        <w:tc>
          <w:tcPr>
            <w:tcW w:w="2410" w:type="dxa"/>
            <w:vMerge/>
            <w:shd w:val="clear" w:color="auto" w:fill="auto"/>
            <w:vAlign w:val="center"/>
          </w:tcPr>
          <w:p w14:paraId="45494AC3" w14:textId="77777777" w:rsidR="00A659B4" w:rsidRPr="00CE5C68" w:rsidDel="00A659B4"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p>
        </w:tc>
        <w:tc>
          <w:tcPr>
            <w:tcW w:w="4961" w:type="dxa"/>
            <w:vMerge/>
            <w:vAlign w:val="center"/>
          </w:tcPr>
          <w:p w14:paraId="27C5E924" w14:textId="77777777" w:rsidR="00A659B4" w:rsidRPr="00CE5C68" w:rsidDel="00A659B4"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p>
        </w:tc>
        <w:tc>
          <w:tcPr>
            <w:tcW w:w="1417" w:type="dxa"/>
            <w:vAlign w:val="center"/>
          </w:tcPr>
          <w:p w14:paraId="6E8DDCCC" w14:textId="273A461F" w:rsidR="00A659B4" w:rsidRPr="00CE5C68" w:rsidDel="00A659B4"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4.0</w:t>
            </w:r>
          </w:p>
        </w:tc>
        <w:tc>
          <w:tcPr>
            <w:tcW w:w="1276" w:type="dxa"/>
            <w:vAlign w:val="center"/>
          </w:tcPr>
          <w:p w14:paraId="535C6C54" w14:textId="01A0EB4E" w:rsidR="00A659B4" w:rsidRPr="00CE5C68" w:rsidDel="00A659B4"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13.5</w:t>
            </w:r>
          </w:p>
        </w:tc>
      </w:tr>
      <w:tr w:rsidR="00A659B4" w:rsidRPr="00CE5C68" w14:paraId="16701DBB" w14:textId="77777777" w:rsidTr="00B65DDA">
        <w:trPr>
          <w:trHeight w:val="20"/>
        </w:trPr>
        <w:tc>
          <w:tcPr>
            <w:cnfStyle w:val="001000000000" w:firstRow="0" w:lastRow="0" w:firstColumn="1" w:lastColumn="0" w:oddVBand="0" w:evenVBand="0" w:oddHBand="0" w:evenHBand="0" w:firstRowFirstColumn="0" w:firstRowLastColumn="0" w:lastRowFirstColumn="0" w:lastRowLastColumn="0"/>
            <w:tcW w:w="2830" w:type="dxa"/>
            <w:shd w:val="clear" w:color="auto" w:fill="F2F2F2" w:themeFill="background1" w:themeFillShade="F2"/>
            <w:vAlign w:val="center"/>
          </w:tcPr>
          <w:p w14:paraId="59645041" w14:textId="77777777" w:rsidR="00A659B4" w:rsidRPr="003C648C" w:rsidRDefault="00A659B4" w:rsidP="00A659B4">
            <w:pPr>
              <w:pStyle w:val="Asctablesandfigures"/>
              <w:rPr>
                <w:rFonts w:ascii="Arial" w:hAnsi="Arial" w:cs="Arial"/>
                <w:sz w:val="20"/>
                <w:szCs w:val="20"/>
                <w:lang w:val="da-DK"/>
              </w:rPr>
            </w:pPr>
            <w:r w:rsidRPr="003C648C">
              <w:rPr>
                <w:rFonts w:ascii="Arial" w:hAnsi="Arial" w:cs="Arial"/>
                <w:sz w:val="20"/>
                <w:szCs w:val="20"/>
                <w:lang w:val="da-DK"/>
              </w:rPr>
              <w:t>Pivot et al., 2016</w:t>
            </w:r>
          </w:p>
          <w:p w14:paraId="69B45112" w14:textId="1C7A0081" w:rsidR="00A659B4" w:rsidRPr="003C648C" w:rsidRDefault="00A659B4" w:rsidP="00A659B4">
            <w:pPr>
              <w:pStyle w:val="Asctablesandfigures"/>
              <w:rPr>
                <w:rFonts w:ascii="Arial" w:hAnsi="Arial" w:cs="Arial"/>
                <w:sz w:val="20"/>
                <w:szCs w:val="20"/>
                <w:lang w:val="da-DK"/>
              </w:rPr>
            </w:pPr>
            <w:r w:rsidRPr="003C648C">
              <w:rPr>
                <w:rFonts w:ascii="Arial" w:hAnsi="Arial" w:cs="Arial"/>
                <w:sz w:val="20"/>
                <w:szCs w:val="20"/>
                <w:lang w:val="da-DK"/>
              </w:rPr>
              <w:t>(NR) Phase III</w:t>
            </w:r>
            <w:r w:rsidRPr="00CE5C68">
              <w:rPr>
                <w:rFonts w:cs="Arial"/>
                <w:sz w:val="20"/>
                <w:szCs w:val="20"/>
              </w:rPr>
              <w:fldChar w:fldCharType="begin"/>
            </w:r>
            <w:r w:rsidR="00CA6345">
              <w:rPr>
                <w:rFonts w:ascii="Arial" w:hAnsi="Arial" w:cs="Arial"/>
                <w:sz w:val="20"/>
                <w:szCs w:val="20"/>
                <w:lang w:val="da-DK"/>
              </w:rPr>
              <w:instrText xml:space="preserve"> ADDIN ZOTERO_ITEM CSL_CITATION {"citationID":"PdX57tQU","properties":{"formattedCitation":"\\super 43\\nosupersub{}","plainCitation":"43","noteIndex":0},"citationItems":[{"id":66149,"uris":["http://zotero.org/groups/4797619/items/8M7DF85G"],"itemData":{"id":66149,"type":"article-journal","abstract":"BACKGROUND: Based on data from two multicenter, phase III clinical trials (Studies 301 and 305), eribulin (a microtubule dynamics inhibitor) is indicated in the European Union (EU) for patients with locally advanced or metastatic breast cancer (MBC) after ≥1 prior chemotherapy for advanced disease, including an anthracycline and a taxane in either the adjuvant or metastatic setting. Data from Studies 305 and 301 were pooled to investigate the efficacy of eribulin in various subgroups of patients who matched the EU label, including those with human epidermal growth factor receptor 2 (HER2)-negative and triple-negative disease.\nPATIENTS AND METHODS: In Study 305 (NCT00388726), patients were randomized 2:1 to eribulin mesylate 1.4 mg/m(2) (equivalent to eribulin 1.23 mg/m(2) [expressed as free base]) intravenously on days 1 and 8 every 21 days] or treatment of physician's choice after 2-5 prior chemotherapies (≥2 for advanced disease), including an anthracycline and a taxane (in early/advanced setting). In Study 301 (NCT00337103), patients were randomized 1:1 to eribulin (as above) or capecitabine (1.25 g/m(2) orally twice daily on days 1-14 every 21 days) following ≤3 prior chemotherapies (≤2 for advanced disease), including an anthracycline and a taxane. Efficacy end points were investigated in the intent-to-treat population and subgroups, pooled as discussed above.\nRESULTS: Overall, 1644 patients were included (eribulin: 946; control: 698); baseline characteristics were well matched. Overall survival was significantly longer with eribulin versus control (P &lt; 0.01), as were progression-free survival and clinical benefit rate (both P &lt; 0.05). Significant survival benefits with eribulin versus control were observed in a wide range of patient subgroups, including HER2-negative or triple-negative disease (all P &lt; 0.05).\nCONCLUSION: Our findings underline the survival benefit achieved by eribulin used according to EU label in the overall MBC population and in various subgroups of interest, including patients with HER2-negative and triple-negative disease.","container-title":"Annals of Oncology: Official Journal of the European Society for Medical Oncology","DOI":"10.1093/annonc/mdw203","ISSN":"1569-8041","issue":"8","journalAbbreviation":"Ann Oncol","language":"eng","note":"PMID: 27177860\nPMCID: PMC4959925","page":"1525-1531","source":"PubMed","title":"Pooled analyses of eribulin in metastatic breast cancer patients with at least one prior chemotherapy","volume":"27","author":[{"family":"Pivot","given":"X."},{"family":"Marmé","given":"F."},{"family":"Koenigsberg","given":"R."},{"family":"Guo","given":"M."},{"family":"Berrak","given":"E."},{"family":"Wolfer","given":"A."}],"issued":{"date-parts":[["2016",8]]}}}],"schema":"https://github.com/citation-style-language/schema/raw/master/csl-citation.json"} </w:instrText>
            </w:r>
            <w:r w:rsidRPr="00CE5C68">
              <w:rPr>
                <w:rFonts w:cs="Arial"/>
                <w:sz w:val="20"/>
                <w:szCs w:val="20"/>
              </w:rPr>
              <w:fldChar w:fldCharType="separate"/>
            </w:r>
            <w:r w:rsidR="00FD57F4" w:rsidRPr="00FD57F4">
              <w:rPr>
                <w:rFonts w:ascii="Arial" w:hAnsi="Arial" w:cs="Arial"/>
                <w:sz w:val="20"/>
                <w:vertAlign w:val="superscript"/>
              </w:rPr>
              <w:t>43</w:t>
            </w:r>
            <w:r w:rsidRPr="00CE5C68">
              <w:rPr>
                <w:rFonts w:cs="Arial"/>
                <w:sz w:val="20"/>
                <w:szCs w:val="20"/>
              </w:rPr>
              <w:fldChar w:fldCharType="end"/>
            </w:r>
          </w:p>
        </w:tc>
        <w:tc>
          <w:tcPr>
            <w:tcW w:w="1418" w:type="dxa"/>
            <w:shd w:val="clear" w:color="auto" w:fill="auto"/>
            <w:vAlign w:val="center"/>
          </w:tcPr>
          <w:p w14:paraId="45970F2F" w14:textId="140794BC"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Study 301 and Study 305</w:t>
            </w:r>
          </w:p>
        </w:tc>
        <w:tc>
          <w:tcPr>
            <w:tcW w:w="2410" w:type="dxa"/>
            <w:shd w:val="clear" w:color="auto" w:fill="auto"/>
            <w:vAlign w:val="center"/>
          </w:tcPr>
          <w:p w14:paraId="4F2E4A47" w14:textId="01E1B9CE"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w:t>
            </w:r>
            <w:r>
              <w:rPr>
                <w:rFonts w:ascii="Arial" w:hAnsi="Arial" w:cs="Arial"/>
                <w:sz w:val="20"/>
                <w:szCs w:val="20"/>
                <w:lang w:val="en-GB"/>
              </w:rPr>
              <w:t>2</w:t>
            </w:r>
          </w:p>
        </w:tc>
        <w:tc>
          <w:tcPr>
            <w:tcW w:w="4961" w:type="dxa"/>
            <w:vAlign w:val="center"/>
          </w:tcPr>
          <w:p w14:paraId="3DE45538" w14:textId="4BA1CE94"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Eribulin</w:t>
            </w:r>
          </w:p>
        </w:tc>
        <w:tc>
          <w:tcPr>
            <w:tcW w:w="1417" w:type="dxa"/>
            <w:vAlign w:val="center"/>
          </w:tcPr>
          <w:p w14:paraId="7BA60D7F" w14:textId="5C23C251"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3.7</w:t>
            </w:r>
          </w:p>
        </w:tc>
        <w:tc>
          <w:tcPr>
            <w:tcW w:w="1276" w:type="dxa"/>
            <w:vAlign w:val="center"/>
          </w:tcPr>
          <w:p w14:paraId="2C60BE45" w14:textId="53F18B15"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15.1</w:t>
            </w:r>
          </w:p>
        </w:tc>
      </w:tr>
      <w:tr w:rsidR="00A659B4" w:rsidRPr="00CE5C68" w14:paraId="6B0F7028" w14:textId="77777777" w:rsidTr="00636F1E">
        <w:trPr>
          <w:trHeight w:val="20"/>
        </w:trPr>
        <w:tc>
          <w:tcPr>
            <w:cnfStyle w:val="001000000000" w:firstRow="0" w:lastRow="0" w:firstColumn="1" w:lastColumn="0" w:oddVBand="0" w:evenVBand="0" w:oddHBand="0" w:evenHBand="0" w:firstRowFirstColumn="0" w:firstRowLastColumn="0" w:lastRowFirstColumn="0" w:lastRowLastColumn="0"/>
            <w:tcW w:w="2830" w:type="dxa"/>
            <w:vMerge w:val="restart"/>
            <w:shd w:val="clear" w:color="auto" w:fill="F2F2F2" w:themeFill="background1" w:themeFillShade="F2"/>
            <w:vAlign w:val="center"/>
          </w:tcPr>
          <w:p w14:paraId="4A38440B" w14:textId="77777777" w:rsidR="00A659B4" w:rsidRPr="003C648C" w:rsidRDefault="00A659B4" w:rsidP="00A659B4">
            <w:pPr>
              <w:pStyle w:val="Asctablesandfigures"/>
              <w:rPr>
                <w:rFonts w:ascii="Arial" w:hAnsi="Arial" w:cs="Arial"/>
                <w:sz w:val="20"/>
                <w:szCs w:val="20"/>
                <w:lang w:val="da-DK"/>
              </w:rPr>
            </w:pPr>
            <w:r w:rsidRPr="003C648C">
              <w:rPr>
                <w:rFonts w:ascii="Arial" w:hAnsi="Arial" w:cs="Arial"/>
                <w:sz w:val="20"/>
                <w:szCs w:val="20"/>
                <w:lang w:val="da-DK"/>
              </w:rPr>
              <w:t xml:space="preserve">Twelves et al., 2016 </w:t>
            </w:r>
          </w:p>
          <w:p w14:paraId="6B97249F" w14:textId="06E9890A" w:rsidR="00A659B4" w:rsidRPr="003C648C" w:rsidRDefault="00A659B4" w:rsidP="00A659B4">
            <w:pPr>
              <w:pStyle w:val="Asctablesandfigures"/>
              <w:rPr>
                <w:rFonts w:ascii="Arial" w:hAnsi="Arial" w:cs="Arial"/>
                <w:sz w:val="20"/>
                <w:szCs w:val="20"/>
                <w:lang w:val="da-DK"/>
              </w:rPr>
            </w:pPr>
            <w:r w:rsidRPr="003C648C">
              <w:rPr>
                <w:rFonts w:ascii="Arial" w:hAnsi="Arial" w:cs="Arial"/>
                <w:sz w:val="20"/>
                <w:szCs w:val="20"/>
                <w:lang w:val="da-DK"/>
              </w:rPr>
              <w:t>(NCT00337103) Phase III</w:t>
            </w:r>
            <w:r w:rsidRPr="00CE5C68">
              <w:rPr>
                <w:rFonts w:ascii="Arial" w:hAnsi="Arial" w:cs="Arial"/>
                <w:sz w:val="20"/>
                <w:szCs w:val="20"/>
                <w:lang w:val="en-GB"/>
              </w:rPr>
              <w:fldChar w:fldCharType="begin"/>
            </w:r>
            <w:r w:rsidR="00CA6345">
              <w:rPr>
                <w:rFonts w:ascii="Arial" w:hAnsi="Arial" w:cs="Arial"/>
                <w:sz w:val="20"/>
                <w:szCs w:val="20"/>
                <w:lang w:val="da-DK"/>
              </w:rPr>
              <w:instrText xml:space="preserve"> ADDIN ZOTERO_ITEM CSL_CITATION {"citationID":"SjKCOnuJ","properties":{"formattedCitation":"\\super 45\\nosupersub{}","plainCitation":"45","noteIndex":0},"citationItems":[{"id":66151,"uris":["http://zotero.org/groups/4797619/items/RLDAE79H"],"itemData":{"id":66151,"type":"article-journal","abstract":"PURPOSE AND METHODS: Our secondary analyses compared survival with eribulin versus capecitabine in various patient subgroups from a phase 3, open-label, randomized study. Eligible women aged ≥18 years with advanced/metastatic breast cancer and ≤3 prior chemotherapies (≤2 for advanced/metastatic disease), including an anthracycline and taxane, were randomized 1:1 to intravenous eribulin mesylate 1.4 mg/m(2) on days 1 and 8 or twice-daily oral capecitabine 1250 mg/m(2) on days 1-14 (21-day cycles).\nRESULTS: In the intent-to-treat population (eribulin 554 and capecitabine 548), overall survival appeared longer with eribulin than capecitabine in various subgroups, including patients with human epidermal growth factor receptor 2-negative (15.9 versus 13.5 months, respectively), estrogen receptor-negative (14.4 versus 10.5 months, respectively), and triple-negative (14.4 versus 9.4 months, respectively) disease. Progression-free survival was similar between the treatment arms.\nCONCLUSIONS: Patients with advanced/metastatic breast cancer and human epidermal growth factor receptor 2-, estrogen receptor-, or triple-negative disease may gain particular benefit from eribulin as first-, second-, and third-line chemotherapies.\nTRIAL REGISTRATION PRIMARY STUDY: This study reports the subgroup analyses of eribulin versus capecitabine from a phase 3, open-label, randomized study (www.clinicaltrials.gov; ClinicalTrials.gov identifier: NCT00337103).","container-title":"Breast Cancer: Basic and Clinical Research","DOI":"10.4137/BCBCR.S39615","ISSN":"1178-2234","journalAbbreviation":"Breast Cancer (Auckl)","language":"eng","note":"PMID: 27398025\nPMCID: PMC4927108","page":"77-84","source":"PubMed","title":"Subgroup Analyses from a Phase 3, Open-Label, Randomized Study of Eribulin Mesylate Versus Capecitabine in Pretreated Patients with Advanced or Metastatic Breast Cancer","volume":"10","author":[{"family":"Twelves","given":"Chris"},{"family":"Awada","given":"Ahmad"},{"family":"Cortes","given":"Javier"},{"family":"Yelle","given":"Louise"},{"family":"Velikova","given":"Galina"},{"family":"Olivo","given":"Martin S."},{"family":"Song","given":"James"},{"family":"Dutcus","given":"Corina E."},{"family":"Kaufman","given":"Peter A."}],"issued":{"date-parts":[["2016"]]}}}],"schema":"https://github.com/citation-style-language/schema/raw/master/csl-citation.json"} </w:instrText>
            </w:r>
            <w:r w:rsidRPr="00CE5C68">
              <w:rPr>
                <w:rFonts w:ascii="Arial" w:hAnsi="Arial" w:cs="Arial"/>
                <w:sz w:val="20"/>
                <w:szCs w:val="20"/>
                <w:lang w:val="en-GB"/>
              </w:rPr>
              <w:fldChar w:fldCharType="separate"/>
            </w:r>
            <w:r w:rsidR="00FD57F4" w:rsidRPr="00CD6B06">
              <w:rPr>
                <w:rFonts w:ascii="Arial" w:hAnsi="Arial" w:cs="Arial"/>
                <w:sz w:val="20"/>
                <w:vertAlign w:val="superscript"/>
                <w:lang w:val="da-DK"/>
              </w:rPr>
              <w:t>45</w:t>
            </w:r>
            <w:r w:rsidRPr="00CE5C68">
              <w:rPr>
                <w:rFonts w:ascii="Arial" w:hAnsi="Arial" w:cs="Arial"/>
                <w:sz w:val="20"/>
                <w:szCs w:val="20"/>
                <w:lang w:val="en-GB"/>
              </w:rPr>
              <w:fldChar w:fldCharType="end"/>
            </w:r>
          </w:p>
        </w:tc>
        <w:tc>
          <w:tcPr>
            <w:tcW w:w="1418" w:type="dxa"/>
            <w:vMerge w:val="restart"/>
            <w:shd w:val="clear" w:color="auto" w:fill="auto"/>
            <w:vAlign w:val="center"/>
          </w:tcPr>
          <w:p w14:paraId="2064E4AB" w14:textId="22F41A15"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Study 301</w:t>
            </w:r>
          </w:p>
        </w:tc>
        <w:tc>
          <w:tcPr>
            <w:tcW w:w="2410" w:type="dxa"/>
            <w:vMerge w:val="restart"/>
            <w:shd w:val="clear" w:color="auto" w:fill="auto"/>
            <w:vAlign w:val="center"/>
          </w:tcPr>
          <w:p w14:paraId="59A5462B" w14:textId="06EF64C4"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w:t>
            </w:r>
            <w:r w:rsidRPr="17701C29">
              <w:rPr>
                <w:rFonts w:ascii="Arial" w:hAnsi="Arial" w:cs="Arial"/>
                <w:sz w:val="20"/>
                <w:szCs w:val="20"/>
                <w:lang w:val="en-GB"/>
              </w:rPr>
              <w:t xml:space="preserve">2 </w:t>
            </w:r>
          </w:p>
        </w:tc>
        <w:tc>
          <w:tcPr>
            <w:tcW w:w="4961" w:type="dxa"/>
            <w:vAlign w:val="center"/>
          </w:tcPr>
          <w:p w14:paraId="3481B57D"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Eribulin</w:t>
            </w:r>
          </w:p>
        </w:tc>
        <w:tc>
          <w:tcPr>
            <w:tcW w:w="1417" w:type="dxa"/>
            <w:vAlign w:val="center"/>
          </w:tcPr>
          <w:p w14:paraId="6F1C5C64" w14:textId="3F3035F4"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4.1</w:t>
            </w:r>
          </w:p>
        </w:tc>
        <w:tc>
          <w:tcPr>
            <w:tcW w:w="1276" w:type="dxa"/>
            <w:vAlign w:val="center"/>
          </w:tcPr>
          <w:p w14:paraId="2E115C52"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15.9</w:t>
            </w:r>
          </w:p>
        </w:tc>
      </w:tr>
      <w:tr w:rsidR="00A659B4" w:rsidRPr="00CE5C68" w14:paraId="741E76B8" w14:textId="77777777" w:rsidTr="00636F1E">
        <w:trPr>
          <w:trHeight w:val="20"/>
        </w:trPr>
        <w:tc>
          <w:tcPr>
            <w:cnfStyle w:val="001000000000" w:firstRow="0" w:lastRow="0" w:firstColumn="1" w:lastColumn="0" w:oddVBand="0" w:evenVBand="0" w:oddHBand="0" w:evenHBand="0" w:firstRowFirstColumn="0" w:firstRowLastColumn="0" w:lastRowFirstColumn="0" w:lastRowLastColumn="0"/>
            <w:tcW w:w="2830" w:type="dxa"/>
            <w:vMerge/>
            <w:shd w:val="clear" w:color="auto" w:fill="F2F2F2" w:themeFill="background1" w:themeFillShade="F2"/>
            <w:vAlign w:val="center"/>
          </w:tcPr>
          <w:p w14:paraId="4A4E9B7A" w14:textId="77777777" w:rsidR="00A659B4" w:rsidRPr="00CE5C68" w:rsidRDefault="00A659B4" w:rsidP="00A659B4">
            <w:pPr>
              <w:pStyle w:val="Asctablesandfigures"/>
              <w:rPr>
                <w:rFonts w:ascii="Arial" w:hAnsi="Arial" w:cs="Arial"/>
                <w:sz w:val="20"/>
                <w:szCs w:val="20"/>
                <w:lang w:val="en-GB"/>
              </w:rPr>
            </w:pPr>
          </w:p>
        </w:tc>
        <w:tc>
          <w:tcPr>
            <w:tcW w:w="1418" w:type="dxa"/>
            <w:vMerge/>
            <w:shd w:val="clear" w:color="auto" w:fill="auto"/>
            <w:vAlign w:val="center"/>
          </w:tcPr>
          <w:p w14:paraId="44AF755B" w14:textId="77777777" w:rsidR="00A659B4" w:rsidRPr="17701C29"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p>
        </w:tc>
        <w:tc>
          <w:tcPr>
            <w:tcW w:w="2410" w:type="dxa"/>
            <w:vMerge/>
            <w:shd w:val="clear" w:color="auto" w:fill="auto"/>
            <w:vAlign w:val="center"/>
          </w:tcPr>
          <w:p w14:paraId="1A35FC54" w14:textId="77777777" w:rsidR="00A659B4" w:rsidRPr="17701C29"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p>
        </w:tc>
        <w:tc>
          <w:tcPr>
            <w:tcW w:w="4961" w:type="dxa"/>
            <w:vAlign w:val="center"/>
          </w:tcPr>
          <w:p w14:paraId="241DD4F2"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Capecitabine</w:t>
            </w:r>
          </w:p>
        </w:tc>
        <w:tc>
          <w:tcPr>
            <w:tcW w:w="1417" w:type="dxa"/>
            <w:vAlign w:val="center"/>
          </w:tcPr>
          <w:p w14:paraId="277F04C2" w14:textId="02CBA6F9"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3.9</w:t>
            </w:r>
          </w:p>
        </w:tc>
        <w:tc>
          <w:tcPr>
            <w:tcW w:w="1276" w:type="dxa"/>
            <w:vAlign w:val="center"/>
          </w:tcPr>
          <w:p w14:paraId="4EE64CD5" w14:textId="0DA6027E"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13.5</w:t>
            </w:r>
          </w:p>
        </w:tc>
      </w:tr>
      <w:tr w:rsidR="00A659B4" w:rsidRPr="00CE5C68" w14:paraId="7810FF6D" w14:textId="77777777" w:rsidTr="00636F1E">
        <w:trPr>
          <w:trHeight w:val="20"/>
        </w:trPr>
        <w:tc>
          <w:tcPr>
            <w:cnfStyle w:val="001000000000" w:firstRow="0" w:lastRow="0" w:firstColumn="1" w:lastColumn="0" w:oddVBand="0" w:evenVBand="0" w:oddHBand="0" w:evenHBand="0" w:firstRowFirstColumn="0" w:firstRowLastColumn="0" w:lastRowFirstColumn="0" w:lastRowLastColumn="0"/>
            <w:tcW w:w="2830" w:type="dxa"/>
            <w:shd w:val="clear" w:color="auto" w:fill="F2F2F2" w:themeFill="background1" w:themeFillShade="F2"/>
            <w:vAlign w:val="center"/>
          </w:tcPr>
          <w:p w14:paraId="76DF88C5" w14:textId="77777777" w:rsidR="00A659B4" w:rsidRPr="005A458E" w:rsidRDefault="00A659B4" w:rsidP="00A659B4">
            <w:pPr>
              <w:pStyle w:val="Asctablesandfigures"/>
              <w:rPr>
                <w:rFonts w:ascii="Arial" w:hAnsi="Arial" w:cs="Arial"/>
                <w:sz w:val="20"/>
                <w:szCs w:val="20"/>
                <w:lang w:val="en-GB"/>
              </w:rPr>
            </w:pPr>
            <w:r w:rsidRPr="005A458E">
              <w:rPr>
                <w:rFonts w:ascii="Arial" w:hAnsi="Arial" w:cs="Arial"/>
                <w:sz w:val="20"/>
                <w:szCs w:val="20"/>
                <w:lang w:val="en-GB"/>
              </w:rPr>
              <w:t xml:space="preserve">Yardley et al., 2016 </w:t>
            </w:r>
            <w:sdt>
              <w:sdtPr>
                <w:rPr>
                  <w:rFonts w:ascii="Arial" w:hAnsi="Arial" w:cs="Arial"/>
                  <w:color w:val="000000"/>
                  <w:sz w:val="20"/>
                  <w:szCs w:val="20"/>
                  <w:lang w:val="en-GB"/>
                </w:rPr>
                <w:tag w:val="MENDELEY_CITATION_v3_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"/>
                <w:id w:val="667369092"/>
                <w:placeholder>
                  <w:docPart w:val="8C143A42E93E4E6B8C3F432F3C1C8FD7"/>
                </w:placeholder>
              </w:sdtPr>
              <w:sdtEndPr/>
              <w:sdtContent>
                <w:r w:rsidRPr="005A458E">
                  <w:rPr>
                    <w:rFonts w:ascii="Arial" w:hAnsi="Arial" w:cs="Arial"/>
                    <w:color w:val="000000"/>
                    <w:sz w:val="20"/>
                    <w:szCs w:val="20"/>
                    <w:lang w:val="en-GB"/>
                  </w:rPr>
                  <w:t>(298)</w:t>
                </w:r>
              </w:sdtContent>
            </w:sdt>
          </w:p>
          <w:p w14:paraId="788EF662" w14:textId="3E2BFDF5" w:rsidR="00A659B4" w:rsidRPr="00CE5C68" w:rsidRDefault="00A659B4" w:rsidP="00A659B4">
            <w:pPr>
              <w:pStyle w:val="Asctablesandfigures"/>
              <w:rPr>
                <w:rFonts w:ascii="Arial" w:hAnsi="Arial" w:cs="Arial"/>
                <w:sz w:val="20"/>
                <w:szCs w:val="20"/>
                <w:lang w:val="en-GB"/>
              </w:rPr>
            </w:pPr>
            <w:r w:rsidRPr="005A458E">
              <w:rPr>
                <w:rFonts w:ascii="Arial" w:hAnsi="Arial" w:cs="Arial"/>
                <w:sz w:val="20"/>
                <w:szCs w:val="20"/>
                <w:lang w:val="en-GB"/>
              </w:rPr>
              <w:t>(NCT01427933) Phase II</w:t>
            </w:r>
            <w:r>
              <w:rPr>
                <w:rFonts w:ascii="Arial" w:hAnsi="Arial" w:cs="Arial"/>
                <w:sz w:val="20"/>
                <w:szCs w:val="20"/>
                <w:lang w:val="en-GB"/>
              </w:rPr>
              <w:fldChar w:fldCharType="begin"/>
            </w:r>
            <w:r w:rsidR="00CA6345" w:rsidRPr="005A458E">
              <w:rPr>
                <w:rFonts w:ascii="Arial" w:hAnsi="Arial" w:cs="Arial"/>
                <w:sz w:val="20"/>
                <w:szCs w:val="20"/>
                <w:lang w:val="en-GB"/>
              </w:rPr>
              <w:instrText xml:space="preserve"> ADDIN ZOTERO_ITEM CSL_CITATION {"citationID":"Hp6XHcz8","properties":{"formattedCitation":"\\super 47\\nosupersub{}","plainCitation":"47","noteIndex":0},"citationItems":[{"id":66278,"uris":["http://zotero.org/groups/4797619/items/L9C8M9U3"],"itemData":{"id":66278,"type":"article-journal","abstract":"BACKGROUND: Use of antiangiogenic agents in treatment of metastatic breast cancer (MBC) remains controversial. We evaluated the efficacy and safety of ramucirumab and eribulin versus eribulin alone as third- to fifth-line therapy in women with advanced breast cancer.\nPATIENTS AND METHODS: In this randomized (1:1), open-label, phase II study, US women aged 18 years or older with 2 to 4 previous chemotherapy regimens for locally recurrent or MBC, previous anthracycline and taxane treatment, and Eastern Cooperative Oncology Group performance status of 0 or 1 received ramucirumab with eribulin or eribulin alone in 21-day cycles (eribulin 1.4 mg/m2 intravenously on days 1 and 8; ramucirumab 10 mg/kg intravenously on day 1). Randomization was stratified according to previous antiangiogenic therapy and triple-negative status. The primary end point was progression-free survival (PFS) in the intention to treat population.\nRESULTS: One hundred forty-one women were randomized to ramucirumab with eribulin (n = 71) or eribulin alone (n = 70). Median PFS for ramucirumab with eribulin was 4.4 months (95% confidence interval [CI], 3.1-6.7) compared with 4.1 months (95% CI, 3.2-5.6) for eribulin (hazard ratio [HR], 0.83; 95% CI, 0.56-1.23; P = .35). Median overall survival in patients who received ramucirumab with eribulin was 13.5 months (95% CI, 10.4-17.9) compared with 11.5 months (95% CI, 9.0-17.3) in patients who received eribulin alone (HR, 0.91; 95% CI, 0.59-1.41; P = .68); objective response rate was 21% (13 of 62 patients) for the combination and 28% (17 of 60 patients) for eribulin alone. No unexpected toxicity was identified for the combination.\nCONCLUSION: Ramucirumab combined with eribulin did not significantly improve PFS in advanced MBC.","container-title":"Clinical Breast Cancer","DOI":"10.1016/j.clbc.2016.07.005","ISSN":"1938-0666","issue":"6","journalAbbreviation":"Clin Breast Cancer","language":"eng","note":"PMID: 27569274","page":"471-479.e1","source":"PubMed","title":"Ramucirumab With Eribulin Versus Eribulin in Locally Recurrent or Metastatic Breast Cancer Previously Treated With Anthracycline and Taxane Therapy: A Multicenter, Randomized, Phase II Study","title-short":"Ramucirumab With Eribulin Versus Eribulin in Locally Recurrent or Metastatic Breast Cancer Previously Treated With Anthracycline and Taxane Therapy","volume":"16","author":[{"family":"Yardley","given":"Denise A."},{"family":"Reeves","given":"James"},{"family":"Dees","given":"E. Claire"},{"family":"Osborne","given":"Cynthia"},{"family":"Paul","given":"Devchand"},{"family":"Ademuyiwa","given":"Foluso"},{"family":"Soliman","given":"Hatem"},{"family":"Guthri</w:instrText>
            </w:r>
            <w:r w:rsidR="00CA6345">
              <w:rPr>
                <w:rFonts w:ascii="Arial" w:hAnsi="Arial" w:cs="Arial"/>
                <w:sz w:val="20"/>
                <w:szCs w:val="20"/>
                <w:lang w:val="da-DK"/>
              </w:rPr>
              <w:instrText xml:space="preserve">e","given":"Troy"},{"family":"Andersen","given":"Jay"},{"family":"Krekow","given":"Lea"},{"family":"Choksi","given":"Janak"},{"family":"Daniel","given":"Brooke"},{"family":"Danso","given":"Michael"},{"family":"Favret","given":"Anne"},{"family":"Oommen","given":"Sanjay"},{"family":"Brufsky","given":"Adam"},{"family":"Bromund","given":"Jane L."},{"family":"Lin","given":"Yong"},{"family":"Ibrahim","given":"Ayman B."},{"family":"Richards","given":"Paul D."}],"issued":{"date-parts":[["2016",12]]}}}],"schema":"https://github.com/citation-style-language/schema/raw/master/csl-citation.json"} </w:instrText>
            </w:r>
            <w:r>
              <w:rPr>
                <w:rFonts w:ascii="Arial" w:hAnsi="Arial" w:cs="Arial"/>
                <w:sz w:val="20"/>
                <w:szCs w:val="20"/>
                <w:lang w:val="en-GB"/>
              </w:rPr>
              <w:fldChar w:fldCharType="separate"/>
            </w:r>
            <w:r w:rsidR="00FD57F4" w:rsidRPr="00FD57F4">
              <w:rPr>
                <w:rFonts w:ascii="Arial" w:hAnsi="Arial" w:cs="Arial"/>
                <w:sz w:val="20"/>
                <w:vertAlign w:val="superscript"/>
              </w:rPr>
              <w:t>47</w:t>
            </w:r>
            <w:r>
              <w:rPr>
                <w:rFonts w:ascii="Arial" w:hAnsi="Arial" w:cs="Arial"/>
                <w:sz w:val="20"/>
                <w:szCs w:val="20"/>
                <w:lang w:val="en-GB"/>
              </w:rPr>
              <w:fldChar w:fldCharType="end"/>
            </w:r>
          </w:p>
        </w:tc>
        <w:tc>
          <w:tcPr>
            <w:tcW w:w="1418" w:type="dxa"/>
            <w:shd w:val="clear" w:color="auto" w:fill="auto"/>
            <w:vAlign w:val="center"/>
          </w:tcPr>
          <w:p w14:paraId="1F8F0185"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w:t>
            </w:r>
          </w:p>
        </w:tc>
        <w:tc>
          <w:tcPr>
            <w:tcW w:w="2410" w:type="dxa"/>
            <w:shd w:val="clear" w:color="auto" w:fill="auto"/>
            <w:vAlign w:val="center"/>
          </w:tcPr>
          <w:p w14:paraId="4C39FECB"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2-4</w:t>
            </w:r>
          </w:p>
        </w:tc>
        <w:tc>
          <w:tcPr>
            <w:tcW w:w="4961" w:type="dxa"/>
            <w:vAlign w:val="center"/>
          </w:tcPr>
          <w:p w14:paraId="67F0836A"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Eribulin</w:t>
            </w:r>
          </w:p>
        </w:tc>
        <w:tc>
          <w:tcPr>
            <w:tcW w:w="1417" w:type="dxa"/>
            <w:vAlign w:val="center"/>
          </w:tcPr>
          <w:p w14:paraId="10EE7944"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4.1</w:t>
            </w:r>
          </w:p>
        </w:tc>
        <w:tc>
          <w:tcPr>
            <w:tcW w:w="1276" w:type="dxa"/>
            <w:vAlign w:val="center"/>
          </w:tcPr>
          <w:p w14:paraId="27AECD91"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11.5</w:t>
            </w:r>
          </w:p>
        </w:tc>
      </w:tr>
      <w:tr w:rsidR="00A659B4" w:rsidRPr="00CE5C68" w14:paraId="150062C3" w14:textId="77777777" w:rsidTr="00636F1E">
        <w:trPr>
          <w:trHeight w:val="20"/>
        </w:trPr>
        <w:tc>
          <w:tcPr>
            <w:cnfStyle w:val="001000000000" w:firstRow="0" w:lastRow="0" w:firstColumn="1" w:lastColumn="0" w:oddVBand="0" w:evenVBand="0" w:oddHBand="0" w:evenHBand="0" w:firstRowFirstColumn="0" w:firstRowLastColumn="0" w:lastRowFirstColumn="0" w:lastRowLastColumn="0"/>
            <w:tcW w:w="2830" w:type="dxa"/>
            <w:shd w:val="clear" w:color="auto" w:fill="F2F2F2" w:themeFill="background1" w:themeFillShade="F2"/>
            <w:vAlign w:val="center"/>
          </w:tcPr>
          <w:p w14:paraId="3F23EAF0" w14:textId="77777777" w:rsidR="00A659B4" w:rsidRPr="00F710CB" w:rsidRDefault="00A659B4" w:rsidP="00A659B4">
            <w:pPr>
              <w:pStyle w:val="Asctablesandfigures"/>
              <w:rPr>
                <w:rFonts w:ascii="Arial" w:hAnsi="Arial" w:cs="Arial"/>
                <w:sz w:val="20"/>
                <w:szCs w:val="20"/>
                <w:lang w:val="fr-FR"/>
              </w:rPr>
            </w:pPr>
            <w:r w:rsidRPr="00F710CB">
              <w:rPr>
                <w:rFonts w:ascii="Arial" w:hAnsi="Arial" w:cs="Arial"/>
                <w:sz w:val="20"/>
                <w:szCs w:val="20"/>
                <w:lang w:val="fr-FR"/>
              </w:rPr>
              <w:t>Cortes et al., 2011</w:t>
            </w:r>
          </w:p>
          <w:p w14:paraId="5FF8DA38" w14:textId="39523C1C" w:rsidR="00A659B4" w:rsidRPr="00CE5C68" w:rsidRDefault="00A659B4" w:rsidP="00A659B4">
            <w:pPr>
              <w:pStyle w:val="Asctablesandfigures"/>
              <w:rPr>
                <w:rFonts w:ascii="Arial" w:hAnsi="Arial" w:cs="Arial"/>
                <w:sz w:val="20"/>
                <w:szCs w:val="20"/>
                <w:lang w:val="en-GB"/>
              </w:rPr>
            </w:pPr>
            <w:r w:rsidRPr="00F710CB">
              <w:rPr>
                <w:rFonts w:ascii="Arial" w:hAnsi="Arial" w:cs="Arial"/>
                <w:sz w:val="20"/>
                <w:szCs w:val="20"/>
                <w:lang w:val="fr-FR"/>
              </w:rPr>
              <w:t>(NCT00388726) Phase III</w:t>
            </w:r>
            <w:r w:rsidRPr="00CE5C68">
              <w:rPr>
                <w:rFonts w:ascii="Arial" w:hAnsi="Arial" w:cs="Arial"/>
                <w:sz w:val="20"/>
                <w:szCs w:val="20"/>
                <w:lang w:val="en-GB"/>
              </w:rPr>
              <w:fldChar w:fldCharType="begin"/>
            </w:r>
            <w:r w:rsidR="00CA6345">
              <w:rPr>
                <w:rFonts w:ascii="Arial" w:hAnsi="Arial" w:cs="Arial"/>
                <w:sz w:val="20"/>
                <w:szCs w:val="20"/>
                <w:lang w:val="fr-FR"/>
              </w:rPr>
              <w:instrText xml:space="preserve"> ADDIN ZOTERO_ITEM CSL_CITATION {"citationID":"vx3sy7oK","properties":{"formattedCitation":"\\super 44\\nosupersub{}","plainCitation":"44","noteIndex":0},"citationItems":[{"id":66152,"uris":["http://zotero.org/groups/4797619/items/K2TXU8UJ"],"itemData":{"id":66152,"type":"article-journal","abstract":"BACKGROUND: Treatments with survival benefit are greatly needed for women with heavily pretreated metastatic breast cancer. Eribulin mesilate is a non-taxane microtubule dynamics inhibitor with a novel mode of action. We aimed to compare overall survival of heavily pretreated patients receiving eribulin versus currently available treatments.\nMETHODS: In this phase 3 open-label study, women with locally recurrent or metastatic breast cancer were randomly allocated (2:1) to eribulin mesilate (1·4 mg/m(2) administered intravenously during 2-5 min on days 1 and 8 of a 21-day cycle) or treatment of physician's choice (TPC). Patients had received between two and five previous chemotherapy regimens (two or more for advanced disease), including an anthracycline and a taxane, unless contraindicated. Randomisation was stratified by geographical region, previous capecitabine treatment, and human epidermal growth factor receptor 2 status. Patients and investigators were not masked to treatment allocation. The primary endpoint was overall survival in the intention-to-treat population. This study is registered at ClinicalTrials.gov, number NCT00388726.\nFINDINGS: 762 women were randomly allocated to treatment groups (508 eribulin, 254 TPC). Overall survival was significantly improved in women assigned to eribulin (median 13·1 months, 95% CI 11·8-14·3) compared with TPC (10·6 months, 9·3-12·5; hazard ratio 0·81, 95% CI 0·66-0·99; p=0·041). The most common adverse events in both groups were asthenia or fatigue (270 [54%] of 503 patients on eribulin and 98 [40%] of 247 patients on TPC at all grades) and neutropenia (260 [52%] patients receiving eribulin and 73 [30%] of those on TPC at all grades). Peripheral neuropathy was the most common adverse event leading to discontinuation from eribulin, occurring in 24 (5%) of 503 patients.\nINTERPRETATION: Eribulin showed a significant and clinically meaningful improvement in overall survival compared with TPC in women with heavily pretreated metastatic breast cancer. This finding challenges the notion that improved overall survival is an unrealistic expectation during evaluation of new anticancer therapies in the refractory setting.\nFUNDING: Eisai.","container-title":"Lancet (London, England)","DOI":"10.1016/S0140-6736(11)60070-6","ISSN":"1474-547X","issue":"9769","journalAbbreviation":"Lancet","language":"eng","note":"PMID: 21376385","page":"914-923","source":"PubMed","title":"Eribulin monotherapy versus treatment of physician's choice in patients with metastatic breast cancer (EMBRACE): a phase 3 open-label randomised study","title-short":"Eribulin monotherapy versus treatment of physician's choice in patients with metastatic breast cancer (EMBRACE)","volume":"377","author":[{"family":"Cortes","given":"Javier"},{"family":"O'Shaughnessy","given":"Joyce"},{"family":"Loesch","given":"David"},{"family":"Blum","given":"Joanne L."},{"family":"Vahdat","given":"Linda T."},{"family":"Petrakova","given":"Katarina"},{"family":"Chollet","given":"Philippe"},{"family":"Manikas","given":"Alexey"},{"family":"Diéras","given":"Veronique"},{"family":"Delozier","given":"Thierry"},{"family":"Vladimirov","given":"Vladimir"},{"family":"Cardoso","given":"Fatima"},{"family":"Koh","given":"Han"},{"family":"Bougnoux","given":"Philippe"},{"family":"Dutcus","given":"Corina E."},{"family":"Seegobin","given":"Seth"},{"family":"Mir","given":"Denis"},{"family":"Meneses","given":"Nicole"},{"family":"Wanders","given":"Jantien"},{"family":"Twelves","given":"Chris"},{"literal":"EMBRACE (Eisai Metastatic Breast Cancer Study Assessing Physician's Choice Versus E7389) investigators"}],"issued":{"date-parts":[["2011",3,12]]}}}],"schema":"https://github.com/citation-style-language/schema/raw/master/csl-citation.json"} </w:instrText>
            </w:r>
            <w:r w:rsidRPr="00CE5C68">
              <w:rPr>
                <w:rFonts w:ascii="Arial" w:hAnsi="Arial" w:cs="Arial"/>
                <w:sz w:val="20"/>
                <w:szCs w:val="20"/>
                <w:lang w:val="en-GB"/>
              </w:rPr>
              <w:fldChar w:fldCharType="separate"/>
            </w:r>
            <w:r w:rsidR="00FD57F4" w:rsidRPr="00FD57F4">
              <w:rPr>
                <w:rFonts w:ascii="Arial" w:hAnsi="Arial" w:cs="Arial"/>
                <w:sz w:val="20"/>
                <w:vertAlign w:val="superscript"/>
              </w:rPr>
              <w:t>44</w:t>
            </w:r>
            <w:r w:rsidRPr="00CE5C68">
              <w:rPr>
                <w:rFonts w:ascii="Arial" w:hAnsi="Arial" w:cs="Arial"/>
                <w:sz w:val="20"/>
                <w:szCs w:val="20"/>
                <w:lang w:val="en-GB"/>
              </w:rPr>
              <w:fldChar w:fldCharType="end"/>
            </w:r>
          </w:p>
        </w:tc>
        <w:tc>
          <w:tcPr>
            <w:tcW w:w="1418" w:type="dxa"/>
            <w:shd w:val="clear" w:color="auto" w:fill="auto"/>
            <w:vAlign w:val="center"/>
          </w:tcPr>
          <w:p w14:paraId="68D878CC"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EMBRACE</w:t>
            </w:r>
          </w:p>
        </w:tc>
        <w:tc>
          <w:tcPr>
            <w:tcW w:w="2410" w:type="dxa"/>
            <w:shd w:val="clear" w:color="auto" w:fill="auto"/>
            <w:vAlign w:val="center"/>
          </w:tcPr>
          <w:p w14:paraId="539F1DDF" w14:textId="76266A9E"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AAAB3A">
              <w:rPr>
                <w:rFonts w:ascii="Arial" w:hAnsi="Arial" w:cs="Arial"/>
                <w:sz w:val="20"/>
                <w:szCs w:val="20"/>
                <w:lang w:val="en-GB"/>
              </w:rPr>
              <w:t>2</w:t>
            </w:r>
            <w:r>
              <w:rPr>
                <w:rFonts w:ascii="Arial" w:hAnsi="Arial" w:cs="Arial"/>
                <w:sz w:val="20"/>
                <w:szCs w:val="20"/>
                <w:lang w:val="en-GB"/>
              </w:rPr>
              <w:t>–</w:t>
            </w:r>
            <w:r w:rsidRPr="00AAAB3A">
              <w:rPr>
                <w:rFonts w:ascii="Arial" w:hAnsi="Arial" w:cs="Arial"/>
                <w:sz w:val="20"/>
                <w:szCs w:val="20"/>
                <w:lang w:val="en-GB"/>
              </w:rPr>
              <w:t xml:space="preserve">5 </w:t>
            </w:r>
          </w:p>
        </w:tc>
        <w:tc>
          <w:tcPr>
            <w:tcW w:w="4961" w:type="dxa"/>
            <w:vAlign w:val="center"/>
          </w:tcPr>
          <w:p w14:paraId="1A49E634"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Eribulin</w:t>
            </w:r>
          </w:p>
        </w:tc>
        <w:tc>
          <w:tcPr>
            <w:tcW w:w="1417" w:type="dxa"/>
            <w:vAlign w:val="center"/>
          </w:tcPr>
          <w:p w14:paraId="20112BD7"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3.6</w:t>
            </w:r>
          </w:p>
        </w:tc>
        <w:tc>
          <w:tcPr>
            <w:tcW w:w="1276" w:type="dxa"/>
            <w:vAlign w:val="center"/>
          </w:tcPr>
          <w:p w14:paraId="4DCB8D81"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13.2</w:t>
            </w:r>
          </w:p>
        </w:tc>
      </w:tr>
      <w:tr w:rsidR="00A659B4" w:rsidRPr="00CE5C68" w14:paraId="14DA906C" w14:textId="77777777" w:rsidTr="00636F1E">
        <w:trPr>
          <w:trHeight w:val="20"/>
        </w:trPr>
        <w:tc>
          <w:tcPr>
            <w:cnfStyle w:val="001000000000" w:firstRow="0" w:lastRow="0" w:firstColumn="1" w:lastColumn="0" w:oddVBand="0" w:evenVBand="0" w:oddHBand="0" w:evenHBand="0" w:firstRowFirstColumn="0" w:firstRowLastColumn="0" w:lastRowFirstColumn="0" w:lastRowLastColumn="0"/>
            <w:tcW w:w="14312"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vAlign w:val="center"/>
          </w:tcPr>
          <w:p w14:paraId="4AD97E99" w14:textId="77777777" w:rsidR="00A659B4" w:rsidRPr="00CE5C68" w:rsidRDefault="00A659B4" w:rsidP="00A659B4">
            <w:pPr>
              <w:pStyle w:val="Asctablesandfigures"/>
              <w:rPr>
                <w:rFonts w:ascii="Arial" w:hAnsi="Arial" w:cs="Arial"/>
                <w:sz w:val="20"/>
                <w:szCs w:val="20"/>
                <w:lang w:val="en-GB"/>
              </w:rPr>
            </w:pPr>
            <w:r>
              <w:rPr>
                <w:rFonts w:ascii="Arial" w:hAnsi="Arial" w:cs="Arial"/>
                <w:sz w:val="20"/>
                <w:szCs w:val="20"/>
                <w:lang w:val="en-GB"/>
              </w:rPr>
              <w:t>HER2-negative/HR-negative</w:t>
            </w:r>
            <w:r w:rsidRPr="00CE5C68">
              <w:rPr>
                <w:rFonts w:ascii="Arial" w:hAnsi="Arial" w:cs="Arial"/>
                <w:sz w:val="20"/>
                <w:szCs w:val="20"/>
                <w:lang w:val="en-GB"/>
              </w:rPr>
              <w:t xml:space="preserve"> (i.e., TNBC)</w:t>
            </w:r>
          </w:p>
        </w:tc>
      </w:tr>
      <w:tr w:rsidR="00A659B4" w:rsidRPr="00CE5C68" w14:paraId="7FE0BD41" w14:textId="77777777" w:rsidTr="00636F1E">
        <w:trPr>
          <w:trHeight w:val="20"/>
        </w:trPr>
        <w:tc>
          <w:tcPr>
            <w:cnfStyle w:val="001000000000" w:firstRow="0" w:lastRow="0" w:firstColumn="1" w:lastColumn="0" w:oddVBand="0" w:evenVBand="0" w:oddHBand="0" w:evenHBand="0" w:firstRowFirstColumn="0" w:firstRowLastColumn="0" w:lastRowFirstColumn="0" w:lastRowLastColumn="0"/>
            <w:tcW w:w="2830" w:type="dxa"/>
            <w:shd w:val="clear" w:color="auto" w:fill="F2F2F2" w:themeFill="background1" w:themeFillShade="F2"/>
            <w:vAlign w:val="center"/>
          </w:tcPr>
          <w:p w14:paraId="1FE334BC" w14:textId="77777777" w:rsidR="00A659B4" w:rsidRPr="00CE5C68" w:rsidRDefault="00A659B4" w:rsidP="00A659B4">
            <w:pPr>
              <w:pStyle w:val="Asctablesandfigures"/>
              <w:rPr>
                <w:rFonts w:ascii="Arial" w:hAnsi="Arial" w:cs="Arial"/>
                <w:sz w:val="20"/>
                <w:szCs w:val="20"/>
                <w:lang w:val="en-GB"/>
              </w:rPr>
            </w:pPr>
            <w:r w:rsidRPr="00CE5C68">
              <w:rPr>
                <w:rFonts w:ascii="Arial" w:hAnsi="Arial" w:cs="Arial"/>
                <w:sz w:val="20"/>
                <w:szCs w:val="20"/>
                <w:lang w:val="en-GB"/>
              </w:rPr>
              <w:t>Pivot et al., 2016</w:t>
            </w:r>
          </w:p>
          <w:p w14:paraId="6A6ADE4C" w14:textId="73E9E219" w:rsidR="00A659B4" w:rsidRPr="00CE5C68" w:rsidRDefault="00A659B4" w:rsidP="00A659B4">
            <w:pPr>
              <w:pStyle w:val="Asctablesandfigures"/>
              <w:rPr>
                <w:rFonts w:ascii="Arial" w:hAnsi="Arial" w:cs="Arial"/>
                <w:sz w:val="20"/>
                <w:szCs w:val="20"/>
                <w:lang w:val="en-GB"/>
              </w:rPr>
            </w:pPr>
            <w:r w:rsidRPr="003F091B">
              <w:rPr>
                <w:rFonts w:ascii="Arial" w:hAnsi="Arial" w:cs="Arial"/>
                <w:sz w:val="20"/>
                <w:szCs w:val="20"/>
                <w:lang w:val="en-GB"/>
              </w:rPr>
              <w:t>(NR) Phase III</w:t>
            </w:r>
            <w:r w:rsidRPr="00CE5C68">
              <w:rPr>
                <w:rFonts w:ascii="Arial" w:hAnsi="Arial" w:cs="Arial"/>
                <w:sz w:val="20"/>
                <w:szCs w:val="20"/>
                <w:lang w:val="en-GB"/>
              </w:rPr>
              <w:fldChar w:fldCharType="begin"/>
            </w:r>
            <w:r w:rsidR="00CA6345">
              <w:rPr>
                <w:rFonts w:ascii="Arial" w:hAnsi="Arial" w:cs="Arial"/>
                <w:sz w:val="20"/>
                <w:szCs w:val="20"/>
                <w:lang w:val="en-GB"/>
              </w:rPr>
              <w:instrText xml:space="preserve"> ADDIN ZOTERO_ITEM CSL_CITATION {"citationID":"gyZFVV4y","properties":{"formattedCitation":"\\super 43\\nosupersub{}","plainCitation":"43","noteIndex":0},"citationItems":[{"id":66149,"uris":["http://zotero.org/groups/4797619/items/8M7DF85G"],"itemData":{"id":66149,"type":"article-journal","abstract":"BACKGROUND: Based on data from two multicenter, phase III clinical trials (Studies 301 and 305), eribulin (a microtubule dynamics inhibitor) is indicated in the European Union (EU) for patients with locally advanced or metastatic breast cancer (MBC) after ≥1 prior chemotherapy for advanced disease, including an anthracycline and a taxane in either the adjuvant or metastatic setting. Data from Studies 305 and 301 were pooled to investigate the efficacy of eribulin in various subgroups of patients who matched the EU label, including those with human epidermal growth factor receptor 2 (HER2)-negative and triple-negative disease.\nPATIENTS AND METHODS: In Study 305 (NCT00388726), patients were randomized 2:1 to eribulin mesylate 1.4 mg/m(2) (equivalent to eribulin 1.23 mg/m(2) [expressed as free base]) intravenously on days 1 and 8 every 21 days] or treatment of physician's choice after 2-5 prior chemotherapies (≥2 for advanced disease), including an anthracycline and a taxane (in early/advanced setting). In Study 301 (NCT00337103), patients were randomized 1:1 to eribulin (as above) or capecitabine (1.25 g/m(2) orally twice daily on days 1-14 every 21 days) following ≤3 prior chemotherapies (≤2 for advanced disease), including an anthracycline and a taxane. Efficacy end points were investigated in the intent-to-treat population and subgroups, pooled as discussed above.\nRESULTS: Overall, 1644 patients were included (eribulin: 946; control: 698); baseline characteristics were well matched. Overall survival was significantly longer with eribulin versus control (P &lt; 0.01), as were progression-free survival and clinical benefit rate (both P &lt; 0.05). Significant survival benefits with eribulin versus control were observed in a wide range of patient subgroups, including HER2-negative or triple-negative disease (all P &lt; 0.05).\nCONCLUSION: Our findings underline the survival benefit achieved by eribulin used according to EU label in the overall MBC population and in various subgroups of interest, including patients with HER2-negative and triple-negative disease.","container-title":"Annals of Oncology: Official Journal of the European Society for Medical Oncology","DOI":"10.1093/annonc/mdw203","ISSN":"1569-8041","issue":"8","journalAbbreviation":"Ann Oncol","language":"eng","note":"PMID: 27177860\nPMCID: PMC4959925","page":"1525-1531","source":"PubMed","title":"Pooled analyses of eribulin in metastatic breast cancer patients with at least one prior chemotherapy","volume":"27","author":[{"family":"Pivot","given":"X."},{"family":"Marmé","given":"F."},{"family":"Koenigsberg","given":"R."},{"family":"Guo","given":"M."},{"family":"Berrak","given":"E."},{"family":"Wolfer","given":"A."}],"issued":{"date-parts":[["2016",8]]}}}],"schema":"https://github.com/citation-style-language/schema/raw/master/csl-citation.json"} </w:instrText>
            </w:r>
            <w:r w:rsidRPr="00CE5C68">
              <w:rPr>
                <w:rFonts w:ascii="Arial" w:hAnsi="Arial" w:cs="Arial"/>
                <w:sz w:val="20"/>
                <w:szCs w:val="20"/>
                <w:lang w:val="en-GB"/>
              </w:rPr>
              <w:fldChar w:fldCharType="separate"/>
            </w:r>
            <w:r w:rsidR="00FD57F4" w:rsidRPr="00FD57F4">
              <w:rPr>
                <w:rFonts w:ascii="Arial" w:hAnsi="Arial" w:cs="Arial"/>
                <w:sz w:val="20"/>
                <w:vertAlign w:val="superscript"/>
              </w:rPr>
              <w:t>43</w:t>
            </w:r>
            <w:r w:rsidRPr="00CE5C68">
              <w:rPr>
                <w:rFonts w:ascii="Arial" w:hAnsi="Arial" w:cs="Arial"/>
                <w:sz w:val="20"/>
                <w:szCs w:val="20"/>
                <w:lang w:val="en-GB"/>
              </w:rPr>
              <w:fldChar w:fldCharType="end"/>
            </w:r>
          </w:p>
        </w:tc>
        <w:tc>
          <w:tcPr>
            <w:tcW w:w="1418" w:type="dxa"/>
            <w:shd w:val="clear" w:color="auto" w:fill="auto"/>
            <w:vAlign w:val="center"/>
          </w:tcPr>
          <w:p w14:paraId="20DEE6D3" w14:textId="16FE920F"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Study 301 and Study 305</w:t>
            </w:r>
          </w:p>
        </w:tc>
        <w:tc>
          <w:tcPr>
            <w:tcW w:w="2410" w:type="dxa"/>
            <w:shd w:val="clear" w:color="auto" w:fill="auto"/>
            <w:vAlign w:val="center"/>
          </w:tcPr>
          <w:p w14:paraId="2249DEA2" w14:textId="42D19723" w:rsidR="00A659B4" w:rsidRPr="00AAAB3A"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w:t>
            </w:r>
            <w:r>
              <w:rPr>
                <w:rFonts w:ascii="Arial" w:hAnsi="Arial" w:cs="Arial"/>
                <w:sz w:val="20"/>
                <w:szCs w:val="20"/>
                <w:lang w:val="en-GB"/>
              </w:rPr>
              <w:t>2</w:t>
            </w:r>
          </w:p>
        </w:tc>
        <w:tc>
          <w:tcPr>
            <w:tcW w:w="4961" w:type="dxa"/>
            <w:vAlign w:val="center"/>
          </w:tcPr>
          <w:p w14:paraId="06EEA640"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Eribulin</w:t>
            </w:r>
          </w:p>
        </w:tc>
        <w:tc>
          <w:tcPr>
            <w:tcW w:w="1417" w:type="dxa"/>
            <w:vAlign w:val="center"/>
          </w:tcPr>
          <w:p w14:paraId="0C6C9DF9"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2.8</w:t>
            </w:r>
          </w:p>
        </w:tc>
        <w:tc>
          <w:tcPr>
            <w:tcW w:w="1276" w:type="dxa"/>
            <w:vAlign w:val="center"/>
          </w:tcPr>
          <w:p w14:paraId="3DF52031"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12.4</w:t>
            </w:r>
          </w:p>
        </w:tc>
      </w:tr>
      <w:tr w:rsidR="00A659B4" w:rsidRPr="00CE5C68" w14:paraId="2BC9372E" w14:textId="77777777" w:rsidTr="00636F1E">
        <w:trPr>
          <w:trHeight w:val="20"/>
        </w:trPr>
        <w:tc>
          <w:tcPr>
            <w:cnfStyle w:val="001000000000" w:firstRow="0" w:lastRow="0" w:firstColumn="1" w:lastColumn="0" w:oddVBand="0" w:evenVBand="0" w:oddHBand="0" w:evenHBand="0" w:firstRowFirstColumn="0" w:firstRowLastColumn="0" w:lastRowFirstColumn="0" w:lastRowLastColumn="0"/>
            <w:tcW w:w="2830" w:type="dxa"/>
            <w:shd w:val="clear" w:color="auto" w:fill="F2F2F2" w:themeFill="background1" w:themeFillShade="F2"/>
            <w:vAlign w:val="center"/>
          </w:tcPr>
          <w:p w14:paraId="6BC9756D" w14:textId="77777777" w:rsidR="00A659B4" w:rsidRPr="003C648C" w:rsidRDefault="00A659B4" w:rsidP="00A659B4">
            <w:pPr>
              <w:pStyle w:val="Asctablesandfigures"/>
              <w:rPr>
                <w:rFonts w:ascii="Arial" w:hAnsi="Arial" w:cs="Arial"/>
                <w:sz w:val="20"/>
                <w:szCs w:val="20"/>
                <w:lang w:val="da-DK"/>
              </w:rPr>
            </w:pPr>
            <w:r w:rsidRPr="003C648C">
              <w:rPr>
                <w:rFonts w:ascii="Arial" w:hAnsi="Arial" w:cs="Arial"/>
                <w:sz w:val="20"/>
                <w:szCs w:val="20"/>
                <w:lang w:val="da-DK"/>
              </w:rPr>
              <w:t xml:space="preserve">Vahdat et al., 2021* </w:t>
            </w:r>
          </w:p>
          <w:p w14:paraId="2AAAB888" w14:textId="3D3EF0B5" w:rsidR="00A659B4" w:rsidRPr="003C648C" w:rsidRDefault="00A659B4" w:rsidP="00A659B4">
            <w:pPr>
              <w:pStyle w:val="Asctablesandfigures"/>
              <w:rPr>
                <w:rFonts w:ascii="Arial" w:hAnsi="Arial" w:cs="Arial"/>
                <w:sz w:val="20"/>
                <w:szCs w:val="20"/>
                <w:lang w:val="da-DK"/>
              </w:rPr>
            </w:pPr>
            <w:r w:rsidRPr="003C648C">
              <w:rPr>
                <w:rFonts w:ascii="Arial" w:hAnsi="Arial" w:cs="Arial"/>
                <w:sz w:val="20"/>
                <w:szCs w:val="20"/>
                <w:lang w:val="da-DK"/>
              </w:rPr>
              <w:t>(NCT0199733) Phase II</w:t>
            </w:r>
            <w:r w:rsidRPr="00CE5C68">
              <w:rPr>
                <w:rFonts w:ascii="Arial" w:hAnsi="Arial" w:cs="Arial"/>
                <w:sz w:val="20"/>
                <w:szCs w:val="20"/>
                <w:lang w:val="en-GB"/>
              </w:rPr>
              <w:fldChar w:fldCharType="begin"/>
            </w:r>
            <w:r w:rsidR="00CA6345">
              <w:rPr>
                <w:rFonts w:ascii="Arial" w:hAnsi="Arial" w:cs="Arial"/>
                <w:sz w:val="20"/>
                <w:szCs w:val="20"/>
                <w:lang w:val="da-DK"/>
              </w:rPr>
              <w:instrText xml:space="preserve"> ADDIN ZOTERO_ITEM CSL_CITATION {"citationID":"ddwUFfZq","properties":{"formattedCitation":"\\super 50\\nosupersub{}","plainCitation":"50","noteIndex":0},"citationItems":[{"id":66759,"uris":["http://zotero.org/groups/4797619/items/WRYWKH52"],"itemData":{"id":66759,"type":"article-journal","abstract":"The METRIC study (NCT#0199733) explored a novel antibody–drug conjugate, glembatumumab vedotin (GV), targeting gpNMB that is overexpressed in ~40% of patients with triple-negative breast cancer (TNBC) and associated with poor prognosis. The study was a randomized, open-label, phase 2b study that evaluated progression-free survival (PFS) of GV compared with capecitabine in gpNMB-overexpressing TNBC. Patients who had previously received anthracycline and taxane-based therapy were randomized 2:1 to receive, GV (1.88 mg/kg IV q21 days) or capecitabine (2500 mg/m2 PO daily d1–14 q21 days). The primary endpoint was RECIST 1.1 PFS per independent, blinded central review. In all, 327 patients were randomized to GV (213 treated) or capecitabine (92 treated). Median PFS was 2.9 months for GV vs. 2.8 months for capecitabine. The most common grade ≥3 toxicities for GV were neutropenia, rash, and leukopenia, and for capecitabine were fatigue, diarrhea, and palmar-plantar erythrodysesthesia. The study did not meet the primary endpoint of improved PFS over capecitabine or demonstrate a relative risk/benefit improvement over capecitabine.","container-title":"npj Breast Cancer","DOI":"10.1038/s41523-021-00244-6","ISSN":"2374-4677","issue":"1","language":"en","license":"2021 The Author(s)","note":"number: 1\npublisher: Nature Publishing Group","page":"1-10","source":"www.nature.com","title":"Glembatumumab vedotin for patients with metastatic, gpNMB overexpressing, triple-negative breast cancer (“METRIC”): a randomized multicenter study","title-short":"Glembatumumab vedotin for patients with metastatic, gpNMB overexpressing, triple-negative breast cancer (“METRIC”)","volume":"7","author":[{"family":"Vahdat","given":"Linda T."},{"family":"Schmid","given":"Peter"},{"family":"Forero-Torres","given":"Andres"},{"family":"Blackwell","given":"Kimberly"},{"family":"Telli","given":"Melinda L."},{"family":"Melisko","given":"Michelle"},{"family":"Möbus","given":"Volker"},{"family":"Cortes","given":"Javier"},{"family":"Montero","given":"Alberto J."},{"family":"Ma","given":"Cynthia"},{"family":"Nanda","given":"Rita"},{"family":"Wright","given":"Gail S."},{"family":"He","given":"Yi"},{"family":"Hawthorne","given":"Thomas"},{"family":"Bagley","given":"Rebecca G."},{"family":"Halim","given":"Abdel-Baset"},{"family":"Turner","given":"Christopher D."},{"family":"Yardley","given":"Denise A."}],"issued":{"date-parts":[["2021",5,20]]}}}],"schema":"https://github.com/citation-style-language/schema/raw/master/csl-citation.json"} </w:instrText>
            </w:r>
            <w:r w:rsidRPr="00CE5C68">
              <w:rPr>
                <w:rFonts w:ascii="Arial" w:hAnsi="Arial" w:cs="Arial"/>
                <w:sz w:val="20"/>
                <w:szCs w:val="20"/>
                <w:lang w:val="en-GB"/>
              </w:rPr>
              <w:fldChar w:fldCharType="separate"/>
            </w:r>
            <w:r w:rsidR="00FD57F4" w:rsidRPr="00CD6B06">
              <w:rPr>
                <w:rFonts w:ascii="Arial" w:hAnsi="Arial" w:cs="Arial"/>
                <w:sz w:val="20"/>
                <w:vertAlign w:val="superscript"/>
                <w:lang w:val="da-DK"/>
              </w:rPr>
              <w:t>50</w:t>
            </w:r>
            <w:r w:rsidRPr="00CE5C68">
              <w:rPr>
                <w:rFonts w:ascii="Arial" w:hAnsi="Arial" w:cs="Arial"/>
                <w:sz w:val="20"/>
                <w:szCs w:val="20"/>
                <w:lang w:val="en-GB"/>
              </w:rPr>
              <w:fldChar w:fldCharType="end"/>
            </w:r>
          </w:p>
        </w:tc>
        <w:tc>
          <w:tcPr>
            <w:tcW w:w="1418" w:type="dxa"/>
            <w:shd w:val="clear" w:color="auto" w:fill="auto"/>
            <w:vAlign w:val="center"/>
          </w:tcPr>
          <w:p w14:paraId="7275FC77"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METRIC</w:t>
            </w:r>
          </w:p>
        </w:tc>
        <w:tc>
          <w:tcPr>
            <w:tcW w:w="2410" w:type="dxa"/>
            <w:shd w:val="clear" w:color="auto" w:fill="auto"/>
            <w:vAlign w:val="center"/>
          </w:tcPr>
          <w:p w14:paraId="336350E0"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AAAB3A">
              <w:rPr>
                <w:rFonts w:ascii="Arial" w:hAnsi="Arial" w:cs="Arial"/>
                <w:sz w:val="20"/>
                <w:szCs w:val="20"/>
                <w:lang w:val="en-GB"/>
              </w:rPr>
              <w:t>≤2</w:t>
            </w:r>
          </w:p>
        </w:tc>
        <w:tc>
          <w:tcPr>
            <w:tcW w:w="4961" w:type="dxa"/>
            <w:vAlign w:val="center"/>
          </w:tcPr>
          <w:p w14:paraId="04226DBB"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Capecitabine</w:t>
            </w:r>
          </w:p>
        </w:tc>
        <w:tc>
          <w:tcPr>
            <w:tcW w:w="1417" w:type="dxa"/>
            <w:vAlign w:val="center"/>
          </w:tcPr>
          <w:p w14:paraId="37D855EF"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2.8</w:t>
            </w:r>
          </w:p>
        </w:tc>
        <w:tc>
          <w:tcPr>
            <w:tcW w:w="1276" w:type="dxa"/>
            <w:vAlign w:val="center"/>
          </w:tcPr>
          <w:p w14:paraId="016571BE"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8.7</w:t>
            </w:r>
          </w:p>
        </w:tc>
      </w:tr>
      <w:tr w:rsidR="00A659B4" w:rsidRPr="00CE5C68" w14:paraId="731A3BF2" w14:textId="77777777" w:rsidTr="00636F1E">
        <w:trPr>
          <w:trHeight w:val="20"/>
        </w:trPr>
        <w:tc>
          <w:tcPr>
            <w:cnfStyle w:val="001000000000" w:firstRow="0" w:lastRow="0" w:firstColumn="1" w:lastColumn="0" w:oddVBand="0" w:evenVBand="0" w:oddHBand="0" w:evenHBand="0" w:firstRowFirstColumn="0" w:firstRowLastColumn="0" w:lastRowFirstColumn="0" w:lastRowLastColumn="0"/>
            <w:tcW w:w="2830" w:type="dxa"/>
            <w:vMerge w:val="restart"/>
            <w:shd w:val="clear" w:color="auto" w:fill="F2F2F2" w:themeFill="background1" w:themeFillShade="F2"/>
            <w:vAlign w:val="center"/>
          </w:tcPr>
          <w:p w14:paraId="6156992E" w14:textId="77777777" w:rsidR="00A659B4" w:rsidRPr="003C648C" w:rsidRDefault="00A659B4" w:rsidP="00A659B4">
            <w:pPr>
              <w:pStyle w:val="Asctablesandfigures"/>
              <w:rPr>
                <w:rFonts w:ascii="Arial" w:hAnsi="Arial" w:cs="Arial"/>
                <w:sz w:val="20"/>
                <w:szCs w:val="20"/>
                <w:lang w:val="da-DK"/>
              </w:rPr>
            </w:pPr>
            <w:r w:rsidRPr="003C648C">
              <w:rPr>
                <w:rFonts w:ascii="Arial" w:hAnsi="Arial" w:cs="Arial"/>
                <w:sz w:val="20"/>
                <w:szCs w:val="20"/>
                <w:lang w:val="da-DK"/>
              </w:rPr>
              <w:t xml:space="preserve">Bardia et al., 2021* </w:t>
            </w:r>
          </w:p>
          <w:p w14:paraId="523F6B44" w14:textId="7C51DBDF" w:rsidR="00A659B4" w:rsidRPr="003C648C" w:rsidRDefault="00A659B4" w:rsidP="00A659B4">
            <w:pPr>
              <w:pStyle w:val="Asctablesandfigures"/>
              <w:rPr>
                <w:rFonts w:ascii="Arial" w:hAnsi="Arial" w:cs="Arial"/>
                <w:sz w:val="20"/>
                <w:szCs w:val="20"/>
                <w:lang w:val="da-DK"/>
              </w:rPr>
            </w:pPr>
            <w:r w:rsidRPr="003C648C">
              <w:rPr>
                <w:rFonts w:ascii="Arial" w:hAnsi="Arial" w:cs="Arial"/>
                <w:sz w:val="20"/>
                <w:szCs w:val="20"/>
                <w:lang w:val="da-DK"/>
              </w:rPr>
              <w:t>(NCT02574455) Phase III</w:t>
            </w:r>
            <w:r w:rsidRPr="00CE5C68">
              <w:rPr>
                <w:rFonts w:ascii="Arial" w:hAnsi="Arial" w:cs="Arial"/>
                <w:sz w:val="20"/>
                <w:szCs w:val="20"/>
                <w:lang w:val="en-GB"/>
              </w:rPr>
              <w:fldChar w:fldCharType="begin"/>
            </w:r>
            <w:r w:rsidR="00CA6345">
              <w:rPr>
                <w:rFonts w:ascii="Arial" w:hAnsi="Arial" w:cs="Arial"/>
                <w:sz w:val="20"/>
                <w:szCs w:val="20"/>
                <w:lang w:val="da-DK"/>
              </w:rPr>
              <w:instrText xml:space="preserve"> ADDIN ZOTERO_ITEM CSL_CITATION {"citationID":"du3skOko","properties":{"formattedCitation":"\\super 48\\nosupersub{}","plainCitation":"48","noteIndex":0},"citationItems":[{"id":66444,"uris":["http://zotero.org/groups/4797619/items/44JAGUPG"],"itemData":{"id":66444,"type":"article-journal","container-title":"New England Journal of Medicine","DOI":"10.1056/NEJMoa2028485","ISSN":"0028-4793","issue":"16","note":"publisher: Massachusetts Medical Society\n_eprint: https://doi.org/10.1056/NEJMoa2028485\nPMID: 33882206","page":"1529-1541","source":"Taylor and Francis+NEJM","title":"Sacituzumab Govitecan in Metastatic Triple-Negative Breast Cancer","volume":"384","author":[{"family":"Bardia","given":"Aditya"},{"family":"Hurvitz","given":"Sara A."},{"family":"Tolaney","given":"Sara M."},{"family":"Loirat","given":"Delphine"},{"family":"Punie","given":"Kevin"},{"family":"Oliveira","given":"Mafalda"},{"family":"Brufsky","given":"Adam"},{"family":"Sardesai","given":"Sagar D."},{"family":"Kalinsky","given":"Kevin"},{"family":"Zelnak","given":"Amelia B."},{"family":"Weaver","given":"Robert"},{"family":"Traina","given":"Tiffany"},{"family":"Dalenc","given":"Florence"},{"family":"Aftimos","given":"Philippe"},{"family":"Lynce","given":"Filipa"},{"family":"Diab","given":"Sami"},{"family":"Cortés","given":"Javier"},{"family":"O’Shaughnessy","given":"Joyce"},{"family":"Diéras","given":"Véronique"},{"family":"Ferrario","given":"Cristiano"},{"family":"Schmid","given":"Peter"},{"family":"Carey","given":"Lisa A."},{"family":"Gianni","given":"Luca"},{"family":"Piccart","given":"Martine J."},{"family":"Loibl","given":"Sibylle"},{"family":"Goldenberg","given":"David M."},{"family":"Hong","given":"Quan"},{"family":"Olivo","given":"Martin S."},{"family":"Itri","given":"Loretta M."},{"family":"Rugo","given":"Hope S."}],"issued":{"date-parts":[["2021",4,22]]}}}],"schema":"https://github.com/citation-style-language/schema/raw/master/csl-citation.json"} </w:instrText>
            </w:r>
            <w:r w:rsidRPr="00CE5C68">
              <w:rPr>
                <w:rFonts w:ascii="Arial" w:hAnsi="Arial" w:cs="Arial"/>
                <w:sz w:val="20"/>
                <w:szCs w:val="20"/>
                <w:lang w:val="en-GB"/>
              </w:rPr>
              <w:fldChar w:fldCharType="separate"/>
            </w:r>
            <w:r w:rsidR="00FD57F4" w:rsidRPr="008B4392">
              <w:rPr>
                <w:rFonts w:ascii="Arial" w:hAnsi="Arial" w:cs="Arial"/>
                <w:sz w:val="20"/>
                <w:vertAlign w:val="superscript"/>
                <w:lang w:val="da-DK"/>
              </w:rPr>
              <w:t>48</w:t>
            </w:r>
            <w:r w:rsidRPr="00CE5C68">
              <w:rPr>
                <w:rFonts w:ascii="Arial" w:hAnsi="Arial" w:cs="Arial"/>
                <w:sz w:val="20"/>
                <w:szCs w:val="20"/>
                <w:lang w:val="en-GB"/>
              </w:rPr>
              <w:fldChar w:fldCharType="end"/>
            </w:r>
          </w:p>
        </w:tc>
        <w:tc>
          <w:tcPr>
            <w:tcW w:w="1418" w:type="dxa"/>
            <w:vMerge w:val="restart"/>
            <w:shd w:val="clear" w:color="auto" w:fill="auto"/>
            <w:vAlign w:val="center"/>
          </w:tcPr>
          <w:p w14:paraId="6602E0EC"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ASCENT</w:t>
            </w:r>
          </w:p>
        </w:tc>
        <w:tc>
          <w:tcPr>
            <w:tcW w:w="2410" w:type="dxa"/>
            <w:vMerge w:val="restart"/>
            <w:shd w:val="clear" w:color="auto" w:fill="auto"/>
            <w:vAlign w:val="center"/>
          </w:tcPr>
          <w:p w14:paraId="177BBA0B"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≥2</w:t>
            </w:r>
          </w:p>
        </w:tc>
        <w:tc>
          <w:tcPr>
            <w:tcW w:w="4961" w:type="dxa"/>
            <w:vAlign w:val="center"/>
          </w:tcPr>
          <w:p w14:paraId="009CF897" w14:textId="747197CA" w:rsidR="00A659B4" w:rsidRPr="00CE5C68" w:rsidRDefault="00FB23E9"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lang w:val="en-GB"/>
              </w:rPr>
            </w:pPr>
            <w:r>
              <w:rPr>
                <w:rFonts w:ascii="Arial" w:hAnsi="Arial" w:cs="Arial"/>
                <w:sz w:val="20"/>
                <w:szCs w:val="20"/>
                <w:lang w:val="en-GB"/>
              </w:rPr>
              <w:t>SG</w:t>
            </w:r>
            <w:r w:rsidR="00A659B4">
              <w:rPr>
                <w:rFonts w:ascii="Arial" w:hAnsi="Arial" w:cs="Arial"/>
                <w:sz w:val="20"/>
                <w:szCs w:val="20"/>
                <w:lang w:val="en-GB"/>
              </w:rPr>
              <w:t>**</w:t>
            </w:r>
          </w:p>
        </w:tc>
        <w:tc>
          <w:tcPr>
            <w:tcW w:w="1417" w:type="dxa"/>
            <w:vAlign w:val="center"/>
          </w:tcPr>
          <w:p w14:paraId="20F95C00"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5.6</w:t>
            </w:r>
          </w:p>
        </w:tc>
        <w:tc>
          <w:tcPr>
            <w:tcW w:w="1276" w:type="dxa"/>
            <w:vAlign w:val="center"/>
          </w:tcPr>
          <w:p w14:paraId="194B26BF"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12.1</w:t>
            </w:r>
          </w:p>
        </w:tc>
      </w:tr>
      <w:tr w:rsidR="00A659B4" w:rsidRPr="00CE5C68" w14:paraId="118EE3B1" w14:textId="77777777" w:rsidTr="00636F1E">
        <w:trPr>
          <w:trHeight w:val="20"/>
        </w:trPr>
        <w:tc>
          <w:tcPr>
            <w:cnfStyle w:val="001000000000" w:firstRow="0" w:lastRow="0" w:firstColumn="1" w:lastColumn="0" w:oddVBand="0" w:evenVBand="0" w:oddHBand="0" w:evenHBand="0" w:firstRowFirstColumn="0" w:firstRowLastColumn="0" w:lastRowFirstColumn="0" w:lastRowLastColumn="0"/>
            <w:tcW w:w="2830" w:type="dxa"/>
            <w:vMerge/>
            <w:shd w:val="clear" w:color="auto" w:fill="F2F2F2" w:themeFill="background1" w:themeFillShade="F2"/>
            <w:vAlign w:val="center"/>
          </w:tcPr>
          <w:p w14:paraId="507AB134" w14:textId="77777777" w:rsidR="00A659B4" w:rsidRPr="00CE5C68" w:rsidRDefault="00A659B4" w:rsidP="00A659B4">
            <w:pPr>
              <w:pStyle w:val="Asctablesandfigures"/>
              <w:rPr>
                <w:rFonts w:ascii="Arial" w:hAnsi="Arial" w:cs="Arial"/>
                <w:sz w:val="20"/>
                <w:szCs w:val="20"/>
                <w:lang w:val="en-GB"/>
              </w:rPr>
            </w:pPr>
          </w:p>
        </w:tc>
        <w:tc>
          <w:tcPr>
            <w:tcW w:w="1418" w:type="dxa"/>
            <w:vMerge/>
            <w:shd w:val="clear" w:color="auto" w:fill="auto"/>
            <w:vAlign w:val="center"/>
          </w:tcPr>
          <w:p w14:paraId="0DED0AE9"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p>
        </w:tc>
        <w:tc>
          <w:tcPr>
            <w:tcW w:w="2410" w:type="dxa"/>
            <w:vMerge/>
            <w:shd w:val="clear" w:color="auto" w:fill="auto"/>
            <w:vAlign w:val="center"/>
          </w:tcPr>
          <w:p w14:paraId="59C83927"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p>
        </w:tc>
        <w:tc>
          <w:tcPr>
            <w:tcW w:w="4961" w:type="dxa"/>
            <w:vAlign w:val="center"/>
          </w:tcPr>
          <w:p w14:paraId="714562F5" w14:textId="2B41781A"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lang w:val="en-GB"/>
              </w:rPr>
            </w:pPr>
            <w:r>
              <w:rPr>
                <w:rFonts w:ascii="Arial" w:hAnsi="Arial" w:cs="Arial"/>
                <w:sz w:val="20"/>
                <w:szCs w:val="20"/>
                <w:lang w:val="en-GB"/>
              </w:rPr>
              <w:t>TPC (e</w:t>
            </w:r>
            <w:r w:rsidRPr="00CE5C68">
              <w:rPr>
                <w:rFonts w:ascii="Arial" w:hAnsi="Arial" w:cs="Arial"/>
                <w:sz w:val="20"/>
                <w:szCs w:val="20"/>
                <w:lang w:val="en-GB"/>
              </w:rPr>
              <w:t>ribulin, vinorelbine, capecitabine, gemcitabine</w:t>
            </w:r>
            <w:r>
              <w:rPr>
                <w:rFonts w:ascii="Arial" w:hAnsi="Arial" w:cs="Arial"/>
                <w:sz w:val="20"/>
                <w:szCs w:val="20"/>
                <w:lang w:val="en-GB"/>
              </w:rPr>
              <w:t>)</w:t>
            </w:r>
          </w:p>
        </w:tc>
        <w:tc>
          <w:tcPr>
            <w:tcW w:w="1417" w:type="dxa"/>
            <w:vAlign w:val="center"/>
          </w:tcPr>
          <w:p w14:paraId="0DF25063"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1.7</w:t>
            </w:r>
          </w:p>
        </w:tc>
        <w:tc>
          <w:tcPr>
            <w:tcW w:w="1276" w:type="dxa"/>
            <w:vAlign w:val="center"/>
          </w:tcPr>
          <w:p w14:paraId="2402915A"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6.7</w:t>
            </w:r>
          </w:p>
        </w:tc>
      </w:tr>
      <w:tr w:rsidR="00A659B4" w:rsidRPr="00CE5C68" w14:paraId="09FFECE1" w14:textId="77777777" w:rsidTr="00636F1E">
        <w:trPr>
          <w:trHeight w:val="20"/>
        </w:trPr>
        <w:tc>
          <w:tcPr>
            <w:cnfStyle w:val="001000000000" w:firstRow="0" w:lastRow="0" w:firstColumn="1" w:lastColumn="0" w:oddVBand="0" w:evenVBand="0" w:oddHBand="0" w:evenHBand="0" w:firstRowFirstColumn="0" w:firstRowLastColumn="0" w:lastRowFirstColumn="0" w:lastRowLastColumn="0"/>
            <w:tcW w:w="2830" w:type="dxa"/>
            <w:shd w:val="clear" w:color="auto" w:fill="F2F2F2" w:themeFill="background1" w:themeFillShade="F2"/>
            <w:vAlign w:val="center"/>
          </w:tcPr>
          <w:p w14:paraId="31C1C768" w14:textId="77777777" w:rsidR="00A659B4" w:rsidRPr="003C648C" w:rsidRDefault="00A659B4" w:rsidP="00A659B4">
            <w:pPr>
              <w:pStyle w:val="Asctablesandfigures"/>
              <w:rPr>
                <w:rFonts w:ascii="Arial" w:hAnsi="Arial" w:cs="Arial"/>
                <w:sz w:val="20"/>
                <w:szCs w:val="20"/>
                <w:lang w:val="da-DK"/>
              </w:rPr>
            </w:pPr>
            <w:r w:rsidRPr="003C648C">
              <w:rPr>
                <w:rFonts w:ascii="Arial" w:hAnsi="Arial" w:cs="Arial"/>
                <w:sz w:val="20"/>
                <w:szCs w:val="20"/>
                <w:lang w:val="da-DK"/>
              </w:rPr>
              <w:t xml:space="preserve">Winer et al., 2021* </w:t>
            </w:r>
          </w:p>
          <w:p w14:paraId="720BACE8" w14:textId="00D2AAF6" w:rsidR="00A659B4" w:rsidRPr="003C648C" w:rsidRDefault="00A659B4" w:rsidP="00A659B4">
            <w:pPr>
              <w:pStyle w:val="Asctablesandfigures"/>
              <w:rPr>
                <w:rFonts w:ascii="Arial" w:hAnsi="Arial" w:cs="Arial"/>
                <w:sz w:val="20"/>
                <w:szCs w:val="20"/>
                <w:lang w:val="da-DK"/>
              </w:rPr>
            </w:pPr>
            <w:r w:rsidRPr="003C648C">
              <w:rPr>
                <w:rFonts w:ascii="Arial" w:hAnsi="Arial" w:cs="Arial"/>
                <w:sz w:val="20"/>
                <w:szCs w:val="20"/>
                <w:lang w:val="da-DK"/>
              </w:rPr>
              <w:t>(NCT02555657) Phase III</w:t>
            </w:r>
            <w:r w:rsidRPr="00CE5C68">
              <w:rPr>
                <w:rFonts w:ascii="Arial" w:hAnsi="Arial" w:cs="Arial"/>
                <w:sz w:val="20"/>
                <w:szCs w:val="20"/>
                <w:lang w:val="en-GB"/>
              </w:rPr>
              <w:fldChar w:fldCharType="begin"/>
            </w:r>
            <w:r w:rsidR="00CA6345">
              <w:rPr>
                <w:rFonts w:ascii="Arial" w:hAnsi="Arial" w:cs="Arial"/>
                <w:sz w:val="20"/>
                <w:szCs w:val="20"/>
                <w:lang w:val="da-DK"/>
              </w:rPr>
              <w:instrText xml:space="preserve"> ADDIN ZOTERO_ITEM CSL_CITATION {"citationID":"RgfiLRgh","properties":{"formattedCitation":"\\super 49\\nosupersub{}","plainCitation":"49","noteIndex":0},"citationItems":[{"id":66764,"uris":["http://zotero.org/groups/4797619/items/YX8NEWUE"],"itemData":{"id":66764,"type":"article-journal","container-title":"The Lancet Oncology","DOI":"10.1016/S1470-2045(20)30754-3","ISSN":"1470-2045, 1474-5488","issue":"4","journalAbbreviation":"The Lancet Oncology","language":"English","note":"publisher: Elsevier\nPMID: 33676601","page":"499-511","source":"www.thelancet.com","title":"Pembrolizumab versus investigator-choice chemotherapy for metastatic triple-negative breast cancer (KEYNOTE-119): a randomised, open-label, phase 3 trial","title-short":"Pembrolizumab versus investigator-choice chemotherapy for metastatic triple-negative breast cancer (KEYNOTE-119)","volume":"22","author":[{"family":"Winer","given":"Eric P."},{"family":"Lipatov","given":"Oleg"},{"family":"Im","given":"Seock-Ah"},{"family":"Goncalves","given":"Anthony"},{"family":"Muñoz-Couselo","given":"Eva"},{"family":"Lee","given":"Keun Seok"},{"family":"Schmid","given":"Peter"},{"family":"Tamura","given":"Kenji"},{"family":"Testa","given":"Laura"},{"family":"Witzel","given":"Isabell"},{"family":"Ohtani","given":"Shoichiro"},{"family":"Turner","given":"Nicholas"},{"family":"Zambelli","given":"Stefania"},{"family":"Harbeck","given":"Nadia"},{"family":"Andre","given":"Fabrice"},{"family":"Dent","given":"Rebecca"},{"family":"Zhou","given":"Xuan"},{"family":"Karantza","given":"Vassiliki"},{"family":"Mejia","given":"Jaime"},{"family":"Cortes","given":"Javier"}],"issued":{"date-parts":[["2021",4,1]]}}}],"schema":"https://github.com/citation-style-language/schema/raw/master/csl-citation.json"} </w:instrText>
            </w:r>
            <w:r w:rsidRPr="00CE5C68">
              <w:rPr>
                <w:rFonts w:ascii="Arial" w:hAnsi="Arial" w:cs="Arial"/>
                <w:sz w:val="20"/>
                <w:szCs w:val="20"/>
                <w:lang w:val="en-GB"/>
              </w:rPr>
              <w:fldChar w:fldCharType="separate"/>
            </w:r>
            <w:r w:rsidR="00FD57F4" w:rsidRPr="008B4392">
              <w:rPr>
                <w:rFonts w:ascii="Arial" w:hAnsi="Arial" w:cs="Arial"/>
                <w:sz w:val="20"/>
                <w:vertAlign w:val="superscript"/>
                <w:lang w:val="da-DK"/>
              </w:rPr>
              <w:t>49</w:t>
            </w:r>
            <w:r w:rsidRPr="00CE5C68">
              <w:rPr>
                <w:rFonts w:ascii="Arial" w:hAnsi="Arial" w:cs="Arial"/>
                <w:sz w:val="20"/>
                <w:szCs w:val="20"/>
                <w:lang w:val="en-GB"/>
              </w:rPr>
              <w:fldChar w:fldCharType="end"/>
            </w:r>
          </w:p>
        </w:tc>
        <w:tc>
          <w:tcPr>
            <w:tcW w:w="1418" w:type="dxa"/>
            <w:shd w:val="clear" w:color="auto" w:fill="auto"/>
            <w:vAlign w:val="center"/>
          </w:tcPr>
          <w:p w14:paraId="44F52F1A"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 xml:space="preserve">KEYNOTE-119 </w:t>
            </w:r>
          </w:p>
        </w:tc>
        <w:tc>
          <w:tcPr>
            <w:tcW w:w="2410" w:type="dxa"/>
            <w:shd w:val="clear" w:color="auto" w:fill="auto"/>
            <w:vAlign w:val="center"/>
          </w:tcPr>
          <w:p w14:paraId="0D1CC4CD"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2-3</w:t>
            </w:r>
          </w:p>
        </w:tc>
        <w:tc>
          <w:tcPr>
            <w:tcW w:w="4961" w:type="dxa"/>
            <w:vAlign w:val="center"/>
          </w:tcPr>
          <w:p w14:paraId="23B6A379" w14:textId="6BC61114"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TPC (e</w:t>
            </w:r>
            <w:r w:rsidRPr="00CE5C68">
              <w:rPr>
                <w:rFonts w:ascii="Arial" w:hAnsi="Arial" w:cs="Arial"/>
                <w:sz w:val="20"/>
                <w:szCs w:val="20"/>
                <w:lang w:val="en-GB"/>
              </w:rPr>
              <w:t>ribulin, vinorelbine, capecitabine, gemcitabine</w:t>
            </w:r>
            <w:r>
              <w:rPr>
                <w:rFonts w:ascii="Arial" w:hAnsi="Arial" w:cs="Arial"/>
                <w:sz w:val="20"/>
                <w:szCs w:val="20"/>
                <w:lang w:val="en-GB"/>
              </w:rPr>
              <w:t>)</w:t>
            </w:r>
          </w:p>
        </w:tc>
        <w:tc>
          <w:tcPr>
            <w:tcW w:w="1417" w:type="dxa"/>
            <w:vAlign w:val="center"/>
          </w:tcPr>
          <w:p w14:paraId="30AA18DF"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2.3</w:t>
            </w:r>
          </w:p>
        </w:tc>
        <w:tc>
          <w:tcPr>
            <w:tcW w:w="1276" w:type="dxa"/>
            <w:vAlign w:val="center"/>
          </w:tcPr>
          <w:p w14:paraId="0888FA88"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10.8</w:t>
            </w:r>
          </w:p>
        </w:tc>
      </w:tr>
      <w:tr w:rsidR="00A659B4" w:rsidRPr="00CE5C68" w14:paraId="4649A43A" w14:textId="77777777" w:rsidTr="00636F1E">
        <w:trPr>
          <w:trHeight w:val="20"/>
        </w:trPr>
        <w:tc>
          <w:tcPr>
            <w:cnfStyle w:val="001000000000" w:firstRow="0" w:lastRow="0" w:firstColumn="1" w:lastColumn="0" w:oddVBand="0" w:evenVBand="0" w:oddHBand="0" w:evenHBand="0" w:firstRowFirstColumn="0" w:firstRowLastColumn="0" w:lastRowFirstColumn="0" w:lastRowLastColumn="0"/>
            <w:tcW w:w="14312" w:type="dxa"/>
            <w:gridSpan w:val="6"/>
            <w:shd w:val="clear" w:color="auto" w:fill="E7E6E6" w:themeFill="background2"/>
            <w:vAlign w:val="center"/>
          </w:tcPr>
          <w:p w14:paraId="0B5490F4" w14:textId="44D9278E" w:rsidR="00A659B4" w:rsidRPr="00CE5C68" w:rsidRDefault="00A659B4" w:rsidP="00A659B4">
            <w:pPr>
              <w:pStyle w:val="Asctablesandfigures"/>
              <w:rPr>
                <w:rFonts w:ascii="Arial" w:hAnsi="Arial" w:cs="Arial"/>
                <w:sz w:val="20"/>
                <w:szCs w:val="20"/>
                <w:lang w:val="en-GB"/>
              </w:rPr>
            </w:pPr>
            <w:r w:rsidRPr="00CE5C68">
              <w:rPr>
                <w:rFonts w:ascii="Arial" w:hAnsi="Arial" w:cs="Arial"/>
                <w:sz w:val="20"/>
                <w:szCs w:val="20"/>
                <w:lang w:val="en-GB"/>
              </w:rPr>
              <w:t>HER2-negative (</w:t>
            </w:r>
            <w:r>
              <w:rPr>
                <w:rFonts w:ascii="Arial" w:hAnsi="Arial" w:cs="Arial"/>
                <w:sz w:val="20"/>
                <w:szCs w:val="20"/>
                <w:lang w:val="en-GB"/>
              </w:rPr>
              <w:t>any HR-status)</w:t>
            </w:r>
          </w:p>
        </w:tc>
      </w:tr>
      <w:tr w:rsidR="00A659B4" w:rsidRPr="00CE5C68" w14:paraId="10197E56" w14:textId="77777777" w:rsidTr="00636F1E">
        <w:trPr>
          <w:trHeight w:val="20"/>
        </w:trPr>
        <w:tc>
          <w:tcPr>
            <w:cnfStyle w:val="001000000000" w:firstRow="0" w:lastRow="0" w:firstColumn="1" w:lastColumn="0" w:oddVBand="0" w:evenVBand="0" w:oddHBand="0" w:evenHBand="0" w:firstRowFirstColumn="0" w:firstRowLastColumn="0" w:lastRowFirstColumn="0" w:lastRowLastColumn="0"/>
            <w:tcW w:w="2830" w:type="dxa"/>
            <w:vMerge w:val="restart"/>
            <w:shd w:val="clear" w:color="auto" w:fill="F2F2F2" w:themeFill="background1" w:themeFillShade="F2"/>
            <w:vAlign w:val="center"/>
          </w:tcPr>
          <w:p w14:paraId="5F15C20C" w14:textId="77777777" w:rsidR="00A659B4" w:rsidRPr="003C648C" w:rsidRDefault="00A659B4" w:rsidP="00A659B4">
            <w:pPr>
              <w:pStyle w:val="Asctablesandfigures"/>
              <w:rPr>
                <w:rFonts w:ascii="Arial" w:hAnsi="Arial" w:cs="Arial"/>
                <w:sz w:val="20"/>
                <w:szCs w:val="20"/>
                <w:lang w:val="fr-FR"/>
              </w:rPr>
            </w:pPr>
            <w:r w:rsidRPr="003C648C">
              <w:rPr>
                <w:rFonts w:ascii="Arial" w:hAnsi="Arial" w:cs="Arial"/>
                <w:sz w:val="20"/>
                <w:szCs w:val="20"/>
                <w:lang w:val="fr-FR"/>
              </w:rPr>
              <w:t xml:space="preserve">Claessens et al., 2019 </w:t>
            </w:r>
          </w:p>
          <w:p w14:paraId="60C220CC" w14:textId="4C46B3C7" w:rsidR="00A659B4" w:rsidRPr="00AD0AA9" w:rsidRDefault="00A659B4" w:rsidP="00A659B4">
            <w:pPr>
              <w:pStyle w:val="Asctablesandfigures"/>
              <w:rPr>
                <w:rFonts w:ascii="Arial" w:hAnsi="Arial" w:cs="Arial"/>
                <w:b w:val="0"/>
                <w:bCs w:val="0"/>
                <w:sz w:val="20"/>
                <w:szCs w:val="20"/>
                <w:lang w:val="en-GB"/>
              </w:rPr>
            </w:pPr>
            <w:r w:rsidRPr="003C648C">
              <w:rPr>
                <w:rFonts w:ascii="Arial" w:hAnsi="Arial" w:cs="Arial"/>
                <w:sz w:val="20"/>
                <w:szCs w:val="20"/>
                <w:lang w:val="fr-FR"/>
              </w:rPr>
              <w:t>(NR) Phase III</w:t>
            </w:r>
            <w:r w:rsidRPr="00CE5C68">
              <w:rPr>
                <w:rFonts w:ascii="Arial" w:hAnsi="Arial" w:cs="Arial"/>
                <w:sz w:val="20"/>
                <w:szCs w:val="20"/>
                <w:lang w:val="en-GB"/>
              </w:rPr>
              <w:fldChar w:fldCharType="begin"/>
            </w:r>
            <w:r w:rsidR="00CA6345">
              <w:rPr>
                <w:rFonts w:ascii="Arial" w:hAnsi="Arial" w:cs="Arial"/>
                <w:sz w:val="20"/>
                <w:szCs w:val="20"/>
                <w:lang w:val="fr-FR"/>
              </w:rPr>
              <w:instrText xml:space="preserve"> ADDIN ZOTERO_ITEM CSL_CITATION {"citationID":"Q02Av7Qc","properties":{"formattedCitation":"\\super 52\\nosupersub{}","plainCitation":"52","noteIndex":0},"citationItems":[{"id":66766,"uris":["http://zotero.org/groups/4797619/items/9JHDBM4N"],"itemData":{"id":66766,"type":"article-journal","abstract":"Background: Previously, we showed that reintroduction of the same (first-line) chemotherapy at progression could only partially make up for the loss in efficacy as compared to continuously delivered first-line chemotherapy. Here, we report the probability of starting second-line study chemotherapy in the Stop&amp;Go trial, and the progression-free survival (PFS) and overall survival (OS) of patients who received both the first- and second-line treatment in an intermittent versus continuous schedule.Methods: First-line chemotherapy comprised paclitaxel plus bevacizumab, second-line capecitabine or non-pegylated liposomal doxorubicin, given per treatment line as two times four cycles (intermittent) or as eight consecutive cycles (continuous).Results: Of the 420 patients who started first-line treatment within the Stop&amp;Go trial (210:210), a total of 270 patients continued on second-line study treatment (64% of all), which consisted of capecitabine in 201 patients and of non-pegylated liposomal doxorubicin in 69 patients, evenly distributed between the treatment arms. Median PFS was 3.7 versus 5.0 months (HR 1.07; 95% CI: 0.82–1.38) and median OS 10.9 versus 12.4 months (HR 1.27; 95% CI: 0.98–1.66) for intermittent versus continuous second-line chemotherapy. Second-line PFS was positively influenced by prior hormonal therapy for metastatic disease and longer first-line PFS duration, while triple-negative tumor status had a negative influence. Patients with a shorter time to progression (TTP) in first-line (≤10 months) had a higher probability of starting second-line treatment if they received intermittent compared to continuous chemotherapy (OR 1.97; 95% CI: 1.02–3.80).Conclusion: We recommend continuous scheduling of both the first- and second-line chemotherapy for advanced breast cancer.","container-title":"Acta Oncologica","DOI":"10.1080/0284186X.2020.1731923","ISSN":"0284-186X","issue":"6","note":"publisher: Taylor &amp; Francis\n_eprint: https://doi.org/10.1080/0284186X.2020.1731923\nPMID: 32141389","page":"713-722","source":"Taylor and Francis+NEJM","title":"Secondary analyses of the randomized phase III Stop&amp;Go study: efficacy of second-line intermittent versus continuous chemotherapy in HER2-negative advanced breast cancer","title-short":"Secondary analyses of the randomized phase III Stop&amp;Go study","volume":"59","author":[{"family":"Claessens","given":"Anouk K. M."},{"family":"Erdkamp","given":"Frans L. G."},{"family":"Lopez-Yurda","given":"Marta"},{"family":"Bouma","given":"Jeanette M."},{"family":"Rademaker-Lakhai","given":"Jeany M."},{"family":"Honkoop","given":"Aafke H."},{"family":"Graaf","given":"Hiltje","non-dropping-particle":"de"},{"family":"Tjan-Heijnen","given":"Vivianne C. G."},{"family":"Bos","given":"Monique E. M. M."}],"issued":{"date-parts":[["2020",6,2]]}}}],"schema":"https://github.com/citation-style-language/schema/raw/master/csl-citation.json"} </w:instrText>
            </w:r>
            <w:r w:rsidRPr="00CE5C68">
              <w:rPr>
                <w:rFonts w:ascii="Arial" w:hAnsi="Arial" w:cs="Arial"/>
                <w:sz w:val="20"/>
                <w:szCs w:val="20"/>
                <w:lang w:val="en-GB"/>
              </w:rPr>
              <w:fldChar w:fldCharType="separate"/>
            </w:r>
            <w:r w:rsidR="00FD57F4" w:rsidRPr="00FD57F4">
              <w:rPr>
                <w:rFonts w:ascii="Arial" w:hAnsi="Arial" w:cs="Arial"/>
                <w:sz w:val="20"/>
                <w:vertAlign w:val="superscript"/>
              </w:rPr>
              <w:t>52</w:t>
            </w:r>
            <w:r w:rsidRPr="00CE5C68">
              <w:rPr>
                <w:rFonts w:ascii="Arial" w:hAnsi="Arial" w:cs="Arial"/>
                <w:sz w:val="20"/>
                <w:szCs w:val="20"/>
                <w:lang w:val="en-GB"/>
              </w:rPr>
              <w:fldChar w:fldCharType="end"/>
            </w:r>
          </w:p>
        </w:tc>
        <w:tc>
          <w:tcPr>
            <w:tcW w:w="1418" w:type="dxa"/>
            <w:vMerge w:val="restart"/>
            <w:shd w:val="clear" w:color="auto" w:fill="auto"/>
            <w:vAlign w:val="center"/>
          </w:tcPr>
          <w:p w14:paraId="1271152B"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Stop&amp;Go</w:t>
            </w:r>
          </w:p>
        </w:tc>
        <w:tc>
          <w:tcPr>
            <w:tcW w:w="2410" w:type="dxa"/>
            <w:vMerge w:val="restart"/>
            <w:shd w:val="clear" w:color="auto" w:fill="auto"/>
            <w:vAlign w:val="center"/>
          </w:tcPr>
          <w:p w14:paraId="1745CB0B"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2</w:t>
            </w:r>
          </w:p>
        </w:tc>
        <w:tc>
          <w:tcPr>
            <w:tcW w:w="4961" w:type="dxa"/>
            <w:vAlign w:val="center"/>
          </w:tcPr>
          <w:p w14:paraId="6B8B3637"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Capecitabine (intermittent)</w:t>
            </w:r>
          </w:p>
        </w:tc>
        <w:tc>
          <w:tcPr>
            <w:tcW w:w="1417" w:type="dxa"/>
            <w:vAlign w:val="center"/>
          </w:tcPr>
          <w:p w14:paraId="56ABD849"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3.7</w:t>
            </w:r>
          </w:p>
        </w:tc>
        <w:tc>
          <w:tcPr>
            <w:tcW w:w="1276" w:type="dxa"/>
            <w:vAlign w:val="center"/>
          </w:tcPr>
          <w:p w14:paraId="19954F8C"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10.9</w:t>
            </w:r>
          </w:p>
        </w:tc>
      </w:tr>
      <w:tr w:rsidR="00A659B4" w:rsidRPr="00CE5C68" w14:paraId="6AC11CB3" w14:textId="77777777" w:rsidTr="00636F1E">
        <w:trPr>
          <w:trHeight w:val="2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3D105FDE" w14:textId="77777777" w:rsidR="00A659B4" w:rsidRPr="00CE5C68" w:rsidRDefault="00A659B4" w:rsidP="00A659B4">
            <w:pPr>
              <w:pStyle w:val="Asctablesandfigures"/>
              <w:rPr>
                <w:rFonts w:ascii="Arial" w:hAnsi="Arial" w:cs="Arial"/>
                <w:sz w:val="20"/>
                <w:szCs w:val="20"/>
                <w:lang w:val="en-GB"/>
              </w:rPr>
            </w:pPr>
          </w:p>
        </w:tc>
        <w:tc>
          <w:tcPr>
            <w:tcW w:w="1418" w:type="dxa"/>
            <w:vMerge/>
            <w:shd w:val="clear" w:color="auto" w:fill="auto"/>
            <w:vAlign w:val="center"/>
          </w:tcPr>
          <w:p w14:paraId="383A8B16"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p>
        </w:tc>
        <w:tc>
          <w:tcPr>
            <w:tcW w:w="2410" w:type="dxa"/>
            <w:vMerge/>
            <w:shd w:val="clear" w:color="auto" w:fill="auto"/>
            <w:vAlign w:val="center"/>
          </w:tcPr>
          <w:p w14:paraId="38F690C0"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p>
        </w:tc>
        <w:tc>
          <w:tcPr>
            <w:tcW w:w="4961" w:type="dxa"/>
            <w:vAlign w:val="center"/>
          </w:tcPr>
          <w:p w14:paraId="661BF3B5"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Capecitabine (continuous)</w:t>
            </w:r>
          </w:p>
        </w:tc>
        <w:tc>
          <w:tcPr>
            <w:tcW w:w="1417" w:type="dxa"/>
            <w:vAlign w:val="center"/>
          </w:tcPr>
          <w:p w14:paraId="59615E6A"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5.0</w:t>
            </w:r>
          </w:p>
        </w:tc>
        <w:tc>
          <w:tcPr>
            <w:tcW w:w="1276" w:type="dxa"/>
            <w:vAlign w:val="center"/>
          </w:tcPr>
          <w:p w14:paraId="076FE56C"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12.4</w:t>
            </w:r>
          </w:p>
        </w:tc>
      </w:tr>
      <w:tr w:rsidR="00A659B4" w:rsidRPr="00CC6811" w14:paraId="2678458F" w14:textId="77777777" w:rsidTr="00636F1E">
        <w:trPr>
          <w:trHeight w:val="20"/>
        </w:trPr>
        <w:tc>
          <w:tcPr>
            <w:cnfStyle w:val="001000000000" w:firstRow="0" w:lastRow="0" w:firstColumn="1" w:lastColumn="0" w:oddVBand="0" w:evenVBand="0" w:oddHBand="0" w:evenHBand="0" w:firstRowFirstColumn="0" w:firstRowLastColumn="0" w:lastRowFirstColumn="0" w:lastRowLastColumn="0"/>
            <w:tcW w:w="2830" w:type="dxa"/>
            <w:shd w:val="clear" w:color="auto" w:fill="F2F2F2" w:themeFill="background1" w:themeFillShade="F2"/>
            <w:vAlign w:val="center"/>
          </w:tcPr>
          <w:p w14:paraId="0D76EF46" w14:textId="77777777" w:rsidR="00A659B4" w:rsidRPr="003F091B" w:rsidRDefault="00A659B4" w:rsidP="00A659B4">
            <w:pPr>
              <w:pStyle w:val="Asctablesandfigures"/>
              <w:rPr>
                <w:rFonts w:ascii="Arial" w:hAnsi="Arial" w:cs="Arial"/>
                <w:sz w:val="20"/>
                <w:szCs w:val="20"/>
                <w:lang w:val="en-GB"/>
              </w:rPr>
            </w:pPr>
            <w:r w:rsidRPr="003F091B">
              <w:rPr>
                <w:rFonts w:ascii="Arial" w:hAnsi="Arial" w:cs="Arial"/>
                <w:sz w:val="20"/>
                <w:szCs w:val="20"/>
                <w:lang w:val="en-GB"/>
              </w:rPr>
              <w:t xml:space="preserve">Brufsky et al., 2011* </w:t>
            </w:r>
          </w:p>
          <w:p w14:paraId="26C607A7" w14:textId="608E944F" w:rsidR="00A659B4" w:rsidRPr="005A458E" w:rsidRDefault="00A659B4" w:rsidP="00A659B4">
            <w:pPr>
              <w:pStyle w:val="Asctablesandfigures"/>
              <w:rPr>
                <w:rFonts w:ascii="Arial" w:hAnsi="Arial" w:cs="Arial"/>
                <w:sz w:val="20"/>
                <w:szCs w:val="20"/>
                <w:lang w:val="en-GB"/>
              </w:rPr>
            </w:pPr>
            <w:r w:rsidRPr="003F091B">
              <w:rPr>
                <w:rFonts w:ascii="Arial" w:hAnsi="Arial" w:cs="Arial"/>
                <w:sz w:val="20"/>
                <w:szCs w:val="20"/>
                <w:lang w:val="en-GB"/>
              </w:rPr>
              <w:t>(NCT00281697) Phase III</w:t>
            </w:r>
            <w:r w:rsidRPr="00CE5C68">
              <w:rPr>
                <w:rFonts w:ascii="Arial" w:hAnsi="Arial" w:cs="Arial"/>
                <w:sz w:val="20"/>
                <w:szCs w:val="20"/>
                <w:lang w:val="en-GB"/>
              </w:rPr>
              <w:fldChar w:fldCharType="begin"/>
            </w:r>
            <w:r w:rsidR="00CA6345">
              <w:rPr>
                <w:rFonts w:ascii="Arial" w:hAnsi="Arial" w:cs="Arial"/>
                <w:sz w:val="20"/>
                <w:szCs w:val="20"/>
                <w:lang w:val="en-GB"/>
              </w:rPr>
              <w:instrText xml:space="preserve"> ADDIN ZOTERO_ITEM CSL_CITATION {"citationID":"TCEhZXhl","properties":{"formattedCitation":"\\super 53\\nosupersub{}","plainCitation":"53","noteIndex":0},"citationItems":[{"id":66756,"uris":["http://zotero.org/groups/4797619/items/97GZ44K7"],"itemData":{"id":66756,"type":"article-journal","abstract":"PURPOSE: This phase III study compared the efficacy and safety of bevacizumab combined with standard chemotherapy regimens versus chemotherapy alone as second-line treatment of patients with human epidermal growth factor receptor 2 (HER2) -negative metastatic breast cancer.\nPATIENTS AND METHODS: Patients were randomly assigned 2:1 to chemotherapy + bevacizumab or to chemotherapy + placebo. Before random assignment, investigators chose capecitabine, a taxane (paclitaxel, nab-paclitaxel, or docetaxel), gemcitabine, or vinorelbine. Dosing for bevacizumab or placebo was 15 mg/kg every 3 weeks or 10 mg/kg every 2 weeks, depending on chemotherapy regimen. The primary end point was progression-free survival (PFS). Secondary end points included overall survival, PFS by chemotherapy cohort, objective response rate (ORR), duration of objective response, 1-year survival rate, and safety.\nRESULTS: RIBBON-2 enrolled 684 patients (225, chemotherapy + placebo; 459, chemotherapy + bevacizumab). The combination of bevacizumab with chemotherapy demonstrated a statistically significant benefit. Median PFS increased from 5.1 to 7.2 months (stratified hazard ratio for PFS, 0.78; 95% CI, 0.64 to 0.93; P = .0072). The 10% improvement in ORR between the placebo- and bevacizumab-containing arms (39.5% v 29.6%; P = .0193), although not statistically significant, was consistent with previous trials. There was no statistically significant difference in overall survival. The most common grade ≥ 3 adverse events (AEs) related to bevacizumab treatment were hypertension (9.0%) and proteinuria (3.1%). There was an increased number of AEs leading to study discontinuation in the chemotherapy + bevacizumab arm compared with the chemotherapy + placebo arm (13.3% v 7.2%).\nCONCLUSION: The combination of bevacizumab with commonly used chemotherapies improved PFS in the second-line treatment of patients with HER2-negative metastatic breast cancer, with a safety profile comparable with that in prior phase III studies.","container-title":"Journal of Clinical Oncology: Official Journal of the American Society of Clinical Oncology","DOI":"10.1200/JCO.2010.34.1255","ISSN":"1527-7755","issue":"32","journalAbbreviation":"J Clin Oncol","language":"eng","note":"PMID: 21990397","page":"4286-4293","source":"PubMed","title":"RIBBON-2: a randomized, double-blind, placebo-controlled, phase III trial evaluating the efficacy and safety of bevacizumab in combination with chemotherapy for second-line treatment of human epidermal growth factor receptor 2-negative metastatic breast cancer","title-short":"RIBBON-2","volume":"29","author":[{"family":"Brufsky","given":"Adam M."},{"family":"Hurvitz","given":"Sara"},{"family":"Perez","given":"Edith"},{"family":"Swamy","given":"Raji"},{"family":"Valero","given":"Vicente"},{"family":"O'Neill","given":"Vincent"},{"family":"Rugo","given":"Hope S."}],"issued":{"date-parts":[["2011",11,10]]}}}],"schema":"https://github.com/citation-style-language/schema/raw/master/csl-citation.json"} </w:instrText>
            </w:r>
            <w:r w:rsidRPr="00CE5C68">
              <w:rPr>
                <w:rFonts w:ascii="Arial" w:hAnsi="Arial" w:cs="Arial"/>
                <w:sz w:val="20"/>
                <w:szCs w:val="20"/>
                <w:lang w:val="en-GB"/>
              </w:rPr>
              <w:fldChar w:fldCharType="separate"/>
            </w:r>
            <w:r w:rsidR="00FD57F4" w:rsidRPr="005A458E">
              <w:rPr>
                <w:rFonts w:ascii="Arial" w:hAnsi="Arial" w:cs="Arial"/>
                <w:sz w:val="20"/>
                <w:vertAlign w:val="superscript"/>
                <w:lang w:val="en-GB"/>
              </w:rPr>
              <w:t>53</w:t>
            </w:r>
            <w:r w:rsidRPr="00CE5C68">
              <w:rPr>
                <w:rFonts w:ascii="Arial" w:hAnsi="Arial" w:cs="Arial"/>
                <w:sz w:val="20"/>
                <w:szCs w:val="20"/>
                <w:lang w:val="en-GB"/>
              </w:rPr>
              <w:fldChar w:fldCharType="end"/>
            </w:r>
            <w:r w:rsidRPr="005A458E">
              <w:rPr>
                <w:rFonts w:ascii="Arial" w:hAnsi="Arial" w:cs="Arial"/>
                <w:sz w:val="20"/>
                <w:szCs w:val="20"/>
                <w:lang w:val="en-GB"/>
              </w:rPr>
              <w:t xml:space="preserve"> </w:t>
            </w:r>
          </w:p>
        </w:tc>
        <w:tc>
          <w:tcPr>
            <w:tcW w:w="1418" w:type="dxa"/>
            <w:shd w:val="clear" w:color="auto" w:fill="auto"/>
            <w:vAlign w:val="center"/>
          </w:tcPr>
          <w:p w14:paraId="1620667D" w14:textId="77777777" w:rsidR="00A659B4" w:rsidRPr="005A458E"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5A458E">
              <w:rPr>
                <w:rFonts w:ascii="Arial" w:hAnsi="Arial" w:cs="Arial"/>
                <w:sz w:val="20"/>
                <w:szCs w:val="20"/>
                <w:lang w:val="en-GB"/>
              </w:rPr>
              <w:t>RIBBON-2</w:t>
            </w:r>
          </w:p>
        </w:tc>
        <w:tc>
          <w:tcPr>
            <w:tcW w:w="2410" w:type="dxa"/>
            <w:shd w:val="clear" w:color="auto" w:fill="auto"/>
            <w:vAlign w:val="center"/>
          </w:tcPr>
          <w:p w14:paraId="7408948F" w14:textId="77777777" w:rsidR="00A659B4" w:rsidRPr="005A458E"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5A458E">
              <w:rPr>
                <w:rFonts w:ascii="Arial" w:hAnsi="Arial" w:cs="Arial"/>
                <w:sz w:val="20"/>
                <w:szCs w:val="20"/>
                <w:lang w:val="en-GB"/>
              </w:rPr>
              <w:t>2</w:t>
            </w:r>
          </w:p>
        </w:tc>
        <w:tc>
          <w:tcPr>
            <w:tcW w:w="4961" w:type="dxa"/>
            <w:vAlign w:val="center"/>
          </w:tcPr>
          <w:p w14:paraId="08383946" w14:textId="7229D171" w:rsidR="00A659B4" w:rsidRPr="005A458E"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5A458E">
              <w:rPr>
                <w:rFonts w:ascii="Arial" w:hAnsi="Arial" w:cs="Arial"/>
                <w:sz w:val="20"/>
                <w:szCs w:val="20"/>
                <w:lang w:val="en-GB"/>
              </w:rPr>
              <w:t>TPC (capecitabine, docetaxel, nab-paclitaxel, paclitaxel, gemcitabine, vinorelbine)</w:t>
            </w:r>
          </w:p>
        </w:tc>
        <w:tc>
          <w:tcPr>
            <w:tcW w:w="1417" w:type="dxa"/>
            <w:vAlign w:val="center"/>
          </w:tcPr>
          <w:p w14:paraId="6FF9E7B3" w14:textId="77777777" w:rsidR="00A659B4" w:rsidRPr="005A458E"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5A458E">
              <w:rPr>
                <w:rFonts w:ascii="Arial" w:hAnsi="Arial" w:cs="Arial"/>
                <w:sz w:val="20"/>
                <w:szCs w:val="20"/>
                <w:lang w:val="en-GB"/>
              </w:rPr>
              <w:t>5.1</w:t>
            </w:r>
          </w:p>
        </w:tc>
        <w:tc>
          <w:tcPr>
            <w:tcW w:w="1276" w:type="dxa"/>
            <w:vAlign w:val="center"/>
          </w:tcPr>
          <w:p w14:paraId="613AC3D9" w14:textId="77777777" w:rsidR="00A659B4" w:rsidRPr="005A458E"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5A458E">
              <w:rPr>
                <w:rFonts w:ascii="Arial" w:hAnsi="Arial" w:cs="Arial"/>
                <w:sz w:val="20"/>
                <w:szCs w:val="20"/>
                <w:lang w:val="en-GB"/>
              </w:rPr>
              <w:t>16.4</w:t>
            </w:r>
          </w:p>
        </w:tc>
      </w:tr>
      <w:tr w:rsidR="00A659B4" w:rsidRPr="00CE5C68" w14:paraId="7F0E35B7" w14:textId="77777777" w:rsidTr="00636F1E">
        <w:trPr>
          <w:trHeight w:val="20"/>
        </w:trPr>
        <w:tc>
          <w:tcPr>
            <w:cnfStyle w:val="001000000000" w:firstRow="0" w:lastRow="0" w:firstColumn="1" w:lastColumn="0" w:oddVBand="0" w:evenVBand="0" w:oddHBand="0" w:evenHBand="0" w:firstRowFirstColumn="0" w:firstRowLastColumn="0" w:lastRowFirstColumn="0" w:lastRowLastColumn="0"/>
            <w:tcW w:w="2830" w:type="dxa"/>
            <w:shd w:val="clear" w:color="auto" w:fill="F2F2F2" w:themeFill="background1" w:themeFillShade="F2"/>
            <w:vAlign w:val="center"/>
          </w:tcPr>
          <w:p w14:paraId="6F113DBD" w14:textId="77777777" w:rsidR="00A659B4" w:rsidRPr="005A458E" w:rsidRDefault="00A659B4" w:rsidP="00A659B4">
            <w:pPr>
              <w:pStyle w:val="Asctablesandfigures"/>
              <w:rPr>
                <w:rFonts w:ascii="Arial" w:hAnsi="Arial" w:cs="Arial"/>
                <w:b w:val="0"/>
                <w:sz w:val="20"/>
                <w:szCs w:val="20"/>
                <w:lang w:val="en-GB"/>
              </w:rPr>
            </w:pPr>
            <w:r w:rsidRPr="005A458E">
              <w:rPr>
                <w:rFonts w:ascii="Arial" w:hAnsi="Arial" w:cs="Arial"/>
                <w:sz w:val="20"/>
                <w:szCs w:val="20"/>
                <w:lang w:val="en-GB"/>
              </w:rPr>
              <w:t xml:space="preserve">Decker et al., 2019* </w:t>
            </w:r>
          </w:p>
          <w:p w14:paraId="037A5DBF" w14:textId="619105FA" w:rsidR="00A659B4" w:rsidRPr="00CE5C68" w:rsidRDefault="00A659B4" w:rsidP="00A659B4">
            <w:pPr>
              <w:pStyle w:val="Asctablesandfigures"/>
              <w:rPr>
                <w:rFonts w:ascii="Arial" w:hAnsi="Arial" w:cs="Arial"/>
                <w:sz w:val="20"/>
                <w:szCs w:val="20"/>
                <w:lang w:val="en-GB"/>
              </w:rPr>
            </w:pPr>
            <w:r w:rsidRPr="005A458E">
              <w:rPr>
                <w:rFonts w:ascii="Arial" w:hAnsi="Arial" w:cs="Arial"/>
                <w:sz w:val="20"/>
                <w:szCs w:val="20"/>
                <w:lang w:val="en-GB"/>
              </w:rPr>
              <w:t>(NCT01520103) Phase II</w:t>
            </w:r>
            <w:r w:rsidRPr="00CE5C68">
              <w:rPr>
                <w:rFonts w:ascii="Arial" w:hAnsi="Arial" w:cs="Arial"/>
                <w:sz w:val="20"/>
                <w:szCs w:val="20"/>
                <w:lang w:val="en-GB"/>
              </w:rPr>
              <w:fldChar w:fldCharType="begin"/>
            </w:r>
            <w:r w:rsidR="00CA6345" w:rsidRPr="005A458E">
              <w:rPr>
                <w:rFonts w:ascii="Arial" w:hAnsi="Arial" w:cs="Arial"/>
                <w:sz w:val="20"/>
                <w:szCs w:val="20"/>
                <w:lang w:val="en-GB"/>
              </w:rPr>
              <w:instrText xml:space="preserve"> ADDIN ZOTERO_ITEM CSL_CITATION {"citationID":"w3oW20ET","properties":{"formattedCitation":"\\super 51\\nosupersub{}","plainCitation":"51","noteIndex":0},"citationItems":[{"id":66146,"uris":["http://zotero.org/groups/4797619/items/CXIIHEH4"],"itemData":{"id":66146,"type":"article-journal","abstract":"PURPOSE: Improving the outcome of patients with HER2-negative metastatic breast cancer experiencing tumour progression following first-line chemotherapy remains an urgent medical need. The purpose of the VicTORia trial was to show superiority of everolimus in combination with vinorelbine versus vinorelbine monotherapy as second-line chemotherapy for patients with advanced HER2 negative breast cancer.\nMETHODS: In this randomised phase II trial, 133 patients were recruited in 32 centres in Germany. Patients were randomised 1:1 to second-line chemotherapy either with vinorelbine plus everolimus (arm1) or vinorelbine alone (arm2). Primary endpoint was progression-free survival (PFS). Secondary endpoints were PFS rate at 6 months, overall survival (OS), overall response rate (ORR) and safety. Baseline PI3 K mutational status was determined in plasma samples.\nRESULTS: Median progression-free survival was not different between arms (arm1 vs. arm2: 4.01 months, 95% CI 2.40-6.09 vs. 4.08, 95% CI 2.80-5.33). PFS rate at 6 months (arm1 </w:instrText>
            </w:r>
            <w:r w:rsidR="00CA6345">
              <w:rPr>
                <w:rFonts w:ascii="Arial" w:hAnsi="Arial" w:cs="Arial"/>
                <w:sz w:val="20"/>
                <w:szCs w:val="20"/>
                <w:lang w:val="da-DK"/>
              </w:rPr>
              <w:instrText xml:space="preserve">vs. arm2: 39.4%, 95% CI 27.6-50.9% vs. 36.6%, 95% CI 24.6-48.6%), median OS (arm1 vs. arm2: 16.3 months, 95% CI 11.4-19.0 vs. 13.8 months, 95% CI 10.2-19.1) and ORR were not different between arms. Most frequent grade 3/4 adverse events were neutropenia (50% vs. 40%), gastrointestinal toxicities (19.1% vs. 6.1%), and infections (19.1% vs. 7.7%). PI3 K mutational status was neither associated with PFS nor with OS.\nCONCLUSION: Although well tolerated, the efficacy of everolimus and vinorelbine combination therapy was not superior to vinorelbine monotherapy. There was no correlation between PI3 K mutational status and efficacy. EudracCT No 2011-001024-38, ClinicalTrials.gov No NCT01520103.","container-title":"Breast Cancer Research and Treatment","DOI":"10.1007/s10549-019-05280-2","ISSN":"1573-7217","issue":"3","journalAbbreviation":"Breast Cancer Res Treat","language":"eng","note":"PMID: 31115844","page":"637-647","source":"PubMed","title":"VicTORia: a randomised phase II study to compare vinorelbine in combination with the mTOR inhibitor everolimus versus vinorelbine monotherapy for second-line chemotherapy in advanced HER2-negative breast cancer","title-short":"VicTORia","volume":"176","author":[{"family":"Decker","given":"Thomas"},{"family":"Marschner","given":"Norbert"},{"family":"Muendlein","given":"Axel"},{"family":"Welt","given":"Anja"},{"family":"Hagen","given":"Volker"},{"family":"Rauh","given":"Jaqueline"},{"family":"Schröder","given":"Helge"},{"family":"Jaehnig","given":"Peter"},{"family":"Potthoff","given":"Karin"},{"family":"Lerchenmüller","given":"Christian"}],"issued":{"date-parts":[["2019",8]]}}}],"schema":"https://github.com/citation-style-language/schema/raw/master/csl-citation.json"} </w:instrText>
            </w:r>
            <w:r w:rsidRPr="00CE5C68">
              <w:rPr>
                <w:rFonts w:ascii="Arial" w:hAnsi="Arial" w:cs="Arial"/>
                <w:sz w:val="20"/>
                <w:szCs w:val="20"/>
                <w:lang w:val="en-GB"/>
              </w:rPr>
              <w:fldChar w:fldCharType="separate"/>
            </w:r>
            <w:r w:rsidR="00FD57F4" w:rsidRPr="00FD57F4">
              <w:rPr>
                <w:rFonts w:ascii="Arial" w:hAnsi="Arial" w:cs="Arial"/>
                <w:sz w:val="20"/>
                <w:vertAlign w:val="superscript"/>
              </w:rPr>
              <w:t>51</w:t>
            </w:r>
            <w:r w:rsidRPr="00CE5C68">
              <w:rPr>
                <w:rFonts w:ascii="Arial" w:hAnsi="Arial" w:cs="Arial"/>
                <w:sz w:val="20"/>
                <w:szCs w:val="20"/>
                <w:lang w:val="en-GB"/>
              </w:rPr>
              <w:fldChar w:fldCharType="end"/>
            </w:r>
          </w:p>
        </w:tc>
        <w:tc>
          <w:tcPr>
            <w:tcW w:w="1418" w:type="dxa"/>
            <w:shd w:val="clear" w:color="auto" w:fill="auto"/>
            <w:vAlign w:val="center"/>
          </w:tcPr>
          <w:p w14:paraId="086B1306" w14:textId="77777777" w:rsidR="00A659B4" w:rsidRPr="0068438F"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lang w:val="en-GB"/>
              </w:rPr>
            </w:pPr>
            <w:r w:rsidRPr="00CE5C68">
              <w:rPr>
                <w:rFonts w:ascii="Arial" w:hAnsi="Arial" w:cs="Arial"/>
                <w:sz w:val="20"/>
                <w:szCs w:val="20"/>
                <w:lang w:val="en-GB"/>
              </w:rPr>
              <w:t>VicTORia</w:t>
            </w:r>
          </w:p>
        </w:tc>
        <w:tc>
          <w:tcPr>
            <w:tcW w:w="2410" w:type="dxa"/>
            <w:shd w:val="clear" w:color="auto" w:fill="auto"/>
            <w:vAlign w:val="center"/>
          </w:tcPr>
          <w:p w14:paraId="0EC58E39"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2</w:t>
            </w:r>
          </w:p>
        </w:tc>
        <w:tc>
          <w:tcPr>
            <w:tcW w:w="4961" w:type="dxa"/>
            <w:vAlign w:val="center"/>
          </w:tcPr>
          <w:p w14:paraId="4BEDC74B"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Vinorelbine</w:t>
            </w:r>
          </w:p>
        </w:tc>
        <w:tc>
          <w:tcPr>
            <w:tcW w:w="1417" w:type="dxa"/>
            <w:vAlign w:val="center"/>
          </w:tcPr>
          <w:p w14:paraId="7C0376FD"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4.1</w:t>
            </w:r>
          </w:p>
        </w:tc>
        <w:tc>
          <w:tcPr>
            <w:tcW w:w="1276" w:type="dxa"/>
            <w:vAlign w:val="center"/>
          </w:tcPr>
          <w:p w14:paraId="2BF8B395"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13.8</w:t>
            </w:r>
          </w:p>
        </w:tc>
      </w:tr>
      <w:tr w:rsidR="00A659B4" w:rsidRPr="00CE5C68" w14:paraId="38844E5F" w14:textId="77777777" w:rsidTr="00636F1E">
        <w:trPr>
          <w:trHeight w:val="20"/>
        </w:trPr>
        <w:tc>
          <w:tcPr>
            <w:cnfStyle w:val="001000000000" w:firstRow="0" w:lastRow="0" w:firstColumn="1" w:lastColumn="0" w:oddVBand="0" w:evenVBand="0" w:oddHBand="0" w:evenHBand="0" w:firstRowFirstColumn="0" w:firstRowLastColumn="0" w:lastRowFirstColumn="0" w:lastRowLastColumn="0"/>
            <w:tcW w:w="2830" w:type="dxa"/>
            <w:shd w:val="clear" w:color="auto" w:fill="F2F2F2" w:themeFill="background1" w:themeFillShade="F2"/>
            <w:vAlign w:val="center"/>
          </w:tcPr>
          <w:p w14:paraId="5F2F9E79" w14:textId="77777777" w:rsidR="00A659B4" w:rsidRPr="00F710CB" w:rsidRDefault="00A659B4" w:rsidP="00A659B4">
            <w:pPr>
              <w:pStyle w:val="Asctablesandfigures"/>
              <w:rPr>
                <w:rFonts w:ascii="Arial" w:hAnsi="Arial" w:cs="Arial"/>
                <w:b w:val="0"/>
                <w:bCs w:val="0"/>
                <w:sz w:val="20"/>
                <w:szCs w:val="20"/>
                <w:lang w:val="da-DK"/>
              </w:rPr>
            </w:pPr>
            <w:r w:rsidRPr="00F710CB">
              <w:rPr>
                <w:rFonts w:ascii="Arial" w:hAnsi="Arial" w:cs="Arial"/>
                <w:sz w:val="20"/>
                <w:szCs w:val="20"/>
                <w:lang w:val="da-DK"/>
              </w:rPr>
              <w:t xml:space="preserve">Decker et al., 2017* </w:t>
            </w:r>
          </w:p>
          <w:p w14:paraId="40DF5E80" w14:textId="74536163" w:rsidR="00A659B4" w:rsidRPr="00CE5C68" w:rsidRDefault="00A659B4" w:rsidP="00A659B4">
            <w:pPr>
              <w:pStyle w:val="Asctablesandfigures"/>
              <w:rPr>
                <w:rFonts w:ascii="Arial" w:hAnsi="Arial" w:cs="Arial"/>
                <w:sz w:val="20"/>
                <w:szCs w:val="20"/>
                <w:lang w:val="en-GB"/>
              </w:rPr>
            </w:pPr>
            <w:r w:rsidRPr="00F710CB">
              <w:rPr>
                <w:rFonts w:ascii="Arial" w:hAnsi="Arial" w:cs="Arial"/>
                <w:sz w:val="20"/>
                <w:szCs w:val="20"/>
                <w:lang w:val="da-DK"/>
              </w:rPr>
              <w:t>(NCT01320111) Phase II</w:t>
            </w:r>
            <w:r w:rsidRPr="00CE5C68">
              <w:rPr>
                <w:rFonts w:ascii="Arial" w:hAnsi="Arial" w:cs="Arial"/>
                <w:sz w:val="20"/>
                <w:szCs w:val="20"/>
                <w:lang w:val="en-GB"/>
              </w:rPr>
              <w:fldChar w:fldCharType="begin"/>
            </w:r>
            <w:r w:rsidR="00CA6345">
              <w:rPr>
                <w:rFonts w:ascii="Arial" w:hAnsi="Arial" w:cs="Arial"/>
                <w:sz w:val="20"/>
                <w:szCs w:val="20"/>
                <w:lang w:val="da-DK"/>
              </w:rPr>
              <w:instrText xml:space="preserve"> ADDIN ZOTERO_ITEM CSL_CITATION {"citationID":"2ZWPqXaP","properties":{"formattedCitation":"\\super 54\\nosupersub{}","plainCitation":"54","noteIndex":0},"citationItems":[{"id":66777,"uris":["http://zotero.org/groups/4797619/items/VJ3GUGK2"],"itemData":{"id":66777,"type":"article-journal","abstract":"Background\nWe conducted an open-label, randomized, two-arm multi-center study to assess the efficacy and safety of paclitaxel versus paclitaxel + sorafenib in patients with locally advanced or metastatic HER2-negative breast cancer.\n\nMethods\nPatients were randomly assigned to receive either paclitaxel monotherapy (80 mg/m2) weekly (3 weeks on, 1 week off) plus sorafenib 400 mg orally, twice a day taken continuously throughout 28 day cycles. Sorafenib dose was gradually escalated from a starting dose of 200 mg twice a day. The primary endpoint was progression free survival (PFS).\n\nResults\nA pre-planned efficacy interim analysis was performed on the data of 60 patients, 30 patients in each treatment arm. Median PFS was estimated at 6.6 months (95% CI: 5.1 to 9.0) in patients randomized to single-agent paclitaxel (Arm A) and 5.6 months (95% CI: 3.8 to 6.5) in patients randomized to paclitaxel-sorafenib combination (Arm B) therapy. Contrary to the hypothesis, the treatment effect was statistically significant in favor of paclitaxel monotherapy (hazard ratio 1.80, 95% CI: 1.02 to 3.20; log-rank test P = 0.0409). It was decided to stop the trial early for futility. Median OS was also in favor of Arm A (20.7 months (95% CI: 16.4 to 26.7) versus 12.1 months (95% CI: 5.8 to 20.4) in Arm B. Clinical control was achieved in 28 patients (93.3%) in Arm A and in 21 patients 70.0% in Arm B. Overall response rate was met in 43.3% of patients in Arm A and in 40.0% in Arm B. Toxicities were increased in Arm B with higher rates of diarrhea, nausea, neutropenia, hand-foot skin reaction (HFSR) and anorexia, Grad 3 and 4 toxicities were rare.\n\nConclusions\nIn this pre-planned interim analysis, paclitaxel-sorafenib combination therapy was not found to be superior to paclitaxel monotherapy with regard to the primary end point, progression-free survival. The trial was therefore discontinued early. There was no indication of more favorable outcomes for combination therapy in secondary efficacy end points. As expected, the safety and toxicity profile of the combination therapy was less favorable compared to monotherapy. Overall, this trial did not demonstrate that adding sorafenib to second- or third-line paclitaxel provides any clinical benefit to patients with HER2-negative advanced or metastatic breast cancer. Cautious dosing using a sorafenib ramp up schedule might have contributed to negative results.\n\nTrial registration\nThe study was registered at EudraCT (No 2009–018025-73) and retrospectively registered at Clinical trials.gov on March 17, 2011 (NCT01320111).","container-title":"BMC Cancer","DOI":"10.1186/s12885-017-3492-1","ISSN":"1471-2407","journalAbbreviation":"BMC Cancer","note":"PMID: 28743247\nPMCID: PMC5526236","page":"499","source":"PubMed Central","title":"A randomized phase II study of paclitaxel alone versus paclitaxel plus sorafenib in second- and third-line treatment of patients with HER2-negative metastatic breast cancer (PASO)","volume":"17","author":[{"family":"Decker","given":"Thomas"},{"family":"Overkamp","given":"Friedrich"},{"family":"Rösel","given":"Siegfried"},{"family":"Nusch","given":"Arnd"},{"family":"Göhler","given":"Thomas"},{"family":"Indorf","given":"Martin"},{"family":"Sahlmann","given":"Jörg"},{"family":"Trarbach","given":"Tanja"}],"issued":{"date-parts":[["2017",7,25]]}}}],"schema":"https://github.com/citation-style-language/schema/raw/master/csl-citation.json"} </w:instrText>
            </w:r>
            <w:r w:rsidRPr="00CE5C68">
              <w:rPr>
                <w:rFonts w:ascii="Arial" w:hAnsi="Arial" w:cs="Arial"/>
                <w:sz w:val="20"/>
                <w:szCs w:val="20"/>
                <w:lang w:val="en-GB"/>
              </w:rPr>
              <w:fldChar w:fldCharType="separate"/>
            </w:r>
            <w:r w:rsidR="00FD57F4" w:rsidRPr="00FD57F4">
              <w:rPr>
                <w:rFonts w:ascii="Arial" w:hAnsi="Arial" w:cs="Arial"/>
                <w:sz w:val="20"/>
                <w:vertAlign w:val="superscript"/>
              </w:rPr>
              <w:t>54</w:t>
            </w:r>
            <w:r w:rsidRPr="00CE5C68">
              <w:rPr>
                <w:rFonts w:ascii="Arial" w:hAnsi="Arial" w:cs="Arial"/>
                <w:sz w:val="20"/>
                <w:szCs w:val="20"/>
                <w:lang w:val="en-GB"/>
              </w:rPr>
              <w:fldChar w:fldCharType="end"/>
            </w:r>
          </w:p>
        </w:tc>
        <w:tc>
          <w:tcPr>
            <w:tcW w:w="1418" w:type="dxa"/>
            <w:shd w:val="clear" w:color="auto" w:fill="auto"/>
            <w:vAlign w:val="center"/>
          </w:tcPr>
          <w:p w14:paraId="54392678"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PASO</w:t>
            </w:r>
          </w:p>
        </w:tc>
        <w:tc>
          <w:tcPr>
            <w:tcW w:w="2410" w:type="dxa"/>
            <w:shd w:val="clear" w:color="auto" w:fill="auto"/>
            <w:vAlign w:val="center"/>
          </w:tcPr>
          <w:p w14:paraId="2F85BEDC"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2-3</w:t>
            </w:r>
          </w:p>
        </w:tc>
        <w:tc>
          <w:tcPr>
            <w:tcW w:w="4961" w:type="dxa"/>
            <w:vAlign w:val="center"/>
          </w:tcPr>
          <w:p w14:paraId="38F7BBAA"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Paclitaxel</w:t>
            </w:r>
          </w:p>
        </w:tc>
        <w:tc>
          <w:tcPr>
            <w:tcW w:w="1417" w:type="dxa"/>
            <w:vAlign w:val="center"/>
          </w:tcPr>
          <w:p w14:paraId="12E73603"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6.6</w:t>
            </w:r>
          </w:p>
        </w:tc>
        <w:tc>
          <w:tcPr>
            <w:tcW w:w="1276" w:type="dxa"/>
            <w:vAlign w:val="center"/>
          </w:tcPr>
          <w:p w14:paraId="4B0FCEFB"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20.7</w:t>
            </w:r>
          </w:p>
        </w:tc>
      </w:tr>
      <w:tr w:rsidR="00A659B4" w:rsidRPr="00CE5C68" w14:paraId="51DA6D8F" w14:textId="77777777" w:rsidTr="00636F1E">
        <w:trPr>
          <w:trHeight w:val="20"/>
        </w:trPr>
        <w:tc>
          <w:tcPr>
            <w:cnfStyle w:val="001000000000" w:firstRow="0" w:lastRow="0" w:firstColumn="1" w:lastColumn="0" w:oddVBand="0" w:evenVBand="0" w:oddHBand="0" w:evenHBand="0" w:firstRowFirstColumn="0" w:firstRowLastColumn="0" w:lastRowFirstColumn="0" w:lastRowLastColumn="0"/>
            <w:tcW w:w="2830" w:type="dxa"/>
            <w:shd w:val="clear" w:color="auto" w:fill="F2F2F2" w:themeFill="background1" w:themeFillShade="F2"/>
            <w:vAlign w:val="center"/>
          </w:tcPr>
          <w:p w14:paraId="46BF6E86" w14:textId="77777777" w:rsidR="00A659B4" w:rsidRPr="00074F26" w:rsidRDefault="00A659B4" w:rsidP="00A659B4">
            <w:pPr>
              <w:pStyle w:val="Asctablesandfigures"/>
              <w:rPr>
                <w:rFonts w:ascii="Arial" w:hAnsi="Arial" w:cs="Arial"/>
                <w:sz w:val="20"/>
                <w:szCs w:val="20"/>
                <w:lang w:val="da-DK"/>
              </w:rPr>
            </w:pPr>
            <w:r w:rsidRPr="00074F26">
              <w:rPr>
                <w:rFonts w:ascii="Arial" w:hAnsi="Arial" w:cs="Arial"/>
                <w:sz w:val="20"/>
                <w:szCs w:val="20"/>
                <w:lang w:val="da-DK"/>
              </w:rPr>
              <w:t xml:space="preserve">Yardley et al., 2016 </w:t>
            </w:r>
          </w:p>
          <w:p w14:paraId="38FFE69E" w14:textId="242178CE" w:rsidR="00A659B4" w:rsidRPr="00CE5C68" w:rsidRDefault="00A659B4" w:rsidP="00A659B4">
            <w:pPr>
              <w:pStyle w:val="Asctablesandfigures"/>
              <w:rPr>
                <w:rFonts w:ascii="Arial" w:hAnsi="Arial" w:cs="Arial"/>
                <w:sz w:val="20"/>
                <w:szCs w:val="20"/>
                <w:lang w:val="en-GB"/>
              </w:rPr>
            </w:pPr>
            <w:r w:rsidRPr="00074F26">
              <w:rPr>
                <w:rFonts w:ascii="Arial" w:hAnsi="Arial" w:cs="Arial"/>
                <w:sz w:val="20"/>
                <w:szCs w:val="20"/>
                <w:lang w:val="da-DK"/>
              </w:rPr>
              <w:t>(NCT01427933) Phase II</w:t>
            </w:r>
            <w:r>
              <w:rPr>
                <w:rFonts w:ascii="Arial" w:hAnsi="Arial" w:cs="Arial"/>
                <w:sz w:val="20"/>
                <w:szCs w:val="20"/>
                <w:lang w:val="en-GB"/>
              </w:rPr>
              <w:fldChar w:fldCharType="begin"/>
            </w:r>
            <w:r w:rsidR="00CA6345">
              <w:rPr>
                <w:rFonts w:ascii="Arial" w:hAnsi="Arial" w:cs="Arial"/>
                <w:sz w:val="20"/>
                <w:szCs w:val="20"/>
                <w:lang w:val="da-DK"/>
              </w:rPr>
              <w:instrText xml:space="preserve"> ADDIN ZOTERO_ITEM CSL_CITATION {"citationID":"y5cWCnba","properties":{"formattedCitation":"\\super 47\\nosupersub{}","plainCitation":"47","noteIndex":0},"citationItems":[{"id":66278,"uris":["http://zotero.org/groups/4797619/items/L9C8M9U3"],"itemData":{"id":66278,"type":"article-journal","abstract":"BACKGROUND: Use of antiangiogenic agents in treatment of metastatic breast cancer (MBC) remains controversial. We evaluated the efficacy and safety of ramucirumab and eribulin versus eribulin alone as third- to fifth-line therapy in women with advanced breast cancer.\nPATIENTS AND METHODS: In this randomized (1:1), open-label, phase II study, US women aged 18 years or older with 2 to 4 previous chemotherapy regimens for locally recurrent or MBC, previous anthracycline and taxane treatment, and Eastern Cooperative Oncology Group performance status of 0 or 1 received ramucirumab with eribulin or eribulin alone in 21-day cycles (eribulin 1.4 mg/m2 intravenously on days 1 and 8; ramucirumab 10 mg/kg intravenously on day 1). Randomization was stratified according to previous antiangiogenic therapy and triple-negative status. The primary end point was progression-free survival (PFS) in the intention to treat population.\nRESULTS: One hundred forty-one women were randomized to ramucirumab with eribulin (n = 71) or eribulin alone (n = 70). Median PFS for ramucirumab with eribulin was 4.4 months (95% confidence interval [CI], 3.1-6.7) compared with 4.1 months (95% CI, 3.2-5.6) for eribulin (hazard ratio [HR], 0.83; 95% CI, 0.56-1.23; P = .35). Median overall survival in patients who received ramucirumab with eribulin was 13.5 months (95% CI, 10.4-17.9) compared with 11.5 months (95% CI, 9.0-17.3) in patients who received eribulin alone (HR, 0.91; 95% CI, 0.59-1.41; P = .68); objective response rate was 21% (13 of 62 patients) for the combination and 28% (17 of 60 patients) for eribulin alone. No unexpected toxicity was identified for the combination.\nCONCLUSION: Ramucirumab combined with eribulin did not significantly improve PFS in advanced MBC.","container-title":"Clinical Breast Cancer","DOI":"10.1016/j.clbc.2016.07.005","ISSN":"1938-0666","issue":"6","journalAbbreviation":"Clin Breast Cancer","language":"eng","note":"PMID: 27569274","page":"471-479.e1","source":"PubMed","title":"Ramucirumab With Eribulin Versus Eribulin in Locally Recurrent or Metastatic Breast Cancer Previously Treated With Anthracycline and Taxane Therapy: A Multicenter, Randomized, Phase II Study","title-short":"Ramucirumab With Eribulin Versus Eribulin in Locally Recurrent or Metastatic Breast Cancer Previously Treated With Anthracycline and Taxane Therapy","volume":"16","author":[{"family":"Yardley","given":"Denise A."},{"family":"Reeves","given":"James"},{"family":"Dees","given":"E. Claire"},{"family":"Osborne","given":"Cynthia"},{"family":"Paul","given":"Devchand"},{"family":"Ademuyiwa","given":"Foluso"},{"family":"Soliman","given":"Hatem"},{"family":"Guthrie","given":"Troy"},{"family":"Andersen","given":"Jay"},{"family":"Krekow","given":"Lea"},{"family":"Choksi","given":"Janak"},{"family":"Daniel","given":"Brooke"},{"family":"Danso","given":"Michael"},{"family":"Favret","given":"Anne"},{"family":"Oommen","given":"Sanjay"},{"family":"Brufsky","given":"Adam"},{"family":"Bromund","given":"Jane L."},{"family":"Lin","given":"Yong"},{"family":"Ibrahim","given":"Ayman B."},{"family":"Richards","given":"Paul D."}],"issued":{"date-parts":[["2016",12]]}}}],"schema":"https://github.com/citation-style-language/schema/raw/master/csl-citation.json"} </w:instrText>
            </w:r>
            <w:r>
              <w:rPr>
                <w:rFonts w:ascii="Arial" w:hAnsi="Arial" w:cs="Arial"/>
                <w:sz w:val="20"/>
                <w:szCs w:val="20"/>
                <w:lang w:val="en-GB"/>
              </w:rPr>
              <w:fldChar w:fldCharType="separate"/>
            </w:r>
            <w:r w:rsidR="00FD57F4" w:rsidRPr="00FD57F4">
              <w:rPr>
                <w:rFonts w:ascii="Arial" w:hAnsi="Arial" w:cs="Arial"/>
                <w:sz w:val="20"/>
                <w:vertAlign w:val="superscript"/>
              </w:rPr>
              <w:t>47</w:t>
            </w:r>
            <w:r>
              <w:rPr>
                <w:rFonts w:ascii="Arial" w:hAnsi="Arial" w:cs="Arial"/>
                <w:sz w:val="20"/>
                <w:szCs w:val="20"/>
                <w:lang w:val="en-GB"/>
              </w:rPr>
              <w:fldChar w:fldCharType="end"/>
            </w:r>
          </w:p>
        </w:tc>
        <w:tc>
          <w:tcPr>
            <w:tcW w:w="1418" w:type="dxa"/>
            <w:shd w:val="clear" w:color="auto" w:fill="auto"/>
            <w:vAlign w:val="center"/>
          </w:tcPr>
          <w:p w14:paraId="4C3F105E"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lang w:val="en-GB"/>
              </w:rPr>
              <w:t>-</w:t>
            </w:r>
          </w:p>
        </w:tc>
        <w:tc>
          <w:tcPr>
            <w:tcW w:w="2410" w:type="dxa"/>
            <w:shd w:val="clear" w:color="auto" w:fill="auto"/>
            <w:vAlign w:val="center"/>
          </w:tcPr>
          <w:p w14:paraId="2A63BF3D"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pPr>
            <w:r w:rsidRPr="00CE5C68">
              <w:rPr>
                <w:rFonts w:ascii="Arial" w:hAnsi="Arial" w:cs="Arial"/>
                <w:sz w:val="20"/>
                <w:szCs w:val="20"/>
                <w:lang w:val="en-GB"/>
              </w:rPr>
              <w:t>2-4</w:t>
            </w:r>
          </w:p>
        </w:tc>
        <w:tc>
          <w:tcPr>
            <w:tcW w:w="4961" w:type="dxa"/>
            <w:vAlign w:val="center"/>
          </w:tcPr>
          <w:p w14:paraId="4FAC5FE0"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lang w:val="en-GB"/>
              </w:rPr>
            </w:pPr>
            <w:r w:rsidRPr="00CE5C68">
              <w:rPr>
                <w:rFonts w:ascii="Arial" w:hAnsi="Arial" w:cs="Arial"/>
                <w:sz w:val="20"/>
                <w:szCs w:val="20"/>
                <w:lang w:val="en-GB"/>
              </w:rPr>
              <w:t>Eribulin</w:t>
            </w:r>
          </w:p>
        </w:tc>
        <w:tc>
          <w:tcPr>
            <w:tcW w:w="1417" w:type="dxa"/>
            <w:vAlign w:val="center"/>
          </w:tcPr>
          <w:p w14:paraId="22E6F09D"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4.</w:t>
            </w:r>
            <w:r>
              <w:rPr>
                <w:rFonts w:ascii="Arial" w:hAnsi="Arial" w:cs="Arial"/>
                <w:sz w:val="20"/>
                <w:szCs w:val="20"/>
                <w:lang w:val="en-GB"/>
              </w:rPr>
              <w:t>1</w:t>
            </w:r>
          </w:p>
        </w:tc>
        <w:tc>
          <w:tcPr>
            <w:tcW w:w="1276" w:type="dxa"/>
            <w:vAlign w:val="center"/>
          </w:tcPr>
          <w:p w14:paraId="10A98184" w14:textId="77777777" w:rsidR="00A659B4" w:rsidRPr="00CE5C68"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11.5</w:t>
            </w:r>
          </w:p>
        </w:tc>
      </w:tr>
      <w:tr w:rsidR="00A659B4" w:rsidRPr="004420C5" w14:paraId="098C5498" w14:textId="77777777" w:rsidTr="00636F1E">
        <w:trPr>
          <w:trHeight w:val="20"/>
        </w:trPr>
        <w:tc>
          <w:tcPr>
            <w:cnfStyle w:val="001000000000" w:firstRow="0" w:lastRow="0" w:firstColumn="1" w:lastColumn="0" w:oddVBand="0" w:evenVBand="0" w:oddHBand="0" w:evenHBand="0" w:firstRowFirstColumn="0" w:firstRowLastColumn="0" w:lastRowFirstColumn="0" w:lastRowLastColumn="0"/>
            <w:tcW w:w="2830" w:type="dxa"/>
            <w:shd w:val="clear" w:color="auto" w:fill="F2F2F2" w:themeFill="background1" w:themeFillShade="F2"/>
            <w:vAlign w:val="center"/>
          </w:tcPr>
          <w:p w14:paraId="43A9E12A" w14:textId="77777777" w:rsidR="00A659B4" w:rsidRPr="00074F26" w:rsidRDefault="00A659B4" w:rsidP="00A659B4">
            <w:pPr>
              <w:pStyle w:val="Asctablesandfigures"/>
              <w:rPr>
                <w:rFonts w:ascii="Arial" w:hAnsi="Arial" w:cs="Arial"/>
                <w:b w:val="0"/>
                <w:sz w:val="20"/>
                <w:szCs w:val="20"/>
                <w:lang w:val="da-DK"/>
              </w:rPr>
            </w:pPr>
            <w:r w:rsidRPr="00074F26">
              <w:rPr>
                <w:rFonts w:ascii="Arial" w:hAnsi="Arial" w:cs="Arial"/>
                <w:sz w:val="20"/>
                <w:szCs w:val="20"/>
                <w:lang w:val="da-DK"/>
              </w:rPr>
              <w:t xml:space="preserve">Yardley et al., 2015* </w:t>
            </w:r>
          </w:p>
          <w:p w14:paraId="672FD668" w14:textId="3B74A472" w:rsidR="00A659B4" w:rsidRPr="004420C5" w:rsidRDefault="00A659B4" w:rsidP="00A659B4">
            <w:pPr>
              <w:pStyle w:val="Asctablesandfigures"/>
              <w:rPr>
                <w:rFonts w:ascii="Arial" w:hAnsi="Arial" w:cs="Arial"/>
                <w:sz w:val="20"/>
                <w:szCs w:val="20"/>
                <w:lang w:val="da-DK"/>
              </w:rPr>
            </w:pPr>
            <w:r w:rsidRPr="00074F26">
              <w:rPr>
                <w:rFonts w:ascii="Arial" w:hAnsi="Arial" w:cs="Arial"/>
                <w:sz w:val="20"/>
                <w:szCs w:val="20"/>
                <w:lang w:val="da-DK"/>
              </w:rPr>
              <w:t>(NCT01156753) Phase II</w:t>
            </w:r>
            <w:r w:rsidRPr="00CE5C68">
              <w:rPr>
                <w:rFonts w:ascii="Arial" w:hAnsi="Arial" w:cs="Arial"/>
                <w:sz w:val="20"/>
                <w:szCs w:val="20"/>
                <w:lang w:val="en-GB"/>
              </w:rPr>
              <w:fldChar w:fldCharType="begin"/>
            </w:r>
            <w:r w:rsidR="00CA6345">
              <w:rPr>
                <w:rFonts w:ascii="Arial" w:hAnsi="Arial" w:cs="Arial"/>
                <w:sz w:val="20"/>
                <w:szCs w:val="20"/>
                <w:lang w:val="da-DK"/>
              </w:rPr>
              <w:instrText xml:space="preserve"> ADDIN ZOTERO_ITEM CSL_CITATION {"citationID":"umTmNQt5","properties":{"formattedCitation":"\\super 55\\nosupersub{}","plainCitation":"55","noteIndex":0},"citationItems":[{"id":66774,"uris":["http://zotero.org/groups/4797619/items/2HU3NYWK"],"itemData":{"id":66774,"type":"article-journal","abstract":"Purpose\n\nGlycoprotein NMB (gpNMB), a negative prognostic marker, is overexpressed in multiple tumor types. Glembatumumab vedotin is a gpNMB-specific monoclonal antibody conjugated to the potent cytotoxin monomethyl auristatin E. This phase II study investigated the activity of glembatumumab vedotin in advanced breast cancer by gpNMB expression.\n\nPatients and Methods\n\nPatients (n = 124) with refractory breast cancer that expressed gpNMB in ≥ 5% of epithelial or stromal cells by central immunohistochemistry were stratified by gpNMB expression (tumor, low stromal intensity, high stromal intensity) and were randomly assigned 2:1 to glembatumumab vedotin (n = 83) or investigator's choice (IC) chemotherapy (n = 41). The study was powered to detect overall objective response rate (ORR) in the glembatumumab vedotin arm between 10% (null) and 22.5% (alternative hypothesis) with preplanned investigation of activity by gpNMB distribution and/or intensity (Stratum 1 to Stratum 3).\n\nResults\n\nGlembatumumab vedotin was well tolerated as compared with IC chemotherapy (less hematologic toxicity; more rash, pruritus, neuropathy, and alopecia). ORR was 6% (five of 83) for glembatumumab vedotin versus 7% (three of 41) for IC, without significant intertreatment differences for predefined strata. Secondary end point revealed ORR of 12% (10 of 83) versus 12% (five of 41) overall, and 30% (seven of 23) versus 9% (one of 11) for gpNMB overexpression (≥ 25% of tumor cells). Unplanned analysis showed ORR of 18% (five of 28) versus 0% (0 of 11) in patients with triple-negative breast cancer (TNBC), and 40% (four of 10) versus 0% (zero of six) in gpNMB-overexpressing TNBC.\n\nConclusion\n\nGlembatumumab vedotin is well tolerated in heavily pretreated patients with breast cancer. Although the primary end point in advanced gpNMB-expressing breast cancer was not met for all enrolled patients (median tumor gpNMB expression, 5%), activity may be e</w:instrText>
            </w:r>
            <w:r w:rsidR="00CA6345" w:rsidRPr="004420C5">
              <w:rPr>
                <w:rFonts w:ascii="Arial" w:hAnsi="Arial" w:cs="Arial"/>
                <w:sz w:val="20"/>
                <w:szCs w:val="20"/>
                <w:lang w:val="da-DK"/>
              </w:rPr>
              <w:instrText xml:space="preserve">nhanced in patients with gpNMB-overexpressing tumors and/or TNBC. A pivotal phase II trial (METRIC [Metastatic Triple-Negative Breast Cancer]) is underway.","container-title":"Journal of Clinical Oncology","DOI":"10.1200/JCO.2014.56.2959","ISSN":"0732-183X","issue":"14","journalAbbreviation":"JCO","note":"publisher: Wolters Kluwer","page":"1609-1619","source":"ascopubs.org (Atypon)","title":"EMERGE: A Randomized Phase II Study of the Antibody-Drug Conjugate Glembatumumab Vedotin in Advanced Glycoprotein NMB–Expressing Breast Cancer","title-short":"EMERGE","volume":"33","author":[{"family":"Yardley","given":"Denise A."},{"family":"Weaver","given":"Robert"},{"family":"Melisko","given":"Michelle E."},{"family":"Saleh","given":"Mansoor N."},{"family":"Arena","given":"Francis P."},{"family":"Forero","given":"Andres"},{"family":"Cigler","given":"Tessa"},{"family":"Stopeck","given":"Alison"},{"family":"Citrin","given":"Dennis"},{"family":"Oliff","given":"Ira"},{"family":"Bechhold","given":"Rebecca"},{"family":"Loutfi","given":"Randa"},{"family":"Garcia","given":"Agustin A."},{"family":"Cruickshank","given":"Scott"},{"family":"Crowley","given":"Elizabeth"},{"family":"Green","given":"Jennifer"},{"family":"Hawthorne","given":"Thomas"},{"family":"Yellin","given":"Michael J."},{"family":"Davis","given":"Thomas A."},{"family":"Vahdat","given":"Linda T."}],"issued":{"date-parts":[["2015",5,10]]}}}],"schema":"https://github.com/citation-style-language/schema/raw/master/csl-citation.json"} </w:instrText>
            </w:r>
            <w:r w:rsidRPr="00CE5C68">
              <w:rPr>
                <w:rFonts w:ascii="Arial" w:hAnsi="Arial" w:cs="Arial"/>
                <w:sz w:val="20"/>
                <w:szCs w:val="20"/>
                <w:lang w:val="en-GB"/>
              </w:rPr>
              <w:fldChar w:fldCharType="separate"/>
            </w:r>
            <w:r w:rsidR="00FD57F4" w:rsidRPr="004420C5">
              <w:rPr>
                <w:rFonts w:ascii="Arial" w:hAnsi="Arial" w:cs="Arial"/>
                <w:sz w:val="20"/>
                <w:vertAlign w:val="superscript"/>
                <w:lang w:val="da-DK"/>
              </w:rPr>
              <w:t>55</w:t>
            </w:r>
            <w:r w:rsidRPr="00CE5C68">
              <w:rPr>
                <w:rFonts w:ascii="Arial" w:hAnsi="Arial" w:cs="Arial"/>
                <w:sz w:val="20"/>
                <w:szCs w:val="20"/>
                <w:lang w:val="en-GB"/>
              </w:rPr>
              <w:fldChar w:fldCharType="end"/>
            </w:r>
          </w:p>
        </w:tc>
        <w:tc>
          <w:tcPr>
            <w:tcW w:w="1418" w:type="dxa"/>
            <w:shd w:val="clear" w:color="auto" w:fill="auto"/>
            <w:vAlign w:val="center"/>
          </w:tcPr>
          <w:p w14:paraId="31413EEE" w14:textId="77777777" w:rsidR="00A659B4" w:rsidRPr="004420C5"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lang w:val="da-DK"/>
              </w:rPr>
            </w:pPr>
            <w:r w:rsidRPr="004420C5">
              <w:rPr>
                <w:rFonts w:ascii="Arial" w:hAnsi="Arial" w:cs="Arial"/>
                <w:sz w:val="20"/>
                <w:szCs w:val="20"/>
                <w:lang w:val="da-DK"/>
              </w:rPr>
              <w:t>EMERGE</w:t>
            </w:r>
          </w:p>
        </w:tc>
        <w:tc>
          <w:tcPr>
            <w:tcW w:w="2410" w:type="dxa"/>
            <w:shd w:val="clear" w:color="auto" w:fill="auto"/>
            <w:vAlign w:val="center"/>
          </w:tcPr>
          <w:p w14:paraId="2F180090" w14:textId="77777777" w:rsidR="00A659B4" w:rsidRPr="004420C5"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lang w:val="da-DK"/>
              </w:rPr>
            </w:pPr>
            <w:r w:rsidRPr="004420C5">
              <w:rPr>
                <w:rFonts w:ascii="Arial" w:hAnsi="Arial" w:cs="Arial"/>
                <w:sz w:val="20"/>
                <w:szCs w:val="20"/>
                <w:lang w:val="da-DK"/>
              </w:rPr>
              <w:t>2-7</w:t>
            </w:r>
          </w:p>
        </w:tc>
        <w:tc>
          <w:tcPr>
            <w:tcW w:w="4961" w:type="dxa"/>
            <w:vAlign w:val="center"/>
          </w:tcPr>
          <w:p w14:paraId="46DA4E75" w14:textId="396E9265" w:rsidR="00A659B4" w:rsidRPr="004420C5"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da-DK"/>
              </w:rPr>
            </w:pPr>
            <w:r w:rsidRPr="004420C5">
              <w:rPr>
                <w:rFonts w:ascii="Arial" w:hAnsi="Arial" w:cs="Arial"/>
                <w:sz w:val="20"/>
                <w:szCs w:val="20"/>
                <w:lang w:val="da-DK"/>
              </w:rPr>
              <w:t>TPC (eribulin, vinorelbine, capecitabine, gemcitabine)</w:t>
            </w:r>
          </w:p>
        </w:tc>
        <w:tc>
          <w:tcPr>
            <w:tcW w:w="1417" w:type="dxa"/>
            <w:vAlign w:val="center"/>
          </w:tcPr>
          <w:p w14:paraId="4000B68C" w14:textId="77777777" w:rsidR="00A659B4" w:rsidRPr="004420C5"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da-DK"/>
              </w:rPr>
            </w:pPr>
            <w:r w:rsidRPr="004420C5">
              <w:rPr>
                <w:rFonts w:ascii="Arial" w:hAnsi="Arial" w:cs="Arial"/>
                <w:sz w:val="20"/>
                <w:szCs w:val="20"/>
                <w:lang w:val="da-DK"/>
              </w:rPr>
              <w:t>2.0</w:t>
            </w:r>
          </w:p>
        </w:tc>
        <w:tc>
          <w:tcPr>
            <w:tcW w:w="1276" w:type="dxa"/>
            <w:vAlign w:val="center"/>
          </w:tcPr>
          <w:p w14:paraId="7667DCBE" w14:textId="77777777" w:rsidR="00A659B4" w:rsidRPr="004420C5" w:rsidRDefault="00A659B4" w:rsidP="00A659B4">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da-DK"/>
              </w:rPr>
            </w:pPr>
            <w:r w:rsidRPr="004420C5">
              <w:rPr>
                <w:rFonts w:ascii="Arial" w:hAnsi="Arial" w:cs="Arial"/>
                <w:sz w:val="20"/>
                <w:szCs w:val="20"/>
                <w:lang w:val="da-DK"/>
              </w:rPr>
              <w:t>7.4</w:t>
            </w:r>
          </w:p>
        </w:tc>
      </w:tr>
    </w:tbl>
    <w:p w14:paraId="02D05F9B" w14:textId="59CF4023" w:rsidR="008215DD" w:rsidRPr="004420C5" w:rsidRDefault="008215DD" w:rsidP="00411839">
      <w:pPr>
        <w:pStyle w:val="Body"/>
        <w:spacing w:after="0"/>
        <w:contextualSpacing/>
        <w:rPr>
          <w:sz w:val="18"/>
          <w:szCs w:val="18"/>
          <w:lang w:val="da-DK"/>
        </w:rPr>
      </w:pPr>
      <w:r w:rsidRPr="004420C5">
        <w:rPr>
          <w:sz w:val="18"/>
          <w:szCs w:val="18"/>
          <w:lang w:val="da-DK"/>
        </w:rPr>
        <w:t>*Publication identified as part of the clinical SLR for this appraisal</w:t>
      </w:r>
      <w:r w:rsidR="00B65DDA" w:rsidRPr="004420C5">
        <w:rPr>
          <w:sz w:val="18"/>
          <w:szCs w:val="18"/>
          <w:lang w:val="da-DK"/>
        </w:rPr>
        <w:t xml:space="preserve">. </w:t>
      </w:r>
      <w:r w:rsidRPr="004420C5">
        <w:rPr>
          <w:sz w:val="18"/>
          <w:szCs w:val="18"/>
          <w:lang w:val="da-DK"/>
        </w:rPr>
        <w:t>**</w:t>
      </w:r>
      <w:r w:rsidR="00FB23E9" w:rsidRPr="004420C5">
        <w:rPr>
          <w:sz w:val="18"/>
          <w:szCs w:val="18"/>
          <w:lang w:val="da-DK"/>
        </w:rPr>
        <w:t>SG</w:t>
      </w:r>
      <w:r w:rsidR="005F5E6E" w:rsidRPr="004420C5">
        <w:rPr>
          <w:sz w:val="18"/>
          <w:szCs w:val="18"/>
          <w:lang w:val="da-DK"/>
        </w:rPr>
        <w:t xml:space="preserve"> is not a non-targeted chemotherapy but is included as it is in the NICE scope</w:t>
      </w:r>
      <w:r w:rsidRPr="004420C5">
        <w:rPr>
          <w:sz w:val="18"/>
          <w:szCs w:val="18"/>
          <w:lang w:val="da-DK"/>
        </w:rPr>
        <w:br/>
        <w:t xml:space="preserve">Abbreviations: BC, breast cancer; HER2, human epidermal growth factor receptor 2; </w:t>
      </w:r>
      <w:r w:rsidR="005F5E6E" w:rsidRPr="004420C5">
        <w:rPr>
          <w:sz w:val="18"/>
          <w:szCs w:val="18"/>
          <w:lang w:val="da-DK"/>
        </w:rPr>
        <w:t xml:space="preserve">NICE, National Institute of Health and Care Excellence; </w:t>
      </w:r>
      <w:r w:rsidRPr="004420C5">
        <w:rPr>
          <w:sz w:val="18"/>
          <w:szCs w:val="18"/>
          <w:lang w:val="da-DK"/>
        </w:rPr>
        <w:t>NR, not reported; OS, overall survival; PFS, progression-free survival; TNBC, triple-negative breast cancer; TPC, treatment of physician’s choice.</w:t>
      </w:r>
    </w:p>
    <w:p w14:paraId="220A26F0" w14:textId="77777777" w:rsidR="00A659B4" w:rsidRPr="004420C5" w:rsidRDefault="00A659B4" w:rsidP="003D4653">
      <w:pPr>
        <w:pStyle w:val="Body"/>
        <w:rPr>
          <w:lang w:val="da-DK"/>
        </w:rPr>
        <w:sectPr w:rsidR="00A659B4" w:rsidRPr="004420C5" w:rsidSect="00610269">
          <w:footnotePr>
            <w:numFmt w:val="lowerLetter"/>
          </w:footnotePr>
          <w:pgSz w:w="16838" w:h="11906" w:orient="landscape"/>
          <w:pgMar w:top="851" w:right="1418" w:bottom="851" w:left="1418" w:header="709" w:footer="709" w:gutter="0"/>
          <w:cols w:space="708"/>
          <w:docGrid w:linePitch="360"/>
        </w:sectPr>
      </w:pPr>
    </w:p>
    <w:p w14:paraId="11326602" w14:textId="1E90748F" w:rsidR="006D77DC" w:rsidRPr="004420C5" w:rsidRDefault="006D77DC" w:rsidP="00990894">
      <w:pPr>
        <w:pStyle w:val="Heading3"/>
        <w:rPr>
          <w:lang w:val="da-DK"/>
        </w:rPr>
      </w:pPr>
      <w:bookmarkStart w:id="68" w:name="_Ref89962480"/>
      <w:bookmarkStart w:id="69" w:name="_Ref89964348"/>
      <w:bookmarkStart w:id="70" w:name="_Ref98839953"/>
      <w:bookmarkStart w:id="71" w:name="_Ref100239637"/>
      <w:bookmarkStart w:id="72" w:name="_Ref100239841"/>
      <w:bookmarkStart w:id="73" w:name="_Ref100239897"/>
      <w:bookmarkStart w:id="74" w:name="_Toc129350848"/>
      <w:bookmarkEnd w:id="63"/>
      <w:r w:rsidRPr="004420C5">
        <w:rPr>
          <w:lang w:val="da-DK"/>
        </w:rPr>
        <w:lastRenderedPageBreak/>
        <w:t>Current treatment pathway</w:t>
      </w:r>
      <w:bookmarkEnd w:id="68"/>
      <w:bookmarkEnd w:id="69"/>
      <w:bookmarkEnd w:id="70"/>
      <w:bookmarkEnd w:id="71"/>
      <w:bookmarkEnd w:id="72"/>
      <w:bookmarkEnd w:id="73"/>
      <w:bookmarkEnd w:id="74"/>
    </w:p>
    <w:p w14:paraId="1B843707" w14:textId="06819568" w:rsidR="00F927CB" w:rsidRPr="00A43593" w:rsidRDefault="00C93A54" w:rsidP="00846903">
      <w:pPr>
        <w:pStyle w:val="Body"/>
      </w:pPr>
      <w:r w:rsidRPr="004420C5">
        <w:rPr>
          <w:bCs/>
          <w:iCs/>
          <w:lang w:val="da-DK"/>
        </w:rPr>
        <w:t xml:space="preserve">The overarching goal of treatment </w:t>
      </w:r>
      <w:r w:rsidR="00E316F7" w:rsidRPr="004420C5">
        <w:rPr>
          <w:bCs/>
          <w:iCs/>
          <w:lang w:val="da-DK"/>
        </w:rPr>
        <w:t xml:space="preserve">in </w:t>
      </w:r>
      <w:r w:rsidRPr="004420C5">
        <w:rPr>
          <w:bCs/>
          <w:iCs/>
          <w:lang w:val="da-DK"/>
        </w:rPr>
        <w:t xml:space="preserve">u/mBC is to delay disease progression and prolong survival while maintaining QoL </w:t>
      </w:r>
      <w:r w:rsidR="002255B2" w:rsidRPr="004420C5">
        <w:rPr>
          <w:bCs/>
          <w:iCs/>
          <w:lang w:val="da-DK"/>
        </w:rPr>
        <w:t xml:space="preserve">through </w:t>
      </w:r>
      <w:r w:rsidR="000A1F01" w:rsidRPr="004420C5">
        <w:rPr>
          <w:bCs/>
          <w:iCs/>
          <w:lang w:val="da-DK"/>
        </w:rPr>
        <w:t xml:space="preserve">disease control and </w:t>
      </w:r>
      <w:r w:rsidR="006C4D84" w:rsidRPr="004420C5">
        <w:rPr>
          <w:bCs/>
          <w:iCs/>
          <w:lang w:val="da-DK"/>
        </w:rPr>
        <w:t>a manageable safety profile.</w:t>
      </w:r>
      <w:r w:rsidR="00643E8A" w:rsidRPr="002646F6">
        <w:rPr>
          <w:bCs/>
          <w:iCs/>
        </w:rPr>
        <w:fldChar w:fldCharType="begin"/>
      </w:r>
      <w:r w:rsidR="00CA6345" w:rsidRPr="004420C5">
        <w:rPr>
          <w:bCs/>
          <w:iCs/>
          <w:lang w:val="da-DK"/>
        </w:rPr>
        <w:instrText xml:space="preserve"> ADDIN ZOTERO_ITEM CSL_CITATION {"citationID":"Phx3lNkt","properties":{"formattedCitation":"\\super 32,33\\nosupersub{}","plainCitation":"32,33","noteIndex":0},"citationItems":[{"id":65957,"uris":["http://zotero.org/groups/4797619/items/T5WEEHEL"],"itemData":{"id":65957,"type":"webpage","abstract":"Learn about the treatment options for secondary breast cancer.","container-title":"Breast Cancer Now","language":"en","title":"Secondary b</w:instrText>
      </w:r>
      <w:r w:rsidR="00CA6345">
        <w:rPr>
          <w:bCs/>
          <w:iCs/>
        </w:rPr>
        <w:instrText xml:space="preserve">reast cancer treatments","URL":"https://breastcancernow.org/information-support/facing-breast-cancer/secondary-metastatic-breast-cancer/secondary-breast-cancer-treatment","accessed":{"date-parts":[["2022",10,3]]},"issued":{"date-parts":[["2015",12,16]]}}},{"id":65958,"uris":["http://zotero.org/groups/4797619/items/8R7LHWBA"],"itemData":{"id":65958,"type":"webpage","abstract":"ON THIS PAGE: You will learn about the different types of treatments doctors use for people with metastatic breast cancer. Use the menu to see other pages.","container-title":"Cancer.Net","language":"en","title":"Breast Cancer - Metastatic - Types of Treatment","URL":"https://www.cancer.net/cancer-types/breast-cancer-metastatic/types-treatment","accessed":{"date-parts":[["2022",10,3]]},"issued":{"date-parts":[["2017",5,19]]}}}],"schema":"https://github.com/citation-style-language/schema/raw/master/csl-citation.json"} </w:instrText>
      </w:r>
      <w:r w:rsidR="00643E8A" w:rsidRPr="002646F6">
        <w:rPr>
          <w:bCs/>
          <w:iCs/>
        </w:rPr>
        <w:fldChar w:fldCharType="separate"/>
      </w:r>
      <w:r w:rsidR="00FD57F4" w:rsidRPr="00FD57F4">
        <w:rPr>
          <w:rFonts w:cs="Arial"/>
          <w:szCs w:val="24"/>
          <w:vertAlign w:val="superscript"/>
        </w:rPr>
        <w:t>32,33</w:t>
      </w:r>
      <w:r w:rsidR="00643E8A" w:rsidRPr="002646F6">
        <w:rPr>
          <w:bCs/>
          <w:iCs/>
        </w:rPr>
        <w:fldChar w:fldCharType="end"/>
      </w:r>
    </w:p>
    <w:p w14:paraId="129CEC02" w14:textId="0D1AB5BB" w:rsidR="00F56204" w:rsidRPr="002646F6" w:rsidRDefault="00B035DF" w:rsidP="00F56204">
      <w:pPr>
        <w:pStyle w:val="Body"/>
      </w:pPr>
      <w:r w:rsidRPr="002646F6">
        <w:t xml:space="preserve">There are </w:t>
      </w:r>
      <w:r w:rsidR="00D8041C" w:rsidRPr="002646F6">
        <w:t xml:space="preserve">currently </w:t>
      </w:r>
      <w:r w:rsidRPr="002646F6">
        <w:t>n</w:t>
      </w:r>
      <w:r w:rsidR="00A8798C" w:rsidRPr="002646F6">
        <w:t>o UK</w:t>
      </w:r>
      <w:r w:rsidR="00D8041C" w:rsidRPr="002646F6">
        <w:t>-specific clinical or</w:t>
      </w:r>
      <w:r w:rsidR="00A8798C" w:rsidRPr="002646F6">
        <w:t xml:space="preserve"> reimbursement guidelines for HER2-low </w:t>
      </w:r>
      <w:r w:rsidR="005E09A9" w:rsidRPr="002646F6">
        <w:t xml:space="preserve">and patients are treated according to HER2-negative </w:t>
      </w:r>
      <w:r w:rsidR="000E2E53" w:rsidRPr="002646F6">
        <w:t>treatment guidelines</w:t>
      </w:r>
      <w:r w:rsidR="005E09A9" w:rsidRPr="002646F6">
        <w:t>.</w:t>
      </w:r>
      <w:r w:rsidR="00D8041C" w:rsidRPr="002646F6">
        <w:t xml:space="preserve"> In the absence of UK-specific guidelines, US and European clinical guidelines provide </w:t>
      </w:r>
      <w:r w:rsidR="00BB37D7" w:rsidRPr="002646F6">
        <w:t>recommendations</w:t>
      </w:r>
      <w:r w:rsidR="00643A5B" w:rsidRPr="002646F6">
        <w:t xml:space="preserve"> </w:t>
      </w:r>
      <w:r w:rsidR="00D8041C" w:rsidRPr="002646F6">
        <w:t>on the emerging role of HER2-low in the treatment paradigm, while UK</w:t>
      </w:r>
      <w:r w:rsidR="00A60D9F" w:rsidRPr="002646F6">
        <w:t xml:space="preserve"> clinical expert</w:t>
      </w:r>
      <w:r w:rsidR="00A1569D" w:rsidRPr="002646F6">
        <w:t xml:space="preserve"> advice</w:t>
      </w:r>
      <w:r w:rsidR="00A60D9F" w:rsidRPr="002646F6">
        <w:t>,</w:t>
      </w:r>
      <w:r w:rsidR="00D8041C" w:rsidRPr="002646F6">
        <w:t xml:space="preserve"> </w:t>
      </w:r>
      <w:r w:rsidR="0036510F" w:rsidRPr="002646F6">
        <w:t>NICE</w:t>
      </w:r>
      <w:r w:rsidR="00D8041C" w:rsidRPr="002646F6">
        <w:t xml:space="preserve"> guidelines</w:t>
      </w:r>
      <w:r w:rsidR="00A60D9F" w:rsidRPr="002646F6">
        <w:t>,</w:t>
      </w:r>
      <w:r w:rsidR="00D8041C" w:rsidRPr="002646F6">
        <w:t xml:space="preserve"> </w:t>
      </w:r>
      <w:r w:rsidR="0036510F" w:rsidRPr="002646F6">
        <w:t xml:space="preserve">and </w:t>
      </w:r>
      <w:r w:rsidR="00B07226" w:rsidRPr="002646F6">
        <w:t xml:space="preserve">NICE </w:t>
      </w:r>
      <w:r w:rsidR="0036510F" w:rsidRPr="002646F6">
        <w:t xml:space="preserve">TAs </w:t>
      </w:r>
      <w:r w:rsidR="00D8041C" w:rsidRPr="002646F6">
        <w:t xml:space="preserve">for HER2-negative u/mBC provide insights into the current </w:t>
      </w:r>
      <w:r w:rsidR="00C6470A" w:rsidRPr="002646F6">
        <w:t xml:space="preserve">treatment </w:t>
      </w:r>
      <w:r w:rsidR="00BB2367" w:rsidRPr="002646F6">
        <w:t xml:space="preserve">landscape </w:t>
      </w:r>
      <w:r w:rsidR="00C6470A" w:rsidRPr="002646F6">
        <w:t xml:space="preserve">for </w:t>
      </w:r>
      <w:r w:rsidR="00D8041C" w:rsidRPr="002646F6">
        <w:t>HER2-low</w:t>
      </w:r>
      <w:r w:rsidR="00C6470A" w:rsidRPr="002646F6">
        <w:t xml:space="preserve"> u/mBC. </w:t>
      </w:r>
    </w:p>
    <w:p w14:paraId="5641C3CF" w14:textId="347BBC3B" w:rsidR="00A20475" w:rsidRPr="00A43593" w:rsidRDefault="00A20475" w:rsidP="00E87B6F">
      <w:pPr>
        <w:pStyle w:val="Heading4"/>
      </w:pPr>
      <w:r w:rsidRPr="00A43593">
        <w:t>U</w:t>
      </w:r>
      <w:r w:rsidR="00D45BA5" w:rsidRPr="00A43593">
        <w:t>S clinical</w:t>
      </w:r>
      <w:r w:rsidR="00E87B6F" w:rsidRPr="00A43593">
        <w:t xml:space="preserve"> guidelines</w:t>
      </w:r>
    </w:p>
    <w:p w14:paraId="3401BA9C" w14:textId="220D0F6C" w:rsidR="00A20475" w:rsidRPr="002646F6" w:rsidRDefault="00AB2E74" w:rsidP="00A20475">
      <w:pPr>
        <w:pStyle w:val="Body"/>
      </w:pPr>
      <w:r w:rsidRPr="002646F6">
        <w:t>Both t</w:t>
      </w:r>
      <w:r w:rsidR="00A20475" w:rsidRPr="002646F6">
        <w:t xml:space="preserve">he </w:t>
      </w:r>
      <w:r w:rsidRPr="002646F6">
        <w:t>US NCCN</w:t>
      </w:r>
      <w:r w:rsidR="00A20475" w:rsidRPr="002646F6">
        <w:t xml:space="preserve"> 2022 (Version 4.2022)</w:t>
      </w:r>
      <w:r w:rsidR="00520DDA" w:rsidRPr="002646F6">
        <w:fldChar w:fldCharType="begin"/>
      </w:r>
      <w:r w:rsidR="00CA6345">
        <w:instrText xml:space="preserve"> ADDIN ZOTERO_ITEM CSL_CITATION {"citationID":"xwXOPYeo","properties":{"formattedCitation":"\\super 72\\nosupersub{}","plainCitation":"72","noteIndex":0},"citationItems":[{"id":65859,"uris":["http://zotero.org/groups/4797619/items/73ARJN9L"],"itemData":{"id":65859,"type":"article-journal","language":"EN","note":"publisher: National Comprehensive Cancer Network","title":"NCCN Clinical Practice Guidelines in Oncology, Breast Cancer. Version 4.2022.","URL":"https://www.nccn.org/patients/guidelines/cancers.aspx","author":[{"family":"Gradishar","given":"William J."},{"family":"Moran","given":"Meena S."},{"family":"Abraham","given":"Jame"},{"family":"Aft","given":"Rebecca"},{"family":"Agnese","given":"Doreen"},{"family":"Allison","given":"Kimberly H."},{"family":"Anderson","given":"Bethany"},{"family":"Burstein","given":"Harold J."},{"family":"Chew","given":"Helen"},{"family":"Dang","given":"Chau"},{"family":"Elias","given":"Anthony D."},{"family":"Giordano","given":"Sharon H."},{"family":"Goetz","given":"Matthew P."},{"family":"Goldstein","given":"Lori J."},{"family":"Hurvitz","given":"Sara A."},{"family":"Isakoff","given":"Steven J."},{"family":"Jankowitz","given":"Rachel C."},{"family":"Javid","given":"Sara H."},{"family":"Krishnamurthy","given":"Jairam"},{"family":"Leitch","given":"Marilyn"},{"family":"Lyons","given":"Janice"},{"family":"Mortimer","given":"Joanne"},{"family":"Patel","given":"Sameer A."},{"family":"Pierce","given":"Lori J."},{"family":"Rosenberger","given":"Laura H."},{"family":"Rugo","given":"Hope S."},{"family":"Sitapati","given":"Amy"},{"family":"Smith","given":"Karen Lisa"},{"family":"Smith","given":"Mary Lou"},{"family":"Soliman","given":"Hatem"},{"family":"Stringer-Reasor","given":"Erica M."},{"family":"Telli","given":"Melinda L."},{"family":"Ward","given":"John H."},{"family":"Wisinski","given":"Kari B."},{"family":"Young","given":"Jessica S."},{"family":"Berardi","given":"Ryan"},{"family":"Kumar","given":"Rashmi"}],"accessed":{"date-parts":[["2022",11,3]]},"issued":{"date-parts":[["2022",6,21]]}}}],"schema":"https://github.com/citation-style-language/schema/raw/master/csl-citation.json"} </w:instrText>
      </w:r>
      <w:r w:rsidR="00520DDA" w:rsidRPr="002646F6">
        <w:fldChar w:fldCharType="separate"/>
      </w:r>
      <w:r w:rsidR="00FD57F4" w:rsidRPr="00FD57F4">
        <w:rPr>
          <w:rFonts w:cs="Arial"/>
          <w:szCs w:val="24"/>
          <w:vertAlign w:val="superscript"/>
        </w:rPr>
        <w:t>72</w:t>
      </w:r>
      <w:r w:rsidR="00520DDA" w:rsidRPr="002646F6">
        <w:fldChar w:fldCharType="end"/>
      </w:r>
      <w:r w:rsidR="00A20475" w:rsidRPr="002646F6">
        <w:t xml:space="preserve"> </w:t>
      </w:r>
      <w:r w:rsidR="00A1197B" w:rsidRPr="002646F6">
        <w:t xml:space="preserve">and </w:t>
      </w:r>
      <w:r w:rsidR="004453B1" w:rsidRPr="002646F6">
        <w:t xml:space="preserve">the </w:t>
      </w:r>
      <w:r w:rsidR="00A1197B" w:rsidRPr="002646F6">
        <w:t xml:space="preserve">ASCO </w:t>
      </w:r>
      <w:r w:rsidR="00406628" w:rsidRPr="002646F6">
        <w:t>Guideline 2022 Rapid Recommendation</w:t>
      </w:r>
      <w:r w:rsidR="00CF078B" w:rsidRPr="002646F6">
        <w:t xml:space="preserve"> Update</w:t>
      </w:r>
      <w:r w:rsidR="00520DDA" w:rsidRPr="002646F6">
        <w:fldChar w:fldCharType="begin"/>
      </w:r>
      <w:r w:rsidR="00CA6345">
        <w:instrText xml:space="preserve"> ADDIN ZOTERO_ITEM CSL_CITATION {"citationID":"DDH7Pe2k","properties":{"formattedCitation":"\\super 71\\nosupersub{}","plainCitation":"71","noteIndex":0},"citationItems":[{"id":66147,"uris":["http://zotero.org/groups/4797619/items/YTHABEAP"],"itemData":{"id":66147,"type":"article-journal","abstract":"ASCO Rapid Recommendations Updates highlight revisions to select ASCO guideline recommendations as a response to the emergence of new and practice-changing data. The rapid updates are supported by an evidence review and follow the guideline development processes outlined in the ASCO Guideline Methodology Manual. The goal of these articles is to disseminate updated recommendations, in a timely manner, to better inform health practitioners and the public on the best available cancer care options.","archive_location":"world","container-title":"Journal of Clinical Oncology","DOI":"10.1200/JCO.22.01533","language":"EN","license":"© 2022 by American Society of Clinical Oncology","note":"publisher: Wolters Kluwer Health","source":"ascopubs.org","title":"Chemotherapy and Targeted Therapy for Human Epidermal Growth Factor Receptor 2–Negative Metastatic Breast Cancer That Is Either Endocrine-Pretreated or Hormone Receptor–Negative: ASCO Guideline Rapid Recommendation Update","title-short":"Chemotherapy and Targeted Therapy for Human Epidermal Growth Factor Receptor 2–Negative Metastatic Breast Cancer That Is Either Endocrine-Pretreated or Hormone Receptor–Negative","URL":"https://ascopubs.org/doi/pdf/10.1200/JCO.22.01533?role=tab)","author":[{"family":"Moy","given":"Beverly"},{"family":"Rumble","given":"R. Bryan"},{"family":"Carey","given":"Lisa A."},{"family":"Panel","given":"for the Chemotherapy and Targeted Therapy for HER2-Negative Metastatic Breast Cancer that is Either Endocrine-Pretreated or Hormone Receptor–Negative Expert"}],"accessed":{"date-parts":[["2022",11,16]]},"issued":{"date-parts":[["2022",8,4]]}}}],"schema":"https://github.com/citation-style-language/schema/raw/master/csl-citation.json"} </w:instrText>
      </w:r>
      <w:r w:rsidR="00520DDA" w:rsidRPr="002646F6">
        <w:fldChar w:fldCharType="separate"/>
      </w:r>
      <w:r w:rsidR="00FD57F4" w:rsidRPr="00FD57F4">
        <w:rPr>
          <w:rFonts w:cs="Arial"/>
          <w:szCs w:val="24"/>
          <w:vertAlign w:val="superscript"/>
        </w:rPr>
        <w:t>71</w:t>
      </w:r>
      <w:r w:rsidR="00520DDA" w:rsidRPr="002646F6">
        <w:fldChar w:fldCharType="end"/>
      </w:r>
      <w:r w:rsidR="00A20475" w:rsidRPr="002646F6">
        <w:t xml:space="preserve"> include recommendations for HER2-low </w:t>
      </w:r>
      <w:r w:rsidR="00821E6C" w:rsidRPr="002646F6">
        <w:t>u/m</w:t>
      </w:r>
      <w:r w:rsidR="00A20475" w:rsidRPr="002646F6">
        <w:t xml:space="preserve">BC. </w:t>
      </w:r>
      <w:r w:rsidR="00406628" w:rsidRPr="002646F6">
        <w:t xml:space="preserve">In NCCN 2022, </w:t>
      </w:r>
      <w:r w:rsidR="005A5672" w:rsidRPr="002646F6">
        <w:t>T-DXd</w:t>
      </w:r>
      <w:r w:rsidR="00A20475" w:rsidRPr="002646F6">
        <w:t xml:space="preserve"> </w:t>
      </w:r>
      <w:r w:rsidR="00821E6C" w:rsidRPr="002646F6">
        <w:t>is recommended a</w:t>
      </w:r>
      <w:r w:rsidR="00A20475" w:rsidRPr="002646F6">
        <w:t>s the Category 1 preferred regimen</w:t>
      </w:r>
      <w:r w:rsidR="00D278FA" w:rsidRPr="002646F6">
        <w:t xml:space="preserve"> and the only option</w:t>
      </w:r>
      <w:r w:rsidR="00A20475" w:rsidRPr="002646F6">
        <w:t xml:space="preserve"> for patients with HER2-low BC who have received at least </w:t>
      </w:r>
      <w:r w:rsidR="00205BB8" w:rsidRPr="002646F6">
        <w:t>one</w:t>
      </w:r>
      <w:r w:rsidR="00A20475" w:rsidRPr="002646F6">
        <w:t xml:space="preserve"> prior line of chemotherapy for metastatic disease and, if the tumour is HR</w:t>
      </w:r>
      <w:r w:rsidR="005366D2" w:rsidRPr="002646F6">
        <w:t>-positive</w:t>
      </w:r>
      <w:r w:rsidR="00A20475" w:rsidRPr="002646F6">
        <w:t xml:space="preserve">, are refractory to </w:t>
      </w:r>
      <w:r w:rsidR="007225E0" w:rsidRPr="002646F6">
        <w:t>ET</w:t>
      </w:r>
      <w:r w:rsidR="00F219AD" w:rsidRPr="002646F6">
        <w:t>.</w:t>
      </w:r>
      <w:r w:rsidR="00CF078B" w:rsidRPr="002646F6">
        <w:fldChar w:fldCharType="begin"/>
      </w:r>
      <w:r w:rsidR="00CA6345">
        <w:instrText xml:space="preserve"> ADDIN ZOTERO_ITEM CSL_CITATION {"citationID":"TzcExRXP","properties":{"formattedCitation":"\\super 72\\nosupersub{}","plainCitation":"72","noteIndex":0},"citationItems":[{"id":65859,"uris":["http://zotero.org/groups/4797619/items/73ARJN9L"],"itemData":{"id":65859,"type":"article-journal","language":"EN","note":"publisher: National Comprehensive Cancer Network","title":"NCCN Clinical Practice Guidelines in Oncology, Breast Cancer. Version 4.2022.","URL":"https://www.nccn.org/patients/guidelines/cancers.aspx","author":[{"family":"Gradishar","given":"William J."},{"family":"Moran","given":"Meena S."},{"family":"Abraham","given":"Jame"},{"family":"Aft","given":"Rebecca"},{"family":"Agnese","given":"Doreen"},{"family":"Allison","given":"Kimberly H."},{"family":"Anderson","given":"Bethany"},{"family":"Burstein","given":"Harold J."},{"family":"Chew","given":"Helen"},{"family":"Dang","given":"Chau"},{"family":"Elias","given":"Anthony D."},{"family":"Giordano","given":"Sharon H."},{"family":"Goetz","given":"Matthew P."},{"family":"Goldstein","given":"Lori J."},{"family":"Hurvitz","given":"Sara A."},{"family":"Isakoff","given":"Steven J."},{"family":"Jankowitz","given":"Rachel C."},{"family":"Javid","given":"Sara H."},{"family":"Krishnamurthy","given":"Jairam"},{"family":"Leitch","given":"Marilyn"},{"family":"Lyons","given":"Janice"},{"family":"Mortimer","given":"Joanne"},{"family":"Patel","given":"Sameer A."},{"family":"Pierce","given":"Lori J."},{"family":"Rosenberger","given":"Laura H."},{"family":"Rugo","given":"Hope S."},{"family":"Sitapati","given":"Amy"},{"family":"Smith","given":"Karen Lisa"},{"family":"Smith","given":"Mary Lou"},{"family":"Soliman","given":"Hatem"},{"family":"Stringer-Reasor","given":"Erica M."},{"family":"Telli","given":"Melinda L."},{"family":"Ward","given":"John H."},{"family":"Wisinski","given":"Kari B."},{"family":"Young","given":"Jessica S."},{"family":"Berardi","given":"Ryan"},{"family":"Kumar","given":"Rashmi"}],"accessed":{"date-parts":[["2022",11,3]]},"issued":{"date-parts":[["2022",6,21]]}}}],"schema":"https://github.com/citation-style-language/schema/raw/master/csl-citation.json"} </w:instrText>
      </w:r>
      <w:r w:rsidR="00CF078B" w:rsidRPr="002646F6">
        <w:fldChar w:fldCharType="separate"/>
      </w:r>
      <w:r w:rsidR="00FD57F4" w:rsidRPr="00FD57F4">
        <w:rPr>
          <w:rFonts w:cs="Arial"/>
          <w:szCs w:val="24"/>
          <w:vertAlign w:val="superscript"/>
        </w:rPr>
        <w:t>72</w:t>
      </w:r>
      <w:r w:rsidR="00CF078B" w:rsidRPr="002646F6">
        <w:fldChar w:fldCharType="end"/>
      </w:r>
      <w:r w:rsidR="007C263C" w:rsidRPr="002646F6">
        <w:t xml:space="preserve"> </w:t>
      </w:r>
      <w:r w:rsidR="00520DDA" w:rsidRPr="002646F6">
        <w:t>Similarly, in the ASCO 2022 Rapid Recommendation Update</w:t>
      </w:r>
      <w:r w:rsidR="00CF078B" w:rsidRPr="002646F6">
        <w:t xml:space="preserve">, </w:t>
      </w:r>
      <w:r w:rsidR="00205BB8" w:rsidRPr="002646F6">
        <w:t xml:space="preserve">T-DXd is recommended for </w:t>
      </w:r>
      <w:r w:rsidR="00CF078B" w:rsidRPr="002646F6">
        <w:t xml:space="preserve">patients with HER2-low </w:t>
      </w:r>
      <w:r w:rsidR="00205BB8" w:rsidRPr="002646F6">
        <w:t>who have received at least one prior chemotherapy for met</w:t>
      </w:r>
      <w:r w:rsidR="005F0AA9" w:rsidRPr="002646F6">
        <w:t xml:space="preserve">astatic disease, and if HR-positive are refractory to </w:t>
      </w:r>
      <w:r w:rsidR="007225E0" w:rsidRPr="002646F6">
        <w:t>ET</w:t>
      </w:r>
      <w:r w:rsidR="005F0AA9" w:rsidRPr="002646F6">
        <w:t>.</w:t>
      </w:r>
      <w:r w:rsidR="005F0AA9" w:rsidRPr="002646F6">
        <w:fldChar w:fldCharType="begin"/>
      </w:r>
      <w:r w:rsidR="00CA6345">
        <w:instrText xml:space="preserve"> ADDIN ZOTERO_ITEM CSL_CITATION {"citationID":"wbMgJq3o","properties":{"formattedCitation":"\\super 71\\nosupersub{}","plainCitation":"71","noteIndex":0},"citationItems":[{"id":66147,"uris":["http://zotero.org/groups/4797619/items/YTHABEAP"],"itemData":{"id":66147,"type":"article-journal","abstract":"ASCO Rapid Recommendations Updates highlight revisions to select ASCO guideline recommendations as a response to the emergence of new and practice-changing data. The rapid updates are supported by an evidence review and follow the guideline development processes outlined in the ASCO Guideline Methodology Manual. The goal of these articles is to disseminate updated recommendations, in a timely manner, to better inform health practitioners and the public on the best available cancer care options.","archive_location":"world","container-title":"Journal of Clinical Oncology","DOI":"10.1200/JCO.22.01533","language":"EN","license":"© 2022 by American Society of Clinical Oncology","note":"publisher: Wolters Kluwer Health","source":"ascopubs.org","title":"Chemotherapy and Targeted Therapy for Human Epidermal Growth Factor Receptor 2–Negative Metastatic Breast Cancer That Is Either Endocrine-Pretreated or Hormone Receptor–Negative: ASCO Guideline Rapid Recommendation Update","title-short":"Chemotherapy and Targeted Therapy for Human Epidermal Growth Factor Receptor 2–Negative Metastatic Breast Cancer That Is Either Endocrine-Pretreated or Hormone Receptor–Negative","URL":"https://ascopubs.org/doi/pdf/10.1200/JCO.22.01533?role=tab)","author":[{"family":"Moy","given":"Beverly"},{"family":"Rumble","given":"R. Bryan"},{"family":"Carey","given":"Lisa A."},{"family":"Panel","given":"for the Chemotherapy and Targeted Therapy for HER2-Negative Metastatic Breast Cancer that is Either Endocrine-Pretreated or Hormone Receptor–Negative Expert"}],"accessed":{"date-parts":[["2022",11,16]]},"issued":{"date-parts":[["2022",8,4]]}}}],"schema":"https://github.com/citation-style-language/schema/raw/master/csl-citation.json"} </w:instrText>
      </w:r>
      <w:r w:rsidR="005F0AA9" w:rsidRPr="002646F6">
        <w:fldChar w:fldCharType="separate"/>
      </w:r>
      <w:r w:rsidR="00FD57F4" w:rsidRPr="00FD57F4">
        <w:rPr>
          <w:rFonts w:cs="Arial"/>
          <w:szCs w:val="24"/>
          <w:vertAlign w:val="superscript"/>
        </w:rPr>
        <w:t>71</w:t>
      </w:r>
      <w:r w:rsidR="005F0AA9" w:rsidRPr="002646F6">
        <w:fldChar w:fldCharType="end"/>
      </w:r>
    </w:p>
    <w:p w14:paraId="6E708D93" w14:textId="10D71FE1" w:rsidR="002C0FF3" w:rsidRPr="00A43593" w:rsidRDefault="002C0FF3" w:rsidP="00E87B6F">
      <w:pPr>
        <w:pStyle w:val="Heading4"/>
      </w:pPr>
      <w:bookmarkStart w:id="75" w:name="_Ref126931680"/>
      <w:r w:rsidRPr="00A43593">
        <w:t>E</w:t>
      </w:r>
      <w:r w:rsidR="00FD19A8" w:rsidRPr="00A43593">
        <w:t>urope</w:t>
      </w:r>
      <w:r w:rsidR="00E87B6F" w:rsidRPr="00A43593">
        <w:t xml:space="preserve">an </w:t>
      </w:r>
      <w:r w:rsidR="00D45BA5" w:rsidRPr="00A43593">
        <w:t xml:space="preserve">clinical </w:t>
      </w:r>
      <w:r w:rsidR="00E87B6F" w:rsidRPr="00A43593">
        <w:t>guidelines</w:t>
      </w:r>
      <w:bookmarkEnd w:id="75"/>
    </w:p>
    <w:p w14:paraId="5AD2BA7F" w14:textId="5D9D54AF" w:rsidR="00AB1121" w:rsidRPr="002646F6" w:rsidRDefault="00AB1121" w:rsidP="00AB1121">
      <w:pPr>
        <w:pStyle w:val="Body"/>
      </w:pPr>
      <w:r w:rsidRPr="002646F6">
        <w:t>The Europe-wide treatment guideline of relevance to this submission is the 2021 ESMO guideline for mBC</w:t>
      </w:r>
      <w:r w:rsidR="006E217D" w:rsidRPr="002646F6">
        <w:t>.</w:t>
      </w:r>
      <w:r w:rsidRPr="002646F6">
        <w:fldChar w:fldCharType="begin"/>
      </w:r>
      <w:r w:rsidR="00CA6345">
        <w:instrText xml:space="preserve"> ADDIN ZOTERO_ITEM CSL_CITATION {"citationID":"u5ep3DZD","properties":{"formattedCitation":"\\super 42\\nosupersub{}","plainCitation":"42","noteIndex":0},"citationItems":[{"id":65955,"uris":["http://zotero.org/groups/4797619/items/4KXA6CCG"],"itemData":{"id":65955,"type":"article-journal","container-title":"Annals of Oncology: Official Journal of the European Society for Medical Oncology","DOI":"10.1016/j.annonc.2021.09.019","ISSN":"1569-8041","issue":"12","journalAbbreviation":"Ann Oncol","language":"eng","note":"PMID: 34678411","page":"1475-1495","source":"PubMed","title":"ESMO Clinical Practice Guideline for the diagnosis, staging and treatment of patients with metastatic breast cancer","volume":"32","author":[{"family":"Gennari","given":"A."},{"family":"André","given":"F."},{"family":"Barrios","given":"C. H."},{"family":"Cortés","given":"J."},{"family":"Azambuja","given":"E.","non-dropping-particle":"de"},{"family":"DeMichele","given":"A."},{"family":"Dent","given":"R."},{"family":"Fenlon","given":"D."},{"family":"Gligorov","given":"J."},{"family":"Hurvitz","given":"S. A."},{"family":"Im","given":"S.-A."},{"family":"Krug","given":"D."},{"family":"Kunz","given":"W. G."},{"family":"Loi","given":"S."},{"family":"Penault-Llorca","given":"F."},{"family":"Ricke","given":"J."},{"family":"Robson","given":"M."},{"family":"Rugo","given":"H. S."},{"family":"Saura","given":"C."},{"family":"Schmid","given":"P."},{"family":"Singer","given":"C. F."},{"family":"Spanic","given":"T."},{"family":"Tolaney","given":"S. M."},{"family":"Turner","given":"N. C."},{"family":"Curigliano","given":"G."},{"family":"Loibl","given":"S."},{"family":"Paluch-Shimon","given":"S."},{"family":"Harbeck","given":"N."},{"literal":"ESMO Guidelines Committee. Electronic address: clinicalguidelines@esmo.org"}],"issued":{"date-parts":[["2021",12]]}}}],"schema":"https://github.com/citation-style-language/schema/raw/master/csl-citation.json"} </w:instrText>
      </w:r>
      <w:r w:rsidRPr="002646F6">
        <w:fldChar w:fldCharType="separate"/>
      </w:r>
      <w:r w:rsidR="00FD57F4" w:rsidRPr="00FD57F4">
        <w:rPr>
          <w:rFonts w:cs="Arial"/>
          <w:szCs w:val="24"/>
          <w:vertAlign w:val="superscript"/>
        </w:rPr>
        <w:t>42</w:t>
      </w:r>
      <w:r w:rsidRPr="002646F6">
        <w:fldChar w:fldCharType="end"/>
      </w:r>
      <w:r w:rsidR="00066CDC" w:rsidRPr="002646F6">
        <w:t xml:space="preserve"> </w:t>
      </w:r>
      <w:r w:rsidR="006F3BDF" w:rsidRPr="002646F6">
        <w:t>The</w:t>
      </w:r>
      <w:r w:rsidRPr="002646F6">
        <w:t xml:space="preserve"> guidelines do not currently include specific treatment recommendations for HER2-low, but do include HER2-low in the diagnostic work-up and staging of mBC.</w:t>
      </w:r>
      <w:r w:rsidR="004C4063" w:rsidRPr="002646F6">
        <w:fldChar w:fldCharType="begin"/>
      </w:r>
      <w:r w:rsidR="00CA6345">
        <w:instrText xml:space="preserve"> ADDIN ZOTERO_ITEM CSL_CITATION {"citationID":"mvE4nD85","properties":{"formattedCitation":"\\super 42\\nosupersub{}","plainCitation":"42","noteIndex":0},"citationItems":[{"id":65955,"uris":["http://zotero.org/groups/4797619/items/4KXA6CCG"],"itemData":{"id":65955,"type":"article-journal","container-title":"Annals of Oncology: Official Journal of the European Society for Medical Oncology","DOI":"10.1016/j.annonc.2021.09.019","ISSN":"1569-8041","issue":"12","journalAbbreviation":"Ann Oncol","language":"eng","note":"PMID: 34678411","page":"1475-1495","source":"PubMed","title":"ESMO Clinical Practice Guideline for the diagnosis, staging and treatment of patients with metastatic breast cancer","volume":"32","author":[{"family":"Gennari","given":"A."},{"family":"André","given":"F."},{"family":"Barrios","given":"C. H."},{"family":"Cortés","given":"J."},{"family":"Azambuja","given":"E.","non-dropping-particle":"de"},{"family":"DeMichele","given":"A."},{"family":"Dent","given":"R."},{"family":"Fenlon","given":"D."},{"family":"Gligorov","given":"J."},{"family":"Hurvitz","given":"S. A."},{"family":"Im","given":"S.-A."},{"family":"Krug","given":"D."},{"family":"Kunz","given":"W. G."},{"family":"Loi","given":"S."},{"family":"Penault-Llorca","given":"F."},{"family":"Ricke","given":"J."},{"family":"Robson","given":"M."},{"family":"Rugo","given":"H. S."},{"family":"Saura","given":"C."},{"family":"Schmid","given":"P."},{"family":"Singer","given":"C. F."},{"family":"Spanic","given":"T."},{"family":"Tolaney","given":"S. M."},{"family":"Turner","given":"N. C."},{"family":"Curigliano","given":"G."},{"family":"Loibl","given":"S."},{"family":"Paluch-Shimon","given":"S."},{"family":"Harbeck","given":"N."},{"literal":"ESMO Guidelines Committee. Electronic address: clinicalguidelines@esmo.org"}],"issued":{"date-parts":[["2021",12]]}}}],"schema":"https://github.com/citation-style-language/schema/raw/master/csl-citation.json"} </w:instrText>
      </w:r>
      <w:r w:rsidR="004C4063" w:rsidRPr="002646F6">
        <w:fldChar w:fldCharType="separate"/>
      </w:r>
      <w:r w:rsidR="00FD57F4" w:rsidRPr="00FD57F4">
        <w:rPr>
          <w:rFonts w:cs="Arial"/>
          <w:szCs w:val="24"/>
          <w:vertAlign w:val="superscript"/>
        </w:rPr>
        <w:t>42</w:t>
      </w:r>
      <w:r w:rsidR="004C4063" w:rsidRPr="002646F6">
        <w:fldChar w:fldCharType="end"/>
      </w:r>
      <w:r w:rsidRPr="002646F6">
        <w:t xml:space="preserve"> They also acknowledge that outcomes from HER2-low trials may necessitate a change in biomarker assessment when diagnosing mBC</w:t>
      </w:r>
      <w:r w:rsidR="004C4063" w:rsidRPr="002646F6">
        <w:t>.</w:t>
      </w:r>
      <w:r w:rsidR="004C4063" w:rsidRPr="002646F6">
        <w:fldChar w:fldCharType="begin"/>
      </w:r>
      <w:r w:rsidR="00CA6345">
        <w:instrText xml:space="preserve"> ADDIN ZOTERO_ITEM CSL_CITATION {"citationID":"aqnL5ik6","properties":{"formattedCitation":"\\super 42\\nosupersub{}","plainCitation":"42","noteIndex":0},"citationItems":[{"id":65955,"uris":["http://zotero.org/groups/4797619/items/4KXA6CCG"],"itemData":{"id":65955,"type":"article-journal","container-title":"Annals of Oncology: Official Journal of the European Society for Medical Oncology","DOI":"10.1016/j.annonc.2021.09.019","ISSN":"1569-8041","issue":"12","journalAbbreviation":"Ann Oncol","language":"eng","note":"PMID: 34678411","page":"1475-1495","source":"PubMed","title":"ESMO Clinical Practice Guideline for the diagnosis, staging and treatment of patients with metastatic breast cancer","volume":"32","author":[{"family":"Gennari","given":"A."},{"family":"André","given":"F."},{"family":"Barrios","given":"C. H."},{"family":"Cortés","given":"J."},{"family":"Azambuja","given":"E.","non-dropping-particle":"de"},{"family":"DeMichele","given":"A."},{"family":"Dent","given":"R."},{"family":"Fenlon","given":"D."},{"family":"Gligorov","given":"J."},{"family":"Hurvitz","given":"S. A."},{"family":"Im","given":"S.-A."},{"family":"Krug","given":"D."},{"family":"Kunz","given":"W. G."},{"family":"Loi","given":"S."},{"family":"Penault-Llorca","given":"F."},{"family":"Ricke","given":"J."},{"family":"Robson","given":"M."},{"family":"Rugo","given":"H. S."},{"family":"Saura","given":"C."},{"family":"Schmid","given":"P."},{"family":"Singer","given":"C. F."},{"family":"Spanic","given":"T."},{"family":"Tolaney","given":"S. M."},{"family":"Turner","given":"N. C."},{"family":"Curigliano","given":"G."},{"family":"Loibl","given":"S."},{"family":"Paluch-Shimon","given":"S."},{"family":"Harbeck","given":"N."},{"literal":"ESMO Guidelines Committee. Electronic address: clinicalguidelines@esmo.org"}],"issued":{"date-parts":[["2021",12]]}}}],"schema":"https://github.com/citation-style-language/schema/raw/master/csl-citation.json"} </w:instrText>
      </w:r>
      <w:r w:rsidR="004C4063" w:rsidRPr="002646F6">
        <w:fldChar w:fldCharType="separate"/>
      </w:r>
      <w:r w:rsidR="00FD57F4" w:rsidRPr="00FD57F4">
        <w:rPr>
          <w:rFonts w:cs="Arial"/>
          <w:szCs w:val="24"/>
          <w:vertAlign w:val="superscript"/>
        </w:rPr>
        <w:t>42</w:t>
      </w:r>
      <w:r w:rsidR="004C4063" w:rsidRPr="002646F6">
        <w:fldChar w:fldCharType="end"/>
      </w:r>
    </w:p>
    <w:p w14:paraId="32752424" w14:textId="30835235" w:rsidR="00A825BA" w:rsidRPr="00A43593" w:rsidRDefault="004C4063" w:rsidP="00A825BA">
      <w:pPr>
        <w:pStyle w:val="Body"/>
      </w:pPr>
      <w:r w:rsidRPr="002646F6">
        <w:t>In the absence of HER2-low recommendations specifically,</w:t>
      </w:r>
      <w:r w:rsidR="000A062F" w:rsidRPr="002646F6">
        <w:t xml:space="preserve"> the ESMO 2021 guidelines </w:t>
      </w:r>
      <w:r w:rsidRPr="002646F6">
        <w:t xml:space="preserve">for </w:t>
      </w:r>
      <w:r w:rsidR="000A062F" w:rsidRPr="002646F6">
        <w:t xml:space="preserve">HER2-negative </w:t>
      </w:r>
      <w:r w:rsidRPr="002646F6">
        <w:t>disease are re</w:t>
      </w:r>
      <w:r w:rsidR="001F060B" w:rsidRPr="002646F6">
        <w:t>levant.</w:t>
      </w:r>
      <w:r w:rsidR="000D2C6D" w:rsidRPr="002646F6">
        <w:fldChar w:fldCharType="begin"/>
      </w:r>
      <w:r w:rsidR="00CA6345">
        <w:instrText xml:space="preserve"> ADDIN ZOTERO_ITEM CSL_CITATION {"citationID":"Qwaj9wo7","properties":{"formattedCitation":"\\super 42\\nosupersub{}","plainCitation":"42","noteIndex":0},"citationItems":[{"id":65955,"uris":["http://zotero.org/groups/4797619/items/4KXA6CCG"],"itemData":{"id":65955,"type":"article-journal","container-title":"Annals of Oncology: Official Journal of the European Society for Medical Oncology","DOI":"10.1016/j.annonc.2021.09.019","ISSN":"1569-8041","issue":"12","journalAbbreviation":"Ann Oncol","language":"eng","note":"PMID: 34678411","page":"1475-1495","source":"PubMed","title":"ESMO Clinical Practice Guideline for the diagnosis, staging and treatment of patients with metastatic breast cancer","volume":"32","author":[{"family":"Gennari","given":"A."},{"family":"André","given":"F."},{"family":"Barrios","given":"C. H."},{"family":"Cortés","given":"J."},{"family":"Azambuja","given":"E.","non-dropping-particle":"de"},{"family":"DeMichele","given":"A."},{"family":"Dent","given":"R."},{"family":"Fenlon","given":"D."},{"family":"Gligorov","given":"J."},{"family":"Hurvitz","given":"S. A."},{"family":"Im","given":"S.-A."},{"family":"Krug","given":"D."},{"family":"Kunz","given":"W. G."},{"family":"Loi","given":"S."},{"family":"Penault-Llorca","given":"F."},{"family":"Ricke","given":"J."},{"family":"Robson","given":"M."},{"family":"Rugo","given":"H. S."},{"family":"Saura","given":"C."},{"family":"Schmid","given":"P."},{"family":"Singer","given":"C. F."},{"family":"Spanic","given":"T."},{"family":"Tolaney","given":"S. M."},{"family":"Turner","given":"N. C."},{"family":"Curigliano","given":"G."},{"family":"Loibl","given":"S."},{"family":"Paluch-Shimon","given":"S."},{"family":"Harbeck","given":"N."},{"literal":"ESMO Guidelines Committee. Electronic address: clinicalguidelines@esmo.org"}],"issued":{"date-parts":[["2021",12]]}}}],"schema":"https://github.com/citation-style-language/schema/raw/master/csl-citation.json"} </w:instrText>
      </w:r>
      <w:r w:rsidR="000D2C6D" w:rsidRPr="002646F6">
        <w:fldChar w:fldCharType="separate"/>
      </w:r>
      <w:r w:rsidR="00FD57F4" w:rsidRPr="00FD57F4">
        <w:rPr>
          <w:rFonts w:cs="Arial"/>
          <w:szCs w:val="24"/>
          <w:vertAlign w:val="superscript"/>
        </w:rPr>
        <w:t>42</w:t>
      </w:r>
      <w:r w:rsidR="000D2C6D" w:rsidRPr="002646F6">
        <w:fldChar w:fldCharType="end"/>
      </w:r>
      <w:r w:rsidR="001F060B" w:rsidRPr="002646F6">
        <w:t xml:space="preserve"> ESMO 2021 </w:t>
      </w:r>
      <w:r w:rsidR="000D2C6D" w:rsidRPr="002646F6">
        <w:t xml:space="preserve">guidelines </w:t>
      </w:r>
      <w:r w:rsidR="002F4600" w:rsidRPr="002646F6">
        <w:t xml:space="preserve">recommend </w:t>
      </w:r>
      <w:r w:rsidR="000A062F" w:rsidRPr="002646F6">
        <w:t xml:space="preserve">that chemotherapy </w:t>
      </w:r>
      <w:r w:rsidR="00B22A76" w:rsidRPr="002646F6">
        <w:t>should be</w:t>
      </w:r>
      <w:r w:rsidR="000A062F" w:rsidRPr="002646F6">
        <w:t xml:space="preserve"> used at the end of the treatment pathway </w:t>
      </w:r>
      <w:r w:rsidR="001F060B" w:rsidRPr="002646F6">
        <w:t xml:space="preserve">in HER2-negative u/mBC, </w:t>
      </w:r>
      <w:r w:rsidR="000A062F" w:rsidRPr="002646F6">
        <w:t>following exhaustion of earlier targeted options.</w:t>
      </w:r>
      <w:r w:rsidR="000D2C6D" w:rsidRPr="002646F6">
        <w:fldChar w:fldCharType="begin"/>
      </w:r>
      <w:r w:rsidR="00CA6345">
        <w:instrText xml:space="preserve"> ADDIN ZOTERO_ITEM CSL_CITATION {"citationID":"qhj5zY7W","properties":{"formattedCitation":"\\super 42\\nosupersub{}","plainCitation":"42","noteIndex":0},"citationItems":[{"id":65955,"uris":["http://zotero.org/groups/4797619/items/4KXA6CCG"],"itemData":{"id":65955,"type":"article-journal","container-title":"Annals of Oncology: Official Journal of the European Society for Medical Oncology","DOI":"10.1016/j.annonc.2021.09.019","ISSN":"1569-8041","issue":"12","journalAbbreviation":"Ann Oncol","language":"eng","note":"PMID: 34678411","page":"1475-1495","source":"PubMed","title":"ESMO Clinical Practice Guideline for the diagnosis, staging and treatment of patients with metastatic breast cancer","volume":"32","author":[{"family":"Gennari","given":"A."},{"family":"André","given":"F."},{"family":"Barrios","given":"C. H."},{"family":"Cortés","given":"J."},{"family":"Azambuja","given":"E.","non-dropping-particle":"de"},{"family":"DeMichele","given":"A."},{"family":"Dent","given":"R."},{"family":"Fenlon","given":"D."},{"family":"Gligorov","given":"J."},{"family":"Hurvitz","given":"S. A."},{"family":"Im","given":"S.-A."},{"family":"Krug","given":"D."},{"family":"Kunz","given":"W. G."},{"family":"Loi","given":"S."},{"family":"Penault-Llorca","given":"F."},{"family":"Ricke","given":"J."},{"family":"Robson","given":"M."},{"family":"Rugo","given":"H. S."},{"family":"Saura","given":"C."},{"family":"Schmid","given":"P."},{"family":"Singer","given":"C. F."},{"family":"Spanic","given":"T."},{"family":"Tolaney","given":"S. M."},{"family":"Turner","given":"N. C."},{"family":"Curigliano","given":"G."},{"family":"Loibl","given":"S."},{"family":"Paluch-Shimon","given":"S."},{"family":"Harbeck","given":"N."},{"literal":"ESMO Guidelines Committee. Electronic address: clinicalguidelines@esmo.org"}],"issued":{"date-parts":[["2021",12]]}}}],"schema":"https://github.com/citation-style-language/schema/raw/master/csl-citation.json"} </w:instrText>
      </w:r>
      <w:r w:rsidR="000D2C6D" w:rsidRPr="002646F6">
        <w:fldChar w:fldCharType="separate"/>
      </w:r>
      <w:r w:rsidR="00FD57F4" w:rsidRPr="00FD57F4">
        <w:rPr>
          <w:rFonts w:cs="Arial"/>
          <w:szCs w:val="24"/>
          <w:vertAlign w:val="superscript"/>
        </w:rPr>
        <w:t>42</w:t>
      </w:r>
      <w:r w:rsidR="000D2C6D" w:rsidRPr="002646F6">
        <w:fldChar w:fldCharType="end"/>
      </w:r>
      <w:r w:rsidR="001F060B" w:rsidRPr="002646F6">
        <w:t xml:space="preserve"> </w:t>
      </w:r>
      <w:r w:rsidR="001C2D3D" w:rsidRPr="002646F6">
        <w:t>Specific</w:t>
      </w:r>
      <w:r w:rsidR="00A825BA" w:rsidRPr="002646F6">
        <w:t xml:space="preserve"> </w:t>
      </w:r>
      <w:r w:rsidR="00FF53C6">
        <w:t xml:space="preserve">statements and </w:t>
      </w:r>
      <w:r w:rsidR="00517418" w:rsidRPr="002646F6">
        <w:t xml:space="preserve">recommendations </w:t>
      </w:r>
      <w:r w:rsidR="00FF53C6">
        <w:t>related to</w:t>
      </w:r>
      <w:r w:rsidR="00FF53C6" w:rsidRPr="002646F6">
        <w:t xml:space="preserve"> </w:t>
      </w:r>
      <w:r w:rsidR="00A825BA" w:rsidRPr="002646F6">
        <w:t>chemotherapy</w:t>
      </w:r>
      <w:r w:rsidR="00517418" w:rsidRPr="002646F6">
        <w:t xml:space="preserve"> in the metastatic setting</w:t>
      </w:r>
      <w:r w:rsidR="001C2D3D" w:rsidRPr="002646F6">
        <w:t xml:space="preserve"> </w:t>
      </w:r>
      <w:r w:rsidR="00FF53C6">
        <w:t>include</w:t>
      </w:r>
      <w:r w:rsidR="00A825BA" w:rsidRPr="002646F6">
        <w:t>:</w:t>
      </w:r>
      <w:r w:rsidR="004018C5" w:rsidRPr="002646F6">
        <w:fldChar w:fldCharType="begin"/>
      </w:r>
      <w:r w:rsidR="00CA6345">
        <w:instrText xml:space="preserve"> ADDIN ZOTERO_ITEM CSL_CITATION {"citationID":"8tExKFLP","properties":{"formattedCitation":"\\super 42\\nosupersub{}","plainCitation":"42","noteIndex":0},"citationItems":[{"id":65955,"uris":["http://zotero.org/groups/4797619/items/4KXA6CCG"],"itemData":{"id":65955,"type":"article-journal","container-title":"Annals of Oncology: Official Journal of the European Society for Medical Oncology","DOI":"10.1016/j.annonc.2021.09.019","ISSN":"1569-8041","issue":"12","journalAbbreviation":"Ann Oncol","language":"eng","note":"PMID: 34678411","page":"1475-1495","source":"PubMed","title":"ESMO Clinical Practice Guideline for the diagnosis, staging and treatment of patients with metastatic breast cancer","volume":"32","author":[{"family":"Gennari","given":"A."},{"family":"André","given":"F."},{"family":"Barrios","given":"C. H."},{"family":"Cortés","given":"J."},{"family":"Azambuja","given":"E.","non-dropping-particle":"de"},{"family":"DeMichele","given":"A."},{"family":"Dent","given":"R."},{"family":"Fenlon","given":"D."},{"family":"Gligorov","given":"J."},{"family":"Hurvitz","given":"S. A."},{"family":"Im","given":"S.-A."},{"family":"Krug","given":"D."},{"family":"Kunz","given":"W. G."},{"family":"Loi","given":"S."},{"family":"Penault-Llorca","given":"F."},{"family":"Ricke","given":"J."},{"family":"Robson","given":"M."},{"family":"Rugo","given":"H. S."},{"family":"Saura","given":"C."},{"family":"Schmid","given":"P."},{"family":"Singer","given":"C. F."},{"family":"Spanic","given":"T."},{"family":"Tolaney","given":"S. M."},{"family":"Turner","given":"N. C."},{"family":"Curigliano","given":"G."},{"family":"Loibl","given":"S."},{"family":"Paluch-Shimon","given":"S."},{"family":"Harbeck","given":"N."},{"literal":"ESMO Guidelines Committee. Electronic address: clinicalguidelines@esmo.org"}],"issued":{"date-parts":[["2021",12]]}}}],"schema":"https://github.com/citation-style-language/schema/raw/master/csl-citation.json"} </w:instrText>
      </w:r>
      <w:r w:rsidR="004018C5" w:rsidRPr="002646F6">
        <w:fldChar w:fldCharType="separate"/>
      </w:r>
      <w:r w:rsidR="00FD57F4" w:rsidRPr="00FD57F4">
        <w:rPr>
          <w:rFonts w:cs="Arial"/>
          <w:szCs w:val="24"/>
          <w:vertAlign w:val="superscript"/>
        </w:rPr>
        <w:t>42</w:t>
      </w:r>
      <w:r w:rsidR="004018C5" w:rsidRPr="002646F6">
        <w:fldChar w:fldCharType="end"/>
      </w:r>
      <w:r w:rsidR="00A825BA" w:rsidRPr="00A43593">
        <w:t xml:space="preserve"> </w:t>
      </w:r>
    </w:p>
    <w:p w14:paraId="1BA8E4FB" w14:textId="76CCAAFF" w:rsidR="0037367F" w:rsidRPr="002646F6" w:rsidRDefault="00A825BA" w:rsidP="00954359">
      <w:pPr>
        <w:pStyle w:val="Body"/>
        <w:numPr>
          <w:ilvl w:val="0"/>
          <w:numId w:val="32"/>
        </w:numPr>
      </w:pPr>
      <w:r w:rsidRPr="002646F6">
        <w:t xml:space="preserve">Sequential single-agent chemotherapy is generally preferred over combination strategies. </w:t>
      </w:r>
    </w:p>
    <w:p w14:paraId="52F83F0F" w14:textId="3E802F29" w:rsidR="00A825BA" w:rsidRPr="002646F6" w:rsidRDefault="00BC5D1A" w:rsidP="00954359">
      <w:pPr>
        <w:pStyle w:val="Body"/>
        <w:numPr>
          <w:ilvl w:val="0"/>
          <w:numId w:val="32"/>
        </w:numPr>
      </w:pPr>
      <w:r w:rsidRPr="002646F6">
        <w:t xml:space="preserve">Available drugs for single-agent </w:t>
      </w:r>
      <w:r w:rsidR="001C2115" w:rsidRPr="002646F6">
        <w:t>chemotherapy</w:t>
      </w:r>
      <w:r w:rsidRPr="002646F6">
        <w:t xml:space="preserve"> include anthracyclines, taxanes, capecitabine, eribulin, vinorelbine, platinums and other agents</w:t>
      </w:r>
      <w:r w:rsidR="004018C5" w:rsidRPr="002646F6">
        <w:t>.</w:t>
      </w:r>
      <w:r w:rsidR="00A825BA" w:rsidRPr="002646F6">
        <w:t xml:space="preserve"> </w:t>
      </w:r>
    </w:p>
    <w:p w14:paraId="18981551" w14:textId="4CD063DB" w:rsidR="00A825BA" w:rsidRPr="002646F6" w:rsidRDefault="00A825BA" w:rsidP="00954359">
      <w:pPr>
        <w:pStyle w:val="Body"/>
        <w:numPr>
          <w:ilvl w:val="0"/>
          <w:numId w:val="32"/>
        </w:numPr>
      </w:pPr>
      <w:r w:rsidRPr="002646F6">
        <w:t>The optimal sequence of chemotherapy has not been established.</w:t>
      </w:r>
      <w:r w:rsidR="009C345D" w:rsidRPr="002646F6">
        <w:t xml:space="preserve"> Available options should be discussed with the patient.</w:t>
      </w:r>
    </w:p>
    <w:p w14:paraId="7C28387B" w14:textId="7952B659" w:rsidR="00AE58DE" w:rsidRPr="002646F6" w:rsidRDefault="00E85C9C" w:rsidP="00AE58DE">
      <w:pPr>
        <w:pStyle w:val="Body"/>
      </w:pPr>
      <w:r w:rsidRPr="002646F6">
        <w:t xml:space="preserve">At an advisory board in December 2022, </w:t>
      </w:r>
      <w:r w:rsidR="00AE58DE" w:rsidRPr="002646F6">
        <w:t xml:space="preserve">UK clinical experts confirmed that </w:t>
      </w:r>
      <w:r w:rsidRPr="002646F6">
        <w:t xml:space="preserve">these statements from the </w:t>
      </w:r>
      <w:r w:rsidR="00AE58DE" w:rsidRPr="002646F6">
        <w:t>ESMO 202</w:t>
      </w:r>
      <w:r w:rsidR="000D3D00" w:rsidRPr="002646F6">
        <w:t>1</w:t>
      </w:r>
      <w:r w:rsidR="00AE58DE" w:rsidRPr="002646F6">
        <w:t xml:space="preserve"> guidelines reflect the treatment of </w:t>
      </w:r>
      <w:r w:rsidR="0038352E" w:rsidRPr="002646F6">
        <w:t>HER2-negative u/mBC in the UK.</w:t>
      </w:r>
    </w:p>
    <w:p w14:paraId="5A657463" w14:textId="185207F1" w:rsidR="002C0FF3" w:rsidRPr="00A43593" w:rsidRDefault="002C0FF3" w:rsidP="007C42FA">
      <w:pPr>
        <w:pStyle w:val="Heading4"/>
      </w:pPr>
      <w:bookmarkStart w:id="76" w:name="_Ref126931629"/>
      <w:r w:rsidRPr="00A43593">
        <w:t>NICE</w:t>
      </w:r>
      <w:r w:rsidR="00506021" w:rsidRPr="00A43593">
        <w:t xml:space="preserve"> </w:t>
      </w:r>
      <w:r w:rsidR="00316BD6" w:rsidRPr="00A43593">
        <w:t>guidance</w:t>
      </w:r>
      <w:bookmarkEnd w:id="76"/>
    </w:p>
    <w:p w14:paraId="144D782B" w14:textId="74140996" w:rsidR="00613A58" w:rsidRPr="00A43593" w:rsidRDefault="00006A87" w:rsidP="00613A58">
      <w:pPr>
        <w:pStyle w:val="Body"/>
      </w:pPr>
      <w:r w:rsidRPr="002646F6">
        <w:t>The scope of this appraisal is for the treatment of HER2-low u/mBC after chemotherapy in the metastatic setting</w:t>
      </w:r>
      <w:r w:rsidR="00697995" w:rsidRPr="002646F6">
        <w:t xml:space="preserve">. As there </w:t>
      </w:r>
      <w:r w:rsidR="00A26A77" w:rsidRPr="002646F6">
        <w:t>is</w:t>
      </w:r>
      <w:r w:rsidR="00996503" w:rsidRPr="002646F6">
        <w:t xml:space="preserve"> </w:t>
      </w:r>
      <w:r w:rsidRPr="002646F6">
        <w:t>currently no</w:t>
      </w:r>
      <w:r w:rsidR="007D0C76" w:rsidRPr="002646F6">
        <w:t xml:space="preserve"> specific</w:t>
      </w:r>
      <w:r w:rsidRPr="002646F6">
        <w:t xml:space="preserve"> </w:t>
      </w:r>
      <w:r w:rsidR="00A26A77" w:rsidRPr="002646F6">
        <w:t>guidance</w:t>
      </w:r>
      <w:r w:rsidR="00996503" w:rsidRPr="00A43593">
        <w:t xml:space="preserve"> </w:t>
      </w:r>
      <w:r w:rsidR="00996503" w:rsidRPr="002646F6">
        <w:t>for HER2-low u/mBC</w:t>
      </w:r>
      <w:r w:rsidRPr="002646F6">
        <w:t xml:space="preserve"> </w:t>
      </w:r>
      <w:r w:rsidR="000E4DEF" w:rsidRPr="002646F6">
        <w:t xml:space="preserve">NICE </w:t>
      </w:r>
      <w:r w:rsidR="00B07226" w:rsidRPr="002646F6">
        <w:t>T</w:t>
      </w:r>
      <w:r w:rsidR="000E4DEF" w:rsidRPr="002646F6">
        <w:t xml:space="preserve">echnology </w:t>
      </w:r>
      <w:r w:rsidR="00B07226" w:rsidRPr="002646F6">
        <w:t>A</w:t>
      </w:r>
      <w:r w:rsidR="000E4DEF" w:rsidRPr="002646F6">
        <w:t>ppraisals</w:t>
      </w:r>
      <w:r w:rsidR="00DF5A4E" w:rsidRPr="002646F6">
        <w:t xml:space="preserve"> </w:t>
      </w:r>
      <w:r w:rsidR="00E955C6" w:rsidRPr="002646F6">
        <w:t xml:space="preserve">in </w:t>
      </w:r>
      <w:r w:rsidR="00DF5A4E" w:rsidRPr="002646F6">
        <w:t>HER2-negative u/mBC</w:t>
      </w:r>
      <w:r w:rsidR="00E955C6" w:rsidRPr="002646F6">
        <w:t xml:space="preserve"> and </w:t>
      </w:r>
      <w:r w:rsidR="00DF5A4E" w:rsidRPr="002646F6">
        <w:t>NICE Clinical Guideline 81 (CG81; Advanced breast cancer: diagnosis and treatment)</w:t>
      </w:r>
      <w:r w:rsidR="00DF5A4E" w:rsidRPr="002646F6">
        <w:fldChar w:fldCharType="begin"/>
      </w:r>
      <w:r w:rsidR="00CA6345">
        <w:instrText xml:space="preserve"> ADDIN ZOTERO_ITEM CSL_CITATION {"citationID":"6GQYldxW","properties":{"formattedCitation":"\\super 35\\nosupersub{}","plainCitation":"35","noteIndex":0},"citationItems":[{"id":65866,"uris":["http://zotero.org/groups/4797619/items/3AESVSNK"],"itemData":{"id":65866,"type":"webpage","abstract":"This guideline covers care and support for people with advanced (stage 4) breast cancer. It aims to help them and their healthcare professionals make shared","language":"eng","note":"publisher: NICE","title":"Advanced breast cancer: diagnosis and treatment | NICE CG81","title-short":"NICE CG81. Recommendations | Advanced breast cancer","URL":"https://www.nice.org.uk/guidance/cg81/chapter/Recommendations","author":[{"family":"NICE","given":""}],"accessed":{"date-parts":[["2022",10,17]]},"issued":{"date-parts":[["2017"]]}}}],"schema":"https://github.com/citation-style-language/schema/raw/master/csl-citation.json"} </w:instrText>
      </w:r>
      <w:r w:rsidR="00DF5A4E" w:rsidRPr="002646F6">
        <w:fldChar w:fldCharType="separate"/>
      </w:r>
      <w:r w:rsidR="00FD57F4" w:rsidRPr="00FD57F4">
        <w:rPr>
          <w:rFonts w:cs="Arial"/>
          <w:szCs w:val="24"/>
          <w:vertAlign w:val="superscript"/>
        </w:rPr>
        <w:t>35</w:t>
      </w:r>
      <w:r w:rsidR="00DF5A4E" w:rsidRPr="002646F6">
        <w:fldChar w:fldCharType="end"/>
      </w:r>
      <w:r w:rsidR="00E71114" w:rsidRPr="002646F6">
        <w:t xml:space="preserve"> provide insight into the potential NICE</w:t>
      </w:r>
      <w:r w:rsidR="0040184E" w:rsidRPr="002646F6">
        <w:t xml:space="preserve"> </w:t>
      </w:r>
      <w:r w:rsidR="0040184E" w:rsidRPr="002646F6">
        <w:lastRenderedPageBreak/>
        <w:t>treatment</w:t>
      </w:r>
      <w:r w:rsidR="00E71114" w:rsidRPr="002646F6">
        <w:t xml:space="preserve"> pathway for HER2-low u/mBC. </w:t>
      </w:r>
      <w:r w:rsidR="00613A58" w:rsidRPr="002646F6">
        <w:t xml:space="preserve">In addition, given the nuances of the pathway, UK clinical expert input and UK real-world data </w:t>
      </w:r>
      <w:r w:rsidR="00F9097A" w:rsidRPr="002646F6">
        <w:t xml:space="preserve">provide </w:t>
      </w:r>
      <w:r w:rsidR="00755CED" w:rsidRPr="002646F6">
        <w:t xml:space="preserve">further </w:t>
      </w:r>
      <w:r w:rsidR="00F9097A" w:rsidRPr="002646F6">
        <w:t xml:space="preserve">relevant </w:t>
      </w:r>
      <w:r w:rsidR="00755CED" w:rsidRPr="002646F6">
        <w:t>insights</w:t>
      </w:r>
      <w:r w:rsidR="00F9097A" w:rsidRPr="002646F6">
        <w:t>.</w:t>
      </w:r>
    </w:p>
    <w:p w14:paraId="0F008DB1" w14:textId="10F9BC01" w:rsidR="005828CD" w:rsidRPr="002646F6" w:rsidRDefault="00F22B91" w:rsidP="005D2BB9">
      <w:pPr>
        <w:pStyle w:val="Heading5"/>
        <w:ind w:left="1276" w:hanging="1276"/>
        <w:rPr>
          <w:i w:val="0"/>
          <w:iCs/>
        </w:rPr>
      </w:pPr>
      <w:bookmarkStart w:id="77" w:name="_Ref89779748"/>
      <w:bookmarkStart w:id="78" w:name="_Toc95826057"/>
      <w:bookmarkStart w:id="79" w:name="_Ref97047980"/>
      <w:r w:rsidRPr="002646F6">
        <w:rPr>
          <w:iCs/>
        </w:rPr>
        <w:t xml:space="preserve">NICE </w:t>
      </w:r>
      <w:r w:rsidR="00976FD9">
        <w:rPr>
          <w:iCs/>
        </w:rPr>
        <w:t>TAs</w:t>
      </w:r>
      <w:r w:rsidRPr="002646F6">
        <w:rPr>
          <w:iCs/>
        </w:rPr>
        <w:t xml:space="preserve"> in </w:t>
      </w:r>
      <w:r w:rsidR="0013511A" w:rsidRPr="002646F6">
        <w:rPr>
          <w:iCs/>
        </w:rPr>
        <w:t>HER2-negative/HR-positive</w:t>
      </w:r>
      <w:r w:rsidR="005828CD" w:rsidRPr="002646F6">
        <w:rPr>
          <w:iCs/>
        </w:rPr>
        <w:t xml:space="preserve"> u/mBC</w:t>
      </w:r>
    </w:p>
    <w:p w14:paraId="5182AA8F" w14:textId="70086B22" w:rsidR="00B238E0" w:rsidRPr="002646F6" w:rsidRDefault="007420E7" w:rsidP="002E42D9">
      <w:pPr>
        <w:pStyle w:val="In-textheading"/>
        <w:rPr>
          <w:i w:val="0"/>
          <w:iCs w:val="0"/>
        </w:rPr>
      </w:pPr>
      <w:r w:rsidRPr="002646F6">
        <w:rPr>
          <w:i w:val="0"/>
          <w:iCs w:val="0"/>
        </w:rPr>
        <w:t xml:space="preserve">NICE </w:t>
      </w:r>
      <w:r w:rsidR="003E5EC2" w:rsidRPr="002646F6">
        <w:rPr>
          <w:i w:val="0"/>
          <w:iCs w:val="0"/>
        </w:rPr>
        <w:t xml:space="preserve">TAs </w:t>
      </w:r>
      <w:r w:rsidR="005F1CAA" w:rsidRPr="002646F6">
        <w:rPr>
          <w:i w:val="0"/>
          <w:iCs w:val="0"/>
        </w:rPr>
        <w:t xml:space="preserve">for </w:t>
      </w:r>
      <w:r w:rsidR="0013511A" w:rsidRPr="002646F6">
        <w:rPr>
          <w:i w:val="0"/>
          <w:iCs w:val="0"/>
        </w:rPr>
        <w:t>HER2-negative/HR-positive</w:t>
      </w:r>
      <w:r w:rsidR="005F1CAA" w:rsidRPr="002646F6">
        <w:rPr>
          <w:i w:val="0"/>
          <w:iCs w:val="0"/>
        </w:rPr>
        <w:t xml:space="preserve"> </w:t>
      </w:r>
      <w:r w:rsidR="00C81869" w:rsidRPr="002646F6">
        <w:rPr>
          <w:i w:val="0"/>
          <w:iCs w:val="0"/>
        </w:rPr>
        <w:t xml:space="preserve">advanced </w:t>
      </w:r>
      <w:r w:rsidR="00565247" w:rsidRPr="002646F6">
        <w:rPr>
          <w:i w:val="0"/>
          <w:iCs w:val="0"/>
        </w:rPr>
        <w:t xml:space="preserve">or metastatic </w:t>
      </w:r>
      <w:r w:rsidR="00C81869" w:rsidRPr="002646F6">
        <w:rPr>
          <w:i w:val="0"/>
          <w:iCs w:val="0"/>
        </w:rPr>
        <w:t xml:space="preserve">BC </w:t>
      </w:r>
      <w:r w:rsidR="00D86634" w:rsidRPr="002646F6">
        <w:rPr>
          <w:i w:val="0"/>
          <w:iCs w:val="0"/>
        </w:rPr>
        <w:t>are</w:t>
      </w:r>
      <w:r w:rsidR="003E5EC2" w:rsidRPr="002646F6">
        <w:rPr>
          <w:i w:val="0"/>
          <w:iCs w:val="0"/>
        </w:rPr>
        <w:t xml:space="preserve"> </w:t>
      </w:r>
      <w:r w:rsidR="002A3482" w:rsidRPr="002646F6">
        <w:rPr>
          <w:i w:val="0"/>
          <w:iCs w:val="0"/>
        </w:rPr>
        <w:t xml:space="preserve">summarised </w:t>
      </w:r>
      <w:r w:rsidR="003E5EC2" w:rsidRPr="002646F6">
        <w:rPr>
          <w:i w:val="0"/>
          <w:iCs w:val="0"/>
        </w:rPr>
        <w:t xml:space="preserve">in </w:t>
      </w:r>
      <w:r w:rsidR="00B856E9" w:rsidRPr="002646F6">
        <w:rPr>
          <w:b/>
          <w:bCs/>
          <w:i w:val="0"/>
          <w:iCs w:val="0"/>
        </w:rPr>
        <w:fldChar w:fldCharType="begin"/>
      </w:r>
      <w:r w:rsidR="00B856E9" w:rsidRPr="002646F6">
        <w:rPr>
          <w:b/>
          <w:bCs/>
          <w:i w:val="0"/>
          <w:iCs w:val="0"/>
        </w:rPr>
        <w:instrText xml:space="preserve"> REF _Ref121230906 \h  \* MERGEFORMAT </w:instrText>
      </w:r>
      <w:r w:rsidR="00B856E9" w:rsidRPr="002646F6">
        <w:rPr>
          <w:b/>
          <w:bCs/>
          <w:i w:val="0"/>
          <w:iCs w:val="0"/>
        </w:rPr>
      </w:r>
      <w:r w:rsidR="00B856E9" w:rsidRPr="002646F6">
        <w:rPr>
          <w:b/>
          <w:bCs/>
          <w:i w:val="0"/>
          <w:iCs w:val="0"/>
        </w:rPr>
        <w:fldChar w:fldCharType="separate"/>
      </w:r>
      <w:r w:rsidR="00145F42" w:rsidRPr="00145F42">
        <w:rPr>
          <w:b/>
          <w:bCs/>
          <w:i w:val="0"/>
          <w:iCs w:val="0"/>
        </w:rPr>
        <w:t xml:space="preserve">Table </w:t>
      </w:r>
      <w:r w:rsidR="00145F42" w:rsidRPr="00145F42">
        <w:rPr>
          <w:b/>
          <w:bCs/>
          <w:i w:val="0"/>
          <w:iCs w:val="0"/>
          <w:noProof/>
        </w:rPr>
        <w:t>6</w:t>
      </w:r>
      <w:r w:rsidR="00B856E9" w:rsidRPr="002646F6">
        <w:rPr>
          <w:b/>
          <w:bCs/>
          <w:i w:val="0"/>
          <w:iCs w:val="0"/>
        </w:rPr>
        <w:fldChar w:fldCharType="end"/>
      </w:r>
      <w:r w:rsidR="00D86634" w:rsidRPr="002646F6">
        <w:rPr>
          <w:i w:val="0"/>
          <w:iCs w:val="0"/>
        </w:rPr>
        <w:t>.</w:t>
      </w:r>
      <w:r w:rsidR="00E331EE" w:rsidRPr="002646F6">
        <w:rPr>
          <w:i w:val="0"/>
          <w:iCs w:val="0"/>
        </w:rPr>
        <w:t xml:space="preserve"> </w:t>
      </w:r>
      <w:r w:rsidR="00B238E0" w:rsidRPr="002646F6">
        <w:rPr>
          <w:i w:val="0"/>
          <w:iCs w:val="0"/>
        </w:rPr>
        <w:t xml:space="preserve">NICE </w:t>
      </w:r>
      <w:r w:rsidR="00783A7F">
        <w:rPr>
          <w:i w:val="0"/>
          <w:iCs w:val="0"/>
        </w:rPr>
        <w:t>recommend</w:t>
      </w:r>
      <w:r w:rsidR="00A43593">
        <w:rPr>
          <w:i w:val="0"/>
          <w:iCs w:val="0"/>
        </w:rPr>
        <w:t xml:space="preserve"> </w:t>
      </w:r>
      <w:r w:rsidR="00A75607">
        <w:rPr>
          <w:i w:val="0"/>
          <w:iCs w:val="0"/>
        </w:rPr>
        <w:t xml:space="preserve">a </w:t>
      </w:r>
      <w:r w:rsidR="00E66BFA">
        <w:rPr>
          <w:i w:val="0"/>
          <w:iCs w:val="0"/>
        </w:rPr>
        <w:t>CDK4/6i</w:t>
      </w:r>
      <w:r w:rsidR="00100B14">
        <w:rPr>
          <w:i w:val="0"/>
          <w:iCs w:val="0"/>
        </w:rPr>
        <w:t xml:space="preserve"> agent</w:t>
      </w:r>
      <w:r w:rsidR="00222513" w:rsidRPr="002646F6">
        <w:rPr>
          <w:i w:val="0"/>
          <w:iCs w:val="0"/>
        </w:rPr>
        <w:t xml:space="preserve"> combined with</w:t>
      </w:r>
      <w:r w:rsidR="00A75607">
        <w:rPr>
          <w:i w:val="0"/>
          <w:iCs w:val="0"/>
        </w:rPr>
        <w:t xml:space="preserve"> an</w:t>
      </w:r>
      <w:r w:rsidR="00222513" w:rsidRPr="002646F6">
        <w:rPr>
          <w:i w:val="0"/>
          <w:iCs w:val="0"/>
        </w:rPr>
        <w:t xml:space="preserve"> ET </w:t>
      </w:r>
      <w:r w:rsidR="00B004B6">
        <w:rPr>
          <w:i w:val="0"/>
          <w:iCs w:val="0"/>
        </w:rPr>
        <w:t>(</w:t>
      </w:r>
      <w:r w:rsidR="00DC2C2C" w:rsidRPr="002646F6">
        <w:rPr>
          <w:i w:val="0"/>
          <w:iCs w:val="0"/>
        </w:rPr>
        <w:t xml:space="preserve">comprising of an </w:t>
      </w:r>
      <w:r w:rsidR="00CA25DF" w:rsidRPr="002646F6">
        <w:rPr>
          <w:i w:val="0"/>
          <w:iCs w:val="0"/>
        </w:rPr>
        <w:t xml:space="preserve">aromatase inhibitor </w:t>
      </w:r>
      <w:r w:rsidR="00B004B6">
        <w:rPr>
          <w:i w:val="0"/>
          <w:iCs w:val="0"/>
        </w:rPr>
        <w:t>[</w:t>
      </w:r>
      <w:r w:rsidR="00DC2C2C" w:rsidRPr="002646F6">
        <w:rPr>
          <w:i w:val="0"/>
          <w:iCs w:val="0"/>
        </w:rPr>
        <w:t>AI</w:t>
      </w:r>
      <w:r w:rsidR="00B004B6">
        <w:rPr>
          <w:i w:val="0"/>
          <w:iCs w:val="0"/>
        </w:rPr>
        <w:t>])</w:t>
      </w:r>
      <w:r w:rsidR="00DC2C2C" w:rsidRPr="002646F6">
        <w:rPr>
          <w:i w:val="0"/>
          <w:iCs w:val="0"/>
        </w:rPr>
        <w:t xml:space="preserve"> </w:t>
      </w:r>
      <w:r w:rsidR="00B004B6">
        <w:rPr>
          <w:i w:val="0"/>
          <w:iCs w:val="0"/>
        </w:rPr>
        <w:t>for</w:t>
      </w:r>
      <w:r w:rsidR="00B004B6" w:rsidRPr="002646F6">
        <w:rPr>
          <w:i w:val="0"/>
          <w:iCs w:val="0"/>
        </w:rPr>
        <w:t xml:space="preserve"> </w:t>
      </w:r>
      <w:r w:rsidR="00DC2C2C" w:rsidRPr="002646F6">
        <w:rPr>
          <w:i w:val="0"/>
          <w:iCs w:val="0"/>
        </w:rPr>
        <w:t xml:space="preserve">first-line </w:t>
      </w:r>
      <w:r w:rsidR="00B004B6">
        <w:rPr>
          <w:i w:val="0"/>
          <w:iCs w:val="0"/>
        </w:rPr>
        <w:t>treatment</w:t>
      </w:r>
      <w:r w:rsidR="00B004B6" w:rsidRPr="002646F6">
        <w:rPr>
          <w:i w:val="0"/>
          <w:iCs w:val="0"/>
        </w:rPr>
        <w:t xml:space="preserve"> </w:t>
      </w:r>
      <w:r w:rsidR="00A75607">
        <w:rPr>
          <w:i w:val="0"/>
          <w:iCs w:val="0"/>
        </w:rPr>
        <w:t>in</w:t>
      </w:r>
      <w:r w:rsidR="00A75607" w:rsidRPr="002646F6">
        <w:rPr>
          <w:i w:val="0"/>
          <w:iCs w:val="0"/>
        </w:rPr>
        <w:t xml:space="preserve"> </w:t>
      </w:r>
      <w:r w:rsidR="00DC2C2C" w:rsidRPr="002646F6">
        <w:rPr>
          <w:i w:val="0"/>
          <w:iCs w:val="0"/>
        </w:rPr>
        <w:t>patients with HER2-negative/HR-positive u/mBC. In the second</w:t>
      </w:r>
      <w:r w:rsidR="00810B5F" w:rsidRPr="002646F6">
        <w:rPr>
          <w:i w:val="0"/>
          <w:iCs w:val="0"/>
        </w:rPr>
        <w:t>-</w:t>
      </w:r>
      <w:r w:rsidR="00DC2C2C" w:rsidRPr="002646F6">
        <w:rPr>
          <w:i w:val="0"/>
          <w:iCs w:val="0"/>
        </w:rPr>
        <w:t xml:space="preserve">line setting, </w:t>
      </w:r>
      <w:r w:rsidR="00804985" w:rsidRPr="002646F6">
        <w:rPr>
          <w:i w:val="0"/>
          <w:iCs w:val="0"/>
        </w:rPr>
        <w:t xml:space="preserve">further targeted therapy combined with ET is recommended, after which patients are treated with non-targeted </w:t>
      </w:r>
      <w:r w:rsidR="00202DF8" w:rsidRPr="002646F6">
        <w:rPr>
          <w:i w:val="0"/>
          <w:iCs w:val="0"/>
        </w:rPr>
        <w:t>chemotherapies.</w:t>
      </w:r>
      <w:r w:rsidR="00804985" w:rsidRPr="002646F6">
        <w:rPr>
          <w:i w:val="0"/>
          <w:iCs w:val="0"/>
        </w:rPr>
        <w:t xml:space="preserve"> </w:t>
      </w:r>
    </w:p>
    <w:p w14:paraId="59E608C1" w14:textId="2511F2FD" w:rsidR="005E1950" w:rsidRPr="002646F6" w:rsidRDefault="00734B0E" w:rsidP="002D60EB">
      <w:pPr>
        <w:pStyle w:val="Caption"/>
      </w:pPr>
      <w:bookmarkStart w:id="80" w:name="_Ref121230906"/>
      <w:bookmarkStart w:id="81" w:name="_Toc129350981"/>
      <w:r w:rsidRPr="002646F6">
        <w:t xml:space="preserve">Table </w:t>
      </w:r>
      <w:r>
        <w:fldChar w:fldCharType="begin"/>
      </w:r>
      <w:r>
        <w:instrText>SEQ Table \* ARABIC</w:instrText>
      </w:r>
      <w:r>
        <w:fldChar w:fldCharType="separate"/>
      </w:r>
      <w:r w:rsidR="00145F42">
        <w:rPr>
          <w:noProof/>
        </w:rPr>
        <w:t>6</w:t>
      </w:r>
      <w:r>
        <w:fldChar w:fldCharType="end"/>
      </w:r>
      <w:bookmarkEnd w:id="80"/>
      <w:r w:rsidRPr="002646F6">
        <w:t xml:space="preserve">: Summary of published NICE </w:t>
      </w:r>
      <w:r w:rsidR="00882E0E" w:rsidRPr="002646F6">
        <w:t>TA</w:t>
      </w:r>
      <w:r w:rsidR="00976FD9">
        <w:t xml:space="preserve">s </w:t>
      </w:r>
      <w:r w:rsidRPr="002646F6">
        <w:rPr>
          <w:noProof/>
        </w:rPr>
        <w:t xml:space="preserve">with a positive recommendation in </w:t>
      </w:r>
      <w:r w:rsidR="0013511A" w:rsidRPr="002646F6">
        <w:rPr>
          <w:noProof/>
        </w:rPr>
        <w:t>HER2-negative/HR-positive</w:t>
      </w:r>
      <w:r w:rsidRPr="002646F6">
        <w:rPr>
          <w:noProof/>
        </w:rPr>
        <w:t xml:space="preserve"> </w:t>
      </w:r>
      <w:r w:rsidR="00A43950">
        <w:rPr>
          <w:noProof/>
        </w:rPr>
        <w:t xml:space="preserve">advanced </w:t>
      </w:r>
      <w:r w:rsidRPr="002646F6">
        <w:rPr>
          <w:noProof/>
        </w:rPr>
        <w:t>BC</w:t>
      </w:r>
      <w:r w:rsidR="003D0825">
        <w:rPr>
          <w:noProof/>
        </w:rPr>
        <w:t>*</w:t>
      </w:r>
      <w:bookmarkEnd w:id="81"/>
    </w:p>
    <w:tbl>
      <w:tblPr>
        <w:tblStyle w:val="Generaltable"/>
        <w:tblW w:w="5000" w:type="pct"/>
        <w:tblCellMar>
          <w:left w:w="57" w:type="dxa"/>
          <w:right w:w="57" w:type="dxa"/>
        </w:tblCellMar>
        <w:tblLook w:val="04A0" w:firstRow="1" w:lastRow="0" w:firstColumn="1" w:lastColumn="0" w:noHBand="0" w:noVBand="1"/>
      </w:tblPr>
      <w:tblGrid>
        <w:gridCol w:w="703"/>
        <w:gridCol w:w="710"/>
        <w:gridCol w:w="1984"/>
        <w:gridCol w:w="712"/>
        <w:gridCol w:w="4907"/>
      </w:tblGrid>
      <w:tr w:rsidR="00A14AD7" w:rsidRPr="00A43593" w14:paraId="37607480" w14:textId="77777777" w:rsidTr="00AF56EE">
        <w:trPr>
          <w:cnfStyle w:val="100000000000" w:firstRow="1" w:lastRow="0" w:firstColumn="0" w:lastColumn="0" w:oddVBand="0" w:evenVBand="0" w:oddHBand="0" w:evenHBand="0" w:firstRowFirstColumn="0" w:firstRowLastColumn="0" w:lastRowFirstColumn="0" w:lastRowLastColumn="0"/>
          <w:tblHeader/>
        </w:trPr>
        <w:tc>
          <w:tcPr>
            <w:tcW w:w="390" w:type="pct"/>
          </w:tcPr>
          <w:p w14:paraId="11337879" w14:textId="621AB326" w:rsidR="00E10675" w:rsidRPr="002646F6" w:rsidRDefault="00E10675" w:rsidP="004D428D">
            <w:pPr>
              <w:pStyle w:val="Tableheading"/>
              <w:spacing w:before="0" w:after="0"/>
              <w:contextualSpacing/>
            </w:pPr>
            <w:r w:rsidRPr="002646F6">
              <w:t>TA</w:t>
            </w:r>
          </w:p>
        </w:tc>
        <w:tc>
          <w:tcPr>
            <w:tcW w:w="394" w:type="pct"/>
          </w:tcPr>
          <w:p w14:paraId="7EA17CDD" w14:textId="77777777" w:rsidR="00E10675" w:rsidRPr="002646F6" w:rsidRDefault="00E10675" w:rsidP="004D428D">
            <w:pPr>
              <w:pStyle w:val="Tableheading"/>
              <w:spacing w:before="0" w:after="0"/>
              <w:contextualSpacing/>
            </w:pPr>
            <w:r w:rsidRPr="002646F6">
              <w:t>Year</w:t>
            </w:r>
          </w:p>
        </w:tc>
        <w:tc>
          <w:tcPr>
            <w:tcW w:w="1100" w:type="pct"/>
          </w:tcPr>
          <w:p w14:paraId="1440325C" w14:textId="77777777" w:rsidR="00E10675" w:rsidRPr="002646F6" w:rsidRDefault="00E10675" w:rsidP="004D428D">
            <w:pPr>
              <w:pStyle w:val="Tableheading"/>
              <w:spacing w:before="0" w:after="0"/>
              <w:contextualSpacing/>
            </w:pPr>
            <w:r w:rsidRPr="002646F6">
              <w:t>Intervention</w:t>
            </w:r>
          </w:p>
        </w:tc>
        <w:tc>
          <w:tcPr>
            <w:tcW w:w="395" w:type="pct"/>
          </w:tcPr>
          <w:p w14:paraId="7DD8A180" w14:textId="281AA9DA" w:rsidR="00E10675" w:rsidRPr="002646F6" w:rsidRDefault="00E10675" w:rsidP="004D428D">
            <w:pPr>
              <w:pStyle w:val="Tableheading"/>
              <w:spacing w:before="0" w:after="0"/>
              <w:contextualSpacing/>
              <w:jc w:val="center"/>
            </w:pPr>
            <w:r w:rsidRPr="002646F6">
              <w:t>LoT</w:t>
            </w:r>
          </w:p>
        </w:tc>
        <w:tc>
          <w:tcPr>
            <w:tcW w:w="2721" w:type="pct"/>
          </w:tcPr>
          <w:p w14:paraId="7AB8A089" w14:textId="77777777" w:rsidR="00E10675" w:rsidRPr="002646F6" w:rsidRDefault="00E10675" w:rsidP="004D428D">
            <w:pPr>
              <w:pStyle w:val="Tableheading"/>
              <w:spacing w:before="0" w:after="0"/>
              <w:contextualSpacing/>
            </w:pPr>
            <w:r w:rsidRPr="002646F6">
              <w:t>Title</w:t>
            </w:r>
          </w:p>
        </w:tc>
      </w:tr>
      <w:tr w:rsidR="00A14AD7" w:rsidRPr="00A43593" w14:paraId="686E3B8E" w14:textId="77777777" w:rsidTr="004B5CB1">
        <w:tc>
          <w:tcPr>
            <w:tcW w:w="5000" w:type="pct"/>
            <w:gridSpan w:val="5"/>
            <w:shd w:val="clear" w:color="auto" w:fill="F2F2F2" w:themeFill="background1" w:themeFillShade="F2"/>
          </w:tcPr>
          <w:p w14:paraId="77ED5F4E" w14:textId="68F45EB5" w:rsidR="00E10675" w:rsidRPr="002646F6" w:rsidRDefault="00E10675" w:rsidP="004D428D">
            <w:pPr>
              <w:pStyle w:val="Tablebody"/>
              <w:keepNext/>
              <w:spacing w:before="0" w:after="0"/>
              <w:contextualSpacing/>
              <w:rPr>
                <w:b/>
              </w:rPr>
            </w:pPr>
            <w:r w:rsidRPr="002646F6">
              <w:rPr>
                <w:b/>
              </w:rPr>
              <w:t>First line</w:t>
            </w:r>
          </w:p>
        </w:tc>
      </w:tr>
      <w:tr w:rsidR="00A14AD7" w:rsidRPr="00A43593" w14:paraId="084B8AFF" w14:textId="77777777" w:rsidTr="00AF56EE">
        <w:tc>
          <w:tcPr>
            <w:tcW w:w="390" w:type="pct"/>
          </w:tcPr>
          <w:p w14:paraId="67EF991D" w14:textId="77777777" w:rsidR="00E10675" w:rsidRPr="002646F6" w:rsidRDefault="00E10675" w:rsidP="004D428D">
            <w:pPr>
              <w:pStyle w:val="Tablebody"/>
              <w:keepNext/>
              <w:spacing w:before="0" w:after="0"/>
              <w:contextualSpacing/>
            </w:pPr>
            <w:r w:rsidRPr="002646F6">
              <w:t>116</w:t>
            </w:r>
          </w:p>
        </w:tc>
        <w:tc>
          <w:tcPr>
            <w:tcW w:w="394" w:type="pct"/>
          </w:tcPr>
          <w:p w14:paraId="6DD1E844" w14:textId="77777777" w:rsidR="00E10675" w:rsidRPr="002646F6" w:rsidRDefault="00E10675" w:rsidP="004D428D">
            <w:pPr>
              <w:pStyle w:val="Tablebody"/>
              <w:spacing w:before="0" w:after="0"/>
              <w:contextualSpacing/>
            </w:pPr>
            <w:r w:rsidRPr="002646F6">
              <w:t>2007</w:t>
            </w:r>
          </w:p>
        </w:tc>
        <w:tc>
          <w:tcPr>
            <w:tcW w:w="1100" w:type="pct"/>
          </w:tcPr>
          <w:p w14:paraId="28C866C6" w14:textId="77777777" w:rsidR="00E10675" w:rsidRPr="002646F6" w:rsidRDefault="00E10675" w:rsidP="004D428D">
            <w:pPr>
              <w:pStyle w:val="Tablebody"/>
              <w:spacing w:before="0" w:after="0"/>
              <w:contextualSpacing/>
            </w:pPr>
            <w:r w:rsidRPr="002646F6">
              <w:t>Gemcitabine + paclitaxel</w:t>
            </w:r>
          </w:p>
        </w:tc>
        <w:tc>
          <w:tcPr>
            <w:tcW w:w="395" w:type="pct"/>
          </w:tcPr>
          <w:p w14:paraId="2B1B8D54" w14:textId="77777777" w:rsidR="00E10675" w:rsidRPr="002646F6" w:rsidRDefault="00E10675" w:rsidP="004D428D">
            <w:pPr>
              <w:pStyle w:val="Tablebody"/>
              <w:spacing w:before="0" w:after="0"/>
              <w:contextualSpacing/>
              <w:jc w:val="center"/>
            </w:pPr>
            <w:r w:rsidRPr="002646F6">
              <w:t>≥1</w:t>
            </w:r>
          </w:p>
        </w:tc>
        <w:tc>
          <w:tcPr>
            <w:tcW w:w="2721" w:type="pct"/>
          </w:tcPr>
          <w:p w14:paraId="5B09895C" w14:textId="77777777" w:rsidR="00E10675" w:rsidRPr="002646F6" w:rsidRDefault="00E10675" w:rsidP="004D428D">
            <w:pPr>
              <w:pStyle w:val="Tablebody"/>
              <w:spacing w:before="0" w:after="0"/>
              <w:contextualSpacing/>
            </w:pPr>
            <w:r w:rsidRPr="002646F6">
              <w:t xml:space="preserve">Gemcitabine for the treatment of metastatic breast cancer </w:t>
            </w:r>
          </w:p>
        </w:tc>
      </w:tr>
      <w:tr w:rsidR="00A14AD7" w:rsidRPr="00A43593" w14:paraId="60CF036F" w14:textId="77777777" w:rsidTr="00AF56EE">
        <w:tc>
          <w:tcPr>
            <w:tcW w:w="390" w:type="pct"/>
          </w:tcPr>
          <w:p w14:paraId="24E51503" w14:textId="77777777" w:rsidR="00E10675" w:rsidRPr="002646F6" w:rsidRDefault="00E10675" w:rsidP="004D428D">
            <w:pPr>
              <w:pStyle w:val="Tablebody"/>
              <w:keepNext/>
              <w:spacing w:before="0" w:after="0"/>
              <w:contextualSpacing/>
            </w:pPr>
            <w:r w:rsidRPr="002646F6">
              <w:t>495</w:t>
            </w:r>
          </w:p>
        </w:tc>
        <w:tc>
          <w:tcPr>
            <w:tcW w:w="394" w:type="pct"/>
          </w:tcPr>
          <w:p w14:paraId="0363DBCD" w14:textId="77777777" w:rsidR="00E10675" w:rsidRPr="002646F6" w:rsidRDefault="00E10675" w:rsidP="004D428D">
            <w:pPr>
              <w:pStyle w:val="Tablebody"/>
              <w:spacing w:before="0" w:after="0"/>
              <w:contextualSpacing/>
            </w:pPr>
            <w:r w:rsidRPr="002646F6">
              <w:t>2017</w:t>
            </w:r>
          </w:p>
        </w:tc>
        <w:tc>
          <w:tcPr>
            <w:tcW w:w="1100" w:type="pct"/>
          </w:tcPr>
          <w:p w14:paraId="28F3F46E" w14:textId="77777777" w:rsidR="00E10675" w:rsidRPr="002646F6" w:rsidRDefault="00E10675" w:rsidP="004D428D">
            <w:pPr>
              <w:pStyle w:val="Tablebody"/>
              <w:spacing w:before="0" w:after="0"/>
              <w:contextualSpacing/>
            </w:pPr>
            <w:r w:rsidRPr="002646F6">
              <w:t>Palbociclib + an AI</w:t>
            </w:r>
          </w:p>
        </w:tc>
        <w:tc>
          <w:tcPr>
            <w:tcW w:w="395" w:type="pct"/>
          </w:tcPr>
          <w:p w14:paraId="31F4F934" w14:textId="77777777" w:rsidR="00E10675" w:rsidRPr="002646F6" w:rsidRDefault="00E10675" w:rsidP="004D428D">
            <w:pPr>
              <w:pStyle w:val="Tablebody"/>
              <w:spacing w:before="0" w:after="0"/>
              <w:contextualSpacing/>
              <w:jc w:val="center"/>
            </w:pPr>
            <w:r w:rsidRPr="002646F6">
              <w:t>1</w:t>
            </w:r>
          </w:p>
        </w:tc>
        <w:tc>
          <w:tcPr>
            <w:tcW w:w="2721" w:type="pct"/>
          </w:tcPr>
          <w:p w14:paraId="1E09002E" w14:textId="46D9753A" w:rsidR="00E10675" w:rsidRPr="002646F6" w:rsidRDefault="00E10675" w:rsidP="004D428D">
            <w:pPr>
              <w:pStyle w:val="Tablebody"/>
              <w:spacing w:before="0" w:after="0"/>
              <w:contextualSpacing/>
            </w:pPr>
            <w:r w:rsidRPr="002646F6">
              <w:t>Palbociclib with an AI for previously untreated, HR+/HER2-, locally advanced or metastatic BC</w:t>
            </w:r>
          </w:p>
        </w:tc>
      </w:tr>
      <w:tr w:rsidR="00A14AD7" w:rsidRPr="00A43593" w14:paraId="62669D16" w14:textId="77777777" w:rsidTr="00AF56EE">
        <w:tc>
          <w:tcPr>
            <w:tcW w:w="390" w:type="pct"/>
          </w:tcPr>
          <w:p w14:paraId="18B2C2FC" w14:textId="77777777" w:rsidR="00E10675" w:rsidRPr="002646F6" w:rsidRDefault="00E10675" w:rsidP="004D428D">
            <w:pPr>
              <w:pStyle w:val="Tablebody"/>
              <w:spacing w:before="0" w:after="0"/>
              <w:contextualSpacing/>
            </w:pPr>
            <w:r w:rsidRPr="002646F6">
              <w:t>496</w:t>
            </w:r>
          </w:p>
        </w:tc>
        <w:tc>
          <w:tcPr>
            <w:tcW w:w="394" w:type="pct"/>
          </w:tcPr>
          <w:p w14:paraId="1CEEFF1D" w14:textId="77777777" w:rsidR="00E10675" w:rsidRPr="002646F6" w:rsidRDefault="00E10675" w:rsidP="004D428D">
            <w:pPr>
              <w:pStyle w:val="Tablebody"/>
              <w:spacing w:before="0" w:after="0"/>
              <w:contextualSpacing/>
            </w:pPr>
            <w:r w:rsidRPr="002646F6">
              <w:t>2017</w:t>
            </w:r>
          </w:p>
        </w:tc>
        <w:tc>
          <w:tcPr>
            <w:tcW w:w="1100" w:type="pct"/>
          </w:tcPr>
          <w:p w14:paraId="17BDAC8B" w14:textId="77777777" w:rsidR="00E10675" w:rsidRPr="002646F6" w:rsidRDefault="00E10675" w:rsidP="004D428D">
            <w:pPr>
              <w:pStyle w:val="Tablebody"/>
              <w:spacing w:before="0" w:after="0"/>
              <w:contextualSpacing/>
            </w:pPr>
            <w:r w:rsidRPr="002646F6">
              <w:t>Ribociclib + an AI</w:t>
            </w:r>
          </w:p>
        </w:tc>
        <w:tc>
          <w:tcPr>
            <w:tcW w:w="395" w:type="pct"/>
          </w:tcPr>
          <w:p w14:paraId="6290FC07" w14:textId="77777777" w:rsidR="00E10675" w:rsidRPr="002646F6" w:rsidRDefault="00E10675" w:rsidP="004D428D">
            <w:pPr>
              <w:pStyle w:val="Tablebody"/>
              <w:spacing w:before="0" w:after="0"/>
              <w:contextualSpacing/>
              <w:jc w:val="center"/>
            </w:pPr>
            <w:r w:rsidRPr="002646F6">
              <w:t>1</w:t>
            </w:r>
          </w:p>
        </w:tc>
        <w:tc>
          <w:tcPr>
            <w:tcW w:w="2721" w:type="pct"/>
          </w:tcPr>
          <w:p w14:paraId="6F2186D6" w14:textId="77777777" w:rsidR="00E10675" w:rsidRPr="002646F6" w:rsidRDefault="00E10675" w:rsidP="004D428D">
            <w:pPr>
              <w:pStyle w:val="Tablebody"/>
              <w:spacing w:before="0" w:after="0"/>
              <w:contextualSpacing/>
            </w:pPr>
            <w:r w:rsidRPr="002646F6">
              <w:t>Ribociclib with an AI for previously untreated, HR+/HER2- locally advanced or metastatic BC</w:t>
            </w:r>
          </w:p>
        </w:tc>
      </w:tr>
      <w:tr w:rsidR="00A14AD7" w:rsidRPr="00A43593" w14:paraId="4BBBE174" w14:textId="77777777" w:rsidTr="00AF56EE">
        <w:tc>
          <w:tcPr>
            <w:tcW w:w="390" w:type="pct"/>
          </w:tcPr>
          <w:p w14:paraId="22BEA20C" w14:textId="77777777" w:rsidR="00E10675" w:rsidRPr="002646F6" w:rsidDel="007F6404" w:rsidRDefault="00E10675" w:rsidP="004D428D">
            <w:pPr>
              <w:pStyle w:val="Tablebody"/>
              <w:spacing w:before="0" w:after="0"/>
              <w:contextualSpacing/>
            </w:pPr>
            <w:r w:rsidRPr="002646F6">
              <w:t>563</w:t>
            </w:r>
          </w:p>
        </w:tc>
        <w:tc>
          <w:tcPr>
            <w:tcW w:w="394" w:type="pct"/>
          </w:tcPr>
          <w:p w14:paraId="065B6ED2" w14:textId="77777777" w:rsidR="00E10675" w:rsidRPr="002646F6" w:rsidDel="007F6404" w:rsidRDefault="00E10675" w:rsidP="004D428D">
            <w:pPr>
              <w:pStyle w:val="Tablebody"/>
              <w:spacing w:before="0" w:after="0"/>
              <w:contextualSpacing/>
            </w:pPr>
            <w:r w:rsidRPr="002646F6">
              <w:t>2019</w:t>
            </w:r>
          </w:p>
        </w:tc>
        <w:tc>
          <w:tcPr>
            <w:tcW w:w="1100" w:type="pct"/>
          </w:tcPr>
          <w:p w14:paraId="7CB71433" w14:textId="77777777" w:rsidR="00E10675" w:rsidRPr="002646F6" w:rsidRDefault="00E10675" w:rsidP="004D428D">
            <w:pPr>
              <w:pStyle w:val="Tablebody"/>
              <w:spacing w:before="0" w:after="0"/>
              <w:contextualSpacing/>
            </w:pPr>
            <w:r w:rsidRPr="002646F6">
              <w:t>Abemaciclib + an AI</w:t>
            </w:r>
          </w:p>
        </w:tc>
        <w:tc>
          <w:tcPr>
            <w:tcW w:w="395" w:type="pct"/>
          </w:tcPr>
          <w:p w14:paraId="168EE549" w14:textId="77777777" w:rsidR="00E10675" w:rsidRPr="002646F6" w:rsidRDefault="00E10675" w:rsidP="004D428D">
            <w:pPr>
              <w:pStyle w:val="Tablebody"/>
              <w:spacing w:before="0" w:after="0"/>
              <w:contextualSpacing/>
              <w:jc w:val="center"/>
            </w:pPr>
            <w:r w:rsidRPr="002646F6">
              <w:t>1</w:t>
            </w:r>
          </w:p>
        </w:tc>
        <w:tc>
          <w:tcPr>
            <w:tcW w:w="2721" w:type="pct"/>
          </w:tcPr>
          <w:p w14:paraId="02FEE5A2" w14:textId="77777777" w:rsidR="00E10675" w:rsidRPr="002646F6" w:rsidRDefault="00E10675" w:rsidP="004D428D">
            <w:pPr>
              <w:pStyle w:val="Tablebody"/>
              <w:spacing w:before="0" w:after="0"/>
              <w:contextualSpacing/>
            </w:pPr>
            <w:r w:rsidRPr="002646F6">
              <w:t>Abemaciclib with an AI for previously untreated, HR+/HER2-, locally advanced or metastatic BC</w:t>
            </w:r>
          </w:p>
        </w:tc>
      </w:tr>
      <w:tr w:rsidR="00A14AD7" w:rsidRPr="00A43593" w14:paraId="59E94096" w14:textId="77777777" w:rsidTr="004B5CB1">
        <w:tc>
          <w:tcPr>
            <w:tcW w:w="5000" w:type="pct"/>
            <w:gridSpan w:val="5"/>
            <w:shd w:val="clear" w:color="auto" w:fill="F2F2F2" w:themeFill="background1" w:themeFillShade="F2"/>
          </w:tcPr>
          <w:p w14:paraId="597ADFD1" w14:textId="77777777" w:rsidR="00E10675" w:rsidRPr="002646F6" w:rsidRDefault="00E10675" w:rsidP="004D428D">
            <w:pPr>
              <w:pStyle w:val="Tablebody"/>
              <w:keepNext/>
              <w:spacing w:before="0" w:after="0"/>
              <w:contextualSpacing/>
              <w:rPr>
                <w:b/>
              </w:rPr>
            </w:pPr>
            <w:r w:rsidRPr="002646F6">
              <w:rPr>
                <w:b/>
              </w:rPr>
              <w:t>Second line</w:t>
            </w:r>
          </w:p>
        </w:tc>
      </w:tr>
      <w:tr w:rsidR="00A14AD7" w:rsidRPr="00A43593" w14:paraId="6D717EEE" w14:textId="77777777" w:rsidTr="00AF56EE">
        <w:tc>
          <w:tcPr>
            <w:tcW w:w="390" w:type="pct"/>
          </w:tcPr>
          <w:p w14:paraId="645FAC15" w14:textId="77777777" w:rsidR="00E10675" w:rsidRPr="002646F6" w:rsidRDefault="00E10675" w:rsidP="004D428D">
            <w:pPr>
              <w:pStyle w:val="Tablebody"/>
              <w:spacing w:before="0" w:after="0"/>
              <w:contextualSpacing/>
            </w:pPr>
            <w:r w:rsidRPr="002646F6">
              <w:t>421</w:t>
            </w:r>
          </w:p>
        </w:tc>
        <w:tc>
          <w:tcPr>
            <w:tcW w:w="394" w:type="pct"/>
          </w:tcPr>
          <w:p w14:paraId="4559898E" w14:textId="77777777" w:rsidR="00E10675" w:rsidRPr="002646F6" w:rsidRDefault="00E10675" w:rsidP="004D428D">
            <w:pPr>
              <w:pStyle w:val="Tablebody"/>
              <w:spacing w:before="0" w:after="0"/>
              <w:contextualSpacing/>
            </w:pPr>
            <w:r w:rsidRPr="002646F6">
              <w:t>2016</w:t>
            </w:r>
          </w:p>
        </w:tc>
        <w:tc>
          <w:tcPr>
            <w:tcW w:w="1100" w:type="pct"/>
          </w:tcPr>
          <w:p w14:paraId="16FEE3F5" w14:textId="77777777" w:rsidR="00E10675" w:rsidRPr="002646F6" w:rsidRDefault="00E10675" w:rsidP="004D428D">
            <w:pPr>
              <w:pStyle w:val="Tablebody"/>
              <w:spacing w:before="0" w:after="0"/>
              <w:contextualSpacing/>
            </w:pPr>
            <w:r w:rsidRPr="002646F6">
              <w:t>Everolimus + exemestane</w:t>
            </w:r>
          </w:p>
        </w:tc>
        <w:tc>
          <w:tcPr>
            <w:tcW w:w="395" w:type="pct"/>
          </w:tcPr>
          <w:p w14:paraId="4B7BD989" w14:textId="77777777" w:rsidR="00E10675" w:rsidRPr="002646F6" w:rsidRDefault="00E10675" w:rsidP="004D428D">
            <w:pPr>
              <w:pStyle w:val="Tablebody"/>
              <w:spacing w:before="0" w:after="0"/>
              <w:contextualSpacing/>
              <w:jc w:val="center"/>
            </w:pPr>
            <w:r w:rsidRPr="002646F6">
              <w:t>2</w:t>
            </w:r>
          </w:p>
        </w:tc>
        <w:tc>
          <w:tcPr>
            <w:tcW w:w="2721" w:type="pct"/>
          </w:tcPr>
          <w:p w14:paraId="69554B10" w14:textId="78BD9C4D" w:rsidR="00E10675" w:rsidRPr="002646F6" w:rsidRDefault="00E10675" w:rsidP="004D428D">
            <w:pPr>
              <w:pStyle w:val="Tablebody"/>
              <w:spacing w:before="0" w:after="0"/>
              <w:contextualSpacing/>
            </w:pPr>
            <w:r w:rsidRPr="002646F6">
              <w:t xml:space="preserve">Everolimus with exemestane for treating advanced breast cancer after </w:t>
            </w:r>
            <w:r w:rsidR="003A4A8C">
              <w:t>ET</w:t>
            </w:r>
            <w:r w:rsidRPr="002646F6">
              <w:t xml:space="preserve"> </w:t>
            </w:r>
          </w:p>
        </w:tc>
      </w:tr>
      <w:tr w:rsidR="00A14AD7" w:rsidRPr="00A43593" w14:paraId="645CB561" w14:textId="77777777" w:rsidTr="00AF56EE">
        <w:tc>
          <w:tcPr>
            <w:tcW w:w="390" w:type="pct"/>
          </w:tcPr>
          <w:p w14:paraId="56888582" w14:textId="77777777" w:rsidR="00E10675" w:rsidRPr="002646F6" w:rsidRDefault="00E10675" w:rsidP="004D428D">
            <w:pPr>
              <w:pStyle w:val="Tablebody"/>
              <w:spacing w:before="0" w:after="0"/>
              <w:contextualSpacing/>
            </w:pPr>
            <w:r w:rsidRPr="002646F6">
              <w:t>836</w:t>
            </w:r>
          </w:p>
        </w:tc>
        <w:tc>
          <w:tcPr>
            <w:tcW w:w="394" w:type="pct"/>
          </w:tcPr>
          <w:p w14:paraId="4E76B400" w14:textId="77777777" w:rsidR="00E10675" w:rsidRPr="002646F6" w:rsidRDefault="00E10675" w:rsidP="004D428D">
            <w:pPr>
              <w:pStyle w:val="Tablebody"/>
              <w:spacing w:before="0" w:after="0"/>
              <w:contextualSpacing/>
            </w:pPr>
            <w:r w:rsidRPr="002646F6">
              <w:t>2022</w:t>
            </w:r>
          </w:p>
        </w:tc>
        <w:tc>
          <w:tcPr>
            <w:tcW w:w="1100" w:type="pct"/>
          </w:tcPr>
          <w:p w14:paraId="3AE453CB" w14:textId="77777777" w:rsidR="00E10675" w:rsidRPr="002646F6" w:rsidRDefault="00E10675" w:rsidP="004D428D">
            <w:pPr>
              <w:pStyle w:val="Tablebody"/>
              <w:spacing w:before="0" w:after="0"/>
              <w:contextualSpacing/>
            </w:pPr>
            <w:r w:rsidRPr="002646F6">
              <w:t>Palbociclib + fulvestrant</w:t>
            </w:r>
          </w:p>
        </w:tc>
        <w:tc>
          <w:tcPr>
            <w:tcW w:w="395" w:type="pct"/>
          </w:tcPr>
          <w:p w14:paraId="646F6CE2" w14:textId="77777777" w:rsidR="00E10675" w:rsidRPr="002646F6" w:rsidRDefault="00E10675" w:rsidP="004D428D">
            <w:pPr>
              <w:pStyle w:val="Tablebody"/>
              <w:spacing w:before="0" w:after="0"/>
              <w:contextualSpacing/>
              <w:jc w:val="center"/>
            </w:pPr>
            <w:r w:rsidRPr="002646F6">
              <w:t>2</w:t>
            </w:r>
          </w:p>
        </w:tc>
        <w:tc>
          <w:tcPr>
            <w:tcW w:w="2721" w:type="pct"/>
          </w:tcPr>
          <w:p w14:paraId="21B107A6" w14:textId="77777777" w:rsidR="00E10675" w:rsidRPr="002646F6" w:rsidRDefault="00E10675" w:rsidP="004D428D">
            <w:pPr>
              <w:pStyle w:val="Tablebody"/>
              <w:spacing w:before="0" w:after="0"/>
              <w:contextualSpacing/>
            </w:pPr>
            <w:r w:rsidRPr="002646F6">
              <w:t>Palbociclib with fulvestrant for treating HR+/HER2- advanced BC after ET</w:t>
            </w:r>
          </w:p>
        </w:tc>
      </w:tr>
      <w:tr w:rsidR="00A14AD7" w:rsidRPr="00A43593" w14:paraId="4B265C96" w14:textId="77777777" w:rsidTr="00AF56EE">
        <w:tc>
          <w:tcPr>
            <w:tcW w:w="390" w:type="pct"/>
          </w:tcPr>
          <w:p w14:paraId="6E02CB57" w14:textId="77777777" w:rsidR="00E10675" w:rsidRPr="002646F6" w:rsidRDefault="00E10675" w:rsidP="004D428D">
            <w:pPr>
              <w:pStyle w:val="Tablebody"/>
              <w:spacing w:before="0" w:after="0"/>
              <w:contextualSpacing/>
            </w:pPr>
            <w:r w:rsidRPr="002646F6">
              <w:t>687</w:t>
            </w:r>
          </w:p>
          <w:p w14:paraId="7C3FACA2" w14:textId="77777777" w:rsidR="00E10675" w:rsidRPr="002646F6" w:rsidRDefault="00E10675" w:rsidP="004D428D">
            <w:pPr>
              <w:pStyle w:val="Tablebody"/>
              <w:spacing w:before="0" w:after="0"/>
              <w:contextualSpacing/>
            </w:pPr>
          </w:p>
        </w:tc>
        <w:tc>
          <w:tcPr>
            <w:tcW w:w="394" w:type="pct"/>
          </w:tcPr>
          <w:p w14:paraId="31CEAF93" w14:textId="77777777" w:rsidR="00E10675" w:rsidRPr="002646F6" w:rsidRDefault="00E10675" w:rsidP="004D428D">
            <w:pPr>
              <w:pStyle w:val="Tablebody"/>
              <w:spacing w:before="0" w:after="0"/>
              <w:contextualSpacing/>
            </w:pPr>
            <w:r w:rsidRPr="002646F6">
              <w:t>2021</w:t>
            </w:r>
          </w:p>
        </w:tc>
        <w:tc>
          <w:tcPr>
            <w:tcW w:w="1100" w:type="pct"/>
          </w:tcPr>
          <w:p w14:paraId="61326375" w14:textId="77777777" w:rsidR="00E10675" w:rsidRPr="002646F6" w:rsidRDefault="00E10675" w:rsidP="004D428D">
            <w:pPr>
              <w:pStyle w:val="Tablebody"/>
              <w:spacing w:before="0" w:after="0"/>
              <w:contextualSpacing/>
            </w:pPr>
            <w:r w:rsidRPr="002646F6">
              <w:t>Ribociclib + fulvestrant</w:t>
            </w:r>
          </w:p>
        </w:tc>
        <w:tc>
          <w:tcPr>
            <w:tcW w:w="395" w:type="pct"/>
          </w:tcPr>
          <w:p w14:paraId="651E5D2A" w14:textId="77777777" w:rsidR="00E10675" w:rsidRPr="002646F6" w:rsidRDefault="00E10675" w:rsidP="004D428D">
            <w:pPr>
              <w:pStyle w:val="Tablebody"/>
              <w:spacing w:before="0" w:after="0"/>
              <w:contextualSpacing/>
              <w:jc w:val="center"/>
            </w:pPr>
            <w:r w:rsidRPr="002646F6">
              <w:t>2</w:t>
            </w:r>
          </w:p>
          <w:p w14:paraId="58E8F00B" w14:textId="77777777" w:rsidR="00E10675" w:rsidRPr="002646F6" w:rsidRDefault="00E10675" w:rsidP="004D428D">
            <w:pPr>
              <w:pStyle w:val="Tablebody"/>
              <w:spacing w:before="0" w:after="0"/>
              <w:contextualSpacing/>
              <w:jc w:val="center"/>
            </w:pPr>
          </w:p>
        </w:tc>
        <w:tc>
          <w:tcPr>
            <w:tcW w:w="2721" w:type="pct"/>
          </w:tcPr>
          <w:p w14:paraId="7B4DC363" w14:textId="77777777" w:rsidR="00E10675" w:rsidRPr="002646F6" w:rsidRDefault="00E10675" w:rsidP="004D428D">
            <w:pPr>
              <w:pStyle w:val="Tablebody"/>
              <w:spacing w:before="0" w:after="0"/>
              <w:contextualSpacing/>
            </w:pPr>
            <w:r w:rsidRPr="002646F6">
              <w:t>Ribociclib with fulvestrant for treating HR+/HER2- advanced BC after ET</w:t>
            </w:r>
          </w:p>
        </w:tc>
      </w:tr>
      <w:tr w:rsidR="00A14AD7" w:rsidRPr="00A43593" w14:paraId="30CBD018" w14:textId="77777777" w:rsidTr="00AF56EE">
        <w:trPr>
          <w:trHeight w:val="191"/>
        </w:trPr>
        <w:tc>
          <w:tcPr>
            <w:tcW w:w="390" w:type="pct"/>
          </w:tcPr>
          <w:p w14:paraId="4D188F6F" w14:textId="77777777" w:rsidR="00E10675" w:rsidRPr="002646F6" w:rsidRDefault="00E10675" w:rsidP="004D428D">
            <w:pPr>
              <w:pStyle w:val="Tablebody"/>
              <w:spacing w:before="0" w:after="0"/>
              <w:contextualSpacing/>
            </w:pPr>
            <w:r w:rsidRPr="002646F6">
              <w:t>725</w:t>
            </w:r>
          </w:p>
        </w:tc>
        <w:tc>
          <w:tcPr>
            <w:tcW w:w="394" w:type="pct"/>
          </w:tcPr>
          <w:p w14:paraId="42437FA6" w14:textId="77777777" w:rsidR="00E10675" w:rsidRPr="002646F6" w:rsidRDefault="00E10675" w:rsidP="004D428D">
            <w:pPr>
              <w:pStyle w:val="Tablebody"/>
              <w:spacing w:before="0" w:after="0"/>
              <w:contextualSpacing/>
            </w:pPr>
            <w:r w:rsidRPr="002646F6">
              <w:t>2021</w:t>
            </w:r>
          </w:p>
        </w:tc>
        <w:tc>
          <w:tcPr>
            <w:tcW w:w="1100" w:type="pct"/>
          </w:tcPr>
          <w:p w14:paraId="3284D37B" w14:textId="77777777" w:rsidR="00E10675" w:rsidRPr="002646F6" w:rsidRDefault="00E10675" w:rsidP="004D428D">
            <w:pPr>
              <w:pStyle w:val="Tablebody"/>
              <w:spacing w:before="0" w:after="0"/>
              <w:contextualSpacing/>
            </w:pPr>
            <w:r w:rsidRPr="002646F6">
              <w:t xml:space="preserve">Abemaciclib + fulvestrant </w:t>
            </w:r>
          </w:p>
        </w:tc>
        <w:tc>
          <w:tcPr>
            <w:tcW w:w="395" w:type="pct"/>
          </w:tcPr>
          <w:p w14:paraId="2CB1D6CC" w14:textId="77777777" w:rsidR="00E10675" w:rsidRPr="002646F6" w:rsidRDefault="00E10675" w:rsidP="004D428D">
            <w:pPr>
              <w:pStyle w:val="Tablebody"/>
              <w:spacing w:before="0" w:after="0"/>
              <w:contextualSpacing/>
              <w:jc w:val="center"/>
            </w:pPr>
            <w:r w:rsidRPr="002646F6">
              <w:t>2</w:t>
            </w:r>
          </w:p>
        </w:tc>
        <w:tc>
          <w:tcPr>
            <w:tcW w:w="2721" w:type="pct"/>
          </w:tcPr>
          <w:p w14:paraId="3D8A2408" w14:textId="77777777" w:rsidR="00E10675" w:rsidRPr="002646F6" w:rsidRDefault="00E10675" w:rsidP="004D428D">
            <w:pPr>
              <w:pStyle w:val="Tablebody"/>
              <w:spacing w:before="0" w:after="0"/>
              <w:contextualSpacing/>
            </w:pPr>
            <w:r w:rsidRPr="002646F6">
              <w:t xml:space="preserve">Abecaciclib with fulvestrant for treating HR+/HER2- advanced BC after ET </w:t>
            </w:r>
          </w:p>
        </w:tc>
      </w:tr>
      <w:tr w:rsidR="00A14AD7" w:rsidRPr="00A43593" w14:paraId="3B5B3205" w14:textId="77777777" w:rsidTr="00AF56EE">
        <w:tc>
          <w:tcPr>
            <w:tcW w:w="390" w:type="pct"/>
          </w:tcPr>
          <w:p w14:paraId="2BDA364E" w14:textId="77777777" w:rsidR="00E10675" w:rsidRPr="002646F6" w:rsidRDefault="00E10675" w:rsidP="004D428D">
            <w:pPr>
              <w:pStyle w:val="Tablebody"/>
              <w:spacing w:before="0" w:after="0"/>
              <w:contextualSpacing/>
            </w:pPr>
            <w:r w:rsidRPr="002646F6">
              <w:t>816</w:t>
            </w:r>
          </w:p>
        </w:tc>
        <w:tc>
          <w:tcPr>
            <w:tcW w:w="394" w:type="pct"/>
          </w:tcPr>
          <w:p w14:paraId="6D62257A" w14:textId="77777777" w:rsidR="00E10675" w:rsidRPr="002646F6" w:rsidRDefault="00E10675" w:rsidP="004D428D">
            <w:pPr>
              <w:pStyle w:val="Tablebody"/>
              <w:spacing w:before="0" w:after="0"/>
              <w:contextualSpacing/>
            </w:pPr>
            <w:r w:rsidRPr="002646F6">
              <w:t>2022</w:t>
            </w:r>
          </w:p>
        </w:tc>
        <w:tc>
          <w:tcPr>
            <w:tcW w:w="1100" w:type="pct"/>
          </w:tcPr>
          <w:p w14:paraId="69449CAC" w14:textId="77777777" w:rsidR="00E10675" w:rsidRPr="002646F6" w:rsidRDefault="00E10675" w:rsidP="004D428D">
            <w:pPr>
              <w:pStyle w:val="Tablebody"/>
              <w:spacing w:before="0" w:after="0"/>
              <w:contextualSpacing/>
            </w:pPr>
            <w:r w:rsidRPr="002646F6">
              <w:t>Alpelisib + fulvestrant</w:t>
            </w:r>
          </w:p>
        </w:tc>
        <w:tc>
          <w:tcPr>
            <w:tcW w:w="395" w:type="pct"/>
          </w:tcPr>
          <w:p w14:paraId="083B6D4C" w14:textId="77777777" w:rsidR="00E10675" w:rsidRPr="002646F6" w:rsidRDefault="00E10675" w:rsidP="004D428D">
            <w:pPr>
              <w:pStyle w:val="Tablebody"/>
              <w:spacing w:before="0" w:after="0"/>
              <w:contextualSpacing/>
              <w:jc w:val="center"/>
            </w:pPr>
            <w:r w:rsidRPr="002646F6">
              <w:t>2</w:t>
            </w:r>
          </w:p>
        </w:tc>
        <w:tc>
          <w:tcPr>
            <w:tcW w:w="2721" w:type="pct"/>
          </w:tcPr>
          <w:p w14:paraId="6ADCA4EB" w14:textId="77777777" w:rsidR="00E10675" w:rsidRPr="002646F6" w:rsidRDefault="00E10675" w:rsidP="004D428D">
            <w:pPr>
              <w:pStyle w:val="Tablebody"/>
              <w:spacing w:before="0" w:after="0"/>
              <w:contextualSpacing/>
            </w:pPr>
            <w:r w:rsidRPr="002646F6">
              <w:t>Alpelisib with fulvestrant for treating HR+/HER2-, PIK3CA-mutated advanced BC</w:t>
            </w:r>
          </w:p>
        </w:tc>
      </w:tr>
      <w:tr w:rsidR="00A14AD7" w:rsidRPr="00A43593" w14:paraId="14C80DB1" w14:textId="77777777" w:rsidTr="004B5CB1">
        <w:tc>
          <w:tcPr>
            <w:tcW w:w="5000" w:type="pct"/>
            <w:gridSpan w:val="5"/>
            <w:shd w:val="clear" w:color="auto" w:fill="F2F2F2" w:themeFill="background1" w:themeFillShade="F2"/>
          </w:tcPr>
          <w:p w14:paraId="4A896A83" w14:textId="77777777" w:rsidR="00E10675" w:rsidRPr="002646F6" w:rsidRDefault="00E10675" w:rsidP="004D428D">
            <w:pPr>
              <w:pStyle w:val="Tablebody"/>
              <w:keepNext/>
              <w:spacing w:before="0" w:after="0"/>
              <w:contextualSpacing/>
              <w:rPr>
                <w:b/>
              </w:rPr>
            </w:pPr>
            <w:r w:rsidRPr="002646F6">
              <w:rPr>
                <w:b/>
              </w:rPr>
              <w:t>Third line</w:t>
            </w:r>
          </w:p>
        </w:tc>
      </w:tr>
      <w:tr w:rsidR="00A14AD7" w:rsidRPr="00A43593" w14:paraId="059F22CC" w14:textId="77777777" w:rsidTr="00AF56EE">
        <w:tc>
          <w:tcPr>
            <w:tcW w:w="390" w:type="pct"/>
          </w:tcPr>
          <w:p w14:paraId="59C1FA91" w14:textId="77777777" w:rsidR="00E10675" w:rsidRPr="002646F6" w:rsidRDefault="00E10675" w:rsidP="004D428D">
            <w:pPr>
              <w:pStyle w:val="Tablebody"/>
              <w:spacing w:before="0" w:after="0"/>
              <w:contextualSpacing/>
            </w:pPr>
            <w:r w:rsidRPr="002646F6">
              <w:t>423</w:t>
            </w:r>
          </w:p>
        </w:tc>
        <w:tc>
          <w:tcPr>
            <w:tcW w:w="394" w:type="pct"/>
          </w:tcPr>
          <w:p w14:paraId="01B68085" w14:textId="77777777" w:rsidR="00E10675" w:rsidRPr="002646F6" w:rsidRDefault="00E10675" w:rsidP="004D428D">
            <w:pPr>
              <w:pStyle w:val="Tablebody"/>
              <w:spacing w:before="0" w:after="0"/>
              <w:contextualSpacing/>
            </w:pPr>
            <w:r w:rsidRPr="002646F6">
              <w:t>2016</w:t>
            </w:r>
          </w:p>
        </w:tc>
        <w:tc>
          <w:tcPr>
            <w:tcW w:w="1100" w:type="pct"/>
          </w:tcPr>
          <w:p w14:paraId="516D1AC0" w14:textId="77777777" w:rsidR="00E10675" w:rsidRPr="002646F6" w:rsidRDefault="00E10675" w:rsidP="004D428D">
            <w:pPr>
              <w:pStyle w:val="Tablebody"/>
              <w:spacing w:before="0" w:after="0"/>
              <w:contextualSpacing/>
            </w:pPr>
            <w:r w:rsidRPr="002646F6">
              <w:t>Eribulin</w:t>
            </w:r>
          </w:p>
        </w:tc>
        <w:tc>
          <w:tcPr>
            <w:tcW w:w="395" w:type="pct"/>
          </w:tcPr>
          <w:p w14:paraId="61A80693" w14:textId="77777777" w:rsidR="00E10675" w:rsidRPr="002646F6" w:rsidRDefault="00E10675" w:rsidP="004D428D">
            <w:pPr>
              <w:pStyle w:val="Tablebody"/>
              <w:spacing w:before="0" w:after="0"/>
              <w:contextualSpacing/>
              <w:jc w:val="center"/>
            </w:pPr>
            <w:r w:rsidRPr="002646F6">
              <w:t>≥3</w:t>
            </w:r>
          </w:p>
        </w:tc>
        <w:tc>
          <w:tcPr>
            <w:tcW w:w="2721" w:type="pct"/>
          </w:tcPr>
          <w:p w14:paraId="0611298C" w14:textId="77777777" w:rsidR="00E10675" w:rsidRPr="002646F6" w:rsidRDefault="00E10675" w:rsidP="004D428D">
            <w:pPr>
              <w:pStyle w:val="Tablebody"/>
              <w:spacing w:before="0" w:after="0"/>
              <w:contextualSpacing/>
            </w:pPr>
            <w:r w:rsidRPr="002646F6">
              <w:t>Eribulin for treating locally advanced or metastatic breast cancer after 2 or more chemotherapy regimens</w:t>
            </w:r>
          </w:p>
        </w:tc>
      </w:tr>
    </w:tbl>
    <w:p w14:paraId="23438772" w14:textId="309161DD" w:rsidR="005B6243" w:rsidRPr="003C648C" w:rsidRDefault="00800B46" w:rsidP="002D60EB">
      <w:pPr>
        <w:pStyle w:val="Footnotes"/>
      </w:pPr>
      <w:r>
        <w:t>*</w:t>
      </w:r>
      <w:r w:rsidR="0018358F">
        <w:t>T</w:t>
      </w:r>
      <w:r w:rsidR="00EF17A2">
        <w:t>he</w:t>
      </w:r>
      <w:r w:rsidR="002F0D81">
        <w:t xml:space="preserve"> scope of this appraisal</w:t>
      </w:r>
      <w:r w:rsidR="0072559C">
        <w:t xml:space="preserve"> </w:t>
      </w:r>
      <w:r w:rsidR="002F0D81">
        <w:t xml:space="preserve">is for </w:t>
      </w:r>
      <w:r w:rsidR="00EF17A2">
        <w:t xml:space="preserve">patients with HER2-low u/mBC after </w:t>
      </w:r>
      <w:r w:rsidR="0072559C">
        <w:t xml:space="preserve">one line of </w:t>
      </w:r>
      <w:r w:rsidR="00EF17A2">
        <w:t>chemotherapy in the metastatic setting</w:t>
      </w:r>
      <w:r w:rsidR="00863F64">
        <w:t>.</w:t>
      </w:r>
      <w:r w:rsidR="0018358F">
        <w:t xml:space="preserve"> </w:t>
      </w:r>
      <w:r w:rsidR="00E90495">
        <w:t>In the D</w:t>
      </w:r>
      <w:r w:rsidR="00AF56EE">
        <w:t>estiny-Breast</w:t>
      </w:r>
      <w:r w:rsidR="00E90495">
        <w:t>04 trial, p</w:t>
      </w:r>
      <w:r w:rsidR="0018358F">
        <w:t>atients with HR-positive</w:t>
      </w:r>
      <w:r w:rsidR="00A2158C">
        <w:t xml:space="preserve"> disease </w:t>
      </w:r>
      <w:r w:rsidR="0072559C">
        <w:t xml:space="preserve">had to have progressed on </w:t>
      </w:r>
      <w:r w:rsidR="003D0825">
        <w:rPr>
          <w:rFonts w:cs="Arial"/>
        </w:rPr>
        <w:t>≥</w:t>
      </w:r>
      <w:r w:rsidR="003D0825">
        <w:t xml:space="preserve">1 </w:t>
      </w:r>
      <w:r w:rsidR="0072559C">
        <w:t xml:space="preserve">line of ET and </w:t>
      </w:r>
      <w:r w:rsidR="00AF56EE">
        <w:t xml:space="preserve">be </w:t>
      </w:r>
      <w:r w:rsidR="0072559C">
        <w:t>considered no longer able to benefit from further ET</w:t>
      </w:r>
      <w:r w:rsidR="00C66DA0">
        <w:t>. ETs listed in this table are therefore not relevant to the scope.</w:t>
      </w:r>
      <w:r>
        <w:br/>
      </w:r>
      <w:r w:rsidR="000249AB" w:rsidRPr="002646F6">
        <w:t xml:space="preserve">Abbreviations: </w:t>
      </w:r>
      <w:r w:rsidR="00AA0D00" w:rsidRPr="002646F6">
        <w:t xml:space="preserve">AI, aromatase inhibitor; </w:t>
      </w:r>
      <w:r w:rsidR="000249AB" w:rsidRPr="002646F6">
        <w:t>BC, breast cancer;</w:t>
      </w:r>
      <w:r w:rsidR="00AA0D00" w:rsidRPr="00AA0D00">
        <w:t xml:space="preserve"> </w:t>
      </w:r>
      <w:r w:rsidR="00AA0D00" w:rsidRPr="002646F6">
        <w:t>ET, endocrine therapy</w:t>
      </w:r>
      <w:r w:rsidR="00AA0D00">
        <w:t>;</w:t>
      </w:r>
      <w:r w:rsidR="000249AB" w:rsidRPr="002646F6">
        <w:t xml:space="preserve"> HER2, human epidermal growth factor receptor 2; LoT, line of therapy; TA, technology appraisal</w:t>
      </w:r>
      <w:r w:rsidR="00AA0D00">
        <w:t>.</w:t>
      </w:r>
      <w:r w:rsidR="000249AB" w:rsidRPr="002646F6">
        <w:br/>
      </w:r>
      <w:r w:rsidR="000249AB" w:rsidRPr="002646F6">
        <w:rPr>
          <w:lang w:val="pl-PL"/>
        </w:rPr>
        <w:t>Sources: NICE, 2007 (TA116);</w:t>
      </w:r>
      <w:r w:rsidR="000249AB" w:rsidRPr="002646F6">
        <w:rPr>
          <w:lang w:val="pl-PL"/>
        </w:rPr>
        <w:fldChar w:fldCharType="begin"/>
      </w:r>
      <w:r w:rsidR="00CA6345">
        <w:rPr>
          <w:lang w:val="pl-PL"/>
        </w:rPr>
        <w:instrText xml:space="preserve"> ADDIN ZOTERO_ITEM CSL_CITATION {"citationID":"9H7tAgIz","properties":{"formattedCitation":"\\super 122\\nosupersub{}","plainCitation":"122","noteIndex":0},"citationItems":[{"id":65876,"uris":["http://zotero.org/groups/4797619/items/6S5RPIVP"],"itemData":{"id":65876,"type":"webpage","abstract":"Evidence-based recommendations on gemcitabine for treating metastatic breast cancer in adults","language":"eng","note":"publisher: NICE","title":"Gemcitabine for the treatment of metastatic breast cancer | NICE [TA116]","URL":"https://www.nice.org.uk/guidance/ta116","author":[{"family":"NICE","given":""}],"accessed":{"date-parts":[["2022",10,17]]}}}],"schema":"https://github.com/citation-style-language/schema/raw/master/csl-citation.json"} </w:instrText>
      </w:r>
      <w:r w:rsidR="000249AB" w:rsidRPr="002646F6">
        <w:rPr>
          <w:lang w:val="pl-PL"/>
        </w:rPr>
        <w:fldChar w:fldCharType="separate"/>
      </w:r>
      <w:r w:rsidR="00CA6345" w:rsidRPr="005A458E">
        <w:rPr>
          <w:rFonts w:cs="Arial"/>
          <w:szCs w:val="24"/>
          <w:vertAlign w:val="superscript"/>
          <w:lang w:val="pl-PL"/>
        </w:rPr>
        <w:t>122</w:t>
      </w:r>
      <w:r w:rsidR="000249AB" w:rsidRPr="002646F6">
        <w:rPr>
          <w:lang w:val="pl-PL"/>
        </w:rPr>
        <w:fldChar w:fldCharType="end"/>
      </w:r>
      <w:r w:rsidR="000249AB" w:rsidRPr="002646F6">
        <w:rPr>
          <w:lang w:val="pl-PL"/>
        </w:rPr>
        <w:t xml:space="preserve"> NICE, 2017 (TA495);</w:t>
      </w:r>
      <w:r w:rsidR="000249AB" w:rsidRPr="002646F6">
        <w:rPr>
          <w:lang w:val="pl-PL"/>
        </w:rPr>
        <w:fldChar w:fldCharType="begin"/>
      </w:r>
      <w:r w:rsidR="00CA6345">
        <w:rPr>
          <w:lang w:val="pl-PL"/>
        </w:rPr>
        <w:instrText xml:space="preserve"> ADDIN ZOTERO_ITEM CSL_CITATION {"citationID":"UPBtghbM","properties":{"formattedCitation":"\\super 123\\nosupersub{}","plainCitation":"123","noteIndex":0},"citationItems":[{"id":65874,"uris":["http://zotero.org/groups/4797619/items/DZEBHVB9"],"itemData":{"id":65874,"type":"webpage","abstract":"Evidence-based recommendations on palbociclib (Ibrance) as initial endocrine-based therapy for hormone receptor-positive, HER2-negative, locally advanced or","language":"eng","note":"publisher: NICE","title":"Palbociclib with an aromatase inhibitor for previously untreated, hormone receptor-positive, HER2-negative, locally advanced or metastatic breast cancer | NICE [TA495]","URL":"https://www.nice.org.uk/guidance/ta495","author":[{"family":"NICE","given":""}],"accessed":{"date-parts":[["2022",10,20]]}}}],"schema":"https://github.com/citation-style-language/schema/raw/master/csl-citation.json"} </w:instrText>
      </w:r>
      <w:r w:rsidR="000249AB" w:rsidRPr="002646F6">
        <w:rPr>
          <w:lang w:val="pl-PL"/>
        </w:rPr>
        <w:fldChar w:fldCharType="separate"/>
      </w:r>
      <w:r w:rsidR="00CA6345" w:rsidRPr="005A458E">
        <w:rPr>
          <w:rFonts w:cs="Arial"/>
          <w:szCs w:val="24"/>
          <w:vertAlign w:val="superscript"/>
          <w:lang w:val="pl-PL"/>
        </w:rPr>
        <w:t>123</w:t>
      </w:r>
      <w:r w:rsidR="000249AB" w:rsidRPr="002646F6">
        <w:rPr>
          <w:lang w:val="pl-PL"/>
        </w:rPr>
        <w:fldChar w:fldCharType="end"/>
      </w:r>
      <w:r w:rsidR="000249AB" w:rsidRPr="002646F6">
        <w:rPr>
          <w:lang w:val="pl-PL"/>
        </w:rPr>
        <w:t xml:space="preserve"> NICE, 2017 (TA496);</w:t>
      </w:r>
      <w:r w:rsidR="000249AB" w:rsidRPr="002646F6">
        <w:rPr>
          <w:lang w:val="pl-PL"/>
        </w:rPr>
        <w:fldChar w:fldCharType="begin"/>
      </w:r>
      <w:r w:rsidR="00CA6345">
        <w:rPr>
          <w:lang w:val="pl-PL"/>
        </w:rPr>
        <w:instrText xml:space="preserve"> ADDIN ZOTERO_ITEM CSL_CITATION {"citationID":"6bnsRdpi","properties":{"formattedCitation":"\\super 124\\nosupersub{}","plainCitation":"124","noteIndex":0},"citationItems":[{"id":65873,"uris":["http://zotero.org/groups/4797619/items/IVQL5RVP"],"itemData":{"id":65873,"type":"webpage","abstract":"Evidence-based recommendations on ribociclib (Kisqali) as initial endocrine-based therapy for hormone-receptor positive, human epidermal growth factor receptor","language":"eng","note":"publisher: NICE","title":"Ribociclib with an aromatase inhibitor for previously untreated, hormone receptor-positive, HER2-negative, locally advanced or metastatic breast cancer | NICE [TA496]","URL":"https://www.nice.org.uk/guidance/ta496","author":[{"family":"NICE","given":""}],"accessed":{"date-parts":[["2022",10,20]]}}}],"schema":"https://github.com/citation-style-language/schema/raw/master/csl-citation.json"} </w:instrText>
      </w:r>
      <w:r w:rsidR="000249AB" w:rsidRPr="002646F6">
        <w:rPr>
          <w:lang w:val="pl-PL"/>
        </w:rPr>
        <w:fldChar w:fldCharType="separate"/>
      </w:r>
      <w:r w:rsidR="00CA6345" w:rsidRPr="005A458E">
        <w:rPr>
          <w:rFonts w:cs="Arial"/>
          <w:szCs w:val="24"/>
          <w:vertAlign w:val="superscript"/>
          <w:lang w:val="pl-PL"/>
        </w:rPr>
        <w:t>124</w:t>
      </w:r>
      <w:r w:rsidR="000249AB" w:rsidRPr="002646F6">
        <w:rPr>
          <w:lang w:val="pl-PL"/>
        </w:rPr>
        <w:fldChar w:fldCharType="end"/>
      </w:r>
      <w:r w:rsidR="000249AB" w:rsidRPr="002646F6">
        <w:rPr>
          <w:lang w:val="pl-PL"/>
        </w:rPr>
        <w:t xml:space="preserve"> NICE, 2017 (TA563);</w:t>
      </w:r>
      <w:r w:rsidR="000249AB" w:rsidRPr="002646F6">
        <w:rPr>
          <w:lang w:val="pl-PL"/>
        </w:rPr>
        <w:fldChar w:fldCharType="begin"/>
      </w:r>
      <w:r w:rsidR="00CA6345">
        <w:rPr>
          <w:lang w:val="pl-PL"/>
        </w:rPr>
        <w:instrText xml:space="preserve"> ADDIN ZOTERO_ITEM CSL_CITATION {"citationID":"Yu2JL8fV","properties":{"formattedCitation":"\\super 125\\nosupersub{}","plainCitation":"125","noteIndex":0},"citationItems":[{"id":65871,"uris":["http://zotero.org/groups/4797619/items/QGF9P6XQ"],"itemData":{"id":65871,"type":"webpage","abstract":"Evidence-based recommendations on abemaciclib (Verzenios) for treating locally advanced or metastatic, hormone receptor-positive, human epidermal growth factor","language":"eng","note":"publisher: NICE","title":"Abemaciclib with an aromatase inhibitor for previously untreated, hormone receptor-positive, HER2-negative, locally advanced or metastatic breast cancer | NICE [TA563]","URL":"https://www.nice.org.uk/guidance/ta563","author":[{"family":"NICE","given":""}],"accessed":{"date-parts":[["2022",10,20]]}}}],"schema":"https://github.com/citation-style-language/schema/raw/master/csl-citation.json"} </w:instrText>
      </w:r>
      <w:r w:rsidR="000249AB" w:rsidRPr="002646F6">
        <w:rPr>
          <w:lang w:val="pl-PL"/>
        </w:rPr>
        <w:fldChar w:fldCharType="separate"/>
      </w:r>
      <w:r w:rsidR="00CA6345" w:rsidRPr="005A458E">
        <w:rPr>
          <w:rFonts w:cs="Arial"/>
          <w:szCs w:val="24"/>
          <w:vertAlign w:val="superscript"/>
          <w:lang w:val="pl-PL"/>
        </w:rPr>
        <w:t>125</w:t>
      </w:r>
      <w:r w:rsidR="000249AB" w:rsidRPr="002646F6">
        <w:rPr>
          <w:lang w:val="pl-PL"/>
        </w:rPr>
        <w:fldChar w:fldCharType="end"/>
      </w:r>
      <w:r w:rsidR="000249AB" w:rsidRPr="002646F6">
        <w:rPr>
          <w:lang w:val="pl-PL"/>
        </w:rPr>
        <w:t xml:space="preserve"> NICE, 2016 (TA421);</w:t>
      </w:r>
      <w:r w:rsidR="000249AB" w:rsidRPr="002646F6">
        <w:rPr>
          <w:lang w:val="pl-PL"/>
        </w:rPr>
        <w:fldChar w:fldCharType="begin"/>
      </w:r>
      <w:r w:rsidR="00CA6345">
        <w:rPr>
          <w:lang w:val="pl-PL"/>
        </w:rPr>
        <w:instrText xml:space="preserve"> ADDIN ZOTERO_ITEM CSL_CITATION {"citationID":"qWXjLBJZ","properties":{"formattedCitation":"\\super 126\\nosupersub{}","plainCitation":"126","noteIndex":0},"citationItems":[{"id":65881,"uris":["http://zotero.org/groups/4797619/items/Z8Q97S7K"],"itemData":{"id":65881,"type":"webpage","abstract":"Evidence-based recommendations on everolimus (Afinitor) for treating advanced breast cancer in adults after endocrine therapy","language":"eng","note":"publisher: NICE","title":"Everolimus with exemestane for treating advanced breast cancer after endocrine therapy | NICE [TA421]","URL":"https://www.nice.org.uk/guidance/ta421","author":[{"family":"NICE","given":""}],"accessed":{"date-parts":[["2022",10,25]]}}}],"schema":"https://github.com/citation-style-language/schema/raw/master/csl-citation.json"} </w:instrText>
      </w:r>
      <w:r w:rsidR="000249AB" w:rsidRPr="002646F6">
        <w:rPr>
          <w:lang w:val="pl-PL"/>
        </w:rPr>
        <w:fldChar w:fldCharType="separate"/>
      </w:r>
      <w:r w:rsidR="00CA6345" w:rsidRPr="005A458E">
        <w:rPr>
          <w:rFonts w:cs="Arial"/>
          <w:szCs w:val="24"/>
          <w:vertAlign w:val="superscript"/>
          <w:lang w:val="pl-PL"/>
        </w:rPr>
        <w:t>126</w:t>
      </w:r>
      <w:r w:rsidR="000249AB" w:rsidRPr="002646F6">
        <w:rPr>
          <w:lang w:val="pl-PL"/>
        </w:rPr>
        <w:fldChar w:fldCharType="end"/>
      </w:r>
      <w:r w:rsidR="000249AB" w:rsidRPr="002646F6">
        <w:rPr>
          <w:lang w:val="pl-PL"/>
        </w:rPr>
        <w:t xml:space="preserve"> NICE, 2020 (TA</w:t>
      </w:r>
      <w:r w:rsidR="00701D4C">
        <w:rPr>
          <w:lang w:val="pl-PL"/>
        </w:rPr>
        <w:t>836</w:t>
      </w:r>
      <w:r w:rsidR="000249AB" w:rsidRPr="002646F6">
        <w:rPr>
          <w:lang w:val="pl-PL"/>
        </w:rPr>
        <w:t>);</w:t>
      </w:r>
      <w:r w:rsidR="009E3F58">
        <w:rPr>
          <w:lang w:val="pl-PL"/>
        </w:rPr>
        <w:fldChar w:fldCharType="begin"/>
      </w:r>
      <w:r w:rsidR="00CA6345">
        <w:rPr>
          <w:lang w:val="pl-PL"/>
        </w:rPr>
        <w:instrText xml:space="preserve"> ADDIN ZOTERO_ITEM CSL_CITATION {"citationID":"EUMfYRDU","properties":{"formattedCitation":"\\super 127\\nosupersub{}","plainCitation":"127","noteIndex":0},"citationItems":[{"id":66860,"uris":["http://zotero.org/groups/4797619/items/9C8FJHLT"],"itemData":{"id":66860,"type":"webpage","abstract":"Evidence-based recommendations on palbociclib (Ibrance) with fulvestrant for treating hormone receptor-positive, HER2-negative advanced breast cancer after endocrine therapy","language":"eng","note":"publisher: NICE","title":"Palbociclib with fulvestrant for treating hormone receptor-positive, HER2-negative advanced breast cancer after endocrine therapy | NICE [TA836]","URL":"https://www.nice.org.uk/guidance/ta836","author":[{"family":"NICE","given":""}],"accessed":{"date-parts":[["2023",3,8]]},"issued":{"date-parts":[["2022",10,26]]}}}],"schema":"https://github.com/citation-style-language/schema/raw/master/csl-citation.json"} </w:instrText>
      </w:r>
      <w:r w:rsidR="009E3F58">
        <w:rPr>
          <w:lang w:val="pl-PL"/>
        </w:rPr>
        <w:fldChar w:fldCharType="separate"/>
      </w:r>
      <w:r w:rsidR="00CA6345" w:rsidRPr="005A458E">
        <w:rPr>
          <w:rFonts w:cs="Arial"/>
          <w:szCs w:val="24"/>
          <w:vertAlign w:val="superscript"/>
          <w:lang w:val="pl-PL"/>
        </w:rPr>
        <w:t>127</w:t>
      </w:r>
      <w:r w:rsidR="009E3F58">
        <w:rPr>
          <w:lang w:val="pl-PL"/>
        </w:rPr>
        <w:fldChar w:fldCharType="end"/>
      </w:r>
      <w:r w:rsidR="009E3F58" w:rsidRPr="005A458E">
        <w:rPr>
          <w:rStyle w:val="CommentReference"/>
          <w:lang w:val="pl-PL"/>
        </w:rPr>
        <w:t xml:space="preserve"> </w:t>
      </w:r>
      <w:r w:rsidR="000249AB" w:rsidRPr="002646F6">
        <w:rPr>
          <w:lang w:val="pl-PL"/>
        </w:rPr>
        <w:t>NICE, 2021 (TA687);</w:t>
      </w:r>
      <w:r w:rsidR="000249AB" w:rsidRPr="002646F6">
        <w:rPr>
          <w:lang w:val="pl-PL"/>
        </w:rPr>
        <w:fldChar w:fldCharType="begin"/>
      </w:r>
      <w:r w:rsidR="00CA6345">
        <w:rPr>
          <w:lang w:val="pl-PL"/>
        </w:rPr>
        <w:instrText xml:space="preserve"> ADDIN ZOTERO_ITEM CSL_CITATION {"citationID":"BhQ6xKbD","properties":{"formattedCitation":"\\super 128\\nosupersub{}","plainCitation":"128","noteIndex":0},"citationItems":[{"id":65870,"uris":["http://zotero.org/groups/4797619/items/34AW6XWV"],"itemData":{"id":65870,"type":"webpage","abstract":"Evidence-based recommendations on ribociclib (Kisqali) for treating hormone receptor-positive, human epidermal growth factor receptor 2 (HER2)-negative, locally","language":"eng","note":"publisher: NICE","title":"Ribociclib with fulvestrant for treating hormone receptor-positive, HER2-negative advanced breast cancer after endocrine therapy | NICE [TA687]","URL":"https://www.nice.org.uk/guidance/ta687","author":[{"family":"NICE","given":""}],"accessed":{"date-parts":[["2022",10,20]]}}}],"schema":"https://github.com/citation-style-language/schema/raw/master/csl-citation.json"} </w:instrText>
      </w:r>
      <w:r w:rsidR="000249AB" w:rsidRPr="002646F6">
        <w:rPr>
          <w:lang w:val="pl-PL"/>
        </w:rPr>
        <w:fldChar w:fldCharType="separate"/>
      </w:r>
      <w:r w:rsidR="00CA6345" w:rsidRPr="005A458E">
        <w:rPr>
          <w:rFonts w:cs="Arial"/>
          <w:szCs w:val="24"/>
          <w:vertAlign w:val="superscript"/>
          <w:lang w:val="pl-PL"/>
        </w:rPr>
        <w:t>128</w:t>
      </w:r>
      <w:r w:rsidR="000249AB" w:rsidRPr="002646F6">
        <w:rPr>
          <w:lang w:val="pl-PL"/>
        </w:rPr>
        <w:fldChar w:fldCharType="end"/>
      </w:r>
      <w:r w:rsidR="000249AB" w:rsidRPr="002646F6">
        <w:rPr>
          <w:lang w:val="pl-PL"/>
        </w:rPr>
        <w:t xml:space="preserve"> NICE, 2021 (TA725);</w:t>
      </w:r>
      <w:r w:rsidR="000249AB" w:rsidRPr="002646F6">
        <w:rPr>
          <w:lang w:val="pl-PL"/>
        </w:rPr>
        <w:fldChar w:fldCharType="begin"/>
      </w:r>
      <w:r w:rsidR="00CA6345">
        <w:rPr>
          <w:lang w:val="pl-PL"/>
        </w:rPr>
        <w:instrText xml:space="preserve"> ADDIN ZOTERO_ITEM CSL_CITATION {"citationID":"EjLM3MdJ","properties":{"formattedCitation":"\\super 129\\nosupersub{}","plainCitation":"129","noteIndex":0},"citationItems":[{"id":65869,"uris":["http://zotero.org/groups/4797619/items/TANTZ77N"],"itemData":{"id":65869,"type":"webpage","abstract":"Evidence-bas</w:instrText>
      </w:r>
      <w:r w:rsidR="00CA6345" w:rsidRPr="009C28D0">
        <w:instrText xml:space="preserve">ed recommendations on abemaciclib (Verzenios) with fulvestrant for hormone receptor-positive, HER2-negative advanced breast cancer after endocrine","language":"eng","note":"publisher: NICE","title":"Abemaciclib with fulvestrant for treating hormone receptor-positive, HER2-negative advanced breast cancer after endocrine therapy | NICE [TA725]","URL":"https://www.nice.org.uk/guidance/ta725","author":[{"family":"NICE","given":""}],"accessed":{"date-parts":[["2022",10,20]]}}}],"schema":"https://github.com/citation-style-language/schema/raw/master/csl-citation.json"} </w:instrText>
      </w:r>
      <w:r w:rsidR="000249AB" w:rsidRPr="002646F6">
        <w:rPr>
          <w:lang w:val="pl-PL"/>
        </w:rPr>
        <w:fldChar w:fldCharType="separate"/>
      </w:r>
      <w:r w:rsidR="00CA6345" w:rsidRPr="009C28D0">
        <w:rPr>
          <w:rFonts w:cs="Arial"/>
          <w:szCs w:val="24"/>
          <w:vertAlign w:val="superscript"/>
        </w:rPr>
        <w:t>129</w:t>
      </w:r>
      <w:r w:rsidR="000249AB" w:rsidRPr="002646F6">
        <w:rPr>
          <w:lang w:val="pl-PL"/>
        </w:rPr>
        <w:fldChar w:fldCharType="end"/>
      </w:r>
      <w:r w:rsidR="000249AB" w:rsidRPr="009C28D0">
        <w:t xml:space="preserve"> NICE, 2022 (TA816);</w:t>
      </w:r>
      <w:r w:rsidR="000249AB" w:rsidRPr="002646F6">
        <w:rPr>
          <w:lang w:val="pl-PL"/>
        </w:rPr>
        <w:fldChar w:fldCharType="begin"/>
      </w:r>
      <w:r w:rsidR="00CA6345" w:rsidRPr="009C28D0">
        <w:instrText xml:space="preserve"> ADDIN ZOTERO_ITEM CSL_CITATION {"citationID":"WEogrgWF","properties":{"formattedCitation":"\\super 130\\nosupersub{}","plainCitation":"130","noteIndex":0},"citationItems":[{"id":65883,"uris":["http://zotero.org/groups/4797619/items/MVCZGHKT"],"itemData":{"id":65883,"type":"webpage","abstract":"Evidence-based recommendations on alpelisib (Piqray) with fulvestrant for treating hormone receptor-positive, HER2-negative, PIK3CA-mutated, locally advanced or metastatic breast cancer in adults","language":"eng","note":"publisher: NICE","title":"Alpelisib with fulvestrant f</w:instrText>
      </w:r>
      <w:r w:rsidR="00CA6345">
        <w:instrText xml:space="preserve">or treating hormone receptor-positive, HER2-negative, PIK3CA-mutated advanced breast cancer | NICE [TA816]","URL":"https://www.nice.org.uk/guidance/ta816","author":[{"family":"NICE","given":""}],"accessed":{"date-parts":[["2022",10,25]]}}}],"schema":"https://github.com/citation-style-language/schema/raw/master/csl-citation.json"} </w:instrText>
      </w:r>
      <w:r w:rsidR="000249AB" w:rsidRPr="002646F6">
        <w:rPr>
          <w:lang w:val="pl-PL"/>
        </w:rPr>
        <w:fldChar w:fldCharType="separate"/>
      </w:r>
      <w:r w:rsidR="00CA6345" w:rsidRPr="00CA6345">
        <w:rPr>
          <w:rFonts w:cs="Arial"/>
          <w:szCs w:val="24"/>
          <w:vertAlign w:val="superscript"/>
        </w:rPr>
        <w:t>130</w:t>
      </w:r>
      <w:r w:rsidR="000249AB" w:rsidRPr="002646F6">
        <w:rPr>
          <w:lang w:val="pl-PL"/>
        </w:rPr>
        <w:fldChar w:fldCharType="end"/>
      </w:r>
      <w:r w:rsidR="000249AB" w:rsidRPr="003C648C">
        <w:t xml:space="preserve"> NICE, 2016 (TA423)</w:t>
      </w:r>
      <w:r w:rsidR="000249AB" w:rsidRPr="002646F6">
        <w:rPr>
          <w:lang w:val="pl-PL"/>
        </w:rPr>
        <w:fldChar w:fldCharType="begin"/>
      </w:r>
      <w:r w:rsidR="00CA6345">
        <w:instrText xml:space="preserve"> ADDIN ZOTERO_ITEM CSL_CITATION {"citationID":"2WAcy42U","properties":{"formattedCitation":"\\super 131\\nosupersub{}","plainCitation":"131","noteIndex":0},"citationItems":[{"id":65884,"uris":["http://zotero.org/groups/4797619/items/GKXW7XYV"],"itemData":{"id":65884,"type":"webpage","abstract":"Evidence-based recommendations on eribulin (Halaven) for treating locally advanced or metastatic breast cancer after 2 or more types of chemotherapy","language":"eng","note":"publisher: NICE","title":"Eribulin for treating locally advanced or metastatic breast cancer after 2 or more chemotherapy regimens | NICE [TA423]","URL":"https://www.nice.org.uk/guidance/ta423","author":[{"family":"NICE","given":""}],"accessed":{"date-parts":[["2022",10,17]]}}}],"schema":"https://github.com/citation-style-language/schema/raw/master/csl-citation.json"} </w:instrText>
      </w:r>
      <w:r w:rsidR="000249AB" w:rsidRPr="002646F6">
        <w:rPr>
          <w:lang w:val="pl-PL"/>
        </w:rPr>
        <w:fldChar w:fldCharType="separate"/>
      </w:r>
      <w:r w:rsidR="00CA6345" w:rsidRPr="00CA6345">
        <w:rPr>
          <w:rFonts w:cs="Arial"/>
          <w:szCs w:val="24"/>
          <w:vertAlign w:val="superscript"/>
        </w:rPr>
        <w:t>131</w:t>
      </w:r>
      <w:r w:rsidR="000249AB" w:rsidRPr="002646F6">
        <w:rPr>
          <w:lang w:val="pl-PL"/>
        </w:rPr>
        <w:fldChar w:fldCharType="end"/>
      </w:r>
    </w:p>
    <w:p w14:paraId="5F251D61" w14:textId="6C5A0EEC" w:rsidR="00AD7194" w:rsidRPr="003C648C" w:rsidRDefault="00AD7194" w:rsidP="00AD7194">
      <w:pPr>
        <w:pStyle w:val="Heading5"/>
        <w:ind w:left="1276" w:hanging="1276"/>
      </w:pPr>
      <w:bookmarkStart w:id="82" w:name="_Ref121231153"/>
      <w:r w:rsidRPr="003C648C">
        <w:t xml:space="preserve">NICE TAs in </w:t>
      </w:r>
      <w:r w:rsidR="0013511A" w:rsidRPr="003C648C">
        <w:t>HER2-negative/HR-negative</w:t>
      </w:r>
      <w:r w:rsidRPr="003C648C">
        <w:t xml:space="preserve"> u/mBC </w:t>
      </w:r>
    </w:p>
    <w:p w14:paraId="2DE4F751" w14:textId="537CE0B3" w:rsidR="00AD7194" w:rsidRPr="003C648C" w:rsidRDefault="00AD7194" w:rsidP="00B830AF">
      <w:pPr>
        <w:pStyle w:val="In-textheading"/>
        <w:rPr>
          <w:i w:val="0"/>
        </w:rPr>
      </w:pPr>
      <w:r w:rsidRPr="003C648C">
        <w:rPr>
          <w:i w:val="0"/>
        </w:rPr>
        <w:t xml:space="preserve">NICE TAs for </w:t>
      </w:r>
      <w:r w:rsidR="0013511A" w:rsidRPr="003C648C">
        <w:rPr>
          <w:i w:val="0"/>
        </w:rPr>
        <w:t>HER2-negative/HR-negative</w:t>
      </w:r>
      <w:r w:rsidRPr="003C648C">
        <w:rPr>
          <w:i w:val="0"/>
        </w:rPr>
        <w:t xml:space="preserve"> (i.e.</w:t>
      </w:r>
      <w:r w:rsidR="00C44952" w:rsidRPr="003C648C">
        <w:rPr>
          <w:i w:val="0"/>
        </w:rPr>
        <w:t>,</w:t>
      </w:r>
      <w:r w:rsidRPr="003C648C">
        <w:rPr>
          <w:i w:val="0"/>
        </w:rPr>
        <w:t xml:space="preserve"> TNBC) </w:t>
      </w:r>
      <w:r w:rsidR="00C81869" w:rsidRPr="003C648C">
        <w:rPr>
          <w:i w:val="0"/>
        </w:rPr>
        <w:t xml:space="preserve">advanced </w:t>
      </w:r>
      <w:r w:rsidR="00565247" w:rsidRPr="003C648C">
        <w:rPr>
          <w:i w:val="0"/>
        </w:rPr>
        <w:t xml:space="preserve">or metastatic </w:t>
      </w:r>
      <w:r w:rsidRPr="003C648C">
        <w:rPr>
          <w:i w:val="0"/>
        </w:rPr>
        <w:t>BC</w:t>
      </w:r>
      <w:r w:rsidR="002A3482" w:rsidRPr="003C648C">
        <w:rPr>
          <w:i w:val="0"/>
        </w:rPr>
        <w:t xml:space="preserve"> </w:t>
      </w:r>
      <w:r w:rsidRPr="003C648C">
        <w:rPr>
          <w:i w:val="0"/>
        </w:rPr>
        <w:t xml:space="preserve">are </w:t>
      </w:r>
      <w:r w:rsidR="002A3482" w:rsidRPr="003C648C">
        <w:rPr>
          <w:i w:val="0"/>
        </w:rPr>
        <w:t xml:space="preserve">summarised </w:t>
      </w:r>
      <w:r w:rsidRPr="003C648C">
        <w:rPr>
          <w:i w:val="0"/>
        </w:rPr>
        <w:t>in</w:t>
      </w:r>
      <w:r w:rsidRPr="003C648C">
        <w:rPr>
          <w:b/>
          <w:i w:val="0"/>
        </w:rPr>
        <w:t xml:space="preserve"> </w:t>
      </w:r>
      <w:r w:rsidRPr="002646F6">
        <w:rPr>
          <w:b/>
          <w:i w:val="0"/>
        </w:rPr>
        <w:fldChar w:fldCharType="begin"/>
      </w:r>
      <w:r w:rsidRPr="003C648C">
        <w:rPr>
          <w:b/>
          <w:i w:val="0"/>
        </w:rPr>
        <w:instrText xml:space="preserve"> REF _Ref121942865 \h  \* MERGEFORMAT </w:instrText>
      </w:r>
      <w:r w:rsidRPr="002646F6">
        <w:rPr>
          <w:b/>
          <w:i w:val="0"/>
        </w:rPr>
      </w:r>
      <w:r w:rsidRPr="002646F6">
        <w:rPr>
          <w:b/>
          <w:i w:val="0"/>
        </w:rPr>
        <w:fldChar w:fldCharType="separate"/>
      </w:r>
      <w:r w:rsidR="00145F42" w:rsidRPr="00145F42">
        <w:rPr>
          <w:b/>
          <w:i w:val="0"/>
        </w:rPr>
        <w:t>Table 7</w:t>
      </w:r>
      <w:r w:rsidRPr="002646F6">
        <w:rPr>
          <w:b/>
          <w:i w:val="0"/>
        </w:rPr>
        <w:fldChar w:fldCharType="end"/>
      </w:r>
      <w:r w:rsidRPr="003C648C">
        <w:rPr>
          <w:i w:val="0"/>
        </w:rPr>
        <w:t>.</w:t>
      </w:r>
      <w:r w:rsidRPr="003C648C">
        <w:t xml:space="preserve"> </w:t>
      </w:r>
      <w:r w:rsidR="00C115BE" w:rsidRPr="003C648C">
        <w:rPr>
          <w:i w:val="0"/>
        </w:rPr>
        <w:t xml:space="preserve">At first line, </w:t>
      </w:r>
      <w:r w:rsidR="00DC4CC6" w:rsidRPr="003C648C">
        <w:rPr>
          <w:i w:val="0"/>
        </w:rPr>
        <w:t xml:space="preserve">NICE recommend </w:t>
      </w:r>
      <w:r w:rsidR="00943CBB" w:rsidRPr="003C648C">
        <w:rPr>
          <w:i w:val="0"/>
        </w:rPr>
        <w:t>atezolizumab</w:t>
      </w:r>
      <w:r w:rsidR="00DB6238" w:rsidRPr="003C648C">
        <w:rPr>
          <w:i w:val="0"/>
        </w:rPr>
        <w:t xml:space="preserve"> with chemotherapy</w:t>
      </w:r>
      <w:r w:rsidR="00C115BE" w:rsidRPr="003C648C">
        <w:rPr>
          <w:i w:val="0"/>
        </w:rPr>
        <w:t xml:space="preserve"> </w:t>
      </w:r>
      <w:r w:rsidR="0057252A">
        <w:rPr>
          <w:i w:val="0"/>
        </w:rPr>
        <w:t>or</w:t>
      </w:r>
      <w:r w:rsidR="0057252A" w:rsidRPr="003C648C">
        <w:rPr>
          <w:i w:val="0"/>
        </w:rPr>
        <w:t xml:space="preserve"> </w:t>
      </w:r>
      <w:r w:rsidR="00DB6238" w:rsidRPr="003C648C">
        <w:rPr>
          <w:i w:val="0"/>
        </w:rPr>
        <w:t xml:space="preserve">pembrolizumab with chemotherapy </w:t>
      </w:r>
      <w:r w:rsidR="005956CA" w:rsidRPr="003C648C">
        <w:rPr>
          <w:i w:val="0"/>
        </w:rPr>
        <w:t>for patients whose tumours express PD-L1</w:t>
      </w:r>
      <w:r w:rsidR="00C14994" w:rsidRPr="003C648C">
        <w:rPr>
          <w:i w:val="0"/>
        </w:rPr>
        <w:t xml:space="preserve">, after </w:t>
      </w:r>
      <w:r w:rsidR="00C14994" w:rsidRPr="003C648C">
        <w:rPr>
          <w:i w:val="0"/>
        </w:rPr>
        <w:lastRenderedPageBreak/>
        <w:t xml:space="preserve">whichpatients are treated with non-targeted chemotherapies. </w:t>
      </w:r>
      <w:r w:rsidR="00FB23E9">
        <w:rPr>
          <w:i w:val="0"/>
        </w:rPr>
        <w:t>SG</w:t>
      </w:r>
      <w:r w:rsidR="00C14994" w:rsidRPr="003C648C">
        <w:rPr>
          <w:i w:val="0"/>
        </w:rPr>
        <w:t xml:space="preserve"> is also an option </w:t>
      </w:r>
      <w:r w:rsidR="00734176" w:rsidRPr="003C648C">
        <w:rPr>
          <w:i w:val="0"/>
        </w:rPr>
        <w:t xml:space="preserve">for </w:t>
      </w:r>
      <w:r w:rsidR="00E106D1" w:rsidRPr="003C648C">
        <w:rPr>
          <w:i w:val="0"/>
        </w:rPr>
        <w:t xml:space="preserve">patients with HER2-negative/HR-negative u/mBC </w:t>
      </w:r>
      <w:r w:rsidR="00A102D7" w:rsidRPr="003C648C">
        <w:rPr>
          <w:i w:val="0"/>
        </w:rPr>
        <w:t xml:space="preserve">at </w:t>
      </w:r>
      <w:r w:rsidR="009D5E3E" w:rsidRPr="003C648C">
        <w:rPr>
          <w:i w:val="0"/>
        </w:rPr>
        <w:t>second line</w:t>
      </w:r>
      <w:r w:rsidR="0097417A">
        <w:rPr>
          <w:i w:val="0"/>
        </w:rPr>
        <w:t>*</w:t>
      </w:r>
      <w:r w:rsidR="00A102D7" w:rsidRPr="003C648C">
        <w:rPr>
          <w:i w:val="0"/>
        </w:rPr>
        <w:t xml:space="preserve"> and beyond. </w:t>
      </w:r>
    </w:p>
    <w:p w14:paraId="43F0B98A" w14:textId="0C835811" w:rsidR="00AD7194" w:rsidRPr="003C648C" w:rsidRDefault="00AD7194" w:rsidP="00AD7194">
      <w:pPr>
        <w:pStyle w:val="Caption"/>
      </w:pPr>
      <w:bookmarkStart w:id="83" w:name="_Ref121942865"/>
      <w:bookmarkStart w:id="84" w:name="_Ref121238350"/>
      <w:bookmarkStart w:id="85" w:name="_Toc129350982"/>
      <w:r w:rsidRPr="003C648C">
        <w:t xml:space="preserve">Table </w:t>
      </w:r>
      <w:r w:rsidRPr="002646F6">
        <w:fldChar w:fldCharType="begin"/>
      </w:r>
      <w:r w:rsidRPr="00363DCE">
        <w:instrText xml:space="preserve"> SEQ Table \* ARABIC </w:instrText>
      </w:r>
      <w:r w:rsidRPr="002646F6">
        <w:fldChar w:fldCharType="separate"/>
      </w:r>
      <w:r w:rsidR="00145F42">
        <w:rPr>
          <w:noProof/>
        </w:rPr>
        <w:t>7</w:t>
      </w:r>
      <w:r w:rsidRPr="002646F6">
        <w:fldChar w:fldCharType="end"/>
      </w:r>
      <w:bookmarkEnd w:id="83"/>
      <w:r w:rsidRPr="003C648C">
        <w:t xml:space="preserve">: Summary of published NICE </w:t>
      </w:r>
      <w:r w:rsidR="000A1904" w:rsidRPr="003C648C">
        <w:t>TAs</w:t>
      </w:r>
      <w:r w:rsidRPr="003C648C">
        <w:t xml:space="preserve"> with a positive recommendation in </w:t>
      </w:r>
      <w:r w:rsidR="0013511A" w:rsidRPr="003C648C">
        <w:t>HER2-negative/HR-negative</w:t>
      </w:r>
      <w:r w:rsidRPr="003C648C">
        <w:t xml:space="preserve"> </w:t>
      </w:r>
      <w:r w:rsidR="00A43950" w:rsidRPr="003C648C">
        <w:t xml:space="preserve">advanced </w:t>
      </w:r>
      <w:r w:rsidRPr="003C648C">
        <w:t>BC</w:t>
      </w:r>
      <w:bookmarkEnd w:id="84"/>
      <w:r w:rsidR="00A43950" w:rsidRPr="003C648C">
        <w:t xml:space="preserve"> (i.e. TNBC)</w:t>
      </w:r>
      <w:bookmarkEnd w:id="85"/>
    </w:p>
    <w:tbl>
      <w:tblPr>
        <w:tblStyle w:val="Generaltable"/>
        <w:tblW w:w="5000" w:type="pct"/>
        <w:tblLook w:val="04A0" w:firstRow="1" w:lastRow="0" w:firstColumn="1" w:lastColumn="0" w:noHBand="0" w:noVBand="1"/>
      </w:tblPr>
      <w:tblGrid>
        <w:gridCol w:w="738"/>
        <w:gridCol w:w="676"/>
        <w:gridCol w:w="1700"/>
        <w:gridCol w:w="583"/>
        <w:gridCol w:w="5319"/>
      </w:tblGrid>
      <w:tr w:rsidR="006F1908" w:rsidRPr="00A43593" w14:paraId="7BC12083" w14:textId="77777777" w:rsidTr="00B94E6B">
        <w:trPr>
          <w:cnfStyle w:val="100000000000" w:firstRow="1" w:lastRow="0" w:firstColumn="0" w:lastColumn="0" w:oddVBand="0" w:evenVBand="0" w:oddHBand="0" w:evenHBand="0" w:firstRowFirstColumn="0" w:firstRowLastColumn="0" w:lastRowFirstColumn="0" w:lastRowLastColumn="0"/>
        </w:trPr>
        <w:tc>
          <w:tcPr>
            <w:tcW w:w="409" w:type="pct"/>
            <w:shd w:val="clear" w:color="auto" w:fill="F2F2F2" w:themeFill="background1" w:themeFillShade="F2"/>
          </w:tcPr>
          <w:p w14:paraId="050AB82E" w14:textId="77777777" w:rsidR="00AD7194" w:rsidRPr="002646F6" w:rsidRDefault="00AD7194">
            <w:pPr>
              <w:pStyle w:val="Tableheading"/>
              <w:rPr>
                <w:lang w:val="pl-PL"/>
              </w:rPr>
            </w:pPr>
            <w:r w:rsidRPr="002646F6">
              <w:rPr>
                <w:lang w:val="pl-PL"/>
              </w:rPr>
              <w:t>TA</w:t>
            </w:r>
          </w:p>
        </w:tc>
        <w:tc>
          <w:tcPr>
            <w:tcW w:w="375" w:type="pct"/>
            <w:shd w:val="clear" w:color="auto" w:fill="F2F2F2" w:themeFill="background1" w:themeFillShade="F2"/>
          </w:tcPr>
          <w:p w14:paraId="07487669" w14:textId="77777777" w:rsidR="00AD7194" w:rsidRPr="002646F6" w:rsidRDefault="00AD7194">
            <w:pPr>
              <w:pStyle w:val="Tableheading"/>
              <w:rPr>
                <w:lang w:val="pl-PL"/>
              </w:rPr>
            </w:pPr>
            <w:r w:rsidRPr="002646F6">
              <w:rPr>
                <w:lang w:val="pl-PL"/>
              </w:rPr>
              <w:t>Year</w:t>
            </w:r>
          </w:p>
        </w:tc>
        <w:tc>
          <w:tcPr>
            <w:tcW w:w="943" w:type="pct"/>
            <w:shd w:val="clear" w:color="auto" w:fill="F2F2F2" w:themeFill="background1" w:themeFillShade="F2"/>
          </w:tcPr>
          <w:p w14:paraId="01F34861" w14:textId="77777777" w:rsidR="00AD7194" w:rsidRPr="002646F6" w:rsidRDefault="00AD7194">
            <w:pPr>
              <w:pStyle w:val="Tableheading"/>
              <w:rPr>
                <w:lang w:val="pl-PL"/>
              </w:rPr>
            </w:pPr>
            <w:r w:rsidRPr="002646F6">
              <w:rPr>
                <w:lang w:val="pl-PL"/>
              </w:rPr>
              <w:t>Intervention</w:t>
            </w:r>
          </w:p>
        </w:tc>
        <w:tc>
          <w:tcPr>
            <w:tcW w:w="323" w:type="pct"/>
            <w:shd w:val="clear" w:color="auto" w:fill="F2F2F2" w:themeFill="background1" w:themeFillShade="F2"/>
          </w:tcPr>
          <w:p w14:paraId="6D2C677C" w14:textId="77777777" w:rsidR="00AD7194" w:rsidRPr="002646F6" w:rsidRDefault="00AD7194">
            <w:pPr>
              <w:pStyle w:val="Tableheading"/>
              <w:jc w:val="center"/>
              <w:rPr>
                <w:lang w:val="pl-PL"/>
              </w:rPr>
            </w:pPr>
            <w:r w:rsidRPr="002646F6">
              <w:rPr>
                <w:lang w:val="pl-PL"/>
              </w:rPr>
              <w:t>LoT</w:t>
            </w:r>
          </w:p>
        </w:tc>
        <w:tc>
          <w:tcPr>
            <w:tcW w:w="2950" w:type="pct"/>
            <w:shd w:val="clear" w:color="auto" w:fill="F2F2F2" w:themeFill="background1" w:themeFillShade="F2"/>
          </w:tcPr>
          <w:p w14:paraId="5B8AED5E" w14:textId="77777777" w:rsidR="00AD7194" w:rsidRPr="002646F6" w:rsidRDefault="00AD7194">
            <w:pPr>
              <w:pStyle w:val="Tableheading"/>
              <w:rPr>
                <w:lang w:val="pl-PL"/>
              </w:rPr>
            </w:pPr>
            <w:r w:rsidRPr="002646F6">
              <w:rPr>
                <w:lang w:val="pl-PL"/>
              </w:rPr>
              <w:t>Title</w:t>
            </w:r>
          </w:p>
        </w:tc>
      </w:tr>
      <w:tr w:rsidR="00A14AD7" w:rsidRPr="00A43593" w14:paraId="6C28462F" w14:textId="77777777">
        <w:tc>
          <w:tcPr>
            <w:tcW w:w="5000" w:type="pct"/>
            <w:gridSpan w:val="5"/>
            <w:shd w:val="clear" w:color="auto" w:fill="F2F2F2" w:themeFill="background1" w:themeFillShade="F2"/>
          </w:tcPr>
          <w:p w14:paraId="3B093AF9" w14:textId="77777777" w:rsidR="00AD7194" w:rsidRPr="002646F6" w:rsidRDefault="00AD7194">
            <w:pPr>
              <w:pStyle w:val="Tablebody"/>
              <w:keepNext/>
              <w:rPr>
                <w:b/>
                <w:lang w:val="pl-PL"/>
              </w:rPr>
            </w:pPr>
            <w:r w:rsidRPr="002646F6">
              <w:rPr>
                <w:b/>
                <w:lang w:val="pl-PL"/>
              </w:rPr>
              <w:t>First line</w:t>
            </w:r>
          </w:p>
        </w:tc>
      </w:tr>
      <w:tr w:rsidR="00262319" w:rsidRPr="00A43593" w14:paraId="542F6ECB" w14:textId="77777777" w:rsidTr="00B94E6B">
        <w:tc>
          <w:tcPr>
            <w:tcW w:w="409" w:type="pct"/>
          </w:tcPr>
          <w:p w14:paraId="60197035" w14:textId="77777777" w:rsidR="00AD7194" w:rsidRPr="002646F6" w:rsidRDefault="00AD7194">
            <w:pPr>
              <w:pStyle w:val="Tablebody"/>
              <w:keepNext/>
              <w:rPr>
                <w:lang w:val="pl-PL"/>
              </w:rPr>
            </w:pPr>
            <w:r w:rsidRPr="002646F6">
              <w:rPr>
                <w:lang w:val="pl-PL"/>
              </w:rPr>
              <w:t>116</w:t>
            </w:r>
          </w:p>
        </w:tc>
        <w:tc>
          <w:tcPr>
            <w:tcW w:w="375" w:type="pct"/>
          </w:tcPr>
          <w:p w14:paraId="4AF29A43" w14:textId="77777777" w:rsidR="00AD7194" w:rsidRPr="002646F6" w:rsidRDefault="00AD7194">
            <w:pPr>
              <w:pStyle w:val="Tablebody"/>
              <w:rPr>
                <w:lang w:val="pl-PL"/>
              </w:rPr>
            </w:pPr>
            <w:r w:rsidRPr="002646F6">
              <w:rPr>
                <w:lang w:val="pl-PL"/>
              </w:rPr>
              <w:t>2007</w:t>
            </w:r>
          </w:p>
        </w:tc>
        <w:tc>
          <w:tcPr>
            <w:tcW w:w="943" w:type="pct"/>
          </w:tcPr>
          <w:p w14:paraId="5814E397" w14:textId="77777777" w:rsidR="00AD7194" w:rsidRPr="002646F6" w:rsidRDefault="00AD7194">
            <w:pPr>
              <w:pStyle w:val="Tablebody"/>
              <w:rPr>
                <w:lang w:val="pl-PL"/>
              </w:rPr>
            </w:pPr>
            <w:r w:rsidRPr="002646F6">
              <w:rPr>
                <w:lang w:val="pl-PL"/>
              </w:rPr>
              <w:t xml:space="preserve">Gemcitabine + paclitaxel </w:t>
            </w:r>
          </w:p>
        </w:tc>
        <w:tc>
          <w:tcPr>
            <w:tcW w:w="323" w:type="pct"/>
          </w:tcPr>
          <w:p w14:paraId="346BFD3C" w14:textId="77777777" w:rsidR="00AD7194" w:rsidRPr="002646F6" w:rsidRDefault="00AD7194">
            <w:pPr>
              <w:pStyle w:val="Tablebody"/>
              <w:jc w:val="center"/>
              <w:rPr>
                <w:lang w:val="pl-PL"/>
              </w:rPr>
            </w:pPr>
            <w:r w:rsidRPr="002646F6">
              <w:rPr>
                <w:lang w:val="pl-PL"/>
              </w:rPr>
              <w:t>≥1</w:t>
            </w:r>
          </w:p>
        </w:tc>
        <w:tc>
          <w:tcPr>
            <w:tcW w:w="2950" w:type="pct"/>
          </w:tcPr>
          <w:p w14:paraId="2DDEB76C" w14:textId="158530DD" w:rsidR="00AD7194" w:rsidRPr="003C648C" w:rsidRDefault="00C52FF2">
            <w:pPr>
              <w:pStyle w:val="Tablebody"/>
            </w:pPr>
            <w:r>
              <w:t xml:space="preserve">Gemcitabine for the treatment of metastatic breast cancer </w:t>
            </w:r>
          </w:p>
        </w:tc>
      </w:tr>
      <w:tr w:rsidR="00262319" w:rsidRPr="00A43593" w14:paraId="36A03263" w14:textId="77777777" w:rsidTr="00B94E6B">
        <w:tc>
          <w:tcPr>
            <w:tcW w:w="409" w:type="pct"/>
          </w:tcPr>
          <w:p w14:paraId="3ABA434E" w14:textId="77777777" w:rsidR="00AD7194" w:rsidRPr="002646F6" w:rsidRDefault="00AD7194">
            <w:pPr>
              <w:pStyle w:val="Tablebody"/>
              <w:keepNext/>
              <w:rPr>
                <w:lang w:val="pl-PL"/>
              </w:rPr>
            </w:pPr>
            <w:r w:rsidRPr="002646F6">
              <w:rPr>
                <w:lang w:val="pl-PL"/>
              </w:rPr>
              <w:t>639</w:t>
            </w:r>
          </w:p>
        </w:tc>
        <w:tc>
          <w:tcPr>
            <w:tcW w:w="375" w:type="pct"/>
          </w:tcPr>
          <w:p w14:paraId="16B4CDD9" w14:textId="77777777" w:rsidR="00AD7194" w:rsidRPr="002646F6" w:rsidRDefault="00AD7194">
            <w:pPr>
              <w:pStyle w:val="Tablebody"/>
              <w:rPr>
                <w:lang w:val="pl-PL"/>
              </w:rPr>
            </w:pPr>
            <w:r w:rsidRPr="002646F6">
              <w:rPr>
                <w:lang w:val="pl-PL"/>
              </w:rPr>
              <w:t>2020</w:t>
            </w:r>
          </w:p>
        </w:tc>
        <w:tc>
          <w:tcPr>
            <w:tcW w:w="943" w:type="pct"/>
          </w:tcPr>
          <w:p w14:paraId="3149AE63" w14:textId="77777777" w:rsidR="00AD7194" w:rsidRPr="002646F6" w:rsidRDefault="00AD7194">
            <w:pPr>
              <w:pStyle w:val="Tablebody"/>
              <w:rPr>
                <w:lang w:val="pl-PL"/>
              </w:rPr>
            </w:pPr>
            <w:r w:rsidRPr="002646F6">
              <w:rPr>
                <w:lang w:val="pl-PL"/>
              </w:rPr>
              <w:t>Atezolizumab + nab-paclitaxel</w:t>
            </w:r>
          </w:p>
        </w:tc>
        <w:tc>
          <w:tcPr>
            <w:tcW w:w="323" w:type="pct"/>
          </w:tcPr>
          <w:p w14:paraId="72B3DA69" w14:textId="77777777" w:rsidR="00AD7194" w:rsidRPr="002646F6" w:rsidRDefault="00AD7194">
            <w:pPr>
              <w:pStyle w:val="Tablebody"/>
              <w:jc w:val="center"/>
              <w:rPr>
                <w:lang w:val="pl-PL"/>
              </w:rPr>
            </w:pPr>
            <w:r w:rsidRPr="002646F6">
              <w:rPr>
                <w:lang w:val="pl-PL"/>
              </w:rPr>
              <w:t>1</w:t>
            </w:r>
          </w:p>
        </w:tc>
        <w:tc>
          <w:tcPr>
            <w:tcW w:w="2950" w:type="pct"/>
          </w:tcPr>
          <w:p w14:paraId="78CEF52A" w14:textId="27C8EBE0" w:rsidR="00AD7194" w:rsidRPr="003C648C" w:rsidRDefault="00AD7194">
            <w:pPr>
              <w:pStyle w:val="Tablebody"/>
            </w:pPr>
            <w:r w:rsidRPr="003C648C">
              <w:t>Atezolizumab with nab-paclitaxel for untreated PD-L1-positive, locally advanced or metastatic</w:t>
            </w:r>
            <w:r w:rsidR="00FC15DE">
              <w:t xml:space="preserve">, </w:t>
            </w:r>
            <w:r w:rsidR="00FC15DE" w:rsidRPr="00FC15DE">
              <w:t>triple-negative breast cancer</w:t>
            </w:r>
          </w:p>
        </w:tc>
      </w:tr>
      <w:tr w:rsidR="00262319" w:rsidRPr="00A43593" w14:paraId="79196CEC" w14:textId="77777777" w:rsidTr="00B94E6B">
        <w:tc>
          <w:tcPr>
            <w:tcW w:w="409" w:type="pct"/>
          </w:tcPr>
          <w:p w14:paraId="3AB9C99F" w14:textId="77777777" w:rsidR="00AD7194" w:rsidRPr="002646F6" w:rsidRDefault="00AD7194">
            <w:pPr>
              <w:pStyle w:val="Tablebody"/>
              <w:keepNext/>
              <w:rPr>
                <w:lang w:val="pl-PL"/>
              </w:rPr>
            </w:pPr>
            <w:r w:rsidRPr="002646F6">
              <w:rPr>
                <w:lang w:val="pl-PL"/>
              </w:rPr>
              <w:t>801</w:t>
            </w:r>
          </w:p>
        </w:tc>
        <w:tc>
          <w:tcPr>
            <w:tcW w:w="375" w:type="pct"/>
          </w:tcPr>
          <w:p w14:paraId="0478A172" w14:textId="77777777" w:rsidR="00AD7194" w:rsidRPr="002646F6" w:rsidRDefault="00AD7194">
            <w:pPr>
              <w:pStyle w:val="Tablebody"/>
              <w:rPr>
                <w:lang w:val="pl-PL"/>
              </w:rPr>
            </w:pPr>
            <w:r w:rsidRPr="002646F6">
              <w:rPr>
                <w:lang w:val="pl-PL"/>
              </w:rPr>
              <w:t>2020</w:t>
            </w:r>
          </w:p>
        </w:tc>
        <w:tc>
          <w:tcPr>
            <w:tcW w:w="943" w:type="pct"/>
          </w:tcPr>
          <w:p w14:paraId="22D64D3C" w14:textId="77777777" w:rsidR="00AD7194" w:rsidRPr="002646F6" w:rsidRDefault="00AD7194">
            <w:pPr>
              <w:pStyle w:val="Tablebody"/>
              <w:rPr>
                <w:lang w:val="pl-PL"/>
              </w:rPr>
            </w:pPr>
            <w:r w:rsidRPr="002646F6">
              <w:rPr>
                <w:lang w:val="pl-PL"/>
              </w:rPr>
              <w:t>Pembrolizumab + chemotherapy</w:t>
            </w:r>
          </w:p>
        </w:tc>
        <w:tc>
          <w:tcPr>
            <w:tcW w:w="323" w:type="pct"/>
          </w:tcPr>
          <w:p w14:paraId="125DC0D4" w14:textId="77777777" w:rsidR="00AD7194" w:rsidRPr="002646F6" w:rsidRDefault="00AD7194">
            <w:pPr>
              <w:pStyle w:val="Tablebody"/>
              <w:jc w:val="center"/>
              <w:rPr>
                <w:lang w:val="pl-PL"/>
              </w:rPr>
            </w:pPr>
            <w:r w:rsidRPr="002646F6">
              <w:rPr>
                <w:lang w:val="pl-PL"/>
              </w:rPr>
              <w:t>1</w:t>
            </w:r>
          </w:p>
        </w:tc>
        <w:tc>
          <w:tcPr>
            <w:tcW w:w="2950" w:type="pct"/>
          </w:tcPr>
          <w:p w14:paraId="31BB4A2D" w14:textId="77777777" w:rsidR="00AD7194" w:rsidRPr="003C648C" w:rsidRDefault="00AD7194">
            <w:pPr>
              <w:pStyle w:val="Tablebody"/>
            </w:pPr>
            <w:r w:rsidRPr="003C648C">
              <w:t xml:space="preserve">Pembrolizumab plus chemotherapy for untreated, triple-negative, locally recurrent unresectable or metastatic breast cancer </w:t>
            </w:r>
          </w:p>
        </w:tc>
      </w:tr>
      <w:tr w:rsidR="00A14AD7" w:rsidRPr="00A43593" w14:paraId="190E9FC9" w14:textId="77777777" w:rsidTr="00B94E6B">
        <w:tc>
          <w:tcPr>
            <w:tcW w:w="5000" w:type="pct"/>
            <w:gridSpan w:val="5"/>
            <w:shd w:val="clear" w:color="auto" w:fill="EDEDED" w:themeFill="accent3" w:themeFillTint="33"/>
          </w:tcPr>
          <w:p w14:paraId="7D614E88" w14:textId="11B4AE30" w:rsidR="00546DCA" w:rsidRPr="002646F6" w:rsidRDefault="009B4345">
            <w:pPr>
              <w:pStyle w:val="Tablebody"/>
              <w:rPr>
                <w:lang w:val="pl-PL"/>
              </w:rPr>
            </w:pPr>
            <w:r w:rsidRPr="002646F6">
              <w:rPr>
                <w:b/>
                <w:lang w:val="pl-PL"/>
              </w:rPr>
              <w:t>Second line</w:t>
            </w:r>
          </w:p>
        </w:tc>
      </w:tr>
      <w:tr w:rsidR="00D278BC" w:rsidRPr="00A43593" w14:paraId="727EAAA5" w14:textId="77777777" w:rsidTr="00B94E6B">
        <w:tc>
          <w:tcPr>
            <w:tcW w:w="409" w:type="pct"/>
          </w:tcPr>
          <w:p w14:paraId="3DD3B36C" w14:textId="2192CC1E" w:rsidR="00546DCA" w:rsidRPr="002646F6" w:rsidRDefault="00546DCA">
            <w:pPr>
              <w:pStyle w:val="Tablebody"/>
              <w:keepNext/>
              <w:rPr>
                <w:lang w:val="pl-PL"/>
              </w:rPr>
            </w:pPr>
            <w:r w:rsidRPr="002646F6">
              <w:rPr>
                <w:lang w:val="pl-PL"/>
              </w:rPr>
              <w:t>819</w:t>
            </w:r>
          </w:p>
        </w:tc>
        <w:tc>
          <w:tcPr>
            <w:tcW w:w="375" w:type="pct"/>
          </w:tcPr>
          <w:p w14:paraId="7D970967" w14:textId="63503EDC" w:rsidR="00546DCA" w:rsidRPr="002646F6" w:rsidRDefault="00546DCA">
            <w:pPr>
              <w:pStyle w:val="Tablebody"/>
              <w:rPr>
                <w:lang w:val="pl-PL"/>
              </w:rPr>
            </w:pPr>
            <w:r w:rsidRPr="002646F6">
              <w:rPr>
                <w:lang w:val="pl-PL"/>
              </w:rPr>
              <w:t>2022</w:t>
            </w:r>
          </w:p>
        </w:tc>
        <w:tc>
          <w:tcPr>
            <w:tcW w:w="943" w:type="pct"/>
          </w:tcPr>
          <w:p w14:paraId="2650A616" w14:textId="0B83B819" w:rsidR="00546DCA" w:rsidRPr="002646F6" w:rsidRDefault="00546DCA">
            <w:pPr>
              <w:pStyle w:val="Tablebody"/>
              <w:rPr>
                <w:lang w:val="pl-PL"/>
              </w:rPr>
            </w:pPr>
            <w:r w:rsidRPr="002646F6">
              <w:rPr>
                <w:lang w:val="pl-PL"/>
              </w:rPr>
              <w:t>Sacituzumab govitecan</w:t>
            </w:r>
          </w:p>
        </w:tc>
        <w:tc>
          <w:tcPr>
            <w:tcW w:w="323" w:type="pct"/>
          </w:tcPr>
          <w:p w14:paraId="7F006298" w14:textId="7CFF8E60" w:rsidR="00546DCA" w:rsidRPr="002646F6" w:rsidRDefault="00546DCA">
            <w:pPr>
              <w:pStyle w:val="Tablebody"/>
              <w:jc w:val="center"/>
              <w:rPr>
                <w:lang w:val="pl-PL"/>
              </w:rPr>
            </w:pPr>
            <w:r w:rsidRPr="002646F6">
              <w:rPr>
                <w:rFonts w:cs="Arial"/>
                <w:lang w:val="pl-PL"/>
              </w:rPr>
              <w:t>≥</w:t>
            </w:r>
            <w:r w:rsidRPr="002646F6">
              <w:rPr>
                <w:lang w:val="pl-PL"/>
              </w:rPr>
              <w:t>2</w:t>
            </w:r>
            <w:r w:rsidR="00F906CF">
              <w:rPr>
                <w:lang w:val="pl-PL"/>
              </w:rPr>
              <w:t>*</w:t>
            </w:r>
          </w:p>
        </w:tc>
        <w:tc>
          <w:tcPr>
            <w:tcW w:w="2950" w:type="pct"/>
          </w:tcPr>
          <w:p w14:paraId="4CD361CC" w14:textId="57FB1B43" w:rsidR="00546DCA" w:rsidRPr="003C648C" w:rsidRDefault="00546DCA">
            <w:pPr>
              <w:pStyle w:val="Tablebody"/>
            </w:pPr>
            <w:r w:rsidRPr="003C648C">
              <w:t xml:space="preserve">Sacituzumab govitecan for treating unresectable </w:t>
            </w:r>
            <w:r w:rsidR="009B4345" w:rsidRPr="003C648C">
              <w:t>triple-negative advanced BC after 2 or more therapies</w:t>
            </w:r>
          </w:p>
        </w:tc>
      </w:tr>
      <w:tr w:rsidR="00A14AD7" w:rsidRPr="00A43593" w14:paraId="5ACEF31D" w14:textId="77777777">
        <w:tc>
          <w:tcPr>
            <w:tcW w:w="5000" w:type="pct"/>
            <w:gridSpan w:val="5"/>
            <w:shd w:val="clear" w:color="auto" w:fill="F2F2F2" w:themeFill="background1" w:themeFillShade="F2"/>
          </w:tcPr>
          <w:p w14:paraId="60E56134" w14:textId="77777777" w:rsidR="00AD7194" w:rsidRPr="002646F6" w:rsidRDefault="00AD7194">
            <w:pPr>
              <w:pStyle w:val="Tablebody"/>
              <w:keepNext/>
              <w:rPr>
                <w:b/>
                <w:lang w:val="pl-PL"/>
              </w:rPr>
            </w:pPr>
            <w:r w:rsidRPr="002646F6">
              <w:rPr>
                <w:b/>
                <w:lang w:val="pl-PL"/>
              </w:rPr>
              <w:t>Third line</w:t>
            </w:r>
          </w:p>
        </w:tc>
      </w:tr>
      <w:tr w:rsidR="00262319" w:rsidRPr="00A43593" w14:paraId="7B461CE7" w14:textId="77777777" w:rsidTr="00B94E6B">
        <w:tc>
          <w:tcPr>
            <w:tcW w:w="409" w:type="pct"/>
          </w:tcPr>
          <w:p w14:paraId="5051769A" w14:textId="77777777" w:rsidR="00AD7194" w:rsidRPr="002646F6" w:rsidRDefault="00AD7194">
            <w:pPr>
              <w:pStyle w:val="Tablebody"/>
              <w:rPr>
                <w:lang w:val="pl-PL"/>
              </w:rPr>
            </w:pPr>
            <w:r w:rsidRPr="002646F6">
              <w:rPr>
                <w:lang w:val="pl-PL"/>
              </w:rPr>
              <w:t>423</w:t>
            </w:r>
          </w:p>
          <w:p w14:paraId="603FCE55" w14:textId="77777777" w:rsidR="00AD7194" w:rsidRPr="002646F6" w:rsidRDefault="00AD7194">
            <w:pPr>
              <w:pStyle w:val="Tablebody"/>
              <w:rPr>
                <w:lang w:val="pl-PL"/>
              </w:rPr>
            </w:pPr>
          </w:p>
        </w:tc>
        <w:tc>
          <w:tcPr>
            <w:tcW w:w="375" w:type="pct"/>
          </w:tcPr>
          <w:p w14:paraId="0ADB6B4C" w14:textId="77777777" w:rsidR="00AD7194" w:rsidRPr="002646F6" w:rsidRDefault="00AD7194">
            <w:pPr>
              <w:pStyle w:val="Tablebody"/>
              <w:rPr>
                <w:lang w:val="pl-PL"/>
              </w:rPr>
            </w:pPr>
            <w:r w:rsidRPr="002646F6">
              <w:rPr>
                <w:lang w:val="pl-PL"/>
              </w:rPr>
              <w:t>2016</w:t>
            </w:r>
          </w:p>
        </w:tc>
        <w:tc>
          <w:tcPr>
            <w:tcW w:w="943" w:type="pct"/>
          </w:tcPr>
          <w:p w14:paraId="1EB002FA" w14:textId="77777777" w:rsidR="00AD7194" w:rsidRPr="002646F6" w:rsidRDefault="00AD7194">
            <w:pPr>
              <w:pStyle w:val="Tablebody"/>
              <w:rPr>
                <w:lang w:val="pl-PL"/>
              </w:rPr>
            </w:pPr>
            <w:r w:rsidRPr="002646F6">
              <w:rPr>
                <w:lang w:val="pl-PL"/>
              </w:rPr>
              <w:t>Eribulin</w:t>
            </w:r>
          </w:p>
        </w:tc>
        <w:tc>
          <w:tcPr>
            <w:tcW w:w="323" w:type="pct"/>
          </w:tcPr>
          <w:p w14:paraId="616EE56B" w14:textId="77777777" w:rsidR="00AD7194" w:rsidRPr="002646F6" w:rsidRDefault="00AD7194">
            <w:pPr>
              <w:pStyle w:val="Tablebody"/>
              <w:jc w:val="center"/>
              <w:rPr>
                <w:lang w:val="pl-PL"/>
              </w:rPr>
            </w:pPr>
            <w:r w:rsidRPr="002646F6">
              <w:rPr>
                <w:lang w:val="pl-PL"/>
              </w:rPr>
              <w:t>≥3</w:t>
            </w:r>
          </w:p>
        </w:tc>
        <w:tc>
          <w:tcPr>
            <w:tcW w:w="2950" w:type="pct"/>
          </w:tcPr>
          <w:p w14:paraId="76642757" w14:textId="77777777" w:rsidR="00AD7194" w:rsidRPr="003C648C" w:rsidRDefault="00AD7194">
            <w:pPr>
              <w:pStyle w:val="Tablebody"/>
            </w:pPr>
            <w:r w:rsidRPr="003C648C">
              <w:t>Eribulin for treating locally advanced or metastatic BC after 2 or more chemotherapy regimens</w:t>
            </w:r>
          </w:p>
        </w:tc>
      </w:tr>
    </w:tbl>
    <w:p w14:paraId="2EEFEE60" w14:textId="1544893D" w:rsidR="00B94E6B" w:rsidRPr="00827BA3" w:rsidRDefault="00B94E6B" w:rsidP="00B94E6B">
      <w:pPr>
        <w:pStyle w:val="In-textheading"/>
        <w:keepNext w:val="0"/>
        <w:spacing w:after="0"/>
        <w:rPr>
          <w:i w:val="0"/>
          <w:sz w:val="18"/>
          <w:szCs w:val="18"/>
        </w:rPr>
      </w:pPr>
      <w:r>
        <w:rPr>
          <w:i w:val="0"/>
          <w:sz w:val="18"/>
          <w:szCs w:val="18"/>
        </w:rPr>
        <w:t xml:space="preserve">*In patients </w:t>
      </w:r>
      <w:r w:rsidRPr="00827BA3">
        <w:rPr>
          <w:i w:val="0"/>
          <w:sz w:val="18"/>
          <w:szCs w:val="18"/>
        </w:rPr>
        <w:t xml:space="preserve">who have progressed following </w:t>
      </w:r>
      <w:r w:rsidR="001446DE">
        <w:rPr>
          <w:i w:val="0"/>
          <w:sz w:val="18"/>
          <w:szCs w:val="18"/>
        </w:rPr>
        <w:t>adjuvant or</w:t>
      </w:r>
      <w:r w:rsidRPr="00827BA3">
        <w:rPr>
          <w:i w:val="0"/>
          <w:sz w:val="18"/>
          <w:szCs w:val="18"/>
        </w:rPr>
        <w:t xml:space="preserve"> (neo)adjuvant chemotherapy, </w:t>
      </w:r>
      <w:r w:rsidR="00B30B88" w:rsidRPr="00827BA3">
        <w:rPr>
          <w:i w:val="0"/>
          <w:sz w:val="18"/>
          <w:szCs w:val="18"/>
        </w:rPr>
        <w:t>SG</w:t>
      </w:r>
      <w:r w:rsidRPr="00827BA3">
        <w:rPr>
          <w:i w:val="0"/>
          <w:sz w:val="18"/>
          <w:szCs w:val="18"/>
        </w:rPr>
        <w:t xml:space="preserve"> can be used at second-line.</w:t>
      </w:r>
      <w:r w:rsidRPr="00827BA3">
        <w:rPr>
          <w:i w:val="0"/>
          <w:sz w:val="18"/>
          <w:szCs w:val="18"/>
        </w:rPr>
        <w:fldChar w:fldCharType="begin"/>
      </w:r>
      <w:r w:rsidR="00CA6345">
        <w:rPr>
          <w:i w:val="0"/>
          <w:sz w:val="18"/>
          <w:szCs w:val="18"/>
        </w:rPr>
        <w:instrText xml:space="preserve"> ADDIN ZOTERO_ITEM CSL_CITATION {"citationID":"wTRa40cV","properties":{"formattedCitation":"\\super 132\\nosupersub{}","plainCitation":"132","noteIndex":0},"citationItems":[{"id":65875,"uris":["http://zotero.org/groups/4797619/items/IP9MEGL9"],"itemData":{"id":65875,"type":"webpage","abstract":"Evidence-based recommendations on sacituzumab govetican (Trodelvy) for treating unresectable, triple-negative locally advanced or metastatic breast cancer in adults after 2 or more systemic therapies, at least 1 of which was for advanced disease","language":"eng","note":"publisher: NICE","title":"Sacituzumab govitecan for treating unresectable triple-negative advanced breast cancer after 2 or more therapies | NICE [TA819]","URL":"https://www.nice.org.uk/guidance/ta819","author":[{"family":"NICE","given":""}],"accessed":{"date-parts":[["2022",10,17]]}}}],"schema":"https://github.com/citation-style-language/schema/raw/master/csl-citation.json"} </w:instrText>
      </w:r>
      <w:r w:rsidRPr="00827BA3">
        <w:rPr>
          <w:i w:val="0"/>
          <w:sz w:val="18"/>
          <w:szCs w:val="18"/>
        </w:rPr>
        <w:fldChar w:fldCharType="separate"/>
      </w:r>
      <w:r w:rsidR="00CA6345" w:rsidRPr="00CA6345">
        <w:rPr>
          <w:rFonts w:cs="Arial"/>
          <w:sz w:val="18"/>
          <w:szCs w:val="24"/>
          <w:vertAlign w:val="superscript"/>
        </w:rPr>
        <w:t>132</w:t>
      </w:r>
      <w:r w:rsidRPr="00827BA3">
        <w:rPr>
          <w:i w:val="0"/>
          <w:sz w:val="18"/>
          <w:szCs w:val="18"/>
        </w:rPr>
        <w:fldChar w:fldCharType="end"/>
      </w:r>
    </w:p>
    <w:p w14:paraId="75F4CC3A" w14:textId="5AA78B74" w:rsidR="00AD7194" w:rsidRPr="00827BA3" w:rsidRDefault="00AD7194" w:rsidP="00AD7194">
      <w:pPr>
        <w:pStyle w:val="In-textheading"/>
        <w:keepNext w:val="0"/>
        <w:rPr>
          <w:i w:val="0"/>
          <w:sz w:val="18"/>
          <w:szCs w:val="18"/>
        </w:rPr>
      </w:pPr>
      <w:r w:rsidRPr="00827BA3">
        <w:rPr>
          <w:i w:val="0"/>
          <w:sz w:val="18"/>
          <w:szCs w:val="18"/>
        </w:rPr>
        <w:t xml:space="preserve">Abbreviations: </w:t>
      </w:r>
      <w:r w:rsidR="00361E5E" w:rsidRPr="00827BA3">
        <w:rPr>
          <w:i w:val="0"/>
          <w:sz w:val="18"/>
          <w:szCs w:val="18"/>
        </w:rPr>
        <w:t>BC, breast cancer;</w:t>
      </w:r>
      <w:r w:rsidRPr="00827BA3">
        <w:rPr>
          <w:i w:val="0"/>
          <w:sz w:val="18"/>
          <w:szCs w:val="18"/>
        </w:rPr>
        <w:t xml:space="preserve"> LoT, line of therapy; NA, not applicable; </w:t>
      </w:r>
      <w:r w:rsidR="00195EB0" w:rsidRPr="00827BA3">
        <w:rPr>
          <w:i w:val="0"/>
          <w:sz w:val="18"/>
          <w:szCs w:val="18"/>
        </w:rPr>
        <w:t>PD-L1</w:t>
      </w:r>
      <w:r w:rsidR="00380F25" w:rsidRPr="00827BA3">
        <w:rPr>
          <w:i w:val="0"/>
          <w:sz w:val="18"/>
          <w:szCs w:val="18"/>
        </w:rPr>
        <w:t xml:space="preserve">, programmed cell death ligand 1; </w:t>
      </w:r>
      <w:r w:rsidR="00C61067" w:rsidRPr="00827BA3">
        <w:rPr>
          <w:i w:val="0"/>
          <w:sz w:val="18"/>
          <w:szCs w:val="18"/>
        </w:rPr>
        <w:t>TA, technology appraisal</w:t>
      </w:r>
      <w:r w:rsidR="00BC5883" w:rsidRPr="00827BA3">
        <w:rPr>
          <w:i w:val="0"/>
          <w:sz w:val="18"/>
          <w:szCs w:val="18"/>
        </w:rPr>
        <w:t>; TNBC, triple-negative breast cancer</w:t>
      </w:r>
      <w:r w:rsidR="00F906CF" w:rsidRPr="00827BA3">
        <w:rPr>
          <w:i w:val="0"/>
          <w:sz w:val="18"/>
          <w:szCs w:val="18"/>
        </w:rPr>
        <w:br/>
      </w:r>
      <w:r w:rsidRPr="00827BA3">
        <w:rPr>
          <w:i w:val="0"/>
          <w:sz w:val="18"/>
          <w:szCs w:val="18"/>
        </w:rPr>
        <w:t>Sources: NICE, 2007 (TA116);</w:t>
      </w:r>
      <w:r w:rsidRPr="00827BA3">
        <w:rPr>
          <w:i w:val="0"/>
          <w:sz w:val="18"/>
          <w:szCs w:val="18"/>
        </w:rPr>
        <w:fldChar w:fldCharType="begin"/>
      </w:r>
      <w:r w:rsidR="00CA6345">
        <w:rPr>
          <w:i w:val="0"/>
          <w:sz w:val="18"/>
          <w:szCs w:val="18"/>
        </w:rPr>
        <w:instrText xml:space="preserve"> ADDIN ZOTERO_ITEM CSL_CITATION {"citationID":"tobCxXyn","properties":{"formattedCitation":"\\super 122\\nosupersub{}","plainCitation":"122","noteIndex":0},"citationItems":[{"id":65876,"uris":["http://zotero.org/groups/4797619/items/6S5RPIVP"],"itemData":{"id":65876,"type":"webpage","abstract":"Evidence-based recommendations on gemcitabine for treating metastatic breast cancer in adults","language":"eng","note":"publisher: NICE","title":"Gemcitabine for the treatment of metastatic breast cancer | NICE [TA116]","URL":"https://www.nice.org.uk/guidance/ta116","author":[{"family":"NICE","given":""}],"accessed":{"date-parts":[["2022",10,17]]}}}],"schema":"https://github.com/citation-style-language/schema/raw/master/csl-citation.json"} </w:instrText>
      </w:r>
      <w:r w:rsidRPr="00827BA3">
        <w:rPr>
          <w:i w:val="0"/>
          <w:sz w:val="18"/>
          <w:szCs w:val="18"/>
        </w:rPr>
        <w:fldChar w:fldCharType="separate"/>
      </w:r>
      <w:r w:rsidR="00CA6345" w:rsidRPr="00CA6345">
        <w:rPr>
          <w:rFonts w:cs="Arial"/>
          <w:sz w:val="18"/>
          <w:szCs w:val="24"/>
          <w:vertAlign w:val="superscript"/>
        </w:rPr>
        <w:t>122</w:t>
      </w:r>
      <w:r w:rsidRPr="00827BA3">
        <w:rPr>
          <w:i w:val="0"/>
          <w:sz w:val="18"/>
          <w:szCs w:val="18"/>
        </w:rPr>
        <w:fldChar w:fldCharType="end"/>
      </w:r>
      <w:r w:rsidRPr="00827BA3">
        <w:rPr>
          <w:i w:val="0"/>
          <w:sz w:val="18"/>
          <w:szCs w:val="18"/>
        </w:rPr>
        <w:t xml:space="preserve"> NICE, 2020 (TA639);</w:t>
      </w:r>
      <w:r w:rsidRPr="00827BA3">
        <w:rPr>
          <w:i w:val="0"/>
          <w:sz w:val="18"/>
          <w:szCs w:val="18"/>
        </w:rPr>
        <w:fldChar w:fldCharType="begin"/>
      </w:r>
      <w:r w:rsidR="00CA6345">
        <w:rPr>
          <w:i w:val="0"/>
          <w:sz w:val="18"/>
          <w:szCs w:val="18"/>
        </w:rPr>
        <w:instrText xml:space="preserve"> ADDIN ZOTERO_ITEM CSL_CITATION {"citationID":"XjZswm3V","properties":{"formattedCitation":"\\super 133\\nosupersub{}","plainCitation":"133","noteIndex":0},"citationItems":[{"id":65868,"uris":["http://zotero.org/groups/4797619/items/ZFPZ4PBW"],"itemData":{"id":65868,"type":"webpage","abstract":"Evidence-based recommendations on atezolizumab (Tecentriq) with nab</w:instrText>
      </w:r>
      <w:r w:rsidR="00CA6345">
        <w:rPr>
          <w:rFonts w:ascii="Cambria Math" w:hAnsi="Cambria Math" w:cs="Cambria Math"/>
          <w:i w:val="0"/>
          <w:sz w:val="18"/>
          <w:szCs w:val="18"/>
        </w:rPr>
        <w:instrText>‑</w:instrText>
      </w:r>
      <w:r w:rsidR="00CA6345">
        <w:rPr>
          <w:i w:val="0"/>
          <w:sz w:val="18"/>
          <w:szCs w:val="18"/>
        </w:rPr>
        <w:instrText>paclitaxel for triple-negative, unresectable, PD</w:instrText>
      </w:r>
      <w:r w:rsidR="00CA6345">
        <w:rPr>
          <w:rFonts w:ascii="Cambria Math" w:hAnsi="Cambria Math" w:cs="Cambria Math"/>
          <w:i w:val="0"/>
          <w:sz w:val="18"/>
          <w:szCs w:val="18"/>
        </w:rPr>
        <w:instrText>‑</w:instrText>
      </w:r>
      <w:r w:rsidR="00CA6345">
        <w:rPr>
          <w:i w:val="0"/>
          <w:sz w:val="18"/>
          <w:szCs w:val="18"/>
        </w:rPr>
        <w:instrText>L1</w:instrText>
      </w:r>
      <w:r w:rsidR="00CA6345">
        <w:rPr>
          <w:rFonts w:ascii="Cambria Math" w:hAnsi="Cambria Math" w:cs="Cambria Math"/>
          <w:i w:val="0"/>
          <w:sz w:val="18"/>
          <w:szCs w:val="18"/>
        </w:rPr>
        <w:instrText>‑</w:instrText>
      </w:r>
      <w:r w:rsidR="00CA6345">
        <w:rPr>
          <w:i w:val="0"/>
          <w:sz w:val="18"/>
          <w:szCs w:val="18"/>
        </w:rPr>
        <w:instrText xml:space="preserve">positive, locally advanced or metastatic","language":"eng","note":"publisher: NICE","title":"Atezolizumab with nab-paclitaxel for untreated PD-L1-positive, locally advanced or metastatic, triple-negative breast cancer | NICE [TA639]","URL":"https://www.nice.org.uk/guidance/ta639","author":[{"family":"NICE","given":""}],"accessed":{"date-parts":[["2022",10,24]]}}}],"schema":"https://github.com/citation-style-language/schema/raw/master/csl-citation.json"} </w:instrText>
      </w:r>
      <w:r w:rsidRPr="00827BA3">
        <w:rPr>
          <w:i w:val="0"/>
          <w:sz w:val="18"/>
          <w:szCs w:val="18"/>
        </w:rPr>
        <w:fldChar w:fldCharType="separate"/>
      </w:r>
      <w:r w:rsidR="00CA6345" w:rsidRPr="00CA6345">
        <w:rPr>
          <w:rFonts w:cs="Arial"/>
          <w:sz w:val="18"/>
          <w:szCs w:val="24"/>
          <w:vertAlign w:val="superscript"/>
        </w:rPr>
        <w:t>133</w:t>
      </w:r>
      <w:r w:rsidRPr="00827BA3">
        <w:rPr>
          <w:i w:val="0"/>
          <w:sz w:val="18"/>
          <w:szCs w:val="18"/>
        </w:rPr>
        <w:fldChar w:fldCharType="end"/>
      </w:r>
      <w:r w:rsidRPr="00827BA3">
        <w:rPr>
          <w:i w:val="0"/>
          <w:sz w:val="18"/>
          <w:szCs w:val="18"/>
        </w:rPr>
        <w:t xml:space="preserve"> NICE, 2020 (TA801);</w:t>
      </w:r>
      <w:r w:rsidRPr="00827BA3">
        <w:rPr>
          <w:i w:val="0"/>
          <w:sz w:val="18"/>
          <w:szCs w:val="18"/>
        </w:rPr>
        <w:fldChar w:fldCharType="begin"/>
      </w:r>
      <w:r w:rsidR="00CA6345">
        <w:rPr>
          <w:i w:val="0"/>
          <w:sz w:val="18"/>
          <w:szCs w:val="18"/>
        </w:rPr>
        <w:instrText xml:space="preserve"> ADDIN ZOTERO_ITEM CSL_CITATION {"citationID":"lx3ihKQu","properties":{"formattedCitation":"\\super 118\\nosupersub{}","plainCitation":"118","dontUpdate":true,"noteIndex":0},"citationItems":[{"id":65882,"uris":["http://zotero.org/groups/4797619/items/ZAC8J6T9"],"itemData":{"id":65882,"type":"webpage","abstract":"Evidence-based recommendations on pembrolizumab (Keytruda) with paclitaxel or nab</w:instrText>
      </w:r>
      <w:r w:rsidR="00CA6345">
        <w:rPr>
          <w:rFonts w:ascii="Cambria Math" w:hAnsi="Cambria Math" w:cs="Cambria Math"/>
          <w:i w:val="0"/>
          <w:sz w:val="18"/>
          <w:szCs w:val="18"/>
        </w:rPr>
        <w:instrText>‑</w:instrText>
      </w:r>
      <w:r w:rsidR="00CA6345">
        <w:rPr>
          <w:i w:val="0"/>
          <w:sz w:val="18"/>
          <w:szCs w:val="18"/>
        </w:rPr>
        <w:instrText xml:space="preserve">paclitaxel for triple-negative, locally recurrent unresectable or metastatic breast cancer in adults who have not had chemotherapy for metastatic disease","language":"eng","note":"publisher: NICE","title":"Pembrolizumab plus chemotherapy for untreated, triple-negative, locally recurrent unresectable or metastatic breast cancer | NICE [TA801]","URL":"https://www.nice.org.uk/guidance/ta801","author":[{"family":"NICE","given":""}],"accessed":{"date-parts":[["2022",10,24]]}}}],"schema":"https://github.com/citation-style-language/schema/raw/master/csl-citation.json"} </w:instrText>
      </w:r>
      <w:r w:rsidRPr="00827BA3">
        <w:rPr>
          <w:i w:val="0"/>
          <w:sz w:val="18"/>
          <w:szCs w:val="18"/>
        </w:rPr>
        <w:fldChar w:fldCharType="separate"/>
      </w:r>
      <w:r w:rsidRPr="00827BA3">
        <w:rPr>
          <w:i w:val="0"/>
          <w:sz w:val="18"/>
          <w:szCs w:val="18"/>
        </w:rPr>
        <w:fldChar w:fldCharType="end"/>
      </w:r>
      <w:r w:rsidRPr="00827BA3">
        <w:rPr>
          <w:i w:val="0"/>
          <w:sz w:val="18"/>
          <w:szCs w:val="18"/>
        </w:rPr>
        <w:t xml:space="preserve"> NICE, 2016 (TA423);</w:t>
      </w:r>
      <w:r w:rsidRPr="00827BA3">
        <w:rPr>
          <w:i w:val="0"/>
          <w:sz w:val="18"/>
          <w:szCs w:val="18"/>
        </w:rPr>
        <w:fldChar w:fldCharType="begin"/>
      </w:r>
      <w:r w:rsidR="00CA6345">
        <w:rPr>
          <w:i w:val="0"/>
          <w:sz w:val="18"/>
          <w:szCs w:val="18"/>
        </w:rPr>
        <w:instrText xml:space="preserve"> ADDIN ZOTERO_ITEM CSL_CITATION {"citationID":"JH2RekQL","properties":{"formattedCitation":"\\super 131\\nosupersub{}","plainCitation":"131","noteIndex":0},"citationItems":[{"id":65884,"uris":["http://zotero.org/groups/4797619/items/GKXW7XYV"],"itemData":{"id":65884,"type":"webpage","abstract":"Evidence-based recommendations on eribulin (Halaven) for treating locally advanced or metastatic breast cancer after 2 or more types of chemotherapy","language":"eng","note":"publisher: NICE","title":"Eribulin for treating locally advanced or metastatic breast cancer after 2 or more chemotherapy regimens | NICE [TA423]","URL":"https://www.nice.org.uk/guidance/ta423","author":[{"family":"NICE","given":""}],"accessed":{"date-parts":[["2022",10,17]]}}}],"schema":"https://github.com/citation-style-language/schema/raw/master/csl-citation.json"} </w:instrText>
      </w:r>
      <w:r w:rsidRPr="00827BA3">
        <w:rPr>
          <w:i w:val="0"/>
          <w:sz w:val="18"/>
          <w:szCs w:val="18"/>
        </w:rPr>
        <w:fldChar w:fldCharType="separate"/>
      </w:r>
      <w:r w:rsidR="00CA6345" w:rsidRPr="00CA6345">
        <w:rPr>
          <w:rFonts w:cs="Arial"/>
          <w:sz w:val="18"/>
          <w:szCs w:val="24"/>
          <w:vertAlign w:val="superscript"/>
        </w:rPr>
        <w:t>131</w:t>
      </w:r>
      <w:r w:rsidRPr="00827BA3">
        <w:rPr>
          <w:i w:val="0"/>
          <w:sz w:val="18"/>
          <w:szCs w:val="18"/>
        </w:rPr>
        <w:fldChar w:fldCharType="end"/>
      </w:r>
      <w:r w:rsidRPr="00827BA3">
        <w:rPr>
          <w:i w:val="0"/>
          <w:sz w:val="18"/>
          <w:szCs w:val="18"/>
        </w:rPr>
        <w:t xml:space="preserve"> NICE, 2022 (TA819)</w:t>
      </w:r>
      <w:r w:rsidRPr="00827BA3">
        <w:rPr>
          <w:i w:val="0"/>
          <w:sz w:val="18"/>
          <w:szCs w:val="18"/>
        </w:rPr>
        <w:fldChar w:fldCharType="begin"/>
      </w:r>
      <w:r w:rsidR="00CA6345">
        <w:rPr>
          <w:i w:val="0"/>
          <w:sz w:val="18"/>
          <w:szCs w:val="18"/>
        </w:rPr>
        <w:instrText xml:space="preserve"> ADDIN ZOTERO_ITEM CSL_CITATION {"citationID":"o2px0CdJ","properties":{"formattedCitation":"\\super 132\\nosupersub{}","plainCitation":"132","noteIndex":0},"citationItems":[{"id":65875,"uris":["http://zotero.org/groups/4797619/items/IP9MEGL9"],"itemData":{"id":65875,"type":"webpage","abstract":"Evidence-based recommendations on sacituzumab govetican (Trodelvy) for treating unresectable, triple-negative locally advanced or metastatic breast cancer in adults after 2 or more systemic therapies, at least 1 of which was for advanced disease","language":"eng","note":"publisher: NICE","title":"Sacituzumab govitecan for treating unresectable triple-negative advanced breast cancer after 2 or more therapies | NICE [TA819]","URL":"https://www.nice.org.uk/guidance/ta819","author":[{"family":"NICE","given":""}],"accessed":{"date-parts":[["2022",10,17]]}}}],"schema":"https://github.com/citation-style-language/schema/raw/master/csl-citation.json"} </w:instrText>
      </w:r>
      <w:r w:rsidRPr="00827BA3">
        <w:rPr>
          <w:i w:val="0"/>
          <w:sz w:val="18"/>
          <w:szCs w:val="18"/>
        </w:rPr>
        <w:fldChar w:fldCharType="separate"/>
      </w:r>
      <w:r w:rsidR="00CA6345" w:rsidRPr="00CA6345">
        <w:rPr>
          <w:rFonts w:cs="Arial"/>
          <w:sz w:val="18"/>
          <w:szCs w:val="24"/>
          <w:vertAlign w:val="superscript"/>
        </w:rPr>
        <w:t>132</w:t>
      </w:r>
      <w:r w:rsidRPr="00827BA3">
        <w:rPr>
          <w:i w:val="0"/>
          <w:sz w:val="18"/>
          <w:szCs w:val="18"/>
        </w:rPr>
        <w:fldChar w:fldCharType="end"/>
      </w:r>
    </w:p>
    <w:bookmarkEnd w:id="82"/>
    <w:p w14:paraId="5C310B47" w14:textId="77777777" w:rsidR="00DF5A4E" w:rsidRPr="002646F6" w:rsidRDefault="00DF5A4E" w:rsidP="00DF5A4E">
      <w:pPr>
        <w:pStyle w:val="Heading5"/>
        <w:ind w:left="1276" w:hanging="1276"/>
      </w:pPr>
      <w:r w:rsidRPr="002646F6">
        <w:rPr>
          <w:iCs/>
        </w:rPr>
        <w:t xml:space="preserve">NICE Clinical Guideline 81 </w:t>
      </w:r>
    </w:p>
    <w:p w14:paraId="7A4AC023" w14:textId="5B660A48" w:rsidR="006975FA" w:rsidRPr="002646F6" w:rsidRDefault="00DF5A4E" w:rsidP="00DF5A4E">
      <w:pPr>
        <w:pStyle w:val="Body"/>
      </w:pPr>
      <w:r w:rsidRPr="002646F6">
        <w:t>Recommendations for the management of advanced BC (including HER2-negative) are included in NICE Clinical Guideline 81 (CG81), which was first published in 2009 and last updated in 2017.</w:t>
      </w:r>
      <w:r w:rsidRPr="002646F6">
        <w:fldChar w:fldCharType="begin"/>
      </w:r>
      <w:r w:rsidR="00CA6345">
        <w:instrText xml:space="preserve"> ADDIN ZOTERO_ITEM CSL_CITATION {"citationID":"0W6TxicA","properties":{"formattedCitation":"\\super 35\\nosupersub{}","plainCitation":"35","noteIndex":0},"citationItems":[{"id":65866,"uris":["http://zotero.org/groups/4797619/items/3AESVSNK"],"itemData":{"id":65866,"type":"webpage","abstract":"This guideline covers care and support for people with advanced (stage 4) breast cancer. It aims to help them and their healthcare professionals make shared","language":"eng","note":"publisher: NICE","title":"Advanced breast cancer: diagnosis and treatment | NICE CG81","title-short":"NICE CG81. Recommendations | Advanced breast cancer","URL":"https://www.nice.org.uk/guidance/cg81/chapter/Recommendations","author":[{"family":"NICE","given":""}],"accessed":{"date-parts":[["2022",10,17]]},"issued":{"date-parts":[["2017"]]}}}],"schema":"https://github.com/citation-style-language/schema/raw/master/csl-citation.json"} </w:instrText>
      </w:r>
      <w:r w:rsidRPr="002646F6">
        <w:fldChar w:fldCharType="separate"/>
      </w:r>
      <w:r w:rsidR="00FD57F4" w:rsidRPr="00FD57F4">
        <w:rPr>
          <w:rFonts w:cs="Arial"/>
          <w:szCs w:val="24"/>
          <w:vertAlign w:val="superscript"/>
        </w:rPr>
        <w:t>35</w:t>
      </w:r>
      <w:r w:rsidRPr="002646F6">
        <w:fldChar w:fldCharType="end"/>
      </w:r>
      <w:r w:rsidRPr="002646F6">
        <w:t xml:space="preserve"> </w:t>
      </w:r>
    </w:p>
    <w:p w14:paraId="3A5A8903" w14:textId="32FC50B3" w:rsidR="00DF5A4E" w:rsidRPr="002646F6" w:rsidRDefault="00DF5A4E" w:rsidP="00DF5A4E">
      <w:pPr>
        <w:pStyle w:val="Body"/>
      </w:pPr>
      <w:r w:rsidRPr="002646F6">
        <w:t>According to NICE CG81, treatment at earlier lines is determined by HR</w:t>
      </w:r>
      <w:r w:rsidR="0088751F">
        <w:t>-</w:t>
      </w:r>
      <w:r w:rsidRPr="002646F6">
        <w:t>status, while treatment at later lines is limited to non-targeted chemotherapies.</w:t>
      </w:r>
      <w:r w:rsidRPr="002646F6">
        <w:fldChar w:fldCharType="begin"/>
      </w:r>
      <w:r w:rsidR="00CA6345">
        <w:instrText xml:space="preserve"> ADDIN ZOTERO_ITEM CSL_CITATION {"citationID":"Atj0yP6G","properties":{"formattedCitation":"\\super 35\\nosupersub{}","plainCitation":"35","noteIndex":0},"citationItems":[{"id":65866,"uris":["http://zotero.org/groups/4797619/items/3AESVSNK"],"itemData":{"id":65866,"type":"webpage","abstract":"This guideline covers care and support for people with advanced (stage 4) breast cancer. It aims to help them and their healthcare professionals make shared","language":"eng","note":"publisher: NICE","title":"Advanced breast cancer: diagnosis and treatment | NICE CG81","title-short":"NICE CG81. Recommendations | Advanced breast cancer","URL":"https://www.nice.org.uk/guidance/cg81/chapter/Recommendations","author":[{"family":"NICE","given":""}],"accessed":{"date-parts":[["2022",10,17]]},"issued":{"date-parts":[["2017"]]}}}],"schema":"https://github.com/citation-style-language/schema/raw/master/csl-citation.json"} </w:instrText>
      </w:r>
      <w:r w:rsidRPr="002646F6">
        <w:fldChar w:fldCharType="separate"/>
      </w:r>
      <w:r w:rsidR="00FD57F4" w:rsidRPr="00FD57F4">
        <w:rPr>
          <w:rFonts w:cs="Arial"/>
          <w:szCs w:val="24"/>
          <w:vertAlign w:val="superscript"/>
        </w:rPr>
        <w:t>35</w:t>
      </w:r>
      <w:r w:rsidRPr="002646F6">
        <w:fldChar w:fldCharType="end"/>
      </w:r>
      <w:r w:rsidRPr="002646F6">
        <w:t xml:space="preserve"> Chemotherapy recommendations in NICE CG81</w:t>
      </w:r>
      <w:r w:rsidRPr="002646F6">
        <w:fldChar w:fldCharType="begin"/>
      </w:r>
      <w:r w:rsidR="00CA6345">
        <w:instrText xml:space="preserve"> ADDIN ZOTERO_ITEM CSL_CITATION {"citationID":"H7pExe3e","properties":{"formattedCitation":"\\super 35\\nosupersub{}","plainCitation":"35","noteIndex":0},"citationItems":[{"id":65866,"uris":["http://zotero.org/groups/4797619/items/3AESVSNK"],"itemData":{"id":65866,"type":"webpage","abstract":"This guideline covers care and support for people with advanced (stage 4) breast cancer. It aims to help them and their healthcare professionals make shared","language":"eng","note":"publisher: NICE","title":"Advanced breast cancer: diagnosis and treatment | NICE CG81","title-short":"NICE CG81. Recommendations | Advanced breast cancer","URL":"https://www.nice.org.uk/guidance/cg81/chapter/Recommendations","author":[{"family":"NICE","given":""}],"accessed":{"date-parts":[["2022",10,17]]},"issued":{"date-parts":[["2017"]]}}}],"schema":"https://github.com/citation-style-language/schema/raw/master/csl-citation.json"} </w:instrText>
      </w:r>
      <w:r w:rsidRPr="002646F6">
        <w:fldChar w:fldCharType="separate"/>
      </w:r>
      <w:r w:rsidR="00FD57F4" w:rsidRPr="00FD57F4">
        <w:rPr>
          <w:rFonts w:cs="Arial"/>
          <w:szCs w:val="24"/>
          <w:vertAlign w:val="superscript"/>
        </w:rPr>
        <w:t>35</w:t>
      </w:r>
      <w:r w:rsidRPr="002646F6">
        <w:fldChar w:fldCharType="end"/>
      </w:r>
      <w:r w:rsidRPr="002646F6">
        <w:t xml:space="preserve"> broadly align with ESMO 2021 guidelines</w:t>
      </w:r>
      <w:r w:rsidRPr="002646F6">
        <w:fldChar w:fldCharType="begin"/>
      </w:r>
      <w:r w:rsidR="00CA6345">
        <w:instrText xml:space="preserve"> ADDIN ZOTERO_ITEM CSL_CITATION {"citationID":"IuvqwjzR","properties":{"formattedCitation":"\\super 42\\nosupersub{}","plainCitation":"42","noteIndex":0},"citationItems":[{"id":65955,"uris":["http://zotero.org/groups/4797619/items/4KXA6CCG"],"itemData":{"id":65955,"type":"article-journal","container-title":"Annals of Oncology: Official Journal of the European Society for Medical Oncology","DOI":"10.1016/j.annonc.2021.09.019","ISSN":"1569-8041","issue":"12","journalAbbreviation":"Ann Oncol","language":"eng","note":"PMID: 34678411","page":"1475-1495","source":"PubMed","title":"ESMO Clinical Practice Guideline for the diagnosis, staging and treatment of patients with metastatic breast cancer","volume":"32","author":[{"family":"Gennari","given":"A."},{"family":"André","given":"F."},{"family":"Barrios","given":"C. H."},{"family":"Cortés","given":"J."},{"family":"Azambuja","given":"E.","non-dropping-particle":"de"},{"family":"DeMichele","given":"A."},{"family":"Dent","given":"R."},{"family":"Fenlon","given":"D."},{"family":"Gligorov","given":"J."},{"family":"Hurvitz","given":"S. A."},{"family":"Im","given":"S.-A."},{"family":"Krug","given":"D."},{"family":"Kunz","given":"W. G."},{"family":"Loi","given":"S."},{"family":"Penault-Llorca","given":"F."},{"family":"Ricke","given":"J."},{"family":"Robson","given":"M."},{"family":"Rugo","given":"H. S."},{"family":"Saura","given":"C."},{"family":"Schmid","given":"P."},{"family":"Singer","given":"C. F."},{"family":"Spanic","given":"T."},{"family":"Tolaney","given":"S. M."},{"family":"Turner","given":"N. C."},{"family":"Curigliano","given":"G."},{"family":"Loibl","given":"S."},{"family":"Paluch-Shimon","given":"S."},{"family":"Harbeck","given":"N."},{"literal":"ESMO Guidelines Committee. Electronic address: clinicalguidelines@esmo.org"}],"issued":{"date-parts":[["2021",12]]}}}],"schema":"https://github.com/citation-style-language/schema/raw/master/csl-citation.json"} </w:instrText>
      </w:r>
      <w:r w:rsidRPr="002646F6">
        <w:fldChar w:fldCharType="separate"/>
      </w:r>
      <w:r w:rsidR="00FD57F4" w:rsidRPr="00FD57F4">
        <w:rPr>
          <w:rFonts w:cs="Arial"/>
          <w:szCs w:val="24"/>
          <w:vertAlign w:val="superscript"/>
        </w:rPr>
        <w:t>42</w:t>
      </w:r>
      <w:r w:rsidRPr="002646F6">
        <w:fldChar w:fldCharType="end"/>
      </w:r>
      <w:r w:rsidRPr="002646F6">
        <w:t xml:space="preserve"> and include: </w:t>
      </w:r>
    </w:p>
    <w:p w14:paraId="3E471A65" w14:textId="2B48284F" w:rsidR="00DF5A4E" w:rsidRPr="002646F6" w:rsidRDefault="00DF5A4E" w:rsidP="00954359">
      <w:pPr>
        <w:pStyle w:val="Body"/>
        <w:numPr>
          <w:ilvl w:val="0"/>
          <w:numId w:val="33"/>
        </w:numPr>
      </w:pPr>
      <w:r w:rsidRPr="002646F6">
        <w:t>Offer systemic sequential therapy to the majority of patients with advanced breast cancer who have decided to be treated with chemotherapy. [2009]</w:t>
      </w:r>
      <w:r w:rsidRPr="002646F6">
        <w:fldChar w:fldCharType="begin"/>
      </w:r>
      <w:r w:rsidR="00CA6345">
        <w:instrText xml:space="preserve"> ADDIN ZOTERO_ITEM CSL_CITATION {"citationID":"Ox8KzgVY","properties":{"formattedCitation":"\\super 35\\nosupersub{}","plainCitation":"35","noteIndex":0},"citationItems":[{"id":65866,"uris":["http://zotero.org/groups/4797619/items/3AESVSNK"],"itemData":{"id":65866,"type":"webpage","abstract":"This guideline covers care and support for people with advanced (stage 4) breast cancer. It aims to help them and their healthcare professionals make shared","language":"eng","note":"publisher: NICE","title":"Advanced breast cancer: diagnosis and treatment | NICE CG81","title-short":"NICE CG81. Recommendations | Advanced breast cancer","URL":"https://www.nice.org.uk/guidance/cg81/chapter/Recommendations","author":[{"family":"NICE","given":""}],"accessed":{"date-parts":[["2022",10,17]]},"issued":{"date-parts":[["2017"]]}}}],"schema":"https://github.com/citation-style-language/schema/raw/master/csl-citation.json"} </w:instrText>
      </w:r>
      <w:r w:rsidRPr="002646F6">
        <w:fldChar w:fldCharType="separate"/>
      </w:r>
      <w:r w:rsidR="00FD57F4" w:rsidRPr="00FD57F4">
        <w:rPr>
          <w:rFonts w:cs="Arial"/>
          <w:szCs w:val="24"/>
          <w:vertAlign w:val="superscript"/>
        </w:rPr>
        <w:t>35</w:t>
      </w:r>
      <w:r w:rsidRPr="002646F6">
        <w:fldChar w:fldCharType="end"/>
      </w:r>
    </w:p>
    <w:p w14:paraId="48CC7A85" w14:textId="75935BA4" w:rsidR="00DF5A4E" w:rsidRPr="002646F6" w:rsidRDefault="00DF5A4E" w:rsidP="00954359">
      <w:pPr>
        <w:pStyle w:val="Body"/>
        <w:numPr>
          <w:ilvl w:val="0"/>
          <w:numId w:val="33"/>
        </w:numPr>
      </w:pPr>
      <w:r w:rsidRPr="002646F6">
        <w:t>Consider using combination chemotherapy to treat patients with advanced breast cancer for whom a greater probability of response is important and who understand and are likely to tolerate the additional toxicity. [2009]</w:t>
      </w:r>
      <w:r w:rsidRPr="002646F6">
        <w:fldChar w:fldCharType="begin"/>
      </w:r>
      <w:r w:rsidR="00CA6345">
        <w:instrText xml:space="preserve"> ADDIN ZOTERO_ITEM CSL_CITATION {"citationID":"25s7x7h4","properties":{"formattedCitation":"\\super 35\\nosupersub{}","plainCitation":"35","noteIndex":0},"citationItems":[{"id":65866,"uris":["http://zotero.org/groups/4797619/items/3AESVSNK"],"itemData":{"id":65866,"type":"webpage","abstract":"This guideline covers care and support for people with advanced (stage 4) breast cancer. It aims to help them and their healthcare professionals make shared","language":"eng","note":"publisher: NICE","title":"Advanced breast cancer: diagnosis and treatment | NICE CG81","title-short":"NICE CG81. Recommendations | Advanced breast cancer","URL":"https://www.nice.org.uk/guidance/cg81/chapter/Recommendations","author":[{"family":"NICE","given":""}],"accessed":{"date-parts":[["2022",10,17]]},"issued":{"date-parts":[["2017"]]}}}],"schema":"https://github.com/citation-style-language/schema/raw/master/csl-citation.json"} </w:instrText>
      </w:r>
      <w:r w:rsidRPr="002646F6">
        <w:fldChar w:fldCharType="separate"/>
      </w:r>
      <w:r w:rsidR="00FD57F4" w:rsidRPr="00FD57F4">
        <w:rPr>
          <w:rFonts w:cs="Arial"/>
          <w:szCs w:val="24"/>
          <w:vertAlign w:val="superscript"/>
        </w:rPr>
        <w:t>35</w:t>
      </w:r>
      <w:r w:rsidRPr="002646F6">
        <w:fldChar w:fldCharType="end"/>
      </w:r>
    </w:p>
    <w:p w14:paraId="67851462" w14:textId="0C7AF849" w:rsidR="00DF5A4E" w:rsidRPr="002646F6" w:rsidRDefault="00DF5A4E" w:rsidP="00954359">
      <w:pPr>
        <w:pStyle w:val="Body"/>
        <w:numPr>
          <w:ilvl w:val="0"/>
          <w:numId w:val="33"/>
        </w:numPr>
      </w:pPr>
      <w:r w:rsidRPr="002646F6">
        <w:t>For patients with advanced breast cancer who are not suitable for anthracyclines (because they are contraindicated or because of prior anthracycline treatment either in the adjuvant or metastatic setting), systemic chemotherapy should be offered in the following sequence</w:t>
      </w:r>
      <w:r w:rsidRPr="002646F6">
        <w:fldChar w:fldCharType="begin"/>
      </w:r>
      <w:r w:rsidR="00CA6345">
        <w:instrText xml:space="preserve"> ADDIN ZOTERO_ITEM CSL_CITATION {"citationID":"2oDeqZDY","properties":{"formattedCitation":"\\super 35\\nosupersub{}","plainCitation":"35","noteIndex":0},"citationItems":[{"id":65866,"uris":["http://zotero.org/groups/4797619/items/3AESVSNK"],"itemData":{"id":65866,"type":"webpage","abstract":"This guideline covers care and support for people with advanced (stage 4) breast cancer. It aims to help them and their healthcare professionals make shared","language":"eng","note":"publisher: NICE","title":"Advanced breast cancer: diagnosis and treatment | NICE CG81","title-short":"NICE CG81. Recommendations | Advanced breast cancer","URL":"https://www.nice.org.uk/guidance/cg81/chapter/Recommendations","author":[{"family":"NICE","given":""}],"accessed":{"date-parts":[["2022",10,17]]},"issued":{"date-parts":[["2017"]]}}}],"schema":"https://github.com/citation-style-language/schema/raw/master/csl-citation.json"} </w:instrText>
      </w:r>
      <w:r w:rsidRPr="002646F6">
        <w:fldChar w:fldCharType="separate"/>
      </w:r>
      <w:r w:rsidR="00FD57F4" w:rsidRPr="00FD57F4">
        <w:rPr>
          <w:rFonts w:cs="Arial"/>
          <w:szCs w:val="24"/>
          <w:vertAlign w:val="superscript"/>
        </w:rPr>
        <w:t>35</w:t>
      </w:r>
      <w:r w:rsidRPr="002646F6">
        <w:fldChar w:fldCharType="end"/>
      </w:r>
    </w:p>
    <w:p w14:paraId="776BEC28" w14:textId="0B3676D4" w:rsidR="00DF5A4E" w:rsidRPr="002646F6" w:rsidRDefault="00DF5A4E" w:rsidP="00954359">
      <w:pPr>
        <w:pStyle w:val="Body"/>
        <w:numPr>
          <w:ilvl w:val="1"/>
          <w:numId w:val="33"/>
        </w:numPr>
      </w:pPr>
      <w:r w:rsidRPr="002646F6">
        <w:t>First line: single-agent docetaxel. [2009]</w:t>
      </w:r>
    </w:p>
    <w:p w14:paraId="024FC4B4" w14:textId="77777777" w:rsidR="00DF5A4E" w:rsidRPr="002646F6" w:rsidRDefault="00DF5A4E" w:rsidP="00954359">
      <w:pPr>
        <w:pStyle w:val="Body"/>
        <w:numPr>
          <w:ilvl w:val="1"/>
          <w:numId w:val="33"/>
        </w:numPr>
      </w:pPr>
      <w:r w:rsidRPr="002646F6">
        <w:t>Second line: single-agent vinorelbine or capecitabine. [2009]</w:t>
      </w:r>
    </w:p>
    <w:p w14:paraId="3E10C33C" w14:textId="7269C302" w:rsidR="004907EF" w:rsidRPr="002646F6" w:rsidRDefault="00DF5A4E" w:rsidP="00954359">
      <w:pPr>
        <w:pStyle w:val="Body"/>
        <w:numPr>
          <w:ilvl w:val="1"/>
          <w:numId w:val="33"/>
        </w:numPr>
      </w:pPr>
      <w:r w:rsidRPr="002646F6">
        <w:lastRenderedPageBreak/>
        <w:t>Third line: single-agent capecitabine or vinorelbine (whichever was not used as second-line treatment). [2009]</w:t>
      </w:r>
    </w:p>
    <w:p w14:paraId="6CAB7FE0" w14:textId="567D9420" w:rsidR="004907EF" w:rsidRDefault="00A4387D" w:rsidP="002646F6">
      <w:pPr>
        <w:widowControl w:val="0"/>
        <w:autoSpaceDE w:val="0"/>
        <w:autoSpaceDN w:val="0"/>
        <w:adjustRightInd w:val="0"/>
        <w:spacing w:after="240" w:line="240" w:lineRule="auto"/>
      </w:pPr>
      <w:r w:rsidRPr="002646F6">
        <w:t xml:space="preserve">NICE </w:t>
      </w:r>
      <w:r w:rsidR="000A209B">
        <w:t>has</w:t>
      </w:r>
      <w:r w:rsidRPr="002646F6">
        <w:t xml:space="preserve"> </w:t>
      </w:r>
      <w:r w:rsidR="00A22191">
        <w:t>recognised</w:t>
      </w:r>
      <w:r w:rsidRPr="002646F6">
        <w:t xml:space="preserve"> that </w:t>
      </w:r>
      <w:r w:rsidR="001021FE">
        <w:t>these</w:t>
      </w:r>
      <w:r w:rsidR="00F12812" w:rsidRPr="002646F6">
        <w:t xml:space="preserve"> </w:t>
      </w:r>
      <w:r w:rsidR="000D5A2B" w:rsidRPr="002646F6">
        <w:t xml:space="preserve">guidelines for advanced breast cancer </w:t>
      </w:r>
      <w:r w:rsidR="00230B4F" w:rsidRPr="002646F6">
        <w:t xml:space="preserve">need updating, </w:t>
      </w:r>
      <w:r w:rsidR="00893C2C" w:rsidRPr="002646F6">
        <w:t>with an update</w:t>
      </w:r>
      <w:r w:rsidR="001D0787" w:rsidRPr="002646F6">
        <w:t xml:space="preserve"> expected in </w:t>
      </w:r>
      <w:r w:rsidR="000D5A2B" w:rsidRPr="002646F6">
        <w:t>2023.</w:t>
      </w:r>
      <w:r w:rsidR="00100FD9" w:rsidRPr="002646F6">
        <w:fldChar w:fldCharType="begin"/>
      </w:r>
      <w:r w:rsidR="00CA6345">
        <w:instrText xml:space="preserve"> ADDIN ZOTERO_ITEM CSL_CITATION {"citationID":"d1Av3ZBQ","properties":{"formattedCitation":"\\super 135\\nosupersub{}","plainCitation":"135","noteIndex":0},"citationItems":[{"id":66433,"uris":["http://zotero.org/groups/4797619/items/DNI23N3Q"],"itemData":{"id":66433,"type":"webpage","abstract":"This guideline covers care and support for people with advanced (stage 4) breast cancer. It aims to help them and their healthcare professionals make shared","language":"eng","note":"publisher: NICE","title":"Surveillance decision | Evidence | Advanced breast cancer: diagnosis and treatment | Guidance | NICE","title-short":"Surveillance decision | Evidence | Advanced breast cancer","URL":"https://www.nice.org.uk/guidance/cg81/resources/2023-surveillance-of-early-and-locally-advanced-breast-cancer-diagnosis-and-management-nice-guideline-ng101-and-advanced-breast-cancer-diagnosis-and-treatment-nice-guideline-cg81-11321031709/chapter/Surveillance-decision?tab=evidence","accessed":{"date-parts":[["2023",1,23]]}}}],"schema":"https://github.com/citation-style-language/schema/raw/master/csl-citation.json"} </w:instrText>
      </w:r>
      <w:r w:rsidR="00100FD9" w:rsidRPr="002646F6">
        <w:fldChar w:fldCharType="separate"/>
      </w:r>
      <w:r w:rsidR="00CA6345" w:rsidRPr="00CA6345">
        <w:rPr>
          <w:rFonts w:cs="Arial"/>
          <w:szCs w:val="24"/>
          <w:vertAlign w:val="superscript"/>
        </w:rPr>
        <w:t>135</w:t>
      </w:r>
      <w:r w:rsidR="00100FD9" w:rsidRPr="002646F6">
        <w:fldChar w:fldCharType="end"/>
      </w:r>
      <w:r w:rsidR="000D5A2B" w:rsidRPr="002646F6">
        <w:t xml:space="preserve"> </w:t>
      </w:r>
      <w:r w:rsidR="007E1AF3">
        <w:t>In addition, a</w:t>
      </w:r>
      <w:r w:rsidR="001021FE" w:rsidRPr="002646F6">
        <w:t xml:space="preserve">t an advisory board in December 2022, UK clinical experts stated that NICE CG81 recommendations are not </w:t>
      </w:r>
      <w:r w:rsidR="009626E3">
        <w:t xml:space="preserve">fully </w:t>
      </w:r>
      <w:r w:rsidR="001021FE" w:rsidRPr="002646F6">
        <w:t>reflective of UK practice.</w:t>
      </w:r>
      <w:r w:rsidR="004A6D5A">
        <w:fldChar w:fldCharType="begin"/>
      </w:r>
      <w:r w:rsidR="00CA6345">
        <w:instrText xml:space="preserve"> ADDIN ZOTERO_ITEM CSL_CITATION {"citationID":"aK23IA4F","properties":{"formattedCitation":"\\super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004A6D5A">
        <w:fldChar w:fldCharType="separate"/>
      </w:r>
      <w:r w:rsidR="00CA6345" w:rsidRPr="00CA6345">
        <w:rPr>
          <w:rFonts w:cs="Arial"/>
          <w:szCs w:val="24"/>
          <w:vertAlign w:val="superscript"/>
        </w:rPr>
        <w:t>121</w:t>
      </w:r>
      <w:r w:rsidR="004A6D5A">
        <w:fldChar w:fldCharType="end"/>
      </w:r>
      <w:r w:rsidR="00515852">
        <w:t xml:space="preserve"> </w:t>
      </w:r>
      <w:r w:rsidR="00E84CBB">
        <w:t xml:space="preserve">For example, UK clinical experts state that gemcitabine </w:t>
      </w:r>
      <w:r w:rsidR="00C80D95">
        <w:t>in combination with</w:t>
      </w:r>
      <w:r w:rsidR="00E84CBB">
        <w:t xml:space="preserve"> paclitaxel is rarely used</w:t>
      </w:r>
      <w:r w:rsidR="00C80D95">
        <w:t xml:space="preserve"> in practice</w:t>
      </w:r>
      <w:r w:rsidR="00E84CBB">
        <w:t xml:space="preserve">, </w:t>
      </w:r>
      <w:r w:rsidR="00C80D95">
        <w:t>while</w:t>
      </w:r>
      <w:r w:rsidR="00E84CBB">
        <w:t xml:space="preserve"> vinorel</w:t>
      </w:r>
      <w:r w:rsidR="00C70289">
        <w:t>b</w:t>
      </w:r>
      <w:r w:rsidR="00E84CBB">
        <w:t xml:space="preserve">ine </w:t>
      </w:r>
      <w:r w:rsidR="00D55307">
        <w:t xml:space="preserve">tends to be </w:t>
      </w:r>
      <w:r w:rsidR="00E84CBB">
        <w:t>used at much later lines (e.g., fourth</w:t>
      </w:r>
      <w:r w:rsidR="00C80D95">
        <w:t>-</w:t>
      </w:r>
      <w:r w:rsidR="00E84CBB">
        <w:t xml:space="preserve"> </w:t>
      </w:r>
      <w:r w:rsidR="00AB6781">
        <w:t>and fifth-line chemotherapy in the metastatic setting)</w:t>
      </w:r>
      <w:r w:rsidR="00C80D95">
        <w:t xml:space="preserve"> than stated in NICE CG81</w:t>
      </w:r>
      <w:r w:rsidR="00AB6781">
        <w:t>.</w:t>
      </w:r>
      <w:r w:rsidR="00AB6781">
        <w:fldChar w:fldCharType="begin"/>
      </w:r>
      <w:r w:rsidR="00CA6345">
        <w:instrText xml:space="preserve"> ADDIN ZOTERO_ITEM CSL_CITATION {"citationID":"XXAlC1BI","properties":{"formattedCitation":"\\super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00AB6781">
        <w:fldChar w:fldCharType="separate"/>
      </w:r>
      <w:r w:rsidR="00CA6345" w:rsidRPr="00CA6345">
        <w:rPr>
          <w:rFonts w:cs="Arial"/>
          <w:szCs w:val="24"/>
          <w:vertAlign w:val="superscript"/>
        </w:rPr>
        <w:t>121</w:t>
      </w:r>
      <w:r w:rsidR="00AB6781">
        <w:fldChar w:fldCharType="end"/>
      </w:r>
    </w:p>
    <w:p w14:paraId="47D23F9A" w14:textId="1DDE7266" w:rsidR="009D3806" w:rsidRDefault="009D3806" w:rsidP="009D3806">
      <w:pPr>
        <w:pStyle w:val="Heading5"/>
        <w:ind w:left="1418" w:hanging="1418"/>
      </w:pPr>
      <w:bookmarkStart w:id="86" w:name="_Ref122631429"/>
      <w:r w:rsidRPr="002646F6">
        <w:t>Current UK pathway for HER2-low u/mBC</w:t>
      </w:r>
      <w:bookmarkEnd w:id="86"/>
    </w:p>
    <w:p w14:paraId="5D45A545" w14:textId="53CBD102" w:rsidR="00D412CE" w:rsidRPr="002646F6" w:rsidRDefault="00515852" w:rsidP="002646F6">
      <w:pPr>
        <w:pStyle w:val="Body"/>
        <w:spacing w:before="120" w:after="120"/>
        <w:rPr>
          <w:b/>
          <w:bCs/>
        </w:rPr>
      </w:pPr>
      <w:r>
        <w:rPr>
          <w:b/>
          <w:bCs/>
        </w:rPr>
        <w:t>HER2-low/HR-positive</w:t>
      </w:r>
      <w:r w:rsidR="00D412CE" w:rsidRPr="0058666D">
        <w:rPr>
          <w:b/>
          <w:bCs/>
        </w:rPr>
        <w:t xml:space="preserve"> u/mBC</w:t>
      </w:r>
    </w:p>
    <w:p w14:paraId="70995179" w14:textId="120BF774" w:rsidR="005A1617" w:rsidRPr="002646F6" w:rsidRDefault="005A1617" w:rsidP="005A1617">
      <w:pPr>
        <w:pStyle w:val="Body"/>
        <w:rPr>
          <w:b/>
          <w:bCs/>
        </w:rPr>
      </w:pPr>
      <w:r w:rsidRPr="002646F6">
        <w:t xml:space="preserve">The proposed current UK pathway for </w:t>
      </w:r>
      <w:r w:rsidR="00515852">
        <w:t>HER2-low/HR-positive</w:t>
      </w:r>
      <w:r w:rsidRPr="002646F6">
        <w:t xml:space="preserve"> u/mBC following progression </w:t>
      </w:r>
      <w:r w:rsidR="002F13CE" w:rsidRPr="002646F6">
        <w:t>after one line of chemotherapy in the metastatic setting</w:t>
      </w:r>
      <w:r w:rsidR="004A1CEB" w:rsidRPr="002646F6">
        <w:t xml:space="preserve"> is presented in</w:t>
      </w:r>
      <w:r w:rsidR="00B1014B">
        <w:rPr>
          <w:b/>
          <w:bCs/>
        </w:rPr>
        <w:t xml:space="preserve"> </w:t>
      </w:r>
      <w:r w:rsidR="00B1014B" w:rsidRPr="00B1014B">
        <w:rPr>
          <w:b/>
          <w:bCs/>
        </w:rPr>
        <w:fldChar w:fldCharType="begin"/>
      </w:r>
      <w:r w:rsidR="00B1014B" w:rsidRPr="00B1014B">
        <w:rPr>
          <w:b/>
          <w:bCs/>
        </w:rPr>
        <w:instrText xml:space="preserve"> REF _Ref121943578 \h  \* MERGEFORMAT </w:instrText>
      </w:r>
      <w:r w:rsidR="00B1014B" w:rsidRPr="00B1014B">
        <w:rPr>
          <w:b/>
          <w:bCs/>
        </w:rPr>
      </w:r>
      <w:r w:rsidR="00B1014B" w:rsidRPr="00B1014B">
        <w:rPr>
          <w:b/>
          <w:bCs/>
        </w:rPr>
        <w:fldChar w:fldCharType="separate"/>
      </w:r>
      <w:r w:rsidR="00145F42" w:rsidRPr="00145F42">
        <w:rPr>
          <w:b/>
          <w:bCs/>
        </w:rPr>
        <w:t xml:space="preserve">Figure </w:t>
      </w:r>
      <w:r w:rsidR="00145F42" w:rsidRPr="00145F42">
        <w:rPr>
          <w:b/>
          <w:bCs/>
          <w:noProof/>
        </w:rPr>
        <w:t>5</w:t>
      </w:r>
      <w:r w:rsidR="00B1014B" w:rsidRPr="00B1014B">
        <w:rPr>
          <w:b/>
          <w:bCs/>
        </w:rPr>
        <w:fldChar w:fldCharType="end"/>
      </w:r>
      <w:r w:rsidR="004A1CEB" w:rsidRPr="00322295">
        <w:t>,</w:t>
      </w:r>
      <w:r w:rsidR="002F13CE" w:rsidRPr="002646F6">
        <w:t xml:space="preserve"> </w:t>
      </w:r>
      <w:r w:rsidR="007E4ADE" w:rsidRPr="002646F6">
        <w:t>based on</w:t>
      </w:r>
      <w:r w:rsidR="00E70745" w:rsidRPr="002646F6">
        <w:t xml:space="preserve"> recommendations from</w:t>
      </w:r>
      <w:r w:rsidR="002F13CE" w:rsidRPr="002646F6">
        <w:t xml:space="preserve"> NICE CG81</w:t>
      </w:r>
      <w:r w:rsidR="00C75AF1" w:rsidRPr="002646F6">
        <w:fldChar w:fldCharType="begin"/>
      </w:r>
      <w:r w:rsidR="00CA6345">
        <w:instrText xml:space="preserve"> ADDIN ZOTERO_ITEM CSL_CITATION {"citationID":"rjNBafbl","properties":{"formattedCitation":"\\super 35\\nosupersub{}","plainCitation":"35","noteIndex":0},"citationItems":[{"id":65866,"uris":["http://zotero.org/groups/4797619/items/3AESVSNK"],"itemData":{"id":65866,"type":"webpage","abstract":"This guideline covers care and support for people with advanced (stage 4) breast cancer. It aims to help them and their healthcare professionals make shared","language":"eng","note":"publisher: NICE","title":"Advanced breast cancer: diagnosis and treatment | NICE CG81","title-short":"NICE CG81. Recommendations | Advanced breast cancer","URL":"https://www.nice.org.uk/guidance/cg81/chapter/Recommendations","author":[{"family":"NICE","given":""}],"accessed":{"date-parts":[["2022",10,17]]},"issued":{"date-parts":[["2017"]]}}}],"schema":"https://github.com/citation-style-language/schema/raw/master/csl-citation.json"} </w:instrText>
      </w:r>
      <w:r w:rsidR="00C75AF1" w:rsidRPr="002646F6">
        <w:fldChar w:fldCharType="separate"/>
      </w:r>
      <w:r w:rsidR="00FD57F4" w:rsidRPr="00FD57F4">
        <w:rPr>
          <w:rFonts w:cs="Arial"/>
          <w:szCs w:val="24"/>
          <w:vertAlign w:val="superscript"/>
        </w:rPr>
        <w:t>35</w:t>
      </w:r>
      <w:r w:rsidR="00C75AF1" w:rsidRPr="002646F6">
        <w:fldChar w:fldCharType="end"/>
      </w:r>
      <w:r w:rsidR="002F13CE" w:rsidRPr="002646F6">
        <w:t xml:space="preserve"> and NICE TAs</w:t>
      </w:r>
      <w:r w:rsidR="00E70745" w:rsidRPr="002646F6">
        <w:t xml:space="preserve"> in HER2-negative advanced BC</w:t>
      </w:r>
      <w:r w:rsidR="002F13CE" w:rsidRPr="002646F6">
        <w:t xml:space="preserve"> </w:t>
      </w:r>
      <w:r w:rsidR="00CC7D89" w:rsidRPr="002646F6">
        <w:t>(TA423</w:t>
      </w:r>
      <w:r w:rsidR="00CC7D89" w:rsidRPr="002646F6">
        <w:fldChar w:fldCharType="begin"/>
      </w:r>
      <w:r w:rsidR="00CA6345">
        <w:instrText xml:space="preserve"> ADDIN ZOTERO_ITEM CSL_CITATION {"citationID":"4w1yWBLS","properties":{"formattedCitation":"\\super 131\\nosupersub{}","plainCitation":"131","noteIndex":0},"citationItems":[{"id":65884,"uris":["http://zotero.org/groups/4797619/items/GKXW7XYV"],"itemData":{"id":65884,"type":"webpage","abstract":"Evidence-based recommendations on eribulin (Halaven) for treating locally advanced or metastatic breast cancer after 2 or more types of chemotherapy","language":"eng","note":"publisher: NICE","title":"Eribulin for treating locally advanced or metastatic breast cancer after 2 or more chemotherapy regimens | NICE [TA423]","URL":"https://www.nice.org.uk/guidance/ta423","author":[{"family":"NICE","given":""}],"accessed":{"date-parts":[["2022",10,17]]}}}],"schema":"https://github.com/citation-style-language/schema/raw/master/csl-citation.json"} </w:instrText>
      </w:r>
      <w:r w:rsidR="00CC7D89" w:rsidRPr="002646F6">
        <w:fldChar w:fldCharType="separate"/>
      </w:r>
      <w:r w:rsidR="00CA6345" w:rsidRPr="00CA6345">
        <w:rPr>
          <w:rFonts w:cs="Arial"/>
          <w:szCs w:val="24"/>
          <w:vertAlign w:val="superscript"/>
        </w:rPr>
        <w:t>131</w:t>
      </w:r>
      <w:r w:rsidR="00CC7D89" w:rsidRPr="002646F6">
        <w:fldChar w:fldCharType="end"/>
      </w:r>
      <w:r w:rsidR="00CC7D89" w:rsidRPr="002646F6">
        <w:t xml:space="preserve"> and TA819</w:t>
      </w:r>
      <w:r w:rsidR="00CC7D89" w:rsidRPr="002646F6">
        <w:fldChar w:fldCharType="begin"/>
      </w:r>
      <w:r w:rsidR="00CA6345">
        <w:instrText xml:space="preserve"> ADDIN ZOTERO_ITEM CSL_CITATION {"citationID":"B2scoyY7","properties":{"formattedCitation":"\\super 132\\nosupersub{}","plainCitation":"132","noteIndex":0},"citationItems":[{"id":65875,"uris":["http://zotero.org/groups/4797619/items/IP9MEGL9"],"itemData":{"id":65875,"type":"webpage","abstract":"Evidence-based recommendations on sacituzumab govetican (Trodelvy) for treating unresectable, triple-negative locally advanced or metastatic breast cancer in adults after 2 or more systemic therapies, at least 1 of which was for advanced disease","language":"eng","note":"publisher: NICE","title":"Sacituzumab govitecan for treating unresectable triple-negative advanced breast cancer after 2 or more therapies | NICE [TA819]","URL":"https://www.nice.org.uk/guidance/ta819","author":[{"family":"NICE","given":""}],"accessed":{"date-parts":[["2022",10,17]]}}}],"schema":"https://github.com/citation-style-language/schema/raw/master/csl-citation.json"} </w:instrText>
      </w:r>
      <w:r w:rsidR="00CC7D89" w:rsidRPr="002646F6">
        <w:fldChar w:fldCharType="separate"/>
      </w:r>
      <w:r w:rsidR="00CA6345" w:rsidRPr="00CA6345">
        <w:rPr>
          <w:rFonts w:cs="Arial"/>
          <w:szCs w:val="24"/>
          <w:vertAlign w:val="superscript"/>
        </w:rPr>
        <w:t>132</w:t>
      </w:r>
      <w:r w:rsidR="00CC7D89" w:rsidRPr="002646F6">
        <w:fldChar w:fldCharType="end"/>
      </w:r>
      <w:r w:rsidR="00CC7D89" w:rsidRPr="002646F6">
        <w:t>)</w:t>
      </w:r>
      <w:r w:rsidRPr="002646F6">
        <w:t>.</w:t>
      </w:r>
      <w:r w:rsidR="00322295">
        <w:t xml:space="preserve"> </w:t>
      </w:r>
    </w:p>
    <w:p w14:paraId="7FC393F5" w14:textId="718057FD" w:rsidR="00C37B1D" w:rsidRPr="002646F6" w:rsidRDefault="00A34481" w:rsidP="00A34481">
      <w:pPr>
        <w:pStyle w:val="Caption"/>
      </w:pPr>
      <w:bookmarkStart w:id="87" w:name="_Ref121943578"/>
      <w:bookmarkStart w:id="88" w:name="_Toc129350931"/>
      <w:r w:rsidRPr="002646F6">
        <w:t xml:space="preserve">Figure </w:t>
      </w:r>
      <w:r>
        <w:fldChar w:fldCharType="begin"/>
      </w:r>
      <w:r>
        <w:instrText>SEQ Figure \* ARABIC</w:instrText>
      </w:r>
      <w:r>
        <w:fldChar w:fldCharType="separate"/>
      </w:r>
      <w:r w:rsidR="00145F42">
        <w:rPr>
          <w:noProof/>
        </w:rPr>
        <w:t>5</w:t>
      </w:r>
      <w:r>
        <w:fldChar w:fldCharType="end"/>
      </w:r>
      <w:bookmarkEnd w:id="87"/>
      <w:r w:rsidRPr="002646F6">
        <w:t xml:space="preserve">: Current treatment pathway for </w:t>
      </w:r>
      <w:r w:rsidR="00515852">
        <w:t>HER2-low/HR-positive</w:t>
      </w:r>
      <w:r w:rsidRPr="002646F6">
        <w:t xml:space="preserve"> u/mBC in England</w:t>
      </w:r>
      <w:bookmarkEnd w:id="88"/>
    </w:p>
    <w:tbl>
      <w:tblPr>
        <w:tblStyle w:val="TableGrid"/>
        <w:tblW w:w="0" w:type="auto"/>
        <w:tblLook w:val="04A0" w:firstRow="1" w:lastRow="0" w:firstColumn="1" w:lastColumn="0" w:noHBand="0" w:noVBand="1"/>
      </w:tblPr>
      <w:tblGrid>
        <w:gridCol w:w="9016"/>
      </w:tblGrid>
      <w:tr w:rsidR="00A14AD7" w:rsidRPr="00A43593" w14:paraId="3C90ED7B" w14:textId="77777777" w:rsidTr="00EF26DD">
        <w:tc>
          <w:tcPr>
            <w:tcW w:w="9016" w:type="dxa"/>
            <w:vAlign w:val="center"/>
          </w:tcPr>
          <w:p w14:paraId="54E05104" w14:textId="7B724D6C" w:rsidR="008A641D" w:rsidRPr="002646F6" w:rsidRDefault="00E41982" w:rsidP="00EF26DD">
            <w:pPr>
              <w:pStyle w:val="Body"/>
              <w:spacing w:before="120" w:after="120"/>
              <w:jc w:val="center"/>
            </w:pPr>
            <w:r>
              <w:rPr>
                <w:noProof/>
              </w:rPr>
              <w:drawing>
                <wp:inline distT="0" distB="0" distL="0" distR="0" wp14:anchorId="69A0CF01" wp14:editId="208B956C">
                  <wp:extent cx="5592140" cy="2265887"/>
                  <wp:effectExtent l="0" t="0" r="889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6153" cy="2275617"/>
                          </a:xfrm>
                          <a:prstGeom prst="rect">
                            <a:avLst/>
                          </a:prstGeom>
                          <a:noFill/>
                        </pic:spPr>
                      </pic:pic>
                    </a:graphicData>
                  </a:graphic>
                </wp:inline>
              </w:drawing>
            </w:r>
          </w:p>
        </w:tc>
      </w:tr>
    </w:tbl>
    <w:p w14:paraId="26D62955" w14:textId="4BABC7ED" w:rsidR="00216B99" w:rsidRPr="002646F6" w:rsidRDefault="00815B3A" w:rsidP="008D4FBB">
      <w:pPr>
        <w:pStyle w:val="Footnotes"/>
        <w:spacing w:after="0"/>
      </w:pPr>
      <w:r w:rsidRPr="002646F6">
        <w:t>*</w:t>
      </w:r>
      <w:r w:rsidR="0079094C" w:rsidRPr="0079094C">
        <w:t>Please note that this pathway may not be reflective of current practice based on the following:</w:t>
      </w:r>
    </w:p>
    <w:bookmarkEnd w:id="77"/>
    <w:bookmarkEnd w:id="78"/>
    <w:p w14:paraId="3BEDA0B1" w14:textId="62B75DF8" w:rsidR="008D4FBB" w:rsidRDefault="008D4FBB" w:rsidP="00954359">
      <w:pPr>
        <w:pStyle w:val="Body"/>
        <w:numPr>
          <w:ilvl w:val="0"/>
          <w:numId w:val="34"/>
        </w:numPr>
        <w:spacing w:after="0" w:line="240" w:lineRule="auto"/>
        <w:ind w:left="142" w:hanging="142"/>
        <w:rPr>
          <w:sz w:val="18"/>
          <w:szCs w:val="18"/>
        </w:rPr>
      </w:pPr>
      <w:r w:rsidRPr="002646F6">
        <w:rPr>
          <w:sz w:val="18"/>
          <w:szCs w:val="18"/>
        </w:rPr>
        <w:t>NICE CG81 guidelines were published in 2009 and last updated in 2017.</w:t>
      </w:r>
      <w:r w:rsidR="00F67E15">
        <w:rPr>
          <w:sz w:val="18"/>
          <w:szCs w:val="18"/>
        </w:rPr>
        <w:fldChar w:fldCharType="begin"/>
      </w:r>
      <w:r w:rsidR="00CA6345">
        <w:rPr>
          <w:sz w:val="18"/>
          <w:szCs w:val="18"/>
        </w:rPr>
        <w:instrText xml:space="preserve"> ADDIN ZOTERO_ITEM CSL_CITATION {"citationID":"vxfCbRWn","properties":{"formattedCitation":"\\super 35\\nosupersub{}","plainCitation":"35","noteIndex":0},"citationItems":[{"id":65866,"uris":["http://zotero.org/groups/4797619/items/3AESVSNK"],"itemData":{"id":65866,"type":"webpage","abstract":"This guideline covers care and support for people with advanced (stage 4) breast cancer. It aims to help them and their healthcare professionals make shared","language":"eng","note":"publisher: NICE","title":"Advanced breast cancer: diagnosis and treatment | NICE CG81","title-short":"NICE CG81. Recommendations | Advanced breast cancer","URL":"https://www.nice.org.uk/guidance/cg81/chapter/Recommendations","author":[{"family":"NICE","given":""}],"accessed":{"date-parts":[["2022",10,17]]},"issued":{"date-parts":[["2017"]]}}}],"schema":"https://github.com/citation-style-language/schema/raw/master/csl-citation.json"} </w:instrText>
      </w:r>
      <w:r w:rsidR="00F67E15">
        <w:rPr>
          <w:sz w:val="18"/>
          <w:szCs w:val="18"/>
        </w:rPr>
        <w:fldChar w:fldCharType="separate"/>
      </w:r>
      <w:r w:rsidR="00FD57F4" w:rsidRPr="00FD57F4">
        <w:rPr>
          <w:rFonts w:cs="Arial"/>
          <w:sz w:val="18"/>
          <w:szCs w:val="24"/>
          <w:vertAlign w:val="superscript"/>
        </w:rPr>
        <w:t>35</w:t>
      </w:r>
      <w:r w:rsidR="00F67E15">
        <w:rPr>
          <w:sz w:val="18"/>
          <w:szCs w:val="18"/>
        </w:rPr>
        <w:fldChar w:fldCharType="end"/>
      </w:r>
      <w:r w:rsidR="0092629F">
        <w:rPr>
          <w:sz w:val="18"/>
          <w:szCs w:val="18"/>
        </w:rPr>
        <w:t xml:space="preserve"> NICE has recognised the need for these guidelines to be reviewed, with an update expected in 2023.</w:t>
      </w:r>
      <w:r w:rsidR="0092629F" w:rsidRPr="003C648C">
        <w:rPr>
          <w:sz w:val="18"/>
          <w:szCs w:val="18"/>
        </w:rPr>
        <w:fldChar w:fldCharType="begin"/>
      </w:r>
      <w:r w:rsidR="00CA6345">
        <w:rPr>
          <w:sz w:val="18"/>
          <w:szCs w:val="18"/>
        </w:rPr>
        <w:instrText xml:space="preserve"> ADDIN ZOTERO_ITEM CSL_CITATION {"citationID":"IEa0aMEv","properties":{"formattedCitation":"\\super 135\\nosupersub{}","plainCitation":"135","noteIndex":0},"citationItems":[{"id":66433,"uris":["http://zotero.org/groups/4797619/items/DNI23N3Q"],"itemData":{"id":66433,"type":"webpage","abstract":"This guideline covers care and support for people with advanced (stage 4) breast cancer. It aims to help them and their healthcare professionals make shared","language":"eng","note":"publisher: NICE","title":"Surveillance decision | Evidence | Advanced breast cancer: diagnosis and treatment | Guidance | NICE","title-short":"Surveillance decision | Evidence | Advanced breast cancer","URL":"https://www.nice.org.uk/guidance/cg81/resources/2023-surveillance-of-early-and-locally-advanced-breast-cancer-diagnosis-and-management-nice-guideline-ng101-and-advanced-breast-cancer-diagnosis-and-treatment-nice-guideline-cg81-11321031709/chapter/Surveillance-decision?tab=evidence","accessed":{"date-parts":[["2023",1,23]]}}}],"schema":"https://github.com/citation-style-language/schema/raw/master/csl-citation.json"} </w:instrText>
      </w:r>
      <w:r w:rsidR="0092629F" w:rsidRPr="003C648C">
        <w:rPr>
          <w:sz w:val="18"/>
          <w:szCs w:val="18"/>
        </w:rPr>
        <w:fldChar w:fldCharType="separate"/>
      </w:r>
      <w:r w:rsidR="00CA6345" w:rsidRPr="00CA6345">
        <w:rPr>
          <w:rFonts w:cs="Arial"/>
          <w:sz w:val="18"/>
          <w:szCs w:val="24"/>
          <w:vertAlign w:val="superscript"/>
        </w:rPr>
        <w:t>135</w:t>
      </w:r>
      <w:r w:rsidR="0092629F" w:rsidRPr="003C648C">
        <w:rPr>
          <w:sz w:val="18"/>
          <w:szCs w:val="18"/>
        </w:rPr>
        <w:fldChar w:fldCharType="end"/>
      </w:r>
      <w:r w:rsidR="00DD2853" w:rsidRPr="00182013">
        <w:rPr>
          <w:sz w:val="18"/>
          <w:szCs w:val="18"/>
        </w:rPr>
        <w:t xml:space="preserve"> </w:t>
      </w:r>
      <w:r w:rsidRPr="002646F6">
        <w:rPr>
          <w:sz w:val="18"/>
          <w:szCs w:val="18"/>
        </w:rPr>
        <w:fldChar w:fldCharType="begin"/>
      </w:r>
      <w:r w:rsidR="00CA6345">
        <w:rPr>
          <w:sz w:val="18"/>
          <w:szCs w:val="18"/>
        </w:rPr>
        <w:instrText xml:space="preserve"> ADDIN ZOTERO_ITEM CSL_CITATION {"citationID":"LqE690lN","properties":{"formattedCitation":"\\super 6\\nosupersub{}","plainCitation":"6","dontUpdate":true,"noteIndex":0},"citationItems":[{"id":65866,"uris":["http://zotero.org/groups/4797619/items/3AESVSNK"],"itemData":{"id":65866,"type":"webpage","abstract":"This guideline covers care and support for people with advanced (stage 4) breast cancer. It aims to help them and their healthcare professionals make shared","language":"eng","note":"publisher: NICE","title":"Advanced breast cancer: diagnosis and treatment | NICE CG81","title-short":"NICE CG81. Recommendations | Advanced breast cancer","URL":"https://www.nice.org.uk/guidance/cg81/chapter/Recommendations","author":[{"family":"NICE","given":""}],"accessed":{"date-parts":[["2022",10,17]]},"issued":{"date-parts":[["2017"]]}}}],"schema":"https://github.com/citation-style-language/schema/raw/master/csl-citation.json"} </w:instrText>
      </w:r>
      <w:r w:rsidRPr="002646F6">
        <w:rPr>
          <w:sz w:val="18"/>
          <w:szCs w:val="18"/>
        </w:rPr>
        <w:fldChar w:fldCharType="separate"/>
      </w:r>
      <w:r w:rsidRPr="002646F6">
        <w:rPr>
          <w:sz w:val="18"/>
          <w:szCs w:val="18"/>
        </w:rPr>
        <w:fldChar w:fldCharType="end"/>
      </w:r>
      <w:r w:rsidR="00DD2853">
        <w:rPr>
          <w:sz w:val="18"/>
          <w:szCs w:val="18"/>
        </w:rPr>
        <w:t>As such, NICE CG81 r</w:t>
      </w:r>
      <w:r w:rsidRPr="002646F6">
        <w:rPr>
          <w:sz w:val="18"/>
          <w:szCs w:val="18"/>
        </w:rPr>
        <w:t>ecommendations may no longer reflect UK clinical practice, as confirmed by UK experts at a December 2022 advisory board.</w:t>
      </w:r>
      <w:r w:rsidR="00F544E4">
        <w:rPr>
          <w:sz w:val="18"/>
          <w:szCs w:val="18"/>
        </w:rPr>
        <w:fldChar w:fldCharType="begin"/>
      </w:r>
      <w:r w:rsidR="00CA6345">
        <w:rPr>
          <w:sz w:val="18"/>
          <w:szCs w:val="18"/>
        </w:rPr>
        <w:instrText xml:space="preserve"> ADDIN ZOTERO_ITEM CSL_CITATION {"citationID":"MOxyFruC","properties":{"formattedCitation":"\\super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00F544E4">
        <w:rPr>
          <w:sz w:val="18"/>
          <w:szCs w:val="18"/>
        </w:rPr>
        <w:fldChar w:fldCharType="separate"/>
      </w:r>
      <w:r w:rsidR="00CA6345" w:rsidRPr="00CA6345">
        <w:rPr>
          <w:rFonts w:cs="Arial"/>
          <w:sz w:val="18"/>
          <w:szCs w:val="24"/>
          <w:vertAlign w:val="superscript"/>
        </w:rPr>
        <w:t>121</w:t>
      </w:r>
      <w:r w:rsidR="00F544E4">
        <w:rPr>
          <w:sz w:val="18"/>
          <w:szCs w:val="18"/>
        </w:rPr>
        <w:fldChar w:fldCharType="end"/>
      </w:r>
      <w:r w:rsidRPr="002646F6">
        <w:rPr>
          <w:sz w:val="18"/>
          <w:szCs w:val="18"/>
        </w:rPr>
        <w:t xml:space="preserve"> </w:t>
      </w:r>
    </w:p>
    <w:p w14:paraId="1B2F9AF8" w14:textId="2FD1A036" w:rsidR="009C12B4" w:rsidRPr="009C12B4" w:rsidRDefault="009C12B4" w:rsidP="00954359">
      <w:pPr>
        <w:pStyle w:val="Footnotes"/>
        <w:numPr>
          <w:ilvl w:val="0"/>
          <w:numId w:val="34"/>
        </w:numPr>
        <w:spacing w:after="0"/>
        <w:ind w:left="142" w:hanging="142"/>
      </w:pPr>
      <w:r w:rsidRPr="00C132F8">
        <w:t>UK clinical experts and ESMO 2021</w:t>
      </w:r>
      <w:r w:rsidRPr="00C132F8">
        <w:fldChar w:fldCharType="begin"/>
      </w:r>
      <w:r w:rsidR="00CA6345">
        <w:instrText xml:space="preserve"> ADDIN ZOTERO_ITEM CSL_CITATION {"citationID":"E9CYdi2v","properties":{"formattedCitation":"\\super 42\\nosupersub{}","plainCitation":"42","noteIndex":0},"citationItems":[{"id":65955,"uris":["http://zotero.org/groups/4797619/items/4KXA6CCG"],"itemData":{"id":65955,"type":"article-journal","container-title":"Annals of Oncology: Official Journal of the European Society for Medical Oncology","DOI":"10.1016/j.annonc.2021.09.019","ISSN":"1569-8041","issue":"12","journalAbbreviation":"Ann Oncol","language":"eng","note":"PMID: 34678411","page":"1475-1495","source":"PubMed","title":"ESMO Clinical Practice Guideline for the diagnosis, staging and treatment of patients with metastatic breast cancer","volume":"32","author":[{"family":"Gennari","given":"A."},{"family":"André","given":"F."},{"family":"Barrios","given":"C. H."},{"family":"Cortés","given":"J."},{"family":"Azambuja","given":"E.","non-dropping-particle":"de"},{"family":"DeMichele","given":"A."},{"family":"Dent","given":"R."},{"family":"Fenlon","given":"D."},{"family":"Gligorov","given":"J."},{"family":"Hurvitz","given":"S. A."},{"family":"Im","given":"S.-A."},{"family":"Krug","given":"D."},{"family":"Kunz","given":"W. G."},{"family":"Loi","given":"S."},{"family":"Penault-Llorca","given":"F."},{"family":"Ricke","given":"J."},{"family":"Robson","given":"M."},{"family":"Rugo","given":"H. S."},{"family":"Saura","given":"C."},{"family":"Schmid","given":"P."},{"family":"Singer","given":"C. F."},{"family":"Spanic","given":"T."},{"family":"Tolaney","given":"S. M."},{"family":"Turner","given":"N. C."},{"family":"Curigliano","given":"G."},{"family":"Loibl","given":"S."},{"family":"Paluch-Shimon","given":"S."},{"family":"Harbeck","given":"N."},{"literal":"ESMO Guidelines Committee. Electronic address: clinicalguidelines@esmo.org"}],"issued":{"date-parts":[["2021",12]]}}}],"schema":"https://github.com/citation-style-language/schema/raw/master/csl-citation.json"} </w:instrText>
      </w:r>
      <w:r w:rsidRPr="00C132F8">
        <w:fldChar w:fldCharType="separate"/>
      </w:r>
      <w:r w:rsidR="00FD57F4" w:rsidRPr="00FD57F4">
        <w:rPr>
          <w:rFonts w:cs="Arial"/>
          <w:sz w:val="22"/>
          <w:szCs w:val="24"/>
          <w:vertAlign w:val="superscript"/>
        </w:rPr>
        <w:t>42</w:t>
      </w:r>
      <w:r w:rsidRPr="00C132F8">
        <w:fldChar w:fldCharType="end"/>
      </w:r>
      <w:r w:rsidRPr="00C132F8">
        <w:t xml:space="preserve"> guidelines state that treatment decisions are made on an individual patient basis, taking into consideration prior therapies, patient fitness, and patient preference.</w:t>
      </w:r>
    </w:p>
    <w:p w14:paraId="2A505969" w14:textId="427F2F94" w:rsidR="008D4FBB" w:rsidRDefault="008D4FBB" w:rsidP="00954359">
      <w:pPr>
        <w:pStyle w:val="Body"/>
        <w:numPr>
          <w:ilvl w:val="0"/>
          <w:numId w:val="34"/>
        </w:numPr>
        <w:spacing w:after="0" w:line="240" w:lineRule="auto"/>
        <w:ind w:left="142" w:hanging="142"/>
        <w:rPr>
          <w:sz w:val="18"/>
          <w:szCs w:val="18"/>
        </w:rPr>
      </w:pPr>
      <w:r w:rsidRPr="002646F6">
        <w:rPr>
          <w:sz w:val="18"/>
          <w:szCs w:val="18"/>
        </w:rPr>
        <w:t>UK clinical experts and ESMO 2021</w:t>
      </w:r>
      <w:r w:rsidRPr="002646F6">
        <w:rPr>
          <w:sz w:val="18"/>
          <w:szCs w:val="18"/>
        </w:rPr>
        <w:fldChar w:fldCharType="begin"/>
      </w:r>
      <w:r w:rsidR="00CA6345">
        <w:rPr>
          <w:sz w:val="18"/>
          <w:szCs w:val="18"/>
        </w:rPr>
        <w:instrText xml:space="preserve"> ADDIN ZOTERO_ITEM CSL_CITATION {"citationID":"E5OsZhTV","properties":{"formattedCitation":"\\super 42\\nosupersub{}","plainCitation":"42","noteIndex":0},"citationItems":[{"id":65955,"uris":["http://zotero.org/groups/4797619/items/4KXA6CCG"],"itemData":{"id":65955,"type":"article-journal","container-title":"Annals of Oncology: Official Journal of the European Society for Medical Oncology","DOI":"10.1016/j.annonc.2021.09.019","ISSN":"1569-8041","issue":"12","journalAbbreviation":"Ann Oncol","language":"eng","note":"PMID: 34678411","page":"1475-1495","source":"PubMed","title":"ESMO Clinical Practice Guideline for the diagnosis, staging and treatment of patients with metastatic breast cancer","volume":"32","author":[{"family":"Gennari","given":"A."},{"family":"André","given":"F."},{"family":"Barrios","given":"C. H."},{"family":"Cortés","given":"J."},{"family":"Azambuja","given":"E.","non-dropping-particle":"de"},{"family":"DeMichele","given":"A."},{"family":"Dent","given":"R."},{"family":"Fenlon","given":"D."},{"family":"Gligorov","given":"J."},{"family":"Hurvitz","given":"S. A."},{"family":"Im","given":"S.-A."},{"family":"Krug","given":"D."},{"family":"Kunz","given":"W. G."},{"family":"Loi","given":"S."},{"family":"Penault-Llorca","given":"F."},{"family":"Ricke","given":"J."},{"family":"Robson","given":"M."},{"family":"Rugo","given":"H. S."},{"family":"Saura","given":"C."},{"family":"Schmid","given":"P."},{"family":"Singer","given":"C. F."},{"family":"Spanic","given":"T."},{"family":"Tolaney","given":"S. M."},{"family":"Turner","given":"N. C."},{"family":"Curigliano","given":"G."},{"family":"Loibl","given":"S."},{"family":"Paluch-Shimon","given":"S."},{"family":"Harbeck","given":"N."},{"literal":"ESMO Guidelines Committee. Electronic address: clinicalguidelines@esmo.org"}],"issued":{"date-parts":[["2021",12]]}}}],"schema":"https://github.com/citation-style-language/schema/raw/master/csl-citation.json"} </w:instrText>
      </w:r>
      <w:r w:rsidRPr="002646F6">
        <w:rPr>
          <w:sz w:val="18"/>
          <w:szCs w:val="18"/>
        </w:rPr>
        <w:fldChar w:fldCharType="separate"/>
      </w:r>
      <w:r w:rsidR="00FD57F4" w:rsidRPr="00FD57F4">
        <w:rPr>
          <w:rFonts w:cs="Arial"/>
          <w:sz w:val="18"/>
          <w:szCs w:val="24"/>
          <w:vertAlign w:val="superscript"/>
        </w:rPr>
        <w:t>42</w:t>
      </w:r>
      <w:r w:rsidRPr="002646F6">
        <w:rPr>
          <w:sz w:val="18"/>
          <w:szCs w:val="18"/>
        </w:rPr>
        <w:fldChar w:fldCharType="end"/>
      </w:r>
      <w:r w:rsidRPr="002646F6">
        <w:rPr>
          <w:sz w:val="18"/>
          <w:szCs w:val="18"/>
        </w:rPr>
        <w:t xml:space="preserve"> guidelines state that there is no optimal treatment sequence.</w:t>
      </w:r>
    </w:p>
    <w:p w14:paraId="28C8F750" w14:textId="134CB822" w:rsidR="0069595D" w:rsidRPr="001F7336" w:rsidRDefault="0069595D" w:rsidP="00954359">
      <w:pPr>
        <w:pStyle w:val="Body"/>
        <w:numPr>
          <w:ilvl w:val="0"/>
          <w:numId w:val="34"/>
        </w:numPr>
        <w:spacing w:after="0" w:line="240" w:lineRule="auto"/>
        <w:ind w:left="142" w:hanging="142"/>
        <w:rPr>
          <w:sz w:val="18"/>
          <w:szCs w:val="18"/>
        </w:rPr>
      </w:pPr>
      <w:r w:rsidRPr="00C132F8">
        <w:rPr>
          <w:sz w:val="18"/>
          <w:szCs w:val="18"/>
        </w:rPr>
        <w:t xml:space="preserve">UK clinical experts </w:t>
      </w:r>
      <w:r w:rsidR="005C48C7">
        <w:rPr>
          <w:sz w:val="18"/>
          <w:szCs w:val="18"/>
        </w:rPr>
        <w:t>and published data</w:t>
      </w:r>
      <w:r w:rsidR="002508F3">
        <w:rPr>
          <w:sz w:val="18"/>
          <w:szCs w:val="18"/>
        </w:rPr>
        <w:fldChar w:fldCharType="begin"/>
      </w:r>
      <w:r w:rsidR="00CA6345">
        <w:rPr>
          <w:sz w:val="18"/>
          <w:szCs w:val="18"/>
        </w:rPr>
        <w:instrText xml:space="preserve"> ADDIN ZOTERO_ITEM CSL_CITATION {"citationID":"ZVsc8wsr","properties":{"formattedCitation":"\\super 118\\nosupersub{}","plainCitation":"118","noteIndex":0},"citationItems":[{"id":66343,"uris":["http://zotero.org/groups/4797619/items/IB6926PV"],"itemData":{"id":66343,"type":"article-journal","abstract":"INTRODUCTION: Currently available evidence does not provide definitive guidance regarding the optimal chemotherapy agents and combinations in anthracycline- and taxane-pretreated advanced breast cancer. We performed a systematic review of controlled clinical trials of the cytotoxic agents currently used for this population in Europe: capecitabine, gemcitabine, vinorelbine, docetaxel, paclitaxel and paclitaxel protein-bound particles.\nMETHOD: A systematic review of randomised (RCT) and non-randomised controlled clinical trials (non-RCTs). The primary outcomes of interest were overall survival (OS) and progression-free survival (PFS); secondary outcomes were duration of response (DR), overall response rate (ORR), adverse events and quality of life (QoL). Six electronic databases and grey literature sources were searched; reference tracking was performed on included publications. A narrative synthesis was conducted: heterogeneity of study design and interventions prevented meta-analysis.\nRESULTS: No randomised controlled trial (RCT) found any significant differences between any of the regimens in terms of OS. In terms of PFS, only gemcitabine plus vinorelbine performed significantly better than its comparator, vinorelbine alone. For secondary outcomes, only capecitabine plus bevacizumab had a significantly better outcome than its comparator, capecitabine alone, in terms of ORR. A low quality non-RCT found that both capecitabine monotherapy and a combination of capecitabine plus vinorelbine were significantly more effective than vinorelbine alone in terms of OS and ORR. Across all trials, median OS for these patients typically remained less than 16 months.\nCONCLUSION: The quantity and quality of the available evidence regarding the efficacy of the particular chemotherapy regimens in patients with advanced breast cancer pretreated with an anthracycline and a taxane is extremely limited. New effective therapies are sorely needed in this population.","container-title":"European Journal of Cancer (Oxford, England: 1990)","DOI":"10.1016/j.ejca.2009.05.035","ISSN":"1879-0852","issue":"16","journalAbbreviation":"Eur J Cancer","language":"eng","note":"PMID: 19615886","page":"2749-2758","source":"PubMed","title":"The clinical efficacy of cytotoxic agents in locally advanced or metastatic breast cancer patients pretreated with an anthracycline and a taxane: a systematic review","title-short":"The clinical efficacy of cytotoxic agents in locally advanced or metastatic breast cancer patients pretreated with an anthracycline and a taxane","volume":"45","author":[{"family":"Jassem","given":"Jacek"},{"family":"Carroll","given":"Christopher"},{"family":"Ward","given":"Sue E."},{"family":"Simpson","given":"Emma"},{"family":"Hind","given":"Daniel"}],"issued":{"date-parts":[["2009",11]]}}}],"schema":"https://github.com/citation-style-language/schema/raw/master/csl-citation.json"} </w:instrText>
      </w:r>
      <w:r w:rsidR="002508F3">
        <w:rPr>
          <w:sz w:val="18"/>
          <w:szCs w:val="18"/>
        </w:rPr>
        <w:fldChar w:fldCharType="separate"/>
      </w:r>
      <w:r w:rsidR="00CA6345" w:rsidRPr="00CA6345">
        <w:rPr>
          <w:rFonts w:cs="Arial"/>
          <w:sz w:val="18"/>
          <w:szCs w:val="24"/>
          <w:vertAlign w:val="superscript"/>
        </w:rPr>
        <w:t>118</w:t>
      </w:r>
      <w:r w:rsidR="002508F3">
        <w:rPr>
          <w:sz w:val="18"/>
          <w:szCs w:val="18"/>
        </w:rPr>
        <w:fldChar w:fldCharType="end"/>
      </w:r>
      <w:r w:rsidR="005C48C7">
        <w:rPr>
          <w:sz w:val="18"/>
          <w:szCs w:val="18"/>
        </w:rPr>
        <w:t xml:space="preserve"> indicate</w:t>
      </w:r>
      <w:r w:rsidRPr="00C132F8">
        <w:rPr>
          <w:sz w:val="18"/>
          <w:szCs w:val="18"/>
        </w:rPr>
        <w:t xml:space="preserve"> that all single-agent chemotherap</w:t>
      </w:r>
      <w:r w:rsidR="001F7336">
        <w:rPr>
          <w:sz w:val="18"/>
          <w:szCs w:val="18"/>
        </w:rPr>
        <w:t>ies</w:t>
      </w:r>
      <w:r w:rsidRPr="00C132F8">
        <w:rPr>
          <w:sz w:val="18"/>
          <w:szCs w:val="18"/>
        </w:rPr>
        <w:t xml:space="preserve"> have </w:t>
      </w:r>
      <w:r>
        <w:rPr>
          <w:sz w:val="18"/>
          <w:szCs w:val="18"/>
        </w:rPr>
        <w:t>similar</w:t>
      </w:r>
      <w:r w:rsidRPr="00C132F8">
        <w:rPr>
          <w:sz w:val="18"/>
          <w:szCs w:val="18"/>
        </w:rPr>
        <w:t xml:space="preserve"> efficacy.</w:t>
      </w:r>
    </w:p>
    <w:p w14:paraId="6DE7CCED" w14:textId="6EBC54DF" w:rsidR="00ED7F4C" w:rsidRPr="00EF26DD" w:rsidRDefault="000E6AFE" w:rsidP="0079094C">
      <w:pPr>
        <w:pStyle w:val="Footnotes"/>
        <w:spacing w:after="240"/>
      </w:pPr>
      <w:r w:rsidRPr="002646F6">
        <w:t>*</w:t>
      </w:r>
      <w:r w:rsidR="00815B3A" w:rsidRPr="002646F6">
        <w:t>*</w:t>
      </w:r>
      <w:r w:rsidRPr="002646F6">
        <w:t xml:space="preserve">Recommended as an option only when docetaxel monotherapy or docetaxel plus capecitabine would be considered appropriate. </w:t>
      </w:r>
      <w:r w:rsidR="00C2069C" w:rsidRPr="002646F6">
        <w:br/>
      </w:r>
      <w:r w:rsidR="00A9794D" w:rsidRPr="002646F6">
        <w:rPr>
          <w:rFonts w:cs="Arial"/>
          <w:vertAlign w:val="superscript"/>
        </w:rPr>
        <w:t>†</w:t>
      </w:r>
      <w:r w:rsidR="001F1817" w:rsidRPr="002646F6">
        <w:t>Whichever was not used as second-line treatment</w:t>
      </w:r>
      <w:r w:rsidR="00603E57" w:rsidRPr="002646F6">
        <w:t>.</w:t>
      </w:r>
      <w:r w:rsidR="00C2069C" w:rsidRPr="002646F6">
        <w:br/>
      </w:r>
      <w:r w:rsidR="00D66150" w:rsidRPr="002646F6">
        <w:t xml:space="preserve">Abbreviations: </w:t>
      </w:r>
      <w:r w:rsidR="00D66150">
        <w:t>CG, clinical guideline; ESMO, European Society for Medical Oncology;</w:t>
      </w:r>
      <w:r w:rsidR="0096002B">
        <w:t xml:space="preserve"> HER2, human epidermal growth factor receptor; HR, hormone receptor;</w:t>
      </w:r>
      <w:r w:rsidR="00D66150">
        <w:t xml:space="preserve"> </w:t>
      </w:r>
      <w:r w:rsidR="0096002B">
        <w:t xml:space="preserve">NICE, National Institute for Health and Care Excellence; </w:t>
      </w:r>
      <w:r w:rsidR="00D66150" w:rsidRPr="002646F6">
        <w:t>TA, technology appraisal</w:t>
      </w:r>
      <w:r w:rsidR="00D66150">
        <w:t xml:space="preserve">; </w:t>
      </w:r>
      <w:r w:rsidR="00D66150" w:rsidRPr="002646F6">
        <w:t>u/mBC, unresectable/metastatic breast cancer</w:t>
      </w:r>
      <w:r w:rsidR="00D66150">
        <w:t>.</w:t>
      </w:r>
      <w:r w:rsidR="00986FD1" w:rsidRPr="002646F6">
        <w:br/>
        <w:t>Sources: NICE, 2009 (CG81)</w:t>
      </w:r>
      <w:r w:rsidR="007B53D7" w:rsidRPr="002646F6">
        <w:t>;</w:t>
      </w:r>
      <w:r w:rsidR="0055772D" w:rsidRPr="002646F6">
        <w:rPr>
          <w:vertAlign w:val="superscript"/>
        </w:rPr>
        <w:fldChar w:fldCharType="begin"/>
      </w:r>
      <w:r w:rsidR="00CA6345">
        <w:rPr>
          <w:vertAlign w:val="superscript"/>
        </w:rPr>
        <w:instrText xml:space="preserve"> ADDIN ZOTERO_ITEM CSL_CITATION {"citationID":"fYvD9QVG","properties":{"formattedCitation":"\\super 35\\nosupersub{}","plainCitation":"35","noteIndex":0},"citationItems":[{"id":65866,"uris":["http://zotero.org/groups/4797619/items/3AESVSNK"],"itemData":{"id":65866,"type":"webpage","abstract":"This guideline covers care and support for people with advanced (stage 4) breast cancer. It aims to help them and their healthcare professionals make shared","language":"eng","note":"publisher: NICE","title":"Advanced breast cancer: diagnosis and treatment | NICE CG81","title-short":"NICE CG81. Recommendations | Advanced breast cancer","URL":"https://www.nice.org.uk/guidance/cg81/chapter/Recommendations","author":[{"family":"NICE","given":""}],"accessed":{"date-parts":[["2022",10,17]]},"issued":{"date-parts":[["2017"]]}}}],"schema":"https://github.com/citation-style-language/schema/raw/master/csl-citation.json"} </w:instrText>
      </w:r>
      <w:r w:rsidR="0055772D" w:rsidRPr="002646F6">
        <w:rPr>
          <w:vertAlign w:val="superscript"/>
        </w:rPr>
        <w:fldChar w:fldCharType="separate"/>
      </w:r>
      <w:r w:rsidR="00FD57F4" w:rsidRPr="00FD57F4">
        <w:rPr>
          <w:rFonts w:cs="Arial"/>
          <w:szCs w:val="24"/>
          <w:vertAlign w:val="superscript"/>
        </w:rPr>
        <w:t>35</w:t>
      </w:r>
      <w:r w:rsidR="0055772D" w:rsidRPr="002646F6">
        <w:rPr>
          <w:vertAlign w:val="superscript"/>
        </w:rPr>
        <w:fldChar w:fldCharType="end"/>
      </w:r>
      <w:r w:rsidR="0055772D" w:rsidRPr="002646F6" w:rsidDel="0055772D">
        <w:t xml:space="preserve"> </w:t>
      </w:r>
      <w:r w:rsidR="007B53D7" w:rsidRPr="002646F6">
        <w:t>NICE, 2007 (TA116)</w:t>
      </w:r>
      <w:r w:rsidR="00711A2A" w:rsidRPr="002646F6">
        <w:t>;</w:t>
      </w:r>
      <w:r w:rsidR="007B53D7" w:rsidRPr="002646F6">
        <w:rPr>
          <w:vertAlign w:val="superscript"/>
        </w:rPr>
        <w:fldChar w:fldCharType="begin"/>
      </w:r>
      <w:r w:rsidR="00CA6345">
        <w:rPr>
          <w:vertAlign w:val="superscript"/>
        </w:rPr>
        <w:instrText xml:space="preserve"> ADDIN ZOTERO_ITEM CSL_CITATION {"citationID":"ulM02Xcy","properties":{"formattedCitation":"\\super 122\\nosupersub{}","plainCitation":"122","noteIndex":0},"citationItems":[{"id":65876,"uris":["http://zotero.org/groups/4797619/items/6S5RPIVP"],"itemData":{"id":65876,"type":"webpage","abstract":"Evidence-based recommendations on gemcitabine for treating metastatic breast cancer in adults","language":"eng","note":"publisher: NICE","title":"Gemcitabine for the treatment of metastatic breast cancer | NICE [TA116]","URL":"https://www.nice.org.uk/guidance/ta116","author":[{"family":"NICE","given":""}],"accessed":{"date-parts":[["2022",10,17]]}}}],"schema":"https://github.com/citation-style-language/schema/raw/master/csl-citation.json"} </w:instrText>
      </w:r>
      <w:r w:rsidR="007B53D7" w:rsidRPr="002646F6">
        <w:rPr>
          <w:vertAlign w:val="superscript"/>
        </w:rPr>
        <w:fldChar w:fldCharType="separate"/>
      </w:r>
      <w:r w:rsidR="00CA6345" w:rsidRPr="00CA6345">
        <w:rPr>
          <w:rFonts w:cs="Arial"/>
          <w:szCs w:val="24"/>
          <w:vertAlign w:val="superscript"/>
        </w:rPr>
        <w:t>122</w:t>
      </w:r>
      <w:r w:rsidR="007B53D7" w:rsidRPr="002646F6">
        <w:rPr>
          <w:vertAlign w:val="superscript"/>
        </w:rPr>
        <w:fldChar w:fldCharType="end"/>
      </w:r>
      <w:r w:rsidR="00711A2A" w:rsidRPr="002646F6">
        <w:t xml:space="preserve"> NICE, 2016 (TA423)</w:t>
      </w:r>
      <w:r w:rsidR="00F804FE" w:rsidRPr="002646F6">
        <w:t>.</w:t>
      </w:r>
      <w:r w:rsidR="00711A2A" w:rsidRPr="002646F6">
        <w:rPr>
          <w:vertAlign w:val="superscript"/>
        </w:rPr>
        <w:fldChar w:fldCharType="begin"/>
      </w:r>
      <w:r w:rsidR="00CA6345">
        <w:rPr>
          <w:vertAlign w:val="superscript"/>
        </w:rPr>
        <w:instrText xml:space="preserve"> ADDIN ZOTERO_ITEM CSL_CITATION {"citationID":"8Zeeu3yx","properties":{"formattedCitation":"\\super 131\\nosupersub{}","plainCitation":"131","noteIndex":0},"citationItems":[{"id":65884,"uris":["http://zotero.org/groups/4797619/items/GKXW7XYV"],"itemData":{"id":65884,"type":"webpage","abstract":"Evidence-based recommendations on eribulin (Halaven) for treating locally advanced or metastatic breast cancer after 2 or more types of chemotherapy","language":"eng","note":"publisher: NICE","title":"Eribulin for treating locally advanced or metastatic breast cancer after 2 or more chemotherapy regimens | NICE [TA423]","URL":"https://www.nice.org.uk/guidance/ta423","author":[{"family":"NICE","given":""}],"accessed":{"date-parts":[["2022",10,17]]}}}],"schema":"https://github.com/citation-style-language/schema/raw/master/csl-citation.json"} </w:instrText>
      </w:r>
      <w:r w:rsidR="00711A2A" w:rsidRPr="002646F6">
        <w:rPr>
          <w:vertAlign w:val="superscript"/>
        </w:rPr>
        <w:fldChar w:fldCharType="separate"/>
      </w:r>
      <w:r w:rsidR="00CA6345" w:rsidRPr="00CA6345">
        <w:rPr>
          <w:rFonts w:cs="Arial"/>
          <w:szCs w:val="24"/>
          <w:vertAlign w:val="superscript"/>
        </w:rPr>
        <w:t>131</w:t>
      </w:r>
      <w:r w:rsidR="00711A2A" w:rsidRPr="002646F6">
        <w:rPr>
          <w:vertAlign w:val="superscript"/>
        </w:rPr>
        <w:fldChar w:fldCharType="end"/>
      </w:r>
    </w:p>
    <w:p w14:paraId="5C1E07BF" w14:textId="72D84805" w:rsidR="00ED75ED" w:rsidRDefault="00515852" w:rsidP="00ED75ED">
      <w:pPr>
        <w:pStyle w:val="Body"/>
        <w:rPr>
          <w:b/>
          <w:bCs/>
        </w:rPr>
      </w:pPr>
      <w:r>
        <w:rPr>
          <w:b/>
          <w:bCs/>
        </w:rPr>
        <w:t>HER2-low/HR-negative</w:t>
      </w:r>
      <w:r w:rsidR="00ED75ED">
        <w:rPr>
          <w:b/>
          <w:bCs/>
        </w:rPr>
        <w:t xml:space="preserve"> u/mBC</w:t>
      </w:r>
    </w:p>
    <w:p w14:paraId="61BCAE20" w14:textId="0BC59EEE" w:rsidR="00336394" w:rsidRDefault="00336394" w:rsidP="00336394">
      <w:pPr>
        <w:pStyle w:val="Body"/>
      </w:pPr>
      <w:r w:rsidRPr="002646F6">
        <w:t xml:space="preserve">The proposed current UK pathway for </w:t>
      </w:r>
      <w:r w:rsidR="00515852">
        <w:t>HER2-low/HR-negative</w:t>
      </w:r>
      <w:r w:rsidRPr="002646F6">
        <w:t xml:space="preserve"> u/mBC following progression after one line of chemotherapy in the metastatic setting is presented in</w:t>
      </w:r>
      <w:r>
        <w:rPr>
          <w:b/>
          <w:bCs/>
        </w:rPr>
        <w:t xml:space="preserve"> </w:t>
      </w:r>
      <w:r w:rsidR="00112E1C" w:rsidRPr="00112E1C">
        <w:rPr>
          <w:b/>
          <w:bCs/>
        </w:rPr>
        <w:fldChar w:fldCharType="begin"/>
      </w:r>
      <w:r w:rsidR="00112E1C" w:rsidRPr="00112E1C">
        <w:rPr>
          <w:b/>
          <w:bCs/>
        </w:rPr>
        <w:instrText xml:space="preserve"> REF _Ref125645613 \h  \* MERGEFORMAT </w:instrText>
      </w:r>
      <w:r w:rsidR="00112E1C" w:rsidRPr="00112E1C">
        <w:rPr>
          <w:b/>
          <w:bCs/>
        </w:rPr>
      </w:r>
      <w:r w:rsidR="00112E1C" w:rsidRPr="00112E1C">
        <w:rPr>
          <w:b/>
          <w:bCs/>
        </w:rPr>
        <w:fldChar w:fldCharType="separate"/>
      </w:r>
      <w:r w:rsidR="00145F42" w:rsidRPr="00145F42">
        <w:rPr>
          <w:b/>
          <w:bCs/>
        </w:rPr>
        <w:t xml:space="preserve">Figure </w:t>
      </w:r>
      <w:r w:rsidR="00145F42" w:rsidRPr="00145F42">
        <w:rPr>
          <w:b/>
          <w:bCs/>
          <w:noProof/>
        </w:rPr>
        <w:t>6</w:t>
      </w:r>
      <w:r w:rsidR="00112E1C" w:rsidRPr="00112E1C">
        <w:rPr>
          <w:b/>
          <w:bCs/>
        </w:rPr>
        <w:fldChar w:fldCharType="end"/>
      </w:r>
      <w:r w:rsidRPr="002646F6">
        <w:t xml:space="preserve">, based on </w:t>
      </w:r>
      <w:r w:rsidRPr="002646F6">
        <w:lastRenderedPageBreak/>
        <w:t>recommendations from NICE CG81</w:t>
      </w:r>
      <w:r w:rsidR="00C75AF1" w:rsidRPr="002646F6">
        <w:fldChar w:fldCharType="begin"/>
      </w:r>
      <w:r w:rsidR="00CA6345">
        <w:instrText xml:space="preserve"> ADDIN ZOTERO_ITEM CSL_CITATION {"citationID":"YQgZwxQI","properties":{"formattedCitation":"\\super 35\\nosupersub{}","plainCitation":"35","noteIndex":0},"citationItems":[{"id":65866,"uris":["http://zotero.org/groups/4797619/items/3AESVSNK"],"itemData":{"id":65866,"type":"webpage","abstract":"This guideline covers care and support for people with advanced (stage 4) breast cancer. It aims to help them and their healthcare professionals make shared","language":"eng","note":"publisher: NICE","title":"Advanced breast cancer: diagnosis and treatment | NICE CG81","title-short":"NICE CG81. Recommendations | Advanced breast cancer","URL":"https://www.nice.org.uk/guidance/cg81/chapter/Recommendations","author":[{"family":"NICE","given":""}],"accessed":{"date-parts":[["2022",10,17]]},"issued":{"date-parts":[["2017"]]}}}],"schema":"https://github.com/citation-style-language/schema/raw/master/csl-citation.json"} </w:instrText>
      </w:r>
      <w:r w:rsidR="00C75AF1" w:rsidRPr="002646F6">
        <w:fldChar w:fldCharType="separate"/>
      </w:r>
      <w:r w:rsidR="00FD57F4" w:rsidRPr="00FD57F4">
        <w:rPr>
          <w:rFonts w:cs="Arial"/>
          <w:szCs w:val="24"/>
          <w:vertAlign w:val="superscript"/>
        </w:rPr>
        <w:t>35</w:t>
      </w:r>
      <w:r w:rsidR="00C75AF1" w:rsidRPr="002646F6">
        <w:fldChar w:fldCharType="end"/>
      </w:r>
      <w:r w:rsidRPr="002646F6">
        <w:t xml:space="preserve"> and NICE TAs in HER2-negative advanced BC (TA423</w:t>
      </w:r>
      <w:r w:rsidRPr="002646F6">
        <w:fldChar w:fldCharType="begin"/>
      </w:r>
      <w:r w:rsidR="00CA6345">
        <w:instrText xml:space="preserve"> ADDIN ZOTERO_ITEM CSL_CITATION {"citationID":"osbqJozR","properties":{"formattedCitation":"\\super 131\\nosupersub{}","plainCitation":"131","noteIndex":0},"citationItems":[{"id":65884,"uris":["http://zotero.org/groups/4797619/items/GKXW7XYV"],"itemData":{"id":65884,"type":"webpage","abstract":"Evidence-based recommendations on eribulin (Halaven) for treating locally advanced or metastatic breast cancer after 2 or more types of chemotherapy","language":"eng","note":"publisher: NICE","title":"Eribulin for treating locally advanced or metastatic breast cancer after 2 or more chemotherapy regimens | NICE [TA423]","URL":"https://www.nice.org.uk/guidance/ta423","author":[{"family":"NICE","given":""}],"accessed":{"date-parts":[["2022",10,17]]}}}],"schema":"https://github.com/citation-style-language/schema/raw/master/csl-citation.json"} </w:instrText>
      </w:r>
      <w:r w:rsidRPr="002646F6">
        <w:fldChar w:fldCharType="separate"/>
      </w:r>
      <w:r w:rsidR="00CA6345" w:rsidRPr="00CA6345">
        <w:rPr>
          <w:rFonts w:cs="Arial"/>
          <w:szCs w:val="24"/>
          <w:vertAlign w:val="superscript"/>
        </w:rPr>
        <w:t>131</w:t>
      </w:r>
      <w:r w:rsidRPr="002646F6">
        <w:fldChar w:fldCharType="end"/>
      </w:r>
      <w:r w:rsidRPr="002646F6">
        <w:t xml:space="preserve"> and TA819</w:t>
      </w:r>
      <w:r w:rsidRPr="002646F6">
        <w:fldChar w:fldCharType="begin"/>
      </w:r>
      <w:r w:rsidR="00CA6345">
        <w:instrText xml:space="preserve"> ADDIN ZOTERO_ITEM CSL_CITATION {"citationID":"quzGRQIc","properties":{"formattedCitation":"\\super 132\\nosupersub{}","plainCitation":"132","noteIndex":0},"citationItems":[{"id":65875,"uris":["http://zotero.org/groups/4797619/items/IP9MEGL9"],"itemData":{"id":65875,"type":"webpage","abstract":"Evidence-based recommendations on sacituzumab govetican (Trodelvy) for treating unresectable, triple-negative locally advanced or metastatic breast cancer in adults after 2 or more systemic therapies, at least 1 of which was for advanced disease","language":"eng","note":"publisher: NICE","title":"Sacituzumab govitecan for treating unresectable triple-negative advanced breast cancer after 2 or more therapies | NICE [TA819]","URL":"https://www.nice.org.uk/guidance/ta819","author":[{"family":"NICE","given":""}],"accessed":{"date-parts":[["2022",10,17]]}}}],"schema":"https://github.com/citation-style-language/schema/raw/master/csl-citation.json"} </w:instrText>
      </w:r>
      <w:r w:rsidRPr="002646F6">
        <w:fldChar w:fldCharType="separate"/>
      </w:r>
      <w:r w:rsidR="00CA6345" w:rsidRPr="00CA6345">
        <w:rPr>
          <w:rFonts w:cs="Arial"/>
          <w:szCs w:val="24"/>
          <w:vertAlign w:val="superscript"/>
        </w:rPr>
        <w:t>132</w:t>
      </w:r>
      <w:r w:rsidRPr="002646F6">
        <w:fldChar w:fldCharType="end"/>
      </w:r>
      <w:r w:rsidRPr="002646F6">
        <w:t>).</w:t>
      </w:r>
    </w:p>
    <w:p w14:paraId="0E7E3488" w14:textId="1C8B7875" w:rsidR="006630AF" w:rsidRDefault="00112E1C" w:rsidP="00112E1C">
      <w:pPr>
        <w:pStyle w:val="Caption"/>
      </w:pPr>
      <w:bookmarkStart w:id="89" w:name="_Ref125645613"/>
      <w:bookmarkStart w:id="90" w:name="_Toc129350932"/>
      <w:r>
        <w:t xml:space="preserve">Figure </w:t>
      </w:r>
      <w:r>
        <w:fldChar w:fldCharType="begin"/>
      </w:r>
      <w:r>
        <w:instrText>SEQ Figure \* ARABIC</w:instrText>
      </w:r>
      <w:r>
        <w:fldChar w:fldCharType="separate"/>
      </w:r>
      <w:r w:rsidR="00145F42">
        <w:rPr>
          <w:noProof/>
        </w:rPr>
        <w:t>6</w:t>
      </w:r>
      <w:r>
        <w:fldChar w:fldCharType="end"/>
      </w:r>
      <w:bookmarkEnd w:id="89"/>
      <w:r>
        <w:t xml:space="preserve">: Current pathway for </w:t>
      </w:r>
      <w:r w:rsidR="00515852">
        <w:t>HER2-low/HR-negative</w:t>
      </w:r>
      <w:r>
        <w:t xml:space="preserve"> u/mBC in England</w:t>
      </w:r>
      <w:r w:rsidR="002A370E">
        <w:t>*</w:t>
      </w:r>
      <w:bookmarkEnd w:id="90"/>
    </w:p>
    <w:tbl>
      <w:tblPr>
        <w:tblStyle w:val="TableGrid"/>
        <w:tblW w:w="0" w:type="auto"/>
        <w:tblLook w:val="04A0" w:firstRow="1" w:lastRow="0" w:firstColumn="1" w:lastColumn="0" w:noHBand="0" w:noVBand="1"/>
      </w:tblPr>
      <w:tblGrid>
        <w:gridCol w:w="9016"/>
      </w:tblGrid>
      <w:tr w:rsidR="003C76AB" w14:paraId="43D66BB4" w14:textId="77777777" w:rsidTr="002646F6">
        <w:tc>
          <w:tcPr>
            <w:tcW w:w="9016" w:type="dxa"/>
            <w:vAlign w:val="center"/>
          </w:tcPr>
          <w:p w14:paraId="12FE60DB" w14:textId="3DCA4CE8" w:rsidR="003C76AB" w:rsidRDefault="00433AC4" w:rsidP="002646F6">
            <w:pPr>
              <w:spacing w:before="120" w:after="120"/>
              <w:jc w:val="center"/>
            </w:pPr>
            <w:r w:rsidRPr="00433AC4">
              <w:rPr>
                <w:noProof/>
              </w:rPr>
              <w:drawing>
                <wp:inline distT="0" distB="0" distL="0" distR="0" wp14:anchorId="08CBB790" wp14:editId="205F236E">
                  <wp:extent cx="5537606" cy="1953002"/>
                  <wp:effectExtent l="0" t="0" r="635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3015"/>
                          <a:stretch/>
                        </pic:blipFill>
                        <pic:spPr bwMode="auto">
                          <a:xfrm>
                            <a:off x="0" y="0"/>
                            <a:ext cx="5568215" cy="1963797"/>
                          </a:xfrm>
                          <a:prstGeom prst="rect">
                            <a:avLst/>
                          </a:prstGeom>
                          <a:ln>
                            <a:noFill/>
                          </a:ln>
                          <a:extLst>
                            <a:ext uri="{53640926-AAD7-44D8-BBD7-CCE9431645EC}">
                              <a14:shadowObscured xmlns:a14="http://schemas.microsoft.com/office/drawing/2010/main"/>
                            </a:ext>
                          </a:extLst>
                        </pic:spPr>
                      </pic:pic>
                    </a:graphicData>
                  </a:graphic>
                </wp:inline>
              </w:drawing>
            </w:r>
          </w:p>
        </w:tc>
      </w:tr>
    </w:tbl>
    <w:p w14:paraId="128F9AE1" w14:textId="00E03060" w:rsidR="00994A43" w:rsidRPr="002646F6" w:rsidRDefault="002A370E" w:rsidP="00994A43">
      <w:pPr>
        <w:pStyle w:val="Footnotes"/>
        <w:spacing w:after="0"/>
      </w:pPr>
      <w:bookmarkStart w:id="91" w:name="_Hlk126686168"/>
      <w:r>
        <w:t xml:space="preserve">Key: Blue = </w:t>
      </w:r>
      <w:r w:rsidR="006614D6">
        <w:t xml:space="preserve">Non-targeted </w:t>
      </w:r>
      <w:r w:rsidR="00766FF3">
        <w:t xml:space="preserve">chemotherapy; Green = </w:t>
      </w:r>
      <w:r w:rsidR="00212212">
        <w:t>targ</w:t>
      </w:r>
      <w:r w:rsidR="006614D6">
        <w:t>eted therapy</w:t>
      </w:r>
      <w:r>
        <w:br/>
      </w:r>
      <w:r w:rsidR="00994A43" w:rsidRPr="002646F6">
        <w:t>*</w:t>
      </w:r>
      <w:r w:rsidR="00994A43" w:rsidRPr="0079094C">
        <w:t>Please note that this pathway may not be reflective of current practice based on the following:</w:t>
      </w:r>
    </w:p>
    <w:p w14:paraId="5AA50B67" w14:textId="74D669DF" w:rsidR="00994A43" w:rsidRDefault="00994A43" w:rsidP="00954359">
      <w:pPr>
        <w:pStyle w:val="Body"/>
        <w:numPr>
          <w:ilvl w:val="0"/>
          <w:numId w:val="34"/>
        </w:numPr>
        <w:spacing w:after="0" w:line="240" w:lineRule="auto"/>
        <w:ind w:left="142" w:hanging="142"/>
        <w:rPr>
          <w:sz w:val="18"/>
          <w:szCs w:val="18"/>
        </w:rPr>
      </w:pPr>
      <w:r w:rsidRPr="002646F6">
        <w:rPr>
          <w:sz w:val="18"/>
          <w:szCs w:val="18"/>
        </w:rPr>
        <w:t>NICE CG81 guidelines were published in 2009 and last updated in 2017.</w:t>
      </w:r>
      <w:r>
        <w:rPr>
          <w:sz w:val="18"/>
          <w:szCs w:val="18"/>
        </w:rPr>
        <w:fldChar w:fldCharType="begin"/>
      </w:r>
      <w:r w:rsidR="00CA6345">
        <w:rPr>
          <w:sz w:val="18"/>
          <w:szCs w:val="18"/>
        </w:rPr>
        <w:instrText xml:space="preserve"> ADDIN ZOTERO_ITEM CSL_CITATION {"citationID":"T1ziF2to","properties":{"formattedCitation":"\\super 35\\nosupersub{}","plainCitation":"35","noteIndex":0},"citationItems":[{"id":65866,"uris":["http://zotero.org/groups/4797619/items/3AESVSNK"],"itemData":{"id":65866,"type":"webpage","abstract":"This guideline covers care and support for people with advanced (stage 4) breast cancer. It aims to help them and their healthcare professionals make shared","language":"eng","note":"publisher: NICE","title":"Advanced breast cancer: diagnosis and treatment | NICE CG81","title-short":"NICE CG81. Recommendations | Advanced breast cancer","URL":"https://www.nice.org.uk/guidance/cg81/chapter/Recommendations","author":[{"family":"NICE","given":""}],"accessed":{"date-parts":[["2022",10,17]]},"issued":{"date-parts":[["2017"]]}}}],"schema":"https://github.com/citation-style-language/schema/raw/master/csl-citation.json"} </w:instrText>
      </w:r>
      <w:r>
        <w:rPr>
          <w:sz w:val="18"/>
          <w:szCs w:val="18"/>
        </w:rPr>
        <w:fldChar w:fldCharType="separate"/>
      </w:r>
      <w:r w:rsidR="00FD57F4" w:rsidRPr="00FD57F4">
        <w:rPr>
          <w:rFonts w:cs="Arial"/>
          <w:sz w:val="18"/>
          <w:szCs w:val="24"/>
          <w:vertAlign w:val="superscript"/>
        </w:rPr>
        <w:t>35</w:t>
      </w:r>
      <w:r>
        <w:rPr>
          <w:sz w:val="18"/>
          <w:szCs w:val="18"/>
        </w:rPr>
        <w:fldChar w:fldCharType="end"/>
      </w:r>
      <w:r>
        <w:rPr>
          <w:sz w:val="18"/>
          <w:szCs w:val="18"/>
        </w:rPr>
        <w:t xml:space="preserve"> NICE has recognised the need for these guidelines to be reviewed, with an update expected in 2023.</w:t>
      </w:r>
      <w:r w:rsidRPr="003C648C">
        <w:rPr>
          <w:sz w:val="18"/>
          <w:szCs w:val="18"/>
        </w:rPr>
        <w:fldChar w:fldCharType="begin"/>
      </w:r>
      <w:r w:rsidR="00CA6345">
        <w:rPr>
          <w:sz w:val="18"/>
          <w:szCs w:val="18"/>
        </w:rPr>
        <w:instrText xml:space="preserve"> ADDIN ZOTERO_ITEM CSL_CITATION {"citationID":"J5wqgtIy","properties":{"formattedCitation":"\\super 135\\nosupersub{}","plainCitation":"135","noteIndex":0},"citationItems":[{"id":66433,"uris":["http://zotero.org/groups/4797619/items/DNI23N3Q"],"itemData":{"id":66433,"type":"webpage","abstract":"This guideline covers care and support for people with advanced (stage 4) breast cancer. It aims to help them and their healthcare professionals make shared","language":"eng","note":"publisher: NICE","title":"Surveillance decision | Evidence | Advanced breast cancer: diagnosis and treatment | Guidance | NICE","title-short":"Surveillance decision | Evidence | Advanced breast cancer","URL":"https://www.nice.org.uk/guidance/cg81/resources/2023-surveillance-of-early-and-locally-advanced-breast-cancer-diagnosis-and-management-nice-guideline-ng101-and-advanced-breast-cancer-diagnosis-and-treatment-nice-guideline-cg81-11321031709/chapter/Surveillance-decision?tab=evidence","accessed":{"date-parts":[["2023",1,23]]}}}],"schema":"https://github.com/citation-style-language/schema/raw/master/csl-citation.json"} </w:instrText>
      </w:r>
      <w:r w:rsidRPr="003C648C">
        <w:rPr>
          <w:sz w:val="18"/>
          <w:szCs w:val="18"/>
        </w:rPr>
        <w:fldChar w:fldCharType="separate"/>
      </w:r>
      <w:r w:rsidR="00CA6345" w:rsidRPr="00CA6345">
        <w:rPr>
          <w:rFonts w:cs="Arial"/>
          <w:sz w:val="18"/>
          <w:szCs w:val="24"/>
          <w:vertAlign w:val="superscript"/>
        </w:rPr>
        <w:t>135</w:t>
      </w:r>
      <w:r w:rsidRPr="003C648C">
        <w:rPr>
          <w:sz w:val="18"/>
          <w:szCs w:val="18"/>
        </w:rPr>
        <w:fldChar w:fldCharType="end"/>
      </w:r>
      <w:r w:rsidRPr="00182013">
        <w:rPr>
          <w:sz w:val="18"/>
          <w:szCs w:val="18"/>
        </w:rPr>
        <w:t xml:space="preserve"> </w:t>
      </w:r>
      <w:r w:rsidRPr="002646F6">
        <w:rPr>
          <w:sz w:val="18"/>
          <w:szCs w:val="18"/>
        </w:rPr>
        <w:fldChar w:fldCharType="begin"/>
      </w:r>
      <w:r w:rsidR="00CA6345">
        <w:rPr>
          <w:sz w:val="18"/>
          <w:szCs w:val="18"/>
        </w:rPr>
        <w:instrText xml:space="preserve"> ADDIN ZOTERO_ITEM CSL_CITATION {"citationID":"lGPJdAdZ","properties":{"formattedCitation":"\\super 6\\nosupersub{}","plainCitation":"6","dontUpdate":true,"noteIndex":0},"citationItems":[{"id":65866,"uris":["http://zotero.org/groups/4797619/items/3AESVSNK"],"itemData":{"id":65866,"type":"webpage","abstract":"This guideline covers care and support for people with advanced (stage 4) breast cancer. It aims to help them and their healthcare professionals make shared","language":"eng","note":"publisher: NICE","title":"Advanced breast cancer: diagnosis and treatment | NICE CG81","title-short":"NICE CG81. Recommendations | Advanced breast cancer","URL":"https://www.nice.org.uk/guidance/cg81/chapter/Recommendations","author":[{"family":"NICE","given":""}],"accessed":{"date-parts":[["2022",10,17]]},"issued":{"date-parts":[["2017"]]}}}],"schema":"https://github.com/citation-style-language/schema/raw/master/csl-citation.json"} </w:instrText>
      </w:r>
      <w:r w:rsidRPr="002646F6">
        <w:rPr>
          <w:sz w:val="18"/>
          <w:szCs w:val="18"/>
        </w:rPr>
        <w:fldChar w:fldCharType="separate"/>
      </w:r>
      <w:r w:rsidRPr="002646F6">
        <w:rPr>
          <w:sz w:val="18"/>
          <w:szCs w:val="18"/>
        </w:rPr>
        <w:fldChar w:fldCharType="end"/>
      </w:r>
      <w:r>
        <w:rPr>
          <w:sz w:val="18"/>
          <w:szCs w:val="18"/>
        </w:rPr>
        <w:t>As such, NICE CG81 r</w:t>
      </w:r>
      <w:r w:rsidRPr="002646F6">
        <w:rPr>
          <w:sz w:val="18"/>
          <w:szCs w:val="18"/>
        </w:rPr>
        <w:t>ecommendations may no longer reflect UK clinical practice, as confirmed by UK experts at a December 2022 advisory board.</w:t>
      </w:r>
      <w:r w:rsidR="00F544E4">
        <w:rPr>
          <w:sz w:val="18"/>
          <w:szCs w:val="18"/>
        </w:rPr>
        <w:fldChar w:fldCharType="begin"/>
      </w:r>
      <w:r w:rsidR="00CA6345">
        <w:rPr>
          <w:sz w:val="18"/>
          <w:szCs w:val="18"/>
        </w:rPr>
        <w:instrText xml:space="preserve"> ADDIN ZOTERO_ITEM CSL_CITATION {"citationID":"LI0HJW3H","properties":{"formattedCitation":"\\super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00F544E4">
        <w:rPr>
          <w:sz w:val="18"/>
          <w:szCs w:val="18"/>
        </w:rPr>
        <w:fldChar w:fldCharType="separate"/>
      </w:r>
      <w:r w:rsidR="00CA6345" w:rsidRPr="00CA6345">
        <w:rPr>
          <w:rFonts w:cs="Arial"/>
          <w:sz w:val="18"/>
          <w:szCs w:val="24"/>
          <w:vertAlign w:val="superscript"/>
        </w:rPr>
        <w:t>121</w:t>
      </w:r>
      <w:r w:rsidR="00F544E4">
        <w:rPr>
          <w:sz w:val="18"/>
          <w:szCs w:val="18"/>
        </w:rPr>
        <w:fldChar w:fldCharType="end"/>
      </w:r>
      <w:r w:rsidRPr="002646F6">
        <w:rPr>
          <w:sz w:val="18"/>
          <w:szCs w:val="18"/>
        </w:rPr>
        <w:t xml:space="preserve"> </w:t>
      </w:r>
    </w:p>
    <w:p w14:paraId="64269845" w14:textId="679A6F45" w:rsidR="00994A43" w:rsidRPr="009C12B4" w:rsidRDefault="00994A43" w:rsidP="00954359">
      <w:pPr>
        <w:pStyle w:val="Footnotes"/>
        <w:numPr>
          <w:ilvl w:val="0"/>
          <w:numId w:val="34"/>
        </w:numPr>
        <w:spacing w:after="0"/>
        <w:ind w:left="142" w:hanging="142"/>
      </w:pPr>
      <w:r w:rsidRPr="00C132F8">
        <w:t>UK clinical experts and ESMO 2021</w:t>
      </w:r>
      <w:r w:rsidRPr="00C132F8">
        <w:fldChar w:fldCharType="begin"/>
      </w:r>
      <w:r w:rsidR="00CA6345">
        <w:instrText xml:space="preserve"> ADDIN ZOTERO_ITEM CSL_CITATION {"citationID":"0y1L9Uo9","properties":{"formattedCitation":"\\super 42\\nosupersub{}","plainCitation":"42","noteIndex":0},"citationItems":[{"id":65955,"uris":["http://zotero.org/groups/4797619/items/4KXA6CCG"],"itemData":{"id":65955,"type":"article-journal","container-title":"Annals of Oncology: Official Journal of the European Society for Medical Oncology","DOI":"10.1016/j.annonc.2021.09.019","ISSN":"1569-8041","issue":"12","journalAbbreviation":"Ann Oncol","language":"eng","note":"PMID: 34678411","page":"1475-1495","source":"PubMed","title":"ESMO Clinical Practice Guideline for the diagnosis, staging and treatment of patients with metastatic breast cancer","volume":"32","author":[{"family":"Gennari","given":"A."},{"family":"André","given":"F."},{"family":"Barrios","given":"C. H."},{"family":"Cortés","given":"J."},{"family":"Azambuja","given":"E.","non-dropping-particle":"de"},{"family":"DeMichele","given":"A."},{"family":"Dent","given":"R."},{"family":"Fenlon","given":"D."},{"family":"Gligorov","given":"J."},{"family":"Hurvitz","given":"S. A."},{"family":"Im","given":"S.-A."},{"family":"Krug","given":"D."},{"family":"Kunz","given":"W. G."},{"family":"Loi","given":"S."},{"family":"Penault-Llorca","given":"F."},{"family":"Ricke","given":"J."},{"family":"Robson","given":"M."},{"family":"Rugo","given":"H. S."},{"family":"Saura","given":"C."},{"family":"Schmid","given":"P."},{"family":"Singer","given":"C. F."},{"family":"Spanic","given":"T."},{"family":"Tolaney","given":"S. M."},{"family":"Turner","given":"N. C."},{"family":"Curigliano","given":"G."},{"family":"Loibl","given":"S."},{"family":"Paluch-Shimon","given":"S."},{"family":"Harbeck","given":"N."},{"literal":"ESMO Guidelines Committee. Electronic address: clinicalguidelines@esmo.org"}],"issued":{"date-parts":[["2021",12]]}}}],"schema":"https://github.com/citation-style-language/schema/raw/master/csl-citation.json"} </w:instrText>
      </w:r>
      <w:r w:rsidRPr="00C132F8">
        <w:fldChar w:fldCharType="separate"/>
      </w:r>
      <w:r w:rsidR="00FD57F4" w:rsidRPr="00FD57F4">
        <w:rPr>
          <w:rFonts w:cs="Arial"/>
          <w:sz w:val="22"/>
          <w:szCs w:val="24"/>
          <w:vertAlign w:val="superscript"/>
        </w:rPr>
        <w:t>42</w:t>
      </w:r>
      <w:r w:rsidRPr="00C132F8">
        <w:fldChar w:fldCharType="end"/>
      </w:r>
      <w:r w:rsidRPr="00C132F8">
        <w:t xml:space="preserve"> guidelines state that treatment decisions are made on an individual patient basis, taking into consideration prior therapies, patient fitness, and patient preference.</w:t>
      </w:r>
    </w:p>
    <w:p w14:paraId="71ADBF7C" w14:textId="19472D53" w:rsidR="00994A43" w:rsidRDefault="00994A43" w:rsidP="00954359">
      <w:pPr>
        <w:pStyle w:val="Body"/>
        <w:numPr>
          <w:ilvl w:val="0"/>
          <w:numId w:val="34"/>
        </w:numPr>
        <w:spacing w:after="0" w:line="240" w:lineRule="auto"/>
        <w:ind w:left="142" w:hanging="142"/>
        <w:rPr>
          <w:sz w:val="18"/>
          <w:szCs w:val="18"/>
        </w:rPr>
      </w:pPr>
      <w:r w:rsidRPr="002646F6">
        <w:rPr>
          <w:sz w:val="18"/>
          <w:szCs w:val="18"/>
        </w:rPr>
        <w:t>UK clinical experts and ESMO 2021</w:t>
      </w:r>
      <w:r w:rsidRPr="002646F6">
        <w:rPr>
          <w:sz w:val="18"/>
          <w:szCs w:val="18"/>
        </w:rPr>
        <w:fldChar w:fldCharType="begin"/>
      </w:r>
      <w:r w:rsidR="00CA6345">
        <w:rPr>
          <w:sz w:val="18"/>
          <w:szCs w:val="18"/>
        </w:rPr>
        <w:instrText xml:space="preserve"> ADDIN ZOTERO_ITEM CSL_CITATION {"citationID":"KI5b2psc","properties":{"formattedCitation":"\\super 42\\nosupersub{}","plainCitation":"42","noteIndex":0},"citationItems":[{"id":65955,"uris":["http://zotero.org/groups/4797619/items/4KXA6CCG"],"itemData":{"id":65955,"type":"article-journal","container-title":"Annals of Oncology: Official Journal of the European Society for Medical Oncology","DOI":"10.1016/j.annonc.2021.09.019","ISSN":"1569-8041","issue":"12","journalAbbreviation":"Ann Oncol","language":"eng","note":"PMID: 34678411","page":"1475-1495","source":"PubMed","title":"ESMO Clinical Practice Guideline for the diagnosis, staging and treatment of patients with metastatic breast cancer","volume":"32","author":[{"family":"Gennari","given":"A."},{"family":"André","given":"F."},{"family":"Barrios","given":"C. H."},{"family":"Cortés","given":"J."},{"family":"Azambuja","given":"E.","non-dropping-particle":"de"},{"family":"DeMichele","given":"A."},{"family":"Dent","given":"R."},{"family":"Fenlon","given":"D."},{"family":"Gligorov","given":"J."},{"family":"Hurvitz","given":"S. A."},{"family":"Im","given":"S.-A."},{"family":"Krug","given":"D."},{"family":"Kunz","given":"W. G."},{"family":"Loi","given":"S."},{"family":"Penault-Llorca","given":"F."},{"family":"Ricke","given":"J."},{"family":"Robson","given":"M."},{"family":"Rugo","given":"H. S."},{"family":"Saura","given":"C."},{"family":"Schmid","given":"P."},{"family":"Singer","given":"C. F."},{"family":"Spanic","given":"T."},{"family":"Tolaney","given":"S. M."},{"family":"Turner","given":"N. C."},{"family":"Curigliano","given":"G."},{"family":"Loibl","given":"S."},{"family":"Paluch-Shimon","given":"S."},{"family":"Harbeck","given":"N."},{"literal":"ESMO Guidelines Committee. Electronic address: clinicalguidelines@esmo.org"}],"issued":{"date-parts":[["2021",12]]}}}],"schema":"https://github.com/citation-style-language/schema/raw/master/csl-citation.json"} </w:instrText>
      </w:r>
      <w:r w:rsidRPr="002646F6">
        <w:rPr>
          <w:sz w:val="18"/>
          <w:szCs w:val="18"/>
        </w:rPr>
        <w:fldChar w:fldCharType="separate"/>
      </w:r>
      <w:r w:rsidR="00FD57F4" w:rsidRPr="00FD57F4">
        <w:rPr>
          <w:rFonts w:cs="Arial"/>
          <w:sz w:val="18"/>
          <w:szCs w:val="24"/>
          <w:vertAlign w:val="superscript"/>
        </w:rPr>
        <w:t>42</w:t>
      </w:r>
      <w:r w:rsidRPr="002646F6">
        <w:rPr>
          <w:sz w:val="18"/>
          <w:szCs w:val="18"/>
        </w:rPr>
        <w:fldChar w:fldCharType="end"/>
      </w:r>
      <w:r w:rsidRPr="002646F6">
        <w:rPr>
          <w:sz w:val="18"/>
          <w:szCs w:val="18"/>
        </w:rPr>
        <w:t xml:space="preserve"> guidelines state that there is no optimal treatment sequence.</w:t>
      </w:r>
    </w:p>
    <w:p w14:paraId="3197FC39" w14:textId="43F2AE4C" w:rsidR="00994A43" w:rsidRPr="001F7336" w:rsidRDefault="00920DC1" w:rsidP="00954359">
      <w:pPr>
        <w:pStyle w:val="Body"/>
        <w:numPr>
          <w:ilvl w:val="0"/>
          <w:numId w:val="34"/>
        </w:numPr>
        <w:spacing w:after="0" w:line="240" w:lineRule="auto"/>
        <w:ind w:left="142" w:hanging="142"/>
        <w:rPr>
          <w:sz w:val="18"/>
          <w:szCs w:val="18"/>
        </w:rPr>
      </w:pPr>
      <w:r w:rsidRPr="00C132F8">
        <w:rPr>
          <w:sz w:val="18"/>
          <w:szCs w:val="18"/>
        </w:rPr>
        <w:t xml:space="preserve">UK clinical experts </w:t>
      </w:r>
      <w:r>
        <w:rPr>
          <w:sz w:val="18"/>
          <w:szCs w:val="18"/>
        </w:rPr>
        <w:t>and published data</w:t>
      </w:r>
      <w:r>
        <w:rPr>
          <w:sz w:val="18"/>
          <w:szCs w:val="18"/>
        </w:rPr>
        <w:fldChar w:fldCharType="begin"/>
      </w:r>
      <w:r w:rsidR="00CA6345">
        <w:rPr>
          <w:sz w:val="18"/>
          <w:szCs w:val="18"/>
        </w:rPr>
        <w:instrText xml:space="preserve"> ADDIN ZOTERO_ITEM CSL_CITATION {"citationID":"Q11i8i76","properties":{"formattedCitation":"\\super 118\\nosupersub{}","plainCitation":"118","noteIndex":0},"citationItems":[{"id":66343,"uris":["http://zotero.org/groups/4797619/items/IB6926PV"],"itemData":{"id":66343,"type":"article-journal","abstract":"INTRODUCTION: Currently available evidence does not provide definitive guidance regarding the optimal chemotherapy agents and combinations in anthracycline- and taxane-pretreated advanced breast cancer. We performed a systematic review of controlled clinical trials of the cytotoxic agents currently used for this population in Europe: capecitabine, gemcitabine, vinorelbine, docetaxel, paclitaxel and paclitaxel protein-bound particles.\nMETHOD: A systematic review of randomised (RCT) and non-randomised controlled clinical trials (non-RCTs). The primary outcomes of interest were overall survival (OS) and progression-free survival (PFS); secondary outcomes were duration of response (DR), overall response rate (ORR), adverse events and quality of life (QoL). Six electronic databases and grey literature sources were searched; reference tracking was performed on included publications. A narrative synthesis was conducted: heterogeneity of study design and interventions prevented meta-analysis.\nRESULTS: No randomised controlled trial (RCT) found any significant differences between any of the regimens in terms of OS. In terms of PFS, only gemcitabine plus vinorelbine performed significantly better than its comparator, vinorelbine alone. For secondary outcomes, only capecitabine plus bevacizumab had a significantly better outcome than its comparator, capecitabine alone, in terms of ORR. A low quality non-RCT found that both capecitabine monotherapy and a combination of capecitabine plus vinorelbine were significantly more effective than vinorelbine alone in terms of OS and ORR. Across all trials, median OS for these patients typically remained less than 16 months.\nCONCLUSION: The quantity and quality of the available evidence regarding the efficacy of the particular chemotherapy regimens in patients with advanced breast cancer pretreated with an anthracycline and a taxane is extremely limited. New effective therapies are sorely needed in this population.","container-title":"European Journal of Cancer (Oxford, England: 1990)","DOI":"10.1016/j.ejca.2009.05.035","ISSN":"1879-0852","issue":"16","journalAbbreviation":"Eur J Cancer","language":"eng","note":"PMID: 19615886","page":"2749-2758","source":"PubMed","title":"The clinical efficacy of cytotoxic agents in locally advanced or metastatic breast cancer patients pretreated with an anthracycline and a taxane: a systematic review","title-short":"The clinical efficacy of cytotoxic agents in locally advanced or metastatic breast cancer patients pretreated with an anthracycline and a taxane","volume":"45","author":[{"family":"Jassem","given":"Jacek"},{"family":"Carroll","given":"Christopher"},{"family":"Ward","given":"Sue E."},{"family":"Simpson","given":"Emma"},{"family":"Hind","given":"Daniel"}],"issued":{"date-parts":[["2009",11]]}}}],"schema":"https://github.com/citation-style-language/schema/raw/master/csl-citation.json"} </w:instrText>
      </w:r>
      <w:r>
        <w:rPr>
          <w:sz w:val="18"/>
          <w:szCs w:val="18"/>
        </w:rPr>
        <w:fldChar w:fldCharType="separate"/>
      </w:r>
      <w:r w:rsidR="00CA6345" w:rsidRPr="00CA6345">
        <w:rPr>
          <w:rFonts w:cs="Arial"/>
          <w:sz w:val="18"/>
          <w:szCs w:val="24"/>
          <w:vertAlign w:val="superscript"/>
        </w:rPr>
        <w:t>118</w:t>
      </w:r>
      <w:r>
        <w:rPr>
          <w:sz w:val="18"/>
          <w:szCs w:val="18"/>
        </w:rPr>
        <w:fldChar w:fldCharType="end"/>
      </w:r>
      <w:r>
        <w:rPr>
          <w:sz w:val="18"/>
          <w:szCs w:val="18"/>
        </w:rPr>
        <w:t xml:space="preserve"> indicate</w:t>
      </w:r>
      <w:r w:rsidRPr="00C132F8">
        <w:rPr>
          <w:sz w:val="18"/>
          <w:szCs w:val="18"/>
        </w:rPr>
        <w:t xml:space="preserve"> that all single-agent chemotherap</w:t>
      </w:r>
      <w:r>
        <w:rPr>
          <w:sz w:val="18"/>
          <w:szCs w:val="18"/>
        </w:rPr>
        <w:t>ies</w:t>
      </w:r>
      <w:r w:rsidRPr="00C132F8">
        <w:rPr>
          <w:sz w:val="18"/>
          <w:szCs w:val="18"/>
        </w:rPr>
        <w:t xml:space="preserve"> have </w:t>
      </w:r>
      <w:r>
        <w:rPr>
          <w:sz w:val="18"/>
          <w:szCs w:val="18"/>
        </w:rPr>
        <w:t>similar</w:t>
      </w:r>
      <w:r w:rsidRPr="00C132F8">
        <w:rPr>
          <w:sz w:val="18"/>
          <w:szCs w:val="18"/>
        </w:rPr>
        <w:t xml:space="preserve"> efficacy</w:t>
      </w:r>
      <w:r w:rsidR="00994A43" w:rsidRPr="00C132F8">
        <w:rPr>
          <w:sz w:val="18"/>
          <w:szCs w:val="18"/>
        </w:rPr>
        <w:t>.</w:t>
      </w:r>
    </w:p>
    <w:p w14:paraId="559913D2" w14:textId="499F7BD2" w:rsidR="00640F6B" w:rsidRDefault="00B01989" w:rsidP="003C648C">
      <w:pPr>
        <w:pStyle w:val="Footnotes"/>
        <w:spacing w:after="0"/>
      </w:pPr>
      <w:r w:rsidRPr="002646F6">
        <w:t xml:space="preserve">**Recommended as an option only when docetaxel monotherapy or docetaxel plus capecitabine would be considered appropriate. </w:t>
      </w:r>
    </w:p>
    <w:p w14:paraId="622E4A83" w14:textId="2AA882A4" w:rsidR="00ED75ED" w:rsidRPr="002646F6" w:rsidRDefault="00640F6B" w:rsidP="002C11BB">
      <w:pPr>
        <w:pStyle w:val="Footnotes"/>
      </w:pPr>
      <w:r>
        <w:rPr>
          <w:rFonts w:cs="Arial"/>
          <w:vertAlign w:val="superscript"/>
        </w:rPr>
        <w:t>§</w:t>
      </w:r>
      <w:r>
        <w:rPr>
          <w:rFonts w:cs="Arial"/>
        </w:rPr>
        <w:t>Recommended in patients with PD-L1 positive disease only.</w:t>
      </w:r>
      <w:r w:rsidR="00B01989" w:rsidRPr="002646F6">
        <w:br/>
      </w:r>
      <w:r w:rsidR="00B01989" w:rsidRPr="002646F6">
        <w:rPr>
          <w:rFonts w:cs="Arial"/>
          <w:vertAlign w:val="superscript"/>
        </w:rPr>
        <w:t>†</w:t>
      </w:r>
      <w:r w:rsidR="005C25BA" w:rsidRPr="005C25BA">
        <w:t>Recommended after 2 or more systemic therapies, at least 1 of which was for advanced disease</w:t>
      </w:r>
      <w:r w:rsidR="005C25BA">
        <w:t>.</w:t>
      </w:r>
      <w:r w:rsidR="00AA0E48">
        <w:t>.</w:t>
      </w:r>
      <w:r w:rsidR="006A6782">
        <w:br/>
      </w:r>
      <w:r w:rsidR="00900C87">
        <w:rPr>
          <w:rFonts w:cs="Arial"/>
          <w:vertAlign w:val="superscript"/>
        </w:rPr>
        <w:t>‡</w:t>
      </w:r>
      <w:r w:rsidR="006A6782">
        <w:rPr>
          <w:rFonts w:cs="Arial"/>
        </w:rPr>
        <w:t>Whichever was not used as second-line treatment.</w:t>
      </w:r>
      <w:r w:rsidR="00B01989" w:rsidRPr="002646F6">
        <w:br/>
        <w:t xml:space="preserve">Abbreviations: </w:t>
      </w:r>
      <w:r w:rsidR="00D66150">
        <w:t xml:space="preserve">CG, clinical guideline; ESMO, European Society for Medical Oncology; </w:t>
      </w:r>
      <w:r w:rsidR="004C71E7">
        <w:t xml:space="preserve">HER2, human epidermal growth factor receptor; </w:t>
      </w:r>
      <w:r w:rsidR="0096002B">
        <w:t xml:space="preserve">HR, hormone receptor; </w:t>
      </w:r>
      <w:r w:rsidR="004C71E7">
        <w:t xml:space="preserve">NICE, National Institute for Health and Care Excellence; PD-L1, programmed death ligand 1; </w:t>
      </w:r>
      <w:r w:rsidR="00D66150" w:rsidRPr="002646F6">
        <w:t>TA, technology appraisal</w:t>
      </w:r>
      <w:r w:rsidR="00D66150">
        <w:t xml:space="preserve">; </w:t>
      </w:r>
      <w:r w:rsidR="00D66150" w:rsidRPr="002646F6">
        <w:t>u/mBC, unresectable/metastatic breast cancer</w:t>
      </w:r>
      <w:r w:rsidR="00D66150">
        <w:t>.</w:t>
      </w:r>
      <w:r w:rsidR="00B01989" w:rsidRPr="002646F6">
        <w:br/>
      </w:r>
      <w:r w:rsidR="00B01989" w:rsidRPr="003C648C">
        <w:rPr>
          <w:lang w:val="pl-PL"/>
        </w:rPr>
        <w:t>Sources: NICE, 2009 (CG81);</w:t>
      </w:r>
      <w:r w:rsidR="00B01989" w:rsidRPr="002646F6">
        <w:fldChar w:fldCharType="begin"/>
      </w:r>
      <w:r w:rsidR="00CA6345">
        <w:rPr>
          <w:lang w:val="pl-PL"/>
        </w:rPr>
        <w:instrText xml:space="preserve"> ADDIN ZOTERO_ITEM CSL_CITATION {"citationID":"zjW1ED6c","properties":{"formattedCitation":"\\super 35\\nosupersub{}","plainCitation":"35","noteIndex":0},"citationItems":[{"id":65866,"uris":["http://zotero.org/groups/4797619/items/3AESVSNK"],"itemData":{"id":65866,"type":"webpage","abstract":"This guideline covers care and support for people with advanced (stage 4) breast cancer. It aims to help them and their healthcare professionals make shared","language":"eng","note":"publisher: NICE","title":"Advanced breast cancer: diagnosis and treatment | NICE CG81","title-short":"NICE CG81. Recommendations | Advanced breast cancer","URL":"https://www.nice.org.uk/guidance/cg81/chapter/Recommendations","author":[{"family":"NICE","given":""}],"accessed":{"date-parts":[["2022",10,17]]},"issued":{"date-parts":[["2017"]]}}}],"schema":"https://github.com/citation-style-language/schema/raw/master/csl-citation.json"} </w:instrText>
      </w:r>
      <w:r w:rsidR="00B01989" w:rsidRPr="002646F6">
        <w:fldChar w:fldCharType="separate"/>
      </w:r>
      <w:r w:rsidR="00FD57F4" w:rsidRPr="00F96305">
        <w:rPr>
          <w:rFonts w:cs="Arial"/>
          <w:szCs w:val="24"/>
          <w:vertAlign w:val="superscript"/>
          <w:lang w:val="pl-PL"/>
        </w:rPr>
        <w:t>35</w:t>
      </w:r>
      <w:r w:rsidR="00B01989" w:rsidRPr="002646F6">
        <w:fldChar w:fldCharType="end"/>
      </w:r>
      <w:r w:rsidR="00B01989" w:rsidRPr="003C648C" w:rsidDel="0055772D">
        <w:rPr>
          <w:lang w:val="pl-PL"/>
        </w:rPr>
        <w:t xml:space="preserve"> </w:t>
      </w:r>
      <w:r w:rsidR="00B01989" w:rsidRPr="003C648C">
        <w:rPr>
          <w:lang w:val="pl-PL"/>
        </w:rPr>
        <w:t>NICE, 2007 (TA116);</w:t>
      </w:r>
      <w:r w:rsidR="00B01989" w:rsidRPr="002646F6">
        <w:fldChar w:fldCharType="begin"/>
      </w:r>
      <w:r w:rsidR="00CA6345">
        <w:rPr>
          <w:lang w:val="pl-PL"/>
        </w:rPr>
        <w:instrText xml:space="preserve"> ADDIN ZOTERO_ITEM CSL_CITATION {"citationID":"Mch24O5J","properties":{"formattedCitation":"\\super 122\\nosupersub{}","plainCitation":"122","noteIndex":0},"citationItems":[{"id":65876,"uris":["http://zotero.org/groups/4797619/items/6S5RPIVP"],"itemData":{"id":65876,"type":"webpage","abstract":"Evidence-based recommendations on gemcitabine for treating metastatic breast cancer in adults","language":"eng","note":"publisher: NICE","title":"Gemcitabine for the treatment of metastatic breast cancer | NICE [TA116]","URL":"https://www.nice.org.uk/guidance/ta116","author":[{"family":"NICE","given":""}],"accessed":{"date-parts":[["2022",10,17]]}}}],"schema":"https://github.com/citation-style-language/schema/raw/master/csl-citation.json"} </w:instrText>
      </w:r>
      <w:r w:rsidR="00B01989" w:rsidRPr="002646F6">
        <w:fldChar w:fldCharType="separate"/>
      </w:r>
      <w:r w:rsidR="00CA6345" w:rsidRPr="005A458E">
        <w:rPr>
          <w:rFonts w:cs="Arial"/>
          <w:szCs w:val="24"/>
          <w:vertAlign w:val="superscript"/>
          <w:lang w:val="pl-PL"/>
        </w:rPr>
        <w:t>122</w:t>
      </w:r>
      <w:r w:rsidR="00B01989" w:rsidRPr="002646F6">
        <w:fldChar w:fldCharType="end"/>
      </w:r>
      <w:r w:rsidR="00B01989" w:rsidRPr="003C648C">
        <w:rPr>
          <w:lang w:val="pl-PL"/>
        </w:rPr>
        <w:t xml:space="preserve"> NICE, 2016 (TA423)</w:t>
      </w:r>
      <w:r w:rsidR="002C5F75" w:rsidRPr="003C648C">
        <w:rPr>
          <w:lang w:val="pl-PL"/>
        </w:rPr>
        <w:t>;</w:t>
      </w:r>
      <w:r w:rsidR="00B01989" w:rsidRPr="002646F6">
        <w:fldChar w:fldCharType="begin"/>
      </w:r>
      <w:r w:rsidR="00CA6345">
        <w:rPr>
          <w:lang w:val="pl-PL"/>
        </w:rPr>
        <w:instrText xml:space="preserve"> ADDIN ZOTERO_ITEM CSL_CITATION {"citationID":"HSxEn7mN","properties":{"formattedCitation":"\\super 131\\nosupersub{}","plainCitation":"131","noteIndex":0},"citationItems":[{"id":65884,"uris":["http://zotero.org/groups/4797619/items/GKXW7XYV"],"itemData":{"id":65884,"type":"webpage","abstract":"Evidence-based recommendations on eribulin (Halaven) for treating locally advanced or metastatic breast cancer after 2 or more types of chemotherapy","language":"eng","note":"publisher: NICE","title":"Eribulin for treating locally advanced or metastatic breast cancer after 2 or more chemotherapy regimens | NICE [TA423]","URL":"https://www.nice.org.uk/guidance/ta423","author":[{"family":"NICE","given":""}],"accessed":{"date-parts":[["2022",10,17]]}}}],"schema":"https://github.com/citation-style-language/schema/raw/master/csl-citation.json"} </w:instrText>
      </w:r>
      <w:r w:rsidR="00B01989" w:rsidRPr="002646F6">
        <w:fldChar w:fldCharType="separate"/>
      </w:r>
      <w:r w:rsidR="00CA6345" w:rsidRPr="005A458E">
        <w:rPr>
          <w:rFonts w:cs="Arial"/>
          <w:szCs w:val="24"/>
          <w:vertAlign w:val="superscript"/>
          <w:lang w:val="pl-PL"/>
        </w:rPr>
        <w:t>131</w:t>
      </w:r>
      <w:r w:rsidR="00B01989" w:rsidRPr="002646F6">
        <w:fldChar w:fldCharType="end"/>
      </w:r>
      <w:r w:rsidR="002C5F75" w:rsidRPr="003C648C">
        <w:rPr>
          <w:lang w:val="pl-PL"/>
        </w:rPr>
        <w:t xml:space="preserve"> NICE</w:t>
      </w:r>
      <w:r w:rsidR="00C14EE0" w:rsidRPr="003C648C">
        <w:rPr>
          <w:lang w:val="pl-PL"/>
        </w:rPr>
        <w:t>, 2022 (TA819)</w:t>
      </w:r>
      <w:r w:rsidR="00BA3AEB" w:rsidRPr="003C648C">
        <w:rPr>
          <w:lang w:val="pl-PL"/>
        </w:rPr>
        <w:t>;</w:t>
      </w:r>
      <w:r w:rsidR="00C14EE0">
        <w:fldChar w:fldCharType="begin"/>
      </w:r>
      <w:r w:rsidR="00CA6345">
        <w:rPr>
          <w:lang w:val="pl-PL"/>
        </w:rPr>
        <w:instrText xml:space="preserve"> ADDIN ZOTERO_ITEM CSL_CITATION {"citationID":"urWMWeps","properties":{"formattedCitation":"\\super 132\\nosupersub{}","plainCitation":"132","noteIndex":0},"citationItems":[{"id":65875,"uris":["http://zotero.org/groups/4797619/items/IP9MEGL9"],"itemData":{"id":65875,"type":"webpage","abstract":"Evidence-based recommendations on sacituzuma</w:instrText>
      </w:r>
      <w:r w:rsidR="00CA6345" w:rsidRPr="009C28D0">
        <w:instrText xml:space="preserve">b govetican (Trodelvy) for treating unresectable, triple-negative locally advanced or metastatic breast cancer in adults after 2 or more systemic therapies, at least 1 of which was for advanced disease","language":"eng","note":"publisher: NICE","title":"Sacituzumab govitecan for treating unresectable triple-negative advanced breast cancer after 2 or more therapies | NICE [TA819]","URL":"https://www.nice.org.uk/guidance/ta819","author":[{"family":"NICE","given":""}],"accessed":{"date-parts":[["2022",10,17]]}}}],"schema":"https://github.com/citation-style-language/schema/raw/master/csl-citation.json"} </w:instrText>
      </w:r>
      <w:r w:rsidR="00C14EE0">
        <w:fldChar w:fldCharType="separate"/>
      </w:r>
      <w:r w:rsidR="00CA6345" w:rsidRPr="009C28D0">
        <w:rPr>
          <w:rFonts w:cs="Arial"/>
          <w:szCs w:val="24"/>
          <w:vertAlign w:val="superscript"/>
        </w:rPr>
        <w:t>132</w:t>
      </w:r>
      <w:r w:rsidR="00C14EE0">
        <w:fldChar w:fldCharType="end"/>
      </w:r>
      <w:r w:rsidR="00BA3AEB" w:rsidRPr="009C28D0">
        <w:t xml:space="preserve"> NICE TA639;</w:t>
      </w:r>
      <w:r w:rsidR="000F1F88">
        <w:fldChar w:fldCharType="begin"/>
      </w:r>
      <w:r w:rsidR="00CA6345" w:rsidRPr="009C28D0">
        <w:instrText xml:space="preserve"> ADDIN ZOTERO_ITEM CSL_CITATION {"citationID":"N2LBdY0D","properties":{"formattedCitation":"\\super 133\\nosupersub{}","plainCitation":"133","noteIndex":0},"citationItems":[{"id":65868,"uris":["http://zotero.org/groups/4797619/items/ZFPZ4PBW"],"itemData":{"id":65868,"type":"webpage","abstract":"Evidence-based recommendations on atezolizumab (Tecentriq) with nab</w:instrText>
      </w:r>
      <w:r w:rsidR="00CA6345" w:rsidRPr="009C28D0">
        <w:rPr>
          <w:rFonts w:ascii="Cambria Math" w:hAnsi="Cambria Math" w:cs="Cambria Math"/>
        </w:rPr>
        <w:instrText>‑</w:instrText>
      </w:r>
      <w:r w:rsidR="00CA6345" w:rsidRPr="009C28D0">
        <w:instrText>paclitaxel for triple-negative, unresectable, PD</w:instrText>
      </w:r>
      <w:r w:rsidR="00CA6345" w:rsidRPr="009C28D0">
        <w:rPr>
          <w:rFonts w:ascii="Cambria Math" w:hAnsi="Cambria Math" w:cs="Cambria Math"/>
        </w:rPr>
        <w:instrText>‑</w:instrText>
      </w:r>
      <w:r w:rsidR="00CA6345" w:rsidRPr="009C28D0">
        <w:instrText>L1</w:instrText>
      </w:r>
      <w:r w:rsidR="00CA6345" w:rsidRPr="009C28D0">
        <w:rPr>
          <w:rFonts w:ascii="Cambria Math" w:hAnsi="Cambria Math" w:cs="Cambria Math"/>
        </w:rPr>
        <w:instrText>‑</w:instrText>
      </w:r>
      <w:r w:rsidR="00CA6345" w:rsidRPr="009C28D0">
        <w:instrText>positive, locally advanced or metastatic","language":"eng","note":"publisher: NICE","title":"A</w:instrText>
      </w:r>
      <w:r w:rsidR="00CA6345">
        <w:instrText xml:space="preserve">tezolizumab with nab-paclitaxel for untreated PD-L1-positive, locally advanced or metastatic, triple-negative breast cancer | NICE [TA639]","URL":"https://www.nice.org.uk/guidance/ta639","author":[{"family":"NICE","given":""}],"accessed":{"date-parts":[["2022",10,24]]}}}],"schema":"https://github.com/citation-style-language/schema/raw/master/csl-citation.json"} </w:instrText>
      </w:r>
      <w:r w:rsidR="000F1F88">
        <w:fldChar w:fldCharType="separate"/>
      </w:r>
      <w:r w:rsidR="00CA6345" w:rsidRPr="00CA6345">
        <w:rPr>
          <w:rFonts w:cs="Arial"/>
          <w:szCs w:val="24"/>
          <w:vertAlign w:val="superscript"/>
        </w:rPr>
        <w:t>133</w:t>
      </w:r>
      <w:r w:rsidR="000F1F88">
        <w:fldChar w:fldCharType="end"/>
      </w:r>
      <w:r w:rsidR="00BA3AEB">
        <w:t xml:space="preserve"> NICE TA801</w:t>
      </w:r>
      <w:r w:rsidR="00BA3AEB">
        <w:fldChar w:fldCharType="begin"/>
      </w:r>
      <w:r w:rsidR="00CA6345">
        <w:instrText xml:space="preserve"> ADDIN ZOTERO_ITEM CSL_CITATION {"citationID":"2lZuw24J","properties":{"formattedCitation":"\\super 134\\nosupersub{}","plainCitation":"134","noteIndex":0},"citationItems":[{"id":65882,"uris":["http://zotero.org/groups/4797619/items/ZAC8J6T9"],"itemData":{"id":65882,"type":"webpage","abstract":"Evidence-based recommendations on pembrolizumab (Keytruda) with paclitaxel or nab</w:instrText>
      </w:r>
      <w:r w:rsidR="00CA6345">
        <w:rPr>
          <w:rFonts w:ascii="Cambria Math" w:hAnsi="Cambria Math" w:cs="Cambria Math"/>
        </w:rPr>
        <w:instrText>‑</w:instrText>
      </w:r>
      <w:r w:rsidR="00CA6345">
        <w:instrText xml:space="preserve">paclitaxel for triple-negative, locally recurrent unresectable or metastatic breast cancer in adults who have not had chemotherapy for metastatic disease","language":"eng","note":"publisher: NICE","title":"Pembrolizumab plus chemotherapy for untreated, triple-negative, locally recurrent unresectable or metastatic breast cancer | NICE [TA801]","URL":"https://www.nice.org.uk/guidance/ta801","author":[{"family":"NICE","given":""}],"accessed":{"date-parts":[["2022",10,24]]}}}],"schema":"https://github.com/citation-style-language/schema/raw/master/csl-citation.json"} </w:instrText>
      </w:r>
      <w:r w:rsidR="00BA3AEB">
        <w:fldChar w:fldCharType="separate"/>
      </w:r>
      <w:r w:rsidR="00CA6345" w:rsidRPr="00CA6345">
        <w:rPr>
          <w:rFonts w:cs="Arial"/>
          <w:szCs w:val="24"/>
          <w:vertAlign w:val="superscript"/>
        </w:rPr>
        <w:t>134</w:t>
      </w:r>
      <w:r w:rsidR="00BA3AEB">
        <w:fldChar w:fldCharType="end"/>
      </w:r>
      <w:r w:rsidR="00C14EE0">
        <w:t xml:space="preserve"> </w:t>
      </w:r>
    </w:p>
    <w:p w14:paraId="0A3C614B" w14:textId="5F23D179" w:rsidR="00451775" w:rsidRPr="002646F6" w:rsidRDefault="00874620" w:rsidP="000C1D07">
      <w:pPr>
        <w:pStyle w:val="Heading5"/>
        <w:ind w:left="1418" w:hanging="1418"/>
      </w:pPr>
      <w:bookmarkStart w:id="92" w:name="_Ref126931717"/>
      <w:bookmarkEnd w:id="79"/>
      <w:bookmarkEnd w:id="91"/>
      <w:r w:rsidRPr="002646F6">
        <w:t xml:space="preserve">UK real-world data </w:t>
      </w:r>
      <w:r w:rsidR="00D75B0B">
        <w:t>on treatment patterns</w:t>
      </w:r>
      <w:bookmarkEnd w:id="92"/>
    </w:p>
    <w:p w14:paraId="364FBC12" w14:textId="708F90ED" w:rsidR="00717C4E" w:rsidRDefault="007334AF" w:rsidP="00CB0094">
      <w:pPr>
        <w:pStyle w:val="Body"/>
      </w:pPr>
      <w:r>
        <w:t>Insights from</w:t>
      </w:r>
      <w:r w:rsidR="00874620" w:rsidRPr="002646F6">
        <w:t xml:space="preserve"> 2022 UK patient data from </w:t>
      </w:r>
      <w:r w:rsidR="00AF696D">
        <w:t>a cross-sectional patient chart review</w:t>
      </w:r>
      <w:r w:rsidR="00F503A3" w:rsidRPr="002646F6">
        <w:fldChar w:fldCharType="begin"/>
      </w:r>
      <w:r w:rsidR="00CA6345">
        <w:instrText xml:space="preserve"> ADDIN ZOTERO_ITEM CSL_CITATION {"citationID":"PXEdX9am","properties":{"formattedCitation":"\\super 136\\nosupersub{}","plainCitation":"136","noteIndex":0},"citationItems":[{"id":66355,"uris":["http://zotero.org/groups/4797619/items/D7I4CN8Z"],"itemData":{"id":66355,"type":"document","title":"LiveInsighter Breast Cancer patient data","author":[{"family":"Daiichi Sankyo Inc.","given":""}],"issued":{"date-parts":[["2022"]]}}}],"schema":"https://github.com/citation-style-language/schema/raw/master/csl-citation.json"} </w:instrText>
      </w:r>
      <w:r w:rsidR="00F503A3" w:rsidRPr="002646F6">
        <w:fldChar w:fldCharType="separate"/>
      </w:r>
      <w:r w:rsidR="00CA6345" w:rsidRPr="00CA6345">
        <w:rPr>
          <w:rFonts w:cs="Arial"/>
          <w:szCs w:val="24"/>
          <w:vertAlign w:val="superscript"/>
        </w:rPr>
        <w:t>136</w:t>
      </w:r>
      <w:r w:rsidR="00F503A3" w:rsidRPr="002646F6">
        <w:fldChar w:fldCharType="end"/>
      </w:r>
      <w:r>
        <w:t xml:space="preserve"> </w:t>
      </w:r>
      <w:r w:rsidR="00860817">
        <w:t xml:space="preserve">highlight </w:t>
      </w:r>
      <w:r>
        <w:t xml:space="preserve">that </w:t>
      </w:r>
      <w:r w:rsidR="00F503A3">
        <w:t xml:space="preserve">current practice is nuanced and may differ to </w:t>
      </w:r>
      <w:r>
        <w:t>NICE CG81</w:t>
      </w:r>
      <w:r w:rsidR="00F503A3" w:rsidRPr="002646F6">
        <w:fldChar w:fldCharType="begin"/>
      </w:r>
      <w:r w:rsidR="00CA6345">
        <w:instrText xml:space="preserve"> ADDIN ZOTERO_ITEM CSL_CITATION {"citationID":"bMM1fW41","properties":{"formattedCitation":"\\super 35\\nosupersub{}","plainCitation":"35","noteIndex":0},"citationItems":[{"id":65866,"uris":["http://zotero.org/groups/4797619/items/3AESVSNK"],"itemData":{"id":65866,"type":"webpage","abstract":"This guideline covers care and support for people with advanced (stage 4) breast cancer. It aims to help them and their healthcare professionals make shared","language":"eng","note":"publisher: NICE","title":"Advanced breast cancer: diagnosis and treatment | NICE CG81","title-short":"NICE CG81. Recommendations | Advanced breast cancer","URL":"https://www.nice.org.uk/guidance/cg81/chapter/Recommendations","author":[{"family":"NICE","given":""}],"accessed":{"date-parts":[["2022",10,17]]},"issued":{"date-parts":[["2017"]]}}}],"schema":"https://github.com/citation-style-language/schema/raw/master/csl-citation.json"} </w:instrText>
      </w:r>
      <w:r w:rsidR="00F503A3" w:rsidRPr="002646F6">
        <w:fldChar w:fldCharType="separate"/>
      </w:r>
      <w:r w:rsidR="00FD57F4" w:rsidRPr="00FD57F4">
        <w:rPr>
          <w:rFonts w:cs="Arial"/>
          <w:szCs w:val="24"/>
          <w:vertAlign w:val="superscript"/>
        </w:rPr>
        <w:t>35</w:t>
      </w:r>
      <w:r w:rsidR="00F503A3" w:rsidRPr="002646F6">
        <w:fldChar w:fldCharType="end"/>
      </w:r>
      <w:r>
        <w:t xml:space="preserve"> and </w:t>
      </w:r>
      <w:r w:rsidR="00F503A3">
        <w:t xml:space="preserve">relevant TAs. </w:t>
      </w:r>
      <w:r w:rsidR="00461B1A">
        <w:t>While insights from the</w:t>
      </w:r>
      <w:r w:rsidR="00F503A3">
        <w:t xml:space="preserve"> </w:t>
      </w:r>
      <w:r w:rsidR="008C5DA7" w:rsidRPr="003C648C">
        <w:t>c</w:t>
      </w:r>
      <w:r w:rsidR="00AF696D" w:rsidRPr="003C648C">
        <w:t>ross-sectional patient chart review</w:t>
      </w:r>
      <w:r w:rsidR="00461B1A">
        <w:t xml:space="preserve"> should be interpreted with caution, they indicat</w:t>
      </w:r>
      <w:r w:rsidR="00CB0094">
        <w:t>e that a</w:t>
      </w:r>
      <w:r w:rsidR="00CB0094" w:rsidRPr="00CB0094">
        <w:t xml:space="preserve"> wide range of chemotherapy agents are prescribed to patients with HER2-negative u/mBC at each line of therapy, suggesting that there is no clear single chemotherapy of choice at any point in the treatment pathway</w:t>
      </w:r>
      <w:r w:rsidR="00CB0094">
        <w:t>.</w:t>
      </w:r>
      <w:r w:rsidR="00F503A3" w:rsidRPr="002646F6">
        <w:fldChar w:fldCharType="begin"/>
      </w:r>
      <w:r w:rsidR="00CA6345">
        <w:instrText xml:space="preserve"> ADDIN ZOTERO_ITEM CSL_CITATION {"citationID":"QZPCmA31","properties":{"formattedCitation":"\\super 136\\nosupersub{}","plainCitation":"136","noteIndex":0},"citationItems":[{"id":66355,"uris":["http://zotero.org/groups/4797619/items/D7I4CN8Z"],"itemData":{"id":66355,"type":"document","title":"LiveInsighter Breast Cancer patient data","author":[{"family":"Daiichi Sankyo Inc.","given":""}],"issued":{"date-parts":[["2022"]]}}}],"schema":"https://github.com/citation-style-language/schema/raw/master/csl-citation.json"} </w:instrText>
      </w:r>
      <w:r w:rsidR="00F503A3" w:rsidRPr="002646F6">
        <w:fldChar w:fldCharType="separate"/>
      </w:r>
      <w:r w:rsidR="00CA6345" w:rsidRPr="00CA6345">
        <w:rPr>
          <w:rFonts w:cs="Arial"/>
          <w:szCs w:val="24"/>
          <w:vertAlign w:val="superscript"/>
        </w:rPr>
        <w:t>136</w:t>
      </w:r>
      <w:r w:rsidR="00F503A3" w:rsidRPr="002646F6">
        <w:fldChar w:fldCharType="end"/>
      </w:r>
      <w:r w:rsidR="00874620" w:rsidRPr="002646F6">
        <w:t xml:space="preserve"> </w:t>
      </w:r>
      <w:r w:rsidR="00CB0094">
        <w:t>In addition, they show that v</w:t>
      </w:r>
      <w:r w:rsidR="00874620" w:rsidRPr="002646F6">
        <w:t xml:space="preserve">inorelbine </w:t>
      </w:r>
      <w:r w:rsidR="00901D34">
        <w:t xml:space="preserve">is </w:t>
      </w:r>
      <w:r w:rsidR="00874620" w:rsidRPr="002646F6">
        <w:t xml:space="preserve">used </w:t>
      </w:r>
      <w:r w:rsidR="0058492D">
        <w:t>com</w:t>
      </w:r>
      <w:r w:rsidR="00D1035C">
        <w:t xml:space="preserve">paratively infrequently </w:t>
      </w:r>
      <w:r w:rsidR="00874620" w:rsidRPr="002646F6">
        <w:t>in real-world practice relative to capecitabine</w:t>
      </w:r>
      <w:r w:rsidR="003B2BFE" w:rsidRPr="002646F6">
        <w:t xml:space="preserve"> (</w:t>
      </w:r>
      <w:r w:rsidR="003439A6" w:rsidRPr="002646F6">
        <w:t xml:space="preserve">second-line use of </w:t>
      </w:r>
      <w:r w:rsidR="006C3AD4" w:rsidRPr="002646F6">
        <w:t>vinorelbine vs.</w:t>
      </w:r>
      <w:r w:rsidR="000C071F" w:rsidRPr="002646F6">
        <w:t xml:space="preserve"> </w:t>
      </w:r>
      <w:r w:rsidR="008A5A88" w:rsidRPr="002646F6">
        <w:t xml:space="preserve">capecitabine: </w:t>
      </w:r>
      <w:r w:rsidR="00F77ABC" w:rsidRPr="00F77ABC">
        <w:rPr>
          <w:color w:val="000000"/>
          <w:highlight w:val="black"/>
        </w:rPr>
        <w:t>x</w:t>
      </w:r>
      <w:r w:rsidR="00430942" w:rsidRPr="00430942">
        <w:rPr>
          <w:color w:val="000000"/>
          <w:highlight w:val="black"/>
        </w:rPr>
        <w:t>X</w:t>
      </w:r>
      <w:r w:rsidR="003439A6" w:rsidRPr="002646F6">
        <w:t xml:space="preserve">% vs. </w:t>
      </w:r>
      <w:r w:rsidR="00F77ABC" w:rsidRPr="00F77ABC">
        <w:rPr>
          <w:color w:val="000000"/>
          <w:highlight w:val="black"/>
        </w:rPr>
        <w:t>xx</w:t>
      </w:r>
      <w:r w:rsidR="000C071F" w:rsidRPr="002646F6">
        <w:t>%</w:t>
      </w:r>
      <w:r w:rsidR="00820558">
        <w:t xml:space="preserve">; third-line: </w:t>
      </w:r>
      <w:r w:rsidR="00430942" w:rsidRPr="00430942">
        <w:rPr>
          <w:highlight w:val="black"/>
        </w:rPr>
        <w:t>X</w:t>
      </w:r>
      <w:r w:rsidR="00F77ABC" w:rsidRPr="00F77ABC">
        <w:rPr>
          <w:color w:val="000000"/>
          <w:highlight w:val="black"/>
        </w:rPr>
        <w:t>x</w:t>
      </w:r>
      <w:r w:rsidR="006053C9">
        <w:t xml:space="preserve">% </w:t>
      </w:r>
      <w:r w:rsidR="00A9150F">
        <w:t xml:space="preserve">vs </w:t>
      </w:r>
      <w:r w:rsidR="00F77ABC" w:rsidRPr="00F77ABC">
        <w:rPr>
          <w:color w:val="000000"/>
          <w:highlight w:val="black"/>
        </w:rPr>
        <w:t>xx</w:t>
      </w:r>
      <w:r w:rsidR="00A9150F">
        <w:t>%</w:t>
      </w:r>
      <w:r w:rsidR="000C071F" w:rsidRPr="002646F6">
        <w:t>)</w:t>
      </w:r>
      <w:r w:rsidR="00717C4E">
        <w:t>.</w:t>
      </w:r>
      <w:r w:rsidR="00874620" w:rsidRPr="002646F6">
        <w:fldChar w:fldCharType="begin"/>
      </w:r>
      <w:r w:rsidR="00CA6345">
        <w:instrText xml:space="preserve"> ADDIN ZOTERO_ITEM CSL_CITATION {"citationID":"RH6wZP08","properties":{"formattedCitation":"\\super 136\\nosupersub{}","plainCitation":"136","noteIndex":0},"citationItems":[{"id":66355,"uris":["http://zotero.org/groups/4797619/items/D7I4CN8Z"],"itemData":{"id":66355,"type":"document","title":"LiveInsighter Breast Cancer patient data","author":[{"family":"Daiichi Sankyo Inc.","given":""}],"issued":{"date-parts":[["2022"]]}}}],"schema":"https://github.com/citation-style-language/schema/raw/master/csl-citation.json"} </w:instrText>
      </w:r>
      <w:r w:rsidR="00874620" w:rsidRPr="002646F6">
        <w:fldChar w:fldCharType="separate"/>
      </w:r>
      <w:r w:rsidR="00CA6345" w:rsidRPr="00CA6345">
        <w:rPr>
          <w:rFonts w:cs="Arial"/>
          <w:szCs w:val="24"/>
          <w:vertAlign w:val="superscript"/>
        </w:rPr>
        <w:t>136</w:t>
      </w:r>
      <w:r w:rsidR="00874620" w:rsidRPr="002646F6">
        <w:fldChar w:fldCharType="end"/>
      </w:r>
      <w:r w:rsidR="00874620" w:rsidRPr="002646F6">
        <w:t xml:space="preserve"> </w:t>
      </w:r>
    </w:p>
    <w:p w14:paraId="78EC7278" w14:textId="664449E4" w:rsidR="00C734D3" w:rsidRPr="00A43593" w:rsidRDefault="00C734D3" w:rsidP="00C734D3">
      <w:pPr>
        <w:pStyle w:val="Heading5"/>
      </w:pPr>
      <w:bookmarkStart w:id="93" w:name="_Ref126931751"/>
      <w:r w:rsidRPr="00A43593">
        <w:t xml:space="preserve">Clinical </w:t>
      </w:r>
      <w:r w:rsidR="00B161A4" w:rsidRPr="00A43593">
        <w:t>e</w:t>
      </w:r>
      <w:r w:rsidRPr="00A43593">
        <w:t xml:space="preserve">xpert </w:t>
      </w:r>
      <w:r w:rsidR="00B161A4" w:rsidRPr="00A43593">
        <w:t>i</w:t>
      </w:r>
      <w:r w:rsidRPr="00A43593">
        <w:t xml:space="preserve">nsights </w:t>
      </w:r>
      <w:r w:rsidR="00D75B0B">
        <w:t>on the treatment pathway</w:t>
      </w:r>
      <w:bookmarkEnd w:id="93"/>
      <w:r w:rsidRPr="00A43593">
        <w:t xml:space="preserve"> </w:t>
      </w:r>
    </w:p>
    <w:p w14:paraId="718A33F0" w14:textId="41F0FA13" w:rsidR="005C140C" w:rsidRPr="002646F6" w:rsidRDefault="005C140C" w:rsidP="005627F8">
      <w:pPr>
        <w:pStyle w:val="Body"/>
      </w:pPr>
      <w:r w:rsidRPr="002646F6">
        <w:t>Advice from UK clinical experts</w:t>
      </w:r>
      <w:r w:rsidR="00A85BCB" w:rsidRPr="002646F6">
        <w:t xml:space="preserve"> </w:t>
      </w:r>
      <w:r w:rsidR="005C036F" w:rsidRPr="002646F6">
        <w:t>at an advisory board in December 2022</w:t>
      </w:r>
      <w:r w:rsidR="005C107F">
        <w:fldChar w:fldCharType="begin"/>
      </w:r>
      <w:r w:rsidR="00CA6345">
        <w:instrText xml:space="preserve"> ADDIN ZOTERO_ITEM CSL_CITATION {"citationID":"9USYZD6V","properties":{"formattedCitation":"\\super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005C107F">
        <w:fldChar w:fldCharType="separate"/>
      </w:r>
      <w:r w:rsidR="00CA6345" w:rsidRPr="00CA6345">
        <w:rPr>
          <w:rFonts w:cs="Arial"/>
          <w:szCs w:val="24"/>
          <w:vertAlign w:val="superscript"/>
        </w:rPr>
        <w:t>121</w:t>
      </w:r>
      <w:r w:rsidR="005C107F">
        <w:fldChar w:fldCharType="end"/>
      </w:r>
      <w:r w:rsidR="005C036F" w:rsidRPr="002646F6">
        <w:t xml:space="preserve"> </w:t>
      </w:r>
      <w:r w:rsidR="00FB1336">
        <w:t xml:space="preserve">aligned with real-world data and </w:t>
      </w:r>
      <w:r w:rsidR="00A85BCB" w:rsidRPr="002646F6">
        <w:t>include</w:t>
      </w:r>
      <w:r w:rsidR="00FB1336">
        <w:t>d</w:t>
      </w:r>
      <w:r w:rsidR="00A85BCB" w:rsidRPr="002646F6">
        <w:t xml:space="preserve"> the following: </w:t>
      </w:r>
    </w:p>
    <w:p w14:paraId="4E75B41A" w14:textId="40454EF6" w:rsidR="00A85BCB" w:rsidRPr="002646F6" w:rsidRDefault="00A85BCB" w:rsidP="00954359">
      <w:pPr>
        <w:pStyle w:val="Body"/>
        <w:numPr>
          <w:ilvl w:val="0"/>
          <w:numId w:val="35"/>
        </w:numPr>
      </w:pPr>
      <w:r w:rsidRPr="002646F6">
        <w:t>There are no clinically meaningful differences in the efficacy of non-targeted chemotherapy agents in the</w:t>
      </w:r>
      <w:r w:rsidR="00501EF5" w:rsidRPr="002646F6">
        <w:t xml:space="preserve"> u/mBC setting.</w:t>
      </w:r>
    </w:p>
    <w:p w14:paraId="41843DDF" w14:textId="67267514" w:rsidR="00501EF5" w:rsidRPr="002646F6" w:rsidRDefault="00501EF5" w:rsidP="00954359">
      <w:pPr>
        <w:pStyle w:val="Body"/>
        <w:numPr>
          <w:ilvl w:val="0"/>
          <w:numId w:val="35"/>
        </w:numPr>
      </w:pPr>
      <w:r w:rsidRPr="002646F6">
        <w:lastRenderedPageBreak/>
        <w:t xml:space="preserve">There is no optimal treatment sequence </w:t>
      </w:r>
      <w:r w:rsidR="0008467E" w:rsidRPr="002646F6">
        <w:t xml:space="preserve">for non-targeted chemotherapy agents </w:t>
      </w:r>
      <w:r w:rsidRPr="002646F6">
        <w:t>in the metastatic setting; non-targeted chemotherapy agents may be used interchangeably</w:t>
      </w:r>
      <w:r w:rsidR="0008467E" w:rsidRPr="002646F6">
        <w:t xml:space="preserve"> across lines of therapy</w:t>
      </w:r>
      <w:r w:rsidRPr="002646F6">
        <w:t>.</w:t>
      </w:r>
    </w:p>
    <w:p w14:paraId="08A09446" w14:textId="468020B8" w:rsidR="008C6AB6" w:rsidRPr="002646F6" w:rsidRDefault="00501EF5" w:rsidP="00954359">
      <w:pPr>
        <w:pStyle w:val="Body"/>
        <w:numPr>
          <w:ilvl w:val="0"/>
          <w:numId w:val="35"/>
        </w:numPr>
      </w:pPr>
      <w:r w:rsidRPr="002646F6">
        <w:t xml:space="preserve">Treatment decisions are based on the specific prior treatments received, </w:t>
      </w:r>
      <w:r w:rsidR="00A1027F">
        <w:t>patient fitness, individual patient needs</w:t>
      </w:r>
      <w:r w:rsidR="00FE4D67">
        <w:t xml:space="preserve"> and preference, and clinical choice.</w:t>
      </w:r>
      <w:r w:rsidRPr="002646F6">
        <w:t xml:space="preserve"> </w:t>
      </w:r>
    </w:p>
    <w:p w14:paraId="650F471E" w14:textId="0981F5E0" w:rsidR="00874620" w:rsidRPr="002646F6" w:rsidDel="00B26924" w:rsidRDefault="005D0F3F" w:rsidP="002646F6">
      <w:pPr>
        <w:spacing w:before="120" w:after="120"/>
      </w:pPr>
      <w:r>
        <w:t xml:space="preserve">This </w:t>
      </w:r>
      <w:r w:rsidR="00D738CF">
        <w:t>further highlights that NICE CG81 may be outdated and that there is no clear</w:t>
      </w:r>
      <w:r w:rsidR="000F281E">
        <w:t xml:space="preserve"> standard of care of</w:t>
      </w:r>
      <w:r w:rsidR="00D738CF">
        <w:t xml:space="preserve"> treatment pathway following one line of chemotherapy in the metastatic setting</w:t>
      </w:r>
      <w:r w:rsidR="0045708F" w:rsidRPr="00A43593">
        <w:t xml:space="preserve">. </w:t>
      </w:r>
    </w:p>
    <w:p w14:paraId="48970AA6" w14:textId="077A782F" w:rsidR="00964614" w:rsidRPr="00A43593" w:rsidRDefault="006D77DC" w:rsidP="00964614">
      <w:pPr>
        <w:pStyle w:val="Heading3"/>
      </w:pPr>
      <w:bookmarkStart w:id="94" w:name="_Ref126933423"/>
      <w:bookmarkStart w:id="95" w:name="_Toc129350849"/>
      <w:r w:rsidRPr="00A43593">
        <w:t>Unme</w:t>
      </w:r>
      <w:r w:rsidR="00964614" w:rsidRPr="00A43593">
        <w:t>t need</w:t>
      </w:r>
      <w:r w:rsidR="00DA163A" w:rsidRPr="00A43593">
        <w:t xml:space="preserve"> </w:t>
      </w:r>
      <w:r w:rsidR="00DA163A" w:rsidRPr="002646F6">
        <w:t xml:space="preserve">for </w:t>
      </w:r>
      <w:r w:rsidR="00F849F4" w:rsidRPr="002646F6">
        <w:t>effective targeted therapy in H</w:t>
      </w:r>
      <w:r w:rsidR="00DA163A" w:rsidRPr="002646F6">
        <w:t>ER2-low u/mBC</w:t>
      </w:r>
      <w:bookmarkEnd w:id="94"/>
      <w:bookmarkEnd w:id="95"/>
    </w:p>
    <w:p w14:paraId="322E500E" w14:textId="3C74087D" w:rsidR="000419CE" w:rsidRPr="002646F6" w:rsidRDefault="00FD1C94" w:rsidP="00E40EEA">
      <w:pPr>
        <w:pStyle w:val="Body"/>
      </w:pPr>
      <w:bookmarkStart w:id="96" w:name="_Ref43380494"/>
      <w:r>
        <w:t>For</w:t>
      </w:r>
      <w:r w:rsidRPr="00A43593">
        <w:t xml:space="preserve"> </w:t>
      </w:r>
      <w:r w:rsidR="00AC0D6B" w:rsidRPr="00A43593">
        <w:t xml:space="preserve">patients </w:t>
      </w:r>
      <w:r>
        <w:t xml:space="preserve">who </w:t>
      </w:r>
      <w:r w:rsidR="00AC0D6B" w:rsidRPr="00A43593">
        <w:t xml:space="preserve">present with, or develop, </w:t>
      </w:r>
      <w:r w:rsidR="00DA163A" w:rsidRPr="00A43593">
        <w:t>u/m</w:t>
      </w:r>
      <w:r w:rsidR="00AC0D6B" w:rsidRPr="00A43593">
        <w:t xml:space="preserve">BC curative therapy is </w:t>
      </w:r>
      <w:r w:rsidR="006956D0">
        <w:t xml:space="preserve">not </w:t>
      </w:r>
      <w:r w:rsidR="00AC0D6B" w:rsidRPr="00A43593">
        <w:t>available. Symptom burden is very high, largely due to metastases,</w:t>
      </w:r>
      <w:r w:rsidR="001C668E" w:rsidRPr="00A43593">
        <w:fldChar w:fldCharType="begin">
          <w:fldData xml:space="preserve">PEVuZE5vdGU+PENpdGU+PEF1dGhvcj5DYW5jZXIgUmVzZWFyY2ggVUs8L0F1dGhvcj48WWVhcj4y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</w:fldData>
        </w:fldChar>
      </w:r>
      <w:r w:rsidR="00F3653A" w:rsidRPr="00A43593">
        <w:instrText xml:space="preserve"> ADDIN EN.CITE </w:instrText>
      </w:r>
      <w:r w:rsidR="00F3653A" w:rsidRPr="00A43593">
        <w:fldChar w:fldCharType="begin">
          <w:fldData xml:space="preserve">PEVuZE5vdGU+PENpdGU+PEF1dGhvcj5DYW5jZXIgUmVzZWFyY2ggVUs8L0F1dGhvcj48WWVhcj4y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</w:fldData>
        </w:fldChar>
      </w:r>
      <w:r w:rsidR="00F3653A" w:rsidRPr="00A43593">
        <w:instrText xml:space="preserve"> ADDIN EN.CITE.DATA </w:instrText>
      </w:r>
      <w:r w:rsidR="00F3653A" w:rsidRPr="00A43593">
        <w:fldChar w:fldCharType="end"/>
      </w:r>
      <w:r w:rsidR="001C668E" w:rsidRPr="00A43593">
        <w:fldChar w:fldCharType="separate"/>
      </w:r>
      <w:r w:rsidR="001C668E" w:rsidRPr="00A43593">
        <w:fldChar w:fldCharType="end"/>
      </w:r>
      <w:r w:rsidR="00AC0D6B" w:rsidRPr="00A43593">
        <w:t xml:space="preserve"> and </w:t>
      </w:r>
      <w:r w:rsidR="007C0DA6" w:rsidRPr="00A43593">
        <w:t>life expectancy</w:t>
      </w:r>
      <w:r w:rsidR="00AC0D6B" w:rsidRPr="00A43593">
        <w:t xml:space="preserve"> and QoL </w:t>
      </w:r>
      <w:r w:rsidR="007C0DA6" w:rsidRPr="00A43593">
        <w:t xml:space="preserve">are </w:t>
      </w:r>
      <w:r w:rsidR="00AC0D6B" w:rsidRPr="00A43593">
        <w:t>often poor.</w:t>
      </w:r>
      <w:r w:rsidR="001C668E" w:rsidRPr="00A43593">
        <w:fldChar w:fldCharType="begin">
          <w:fldData xml:space="preserve">PEVuZE5vdGU+PENpdGU+PEF1dGhvcj5DYW5jZXIgUmVzZWFyY2ggVUs8L0F1dGhvcj48WWVhcj4y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</w:fldData>
        </w:fldChar>
      </w:r>
      <w:r w:rsidR="00F3653A" w:rsidRPr="00A43593">
        <w:instrText xml:space="preserve"> ADDIN EN.CITE </w:instrText>
      </w:r>
      <w:r w:rsidR="00F3653A" w:rsidRPr="00A43593">
        <w:fldChar w:fldCharType="begin">
          <w:fldData xml:space="preserve">PEVuZE5vdGU+PENpdGU+PEF1dGhvcj5DYW5jZXIgUmVzZWFyY2ggVUs8L0F1dGhvcj48WWVhcj4y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</w:fldData>
        </w:fldChar>
      </w:r>
      <w:r w:rsidR="00F3653A" w:rsidRPr="00A43593">
        <w:instrText xml:space="preserve"> ADDIN EN.CITE.DATA </w:instrText>
      </w:r>
      <w:r w:rsidR="00F3653A" w:rsidRPr="00A43593">
        <w:fldChar w:fldCharType="end"/>
      </w:r>
      <w:r w:rsidR="001C668E" w:rsidRPr="00A43593">
        <w:fldChar w:fldCharType="separate"/>
      </w:r>
      <w:r w:rsidR="001C668E" w:rsidRPr="00A43593">
        <w:fldChar w:fldCharType="end"/>
      </w:r>
      <w:r w:rsidR="002F3609" w:rsidRPr="002646F6">
        <w:t xml:space="preserve"> </w:t>
      </w:r>
    </w:p>
    <w:p w14:paraId="179111C3" w14:textId="36C5D147" w:rsidR="00C9474F" w:rsidRPr="00A43593" w:rsidRDefault="007C0DA6" w:rsidP="00E40EEA">
      <w:pPr>
        <w:pStyle w:val="Body"/>
        <w:rPr>
          <w:sz w:val="16"/>
          <w:szCs w:val="16"/>
        </w:rPr>
      </w:pPr>
      <w:r w:rsidRPr="002646F6">
        <w:t xml:space="preserve">Despite </w:t>
      </w:r>
      <w:r w:rsidR="00B83229" w:rsidRPr="002646F6">
        <w:t>the</w:t>
      </w:r>
      <w:r w:rsidR="00AC4879" w:rsidRPr="002646F6">
        <w:t xml:space="preserve"> </w:t>
      </w:r>
      <w:r w:rsidR="007D4B06" w:rsidRPr="002646F6">
        <w:t>step-change in</w:t>
      </w:r>
      <w:r w:rsidRPr="002646F6">
        <w:t xml:space="preserve"> outcomes </w:t>
      </w:r>
      <w:r w:rsidR="007D4B06" w:rsidRPr="002646F6">
        <w:t xml:space="preserve">for </w:t>
      </w:r>
      <w:r w:rsidR="00495F45" w:rsidRPr="002646F6">
        <w:t xml:space="preserve">patients with </w:t>
      </w:r>
      <w:r w:rsidRPr="002646F6">
        <w:t>HER2</w:t>
      </w:r>
      <w:r w:rsidR="008D10CE" w:rsidRPr="002646F6">
        <w:t>-positive</w:t>
      </w:r>
      <w:r w:rsidRPr="002646F6">
        <w:t xml:space="preserve"> u/mBC </w:t>
      </w:r>
      <w:r w:rsidR="003163E4" w:rsidRPr="002646F6">
        <w:t>since the introduction</w:t>
      </w:r>
      <w:r w:rsidRPr="002646F6">
        <w:t xml:space="preserve"> of </w:t>
      </w:r>
      <w:r w:rsidR="00DA07E0" w:rsidRPr="002646F6">
        <w:t xml:space="preserve">effective </w:t>
      </w:r>
      <w:r w:rsidRPr="002646F6">
        <w:t xml:space="preserve">HER2-targeted therapies, </w:t>
      </w:r>
      <w:r w:rsidR="00914E3D">
        <w:t xml:space="preserve">these treatments </w:t>
      </w:r>
      <w:r w:rsidR="00F94E20">
        <w:t>are not effective in HER2-negative u/mB</w:t>
      </w:r>
      <w:r w:rsidR="00914E3D">
        <w:t>C</w:t>
      </w:r>
      <w:r w:rsidR="002F34EB" w:rsidRPr="002646F6">
        <w:t>.</w:t>
      </w:r>
      <w:r w:rsidR="00914E3D" w:rsidRPr="002646F6" w:rsidDel="00914E3D">
        <w:t xml:space="preserve"> </w:t>
      </w:r>
      <w:r w:rsidR="00914E3D">
        <w:t>F</w:t>
      </w:r>
      <w:r w:rsidR="00E40EEA" w:rsidRPr="002646F6">
        <w:t>oll</w:t>
      </w:r>
      <w:r w:rsidR="00636C59" w:rsidRPr="002646F6">
        <w:t>owing</w:t>
      </w:r>
      <w:r w:rsidR="00C9474F" w:rsidRPr="002646F6">
        <w:t xml:space="preserve"> exhaustion of</w:t>
      </w:r>
      <w:r w:rsidR="00105E8D" w:rsidRPr="002646F6">
        <w:t xml:space="preserve"> </w:t>
      </w:r>
      <w:r w:rsidR="00096940" w:rsidRPr="002646F6">
        <w:t xml:space="preserve">the </w:t>
      </w:r>
      <w:r w:rsidR="00DA07E0" w:rsidRPr="002646F6">
        <w:t>limited</w:t>
      </w:r>
      <w:r w:rsidR="00C9474F" w:rsidRPr="002646F6">
        <w:t xml:space="preserve"> targeted </w:t>
      </w:r>
      <w:r w:rsidR="00105E8D" w:rsidRPr="002646F6">
        <w:t xml:space="preserve">options </w:t>
      </w:r>
      <w:r w:rsidR="00F73AAB" w:rsidRPr="002646F6">
        <w:t xml:space="preserve">such as </w:t>
      </w:r>
      <w:r w:rsidR="00E66BFA">
        <w:t>CDK4/6i</w:t>
      </w:r>
      <w:r w:rsidR="00F73AAB" w:rsidRPr="002646F6">
        <w:t>s</w:t>
      </w:r>
      <w:r w:rsidR="00B62F7A">
        <w:t xml:space="preserve"> and </w:t>
      </w:r>
      <w:r w:rsidR="003918B4">
        <w:t>ET</w:t>
      </w:r>
      <w:r w:rsidR="00F73AAB" w:rsidRPr="002646F6">
        <w:t xml:space="preserve"> (</w:t>
      </w:r>
      <w:r w:rsidR="0013511A" w:rsidRPr="002646F6">
        <w:t>HER2-negative/HR-positive</w:t>
      </w:r>
      <w:r w:rsidR="00F73AAB" w:rsidRPr="002646F6">
        <w:t xml:space="preserve">) </w:t>
      </w:r>
      <w:r w:rsidR="00105E8D" w:rsidRPr="002646F6">
        <w:t>at early line</w:t>
      </w:r>
      <w:r w:rsidR="00D57D44" w:rsidRPr="002646F6">
        <w:t>s,</w:t>
      </w:r>
      <w:r w:rsidR="00105E8D" w:rsidRPr="002646F6">
        <w:t xml:space="preserve"> </w:t>
      </w:r>
      <w:r w:rsidR="002F34EB" w:rsidRPr="002646F6">
        <w:t>t</w:t>
      </w:r>
      <w:r w:rsidR="00E40EEA" w:rsidRPr="002646F6">
        <w:t xml:space="preserve">he only option for </w:t>
      </w:r>
      <w:r w:rsidR="00096940" w:rsidRPr="002646F6">
        <w:t xml:space="preserve">the majority of </w:t>
      </w:r>
      <w:r w:rsidR="000419CE" w:rsidRPr="002646F6">
        <w:t>patients with HER2-negative u/mBC</w:t>
      </w:r>
      <w:r w:rsidR="001D4B89" w:rsidRPr="002646F6">
        <w:t xml:space="preserve"> are non-targeted chemothera</w:t>
      </w:r>
      <w:r w:rsidR="00C101C4" w:rsidRPr="002646F6">
        <w:t>pies</w:t>
      </w:r>
      <w:r w:rsidR="00E04181">
        <w:t xml:space="preserve">. </w:t>
      </w:r>
      <w:r w:rsidR="00E04181" w:rsidRPr="00C43C55">
        <w:t>These non-targeted chemotherapies are associated with poor outcomes; i</w:t>
      </w:r>
      <w:r w:rsidR="00BB0932" w:rsidRPr="00C43C55">
        <w:t xml:space="preserve">n patients currently classified as HER2-negative/HR-positive u/mBC, non-targeted chemotherapy is </w:t>
      </w:r>
      <w:r w:rsidR="000A3371" w:rsidRPr="00C43C55">
        <w:t>asso</w:t>
      </w:r>
      <w:r w:rsidR="000A3371" w:rsidRPr="002646F6">
        <w:t>ciated with m</w:t>
      </w:r>
      <w:r w:rsidR="000A3371">
        <w:t xml:space="preserve">edian </w:t>
      </w:r>
      <w:r w:rsidR="000A3371" w:rsidRPr="00EF6CA7">
        <w:t>PFS of 3.</w:t>
      </w:r>
      <w:r w:rsidR="00DB0C61">
        <w:t>6</w:t>
      </w:r>
      <w:r w:rsidR="000A3371" w:rsidRPr="00EF6CA7">
        <w:t>–4.2 months and median OS of 11.5–</w:t>
      </w:r>
      <w:r w:rsidR="00C62FFC">
        <w:t>16.1</w:t>
      </w:r>
      <w:r w:rsidR="000A3371" w:rsidRPr="00EF6CA7">
        <w:t xml:space="preserve"> months.</w:t>
      </w:r>
      <w:r w:rsidR="00C62FFC">
        <w:fldChar w:fldCharType="begin"/>
      </w:r>
      <w:r w:rsidR="00CA6345">
        <w:instrText xml:space="preserve"> ADDIN ZOTERO_ITEM CSL_CITATION {"citationID":"zp5aJeB0","properties":{"formattedCitation":"\\super 43\\uc0\\u8211{}47\\nosupersub{}","plainCitation":"43–47","noteIndex":0},"citationItems":[{"id":66149,"uris":["http://zotero.org/groups/4797619/items/8M7DF85G"],"itemData":{"id":66149,"type":"article-journal","abstract":"BACKGROUND: Based on data from two multicenter, phase III clinical trials (Studies 301 and 305), eribulin (a microtubule dynamics inhibitor) is indicated in the European Union (EU) for patients with locally advanced or metastatic breast cancer (MBC) after ≥1 prior chemotherapy for advanced disease, including an anthracycline and a taxane in either the adjuvant or metastatic setting. Data from Studies 305 and 301 were pooled to investigate the efficacy of eribulin in various subgroups of patients who matched the EU label, including those with human epidermal growth factor receptor 2 (HER2)-negative and triple-negative disease.\nPATIENTS AND METHODS: In Study 305 (NCT00388726), patients were randomized 2:1 to eribulin mesylate 1.4 mg/m(2) (equivalent to eribulin 1.23 mg/m(2) [expressed as free base]) intravenously on days 1 and 8 every 21 days] or treatment of physician's choice after 2-5 prior chemotherapies (≥2 for advanced disease), including an anthracycline and a taxane (in early/advanced setting). In Study 301 (NCT00337103), patients were randomized 1:1 to eribulin (as above) or capecitabine (1.25 g/m(2) orally twice daily on days 1-14 every 21 days) following ≤3 prior chemotherapies (≤2 for advanced disease), including an anthracycline and a taxane. Efficacy end points were investigated in the intent-to-treat population and subgroups, pooled as discussed above.\nRESULTS: Overall, 1644 patients were included (eribulin: 946; control: 698); baseline characteristics were well matched. Overall survival was significantly longer with eribulin versus control (P &lt; 0.01), as were progression-free survival and clinical benefit rate (both P &lt; 0.05). Significant survival benefits with eribulin versus control were observed in a wide range of patient subgroups, including HER2-negative or triple-negative disease (all P &lt; 0.05).\nCONCLUSION: Our findings underline the survival benefit achieved by eribulin used according to EU label in the overall MBC population and in various subgroups of interest, including patients with HER2-negative and triple-negative disease.","container-title":"Annals of Oncology: Official Journal of the European Society for Medical Oncology","DOI":"10.1093/annonc/mdw203","ISSN":"1569-8041","issue":"8","journalAbbreviation":"Ann Oncol","language":"eng","note":"PMID: 27177860\nPMCID: PMC4959925","page":"1525-1531","source":"PubMed","title":"Pooled analyses of eribulin in metastatic breast cancer patients with at least one prior chemotherapy","volume":"27","author":[{"family":"Pivot","given":"X."},{"family":"Marmé","given":"F."},{"family":"Koenigsberg","given":"R."},{"family":"Guo","given":"M."},{"family":"Berrak","given":"E."},{"family":"Wolfer","given":"A."}],"issued":{"date-parts":[["2016",8]]}}},{"id":66152,"uris":["http://zotero.org/groups/4797619/items/K2TXU8UJ"],"itemData":{"id":66152,"type":"article-journal","abstract":"BACKGROUND: Treatments with survival benefit are greatly needed for women with heavily pretreated metastatic breast cancer. Eribulin mesilate is a non-taxane microtubule dynamics inhibitor with a novel mode of action. We aimed to compare overall survival of heavily pretreated patients receiving eribulin versus currently available treatments.\nMETHODS: In this phase 3 open-label study, women with locally recurrent or metastatic breast cancer were randomly allocated (2:1) to eribulin mesilate (1·4 mg/m(2) administered intravenously during 2-5 min on days 1 and 8 of a 21-day cycle) or treatment of physician's choice (TPC). Patients had received between two and five previous chemotherapy regimens (two or more for advanced disease), including an anthracycline and a taxane, unless contraindicated. Randomisation was stratified by geographical region, previous capecitabine treatment, and human epidermal growth factor receptor 2 status. Patients and investigators were not masked to treatment allocation. The primary endpoint was overall survival in the intention-to-treat population. This study is registered at ClinicalTrials.gov, number NCT00388726.\nFINDINGS: 762 women were randomly allocated to treatment groups (508 eribulin, 254 TPC). Overall survival was significantly improved in women assigned to eribulin (median 13·1 months, 95% CI 11·8-14·3) compared with TPC (10·6 months, 9·3-12·5; hazard ratio 0·81, 95% CI 0·66-0·99; p=0·041). The most common adverse events in both groups were asthenia or fatigue (270 [54%] of 503 patients on eribulin and 98 [40%] of 247 patients on TPC at all grades) and neutropenia (260 [52%] patients receiving eribulin and 73 [30%] of those on TPC at all grades). Peripheral neuropathy was the most common adverse event leading to discontinuation from eribulin, occurring in 24 (5%) of 503 patients.\nINTERPRETATION: Eribulin showed a significant and clinically meaningful improvement in overall survival compared with TPC in women with heavily pretreated metastatic breast cancer. This finding challenges the notion that improved overall survival is an unrealistic expectation during evaluation of new anticancer therapies in the refractory setting.\nFUNDING: Eisai.","container-title":"Lancet (London, England)","DOI":"10.1016/S0140-6736(11)60070-6","ISSN":"1474-547X","issue":"9769","journalAbbreviation":"Lancet","language":"eng","note":"PMID: 21376385","page":"914-923","source":"PubMed","title":"Eribulin monotherapy versus treatment of physician's choice in patients with metastatic breast cancer (EMBRACE): a phase 3 open-label randomised study","title-short":"Eribulin monotherapy versus treatment of physician's choice in patients with metastatic breast cancer (EMBRACE)","volume":"377","author":[{"family":"Cortes","given":"Javier"},{"family":"O'Shaughnessy","given":"Joyce"},{"family":"Loesch","given":"David"},{"family":"Blum","given":"Joanne L."},{"family":"Vahdat","given":"Linda T."},{"family":"Petrakova","given":"Katarina"},{"family":"Chollet","given":"Philippe"},{"family":"Manikas","given":"Alexey"},{"family":"Diéras","given":"Veronique"},{"family":"Delozier","given":"Thierry"},{"family":"Vladimirov","given":"Vladimir"},{"family":"Cardoso","given":"Fatima"},{"family":"Koh","given":"Han"},{"family":"Bougnoux","given":"Philippe"},{"family":"Dutcus","given":"Corina E."},{"family":"Seegobin","given":"Seth"},{"family":"Mir","given":"Denis"},{"family":"Meneses","given":"Nicole"},{"family":"Wanders","given":"Jantien"},{"family":"Twelves","given":"Chris"},{"literal":"EMBRACE (Eisai Metastatic Breast Cancer Study Assessing Physician's Choice Versus E7389) investigators"}],"issued":{"date-parts":[["2011",3,12]]}}},{"id":66151,"uris":["http://zotero.org/groups/4797619/items/RLDAE79H"],"itemData":{"id":66151,"type":"article-journal","abstract":"PURPOSE AND METHODS: Our secondary analyses compared survival with eribulin versus capecitabine in various patient subgroups from a phase 3, open-label, randomized study. Eligible women aged ≥18 years with advanced/metastatic breast cancer and ≤3 prior chemotherapies (≤2 for advanced/metastatic disease), including an anthracycline and taxane, were randomized 1:1 to intravenous eribulin mesylate 1.4 mg/m(2) on days 1 and 8 or twice-daily oral capecitabine 1250 mg/m(2) on days 1-14 (21-day cycles).\nRESULTS: In the intent-to-treat population (eribulin 554 and capecitabine 548), overall survival appeared longer with eribulin than capecitabine in various subgroups, including patients with human epidermal growth factor receptor 2-negative (15.9 versus 13.5 months, respectively), estrogen receptor-negative (14.4 versus 10.5 months, respectively), and triple-negative (14.4 versus 9.4 months, respectively) disease. Progression-free survival was similar between the treatment arms.\nCONCLUSIONS: Patients with advanced/metastatic breast cancer and human epidermal growth factor receptor 2-, estrogen receptor-, or triple-negative disease may gain particular benefit from eribulin as first-, second-, and third-line chemotherapies.\nTRIAL REGISTRATION PRIMARY STUDY: This study reports the subgroup analyses of eribulin versus capecitabine from a phase 3, open-label, randomized study (www.clinicaltrials.gov; ClinicalTrials.gov identifier: NCT00337103).","container-title":"Breast Cancer: Basic and Clinical Research","DOI":"10.4137/BCBCR.S39615","ISSN":"1178-2234","journalAbbreviation":"Breast Cancer (Auckl)","language":"eng","note":"PMID: 27398025\nPMCID: PMC4927108","page":"77-84","source":"PubMed","title":"Subgroup Analyses from a Phase 3, Open-Label, Randomized Study of Eribulin Mesylate Versus Capecitabine in Pretreated Patients with Advanced or Metastatic Breast Cancer","volume":"10","author":[{"family":"Twelves","given":"Chris"},{"family":"Awada","given":"Ahmad"},{"family":"Cortes","given":"Javier"},{"family":"Yelle","given":"Louise"},{"family":"Velikova","given":"Galina"},{"family":"Olivo","given":"Martin S."},{"family":"Song","given":"James"},{"family":"Dutcus","given":"Corina E."},{"family":"Kaufman","given":"Peter A."}],"issued":{"date-parts":[["2016"]]}}},{"id":66150,"uris":["http://zotero.org/groups/4797619/items/FWP3JYLN"],"itemData":{"id":66150,"type":"article-journal","abstract":"This post hoc subgroup analysis of a large phase 3 study compared the efficacy and safety of eribulin versus capecitabine in patients with human epidermal growth factor receptor 2 (HER2)-negative metastatic breast cancer who received second-line treatment. In the phase 3 study, women with advanced/metastatic breast cancer and ≤ 3 prior chemotherapies were randomized 1:1 to eribulin mesilate 1.4 mg/m2 intravenously on days 1 and 8, or twice-daily oral capecitabine 1.25 g/m2 on days 1-14 (21-day cycles). This analysis included 392 patients. Median overall survival was longer in patients receiving eribulin compared with capecitabine (16.1 vs 13.5 months, respectively; HR 0.77, P = 0.026). Median progression-free survival and response rates were similar between arms. Both treatments had manageable safety profiles.","container-title":"Breast Cancer (Tokyo, Japan)","DOI":"10.1007/s12282-017-0826-4","ISSN":"1880-4233","issue":"3","journalAbbreviation":"Breast Cancer","language":"eng","note":"PMID: 29302858\nPMCID: PMC5906517","page":"370-374","source":"PubMed","title":"Subgroup analysis of patients with HER2-negative metastatic breast cancer in the second-line setting from a phase 3, open-label, randomized study of eribulin mesilate versus capecitabine","volume":"25","author":[{"family":"Pivot","given":"Xavier"},{"family":"Im","given":"Seock Ah"},{"family":"Guo","given":"Matthew"},{"family":"Marmé","given":"Frederik"}],"issued":{"date-parts":[["2018",5]]}}},{"id":66278,"uris":["http://zotero.org/groups/4797619/items/L9C8M9U3"],"itemData":{"id":66278,"type":"article-journal","abstract":"BACKGROUND: Use of antiangiogenic agents in treatment of metastatic breast cancer (MBC) remains controversial. We evaluated the efficacy and safety of ramucirumab and eribulin versus eribulin alone as third- to fifth-line therapy in women with advanced breast cancer.\nPATIENTS AND METHODS: In this randomized (1:1), open-label, phase II study, US women aged 18 years or older with 2 to 4 previous chemotherapy regimens for locally recurrent or MBC, previous anthracycline and taxane treatment, and Eastern Cooperative Oncology Group performance status of 0 or 1 received ramucirumab with eribulin or eribulin alone in 21-day cycles (eribulin 1.4 mg/m2 intravenously on days 1 and 8; ramucirumab 10 mg/kg intravenously on day 1). Randomization was stratified according to previous antiangiogenic therapy and triple-negative status. The primary end point was progression-free survival (PFS) in the intention to treat population.\nRESULTS: One hundred forty-one women were randomized to ramucirumab with eribulin (n = 71) or eribulin alone (n = 70). Median PFS for ramucirumab with eribulin was 4.4 months (95% confidence interval [CI], 3.1-6.7) compared with 4.1 months (95% CI, 3.2-5.6) for eribulin (hazard ratio [HR], 0.83; 95% CI, 0.56-1.23; P = .35). Median overall survival in patients who received ramucirumab with eribulin was 13.5 months (95% CI, 10.4-17.9) compared with 11.5 months (95% CI, 9.0-17.3) in patients who received eribulin alone (HR, 0.91; 95% CI, 0.59-1.41; P = .68); objective response rate was 21% (13 of 62 patients) for the combination and 28% (17 of 60 patients) for eribulin alone. No unexpected toxicity was identified for the combination.\nCONCLUSION: Ramucirumab combined with eribulin did not significantly improve PFS in advanced MBC.","container-title":"Clinical Breast Cancer","DOI":"10.1016/j.clbc.2016.07.005","ISSN":"1938-0666","issue":"6","journalAbbreviation":"Clin Breast Cancer","language":"eng","note":"PMID: 27569274","page":"471-479.e1","source":"PubMed","title":"Ramucirumab With Eribulin Versus Eribulin in Locally Recurrent or Metastatic Breast Cancer Previously Treated With Anthracycline and Taxane Therapy: A Multicenter, Randomized, Phase II Study","title-short":"Ramucirumab With Eribulin Versus Eribulin in Locally Recurrent or Metastatic Breast Cancer Previously Treated With Anthracycline and Taxane Therapy","volume":"16","author":[{"family":"Yardley","given":"Denise A."},{"family":"Reeves","given":"James"},{"family":"Dees","given":"E. Claire"},{"family":"Osborne","given":"Cynthia"},{"family":"Paul","given":"Devchand"},{"family":"Ademuyiwa","given":"Foluso"},{"family":"Soliman","given":"Hatem"},{"family":"Guthrie","given":"Troy"},{"family":"Andersen","given":"Jay"},{"family":"Krekow","given":"Lea"},{"family":"Choksi","given":"Janak"},{"family":"Daniel","given":"Brooke"},{"family":"Danso","given":"Michael"},{"family":"Favret","given":"Anne"},{"family":"Oommen","given":"Sanjay"},{"family":"Brufsky","given":"Adam"},{"family":"Bromund","given":"Jane L."},{"family":"Lin","given":"Yong"},{"family":"Ibrahim","given":"Ayman B."},{"family":"Richards","given":"Paul D."}],"issued":{"date-parts":[["2016",12]]}}}],"schema":"https://github.com/citation-style-language/schema/raw/master/csl-citation.json"} </w:instrText>
      </w:r>
      <w:r w:rsidR="00C62FFC">
        <w:fldChar w:fldCharType="separate"/>
      </w:r>
      <w:r w:rsidR="00FD57F4" w:rsidRPr="00FD57F4">
        <w:rPr>
          <w:rFonts w:cs="Arial"/>
          <w:szCs w:val="24"/>
          <w:vertAlign w:val="superscript"/>
        </w:rPr>
        <w:t>43–47</w:t>
      </w:r>
      <w:r w:rsidR="00C62FFC">
        <w:fldChar w:fldCharType="end"/>
      </w:r>
      <w:r w:rsidR="000A3371" w:rsidRPr="002646F6">
        <w:t xml:space="preserve"> In HER2-negative/HR-negative u/mBC, outcomes are even worse, with m</w:t>
      </w:r>
      <w:r w:rsidR="000A3371">
        <w:t xml:space="preserve">edian </w:t>
      </w:r>
      <w:r w:rsidR="000A3371" w:rsidRPr="002646F6">
        <w:t>PFS and m</w:t>
      </w:r>
      <w:r w:rsidR="000A3371">
        <w:t xml:space="preserve">edian </w:t>
      </w:r>
      <w:r w:rsidR="000A3371" w:rsidRPr="002646F6">
        <w:t xml:space="preserve">OS of </w:t>
      </w:r>
      <w:r w:rsidR="000A3371">
        <w:t>1.7</w:t>
      </w:r>
      <w:r w:rsidR="000A3371" w:rsidRPr="002646F6">
        <w:t>–</w:t>
      </w:r>
      <w:r w:rsidR="000A3371">
        <w:t>2.8</w:t>
      </w:r>
      <w:r w:rsidR="000A3371" w:rsidRPr="002646F6">
        <w:t xml:space="preserve"> months and </w:t>
      </w:r>
      <w:r w:rsidR="000861B6" w:rsidRPr="00040FAA">
        <w:t>6.7–</w:t>
      </w:r>
      <w:r w:rsidR="000861B6">
        <w:t>12.4</w:t>
      </w:r>
      <w:r w:rsidR="000861B6" w:rsidRPr="00040FAA">
        <w:t xml:space="preserve"> </w:t>
      </w:r>
      <w:r w:rsidR="000A3371" w:rsidRPr="002646F6">
        <w:t>months, respectively.</w:t>
      </w:r>
      <w:r w:rsidR="000A3371" w:rsidRPr="002646F6">
        <w:fldChar w:fldCharType="begin"/>
      </w:r>
      <w:r w:rsidR="00CA6345">
        <w:instrText xml:space="preserve"> ADDIN ZOTERO_ITEM CSL_CITATION {"citationID":"C9gIkYUu","properties":{"formattedCitation":"\\super 43,48\\uc0\\u8211{}50\\nosupersub{}","plainCitation":"43,48–50","noteIndex":0},"citationItems":[{"id":66444,"uris":["http://zotero.org/groups/4797619/items/44JAGUPG"],"itemData":{"id":66444,"type":"article-journal","container-title":"New England Journal of Medicine","DOI":"10.1056/NEJMoa2028485","ISSN":"0028-4793","issue":"16","note":"publisher: Massachusetts Medical Society\n_eprint: https://doi.org/10.1056/NEJMoa2028485\nPMID: 33882206","page":"1529-1541","source":"Taylor and Francis+NEJM","title":"Sacituzumab Govitecan in Metastatic Triple-Negative Breast Cancer","volume":"384","author":[{"family":"Bardia","given":"Aditya"},{"family":"Hurvitz","given":"Sara A."},{"family":"Tolaney","given":"Sara M."},{"family":"Loirat","given":"Delphine"},{"family":"Punie","given":"Kevin"},{"family":"Oliveira","given":"Mafalda"},{"family":"Brufsky","given":"Adam"},{"family":"Sardesai","given":"Sagar D."},{"family":"Kalinsky","given":"Kevin"},{"family":"Zelnak","given":"Amelia B."},{"family":"Weaver","given":"Robert"},{"family":"Traina","given":"Tiffany"},{"family":"Dalenc","given":"Florence"},{"family":"Aftimos","given":"Philippe"},{"family":"Lynce","given":"Filipa"},{"family":"Diab","given":"Sami"},{"family":"Cortés","given":"Javier"},{"family":"O’Shaughnessy","given":"Joyce"},{"family":"Diéras","given":"Véronique"},{"family":"Ferrario","given":"Cristiano"},{"family":"Schmid","given":"Peter"},{"family":"Carey","given":"Lisa A."},{"family":"Gianni","given":"Luca"},{"family":"Piccart","given":"Martine J."},{"family":"Loibl","given":"Sibylle"},{"family":"Goldenberg","given":"David M."},{"family":"Hong","given":"Quan"},{"family":"Olivo","given":"Martin S."},{"family":"Itri","given":"Loretta M."},{"family":"Rugo","given":"Hope S."}],"issued":{"date-parts":[["2021",4,22]]}}},{"id":66149,"uris":["http://zotero.org/groups/4797619/items/8M7DF85G"],"itemData":{"id":66149,"type":"article-journal","abstract":"BACKGROUND: Based on data from two multicenter, phase III clinical trials (Studies 301 and 305), eribulin (a microtubule dynamics inhibitor) is indicated in the European Union (EU) for patients with locally advanced or metastatic breast cancer (MBC) after ≥1 prior chemotherapy for advanced disease, including an anthracycline and a taxane in either the adjuvant or metastatic setting. Data from Studies 305 and 301 were pooled to investigate the efficacy of eribulin in various subgroups of patients who matched the EU label, including those with human epidermal growth factor receptor 2 (HER2)-negative and triple-negative disease.\nPATIENTS AND METHODS: In Study 305 (NCT00388726), patients were randomized 2:1 to eribulin mesylate 1.4 mg/m(2) (equivalent to eribulin 1.23 mg/m(2) [expressed as free base]) intravenously on days 1 and 8 every 21 days] or treatment of physician's choice after 2-5 prior chemotherapies (≥2 for advanced disease), including an anthracycline and a taxane (in early/advanced setting). In Study 301 (NCT00337103), patients were randomized 1:1 to eribulin (as above) or capecitabine (1.25 g/m(2) orally twice daily on days 1-14 every 21 days) following ≤3 prior chemotherapies (≤2 for advanced disease), including an anthracycline and a taxane. Efficacy end points were investigated in the intent-to-treat population and subgroups, pooled as discussed above.\nRESULTS: Overall, 1644 patients were included (eribulin: 946; control: 698); baseline characteristics were well matched. Overall survival was significantly longer with eribulin versus control (P &lt; 0.01), as were progression-free survival and clinical benefit rate (both P &lt; 0.05). Significant survival benefits with eribulin versus control were observed in a wide range of patient subgroups, including HER2-negative or triple-negative disease (all P &lt; 0.05).\nCONCLUSION: Our findings underline the survival benefit achieved by eribulin used according to EU label in the overall MBC population and in various subgroups of interest, including patients with HER2-negative and triple-negative disease.","container-title":"Annals of Oncology: Official Journal of the European Society for Medical Oncology","DOI":"10.1093/annonc/mdw203","ISSN":"1569-8041","issue":"8","journalAbbreviation":"Ann Oncol","language":"eng","note":"PMID: 27177860\nPMCID: PMC4959925","page":"1525-1531","source":"PubMed","title":"Pooled analyses of eribulin in metastatic breast cancer patients with at least one prior chemotherapy","volume":"27","author":[{"family":"Pivot","given":"X."},{"family":"Marmé","given":"F."},{"family":"Koenigsberg","given":"R."},{"family":"Guo","given":"M."},{"family":"Berrak","given":"E."},{"family":"Wolfer","given":"A."}],"issued":{"date-parts":[["2016",8]]}}},{"id":66759,"uris":["http://zotero.org/groups/4797619/items/WRYWKH52"],"itemData":{"id":66759,"type":"article-journal","abstract":"The METRIC study (NCT#0199733) explored a novel antibody–drug conjugate, glembatumumab vedotin (GV), targeting gpNMB that is overexpressed in ~40% of patients with triple-negative breast cancer (TNBC) and associated with poor prognosis. The study was a randomized, open-label, phase 2b study that evaluated progression-free survival (PFS) of GV compared with capecitabine in gpNMB-overexpressing TNBC. Patients who had previously received anthracycline and taxane-based therapy were randomized 2:1 to receive, GV (1.88 mg/kg IV q21 days) or capecitabine (2500 mg/m2 PO daily d1–14 q21 days). The primary endpoint was RECIST 1.1 PFS per independent, blinded central review. In all, 327 patients were randomized to GV (213 treated) or capecitabine (92 treated). Median PFS was 2.9 months for GV vs. 2.8 months for capecitabine. The most common grade ≥3 toxicities for GV were neutropenia, rash, and leukopenia, and for capecitabine were fatigue, diarrhea, and palmar-plantar erythrodysesthesia. The study did not meet the primary endpoint of improved PFS over capecitabine or demonstrate a relative risk/benefit improvement over capecitabine.","container-title":"npj Breast Cancer","DOI":"10.1038/s41523-021-00244-6","ISSN":"2374-4677","issue":"1","language":"en","license":"2021 The Author(s)","note":"number: 1\npublisher: Nature Publishing Group","page":"1-10","source":"www.nature.com","title":"Glembatumumab vedotin for patients with metastatic, gpNMB overexpressing, triple-negative breast cancer (“METRIC”): a randomized multicenter study","title-short":"Glembatumumab vedotin for patients with metastatic, gpNMB overexpressing, triple-negative breast cancer (“METRIC”)","volume":"7","author":[{"family":"Vahdat","given":"Linda T."},{"family":"Schmid","given":"Peter"},{"family":"Forero-Torres","given":"Andres"},{"family":"Blackwell","given":"Kimberly"},{"family":"Telli","given":"Melinda L."},{"family":"Melisko","given":"Michelle"},{"family":"Möbus","given":"Volker"},{"family":"Cortes","given":"Javier"},{"family":"Montero","given":"Alberto J."},{"family":"Ma","given":"Cynthia"},{"family":"Nanda","given":"Rita"},{"family":"Wright","given":"Gail S."},{"family":"He","given":"Yi"},{"family":"Hawthorne","given":"Thomas"},{"family":"Bagley","given":"Rebecca G."},{"family":"Halim","given":"Abdel-Baset"},{"family":"Turner","given":"Christopher D."},{"family":"Yardley","given":"Denise A."}],"issued":{"date-parts":[["2021",5,20]]}}},{"id":66764,"uris":["http://zotero.org/groups/4797619/items/YX8NEWUE"],"itemData":{"id":66764,"type":"article-journal","container-title":"The Lancet Oncology","DOI":"10.1016/S1470-2045(20)30754-3","ISSN":"1470-2045, 1474-5488","issue":"4","journalAbbreviation":"The Lancet Oncology","language":"English","note":"publisher: Elsevier\nPMID: 33676601","page":"499-511","source":"www.thelancet.com","title":"Pembrolizumab versus investigator-choice chemotherapy for metastatic triple-negative breast cancer (KEYNOTE-119): a randomised, open-label, phase 3 trial","title-short":"Pembrolizumab versus investigator-choice chemotherapy for metastatic triple-negative breast cancer (KEYNOTE-119)","volume":"22","author":[{"family":"Winer","given":"Eric P."},{"family":"Lipatov","given":"Oleg"},{"family":"Im","given":"Seock-Ah"},{"family":"Goncalves","given":"Anthony"},{"family":"Muñoz-Couselo","given":"Eva"},{"family":"Lee","given":"Keun Seok"},{"family":"Schmid","given":"Peter"},{"family":"Tamura","given":"Kenji"},{"family":"Testa","given":"Laura"},{"family":"Witzel","given":"Isabell"},{"family":"Ohtani","given":"Shoichiro"},{"family":"Turner","given":"Nicholas"},{"family":"Zambelli","given":"Stefania"},{"family":"Harbeck","given":"Nadia"},{"family":"Andre","given":"Fabrice"},{"family":"Dent","given":"Rebecca"},{"family":"Zhou","given":"Xuan"},{"family":"Karantza","given":"Vassiliki"},{"family":"Mejia","given":"Jaime"},{"family":"Cortes","given":"Javier"}],"issued":{"date-parts":[["2021",4,1]]}}}],"schema":"https://github.com/citation-style-language/schema/raw/master/csl-citation.json"} </w:instrText>
      </w:r>
      <w:r w:rsidR="000A3371" w:rsidRPr="002646F6">
        <w:fldChar w:fldCharType="separate"/>
      </w:r>
      <w:r w:rsidR="00FD57F4" w:rsidRPr="00FD57F4">
        <w:rPr>
          <w:rFonts w:cs="Arial"/>
          <w:szCs w:val="24"/>
          <w:vertAlign w:val="superscript"/>
        </w:rPr>
        <w:t>43,48–50</w:t>
      </w:r>
      <w:r w:rsidR="000A3371" w:rsidRPr="002646F6">
        <w:fldChar w:fldCharType="end"/>
      </w:r>
      <w:r w:rsidR="00C43C55">
        <w:t xml:space="preserve"> </w:t>
      </w:r>
      <w:r w:rsidR="00C9474F" w:rsidRPr="002646F6">
        <w:t>There is a</w:t>
      </w:r>
      <w:r w:rsidR="00371069" w:rsidRPr="002646F6">
        <w:t xml:space="preserve"> clear</w:t>
      </w:r>
      <w:r w:rsidR="00420AEE" w:rsidRPr="002646F6">
        <w:t xml:space="preserve"> unmet </w:t>
      </w:r>
      <w:r w:rsidR="00C9474F" w:rsidRPr="002646F6">
        <w:t>need</w:t>
      </w:r>
      <w:r w:rsidR="009612B1">
        <w:t>, therefore</w:t>
      </w:r>
      <w:r w:rsidR="007A4778">
        <w:t>,</w:t>
      </w:r>
      <w:r w:rsidR="00C9474F" w:rsidRPr="002646F6">
        <w:t xml:space="preserve"> for novel treatment</w:t>
      </w:r>
      <w:r w:rsidR="009612B1">
        <w:t>s</w:t>
      </w:r>
      <w:r w:rsidR="00C9474F" w:rsidRPr="002646F6">
        <w:t xml:space="preserve"> in HER2-negative u/mBC after one </w:t>
      </w:r>
      <w:r w:rsidR="00D07A14">
        <w:t xml:space="preserve">or more </w:t>
      </w:r>
      <w:r w:rsidR="00C9474F" w:rsidRPr="002646F6">
        <w:t>line</w:t>
      </w:r>
      <w:r w:rsidR="00D07A14">
        <w:t>s</w:t>
      </w:r>
      <w:r w:rsidR="00C9474F" w:rsidRPr="002646F6">
        <w:t xml:space="preserve"> of chemotherapy in the metastatic setting</w:t>
      </w:r>
      <w:r w:rsidR="00477FFA" w:rsidRPr="002646F6">
        <w:t>.</w:t>
      </w:r>
    </w:p>
    <w:p w14:paraId="38C6CC35" w14:textId="320BC115" w:rsidR="00160770" w:rsidRDefault="00CE7E46">
      <w:pPr>
        <w:pStyle w:val="Body"/>
      </w:pPr>
      <w:r w:rsidRPr="002646F6">
        <w:t>A</w:t>
      </w:r>
      <w:r w:rsidR="00C42857" w:rsidRPr="002646F6">
        <w:t xml:space="preserve"> subset of HER2-negative u/mBC patients </w:t>
      </w:r>
      <w:r w:rsidR="00477FFA" w:rsidRPr="002646F6">
        <w:t xml:space="preserve">have tumours </w:t>
      </w:r>
      <w:r w:rsidR="00C42857" w:rsidRPr="002646F6">
        <w:t>express</w:t>
      </w:r>
      <w:r w:rsidR="00477FFA" w:rsidRPr="002646F6">
        <w:t>ing</w:t>
      </w:r>
      <w:r w:rsidR="00C42857" w:rsidRPr="002646F6">
        <w:t xml:space="preserve"> low levels of HER2</w:t>
      </w:r>
      <w:r w:rsidR="0067274C" w:rsidRPr="002646F6">
        <w:t xml:space="preserve"> and </w:t>
      </w:r>
      <w:r w:rsidR="00A553A1" w:rsidRPr="002646F6">
        <w:t>may</w:t>
      </w:r>
      <w:r w:rsidR="00DE14D4">
        <w:t xml:space="preserve"> therefore</w:t>
      </w:r>
      <w:r w:rsidR="00A553A1" w:rsidRPr="002646F6">
        <w:t xml:space="preserve"> be categorised as HER2-low </w:t>
      </w:r>
      <w:r w:rsidR="00477FFA" w:rsidRPr="002646F6">
        <w:t>(IHC1+ or IHC2+/ISH-</w:t>
      </w:r>
      <w:r w:rsidR="00C10978" w:rsidRPr="002646F6">
        <w:t>; a</w:t>
      </w:r>
      <w:r w:rsidRPr="002646F6">
        <w:t xml:space="preserve">s described in </w:t>
      </w:r>
      <w:r w:rsidR="00D9503B" w:rsidRPr="002646F6">
        <w:rPr>
          <w:b/>
        </w:rPr>
        <w:t xml:space="preserve">Section </w:t>
      </w:r>
      <w:r w:rsidR="00D9503B" w:rsidRPr="002646F6">
        <w:rPr>
          <w:b/>
          <w:bCs/>
        </w:rPr>
        <w:fldChar w:fldCharType="begin"/>
      </w:r>
      <w:r w:rsidR="00D9503B" w:rsidRPr="002646F6">
        <w:rPr>
          <w:b/>
          <w:bCs/>
        </w:rPr>
        <w:instrText xml:space="preserve"> REF _Ref125465617 \r \h </w:instrText>
      </w:r>
      <w:r w:rsidR="002505A8" w:rsidRPr="002646F6">
        <w:rPr>
          <w:b/>
          <w:bCs/>
        </w:rPr>
        <w:instrText xml:space="preserve"> \* MERGEFORMAT </w:instrText>
      </w:r>
      <w:r w:rsidR="00D9503B" w:rsidRPr="002646F6">
        <w:rPr>
          <w:b/>
          <w:bCs/>
        </w:rPr>
      </w:r>
      <w:r w:rsidR="00D9503B" w:rsidRPr="002646F6">
        <w:rPr>
          <w:b/>
          <w:bCs/>
        </w:rPr>
        <w:fldChar w:fldCharType="separate"/>
      </w:r>
      <w:r w:rsidR="00145F42">
        <w:rPr>
          <w:b/>
          <w:bCs/>
        </w:rPr>
        <w:t>B.1.3.1</w:t>
      </w:r>
      <w:r w:rsidR="00D9503B" w:rsidRPr="002646F6">
        <w:rPr>
          <w:b/>
          <w:bCs/>
        </w:rPr>
        <w:fldChar w:fldCharType="end"/>
      </w:r>
      <w:r w:rsidR="00D9503B" w:rsidRPr="002646F6">
        <w:t>).</w:t>
      </w:r>
      <w:r w:rsidR="00477FFA" w:rsidRPr="002646F6">
        <w:t xml:space="preserve"> </w:t>
      </w:r>
      <w:r w:rsidR="000C684E">
        <w:t xml:space="preserve">Despite tumours expressing low levels of HER2, </w:t>
      </w:r>
      <w:r w:rsidR="00F07272">
        <w:t>the first</w:t>
      </w:r>
      <w:r w:rsidR="00657A71">
        <w:t xml:space="preserve"> available </w:t>
      </w:r>
      <w:r w:rsidR="00A32E1A">
        <w:t xml:space="preserve">HER2 targeted therapies </w:t>
      </w:r>
      <w:r w:rsidR="00F07272">
        <w:t xml:space="preserve">(e.g. </w:t>
      </w:r>
      <w:r w:rsidR="004C0435">
        <w:t>trastuzumab) have proven</w:t>
      </w:r>
      <w:r w:rsidR="00657A71">
        <w:t xml:space="preserve"> ineffective in </w:t>
      </w:r>
      <w:r w:rsidR="009A185A">
        <w:t>this population</w:t>
      </w:r>
      <w:r w:rsidR="00BE5504">
        <w:t>;</w:t>
      </w:r>
      <w:r w:rsidR="00157FCE">
        <w:t xml:space="preserve"> a</w:t>
      </w:r>
      <w:r w:rsidR="00A76ADC">
        <w:t xml:space="preserve"> </w:t>
      </w:r>
      <w:r w:rsidR="003C6AD3">
        <w:t>P</w:t>
      </w:r>
      <w:r w:rsidR="00A76ADC">
        <w:t xml:space="preserve">hase </w:t>
      </w:r>
      <w:r w:rsidR="00157FCE">
        <w:t>III</w:t>
      </w:r>
      <w:r w:rsidR="00A76ADC">
        <w:t xml:space="preserve"> </w:t>
      </w:r>
      <w:r w:rsidR="00157FCE">
        <w:t>RCT</w:t>
      </w:r>
      <w:r w:rsidR="00A76ADC">
        <w:t xml:space="preserve"> </w:t>
      </w:r>
      <w:r w:rsidR="00BE5504">
        <w:t>showed</w:t>
      </w:r>
      <w:r w:rsidR="00EE7EC2">
        <w:t xml:space="preserve"> no statistically significant difference in OS with the addition of trastuzumab </w:t>
      </w:r>
      <w:r w:rsidR="00F94F3F">
        <w:t xml:space="preserve">to adjuvant chemotherapy </w:t>
      </w:r>
      <w:r w:rsidR="00EE7EC2">
        <w:t>(HR: 1.33; 95% CI 0.90</w:t>
      </w:r>
      <w:r w:rsidR="00A32E1A">
        <w:t>, 1.95; p=0.15)</w:t>
      </w:r>
      <w:r w:rsidR="00467344">
        <w:t>,</w:t>
      </w:r>
      <w:r w:rsidR="00062622">
        <w:fldChar w:fldCharType="begin"/>
      </w:r>
      <w:r w:rsidR="00CA6345">
        <w:instrText xml:space="preserve"> ADDIN ZOTERO_ITEM CSL_CITATION {"citationID":"YPfMKKeb","properties":{"formattedCitation":"\\super 57\\nosupersub{}","plainCitation":"57","noteIndex":0},"citationItems":[{"id":66281,"uris":["http://zotero.org/groups/4797619/items/3BD9235C"],"itemData":{"id":66281,"type":"article-journal","abstract":"PURPOSE: Adjuvant trastuzumab reduces invasive breast cancer (IBC) recurrence and risk for death in patients with HER2-amplified or overexpressing IBC. A subset of patients in the landmark trastuzumab adjuvant trials who originally tested HER2-positive but were HER2-negative by central HER2 testing appeared to possibly benefit from trastuzumab. The objective for the NSABP B-47 trial was to determine whether the addition of trastuzumab to adjuvant chemotherapy (CRx) would improve invasive disease-free survival (IDFS) in patients with HER2-negative breast cancer.\nPATIENTS AND METHODS: A total of 3,270 women with high-risk primary IBC were randomly assigned to CRx with or without 1 year of trastuzumab. Eligibility criteria included immunohistochemistry (IHC) score 1+ or 2+ with fluorescence in situ hybridization ratio (FISH) &lt; 2.0 or, if ratio was not performed, HER2 gene copy number &lt; 4.0. CRx was either docetaxel plus cyclophosphamide or doxorubicin and cyclophosphamide followed by weekly paclitaxel for 12 weeks.\nRESULTS: At a median follow-up of 46 months, the addition of trastuzumab to CRx did not improve IDFS (5-year IDFS: 89.8% with CRx plus trastuzumab [CRxT] v 89.2% with CRx alone; hazard ratio [HR], 0.98; 95% CI, 0.76 to 1.25; P = .85). These findings did not differ by level of HER2 IHC expression, lymph node involvement, or hormone-receptor status. For distant recurrence-free interval, 5-year estimates were 92.7% with CRxT compared with 93.6% for CRx alone (HR, 1.10; 95% CI, 0.81 to 1.50; P = .55) and for overall survival (OS) were 94.8% with CRxT and 96.3% in CRx alone (HR, 1.33; 95% CI, 0.90 to 1.95; P = .15). There were no unexpected toxicities from the addition of trastuzumab to CRx.\nCONCLUSION: The addition of trastuzumab to CRx did not improve IDFS, distant recurrence-free interval, or OS in women with non-HER2-overexpressing IBC. Trastuzumab does not benefit women without IHC 3+ or FISH ratio-amplified breast cancer.","container-title":"Journal of Clinical Oncology: Official Journal of the American Society of Clinical Oncology","DOI":"10.1200/JCO.19.01455","ISSN":"1527-7755","issue":"5","journalAbbreviation":"J Clin Oncol","language":"eng","note":"PMID: 31821109\nPMCID: PMC7007289","page":"444-453","source":"PubMed","title":"NSABP B-47/NRG Oncology Phase III Randomized Trial Comparing Adjuvant Chemotherapy With or Without Trastuzumab in High-Risk Invasive Breast Cancer Negative for HER2 by FISH and With IHC 1+ or 2","volume":"38","author":[{"family":"Fehrenbacher","given":"Louis"},{"family":"Cecchini","given":"Reena S."},{"family":"Geyer","given":"Charles E."},{"family":"Rastogi","given":"Priya"},{"family":"Costantino","given":"Joseph P."},{"family":"Atkins","given":"James N."},{"family":"Crown","given":"John P."},{"family":"Polikoff","given":"Jonathan"},{"family":"Boileau","given":"Jean-Francois"},{"family":"Provencher","given":"Louise"},{"family":"Stokoe","given":"Christopher"},{"family":"Moore","given":"Timothy D."},{"family":"Robidoux","given":"André"},{"family":"Flynn","given":"Patrick J."},{"family":"Borges","given":"Virginia F."},{"family":"Albain","given":"Kathy S."},{"family":"Swain","given":"Sandra M."},{"family":"Paik","given":"Soonmyung"},{"family":"Mamounas","given":"Eleftherios P."},{"family":"Wolmark","given":"Norman"}],"issued":{"date-parts":[["2020",2,10]]}}}],"schema":"https://github.com/citation-style-language/schema/raw/master/csl-citation.json"} </w:instrText>
      </w:r>
      <w:r w:rsidR="00062622">
        <w:fldChar w:fldCharType="separate"/>
      </w:r>
      <w:r w:rsidR="00FD57F4" w:rsidRPr="00FD57F4">
        <w:rPr>
          <w:rFonts w:cs="Arial"/>
          <w:szCs w:val="24"/>
          <w:vertAlign w:val="superscript"/>
        </w:rPr>
        <w:t>57</w:t>
      </w:r>
      <w:r w:rsidR="00062622">
        <w:fldChar w:fldCharType="end"/>
      </w:r>
      <w:r w:rsidR="00A32E1A">
        <w:t xml:space="preserve"> </w:t>
      </w:r>
      <w:r w:rsidR="00467344">
        <w:t>with f</w:t>
      </w:r>
      <w:r w:rsidR="00D1619B">
        <w:t xml:space="preserve">ive-year </w:t>
      </w:r>
      <w:r w:rsidR="00F94F3F">
        <w:t xml:space="preserve">OS </w:t>
      </w:r>
      <w:r w:rsidR="00D1619B">
        <w:t xml:space="preserve">point estimates </w:t>
      </w:r>
      <w:r w:rsidR="00F94F3F">
        <w:t>of</w:t>
      </w:r>
      <w:r w:rsidR="003E3C6D">
        <w:t xml:space="preserve"> </w:t>
      </w:r>
      <w:r w:rsidR="009C4A02">
        <w:t xml:space="preserve">94.8% and </w:t>
      </w:r>
      <w:r w:rsidR="00D14500">
        <w:t>96.3</w:t>
      </w:r>
      <w:r w:rsidR="003E3C6D">
        <w:t>% for the</w:t>
      </w:r>
      <w:r w:rsidR="006C4FE7">
        <w:t xml:space="preserve"> chemotherapy </w:t>
      </w:r>
      <w:r w:rsidR="00677438">
        <w:t xml:space="preserve">plus trastuzumab and </w:t>
      </w:r>
      <w:r w:rsidR="006C4FE7">
        <w:t xml:space="preserve">chemotherapy </w:t>
      </w:r>
      <w:r w:rsidR="00744D4B">
        <w:t>arms, respectively.</w:t>
      </w:r>
      <w:r w:rsidR="0009281C">
        <w:fldChar w:fldCharType="begin"/>
      </w:r>
      <w:r w:rsidR="00CA6345">
        <w:instrText xml:space="preserve"> ADDIN ZOTERO_ITEM CSL_CITATION {"citationID":"g8pFzoBK","properties":{"formattedCitation":"\\super 57\\nosupersub{}","plainCitation":"57","noteIndex":0},"citationItems":[{"id":66281,"uris":["http://zotero.org/groups/4797619/items/3BD9235C"],"itemData":{"id":66281,"type":"article-journal","abstract":"PURPOSE: Adjuvant trastuzumab reduces invasive breast cancer (IBC) recurrence and risk for death in patients with HER2-amplified or overexpressing IBC. A subset of patients in the landmark trastuzumab adjuvant trials who originally tested HER2-positive but were HER2-negative by central HER2 testing appeared to possibly benefit from trastuzumab. The objective for the NSABP B-47 trial was to determine whether the addition of trastuzumab to adjuvant chemotherapy (CRx) would improve invasive disease-free survival (IDFS) in patients with HER2-negative breast cancer.\nPATIENTS AND METHODS: A total of 3,270 women with high-risk primary IBC were randomly assigned to CRx with or without 1 year of trastuzumab. Eligibility criteria included immunohistochemistry (IHC) score 1+ or 2+ with fluorescence in situ hybridization ratio (FISH) &lt; 2.0 or, if ratio was not performed, HER2 gene copy number &lt; 4.0. CRx was either docetaxel plus cyclophosphamide or doxorubicin and cyclophosphamide followed by weekly paclitaxel for 12 weeks.\nRESULTS: At a median follow-up of 46 months, the addition of trastuzumab to CRx did not improve IDFS (5-year IDFS: 89.8% with CRx plus trastuzumab [CRxT] v 89.2% with CRx alone; hazard ratio [HR], 0.98; 95% CI, 0.76 to 1.25; P = .85). These findings did not differ by level of HER2 IHC expression, lymph node involvement, or hormone-receptor status. For distant recurrence-free interval, 5-year estimates were 92.7% with CRxT compared with 93.6% for CRx alone (HR, 1.10; 95% CI, 0.81 to 1.50; P = .55) and for overall survival (OS) were 94.8% with CRxT and 96.3% in CRx alone (HR, 1.33; 95% CI, 0.90 to 1.95; P = .15). There were no unexpected toxicities from the addition of trastuzumab to CRx.\nCONCLUSION: The addition of trastuzumab to CRx did not improve IDFS, distant recurrence-free interval, or OS in women with non-HER2-overexpressing IBC. Trastuzumab does not benefit women without IHC 3+ or FISH ratio-amplified breast cancer.","container-title":"Journal of Clinical Oncology: Official Journal of the American Society of Clinical Oncology","DOI":"10.1200/JCO.19.01455","ISSN":"1527-7755","issue":"5","journalAbbreviation":"J Clin Oncol","language":"eng","note":"PMID: 31821109\nPMCID: PMC7007289","page":"444-453","source":"PubMed","title":"NSABP B-47/NRG Oncology Phase III Randomized Trial Comparing Adjuvant Chemotherapy With or Without Trastuzumab in High-Risk Invasive Breast Cancer Negative for HER2 by FISH and With IHC 1+ or 2","volume":"38","author":[{"family":"Fehrenbacher","given":"Louis"},{"family":"Cecchini","given":"Reena S."},{"family":"Geyer","given":"Charles E."},{"family":"Rastogi","given":"Priya"},{"family":"Costantino","given":"Joseph P."},{"family":"Atkins","given":"James N."},{"family":"Crown","given":"John P."},{"family":"Polikoff","given":"Jonathan"},{"family":"Boileau","given":"Jean-Francois"},{"family":"Provencher","given":"Louise"},{"family":"Stokoe","given":"Christopher"},{"family":"Moore","given":"Timothy D."},{"family":"Robidoux","given":"André"},{"family":"Flynn","given":"Patrick J."},{"family":"Borges","given":"Virginia F."},{"family":"Albain","given":"Kathy S."},{"family":"Swain","given":"Sandra M."},{"family":"Paik","given":"Soonmyung"},{"family":"Mamounas","given":"Eleftherios P."},{"family":"Wolmark","given":"Norman"}],"issued":{"date-parts":[["2020",2,10]]}}}],"schema":"https://github.com/citation-style-language/schema/raw/master/csl-citation.json"} </w:instrText>
      </w:r>
      <w:r w:rsidR="0009281C">
        <w:fldChar w:fldCharType="separate"/>
      </w:r>
      <w:r w:rsidR="00FD57F4" w:rsidRPr="00FD57F4">
        <w:rPr>
          <w:rFonts w:cs="Arial"/>
          <w:szCs w:val="24"/>
          <w:vertAlign w:val="superscript"/>
        </w:rPr>
        <w:t>57</w:t>
      </w:r>
      <w:r w:rsidR="0009281C">
        <w:fldChar w:fldCharType="end"/>
      </w:r>
      <w:r w:rsidR="00744D4B">
        <w:t xml:space="preserve"> </w:t>
      </w:r>
      <w:r w:rsidR="00060176" w:rsidRPr="002646F6">
        <w:t xml:space="preserve">Given the </w:t>
      </w:r>
      <w:r w:rsidR="00E61A34">
        <w:t xml:space="preserve">known </w:t>
      </w:r>
      <w:r w:rsidR="007C54AA" w:rsidRPr="002646F6">
        <w:t xml:space="preserve">role of HER2 in driving </w:t>
      </w:r>
      <w:r w:rsidR="002B39E8" w:rsidRPr="002646F6">
        <w:t xml:space="preserve">BC, and the </w:t>
      </w:r>
      <w:r w:rsidR="00060176" w:rsidRPr="002646F6">
        <w:t xml:space="preserve">OS and PFS </w:t>
      </w:r>
      <w:r w:rsidR="0067274C" w:rsidRPr="002646F6">
        <w:t xml:space="preserve">benefit </w:t>
      </w:r>
      <w:r w:rsidR="00060176" w:rsidRPr="002646F6">
        <w:t xml:space="preserve">of HER2-targeted therapies in HER2-positive </w:t>
      </w:r>
      <w:r w:rsidR="00EB76E2" w:rsidRPr="002646F6">
        <w:t>disease</w:t>
      </w:r>
      <w:r w:rsidR="00060176" w:rsidRPr="002646F6">
        <w:t xml:space="preserve">, there </w:t>
      </w:r>
      <w:r w:rsidR="00016B42">
        <w:t>remains</w:t>
      </w:r>
      <w:r w:rsidR="0054103E" w:rsidRPr="002646F6">
        <w:t xml:space="preserve"> </w:t>
      </w:r>
      <w:r w:rsidR="002B39E8" w:rsidRPr="002646F6">
        <w:t>an</w:t>
      </w:r>
      <w:r w:rsidR="00060176" w:rsidRPr="002646F6">
        <w:t xml:space="preserve"> </w:t>
      </w:r>
      <w:r w:rsidR="002B39E8" w:rsidRPr="002646F6">
        <w:t>opportunity</w:t>
      </w:r>
      <w:r w:rsidR="00060176" w:rsidRPr="002646F6">
        <w:t xml:space="preserve"> for effective HER2-targeted therapies to </w:t>
      </w:r>
      <w:r w:rsidR="00CC60A2" w:rsidRPr="002646F6">
        <w:t>improve outcomes</w:t>
      </w:r>
      <w:r w:rsidR="00060176" w:rsidRPr="002646F6">
        <w:t xml:space="preserve"> in HER2-low u/mBC</w:t>
      </w:r>
      <w:r w:rsidR="0067274C" w:rsidRPr="002646F6">
        <w:t>.</w:t>
      </w:r>
      <w:r w:rsidR="007C7447">
        <w:t xml:space="preserve"> </w:t>
      </w:r>
      <w:r w:rsidR="00160770">
        <w:t xml:space="preserve">In line with this, </w:t>
      </w:r>
      <w:r w:rsidR="00071338" w:rsidRPr="002646F6">
        <w:t xml:space="preserve">UK clinical experts agreed at an advisory board in December 2022 that there is a demand </w:t>
      </w:r>
      <w:r w:rsidR="00AD3E62" w:rsidRPr="002646F6">
        <w:t>for</w:t>
      </w:r>
      <w:r w:rsidR="00071338" w:rsidRPr="002646F6">
        <w:t xml:space="preserve"> effective HER2-targeted therapies i</w:t>
      </w:r>
      <w:r w:rsidR="000516BC" w:rsidRPr="002646F6">
        <w:t>n patients with HER2-low u/mBC.</w:t>
      </w:r>
      <w:r w:rsidR="005C107F">
        <w:fldChar w:fldCharType="begin"/>
      </w:r>
      <w:r w:rsidR="00CA6345">
        <w:instrText xml:space="preserve"> ADDIN ZOTERO_ITEM CSL_CITATION {"citationID":"X8Zeznvm","properties":{"formattedCitation":"\\super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005C107F">
        <w:fldChar w:fldCharType="separate"/>
      </w:r>
      <w:r w:rsidR="00CA6345" w:rsidRPr="00CA6345">
        <w:rPr>
          <w:rFonts w:cs="Arial"/>
          <w:szCs w:val="24"/>
          <w:vertAlign w:val="superscript"/>
        </w:rPr>
        <w:t>121</w:t>
      </w:r>
      <w:r w:rsidR="005C107F">
        <w:fldChar w:fldCharType="end"/>
      </w:r>
      <w:r w:rsidR="005C107F">
        <w:t xml:space="preserve"> </w:t>
      </w:r>
    </w:p>
    <w:p w14:paraId="0C0B0942" w14:textId="26A2B68B" w:rsidR="0086654F" w:rsidRPr="00B55345" w:rsidRDefault="00160770" w:rsidP="002646F6">
      <w:pPr>
        <w:pStyle w:val="Body"/>
      </w:pPr>
      <w:r>
        <w:t xml:space="preserve">In addition to </w:t>
      </w:r>
      <w:r w:rsidR="009A64EF">
        <w:t xml:space="preserve">an unmet need to </w:t>
      </w:r>
      <w:r w:rsidR="00364525">
        <w:t>improv</w:t>
      </w:r>
      <w:r w:rsidR="009A64EF">
        <w:t>e</w:t>
      </w:r>
      <w:r w:rsidR="00364525">
        <w:t xml:space="preserve"> </w:t>
      </w:r>
      <w:r w:rsidR="009A64EF">
        <w:t>clinical</w:t>
      </w:r>
      <w:r w:rsidR="00364525">
        <w:t xml:space="preserve"> outcomes in HER2-low u/mBC, </w:t>
      </w:r>
      <w:r w:rsidR="0053398E">
        <w:t xml:space="preserve">novel treatments are needed to help ensure the NHS meets its Long Term Plan. </w:t>
      </w:r>
      <w:r w:rsidR="0086654F" w:rsidRPr="00BE56B1">
        <w:t xml:space="preserve">The NHS Long Term Plan, published in 2019, outlined a number of commitments that aim to improve diagnosis, treatment, care and outcomes for </w:t>
      </w:r>
      <w:r w:rsidR="0086654F">
        <w:t>BC</w:t>
      </w:r>
      <w:r w:rsidR="0086654F" w:rsidRPr="00BE56B1">
        <w:t xml:space="preserve"> patients. </w:t>
      </w:r>
      <w:r w:rsidR="00F37F97">
        <w:t>Among these commitments is a</w:t>
      </w:r>
      <w:r w:rsidR="0086654F" w:rsidRPr="00BE56B1">
        <w:t xml:space="preserve"> goal of</w:t>
      </w:r>
      <w:r w:rsidR="0086654F">
        <w:t xml:space="preserve"> </w:t>
      </w:r>
      <w:r w:rsidR="0086654F" w:rsidRPr="00BE56B1">
        <w:t xml:space="preserve">55,000 </w:t>
      </w:r>
      <w:r w:rsidR="00452082">
        <w:t xml:space="preserve">more </w:t>
      </w:r>
      <w:r w:rsidR="0086654F" w:rsidRPr="00BE56B1">
        <w:t xml:space="preserve">people each year surviving for </w:t>
      </w:r>
      <w:r w:rsidR="00452082">
        <w:t xml:space="preserve">at least </w:t>
      </w:r>
      <w:r w:rsidR="0086654F" w:rsidRPr="00BE56B1">
        <w:t>five years following cancer diagnosis</w:t>
      </w:r>
      <w:r w:rsidR="00F37F97">
        <w:t xml:space="preserve"> by 2028</w:t>
      </w:r>
      <w:r w:rsidR="00452082">
        <w:t>,</w:t>
      </w:r>
      <w:r w:rsidR="0086654F" w:rsidRPr="00BE56B1">
        <w:t xml:space="preserve"> a</w:t>
      </w:r>
      <w:r w:rsidR="00F37F97">
        <w:t>s well as</w:t>
      </w:r>
      <w:r w:rsidR="0086654F" w:rsidRPr="00BE56B1">
        <w:t xml:space="preserve"> improv</w:t>
      </w:r>
      <w:r w:rsidR="00F37F97">
        <w:t>ed</w:t>
      </w:r>
      <w:r w:rsidR="0086654F" w:rsidRPr="00BE56B1">
        <w:t xml:space="preserve"> </w:t>
      </w:r>
      <w:r w:rsidR="0086654F">
        <w:t>QoL</w:t>
      </w:r>
      <w:r w:rsidR="0086654F" w:rsidRPr="00BE56B1">
        <w:t xml:space="preserve"> and patient experience outcomes</w:t>
      </w:r>
      <w:r w:rsidR="00750129">
        <w:t>.</w:t>
      </w:r>
      <w:r w:rsidR="00750129">
        <w:fldChar w:fldCharType="begin"/>
      </w:r>
      <w:r w:rsidR="00CA6345">
        <w:instrText xml:space="preserve"> ADDIN ZOTERO_ITEM CSL_CITATION {"citationID":"hbDEgEsy","properties":{"formattedCitation":"\\super 137\\nosupersub{}","plainCitation":"137","noteIndex":0},"citationItems":[{"id":66448,"uris":["http://zotero.org/groups/4797619/items/AXR7YCEJ"],"itemData":{"id":66448,"type":"report","title":"NHS Long Term Plan","URL":"https://www.longtermplan.nhs.uk/online-version/chapter-3-further-progress-on-care-quality-and-outcomes/better-care-for-major-health-conditions/cancer/.","author":[{"family":"NHS England","given":"2019"}]}}],"schema":"https://github.com/citation-style-language/schema/raw/master/csl-citation.json"} </w:instrText>
      </w:r>
      <w:r w:rsidR="00750129">
        <w:fldChar w:fldCharType="separate"/>
      </w:r>
      <w:r w:rsidR="00CA6345" w:rsidRPr="00CA6345">
        <w:rPr>
          <w:rFonts w:cs="Arial"/>
          <w:szCs w:val="24"/>
          <w:vertAlign w:val="superscript"/>
        </w:rPr>
        <w:t>137</w:t>
      </w:r>
      <w:r w:rsidR="00750129">
        <w:fldChar w:fldCharType="end"/>
      </w:r>
      <w:r w:rsidR="007F53E2">
        <w:t xml:space="preserve"> T</w:t>
      </w:r>
      <w:r w:rsidR="001D509A">
        <w:t>he NHS could meet these long-term ambitions by</w:t>
      </w:r>
      <w:r w:rsidR="00BC2CED">
        <w:t xml:space="preserve"> making available</w:t>
      </w:r>
      <w:r w:rsidR="0086654F" w:rsidRPr="00BE56B1">
        <w:t xml:space="preserve"> new, effective</w:t>
      </w:r>
      <w:r w:rsidR="00FE5A17">
        <w:t>,</w:t>
      </w:r>
      <w:r w:rsidR="0086654F" w:rsidRPr="00BE56B1">
        <w:t xml:space="preserve"> targeted treatment</w:t>
      </w:r>
      <w:r w:rsidR="00962208">
        <w:t>s</w:t>
      </w:r>
      <w:r w:rsidR="0086654F" w:rsidRPr="00BE56B1">
        <w:t xml:space="preserve"> for a patient population </w:t>
      </w:r>
      <w:r w:rsidR="00FE5A17">
        <w:t xml:space="preserve">whose current options are largely limited to </w:t>
      </w:r>
      <w:r w:rsidR="007F2FCA">
        <w:t xml:space="preserve">non-targeted </w:t>
      </w:r>
      <w:r w:rsidR="00FE5A17">
        <w:t>single-agent chemotherapi</w:t>
      </w:r>
      <w:r w:rsidR="0086654F" w:rsidRPr="00BE56B1">
        <w:t>e</w:t>
      </w:r>
      <w:r w:rsidR="00016631">
        <w:t>s</w:t>
      </w:r>
      <w:r w:rsidR="00DD2FC4">
        <w:t>, which have poor efficacy</w:t>
      </w:r>
      <w:r w:rsidR="001D509A">
        <w:t>.</w:t>
      </w:r>
      <w:r w:rsidR="0086654F" w:rsidRPr="00BE56B1">
        <w:t xml:space="preserve">  </w:t>
      </w:r>
    </w:p>
    <w:p w14:paraId="67389C0B" w14:textId="060AEB64" w:rsidR="00590159" w:rsidRPr="002646F6" w:rsidRDefault="00C377F4" w:rsidP="00CF50D5">
      <w:pPr>
        <w:pStyle w:val="Heading3"/>
      </w:pPr>
      <w:bookmarkStart w:id="97" w:name="_Toc97026210"/>
      <w:bookmarkStart w:id="98" w:name="_Toc97026211"/>
      <w:bookmarkStart w:id="99" w:name="_Toc97026212"/>
      <w:bookmarkStart w:id="100" w:name="_Toc97026213"/>
      <w:bookmarkStart w:id="101" w:name="_Toc97026214"/>
      <w:bookmarkStart w:id="102" w:name="_Toc97026215"/>
      <w:bookmarkStart w:id="103" w:name="_Toc97026216"/>
      <w:bookmarkStart w:id="104" w:name="_Toc97026217"/>
      <w:bookmarkStart w:id="105" w:name="_Toc97026218"/>
      <w:bookmarkStart w:id="106" w:name="_Toc97026224"/>
      <w:bookmarkStart w:id="107" w:name="_Toc97026225"/>
      <w:bookmarkStart w:id="108" w:name="_Toc97026226"/>
      <w:bookmarkStart w:id="109" w:name="_Toc129350850"/>
      <w:bookmarkEnd w:id="96"/>
      <w:bookmarkEnd w:id="97"/>
      <w:bookmarkEnd w:id="98"/>
      <w:bookmarkEnd w:id="99"/>
      <w:bookmarkEnd w:id="100"/>
      <w:bookmarkEnd w:id="101"/>
      <w:bookmarkEnd w:id="102"/>
      <w:bookmarkEnd w:id="103"/>
      <w:bookmarkEnd w:id="104"/>
      <w:bookmarkEnd w:id="105"/>
      <w:bookmarkEnd w:id="106"/>
      <w:bookmarkEnd w:id="107"/>
      <w:bookmarkEnd w:id="108"/>
      <w:r w:rsidRPr="002646F6">
        <w:lastRenderedPageBreak/>
        <w:t>P</w:t>
      </w:r>
      <w:r w:rsidR="00E50352" w:rsidRPr="002646F6">
        <w:t>roposed p</w:t>
      </w:r>
      <w:r w:rsidRPr="002646F6">
        <w:t xml:space="preserve">lace of T-DXd in </w:t>
      </w:r>
      <w:r w:rsidR="006153FF" w:rsidRPr="002646F6">
        <w:t xml:space="preserve">the HER2-low </w:t>
      </w:r>
      <w:r w:rsidR="008120C0" w:rsidRPr="002646F6">
        <w:t xml:space="preserve">u/mBC </w:t>
      </w:r>
      <w:r w:rsidR="006153FF" w:rsidRPr="002646F6">
        <w:t>treatment pathway</w:t>
      </w:r>
      <w:bookmarkEnd w:id="109"/>
    </w:p>
    <w:p w14:paraId="73712F86" w14:textId="7DD4BDAD" w:rsidR="00EE5E45" w:rsidRPr="002646F6" w:rsidRDefault="00D018B5" w:rsidP="004601F6">
      <w:pPr>
        <w:pStyle w:val="Body"/>
        <w:rPr>
          <w:u w:val="single"/>
        </w:rPr>
      </w:pPr>
      <w:r w:rsidRPr="002646F6">
        <w:t xml:space="preserve">T-DXd is the first and only </w:t>
      </w:r>
      <w:r>
        <w:t>EMA-</w:t>
      </w:r>
      <w:r w:rsidRPr="00F80EEE">
        <w:rPr>
          <w:i/>
          <w:iCs/>
        </w:rPr>
        <w:fldChar w:fldCharType="begin"/>
      </w:r>
      <w:r w:rsidR="00CA6345">
        <w:rPr>
          <w:i/>
          <w:iCs/>
        </w:rPr>
        <w:instrText xml:space="preserve"> ADDIN ZOTERO_ITEM CSL_CITATION {"citationID":"tbLCSqJR","properties":{"formattedCitation":"\\super 3\\nosupersub{}","plainCitation":"3","noteIndex":0},"citationItems":[{"id":66851,"uris":["http://zotero.org/groups/4797619/items/EUUYPVTM"],"itemData":{"id":66851,"type":"document","title":"EMA Enhertu Summary of Product Characteristics (SmPC)","URL":"https://www.ema.europa.eu/en/documents/product-information/enhertu-epar-product-information_en.pdf","author":[{"family":"European Medicines Agency (EMA)","given":""}],"issued":{"date-parts":[["2023"]]}}}],"schema":"https://github.com/citation-style-language/schema/raw/master/csl-citation.json"} </w:instrText>
      </w:r>
      <w:r w:rsidRPr="00F80EEE">
        <w:rPr>
          <w:i/>
          <w:iCs/>
        </w:rPr>
        <w:fldChar w:fldCharType="separate"/>
      </w:r>
      <w:r w:rsidR="00FD57F4" w:rsidRPr="00FD57F4">
        <w:rPr>
          <w:rFonts w:cs="Arial"/>
          <w:szCs w:val="24"/>
          <w:vertAlign w:val="superscript"/>
        </w:rPr>
        <w:t>3</w:t>
      </w:r>
      <w:r w:rsidRPr="00F80EEE">
        <w:rPr>
          <w:i/>
          <w:iCs/>
        </w:rPr>
        <w:fldChar w:fldCharType="end"/>
      </w:r>
      <w:r>
        <w:rPr>
          <w:i/>
          <w:iCs/>
        </w:rPr>
        <w:t xml:space="preserve"> </w:t>
      </w:r>
      <w:r>
        <w:t xml:space="preserve">and </w:t>
      </w:r>
      <w:r w:rsidRPr="002646F6">
        <w:t>F</w:t>
      </w:r>
      <w:r>
        <w:t>ood and Drug Administration (</w:t>
      </w:r>
      <w:r w:rsidRPr="002646F6">
        <w:t>FDA</w:t>
      </w:r>
      <w:r>
        <w:t>)</w:t>
      </w:r>
      <w:r w:rsidRPr="002646F6">
        <w:t>-approved</w:t>
      </w:r>
      <w:r w:rsidR="00645F0A">
        <w:fldChar w:fldCharType="begin"/>
      </w:r>
      <w:r w:rsidR="00CA6345">
        <w:instrText xml:space="preserve"> ADDIN ZOTERO_ITEM CSL_CITATION {"citationID":"m1a2jw1M","properties":{"formattedCitation":"\\super 138,139\\nosupersub{}","plainCitation":"138,139","noteIndex":0},"citationItems":[{"id":66845,"uris":["http://zotero.org/groups/4797619/items/K7R8E452"],"itemData":{"id":66845,"type":"webpage","container-title":"The ASCO Post","language":"en","title":"FDA Approves First Targeted Therapy for HER2-Low Breast Cancer","URL":"https://ascopost.com/issues/september-10-2022/fda-approves-first-targeted-therapy-for-her2-low-breast-cancer/","accessed":{"date-parts":[["2023",3,6]]},"issued":{"date-parts":[["2022",9]]}}},{"id":66843,"uris":["http://zotero.org/groups/4797619/items/IPJ8PZ2L"],"itemData":{"id":66843,"type":"document","publisher":"Access Data FDA.gov","title":"HIGHLIGHTS OF PRESCRIBING INFORMATION - ENHERTU.","URL":"https://www.accessdata.fda.gov/drugsatfda_docs/label/2022/761139s021lbl.pdf","author":[{"family":"US Food and Drug Administration","given":""}],"issued":{"date-parts":[["2022",8]]}}}],"schema":"https://github.com/citation-style-language/schema/raw/master/csl-citation.json"} </w:instrText>
      </w:r>
      <w:r w:rsidR="00645F0A">
        <w:fldChar w:fldCharType="separate"/>
      </w:r>
      <w:r w:rsidR="00CA6345" w:rsidRPr="00CA6345">
        <w:rPr>
          <w:rFonts w:cs="Arial"/>
          <w:szCs w:val="24"/>
          <w:vertAlign w:val="superscript"/>
        </w:rPr>
        <w:t>138,139</w:t>
      </w:r>
      <w:r w:rsidR="00645F0A">
        <w:fldChar w:fldCharType="end"/>
      </w:r>
      <w:r w:rsidRPr="002646F6">
        <w:t xml:space="preserve"> therapy for HER2-low u/mBC specifically</w:t>
      </w:r>
      <w:r w:rsidRPr="00E01AB6">
        <w:t xml:space="preserve">. </w:t>
      </w:r>
      <w:r w:rsidRPr="002646F6">
        <w:t xml:space="preserve">The </w:t>
      </w:r>
      <w:r>
        <w:t>EMA marketing authorisation in this indication is:</w:t>
      </w:r>
      <w:r w:rsidRPr="002646F6">
        <w:t xml:space="preserve"> </w:t>
      </w:r>
      <w:r w:rsidRPr="00951431">
        <w:rPr>
          <w:i/>
        </w:rPr>
        <w:t>as monotherapy for the treatment of adult patients with unresectable or metastatic HER2 low breast cancer who have received prior chemotherapy in the metastatic setting or developed disease recurrence during or within 6 months of completing adjuvant chemotherapy (see section 4.2).</w:t>
      </w:r>
      <w:r w:rsidRPr="002646F6">
        <w:t xml:space="preserve"> </w:t>
      </w:r>
      <w:r>
        <w:t xml:space="preserve">The </w:t>
      </w:r>
      <w:r w:rsidRPr="002646F6">
        <w:t xml:space="preserve">UK </w:t>
      </w:r>
      <w:r>
        <w:t xml:space="preserve">marketing authorisation </w:t>
      </w:r>
      <w:r w:rsidR="00F77ABC" w:rsidRPr="00F77ABC">
        <w:rPr>
          <w:color w:val="000000"/>
          <w:highlight w:val="black"/>
        </w:rPr>
        <w:t>xxxxxxxxxxxxxxxxxxx</w:t>
      </w:r>
      <w:r w:rsidR="0054039F">
        <w:rPr>
          <w:color w:val="000000"/>
          <w:highlight w:val="black"/>
        </w:rPr>
        <w:t xml:space="preserve"> </w:t>
      </w:r>
      <w:r w:rsidR="00F77ABC" w:rsidRPr="00F77ABC">
        <w:rPr>
          <w:color w:val="000000"/>
          <w:highlight w:val="black"/>
        </w:rPr>
        <w:t>xxxxxxxxxxxxxxxxxxxxxxxxxxxxxxxxxxx</w:t>
      </w:r>
      <w:r>
        <w:t>.</w:t>
      </w:r>
    </w:p>
    <w:p w14:paraId="1BEDA452" w14:textId="6D71C241" w:rsidR="00C72AB9" w:rsidRPr="002646F6" w:rsidRDefault="003349EC" w:rsidP="004601F6">
      <w:pPr>
        <w:pStyle w:val="Body"/>
      </w:pPr>
      <w:r w:rsidRPr="002646F6">
        <w:t xml:space="preserve">T-DXd is expected to be positioned for patients with HER2-low u/mBC who have </w:t>
      </w:r>
      <w:r w:rsidR="00B50BB5" w:rsidRPr="002646F6">
        <w:t xml:space="preserve">exhausted earlier targeted therapies and </w:t>
      </w:r>
      <w:r w:rsidR="00F53B56" w:rsidRPr="002646F6">
        <w:t xml:space="preserve">received at least one prior line of chemotherapy </w:t>
      </w:r>
      <w:r w:rsidR="00B50BB5" w:rsidRPr="002646F6">
        <w:t xml:space="preserve">in </w:t>
      </w:r>
      <w:r w:rsidR="00B50BB5" w:rsidRPr="004951BC">
        <w:t>the</w:t>
      </w:r>
      <w:r w:rsidR="00F53B56" w:rsidRPr="004951BC">
        <w:t xml:space="preserve"> </w:t>
      </w:r>
      <w:r w:rsidR="004269D6" w:rsidRPr="003C648C">
        <w:t>adjuvant (if recurrence occurs within 6 months) or</w:t>
      </w:r>
      <w:r w:rsidR="00F53B56" w:rsidRPr="002646F6">
        <w:t xml:space="preserve"> metastatic </w:t>
      </w:r>
      <w:r w:rsidR="00B50BB5" w:rsidRPr="002646F6">
        <w:t>setting</w:t>
      </w:r>
      <w:r w:rsidR="00E56D6A" w:rsidRPr="002646F6">
        <w:t xml:space="preserve"> (</w:t>
      </w:r>
      <w:r w:rsidR="00AA0E48" w:rsidRPr="00AA0E48">
        <w:rPr>
          <w:b/>
          <w:bCs/>
        </w:rPr>
        <w:fldChar w:fldCharType="begin"/>
      </w:r>
      <w:r w:rsidR="00AA0E48" w:rsidRPr="00AA0E48">
        <w:rPr>
          <w:b/>
          <w:bCs/>
        </w:rPr>
        <w:instrText xml:space="preserve"> REF _Ref121943641 \h  \* MERGEFORMAT </w:instrText>
      </w:r>
      <w:r w:rsidR="00AA0E48" w:rsidRPr="00AA0E48">
        <w:rPr>
          <w:b/>
          <w:bCs/>
        </w:rPr>
      </w:r>
      <w:r w:rsidR="00AA0E48" w:rsidRPr="00AA0E48">
        <w:rPr>
          <w:b/>
          <w:bCs/>
        </w:rPr>
        <w:fldChar w:fldCharType="separate"/>
      </w:r>
      <w:r w:rsidR="00145F42" w:rsidRPr="00145F42">
        <w:rPr>
          <w:b/>
          <w:bCs/>
        </w:rPr>
        <w:t xml:space="preserve">Figure </w:t>
      </w:r>
      <w:r w:rsidR="00145F42" w:rsidRPr="00145F42">
        <w:rPr>
          <w:b/>
          <w:bCs/>
          <w:noProof/>
        </w:rPr>
        <w:t>7</w:t>
      </w:r>
      <w:r w:rsidR="00AA0E48" w:rsidRPr="00AA0E48">
        <w:rPr>
          <w:b/>
          <w:bCs/>
        </w:rPr>
        <w:fldChar w:fldCharType="end"/>
      </w:r>
      <w:r w:rsidR="00F10110">
        <w:rPr>
          <w:b/>
          <w:bCs/>
        </w:rPr>
        <w:t xml:space="preserve"> </w:t>
      </w:r>
      <w:r w:rsidR="00F57392">
        <w:t xml:space="preserve">[HR-positive] </w:t>
      </w:r>
      <w:r w:rsidR="00F10110">
        <w:t>and</w:t>
      </w:r>
      <w:r w:rsidR="00637159">
        <w:t xml:space="preserve"> </w:t>
      </w:r>
      <w:r w:rsidR="00637159" w:rsidRPr="00637159">
        <w:rPr>
          <w:b/>
          <w:bCs/>
        </w:rPr>
        <w:fldChar w:fldCharType="begin"/>
      </w:r>
      <w:r w:rsidR="00637159" w:rsidRPr="00637159">
        <w:rPr>
          <w:b/>
          <w:bCs/>
        </w:rPr>
        <w:instrText xml:space="preserve"> REF _Ref125896405 \h </w:instrText>
      </w:r>
      <w:r w:rsidR="00637159">
        <w:rPr>
          <w:b/>
          <w:bCs/>
        </w:rPr>
        <w:instrText xml:space="preserve"> \* MERGEFORMAT </w:instrText>
      </w:r>
      <w:r w:rsidR="00637159" w:rsidRPr="00637159">
        <w:rPr>
          <w:b/>
          <w:bCs/>
        </w:rPr>
      </w:r>
      <w:r w:rsidR="00637159" w:rsidRPr="00637159">
        <w:rPr>
          <w:b/>
          <w:bCs/>
        </w:rPr>
        <w:fldChar w:fldCharType="separate"/>
      </w:r>
      <w:r w:rsidR="00145F42" w:rsidRPr="00145F42">
        <w:rPr>
          <w:b/>
          <w:bCs/>
        </w:rPr>
        <w:t xml:space="preserve">Figure </w:t>
      </w:r>
      <w:r w:rsidR="00145F42" w:rsidRPr="00145F42">
        <w:rPr>
          <w:b/>
          <w:bCs/>
          <w:noProof/>
        </w:rPr>
        <w:t>8</w:t>
      </w:r>
      <w:r w:rsidR="00637159" w:rsidRPr="00637159">
        <w:rPr>
          <w:b/>
          <w:bCs/>
        </w:rPr>
        <w:fldChar w:fldCharType="end"/>
      </w:r>
      <w:r w:rsidR="00F57392">
        <w:rPr>
          <w:b/>
          <w:bCs/>
        </w:rPr>
        <w:t xml:space="preserve"> </w:t>
      </w:r>
      <w:r w:rsidR="00F57392">
        <w:t>[HR-negative]</w:t>
      </w:r>
      <w:r w:rsidR="00E56D6A" w:rsidRPr="002646F6">
        <w:t>)</w:t>
      </w:r>
      <w:r w:rsidR="00EF1EE6" w:rsidRPr="002646F6">
        <w:t>.</w:t>
      </w:r>
      <w:r w:rsidR="00F37353">
        <w:t xml:space="preserve"> </w:t>
      </w:r>
      <w:r w:rsidR="002F43BB" w:rsidRPr="002646F6">
        <w:t>This positioning</w:t>
      </w:r>
      <w:r w:rsidR="008724FC" w:rsidRPr="002646F6">
        <w:t xml:space="preserve"> is</w:t>
      </w:r>
      <w:r w:rsidR="00B85206" w:rsidRPr="002646F6">
        <w:t xml:space="preserve"> in line with the market</w:t>
      </w:r>
      <w:r w:rsidR="008724FC" w:rsidRPr="002646F6">
        <w:t>ing</w:t>
      </w:r>
      <w:r w:rsidR="00B85206" w:rsidRPr="002646F6">
        <w:t xml:space="preserve"> authorisation</w:t>
      </w:r>
      <w:r w:rsidR="008724FC" w:rsidRPr="002646F6">
        <w:t xml:space="preserve"> and</w:t>
      </w:r>
      <w:r w:rsidR="002F43BB" w:rsidRPr="002646F6">
        <w:t xml:space="preserve"> was considered appropriate by clinical experts at an advisory board in December 2022.</w:t>
      </w:r>
      <w:r w:rsidR="006B03DE">
        <w:fldChar w:fldCharType="begin"/>
      </w:r>
      <w:r w:rsidR="00CA6345">
        <w:instrText xml:space="preserve"> ADDIN ZOTERO_ITEM CSL_CITATION {"citationID":"8Rh8uYK2","properties":{"formattedCitation":"\\super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006B03DE">
        <w:fldChar w:fldCharType="separate"/>
      </w:r>
      <w:r w:rsidR="00CA6345" w:rsidRPr="00CA6345">
        <w:rPr>
          <w:rFonts w:cs="Arial"/>
          <w:szCs w:val="24"/>
          <w:vertAlign w:val="superscript"/>
        </w:rPr>
        <w:t>121</w:t>
      </w:r>
      <w:r w:rsidR="006B03DE">
        <w:fldChar w:fldCharType="end"/>
      </w:r>
      <w:r w:rsidR="006B03DE" w:rsidRPr="002646F6">
        <w:t xml:space="preserve"> </w:t>
      </w:r>
    </w:p>
    <w:p w14:paraId="4AC8E2D4" w14:textId="78D1D839" w:rsidR="00946EF2" w:rsidRPr="002646F6" w:rsidRDefault="0021553D" w:rsidP="004601F6">
      <w:pPr>
        <w:pStyle w:val="Body"/>
      </w:pPr>
      <w:r>
        <w:t>It should be noted that, w</w:t>
      </w:r>
      <w:r w:rsidR="00FD600F" w:rsidRPr="002646F6">
        <w:t xml:space="preserve">hile </w:t>
      </w:r>
      <w:r w:rsidR="00903504" w:rsidRPr="002646F6">
        <w:t xml:space="preserve">the </w:t>
      </w:r>
      <w:r w:rsidR="00FD600F" w:rsidRPr="002646F6">
        <w:t>pathway is aligned to NICE CG81 and NICE TAs at the relevant line of therapy, ESMO 2021 guidelines,</w:t>
      </w:r>
      <w:r w:rsidR="00910F63" w:rsidRPr="002646F6">
        <w:fldChar w:fldCharType="begin"/>
      </w:r>
      <w:r w:rsidR="00CA6345">
        <w:instrText xml:space="preserve"> ADDIN ZOTERO_ITEM CSL_CITATION {"citationID":"rwK7VdyJ","properties":{"formattedCitation":"\\super 42\\nosupersub{}","plainCitation":"42","noteIndex":0},"citationItems":[{"id":65955,"uris":["http://zotero.org/groups/4797619/items/4KXA6CCG"],"itemData":{"id":65955,"type":"article-journal","container-title":"Annals of Oncology: Official Journal of the European Society for Medical Oncology","DOI":"10.1016/j.annonc.2021.09.019","ISSN":"1569-8041","issue":"12","journalAbbreviation":"Ann Oncol","language":"eng","note":"PMID: 34678411","page":"1475-1495","source":"PubMed","title":"ESMO Clinical Practice Guideline for the diagnosis, staging and treatment of patients with metastatic breast cancer","volume":"32","author":[{"family":"Gennari","given":"A."},{"family":"André","given":"F."},{"family":"Barrios","given":"C. H."},{"family":"Cortés","given":"J."},{"family":"Azambuja","given":"E.","non-dropping-particle":"de"},{"family":"DeMichele","given":"A."},{"family":"Dent","given":"R."},{"family":"Fenlon","given":"D."},{"family":"Gligorov","given":"J."},{"family":"Hurvitz","given":"S. A."},{"family":"Im","given":"S.-A."},{"family":"Krug","given":"D."},{"family":"Kunz","given":"W. G."},{"family":"Loi","given":"S."},{"family":"Penault-Llorca","given":"F."},{"family":"Ricke","given":"J."},{"family":"Robson","given":"M."},{"family":"Rugo","given":"H. S."},{"family":"Saura","given":"C."},{"family":"Schmid","given":"P."},{"family":"Singer","given":"C. F."},{"family":"Spanic","given":"T."},{"family":"Tolaney","given":"S. M."},{"family":"Turner","given":"N. C."},{"family":"Curigliano","given":"G."},{"family":"Loibl","given":"S."},{"family":"Paluch-Shimon","given":"S."},{"family":"Harbeck","given":"N."},{"literal":"ESMO Guidelines Committee. Electronic address: clinicalguidelines@esmo.org"}],"issued":{"date-parts":[["2021",12]]}}}],"schema":"https://github.com/citation-style-language/schema/raw/master/csl-citation.json"} </w:instrText>
      </w:r>
      <w:r w:rsidR="00910F63" w:rsidRPr="002646F6">
        <w:fldChar w:fldCharType="separate"/>
      </w:r>
      <w:r w:rsidR="00FD57F4" w:rsidRPr="00FD57F4">
        <w:rPr>
          <w:rFonts w:cs="Arial"/>
          <w:szCs w:val="24"/>
          <w:vertAlign w:val="superscript"/>
        </w:rPr>
        <w:t>42</w:t>
      </w:r>
      <w:r w:rsidR="00910F63" w:rsidRPr="002646F6">
        <w:fldChar w:fldCharType="end"/>
      </w:r>
      <w:r w:rsidR="00FD600F" w:rsidRPr="002646F6">
        <w:t xml:space="preserve"> UK real-world data</w:t>
      </w:r>
      <w:r w:rsidR="00F364F1" w:rsidRPr="002646F6">
        <w:t>,</w:t>
      </w:r>
      <w:r w:rsidR="00894A28" w:rsidRPr="002646F6">
        <w:fldChar w:fldCharType="begin"/>
      </w:r>
      <w:r w:rsidR="00CA6345">
        <w:instrText xml:space="preserve"> ADDIN ZOTERO_ITEM CSL_CITATION {"citationID":"FRB60jd5","properties":{"formattedCitation":"\\super 136\\nosupersub{}","plainCitation":"136","noteIndex":0},"citationItems":[{"id":66355,"uris":["http://zotero.org/groups/4797619/items/D7I4CN8Z"],"itemData":{"id":66355,"type":"document","title":"LiveInsighter Breast Cancer patient data","author":[{"family":"Daiichi Sankyo Inc.","given":""}],"issued":{"date-parts":[["2022"]]}}}],"schema":"https://github.com/citation-style-language/schema/raw/master/csl-citation.json"} </w:instrText>
      </w:r>
      <w:r w:rsidR="00894A28" w:rsidRPr="002646F6">
        <w:fldChar w:fldCharType="separate"/>
      </w:r>
      <w:r w:rsidR="00CA6345" w:rsidRPr="00CA6345">
        <w:rPr>
          <w:rFonts w:cs="Arial"/>
          <w:szCs w:val="24"/>
          <w:vertAlign w:val="superscript"/>
        </w:rPr>
        <w:t>136</w:t>
      </w:r>
      <w:r w:rsidR="00894A28" w:rsidRPr="002646F6">
        <w:fldChar w:fldCharType="end"/>
      </w:r>
      <w:r w:rsidR="00F364F1" w:rsidRPr="002646F6">
        <w:t xml:space="preserve"> </w:t>
      </w:r>
      <w:r w:rsidR="00C72AB9" w:rsidRPr="002646F6">
        <w:t xml:space="preserve">and </w:t>
      </w:r>
      <w:r w:rsidR="00F364F1" w:rsidRPr="002646F6">
        <w:t>clinical expert insights</w:t>
      </w:r>
      <w:r>
        <w:t xml:space="preserve"> indicate that</w:t>
      </w:r>
      <w:r w:rsidR="00F364F1" w:rsidRPr="002646F6">
        <w:t xml:space="preserve"> </w:t>
      </w:r>
      <w:r w:rsidR="007A7978" w:rsidRPr="002646F6">
        <w:t>there is no optimal sequencing</w:t>
      </w:r>
      <w:r>
        <w:t xml:space="preserve"> </w:t>
      </w:r>
      <w:r w:rsidR="00292740">
        <w:t>of chemotherapy agents in the metastatic setting</w:t>
      </w:r>
      <w:r w:rsidR="007A7978" w:rsidRPr="002646F6">
        <w:t xml:space="preserve"> </w:t>
      </w:r>
      <w:r w:rsidR="00395B1B" w:rsidRPr="00293E72">
        <w:t>(</w:t>
      </w:r>
      <w:r w:rsidR="00395B1B" w:rsidRPr="002646F6">
        <w:rPr>
          <w:b/>
          <w:bCs/>
        </w:rPr>
        <w:t xml:space="preserve">Section </w:t>
      </w:r>
      <w:r w:rsidR="00395B1B" w:rsidRPr="002646F6">
        <w:rPr>
          <w:b/>
          <w:bCs/>
        </w:rPr>
        <w:fldChar w:fldCharType="begin"/>
      </w:r>
      <w:r w:rsidR="00395B1B" w:rsidRPr="002646F6">
        <w:rPr>
          <w:b/>
          <w:bCs/>
        </w:rPr>
        <w:instrText xml:space="preserve"> REF _Ref122631429 \r \h  \* MERGEFORMAT </w:instrText>
      </w:r>
      <w:r w:rsidR="00395B1B" w:rsidRPr="002646F6">
        <w:rPr>
          <w:b/>
          <w:bCs/>
        </w:rPr>
      </w:r>
      <w:r w:rsidR="00395B1B" w:rsidRPr="002646F6">
        <w:rPr>
          <w:b/>
          <w:bCs/>
        </w:rPr>
        <w:fldChar w:fldCharType="separate"/>
      </w:r>
      <w:r w:rsidR="00145F42">
        <w:rPr>
          <w:b/>
          <w:bCs/>
        </w:rPr>
        <w:t>B.1.3.3.3.4</w:t>
      </w:r>
      <w:r w:rsidR="00395B1B" w:rsidRPr="002646F6">
        <w:rPr>
          <w:b/>
          <w:bCs/>
        </w:rPr>
        <w:fldChar w:fldCharType="end"/>
      </w:r>
      <w:r w:rsidR="00395B1B" w:rsidRPr="00293E72">
        <w:t>)</w:t>
      </w:r>
      <w:r w:rsidR="003C7EC8" w:rsidRPr="002646F6">
        <w:t>.</w:t>
      </w:r>
      <w:r w:rsidR="008B2044" w:rsidRPr="002646F6">
        <w:fldChar w:fldCharType="begin"/>
      </w:r>
      <w:r w:rsidR="00CA6345">
        <w:instrText xml:space="preserve"> ADDIN ZOTERO_ITEM CSL_CITATION {"citationID":"WSK1AiGJ","properties":{"formattedCitation":"\\super 118\\nosupersub{}","plainCitation":"118","noteIndex":0},"citationItems":[{"id":66343,"uris":["http://zotero.org/groups/4797619/items/IB6926PV"],"itemData":{"id":66343,"type":"article-journal","abstract":"INTRODUCTION: Currently available evidence does not provide definitive guidance regarding the optimal chemotherapy agents and combinations in anthracycline- and taxane-pretreated advanced breast cancer. We performed a systematic review of controlled clinical trials of the cytotoxic agents currently used for this population in Europe: capecitabine, gemcitabine, vinorelbine, docetaxel, paclitaxel and paclitaxel protein-bound particles.\nMETHOD: A systematic review of randomised (RCT) and non-randomised controlled clinical trials (non-RCTs). The primary outcomes of interest were overall survival (OS) and progression-free survival (PFS); secondary outcomes were duration of response (DR), overall response rate (ORR), adverse events and quality of life (QoL). Six electronic databases and grey literature sources were searched; reference tracking was performed on included publications. A narrative synthesis was conducted: heterogeneity of study design and interventions prevented meta-analysis.\nRESULTS: No randomised controlled trial (RCT) found any significant differences between any of the regimens in terms of OS. In terms of PFS, only gemcitabine plus vinorelbine performed significantly better than its comparator, vinorelbine alone. For secondary outcomes, only capecitabine plus bevacizumab had a significantly better outcome than its comparator, capecitabine alone, in terms of ORR. A low quality non-RCT found that both capecitabine monotherapy and a combination of capecitabine plus vinorelbine were significantly more effective than vinorelbine alone in terms of OS and ORR. Across all trials, median OS for these patients typically remained less than 16 months.\nCONCLUSION: The quantity and quality of the available evidence regarding the efficacy of the particular chemotherapy regimens in patients with advanced breast cancer pretreated with an anthracycline and a taxane is extremely limited. New effective therapies are sorely needed in this population.","container-title":"European Journal of Cancer (Oxford, England: 1990)","DOI":"10.1016/j.ejca.2009.05.035","ISSN":"1879-0852","issue":"16","journalAbbreviation":"Eur J Cancer","language":"eng","note":"PMID: 19615886","page":"2749-2758","source":"PubMed","title":"The clinical efficacy of cytotoxic agents in locally advanced or metastatic breast cancer patients pretreated with an anthracycline and a taxane: a systematic review","title-short":"The clinical efficacy of cytotoxic agents in locally advanced or metastatic breast cancer patients pretreated with an anthracycline and a taxane","volume":"45","author":[{"family":"Jassem","given":"Jacek"},{"family":"Carroll","given":"Christopher"},{"family":"Ward","given":"Sue E."},{"family":"Simpson","given":"Emma"},{"family":"Hind","given":"Daniel"}],"issued":{"date-parts":[["2009",11]]}}}],"schema":"https://github.com/citation-style-language/schema/raw/master/csl-citation.json"} </w:instrText>
      </w:r>
      <w:r w:rsidR="008B2044" w:rsidRPr="002646F6">
        <w:fldChar w:fldCharType="separate"/>
      </w:r>
      <w:r w:rsidR="00CA6345" w:rsidRPr="00CA6345">
        <w:rPr>
          <w:rFonts w:cs="Arial"/>
          <w:szCs w:val="24"/>
          <w:vertAlign w:val="superscript"/>
        </w:rPr>
        <w:t>118</w:t>
      </w:r>
      <w:r w:rsidR="008B2044" w:rsidRPr="002646F6">
        <w:fldChar w:fldCharType="end"/>
      </w:r>
    </w:p>
    <w:p w14:paraId="622FBE8C" w14:textId="72FDCDEC" w:rsidR="007F326B" w:rsidRPr="002646F6" w:rsidRDefault="00A34481" w:rsidP="00A34481">
      <w:pPr>
        <w:pStyle w:val="Caption"/>
      </w:pPr>
      <w:bookmarkStart w:id="110" w:name="_Ref121943641"/>
      <w:bookmarkStart w:id="111" w:name="_Toc129350933"/>
      <w:r w:rsidRPr="002646F6">
        <w:t xml:space="preserve">Figure </w:t>
      </w:r>
      <w:r>
        <w:fldChar w:fldCharType="begin"/>
      </w:r>
      <w:r>
        <w:instrText>SEQ Figure \* ARABIC</w:instrText>
      </w:r>
      <w:r>
        <w:fldChar w:fldCharType="separate"/>
      </w:r>
      <w:r w:rsidR="00145F42">
        <w:rPr>
          <w:noProof/>
        </w:rPr>
        <w:t>7</w:t>
      </w:r>
      <w:r>
        <w:fldChar w:fldCharType="end"/>
      </w:r>
      <w:bookmarkEnd w:id="110"/>
      <w:r w:rsidRPr="002646F6">
        <w:t xml:space="preserve">: Proposed positioning of T-DXd in </w:t>
      </w:r>
      <w:r w:rsidR="00515852">
        <w:t>HER2-low/HR-positive</w:t>
      </w:r>
      <w:r w:rsidRPr="002646F6">
        <w:t xml:space="preserve"> u/mBC pathway</w:t>
      </w:r>
      <w:r w:rsidR="00AE4F2C">
        <w:t>*</w:t>
      </w:r>
      <w:bookmarkEnd w:id="111"/>
    </w:p>
    <w:tbl>
      <w:tblPr>
        <w:tblStyle w:val="TableGrid"/>
        <w:tblW w:w="0" w:type="auto"/>
        <w:tblLook w:val="04A0" w:firstRow="1" w:lastRow="0" w:firstColumn="1" w:lastColumn="0" w:noHBand="0" w:noVBand="1"/>
      </w:tblPr>
      <w:tblGrid>
        <w:gridCol w:w="9016"/>
      </w:tblGrid>
      <w:tr w:rsidR="00A14AD7" w:rsidRPr="00A43593" w14:paraId="4B8EB8F3" w14:textId="77777777" w:rsidTr="007F326B">
        <w:tc>
          <w:tcPr>
            <w:tcW w:w="9016" w:type="dxa"/>
          </w:tcPr>
          <w:p w14:paraId="2A1D929F" w14:textId="6E78D9A2" w:rsidR="009E356E" w:rsidRPr="00A43593" w:rsidRDefault="0072698F" w:rsidP="0060259A">
            <w:pPr>
              <w:spacing w:before="120" w:after="120"/>
            </w:pPr>
            <w:r w:rsidRPr="0072698F">
              <w:rPr>
                <w:noProof/>
              </w:rPr>
              <w:drawing>
                <wp:inline distT="0" distB="0" distL="0" distR="0" wp14:anchorId="2D4211A4" wp14:editId="059CD668">
                  <wp:extent cx="5615797" cy="1979155"/>
                  <wp:effectExtent l="0" t="0" r="4445" b="2540"/>
                  <wp:docPr id="17" name="Picture 17">
                    <a:extLst xmlns:a="http://schemas.openxmlformats.org/drawingml/2006/main">
                      <a:ext uri="{FF2B5EF4-FFF2-40B4-BE49-F238E27FC236}">
                        <a16:creationId xmlns:a16="http://schemas.microsoft.com/office/drawing/2014/main" id="{2560804A-9641-38DD-2C8D-4F5AF571F7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2560804A-9641-38DD-2C8D-4F5AF571F7FC}"/>
                              </a:ext>
                            </a:extLst>
                          </pic:cNvPr>
                          <pic:cNvPicPr>
                            <a:picLocks noChangeAspect="1"/>
                          </pic:cNvPicPr>
                        </pic:nvPicPr>
                        <pic:blipFill>
                          <a:blip r:embed="rId19"/>
                          <a:stretch>
                            <a:fillRect/>
                          </a:stretch>
                        </pic:blipFill>
                        <pic:spPr>
                          <a:xfrm>
                            <a:off x="0" y="0"/>
                            <a:ext cx="5619577" cy="1980487"/>
                          </a:xfrm>
                          <a:prstGeom prst="rect">
                            <a:avLst/>
                          </a:prstGeom>
                        </pic:spPr>
                      </pic:pic>
                    </a:graphicData>
                  </a:graphic>
                </wp:inline>
              </w:drawing>
            </w:r>
          </w:p>
        </w:tc>
      </w:tr>
    </w:tbl>
    <w:p w14:paraId="77E76932" w14:textId="459152B1" w:rsidR="005C339A" w:rsidRPr="002646F6" w:rsidRDefault="005C339A" w:rsidP="005C339A">
      <w:pPr>
        <w:pStyle w:val="Footnotes"/>
        <w:spacing w:after="0"/>
      </w:pPr>
      <w:r w:rsidRPr="002646F6">
        <w:t>*</w:t>
      </w:r>
      <w:r w:rsidRPr="0079094C">
        <w:t>Please note that this pathway may not be reflective of current practice based on the following:</w:t>
      </w:r>
    </w:p>
    <w:p w14:paraId="504920F7" w14:textId="066EE718" w:rsidR="005C339A" w:rsidRDefault="005C339A" w:rsidP="00954359">
      <w:pPr>
        <w:pStyle w:val="Body"/>
        <w:numPr>
          <w:ilvl w:val="0"/>
          <w:numId w:val="34"/>
        </w:numPr>
        <w:spacing w:after="0" w:line="240" w:lineRule="auto"/>
        <w:ind w:left="142" w:hanging="142"/>
        <w:rPr>
          <w:sz w:val="18"/>
          <w:szCs w:val="18"/>
        </w:rPr>
      </w:pPr>
      <w:r w:rsidRPr="002646F6">
        <w:rPr>
          <w:sz w:val="18"/>
          <w:szCs w:val="18"/>
        </w:rPr>
        <w:t>NICE CG81 guidelines were published in 2009 and last updated in 2017.</w:t>
      </w:r>
      <w:r>
        <w:rPr>
          <w:sz w:val="18"/>
          <w:szCs w:val="18"/>
        </w:rPr>
        <w:fldChar w:fldCharType="begin"/>
      </w:r>
      <w:r w:rsidR="00CA6345">
        <w:rPr>
          <w:sz w:val="18"/>
          <w:szCs w:val="18"/>
        </w:rPr>
        <w:instrText xml:space="preserve"> ADDIN ZOTERO_ITEM CSL_CITATION {"citationID":"ZdmbQSep","properties":{"formattedCitation":"\\super 35\\nosupersub{}","plainCitation":"35","noteIndex":0},"citationItems":[{"id":65866,"uris":["http://zotero.org/groups/4797619/items/3AESVSNK"],"itemData":{"id":65866,"type":"webpage","abstract":"This guideline covers care and support for people with advanced (stage 4) breast cancer. It aims to help them and their healthcare professionals make shared","language":"eng","note":"publisher: NICE","title":"Advanced breast cancer: diagnosis and treatment | NICE CG81","title-short":"NICE CG81. Recommendations | Advanced breast cancer","URL":"https://www.nice.org.uk/guidance/cg81/chapter/Recommendations","author":[{"family":"NICE","given":""}],"accessed":{"date-parts":[["2022",10,17]]},"issued":{"date-parts":[["2017"]]}}}],"schema":"https://github.com/citation-style-language/schema/raw/master/csl-citation.json"} </w:instrText>
      </w:r>
      <w:r>
        <w:rPr>
          <w:sz w:val="18"/>
          <w:szCs w:val="18"/>
        </w:rPr>
        <w:fldChar w:fldCharType="separate"/>
      </w:r>
      <w:r w:rsidR="00FD57F4" w:rsidRPr="00FD57F4">
        <w:rPr>
          <w:rFonts w:cs="Arial"/>
          <w:sz w:val="18"/>
          <w:szCs w:val="24"/>
          <w:vertAlign w:val="superscript"/>
        </w:rPr>
        <w:t>35</w:t>
      </w:r>
      <w:r>
        <w:rPr>
          <w:sz w:val="18"/>
          <w:szCs w:val="18"/>
        </w:rPr>
        <w:fldChar w:fldCharType="end"/>
      </w:r>
      <w:r>
        <w:rPr>
          <w:sz w:val="18"/>
          <w:szCs w:val="18"/>
        </w:rPr>
        <w:t xml:space="preserve"> NICE has recognised the need for these guidelines to be reviewed, with an update expected in 2023.</w:t>
      </w:r>
      <w:r w:rsidRPr="003C648C">
        <w:rPr>
          <w:sz w:val="18"/>
          <w:szCs w:val="18"/>
        </w:rPr>
        <w:fldChar w:fldCharType="begin"/>
      </w:r>
      <w:r w:rsidR="00CA6345">
        <w:rPr>
          <w:sz w:val="18"/>
          <w:szCs w:val="18"/>
        </w:rPr>
        <w:instrText xml:space="preserve"> ADDIN ZOTERO_ITEM CSL_CITATION {"citationID":"QL2V5YcY","properties":{"formattedCitation":"\\super 135\\nosupersub{}","plainCitation":"135","noteIndex":0},"citationItems":[{"id":66433,"uris":["http://zotero.org/groups/4797619/items/DNI23N3Q"],"itemData":{"id":66433,"type":"webpage","abstract":"This guideline covers care and support for people with advanced (stage 4) breast cancer. It aims to help them and their healthcare professionals make shared","language":"eng","note":"publisher: NICE","title":"Surveillance decision | Evidence | Advanced breast cancer: diagnosis and treatment | Guidance | NICE","title-short":"Surveillance decision | Evidence | Advanced breast cancer","URL":"https://www.nice.org.uk/guidance/cg81/resources/2023-surveillance-of-early-and-locally-advanced-breast-cancer-diagnosis-and-management-nice-guideline-ng101-and-advanced-breast-cancer-diagnosis-and-treatment-nice-guideline-cg81-11321031709/chapter/Surveillance-decision?tab=evidence","accessed":{"date-parts":[["2023",1,23]]}}}],"schema":"https://github.com/citation-style-language/schema/raw/master/csl-citation.json"} </w:instrText>
      </w:r>
      <w:r w:rsidRPr="003C648C">
        <w:rPr>
          <w:sz w:val="18"/>
          <w:szCs w:val="18"/>
        </w:rPr>
        <w:fldChar w:fldCharType="separate"/>
      </w:r>
      <w:r w:rsidR="00CA6345" w:rsidRPr="00CA6345">
        <w:rPr>
          <w:rFonts w:cs="Arial"/>
          <w:sz w:val="18"/>
          <w:szCs w:val="24"/>
          <w:vertAlign w:val="superscript"/>
        </w:rPr>
        <w:t>135</w:t>
      </w:r>
      <w:r w:rsidRPr="003C648C">
        <w:rPr>
          <w:sz w:val="18"/>
          <w:szCs w:val="18"/>
        </w:rPr>
        <w:fldChar w:fldCharType="end"/>
      </w:r>
      <w:r w:rsidRPr="00584262">
        <w:rPr>
          <w:sz w:val="18"/>
          <w:szCs w:val="18"/>
        </w:rPr>
        <w:t xml:space="preserve"> </w:t>
      </w:r>
      <w:r w:rsidRPr="002646F6">
        <w:rPr>
          <w:sz w:val="18"/>
          <w:szCs w:val="18"/>
        </w:rPr>
        <w:fldChar w:fldCharType="begin"/>
      </w:r>
      <w:r w:rsidR="00CA6345">
        <w:rPr>
          <w:sz w:val="18"/>
          <w:szCs w:val="18"/>
        </w:rPr>
        <w:instrText xml:space="preserve"> ADDIN ZOTERO_ITEM CSL_CITATION {"citationID":"I81TQ0A3","properties":{"formattedCitation":"\\super 6\\nosupersub{}","plainCitation":"6","dontUpdate":true,"noteIndex":0},"citationItems":[{"id":65866,"uris":["http://zotero.org/groups/4797619/items/3AESVSNK"],"itemData":{"id":65866,"type":"webpage","abstract":"This guideline covers care and support for people with advanced (stage 4) breast cancer. It aims to help them and their healthcare professionals make shared","language":"eng","note":"publisher: NICE","title":"Advanced breast cancer: diagnosis and treatment | NICE CG81","title-short":"NICE CG81. Recommendations | Advanced breast cancer","URL":"https://www.nice.org.uk/guidance/cg81/chapter/Recommendations","author":[{"family":"NICE","given":""}],"accessed":{"date-parts":[["2022",10,17]]},"issued":{"date-parts":[["2017"]]}}}],"schema":"https://github.com/citation-style-language/schema/raw/master/csl-citation.json"} </w:instrText>
      </w:r>
      <w:r w:rsidRPr="002646F6">
        <w:rPr>
          <w:sz w:val="18"/>
          <w:szCs w:val="18"/>
        </w:rPr>
        <w:fldChar w:fldCharType="separate"/>
      </w:r>
      <w:r w:rsidRPr="002646F6">
        <w:rPr>
          <w:sz w:val="18"/>
          <w:szCs w:val="18"/>
        </w:rPr>
        <w:fldChar w:fldCharType="end"/>
      </w:r>
      <w:r>
        <w:rPr>
          <w:sz w:val="18"/>
          <w:szCs w:val="18"/>
        </w:rPr>
        <w:t>As such, NICE CG81 r</w:t>
      </w:r>
      <w:r w:rsidRPr="002646F6">
        <w:rPr>
          <w:sz w:val="18"/>
          <w:szCs w:val="18"/>
        </w:rPr>
        <w:t>ecommendations may no longer reflect UK clinical practice, as confirmed by UK experts at a December 2022 advisory board.</w:t>
      </w:r>
      <w:r w:rsidR="00BE24D4">
        <w:rPr>
          <w:sz w:val="18"/>
          <w:szCs w:val="18"/>
        </w:rPr>
        <w:fldChar w:fldCharType="begin"/>
      </w:r>
      <w:r w:rsidR="00CA6345">
        <w:rPr>
          <w:sz w:val="18"/>
          <w:szCs w:val="18"/>
        </w:rPr>
        <w:instrText xml:space="preserve"> ADDIN ZOTERO_ITEM CSL_CITATION {"citationID":"OZtUipHr","properties":{"formattedCitation":"\\super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00BE24D4">
        <w:rPr>
          <w:sz w:val="18"/>
          <w:szCs w:val="18"/>
        </w:rPr>
        <w:fldChar w:fldCharType="separate"/>
      </w:r>
      <w:r w:rsidR="00CA6345" w:rsidRPr="00CA6345">
        <w:rPr>
          <w:rFonts w:cs="Arial"/>
          <w:sz w:val="18"/>
          <w:szCs w:val="24"/>
          <w:vertAlign w:val="superscript"/>
        </w:rPr>
        <w:t>121</w:t>
      </w:r>
      <w:r w:rsidR="00BE24D4">
        <w:rPr>
          <w:sz w:val="18"/>
          <w:szCs w:val="18"/>
        </w:rPr>
        <w:fldChar w:fldCharType="end"/>
      </w:r>
      <w:r w:rsidRPr="002646F6">
        <w:rPr>
          <w:sz w:val="18"/>
          <w:szCs w:val="18"/>
        </w:rPr>
        <w:t xml:space="preserve"> NICE CG81 guidelines were published in 2009 and last updated in 2017.</w:t>
      </w:r>
      <w:r>
        <w:rPr>
          <w:sz w:val="18"/>
          <w:szCs w:val="18"/>
        </w:rPr>
        <w:fldChar w:fldCharType="begin"/>
      </w:r>
      <w:r w:rsidR="00CA6345">
        <w:rPr>
          <w:sz w:val="18"/>
          <w:szCs w:val="18"/>
        </w:rPr>
        <w:instrText xml:space="preserve"> ADDIN ZOTERO_ITEM CSL_CITATION {"citationID":"CVdB4UvB","properties":{"formattedCitation":"\\super 35\\nosupersub{}","plainCitation":"35","noteIndex":0},"citationItems":[{"id":65866,"uris":["http://zotero.org/groups/4797619/items/3AESVSNK"],"itemData":{"id":65866,"type":"webpage","abstract":"This guideline covers care and support for people with advanced (stage 4) breast cancer. It aims to help them and their healthcare professionals make shared","language":"eng","note":"publisher: NICE","title":"Advanced breast cancer: diagnosis and treatment | NICE CG81","title-short":"NICE CG81. Recommendations | Advanced breast cancer","URL":"https://www.nice.org.uk/guidance/cg81/chapter/Recommendations","author":[{"family":"NICE","given":""}],"accessed":{"date-parts":[["2022",10,17]]},"issued":{"date-parts":[["2017"]]}}}],"schema":"https://github.com/citation-style-language/schema/raw/master/csl-citation.json"} </w:instrText>
      </w:r>
      <w:r>
        <w:rPr>
          <w:sz w:val="18"/>
          <w:szCs w:val="18"/>
        </w:rPr>
        <w:fldChar w:fldCharType="separate"/>
      </w:r>
      <w:r w:rsidR="00FD57F4" w:rsidRPr="00FD57F4">
        <w:rPr>
          <w:rFonts w:cs="Arial"/>
          <w:sz w:val="18"/>
          <w:szCs w:val="24"/>
          <w:vertAlign w:val="superscript"/>
        </w:rPr>
        <w:t>35</w:t>
      </w:r>
      <w:r>
        <w:rPr>
          <w:sz w:val="18"/>
          <w:szCs w:val="18"/>
        </w:rPr>
        <w:fldChar w:fldCharType="end"/>
      </w:r>
      <w:r>
        <w:rPr>
          <w:sz w:val="18"/>
          <w:szCs w:val="18"/>
        </w:rPr>
        <w:t xml:space="preserve"> NICE has recognised the need for these guidelines to be reviewed, with an update expected in 2023.</w:t>
      </w:r>
      <w:r w:rsidRPr="003C648C">
        <w:rPr>
          <w:sz w:val="18"/>
          <w:szCs w:val="18"/>
        </w:rPr>
        <w:fldChar w:fldCharType="begin"/>
      </w:r>
      <w:r w:rsidR="00CA6345">
        <w:rPr>
          <w:sz w:val="18"/>
          <w:szCs w:val="18"/>
        </w:rPr>
        <w:instrText xml:space="preserve"> ADDIN ZOTERO_ITEM CSL_CITATION {"citationID":"9iIDD91B","properties":{"formattedCitation":"\\super 135\\nosupersub{}","plainCitation":"135","noteIndex":0},"citationItems":[{"id":66433,"uris":["http://zotero.org/groups/4797619/items/DNI23N3Q"],"itemData":{"id":66433,"type":"webpage","abstract":"This guideline covers care and support for people with advanced (stage 4) breast cancer. It aims to help them and their healthcare professionals make shared","language":"eng","note":"publisher: NICE","title":"Surveillance decision | Evidence | Advanced breast cancer: diagnosis and treatment | Guidance | NICE","title-short":"Surveillance decision | Evidence | Advanced breast cancer","URL":"https://www.nice.org.uk/guidance/cg81/resources/2023-surveillance-of-early-and-locally-advanced-breast-cancer-diagnosis-and-management-nice-guideline-ng101-and-advanced-breast-cancer-diagnosis-and-treatment-nice-guideline-cg81-11321031709/chapter/Surveillance-decision?tab=evidence","accessed":{"date-parts":[["2023",1,23]]}}}],"schema":"https://github.com/citation-style-language/schema/raw/master/csl-citation.json"} </w:instrText>
      </w:r>
      <w:r w:rsidRPr="003C648C">
        <w:rPr>
          <w:sz w:val="18"/>
          <w:szCs w:val="18"/>
        </w:rPr>
        <w:fldChar w:fldCharType="separate"/>
      </w:r>
      <w:r w:rsidR="00CA6345" w:rsidRPr="00CA6345">
        <w:rPr>
          <w:rFonts w:cs="Arial"/>
          <w:sz w:val="18"/>
          <w:szCs w:val="24"/>
          <w:vertAlign w:val="superscript"/>
        </w:rPr>
        <w:t>135</w:t>
      </w:r>
      <w:r w:rsidRPr="003C648C">
        <w:rPr>
          <w:sz w:val="18"/>
          <w:szCs w:val="18"/>
        </w:rPr>
        <w:fldChar w:fldCharType="end"/>
      </w:r>
      <w:r>
        <w:rPr>
          <w:sz w:val="18"/>
          <w:szCs w:val="18"/>
        </w:rPr>
        <w:t xml:space="preserve"> </w:t>
      </w:r>
      <w:r w:rsidRPr="002646F6">
        <w:rPr>
          <w:sz w:val="18"/>
          <w:szCs w:val="18"/>
        </w:rPr>
        <w:fldChar w:fldCharType="begin"/>
      </w:r>
      <w:r w:rsidR="00CA6345">
        <w:rPr>
          <w:sz w:val="18"/>
          <w:szCs w:val="18"/>
        </w:rPr>
        <w:instrText xml:space="preserve"> ADDIN ZOTERO_ITEM CSL_CITATION {"citationID":"rRt0gRza","properties":{"formattedCitation":"\\super 6\\nosupersub{}","plainCitation":"6","dontUpdate":true,"noteIndex":0},"citationItems":[{"id":65866,"uris":["http://zotero.org/groups/4797619/items/3AESVSNK"],"itemData":{"id":65866,"type":"webpage","abstract":"This guideline covers care and support for people with advanced (stage 4) breast cancer. It aims to help them and their healthcare professionals make shared","language":"eng","note":"publisher: NICE","title":"Advanced breast cancer: diagnosis and treatment | NICE CG81","title-short":"NICE CG81. Recommendations | Advanced breast cancer","URL":"https://www.nice.org.uk/guidance/cg81/chapter/Recommendations","author":[{"family":"NICE","given":""}],"accessed":{"date-parts":[["2022",10,17]]},"issued":{"date-parts":[["2017"]]}}}],"schema":"https://github.com/citation-style-language/schema/raw/master/csl-citation.json"} </w:instrText>
      </w:r>
      <w:r w:rsidRPr="002646F6">
        <w:rPr>
          <w:sz w:val="18"/>
          <w:szCs w:val="18"/>
        </w:rPr>
        <w:fldChar w:fldCharType="separate"/>
      </w:r>
      <w:r w:rsidRPr="002646F6">
        <w:rPr>
          <w:sz w:val="18"/>
          <w:szCs w:val="18"/>
        </w:rPr>
        <w:fldChar w:fldCharType="end"/>
      </w:r>
      <w:r>
        <w:rPr>
          <w:sz w:val="18"/>
          <w:szCs w:val="18"/>
        </w:rPr>
        <w:t>As such, NICE CG81 r</w:t>
      </w:r>
      <w:r w:rsidRPr="002646F6">
        <w:rPr>
          <w:sz w:val="18"/>
          <w:szCs w:val="18"/>
        </w:rPr>
        <w:t>ecommendations may no longer reflect UK clinical practice, as confirmed by UK experts at a December 2022 advisory board.</w:t>
      </w:r>
      <w:r w:rsidR="005C107F">
        <w:rPr>
          <w:sz w:val="18"/>
          <w:szCs w:val="18"/>
        </w:rPr>
        <w:fldChar w:fldCharType="begin"/>
      </w:r>
      <w:r w:rsidR="00CA6345">
        <w:rPr>
          <w:sz w:val="18"/>
          <w:szCs w:val="18"/>
        </w:rPr>
        <w:instrText xml:space="preserve"> ADDIN ZOTERO_ITEM CSL_CITATION {"citationID":"RC3kJ38n","properties":{"formattedCitation":"\\super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005C107F">
        <w:rPr>
          <w:sz w:val="18"/>
          <w:szCs w:val="18"/>
        </w:rPr>
        <w:fldChar w:fldCharType="separate"/>
      </w:r>
      <w:r w:rsidR="00CA6345" w:rsidRPr="00CA6345">
        <w:rPr>
          <w:rFonts w:cs="Arial"/>
          <w:sz w:val="18"/>
          <w:szCs w:val="24"/>
          <w:vertAlign w:val="superscript"/>
        </w:rPr>
        <w:t>121</w:t>
      </w:r>
      <w:r w:rsidR="005C107F">
        <w:rPr>
          <w:sz w:val="18"/>
          <w:szCs w:val="18"/>
        </w:rPr>
        <w:fldChar w:fldCharType="end"/>
      </w:r>
      <w:r w:rsidRPr="002646F6">
        <w:rPr>
          <w:sz w:val="18"/>
          <w:szCs w:val="18"/>
        </w:rPr>
        <w:t xml:space="preserve"> </w:t>
      </w:r>
    </w:p>
    <w:p w14:paraId="48744315" w14:textId="10A6BD0D" w:rsidR="005C339A" w:rsidRPr="009C12B4" w:rsidRDefault="005C339A" w:rsidP="00954359">
      <w:pPr>
        <w:pStyle w:val="Footnotes"/>
        <w:numPr>
          <w:ilvl w:val="0"/>
          <w:numId w:val="34"/>
        </w:numPr>
        <w:spacing w:after="0"/>
        <w:ind w:left="142" w:hanging="142"/>
      </w:pPr>
      <w:r w:rsidRPr="00C132F8">
        <w:t>UK clinical experts and ESMO 2021</w:t>
      </w:r>
      <w:r w:rsidRPr="00C132F8">
        <w:fldChar w:fldCharType="begin"/>
      </w:r>
      <w:r w:rsidR="00CA6345">
        <w:instrText xml:space="preserve"> ADDIN ZOTERO_ITEM CSL_CITATION {"citationID":"wPqhJWF4","properties":{"formattedCitation":"\\super 42\\nosupersub{}","plainCitation":"42","noteIndex":0},"citationItems":[{"id":65955,"uris":["http://zotero.org/groups/4797619/items/4KXA6CCG"],"itemData":{"id":65955,"type":"article-journal","container-title":"Annals of Oncology: Official Journal of the European Society for Medical Oncology","DOI":"10.1016/j.annonc.2021.09.019","ISSN":"1569-8041","issue":"12","journalAbbreviation":"Ann Oncol","language":"eng","note":"PMID: 34678411","page":"1475-1495","source":"PubMed","title":"ESMO Clinical Practice Guideline for the diagnosis, staging and treatment of patients with metastatic breast cancer","volume":"32","author":[{"family":"Gennari","given":"A."},{"family":"André","given":"F."},{"family":"Barrios","given":"C. H."},{"family":"Cortés","given":"J."},{"family":"Azambuja","given":"E.","non-dropping-particle":"de"},{"family":"DeMichele","given":"A."},{"family":"Dent","given":"R."},{"family":"Fenlon","given":"D."},{"family":"Gligorov","given":"J."},{"family":"Hurvitz","given":"S. A."},{"family":"Im","given":"S.-A."},{"family":"Krug","given":"D."},{"family":"Kunz","given":"W. G."},{"family":"Loi","given":"S."},{"family":"Penault-Llorca","given":"F."},{"family":"Ricke","given":"J."},{"family":"Robson","given":"M."},{"family":"Rugo","given":"H. S."},{"family":"Saura","given":"C."},{"family":"Schmid","given":"P."},{"family":"Singer","given":"C. F."},{"family":"Spanic","given":"T."},{"family":"Tolaney","given":"S. M."},{"family":"Turner","given":"N. C."},{"family":"Curigliano","given":"G."},{"family":"Loibl","given":"S."},{"family":"Paluch-Shimon","given":"S."},{"family":"Harbeck","given":"N."},{"literal":"ESMO Guidelines Committee. Electronic address: clinicalguidelines@esmo.org"}],"issued":{"date-parts":[["2021",12]]}}}],"schema":"https://github.com/citation-style-language/schema/raw/master/csl-citation.json"} </w:instrText>
      </w:r>
      <w:r w:rsidRPr="00C132F8">
        <w:fldChar w:fldCharType="separate"/>
      </w:r>
      <w:r w:rsidR="00FD57F4" w:rsidRPr="00FD57F4">
        <w:rPr>
          <w:rFonts w:cs="Arial"/>
          <w:sz w:val="22"/>
          <w:szCs w:val="24"/>
          <w:vertAlign w:val="superscript"/>
        </w:rPr>
        <w:t>42</w:t>
      </w:r>
      <w:r w:rsidRPr="00C132F8">
        <w:fldChar w:fldCharType="end"/>
      </w:r>
      <w:r w:rsidRPr="00C132F8">
        <w:t xml:space="preserve"> guidelines state that treatment decisions are made on an individual patient basis, taking into consideration prior therapies, patient fitness, and patient preference.</w:t>
      </w:r>
    </w:p>
    <w:p w14:paraId="062BE3E6" w14:textId="193A1576" w:rsidR="005C339A" w:rsidRDefault="005C339A" w:rsidP="00954359">
      <w:pPr>
        <w:pStyle w:val="Body"/>
        <w:numPr>
          <w:ilvl w:val="0"/>
          <w:numId w:val="34"/>
        </w:numPr>
        <w:spacing w:after="0" w:line="240" w:lineRule="auto"/>
        <w:ind w:left="142" w:hanging="142"/>
        <w:rPr>
          <w:sz w:val="18"/>
          <w:szCs w:val="18"/>
        </w:rPr>
      </w:pPr>
      <w:r w:rsidRPr="002646F6">
        <w:rPr>
          <w:sz w:val="18"/>
          <w:szCs w:val="18"/>
        </w:rPr>
        <w:t>UK clinical experts and ESMO 2021</w:t>
      </w:r>
      <w:r w:rsidRPr="002646F6">
        <w:rPr>
          <w:sz w:val="18"/>
          <w:szCs w:val="18"/>
        </w:rPr>
        <w:fldChar w:fldCharType="begin"/>
      </w:r>
      <w:r w:rsidR="00CA6345">
        <w:rPr>
          <w:sz w:val="18"/>
          <w:szCs w:val="18"/>
        </w:rPr>
        <w:instrText xml:space="preserve"> ADDIN ZOTERO_ITEM CSL_CITATION {"citationID":"y7icS6sy","properties":{"formattedCitation":"\\super 42\\nosupersub{}","plainCitation":"42","noteIndex":0},"citationItems":[{"id":65955,"uris":["http://zotero.org/groups/4797619/items/4KXA6CCG"],"itemData":{"id":65955,"type":"article-journal","container-title":"Annals of Oncology: Official Journal of the European Society for Medical Oncology","DOI":"10.1016/j.annonc.2021.09.019","ISSN":"1569-8041","issue":"12","journalAbbreviation":"Ann Oncol","language":"eng","note":"PMID: 34678411","page":"1475-1495","source":"PubMed","title":"ESMO Clinical Practice Guideline for the diagnosis, staging and treatment of patients with metastatic breast cancer","volume":"32","author":[{"family":"Gennari","given":"A."},{"family":"André","given":"F."},{"family":"Barrios","given":"C. H."},{"family":"Cortés","given":"J."},{"family":"Azambuja","given":"E.","non-dropping-particle":"de"},{"family":"DeMichele","given":"A."},{"family":"Dent","given":"R."},{"family":"Fenlon","given":"D."},{"family":"Gligorov","given":"J."},{"family":"Hurvitz","given":"S. A."},{"family":"Im","given":"S.-A."},{"family":"Krug","given":"D."},{"family":"Kunz","given":"W. G."},{"family":"Loi","given":"S."},{"family":"Penault-Llorca","given":"F."},{"family":"Ricke","given":"J."},{"family":"Robson","given":"M."},{"family":"Rugo","given":"H. S."},{"family":"Saura","given":"C."},{"family":"Schmid","given":"P."},{"family":"Singer","given":"C. F."},{"family":"Spanic","given":"T."},{"family":"Tolaney","given":"S. M."},{"family":"Turner","given":"N. C."},{"family":"Curigliano","given":"G."},{"family":"Loibl","given":"S."},{"family":"Paluch-Shimon","given":"S."},{"family":"Harbeck","given":"N."},{"literal":"ESMO Guidelines Committee. Electronic address: clinicalguidelines@esmo.org"}],"issued":{"date-parts":[["2021",12]]}}}],"schema":"https://github.com/citation-style-language/schema/raw/master/csl-citation.json"} </w:instrText>
      </w:r>
      <w:r w:rsidRPr="002646F6">
        <w:rPr>
          <w:sz w:val="18"/>
          <w:szCs w:val="18"/>
        </w:rPr>
        <w:fldChar w:fldCharType="separate"/>
      </w:r>
      <w:r w:rsidR="00FD57F4" w:rsidRPr="00FD57F4">
        <w:rPr>
          <w:rFonts w:cs="Arial"/>
          <w:sz w:val="18"/>
          <w:szCs w:val="24"/>
          <w:vertAlign w:val="superscript"/>
        </w:rPr>
        <w:t>42</w:t>
      </w:r>
      <w:r w:rsidRPr="002646F6">
        <w:rPr>
          <w:sz w:val="18"/>
          <w:szCs w:val="18"/>
        </w:rPr>
        <w:fldChar w:fldCharType="end"/>
      </w:r>
      <w:r w:rsidRPr="002646F6">
        <w:rPr>
          <w:sz w:val="18"/>
          <w:szCs w:val="18"/>
        </w:rPr>
        <w:t xml:space="preserve"> guidelines state that there is no optimal treatment sequence.</w:t>
      </w:r>
    </w:p>
    <w:p w14:paraId="5CD29CDC" w14:textId="69AFEF1D" w:rsidR="005C339A" w:rsidRPr="001F7336" w:rsidRDefault="00920DC1" w:rsidP="00954359">
      <w:pPr>
        <w:pStyle w:val="Body"/>
        <w:numPr>
          <w:ilvl w:val="0"/>
          <w:numId w:val="34"/>
        </w:numPr>
        <w:spacing w:after="0" w:line="240" w:lineRule="auto"/>
        <w:ind w:left="142" w:hanging="142"/>
        <w:rPr>
          <w:sz w:val="18"/>
          <w:szCs w:val="18"/>
        </w:rPr>
      </w:pPr>
      <w:r w:rsidRPr="00C132F8">
        <w:rPr>
          <w:sz w:val="18"/>
          <w:szCs w:val="18"/>
        </w:rPr>
        <w:t xml:space="preserve">UK clinical experts </w:t>
      </w:r>
      <w:r>
        <w:rPr>
          <w:sz w:val="18"/>
          <w:szCs w:val="18"/>
        </w:rPr>
        <w:t>and published data</w:t>
      </w:r>
      <w:r>
        <w:rPr>
          <w:sz w:val="18"/>
          <w:szCs w:val="18"/>
        </w:rPr>
        <w:fldChar w:fldCharType="begin"/>
      </w:r>
      <w:r w:rsidR="00CA6345">
        <w:rPr>
          <w:sz w:val="18"/>
          <w:szCs w:val="18"/>
        </w:rPr>
        <w:instrText xml:space="preserve"> ADDIN ZOTERO_ITEM CSL_CITATION {"citationID":"DbmORuBY","properties":{"formattedCitation":"\\super 118\\nosupersub{}","plainCitation":"118","noteIndex":0},"citationItems":[{"id":66343,"uris":["http://zotero.org/groups/4797619/items/IB6926PV"],"itemData":{"id":66343,"type":"article-journal","abstract":"INTRODUCTION: Currently available evidence does not provide definitive guidance regarding the optimal chemotherapy agents and combinations in anthracycline- and taxane-pretreated advanced breast cancer. We performed a systematic review of controlled clinical trials of the cytotoxic agents currently used for this population in Europe: capecitabine, gemcitabine, vinorelbine, docetaxel, paclitaxel and paclitaxel protein-bound particles.\nMETHOD: A systematic review of randomised (RCT) and non-randomised controlled clinical trials (non-RCTs). The primary outcomes of interest were overall survival (OS) and progression-free survival (PFS); secondary outcomes were duration of response (DR), overall response rate (ORR), adverse events and quality of life (QoL). Six electronic databases and grey literature sources were searched; reference tracking was performed on included publications. A narrative synthesis was conducted: heterogeneity of study design and interventions prevented meta-analysis.\nRESULTS: No randomised controlled trial (RCT) found any significant differences between any of the regimens in terms of OS. In terms of PFS, only gemcitabine plus vinorelbine performed significantly better than its comparator, vinorelbine alone. For secondary outcomes, only capecitabine plus bevacizumab had a significantly better outcome than its comparator, capecitabine alone, in terms of ORR. A low quality non-RCT found that both capecitabine monotherapy and a combination of capecitabine plus vinorelbine were significantly more effective than vinorelbine alone in terms of OS and ORR. Across all trials, median OS for these patients typically remained less than 16 months.\nCONCLUSION: The quantity and quality of the available evidence regarding the efficacy of the particular chemotherapy regimens in patients with advanced breast cancer pretreated with an anthracycline and a taxane is extremely limited. New effective therapies are sorely needed in this population.","container-title":"European Journal of Cancer (Oxford, England: 1990)","DOI":"10.1016/j.ejca.2009.05.035","ISSN":"1879-0852","issue":"16","journalAbbreviation":"Eur J Cancer","language":"eng","note":"PMID: 19615886","page":"2749-2758","source":"PubMed","title":"The clinical efficacy of cytotoxic agents in locally advanced or metastatic breast cancer patients pretreated with an anthracycline and a taxane: a systematic review","title-short":"The clinical efficacy of cytotoxic agents in locally advanced or metastatic breast cancer patients pretreated with an anthracycline and a taxane","volume":"45","author":[{"family":"Jassem","given":"Jacek"},{"family":"Carroll","given":"Christopher"},{"family":"Ward","given":"Sue E."},{"family":"Simpson","given":"Emma"},{"family":"Hind","given":"Daniel"}],"issued":{"date-parts":[["2009",11]]}}}],"schema":"https://github.com/citation-style-language/schema/raw/master/csl-citation.json"} </w:instrText>
      </w:r>
      <w:r>
        <w:rPr>
          <w:sz w:val="18"/>
          <w:szCs w:val="18"/>
        </w:rPr>
        <w:fldChar w:fldCharType="separate"/>
      </w:r>
      <w:r w:rsidR="00CA6345" w:rsidRPr="00CA6345">
        <w:rPr>
          <w:rFonts w:cs="Arial"/>
          <w:sz w:val="18"/>
          <w:szCs w:val="24"/>
          <w:vertAlign w:val="superscript"/>
        </w:rPr>
        <w:t>118</w:t>
      </w:r>
      <w:r>
        <w:rPr>
          <w:sz w:val="18"/>
          <w:szCs w:val="18"/>
        </w:rPr>
        <w:fldChar w:fldCharType="end"/>
      </w:r>
      <w:r>
        <w:rPr>
          <w:sz w:val="18"/>
          <w:szCs w:val="18"/>
        </w:rPr>
        <w:t xml:space="preserve"> indicate</w:t>
      </w:r>
      <w:r w:rsidRPr="00C132F8">
        <w:rPr>
          <w:sz w:val="18"/>
          <w:szCs w:val="18"/>
        </w:rPr>
        <w:t xml:space="preserve"> that all single-agent chemotherap</w:t>
      </w:r>
      <w:r>
        <w:rPr>
          <w:sz w:val="18"/>
          <w:szCs w:val="18"/>
        </w:rPr>
        <w:t>ies</w:t>
      </w:r>
      <w:r w:rsidRPr="00C132F8">
        <w:rPr>
          <w:sz w:val="18"/>
          <w:szCs w:val="18"/>
        </w:rPr>
        <w:t xml:space="preserve"> have </w:t>
      </w:r>
      <w:r>
        <w:rPr>
          <w:sz w:val="18"/>
          <w:szCs w:val="18"/>
        </w:rPr>
        <w:t>similar</w:t>
      </w:r>
      <w:r w:rsidRPr="00C132F8">
        <w:rPr>
          <w:sz w:val="18"/>
          <w:szCs w:val="18"/>
        </w:rPr>
        <w:t xml:space="preserve"> efficacy</w:t>
      </w:r>
      <w:r w:rsidR="005C339A" w:rsidRPr="00C132F8">
        <w:rPr>
          <w:sz w:val="18"/>
          <w:szCs w:val="18"/>
        </w:rPr>
        <w:t>.</w:t>
      </w:r>
    </w:p>
    <w:p w14:paraId="5CC7689B" w14:textId="76974020" w:rsidR="00ED25D2" w:rsidRDefault="008401C3" w:rsidP="00A67B6D">
      <w:pPr>
        <w:pStyle w:val="Footnotes"/>
        <w:spacing w:after="0"/>
      </w:pPr>
      <w:r w:rsidRPr="002646F6">
        <w:t xml:space="preserve">**Recommended as an option only when docetaxel monotherapy or docetaxel plus capecitabine would be considered appropriate. </w:t>
      </w:r>
    </w:p>
    <w:p w14:paraId="74EDD65B" w14:textId="122157D5" w:rsidR="006E5DDC" w:rsidRDefault="00ED25D2" w:rsidP="006E5DDC">
      <w:pPr>
        <w:pStyle w:val="Footnotes"/>
        <w:spacing w:after="0"/>
      </w:pPr>
      <w:r w:rsidRPr="00C21D01">
        <w:rPr>
          <w:rFonts w:cs="Arial"/>
          <w:color w:val="000000" w:themeColor="text1"/>
          <w:vertAlign w:val="superscript"/>
        </w:rPr>
        <w:t>¶</w:t>
      </w:r>
      <w:r w:rsidR="004637B9">
        <w:rPr>
          <w:rFonts w:cs="Arial"/>
          <w:color w:val="000000" w:themeColor="text1"/>
        </w:rPr>
        <w:t>F</w:t>
      </w:r>
      <w:r w:rsidR="004637B9" w:rsidRPr="002C22AD">
        <w:rPr>
          <w:rFonts w:cs="Arial"/>
          <w:color w:val="000000" w:themeColor="text1"/>
        </w:rPr>
        <w:t xml:space="preserve">or </w:t>
      </w:r>
      <w:r w:rsidR="004637B9">
        <w:rPr>
          <w:rFonts w:cs="Arial"/>
          <w:color w:val="000000" w:themeColor="text1"/>
        </w:rPr>
        <w:t xml:space="preserve">patients with </w:t>
      </w:r>
      <w:r w:rsidR="004637B9" w:rsidRPr="002C22AD">
        <w:rPr>
          <w:rFonts w:cs="Arial"/>
          <w:color w:val="000000" w:themeColor="text1"/>
        </w:rPr>
        <w:t>HER2-low (IHC1+ or IHC2+/ISH-)</w:t>
      </w:r>
      <w:r w:rsidR="004637B9">
        <w:rPr>
          <w:rFonts w:cs="Arial"/>
          <w:color w:val="000000" w:themeColor="text1"/>
        </w:rPr>
        <w:t xml:space="preserve"> u/mBC after one line of chemotherapy in the adjuvant (if recurrence </w:t>
      </w:r>
      <w:r w:rsidR="00954945">
        <w:rPr>
          <w:rFonts w:cs="Arial"/>
          <w:color w:val="000000" w:themeColor="text1"/>
        </w:rPr>
        <w:t xml:space="preserve">occurs </w:t>
      </w:r>
      <w:r w:rsidR="004637B9">
        <w:rPr>
          <w:rFonts w:cs="Arial"/>
          <w:color w:val="000000" w:themeColor="text1"/>
        </w:rPr>
        <w:t>within 6 months) or metastatic setting.</w:t>
      </w:r>
      <w:r>
        <w:rPr>
          <w:rFonts w:cs="Arial"/>
          <w:vertAlign w:val="superscript"/>
        </w:rPr>
        <w:br/>
      </w:r>
      <w:r w:rsidR="008401C3" w:rsidRPr="002646F6">
        <w:rPr>
          <w:rFonts w:cs="Arial"/>
          <w:vertAlign w:val="superscript"/>
        </w:rPr>
        <w:t>†</w:t>
      </w:r>
      <w:r w:rsidR="008401C3" w:rsidRPr="002646F6">
        <w:t>Whichever was not used as second-line treatment</w:t>
      </w:r>
      <w:r w:rsidR="008549E2">
        <w:t>.</w:t>
      </w:r>
    </w:p>
    <w:p w14:paraId="3E3228BB" w14:textId="393D14B2" w:rsidR="008442E1" w:rsidRPr="001046E1" w:rsidRDefault="008442E1" w:rsidP="006E5DDC">
      <w:pPr>
        <w:pStyle w:val="Footnotes"/>
        <w:spacing w:after="0"/>
      </w:pPr>
      <w:r w:rsidRPr="002646F6">
        <w:t xml:space="preserve">Abbreviations: </w:t>
      </w:r>
      <w:r w:rsidR="00687CEE">
        <w:t xml:space="preserve">CG, clinical guidelines; ESMO, European Society for Medical Oncology; </w:t>
      </w:r>
      <w:r w:rsidR="0096002B">
        <w:t xml:space="preserve">HER, human epidermal growth factor receptor; HR, hormone receptor; </w:t>
      </w:r>
      <w:r w:rsidR="00200475">
        <w:t xml:space="preserve">IHC, immunohistochemistry; ISH, in situ hybridisation; </w:t>
      </w:r>
      <w:r w:rsidR="0096002B">
        <w:t xml:space="preserve">NICE, National Institute for Health and Care Excellence; </w:t>
      </w:r>
      <w:r w:rsidR="00687CEE" w:rsidRPr="002646F6">
        <w:t xml:space="preserve">TA, technology appraisal; </w:t>
      </w:r>
      <w:r w:rsidRPr="002646F6">
        <w:t xml:space="preserve">u/mBC, unresectable/metastatic breast cancer; </w:t>
      </w:r>
      <w:r w:rsidR="00B5776C" w:rsidRPr="002646F6">
        <w:t>T-DXd, trastuzumab deruxtecan.</w:t>
      </w:r>
      <w:r w:rsidRPr="002646F6">
        <w:br/>
      </w:r>
      <w:r w:rsidR="00110726">
        <w:rPr>
          <w:lang w:val="pl-PL"/>
        </w:rPr>
        <w:t xml:space="preserve">Sources: </w:t>
      </w:r>
      <w:r w:rsidR="007120C2" w:rsidRPr="003C648C">
        <w:rPr>
          <w:lang w:val="pl-PL"/>
        </w:rPr>
        <w:t>NICE, 2009 (CG81);</w:t>
      </w:r>
      <w:r w:rsidR="007120C2" w:rsidRPr="002646F6">
        <w:fldChar w:fldCharType="begin"/>
      </w:r>
      <w:r w:rsidR="00CA6345">
        <w:rPr>
          <w:lang w:val="pl-PL"/>
        </w:rPr>
        <w:instrText xml:space="preserve"> ADDIN ZOTERO_ITEM CSL_CITATION {"citationID":"URj3MGBL","properties":{"formattedCitation":"\\super 35\\nosupersub{}","plainCitation":"35","noteIndex":0},"citationItems":[{"id":65866,"uris":["http://zotero.org/groups/4797619/items/3AESVSNK"],"itemData":{"id":65866,"type":"webpage","abstract":"This guideline covers care and support for people with advanced (stage 4) breast cancer. It aims to help them and their healthcare professionals make shared","language":"eng","note":"publisher: NICE","title":"Advanced breast cancer: diagnosis and treatment | NICE CG81","title-short":"NICE CG81. Recommendations | Advanced breast cancer","URL":"https://www.nice.org.uk/guidance/cg81/chapter/Recommendations","author":[{"family":"NICE","given":""}],"accessed":{"date-parts":[["2022",10,17]]},"issued":{"date-parts":[["2017"]]}}}],"schema":"https://github.com/citation-style-language/schema/raw/master/csl-citation.json"} </w:instrText>
      </w:r>
      <w:r w:rsidR="007120C2" w:rsidRPr="002646F6">
        <w:fldChar w:fldCharType="separate"/>
      </w:r>
      <w:r w:rsidR="00FD57F4" w:rsidRPr="00F96305">
        <w:rPr>
          <w:rFonts w:cs="Arial"/>
          <w:szCs w:val="24"/>
          <w:vertAlign w:val="superscript"/>
          <w:lang w:val="pl-PL"/>
        </w:rPr>
        <w:t>35</w:t>
      </w:r>
      <w:r w:rsidR="007120C2" w:rsidRPr="002646F6">
        <w:fldChar w:fldCharType="end"/>
      </w:r>
      <w:r w:rsidR="007120C2" w:rsidRPr="003C648C" w:rsidDel="0055772D">
        <w:rPr>
          <w:lang w:val="pl-PL"/>
        </w:rPr>
        <w:t xml:space="preserve"> </w:t>
      </w:r>
      <w:r w:rsidR="007120C2" w:rsidRPr="003C648C">
        <w:rPr>
          <w:lang w:val="pl-PL"/>
        </w:rPr>
        <w:t>NICE, 2007 (TA116);</w:t>
      </w:r>
      <w:r w:rsidR="007120C2" w:rsidRPr="002646F6">
        <w:fldChar w:fldCharType="begin"/>
      </w:r>
      <w:r w:rsidR="00CA6345">
        <w:rPr>
          <w:lang w:val="pl-PL"/>
        </w:rPr>
        <w:instrText xml:space="preserve"> ADDIN ZOTERO_ITEM CSL_CITATION {"citationID":"sYrkjzWH","properties":{"formattedCitation":"\\super 122\\nosupersub{}","plainCitation":"122","noteIndex":0},"citationItems":[{"id":65876,"uris":["http://zotero.org/groups/4797619/items/6S5RPIVP"],"itemData":{"id":65876,"type":"webpage","abstract":"Evidence-based recommendations on gemcitabine for treating metastatic breast cancer in adults","language":"eng","note":"publisher: NICE","title":"Gemcitabine for the treatment of metastatic breast cancer | NICE [TA116]","URL":"https://www.nice.org.uk/guidance/ta116","author":[{"family":"NICE","given":""}],"accessed":{"date-parts":[["2022",10,17]]}}}],"schema":"https://github.com/citation-style-language/schema/raw/master/csl-citation.json"} </w:instrText>
      </w:r>
      <w:r w:rsidR="007120C2" w:rsidRPr="002646F6">
        <w:fldChar w:fldCharType="separate"/>
      </w:r>
      <w:r w:rsidR="00CA6345" w:rsidRPr="005A458E">
        <w:rPr>
          <w:rFonts w:cs="Arial"/>
          <w:szCs w:val="24"/>
          <w:vertAlign w:val="superscript"/>
          <w:lang w:val="pl-PL"/>
        </w:rPr>
        <w:t>122</w:t>
      </w:r>
      <w:r w:rsidR="007120C2" w:rsidRPr="002646F6">
        <w:fldChar w:fldCharType="end"/>
      </w:r>
      <w:r w:rsidR="007120C2" w:rsidRPr="003C648C">
        <w:rPr>
          <w:lang w:val="pl-PL"/>
        </w:rPr>
        <w:t xml:space="preserve"> NICE, 2016 (TA423);</w:t>
      </w:r>
      <w:r w:rsidR="007120C2" w:rsidRPr="002646F6">
        <w:fldChar w:fldCharType="begin"/>
      </w:r>
      <w:r w:rsidR="00CA6345">
        <w:rPr>
          <w:lang w:val="pl-PL"/>
        </w:rPr>
        <w:instrText xml:space="preserve"> ADDIN ZOTERO_ITEM CSL_CITATION {"citationID":"k3EiAtrR","properties":{"formattedCitation":"\\super 131\\nosupersub{}","plainCitation":"131","noteIndex":0},"citationItems":[{"id":65884,"uris":["http://zotero.org/groups/4797619/items/GKXW7XYV"],"itemData":{"id":65884,"type":"webpage","abstract":"Evidence-based recommendations on eribulin (Halaven) for treating locally advanced or metastatic breast cancer after 2 or more types of chemotherapy","language":"eng","note":"publisher: NICE","title":"Eribulin for treating locally advanced or metastatic breast cancer after 2 or more chemotherapy regimens | NICE [TA423]","URL":"https://www.nice.org.uk/guidance/ta423","author":[{"family":"NICE","given":""}],"accessed":{"date-parts":[["2022",10,17]]}}}],"schema":"https://github.com/citation-style-language/schema/raw/master/csl-citation.json"} </w:instrText>
      </w:r>
      <w:r w:rsidR="007120C2" w:rsidRPr="002646F6">
        <w:fldChar w:fldCharType="separate"/>
      </w:r>
      <w:r w:rsidR="00CA6345" w:rsidRPr="005A458E">
        <w:rPr>
          <w:rFonts w:cs="Arial"/>
          <w:szCs w:val="24"/>
          <w:vertAlign w:val="superscript"/>
          <w:lang w:val="pl-PL"/>
        </w:rPr>
        <w:t>131</w:t>
      </w:r>
      <w:r w:rsidR="007120C2" w:rsidRPr="002646F6">
        <w:fldChar w:fldCharType="end"/>
      </w:r>
      <w:r w:rsidR="007120C2" w:rsidRPr="003C648C">
        <w:rPr>
          <w:lang w:val="pl-PL"/>
        </w:rPr>
        <w:t xml:space="preserve"> NICE, 2022 (TA819);</w:t>
      </w:r>
      <w:r w:rsidR="007120C2">
        <w:fldChar w:fldCharType="begin"/>
      </w:r>
      <w:r w:rsidR="00CA6345">
        <w:rPr>
          <w:lang w:val="pl-PL"/>
        </w:rPr>
        <w:instrText xml:space="preserve"> ADDIN ZOTERO_ITEM CSL_CITATION {"citationID":"VKCm57RC","properties":{"formattedCitation":"\\super 132\\nosupersub{}","plainCitation":"132","noteIndex":0},"citationItems":[{"id":65875,"uris":["http://zotero.org/groups/4797619/items/IP9MEGL9"],"itemData":{"id":65875,"type":"webpage","abstract":"Evidence-based recommendations on sacituzumab govetican (Trodelvy) for treating unresectable, triple-negative locally advanced or metastatic breast cancer in adults after 2 or more systemic therapies, at least 1 of which was for advanced disease","language":"eng","note":"publisher: NICE","title":"Sacituzumab govitecan for treating unresectable triple-negative advanced breast cancer after 2 or more therapies | NICE [TA819]","URL":"https://www.nice.org.uk/guidance/ta819","author":[{"family":"NICE","given":""}],"accessed":{"date-parts":[["2022",10,17]]}}}],"schema":"https://github.com/citation-style-language/schema/raw/master/csl-citation.json"} </w:instrText>
      </w:r>
      <w:r w:rsidR="007120C2">
        <w:fldChar w:fldCharType="separate"/>
      </w:r>
      <w:r w:rsidR="00CA6345" w:rsidRPr="005A458E">
        <w:rPr>
          <w:rFonts w:cs="Arial"/>
          <w:szCs w:val="24"/>
          <w:vertAlign w:val="superscript"/>
          <w:lang w:val="pl-PL"/>
        </w:rPr>
        <w:t>132</w:t>
      </w:r>
      <w:r w:rsidR="007120C2">
        <w:fldChar w:fldCharType="end"/>
      </w:r>
      <w:r w:rsidR="007120C2" w:rsidRPr="00F96305">
        <w:rPr>
          <w:lang w:val="pl-PL"/>
        </w:rPr>
        <w:t xml:space="preserve"> NICE TA639;</w:t>
      </w:r>
      <w:r w:rsidR="007120C2">
        <w:fldChar w:fldCharType="begin"/>
      </w:r>
      <w:r w:rsidR="00CA6345">
        <w:rPr>
          <w:lang w:val="pl-PL"/>
        </w:rPr>
        <w:instrText xml:space="preserve"> ADDIN ZOTERO_ITEM CSL_CITATION {"citationID":"5IANi1zY","properties":{"formattedCitation":"\\super 133\\nosupersub{}","plainCitation":"133","noteIndex":0},"citationItems":[{"id":65868,"uris":["http://zotero.org/groups/4797619/items/ZFPZ4PBW"],"itemData":{"id":65868,"type":"webpage","abstract":"Evidence-based recommendations on atezolizu</w:instrText>
      </w:r>
      <w:r w:rsidR="00CA6345" w:rsidRPr="009C28D0">
        <w:instrText>mab (Tecentriq) with nab</w:instrText>
      </w:r>
      <w:r w:rsidR="00CA6345" w:rsidRPr="009C28D0">
        <w:rPr>
          <w:rFonts w:ascii="Cambria Math" w:hAnsi="Cambria Math" w:cs="Cambria Math"/>
        </w:rPr>
        <w:instrText>‑</w:instrText>
      </w:r>
      <w:r w:rsidR="00CA6345" w:rsidRPr="009C28D0">
        <w:instrText>paclitaxel for triple-negative, unresectable, PD</w:instrText>
      </w:r>
      <w:r w:rsidR="00CA6345" w:rsidRPr="009C28D0">
        <w:rPr>
          <w:rFonts w:ascii="Cambria Math" w:hAnsi="Cambria Math" w:cs="Cambria Math"/>
        </w:rPr>
        <w:instrText>‑</w:instrText>
      </w:r>
      <w:r w:rsidR="00CA6345" w:rsidRPr="009C28D0">
        <w:instrText>L1</w:instrText>
      </w:r>
      <w:r w:rsidR="00CA6345" w:rsidRPr="009C28D0">
        <w:rPr>
          <w:rFonts w:ascii="Cambria Math" w:hAnsi="Cambria Math" w:cs="Cambria Math"/>
        </w:rPr>
        <w:instrText>‑</w:instrText>
      </w:r>
      <w:r w:rsidR="00CA6345" w:rsidRPr="009C28D0">
        <w:instrText xml:space="preserve">positive, locally advanced or metastatic","language":"eng","note":"publisher: NICE","title":"Atezolizumab with nab-paclitaxel for untreated PD-L1-positive, locally advanced or metastatic, triple-negative breast cancer | NICE [TA639]","URL":"https://www.nice.org.uk/guidance/ta639","author":[{"family":"NICE","given":""}],"accessed":{"date-parts":[["2022",10,24]]}}}],"schema":"https://github.com/citation-style-language/schema/raw/master/csl-citation.json"} </w:instrText>
      </w:r>
      <w:r w:rsidR="007120C2">
        <w:fldChar w:fldCharType="separate"/>
      </w:r>
      <w:r w:rsidR="00CA6345" w:rsidRPr="009C28D0">
        <w:rPr>
          <w:rFonts w:cs="Arial"/>
          <w:szCs w:val="24"/>
          <w:vertAlign w:val="superscript"/>
        </w:rPr>
        <w:t>133</w:t>
      </w:r>
      <w:r w:rsidR="007120C2">
        <w:fldChar w:fldCharType="end"/>
      </w:r>
      <w:r w:rsidR="007120C2" w:rsidRPr="009C28D0">
        <w:t xml:space="preserve"> NICE TA801</w:t>
      </w:r>
      <w:r w:rsidR="007120C2">
        <w:fldChar w:fldCharType="begin"/>
      </w:r>
      <w:r w:rsidR="00CA6345" w:rsidRPr="009C28D0">
        <w:instrText xml:space="preserve"> ADDIN ZOTERO_ITEM CSL_CITATION {"citationID":"awnMwRep","properties":{"formattedCitation":"\\super 134\\nosupersub{}","plainCitation":"134","noteIndex":0},"citationItems":[{"id":65882,"uris":["http://zotero.org/groups/4797619/items/ZAC8J6T9"],"itemData":{"id":65882,"type":"webpage","abstract":"Evidence-based recommendations on pembrolizumab (Keytruda) with paclitaxel or nab</w:instrText>
      </w:r>
      <w:r w:rsidR="00CA6345" w:rsidRPr="009C28D0">
        <w:rPr>
          <w:rFonts w:ascii="Cambria Math" w:hAnsi="Cambria Math" w:cs="Cambria Math"/>
        </w:rPr>
        <w:instrText>‑</w:instrText>
      </w:r>
      <w:r w:rsidR="00CA6345" w:rsidRPr="009C28D0">
        <w:instrText>paclitaxel for triple-negative, locally recurrent unresectable or metastatic breast cancer in adults who have not had chemotherapy for metastatic disease","language":"eng","note":"publisher: NICE","title":"Pembroli</w:instrText>
      </w:r>
      <w:r w:rsidR="00CA6345">
        <w:instrText xml:space="preserve">zumab plus chemotherapy for untreated, triple-negative, locally recurrent unresectable or metastatic breast cancer | NICE [TA801]","URL":"https://www.nice.org.uk/guidance/ta801","author":[{"family":"NICE","given":""}],"accessed":{"date-parts":[["2022",10,24]]}}}],"schema":"https://github.com/citation-style-language/schema/raw/master/csl-citation.json"} </w:instrText>
      </w:r>
      <w:r w:rsidR="007120C2">
        <w:fldChar w:fldCharType="separate"/>
      </w:r>
      <w:r w:rsidR="00CA6345" w:rsidRPr="00CA6345">
        <w:rPr>
          <w:rFonts w:cs="Arial"/>
          <w:szCs w:val="24"/>
          <w:vertAlign w:val="superscript"/>
        </w:rPr>
        <w:t>134</w:t>
      </w:r>
      <w:r w:rsidR="007120C2">
        <w:fldChar w:fldCharType="end"/>
      </w:r>
      <w:r w:rsidR="009E1E7B" w:rsidDel="009E1E7B">
        <w:rPr>
          <w:rFonts w:cs="Arial"/>
          <w:vertAlign w:val="superscript"/>
        </w:rPr>
        <w:t xml:space="preserve"> </w:t>
      </w:r>
    </w:p>
    <w:p w14:paraId="3439F0CC" w14:textId="7C03CE1E" w:rsidR="00AA0E48" w:rsidRPr="001046E1" w:rsidRDefault="00AA0E48" w:rsidP="00AA0E48">
      <w:pPr>
        <w:pStyle w:val="Caption"/>
      </w:pPr>
      <w:bookmarkStart w:id="112" w:name="_Ref125896405"/>
      <w:bookmarkStart w:id="113" w:name="_Toc129350934"/>
      <w:r w:rsidRPr="001046E1">
        <w:lastRenderedPageBreak/>
        <w:t xml:space="preserve">Figure </w:t>
      </w:r>
      <w:r>
        <w:fldChar w:fldCharType="begin"/>
      </w:r>
      <w:r w:rsidRPr="001046E1">
        <w:instrText>SEQ Figure \* ARABIC</w:instrText>
      </w:r>
      <w:r>
        <w:fldChar w:fldCharType="separate"/>
      </w:r>
      <w:r w:rsidR="00145F42">
        <w:rPr>
          <w:noProof/>
        </w:rPr>
        <w:t>8</w:t>
      </w:r>
      <w:r>
        <w:fldChar w:fldCharType="end"/>
      </w:r>
      <w:bookmarkEnd w:id="112"/>
      <w:r w:rsidRPr="001046E1">
        <w:t xml:space="preserve">: Proposed positioning of T-DXd in </w:t>
      </w:r>
      <w:r w:rsidR="00515852">
        <w:t>HER2-low/HR-negative</w:t>
      </w:r>
      <w:r w:rsidRPr="001046E1">
        <w:t xml:space="preserve"> u/mBC pathway</w:t>
      </w:r>
      <w:r w:rsidR="00AE4F2C" w:rsidRPr="001046E1">
        <w:t>*</w:t>
      </w:r>
      <w:bookmarkEnd w:id="113"/>
    </w:p>
    <w:tbl>
      <w:tblPr>
        <w:tblStyle w:val="TableGrid"/>
        <w:tblW w:w="0" w:type="auto"/>
        <w:tblLook w:val="04A0" w:firstRow="1" w:lastRow="0" w:firstColumn="1" w:lastColumn="0" w:noHBand="0" w:noVBand="1"/>
      </w:tblPr>
      <w:tblGrid>
        <w:gridCol w:w="9016"/>
      </w:tblGrid>
      <w:tr w:rsidR="00AA0E48" w:rsidRPr="00245F97" w14:paraId="563FAB16" w14:textId="77777777" w:rsidTr="00AA0E48">
        <w:tc>
          <w:tcPr>
            <w:tcW w:w="9016" w:type="dxa"/>
          </w:tcPr>
          <w:p w14:paraId="0F58A1B1" w14:textId="1A64FE7E" w:rsidR="00AA0E48" w:rsidRPr="001046E1" w:rsidRDefault="00433AC4" w:rsidP="000E55D6">
            <w:pPr>
              <w:spacing w:before="120" w:after="120"/>
            </w:pPr>
            <w:r w:rsidRPr="00433AC4">
              <w:rPr>
                <w:noProof/>
              </w:rPr>
              <w:drawing>
                <wp:inline distT="0" distB="0" distL="0" distR="0" wp14:anchorId="1622B677" wp14:editId="3EBEDFE6">
                  <wp:extent cx="5618074" cy="1723515"/>
                  <wp:effectExtent l="0" t="0" r="190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1217" cy="1724479"/>
                          </a:xfrm>
                          <a:prstGeom prst="rect">
                            <a:avLst/>
                          </a:prstGeom>
                        </pic:spPr>
                      </pic:pic>
                    </a:graphicData>
                  </a:graphic>
                </wp:inline>
              </w:drawing>
            </w:r>
          </w:p>
        </w:tc>
      </w:tr>
    </w:tbl>
    <w:p w14:paraId="4BFA16E3" w14:textId="7491C774" w:rsidR="00D855C7" w:rsidRPr="001046E1" w:rsidRDefault="00D855C7" w:rsidP="00D855C7">
      <w:pPr>
        <w:pStyle w:val="Footnotes"/>
        <w:spacing w:after="0"/>
      </w:pPr>
      <w:r w:rsidRPr="001046E1">
        <w:t>*Please note that this pathway may not be reflective of current practice based on the following:</w:t>
      </w:r>
    </w:p>
    <w:p w14:paraId="218486D7" w14:textId="47219431" w:rsidR="00D855C7" w:rsidRDefault="00D855C7" w:rsidP="00954359">
      <w:pPr>
        <w:pStyle w:val="Body"/>
        <w:numPr>
          <w:ilvl w:val="0"/>
          <w:numId w:val="34"/>
        </w:numPr>
        <w:spacing w:after="0" w:line="240" w:lineRule="auto"/>
        <w:ind w:left="142" w:hanging="142"/>
        <w:rPr>
          <w:sz w:val="18"/>
          <w:szCs w:val="18"/>
        </w:rPr>
      </w:pPr>
      <w:r w:rsidRPr="001046E1">
        <w:rPr>
          <w:sz w:val="18"/>
          <w:szCs w:val="18"/>
        </w:rPr>
        <w:t>NICE CG81 guidelines were published in 2009 and last updated in 2017.</w:t>
      </w:r>
      <w:r>
        <w:rPr>
          <w:sz w:val="18"/>
          <w:szCs w:val="18"/>
        </w:rPr>
        <w:fldChar w:fldCharType="begin"/>
      </w:r>
      <w:r w:rsidR="00CA6345">
        <w:rPr>
          <w:sz w:val="18"/>
          <w:szCs w:val="18"/>
        </w:rPr>
        <w:instrText xml:space="preserve"> ADDIN ZOTERO_ITEM CSL_CITATION {"citationID":"5kL0ZAUz","properties":{"formattedCitation":"\\super 35\\nosupersub{}","plainCitation":"35","noteIndex":0},"citationItems":[{"id":65866,"uris":["http://zotero.org/groups/4797619/items/3AESVSNK"],"itemData":{"id":65866,"type":"webpage","abstract":"This guideline covers care and support for people with advanced (stage 4) breast cancer. It aims to help them and their healthcare professionals make shared","language":"eng","note":"publisher: NICE","title":"Advanced breast cancer: diagnosis and treatment | NICE CG81","title-short":"NICE CG81. Recommendations | Advanced breast cancer","URL":"https://www.nice.org.uk/guidance/cg81/chapter/Recommendations","author":[{"family":"NICE","given":""}],"accessed":{"date-parts":[["2022",10,17]]},"issued":{"date-parts":[["2017"]]}}}],"schema":"https://github.com/citation-style-language/schema/raw/master/csl-citation.json"} </w:instrText>
      </w:r>
      <w:r>
        <w:rPr>
          <w:sz w:val="18"/>
          <w:szCs w:val="18"/>
        </w:rPr>
        <w:fldChar w:fldCharType="separate"/>
      </w:r>
      <w:r w:rsidR="00FD57F4" w:rsidRPr="00FD57F4">
        <w:rPr>
          <w:rFonts w:cs="Arial"/>
          <w:sz w:val="18"/>
          <w:szCs w:val="24"/>
          <w:vertAlign w:val="superscript"/>
        </w:rPr>
        <w:t>35</w:t>
      </w:r>
      <w:r>
        <w:rPr>
          <w:sz w:val="18"/>
          <w:szCs w:val="18"/>
        </w:rPr>
        <w:fldChar w:fldCharType="end"/>
      </w:r>
      <w:r>
        <w:rPr>
          <w:sz w:val="18"/>
          <w:szCs w:val="18"/>
        </w:rPr>
        <w:t xml:space="preserve"> NICE has recognised the need for these guidelines to be reviewed, with an update expected in 2023.</w:t>
      </w:r>
      <w:r w:rsidRPr="003C648C">
        <w:rPr>
          <w:sz w:val="18"/>
          <w:szCs w:val="18"/>
        </w:rPr>
        <w:fldChar w:fldCharType="begin"/>
      </w:r>
      <w:r w:rsidR="00CA6345">
        <w:rPr>
          <w:sz w:val="18"/>
          <w:szCs w:val="18"/>
        </w:rPr>
        <w:instrText xml:space="preserve"> ADDIN ZOTERO_ITEM CSL_CITATION {"citationID":"KB6Ufw1n","properties":{"formattedCitation":"\\super 135\\nosupersub{}","plainCitation":"135","noteIndex":0},"citationItems":[{"id":66433,"uris":["http://zotero.org/groups/4797619/items/DNI23N3Q"],"itemData":{"id":66433,"type":"webpage","abstract":"This guideline covers care and support for people with advanced (stage 4) breast cancer. It aims to help them and their healthcare professionals make shared","language":"eng","note":"publisher: NICE","title":"Surveillance decision | Evidence | Advanced breast cancer: diagnosis and treatment | Guidance | NICE","title-short":"Surveillance decision | Evidence | Advanced breast cancer","URL":"https://www.nice.org.uk/guidance/cg81/resources/2023-surveillance-of-early-and-locally-advanced-breast-cancer-diagnosis-and-management-nice-guideline-ng101-and-advanced-breast-cancer-diagnosis-and-treatment-nice-guideline-cg81-11321031709/chapter/Surveillance-decision?tab=evidence","accessed":{"date-parts":[["2023",1,23]]}}}],"schema":"https://github.com/citation-style-language/schema/raw/master/csl-citation.json"} </w:instrText>
      </w:r>
      <w:r w:rsidRPr="003C648C">
        <w:rPr>
          <w:sz w:val="18"/>
          <w:szCs w:val="18"/>
        </w:rPr>
        <w:fldChar w:fldCharType="separate"/>
      </w:r>
      <w:r w:rsidR="00CA6345" w:rsidRPr="00CA6345">
        <w:rPr>
          <w:rFonts w:cs="Arial"/>
          <w:sz w:val="18"/>
          <w:szCs w:val="24"/>
          <w:vertAlign w:val="superscript"/>
        </w:rPr>
        <w:t>135</w:t>
      </w:r>
      <w:r w:rsidRPr="003C648C">
        <w:rPr>
          <w:sz w:val="18"/>
          <w:szCs w:val="18"/>
        </w:rPr>
        <w:fldChar w:fldCharType="end"/>
      </w:r>
      <w:r w:rsidRPr="009253D5">
        <w:rPr>
          <w:sz w:val="18"/>
          <w:szCs w:val="18"/>
        </w:rPr>
        <w:t xml:space="preserve"> </w:t>
      </w:r>
      <w:r w:rsidRPr="002646F6">
        <w:rPr>
          <w:sz w:val="18"/>
          <w:szCs w:val="18"/>
        </w:rPr>
        <w:fldChar w:fldCharType="begin"/>
      </w:r>
      <w:r w:rsidR="00CA6345">
        <w:rPr>
          <w:sz w:val="18"/>
          <w:szCs w:val="18"/>
        </w:rPr>
        <w:instrText xml:space="preserve"> ADDIN ZOTERO_ITEM CSL_CITATION {"citationID":"RvdXYyHc","properties":{"formattedCitation":"\\super 6\\nosupersub{}","plainCitation":"6","dontUpdate":true,"noteIndex":0},"citationItems":[{"id":65866,"uris":["http://zotero.org/groups/4797619/items/3AESVSNK"],"itemData":{"id":65866,"type":"webpage","abstract":"This guideline covers care and support for people with advanced (stage 4) breast cancer. It aims to help them and their healthcare professionals make shared","language":"eng","note":"publisher: NICE","title":"Advanced breast cancer: diagnosis and treatment | NICE CG81","title-short":"NICE CG81. Recommendations | Advanced breast cancer","URL":"https://www.nice.org.uk/guidance/cg81/chapter/Recommendations","author":[{"family":"NICE","given":""}],"accessed":{"date-parts":[["2022",10,17]]},"issued":{"date-parts":[["2017"]]}}}],"schema":"https://github.com/citation-style-language/schema/raw/master/csl-citation.json"} </w:instrText>
      </w:r>
      <w:r w:rsidRPr="002646F6">
        <w:rPr>
          <w:sz w:val="18"/>
          <w:szCs w:val="18"/>
        </w:rPr>
        <w:fldChar w:fldCharType="separate"/>
      </w:r>
      <w:r w:rsidRPr="002646F6">
        <w:rPr>
          <w:sz w:val="18"/>
          <w:szCs w:val="18"/>
        </w:rPr>
        <w:fldChar w:fldCharType="end"/>
      </w:r>
      <w:r>
        <w:rPr>
          <w:sz w:val="18"/>
          <w:szCs w:val="18"/>
        </w:rPr>
        <w:t>As such, NICE CG81 r</w:t>
      </w:r>
      <w:r w:rsidRPr="002646F6">
        <w:rPr>
          <w:sz w:val="18"/>
          <w:szCs w:val="18"/>
        </w:rPr>
        <w:t>ecommendations may no longer reflect UK clinical practice, as confirmed by UK experts at a December 2022 advisory board.</w:t>
      </w:r>
      <w:r w:rsidR="009225FC">
        <w:rPr>
          <w:sz w:val="18"/>
          <w:szCs w:val="18"/>
        </w:rPr>
        <w:fldChar w:fldCharType="begin"/>
      </w:r>
      <w:r w:rsidR="00CA6345">
        <w:rPr>
          <w:sz w:val="18"/>
          <w:szCs w:val="18"/>
        </w:rPr>
        <w:instrText xml:space="preserve"> ADDIN ZOTERO_ITEM CSL_CITATION {"citationID":"8gOqPPDi","properties":{"formattedCitation":"\\super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009225FC">
        <w:rPr>
          <w:sz w:val="18"/>
          <w:szCs w:val="18"/>
        </w:rPr>
        <w:fldChar w:fldCharType="separate"/>
      </w:r>
      <w:r w:rsidR="00CA6345" w:rsidRPr="00CA6345">
        <w:rPr>
          <w:rFonts w:cs="Arial"/>
          <w:sz w:val="18"/>
          <w:szCs w:val="24"/>
          <w:vertAlign w:val="superscript"/>
        </w:rPr>
        <w:t>121</w:t>
      </w:r>
      <w:r w:rsidR="009225FC">
        <w:rPr>
          <w:sz w:val="18"/>
          <w:szCs w:val="18"/>
        </w:rPr>
        <w:fldChar w:fldCharType="end"/>
      </w:r>
      <w:r w:rsidRPr="002646F6">
        <w:rPr>
          <w:sz w:val="18"/>
          <w:szCs w:val="18"/>
        </w:rPr>
        <w:t xml:space="preserve"> NICE CG81 guidelines were published in 2009 and last updated in 2017.</w:t>
      </w:r>
      <w:r>
        <w:rPr>
          <w:sz w:val="18"/>
          <w:szCs w:val="18"/>
        </w:rPr>
        <w:fldChar w:fldCharType="begin"/>
      </w:r>
      <w:r w:rsidR="00CA6345">
        <w:rPr>
          <w:sz w:val="18"/>
          <w:szCs w:val="18"/>
        </w:rPr>
        <w:instrText xml:space="preserve"> ADDIN ZOTERO_ITEM CSL_CITATION {"citationID":"SMNJQfCZ","properties":{"formattedCitation":"\\super 35\\nosupersub{}","plainCitation":"35","noteIndex":0},"citationItems":[{"id":65866,"uris":["http://zotero.org/groups/4797619/items/3AESVSNK"],"itemData":{"id":65866,"type":"webpage","abstract":"This guideline covers care and support for people with advanced (stage 4) breast cancer. It aims to help them and their healthcare professionals make shared","language":"eng","note":"publisher: NICE","title":"Advanced breast cancer: diagnosis and treatment | NICE CG81","title-short":"NICE CG81. Recommendations | Advanced breast cancer","URL":"https://www.nice.org.uk/guidance/cg81/chapter/Recommendations","author":[{"family":"NICE","given":""}],"accessed":{"date-parts":[["2022",10,17]]},"issued":{"date-parts":[["2017"]]}}}],"schema":"https://github.com/citation-style-language/schema/raw/master/csl-citation.json"} </w:instrText>
      </w:r>
      <w:r>
        <w:rPr>
          <w:sz w:val="18"/>
          <w:szCs w:val="18"/>
        </w:rPr>
        <w:fldChar w:fldCharType="separate"/>
      </w:r>
      <w:r w:rsidR="00FD57F4" w:rsidRPr="00FD57F4">
        <w:rPr>
          <w:rFonts w:cs="Arial"/>
          <w:sz w:val="18"/>
          <w:szCs w:val="24"/>
          <w:vertAlign w:val="superscript"/>
        </w:rPr>
        <w:t>35</w:t>
      </w:r>
      <w:r>
        <w:rPr>
          <w:sz w:val="18"/>
          <w:szCs w:val="18"/>
        </w:rPr>
        <w:fldChar w:fldCharType="end"/>
      </w:r>
      <w:r>
        <w:rPr>
          <w:sz w:val="18"/>
          <w:szCs w:val="18"/>
        </w:rPr>
        <w:t xml:space="preserve"> NICE has recognised the need for these guidelines to be reviewed, with an update expected in 2023.</w:t>
      </w:r>
      <w:r w:rsidRPr="003C648C">
        <w:rPr>
          <w:sz w:val="18"/>
          <w:szCs w:val="18"/>
        </w:rPr>
        <w:fldChar w:fldCharType="begin"/>
      </w:r>
      <w:r w:rsidR="00CA6345">
        <w:rPr>
          <w:sz w:val="18"/>
          <w:szCs w:val="18"/>
        </w:rPr>
        <w:instrText xml:space="preserve"> ADDIN ZOTERO_ITEM CSL_CITATION {"citationID":"NtHaGWNZ","properties":{"formattedCitation":"\\super 135\\nosupersub{}","plainCitation":"135","noteIndex":0},"citationItems":[{"id":66433,"uris":["http://zotero.org/groups/4797619/items/DNI23N3Q"],"itemData":{"id":66433,"type":"webpage","abstract":"This guideline covers care and support for people with advanced (stage 4) breast cancer. It aims to help them and their healthcare professionals make shared","language":"eng","note":"publisher: NICE","title":"Surveillance decision | Evidence | Advanced breast cancer: diagnosis and treatment | Guidance | NICE","title-short":"Surveillance decision | Evidence | Advanced breast cancer","URL":"https://www.nice.org.uk/guidance/cg81/resources/2023-surveillance-of-early-and-locally-advanced-breast-cancer-diagnosis-and-management-nice-guideline-ng101-and-advanced-breast-cancer-diagnosis-and-treatment-nice-guideline-cg81-11321031709/chapter/Surveillance-decision?tab=evidence","accessed":{"date-parts":[["2023",1,23]]}}}],"schema":"https://github.com/citation-style-language/schema/raw/master/csl-citation.json"} </w:instrText>
      </w:r>
      <w:r w:rsidRPr="003C648C">
        <w:rPr>
          <w:sz w:val="18"/>
          <w:szCs w:val="18"/>
        </w:rPr>
        <w:fldChar w:fldCharType="separate"/>
      </w:r>
      <w:r w:rsidR="00CA6345" w:rsidRPr="00CA6345">
        <w:rPr>
          <w:rFonts w:cs="Arial"/>
          <w:sz w:val="18"/>
          <w:szCs w:val="24"/>
          <w:vertAlign w:val="superscript"/>
        </w:rPr>
        <w:t>135</w:t>
      </w:r>
      <w:r w:rsidRPr="003C648C">
        <w:rPr>
          <w:sz w:val="18"/>
          <w:szCs w:val="18"/>
        </w:rPr>
        <w:fldChar w:fldCharType="end"/>
      </w:r>
      <w:r>
        <w:rPr>
          <w:sz w:val="18"/>
          <w:szCs w:val="18"/>
        </w:rPr>
        <w:t xml:space="preserve"> </w:t>
      </w:r>
      <w:r w:rsidRPr="002646F6">
        <w:rPr>
          <w:sz w:val="18"/>
          <w:szCs w:val="18"/>
        </w:rPr>
        <w:fldChar w:fldCharType="begin"/>
      </w:r>
      <w:r w:rsidR="00CA6345">
        <w:rPr>
          <w:sz w:val="18"/>
          <w:szCs w:val="18"/>
        </w:rPr>
        <w:instrText xml:space="preserve"> ADDIN ZOTERO_ITEM CSL_CITATION {"citationID":"8KcDPN8h","properties":{"formattedCitation":"\\super 6\\nosupersub{}","plainCitation":"6","dontUpdate":true,"noteIndex":0},"citationItems":[{"id":65866,"uris":["http://zotero.org/groups/4797619/items/3AESVSNK"],"itemData":{"id":65866,"type":"webpage","abstract":"This guideline covers care and support for people with advanced (stage 4) breast cancer. It aims to help them and their healthcare professionals make shared","language":"eng","note":"publisher: NICE","title":"Advanced breast cancer: diagnosis and treatment | NICE CG81","title-short":"NICE CG81. Recommendations | Advanced breast cancer","URL":"https://www.nice.org.uk/guidance/cg81/chapter/Recommendations","author":[{"family":"NICE","given":""}],"accessed":{"date-parts":[["2022",10,17]]},"issued":{"date-parts":[["2017"]]}}}],"schema":"https://github.com/citation-style-language/schema/raw/master/csl-citation.json"} </w:instrText>
      </w:r>
      <w:r w:rsidRPr="002646F6">
        <w:rPr>
          <w:sz w:val="18"/>
          <w:szCs w:val="18"/>
        </w:rPr>
        <w:fldChar w:fldCharType="separate"/>
      </w:r>
      <w:r w:rsidRPr="002646F6">
        <w:rPr>
          <w:sz w:val="18"/>
          <w:szCs w:val="18"/>
        </w:rPr>
        <w:fldChar w:fldCharType="end"/>
      </w:r>
      <w:r>
        <w:rPr>
          <w:sz w:val="18"/>
          <w:szCs w:val="18"/>
        </w:rPr>
        <w:t>As such, NICE CG81 r</w:t>
      </w:r>
      <w:r w:rsidRPr="002646F6">
        <w:rPr>
          <w:sz w:val="18"/>
          <w:szCs w:val="18"/>
        </w:rPr>
        <w:t>ecommendations may no longer reflect UK clinical practice, as confirmed by UK experts at a December 2022 advisory board.</w:t>
      </w:r>
      <w:r w:rsidR="005C107F">
        <w:rPr>
          <w:sz w:val="18"/>
          <w:szCs w:val="18"/>
        </w:rPr>
        <w:fldChar w:fldCharType="begin"/>
      </w:r>
      <w:r w:rsidR="00CA6345">
        <w:rPr>
          <w:sz w:val="18"/>
          <w:szCs w:val="18"/>
        </w:rPr>
        <w:instrText xml:space="preserve"> ADDIN ZOTERO_ITEM CSL_CITATION {"citationID":"K4K7RB8O","properties":{"formattedCitation":"\\super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005C107F">
        <w:rPr>
          <w:sz w:val="18"/>
          <w:szCs w:val="18"/>
        </w:rPr>
        <w:fldChar w:fldCharType="separate"/>
      </w:r>
      <w:r w:rsidR="00CA6345" w:rsidRPr="00CA6345">
        <w:rPr>
          <w:rFonts w:cs="Arial"/>
          <w:sz w:val="18"/>
          <w:szCs w:val="24"/>
          <w:vertAlign w:val="superscript"/>
        </w:rPr>
        <w:t>121</w:t>
      </w:r>
      <w:r w:rsidR="005C107F">
        <w:rPr>
          <w:sz w:val="18"/>
          <w:szCs w:val="18"/>
        </w:rPr>
        <w:fldChar w:fldCharType="end"/>
      </w:r>
      <w:r w:rsidR="005C107F">
        <w:rPr>
          <w:sz w:val="18"/>
          <w:szCs w:val="18"/>
        </w:rPr>
        <w:t xml:space="preserve"> </w:t>
      </w:r>
    </w:p>
    <w:p w14:paraId="4AD85231" w14:textId="19145056" w:rsidR="00D855C7" w:rsidRPr="009C12B4" w:rsidRDefault="00D855C7" w:rsidP="00954359">
      <w:pPr>
        <w:pStyle w:val="Footnotes"/>
        <w:numPr>
          <w:ilvl w:val="0"/>
          <w:numId w:val="34"/>
        </w:numPr>
        <w:spacing w:after="0"/>
        <w:ind w:left="142" w:hanging="142"/>
      </w:pPr>
      <w:r w:rsidRPr="00C132F8">
        <w:t>UK clinical experts and ESMO 2021</w:t>
      </w:r>
      <w:r w:rsidRPr="00C132F8">
        <w:fldChar w:fldCharType="begin"/>
      </w:r>
      <w:r w:rsidR="00CA6345">
        <w:instrText xml:space="preserve"> ADDIN ZOTERO_ITEM CSL_CITATION {"citationID":"rLvAwXCK","properties":{"formattedCitation":"\\super 42\\nosupersub{}","plainCitation":"42","noteIndex":0},"citationItems":[{"id":65955,"uris":["http://zotero.org/groups/4797619/items/4KXA6CCG"],"itemData":{"id":65955,"type":"article-journal","container-title":"Annals of Oncology: Official Journal of the European Society for Medical Oncology","DOI":"10.1016/j.annonc.2021.09.019","ISSN":"1569-8041","issue":"12","journalAbbreviation":"Ann Oncol","language":"eng","note":"PMID: 34678411","page":"1475-1495","source":"PubMed","title":"ESMO Clinical Practice Guideline for the diagnosis, staging and treatment of patients with metastatic breast cancer","volume":"32","author":[{"family":"Gennari","given":"A."},{"family":"André","given":"F."},{"family":"Barrios","given":"C. H."},{"family":"Cortés","given":"J."},{"family":"Azambuja","given":"E.","non-dropping-particle":"de"},{"family":"DeMichele","given":"A."},{"family":"Dent","given":"R."},{"family":"Fenlon","given":"D."},{"family":"Gligorov","given":"J."},{"family":"Hurvitz","given":"S. A."},{"family":"Im","given":"S.-A."},{"family":"Krug","given":"D."},{"family":"Kunz","given":"W. G."},{"family":"Loi","given":"S."},{"family":"Penault-Llorca","given":"F."},{"family":"Ricke","given":"J."},{"family":"Robson","given":"M."},{"family":"Rugo","given":"H. S."},{"family":"Saura","given":"C."},{"family":"Schmid","given":"P."},{"family":"Singer","given":"C. F."},{"family":"Spanic","given":"T."},{"family":"Tolaney","given":"S. M."},{"family":"Turner","given":"N. C."},{"family":"Curigliano","given":"G."},{"family":"Loibl","given":"S."},{"family":"Paluch-Shimon","given":"S."},{"family":"Harbeck","given":"N."},{"literal":"ESMO Guidelines Committee. Electronic address: clinicalguidelines@esmo.org"}],"issued":{"date-parts":[["2021",12]]}}}],"schema":"https://github.com/citation-style-language/schema/raw/master/csl-citation.json"} </w:instrText>
      </w:r>
      <w:r w:rsidRPr="00C132F8">
        <w:fldChar w:fldCharType="separate"/>
      </w:r>
      <w:r w:rsidR="00FD57F4" w:rsidRPr="00FD57F4">
        <w:rPr>
          <w:rFonts w:cs="Arial"/>
          <w:sz w:val="22"/>
          <w:szCs w:val="24"/>
          <w:vertAlign w:val="superscript"/>
        </w:rPr>
        <w:t>42</w:t>
      </w:r>
      <w:r w:rsidRPr="00C132F8">
        <w:fldChar w:fldCharType="end"/>
      </w:r>
      <w:r w:rsidRPr="00C132F8">
        <w:t xml:space="preserve"> guidelines state that treatment decisions are made on an individual patient basis, taking into consideration prior therapies, patient fitness, and patient preference.</w:t>
      </w:r>
    </w:p>
    <w:p w14:paraId="189F032F" w14:textId="29F1DB88" w:rsidR="00D855C7" w:rsidRDefault="00D855C7" w:rsidP="00954359">
      <w:pPr>
        <w:pStyle w:val="Body"/>
        <w:numPr>
          <w:ilvl w:val="0"/>
          <w:numId w:val="34"/>
        </w:numPr>
        <w:spacing w:after="0" w:line="240" w:lineRule="auto"/>
        <w:ind w:left="142" w:hanging="142"/>
        <w:rPr>
          <w:sz w:val="18"/>
          <w:szCs w:val="18"/>
        </w:rPr>
      </w:pPr>
      <w:r w:rsidRPr="002646F6">
        <w:rPr>
          <w:sz w:val="18"/>
          <w:szCs w:val="18"/>
        </w:rPr>
        <w:t>UK clinical experts and ESMO 2021</w:t>
      </w:r>
      <w:r w:rsidRPr="002646F6">
        <w:rPr>
          <w:sz w:val="18"/>
          <w:szCs w:val="18"/>
        </w:rPr>
        <w:fldChar w:fldCharType="begin"/>
      </w:r>
      <w:r w:rsidR="00CA6345">
        <w:rPr>
          <w:sz w:val="18"/>
          <w:szCs w:val="18"/>
        </w:rPr>
        <w:instrText xml:space="preserve"> ADDIN ZOTERO_ITEM CSL_CITATION {"citationID":"7l1xQE26","properties":{"formattedCitation":"\\super 42\\nosupersub{}","plainCitation":"42","noteIndex":0},"citationItems":[{"id":65955,"uris":["http://zotero.org/groups/4797619/items/4KXA6CCG"],"itemData":{"id":65955,"type":"article-journal","container-title":"Annals of Oncology: Official Journal of the European Society for Medical Oncology","DOI":"10.1016/j.annonc.2021.09.019","ISSN":"1569-8041","issue":"12","journalAbbreviation":"Ann Oncol","language":"eng","note":"PMID: 34678411","page":"1475-1495","source":"PubMed","title":"ESMO Clinical Practice Guideline for the diagnosis, staging and treatment of patients with metastatic breast cancer","volume":"32","author":[{"family":"Gennari","given":"A."},{"family":"André","given":"F."},{"family":"Barrios","given":"C. H."},{"family":"Cortés","given":"J."},{"family":"Azambuja","given":"E.","non-dropping-particle":"de"},{"family":"DeMichele","given":"A."},{"family":"Dent","given":"R."},{"family":"Fenlon","given":"D."},{"family":"Gligorov","given":"J."},{"family":"Hurvitz","given":"S. A."},{"family":"Im","given":"S.-A."},{"family":"Krug","given":"D."},{"family":"Kunz","given":"W. G."},{"family":"Loi","given":"S."},{"family":"Penault-Llorca","given":"F."},{"family":"Ricke","given":"J."},{"family":"Robson","given":"M."},{"family":"Rugo","given":"H. S."},{"family":"Saura","given":"C."},{"family":"Schmid","given":"P."},{"family":"Singer","given":"C. F."},{"family":"Spanic","given":"T."},{"family":"Tolaney","given":"S. M."},{"family":"Turner","given":"N. C."},{"family":"Curigliano","given":"G."},{"family":"Loibl","given":"S."},{"family":"Paluch-Shimon","given":"S."},{"family":"Harbeck","given":"N."},{"literal":"ESMO Guidelines Committee. Electronic address: clinicalguidelines@esmo.org"}],"issued":{"date-parts":[["2021",12]]}}}],"schema":"https://github.com/citation-style-language/schema/raw/master/csl-citation.json"} </w:instrText>
      </w:r>
      <w:r w:rsidRPr="002646F6">
        <w:rPr>
          <w:sz w:val="18"/>
          <w:szCs w:val="18"/>
        </w:rPr>
        <w:fldChar w:fldCharType="separate"/>
      </w:r>
      <w:r w:rsidR="00FD57F4" w:rsidRPr="00FD57F4">
        <w:rPr>
          <w:rFonts w:cs="Arial"/>
          <w:sz w:val="18"/>
          <w:szCs w:val="24"/>
          <w:vertAlign w:val="superscript"/>
        </w:rPr>
        <w:t>42</w:t>
      </w:r>
      <w:r w:rsidRPr="002646F6">
        <w:rPr>
          <w:sz w:val="18"/>
          <w:szCs w:val="18"/>
        </w:rPr>
        <w:fldChar w:fldCharType="end"/>
      </w:r>
      <w:r w:rsidRPr="002646F6">
        <w:rPr>
          <w:sz w:val="18"/>
          <w:szCs w:val="18"/>
        </w:rPr>
        <w:t xml:space="preserve"> guidelines state that there is no optimal treatment sequence.</w:t>
      </w:r>
    </w:p>
    <w:p w14:paraId="2749CE35" w14:textId="5ED61501" w:rsidR="00D855C7" w:rsidRPr="001F7336" w:rsidRDefault="00920DC1" w:rsidP="00954359">
      <w:pPr>
        <w:pStyle w:val="Body"/>
        <w:numPr>
          <w:ilvl w:val="0"/>
          <w:numId w:val="34"/>
        </w:numPr>
        <w:spacing w:after="0" w:line="240" w:lineRule="auto"/>
        <w:ind w:left="142" w:hanging="142"/>
        <w:rPr>
          <w:sz w:val="18"/>
          <w:szCs w:val="18"/>
        </w:rPr>
      </w:pPr>
      <w:r w:rsidRPr="00C132F8">
        <w:rPr>
          <w:sz w:val="18"/>
          <w:szCs w:val="18"/>
        </w:rPr>
        <w:t xml:space="preserve">UK clinical experts </w:t>
      </w:r>
      <w:r>
        <w:rPr>
          <w:sz w:val="18"/>
          <w:szCs w:val="18"/>
        </w:rPr>
        <w:t>and published data</w:t>
      </w:r>
      <w:r>
        <w:rPr>
          <w:sz w:val="18"/>
          <w:szCs w:val="18"/>
        </w:rPr>
        <w:fldChar w:fldCharType="begin"/>
      </w:r>
      <w:r w:rsidR="00CA6345">
        <w:rPr>
          <w:sz w:val="18"/>
          <w:szCs w:val="18"/>
        </w:rPr>
        <w:instrText xml:space="preserve"> ADDIN ZOTERO_ITEM CSL_CITATION {"citationID":"50d5kNw9","properties":{"formattedCitation":"\\super 118\\nosupersub{}","plainCitation":"118","noteIndex":0},"citationItems":[{"id":66343,"uris":["http://zotero.org/groups/4797619/items/IB6926PV"],"itemData":{"id":66343,"type":"article-journal","abstract":"INTRODUCTION: Currently available evidence does not provide definitive guidance regarding the optimal chemotherapy agents and combinations in anthracycline- and taxane-pretreated advanced breast cancer. We performed a systematic review of controlled clinical trials of the cytotoxic agents currently used for this population in Europe: capecitabine, gemcitabine, vinorelbine, docetaxel, paclitaxel and paclitaxel protein-bound particles.\nMETHOD: A systematic review of randomised (RCT) and non-randomised controlled clinical trials (non-RCTs). The primary outcomes of interest were overall survival (OS) and progression-free survival (PFS); secondary outcomes were duration of response (DR), overall response rate (ORR), adverse events and quality of life (QoL). Six electronic databases and grey literature sources were searched; reference tracking was performed on included publications. A narrative synthesis was conducted: heterogeneity of study design and interventions prevented meta-analysis.\nRESULTS: No randomised controlled trial (RCT) found any significant differences between any of the regimens in terms of OS. In terms of PFS, only gemcitabine plus vinorelbine performed significantly better than its comparator, vinorelbine alone. For secondary outcomes, only capecitabine plus bevacizumab had a significantly better outcome than its comparator, capecitabine alone, in terms of ORR. A low quality non-RCT found that both capecitabine monotherapy and a combination of capecitabine plus vinorelbine were significantly more effective than vinorelbine alone in terms of OS and ORR. Across all trials, median OS for these patients typically remained less than 16 months.\nCONCLUSION: The quantity and quality of the available evidence regarding the efficacy of the particular chemotherapy regimens in patients with advanced breast cancer pretreated with an anthracycline and a taxane is extremely limited. New effective therapies are sorely needed in this population.","container-title":"European Journal of Cancer (Oxford, England: 1990)","DOI":"10.1016/j.ejca.2009.05.035","ISSN":"1879-0852","issue":"16","journalAbbreviation":"Eur J Cancer","language":"eng","note":"PMID: 19615886","page":"2749-2758","source":"PubMed","title":"The clinical efficacy of cytotoxic agents in locally advanced or metastatic breast cancer patients pretreated with an anthracycline and a taxane: a systematic review","title-short":"The clinical efficacy of cytotoxic agents in locally advanced or metastatic breast cancer patients pretreated with an anthracycline and a taxane","volume":"45","author":[{"family":"Jassem","given":"Jacek"},{"family":"Carroll","given":"Christopher"},{"family":"Ward","given":"Sue E."},{"family":"Simpson","given":"Emma"},{"family":"Hind","given":"Daniel"}],"issued":{"date-parts":[["2009",11]]}}}],"schema":"https://github.com/citation-style-language/schema/raw/master/csl-citation.json"} </w:instrText>
      </w:r>
      <w:r>
        <w:rPr>
          <w:sz w:val="18"/>
          <w:szCs w:val="18"/>
        </w:rPr>
        <w:fldChar w:fldCharType="separate"/>
      </w:r>
      <w:r w:rsidR="00CA6345" w:rsidRPr="00CA6345">
        <w:rPr>
          <w:rFonts w:cs="Arial"/>
          <w:sz w:val="18"/>
          <w:szCs w:val="24"/>
          <w:vertAlign w:val="superscript"/>
        </w:rPr>
        <w:t>118</w:t>
      </w:r>
      <w:r>
        <w:rPr>
          <w:sz w:val="18"/>
          <w:szCs w:val="18"/>
        </w:rPr>
        <w:fldChar w:fldCharType="end"/>
      </w:r>
      <w:r>
        <w:rPr>
          <w:sz w:val="18"/>
          <w:szCs w:val="18"/>
        </w:rPr>
        <w:t xml:space="preserve"> indicate</w:t>
      </w:r>
      <w:r w:rsidRPr="00C132F8">
        <w:rPr>
          <w:sz w:val="18"/>
          <w:szCs w:val="18"/>
        </w:rPr>
        <w:t xml:space="preserve"> that all single-agent chemotherap</w:t>
      </w:r>
      <w:r>
        <w:rPr>
          <w:sz w:val="18"/>
          <w:szCs w:val="18"/>
        </w:rPr>
        <w:t>ies</w:t>
      </w:r>
      <w:r w:rsidRPr="00C132F8">
        <w:rPr>
          <w:sz w:val="18"/>
          <w:szCs w:val="18"/>
        </w:rPr>
        <w:t xml:space="preserve"> have </w:t>
      </w:r>
      <w:r>
        <w:rPr>
          <w:sz w:val="18"/>
          <w:szCs w:val="18"/>
        </w:rPr>
        <w:t>similar</w:t>
      </w:r>
      <w:r w:rsidRPr="00C132F8">
        <w:rPr>
          <w:sz w:val="18"/>
          <w:szCs w:val="18"/>
        </w:rPr>
        <w:t xml:space="preserve"> efficacy</w:t>
      </w:r>
      <w:r w:rsidR="00D855C7" w:rsidRPr="00C132F8">
        <w:rPr>
          <w:sz w:val="18"/>
          <w:szCs w:val="18"/>
        </w:rPr>
        <w:t>.</w:t>
      </w:r>
    </w:p>
    <w:p w14:paraId="783E5C29" w14:textId="6C318A64" w:rsidR="0072698F" w:rsidRPr="003C648C" w:rsidRDefault="008549E2" w:rsidP="00994A43">
      <w:pPr>
        <w:pStyle w:val="Body"/>
        <w:spacing w:after="0" w:line="240" w:lineRule="auto"/>
        <w:rPr>
          <w:rFonts w:cs="Arial"/>
          <w:sz w:val="18"/>
          <w:szCs w:val="18"/>
          <w:vertAlign w:val="superscript"/>
        </w:rPr>
      </w:pPr>
      <w:r w:rsidRPr="003C648C">
        <w:rPr>
          <w:sz w:val="18"/>
          <w:szCs w:val="18"/>
        </w:rPr>
        <w:t xml:space="preserve">**Recommended as an option only when docetaxel monotherapy or docetaxel plus capecitabine would be considered appropriate. </w:t>
      </w:r>
    </w:p>
    <w:p w14:paraId="2C844807" w14:textId="6D3A7F9B" w:rsidR="00637159" w:rsidRPr="003C648C" w:rsidRDefault="007120C2" w:rsidP="00994A43">
      <w:pPr>
        <w:pStyle w:val="Body"/>
        <w:spacing w:after="0" w:line="240" w:lineRule="auto"/>
        <w:rPr>
          <w:sz w:val="18"/>
          <w:szCs w:val="18"/>
        </w:rPr>
      </w:pPr>
      <w:r w:rsidRPr="007120C2">
        <w:rPr>
          <w:rFonts w:cs="Arial"/>
          <w:sz w:val="18"/>
          <w:szCs w:val="18"/>
          <w:vertAlign w:val="superscript"/>
        </w:rPr>
        <w:t>§</w:t>
      </w:r>
      <w:r w:rsidRPr="007120C2">
        <w:rPr>
          <w:rFonts w:cs="Arial"/>
          <w:sz w:val="18"/>
          <w:szCs w:val="18"/>
        </w:rPr>
        <w:t>Recommended in patients with PD-L1 positive disease only.</w:t>
      </w:r>
    </w:p>
    <w:p w14:paraId="757B58AE" w14:textId="785C0CB2" w:rsidR="00AA0E48" w:rsidRPr="002646F6" w:rsidRDefault="004637B9" w:rsidP="00B61B73">
      <w:pPr>
        <w:pStyle w:val="Footnotes"/>
      </w:pPr>
      <w:r w:rsidRPr="00C21D01">
        <w:rPr>
          <w:rFonts w:cs="Arial"/>
          <w:color w:val="000000" w:themeColor="text1"/>
          <w:vertAlign w:val="superscript"/>
        </w:rPr>
        <w:t>¶</w:t>
      </w:r>
      <w:r>
        <w:rPr>
          <w:rFonts w:cs="Arial"/>
          <w:color w:val="000000" w:themeColor="text1"/>
        </w:rPr>
        <w:t>F</w:t>
      </w:r>
      <w:r w:rsidRPr="002C22AD">
        <w:rPr>
          <w:rFonts w:cs="Arial"/>
          <w:color w:val="000000" w:themeColor="text1"/>
        </w:rPr>
        <w:t xml:space="preserve">or </w:t>
      </w:r>
      <w:r>
        <w:rPr>
          <w:rFonts w:cs="Arial"/>
          <w:color w:val="000000" w:themeColor="text1"/>
        </w:rPr>
        <w:t xml:space="preserve">patients with </w:t>
      </w:r>
      <w:r w:rsidRPr="002C22AD">
        <w:rPr>
          <w:rFonts w:cs="Arial"/>
          <w:color w:val="000000" w:themeColor="text1"/>
        </w:rPr>
        <w:t>HER2-low (IHC1+ or IHC2+/ISH-)</w:t>
      </w:r>
      <w:r>
        <w:rPr>
          <w:rFonts w:cs="Arial"/>
          <w:color w:val="000000" w:themeColor="text1"/>
        </w:rPr>
        <w:t xml:space="preserve"> u/mBC after one line of chemotherapy in the adjuvant (if recurrence </w:t>
      </w:r>
      <w:r w:rsidR="00954945">
        <w:rPr>
          <w:rFonts w:cs="Arial"/>
          <w:color w:val="000000" w:themeColor="text1"/>
        </w:rPr>
        <w:t xml:space="preserve">occurs </w:t>
      </w:r>
      <w:r>
        <w:rPr>
          <w:rFonts w:cs="Arial"/>
          <w:color w:val="000000" w:themeColor="text1"/>
        </w:rPr>
        <w:t>within 6 months) or metastatic setting.</w:t>
      </w:r>
      <w:r>
        <w:rPr>
          <w:rFonts w:cs="Arial"/>
          <w:color w:val="000000" w:themeColor="text1"/>
        </w:rPr>
        <w:br/>
      </w:r>
      <w:r w:rsidR="00B61B73" w:rsidRPr="002646F6">
        <w:rPr>
          <w:rFonts w:cs="Arial"/>
          <w:vertAlign w:val="superscript"/>
        </w:rPr>
        <w:t>†</w:t>
      </w:r>
      <w:r w:rsidR="00E27B9C" w:rsidRPr="00E27B9C">
        <w:t>Recommended after 2 or more systemic therapies, at least 1 of which was for advanced disease</w:t>
      </w:r>
      <w:r w:rsidR="00B61B73">
        <w:t>.</w:t>
      </w:r>
      <w:r w:rsidR="00B61B73">
        <w:br/>
      </w:r>
      <w:r w:rsidR="006E5DDC">
        <w:rPr>
          <w:rFonts w:cs="Arial"/>
          <w:vertAlign w:val="superscript"/>
        </w:rPr>
        <w:t>‡</w:t>
      </w:r>
      <w:r w:rsidR="00B61B73">
        <w:rPr>
          <w:rFonts w:cs="Arial"/>
        </w:rPr>
        <w:t>Whichever was not used as second-line treatment.</w:t>
      </w:r>
      <w:r w:rsidR="00B61B73" w:rsidRPr="002646F6">
        <w:br/>
        <w:t xml:space="preserve">Abbreviations: </w:t>
      </w:r>
      <w:r w:rsidR="0072698F">
        <w:t xml:space="preserve">CG, clinical guidelines; ESMO, European Society for Medical Oncology; </w:t>
      </w:r>
      <w:r w:rsidR="0096002B">
        <w:t xml:space="preserve">HER, human epidermal growth factor receptor; HR, hormone receptor; </w:t>
      </w:r>
      <w:r w:rsidR="0072698F">
        <w:t xml:space="preserve">IHC, immunohistochemistry; ISH, in situ hybridisation; </w:t>
      </w:r>
      <w:r w:rsidR="0096002B">
        <w:t xml:space="preserve">NICE, National Institute for Health and Care Excellence; </w:t>
      </w:r>
      <w:r w:rsidR="00C63D99">
        <w:t xml:space="preserve">PD-L1, programmed death ligand 1; </w:t>
      </w:r>
      <w:r w:rsidR="0072698F" w:rsidRPr="002646F6">
        <w:t>TA, technology appraisal; u/mBC, unresectable/metastatic breast cancer; T-DXd, trastuzumab deruxtecan</w:t>
      </w:r>
      <w:r w:rsidR="0072698F">
        <w:t>.</w:t>
      </w:r>
      <w:r w:rsidR="00B61B73" w:rsidRPr="002646F6">
        <w:t xml:space="preserve"> </w:t>
      </w:r>
      <w:r w:rsidR="00B61B73" w:rsidRPr="002646F6">
        <w:br/>
      </w:r>
      <w:r w:rsidR="00B61B73" w:rsidRPr="003C648C">
        <w:rPr>
          <w:lang w:val="pl-PL"/>
        </w:rPr>
        <w:t>Sources: NICE, 2009 (CG81);</w:t>
      </w:r>
      <w:r w:rsidR="00B61B73" w:rsidRPr="002646F6">
        <w:fldChar w:fldCharType="begin"/>
      </w:r>
      <w:r w:rsidR="00CA6345">
        <w:rPr>
          <w:lang w:val="pl-PL"/>
        </w:rPr>
        <w:instrText xml:space="preserve"> ADDIN ZOTERO_ITEM CSL_CITATION {"citationID":"cBOyNwRo","properties":{"formattedCitation":"\\super 35\\nosupersub{}","plainCitation":"35","noteIndex":0},"citationItems":[{"id":65866,"uris":["http://zotero.org/groups/4797619/items/3AESVSNK"],"itemData":{"id":65866,"type":"webpage","abstract":"This guideline covers care and support for people with advanced (stage 4) breast cancer. It aims to help them and their healthcare professionals make shared","language":"eng","note":"publisher: NICE","title":"Advanced breast cancer: diagnosis and treatment | NICE CG81","title-short":"NICE CG81. Recommendations | Advanced breast cancer","URL":"https://www.nice.org.uk/guidance/cg81/chapter/Recommendations","author":[{"family":"NICE","given":""}],"accessed":{"date-parts":[["2022",10,17]]},"issued":{"date-parts":[["2017"]]}}}],"schema":"https://github.com/citation-style-language/schema/raw/master/csl-citation.json"} </w:instrText>
      </w:r>
      <w:r w:rsidR="00B61B73" w:rsidRPr="002646F6">
        <w:fldChar w:fldCharType="separate"/>
      </w:r>
      <w:r w:rsidR="00FD57F4" w:rsidRPr="00FD57F4">
        <w:rPr>
          <w:rFonts w:cs="Arial"/>
          <w:szCs w:val="24"/>
          <w:vertAlign w:val="superscript"/>
        </w:rPr>
        <w:t>35</w:t>
      </w:r>
      <w:r w:rsidR="00B61B73" w:rsidRPr="002646F6">
        <w:fldChar w:fldCharType="end"/>
      </w:r>
      <w:r w:rsidR="00B61B73" w:rsidRPr="003C648C" w:rsidDel="0055772D">
        <w:rPr>
          <w:lang w:val="pl-PL"/>
        </w:rPr>
        <w:t xml:space="preserve"> </w:t>
      </w:r>
      <w:r w:rsidR="00B61B73" w:rsidRPr="003C648C">
        <w:rPr>
          <w:lang w:val="pl-PL"/>
        </w:rPr>
        <w:t>NICE, 2007 (TA116);</w:t>
      </w:r>
      <w:r w:rsidR="00B61B73" w:rsidRPr="002646F6">
        <w:fldChar w:fldCharType="begin"/>
      </w:r>
      <w:r w:rsidR="00CA6345">
        <w:rPr>
          <w:lang w:val="pl-PL"/>
        </w:rPr>
        <w:instrText xml:space="preserve"> ADDIN ZOTERO_ITEM CSL_CITATION {"citationID":"AoK6JaOU","properties":{"formattedCitation":"\\super 122\\nosupersub{}","plainCitation":"122","noteIndex":0},"citationItems":[{"id":65876,"uris":["http://zotero.org/groups/4797619/items/6S5RPIVP"],"itemData":{"id":65876,"type":"webpage","abstract":"Evidence-based recommendations on gemcitabine for treating metastatic breast cancer in adults","language":"eng","note":"publisher: NICE","title":"Gemcitabine for the treatment of metastatic breast cancer | NICE [TA116]","URL":"https://www.nice.org.uk/guidance/ta116","author":[{"family":"NICE","given":""}],"accessed":{"date-parts":[["2022",10,17]]}}}],"schema":"https://github.com/citation-style-language/schema/raw/master/csl-citation.json"} </w:instrText>
      </w:r>
      <w:r w:rsidR="00B61B73" w:rsidRPr="002646F6">
        <w:fldChar w:fldCharType="separate"/>
      </w:r>
      <w:r w:rsidR="00CA6345" w:rsidRPr="00CA6345">
        <w:rPr>
          <w:rFonts w:cs="Arial"/>
          <w:szCs w:val="24"/>
          <w:vertAlign w:val="superscript"/>
        </w:rPr>
        <w:t>122</w:t>
      </w:r>
      <w:r w:rsidR="00B61B73" w:rsidRPr="002646F6">
        <w:fldChar w:fldCharType="end"/>
      </w:r>
      <w:r w:rsidR="00B61B73" w:rsidRPr="003C648C">
        <w:rPr>
          <w:lang w:val="pl-PL"/>
        </w:rPr>
        <w:t xml:space="preserve"> NICE, 2016 (TA423);</w:t>
      </w:r>
      <w:r w:rsidR="00B61B73" w:rsidRPr="002646F6">
        <w:fldChar w:fldCharType="begin"/>
      </w:r>
      <w:r w:rsidR="00CA6345">
        <w:rPr>
          <w:lang w:val="pl-PL"/>
        </w:rPr>
        <w:instrText xml:space="preserve"> ADDIN ZOTERO_ITEM CSL_CITATION {"citationID":"K1vdBK81","properties":{"formattedCitation":"\\super 131\\nosupersub{}","plainCitation":"131","noteIndex":0},"citationItems":[{"id":65884,"uris":["http://zotero.org/groups/4797619/items/GKXW7XYV"],"itemData":{"id":65884,"type":"webpage","abstract":"Evidence-based recommendations on eribulin (Halaven) for treating locally advanced or metastatic breast cancer after 2 or more types of chemotherapy","language":"eng","note":"publisher: NICE","title":"Eribulin for treating locally advanced or metastatic breast cancer after 2 or more chemotherapy regimens | NICE [TA423]","URL":"https://www.nice.org.uk/guidance/ta423","author":[{"family":"NICE","given":""}],"accessed":{"date-parts":[["2022",10,17]]}}}],"schema":"https://github.com/citation-style-language/schema/raw/master/csl-citation.json"} </w:instrText>
      </w:r>
      <w:r w:rsidR="00B61B73" w:rsidRPr="002646F6">
        <w:fldChar w:fldCharType="separate"/>
      </w:r>
      <w:r w:rsidR="00CA6345" w:rsidRPr="00CA6345">
        <w:rPr>
          <w:rFonts w:cs="Arial"/>
          <w:szCs w:val="24"/>
          <w:vertAlign w:val="superscript"/>
        </w:rPr>
        <w:t>131</w:t>
      </w:r>
      <w:r w:rsidR="00B61B73" w:rsidRPr="002646F6">
        <w:fldChar w:fldCharType="end"/>
      </w:r>
      <w:r w:rsidR="00B61B73" w:rsidRPr="003C648C">
        <w:rPr>
          <w:lang w:val="pl-PL"/>
        </w:rPr>
        <w:t xml:space="preserve"> NICE, 2022 (TA819).</w:t>
      </w:r>
      <w:r w:rsidR="00B61B73">
        <w:fldChar w:fldCharType="begin"/>
      </w:r>
      <w:r w:rsidR="00CA6345">
        <w:rPr>
          <w:lang w:val="pl-PL"/>
        </w:rPr>
        <w:instrText xml:space="preserve"> ADDIN ZOTERO_ITEM CSL_CITATION {"citationID":"62qCC1gQ","properties":{"formattedCitation":"\\super 132\\nosupersub{}","plainCitation":"132","noteIndex":0},"citationItems":[{"id":65875,"uris":["http://zotero.org/groups/4797619/items/IP9MEGL9"],"itemData":{"id":65875,"type":"webpage","abstract":"Evidence-based recommendations on sacituzumab govetican (Trodelvy) for treating unresectable, triple-negative locally advanced or metastatic breast cancer in adults after 2 or more systemic therapies, at least 1 of which was for advanced disease","language":"eng","note":"publisher: NICE","title":"Sacituzumab govitecan for treating unresectable triple-negative advanced breast cancer after 2 or more therapies | NICE [TA819]","URL":"https://www.nice.org.uk/guidance/ta819","author":[{"family":"NICE","given":""}],"accessed":{"date-parts":[["2022",10,17]]}}}],"schema":"https://github.com/citation-style-language/schema/raw/master/csl-citation.json"} </w:instrText>
      </w:r>
      <w:r w:rsidR="00B61B73">
        <w:fldChar w:fldCharType="separate"/>
      </w:r>
      <w:r w:rsidR="00CA6345" w:rsidRPr="00CA6345">
        <w:rPr>
          <w:rFonts w:cs="Arial"/>
          <w:szCs w:val="24"/>
          <w:vertAlign w:val="superscript"/>
        </w:rPr>
        <w:t>132</w:t>
      </w:r>
      <w:r w:rsidR="00B61B73">
        <w:fldChar w:fldCharType="end"/>
      </w:r>
      <w:r w:rsidR="00B61B73" w:rsidRPr="003C648C">
        <w:rPr>
          <w:lang w:val="pl-PL"/>
        </w:rPr>
        <w:t xml:space="preserve"> </w:t>
      </w:r>
    </w:p>
    <w:p w14:paraId="60024C32" w14:textId="3EFAD228" w:rsidR="00057A9B" w:rsidRDefault="00057A9B" w:rsidP="00057A9B">
      <w:pPr>
        <w:pStyle w:val="Heading3"/>
      </w:pPr>
      <w:bookmarkStart w:id="114" w:name="_Ref128653606"/>
      <w:bookmarkStart w:id="115" w:name="_Ref129209200"/>
      <w:bookmarkStart w:id="116" w:name="_Ref129209254"/>
      <w:bookmarkStart w:id="117" w:name="_Ref129209403"/>
      <w:bookmarkStart w:id="118" w:name="_Ref129209834"/>
      <w:bookmarkStart w:id="119" w:name="_Ref129210454"/>
      <w:bookmarkStart w:id="120" w:name="_Toc129350851"/>
      <w:r>
        <w:t xml:space="preserve">Relevance of the DESTINY-Breast04 TPC arm to </w:t>
      </w:r>
      <w:r w:rsidR="00391ABB">
        <w:t xml:space="preserve">UK </w:t>
      </w:r>
      <w:r>
        <w:t>clinical practice and the comparators in the decision problem</w:t>
      </w:r>
      <w:bookmarkEnd w:id="114"/>
      <w:bookmarkEnd w:id="115"/>
      <w:bookmarkEnd w:id="116"/>
      <w:bookmarkEnd w:id="117"/>
      <w:bookmarkEnd w:id="118"/>
      <w:bookmarkEnd w:id="119"/>
      <w:bookmarkEnd w:id="120"/>
    </w:p>
    <w:p w14:paraId="53320922" w14:textId="59AB3B60" w:rsidR="00057A9B" w:rsidRDefault="00057A9B" w:rsidP="00057A9B">
      <w:pPr>
        <w:pStyle w:val="Body"/>
        <w:spacing w:after="120"/>
      </w:pPr>
      <w:r>
        <w:t xml:space="preserve">The comparator used </w:t>
      </w:r>
      <w:r w:rsidR="00391ABB">
        <w:t xml:space="preserve">throughout </w:t>
      </w:r>
      <w:r>
        <w:t xml:space="preserve">this submission is the TPC arm </w:t>
      </w:r>
      <w:r w:rsidRPr="00945D1F">
        <w:t xml:space="preserve">from the </w:t>
      </w:r>
      <w:r>
        <w:t>Phase III</w:t>
      </w:r>
      <w:r w:rsidRPr="00945D1F">
        <w:t xml:space="preserve"> DESTINY-Breast04 study</w:t>
      </w:r>
      <w:r>
        <w:t>, which is the primary evidence source for this appraisal. The TPC arm in DESTINY-Breast04 comprises eribulin (51.1%), capecitabine (20.1%), paclitaxel (8.2%), nab-paclitaxel (10.3%), and gemcitabine (10.3%).</w:t>
      </w:r>
      <w:r>
        <w:fldChar w:fldCharType="begin"/>
      </w:r>
      <w:r w:rsidR="00CA6345">
        <w:instrText xml:space="preserve"> ADDIN ZOTERO_ITEM CSL_CITATION {"citationID":"g3Fvfubq","properties":{"formattedCitation":"\\super 140\\nosupersub{}","plainCitation":"140","noteIndex":0},"citationItems":[{"id":66138,"uris":["http://zotero.org/groups/4797619/items/7DECRJ2U"],"itemData":{"id":66138,"type":"document","title":"Trastuzumab deruxtecan (T-DXd) vs treatment of physician's choice in patients with HER2-low unresectable and/or metastatic breast cancer: Results of DESTINY-Breast04, a randomized, phase 3 study. Presented at ASCO 2022 Annual Meeting.","author":[{"family":"Modi","given":"Shanu"},{"family":"Jacot","given":"William"},{"family":"Yamashita","given":"Toshinari"},{"family":"Sohn","given":"Joohyuk"},{"family":"Vidal","given":"Maria"},{"family":"Tokunaga","given":"Eriko"},{"family":"Tsurutani","given":"Junji"},{"family":"Ueno","given":"Naoto T."},{"family":"Chae","given":"Yee Soo"},{"family":"Lee","given":"Keun Seok"},{"family":"Niikura","given":"Naoki"},{"family":"Park","given":"Yeon Hee"},{"family":"Wang","given":"Xiaojia"},{"family":"Xu","given":"Binghe"},{"family":"Gambhire","given":"Dhiraj"},{"family":"Yung","given":"Lotus"},{"family":"Meinhardt","given":"Gerold"},{"family":"Wang","given":"Yibin"},{"family":"Harbeck","given":"Nadia"},{"family":"Cameron","given":"David"}],"issued":{"date-parts":[["2022",6,5]]}}}],"schema":"https://github.com/citation-style-language/schema/raw/master/csl-citation.json"} </w:instrText>
      </w:r>
      <w:r>
        <w:fldChar w:fldCharType="separate"/>
      </w:r>
      <w:r w:rsidR="00CA6345" w:rsidRPr="00CA6345">
        <w:rPr>
          <w:rFonts w:cs="Arial"/>
          <w:szCs w:val="24"/>
          <w:vertAlign w:val="superscript"/>
        </w:rPr>
        <w:t>140</w:t>
      </w:r>
      <w:r>
        <w:fldChar w:fldCharType="end"/>
      </w:r>
      <w:r>
        <w:t xml:space="preserve"> </w:t>
      </w:r>
    </w:p>
    <w:p w14:paraId="41953791" w14:textId="77777777" w:rsidR="00057A9B" w:rsidRDefault="00057A9B" w:rsidP="00057A9B">
      <w:pPr>
        <w:pStyle w:val="Body"/>
        <w:spacing w:after="120"/>
      </w:pPr>
      <w:r>
        <w:t>The TPC arm is an appropriate comparator for this appraisal for the following reasons:</w:t>
      </w:r>
    </w:p>
    <w:p w14:paraId="148183D4" w14:textId="12EDB6AC" w:rsidR="00057A9B" w:rsidRDefault="00057A9B" w:rsidP="00057A9B">
      <w:pPr>
        <w:pStyle w:val="Body"/>
        <w:numPr>
          <w:ilvl w:val="0"/>
          <w:numId w:val="37"/>
        </w:numPr>
        <w:spacing w:after="120"/>
      </w:pPr>
      <w:r>
        <w:t xml:space="preserve">The DESTINY-Breast04 TPC arm broadly aligns with UK clinical practice (see </w:t>
      </w:r>
      <w:r w:rsidRPr="00954359">
        <w:rPr>
          <w:b/>
          <w:bCs/>
        </w:rPr>
        <w:t>Section</w:t>
      </w:r>
      <w:r w:rsidR="00EA296C">
        <w:rPr>
          <w:b/>
          <w:bCs/>
        </w:rPr>
        <w:t xml:space="preserve"> </w:t>
      </w:r>
      <w:r w:rsidR="00EA296C">
        <w:rPr>
          <w:b/>
          <w:bCs/>
        </w:rPr>
        <w:fldChar w:fldCharType="begin"/>
      </w:r>
      <w:r w:rsidR="00EA296C">
        <w:rPr>
          <w:b/>
          <w:bCs/>
        </w:rPr>
        <w:instrText xml:space="preserve"> REF _Ref128653718 \r \h </w:instrText>
      </w:r>
      <w:r w:rsidR="00EA296C">
        <w:rPr>
          <w:b/>
          <w:bCs/>
        </w:rPr>
      </w:r>
      <w:r w:rsidR="00EA296C">
        <w:rPr>
          <w:b/>
          <w:bCs/>
        </w:rPr>
        <w:fldChar w:fldCharType="separate"/>
      </w:r>
      <w:r w:rsidR="00145F42">
        <w:rPr>
          <w:b/>
          <w:bCs/>
        </w:rPr>
        <w:t>B.1.3.6.1</w:t>
      </w:r>
      <w:r w:rsidR="00EA296C">
        <w:rPr>
          <w:b/>
          <w:bCs/>
        </w:rPr>
        <w:fldChar w:fldCharType="end"/>
      </w:r>
      <w:r>
        <w:t>).</w:t>
      </w:r>
    </w:p>
    <w:p w14:paraId="47AB20CD" w14:textId="54B62371" w:rsidR="00057A9B" w:rsidRDefault="00F02363" w:rsidP="00057A9B">
      <w:pPr>
        <w:pStyle w:val="Body"/>
        <w:numPr>
          <w:ilvl w:val="0"/>
          <w:numId w:val="37"/>
        </w:numPr>
        <w:spacing w:after="120"/>
      </w:pPr>
      <w:r w:rsidRPr="00F02363">
        <w:t>Using the DESTINY-Breast04 TPC arm means leveraging direct clinical trial data from prespecified analyses from the key evidence source for the appraisal</w:t>
      </w:r>
      <w:r w:rsidR="00057A9B">
        <w:t xml:space="preserve"> (see </w:t>
      </w:r>
      <w:r w:rsidR="00057A9B" w:rsidRPr="005C1F04">
        <w:rPr>
          <w:b/>
          <w:bCs/>
        </w:rPr>
        <w:t xml:space="preserve">Section </w:t>
      </w:r>
      <w:r w:rsidR="00EA296C">
        <w:rPr>
          <w:b/>
          <w:bCs/>
        </w:rPr>
        <w:fldChar w:fldCharType="begin"/>
      </w:r>
      <w:r w:rsidR="00EA296C">
        <w:rPr>
          <w:b/>
          <w:bCs/>
        </w:rPr>
        <w:instrText xml:space="preserve"> REF _Ref128653720 \r \h </w:instrText>
      </w:r>
      <w:r w:rsidR="00EA296C">
        <w:rPr>
          <w:b/>
          <w:bCs/>
        </w:rPr>
      </w:r>
      <w:r w:rsidR="00EA296C">
        <w:rPr>
          <w:b/>
          <w:bCs/>
        </w:rPr>
        <w:fldChar w:fldCharType="separate"/>
      </w:r>
      <w:r w:rsidR="00145F42">
        <w:rPr>
          <w:b/>
          <w:bCs/>
        </w:rPr>
        <w:t>B.1.3.6.2</w:t>
      </w:r>
      <w:r w:rsidR="00EA296C">
        <w:rPr>
          <w:b/>
          <w:bCs/>
        </w:rPr>
        <w:fldChar w:fldCharType="end"/>
      </w:r>
      <w:r w:rsidR="00057A9B">
        <w:t>)</w:t>
      </w:r>
    </w:p>
    <w:p w14:paraId="0B162893" w14:textId="7B775DBE" w:rsidR="00057A9B" w:rsidRDefault="00057A9B" w:rsidP="00057A9B">
      <w:pPr>
        <w:pStyle w:val="Body"/>
        <w:numPr>
          <w:ilvl w:val="0"/>
          <w:numId w:val="37"/>
        </w:numPr>
        <w:spacing w:after="120"/>
      </w:pPr>
      <w:r>
        <w:t xml:space="preserve">Differences between the final scope comparators and TPC arm therapies are unlikely to impact decision-making (see </w:t>
      </w:r>
      <w:r w:rsidRPr="00954359">
        <w:rPr>
          <w:b/>
          <w:bCs/>
        </w:rPr>
        <w:t xml:space="preserve">Section </w:t>
      </w:r>
      <w:r w:rsidR="00EA296C">
        <w:rPr>
          <w:b/>
          <w:bCs/>
        </w:rPr>
        <w:fldChar w:fldCharType="begin"/>
      </w:r>
      <w:r w:rsidR="00EA296C">
        <w:rPr>
          <w:b/>
          <w:bCs/>
        </w:rPr>
        <w:instrText xml:space="preserve"> REF _Ref128653722 \r \h </w:instrText>
      </w:r>
      <w:r w:rsidR="00EA296C">
        <w:rPr>
          <w:b/>
          <w:bCs/>
        </w:rPr>
      </w:r>
      <w:r w:rsidR="00EA296C">
        <w:rPr>
          <w:b/>
          <w:bCs/>
        </w:rPr>
        <w:fldChar w:fldCharType="separate"/>
      </w:r>
      <w:r w:rsidR="00145F42">
        <w:rPr>
          <w:b/>
          <w:bCs/>
        </w:rPr>
        <w:t>B.1.3.6.3</w:t>
      </w:r>
      <w:r w:rsidR="00EA296C">
        <w:rPr>
          <w:b/>
          <w:bCs/>
        </w:rPr>
        <w:fldChar w:fldCharType="end"/>
      </w:r>
      <w:r>
        <w:t>).</w:t>
      </w:r>
    </w:p>
    <w:p w14:paraId="075557E7" w14:textId="1435A021" w:rsidR="00057A9B" w:rsidRDefault="00057A9B" w:rsidP="00057A9B">
      <w:pPr>
        <w:pStyle w:val="Body"/>
        <w:numPr>
          <w:ilvl w:val="0"/>
          <w:numId w:val="37"/>
        </w:numPr>
        <w:spacing w:after="120"/>
      </w:pPr>
      <w:r>
        <w:t xml:space="preserve">A similar TPC arm was accepted as the comparator by NICE in a recent HER2-negative u/mBC appraisal (see </w:t>
      </w:r>
      <w:r w:rsidRPr="00954359">
        <w:rPr>
          <w:b/>
          <w:bCs/>
        </w:rPr>
        <w:t>Section</w:t>
      </w:r>
      <w:r w:rsidR="00EA296C">
        <w:rPr>
          <w:b/>
          <w:bCs/>
        </w:rPr>
        <w:t xml:space="preserve"> </w:t>
      </w:r>
      <w:r w:rsidR="00EA296C">
        <w:rPr>
          <w:b/>
          <w:bCs/>
        </w:rPr>
        <w:fldChar w:fldCharType="begin"/>
      </w:r>
      <w:r w:rsidR="00EA296C">
        <w:rPr>
          <w:b/>
          <w:bCs/>
        </w:rPr>
        <w:instrText xml:space="preserve"> REF _Ref128653726 \r \h </w:instrText>
      </w:r>
      <w:r w:rsidR="00EA296C">
        <w:rPr>
          <w:b/>
          <w:bCs/>
        </w:rPr>
      </w:r>
      <w:r w:rsidR="00EA296C">
        <w:rPr>
          <w:b/>
          <w:bCs/>
        </w:rPr>
        <w:fldChar w:fldCharType="separate"/>
      </w:r>
      <w:r w:rsidR="00145F42">
        <w:rPr>
          <w:b/>
          <w:bCs/>
        </w:rPr>
        <w:t>B.1.3.6.4</w:t>
      </w:r>
      <w:r w:rsidR="00EA296C">
        <w:rPr>
          <w:b/>
          <w:bCs/>
        </w:rPr>
        <w:fldChar w:fldCharType="end"/>
      </w:r>
      <w:r>
        <w:t>).</w:t>
      </w:r>
    </w:p>
    <w:p w14:paraId="7019FCE0" w14:textId="2B4C6DBD" w:rsidR="00057A9B" w:rsidRPr="00472CDA" w:rsidRDefault="00057A9B" w:rsidP="00057A9B">
      <w:pPr>
        <w:pStyle w:val="Heading4"/>
      </w:pPr>
      <w:bookmarkStart w:id="121" w:name="_Ref128653718"/>
      <w:r>
        <w:lastRenderedPageBreak/>
        <w:t xml:space="preserve">The DESTINY-Breast04 TPC arm broadly aligns with UK clinical </w:t>
      </w:r>
      <w:r w:rsidRPr="00472CDA">
        <w:t>practice</w:t>
      </w:r>
      <w:bookmarkEnd w:id="121"/>
    </w:p>
    <w:p w14:paraId="300713EA" w14:textId="7BC8438C" w:rsidR="00057A9B" w:rsidRPr="00945D1F" w:rsidRDefault="00057A9B" w:rsidP="00057A9B">
      <w:pPr>
        <w:spacing w:before="120" w:after="120"/>
      </w:pPr>
      <w:r>
        <w:t>Defining specific comparators at each stage of the HER2-low u/mBC pathway is challenging. T</w:t>
      </w:r>
      <w:r w:rsidRPr="00945D1F">
        <w:t xml:space="preserve">here </w:t>
      </w:r>
      <w:r>
        <w:t xml:space="preserve">are no UK clinical or reimbursement guidelines related to HER2-low specifically, with HER2-low u/mBC currently treated according to HER2-negative treatment pathways (see </w:t>
      </w:r>
      <w:r w:rsidRPr="00626F89">
        <w:rPr>
          <w:b/>
          <w:bCs/>
        </w:rPr>
        <w:t xml:space="preserve">Section </w:t>
      </w:r>
      <w:r w:rsidRPr="00626F89">
        <w:rPr>
          <w:b/>
          <w:bCs/>
        </w:rPr>
        <w:fldChar w:fldCharType="begin"/>
      </w:r>
      <w:r w:rsidRPr="00626F89">
        <w:rPr>
          <w:b/>
          <w:bCs/>
        </w:rPr>
        <w:instrText xml:space="preserve"> REF _Ref89962480 \r \h  \* MERGEFORMAT </w:instrText>
      </w:r>
      <w:r w:rsidRPr="00626F89">
        <w:rPr>
          <w:b/>
          <w:bCs/>
        </w:rPr>
      </w:r>
      <w:r w:rsidRPr="00626F89">
        <w:rPr>
          <w:b/>
          <w:bCs/>
        </w:rPr>
        <w:fldChar w:fldCharType="separate"/>
      </w:r>
      <w:r w:rsidR="00145F42">
        <w:rPr>
          <w:b/>
          <w:bCs/>
        </w:rPr>
        <w:t>B.1.3.3</w:t>
      </w:r>
      <w:r w:rsidRPr="00626F89">
        <w:rPr>
          <w:b/>
          <w:bCs/>
        </w:rPr>
        <w:fldChar w:fldCharType="end"/>
      </w:r>
      <w:r>
        <w:t xml:space="preserve">). In HER2-negative u/mBC, there </w:t>
      </w:r>
      <w:r w:rsidRPr="00945D1F">
        <w:t xml:space="preserve">is no </w:t>
      </w:r>
      <w:r>
        <w:t>c</w:t>
      </w:r>
      <w:r w:rsidRPr="00945D1F">
        <w:t>le</w:t>
      </w:r>
      <w:r>
        <w:t>ar</w:t>
      </w:r>
      <w:r w:rsidRPr="00945D1F">
        <w:t xml:space="preserve"> standard of care</w:t>
      </w:r>
      <w:r>
        <w:t xml:space="preserve"> or treatment algorithm</w:t>
      </w:r>
      <w:r w:rsidRPr="00945D1F">
        <w:t xml:space="preserve"> </w:t>
      </w:r>
      <w:r>
        <w:t>for patients who have received at least one line of chemotherapy in the metastatic setting. This</w:t>
      </w:r>
      <w:r w:rsidRPr="002646F6">
        <w:t xml:space="preserve"> </w:t>
      </w:r>
      <w:r>
        <w:t xml:space="preserve">is </w:t>
      </w:r>
      <w:r w:rsidRPr="002646F6">
        <w:t>supported by NICE CG81</w:t>
      </w:r>
      <w:r>
        <w:t xml:space="preserve"> (see </w:t>
      </w:r>
      <w:r w:rsidRPr="00BB291B">
        <w:rPr>
          <w:b/>
          <w:bCs/>
        </w:rPr>
        <w:t xml:space="preserve">Section </w:t>
      </w:r>
      <w:r w:rsidRPr="00BB291B">
        <w:rPr>
          <w:b/>
          <w:bCs/>
        </w:rPr>
        <w:fldChar w:fldCharType="begin"/>
      </w:r>
      <w:r w:rsidRPr="00BB291B">
        <w:rPr>
          <w:b/>
          <w:bCs/>
        </w:rPr>
        <w:instrText xml:space="preserve"> REF _Ref126931629 \r \h  \* MERGEFORMAT </w:instrText>
      </w:r>
      <w:r w:rsidRPr="00BB291B">
        <w:rPr>
          <w:b/>
          <w:bCs/>
        </w:rPr>
      </w:r>
      <w:r w:rsidRPr="00BB291B">
        <w:rPr>
          <w:b/>
          <w:bCs/>
        </w:rPr>
        <w:fldChar w:fldCharType="separate"/>
      </w:r>
      <w:r w:rsidR="00145F42">
        <w:rPr>
          <w:b/>
          <w:bCs/>
        </w:rPr>
        <w:t>B.1.3.3.3</w:t>
      </w:r>
      <w:r w:rsidRPr="00BB291B">
        <w:rPr>
          <w:b/>
          <w:bCs/>
        </w:rPr>
        <w:fldChar w:fldCharType="end"/>
      </w:r>
      <w:r>
        <w:t>)</w:t>
      </w:r>
      <w:r w:rsidRPr="002646F6">
        <w:t>,</w:t>
      </w:r>
      <w:r>
        <w:fldChar w:fldCharType="begin"/>
      </w:r>
      <w:r w:rsidR="00CA6345">
        <w:instrText xml:space="preserve"> ADDIN ZOTERO_ITEM CSL_CITATION {"citationID":"HfH54s0U","properties":{"formattedCitation":"\\super 35\\nosupersub{}","plainCitation":"35","noteIndex":0},"citationItems":[{"id":65866,"uris":["http://zotero.org/groups/4797619/items/3AESVSNK"],"itemData":{"id":65866,"type":"webpage","abstract":"This guideline covers care and support for people with advanced (stage 4) breast cancer. It aims to help them and their healthcare professionals make shared","language":"eng","note":"publisher: NICE","title":"Advanced breast cancer: diagnosis and treatment | NICE CG81","title-short":"NICE CG81. Recommendations | Advanced breast cancer","URL":"https://www.nice.org.uk/guidance/cg81/chapter/Recommendations","author":[{"family":"NICE","given":""}],"accessed":{"date-parts":[["2022",10,17]]},"issued":{"date-parts":[["2017"]]}}}],"schema":"https://github.com/citation-style-language/schema/raw/master/csl-citation.json"} </w:instrText>
      </w:r>
      <w:r>
        <w:fldChar w:fldCharType="separate"/>
      </w:r>
      <w:r w:rsidR="00FD57F4" w:rsidRPr="00FD57F4">
        <w:rPr>
          <w:rFonts w:cs="Arial"/>
          <w:szCs w:val="24"/>
          <w:vertAlign w:val="superscript"/>
        </w:rPr>
        <w:t>35</w:t>
      </w:r>
      <w:r>
        <w:fldChar w:fldCharType="end"/>
      </w:r>
      <w:r w:rsidRPr="002646F6">
        <w:t xml:space="preserve"> ESMO 2021 guidelines</w:t>
      </w:r>
      <w:r>
        <w:t xml:space="preserve"> (see </w:t>
      </w:r>
      <w:r w:rsidRPr="00BB291B">
        <w:rPr>
          <w:b/>
          <w:bCs/>
        </w:rPr>
        <w:t xml:space="preserve">Section </w:t>
      </w:r>
      <w:r w:rsidRPr="00BB291B">
        <w:rPr>
          <w:b/>
          <w:bCs/>
        </w:rPr>
        <w:fldChar w:fldCharType="begin"/>
      </w:r>
      <w:r w:rsidRPr="00BB291B">
        <w:rPr>
          <w:b/>
          <w:bCs/>
        </w:rPr>
        <w:instrText xml:space="preserve"> REF _Ref126931680 \r \h  \* MERGEFORMAT </w:instrText>
      </w:r>
      <w:r w:rsidRPr="00BB291B">
        <w:rPr>
          <w:b/>
          <w:bCs/>
        </w:rPr>
      </w:r>
      <w:r w:rsidRPr="00BB291B">
        <w:rPr>
          <w:b/>
          <w:bCs/>
        </w:rPr>
        <w:fldChar w:fldCharType="separate"/>
      </w:r>
      <w:r w:rsidR="00145F42">
        <w:rPr>
          <w:b/>
          <w:bCs/>
        </w:rPr>
        <w:t>B.1.3.3.2</w:t>
      </w:r>
      <w:r w:rsidRPr="00BB291B">
        <w:rPr>
          <w:b/>
          <w:bCs/>
        </w:rPr>
        <w:fldChar w:fldCharType="end"/>
      </w:r>
      <w:r>
        <w:t>)</w:t>
      </w:r>
      <w:r w:rsidRPr="002646F6">
        <w:t>,</w:t>
      </w:r>
      <w:r>
        <w:fldChar w:fldCharType="begin"/>
      </w:r>
      <w:r w:rsidR="00CA6345">
        <w:instrText xml:space="preserve"> ADDIN ZOTERO_ITEM CSL_CITATION {"citationID":"mwah4TYd","properties":{"formattedCitation":"\\super 42\\nosupersub{}","plainCitation":"42","noteIndex":0},"citationItems":[{"id":65955,"uris":["http://zotero.org/groups/4797619/items/4KXA6CCG"],"itemData":{"id":65955,"type":"article-journal","container-title":"Annals of Oncology: Official Journal of the European Society for Medical Oncology","DOI":"10.1016/j.annonc.2021.09.019","ISSN":"1569-8041","issue":"12","journalAbbreviation":"Ann Oncol","language":"eng","note":"PMID: 34678411","page":"1475-1495","source":"PubMed","title":"ESMO Clinical Practice Guideline for the diagnosis, staging and treatment of patients with metastatic breast cancer","volume":"32","author":[{"family":"Gennari","given":"A."},{"family":"André","given":"F."},{"family":"Barrios","given":"C. H."},{"family":"Cortés","given":"J."},{"family":"Azambuja","given":"E.","non-dropping-particle":"de"},{"family":"DeMichele","given":"A."},{"family":"Dent","given":"R."},{"family":"Fenlon","given":"D."},{"family":"Gligorov","given":"J."},{"family":"Hurvitz","given":"S. A."},{"family":"Im","given":"S.-A."},{"family":"Krug","given":"D."},{"family":"Kunz","given":"W. G."},{"family":"Loi","given":"S."},{"family":"Penault-Llorca","given":"F."},{"family":"Ricke","given":"J."},{"family":"Robson","given":"M."},{"family":"Rugo","given":"H. S."},{"family":"Saura","given":"C."},{"family":"Schmid","given":"P."},{"family":"Singer","given":"C. F."},{"family":"Spanic","given":"T."},{"family":"Tolaney","given":"S. M."},{"family":"Turner","given":"N. C."},{"family":"Curigliano","given":"G."},{"family":"Loibl","given":"S."},{"family":"Paluch-Shimon","given":"S."},{"family":"Harbeck","given":"N."},{"literal":"ESMO Guidelines Committee. Electronic address: clinicalguidelines@esmo.org"}],"issued":{"date-parts":[["2021",12]]}}}],"schema":"https://github.com/citation-style-language/schema/raw/master/csl-citation.json"} </w:instrText>
      </w:r>
      <w:r>
        <w:fldChar w:fldCharType="separate"/>
      </w:r>
      <w:r w:rsidR="00FD57F4" w:rsidRPr="00FD57F4">
        <w:rPr>
          <w:rFonts w:cs="Arial"/>
          <w:szCs w:val="24"/>
          <w:vertAlign w:val="superscript"/>
        </w:rPr>
        <w:t>42</w:t>
      </w:r>
      <w:r>
        <w:fldChar w:fldCharType="end"/>
      </w:r>
      <w:r>
        <w:t xml:space="preserve"> UK real-world data (see </w:t>
      </w:r>
      <w:r w:rsidRPr="00BB291B">
        <w:rPr>
          <w:b/>
          <w:bCs/>
        </w:rPr>
        <w:t xml:space="preserve">Section </w:t>
      </w:r>
      <w:r w:rsidRPr="00BB291B">
        <w:rPr>
          <w:b/>
          <w:bCs/>
        </w:rPr>
        <w:fldChar w:fldCharType="begin"/>
      </w:r>
      <w:r w:rsidRPr="00BB291B">
        <w:rPr>
          <w:b/>
          <w:bCs/>
        </w:rPr>
        <w:instrText xml:space="preserve"> REF _Ref126931717 \r \h  \* MERGEFORMAT </w:instrText>
      </w:r>
      <w:r w:rsidRPr="00BB291B">
        <w:rPr>
          <w:b/>
          <w:bCs/>
        </w:rPr>
      </w:r>
      <w:r w:rsidRPr="00BB291B">
        <w:rPr>
          <w:b/>
          <w:bCs/>
        </w:rPr>
        <w:fldChar w:fldCharType="separate"/>
      </w:r>
      <w:r w:rsidR="00145F42">
        <w:rPr>
          <w:b/>
          <w:bCs/>
        </w:rPr>
        <w:t>B.1.3.3.3.5</w:t>
      </w:r>
      <w:r w:rsidRPr="00BB291B">
        <w:rPr>
          <w:b/>
          <w:bCs/>
        </w:rPr>
        <w:fldChar w:fldCharType="end"/>
      </w:r>
      <w:r>
        <w:t>),</w:t>
      </w:r>
      <w:r>
        <w:fldChar w:fldCharType="begin"/>
      </w:r>
      <w:r w:rsidR="00CA6345">
        <w:instrText xml:space="preserve"> ADDIN ZOTERO_ITEM CSL_CITATION {"citationID":"MKJ5zuvm","properties":{"formattedCitation":"\\super 136\\nosupersub{}","plainCitation":"136","noteIndex":0},"citationItems":[{"id":66355,"uris":["http://zotero.org/groups/4797619/items/D7I4CN8Z"],"itemData":{"id":66355,"type":"document","title":"LiveInsighter Breast Cancer patient data","author":[{"family":"Daiichi Sankyo Inc.","given":""}],"issued":{"date-parts":[["2022"]]}}}],"schema":"https://github.com/citation-style-language/schema/raw/master/csl-citation.json"} </w:instrText>
      </w:r>
      <w:r>
        <w:fldChar w:fldCharType="separate"/>
      </w:r>
      <w:r w:rsidR="00CA6345" w:rsidRPr="00CA6345">
        <w:rPr>
          <w:rFonts w:cs="Arial"/>
          <w:szCs w:val="24"/>
          <w:vertAlign w:val="superscript"/>
        </w:rPr>
        <w:t>136</w:t>
      </w:r>
      <w:r>
        <w:fldChar w:fldCharType="end"/>
      </w:r>
      <w:r>
        <w:t xml:space="preserve"> and</w:t>
      </w:r>
      <w:r w:rsidRPr="002646F6">
        <w:t xml:space="preserve"> </w:t>
      </w:r>
      <w:r>
        <w:t>insights</w:t>
      </w:r>
      <w:r w:rsidRPr="00945D1F">
        <w:t xml:space="preserve"> from </w:t>
      </w:r>
      <w:r>
        <w:t xml:space="preserve">UK clinical experts (see </w:t>
      </w:r>
      <w:r w:rsidRPr="00BB291B">
        <w:rPr>
          <w:b/>
          <w:bCs/>
        </w:rPr>
        <w:t xml:space="preserve">Section </w:t>
      </w:r>
      <w:r w:rsidRPr="00BB291B">
        <w:rPr>
          <w:b/>
          <w:bCs/>
        </w:rPr>
        <w:fldChar w:fldCharType="begin"/>
      </w:r>
      <w:r w:rsidRPr="00BB291B">
        <w:rPr>
          <w:b/>
          <w:bCs/>
        </w:rPr>
        <w:instrText xml:space="preserve"> REF _Ref126931751 \r \h  \* MERGEFORMAT </w:instrText>
      </w:r>
      <w:r w:rsidRPr="00BB291B">
        <w:rPr>
          <w:b/>
          <w:bCs/>
        </w:rPr>
      </w:r>
      <w:r w:rsidRPr="00BB291B">
        <w:rPr>
          <w:b/>
          <w:bCs/>
        </w:rPr>
        <w:fldChar w:fldCharType="separate"/>
      </w:r>
      <w:r w:rsidR="00145F42">
        <w:rPr>
          <w:b/>
          <w:bCs/>
        </w:rPr>
        <w:t>B.1.3.3.3.6</w:t>
      </w:r>
      <w:r w:rsidRPr="00BB291B">
        <w:rPr>
          <w:b/>
          <w:bCs/>
        </w:rPr>
        <w:fldChar w:fldCharType="end"/>
      </w:r>
      <w:r w:rsidRPr="00BB291B">
        <w:t>),</w:t>
      </w:r>
      <w:r>
        <w:fldChar w:fldCharType="begin"/>
      </w:r>
      <w:r w:rsidR="00CA6345">
        <w:instrText xml:space="preserve"> ADDIN ZOTERO_ITEM CSL_CITATION {"citationID":"P2KFViny","properties":{"formattedCitation":"\\super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fldChar w:fldCharType="separate"/>
      </w:r>
      <w:r w:rsidR="00CA6345" w:rsidRPr="00CA6345">
        <w:rPr>
          <w:rFonts w:cs="Arial"/>
          <w:szCs w:val="24"/>
          <w:vertAlign w:val="superscript"/>
        </w:rPr>
        <w:t>121</w:t>
      </w:r>
      <w:r>
        <w:fldChar w:fldCharType="end"/>
      </w:r>
      <w:r>
        <w:t xml:space="preserve"> </w:t>
      </w:r>
      <w:r w:rsidRPr="002646F6">
        <w:t>which indicate that a broad range of non-targeted single-agent chemotherapies are used in the UK (e.g., capecitabine, eribulin, paclitaxel) and that there is no single standard of care, with treatment decisions driven by</w:t>
      </w:r>
      <w:r>
        <w:t xml:space="preserve"> prior therapies received,</w:t>
      </w:r>
      <w:r w:rsidRPr="002646F6">
        <w:t xml:space="preserve"> </w:t>
      </w:r>
      <w:r>
        <w:t>patient fitness, individual patient needs and preference,</w:t>
      </w:r>
      <w:r w:rsidRPr="002646F6">
        <w:t xml:space="preserve"> and clinical choice.</w:t>
      </w:r>
      <w:r w:rsidRPr="002646F6">
        <w:fldChar w:fldCharType="begin"/>
      </w:r>
      <w:r w:rsidR="00CA6345">
        <w:instrText xml:space="preserve"> ADDIN ZOTERO_ITEM CSL_CITATION {"citationID":"tt0qr6m7","properties":{"formattedCitation":"\\super 35, 42, 121,141\\nosupersub{}","plainCitation":"35, 42, 121,141","noteIndex":0},"citationItems":[{"id":65866,"uris":["http://zotero.org/groups/4797619/items/3AESVSNK"],"itemData":{"id":65866,"type":"webpage","abstract":"This guideline covers care and support for people with advanced (stage 4) breast cancer. It aims to help them and their healthcare professionals make shared","language":"eng","note":"publisher: NICE","title":"Advanced breast cancer: diagnosis and treatment | NICE CG81","title-short":"NICE CG81. Recommendations | Advanced breast cancer","URL":"https://www.nice.org.uk/guidance/cg81/chapter/Recommendations","author":[{"family":"NICE","given":""}],"accessed":{"date-parts":[["2022",10,17]]},"issued":{"date-parts":[["2017"]]}}},{"id":65955,"uris":["http://zotero.org/groups/4797619/items/4KXA6CCG"],"itemData":{"id":65955,"type":"article-journal","container-title":"Annals of Oncology: Official Journal of the European Society for Medical Oncology","DOI":"10.1016/j.annonc.2021.09.019","ISSN":"1569-8041","issue":"12","journalAbbreviation":"Ann Oncol","language":"eng","note":"PMID: 34678411","page":"1475-1495","source":"PubMed","title":"ESMO Clinical Practice Guideline for the diagnosis, staging and treatment of patients with metastatic breast cancer","volume":"32","author":[{"family":"Gennari","given":"A."},{"family":"André","given":"F."},{"family":"Barrios","given":"C. H."},{"family":"Cortés","given":"J."},{"family":"Azambuja","given":"E.","non-dropping-particle":"de"},{"family":"DeMichele","given":"A."},{"family":"Dent","given":"R."},{"family":"Fenlon","given":"D."},{"family":"Gligorov","given":"J."},{"family":"Hurvitz","given":"S. A."},{"family":"Im","given":"S.-A."},{"family":"Krug","given":"D."},{"family":"Kunz","given":"W. G."},{"family":"Loi","given":"S."},{"family":"Penault-Llorca","given":"F."},{"family":"Ricke","given":"J."},{"family":"Robson","given":"M."},{"family":"Rugo","given":"H. S."},{"family":"Saura","given":"C."},{"family":"Schmid","given":"P."},{"family":"Singer","given":"C. F."},{"family":"Spanic","given":"T."},{"family":"Tolaney","given":"S. M."},{"family":"Turner","given":"N. C."},{"family":"Curigliano","given":"G."},{"family":"Loibl","given":"S."},{"family":"Paluch-Shimon","given":"S."},{"family":"Harbeck","given":"N."},{"literal":"ESMO Guidelines Committee. Electronic address: clinicalguidelines@esmo.org"}],"issued":{"date-parts":[["2021",12]]}}},{"id":66356,"uris":["http://zotero.org/groups/4797619/items/N6DNXLEP"],"itemData":{"id":66356,"type":"document","title":"T-DXd in HER2-low u/mBC. UK advisory board meeting report. Data on File.","author":[{"family":"Daiichi Sankyo Inc.","given":""}],"issued":{"date-parts":[["2022",12]]}}},{"id":66117,"uris":["http://zotero.org/groups/4797619/items/CJS2KEES"],"itemData":{"id":66117,"type":"document","title":"Breast Cancer Treatment Landscape. Data on File.","author":[{"family":"Daiichi Sankyo Inc.","given":""}],"issued":{"date-parts":[["2022",7]]}}}],"schema":"https://github.com/citation-style-language/schema/raw/master/csl-citation.json"} </w:instrText>
      </w:r>
      <w:r w:rsidRPr="002646F6">
        <w:fldChar w:fldCharType="separate"/>
      </w:r>
      <w:r w:rsidR="00CA6345" w:rsidRPr="00CA6345">
        <w:rPr>
          <w:rFonts w:cs="Arial"/>
          <w:szCs w:val="24"/>
          <w:vertAlign w:val="superscript"/>
        </w:rPr>
        <w:t>35, 42, 121,141</w:t>
      </w:r>
      <w:r w:rsidRPr="002646F6">
        <w:fldChar w:fldCharType="end"/>
      </w:r>
      <w:r w:rsidRPr="002646F6">
        <w:t xml:space="preserve"> While NICE CG81 (</w:t>
      </w:r>
      <w:r>
        <w:t xml:space="preserve">developed in 2009, </w:t>
      </w:r>
      <w:r w:rsidRPr="002646F6">
        <w:t xml:space="preserve">last updated in 2017) </w:t>
      </w:r>
      <w:r>
        <w:t>states</w:t>
      </w:r>
      <w:r w:rsidRPr="002646F6">
        <w:t xml:space="preserve"> that sequential single-agent chemotherapy should be used </w:t>
      </w:r>
      <w:r>
        <w:t>in advanced BC and lists options to use at first-, second-, and third-line</w:t>
      </w:r>
      <w:r w:rsidRPr="00945D1F">
        <w:t>,</w:t>
      </w:r>
      <w:r w:rsidRPr="00945D1F">
        <w:fldChar w:fldCharType="begin"/>
      </w:r>
      <w:r w:rsidR="00CA6345">
        <w:instrText xml:space="preserve"> ADDIN ZOTERO_ITEM CSL_CITATION {"citationID":"0u9UP2kF","properties":{"formattedCitation":"\\super 35\\nosupersub{}","plainCitation":"35","noteIndex":0},"citationItems":[{"id":65866,"uris":["http://zotero.org/groups/4797619/items/3AESVSNK"],"itemData":{"id":65866,"type":"webpage","abstract":"This guideline covers care and support for people with advanced (stage 4) breast cancer. It aims to help them and their healthcare professionals make shared","language":"eng","note":"publisher: NICE","title":"Advanced breast cancer: diagnosis and treatment | NICE CG81","title-short":"NICE CG81. Recommendations | Advanced breast cancer","URL":"https://www.nice.org.uk/guidance/cg81/chapter/Recommendations","author":[{"family":"NICE","given":""}],"accessed":{"date-parts":[["2022",10,17]]},"issued":{"date-parts":[["2017"]]}}}],"schema":"https://github.com/citation-style-language/schema/raw/master/csl-citation.json"} </w:instrText>
      </w:r>
      <w:r w:rsidRPr="00945D1F">
        <w:fldChar w:fldCharType="separate"/>
      </w:r>
      <w:r w:rsidR="00FD57F4" w:rsidRPr="00FD57F4">
        <w:rPr>
          <w:rFonts w:cs="Arial"/>
          <w:szCs w:val="24"/>
          <w:vertAlign w:val="superscript"/>
        </w:rPr>
        <w:t>35</w:t>
      </w:r>
      <w:r w:rsidRPr="00945D1F">
        <w:fldChar w:fldCharType="end"/>
      </w:r>
      <w:r w:rsidRPr="00945D1F">
        <w:t xml:space="preserve"> NICE ha</w:t>
      </w:r>
      <w:r>
        <w:t>s</w:t>
      </w:r>
      <w:r w:rsidRPr="00945D1F">
        <w:t xml:space="preserve"> recognised that </w:t>
      </w:r>
      <w:r>
        <w:t>these guidelines</w:t>
      </w:r>
      <w:r w:rsidRPr="00945D1F">
        <w:t xml:space="preserve"> require an update</w:t>
      </w:r>
      <w:r>
        <w:t xml:space="preserve"> to reflect the evolving treatment landscape (update </w:t>
      </w:r>
      <w:r w:rsidRPr="00945D1F">
        <w:t>expected in 2023</w:t>
      </w:r>
      <w:r>
        <w:t>)</w:t>
      </w:r>
      <w:r w:rsidRPr="00945D1F">
        <w:t>.</w:t>
      </w:r>
      <w:r w:rsidRPr="00945D1F">
        <w:fldChar w:fldCharType="begin"/>
      </w:r>
      <w:r w:rsidR="00CA6345">
        <w:instrText xml:space="preserve"> ADDIN ZOTERO_ITEM CSL_CITATION {"citationID":"Jh98KxTA","properties":{"formattedCitation":"\\super 135\\nosupersub{}","plainCitation":"135","noteIndex":0},"citationItems":[{"id":66433,"uris":["http://zotero.org/groups/4797619/items/DNI23N3Q"],"itemData":{"id":66433,"type":"webpage","abstract":"This guideline covers care and support for people with advanced (stage 4) breast cancer. It aims to help them and their healthcare professionals make shared","language":"eng","note":"publisher: NICE","title":"Surveillance decision | Evidence | Advanced breast cancer: diagnosis and treatment | Guidance | NICE","title-short":"Surveillance decision | Evidence | Advanced breast cancer","URL":"https://www.nice.org.uk/guidance/cg81/resources/2023-surveillance-of-early-and-locally-advanced-breast-cancer-diagnosis-and-management-nice-guideline-ng101-and-advanced-breast-cancer-diagnosis-and-treatment-nice-guideline-cg81-11321031709/chapter/Surveillance-decision?tab=evidence","accessed":{"date-parts":[["2023",1,23]]}}}],"schema":"https://github.com/citation-style-language/schema/raw/master/csl-citation.json"} </w:instrText>
      </w:r>
      <w:r w:rsidRPr="00945D1F">
        <w:fldChar w:fldCharType="separate"/>
      </w:r>
      <w:r w:rsidR="00CA6345" w:rsidRPr="00CA6345">
        <w:rPr>
          <w:rFonts w:cs="Arial"/>
          <w:szCs w:val="24"/>
          <w:vertAlign w:val="superscript"/>
        </w:rPr>
        <w:t>135</w:t>
      </w:r>
      <w:r w:rsidRPr="00945D1F">
        <w:fldChar w:fldCharType="end"/>
      </w:r>
      <w:r w:rsidRPr="00945D1F">
        <w:t xml:space="preserve"> </w:t>
      </w:r>
      <w:r>
        <w:t>UK clinical experts also agree that NICE CG81 is not reflective of current practice.</w:t>
      </w:r>
      <w:r>
        <w:fldChar w:fldCharType="begin"/>
      </w:r>
      <w:r w:rsidR="00CA6345">
        <w:instrText xml:space="preserve"> ADDIN ZOTERO_ITEM CSL_CITATION {"citationID":"pTtVCFlm","properties":{"formattedCitation":"\\super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fldChar w:fldCharType="separate"/>
      </w:r>
      <w:r w:rsidR="00CA6345" w:rsidRPr="00CA6345">
        <w:rPr>
          <w:rFonts w:cs="Arial"/>
          <w:szCs w:val="24"/>
          <w:vertAlign w:val="superscript"/>
        </w:rPr>
        <w:t>121</w:t>
      </w:r>
      <w:r>
        <w:fldChar w:fldCharType="end"/>
      </w:r>
    </w:p>
    <w:p w14:paraId="1A93B946" w14:textId="5FF4F08C" w:rsidR="00057A9B" w:rsidRPr="00945D1F" w:rsidRDefault="00057A9B" w:rsidP="00057A9B">
      <w:pPr>
        <w:spacing w:before="120" w:after="120"/>
      </w:pPr>
      <w:r w:rsidRPr="00945D1F">
        <w:t xml:space="preserve">In addition to the lack of an established treatment pathway in HER2-low u/mBC, </w:t>
      </w:r>
      <w:r>
        <w:t>based on the available evidence</w:t>
      </w:r>
      <w:r w:rsidRPr="00945D1F">
        <w:t xml:space="preserve">, there is </w:t>
      </w:r>
      <w:r w:rsidRPr="00712227">
        <w:t>unlikely</w:t>
      </w:r>
      <w:r w:rsidRPr="00945D1F">
        <w:t xml:space="preserve"> to be any significant difference in efficacy between individual </w:t>
      </w:r>
      <w:r>
        <w:t xml:space="preserve">non-targeted </w:t>
      </w:r>
      <w:r w:rsidRPr="00945D1F">
        <w:t>chemotherapy agents</w:t>
      </w:r>
      <w:r>
        <w:t xml:space="preserve"> in the metastatic setting</w:t>
      </w:r>
      <w:r w:rsidRPr="00945D1F">
        <w:t>.</w:t>
      </w:r>
      <w:r>
        <w:fldChar w:fldCharType="begin"/>
      </w:r>
      <w:r w:rsidR="00CA6345">
        <w:instrText xml:space="preserve"> ADDIN ZOTERO_ITEM CSL_CITATION {"citationID":"aGE1CuYO","properties":{"formattedCitation":"\\super 142,143\\nosupersub{}","plainCitation":"142,143","noteIndex":0},"citationItems":[{"id":66374,"uris":["http://zotero.org/groups/4797619/items/QJDC2P3S"],"itemData":{"id":66374,"type":"article-journal","abstract":"Capecitabine, an oral fluoropyrimidine carbamate, was designed to generate 5-fluorouracil preferentially at the tumour site. This randomised, phase II trial evaluated the efficacy and safety of capecitabine or paclitaxel in patients with anthracycline-pretreated metastatic breast cancer. Outpatients with locally advanced and/or metastatic breast cancer whose disease was unresponsive or resistant to anthracycline therapy were randomised to 3-week cycles of intermittent oral capecitabine (1255 mg m(-2) twice daily, days 1-14, (22 patients)) or a reference arm of i.v. paclitaxel (175 mg m(-2), (20 patients)). Two additional patients were initially randomised to continuous capecitabine 666 mg m(-2) twice daily, but this arm was closed following selection of the intermittent schedule for further development. Overall response rate was 36% (95% CI 17-59%) with capecitabine (including three complete responses) and 26% (95% CI 9-51%) with paclitaxel (no complete responses). Median time to disease progression was similar in the two treatment groups (3.0 months with capecitabine, 3.1 months with paclitaxel), as was overall survival (7.6 and 9.4 months, respectively). Paclitaxel was associated with more alopecia, peripheral neuropathy, myalgia and neutropenia, whereas typical capecitabine-related adverse events were diarrhoea, vomiting and hand-foot syndrome. Twenty-three per cent of capecitabine-treated patients and 16% of paclitaxel-treated patients achieved a &gt; or =10% improvement in Karnofsky Performance Status. Oral capecitabine is active in anthracycline-pretreated advanced/metastatic breast cancer and has a favourable safety profile. Furthermore, capecitabine provides a convenient, patient-orientated therapy.","container-title":"British Journal of Cancer","DOI":"10.1038/sj.bjc.6600261","ISSN":"0007-0920","issue":"9","journalAbbreviation":"Br J Cancer","language":"eng","note":"PMID: 11986765\nPMCID: PMC2375384","page":"1367-1372","source":"PubMed","title":"Randomised, phase II trial comparing oral capecitabine (Xeloda) with paclitaxel in patients with metastatic/advanced breast cancer pretreated with anthracyclines","volume":"86","author":[{"family":"Talbot","given":"D. C."},{"family":"Moiseyenko","given":"V."},{"family":"Van Belle","given":"S."},{"family":"O'Reilly","given":"S. M."},{"family":"Alba Conejo","given":"E."},{"family":"Ackland","given":"S."},{"family":"Eisenberg","given":"P."},{"family":"Melnychuk","given":"D."},{"family":"Pienkowski","given":"T."},{"family":"Burger","given":"H.-U."},{"family":"Laws","given":"S."},{"family":"Osterwalder","given":"B."}],"issued":{"date-parts":[["2002",5,6]]}}},{"id":66373,"uris":["http://zotero.org/groups/4797619/items/JNK29M3K"],"itemData":{"id":66373,"type":"article-journal","abstract":"Anthracyclines and taxanes are cytotoxic agents that are commonly used for the treatment of breast cancer, including in the adjuvant, neoadjuvant, and metastatic setting. Each drug class of is associated with cumulative and potentially irreversible toxicity, including cardiomyopathy (anthracyclines) and neuropathy (taxanes). This may either limit the duration of therapy for advanced disease, or prevent retreatment for recurrence if previously used as component of adjuvant or neoadjuvant therapy. Several classes of cytotoxic agents have been evaluated in patients with anthracycline and taxane-pretreated metastatic breast cancer (MBC), including other antitubulins (vinorelbine, ixabepilone, eribulin), antimetabolites (capecitabine, gemcitabine), topoisomerase I inhibitors (irinotecan), platinum analogues (cisplatin, carboplatin), and liposomal doxorubicin preparations. No trials have shown an overall survival advantage for combination chemotherapy in this setting, indicating that single cytotoxic agents should usually be used, expect perhaps in patients with rapidly progressive disease and/or high tumor burden.","container-title":"Current Breast Cancer Reports","DOI":"10.1007/s12609-012-0097-1","ISSN":"1943-4588","issue":"1","journalAbbreviation":"Curr Breast Cancer Rep","language":"eng","note":"PMID: 23440080\nPMCID: PMC3579672","page":"42-50","source":"PubMed","title":"Chemotherapy in Patients with Anthracycline- and Taxane-Pretreated Metastatic Breast Cancer: An Overview","title-short":"Chemotherapy in Patients with Anthracycline- and Taxane-Pretreated Metastatic Breast Cancer","volume":"5","author":[{"family":"Andreopoulou","given":"Eleni"},{"family":"Sparano","given":"Joseph A."}],"issued":{"date-parts":[["2013",3,1]]}}}],"schema":"https://github.com/citation-style-language/schema/raw/master/csl-citation.json"} </w:instrText>
      </w:r>
      <w:r>
        <w:fldChar w:fldCharType="separate"/>
      </w:r>
      <w:r w:rsidR="00CA6345" w:rsidRPr="00CA6345">
        <w:rPr>
          <w:rFonts w:cs="Arial"/>
          <w:szCs w:val="24"/>
          <w:vertAlign w:val="superscript"/>
        </w:rPr>
        <w:t>142,143</w:t>
      </w:r>
      <w:r>
        <w:fldChar w:fldCharType="end"/>
      </w:r>
      <w:r w:rsidRPr="00945D1F">
        <w:t xml:space="preserve"> This is supported by evidence from a systematic review on the clinical efficacy of cytotoxic agents in Europe in anthracyclin</w:t>
      </w:r>
      <w:r>
        <w:t>e-</w:t>
      </w:r>
      <w:r w:rsidRPr="00945D1F">
        <w:t xml:space="preserve"> and taxane</w:t>
      </w:r>
      <w:r>
        <w:t xml:space="preserve">- </w:t>
      </w:r>
      <w:r w:rsidRPr="00945D1F">
        <w:t>pre</w:t>
      </w:r>
      <w:r>
        <w:t>-treated</w:t>
      </w:r>
      <w:r w:rsidRPr="00945D1F">
        <w:t xml:space="preserve"> advanced BC</w:t>
      </w:r>
      <w:r>
        <w:t xml:space="preserve"> patients</w:t>
      </w:r>
      <w:r w:rsidRPr="00945D1F">
        <w:t xml:space="preserve">, </w:t>
      </w:r>
      <w:r>
        <w:t xml:space="preserve">in </w:t>
      </w:r>
      <w:r w:rsidRPr="00945D1F">
        <w:t>which no</w:t>
      </w:r>
      <w:r>
        <w:t>ne of the included</w:t>
      </w:r>
      <w:r w:rsidRPr="00945D1F">
        <w:t xml:space="preserve"> RCTs demonstrate</w:t>
      </w:r>
      <w:r>
        <w:t>d</w:t>
      </w:r>
      <w:r w:rsidRPr="00945D1F">
        <w:t xml:space="preserve"> a significant OS difference between any of the regimens (capecitabine, gemcitabine, vinorelbine, docetaxel, paclitaxel and paclitaxel protein-bound particles).</w:t>
      </w:r>
      <w:r w:rsidRPr="00945D1F">
        <w:fldChar w:fldCharType="begin"/>
      </w:r>
      <w:r w:rsidR="00CA6345">
        <w:instrText xml:space="preserve"> ADDIN ZOTERO_ITEM CSL_CITATION {"citationID":"ntwgf6iE","properties":{"formattedCitation":"\\super 118\\nosupersub{}","plainCitation":"118","noteIndex":0},"citationItems":[{"id":66343,"uris":["http://zotero.org/groups/4797619/items/IB6926PV"],"itemData":{"id":66343,"type":"article-journal","abstract":"INTRODUCTION: Currently available evidence does not provide definitive guidance regarding the optimal chemotherapy agents and combinations in anthracycline- and taxane-pretreated advanced breast cancer. We performed a systematic review of controlled clinical trials of the cytotoxic agents currently used for this population in Europe: capecitabine, gemcitabine, vinorelbine, docetaxel, paclitaxel and paclitaxel protein-bound particles.\nMETHOD: A systematic review of randomised (RCT) and non-randomised controlled clinical trials (non-RCTs). The primary outcomes of interest were overall survival (OS) and progression-free survival (PFS); secondary outcomes were duration of response (DR), overall response rate (ORR), adverse events and quality of life (QoL). Six electronic databases and grey literature sources were searched; reference tracking was performed on included publications. A narrative synthesis was conducted: heterogeneity of study design and interventions prevented meta-analysis.\nRESULTS: No randomised controlled trial (RCT) found any significant differences between any of the regimens in terms of OS. In terms of PFS, only gemcitabine plus vinorelbine performed significantly better than its comparator, vinorelbine alone. For secondary outcomes, only capecitabine plus bevacizumab had a significantly better outcome than its comparator, capecitabine alone, in terms of ORR. A low quality non-RCT found that both capecitabine monotherapy and a combination of capecitabine plus vinorelbine were significantly more effective than vinorelbine alone in terms of OS and ORR. Across all trials, median OS for these patients typically remained less than 16 months.\nCONCLUSION: The quantity and quality of the available evidence regarding the efficacy of the particular chemotherapy regimens in patients with advanced breast cancer pretreated with an anthracycline and a taxane is extremely limited. New effective therapies are sorely needed in this population.","container-title":"European Journal of Cancer (Oxford, England: 1990)","DOI":"10.1016/j.ejca.2009.05.035","ISSN":"1879-0852","issue":"16","journalAbbreviation":"Eur J Cancer","language":"eng","note":"PMID: 19615886","page":"2749-2758","source":"PubMed","title":"The clinical efficacy of cytotoxic agents in locally advanced or metastatic breast cancer patients pretreated with an anthracycline and a taxane: a systematic review","title-short":"The clinical efficacy of cytotoxic agents in locally advanced or metastatic breast cancer patients pretreated with an anthracycline and a taxane","volume":"45","author":[{"family":"Jassem","given":"Jacek"},{"family":"Carroll","given":"Christopher"},{"family":"Ward","given":"Sue E."},{"family":"Simpson","given":"Emma"},{"family":"Hind","given":"Daniel"}],"issued":{"date-parts":[["2009",11]]}}}],"schema":"https://github.com/citation-style-language/schema/raw/master/csl-citation.json"} </w:instrText>
      </w:r>
      <w:r w:rsidRPr="00945D1F">
        <w:fldChar w:fldCharType="separate"/>
      </w:r>
      <w:r w:rsidR="00CA6345" w:rsidRPr="00CA6345">
        <w:rPr>
          <w:rFonts w:cs="Arial"/>
          <w:szCs w:val="24"/>
          <w:vertAlign w:val="superscript"/>
        </w:rPr>
        <w:t>118</w:t>
      </w:r>
      <w:r w:rsidRPr="00945D1F">
        <w:fldChar w:fldCharType="end"/>
      </w:r>
      <w:r w:rsidRPr="00945D1F">
        <w:t xml:space="preserve"> </w:t>
      </w:r>
      <w:r>
        <w:t>UK c</w:t>
      </w:r>
      <w:r w:rsidRPr="00945D1F">
        <w:t>linical experts</w:t>
      </w:r>
      <w:r>
        <w:t xml:space="preserve"> also</w:t>
      </w:r>
      <w:r w:rsidRPr="00945D1F">
        <w:t xml:space="preserve"> confirmed this at an advisory board </w:t>
      </w:r>
      <w:r>
        <w:t xml:space="preserve">meeting held by Daiichi Sankyo </w:t>
      </w:r>
      <w:r w:rsidRPr="00945D1F">
        <w:t xml:space="preserve">in December 2022, stating that there are no clinically meaningful differences in the efficacy of non-targeted chemotherapy agents in the metastatic setting </w:t>
      </w:r>
      <w:r>
        <w:t>or</w:t>
      </w:r>
      <w:r w:rsidRPr="00945D1F">
        <w:t xml:space="preserve"> across lines of therapy.</w:t>
      </w:r>
      <w:r>
        <w:fldChar w:fldCharType="begin"/>
      </w:r>
      <w:r w:rsidR="00CA6345">
        <w:instrText xml:space="preserve"> ADDIN ZOTERO_ITEM CSL_CITATION {"citationID":"XqYxUn99","properties":{"formattedCitation":"\\super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fldChar w:fldCharType="separate"/>
      </w:r>
      <w:r w:rsidR="00CA6345" w:rsidRPr="00CA6345">
        <w:rPr>
          <w:rFonts w:cs="Arial"/>
          <w:szCs w:val="24"/>
          <w:vertAlign w:val="superscript"/>
        </w:rPr>
        <w:t>121</w:t>
      </w:r>
      <w:r>
        <w:fldChar w:fldCharType="end"/>
      </w:r>
      <w:r>
        <w:rPr>
          <w:rStyle w:val="CommentReference"/>
        </w:rPr>
        <w:t xml:space="preserve"> </w:t>
      </w:r>
      <w:r w:rsidRPr="00945D1F">
        <w:t xml:space="preserve"> </w:t>
      </w:r>
    </w:p>
    <w:p w14:paraId="30376DED" w14:textId="43BFCFBA" w:rsidR="00057A9B" w:rsidRDefault="00057A9B" w:rsidP="00057A9B">
      <w:pPr>
        <w:spacing w:before="120" w:after="120"/>
      </w:pPr>
      <w:r>
        <w:t xml:space="preserve">The </w:t>
      </w:r>
      <w:r>
        <w:rPr>
          <w:rFonts w:eastAsia="Times New Roman" w:cs="Arial"/>
        </w:rPr>
        <w:t>TPC agents in DESTINY-Breast04 (</w:t>
      </w:r>
      <w:r w:rsidRPr="00945D1F">
        <w:rPr>
          <w:rFonts w:eastAsia="Times New Roman" w:cs="Arial"/>
        </w:rPr>
        <w:t>capecitabine, eribulin, paclitaxel, nab-paclitaxel, gemcitabine</w:t>
      </w:r>
      <w:r>
        <w:rPr>
          <w:rFonts w:eastAsia="Times New Roman" w:cs="Arial"/>
        </w:rPr>
        <w:t>) were chosen because they are among the most commonly used agents across key markets in the US, Japan, and Europe (including the UK).</w:t>
      </w:r>
      <w:r>
        <w:rPr>
          <w:rFonts w:eastAsia="Times New Roman" w:cs="Arial"/>
        </w:rPr>
        <w:fldChar w:fldCharType="begin"/>
      </w:r>
      <w:r w:rsidR="00CA6345">
        <w:rPr>
          <w:rFonts w:eastAsia="Times New Roman" w:cs="Arial"/>
        </w:rPr>
        <w:instrText xml:space="preserve"> ADDIN ZOTERO_ITEM CSL_CITATION {"citationID":"SkmmKZtu","properties":{"formattedCitation":"\\super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Pr>
          <w:rFonts w:eastAsia="Times New Roman" w:cs="Arial"/>
        </w:rPr>
        <w:fldChar w:fldCharType="separate"/>
      </w:r>
      <w:r w:rsidR="00FD57F4" w:rsidRPr="00FD57F4">
        <w:rPr>
          <w:rFonts w:cs="Arial"/>
          <w:szCs w:val="24"/>
          <w:vertAlign w:val="superscript"/>
        </w:rPr>
        <w:t>7</w:t>
      </w:r>
      <w:r>
        <w:rPr>
          <w:rFonts w:eastAsia="Times New Roman" w:cs="Arial"/>
        </w:rPr>
        <w:fldChar w:fldCharType="end"/>
      </w:r>
      <w:r w:rsidRPr="00945D1F">
        <w:t xml:space="preserve"> </w:t>
      </w:r>
      <w:r>
        <w:t>TPC is a relevant comparator as it comprises single-agent chemotherapies that are broadly used in UK practice</w:t>
      </w:r>
      <w:r w:rsidRPr="00945D1F">
        <w:fldChar w:fldCharType="begin"/>
      </w:r>
      <w:r w:rsidR="00CA6345">
        <w:instrText xml:space="preserve"> ADDIN ZOTERO_ITEM CSL_CITATION {"citationID":"TEh2Dki0","properties":{"formattedCitation":"\\super 121,136\\nosupersub{}","plainCitation":"121,136","noteIndex":0},"citationItems":[{"id":66355,"uris":["http://zotero.org/groups/4797619/items/D7I4CN8Z"],"itemData":{"id":66355,"type":"document","title":"LiveInsighter Breast Cancer patient data","author":[{"family":"Daiichi Sankyo Inc.","given":""}],"issued":{"date-parts":[["2022"]]}}},{"id":66356,"uris":["http://zotero.org/groups/4797619/items/N6DNXLEP"],"itemData":{"id":66356,"type":"document","title":"T-DXd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Pr="00945D1F">
        <w:fldChar w:fldCharType="separate"/>
      </w:r>
      <w:r w:rsidR="00CA6345" w:rsidRPr="00CA6345">
        <w:rPr>
          <w:rFonts w:cs="Arial"/>
          <w:szCs w:val="24"/>
          <w:vertAlign w:val="superscript"/>
        </w:rPr>
        <w:t>121,136</w:t>
      </w:r>
      <w:r w:rsidRPr="00945D1F">
        <w:fldChar w:fldCharType="end"/>
      </w:r>
      <w:r>
        <w:t xml:space="preserve"> and because, by definition, it allowed clinicians to choose the most suitable agent for each patient, which is how treatment decisions are made in real-world UK practice. </w:t>
      </w:r>
      <w:r w:rsidRPr="002C591F">
        <w:t>The NICE final scope</w:t>
      </w:r>
      <w:r>
        <w:fldChar w:fldCharType="begin"/>
      </w:r>
      <w:r w:rsidR="00CA6345">
        <w:instrText xml:space="preserve"> ADDIN ZOTERO_ITEM CSL_CITATION {"citationID":"sB05nKGu","properties":{"formattedCitation":"\\super 1\\nosupersub{}","plainCitation":"1","noteIndex":0},"citationItems":[{"id":66383,"uris":["http://zotero.org/groups/4797619/items/Y75R2AJY"],"itemData":{"id":66383,"type":"webpage","language":"eng","note":"publisher: NICE","title":"Final Scope. Trastuzumab deruxtecan for treating HER2-low unresectable or metastatic breast cancer after chemotherapy","URL":"https://www.nice.org.uk/guidance/gid-ta10813/documents/final-scope","author":[{"family":"NICE","given":""}],"accessed":{"date-parts":[["2022",11,29]]},"issued":{"date-parts":[["2023",1,6]]}}}],"schema":"https://github.com/citation-style-language/schema/raw/master/csl-citation.json"} </w:instrText>
      </w:r>
      <w:r>
        <w:fldChar w:fldCharType="separate"/>
      </w:r>
      <w:r w:rsidR="00FD57F4" w:rsidRPr="00FD57F4">
        <w:rPr>
          <w:rFonts w:cs="Arial"/>
          <w:szCs w:val="24"/>
          <w:vertAlign w:val="superscript"/>
        </w:rPr>
        <w:t>1</w:t>
      </w:r>
      <w:r>
        <w:fldChar w:fldCharType="end"/>
      </w:r>
      <w:r w:rsidRPr="002C591F">
        <w:t xml:space="preserve"> comparators are well represented in the TPC arm</w:t>
      </w:r>
      <w:r>
        <w:t>,</w:t>
      </w:r>
      <w:r w:rsidRPr="002C591F">
        <w:t xml:space="preserve"> and </w:t>
      </w:r>
      <w:r>
        <w:t xml:space="preserve">UK </w:t>
      </w:r>
      <w:r w:rsidRPr="002C591F">
        <w:t>clinical experts advis</w:t>
      </w:r>
      <w:r>
        <w:t xml:space="preserve">ing </w:t>
      </w:r>
      <w:r w:rsidRPr="002C591F">
        <w:t xml:space="preserve">Daiichi Sankyo </w:t>
      </w:r>
      <w:r>
        <w:t xml:space="preserve">validated </w:t>
      </w:r>
      <w:r w:rsidRPr="002C591F">
        <w:t>that the TPC arm is reflective of</w:t>
      </w:r>
      <w:r>
        <w:t xml:space="preserve"> and generalisable to</w:t>
      </w:r>
      <w:r w:rsidRPr="002C591F">
        <w:t xml:space="preserve"> UK clinical practice.</w:t>
      </w:r>
      <w:r>
        <w:fldChar w:fldCharType="begin"/>
      </w:r>
      <w:r w:rsidR="00CA6345">
        <w:instrText xml:space="preserve"> ADDIN ZOTERO_ITEM CSL_CITATION {"citationID":"VG6n4ZDW","properties":{"formattedCitation":"\\super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fldChar w:fldCharType="separate"/>
      </w:r>
      <w:r w:rsidR="00CA6345" w:rsidRPr="00CA6345">
        <w:rPr>
          <w:rFonts w:cs="Arial"/>
          <w:szCs w:val="24"/>
          <w:vertAlign w:val="superscript"/>
        </w:rPr>
        <w:t>121</w:t>
      </w:r>
      <w:r>
        <w:fldChar w:fldCharType="end"/>
      </w:r>
      <w:r w:rsidRPr="002C591F" w:rsidDel="0092743A">
        <w:t xml:space="preserve"> </w:t>
      </w:r>
      <w:r w:rsidR="00A75FCC">
        <w:t xml:space="preserve">A </w:t>
      </w:r>
      <w:r w:rsidR="00A94F3D">
        <w:t xml:space="preserve">published </w:t>
      </w:r>
      <w:r w:rsidR="00A75FCC">
        <w:t>UK real-world biomarker analysis</w:t>
      </w:r>
      <w:r w:rsidR="00102714">
        <w:fldChar w:fldCharType="begin"/>
      </w:r>
      <w:r w:rsidR="00CA6345">
        <w:instrText xml:space="preserve"> ADDIN ZOTERO_ITEM CSL_CITATION {"citationID":"8P4tBdru","properties":{"formattedCitation":"\\super 56\\nosupersub{}","plainCitation":"56","noteIndex":0},"citationItems":[{"id":65940,"uris":["http://zotero.org/groups/4797619/items/7UYVWR36"],"itemData":{"id":65940,"type":"article-journal","container-title":"The Journal of Pathology: Clinical Research","DOI":"10.1002/cjp2.173","ISSN":"2056-4538, 2056-4538","issue":"3","journalAbbreviation":"J Pathol Clin Res","language":"en","page":"227-227","source":"DOI.org (Crossref)","title":"Breast cancer biomarkers in clinical testing: analysis of a UK NEQAS ICC &amp; ISH database containing results from 199 300 patients","title-short":"‘Breast cancer biomarkers in clinical testing","volume":"6","author":[{"family":"Dodson","given":"Andrew"},{"family":"Parry","given":"Suzanne"},{"family":"Ibrahim","given":"Merdol"},{"family":"Bartlett","given":"John M. S."},{"family":"Pinder","given":"Sarah E."},{"family":"Dowsett","given":"Mitch"},{"family":"Miller","given":"Keith"}],"issued":{"date-parts":[["2020",7]]}}}],"schema":"https://github.com/citation-style-language/schema/raw/master/csl-citation.json"} </w:instrText>
      </w:r>
      <w:r w:rsidR="00102714">
        <w:fldChar w:fldCharType="separate"/>
      </w:r>
      <w:r w:rsidR="00102714" w:rsidRPr="00102714">
        <w:rPr>
          <w:rFonts w:cs="Arial"/>
          <w:szCs w:val="24"/>
          <w:vertAlign w:val="superscript"/>
        </w:rPr>
        <w:t>56</w:t>
      </w:r>
      <w:r w:rsidR="00102714">
        <w:fldChar w:fldCharType="end"/>
      </w:r>
      <w:r w:rsidR="00A75FCC">
        <w:t xml:space="preserve"> </w:t>
      </w:r>
      <w:r w:rsidR="00A94F3D">
        <w:t xml:space="preserve">and </w:t>
      </w:r>
      <w:r>
        <w:rPr>
          <w:rFonts w:eastAsia="Times New Roman" w:cs="Arial"/>
        </w:rPr>
        <w:t>UK clinical experts</w:t>
      </w:r>
      <w:r w:rsidR="00A94F3D">
        <w:fldChar w:fldCharType="begin"/>
      </w:r>
      <w:r w:rsidR="00CA6345">
        <w:instrText xml:space="preserve"> ADDIN ZOTERO_ITEM CSL_CITATION {"citationID":"qxoPglCP","properties":{"formattedCitation":"\\super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00A94F3D">
        <w:fldChar w:fldCharType="separate"/>
      </w:r>
      <w:r w:rsidR="00CA6345" w:rsidRPr="00CA6345">
        <w:rPr>
          <w:rFonts w:cs="Arial"/>
          <w:szCs w:val="24"/>
          <w:vertAlign w:val="superscript"/>
        </w:rPr>
        <w:t>121</w:t>
      </w:r>
      <w:r w:rsidR="00A94F3D">
        <w:fldChar w:fldCharType="end"/>
      </w:r>
      <w:r>
        <w:rPr>
          <w:rFonts w:eastAsia="Times New Roman" w:cs="Arial"/>
        </w:rPr>
        <w:t xml:space="preserve"> also confirmed that the proportion of patients in DESTINY-Breast04 with HR-positive and HR-negative status is aligned to </w:t>
      </w:r>
      <w:r w:rsidR="00643E50">
        <w:rPr>
          <w:rFonts w:eastAsia="Times New Roman" w:cs="Arial"/>
        </w:rPr>
        <w:t>UK</w:t>
      </w:r>
      <w:r>
        <w:rPr>
          <w:rFonts w:eastAsia="Times New Roman" w:cs="Arial"/>
        </w:rPr>
        <w:t xml:space="preserve"> clinical practice. </w:t>
      </w:r>
    </w:p>
    <w:p w14:paraId="3F161A55" w14:textId="77BE1C8B" w:rsidR="00057A9B" w:rsidRDefault="00057A9B" w:rsidP="00057A9B">
      <w:pPr>
        <w:spacing w:before="120" w:after="120"/>
        <w:rPr>
          <w:rFonts w:eastAsia="Times New Roman" w:cs="Arial"/>
        </w:rPr>
      </w:pPr>
      <w:r>
        <w:t xml:space="preserve">Therefore, </w:t>
      </w:r>
      <w:r w:rsidRPr="00945D1F">
        <w:t xml:space="preserve">the TPC arm from DESTINY-Breast04 </w:t>
      </w:r>
      <w:r>
        <w:t>is representative of UK clinical practice and an appropriate comparator for this</w:t>
      </w:r>
      <w:r w:rsidRPr="00945D1F">
        <w:t xml:space="preserve"> appraisal. </w:t>
      </w:r>
      <w:r w:rsidRPr="002C591F">
        <w:t xml:space="preserve"> </w:t>
      </w:r>
    </w:p>
    <w:p w14:paraId="4DFCFED4" w14:textId="404C2687" w:rsidR="00057A9B" w:rsidRDefault="00F02363" w:rsidP="003C648C">
      <w:pPr>
        <w:pStyle w:val="Heading4"/>
        <w:rPr>
          <w:rFonts w:eastAsia="Times New Roman" w:cs="Arial"/>
        </w:rPr>
      </w:pPr>
      <w:bookmarkStart w:id="122" w:name="_Ref128653720"/>
      <w:r w:rsidRPr="00F02363">
        <w:t>Using the DESTINY-Breast04 TPC arm means leveraging direct clinical trial data from prespecified analyses from the key evidence source for the appraisal</w:t>
      </w:r>
      <w:bookmarkEnd w:id="122"/>
    </w:p>
    <w:p w14:paraId="7DC8DD95" w14:textId="71451AA2" w:rsidR="00057A9B" w:rsidRDefault="00057A9B" w:rsidP="00057A9B">
      <w:pPr>
        <w:spacing w:before="120" w:after="120"/>
      </w:pPr>
      <w:r>
        <w:rPr>
          <w:rFonts w:eastAsia="Times New Roman" w:cs="Arial"/>
        </w:rPr>
        <w:t xml:space="preserve">The TPC arm from DESTINY-Breast04 is the most robust comparator for this appraisal. DESTINY-Breast04 is the only Phase III head-to-head trial comparing T-DXd with a relevant comparator in HER2-low specifically, which means that it is the only study that provides data </w:t>
      </w:r>
      <w:r>
        <w:rPr>
          <w:rFonts w:eastAsia="Times New Roman" w:cs="Arial"/>
        </w:rPr>
        <w:lastRenderedPageBreak/>
        <w:t>on the efficacy and safety of chemotherapy in the specific population of interest for this appraisal (i.e., patients with HER2-low u/mBC after one line of chemotherapy in the metastatic setting). Using the complete</w:t>
      </w:r>
      <w:r w:rsidDel="00692B64">
        <w:rPr>
          <w:rFonts w:eastAsia="Times New Roman" w:cs="Arial"/>
        </w:rPr>
        <w:t xml:space="preserve"> </w:t>
      </w:r>
      <w:r>
        <w:rPr>
          <w:rFonts w:eastAsia="Times New Roman" w:cs="Arial"/>
        </w:rPr>
        <w:t>TPC comparator arm from the FAS of DESTINY-Breast04 ensures use of a robust, pre-specified analysis that maintains randomisation and is aligned to the licenced population for which reimbursement is sought in this appraisal. Consistent with this, HEOR experts (including ex-NICE committee and EAG representatives) advised that the combined TPC arm is the most appropriate comparator for decision-making in this appraisal, as stratifying by HR-status, individual chemotherapy, or line of therapy would considerably reduce the sample size and add to uncertainty.</w:t>
      </w:r>
      <w:r>
        <w:rPr>
          <w:rFonts w:eastAsia="Times New Roman" w:cs="Arial"/>
        </w:rPr>
        <w:fldChar w:fldCharType="begin"/>
      </w:r>
      <w:r w:rsidR="00CA6345">
        <w:rPr>
          <w:rFonts w:eastAsia="Times New Roman" w:cs="Arial"/>
        </w:rPr>
        <w:instrText xml:space="preserve"> ADDIN ZOTERO_ITEM CSL_CITATION {"citationID":"ObB2qpCB","properties":{"formattedCitation":"\\super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Pr>
          <w:rFonts w:eastAsia="Times New Roman" w:cs="Arial"/>
        </w:rPr>
        <w:fldChar w:fldCharType="separate"/>
      </w:r>
      <w:r w:rsidR="00CA6345" w:rsidRPr="00CA6345">
        <w:rPr>
          <w:rFonts w:cs="Arial"/>
          <w:szCs w:val="24"/>
          <w:vertAlign w:val="superscript"/>
        </w:rPr>
        <w:t>121</w:t>
      </w:r>
      <w:r>
        <w:rPr>
          <w:rFonts w:eastAsia="Times New Roman" w:cs="Arial"/>
        </w:rPr>
        <w:fldChar w:fldCharType="end"/>
      </w:r>
    </w:p>
    <w:p w14:paraId="627E4814" w14:textId="77777777" w:rsidR="00057A9B" w:rsidRPr="000F5254" w:rsidRDefault="00057A9B" w:rsidP="00057A9B">
      <w:pPr>
        <w:pStyle w:val="Heading4"/>
      </w:pPr>
      <w:bookmarkStart w:id="123" w:name="_Ref128653722"/>
      <w:r w:rsidRPr="000F5254">
        <w:t>Differences between the final scope comparators and TPC arm therapies are unlikely to impact decision</w:t>
      </w:r>
      <w:r>
        <w:t>-</w:t>
      </w:r>
      <w:r w:rsidRPr="000F5254">
        <w:t>making</w:t>
      </w:r>
      <w:bookmarkEnd w:id="123"/>
    </w:p>
    <w:p w14:paraId="21A01197" w14:textId="1EC8A0FF" w:rsidR="00057A9B" w:rsidRDefault="00057A9B" w:rsidP="00057A9B">
      <w:pPr>
        <w:pStyle w:val="Body"/>
      </w:pPr>
      <w:r>
        <w:t>The TPC arm in DESTINY-Breast04 is broadly aligned to the final scope given that agents in the final NICE scope are well</w:t>
      </w:r>
      <w:r w:rsidR="00643E50">
        <w:t>-</w:t>
      </w:r>
      <w:r>
        <w:t>represented in the TPC arm.</w:t>
      </w:r>
      <w:r>
        <w:fldChar w:fldCharType="begin"/>
      </w:r>
      <w:r w:rsidR="00CA6345">
        <w:instrText xml:space="preserve"> ADDIN ZOTERO_ITEM CSL_CITATION {"citationID":"ynTdpnT3","properties":{"formattedCitation":"\\super 1,140\\nosupersub{}","plainCitation":"1,140","noteIndex":0},"citationItems":[{"id":66383,"uris":["http://zotero.org/groups/4797619/items/Y75R2AJY"],"itemData":{"id":66383,"type":"webpage","language":"eng","note":"publisher: NICE","title":"Final Scope. Trastuzumab deruxtecan for treating HER2-low unresectable or metastatic breast cancer after chemotherapy","URL":"https://www.nice.org.uk/guidance/gid-ta10813/documents/final-scope","author":[{"family":"NICE","given":""}],"accessed":{"date-parts":[["2022",11,29]]},"issued":{"date-parts":[["2023",1,6]]}}},{"id":66138,"uris":["http://zotero.org/groups/4797619/items/7DECRJ2U"],"itemData":{"id":66138,"type":"document","title":"Trastuzumab deruxtecan (T-DXd) vs treatment of physician's choice in patients with HER2-low unresectable and/or metastatic breast cancer: Results of DESTINY-Breast04, a randomized, phase 3 study. Presented at ASCO 2022 Annual Meeting.","author":[{"family":"Modi","given":"Shanu"},{"family":"Jacot","given":"William"},{"family":"Yamashita","given":"Toshinari"},{"family":"Sohn","given":"Joohyuk"},{"family":"Vidal","given":"Maria"},{"family":"Tokunaga","given":"Eriko"},{"family":"Tsurutani","given":"Junji"},{"family":"Ueno","given":"Naoto T."},{"family":"Chae","given":"Yee Soo"},{"family":"Lee","given":"Keun Seok"},{"family":"Niikura","given":"Naoki"},{"family":"Park","given":"Yeon Hee"},{"family":"Wang","given":"Xiaojia"},{"family":"Xu","given":"Binghe"},{"family":"Gambhire","given":"Dhiraj"},{"family":"Yung","given":"Lotus"},{"family":"Meinhardt","given":"Gerold"},{"family":"Wang","given":"Yibin"},{"family":"Harbeck","given":"Nadia"},{"family":"Cameron","given":"David"}],"issued":{"date-parts":[["2022",6,5]]}}}],"schema":"https://github.com/citation-style-language/schema/raw/master/csl-citation.json"} </w:instrText>
      </w:r>
      <w:r>
        <w:fldChar w:fldCharType="separate"/>
      </w:r>
      <w:r w:rsidR="00CA6345" w:rsidRPr="00CA6345">
        <w:rPr>
          <w:rFonts w:cs="Arial"/>
          <w:szCs w:val="24"/>
          <w:vertAlign w:val="superscript"/>
        </w:rPr>
        <w:t>1,140</w:t>
      </w:r>
      <w:r>
        <w:fldChar w:fldCharType="end"/>
      </w:r>
      <w:r>
        <w:t xml:space="preserve"> UK clinical experts also confirmed the TPC arm is reflective of UK practice and relevant for decision-making.</w:t>
      </w:r>
      <w:r>
        <w:fldChar w:fldCharType="begin"/>
      </w:r>
      <w:r w:rsidR="00CA6345">
        <w:instrText xml:space="preserve"> ADDIN ZOTERO_ITEM CSL_CITATION {"citationID":"M5z7zDCW","properties":{"formattedCitation":"\\super 1, 121,140\\nosupersub{}","plainCitation":"1, 121,140","noteIndex":0},"citationItems":[{"id":66383,"uris":["http://zotero.org/groups/4797619/items/Y75R2AJY"],"itemData":{"id":66383,"type":"webpage","language":"eng","note":"publisher: NICE","title":"Final Scope. Trastuzumab deruxtecan for treating HER2-low unresectable or metastatic breast cancer after chemotherapy","URL":"https://www.nice.org.uk/guidance/gid-ta10813/documents/final-scope","author":[{"family":"NICE","given":""}],"accessed":{"date-parts":[["2022",11,29]]},"issued":{"date-parts":[["2023",1,6]]}}},{"id":66138,"uris":["http://zotero.org/groups/4797619/items/7DECRJ2U"],"itemData":{"id":66138,"type":"document","title":"Trastuzumab deruxtecan (T-DXd) vs treatment of physician's choice in patients with HER2-low unresectable and/or metastatic breast cancer: Results of DESTINY-Breast04, a randomized, phase 3 study. Presented at ASCO 2022 Annual Meeting.","author":[{"family":"Modi","given":"Shanu"},{"family":"Jacot","given":"William"},{"family":"Yamashita","given":"Toshinari"},{"family":"Sohn","given":"Joohyuk"},{"family":"Vidal","given":"Maria"},{"family":"Tokunaga","given":"Eriko"},{"family":"Tsurutani","given":"Junji"},{"family":"Ueno","given":"Naoto T."},{"family":"Chae","given":"Yee Soo"},{"family":"Lee","given":"Keun Seok"},{"family":"Niikura","given":"Naoki"},{"family":"Park","given":"Yeon Hee"},{"family":"Wang","given":"Xiaojia"},{"family":"Xu","given":"Binghe"},{"family":"Gambhire","given":"Dhiraj"},{"family":"Yung","given":"Lotus"},{"family":"Meinhardt","given":"Gerold"},{"family":"Wang","given":"Yibin"},{"family":"Harbeck","given":"Nadia"},{"family":"Cameron","given":"David"}],"issued":{"date-parts":[["2022",6,5]]}}},{"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fldChar w:fldCharType="separate"/>
      </w:r>
      <w:r w:rsidR="00CA6345" w:rsidRPr="00CA6345">
        <w:rPr>
          <w:rFonts w:cs="Arial"/>
          <w:szCs w:val="24"/>
          <w:vertAlign w:val="superscript"/>
        </w:rPr>
        <w:t>1, 121,140</w:t>
      </w:r>
      <w:r>
        <w:fldChar w:fldCharType="end"/>
      </w:r>
      <w:r>
        <w:t xml:space="preserve"> </w:t>
      </w:r>
    </w:p>
    <w:p w14:paraId="14CF9E08" w14:textId="5DA5B41F" w:rsidR="00057A9B" w:rsidRDefault="00057A9B" w:rsidP="00057A9B">
      <w:pPr>
        <w:pStyle w:val="Body"/>
        <w:spacing w:after="120"/>
      </w:pPr>
      <w:r w:rsidRPr="002646F6">
        <w:t>The comparators in the final scope are stated as: established clinical management without T-DXd, including</w:t>
      </w:r>
      <w:r>
        <w:t>:</w:t>
      </w:r>
      <w:r>
        <w:fldChar w:fldCharType="begin"/>
      </w:r>
      <w:r w:rsidR="00CA6345">
        <w:instrText xml:space="preserve"> ADDIN ZOTERO_ITEM CSL_CITATION {"citationID":"SftP0on6","properties":{"formattedCitation":"\\super 1\\nosupersub{}","plainCitation":"1","noteIndex":0},"citationItems":[{"id":66383,"uris":["http://zotero.org/groups/4797619/items/Y75R2AJY"],"itemData":{"id":66383,"type":"webpage","language":"eng","note":"publisher: NICE","title":"Final Scope. Trastuzumab deruxtecan for treating HER2-low unresectable or metastatic breast cancer after chemotherapy","URL":"https://www.nice.org.uk/guidance/gid-ta10813/documents/final-scope","author":[{"family":"NICE","given":""}],"accessed":{"date-parts":[["2022",11,29]]},"issued":{"date-parts":[["2023",1,6]]}}}],"schema":"https://github.com/citation-style-language/schema/raw/master/csl-citation.json"} </w:instrText>
      </w:r>
      <w:r>
        <w:fldChar w:fldCharType="separate"/>
      </w:r>
      <w:r w:rsidR="00FD57F4" w:rsidRPr="00FD57F4">
        <w:rPr>
          <w:rFonts w:cs="Arial"/>
          <w:szCs w:val="24"/>
          <w:vertAlign w:val="superscript"/>
        </w:rPr>
        <w:t>1</w:t>
      </w:r>
      <w:r>
        <w:fldChar w:fldCharType="end"/>
      </w:r>
    </w:p>
    <w:p w14:paraId="7BEE5A04" w14:textId="77777777" w:rsidR="00057A9B" w:rsidRDefault="00057A9B" w:rsidP="00057A9B">
      <w:pPr>
        <w:pStyle w:val="Body"/>
        <w:numPr>
          <w:ilvl w:val="0"/>
          <w:numId w:val="36"/>
        </w:numPr>
        <w:spacing w:after="120"/>
        <w:ind w:left="771" w:hanging="357"/>
      </w:pPr>
      <w:r>
        <w:t>A</w:t>
      </w:r>
      <w:r w:rsidRPr="002646F6">
        <w:t xml:space="preserve">nthracyclines, capecitabine, platinum therapies, taxanes, and vinorelbine </w:t>
      </w:r>
    </w:p>
    <w:p w14:paraId="020045BD" w14:textId="77777777" w:rsidR="00057A9B" w:rsidRDefault="00057A9B" w:rsidP="00057A9B">
      <w:pPr>
        <w:pStyle w:val="Body"/>
        <w:numPr>
          <w:ilvl w:val="0"/>
          <w:numId w:val="36"/>
        </w:numPr>
        <w:spacing w:after="120"/>
        <w:ind w:left="771" w:hanging="357"/>
      </w:pPr>
      <w:r>
        <w:t xml:space="preserve">For people who have had 2 or more lines of chemotherapy for metastatic disease: </w:t>
      </w:r>
      <w:r w:rsidRPr="002646F6">
        <w:t xml:space="preserve">eribulin </w:t>
      </w:r>
    </w:p>
    <w:p w14:paraId="5F8027EB" w14:textId="031BBAEE" w:rsidR="00057A9B" w:rsidRPr="002646F6" w:rsidRDefault="00057A9B" w:rsidP="00057A9B">
      <w:pPr>
        <w:pStyle w:val="Body"/>
        <w:numPr>
          <w:ilvl w:val="0"/>
          <w:numId w:val="36"/>
        </w:numPr>
        <w:spacing w:after="120"/>
        <w:ind w:left="771" w:hanging="357"/>
      </w:pPr>
      <w:r>
        <w:t>F</w:t>
      </w:r>
      <w:r w:rsidRPr="002646F6">
        <w:t>or people whose disease is HR-negative</w:t>
      </w:r>
      <w:r>
        <w:t>: SG</w:t>
      </w:r>
      <w:r w:rsidRPr="002646F6">
        <w:t xml:space="preserve"> </w:t>
      </w:r>
    </w:p>
    <w:p w14:paraId="61D2AD00" w14:textId="090701EF" w:rsidR="00057A9B" w:rsidRDefault="00057A9B" w:rsidP="00057A9B">
      <w:pPr>
        <w:pStyle w:val="Body"/>
      </w:pPr>
      <w:r w:rsidRPr="00945D1F">
        <w:t>While</w:t>
      </w:r>
      <w:r>
        <w:t xml:space="preserve"> using</w:t>
      </w:r>
      <w:r w:rsidRPr="00945D1F">
        <w:t xml:space="preserve"> the </w:t>
      </w:r>
      <w:r>
        <w:t xml:space="preserve">complete </w:t>
      </w:r>
      <w:r w:rsidRPr="00945D1F">
        <w:t xml:space="preserve">TPC arm in DESTINY-Breast04 is </w:t>
      </w:r>
      <w:r>
        <w:t xml:space="preserve">the most robust and </w:t>
      </w:r>
      <w:r w:rsidRPr="00945D1F">
        <w:t xml:space="preserve">appropriate </w:t>
      </w:r>
      <w:r>
        <w:t xml:space="preserve">approach </w:t>
      </w:r>
      <w:r w:rsidRPr="00945D1F">
        <w:t>for this appraisal</w:t>
      </w:r>
      <w:r>
        <w:t>,</w:t>
      </w:r>
      <w:r w:rsidRPr="00945D1F">
        <w:t xml:space="preserve"> </w:t>
      </w:r>
      <w:r>
        <w:t>n</w:t>
      </w:r>
      <w:r w:rsidRPr="00945D1F">
        <w:t xml:space="preserve">ot all therapies in the final scope are included in the </w:t>
      </w:r>
      <w:r>
        <w:t>trial</w:t>
      </w:r>
      <w:r w:rsidRPr="00945D1F">
        <w:t xml:space="preserve"> (</w:t>
      </w:r>
      <w:r>
        <w:t xml:space="preserve">i.e., </w:t>
      </w:r>
      <w:r w:rsidRPr="00945D1F">
        <w:t>anthracyclines, platinum therapies, vinorelbine</w:t>
      </w:r>
      <w:r>
        <w:t xml:space="preserve">, and SG [HR-negative population only]; </w:t>
      </w:r>
      <w:r w:rsidRPr="00C132F8">
        <w:rPr>
          <w:b/>
          <w:bCs/>
        </w:rPr>
        <w:t>Section</w:t>
      </w:r>
      <w:r w:rsidR="009321AA">
        <w:rPr>
          <w:b/>
          <w:bCs/>
        </w:rPr>
        <w:t xml:space="preserve"> </w:t>
      </w:r>
      <w:r w:rsidR="009321AA">
        <w:rPr>
          <w:b/>
          <w:bCs/>
        </w:rPr>
        <w:fldChar w:fldCharType="begin"/>
      </w:r>
      <w:r w:rsidR="009321AA">
        <w:rPr>
          <w:b/>
          <w:bCs/>
        </w:rPr>
        <w:instrText xml:space="preserve"> REF _Ref129031994 \r \h </w:instrText>
      </w:r>
      <w:r w:rsidR="009321AA">
        <w:rPr>
          <w:b/>
          <w:bCs/>
        </w:rPr>
      </w:r>
      <w:r w:rsidR="009321AA">
        <w:rPr>
          <w:b/>
          <w:bCs/>
        </w:rPr>
        <w:fldChar w:fldCharType="separate"/>
      </w:r>
      <w:r w:rsidR="00145F42">
        <w:rPr>
          <w:b/>
          <w:bCs/>
        </w:rPr>
        <w:t>B.1.3.6.3.1</w:t>
      </w:r>
      <w:r w:rsidR="009321AA">
        <w:rPr>
          <w:b/>
          <w:bCs/>
        </w:rPr>
        <w:fldChar w:fldCharType="end"/>
      </w:r>
      <w:r w:rsidR="009321AA" w:rsidRPr="003C648C">
        <w:t>)</w:t>
      </w:r>
      <w:r w:rsidRPr="00945D1F">
        <w:t>.</w:t>
      </w:r>
      <w:r>
        <w:fldChar w:fldCharType="begin"/>
      </w:r>
      <w:r w:rsidR="00CA6345">
        <w:instrText xml:space="preserve"> ADDIN ZOTERO_ITEM CSL_CITATION {"citationID":"mUOGi8ri","properties":{"formattedCitation":"\\super 1,7\\nosupersub{}","plainCitation":"1,7","noteIndex":0},"citationItems":[{"id":66383,"uris":["http://zotero.org/groups/4797619/items/Y75R2AJY"],"itemData":{"id":66383,"type":"webpage","language":"eng","note":"publisher: NICE","title":"Final Scope. Trastuzumab deruxtecan for treating HER2-low unresectable or metastatic breast cancer after chemotherapy","URL":"https://www.nice.org.uk/guidance/gid-ta10813/documents/final-scope","author":[{"family":"NICE","given":""}],"accessed":{"date-parts":[["2022",11,29]]},"issued":{"date-parts":[["2023",1,6]]}}},{"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fldChar w:fldCharType="separate"/>
      </w:r>
      <w:r w:rsidR="00FD57F4" w:rsidRPr="00FD57F4">
        <w:rPr>
          <w:rFonts w:cs="Arial"/>
          <w:szCs w:val="24"/>
          <w:vertAlign w:val="superscript"/>
        </w:rPr>
        <w:t>1,7</w:t>
      </w:r>
      <w:r>
        <w:fldChar w:fldCharType="end"/>
      </w:r>
      <w:r w:rsidRPr="00945D1F">
        <w:t xml:space="preserve"> </w:t>
      </w:r>
      <w:r>
        <w:t>Additionally, in line with its licensed indication,</w:t>
      </w:r>
      <w:r>
        <w:fldChar w:fldCharType="begin"/>
      </w:r>
      <w:r w:rsidR="00CA6345">
        <w:instrText xml:space="preserve"> ADDIN ZOTERO_ITEM CSL_CITATION {"citationID":"NHdUPjhu","properties":{"formattedCitation":"\\super 144\\nosupersub{}","plainCitation":"144","noteIndex":0},"citationItems":[{"id":66437,"uris":["http://zotero.org/groups/4797619/items/RJVS3G8H"],"itemData":{"id":66437,"type":"webpage","title":"Halaven 0.44 mg/ml solution for injection - Summary of Product Characteristics (SmPC)","URL":"https://www.medicines.org.uk/emc/product/4517","author":[{"family":"emc","given":""}],"accessed":{"date-parts":[["2023",1,24]]},"issued":{"date-parts":[["2023"]],"season":"01"}}}],"schema":"https://github.com/citation-style-language/schema/raw/master/csl-citation.json"} </w:instrText>
      </w:r>
      <w:r>
        <w:fldChar w:fldCharType="separate"/>
      </w:r>
      <w:r w:rsidR="00CA6345" w:rsidRPr="00CA6345">
        <w:rPr>
          <w:rFonts w:cs="Arial"/>
          <w:szCs w:val="24"/>
          <w:vertAlign w:val="superscript"/>
        </w:rPr>
        <w:t>144</w:t>
      </w:r>
      <w:r>
        <w:fldChar w:fldCharType="end"/>
      </w:r>
      <w:r>
        <w:t xml:space="preserve"> eribulin was permitted after either one or two prior chemotherapies in the metastatic setting in DESTINY-Breast04. </w:t>
      </w:r>
      <w:r>
        <w:fldChar w:fldCharType="begin"/>
      </w:r>
      <w:r w:rsidR="00CA6345">
        <w:instrText xml:space="preserve"> ADDIN ZOTERO_ITEM CSL_CITATION {"citationID":"ctcOg8WJ","properties":{"formattedCitation":"\\super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t xml:space="preserve"> This is different to the final scope</w:t>
      </w:r>
      <w:r>
        <w:fldChar w:fldCharType="begin"/>
      </w:r>
      <w:r w:rsidR="00CA6345">
        <w:instrText xml:space="preserve"> ADDIN ZOTERO_ITEM CSL_CITATION {"citationID":"DuTeeQRh","properties":{"formattedCitation":"\\super 1\\nosupersub{}","plainCitation":"1","noteIndex":0},"citationItems":[{"id":66383,"uris":["http://zotero.org/groups/4797619/items/Y75R2AJY"],"itemData":{"id":66383,"type":"webpage","language":"eng","note":"publisher: NICE","title":"Final Scope. Trastuzumab deruxtecan for treating HER2-low unresectable or metastatic breast cancer after chemotherapy","URL":"https://www.nice.org.uk/guidance/gid-ta10813/documents/final-scope","author":[{"family":"NICE","given":""}],"accessed":{"date-parts":[["2022",11,29]]},"issued":{"date-parts":[["2023",1,6]]}}}],"schema":"https://github.com/citation-style-language/schema/raw/master/csl-citation.json"} </w:instrText>
      </w:r>
      <w:r>
        <w:fldChar w:fldCharType="separate"/>
      </w:r>
      <w:r w:rsidR="00FD57F4" w:rsidRPr="00FD57F4">
        <w:rPr>
          <w:rFonts w:cs="Arial"/>
          <w:szCs w:val="24"/>
          <w:vertAlign w:val="superscript"/>
        </w:rPr>
        <w:t>1</w:t>
      </w:r>
      <w:r>
        <w:fldChar w:fldCharType="end"/>
      </w:r>
      <w:r>
        <w:t xml:space="preserve"> as it is recommended by NICE only after two or more prior lines of chemotherapy in the locally advanced or metastatic setting (NICE TA423;</w:t>
      </w:r>
      <w:r>
        <w:fldChar w:fldCharType="begin"/>
      </w:r>
      <w:r w:rsidR="00CA6345">
        <w:instrText xml:space="preserve"> ADDIN ZOTERO_ITEM CSL_CITATION {"citationID":"auqOXTuQ","properties":{"formattedCitation":"\\super 131\\nosupersub{}","plainCitation":"131","noteIndex":0},"citationItems":[{"id":65884,"uris":["http://zotero.org/groups/4797619/items/GKXW7XYV"],"itemData":{"id":65884,"type":"webpage","abstract":"Evidence-based recommendations on eribulin (Halaven) for treating locally advanced or metastatic breast cancer after 2 or more types of chemotherapy","language":"eng","note":"publisher: NICE","title":"Eribulin for treating locally advanced or metastatic breast cancer after 2 or more chemotherapy regimens | NICE [TA423]","URL":"https://www.nice.org.uk/guidance/ta423","author":[{"family":"NICE","given":""}],"accessed":{"date-parts":[["2022",10,17]]}}}],"schema":"https://github.com/citation-style-language/schema/raw/master/csl-citation.json"} </w:instrText>
      </w:r>
      <w:r>
        <w:fldChar w:fldCharType="separate"/>
      </w:r>
      <w:r w:rsidR="00CA6345" w:rsidRPr="00CA6345">
        <w:rPr>
          <w:rFonts w:cs="Arial"/>
          <w:szCs w:val="24"/>
          <w:vertAlign w:val="superscript"/>
        </w:rPr>
        <w:t>131</w:t>
      </w:r>
      <w:r>
        <w:fldChar w:fldCharType="end"/>
      </w:r>
      <w:r>
        <w:t xml:space="preserve"> </w:t>
      </w:r>
      <w:r w:rsidRPr="00C132F8">
        <w:rPr>
          <w:b/>
          <w:bCs/>
        </w:rPr>
        <w:t>Section</w:t>
      </w:r>
      <w:r w:rsidR="009321AA">
        <w:rPr>
          <w:b/>
          <w:bCs/>
        </w:rPr>
        <w:t xml:space="preserve"> </w:t>
      </w:r>
      <w:r w:rsidR="009321AA">
        <w:rPr>
          <w:b/>
          <w:bCs/>
        </w:rPr>
        <w:fldChar w:fldCharType="begin"/>
      </w:r>
      <w:r w:rsidR="009321AA">
        <w:rPr>
          <w:b/>
          <w:bCs/>
        </w:rPr>
        <w:instrText xml:space="preserve"> REF _Ref129032043 \r \h </w:instrText>
      </w:r>
      <w:r w:rsidR="009321AA">
        <w:rPr>
          <w:b/>
          <w:bCs/>
        </w:rPr>
      </w:r>
      <w:r w:rsidR="009321AA">
        <w:rPr>
          <w:b/>
          <w:bCs/>
        </w:rPr>
        <w:fldChar w:fldCharType="separate"/>
      </w:r>
      <w:r w:rsidR="00145F42">
        <w:rPr>
          <w:b/>
          <w:bCs/>
        </w:rPr>
        <w:t>B.1.3.6.3.2</w:t>
      </w:r>
      <w:r w:rsidR="009321AA">
        <w:rPr>
          <w:b/>
          <w:bCs/>
        </w:rPr>
        <w:fldChar w:fldCharType="end"/>
      </w:r>
      <w:r w:rsidRPr="00E1437F">
        <w:t>)</w:t>
      </w:r>
      <w:r>
        <w:t xml:space="preserve">. These differences are unlikely to have a material impact on decision-making, as discussed below in </w:t>
      </w:r>
      <w:r w:rsidRPr="00E1437F">
        <w:rPr>
          <w:b/>
          <w:bCs/>
        </w:rPr>
        <w:t xml:space="preserve">Section </w:t>
      </w:r>
      <w:r w:rsidR="00784530">
        <w:rPr>
          <w:b/>
          <w:bCs/>
        </w:rPr>
        <w:fldChar w:fldCharType="begin"/>
      </w:r>
      <w:r w:rsidR="00784530">
        <w:rPr>
          <w:b/>
          <w:bCs/>
        </w:rPr>
        <w:instrText xml:space="preserve"> REF _Ref129032248 \r \h </w:instrText>
      </w:r>
      <w:r w:rsidR="00784530">
        <w:rPr>
          <w:b/>
          <w:bCs/>
        </w:rPr>
      </w:r>
      <w:r w:rsidR="00784530">
        <w:rPr>
          <w:b/>
          <w:bCs/>
        </w:rPr>
        <w:fldChar w:fldCharType="separate"/>
      </w:r>
      <w:r w:rsidR="00145F42">
        <w:rPr>
          <w:b/>
          <w:bCs/>
        </w:rPr>
        <w:t>B.1.3.6.5</w:t>
      </w:r>
      <w:r w:rsidR="00784530">
        <w:rPr>
          <w:b/>
          <w:bCs/>
        </w:rPr>
        <w:fldChar w:fldCharType="end"/>
      </w:r>
      <w:r w:rsidR="0071452D">
        <w:t>.</w:t>
      </w:r>
    </w:p>
    <w:p w14:paraId="6A43B65C" w14:textId="77777777" w:rsidR="00057A9B" w:rsidRDefault="00057A9B" w:rsidP="00057A9B">
      <w:pPr>
        <w:pStyle w:val="Heading5"/>
      </w:pPr>
      <w:bookmarkStart w:id="124" w:name="_Ref129031994"/>
      <w:r>
        <w:t>Comparators in the NICE scope but not the TPC arm</w:t>
      </w:r>
      <w:bookmarkEnd w:id="124"/>
    </w:p>
    <w:p w14:paraId="42B7CDB3" w14:textId="124C6E2F" w:rsidR="00057A9B" w:rsidRDefault="00057A9B" w:rsidP="00057A9B">
      <w:pPr>
        <w:pStyle w:val="Body"/>
      </w:pPr>
      <w:r>
        <w:t>Although the TPC arm of DESTINY-Breast04 is reflective of UK practice, as agreed by UK clinical experts,</w:t>
      </w:r>
      <w:r>
        <w:fldChar w:fldCharType="begin"/>
      </w:r>
      <w:r w:rsidR="00CA6345">
        <w:instrText xml:space="preserve"> ADDIN ZOTERO_ITEM CSL_CITATION {"citationID":"qJMOpwuU","properties":{"formattedCitation":"\\super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fldChar w:fldCharType="separate"/>
      </w:r>
      <w:r w:rsidR="00CA6345" w:rsidRPr="00CA6345">
        <w:rPr>
          <w:rFonts w:cs="Arial"/>
          <w:szCs w:val="24"/>
          <w:vertAlign w:val="superscript"/>
        </w:rPr>
        <w:t>121</w:t>
      </w:r>
      <w:r>
        <w:fldChar w:fldCharType="end"/>
      </w:r>
      <w:r>
        <w:t xml:space="preserve"> it does not include anthracyclines, platinum therapies, vinorelbine, or SG.</w:t>
      </w:r>
    </w:p>
    <w:p w14:paraId="205B238C" w14:textId="77777777" w:rsidR="00057A9B" w:rsidRPr="003C648C" w:rsidRDefault="00057A9B" w:rsidP="003C648C">
      <w:pPr>
        <w:pStyle w:val="Body"/>
        <w:keepNext/>
        <w:rPr>
          <w:i/>
          <w:iCs/>
          <w:u w:val="single"/>
        </w:rPr>
      </w:pPr>
      <w:r w:rsidRPr="003C648C">
        <w:rPr>
          <w:i/>
          <w:iCs/>
          <w:u w:val="single"/>
        </w:rPr>
        <w:t>Anthracyclines</w:t>
      </w:r>
    </w:p>
    <w:p w14:paraId="636F6B54" w14:textId="1F1D2B0E" w:rsidR="00057A9B" w:rsidRDefault="00057A9B" w:rsidP="00057A9B">
      <w:pPr>
        <w:pStyle w:val="Body"/>
      </w:pPr>
      <w:r>
        <w:t xml:space="preserve">Anthracyclines were not considered appropriate for the TPC arm of DESTINY-Breast04 because they </w:t>
      </w:r>
      <w:r w:rsidRPr="00945D1F">
        <w:t>are not commonly used in the metastatic setting (1% globally, 7% in Europe)</w:t>
      </w:r>
      <w:r>
        <w:t xml:space="preserve"> according to 2018 real-world prescription data.</w:t>
      </w:r>
      <w:r w:rsidRPr="00945D1F">
        <w:fldChar w:fldCharType="begin"/>
      </w:r>
      <w:r w:rsidR="00CA6345">
        <w:instrText xml:space="preserve"> ADDIN ZOTERO_ITEM CSL_CITATION {"citationID":"jBZmGuRK","properties":{"formattedCitation":"\\super 145\\nosupersub{}","plainCitation":"145","noteIndex":0},"citationItems":[{"id":66449,"uris":["http://zotero.org/groups/4797619/items/PGJTZ3WV"],"itemData":{"id":66449,"type":"report","title":"Most commonly prescribed agents for hormone receptor-positive, HER2-negative metastatic breast cancer by region. Report created for Daiichi Sankyo Inc. Provider-entered patient data Jan-Dec 2017.","author":[{"family":"Ispos HealthCare, 2018","given":""}]}}],"schema":"https://github.com/citation-style-language/schema/raw/master/csl-citation.json"} </w:instrText>
      </w:r>
      <w:r w:rsidRPr="00945D1F">
        <w:fldChar w:fldCharType="separate"/>
      </w:r>
      <w:r w:rsidR="00CA6345" w:rsidRPr="00CA6345">
        <w:rPr>
          <w:rFonts w:cs="Arial"/>
          <w:szCs w:val="24"/>
          <w:vertAlign w:val="superscript"/>
        </w:rPr>
        <w:t>145</w:t>
      </w:r>
      <w:r w:rsidRPr="00945D1F">
        <w:fldChar w:fldCharType="end"/>
      </w:r>
      <w:r w:rsidRPr="00945D1F">
        <w:t xml:space="preserve"> </w:t>
      </w:r>
      <w:r>
        <w:t>This aligns with NICE Guideline 101 (NG101) for early and locally advanced BC, which recommends anthracyclines in the (neo)adjuvant setting,</w:t>
      </w:r>
      <w:r>
        <w:fldChar w:fldCharType="begin"/>
      </w:r>
      <w:r w:rsidR="00CA6345">
        <w:instrText xml:space="preserve"> ADDIN ZOTERO_ITEM CSL_CITATION {"citationID":"4u8brZeS","properties":{"formattedCitation":"\\super 23\\nosupersub{}","plainCitation":"23","noteIndex":0},"citationItems":[{"id":65877,"uris":["http://zotero.org/groups/4797619/items/AACWD3EG"],"itemData":{"id":65877,"type":"webpage","abstract":"This guideline covers diagnosing and managing early and locally advanced breast cancer. It aims to help healthcare professionals offer the right treatments to people, taking into account the person's individual preferences","language":"eng","note":"publisher: NICE","title":"Early and locally advanced breast cancer: diagnosis and management | NICE [NG101]","title-short":"Overview | Early and locally advanced breast cancer","URL":"https://www.nice.org.uk/guidance/ng101","author":[{"family":"NICE","given":""}],"accessed":{"date-parts":[["2022",10,3]]}}}],"schema":"https://github.com/citation-style-language/schema/raw/master/csl-citation.json"} </w:instrText>
      </w:r>
      <w:r>
        <w:fldChar w:fldCharType="separate"/>
      </w:r>
      <w:r w:rsidR="00FD57F4" w:rsidRPr="00FD57F4">
        <w:rPr>
          <w:rFonts w:cs="Arial"/>
          <w:szCs w:val="24"/>
          <w:vertAlign w:val="superscript"/>
        </w:rPr>
        <w:t>23</w:t>
      </w:r>
      <w:r>
        <w:fldChar w:fldCharType="end"/>
      </w:r>
      <w:r>
        <w:t xml:space="preserve"> and NICE CG81,</w:t>
      </w:r>
      <w:r>
        <w:fldChar w:fldCharType="begin"/>
      </w:r>
      <w:r w:rsidR="00CA6345">
        <w:instrText xml:space="preserve"> ADDIN ZOTERO_ITEM CSL_CITATION {"citationID":"fdYK3P0e","properties":{"formattedCitation":"\\super 35\\nosupersub{}","plainCitation":"35","noteIndex":0},"citationItems":[{"id":65866,"uris":["http://zotero.org/groups/4797619/items/3AESVSNK"],"itemData":{"id":65866,"type":"webpage","abstract":"This guideline covers care and support for people with advanced (stage 4) breast cancer. It aims to help them and their healthcare professionals make shared","language":"eng","note":"publisher: NICE","title":"Advanced breast cancer: diagnosis and treatment | NICE CG81","title-short":"NICE CG81. Recommendations | Advanced breast cancer","URL":"https://www.nice.org.uk/guidance/cg81/chapter/Recommendations","author":[{"family":"NICE","given":""}],"accessed":{"date-parts":[["2022",10,17]]},"issued":{"date-parts":[["2017"]]}}}],"schema":"https://github.com/citation-style-language/schema/raw/master/csl-citation.json"} </w:instrText>
      </w:r>
      <w:r>
        <w:fldChar w:fldCharType="separate"/>
      </w:r>
      <w:r w:rsidR="00FD57F4" w:rsidRPr="00FD57F4">
        <w:rPr>
          <w:rFonts w:cs="Arial"/>
          <w:szCs w:val="24"/>
          <w:vertAlign w:val="superscript"/>
        </w:rPr>
        <w:t>35</w:t>
      </w:r>
      <w:r>
        <w:fldChar w:fldCharType="end"/>
      </w:r>
      <w:r>
        <w:t xml:space="preserve"> which suggests that anthracyclines are used as first-line chemotherapy in the metastatic setting. This also aligns with UK clinical experts, who stated that anthracyclines are either used in the (neo)adjuvant setting or, beyond fourth-line chemotherapy in de novo mBC patients due to poor tolerability and cumulative cardiotoxicity.</w:t>
      </w:r>
      <w:r>
        <w:fldChar w:fldCharType="begin"/>
      </w:r>
      <w:r w:rsidR="00CA6345">
        <w:instrText xml:space="preserve"> ADDIN ZOTERO_ITEM CSL_CITATION {"citationID":"K6K8kHqR","properties":{"formattedCitation":"\\super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fldChar w:fldCharType="separate"/>
      </w:r>
      <w:r w:rsidR="00CA6345" w:rsidRPr="00CA6345">
        <w:rPr>
          <w:rFonts w:cs="Arial"/>
          <w:szCs w:val="24"/>
          <w:vertAlign w:val="superscript"/>
        </w:rPr>
        <w:t>121</w:t>
      </w:r>
      <w:r>
        <w:fldChar w:fldCharType="end"/>
      </w:r>
      <w:r>
        <w:t xml:space="preserve"> Anthracyclines are therefore not relevant to this appraisal as they are used outside of the setting in which T-DXd is likely to be reimbursed.</w:t>
      </w:r>
    </w:p>
    <w:p w14:paraId="44755B91" w14:textId="77777777" w:rsidR="00057A9B" w:rsidRPr="003C648C" w:rsidRDefault="00057A9B" w:rsidP="00057A9B">
      <w:pPr>
        <w:pStyle w:val="Body"/>
        <w:rPr>
          <w:i/>
          <w:iCs/>
          <w:u w:val="single"/>
        </w:rPr>
      </w:pPr>
      <w:r w:rsidRPr="003C648C">
        <w:rPr>
          <w:i/>
          <w:iCs/>
          <w:u w:val="single"/>
        </w:rPr>
        <w:lastRenderedPageBreak/>
        <w:t>Platinum therapies</w:t>
      </w:r>
    </w:p>
    <w:p w14:paraId="6546B2A6" w14:textId="5D593C0D" w:rsidR="00057A9B" w:rsidRDefault="00057A9B" w:rsidP="00057A9B">
      <w:pPr>
        <w:pStyle w:val="Body"/>
      </w:pPr>
      <w:r>
        <w:t xml:space="preserve">Similarly, </w:t>
      </w:r>
      <w:r w:rsidRPr="00945D1F">
        <w:t>platinum therapies (e.g., c</w:t>
      </w:r>
      <w:r>
        <w:t>is</w:t>
      </w:r>
      <w:r w:rsidRPr="00945D1F">
        <w:t xml:space="preserve">platin) are </w:t>
      </w:r>
      <w:r>
        <w:t>recommended in NICE NG101 in the (neo)adjuvant setting</w:t>
      </w:r>
      <w:r>
        <w:fldChar w:fldCharType="begin"/>
      </w:r>
      <w:r w:rsidR="00CA6345">
        <w:instrText xml:space="preserve"> ADDIN ZOTERO_ITEM CSL_CITATION {"citationID":"bFjd3zUe","properties":{"formattedCitation":"\\super 23\\nosupersub{}","plainCitation":"23","noteIndex":0},"citationItems":[{"id":65877,"uris":["http://zotero.org/groups/4797619/items/AACWD3EG"],"itemData":{"id":65877,"type":"webpage","abstract":"This guideline covers diagnosing and managing early and locally advanced breast cancer. It aims to help healthcare professionals offer the right treatments to people, taking into account the person's individual preferences","language":"eng","note":"publisher: NICE","title":"Early and locally advanced breast cancer: diagnosis and management | NICE [NG101]","title-short":"Overview | Early and locally advanced breast cancer","URL":"https://www.nice.org.uk/guidance/ng101","author":[{"family":"NICE","given":""}],"accessed":{"date-parts":[["2022",10,3]]}}}],"schema":"https://github.com/citation-style-language/schema/raw/master/csl-citation.json"} </w:instrText>
      </w:r>
      <w:r>
        <w:fldChar w:fldCharType="separate"/>
      </w:r>
      <w:r w:rsidR="00FD57F4" w:rsidRPr="00FD57F4">
        <w:rPr>
          <w:rFonts w:cs="Arial"/>
          <w:szCs w:val="24"/>
          <w:vertAlign w:val="superscript"/>
        </w:rPr>
        <w:t>23</w:t>
      </w:r>
      <w:r>
        <w:fldChar w:fldCharType="end"/>
      </w:r>
      <w:r>
        <w:t xml:space="preserve"> but are not listed in NICE CG81</w:t>
      </w:r>
      <w:r>
        <w:fldChar w:fldCharType="begin"/>
      </w:r>
      <w:r w:rsidR="00CA6345">
        <w:instrText xml:space="preserve"> ADDIN ZOTERO_ITEM CSL_CITATION {"citationID":"db5eqXSG","properties":{"formattedCitation":"\\super 35\\nosupersub{}","plainCitation":"35","noteIndex":0},"citationItems":[{"id":65866,"uris":["http://zotero.org/groups/4797619/items/3AESVSNK"],"itemData":{"id":65866,"type":"webpage","abstract":"This guideline covers care and support for people with advanced (stage 4) breast cancer. It aims to help them and their healthcare professionals make shared","language":"eng","note":"publisher: NICE","title":"Advanced breast cancer: diagnosis and treatment | NICE CG81","title-short":"NICE CG81. Recommendations | Advanced breast cancer","URL":"https://www.nice.org.uk/guidance/cg81/chapter/Recommendations","author":[{"family":"NICE","given":""}],"accessed":{"date-parts":[["2022",10,17]]},"issued":{"date-parts":[["2017"]]}},"locator":"81"}],"schema":"https://github.com/citation-style-language/schema/raw/master/csl-citation.json"} </w:instrText>
      </w:r>
      <w:r>
        <w:fldChar w:fldCharType="separate"/>
      </w:r>
      <w:r w:rsidR="00FD57F4" w:rsidRPr="00FD57F4">
        <w:rPr>
          <w:rFonts w:cs="Arial"/>
          <w:szCs w:val="24"/>
          <w:vertAlign w:val="superscript"/>
        </w:rPr>
        <w:t>35</w:t>
      </w:r>
      <w:r>
        <w:fldChar w:fldCharType="end"/>
      </w:r>
      <w:r>
        <w:t xml:space="preserve"> as second- or third-line chemotherapy options in the metastatic setting, nor are they widely used in this setting according to UK real-world data and clinical expert insights</w:t>
      </w:r>
      <w:r w:rsidRPr="00945D1F">
        <w:t>.</w:t>
      </w:r>
      <w:r>
        <w:fldChar w:fldCharType="begin"/>
      </w:r>
      <w:r w:rsidR="00CA6345">
        <w:instrText xml:space="preserve"> ADDIN ZOTERO_ITEM CSL_CITATION {"citationID":"S1rW6Agz","properties":{"formattedCitation":"\\super 121,136\\nosupersub{}","plainCitation":"121,136","noteIndex":0},"citationItems":[{"id":66355,"uris":["http://zotero.org/groups/4797619/items/D7I4CN8Z"],"itemData":{"id":66355,"type":"document","title":"LiveInsighter Breast Cancer patient data","author":[{"family":"Daiichi Sankyo Inc.","given":""}],"issued":{"date-parts":[["2022"]]}}},{"id":66356,"uris":["http://zotero.org/groups/4797619/items/N6DNXLEP"],"itemData":{"id":66356,"type":"document","title":"T-DXd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fldChar w:fldCharType="separate"/>
      </w:r>
      <w:r w:rsidR="00CA6345" w:rsidRPr="00CA6345">
        <w:rPr>
          <w:rFonts w:cs="Arial"/>
          <w:szCs w:val="24"/>
          <w:vertAlign w:val="superscript"/>
        </w:rPr>
        <w:t>121,136</w:t>
      </w:r>
      <w:r>
        <w:fldChar w:fldCharType="end"/>
      </w:r>
      <w:r>
        <w:t xml:space="preserve"> UK clinical experts confirmed that platinum therapies are </w:t>
      </w:r>
      <w:r w:rsidRPr="000C0777">
        <w:t xml:space="preserve">often used in </w:t>
      </w:r>
      <w:r>
        <w:t>the (</w:t>
      </w:r>
      <w:r w:rsidRPr="000C0777">
        <w:t>neo</w:t>
      </w:r>
      <w:r>
        <w:t>)</w:t>
      </w:r>
      <w:r w:rsidRPr="000C0777">
        <w:t xml:space="preserve">adjuvant setting or </w:t>
      </w:r>
      <w:r>
        <w:t>first-</w:t>
      </w:r>
      <w:r w:rsidRPr="000C0777">
        <w:t>line metastatic setting</w:t>
      </w:r>
      <w:r>
        <w:t xml:space="preserve"> in HER2-negative/HR-negative patients, and</w:t>
      </w:r>
      <w:r w:rsidRPr="000C0777">
        <w:t xml:space="preserve"> </w:t>
      </w:r>
      <w:r>
        <w:t>at fourth-line metastatic setting or beyond</w:t>
      </w:r>
      <w:r w:rsidRPr="000C0777">
        <w:t xml:space="preserve"> </w:t>
      </w:r>
      <w:r>
        <w:t>in patients with other mBC subtypes (e.g., HER2-negative/HR-positive).</w:t>
      </w:r>
      <w:r>
        <w:fldChar w:fldCharType="begin"/>
      </w:r>
      <w:r w:rsidR="00CA6345">
        <w:instrText xml:space="preserve"> ADDIN ZOTERO_ITEM CSL_CITATION {"citationID":"wE0gl3sk","properties":{"formattedCitation":"\\super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fldChar w:fldCharType="separate"/>
      </w:r>
      <w:r w:rsidR="00CA6345" w:rsidRPr="00CA6345">
        <w:rPr>
          <w:rFonts w:cs="Arial"/>
          <w:szCs w:val="24"/>
          <w:vertAlign w:val="superscript"/>
        </w:rPr>
        <w:t>121</w:t>
      </w:r>
      <w:r>
        <w:fldChar w:fldCharType="end"/>
      </w:r>
      <w:r>
        <w:t xml:space="preserve"> Platinum therapies are therefore</w:t>
      </w:r>
      <w:r w:rsidRPr="00055D55">
        <w:t xml:space="preserve"> </w:t>
      </w:r>
      <w:r>
        <w:t>not relevant to this appraisal as they are used outside of the setting in which T-DXd is likely to be reimbursed.</w:t>
      </w:r>
    </w:p>
    <w:p w14:paraId="180EF16E" w14:textId="59DEFC86" w:rsidR="00057A9B" w:rsidRPr="00945D1F" w:rsidRDefault="00057A9B" w:rsidP="00057A9B">
      <w:pPr>
        <w:pStyle w:val="Body"/>
      </w:pPr>
      <w:r>
        <w:t>While vinorelbine is in the final scope</w:t>
      </w:r>
      <w:r>
        <w:fldChar w:fldCharType="begin"/>
      </w:r>
      <w:r w:rsidR="00CA6345">
        <w:instrText xml:space="preserve"> ADDIN ZOTERO_ITEM CSL_CITATION {"citationID":"6xUhwElK","properties":{"formattedCitation":"\\super 1\\nosupersub{}","plainCitation":"1","noteIndex":0},"citationItems":[{"id":66383,"uris":["http://zotero.org/groups/4797619/items/Y75R2AJY"],"itemData":{"id":66383,"type":"webpage","language":"eng","note":"publisher: NICE","title":"Final Scope. Trastuzumab deruxtecan for treating HER2-low unresectable or metastatic breast cancer after chemotherapy","URL":"https://www.nice.org.uk/guidance/gid-ta10813/documents/final-scope","author":[{"family":"NICE","given":""}],"accessed":{"date-parts":[["2022",11,29]]},"issued":{"date-parts":[["2023",1,6]]}}}],"schema":"https://github.com/citation-style-language/schema/raw/master/csl-citation.json"} </w:instrText>
      </w:r>
      <w:r>
        <w:fldChar w:fldCharType="separate"/>
      </w:r>
      <w:r w:rsidR="00FD57F4" w:rsidRPr="00FD57F4">
        <w:rPr>
          <w:rFonts w:cs="Arial"/>
          <w:szCs w:val="24"/>
          <w:vertAlign w:val="superscript"/>
        </w:rPr>
        <w:t>1</w:t>
      </w:r>
      <w:r>
        <w:fldChar w:fldCharType="end"/>
      </w:r>
      <w:r>
        <w:t xml:space="preserve"> but not in the TPC arm of DESTINY-Breast04,</w:t>
      </w:r>
      <w:r>
        <w:fldChar w:fldCharType="begin"/>
      </w:r>
      <w:r w:rsidR="00CA6345">
        <w:instrText xml:space="preserve"> ADDIN ZOTERO_ITEM CSL_CITATION {"citationID":"lLhp87e2","properties":{"formattedCitation":"\\super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t xml:space="preserve"> </w:t>
      </w:r>
      <w:r w:rsidR="00514C4B">
        <w:t xml:space="preserve">this </w:t>
      </w:r>
      <w:r>
        <w:t>will not materially impact decision-making as there is no significant difference in efficacy between vinorelbine and other in-scope single-agent chemotherapies, as shown in a published review of RCTs for chemotherapies used in Europe for advanced BC.</w:t>
      </w:r>
      <w:r>
        <w:fldChar w:fldCharType="begin"/>
      </w:r>
      <w:r w:rsidR="00CA6345">
        <w:instrText xml:space="preserve"> ADDIN ZOTERO_ITEM CSL_CITATION {"citationID":"7Qwkq8KX","properties":{"formattedCitation":"\\super 118\\nosupersub{}","plainCitation":"118","noteIndex":0},"citationItems":[{"id":66343,"uris":["http://zotero.org/groups/4797619/items/IB6926PV"],"itemData":{"id":66343,"type":"article-journal","abstract":"INTRODUCTION: Currently available evidence does not provide definitive guidance regarding the optimal chemotherapy agents and combinations in anthracycline- and taxane-pretreated advanced breast cancer. We performed a systematic review of controlled clinical trials of the cytotoxic agents currently used for this population in Europe: capecitabine, gemcitabine, vinorelbine, docetaxel, paclitaxel and paclitaxel protein-bound particles.\nMETHOD: A systematic review of randomised (RCT) and non-randomised controlled clinical trials (non-RCTs). The primary outcomes of interest were overall survival (OS) and progression-free survival (PFS); secondary outcomes were duration of response (DR), overall response rate (ORR), adverse events and quality of life (QoL). Six electronic databases and grey literature sources were searched; reference tracking was performed on included publications. A narrative synthesis was conducted: heterogeneity of study design and interventions prevented meta-analysis.\nRESULTS: No randomised controlled trial (RCT) found any significant differences between any of the regimens in terms of OS. In terms of PFS, only gemcitabine plus vinorelbine performed significantly better than its comparator, vinorelbine alone. For secondary outcomes, only capecitabine plus bevacizumab had a significantly better outcome than its comparator, capecitabine alone, in terms of ORR. A low quality non-RCT found that both capecitabine monotherapy and a combination of capecitabine plus vinorelbine were significantly more effective than vinorelbine alone in terms of OS and ORR. Across all trials, median OS for these patients typically remained less than 16 months.\nCONCLUSION: The quantity and quality of the available evidence regarding the efficacy of the particular chemotherapy regimens in patients with advanced breast cancer pretreated with an anthracycline and a taxane is extremely limited. New effective therapies are sorely needed in this population.","container-title":"European Journal of Cancer (Oxford, England: 1990)","DOI":"10.1016/j.ejca.2009.05.035","ISSN":"1879-0852","issue":"16","journalAbbreviation":"Eur J Cancer","language":"eng","note":"PMID: 19615886","page":"2749-2758","source":"PubMed","title":"The clinical efficacy of cytotoxic agents in locally advanced or metastatic breast cancer patients pretreated with an anthracycline and a taxane: a systematic review","title-short":"The clinical efficacy of cytotoxic agents in locally advanced or metastatic breast cancer patients pretreated with an anthracycline and a taxane","volume":"45","author":[{"family":"Jassem","given":"Jacek"},{"family":"Carroll","given":"Christopher"},{"family":"Ward","given":"Sue E."},{"family":"Simpson","given":"Emma"},{"family":"Hind","given":"Daniel"}],"issued":{"date-parts":[["2009",11]]}}}],"schema":"https://github.com/citation-style-language/schema/raw/master/csl-citation.json"} </w:instrText>
      </w:r>
      <w:r>
        <w:fldChar w:fldCharType="separate"/>
      </w:r>
      <w:r w:rsidR="00CA6345" w:rsidRPr="00CA6345">
        <w:rPr>
          <w:rFonts w:cs="Arial"/>
          <w:szCs w:val="24"/>
          <w:vertAlign w:val="superscript"/>
        </w:rPr>
        <w:t>118</w:t>
      </w:r>
      <w:r>
        <w:fldChar w:fldCharType="end"/>
      </w:r>
      <w:r>
        <w:t xml:space="preserve"> This lack of significant difference was confirmed by UK clinical experts at an advisory board, who also stated that vinorelbine is usually used later in the pathway (e.g., fourth- or fifth-line).</w:t>
      </w:r>
      <w:r>
        <w:fldChar w:fldCharType="begin"/>
      </w:r>
      <w:r w:rsidR="00CA6345">
        <w:instrText xml:space="preserve"> ADDIN ZOTERO_ITEM CSL_CITATION {"citationID":"66XE7ymo","properties":{"formattedCitation":"\\super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fldChar w:fldCharType="separate"/>
      </w:r>
      <w:r w:rsidR="00CA6345" w:rsidRPr="00CA6345">
        <w:rPr>
          <w:rFonts w:cs="Arial"/>
          <w:szCs w:val="24"/>
          <w:vertAlign w:val="superscript"/>
        </w:rPr>
        <w:t>121</w:t>
      </w:r>
      <w:r>
        <w:fldChar w:fldCharType="end"/>
      </w:r>
      <w:r>
        <w:t xml:space="preserve"> Given the similar efficacy, other agents in the TPC arm may act as suitable proxies for vinorelbine. </w:t>
      </w:r>
    </w:p>
    <w:p w14:paraId="1050D624" w14:textId="77777777" w:rsidR="00057A9B" w:rsidRPr="003C648C" w:rsidRDefault="00057A9B" w:rsidP="00057A9B">
      <w:pPr>
        <w:pStyle w:val="Body"/>
        <w:rPr>
          <w:i/>
          <w:iCs/>
          <w:u w:val="single"/>
        </w:rPr>
      </w:pPr>
      <w:r>
        <w:rPr>
          <w:i/>
          <w:iCs/>
          <w:u w:val="single"/>
        </w:rPr>
        <w:t>Sacituzumab govitecan</w:t>
      </w:r>
    </w:p>
    <w:p w14:paraId="0833DA01" w14:textId="25940839" w:rsidR="00057A9B" w:rsidRPr="003C648C" w:rsidRDefault="00057A9B" w:rsidP="00057A9B">
      <w:pPr>
        <w:pStyle w:val="Body"/>
        <w:rPr>
          <w:rFonts w:eastAsia="Times New Roman" w:cs="Arial"/>
        </w:rPr>
      </w:pPr>
      <w:r>
        <w:t>SG</w:t>
      </w:r>
      <w:r w:rsidRPr="00945D1F">
        <w:t xml:space="preserve"> </w:t>
      </w:r>
      <w:r>
        <w:t>was</w:t>
      </w:r>
      <w:r w:rsidRPr="002646F6">
        <w:t xml:space="preserve"> recommended by NICE for patients with triple-negative breast cancer (TNBC) i.e.</w:t>
      </w:r>
      <w:r w:rsidR="00F20FA9">
        <w:t>,</w:t>
      </w:r>
      <w:r w:rsidRPr="002646F6">
        <w:t xml:space="preserve"> HER2-negative</w:t>
      </w:r>
      <w:r>
        <w:t>/</w:t>
      </w:r>
      <w:r w:rsidRPr="002646F6">
        <w:t>HR-negative</w:t>
      </w:r>
      <w:r>
        <w:t xml:space="preserve"> (TA819) based on the ASCENT trial</w:t>
      </w:r>
      <w:r w:rsidRPr="002646F6">
        <w:t>.</w:t>
      </w:r>
      <w:r w:rsidRPr="00945D1F">
        <w:fldChar w:fldCharType="begin"/>
      </w:r>
      <w:r w:rsidR="00CA6345">
        <w:instrText xml:space="preserve"> ADDIN ZOTERO_ITEM CSL_CITATION {"citationID":"3dhM90GM","properties":{"formattedCitation":"\\super 132\\nosupersub{}","plainCitation":"132","noteIndex":0},"citationItems":[{"id":65875,"uris":["http://zotero.org/groups/4797619/items/IP9MEGL9"],"itemData":{"id":65875,"type":"webpage","abstract":"Evidence-based recommendations on sacituzumab govetican (Trodelvy) for treating unresectable, triple-negative locally advanced or metastatic breast cancer in adults after 2 or more systemic therapies, at least 1 of which was for advanced disease","language":"eng","note":"publisher: NICE","title":"Sacituzumab govitecan for treating unresectable triple-negative advanced breast cancer after 2 or more therapies | NICE [TA819]","URL":"https://www.nice.org.uk/guidance/ta819","author":[{"family":"NICE","given":""}],"accessed":{"date-parts":[["2022",10,17]]}}}],"schema":"https://github.com/citation-style-language/schema/raw/master/csl-citation.json"} </w:instrText>
      </w:r>
      <w:r w:rsidRPr="00945D1F">
        <w:fldChar w:fldCharType="separate"/>
      </w:r>
      <w:r w:rsidR="00CA6345" w:rsidRPr="00CA6345">
        <w:rPr>
          <w:rFonts w:cs="Arial"/>
          <w:szCs w:val="24"/>
          <w:vertAlign w:val="superscript"/>
        </w:rPr>
        <w:t>132</w:t>
      </w:r>
      <w:r w:rsidRPr="00945D1F">
        <w:fldChar w:fldCharType="end"/>
      </w:r>
      <w:r>
        <w:t xml:space="preserve"> While SG</w:t>
      </w:r>
      <w:r w:rsidRPr="00945D1F">
        <w:t xml:space="preserve"> is </w:t>
      </w:r>
      <w:r>
        <w:t xml:space="preserve">in the final scope </w:t>
      </w:r>
      <w:r>
        <w:fldChar w:fldCharType="begin"/>
      </w:r>
      <w:r w:rsidR="00CA6345">
        <w:instrText xml:space="preserve"> ADDIN ZOTERO_ITEM CSL_CITATION {"citationID":"XgTsag34","properties":{"formattedCitation":"\\super 1\\nosupersub{}","plainCitation":"1","noteIndex":0},"citationItems":[{"id":66383,"uris":["http://zotero.org/groups/4797619/items/Y75R2AJY"],"itemData":{"id":66383,"type":"webpage","language":"eng","note":"publisher: NICE","title":"Final Scope. Trastuzumab deruxtecan for treating HER2-low unresectable or metastatic breast cancer after chemotherapy","URL":"https://www.nice.org.uk/guidance/gid-ta10813/documents/final-scope","author":[{"family":"NICE","given":""}],"accessed":{"date-parts":[["2022",11,29]]},"issued":{"date-parts":[["2023",1,6]]}}}],"schema":"https://github.com/citation-style-language/schema/raw/master/csl-citation.json"} </w:instrText>
      </w:r>
      <w:r>
        <w:fldChar w:fldCharType="separate"/>
      </w:r>
      <w:r w:rsidR="00FD57F4" w:rsidRPr="00FD57F4">
        <w:rPr>
          <w:rFonts w:cs="Arial"/>
          <w:szCs w:val="24"/>
          <w:vertAlign w:val="superscript"/>
        </w:rPr>
        <w:t>1</w:t>
      </w:r>
      <w:r>
        <w:fldChar w:fldCharType="end"/>
      </w:r>
      <w:r>
        <w:t xml:space="preserve"> it is </w:t>
      </w:r>
      <w:r w:rsidRPr="00945D1F">
        <w:t xml:space="preserve">not included in </w:t>
      </w:r>
      <w:r>
        <w:t>the company evidence submission</w:t>
      </w:r>
      <w:r w:rsidRPr="00945D1F">
        <w:t xml:space="preserve"> as it is</w:t>
      </w:r>
      <w:r>
        <w:t xml:space="preserve"> </w:t>
      </w:r>
      <w:r w:rsidRPr="00B83CCD">
        <w:t>only a potentially relevant comparator for a small subset</w:t>
      </w:r>
      <w:r>
        <w:t xml:space="preserve"> (i.e., HR-negative)</w:t>
      </w:r>
      <w:r w:rsidRPr="00B83CCD">
        <w:t xml:space="preserve"> of the overall </w:t>
      </w:r>
      <w:r>
        <w:t xml:space="preserve">HER2-low </w:t>
      </w:r>
      <w:r w:rsidRPr="00B83CCD">
        <w:t>population considered in this appraisal</w:t>
      </w:r>
      <w:r>
        <w:t>.</w:t>
      </w:r>
      <w:r w:rsidRPr="00945D1F">
        <w:t xml:space="preserve"> </w:t>
      </w:r>
      <w:r w:rsidRPr="002646F6">
        <w:t>Of patients with HER2-low BC, the proportion who are HR-negative in clinical practice is very small (</w:t>
      </w:r>
      <w:r>
        <w:t>~10</w:t>
      </w:r>
      <w:r w:rsidRPr="002646F6">
        <w:t>%).</w:t>
      </w:r>
      <w:r w:rsidRPr="002646F6">
        <w:fldChar w:fldCharType="begin"/>
      </w:r>
      <w:r w:rsidR="00CA6345">
        <w:instrText xml:space="preserve"> ADDIN ZOTERO_ITEM CSL_CITATION {"citationID":"ar2t0bsu7l","properties":{"formattedCitation":"\\super 146\\nosupersub{}","plainCitation":"146","noteIndex":0},"citationItems":[{"id":66212,"uris":["http://zotero.org/groups/4797619/items/9BDSKTKZ"],"itemData":{"id":66212,"type":"article-journal","abstract":"We describe a collated data set of results from clinical testing of breast cancers carried out between 2009 and 2016 in the United Kingdom and Republic of Ireland. More than 199 000 patient biomarker data sets, together with clinicopathological parameters were collected. Our analyses focused on human epidermal growth factor receptor-2 (HER2), oestrogen receptor (ER) and progesterone receptor (PR), with the aim of the study being to provide robust confirmatory evidence on known associations in these biomarkers and to uncover new data on previously undescribed or unconfirmed associations, thus strengthening the evidence-base in clinical breast cancer testing. Overall, 13.1% of tumours were HER2-positive; 10.6% in ER-positive tumours, and 25.5% in ER-negative tumours. Higher rates of HER2 positivity were significantly associated with patient age &lt;56 years versus age ≥56 years, symptomatic versus screen-detected tumours, testing of involved axillary node versus primary breast cancer, invasive ductal carcinoma (not otherwise specified) versus other histological types, higher histological grade, increasing tumour size, increasing nodal involvement, ER-negative versus ER-positive tumour status, PR-negative versus PR-positive tumour status. Where ER status was known, 82.7% of tumours were ER-positive; 80.9% in women age &lt;56 years, and 83.6% in those age ≥56 years (ER-positive cut-off ≥1.0% positive tumour cells or equivalent). Where PR status was known, 64.9% of tumours were PR-positive; 65.8% in women age &lt;56 years, and 64.4% in women age ≥56 years (PR-positive cut off ≥10.0% or equivalent). These analyses of clinical test results provide contemporary benchmarking data for HER2, ER and PR positive rates.","container-title":"The Journal of Pathology. Clinical Research","DOI":"10.1002/cjp2.112","ISSN":"2056-4538","issue":"4","journalAbbreviation":"J Pathol Clin Res","language":"eng","note":"PMID: 30066480\nPMCID: PMC6174620","page":"262-273","source":"PubMed","title":"Breast cancer biomarkers in clinical testing: analysis of a UK national external quality assessment scheme for immunocytochemistry and in situ hybridisation database containing results from 199 300 patients","title-short":"Breast cancer biomarkers in clinical testing","volume":"4","author":[{"family":"Dodson","given":"Andrew"},{"family":"Parry","given":"Suzanne"},{"family":"Ibrahim","given":"Merdol"},{"family":"Bartlett","given":"John Ms"},{"family":"Pinder","given":"Sarah"},{"family":"Dowsett","given":"Mitch"},{"family":"Miller","given":"Keith"}],"issued":{"date-parts":[["2018",10]]}}}],"schema":"https://github.com/citation-style-language/schema/raw/master/csl-citation.json"} </w:instrText>
      </w:r>
      <w:r w:rsidRPr="002646F6">
        <w:fldChar w:fldCharType="separate"/>
      </w:r>
      <w:r w:rsidR="00CA6345" w:rsidRPr="00CA6345">
        <w:rPr>
          <w:rFonts w:cs="Arial"/>
          <w:szCs w:val="24"/>
          <w:vertAlign w:val="superscript"/>
        </w:rPr>
        <w:t>146</w:t>
      </w:r>
      <w:r w:rsidRPr="002646F6">
        <w:fldChar w:fldCharType="end"/>
      </w:r>
      <w:r w:rsidRPr="002646F6">
        <w:t xml:space="preserve"> Within this small proportion, </w:t>
      </w:r>
      <w:r>
        <w:t>SG</w:t>
      </w:r>
      <w:r w:rsidRPr="00945D1F">
        <w:t xml:space="preserve"> </w:t>
      </w:r>
      <w:r>
        <w:t>is not</w:t>
      </w:r>
      <w:r w:rsidRPr="002646F6">
        <w:t xml:space="preserve"> </w:t>
      </w:r>
      <w:r>
        <w:t xml:space="preserve">currently </w:t>
      </w:r>
      <w:r w:rsidRPr="002646F6">
        <w:t xml:space="preserve">considered </w:t>
      </w:r>
      <w:r>
        <w:t xml:space="preserve">to be </w:t>
      </w:r>
      <w:r w:rsidRPr="002646F6">
        <w:t xml:space="preserve">standard of care </w:t>
      </w:r>
      <w:r w:rsidR="00D63B85">
        <w:t>within its licened indication</w:t>
      </w:r>
      <w:r w:rsidRPr="002646F6">
        <w:t xml:space="preserve"> given </w:t>
      </w:r>
      <w:r>
        <w:t xml:space="preserve">that </w:t>
      </w:r>
      <w:r w:rsidRPr="002646F6">
        <w:t>i</w:t>
      </w:r>
      <w:r>
        <w:t>t wa</w:t>
      </w:r>
      <w:r w:rsidRPr="002646F6">
        <w:t xml:space="preserve">s </w:t>
      </w:r>
      <w:r>
        <w:t>only recently</w:t>
      </w:r>
      <w:r w:rsidRPr="002646F6">
        <w:t xml:space="preserve"> recommend</w:t>
      </w:r>
      <w:r>
        <w:t>ed</w:t>
      </w:r>
      <w:r w:rsidRPr="002646F6">
        <w:t xml:space="preserve"> </w:t>
      </w:r>
      <w:r>
        <w:t xml:space="preserve">by NICE </w:t>
      </w:r>
      <w:r w:rsidRPr="002646F6">
        <w:fldChar w:fldCharType="begin"/>
      </w:r>
      <w:r w:rsidR="00CA6345">
        <w:instrText xml:space="preserve"> ADDIN ZOTERO_ITEM CSL_CITATION {"citationID":"a2q9sj7kq1h","properties":{"formattedCitation":"\\super 132\\nosupersub{}","plainCitation":"132","noteIndex":0},"citationItems":[{"id":65875,"uris":["http://zotero.org/groups/4797619/items/IP9MEGL9"],"itemData":{"id":65875,"type":"webpage","abstract":"Evidence-based recommendations on sacituzumab govetican (Trodelvy) for treating unresectable, triple-negative locally advanced or metastatic breast cancer in adults after 2 or more systemic therapies, at least 1 of which was for advanced disease","language":"eng","note":"publisher: NICE","title":"Sacituzumab govitecan for treating unresectable triple-negative advanced breast cancer after 2 or more therapies | NICE [TA819]","URL":"https://www.nice.org.uk/guidance/ta819","author":[{"family":"NICE","given":""}],"accessed":{"date-parts":[["2022",10,17]]}}}],"schema":"https://github.com/citation-style-language/schema/raw/master/csl-citation.json"} </w:instrText>
      </w:r>
      <w:r w:rsidRPr="002646F6">
        <w:fldChar w:fldCharType="separate"/>
      </w:r>
      <w:r w:rsidR="00CA6345" w:rsidRPr="00CA6345">
        <w:rPr>
          <w:rFonts w:cs="Arial"/>
          <w:szCs w:val="24"/>
          <w:vertAlign w:val="superscript"/>
        </w:rPr>
        <w:t>132</w:t>
      </w:r>
      <w:r w:rsidRPr="002646F6">
        <w:fldChar w:fldCharType="end"/>
      </w:r>
      <w:r w:rsidRPr="002646F6">
        <w:t xml:space="preserve"> and its uptake in UK </w:t>
      </w:r>
      <w:r w:rsidRPr="00945D1F">
        <w:t>clinical</w:t>
      </w:r>
      <w:r w:rsidRPr="002646F6">
        <w:t xml:space="preserve"> practice is uncertain. </w:t>
      </w:r>
      <w:r w:rsidR="004A5806">
        <w:t>A published UK real-world biomarker analysis</w:t>
      </w:r>
      <w:r w:rsidR="001B366B">
        <w:fldChar w:fldCharType="begin"/>
      </w:r>
      <w:r w:rsidR="00CA6345">
        <w:instrText xml:space="preserve"> ADDIN ZOTERO_ITEM CSL_CITATION {"citationID":"SC6JJc4Q","properties":{"formattedCitation":"\\super 56\\nosupersub{}","plainCitation":"56","noteIndex":0},"citationItems":[{"id":65940,"uris":["http://zotero.org/groups/4797619/items/7UYVWR36"],"itemData":{"id":65940,"type":"article-journal","container-title":"The Journal of Pathology: Clinical Research","DOI":"10.1002/cjp2.173","ISSN":"2056-4538, 2056-4538","issue":"3","journalAbbreviation":"J Pathol Clin Res","language":"en","page":"227-227","source":"DOI.org (Crossref)","title":"Breast cancer biomarkers in clinical testing: analysis of a UK NEQAS ICC &amp; ISH database containing results from 199 300 patients","title-short":"‘Breast cancer biomarkers in clinical testing","volume":"6","author":[{"family":"Dodson","given":"Andrew"},{"family":"Parry","given":"Suzanne"},{"family":"Ibrahim","given":"Merdol"},{"family":"Bartlett","given":"John M. S."},{"family":"Pinder","given":"Sarah E."},{"family":"Dowsett","given":"Mitch"},{"family":"Miller","given":"Keith"}],"issued":{"date-parts":[["2020",7]]}}}],"schema":"https://github.com/citation-style-language/schema/raw/master/csl-citation.json"} </w:instrText>
      </w:r>
      <w:r w:rsidR="001B366B">
        <w:fldChar w:fldCharType="separate"/>
      </w:r>
      <w:r w:rsidR="001B366B" w:rsidRPr="00102714">
        <w:rPr>
          <w:rFonts w:cs="Arial"/>
          <w:szCs w:val="24"/>
          <w:vertAlign w:val="superscript"/>
        </w:rPr>
        <w:t>56</w:t>
      </w:r>
      <w:r w:rsidR="001B366B">
        <w:fldChar w:fldCharType="end"/>
      </w:r>
      <w:r w:rsidR="00EB692D">
        <w:t xml:space="preserve"> </w:t>
      </w:r>
      <w:r w:rsidR="001B366B">
        <w:t>and UK clinical experts</w:t>
      </w:r>
      <w:r w:rsidR="001B366B">
        <w:fldChar w:fldCharType="begin"/>
      </w:r>
      <w:r w:rsidR="00CA6345">
        <w:instrText xml:space="preserve"> ADDIN ZOTERO_ITEM CSL_CITATION {"citationID":"qe3ufSPO","properties":{"formattedCitation":"\\super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001B366B">
        <w:fldChar w:fldCharType="separate"/>
      </w:r>
      <w:r w:rsidR="00CA6345" w:rsidRPr="00CA6345">
        <w:rPr>
          <w:rFonts w:cs="Arial"/>
          <w:szCs w:val="24"/>
          <w:vertAlign w:val="superscript"/>
        </w:rPr>
        <w:t>121</w:t>
      </w:r>
      <w:r w:rsidR="001B366B">
        <w:fldChar w:fldCharType="end"/>
      </w:r>
      <w:r w:rsidR="00EB692D">
        <w:t xml:space="preserve"> confirmed that </w:t>
      </w:r>
      <w:r w:rsidR="00CF589F">
        <w:t>the distribution of HR-positive and HR-negative patients in DESTINY-Breast04 is generalisable to UK practice</w:t>
      </w:r>
      <w:r w:rsidR="001B366B">
        <w:t xml:space="preserve">. </w:t>
      </w:r>
      <w:r w:rsidDel="00CF589F">
        <w:t>C</w:t>
      </w:r>
      <w:r>
        <w:t xml:space="preserve">linical experts </w:t>
      </w:r>
      <w:r w:rsidR="001B366B">
        <w:t xml:space="preserve">also </w:t>
      </w:r>
      <w:r>
        <w:t xml:space="preserve">advised that </w:t>
      </w:r>
      <w:r w:rsidR="00B02FDB">
        <w:rPr>
          <w:rFonts w:eastAsia="Times New Roman" w:cs="Arial"/>
        </w:rPr>
        <w:t xml:space="preserve">the </w:t>
      </w:r>
      <w:r>
        <w:rPr>
          <w:rFonts w:eastAsia="Times New Roman" w:cs="Arial"/>
        </w:rPr>
        <w:t>majority of HER2-low patients would be treated with non-targeted chemotherapy.</w:t>
      </w:r>
      <w:r w:rsidR="00B02FDB">
        <w:fldChar w:fldCharType="begin"/>
      </w:r>
      <w:r w:rsidR="00CA6345">
        <w:instrText xml:space="preserve"> ADDIN ZOTERO_ITEM CSL_CITATION {"citationID":"Ke431A2d","properties":{"formattedCitation":"\\super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00B02FDB">
        <w:fldChar w:fldCharType="separate"/>
      </w:r>
      <w:r w:rsidR="00CA6345" w:rsidRPr="00CA6345">
        <w:rPr>
          <w:rFonts w:cs="Arial"/>
          <w:szCs w:val="24"/>
          <w:vertAlign w:val="superscript"/>
        </w:rPr>
        <w:t>121</w:t>
      </w:r>
      <w:r w:rsidR="00B02FDB">
        <w:fldChar w:fldCharType="end"/>
      </w:r>
    </w:p>
    <w:p w14:paraId="3687DF56" w14:textId="32112730" w:rsidR="00057A9B" w:rsidRDefault="00057A9B" w:rsidP="00057A9B">
      <w:pPr>
        <w:pStyle w:val="Body"/>
      </w:pPr>
      <w:r>
        <w:t>Additionally, g</w:t>
      </w:r>
      <w:r w:rsidRPr="002646F6">
        <w:t xml:space="preserve">iven the </w:t>
      </w:r>
      <w:r>
        <w:t>differences in study populations between DESTINY-</w:t>
      </w:r>
      <w:r w:rsidR="009D4247">
        <w:t>B</w:t>
      </w:r>
      <w:r>
        <w:t xml:space="preserve">reast04 and ASCENT, the </w:t>
      </w:r>
      <w:r w:rsidRPr="002646F6">
        <w:t xml:space="preserve">small </w:t>
      </w:r>
      <w:r>
        <w:t>sample size (N=42)</w:t>
      </w:r>
      <w:r w:rsidRPr="002646F6">
        <w:t xml:space="preserve"> of </w:t>
      </w:r>
      <w:r>
        <w:t xml:space="preserve">the </w:t>
      </w:r>
      <w:r w:rsidRPr="002646F6">
        <w:t>HR-negative</w:t>
      </w:r>
      <w:r>
        <w:t xml:space="preserve"> cohort in DESTINY-Breast04</w:t>
      </w:r>
      <w:r w:rsidRPr="002646F6">
        <w:t>,</w:t>
      </w:r>
      <w:r>
        <w:fldChar w:fldCharType="begin"/>
      </w:r>
      <w:r w:rsidR="00CA6345">
        <w:instrText xml:space="preserve"> ADDIN ZOTERO_ITEM CSL_CITATION {"citationID":"w60fejKP","properties":{"formattedCitation":"\\super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fldChar w:fldCharType="separate"/>
      </w:r>
      <w:r w:rsidR="00FD57F4" w:rsidRPr="00FD57F4">
        <w:rPr>
          <w:rFonts w:cs="Arial"/>
          <w:szCs w:val="24"/>
          <w:vertAlign w:val="superscript"/>
        </w:rPr>
        <w:t>7</w:t>
      </w:r>
      <w:r>
        <w:fldChar w:fldCharType="end"/>
      </w:r>
      <w:r w:rsidRPr="002646F6">
        <w:t xml:space="preserve"> and </w:t>
      </w:r>
      <w:r>
        <w:t xml:space="preserve">the small sample size (N=63) and post hoc nature of analyses of HER2-low/HR-negative patients </w:t>
      </w:r>
      <w:r w:rsidRPr="002646F6">
        <w:t>in the ASCENT trial,</w:t>
      </w:r>
      <w:r>
        <w:fldChar w:fldCharType="begin"/>
      </w:r>
      <w:r w:rsidR="00CA6345">
        <w:instrText xml:space="preserve"> ADDIN ZOTERO_ITEM CSL_CITATION {"citationID":"Lnhe2TNu","properties":{"formattedCitation":"\\super 48\\nosupersub{}","plainCitation":"48","noteIndex":0},"citationItems":[{"id":66444,"uris":["http://zotero.org/groups/4797619/items/44JAGUPG"],"itemData":{"id":66444,"type":"article-journal","container-title":"New England Journal of Medicine","DOI":"10.1056/NEJMoa2028485","ISSN":"0028-4793","issue":"16","note":"publisher: Massachusetts Medical Society\n_eprint: https://doi.org/10.1056/NEJMoa2028485\nPMID: 33882206","page":"1529-1541","source":"Taylor and Francis+NEJM","title":"Sacituzumab Govitecan in Metastatic Triple-Negative Breast Cancer","volume":"384","author":[{"family":"Bardia","given":"Aditya"},{"family":"Hurvitz","given":"Sara A."},{"family":"Tolaney","given":"Sara M."},{"family":"Loirat","given":"Delphine"},{"family":"Punie","given":"Kevin"},{"family":"Oliveira","given":"Mafalda"},{"family":"Brufsky","given":"Adam"},{"family":"Sardesai","given":"Sagar D."},{"family":"Kalinsky","given":"Kevin"},{"family":"Zelnak","given":"Amelia B."},{"family":"Weaver","given":"Robert"},{"family":"Traina","given":"Tiffany"},{"family":"Dalenc","given":"Florence"},{"family":"Aftimos","given":"Philippe"},{"family":"Lynce","given":"Filipa"},{"family":"Diab","given":"Sami"},{"family":"Cortés","given":"Javier"},{"family":"O’Shaughnessy","given":"Joyce"},{"family":"Diéras","given":"Véronique"},{"family":"Ferrario","given":"Cristiano"},{"family":"Schmid","given":"Peter"},{"family":"Carey","given":"Lisa A."},{"family":"Gianni","given":"Luca"},{"family":"Piccart","given":"Martine J."},{"family":"Loibl","given":"Sibylle"},{"family":"Goldenberg","given":"David M."},{"family":"Hong","given":"Quan"},{"family":"Olivo","given":"Martin S."},{"family":"Itri","given":"Loretta M."},{"family":"Rugo","given":"Hope S."}],"issued":{"date-parts":[["2021",4,22]]}}}],"schema":"https://github.com/citation-style-language/schema/raw/master/csl-citation.json"} </w:instrText>
      </w:r>
      <w:r>
        <w:fldChar w:fldCharType="separate"/>
      </w:r>
      <w:r w:rsidR="00FD57F4" w:rsidRPr="00FD57F4">
        <w:rPr>
          <w:rFonts w:cs="Arial"/>
          <w:szCs w:val="24"/>
          <w:vertAlign w:val="superscript"/>
        </w:rPr>
        <w:t>48</w:t>
      </w:r>
      <w:r>
        <w:fldChar w:fldCharType="end"/>
      </w:r>
      <w:r w:rsidRPr="002646F6">
        <w:t xml:space="preserve"> an</w:t>
      </w:r>
      <w:r w:rsidRPr="00945D1F">
        <w:t xml:space="preserve"> </w:t>
      </w:r>
      <w:r w:rsidRPr="002646F6">
        <w:t>ITC</w:t>
      </w:r>
      <w:r>
        <w:t xml:space="preserve"> between T-DXd and SG</w:t>
      </w:r>
      <w:r w:rsidRPr="002646F6">
        <w:t xml:space="preserve"> would be highly uncertain and not sufficiently robust for decision</w:t>
      </w:r>
      <w:r>
        <w:t>-</w:t>
      </w:r>
      <w:r w:rsidRPr="002646F6">
        <w:t>making</w:t>
      </w:r>
      <w:r>
        <w:t xml:space="preserve">, as concluded in two independent ITC feasibility assessments (see </w:t>
      </w:r>
      <w:r w:rsidRPr="005F574E">
        <w:rPr>
          <w:b/>
          <w:bCs/>
        </w:rPr>
        <w:t xml:space="preserve">Section </w:t>
      </w:r>
      <w:r w:rsidRPr="005F574E">
        <w:rPr>
          <w:b/>
          <w:bCs/>
        </w:rPr>
        <w:fldChar w:fldCharType="begin"/>
      </w:r>
      <w:r w:rsidRPr="005F574E">
        <w:rPr>
          <w:b/>
          <w:bCs/>
        </w:rPr>
        <w:instrText xml:space="preserve"> REF _Ref126931857 \r \h  \* MERGEFORMAT </w:instrText>
      </w:r>
      <w:r w:rsidRPr="005F574E">
        <w:rPr>
          <w:b/>
          <w:bCs/>
        </w:rPr>
      </w:r>
      <w:r w:rsidRPr="005F574E">
        <w:rPr>
          <w:b/>
          <w:bCs/>
        </w:rPr>
        <w:fldChar w:fldCharType="separate"/>
      </w:r>
      <w:r w:rsidR="00145F42">
        <w:rPr>
          <w:b/>
          <w:bCs/>
        </w:rPr>
        <w:t>B.2.9</w:t>
      </w:r>
      <w:r w:rsidRPr="005F574E">
        <w:rPr>
          <w:b/>
          <w:bCs/>
        </w:rPr>
        <w:fldChar w:fldCharType="end"/>
      </w:r>
      <w:r>
        <w:t>)</w:t>
      </w:r>
      <w:r w:rsidRPr="002646F6">
        <w:t>.</w:t>
      </w:r>
      <w:r>
        <w:fldChar w:fldCharType="begin"/>
      </w:r>
      <w:r w:rsidR="00CA6345">
        <w:instrText xml:space="preserve"> ADDIN ZOTERO_ITEM CSL_CITATION {"citationID":"lCovRYmB","properties":{"formattedCitation":"\\super 147,148\\nosupersub{}","plainCitation":"147,148","noteIndex":0},"citationItems":[{"id":66793,"uris":["http://zotero.org/groups/4797619/items/YMS8DM96"],"itemData":{"id":66793,"type":"document","title":"Estima: Feasibility of performing an indirect treatment comparison between ENHERTU® and TRODELVY® in a hormone-receptor negative and HER2-low population. Data on file.","author":[{"family":"Daiichi Sankyo Inc.","given":""}],"issued":{"date-parts":[["2023"]]}}},{"id":66794,"uris":["http://zotero.org/groups/4797619/items/BK9TW82J"],"itemData":{"id":66794,"type":"document","title":"ASc Academics: A feasibility assessment of indirect treatment comparisons with T-DXd in HER2-low unresectable and/or metastatic breast cancer","author":[{"family":"Daiichi Sankyo Inc.","given":""}],"issued":{"date-parts":[["2022"]]}}}],"schema":"https://github.com/citation-style-language/schema/raw/master/csl-citation.json"} </w:instrText>
      </w:r>
      <w:r>
        <w:fldChar w:fldCharType="separate"/>
      </w:r>
      <w:r w:rsidR="00CA6345" w:rsidRPr="00CA6345">
        <w:rPr>
          <w:rFonts w:cs="Arial"/>
          <w:szCs w:val="24"/>
          <w:vertAlign w:val="superscript"/>
        </w:rPr>
        <w:t>147,148</w:t>
      </w:r>
      <w:r>
        <w:fldChar w:fldCharType="end"/>
      </w:r>
      <w:r>
        <w:t xml:space="preserve"> In line with this, HEOR experts advised that any comparison with SG would be highly uncertain given the small sample size and need to adjust for differences in trial populations</w:t>
      </w:r>
      <w:r w:rsidRPr="002646F6">
        <w:t>.</w:t>
      </w:r>
      <w:r>
        <w:fldChar w:fldCharType="begin"/>
      </w:r>
      <w:r w:rsidR="00CA6345">
        <w:instrText xml:space="preserve"> ADDIN ZOTERO_ITEM CSL_CITATION {"citationID":"20dHLFdZ","properties":{"formattedCitation":"\\super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fldChar w:fldCharType="separate"/>
      </w:r>
      <w:r w:rsidR="00CA6345" w:rsidRPr="00CA6345">
        <w:rPr>
          <w:rFonts w:cs="Arial"/>
          <w:szCs w:val="24"/>
          <w:vertAlign w:val="superscript"/>
        </w:rPr>
        <w:t>121</w:t>
      </w:r>
      <w:r>
        <w:fldChar w:fldCharType="end"/>
      </w:r>
      <w:r>
        <w:t xml:space="preserve"> </w:t>
      </w:r>
    </w:p>
    <w:p w14:paraId="158FC5B4" w14:textId="349D5450" w:rsidR="00057A9B" w:rsidRDefault="00057A9B" w:rsidP="00057A9B">
      <w:pPr>
        <w:pStyle w:val="Body"/>
      </w:pPr>
      <w:r>
        <w:rPr>
          <w:rFonts w:eastAsia="Times New Roman" w:cs="Arial"/>
        </w:rPr>
        <w:t xml:space="preserve">Based on clinical feedback relating to the generalisability of the distribution of HR-status in </w:t>
      </w:r>
      <w:r w:rsidRPr="002646F6">
        <w:t>DESTINY-Breast04</w:t>
      </w:r>
      <w:r>
        <w:t>, the current treatment of these patients,</w:t>
      </w:r>
      <w:r w:rsidRPr="002646F6">
        <w:t xml:space="preserve"> </w:t>
      </w:r>
      <w:r>
        <w:rPr>
          <w:rFonts w:eastAsia="Times New Roman" w:cs="Arial"/>
        </w:rPr>
        <w:t xml:space="preserve">and the uncertainty associated with any ITC, HEOR experts advised that, for decision making, the FAS is the relevant dataset and TPC the relevant comparator for the population under consideration in this appraisal. </w:t>
      </w:r>
    </w:p>
    <w:p w14:paraId="47A04D9A" w14:textId="77777777" w:rsidR="00057A9B" w:rsidRDefault="00057A9B" w:rsidP="00057A9B">
      <w:pPr>
        <w:pStyle w:val="Heading5"/>
      </w:pPr>
      <w:bookmarkStart w:id="125" w:name="_Ref129032043"/>
      <w:r>
        <w:lastRenderedPageBreak/>
        <w:t>Eribulin use at second- and third-line in DESTINY-Breast04</w:t>
      </w:r>
      <w:bookmarkEnd w:id="125"/>
    </w:p>
    <w:p w14:paraId="6BCDE429" w14:textId="5F3B070D" w:rsidR="00057A9B" w:rsidRDefault="00057A9B" w:rsidP="00057A9B">
      <w:pPr>
        <w:pStyle w:val="Body"/>
      </w:pPr>
      <w:r>
        <w:t xml:space="preserve">In addition to the TPC arm not including all in-scope comparators, eribulin could be used </w:t>
      </w:r>
      <w:r w:rsidRPr="00E50293">
        <w:t>after one or two prior lines of chemo</w:t>
      </w:r>
      <w:r>
        <w:t>therapy</w:t>
      </w:r>
      <w:r w:rsidRPr="00E50293">
        <w:t xml:space="preserve"> in the metastatic setting</w:t>
      </w:r>
      <w:r>
        <w:t xml:space="preserve"> in DESTINY-Breast04, which, while aligned to its licensed indication,</w:t>
      </w:r>
      <w:r>
        <w:fldChar w:fldCharType="begin"/>
      </w:r>
      <w:r w:rsidR="00CA6345">
        <w:instrText xml:space="preserve"> ADDIN ZOTERO_ITEM CSL_CITATION {"citationID":"zDHg83nr","properties":{"formattedCitation":"\\super 144\\nosupersub{}","plainCitation":"144","noteIndex":0},"citationItems":[{"id":66437,"uris":["http://zotero.org/groups/4797619/items/RJVS3G8H"],"itemData":{"id":66437,"type":"webpage","title":"Halaven 0.44 mg/ml solution for injection - Summary of Product Characteristics (SmPC)","URL":"https://www.medicines.org.uk/emc/product/4517","author":[{"family":"emc","given":""}],"accessed":{"date-parts":[["2023",1,24]]},"issued":{"date-parts":[["2023"]],"season":"01"}}}],"schema":"https://github.com/citation-style-language/schema/raw/master/csl-citation.json"} </w:instrText>
      </w:r>
      <w:r>
        <w:fldChar w:fldCharType="separate"/>
      </w:r>
      <w:r w:rsidR="00CA6345" w:rsidRPr="00CA6345">
        <w:rPr>
          <w:rFonts w:cs="Arial"/>
          <w:szCs w:val="24"/>
          <w:vertAlign w:val="superscript"/>
        </w:rPr>
        <w:t>144</w:t>
      </w:r>
      <w:r>
        <w:fldChar w:fldCharType="end"/>
      </w:r>
      <w:r>
        <w:t xml:space="preserve"> is not aligned to the NICE recommendation in TA423 or the final scope which restricts use to after two prior lines of chemotherapy</w:t>
      </w:r>
      <w:r w:rsidR="007A342C">
        <w:t>.</w:t>
      </w:r>
      <w:r>
        <w:fldChar w:fldCharType="begin"/>
      </w:r>
      <w:r w:rsidR="00CA6345">
        <w:instrText xml:space="preserve"> ADDIN ZOTERO_ITEM CSL_CITATION {"citationID":"tEXYuLH6","properties":{"formattedCitation":"\\super 1, 7,131\\nosupersub{}","plainCitation":"1, 7,131","noteIndex":0},"citationItems":[{"id":66383,"uris":["http://zotero.org/groups/4797619/items/Y75R2AJY"],"itemData":{"id":66383,"type":"webpage","language":"eng","note":"publisher: NICE","title":"Final Scope. Trastuzumab deruxtecan for treating HER2-low unresectable or metastatic breast cancer after chemotherapy","URL":"https://www.nice.org.uk/guidance/gid-ta10813/documents/final-scope","author":[{"family":"NICE","given":""}],"accessed":{"date-parts":[["2022",11,29]]},"issued":{"date-parts":[["2023",1,6]]}}},{"id":65944,"uris":["http://zotero.org/groups/4797619/items/WBVSVVF7"],"itemData":{"id":65944,"type":"document","title":"Clinical Study Report for DS8201-A-U303. Data cut-off date: 11 Jan 2022. Data on File.","author":[{"family":"Daiichi Sankyo Inc.","given":""}],"issued":{"date-parts":[["2022"]]}}},{"id":65884,"uris":["http://zotero.org/groups/4797619/items/GKXW7XYV"],"itemData":{"id":65884,"type":"webpage","abstract":"Evidence-based recommendations on eribulin (Halaven) for treating locally advanced or metastatic breast cancer after 2 or more types of chemotherapy","language":"eng","note":"publisher: NICE","title":"Eribulin for treating locally advanced or metastatic breast cancer after 2 or more chemotherapy regimens | NICE [TA423]","URL":"https://www.nice.org.uk/guidance/ta423","author":[{"family":"NICE","given":""}],"accessed":{"date-parts":[["2022",10,17]]}}}],"schema":"https://github.com/citation-style-language/schema/raw/master/csl-citation.json"} </w:instrText>
      </w:r>
      <w:r>
        <w:fldChar w:fldCharType="separate"/>
      </w:r>
      <w:r w:rsidR="00CA6345" w:rsidRPr="00CA6345">
        <w:rPr>
          <w:rFonts w:cs="Arial"/>
          <w:szCs w:val="24"/>
          <w:vertAlign w:val="superscript"/>
        </w:rPr>
        <w:t>1, 7,131</w:t>
      </w:r>
      <w:r>
        <w:fldChar w:fldCharType="end"/>
      </w:r>
      <w:r>
        <w:t xml:space="preserve"> </w:t>
      </w:r>
    </w:p>
    <w:p w14:paraId="54B6E338" w14:textId="49938BDB" w:rsidR="00057A9B" w:rsidRDefault="00057A9B" w:rsidP="00057A9B">
      <w:pPr>
        <w:pStyle w:val="Body"/>
      </w:pPr>
      <w:r>
        <w:t>While the company acknowledges this difference, eribulin was used frequently after two lines of chemotherapy in the metastatic setting in DESTINY-Breast04 (N=</w:t>
      </w:r>
      <w:r w:rsidR="00294FDC" w:rsidRPr="00294FDC">
        <w:rPr>
          <w:color w:val="000000"/>
          <w:highlight w:val="black"/>
        </w:rPr>
        <w:t>xx</w:t>
      </w:r>
      <w:r>
        <w:t xml:space="preserve">; </w:t>
      </w:r>
      <w:r w:rsidR="00294FDC" w:rsidRPr="00294FDC">
        <w:rPr>
          <w:color w:val="000000"/>
          <w:highlight w:val="black"/>
        </w:rPr>
        <w:t>xxx</w:t>
      </w:r>
      <w:r>
        <w:t>; of all eribulin-treated patients),</w:t>
      </w:r>
      <w:r>
        <w:fldChar w:fldCharType="begin"/>
      </w:r>
      <w:r w:rsidR="00CA6345">
        <w:instrText xml:space="preserve"> ADDIN ZOTERO_ITEM CSL_CITATION {"citationID":"IbN8uDwZ","properties":{"formattedCitation":"\\super 149\\nosupersub{}","plainCitation":"149","noteIndex":0},"citationItems":[{"id":66660,"uris":["http://zotero.org/groups/4797619/items/7IE7XURL"],"itemData":{"id":66660,"type":"document","title":"DESTINY-Breast04: Post hoc analyses on relative use of TPC agents by line of therapy. Data on File.","author":[{"family":"Daiichi Sankyo Inc.","given":""}],"issued":{"date-parts":[["2023"]]}}}],"schema":"https://github.com/citation-style-language/schema/raw/master/csl-citation.json"} </w:instrText>
      </w:r>
      <w:r>
        <w:fldChar w:fldCharType="separate"/>
      </w:r>
      <w:r w:rsidR="00CA6345" w:rsidRPr="00CA6345">
        <w:rPr>
          <w:rFonts w:cs="Arial"/>
          <w:szCs w:val="24"/>
          <w:vertAlign w:val="superscript"/>
        </w:rPr>
        <w:t>149</w:t>
      </w:r>
      <w:r>
        <w:fldChar w:fldCharType="end"/>
      </w:r>
      <w:r>
        <w:t xml:space="preserve"> meaning a considerable proportion of patients treated with eribulin were treated in the same setting as they would be in UK clinical practice. </w:t>
      </w:r>
    </w:p>
    <w:p w14:paraId="0737AB99" w14:textId="51F18636" w:rsidR="00057A9B" w:rsidRDefault="00057A9B" w:rsidP="00057A9B">
      <w:pPr>
        <w:pStyle w:val="Body"/>
      </w:pPr>
      <w:r>
        <w:t>Moreover</w:t>
      </w:r>
      <w:r w:rsidRPr="00945D1F">
        <w:t xml:space="preserve">, the </w:t>
      </w:r>
      <w:r>
        <w:t>removal</w:t>
      </w:r>
      <w:r w:rsidRPr="00945D1F">
        <w:t xml:space="preserve"> of eribulin </w:t>
      </w:r>
      <w:r>
        <w:t>at second-line chemotherapy in the metastatic setting from</w:t>
      </w:r>
      <w:r w:rsidRPr="00945D1F">
        <w:t xml:space="preserve"> the TPC arm </w:t>
      </w:r>
      <w:r>
        <w:t>has minimal impact on the treatment effect of T-DXd, as shown by results from a post hoc analysis in which patients were excluded if they were assigned to second-line eribulin prior to randomisation.</w:t>
      </w:r>
      <w:r w:rsidRPr="002612F7">
        <w:rPr>
          <w:rStyle w:val="FootnoteReference"/>
        </w:rPr>
        <w:footnoteReference w:id="9"/>
      </w:r>
      <w:r>
        <w:t xml:space="preserve"> In this analysis, the OS HR of T-DXd vs. TPC was similar when comparing the FAS to the analysis in which second-line eribulin patients were excluded (HR: </w:t>
      </w:r>
      <w:r w:rsidRPr="006A0D5F">
        <w:t>0.64</w:t>
      </w:r>
      <w:r>
        <w:t xml:space="preserve"> [95% CI: </w:t>
      </w:r>
      <w:r w:rsidRPr="006A0D5F">
        <w:t>0.49, 0.87</w:t>
      </w:r>
      <w:r>
        <w:t xml:space="preserve">] vs. </w:t>
      </w:r>
      <w:r w:rsidR="00294FDC" w:rsidRPr="00294FDC">
        <w:rPr>
          <w:color w:val="000000"/>
          <w:highlight w:val="black"/>
        </w:rPr>
        <w:t>xxxx</w:t>
      </w:r>
      <w:r>
        <w:t xml:space="preserve"> [95% CI: </w:t>
      </w:r>
      <w:r w:rsidR="00294FDC" w:rsidRPr="00294FDC">
        <w:rPr>
          <w:color w:val="000000"/>
          <w:highlight w:val="black"/>
        </w:rPr>
        <w:t>xxxx</w:t>
      </w:r>
      <w:r>
        <w:rPr>
          <w:rFonts w:cs="Arial"/>
          <w:color w:val="000000"/>
        </w:rPr>
        <w:t xml:space="preserve">, </w:t>
      </w:r>
      <w:r w:rsidR="00294FDC" w:rsidRPr="00294FDC">
        <w:rPr>
          <w:rFonts w:cs="Arial"/>
          <w:color w:val="000000"/>
          <w:highlight w:val="black"/>
        </w:rPr>
        <w:t>xxxx</w:t>
      </w:r>
      <w:r>
        <w:t xml:space="preserve">], respectively). The PFS HR was also similar between the FAS and the analysis in which second-line eribulin patients were removed (HR: </w:t>
      </w:r>
      <w:r w:rsidRPr="00F00E96">
        <w:t>0.</w:t>
      </w:r>
      <w:r>
        <w:t xml:space="preserve">50 [95% CI: 0.40, 0.63] vs. </w:t>
      </w:r>
      <w:r w:rsidR="00294FDC" w:rsidRPr="00294FDC">
        <w:rPr>
          <w:color w:val="000000"/>
          <w:highlight w:val="black"/>
        </w:rPr>
        <w:t>xxxx</w:t>
      </w:r>
      <w:r>
        <w:rPr>
          <w:u w:val="single"/>
        </w:rPr>
        <w:t>;</w:t>
      </w:r>
      <w:r>
        <w:t xml:space="preserve"> 95% CI: [</w:t>
      </w:r>
      <w:r w:rsidR="00294FDC" w:rsidRPr="00294FDC">
        <w:rPr>
          <w:color w:val="000000"/>
          <w:highlight w:val="black"/>
        </w:rPr>
        <w:t>xxxx</w:t>
      </w:r>
      <w:r>
        <w:rPr>
          <w:rFonts w:cs="Arial"/>
          <w:color w:val="000000"/>
        </w:rPr>
        <w:t xml:space="preserve">, </w:t>
      </w:r>
      <w:r w:rsidR="00294FDC" w:rsidRPr="00294FDC">
        <w:rPr>
          <w:rFonts w:cs="Arial"/>
          <w:color w:val="000000"/>
          <w:highlight w:val="black"/>
        </w:rPr>
        <w:t>xxxx</w:t>
      </w:r>
      <w:r>
        <w:t>], respectively).</w:t>
      </w:r>
      <w:r>
        <w:fldChar w:fldCharType="begin"/>
      </w:r>
      <w:r w:rsidR="00CA6345">
        <w:instrText xml:space="preserve"> ADDIN ZOTERO_ITEM CSL_CITATION {"citationID":"E4N0Q3Z4","properties":{"formattedCitation":"\\super 150\\nosupersub{}","plainCitation":"150","noteIndex":0},"citationItems":[{"id":66658,"uris":["http://zotero.org/groups/4797619/items/EKZHIGZM"],"itemData":{"id":66658,"type":"document","title":"DESTINY-Breast04: Post hoc analyses on efficacy of individual TPC agents. Data on File.","author":[{"family":"Daiichi Sankyo Inc.","given":""}],"issued":{"date-parts":[["2023"]]}}}],"schema":"https://github.com/citation-style-language/schema/raw/master/csl-citation.json"} </w:instrText>
      </w:r>
      <w:r>
        <w:fldChar w:fldCharType="separate"/>
      </w:r>
      <w:r w:rsidR="00CA6345" w:rsidRPr="00CA6345">
        <w:rPr>
          <w:rFonts w:cs="Arial"/>
          <w:szCs w:val="24"/>
          <w:vertAlign w:val="superscript"/>
        </w:rPr>
        <w:t>150</w:t>
      </w:r>
      <w:r>
        <w:fldChar w:fldCharType="end"/>
      </w:r>
      <w:r w:rsidRPr="00945D1F">
        <w:t xml:space="preserve"> </w:t>
      </w:r>
      <w:r>
        <w:t>Although the company acknowledges the uncertainty in post hoc analyses, the similarity between HRs indicates that the inclusion of second-line eribulin in the TPC arm of the FAS would not impact the conclusions of this appraisal. Given the increased uncertainty created by stratifying the DESTINY-Breast04 analyses by line of therapy, as confirmed by HEOR experts at an advisory board in December 2022,</w:t>
      </w:r>
      <w:r>
        <w:fldChar w:fldCharType="begin"/>
      </w:r>
      <w:r w:rsidR="00CA6345">
        <w:instrText xml:space="preserve"> ADDIN ZOTERO_ITEM CSL_CITATION {"citationID":"72idipva","properties":{"formattedCitation":"\\super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fldChar w:fldCharType="separate"/>
      </w:r>
      <w:r w:rsidR="00CA6345" w:rsidRPr="00CA6345">
        <w:rPr>
          <w:rFonts w:cs="Arial"/>
          <w:szCs w:val="24"/>
          <w:vertAlign w:val="superscript"/>
        </w:rPr>
        <w:t>121</w:t>
      </w:r>
      <w:r>
        <w:fldChar w:fldCharType="end"/>
      </w:r>
      <w:r>
        <w:t xml:space="preserve"> the company considers it to be appropriate as well as robust to directly use the pre-specified DESTINY-Breast04 FAS analyses including the full TPC arm.</w:t>
      </w:r>
    </w:p>
    <w:p w14:paraId="7DBEAE4C" w14:textId="77777777" w:rsidR="00057A9B" w:rsidRDefault="00057A9B" w:rsidP="00057A9B">
      <w:pPr>
        <w:pStyle w:val="Heading4"/>
      </w:pPr>
      <w:bookmarkStart w:id="126" w:name="_Ref128653726"/>
      <w:r>
        <w:t>A similar TPC arm was accepted as the comparator by NICE in a recent HER2-negative u/mBC appraisal</w:t>
      </w:r>
      <w:bookmarkEnd w:id="126"/>
    </w:p>
    <w:p w14:paraId="17318FC6" w14:textId="005A5914" w:rsidR="00057A9B" w:rsidRDefault="00057A9B" w:rsidP="00057A9B">
      <w:pPr>
        <w:pStyle w:val="Body"/>
      </w:pPr>
      <w:r>
        <w:t xml:space="preserve">Using a pooled TPC comparator arm in this appraisal is appropriate as a </w:t>
      </w:r>
      <w:r w:rsidRPr="002646F6">
        <w:t xml:space="preserve">similar TPC comparator arm was </w:t>
      </w:r>
      <w:r>
        <w:t xml:space="preserve">recently </w:t>
      </w:r>
      <w:r w:rsidRPr="002646F6">
        <w:t xml:space="preserve">accepted by NICE </w:t>
      </w:r>
      <w:r>
        <w:t>in triple-negative u/mBC (</w:t>
      </w:r>
      <w:r w:rsidRPr="00945D1F">
        <w:t>TA819</w:t>
      </w:r>
      <w:r>
        <w:t>; SG</w:t>
      </w:r>
      <w:r w:rsidRPr="00945D1F">
        <w:t xml:space="preserve"> in unresectable triple-negative </w:t>
      </w:r>
      <w:r>
        <w:t xml:space="preserve">advanced </w:t>
      </w:r>
      <w:r w:rsidRPr="00945D1F">
        <w:t>BC after 2 or more therapies</w:t>
      </w:r>
      <w:r>
        <w:t>; August 2022).</w:t>
      </w:r>
      <w:r w:rsidRPr="002646F6">
        <w:fldChar w:fldCharType="begin"/>
      </w:r>
      <w:r w:rsidR="00CA6345">
        <w:instrText xml:space="preserve"> ADDIN ZOTERO_ITEM CSL_CITATION {"citationID":"TmkT6uuQ","properties":{"formattedCitation":"\\super 132\\nosupersub{}","plainCitation":"132","noteIndex":0},"citationItems":[{"id":65875,"uris":["http://zotero.org/groups/4797619/items/IP9MEGL9"],"itemData":{"id":65875,"type":"webpage","abstract":"Evidence-based recommendations on sacituzumab govetican (Trodelvy) for treating unresectable, triple-negative locally advanced or metastatic breast cancer in adults after 2 or more systemic therapies, at least 1 of which was for advanced disease","language":"eng","note":"publisher: NICE","title":"Sacituzumab govitecan for treating unresectable triple-negative advanced breast cancer after 2 or more therapies | NICE [TA819]","URL":"https://www.nice.org.uk/guidance/ta819","author":[{"family":"NICE","given":""}],"accessed":{"date-parts":[["2022",10,17]]}}}],"schema":"https://github.com/citation-style-language/schema/raw/master/csl-citation.json"} </w:instrText>
      </w:r>
      <w:r w:rsidRPr="002646F6">
        <w:fldChar w:fldCharType="separate"/>
      </w:r>
      <w:r w:rsidR="00CA6345" w:rsidRPr="00CA6345">
        <w:rPr>
          <w:rFonts w:cs="Arial"/>
          <w:szCs w:val="24"/>
          <w:vertAlign w:val="superscript"/>
        </w:rPr>
        <w:t>132</w:t>
      </w:r>
      <w:r w:rsidRPr="002646F6">
        <w:fldChar w:fldCharType="end"/>
      </w:r>
      <w:r w:rsidRPr="002646F6">
        <w:t xml:space="preserve"> </w:t>
      </w:r>
      <w:r>
        <w:t xml:space="preserve">The TPC arm in this appraisal consists of a similar mix of agents as TA819, including </w:t>
      </w:r>
      <w:r w:rsidRPr="00945D1F">
        <w:t>cap</w:t>
      </w:r>
      <w:r>
        <w:t>e</w:t>
      </w:r>
      <w:r w:rsidRPr="00945D1F">
        <w:t>citabine (ASCENT: 12.6%; DESTINY-Breast04: 20.1%)</w:t>
      </w:r>
      <w:r>
        <w:t>,</w:t>
      </w:r>
      <w:r w:rsidRPr="00945D1F">
        <w:t xml:space="preserve"> eribulin (ASCENT: 53.1%; DESTINY-Breast04: 51.1%), and gemcitabine (ASCENT: 14.5%; DESTINY-Breast04: 10.3%).</w:t>
      </w:r>
      <w:r w:rsidRPr="00945D1F">
        <w:fldChar w:fldCharType="begin"/>
      </w:r>
      <w:r w:rsidR="00CA6345">
        <w:instrText xml:space="preserve"> ADDIN ZOTERO_ITEM CSL_CITATION {"citationID":"7eeQBUzd","properties":{"formattedCitation":"\\super 7,132\\nosupersub{}","plainCitation":"7,132","noteIndex":0},"citationItems":[{"id":65875,"uris":["http://zotero.org/groups/4797619/items/IP9MEGL9"],"itemData":{"id":65875,"type":"webpage","abstract":"Evidence-based recommendations on sacituzumab govetican (Trodelvy) for treating unresectable, triple-negative locally advanced or metastatic breast cancer in adults after 2 or more systemic therapies, at least 1 of which was for advanced disease","language":"eng","note":"publisher: NICE","title":"Sacituzumab govitecan for treating unresectable triple-negative advanced breast cancer after 2 or more therapies | NICE [TA819]","URL":"https://www.nice.org.uk/guidance/ta819","author":[{"family":"NICE","given":""}],"accessed":{"date-parts":[["2022",10,17]]}}},{"id":65944,"uris":["http://zotero.org/groups/4797619/items/WBVSVVF7"],"itemData":{"id":65944,"type":"document","title":"Clinical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945D1F">
        <w:fldChar w:fldCharType="separate"/>
      </w:r>
      <w:r w:rsidR="00CA6345" w:rsidRPr="00CA6345">
        <w:rPr>
          <w:rFonts w:cs="Arial"/>
          <w:szCs w:val="24"/>
          <w:vertAlign w:val="superscript"/>
        </w:rPr>
        <w:t>7,132</w:t>
      </w:r>
      <w:r w:rsidRPr="00945D1F">
        <w:fldChar w:fldCharType="end"/>
      </w:r>
      <w:r>
        <w:t xml:space="preserve"> In TA819, t</w:t>
      </w:r>
      <w:r w:rsidRPr="00945D1F">
        <w:t>he E</w:t>
      </w:r>
      <w:r>
        <w:t>AG</w:t>
      </w:r>
      <w:r w:rsidRPr="00945D1F">
        <w:t xml:space="preserve"> </w:t>
      </w:r>
      <w:r>
        <w:t xml:space="preserve">and NICE Committee accepted TPC </w:t>
      </w:r>
      <w:r w:rsidRPr="00945D1F">
        <w:rPr>
          <w:rFonts w:eastAsia="Times New Roman" w:cs="Arial"/>
        </w:rPr>
        <w:t>as a suitable proxy for usual care in the NHS and a clinically relevant comparator for the population under consideration</w:t>
      </w:r>
      <w:r w:rsidRPr="00ED7708">
        <w:t>.</w:t>
      </w:r>
      <w:r w:rsidRPr="00ED7708">
        <w:fldChar w:fldCharType="begin"/>
      </w:r>
      <w:r w:rsidR="00CA6345">
        <w:instrText xml:space="preserve"> ADDIN ZOTERO_ITEM CSL_CITATION {"citationID":"E6hol0O5","properties":{"formattedCitation":"\\super 132\\nosupersub{}","plainCitation":"132","noteIndex":0},"citationItems":[{"id":65875,"uris":["http://zotero.org/groups/4797619/items/IP9MEGL9"],"itemData":{"id":65875,"type":"webpage","abstract":"Evidence-based recommendations on sacituzumab govetican (Trodelvy) for treating unresectable, triple-negative locally advanced or metastatic breast cancer in adults after 2 or more systemic therapies, at least 1 of which was for advanced disease","language":"eng","note":"publisher: NICE","title":"Sacituzumab govitecan for treating unresectable triple-negative advanced breast cancer after 2 or more therapies | NICE [TA819]","URL":"https://www.nice.org.uk/guidance/ta819","author":[{"family":"NICE","given":""}],"accessed":{"date-parts":[["2022",10,17]]}}}],"schema":"https://github.com/citation-style-language/schema/raw/master/csl-citation.json"} </w:instrText>
      </w:r>
      <w:r w:rsidRPr="00ED7708">
        <w:fldChar w:fldCharType="separate"/>
      </w:r>
      <w:r w:rsidR="00CA6345" w:rsidRPr="00CA6345">
        <w:rPr>
          <w:rFonts w:cs="Arial"/>
          <w:szCs w:val="24"/>
          <w:vertAlign w:val="superscript"/>
        </w:rPr>
        <w:t>132</w:t>
      </w:r>
      <w:r w:rsidRPr="00ED7708">
        <w:fldChar w:fldCharType="end"/>
      </w:r>
      <w:r>
        <w:t xml:space="preserve"> Given the similarities between the TPC arms, coupled with the robustness of directly using the pre-specified FAS analyses from a head-to-head trial, the company considers the full TPC dataset of DESTINY-Breast04 to be the most relevant comparator for this appraisal. This was confirmed by HEOR experts at an advisory board, who agreed that the pooled TPC arm is the most relevant and robust comparator for decision-making.</w:t>
      </w:r>
      <w:r>
        <w:fldChar w:fldCharType="begin"/>
      </w:r>
      <w:r w:rsidR="00CA6345">
        <w:instrText xml:space="preserve"> ADDIN ZOTERO_ITEM CSL_CITATION {"citationID":"74efhLKY","properties":{"formattedCitation":"\\super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fldChar w:fldCharType="separate"/>
      </w:r>
      <w:r w:rsidR="00CA6345" w:rsidRPr="00CA6345">
        <w:rPr>
          <w:rFonts w:cs="Arial"/>
          <w:szCs w:val="24"/>
          <w:vertAlign w:val="superscript"/>
        </w:rPr>
        <w:t>121</w:t>
      </w:r>
      <w:r>
        <w:fldChar w:fldCharType="end"/>
      </w:r>
      <w:r>
        <w:t xml:space="preserve"> </w:t>
      </w:r>
    </w:p>
    <w:p w14:paraId="2AD33108" w14:textId="77777777" w:rsidR="007C1215" w:rsidRDefault="007C1215" w:rsidP="00057A9B">
      <w:pPr>
        <w:pStyle w:val="Body"/>
      </w:pPr>
    </w:p>
    <w:p w14:paraId="636563A3" w14:textId="77777777" w:rsidR="00057A9B" w:rsidRPr="006A57CA" w:rsidRDefault="00057A9B" w:rsidP="00057A9B">
      <w:pPr>
        <w:pStyle w:val="Heading4"/>
      </w:pPr>
      <w:bookmarkStart w:id="127" w:name="_Ref129032248"/>
      <w:r w:rsidRPr="006A57CA">
        <w:lastRenderedPageBreak/>
        <w:t>Conclusion</w:t>
      </w:r>
      <w:bookmarkEnd w:id="127"/>
    </w:p>
    <w:p w14:paraId="43AC53B5" w14:textId="77777777" w:rsidR="00057A9B" w:rsidRDefault="00057A9B" w:rsidP="00057A9B">
      <w:pPr>
        <w:spacing w:before="120" w:after="120"/>
        <w:rPr>
          <w:rFonts w:eastAsia="Times New Roman" w:cs="Arial"/>
        </w:rPr>
      </w:pPr>
      <w:r w:rsidRPr="002646F6">
        <w:t>In summary</w:t>
      </w:r>
      <w:r w:rsidRPr="00945D1F">
        <w:t>, the</w:t>
      </w:r>
      <w:r w:rsidRPr="00945D1F">
        <w:rPr>
          <w:rFonts w:eastAsia="Times New Roman" w:cs="Arial"/>
        </w:rPr>
        <w:t xml:space="preserve"> TPC ar</w:t>
      </w:r>
      <w:r>
        <w:rPr>
          <w:rFonts w:eastAsia="Times New Roman" w:cs="Arial"/>
        </w:rPr>
        <w:t>m is the most robust and appropriate comparator for this appraisal for the following reasons:</w:t>
      </w:r>
    </w:p>
    <w:p w14:paraId="45142B62" w14:textId="3E044A77" w:rsidR="00057A9B" w:rsidRPr="00505541" w:rsidRDefault="00057A9B" w:rsidP="00057A9B">
      <w:pPr>
        <w:pStyle w:val="ListParagraph"/>
        <w:numPr>
          <w:ilvl w:val="0"/>
          <w:numId w:val="38"/>
        </w:numPr>
        <w:spacing w:before="120" w:after="120"/>
        <w:rPr>
          <w:rFonts w:eastAsia="Times New Roman" w:cs="Arial"/>
        </w:rPr>
      </w:pPr>
      <w:r>
        <w:rPr>
          <w:rFonts w:eastAsia="Times New Roman" w:cs="Arial"/>
        </w:rPr>
        <w:t xml:space="preserve">There is no </w:t>
      </w:r>
      <w:r w:rsidRPr="00383A36">
        <w:rPr>
          <w:rFonts w:eastAsia="Times New Roman" w:cs="Arial"/>
        </w:rPr>
        <w:t>clear pathway in HER2-low mBC in the UK</w:t>
      </w:r>
      <w:r>
        <w:rPr>
          <w:rFonts w:eastAsia="Times New Roman" w:cs="Arial"/>
        </w:rPr>
        <w:t xml:space="preserve"> and the TPC arm of </w:t>
      </w:r>
      <w:r>
        <w:t>DESTINY-Breast04</w:t>
      </w:r>
      <w:r>
        <w:rPr>
          <w:rFonts w:eastAsia="Times New Roman" w:cs="Arial"/>
        </w:rPr>
        <w:t xml:space="preserve"> </w:t>
      </w:r>
      <w:r w:rsidRPr="00383A36">
        <w:rPr>
          <w:rFonts w:eastAsia="Times New Roman" w:cs="Arial"/>
        </w:rPr>
        <w:t>is representative of</w:t>
      </w:r>
      <w:r>
        <w:rPr>
          <w:rFonts w:eastAsia="Times New Roman" w:cs="Arial"/>
        </w:rPr>
        <w:t xml:space="preserve"> and generalisable to</w:t>
      </w:r>
      <w:r w:rsidRPr="00383A36">
        <w:rPr>
          <w:rFonts w:eastAsia="Times New Roman" w:cs="Arial"/>
        </w:rPr>
        <w:t xml:space="preserve"> usual care in the NHS</w:t>
      </w:r>
      <w:r>
        <w:rPr>
          <w:rFonts w:eastAsia="Times New Roman" w:cs="Arial"/>
        </w:rPr>
        <w:t>, as confirmed by</w:t>
      </w:r>
      <w:r w:rsidRPr="00383A36">
        <w:rPr>
          <w:rFonts w:eastAsia="Times New Roman" w:cs="Times New Roman"/>
        </w:rPr>
        <w:t xml:space="preserve"> UK clinical and HEOR expert</w:t>
      </w:r>
      <w:r>
        <w:rPr>
          <w:rFonts w:eastAsia="Times New Roman" w:cs="Times New Roman"/>
        </w:rPr>
        <w:t xml:space="preserve">s </w:t>
      </w:r>
      <w:r w:rsidRPr="00383A36">
        <w:rPr>
          <w:rFonts w:eastAsia="Times New Roman" w:cs="Times New Roman"/>
        </w:rPr>
        <w:t>at an advisory board in December 2022.</w:t>
      </w:r>
      <w:r>
        <w:rPr>
          <w:rFonts w:eastAsia="Times New Roman" w:cs="Times New Roman"/>
        </w:rPr>
        <w:fldChar w:fldCharType="begin"/>
      </w:r>
      <w:r w:rsidR="00CA6345">
        <w:rPr>
          <w:rFonts w:eastAsia="Times New Roman" w:cs="Times New Roman"/>
        </w:rPr>
        <w:instrText xml:space="preserve"> ADDIN ZOTERO_ITEM CSL_CITATION {"citationID":"gqFLrW7Q","properties":{"formattedCitation":"\\super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Pr>
          <w:rFonts w:eastAsia="Times New Roman" w:cs="Times New Roman"/>
        </w:rPr>
        <w:fldChar w:fldCharType="separate"/>
      </w:r>
      <w:r w:rsidR="00CA6345" w:rsidRPr="00CA6345">
        <w:rPr>
          <w:rFonts w:cs="Arial"/>
          <w:szCs w:val="24"/>
          <w:vertAlign w:val="superscript"/>
        </w:rPr>
        <w:t>121</w:t>
      </w:r>
      <w:r>
        <w:rPr>
          <w:rFonts w:eastAsia="Times New Roman" w:cs="Times New Roman"/>
        </w:rPr>
        <w:fldChar w:fldCharType="end"/>
      </w:r>
      <w:r w:rsidRPr="00505541">
        <w:rPr>
          <w:rFonts w:eastAsia="Times New Roman" w:cs="Arial"/>
        </w:rPr>
        <w:t xml:space="preserve"> </w:t>
      </w:r>
    </w:p>
    <w:p w14:paraId="31D12645" w14:textId="478B2E39" w:rsidR="00057A9B" w:rsidRDefault="00057A9B" w:rsidP="00057A9B">
      <w:pPr>
        <w:pStyle w:val="ListParagraph"/>
        <w:numPr>
          <w:ilvl w:val="0"/>
          <w:numId w:val="38"/>
        </w:numPr>
        <w:spacing w:before="120" w:after="120"/>
        <w:rPr>
          <w:rFonts w:eastAsia="Times New Roman" w:cs="Arial"/>
        </w:rPr>
      </w:pPr>
      <w:r>
        <w:rPr>
          <w:rFonts w:eastAsia="Times New Roman" w:cs="Times New Roman"/>
        </w:rPr>
        <w:t>Comparators in the final scope</w:t>
      </w:r>
      <w:r>
        <w:rPr>
          <w:rFonts w:eastAsia="Times New Roman" w:cs="Times New Roman"/>
        </w:rPr>
        <w:fldChar w:fldCharType="begin"/>
      </w:r>
      <w:r w:rsidR="00CA6345">
        <w:rPr>
          <w:rFonts w:eastAsia="Times New Roman" w:cs="Times New Roman"/>
        </w:rPr>
        <w:instrText xml:space="preserve"> ADDIN ZOTERO_ITEM CSL_CITATION {"citationID":"cawom15q","properties":{"formattedCitation":"\\super 1\\nosupersub{}","plainCitation":"1","noteIndex":0},"citationItems":[{"id":66383,"uris":["http://zotero.org/groups/4797619/items/Y75R2AJY"],"itemData":{"id":66383,"type":"webpage","language":"eng","note":"publisher: NICE","title":"Final Scope. Trastuzumab deruxtecan for treating HER2-low unresectable or metastatic breast cancer after chemotherapy","URL":"https://www.nice.org.uk/guidance/gid-ta10813/documents/final-scope","author":[{"family":"NICE","given":""}],"accessed":{"date-parts":[["2022",11,29]]},"issued":{"date-parts":[["2023",1,6]]}}}],"schema":"https://github.com/citation-style-language/schema/raw/master/csl-citation.json"} </w:instrText>
      </w:r>
      <w:r>
        <w:rPr>
          <w:rFonts w:eastAsia="Times New Roman" w:cs="Times New Roman"/>
        </w:rPr>
        <w:fldChar w:fldCharType="separate"/>
      </w:r>
      <w:r w:rsidR="00FD57F4" w:rsidRPr="00FD57F4">
        <w:rPr>
          <w:rFonts w:cs="Arial"/>
          <w:szCs w:val="24"/>
          <w:vertAlign w:val="superscript"/>
        </w:rPr>
        <w:t>1</w:t>
      </w:r>
      <w:r>
        <w:rPr>
          <w:rFonts w:eastAsia="Times New Roman" w:cs="Times New Roman"/>
        </w:rPr>
        <w:fldChar w:fldCharType="end"/>
      </w:r>
      <w:r>
        <w:rPr>
          <w:rFonts w:eastAsia="Times New Roman" w:cs="Times New Roman"/>
        </w:rPr>
        <w:t xml:space="preserve"> (capecitabine, eribulin, taxanes [paclitaxel]) are well represented in the TPC arm of DESTINY-Breast04, which is generalisable to UK practice.</w:t>
      </w:r>
      <w:r>
        <w:rPr>
          <w:rFonts w:eastAsia="Times New Roman" w:cs="Times New Roman"/>
        </w:rPr>
        <w:fldChar w:fldCharType="begin"/>
      </w:r>
      <w:r w:rsidR="00CA6345">
        <w:rPr>
          <w:rFonts w:eastAsia="Times New Roman" w:cs="Times New Roman"/>
        </w:rPr>
        <w:instrText xml:space="preserve"> ADDIN ZOTERO_ITEM CSL_CITATION {"citationID":"fkzOAsVB","properties":{"formattedCitation":"\\super 140\\nosupersub{}","plainCitation":"140","noteIndex":0},"citationItems":[{"id":66138,"uris":["http://zotero.org/groups/4797619/items/7DECRJ2U"],"itemData":{"id":66138,"type":"document","title":"Trastuzumab deruxtecan (T-DXd) vs treatment of physician's choice in patients with HER2-low unresectable and/or metastatic breast cancer: Results of DESTINY-Breast04, a randomized, phase 3 study. Presented at ASCO 2022 Annual Meeting.","author":[{"family":"Modi","given":"Shanu"},{"family":"Jacot","given":"William"},{"family":"Yamashita","given":"Toshinari"},{"family":"Sohn","given":"Joohyuk"},{"family":"Vidal","given":"Maria"},{"family":"Tokunaga","given":"Eriko"},{"family":"Tsurutani","given":"Junji"},{"family":"Ueno","given":"Naoto T."},{"family":"Chae","given":"Yee Soo"},{"family":"Lee","given":"Keun Seok"},{"family":"Niikura","given":"Naoki"},{"family":"Park","given":"Yeon Hee"},{"family":"Wang","given":"Xiaojia"},{"family":"Xu","given":"Binghe"},{"family":"Gambhire","given":"Dhiraj"},{"family":"Yung","given":"Lotus"},{"family":"Meinhardt","given":"Gerold"},{"family":"Wang","given":"Yibin"},{"family":"Harbeck","given":"Nadia"},{"family":"Cameron","given":"David"}],"issued":{"date-parts":[["2022",6,5]]}}}],"schema":"https://github.com/citation-style-language/schema/raw/master/csl-citation.json"} </w:instrText>
      </w:r>
      <w:r>
        <w:rPr>
          <w:rFonts w:eastAsia="Times New Roman" w:cs="Times New Roman"/>
        </w:rPr>
        <w:fldChar w:fldCharType="separate"/>
      </w:r>
      <w:r w:rsidR="00CA6345" w:rsidRPr="00CA6345">
        <w:rPr>
          <w:rFonts w:cs="Arial"/>
          <w:szCs w:val="24"/>
          <w:vertAlign w:val="superscript"/>
        </w:rPr>
        <w:t>140</w:t>
      </w:r>
      <w:r>
        <w:rPr>
          <w:rFonts w:eastAsia="Times New Roman" w:cs="Times New Roman"/>
        </w:rPr>
        <w:fldChar w:fldCharType="end"/>
      </w:r>
      <w:r w:rsidRPr="002B70B6">
        <w:rPr>
          <w:rFonts w:eastAsia="Times New Roman" w:cs="Arial"/>
        </w:rPr>
        <w:t xml:space="preserve"> </w:t>
      </w:r>
    </w:p>
    <w:p w14:paraId="3FB5EC79" w14:textId="7567D6A4" w:rsidR="00057A9B" w:rsidRPr="00EE1A18" w:rsidRDefault="00057A9B" w:rsidP="00057A9B">
      <w:pPr>
        <w:pStyle w:val="ListParagraph"/>
        <w:numPr>
          <w:ilvl w:val="0"/>
          <w:numId w:val="38"/>
        </w:numPr>
        <w:spacing w:before="120" w:after="120"/>
        <w:rPr>
          <w:rFonts w:eastAsia="Times New Roman" w:cs="Arial"/>
        </w:rPr>
      </w:pPr>
      <w:r>
        <w:rPr>
          <w:rFonts w:eastAsia="Times New Roman" w:cs="Arial"/>
        </w:rPr>
        <w:t>A</w:t>
      </w:r>
      <w:r w:rsidRPr="00383A36">
        <w:rPr>
          <w:rFonts w:eastAsia="Times New Roman" w:cs="Times New Roman"/>
        </w:rPr>
        <w:t xml:space="preserve">ny differences in the </w:t>
      </w:r>
      <w:r>
        <w:rPr>
          <w:rFonts w:eastAsia="Times New Roman" w:cs="Times New Roman"/>
        </w:rPr>
        <w:t xml:space="preserve">agents listed in the </w:t>
      </w:r>
      <w:r w:rsidRPr="00383A36">
        <w:rPr>
          <w:rFonts w:eastAsia="Times New Roman" w:cs="Times New Roman"/>
        </w:rPr>
        <w:t xml:space="preserve">TPC arm </w:t>
      </w:r>
      <w:r>
        <w:rPr>
          <w:rFonts w:eastAsia="Times New Roman" w:cs="Times New Roman"/>
        </w:rPr>
        <w:t>vs.</w:t>
      </w:r>
      <w:r w:rsidRPr="00383A36">
        <w:rPr>
          <w:rFonts w:eastAsia="Times New Roman" w:cs="Times New Roman"/>
        </w:rPr>
        <w:t xml:space="preserve"> the final scope are expected to have minimal impact on decision-making</w:t>
      </w:r>
      <w:r>
        <w:rPr>
          <w:rFonts w:eastAsia="Times New Roman" w:cs="Times New Roman"/>
        </w:rPr>
        <w:t xml:space="preserve"> due to similar efficacy across non-targeted chemotherapies</w:t>
      </w:r>
      <w:r w:rsidRPr="00383A36">
        <w:rPr>
          <w:rFonts w:eastAsia="Times New Roman" w:cs="Times New Roman"/>
        </w:rPr>
        <w:t>.</w:t>
      </w:r>
      <w:r>
        <w:rPr>
          <w:rFonts w:eastAsia="Times New Roman" w:cs="Times New Roman"/>
        </w:rPr>
        <w:fldChar w:fldCharType="begin"/>
      </w:r>
      <w:r w:rsidR="00CA6345">
        <w:rPr>
          <w:rFonts w:eastAsia="Times New Roman" w:cs="Times New Roman"/>
        </w:rPr>
        <w:instrText xml:space="preserve"> ADDIN ZOTERO_ITEM CSL_CITATION {"citationID":"Vxk8BtX5","properties":{"formattedCitation":"\\super 118\\nosupersub{}","plainCitation":"118","noteIndex":0},"citationItems":[{"id":66343,"uris":["http://zotero.org/groups/4797619/items/IB6926PV"],"itemData":{"id":66343,"type":"article-journal","abstract":"INTRODUCTION: Currently available evidence does not provide definitive guidance regarding the optimal chemotherapy agents and combinations in anthracycline- and taxane-pretreated advanced breast cancer. We performed a systematic review of controlled clinical trials of the cytotoxic agents currently used for this population in Europe: capecitabine, gemcitabine, vinorelbine, docetaxel, paclitaxel and paclitaxel protein-bound particles.\nMETHOD: A systematic review of randomised (RCT) and non-randomised controlled clinical trials (non-RCTs). The primary outcomes of interest were overall survival (OS) and progression-free survival (PFS); secondary outcomes were duration of response (DR), overall response rate (ORR), adverse events and quality of life (QoL). Six electronic databases and grey literature sources were searched; reference tracking was performed on included publications. A narrative synthesis was conducted: heterogeneity of study design and interventions prevented meta-analysis.\nRESULTS: No randomised controlled trial (RCT) found any significant differences between any of the regimens in terms of OS. In terms of PFS, only gemcitabine plus vinorelbine performed significantly better than its comparator, vinorelbine alone. For secondary outcomes, only capecitabine plus bevacizumab had a significantly better outcome than its comparator, capecitabine alone, in terms of ORR. A low quality non-RCT found that both capecitabine monotherapy and a combination of capecitabine plus vinorelbine were significantly more effective than vinorelbine alone in terms of OS and ORR. Across all trials, median OS for these patients typically remained less than 16 months.\nCONCLUSION: The quantity and quality of the available evidence regarding the efficacy of the particular chemotherapy regimens in patients with advanced breast cancer pretreated with an anthracycline and a taxane is extremely limited. New effective therapies are sorely needed in this population.","container-title":"European Journal of Cancer (Oxford, England: 1990)","DOI":"10.1016/j.ejca.2009.05.035","ISSN":"1879-0852","issue":"16","journalAbbreviation":"Eur J Cancer","language":"eng","note":"PMID: 19615886","page":"2749-2758","source":"PubMed","title":"The clinical efficacy of cytotoxic agents in locally advanced or metastatic breast cancer patients pretreated with an anthracycline and a taxane: a systematic review","title-short":"The clinical efficacy of cytotoxic agents in locally advanced or metastatic breast cancer patients pretreated with an anthracycline and a taxane","volume":"45","author":[{"family":"Jassem","given":"Jacek"},{"family":"Carroll","given":"Christopher"},{"family":"Ward","given":"Sue E."},{"family":"Simpson","given":"Emma"},{"family":"Hind","given":"Daniel"}],"issued":{"date-parts":[["2009",11]]}}}],"schema":"https://github.com/citation-style-language/schema/raw/master/csl-citation.json"} </w:instrText>
      </w:r>
      <w:r>
        <w:rPr>
          <w:rFonts w:eastAsia="Times New Roman" w:cs="Times New Roman"/>
        </w:rPr>
        <w:fldChar w:fldCharType="separate"/>
      </w:r>
      <w:r w:rsidR="00CA6345" w:rsidRPr="00CA6345">
        <w:rPr>
          <w:rFonts w:cs="Arial"/>
          <w:szCs w:val="24"/>
          <w:vertAlign w:val="superscript"/>
        </w:rPr>
        <w:t>118</w:t>
      </w:r>
      <w:r>
        <w:rPr>
          <w:rFonts w:eastAsia="Times New Roman" w:cs="Times New Roman"/>
        </w:rPr>
        <w:fldChar w:fldCharType="end"/>
      </w:r>
      <w:r w:rsidRPr="00383A36">
        <w:rPr>
          <w:rFonts w:eastAsia="Times New Roman" w:cs="Times New Roman"/>
        </w:rPr>
        <w:t xml:space="preserve"> </w:t>
      </w:r>
      <w:r>
        <w:rPr>
          <w:rFonts w:eastAsia="Times New Roman" w:cs="Times New Roman"/>
        </w:rPr>
        <w:t>In addition, some therapies in the final scope but not in the TPC arm are unlikely to be used in the same position as T-DXd so are unlikely to be relevant for this appraisal.</w:t>
      </w:r>
    </w:p>
    <w:p w14:paraId="413DBBC4" w14:textId="7C3845B0" w:rsidR="00057A9B" w:rsidRPr="00D96044" w:rsidRDefault="00057A9B" w:rsidP="00057A9B">
      <w:pPr>
        <w:pStyle w:val="ListParagraph"/>
        <w:numPr>
          <w:ilvl w:val="0"/>
          <w:numId w:val="38"/>
        </w:numPr>
        <w:spacing w:before="120" w:after="120"/>
        <w:rPr>
          <w:rFonts w:eastAsia="Times New Roman" w:cs="Arial"/>
        </w:rPr>
      </w:pPr>
      <w:r w:rsidRPr="00383A36">
        <w:rPr>
          <w:rFonts w:eastAsia="Times New Roman" w:cs="Times New Roman"/>
        </w:rPr>
        <w:t>Using the FAS of the pooled TPC arm of DESTINY-Breast04 means directly leveraging data from pre</w:t>
      </w:r>
      <w:r>
        <w:rPr>
          <w:rFonts w:eastAsia="Times New Roman" w:cs="Times New Roman"/>
        </w:rPr>
        <w:t>-specified</w:t>
      </w:r>
      <w:r w:rsidRPr="00383A36">
        <w:rPr>
          <w:rFonts w:eastAsia="Times New Roman" w:cs="Times New Roman"/>
        </w:rPr>
        <w:t xml:space="preserve"> analyses </w:t>
      </w:r>
      <w:r>
        <w:rPr>
          <w:rFonts w:eastAsia="Times New Roman" w:cs="Times New Roman"/>
        </w:rPr>
        <w:t xml:space="preserve">with the largest sample size </w:t>
      </w:r>
      <w:r w:rsidRPr="00383A36">
        <w:rPr>
          <w:rFonts w:eastAsia="Times New Roman" w:cs="Times New Roman"/>
        </w:rPr>
        <w:t>of the key evidence source (i.e.</w:t>
      </w:r>
      <w:r w:rsidR="0011669A">
        <w:rPr>
          <w:rFonts w:eastAsia="Times New Roman" w:cs="Times New Roman"/>
        </w:rPr>
        <w:t>,</w:t>
      </w:r>
      <w:r w:rsidRPr="00383A36">
        <w:rPr>
          <w:rFonts w:eastAsia="Times New Roman" w:cs="Times New Roman"/>
        </w:rPr>
        <w:t xml:space="preserve"> a Phase III, head-to-head comparison with T-DXd), which the company considers to be the most robust and relevant approach and ensures consistency across the appraisal. </w:t>
      </w:r>
    </w:p>
    <w:p w14:paraId="7D164BC5" w14:textId="77777777" w:rsidR="00F23E2B" w:rsidRPr="00F23E2B" w:rsidRDefault="00057A9B" w:rsidP="00057A9B">
      <w:pPr>
        <w:pStyle w:val="ListParagraph"/>
        <w:numPr>
          <w:ilvl w:val="0"/>
          <w:numId w:val="38"/>
        </w:numPr>
        <w:spacing w:before="120" w:after="120"/>
        <w:rPr>
          <w:rFonts w:eastAsia="Times New Roman" w:cs="Arial"/>
        </w:rPr>
      </w:pPr>
      <w:r>
        <w:rPr>
          <w:rFonts w:eastAsia="Times New Roman" w:cs="Times New Roman"/>
        </w:rPr>
        <w:t xml:space="preserve">Using the FAS across both treatment arms ensures the outcomes are powered to detect differences across the whole HER2-low population and maintains randomisation: efficacy analyses in the HR-negative subgroup are exploratory only. </w:t>
      </w:r>
    </w:p>
    <w:p w14:paraId="7347E81A" w14:textId="236495EA" w:rsidR="00057A9B" w:rsidRDefault="00057A9B" w:rsidP="00F710CB">
      <w:pPr>
        <w:pStyle w:val="ListParagraph"/>
        <w:numPr>
          <w:ilvl w:val="0"/>
          <w:numId w:val="38"/>
        </w:numPr>
        <w:spacing w:before="120" w:after="120"/>
      </w:pPr>
      <w:r w:rsidRPr="00F23E2B">
        <w:rPr>
          <w:rFonts w:eastAsia="Times New Roman" w:cs="Arial"/>
        </w:rPr>
        <w:t>A TPC arm containing a similar basket of agents as the DESTINY-Breast04 TPC arm was recently accepted by NICE as a suitable proxy for usual care in the NHS and a clinically relevant comparator for the population under consideration in NICE TA819.</w:t>
      </w:r>
      <w:r w:rsidRPr="00F23E2B">
        <w:rPr>
          <w:rFonts w:eastAsia="Times New Roman" w:cs="Arial"/>
        </w:rPr>
        <w:fldChar w:fldCharType="begin"/>
      </w:r>
      <w:r w:rsidR="00CA6345">
        <w:rPr>
          <w:rFonts w:eastAsia="Times New Roman" w:cs="Arial"/>
        </w:rPr>
        <w:instrText xml:space="preserve"> ADDIN ZOTERO_ITEM CSL_CITATION {"citationID":"cNrCIlQp","properties":{"formattedCitation":"\\super 132\\nosupersub{}","plainCitation":"132","noteIndex":0},"citationItems":[{"id":65875,"uris":["http://zotero.org/groups/4797619/items/IP9MEGL9"],"itemData":{"id":65875,"type":"webpage","abstract":"Evidence-based recommendations on sacituzumab govetican (Trodelvy) for treating unresectable, triple-negative locally advanced or metastatic breast cancer in adults after 2 or more systemic therapies, at least 1 of which was for advanced disease","language":"eng","note":"publisher: NICE","title":"Sacituzumab govitecan for treating unresectable triple-negative advanced breast cancer after 2 or more therapies | NICE [TA819]","URL":"https://www.nice.org.uk/guidance/ta819","author":[{"family":"NICE","given":""}],"accessed":{"date-parts":[["2022",10,17]]}}}],"schema":"https://github.com/citation-style-language/schema/raw/master/csl-citation.json"} </w:instrText>
      </w:r>
      <w:r w:rsidRPr="00F23E2B">
        <w:rPr>
          <w:rFonts w:eastAsia="Times New Roman" w:cs="Arial"/>
        </w:rPr>
        <w:fldChar w:fldCharType="separate"/>
      </w:r>
      <w:r w:rsidR="00CA6345" w:rsidRPr="00CA6345">
        <w:rPr>
          <w:rFonts w:cs="Arial"/>
          <w:szCs w:val="24"/>
          <w:vertAlign w:val="superscript"/>
        </w:rPr>
        <w:t>132</w:t>
      </w:r>
      <w:r w:rsidRPr="00F23E2B">
        <w:rPr>
          <w:rFonts w:eastAsia="Times New Roman" w:cs="Arial"/>
        </w:rPr>
        <w:fldChar w:fldCharType="end"/>
      </w:r>
    </w:p>
    <w:p w14:paraId="63994012" w14:textId="0CFD7A42" w:rsidR="006D77DC" w:rsidRPr="00A43593" w:rsidRDefault="006D77DC" w:rsidP="006D77DC">
      <w:pPr>
        <w:pStyle w:val="Heading2"/>
      </w:pPr>
      <w:bookmarkStart w:id="128" w:name="_Toc129350852"/>
      <w:r w:rsidRPr="00A43593">
        <w:t>Equality considerations</w:t>
      </w:r>
      <w:bookmarkEnd w:id="128"/>
    </w:p>
    <w:p w14:paraId="093BDE5D" w14:textId="5D2408BC" w:rsidR="006D77DC" w:rsidRDefault="006D77DC" w:rsidP="006D77DC">
      <w:pPr>
        <w:pStyle w:val="Body"/>
      </w:pPr>
      <w:r w:rsidRPr="00A43593">
        <w:t>No equality issues are anticipated for th</w:t>
      </w:r>
      <w:r w:rsidR="00850BB3" w:rsidRPr="00A43593">
        <w:t>is</w:t>
      </w:r>
      <w:r w:rsidRPr="00A43593">
        <w:t xml:space="preserve"> appraisal of </w:t>
      </w:r>
      <w:r w:rsidR="00D14B81" w:rsidRPr="002646F6">
        <w:t>T-D</w:t>
      </w:r>
      <w:r w:rsidR="003A13FE" w:rsidRPr="002646F6">
        <w:t>X</w:t>
      </w:r>
      <w:r w:rsidR="00D14B81" w:rsidRPr="002646F6">
        <w:t>d</w:t>
      </w:r>
      <w:r w:rsidRPr="002646F6">
        <w:t xml:space="preserve"> in </w:t>
      </w:r>
      <w:r w:rsidR="00640641" w:rsidRPr="002646F6">
        <w:t>HER2-low u/mBC</w:t>
      </w:r>
      <w:r w:rsidRPr="00A43593">
        <w:t>.</w:t>
      </w:r>
    </w:p>
    <w:p w14:paraId="775CC1A6" w14:textId="77777777" w:rsidR="000B148D" w:rsidRDefault="000B148D" w:rsidP="000B148D">
      <w:pPr>
        <w:pStyle w:val="Heading1"/>
      </w:pPr>
      <w:bookmarkStart w:id="129" w:name="_Ref101384260"/>
      <w:bookmarkStart w:id="130" w:name="_Toc124447826"/>
      <w:bookmarkStart w:id="131" w:name="_Toc129350853"/>
      <w:r>
        <w:lastRenderedPageBreak/>
        <w:t>Clinical effectiveness</w:t>
      </w:r>
      <w:bookmarkEnd w:id="129"/>
      <w:bookmarkEnd w:id="130"/>
      <w:bookmarkEnd w:id="131"/>
    </w:p>
    <w:tbl>
      <w:tblPr>
        <w:tblStyle w:val="TableGrid"/>
        <w:tblW w:w="9065" w:type="dxa"/>
        <w:tblLook w:val="04A0" w:firstRow="1" w:lastRow="0" w:firstColumn="1" w:lastColumn="0" w:noHBand="0" w:noVBand="1"/>
      </w:tblPr>
      <w:tblGrid>
        <w:gridCol w:w="9065"/>
      </w:tblGrid>
      <w:tr w:rsidR="00A91091" w14:paraId="49F1B941" w14:textId="77777777" w:rsidTr="00650DAF">
        <w:trPr>
          <w:trHeight w:val="11472"/>
        </w:trPr>
        <w:tc>
          <w:tcPr>
            <w:tcW w:w="9065" w:type="dxa"/>
            <w:shd w:val="clear" w:color="auto" w:fill="D9D9D9" w:themeFill="background1" w:themeFillShade="D9"/>
          </w:tcPr>
          <w:p w14:paraId="3C7DF078" w14:textId="60F6F79E" w:rsidR="000B148D" w:rsidRPr="00C9400D" w:rsidRDefault="000B148D">
            <w:pPr>
              <w:pStyle w:val="Summarybox"/>
              <w:spacing w:after="120"/>
              <w:rPr>
                <w:b/>
                <w:bCs/>
              </w:rPr>
            </w:pPr>
            <w:r w:rsidRPr="00C9400D">
              <w:rPr>
                <w:b/>
                <w:bCs/>
              </w:rPr>
              <w:t xml:space="preserve">Evidence for this submission comes from the pivotal, </w:t>
            </w:r>
            <w:r w:rsidR="003C6AD3">
              <w:rPr>
                <w:b/>
                <w:bCs/>
              </w:rPr>
              <w:t>P</w:t>
            </w:r>
            <w:r w:rsidRPr="00C9400D">
              <w:rPr>
                <w:b/>
                <w:bCs/>
              </w:rPr>
              <w:t>hase III, multicentre, open-label, randomised</w:t>
            </w:r>
            <w:r>
              <w:rPr>
                <w:b/>
                <w:bCs/>
              </w:rPr>
              <w:t>, active-controlled</w:t>
            </w:r>
            <w:r w:rsidRPr="00C9400D">
              <w:rPr>
                <w:b/>
                <w:bCs/>
              </w:rPr>
              <w:t xml:space="preserve"> DESTINY-Breast04 trial assessing the efficacy and safety of T-DXd vs. TPC in patients with HER2-low u/mBC after treatment with one or two lines of chemotherapy in the </w:t>
            </w:r>
            <w:r w:rsidR="00681CB6">
              <w:rPr>
                <w:b/>
                <w:bCs/>
              </w:rPr>
              <w:t>(neo)adjuvant (if recurrence occurs within 6 months) or</w:t>
            </w:r>
            <w:r w:rsidRPr="00C9400D">
              <w:rPr>
                <w:b/>
                <w:bCs/>
              </w:rPr>
              <w:t xml:space="preserve"> metastatic setting</w:t>
            </w:r>
            <w:r w:rsidRPr="00C9400D">
              <w:rPr>
                <w:b/>
                <w:bCs/>
              </w:rPr>
              <w:fldChar w:fldCharType="begin"/>
            </w:r>
            <w:r w:rsidR="00CA6345">
              <w:rPr>
                <w:b/>
                <w:bCs/>
              </w:rPr>
              <w:instrText xml:space="preserve"> ADDIN ZOTERO_ITEM CSL_CITATION {"citationID":"ylWugNu3","properties":{"formattedCitation":"\\super 6,7\\nosupersub{}","plainCitation":"6,7","noteIndex":0},"citationItems":[{"id":65944,"uris":["http://zotero.org/groups/4797619/items/WBVSVVF7"],"itemData":{"id":65944,"type":"document","title":"Clinical Study Report for DS8201-A-U303. Data cut-off date: 11 Jan 2022. Data on File.","author":[{"family":"Daiichi Sankyo Inc.","given":""}],"issued":{"date-parts":[["2022"]]}}},{"id":66153,"uris":["http://zotero.org/groups/4797619/items/DIMCLQBB"],"itemData":{"id":66153,"type":"article-journal","container-title":"New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Pr="00C9400D">
              <w:rPr>
                <w:b/>
                <w:bCs/>
              </w:rPr>
              <w:fldChar w:fldCharType="separate"/>
            </w:r>
            <w:r w:rsidR="00FD57F4" w:rsidRPr="00FD57F4">
              <w:rPr>
                <w:rFonts w:cs="Arial"/>
                <w:szCs w:val="24"/>
                <w:vertAlign w:val="superscript"/>
              </w:rPr>
              <w:t>6,7</w:t>
            </w:r>
            <w:r w:rsidRPr="00C9400D">
              <w:rPr>
                <w:b/>
                <w:bCs/>
              </w:rPr>
              <w:fldChar w:fldCharType="end"/>
            </w:r>
          </w:p>
          <w:p w14:paraId="467F0C7A" w14:textId="77777777" w:rsidR="000B148D" w:rsidRPr="00C9400D" w:rsidRDefault="000B148D" w:rsidP="00954359">
            <w:pPr>
              <w:pStyle w:val="Summarybox"/>
              <w:numPr>
                <w:ilvl w:val="0"/>
                <w:numId w:val="45"/>
              </w:numPr>
              <w:spacing w:after="120"/>
            </w:pPr>
            <w:r w:rsidRPr="00C9400D">
              <w:t xml:space="preserve">DESTINY-Breast04 is the first ever head-to-head Phase III study in HER2-low u/mBC to show a </w:t>
            </w:r>
            <w:r>
              <w:t xml:space="preserve">statistically </w:t>
            </w:r>
            <w:r w:rsidRPr="00C9400D">
              <w:t xml:space="preserve">significant </w:t>
            </w:r>
            <w:r>
              <w:t xml:space="preserve">and clinical meaningful </w:t>
            </w:r>
            <w:r w:rsidRPr="00C9400D">
              <w:t xml:space="preserve">benefit of </w:t>
            </w:r>
            <w:r>
              <w:t xml:space="preserve">a </w:t>
            </w:r>
            <w:r w:rsidRPr="00C9400D">
              <w:t xml:space="preserve">HER2-targeted treatment versus </w:t>
            </w:r>
            <w:r>
              <w:t xml:space="preserve">non-targeted </w:t>
            </w:r>
            <w:r w:rsidRPr="00C9400D">
              <w:t>chemotherapy</w:t>
            </w:r>
            <w:r>
              <w:t>.</w:t>
            </w:r>
          </w:p>
          <w:p w14:paraId="130E78D8" w14:textId="0178974D" w:rsidR="000B148D" w:rsidRPr="00C9400D" w:rsidRDefault="000B148D" w:rsidP="00954359">
            <w:pPr>
              <w:pStyle w:val="Summarybox"/>
              <w:numPr>
                <w:ilvl w:val="0"/>
                <w:numId w:val="45"/>
              </w:numPr>
              <w:spacing w:after="120"/>
            </w:pPr>
            <w:r w:rsidRPr="00C9400D">
              <w:t xml:space="preserve">An SLR to identify </w:t>
            </w:r>
            <w:r w:rsidR="00063B70">
              <w:t>studies of</w:t>
            </w:r>
            <w:r w:rsidRPr="00C9400D">
              <w:t xml:space="preserve"> T-DXd in this setting confirmed there is no additional evidence of relevance for this appraisal</w:t>
            </w:r>
            <w:r>
              <w:t>.</w:t>
            </w:r>
          </w:p>
          <w:p w14:paraId="2D3EA5C0" w14:textId="5B0DBE2C" w:rsidR="000B148D" w:rsidRDefault="000B148D" w:rsidP="00954359">
            <w:pPr>
              <w:pStyle w:val="Summarybox"/>
              <w:numPr>
                <w:ilvl w:val="0"/>
                <w:numId w:val="45"/>
              </w:numPr>
              <w:spacing w:after="120"/>
            </w:pPr>
            <w:r w:rsidRPr="00C9400D">
              <w:t xml:space="preserve">DESTINY-Breast04 is ongoing, </w:t>
            </w:r>
            <w:r>
              <w:t>with</w:t>
            </w:r>
            <w:r w:rsidRPr="00C9400D">
              <w:t xml:space="preserve"> evidence presented in this submission </w:t>
            </w:r>
            <w:r>
              <w:t>from the primary analysis of PFS</w:t>
            </w:r>
            <w:r w:rsidRPr="00C9400D">
              <w:t xml:space="preserve"> (DCO 11 January 2022)</w:t>
            </w:r>
            <w:r>
              <w:t xml:space="preserve"> </w:t>
            </w:r>
            <w:r w:rsidRPr="00C9400D">
              <w:t xml:space="preserve">with median follow-up of </w:t>
            </w:r>
            <w:r>
              <w:t>15.3 months in the FAS (</w:t>
            </w:r>
            <w:r w:rsidRPr="001261BD">
              <w:rPr>
                <w:rFonts w:eastAsiaTheme="majorEastAsia" w:cs="Arial"/>
              </w:rPr>
              <w:t>16.1</w:t>
            </w:r>
            <w:r w:rsidRPr="000A55EB">
              <w:rPr>
                <w:rFonts w:cs="Arial"/>
              </w:rPr>
              <w:t xml:space="preserve"> months</w:t>
            </w:r>
            <w:r w:rsidRPr="000A55EB">
              <w:rPr>
                <w:rFonts w:eastAsiaTheme="majorEastAsia" w:cs="Arial"/>
              </w:rPr>
              <w:t xml:space="preserve"> with the T-DXd arm and 13.5 months with TPC).</w:t>
            </w:r>
            <w:r w:rsidRPr="00C9400D">
              <w:fldChar w:fldCharType="begin"/>
            </w:r>
            <w:r w:rsidR="00CA6345">
              <w:instrText xml:space="preserve"> ADDIN ZOTERO_ITEM CSL_CITATION {"citationID":"3nObLvR0","properties":{"formattedCitation":"\\super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C9400D">
              <w:fldChar w:fldCharType="separate"/>
            </w:r>
            <w:r w:rsidR="00FD57F4" w:rsidRPr="00FD57F4">
              <w:rPr>
                <w:rFonts w:cs="Arial"/>
                <w:szCs w:val="24"/>
                <w:vertAlign w:val="superscript"/>
              </w:rPr>
              <w:t>7</w:t>
            </w:r>
            <w:r w:rsidRPr="00C9400D">
              <w:fldChar w:fldCharType="end"/>
            </w:r>
          </w:p>
          <w:p w14:paraId="28AB6654" w14:textId="1CF9F2AB" w:rsidR="0051750D" w:rsidRPr="00C9400D" w:rsidRDefault="006F0B90" w:rsidP="00954359">
            <w:pPr>
              <w:pStyle w:val="Summarybox"/>
              <w:numPr>
                <w:ilvl w:val="0"/>
                <w:numId w:val="45"/>
              </w:numPr>
              <w:spacing w:after="120"/>
            </w:pPr>
            <w:r w:rsidRPr="00C9400D">
              <w:t xml:space="preserve">DESTINY-Breast04 </w:t>
            </w:r>
            <w:r>
              <w:t xml:space="preserve">met </w:t>
            </w:r>
            <w:r w:rsidR="001B1ABB">
              <w:t>s</w:t>
            </w:r>
            <w:r w:rsidR="005314D9" w:rsidRPr="000A55EB">
              <w:rPr>
                <w:rFonts w:eastAsiaTheme="majorEastAsia" w:cs="Arial"/>
              </w:rPr>
              <w:t>tatistical significance for all key efficacy endpoints.</w:t>
            </w:r>
            <w:r w:rsidR="005314D9" w:rsidRPr="00C9400D">
              <w:fldChar w:fldCharType="begin"/>
            </w:r>
            <w:r w:rsidR="00CA6345">
              <w:instrText xml:space="preserve"> ADDIN ZOTERO_ITEM CSL_CITATION {"citationID":"f0nwPN3I","properties":{"formattedCitation":"\\super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005314D9" w:rsidRPr="00C9400D">
              <w:fldChar w:fldCharType="separate"/>
            </w:r>
            <w:r w:rsidR="00FD57F4" w:rsidRPr="00FD57F4">
              <w:rPr>
                <w:rFonts w:cs="Arial"/>
                <w:szCs w:val="24"/>
                <w:vertAlign w:val="superscript"/>
              </w:rPr>
              <w:t>7</w:t>
            </w:r>
            <w:r w:rsidR="005314D9" w:rsidRPr="00C9400D">
              <w:fldChar w:fldCharType="end"/>
            </w:r>
          </w:p>
          <w:p w14:paraId="576981D4" w14:textId="77777777" w:rsidR="000B148D" w:rsidRPr="00C9400D" w:rsidRDefault="000B148D">
            <w:pPr>
              <w:pStyle w:val="Summarybox"/>
              <w:spacing w:after="120"/>
              <w:rPr>
                <w:b/>
                <w:bCs/>
              </w:rPr>
            </w:pPr>
            <w:r w:rsidRPr="00C9400D">
              <w:rPr>
                <w:b/>
                <w:bCs/>
              </w:rPr>
              <w:t xml:space="preserve">DESTINY-Breast04 provides evidence on treatment with T-DXd that is generalisable and relevant to UK patients </w:t>
            </w:r>
          </w:p>
          <w:p w14:paraId="05A67C02" w14:textId="75EAD306" w:rsidR="000B148D" w:rsidRPr="00C9400D" w:rsidRDefault="000B148D" w:rsidP="00954359">
            <w:pPr>
              <w:pStyle w:val="Summarybox"/>
              <w:numPr>
                <w:ilvl w:val="0"/>
                <w:numId w:val="45"/>
              </w:numPr>
              <w:spacing w:after="120"/>
            </w:pPr>
            <w:r w:rsidRPr="00C9400D">
              <w:t>DESTINY-Breast04 enrolled patients with either HR-positive or HR-negative HER2-low u/mBC who had received one or two lines of chemotherapy in the unresectable or metastatic setting. If recurrence occurred within six months of (neo)adjuvant chemotherapy, (neo)adjuvant therapy would count as one line of chemotherapy. Patients with HR-positive u/mBC had to have progressed after previous treatment with at least one line of ET</w:t>
            </w:r>
            <w:r>
              <w:t>, and be deemed to no longer benefit from further ET</w:t>
            </w:r>
            <w:r w:rsidRPr="00C9400D">
              <w:t>.</w:t>
            </w:r>
            <w:r w:rsidRPr="00C9400D">
              <w:fldChar w:fldCharType="begin"/>
            </w:r>
            <w:r w:rsidR="00CA6345">
              <w:instrText xml:space="preserve"> ADDIN ZOTERO_ITEM CSL_CITATION {"citationID":"hGtjtYHa","properties":{"formattedCitation":"\\super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C9400D">
              <w:fldChar w:fldCharType="separate"/>
            </w:r>
            <w:r w:rsidR="00FD57F4" w:rsidRPr="00FD57F4">
              <w:rPr>
                <w:rFonts w:cs="Arial"/>
                <w:szCs w:val="24"/>
                <w:vertAlign w:val="superscript"/>
              </w:rPr>
              <w:t>7</w:t>
            </w:r>
            <w:r w:rsidRPr="00C9400D">
              <w:fldChar w:fldCharType="end"/>
            </w:r>
          </w:p>
          <w:p w14:paraId="5EF011F8" w14:textId="7F3F22D8" w:rsidR="000B148D" w:rsidRPr="00C9400D" w:rsidRDefault="000B148D" w:rsidP="00954359">
            <w:pPr>
              <w:pStyle w:val="Summarybox"/>
              <w:numPr>
                <w:ilvl w:val="0"/>
                <w:numId w:val="45"/>
              </w:numPr>
              <w:spacing w:after="120"/>
            </w:pPr>
            <w:r w:rsidRPr="00C9400D">
              <w:t>The comparator arm was TPC, consisting of eribulin (51.1%), capecitabine (20.1%), nab-paclitaxel (10.3%), gemcitabine (10.3%), and paclitaxel (8.2%).</w:t>
            </w:r>
            <w:r>
              <w:fldChar w:fldCharType="begin"/>
            </w:r>
            <w:r w:rsidR="00CA6345">
              <w:instrText xml:space="preserve"> ADDIN ZOTERO_ITEM CSL_CITATION {"citationID":"tLv8CcNx","properties":{"formattedCitation":"\\super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C9400D">
              <w:t xml:space="preserve"> </w:t>
            </w:r>
            <w:r>
              <w:t xml:space="preserve">The generalisability of the TPC arm </w:t>
            </w:r>
            <w:r w:rsidR="00A0276A">
              <w:t xml:space="preserve">to UK practice </w:t>
            </w:r>
            <w:r>
              <w:t>was validated with UK clinical experts;</w:t>
            </w:r>
            <w:r>
              <w:fldChar w:fldCharType="begin"/>
            </w:r>
            <w:r w:rsidR="00CA6345">
              <w:instrText xml:space="preserve"> ADDIN ZOTERO_ITEM CSL_CITATION {"citationID":"5YCSqgjZ","properties":{"formattedCitation":"\\super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fldChar w:fldCharType="separate"/>
            </w:r>
            <w:r w:rsidR="00CA6345" w:rsidRPr="00CA6345">
              <w:rPr>
                <w:rFonts w:cs="Arial"/>
                <w:szCs w:val="24"/>
                <w:vertAlign w:val="superscript"/>
              </w:rPr>
              <w:t>121</w:t>
            </w:r>
            <w:r>
              <w:fldChar w:fldCharType="end"/>
            </w:r>
            <w:r>
              <w:t xml:space="preserve"> no clear standard of care exists following prior chemotherapy,</w:t>
            </w:r>
            <w:r w:rsidR="00A0276A">
              <w:t xml:space="preserve"> </w:t>
            </w:r>
            <w:r>
              <w:t xml:space="preserve">chemotherapies used in UK practice have similar efficacy and </w:t>
            </w:r>
            <w:r w:rsidR="00A0276A">
              <w:t xml:space="preserve">are </w:t>
            </w:r>
            <w:r>
              <w:t>well represented in the TPC arm.</w:t>
            </w:r>
            <w:r>
              <w:fldChar w:fldCharType="begin"/>
            </w:r>
            <w:r w:rsidR="00CA6345">
              <w:instrText xml:space="preserve"> ADDIN ZOTERO_ITEM CSL_CITATION {"citationID":"u2MXKdmP","properties":{"formattedCitation":"\\super 118,142,143\\nosupersub{}","plainCitation":"118,142,143","noteIndex":0},"citationItems":[{"id":66374,"uris":["http://zotero.org/groups/4797619/items/QJDC2P3S"],"itemData":{"id":66374,"type":"article-journal","abstract":"Capecitabine, an oral fluoropyrimidine carbamate, was designed to generate 5-fluorouracil preferentially at the tumour site. This randomised, phase II trial evaluated the efficacy and safety of capecitabine or paclitaxel in patients with anthracycline-pretreated metastatic breast cancer. Outpatients with locally advanced and/or metastatic breast cancer whose disease was unresponsive or resistant to anthracycline therapy were randomised to 3-week cycles of intermittent oral capecitabine (1255 mg m(-2) twice daily, days 1-14, (22 patients)) or a reference arm of i.v. paclitaxel (175 mg m(-2), (20 patients)). Two additional patients were initially randomised to continuous capecitabine 666 mg m(-2) twice daily, but this arm was closed following selection of the intermittent schedule for further development. Overall response rate was 36% (95% CI 17-59%) with capecitabine (including three complete responses) and 26% (95% CI 9-51%) with paclitaxel (no complete responses). Median time to disease progression was similar in the two treatment groups (3.0 months with capecitabine, 3.1 months with paclitaxel), as was overall survival (7.6 and 9.4 months, respectively). Paclitaxel was associated with more alopecia, peripheral neuropathy, myalgia and neutropenia, whereas typical capecitabine-related adverse events were diarrhoea, vomiting and hand-foot syndrome. Twenty-three per cent of capecitabine-treated patients and 16% of paclitaxel-treated patients achieved a &gt; or =10% improvement in Karnofsky Performance Status. Oral capecitabine is active in anthracycline-pretreated advanced/metastatic breast cancer and has a favourable safety profile. Furthermore, capecitabine provides a convenient, patient-orientated therapy.","container-title":"British Journal of Cancer","DOI":"10.1038/sj.bjc.6600261","ISSN":"0007-0920","issue":"9","journalAbbreviation":"Br J Cancer","language":"eng","note":"PMID: 11986765\nPMCID: PMC2375384","page":"1367-1372","source":"PubMed","title":"Randomised, phase II trial comparing oral capecitabine (Xeloda) with paclitaxel in patients with metastatic/advanced breast cancer pretreated with anthracyclines","volume":"86","author":[{"family":"Talbot","given":"D. C."},{"family":"Moiseyenko","given":"V."},{"family":"Van Belle","given":"S."},{"family":"O'Reilly","given":"S. M."},{"family":"Alba Conejo","given":"E."},{"family":"Ackland","given":"S."},{"family":"Eisenberg","given":"P."},{"family":"Melnychuk","given":"D."},{"family":"Pienkowski","given":"T."},{"family":"Burger","given":"H.-U."},{"family":"Laws","given":"S."},{"family":"Osterwalder","given":"B."}],"issued":{"date-parts":[["2002",5,6]]}}},{"id":66373,"uris":["http://zotero.org/groups/4797619/items/JNK29M3K"],"itemData":{"id":66373,"type":"article-journal","abstract":"Anthracyclines and taxanes are cytotoxic agents that are commonly used for the treatment of breast cancer, including in the adjuvant, neoadjuvant, and metastatic setting. Each drug class of is associated with cumulative and potentially irreversible toxicity, including cardiomyopathy (anthracyclines) and neuropathy (taxanes). This may either limit the duration of therapy for advanced disease, or prevent retreatment for recurrence if previously used as component of adjuvant or neoadjuvant therapy. Several classes of cytotoxic agents have been evaluated in patients with anthracycline and taxane-pretreated metastatic breast cancer (MBC), including other antitubulins (vinorelbine, ixabepilone, eribulin), antimetabolites (capecitabine, gemcitabine), topoisomerase I inhibitors (irinotecan), platinum analogues (cisplatin, carboplatin), and liposomal doxorubicin preparations. No trials have shown an overall survival advantage for combination chemotherapy in this setting, indicating that single cytotoxic agents should usually be used, expect perhaps in patients with rapidly progressive disease and/or high tumor burden.","container-title":"Current Breast Cancer Reports","DOI":"10.1007/s12609-012-0097-1","ISSN":"1943-4588","issue":"1","journalAbbreviation":"Curr Breast Cancer Rep","language":"eng","note":"PMID: 23440080\nPMCID: PMC3579672","page":"42-50","source":"PubMed","title":"Chemotherapy in Patients with Anthracycline- and Taxane-Pretreated Metastatic Breast Cancer: An Overview","title-short":"Chemotherapy in Patients with Anthracycline- and Taxane-Pretreated Metastatic Breast Cancer","volume":"5","author":[{"family":"Andreopoulou","given":"Eleni"},{"family":"Sparano","given":"Joseph A."}],"issued":{"date-parts":[["2013",3,1]]}}},{"id":66343,"uris":["http://zotero.org/groups/4797619/items/IB6926PV"],"itemData":{"id":66343,"type":"article-journal","abstract":"INTRODUCTION: Currently available evidence does not provide definitive guidance regarding the optimal chemotherapy agents and combinations in anthracycline- and taxane-pretreated advanced breast cancer. We performed a systematic review of controlled clinical trials of the cytotoxic agents currently used for this population in Europe: capecitabine, gemcitabine, vinorelbine, docetaxel, paclitaxel and paclitaxel protein-bound particles.\nMETHOD: A systematic review of randomised (RCT) and non-randomised controlled clinical trials (non-RCTs). The primary outcomes of interest were overall survival (OS) and progression-free survival (PFS); secondary outcomes were duration of response (DR), overall response rate (ORR), adverse events and quality of life (QoL). Six electronic databases and grey literature sources were searched; reference tracking was performed on included publications. A narrative synthesis was conducted: heterogeneity of study design and interventions prevented meta-analysis.\nRESULTS: No randomised controlled trial (RCT) found any significant differences between any of the regimens in terms of OS. In terms of PFS, only gemcitabine plus vinorelbine performed significantly better than its comparator, vinorelbine alone. For secondary outcomes, only capecitabine plus bevacizumab had a significantly better outcome than its comparator, capecitabine alone, in terms of ORR. A low quality non-RCT found that both capecitabine monotherapy and a combination of capecitabine plus vinorelbine were significantly more effective than vinorelbine alone in terms of OS and ORR. Across all trials, median OS for these patients typically remained less than 16 months.\nCONCLUSION: The quantity and quality of the available evidence regarding the efficacy of the particular chemotherapy regimens in patients with advanced breast cancer pretreated with an anthracycline and a taxane is extremely limited. New effective therapies are sorely needed in this population.","container-title":"European Journal of Cancer (Oxford, England: 1990)","DOI":"10.1016/j.ejca.2009.05.035","ISSN":"1879-0852","issue":"16","journalAbbreviation":"Eur J Cancer","language":"eng","note":"PMID: 19615886","page":"2749-2758","source":"PubMed","title":"The clinical efficacy of cytotoxic agents in locally advanced or metastatic breast cancer patients pretreated with an anthracycline and a taxane: a systematic review","title-short":"The clinical efficacy of cytotoxic agents in locally advanced or metastatic breast cancer patients pretreated with an anthracycline and a taxane","volume":"45","author":[{"family":"Jassem","given":"Jacek"},{"family":"Carroll","given":"Christopher"},{"family":"Ward","given":"Sue E."},{"family":"Simpson","given":"Emma"},{"family":"Hind","given":"Daniel"}],"issued":{"date-parts":[["2009",11]]}}}],"schema":"https://github.com/citation-style-language/schema/raw/master/csl-citation.json"} </w:instrText>
            </w:r>
            <w:r>
              <w:fldChar w:fldCharType="separate"/>
            </w:r>
            <w:r w:rsidR="00CA6345" w:rsidRPr="00CA6345">
              <w:rPr>
                <w:rFonts w:cs="Arial"/>
                <w:szCs w:val="24"/>
                <w:vertAlign w:val="superscript"/>
              </w:rPr>
              <w:t>118,142,143</w:t>
            </w:r>
            <w:r>
              <w:fldChar w:fldCharType="end"/>
            </w:r>
            <w:r>
              <w:t xml:space="preserve"> </w:t>
            </w:r>
          </w:p>
          <w:p w14:paraId="3AEE4E9B" w14:textId="29B060B8" w:rsidR="000B148D" w:rsidRPr="00C9400D" w:rsidRDefault="000B148D">
            <w:pPr>
              <w:pStyle w:val="Summarybox"/>
              <w:spacing w:after="120"/>
              <w:rPr>
                <w:b/>
                <w:bCs/>
              </w:rPr>
            </w:pPr>
            <w:r w:rsidRPr="00C9400D">
              <w:rPr>
                <w:b/>
                <w:bCs/>
              </w:rPr>
              <w:t>DESTINY-Breast04 met the primary endpoint of statistically significant PFS benefit by BICR in the HR-positive cohort</w:t>
            </w:r>
            <w:r w:rsidRPr="00C9400D">
              <w:rPr>
                <w:b/>
                <w:bCs/>
              </w:rPr>
              <w:fldChar w:fldCharType="begin"/>
            </w:r>
            <w:r w:rsidR="00CA6345">
              <w:rPr>
                <w:b/>
                <w:bCs/>
              </w:rPr>
              <w:instrText xml:space="preserve"> ADDIN ZOTERO_ITEM CSL_CITATION {"citationID":"7svzJxQM","properties":{"formattedCitation":"\\super 6,7\\nosupersub{}","plainCitation":"6,7","noteIndex":0},"citationItems":[{"id":65944,"uris":["http://zotero.org/groups/4797619/items/WBVSVVF7"],"itemData":{"id":65944,"type":"document","title":"Clinical Study Report for DS8201-A-U303. Data cut-off date: 11 Jan 2022. Data on File.","author":[{"family":"Daiichi Sankyo Inc.","given":""}],"issued":{"date-parts":[["2022"]]}}},{"id":66153,"uris":["http://zotero.org/groups/4797619/items/DIMCLQBB"],"itemData":{"id":66153,"type":"article-journal","container-title":"New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Pr="00C9400D">
              <w:rPr>
                <w:b/>
                <w:bCs/>
              </w:rPr>
              <w:fldChar w:fldCharType="separate"/>
            </w:r>
            <w:r w:rsidR="00FD57F4" w:rsidRPr="00FD57F4">
              <w:rPr>
                <w:rFonts w:cs="Arial"/>
                <w:szCs w:val="24"/>
                <w:vertAlign w:val="superscript"/>
              </w:rPr>
              <w:t>6,7</w:t>
            </w:r>
            <w:r w:rsidRPr="00C9400D">
              <w:rPr>
                <w:b/>
                <w:bCs/>
              </w:rPr>
              <w:fldChar w:fldCharType="end"/>
            </w:r>
          </w:p>
          <w:p w14:paraId="634A5F48" w14:textId="5A560916" w:rsidR="000B148D" w:rsidRPr="00C9400D" w:rsidRDefault="000B148D" w:rsidP="00954359">
            <w:pPr>
              <w:pStyle w:val="Summarybox"/>
              <w:numPr>
                <w:ilvl w:val="0"/>
                <w:numId w:val="45"/>
              </w:numPr>
              <w:spacing w:after="120"/>
            </w:pPr>
            <w:r w:rsidRPr="00C9400D">
              <w:t>Median PFS by BICR in the HR-positive cohort was 10.1 months (95% CI: 9.5, 11.5) in the T-DXd arm vs. 5.4 months (95% CI: 4.4, 7.1) in the TPC arm</w:t>
            </w:r>
            <w:r>
              <w:t>.</w:t>
            </w:r>
            <w:r>
              <w:fldChar w:fldCharType="begin"/>
            </w:r>
            <w:r w:rsidR="00CA6345">
              <w:instrText xml:space="preserve"> ADDIN ZOTERO_ITEM CSL_CITATION {"citationID":"Nu6Geh3O","properties":{"formattedCitation":"\\super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C9400D">
              <w:t xml:space="preserve"> </w:t>
            </w:r>
          </w:p>
          <w:p w14:paraId="3736383B" w14:textId="28C8E125" w:rsidR="000B148D" w:rsidRPr="00C9400D" w:rsidRDefault="000B148D" w:rsidP="00954359">
            <w:pPr>
              <w:pStyle w:val="Summarybox"/>
              <w:numPr>
                <w:ilvl w:val="0"/>
                <w:numId w:val="45"/>
              </w:numPr>
              <w:spacing w:after="120"/>
            </w:pPr>
            <w:r w:rsidRPr="00C9400D">
              <w:t>T</w:t>
            </w:r>
            <w:r w:rsidRPr="00C9400D">
              <w:noBreakHyphen/>
              <w:t>DXd was associated with a statistically significant 49% lower risk of progression or death compared with TPC (HR: 0.51; 95% CI: 0.40, 0.64; p&lt;0.001) in the HR-positive cohort.</w:t>
            </w:r>
            <w:r>
              <w:fldChar w:fldCharType="begin"/>
            </w:r>
            <w:r w:rsidR="00CA6345">
              <w:instrText xml:space="preserve"> ADDIN ZOTERO_ITEM CSL_CITATION {"citationID":"qT4roXTt","properties":{"formattedCitation":"\\super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C9400D" w:rsidDel="00A85EAD">
              <w:t xml:space="preserve"> </w:t>
            </w:r>
          </w:p>
          <w:p w14:paraId="3617F891" w14:textId="0E03F85C" w:rsidR="000B148D" w:rsidRPr="00C9400D" w:rsidRDefault="00294FDC" w:rsidP="00954359">
            <w:pPr>
              <w:pStyle w:val="Summarybox"/>
              <w:numPr>
                <w:ilvl w:val="0"/>
                <w:numId w:val="45"/>
              </w:numPr>
              <w:spacing w:after="120"/>
            </w:pPr>
            <w:r w:rsidRPr="00294FDC">
              <w:rPr>
                <w:color w:val="000000"/>
                <w:highlight w:val="black"/>
              </w:rPr>
              <w:t>xxxxxxxxxxxxxxxxxxxxxxxxx</w:t>
            </w:r>
            <w:r w:rsidR="000B148D" w:rsidRPr="00C9400D">
              <w:t xml:space="preserve"> by PFS by IA (HR: </w:t>
            </w:r>
            <w:r w:rsidRPr="00294FDC">
              <w:rPr>
                <w:color w:val="000000"/>
                <w:highlight w:val="black"/>
              </w:rPr>
              <w:t>xxxx</w:t>
            </w:r>
            <w:r w:rsidR="000B148D" w:rsidRPr="00EC45AD">
              <w:t xml:space="preserve"> </w:t>
            </w:r>
            <w:r w:rsidR="000B148D" w:rsidRPr="00C9400D">
              <w:t xml:space="preserve">for T-DXd vs. TPC; 95% CI: </w:t>
            </w:r>
            <w:r w:rsidRPr="00294FDC">
              <w:rPr>
                <w:color w:val="000000"/>
                <w:highlight w:val="black"/>
              </w:rPr>
              <w:t>xxxxxxxxxx</w:t>
            </w:r>
            <w:r w:rsidR="000B148D" w:rsidRPr="00C9400D">
              <w:t>)</w:t>
            </w:r>
            <w:r w:rsidR="000B148D">
              <w:t xml:space="preserve"> in the HR-positive cohort</w:t>
            </w:r>
            <w:r w:rsidR="000B148D" w:rsidRPr="00C9400D">
              <w:t>.</w:t>
            </w:r>
            <w:r w:rsidR="000B148D" w:rsidRPr="00C9400D">
              <w:fldChar w:fldCharType="begin"/>
            </w:r>
            <w:r w:rsidR="00CA6345">
              <w:instrText xml:space="preserve"> ADDIN ZOTERO_ITEM CSL_CITATION {"citationID":"a2q5qdbckb1","properties":{"formattedCitation":"\\super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000B148D" w:rsidRPr="00C9400D">
              <w:fldChar w:fldCharType="separate"/>
            </w:r>
            <w:r w:rsidR="00FD57F4" w:rsidRPr="00FD57F4">
              <w:rPr>
                <w:rFonts w:cs="Arial"/>
                <w:szCs w:val="24"/>
                <w:vertAlign w:val="superscript"/>
              </w:rPr>
              <w:t>7</w:t>
            </w:r>
            <w:r w:rsidR="000B148D" w:rsidRPr="00C9400D">
              <w:fldChar w:fldCharType="end"/>
            </w:r>
          </w:p>
          <w:p w14:paraId="50A790F1" w14:textId="668A8E3F" w:rsidR="000B148D" w:rsidRPr="00C9400D" w:rsidRDefault="000B148D">
            <w:pPr>
              <w:rPr>
                <w:b/>
                <w:bCs/>
              </w:rPr>
            </w:pPr>
            <w:r w:rsidRPr="00C9400D">
              <w:rPr>
                <w:b/>
                <w:bCs/>
              </w:rPr>
              <w:t>DESTINY-Breast04 also met its key secondary endpoints of PFS by BICR in the FAS, OS in the HR-positive cohort and OS in the FAS</w:t>
            </w:r>
            <w:r>
              <w:rPr>
                <w:b/>
                <w:bCs/>
              </w:rPr>
              <w:fldChar w:fldCharType="begin"/>
            </w:r>
            <w:r w:rsidR="00CA6345">
              <w:rPr>
                <w:b/>
                <w:bCs/>
              </w:rPr>
              <w:instrText xml:space="preserve"> ADDIN ZOTERO_ITEM CSL_CITATION {"citationID":"5rMFMFtv","properties":{"formattedCitation":"\\super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Pr>
                <w:b/>
                <w:bCs/>
              </w:rPr>
              <w:fldChar w:fldCharType="separate"/>
            </w:r>
            <w:r w:rsidR="00FD57F4" w:rsidRPr="00FD57F4">
              <w:rPr>
                <w:rFonts w:cs="Arial"/>
                <w:szCs w:val="24"/>
                <w:vertAlign w:val="superscript"/>
              </w:rPr>
              <w:t>6</w:t>
            </w:r>
            <w:r>
              <w:rPr>
                <w:b/>
                <w:bCs/>
              </w:rPr>
              <w:fldChar w:fldCharType="end"/>
            </w:r>
          </w:p>
          <w:p w14:paraId="47704537" w14:textId="73E2D04B" w:rsidR="000B148D" w:rsidRPr="00C9400D" w:rsidRDefault="000B148D" w:rsidP="00954359">
            <w:pPr>
              <w:pStyle w:val="Summarybox"/>
              <w:numPr>
                <w:ilvl w:val="0"/>
                <w:numId w:val="45"/>
              </w:numPr>
              <w:spacing w:after="120"/>
            </w:pPr>
            <w:r w:rsidRPr="00C9400D">
              <w:t>In the FAS, T-DXd was associated with a statistically significant improvement in PFS by BICR compared with TPC (HR: 0.50; 95% CI: 0.40, 0.63; p&lt;0.001).</w:t>
            </w:r>
            <w:r>
              <w:fldChar w:fldCharType="begin"/>
            </w:r>
            <w:r w:rsidR="00CA6345">
              <w:instrText xml:space="preserve"> ADDIN ZOTERO_ITEM CSL_CITATION {"citationID":"UEDCOyPA","properties":{"formattedCitation":"\\super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C9400D" w:rsidDel="00334B39">
              <w:t xml:space="preserve"> </w:t>
            </w:r>
          </w:p>
          <w:p w14:paraId="391C3CC0" w14:textId="280D639F" w:rsidR="000B148D" w:rsidRPr="00C9400D" w:rsidRDefault="000B148D" w:rsidP="00954359">
            <w:pPr>
              <w:pStyle w:val="Summarybox"/>
              <w:numPr>
                <w:ilvl w:val="0"/>
                <w:numId w:val="45"/>
              </w:numPr>
              <w:spacing w:after="120"/>
            </w:pPr>
            <w:r w:rsidRPr="00C9400D">
              <w:t>In the HR-positive cohort, T</w:t>
            </w:r>
            <w:r w:rsidRPr="00C9400D">
              <w:noBreakHyphen/>
              <w:t>DXd was associated with a statistically significant improvement in OS compared with TPC (HR: 0.64; 95% CI: 0.48, 0.86; p=0.00</w:t>
            </w:r>
            <w:r>
              <w:t>3</w:t>
            </w:r>
            <w:r w:rsidRPr="00C9400D">
              <w:t>).</w:t>
            </w:r>
            <w:r>
              <w:fldChar w:fldCharType="begin"/>
            </w:r>
            <w:r w:rsidR="00CA6345">
              <w:instrText xml:space="preserve"> ADDIN ZOTERO_ITEM CSL_CITATION {"citationID":"md4OpLae","properties":{"formattedCitation":"\\super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p>
          <w:p w14:paraId="0B536F90" w14:textId="454AC658" w:rsidR="000B148D" w:rsidRPr="00C9400D" w:rsidRDefault="000B148D" w:rsidP="00954359">
            <w:pPr>
              <w:pStyle w:val="Summarybox"/>
              <w:numPr>
                <w:ilvl w:val="0"/>
                <w:numId w:val="45"/>
              </w:numPr>
              <w:spacing w:after="120"/>
            </w:pPr>
            <w:r w:rsidRPr="00C9400D">
              <w:lastRenderedPageBreak/>
              <w:t>In the FAS, T-DXd was associated with a statistically significant improvement in OS compared with TPC (HR: 0.64; 95% CI: 0.49, 0.84; p=0.001).</w:t>
            </w:r>
            <w:r>
              <w:fldChar w:fldCharType="begin"/>
            </w:r>
            <w:r w:rsidR="00CA6345">
              <w:instrText xml:space="preserve"> ADDIN ZOTERO_ITEM CSL_CITATION {"citationID":"01sWJu6h","properties":{"formattedCitation":"\\super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C9400D">
              <w:t xml:space="preserve"> </w:t>
            </w:r>
          </w:p>
          <w:p w14:paraId="1AEBAAAD" w14:textId="2DF0FB5B" w:rsidR="000B148D" w:rsidRPr="00C9400D" w:rsidRDefault="000B148D">
            <w:pPr>
              <w:pStyle w:val="Summarybox"/>
              <w:keepNext/>
              <w:spacing w:after="40"/>
              <w:rPr>
                <w:b/>
                <w:bCs/>
              </w:rPr>
            </w:pPr>
            <w:r w:rsidRPr="00C9400D">
              <w:rPr>
                <w:b/>
                <w:bCs/>
              </w:rPr>
              <w:t>T</w:t>
            </w:r>
            <w:r w:rsidRPr="00C9400D">
              <w:rPr>
                <w:b/>
                <w:bCs/>
              </w:rPr>
              <w:noBreakHyphen/>
              <w:t>DXd was associated with a statistically significant confirmed ORR and higher CR and PR rates than TPC</w:t>
            </w:r>
            <w:r>
              <w:rPr>
                <w:b/>
                <w:bCs/>
              </w:rPr>
              <w:fldChar w:fldCharType="begin"/>
            </w:r>
            <w:r w:rsidR="00CA6345">
              <w:rPr>
                <w:b/>
                <w:bCs/>
              </w:rPr>
              <w:instrText xml:space="preserve"> ADDIN ZOTERO_ITEM CSL_CITATION {"citationID":"bC5DXHbr","properties":{"formattedCitation":"\\super 6,7\\nosupersub{}","plainCitation":"6,7","noteIndex":0},"citationItems":[{"id":65944,"uris":["http://zotero.org/groups/4797619/items/WBVSVVF7"],"itemData":{"id":65944,"type":"document","title":"Clinical Study Report for DS8201-A-U303. Data cut-off date: 11 Jan 2022. Data on File.","author":[{"family":"Daiichi Sankyo Inc.","given":""}],"issued":{"date-parts":[["2022"]]}}},{"id":66153,"uris":["http://zotero.org/groups/4797619/items/DIMCLQBB"],"itemData":{"id":66153,"type":"article-journal","container-title":"New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Pr>
                <w:b/>
                <w:bCs/>
              </w:rPr>
              <w:fldChar w:fldCharType="separate"/>
            </w:r>
            <w:r w:rsidR="00FD57F4" w:rsidRPr="00FD57F4">
              <w:rPr>
                <w:rFonts w:cs="Arial"/>
                <w:szCs w:val="24"/>
                <w:vertAlign w:val="superscript"/>
              </w:rPr>
              <w:t>6,7</w:t>
            </w:r>
            <w:r>
              <w:rPr>
                <w:b/>
                <w:bCs/>
              </w:rPr>
              <w:fldChar w:fldCharType="end"/>
            </w:r>
          </w:p>
          <w:p w14:paraId="5DFF6DA3" w14:textId="21F6C008" w:rsidR="000B148D" w:rsidRPr="00C9400D" w:rsidRDefault="000B148D" w:rsidP="00954359">
            <w:pPr>
              <w:pStyle w:val="Summarybox"/>
              <w:numPr>
                <w:ilvl w:val="0"/>
                <w:numId w:val="45"/>
              </w:numPr>
              <w:spacing w:after="120"/>
            </w:pPr>
            <w:r w:rsidRPr="00C9400D">
              <w:t>In the FAS, T-DXd was associated with a significantly greater confirmed ORR by BICR (52.3%) compared with TPC (16.3%) at DCO (</w:t>
            </w:r>
            <w:r w:rsidRPr="0099320D">
              <w:t>p&lt;0.0001</w:t>
            </w:r>
            <w:r w:rsidRPr="00C9400D">
              <w:t>).</w:t>
            </w:r>
            <w:r>
              <w:fldChar w:fldCharType="begin"/>
            </w:r>
            <w:r w:rsidR="00CA6345">
              <w:instrText xml:space="preserve"> ADDIN ZOTERO_ITEM CSL_CITATION {"citationID":"NLBqAUf2","properties":{"formattedCitation":"\\super 6,7\\nosupersub{}","plainCitation":"6,7","noteIndex":0},"citationItems":[{"id":65944,"uris":["http://zotero.org/groups/4797619/items/WBVSVVF7"],"itemData":{"id":65944,"type":"document","title":"Clinical Study Report for DS8201-A-U303. Data cut-off date: 11 Jan 2022. Data on File.","author":[{"family":"Daiichi Sankyo Inc.","given":""}],"issued":{"date-parts":[["2022"]]}}},{"id":66153,"uris":["http://zotero.org/groups/4797619/items/DIMCLQBB"],"itemData":{"id":66153,"type":"article-journal","container-title":"New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6,7</w:t>
            </w:r>
            <w:r>
              <w:fldChar w:fldCharType="end"/>
            </w:r>
            <w:r w:rsidRPr="00C9400D">
              <w:t xml:space="preserve"> </w:t>
            </w:r>
          </w:p>
          <w:p w14:paraId="2B1DE84C" w14:textId="6A3DD2AC" w:rsidR="000B148D" w:rsidRPr="00C9400D" w:rsidRDefault="000B148D" w:rsidP="00954359">
            <w:pPr>
              <w:pStyle w:val="Summarybox"/>
              <w:numPr>
                <w:ilvl w:val="0"/>
                <w:numId w:val="45"/>
              </w:numPr>
              <w:spacing w:after="120"/>
            </w:pPr>
            <w:r w:rsidRPr="00C9400D">
              <w:t xml:space="preserve">In the FAS, a best overall response of CR and PR </w:t>
            </w:r>
            <w:r>
              <w:t xml:space="preserve">by BICR </w:t>
            </w:r>
            <w:r w:rsidRPr="00C9400D">
              <w:t>was observed in more than twice as many patients in the T-DXd arm as the TPC arm (CR: 3.5% vs. 1.1%; PR: 49.1% vs. 15.2%)</w:t>
            </w:r>
            <w:r>
              <w:t>.</w:t>
            </w:r>
            <w:r>
              <w:fldChar w:fldCharType="begin"/>
            </w:r>
            <w:r w:rsidR="00CA6345">
              <w:instrText xml:space="preserve"> ADDIN ZOTERO_ITEM CSL_CITATION {"citationID":"h3vxs9LY","properties":{"formattedCitation":"\\super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p>
          <w:p w14:paraId="35657C88" w14:textId="77777777" w:rsidR="000B148D" w:rsidRPr="00C9400D" w:rsidRDefault="000B148D">
            <w:pPr>
              <w:pStyle w:val="Summarybox"/>
              <w:spacing w:after="120"/>
              <w:rPr>
                <w:b/>
                <w:bCs/>
              </w:rPr>
            </w:pPr>
            <w:r w:rsidRPr="00C9400D">
              <w:rPr>
                <w:b/>
                <w:bCs/>
              </w:rPr>
              <w:t xml:space="preserve">PFS benefit was consistent across stratification factors and pre-specified subgroups </w:t>
            </w:r>
          </w:p>
          <w:p w14:paraId="11674DD8" w14:textId="332CD89D" w:rsidR="000B148D" w:rsidRPr="00C9400D" w:rsidRDefault="000B148D" w:rsidP="00954359">
            <w:pPr>
              <w:pStyle w:val="Summarybox"/>
              <w:numPr>
                <w:ilvl w:val="0"/>
                <w:numId w:val="45"/>
              </w:numPr>
              <w:spacing w:after="120"/>
            </w:pPr>
            <w:r w:rsidRPr="00C9400D">
              <w:t>PFS benefit was consistent across key subgroups, including HER2 status, HR</w:t>
            </w:r>
            <w:r w:rsidR="0033416B">
              <w:t>-</w:t>
            </w:r>
            <w:r w:rsidRPr="00C9400D">
              <w:t>status, number of prior lines of chemotherapy in the metastatic setting, prior CDK4/6 inhibitor use, and ECOG performance status.</w:t>
            </w:r>
            <w:r>
              <w:fldChar w:fldCharType="begin"/>
            </w:r>
            <w:r w:rsidR="00CA6345">
              <w:instrText xml:space="preserve"> ADDIN ZOTERO_ITEM CSL_CITATION {"citationID":"w1WXC6Ar","properties":{"formattedCitation":"\\super 7,140\\nosupersub{}","plainCitation":"7,140","noteIndex":0},"citationItems":[{"id":65944,"uris":["http://zotero.org/groups/4797619/items/WBVSVVF7"],"itemData":{"id":65944,"type":"document","title":"Clinical Study Report for DS8201-A-U303. Data cut-off date: 11 Jan 2022. Data on File.","author":[{"family":"Daiichi Sankyo Inc.","given":""}],"issued":{"date-parts":[["2022"]]}}},{"id":66138,"uris":["http://zotero.org/groups/4797619/items/7DECRJ2U"],"itemData":{"id":66138,"type":"document","title":"Trastuzumab deruxtecan (T-DXd) vs treatment of physician's choice in patients with HER2-low unresectable and/or metastatic breast cancer: Results of DESTINY-Breast04, a randomized, phase 3 study. Presented at ASCO 2022 Annual Meeting.","author":[{"family":"Modi","given":"Shanu"},{"family":"Jacot","given":"William"},{"family":"Yamashita","given":"Toshinari"},{"family":"Sohn","given":"Joohyuk"},{"family":"Vidal","given":"Maria"},{"family":"Tokunaga","given":"Eriko"},{"family":"Tsurutani","given":"Junji"},{"family":"Ueno","given":"Naoto T."},{"family":"Chae","given":"Yee Soo"},{"family":"Lee","given":"Keun Seok"},{"family":"Niikura","given":"Naoki"},{"family":"Park","given":"Yeon Hee"},{"family":"Wang","given":"Xiaojia"},{"family":"Xu","given":"Binghe"},{"family":"Gambhire","given":"Dhiraj"},{"family":"Yung","given":"Lotus"},{"family":"Meinhardt","given":"Gerold"},{"family":"Wang","given":"Yibin"},{"family":"Harbeck","given":"Nadia"},{"family":"Cameron","given":"David"}],"issued":{"date-parts":[["2022",6,5]]}}}],"schema":"https://github.com/citation-style-language/schema/raw/master/csl-citation.json"} </w:instrText>
            </w:r>
            <w:r>
              <w:fldChar w:fldCharType="separate"/>
            </w:r>
            <w:r w:rsidR="00CA6345" w:rsidRPr="00CA6345">
              <w:rPr>
                <w:rFonts w:cs="Arial"/>
                <w:szCs w:val="24"/>
                <w:vertAlign w:val="superscript"/>
              </w:rPr>
              <w:t>7,140</w:t>
            </w:r>
            <w:r>
              <w:fldChar w:fldCharType="end"/>
            </w:r>
          </w:p>
          <w:p w14:paraId="4322022E" w14:textId="270D1522" w:rsidR="000B148D" w:rsidRPr="00C9400D" w:rsidRDefault="000B148D">
            <w:pPr>
              <w:pStyle w:val="Body"/>
              <w:rPr>
                <w:b/>
                <w:bCs/>
              </w:rPr>
            </w:pPr>
            <w:r w:rsidRPr="00C9400D">
              <w:rPr>
                <w:b/>
                <w:bCs/>
              </w:rPr>
              <w:t>T-DXd has a manageable and well-known safety profile in u/mBC, with no new safety concerns identified in DESTINY-Breast04</w:t>
            </w:r>
            <w:r w:rsidRPr="00C9400D">
              <w:rPr>
                <w:b/>
                <w:bCs/>
              </w:rPr>
              <w:fldChar w:fldCharType="begin"/>
            </w:r>
            <w:r w:rsidR="00CA6345">
              <w:rPr>
                <w:b/>
                <w:bCs/>
              </w:rPr>
              <w:instrText xml:space="preserve"> ADDIN ZOTERO_ITEM CSL_CITATION {"citationID":"f6heWmlT","properties":{"formattedCitation":"\\super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C9400D">
              <w:rPr>
                <w:b/>
                <w:bCs/>
              </w:rPr>
              <w:fldChar w:fldCharType="separate"/>
            </w:r>
            <w:r w:rsidR="00FD57F4" w:rsidRPr="00FD57F4">
              <w:rPr>
                <w:rFonts w:cs="Arial"/>
                <w:szCs w:val="24"/>
                <w:vertAlign w:val="superscript"/>
              </w:rPr>
              <w:t>7</w:t>
            </w:r>
            <w:r w:rsidRPr="00C9400D">
              <w:rPr>
                <w:b/>
                <w:bCs/>
              </w:rPr>
              <w:fldChar w:fldCharType="end"/>
            </w:r>
          </w:p>
          <w:p w14:paraId="0ABA66B8" w14:textId="091F273A" w:rsidR="000B148D" w:rsidRDefault="000B148D" w:rsidP="00954359">
            <w:pPr>
              <w:pStyle w:val="Body"/>
              <w:numPr>
                <w:ilvl w:val="0"/>
                <w:numId w:val="45"/>
              </w:numPr>
            </w:pPr>
            <w:r w:rsidRPr="00C9400D">
              <w:t xml:space="preserve">Exposure-adjusted AE rates were lower for T-DXd than TPC for </w:t>
            </w:r>
            <w:r w:rsidRPr="0099320D">
              <w:t xml:space="preserve">TEAEs, Grade </w:t>
            </w:r>
            <w:r w:rsidRPr="0099320D">
              <w:rPr>
                <w:rFonts w:cs="Arial"/>
              </w:rPr>
              <w:t>≥</w:t>
            </w:r>
            <w:r w:rsidRPr="0099320D">
              <w:t>3 TEAEs, drug-related TEAEs, and TEAEs related to dose modification</w:t>
            </w:r>
            <w:r w:rsidRPr="00C9400D">
              <w:t>.</w:t>
            </w:r>
            <w:r>
              <w:fldChar w:fldCharType="begin"/>
            </w:r>
            <w:r w:rsidR="00CA6345">
              <w:instrText xml:space="preserve"> ADDIN ZOTERO_ITEM CSL_CITATION {"citationID":"Vtw8Mhsa","properties":{"formattedCitation":"\\super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t xml:space="preserve"> </w:t>
            </w:r>
          </w:p>
          <w:p w14:paraId="2C0369AD" w14:textId="7419F47C" w:rsidR="000B148D" w:rsidRDefault="000B148D" w:rsidP="00954359">
            <w:pPr>
              <w:pStyle w:val="Body"/>
              <w:numPr>
                <w:ilvl w:val="0"/>
                <w:numId w:val="45"/>
              </w:numPr>
            </w:pPr>
            <w:r>
              <w:t xml:space="preserve">In the T-DXd arm, the most common TEAEs of any grade were </w:t>
            </w:r>
            <w:r w:rsidR="00294FDC" w:rsidRPr="00294FDC">
              <w:rPr>
                <w:color w:val="000000"/>
                <w:highlight w:val="black"/>
              </w:rPr>
              <w:t>xxxxxx</w:t>
            </w:r>
            <w:r>
              <w:t xml:space="preserve"> (</w:t>
            </w:r>
            <w:r w:rsidR="00294FDC" w:rsidRPr="00294FDC">
              <w:rPr>
                <w:color w:val="000000"/>
                <w:highlight w:val="black"/>
              </w:rPr>
              <w:t>xxxxx</w:t>
            </w:r>
            <w:r>
              <w:t xml:space="preserve">), </w:t>
            </w:r>
            <w:r w:rsidR="00294FDC" w:rsidRPr="00294FDC">
              <w:rPr>
                <w:color w:val="000000"/>
                <w:highlight w:val="black"/>
              </w:rPr>
              <w:t>xxxxxxx</w:t>
            </w:r>
            <w:r>
              <w:t xml:space="preserve"> (</w:t>
            </w:r>
            <w:r w:rsidR="00294FDC" w:rsidRPr="00294FDC">
              <w:rPr>
                <w:color w:val="000000"/>
                <w:highlight w:val="black"/>
              </w:rPr>
              <w:t>xxxxx</w:t>
            </w:r>
            <w:r>
              <w:t xml:space="preserve">) and </w:t>
            </w:r>
            <w:r w:rsidR="00294FDC" w:rsidRPr="00294FDC">
              <w:rPr>
                <w:color w:val="000000"/>
                <w:highlight w:val="black"/>
              </w:rPr>
              <w:t>xxxxxxxx</w:t>
            </w:r>
            <w:r>
              <w:t xml:space="preserve"> (</w:t>
            </w:r>
            <w:r w:rsidR="00294FDC" w:rsidRPr="00294FDC">
              <w:rPr>
                <w:color w:val="000000"/>
                <w:highlight w:val="black"/>
              </w:rPr>
              <w:t>xxxxx</w:t>
            </w:r>
            <w:r>
              <w:t>). The majority of TEAEs associated with T-DXd were low grade.</w:t>
            </w:r>
            <w:r>
              <w:fldChar w:fldCharType="begin"/>
            </w:r>
            <w:r w:rsidR="00CA6345">
              <w:instrText xml:space="preserve"> ADDIN ZOTERO_ITEM CSL_CITATION {"citationID":"qFUiL9Dk","properties":{"formattedCitation":"\\super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fldChar w:fldCharType="separate"/>
            </w:r>
            <w:r w:rsidR="00FD57F4" w:rsidRPr="00FD57F4">
              <w:rPr>
                <w:rFonts w:cs="Arial"/>
                <w:szCs w:val="24"/>
                <w:vertAlign w:val="superscript"/>
              </w:rPr>
              <w:t>7</w:t>
            </w:r>
            <w:r>
              <w:fldChar w:fldCharType="end"/>
            </w:r>
            <w:r>
              <w:t xml:space="preserve"> </w:t>
            </w:r>
          </w:p>
          <w:p w14:paraId="19F9DA9B" w14:textId="2418265A" w:rsidR="000B148D" w:rsidRPr="00C9400D" w:rsidRDefault="000B148D" w:rsidP="00954359">
            <w:pPr>
              <w:pStyle w:val="Body"/>
              <w:numPr>
                <w:ilvl w:val="0"/>
                <w:numId w:val="45"/>
              </w:numPr>
            </w:pPr>
            <w:r>
              <w:t>No new AEs of concern were identified with T-DXd in the DESTINY-Breast04 study vs. previous studies of T-DXd, including DESTINY-Breast01 and DESTINY-Breast03.</w:t>
            </w:r>
            <w:r>
              <w:fldChar w:fldCharType="begin"/>
            </w:r>
            <w:r w:rsidR="00CA6345">
              <w:instrText xml:space="preserve"> ADDIN ZOTERO_ITEM CSL_CITATION {"citationID":"W2PrsM20","properties":{"formattedCitation":"\\super 20,68\\nosupersub{}","plainCitation":"20,68","noteIndex":0},"citationItems":[{"id":66397,"uris":["http://zotero.org/groups/4797619/items/ID7JDCSX"],"itemData":{"id":66397,"type":"article-journal","abstract":"BACKGROUND: Trastuzumab emtansine is the current standard treatment for patients with human epidermal growth factor receptor 2 (HER2)-positive metastatic breast cancer whose disease progresses after treatment with a combination of anti-HER2 antibodies and a taxane.\nMETHODS: We conducted a phase 3, multicenter, open-label, randomized trial to compare the efficacy and safety of trastuzumab deruxtecan (a HER2 antibody-drug conjugate) with those of trastuzumab emtansine in patients with HER2-positive metastatic breast cancer previously treated with trastuzumab and a taxane. The primary end point was progression-free survival (as determined by blinded independent central review); secondary end points included overall survival, objective response, and safety.\nRESULTS: Among 524 randomly assigned patients, the percentage of those who were alive without disease progression at 12 months was 75.8% (95% confidence interval [CI], 69.8 to 80.7) with trastuzumab deruxtecan and 34.1% (95% CI, 27.7 to 40.5) with trastuzumab emtansine (hazard ratio for progression or death from any cause, 0.28; 95% CI, 0.22 to 0.37; P&lt;0.001). The percentage of patients who were alive at 12 months was 94.1% (95% CI, 90.3 to 96.4) with trastuzumab deruxtecan and 85.9% (95% CI, 80.9 to 89.7) with trastuzumab emtansine (hazard ratio for death, 0.55; 95% CI, 0.36 to 0.86; prespecified significance boundary not reached). An overall response (a complete or partial response) occurred in 79.7% (95% CI, 74.3 to 84.4) of the patients who received trastuzumab deruxtecan and in 34.2% (95% CI, 28.5 to 40.3) of those who received trastuzumab emtansine. The incidence of drug-related adverse events of any grade was 98.1% with trastuzumab deruxtecan and 86.6% with trastuzumab emtansine, and the incidence of drug-related adverse events of grade 3 or 4 was 45.1% and 39.8%, respectively. Adjudicated drug-related interstitial lung disease or pneumonitis occurred in 10.5% of the patients in the trastuzumab deruxtecan group and in 1.9% of those in the trastuzumab emtansine group; none of these events were of grade 4 or 5.\nCONCLUSIONS: Among patients with HER2-positive metastatic breast cancer previously treated with trastuzumab and a taxane, the risk of disease progression or death was lower among those who received trastuzumab deruxtecan than among those who received trastuzumab emtansine. Treatment with trastuzumab deruxtecan was associated with interstitial lung disease and pneumonitis. (Funded by Daiichi Sankyo and AstraZeneca; DESTINY-Breast03 ClinicalTrials.gov number, NCT03529110.).","container-title":"The New England Journal of Medicine","DOI":"10.1056/NEJMoa2115022","ISSN":"1533-4406","issue":"12","journalAbbreviation":"N Engl J Med","language":"eng","note":"PMID: 35320644","page":"1143-1154","source":"PubMed","title":"Trastuzumab Deruxtecan versus Trastuzumab Emtansine for Breast Cancer","volume":"386","author":[{"family":"Cortés","given":"Javier"},{"family":"Kim","given":"Sung-Bae"},{"family":"Chung","given":"Wei-Pang"},{"family":"Im","given":"Seock-Ah"},{"family":"Park","given":"Yeon Hee"},{"family":"Hegg","given":"Roberto"},{"family":"Kim","given":"Min Hwan"},{"family":"Tseng","given":"Ling-Ming"},{"family":"Petry","given":"Vanessa"},{"family":"Chung","given":"Chi-Feng"},{"family":"Iwata","given":"Hiroji"},{"family":"Hamilton","given":"Erika"},{"family":"Curigliano","given":"Giuseppe"},{"family":"Xu","given":"Binghe"},{"family":"Huang","given":"Chiun-Sheng"},{"family":"Kim","given":"Jee Hyun"},{"family":"Chiu","given":"Joanne W. Y."},{"family":"Pedrini","given":"Jose Luiz"},{"family":"Lee","given":"Caleb"},{"family":"Liu","given":"Yali"},{"family":"Cathcart","given":"Jillian"},{"family":"Bako","given":"Emarjola"},{"family":"Verma","given":"Sunil"},{"family":"Hurvitz","given":"Sara A."},{"literal":"DESTINY-Breast03 Trial Investigators"}],"issued":{"date-parts":[["2022",3,24]]}}},{"id":65848,"uris":["http://zotero.org/groups/4797619/items/XCBQ3YJP"],"itemData":{"id":65848,"type":"article-journal","abstract":"This is a summary of the article discussing the results of the DESTINY-Breast01 study originally published in the New England Journal of Medicine. The DESTINY-Breast01 study is a clinical study in participants with a type of breast cancer called HER2-positive breast cancer. The participants in the study received a treatment called trastuzumab deruxtecan, also known as T-DXd. The purpose of this summary is to help you understand the results of the DESTINY-Breast01 study. T-DXd is currently available as a treatment for adults with HER2-positive breast cancer that cannot be removed by surgery, also called unresectable, or that has spread, also called metastatic. In the DESTINY-Breast01 study, all the participants had HER2-positive breast cancer that was metastatic or unresectable. All participants were required to have had previous treatment for their HER2-positive breast cancer with another treatment, called trastuzumab emtansine or T-DM1. All the participants received T-DXd every 3 weeks. Part 1 was done to learn how T-DXd acted in the body, and to choose a dose to give to all the participants in Part 2. In Part 2, 184 participants received T-DXd at 5.4 mg/kg and the results showed that T-DXd reduced tumor growth. Up to 60.9% of the participants had their tumors shrink or disappear, with a treatment response that lasted for nearly 15 months on average. The participants lived with their cancer for around 16 months before it got worse. During the study, 183 out of 184 participants had side effects, known as adverse events. The most common adverse event was nausea. There were 42 participants (22.8%) who had serious adverse events, including lung toxicity. These results suggest that T-DXd could be a treatment option for people with metastatic HER2-positive breast cancer who have already been treated with T-DM1. Additional studies will provide more information and results about T-DXd. ClinicalTrials.gov NCT number: NCT03248492. To read the full Plain Language Summary of this article, click on the View Article button above and download the PDF. Link to original article here.","container-title":"Future Oncology (London, England)","DOI":"10.2217/fon-2021-0427","ISSN":"1744-8301","issue":"26","journalAbbreviation":"Future Oncol","language":"eng","note":"PMID: 34263665","page":"3415-3423","source":"PubMed","title":"Trastuzumab deruxtecan in previously treated HER2-positive metastatic breast cancer: Plain language summary of the DESTINY-Breast01 study","title-short":"Trastuzumab deruxtecan in previously treated HER2-positive metastatic breast cancer","volume":"17","author":[{"family":"Modi","given":"Shanu"}],"issued":{"date-parts":[["2021",9,1]]}}}],"schema":"https://github.com/citation-style-language/schema/raw/master/csl-citation.json"} </w:instrText>
            </w:r>
            <w:r>
              <w:fldChar w:fldCharType="separate"/>
            </w:r>
            <w:r w:rsidR="00FD57F4" w:rsidRPr="00FD57F4">
              <w:rPr>
                <w:rFonts w:cs="Arial"/>
                <w:szCs w:val="24"/>
                <w:vertAlign w:val="superscript"/>
              </w:rPr>
              <w:t>20,68</w:t>
            </w:r>
            <w:r>
              <w:fldChar w:fldCharType="end"/>
            </w:r>
          </w:p>
          <w:p w14:paraId="21442E19" w14:textId="591428F2" w:rsidR="000B148D" w:rsidRPr="00C9400D" w:rsidRDefault="000B148D" w:rsidP="00650DAF">
            <w:pPr>
              <w:pStyle w:val="Body"/>
              <w:tabs>
                <w:tab w:val="left" w:pos="3999"/>
              </w:tabs>
              <w:rPr>
                <w:b/>
                <w:bCs/>
              </w:rPr>
            </w:pPr>
            <w:r w:rsidRPr="00C9400D">
              <w:rPr>
                <w:b/>
                <w:bCs/>
              </w:rPr>
              <w:t xml:space="preserve">In DESTINY-Breast04, T-DXd was </w:t>
            </w:r>
            <w:r w:rsidRPr="002A62C1">
              <w:rPr>
                <w:b/>
                <w:bCs/>
              </w:rPr>
              <w:t>associated with longer TTDD in QoL than TPC across</w:t>
            </w:r>
            <w:r w:rsidRPr="00C9400D">
              <w:rPr>
                <w:b/>
                <w:bCs/>
              </w:rPr>
              <w:t xml:space="preserve"> </w:t>
            </w:r>
            <w:r w:rsidRPr="002A62C1">
              <w:rPr>
                <w:b/>
                <w:bCs/>
              </w:rPr>
              <w:t>PRO tools in the FAS and HR</w:t>
            </w:r>
            <w:r w:rsidRPr="00C9400D">
              <w:rPr>
                <w:b/>
                <w:bCs/>
              </w:rPr>
              <w:t>-positive cohort</w:t>
            </w:r>
            <w:r>
              <w:rPr>
                <w:b/>
                <w:bCs/>
              </w:rPr>
              <w:fldChar w:fldCharType="begin"/>
            </w:r>
            <w:r w:rsidR="00CA6345">
              <w:rPr>
                <w:b/>
                <w:bCs/>
              </w:rPr>
              <w:instrText xml:space="preserve"> ADDIN ZOTERO_ITEM CSL_CITATION {"citationID":"yi1gmMEx","properties":{"formattedCitation":"\\super 151\\nosupersub{}","plainCitation":"151","noteIndex":0},"citationItems":[{"id":66139,"uris":["http://zotero.org/groups/4797619/items/GE98BVW6"],"itemData":{"id":66139,"type":"document","title":"Patient-Reported Outcomes (PROs) From DESTINY-Breast04  a Randomized Phase 3 Study of Trastuzumab Deruxtecan (T-DXd) vs Treatment of Physician’s Choice (TPC) in Patients With HER2-Low  Metastatic Breast Cancer. Presented at ESMO Congress, September 2022.","author":[{"family":"Ueno","given":"Shanu"},{"family":"Jacot","given":"William"},{"family":"Yamashita","given":"Toshinari"},{"family":"Sohn","given":"Joohyuk"},{"family":"Vidal","given":"Maria"},{"family":"Tokunaga","given":"Eriko"},{"family":"Tsurutani","given":"Junji"},{"family":"Lee","given":"Keun Seok"},{"family":"Niikura","given":"Naoki"},{"family":"Park","given":"Yeon Hee"},{"family":"Wang","given":"Xiaojia"},{"family":"Xu","given":"Binghe"},{"family":"Gambhire","given":"Dhiraj"},{"family":"Yung","given":"Lotus"},{"family":"Meinhardt","given":"Gerold"},{"family":"Wang","given":"Yibin"},{"family":"Harbeck","given":"Nadia"},{"family":"Cameron","given":"David"},{"family":"Modi","given":"Shanu"}],"issued":{"date-parts":[["2022",9,1]]}}}],"schema":"https://github.com/citation-style-language/schema/raw/master/csl-citation.json"} </w:instrText>
            </w:r>
            <w:r>
              <w:rPr>
                <w:b/>
                <w:bCs/>
              </w:rPr>
              <w:fldChar w:fldCharType="separate"/>
            </w:r>
            <w:r w:rsidR="00CA6345" w:rsidRPr="00CA6345">
              <w:rPr>
                <w:rFonts w:cs="Arial"/>
                <w:szCs w:val="24"/>
                <w:vertAlign w:val="superscript"/>
              </w:rPr>
              <w:t>151</w:t>
            </w:r>
            <w:r>
              <w:rPr>
                <w:b/>
                <w:bCs/>
              </w:rPr>
              <w:fldChar w:fldCharType="end"/>
            </w:r>
          </w:p>
          <w:p w14:paraId="4FA93AFD" w14:textId="68550BDA" w:rsidR="000B148D" w:rsidRPr="00C9400D" w:rsidRDefault="000B148D" w:rsidP="00650DAF">
            <w:pPr>
              <w:pStyle w:val="Body"/>
              <w:numPr>
                <w:ilvl w:val="0"/>
                <w:numId w:val="45"/>
              </w:numPr>
              <w:spacing w:after="120"/>
              <w:ind w:left="714" w:hanging="357"/>
            </w:pPr>
            <w:r>
              <w:t xml:space="preserve">In the FAS, HRQoL as measured by the EORTC QLQ-30 and EORTC QLQ-BR45 was </w:t>
            </w:r>
            <w:r w:rsidR="00294FDC" w:rsidRPr="00294FDC">
              <w:rPr>
                <w:color w:val="000000"/>
                <w:highlight w:val="black"/>
              </w:rPr>
              <w:t>xxxxxxxxxxxxxxxxxxxxxxxxxxxxxxxxxxxxxxxxxxxxxxxxxxxxxxxxxxxxxxxxx</w:t>
            </w:r>
            <w:r w:rsidR="00677FAE">
              <w:rPr>
                <w:color w:val="000000"/>
                <w:highlight w:val="black"/>
              </w:rPr>
              <w:t xml:space="preserve"> </w:t>
            </w:r>
            <w:r w:rsidR="00294FDC" w:rsidRPr="00294FDC">
              <w:rPr>
                <w:color w:val="000000"/>
                <w:highlight w:val="black"/>
              </w:rPr>
              <w:t>xxxxxxxxxxxxxxxxxxxxxxxxxxxxxxxxxxxxxxxxxxxxxxx</w:t>
            </w:r>
            <w:r>
              <w:t>).</w:t>
            </w:r>
            <w:r>
              <w:fldChar w:fldCharType="begin"/>
            </w:r>
            <w:r w:rsidR="00CA6345">
              <w:instrText xml:space="preserve"> ADDIN ZOTERO_ITEM CSL_CITATION {"citationID":"45xwhO9s","properties":{"formattedCitation":"\\super 152\\nosupersub{}","plainCitation":"152","noteIndex":0},"citationItems":[{"id":66410,"uris":["http://zotero.org/groups/4797619/items/RKV2VG2A"],"itemData":{"id":66410,"type":"document","title":"FAS PRO tables and figures. Data on File.","author":[{"family":"Daiichi Sankyo Inc.","given":""}]}}],"schema":"https://github.com/citation-style-language/schema/raw/master/csl-citation.json"} </w:instrText>
            </w:r>
            <w:r>
              <w:fldChar w:fldCharType="separate"/>
            </w:r>
            <w:r w:rsidR="00CA6345" w:rsidRPr="00CA6345">
              <w:rPr>
                <w:rFonts w:cs="Arial"/>
                <w:szCs w:val="24"/>
                <w:vertAlign w:val="superscript"/>
              </w:rPr>
              <w:t>152</w:t>
            </w:r>
            <w:r>
              <w:fldChar w:fldCharType="end"/>
            </w:r>
            <w:r>
              <w:t xml:space="preserve"> </w:t>
            </w:r>
          </w:p>
          <w:p w14:paraId="2A48E7CF" w14:textId="2F6F6A27" w:rsidR="000B148D" w:rsidRPr="00A65432" w:rsidRDefault="000B148D" w:rsidP="00954359">
            <w:pPr>
              <w:pStyle w:val="Body"/>
              <w:numPr>
                <w:ilvl w:val="0"/>
                <w:numId w:val="45"/>
              </w:numPr>
              <w:rPr>
                <w:b/>
                <w:bCs/>
              </w:rPr>
            </w:pPr>
            <w:r>
              <w:t xml:space="preserve">In the FAS, median TTDD was </w:t>
            </w:r>
            <w:r w:rsidR="00294FDC" w:rsidRPr="00294FDC">
              <w:rPr>
                <w:color w:val="000000"/>
                <w:highlight w:val="black"/>
              </w:rPr>
              <w:t>xxxxxxxxxxxxxxxxxxxxxxxx</w:t>
            </w:r>
            <w:r>
              <w:t xml:space="preserve"> for EQ-5D-5L VAS (</w:t>
            </w:r>
            <w:r w:rsidR="00294FDC" w:rsidRPr="00933EC3">
              <w:rPr>
                <w:color w:val="000000"/>
                <w:highlight w:val="black"/>
              </w:rPr>
              <w:t>xxx</w:t>
            </w:r>
            <w:r w:rsidR="00514C4B" w:rsidRPr="00933EC3">
              <w:t xml:space="preserve"> months</w:t>
            </w:r>
            <w:r w:rsidR="001F730E">
              <w:t xml:space="preserve"> </w:t>
            </w:r>
            <w:r w:rsidR="003B6FAE">
              <w:t>[</w:t>
            </w:r>
            <w:r w:rsidR="00AB5C6B">
              <w:t xml:space="preserve">95% CI: </w:t>
            </w:r>
            <w:r w:rsidR="00294FDC" w:rsidRPr="00294FDC">
              <w:rPr>
                <w:color w:val="000000"/>
                <w:highlight w:val="black"/>
              </w:rPr>
              <w:t>xxxxxxxxx</w:t>
            </w:r>
            <w:r w:rsidR="003B6FAE">
              <w:rPr>
                <w:u w:val="single"/>
              </w:rPr>
              <w:t>]</w:t>
            </w:r>
            <w:r w:rsidR="00752DB1">
              <w:t xml:space="preserve"> </w:t>
            </w:r>
            <w:r w:rsidR="001F730E">
              <w:t xml:space="preserve">vs. </w:t>
            </w:r>
            <w:r w:rsidR="00294FDC" w:rsidRPr="00294FDC">
              <w:rPr>
                <w:color w:val="000000"/>
                <w:highlight w:val="black"/>
              </w:rPr>
              <w:t>xx</w:t>
            </w:r>
            <w:r w:rsidR="00C726C3">
              <w:rPr>
                <w:u w:val="single"/>
              </w:rPr>
              <w:t>5</w:t>
            </w:r>
            <w:r w:rsidR="001F730E" w:rsidRPr="00F710CB">
              <w:t xml:space="preserve"> </w:t>
            </w:r>
            <w:r w:rsidR="001F730E">
              <w:t>months</w:t>
            </w:r>
            <w:r w:rsidR="00752DB1">
              <w:t xml:space="preserve"> </w:t>
            </w:r>
            <w:r w:rsidR="003B6FAE">
              <w:t>[</w:t>
            </w:r>
            <w:r w:rsidR="00752DB1">
              <w:t xml:space="preserve">95% CI: </w:t>
            </w:r>
            <w:r w:rsidR="00294FDC" w:rsidRPr="00294FDC">
              <w:rPr>
                <w:color w:val="000000"/>
                <w:highlight w:val="black"/>
              </w:rPr>
              <w:t>xxxxxx</w:t>
            </w:r>
            <w:r w:rsidR="003B6FAE">
              <w:t>]</w:t>
            </w:r>
            <w:r w:rsidR="00875C84">
              <w:t xml:space="preserve">; </w:t>
            </w:r>
            <w:r>
              <w:t xml:space="preserve">HR: </w:t>
            </w:r>
            <w:r w:rsidR="00294FDC" w:rsidRPr="00294FDC">
              <w:rPr>
                <w:color w:val="000000"/>
                <w:highlight w:val="black"/>
              </w:rPr>
              <w:t>xxxx</w:t>
            </w:r>
            <w:r>
              <w:t xml:space="preserve">; 95% CI: </w:t>
            </w:r>
            <w:r w:rsidR="00294FDC" w:rsidRPr="00294FDC">
              <w:rPr>
                <w:color w:val="000000"/>
                <w:highlight w:val="black"/>
              </w:rPr>
              <w:t>xxxx</w:t>
            </w:r>
            <w:r>
              <w:t xml:space="preserve">, </w:t>
            </w:r>
            <w:r w:rsidR="00294FDC" w:rsidRPr="00294FDC">
              <w:rPr>
                <w:color w:val="000000"/>
                <w:highlight w:val="black"/>
              </w:rPr>
              <w:t>xxxx</w:t>
            </w:r>
            <w:r>
              <w:t>; p=</w:t>
            </w:r>
            <w:r w:rsidR="00294FDC" w:rsidRPr="00294FDC">
              <w:rPr>
                <w:color w:val="000000"/>
                <w:highlight w:val="black"/>
              </w:rPr>
              <w:t>xxxxxx</w:t>
            </w:r>
            <w:r>
              <w:t>), for EORTC QLQ-30 global health status (</w:t>
            </w:r>
            <w:r w:rsidR="00294FDC" w:rsidRPr="00294FDC">
              <w:rPr>
                <w:color w:val="000000"/>
                <w:highlight w:val="black"/>
              </w:rPr>
              <w:t>xxxx</w:t>
            </w:r>
            <w:r w:rsidR="00BF1804">
              <w:t xml:space="preserve"> </w:t>
            </w:r>
            <w:r w:rsidR="00F033D9">
              <w:t xml:space="preserve">months </w:t>
            </w:r>
            <w:r w:rsidR="003B6FAE">
              <w:t>[</w:t>
            </w:r>
            <w:r w:rsidR="00AB5C6B">
              <w:t xml:space="preserve">95% CI: </w:t>
            </w:r>
            <w:r w:rsidR="00294FDC" w:rsidRPr="00294FDC">
              <w:rPr>
                <w:color w:val="000000"/>
                <w:highlight w:val="black"/>
              </w:rPr>
              <w:t>xxxxxxxxx</w:t>
            </w:r>
            <w:r w:rsidR="003B6FAE">
              <w:t>]</w:t>
            </w:r>
            <w:r w:rsidR="004B39C2">
              <w:t xml:space="preserve"> </w:t>
            </w:r>
            <w:r w:rsidR="00BF1804">
              <w:t xml:space="preserve">vs. </w:t>
            </w:r>
            <w:r w:rsidR="00294FDC" w:rsidRPr="00294FDC">
              <w:rPr>
                <w:color w:val="000000"/>
                <w:highlight w:val="black"/>
              </w:rPr>
              <w:t>xxx</w:t>
            </w:r>
            <w:r w:rsidR="00BF1804">
              <w:t xml:space="preserve"> </w:t>
            </w:r>
            <w:r w:rsidR="00AA73A2">
              <w:t xml:space="preserve">months </w:t>
            </w:r>
            <w:r w:rsidR="003B6FAE">
              <w:t>[</w:t>
            </w:r>
            <w:r w:rsidR="004B39C2">
              <w:t xml:space="preserve">95% CI: </w:t>
            </w:r>
            <w:r w:rsidR="00294FDC" w:rsidRPr="00294FDC">
              <w:rPr>
                <w:color w:val="000000"/>
                <w:highlight w:val="black"/>
              </w:rPr>
              <w:t>xxxxxxxx</w:t>
            </w:r>
            <w:r w:rsidR="003B6FAE">
              <w:t>]</w:t>
            </w:r>
            <w:r w:rsidR="00BF1804">
              <w:t xml:space="preserve">; </w:t>
            </w:r>
            <w:r>
              <w:t xml:space="preserve">HR: </w:t>
            </w:r>
            <w:r w:rsidR="00294FDC" w:rsidRPr="00294FDC">
              <w:rPr>
                <w:color w:val="000000"/>
                <w:highlight w:val="black"/>
              </w:rPr>
              <w:t>xxxx</w:t>
            </w:r>
            <w:r>
              <w:t xml:space="preserve">; 95% CI: </w:t>
            </w:r>
            <w:r w:rsidR="00294FDC" w:rsidRPr="00294FDC">
              <w:rPr>
                <w:color w:val="000000"/>
                <w:highlight w:val="black"/>
              </w:rPr>
              <w:t>xxxx</w:t>
            </w:r>
            <w:r>
              <w:t xml:space="preserve">, </w:t>
            </w:r>
            <w:r w:rsidR="00294FDC" w:rsidRPr="00294FDC">
              <w:rPr>
                <w:color w:val="000000"/>
                <w:highlight w:val="black"/>
              </w:rPr>
              <w:t>xxxx</w:t>
            </w:r>
            <w:r>
              <w:t>; p=</w:t>
            </w:r>
            <w:r w:rsidR="00294FDC" w:rsidRPr="00294FDC">
              <w:rPr>
                <w:color w:val="000000"/>
                <w:highlight w:val="black"/>
              </w:rPr>
              <w:t>xxxxxx</w:t>
            </w:r>
            <w:r>
              <w:t>), and for the arm symptom scale of the EORTC QLQ-BR45 (</w:t>
            </w:r>
            <w:r w:rsidR="00294FDC" w:rsidRPr="00294FDC">
              <w:rPr>
                <w:color w:val="000000"/>
                <w:highlight w:val="black"/>
              </w:rPr>
              <w:t>xxxx</w:t>
            </w:r>
            <w:r w:rsidR="00382EB4">
              <w:t xml:space="preserve"> </w:t>
            </w:r>
            <w:r w:rsidR="00F033D9">
              <w:t xml:space="preserve">months </w:t>
            </w:r>
            <w:r w:rsidR="003B6FAE">
              <w:t>[</w:t>
            </w:r>
            <w:r w:rsidR="00AA73A2">
              <w:t xml:space="preserve">95% CI: </w:t>
            </w:r>
            <w:r w:rsidR="00294FDC" w:rsidRPr="00294FDC">
              <w:rPr>
                <w:color w:val="000000"/>
                <w:highlight w:val="black"/>
              </w:rPr>
              <w:t>xxxxxxxxxx</w:t>
            </w:r>
            <w:r w:rsidR="003B6FAE">
              <w:rPr>
                <w:u w:val="single"/>
              </w:rPr>
              <w:t>]</w:t>
            </w:r>
            <w:r w:rsidR="00AA73A2">
              <w:t xml:space="preserve"> </w:t>
            </w:r>
            <w:r w:rsidR="00382EB4">
              <w:t xml:space="preserve">vs. </w:t>
            </w:r>
            <w:r w:rsidR="00294FDC" w:rsidRPr="00294FDC">
              <w:rPr>
                <w:color w:val="000000"/>
                <w:highlight w:val="black"/>
              </w:rPr>
              <w:t>xxx</w:t>
            </w:r>
            <w:r w:rsidR="00E926B4">
              <w:t xml:space="preserve"> months</w:t>
            </w:r>
            <w:r w:rsidR="00AA73A2">
              <w:t xml:space="preserve"> </w:t>
            </w:r>
            <w:r w:rsidR="003B6FAE">
              <w:t>[</w:t>
            </w:r>
            <w:r w:rsidR="00AA73A2">
              <w:t xml:space="preserve">95% CI: </w:t>
            </w:r>
            <w:r w:rsidR="00294FDC" w:rsidRPr="00294FDC">
              <w:rPr>
                <w:color w:val="000000"/>
                <w:highlight w:val="black"/>
              </w:rPr>
              <w:t>xxxxxxx</w:t>
            </w:r>
            <w:r w:rsidR="003B6FAE">
              <w:t>]</w:t>
            </w:r>
            <w:r w:rsidR="00E926B4">
              <w:t xml:space="preserve">; </w:t>
            </w:r>
            <w:r>
              <w:t xml:space="preserve">HR: </w:t>
            </w:r>
            <w:r w:rsidR="00294FDC" w:rsidRPr="00294FDC">
              <w:rPr>
                <w:color w:val="000000"/>
                <w:highlight w:val="black"/>
              </w:rPr>
              <w:t>xxxx</w:t>
            </w:r>
            <w:r>
              <w:t xml:space="preserve">; 95% CI: </w:t>
            </w:r>
            <w:r w:rsidR="00294FDC" w:rsidRPr="00294FDC">
              <w:rPr>
                <w:color w:val="000000"/>
                <w:highlight w:val="black"/>
              </w:rPr>
              <w:t>xxxx</w:t>
            </w:r>
            <w:r>
              <w:t xml:space="preserve">, </w:t>
            </w:r>
            <w:r w:rsidR="00294FDC" w:rsidRPr="00294FDC">
              <w:rPr>
                <w:color w:val="000000"/>
                <w:highlight w:val="black"/>
              </w:rPr>
              <w:t>xxxx</w:t>
            </w:r>
            <w:r>
              <w:t>; p=</w:t>
            </w:r>
            <w:r w:rsidR="00294FDC" w:rsidRPr="00294FDC">
              <w:rPr>
                <w:color w:val="000000"/>
                <w:highlight w:val="black"/>
              </w:rPr>
              <w:t>xxxxxx</w:t>
            </w:r>
            <w:r>
              <w:t>).</w:t>
            </w:r>
            <w:r>
              <w:fldChar w:fldCharType="begin"/>
            </w:r>
            <w:r w:rsidR="00CA6345">
              <w:instrText xml:space="preserve"> ADDIN ZOTERO_ITEM CSL_CITATION {"citationID":"wBgMEjj4","properties":{"formattedCitation":"\\super 152\\nosupersub{}","plainCitation":"152","noteIndex":0},"citationItems":[{"id":66410,"uris":["http://zotero.org/groups/4797619/items/RKV2VG2A"],"itemData":{"id":66410,"type":"document","title":"FAS PRO tables and figures. Data on File.","author":[{"family":"Daiichi Sankyo Inc.","given":""}]}}],"schema":"https://github.com/citation-style-language/schema/raw/master/csl-citation.json"} </w:instrText>
            </w:r>
            <w:r>
              <w:fldChar w:fldCharType="separate"/>
            </w:r>
            <w:r w:rsidR="00CA6345" w:rsidRPr="00CA6345">
              <w:rPr>
                <w:rFonts w:cs="Arial"/>
                <w:szCs w:val="24"/>
                <w:vertAlign w:val="superscript"/>
              </w:rPr>
              <w:t>152</w:t>
            </w:r>
            <w:r>
              <w:fldChar w:fldCharType="end"/>
            </w:r>
          </w:p>
        </w:tc>
      </w:tr>
    </w:tbl>
    <w:p w14:paraId="595CD046" w14:textId="33F0ECD8" w:rsidR="000B148D" w:rsidRDefault="000B148D" w:rsidP="000B148D">
      <w:pPr>
        <w:pStyle w:val="Footnotes"/>
      </w:pPr>
      <w:r>
        <w:lastRenderedPageBreak/>
        <w:t>Abbreviations: AE, adverse event; BICR, blinded independent central review; CDK4/6, cyclin-dependent kinase 4/6 inhibitor; CI, confidence interval; CR, complete response; DCO, data cut</w:t>
      </w:r>
      <w:r w:rsidR="00BC63EB">
        <w:t>-</w:t>
      </w:r>
      <w:r>
        <w:t>off; ECOG, Eastern Cooperate Oncology Group; EORTC, European Organisation for Research and Treatment of Cancer; EQ-5D-5L, EuroQol-5 Dimension-5 Level; ET, endocrine therapy;</w:t>
      </w:r>
      <w:r w:rsidRPr="00950D38">
        <w:t xml:space="preserve"> </w:t>
      </w:r>
      <w:r>
        <w:t xml:space="preserve">FAS, full analysis set; HER2, human epidermal growth factor receptor-2; HR, hazard ratio; </w:t>
      </w:r>
      <w:r w:rsidR="004321E8">
        <w:t xml:space="preserve">HR-positive, hormone receptor-positive; </w:t>
      </w:r>
      <w:r>
        <w:t xml:space="preserve">HRQoL, health-related </w:t>
      </w:r>
      <w:r w:rsidR="005754E8">
        <w:t>quality-of-life</w:t>
      </w:r>
      <w:r>
        <w:t>; IA, investigator assessment; ORR, objective response rate; OS, overall survival; PFS, progression</w:t>
      </w:r>
      <w:r w:rsidR="000D16F5">
        <w:t>-</w:t>
      </w:r>
      <w:r>
        <w:t>free survival; PR, partial response;</w:t>
      </w:r>
      <w:r w:rsidRPr="002165C7">
        <w:t xml:space="preserve"> </w:t>
      </w:r>
      <w:r>
        <w:t>PRO, patient-reported outcome;</w:t>
      </w:r>
      <w:r w:rsidRPr="00691F07">
        <w:t xml:space="preserve"> </w:t>
      </w:r>
      <w:r>
        <w:t>QLQ-30, Quality-of-life Questionnaire Core 30; QLQ-BR45, Quality-of-life Questionnaire Breast Cancer;</w:t>
      </w:r>
      <w:r w:rsidRPr="00691F07">
        <w:t xml:space="preserve"> </w:t>
      </w:r>
      <w:r>
        <w:t xml:space="preserve">QoL, </w:t>
      </w:r>
      <w:r w:rsidR="005754E8">
        <w:t>quality-of-life</w:t>
      </w:r>
      <w:r>
        <w:t>; SLR, systematic literature review;</w:t>
      </w:r>
      <w:r w:rsidRPr="00FC63D4">
        <w:t xml:space="preserve"> </w:t>
      </w:r>
      <w:r>
        <w:t xml:space="preserve">T-DXd, trastuzumab deruxtecan; TEAE, treatment-emergent adverse event; TPC, treatment of physician’s choice; TTDD, time to definitive deterioration; VAS, Visual Analogue Scale. </w:t>
      </w:r>
    </w:p>
    <w:p w14:paraId="58AEE937" w14:textId="77777777" w:rsidR="000B148D" w:rsidRDefault="000B148D" w:rsidP="000B148D">
      <w:pPr>
        <w:pStyle w:val="Heading2"/>
      </w:pPr>
      <w:bookmarkStart w:id="132" w:name="_Toc124447827"/>
      <w:bookmarkStart w:id="133" w:name="_Toc129350854"/>
      <w:r>
        <w:lastRenderedPageBreak/>
        <w:t>Identification and selection of relevant studies</w:t>
      </w:r>
      <w:bookmarkEnd w:id="132"/>
      <w:bookmarkEnd w:id="133"/>
    </w:p>
    <w:p w14:paraId="4935D060" w14:textId="784003F4" w:rsidR="000B148D" w:rsidRPr="005F5473" w:rsidRDefault="000B148D" w:rsidP="000B148D">
      <w:pPr>
        <w:pStyle w:val="Body"/>
      </w:pPr>
      <w:r w:rsidRPr="005F5473">
        <w:t xml:space="preserve">A systemic literature review (SLR) was conducted to identify the existing clinical evidence detailing the efficacy, safety, and QoL </w:t>
      </w:r>
      <w:r w:rsidR="0040586C">
        <w:t>associated with</w:t>
      </w:r>
      <w:r w:rsidR="0040586C" w:rsidRPr="005F5473">
        <w:t xml:space="preserve"> </w:t>
      </w:r>
      <w:r w:rsidRPr="005F5473">
        <w:t>currently available and investigational therapies used for patients with HER2-</w:t>
      </w:r>
      <w:r>
        <w:t xml:space="preserve">negative or </w:t>
      </w:r>
      <w:r w:rsidRPr="005F5473">
        <w:t xml:space="preserve">HER2-low u/mBC, who have received prior chemotherapy in the recurrent or metastatic setting. See </w:t>
      </w:r>
      <w:r w:rsidRPr="00A6448D">
        <w:rPr>
          <w:b/>
          <w:bCs/>
        </w:rPr>
        <w:t>Appendix D.1</w:t>
      </w:r>
      <w:r w:rsidRPr="005F5473">
        <w:t xml:space="preserve"> for full details of the process and methods used to identify and select the clinical evidence relevant to the technology being appraised.</w:t>
      </w:r>
    </w:p>
    <w:p w14:paraId="3087D435" w14:textId="77777777" w:rsidR="000B148D" w:rsidRDefault="000B148D" w:rsidP="000B148D">
      <w:pPr>
        <w:pStyle w:val="Body"/>
      </w:pPr>
      <w:r w:rsidRPr="005F5473">
        <w:t xml:space="preserve">Comprehensive literature searches for clinical evidence were undertaken in electronic databases (MEDLINE, Embase and The Cochrane Library [including the Cochrane Database of Systematic Reviews {CDSR} and the Cochrane Central Register of Controlled Trials {CENTRAL}]) for studies published prior to 25 February 2022. These were supplemented by further targeted searches that covered recent abstracts, posters, and podium presentations that were yet to be included in the aforementioned databases (2020-2022). Data from eligible studies were extracted and assessed for methodological quality and applicability. </w:t>
      </w:r>
    </w:p>
    <w:p w14:paraId="65E4CD38" w14:textId="4D4DBD56" w:rsidR="000B148D" w:rsidRPr="005F5473" w:rsidRDefault="000B148D" w:rsidP="000B148D">
      <w:pPr>
        <w:pStyle w:val="Body"/>
      </w:pPr>
      <w:r w:rsidRPr="005F5473">
        <w:t xml:space="preserve">In total, the SLR identified </w:t>
      </w:r>
      <w:r>
        <w:t>12,358</w:t>
      </w:r>
      <w:r w:rsidRPr="005F5473">
        <w:t xml:space="preserve"> unique publications</w:t>
      </w:r>
      <w:r>
        <w:t xml:space="preserve"> after removing duplicates, of which 11,321 were excluded at </w:t>
      </w:r>
      <w:r w:rsidR="001D03E6">
        <w:t>title or abstract review.</w:t>
      </w:r>
      <w:r w:rsidRPr="005F5473">
        <w:t xml:space="preserve"> Of the</w:t>
      </w:r>
      <w:r>
        <w:t xml:space="preserve"> remaining 1,037 publications</w:t>
      </w:r>
      <w:r w:rsidRPr="005F5473">
        <w:t xml:space="preserve">, </w:t>
      </w:r>
      <w:r>
        <w:t>953</w:t>
      </w:r>
      <w:r w:rsidRPr="005F5473">
        <w:t xml:space="preserve"> </w:t>
      </w:r>
      <w:r>
        <w:t xml:space="preserve">were excluded at </w:t>
      </w:r>
      <w:r w:rsidR="001D03E6">
        <w:t>abstract or full text review,</w:t>
      </w:r>
      <w:r w:rsidRPr="005F5473">
        <w:t xml:space="preserve"> primarily because they did not have an appropriate study design, had unclear baseline characteristics, were the wrong line of treatment, did not include the relevant population, or were non-English. </w:t>
      </w:r>
      <w:r>
        <w:t>A</w:t>
      </w:r>
      <w:r w:rsidRPr="005F5473">
        <w:t xml:space="preserve"> </w:t>
      </w:r>
      <w:r>
        <w:t xml:space="preserve">final </w:t>
      </w:r>
      <w:r w:rsidRPr="005F5473">
        <w:t xml:space="preserve">total of </w:t>
      </w:r>
      <w:r>
        <w:t>97</w:t>
      </w:r>
      <w:r w:rsidRPr="005F5473">
        <w:t xml:space="preserve"> relevant </w:t>
      </w:r>
      <w:r>
        <w:t>publications in HER2-negative or HER2-low u/mBC were included for data extraction (including 13 publications identified through bibliographic and grey literature searches).</w:t>
      </w:r>
      <w:r w:rsidRPr="005F5473">
        <w:t xml:space="preserve"> </w:t>
      </w:r>
      <w:r>
        <w:t>For a summary of the methodology and outcomes</w:t>
      </w:r>
      <w:r w:rsidR="003620F9">
        <w:t xml:space="preserve"> of included</w:t>
      </w:r>
      <w:r>
        <w:t xml:space="preserve"> studies, see </w:t>
      </w:r>
      <w:r w:rsidRPr="00A6448D">
        <w:rPr>
          <w:b/>
          <w:bCs/>
        </w:rPr>
        <w:t>Appendix D</w:t>
      </w:r>
      <w:r w:rsidRPr="00A6448D">
        <w:t>.</w:t>
      </w:r>
    </w:p>
    <w:p w14:paraId="15A1C0A0" w14:textId="3A6570DF" w:rsidR="000B148D" w:rsidRDefault="000B148D" w:rsidP="000B148D">
      <w:pPr>
        <w:pStyle w:val="Body"/>
        <w:rPr>
          <w:highlight w:val="green"/>
        </w:rPr>
      </w:pPr>
      <w:r w:rsidRPr="006955D2">
        <w:t xml:space="preserve">Of the studies included for data extraction, only one (ASCENT; </w:t>
      </w:r>
      <w:r w:rsidR="00FB23E9">
        <w:t>SG</w:t>
      </w:r>
      <w:r w:rsidRPr="006955D2">
        <w:t xml:space="preserve"> vs</w:t>
      </w:r>
      <w:r w:rsidR="003C7A73">
        <w:t>.</w:t>
      </w:r>
      <w:r w:rsidRPr="006955D2">
        <w:t xml:space="preserve"> TPC</w:t>
      </w:r>
      <w:r w:rsidR="002A2A4C">
        <w:t xml:space="preserve"> in </w:t>
      </w:r>
      <w:r w:rsidR="00304F3B">
        <w:t>metastatic TNBC</w:t>
      </w:r>
      <w:r w:rsidRPr="006955D2">
        <w:t xml:space="preserve">) reported data for HER2-low patients specifically, </w:t>
      </w:r>
      <w:r>
        <w:t>and</w:t>
      </w:r>
      <w:r w:rsidRPr="006955D2">
        <w:t xml:space="preserve"> </w:t>
      </w:r>
      <w:r>
        <w:t xml:space="preserve">within </w:t>
      </w:r>
      <w:r w:rsidR="002342E0">
        <w:t xml:space="preserve">this </w:t>
      </w:r>
      <w:r>
        <w:t xml:space="preserve">study </w:t>
      </w:r>
      <w:r w:rsidRPr="006955D2">
        <w:t>the HER2-low population was</w:t>
      </w:r>
      <w:r>
        <w:t xml:space="preserve"> </w:t>
      </w:r>
      <w:r w:rsidRPr="006955D2">
        <w:t>a small subgroup of the</w:t>
      </w:r>
      <w:r w:rsidR="00F805DE">
        <w:t xml:space="preserve"> full</w:t>
      </w:r>
      <w:r w:rsidRPr="006955D2">
        <w:t xml:space="preserve"> TNBC population</w:t>
      </w:r>
      <w:r w:rsidRPr="006955D2">
        <w:rPr>
          <w:rStyle w:val="CommentReference"/>
        </w:rPr>
        <w:t>.</w:t>
      </w:r>
      <w:r w:rsidRPr="006955D2">
        <w:t xml:space="preserve"> This highlights the lack of </w:t>
      </w:r>
      <w:r w:rsidR="00F805DE">
        <w:t>studies</w:t>
      </w:r>
      <w:r w:rsidRPr="006955D2">
        <w:t xml:space="preserve"> in HER2-low u/mBC specifically.</w:t>
      </w:r>
    </w:p>
    <w:p w14:paraId="79678773" w14:textId="18C83DFB" w:rsidR="000B148D" w:rsidRDefault="000B148D" w:rsidP="000B148D">
      <w:pPr>
        <w:pStyle w:val="Body"/>
      </w:pPr>
      <w:r w:rsidRPr="006955D2">
        <w:t xml:space="preserve">At the time of the initial SLR (25 February 2022), results from the key trial of T-DXd in HER2-low u/mBC (DESTINY-Breast04) were not published. </w:t>
      </w:r>
      <w:r w:rsidRPr="002E67F7">
        <w:t xml:space="preserve">The company therefore conducted hand searches to identify data published from 25 February 2022 to 13 February 2023 related to </w:t>
      </w:r>
      <w:r w:rsidR="00472F0B">
        <w:t>T-DXd in HER2-l</w:t>
      </w:r>
      <w:r w:rsidR="00BA0CA4">
        <w:t>ow in this setting</w:t>
      </w:r>
      <w:r w:rsidRPr="002E67F7">
        <w:t>, given that T-DXd is the intervention under consideration in this appraisal. In addition, as ASCENT was identified in the original SLR as the only study reporting data for a HER2-low population, hand searches were also conducted for further</w:t>
      </w:r>
      <w:r w:rsidR="00D96A65">
        <w:t xml:space="preserve"> published</w:t>
      </w:r>
      <w:r w:rsidRPr="002E67F7">
        <w:t xml:space="preserve"> data related to ASCENT.</w:t>
      </w:r>
      <w:r>
        <w:t xml:space="preserve"> These hand searches identified </w:t>
      </w:r>
      <w:r w:rsidR="00CF66F3">
        <w:t>two</w:t>
      </w:r>
      <w:r>
        <w:t xml:space="preserve"> </w:t>
      </w:r>
      <w:r w:rsidR="00043C57">
        <w:t>publications</w:t>
      </w:r>
      <w:r>
        <w:t xml:space="preserve"> related to DESTINY-Breast04 and </w:t>
      </w:r>
      <w:r w:rsidR="0034011B">
        <w:t>six</w:t>
      </w:r>
      <w:r>
        <w:t xml:space="preserve"> articles related to ASCENT</w:t>
      </w:r>
      <w:r w:rsidRPr="00566CB1">
        <w:t xml:space="preserve">. Data from publications identified in these hand searches were extracted using the same </w:t>
      </w:r>
      <w:r w:rsidR="0035251D">
        <w:t>approach</w:t>
      </w:r>
      <w:r w:rsidRPr="00566CB1">
        <w:t xml:space="preserve"> as the initial SLR (see </w:t>
      </w:r>
      <w:r w:rsidRPr="00A6448D">
        <w:rPr>
          <w:b/>
          <w:bCs/>
        </w:rPr>
        <w:t>Appendix D</w:t>
      </w:r>
      <w:r w:rsidRPr="00566CB1">
        <w:t xml:space="preserve"> for </w:t>
      </w:r>
      <w:r>
        <w:t>outputs of the data extractions</w:t>
      </w:r>
      <w:r w:rsidRPr="00566CB1">
        <w:t>).</w:t>
      </w:r>
    </w:p>
    <w:p w14:paraId="13C43201" w14:textId="5C5B078C" w:rsidR="000B148D" w:rsidRPr="005F5473" w:rsidRDefault="000B148D" w:rsidP="000B148D">
      <w:pPr>
        <w:pStyle w:val="Body"/>
      </w:pPr>
      <w:r w:rsidRPr="005F5473">
        <w:t xml:space="preserve">As per NICE’s preference for RCTs that directly compare the technology with one or more relevant comparators, the </w:t>
      </w:r>
      <w:r w:rsidRPr="00FD130F">
        <w:t>only study evaluating T-DXd with relevant comparators was DESTINY-</w:t>
      </w:r>
      <w:r w:rsidRPr="005B7B01">
        <w:t xml:space="preserve">Breast04, which was reported in no publications in the original SLR (25 February 2022) and in </w:t>
      </w:r>
      <w:r w:rsidR="005B7B01" w:rsidRPr="003C648C">
        <w:t>three</w:t>
      </w:r>
      <w:r w:rsidRPr="005B7B01">
        <w:t xml:space="preserve"> publications in</w:t>
      </w:r>
      <w:r>
        <w:t xml:space="preserve"> the hand searches (13 February 2023)</w:t>
      </w:r>
      <w:r w:rsidRPr="005F5473">
        <w:t>. This submission therefore focuses on the key evidence from DESTINY-Breast04</w:t>
      </w:r>
      <w:r>
        <w:t>, as reported in the</w:t>
      </w:r>
      <w:r w:rsidR="00E55263">
        <w:t>se</w:t>
      </w:r>
      <w:r>
        <w:t xml:space="preserve"> publications </w:t>
      </w:r>
      <w:r w:rsidR="00B13D48">
        <w:t>(</w:t>
      </w:r>
      <w:r w:rsidR="00B13D48" w:rsidRPr="003C648C">
        <w:rPr>
          <w:b/>
          <w:bCs/>
        </w:rPr>
        <w:fldChar w:fldCharType="begin"/>
      </w:r>
      <w:r w:rsidR="00B13D48" w:rsidRPr="003C648C">
        <w:rPr>
          <w:b/>
          <w:bCs/>
        </w:rPr>
        <w:instrText xml:space="preserve"> REF _Ref128471758 \h </w:instrText>
      </w:r>
      <w:r w:rsidR="00B13D48">
        <w:rPr>
          <w:b/>
          <w:bCs/>
        </w:rPr>
        <w:instrText xml:space="preserve"> \* MERGEFORMAT </w:instrText>
      </w:r>
      <w:r w:rsidR="00B13D48" w:rsidRPr="003C648C">
        <w:rPr>
          <w:b/>
          <w:bCs/>
        </w:rPr>
      </w:r>
      <w:r w:rsidR="00B13D48" w:rsidRPr="003C648C">
        <w:rPr>
          <w:b/>
          <w:bCs/>
        </w:rPr>
        <w:fldChar w:fldCharType="separate"/>
      </w:r>
      <w:r w:rsidR="00145F42" w:rsidRPr="00145F42">
        <w:rPr>
          <w:b/>
          <w:bCs/>
        </w:rPr>
        <w:t xml:space="preserve">Table </w:t>
      </w:r>
      <w:r w:rsidR="00145F42" w:rsidRPr="00145F42">
        <w:rPr>
          <w:b/>
          <w:bCs/>
          <w:noProof/>
        </w:rPr>
        <w:t>8</w:t>
      </w:r>
      <w:r w:rsidR="00B13D48" w:rsidRPr="003C648C">
        <w:rPr>
          <w:b/>
          <w:bCs/>
        </w:rPr>
        <w:fldChar w:fldCharType="end"/>
      </w:r>
      <w:r w:rsidR="00B13D48">
        <w:t xml:space="preserve">) </w:t>
      </w:r>
      <w:r>
        <w:t>as well as the clinical study report (CSR)</w:t>
      </w:r>
      <w:r w:rsidRPr="005F5473">
        <w:t xml:space="preserve">. </w:t>
      </w:r>
    </w:p>
    <w:p w14:paraId="68BF0124" w14:textId="359650D1" w:rsidR="000B148D" w:rsidRPr="005F5473" w:rsidRDefault="000B148D" w:rsidP="000B148D">
      <w:pPr>
        <w:pStyle w:val="Body"/>
      </w:pPr>
      <w:r w:rsidRPr="005F5473">
        <w:lastRenderedPageBreak/>
        <w:t xml:space="preserve">DESTINY-Breast04 is a Phase III, head-to-head study comparing the efficacy and safety of T-DXd versus </w:t>
      </w:r>
      <w:r w:rsidR="007A7F51">
        <w:t>TPC</w:t>
      </w:r>
      <w:r w:rsidRPr="005F5473">
        <w:t xml:space="preserve"> in patients with HER2-low u/mBC following one or two prior lines of chemotherapy in the </w:t>
      </w:r>
      <w:r w:rsidR="001F5572">
        <w:t xml:space="preserve">(neo)adjuvant </w:t>
      </w:r>
      <w:r w:rsidR="00DB5FDF">
        <w:t>(</w:t>
      </w:r>
      <w:r w:rsidR="00DB5FDF" w:rsidRPr="00DB5FDF">
        <w:t>if recurrence occurs within 6 months)</w:t>
      </w:r>
      <w:r w:rsidR="00DB5FDF">
        <w:t xml:space="preserve"> </w:t>
      </w:r>
      <w:r w:rsidRPr="005F5473">
        <w:t xml:space="preserve">or metastatic setting. If recurrence occurred within 6 months of (neo)adjuvant chemotherapy, (neo)adjuvant therapy would count as one line of chemotherapy.   </w:t>
      </w:r>
    </w:p>
    <w:p w14:paraId="029BA570" w14:textId="77777777" w:rsidR="000B148D" w:rsidRDefault="000B148D" w:rsidP="000B148D">
      <w:pPr>
        <w:pStyle w:val="Heading2"/>
      </w:pPr>
      <w:bookmarkStart w:id="134" w:name="_Toc124447828"/>
      <w:bookmarkStart w:id="135" w:name="_Toc129350855"/>
      <w:r>
        <w:t>List of relevant clinical effectiveness evidence</w:t>
      </w:r>
      <w:bookmarkEnd w:id="134"/>
      <w:bookmarkEnd w:id="135"/>
    </w:p>
    <w:p w14:paraId="2826679F" w14:textId="6C7DADEF" w:rsidR="000B148D" w:rsidRDefault="000B148D" w:rsidP="000B148D">
      <w:pPr>
        <w:pStyle w:val="Caption"/>
      </w:pPr>
      <w:bookmarkStart w:id="136" w:name="_Ref128471758"/>
      <w:bookmarkStart w:id="137" w:name="_Toc95826059"/>
      <w:bookmarkStart w:id="138" w:name="_Toc124447868"/>
      <w:bookmarkStart w:id="139" w:name="_Toc129350983"/>
      <w:r>
        <w:t xml:space="preserve">Table </w:t>
      </w:r>
      <w:r>
        <w:fldChar w:fldCharType="begin"/>
      </w:r>
      <w:r>
        <w:instrText>SEQ Table \* ARABIC</w:instrText>
      </w:r>
      <w:r>
        <w:fldChar w:fldCharType="separate"/>
      </w:r>
      <w:r w:rsidR="00145F42">
        <w:rPr>
          <w:noProof/>
        </w:rPr>
        <w:t>8</w:t>
      </w:r>
      <w:r>
        <w:fldChar w:fldCharType="end"/>
      </w:r>
      <w:bookmarkEnd w:id="136"/>
      <w:r>
        <w:t>: Clinical effectiveness evidence</w:t>
      </w:r>
      <w:bookmarkEnd w:id="137"/>
      <w:bookmarkEnd w:id="138"/>
      <w:bookmarkEnd w:id="139"/>
    </w:p>
    <w:tbl>
      <w:tblPr>
        <w:tblStyle w:val="TableGrid"/>
        <w:tblW w:w="5000" w:type="pct"/>
        <w:tblLook w:val="04A0" w:firstRow="1" w:lastRow="0" w:firstColumn="1" w:lastColumn="0" w:noHBand="0" w:noVBand="1"/>
      </w:tblPr>
      <w:tblGrid>
        <w:gridCol w:w="2761"/>
        <w:gridCol w:w="6255"/>
      </w:tblGrid>
      <w:tr w:rsidR="000B148D" w:rsidRPr="005F5473" w14:paraId="253776B7" w14:textId="77777777">
        <w:tc>
          <w:tcPr>
            <w:tcW w:w="1531" w:type="pct"/>
            <w:shd w:val="clear" w:color="auto" w:fill="D9D9D9" w:themeFill="background1" w:themeFillShade="D9"/>
          </w:tcPr>
          <w:p w14:paraId="6461FF80" w14:textId="77777777" w:rsidR="000B148D" w:rsidRPr="005F5473" w:rsidRDefault="000B148D">
            <w:pPr>
              <w:pStyle w:val="Tableheading"/>
            </w:pPr>
            <w:r w:rsidRPr="005F5473">
              <w:t>Study</w:t>
            </w:r>
          </w:p>
        </w:tc>
        <w:tc>
          <w:tcPr>
            <w:tcW w:w="3469" w:type="pct"/>
          </w:tcPr>
          <w:p w14:paraId="1E93BFF2" w14:textId="77777777" w:rsidR="000B148D" w:rsidRPr="005F5473" w:rsidRDefault="000B148D">
            <w:pPr>
              <w:pStyle w:val="Tableheading"/>
            </w:pPr>
            <w:r w:rsidRPr="005F5473">
              <w:t>DESTINY-Breast04 (NCT03734029)</w:t>
            </w:r>
          </w:p>
        </w:tc>
      </w:tr>
      <w:tr w:rsidR="000B148D" w:rsidRPr="005F5473" w14:paraId="5DFA8C33" w14:textId="77777777">
        <w:tc>
          <w:tcPr>
            <w:tcW w:w="1531" w:type="pct"/>
            <w:shd w:val="clear" w:color="auto" w:fill="D9D9D9" w:themeFill="background1" w:themeFillShade="D9"/>
          </w:tcPr>
          <w:p w14:paraId="5BD20F1D" w14:textId="77777777" w:rsidR="000B148D" w:rsidRPr="005F5473" w:rsidRDefault="000B148D">
            <w:pPr>
              <w:pStyle w:val="Tableheading"/>
            </w:pPr>
            <w:r w:rsidRPr="005F5473">
              <w:t>Study design</w:t>
            </w:r>
          </w:p>
        </w:tc>
        <w:tc>
          <w:tcPr>
            <w:tcW w:w="3469" w:type="pct"/>
          </w:tcPr>
          <w:p w14:paraId="249AB410" w14:textId="77777777" w:rsidR="000B148D" w:rsidRPr="005F5473" w:rsidRDefault="000B148D">
            <w:pPr>
              <w:pStyle w:val="Tablebody"/>
            </w:pPr>
            <w:r w:rsidRPr="005F5473">
              <w:t>Phase III, multicentre, open-label, randomised, active-controlled, trial. 2:1 treatment assignment.</w:t>
            </w:r>
          </w:p>
        </w:tc>
      </w:tr>
      <w:tr w:rsidR="000B148D" w:rsidRPr="005F5473" w14:paraId="2A43D666" w14:textId="77777777">
        <w:tc>
          <w:tcPr>
            <w:tcW w:w="1531" w:type="pct"/>
            <w:shd w:val="clear" w:color="auto" w:fill="D9D9D9" w:themeFill="background1" w:themeFillShade="D9"/>
          </w:tcPr>
          <w:p w14:paraId="6FE157D1" w14:textId="77777777" w:rsidR="000B148D" w:rsidRPr="005F5473" w:rsidRDefault="000B148D">
            <w:pPr>
              <w:pStyle w:val="Tableheading"/>
            </w:pPr>
            <w:r w:rsidRPr="005F5473">
              <w:t>Population</w:t>
            </w:r>
          </w:p>
        </w:tc>
        <w:tc>
          <w:tcPr>
            <w:tcW w:w="3469" w:type="pct"/>
          </w:tcPr>
          <w:p w14:paraId="32F2DE38" w14:textId="2936C63E" w:rsidR="000B148D" w:rsidRPr="005F5473" w:rsidRDefault="00343D46">
            <w:pPr>
              <w:pStyle w:val="Tablebody"/>
            </w:pPr>
            <w:r w:rsidRPr="005E20C7">
              <w:t>Adult</w:t>
            </w:r>
            <w:r>
              <w:t xml:space="preserve"> patients </w:t>
            </w:r>
            <w:r w:rsidRPr="005E20C7">
              <w:t xml:space="preserve">with HER2-low </w:t>
            </w:r>
            <w:r>
              <w:t>u/</w:t>
            </w:r>
            <w:r w:rsidRPr="005E20C7">
              <w:t>mBC</w:t>
            </w:r>
            <w:r>
              <w:t xml:space="preserve"> who have received</w:t>
            </w:r>
            <w:r w:rsidRPr="005E20C7">
              <w:t xml:space="preserve"> one or two prior lines of chemotherapy in the </w:t>
            </w:r>
            <w:r>
              <w:t xml:space="preserve">(neo)adjuvant (if </w:t>
            </w:r>
            <w:r w:rsidRPr="005E20C7">
              <w:t>recurren</w:t>
            </w:r>
            <w:r>
              <w:t>ce occurs within 6 months)</w:t>
            </w:r>
            <w:r w:rsidRPr="005E20C7">
              <w:t xml:space="preserve"> or metastatic setting</w:t>
            </w:r>
          </w:p>
        </w:tc>
      </w:tr>
      <w:tr w:rsidR="000B148D" w:rsidRPr="005F5473" w14:paraId="1BA8C336" w14:textId="77777777">
        <w:tc>
          <w:tcPr>
            <w:tcW w:w="1531" w:type="pct"/>
            <w:shd w:val="clear" w:color="auto" w:fill="D9D9D9" w:themeFill="background1" w:themeFillShade="D9"/>
          </w:tcPr>
          <w:p w14:paraId="0784C88C" w14:textId="77777777" w:rsidR="000B148D" w:rsidRPr="005F5473" w:rsidRDefault="000B148D">
            <w:pPr>
              <w:pStyle w:val="Tableheading"/>
            </w:pPr>
            <w:r w:rsidRPr="005F5473">
              <w:t>Intervention(s)</w:t>
            </w:r>
          </w:p>
        </w:tc>
        <w:tc>
          <w:tcPr>
            <w:tcW w:w="3469" w:type="pct"/>
          </w:tcPr>
          <w:p w14:paraId="0C0E4CE6" w14:textId="77777777" w:rsidR="000B148D" w:rsidRPr="005F5473" w:rsidRDefault="000B148D">
            <w:pPr>
              <w:pStyle w:val="Tablebody"/>
            </w:pPr>
            <w:r w:rsidRPr="005F5473">
              <w:t>T-DXd administered by IV infusion at a dose of 5.4 mg/kg (</w:t>
            </w:r>
            <w:r>
              <w:t>N=</w:t>
            </w:r>
            <w:r w:rsidRPr="005F5473">
              <w:t>373)</w:t>
            </w:r>
          </w:p>
        </w:tc>
      </w:tr>
      <w:tr w:rsidR="000B148D" w:rsidRPr="005F5473" w14:paraId="7F5B6469" w14:textId="77777777">
        <w:tc>
          <w:tcPr>
            <w:tcW w:w="1531" w:type="pct"/>
            <w:shd w:val="clear" w:color="auto" w:fill="D9D9D9" w:themeFill="background1" w:themeFillShade="D9"/>
          </w:tcPr>
          <w:p w14:paraId="3455B62D" w14:textId="77777777" w:rsidR="000B148D" w:rsidRPr="005F5473" w:rsidRDefault="000B148D">
            <w:pPr>
              <w:pStyle w:val="Tableheading"/>
            </w:pPr>
            <w:r w:rsidRPr="005F5473">
              <w:t>Comparator(s)</w:t>
            </w:r>
          </w:p>
        </w:tc>
        <w:tc>
          <w:tcPr>
            <w:tcW w:w="3469" w:type="pct"/>
          </w:tcPr>
          <w:p w14:paraId="573AA1BB" w14:textId="4B491B0B" w:rsidR="000B148D" w:rsidRPr="005F5473" w:rsidRDefault="000B148D">
            <w:pPr>
              <w:pStyle w:val="Tablebody"/>
            </w:pPr>
            <w:r w:rsidRPr="005F5473">
              <w:t>Physician’s choice of capecitabine, eribulin, gemcitabine, paclitaxel, or nab-paclitaxel, administered in accordance with the local label or the N</w:t>
            </w:r>
            <w:r w:rsidR="000204D2">
              <w:t>CCN</w:t>
            </w:r>
            <w:r w:rsidRPr="005F5473">
              <w:t xml:space="preserve"> guidelines (</w:t>
            </w:r>
            <w:r>
              <w:t>N=</w:t>
            </w:r>
            <w:r w:rsidRPr="005F5473">
              <w:t>184)</w:t>
            </w:r>
          </w:p>
        </w:tc>
      </w:tr>
      <w:tr w:rsidR="000B148D" w:rsidRPr="005F5473" w14:paraId="430AB039" w14:textId="77777777">
        <w:tc>
          <w:tcPr>
            <w:tcW w:w="1531" w:type="pct"/>
            <w:shd w:val="clear" w:color="auto" w:fill="D9D9D9" w:themeFill="background1" w:themeFillShade="D9"/>
          </w:tcPr>
          <w:p w14:paraId="70281C68" w14:textId="77777777" w:rsidR="000B148D" w:rsidRPr="005F5473" w:rsidRDefault="000B148D">
            <w:pPr>
              <w:pStyle w:val="Tableheading"/>
            </w:pPr>
            <w:r w:rsidRPr="005F5473">
              <w:t>Indicate if study supports application for marketing authorisation</w:t>
            </w:r>
          </w:p>
        </w:tc>
        <w:tc>
          <w:tcPr>
            <w:tcW w:w="3469" w:type="pct"/>
            <w:vAlign w:val="center"/>
          </w:tcPr>
          <w:p w14:paraId="4DD6C32F" w14:textId="77777777" w:rsidR="000B148D" w:rsidRPr="005F5473" w:rsidRDefault="000B148D">
            <w:pPr>
              <w:pStyle w:val="Tablebody"/>
            </w:pPr>
            <w:r w:rsidRPr="005F5473">
              <w:t>Yes</w:t>
            </w:r>
          </w:p>
        </w:tc>
      </w:tr>
      <w:tr w:rsidR="000B148D" w:rsidRPr="005F5473" w14:paraId="5F8ED78A" w14:textId="77777777">
        <w:tc>
          <w:tcPr>
            <w:tcW w:w="1531" w:type="pct"/>
            <w:shd w:val="clear" w:color="auto" w:fill="D9D9D9" w:themeFill="background1" w:themeFillShade="D9"/>
          </w:tcPr>
          <w:p w14:paraId="0C1765DC" w14:textId="77777777" w:rsidR="000B148D" w:rsidRPr="005F5473" w:rsidRDefault="000B148D">
            <w:pPr>
              <w:pStyle w:val="Tableheading"/>
            </w:pPr>
            <w:r w:rsidRPr="005F5473">
              <w:t>Indicate if study used in the economic model</w:t>
            </w:r>
          </w:p>
        </w:tc>
        <w:tc>
          <w:tcPr>
            <w:tcW w:w="3469" w:type="pct"/>
            <w:vAlign w:val="center"/>
          </w:tcPr>
          <w:p w14:paraId="78AB52A7" w14:textId="77777777" w:rsidR="000B148D" w:rsidRPr="005F5473" w:rsidRDefault="000B148D">
            <w:pPr>
              <w:pStyle w:val="Tablebody"/>
            </w:pPr>
            <w:r w:rsidRPr="005F5473">
              <w:t>Yes</w:t>
            </w:r>
          </w:p>
        </w:tc>
      </w:tr>
      <w:tr w:rsidR="000B148D" w:rsidRPr="005F5473" w14:paraId="087A6A01" w14:textId="77777777">
        <w:tc>
          <w:tcPr>
            <w:tcW w:w="1531" w:type="pct"/>
            <w:shd w:val="clear" w:color="auto" w:fill="D9D9D9" w:themeFill="background1" w:themeFillShade="D9"/>
          </w:tcPr>
          <w:p w14:paraId="05EFA12D" w14:textId="77777777" w:rsidR="000B148D" w:rsidRPr="005F5473" w:rsidRDefault="000B148D">
            <w:pPr>
              <w:pStyle w:val="Tableheading"/>
            </w:pPr>
            <w:r w:rsidRPr="005F5473">
              <w:t>Rationale for use/non-use in the model</w:t>
            </w:r>
          </w:p>
        </w:tc>
        <w:tc>
          <w:tcPr>
            <w:tcW w:w="3469" w:type="pct"/>
          </w:tcPr>
          <w:p w14:paraId="5506FF3B" w14:textId="57833DCD" w:rsidR="000B148D" w:rsidRPr="005F5473" w:rsidRDefault="000B148D">
            <w:pPr>
              <w:pStyle w:val="Tablebody"/>
            </w:pPr>
            <w:r w:rsidRPr="005F5473">
              <w:t xml:space="preserve">Pivotal trial in relevant patient population versus </w:t>
            </w:r>
            <w:r>
              <w:t xml:space="preserve">relevant </w:t>
            </w:r>
            <w:r w:rsidRPr="005F5473">
              <w:t>comparators</w:t>
            </w:r>
            <w:r w:rsidRPr="005F5473">
              <w:fldChar w:fldCharType="begin"/>
            </w:r>
            <w:r w:rsidR="00CA6345">
              <w:instrText xml:space="preserve"> ADDIN ZOTERO_ITEM CSL_CITATION {"citationID":"Jm4kCQyr","properties":{"formattedCitation":"\\super 1\\nosupersub{}","plainCitation":"1","noteIndex":0},"citationItems":[{"id":66383,"uris":["http://zotero.org/groups/4797619/items/Y75R2AJY"],"itemData":{"id":66383,"type":"webpage","language":"eng","note":"publisher: NICE","title":"Final Scope. Trastuzumab deruxtecan for treating HER2-low unresectable or metastatic breast cancer after chemotherapy","URL":"https://www.nice.org.uk/guidance/gid-ta10813/documents/final-scope","author":[{"family":"NICE","given":""}],"accessed":{"date-parts":[["2022",11,29]]},"issued":{"date-parts":[["2023",1,6]]}}}],"schema":"https://github.com/citation-style-language/schema/raw/master/csl-citation.json"} </w:instrText>
            </w:r>
            <w:r w:rsidRPr="005F5473">
              <w:fldChar w:fldCharType="separate"/>
            </w:r>
            <w:r w:rsidR="00FD57F4" w:rsidRPr="00FD57F4">
              <w:rPr>
                <w:rFonts w:cs="Arial"/>
                <w:szCs w:val="24"/>
                <w:vertAlign w:val="superscript"/>
              </w:rPr>
              <w:t>1</w:t>
            </w:r>
            <w:r w:rsidRPr="005F5473">
              <w:fldChar w:fldCharType="end"/>
            </w:r>
          </w:p>
        </w:tc>
      </w:tr>
      <w:tr w:rsidR="000B148D" w:rsidRPr="005F5473" w14:paraId="6A5B4CDA" w14:textId="77777777">
        <w:tc>
          <w:tcPr>
            <w:tcW w:w="1531" w:type="pct"/>
            <w:shd w:val="clear" w:color="auto" w:fill="D9D9D9" w:themeFill="background1" w:themeFillShade="D9"/>
          </w:tcPr>
          <w:p w14:paraId="5B416D98" w14:textId="77777777" w:rsidR="000B148D" w:rsidRPr="005F5473" w:rsidRDefault="000B148D">
            <w:pPr>
              <w:pStyle w:val="Tableheading"/>
            </w:pPr>
            <w:r w:rsidRPr="005F5473">
              <w:t>Reported outcomes specified in the decision problem</w:t>
            </w:r>
          </w:p>
        </w:tc>
        <w:tc>
          <w:tcPr>
            <w:tcW w:w="3469" w:type="pct"/>
          </w:tcPr>
          <w:p w14:paraId="78165A20" w14:textId="77777777" w:rsidR="000B148D" w:rsidRPr="005F5473" w:rsidRDefault="000B148D">
            <w:pPr>
              <w:pStyle w:val="Tablebody"/>
              <w:numPr>
                <w:ilvl w:val="0"/>
                <w:numId w:val="3"/>
              </w:numPr>
              <w:rPr>
                <w:b/>
                <w:bCs/>
              </w:rPr>
            </w:pPr>
            <w:r w:rsidRPr="005F5473">
              <w:rPr>
                <w:b/>
                <w:bCs/>
              </w:rPr>
              <w:t>PFS</w:t>
            </w:r>
          </w:p>
          <w:p w14:paraId="7C3502B9" w14:textId="77777777" w:rsidR="008F45AC" w:rsidRDefault="000B148D">
            <w:pPr>
              <w:pStyle w:val="Tablebody"/>
              <w:numPr>
                <w:ilvl w:val="0"/>
                <w:numId w:val="3"/>
              </w:numPr>
              <w:rPr>
                <w:b/>
                <w:bCs/>
              </w:rPr>
            </w:pPr>
            <w:r w:rsidRPr="005F5473">
              <w:rPr>
                <w:b/>
                <w:bCs/>
              </w:rPr>
              <w:t>OS</w:t>
            </w:r>
            <w:r w:rsidR="008F45AC" w:rsidRPr="000C741C">
              <w:rPr>
                <w:b/>
                <w:bCs/>
              </w:rPr>
              <w:t xml:space="preserve"> </w:t>
            </w:r>
          </w:p>
          <w:p w14:paraId="0C8C6BC6" w14:textId="390126A9" w:rsidR="000B148D" w:rsidRPr="005F5473" w:rsidRDefault="008F45AC">
            <w:pPr>
              <w:pStyle w:val="Tablebody"/>
              <w:numPr>
                <w:ilvl w:val="0"/>
                <w:numId w:val="3"/>
              </w:numPr>
              <w:rPr>
                <w:b/>
                <w:bCs/>
              </w:rPr>
            </w:pPr>
            <w:r w:rsidRPr="000C741C">
              <w:rPr>
                <w:b/>
                <w:bCs/>
              </w:rPr>
              <w:t>Response rates</w:t>
            </w:r>
          </w:p>
          <w:p w14:paraId="020F3F02" w14:textId="77777777" w:rsidR="000B148D" w:rsidRPr="005F5473" w:rsidRDefault="000B148D">
            <w:pPr>
              <w:pStyle w:val="Tablebody"/>
              <w:numPr>
                <w:ilvl w:val="0"/>
                <w:numId w:val="3"/>
              </w:numPr>
            </w:pPr>
            <w:r w:rsidRPr="005F5473">
              <w:t>Duration of response</w:t>
            </w:r>
          </w:p>
          <w:p w14:paraId="1DF0EC6C" w14:textId="77777777" w:rsidR="000B148D" w:rsidRPr="005F5473" w:rsidRDefault="000B148D">
            <w:pPr>
              <w:pStyle w:val="Tablebody"/>
              <w:numPr>
                <w:ilvl w:val="0"/>
                <w:numId w:val="3"/>
              </w:numPr>
              <w:rPr>
                <w:b/>
                <w:bCs/>
              </w:rPr>
            </w:pPr>
            <w:r w:rsidRPr="005F5473">
              <w:rPr>
                <w:b/>
                <w:bCs/>
              </w:rPr>
              <w:t>AEs</w:t>
            </w:r>
          </w:p>
          <w:p w14:paraId="33554C42" w14:textId="55A6A940" w:rsidR="000B148D" w:rsidRPr="008F45AC" w:rsidRDefault="000B148D" w:rsidP="008F45AC">
            <w:pPr>
              <w:pStyle w:val="Tablebody"/>
              <w:numPr>
                <w:ilvl w:val="0"/>
                <w:numId w:val="3"/>
              </w:numPr>
              <w:rPr>
                <w:b/>
                <w:bCs/>
              </w:rPr>
            </w:pPr>
            <w:r w:rsidRPr="005F5473">
              <w:rPr>
                <w:b/>
                <w:bCs/>
              </w:rPr>
              <w:t>HRQoL</w:t>
            </w:r>
          </w:p>
        </w:tc>
      </w:tr>
      <w:tr w:rsidR="000B148D" w:rsidRPr="005F5473" w14:paraId="75FA2E7D" w14:textId="77777777">
        <w:tc>
          <w:tcPr>
            <w:tcW w:w="1531" w:type="pct"/>
            <w:shd w:val="clear" w:color="auto" w:fill="D9D9D9" w:themeFill="background1" w:themeFillShade="D9"/>
          </w:tcPr>
          <w:p w14:paraId="4BA02EF8" w14:textId="77777777" w:rsidR="000B148D" w:rsidRPr="005F5473" w:rsidRDefault="000B148D">
            <w:pPr>
              <w:pStyle w:val="Tableheading"/>
            </w:pPr>
            <w:r w:rsidRPr="005F5473">
              <w:t>All other reported outcomes</w:t>
            </w:r>
          </w:p>
        </w:tc>
        <w:tc>
          <w:tcPr>
            <w:tcW w:w="3469" w:type="pct"/>
          </w:tcPr>
          <w:p w14:paraId="5B36CFE3" w14:textId="5DF37869" w:rsidR="000B148D" w:rsidRDefault="000B148D">
            <w:pPr>
              <w:pStyle w:val="Tablebody"/>
              <w:numPr>
                <w:ilvl w:val="0"/>
                <w:numId w:val="3"/>
              </w:numPr>
            </w:pPr>
            <w:r w:rsidRPr="005F5473">
              <w:t>Time to response</w:t>
            </w:r>
          </w:p>
          <w:p w14:paraId="1647C3D0" w14:textId="1E7161A9" w:rsidR="00DF386B" w:rsidRPr="00DF386B" w:rsidRDefault="00DF386B">
            <w:pPr>
              <w:pStyle w:val="Tablebody"/>
              <w:numPr>
                <w:ilvl w:val="0"/>
                <w:numId w:val="3"/>
              </w:numPr>
              <w:rPr>
                <w:b/>
                <w:bCs/>
              </w:rPr>
            </w:pPr>
            <w:r w:rsidRPr="00DF386B">
              <w:rPr>
                <w:b/>
                <w:bCs/>
              </w:rPr>
              <w:t>Time to treatment discontinuation</w:t>
            </w:r>
          </w:p>
          <w:p w14:paraId="60D2119A" w14:textId="77777777" w:rsidR="000B148D" w:rsidRPr="005F5473" w:rsidRDefault="000B148D">
            <w:pPr>
              <w:pStyle w:val="Tablebody"/>
              <w:numPr>
                <w:ilvl w:val="0"/>
                <w:numId w:val="3"/>
              </w:numPr>
            </w:pPr>
            <w:r w:rsidRPr="005F5473">
              <w:t>Hospitalisation</w:t>
            </w:r>
          </w:p>
        </w:tc>
      </w:tr>
      <w:tr w:rsidR="000B148D" w:rsidRPr="005F5473" w14:paraId="6C110EB9" w14:textId="77777777">
        <w:tc>
          <w:tcPr>
            <w:tcW w:w="1531" w:type="pct"/>
            <w:shd w:val="clear" w:color="auto" w:fill="D9D9D9" w:themeFill="background1" w:themeFillShade="D9"/>
          </w:tcPr>
          <w:p w14:paraId="19D660AE" w14:textId="77777777" w:rsidR="000B148D" w:rsidRPr="005F5473" w:rsidRDefault="000B148D">
            <w:pPr>
              <w:pStyle w:val="Tableheading"/>
            </w:pPr>
            <w:r w:rsidRPr="005F5473">
              <w:t>Key publication</w:t>
            </w:r>
          </w:p>
        </w:tc>
        <w:tc>
          <w:tcPr>
            <w:tcW w:w="3469" w:type="pct"/>
          </w:tcPr>
          <w:p w14:paraId="5047C302" w14:textId="7C961AAB" w:rsidR="000B148D" w:rsidRPr="005F5473" w:rsidRDefault="000B148D">
            <w:pPr>
              <w:pStyle w:val="Tablebody"/>
            </w:pPr>
            <w:r w:rsidRPr="005F5473">
              <w:t>Modi et al. 2022</w:t>
            </w:r>
            <w:r>
              <w:fldChar w:fldCharType="begin"/>
            </w:r>
            <w:r w:rsidR="00CA6345">
              <w:instrText xml:space="preserve"> ADDIN ZOTERO_ITEM CSL_CITATION {"citationID":"60fe9OKh","properties":{"formattedCitation":"\\super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p>
        </w:tc>
      </w:tr>
      <w:tr w:rsidR="000B148D" w:rsidRPr="005F5473" w14:paraId="700A3603" w14:textId="77777777">
        <w:tc>
          <w:tcPr>
            <w:tcW w:w="1531" w:type="pct"/>
            <w:shd w:val="clear" w:color="auto" w:fill="D9D9D9" w:themeFill="background1" w:themeFillShade="D9"/>
          </w:tcPr>
          <w:p w14:paraId="656EB7BB" w14:textId="77777777" w:rsidR="000B148D" w:rsidRPr="005F5473" w:rsidRDefault="000B148D">
            <w:pPr>
              <w:pStyle w:val="Tableheading"/>
            </w:pPr>
            <w:r w:rsidRPr="005F5473">
              <w:t>Secondary sources</w:t>
            </w:r>
          </w:p>
        </w:tc>
        <w:tc>
          <w:tcPr>
            <w:tcW w:w="3469" w:type="pct"/>
          </w:tcPr>
          <w:p w14:paraId="2462D0D1" w14:textId="0FAD0D28" w:rsidR="00433997" w:rsidRDefault="000B148D">
            <w:pPr>
              <w:pStyle w:val="Tablebody"/>
              <w:rPr>
                <w:lang w:val="it-IT"/>
              </w:rPr>
            </w:pPr>
            <w:r w:rsidRPr="005F5473">
              <w:t xml:space="preserve">Daiichi Sankyo Inc., DESTINY-Breast04 CSR. </w:t>
            </w:r>
            <w:r w:rsidRPr="005F5473">
              <w:rPr>
                <w:lang w:val="it-IT"/>
              </w:rPr>
              <w:t>Data on file, 2022.</w:t>
            </w:r>
            <w:r w:rsidRPr="005F5473">
              <w:fldChar w:fldCharType="begin"/>
            </w:r>
            <w:r w:rsidR="00CA6345">
              <w:rPr>
                <w:lang w:val="it-IT"/>
              </w:rPr>
              <w:instrText xml:space="preserve"> ADDIN ZOTERO_ITEM CSL_CITATION {"citationID":"Ai3sCLvm","properties":{"formattedCitation":"\\super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5F5473">
              <w:fldChar w:fldCharType="separate"/>
            </w:r>
            <w:r w:rsidR="00FD57F4" w:rsidRPr="00F96305">
              <w:rPr>
                <w:rFonts w:cs="Arial"/>
                <w:szCs w:val="24"/>
                <w:vertAlign w:val="superscript"/>
                <w:lang w:val="it-IT"/>
              </w:rPr>
              <w:t>7</w:t>
            </w:r>
            <w:r w:rsidRPr="005F5473">
              <w:fldChar w:fldCharType="end"/>
            </w:r>
          </w:p>
          <w:p w14:paraId="766515BC" w14:textId="50392DAD" w:rsidR="000B148D" w:rsidRPr="003C648C" w:rsidRDefault="000B148D">
            <w:pPr>
              <w:pStyle w:val="Tablebody"/>
              <w:rPr>
                <w:lang w:val="da-DK"/>
              </w:rPr>
            </w:pPr>
            <w:r w:rsidRPr="005F5473">
              <w:rPr>
                <w:lang w:val="it-IT"/>
              </w:rPr>
              <w:t>Modi, S. et al., ASCO, 2022.</w:t>
            </w:r>
            <w:r w:rsidRPr="005F5473">
              <w:fldChar w:fldCharType="begin"/>
            </w:r>
            <w:r w:rsidR="00CA6345">
              <w:rPr>
                <w:lang w:val="it-IT"/>
              </w:rPr>
              <w:instrText xml:space="preserve"> ADDIN ZOTERO_ITEM CSL_CITATION {"citationID":"acmkb18l25","properties":{"formattedCitation":"\\super 140\\nosupersub{}","plainCitation":"140","noteIndex":0},"citationItems":[{"id":66138,"uris":["http://zotero.org/groups/4797619/items/7DECRJ2U"],"itemData":{"id":66138,"type":"document","title":"Trastuzumab deruxtecan (T-DXd) vs treatment of physician's choice in patients with HER2-low unresectable and/or metastatic breast cancer: Results of DESTINY-Breast04, a randomized, phase 3 study. Presented at ASCO 2022 Annual Meeting.","author":[{"family":"Modi","given":"Shanu"},{"family":"Jacot","given":"William"},{"family":"Yamashita","given":"Toshinari"},{"family":"Sohn","given":"Joohyuk"},{"family":"Vidal","given":"Maria"},{"family":"Tokunaga","given":"Eriko"},{"family":"Tsurutani","given":"Junji"},{"family":"Ueno","given":"Naoto T."},{"family":"Chae","given":"Yee Soo"},{"family":"Lee","given":"Keun Seok"},{"family":"Niikura","given":"Naoki"},{"family":"Park","given":"Yeon Hee"},{"family":"Wang","given":"Xiaojia"},{"family":"Xu","given":"Binghe"},{"family":"Gambhire","given":"Dhiraj"},{"family":"Yung","given":"Lotus"},{"family":"Meinhardt","given":"Gerold"},{"family":"Wang","given":"Yibin"},{"family":"Harbeck","given":"Nadia"},{"family":"Cameron","given":"David"}],"issued":{"date-parts":[["2022",6,5]]}}}],"schema":"https://github.com/citation-style-language/schema/raw/master/csl-citation.json"} </w:instrText>
            </w:r>
            <w:r w:rsidRPr="005F5473">
              <w:fldChar w:fldCharType="separate"/>
            </w:r>
            <w:r w:rsidR="00CA6345" w:rsidRPr="00CA6345">
              <w:rPr>
                <w:rFonts w:cs="Arial"/>
                <w:szCs w:val="24"/>
                <w:vertAlign w:val="superscript"/>
              </w:rPr>
              <w:t>140</w:t>
            </w:r>
            <w:r w:rsidRPr="005F5473">
              <w:fldChar w:fldCharType="end"/>
            </w:r>
          </w:p>
          <w:p w14:paraId="1EFFBA78" w14:textId="6B9025A8" w:rsidR="000B148D" w:rsidRPr="005F5473" w:rsidRDefault="000B148D">
            <w:pPr>
              <w:pStyle w:val="Tablebody"/>
            </w:pPr>
            <w:r w:rsidRPr="003C648C">
              <w:rPr>
                <w:lang w:val="da-DK"/>
              </w:rPr>
              <w:t>Ueno, N. et al., EMSO, 2022.</w:t>
            </w:r>
            <w:r w:rsidR="001D12AA" w:rsidRPr="003C648C">
              <w:rPr>
                <w:lang w:val="da-DK"/>
              </w:rPr>
              <w:fldChar w:fldCharType="begin"/>
            </w:r>
            <w:r w:rsidR="00CA6345">
              <w:rPr>
                <w:lang w:val="da-DK"/>
              </w:rPr>
              <w:instrText xml:space="preserve"> ADDIN ZOTERO_ITEM CSL_CITATION {"citationID":"pHQLlI04","properties":{"formattedCitation":"\\super 151\\nosupersub{}","plainCitation":"151","noteIndex":0},"citationItems":[{"id":66139,"uris":["http://zotero.org/groups/4797619/items/GE98BVW6"],"itemData":{"id":66139,"type":"document","title":"Patient-Reported Outcomes (PROs) From DESTINY-Breast04  a Randomized Phase 3 Study of Trastuzumab Deruxtecan (T-DXd) vs Treatment of Physician’s Choice (TPC) in Patients With HER2-Low  Metastatic Breast Cancer. Presented at ESMO Congress, September 2022.","author":[{"family":"Ueno","given":"Shanu"},{"family":"Jacot","given":"William"},{"family":"Yamashita","given":"Toshinari"},{"family":"Sohn","given":"Joohyuk"},{"family":"Vidal","given":"Maria"},{"family":"Tokunaga","given":"Eriko"},{"family":"Tsurutani","given":"Junji"},{"family":"Lee","given":"Keun Seok"},{"family":"Niikura","given":"Naoki"},{"family":"Park","given":"Yeon Hee"},{"family":"Wang","given":"Xiaojia"},{"family":"Xu","given":"Binghe"},{"family":"Gambhire","given":"Dhiraj"},{"family":"Yung","given":"Lotus"},{"family":"Meinhardt","given":"Gerold"},{"family":"Wang","given":"Yibin"},{"family":"Harbeck","given":"Nadia"},{"family":"Cameron","given":"David"},{"family":"Modi","given":"Shanu"}],"issued":{"date-parts":[["2022",9,1]]}}}],"schema":"https://github.com/citation-style-language/schema/raw/master/csl-citation.json"} </w:instrText>
            </w:r>
            <w:r w:rsidR="001D12AA" w:rsidRPr="003C648C">
              <w:rPr>
                <w:lang w:val="da-DK"/>
              </w:rPr>
              <w:fldChar w:fldCharType="separate"/>
            </w:r>
            <w:r w:rsidR="00CA6345" w:rsidRPr="00CA6345">
              <w:rPr>
                <w:rFonts w:cs="Arial"/>
                <w:szCs w:val="24"/>
                <w:vertAlign w:val="superscript"/>
              </w:rPr>
              <w:t>151</w:t>
            </w:r>
            <w:r w:rsidR="001D12AA" w:rsidRPr="003C648C">
              <w:rPr>
                <w:lang w:val="da-DK"/>
              </w:rPr>
              <w:fldChar w:fldCharType="end"/>
            </w:r>
            <w:r w:rsidR="001D12AA" w:rsidRPr="005B7B01">
              <w:rPr>
                <w:rStyle w:val="CommentReference"/>
              </w:rPr>
              <w:t xml:space="preserve"> </w:t>
            </w:r>
          </w:p>
          <w:p w14:paraId="53A15A18" w14:textId="77777777" w:rsidR="000B148D" w:rsidRPr="005F5473" w:rsidRDefault="000B148D">
            <w:pPr>
              <w:pStyle w:val="Tablebody"/>
            </w:pPr>
          </w:p>
        </w:tc>
      </w:tr>
    </w:tbl>
    <w:p w14:paraId="52C7157D" w14:textId="3ACE0B7B" w:rsidR="000B148D" w:rsidRPr="000F3DA1" w:rsidRDefault="000B148D" w:rsidP="000B148D">
      <w:pPr>
        <w:pStyle w:val="Footnotes"/>
        <w:rPr>
          <w:color w:val="0070C0"/>
        </w:rPr>
      </w:pPr>
      <w:r w:rsidRPr="005F5473">
        <w:t>Outcomes incorporated in the model are shown in</w:t>
      </w:r>
      <w:r w:rsidRPr="005F5473">
        <w:rPr>
          <w:b/>
        </w:rPr>
        <w:t xml:space="preserve"> bold</w:t>
      </w:r>
      <w:r w:rsidRPr="005F5473">
        <w:t>.</w:t>
      </w:r>
      <w:r w:rsidRPr="005F5473">
        <w:br/>
        <w:t xml:space="preserve">Abbreviations: AE, adverse event; BC, breast cancer; CSR, clinical study report; HER2, human epidermal growth factor receptor 2; HRQoL, health-related </w:t>
      </w:r>
      <w:r w:rsidR="005754E8">
        <w:t>quality-of-</w:t>
      </w:r>
      <w:r w:rsidRPr="005F5473">
        <w:t>life; IV, intravenous; OS, overall survival; PFS, progression-free survival; T</w:t>
      </w:r>
      <w:r w:rsidRPr="005F5473">
        <w:noBreakHyphen/>
        <w:t>DXd, trastuzumab deruxtecan; TPC, treatment of physician’s choice</w:t>
      </w:r>
      <w:r w:rsidR="00494565">
        <w:t>; u/mBC, unresectable or metastatic breast cancer</w:t>
      </w:r>
      <w:r w:rsidRPr="005F5473">
        <w:t xml:space="preserve">. </w:t>
      </w:r>
      <w:r w:rsidRPr="005F5473">
        <w:br/>
      </w:r>
      <w:r w:rsidRPr="005F5473">
        <w:rPr>
          <w:lang w:val="fr-FR"/>
        </w:rPr>
        <w:t>Sources</w:t>
      </w:r>
      <w:r w:rsidR="00A778F6">
        <w:rPr>
          <w:lang w:val="fr-FR"/>
        </w:rPr>
        <w:t> </w:t>
      </w:r>
      <w:r w:rsidRPr="005F5473">
        <w:rPr>
          <w:lang w:val="fr-FR"/>
        </w:rPr>
        <w:t>: Modi et al.</w:t>
      </w:r>
      <w:r>
        <w:rPr>
          <w:lang w:val="fr-FR"/>
        </w:rPr>
        <w:t>,</w:t>
      </w:r>
      <w:r w:rsidRPr="005F5473">
        <w:rPr>
          <w:lang w:val="fr-FR"/>
        </w:rPr>
        <w:t xml:space="preserve"> 2022</w:t>
      </w:r>
      <w:r w:rsidR="00A778F6">
        <w:rPr>
          <w:lang w:val="fr-FR"/>
        </w:rPr>
        <w:t> </w:t>
      </w:r>
      <w:r>
        <w:rPr>
          <w:lang w:val="fr-FR"/>
        </w:rPr>
        <w:t>;</w:t>
      </w:r>
      <w:r>
        <w:rPr>
          <w:lang w:val="fr-FR"/>
        </w:rPr>
        <w:fldChar w:fldCharType="begin"/>
      </w:r>
      <w:r w:rsidR="00CA6345">
        <w:rPr>
          <w:lang w:val="fr-FR"/>
        </w:rPr>
        <w:instrText xml:space="preserve"> ADDIN ZOTERO_ITEM CSL_CITATION {"citationID":"dYKCkmEr","properties":{"formattedCitation":"\\super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Pr>
          <w:lang w:val="fr-FR"/>
        </w:rPr>
        <w:fldChar w:fldCharType="separate"/>
      </w:r>
      <w:r w:rsidR="00FD57F4" w:rsidRPr="00F96305">
        <w:rPr>
          <w:rFonts w:cs="Arial"/>
          <w:szCs w:val="24"/>
          <w:vertAlign w:val="superscript"/>
          <w:lang w:val="fr-FR"/>
        </w:rPr>
        <w:t>6</w:t>
      </w:r>
      <w:r>
        <w:rPr>
          <w:lang w:val="fr-FR"/>
        </w:rPr>
        <w:fldChar w:fldCharType="end"/>
      </w:r>
      <w:r w:rsidRPr="005F5473">
        <w:rPr>
          <w:lang w:val="fr-FR"/>
        </w:rPr>
        <w:t xml:space="preserve"> Daiichi Sankyo Inc., DESTINY-Breast04 CSR. </w:t>
      </w:r>
      <w:r w:rsidRPr="005F5473">
        <w:t>Data on file, 2022</w:t>
      </w:r>
      <w:r w:rsidRPr="005F5473">
        <w:fldChar w:fldCharType="begin"/>
      </w:r>
      <w:r w:rsidR="00CA6345">
        <w:instrText xml:space="preserve"> ADDIN ZOTERO_ITEM CSL_CITATION {"citationID":"HIBecFsU","properties":{"formattedCitation":"\\super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5F5473">
        <w:fldChar w:fldCharType="separate"/>
      </w:r>
      <w:r w:rsidR="00FD57F4" w:rsidRPr="00FD57F4">
        <w:rPr>
          <w:rFonts w:cs="Arial"/>
          <w:sz w:val="20"/>
          <w:szCs w:val="24"/>
          <w:vertAlign w:val="superscript"/>
        </w:rPr>
        <w:t>7</w:t>
      </w:r>
      <w:r w:rsidRPr="005F5473">
        <w:fldChar w:fldCharType="end"/>
      </w:r>
      <w:r w:rsidRPr="005F5473">
        <w:t xml:space="preserve"> </w:t>
      </w:r>
      <w:r w:rsidRPr="000F3DA1">
        <w:rPr>
          <w:color w:val="0070C0"/>
        </w:rPr>
        <w:br w:type="page"/>
      </w:r>
    </w:p>
    <w:p w14:paraId="3A9034C0" w14:textId="7B04BC72" w:rsidR="000B148D" w:rsidRDefault="000B148D" w:rsidP="000B148D">
      <w:pPr>
        <w:pStyle w:val="Heading2"/>
      </w:pPr>
      <w:bookmarkStart w:id="140" w:name="_Ref101384454"/>
      <w:bookmarkStart w:id="141" w:name="_Toc124447829"/>
      <w:bookmarkStart w:id="142" w:name="_Toc129350856"/>
      <w:r>
        <w:lastRenderedPageBreak/>
        <w:t>Summary of methodology of the relevant clinical effectiveness evidence</w:t>
      </w:r>
      <w:bookmarkEnd w:id="140"/>
      <w:bookmarkEnd w:id="141"/>
      <w:bookmarkEnd w:id="142"/>
    </w:p>
    <w:p w14:paraId="49448982" w14:textId="77777777" w:rsidR="000B148D" w:rsidRPr="00314A60" w:rsidRDefault="000B148D" w:rsidP="000B148D">
      <w:pPr>
        <w:pStyle w:val="Heading3"/>
        <w:rPr>
          <w:color w:val="000000" w:themeColor="text1"/>
        </w:rPr>
      </w:pPr>
      <w:bookmarkStart w:id="143" w:name="_Toc124447830"/>
      <w:bookmarkStart w:id="144" w:name="_Ref127007482"/>
      <w:bookmarkStart w:id="145" w:name="_Toc129350857"/>
      <w:r w:rsidRPr="00314A60">
        <w:rPr>
          <w:color w:val="000000" w:themeColor="text1"/>
        </w:rPr>
        <w:t>DESTINY-Breast04</w:t>
      </w:r>
      <w:bookmarkEnd w:id="143"/>
      <w:bookmarkEnd w:id="144"/>
      <w:bookmarkEnd w:id="145"/>
    </w:p>
    <w:p w14:paraId="655C1F4F" w14:textId="77777777" w:rsidR="000B148D" w:rsidRDefault="000B148D" w:rsidP="000B148D">
      <w:pPr>
        <w:pStyle w:val="Heading4"/>
        <w:numPr>
          <w:ilvl w:val="0"/>
          <w:numId w:val="0"/>
        </w:numPr>
      </w:pPr>
      <w:r>
        <w:t>Study design</w:t>
      </w:r>
    </w:p>
    <w:p w14:paraId="136F53FA" w14:textId="571CE144" w:rsidR="00E5380B" w:rsidRDefault="000B148D" w:rsidP="004003CB">
      <w:pPr>
        <w:pStyle w:val="Body"/>
      </w:pPr>
      <w:r w:rsidRPr="003A4AB9">
        <w:t>DESTINY-Breast04 is a Phase III, multicentre, randomised, two-arm, open-label, multi</w:t>
      </w:r>
      <w:r w:rsidR="008A298C">
        <w:t>centre</w:t>
      </w:r>
      <w:r w:rsidRPr="003A4AB9">
        <w:t xml:space="preserve"> trial conducted across multiple countries including the UK (study design shown in </w:t>
      </w:r>
      <w:r w:rsidRPr="00E5380B">
        <w:rPr>
          <w:b/>
          <w:bCs/>
        </w:rPr>
        <w:fldChar w:fldCharType="begin"/>
      </w:r>
      <w:r w:rsidRPr="00E5380B">
        <w:rPr>
          <w:b/>
          <w:bCs/>
        </w:rPr>
        <w:instrText xml:space="preserve"> REF _Ref85794370 \h </w:instrText>
      </w:r>
      <w:r w:rsidR="00E5380B">
        <w:rPr>
          <w:b/>
          <w:bCs/>
        </w:rPr>
        <w:instrText xml:space="preserve"> \* MERGEFORMAT </w:instrText>
      </w:r>
      <w:r w:rsidRPr="00E5380B">
        <w:rPr>
          <w:b/>
          <w:bCs/>
        </w:rPr>
      </w:r>
      <w:r w:rsidRPr="00E5380B">
        <w:rPr>
          <w:b/>
          <w:bCs/>
        </w:rPr>
        <w:fldChar w:fldCharType="separate"/>
      </w:r>
      <w:r w:rsidR="00145F42" w:rsidRPr="00145F42">
        <w:rPr>
          <w:b/>
          <w:bCs/>
        </w:rPr>
        <w:t xml:space="preserve">Figure </w:t>
      </w:r>
      <w:r w:rsidR="00145F42" w:rsidRPr="00145F42">
        <w:rPr>
          <w:b/>
          <w:bCs/>
          <w:noProof/>
        </w:rPr>
        <w:t>9</w:t>
      </w:r>
      <w:r w:rsidRPr="00E5380B">
        <w:rPr>
          <w:b/>
          <w:bCs/>
        </w:rPr>
        <w:fldChar w:fldCharType="end"/>
      </w:r>
      <w:r w:rsidRPr="003A4AB9">
        <w:t>).</w:t>
      </w:r>
      <w:r w:rsidR="00B37B86" w:rsidRPr="00B37B86">
        <w:t xml:space="preserve"> </w:t>
      </w:r>
      <w:r w:rsidR="00B37B86">
        <w:fldChar w:fldCharType="begin"/>
      </w:r>
      <w:r w:rsidR="00CA6345">
        <w:instrText xml:space="preserve"> ADDIN ZOTERO_ITEM CSL_CITATION {"citationID":"cmU5WaeI","properties":{"formattedCitation":"\\super 7,153\\nosupersub{}","plainCitation":"7,153","noteIndex":0},"citationItems":[{"id":65944,"uris":["http://zotero.org/groups/4797619/items/WBVSVVF7"],"itemData":{"id":65944,"type":"document","title":"Clinical Study Report for DS8201-A-U303. Data cut-off date: 11 Jan 2022. Data on File.","author":[{"family":"Daiichi Sankyo Inc.","given":""}],"issued":{"date-parts":[["2022"]]}}},{"id":65924,"uris":["http://zotero.org/groups/4797619/items/5D3NP3DU"],"itemData":{"id":65924,"type":"document","title":"Statistical Analysis Plan Version 2.0 for DS8201-A-U303. 04 January 2022. Data on File.","author":[{"family":"Daiichi Sankyo Inc.","given":""}],"issued":{"date-parts":[["2022"]]}}}],"schema":"https://github.com/citation-style-language/schema/raw/master/csl-citation.json"} </w:instrText>
      </w:r>
      <w:r w:rsidR="00B37B86">
        <w:fldChar w:fldCharType="separate"/>
      </w:r>
      <w:r w:rsidR="00CA6345" w:rsidRPr="00CA6345">
        <w:rPr>
          <w:rFonts w:cs="Arial"/>
          <w:szCs w:val="24"/>
          <w:vertAlign w:val="superscript"/>
        </w:rPr>
        <w:t>7,153</w:t>
      </w:r>
      <w:r w:rsidR="00B37B86">
        <w:fldChar w:fldCharType="end"/>
      </w:r>
      <w:r w:rsidR="00B37B86" w:rsidRPr="003A4AB9">
        <w:t xml:space="preserve"> </w:t>
      </w:r>
      <w:r w:rsidR="00E5380B">
        <w:t>T</w:t>
      </w:r>
      <w:r w:rsidRPr="003A4AB9">
        <w:t>he study enrolled adults with HER</w:t>
      </w:r>
      <w:r>
        <w:t>2</w:t>
      </w:r>
      <w:r w:rsidRPr="003A4AB9">
        <w:t>-low u/mBC (defined</w:t>
      </w:r>
      <w:r w:rsidR="005D25C2">
        <w:t xml:space="preserve"> by tissue biopsy</w:t>
      </w:r>
      <w:r w:rsidRPr="003A4AB9">
        <w:t xml:space="preserve"> as IHC 1+ or IHC 2+/ISH-negative) who had previously been treated with at least one an</w:t>
      </w:r>
      <w:r>
        <w:t>d</w:t>
      </w:r>
      <w:r w:rsidRPr="003A4AB9">
        <w:t xml:space="preserve"> no more than two lines of chemotherapy in</w:t>
      </w:r>
      <w:bookmarkStart w:id="146" w:name="_Hlk117755424"/>
      <w:r w:rsidRPr="003A4AB9">
        <w:t xml:space="preserve"> the recurrent </w:t>
      </w:r>
      <w:bookmarkEnd w:id="146"/>
      <w:r w:rsidRPr="003A4AB9">
        <w:t xml:space="preserve">or metastatic setting. If recurrence occurred within six months of (neo)adjuvant chemotherapy, </w:t>
      </w:r>
      <w:r w:rsidR="00E0226F">
        <w:t xml:space="preserve">this </w:t>
      </w:r>
      <w:r w:rsidRPr="003A4AB9">
        <w:t>would count as one line of chemotherapy.</w:t>
      </w:r>
      <w:r w:rsidRPr="003A4AB9">
        <w:fldChar w:fldCharType="begin"/>
      </w:r>
      <w:r w:rsidR="00CA6345">
        <w:instrText xml:space="preserve"> ADDIN ZOTERO_ITEM CSL_CITATION {"citationID":"b5ESxMmO","properties":{"formattedCitation":"\\super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3A4AB9">
        <w:fldChar w:fldCharType="separate"/>
      </w:r>
      <w:r w:rsidR="00FD57F4" w:rsidRPr="00FD57F4">
        <w:rPr>
          <w:rFonts w:cs="Arial"/>
          <w:szCs w:val="24"/>
          <w:vertAlign w:val="superscript"/>
        </w:rPr>
        <w:t>7</w:t>
      </w:r>
      <w:r w:rsidRPr="003A4AB9">
        <w:fldChar w:fldCharType="end"/>
      </w:r>
      <w:r w:rsidRPr="003A4AB9">
        <w:t xml:space="preserve"> Targeted agents (e.g. CDK4/6 inhibitors, PARP inhibitors, PD-L1 inhibitors) and ET did not contribute to the count of prior lines of chemotherapy unless they were used in combination with a chemotherapy agent.</w:t>
      </w:r>
      <w:r w:rsidRPr="003A4AB9">
        <w:fldChar w:fldCharType="begin"/>
      </w:r>
      <w:r w:rsidR="00CA6345">
        <w:instrText xml:space="preserve"> ADDIN ZOTERO_ITEM CSL_CITATION {"citationID":"IXXT4LqM","properties":{"formattedCitation":"\\super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3A4AB9">
        <w:fldChar w:fldCharType="separate"/>
      </w:r>
      <w:r w:rsidR="00FD57F4" w:rsidRPr="00FD57F4">
        <w:rPr>
          <w:rFonts w:cs="Arial"/>
          <w:szCs w:val="24"/>
          <w:vertAlign w:val="superscript"/>
        </w:rPr>
        <w:t>7</w:t>
      </w:r>
      <w:r w:rsidRPr="003A4AB9">
        <w:fldChar w:fldCharType="end"/>
      </w:r>
    </w:p>
    <w:p w14:paraId="59538591" w14:textId="63C7026C" w:rsidR="000B148D" w:rsidRPr="003A4AB9" w:rsidRDefault="000B148D" w:rsidP="000B148D">
      <w:pPr>
        <w:pStyle w:val="Body"/>
      </w:pPr>
      <w:r w:rsidRPr="003A4AB9">
        <w:t>The study enrolled patients with either HR-positive or HR-negative HER2-low u/mBC. Approximately 60 patients with HR-negative BC were to be enrolled, after which enrolment was limited to patients with HR-positive u/mBC. Patients with HR-positive u/mBC had to have been previously treated with at least one line of ET but had progressed and were determined by the investigator to no longer benefit from further ET.</w:t>
      </w:r>
      <w:r w:rsidRPr="003A4AB9">
        <w:fldChar w:fldCharType="begin"/>
      </w:r>
      <w:r w:rsidR="00CA6345">
        <w:instrText xml:space="preserve"> ADDIN ZOTERO_ITEM CSL_CITATION {"citationID":"a2l3b87lq16","properties":{"formattedCitation":"\\super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3A4AB9">
        <w:fldChar w:fldCharType="separate"/>
      </w:r>
      <w:r w:rsidR="00FD57F4" w:rsidRPr="00FD57F4">
        <w:rPr>
          <w:rFonts w:cs="Arial"/>
          <w:szCs w:val="24"/>
          <w:vertAlign w:val="superscript"/>
        </w:rPr>
        <w:t>7</w:t>
      </w:r>
      <w:r w:rsidRPr="003A4AB9">
        <w:fldChar w:fldCharType="end"/>
      </w:r>
      <w:r w:rsidRPr="003A4AB9">
        <w:t xml:space="preserve"> The protocol specified enrolment of no more </w:t>
      </w:r>
      <w:r w:rsidRPr="00D7572D">
        <w:t>than 240</w:t>
      </w:r>
      <w:r w:rsidRPr="003A4AB9">
        <w:t xml:space="preserve"> patients with HR-positive BC who had no prior therapy with a CDK4/6 inhibitor and at </w:t>
      </w:r>
      <w:r w:rsidRPr="00D7572D">
        <w:t>least 240 patients with HR-positive BC who had prior therapy with a CDK4/6 inhibitor.</w:t>
      </w:r>
      <w:r w:rsidRPr="00D7572D">
        <w:fldChar w:fldCharType="begin"/>
      </w:r>
      <w:r w:rsidR="00CA6345">
        <w:instrText xml:space="preserve"> ADDIN ZOTERO_ITEM CSL_CITATION {"citationID":"uvI1SpFO","properties":{"formattedCitation":"\\super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D7572D">
        <w:fldChar w:fldCharType="separate"/>
      </w:r>
      <w:r w:rsidR="00FD57F4" w:rsidRPr="00FD57F4">
        <w:rPr>
          <w:rFonts w:cs="Arial"/>
          <w:szCs w:val="24"/>
          <w:vertAlign w:val="superscript"/>
        </w:rPr>
        <w:t>7</w:t>
      </w:r>
      <w:r w:rsidRPr="00D7572D">
        <w:fldChar w:fldCharType="end"/>
      </w:r>
    </w:p>
    <w:p w14:paraId="7437F41F" w14:textId="4731FC79" w:rsidR="000B148D" w:rsidRPr="003A4AB9" w:rsidRDefault="000B148D" w:rsidP="000B148D">
      <w:pPr>
        <w:pStyle w:val="Body"/>
      </w:pPr>
      <w:r w:rsidRPr="003A4AB9">
        <w:t xml:space="preserve">Approximately 540 patients were randomised 2:1 to T-DXd or TPC by an interactive web/voice response system (IXRS). Randomisation was stratified by HER2 IHC status (IHC 1+ vs. IHC2+/ISH-negative), number of prior lines of chemotherapy (1 vs. 2), </w:t>
      </w:r>
      <w:r>
        <w:t>and</w:t>
      </w:r>
      <w:r w:rsidRPr="003A4AB9">
        <w:t xml:space="preserve"> HR</w:t>
      </w:r>
      <w:r>
        <w:t>/</w:t>
      </w:r>
      <w:r w:rsidRPr="003A4AB9">
        <w:t>CDK status (HR-positive with prior CDK4/6 inhibitor treatment vs. HR-positive without prior CDK4/6 inhibitor treatment vs. HR-negative).</w:t>
      </w:r>
      <w:r w:rsidRPr="003A4AB9">
        <w:fldChar w:fldCharType="begin"/>
      </w:r>
      <w:r w:rsidR="00CA6345">
        <w:instrText xml:space="preserve"> ADDIN ZOTERO_ITEM CSL_CITATION {"citationID":"FRsNAbqv","properties":{"formattedCitation":"\\super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3A4AB9">
        <w:fldChar w:fldCharType="separate"/>
      </w:r>
      <w:r w:rsidR="00FD57F4" w:rsidRPr="00FD57F4">
        <w:rPr>
          <w:rFonts w:cs="Arial"/>
          <w:szCs w:val="24"/>
          <w:vertAlign w:val="superscript"/>
        </w:rPr>
        <w:t>7</w:t>
      </w:r>
      <w:r w:rsidRPr="003A4AB9">
        <w:fldChar w:fldCharType="end"/>
      </w:r>
      <w:r w:rsidRPr="003A4AB9">
        <w:t xml:space="preserve"> </w:t>
      </w:r>
    </w:p>
    <w:p w14:paraId="219D5169" w14:textId="108A3102" w:rsidR="000B148D" w:rsidRPr="003A4AB9" w:rsidRDefault="000B148D" w:rsidP="000B148D">
      <w:pPr>
        <w:pStyle w:val="Body"/>
      </w:pPr>
      <w:r w:rsidRPr="003A4AB9">
        <w:t>T-DXd was administered intravenously at a dose of 5.4 mg/kg every 3 weeks, based primarily on efficacy and safety data from DESTINY-Breast01, supplemented by pharmacology information from other studies (Study J101, DS8101-A-J102, DS8201-A-A103, DS8201-A-A104).</w:t>
      </w:r>
      <w:r w:rsidRPr="003A4AB9">
        <w:fldChar w:fldCharType="begin"/>
      </w:r>
      <w:r w:rsidR="00CA6345">
        <w:instrText xml:space="preserve"> ADDIN ZOTERO_ITEM CSL_CITATION {"citationID":"MT9dDKCP","properties":{"formattedCitation":"\\super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3A4AB9">
        <w:fldChar w:fldCharType="separate"/>
      </w:r>
      <w:r w:rsidR="00FD57F4" w:rsidRPr="00FD57F4">
        <w:rPr>
          <w:rFonts w:cs="Arial"/>
          <w:szCs w:val="24"/>
          <w:vertAlign w:val="superscript"/>
        </w:rPr>
        <w:t>7</w:t>
      </w:r>
      <w:r w:rsidRPr="003A4AB9">
        <w:fldChar w:fldCharType="end"/>
      </w:r>
      <w:r w:rsidRPr="003A4AB9">
        <w:t xml:space="preserve"> TPC consisted of capecitabine, eribulin, gemcitabine, paclitaxel, or nab-paclitaxel, which were chosen based on the five most commonly used single-agent chemotherapy regimens across the US, France, Germany, Italy, Spain, UK, and Japan.</w:t>
      </w:r>
      <w:r w:rsidRPr="003A4AB9">
        <w:fldChar w:fldCharType="begin"/>
      </w:r>
      <w:r w:rsidR="00CA6345">
        <w:instrText xml:space="preserve"> ADDIN ZOTERO_ITEM CSL_CITATION {"citationID":"MQXsrG6U","properties":{"formattedCitation":"\\super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3A4AB9">
        <w:fldChar w:fldCharType="separate"/>
      </w:r>
      <w:r w:rsidR="00FD57F4" w:rsidRPr="00FD57F4">
        <w:rPr>
          <w:rFonts w:cs="Arial"/>
          <w:szCs w:val="24"/>
          <w:vertAlign w:val="superscript"/>
        </w:rPr>
        <w:t>7</w:t>
      </w:r>
      <w:r w:rsidRPr="003A4AB9">
        <w:fldChar w:fldCharType="end"/>
      </w:r>
      <w:r w:rsidRPr="003A4AB9">
        <w:t xml:space="preserve"> The dose, regimen, </w:t>
      </w:r>
      <w:r w:rsidR="009C0F5E">
        <w:t xml:space="preserve">mode of </w:t>
      </w:r>
      <w:r w:rsidRPr="003A4AB9">
        <w:t>administration, and dose modification of TPC agents was aligned to the local label or NCCN guidelines.</w:t>
      </w:r>
      <w:r w:rsidRPr="003A4AB9">
        <w:fldChar w:fldCharType="begin"/>
      </w:r>
      <w:r w:rsidR="00CA6345">
        <w:instrText xml:space="preserve"> ADDIN ZOTERO_ITEM CSL_CITATION {"citationID":"6GmapGo1","properties":{"formattedCitation":"\\super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3A4AB9">
        <w:fldChar w:fldCharType="separate"/>
      </w:r>
      <w:r w:rsidR="00FD57F4" w:rsidRPr="00FD57F4">
        <w:rPr>
          <w:rFonts w:cs="Arial"/>
          <w:szCs w:val="24"/>
          <w:vertAlign w:val="superscript"/>
        </w:rPr>
        <w:t>7</w:t>
      </w:r>
      <w:r w:rsidRPr="003A4AB9">
        <w:fldChar w:fldCharType="end"/>
      </w:r>
    </w:p>
    <w:p w14:paraId="2B48DE45" w14:textId="18C54E93" w:rsidR="000B148D" w:rsidRPr="003A4AB9" w:rsidRDefault="000B148D" w:rsidP="000B148D">
      <w:pPr>
        <w:pStyle w:val="Body"/>
      </w:pPr>
      <w:r w:rsidRPr="003A4AB9">
        <w:t xml:space="preserve">The primary endpoint of the study was PFS by blinded independent central review (BICR) in the HR-positive cohort. Key secondary endpoints were PFS by BICR in the </w:t>
      </w:r>
      <w:r w:rsidR="009F1817">
        <w:t>FAS</w:t>
      </w:r>
      <w:r w:rsidRPr="003A4AB9">
        <w:t xml:space="preserve">, and OS in the HR-positive cohort and </w:t>
      </w:r>
      <w:r w:rsidR="008E28D2">
        <w:t xml:space="preserve">OS </w:t>
      </w:r>
      <w:r w:rsidR="00767FBF">
        <w:t xml:space="preserve">in the </w:t>
      </w:r>
      <w:r w:rsidRPr="003A4AB9">
        <w:t>FAS.</w:t>
      </w:r>
      <w:r w:rsidRPr="003A4AB9">
        <w:fldChar w:fldCharType="begin"/>
      </w:r>
      <w:r w:rsidR="00CA6345">
        <w:instrText xml:space="preserve"> ADDIN ZOTERO_ITEM CSL_CITATION {"citationID":"PMjjtPE8","properties":{"formattedCitation":"\\super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3A4AB9">
        <w:fldChar w:fldCharType="separate"/>
      </w:r>
      <w:r w:rsidR="00FD57F4" w:rsidRPr="00FD57F4">
        <w:rPr>
          <w:rFonts w:cs="Arial"/>
          <w:szCs w:val="24"/>
          <w:vertAlign w:val="superscript"/>
        </w:rPr>
        <w:t>7</w:t>
      </w:r>
      <w:r w:rsidRPr="003A4AB9">
        <w:fldChar w:fldCharType="end"/>
      </w:r>
      <w:r w:rsidRPr="003A4AB9">
        <w:t xml:space="preserve"> The data cut-off (DCO) date for all evidence in this submission </w:t>
      </w:r>
      <w:r>
        <w:t>was</w:t>
      </w:r>
      <w:r w:rsidRPr="003A4AB9">
        <w:t xml:space="preserve"> 11 January 2022</w:t>
      </w:r>
      <w:r>
        <w:t xml:space="preserve"> which was the primary </w:t>
      </w:r>
      <w:r w:rsidRPr="00113E13">
        <w:t>analysis of PFS</w:t>
      </w:r>
      <w:r>
        <w:t xml:space="preserve"> (</w:t>
      </w:r>
      <w:r w:rsidRPr="00113E13">
        <w:t>no formal interim analysis were planned for PFS</w:t>
      </w:r>
      <w:r>
        <w:t xml:space="preserve">). </w:t>
      </w:r>
      <w:r w:rsidRPr="003A4AB9">
        <w:fldChar w:fldCharType="begin"/>
      </w:r>
      <w:r w:rsidR="00CA6345">
        <w:instrText xml:space="preserve"> ADDIN ZOTERO_ITEM CSL_CITATION {"citationID":"QqWdGZDr","properties":{"formattedCitation":"\\super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3A4AB9">
        <w:fldChar w:fldCharType="separate"/>
      </w:r>
      <w:r w:rsidR="00FD57F4" w:rsidRPr="00FD57F4">
        <w:rPr>
          <w:rFonts w:cs="Arial"/>
          <w:szCs w:val="24"/>
          <w:vertAlign w:val="superscript"/>
        </w:rPr>
        <w:t>7</w:t>
      </w:r>
      <w:r w:rsidRPr="003A4AB9">
        <w:fldChar w:fldCharType="end"/>
      </w:r>
    </w:p>
    <w:p w14:paraId="2583CE97" w14:textId="3F516713" w:rsidR="000B148D" w:rsidRPr="003A4AB9" w:rsidRDefault="000B148D" w:rsidP="004003CB">
      <w:pPr>
        <w:pStyle w:val="Body"/>
        <w:rPr>
          <w:rFonts w:cs="Arial"/>
        </w:rPr>
      </w:pPr>
      <w:r w:rsidRPr="003A4AB9">
        <w:rPr>
          <w:rFonts w:eastAsiaTheme="majorEastAsia" w:cs="Arial"/>
        </w:rPr>
        <w:t>At the 11 January 2022 DCO date, median duration of follow-up was</w:t>
      </w:r>
      <w:r>
        <w:rPr>
          <w:rFonts w:eastAsiaTheme="majorEastAsia" w:cs="Arial"/>
        </w:rPr>
        <w:t xml:space="preserve"> </w:t>
      </w:r>
      <w:r w:rsidR="00294FDC" w:rsidRPr="00294FDC">
        <w:rPr>
          <w:rFonts w:eastAsiaTheme="majorEastAsia" w:cs="Arial"/>
          <w:color w:val="000000"/>
          <w:highlight w:val="black"/>
        </w:rPr>
        <w:t>xxxx</w:t>
      </w:r>
      <w:r w:rsidRPr="00407979">
        <w:rPr>
          <w:rFonts w:eastAsiaTheme="majorEastAsia" w:cs="Arial"/>
        </w:rPr>
        <w:t xml:space="preserve"> months in the FAS</w:t>
      </w:r>
      <w:r w:rsidRPr="003A4AB9">
        <w:rPr>
          <w:rFonts w:eastAsiaTheme="majorEastAsia" w:cs="Arial"/>
        </w:rPr>
        <w:t xml:space="preserve"> </w:t>
      </w:r>
      <w:r>
        <w:rPr>
          <w:rFonts w:eastAsiaTheme="majorEastAsia" w:cs="Arial"/>
        </w:rPr>
        <w:t>(</w:t>
      </w:r>
      <w:r w:rsidR="00294FDC" w:rsidRPr="00294FDC">
        <w:rPr>
          <w:rFonts w:eastAsiaTheme="majorEastAsia" w:cs="Arial"/>
          <w:color w:val="000000"/>
          <w:highlight w:val="black"/>
        </w:rPr>
        <w:t>xxxx</w:t>
      </w:r>
      <w:r w:rsidRPr="003A4AB9">
        <w:rPr>
          <w:rFonts w:eastAsiaTheme="majorEastAsia" w:cs="Arial"/>
        </w:rPr>
        <w:t xml:space="preserve"> months in the T-DXd arm and </w:t>
      </w:r>
      <w:r w:rsidR="00294FDC" w:rsidRPr="00294FDC">
        <w:rPr>
          <w:rFonts w:eastAsiaTheme="majorEastAsia" w:cs="Arial"/>
          <w:color w:val="000000"/>
          <w:highlight w:val="black"/>
        </w:rPr>
        <w:t>xxxx</w:t>
      </w:r>
      <w:r w:rsidRPr="003A4AB9">
        <w:rPr>
          <w:rFonts w:eastAsiaTheme="majorEastAsia" w:cs="Arial"/>
        </w:rPr>
        <w:t xml:space="preserve"> months in the TPC arm</w:t>
      </w:r>
      <w:r>
        <w:rPr>
          <w:rFonts w:eastAsiaTheme="majorEastAsia" w:cs="Arial"/>
        </w:rPr>
        <w:t>)</w:t>
      </w:r>
      <w:r w:rsidRPr="003A4AB9">
        <w:rPr>
          <w:rFonts w:eastAsiaTheme="majorEastAsia" w:cs="Arial"/>
        </w:rPr>
        <w:t>.</w:t>
      </w:r>
      <w:r w:rsidRPr="003A4AB9">
        <w:fldChar w:fldCharType="begin"/>
      </w:r>
      <w:r w:rsidR="00CA6345">
        <w:instrText xml:space="preserve"> ADDIN ZOTERO_ITEM CSL_CITATION {"citationID":"XuDfY6wB","properties":{"formattedCitation":"\\super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3A4AB9">
        <w:fldChar w:fldCharType="separate"/>
      </w:r>
      <w:r w:rsidR="00FD57F4" w:rsidRPr="00FD57F4">
        <w:rPr>
          <w:rFonts w:cs="Arial"/>
          <w:vertAlign w:val="superscript"/>
        </w:rPr>
        <w:t>7</w:t>
      </w:r>
      <w:r w:rsidRPr="003A4AB9">
        <w:fldChar w:fldCharType="end"/>
      </w:r>
      <w:r w:rsidRPr="003A4AB9">
        <w:rPr>
          <w:rFonts w:eastAsiaTheme="majorEastAsia" w:cs="Arial"/>
        </w:rPr>
        <w:t xml:space="preserve"> The study met its primary endpoint of PFS by BICR in the HR-positive cohort.</w:t>
      </w:r>
      <w:r w:rsidRPr="003A4AB9">
        <w:fldChar w:fldCharType="begin"/>
      </w:r>
      <w:r w:rsidR="00CA6345">
        <w:instrText xml:space="preserve"> ADDIN ZOTERO_ITEM CSL_CITATION {"citationID":"RFfMbMff","properties":{"formattedCitation":"\\super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3A4AB9">
        <w:fldChar w:fldCharType="separate"/>
      </w:r>
      <w:r w:rsidR="00FD57F4" w:rsidRPr="00FD57F4">
        <w:rPr>
          <w:rFonts w:cs="Arial"/>
          <w:vertAlign w:val="superscript"/>
        </w:rPr>
        <w:t>7</w:t>
      </w:r>
      <w:r w:rsidRPr="003A4AB9">
        <w:fldChar w:fldCharType="end"/>
      </w:r>
      <w:r w:rsidRPr="003A4AB9">
        <w:rPr>
          <w:rFonts w:eastAsiaTheme="majorEastAsia" w:cs="Arial"/>
        </w:rPr>
        <w:t xml:space="preserve"> Key secondary endpoints in accordance with the hierarchical testing procedure were also met: PFS by BICR in the FAS, OS in the HR-positive cohort, and OS in the FAS.</w:t>
      </w:r>
      <w:r w:rsidRPr="003A4AB9">
        <w:rPr>
          <w:rFonts w:eastAsiaTheme="majorEastAsia" w:cs="Arial"/>
        </w:rPr>
        <w:fldChar w:fldCharType="begin"/>
      </w:r>
      <w:r w:rsidR="00CA6345">
        <w:rPr>
          <w:rFonts w:eastAsiaTheme="majorEastAsia" w:cs="Arial"/>
        </w:rPr>
        <w:instrText xml:space="preserve"> ADDIN ZOTERO_ITEM CSL_CITATION {"citationID":"byWP1alU","properties":{"formattedCitation":"\\super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3A4AB9">
        <w:rPr>
          <w:rFonts w:eastAsiaTheme="majorEastAsia" w:cs="Arial"/>
        </w:rPr>
        <w:fldChar w:fldCharType="separate"/>
      </w:r>
      <w:r w:rsidR="00FD57F4" w:rsidRPr="00FD57F4">
        <w:rPr>
          <w:rFonts w:cs="Arial"/>
          <w:vertAlign w:val="superscript"/>
        </w:rPr>
        <w:t>7</w:t>
      </w:r>
      <w:r w:rsidRPr="003A4AB9">
        <w:rPr>
          <w:rFonts w:eastAsiaTheme="majorEastAsia" w:cs="Arial"/>
        </w:rPr>
        <w:fldChar w:fldCharType="end"/>
      </w:r>
      <w:r w:rsidRPr="003A4AB9">
        <w:rPr>
          <w:rFonts w:eastAsiaTheme="majorEastAsia" w:cs="Arial"/>
        </w:rPr>
        <w:t xml:space="preserve"> </w:t>
      </w:r>
    </w:p>
    <w:p w14:paraId="4C99424F" w14:textId="6A7A8D86" w:rsidR="000B148D" w:rsidRPr="003A4AB9" w:rsidRDefault="000B148D" w:rsidP="003C648C">
      <w:pPr>
        <w:pStyle w:val="Body"/>
        <w:spacing w:after="0"/>
      </w:pPr>
      <w:r w:rsidRPr="003A4AB9">
        <w:lastRenderedPageBreak/>
        <w:t xml:space="preserve">A summary of the methodology of DESTINY-Breast04 is shown in </w:t>
      </w:r>
      <w:r w:rsidRPr="00100897">
        <w:rPr>
          <w:b/>
          <w:bCs/>
        </w:rPr>
        <w:fldChar w:fldCharType="begin"/>
      </w:r>
      <w:r w:rsidRPr="00100897">
        <w:rPr>
          <w:b/>
          <w:bCs/>
        </w:rPr>
        <w:instrText xml:space="preserve"> REF _Ref92378636 \h </w:instrText>
      </w:r>
      <w:r>
        <w:rPr>
          <w:b/>
          <w:bCs/>
        </w:rPr>
        <w:instrText xml:space="preserve"> \* MERGEFORMAT </w:instrText>
      </w:r>
      <w:r w:rsidRPr="00100897">
        <w:rPr>
          <w:b/>
          <w:bCs/>
        </w:rPr>
      </w:r>
      <w:r w:rsidRPr="00100897">
        <w:rPr>
          <w:b/>
          <w:bCs/>
        </w:rPr>
        <w:fldChar w:fldCharType="separate"/>
      </w:r>
      <w:r w:rsidR="00145F42" w:rsidRPr="00145F42">
        <w:rPr>
          <w:b/>
          <w:bCs/>
        </w:rPr>
        <w:t xml:space="preserve">Table </w:t>
      </w:r>
      <w:r w:rsidR="00145F42" w:rsidRPr="00145F42">
        <w:rPr>
          <w:b/>
          <w:bCs/>
          <w:noProof/>
        </w:rPr>
        <w:t>9</w:t>
      </w:r>
      <w:r w:rsidRPr="00100897">
        <w:rPr>
          <w:b/>
          <w:bCs/>
        </w:rPr>
        <w:fldChar w:fldCharType="end"/>
      </w:r>
      <w:r w:rsidRPr="003A4AB9">
        <w:t>.</w:t>
      </w:r>
    </w:p>
    <w:tbl>
      <w:tblPr>
        <w:tblStyle w:val="Figurebox"/>
        <w:tblW w:w="4901" w:type="pct"/>
        <w:tblLook w:val="04A0" w:firstRow="1" w:lastRow="0" w:firstColumn="1" w:lastColumn="0" w:noHBand="0" w:noVBand="1"/>
      </w:tblPr>
      <w:tblGrid>
        <w:gridCol w:w="9026"/>
      </w:tblGrid>
      <w:tr w:rsidR="000B148D" w14:paraId="24C6E7A0" w14:textId="77777777">
        <w:trPr>
          <w:trHeight w:val="462"/>
        </w:trPr>
        <w:tc>
          <w:tcPr>
            <w:tcW w:w="5000" w:type="pct"/>
            <w:tcBorders>
              <w:bottom w:val="single" w:sz="4" w:space="0" w:color="auto"/>
            </w:tcBorders>
          </w:tcPr>
          <w:p w14:paraId="2E91A72B" w14:textId="124273DF" w:rsidR="000B148D" w:rsidRPr="00100897" w:rsidRDefault="000B148D">
            <w:pPr>
              <w:pStyle w:val="Caption"/>
            </w:pPr>
            <w:bookmarkStart w:id="147" w:name="_Ref85794370"/>
            <w:bookmarkStart w:id="148" w:name="_Toc95826044"/>
            <w:bookmarkStart w:id="149" w:name="_Toc124447855"/>
            <w:bookmarkStart w:id="150" w:name="_Toc129350935"/>
            <w:r w:rsidRPr="00100897">
              <w:t xml:space="preserve">Figure </w:t>
            </w:r>
            <w:r w:rsidRPr="00100897">
              <w:fldChar w:fldCharType="begin"/>
            </w:r>
            <w:r w:rsidRPr="00100897">
              <w:instrText>SEQ Figure \* ARABIC</w:instrText>
            </w:r>
            <w:r w:rsidRPr="00100897">
              <w:fldChar w:fldCharType="separate"/>
            </w:r>
            <w:r w:rsidR="00145F42">
              <w:rPr>
                <w:noProof/>
              </w:rPr>
              <w:t>9</w:t>
            </w:r>
            <w:r w:rsidRPr="00100897">
              <w:fldChar w:fldCharType="end"/>
            </w:r>
            <w:bookmarkEnd w:id="147"/>
            <w:r w:rsidRPr="00100897">
              <w:t>: DESTINY-Breast04 | Study design</w:t>
            </w:r>
            <w:bookmarkEnd w:id="148"/>
            <w:bookmarkEnd w:id="149"/>
            <w:bookmarkEnd w:id="150"/>
          </w:p>
        </w:tc>
      </w:tr>
      <w:tr w:rsidR="000B148D" w14:paraId="7F95472B" w14:textId="77777777">
        <w:trPr>
          <w:trHeight w:val="4229"/>
        </w:trPr>
        <w:tc>
          <w:tcPr>
            <w:tcW w:w="5000" w:type="pct"/>
            <w:tcBorders>
              <w:top w:val="single" w:sz="4" w:space="0" w:color="auto"/>
              <w:left w:val="single" w:sz="4" w:space="0" w:color="auto"/>
              <w:bottom w:val="single" w:sz="4" w:space="0" w:color="auto"/>
              <w:right w:val="single" w:sz="4" w:space="0" w:color="auto"/>
            </w:tcBorders>
          </w:tcPr>
          <w:p w14:paraId="7DB0B824" w14:textId="77777777" w:rsidR="000B148D" w:rsidRPr="00100897" w:rsidRDefault="000B148D">
            <w:pPr>
              <w:pStyle w:val="Body"/>
              <w:keepNext/>
              <w:spacing w:before="20" w:after="0"/>
            </w:pPr>
            <w:r w:rsidRPr="00100897">
              <w:rPr>
                <w:noProof/>
              </w:rPr>
              <w:drawing>
                <wp:inline distT="0" distB="0" distL="0" distR="0" wp14:anchorId="53D360DC" wp14:editId="6F37A924">
                  <wp:extent cx="5731510" cy="28187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18765"/>
                          </a:xfrm>
                          <a:prstGeom prst="rect">
                            <a:avLst/>
                          </a:prstGeom>
                        </pic:spPr>
                      </pic:pic>
                    </a:graphicData>
                  </a:graphic>
                </wp:inline>
              </w:drawing>
            </w:r>
          </w:p>
        </w:tc>
      </w:tr>
      <w:tr w:rsidR="000B148D" w:rsidRPr="00BE44FF" w14:paraId="2D494BEB" w14:textId="77777777">
        <w:trPr>
          <w:trHeight w:val="1311"/>
        </w:trPr>
        <w:tc>
          <w:tcPr>
            <w:tcW w:w="5000" w:type="pct"/>
            <w:tcBorders>
              <w:top w:val="single" w:sz="4" w:space="0" w:color="auto"/>
            </w:tcBorders>
          </w:tcPr>
          <w:p w14:paraId="1CD833D6" w14:textId="662F7157" w:rsidR="000B148D" w:rsidRPr="00BE44FF" w:rsidRDefault="000B148D">
            <w:pPr>
              <w:pStyle w:val="Footnotes"/>
            </w:pPr>
            <w:r w:rsidRPr="00BE44FF">
              <w:t>Abbreviations: BICR, blinded independent central review; CDK4/6, cyclin-dependent kinase 4 and 6; DoR, duration of response; FAS, Full Analysis Set; HER2, human epidermal growth factor receptor 2; HR</w:t>
            </w:r>
            <w:r w:rsidR="00ED09FF">
              <w:t>-positive</w:t>
            </w:r>
            <w:r w:rsidRPr="00BE44FF">
              <w:t>, hormone receptor</w:t>
            </w:r>
            <w:r w:rsidR="00ED09FF">
              <w:t>-positive</w:t>
            </w:r>
            <w:r w:rsidRPr="00BE44FF">
              <w:t>; IHC, immunohistochemistry; INV, investigator assessment; ISH, in situ hybridi</w:t>
            </w:r>
            <w:r w:rsidR="004B3D33">
              <w:t>s</w:t>
            </w:r>
            <w:r w:rsidRPr="00BE44FF">
              <w:t>ation; max, maximum; min., minimum; ORR, objective response rate; OS, overall survival; PFS, progression-free survival; R, randomisation; T-DXd, trastuzumab deruxtecan; vs., versus</w:t>
            </w:r>
            <w:r w:rsidR="00B14029">
              <w:t>.</w:t>
            </w:r>
            <w:r w:rsidRPr="00BE44FF">
              <w:br/>
              <w:t>Sources: Modi et al.</w:t>
            </w:r>
            <w:r>
              <w:t>,</w:t>
            </w:r>
            <w:r w:rsidRPr="00BE44FF">
              <w:t xml:space="preserve"> 2022</w:t>
            </w:r>
            <w:r w:rsidRPr="00BE44FF">
              <w:fldChar w:fldCharType="begin"/>
            </w:r>
            <w:r w:rsidR="00CA6345">
              <w:instrText xml:space="preserve"> ADDIN ZOTERO_ITEM CSL_CITATION {"citationID":"pTUKpMYa","properties":{"formattedCitation":"\\super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Pr="00BE44FF">
              <w:fldChar w:fldCharType="separate"/>
            </w:r>
            <w:r w:rsidR="00FD57F4" w:rsidRPr="00FD57F4">
              <w:rPr>
                <w:rFonts w:cs="Arial"/>
                <w:szCs w:val="24"/>
                <w:vertAlign w:val="superscript"/>
              </w:rPr>
              <w:t>6</w:t>
            </w:r>
            <w:r w:rsidRPr="00BE44FF">
              <w:fldChar w:fldCharType="end"/>
            </w:r>
            <w:r w:rsidRPr="00BE44FF">
              <w:t xml:space="preserve"> </w:t>
            </w:r>
          </w:p>
        </w:tc>
      </w:tr>
    </w:tbl>
    <w:p w14:paraId="6FF25288" w14:textId="62577894" w:rsidR="000B148D" w:rsidRPr="00BE44FF" w:rsidRDefault="000B148D" w:rsidP="003C648C">
      <w:pPr>
        <w:pStyle w:val="Caption"/>
        <w:spacing w:before="0"/>
      </w:pPr>
      <w:bookmarkStart w:id="151" w:name="_Ref92378636"/>
      <w:bookmarkStart w:id="152" w:name="_Toc95826060"/>
      <w:bookmarkStart w:id="153" w:name="_Toc124447869"/>
      <w:bookmarkStart w:id="154" w:name="_Toc129350984"/>
      <w:r w:rsidRPr="00BE44FF">
        <w:t xml:space="preserve">Table </w:t>
      </w:r>
      <w:r w:rsidRPr="00BE44FF">
        <w:fldChar w:fldCharType="begin"/>
      </w:r>
      <w:r w:rsidRPr="00BE44FF">
        <w:instrText>SEQ Table \* ARABIC</w:instrText>
      </w:r>
      <w:r w:rsidRPr="00BE44FF">
        <w:fldChar w:fldCharType="separate"/>
      </w:r>
      <w:r w:rsidR="00145F42">
        <w:rPr>
          <w:noProof/>
        </w:rPr>
        <w:t>9</w:t>
      </w:r>
      <w:r w:rsidRPr="00BE44FF">
        <w:fldChar w:fldCharType="end"/>
      </w:r>
      <w:bookmarkEnd w:id="151"/>
      <w:r w:rsidRPr="00BE44FF">
        <w:t>: Summary of DESTINY-Breast04 methodology</w:t>
      </w:r>
      <w:bookmarkEnd w:id="152"/>
      <w:bookmarkEnd w:id="153"/>
      <w:bookmarkEnd w:id="154"/>
    </w:p>
    <w:tbl>
      <w:tblPr>
        <w:tblStyle w:val="TableGrid"/>
        <w:tblW w:w="5000" w:type="pct"/>
        <w:tblLayout w:type="fixed"/>
        <w:tblLook w:val="04A0" w:firstRow="1" w:lastRow="0" w:firstColumn="1" w:lastColumn="0" w:noHBand="0" w:noVBand="1"/>
      </w:tblPr>
      <w:tblGrid>
        <w:gridCol w:w="1980"/>
        <w:gridCol w:w="7036"/>
      </w:tblGrid>
      <w:tr w:rsidR="000B148D" w:rsidRPr="00BE44FF" w14:paraId="5F5592CF" w14:textId="77777777" w:rsidTr="002475D3">
        <w:trPr>
          <w:trHeight w:val="290"/>
        </w:trPr>
        <w:tc>
          <w:tcPr>
            <w:tcW w:w="1098" w:type="pct"/>
            <w:vMerge w:val="restart"/>
            <w:shd w:val="clear" w:color="auto" w:fill="D9D9D9" w:themeFill="background1" w:themeFillShade="D9"/>
          </w:tcPr>
          <w:p w14:paraId="3E551548" w14:textId="77777777" w:rsidR="000B148D" w:rsidRPr="00BE44FF" w:rsidRDefault="000B148D">
            <w:pPr>
              <w:pStyle w:val="Tableheading"/>
            </w:pPr>
            <w:r w:rsidRPr="00BE44FF">
              <w:t>Trial design</w:t>
            </w:r>
          </w:p>
        </w:tc>
        <w:tc>
          <w:tcPr>
            <w:tcW w:w="3902" w:type="pct"/>
          </w:tcPr>
          <w:p w14:paraId="611E37F5" w14:textId="03E874E0" w:rsidR="000B148D" w:rsidRPr="00BE44FF" w:rsidRDefault="000B148D">
            <w:pPr>
              <w:pStyle w:val="Tablebody"/>
            </w:pPr>
            <w:r w:rsidRPr="00BE44FF">
              <w:t>A randomi</w:t>
            </w:r>
            <w:r>
              <w:t>s</w:t>
            </w:r>
            <w:r w:rsidRPr="00BE44FF">
              <w:t>ed, two-arm, Phase III, open-label, multi</w:t>
            </w:r>
            <w:r w:rsidR="008A298C">
              <w:t>centre</w:t>
            </w:r>
            <w:r w:rsidRPr="00BE44FF">
              <w:t xml:space="preserve"> study to compare the safety and efficacy of T-DXd vs. TPC in subjects with HER2-low, u/mBC.</w:t>
            </w:r>
          </w:p>
        </w:tc>
      </w:tr>
      <w:tr w:rsidR="000B148D" w:rsidRPr="00BE44FF" w14:paraId="00C70DEE" w14:textId="77777777" w:rsidTr="002475D3">
        <w:trPr>
          <w:trHeight w:val="290"/>
        </w:trPr>
        <w:tc>
          <w:tcPr>
            <w:tcW w:w="1098" w:type="pct"/>
            <w:vMerge/>
          </w:tcPr>
          <w:p w14:paraId="70EE031C" w14:textId="77777777" w:rsidR="000B148D" w:rsidRPr="00BE44FF" w:rsidRDefault="000B148D">
            <w:pPr>
              <w:pStyle w:val="Tableheading"/>
            </w:pPr>
          </w:p>
        </w:tc>
        <w:tc>
          <w:tcPr>
            <w:tcW w:w="3902" w:type="pct"/>
          </w:tcPr>
          <w:p w14:paraId="75FA494C" w14:textId="77777777" w:rsidR="000B148D" w:rsidRPr="00BE44FF" w:rsidRDefault="000B148D">
            <w:pPr>
              <w:pStyle w:val="Tablebody"/>
            </w:pPr>
            <w:r w:rsidRPr="00BE44FF">
              <w:rPr>
                <w:b/>
                <w:bCs/>
              </w:rPr>
              <w:t>Randomisation:</w:t>
            </w:r>
            <w:r w:rsidRPr="00BE44FF">
              <w:t xml:space="preserve"> 2:1 by Interactive Web/Voice Response System (IXRS)</w:t>
            </w:r>
          </w:p>
          <w:p w14:paraId="1DDAD9D4" w14:textId="13C893E9" w:rsidR="000B148D" w:rsidRPr="00BE44FF" w:rsidRDefault="000B148D">
            <w:pPr>
              <w:pStyle w:val="Tablebody"/>
            </w:pPr>
            <w:r w:rsidRPr="00BE44FF">
              <w:rPr>
                <w:b/>
                <w:bCs/>
              </w:rPr>
              <w:t>Stratification factors:</w:t>
            </w:r>
            <w:r w:rsidRPr="00BE44FF">
              <w:t xml:space="preserve"> HER2 IHC status (IHC +1 vs. IHC +2/ISH-negative), prior lines of chemotherapy (1 vs. 2), and HR/CDK status (HR-positive with prior CDK4/6 inhibitor treatment vs. HR-positive without prior CDK4/6 inhibitor treatment vs. HR-negative).</w:t>
            </w:r>
          </w:p>
          <w:p w14:paraId="6FE35F2C" w14:textId="08AF8127" w:rsidR="000B148D" w:rsidRPr="00BE44FF" w:rsidRDefault="000B148D">
            <w:pPr>
              <w:pStyle w:val="Tablebody"/>
            </w:pPr>
            <w:r w:rsidRPr="00BE44FF">
              <w:rPr>
                <w:b/>
                <w:bCs/>
              </w:rPr>
              <w:t>Blinding:</w:t>
            </w:r>
            <w:r w:rsidRPr="00BE44FF">
              <w:t xml:space="preserve"> </w:t>
            </w:r>
            <w:r w:rsidR="00294FDC" w:rsidRPr="00294FDC">
              <w:rPr>
                <w:color w:val="000000"/>
                <w:highlight w:val="black"/>
              </w:rPr>
              <w:t>xxxxxxxxxxxxx</w:t>
            </w:r>
            <w:r w:rsidR="00DD4B3C">
              <w:rPr>
                <w:color w:val="000000"/>
                <w:highlight w:val="black"/>
              </w:rPr>
              <w:t xml:space="preserve"> </w:t>
            </w:r>
            <w:r w:rsidR="00294FDC" w:rsidRPr="00294FDC">
              <w:rPr>
                <w:color w:val="000000"/>
                <w:highlight w:val="black"/>
              </w:rPr>
              <w:t>xxxxxxxxxxxxxxxxxxxxxxxxxxxxx</w:t>
            </w:r>
            <w:r w:rsidR="00DD4B3C">
              <w:rPr>
                <w:color w:val="000000"/>
                <w:highlight w:val="black"/>
              </w:rPr>
              <w:t xml:space="preserve"> </w:t>
            </w:r>
            <w:r w:rsidR="00294FDC" w:rsidRPr="00294FDC">
              <w:rPr>
                <w:color w:val="000000"/>
                <w:highlight w:val="black"/>
              </w:rPr>
              <w:t>xxxxxxxxxxxx</w:t>
            </w:r>
            <w:r w:rsidR="00DD4B3C">
              <w:rPr>
                <w:color w:val="000000"/>
                <w:highlight w:val="black"/>
              </w:rPr>
              <w:t xml:space="preserve"> </w:t>
            </w:r>
            <w:r w:rsidR="00294FDC" w:rsidRPr="00294FDC">
              <w:rPr>
                <w:color w:val="000000"/>
                <w:highlight w:val="black"/>
              </w:rPr>
              <w:t>x</w:t>
            </w:r>
            <w:r w:rsidR="003F573E">
              <w:rPr>
                <w:color w:val="000000"/>
                <w:highlight w:val="black"/>
              </w:rPr>
              <w:t xml:space="preserve"> </w:t>
            </w:r>
            <w:r w:rsidR="00294FDC" w:rsidRPr="00294FDC">
              <w:rPr>
                <w:color w:val="000000"/>
                <w:highlight w:val="black"/>
              </w:rPr>
              <w:t>x</w:t>
            </w:r>
            <w:r w:rsidR="003F573E">
              <w:rPr>
                <w:color w:val="000000"/>
                <w:highlight w:val="black"/>
              </w:rPr>
              <w:t xml:space="preserve"> </w:t>
            </w:r>
            <w:r w:rsidR="00294FDC" w:rsidRPr="00294FDC">
              <w:rPr>
                <w:color w:val="000000"/>
                <w:highlight w:val="black"/>
              </w:rPr>
              <w:t>xxxxxxxxxxxxxxxxxxxxxxxxxxxxxxxxxxxxxxxxxxxxxxxxxxxxxxxxxxxxxxxxxxxxxxxxxx</w:t>
            </w:r>
            <w:r w:rsidR="00A61BC5">
              <w:rPr>
                <w:color w:val="000000"/>
                <w:highlight w:val="black"/>
              </w:rPr>
              <w:t xml:space="preserve"> </w:t>
            </w:r>
            <w:r w:rsidR="00294FDC" w:rsidRPr="00294FDC">
              <w:rPr>
                <w:color w:val="000000"/>
                <w:highlight w:val="black"/>
              </w:rPr>
              <w:t>xxxxxxxxxxxx</w:t>
            </w:r>
            <w:r w:rsidRPr="00BE44FF">
              <w:t xml:space="preserve">. The primary endpoint was based on BICR. </w:t>
            </w:r>
            <w:r w:rsidR="00DD4B3C" w:rsidRPr="00294FDC">
              <w:rPr>
                <w:color w:val="000000"/>
                <w:highlight w:val="black"/>
              </w:rPr>
              <w:t>X</w:t>
            </w:r>
            <w:r w:rsidR="00294FDC" w:rsidRPr="00294FDC">
              <w:rPr>
                <w:color w:val="000000"/>
                <w:highlight w:val="black"/>
              </w:rPr>
              <w:t>xxxxxxx</w:t>
            </w:r>
            <w:r w:rsidR="00DD4B3C">
              <w:rPr>
                <w:color w:val="000000"/>
                <w:highlight w:val="black"/>
              </w:rPr>
              <w:t xml:space="preserve"> </w:t>
            </w:r>
            <w:r w:rsidR="00294FDC" w:rsidRPr="00294FDC">
              <w:rPr>
                <w:color w:val="000000"/>
                <w:highlight w:val="black"/>
              </w:rPr>
              <w:t>xx</w:t>
            </w:r>
            <w:r w:rsidR="00A61BC5">
              <w:rPr>
                <w:color w:val="000000"/>
                <w:highlight w:val="black"/>
              </w:rPr>
              <w:t xml:space="preserve"> </w:t>
            </w:r>
            <w:r w:rsidR="00294FDC" w:rsidRPr="00294FDC">
              <w:rPr>
                <w:color w:val="000000"/>
                <w:highlight w:val="black"/>
              </w:rPr>
              <w:t>xxxxxxxxxxxxxxxxxxxxxxxxxxxxxxxxxxxxxxxxxxxxxxxxxxxxxxxxxxxxx</w:t>
            </w:r>
            <w:r w:rsidR="003F573E">
              <w:rPr>
                <w:color w:val="000000"/>
                <w:highlight w:val="black"/>
              </w:rPr>
              <w:t xml:space="preserve"> </w:t>
            </w:r>
            <w:r w:rsidR="00294FDC" w:rsidRPr="00294FDC">
              <w:rPr>
                <w:color w:val="000000"/>
                <w:highlight w:val="black"/>
              </w:rPr>
              <w:t>xxxxxxxxxxxxxxxxxxxxx</w:t>
            </w:r>
            <w:r w:rsidRPr="00E30B7C">
              <w:rPr>
                <w:highlight w:val="yellow"/>
                <w:u w:val="single"/>
              </w:rPr>
              <w:fldChar w:fldCharType="begin"/>
            </w:r>
            <w:r w:rsidR="00CA6345">
              <w:rPr>
                <w:highlight w:val="yellow"/>
                <w:u w:val="single"/>
              </w:rPr>
              <w:instrText xml:space="preserve"> ADDIN ZOTERO_ITEM CSL_CITATION {"citationID":"kGRxjnLd","properties":{"formattedCitation":"\\super 7,153\\nosupersub{}","plainCitation":"7,153","noteIndex":0},"citationItems":[{"id":65944,"uris":["http://zotero.org/groups/4797619/items/WBVSVVF7"],"itemData":{"id":65944,"type":"document","title":"Clinical Study Report for DS8201-A-U303. Data cut-off date: 11 Jan 2022. Data on File.","author":[{"family":"Daiichi Sankyo Inc.","given":""}],"issued":{"date-parts":[["2022"]]}}},{"id":65924,"uris":["http://zotero.org/groups/4797619/items/5D3NP3DU"],"itemData":{"id":65924,"type":"document","title":"Statistical Analysis Plan Version 2.0 for DS8201-A-U303. 04 January 2022. Data on File.","author":[{"family":"Daiichi Sankyo Inc.","given":""}],"issued":{"date-parts":[["2022"]]}}}],"schema":"https://github.com/citation-style-language/schema/raw/master/csl-citation.json"} </w:instrText>
            </w:r>
            <w:r w:rsidRPr="00E30B7C">
              <w:rPr>
                <w:highlight w:val="yellow"/>
                <w:u w:val="single"/>
              </w:rPr>
              <w:fldChar w:fldCharType="separate"/>
            </w:r>
            <w:r w:rsidR="00CA6345" w:rsidRPr="00CA6345">
              <w:rPr>
                <w:rFonts w:cs="Arial"/>
                <w:szCs w:val="24"/>
                <w:vertAlign w:val="superscript"/>
              </w:rPr>
              <w:t>7,153</w:t>
            </w:r>
            <w:r w:rsidRPr="00E30B7C">
              <w:rPr>
                <w:highlight w:val="yellow"/>
                <w:u w:val="single"/>
              </w:rPr>
              <w:fldChar w:fldCharType="end"/>
            </w:r>
            <w:r w:rsidRPr="00E30B7C">
              <w:rPr>
                <w:strike/>
                <w:highlight w:val="yellow"/>
                <w:u w:val="single"/>
              </w:rPr>
              <w:fldChar w:fldCharType="begin"/>
            </w:r>
            <w:r w:rsidRPr="00E30B7C">
              <w:rPr>
                <w:strike/>
                <w:highlight w:val="yellow"/>
                <w:u w:val="single"/>
              </w:rPr>
              <w:instrText xml:space="preserve"> ADDIN EN.CITE &lt;EndNote&gt;&lt;Cite&gt;&lt;Author&gt;Daiichi Sankyo Inc&lt;/Author&gt;&lt;Year&gt;2021&lt;/Year&gt;&lt;RecNum&gt;86&lt;/RecNum&gt;&lt;DisplayText&gt;&lt;style face="superscript"&gt;105,112&lt;/style&gt;&lt;/DisplayText&gt;&lt;record&gt;&lt;rec-number&gt;86&lt;/rec-number&gt;&lt;foreign-keys&gt;&lt;key app="EN" db-id="zsraxr2sldvt0herzw7x5028s0efeazsx9r0" timestamp="1637662814"&gt;86&lt;/key&gt;&lt;/foreign-keys&gt;&lt;ref-type name="Journal Article"&gt;17&lt;/ref-type&gt;&lt;contributors&gt;&lt;authors&gt;&lt;author&gt;Daiichi Sankyo Inc,&lt;/author&gt;&lt;/authors&gt;&lt;/contributors&gt;&lt;titles&gt;&lt;title&gt;A Phase 3, Multicenter, Randomized, Open-label, Active-controlled Study of Trastuzumab Deruxtecan (DS-8201a), an Anti-HER2-antibody Drug Conjugate, versus Trastuzumab Emtansine (T-DM1) for HER2-positive, Unresectable and/or Metastatic Breast Cancer Subjects Previously Treated with Trastuzumab and Taxane (DESTINY-Breast03)&lt;/title&gt;&lt;secondary-title&gt;Clinical study report version 1.0 for data cut-off May 2021&lt;/secondary-title&gt;&lt;/titles&gt;&lt;periodical&gt;&lt;full-title&gt;Clinical study report version 1.0 for data cut-off May 2021&lt;/full-title&gt;&lt;/periodical&gt;&lt;dates&gt;&lt;year&gt;2021&lt;/year&gt;&lt;/dates&gt;&lt;urls&gt;&lt;/urls&gt;&lt;/record&gt;&lt;/Cite&gt;&lt;Cite&gt;&lt;Author&gt;Daiichi Sankyo Inc&lt;/Author&gt;&lt;Year&gt;2020&lt;/Year&gt;&lt;RecNum&gt;84&lt;/RecNum&gt;&lt;record&gt;&lt;rec-number&gt;84&lt;/rec-number&gt;&lt;foreign-keys&gt;&lt;key app="EN" db-id="zsraxr2sldvt0herzw7x5028s0efeazsx9r0" timestamp="1636701828"&gt;84&lt;/key&gt;&lt;/foreign-keys&gt;&lt;ref-type name="Journal Article"&gt;17&lt;/ref-type&gt;&lt;contributors&gt;&lt;authors&gt;&lt;author&gt;Daiichi Sankyo Inc,&lt;/author&gt;&lt;/authors&gt;&lt;/contributors&gt;&lt;titles&gt;&lt;title&gt;Clinical study protocol (version 6.0). A phase 3, multicenter, randomized, open-label, active-controlled study of trastuzumab deruxtecan (DS-8201a), an anti-HER2-antibody drug conjugate, versus ado-trastuzumab emtansine (T-DM1) for HER2-positive, unresectable and/or metastatic breast cancer subjects previously treated with trastuzumab and taxane (DESTINY-Breast03)&lt;/title&gt;&lt;secondary-title&gt;Data on file&lt;/secondary-title&gt;&lt;/titles&gt;&lt;periodical&gt;&lt;full-title&gt;Data on file&lt;/full-title&gt;&lt;/periodical&gt;&lt;dates&gt;&lt;year&gt;2020&lt;/year&gt;&lt;/dates&gt;&lt;urls&gt;&lt;/urls&gt;&lt;/record&gt;&lt;/Cite&gt;&lt;/EndNote&gt;</w:instrText>
            </w:r>
            <w:r w:rsidRPr="00E30B7C">
              <w:rPr>
                <w:strike/>
                <w:highlight w:val="yellow"/>
                <w:u w:val="single"/>
              </w:rPr>
              <w:fldChar w:fldCharType="separate"/>
            </w:r>
            <w:r w:rsidRPr="00E30B7C">
              <w:rPr>
                <w:strike/>
                <w:highlight w:val="yellow"/>
                <w:u w:val="single"/>
              </w:rPr>
              <w:fldChar w:fldCharType="end"/>
            </w:r>
            <w:r w:rsidR="00294FDC" w:rsidRPr="00294FDC">
              <w:rPr>
                <w:color w:val="000000"/>
                <w:highlight w:val="black"/>
              </w:rPr>
              <w:t>xxxxxxxxxxxxxxxxxxxxxxxxxxxxxxxxxxxxxxxxxxxxxxxxxxxxxxxxxxxxxxxxxxxxxx</w:t>
            </w:r>
            <w:r w:rsidR="00A61BC5">
              <w:rPr>
                <w:color w:val="000000"/>
                <w:highlight w:val="black"/>
              </w:rPr>
              <w:t xml:space="preserve"> </w:t>
            </w:r>
            <w:r w:rsidR="00294FDC" w:rsidRPr="00294FDC">
              <w:rPr>
                <w:color w:val="000000"/>
                <w:highlight w:val="black"/>
              </w:rPr>
              <w:t>xxxxxxxxxxxx</w:t>
            </w:r>
            <w:r w:rsidR="00A61BC5">
              <w:rPr>
                <w:color w:val="000000"/>
                <w:highlight w:val="black"/>
              </w:rPr>
              <w:t xml:space="preserve"> </w:t>
            </w:r>
            <w:r w:rsidR="00294FDC" w:rsidRPr="00294FDC">
              <w:rPr>
                <w:color w:val="000000"/>
                <w:highlight w:val="black"/>
              </w:rPr>
              <w:t>xxxxxxxxxxxx</w:t>
            </w:r>
            <w:r w:rsidR="00A61BC5">
              <w:rPr>
                <w:color w:val="000000"/>
                <w:highlight w:val="black"/>
              </w:rPr>
              <w:t xml:space="preserve"> </w:t>
            </w:r>
            <w:r w:rsidR="00294FDC" w:rsidRPr="00294FDC">
              <w:rPr>
                <w:color w:val="000000"/>
                <w:highlight w:val="black"/>
              </w:rPr>
              <w:t>xxxxxxxxxx</w:t>
            </w:r>
            <w:hyperlink w:anchor="_ENREF_112" w:tooltip="Daiichi Sankyo Inc, 2020 #84" w:history="1">
              <w:r w:rsidRPr="00BE44FF">
                <w:t>.</w:t>
              </w:r>
              <w:r w:rsidRPr="00BE44FF">
                <w:fldChar w:fldCharType="begin"/>
              </w:r>
              <w:r w:rsidR="00CA6345">
                <w:instrText xml:space="preserve"> ADDIN ZOTERO_ITEM CSL_CITATION {"citationID":"g3rUjdA8","properties":{"formattedCitation":"\\super 153\\nosupersub{}","plainCitation":"153","noteIndex":0},"citationItems":[{"id":65924,"uris":["http://zotero.org/groups/4797619/items/5D3NP3DU"],"itemData":{"id":65924,"type":"document","title":"Statistical Analysis Plan Version 2.0 for DS8201-A-U303. 04 January 2022. Data on File.","author":[{"family":"Daiichi Sankyo Inc.","given":""}],"issued":{"date-parts":[["2022"]]}}}],"schema":"https://github.com/citation-style-language/schema/raw/master/csl-citation.json"} </w:instrText>
              </w:r>
              <w:r w:rsidRPr="00BE44FF">
                <w:fldChar w:fldCharType="separate"/>
              </w:r>
              <w:r w:rsidR="00CA6345" w:rsidRPr="00CA6345">
                <w:rPr>
                  <w:rFonts w:cs="Arial"/>
                  <w:szCs w:val="24"/>
                  <w:vertAlign w:val="superscript"/>
                </w:rPr>
                <w:t>153</w:t>
              </w:r>
              <w:r w:rsidRPr="00BE44FF">
                <w:fldChar w:fldCharType="end"/>
              </w:r>
            </w:hyperlink>
          </w:p>
        </w:tc>
      </w:tr>
      <w:tr w:rsidR="000B148D" w:rsidRPr="00BE44FF" w14:paraId="340A084B" w14:textId="77777777" w:rsidTr="002475D3">
        <w:tc>
          <w:tcPr>
            <w:tcW w:w="1098" w:type="pct"/>
            <w:shd w:val="clear" w:color="auto" w:fill="D9D9D9" w:themeFill="background1" w:themeFillShade="D9"/>
          </w:tcPr>
          <w:p w14:paraId="6F6E0926" w14:textId="77777777" w:rsidR="000B148D" w:rsidRPr="00BE44FF" w:rsidRDefault="000B148D">
            <w:pPr>
              <w:pStyle w:val="Tableheading"/>
            </w:pPr>
            <w:r w:rsidRPr="00BE44FF">
              <w:t>Duration of study</w:t>
            </w:r>
          </w:p>
        </w:tc>
        <w:tc>
          <w:tcPr>
            <w:tcW w:w="3902" w:type="pct"/>
          </w:tcPr>
          <w:p w14:paraId="6B61DEA7" w14:textId="06F0F6B9" w:rsidR="000B148D" w:rsidRDefault="000B148D">
            <w:pPr>
              <w:pStyle w:val="Tablebody"/>
            </w:pPr>
            <w:r>
              <w:t xml:space="preserve">Planned: approximately </w:t>
            </w:r>
            <w:r w:rsidR="00F77ABC" w:rsidRPr="00F77ABC">
              <w:rPr>
                <w:color w:val="000000"/>
                <w:highlight w:val="black"/>
              </w:rPr>
              <w:t>xx</w:t>
            </w:r>
            <w:r>
              <w:t xml:space="preserve"> months </w:t>
            </w:r>
          </w:p>
          <w:p w14:paraId="24A7AEF8" w14:textId="77777777" w:rsidR="000B148D" w:rsidRPr="00BE44FF" w:rsidRDefault="000B148D">
            <w:pPr>
              <w:pStyle w:val="Tablebody"/>
            </w:pPr>
            <w:r w:rsidRPr="00BE44FF">
              <w:t>Median duration of follow-up at DCO (11 Jan 2022</w:t>
            </w:r>
            <w:r>
              <w:t>; FAS</w:t>
            </w:r>
            <w:r w:rsidRPr="00BE44FF">
              <w:t>):</w:t>
            </w:r>
          </w:p>
          <w:p w14:paraId="4FF03523" w14:textId="490206F9" w:rsidR="000B148D" w:rsidRPr="00BE44FF" w:rsidRDefault="000B148D" w:rsidP="00954359">
            <w:pPr>
              <w:pStyle w:val="Tablebody"/>
              <w:numPr>
                <w:ilvl w:val="0"/>
                <w:numId w:val="8"/>
              </w:numPr>
            </w:pPr>
            <w:r w:rsidRPr="00BE44FF">
              <w:t xml:space="preserve">T-DXd: </w:t>
            </w:r>
            <w:r w:rsidR="00294FDC" w:rsidRPr="00294FDC">
              <w:rPr>
                <w:color w:val="000000"/>
                <w:highlight w:val="black"/>
              </w:rPr>
              <w:t>xxxx</w:t>
            </w:r>
            <w:r w:rsidRPr="00BE44FF">
              <w:t xml:space="preserve"> months (range </w:t>
            </w:r>
            <w:r w:rsidR="00294FDC" w:rsidRPr="00294FDC">
              <w:rPr>
                <w:color w:val="000000"/>
                <w:highlight w:val="black"/>
              </w:rPr>
              <w:t>xxxxxxxxx</w:t>
            </w:r>
            <w:r w:rsidRPr="00BE44FF">
              <w:t>).</w:t>
            </w:r>
          </w:p>
          <w:p w14:paraId="4D335FC6" w14:textId="1464A36E" w:rsidR="000B148D" w:rsidRDefault="000B148D" w:rsidP="00954359">
            <w:pPr>
              <w:pStyle w:val="Tablebody"/>
              <w:numPr>
                <w:ilvl w:val="0"/>
                <w:numId w:val="8"/>
              </w:numPr>
            </w:pPr>
            <w:r w:rsidRPr="00BE44FF">
              <w:t xml:space="preserve">TPC: </w:t>
            </w:r>
            <w:r w:rsidR="00294FDC" w:rsidRPr="00294FDC">
              <w:rPr>
                <w:color w:val="000000"/>
                <w:highlight w:val="black"/>
              </w:rPr>
              <w:t>xxxx</w:t>
            </w:r>
            <w:r w:rsidRPr="00BE44FF">
              <w:t xml:space="preserve"> months (range: </w:t>
            </w:r>
            <w:r w:rsidR="00294FDC" w:rsidRPr="00294FDC">
              <w:rPr>
                <w:color w:val="000000"/>
                <w:highlight w:val="black"/>
              </w:rPr>
              <w:t>xxxxxxxxx</w:t>
            </w:r>
            <w:r w:rsidRPr="00BE44FF">
              <w:t>).</w:t>
            </w:r>
          </w:p>
          <w:p w14:paraId="46EE0386" w14:textId="44A607EB" w:rsidR="000B148D" w:rsidRPr="00BE44FF" w:rsidRDefault="000B148D" w:rsidP="00954359">
            <w:pPr>
              <w:pStyle w:val="Tablebody"/>
              <w:numPr>
                <w:ilvl w:val="0"/>
                <w:numId w:val="8"/>
              </w:numPr>
            </w:pPr>
            <w:r>
              <w:t xml:space="preserve">Overall: </w:t>
            </w:r>
            <w:r w:rsidR="00294FDC" w:rsidRPr="00294FDC">
              <w:rPr>
                <w:color w:val="000000"/>
                <w:highlight w:val="black"/>
              </w:rPr>
              <w:t>xxxx</w:t>
            </w:r>
            <w:r>
              <w:t xml:space="preserve"> months (range </w:t>
            </w:r>
            <w:r w:rsidR="00294FDC" w:rsidRPr="00294FDC">
              <w:rPr>
                <w:color w:val="000000"/>
                <w:highlight w:val="black"/>
              </w:rPr>
              <w:t>xxxxxxxxx</w:t>
            </w:r>
            <w:r>
              <w:t xml:space="preserve">). </w:t>
            </w:r>
          </w:p>
        </w:tc>
      </w:tr>
      <w:tr w:rsidR="000B148D" w:rsidRPr="00BE44FF" w14:paraId="7155D6D9" w14:textId="77777777" w:rsidTr="002475D3">
        <w:tc>
          <w:tcPr>
            <w:tcW w:w="1098" w:type="pct"/>
            <w:shd w:val="clear" w:color="auto" w:fill="D9D9D9" w:themeFill="background1" w:themeFillShade="D9"/>
          </w:tcPr>
          <w:p w14:paraId="7FECEC33" w14:textId="77777777" w:rsidR="000B148D" w:rsidRPr="00BE44FF" w:rsidRDefault="000B148D">
            <w:pPr>
              <w:pStyle w:val="Tableheading"/>
            </w:pPr>
            <w:r w:rsidRPr="00BE44FF">
              <w:t>Settings and locations where data were collected</w:t>
            </w:r>
          </w:p>
        </w:tc>
        <w:tc>
          <w:tcPr>
            <w:tcW w:w="3902" w:type="pct"/>
          </w:tcPr>
          <w:p w14:paraId="3F2E6141" w14:textId="77777777" w:rsidR="000B148D" w:rsidRPr="00BE44FF" w:rsidRDefault="000B148D">
            <w:pPr>
              <w:pStyle w:val="Tablebody"/>
            </w:pPr>
            <w:r w:rsidRPr="00BE44FF">
              <w:t>161 centres in 19 countries, including Europe (Austria, Belgium, France, Greece, Hungary, Israel, Italy, Portugal, Russia, Spain, Sweden, Switzerland, UK), Asia (China, Japan, South Korea, Taiwan), and North America (Canada, US)</w:t>
            </w:r>
          </w:p>
        </w:tc>
      </w:tr>
      <w:tr w:rsidR="000B148D" w:rsidRPr="00BE44FF" w14:paraId="5AF67131" w14:textId="77777777" w:rsidTr="002475D3">
        <w:trPr>
          <w:trHeight w:val="351"/>
        </w:trPr>
        <w:tc>
          <w:tcPr>
            <w:tcW w:w="1098" w:type="pct"/>
            <w:vMerge w:val="restart"/>
            <w:shd w:val="clear" w:color="auto" w:fill="D9D9D9" w:themeFill="background1" w:themeFillShade="D9"/>
          </w:tcPr>
          <w:p w14:paraId="052033AE" w14:textId="77777777" w:rsidR="000B148D" w:rsidRPr="00BE44FF" w:rsidRDefault="000B148D">
            <w:pPr>
              <w:pStyle w:val="Tableheading"/>
            </w:pPr>
            <w:r w:rsidRPr="00BE44FF">
              <w:t>Participant eligibility criteria</w:t>
            </w:r>
          </w:p>
        </w:tc>
        <w:tc>
          <w:tcPr>
            <w:tcW w:w="3902" w:type="pct"/>
          </w:tcPr>
          <w:p w14:paraId="3F6B3C9A" w14:textId="77777777" w:rsidR="000B148D" w:rsidRPr="00BE44FF" w:rsidRDefault="000B148D">
            <w:pPr>
              <w:pStyle w:val="Tablebody"/>
              <w:keepNext/>
              <w:rPr>
                <w:b/>
                <w:bCs/>
              </w:rPr>
            </w:pPr>
            <w:r w:rsidRPr="00BE44FF">
              <w:rPr>
                <w:b/>
                <w:bCs/>
              </w:rPr>
              <w:t>Key inclusion criteria</w:t>
            </w:r>
          </w:p>
          <w:p w14:paraId="1000C819" w14:textId="7020230F" w:rsidR="000B148D" w:rsidRPr="00294FDC" w:rsidRDefault="00DD4B3C" w:rsidP="00954359">
            <w:pPr>
              <w:pStyle w:val="Tablebody"/>
              <w:numPr>
                <w:ilvl w:val="0"/>
                <w:numId w:val="9"/>
              </w:numPr>
              <w:rPr>
                <w:color w:val="000000"/>
                <w:highlight w:val="black"/>
              </w:rPr>
            </w:pPr>
            <w:r w:rsidRPr="00294FDC">
              <w:rPr>
                <w:color w:val="000000"/>
                <w:highlight w:val="black"/>
              </w:rPr>
              <w:t>X</w:t>
            </w:r>
            <w:r w:rsidR="00294FDC" w:rsidRPr="00294FDC">
              <w:rPr>
                <w:color w:val="000000"/>
                <w:highlight w:val="black"/>
              </w:rPr>
              <w:t>xxxxxxxxxxxxxxxxxxxxxxxxxxxxxxxxxxxxxxxxxxxxxxxxxxxxxxxxxxxxxxxxxxxxxxx</w:t>
            </w:r>
            <w:r w:rsidR="00A61BC5">
              <w:rPr>
                <w:color w:val="000000"/>
                <w:highlight w:val="black"/>
              </w:rPr>
              <w:t xml:space="preserve"> </w:t>
            </w:r>
            <w:r w:rsidR="00294FDC" w:rsidRPr="00294FDC">
              <w:rPr>
                <w:color w:val="000000"/>
                <w:highlight w:val="black"/>
              </w:rPr>
              <w:t>xx</w:t>
            </w:r>
            <w:r>
              <w:rPr>
                <w:color w:val="000000"/>
                <w:highlight w:val="black"/>
              </w:rPr>
              <w:t xml:space="preserve"> </w:t>
            </w:r>
            <w:r w:rsidR="00294FDC" w:rsidRPr="00294FDC">
              <w:rPr>
                <w:color w:val="000000"/>
                <w:highlight w:val="black"/>
              </w:rPr>
              <w:t>xxxxxxxxxxxxxxxxxxxxxxxxxx</w:t>
            </w:r>
          </w:p>
          <w:p w14:paraId="09092CFE" w14:textId="77777777" w:rsidR="000B148D" w:rsidRPr="00BE44FF" w:rsidRDefault="000B148D" w:rsidP="00954359">
            <w:pPr>
              <w:pStyle w:val="Tablebody"/>
              <w:numPr>
                <w:ilvl w:val="0"/>
                <w:numId w:val="9"/>
              </w:numPr>
            </w:pPr>
            <w:r w:rsidRPr="00BE44FF">
              <w:lastRenderedPageBreak/>
              <w:t>Pathologically documented BC that:</w:t>
            </w:r>
          </w:p>
          <w:p w14:paraId="400FD1CF" w14:textId="77777777" w:rsidR="000B148D" w:rsidRPr="00BE44FF" w:rsidRDefault="000B148D" w:rsidP="00954359">
            <w:pPr>
              <w:pStyle w:val="Tablebody"/>
              <w:numPr>
                <w:ilvl w:val="1"/>
                <w:numId w:val="9"/>
              </w:numPr>
            </w:pPr>
            <w:r w:rsidRPr="00BE44FF">
              <w:t>was unresectable or metastatic.</w:t>
            </w:r>
          </w:p>
          <w:p w14:paraId="39F0BB41" w14:textId="7E834215" w:rsidR="000B148D" w:rsidRPr="00BE44FF" w:rsidRDefault="000B148D" w:rsidP="00954359">
            <w:pPr>
              <w:pStyle w:val="Tablebody"/>
              <w:numPr>
                <w:ilvl w:val="1"/>
                <w:numId w:val="9"/>
              </w:numPr>
            </w:pPr>
            <w:r w:rsidRPr="00BE44FF">
              <w:t>had a history of, or central laboratory assessed, low HER2 expression (defined as IHC1+ or IHC2+/ISH-negative</w:t>
            </w:r>
            <w:r w:rsidR="00C94E72">
              <w:t>)</w:t>
            </w:r>
            <w:r w:rsidRPr="00BE44FF">
              <w:t>.</w:t>
            </w:r>
          </w:p>
          <w:p w14:paraId="634C8A46" w14:textId="77777777" w:rsidR="000B148D" w:rsidRPr="00BE44FF" w:rsidRDefault="000B148D" w:rsidP="00954359">
            <w:pPr>
              <w:pStyle w:val="Tablebody"/>
              <w:numPr>
                <w:ilvl w:val="1"/>
                <w:numId w:val="9"/>
              </w:numPr>
            </w:pPr>
            <w:r w:rsidRPr="00BE44FF">
              <w:t>was previously treated with at least one and no more than two prior lines of chemotherapy in the recurrent or metastatic setting. If recurrence occurred within six months of (neo)adjuvant chemotherapy it would count as one line of chemotherapy. Targeted agents (e.g. CD</w:t>
            </w:r>
            <w:r>
              <w:t>K4/6</w:t>
            </w:r>
            <w:r w:rsidRPr="00BE44FF">
              <w:t xml:space="preserve"> inhibitors, PD-L1 inhibitors) and ET did not count as a line of chemotherapy unless administered in combination with chemotherapy.</w:t>
            </w:r>
          </w:p>
          <w:p w14:paraId="0A617B38" w14:textId="77777777" w:rsidR="000B148D" w:rsidRPr="00BE44FF" w:rsidRDefault="000B148D" w:rsidP="00954359">
            <w:pPr>
              <w:pStyle w:val="Tablebody"/>
              <w:numPr>
                <w:ilvl w:val="1"/>
                <w:numId w:val="9"/>
              </w:numPr>
            </w:pPr>
            <w:r w:rsidRPr="00BE44FF">
              <w:t>if HR-positive, was previously treated with at least one line of ET before progressing and being deemed to no longer benefit from further ET.</w:t>
            </w:r>
          </w:p>
          <w:p w14:paraId="4E28EF1D" w14:textId="1BEDDAEE" w:rsidR="00047D57" w:rsidRDefault="00047D57" w:rsidP="00954359">
            <w:pPr>
              <w:pStyle w:val="Tablebody"/>
              <w:numPr>
                <w:ilvl w:val="0"/>
                <w:numId w:val="9"/>
              </w:numPr>
            </w:pPr>
            <w:r w:rsidRPr="00294FDC">
              <w:rPr>
                <w:color w:val="000000"/>
                <w:highlight w:val="black"/>
              </w:rPr>
              <w:t>X</w:t>
            </w:r>
            <w:r w:rsidR="00294FDC" w:rsidRPr="00294FDC">
              <w:rPr>
                <w:color w:val="000000"/>
                <w:highlight w:val="black"/>
              </w:rPr>
              <w:t>xxxxxxxxxxxxxxxxxxxxxxxxxxxxxxxxxxxxxxxxxxxxxxxxxxxxxxxxxxx</w:t>
            </w:r>
            <w:r>
              <w:rPr>
                <w:color w:val="000000"/>
                <w:highlight w:val="black"/>
              </w:rPr>
              <w:t xml:space="preserve"> </w:t>
            </w:r>
            <w:r w:rsidR="00294FDC" w:rsidRPr="00294FDC">
              <w:rPr>
                <w:color w:val="000000"/>
                <w:highlight w:val="black"/>
              </w:rPr>
              <w:t>xxxxx</w:t>
            </w:r>
            <w:r w:rsidR="00A61BC5">
              <w:rPr>
                <w:color w:val="000000"/>
                <w:highlight w:val="black"/>
              </w:rPr>
              <w:t xml:space="preserve"> </w:t>
            </w:r>
            <w:r w:rsidR="00294FDC" w:rsidRPr="00294FDC">
              <w:rPr>
                <w:color w:val="000000"/>
                <w:highlight w:val="black"/>
              </w:rPr>
              <w:t>xxxxxxxxxxxxxxxxxxxxxxxxxxxxxxxxxxxxxxxxxxxxxxxxxxxxxxxxxxxxxxx</w:t>
            </w:r>
            <w:r w:rsidR="000B148D" w:rsidRPr="007B4200">
              <w:t>.</w:t>
            </w:r>
          </w:p>
          <w:p w14:paraId="79867634" w14:textId="50044070" w:rsidR="000B148D" w:rsidRPr="00BE44FF" w:rsidRDefault="00294FDC" w:rsidP="00954359">
            <w:pPr>
              <w:pStyle w:val="Tablebody"/>
              <w:numPr>
                <w:ilvl w:val="0"/>
                <w:numId w:val="9"/>
              </w:numPr>
            </w:pPr>
            <w:r w:rsidRPr="00294FDC">
              <w:rPr>
                <w:color w:val="000000"/>
                <w:highlight w:val="black"/>
              </w:rPr>
              <w:t>xxxxxxxxxxxxxxxxxxxxxxxxxxxxxxxxxxxxxxxxxxxxxxxxxxxxxxxxxx</w:t>
            </w:r>
            <w:r w:rsidR="000B148D" w:rsidRPr="00BE44FF">
              <w:t>.</w:t>
            </w:r>
          </w:p>
          <w:p w14:paraId="3671A738" w14:textId="1C72C1ED" w:rsidR="000B148D" w:rsidRPr="00BE44FF" w:rsidRDefault="00294FDC" w:rsidP="00954359">
            <w:pPr>
              <w:pStyle w:val="Tablebody"/>
              <w:numPr>
                <w:ilvl w:val="0"/>
                <w:numId w:val="9"/>
              </w:numPr>
            </w:pPr>
            <w:r w:rsidRPr="00294FDC">
              <w:rPr>
                <w:color w:val="000000"/>
                <w:highlight w:val="black"/>
              </w:rPr>
              <w:t>xxxxxxxxxxxxxxxxxxxxxxxxxxx</w:t>
            </w:r>
            <w:r w:rsidR="000B148D" w:rsidRPr="00BE44FF">
              <w:t>.</w:t>
            </w:r>
          </w:p>
          <w:p w14:paraId="4128F2C6" w14:textId="142503BB" w:rsidR="000B148D" w:rsidRPr="00BE44FF" w:rsidRDefault="00A61BC5" w:rsidP="00954359">
            <w:pPr>
              <w:pStyle w:val="Tablebody"/>
              <w:numPr>
                <w:ilvl w:val="0"/>
                <w:numId w:val="9"/>
              </w:numPr>
            </w:pPr>
            <w:r w:rsidRPr="00294FDC">
              <w:rPr>
                <w:color w:val="000000"/>
                <w:highlight w:val="black"/>
              </w:rPr>
              <w:t>X</w:t>
            </w:r>
            <w:r w:rsidR="00294FDC" w:rsidRPr="00294FDC">
              <w:rPr>
                <w:color w:val="000000"/>
                <w:highlight w:val="black"/>
              </w:rPr>
              <w:t>xxxxxxxxxxxxxxxxxxxxxxxxxxxxxxxxxxxxxxxxxxxxxxxxxxxxxxxxxxxxxxx</w:t>
            </w:r>
            <w:r>
              <w:rPr>
                <w:color w:val="000000"/>
                <w:highlight w:val="black"/>
              </w:rPr>
              <w:t xml:space="preserve"> </w:t>
            </w:r>
            <w:r w:rsidR="00294FDC" w:rsidRPr="00294FDC">
              <w:rPr>
                <w:color w:val="000000"/>
                <w:highlight w:val="black"/>
              </w:rPr>
              <w:t>xxxxxxxxxxxxxxxxxxxxxxxxxxxxxxxxxxxxxxxxxxxxxxxxxxxxxxxxxxxxxxxx</w:t>
            </w:r>
            <w:r w:rsidR="000B148D" w:rsidRPr="00BE44FF">
              <w:t>.</w:t>
            </w:r>
          </w:p>
        </w:tc>
      </w:tr>
      <w:tr w:rsidR="000B148D" w:rsidRPr="00BE44FF" w14:paraId="0C1CB7F5" w14:textId="77777777" w:rsidTr="002475D3">
        <w:trPr>
          <w:trHeight w:val="350"/>
        </w:trPr>
        <w:tc>
          <w:tcPr>
            <w:tcW w:w="1098" w:type="pct"/>
            <w:vMerge/>
          </w:tcPr>
          <w:p w14:paraId="3B6147C8" w14:textId="77777777" w:rsidR="000B148D" w:rsidRPr="00BE44FF" w:rsidRDefault="000B148D">
            <w:pPr>
              <w:pStyle w:val="Tableheading"/>
            </w:pPr>
          </w:p>
        </w:tc>
        <w:tc>
          <w:tcPr>
            <w:tcW w:w="3902" w:type="pct"/>
          </w:tcPr>
          <w:p w14:paraId="1E0B9B79" w14:textId="77777777" w:rsidR="000B148D" w:rsidRPr="00BE44FF" w:rsidRDefault="000B148D">
            <w:pPr>
              <w:pStyle w:val="Tablebody"/>
              <w:keepNext/>
              <w:rPr>
                <w:b/>
                <w:bCs/>
              </w:rPr>
            </w:pPr>
            <w:r w:rsidRPr="00BE44FF">
              <w:rPr>
                <w:b/>
                <w:bCs/>
              </w:rPr>
              <w:t>Key exclusion criteria</w:t>
            </w:r>
          </w:p>
          <w:p w14:paraId="5B8DCD8A" w14:textId="7129473D" w:rsidR="000B148D" w:rsidRPr="00BE44FF" w:rsidRDefault="00A61BC5" w:rsidP="00954359">
            <w:pPr>
              <w:pStyle w:val="Tablebody"/>
              <w:numPr>
                <w:ilvl w:val="0"/>
                <w:numId w:val="17"/>
              </w:numPr>
            </w:pPr>
            <w:r w:rsidRPr="00294FDC">
              <w:rPr>
                <w:color w:val="000000"/>
                <w:highlight w:val="black"/>
              </w:rPr>
              <w:t>X</w:t>
            </w:r>
            <w:r w:rsidR="00294FDC" w:rsidRPr="00294FDC">
              <w:rPr>
                <w:color w:val="000000"/>
                <w:highlight w:val="black"/>
              </w:rPr>
              <w:t>xxxxxxxxxxxxxxxxxxxxxxxxxxxxxxxxxxxxxxxxxxxxxxxxxxxxxxxxxxxxxxxxxxxxxxxxxxxxxxxxxxxxxxxxxxxxxxxxxxxxxxxxxxxxxxxxxxxxxxxxxx</w:t>
            </w:r>
            <w:r w:rsidR="000B148D" w:rsidRPr="0013559D">
              <w:rPr>
                <w:rFonts w:cs="Yu Gothic Light"/>
              </w:rPr>
              <w:t>.</w:t>
            </w:r>
            <w:r w:rsidR="00294FDC" w:rsidRPr="00294FDC">
              <w:rPr>
                <w:color w:val="000000"/>
                <w:highlight w:val="black"/>
              </w:rPr>
              <w:t>xxxxxxxxxxxxxxxxxxxxxxxxxxxxxxxxxxxxxxxxxxxxxxxxxxx</w:t>
            </w:r>
            <w:r w:rsidR="000B148D" w:rsidRPr="00BE44FF">
              <w:t>.</w:t>
            </w:r>
          </w:p>
          <w:p w14:paraId="6A13119B" w14:textId="579EE64C" w:rsidR="000B148D" w:rsidRPr="00BE44FF" w:rsidRDefault="000B148D" w:rsidP="00954359">
            <w:pPr>
              <w:pStyle w:val="Tablebody"/>
              <w:numPr>
                <w:ilvl w:val="0"/>
                <w:numId w:val="17"/>
              </w:numPr>
            </w:pPr>
            <w:r w:rsidRPr="00BE44FF">
              <w:t xml:space="preserve">History of (non-infectious) ILD/pneumonitis requiring steroids, current diagnosed or suspected ILD/pneumonitis, or </w:t>
            </w:r>
            <w:r w:rsidR="00294FDC" w:rsidRPr="00294FDC">
              <w:rPr>
                <w:color w:val="000000"/>
                <w:highlight w:val="black"/>
              </w:rPr>
              <w:t>xxxxxxxxxxxxxxxxxxxxxxxxxxxxxxxxxxxxxxxxxxxxxxxxxxxxxxxxxxxxxxxxxxxxxxxxxxxxxxxxxxxxxx</w:t>
            </w:r>
            <w:r w:rsidRPr="00BE44FF">
              <w:t>.</w:t>
            </w:r>
          </w:p>
          <w:p w14:paraId="7897456A" w14:textId="05F5C442" w:rsidR="000B148D" w:rsidRPr="00BE44FF" w:rsidRDefault="00047D57" w:rsidP="00954359">
            <w:pPr>
              <w:pStyle w:val="Tablebody"/>
              <w:numPr>
                <w:ilvl w:val="0"/>
                <w:numId w:val="17"/>
              </w:numPr>
            </w:pPr>
            <w:r w:rsidRPr="00294FDC">
              <w:rPr>
                <w:color w:val="000000"/>
                <w:highlight w:val="black"/>
              </w:rPr>
              <w:t>X</w:t>
            </w:r>
            <w:r w:rsidR="00294FDC" w:rsidRPr="00294FDC">
              <w:rPr>
                <w:color w:val="000000"/>
                <w:highlight w:val="black"/>
              </w:rPr>
              <w:t>xxxxxxxxxxxxxxxxxxxxxxxxxxxxxxxxxxxxxxxxxxxxxxxxxxxxxxxxxxxxxxxxxxxxxxxxxxxxxxxxxxxxxxxxxxxxxxxxxxxxxxxxxxxxxxxxxxxxxxxxxxxxxxxxxxxxxxxxxxxx</w:t>
            </w:r>
            <w:r>
              <w:rPr>
                <w:color w:val="000000"/>
                <w:highlight w:val="black"/>
              </w:rPr>
              <w:t xml:space="preserve"> </w:t>
            </w:r>
            <w:r w:rsidR="00294FDC" w:rsidRPr="00294FDC">
              <w:rPr>
                <w:color w:val="000000"/>
                <w:highlight w:val="black"/>
              </w:rPr>
              <w:t>xxxxxxxxxxxxxxxxxxxxxxxxxxxxxxxxxxxxxxxxx</w:t>
            </w:r>
            <w:r w:rsidR="000B148D" w:rsidRPr="00BE44FF">
              <w:t>.</w:t>
            </w:r>
            <w:r w:rsidR="000B148D" w:rsidRPr="00BE44FF">
              <w:rPr>
                <w:rFonts w:cs="Yu Gothic Light"/>
                <w:vertAlign w:val="superscript"/>
              </w:rPr>
              <w:t>‡</w:t>
            </w:r>
          </w:p>
          <w:p w14:paraId="5E4EF91A" w14:textId="27A3525F" w:rsidR="000B148D" w:rsidRPr="00BE44FF" w:rsidRDefault="00047D57" w:rsidP="00954359">
            <w:pPr>
              <w:pStyle w:val="Tablebody"/>
              <w:numPr>
                <w:ilvl w:val="0"/>
                <w:numId w:val="17"/>
              </w:numPr>
            </w:pPr>
            <w:r w:rsidRPr="00294FDC">
              <w:rPr>
                <w:color w:val="000000"/>
                <w:highlight w:val="black"/>
              </w:rPr>
              <w:t>X</w:t>
            </w:r>
            <w:r w:rsidR="00294FDC" w:rsidRPr="00294FDC">
              <w:rPr>
                <w:color w:val="000000"/>
                <w:highlight w:val="black"/>
              </w:rPr>
              <w:t>xxxxxxxxxxxxxxxxxxxxxxxxxxxxxxxxxxxxxxxxxxxxxxxxxxxxxxxxxxxxxxxxxxxxxxxx</w:t>
            </w:r>
            <w:r>
              <w:rPr>
                <w:color w:val="000000"/>
                <w:highlight w:val="black"/>
              </w:rPr>
              <w:t xml:space="preserve"> </w:t>
            </w:r>
            <w:r w:rsidR="00294FDC" w:rsidRPr="00294FDC">
              <w:rPr>
                <w:color w:val="000000"/>
                <w:highlight w:val="black"/>
              </w:rPr>
              <w:t>xxxxxxxxxxxxxxxxxxxxxxxxxxxxxxxxxxxxxxxxxx</w:t>
            </w:r>
            <w:r w:rsidR="000B148D" w:rsidRPr="00BE44FF">
              <w:t>.</w:t>
            </w:r>
          </w:p>
          <w:p w14:paraId="16B7558E" w14:textId="19866DCE" w:rsidR="000B148D" w:rsidRPr="00BE44FF" w:rsidRDefault="00047D57" w:rsidP="00954359">
            <w:pPr>
              <w:pStyle w:val="Tablebody"/>
              <w:numPr>
                <w:ilvl w:val="0"/>
                <w:numId w:val="17"/>
              </w:numPr>
            </w:pPr>
            <w:r w:rsidRPr="00294FDC">
              <w:rPr>
                <w:color w:val="000000"/>
                <w:highlight w:val="black"/>
              </w:rPr>
              <w:t>X</w:t>
            </w:r>
            <w:r w:rsidR="00294FDC" w:rsidRPr="00294FDC">
              <w:rPr>
                <w:color w:val="000000"/>
                <w:highlight w:val="black"/>
              </w:rPr>
              <w:t>xxxxxxxxxxxxxxxxxxxxxxxxxxxxxxxxxxxxxxxxxxxxxxxxxxxxxxxxxxxxxxxxxxxxxxxx</w:t>
            </w:r>
            <w:r>
              <w:rPr>
                <w:color w:val="000000"/>
                <w:highlight w:val="black"/>
              </w:rPr>
              <w:t xml:space="preserve"> </w:t>
            </w:r>
            <w:r w:rsidR="00294FDC" w:rsidRPr="00294FDC">
              <w:rPr>
                <w:color w:val="000000"/>
                <w:highlight w:val="black"/>
              </w:rPr>
              <w:t>xxxxxxxxxxxxxxxxxxxxxxxxxxxxxxxxxxxxxxxxxxxxxxxxxxxx</w:t>
            </w:r>
            <w:r w:rsidR="000B148D" w:rsidRPr="00BE44FF">
              <w:t>.</w:t>
            </w:r>
          </w:p>
          <w:p w14:paraId="1259ECC6" w14:textId="2ADDC565" w:rsidR="000B148D" w:rsidRPr="00BE44FF" w:rsidRDefault="00294FDC" w:rsidP="00954359">
            <w:pPr>
              <w:pStyle w:val="Tablebody"/>
              <w:numPr>
                <w:ilvl w:val="0"/>
                <w:numId w:val="18"/>
              </w:numPr>
            </w:pPr>
            <w:r w:rsidRPr="00294FDC">
              <w:rPr>
                <w:color w:val="000000"/>
                <w:highlight w:val="black"/>
              </w:rPr>
              <w:t>xxxxxxxxxxxxxxxxxxxxxxxxxxxxxxxxxxxxxxxxxxxx</w:t>
            </w:r>
            <w:r w:rsidR="000B148D" w:rsidRPr="00BE44FF">
              <w:t>.</w:t>
            </w:r>
            <w:r w:rsidR="000B148D" w:rsidRPr="00BE44FF">
              <w:rPr>
                <w:rFonts w:cs="Yu Gothic Light"/>
                <w:vertAlign w:val="superscript"/>
              </w:rPr>
              <w:t>§</w:t>
            </w:r>
          </w:p>
          <w:p w14:paraId="1EDD26A6" w14:textId="75DA9364" w:rsidR="000B148D" w:rsidRPr="00BE44FF" w:rsidRDefault="00294FDC" w:rsidP="00954359">
            <w:pPr>
              <w:pStyle w:val="Tablebody"/>
              <w:numPr>
                <w:ilvl w:val="0"/>
                <w:numId w:val="18"/>
              </w:numPr>
            </w:pPr>
            <w:r w:rsidRPr="00294FDC">
              <w:rPr>
                <w:color w:val="000000"/>
                <w:highlight w:val="black"/>
              </w:rPr>
              <w:t>xxxxxxxxxxxxxxxxxxxxxxxxxxxxxxxxxxxxxxxxxxxxxxxxxxxxxxxxxxxxxxxxx</w:t>
            </w:r>
            <w:r w:rsidR="000B148D" w:rsidRPr="00BE44FF">
              <w:t>.</w:t>
            </w:r>
          </w:p>
          <w:p w14:paraId="2520630E" w14:textId="4076D8DD" w:rsidR="000B148D" w:rsidRPr="00BE44FF" w:rsidRDefault="00047D57" w:rsidP="00954359">
            <w:pPr>
              <w:pStyle w:val="Tablebody"/>
              <w:numPr>
                <w:ilvl w:val="0"/>
                <w:numId w:val="18"/>
              </w:numPr>
            </w:pPr>
            <w:r w:rsidRPr="00294FDC">
              <w:rPr>
                <w:color w:val="000000"/>
                <w:highlight w:val="black"/>
              </w:rPr>
              <w:t>X</w:t>
            </w:r>
            <w:r w:rsidR="00294FDC" w:rsidRPr="00294FDC">
              <w:rPr>
                <w:color w:val="000000"/>
                <w:highlight w:val="black"/>
              </w:rPr>
              <w:t>xxxxxxxxxxxxxxxxxxxxxxxxxxxxxxxxxxxxxxxxxxxxxxxxxxxxxxxxxxxxxxxxxxxxxxxxxxxxxxxxxxxxxxxxxxxxxxxxxxxxxxxxxxxxxxxxxxxxxxxxxxxxxxxxxxxxxxxxxx</w:t>
            </w:r>
            <w:r>
              <w:rPr>
                <w:color w:val="000000"/>
                <w:highlight w:val="black"/>
              </w:rPr>
              <w:t xml:space="preserve"> </w:t>
            </w:r>
            <w:r w:rsidR="00294FDC" w:rsidRPr="00294FDC">
              <w:rPr>
                <w:color w:val="000000"/>
                <w:highlight w:val="black"/>
              </w:rPr>
              <w:t>xxxxxxxxxxxxxxxxxxxxxxxxx</w:t>
            </w:r>
            <w:r w:rsidR="000B148D" w:rsidRPr="00BE44FF">
              <w:t>.</w:t>
            </w:r>
          </w:p>
          <w:p w14:paraId="6684E521" w14:textId="2A6A7BAA" w:rsidR="000B148D" w:rsidRPr="00BE44FF" w:rsidRDefault="00047D57" w:rsidP="00954359">
            <w:pPr>
              <w:pStyle w:val="Tablebody"/>
              <w:numPr>
                <w:ilvl w:val="0"/>
                <w:numId w:val="18"/>
              </w:numPr>
            </w:pPr>
            <w:r w:rsidRPr="00294FDC">
              <w:rPr>
                <w:color w:val="000000"/>
                <w:highlight w:val="black"/>
              </w:rPr>
              <w:t>X</w:t>
            </w:r>
            <w:r w:rsidR="00294FDC" w:rsidRPr="00294FDC">
              <w:rPr>
                <w:color w:val="000000"/>
                <w:highlight w:val="black"/>
              </w:rPr>
              <w:t>xxxxxxxxxxxxxxxxxxxxxxxxxxxxxxxxxxxxxxxxxxxxxxxxxxxxxxxxxxxxxxxxxxxxxxxxxxxxxxxxxxxxxxxxxxxxxxxxxxxxxxxxxxxxxxxxxxxxxxxxxxxxxxxxxxxxxxxxxxxxxx</w:t>
            </w:r>
            <w:r w:rsidR="000B148D" w:rsidRPr="00BE44FF">
              <w:t>.</w:t>
            </w:r>
          </w:p>
          <w:p w14:paraId="1357030D" w14:textId="36DE404F" w:rsidR="000B148D" w:rsidRPr="00BE44FF" w:rsidRDefault="00294FDC" w:rsidP="00954359">
            <w:pPr>
              <w:pStyle w:val="Tablebody"/>
              <w:numPr>
                <w:ilvl w:val="0"/>
                <w:numId w:val="18"/>
              </w:numPr>
            </w:pPr>
            <w:r w:rsidRPr="00294FDC">
              <w:rPr>
                <w:color w:val="000000"/>
                <w:highlight w:val="black"/>
              </w:rPr>
              <w:t>xxxxxxxxxxxxxxxxxxxxxxxxxxxxxxxxxxxxxxxxxxxxxxxxxxxx</w:t>
            </w:r>
            <w:r w:rsidR="000B148D" w:rsidRPr="00BE44FF">
              <w:t>.</w:t>
            </w:r>
          </w:p>
        </w:tc>
      </w:tr>
      <w:tr w:rsidR="000B148D" w:rsidRPr="00BE44FF" w14:paraId="4377CC8A" w14:textId="77777777" w:rsidTr="002475D3">
        <w:trPr>
          <w:trHeight w:val="841"/>
        </w:trPr>
        <w:tc>
          <w:tcPr>
            <w:tcW w:w="1098" w:type="pct"/>
            <w:vMerge w:val="restart"/>
            <w:shd w:val="clear" w:color="auto" w:fill="D9D9D9" w:themeFill="background1" w:themeFillShade="D9"/>
          </w:tcPr>
          <w:p w14:paraId="44C9E841" w14:textId="77777777" w:rsidR="000B148D" w:rsidRPr="00BE44FF" w:rsidRDefault="000B148D">
            <w:pPr>
              <w:pStyle w:val="Tableheading"/>
            </w:pPr>
            <w:r w:rsidRPr="00BE44FF">
              <w:t>Trial drugs</w:t>
            </w:r>
          </w:p>
        </w:tc>
        <w:tc>
          <w:tcPr>
            <w:tcW w:w="3902" w:type="pct"/>
            <w:shd w:val="clear" w:color="auto" w:fill="auto"/>
          </w:tcPr>
          <w:p w14:paraId="10DFCC93" w14:textId="1CF80DA5" w:rsidR="000B148D" w:rsidRPr="00BE44FF" w:rsidRDefault="000B148D">
            <w:pPr>
              <w:pStyle w:val="Tablebody"/>
              <w:spacing w:after="120"/>
            </w:pPr>
            <w:r w:rsidRPr="00BE44FF">
              <w:rPr>
                <w:b/>
                <w:bCs/>
              </w:rPr>
              <w:t xml:space="preserve">Intervention: </w:t>
            </w:r>
            <w:r w:rsidRPr="00BE44FF">
              <w:t>T</w:t>
            </w:r>
            <w:r w:rsidRPr="00BE44FF">
              <w:noBreakHyphen/>
              <w:t>DXd (</w:t>
            </w:r>
            <w:r>
              <w:t>N=</w:t>
            </w:r>
            <w:r w:rsidRPr="00BE44FF">
              <w:t xml:space="preserve">373) was administered at a starting dose of 5.4 mg/kg (based on patient weight at screening), as </w:t>
            </w:r>
            <w:r w:rsidR="00294FDC" w:rsidRPr="00294FDC">
              <w:rPr>
                <w:color w:val="000000"/>
                <w:highlight w:val="black"/>
              </w:rPr>
              <w:t>xxxxxxxxxxxxxxxxxxx</w:t>
            </w:r>
            <w:r w:rsidR="0014705A">
              <w:rPr>
                <w:color w:val="000000"/>
                <w:highlight w:val="black"/>
              </w:rPr>
              <w:t xml:space="preserve"> </w:t>
            </w:r>
            <w:r w:rsidR="00294FDC" w:rsidRPr="00294FDC">
              <w:rPr>
                <w:color w:val="000000"/>
                <w:highlight w:val="black"/>
              </w:rPr>
              <w:t>xxxxxxxxxxxxxxxxxxxxxxxxxxxxxxxxxxxxxxxxxxxxxxxxxxxxxxxxxxxxxxxxxxxxxxxxxxxxxxxxxxxxxxxxxxxxxxxxxxxxxxxxxxxxxxxxxxx</w:t>
            </w:r>
            <w:r w:rsidRPr="00BE44FF">
              <w:t xml:space="preserve">). Dosage was </w:t>
            </w:r>
            <w:r w:rsidR="00294FDC" w:rsidRPr="00294FDC">
              <w:rPr>
                <w:color w:val="000000"/>
                <w:highlight w:val="black"/>
              </w:rPr>
              <w:t>xxxxx</w:t>
            </w:r>
            <w:r w:rsidR="0014705A">
              <w:rPr>
                <w:color w:val="000000"/>
                <w:highlight w:val="black"/>
              </w:rPr>
              <w:t xml:space="preserve"> </w:t>
            </w:r>
            <w:r w:rsidR="00294FDC" w:rsidRPr="00294FDC">
              <w:rPr>
                <w:color w:val="000000"/>
                <w:highlight w:val="black"/>
              </w:rPr>
              <w:t>xxxxxxxxxxxxxxxxxxxxxxxxxxxxxxxxxxxxxxxxxxxx</w:t>
            </w:r>
            <w:r w:rsidR="00315C13">
              <w:rPr>
                <w:color w:val="000000"/>
                <w:highlight w:val="black"/>
              </w:rPr>
              <w:t xml:space="preserve"> </w:t>
            </w:r>
            <w:r w:rsidR="00294FDC" w:rsidRPr="00294FDC">
              <w:rPr>
                <w:color w:val="000000"/>
                <w:highlight w:val="black"/>
              </w:rPr>
              <w:t>xxxxxxxxx</w:t>
            </w:r>
            <w:r w:rsidRPr="00BE44FF">
              <w:t xml:space="preserve"> weight value</w:t>
            </w:r>
            <w:r>
              <w:t>.</w:t>
            </w:r>
          </w:p>
          <w:p w14:paraId="74B7D766" w14:textId="4D8C6C8C" w:rsidR="000B148D" w:rsidRPr="00BE44FF" w:rsidRDefault="000B148D">
            <w:pPr>
              <w:pStyle w:val="Tablebody"/>
              <w:spacing w:after="120"/>
            </w:pPr>
            <w:r w:rsidRPr="00BE44FF">
              <w:rPr>
                <w:b/>
                <w:bCs/>
              </w:rPr>
              <w:t xml:space="preserve">Comparator: </w:t>
            </w:r>
            <w:r w:rsidRPr="00BE44FF">
              <w:t>T</w:t>
            </w:r>
            <w:r w:rsidR="00FE23D9">
              <w:t>PC</w:t>
            </w:r>
            <w:r w:rsidRPr="00BE44FF">
              <w:t xml:space="preserve"> (</w:t>
            </w:r>
            <w:r>
              <w:t>N=184</w:t>
            </w:r>
            <w:r w:rsidRPr="00BE44FF">
              <w:t>) from 5 options: capecitabine, eribulin, gemcitabine, paclitaxel and nab-paclitaxel.</w:t>
            </w:r>
          </w:p>
          <w:p w14:paraId="4BCF6681" w14:textId="07FF16CA" w:rsidR="000B148D" w:rsidRPr="00BE44FF" w:rsidRDefault="000B148D" w:rsidP="00954359">
            <w:pPr>
              <w:pStyle w:val="Tablebody"/>
              <w:numPr>
                <w:ilvl w:val="0"/>
                <w:numId w:val="43"/>
              </w:numPr>
              <w:spacing w:after="120"/>
              <w:ind w:left="171" w:hanging="141"/>
            </w:pPr>
            <w:r w:rsidRPr="00BE44FF">
              <w:t>Capecitabine (</w:t>
            </w:r>
            <w:r>
              <w:t>N=</w:t>
            </w:r>
            <w:r w:rsidRPr="00BE44FF">
              <w:t>3</w:t>
            </w:r>
            <w:r>
              <w:t>7</w:t>
            </w:r>
            <w:r w:rsidRPr="00BE44FF">
              <w:t xml:space="preserve">) was administered at a dose of </w:t>
            </w:r>
            <w:r w:rsidR="00294FDC" w:rsidRPr="00294FDC">
              <w:rPr>
                <w:color w:val="000000"/>
                <w:highlight w:val="black"/>
              </w:rPr>
              <w:t>xxxxxxxxxxxxxxxxxxx</w:t>
            </w:r>
            <w:r w:rsidR="003D78AE">
              <w:rPr>
                <w:color w:val="000000"/>
                <w:highlight w:val="black"/>
              </w:rPr>
              <w:t xml:space="preserve"> </w:t>
            </w:r>
            <w:r w:rsidR="00294FDC" w:rsidRPr="00294FDC">
              <w:rPr>
                <w:color w:val="000000"/>
                <w:highlight w:val="black"/>
              </w:rPr>
              <w:t>xxxxxxxxxxxxxxxxxxxxxxxxxxxxxxxxxxxxxxxxxxxxxxx</w:t>
            </w:r>
            <w:r w:rsidRPr="00BE44FF">
              <w:t xml:space="preserve">. </w:t>
            </w:r>
          </w:p>
          <w:p w14:paraId="6E9C45D7" w14:textId="59FAA533" w:rsidR="000B148D" w:rsidRPr="00BE44FF" w:rsidRDefault="000B148D" w:rsidP="00954359">
            <w:pPr>
              <w:pStyle w:val="Tablebody"/>
              <w:numPr>
                <w:ilvl w:val="0"/>
                <w:numId w:val="43"/>
              </w:numPr>
              <w:spacing w:after="120"/>
              <w:ind w:left="171" w:hanging="141"/>
            </w:pPr>
            <w:r w:rsidRPr="00BE44FF">
              <w:lastRenderedPageBreak/>
              <w:t>Eribulin (</w:t>
            </w:r>
            <w:r>
              <w:t>N=94</w:t>
            </w:r>
            <w:r w:rsidRPr="00BE44FF">
              <w:t xml:space="preserve">) was administered at a dose of </w:t>
            </w:r>
            <w:r w:rsidR="00294FDC" w:rsidRPr="00294FDC">
              <w:rPr>
                <w:color w:val="000000"/>
                <w:highlight w:val="black"/>
              </w:rPr>
              <w:t>xxxxxxxxxxxxxxxxxxxxx</w:t>
            </w:r>
            <w:r w:rsidR="0014705A">
              <w:rPr>
                <w:color w:val="000000"/>
                <w:highlight w:val="black"/>
              </w:rPr>
              <w:t xml:space="preserve"> </w:t>
            </w:r>
            <w:r w:rsidR="00294FDC" w:rsidRPr="00294FDC">
              <w:rPr>
                <w:color w:val="000000"/>
                <w:highlight w:val="black"/>
              </w:rPr>
              <w:t>xxxxxxxxxxxx</w:t>
            </w:r>
            <w:r w:rsidR="003D78AE">
              <w:rPr>
                <w:color w:val="000000"/>
                <w:highlight w:val="black"/>
              </w:rPr>
              <w:t xml:space="preserve"> </w:t>
            </w:r>
            <w:r w:rsidR="00294FDC" w:rsidRPr="00294FDC">
              <w:rPr>
                <w:color w:val="000000"/>
                <w:highlight w:val="black"/>
              </w:rPr>
              <w:t>xxxxxxxxxxxxxxxxxxxxxxxxxx</w:t>
            </w:r>
            <w:r w:rsidRPr="00BE44FF">
              <w:t xml:space="preserve">. </w:t>
            </w:r>
          </w:p>
          <w:p w14:paraId="7C304748" w14:textId="73302285" w:rsidR="000B148D" w:rsidRPr="00BE44FF" w:rsidRDefault="000B148D" w:rsidP="00954359">
            <w:pPr>
              <w:pStyle w:val="Tablebody"/>
              <w:numPr>
                <w:ilvl w:val="0"/>
                <w:numId w:val="43"/>
              </w:numPr>
              <w:spacing w:after="120"/>
              <w:ind w:left="171" w:hanging="141"/>
            </w:pPr>
            <w:r w:rsidRPr="00BE44FF">
              <w:t>Gemcitabine (</w:t>
            </w:r>
            <w:r>
              <w:t>N=</w:t>
            </w:r>
            <w:r w:rsidRPr="00BE44FF">
              <w:t>1</w:t>
            </w:r>
            <w:r>
              <w:t>9</w:t>
            </w:r>
            <w:r w:rsidRPr="00BE44FF">
              <w:t xml:space="preserve">) was administered at a dose of </w:t>
            </w:r>
            <w:r w:rsidR="00294FDC" w:rsidRPr="00294FDC">
              <w:rPr>
                <w:color w:val="000000"/>
                <w:highlight w:val="black"/>
              </w:rPr>
              <w:t>xxxxxxxxxxxxxxxxxxxxxxxxxxxxxxxxxxxxxxxxxxxxxxxxxxxxxxxxxxxxxxxxxxxxxxxxxxxxxxxxxxxxxxxxxxxxxxx</w:t>
            </w:r>
            <w:r w:rsidR="003D78AE">
              <w:rPr>
                <w:color w:val="000000"/>
                <w:highlight w:val="black"/>
              </w:rPr>
              <w:t xml:space="preserve"> </w:t>
            </w:r>
            <w:r w:rsidR="00294FDC" w:rsidRPr="00294FDC">
              <w:rPr>
                <w:color w:val="000000"/>
                <w:highlight w:val="black"/>
              </w:rPr>
              <w:t>xxxxxxxxxxxxxxxxx</w:t>
            </w:r>
            <w:r w:rsidRPr="00BE44FF">
              <w:t>.</w:t>
            </w:r>
          </w:p>
          <w:p w14:paraId="632B90DC" w14:textId="18A92F45" w:rsidR="000B148D" w:rsidRPr="00BE44FF" w:rsidRDefault="000B148D" w:rsidP="00954359">
            <w:pPr>
              <w:pStyle w:val="Tablebody"/>
              <w:numPr>
                <w:ilvl w:val="0"/>
                <w:numId w:val="43"/>
              </w:numPr>
              <w:spacing w:after="120"/>
              <w:ind w:left="171" w:hanging="141"/>
            </w:pPr>
            <w:r w:rsidRPr="00BE44FF">
              <w:t>Paclitaxel (</w:t>
            </w:r>
            <w:r>
              <w:t>N=</w:t>
            </w:r>
            <w:r w:rsidRPr="00BE44FF">
              <w:t>1</w:t>
            </w:r>
            <w:r>
              <w:t>5</w:t>
            </w:r>
            <w:r w:rsidRPr="00BE44FF">
              <w:t xml:space="preserve">) was either administered at a dose of </w:t>
            </w:r>
            <w:r w:rsidR="00294FDC" w:rsidRPr="00294FDC">
              <w:rPr>
                <w:color w:val="000000"/>
                <w:highlight w:val="black"/>
              </w:rPr>
              <w:t>xxxxxxxxxxxxxxxxxxxxxxxxxxxxxxxxxxxxxxxxxxxxxxxxxxxxxxxxxxxxxxxxxxxxxxxxxxxxxxxxxxxxxxxxxxxxxxxxxxxxxx</w:t>
            </w:r>
            <w:r w:rsidR="003D78AE">
              <w:rPr>
                <w:color w:val="000000"/>
                <w:highlight w:val="black"/>
              </w:rPr>
              <w:t xml:space="preserve"> </w:t>
            </w:r>
            <w:r w:rsidR="00294FDC" w:rsidRPr="00294FDC">
              <w:rPr>
                <w:color w:val="000000"/>
                <w:highlight w:val="black"/>
              </w:rPr>
              <w:t>xxxxxxxxxxxxxxxxxxx</w:t>
            </w:r>
            <w:r w:rsidRPr="00BE44FF">
              <w:t>.</w:t>
            </w:r>
          </w:p>
          <w:p w14:paraId="196143EE" w14:textId="7FA08DA2" w:rsidR="000B148D" w:rsidRPr="00BE44FF" w:rsidRDefault="000B148D" w:rsidP="00954359">
            <w:pPr>
              <w:pStyle w:val="Tablebody"/>
              <w:numPr>
                <w:ilvl w:val="0"/>
                <w:numId w:val="43"/>
              </w:numPr>
              <w:spacing w:after="120"/>
              <w:ind w:left="171" w:hanging="141"/>
            </w:pPr>
            <w:r w:rsidRPr="00BE44FF">
              <w:t>Nab-paclitaxel (</w:t>
            </w:r>
            <w:r>
              <w:t>N=</w:t>
            </w:r>
            <w:r w:rsidRPr="00BE44FF">
              <w:t>1</w:t>
            </w:r>
            <w:r>
              <w:t>9</w:t>
            </w:r>
            <w:r w:rsidRPr="00BE44FF">
              <w:t xml:space="preserve">) was either administered at a dose of </w:t>
            </w:r>
            <w:r w:rsidR="00294FDC" w:rsidRPr="00294FDC">
              <w:rPr>
                <w:color w:val="000000"/>
                <w:highlight w:val="black"/>
              </w:rPr>
              <w:t>xxxxxxxxxxxxx</w:t>
            </w:r>
            <w:r w:rsidR="0014705A">
              <w:rPr>
                <w:color w:val="000000"/>
                <w:highlight w:val="black"/>
              </w:rPr>
              <w:t xml:space="preserve"> </w:t>
            </w:r>
            <w:r w:rsidR="00294FDC" w:rsidRPr="00294FDC">
              <w:rPr>
                <w:color w:val="000000"/>
                <w:highlight w:val="black"/>
              </w:rPr>
              <w:t>xxxxxxxxxxxxxxxxxxxxxxxxxxxxxxxxxxxxxxxxxxxxxxxxxxxxxxxxxxxxxxxxxxxxxxxxxxxxxxxxxxxxxxxxxxxxxxxxxxxxxxxxxxxxxxxxxxxxxxxxxxxxxxxxxxx</w:t>
            </w:r>
            <w:r w:rsidRPr="00BE44FF">
              <w:t>.</w:t>
            </w:r>
          </w:p>
        </w:tc>
      </w:tr>
      <w:tr w:rsidR="000B148D" w:rsidRPr="00BE44FF" w14:paraId="17E1DBE0" w14:textId="77777777" w:rsidTr="002475D3">
        <w:trPr>
          <w:trHeight w:val="1671"/>
        </w:trPr>
        <w:tc>
          <w:tcPr>
            <w:tcW w:w="1098" w:type="pct"/>
            <w:vMerge/>
          </w:tcPr>
          <w:p w14:paraId="65EEA41F" w14:textId="77777777" w:rsidR="000B148D" w:rsidRPr="00BE44FF" w:rsidRDefault="000B148D">
            <w:pPr>
              <w:pStyle w:val="Tableheading"/>
            </w:pPr>
          </w:p>
        </w:tc>
        <w:tc>
          <w:tcPr>
            <w:tcW w:w="3902" w:type="pct"/>
            <w:shd w:val="clear" w:color="auto" w:fill="auto"/>
          </w:tcPr>
          <w:p w14:paraId="0F1B18E0" w14:textId="77777777" w:rsidR="000B148D" w:rsidRPr="00BE44FF" w:rsidRDefault="000B148D">
            <w:pPr>
              <w:pStyle w:val="Tablebody"/>
              <w:spacing w:after="120"/>
            </w:pPr>
            <w:r w:rsidRPr="00BE44FF">
              <w:t>Dose modifications for T</w:t>
            </w:r>
            <w:r w:rsidRPr="00BE44FF">
              <w:noBreakHyphen/>
              <w:t>DXd in the event of toxicity were to be made on the basis of AE type, severity, and relatedness to study drug, outlined in the T</w:t>
            </w:r>
            <w:r w:rsidRPr="00BE44FF">
              <w:noBreakHyphen/>
              <w:t>DXd management guideline (</w:t>
            </w:r>
            <w:r w:rsidRPr="00A6448D">
              <w:rPr>
                <w:b/>
                <w:bCs/>
              </w:rPr>
              <w:t>Appendix O</w:t>
            </w:r>
            <w:r w:rsidRPr="00BE44FF">
              <w:t>)</w:t>
            </w:r>
          </w:p>
          <w:p w14:paraId="1D95F429" w14:textId="6576C942" w:rsidR="000B148D" w:rsidRPr="00BE44FF" w:rsidRDefault="000B148D">
            <w:pPr>
              <w:pStyle w:val="Tablebody"/>
              <w:spacing w:after="120"/>
            </w:pPr>
            <w:r w:rsidRPr="00BE44FF">
              <w:t xml:space="preserve">Dose modifications for TPC were made in accordance with the label </w:t>
            </w:r>
            <w:r w:rsidRPr="00FF041D">
              <w:t>approved in the country of drug administration</w:t>
            </w:r>
            <w:r>
              <w:t xml:space="preserve"> </w:t>
            </w:r>
            <w:r w:rsidRPr="00BE44FF">
              <w:t>or NCCN guidelines.</w:t>
            </w:r>
          </w:p>
          <w:p w14:paraId="1CC497DF" w14:textId="77777777" w:rsidR="000B148D" w:rsidRPr="00BE44FF" w:rsidRDefault="000B148D">
            <w:pPr>
              <w:pStyle w:val="Tablebody"/>
              <w:spacing w:after="120"/>
              <w:rPr>
                <w:b/>
                <w:bCs/>
              </w:rPr>
            </w:pPr>
            <w:r w:rsidRPr="00BE44FF">
              <w:rPr>
                <w:b/>
                <w:bCs/>
              </w:rPr>
              <w:t>Dose interruption:</w:t>
            </w:r>
            <w:r w:rsidRPr="00BE44FF">
              <w:t xml:space="preserve"> Both T-DXd and TPC could be delayed/interrupted for up to 28 days from the planned date of administration (49 days from the last infusion date).</w:t>
            </w:r>
            <w:r w:rsidRPr="00BE44FF">
              <w:rPr>
                <w:rFonts w:asciiTheme="minorBidi" w:hAnsiTheme="minorBidi"/>
              </w:rPr>
              <w:t xml:space="preserve"> Patients were to discontinue in the event that their dosing was delayed or interrupted for longer than 28 days (49 days from last infusion date).</w:t>
            </w:r>
          </w:p>
          <w:p w14:paraId="3D030AB9" w14:textId="77777777" w:rsidR="000B148D" w:rsidRPr="00BE44FF" w:rsidRDefault="000B148D">
            <w:pPr>
              <w:pStyle w:val="Tablebody"/>
              <w:spacing w:after="120"/>
            </w:pPr>
            <w:r w:rsidRPr="00BE44FF">
              <w:rPr>
                <w:b/>
                <w:bCs/>
              </w:rPr>
              <w:t>Dose reduction:</w:t>
            </w:r>
            <w:r w:rsidRPr="00BE44FF">
              <w:t xml:space="preserve"> Two dose reduction levels in the event of toxicity were permitted for T</w:t>
            </w:r>
            <w:r w:rsidRPr="00BE44FF">
              <w:noBreakHyphen/>
              <w:t>DXd (4.4 kg/kg and 3.2 mg/kg). Once a reduction was made due to toxicity, all subsequent cycles were at the lower dose level unless further dose reductions were required. Continued toxicity after two dose reductions resulted in discontinuation of T-DXd. For the TPC arm, dose adjustments were made in accordance with the local label or NCCN guidelines</w:t>
            </w:r>
            <w:r>
              <w:t>.</w:t>
            </w:r>
          </w:p>
          <w:p w14:paraId="38BF2456" w14:textId="71457FA7" w:rsidR="000B148D" w:rsidRPr="00BE44FF" w:rsidRDefault="000B148D">
            <w:pPr>
              <w:pStyle w:val="Tablebody"/>
              <w:spacing w:after="120"/>
              <w:rPr>
                <w:b/>
                <w:bCs/>
              </w:rPr>
            </w:pPr>
            <w:r w:rsidRPr="00BE44FF">
              <w:rPr>
                <w:b/>
                <w:bCs/>
              </w:rPr>
              <w:t>Study drug discontinuation:</w:t>
            </w:r>
            <w:r w:rsidRPr="00BE44FF">
              <w:t xml:space="preserve"> Patients were to discontinue T-DXd or TPC for the following reasons: </w:t>
            </w:r>
            <w:r w:rsidR="00294FDC" w:rsidRPr="00294FDC">
              <w:rPr>
                <w:color w:val="000000"/>
                <w:highlight w:val="black"/>
              </w:rPr>
              <w:t>xxxxxxxxxxxxxxxxxxxxxxxxxxxx</w:t>
            </w:r>
            <w:r w:rsidRPr="005B1AD0">
              <w:t xml:space="preserve"> </w:t>
            </w:r>
            <w:r w:rsidR="00294FDC" w:rsidRPr="00294FDC">
              <w:rPr>
                <w:color w:val="000000"/>
                <w:highlight w:val="black"/>
              </w:rPr>
              <w:t>xxxxxxxxxxxxxx</w:t>
            </w:r>
            <w:r w:rsidR="0014705A">
              <w:rPr>
                <w:color w:val="000000"/>
                <w:highlight w:val="black"/>
              </w:rPr>
              <w:t xml:space="preserve"> </w:t>
            </w:r>
            <w:r w:rsidR="00294FDC" w:rsidRPr="00294FDC">
              <w:rPr>
                <w:color w:val="000000"/>
                <w:highlight w:val="black"/>
              </w:rPr>
              <w:t>xxxxxxxxxxxxxxxxx</w:t>
            </w:r>
            <w:r w:rsidR="0002102E">
              <w:rPr>
                <w:color w:val="000000"/>
                <w:highlight w:val="black"/>
              </w:rPr>
              <w:t xml:space="preserve"> </w:t>
            </w:r>
            <w:r w:rsidR="00294FDC" w:rsidRPr="00294FDC">
              <w:rPr>
                <w:color w:val="000000"/>
                <w:highlight w:val="black"/>
              </w:rPr>
              <w:t>xxxxxxxxxxxxxxxxxxxxxx</w:t>
            </w:r>
            <w:r w:rsidRPr="005B1AD0">
              <w:t xml:space="preserve">, </w:t>
            </w:r>
            <w:r w:rsidRPr="00767F83">
              <w:t>but for which</w:t>
            </w:r>
            <w:r w:rsidRPr="00767F83">
              <w:rPr>
                <w:u w:val="single"/>
              </w:rPr>
              <w:t xml:space="preserve"> </w:t>
            </w:r>
            <w:r w:rsidR="00294FDC" w:rsidRPr="00294FDC">
              <w:rPr>
                <w:color w:val="000000"/>
                <w:highlight w:val="black"/>
              </w:rPr>
              <w:t>xxxxxxxxxxxx</w:t>
            </w:r>
            <w:r w:rsidR="0014705A">
              <w:rPr>
                <w:color w:val="000000"/>
                <w:highlight w:val="black"/>
              </w:rPr>
              <w:t xml:space="preserve"> </w:t>
            </w:r>
            <w:r w:rsidR="00294FDC" w:rsidRPr="00294FDC">
              <w:rPr>
                <w:color w:val="000000"/>
                <w:highlight w:val="black"/>
              </w:rPr>
              <w:t>xxxxxxxxxxxxxxxxxxxxx</w:t>
            </w:r>
            <w:r w:rsidR="0002102E">
              <w:rPr>
                <w:color w:val="000000"/>
                <w:highlight w:val="black"/>
              </w:rPr>
              <w:t xml:space="preserve"> </w:t>
            </w:r>
            <w:r w:rsidR="00294FDC" w:rsidRPr="00294FDC">
              <w:rPr>
                <w:color w:val="000000"/>
                <w:highlight w:val="black"/>
              </w:rPr>
              <w:t>xxxxxxxxxxxxxxxxxxxxxxxxxxxxx</w:t>
            </w:r>
            <w:r w:rsidRPr="005B1AD0">
              <w:t xml:space="preserve">), </w:t>
            </w:r>
            <w:r w:rsidRPr="00ED640D">
              <w:t xml:space="preserve">AEs requiring discontinuation </w:t>
            </w:r>
            <w:r w:rsidR="00930998">
              <w:t>(</w:t>
            </w:r>
            <w:r w:rsidRPr="00A6448D">
              <w:rPr>
                <w:b/>
                <w:bCs/>
              </w:rPr>
              <w:t>Appendix M</w:t>
            </w:r>
            <w:r w:rsidRPr="00ED640D">
              <w:t>), or death</w:t>
            </w:r>
            <w:r>
              <w:t>.</w:t>
            </w:r>
            <w:r w:rsidRPr="00BE44FF">
              <w:rPr>
                <w:rFonts w:cs="Arial"/>
                <w:vertAlign w:val="superscript"/>
              </w:rPr>
              <w:t>†</w:t>
            </w:r>
            <w:r w:rsidRPr="00BE44FF">
              <w:rPr>
                <w:rFonts w:asciiTheme="minorBidi" w:hAnsiTheme="minorBidi"/>
                <w:vertAlign w:val="superscript"/>
              </w:rPr>
              <w:t>†</w:t>
            </w:r>
            <w:r w:rsidRPr="00BE44FF">
              <w:rPr>
                <w:rFonts w:asciiTheme="minorBidi" w:hAnsiTheme="minorBidi"/>
              </w:rPr>
              <w:t xml:space="preserve"> </w:t>
            </w:r>
          </w:p>
        </w:tc>
      </w:tr>
      <w:tr w:rsidR="000B148D" w:rsidRPr="00BE44FF" w14:paraId="1256998B" w14:textId="77777777" w:rsidTr="002475D3">
        <w:tc>
          <w:tcPr>
            <w:tcW w:w="1098" w:type="pct"/>
            <w:shd w:val="clear" w:color="auto" w:fill="D9D9D9" w:themeFill="background1" w:themeFillShade="D9"/>
          </w:tcPr>
          <w:p w14:paraId="4EBCD1AD" w14:textId="77777777" w:rsidR="000B148D" w:rsidRPr="00BE44FF" w:rsidRDefault="000B148D">
            <w:pPr>
              <w:pStyle w:val="Tableheading"/>
            </w:pPr>
            <w:r w:rsidRPr="00BE44FF">
              <w:t>Concomitant medication</w:t>
            </w:r>
          </w:p>
        </w:tc>
        <w:tc>
          <w:tcPr>
            <w:tcW w:w="3902" w:type="pct"/>
            <w:shd w:val="clear" w:color="auto" w:fill="auto"/>
          </w:tcPr>
          <w:p w14:paraId="3CC4C79E" w14:textId="38C84C8D" w:rsidR="000B148D" w:rsidRPr="00BE44FF" w:rsidRDefault="000B148D">
            <w:pPr>
              <w:pStyle w:val="Tablebody"/>
            </w:pPr>
            <w:r w:rsidRPr="00BE44FF">
              <w:rPr>
                <w:b/>
                <w:bCs/>
              </w:rPr>
              <w:t xml:space="preserve">Permitted concomitant medication: </w:t>
            </w:r>
            <w:r w:rsidRPr="00BE44FF">
              <w:t xml:space="preserve">Prophylactic treatment of </w:t>
            </w:r>
            <w:r w:rsidR="00294FDC" w:rsidRPr="00294FDC">
              <w:rPr>
                <w:color w:val="000000"/>
                <w:highlight w:val="black"/>
              </w:rPr>
              <w:t>xxxxxxxxxxxxxxxxxxx</w:t>
            </w:r>
            <w:r w:rsidR="0002102E">
              <w:rPr>
                <w:color w:val="000000"/>
                <w:highlight w:val="black"/>
              </w:rPr>
              <w:t xml:space="preserve"> </w:t>
            </w:r>
            <w:r w:rsidR="00294FDC" w:rsidRPr="00294FDC">
              <w:rPr>
                <w:color w:val="000000"/>
                <w:highlight w:val="black"/>
              </w:rPr>
              <w:t>xxxxxxxxxxxxxxxxxxx</w:t>
            </w:r>
            <w:r w:rsidRPr="00BE44FF">
              <w:t xml:space="preserve"> was per </w:t>
            </w:r>
            <w:r w:rsidR="00294FDC" w:rsidRPr="00294FDC">
              <w:rPr>
                <w:color w:val="000000"/>
                <w:highlight w:val="black"/>
              </w:rPr>
              <w:t>xxxxxxxxxxxxxxxxx</w:t>
            </w:r>
            <w:r w:rsidR="00A748BB">
              <w:rPr>
                <w:color w:val="000000"/>
                <w:highlight w:val="black"/>
              </w:rPr>
              <w:t xml:space="preserve"> </w:t>
            </w:r>
            <w:r w:rsidR="00294FDC" w:rsidRPr="00294FDC">
              <w:rPr>
                <w:color w:val="000000"/>
                <w:highlight w:val="black"/>
              </w:rPr>
              <w:t>xxxxxxxx</w:t>
            </w:r>
            <w:r w:rsidRPr="00BE44FF">
              <w:t xml:space="preserve"> and </w:t>
            </w:r>
            <w:r w:rsidR="00294FDC" w:rsidRPr="00294FDC">
              <w:rPr>
                <w:color w:val="000000"/>
                <w:highlight w:val="black"/>
              </w:rPr>
              <w:t>xxxxxxxxxxxx</w:t>
            </w:r>
            <w:r w:rsidR="0002102E">
              <w:rPr>
                <w:color w:val="000000"/>
                <w:highlight w:val="black"/>
              </w:rPr>
              <w:t xml:space="preserve"> </w:t>
            </w:r>
            <w:r w:rsidR="00294FDC" w:rsidRPr="00294FDC">
              <w:rPr>
                <w:color w:val="000000"/>
                <w:highlight w:val="black"/>
              </w:rPr>
              <w:t>xxxxx</w:t>
            </w:r>
            <w:r w:rsidR="0002102E">
              <w:rPr>
                <w:color w:val="000000"/>
                <w:highlight w:val="black"/>
              </w:rPr>
              <w:t xml:space="preserve"> </w:t>
            </w:r>
            <w:r w:rsidR="00294FDC" w:rsidRPr="00294FDC">
              <w:rPr>
                <w:color w:val="000000"/>
                <w:highlight w:val="black"/>
              </w:rPr>
              <w:t>xxxxxxx</w:t>
            </w:r>
            <w:r w:rsidRPr="00BE44FF">
              <w:t xml:space="preserve">. </w:t>
            </w:r>
            <w:r w:rsidR="00294FDC" w:rsidRPr="00294FDC">
              <w:rPr>
                <w:color w:val="000000"/>
                <w:highlight w:val="black"/>
              </w:rPr>
              <w:t>xxxxxxxxxxxxxxxxxxxxxxxxxxxxx</w:t>
            </w:r>
            <w:r w:rsidRPr="00BE44FF">
              <w:t xml:space="preserve"> could be used for </w:t>
            </w:r>
            <w:r w:rsidR="00294FDC" w:rsidRPr="00294FDC">
              <w:rPr>
                <w:color w:val="000000"/>
                <w:highlight w:val="black"/>
              </w:rPr>
              <w:t>xxxxxxxxxxxxxxxxxxxxx</w:t>
            </w:r>
            <w:r w:rsidRPr="00BE44FF">
              <w:t xml:space="preserve"> based on </w:t>
            </w:r>
            <w:r w:rsidR="00294FDC" w:rsidRPr="00294FDC">
              <w:rPr>
                <w:color w:val="000000"/>
                <w:highlight w:val="black"/>
              </w:rPr>
              <w:t>xxxxxxxxxxxxxxxxxxxx</w:t>
            </w:r>
            <w:r w:rsidRPr="00BE44FF">
              <w:t xml:space="preserve"> (except within </w:t>
            </w:r>
            <w:r w:rsidR="00294FDC" w:rsidRPr="00294FDC">
              <w:rPr>
                <w:color w:val="000000"/>
                <w:highlight w:val="black"/>
              </w:rPr>
              <w:t>xxxxxxxx</w:t>
            </w:r>
            <w:r w:rsidR="0002102E">
              <w:rPr>
                <w:color w:val="000000"/>
                <w:highlight w:val="black"/>
              </w:rPr>
              <w:t xml:space="preserve"> </w:t>
            </w:r>
            <w:r w:rsidR="00294FDC" w:rsidRPr="00294FDC">
              <w:rPr>
                <w:color w:val="000000"/>
                <w:highlight w:val="black"/>
              </w:rPr>
              <w:t>xxxxxxxxxxxxxxxxx</w:t>
            </w:r>
            <w:r w:rsidRPr="00BE44FF">
              <w:t>)</w:t>
            </w:r>
          </w:p>
          <w:p w14:paraId="642AD635" w14:textId="1B4E5B29" w:rsidR="000B148D" w:rsidRPr="00BE44FF" w:rsidRDefault="000B148D">
            <w:pPr>
              <w:pStyle w:val="Tablebody"/>
            </w:pPr>
            <w:r w:rsidRPr="00BE44FF">
              <w:t xml:space="preserve">Based on currently available clinical safety data, </w:t>
            </w:r>
            <w:r w:rsidR="00294FDC" w:rsidRPr="00294FDC">
              <w:rPr>
                <w:color w:val="000000"/>
                <w:highlight w:val="black"/>
              </w:rPr>
              <w:t>xxxxxxxxxxxxxxxxxxxxxxxx</w:t>
            </w:r>
            <w:r w:rsidRPr="00BE44FF">
              <w:t xml:space="preserve"> were recommended </w:t>
            </w:r>
            <w:r w:rsidR="00294FDC" w:rsidRPr="00294FDC">
              <w:rPr>
                <w:color w:val="000000"/>
                <w:highlight w:val="black"/>
              </w:rPr>
              <w:t>xxxxxxxxxxxxxxxxxxxxx</w:t>
            </w:r>
            <w:r w:rsidRPr="00BE44FF">
              <w:t xml:space="preserve"> to T</w:t>
            </w:r>
            <w:r w:rsidRPr="00BE44FF">
              <w:noBreakHyphen/>
              <w:t>DXd infusions</w:t>
            </w:r>
          </w:p>
          <w:p w14:paraId="5A6898FA" w14:textId="2AAAF1CF" w:rsidR="000B148D" w:rsidRDefault="000B148D">
            <w:pPr>
              <w:pStyle w:val="Tablebody"/>
            </w:pPr>
            <w:r w:rsidRPr="00BE44FF">
              <w:t xml:space="preserve">Concomitant use of dietary supplements, medications </w:t>
            </w:r>
            <w:r w:rsidR="00294FDC" w:rsidRPr="00294FDC">
              <w:rPr>
                <w:color w:val="000000"/>
                <w:highlight w:val="black"/>
              </w:rPr>
              <w:t>xxxxxxxxxxxxxxxxxxxxxxxxxxx</w:t>
            </w:r>
            <w:r w:rsidRPr="00BE44FF">
              <w:t xml:space="preserve">, and </w:t>
            </w:r>
            <w:r w:rsidR="00294FDC" w:rsidRPr="00294FDC">
              <w:rPr>
                <w:color w:val="000000"/>
                <w:highlight w:val="black"/>
              </w:rPr>
              <w:t>xxxxxxxxxxxxxxxxxxxxxxxxxxxxxxxxxxxx</w:t>
            </w:r>
            <w:r w:rsidRPr="00BE44FF">
              <w:t xml:space="preserve"> were discouraged but not prohibited</w:t>
            </w:r>
          </w:p>
          <w:p w14:paraId="79C193F8" w14:textId="124B73D0" w:rsidR="000B148D" w:rsidRPr="00306434" w:rsidRDefault="000B148D">
            <w:pPr>
              <w:pStyle w:val="Tablebody"/>
              <w:spacing w:after="120"/>
            </w:pPr>
            <w:r w:rsidRPr="00BE44FF">
              <w:rPr>
                <w:b/>
                <w:bCs/>
              </w:rPr>
              <w:t>Prohibited concomitant medication:</w:t>
            </w:r>
            <w:r w:rsidRPr="00BE44FF">
              <w:t xml:space="preserve"> </w:t>
            </w:r>
            <w:r w:rsidRPr="00B55345">
              <w:t xml:space="preserve">Other anti-cancer therapy, </w:t>
            </w:r>
            <w:r w:rsidR="00294FDC" w:rsidRPr="00294FDC">
              <w:rPr>
                <w:color w:val="000000"/>
                <w:highlight w:val="black"/>
              </w:rPr>
              <w:t>xxxxxxxxxxxxxxxxxxxxxxxxxxxxxxxxxxxx</w:t>
            </w:r>
            <w:r w:rsidRPr="00B55345">
              <w:t xml:space="preserve">, </w:t>
            </w:r>
            <w:r w:rsidR="00294FDC" w:rsidRPr="00294FDC">
              <w:rPr>
                <w:color w:val="000000"/>
                <w:highlight w:val="black"/>
              </w:rPr>
              <w:t>xxxxxxxxxxxxx</w:t>
            </w:r>
            <w:r w:rsidRPr="00B55345">
              <w:t xml:space="preserve">, </w:t>
            </w:r>
            <w:r w:rsidR="00294FDC" w:rsidRPr="00294FDC">
              <w:rPr>
                <w:color w:val="000000"/>
                <w:highlight w:val="black"/>
              </w:rPr>
              <w:t>xxxxxxxx</w:t>
            </w:r>
            <w:r w:rsidRPr="00B55345">
              <w:t xml:space="preserve">, </w:t>
            </w:r>
            <w:r w:rsidR="00294FDC" w:rsidRPr="00294FDC">
              <w:rPr>
                <w:color w:val="000000"/>
                <w:highlight w:val="black"/>
              </w:rPr>
              <w:t>xxxxxxx</w:t>
            </w:r>
            <w:r w:rsidRPr="00B55345">
              <w:t xml:space="preserve">, or </w:t>
            </w:r>
            <w:r w:rsidR="00294FDC" w:rsidRPr="00294FDC">
              <w:rPr>
                <w:color w:val="000000"/>
                <w:highlight w:val="black"/>
              </w:rPr>
              <w:t>xxxxxxxxxxxxxxxxxxxxxxxxxxxxxx</w:t>
            </w:r>
            <w:r w:rsidRPr="0002102E">
              <w:rPr>
                <w:highlight w:val="black"/>
              </w:rPr>
              <w:t xml:space="preserve"> (</w:t>
            </w:r>
            <w:r w:rsidRPr="00B55345">
              <w:t xml:space="preserve">concurrent use of </w:t>
            </w:r>
            <w:r w:rsidR="00294FDC" w:rsidRPr="00294FDC">
              <w:rPr>
                <w:color w:val="000000"/>
                <w:highlight w:val="black"/>
              </w:rPr>
              <w:t>xxxxxxxxxxxxxxxxxx</w:t>
            </w:r>
            <w:r w:rsidR="0002102E">
              <w:rPr>
                <w:color w:val="000000"/>
                <w:highlight w:val="black"/>
              </w:rPr>
              <w:t xml:space="preserve"> </w:t>
            </w:r>
            <w:r w:rsidR="00294FDC" w:rsidRPr="00294FDC">
              <w:rPr>
                <w:color w:val="000000"/>
                <w:highlight w:val="black"/>
              </w:rPr>
              <w:t>xxxxxxxxxxxxxxxxxxxxxxxxx</w:t>
            </w:r>
            <w:r w:rsidRPr="00B55345">
              <w:t xml:space="preserve">); </w:t>
            </w:r>
            <w:r w:rsidR="00294FDC" w:rsidRPr="00294FDC">
              <w:rPr>
                <w:color w:val="000000"/>
                <w:highlight w:val="black"/>
              </w:rPr>
              <w:t>xxxxxxxxxxxxxxxxxxxxxxxxxxxxxxxxxxxxxxxx</w:t>
            </w:r>
            <w:r w:rsidRPr="00B55345">
              <w:t xml:space="preserve">; </w:t>
            </w:r>
            <w:r w:rsidR="00294FDC" w:rsidRPr="00294FDC">
              <w:rPr>
                <w:color w:val="000000"/>
                <w:highlight w:val="black"/>
              </w:rPr>
              <w:t>xxx</w:t>
            </w:r>
            <w:r w:rsidR="0002102E">
              <w:rPr>
                <w:color w:val="000000"/>
                <w:highlight w:val="black"/>
              </w:rPr>
              <w:t xml:space="preserve"> </w:t>
            </w:r>
            <w:r w:rsidR="00294FDC" w:rsidRPr="00294FDC">
              <w:rPr>
                <w:color w:val="000000"/>
                <w:highlight w:val="black"/>
              </w:rPr>
              <w:t>xxxxxxxxx</w:t>
            </w:r>
            <w:r w:rsidRPr="00B55345">
              <w:t xml:space="preserve">or </w:t>
            </w:r>
            <w:r w:rsidR="00294FDC" w:rsidRPr="00294FDC">
              <w:rPr>
                <w:color w:val="000000"/>
                <w:highlight w:val="black"/>
              </w:rPr>
              <w:t>xxxxxxxxxxxxxxxxxx</w:t>
            </w:r>
            <w:r w:rsidRPr="00B55345">
              <w:t xml:space="preserve">; </w:t>
            </w:r>
            <w:r w:rsidR="00294FDC" w:rsidRPr="00294FDC">
              <w:rPr>
                <w:color w:val="000000"/>
                <w:highlight w:val="black"/>
              </w:rPr>
              <w:t>xxxxxxxxxxxxxxxxxxxxxxx</w:t>
            </w:r>
            <w:r w:rsidRPr="00B55345">
              <w:t xml:space="preserve">or any </w:t>
            </w:r>
            <w:r w:rsidR="00294FDC" w:rsidRPr="00294FDC">
              <w:rPr>
                <w:color w:val="000000"/>
                <w:highlight w:val="black"/>
              </w:rPr>
              <w:t>xxx</w:t>
            </w:r>
            <w:r w:rsidR="00A748BB">
              <w:rPr>
                <w:color w:val="000000"/>
                <w:highlight w:val="black"/>
              </w:rPr>
              <w:t xml:space="preserve"> </w:t>
            </w:r>
            <w:r w:rsidR="00294FDC" w:rsidRPr="00294FDC">
              <w:rPr>
                <w:color w:val="000000"/>
                <w:highlight w:val="black"/>
              </w:rPr>
              <w:t>xxxxx</w:t>
            </w:r>
            <w:r w:rsidR="0002102E">
              <w:rPr>
                <w:color w:val="000000"/>
                <w:highlight w:val="black"/>
              </w:rPr>
              <w:t xml:space="preserve"> </w:t>
            </w:r>
            <w:r w:rsidR="00294FDC" w:rsidRPr="00294FDC">
              <w:rPr>
                <w:color w:val="000000"/>
                <w:highlight w:val="black"/>
              </w:rPr>
              <w:t>xxxxxxxxxxxxxxxxxxxxxxxxxxxxxxxxxxxxxxxxxxxxxxxxxxxxxxxxxx</w:t>
            </w:r>
            <w:r w:rsidRPr="00B55345">
              <w:t xml:space="preserve">; </w:t>
            </w:r>
            <w:r w:rsidR="00294FDC" w:rsidRPr="00294FDC">
              <w:rPr>
                <w:color w:val="000000"/>
                <w:highlight w:val="black"/>
              </w:rPr>
              <w:t>xxxxxxxxxxxxxxxx</w:t>
            </w:r>
            <w:r w:rsidR="0002102E">
              <w:rPr>
                <w:color w:val="000000"/>
                <w:highlight w:val="black"/>
              </w:rPr>
              <w:t xml:space="preserve"> </w:t>
            </w:r>
            <w:r w:rsidR="00294FDC" w:rsidRPr="00294FDC">
              <w:rPr>
                <w:color w:val="000000"/>
                <w:highlight w:val="black"/>
              </w:rPr>
              <w:t>xxxxxxxxxxxxxxxxxxxxxxxxxxxxx</w:t>
            </w:r>
            <w:r w:rsidRPr="00B55345">
              <w:t xml:space="preserve"> or </w:t>
            </w:r>
            <w:r w:rsidR="00294FDC" w:rsidRPr="00294FDC">
              <w:rPr>
                <w:color w:val="000000"/>
                <w:highlight w:val="black"/>
              </w:rPr>
              <w:t>xxxxxxxxxxxxxxxxxx</w:t>
            </w:r>
            <w:r w:rsidR="00B65C82">
              <w:rPr>
                <w:color w:val="000000"/>
                <w:highlight w:val="black"/>
              </w:rPr>
              <w:t xml:space="preserve"> </w:t>
            </w:r>
            <w:r w:rsidR="00294FDC" w:rsidRPr="00294FDC">
              <w:rPr>
                <w:color w:val="000000"/>
                <w:highlight w:val="black"/>
              </w:rPr>
              <w:t>xxxxxxxxxxxxxxx</w:t>
            </w:r>
            <w:r w:rsidR="005C45F0">
              <w:rPr>
                <w:color w:val="000000"/>
                <w:highlight w:val="black"/>
              </w:rPr>
              <w:t xml:space="preserve"> </w:t>
            </w:r>
            <w:r w:rsidR="00294FDC" w:rsidRPr="00294FDC">
              <w:rPr>
                <w:color w:val="000000"/>
                <w:highlight w:val="black"/>
              </w:rPr>
              <w:t>xxxxxxxxxxxxxxxxxxxxxxxxxx</w:t>
            </w:r>
            <w:r w:rsidRPr="00B55345">
              <w:t>,</w:t>
            </w:r>
            <w:r w:rsidRPr="00B55345">
              <w:rPr>
                <w:rFonts w:asciiTheme="minorBidi" w:hAnsiTheme="minorBidi"/>
                <w:vertAlign w:val="superscript"/>
              </w:rPr>
              <w:t>‡‡</w:t>
            </w:r>
            <w:r w:rsidRPr="00B55345">
              <w:t xml:space="preserve"> or (for the T</w:t>
            </w:r>
            <w:r>
              <w:t>PC</w:t>
            </w:r>
            <w:r w:rsidRPr="00B55345">
              <w:t xml:space="preserve"> arm) any products prohibited by the </w:t>
            </w:r>
            <w:r>
              <w:t xml:space="preserve">relevant </w:t>
            </w:r>
            <w:r w:rsidRPr="00B55345">
              <w:t>local label</w:t>
            </w:r>
            <w:r>
              <w:t>.</w:t>
            </w:r>
          </w:p>
        </w:tc>
      </w:tr>
      <w:tr w:rsidR="000B148D" w:rsidRPr="00BE44FF" w14:paraId="7E165247" w14:textId="77777777" w:rsidTr="002475D3">
        <w:tc>
          <w:tcPr>
            <w:tcW w:w="1098" w:type="pct"/>
            <w:shd w:val="clear" w:color="auto" w:fill="D9D9D9" w:themeFill="background1" w:themeFillShade="D9"/>
          </w:tcPr>
          <w:p w14:paraId="1F4D1422" w14:textId="77777777" w:rsidR="000B148D" w:rsidRPr="00BE44FF" w:rsidRDefault="000B148D">
            <w:pPr>
              <w:pStyle w:val="Tableheading"/>
            </w:pPr>
            <w:r w:rsidRPr="00BE44FF">
              <w:lastRenderedPageBreak/>
              <w:t>Primary outcomes</w:t>
            </w:r>
          </w:p>
        </w:tc>
        <w:tc>
          <w:tcPr>
            <w:tcW w:w="3902" w:type="pct"/>
            <w:shd w:val="clear" w:color="auto" w:fill="auto"/>
          </w:tcPr>
          <w:p w14:paraId="6B0A1D63" w14:textId="499C0922" w:rsidR="000B148D" w:rsidRPr="00BE44FF" w:rsidRDefault="000B148D">
            <w:pPr>
              <w:pStyle w:val="Tablebody"/>
            </w:pPr>
            <w:r w:rsidRPr="00BE44FF">
              <w:t xml:space="preserve">PFS by BICR in the HR-positive cohort (see </w:t>
            </w:r>
            <w:r w:rsidRPr="003607A0">
              <w:rPr>
                <w:b/>
                <w:bCs/>
              </w:rPr>
              <w:t>Sect</w:t>
            </w:r>
            <w:r w:rsidR="003607A0" w:rsidRPr="003607A0">
              <w:rPr>
                <w:b/>
                <w:bCs/>
              </w:rPr>
              <w:t xml:space="preserve">ion </w:t>
            </w:r>
            <w:r w:rsidR="003607A0" w:rsidRPr="003607A0">
              <w:rPr>
                <w:b/>
                <w:bCs/>
              </w:rPr>
              <w:fldChar w:fldCharType="begin"/>
            </w:r>
            <w:r w:rsidR="003607A0" w:rsidRPr="003607A0">
              <w:rPr>
                <w:b/>
                <w:bCs/>
              </w:rPr>
              <w:instrText xml:space="preserve"> REF _Ref95474053 \n \h </w:instrText>
            </w:r>
            <w:r w:rsidR="003607A0">
              <w:rPr>
                <w:b/>
                <w:bCs/>
              </w:rPr>
              <w:instrText xml:space="preserve"> \* MERGEFORMAT </w:instrText>
            </w:r>
            <w:r w:rsidR="003607A0" w:rsidRPr="003607A0">
              <w:rPr>
                <w:b/>
                <w:bCs/>
              </w:rPr>
            </w:r>
            <w:r w:rsidR="003607A0" w:rsidRPr="003607A0">
              <w:rPr>
                <w:b/>
                <w:bCs/>
              </w:rPr>
              <w:fldChar w:fldCharType="separate"/>
            </w:r>
            <w:r w:rsidR="00145F42">
              <w:rPr>
                <w:b/>
                <w:bCs/>
              </w:rPr>
              <w:t>B.2.4.2</w:t>
            </w:r>
            <w:r w:rsidR="003607A0" w:rsidRPr="003607A0">
              <w:rPr>
                <w:b/>
                <w:bCs/>
              </w:rPr>
              <w:fldChar w:fldCharType="end"/>
            </w:r>
            <w:r w:rsidR="003607A0">
              <w:t xml:space="preserve"> </w:t>
            </w:r>
            <w:r w:rsidRPr="00BE44FF">
              <w:t xml:space="preserve">for further details of outcomes and </w:t>
            </w:r>
            <w:r w:rsidRPr="003607A0">
              <w:rPr>
                <w:b/>
                <w:bCs/>
              </w:rPr>
              <w:t xml:space="preserve">Section </w:t>
            </w:r>
            <w:r w:rsidRPr="003607A0">
              <w:rPr>
                <w:b/>
                <w:bCs/>
              </w:rPr>
              <w:fldChar w:fldCharType="begin"/>
            </w:r>
            <w:r w:rsidRPr="003607A0">
              <w:rPr>
                <w:b/>
                <w:bCs/>
              </w:rPr>
              <w:instrText xml:space="preserve"> REF _Ref95474345 \r \h  \* MERGEFORMAT </w:instrText>
            </w:r>
            <w:r w:rsidRPr="003607A0">
              <w:rPr>
                <w:b/>
                <w:bCs/>
              </w:rPr>
            </w:r>
            <w:r w:rsidRPr="003607A0">
              <w:rPr>
                <w:b/>
                <w:bCs/>
              </w:rPr>
              <w:fldChar w:fldCharType="separate"/>
            </w:r>
            <w:r w:rsidR="00145F42">
              <w:rPr>
                <w:b/>
                <w:bCs/>
              </w:rPr>
              <w:t>B.2.4.1</w:t>
            </w:r>
            <w:r w:rsidRPr="003607A0">
              <w:rPr>
                <w:b/>
                <w:bCs/>
              </w:rPr>
              <w:fldChar w:fldCharType="end"/>
            </w:r>
            <w:r w:rsidRPr="00BE44FF">
              <w:t xml:space="preserve"> for details of analysis sets)</w:t>
            </w:r>
          </w:p>
        </w:tc>
      </w:tr>
      <w:tr w:rsidR="000B148D" w:rsidRPr="00BE44FF" w14:paraId="54DD7F1C" w14:textId="77777777" w:rsidTr="002475D3">
        <w:tc>
          <w:tcPr>
            <w:tcW w:w="1098" w:type="pct"/>
            <w:shd w:val="clear" w:color="auto" w:fill="D9D9D9" w:themeFill="background1" w:themeFillShade="D9"/>
          </w:tcPr>
          <w:p w14:paraId="395F5C9D" w14:textId="77777777" w:rsidR="000B148D" w:rsidRPr="00BE44FF" w:rsidRDefault="000B148D">
            <w:pPr>
              <w:pStyle w:val="Tableheading"/>
            </w:pPr>
            <w:r w:rsidRPr="00BE44FF">
              <w:t>Other outcomes used in the model/specified in scope</w:t>
            </w:r>
          </w:p>
        </w:tc>
        <w:tc>
          <w:tcPr>
            <w:tcW w:w="3902" w:type="pct"/>
            <w:shd w:val="clear" w:color="auto" w:fill="auto"/>
          </w:tcPr>
          <w:p w14:paraId="1A70BF64" w14:textId="77777777" w:rsidR="000B148D" w:rsidRPr="00BE44FF" w:rsidRDefault="000B148D" w:rsidP="00954359">
            <w:pPr>
              <w:pStyle w:val="Tablebody"/>
              <w:numPr>
                <w:ilvl w:val="0"/>
                <w:numId w:val="27"/>
              </w:numPr>
            </w:pPr>
            <w:r w:rsidRPr="00BE44FF">
              <w:t>PFS by BICR in the FAS</w:t>
            </w:r>
          </w:p>
          <w:p w14:paraId="726B1653" w14:textId="77777777" w:rsidR="000B148D" w:rsidRPr="00BE44FF" w:rsidRDefault="000B148D" w:rsidP="00954359">
            <w:pPr>
              <w:pStyle w:val="Tablebody"/>
              <w:numPr>
                <w:ilvl w:val="0"/>
                <w:numId w:val="27"/>
              </w:numPr>
            </w:pPr>
            <w:r w:rsidRPr="00BE44FF">
              <w:t>OS in the FAS</w:t>
            </w:r>
          </w:p>
          <w:p w14:paraId="1144546F" w14:textId="77777777" w:rsidR="000B148D" w:rsidRPr="00BE44FF" w:rsidRDefault="000B148D" w:rsidP="00954359">
            <w:pPr>
              <w:pStyle w:val="Tablebody"/>
              <w:numPr>
                <w:ilvl w:val="0"/>
                <w:numId w:val="19"/>
              </w:numPr>
            </w:pPr>
            <w:r w:rsidRPr="00BE44FF">
              <w:t>Safety (AEs)</w:t>
            </w:r>
          </w:p>
          <w:p w14:paraId="0567D78E" w14:textId="77777777" w:rsidR="000B148D" w:rsidRPr="00861AEA" w:rsidRDefault="000B148D" w:rsidP="00954359">
            <w:pPr>
              <w:pStyle w:val="Tablebody"/>
              <w:numPr>
                <w:ilvl w:val="0"/>
                <w:numId w:val="19"/>
              </w:numPr>
              <w:rPr>
                <w:b/>
                <w:bCs/>
              </w:rPr>
            </w:pPr>
            <w:r w:rsidRPr="00BE44FF">
              <w:t>QoL assessed by EQ-5D</w:t>
            </w:r>
          </w:p>
          <w:p w14:paraId="7BC52305" w14:textId="69D15C63" w:rsidR="000B148D" w:rsidRPr="00861AEA" w:rsidRDefault="000B148D" w:rsidP="00954359">
            <w:pPr>
              <w:pStyle w:val="Tablebody"/>
              <w:numPr>
                <w:ilvl w:val="0"/>
                <w:numId w:val="19"/>
              </w:numPr>
            </w:pPr>
            <w:r w:rsidRPr="00861AEA">
              <w:t>ORR by BI</w:t>
            </w:r>
            <w:r>
              <w:t>CR</w:t>
            </w:r>
          </w:p>
        </w:tc>
      </w:tr>
      <w:tr w:rsidR="000B148D" w:rsidRPr="00BE44FF" w14:paraId="0632AB51" w14:textId="77777777" w:rsidTr="002475D3">
        <w:tc>
          <w:tcPr>
            <w:tcW w:w="1098" w:type="pct"/>
            <w:shd w:val="clear" w:color="auto" w:fill="D9D9D9" w:themeFill="background1" w:themeFillShade="D9"/>
          </w:tcPr>
          <w:p w14:paraId="50623E98" w14:textId="77777777" w:rsidR="000B148D" w:rsidRPr="00BE44FF" w:rsidRDefault="000B148D">
            <w:pPr>
              <w:pStyle w:val="Tableheading"/>
            </w:pPr>
            <w:r w:rsidRPr="00BE44FF">
              <w:t>Other outcomes of interest</w:t>
            </w:r>
          </w:p>
        </w:tc>
        <w:tc>
          <w:tcPr>
            <w:tcW w:w="3902" w:type="pct"/>
          </w:tcPr>
          <w:p w14:paraId="64083CDC" w14:textId="77777777" w:rsidR="000B148D" w:rsidRDefault="000B148D" w:rsidP="00954359">
            <w:pPr>
              <w:pStyle w:val="Tablebody"/>
              <w:numPr>
                <w:ilvl w:val="0"/>
                <w:numId w:val="20"/>
              </w:numPr>
            </w:pPr>
            <w:r>
              <w:t>OS in the HR-positive cohort</w:t>
            </w:r>
          </w:p>
          <w:p w14:paraId="2B13B67D" w14:textId="2D91F47C" w:rsidR="000B148D" w:rsidRDefault="00294FDC" w:rsidP="00954359">
            <w:pPr>
              <w:pStyle w:val="Tablebody"/>
              <w:numPr>
                <w:ilvl w:val="0"/>
                <w:numId w:val="20"/>
              </w:numPr>
            </w:pPr>
            <w:r w:rsidRPr="00294FDC">
              <w:rPr>
                <w:color w:val="000000"/>
                <w:highlight w:val="black"/>
              </w:rPr>
              <w:t>xxxxxxxxx</w:t>
            </w:r>
            <w:r w:rsidR="000B148D">
              <w:t xml:space="preserve"> in the HR-positive cohort and the FAS</w:t>
            </w:r>
          </w:p>
          <w:p w14:paraId="2E4CA8D6" w14:textId="77777777" w:rsidR="000B148D" w:rsidRPr="00BE44FF" w:rsidRDefault="000B148D" w:rsidP="00954359">
            <w:pPr>
              <w:pStyle w:val="Tablebody"/>
              <w:numPr>
                <w:ilvl w:val="0"/>
                <w:numId w:val="20"/>
              </w:numPr>
            </w:pPr>
            <w:r>
              <w:t>Confirmed ORR by BICR and IA in the HR-positive cohort and FAS</w:t>
            </w:r>
          </w:p>
          <w:p w14:paraId="4DF5E1E6" w14:textId="77777777" w:rsidR="000B148D" w:rsidRPr="00834C62" w:rsidRDefault="000B148D" w:rsidP="00954359">
            <w:pPr>
              <w:pStyle w:val="Tablebody"/>
              <w:numPr>
                <w:ilvl w:val="0"/>
                <w:numId w:val="20"/>
              </w:numPr>
            </w:pPr>
            <w:r>
              <w:t>DoR by BICR in the HR-positive cohort and FAS</w:t>
            </w:r>
          </w:p>
          <w:p w14:paraId="6CE80B52" w14:textId="77777777" w:rsidR="000B148D" w:rsidRPr="00834C62" w:rsidRDefault="000B148D" w:rsidP="00954359">
            <w:pPr>
              <w:pStyle w:val="Tablebody"/>
              <w:numPr>
                <w:ilvl w:val="0"/>
                <w:numId w:val="20"/>
              </w:numPr>
            </w:pPr>
            <w:r>
              <w:t>TTR in by BICR in the HR-positive cohort and FAS</w:t>
            </w:r>
          </w:p>
          <w:p w14:paraId="1D072FAB" w14:textId="77777777" w:rsidR="000B148D" w:rsidRPr="00834C62" w:rsidRDefault="000B148D" w:rsidP="00954359">
            <w:pPr>
              <w:pStyle w:val="Tablebody"/>
              <w:numPr>
                <w:ilvl w:val="0"/>
                <w:numId w:val="20"/>
              </w:numPr>
            </w:pPr>
            <w:r>
              <w:t>CBR by BICR in the HR-positive cohort</w:t>
            </w:r>
          </w:p>
          <w:p w14:paraId="37BC75BC" w14:textId="77777777" w:rsidR="000B148D" w:rsidRPr="00BE44FF" w:rsidRDefault="000B148D" w:rsidP="00954359">
            <w:pPr>
              <w:pStyle w:val="Tablebody"/>
              <w:numPr>
                <w:ilvl w:val="0"/>
                <w:numId w:val="20"/>
              </w:numPr>
            </w:pPr>
            <w:r>
              <w:t>DCR by BICR in the HR-positive cohort</w:t>
            </w:r>
          </w:p>
          <w:p w14:paraId="3D369DEB" w14:textId="321C9283" w:rsidR="000B148D" w:rsidRPr="00BE44FF" w:rsidRDefault="000B148D" w:rsidP="00954359">
            <w:pPr>
              <w:pStyle w:val="Tablebody"/>
              <w:numPr>
                <w:ilvl w:val="0"/>
                <w:numId w:val="20"/>
              </w:numPr>
            </w:pPr>
            <w:r>
              <w:t>PFS, OS, confirmed ORR and DoR in the HR-negative subgroup</w:t>
            </w:r>
          </w:p>
          <w:p w14:paraId="73550D8B" w14:textId="7CD044BE" w:rsidR="000B148D" w:rsidRPr="00BE44FF" w:rsidRDefault="00294FDC" w:rsidP="00954359">
            <w:pPr>
              <w:pStyle w:val="Tablebody"/>
              <w:numPr>
                <w:ilvl w:val="0"/>
                <w:numId w:val="20"/>
              </w:numPr>
            </w:pPr>
            <w:r w:rsidRPr="00294FDC">
              <w:rPr>
                <w:color w:val="000000"/>
                <w:highlight w:val="black"/>
              </w:rPr>
              <w:t>xxxxxxxxxxxxxxxxxxxxxxxxxxxxxxxxxxxxx</w:t>
            </w:r>
            <w:r w:rsidR="000B148D">
              <w:t xml:space="preserve"> in the HR-positive cohort</w:t>
            </w:r>
          </w:p>
          <w:p w14:paraId="20F59126" w14:textId="77777777" w:rsidR="000B148D" w:rsidRPr="00BE44FF" w:rsidRDefault="000B148D" w:rsidP="00954359">
            <w:pPr>
              <w:pStyle w:val="Tablebody"/>
              <w:numPr>
                <w:ilvl w:val="0"/>
                <w:numId w:val="20"/>
              </w:numPr>
            </w:pPr>
            <w:r>
              <w:t>HRQoL assessed by EORTC QLQ-C30 in HR-positive cohort</w:t>
            </w:r>
          </w:p>
          <w:p w14:paraId="07CE17D4" w14:textId="77777777" w:rsidR="000B148D" w:rsidRPr="00BE44FF" w:rsidRDefault="000B148D" w:rsidP="00954359">
            <w:pPr>
              <w:pStyle w:val="Tablebody"/>
              <w:numPr>
                <w:ilvl w:val="0"/>
                <w:numId w:val="20"/>
              </w:numPr>
            </w:pPr>
            <w:r>
              <w:t>HRQoL assessed by EORTC QLQ-BR45 in HR-positive cohort</w:t>
            </w:r>
          </w:p>
          <w:p w14:paraId="0874DC43" w14:textId="24CF3617" w:rsidR="000B148D" w:rsidRPr="00BE44FF" w:rsidRDefault="00294FDC" w:rsidP="00954359">
            <w:pPr>
              <w:pStyle w:val="Tablebody"/>
              <w:numPr>
                <w:ilvl w:val="0"/>
                <w:numId w:val="20"/>
              </w:numPr>
            </w:pPr>
            <w:r w:rsidRPr="00294FDC">
              <w:rPr>
                <w:color w:val="000000"/>
                <w:highlight w:val="black"/>
              </w:rPr>
              <w:t>xxxxxxxxxxxxxxxxxxxxxxxxxxxxxxxxx</w:t>
            </w:r>
            <w:r w:rsidR="000B148D">
              <w:t xml:space="preserve"> in the HR-positive cohort and FAS</w:t>
            </w:r>
          </w:p>
        </w:tc>
      </w:tr>
      <w:tr w:rsidR="000B148D" w:rsidRPr="00BE44FF" w14:paraId="5134DCB5" w14:textId="77777777" w:rsidTr="002475D3">
        <w:tc>
          <w:tcPr>
            <w:tcW w:w="1098" w:type="pct"/>
            <w:shd w:val="clear" w:color="auto" w:fill="D9D9D9" w:themeFill="background1" w:themeFillShade="D9"/>
          </w:tcPr>
          <w:p w14:paraId="60E30602" w14:textId="77777777" w:rsidR="000B148D" w:rsidRPr="00BE44FF" w:rsidRDefault="000B148D">
            <w:pPr>
              <w:pStyle w:val="Tableheading"/>
            </w:pPr>
            <w:r w:rsidRPr="00BE44FF">
              <w:t>Pre-planned subgroups</w:t>
            </w:r>
          </w:p>
        </w:tc>
        <w:tc>
          <w:tcPr>
            <w:tcW w:w="3902" w:type="pct"/>
          </w:tcPr>
          <w:p w14:paraId="006A74CA" w14:textId="10D0FBEF" w:rsidR="000B148D" w:rsidRPr="00BE44FF" w:rsidRDefault="000B148D">
            <w:pPr>
              <w:pStyle w:val="Tablebody"/>
            </w:pPr>
            <w:r w:rsidRPr="00BE44FF">
              <w:t xml:space="preserve">Subgroup analyses for PFS based on BICR </w:t>
            </w:r>
            <w:r w:rsidR="001149BD">
              <w:t>were</w:t>
            </w:r>
            <w:r w:rsidRPr="00BE44FF">
              <w:t xml:space="preserve"> performed for the HR-positive cohort and the FAS. Subgroup analyses of OS </w:t>
            </w:r>
            <w:r w:rsidR="00DF620D">
              <w:t>were</w:t>
            </w:r>
            <w:r w:rsidR="00293E72">
              <w:t xml:space="preserve"> </w:t>
            </w:r>
            <w:r w:rsidRPr="00BE44FF">
              <w:t>performed for the HR-positive cohort and FAS using the same subgroups defined for the PFS analysis and using the same methodology, provided PFS and OS analyses are significant for both the HR-positive cohort and FAS.</w:t>
            </w:r>
            <w:r w:rsidR="00494231">
              <w:t xml:space="preserve"> </w:t>
            </w:r>
            <w:r w:rsidR="001D0B0E">
              <w:t>S</w:t>
            </w:r>
            <w:r w:rsidR="001D0B0E" w:rsidRPr="001D0B0E">
              <w:t>ubgroup analyses</w:t>
            </w:r>
            <w:r w:rsidR="00494231">
              <w:t xml:space="preserve"> were only performed </w:t>
            </w:r>
            <w:r w:rsidR="001D0B0E" w:rsidRPr="001D0B0E">
              <w:t xml:space="preserve">for </w:t>
            </w:r>
            <w:r w:rsidR="001D0B0E">
              <w:t>a</w:t>
            </w:r>
            <w:r w:rsidR="001D0B0E" w:rsidRPr="001D0B0E">
              <w:t xml:space="preserve"> category of subgroup</w:t>
            </w:r>
            <w:r w:rsidR="001D0B0E">
              <w:t xml:space="preserve"> </w:t>
            </w:r>
            <w:r w:rsidR="00494231">
              <w:t>if at least 10 events were observed in both treatment arms</w:t>
            </w:r>
            <w:r w:rsidR="001D0B0E">
              <w:t>.</w:t>
            </w:r>
          </w:p>
          <w:p w14:paraId="0F0F18BE" w14:textId="599FF6F6" w:rsidR="000B148D" w:rsidRPr="00BE44FF" w:rsidRDefault="000B148D">
            <w:pPr>
              <w:pStyle w:val="Tablebody"/>
            </w:pPr>
            <w:r w:rsidRPr="00BE44FF">
              <w:t>Pre-specified subgroups were: hormone receptor status; HER2 status; HR</w:t>
            </w:r>
            <w:r w:rsidR="0043458C">
              <w:t>-</w:t>
            </w:r>
            <w:r w:rsidRPr="00BE44FF">
              <w:t>status; lines of prior chemotherapy; prior CDK4/6 inhibitor; lines of prior ET; best response to last prior anti-cancer systemic therapy; baseline renal function; baseline hepatic function; baseline visceral disease; baseline CNS metastases; history of CNS metastases; age; race; region; ECOG performance status</w:t>
            </w:r>
            <w:r w:rsidR="00494231">
              <w:t>.</w:t>
            </w:r>
          </w:p>
        </w:tc>
      </w:tr>
    </w:tbl>
    <w:p w14:paraId="7403ED1F" w14:textId="30C7303D" w:rsidR="000B148D" w:rsidRPr="00BE44FF" w:rsidRDefault="000B148D" w:rsidP="000B148D">
      <w:pPr>
        <w:pStyle w:val="Footnotes"/>
        <w:rPr>
          <w:rFonts w:ascii="Times New Roman" w:eastAsia="Times New Roman" w:hAnsi="Times New Roman" w:cs="Times New Roman"/>
          <w:sz w:val="21"/>
        </w:rPr>
      </w:pPr>
      <w:r w:rsidRPr="00BE44FF">
        <w:rPr>
          <w:rFonts w:eastAsia="Times New Roman" w:cs="Arial"/>
          <w:szCs w:val="16"/>
        </w:rPr>
        <w:t>* Refers to eribulin mesylate (1.23 mg eribulin base = 1.4 mg eribulin mesylate)</w:t>
      </w:r>
      <w:r w:rsidR="00B14029">
        <w:rPr>
          <w:rFonts w:eastAsia="Times New Roman" w:cs="Arial"/>
          <w:szCs w:val="16"/>
        </w:rPr>
        <w:t>.</w:t>
      </w:r>
      <w:r w:rsidRPr="00BE44FF">
        <w:br/>
      </w:r>
      <w:r w:rsidRPr="00BE44FF">
        <w:rPr>
          <w:rFonts w:cs="Yu Gothic Light"/>
        </w:rPr>
        <w:t>‡</w:t>
      </w:r>
      <w:r w:rsidRPr="00BE44FF">
        <w:t xml:space="preserve">Patients with brain metastases that were </w:t>
      </w:r>
      <w:r w:rsidR="00294FDC" w:rsidRPr="00294FDC">
        <w:rPr>
          <w:color w:val="000000"/>
          <w:highlight w:val="black"/>
        </w:rPr>
        <w:t>xxxxxxxxxxxxxxxxxxxxxxxxxxxxxxxxxxxxxxxxxxxxxxxxxxxxxxxxxxx</w:t>
      </w:r>
      <w:r w:rsidR="005C45F0">
        <w:rPr>
          <w:color w:val="000000"/>
          <w:highlight w:val="black"/>
        </w:rPr>
        <w:t xml:space="preserve"> </w:t>
      </w:r>
      <w:r w:rsidR="00294FDC" w:rsidRPr="00294FDC">
        <w:rPr>
          <w:color w:val="000000"/>
          <w:highlight w:val="black"/>
        </w:rPr>
        <w:t>xxxxxxxxxxxxxxxxxxxxxxxxxxxxxxxxxxxxxxxxxxxxxxxxxxxxxxxxxxxxxxxxxxxxxxxxxxxxxxxxxxxxxxxxxxxxxxxxxxx</w:t>
      </w:r>
      <w:r w:rsidRPr="00BE44FF">
        <w:t>.</w:t>
      </w:r>
      <w:r w:rsidRPr="00BE44FF">
        <w:br/>
      </w:r>
      <w:r w:rsidRPr="00687F92">
        <w:rPr>
          <w:rFonts w:cs="Yu Gothic Light"/>
        </w:rPr>
        <w:t>§</w:t>
      </w:r>
      <w:r w:rsidR="00294FDC" w:rsidRPr="00294FDC">
        <w:rPr>
          <w:color w:val="000000"/>
          <w:highlight w:val="black"/>
        </w:rPr>
        <w:t>xxxxxxxxxxxxxxxxxxxxxxxxxxxxxxxxxxxxxxxxxxxxxxxxxxxxxxxxxxxxxxxxxxxxxxxxxxxxxxxxxxxxxxxxxxxxxxxxxx</w:t>
      </w:r>
      <w:r w:rsidR="005C45F0">
        <w:rPr>
          <w:color w:val="000000"/>
          <w:highlight w:val="black"/>
        </w:rPr>
        <w:t xml:space="preserve"> </w:t>
      </w:r>
      <w:r w:rsidR="00294FDC" w:rsidRPr="00294FDC">
        <w:rPr>
          <w:color w:val="000000"/>
          <w:highlight w:val="black"/>
        </w:rPr>
        <w:t>xxxxxxxxxxxxxxxxxxx</w:t>
      </w:r>
      <w:r w:rsidRPr="00687F92">
        <w:t>.</w:t>
      </w:r>
      <w:r w:rsidRPr="00687F92">
        <w:br/>
        <w:t>**</w:t>
      </w:r>
      <w:r w:rsidR="00294FDC" w:rsidRPr="00294FDC">
        <w:rPr>
          <w:color w:val="000000"/>
          <w:highlight w:val="black"/>
        </w:rPr>
        <w:t>xxxxxxxxxxxxxxxxxxxxxxxxxxxxxxxxxxxxxxxxxxxxxxxxxxxxxxxxxxxxxxxxxxxxxxxxxxxxxxxxxxxxxxxxxxxxxxxxx</w:t>
      </w:r>
      <w:r w:rsidR="005C45F0">
        <w:rPr>
          <w:color w:val="000000"/>
          <w:highlight w:val="black"/>
        </w:rPr>
        <w:t xml:space="preserve"> </w:t>
      </w:r>
      <w:r w:rsidRPr="00687F92">
        <w:t xml:space="preserve">. </w:t>
      </w:r>
      <w:r w:rsidRPr="00687F92">
        <w:br/>
      </w:r>
      <w:r w:rsidRPr="00687F92">
        <w:rPr>
          <w:rFonts w:cs="Arial"/>
        </w:rPr>
        <w:t xml:space="preserve">††Additional reasons not listed above are: </w:t>
      </w:r>
      <w:r w:rsidR="00294FDC" w:rsidRPr="00294FDC">
        <w:rPr>
          <w:rFonts w:cs="Arial"/>
          <w:color w:val="000000"/>
          <w:highlight w:val="black"/>
        </w:rPr>
        <w:t>xxxxxxxxxxxxxxxxxxxxxxxxxxxxxxxxxxxxxxxxxxxxxxxxxxxxx</w:t>
      </w:r>
      <w:r w:rsidR="005C45F0">
        <w:rPr>
          <w:rFonts w:cs="Arial"/>
          <w:color w:val="000000"/>
          <w:highlight w:val="black"/>
        </w:rPr>
        <w:t xml:space="preserve"> </w:t>
      </w:r>
      <w:r w:rsidR="00294FDC" w:rsidRPr="00294FDC">
        <w:rPr>
          <w:rFonts w:cs="Arial"/>
          <w:color w:val="000000"/>
          <w:highlight w:val="black"/>
        </w:rPr>
        <w:t>xxxxxxxxxxxxxxxxxxxxxxxxxxxxxxxxxxxxxxxxxxxxxxxxxxxxxxxxxxxxxxxxxxxxxxxxxxxxxxxxxxxxxxxxxxxxxxxxxxxxxxxxxxxxxxxxxxxxxxxxxxxxxxxxxxxxxxxxxxxxxxxxxxxxxxxxxxxxxxxxxxxxxxxxxxxxxxxxxxxxxxxxxxxxxxxxxxxxxxxxxxxxxxxxxxxxxxxxxxxxxxxxxxxxxxxxxxxxxxxxxx</w:t>
      </w:r>
      <w:r w:rsidR="005C45F0">
        <w:rPr>
          <w:rFonts w:cs="Arial"/>
          <w:color w:val="000000"/>
          <w:highlight w:val="black"/>
        </w:rPr>
        <w:t xml:space="preserve"> </w:t>
      </w:r>
      <w:r w:rsidR="00294FDC" w:rsidRPr="00294FDC">
        <w:rPr>
          <w:rFonts w:cs="Arial"/>
          <w:color w:val="000000"/>
          <w:highlight w:val="black"/>
        </w:rPr>
        <w:t>xxxxxxxxxxxxxxxxxxxxxxxxxxxxxxxxxxxxxxx</w:t>
      </w:r>
      <w:r w:rsidRPr="00687F92">
        <w:rPr>
          <w:rFonts w:cs="Arial"/>
        </w:rPr>
        <w:t xml:space="preserve">. </w:t>
      </w:r>
      <w:r w:rsidRPr="00687F92">
        <w:br/>
      </w:r>
      <w:r w:rsidRPr="00687F92">
        <w:rPr>
          <w:rFonts w:cs="Arial"/>
        </w:rPr>
        <w:t>‡‡</w:t>
      </w:r>
      <w:r w:rsidR="00294FDC" w:rsidRPr="00294FDC">
        <w:rPr>
          <w:color w:val="000000"/>
          <w:highlight w:val="black"/>
        </w:rPr>
        <w:t>xxxxxxxxxxxxxxxxxxxxxxxxxxxxxxxxxxxxxxxxxxxxxxxxxxxxxxxxxxxxxxxxxxxxxxxxxxxxxxxxxxxxxxxxxxxxxxxx</w:t>
      </w:r>
      <w:r w:rsidR="005C45F0">
        <w:rPr>
          <w:color w:val="000000"/>
          <w:highlight w:val="black"/>
        </w:rPr>
        <w:t xml:space="preserve"> </w:t>
      </w:r>
      <w:r w:rsidR="00294FDC" w:rsidRPr="00294FDC">
        <w:rPr>
          <w:color w:val="000000"/>
          <w:highlight w:val="black"/>
        </w:rPr>
        <w:t>xxxxxxxxxxxxxxxxxxxxxxxxxxxxxxxxxxxxxxxxxxxxxxxxxxxxxxxxxxxxxxxxxxxx</w:t>
      </w:r>
      <w:r w:rsidRPr="00687F92">
        <w:t>.</w:t>
      </w:r>
      <w:r w:rsidRPr="00BE44FF">
        <w:br/>
        <w:t xml:space="preserve">Abbreviations: ADC, antibody-drug conjugate; AE, adverse event; BC, breast cancer; BICR, blinded independent central review; CBR, clinical benefit rate; CDK, cyclic-dependent kinase; CNS, central nervous system; DCO, data cut-off; DCR, disease control rate; DoR, duration of response; ECOG, Eastern Cooperative Oncology Group; ET, endocrine therapy; FAS, full analysis set; HER2, human epidermal growth factor receptor 2; HIV, human immunodeficiency virus; </w:t>
      </w:r>
      <w:r w:rsidR="00ED09FF">
        <w:t>HR-positive, hormone receptor-positive;</w:t>
      </w:r>
      <w:r w:rsidR="00ED09FF" w:rsidRPr="00BE44FF">
        <w:t xml:space="preserve"> </w:t>
      </w:r>
      <w:r w:rsidRPr="00BE44FF">
        <w:t xml:space="preserve">HRQoL, health-related </w:t>
      </w:r>
      <w:r w:rsidR="005754E8">
        <w:t>quality-of-life</w:t>
      </w:r>
      <w:r w:rsidRPr="00BE44FF">
        <w:t xml:space="preserve">; IA, investigator assessment; IHC, immunohistochemistry; ILD, interstitial lung disease; IV, intravenous; mAb, monoclonal antibody; ORR, objective response rate; OS, overall survival; PD, progressive disease; PFS, progression-free survival; RECIST, Response Evaluation Criteria in Solid Tumours; T-DXd, trastuzumab deruxtecan; TPC, treatment of physician’s choice; TTR, time to response; u/mBC, unresectable or metastatic breast cancer. </w:t>
      </w:r>
      <w:r w:rsidRPr="00BE44FF">
        <w:br/>
        <w:t>Sources: Modi et al</w:t>
      </w:r>
      <w:r>
        <w:t>.</w:t>
      </w:r>
      <w:r w:rsidRPr="00BE44FF">
        <w:t>, 2022;</w:t>
      </w:r>
      <w:r>
        <w:fldChar w:fldCharType="begin"/>
      </w:r>
      <w:r w:rsidR="00CA6345">
        <w:instrText xml:space="preserve"> ADDIN ZOTERO_ITEM CSL_CITATION {"citationID":"nFoVqajE","properties":{"formattedCitation":"\\super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BE44FF">
        <w:t xml:space="preserve"> Daiichi Sankyo Inc., 2022 (CSR; Data on File)</w:t>
      </w:r>
      <w:r>
        <w:t>;</w:t>
      </w:r>
      <w:r w:rsidRPr="00BE44FF">
        <w:rPr>
          <w:lang w:val="fr-FR"/>
        </w:rPr>
        <w:fldChar w:fldCharType="begin"/>
      </w:r>
      <w:r w:rsidR="00CA6345">
        <w:instrText xml:space="preserve"> ADDIN ZOTERO_ITEM CSL_CITATION {"citationID":"a2mjea4ie9k","properties":{"formattedCitation":"\\super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BE44FF">
        <w:rPr>
          <w:lang w:val="fr-FR"/>
        </w:rPr>
        <w:fldChar w:fldCharType="separate"/>
      </w:r>
      <w:r w:rsidR="00FD57F4" w:rsidRPr="00FD57F4">
        <w:rPr>
          <w:rFonts w:cs="Arial"/>
          <w:szCs w:val="24"/>
          <w:vertAlign w:val="superscript"/>
        </w:rPr>
        <w:t>7</w:t>
      </w:r>
      <w:r w:rsidRPr="00BE44FF">
        <w:rPr>
          <w:lang w:val="fr-FR"/>
        </w:rPr>
        <w:fldChar w:fldCharType="end"/>
      </w:r>
      <w:r w:rsidRPr="00BE44FF">
        <w:t xml:space="preserve"> </w:t>
      </w:r>
      <w:r>
        <w:t>Daiichi Sankyo Inc., 2022 (SAP; Data on File)</w:t>
      </w:r>
      <w:r>
        <w:fldChar w:fldCharType="begin"/>
      </w:r>
      <w:r w:rsidR="00CA6345">
        <w:instrText xml:space="preserve"> ADDIN ZOTERO_ITEM CSL_CITATION {"citationID":"QzHmK9Wr","properties":{"formattedCitation":"\\super 153\\nosupersub{}","plainCitation":"153","noteIndex":0},"citationItems":[{"id":65924,"uris":["http://zotero.org/groups/4797619/items/5D3NP3DU"],"itemData":{"id":65924,"type":"document","title":"Statistical Analysis Plan Version 2.0 for DS8201-A-U303. 04 January 2022. Data on File.","author":[{"family":"Daiichi Sankyo Inc.","given":""}],"issued":{"date-parts":[["2022"]]}}}],"schema":"https://github.com/citation-style-language/schema/raw/master/csl-citation.json"} </w:instrText>
      </w:r>
      <w:r>
        <w:fldChar w:fldCharType="separate"/>
      </w:r>
      <w:r w:rsidR="00CA6345" w:rsidRPr="00CA6345">
        <w:rPr>
          <w:rFonts w:cs="Arial"/>
          <w:szCs w:val="24"/>
          <w:vertAlign w:val="superscript"/>
        </w:rPr>
        <w:t>153</w:t>
      </w:r>
      <w:r>
        <w:fldChar w:fldCharType="end"/>
      </w:r>
    </w:p>
    <w:p w14:paraId="55ACACDB" w14:textId="77777777" w:rsidR="000B148D" w:rsidRPr="00B55345" w:rsidRDefault="000B148D" w:rsidP="000B148D">
      <w:pPr>
        <w:pStyle w:val="Heading5"/>
        <w:numPr>
          <w:ilvl w:val="0"/>
          <w:numId w:val="0"/>
        </w:numPr>
      </w:pPr>
      <w:r w:rsidRPr="00B55345">
        <w:lastRenderedPageBreak/>
        <w:t>Screening period assessments</w:t>
      </w:r>
    </w:p>
    <w:p w14:paraId="5C702B4B" w14:textId="27ED2B10" w:rsidR="000B148D" w:rsidRPr="00D07FD6" w:rsidRDefault="000B148D" w:rsidP="000B148D">
      <w:pPr>
        <w:pStyle w:val="Body"/>
      </w:pPr>
      <w:r w:rsidRPr="00D07FD6">
        <w:t xml:space="preserve">During initial tissue screening, </w:t>
      </w:r>
      <w:r w:rsidR="00294FDC" w:rsidRPr="00294FDC">
        <w:rPr>
          <w:color w:val="000000"/>
          <w:highlight w:val="black"/>
        </w:rPr>
        <w:t>xxxxxxxxxxxxxxxxxxxxxxxxxxxxxxxxxxxxxxxxxxxxxxx</w:t>
      </w:r>
      <w:r w:rsidR="00F25416">
        <w:rPr>
          <w:color w:val="000000"/>
          <w:highlight w:val="black"/>
        </w:rPr>
        <w:t xml:space="preserve"> </w:t>
      </w:r>
      <w:r w:rsidR="00294FDC" w:rsidRPr="00294FDC">
        <w:rPr>
          <w:color w:val="000000"/>
          <w:highlight w:val="black"/>
        </w:rPr>
        <w:t>xxxxxxxxxxxxxxxxxxxxxxxxxxxxxxxxxxxxxxxxxxxxxxxxxxxxxxxxxxxxxxxxxxxxxxxxxxxxxxxxxxxxxxxxxxxxxxxxxxxxxxxxxxxxxxxxxxxxxxxxxxxxxxxxxxxxxxxxxxxxxxxxxxxxxxxxxxxxxxxxxxxxxxxxxxxxxxxxxxxxxxxxxxxxxxxxxxxxxxxxxxxxxxxxxxxxxxxxxxxxxxxxxxxxxxxx</w:t>
      </w:r>
      <w:r w:rsidRPr="00D07FD6">
        <w:rPr>
          <w:rStyle w:val="FootnoteReference"/>
        </w:rPr>
        <w:t xml:space="preserve"> </w:t>
      </w:r>
      <w:r w:rsidRPr="00D07FD6">
        <w:t>were required.</w:t>
      </w:r>
      <w:r w:rsidRPr="00D07FD6">
        <w:fldChar w:fldCharType="begin"/>
      </w:r>
      <w:r w:rsidR="00CA6345">
        <w:instrText xml:space="preserve"> ADDIN ZOTERO_ITEM CSL_CITATION {"citationID":"WgjTNj14","properties":{"formattedCitation":"\\super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D07FD6">
        <w:fldChar w:fldCharType="separate"/>
      </w:r>
      <w:r w:rsidR="00FD57F4" w:rsidRPr="00FD57F4">
        <w:rPr>
          <w:rFonts w:cs="Arial"/>
          <w:szCs w:val="24"/>
          <w:vertAlign w:val="superscript"/>
        </w:rPr>
        <w:t>7</w:t>
      </w:r>
      <w:r w:rsidRPr="00D07FD6">
        <w:fldChar w:fldCharType="end"/>
      </w:r>
      <w:r w:rsidRPr="00D07FD6" w:rsidDel="001349F9">
        <w:t xml:space="preserve"> </w:t>
      </w:r>
    </w:p>
    <w:p w14:paraId="5639BF00" w14:textId="6A217530" w:rsidR="000B148D" w:rsidRPr="00D07FD6" w:rsidRDefault="000B148D" w:rsidP="000B148D">
      <w:pPr>
        <w:pStyle w:val="Body"/>
      </w:pPr>
      <w:r w:rsidRPr="00D07FD6">
        <w:t xml:space="preserve">During the screening period, from </w:t>
      </w:r>
      <w:r w:rsidR="00294FDC" w:rsidRPr="00294FDC">
        <w:rPr>
          <w:color w:val="000000"/>
          <w:highlight w:val="black"/>
        </w:rPr>
        <w:t>xxxxxxxxxxxxxxxxxxxxxxxxxxxxxxxxx</w:t>
      </w:r>
      <w:r w:rsidR="00371046">
        <w:rPr>
          <w:color w:val="000000"/>
          <w:highlight w:val="black"/>
        </w:rPr>
        <w:t xml:space="preserve"> </w:t>
      </w:r>
      <w:r w:rsidR="00294FDC" w:rsidRPr="00294FDC">
        <w:rPr>
          <w:color w:val="000000"/>
          <w:highlight w:val="black"/>
        </w:rPr>
        <w:t>xxxxxxxxxxxxx</w:t>
      </w:r>
      <w:r w:rsidR="00371046">
        <w:rPr>
          <w:color w:val="000000"/>
          <w:highlight w:val="black"/>
        </w:rPr>
        <w:t xml:space="preserve"> </w:t>
      </w:r>
      <w:r w:rsidR="00294FDC" w:rsidRPr="00294FDC">
        <w:rPr>
          <w:color w:val="000000"/>
          <w:highlight w:val="black"/>
        </w:rPr>
        <w:t>xxxxxxxxxxxxxxx</w:t>
      </w:r>
      <w:r w:rsidR="00F25416">
        <w:rPr>
          <w:color w:val="000000"/>
          <w:highlight w:val="black"/>
        </w:rPr>
        <w:t xml:space="preserve"> </w:t>
      </w:r>
      <w:r w:rsidR="00294FDC" w:rsidRPr="00294FDC">
        <w:rPr>
          <w:color w:val="000000"/>
          <w:highlight w:val="black"/>
        </w:rPr>
        <w:t>xxxxxxxxxxxxxxxxxxxxxxxxxxxxxxxxxxxxxxxxxxxxxxxxxx</w:t>
      </w:r>
      <w:r w:rsidR="00371046">
        <w:rPr>
          <w:color w:val="000000"/>
          <w:highlight w:val="black"/>
        </w:rPr>
        <w:t xml:space="preserve"> </w:t>
      </w:r>
      <w:r w:rsidR="00294FDC" w:rsidRPr="00294FDC">
        <w:rPr>
          <w:color w:val="000000"/>
          <w:highlight w:val="black"/>
        </w:rPr>
        <w:t>xxxxxxx</w:t>
      </w:r>
      <w:r w:rsidR="00371046">
        <w:rPr>
          <w:color w:val="000000"/>
          <w:highlight w:val="black"/>
        </w:rPr>
        <w:t xml:space="preserve"> </w:t>
      </w:r>
      <w:r w:rsidR="00294FDC" w:rsidRPr="00294FDC">
        <w:rPr>
          <w:color w:val="000000"/>
          <w:highlight w:val="black"/>
        </w:rPr>
        <w:t>xxxxxxxxxxxxxxxxxxxxxxxxxxxxxxxxxxxxxxxxxxxxxxxxxxxxxxxxxxxxxxxxxxxxxxxxxxxxxxxxxxxxxxxxxxxxxxxxxxxxxxxxxxxxxxxxxxxxxxxxxxxxxxxxxxxxxxxxxxxxxxxxxxxxxxxxxxxxxxxx</w:t>
      </w:r>
      <w:r w:rsidRPr="00D07FD6">
        <w:t>.</w:t>
      </w:r>
      <w:r w:rsidRPr="00D07FD6">
        <w:fldChar w:fldCharType="begin"/>
      </w:r>
      <w:r w:rsidR="00CA6345">
        <w:instrText xml:space="preserve"> ADDIN ZOTERO_ITEM CSL_CITATION {"citationID":"OrRz2DSC","properties":{"formattedCitation":"\\super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D07FD6">
        <w:fldChar w:fldCharType="separate"/>
      </w:r>
      <w:r w:rsidR="00FD57F4" w:rsidRPr="00FD57F4">
        <w:rPr>
          <w:rFonts w:cs="Arial"/>
          <w:szCs w:val="24"/>
          <w:vertAlign w:val="superscript"/>
        </w:rPr>
        <w:t>7</w:t>
      </w:r>
      <w:r w:rsidRPr="00D07FD6">
        <w:fldChar w:fldCharType="end"/>
      </w:r>
      <w:r w:rsidRPr="00D07FD6">
        <w:t xml:space="preserve"> </w:t>
      </w:r>
    </w:p>
    <w:p w14:paraId="00614C47" w14:textId="38A68DDC" w:rsidR="000B148D" w:rsidRPr="00D07FD6" w:rsidRDefault="000B148D" w:rsidP="000B148D">
      <w:pPr>
        <w:pStyle w:val="Body"/>
        <w:sectPr w:rsidR="000B148D" w:rsidRPr="00D07FD6" w:rsidSect="007B48E4">
          <w:footerReference w:type="default" r:id="rId21"/>
          <w:footnotePr>
            <w:numFmt w:val="lowerLetter"/>
          </w:footnotePr>
          <w:pgSz w:w="11906" w:h="16838"/>
          <w:pgMar w:top="1440" w:right="1440" w:bottom="1440" w:left="1440" w:header="708" w:footer="572" w:gutter="0"/>
          <w:cols w:space="708"/>
          <w:docGrid w:linePitch="360"/>
        </w:sectPr>
      </w:pPr>
      <w:r w:rsidRPr="00D07FD6">
        <w:t xml:space="preserve">From </w:t>
      </w:r>
      <w:r w:rsidR="00294FDC" w:rsidRPr="00294FDC">
        <w:rPr>
          <w:color w:val="000000"/>
          <w:highlight w:val="black"/>
        </w:rPr>
        <w:t>xxxxxxxxxxxxxxxxxxxxxxxxxxxxxxxxxxxxxxxxxxxxxxxxxxxxxxxxxxxxxxxxxxxxx</w:t>
      </w:r>
      <w:r w:rsidR="00F25416">
        <w:rPr>
          <w:color w:val="000000"/>
          <w:highlight w:val="black"/>
        </w:rPr>
        <w:t xml:space="preserve"> </w:t>
      </w:r>
      <w:r w:rsidR="00294FDC" w:rsidRPr="00294FDC">
        <w:rPr>
          <w:color w:val="000000"/>
          <w:highlight w:val="black"/>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r w:rsidRPr="00D07FD6">
        <w:t>.</w:t>
      </w:r>
      <w:r w:rsidRPr="00D07FD6">
        <w:fldChar w:fldCharType="begin"/>
      </w:r>
      <w:r w:rsidR="00CA6345">
        <w:instrText xml:space="preserve"> ADDIN ZOTERO_ITEM CSL_CITATION {"citationID":"6geZiTMY","properties":{"formattedCitation":"\\super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D07FD6">
        <w:fldChar w:fldCharType="separate"/>
      </w:r>
      <w:r w:rsidR="00FD57F4" w:rsidRPr="00FD57F4">
        <w:rPr>
          <w:rFonts w:cs="Arial"/>
          <w:szCs w:val="24"/>
          <w:vertAlign w:val="superscript"/>
        </w:rPr>
        <w:t>7</w:t>
      </w:r>
      <w:r w:rsidRPr="00D07FD6">
        <w:fldChar w:fldCharType="end"/>
      </w:r>
    </w:p>
    <w:p w14:paraId="2FB7FB23" w14:textId="77777777" w:rsidR="000B148D" w:rsidRPr="00D07FD6" w:rsidRDefault="000B148D" w:rsidP="000B148D">
      <w:pPr>
        <w:pStyle w:val="Heading4"/>
        <w:numPr>
          <w:ilvl w:val="0"/>
          <w:numId w:val="0"/>
        </w:numPr>
      </w:pPr>
      <w:bookmarkStart w:id="155" w:name="_Ref90908720"/>
      <w:r w:rsidRPr="00D07FD6">
        <w:lastRenderedPageBreak/>
        <w:t>Trial outcomes</w:t>
      </w:r>
      <w:bookmarkEnd w:id="155"/>
    </w:p>
    <w:p w14:paraId="402A4229" w14:textId="4318ECF5" w:rsidR="000B148D" w:rsidRPr="00D07FD6" w:rsidRDefault="000B148D" w:rsidP="000B148D">
      <w:pPr>
        <w:pStyle w:val="Body"/>
      </w:pPr>
      <w:r w:rsidRPr="00D07FD6">
        <w:t xml:space="preserve">Trial endpoints, their definitions, and censoring rules are shown in </w:t>
      </w:r>
      <w:r w:rsidRPr="00D07FD6">
        <w:rPr>
          <w:b/>
          <w:bCs/>
        </w:rPr>
        <w:fldChar w:fldCharType="begin"/>
      </w:r>
      <w:r w:rsidRPr="00D07FD6">
        <w:rPr>
          <w:b/>
          <w:bCs/>
        </w:rPr>
        <w:instrText xml:space="preserve"> REF _Ref85796390 \h  \* MERGEFORMAT </w:instrText>
      </w:r>
      <w:r w:rsidRPr="00D07FD6">
        <w:rPr>
          <w:b/>
          <w:bCs/>
        </w:rPr>
      </w:r>
      <w:r w:rsidRPr="00D07FD6">
        <w:rPr>
          <w:b/>
          <w:bCs/>
        </w:rPr>
        <w:fldChar w:fldCharType="separate"/>
      </w:r>
      <w:r w:rsidR="00145F42" w:rsidRPr="00145F42">
        <w:rPr>
          <w:b/>
          <w:bCs/>
        </w:rPr>
        <w:t>Table 10</w:t>
      </w:r>
      <w:r w:rsidRPr="00D07FD6">
        <w:rPr>
          <w:b/>
          <w:bCs/>
        </w:rPr>
        <w:fldChar w:fldCharType="end"/>
      </w:r>
      <w:r w:rsidRPr="00D07FD6">
        <w:t>.</w:t>
      </w:r>
    </w:p>
    <w:p w14:paraId="3038FBF5" w14:textId="6F3307BD" w:rsidR="000B148D" w:rsidRPr="00D07FD6" w:rsidRDefault="000B148D" w:rsidP="000B148D">
      <w:pPr>
        <w:pStyle w:val="Caption"/>
      </w:pPr>
      <w:bookmarkStart w:id="156" w:name="_Ref85796390"/>
      <w:bookmarkStart w:id="157" w:name="_Toc95826061"/>
      <w:bookmarkStart w:id="158" w:name="_Toc124447870"/>
      <w:bookmarkStart w:id="159" w:name="_Toc129350985"/>
      <w:r w:rsidRPr="00D07FD6">
        <w:t xml:space="preserve">Table </w:t>
      </w:r>
      <w:r w:rsidRPr="00D07FD6">
        <w:fldChar w:fldCharType="begin"/>
      </w:r>
      <w:r w:rsidRPr="00D07FD6">
        <w:instrText>SEQ Table \* ARABIC</w:instrText>
      </w:r>
      <w:r w:rsidRPr="00D07FD6">
        <w:fldChar w:fldCharType="separate"/>
      </w:r>
      <w:r w:rsidR="00145F42">
        <w:rPr>
          <w:noProof/>
        </w:rPr>
        <w:t>10</w:t>
      </w:r>
      <w:r w:rsidRPr="00D07FD6">
        <w:fldChar w:fldCharType="end"/>
      </w:r>
      <w:bookmarkEnd w:id="156"/>
      <w:r w:rsidRPr="00D07FD6">
        <w:t>: DESTINY-Breast04 | Summary of key endpoints</w:t>
      </w:r>
      <w:bookmarkEnd w:id="157"/>
      <w:bookmarkEnd w:id="158"/>
      <w:bookmarkEnd w:id="159"/>
    </w:p>
    <w:tbl>
      <w:tblPr>
        <w:tblStyle w:val="Generaltable"/>
        <w:tblW w:w="5000" w:type="pct"/>
        <w:tblLook w:val="04A0" w:firstRow="1" w:lastRow="0" w:firstColumn="1" w:lastColumn="0" w:noHBand="0" w:noVBand="1"/>
      </w:tblPr>
      <w:tblGrid>
        <w:gridCol w:w="2829"/>
        <w:gridCol w:w="4396"/>
        <w:gridCol w:w="6723"/>
      </w:tblGrid>
      <w:tr w:rsidR="006C4BEF" w:rsidRPr="00D07FD6" w14:paraId="1D6F310D" w14:textId="77777777" w:rsidTr="000B758E">
        <w:trPr>
          <w:cnfStyle w:val="100000000000" w:firstRow="1" w:lastRow="0" w:firstColumn="0" w:lastColumn="0" w:oddVBand="0" w:evenVBand="0" w:oddHBand="0" w:evenHBand="0" w:firstRowFirstColumn="0" w:firstRowLastColumn="0" w:lastRowFirstColumn="0" w:lastRowLastColumn="0"/>
          <w:tblHeader/>
        </w:trPr>
        <w:tc>
          <w:tcPr>
            <w:tcW w:w="1014" w:type="pct"/>
          </w:tcPr>
          <w:p w14:paraId="1526B069" w14:textId="77777777" w:rsidR="000B148D" w:rsidRPr="00D07FD6" w:rsidRDefault="000B148D" w:rsidP="00CE0351">
            <w:pPr>
              <w:pStyle w:val="Tableheading"/>
              <w:spacing w:before="0" w:after="0"/>
              <w:contextualSpacing/>
            </w:pPr>
            <w:r w:rsidRPr="00D07FD6">
              <w:t>Endpoint/assessment</w:t>
            </w:r>
          </w:p>
        </w:tc>
        <w:tc>
          <w:tcPr>
            <w:tcW w:w="1576" w:type="pct"/>
          </w:tcPr>
          <w:p w14:paraId="084A6DC9" w14:textId="77777777" w:rsidR="000B148D" w:rsidRPr="00D07FD6" w:rsidRDefault="000B148D" w:rsidP="00CE0351">
            <w:pPr>
              <w:pStyle w:val="Tableheading"/>
              <w:spacing w:before="0" w:after="0"/>
              <w:contextualSpacing/>
            </w:pPr>
            <w:r w:rsidRPr="00D07FD6">
              <w:t>Details</w:t>
            </w:r>
          </w:p>
        </w:tc>
        <w:tc>
          <w:tcPr>
            <w:tcW w:w="2410" w:type="pct"/>
          </w:tcPr>
          <w:p w14:paraId="2A626FFE" w14:textId="77777777" w:rsidR="000B148D" w:rsidRPr="00D07FD6" w:rsidRDefault="000B148D" w:rsidP="00CE0351">
            <w:pPr>
              <w:pStyle w:val="Tableheading"/>
              <w:spacing w:before="0" w:after="0"/>
              <w:contextualSpacing/>
            </w:pPr>
            <w:r w:rsidRPr="00D07FD6">
              <w:t>Censoring rules</w:t>
            </w:r>
          </w:p>
        </w:tc>
      </w:tr>
      <w:tr w:rsidR="000B148D" w:rsidRPr="00D07FD6" w14:paraId="61A4593F" w14:textId="77777777">
        <w:tc>
          <w:tcPr>
            <w:tcW w:w="5000" w:type="pct"/>
            <w:gridSpan w:val="3"/>
            <w:shd w:val="clear" w:color="auto" w:fill="F2F2F2" w:themeFill="background1" w:themeFillShade="F2"/>
          </w:tcPr>
          <w:p w14:paraId="4DB98807" w14:textId="77777777" w:rsidR="000B148D" w:rsidRPr="00D07FD6" w:rsidRDefault="000B148D" w:rsidP="00CE0351">
            <w:pPr>
              <w:pStyle w:val="Tableheading"/>
              <w:keepNext/>
              <w:spacing w:before="0" w:after="0"/>
              <w:contextualSpacing/>
            </w:pPr>
            <w:r w:rsidRPr="00D07FD6">
              <w:t>Primary endpoint</w:t>
            </w:r>
          </w:p>
        </w:tc>
      </w:tr>
      <w:tr w:rsidR="006C4BEF" w:rsidRPr="00D07FD6" w14:paraId="41D33AD8" w14:textId="77777777" w:rsidTr="000B758E">
        <w:tc>
          <w:tcPr>
            <w:tcW w:w="1014" w:type="pct"/>
          </w:tcPr>
          <w:p w14:paraId="7900A485" w14:textId="77777777" w:rsidR="000B148D" w:rsidRPr="00D07FD6" w:rsidRDefault="000B148D" w:rsidP="00CE0351">
            <w:pPr>
              <w:pStyle w:val="Tablebody"/>
              <w:spacing w:before="0" w:after="0"/>
              <w:contextualSpacing/>
            </w:pPr>
            <w:r w:rsidRPr="00D07FD6">
              <w:t>PFS (by BICR) in the HR-positive cohort</w:t>
            </w:r>
          </w:p>
        </w:tc>
        <w:tc>
          <w:tcPr>
            <w:tcW w:w="1576" w:type="pct"/>
          </w:tcPr>
          <w:p w14:paraId="28B46BF8" w14:textId="0BF9F8EB" w:rsidR="000B148D" w:rsidRPr="00D07FD6" w:rsidRDefault="000B148D" w:rsidP="00CE0351">
            <w:pPr>
              <w:pStyle w:val="Tablebody"/>
              <w:spacing w:before="0" w:after="0"/>
              <w:contextualSpacing/>
            </w:pPr>
            <w:r w:rsidRPr="00D07FD6">
              <w:t xml:space="preserve">Defined as the time from the date of </w:t>
            </w:r>
            <w:r w:rsidR="00294FDC" w:rsidRPr="00294FDC">
              <w:rPr>
                <w:color w:val="000000"/>
                <w:highlight w:val="black"/>
              </w:rPr>
              <w:t>xxxxxxxxxxxxxxxxxxx</w:t>
            </w:r>
            <w:r w:rsidR="00845ED0">
              <w:rPr>
                <w:color w:val="000000"/>
                <w:highlight w:val="black"/>
              </w:rPr>
              <w:t xml:space="preserve"> </w:t>
            </w:r>
            <w:r w:rsidR="00294FDC" w:rsidRPr="00294FDC">
              <w:rPr>
                <w:color w:val="000000"/>
                <w:highlight w:val="black"/>
              </w:rPr>
              <w:t>xxxxx</w:t>
            </w:r>
            <w:r w:rsidR="00A526F0">
              <w:rPr>
                <w:color w:val="000000"/>
                <w:highlight w:val="black"/>
              </w:rPr>
              <w:t xml:space="preserve"> </w:t>
            </w:r>
            <w:r w:rsidR="00294FDC" w:rsidRPr="00294FDC">
              <w:rPr>
                <w:color w:val="000000"/>
                <w:highlight w:val="black"/>
              </w:rPr>
              <w:t>xx</w:t>
            </w:r>
            <w:r w:rsidR="00845ED0">
              <w:rPr>
                <w:color w:val="000000"/>
                <w:highlight w:val="black"/>
              </w:rPr>
              <w:t xml:space="preserve"> </w:t>
            </w:r>
            <w:r w:rsidR="00294FDC" w:rsidRPr="00294FDC">
              <w:rPr>
                <w:color w:val="000000"/>
                <w:highlight w:val="black"/>
              </w:rPr>
              <w:t>xxxxxxxxxxxxxxx</w:t>
            </w:r>
            <w:r w:rsidR="00845ED0">
              <w:rPr>
                <w:color w:val="000000"/>
                <w:highlight w:val="black"/>
              </w:rPr>
              <w:t xml:space="preserve"> </w:t>
            </w:r>
            <w:r w:rsidR="00294FDC" w:rsidRPr="00294FDC">
              <w:rPr>
                <w:color w:val="000000"/>
                <w:highlight w:val="black"/>
              </w:rPr>
              <w:t>xxxxxxxxxxx</w:t>
            </w:r>
            <w:r w:rsidR="00845ED0">
              <w:rPr>
                <w:color w:val="000000"/>
                <w:highlight w:val="black"/>
              </w:rPr>
              <w:t xml:space="preserve"> </w:t>
            </w:r>
            <w:r w:rsidR="00294FDC" w:rsidRPr="00294FDC">
              <w:rPr>
                <w:color w:val="000000"/>
                <w:highlight w:val="black"/>
              </w:rPr>
              <w:t>xxxxxxx</w:t>
            </w:r>
            <w:r w:rsidR="00845ED0">
              <w:rPr>
                <w:color w:val="000000"/>
                <w:highlight w:val="black"/>
              </w:rPr>
              <w:t xml:space="preserve"> </w:t>
            </w:r>
            <w:r w:rsidR="00294FDC" w:rsidRPr="00294FDC">
              <w:rPr>
                <w:color w:val="000000"/>
                <w:highlight w:val="black"/>
              </w:rPr>
              <w:t>xxxx</w:t>
            </w:r>
            <w:r w:rsidR="00845ED0">
              <w:rPr>
                <w:color w:val="000000"/>
                <w:highlight w:val="black"/>
              </w:rPr>
              <w:t xml:space="preserve"> </w:t>
            </w:r>
            <w:r w:rsidR="00294FDC" w:rsidRPr="00294FDC">
              <w:rPr>
                <w:color w:val="000000"/>
                <w:highlight w:val="black"/>
              </w:rPr>
              <w:t>xxxxxxxxxxxxxxxxxxxxxxxx</w:t>
            </w:r>
            <w:r w:rsidRPr="00D07FD6">
              <w:t xml:space="preserve"> disease progression per BICR </w:t>
            </w:r>
            <w:r w:rsidR="00294FDC" w:rsidRPr="00294FDC">
              <w:rPr>
                <w:color w:val="000000"/>
                <w:highlight w:val="black"/>
              </w:rPr>
              <w:t>xxxxxxxxxxxxxx</w:t>
            </w:r>
            <w:r w:rsidR="00845ED0">
              <w:rPr>
                <w:color w:val="000000"/>
                <w:highlight w:val="black"/>
              </w:rPr>
              <w:t xml:space="preserve"> </w:t>
            </w:r>
            <w:r w:rsidR="00294FDC" w:rsidRPr="00294FDC">
              <w:rPr>
                <w:color w:val="000000"/>
                <w:highlight w:val="black"/>
              </w:rPr>
              <w:t>xxxxxxxxxxxxxxxxxxx</w:t>
            </w:r>
            <w:r w:rsidRPr="00511C76">
              <w:t xml:space="preserve">or </w:t>
            </w:r>
            <w:r w:rsidR="00294FDC" w:rsidRPr="00294FDC">
              <w:rPr>
                <w:color w:val="000000"/>
                <w:highlight w:val="black"/>
              </w:rPr>
              <w:t>xxxx</w:t>
            </w:r>
            <w:r w:rsidR="00845ED0">
              <w:rPr>
                <w:color w:val="000000"/>
                <w:highlight w:val="black"/>
              </w:rPr>
              <w:t xml:space="preserve"> </w:t>
            </w:r>
            <w:r w:rsidR="00294FDC" w:rsidRPr="00294FDC">
              <w:rPr>
                <w:color w:val="000000"/>
                <w:highlight w:val="black"/>
              </w:rPr>
              <w:t>xxxxxxxxxxxxxxxxxx</w:t>
            </w:r>
            <w:r w:rsidR="006C4BEF">
              <w:rPr>
                <w:color w:val="000000"/>
              </w:rPr>
              <w:t xml:space="preserve"> </w:t>
            </w:r>
          </w:p>
        </w:tc>
        <w:tc>
          <w:tcPr>
            <w:tcW w:w="2410" w:type="pct"/>
          </w:tcPr>
          <w:p w14:paraId="2C9EC111" w14:textId="43C42A8C" w:rsidR="000B148D" w:rsidRPr="00D07FD6" w:rsidRDefault="000B148D" w:rsidP="00CE0351">
            <w:pPr>
              <w:pStyle w:val="Tablebody"/>
              <w:numPr>
                <w:ilvl w:val="0"/>
                <w:numId w:val="28"/>
              </w:numPr>
              <w:spacing w:before="0" w:after="0"/>
              <w:contextualSpacing/>
            </w:pPr>
            <w:r w:rsidRPr="00D07FD6">
              <w:t xml:space="preserve">No baseline evaluable tumour assessment: </w:t>
            </w:r>
            <w:r w:rsidR="00294FDC" w:rsidRPr="00294FDC">
              <w:rPr>
                <w:color w:val="000000"/>
                <w:highlight w:val="black"/>
              </w:rPr>
              <w:t>xxxxxxxxxxxxxxxx</w:t>
            </w:r>
            <w:r w:rsidR="00845ED0">
              <w:rPr>
                <w:color w:val="000000"/>
                <w:highlight w:val="black"/>
              </w:rPr>
              <w:t xml:space="preserve"> </w:t>
            </w:r>
            <w:r w:rsidR="00294FDC" w:rsidRPr="00294FDC">
              <w:rPr>
                <w:color w:val="000000"/>
                <w:highlight w:val="black"/>
              </w:rPr>
              <w:t>xxxxxxxxxxxxxxxxx</w:t>
            </w:r>
          </w:p>
          <w:p w14:paraId="616176F3" w14:textId="7944141A" w:rsidR="000B148D" w:rsidRPr="00D07FD6" w:rsidRDefault="000B148D" w:rsidP="00CE0351">
            <w:pPr>
              <w:pStyle w:val="Tablebody"/>
              <w:numPr>
                <w:ilvl w:val="0"/>
                <w:numId w:val="28"/>
              </w:numPr>
              <w:spacing w:before="0" w:after="0"/>
              <w:contextualSpacing/>
            </w:pPr>
            <w:r w:rsidRPr="00D07FD6">
              <w:t xml:space="preserve">No post-baseline tumour assessment: </w:t>
            </w:r>
            <w:r w:rsidR="00294FDC" w:rsidRPr="00294FDC">
              <w:rPr>
                <w:color w:val="000000"/>
                <w:highlight w:val="black"/>
              </w:rPr>
              <w:t>xxxxxxxxxxxxxxxxxx</w:t>
            </w:r>
            <w:r w:rsidR="00845ED0">
              <w:rPr>
                <w:color w:val="000000"/>
                <w:highlight w:val="black"/>
              </w:rPr>
              <w:t xml:space="preserve"> </w:t>
            </w:r>
            <w:r w:rsidR="00294FDC" w:rsidRPr="00294FDC">
              <w:rPr>
                <w:color w:val="000000"/>
                <w:highlight w:val="black"/>
              </w:rPr>
              <w:t>xxxxxxxxxxxxxxx</w:t>
            </w:r>
          </w:p>
          <w:p w14:paraId="731D36F2" w14:textId="599BE54D" w:rsidR="000B148D" w:rsidRPr="00D07FD6" w:rsidRDefault="000B148D" w:rsidP="00CE0351">
            <w:pPr>
              <w:pStyle w:val="Tablebody"/>
              <w:numPr>
                <w:ilvl w:val="0"/>
                <w:numId w:val="28"/>
              </w:numPr>
              <w:spacing w:before="0" w:after="0"/>
              <w:contextualSpacing/>
            </w:pPr>
            <w:r w:rsidRPr="00D07FD6">
              <w:t xml:space="preserve">Early death (within 14 weeks of randomisation) for no baseline or no post-baseline tumour assessment: </w:t>
            </w:r>
            <w:r w:rsidR="00294FDC" w:rsidRPr="00294FDC">
              <w:rPr>
                <w:color w:val="000000"/>
                <w:highlight w:val="black"/>
              </w:rPr>
              <w:t>xxxxxxxxxxxxxxxxxxxxxx</w:t>
            </w:r>
          </w:p>
          <w:p w14:paraId="42D1C69E" w14:textId="61A4908D" w:rsidR="000B148D" w:rsidRPr="00D07FD6" w:rsidRDefault="000B148D" w:rsidP="00CE0351">
            <w:pPr>
              <w:pStyle w:val="Tablebody"/>
              <w:numPr>
                <w:ilvl w:val="0"/>
                <w:numId w:val="28"/>
              </w:numPr>
              <w:spacing w:before="0" w:after="0"/>
              <w:contextualSpacing/>
            </w:pPr>
            <w:r w:rsidRPr="00D07FD6">
              <w:t xml:space="preserve">Radiographic disease progression/death without missing ≥2 consecutive tumour assessments immediately preceding event: </w:t>
            </w:r>
            <w:r w:rsidR="00294FDC" w:rsidRPr="00294FDC">
              <w:rPr>
                <w:color w:val="000000"/>
                <w:highlight w:val="black"/>
              </w:rPr>
              <w:t>xxxxxxxxxxxxxxxxxxxxxxxxxxxxxxxxxxxxxxxxxxxxxxxxxxxxxxxx</w:t>
            </w:r>
          </w:p>
          <w:p w14:paraId="04BD7A09" w14:textId="087FECD7" w:rsidR="000B148D" w:rsidRPr="00D07FD6" w:rsidRDefault="000B148D" w:rsidP="00CE0351">
            <w:pPr>
              <w:pStyle w:val="Tablebody"/>
              <w:numPr>
                <w:ilvl w:val="0"/>
                <w:numId w:val="28"/>
              </w:numPr>
              <w:spacing w:before="0" w:after="0"/>
              <w:contextualSpacing/>
            </w:pPr>
            <w:r w:rsidRPr="00D07FD6">
              <w:t xml:space="preserve">Disease progression or death after missing ≥2 consecutive scheduled tumour assessments: </w:t>
            </w:r>
            <w:r w:rsidR="00294FDC" w:rsidRPr="00294FDC">
              <w:rPr>
                <w:color w:val="000000"/>
                <w:highlight w:val="black"/>
              </w:rPr>
              <w:t>xxxxxxxxxxxxxxxxxxxxxxxxxxxxxxxxxxxxxxxxxxxx</w:t>
            </w:r>
            <w:r w:rsidR="00845ED0">
              <w:rPr>
                <w:color w:val="000000"/>
                <w:highlight w:val="black"/>
              </w:rPr>
              <w:t xml:space="preserve"> </w:t>
            </w:r>
            <w:r w:rsidR="00294FDC" w:rsidRPr="00294FDC">
              <w:rPr>
                <w:color w:val="000000"/>
                <w:highlight w:val="black"/>
              </w:rPr>
              <w:t>xxxxxxxxxx</w:t>
            </w:r>
            <w:r w:rsidR="00845ED0">
              <w:rPr>
                <w:color w:val="000000"/>
                <w:highlight w:val="black"/>
              </w:rPr>
              <w:t xml:space="preserve"> </w:t>
            </w:r>
            <w:r w:rsidR="00294FDC" w:rsidRPr="00294FDC">
              <w:rPr>
                <w:color w:val="000000"/>
                <w:highlight w:val="black"/>
              </w:rPr>
              <w:t>xxxxxxxxxxxxxxxxxxxxxxxxxxxxxxxxxxxxxxxx</w:t>
            </w:r>
            <w:r w:rsidR="00555264">
              <w:rPr>
                <w:color w:val="000000"/>
                <w:highlight w:val="black"/>
              </w:rPr>
              <w:t xml:space="preserve"> </w:t>
            </w:r>
            <w:r w:rsidR="00294FDC" w:rsidRPr="00294FDC">
              <w:rPr>
                <w:color w:val="000000"/>
                <w:highlight w:val="black"/>
              </w:rPr>
              <w:t>xxxxxxxxxxxxxxxxxxxxxxxxx</w:t>
            </w:r>
          </w:p>
          <w:p w14:paraId="73FF6E8D" w14:textId="782A7C26" w:rsidR="000B148D" w:rsidRPr="00D07FD6" w:rsidRDefault="000B148D" w:rsidP="00CE0351">
            <w:pPr>
              <w:pStyle w:val="Tablebody"/>
              <w:numPr>
                <w:ilvl w:val="0"/>
                <w:numId w:val="28"/>
              </w:numPr>
              <w:spacing w:before="0" w:after="0"/>
              <w:contextualSpacing/>
            </w:pPr>
            <w:r w:rsidRPr="00D07FD6">
              <w:t xml:space="preserve">At least one post-baseline response assessment and no death or objective documentation of radiographic disease progression: </w:t>
            </w:r>
            <w:r w:rsidR="00294FDC" w:rsidRPr="00294FDC">
              <w:rPr>
                <w:color w:val="000000"/>
                <w:highlight w:val="black"/>
              </w:rPr>
              <w:t>xxxxx</w:t>
            </w:r>
            <w:r w:rsidR="00845ED0">
              <w:rPr>
                <w:color w:val="000000"/>
                <w:highlight w:val="black"/>
              </w:rPr>
              <w:t xml:space="preserve"> </w:t>
            </w:r>
            <w:r w:rsidR="00294FDC" w:rsidRPr="00294FDC">
              <w:rPr>
                <w:color w:val="000000"/>
                <w:highlight w:val="black"/>
              </w:rPr>
              <w:t>xxxxxxxxxxxxxxxxxxxxxxxxxxxxxxxxxxxxxxxxxxxxxxxxxxx</w:t>
            </w:r>
            <w:r w:rsidR="006C4BEF">
              <w:rPr>
                <w:color w:val="000000"/>
                <w:highlight w:val="black"/>
              </w:rPr>
              <w:t xml:space="preserve"> </w:t>
            </w:r>
            <w:r w:rsidR="00294FDC" w:rsidRPr="00294FDC">
              <w:rPr>
                <w:color w:val="000000"/>
                <w:highlight w:val="black"/>
              </w:rPr>
              <w:t>xxxxxxx</w:t>
            </w:r>
            <w:r w:rsidR="00030E3D">
              <w:rPr>
                <w:color w:val="000000"/>
                <w:highlight w:val="black"/>
              </w:rPr>
              <w:t xml:space="preserve"> </w:t>
            </w:r>
            <w:r w:rsidR="00294FDC" w:rsidRPr="00294FDC">
              <w:rPr>
                <w:color w:val="000000"/>
                <w:highlight w:val="black"/>
              </w:rPr>
              <w:t>xxxxxxxxxx</w:t>
            </w:r>
          </w:p>
          <w:p w14:paraId="29411BC6" w14:textId="42FD5D10" w:rsidR="000B148D" w:rsidRPr="00D07FD6" w:rsidRDefault="000B148D" w:rsidP="00CE0351">
            <w:pPr>
              <w:pStyle w:val="Tablebody"/>
              <w:numPr>
                <w:ilvl w:val="0"/>
                <w:numId w:val="28"/>
              </w:numPr>
              <w:spacing w:before="0" w:after="0"/>
              <w:contextualSpacing/>
              <w:rPr>
                <w:bCs/>
              </w:rPr>
            </w:pPr>
            <w:r w:rsidRPr="00D07FD6">
              <w:t xml:space="preserve">Started anti-cancer therapy prior to disease progression, death, or analysis cut-off date: </w:t>
            </w:r>
            <w:r w:rsidR="00294FDC" w:rsidRPr="00294FDC">
              <w:rPr>
                <w:color w:val="000000"/>
                <w:highlight w:val="black"/>
              </w:rPr>
              <w:t>xxxxxxxxxxxxxxxxxxxxxxxxxxxxxxxxxxxxxxxxx</w:t>
            </w:r>
            <w:r w:rsidR="00845ED0">
              <w:rPr>
                <w:color w:val="000000"/>
                <w:highlight w:val="black"/>
              </w:rPr>
              <w:t xml:space="preserve"> </w:t>
            </w:r>
            <w:r w:rsidR="00294FDC" w:rsidRPr="00294FDC">
              <w:rPr>
                <w:color w:val="000000"/>
                <w:highlight w:val="black"/>
              </w:rPr>
              <w:t>xxxxxxxxxx</w:t>
            </w:r>
            <w:r w:rsidR="00845ED0">
              <w:rPr>
                <w:color w:val="000000"/>
                <w:highlight w:val="black"/>
              </w:rPr>
              <w:t xml:space="preserve"> </w:t>
            </w:r>
            <w:r w:rsidR="00294FDC" w:rsidRPr="00294FDC">
              <w:rPr>
                <w:color w:val="000000"/>
                <w:highlight w:val="black"/>
              </w:rPr>
              <w:t>xxxxxxxx</w:t>
            </w:r>
            <w:r w:rsidR="00845ED0">
              <w:rPr>
                <w:color w:val="000000"/>
                <w:highlight w:val="black"/>
              </w:rPr>
              <w:t xml:space="preserve"> </w:t>
            </w:r>
            <w:r w:rsidR="00294FDC" w:rsidRPr="00294FDC">
              <w:rPr>
                <w:color w:val="000000"/>
                <w:highlight w:val="black"/>
              </w:rPr>
              <w:t>xxxxxx</w:t>
            </w:r>
            <w:r w:rsidR="00845ED0">
              <w:rPr>
                <w:color w:val="000000"/>
                <w:highlight w:val="black"/>
              </w:rPr>
              <w:t xml:space="preserve"> </w:t>
            </w:r>
            <w:r w:rsidR="00294FDC" w:rsidRPr="00294FDC">
              <w:rPr>
                <w:color w:val="000000"/>
                <w:highlight w:val="black"/>
              </w:rPr>
              <w:t>xxxxxxxxxxxxxxxxxxxxxxxxxxxxxxxxxx</w:t>
            </w:r>
            <w:r w:rsidR="00845ED0">
              <w:rPr>
                <w:color w:val="000000"/>
                <w:highlight w:val="black"/>
              </w:rPr>
              <w:t xml:space="preserve"> </w:t>
            </w:r>
            <w:r w:rsidR="00294FDC" w:rsidRPr="00294FDC">
              <w:rPr>
                <w:color w:val="000000"/>
                <w:highlight w:val="black"/>
              </w:rPr>
              <w:t>xxxxxxx</w:t>
            </w:r>
            <w:r w:rsidR="00845ED0">
              <w:rPr>
                <w:color w:val="000000"/>
                <w:highlight w:val="black"/>
              </w:rPr>
              <w:t xml:space="preserve"> </w:t>
            </w:r>
            <w:r w:rsidR="00294FDC" w:rsidRPr="00294FDC">
              <w:rPr>
                <w:color w:val="000000"/>
                <w:highlight w:val="black"/>
              </w:rPr>
              <w:t>xxxxxxxxxxxxxxxxxxxxxxxxxxxxxxxxx</w:t>
            </w:r>
          </w:p>
        </w:tc>
      </w:tr>
      <w:tr w:rsidR="000B148D" w:rsidRPr="00D07FD6" w14:paraId="17276E62" w14:textId="77777777">
        <w:tc>
          <w:tcPr>
            <w:tcW w:w="5000" w:type="pct"/>
            <w:gridSpan w:val="3"/>
            <w:shd w:val="clear" w:color="auto" w:fill="F2F2F2" w:themeFill="background1" w:themeFillShade="F2"/>
          </w:tcPr>
          <w:p w14:paraId="5F8547FC" w14:textId="77777777" w:rsidR="000B148D" w:rsidRPr="00D07FD6" w:rsidRDefault="000B148D" w:rsidP="00CE0351">
            <w:pPr>
              <w:pStyle w:val="Tableheading"/>
              <w:keepNext/>
              <w:spacing w:before="0" w:after="0"/>
              <w:contextualSpacing/>
            </w:pPr>
            <w:r w:rsidRPr="00D07FD6">
              <w:t>Key secondary endpoint</w:t>
            </w:r>
          </w:p>
        </w:tc>
      </w:tr>
      <w:tr w:rsidR="006C4BEF" w:rsidRPr="00D07FD6" w14:paraId="7EE97629" w14:textId="77777777" w:rsidTr="000B758E">
        <w:tc>
          <w:tcPr>
            <w:tcW w:w="1014" w:type="pct"/>
          </w:tcPr>
          <w:p w14:paraId="5EC2654A" w14:textId="77777777" w:rsidR="000B148D" w:rsidRPr="00D07FD6" w:rsidRDefault="000B148D" w:rsidP="00CE0351">
            <w:pPr>
              <w:pStyle w:val="Tablebody"/>
              <w:spacing w:before="0" w:after="0"/>
              <w:contextualSpacing/>
            </w:pPr>
            <w:r w:rsidRPr="00D07FD6">
              <w:t>OS in the FAS</w:t>
            </w:r>
          </w:p>
        </w:tc>
        <w:tc>
          <w:tcPr>
            <w:tcW w:w="1576" w:type="pct"/>
          </w:tcPr>
          <w:p w14:paraId="62B4B0DB" w14:textId="2114059E" w:rsidR="000B148D" w:rsidRPr="00D07FD6" w:rsidRDefault="000B148D" w:rsidP="00CE0351">
            <w:pPr>
              <w:pStyle w:val="Tablebody"/>
              <w:spacing w:before="0" w:after="0"/>
              <w:contextualSpacing/>
            </w:pPr>
            <w:r w:rsidRPr="00D07FD6">
              <w:t xml:space="preserve">Defined as the time from the </w:t>
            </w:r>
            <w:r w:rsidR="00294FDC" w:rsidRPr="00294FDC">
              <w:rPr>
                <w:color w:val="000000"/>
                <w:highlight w:val="black"/>
              </w:rPr>
              <w:t>xxxxxxx</w:t>
            </w:r>
            <w:r w:rsidR="00030E3D">
              <w:rPr>
                <w:color w:val="000000"/>
                <w:highlight w:val="black"/>
              </w:rPr>
              <w:t xml:space="preserve"> </w:t>
            </w:r>
            <w:r w:rsidR="00294FDC" w:rsidRPr="00294FDC">
              <w:rPr>
                <w:color w:val="000000"/>
                <w:highlight w:val="black"/>
              </w:rPr>
              <w:t>xxxxx</w:t>
            </w:r>
            <w:r w:rsidR="00030E3D">
              <w:rPr>
                <w:color w:val="000000"/>
                <w:highlight w:val="black"/>
              </w:rPr>
              <w:t xml:space="preserve"> </w:t>
            </w:r>
            <w:r w:rsidR="00294FDC" w:rsidRPr="00294FDC">
              <w:rPr>
                <w:color w:val="000000"/>
                <w:highlight w:val="black"/>
              </w:rPr>
              <w:t>xxx</w:t>
            </w:r>
            <w:r w:rsidR="00030E3D">
              <w:rPr>
                <w:color w:val="000000"/>
                <w:highlight w:val="black"/>
              </w:rPr>
              <w:t xml:space="preserve"> </w:t>
            </w:r>
            <w:r w:rsidR="00294FDC" w:rsidRPr="00294FDC">
              <w:rPr>
                <w:color w:val="000000"/>
                <w:highlight w:val="black"/>
              </w:rPr>
              <w:t>xxxxxx</w:t>
            </w:r>
            <w:r w:rsidRPr="00D07FD6">
              <w:t xml:space="preserve"> to the date of death for any cause. If no death was reported for a patient before the data cut-off for </w:t>
            </w:r>
            <w:r w:rsidR="00086C7C">
              <w:t>OS</w:t>
            </w:r>
            <w:r w:rsidRPr="00D07FD6">
              <w:t xml:space="preserve"> analysis, </w:t>
            </w:r>
            <w:r w:rsidR="00086C7C">
              <w:t>OS</w:t>
            </w:r>
            <w:r w:rsidRPr="00D07FD6">
              <w:t xml:space="preserve"> was </w:t>
            </w:r>
            <w:r w:rsidR="00294FDC" w:rsidRPr="00294FDC">
              <w:rPr>
                <w:color w:val="000000"/>
                <w:highlight w:val="black"/>
              </w:rPr>
              <w:t>xxxxxxxxxxxxxxxxxxx</w:t>
            </w:r>
            <w:r w:rsidR="00030E3D">
              <w:rPr>
                <w:color w:val="000000"/>
                <w:highlight w:val="black"/>
              </w:rPr>
              <w:t xml:space="preserve"> </w:t>
            </w:r>
            <w:r w:rsidR="00294FDC" w:rsidRPr="00294FDC">
              <w:rPr>
                <w:color w:val="000000"/>
                <w:highlight w:val="black"/>
              </w:rPr>
              <w:t>xxxxx</w:t>
            </w:r>
            <w:r w:rsidR="00A526F0">
              <w:rPr>
                <w:color w:val="000000"/>
                <w:highlight w:val="black"/>
              </w:rPr>
              <w:t xml:space="preserve"> </w:t>
            </w:r>
            <w:r w:rsidR="00294FDC" w:rsidRPr="00294FDC">
              <w:rPr>
                <w:color w:val="000000"/>
                <w:highlight w:val="black"/>
              </w:rPr>
              <w:t>x</w:t>
            </w:r>
            <w:r w:rsidR="00A526F0">
              <w:rPr>
                <w:color w:val="000000"/>
                <w:highlight w:val="black"/>
              </w:rPr>
              <w:t xml:space="preserve"> </w:t>
            </w:r>
            <w:r w:rsidR="00294FDC" w:rsidRPr="00294FDC">
              <w:rPr>
                <w:color w:val="000000"/>
                <w:highlight w:val="black"/>
              </w:rPr>
              <w:t>xxxxxx</w:t>
            </w:r>
            <w:r w:rsidR="00845ED0">
              <w:rPr>
                <w:color w:val="000000"/>
                <w:highlight w:val="black"/>
              </w:rPr>
              <w:t xml:space="preserve"> </w:t>
            </w:r>
            <w:r w:rsidR="00294FDC" w:rsidRPr="00294FDC">
              <w:rPr>
                <w:color w:val="000000"/>
                <w:highlight w:val="black"/>
              </w:rPr>
              <w:t>xxxxxx</w:t>
            </w:r>
            <w:r w:rsidR="00030E3D">
              <w:rPr>
                <w:color w:val="000000"/>
                <w:highlight w:val="black"/>
              </w:rPr>
              <w:t xml:space="preserve"> </w:t>
            </w:r>
            <w:r w:rsidR="00294FDC" w:rsidRPr="00294FDC">
              <w:rPr>
                <w:color w:val="000000"/>
                <w:highlight w:val="black"/>
              </w:rPr>
              <w:t>xx</w:t>
            </w:r>
            <w:r w:rsidR="00845ED0">
              <w:rPr>
                <w:color w:val="000000"/>
                <w:highlight w:val="black"/>
              </w:rPr>
              <w:t xml:space="preserve"> </w:t>
            </w:r>
            <w:r w:rsidR="00294FDC" w:rsidRPr="00294FDC">
              <w:rPr>
                <w:color w:val="000000"/>
                <w:highlight w:val="black"/>
              </w:rPr>
              <w:t>xxxxxxxxxxxxxxxx</w:t>
            </w:r>
            <w:r w:rsidR="00030E3D">
              <w:rPr>
                <w:color w:val="000000"/>
                <w:highlight w:val="black"/>
              </w:rPr>
              <w:t xml:space="preserve"> </w:t>
            </w:r>
            <w:r w:rsidR="00294FDC" w:rsidRPr="00294FDC">
              <w:rPr>
                <w:color w:val="000000"/>
                <w:highlight w:val="black"/>
              </w:rPr>
              <w:t>xxxxxxxxxxx</w:t>
            </w:r>
            <w:r w:rsidR="00030E3D">
              <w:rPr>
                <w:color w:val="000000"/>
                <w:highlight w:val="black"/>
              </w:rPr>
              <w:t xml:space="preserve"> </w:t>
            </w:r>
          </w:p>
        </w:tc>
        <w:tc>
          <w:tcPr>
            <w:tcW w:w="2410" w:type="pct"/>
          </w:tcPr>
          <w:p w14:paraId="6F723301" w14:textId="682D0B5B" w:rsidR="00562048" w:rsidRDefault="000B148D" w:rsidP="00562048">
            <w:pPr>
              <w:pStyle w:val="Tablebody"/>
              <w:spacing w:before="0" w:after="0"/>
              <w:contextualSpacing/>
              <w:rPr>
                <w:color w:val="000000"/>
                <w:highlight w:val="black"/>
              </w:rPr>
            </w:pPr>
            <w:r w:rsidRPr="00D07FD6">
              <w:t xml:space="preserve">The </w:t>
            </w:r>
            <w:r w:rsidR="00294FDC" w:rsidRPr="00294FDC">
              <w:rPr>
                <w:color w:val="000000"/>
                <w:highlight w:val="black"/>
              </w:rPr>
              <w:t>xxxxxxxxxxxxxxxxxxxxxxxxxxxxxxxxxxxxxxx</w:t>
            </w:r>
            <w:r w:rsidR="00845ED0">
              <w:rPr>
                <w:color w:val="000000"/>
                <w:highlight w:val="black"/>
              </w:rPr>
              <w:t xml:space="preserve"> </w:t>
            </w:r>
            <w:r w:rsidR="00294FDC" w:rsidRPr="00294FDC">
              <w:rPr>
                <w:color w:val="000000"/>
                <w:highlight w:val="black"/>
              </w:rPr>
              <w:t>xxxxxxxxxx</w:t>
            </w:r>
            <w:r w:rsidR="00845ED0">
              <w:rPr>
                <w:color w:val="000000"/>
                <w:highlight w:val="black"/>
              </w:rPr>
              <w:t xml:space="preserve"> </w:t>
            </w:r>
            <w:r w:rsidR="00294FDC" w:rsidRPr="00294FDC">
              <w:rPr>
                <w:color w:val="000000"/>
                <w:highlight w:val="black"/>
              </w:rPr>
              <w:t>xxxx</w:t>
            </w:r>
            <w:r w:rsidR="00845ED0">
              <w:rPr>
                <w:color w:val="000000"/>
                <w:highlight w:val="black"/>
              </w:rPr>
              <w:t xml:space="preserve"> </w:t>
            </w:r>
            <w:r w:rsidR="00294FDC" w:rsidRPr="00294FDC">
              <w:rPr>
                <w:color w:val="000000"/>
                <w:highlight w:val="black"/>
              </w:rPr>
              <w:t>xxxxxxxxx</w:t>
            </w:r>
            <w:r w:rsidR="00845ED0">
              <w:rPr>
                <w:color w:val="000000"/>
                <w:highlight w:val="black"/>
              </w:rPr>
              <w:t xml:space="preserve"> </w:t>
            </w:r>
            <w:r w:rsidR="00294FDC" w:rsidRPr="00294FDC">
              <w:rPr>
                <w:color w:val="000000"/>
                <w:highlight w:val="black"/>
              </w:rPr>
              <w:t>xxxxxxxxxxxxxx</w:t>
            </w:r>
            <w:r w:rsidR="00A526F0">
              <w:rPr>
                <w:color w:val="000000"/>
                <w:highlight w:val="black"/>
              </w:rPr>
              <w:t xml:space="preserve"> </w:t>
            </w:r>
            <w:r w:rsidR="00294FDC" w:rsidRPr="00294FDC">
              <w:rPr>
                <w:color w:val="000000"/>
                <w:highlight w:val="black"/>
              </w:rPr>
              <w:t>xxxxxx</w:t>
            </w:r>
            <w:r w:rsidR="00A526F0">
              <w:rPr>
                <w:color w:val="000000"/>
                <w:highlight w:val="black"/>
              </w:rPr>
              <w:t xml:space="preserve"> </w:t>
            </w:r>
            <w:r w:rsidR="00294FDC" w:rsidRPr="00294FDC">
              <w:rPr>
                <w:color w:val="000000"/>
                <w:highlight w:val="black"/>
              </w:rPr>
              <w:t>xxxx</w:t>
            </w:r>
            <w:r w:rsidR="00A526F0">
              <w:rPr>
                <w:color w:val="000000"/>
                <w:highlight w:val="black"/>
              </w:rPr>
              <w:t xml:space="preserve"> </w:t>
            </w:r>
            <w:r w:rsidR="00294FDC" w:rsidRPr="00294FDC">
              <w:rPr>
                <w:color w:val="000000"/>
                <w:highlight w:val="black"/>
              </w:rPr>
              <w:t>xxxxxxxxxxxxxxxxxxxx</w:t>
            </w:r>
            <w:r w:rsidR="006C4BEF">
              <w:rPr>
                <w:color w:val="000000"/>
                <w:highlight w:val="black"/>
              </w:rPr>
              <w:t xml:space="preserve"> </w:t>
            </w:r>
            <w:r w:rsidR="00294FDC" w:rsidRPr="00294FDC">
              <w:rPr>
                <w:color w:val="000000"/>
                <w:highlight w:val="black"/>
              </w:rPr>
              <w:t>xxxx</w:t>
            </w:r>
            <w:r w:rsidR="00845ED0">
              <w:rPr>
                <w:color w:val="000000"/>
                <w:highlight w:val="black"/>
              </w:rPr>
              <w:t xml:space="preserve"> </w:t>
            </w:r>
            <w:r w:rsidR="00294FDC" w:rsidRPr="00294FDC">
              <w:rPr>
                <w:color w:val="000000"/>
                <w:highlight w:val="black"/>
              </w:rPr>
              <w:t>xx</w:t>
            </w:r>
            <w:r w:rsidR="00562048">
              <w:rPr>
                <w:color w:val="000000"/>
                <w:highlight w:val="black"/>
              </w:rPr>
              <w:t xml:space="preserve"> </w:t>
            </w:r>
            <w:r w:rsidR="00294FDC" w:rsidRPr="00294FDC">
              <w:rPr>
                <w:color w:val="000000"/>
                <w:highlight w:val="black"/>
              </w:rPr>
              <w:t>xxxxxxx</w:t>
            </w:r>
            <w:r w:rsidR="006C4BEF">
              <w:rPr>
                <w:color w:val="000000"/>
                <w:highlight w:val="black"/>
              </w:rPr>
              <w:t xml:space="preserve"> </w:t>
            </w:r>
            <w:r w:rsidR="00294FDC" w:rsidRPr="00294FDC">
              <w:rPr>
                <w:color w:val="000000"/>
                <w:highlight w:val="black"/>
              </w:rPr>
              <w:t>xxxxxxxxxxxxxxxxxx</w:t>
            </w:r>
            <w:r w:rsidR="006C4BEF">
              <w:rPr>
                <w:color w:val="000000"/>
                <w:highlight w:val="black"/>
              </w:rPr>
              <w:t xml:space="preserve"> </w:t>
            </w:r>
            <w:r w:rsidR="00294FDC" w:rsidRPr="00294FDC">
              <w:rPr>
                <w:color w:val="000000"/>
                <w:highlight w:val="black"/>
              </w:rPr>
              <w:t>xxxxxxxxxxxxx</w:t>
            </w:r>
            <w:r w:rsidR="006C4BEF">
              <w:rPr>
                <w:color w:val="000000"/>
                <w:highlight w:val="black"/>
              </w:rPr>
              <w:t xml:space="preserve"> </w:t>
            </w:r>
            <w:r w:rsidR="00294FDC" w:rsidRPr="00294FDC">
              <w:rPr>
                <w:color w:val="000000"/>
                <w:highlight w:val="black"/>
              </w:rPr>
              <w:t>xxxxxxxxxxxx</w:t>
            </w:r>
            <w:r w:rsidR="00A526F0">
              <w:rPr>
                <w:color w:val="000000"/>
                <w:highlight w:val="black"/>
              </w:rPr>
              <w:t xml:space="preserve"> </w:t>
            </w:r>
            <w:r w:rsidR="00294FDC" w:rsidRPr="00294FDC">
              <w:rPr>
                <w:color w:val="000000"/>
                <w:highlight w:val="black"/>
              </w:rPr>
              <w:t>xxxxxxxx</w:t>
            </w:r>
            <w:r w:rsidR="001B53EA">
              <w:rPr>
                <w:color w:val="000000"/>
                <w:highlight w:val="black"/>
              </w:rPr>
              <w:t xml:space="preserve"> </w:t>
            </w:r>
            <w:r w:rsidR="00294FDC" w:rsidRPr="00294FDC">
              <w:rPr>
                <w:color w:val="000000"/>
                <w:highlight w:val="black"/>
              </w:rPr>
              <w:t>xxxxx</w:t>
            </w:r>
            <w:r w:rsidR="00845ED0">
              <w:rPr>
                <w:color w:val="000000"/>
                <w:highlight w:val="black"/>
              </w:rPr>
              <w:t xml:space="preserve"> </w:t>
            </w:r>
            <w:r w:rsidR="00294FDC" w:rsidRPr="00294FDC">
              <w:rPr>
                <w:color w:val="000000"/>
                <w:highlight w:val="black"/>
              </w:rPr>
              <w:t>xxxxxxxx</w:t>
            </w:r>
            <w:r w:rsidR="00845ED0">
              <w:rPr>
                <w:color w:val="000000"/>
                <w:highlight w:val="black"/>
              </w:rPr>
              <w:t xml:space="preserve"> </w:t>
            </w:r>
            <w:r w:rsidR="00294FDC" w:rsidRPr="00294FDC">
              <w:rPr>
                <w:color w:val="000000"/>
                <w:highlight w:val="black"/>
              </w:rPr>
              <w:t>xxxxxxxxxxxxxxxxxxxxxxxxxxxxxx</w:t>
            </w:r>
            <w:r w:rsidR="006C4BEF">
              <w:rPr>
                <w:color w:val="000000"/>
                <w:highlight w:val="black"/>
              </w:rPr>
              <w:t xml:space="preserve"> </w:t>
            </w:r>
            <w:r w:rsidR="00294FDC" w:rsidRPr="00294FDC">
              <w:rPr>
                <w:color w:val="000000"/>
                <w:highlight w:val="black"/>
              </w:rPr>
              <w:t>xxxxxxxxxxx</w:t>
            </w:r>
            <w:r w:rsidR="00845ED0">
              <w:rPr>
                <w:color w:val="000000"/>
                <w:highlight w:val="black"/>
              </w:rPr>
              <w:t xml:space="preserve"> </w:t>
            </w:r>
            <w:r w:rsidR="00294FDC" w:rsidRPr="00294FDC">
              <w:rPr>
                <w:color w:val="000000"/>
                <w:highlight w:val="black"/>
              </w:rPr>
              <w:t>xxxx</w:t>
            </w:r>
            <w:r w:rsidR="006C4BEF">
              <w:rPr>
                <w:color w:val="000000"/>
                <w:highlight w:val="black"/>
              </w:rPr>
              <w:t xml:space="preserve"> </w:t>
            </w:r>
            <w:r w:rsidR="00294FDC" w:rsidRPr="00294FDC">
              <w:rPr>
                <w:color w:val="000000"/>
                <w:highlight w:val="black"/>
              </w:rPr>
              <w:t>xxxxx</w:t>
            </w:r>
            <w:r w:rsidR="00845ED0">
              <w:rPr>
                <w:color w:val="000000"/>
                <w:highlight w:val="black"/>
              </w:rPr>
              <w:t xml:space="preserve"> </w:t>
            </w:r>
            <w:r w:rsidR="00294FDC" w:rsidRPr="00294FDC">
              <w:rPr>
                <w:color w:val="000000"/>
                <w:highlight w:val="black"/>
              </w:rPr>
              <w:t>xxx</w:t>
            </w:r>
            <w:r w:rsidR="001B53EA">
              <w:rPr>
                <w:color w:val="000000"/>
                <w:highlight w:val="black"/>
              </w:rPr>
              <w:t xml:space="preserve"> </w:t>
            </w:r>
            <w:r w:rsidR="00294FDC" w:rsidRPr="00294FDC">
              <w:rPr>
                <w:color w:val="000000"/>
                <w:highlight w:val="black"/>
              </w:rPr>
              <w:t>xxxxxxxxx</w:t>
            </w:r>
            <w:r w:rsidR="00A526F0">
              <w:rPr>
                <w:color w:val="000000"/>
                <w:highlight w:val="black"/>
              </w:rPr>
              <w:t xml:space="preserve"> </w:t>
            </w:r>
            <w:r w:rsidR="00294FDC" w:rsidRPr="00294FDC">
              <w:rPr>
                <w:color w:val="000000"/>
                <w:highlight w:val="black"/>
              </w:rPr>
              <w:t>xxxxxxxxxxxxxxxxx</w:t>
            </w:r>
            <w:r w:rsidR="006C4BEF">
              <w:rPr>
                <w:color w:val="000000"/>
                <w:highlight w:val="black"/>
              </w:rPr>
              <w:t xml:space="preserve"> </w:t>
            </w:r>
            <w:r w:rsidR="00294FDC" w:rsidRPr="00294FDC">
              <w:rPr>
                <w:color w:val="000000"/>
                <w:highlight w:val="black"/>
              </w:rPr>
              <w:t>xxxxxxx</w:t>
            </w:r>
            <w:r w:rsidR="006C4BEF">
              <w:rPr>
                <w:color w:val="000000"/>
                <w:highlight w:val="black"/>
              </w:rPr>
              <w:t xml:space="preserve"> </w:t>
            </w:r>
            <w:r w:rsidR="00294FDC" w:rsidRPr="00294FDC">
              <w:rPr>
                <w:color w:val="000000"/>
                <w:highlight w:val="black"/>
              </w:rPr>
              <w:t>xxxxxx</w:t>
            </w:r>
            <w:r w:rsidR="001B53EA">
              <w:rPr>
                <w:color w:val="000000"/>
                <w:highlight w:val="black"/>
              </w:rPr>
              <w:t xml:space="preserve"> </w:t>
            </w:r>
            <w:r w:rsidR="00294FDC" w:rsidRPr="00294FDC">
              <w:rPr>
                <w:color w:val="000000"/>
                <w:highlight w:val="black"/>
              </w:rPr>
              <w:t>xxxxxxx</w:t>
            </w:r>
            <w:r w:rsidR="001B53EA">
              <w:rPr>
                <w:color w:val="000000"/>
                <w:highlight w:val="black"/>
              </w:rPr>
              <w:t xml:space="preserve"> </w:t>
            </w:r>
            <w:r w:rsidR="00294FDC" w:rsidRPr="00294FDC">
              <w:rPr>
                <w:color w:val="000000"/>
                <w:highlight w:val="black"/>
              </w:rPr>
              <w:t>xxxxxxxxxxxxx</w:t>
            </w:r>
            <w:r w:rsidR="00845ED0">
              <w:rPr>
                <w:color w:val="000000"/>
                <w:highlight w:val="black"/>
              </w:rPr>
              <w:t xml:space="preserve"> </w:t>
            </w:r>
            <w:r w:rsidR="00294FDC" w:rsidRPr="00294FDC">
              <w:rPr>
                <w:color w:val="000000"/>
                <w:highlight w:val="black"/>
              </w:rPr>
              <w:t>xx</w:t>
            </w:r>
            <w:r w:rsidR="00845ED0">
              <w:rPr>
                <w:color w:val="000000"/>
                <w:highlight w:val="black"/>
              </w:rPr>
              <w:t xml:space="preserve"> </w:t>
            </w:r>
            <w:r w:rsidR="00294FDC" w:rsidRPr="00294FDC">
              <w:rPr>
                <w:color w:val="000000"/>
                <w:highlight w:val="black"/>
              </w:rPr>
              <w:t>x</w:t>
            </w:r>
            <w:r w:rsidR="00845ED0">
              <w:rPr>
                <w:color w:val="000000"/>
                <w:highlight w:val="black"/>
              </w:rPr>
              <w:t xml:space="preserve"> </w:t>
            </w:r>
            <w:r w:rsidR="00294FDC" w:rsidRPr="00294FDC">
              <w:rPr>
                <w:color w:val="000000"/>
                <w:highlight w:val="black"/>
              </w:rPr>
              <w:t>xx</w:t>
            </w:r>
            <w:r w:rsidR="00845ED0">
              <w:rPr>
                <w:color w:val="000000"/>
                <w:highlight w:val="black"/>
              </w:rPr>
              <w:t xml:space="preserve"> </w:t>
            </w:r>
            <w:r w:rsidR="00294FDC" w:rsidRPr="00294FDC">
              <w:rPr>
                <w:color w:val="000000"/>
                <w:highlight w:val="black"/>
              </w:rPr>
              <w:t>xxxxxxxxxxxxxxxxxxx</w:t>
            </w:r>
            <w:r w:rsidR="006C4BEF">
              <w:rPr>
                <w:color w:val="000000"/>
                <w:highlight w:val="black"/>
              </w:rPr>
              <w:t xml:space="preserve"> </w:t>
            </w:r>
            <w:r w:rsidR="00294FDC" w:rsidRPr="00294FDC">
              <w:rPr>
                <w:color w:val="000000"/>
                <w:highlight w:val="black"/>
              </w:rPr>
              <w:t>xxxxxxx</w:t>
            </w:r>
            <w:r w:rsidR="006C4BEF">
              <w:rPr>
                <w:color w:val="000000"/>
                <w:highlight w:val="black"/>
              </w:rPr>
              <w:t xml:space="preserve"> </w:t>
            </w:r>
            <w:r w:rsidR="00294FDC" w:rsidRPr="00294FDC">
              <w:rPr>
                <w:color w:val="000000"/>
                <w:highlight w:val="black"/>
              </w:rPr>
              <w:t>xxxxxx</w:t>
            </w:r>
            <w:r w:rsidR="006C4BEF">
              <w:rPr>
                <w:color w:val="000000"/>
                <w:highlight w:val="black"/>
              </w:rPr>
              <w:t xml:space="preserve"> </w:t>
            </w:r>
            <w:r w:rsidR="00294FDC" w:rsidRPr="00294FDC">
              <w:rPr>
                <w:color w:val="000000"/>
                <w:highlight w:val="black"/>
              </w:rPr>
              <w:t>xxxx</w:t>
            </w:r>
            <w:r w:rsidR="00A526F0">
              <w:rPr>
                <w:color w:val="000000"/>
                <w:highlight w:val="black"/>
              </w:rPr>
              <w:t xml:space="preserve"> </w:t>
            </w:r>
            <w:r w:rsidR="00294FDC" w:rsidRPr="00294FDC">
              <w:rPr>
                <w:color w:val="000000"/>
                <w:highlight w:val="black"/>
              </w:rPr>
              <w:lastRenderedPageBreak/>
              <w:t>xxxxxxxxxxxxxxxxxxxxxx</w:t>
            </w:r>
            <w:r w:rsidR="00845ED0">
              <w:rPr>
                <w:color w:val="000000"/>
                <w:highlight w:val="black"/>
              </w:rPr>
              <w:t xml:space="preserve"> </w:t>
            </w:r>
            <w:r w:rsidR="00294FDC" w:rsidRPr="00294FDC">
              <w:rPr>
                <w:color w:val="000000"/>
                <w:highlight w:val="black"/>
              </w:rPr>
              <w:t>xxxx</w:t>
            </w:r>
            <w:r w:rsidR="00845ED0">
              <w:rPr>
                <w:color w:val="000000"/>
                <w:highlight w:val="black"/>
              </w:rPr>
              <w:t xml:space="preserve"> </w:t>
            </w:r>
            <w:r w:rsidR="00294FDC" w:rsidRPr="00294FDC">
              <w:rPr>
                <w:color w:val="000000"/>
                <w:highlight w:val="black"/>
              </w:rPr>
              <w:t>xxxx</w:t>
            </w:r>
            <w:r w:rsidR="00845ED0">
              <w:rPr>
                <w:color w:val="000000"/>
                <w:highlight w:val="black"/>
              </w:rPr>
              <w:t xml:space="preserve"> </w:t>
            </w:r>
            <w:r w:rsidR="00294FDC" w:rsidRPr="00294FDC">
              <w:rPr>
                <w:color w:val="000000"/>
                <w:highlight w:val="black"/>
              </w:rPr>
              <w:t>xxxxxxxxxxxxxxx</w:t>
            </w:r>
            <w:r w:rsidR="00845ED0">
              <w:rPr>
                <w:color w:val="000000"/>
                <w:highlight w:val="black"/>
              </w:rPr>
              <w:t xml:space="preserve"> </w:t>
            </w:r>
            <w:r w:rsidR="00294FDC" w:rsidRPr="00294FDC">
              <w:rPr>
                <w:color w:val="000000"/>
                <w:highlight w:val="black"/>
              </w:rPr>
              <w:t>xxxxxx</w:t>
            </w:r>
            <w:r w:rsidR="006C4BEF">
              <w:rPr>
                <w:color w:val="000000"/>
                <w:highlight w:val="black"/>
              </w:rPr>
              <w:t xml:space="preserve"> </w:t>
            </w:r>
            <w:r w:rsidR="00294FDC" w:rsidRPr="00294FDC">
              <w:rPr>
                <w:color w:val="000000"/>
                <w:highlight w:val="black"/>
              </w:rPr>
              <w:t>xxxxxxxxxxxxxxxxxxxxxxxxxxxxxxx</w:t>
            </w:r>
            <w:r w:rsidR="006C4BEF">
              <w:rPr>
                <w:color w:val="000000"/>
                <w:highlight w:val="black"/>
              </w:rPr>
              <w:t xml:space="preserve"> </w:t>
            </w:r>
            <w:r w:rsidR="00294FDC" w:rsidRPr="00294FDC">
              <w:rPr>
                <w:color w:val="000000"/>
                <w:highlight w:val="black"/>
              </w:rPr>
              <w:t>xxxxxxxx</w:t>
            </w:r>
            <w:r w:rsidR="00A526F0">
              <w:rPr>
                <w:color w:val="000000"/>
                <w:highlight w:val="black"/>
              </w:rPr>
              <w:t xml:space="preserve"> </w:t>
            </w:r>
            <w:r w:rsidR="00294FDC" w:rsidRPr="00294FDC">
              <w:rPr>
                <w:color w:val="000000"/>
                <w:highlight w:val="black"/>
              </w:rPr>
              <w:t>xxxxxx</w:t>
            </w:r>
            <w:r w:rsidR="00845ED0">
              <w:rPr>
                <w:color w:val="000000"/>
                <w:highlight w:val="black"/>
              </w:rPr>
              <w:t xml:space="preserve"> </w:t>
            </w:r>
            <w:r w:rsidR="00294FDC" w:rsidRPr="00294FDC">
              <w:rPr>
                <w:color w:val="000000"/>
                <w:highlight w:val="black"/>
              </w:rPr>
              <w:t>xxxxxx</w:t>
            </w:r>
            <w:r w:rsidR="006C4BEF">
              <w:rPr>
                <w:color w:val="000000"/>
                <w:highlight w:val="black"/>
              </w:rPr>
              <w:t xml:space="preserve"> </w:t>
            </w:r>
            <w:r w:rsidR="00294FDC" w:rsidRPr="00294FDC">
              <w:rPr>
                <w:color w:val="000000"/>
                <w:highlight w:val="black"/>
              </w:rPr>
              <w:t>xxxxxxxx</w:t>
            </w:r>
            <w:r w:rsidR="00845ED0">
              <w:rPr>
                <w:color w:val="000000"/>
                <w:highlight w:val="black"/>
              </w:rPr>
              <w:t xml:space="preserve"> </w:t>
            </w:r>
            <w:r w:rsidR="00294FDC" w:rsidRPr="00294FDC">
              <w:rPr>
                <w:color w:val="000000"/>
                <w:highlight w:val="black"/>
              </w:rPr>
              <w:t>xxxxxxxxxxxxxxxxxxxxxxxx</w:t>
            </w:r>
            <w:r w:rsidR="006C4BEF">
              <w:rPr>
                <w:color w:val="000000"/>
                <w:highlight w:val="black"/>
              </w:rPr>
              <w:t xml:space="preserve"> </w:t>
            </w:r>
            <w:r w:rsidR="00294FDC" w:rsidRPr="00294FDC">
              <w:rPr>
                <w:color w:val="000000"/>
                <w:highlight w:val="black"/>
              </w:rPr>
              <w:t>xxxxxxxx</w:t>
            </w:r>
          </w:p>
          <w:p w14:paraId="53F7034F" w14:textId="1532C0B8" w:rsidR="00562048" w:rsidRPr="00562048" w:rsidRDefault="00294FDC" w:rsidP="00CE0351">
            <w:pPr>
              <w:pStyle w:val="Tablebody"/>
              <w:numPr>
                <w:ilvl w:val="0"/>
                <w:numId w:val="3"/>
              </w:numPr>
              <w:spacing w:before="0" w:after="0"/>
              <w:contextualSpacing/>
            </w:pPr>
            <w:r w:rsidRPr="00294FDC">
              <w:rPr>
                <w:color w:val="000000"/>
                <w:highlight w:val="black"/>
              </w:rPr>
              <w:t>xx</w:t>
            </w:r>
            <w:r w:rsidR="00845ED0">
              <w:rPr>
                <w:color w:val="000000"/>
                <w:highlight w:val="black"/>
              </w:rPr>
              <w:t xml:space="preserve"> </w:t>
            </w:r>
            <w:r w:rsidRPr="00294FDC">
              <w:rPr>
                <w:color w:val="000000"/>
                <w:highlight w:val="black"/>
              </w:rPr>
              <w:t>xx</w:t>
            </w:r>
            <w:r w:rsidR="006C4BEF">
              <w:rPr>
                <w:color w:val="000000"/>
                <w:highlight w:val="black"/>
              </w:rPr>
              <w:t xml:space="preserve"> </w:t>
            </w:r>
            <w:r w:rsidRPr="00294FDC">
              <w:rPr>
                <w:color w:val="000000"/>
                <w:highlight w:val="black"/>
              </w:rPr>
              <w:t>xxxxxxxxxxxxxxxxx</w:t>
            </w:r>
            <w:r w:rsidR="00A526F0">
              <w:rPr>
                <w:color w:val="000000"/>
                <w:highlight w:val="black"/>
              </w:rPr>
              <w:t xml:space="preserve"> </w:t>
            </w:r>
            <w:r w:rsidRPr="00294FDC">
              <w:rPr>
                <w:color w:val="000000"/>
                <w:highlight w:val="black"/>
              </w:rPr>
              <w:t>xxxxxxxxxxxxxxxxxxxx</w:t>
            </w:r>
            <w:r w:rsidR="006C4BEF">
              <w:rPr>
                <w:color w:val="000000"/>
                <w:highlight w:val="black"/>
              </w:rPr>
              <w:t xml:space="preserve"> </w:t>
            </w:r>
            <w:r w:rsidRPr="00294FDC">
              <w:rPr>
                <w:color w:val="000000"/>
                <w:highlight w:val="black"/>
              </w:rPr>
              <w:t>xxxxxxx</w:t>
            </w:r>
            <w:r w:rsidR="00845ED0">
              <w:rPr>
                <w:color w:val="000000"/>
                <w:highlight w:val="black"/>
              </w:rPr>
              <w:t xml:space="preserve"> </w:t>
            </w:r>
            <w:r w:rsidRPr="00294FDC">
              <w:rPr>
                <w:color w:val="000000"/>
                <w:highlight w:val="black"/>
              </w:rPr>
              <w:t>xxxxx</w:t>
            </w:r>
            <w:r w:rsidR="00845ED0">
              <w:rPr>
                <w:color w:val="000000"/>
                <w:highlight w:val="black"/>
              </w:rPr>
              <w:t xml:space="preserve"> </w:t>
            </w:r>
            <w:r w:rsidRPr="00294FDC">
              <w:rPr>
                <w:color w:val="000000"/>
                <w:highlight w:val="black"/>
              </w:rPr>
              <w:t>xxx</w:t>
            </w:r>
            <w:r w:rsidR="00845ED0">
              <w:rPr>
                <w:color w:val="000000"/>
                <w:highlight w:val="black"/>
              </w:rPr>
              <w:t xml:space="preserve"> </w:t>
            </w:r>
            <w:r w:rsidRPr="00294FDC">
              <w:rPr>
                <w:color w:val="000000"/>
                <w:highlight w:val="black"/>
              </w:rPr>
              <w:t>x</w:t>
            </w:r>
          </w:p>
          <w:p w14:paraId="26AF104B" w14:textId="77777777" w:rsidR="00562048" w:rsidRPr="00562048" w:rsidRDefault="00294FDC" w:rsidP="00CE0351">
            <w:pPr>
              <w:pStyle w:val="Tablebody"/>
              <w:numPr>
                <w:ilvl w:val="0"/>
                <w:numId w:val="3"/>
              </w:numPr>
              <w:spacing w:before="0" w:after="0"/>
              <w:contextualSpacing/>
            </w:pPr>
            <w:r w:rsidRPr="00294FDC">
              <w:rPr>
                <w:color w:val="000000"/>
                <w:highlight w:val="black"/>
              </w:rPr>
              <w:t>x</w:t>
            </w:r>
            <w:r w:rsidR="006C4BEF">
              <w:rPr>
                <w:color w:val="000000"/>
                <w:highlight w:val="black"/>
              </w:rPr>
              <w:t xml:space="preserve"> </w:t>
            </w:r>
            <w:r w:rsidRPr="00294FDC">
              <w:rPr>
                <w:color w:val="000000"/>
                <w:highlight w:val="black"/>
              </w:rPr>
              <w:t>x</w:t>
            </w:r>
            <w:r w:rsidR="006C4BEF">
              <w:rPr>
                <w:color w:val="000000"/>
                <w:highlight w:val="black"/>
              </w:rPr>
              <w:t xml:space="preserve"> </w:t>
            </w:r>
            <w:r w:rsidRPr="00294FDC">
              <w:rPr>
                <w:color w:val="000000"/>
                <w:highlight w:val="black"/>
              </w:rPr>
              <w:t>xx</w:t>
            </w:r>
            <w:r w:rsidR="00845ED0">
              <w:rPr>
                <w:color w:val="000000"/>
                <w:highlight w:val="black"/>
              </w:rPr>
              <w:t xml:space="preserve"> </w:t>
            </w:r>
            <w:r w:rsidRPr="00294FDC">
              <w:rPr>
                <w:color w:val="000000"/>
                <w:highlight w:val="black"/>
              </w:rPr>
              <w:t>xxxx</w:t>
            </w:r>
            <w:r w:rsidR="00845ED0">
              <w:rPr>
                <w:color w:val="000000"/>
                <w:highlight w:val="black"/>
              </w:rPr>
              <w:t xml:space="preserve"> </w:t>
            </w:r>
            <w:r w:rsidRPr="00294FDC">
              <w:rPr>
                <w:color w:val="000000"/>
                <w:highlight w:val="black"/>
              </w:rPr>
              <w:t>xxxxxxxxxxxxxxxxxxxxx</w:t>
            </w:r>
            <w:r w:rsidR="006C4BEF">
              <w:rPr>
                <w:color w:val="000000"/>
                <w:highlight w:val="black"/>
              </w:rPr>
              <w:t xml:space="preserve"> </w:t>
            </w:r>
            <w:r w:rsidRPr="00294FDC">
              <w:rPr>
                <w:color w:val="000000"/>
                <w:highlight w:val="black"/>
              </w:rPr>
              <w:t>xxxxxxxxxxxxxxxxxxxxxxx</w:t>
            </w:r>
            <w:r w:rsidR="00A526F0">
              <w:rPr>
                <w:color w:val="000000"/>
                <w:highlight w:val="black"/>
              </w:rPr>
              <w:t xml:space="preserve"> </w:t>
            </w:r>
            <w:r w:rsidRPr="00294FDC">
              <w:rPr>
                <w:color w:val="000000"/>
                <w:highlight w:val="black"/>
              </w:rPr>
              <w:t>xxxxxx</w:t>
            </w:r>
            <w:r w:rsidR="006C4BEF">
              <w:rPr>
                <w:color w:val="000000"/>
                <w:highlight w:val="black"/>
              </w:rPr>
              <w:t xml:space="preserve"> </w:t>
            </w:r>
            <w:r w:rsidRPr="00294FDC">
              <w:rPr>
                <w:color w:val="000000"/>
                <w:highlight w:val="black"/>
              </w:rPr>
              <w:t>xxxx</w:t>
            </w:r>
            <w:r w:rsidR="00845ED0">
              <w:rPr>
                <w:color w:val="000000"/>
                <w:highlight w:val="black"/>
              </w:rPr>
              <w:t xml:space="preserve"> </w:t>
            </w:r>
            <w:r w:rsidRPr="00294FDC">
              <w:rPr>
                <w:color w:val="000000"/>
                <w:highlight w:val="black"/>
              </w:rPr>
              <w:t>xxxxxx</w:t>
            </w:r>
            <w:r w:rsidR="00845ED0">
              <w:rPr>
                <w:color w:val="000000"/>
                <w:highlight w:val="black"/>
              </w:rPr>
              <w:t xml:space="preserve"> </w:t>
            </w:r>
            <w:r w:rsidRPr="00294FDC">
              <w:rPr>
                <w:color w:val="000000"/>
                <w:highlight w:val="black"/>
              </w:rPr>
              <w:t>xxxx</w:t>
            </w:r>
            <w:r w:rsidR="00845ED0">
              <w:rPr>
                <w:color w:val="000000"/>
                <w:highlight w:val="black"/>
              </w:rPr>
              <w:t xml:space="preserve"> </w:t>
            </w:r>
            <w:r w:rsidRPr="00294FDC">
              <w:rPr>
                <w:color w:val="000000"/>
                <w:highlight w:val="black"/>
              </w:rPr>
              <w:t>xxx</w:t>
            </w:r>
            <w:r w:rsidR="00845ED0">
              <w:rPr>
                <w:color w:val="000000"/>
                <w:highlight w:val="black"/>
              </w:rPr>
              <w:t xml:space="preserve"> </w:t>
            </w:r>
            <w:r w:rsidRPr="00294FDC">
              <w:rPr>
                <w:color w:val="000000"/>
                <w:highlight w:val="black"/>
              </w:rPr>
              <w:t>xxxxx</w:t>
            </w:r>
            <w:r w:rsidR="006C4BEF">
              <w:rPr>
                <w:color w:val="000000"/>
                <w:highlight w:val="black"/>
              </w:rPr>
              <w:t xml:space="preserve"> </w:t>
            </w:r>
            <w:r w:rsidRPr="00294FDC">
              <w:rPr>
                <w:color w:val="000000"/>
                <w:highlight w:val="black"/>
              </w:rPr>
              <w:t>x</w:t>
            </w:r>
            <w:r w:rsidR="006C4BEF">
              <w:rPr>
                <w:color w:val="000000"/>
                <w:highlight w:val="black"/>
              </w:rPr>
              <w:t xml:space="preserve"> </w:t>
            </w:r>
            <w:r w:rsidRPr="00294FDC">
              <w:rPr>
                <w:color w:val="000000"/>
                <w:highlight w:val="black"/>
              </w:rPr>
              <w:t>xxxx</w:t>
            </w:r>
            <w:r w:rsidR="006C4BEF">
              <w:rPr>
                <w:color w:val="000000"/>
                <w:highlight w:val="black"/>
              </w:rPr>
              <w:t xml:space="preserve"> </w:t>
            </w:r>
            <w:r w:rsidRPr="00294FDC">
              <w:rPr>
                <w:color w:val="000000"/>
                <w:highlight w:val="black"/>
              </w:rPr>
              <w:t>xxxxx</w:t>
            </w:r>
            <w:r w:rsidR="006C4BEF">
              <w:rPr>
                <w:color w:val="000000"/>
                <w:highlight w:val="black"/>
              </w:rPr>
              <w:t xml:space="preserve"> </w:t>
            </w:r>
            <w:r w:rsidRPr="00294FDC">
              <w:rPr>
                <w:color w:val="000000"/>
                <w:highlight w:val="black"/>
              </w:rPr>
              <w:t>xxxxxxxxxxxxxxxxxxx</w:t>
            </w:r>
            <w:r w:rsidR="006C4BEF">
              <w:rPr>
                <w:color w:val="000000"/>
                <w:highlight w:val="black"/>
              </w:rPr>
              <w:t xml:space="preserve"> </w:t>
            </w:r>
          </w:p>
          <w:p w14:paraId="6ACE1430" w14:textId="4646D6E6" w:rsidR="000B148D" w:rsidRPr="00D07FD6" w:rsidRDefault="00294FDC" w:rsidP="00CE0351">
            <w:pPr>
              <w:pStyle w:val="Tablebody"/>
              <w:numPr>
                <w:ilvl w:val="0"/>
                <w:numId w:val="3"/>
              </w:numPr>
              <w:spacing w:before="0" w:after="0"/>
              <w:contextualSpacing/>
            </w:pPr>
            <w:r w:rsidRPr="00294FDC">
              <w:rPr>
                <w:color w:val="000000"/>
                <w:highlight w:val="black"/>
              </w:rPr>
              <w:t>xxxxxxxxxx</w:t>
            </w:r>
            <w:r w:rsidR="00030E3D">
              <w:rPr>
                <w:color w:val="000000"/>
                <w:highlight w:val="black"/>
              </w:rPr>
              <w:t xml:space="preserve"> </w:t>
            </w:r>
            <w:r w:rsidRPr="00294FDC">
              <w:rPr>
                <w:color w:val="000000"/>
                <w:highlight w:val="black"/>
              </w:rPr>
              <w:t>xxxxxxxxx</w:t>
            </w:r>
            <w:r w:rsidR="006C4BEF">
              <w:rPr>
                <w:color w:val="000000"/>
                <w:highlight w:val="black"/>
              </w:rPr>
              <w:t xml:space="preserve"> </w:t>
            </w:r>
            <w:r w:rsidRPr="00294FDC">
              <w:rPr>
                <w:color w:val="000000"/>
                <w:highlight w:val="black"/>
              </w:rPr>
              <w:t>xxxxxxxxxxxxxxx</w:t>
            </w:r>
            <w:r w:rsidR="00A526F0">
              <w:rPr>
                <w:color w:val="000000"/>
                <w:highlight w:val="black"/>
              </w:rPr>
              <w:t xml:space="preserve"> </w:t>
            </w:r>
            <w:r w:rsidRPr="00294FDC">
              <w:rPr>
                <w:color w:val="000000"/>
                <w:highlight w:val="black"/>
              </w:rPr>
              <w:t>xxxxxx</w:t>
            </w:r>
            <w:r w:rsidR="006C4BEF">
              <w:rPr>
                <w:color w:val="000000"/>
                <w:highlight w:val="black"/>
              </w:rPr>
              <w:t xml:space="preserve"> </w:t>
            </w:r>
            <w:r w:rsidRPr="00294FDC">
              <w:rPr>
                <w:color w:val="000000"/>
                <w:highlight w:val="black"/>
              </w:rPr>
              <w:t>xxxxxxxxxxxxxxxxxxxx</w:t>
            </w:r>
            <w:r w:rsidR="006C4BEF">
              <w:rPr>
                <w:color w:val="000000"/>
                <w:highlight w:val="black"/>
              </w:rPr>
              <w:t xml:space="preserve"> </w:t>
            </w:r>
            <w:r w:rsidRPr="00294FDC">
              <w:rPr>
                <w:color w:val="000000"/>
                <w:highlight w:val="black"/>
              </w:rPr>
              <w:t>xxxxxxxx</w:t>
            </w:r>
            <w:r w:rsidR="00030E3D">
              <w:rPr>
                <w:color w:val="000000"/>
                <w:highlight w:val="black"/>
              </w:rPr>
              <w:t xml:space="preserve">  </w:t>
            </w:r>
            <w:r w:rsidR="00A526F0">
              <w:rPr>
                <w:color w:val="000000"/>
                <w:highlight w:val="black"/>
              </w:rPr>
              <w:t xml:space="preserve"> </w:t>
            </w:r>
            <w:r w:rsidRPr="00294FDC">
              <w:rPr>
                <w:color w:val="000000"/>
                <w:highlight w:val="black"/>
              </w:rPr>
              <w:t>xxxxxxxxxxxx</w:t>
            </w:r>
          </w:p>
        </w:tc>
      </w:tr>
      <w:tr w:rsidR="006C4BEF" w:rsidRPr="00D07FD6" w14:paraId="35074378" w14:textId="77777777" w:rsidTr="000B758E">
        <w:tc>
          <w:tcPr>
            <w:tcW w:w="1014" w:type="pct"/>
          </w:tcPr>
          <w:p w14:paraId="5D67057E" w14:textId="77777777" w:rsidR="000B148D" w:rsidRPr="00D07FD6" w:rsidRDefault="000B148D" w:rsidP="00CE0351">
            <w:pPr>
              <w:pStyle w:val="Tablebody"/>
              <w:spacing w:before="0" w:after="0"/>
              <w:contextualSpacing/>
            </w:pPr>
            <w:r w:rsidRPr="00D07FD6">
              <w:lastRenderedPageBreak/>
              <w:t xml:space="preserve">PFS (by BICR) in the FAS </w:t>
            </w:r>
          </w:p>
        </w:tc>
        <w:tc>
          <w:tcPr>
            <w:tcW w:w="1576" w:type="pct"/>
          </w:tcPr>
          <w:p w14:paraId="544AA3B1" w14:textId="77777777" w:rsidR="000B148D" w:rsidRPr="00D07FD6" w:rsidRDefault="000B148D" w:rsidP="00CE0351">
            <w:pPr>
              <w:pStyle w:val="Tablebody"/>
              <w:spacing w:before="0" w:after="0"/>
              <w:contextualSpacing/>
            </w:pPr>
            <w:r w:rsidRPr="00D07FD6">
              <w:t>As per PFS (by BICR) in the HR-positive cohort</w:t>
            </w:r>
          </w:p>
        </w:tc>
        <w:tc>
          <w:tcPr>
            <w:tcW w:w="2410" w:type="pct"/>
          </w:tcPr>
          <w:p w14:paraId="4E768CE0" w14:textId="77777777" w:rsidR="000B148D" w:rsidRPr="00D07FD6" w:rsidRDefault="000B148D" w:rsidP="00CE0351">
            <w:pPr>
              <w:pStyle w:val="Tablebody"/>
              <w:spacing w:before="0" w:after="0"/>
              <w:contextualSpacing/>
            </w:pPr>
            <w:r w:rsidRPr="00D07FD6">
              <w:t>As per PFS (by BICR) in the HR-positive cohort</w:t>
            </w:r>
          </w:p>
        </w:tc>
      </w:tr>
      <w:tr w:rsidR="006C4BEF" w:rsidRPr="00D07FD6" w14:paraId="37E56306" w14:textId="77777777" w:rsidTr="000B758E">
        <w:tc>
          <w:tcPr>
            <w:tcW w:w="1014" w:type="pct"/>
          </w:tcPr>
          <w:p w14:paraId="72B4211E" w14:textId="427D3B44" w:rsidR="000B148D" w:rsidRPr="00D07FD6" w:rsidRDefault="000B148D" w:rsidP="00CE0351">
            <w:pPr>
              <w:pStyle w:val="Tablebody"/>
              <w:spacing w:before="0" w:after="0"/>
              <w:contextualSpacing/>
            </w:pPr>
            <w:r w:rsidRPr="00D07FD6">
              <w:t>OS in the HR</w:t>
            </w:r>
            <w:r w:rsidR="00C814FD">
              <w:t>-positive</w:t>
            </w:r>
            <w:r w:rsidRPr="00D07FD6">
              <w:t xml:space="preserve"> population</w:t>
            </w:r>
          </w:p>
        </w:tc>
        <w:tc>
          <w:tcPr>
            <w:tcW w:w="1576" w:type="pct"/>
          </w:tcPr>
          <w:p w14:paraId="03676387" w14:textId="77777777" w:rsidR="000B148D" w:rsidRPr="00D07FD6" w:rsidRDefault="000B148D" w:rsidP="00CE0351">
            <w:pPr>
              <w:pStyle w:val="Tablebody"/>
              <w:spacing w:before="0" w:after="0"/>
              <w:contextualSpacing/>
            </w:pPr>
            <w:r w:rsidRPr="00D07FD6">
              <w:t>As per OS in the FAS</w:t>
            </w:r>
          </w:p>
        </w:tc>
        <w:tc>
          <w:tcPr>
            <w:tcW w:w="2410" w:type="pct"/>
          </w:tcPr>
          <w:p w14:paraId="3061ED9D" w14:textId="77777777" w:rsidR="000B148D" w:rsidRPr="00D07FD6" w:rsidRDefault="000B148D" w:rsidP="00CE0351">
            <w:pPr>
              <w:pStyle w:val="Tablebody"/>
              <w:spacing w:before="0" w:after="0"/>
              <w:contextualSpacing/>
            </w:pPr>
            <w:r w:rsidRPr="00D07FD6">
              <w:t>As per OS in the FAS</w:t>
            </w:r>
          </w:p>
        </w:tc>
      </w:tr>
      <w:tr w:rsidR="000B148D" w:rsidRPr="00D07FD6" w14:paraId="1037751A" w14:textId="77777777">
        <w:tc>
          <w:tcPr>
            <w:tcW w:w="5000" w:type="pct"/>
            <w:gridSpan w:val="3"/>
            <w:shd w:val="clear" w:color="auto" w:fill="F2F2F2" w:themeFill="background1" w:themeFillShade="F2"/>
          </w:tcPr>
          <w:p w14:paraId="76149F7D" w14:textId="77777777" w:rsidR="000B148D" w:rsidRPr="00D07FD6" w:rsidRDefault="000B148D" w:rsidP="00CE0351">
            <w:pPr>
              <w:pStyle w:val="Tableheading"/>
              <w:keepNext/>
              <w:spacing w:before="0" w:after="0"/>
              <w:contextualSpacing/>
            </w:pPr>
            <w:r w:rsidRPr="00D07FD6">
              <w:t>Secondary endpoints</w:t>
            </w:r>
          </w:p>
        </w:tc>
      </w:tr>
      <w:tr w:rsidR="006C4BEF" w:rsidRPr="00D07FD6" w14:paraId="1DD8EEF6" w14:textId="77777777" w:rsidTr="000B758E">
        <w:tc>
          <w:tcPr>
            <w:tcW w:w="1014" w:type="pct"/>
          </w:tcPr>
          <w:p w14:paraId="3A940F22" w14:textId="29069A20" w:rsidR="000B148D" w:rsidRPr="00D07FD6" w:rsidRDefault="000B148D" w:rsidP="00CE0351">
            <w:pPr>
              <w:pStyle w:val="Tablebody"/>
              <w:spacing w:before="0" w:after="0"/>
              <w:contextualSpacing/>
            </w:pPr>
            <w:r w:rsidRPr="00D07FD6">
              <w:t>ORR (by BICR) in the FAS</w:t>
            </w:r>
            <w:r w:rsidR="00255C70">
              <w:t xml:space="preserve"> and HR-positive cohort</w:t>
            </w:r>
          </w:p>
        </w:tc>
        <w:tc>
          <w:tcPr>
            <w:tcW w:w="1576" w:type="pct"/>
          </w:tcPr>
          <w:p w14:paraId="5D155707" w14:textId="77777777" w:rsidR="000B148D" w:rsidRPr="00D07FD6" w:rsidRDefault="000B148D" w:rsidP="00CE0351">
            <w:pPr>
              <w:pStyle w:val="Tablebody"/>
              <w:spacing w:before="0" w:after="0"/>
              <w:contextualSpacing/>
            </w:pPr>
            <w:r w:rsidRPr="00D07FD6">
              <w:t>Defined as the proportion of patients who achieved a best overall response of CR or PR, based on BICR. Confirmation of CR or PR was required.</w:t>
            </w:r>
          </w:p>
          <w:p w14:paraId="16B892EB" w14:textId="77777777" w:rsidR="000B148D" w:rsidRPr="00D07FD6" w:rsidRDefault="000B148D" w:rsidP="00CE0351">
            <w:pPr>
              <w:pStyle w:val="Tablebody"/>
              <w:spacing w:before="0" w:after="0"/>
              <w:contextualSpacing/>
            </w:pPr>
            <w:r w:rsidRPr="00D07FD6">
              <w:t>Response definitions:</w:t>
            </w:r>
          </w:p>
          <w:p w14:paraId="41E90003" w14:textId="77777777" w:rsidR="000B148D" w:rsidRPr="00D07FD6" w:rsidRDefault="000B148D" w:rsidP="00CE0351">
            <w:pPr>
              <w:pStyle w:val="Tablebody"/>
              <w:numPr>
                <w:ilvl w:val="0"/>
                <w:numId w:val="13"/>
              </w:numPr>
              <w:spacing w:before="0" w:after="0"/>
              <w:contextualSpacing/>
            </w:pPr>
            <w:r w:rsidRPr="00D07FD6">
              <w:t>CR: disappearance of all target lesions</w:t>
            </w:r>
          </w:p>
          <w:p w14:paraId="22B2473D" w14:textId="77777777" w:rsidR="000B148D" w:rsidRPr="00D07FD6" w:rsidRDefault="000B148D" w:rsidP="00CE0351">
            <w:pPr>
              <w:pStyle w:val="Tablebody"/>
              <w:numPr>
                <w:ilvl w:val="0"/>
                <w:numId w:val="13"/>
              </w:numPr>
              <w:spacing w:before="0" w:after="0"/>
              <w:contextualSpacing/>
            </w:pPr>
            <w:r w:rsidRPr="00D07FD6">
              <w:t>PR: ≥30% decrease in the sum of diameters of target lesions from baseline</w:t>
            </w:r>
          </w:p>
          <w:p w14:paraId="2C63A1F7" w14:textId="77777777" w:rsidR="000B148D" w:rsidRPr="00D07FD6" w:rsidRDefault="000B148D" w:rsidP="00CE0351">
            <w:pPr>
              <w:pStyle w:val="Tablebody"/>
              <w:numPr>
                <w:ilvl w:val="0"/>
                <w:numId w:val="13"/>
              </w:numPr>
              <w:spacing w:before="0" w:after="0"/>
              <w:contextualSpacing/>
            </w:pPr>
            <w:r w:rsidRPr="00D07FD6">
              <w:t>PD: ≥20% increase in sum of diameters of target lesions, taking the smallest sum of diameters since study, or appearance of a new lesion</w:t>
            </w:r>
          </w:p>
          <w:p w14:paraId="05493A0E" w14:textId="77777777" w:rsidR="000B148D" w:rsidRPr="00D07FD6" w:rsidRDefault="000B148D" w:rsidP="00CE0351">
            <w:pPr>
              <w:pStyle w:val="Tablebody"/>
              <w:numPr>
                <w:ilvl w:val="0"/>
                <w:numId w:val="13"/>
              </w:numPr>
              <w:spacing w:before="0" w:after="0"/>
              <w:contextualSpacing/>
            </w:pPr>
            <w:r w:rsidRPr="00D07FD6">
              <w:t>SD: response not fitting the criteria for PR or PD</w:t>
            </w:r>
          </w:p>
        </w:tc>
        <w:tc>
          <w:tcPr>
            <w:tcW w:w="2410" w:type="pct"/>
          </w:tcPr>
          <w:p w14:paraId="6544DCD6" w14:textId="77777777" w:rsidR="000B148D" w:rsidRPr="00D07FD6" w:rsidRDefault="000B148D" w:rsidP="00CE0351">
            <w:pPr>
              <w:pStyle w:val="Tablebody"/>
              <w:spacing w:before="0" w:after="0"/>
              <w:contextualSpacing/>
            </w:pPr>
            <w:r w:rsidRPr="00D07FD6">
              <w:t>Not applicable</w:t>
            </w:r>
          </w:p>
        </w:tc>
      </w:tr>
      <w:tr w:rsidR="006C4BEF" w:rsidRPr="00D07FD6" w14:paraId="063FBD7A" w14:textId="77777777" w:rsidTr="000B758E">
        <w:tc>
          <w:tcPr>
            <w:tcW w:w="1014" w:type="pct"/>
          </w:tcPr>
          <w:p w14:paraId="26541874" w14:textId="12CDBF25" w:rsidR="000B148D" w:rsidRPr="00D07FD6" w:rsidRDefault="000B148D" w:rsidP="00CE0351">
            <w:pPr>
              <w:pStyle w:val="Tablebody"/>
              <w:spacing w:before="0" w:after="0"/>
              <w:contextualSpacing/>
            </w:pPr>
            <w:r w:rsidRPr="00D07FD6">
              <w:t>Duration of response (by BICR) in the FAS</w:t>
            </w:r>
            <w:r w:rsidR="00AE0819">
              <w:t xml:space="preserve"> and HR-positive cohort</w:t>
            </w:r>
          </w:p>
        </w:tc>
        <w:tc>
          <w:tcPr>
            <w:tcW w:w="1576" w:type="pct"/>
          </w:tcPr>
          <w:p w14:paraId="033ADFC1" w14:textId="77777777" w:rsidR="000B148D" w:rsidRPr="00D07FD6" w:rsidRDefault="000B148D" w:rsidP="00CE0351">
            <w:pPr>
              <w:pStyle w:val="Tablebody"/>
              <w:spacing w:before="0" w:after="0"/>
              <w:contextualSpacing/>
            </w:pPr>
            <w:r w:rsidRPr="00D07FD6">
              <w:t xml:space="preserve">Defined as the time from the date of the first documentation of objective response (CR or PR) to the date of the first documentation of disease progression based on BICR or investigator’s assessment or to the date of death due to any cause. Duration of response was to be measured for only patients with a response of CR or PR. Subjects who were </w:t>
            </w:r>
            <w:r w:rsidRPr="00D07FD6">
              <w:lastRenderedPageBreak/>
              <w:t>progression-free at the time of the analyses were to be censored at the</w:t>
            </w:r>
            <w:r w:rsidRPr="00D07FD6">
              <w:rPr>
                <w:spacing w:val="-18"/>
              </w:rPr>
              <w:t xml:space="preserve"> </w:t>
            </w:r>
            <w:r w:rsidRPr="00D07FD6">
              <w:t>date of the last evaluable tumour</w:t>
            </w:r>
            <w:r w:rsidRPr="00D07FD6">
              <w:rPr>
                <w:spacing w:val="-4"/>
              </w:rPr>
              <w:t xml:space="preserve"> </w:t>
            </w:r>
            <w:r w:rsidRPr="00D07FD6">
              <w:t>assessment</w:t>
            </w:r>
          </w:p>
        </w:tc>
        <w:tc>
          <w:tcPr>
            <w:tcW w:w="2410" w:type="pct"/>
          </w:tcPr>
          <w:p w14:paraId="04A698C7" w14:textId="77777777" w:rsidR="000B148D" w:rsidRPr="00D07FD6" w:rsidRDefault="000B148D" w:rsidP="00CE0351">
            <w:pPr>
              <w:pStyle w:val="Tablebody"/>
              <w:spacing w:before="0" w:after="0"/>
              <w:contextualSpacing/>
            </w:pPr>
            <w:r w:rsidRPr="00D07FD6">
              <w:lastRenderedPageBreak/>
              <w:t>Censoring rules were the same as described above for PFS by BICR</w:t>
            </w:r>
          </w:p>
        </w:tc>
      </w:tr>
      <w:tr w:rsidR="006C4BEF" w:rsidRPr="00D07FD6" w14:paraId="7C702242" w14:textId="77777777" w:rsidTr="000B758E">
        <w:tc>
          <w:tcPr>
            <w:tcW w:w="1014" w:type="pct"/>
          </w:tcPr>
          <w:p w14:paraId="565497C0" w14:textId="77777777" w:rsidR="000B148D" w:rsidRPr="00D07FD6" w:rsidRDefault="000B148D" w:rsidP="00CE0351">
            <w:pPr>
              <w:pStyle w:val="Tablebody"/>
              <w:spacing w:before="0" w:after="0"/>
              <w:contextualSpacing/>
            </w:pPr>
            <w:r w:rsidRPr="00D07FD6">
              <w:t>PFS by investigator assessment in the FAS</w:t>
            </w:r>
          </w:p>
        </w:tc>
        <w:tc>
          <w:tcPr>
            <w:tcW w:w="1576" w:type="pct"/>
          </w:tcPr>
          <w:p w14:paraId="064E724E" w14:textId="2B090DAB" w:rsidR="000B148D" w:rsidRPr="00D07FD6" w:rsidRDefault="000B148D" w:rsidP="00CE0351">
            <w:pPr>
              <w:pStyle w:val="Tablebody"/>
              <w:spacing w:before="0" w:after="0"/>
              <w:contextualSpacing/>
            </w:pPr>
            <w:r w:rsidRPr="00D07FD6">
              <w:t xml:space="preserve">Defined as the time </w:t>
            </w:r>
            <w:r w:rsidR="00294FDC" w:rsidRPr="00294FDC">
              <w:rPr>
                <w:color w:val="000000"/>
                <w:highlight w:val="black"/>
              </w:rPr>
              <w:t>xxxxxxxx</w:t>
            </w:r>
            <w:r w:rsidR="00A526F0">
              <w:rPr>
                <w:color w:val="000000"/>
                <w:highlight w:val="black"/>
              </w:rPr>
              <w:t xml:space="preserve"> </w:t>
            </w:r>
            <w:r w:rsidR="00294FDC" w:rsidRPr="00294FDC">
              <w:rPr>
                <w:color w:val="000000"/>
                <w:highlight w:val="black"/>
              </w:rPr>
              <w:t>xxxxxxxxx</w:t>
            </w:r>
            <w:r w:rsidR="00562048">
              <w:rPr>
                <w:color w:val="000000"/>
                <w:highlight w:val="black"/>
              </w:rPr>
              <w:t xml:space="preserve"> </w:t>
            </w:r>
            <w:r w:rsidR="00294FDC" w:rsidRPr="00294FDC">
              <w:rPr>
                <w:color w:val="000000"/>
                <w:highlight w:val="black"/>
              </w:rPr>
              <w:t>xxx</w:t>
            </w:r>
            <w:r w:rsidR="00562048">
              <w:rPr>
                <w:color w:val="000000"/>
                <w:highlight w:val="black"/>
              </w:rPr>
              <w:t xml:space="preserve"> </w:t>
            </w:r>
            <w:r w:rsidR="00294FDC" w:rsidRPr="00294FDC">
              <w:rPr>
                <w:color w:val="000000"/>
                <w:highlight w:val="black"/>
              </w:rPr>
              <w:t>x</w:t>
            </w:r>
            <w:r w:rsidR="00562048">
              <w:rPr>
                <w:color w:val="000000"/>
                <w:highlight w:val="black"/>
              </w:rPr>
              <w:t xml:space="preserve">  </w:t>
            </w:r>
            <w:r w:rsidR="00294FDC" w:rsidRPr="00294FDC">
              <w:rPr>
                <w:color w:val="000000"/>
                <w:highlight w:val="black"/>
              </w:rPr>
              <w:t>x</w:t>
            </w:r>
            <w:r w:rsidR="00845ED0">
              <w:rPr>
                <w:color w:val="000000"/>
                <w:highlight w:val="black"/>
              </w:rPr>
              <w:t xml:space="preserve"> </w:t>
            </w:r>
            <w:r w:rsidR="00294FDC" w:rsidRPr="00294FDC">
              <w:rPr>
                <w:color w:val="000000"/>
                <w:highlight w:val="black"/>
              </w:rPr>
              <w:t>xxxxxxxxxxxxxxxxxxxx</w:t>
            </w:r>
            <w:r w:rsidR="009F3965">
              <w:rPr>
                <w:color w:val="000000"/>
                <w:highlight w:val="black"/>
              </w:rPr>
              <w:t xml:space="preserve"> </w:t>
            </w:r>
            <w:r w:rsidR="00294FDC" w:rsidRPr="00294FDC">
              <w:rPr>
                <w:color w:val="000000"/>
                <w:highlight w:val="black"/>
              </w:rPr>
              <w:t>xxxxxxx</w:t>
            </w:r>
            <w:r w:rsidR="006C4BEF">
              <w:rPr>
                <w:color w:val="000000"/>
                <w:highlight w:val="black"/>
              </w:rPr>
              <w:t xml:space="preserve"> </w:t>
            </w:r>
            <w:r w:rsidR="00294FDC" w:rsidRPr="00294FDC">
              <w:rPr>
                <w:color w:val="000000"/>
                <w:highlight w:val="black"/>
              </w:rPr>
              <w:t>xx</w:t>
            </w:r>
            <w:r w:rsidR="00562048">
              <w:rPr>
                <w:color w:val="000000"/>
                <w:highlight w:val="black"/>
              </w:rPr>
              <w:t xml:space="preserve"> </w:t>
            </w:r>
            <w:r w:rsidR="00294FDC" w:rsidRPr="00294FDC">
              <w:rPr>
                <w:color w:val="000000"/>
                <w:highlight w:val="black"/>
              </w:rPr>
              <w:t>xxx</w:t>
            </w:r>
            <w:r w:rsidR="00562048">
              <w:rPr>
                <w:color w:val="000000"/>
                <w:highlight w:val="black"/>
              </w:rPr>
              <w:t xml:space="preserve"> </w:t>
            </w:r>
            <w:r w:rsidR="00294FDC" w:rsidRPr="00294FDC">
              <w:rPr>
                <w:color w:val="000000"/>
                <w:highlight w:val="black"/>
              </w:rPr>
              <w:t>xx</w:t>
            </w:r>
            <w:r w:rsidR="00562048">
              <w:rPr>
                <w:color w:val="000000"/>
                <w:highlight w:val="black"/>
              </w:rPr>
              <w:t xml:space="preserve"> </w:t>
            </w:r>
            <w:r w:rsidR="00294FDC" w:rsidRPr="00294FDC">
              <w:rPr>
                <w:color w:val="000000"/>
                <w:highlight w:val="black"/>
              </w:rPr>
              <w:t>x</w:t>
            </w:r>
            <w:r w:rsidR="009F3965">
              <w:rPr>
                <w:color w:val="000000"/>
                <w:highlight w:val="black"/>
              </w:rPr>
              <w:t xml:space="preserve"> </w:t>
            </w:r>
            <w:r w:rsidR="00294FDC" w:rsidRPr="00294FDC">
              <w:rPr>
                <w:color w:val="000000"/>
                <w:highlight w:val="black"/>
              </w:rPr>
              <w:t>xx</w:t>
            </w:r>
            <w:r w:rsidR="009F3965">
              <w:rPr>
                <w:color w:val="000000"/>
                <w:highlight w:val="black"/>
              </w:rPr>
              <w:t xml:space="preserve"> </w:t>
            </w:r>
            <w:r w:rsidR="00294FDC" w:rsidRPr="00294FDC">
              <w:rPr>
                <w:color w:val="000000"/>
                <w:highlight w:val="black"/>
              </w:rPr>
              <w:t>xxxxxxxx</w:t>
            </w:r>
            <w:r w:rsidR="009F3965">
              <w:rPr>
                <w:color w:val="000000"/>
                <w:highlight w:val="black"/>
              </w:rPr>
              <w:t xml:space="preserve"> </w:t>
            </w:r>
            <w:r w:rsidR="00294FDC" w:rsidRPr="00294FDC">
              <w:rPr>
                <w:color w:val="000000"/>
                <w:highlight w:val="black"/>
              </w:rPr>
              <w:t>xx</w:t>
            </w:r>
            <w:r w:rsidR="009F3965">
              <w:rPr>
                <w:color w:val="000000"/>
                <w:highlight w:val="black"/>
              </w:rPr>
              <w:t xml:space="preserve"> </w:t>
            </w:r>
            <w:r w:rsidR="00294FDC" w:rsidRPr="00294FDC">
              <w:rPr>
                <w:color w:val="000000"/>
                <w:highlight w:val="black"/>
              </w:rPr>
              <w:t>xxxxxxxxxxxxx</w:t>
            </w:r>
            <w:r w:rsidR="009F3965">
              <w:rPr>
                <w:color w:val="000000"/>
                <w:highlight w:val="black"/>
              </w:rPr>
              <w:t xml:space="preserve"> </w:t>
            </w:r>
            <w:r w:rsidR="00294FDC" w:rsidRPr="00294FDC">
              <w:rPr>
                <w:color w:val="000000"/>
                <w:highlight w:val="black"/>
              </w:rPr>
              <w:t>xx</w:t>
            </w:r>
            <w:r w:rsidR="009F3965">
              <w:rPr>
                <w:color w:val="000000"/>
                <w:highlight w:val="black"/>
              </w:rPr>
              <w:t xml:space="preserve"> </w:t>
            </w:r>
            <w:r w:rsidR="00294FDC" w:rsidRPr="00294FDC">
              <w:rPr>
                <w:color w:val="000000"/>
                <w:highlight w:val="black"/>
              </w:rPr>
              <w:t>xx</w:t>
            </w:r>
            <w:r w:rsidR="00562048">
              <w:rPr>
                <w:color w:val="000000"/>
                <w:highlight w:val="black"/>
              </w:rPr>
              <w:t xml:space="preserve"> </w:t>
            </w:r>
            <w:r w:rsidR="00294FDC" w:rsidRPr="00294FDC">
              <w:rPr>
                <w:color w:val="000000"/>
                <w:highlight w:val="black"/>
              </w:rPr>
              <w:t>xx</w:t>
            </w:r>
            <w:r w:rsidR="00562048">
              <w:rPr>
                <w:color w:val="000000"/>
                <w:highlight w:val="black"/>
              </w:rPr>
              <w:t xml:space="preserve"> </w:t>
            </w:r>
            <w:r w:rsidR="00294FDC" w:rsidRPr="00294FDC">
              <w:rPr>
                <w:color w:val="000000"/>
                <w:highlight w:val="black"/>
              </w:rPr>
              <w:t>xxxx</w:t>
            </w:r>
            <w:r w:rsidR="009F3965">
              <w:rPr>
                <w:color w:val="000000"/>
                <w:highlight w:val="black"/>
              </w:rPr>
              <w:t xml:space="preserve"> </w:t>
            </w:r>
            <w:r w:rsidR="00294FDC" w:rsidRPr="00294FDC">
              <w:rPr>
                <w:color w:val="000000"/>
                <w:highlight w:val="black"/>
              </w:rPr>
              <w:t>xxxxx</w:t>
            </w:r>
            <w:r w:rsidR="009F3965">
              <w:rPr>
                <w:color w:val="000000"/>
                <w:highlight w:val="black"/>
              </w:rPr>
              <w:t xml:space="preserve"> </w:t>
            </w:r>
            <w:r w:rsidR="00294FDC" w:rsidRPr="00294FDC">
              <w:rPr>
                <w:color w:val="000000"/>
                <w:highlight w:val="black"/>
              </w:rPr>
              <w:t>xxxxxxx</w:t>
            </w:r>
            <w:r w:rsidRPr="00D07FD6">
              <w:t xml:space="preserve"> disease progression per investigator assessment </w:t>
            </w:r>
            <w:r w:rsidR="00294FDC" w:rsidRPr="00294FDC">
              <w:rPr>
                <w:color w:val="000000"/>
                <w:highlight w:val="black"/>
              </w:rPr>
              <w:t>xxxxxxxxx</w:t>
            </w:r>
            <w:r w:rsidR="00562048">
              <w:rPr>
                <w:color w:val="000000"/>
                <w:highlight w:val="black"/>
              </w:rPr>
              <w:t xml:space="preserve"> </w:t>
            </w:r>
            <w:r w:rsidR="00294FDC" w:rsidRPr="00294FDC">
              <w:rPr>
                <w:color w:val="000000"/>
                <w:highlight w:val="black"/>
              </w:rPr>
              <w:t>xxxx</w:t>
            </w:r>
            <w:r w:rsidR="00562048">
              <w:rPr>
                <w:color w:val="000000"/>
                <w:highlight w:val="black"/>
              </w:rPr>
              <w:t xml:space="preserve"> </w:t>
            </w:r>
            <w:r w:rsidR="00294FDC" w:rsidRPr="00294FDC">
              <w:rPr>
                <w:color w:val="000000"/>
                <w:highlight w:val="black"/>
              </w:rPr>
              <w:t>xxx</w:t>
            </w:r>
            <w:r w:rsidR="009F3965">
              <w:rPr>
                <w:color w:val="000000"/>
                <w:highlight w:val="black"/>
              </w:rPr>
              <w:t xml:space="preserve"> </w:t>
            </w:r>
            <w:r w:rsidR="00562048">
              <w:rPr>
                <w:color w:val="000000"/>
                <w:highlight w:val="black"/>
              </w:rPr>
              <w:t xml:space="preserve"> </w:t>
            </w:r>
            <w:r w:rsidR="00294FDC" w:rsidRPr="00294FDC">
              <w:rPr>
                <w:color w:val="000000"/>
                <w:highlight w:val="black"/>
              </w:rPr>
              <w:t>xxxxxxxxx</w:t>
            </w:r>
            <w:r w:rsidR="009F3965">
              <w:rPr>
                <w:color w:val="000000"/>
                <w:highlight w:val="black"/>
              </w:rPr>
              <w:t xml:space="preserve"> </w:t>
            </w:r>
            <w:r w:rsidR="00294FDC" w:rsidRPr="00294FDC">
              <w:rPr>
                <w:color w:val="000000"/>
                <w:highlight w:val="black"/>
              </w:rPr>
              <w:t>xxxxxxx</w:t>
            </w:r>
            <w:r w:rsidRPr="00D07FD6">
              <w:t xml:space="preserve"> or </w:t>
            </w:r>
            <w:r w:rsidR="00294FDC" w:rsidRPr="00294FDC">
              <w:rPr>
                <w:color w:val="000000"/>
                <w:highlight w:val="black"/>
              </w:rPr>
              <w:t>xxx</w:t>
            </w:r>
            <w:r w:rsidR="00562048">
              <w:rPr>
                <w:color w:val="000000"/>
                <w:highlight w:val="black"/>
              </w:rPr>
              <w:t xml:space="preserve"> </w:t>
            </w:r>
            <w:r w:rsidR="00294FDC" w:rsidRPr="00294FDC">
              <w:rPr>
                <w:color w:val="000000"/>
                <w:highlight w:val="black"/>
              </w:rPr>
              <w:t>xxx</w:t>
            </w:r>
            <w:r w:rsidR="00562048">
              <w:rPr>
                <w:color w:val="000000"/>
                <w:highlight w:val="black"/>
              </w:rPr>
              <w:t xml:space="preserve"> </w:t>
            </w:r>
            <w:r w:rsidR="00294FDC" w:rsidRPr="00294FDC">
              <w:rPr>
                <w:color w:val="000000"/>
                <w:highlight w:val="black"/>
              </w:rPr>
              <w:t>xxx</w:t>
            </w:r>
            <w:r w:rsidR="00562048">
              <w:rPr>
                <w:color w:val="000000"/>
                <w:highlight w:val="black"/>
              </w:rPr>
              <w:t xml:space="preserve"> </w:t>
            </w:r>
            <w:r w:rsidR="00294FDC" w:rsidRPr="00294FDC">
              <w:rPr>
                <w:color w:val="000000"/>
                <w:highlight w:val="black"/>
              </w:rPr>
              <w:t>xxx</w:t>
            </w:r>
            <w:r w:rsidR="00562048">
              <w:rPr>
                <w:color w:val="000000"/>
                <w:highlight w:val="black"/>
              </w:rPr>
              <w:t xml:space="preserve"> </w:t>
            </w:r>
            <w:r w:rsidR="00294FDC" w:rsidRPr="00294FDC">
              <w:rPr>
                <w:color w:val="000000"/>
                <w:highlight w:val="black"/>
              </w:rPr>
              <w:t>xxx</w:t>
            </w:r>
            <w:r w:rsidR="00562048">
              <w:rPr>
                <w:color w:val="000000"/>
                <w:highlight w:val="black"/>
              </w:rPr>
              <w:t xml:space="preserve"> </w:t>
            </w:r>
          </w:p>
        </w:tc>
        <w:tc>
          <w:tcPr>
            <w:tcW w:w="2410" w:type="pct"/>
          </w:tcPr>
          <w:p w14:paraId="0A83C6D9" w14:textId="77777777" w:rsidR="000B148D" w:rsidRPr="00D07FD6" w:rsidRDefault="000B148D" w:rsidP="00CE0351">
            <w:pPr>
              <w:pStyle w:val="Tablebody"/>
              <w:spacing w:before="0" w:after="0"/>
              <w:contextualSpacing/>
            </w:pPr>
            <w:r w:rsidRPr="00D07FD6">
              <w:t>As per PFS by BICR in the HR-positive cohort</w:t>
            </w:r>
          </w:p>
        </w:tc>
      </w:tr>
      <w:tr w:rsidR="006C4BEF" w:rsidRPr="00D07FD6" w14:paraId="60DB08E4" w14:textId="77777777" w:rsidTr="000B758E">
        <w:tc>
          <w:tcPr>
            <w:tcW w:w="1014" w:type="pct"/>
          </w:tcPr>
          <w:p w14:paraId="74DF3D5A" w14:textId="68B299D5" w:rsidR="000B148D" w:rsidRPr="00D07FD6" w:rsidRDefault="000B148D" w:rsidP="00CE0351">
            <w:pPr>
              <w:pStyle w:val="Tablebody"/>
              <w:spacing w:before="0" w:after="0"/>
              <w:contextualSpacing/>
            </w:pPr>
            <w:r w:rsidRPr="00D07FD6">
              <w:t xml:space="preserve">QoL endpoints </w:t>
            </w:r>
            <w:r w:rsidR="002F7203">
              <w:t>(</w:t>
            </w:r>
            <w:r w:rsidR="003A2111">
              <w:t>related to TTDD</w:t>
            </w:r>
            <w:r w:rsidR="002F7203">
              <w:t>)</w:t>
            </w:r>
            <w:r w:rsidR="003A2111">
              <w:t xml:space="preserve"> </w:t>
            </w:r>
            <w:r w:rsidRPr="00D07FD6">
              <w:t xml:space="preserve">in the </w:t>
            </w:r>
            <w:r w:rsidR="00AE0819">
              <w:t>FAS and</w:t>
            </w:r>
            <w:r w:rsidRPr="00D07FD6">
              <w:t xml:space="preserve"> HR-positive cohort </w:t>
            </w:r>
          </w:p>
        </w:tc>
        <w:tc>
          <w:tcPr>
            <w:tcW w:w="1576" w:type="pct"/>
          </w:tcPr>
          <w:p w14:paraId="33419DCE" w14:textId="13A4803B" w:rsidR="000B148D" w:rsidRPr="00D07FD6" w:rsidRDefault="000B148D" w:rsidP="00CE0351">
            <w:pPr>
              <w:pStyle w:val="Tablebody"/>
              <w:spacing w:before="0" w:after="0"/>
              <w:contextualSpacing/>
            </w:pPr>
            <w:r w:rsidRPr="00D07FD6">
              <w:t>Endpoints included EORTC QLQ-C30, EORTC QLQ-BR45, EQ-5D-5L</w:t>
            </w:r>
          </w:p>
        </w:tc>
        <w:tc>
          <w:tcPr>
            <w:tcW w:w="2410" w:type="pct"/>
          </w:tcPr>
          <w:p w14:paraId="774FC844" w14:textId="77777777" w:rsidR="000B148D" w:rsidRPr="00D07FD6" w:rsidRDefault="000B148D" w:rsidP="00CE0351">
            <w:pPr>
              <w:pStyle w:val="Tablebody"/>
              <w:keepNext/>
              <w:spacing w:before="0" w:after="0"/>
              <w:contextualSpacing/>
              <w:rPr>
                <w:bCs/>
              </w:rPr>
            </w:pPr>
            <w:r w:rsidRPr="00D07FD6">
              <w:rPr>
                <w:bCs/>
              </w:rPr>
              <w:t>If no baseline evaluable QoL and/or no post-baseline QoL assessment:</w:t>
            </w:r>
          </w:p>
          <w:p w14:paraId="4AC2D023" w14:textId="03098AAB" w:rsidR="000B148D" w:rsidRPr="00D07FD6" w:rsidRDefault="000B148D" w:rsidP="00CE0351">
            <w:pPr>
              <w:pStyle w:val="Tablebody"/>
              <w:numPr>
                <w:ilvl w:val="0"/>
                <w:numId w:val="25"/>
              </w:numPr>
              <w:spacing w:before="0" w:after="0"/>
              <w:contextualSpacing/>
              <w:rPr>
                <w:bCs/>
              </w:rPr>
            </w:pPr>
            <w:r w:rsidRPr="00D07FD6">
              <w:rPr>
                <w:bCs/>
              </w:rPr>
              <w:t xml:space="preserve">Death by first survival follow-up (3 months from 40-day visit): </w:t>
            </w:r>
            <w:r w:rsidR="00294FDC" w:rsidRPr="00294FDC">
              <w:rPr>
                <w:bCs/>
                <w:color w:val="000000"/>
                <w:highlight w:val="black"/>
              </w:rPr>
              <w:t>xxxxxxxxxxxxxxxxxxxxxx</w:t>
            </w:r>
          </w:p>
          <w:p w14:paraId="2EB7BD3C" w14:textId="0E36C3F0" w:rsidR="000B148D" w:rsidRPr="00D07FD6" w:rsidRDefault="000B148D" w:rsidP="00CE0351">
            <w:pPr>
              <w:pStyle w:val="Tablebody"/>
              <w:numPr>
                <w:ilvl w:val="0"/>
                <w:numId w:val="25"/>
              </w:numPr>
              <w:spacing w:before="0" w:after="0"/>
              <w:contextualSpacing/>
              <w:rPr>
                <w:bCs/>
              </w:rPr>
            </w:pPr>
            <w:r w:rsidRPr="00D07FD6">
              <w:rPr>
                <w:bCs/>
              </w:rPr>
              <w:t xml:space="preserve">No death: </w:t>
            </w:r>
            <w:r w:rsidR="00294FDC" w:rsidRPr="00294FDC">
              <w:rPr>
                <w:bCs/>
                <w:color w:val="000000"/>
                <w:highlight w:val="black"/>
              </w:rPr>
              <w:t>xxxxxxxxxxxxxxxxxxxxxxxxxxxxxxxxx</w:t>
            </w:r>
          </w:p>
          <w:p w14:paraId="59E37D90" w14:textId="77777777" w:rsidR="000B148D" w:rsidRPr="00D07FD6" w:rsidRDefault="000B148D" w:rsidP="00CE0351">
            <w:pPr>
              <w:pStyle w:val="Tablebody"/>
              <w:spacing w:before="0" w:after="0"/>
              <w:contextualSpacing/>
              <w:rPr>
                <w:bCs/>
              </w:rPr>
            </w:pPr>
            <w:r w:rsidRPr="00D07FD6">
              <w:rPr>
                <w:bCs/>
              </w:rPr>
              <w:t>If baseline and at least one post-baseline QoL assessment:</w:t>
            </w:r>
          </w:p>
          <w:p w14:paraId="773E3E78" w14:textId="3A419574" w:rsidR="000B148D" w:rsidRPr="00D07FD6" w:rsidRDefault="00845ED0" w:rsidP="00CE0351">
            <w:pPr>
              <w:pStyle w:val="Tablebody"/>
              <w:numPr>
                <w:ilvl w:val="0"/>
                <w:numId w:val="26"/>
              </w:numPr>
              <w:spacing w:before="0" w:after="0"/>
              <w:contextualSpacing/>
            </w:pPr>
            <w:r w:rsidRPr="00294FDC">
              <w:rPr>
                <w:color w:val="000000"/>
                <w:highlight w:val="black"/>
              </w:rPr>
              <w:t>X</w:t>
            </w:r>
            <w:r w:rsidR="00294FDC" w:rsidRPr="00294FDC">
              <w:rPr>
                <w:color w:val="000000"/>
                <w:highlight w:val="black"/>
              </w:rPr>
              <w:t>xxxxxxxxxxxxxxxxxxxxxxxxxxxxxxxxxxxxxxxxxxxxxxxxx</w:t>
            </w:r>
            <w:r>
              <w:rPr>
                <w:color w:val="000000"/>
                <w:highlight w:val="black"/>
              </w:rPr>
              <w:t xml:space="preserve"> </w:t>
            </w:r>
            <w:r w:rsidR="00294FDC" w:rsidRPr="00294FDC">
              <w:rPr>
                <w:color w:val="000000"/>
                <w:highlight w:val="black"/>
              </w:rPr>
              <w:t>xxxxxxx</w:t>
            </w:r>
            <w:r>
              <w:rPr>
                <w:color w:val="000000"/>
                <w:highlight w:val="black"/>
              </w:rPr>
              <w:t xml:space="preserve"> </w:t>
            </w:r>
            <w:r w:rsidR="00294FDC" w:rsidRPr="00294FDC">
              <w:rPr>
                <w:color w:val="000000"/>
                <w:highlight w:val="black"/>
              </w:rPr>
              <w:t>xxxxxxxx</w:t>
            </w:r>
            <w:r>
              <w:rPr>
                <w:color w:val="000000"/>
                <w:highlight w:val="black"/>
              </w:rPr>
              <w:t xml:space="preserve"> </w:t>
            </w:r>
            <w:r w:rsidR="00294FDC" w:rsidRPr="00294FDC">
              <w:rPr>
                <w:color w:val="000000"/>
                <w:highlight w:val="black"/>
              </w:rPr>
              <w:t>xxxx</w:t>
            </w:r>
            <w:r>
              <w:rPr>
                <w:color w:val="000000"/>
                <w:highlight w:val="black"/>
              </w:rPr>
              <w:t xml:space="preserve"> </w:t>
            </w:r>
            <w:r w:rsidR="00294FDC" w:rsidRPr="00294FDC">
              <w:rPr>
                <w:color w:val="000000"/>
                <w:highlight w:val="black"/>
              </w:rPr>
              <w:t>xxxxxxxxxxxxxxxxxxxxxxxxxxxxxxxx</w:t>
            </w:r>
            <w:r>
              <w:rPr>
                <w:color w:val="000000"/>
                <w:highlight w:val="black"/>
              </w:rPr>
              <w:t xml:space="preserve"> </w:t>
            </w:r>
            <w:r w:rsidR="00294FDC" w:rsidRPr="00294FDC">
              <w:rPr>
                <w:color w:val="000000"/>
                <w:highlight w:val="black"/>
              </w:rPr>
              <w:t>xxxxxxxxx</w:t>
            </w:r>
            <w:r>
              <w:rPr>
                <w:color w:val="000000"/>
                <w:highlight w:val="black"/>
              </w:rPr>
              <w:t xml:space="preserve"> </w:t>
            </w:r>
            <w:r w:rsidR="00294FDC" w:rsidRPr="00294FDC">
              <w:rPr>
                <w:color w:val="000000"/>
                <w:highlight w:val="black"/>
              </w:rPr>
              <w:t>xxxxxxxxxxxx</w:t>
            </w:r>
            <w:r>
              <w:rPr>
                <w:color w:val="000000"/>
                <w:highlight w:val="black"/>
              </w:rPr>
              <w:t xml:space="preserve"> </w:t>
            </w:r>
            <w:r w:rsidR="00294FDC" w:rsidRPr="00294FDC">
              <w:rPr>
                <w:color w:val="000000"/>
                <w:highlight w:val="black"/>
              </w:rPr>
              <w:t>xxxxx</w:t>
            </w:r>
            <w:r>
              <w:rPr>
                <w:color w:val="000000"/>
                <w:highlight w:val="black"/>
              </w:rPr>
              <w:t xml:space="preserve"> </w:t>
            </w:r>
            <w:r w:rsidR="00294FDC" w:rsidRPr="00294FDC">
              <w:rPr>
                <w:color w:val="000000"/>
                <w:highlight w:val="black"/>
              </w:rPr>
              <w:t>xxxxxxxxxxxx</w:t>
            </w:r>
            <w:r>
              <w:rPr>
                <w:color w:val="000000"/>
                <w:highlight w:val="black"/>
              </w:rPr>
              <w:t xml:space="preserve"> </w:t>
            </w:r>
            <w:r w:rsidR="00294FDC" w:rsidRPr="00294FDC">
              <w:rPr>
                <w:color w:val="000000"/>
                <w:highlight w:val="black"/>
              </w:rPr>
              <w:t>xxxxxxxxxxxxx</w:t>
            </w:r>
            <w:r>
              <w:rPr>
                <w:color w:val="000000"/>
                <w:highlight w:val="black"/>
              </w:rPr>
              <w:t xml:space="preserve"> </w:t>
            </w:r>
            <w:r w:rsidR="00294FDC" w:rsidRPr="00294FDC">
              <w:rPr>
                <w:color w:val="000000"/>
                <w:highlight w:val="black"/>
              </w:rPr>
              <w:t>xxxxxxxx</w:t>
            </w:r>
            <w:r>
              <w:rPr>
                <w:color w:val="000000"/>
                <w:highlight w:val="black"/>
              </w:rPr>
              <w:t xml:space="preserve"> </w:t>
            </w:r>
            <w:r w:rsidR="00294FDC" w:rsidRPr="00294FDC">
              <w:rPr>
                <w:color w:val="000000"/>
                <w:highlight w:val="black"/>
              </w:rPr>
              <w:t>xxxxxxxxx</w:t>
            </w:r>
            <w:r>
              <w:rPr>
                <w:color w:val="000000"/>
                <w:highlight w:val="black"/>
              </w:rPr>
              <w:t xml:space="preserve"> </w:t>
            </w:r>
            <w:r w:rsidR="00294FDC" w:rsidRPr="00294FDC">
              <w:rPr>
                <w:color w:val="000000"/>
                <w:highlight w:val="black"/>
              </w:rPr>
              <w:t>xxxxxxxxx</w:t>
            </w:r>
            <w:r>
              <w:rPr>
                <w:color w:val="000000"/>
                <w:highlight w:val="black"/>
              </w:rPr>
              <w:t xml:space="preserve"> </w:t>
            </w:r>
            <w:r w:rsidR="00294FDC" w:rsidRPr="00294FDC">
              <w:rPr>
                <w:color w:val="000000"/>
                <w:highlight w:val="black"/>
              </w:rPr>
              <w:t>xxxxxxxx</w:t>
            </w:r>
            <w:r>
              <w:rPr>
                <w:color w:val="000000"/>
                <w:highlight w:val="black"/>
              </w:rPr>
              <w:t xml:space="preserve"> </w:t>
            </w:r>
            <w:r w:rsidR="00294FDC" w:rsidRPr="00294FDC">
              <w:rPr>
                <w:color w:val="000000"/>
                <w:highlight w:val="black"/>
              </w:rPr>
              <w:t>xxxxxxxx</w:t>
            </w:r>
            <w:r>
              <w:rPr>
                <w:color w:val="000000"/>
                <w:highlight w:val="black"/>
              </w:rPr>
              <w:t xml:space="preserve"> </w:t>
            </w:r>
            <w:r w:rsidR="00294FDC" w:rsidRPr="00294FDC">
              <w:rPr>
                <w:color w:val="000000"/>
                <w:highlight w:val="black"/>
              </w:rPr>
              <w:t>xxxxxxxxx</w:t>
            </w:r>
            <w:r>
              <w:rPr>
                <w:color w:val="000000"/>
                <w:highlight w:val="black"/>
              </w:rPr>
              <w:t xml:space="preserve"> </w:t>
            </w:r>
            <w:r w:rsidR="00294FDC" w:rsidRPr="00294FDC">
              <w:rPr>
                <w:color w:val="000000"/>
                <w:highlight w:val="black"/>
              </w:rPr>
              <w:t>xxxxxxx</w:t>
            </w:r>
            <w:r>
              <w:rPr>
                <w:color w:val="000000"/>
                <w:highlight w:val="black"/>
              </w:rPr>
              <w:t xml:space="preserve"> </w:t>
            </w:r>
            <w:r w:rsidR="00294FDC" w:rsidRPr="00294FDC">
              <w:rPr>
                <w:color w:val="000000"/>
                <w:highlight w:val="black"/>
              </w:rPr>
              <w:t>xxxxx</w:t>
            </w:r>
            <w:r>
              <w:rPr>
                <w:color w:val="000000"/>
                <w:highlight w:val="black"/>
              </w:rPr>
              <w:t xml:space="preserve"> </w:t>
            </w:r>
            <w:r w:rsidR="00294FDC" w:rsidRPr="00294FDC">
              <w:rPr>
                <w:color w:val="000000"/>
                <w:highlight w:val="black"/>
              </w:rPr>
              <w:t>xxxxxxxxx</w:t>
            </w:r>
            <w:r>
              <w:rPr>
                <w:color w:val="000000"/>
                <w:highlight w:val="black"/>
              </w:rPr>
              <w:t xml:space="preserve"> </w:t>
            </w:r>
            <w:r w:rsidR="00294FDC" w:rsidRPr="00294FDC">
              <w:rPr>
                <w:color w:val="000000"/>
                <w:highlight w:val="black"/>
              </w:rPr>
              <w:t>xxxxxxxxx</w:t>
            </w:r>
            <w:r>
              <w:rPr>
                <w:color w:val="000000"/>
                <w:highlight w:val="black"/>
              </w:rPr>
              <w:t xml:space="preserve"> </w:t>
            </w:r>
            <w:r w:rsidR="00294FDC" w:rsidRPr="00294FDC">
              <w:rPr>
                <w:color w:val="000000"/>
                <w:highlight w:val="black"/>
              </w:rPr>
              <w:t>xxxxxxxxx</w:t>
            </w:r>
            <w:r>
              <w:rPr>
                <w:color w:val="000000"/>
                <w:highlight w:val="black"/>
              </w:rPr>
              <w:t xml:space="preserve"> </w:t>
            </w:r>
            <w:r w:rsidR="00294FDC" w:rsidRPr="00294FDC">
              <w:rPr>
                <w:color w:val="000000"/>
                <w:highlight w:val="black"/>
              </w:rPr>
              <w:t>xxxxxxxxx</w:t>
            </w:r>
            <w:r>
              <w:rPr>
                <w:color w:val="000000"/>
                <w:highlight w:val="black"/>
              </w:rPr>
              <w:t xml:space="preserve"> </w:t>
            </w:r>
            <w:r w:rsidR="00294FDC" w:rsidRPr="00294FDC">
              <w:rPr>
                <w:color w:val="000000"/>
                <w:highlight w:val="black"/>
              </w:rPr>
              <w:t>xxx</w:t>
            </w:r>
            <w:r>
              <w:rPr>
                <w:color w:val="000000"/>
                <w:highlight w:val="black"/>
              </w:rPr>
              <w:t xml:space="preserve"> </w:t>
            </w:r>
            <w:r w:rsidR="00294FDC" w:rsidRPr="00294FDC">
              <w:rPr>
                <w:color w:val="000000"/>
                <w:highlight w:val="black"/>
              </w:rPr>
              <w:t>xxxxx</w:t>
            </w:r>
            <w:r>
              <w:rPr>
                <w:color w:val="000000"/>
                <w:highlight w:val="black"/>
              </w:rPr>
              <w:t xml:space="preserve"> </w:t>
            </w:r>
            <w:r w:rsidR="00294FDC" w:rsidRPr="00294FDC">
              <w:rPr>
                <w:color w:val="000000"/>
                <w:highlight w:val="black"/>
              </w:rPr>
              <w:t>xxxxx</w:t>
            </w:r>
            <w:r>
              <w:rPr>
                <w:color w:val="000000"/>
                <w:highlight w:val="black"/>
              </w:rPr>
              <w:t xml:space="preserve"> </w:t>
            </w:r>
            <w:r w:rsidR="00294FDC" w:rsidRPr="00294FDC">
              <w:rPr>
                <w:color w:val="000000"/>
                <w:highlight w:val="black"/>
              </w:rPr>
              <w:t>xxxxxxxxxxxxxxx</w:t>
            </w:r>
            <w:r>
              <w:rPr>
                <w:color w:val="000000"/>
                <w:highlight w:val="black"/>
              </w:rPr>
              <w:t xml:space="preserve"> </w:t>
            </w:r>
            <w:r w:rsidR="00294FDC" w:rsidRPr="00294FDC">
              <w:rPr>
                <w:color w:val="000000"/>
                <w:highlight w:val="black"/>
              </w:rPr>
              <w:t>xxxxxxxxxxxxxxxxxxxxxxxxxx</w:t>
            </w:r>
            <w:r>
              <w:rPr>
                <w:color w:val="000000"/>
                <w:highlight w:val="black"/>
              </w:rPr>
              <w:t xml:space="preserve"> </w:t>
            </w:r>
            <w:r w:rsidR="00294FDC" w:rsidRPr="00294FDC">
              <w:rPr>
                <w:color w:val="000000"/>
                <w:highlight w:val="black"/>
              </w:rPr>
              <w:t>xxxxxxxx</w:t>
            </w:r>
            <w:r>
              <w:rPr>
                <w:color w:val="000000"/>
                <w:highlight w:val="black"/>
              </w:rPr>
              <w:t xml:space="preserve"> </w:t>
            </w:r>
            <w:r w:rsidR="00294FDC" w:rsidRPr="00294FDC">
              <w:rPr>
                <w:color w:val="000000"/>
                <w:highlight w:val="black"/>
              </w:rPr>
              <w:t>xxxx</w:t>
            </w:r>
            <w:r>
              <w:rPr>
                <w:color w:val="000000"/>
                <w:highlight w:val="black"/>
              </w:rPr>
              <w:t xml:space="preserve"> </w:t>
            </w:r>
            <w:r w:rsidR="00294FDC" w:rsidRPr="00294FDC">
              <w:rPr>
                <w:color w:val="000000"/>
                <w:highlight w:val="black"/>
              </w:rPr>
              <w:t>x</w:t>
            </w:r>
            <w:r>
              <w:rPr>
                <w:color w:val="000000"/>
                <w:highlight w:val="black"/>
              </w:rPr>
              <w:t xml:space="preserve"> </w:t>
            </w:r>
            <w:r w:rsidR="00294FDC" w:rsidRPr="00294FDC">
              <w:rPr>
                <w:color w:val="000000"/>
                <w:highlight w:val="black"/>
              </w:rPr>
              <w:t>xxxxxxxxxxxxxx</w:t>
            </w:r>
            <w:r>
              <w:rPr>
                <w:color w:val="000000"/>
                <w:highlight w:val="black"/>
              </w:rPr>
              <w:t xml:space="preserve"> </w:t>
            </w:r>
            <w:r w:rsidR="00294FDC" w:rsidRPr="00294FDC">
              <w:rPr>
                <w:color w:val="000000"/>
                <w:highlight w:val="black"/>
              </w:rPr>
              <w:t>xxxxxxxxxxxxx</w:t>
            </w:r>
            <w:r>
              <w:rPr>
                <w:color w:val="000000"/>
                <w:highlight w:val="black"/>
              </w:rPr>
              <w:t xml:space="preserve"> </w:t>
            </w:r>
            <w:r w:rsidR="00294FDC" w:rsidRPr="00294FDC">
              <w:rPr>
                <w:color w:val="000000"/>
                <w:highlight w:val="black"/>
              </w:rPr>
              <w:t>xxxxxxxxxxx</w:t>
            </w:r>
            <w:r>
              <w:rPr>
                <w:color w:val="000000"/>
                <w:highlight w:val="black"/>
              </w:rPr>
              <w:t xml:space="preserve"> </w:t>
            </w:r>
            <w:r w:rsidR="00294FDC" w:rsidRPr="00294FDC">
              <w:rPr>
                <w:color w:val="000000"/>
                <w:highlight w:val="black"/>
              </w:rPr>
              <w:t>xxxxxxxxxxx</w:t>
            </w:r>
            <w:r>
              <w:rPr>
                <w:color w:val="000000"/>
                <w:highlight w:val="black"/>
              </w:rPr>
              <w:t xml:space="preserve"> </w:t>
            </w:r>
            <w:r w:rsidR="00294FDC" w:rsidRPr="00294FDC">
              <w:rPr>
                <w:color w:val="000000"/>
                <w:highlight w:val="black"/>
              </w:rPr>
              <w:t>xxxxxxxxx</w:t>
            </w:r>
            <w:r>
              <w:rPr>
                <w:color w:val="000000"/>
                <w:highlight w:val="black"/>
              </w:rPr>
              <w:t xml:space="preserve"> </w:t>
            </w:r>
            <w:r w:rsidR="00294FDC" w:rsidRPr="00294FDC">
              <w:rPr>
                <w:color w:val="000000"/>
                <w:highlight w:val="black"/>
              </w:rPr>
              <w:t>xxxx</w:t>
            </w:r>
            <w:r>
              <w:rPr>
                <w:color w:val="000000"/>
                <w:highlight w:val="black"/>
              </w:rPr>
              <w:t xml:space="preserve"> </w:t>
            </w:r>
            <w:r w:rsidR="00294FDC" w:rsidRPr="00294FDC">
              <w:rPr>
                <w:color w:val="000000"/>
                <w:highlight w:val="black"/>
              </w:rPr>
              <w:t>xxxxxxxxxxxxxxxxxxx</w:t>
            </w:r>
            <w:r w:rsidR="000B148D" w:rsidRPr="00D07FD6">
              <w:t xml:space="preserve">Death by first survival follow-up (3 months from 40-day visit): </w:t>
            </w:r>
            <w:r w:rsidR="00294FDC" w:rsidRPr="00294FDC">
              <w:rPr>
                <w:color w:val="000000"/>
                <w:highlight w:val="black"/>
              </w:rPr>
              <w:t>xxxxxxxxxxxxxxxxxxxxxx</w:t>
            </w:r>
          </w:p>
          <w:p w14:paraId="29EF6AA5" w14:textId="75D3A48E" w:rsidR="000B148D" w:rsidRPr="00D07FD6" w:rsidRDefault="000B148D" w:rsidP="00CE0351">
            <w:pPr>
              <w:pStyle w:val="Tablebody"/>
              <w:numPr>
                <w:ilvl w:val="0"/>
                <w:numId w:val="26"/>
              </w:numPr>
              <w:spacing w:before="0" w:after="0"/>
              <w:contextualSpacing/>
            </w:pPr>
            <w:r w:rsidRPr="00D07FD6">
              <w:t xml:space="preserve">Others: </w:t>
            </w:r>
            <w:r w:rsidR="00294FDC" w:rsidRPr="00294FDC">
              <w:rPr>
                <w:color w:val="000000"/>
                <w:highlight w:val="black"/>
              </w:rPr>
              <w:t>xxxxxxxxxxxxxxxxxxxxxxxxxxxxxxxxxxxx</w:t>
            </w:r>
          </w:p>
        </w:tc>
      </w:tr>
      <w:tr w:rsidR="006C4BEF" w:rsidRPr="00D07FD6" w14:paraId="04611A15" w14:textId="77777777" w:rsidTr="000B758E">
        <w:tc>
          <w:tcPr>
            <w:tcW w:w="1014" w:type="pct"/>
          </w:tcPr>
          <w:p w14:paraId="4DF10192" w14:textId="5FEB509C" w:rsidR="000B148D" w:rsidRPr="00D07FD6" w:rsidRDefault="000B148D" w:rsidP="00CE0351">
            <w:pPr>
              <w:pStyle w:val="Tablebody"/>
              <w:spacing w:before="0" w:after="0"/>
              <w:contextualSpacing/>
            </w:pPr>
            <w:r w:rsidRPr="00D07FD6">
              <w:t>Resource use/ hospitalisation endpoints in the FAS</w:t>
            </w:r>
            <w:r w:rsidR="00255C70">
              <w:t xml:space="preserve"> and HR-positive cohort</w:t>
            </w:r>
          </w:p>
        </w:tc>
        <w:tc>
          <w:tcPr>
            <w:tcW w:w="1576" w:type="pct"/>
          </w:tcPr>
          <w:p w14:paraId="31D629B6" w14:textId="77777777" w:rsidR="000B148D" w:rsidRPr="00D07FD6" w:rsidRDefault="000B148D" w:rsidP="00CE0351">
            <w:pPr>
              <w:pStyle w:val="Tablebody"/>
              <w:spacing w:before="0" w:after="0"/>
              <w:contextualSpacing/>
            </w:pPr>
            <w:r w:rsidRPr="00D07FD6">
              <w:t>Hospitalisation-related endpoints, including:</w:t>
            </w:r>
          </w:p>
          <w:p w14:paraId="000B05A3" w14:textId="77777777" w:rsidR="000B148D" w:rsidRPr="00D07FD6" w:rsidRDefault="000B148D" w:rsidP="00CE0351">
            <w:pPr>
              <w:pStyle w:val="Tablebody"/>
              <w:numPr>
                <w:ilvl w:val="0"/>
                <w:numId w:val="12"/>
              </w:numPr>
              <w:spacing w:before="0" w:after="0"/>
              <w:contextualSpacing/>
            </w:pPr>
            <w:r w:rsidRPr="00D07FD6">
              <w:t>Reasons for hospitalisation</w:t>
            </w:r>
          </w:p>
          <w:p w14:paraId="41E3DB83" w14:textId="77777777" w:rsidR="000B148D" w:rsidRPr="00D07FD6" w:rsidRDefault="000B148D" w:rsidP="00CE0351">
            <w:pPr>
              <w:pStyle w:val="Tablebody"/>
              <w:numPr>
                <w:ilvl w:val="0"/>
                <w:numId w:val="12"/>
              </w:numPr>
              <w:spacing w:before="0" w:after="0"/>
              <w:contextualSpacing/>
            </w:pPr>
            <w:r w:rsidRPr="00D07FD6">
              <w:t>Discharge status</w:t>
            </w:r>
          </w:p>
          <w:p w14:paraId="5D690B41" w14:textId="77777777" w:rsidR="000B148D" w:rsidRPr="00D07FD6" w:rsidRDefault="000B148D" w:rsidP="00CE0351">
            <w:pPr>
              <w:pStyle w:val="Tablebody"/>
              <w:numPr>
                <w:ilvl w:val="0"/>
                <w:numId w:val="12"/>
              </w:numPr>
              <w:spacing w:before="0" w:after="0"/>
              <w:contextualSpacing/>
            </w:pPr>
            <w:r w:rsidRPr="00D07FD6">
              <w:t>Length of hospital and/or ICU stay</w:t>
            </w:r>
          </w:p>
          <w:p w14:paraId="21E19BD9" w14:textId="5CAF5595" w:rsidR="000B148D" w:rsidRPr="00D07FD6" w:rsidRDefault="000B148D" w:rsidP="00CE0351">
            <w:pPr>
              <w:pStyle w:val="Tablebody"/>
              <w:numPr>
                <w:ilvl w:val="0"/>
                <w:numId w:val="12"/>
              </w:numPr>
              <w:spacing w:before="0" w:after="0"/>
              <w:contextualSpacing/>
              <w:rPr>
                <w:sz w:val="23"/>
                <w:szCs w:val="23"/>
              </w:rPr>
            </w:pPr>
            <w:r w:rsidRPr="00D07FD6">
              <w:t>Time to first hospitalisation, defined as the time from the date of randomisation to the date of the first hospitalisation during the study treatment</w:t>
            </w:r>
            <w:r w:rsidR="002F7203">
              <w:t xml:space="preserve"> </w:t>
            </w:r>
            <w:r w:rsidR="00EB4E04">
              <w:t>(</w:t>
            </w:r>
            <w:r w:rsidR="002F7203">
              <w:t>from date of first dose to 47 days after last dose</w:t>
            </w:r>
            <w:r w:rsidR="00EB4E04">
              <w:t>)</w:t>
            </w:r>
          </w:p>
        </w:tc>
        <w:tc>
          <w:tcPr>
            <w:tcW w:w="2410" w:type="pct"/>
          </w:tcPr>
          <w:p w14:paraId="6724A880" w14:textId="77777777" w:rsidR="000B148D" w:rsidRPr="00D07FD6" w:rsidRDefault="000B148D" w:rsidP="00CE0351">
            <w:pPr>
              <w:pStyle w:val="Tablebody"/>
              <w:spacing w:before="0" w:after="0"/>
              <w:contextualSpacing/>
            </w:pPr>
            <w:r w:rsidRPr="00D07FD6">
              <w:t>Not applicable</w:t>
            </w:r>
          </w:p>
        </w:tc>
      </w:tr>
      <w:tr w:rsidR="000B148D" w:rsidRPr="00D07FD6" w14:paraId="5DF30EC6" w14:textId="77777777">
        <w:tc>
          <w:tcPr>
            <w:tcW w:w="5000" w:type="pct"/>
            <w:gridSpan w:val="3"/>
            <w:shd w:val="clear" w:color="auto" w:fill="F2F2F2" w:themeFill="background1" w:themeFillShade="F2"/>
          </w:tcPr>
          <w:p w14:paraId="2E78737B" w14:textId="77777777" w:rsidR="000B148D" w:rsidRPr="00D07FD6" w:rsidRDefault="000B148D" w:rsidP="00CE0351">
            <w:pPr>
              <w:pStyle w:val="Tableheading"/>
              <w:spacing w:before="0" w:after="0"/>
              <w:contextualSpacing/>
            </w:pPr>
            <w:r w:rsidRPr="00D07FD6">
              <w:t>Exploratory endpoints</w:t>
            </w:r>
          </w:p>
        </w:tc>
      </w:tr>
      <w:tr w:rsidR="006C4BEF" w:rsidRPr="00D07FD6" w14:paraId="207A7B8F" w14:textId="77777777" w:rsidTr="000B758E">
        <w:tc>
          <w:tcPr>
            <w:tcW w:w="1014" w:type="pct"/>
          </w:tcPr>
          <w:p w14:paraId="508A9AA5" w14:textId="77777777" w:rsidR="000B148D" w:rsidRPr="00D07FD6" w:rsidRDefault="000B148D" w:rsidP="00CE0351">
            <w:pPr>
              <w:pStyle w:val="Tablebody"/>
              <w:spacing w:before="0" w:after="0"/>
              <w:contextualSpacing/>
            </w:pPr>
            <w:r w:rsidRPr="00D07FD6">
              <w:lastRenderedPageBreak/>
              <w:t>Time to response (by BICR) in the FAS and HR-positive cohort</w:t>
            </w:r>
          </w:p>
        </w:tc>
        <w:tc>
          <w:tcPr>
            <w:tcW w:w="1576" w:type="pct"/>
          </w:tcPr>
          <w:p w14:paraId="705B882D" w14:textId="77777777" w:rsidR="000B148D" w:rsidRPr="00D07FD6" w:rsidRDefault="000B148D" w:rsidP="00CE0351">
            <w:pPr>
              <w:pStyle w:val="Tablebody"/>
              <w:spacing w:before="0" w:after="0"/>
              <w:contextualSpacing/>
            </w:pPr>
            <w:r w:rsidRPr="00D07FD6">
              <w:t>Defined as the time from the date of randomisation to the date of the first documentation of objective response (CR or PR), based on BICR. Time to response was measured for only those patients who had a CR or PR</w:t>
            </w:r>
          </w:p>
        </w:tc>
        <w:tc>
          <w:tcPr>
            <w:tcW w:w="2410" w:type="pct"/>
          </w:tcPr>
          <w:p w14:paraId="02841732" w14:textId="77777777" w:rsidR="000B148D" w:rsidRPr="00D07FD6" w:rsidRDefault="000B148D" w:rsidP="00CE0351">
            <w:pPr>
              <w:pStyle w:val="Tablebody"/>
              <w:spacing w:before="0" w:after="0"/>
              <w:contextualSpacing/>
            </w:pPr>
            <w:r w:rsidRPr="00D07FD6">
              <w:t>NA</w:t>
            </w:r>
          </w:p>
        </w:tc>
      </w:tr>
      <w:tr w:rsidR="006C4BEF" w:rsidRPr="00D07FD6" w14:paraId="10A848E5" w14:textId="77777777" w:rsidTr="000B758E">
        <w:tc>
          <w:tcPr>
            <w:tcW w:w="1014" w:type="pct"/>
          </w:tcPr>
          <w:p w14:paraId="15E2DEBE" w14:textId="77777777" w:rsidR="000B148D" w:rsidRPr="00D07FD6" w:rsidRDefault="000B148D" w:rsidP="00CE0351">
            <w:pPr>
              <w:pStyle w:val="Tablebody"/>
              <w:spacing w:before="0" w:after="0"/>
              <w:contextualSpacing/>
            </w:pPr>
            <w:r w:rsidRPr="00D07FD6">
              <w:t>Best percent change in the sum of the diameter of measurable tumours based on BICR in the FAS and HR-positive cohort</w:t>
            </w:r>
          </w:p>
        </w:tc>
        <w:tc>
          <w:tcPr>
            <w:tcW w:w="1576" w:type="pct"/>
          </w:tcPr>
          <w:p w14:paraId="3B87D592" w14:textId="77777777" w:rsidR="000B148D" w:rsidRPr="00D07FD6" w:rsidRDefault="000B148D" w:rsidP="00CE0351">
            <w:pPr>
              <w:pStyle w:val="Tablebody"/>
              <w:spacing w:before="0" w:after="0"/>
              <w:contextualSpacing/>
            </w:pPr>
            <w:r w:rsidRPr="00D07FD6">
              <w:t>The tumour measurement at the Screening Visit was used as the baseline tumour measurement</w:t>
            </w:r>
          </w:p>
        </w:tc>
        <w:tc>
          <w:tcPr>
            <w:tcW w:w="2410" w:type="pct"/>
          </w:tcPr>
          <w:p w14:paraId="651924DE" w14:textId="77777777" w:rsidR="000B148D" w:rsidRPr="00D07FD6" w:rsidRDefault="000B148D" w:rsidP="00CE0351">
            <w:pPr>
              <w:pStyle w:val="Tablebody"/>
              <w:spacing w:before="0" w:after="0"/>
              <w:contextualSpacing/>
            </w:pPr>
            <w:r w:rsidRPr="00D07FD6">
              <w:t>NA</w:t>
            </w:r>
          </w:p>
        </w:tc>
      </w:tr>
      <w:tr w:rsidR="006C4BEF" w:rsidRPr="00D07FD6" w14:paraId="7BB95E86" w14:textId="77777777" w:rsidTr="000B758E">
        <w:tc>
          <w:tcPr>
            <w:tcW w:w="1014" w:type="pct"/>
          </w:tcPr>
          <w:p w14:paraId="2301306A" w14:textId="77777777" w:rsidR="000B148D" w:rsidRPr="00D07FD6" w:rsidRDefault="000B148D" w:rsidP="00CE0351">
            <w:pPr>
              <w:pStyle w:val="Tablebody"/>
              <w:spacing w:before="0" w:after="0"/>
              <w:contextualSpacing/>
            </w:pPr>
            <w:r w:rsidRPr="00D07FD6">
              <w:t>Clinical benefit rate (by BICR) in the FAS and HR-positive cohort</w:t>
            </w:r>
          </w:p>
        </w:tc>
        <w:tc>
          <w:tcPr>
            <w:tcW w:w="1576" w:type="pct"/>
          </w:tcPr>
          <w:p w14:paraId="7FAB2753" w14:textId="77777777" w:rsidR="000B148D" w:rsidRPr="00D07FD6" w:rsidRDefault="000B148D" w:rsidP="00CE0351">
            <w:pPr>
              <w:pStyle w:val="Tablebody"/>
              <w:spacing w:before="0" w:after="0"/>
              <w:contextualSpacing/>
            </w:pPr>
            <w:r w:rsidRPr="00D07FD6">
              <w:t>Defined as the sum of CR rate, PR rate, and more than 6 months SD rate, based on BICR</w:t>
            </w:r>
          </w:p>
        </w:tc>
        <w:tc>
          <w:tcPr>
            <w:tcW w:w="2410" w:type="pct"/>
          </w:tcPr>
          <w:p w14:paraId="64108CAB" w14:textId="77777777" w:rsidR="000B148D" w:rsidRPr="00D07FD6" w:rsidRDefault="000B148D" w:rsidP="00CE0351">
            <w:pPr>
              <w:pStyle w:val="Tablebody"/>
              <w:spacing w:before="0" w:after="0"/>
              <w:contextualSpacing/>
            </w:pPr>
            <w:r w:rsidRPr="00D07FD6">
              <w:t>Both of the following conditions must have been met for “more than 6 months SD”:</w:t>
            </w:r>
          </w:p>
          <w:p w14:paraId="69F15D27" w14:textId="29A865E4" w:rsidR="000B148D" w:rsidRPr="00D07FD6" w:rsidRDefault="00294FDC" w:rsidP="00CE0351">
            <w:pPr>
              <w:pStyle w:val="Tablebody"/>
              <w:numPr>
                <w:ilvl w:val="0"/>
                <w:numId w:val="21"/>
              </w:numPr>
              <w:spacing w:before="0" w:after="0"/>
              <w:contextualSpacing/>
            </w:pPr>
            <w:r w:rsidRPr="00294FDC">
              <w:rPr>
                <w:color w:val="000000"/>
                <w:highlight w:val="black"/>
              </w:rPr>
              <w:t>xxxxxxxxxxxxxxxxxxxxxxxxxxxx</w:t>
            </w:r>
            <w:r w:rsidR="000B148D" w:rsidRPr="00D07FD6">
              <w:t xml:space="preserve">, and </w:t>
            </w:r>
          </w:p>
          <w:p w14:paraId="6B8F839F" w14:textId="56B568A6" w:rsidR="000B148D" w:rsidRPr="00294FDC" w:rsidRDefault="00294FDC" w:rsidP="00CE0351">
            <w:pPr>
              <w:pStyle w:val="Tablebody"/>
              <w:numPr>
                <w:ilvl w:val="0"/>
                <w:numId w:val="21"/>
              </w:numPr>
              <w:spacing w:before="0" w:after="0"/>
              <w:contextualSpacing/>
              <w:rPr>
                <w:color w:val="000000"/>
                <w:highlight w:val="black"/>
              </w:rPr>
            </w:pPr>
            <w:r w:rsidRPr="00294FDC">
              <w:rPr>
                <w:color w:val="000000"/>
                <w:highlight w:val="black"/>
              </w:rPr>
              <w:t>xxxxxxxxxxxxxxxxxxxxxxxxxxxxxxxxxxx</w:t>
            </w:r>
          </w:p>
        </w:tc>
      </w:tr>
      <w:tr w:rsidR="006C4BEF" w:rsidRPr="00D07FD6" w14:paraId="6AA918DD" w14:textId="77777777" w:rsidTr="000B758E">
        <w:tc>
          <w:tcPr>
            <w:tcW w:w="1014" w:type="pct"/>
          </w:tcPr>
          <w:p w14:paraId="116C2CF3" w14:textId="77777777" w:rsidR="000B148D" w:rsidRPr="00D07FD6" w:rsidRDefault="000B148D" w:rsidP="00CE0351">
            <w:pPr>
              <w:pStyle w:val="Tablebody"/>
              <w:spacing w:before="0" w:after="0"/>
              <w:contextualSpacing/>
            </w:pPr>
            <w:r w:rsidRPr="00D07FD6">
              <w:t>PFS on the next line of therapy (by IA) in the FAS and HR-positive cohort</w:t>
            </w:r>
          </w:p>
        </w:tc>
        <w:tc>
          <w:tcPr>
            <w:tcW w:w="1576" w:type="pct"/>
          </w:tcPr>
          <w:p w14:paraId="7E0519E6" w14:textId="77777777" w:rsidR="000B148D" w:rsidRPr="00D07FD6" w:rsidRDefault="000B148D" w:rsidP="00CE0351">
            <w:pPr>
              <w:pStyle w:val="Tablebody"/>
              <w:spacing w:before="0" w:after="0"/>
              <w:contextualSpacing/>
            </w:pPr>
            <w:r w:rsidRPr="00D07FD6">
              <w:t>Defined as the time from date of randomisation to the first documented progression on next-line therapy or death due to any cause, whichever occurs first</w:t>
            </w:r>
          </w:p>
        </w:tc>
        <w:tc>
          <w:tcPr>
            <w:tcW w:w="2410" w:type="pct"/>
          </w:tcPr>
          <w:p w14:paraId="24BF9287" w14:textId="77777777" w:rsidR="000B148D" w:rsidRPr="00D07FD6" w:rsidRDefault="000B148D" w:rsidP="00CE0351">
            <w:pPr>
              <w:pStyle w:val="Tablebody"/>
              <w:spacing w:before="0" w:after="0"/>
              <w:contextualSpacing/>
              <w:rPr>
                <w:bCs/>
              </w:rPr>
            </w:pPr>
            <w:r w:rsidRPr="00D07FD6">
              <w:rPr>
                <w:bCs/>
              </w:rPr>
              <w:t>If patients did not receive new systemic anti-cancer therapy:</w:t>
            </w:r>
          </w:p>
          <w:p w14:paraId="64651630" w14:textId="2C6B6DAD" w:rsidR="000B148D" w:rsidRPr="00D07FD6" w:rsidRDefault="000B148D" w:rsidP="00CE0351">
            <w:pPr>
              <w:pStyle w:val="Tablebody"/>
              <w:numPr>
                <w:ilvl w:val="0"/>
                <w:numId w:val="22"/>
              </w:numPr>
              <w:spacing w:before="0" w:after="0"/>
              <w:contextualSpacing/>
              <w:rPr>
                <w:bCs/>
              </w:rPr>
            </w:pPr>
            <w:r w:rsidRPr="00D07FD6">
              <w:rPr>
                <w:bCs/>
              </w:rPr>
              <w:t xml:space="preserve">Death: </w:t>
            </w:r>
            <w:r w:rsidR="00294FDC" w:rsidRPr="00294FDC">
              <w:rPr>
                <w:color w:val="000000"/>
                <w:highlight w:val="black"/>
              </w:rPr>
              <w:t>xxxxxxxxxxxxxxxxxxxxxx</w:t>
            </w:r>
          </w:p>
          <w:p w14:paraId="151124C7" w14:textId="378A8D20" w:rsidR="000B148D" w:rsidRPr="00D07FD6" w:rsidRDefault="000B148D" w:rsidP="00CE0351">
            <w:pPr>
              <w:pStyle w:val="Tablebody"/>
              <w:numPr>
                <w:ilvl w:val="0"/>
                <w:numId w:val="22"/>
              </w:numPr>
              <w:spacing w:before="0" w:after="0"/>
              <w:contextualSpacing/>
              <w:rPr>
                <w:bCs/>
              </w:rPr>
            </w:pPr>
            <w:r w:rsidRPr="00D07FD6">
              <w:rPr>
                <w:bCs/>
              </w:rPr>
              <w:t xml:space="preserve">No death: </w:t>
            </w:r>
            <w:r w:rsidR="00294FDC" w:rsidRPr="00294FDC">
              <w:rPr>
                <w:color w:val="000000"/>
                <w:highlight w:val="black"/>
              </w:rPr>
              <w:t>xxxxxxxxxxxxxxxxxxxxxxxxxxxxxxxxxxxxx</w:t>
            </w:r>
          </w:p>
          <w:p w14:paraId="4DBCAB00" w14:textId="77777777" w:rsidR="000B148D" w:rsidRPr="00D07FD6" w:rsidRDefault="000B148D" w:rsidP="00CE0351">
            <w:pPr>
              <w:pStyle w:val="Tablebody"/>
              <w:keepNext/>
              <w:spacing w:before="0" w:after="0"/>
              <w:contextualSpacing/>
              <w:rPr>
                <w:bCs/>
              </w:rPr>
            </w:pPr>
            <w:r w:rsidRPr="00D07FD6">
              <w:rPr>
                <w:bCs/>
              </w:rPr>
              <w:t>If patients received new systemic anti-cancer therapy:</w:t>
            </w:r>
          </w:p>
          <w:p w14:paraId="59F90E7E" w14:textId="2782B16E" w:rsidR="000B148D" w:rsidRPr="00D07FD6" w:rsidRDefault="000B148D" w:rsidP="00CE0351">
            <w:pPr>
              <w:pStyle w:val="Tablebody"/>
              <w:numPr>
                <w:ilvl w:val="0"/>
                <w:numId w:val="23"/>
              </w:numPr>
              <w:spacing w:before="0" w:after="0"/>
              <w:contextualSpacing/>
            </w:pPr>
            <w:r w:rsidRPr="00D07FD6">
              <w:t xml:space="preserve">Disease progression during next line therapy before/on the analysis cut-off date: </w:t>
            </w:r>
            <w:r w:rsidR="00294FDC" w:rsidRPr="00294FDC">
              <w:rPr>
                <w:color w:val="000000"/>
                <w:highlight w:val="black"/>
              </w:rPr>
              <w:t>xxxxxxxxxxxxxxxxxxxxxxxxxxxxxxxxxxxxxxxxxxxxxxx</w:t>
            </w:r>
          </w:p>
          <w:p w14:paraId="42ADDC67" w14:textId="6E605D50" w:rsidR="000B148D" w:rsidRPr="00D07FD6" w:rsidRDefault="000B148D" w:rsidP="00CE0351">
            <w:pPr>
              <w:pStyle w:val="Tablebody"/>
              <w:numPr>
                <w:ilvl w:val="0"/>
                <w:numId w:val="23"/>
              </w:numPr>
              <w:spacing w:before="0" w:after="0"/>
              <w:contextualSpacing/>
            </w:pPr>
            <w:r w:rsidRPr="00D07FD6">
              <w:t xml:space="preserve">Death during next line therapy and before/on the analysis cut-off date: </w:t>
            </w:r>
            <w:r w:rsidR="00294FDC" w:rsidRPr="00294FDC">
              <w:rPr>
                <w:color w:val="000000"/>
                <w:highlight w:val="black"/>
              </w:rPr>
              <w:t>xxxxxxxxx</w:t>
            </w:r>
            <w:r w:rsidR="00845ED0">
              <w:rPr>
                <w:color w:val="000000"/>
                <w:highlight w:val="black"/>
              </w:rPr>
              <w:t xml:space="preserve"> </w:t>
            </w:r>
            <w:r w:rsidR="00294FDC" w:rsidRPr="00294FDC">
              <w:rPr>
                <w:color w:val="000000"/>
                <w:highlight w:val="black"/>
              </w:rPr>
              <w:t>xxxxxxxxxxxxx</w:t>
            </w:r>
          </w:p>
          <w:p w14:paraId="22ED3316" w14:textId="1E4DFB66" w:rsidR="000B148D" w:rsidRPr="00D07FD6" w:rsidRDefault="000B148D" w:rsidP="00CE0351">
            <w:pPr>
              <w:pStyle w:val="Tablebody"/>
              <w:numPr>
                <w:ilvl w:val="0"/>
                <w:numId w:val="24"/>
              </w:numPr>
              <w:spacing w:before="0" w:after="0"/>
              <w:contextualSpacing/>
            </w:pPr>
            <w:r w:rsidRPr="00D07FD6">
              <w:t>No disease progression/death during next line therapy and received a second new systemic anti-cancer therapy before/on the analysis cut</w:t>
            </w:r>
            <w:r w:rsidRPr="00D07FD6">
              <w:noBreakHyphen/>
              <w:t xml:space="preserve">off date: </w:t>
            </w:r>
            <w:r w:rsidR="00294FDC" w:rsidRPr="00294FDC">
              <w:rPr>
                <w:color w:val="000000"/>
                <w:highlight w:val="black"/>
              </w:rPr>
              <w:t>xxxxxxxxxxxxxxxxxxxxxxxxxxx</w:t>
            </w:r>
            <w:r w:rsidR="009F3965">
              <w:rPr>
                <w:color w:val="000000"/>
                <w:highlight w:val="black"/>
              </w:rPr>
              <w:t xml:space="preserve"> </w:t>
            </w:r>
            <w:r w:rsidR="00294FDC" w:rsidRPr="00294FDC">
              <w:rPr>
                <w:color w:val="000000"/>
                <w:highlight w:val="black"/>
              </w:rPr>
              <w:t>xxxxxxxxxxxxxxxxxxxxxxxx</w:t>
            </w:r>
          </w:p>
          <w:p w14:paraId="00CD9A67" w14:textId="6B87A2C4" w:rsidR="000B148D" w:rsidRPr="00D07FD6" w:rsidRDefault="000B148D" w:rsidP="00CE0351">
            <w:pPr>
              <w:pStyle w:val="Tablebody"/>
              <w:numPr>
                <w:ilvl w:val="0"/>
                <w:numId w:val="24"/>
              </w:numPr>
              <w:spacing w:before="0" w:after="0"/>
              <w:contextualSpacing/>
            </w:pPr>
            <w:r w:rsidRPr="00D07FD6">
              <w:t xml:space="preserve">No disease progression/death during next line therapy did not receive a second new systemic anti-cancer therapy before/on the analysis cut-off date: </w:t>
            </w:r>
            <w:r w:rsidR="00294FDC" w:rsidRPr="00294FDC">
              <w:rPr>
                <w:color w:val="000000"/>
                <w:highlight w:val="black"/>
              </w:rPr>
              <w:t>xxxxxxxxx</w:t>
            </w:r>
            <w:r w:rsidR="00845ED0">
              <w:rPr>
                <w:color w:val="000000"/>
                <w:highlight w:val="black"/>
              </w:rPr>
              <w:t xml:space="preserve"> </w:t>
            </w:r>
            <w:r w:rsidR="00294FDC" w:rsidRPr="00294FDC">
              <w:rPr>
                <w:color w:val="000000"/>
                <w:highlight w:val="black"/>
              </w:rPr>
              <w:t>xxxxxxxxxxxxxxxxxxxx</w:t>
            </w:r>
          </w:p>
        </w:tc>
      </w:tr>
      <w:tr w:rsidR="006C4BEF" w:rsidRPr="00D07FD6" w14:paraId="0A4B405B" w14:textId="77777777" w:rsidTr="000B758E">
        <w:tc>
          <w:tcPr>
            <w:tcW w:w="1014" w:type="pct"/>
          </w:tcPr>
          <w:p w14:paraId="742BC002" w14:textId="77777777" w:rsidR="000B148D" w:rsidRPr="00D07FD6" w:rsidRDefault="000B148D" w:rsidP="00CE0351">
            <w:pPr>
              <w:pStyle w:val="Tablebody"/>
              <w:spacing w:before="0" w:after="0"/>
              <w:contextualSpacing/>
            </w:pPr>
            <w:r w:rsidRPr="00D07FD6">
              <w:t>Disease control rate (by BICR or IA) in the FAS and HR-positive cohort</w:t>
            </w:r>
          </w:p>
        </w:tc>
        <w:tc>
          <w:tcPr>
            <w:tcW w:w="1576" w:type="pct"/>
          </w:tcPr>
          <w:p w14:paraId="4D71FD58" w14:textId="77777777" w:rsidR="000B148D" w:rsidRPr="00D07FD6" w:rsidRDefault="000B148D" w:rsidP="00CE0351">
            <w:pPr>
              <w:pStyle w:val="Tablebody"/>
              <w:spacing w:before="0" w:after="0"/>
              <w:contextualSpacing/>
            </w:pPr>
            <w:r w:rsidRPr="00D07FD6">
              <w:t>Defined as the proportion of subjects with BOR of CR, PR, or SD, based on BICR and investigator assessment.</w:t>
            </w:r>
          </w:p>
        </w:tc>
        <w:tc>
          <w:tcPr>
            <w:tcW w:w="2410" w:type="pct"/>
          </w:tcPr>
          <w:p w14:paraId="2910F31C" w14:textId="77777777" w:rsidR="000B148D" w:rsidRPr="00D07FD6" w:rsidRDefault="000B148D" w:rsidP="00CE0351">
            <w:pPr>
              <w:pStyle w:val="Tablebody"/>
              <w:spacing w:before="0" w:after="0"/>
              <w:contextualSpacing/>
              <w:rPr>
                <w:bCs/>
              </w:rPr>
            </w:pPr>
            <w:r w:rsidRPr="00D07FD6">
              <w:rPr>
                <w:bCs/>
              </w:rPr>
              <w:t>NA</w:t>
            </w:r>
          </w:p>
        </w:tc>
      </w:tr>
      <w:tr w:rsidR="006C4BEF" w:rsidRPr="00D07FD6" w14:paraId="0DA7CE45" w14:textId="77777777" w:rsidTr="000B758E">
        <w:tc>
          <w:tcPr>
            <w:tcW w:w="1014" w:type="pct"/>
          </w:tcPr>
          <w:p w14:paraId="03F0ABF8" w14:textId="77777777" w:rsidR="000B148D" w:rsidRPr="00D07FD6" w:rsidRDefault="000B148D" w:rsidP="00CE0351">
            <w:pPr>
              <w:pStyle w:val="Tablebody"/>
              <w:spacing w:before="0" w:after="0"/>
              <w:contextualSpacing/>
            </w:pPr>
            <w:r w:rsidRPr="00D07FD6">
              <w:t>PFS, OS, ORR, and duration of response in the HR-negative cohort</w:t>
            </w:r>
          </w:p>
        </w:tc>
        <w:tc>
          <w:tcPr>
            <w:tcW w:w="1576" w:type="pct"/>
          </w:tcPr>
          <w:p w14:paraId="4301F274" w14:textId="77777777" w:rsidR="000B148D" w:rsidRPr="00D07FD6" w:rsidRDefault="000B148D" w:rsidP="00CE0351">
            <w:pPr>
              <w:pStyle w:val="Tablebody"/>
              <w:spacing w:before="0" w:after="0"/>
              <w:contextualSpacing/>
            </w:pPr>
            <w:r w:rsidRPr="00D07FD6">
              <w:t>As per their respective definitions in the HR-positive cohort and FAS.</w:t>
            </w:r>
          </w:p>
        </w:tc>
        <w:tc>
          <w:tcPr>
            <w:tcW w:w="2410" w:type="pct"/>
          </w:tcPr>
          <w:p w14:paraId="3CBF302C" w14:textId="77777777" w:rsidR="000B148D" w:rsidRPr="00D07FD6" w:rsidRDefault="000B148D" w:rsidP="00CE0351">
            <w:pPr>
              <w:pStyle w:val="Tablebody"/>
              <w:spacing w:before="0" w:after="0"/>
              <w:contextualSpacing/>
              <w:rPr>
                <w:bCs/>
              </w:rPr>
            </w:pPr>
            <w:r w:rsidRPr="00D07FD6">
              <w:t>As per their respective definitions in the HR-positive cohort and FAS.</w:t>
            </w:r>
          </w:p>
        </w:tc>
      </w:tr>
      <w:tr w:rsidR="000B148D" w:rsidRPr="00D07FD6" w14:paraId="2E00AD15" w14:textId="77777777">
        <w:tc>
          <w:tcPr>
            <w:tcW w:w="5000" w:type="pct"/>
            <w:gridSpan w:val="3"/>
            <w:shd w:val="clear" w:color="auto" w:fill="F2F2F2" w:themeFill="background1" w:themeFillShade="F2"/>
          </w:tcPr>
          <w:p w14:paraId="79A0EF13" w14:textId="77777777" w:rsidR="000B148D" w:rsidRPr="00D07FD6" w:rsidRDefault="000B148D" w:rsidP="00CE0351">
            <w:pPr>
              <w:pStyle w:val="Tableheading"/>
              <w:spacing w:before="0" w:after="0"/>
              <w:contextualSpacing/>
            </w:pPr>
            <w:r w:rsidRPr="00D07FD6">
              <w:lastRenderedPageBreak/>
              <w:t>Safety endpoints</w:t>
            </w:r>
          </w:p>
        </w:tc>
      </w:tr>
      <w:tr w:rsidR="006C4BEF" w:rsidRPr="00D07FD6" w14:paraId="517A3770" w14:textId="77777777" w:rsidTr="000B758E">
        <w:tc>
          <w:tcPr>
            <w:tcW w:w="1014" w:type="pct"/>
          </w:tcPr>
          <w:p w14:paraId="6AFCB7CC" w14:textId="08C0554C" w:rsidR="000B148D" w:rsidRPr="00D07FD6" w:rsidRDefault="000B148D" w:rsidP="00CE0351">
            <w:pPr>
              <w:pStyle w:val="Tablebody"/>
              <w:spacing w:before="0" w:after="0"/>
              <w:contextualSpacing/>
            </w:pPr>
            <w:r w:rsidRPr="00D07FD6">
              <w:t>Assessment of AEs and SAEs</w:t>
            </w:r>
            <w:r w:rsidR="009F3965">
              <w:t xml:space="preserve"> </w:t>
            </w:r>
          </w:p>
        </w:tc>
        <w:tc>
          <w:tcPr>
            <w:tcW w:w="1576" w:type="pct"/>
          </w:tcPr>
          <w:p w14:paraId="0BC6C2EB" w14:textId="19E33AA9" w:rsidR="000B148D" w:rsidRPr="00D07FD6" w:rsidRDefault="000B148D" w:rsidP="00CE0351">
            <w:pPr>
              <w:pStyle w:val="Tablebody"/>
              <w:spacing w:before="0" w:after="0"/>
              <w:contextualSpacing/>
            </w:pPr>
            <w:r w:rsidRPr="00D07FD6">
              <w:rPr>
                <w:rStyle w:val="normaltextrun"/>
              </w:rPr>
              <w:t xml:space="preserve">Safety endpoints included SAEs, TEAEs, AEs of special interest, TEAEs associated </w:t>
            </w:r>
            <w:r w:rsidRPr="00D07FD6">
              <w:t xml:space="preserve">with dose reduction and/or study drug interruption, TEAEs associated with discontinuation of study treatment, TEAEs associated with an outcome of death, physical examination findings (including ECOG performance status), </w:t>
            </w:r>
            <w:r w:rsidRPr="00D07FD6">
              <w:rPr>
                <w:rStyle w:val="normaltextrun"/>
              </w:rPr>
              <w:t>vital sign measurements, standard clinical laboratory parameters, ECG parameters, Echo/MUGA findings.</w:t>
            </w:r>
            <w:r w:rsidR="008750CE">
              <w:rPr>
                <w:rStyle w:val="normaltextrun"/>
              </w:rPr>
              <w:t xml:space="preserve"> </w:t>
            </w:r>
            <w:r w:rsidRPr="00D07FD6">
              <w:rPr>
                <w:rStyle w:val="normaltextrun"/>
              </w:rPr>
              <w:t>All AEs were categorised using the MedDRA. AEs and abnormal laboratory test results, if applicable, were graded using NCI CTCAE Version 5.0</w:t>
            </w:r>
          </w:p>
        </w:tc>
        <w:tc>
          <w:tcPr>
            <w:tcW w:w="2410" w:type="pct"/>
          </w:tcPr>
          <w:p w14:paraId="63305D5A" w14:textId="77777777" w:rsidR="000B148D" w:rsidRPr="00D07FD6" w:rsidRDefault="000B148D" w:rsidP="00CE0351">
            <w:pPr>
              <w:pStyle w:val="Tablebody"/>
              <w:spacing w:before="0" w:after="0"/>
              <w:contextualSpacing/>
            </w:pPr>
            <w:r w:rsidRPr="00D07FD6">
              <w:t>NA</w:t>
            </w:r>
          </w:p>
        </w:tc>
      </w:tr>
    </w:tbl>
    <w:p w14:paraId="58AD932F" w14:textId="675EB43B" w:rsidR="000B148D" w:rsidRPr="00D07FD6" w:rsidRDefault="000B148D" w:rsidP="000B148D">
      <w:pPr>
        <w:pStyle w:val="Footnotes"/>
        <w:sectPr w:rsidR="000B148D" w:rsidRPr="00D07FD6" w:rsidSect="00473DF9">
          <w:pgSz w:w="16838" w:h="11906" w:orient="landscape"/>
          <w:pgMar w:top="1440" w:right="1440" w:bottom="1440" w:left="1440" w:header="708" w:footer="708" w:gutter="0"/>
          <w:cols w:space="708"/>
          <w:docGrid w:linePitch="360"/>
        </w:sectPr>
      </w:pPr>
      <w:r w:rsidRPr="00D07FD6">
        <w:t xml:space="preserve">Abbreviations: </w:t>
      </w:r>
      <w:r w:rsidRPr="00D07FD6">
        <w:rPr>
          <w:rStyle w:val="normaltextrun"/>
          <w:rFonts w:cs="Yu Gothic Light"/>
          <w:shd w:val="clear" w:color="auto" w:fill="FFFFFF"/>
        </w:rPr>
        <w:t xml:space="preserve">BICR, blinded independent central review; </w:t>
      </w:r>
      <w:r w:rsidR="004E4B3E">
        <w:rPr>
          <w:rStyle w:val="normaltextrun"/>
          <w:rFonts w:cs="Yu Gothic Light"/>
          <w:shd w:val="clear" w:color="auto" w:fill="FFFFFF"/>
        </w:rPr>
        <w:t xml:space="preserve">BOR, best overall response; </w:t>
      </w:r>
      <w:r w:rsidRPr="00D07FD6">
        <w:rPr>
          <w:rStyle w:val="normaltextrun"/>
          <w:rFonts w:cs="Yu Gothic Light"/>
          <w:shd w:val="clear" w:color="auto" w:fill="FFFFFF"/>
        </w:rPr>
        <w:t xml:space="preserve">CR, complete response; CTCAE, Common Terminology Criteria for Adverse Events; Echo, echocardiogram; ECG, electrocardiogram; ECOG, Eastern Cooperative Oncology Group; eCRF, electronic case report from; EORTC, </w:t>
      </w:r>
      <w:r w:rsidRPr="00D07FD6">
        <w:t>European Organisation for Research and Treatment of Cancer;</w:t>
      </w:r>
      <w:r>
        <w:t xml:space="preserve"> </w:t>
      </w:r>
      <w:r w:rsidR="00C814FD">
        <w:t>FAS, full analysis set; HR</w:t>
      </w:r>
      <w:r w:rsidR="00146B3A">
        <w:t>-positive</w:t>
      </w:r>
      <w:r w:rsidR="00C814FD">
        <w:t>, hormone receptor</w:t>
      </w:r>
      <w:r w:rsidR="00146B3A">
        <w:t>-positive</w:t>
      </w:r>
      <w:r w:rsidR="00C814FD">
        <w:t>;</w:t>
      </w:r>
      <w:r w:rsidRPr="00D07FD6">
        <w:rPr>
          <w:rStyle w:val="normaltextrun"/>
          <w:rFonts w:cs="Yu Gothic Light"/>
          <w:shd w:val="clear" w:color="auto" w:fill="FFFFFF"/>
        </w:rPr>
        <w:t xml:space="preserve"> IA, investigator assessment; ICU, intensive care unit; MedDRA, Medical Dictionary for Regulatory Activities; mRECIST, modified Response Evaluation Criteria in Solid Tumours; MUGA, multigated acquisition scan; NA, not applicable; NCI, National Cancer Institute; ORR, objective response rate; OS, overall survival; PD, progressive disease; PFS, progression-free survival; PK, pharmacokinetics; PR, partial response; QLQ</w:t>
      </w:r>
      <w:r w:rsidRPr="00D07FD6">
        <w:rPr>
          <w:rStyle w:val="normaltextrun"/>
          <w:rFonts w:cs="Yu Gothic Light"/>
          <w:shd w:val="clear" w:color="auto" w:fill="FFFFFF"/>
        </w:rPr>
        <w:noBreakHyphen/>
        <w:t>BR45,</w:t>
      </w:r>
      <w:r w:rsidRPr="00D07FD6">
        <w:t> </w:t>
      </w:r>
      <w:r w:rsidR="005754E8" w:rsidRPr="00D07FD6">
        <w:t>Quality</w:t>
      </w:r>
      <w:r w:rsidR="005754E8">
        <w:t>-</w:t>
      </w:r>
      <w:r w:rsidRPr="00D07FD6">
        <w:t>of</w:t>
      </w:r>
      <w:r w:rsidR="005754E8">
        <w:t>-l</w:t>
      </w:r>
      <w:r w:rsidRPr="00D07FD6">
        <w:t>ife Breast Cancer questionnaire;</w:t>
      </w:r>
      <w:r w:rsidRPr="00D07FD6">
        <w:rPr>
          <w:rStyle w:val="normaltextrun"/>
          <w:rFonts w:cs="Yu Gothic Light"/>
          <w:shd w:val="clear" w:color="auto" w:fill="FFFFFF"/>
        </w:rPr>
        <w:t xml:space="preserve"> QLQ-C30, </w:t>
      </w:r>
      <w:r w:rsidRPr="00D07FD6">
        <w:t>Quality</w:t>
      </w:r>
      <w:r w:rsidR="005754E8">
        <w:rPr>
          <w:spacing w:val="-16"/>
        </w:rPr>
        <w:t>-</w:t>
      </w:r>
      <w:r w:rsidRPr="00D07FD6">
        <w:t>of</w:t>
      </w:r>
      <w:r w:rsidR="005754E8">
        <w:t>-l</w:t>
      </w:r>
      <w:r w:rsidRPr="00D07FD6">
        <w:t>ife of Cancer Patients questionnaire</w:t>
      </w:r>
      <w:r w:rsidRPr="00D07FD6">
        <w:rPr>
          <w:rStyle w:val="normaltextrun"/>
          <w:rFonts w:cs="Yu Gothic Light"/>
          <w:shd w:val="clear" w:color="auto" w:fill="FFFFFF"/>
        </w:rPr>
        <w:t>; SAP, Statistical Analysis Plan; SD, stable disease; TEAE, treatment-emergent adverse event</w:t>
      </w:r>
      <w:r w:rsidR="00EB4E04">
        <w:rPr>
          <w:rStyle w:val="normaltextrun"/>
          <w:rFonts w:cs="Yu Gothic Light"/>
          <w:shd w:val="clear" w:color="auto" w:fill="FFFFFF"/>
        </w:rPr>
        <w:t>; TTDD, time to definitive deterioration</w:t>
      </w:r>
      <w:r w:rsidRPr="00D07FD6">
        <w:rPr>
          <w:rStyle w:val="normaltextrun"/>
          <w:rFonts w:cs="Yu Gothic Light"/>
          <w:shd w:val="clear" w:color="auto" w:fill="FFFFFF"/>
        </w:rPr>
        <w:t>.</w:t>
      </w:r>
      <w:r w:rsidRPr="00D07FD6">
        <w:br/>
      </w:r>
      <w:r w:rsidRPr="003C648C">
        <w:t>Source: Modi et al., 2022;</w:t>
      </w:r>
      <w:r>
        <w:rPr>
          <w:lang w:val="it-IT"/>
        </w:rPr>
        <w:fldChar w:fldCharType="begin"/>
      </w:r>
      <w:r w:rsidR="00CA6345">
        <w:instrText xml:space="preserve"> ADDIN ZOTERO_ITEM CSL_CITATION {"citationID":"5p74of6F","properties":{"formattedCitation":"\\super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Pr>
          <w:lang w:val="it-IT"/>
        </w:rPr>
        <w:fldChar w:fldCharType="separate"/>
      </w:r>
      <w:r w:rsidR="00FD57F4" w:rsidRPr="00FD57F4">
        <w:rPr>
          <w:rFonts w:cs="Arial"/>
          <w:szCs w:val="24"/>
          <w:vertAlign w:val="superscript"/>
        </w:rPr>
        <w:t>6</w:t>
      </w:r>
      <w:r>
        <w:rPr>
          <w:lang w:val="it-IT"/>
        </w:rPr>
        <w:fldChar w:fldCharType="end"/>
      </w:r>
      <w:r w:rsidRPr="003C648C">
        <w:t xml:space="preserve"> Daiichi Sankyo, Inc., 2022 (SAP; Data on File)</w:t>
      </w:r>
      <w:r w:rsidRPr="00D07FD6">
        <w:fldChar w:fldCharType="begin"/>
      </w:r>
      <w:r w:rsidR="00CA6345">
        <w:instrText xml:space="preserve"> ADDIN ZOTERO_ITEM CSL_CITATION {"citationID":"3zuJuAzx","properties":{"formattedCitation":"\\super 153\\nosupersub{}","plainCitation":"153","noteIndex":0},"citationItems":[{"id":65924,"uris":["http://zotero.org/groups/4797619/items/5D3NP3DU"],"itemData":{"id":65924,"type":"document","title":"Statistical Analysis Plan Version 2.0 for DS8201-A-U303. 04 January 2022. Data on File.","author":[{"family":"Daiichi Sankyo Inc.","given":""}],"issued":{"date-parts":[["2022"]]}}}],"schema":"https://github.com/citation-style-language/schema/raw/master/csl-citation.json"} </w:instrText>
      </w:r>
      <w:r w:rsidRPr="00D07FD6">
        <w:fldChar w:fldCharType="separate"/>
      </w:r>
      <w:r w:rsidR="00CA6345" w:rsidRPr="00CA6345">
        <w:rPr>
          <w:rFonts w:cs="Arial"/>
          <w:szCs w:val="24"/>
          <w:vertAlign w:val="superscript"/>
        </w:rPr>
        <w:t>153</w:t>
      </w:r>
      <w:r w:rsidRPr="00D07FD6">
        <w:fldChar w:fldCharType="end"/>
      </w:r>
    </w:p>
    <w:p w14:paraId="15F46791" w14:textId="77777777" w:rsidR="000B148D" w:rsidRPr="00013D9D" w:rsidRDefault="000B148D" w:rsidP="000B148D">
      <w:pPr>
        <w:pStyle w:val="Heading5"/>
        <w:numPr>
          <w:ilvl w:val="0"/>
          <w:numId w:val="0"/>
        </w:numPr>
      </w:pPr>
      <w:r w:rsidRPr="00013D9D">
        <w:lastRenderedPageBreak/>
        <w:t>Assessment timepoints and follow-up</w:t>
      </w:r>
    </w:p>
    <w:p w14:paraId="5C35D1F5" w14:textId="7EDE4E86" w:rsidR="000B148D" w:rsidRPr="00013D9D" w:rsidRDefault="000B148D" w:rsidP="000B148D">
      <w:pPr>
        <w:pStyle w:val="Body"/>
      </w:pPr>
      <w:r w:rsidRPr="00013D9D">
        <w:t xml:space="preserve">HRQoL questionnaires (EORTC QLQ-C30, EORTC QLQ-BR45, and EQ-5D-5L), </w:t>
      </w:r>
      <w:r w:rsidR="00294FDC" w:rsidRPr="00294FDC">
        <w:rPr>
          <w:color w:val="000000"/>
          <w:highlight w:val="black"/>
        </w:rPr>
        <w:t>xxxxxxxxxxxxxxxxxxxx</w:t>
      </w:r>
      <w:r w:rsidRPr="00013D9D">
        <w:t xml:space="preserve">, </w:t>
      </w:r>
      <w:r w:rsidR="00294FDC" w:rsidRPr="00294FDC">
        <w:rPr>
          <w:color w:val="000000"/>
          <w:highlight w:val="black"/>
        </w:rPr>
        <w:t>xxxxxxxxxxxxxx</w:t>
      </w:r>
      <w:r w:rsidRPr="00013D9D">
        <w:t xml:space="preserve">, and </w:t>
      </w:r>
      <w:r w:rsidR="00294FDC" w:rsidRPr="00294FDC">
        <w:rPr>
          <w:color w:val="000000"/>
          <w:highlight w:val="black"/>
        </w:rPr>
        <w:t>xxxxxxxxxxxxxxxxxxxxxxx</w:t>
      </w:r>
      <w:r w:rsidRPr="00013D9D">
        <w:t xml:space="preserve"> were to be completed/assessed </w:t>
      </w:r>
      <w:r w:rsidR="00294FDC" w:rsidRPr="00294FDC">
        <w:rPr>
          <w:color w:val="000000"/>
          <w:highlight w:val="black"/>
        </w:rPr>
        <w:t>xxxxxxxxxxxxxxxxxxxxxxxxxxxxxxxxxxxx</w:t>
      </w:r>
      <w:r>
        <w:t>.</w:t>
      </w:r>
      <w:r w:rsidRPr="00013D9D">
        <w:fldChar w:fldCharType="begin"/>
      </w:r>
      <w:r w:rsidR="00CA6345">
        <w:instrText xml:space="preserve"> ADDIN ZOTERO_ITEM CSL_CITATION {"citationID":"ranXZqO8","properties":{"formattedCitation":"\\super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13D9D">
        <w:fldChar w:fldCharType="separate"/>
      </w:r>
      <w:r w:rsidR="00FD57F4" w:rsidRPr="00FD57F4">
        <w:rPr>
          <w:rFonts w:cs="Arial"/>
          <w:szCs w:val="24"/>
          <w:vertAlign w:val="superscript"/>
        </w:rPr>
        <w:t>7</w:t>
      </w:r>
      <w:r w:rsidRPr="00013D9D">
        <w:fldChar w:fldCharType="end"/>
      </w:r>
      <w:r w:rsidRPr="00013D9D">
        <w:t xml:space="preserve"> The HRQoL questionnaires were completed before any other assessments or procedures were done on the day. </w:t>
      </w:r>
    </w:p>
    <w:p w14:paraId="17C48B42" w14:textId="63596520" w:rsidR="000B148D" w:rsidRPr="00013D9D" w:rsidRDefault="000B148D" w:rsidP="000B148D">
      <w:pPr>
        <w:pStyle w:val="Body"/>
      </w:pPr>
      <w:r w:rsidRPr="00013D9D">
        <w:t xml:space="preserve">End of treatment assessments were to occur </w:t>
      </w:r>
      <w:r w:rsidR="00294FDC" w:rsidRPr="00294FDC">
        <w:rPr>
          <w:color w:val="000000"/>
          <w:highlight w:val="black"/>
        </w:rPr>
        <w:t>xxxxxxxxxxxxxxxxxxxxxxxxxxxxx</w:t>
      </w:r>
      <w:r w:rsidR="001A395D">
        <w:rPr>
          <w:color w:val="000000"/>
          <w:highlight w:val="black"/>
        </w:rPr>
        <w:t xml:space="preserve"> </w:t>
      </w:r>
      <w:r w:rsidR="00294FDC" w:rsidRPr="00294FDC">
        <w:rPr>
          <w:color w:val="000000"/>
          <w:highlight w:val="black"/>
        </w:rPr>
        <w:t>xxxxxxxxxx</w:t>
      </w:r>
      <w:r w:rsidR="001A395D">
        <w:rPr>
          <w:color w:val="000000"/>
          <w:highlight w:val="black"/>
        </w:rPr>
        <w:t xml:space="preserve"> </w:t>
      </w:r>
      <w:r w:rsidR="00294FDC" w:rsidRPr="00294FDC">
        <w:rPr>
          <w:color w:val="000000"/>
          <w:highlight w:val="black"/>
        </w:rPr>
        <w:t>xxxxxxxxxxx</w:t>
      </w:r>
      <w:r w:rsidR="001A395D">
        <w:rPr>
          <w:color w:val="000000"/>
          <w:highlight w:val="black"/>
        </w:rPr>
        <w:t xml:space="preserve"> </w:t>
      </w:r>
      <w:r w:rsidR="00294FDC" w:rsidRPr="00294FDC">
        <w:rPr>
          <w:color w:val="000000"/>
          <w:highlight w:val="black"/>
        </w:rPr>
        <w:t>xxxxxxxxxxxxxxxxxxxxxxxxxxxxxxxxxxx</w:t>
      </w:r>
      <w:r w:rsidRPr="00013D9D">
        <w:t>.</w:t>
      </w:r>
      <w:r w:rsidRPr="00013D9D">
        <w:fldChar w:fldCharType="begin"/>
      </w:r>
      <w:r w:rsidR="00CA6345">
        <w:instrText xml:space="preserve"> ADDIN ZOTERO_ITEM CSL_CITATION {"citationID":"3u4YHQvI","properties":{"formattedCitation":"\\super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13D9D">
        <w:fldChar w:fldCharType="separate"/>
      </w:r>
      <w:r w:rsidR="00FD57F4" w:rsidRPr="00FD57F4">
        <w:rPr>
          <w:rFonts w:cs="Arial"/>
          <w:szCs w:val="24"/>
          <w:vertAlign w:val="superscript"/>
        </w:rPr>
        <w:t>7</w:t>
      </w:r>
      <w:r w:rsidRPr="00013D9D">
        <w:fldChar w:fldCharType="end"/>
      </w:r>
      <w:r w:rsidRPr="00013D9D">
        <w:t xml:space="preserve"> Follow-up assessments took place at </w:t>
      </w:r>
      <w:r w:rsidR="00294FDC" w:rsidRPr="00294FDC">
        <w:rPr>
          <w:color w:val="000000"/>
          <w:highlight w:val="black"/>
        </w:rPr>
        <w:t>xxxxxxxxxxxxxxxxx</w:t>
      </w:r>
      <w:r w:rsidRPr="00013D9D">
        <w:t xml:space="preserve"> after administration of the last study treatment or before starting new anti</w:t>
      </w:r>
      <w:r w:rsidR="008A298C">
        <w:t>-cancer</w:t>
      </w:r>
      <w:r w:rsidRPr="00013D9D">
        <w:t xml:space="preserve"> treatment, </w:t>
      </w:r>
      <w:r w:rsidR="00294FDC" w:rsidRPr="00294FDC">
        <w:rPr>
          <w:color w:val="000000"/>
          <w:highlight w:val="black"/>
        </w:rPr>
        <w:t>xxxxxxxxxxxxxxxxxxxx</w:t>
      </w:r>
      <w:r w:rsidRPr="00013D9D">
        <w:t xml:space="preserve">. In long-term follow-up, assessments took place every </w:t>
      </w:r>
      <w:r w:rsidR="00294FDC" w:rsidRPr="00294FDC">
        <w:rPr>
          <w:color w:val="000000"/>
          <w:highlight w:val="black"/>
        </w:rPr>
        <w:t>xxxxxxxxxxxxxxxxx</w:t>
      </w:r>
      <w:r w:rsidR="001A395D">
        <w:rPr>
          <w:color w:val="000000"/>
          <w:highlight w:val="black"/>
        </w:rPr>
        <w:t xml:space="preserve"> </w:t>
      </w:r>
      <w:r w:rsidR="00294FDC" w:rsidRPr="00294FDC">
        <w:rPr>
          <w:color w:val="000000"/>
          <w:highlight w:val="black"/>
        </w:rPr>
        <w:t>xxxxxxxxxxxxx</w:t>
      </w:r>
      <w:r w:rsidR="001A395D">
        <w:rPr>
          <w:color w:val="000000"/>
          <w:highlight w:val="black"/>
        </w:rPr>
        <w:t xml:space="preserve"> </w:t>
      </w:r>
      <w:r w:rsidR="00294FDC" w:rsidRPr="00294FDC">
        <w:rPr>
          <w:color w:val="000000"/>
          <w:highlight w:val="black"/>
        </w:rPr>
        <w:t>xxxxxxxxx</w:t>
      </w:r>
      <w:r w:rsidR="001A395D">
        <w:rPr>
          <w:color w:val="000000"/>
          <w:highlight w:val="black"/>
        </w:rPr>
        <w:t xml:space="preserve"> </w:t>
      </w:r>
      <w:r w:rsidR="00294FDC" w:rsidRPr="00294FDC">
        <w:rPr>
          <w:color w:val="000000"/>
          <w:highlight w:val="black"/>
        </w:rPr>
        <w:t>xxxxxxxxxxxxxxxxxxxx</w:t>
      </w:r>
      <w:r w:rsidR="001A395D">
        <w:rPr>
          <w:color w:val="000000"/>
          <w:highlight w:val="black"/>
        </w:rPr>
        <w:t xml:space="preserve"> </w:t>
      </w:r>
      <w:r w:rsidR="00294FDC" w:rsidRPr="00294FDC">
        <w:rPr>
          <w:color w:val="000000"/>
          <w:highlight w:val="black"/>
        </w:rPr>
        <w:t>xxxxxx</w:t>
      </w:r>
      <w:r w:rsidR="001A395D">
        <w:rPr>
          <w:color w:val="000000"/>
          <w:highlight w:val="black"/>
        </w:rPr>
        <w:t xml:space="preserve"> </w:t>
      </w:r>
      <w:r w:rsidR="00294FDC" w:rsidRPr="00294FDC">
        <w:rPr>
          <w:color w:val="000000"/>
          <w:highlight w:val="black"/>
        </w:rPr>
        <w:t>xxxxxxx</w:t>
      </w:r>
      <w:r w:rsidRPr="00013D9D">
        <w:t xml:space="preserve">, until </w:t>
      </w:r>
      <w:r w:rsidR="00294FDC" w:rsidRPr="00294FDC">
        <w:rPr>
          <w:color w:val="000000"/>
          <w:highlight w:val="black"/>
        </w:rPr>
        <w:t>xxxxx</w:t>
      </w:r>
      <w:r w:rsidRPr="00013D9D">
        <w:t xml:space="preserve">, </w:t>
      </w:r>
      <w:r w:rsidR="00294FDC" w:rsidRPr="00294FDC">
        <w:rPr>
          <w:color w:val="000000"/>
          <w:highlight w:val="black"/>
        </w:rPr>
        <w:t>xxxxxxxxxxxxxxxxxxxxx</w:t>
      </w:r>
      <w:r w:rsidRPr="00013D9D">
        <w:t xml:space="preserve">, </w:t>
      </w:r>
      <w:r w:rsidR="00294FDC" w:rsidRPr="00294FDC">
        <w:rPr>
          <w:color w:val="000000"/>
          <w:highlight w:val="black"/>
        </w:rPr>
        <w:t>xxxxxxxxxxx</w:t>
      </w:r>
      <w:r w:rsidR="001A395D">
        <w:rPr>
          <w:color w:val="000000"/>
          <w:highlight w:val="black"/>
        </w:rPr>
        <w:t xml:space="preserve"> </w:t>
      </w:r>
      <w:r w:rsidR="00294FDC" w:rsidRPr="00294FDC">
        <w:rPr>
          <w:color w:val="000000"/>
          <w:highlight w:val="black"/>
        </w:rPr>
        <w:t>xxxxxx</w:t>
      </w:r>
      <w:r w:rsidRPr="00013D9D">
        <w:t xml:space="preserve">, or </w:t>
      </w:r>
      <w:r w:rsidR="00294FDC" w:rsidRPr="00294FDC">
        <w:rPr>
          <w:color w:val="000000"/>
          <w:highlight w:val="black"/>
        </w:rPr>
        <w:t>xxxxxxxxxxxxx</w:t>
      </w:r>
      <w:r w:rsidRPr="00013D9D">
        <w:t>.</w:t>
      </w:r>
      <w:r w:rsidRPr="00013D9D">
        <w:fldChar w:fldCharType="begin"/>
      </w:r>
      <w:r w:rsidR="00CA6345">
        <w:instrText xml:space="preserve"> ADDIN ZOTERO_ITEM CSL_CITATION {"citationID":"IbIJn5mO","properties":{"formattedCitation":"\\super 7,153\\nosupersub{}","plainCitation":"7,153","noteIndex":0},"citationItems":[{"id":65944,"uris":["http://zotero.org/groups/4797619/items/WBVSVVF7"],"itemData":{"id":65944,"type":"document","title":"Clinical Study Report for DS8201-A-U303. Data cut-off date: 11 Jan 2022. Data on File.","author":[{"family":"Daiichi Sankyo Inc.","given":""}],"issued":{"date-parts":[["2022"]]}}},{"id":65924,"uris":["http://zotero.org/groups/4797619/items/5D3NP3DU"],"itemData":{"id":65924,"type":"document","title":"Statistical Analysis Plan Version 2.0 for DS8201-A-U303. 04 January 2022. Data on File.","author":[{"family":"Daiichi Sankyo Inc.","given":""}],"issued":{"date-parts":[["2022"]]}}}],"schema":"https://github.com/citation-style-language/schema/raw/master/csl-citation.json"} </w:instrText>
      </w:r>
      <w:r w:rsidRPr="00013D9D">
        <w:fldChar w:fldCharType="separate"/>
      </w:r>
      <w:r w:rsidR="00CA6345" w:rsidRPr="00CA6345">
        <w:rPr>
          <w:rFonts w:cs="Arial"/>
          <w:szCs w:val="24"/>
          <w:vertAlign w:val="superscript"/>
        </w:rPr>
        <w:t>7,153</w:t>
      </w:r>
      <w:r w:rsidRPr="00013D9D">
        <w:fldChar w:fldCharType="end"/>
      </w:r>
    </w:p>
    <w:p w14:paraId="6A1F21FD" w14:textId="65C247C4" w:rsidR="000B148D" w:rsidRPr="00013D9D" w:rsidRDefault="000B148D" w:rsidP="000B148D">
      <w:pPr>
        <w:pStyle w:val="Body"/>
      </w:pPr>
      <w:r w:rsidRPr="00013D9D">
        <w:t xml:space="preserve">Vital signs and pharmacokinetic blood samples (T-DXd arm only) were assessed </w:t>
      </w:r>
      <w:r w:rsidR="00294FDC" w:rsidRPr="00294FDC">
        <w:rPr>
          <w:color w:val="000000"/>
          <w:highlight w:val="black"/>
        </w:rPr>
        <w:t>xxxxxxxx</w:t>
      </w:r>
      <w:r w:rsidR="008E0158">
        <w:rPr>
          <w:color w:val="000000"/>
          <w:highlight w:val="black"/>
        </w:rPr>
        <w:t xml:space="preserve"> </w:t>
      </w:r>
      <w:r w:rsidR="00294FDC" w:rsidRPr="00294FDC">
        <w:rPr>
          <w:color w:val="000000"/>
          <w:highlight w:val="black"/>
        </w:rPr>
        <w:t>xxxx</w:t>
      </w:r>
      <w:r w:rsidR="008E0158">
        <w:rPr>
          <w:color w:val="000000"/>
          <w:highlight w:val="black"/>
        </w:rPr>
        <w:t xml:space="preserve"> </w:t>
      </w:r>
      <w:r w:rsidR="00294FDC" w:rsidRPr="00294FDC">
        <w:rPr>
          <w:color w:val="000000"/>
          <w:highlight w:val="black"/>
        </w:rPr>
        <w:t>xx</w:t>
      </w:r>
      <w:r w:rsidR="008E0158">
        <w:rPr>
          <w:color w:val="000000"/>
          <w:highlight w:val="black"/>
        </w:rPr>
        <w:t xml:space="preserve"> </w:t>
      </w:r>
      <w:r w:rsidR="00294FDC" w:rsidRPr="00294FDC">
        <w:rPr>
          <w:color w:val="000000"/>
          <w:highlight w:val="black"/>
        </w:rPr>
        <w:t>xxxxxxxxxxx</w:t>
      </w:r>
      <w:r w:rsidR="008E0158">
        <w:rPr>
          <w:color w:val="000000"/>
          <w:highlight w:val="black"/>
        </w:rPr>
        <w:t xml:space="preserve"> </w:t>
      </w:r>
      <w:r w:rsidR="00294FDC" w:rsidRPr="00294FDC">
        <w:rPr>
          <w:color w:val="000000"/>
          <w:highlight w:val="black"/>
        </w:rPr>
        <w:t>xxxxxxxxxxxxxxxxxxxxxxxxxxxxxxxxxxxxx</w:t>
      </w:r>
      <w:r w:rsidR="008E0158">
        <w:rPr>
          <w:color w:val="000000"/>
          <w:highlight w:val="black"/>
        </w:rPr>
        <w:t xml:space="preserve"> </w:t>
      </w:r>
      <w:r w:rsidR="00294FDC" w:rsidRPr="00294FDC">
        <w:rPr>
          <w:color w:val="000000"/>
          <w:highlight w:val="black"/>
        </w:rPr>
        <w:t>xxxxxxxxx</w:t>
      </w:r>
      <w:r w:rsidR="00811E0C">
        <w:rPr>
          <w:color w:val="000000"/>
          <w:highlight w:val="black"/>
        </w:rPr>
        <w:t>xx</w:t>
      </w:r>
      <w:r w:rsidR="00294FDC" w:rsidRPr="00294FDC">
        <w:rPr>
          <w:color w:val="000000"/>
          <w:highlight w:val="black"/>
        </w:rPr>
        <w:t>x</w:t>
      </w:r>
      <w:r w:rsidR="008E0158">
        <w:rPr>
          <w:color w:val="000000"/>
          <w:highlight w:val="black"/>
        </w:rPr>
        <w:t xml:space="preserve"> </w:t>
      </w:r>
      <w:r w:rsidR="00294FDC" w:rsidRPr="00294FDC">
        <w:rPr>
          <w:color w:val="000000"/>
          <w:highlight w:val="black"/>
        </w:rPr>
        <w:t>xxxx</w:t>
      </w:r>
      <w:r w:rsidR="008E0158">
        <w:rPr>
          <w:color w:val="000000"/>
          <w:highlight w:val="black"/>
        </w:rPr>
        <w:t xml:space="preserve"> </w:t>
      </w:r>
      <w:r w:rsidR="00294FDC" w:rsidRPr="00294FDC">
        <w:rPr>
          <w:color w:val="000000"/>
          <w:highlight w:val="black"/>
        </w:rPr>
        <w:t>xxxxxxxx</w:t>
      </w:r>
      <w:r w:rsidRPr="00013D9D">
        <w:t>.</w:t>
      </w:r>
      <w:r w:rsidRPr="00013D9D">
        <w:fldChar w:fldCharType="begin"/>
      </w:r>
      <w:r w:rsidR="00CA6345">
        <w:instrText xml:space="preserve"> ADDIN ZOTERO_ITEM CSL_CITATION {"citationID":"a28g0r20t93","properties":{"formattedCitation":"\\super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13D9D">
        <w:fldChar w:fldCharType="separate"/>
      </w:r>
      <w:r w:rsidR="00FD57F4" w:rsidRPr="00FD57F4">
        <w:rPr>
          <w:rFonts w:cs="Arial"/>
          <w:szCs w:val="24"/>
          <w:vertAlign w:val="superscript"/>
        </w:rPr>
        <w:t>7</w:t>
      </w:r>
      <w:r w:rsidRPr="00013D9D">
        <w:fldChar w:fldCharType="end"/>
      </w:r>
    </w:p>
    <w:p w14:paraId="4767DDE5" w14:textId="20BBABB5" w:rsidR="000B148D" w:rsidRPr="00013D9D" w:rsidRDefault="000B148D" w:rsidP="000B148D">
      <w:pPr>
        <w:pStyle w:val="Body"/>
      </w:pPr>
      <w:r w:rsidRPr="00013D9D">
        <w:t>Tumour assessment (</w:t>
      </w:r>
      <w:r w:rsidR="00294FDC" w:rsidRPr="00294FDC">
        <w:rPr>
          <w:color w:val="000000"/>
          <w:highlight w:val="black"/>
        </w:rPr>
        <w:t>xxxxxxxxxxxxxxxxxxxxxxxxxxxxxxxxxxxxxxxxxxxxxxxxx</w:t>
      </w:r>
      <w:r w:rsidR="001A395D">
        <w:rPr>
          <w:color w:val="000000"/>
          <w:highlight w:val="black"/>
        </w:rPr>
        <w:t xml:space="preserve">  </w:t>
      </w:r>
      <w:r w:rsidRPr="00013D9D">
        <w:t xml:space="preserve"> were to take place </w:t>
      </w:r>
      <w:r w:rsidR="00294FDC" w:rsidRPr="00294FDC">
        <w:rPr>
          <w:color w:val="000000"/>
          <w:highlight w:val="black"/>
        </w:rPr>
        <w:t>xxxxxxxxxxxxxxx</w:t>
      </w:r>
      <w:r w:rsidRPr="00013D9D">
        <w:t xml:space="preserve"> and at </w:t>
      </w:r>
      <w:r w:rsidR="00294FDC" w:rsidRPr="00294FDC">
        <w:rPr>
          <w:color w:val="000000"/>
          <w:highlight w:val="black"/>
        </w:rPr>
        <w:t>xxxxxxxxxxxxxxxxxxxx</w:t>
      </w:r>
      <w:r w:rsidRPr="00013D9D">
        <w:t>.</w:t>
      </w:r>
      <w:r w:rsidRPr="00013D9D">
        <w:fldChar w:fldCharType="begin"/>
      </w:r>
      <w:r w:rsidR="00CA6345">
        <w:instrText xml:space="preserve"> ADDIN ZOTERO_ITEM CSL_CITATION {"citationID":"TuyvhjyE","properties":{"formattedCitation":"\\super 153\\nosupersub{}","plainCitation":"153","noteIndex":0},"citationItems":[{"id":65924,"uris":["http://zotero.org/groups/4797619/items/5D3NP3DU"],"itemData":{"id":65924,"type":"document","title":"Statistical Analysis Plan Version 2.0 for DS8201-A-U303. 04 January 2022. Data on File.","author":[{"family":"Daiichi Sankyo Inc.","given":""}],"issued":{"date-parts":[["2022"]]}}}],"schema":"https://github.com/citation-style-language/schema/raw/master/csl-citation.json"} </w:instrText>
      </w:r>
      <w:r w:rsidRPr="00013D9D">
        <w:fldChar w:fldCharType="separate"/>
      </w:r>
      <w:r w:rsidR="00CA6345" w:rsidRPr="00CA6345">
        <w:rPr>
          <w:rFonts w:cs="Arial"/>
          <w:szCs w:val="24"/>
          <w:vertAlign w:val="superscript"/>
        </w:rPr>
        <w:t>153</w:t>
      </w:r>
      <w:r w:rsidRPr="00013D9D">
        <w:fldChar w:fldCharType="end"/>
      </w:r>
      <w:r w:rsidRPr="00013D9D">
        <w:t xml:space="preserve"> AEs, concomitant medications, and hospitalisation-related records were recorded </w:t>
      </w:r>
      <w:r w:rsidR="00294FDC" w:rsidRPr="00294FDC">
        <w:rPr>
          <w:color w:val="000000"/>
          <w:highlight w:val="black"/>
        </w:rPr>
        <w:t>xxxxxxxxxxxxxxxxxxxx</w:t>
      </w:r>
      <w:r w:rsidR="008E0158">
        <w:rPr>
          <w:color w:val="000000"/>
          <w:highlight w:val="black"/>
        </w:rPr>
        <w:t xml:space="preserve"> </w:t>
      </w:r>
      <w:r w:rsidR="00294FDC" w:rsidRPr="00294FDC">
        <w:rPr>
          <w:color w:val="000000"/>
          <w:highlight w:val="black"/>
        </w:rPr>
        <w:t>xxxxxxxxxxxxxxxxxxx</w:t>
      </w:r>
      <w:r w:rsidR="008E0158">
        <w:rPr>
          <w:color w:val="000000"/>
          <w:highlight w:val="black"/>
        </w:rPr>
        <w:t xml:space="preserve"> </w:t>
      </w:r>
      <w:r w:rsidR="00294FDC" w:rsidRPr="00294FDC">
        <w:rPr>
          <w:color w:val="000000"/>
          <w:highlight w:val="black"/>
        </w:rPr>
        <w:t>xx</w:t>
      </w:r>
      <w:r w:rsidR="008E0158">
        <w:rPr>
          <w:color w:val="000000"/>
          <w:highlight w:val="black"/>
        </w:rPr>
        <w:t xml:space="preserve"> </w:t>
      </w:r>
      <w:r w:rsidR="00294FDC" w:rsidRPr="00294FDC">
        <w:rPr>
          <w:color w:val="000000"/>
          <w:highlight w:val="black"/>
        </w:rPr>
        <w:t>xxxxxxxxxxxxxxxxxxxxxxxxxxxxxx</w:t>
      </w:r>
      <w:r w:rsidRPr="00013D9D">
        <w:t>.</w:t>
      </w:r>
      <w:r w:rsidRPr="00013D9D">
        <w:fldChar w:fldCharType="begin"/>
      </w:r>
      <w:r w:rsidR="00CA6345">
        <w:instrText xml:space="preserve"> ADDIN ZOTERO_ITEM CSL_CITATION {"citationID":"YPw9Cc7D","properties":{"formattedCitation":"\\super 7,153\\nosupersub{}","plainCitation":"7,153","noteIndex":0},"citationItems":[{"id":65944,"uris":["http://zotero.org/groups/4797619/items/WBVSVVF7"],"itemData":{"id":65944,"type":"document","title":"Clinical Study Report for DS8201-A-U303. Data cut-off date: 11 Jan 2022. Data on File.","author":[{"family":"Daiichi Sankyo Inc.","given":""}],"issued":{"date-parts":[["2022"]]}}},{"id":65924,"uris":["http://zotero.org/groups/4797619/items/5D3NP3DU"],"itemData":{"id":65924,"type":"document","title":"Statistical Analysis Plan Version 2.0 for DS8201-A-U303. 04 January 2022. Data on File.","author":[{"family":"Daiichi Sankyo Inc.","given":""}],"issued":{"date-parts":[["2022"]]}}}],"schema":"https://github.com/citation-style-language/schema/raw/master/csl-citation.json"} </w:instrText>
      </w:r>
      <w:r w:rsidRPr="00013D9D">
        <w:fldChar w:fldCharType="separate"/>
      </w:r>
      <w:r w:rsidR="00CA6345" w:rsidRPr="00CA6345">
        <w:rPr>
          <w:rFonts w:cs="Arial"/>
          <w:szCs w:val="24"/>
          <w:vertAlign w:val="superscript"/>
        </w:rPr>
        <w:t>7,153</w:t>
      </w:r>
      <w:r w:rsidRPr="00013D9D">
        <w:fldChar w:fldCharType="end"/>
      </w:r>
      <w:r w:rsidRPr="00013D9D">
        <w:t xml:space="preserve"> </w:t>
      </w:r>
    </w:p>
    <w:p w14:paraId="76B8851C" w14:textId="49BD3B24" w:rsidR="000B148D" w:rsidRDefault="000B148D" w:rsidP="000B148D">
      <w:pPr>
        <w:pStyle w:val="Body"/>
      </w:pPr>
      <w:r w:rsidRPr="002E64FC">
        <w:t xml:space="preserve">Questionnaires for HRQoL outcomes were to be completed at </w:t>
      </w:r>
      <w:r w:rsidR="00294FDC" w:rsidRPr="00294FDC">
        <w:rPr>
          <w:color w:val="000000"/>
          <w:highlight w:val="black"/>
        </w:rPr>
        <w:t>xxxxxxxxxxxxxxxxxxx</w:t>
      </w:r>
      <w:r w:rsidR="008E0158">
        <w:rPr>
          <w:color w:val="000000"/>
          <w:highlight w:val="black"/>
        </w:rPr>
        <w:t xml:space="preserve"> </w:t>
      </w:r>
      <w:r w:rsidR="00294FDC" w:rsidRPr="00294FDC">
        <w:rPr>
          <w:color w:val="000000"/>
          <w:highlight w:val="black"/>
        </w:rPr>
        <w:t>xxxxx</w:t>
      </w:r>
      <w:r w:rsidR="008E0158">
        <w:rPr>
          <w:color w:val="000000"/>
          <w:highlight w:val="black"/>
        </w:rPr>
        <w:t xml:space="preserve"> </w:t>
      </w:r>
      <w:r w:rsidR="00294FDC" w:rsidRPr="00294FDC">
        <w:rPr>
          <w:color w:val="000000"/>
          <w:highlight w:val="black"/>
        </w:rPr>
        <w:t>xxxxx</w:t>
      </w:r>
      <w:r w:rsidR="008E0158">
        <w:rPr>
          <w:color w:val="000000"/>
          <w:highlight w:val="black"/>
        </w:rPr>
        <w:t xml:space="preserve"> </w:t>
      </w:r>
      <w:r w:rsidR="00294FDC" w:rsidRPr="00294FDC">
        <w:rPr>
          <w:color w:val="000000"/>
          <w:highlight w:val="black"/>
        </w:rPr>
        <w:t>xxxxx</w:t>
      </w:r>
      <w:r w:rsidR="008E0158">
        <w:rPr>
          <w:color w:val="000000"/>
          <w:highlight w:val="black"/>
        </w:rPr>
        <w:t xml:space="preserve"> </w:t>
      </w:r>
      <w:r w:rsidR="00294FDC" w:rsidRPr="00294FDC">
        <w:rPr>
          <w:color w:val="000000"/>
          <w:highlight w:val="black"/>
        </w:rPr>
        <w:t>xxxxxxxxxxxxxxxxxxxxxxxxxxxxxxxxxxxxxxxxxxx</w:t>
      </w:r>
      <w:r>
        <w:t>,</w:t>
      </w:r>
      <w:r w:rsidRPr="002E64FC">
        <w:t xml:space="preserve"> which was the last data collection </w:t>
      </w:r>
      <w:r>
        <w:t>time</w:t>
      </w:r>
      <w:r w:rsidRPr="002E64FC">
        <w:t xml:space="preserve">point for </w:t>
      </w:r>
      <w:r>
        <w:t>all</w:t>
      </w:r>
      <w:r w:rsidRPr="002E64FC">
        <w:t xml:space="preserve"> questionnaires.</w:t>
      </w:r>
      <w:r>
        <w:fldChar w:fldCharType="begin"/>
      </w:r>
      <w:r w:rsidR="00CA6345">
        <w:instrText xml:space="preserve"> ADDIN ZOTERO_ITEM CSL_CITATION {"citationID":"FweQcsub","properties":{"formattedCitation":"\\super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fldChar w:fldCharType="separate"/>
      </w:r>
      <w:r w:rsidR="00FD57F4" w:rsidRPr="00FD57F4">
        <w:rPr>
          <w:rFonts w:cs="Arial"/>
          <w:szCs w:val="24"/>
          <w:vertAlign w:val="superscript"/>
        </w:rPr>
        <w:t>7</w:t>
      </w:r>
      <w:r>
        <w:fldChar w:fldCharType="end"/>
      </w:r>
      <w:r w:rsidRPr="002E64FC">
        <w:t xml:space="preserve"> Survival follow-up was assessed at </w:t>
      </w:r>
      <w:r w:rsidR="00294FDC" w:rsidRPr="00294FDC">
        <w:rPr>
          <w:color w:val="000000"/>
          <w:highlight w:val="black"/>
        </w:rPr>
        <w:t>xxxxx</w:t>
      </w:r>
      <w:r w:rsidR="008E0158">
        <w:rPr>
          <w:color w:val="000000"/>
          <w:highlight w:val="black"/>
        </w:rPr>
        <w:t xml:space="preserve"> </w:t>
      </w:r>
      <w:r w:rsidR="00294FDC" w:rsidRPr="00294FDC">
        <w:rPr>
          <w:color w:val="000000"/>
          <w:highlight w:val="black"/>
        </w:rPr>
        <w:t>xxxxxx</w:t>
      </w:r>
      <w:r w:rsidR="008E0158">
        <w:rPr>
          <w:color w:val="000000"/>
          <w:highlight w:val="black"/>
        </w:rPr>
        <w:t xml:space="preserve"> </w:t>
      </w:r>
      <w:r w:rsidR="00294FDC" w:rsidRPr="00294FDC">
        <w:rPr>
          <w:color w:val="000000"/>
          <w:highlight w:val="black"/>
        </w:rPr>
        <w:t>xxxxxxxxxxxxxxxx</w:t>
      </w:r>
      <w:r w:rsidRPr="00AD7949">
        <w:t>follow-up timepoints</w:t>
      </w:r>
      <w:r w:rsidRPr="002E64FC">
        <w:t>.</w:t>
      </w:r>
      <w:r>
        <w:fldChar w:fldCharType="begin"/>
      </w:r>
      <w:r w:rsidR="00CA6345">
        <w:instrText xml:space="preserve"> ADDIN ZOTERO_ITEM CSL_CITATION {"citationID":"kCt3aAmf","properties":{"formattedCitation":"\\super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fldChar w:fldCharType="separate"/>
      </w:r>
      <w:r w:rsidR="00FD57F4" w:rsidRPr="00FD57F4">
        <w:rPr>
          <w:rFonts w:cs="Arial"/>
          <w:szCs w:val="24"/>
          <w:vertAlign w:val="superscript"/>
        </w:rPr>
        <w:t>7</w:t>
      </w:r>
      <w:r>
        <w:fldChar w:fldCharType="end"/>
      </w:r>
      <w:r>
        <w:t xml:space="preserve"> </w:t>
      </w:r>
    </w:p>
    <w:p w14:paraId="1FD78B18" w14:textId="24A28BB3" w:rsidR="000B148D" w:rsidRDefault="000B148D" w:rsidP="000B148D">
      <w:pPr>
        <w:pStyle w:val="Body"/>
      </w:pPr>
      <w:r w:rsidRPr="00013D9D">
        <w:t xml:space="preserve">T-DXd was to be administered every </w:t>
      </w:r>
      <w:r w:rsidR="00294FDC" w:rsidRPr="00294FDC">
        <w:rPr>
          <w:color w:val="000000"/>
          <w:highlight w:val="black"/>
        </w:rPr>
        <w:t>xxxxxxxxxxxxxxx</w:t>
      </w:r>
      <w:r w:rsidRPr="00013D9D">
        <w:t xml:space="preserve"> unless study drug interruption/</w:t>
      </w:r>
      <w:r w:rsidR="00270C05">
        <w:t xml:space="preserve"> </w:t>
      </w:r>
      <w:r w:rsidRPr="00013D9D">
        <w:t xml:space="preserve">modification or discontinuation was required. For the TPC arm, if a patient received a regimen other than a </w:t>
      </w:r>
      <w:r w:rsidR="00294FDC" w:rsidRPr="00294FDC">
        <w:rPr>
          <w:color w:val="000000"/>
          <w:highlight w:val="black"/>
        </w:rPr>
        <w:t>xxxxxxxxxxxx</w:t>
      </w:r>
      <w:r w:rsidRPr="00013D9D">
        <w:t xml:space="preserve">, the investigator was to ensure that the subject followed the </w:t>
      </w:r>
      <w:r w:rsidR="00294FDC" w:rsidRPr="00294FDC">
        <w:rPr>
          <w:color w:val="000000"/>
          <w:highlight w:val="black"/>
        </w:rPr>
        <w:t>xxxxxxxxxxxxxxxxxxxxxxxxxxxxxxxxxxxxxxxxxxxxxxxxxxx</w:t>
      </w:r>
      <w:r w:rsidRPr="00013D9D">
        <w:t xml:space="preserve">. </w:t>
      </w:r>
      <w:r w:rsidR="008A7593">
        <w:t>T</w:t>
      </w:r>
      <w:r w:rsidRPr="00013D9D">
        <w:t xml:space="preserve">umour assessments and CT/MRI of the brain had to be performed every </w:t>
      </w:r>
      <w:r w:rsidR="00294FDC" w:rsidRPr="00294FDC">
        <w:rPr>
          <w:color w:val="000000"/>
          <w:highlight w:val="black"/>
        </w:rPr>
        <w:t>xxxxxxxxxxxxxxx</w:t>
      </w:r>
      <w:r w:rsidRPr="00013D9D">
        <w:t xml:space="preserve"> from randomi</w:t>
      </w:r>
      <w:r>
        <w:t>s</w:t>
      </w:r>
      <w:r w:rsidRPr="00013D9D">
        <w:t>ation date. Laboratory and safety assessment before drug administration were to be appropriately performed according to the TPC label approved in the country of drug administration.</w:t>
      </w:r>
      <w:r w:rsidRPr="00013D9D">
        <w:fldChar w:fldCharType="begin"/>
      </w:r>
      <w:r w:rsidR="00CA6345">
        <w:instrText xml:space="preserve"> ADDIN ZOTERO_ITEM CSL_CITATION {"citationID":"MBQeHQg1","properties":{"formattedCitation":"\\super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13D9D">
        <w:fldChar w:fldCharType="separate"/>
      </w:r>
      <w:r w:rsidR="00FD57F4" w:rsidRPr="00FD57F4">
        <w:rPr>
          <w:rFonts w:cs="Arial"/>
          <w:szCs w:val="24"/>
          <w:vertAlign w:val="superscript"/>
        </w:rPr>
        <w:t>7</w:t>
      </w:r>
      <w:r w:rsidRPr="00013D9D">
        <w:fldChar w:fldCharType="end"/>
      </w:r>
      <w:r w:rsidRPr="00845C0F">
        <w:t xml:space="preserve"> </w:t>
      </w:r>
    </w:p>
    <w:p w14:paraId="2AFFDE61" w14:textId="77777777" w:rsidR="000B148D" w:rsidRDefault="000B148D" w:rsidP="000B148D">
      <w:pPr>
        <w:pStyle w:val="Heading2"/>
      </w:pPr>
      <w:bookmarkStart w:id="160" w:name="_Toc124447831"/>
      <w:bookmarkStart w:id="161" w:name="_Toc129350858"/>
      <w:r>
        <w:t>Statistical analysis and definition of study groups in the relevant clinical effectiveness evidence</w:t>
      </w:r>
      <w:bookmarkEnd w:id="160"/>
      <w:bookmarkEnd w:id="161"/>
    </w:p>
    <w:p w14:paraId="3502EDBB" w14:textId="77777777" w:rsidR="000B148D" w:rsidRPr="00B55345" w:rsidRDefault="000B148D" w:rsidP="000B148D">
      <w:pPr>
        <w:pStyle w:val="Heading3"/>
      </w:pPr>
      <w:bookmarkStart w:id="162" w:name="_Ref95474345"/>
      <w:bookmarkStart w:id="163" w:name="_Toc124447832"/>
      <w:bookmarkStart w:id="164" w:name="_Toc129350859"/>
      <w:r w:rsidRPr="00B55345">
        <w:t>Analysis sets</w:t>
      </w:r>
      <w:bookmarkEnd w:id="162"/>
      <w:bookmarkEnd w:id="163"/>
      <w:bookmarkEnd w:id="164"/>
    </w:p>
    <w:p w14:paraId="4C66E524" w14:textId="3F406E81" w:rsidR="000B148D" w:rsidRPr="00013D9D" w:rsidRDefault="000B148D" w:rsidP="000B148D">
      <w:pPr>
        <w:pStyle w:val="Body"/>
      </w:pPr>
      <w:r w:rsidRPr="00013D9D">
        <w:t xml:space="preserve">Patient data sets analysed in DESTINY-Breast04 are described in </w:t>
      </w:r>
      <w:r w:rsidRPr="00756252">
        <w:rPr>
          <w:b/>
          <w:bCs/>
        </w:rPr>
        <w:fldChar w:fldCharType="begin"/>
      </w:r>
      <w:r w:rsidRPr="00756252">
        <w:rPr>
          <w:b/>
          <w:bCs/>
        </w:rPr>
        <w:instrText xml:space="preserve"> REF _Ref88665054 \h  \* MERGEFORMAT </w:instrText>
      </w:r>
      <w:r w:rsidRPr="00756252">
        <w:rPr>
          <w:b/>
          <w:bCs/>
        </w:rPr>
      </w:r>
      <w:r w:rsidRPr="00756252">
        <w:rPr>
          <w:b/>
          <w:bCs/>
        </w:rPr>
        <w:fldChar w:fldCharType="separate"/>
      </w:r>
      <w:r w:rsidR="00145F42" w:rsidRPr="00145F42">
        <w:rPr>
          <w:b/>
          <w:bCs/>
        </w:rPr>
        <w:t xml:space="preserve">Table </w:t>
      </w:r>
      <w:r w:rsidR="00145F42" w:rsidRPr="00145F42">
        <w:rPr>
          <w:b/>
          <w:bCs/>
          <w:noProof/>
        </w:rPr>
        <w:t>11</w:t>
      </w:r>
      <w:r w:rsidRPr="00756252">
        <w:rPr>
          <w:b/>
          <w:bCs/>
        </w:rPr>
        <w:fldChar w:fldCharType="end"/>
      </w:r>
      <w:r w:rsidRPr="00013D9D">
        <w:t>. Efficacy analyses were performed on the HR</w:t>
      </w:r>
      <w:r>
        <w:t>-positive</w:t>
      </w:r>
      <w:r w:rsidRPr="00013D9D">
        <w:t xml:space="preserve"> cohort and </w:t>
      </w:r>
      <w:r w:rsidR="009F1817">
        <w:t>FAS</w:t>
      </w:r>
      <w:r w:rsidRPr="00013D9D">
        <w:t>, and safety analyses on the safety analysis set (SAS).</w:t>
      </w:r>
      <w:r>
        <w:fldChar w:fldCharType="begin"/>
      </w:r>
      <w:r w:rsidR="00CA6345">
        <w:instrText xml:space="preserve"> ADDIN ZOTERO_ITEM CSL_CITATION {"citationID":"I01yR7aV","properties":{"formattedCitation":"\\super 7,153\\nosupersub{}","plainCitation":"7,153","noteIndex":0},"citationItems":[{"id":65944,"uris":["http://zotero.org/groups/4797619/items/WBVSVVF7"],"itemData":{"id":65944,"type":"document","title":"Clinical Study Report for DS8201-A-U303. Data cut-off date: 11 Jan 2022. Data on File.","author":[{"family":"Daiichi Sankyo Inc.","given":""}],"issued":{"date-parts":[["2022"]]}}},{"id":65924,"uris":["http://zotero.org/groups/4797619/items/5D3NP3DU"],"itemData":{"id":65924,"type":"document","title":"Statistical Analysis Plan Version 2.0 for DS8201-A-U303. 04 January 2022. Data on File.","author":[{"family":"Daiichi Sankyo Inc.","given":""}],"issued":{"date-parts":[["2022"]]}}}],"schema":"https://github.com/citation-style-language/schema/raw/master/csl-citation.json"} </w:instrText>
      </w:r>
      <w:r>
        <w:fldChar w:fldCharType="separate"/>
      </w:r>
      <w:r w:rsidR="00CA6345" w:rsidRPr="00CA6345">
        <w:rPr>
          <w:rFonts w:cs="Arial"/>
          <w:szCs w:val="24"/>
          <w:vertAlign w:val="superscript"/>
        </w:rPr>
        <w:t>7,153</w:t>
      </w:r>
      <w:r>
        <w:fldChar w:fldCharType="end"/>
      </w:r>
      <w:r w:rsidRPr="00013D9D">
        <w:t xml:space="preserve"> </w:t>
      </w:r>
      <w:r w:rsidRPr="00013D9D">
        <w:fldChar w:fldCharType="begin">
          <w:fldData xml:space="preserve">PEVuZE5vdGU+PENpdGU+PEF1dGhvcj5EYWlpY2hpIFNhbmt5byBJbmM8L0F1dGhvcj48WWVhcj4y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</w:fldData>
        </w:fldChar>
      </w:r>
      <w:r w:rsidRPr="00013D9D">
        <w:instrText xml:space="preserve"> ADDIN EN.CITE </w:instrText>
      </w:r>
      <w:r w:rsidRPr="00013D9D">
        <w:fldChar w:fldCharType="begin">
          <w:fldData xml:space="preserve">PEVuZE5vdGU+PENpdGU+PEF1dGhvcj5EYWlpY2hpIFNhbmt5byBJbmM8L0F1dGhvcj48WWVhcj4y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</w:fldData>
        </w:fldChar>
      </w:r>
      <w:r w:rsidRPr="00013D9D">
        <w:instrText xml:space="preserve"> ADDIN EN.CITE.DATA </w:instrText>
      </w:r>
      <w:r w:rsidRPr="00013D9D">
        <w:fldChar w:fldCharType="end"/>
      </w:r>
      <w:r w:rsidRPr="00013D9D">
        <w:fldChar w:fldCharType="separate"/>
      </w:r>
      <w:r w:rsidRPr="00013D9D">
        <w:fldChar w:fldCharType="end"/>
      </w:r>
    </w:p>
    <w:p w14:paraId="2271777D" w14:textId="64155F0E" w:rsidR="000B148D" w:rsidRPr="00013D9D" w:rsidRDefault="000B148D" w:rsidP="000B148D">
      <w:pPr>
        <w:pStyle w:val="Body"/>
      </w:pPr>
      <w:r w:rsidRPr="00013D9D">
        <w:t xml:space="preserve">The per-protocol analysis set (PPS) included HR-positive patients who complied sufficiently with the protocol with respect to study drug exposure, tumour assessment, and absence of major protocol violations, and </w:t>
      </w:r>
      <w:r w:rsidR="00294FDC" w:rsidRPr="00294FDC">
        <w:rPr>
          <w:color w:val="000000"/>
          <w:highlight w:val="black"/>
        </w:rPr>
        <w:t>xxxxxxxxxxxxxxxxxxxxxxxxxxxxxxxxxxxxx</w:t>
      </w:r>
      <w:r w:rsidR="00811E0C">
        <w:rPr>
          <w:color w:val="000000"/>
          <w:highlight w:val="black"/>
        </w:rPr>
        <w:t xml:space="preserve"> </w:t>
      </w:r>
      <w:r w:rsidR="00294FDC" w:rsidRPr="00294FDC">
        <w:rPr>
          <w:color w:val="000000"/>
          <w:highlight w:val="black"/>
        </w:rPr>
        <w:t>xxxxxxxxxx</w:t>
      </w:r>
      <w:r w:rsidR="00811E0C">
        <w:rPr>
          <w:color w:val="000000"/>
          <w:highlight w:val="black"/>
        </w:rPr>
        <w:t xml:space="preserve"> </w:t>
      </w:r>
      <w:r w:rsidR="00294FDC" w:rsidRPr="00294FDC">
        <w:rPr>
          <w:color w:val="000000"/>
          <w:highlight w:val="black"/>
        </w:rPr>
        <w:t>xxxx</w:t>
      </w:r>
      <w:r w:rsidR="00811E0C">
        <w:rPr>
          <w:color w:val="000000"/>
          <w:highlight w:val="black"/>
        </w:rPr>
        <w:t xml:space="preserve"> </w:t>
      </w:r>
      <w:r w:rsidR="00294FDC" w:rsidRPr="00294FDC">
        <w:rPr>
          <w:color w:val="000000"/>
          <w:highlight w:val="black"/>
        </w:rPr>
        <w:t>xx</w:t>
      </w:r>
      <w:r w:rsidR="00811E0C">
        <w:rPr>
          <w:color w:val="000000"/>
          <w:highlight w:val="black"/>
        </w:rPr>
        <w:t xml:space="preserve">  </w:t>
      </w:r>
      <w:r w:rsidR="00294FDC" w:rsidRPr="00294FDC">
        <w:rPr>
          <w:color w:val="000000"/>
          <w:highlight w:val="black"/>
        </w:rPr>
        <w:t>xxxxxxxxx</w:t>
      </w:r>
      <w:r w:rsidRPr="00013D9D">
        <w:t>.</w:t>
      </w:r>
      <w:r w:rsidRPr="00013D9D">
        <w:fldChar w:fldCharType="begin"/>
      </w:r>
      <w:r w:rsidR="00CA6345">
        <w:instrText xml:space="preserve"> ADDIN ZOTERO_ITEM CSL_CITATION {"citationID":"bDNy0WFX","properties":{"formattedCitation":"\\super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13D9D">
        <w:fldChar w:fldCharType="separate"/>
      </w:r>
      <w:r w:rsidR="00FD57F4" w:rsidRPr="00FD57F4">
        <w:rPr>
          <w:rFonts w:cs="Arial"/>
          <w:szCs w:val="24"/>
          <w:vertAlign w:val="superscript"/>
        </w:rPr>
        <w:t>7</w:t>
      </w:r>
      <w:r w:rsidRPr="00013D9D">
        <w:fldChar w:fldCharType="end"/>
      </w:r>
      <w:r w:rsidRPr="00013D9D">
        <w:t xml:space="preserve"> Pharmacokinetic (PK) endpoints were to be evaluated using the PK analysis set, which included patients who received at least one dose of T-DXd and had any measurable post-dose serum concentrations of T-DXd, total anti-HER2 antibody, and DXd.</w:t>
      </w:r>
      <w:r w:rsidRPr="00013D9D">
        <w:fldChar w:fldCharType="begin"/>
      </w:r>
      <w:r w:rsidR="00CA6345">
        <w:instrText xml:space="preserve"> ADDIN ZOTERO_ITEM CSL_CITATION {"citationID":"isxdHiGP","properties":{"formattedCitation":"\\super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13D9D">
        <w:fldChar w:fldCharType="separate"/>
      </w:r>
      <w:r w:rsidR="00FD57F4" w:rsidRPr="00FD57F4">
        <w:rPr>
          <w:rFonts w:cs="Arial"/>
          <w:szCs w:val="24"/>
          <w:vertAlign w:val="superscript"/>
        </w:rPr>
        <w:t>7</w:t>
      </w:r>
      <w:r w:rsidRPr="00013D9D">
        <w:fldChar w:fldCharType="end"/>
      </w:r>
      <w:hyperlink w:anchor="_ENREF_115" w:tooltip="Daiichi Sankyo Inc, 2021 #85" w:history="1">
        <w:r w:rsidRPr="00013D9D">
          <w:fldChar w:fldCharType="begin"/>
        </w:r>
        <w:r w:rsidRPr="00013D9D">
          <w:instrText xml:space="preserve"> ADDIN EN.CITE &lt;EndNote&gt;&lt;Cite&gt;&lt;Author&gt;Daiichi Sankyo Inc&lt;/Author&gt;&lt;Year&gt;2021&lt;/Year&gt;&lt;RecNum&gt;85&lt;/RecNum&gt;&lt;DisplayText&gt;&lt;style face="superscript"&gt;115&lt;/style&gt;&lt;/DisplayText&gt;&lt;record&gt;&lt;rec-number&gt;85&lt;/rec-number&gt;&lt;foreign-keys&gt;&lt;key app="EN" db-id="zsraxr2sldvt0herzw7x5028s0efeazsx9r0" timestamp="1636707368"&gt;85&lt;/key&gt;&lt;/foreign-keys&gt;&lt;ref-type name="Journal Article"&gt;17&lt;/ref-type&gt;&lt;contributors&gt;&lt;authors&gt;&lt;author&gt;Daiichi Sankyo Inc,&lt;/author&gt;&lt;/authors&gt;&lt;/contributors&gt;&lt;titles&gt;&lt;title&gt;Statistical Analysis Plan (version 1.3): A Phase 3, multicenter, randomized, open-label, active-controlled study of trastuzumab deruxtecan (DS-8201A), an anti-HER2-antibody drug conjugate, versus ado-trastuzumab emtansine (T-DM1) for HER2-positive, unresectable and/or metastatic breast cancer subjects previously treated with trastuzumab and taxane&lt;/title&gt;&lt;secondary-title&gt;Data on file&lt;/secondary-title&gt;&lt;/titles&gt;&lt;periodical&gt;&lt;full-title&gt;Data on file&lt;/full-title&gt;&lt;/periodical&gt;&lt;dates&gt;&lt;year&gt;2021&lt;/year&gt;&lt;/dates&gt;&lt;urls&gt;&lt;/urls&gt;&lt;/record&gt;&lt;/Cite&gt;&lt;/EndNote&gt;</w:instrText>
        </w:r>
        <w:r w:rsidRPr="00013D9D">
          <w:fldChar w:fldCharType="separate"/>
        </w:r>
        <w:r w:rsidRPr="00013D9D">
          <w:fldChar w:fldCharType="end"/>
        </w:r>
      </w:hyperlink>
      <w:r w:rsidRPr="00013D9D">
        <w:t xml:space="preserve"> Analyses </w:t>
      </w:r>
      <w:r w:rsidRPr="00013D9D">
        <w:lastRenderedPageBreak/>
        <w:t>based on the PPS and PK are not considered to be of relevance to this submission and are not presented here.</w:t>
      </w:r>
    </w:p>
    <w:p w14:paraId="7601AEFA" w14:textId="3835A93D" w:rsidR="000B148D" w:rsidRPr="00756252" w:rsidRDefault="000B148D" w:rsidP="000B148D">
      <w:pPr>
        <w:pStyle w:val="Caption"/>
      </w:pPr>
      <w:bookmarkStart w:id="165" w:name="_Ref88665054"/>
      <w:bookmarkStart w:id="166" w:name="_Toc95826063"/>
      <w:bookmarkStart w:id="167" w:name="_Toc124447871"/>
      <w:bookmarkStart w:id="168" w:name="_Toc129350986"/>
      <w:r w:rsidRPr="00756252">
        <w:t xml:space="preserve">Table </w:t>
      </w:r>
      <w:r w:rsidRPr="00756252">
        <w:fldChar w:fldCharType="begin"/>
      </w:r>
      <w:r w:rsidRPr="00756252">
        <w:instrText>SEQ Table \* ARABIC</w:instrText>
      </w:r>
      <w:r w:rsidRPr="00756252">
        <w:fldChar w:fldCharType="separate"/>
      </w:r>
      <w:r w:rsidR="00145F42">
        <w:rPr>
          <w:noProof/>
        </w:rPr>
        <w:t>11</w:t>
      </w:r>
      <w:r w:rsidRPr="00756252">
        <w:fldChar w:fldCharType="end"/>
      </w:r>
      <w:bookmarkEnd w:id="165"/>
      <w:r w:rsidRPr="00756252">
        <w:t>: DESTINY-Breast04 | Analysis sets</w:t>
      </w:r>
      <w:bookmarkEnd w:id="166"/>
      <w:bookmarkEnd w:id="167"/>
      <w:bookmarkEnd w:id="168"/>
    </w:p>
    <w:tbl>
      <w:tblPr>
        <w:tblStyle w:val="Generaltable"/>
        <w:tblW w:w="5000" w:type="pct"/>
        <w:tblLayout w:type="fixed"/>
        <w:tblCellMar>
          <w:left w:w="57" w:type="dxa"/>
          <w:right w:w="57" w:type="dxa"/>
        </w:tblCellMar>
        <w:tblLook w:val="04A0" w:firstRow="1" w:lastRow="0" w:firstColumn="1" w:lastColumn="0" w:noHBand="0" w:noVBand="1"/>
      </w:tblPr>
      <w:tblGrid>
        <w:gridCol w:w="1817"/>
        <w:gridCol w:w="4273"/>
        <w:gridCol w:w="976"/>
        <w:gridCol w:w="976"/>
        <w:gridCol w:w="974"/>
      </w:tblGrid>
      <w:tr w:rsidR="000B148D" w:rsidRPr="00756252" w14:paraId="38305EE5" w14:textId="77777777" w:rsidTr="00FD18D9">
        <w:trPr>
          <w:cnfStyle w:val="100000000000" w:firstRow="1" w:lastRow="0" w:firstColumn="0" w:lastColumn="0" w:oddVBand="0" w:evenVBand="0" w:oddHBand="0" w:evenHBand="0" w:firstRowFirstColumn="0" w:firstRowLastColumn="0" w:lastRowFirstColumn="0" w:lastRowLastColumn="0"/>
          <w:trHeight w:val="20"/>
          <w:tblHeader/>
        </w:trPr>
        <w:tc>
          <w:tcPr>
            <w:tcW w:w="1008" w:type="pct"/>
            <w:vMerge w:val="restart"/>
            <w:shd w:val="clear" w:color="auto" w:fill="F2F2F2" w:themeFill="background1" w:themeFillShade="F2"/>
          </w:tcPr>
          <w:p w14:paraId="39A2B258" w14:textId="77777777" w:rsidR="000B148D" w:rsidRPr="00756252" w:rsidRDefault="000B148D">
            <w:pPr>
              <w:pStyle w:val="Tableheading"/>
            </w:pPr>
            <w:r w:rsidRPr="00756252">
              <w:t>Analysis set</w:t>
            </w:r>
          </w:p>
        </w:tc>
        <w:tc>
          <w:tcPr>
            <w:tcW w:w="2370" w:type="pct"/>
            <w:vMerge w:val="restart"/>
            <w:shd w:val="clear" w:color="auto" w:fill="F2F2F2" w:themeFill="background1" w:themeFillShade="F2"/>
          </w:tcPr>
          <w:p w14:paraId="31A0A7D2" w14:textId="77777777" w:rsidR="000B148D" w:rsidRPr="00756252" w:rsidRDefault="000B148D">
            <w:pPr>
              <w:pStyle w:val="Tableheading"/>
            </w:pPr>
            <w:r w:rsidRPr="00756252">
              <w:t>Definition</w:t>
            </w:r>
          </w:p>
        </w:tc>
        <w:tc>
          <w:tcPr>
            <w:tcW w:w="1622" w:type="pct"/>
            <w:gridSpan w:val="3"/>
            <w:shd w:val="clear" w:color="auto" w:fill="F2F2F2" w:themeFill="background1" w:themeFillShade="F2"/>
          </w:tcPr>
          <w:p w14:paraId="7B52F28F" w14:textId="77777777" w:rsidR="000B148D" w:rsidRPr="00756252" w:rsidRDefault="000B148D">
            <w:pPr>
              <w:pStyle w:val="Tableheading"/>
              <w:jc w:val="center"/>
            </w:pPr>
            <w:r w:rsidRPr="00756252">
              <w:t>Number of patients, n (%)</w:t>
            </w:r>
          </w:p>
        </w:tc>
      </w:tr>
      <w:tr w:rsidR="000B148D" w:rsidRPr="00756252" w14:paraId="4C668EC1" w14:textId="77777777" w:rsidTr="00FD18D9">
        <w:trPr>
          <w:cnfStyle w:val="100000000000" w:firstRow="1" w:lastRow="0" w:firstColumn="0" w:lastColumn="0" w:oddVBand="0" w:evenVBand="0" w:oddHBand="0" w:evenHBand="0" w:firstRowFirstColumn="0" w:firstRowLastColumn="0" w:lastRowFirstColumn="0" w:lastRowLastColumn="0"/>
          <w:trHeight w:val="20"/>
          <w:tblHeader/>
        </w:trPr>
        <w:tc>
          <w:tcPr>
            <w:tcW w:w="1008" w:type="pct"/>
            <w:vMerge/>
            <w:shd w:val="clear" w:color="auto" w:fill="F2F2F2" w:themeFill="background1" w:themeFillShade="F2"/>
          </w:tcPr>
          <w:p w14:paraId="32B55647" w14:textId="77777777" w:rsidR="000B148D" w:rsidRPr="00756252" w:rsidRDefault="000B148D">
            <w:pPr>
              <w:pStyle w:val="Tableheading"/>
            </w:pPr>
          </w:p>
        </w:tc>
        <w:tc>
          <w:tcPr>
            <w:tcW w:w="2370" w:type="pct"/>
            <w:vMerge/>
            <w:shd w:val="clear" w:color="auto" w:fill="F2F2F2" w:themeFill="background1" w:themeFillShade="F2"/>
          </w:tcPr>
          <w:p w14:paraId="71BBA886" w14:textId="77777777" w:rsidR="000B148D" w:rsidRPr="00756252" w:rsidRDefault="000B148D">
            <w:pPr>
              <w:pStyle w:val="Tableheading"/>
            </w:pPr>
          </w:p>
        </w:tc>
        <w:tc>
          <w:tcPr>
            <w:tcW w:w="541" w:type="pct"/>
            <w:shd w:val="clear" w:color="auto" w:fill="F2F2F2" w:themeFill="background1" w:themeFillShade="F2"/>
          </w:tcPr>
          <w:p w14:paraId="473D0880" w14:textId="77777777" w:rsidR="000B148D" w:rsidRPr="00756252" w:rsidRDefault="000B148D">
            <w:pPr>
              <w:pStyle w:val="Tableheading"/>
              <w:jc w:val="center"/>
            </w:pPr>
            <w:r w:rsidRPr="00756252">
              <w:t>T-DXd</w:t>
            </w:r>
          </w:p>
        </w:tc>
        <w:tc>
          <w:tcPr>
            <w:tcW w:w="541" w:type="pct"/>
            <w:shd w:val="clear" w:color="auto" w:fill="F2F2F2" w:themeFill="background1" w:themeFillShade="F2"/>
          </w:tcPr>
          <w:p w14:paraId="0B7BFF07" w14:textId="77777777" w:rsidR="000B148D" w:rsidRPr="00756252" w:rsidRDefault="000B148D">
            <w:pPr>
              <w:pStyle w:val="Tableheading"/>
              <w:jc w:val="center"/>
            </w:pPr>
            <w:r w:rsidRPr="00756252">
              <w:t>TPC</w:t>
            </w:r>
          </w:p>
        </w:tc>
        <w:tc>
          <w:tcPr>
            <w:tcW w:w="541" w:type="pct"/>
            <w:shd w:val="clear" w:color="auto" w:fill="F2F2F2" w:themeFill="background1" w:themeFillShade="F2"/>
          </w:tcPr>
          <w:p w14:paraId="2EF371EE" w14:textId="77777777" w:rsidR="000B148D" w:rsidRPr="00756252" w:rsidRDefault="000B148D">
            <w:pPr>
              <w:pStyle w:val="Tableheading"/>
              <w:jc w:val="center"/>
            </w:pPr>
            <w:r w:rsidRPr="00756252">
              <w:t>Total</w:t>
            </w:r>
          </w:p>
        </w:tc>
      </w:tr>
      <w:tr w:rsidR="000B148D" w:rsidRPr="00756252" w14:paraId="78254383" w14:textId="77777777" w:rsidTr="00FD18D9">
        <w:trPr>
          <w:trHeight w:val="20"/>
        </w:trPr>
        <w:tc>
          <w:tcPr>
            <w:tcW w:w="1008" w:type="pct"/>
            <w:shd w:val="clear" w:color="auto" w:fill="F2F2F2" w:themeFill="background1" w:themeFillShade="F2"/>
          </w:tcPr>
          <w:p w14:paraId="157F4D0B" w14:textId="77777777" w:rsidR="000B148D" w:rsidRPr="00756252" w:rsidRDefault="000B148D">
            <w:pPr>
              <w:pStyle w:val="Tableheading"/>
            </w:pPr>
            <w:r w:rsidRPr="00756252">
              <w:t>Full analysis set (FAS)</w:t>
            </w:r>
          </w:p>
        </w:tc>
        <w:tc>
          <w:tcPr>
            <w:tcW w:w="2370" w:type="pct"/>
          </w:tcPr>
          <w:p w14:paraId="4FBB6B0C" w14:textId="24C0E6E5" w:rsidR="000B148D" w:rsidRPr="00756252" w:rsidRDefault="000B148D">
            <w:pPr>
              <w:pStyle w:val="Tablebody"/>
            </w:pPr>
            <w:r w:rsidRPr="00756252">
              <w:t xml:space="preserve">Included all patients randomised into the study. Following the intention-to-treat principle, patients were analysed </w:t>
            </w:r>
            <w:r w:rsidR="00294FDC" w:rsidRPr="00294FDC">
              <w:rPr>
                <w:color w:val="000000"/>
                <w:highlight w:val="black"/>
              </w:rPr>
              <w:t>xxxxxxxxxxxxxxxxxx</w:t>
            </w:r>
            <w:r w:rsidR="00421E54">
              <w:rPr>
                <w:color w:val="000000"/>
                <w:highlight w:val="black"/>
              </w:rPr>
              <w:t xml:space="preserve"> </w:t>
            </w:r>
            <w:r w:rsidR="00294FDC" w:rsidRPr="00294FDC">
              <w:rPr>
                <w:color w:val="000000"/>
                <w:highlight w:val="black"/>
              </w:rPr>
              <w:t>xxxxxxxxxxxxxxxxxxxxxxxxxxxxxxxxxxxxxxxxxxxxxxxxxxxxxxxxxxx</w:t>
            </w:r>
          </w:p>
        </w:tc>
        <w:tc>
          <w:tcPr>
            <w:tcW w:w="541" w:type="pct"/>
          </w:tcPr>
          <w:p w14:paraId="64069335" w14:textId="77777777" w:rsidR="000B148D" w:rsidRPr="00756252" w:rsidRDefault="000B148D">
            <w:pPr>
              <w:pStyle w:val="Tablebody"/>
              <w:jc w:val="center"/>
            </w:pPr>
            <w:r w:rsidRPr="00756252">
              <w:t>373</w:t>
            </w:r>
            <w:r w:rsidRPr="00756252">
              <w:br/>
              <w:t>(100.0)</w:t>
            </w:r>
          </w:p>
        </w:tc>
        <w:tc>
          <w:tcPr>
            <w:tcW w:w="541" w:type="pct"/>
          </w:tcPr>
          <w:p w14:paraId="6B4A4F03" w14:textId="77777777" w:rsidR="000B148D" w:rsidRPr="00756252" w:rsidRDefault="000B148D">
            <w:pPr>
              <w:pStyle w:val="Tablebody"/>
              <w:jc w:val="center"/>
            </w:pPr>
            <w:r w:rsidRPr="00756252">
              <w:t>184</w:t>
            </w:r>
            <w:r w:rsidRPr="00756252">
              <w:br/>
              <w:t>(100.0)</w:t>
            </w:r>
          </w:p>
        </w:tc>
        <w:tc>
          <w:tcPr>
            <w:tcW w:w="541" w:type="pct"/>
          </w:tcPr>
          <w:p w14:paraId="1CC62279" w14:textId="77777777" w:rsidR="000B148D" w:rsidRPr="00756252" w:rsidRDefault="000B148D">
            <w:pPr>
              <w:pStyle w:val="Tablebody"/>
              <w:jc w:val="center"/>
            </w:pPr>
            <w:r w:rsidRPr="00756252">
              <w:t>557</w:t>
            </w:r>
            <w:r w:rsidRPr="00756252">
              <w:br/>
              <w:t>(100.0)</w:t>
            </w:r>
          </w:p>
        </w:tc>
      </w:tr>
      <w:tr w:rsidR="000B148D" w:rsidRPr="00756252" w14:paraId="1DA79217" w14:textId="77777777" w:rsidTr="00FD18D9">
        <w:trPr>
          <w:trHeight w:val="20"/>
        </w:trPr>
        <w:tc>
          <w:tcPr>
            <w:tcW w:w="1008" w:type="pct"/>
            <w:shd w:val="clear" w:color="auto" w:fill="F2F2F2" w:themeFill="background1" w:themeFillShade="F2"/>
          </w:tcPr>
          <w:p w14:paraId="489BE456" w14:textId="77777777" w:rsidR="000B148D" w:rsidRPr="00756252" w:rsidRDefault="000B148D">
            <w:pPr>
              <w:pStyle w:val="Tableheading"/>
            </w:pPr>
            <w:r w:rsidRPr="00756252">
              <w:t>Primary analysis set: HR-positive cohort</w:t>
            </w:r>
          </w:p>
        </w:tc>
        <w:tc>
          <w:tcPr>
            <w:tcW w:w="2370" w:type="pct"/>
          </w:tcPr>
          <w:p w14:paraId="1F9398E0" w14:textId="6F29CBD6" w:rsidR="000B148D" w:rsidRPr="00756252" w:rsidRDefault="000B148D">
            <w:pPr>
              <w:pStyle w:val="Tablebody"/>
            </w:pPr>
            <w:r w:rsidRPr="00756252">
              <w:t>Included all patients randomised into the study who were HR-positive. This is the primary analysis set for the efficacy analyses</w:t>
            </w:r>
            <w:r w:rsidR="00CF42A4">
              <w:t>, following the intention-to-treat principle</w:t>
            </w:r>
            <w:r w:rsidRPr="00756252">
              <w:t xml:space="preserve"> </w:t>
            </w:r>
          </w:p>
        </w:tc>
        <w:tc>
          <w:tcPr>
            <w:tcW w:w="541" w:type="pct"/>
          </w:tcPr>
          <w:p w14:paraId="7C5C96D9" w14:textId="77777777" w:rsidR="000B148D" w:rsidRPr="00756252" w:rsidRDefault="000B148D">
            <w:pPr>
              <w:pStyle w:val="Tablebody"/>
              <w:jc w:val="center"/>
            </w:pPr>
            <w:r w:rsidRPr="00756252">
              <w:t>331 (88.7)</w:t>
            </w:r>
          </w:p>
        </w:tc>
        <w:tc>
          <w:tcPr>
            <w:tcW w:w="541" w:type="pct"/>
          </w:tcPr>
          <w:p w14:paraId="0713FBFF" w14:textId="77777777" w:rsidR="000B148D" w:rsidRPr="00756252" w:rsidRDefault="000B148D">
            <w:pPr>
              <w:pStyle w:val="Tablebody"/>
              <w:jc w:val="center"/>
            </w:pPr>
            <w:r w:rsidRPr="00756252">
              <w:t>163 (88.6)</w:t>
            </w:r>
          </w:p>
        </w:tc>
        <w:tc>
          <w:tcPr>
            <w:tcW w:w="541" w:type="pct"/>
          </w:tcPr>
          <w:p w14:paraId="24B70E2D" w14:textId="77777777" w:rsidR="000B148D" w:rsidRPr="00756252" w:rsidRDefault="000B148D">
            <w:pPr>
              <w:pStyle w:val="Tablebody"/>
              <w:jc w:val="center"/>
            </w:pPr>
            <w:r w:rsidRPr="00756252">
              <w:t xml:space="preserve">494 (88.7) </w:t>
            </w:r>
          </w:p>
        </w:tc>
      </w:tr>
      <w:tr w:rsidR="000B148D" w:rsidRPr="00756252" w14:paraId="42449116" w14:textId="77777777" w:rsidTr="00FD18D9">
        <w:trPr>
          <w:trHeight w:val="20"/>
        </w:trPr>
        <w:tc>
          <w:tcPr>
            <w:tcW w:w="1008" w:type="pct"/>
            <w:shd w:val="clear" w:color="auto" w:fill="F2F2F2" w:themeFill="background1" w:themeFillShade="F2"/>
          </w:tcPr>
          <w:p w14:paraId="409C499B" w14:textId="77777777" w:rsidR="000B148D" w:rsidRPr="00756252" w:rsidRDefault="000B148D">
            <w:pPr>
              <w:pStyle w:val="Tableheading"/>
            </w:pPr>
            <w:r w:rsidRPr="00756252">
              <w:t>Safety analysis set (SAS)</w:t>
            </w:r>
          </w:p>
        </w:tc>
        <w:tc>
          <w:tcPr>
            <w:tcW w:w="2370" w:type="pct"/>
          </w:tcPr>
          <w:p w14:paraId="46C0A390" w14:textId="5FA021A4" w:rsidR="000B148D" w:rsidRPr="00756252" w:rsidRDefault="000B148D">
            <w:pPr>
              <w:pStyle w:val="Tablebody"/>
            </w:pPr>
            <w:r w:rsidRPr="00756252">
              <w:t xml:space="preserve">Included all randomised patients who received </w:t>
            </w:r>
            <w:r w:rsidR="00294FDC" w:rsidRPr="00294FDC">
              <w:rPr>
                <w:color w:val="000000"/>
                <w:highlight w:val="black"/>
              </w:rPr>
              <w:t>xxxxxxx</w:t>
            </w:r>
            <w:r w:rsidRPr="00756252">
              <w:t xml:space="preserve"> of study treatment (either T</w:t>
            </w:r>
            <w:r w:rsidRPr="00756252">
              <w:noBreakHyphen/>
              <w:t xml:space="preserve">DXd or TPC). </w:t>
            </w:r>
            <w:r w:rsidR="00421E54" w:rsidRPr="00294FDC">
              <w:rPr>
                <w:color w:val="000000"/>
                <w:highlight w:val="black"/>
              </w:rPr>
              <w:t>X</w:t>
            </w:r>
            <w:r w:rsidR="00294FDC" w:rsidRPr="00294FDC">
              <w:rPr>
                <w:color w:val="000000"/>
                <w:highlight w:val="black"/>
              </w:rPr>
              <w:t>xxxxxxxxxxxxxxxxxxxxxxxxxxxxxxxxxxxx</w:t>
            </w:r>
            <w:r w:rsidR="00421E54">
              <w:rPr>
                <w:color w:val="000000"/>
                <w:highlight w:val="black"/>
              </w:rPr>
              <w:t xml:space="preserve"> </w:t>
            </w:r>
            <w:r w:rsidR="00294FDC" w:rsidRPr="00294FDC">
              <w:rPr>
                <w:color w:val="000000"/>
                <w:highlight w:val="black"/>
              </w:rPr>
              <w:t>xxxxxxxxxxxxxxxxxxxxxxxxxxxxxxxxxxxxx</w:t>
            </w:r>
            <w:r w:rsidR="00421E54">
              <w:rPr>
                <w:color w:val="000000"/>
                <w:highlight w:val="black"/>
              </w:rPr>
              <w:t xml:space="preserve"> </w:t>
            </w:r>
            <w:r w:rsidR="00294FDC" w:rsidRPr="00294FDC">
              <w:rPr>
                <w:color w:val="000000"/>
                <w:highlight w:val="black"/>
              </w:rPr>
              <w:t>xxxxxxxxxxxxxxxxxxxxxxxxxxxxxxxxxxxxxxxx</w:t>
            </w:r>
            <w:r w:rsidR="00421E54">
              <w:rPr>
                <w:color w:val="000000"/>
                <w:highlight w:val="black"/>
              </w:rPr>
              <w:t xml:space="preserve"> </w:t>
            </w:r>
            <w:r w:rsidR="00294FDC" w:rsidRPr="00294FDC">
              <w:rPr>
                <w:color w:val="000000"/>
                <w:highlight w:val="black"/>
              </w:rPr>
              <w:t>xxxxxxxxxxxxxxxxxxxxxxxxxxxxxxxxxxxxxxx</w:t>
            </w:r>
            <w:r w:rsidR="00421E54">
              <w:rPr>
                <w:color w:val="000000"/>
                <w:highlight w:val="black"/>
              </w:rPr>
              <w:t xml:space="preserve"> </w:t>
            </w:r>
            <w:r w:rsidR="00294FDC" w:rsidRPr="00294FDC">
              <w:rPr>
                <w:color w:val="000000"/>
                <w:highlight w:val="black"/>
              </w:rPr>
              <w:t>xxxxxxxxxxxxxxxxxxxxxxxxxxxx</w:t>
            </w:r>
          </w:p>
        </w:tc>
        <w:tc>
          <w:tcPr>
            <w:tcW w:w="541" w:type="pct"/>
          </w:tcPr>
          <w:p w14:paraId="674FA680" w14:textId="77777777" w:rsidR="000B148D" w:rsidRPr="00756252" w:rsidRDefault="000B148D">
            <w:pPr>
              <w:pStyle w:val="Tablebody"/>
              <w:jc w:val="center"/>
            </w:pPr>
            <w:r w:rsidRPr="00756252">
              <w:t>371</w:t>
            </w:r>
            <w:r w:rsidRPr="00756252">
              <w:br/>
              <w:t>(99.5)</w:t>
            </w:r>
          </w:p>
        </w:tc>
        <w:tc>
          <w:tcPr>
            <w:tcW w:w="541" w:type="pct"/>
          </w:tcPr>
          <w:p w14:paraId="75B35882" w14:textId="77777777" w:rsidR="000B148D" w:rsidRPr="00756252" w:rsidRDefault="000B148D">
            <w:pPr>
              <w:pStyle w:val="Tablebody"/>
              <w:jc w:val="center"/>
            </w:pPr>
            <w:r w:rsidRPr="00756252">
              <w:t>172</w:t>
            </w:r>
            <w:r w:rsidRPr="00756252">
              <w:br/>
              <w:t>(93.5)</w:t>
            </w:r>
          </w:p>
        </w:tc>
        <w:tc>
          <w:tcPr>
            <w:tcW w:w="541" w:type="pct"/>
          </w:tcPr>
          <w:p w14:paraId="7C577586" w14:textId="77777777" w:rsidR="000B148D" w:rsidRPr="00756252" w:rsidRDefault="000B148D">
            <w:pPr>
              <w:pStyle w:val="Tablebody"/>
              <w:jc w:val="center"/>
            </w:pPr>
            <w:r w:rsidRPr="00756252">
              <w:t>543</w:t>
            </w:r>
            <w:r w:rsidRPr="00756252">
              <w:br/>
              <w:t>(97.5)</w:t>
            </w:r>
          </w:p>
        </w:tc>
      </w:tr>
      <w:tr w:rsidR="000B148D" w:rsidRPr="00756252" w14:paraId="10397B67" w14:textId="77777777" w:rsidTr="00FD18D9">
        <w:trPr>
          <w:trHeight w:val="20"/>
        </w:trPr>
        <w:tc>
          <w:tcPr>
            <w:tcW w:w="1008" w:type="pct"/>
            <w:shd w:val="clear" w:color="auto" w:fill="F2F2F2" w:themeFill="background1" w:themeFillShade="F2"/>
          </w:tcPr>
          <w:p w14:paraId="5B7ED920" w14:textId="77777777" w:rsidR="000B148D" w:rsidRPr="00756252" w:rsidRDefault="000B148D">
            <w:pPr>
              <w:pStyle w:val="Tableheading"/>
            </w:pPr>
            <w:r w:rsidRPr="00756252">
              <w:t>Per-protocol analysis set (PPS)</w:t>
            </w:r>
          </w:p>
        </w:tc>
        <w:tc>
          <w:tcPr>
            <w:tcW w:w="2370" w:type="pct"/>
          </w:tcPr>
          <w:p w14:paraId="4398CC97" w14:textId="315CFC54" w:rsidR="000B148D" w:rsidRPr="00421E54" w:rsidRDefault="000B148D" w:rsidP="00421E54">
            <w:pPr>
              <w:pStyle w:val="Tablebody"/>
              <w:rPr>
                <w:color w:val="000000"/>
                <w:highlight w:val="black"/>
              </w:rPr>
            </w:pPr>
            <w:r w:rsidRPr="00421E54">
              <w:t>I</w:t>
            </w:r>
            <w:r w:rsidRPr="00756252">
              <w:t xml:space="preserve">ncluded </w:t>
            </w:r>
            <w:r w:rsidR="00294FDC" w:rsidRPr="00294FDC">
              <w:rPr>
                <w:color w:val="000000"/>
                <w:highlight w:val="black"/>
              </w:rPr>
              <w:t>xxxxxxxxxx</w:t>
            </w:r>
            <w:r w:rsidR="00421E54">
              <w:rPr>
                <w:color w:val="000000"/>
                <w:highlight w:val="black"/>
              </w:rPr>
              <w:t xml:space="preserve"> </w:t>
            </w:r>
            <w:r w:rsidR="00294FDC" w:rsidRPr="00294FDC">
              <w:rPr>
                <w:color w:val="000000"/>
                <w:highlight w:val="black"/>
              </w:rPr>
              <w:t>xxxxxxxx</w:t>
            </w:r>
            <w:r w:rsidR="00421E54">
              <w:rPr>
                <w:color w:val="000000"/>
                <w:highlight w:val="black"/>
              </w:rPr>
              <w:t xml:space="preserve"> </w:t>
            </w:r>
            <w:r w:rsidR="00294FDC" w:rsidRPr="00294FDC">
              <w:rPr>
                <w:color w:val="000000"/>
                <w:highlight w:val="black"/>
              </w:rPr>
              <w:t>xxxxxx</w:t>
            </w:r>
            <w:r w:rsidR="00421E54">
              <w:rPr>
                <w:color w:val="000000"/>
                <w:highlight w:val="black"/>
              </w:rPr>
              <w:t xml:space="preserve"> </w:t>
            </w:r>
            <w:r w:rsidR="00294FDC" w:rsidRPr="00294FDC">
              <w:rPr>
                <w:color w:val="000000"/>
                <w:highlight w:val="black"/>
              </w:rPr>
              <w:t>xxx</w:t>
            </w:r>
            <w:r w:rsidR="00421E54">
              <w:rPr>
                <w:color w:val="000000"/>
                <w:highlight w:val="black"/>
              </w:rPr>
              <w:t xml:space="preserve"> </w:t>
            </w:r>
            <w:r w:rsidR="00294FDC" w:rsidRPr="00294FDC">
              <w:rPr>
                <w:color w:val="000000"/>
                <w:highlight w:val="black"/>
              </w:rPr>
              <w:t>xxxxxxxxxxxxxxxxxxxxxxxxxxxxxxxxxxxxxx</w:t>
            </w:r>
            <w:r w:rsidR="00421E54">
              <w:rPr>
                <w:color w:val="000000"/>
                <w:highlight w:val="black"/>
              </w:rPr>
              <w:t xml:space="preserve"> </w:t>
            </w:r>
            <w:r w:rsidR="00294FDC" w:rsidRPr="00294FDC">
              <w:rPr>
                <w:color w:val="000000"/>
                <w:highlight w:val="black"/>
              </w:rPr>
              <w:t>x</w:t>
            </w:r>
            <w:r w:rsidR="00421E54">
              <w:rPr>
                <w:color w:val="000000"/>
                <w:highlight w:val="black"/>
              </w:rPr>
              <w:t xml:space="preserve"> </w:t>
            </w:r>
            <w:r w:rsidR="00294FDC" w:rsidRPr="00294FDC">
              <w:rPr>
                <w:color w:val="000000"/>
                <w:highlight w:val="black"/>
              </w:rPr>
              <w:t>xxxxxxxxxxxxxxxxxxxxxxxxxxxx</w:t>
            </w:r>
            <w:r w:rsidR="00421E54">
              <w:rPr>
                <w:color w:val="000000"/>
                <w:highlight w:val="black"/>
              </w:rPr>
              <w:t xml:space="preserve"> </w:t>
            </w:r>
            <w:r w:rsidR="00294FDC" w:rsidRPr="00294FDC">
              <w:rPr>
                <w:color w:val="000000"/>
                <w:highlight w:val="black"/>
              </w:rPr>
              <w:t>xxxxx</w:t>
            </w:r>
            <w:r w:rsidR="00421E54">
              <w:rPr>
                <w:color w:val="000000"/>
                <w:highlight w:val="black"/>
              </w:rPr>
              <w:t xml:space="preserve"> </w:t>
            </w:r>
            <w:r w:rsidR="00294FDC" w:rsidRPr="00294FDC">
              <w:rPr>
                <w:color w:val="000000"/>
                <w:highlight w:val="black"/>
              </w:rPr>
              <w:t>xxx</w:t>
            </w:r>
            <w:r w:rsidR="00421E54">
              <w:rPr>
                <w:color w:val="000000"/>
                <w:highlight w:val="black"/>
              </w:rPr>
              <w:t xml:space="preserve"> </w:t>
            </w:r>
            <w:r w:rsidR="00294FDC" w:rsidRPr="00294FDC">
              <w:rPr>
                <w:color w:val="000000"/>
                <w:highlight w:val="black"/>
              </w:rPr>
              <w:t>x</w:t>
            </w:r>
            <w:r w:rsidR="00421E54">
              <w:rPr>
                <w:color w:val="000000"/>
                <w:highlight w:val="black"/>
              </w:rPr>
              <w:t xml:space="preserve"> </w:t>
            </w:r>
            <w:r w:rsidR="00294FDC" w:rsidRPr="00294FDC">
              <w:rPr>
                <w:color w:val="000000"/>
                <w:highlight w:val="black"/>
              </w:rPr>
              <w:t>x</w:t>
            </w:r>
            <w:r w:rsidR="00421E54">
              <w:rPr>
                <w:color w:val="000000"/>
                <w:highlight w:val="black"/>
              </w:rPr>
              <w:t xml:space="preserve"> </w:t>
            </w:r>
            <w:r w:rsidR="00294FDC" w:rsidRPr="00294FDC">
              <w:rPr>
                <w:color w:val="000000"/>
                <w:highlight w:val="black"/>
              </w:rPr>
              <w:t>xxxxxxxxxxxxxxxxxxxxxxxxxxxxxxxxxxxx</w:t>
            </w:r>
            <w:r w:rsidR="00421E54">
              <w:rPr>
                <w:color w:val="000000"/>
                <w:highlight w:val="black"/>
              </w:rPr>
              <w:t xml:space="preserve"> </w:t>
            </w:r>
            <w:r w:rsidR="00294FDC" w:rsidRPr="00294FDC">
              <w:rPr>
                <w:color w:val="000000"/>
                <w:highlight w:val="black"/>
              </w:rPr>
              <w:t>x</w:t>
            </w:r>
            <w:r w:rsidR="00421E54">
              <w:rPr>
                <w:color w:val="000000"/>
                <w:highlight w:val="black"/>
              </w:rPr>
              <w:t xml:space="preserve"> </w:t>
            </w:r>
            <w:r w:rsidR="00294FDC" w:rsidRPr="00294FDC">
              <w:rPr>
                <w:color w:val="000000"/>
                <w:highlight w:val="black"/>
              </w:rPr>
              <w:t>xxxxxxxxxxxxxxxxxxxxxxxxxxxxxxxxxxxxx</w:t>
            </w:r>
            <w:r w:rsidR="00421E54">
              <w:rPr>
                <w:color w:val="000000"/>
                <w:highlight w:val="black"/>
              </w:rPr>
              <w:t xml:space="preserve"> </w:t>
            </w:r>
            <w:r w:rsidR="00294FDC" w:rsidRPr="00294FDC">
              <w:rPr>
                <w:color w:val="000000"/>
                <w:highlight w:val="black"/>
              </w:rPr>
              <w:t>xxxxxxxxxxxxxxxxxxxxxxxxxxxxxxxxxxxx</w:t>
            </w:r>
            <w:r w:rsidR="00421E54">
              <w:rPr>
                <w:color w:val="000000"/>
                <w:highlight w:val="black"/>
              </w:rPr>
              <w:t xml:space="preserve"> </w:t>
            </w:r>
            <w:r w:rsidR="00294FDC" w:rsidRPr="00294FDC">
              <w:rPr>
                <w:color w:val="000000"/>
                <w:highlight w:val="black"/>
              </w:rPr>
              <w:t>xxxxxxxxxxxxxxxxxxxxxxxxxxxxxxxxxxxxx</w:t>
            </w:r>
            <w:r w:rsidR="00421E54">
              <w:rPr>
                <w:color w:val="000000"/>
                <w:highlight w:val="black"/>
              </w:rPr>
              <w:t xml:space="preserve"> </w:t>
            </w:r>
            <w:r w:rsidR="00294FDC" w:rsidRPr="00294FDC">
              <w:rPr>
                <w:color w:val="000000"/>
                <w:highlight w:val="black"/>
              </w:rPr>
              <w:t>xxxxxxxxxxxxxxxxxxxxxxxxxxxxxxxxxxxxx</w:t>
            </w:r>
            <w:r w:rsidR="00421E54">
              <w:rPr>
                <w:color w:val="000000"/>
                <w:highlight w:val="black"/>
              </w:rPr>
              <w:t xml:space="preserve"> </w:t>
            </w:r>
            <w:r w:rsidR="00294FDC" w:rsidRPr="00294FDC">
              <w:rPr>
                <w:color w:val="000000"/>
                <w:highlight w:val="black"/>
              </w:rPr>
              <w:t>xxxxxxxxxxxxxxxxxxxxxxxxxxxxxxxxxxxxxx</w:t>
            </w:r>
            <w:r w:rsidR="00421E54">
              <w:rPr>
                <w:color w:val="000000"/>
                <w:highlight w:val="black"/>
              </w:rPr>
              <w:t xml:space="preserve"> </w:t>
            </w:r>
            <w:r w:rsidR="00294FDC" w:rsidRPr="00294FDC">
              <w:rPr>
                <w:color w:val="000000"/>
                <w:highlight w:val="black"/>
              </w:rPr>
              <w:t>xxxxxxxxxxxxxxxxxxxxxxxxxxxxxxxxxxxxxx</w:t>
            </w:r>
            <w:r w:rsidR="00421E54">
              <w:rPr>
                <w:color w:val="000000"/>
                <w:highlight w:val="black"/>
              </w:rPr>
              <w:t xml:space="preserve"> </w:t>
            </w:r>
            <w:r w:rsidR="00294FDC" w:rsidRPr="00294FDC">
              <w:rPr>
                <w:color w:val="000000"/>
                <w:highlight w:val="black"/>
              </w:rPr>
              <w:t>xxxxxxxxxxxxxxxxxxxxxxxxxxxxxxxxxxxxxx</w:t>
            </w:r>
            <w:r w:rsidR="00421E54">
              <w:rPr>
                <w:color w:val="000000"/>
                <w:highlight w:val="black"/>
              </w:rPr>
              <w:t xml:space="preserve"> </w:t>
            </w:r>
            <w:r w:rsidR="00294FDC" w:rsidRPr="00294FDC">
              <w:rPr>
                <w:color w:val="000000"/>
                <w:highlight w:val="black"/>
              </w:rPr>
              <w:t>xxxxxxxxxxxxxxxxxxxxxxxxxxxxxxxxxxxxx</w:t>
            </w:r>
            <w:r w:rsidR="00421E54">
              <w:rPr>
                <w:color w:val="000000"/>
                <w:highlight w:val="black"/>
              </w:rPr>
              <w:t xml:space="preserve"> </w:t>
            </w:r>
            <w:r w:rsidR="00294FDC" w:rsidRPr="00294FDC">
              <w:rPr>
                <w:color w:val="000000"/>
                <w:highlight w:val="black"/>
              </w:rPr>
              <w:t>xxxxxxxxxxxxxxxxxxxxxxxxxxxxxxxxxxxxxx</w:t>
            </w:r>
            <w:r w:rsidR="00421E54">
              <w:rPr>
                <w:color w:val="000000"/>
                <w:highlight w:val="black"/>
              </w:rPr>
              <w:t xml:space="preserve"> </w:t>
            </w:r>
            <w:r w:rsidR="00294FDC" w:rsidRPr="00294FDC">
              <w:rPr>
                <w:color w:val="000000"/>
                <w:highlight w:val="black"/>
              </w:rPr>
              <w:t>xxxxxxxxxxxxxxxxxxxxxxxxxxxxxxxxxxxxx</w:t>
            </w:r>
            <w:r w:rsidR="00421E54">
              <w:rPr>
                <w:color w:val="000000"/>
                <w:highlight w:val="black"/>
              </w:rPr>
              <w:t xml:space="preserve"> </w:t>
            </w:r>
            <w:r w:rsidR="00294FDC" w:rsidRPr="00294FDC">
              <w:rPr>
                <w:color w:val="000000"/>
                <w:highlight w:val="black"/>
              </w:rPr>
              <w:t>xx</w:t>
            </w:r>
          </w:p>
        </w:tc>
        <w:tc>
          <w:tcPr>
            <w:tcW w:w="541" w:type="pct"/>
          </w:tcPr>
          <w:p w14:paraId="57ED8456" w14:textId="77777777" w:rsidR="000B148D" w:rsidRPr="00756252" w:rsidRDefault="000B148D">
            <w:pPr>
              <w:pStyle w:val="Tablebody"/>
              <w:jc w:val="center"/>
            </w:pPr>
            <w:r w:rsidRPr="00756252">
              <w:t>361</w:t>
            </w:r>
            <w:r w:rsidRPr="00756252">
              <w:br/>
              <w:t>(96.6)</w:t>
            </w:r>
          </w:p>
        </w:tc>
        <w:tc>
          <w:tcPr>
            <w:tcW w:w="541" w:type="pct"/>
          </w:tcPr>
          <w:p w14:paraId="4DFABC05" w14:textId="77777777" w:rsidR="000B148D" w:rsidRPr="00756252" w:rsidRDefault="000B148D">
            <w:pPr>
              <w:pStyle w:val="Tablebody"/>
              <w:jc w:val="center"/>
            </w:pPr>
            <w:r w:rsidRPr="00756252">
              <w:t>164</w:t>
            </w:r>
            <w:r w:rsidRPr="00756252">
              <w:br/>
              <w:t>(89.1)</w:t>
            </w:r>
          </w:p>
        </w:tc>
        <w:tc>
          <w:tcPr>
            <w:tcW w:w="541" w:type="pct"/>
          </w:tcPr>
          <w:p w14:paraId="270BF16C" w14:textId="77777777" w:rsidR="000B148D" w:rsidRPr="00756252" w:rsidRDefault="000B148D">
            <w:pPr>
              <w:pStyle w:val="Tablebody"/>
              <w:jc w:val="center"/>
            </w:pPr>
            <w:r w:rsidRPr="00756252">
              <w:t>525</w:t>
            </w:r>
            <w:r w:rsidRPr="00756252">
              <w:br/>
              <w:t>(94.3)</w:t>
            </w:r>
          </w:p>
        </w:tc>
      </w:tr>
      <w:tr w:rsidR="000B148D" w:rsidRPr="00756252" w14:paraId="7E65E91C" w14:textId="77777777" w:rsidTr="00FD18D9">
        <w:trPr>
          <w:trHeight w:val="20"/>
        </w:trPr>
        <w:tc>
          <w:tcPr>
            <w:tcW w:w="1008" w:type="pct"/>
            <w:shd w:val="clear" w:color="auto" w:fill="F2F2F2" w:themeFill="background1" w:themeFillShade="F2"/>
          </w:tcPr>
          <w:p w14:paraId="083FD69E" w14:textId="77777777" w:rsidR="000B148D" w:rsidRPr="00756252" w:rsidRDefault="000B148D">
            <w:pPr>
              <w:pStyle w:val="Tableheading"/>
            </w:pPr>
            <w:r w:rsidRPr="00756252">
              <w:t>Pharmacokinetic (PK) analysis set</w:t>
            </w:r>
          </w:p>
        </w:tc>
        <w:tc>
          <w:tcPr>
            <w:tcW w:w="2370" w:type="pct"/>
          </w:tcPr>
          <w:p w14:paraId="141927B8" w14:textId="74C28A59" w:rsidR="000B148D" w:rsidRPr="00756252" w:rsidRDefault="000B148D">
            <w:pPr>
              <w:pStyle w:val="Tablebody"/>
            </w:pPr>
            <w:r w:rsidRPr="00756252">
              <w:t xml:space="preserve">Included </w:t>
            </w:r>
            <w:r w:rsidR="00294FDC" w:rsidRPr="00294FDC">
              <w:rPr>
                <w:color w:val="000000"/>
                <w:highlight w:val="black"/>
              </w:rPr>
              <w:t>xxxxxxxxxxxxxxxxxxxxxxxxxxxxxx</w:t>
            </w:r>
            <w:r w:rsidR="00421E54">
              <w:rPr>
                <w:color w:val="000000"/>
                <w:highlight w:val="black"/>
              </w:rPr>
              <w:t xml:space="preserve"> </w:t>
            </w:r>
            <w:r w:rsidR="00294FDC" w:rsidRPr="00294FDC">
              <w:rPr>
                <w:color w:val="000000"/>
                <w:highlight w:val="black"/>
              </w:rPr>
              <w:t>xxxxxxxxxxxxxxxxxxxxxxxxxxxxxxxxxxxxxxxxxxxxxxxxxxxxxxxxxxxxxxxxxxxxxxxxxxxxxxxxxxxxxxxxxxxxxxxxxxxxxxxxxxxxxxxxx</w:t>
            </w:r>
          </w:p>
        </w:tc>
        <w:tc>
          <w:tcPr>
            <w:tcW w:w="541" w:type="pct"/>
          </w:tcPr>
          <w:p w14:paraId="241579CA" w14:textId="77777777" w:rsidR="000B148D" w:rsidRPr="00756252" w:rsidRDefault="000B148D">
            <w:pPr>
              <w:pStyle w:val="Tablebody"/>
              <w:jc w:val="center"/>
            </w:pPr>
            <w:r w:rsidRPr="00756252">
              <w:t>370</w:t>
            </w:r>
            <w:r w:rsidRPr="00756252">
              <w:br/>
              <w:t>(99.2)</w:t>
            </w:r>
          </w:p>
        </w:tc>
        <w:tc>
          <w:tcPr>
            <w:tcW w:w="541" w:type="pct"/>
          </w:tcPr>
          <w:p w14:paraId="66EDF9D8" w14:textId="77777777" w:rsidR="000B148D" w:rsidRPr="00756252" w:rsidRDefault="000B148D">
            <w:pPr>
              <w:pStyle w:val="Tablebody"/>
              <w:jc w:val="center"/>
            </w:pPr>
            <w:r w:rsidRPr="00756252">
              <w:t>0</w:t>
            </w:r>
          </w:p>
        </w:tc>
        <w:tc>
          <w:tcPr>
            <w:tcW w:w="541" w:type="pct"/>
          </w:tcPr>
          <w:p w14:paraId="5296CDE7" w14:textId="77777777" w:rsidR="000B148D" w:rsidRPr="00756252" w:rsidRDefault="000B148D">
            <w:pPr>
              <w:pStyle w:val="Tablebody"/>
              <w:jc w:val="center"/>
            </w:pPr>
            <w:r w:rsidRPr="00756252">
              <w:t>370</w:t>
            </w:r>
            <w:r w:rsidRPr="00756252">
              <w:br/>
              <w:t>(66.4)</w:t>
            </w:r>
          </w:p>
        </w:tc>
      </w:tr>
    </w:tbl>
    <w:p w14:paraId="26ACE157" w14:textId="533F55DA" w:rsidR="000B148D" w:rsidRPr="00756252" w:rsidRDefault="000B148D" w:rsidP="000B148D">
      <w:pPr>
        <w:pStyle w:val="Footnotes"/>
      </w:pPr>
      <w:r w:rsidRPr="00756252">
        <w:t xml:space="preserve">*Major protocol </w:t>
      </w:r>
      <w:r>
        <w:t>violations</w:t>
      </w:r>
      <w:r w:rsidRPr="00756252">
        <w:t xml:space="preserve"> included: </w:t>
      </w:r>
      <w:r w:rsidR="00294FDC" w:rsidRPr="00294FDC">
        <w:rPr>
          <w:color w:val="000000"/>
          <w:highlight w:val="black"/>
        </w:rPr>
        <w:t>xxxxxxxxxxxxxxxxxxxxxxxxxxxxxxxxxxx</w:t>
      </w:r>
      <w:r w:rsidR="00EC15A9">
        <w:rPr>
          <w:color w:val="000000"/>
          <w:highlight w:val="black"/>
        </w:rPr>
        <w:t xml:space="preserve"> </w:t>
      </w:r>
      <w:r w:rsidR="00294FDC" w:rsidRPr="00294FDC">
        <w:rPr>
          <w:color w:val="000000"/>
          <w:highlight w:val="black"/>
        </w:rPr>
        <w:t>xxxxxxxxxxxxxxxxxxxxxxxxxx</w:t>
      </w:r>
      <w:r w:rsidR="00EC15A9">
        <w:rPr>
          <w:color w:val="000000"/>
          <w:highlight w:val="black"/>
        </w:rPr>
        <w:t xml:space="preserve"> </w:t>
      </w:r>
      <w:r w:rsidR="00294FDC" w:rsidRPr="00294FDC">
        <w:rPr>
          <w:color w:val="000000"/>
          <w:highlight w:val="black"/>
        </w:rPr>
        <w:t>xx</w:t>
      </w:r>
      <w:r w:rsidR="00EC15A9">
        <w:rPr>
          <w:color w:val="000000"/>
          <w:highlight w:val="black"/>
        </w:rPr>
        <w:t xml:space="preserve"> </w:t>
      </w:r>
      <w:r w:rsidR="00294FDC" w:rsidRPr="00294FDC">
        <w:rPr>
          <w:color w:val="000000"/>
          <w:highlight w:val="black"/>
        </w:rPr>
        <w:t>xxxxxxxxxxx</w:t>
      </w:r>
      <w:r w:rsidR="00421E54">
        <w:rPr>
          <w:color w:val="000000"/>
          <w:highlight w:val="black"/>
        </w:rPr>
        <w:t xml:space="preserve"> </w:t>
      </w:r>
      <w:r w:rsidR="00294FDC" w:rsidRPr="00294FDC">
        <w:rPr>
          <w:color w:val="000000"/>
          <w:highlight w:val="black"/>
        </w:rPr>
        <w:t>xxxxxxxxxxxxxxxxxxxxx</w:t>
      </w:r>
      <w:r w:rsidR="00421E54">
        <w:rPr>
          <w:color w:val="000000"/>
          <w:highlight w:val="black"/>
        </w:rPr>
        <w:t xml:space="preserve"> </w:t>
      </w:r>
      <w:r w:rsidR="00294FDC" w:rsidRPr="00294FDC">
        <w:rPr>
          <w:color w:val="000000"/>
          <w:highlight w:val="black"/>
        </w:rPr>
        <w:t>xxxxxxxxxxxxxxxxxxxxxxxxxxxxxxxxxxxxxxxxxxxx</w:t>
      </w:r>
      <w:r w:rsidRPr="00756252">
        <w:t>.</w:t>
      </w:r>
      <w:r w:rsidRPr="00756252">
        <w:br/>
        <w:t>Abbreviations: BICR, blinded independent central review; CDK, cyclic-dependent kinase; FAS, full analysis set; HER2; human epidermal growth factor receptor 2; HR</w:t>
      </w:r>
      <w:r w:rsidR="00146B3A">
        <w:t>-positive</w:t>
      </w:r>
      <w:r w:rsidRPr="00756252">
        <w:t>, hormone receptor</w:t>
      </w:r>
      <w:r w:rsidR="00146B3A">
        <w:t>-positive</w:t>
      </w:r>
      <w:r w:rsidRPr="00756252">
        <w:t>; PK, pharmacokinetic; PPS, per-protocol analysis set; SAS, safety analysis set; T-DXd, trastuzumab deruxtecan; TPC, treatment of physician’s choice.</w:t>
      </w:r>
      <w:r w:rsidRPr="00756252">
        <w:br/>
        <w:t>Source: Daiichi Sankyo Inc., 2022 (SAP and CSR; Data on File)</w:t>
      </w:r>
      <w:r w:rsidRPr="00756252">
        <w:fldChar w:fldCharType="begin"/>
      </w:r>
      <w:r w:rsidR="00CA6345">
        <w:instrText xml:space="preserve"> ADDIN ZOTERO_ITEM CSL_CITATION {"citationID":"a1uhmveldj5","properties":{"formattedCitation":"\\super 7,153\\nosupersub{}","plainCitation":"7,153","noteIndex":0},"citationItems":[{"id":65944,"uris":["http://zotero.org/groups/4797619/items/WBVSVVF7"],"itemData":{"id":65944,"type":"document","title":"Clinical Study Report for DS8201-A-U303. Data cut-off date: 11 Jan 2022. Data on File.","author":[{"family":"Daiichi Sankyo Inc.","given":""}],"issued":{"date-parts":[["2022"]]}}},{"id":65924,"uris":["http://zotero.org/groups/4797619/items/5D3NP3DU"],"itemData":{"id":65924,"type":"document","title":"Statistical Analysis Plan Version 2.0 for DS8201-A-U303. 04 January 2022. Data on File.","author":[{"family":"Daiichi Sankyo Inc.","given":""}],"issued":{"date-parts":[["2022"]]}}}],"schema":"https://github.com/citation-style-language/schema/raw/master/csl-citation.json"} </w:instrText>
      </w:r>
      <w:r w:rsidRPr="00756252">
        <w:fldChar w:fldCharType="separate"/>
      </w:r>
      <w:r w:rsidR="00CA6345" w:rsidRPr="00CA6345">
        <w:rPr>
          <w:rFonts w:cs="Arial"/>
          <w:szCs w:val="24"/>
          <w:vertAlign w:val="superscript"/>
        </w:rPr>
        <w:t>7,153</w:t>
      </w:r>
      <w:r w:rsidRPr="00756252">
        <w:fldChar w:fldCharType="end"/>
      </w:r>
      <w:r w:rsidRPr="00756252">
        <w:fldChar w:fldCharType="begin"/>
      </w:r>
      <w:r w:rsidRPr="00756252">
        <w:instrText xml:space="preserve"> ADDIN EN.CITE &lt;EndNote&gt;&lt;Cite&gt;&lt;Author&gt;Daiichi Sankyo Inc&lt;/Author&gt;&lt;Year&gt;2021&lt;/Year&gt;&lt;RecNum&gt;85&lt;/RecNum&gt;&lt;DisplayText&gt;&lt;style face="superscript"&gt;105,115&lt;/style&gt;&lt;/DisplayText&gt;&lt;record&gt;&lt;rec-number&gt;85&lt;/rec-number&gt;&lt;foreign-keys&gt;&lt;key app="EN" db-id="zsraxr2sldvt0herzw7x5028s0efeazsx9r0" timestamp="1636707368"&gt;85&lt;/key&gt;&lt;/foreign-keys&gt;&lt;ref-type name="Journal Article"&gt;17&lt;/ref-type&gt;&lt;contributors&gt;&lt;authors&gt;&lt;author&gt;Daiichi Sankyo Inc,&lt;/author&gt;&lt;/authors&gt;&lt;/contributors&gt;&lt;titles&gt;&lt;title&gt;Statistical Analysis Plan (version 1.3): A Phase 3, multicenter, randomized, open-label, active-controlled study of trastuzumab deruxtecan (DS-8201A), an anti-HER2-antibody drug conjugate, versus ado-trastuzumab emtansine (T-DM1) for HER2-positive, unresectable and/or metastatic breast cancer subjects previously treated with trastuzumab and taxane&lt;/title&gt;&lt;secondary-title&gt;Data on file&lt;/secondary-title&gt;&lt;/titles&gt;&lt;periodical&gt;&lt;full-title&gt;Data on file&lt;/full-title&gt;&lt;/periodical&gt;&lt;dates&gt;&lt;year&gt;2021&lt;/year&gt;&lt;/dates&gt;&lt;urls&gt;&lt;/urls&gt;&lt;/record&gt;&lt;/Cite&gt;&lt;Cite&gt;&lt;Author&gt;Daiichi Sankyo Inc&lt;/Author&gt;&lt;Year&gt;2021&lt;/Year&gt;&lt;RecNum&gt;86&lt;/RecNum&gt;&lt;record&gt;&lt;rec-number&gt;86&lt;/rec-number&gt;&lt;foreign-keys&gt;&lt;key app="EN" db-id="zsraxr2sldvt0herzw7x5028s0efeazsx9r0" timestamp="1637662814"&gt;86&lt;/key&gt;&lt;/foreign-keys&gt;&lt;ref-type name="Journal Article"&gt;17&lt;/ref-type&gt;&lt;contributors&gt;&lt;authors&gt;&lt;author&gt;Daiichi Sankyo Inc,&lt;/author&gt;&lt;/authors&gt;&lt;/contributors&gt;&lt;titles&gt;&lt;title&gt;A Phase 3, Multicenter, Randomized, Open-label, Active-controlled Study of Trastuzumab Deruxtecan (DS-8201a), an Anti-HER2-antibody Drug Conjugate, versus Trastuzumab Emtansine (T-DM1) for HER2-positive, Unresectable and/or Metastatic Breast Cancer Subjects Previously Treated with Trastuzumab and Taxane (DESTINY-Breast03)&lt;/title&gt;&lt;secondary-title&gt;Clinical study report version 1.0 for data cut-off May 2021&lt;/secondary-title&gt;&lt;/titles&gt;&lt;periodical&gt;&lt;full-title&gt;Clinical study report version 1.0 for data cut-off May 2021&lt;/full-title&gt;&lt;/periodical&gt;&lt;dates&gt;&lt;year&gt;2021&lt;/year&gt;&lt;/dates&gt;&lt;urls&gt;&lt;/urls&gt;&lt;/record&gt;&lt;/Cite&gt;&lt;/EndNote&gt;</w:instrText>
      </w:r>
      <w:r w:rsidRPr="00756252">
        <w:fldChar w:fldCharType="separate"/>
      </w:r>
      <w:r w:rsidRPr="00756252">
        <w:fldChar w:fldCharType="end"/>
      </w:r>
    </w:p>
    <w:p w14:paraId="514D9E59" w14:textId="77777777" w:rsidR="000B148D" w:rsidRPr="00756252" w:rsidRDefault="000B148D" w:rsidP="000B148D">
      <w:pPr>
        <w:pStyle w:val="Heading3"/>
      </w:pPr>
      <w:bookmarkStart w:id="169" w:name="_Ref95474053"/>
      <w:bookmarkStart w:id="170" w:name="_Toc124447833"/>
      <w:bookmarkStart w:id="171" w:name="_Toc129350860"/>
      <w:r w:rsidRPr="00756252">
        <w:t>Statistical analyses</w:t>
      </w:r>
      <w:bookmarkEnd w:id="169"/>
      <w:bookmarkEnd w:id="170"/>
      <w:bookmarkEnd w:id="171"/>
    </w:p>
    <w:p w14:paraId="29C08AB5" w14:textId="3CF4EF04" w:rsidR="000B148D" w:rsidRPr="00756252" w:rsidRDefault="000B148D" w:rsidP="000B148D">
      <w:pPr>
        <w:pStyle w:val="Body"/>
      </w:pPr>
      <w:r w:rsidRPr="00756252">
        <w:t>Statistical methods used, or to be used, in DESTINY-Breast04 are summarised below (</w:t>
      </w:r>
      <w:r w:rsidRPr="00966FF8">
        <w:rPr>
          <w:b/>
          <w:bCs/>
        </w:rPr>
        <w:fldChar w:fldCharType="begin"/>
      </w:r>
      <w:r w:rsidRPr="00966FF8">
        <w:rPr>
          <w:b/>
          <w:bCs/>
        </w:rPr>
        <w:instrText xml:space="preserve"> REF _Ref101386093 \h </w:instrText>
      </w:r>
      <w:r>
        <w:rPr>
          <w:b/>
          <w:bCs/>
        </w:rPr>
        <w:instrText xml:space="preserve"> \* MERGEFORMAT </w:instrText>
      </w:r>
      <w:r w:rsidRPr="00966FF8">
        <w:rPr>
          <w:b/>
          <w:bCs/>
        </w:rPr>
      </w:r>
      <w:r w:rsidRPr="00966FF8">
        <w:rPr>
          <w:b/>
          <w:bCs/>
        </w:rPr>
        <w:fldChar w:fldCharType="separate"/>
      </w:r>
      <w:r w:rsidR="00145F42" w:rsidRPr="00145F42">
        <w:rPr>
          <w:b/>
          <w:bCs/>
        </w:rPr>
        <w:t xml:space="preserve">Table </w:t>
      </w:r>
      <w:r w:rsidR="00145F42" w:rsidRPr="00145F42">
        <w:rPr>
          <w:b/>
          <w:bCs/>
          <w:noProof/>
        </w:rPr>
        <w:t>12</w:t>
      </w:r>
      <w:r w:rsidRPr="00966FF8">
        <w:rPr>
          <w:b/>
          <w:bCs/>
        </w:rPr>
        <w:fldChar w:fldCharType="end"/>
      </w:r>
      <w:r w:rsidRPr="00756252">
        <w:t>).</w:t>
      </w:r>
      <w:bookmarkStart w:id="172" w:name="_Ref85799807"/>
      <w:bookmarkStart w:id="173" w:name="_Toc95826064"/>
      <w:r w:rsidRPr="00756252">
        <w:t xml:space="preserve"> The primary efficacy endpoint, and the key secondary efficacy endpoints, will be tested hierarchically to maintain the overall two-sided type-I error rate to 0.05 or less in the following order:</w:t>
      </w:r>
    </w:p>
    <w:p w14:paraId="5A961B71" w14:textId="5D5C99D9" w:rsidR="000B148D" w:rsidRPr="00756252" w:rsidRDefault="000B148D" w:rsidP="00954359">
      <w:pPr>
        <w:pStyle w:val="Body"/>
        <w:numPr>
          <w:ilvl w:val="8"/>
          <w:numId w:val="39"/>
        </w:numPr>
        <w:spacing w:after="120"/>
      </w:pPr>
      <w:r w:rsidRPr="00756252">
        <w:rPr>
          <w:b/>
        </w:rPr>
        <w:lastRenderedPageBreak/>
        <w:t xml:space="preserve">PFS by BICR analysis in HR-positive cohort | conducted at </w:t>
      </w:r>
      <w:r w:rsidR="00F77ABC" w:rsidRPr="00F77ABC">
        <w:rPr>
          <w:rFonts w:cs="Arial"/>
          <w:b/>
          <w:color w:val="000000"/>
          <w:highlight w:val="black"/>
        </w:rPr>
        <w:t>xxxx</w:t>
      </w:r>
      <w:r w:rsidRPr="00756252">
        <w:rPr>
          <w:b/>
        </w:rPr>
        <w:t xml:space="preserve"> PFS events: </w:t>
      </w:r>
      <w:r w:rsidRPr="00756252">
        <w:t>the observed two-sided p-value threshold was p=0.001 to conclude superiority of T</w:t>
      </w:r>
      <w:r w:rsidRPr="00756252">
        <w:noBreakHyphen/>
        <w:t>DXd over TPC for the primary endpoint.</w:t>
      </w:r>
      <w:r w:rsidRPr="00756252">
        <w:fldChar w:fldCharType="begin"/>
      </w:r>
      <w:r w:rsidR="00CA6345">
        <w:instrText xml:space="preserve"> ADDIN ZOTERO_ITEM CSL_CITATION {"citationID":"A3PNklkf","properties":{"formattedCitation":"\\super 153\\nosupersub{}","plainCitation":"153","noteIndex":0},"citationItems":[{"id":65924,"uris":["http://zotero.org/groups/4797619/items/5D3NP3DU"],"itemData":{"id":65924,"type":"document","title":"Statistical Analysis Plan Version 2.0 for DS8201-A-U303. 04 January 2022. Data on File.","author":[{"family":"Daiichi Sankyo Inc.","given":""}],"issued":{"date-parts":[["2022"]]}}}],"schema":"https://github.com/citation-style-language/schema/raw/master/csl-citation.json"} </w:instrText>
      </w:r>
      <w:r w:rsidRPr="00756252">
        <w:fldChar w:fldCharType="separate"/>
      </w:r>
      <w:r w:rsidR="00CA6345" w:rsidRPr="00CA6345">
        <w:rPr>
          <w:rFonts w:cs="Arial"/>
          <w:szCs w:val="24"/>
          <w:vertAlign w:val="superscript"/>
        </w:rPr>
        <w:t>153</w:t>
      </w:r>
      <w:r w:rsidRPr="00756252">
        <w:fldChar w:fldCharType="end"/>
      </w:r>
      <w:r w:rsidRPr="00756252">
        <w:t xml:space="preserve"> </w:t>
      </w:r>
    </w:p>
    <w:p w14:paraId="4BA7A826" w14:textId="77777777" w:rsidR="000B148D" w:rsidRPr="00756252" w:rsidRDefault="000B148D" w:rsidP="00954359">
      <w:pPr>
        <w:pStyle w:val="Body"/>
        <w:numPr>
          <w:ilvl w:val="0"/>
          <w:numId w:val="40"/>
        </w:numPr>
        <w:spacing w:after="120"/>
      </w:pPr>
      <w:r w:rsidRPr="00756252">
        <w:rPr>
          <w:b/>
          <w:bCs/>
        </w:rPr>
        <w:t>If PFS not statistically significant:</w:t>
      </w:r>
      <w:r w:rsidRPr="00756252">
        <w:t xml:space="preserve"> PFS in FAS and OS analysis not conducted.</w:t>
      </w:r>
    </w:p>
    <w:p w14:paraId="79EA9B6F" w14:textId="77777777" w:rsidR="000B148D" w:rsidRPr="00756252" w:rsidRDefault="000B148D" w:rsidP="00954359">
      <w:pPr>
        <w:pStyle w:val="Body"/>
        <w:numPr>
          <w:ilvl w:val="0"/>
          <w:numId w:val="40"/>
        </w:numPr>
        <w:spacing w:after="120"/>
      </w:pPr>
      <w:r w:rsidRPr="00756252">
        <w:rPr>
          <w:b/>
          <w:bCs/>
        </w:rPr>
        <w:t>If PFS statistically significant:</w:t>
      </w:r>
      <w:r w:rsidRPr="00756252">
        <w:t xml:space="preserve"> PFS in FAS and OS analysis conducted. </w:t>
      </w:r>
    </w:p>
    <w:p w14:paraId="3859E52A" w14:textId="0786E770" w:rsidR="000B148D" w:rsidRPr="00756252" w:rsidRDefault="000B148D" w:rsidP="00954359">
      <w:pPr>
        <w:pStyle w:val="ListParagraph"/>
        <w:numPr>
          <w:ilvl w:val="8"/>
          <w:numId w:val="39"/>
        </w:numPr>
        <w:ind w:left="589" w:hanging="357"/>
        <w:contextualSpacing w:val="0"/>
      </w:pPr>
      <w:r w:rsidRPr="00756252">
        <w:rPr>
          <w:b/>
          <w:bCs/>
        </w:rPr>
        <w:t xml:space="preserve">PFS by BICR analysis in the FAS | conducted at </w:t>
      </w:r>
      <w:r w:rsidR="00F77ABC" w:rsidRPr="00F77ABC">
        <w:rPr>
          <w:b/>
          <w:bCs/>
          <w:color w:val="000000"/>
          <w:highlight w:val="black"/>
        </w:rPr>
        <w:t>xxxx</w:t>
      </w:r>
      <w:r w:rsidRPr="00756252">
        <w:rPr>
          <w:b/>
          <w:bCs/>
        </w:rPr>
        <w:t xml:space="preserve"> PFS events </w:t>
      </w:r>
      <w:r w:rsidR="002502BB">
        <w:rPr>
          <w:b/>
          <w:bCs/>
        </w:rPr>
        <w:t>(in the HR-positive cohort)</w:t>
      </w:r>
      <w:r w:rsidRPr="00756252">
        <w:rPr>
          <w:b/>
          <w:bCs/>
        </w:rPr>
        <w:t xml:space="preserve"> assuming PFS significant in the HR</w:t>
      </w:r>
      <w:r w:rsidR="00957383">
        <w:rPr>
          <w:b/>
          <w:bCs/>
        </w:rPr>
        <w:t>-positive</w:t>
      </w:r>
      <w:r w:rsidRPr="00756252">
        <w:rPr>
          <w:b/>
          <w:bCs/>
        </w:rPr>
        <w:t xml:space="preserve"> </w:t>
      </w:r>
      <w:r w:rsidRPr="00756252">
        <w:rPr>
          <w:b/>
        </w:rPr>
        <w:t>population</w:t>
      </w:r>
      <w:r w:rsidRPr="00756252">
        <w:rPr>
          <w:b/>
          <w:bCs/>
        </w:rPr>
        <w:t>:</w:t>
      </w:r>
      <w:r w:rsidRPr="00756252">
        <w:t xml:space="preserve"> the observed two-sided p-value threshold was p=0.001 to conclude superiority of T-DXd over TPC.</w:t>
      </w:r>
      <w:r w:rsidRPr="00756252">
        <w:fldChar w:fldCharType="begin"/>
      </w:r>
      <w:r w:rsidR="00CA6345">
        <w:instrText xml:space="preserve"> ADDIN ZOTERO_ITEM CSL_CITATION {"citationID":"eZ0we2K3","properties":{"formattedCitation":"\\super 153\\nosupersub{}","plainCitation":"153","noteIndex":0},"citationItems":[{"id":65924,"uris":["http://zotero.org/groups/4797619/items/5D3NP3DU"],"itemData":{"id":65924,"type":"document","title":"Statistical Analysis Plan Version 2.0 for DS8201-A-U303. 04 January 2022. Data on File.","author":[{"family":"Daiichi Sankyo Inc.","given":""}],"issued":{"date-parts":[["2022"]]}}}],"schema":"https://github.com/citation-style-language/schema/raw/master/csl-citation.json"} </w:instrText>
      </w:r>
      <w:r w:rsidRPr="00756252">
        <w:fldChar w:fldCharType="separate"/>
      </w:r>
      <w:r w:rsidR="00CA6345" w:rsidRPr="00CA6345">
        <w:rPr>
          <w:rFonts w:cs="Arial"/>
          <w:szCs w:val="24"/>
          <w:vertAlign w:val="superscript"/>
        </w:rPr>
        <w:t>153</w:t>
      </w:r>
      <w:r w:rsidRPr="00756252">
        <w:fldChar w:fldCharType="end"/>
      </w:r>
      <w:r w:rsidRPr="00756252">
        <w:t xml:space="preserve"> </w:t>
      </w:r>
    </w:p>
    <w:p w14:paraId="6BB94F33" w14:textId="77777777" w:rsidR="000B148D" w:rsidRPr="00756252" w:rsidRDefault="000B148D" w:rsidP="00954359">
      <w:pPr>
        <w:pStyle w:val="ListParagraph"/>
        <w:numPr>
          <w:ilvl w:val="8"/>
          <w:numId w:val="39"/>
        </w:numPr>
      </w:pPr>
      <w:r w:rsidRPr="00756252">
        <w:rPr>
          <w:b/>
          <w:bCs/>
        </w:rPr>
        <w:t xml:space="preserve">OS in the HR-positive </w:t>
      </w:r>
      <w:r w:rsidRPr="00756252">
        <w:rPr>
          <w:b/>
        </w:rPr>
        <w:t>cohort</w:t>
      </w:r>
      <w:r w:rsidRPr="00756252">
        <w:rPr>
          <w:b/>
          <w:bCs/>
        </w:rPr>
        <w:t>:</w:t>
      </w:r>
      <w:r w:rsidRPr="00756252">
        <w:t xml:space="preserve"> Statistical testing will be performed only when superiority in PFS is demonstrated for both the HR-positive cohort and the FAS. Up to three OS analyses are planned, in the order below:</w:t>
      </w:r>
    </w:p>
    <w:p w14:paraId="3F205AA7" w14:textId="1A95213B" w:rsidR="000B148D" w:rsidRPr="00756252" w:rsidRDefault="000B148D" w:rsidP="00954359">
      <w:pPr>
        <w:pStyle w:val="Body"/>
        <w:numPr>
          <w:ilvl w:val="0"/>
          <w:numId w:val="40"/>
        </w:numPr>
        <w:spacing w:after="120"/>
      </w:pPr>
      <w:r w:rsidRPr="00756252">
        <w:t xml:space="preserve">First interim analysis at the time of the </w:t>
      </w:r>
      <w:r>
        <w:t>primary</w:t>
      </w:r>
      <w:r w:rsidRPr="00756252">
        <w:t xml:space="preserve"> analysis for PFS (provided PFS is significant in both the HR-positive cohort and the FAS), at which point a total of </w:t>
      </w:r>
      <w:r w:rsidR="00F77ABC" w:rsidRPr="00F77ABC">
        <w:rPr>
          <w:color w:val="000000"/>
          <w:highlight w:val="black"/>
        </w:rPr>
        <w:t>xxx</w:t>
      </w:r>
      <w:r w:rsidRPr="00756252">
        <w:t xml:space="preserve"> OS events (</w:t>
      </w:r>
      <w:r w:rsidR="00F77ABC" w:rsidRPr="00F77ABC">
        <w:rPr>
          <w:color w:val="000000"/>
          <w:highlight w:val="black"/>
        </w:rPr>
        <w:t>xx</w:t>
      </w:r>
      <w:r w:rsidRPr="00756252">
        <w:t>% information fraction) in the HR-positive cohort are expected.</w:t>
      </w:r>
    </w:p>
    <w:p w14:paraId="57428DB6" w14:textId="5322513C" w:rsidR="000B148D" w:rsidRPr="00756252" w:rsidRDefault="000B148D" w:rsidP="00954359">
      <w:pPr>
        <w:pStyle w:val="Body"/>
        <w:numPr>
          <w:ilvl w:val="0"/>
          <w:numId w:val="40"/>
        </w:numPr>
        <w:spacing w:after="120"/>
      </w:pPr>
      <w:r w:rsidRPr="00756252">
        <w:t xml:space="preserve">If the first OS interim analysis is not significant, a second interim analysis for OS is planned when approximately </w:t>
      </w:r>
      <w:r w:rsidR="00F77ABC" w:rsidRPr="00F77ABC">
        <w:rPr>
          <w:color w:val="000000"/>
          <w:highlight w:val="black"/>
        </w:rPr>
        <w:t>xxx</w:t>
      </w:r>
      <w:r w:rsidRPr="00756252">
        <w:t xml:space="preserve"> OS events (</w:t>
      </w:r>
      <w:r w:rsidR="00F77ABC" w:rsidRPr="00F77ABC">
        <w:rPr>
          <w:color w:val="000000"/>
          <w:highlight w:val="black"/>
        </w:rPr>
        <w:t>xx</w:t>
      </w:r>
      <w:r w:rsidRPr="00756252">
        <w:t>% information fraction) in the HR-positive cohort have been documented.</w:t>
      </w:r>
    </w:p>
    <w:p w14:paraId="2F435F2D" w14:textId="4E8A7E36" w:rsidR="000B148D" w:rsidRPr="00756252" w:rsidRDefault="000B148D" w:rsidP="00954359">
      <w:pPr>
        <w:pStyle w:val="Body"/>
        <w:numPr>
          <w:ilvl w:val="0"/>
          <w:numId w:val="40"/>
        </w:numPr>
        <w:spacing w:after="120"/>
      </w:pPr>
      <w:r w:rsidRPr="00756252">
        <w:t xml:space="preserve">If the second OS interim analysis is not significant, a </w:t>
      </w:r>
      <w:r>
        <w:t>final</w:t>
      </w:r>
      <w:r w:rsidRPr="00756252">
        <w:t xml:space="preserve"> analysis for OS is planned after approximately </w:t>
      </w:r>
      <w:r w:rsidR="00F77ABC" w:rsidRPr="00F77ABC">
        <w:rPr>
          <w:color w:val="000000"/>
          <w:highlight w:val="black"/>
        </w:rPr>
        <w:t>xxx</w:t>
      </w:r>
      <w:r w:rsidRPr="00756252">
        <w:t xml:space="preserve"> OS</w:t>
      </w:r>
      <w:r>
        <w:t xml:space="preserve"> (</w:t>
      </w:r>
      <w:r w:rsidR="00F77ABC" w:rsidRPr="00F77ABC">
        <w:rPr>
          <w:color w:val="000000"/>
          <w:highlight w:val="black"/>
        </w:rPr>
        <w:t>xxx</w:t>
      </w:r>
      <w:r>
        <w:t>% information fraction)</w:t>
      </w:r>
      <w:r w:rsidRPr="00756252">
        <w:t xml:space="preserve"> events in the HR-positive cohort have been documented.</w:t>
      </w:r>
    </w:p>
    <w:p w14:paraId="46A715F1" w14:textId="77777777" w:rsidR="000B148D" w:rsidRPr="00756252" w:rsidRDefault="000B148D" w:rsidP="00954359">
      <w:pPr>
        <w:pStyle w:val="ListParagraph"/>
        <w:numPr>
          <w:ilvl w:val="8"/>
          <w:numId w:val="39"/>
        </w:numPr>
      </w:pPr>
      <w:r w:rsidRPr="00756252">
        <w:rPr>
          <w:b/>
          <w:bCs/>
        </w:rPr>
        <w:t xml:space="preserve">OS in the FAS: </w:t>
      </w:r>
      <w:r w:rsidRPr="00756252">
        <w:t>As above, up to three OS analyses were planned. As per the hierarchical testing, the statistical testing will be performed only when the analyses in the hierarchy above have demonstrated statistical significance.</w:t>
      </w:r>
      <w:r w:rsidRPr="00756252" w:rsidDel="00546A5C">
        <w:t xml:space="preserve"> </w:t>
      </w:r>
    </w:p>
    <w:p w14:paraId="13019B2A" w14:textId="775BC7DE" w:rsidR="000B148D" w:rsidRPr="00756252" w:rsidRDefault="000B148D" w:rsidP="000B148D">
      <w:pPr>
        <w:pStyle w:val="Caption"/>
      </w:pPr>
      <w:bookmarkStart w:id="174" w:name="_Ref101386093"/>
      <w:bookmarkStart w:id="175" w:name="_Toc124447872"/>
      <w:bookmarkStart w:id="176" w:name="_Toc129350987"/>
      <w:r w:rsidRPr="00756252">
        <w:t xml:space="preserve">Table </w:t>
      </w:r>
      <w:r w:rsidRPr="00756252">
        <w:fldChar w:fldCharType="begin"/>
      </w:r>
      <w:r w:rsidRPr="00756252">
        <w:instrText>SEQ Table \* ARABIC</w:instrText>
      </w:r>
      <w:r w:rsidRPr="00756252">
        <w:fldChar w:fldCharType="separate"/>
      </w:r>
      <w:r w:rsidR="00145F42">
        <w:rPr>
          <w:noProof/>
        </w:rPr>
        <w:t>12</w:t>
      </w:r>
      <w:r w:rsidRPr="00756252">
        <w:fldChar w:fldCharType="end"/>
      </w:r>
      <w:bookmarkEnd w:id="172"/>
      <w:bookmarkEnd w:id="174"/>
      <w:r w:rsidRPr="00756252">
        <w:t>: DESTINY-Breast04 | Summary of statistical analyses</w:t>
      </w:r>
      <w:bookmarkEnd w:id="173"/>
      <w:bookmarkEnd w:id="175"/>
      <w:bookmarkEnd w:id="176"/>
    </w:p>
    <w:tbl>
      <w:tblPr>
        <w:tblStyle w:val="TableGrid"/>
        <w:tblW w:w="5000" w:type="pct"/>
        <w:tblLook w:val="04A0" w:firstRow="1" w:lastRow="0" w:firstColumn="1" w:lastColumn="0" w:noHBand="0" w:noVBand="1"/>
      </w:tblPr>
      <w:tblGrid>
        <w:gridCol w:w="2122"/>
        <w:gridCol w:w="6894"/>
      </w:tblGrid>
      <w:tr w:rsidR="000B148D" w:rsidRPr="00756252" w14:paraId="38B6ED0E" w14:textId="77777777" w:rsidTr="00484142">
        <w:tc>
          <w:tcPr>
            <w:tcW w:w="1177" w:type="pct"/>
            <w:shd w:val="clear" w:color="auto" w:fill="D9D9D9" w:themeFill="background1" w:themeFillShade="D9"/>
          </w:tcPr>
          <w:p w14:paraId="3FAA6137" w14:textId="77777777" w:rsidR="000B148D" w:rsidRPr="00756252" w:rsidRDefault="000B148D">
            <w:pPr>
              <w:pStyle w:val="Tableheading"/>
            </w:pPr>
            <w:r w:rsidRPr="00756252">
              <w:t>Hypothesis objective</w:t>
            </w:r>
          </w:p>
        </w:tc>
        <w:tc>
          <w:tcPr>
            <w:tcW w:w="3823" w:type="pct"/>
          </w:tcPr>
          <w:p w14:paraId="06605559" w14:textId="01112C41" w:rsidR="000B148D" w:rsidRPr="00294FDC" w:rsidRDefault="00EC15A9">
            <w:pPr>
              <w:pStyle w:val="Tablebody"/>
              <w:rPr>
                <w:color w:val="000000"/>
                <w:highlight w:val="black"/>
              </w:rPr>
            </w:pPr>
            <w:r w:rsidRPr="00294FDC">
              <w:rPr>
                <w:color w:val="000000"/>
                <w:highlight w:val="black"/>
              </w:rPr>
              <w:t>X</w:t>
            </w:r>
            <w:r w:rsidR="00294FDC" w:rsidRPr="00294FDC">
              <w:rPr>
                <w:color w:val="000000"/>
                <w:highlight w:val="black"/>
              </w:rPr>
              <w:t>xxxxxxxxxxxxxxxxxxxxxxxxxxxxxxxxxxxxxxxxxxxxxxxxxxxxxx</w:t>
            </w:r>
            <w:r>
              <w:rPr>
                <w:color w:val="000000"/>
                <w:highlight w:val="black"/>
              </w:rPr>
              <w:t xml:space="preserve"> </w:t>
            </w:r>
            <w:r w:rsidR="00294FDC" w:rsidRPr="00294FDC">
              <w:rPr>
                <w:color w:val="000000"/>
                <w:highlight w:val="black"/>
              </w:rPr>
              <w:t>xxxxxxx</w:t>
            </w:r>
            <w:r w:rsidR="00484142">
              <w:rPr>
                <w:color w:val="000000"/>
                <w:highlight w:val="black"/>
              </w:rPr>
              <w:t xml:space="preserve"> </w:t>
            </w:r>
            <w:r w:rsidR="00294FDC" w:rsidRPr="00294FDC">
              <w:rPr>
                <w:color w:val="000000"/>
                <w:highlight w:val="black"/>
              </w:rPr>
              <w:t>xxxxx</w:t>
            </w:r>
            <w:r w:rsidR="00484142">
              <w:rPr>
                <w:color w:val="000000"/>
                <w:highlight w:val="black"/>
              </w:rPr>
              <w:t xml:space="preserve"> </w:t>
            </w:r>
            <w:r w:rsidR="00294FDC" w:rsidRPr="00294FDC">
              <w:rPr>
                <w:color w:val="000000"/>
                <w:highlight w:val="black"/>
              </w:rPr>
              <w:t>xxxx</w:t>
            </w:r>
            <w:r w:rsidR="00484142">
              <w:rPr>
                <w:color w:val="000000"/>
                <w:highlight w:val="black"/>
              </w:rPr>
              <w:t xml:space="preserve"> </w:t>
            </w:r>
            <w:r w:rsidR="00294FDC" w:rsidRPr="00294FDC">
              <w:rPr>
                <w:color w:val="000000"/>
                <w:highlight w:val="black"/>
              </w:rPr>
              <w:t>xxxx</w:t>
            </w:r>
            <w:r w:rsidR="00484142">
              <w:rPr>
                <w:color w:val="000000"/>
                <w:highlight w:val="black"/>
              </w:rPr>
              <w:t xml:space="preserve"> </w:t>
            </w:r>
            <w:r w:rsidR="00294FDC" w:rsidRPr="00294FDC">
              <w:rPr>
                <w:color w:val="000000"/>
                <w:highlight w:val="black"/>
              </w:rPr>
              <w:t>xx</w:t>
            </w:r>
            <w:r w:rsidR="00484142">
              <w:rPr>
                <w:color w:val="000000"/>
                <w:highlight w:val="black"/>
              </w:rPr>
              <w:t xml:space="preserve"> </w:t>
            </w:r>
            <w:r w:rsidR="00294FDC" w:rsidRPr="00294FDC">
              <w:rPr>
                <w:color w:val="000000"/>
                <w:highlight w:val="black"/>
              </w:rPr>
              <w:t>xxxxxx</w:t>
            </w:r>
            <w:r w:rsidR="00484142">
              <w:rPr>
                <w:color w:val="000000"/>
                <w:highlight w:val="black"/>
              </w:rPr>
              <w:t xml:space="preserve"> </w:t>
            </w:r>
            <w:r w:rsidR="00294FDC" w:rsidRPr="00294FDC">
              <w:rPr>
                <w:color w:val="000000"/>
                <w:highlight w:val="black"/>
              </w:rPr>
              <w:t>xxxxxxxxxxxxxxxxxxxxxxxxxxxx</w:t>
            </w:r>
            <w:r>
              <w:rPr>
                <w:color w:val="000000"/>
                <w:highlight w:val="black"/>
              </w:rPr>
              <w:t xml:space="preserve"> </w:t>
            </w:r>
            <w:r w:rsidR="00294FDC" w:rsidRPr="00294FDC">
              <w:rPr>
                <w:color w:val="000000"/>
                <w:highlight w:val="black"/>
              </w:rPr>
              <w:t>xxxxxxxxxxxxx</w:t>
            </w:r>
            <w:r w:rsidR="00484142">
              <w:rPr>
                <w:color w:val="000000"/>
                <w:highlight w:val="black"/>
              </w:rPr>
              <w:t xml:space="preserve"> </w:t>
            </w:r>
            <w:r w:rsidR="00294FDC" w:rsidRPr="00294FDC">
              <w:rPr>
                <w:color w:val="000000"/>
                <w:highlight w:val="black"/>
              </w:rPr>
              <w:t>xxxxxxxxx</w:t>
            </w:r>
            <w:r w:rsidR="00484142">
              <w:rPr>
                <w:color w:val="000000"/>
                <w:highlight w:val="black"/>
              </w:rPr>
              <w:t xml:space="preserve"> </w:t>
            </w:r>
            <w:r w:rsidR="00294FDC" w:rsidRPr="00294FDC">
              <w:rPr>
                <w:color w:val="000000"/>
                <w:highlight w:val="black"/>
              </w:rPr>
              <w:t>xx</w:t>
            </w:r>
            <w:r w:rsidR="00484142">
              <w:rPr>
                <w:color w:val="000000"/>
                <w:highlight w:val="black"/>
              </w:rPr>
              <w:t xml:space="preserve"> </w:t>
            </w:r>
            <w:r w:rsidR="00294FDC" w:rsidRPr="00294FDC">
              <w:rPr>
                <w:color w:val="000000"/>
                <w:highlight w:val="black"/>
              </w:rPr>
              <w:t>x</w:t>
            </w:r>
            <w:r w:rsidR="00484142">
              <w:rPr>
                <w:color w:val="000000"/>
                <w:highlight w:val="black"/>
              </w:rPr>
              <w:t xml:space="preserve">  </w:t>
            </w:r>
            <w:r w:rsidR="00294FDC" w:rsidRPr="00294FDC">
              <w:rPr>
                <w:color w:val="000000"/>
                <w:highlight w:val="black"/>
              </w:rPr>
              <w:t>xxxxx</w:t>
            </w:r>
            <w:r w:rsidR="00484142">
              <w:rPr>
                <w:color w:val="000000"/>
                <w:highlight w:val="black"/>
              </w:rPr>
              <w:t xml:space="preserve">  </w:t>
            </w:r>
            <w:r w:rsidR="00294FDC" w:rsidRPr="00294FDC">
              <w:rPr>
                <w:color w:val="000000"/>
                <w:highlight w:val="black"/>
              </w:rPr>
              <w:t>xxxxxxxxxxxxxxxxxxxxxxxxxx</w:t>
            </w:r>
            <w:r>
              <w:rPr>
                <w:color w:val="000000"/>
                <w:highlight w:val="black"/>
              </w:rPr>
              <w:t xml:space="preserve"> </w:t>
            </w:r>
            <w:r w:rsidR="00294FDC" w:rsidRPr="00294FDC">
              <w:rPr>
                <w:color w:val="000000"/>
                <w:highlight w:val="black"/>
              </w:rPr>
              <w:t>xxxxxxxx</w:t>
            </w:r>
            <w:r w:rsidR="00484142">
              <w:rPr>
                <w:color w:val="000000"/>
                <w:highlight w:val="black"/>
              </w:rPr>
              <w:t xml:space="preserve"> </w:t>
            </w:r>
            <w:r w:rsidR="00294FDC" w:rsidRPr="00294FDC">
              <w:rPr>
                <w:color w:val="000000"/>
                <w:highlight w:val="black"/>
              </w:rPr>
              <w:t>xxxx</w:t>
            </w:r>
            <w:r w:rsidR="00484142">
              <w:rPr>
                <w:color w:val="000000"/>
                <w:highlight w:val="black"/>
              </w:rPr>
              <w:t xml:space="preserve"> </w:t>
            </w:r>
            <w:r w:rsidR="00294FDC" w:rsidRPr="00294FDC">
              <w:rPr>
                <w:color w:val="000000"/>
                <w:highlight w:val="black"/>
              </w:rPr>
              <w:t>xxxx</w:t>
            </w:r>
            <w:r w:rsidR="00484142">
              <w:rPr>
                <w:color w:val="000000"/>
                <w:highlight w:val="black"/>
              </w:rPr>
              <w:t xml:space="preserve"> </w:t>
            </w:r>
            <w:r w:rsidR="00294FDC" w:rsidRPr="00294FDC">
              <w:rPr>
                <w:color w:val="000000"/>
                <w:highlight w:val="black"/>
              </w:rPr>
              <w:t>xxxxx</w:t>
            </w:r>
            <w:r w:rsidR="00484142">
              <w:rPr>
                <w:color w:val="000000"/>
                <w:highlight w:val="black"/>
              </w:rPr>
              <w:t xml:space="preserve"> </w:t>
            </w:r>
            <w:r w:rsidR="00294FDC" w:rsidRPr="00294FDC">
              <w:rPr>
                <w:color w:val="000000"/>
                <w:highlight w:val="black"/>
              </w:rPr>
              <w:t>xxxxx</w:t>
            </w:r>
            <w:r w:rsidR="00484142">
              <w:rPr>
                <w:color w:val="000000"/>
                <w:highlight w:val="black"/>
              </w:rPr>
              <w:t xml:space="preserve"> </w:t>
            </w:r>
            <w:r w:rsidR="00294FDC" w:rsidRPr="00294FDC">
              <w:rPr>
                <w:color w:val="000000"/>
                <w:highlight w:val="black"/>
              </w:rPr>
              <w:t>xxx</w:t>
            </w:r>
            <w:r w:rsidR="00484142">
              <w:rPr>
                <w:color w:val="000000"/>
                <w:highlight w:val="black"/>
              </w:rPr>
              <w:t xml:space="preserve"> </w:t>
            </w:r>
            <w:r w:rsidR="00294FDC" w:rsidRPr="00294FDC">
              <w:rPr>
                <w:color w:val="000000"/>
                <w:highlight w:val="black"/>
              </w:rPr>
              <w:t>xxxxx</w:t>
            </w:r>
            <w:r w:rsidR="00484142">
              <w:rPr>
                <w:color w:val="000000"/>
                <w:highlight w:val="black"/>
              </w:rPr>
              <w:t xml:space="preserve"> </w:t>
            </w:r>
            <w:r w:rsidR="00294FDC" w:rsidRPr="00294FDC">
              <w:rPr>
                <w:color w:val="000000"/>
                <w:highlight w:val="black"/>
              </w:rPr>
              <w:t>xxxxxxxxxxx</w:t>
            </w:r>
            <w:r w:rsidR="00484142">
              <w:rPr>
                <w:color w:val="000000"/>
                <w:highlight w:val="black"/>
              </w:rPr>
              <w:t xml:space="preserve"> </w:t>
            </w:r>
            <w:r w:rsidR="00294FDC" w:rsidRPr="00294FDC">
              <w:rPr>
                <w:color w:val="000000"/>
                <w:highlight w:val="black"/>
              </w:rPr>
              <w:t>xxxxxxxxxxx</w:t>
            </w:r>
            <w:r>
              <w:rPr>
                <w:color w:val="000000"/>
                <w:highlight w:val="black"/>
              </w:rPr>
              <w:t xml:space="preserve"> </w:t>
            </w:r>
            <w:r w:rsidR="00294FDC" w:rsidRPr="00294FDC">
              <w:rPr>
                <w:color w:val="000000"/>
                <w:highlight w:val="black"/>
              </w:rPr>
              <w:t>xxxxx</w:t>
            </w:r>
            <w:r w:rsidR="00484142">
              <w:rPr>
                <w:color w:val="000000"/>
                <w:highlight w:val="black"/>
              </w:rPr>
              <w:t xml:space="preserve"> </w:t>
            </w:r>
            <w:r w:rsidR="00294FDC" w:rsidRPr="00294FDC">
              <w:rPr>
                <w:color w:val="000000"/>
                <w:highlight w:val="black"/>
              </w:rPr>
              <w:t>xxxxxxxxx</w:t>
            </w:r>
            <w:r w:rsidR="00484142">
              <w:rPr>
                <w:color w:val="000000"/>
                <w:highlight w:val="black"/>
              </w:rPr>
              <w:t xml:space="preserve"> </w:t>
            </w:r>
            <w:r w:rsidR="00294FDC" w:rsidRPr="00294FDC">
              <w:rPr>
                <w:color w:val="000000"/>
                <w:highlight w:val="black"/>
              </w:rPr>
              <w:t>xxxxxxxx</w:t>
            </w:r>
            <w:r w:rsidR="00484142">
              <w:rPr>
                <w:color w:val="000000"/>
                <w:highlight w:val="black"/>
              </w:rPr>
              <w:t xml:space="preserve"> </w:t>
            </w:r>
            <w:r w:rsidR="00294FDC" w:rsidRPr="00294FDC">
              <w:rPr>
                <w:color w:val="000000"/>
                <w:highlight w:val="black"/>
              </w:rPr>
              <w:t>xxxxxxxx</w:t>
            </w:r>
            <w:r>
              <w:rPr>
                <w:color w:val="000000"/>
                <w:highlight w:val="black"/>
              </w:rPr>
              <w:t xml:space="preserve"> </w:t>
            </w:r>
            <w:r w:rsidR="00294FDC" w:rsidRPr="00294FDC">
              <w:rPr>
                <w:color w:val="000000"/>
                <w:highlight w:val="black"/>
              </w:rPr>
              <w:t>xxxxxxxxxxxxxxxxxx</w:t>
            </w:r>
          </w:p>
        </w:tc>
      </w:tr>
      <w:tr w:rsidR="000B148D" w:rsidRPr="00756252" w14:paraId="4DDDEC49" w14:textId="77777777" w:rsidTr="00484142">
        <w:tc>
          <w:tcPr>
            <w:tcW w:w="1177" w:type="pct"/>
            <w:shd w:val="clear" w:color="auto" w:fill="D9D9D9" w:themeFill="background1" w:themeFillShade="D9"/>
          </w:tcPr>
          <w:p w14:paraId="5CB114FD" w14:textId="77777777" w:rsidR="000B148D" w:rsidRPr="00756252" w:rsidRDefault="000B148D">
            <w:pPr>
              <w:pStyle w:val="Tableheading"/>
            </w:pPr>
            <w:r w:rsidRPr="00756252">
              <w:t>Statistical analysis</w:t>
            </w:r>
          </w:p>
        </w:tc>
        <w:tc>
          <w:tcPr>
            <w:tcW w:w="3823" w:type="pct"/>
          </w:tcPr>
          <w:p w14:paraId="107F2520" w14:textId="1BC85128" w:rsidR="000B148D" w:rsidRPr="00756252" w:rsidRDefault="000B148D">
            <w:pPr>
              <w:pStyle w:val="Tablebody"/>
              <w:spacing w:after="120"/>
            </w:pPr>
            <w:r w:rsidRPr="00756252">
              <w:t>The primary efficacy endpoint, and the key secondary endpoints, will be tested hierarchically to maintain the overall two-sided type-I error rate to 0.</w:t>
            </w:r>
            <w:r>
              <w:t>0</w:t>
            </w:r>
            <w:r w:rsidRPr="00756252">
              <w:t>5 or less, in the order below:</w:t>
            </w:r>
          </w:p>
          <w:p w14:paraId="78BFEFB9" w14:textId="77777777" w:rsidR="000B148D" w:rsidRPr="00756252" w:rsidRDefault="000B148D" w:rsidP="00954359">
            <w:pPr>
              <w:pStyle w:val="Tablebody"/>
              <w:numPr>
                <w:ilvl w:val="0"/>
                <w:numId w:val="44"/>
              </w:numPr>
              <w:spacing w:after="120"/>
            </w:pPr>
            <w:r w:rsidRPr="00756252">
              <w:t>PFS based on BICR in the HR-positive cohort</w:t>
            </w:r>
          </w:p>
          <w:p w14:paraId="765C87C3" w14:textId="77777777" w:rsidR="000B148D" w:rsidRPr="00756252" w:rsidRDefault="000B148D" w:rsidP="00954359">
            <w:pPr>
              <w:pStyle w:val="Tablebody"/>
              <w:numPr>
                <w:ilvl w:val="0"/>
                <w:numId w:val="44"/>
              </w:numPr>
              <w:spacing w:after="120"/>
            </w:pPr>
            <w:r w:rsidRPr="00756252">
              <w:t>PFS based on BICR in the FAS</w:t>
            </w:r>
          </w:p>
          <w:p w14:paraId="56D131E9" w14:textId="626CEA64" w:rsidR="000B148D" w:rsidRPr="00756252" w:rsidRDefault="000B148D" w:rsidP="00954359">
            <w:pPr>
              <w:pStyle w:val="Tablebody"/>
              <w:numPr>
                <w:ilvl w:val="0"/>
                <w:numId w:val="44"/>
              </w:numPr>
              <w:spacing w:after="120"/>
            </w:pPr>
            <w:r w:rsidRPr="00756252">
              <w:t>OS in the HR</w:t>
            </w:r>
            <w:r w:rsidR="00512BA4">
              <w:t>-positive</w:t>
            </w:r>
            <w:r w:rsidRPr="00756252">
              <w:t xml:space="preserve"> cohort (up to 3 analyses)</w:t>
            </w:r>
          </w:p>
          <w:p w14:paraId="32748B0A" w14:textId="77777777" w:rsidR="000B148D" w:rsidRPr="00756252" w:rsidRDefault="000B148D" w:rsidP="00954359">
            <w:pPr>
              <w:pStyle w:val="Tablebody"/>
              <w:numPr>
                <w:ilvl w:val="0"/>
                <w:numId w:val="44"/>
              </w:numPr>
              <w:spacing w:after="120"/>
            </w:pPr>
            <w:r w:rsidRPr="00756252">
              <w:t>OS in the FAS (up to 3 analyses)</w:t>
            </w:r>
          </w:p>
          <w:p w14:paraId="3C06DED7" w14:textId="7B1FFFB4" w:rsidR="000B148D" w:rsidRPr="00756252" w:rsidRDefault="000B148D">
            <w:pPr>
              <w:pStyle w:val="Tablebody"/>
              <w:spacing w:after="120"/>
            </w:pPr>
            <w:r w:rsidRPr="00756252">
              <w:rPr>
                <w:b/>
              </w:rPr>
              <w:t>Primary endpoint (PFS by BICR in the HR-positive)</w:t>
            </w:r>
            <w:r w:rsidRPr="00756252">
              <w:t xml:space="preserve"> was analysed through comparison of the distribution of PFS between the two treatment groups using a stratified log-rank test, with strata being the same as the randomisation stratification factors from IXRS, at an overall two-sided significance level of 0.05. The primary efficacy analysis is planned to be performed after approximately </w:t>
            </w:r>
            <w:r w:rsidR="00F77ABC" w:rsidRPr="00F77ABC">
              <w:rPr>
                <w:color w:val="000000"/>
                <w:highlight w:val="black"/>
              </w:rPr>
              <w:t>xxx</w:t>
            </w:r>
            <w:r w:rsidRPr="00756252">
              <w:t xml:space="preserve"> BICR PFS events in the HR-positive subjects have been documented in the study (</w:t>
            </w:r>
            <w:r>
              <w:t>primary</w:t>
            </w:r>
            <w:r w:rsidRPr="00756252">
              <w:t xml:space="preserve"> analysis for PFS). The treatment effect HR of PFS and its two-sided 95% CI were estimated </w:t>
            </w:r>
            <w:r w:rsidRPr="00756252">
              <w:lastRenderedPageBreak/>
              <w:t>using a stratified Cox proportional hazards regression model with the same stratification factors as the randomisation stratification factors taken from IXRS. Median PFS time and the two-sided 95% CIs using the Brookmeyer-Crowley method were provided for each treatment group, as well as Kaplan-Meier estimates of PFS rates at fixed time points</w:t>
            </w:r>
          </w:p>
          <w:p w14:paraId="6E9FC0A2" w14:textId="77777777" w:rsidR="000B148D" w:rsidRPr="00756252" w:rsidRDefault="000B148D">
            <w:pPr>
              <w:pStyle w:val="Tablebody"/>
              <w:spacing w:after="0"/>
            </w:pPr>
            <w:r w:rsidRPr="00756252">
              <w:rPr>
                <w:b/>
              </w:rPr>
              <w:t>Key secondary efficacy endpoints:</w:t>
            </w:r>
          </w:p>
          <w:p w14:paraId="01AE0197" w14:textId="77777777" w:rsidR="000B148D" w:rsidRPr="00756252" w:rsidRDefault="000B148D" w:rsidP="00954359">
            <w:pPr>
              <w:pStyle w:val="Tablebody"/>
              <w:numPr>
                <w:ilvl w:val="0"/>
                <w:numId w:val="11"/>
              </w:numPr>
              <w:spacing w:after="0"/>
            </w:pPr>
            <w:r w:rsidRPr="00756252">
              <w:t>PFS by BICR in the FAS was analysed as described above for the primary endpoint (PFS in the HR-positive cohort). Statistical testing will be performed only when PFS in the HR-positive cohort is statistically significant.</w:t>
            </w:r>
          </w:p>
          <w:p w14:paraId="0B7F9F5A" w14:textId="1D6C2164" w:rsidR="000B148D" w:rsidRPr="00756252" w:rsidRDefault="000B148D" w:rsidP="00954359">
            <w:pPr>
              <w:pStyle w:val="Tablebody"/>
              <w:numPr>
                <w:ilvl w:val="0"/>
                <w:numId w:val="11"/>
              </w:numPr>
              <w:spacing w:after="0"/>
            </w:pPr>
            <w:r w:rsidRPr="00756252">
              <w:t xml:space="preserve">OS (for FAS and HR-positive) was analysed through comparison of the two treatment groups using a stratified log-rank test, with strata being the same as the randomisation stratification factors from IXRS, at an overall two-sided significance level of 0.05. The survival distribution will be estimated by the Kaplan-Meier method. Median OS with two-sided 95% CIs was calculated with the Brookmeyer-Crowley method. A HR with two-sided 95% CIs was calculated with a stratified Cox proportional hazards regression model. Interim analyses </w:t>
            </w:r>
            <w:r w:rsidR="00FD5C8F">
              <w:t>will take</w:t>
            </w:r>
            <w:r w:rsidR="00FD5C8F" w:rsidRPr="00756252">
              <w:t xml:space="preserve"> </w:t>
            </w:r>
            <w:r w:rsidRPr="00756252">
              <w:t>place at</w:t>
            </w:r>
            <w:r w:rsidR="003E6300">
              <w:t xml:space="preserve"> approximately</w:t>
            </w:r>
            <w:r w:rsidRPr="00756252">
              <w:t xml:space="preserve"> </w:t>
            </w:r>
            <w:r w:rsidR="00F77ABC" w:rsidRPr="00F77ABC">
              <w:rPr>
                <w:color w:val="000000"/>
                <w:highlight w:val="black"/>
              </w:rPr>
              <w:t>xxx</w:t>
            </w:r>
            <w:r w:rsidRPr="00756252">
              <w:t xml:space="preserve"> (IA1) and </w:t>
            </w:r>
            <w:r w:rsidR="00F77ABC" w:rsidRPr="00F77ABC">
              <w:rPr>
                <w:color w:val="000000"/>
                <w:highlight w:val="black"/>
              </w:rPr>
              <w:t>xxx</w:t>
            </w:r>
            <w:r w:rsidRPr="00756252">
              <w:t xml:space="preserve"> OS events (IA2) and </w:t>
            </w:r>
            <w:r>
              <w:t>final</w:t>
            </w:r>
            <w:r w:rsidRPr="00756252">
              <w:t xml:space="preserve"> analyses will take place once </w:t>
            </w:r>
            <w:r w:rsidR="00F77ABC" w:rsidRPr="00F77ABC">
              <w:rPr>
                <w:color w:val="000000"/>
                <w:highlight w:val="black"/>
              </w:rPr>
              <w:t>xxx</w:t>
            </w:r>
            <w:r w:rsidRPr="00756252">
              <w:t xml:space="preserve"> OS events have occurred. As per the hierarchical testing procedure, OS in the FAS could not be tested until statistical significance was demonstrated in PFS by BICR in the HR-positive and FAS groups, and in OS in the HR-positive group.</w:t>
            </w:r>
          </w:p>
          <w:p w14:paraId="3A10FA98" w14:textId="77777777" w:rsidR="000B148D" w:rsidRPr="00756252" w:rsidRDefault="000B148D">
            <w:pPr>
              <w:pStyle w:val="Tablebody"/>
              <w:spacing w:after="0"/>
              <w:ind w:left="57"/>
              <w:rPr>
                <w:b/>
                <w:bCs/>
              </w:rPr>
            </w:pPr>
            <w:r w:rsidRPr="00756252">
              <w:rPr>
                <w:b/>
                <w:bCs/>
              </w:rPr>
              <w:t>Other secondary efficacy endpoints</w:t>
            </w:r>
          </w:p>
          <w:p w14:paraId="386A5AD9" w14:textId="77777777" w:rsidR="000B148D" w:rsidRPr="00756252" w:rsidRDefault="000B148D" w:rsidP="00954359">
            <w:pPr>
              <w:pStyle w:val="Tablebody"/>
              <w:numPr>
                <w:ilvl w:val="0"/>
                <w:numId w:val="11"/>
              </w:numPr>
              <w:spacing w:after="0"/>
            </w:pPr>
            <w:r w:rsidRPr="00756252">
              <w:t>PFS by IA survival distribution was estimated by the Kaplan-Meier method. Median PFS by IA with two-sided 95% CIs was calculated with the Brookmeyer-Crowley method. A HR with two-sided 95% CIs was calculated with a stratified Cox proportional hazards regression model</w:t>
            </w:r>
          </w:p>
          <w:p w14:paraId="632C05E1" w14:textId="27EAEBC0" w:rsidR="000B148D" w:rsidRPr="00756252" w:rsidRDefault="000B148D" w:rsidP="00954359">
            <w:pPr>
              <w:pStyle w:val="Tablebody"/>
              <w:numPr>
                <w:ilvl w:val="0"/>
                <w:numId w:val="10"/>
              </w:numPr>
              <w:spacing w:after="0"/>
            </w:pPr>
            <w:r w:rsidRPr="00756252">
              <w:t xml:space="preserve">ORR was summarised by treatment group, </w:t>
            </w:r>
            <w:r w:rsidR="00294FDC" w:rsidRPr="00294FDC">
              <w:rPr>
                <w:color w:val="000000"/>
                <w:highlight w:val="black"/>
              </w:rPr>
              <w:t>xxxxxxxxxxxxxxxxxx</w:t>
            </w:r>
            <w:r w:rsidR="00484142">
              <w:rPr>
                <w:color w:val="000000"/>
                <w:highlight w:val="black"/>
              </w:rPr>
              <w:t xml:space="preserve">   </w:t>
            </w:r>
            <w:r w:rsidR="00294FDC" w:rsidRPr="00294FDC">
              <w:rPr>
                <w:color w:val="000000"/>
                <w:highlight w:val="black"/>
              </w:rPr>
              <w:t>xx</w:t>
            </w:r>
            <w:r w:rsidR="00484142">
              <w:rPr>
                <w:color w:val="000000"/>
                <w:highlight w:val="black"/>
              </w:rPr>
              <w:t xml:space="preserve"> </w:t>
            </w:r>
            <w:r w:rsidR="00294FDC" w:rsidRPr="00294FDC">
              <w:rPr>
                <w:color w:val="000000"/>
                <w:highlight w:val="black"/>
              </w:rPr>
              <w:t>xx</w:t>
            </w:r>
            <w:r w:rsidR="00484142">
              <w:rPr>
                <w:color w:val="000000"/>
                <w:highlight w:val="black"/>
              </w:rPr>
              <w:t xml:space="preserve"> </w:t>
            </w:r>
            <w:r w:rsidR="00294FDC" w:rsidRPr="00294FDC">
              <w:rPr>
                <w:color w:val="000000"/>
                <w:highlight w:val="black"/>
              </w:rPr>
              <w:t>xxxxx</w:t>
            </w:r>
            <w:r w:rsidR="00484142">
              <w:rPr>
                <w:color w:val="000000"/>
                <w:highlight w:val="black"/>
              </w:rPr>
              <w:t xml:space="preserve"> </w:t>
            </w:r>
            <w:r w:rsidR="00294FDC" w:rsidRPr="00294FDC">
              <w:rPr>
                <w:color w:val="000000"/>
                <w:highlight w:val="black"/>
              </w:rPr>
              <w:t>xxxxxxxxx</w:t>
            </w:r>
            <w:r w:rsidR="00484142">
              <w:rPr>
                <w:color w:val="000000"/>
                <w:highlight w:val="black"/>
              </w:rPr>
              <w:t xml:space="preserve"> </w:t>
            </w:r>
            <w:r w:rsidR="00294FDC" w:rsidRPr="00294FDC">
              <w:rPr>
                <w:color w:val="000000"/>
                <w:highlight w:val="black"/>
              </w:rPr>
              <w:t>xxx</w:t>
            </w:r>
            <w:r w:rsidR="00EC15A9">
              <w:rPr>
                <w:color w:val="000000"/>
                <w:highlight w:val="black"/>
              </w:rPr>
              <w:t xml:space="preserve"> </w:t>
            </w:r>
            <w:r w:rsidR="00294FDC" w:rsidRPr="00294FDC">
              <w:rPr>
                <w:color w:val="000000"/>
                <w:highlight w:val="black"/>
              </w:rPr>
              <w:t>xxxxxxxxxxxxxxxxxxxxxxxxxxx</w:t>
            </w:r>
          </w:p>
          <w:p w14:paraId="2AEA7AC8" w14:textId="77FA53DE" w:rsidR="000B148D" w:rsidRPr="00756252" w:rsidRDefault="000B148D" w:rsidP="00954359">
            <w:pPr>
              <w:pStyle w:val="Tablebody"/>
              <w:numPr>
                <w:ilvl w:val="0"/>
                <w:numId w:val="10"/>
              </w:numPr>
              <w:spacing w:after="120"/>
            </w:pPr>
            <w:r w:rsidRPr="00756252">
              <w:t xml:space="preserve">Duration of response (based separately on BICR and IA) was summarised by median duration and its two-sided 95% CI calculated using the </w:t>
            </w:r>
            <w:r w:rsidR="00294FDC" w:rsidRPr="00294FDC">
              <w:rPr>
                <w:color w:val="000000"/>
                <w:highlight w:val="black"/>
              </w:rPr>
              <w:t>xxxxxxxxxxxxxx</w:t>
            </w:r>
            <w:r w:rsidR="00675564">
              <w:rPr>
                <w:color w:val="000000"/>
                <w:highlight w:val="black"/>
              </w:rPr>
              <w:t xml:space="preserve"> </w:t>
            </w:r>
            <w:r w:rsidR="00294FDC" w:rsidRPr="00294FDC">
              <w:rPr>
                <w:color w:val="000000"/>
                <w:highlight w:val="black"/>
              </w:rPr>
              <w:t>xx</w:t>
            </w:r>
            <w:r w:rsidR="00484142">
              <w:rPr>
                <w:color w:val="000000"/>
                <w:highlight w:val="black"/>
              </w:rPr>
              <w:t xml:space="preserve"> </w:t>
            </w:r>
            <w:r w:rsidR="00294FDC" w:rsidRPr="00294FDC">
              <w:rPr>
                <w:color w:val="000000"/>
                <w:highlight w:val="black"/>
              </w:rPr>
              <w:t>xxxxxxxxx</w:t>
            </w:r>
          </w:p>
          <w:p w14:paraId="00750FAB" w14:textId="623998C4" w:rsidR="000B148D" w:rsidRPr="00756252" w:rsidRDefault="000B148D">
            <w:pPr>
              <w:pStyle w:val="Tablebody"/>
              <w:spacing w:after="120"/>
            </w:pPr>
            <w:r w:rsidRPr="00756252">
              <w:rPr>
                <w:b/>
              </w:rPr>
              <w:t>Exploratory endpoints</w:t>
            </w:r>
            <w:r w:rsidRPr="00756252">
              <w:t xml:space="preserve"> Both CBR and DCR were determined using the same analyses as for ORR by BICR. TTR was summarised using descriptive statistics. The change of sum of diameters from baseline to post-baseline was summarised using a waterfall plot for each patient and each treatment group, with vertical lines representing the sorted values of percent changes. The survival distribution of PFS2 was estimated using the Kaplan-Meier method. Median PFS2 with two-sided 95% CIs were calculated with the </w:t>
            </w:r>
            <w:r w:rsidR="00294FDC" w:rsidRPr="00294FDC">
              <w:rPr>
                <w:color w:val="000000"/>
                <w:highlight w:val="black"/>
              </w:rPr>
              <w:t>xxxxxx</w:t>
            </w:r>
            <w:r w:rsidR="00675564">
              <w:rPr>
                <w:color w:val="000000"/>
                <w:highlight w:val="black"/>
              </w:rPr>
              <w:t xml:space="preserve"> </w:t>
            </w:r>
            <w:r w:rsidR="00294FDC" w:rsidRPr="00294FDC">
              <w:rPr>
                <w:color w:val="000000"/>
                <w:highlight w:val="black"/>
              </w:rPr>
              <w:t>xxxxxxx</w:t>
            </w:r>
            <w:r w:rsidR="00484142">
              <w:rPr>
                <w:color w:val="000000"/>
                <w:highlight w:val="black"/>
              </w:rPr>
              <w:t xml:space="preserve"> </w:t>
            </w:r>
            <w:r w:rsidR="00294FDC" w:rsidRPr="00294FDC">
              <w:rPr>
                <w:color w:val="000000"/>
                <w:highlight w:val="black"/>
              </w:rPr>
              <w:t>x</w:t>
            </w:r>
            <w:r w:rsidR="00675564">
              <w:rPr>
                <w:color w:val="000000"/>
                <w:highlight w:val="black"/>
              </w:rPr>
              <w:t xml:space="preserve"> </w:t>
            </w:r>
            <w:r w:rsidR="00294FDC" w:rsidRPr="00294FDC">
              <w:rPr>
                <w:color w:val="000000"/>
                <w:highlight w:val="black"/>
              </w:rPr>
              <w:t>xxxxx</w:t>
            </w:r>
            <w:r w:rsidR="00675564">
              <w:rPr>
                <w:color w:val="000000"/>
                <w:highlight w:val="black"/>
              </w:rPr>
              <w:t xml:space="preserve"> </w:t>
            </w:r>
            <w:r w:rsidR="00294FDC" w:rsidRPr="00294FDC">
              <w:rPr>
                <w:color w:val="000000"/>
                <w:highlight w:val="black"/>
              </w:rPr>
              <w:t>xxxxxx</w:t>
            </w:r>
            <w:r w:rsidRPr="00756252">
              <w:t xml:space="preserve">. PFS2 HRs and their two-sided 95% CIs were calculated with a </w:t>
            </w:r>
            <w:r w:rsidR="00294FDC" w:rsidRPr="00294FDC">
              <w:rPr>
                <w:color w:val="000000"/>
                <w:highlight w:val="black"/>
              </w:rPr>
              <w:t>xxxxxxxx</w:t>
            </w:r>
            <w:r w:rsidR="00484142">
              <w:rPr>
                <w:color w:val="000000"/>
                <w:highlight w:val="black"/>
              </w:rPr>
              <w:t xml:space="preserve"> </w:t>
            </w:r>
            <w:r w:rsidR="00294FDC" w:rsidRPr="00294FDC">
              <w:rPr>
                <w:color w:val="000000"/>
                <w:highlight w:val="black"/>
              </w:rPr>
              <w:t>xxxxxx</w:t>
            </w:r>
            <w:r w:rsidR="00484142">
              <w:rPr>
                <w:color w:val="000000"/>
                <w:highlight w:val="black"/>
              </w:rPr>
              <w:t xml:space="preserve"> </w:t>
            </w:r>
            <w:r w:rsidR="00294FDC" w:rsidRPr="00294FDC">
              <w:rPr>
                <w:color w:val="000000"/>
                <w:highlight w:val="black"/>
              </w:rPr>
              <w:t>xxxxxxxxxx</w:t>
            </w:r>
            <w:r w:rsidR="00484142">
              <w:rPr>
                <w:color w:val="000000"/>
                <w:highlight w:val="black"/>
              </w:rPr>
              <w:t xml:space="preserve">  </w:t>
            </w:r>
            <w:r w:rsidR="00294FDC" w:rsidRPr="00294FDC">
              <w:rPr>
                <w:color w:val="000000"/>
                <w:highlight w:val="black"/>
              </w:rPr>
              <w:t>xx</w:t>
            </w:r>
            <w:r w:rsidR="00484142">
              <w:rPr>
                <w:color w:val="000000"/>
                <w:highlight w:val="black"/>
              </w:rPr>
              <w:t xml:space="preserve"> </w:t>
            </w:r>
            <w:r w:rsidR="00294FDC" w:rsidRPr="00294FDC">
              <w:rPr>
                <w:color w:val="000000"/>
                <w:highlight w:val="black"/>
              </w:rPr>
              <w:t>xxxxx</w:t>
            </w:r>
            <w:r w:rsidR="00484142">
              <w:rPr>
                <w:color w:val="000000"/>
                <w:highlight w:val="black"/>
              </w:rPr>
              <w:t xml:space="preserve"> </w:t>
            </w:r>
            <w:r w:rsidR="00294FDC" w:rsidRPr="00294FDC">
              <w:rPr>
                <w:color w:val="000000"/>
                <w:highlight w:val="black"/>
              </w:rPr>
              <w:t>xx</w:t>
            </w:r>
            <w:r w:rsidR="00484142">
              <w:rPr>
                <w:color w:val="000000"/>
                <w:highlight w:val="black"/>
              </w:rPr>
              <w:t xml:space="preserve"> </w:t>
            </w:r>
            <w:r w:rsidR="00294FDC" w:rsidRPr="00294FDC">
              <w:rPr>
                <w:color w:val="000000"/>
                <w:highlight w:val="black"/>
              </w:rPr>
              <w:t>xxxxxxx</w:t>
            </w:r>
            <w:r w:rsidR="00484142">
              <w:rPr>
                <w:color w:val="000000"/>
                <w:highlight w:val="black"/>
              </w:rPr>
              <w:t xml:space="preserve"> </w:t>
            </w:r>
            <w:r w:rsidR="00294FDC" w:rsidRPr="00294FDC">
              <w:rPr>
                <w:color w:val="000000"/>
                <w:highlight w:val="black"/>
              </w:rPr>
              <w:t>xxxxx</w:t>
            </w:r>
            <w:r w:rsidR="00484142">
              <w:rPr>
                <w:color w:val="000000"/>
                <w:highlight w:val="black"/>
              </w:rPr>
              <w:t xml:space="preserve"> </w:t>
            </w:r>
            <w:r w:rsidR="00294FDC" w:rsidRPr="00294FDC">
              <w:rPr>
                <w:color w:val="000000"/>
                <w:highlight w:val="black"/>
              </w:rPr>
              <w:t>xxxx</w:t>
            </w:r>
            <w:r w:rsidR="00484142">
              <w:rPr>
                <w:color w:val="000000"/>
                <w:highlight w:val="black"/>
              </w:rPr>
              <w:t xml:space="preserve"> </w:t>
            </w:r>
            <w:r w:rsidR="00294FDC" w:rsidRPr="00294FDC">
              <w:rPr>
                <w:color w:val="000000"/>
                <w:highlight w:val="black"/>
              </w:rPr>
              <w:t>xxx</w:t>
            </w:r>
            <w:r w:rsidR="00985D50">
              <w:rPr>
                <w:u w:val="single"/>
              </w:rPr>
              <w:t>.</w:t>
            </w:r>
          </w:p>
          <w:p w14:paraId="25E6D1C3" w14:textId="77777777" w:rsidR="000B148D" w:rsidRPr="00756252" w:rsidRDefault="000B148D">
            <w:pPr>
              <w:pStyle w:val="Tablebody"/>
              <w:spacing w:after="120"/>
            </w:pPr>
            <w:r w:rsidRPr="00756252">
              <w:rPr>
                <w:b/>
              </w:rPr>
              <w:t>Safety endpoints</w:t>
            </w:r>
            <w:r w:rsidRPr="00756252">
              <w:t xml:space="preserve"> were assessed with descriptive statistics</w:t>
            </w:r>
          </w:p>
          <w:p w14:paraId="2309F9FD" w14:textId="77777777" w:rsidR="000B148D" w:rsidRPr="00756252" w:rsidRDefault="000B148D">
            <w:pPr>
              <w:pStyle w:val="Tablebody"/>
              <w:spacing w:after="120"/>
            </w:pPr>
            <w:r w:rsidRPr="00756252">
              <w:rPr>
                <w:b/>
                <w:bCs/>
              </w:rPr>
              <w:t xml:space="preserve">QoL and resource use/hospitalisation endpoints </w:t>
            </w:r>
            <w:r w:rsidRPr="00756252">
              <w:t>were summarised by time point for each treatment group</w:t>
            </w:r>
          </w:p>
          <w:p w14:paraId="50C81D36" w14:textId="0F5EC42D" w:rsidR="000B148D" w:rsidRPr="00756252" w:rsidRDefault="000B148D" w:rsidP="00954359">
            <w:pPr>
              <w:pStyle w:val="Tablebody"/>
              <w:numPr>
                <w:ilvl w:val="0"/>
                <w:numId w:val="11"/>
              </w:numPr>
              <w:spacing w:after="0"/>
            </w:pPr>
            <w:r w:rsidRPr="00756252">
              <w:t>EQ-5D-5L was assessed with descriptive statistics</w:t>
            </w:r>
            <w:r w:rsidR="00102EF5">
              <w:t xml:space="preserve"> and Kaplan-Meier methods</w:t>
            </w:r>
            <w:r w:rsidRPr="00756252">
              <w:t xml:space="preserve">. </w:t>
            </w:r>
            <w:r w:rsidR="00FE22D3">
              <w:t xml:space="preserve">Summary of visit-level scores and </w:t>
            </w:r>
            <w:r w:rsidR="00510EE1">
              <w:t xml:space="preserve">change from baseline were assessed for both the VAS and index scores. </w:t>
            </w:r>
            <w:r w:rsidRPr="00756252">
              <w:t>Time to definitive deterioration on the VAS was assessed using the stratified log-rank test and a two-sided type</w:t>
            </w:r>
            <w:r w:rsidR="00E424C3">
              <w:t>-</w:t>
            </w:r>
            <w:r w:rsidRPr="00756252">
              <w:t xml:space="preserve">I error rate of 5%. A survival distribution of time to definition deterioration was estimated by the </w:t>
            </w:r>
            <w:r w:rsidR="00294FDC" w:rsidRPr="00294FDC">
              <w:rPr>
                <w:color w:val="000000"/>
                <w:highlight w:val="black"/>
              </w:rPr>
              <w:t>xxxxxxxxx</w:t>
            </w:r>
            <w:r w:rsidR="00484142">
              <w:rPr>
                <w:color w:val="000000"/>
                <w:highlight w:val="black"/>
              </w:rPr>
              <w:t xml:space="preserve"> </w:t>
            </w:r>
            <w:r w:rsidR="00294FDC" w:rsidRPr="00294FDC">
              <w:rPr>
                <w:color w:val="000000"/>
                <w:highlight w:val="black"/>
              </w:rPr>
              <w:t>xxxxxxxxxxxxxx</w:t>
            </w:r>
            <w:r w:rsidR="00675564">
              <w:rPr>
                <w:color w:val="000000"/>
                <w:highlight w:val="black"/>
              </w:rPr>
              <w:t xml:space="preserve"> </w:t>
            </w:r>
            <w:r w:rsidR="00294FDC" w:rsidRPr="00294FDC">
              <w:rPr>
                <w:color w:val="000000"/>
                <w:highlight w:val="black"/>
              </w:rPr>
              <w:t>xxxxxxxxxx</w:t>
            </w:r>
            <w:r w:rsidR="00484142">
              <w:rPr>
                <w:color w:val="000000"/>
                <w:highlight w:val="black"/>
              </w:rPr>
              <w:t xml:space="preserve"> </w:t>
            </w:r>
            <w:r w:rsidR="00294FDC" w:rsidRPr="00294FDC">
              <w:rPr>
                <w:color w:val="000000"/>
                <w:highlight w:val="black"/>
              </w:rPr>
              <w:t>xxxxx</w:t>
            </w:r>
            <w:r w:rsidR="00484142">
              <w:rPr>
                <w:color w:val="000000"/>
                <w:highlight w:val="black"/>
              </w:rPr>
              <w:t xml:space="preserve"> </w:t>
            </w:r>
            <w:r w:rsidR="00294FDC" w:rsidRPr="00294FDC">
              <w:rPr>
                <w:color w:val="000000"/>
                <w:highlight w:val="black"/>
              </w:rPr>
              <w:t>xxxxxx</w:t>
            </w:r>
            <w:r w:rsidR="00675564">
              <w:rPr>
                <w:color w:val="000000"/>
                <w:highlight w:val="black"/>
              </w:rPr>
              <w:t xml:space="preserve"> </w:t>
            </w:r>
            <w:r w:rsidR="00294FDC" w:rsidRPr="00294FDC">
              <w:rPr>
                <w:color w:val="000000"/>
                <w:highlight w:val="black"/>
              </w:rPr>
              <w:t>xxxxxxxx</w:t>
            </w:r>
            <w:r w:rsidR="00484142">
              <w:rPr>
                <w:color w:val="000000"/>
                <w:highlight w:val="black"/>
              </w:rPr>
              <w:t xml:space="preserve"> </w:t>
            </w:r>
            <w:r w:rsidR="00294FDC" w:rsidRPr="00294FDC">
              <w:rPr>
                <w:color w:val="000000"/>
                <w:highlight w:val="black"/>
              </w:rPr>
              <w:t>xxxxxxxx</w:t>
            </w:r>
            <w:r w:rsidR="00484142">
              <w:rPr>
                <w:color w:val="000000"/>
                <w:highlight w:val="black"/>
              </w:rPr>
              <w:t xml:space="preserve"> </w:t>
            </w:r>
            <w:r w:rsidR="00294FDC" w:rsidRPr="00294FDC">
              <w:rPr>
                <w:color w:val="000000"/>
                <w:highlight w:val="black"/>
              </w:rPr>
              <w:t>xxxxxxxx</w:t>
            </w:r>
            <w:r w:rsidR="00484142">
              <w:rPr>
                <w:color w:val="000000"/>
                <w:highlight w:val="black"/>
              </w:rPr>
              <w:t xml:space="preserve"> </w:t>
            </w:r>
            <w:r w:rsidR="00294FDC" w:rsidRPr="00294FDC">
              <w:rPr>
                <w:color w:val="000000"/>
                <w:highlight w:val="black"/>
              </w:rPr>
              <w:t>xxxxxxxxxxxxxxxx</w:t>
            </w:r>
            <w:r w:rsidR="00484142">
              <w:rPr>
                <w:color w:val="000000"/>
                <w:highlight w:val="black"/>
              </w:rPr>
              <w:t xml:space="preserve"> </w:t>
            </w:r>
            <w:r w:rsidR="00294FDC" w:rsidRPr="00294FDC">
              <w:rPr>
                <w:color w:val="000000"/>
                <w:highlight w:val="black"/>
              </w:rPr>
              <w:t>xxxxxxxxx</w:t>
            </w:r>
            <w:r w:rsidR="00484142">
              <w:rPr>
                <w:color w:val="000000"/>
                <w:highlight w:val="black"/>
              </w:rPr>
              <w:t xml:space="preserve"> </w:t>
            </w:r>
            <w:r w:rsidR="00294FDC" w:rsidRPr="00294FDC">
              <w:rPr>
                <w:color w:val="000000"/>
                <w:highlight w:val="black"/>
              </w:rPr>
              <w:t>xxxxxxxxxxxxxxxxxxxxxxxxxxxxx</w:t>
            </w:r>
          </w:p>
          <w:p w14:paraId="28158EF3" w14:textId="31AD6AA4" w:rsidR="000B148D" w:rsidRPr="00756252" w:rsidRDefault="000B148D" w:rsidP="00954359">
            <w:pPr>
              <w:pStyle w:val="Tablebody"/>
              <w:numPr>
                <w:ilvl w:val="0"/>
                <w:numId w:val="11"/>
              </w:numPr>
              <w:spacing w:after="0"/>
            </w:pPr>
            <w:r w:rsidRPr="00756252">
              <w:lastRenderedPageBreak/>
              <w:t>Changes from baseline in EORTC QLQ</w:t>
            </w:r>
            <w:r w:rsidRPr="00756252">
              <w:noBreakHyphen/>
              <w:t xml:space="preserve">C30 were assessed using a </w:t>
            </w:r>
            <w:r w:rsidR="00294FDC" w:rsidRPr="00294FDC">
              <w:rPr>
                <w:color w:val="000000"/>
                <w:highlight w:val="black"/>
              </w:rPr>
              <w:t>xx</w:t>
            </w:r>
            <w:r w:rsidR="00484142">
              <w:rPr>
                <w:color w:val="000000"/>
                <w:highlight w:val="black"/>
              </w:rPr>
              <w:t xml:space="preserve"> </w:t>
            </w:r>
            <w:r w:rsidR="00294FDC" w:rsidRPr="00294FDC">
              <w:rPr>
                <w:color w:val="000000"/>
                <w:highlight w:val="black"/>
              </w:rPr>
              <w:t>xxxxx</w:t>
            </w:r>
            <w:r w:rsidR="00484142">
              <w:rPr>
                <w:color w:val="000000"/>
                <w:highlight w:val="black"/>
              </w:rPr>
              <w:t xml:space="preserve"> </w:t>
            </w:r>
            <w:r w:rsidR="00294FDC" w:rsidRPr="00294FDC">
              <w:rPr>
                <w:color w:val="000000"/>
                <w:highlight w:val="black"/>
              </w:rPr>
              <w:t>xxxxxxxxxxx</w:t>
            </w:r>
            <w:r w:rsidR="00675564">
              <w:rPr>
                <w:color w:val="000000"/>
                <w:highlight w:val="black"/>
              </w:rPr>
              <w:t xml:space="preserve"> </w:t>
            </w:r>
            <w:r w:rsidR="00294FDC" w:rsidRPr="00294FDC">
              <w:rPr>
                <w:color w:val="000000"/>
                <w:highlight w:val="black"/>
              </w:rPr>
              <w:t>xxxxxxxxxxxxxxxxxxxxxxxxxxxxx</w:t>
            </w:r>
            <w:r w:rsidRPr="00756252">
              <w:t>, and the descriptive p</w:t>
            </w:r>
            <w:r w:rsidRPr="00756252">
              <w:noBreakHyphen/>
              <w:t>values, differences in least square means, and the corresponding two</w:t>
            </w:r>
            <w:r w:rsidRPr="00756252">
              <w:noBreakHyphen/>
              <w:t>sided 95% CI was calculated. Time to definitive deterioration on the global QoL scale and physical functioning, emotional functioning, so</w:t>
            </w:r>
            <w:r w:rsidR="00675564">
              <w:t xml:space="preserve"> </w:t>
            </w:r>
            <w:r w:rsidRPr="00756252">
              <w:t xml:space="preserve">cial functioning, and pain symptom subscales was assessed using the </w:t>
            </w:r>
            <w:r w:rsidR="00294FDC" w:rsidRPr="00294FDC">
              <w:rPr>
                <w:color w:val="000000"/>
                <w:highlight w:val="black"/>
              </w:rPr>
              <w:t>xxxxx</w:t>
            </w:r>
            <w:r w:rsidR="00484142">
              <w:rPr>
                <w:color w:val="000000"/>
                <w:highlight w:val="black"/>
              </w:rPr>
              <w:t xml:space="preserve"> </w:t>
            </w:r>
            <w:r w:rsidR="00294FDC" w:rsidRPr="00294FDC">
              <w:rPr>
                <w:color w:val="000000"/>
                <w:highlight w:val="black"/>
              </w:rPr>
              <w:t>xxxxxx</w:t>
            </w:r>
            <w:r w:rsidR="00484142">
              <w:rPr>
                <w:color w:val="000000"/>
                <w:highlight w:val="black"/>
              </w:rPr>
              <w:t xml:space="preserve"> </w:t>
            </w:r>
            <w:r w:rsidR="00294FDC" w:rsidRPr="00294FDC">
              <w:rPr>
                <w:color w:val="000000"/>
                <w:highlight w:val="black"/>
              </w:rPr>
              <w:t>xxxx</w:t>
            </w:r>
            <w:r w:rsidR="00484142">
              <w:rPr>
                <w:color w:val="000000"/>
                <w:highlight w:val="black"/>
              </w:rPr>
              <w:t xml:space="preserve"> </w:t>
            </w:r>
            <w:r w:rsidR="00294FDC" w:rsidRPr="00294FDC">
              <w:rPr>
                <w:color w:val="000000"/>
                <w:highlight w:val="black"/>
              </w:rPr>
              <w:t>xxxx</w:t>
            </w:r>
            <w:r w:rsidR="00484142">
              <w:rPr>
                <w:color w:val="000000"/>
                <w:highlight w:val="black"/>
              </w:rPr>
              <w:t xml:space="preserve"> </w:t>
            </w:r>
            <w:r w:rsidR="00294FDC" w:rsidRPr="00294FDC">
              <w:rPr>
                <w:color w:val="000000"/>
                <w:highlight w:val="black"/>
              </w:rPr>
              <w:t>xxxxxxx</w:t>
            </w:r>
            <w:r w:rsidR="00484142">
              <w:rPr>
                <w:color w:val="000000"/>
                <w:highlight w:val="black"/>
              </w:rPr>
              <w:t xml:space="preserve"> </w:t>
            </w:r>
            <w:r w:rsidR="00294FDC" w:rsidRPr="00294FDC">
              <w:rPr>
                <w:color w:val="000000"/>
                <w:highlight w:val="black"/>
              </w:rPr>
              <w:t>xxx</w:t>
            </w:r>
            <w:r w:rsidR="00484142">
              <w:rPr>
                <w:color w:val="000000"/>
                <w:highlight w:val="black"/>
              </w:rPr>
              <w:t xml:space="preserve"> </w:t>
            </w:r>
            <w:r w:rsidR="00294FDC" w:rsidRPr="00294FDC">
              <w:rPr>
                <w:color w:val="000000"/>
                <w:highlight w:val="black"/>
              </w:rPr>
              <w:t>xxxxxxxxxxxxxxxxxxxxxxxx</w:t>
            </w:r>
            <w:r w:rsidRPr="00756252">
              <w:t xml:space="preserve">. The survival distributions of time to definition deterioration were estimated by the </w:t>
            </w:r>
            <w:r w:rsidR="00294FDC" w:rsidRPr="00294FDC">
              <w:rPr>
                <w:color w:val="000000"/>
                <w:highlight w:val="black"/>
              </w:rPr>
              <w:t>xxx</w:t>
            </w:r>
            <w:r w:rsidR="00484142">
              <w:rPr>
                <w:color w:val="000000"/>
                <w:highlight w:val="black"/>
              </w:rPr>
              <w:t xml:space="preserve"> </w:t>
            </w:r>
            <w:r w:rsidR="00294FDC" w:rsidRPr="00294FDC">
              <w:rPr>
                <w:color w:val="000000"/>
                <w:highlight w:val="black"/>
              </w:rPr>
              <w:t>xxxxxxxx</w:t>
            </w:r>
            <w:r w:rsidR="00484142">
              <w:rPr>
                <w:color w:val="000000"/>
                <w:highlight w:val="black"/>
              </w:rPr>
              <w:t xml:space="preserve"> </w:t>
            </w:r>
            <w:r w:rsidR="00294FDC" w:rsidRPr="00294FDC">
              <w:rPr>
                <w:color w:val="000000"/>
                <w:highlight w:val="black"/>
              </w:rPr>
              <w:t>xxxxx</w:t>
            </w:r>
            <w:r w:rsidR="00484142">
              <w:rPr>
                <w:color w:val="000000"/>
                <w:highlight w:val="black"/>
              </w:rPr>
              <w:t xml:space="preserve"> </w:t>
            </w:r>
            <w:r w:rsidR="00294FDC" w:rsidRPr="00294FDC">
              <w:rPr>
                <w:color w:val="000000"/>
                <w:highlight w:val="black"/>
              </w:rPr>
              <w:t>xxxxxx</w:t>
            </w:r>
            <w:r w:rsidR="00484142">
              <w:rPr>
                <w:color w:val="000000"/>
                <w:highlight w:val="black"/>
              </w:rPr>
              <w:t xml:space="preserve"> </w:t>
            </w:r>
            <w:r w:rsidR="00294FDC" w:rsidRPr="00294FDC">
              <w:rPr>
                <w:color w:val="000000"/>
                <w:highlight w:val="black"/>
              </w:rPr>
              <w:t>xxx</w:t>
            </w:r>
            <w:r w:rsidR="00484142">
              <w:rPr>
                <w:color w:val="000000"/>
                <w:highlight w:val="black"/>
              </w:rPr>
              <w:t xml:space="preserve"> </w:t>
            </w:r>
            <w:r w:rsidR="00675564">
              <w:rPr>
                <w:color w:val="000000"/>
                <w:highlight w:val="black"/>
              </w:rPr>
              <w:t xml:space="preserve"> </w:t>
            </w:r>
            <w:r w:rsidR="00294FDC" w:rsidRPr="00294FDC">
              <w:rPr>
                <w:color w:val="000000"/>
                <w:highlight w:val="black"/>
              </w:rPr>
              <w:t>x</w:t>
            </w:r>
            <w:r w:rsidR="00484142">
              <w:rPr>
                <w:color w:val="000000"/>
                <w:highlight w:val="black"/>
              </w:rPr>
              <w:t xml:space="preserve"> </w:t>
            </w:r>
            <w:r w:rsidR="00294FDC" w:rsidRPr="00294FDC">
              <w:rPr>
                <w:color w:val="000000"/>
                <w:highlight w:val="black"/>
              </w:rPr>
              <w:t>xx</w:t>
            </w:r>
            <w:r w:rsidR="00484142">
              <w:rPr>
                <w:color w:val="000000"/>
                <w:highlight w:val="black"/>
              </w:rPr>
              <w:t xml:space="preserve"> </w:t>
            </w:r>
            <w:r w:rsidR="00294FDC" w:rsidRPr="00294FDC">
              <w:rPr>
                <w:color w:val="000000"/>
                <w:highlight w:val="black"/>
              </w:rPr>
              <w:t>xxxx</w:t>
            </w:r>
            <w:r w:rsidR="00675564">
              <w:rPr>
                <w:color w:val="000000"/>
                <w:highlight w:val="black"/>
              </w:rPr>
              <w:t xml:space="preserve"> </w:t>
            </w:r>
            <w:r w:rsidR="00294FDC" w:rsidRPr="00294FDC">
              <w:rPr>
                <w:color w:val="000000"/>
                <w:highlight w:val="black"/>
              </w:rPr>
              <w:t>xxxxx</w:t>
            </w:r>
            <w:r w:rsidR="00484142">
              <w:rPr>
                <w:color w:val="000000"/>
                <w:highlight w:val="black"/>
              </w:rPr>
              <w:t xml:space="preserve"> </w:t>
            </w:r>
            <w:r w:rsidR="00294FDC" w:rsidRPr="00294FDC">
              <w:rPr>
                <w:color w:val="000000"/>
                <w:highlight w:val="black"/>
              </w:rPr>
              <w:t>xxxx</w:t>
            </w:r>
            <w:r w:rsidR="00484142">
              <w:rPr>
                <w:color w:val="000000"/>
                <w:highlight w:val="black"/>
              </w:rPr>
              <w:t xml:space="preserve"> </w:t>
            </w:r>
            <w:r w:rsidR="00294FDC" w:rsidRPr="00294FDC">
              <w:rPr>
                <w:color w:val="000000"/>
                <w:highlight w:val="black"/>
              </w:rPr>
              <w:t>xx</w:t>
            </w:r>
            <w:r w:rsidR="00484142">
              <w:rPr>
                <w:color w:val="000000"/>
                <w:highlight w:val="black"/>
              </w:rPr>
              <w:t xml:space="preserve"> </w:t>
            </w:r>
            <w:r w:rsidR="00294FDC" w:rsidRPr="00294FDC">
              <w:rPr>
                <w:color w:val="000000"/>
                <w:highlight w:val="black"/>
              </w:rPr>
              <w:t>x</w:t>
            </w:r>
            <w:r w:rsidR="00484142">
              <w:rPr>
                <w:color w:val="000000"/>
                <w:highlight w:val="black"/>
              </w:rPr>
              <w:t xml:space="preserve"> </w:t>
            </w:r>
            <w:r w:rsidR="00294FDC" w:rsidRPr="00294FDC">
              <w:rPr>
                <w:color w:val="000000"/>
                <w:highlight w:val="black"/>
              </w:rPr>
              <w:t>xxxxxxxxxxx</w:t>
            </w:r>
            <w:r w:rsidR="00484142">
              <w:rPr>
                <w:color w:val="000000"/>
                <w:highlight w:val="black"/>
              </w:rPr>
              <w:t xml:space="preserve"> </w:t>
            </w:r>
            <w:r w:rsidR="00294FDC" w:rsidRPr="00294FDC">
              <w:rPr>
                <w:color w:val="000000"/>
                <w:highlight w:val="black"/>
              </w:rPr>
              <w:t>xxxx</w:t>
            </w:r>
            <w:r w:rsidR="00484142">
              <w:rPr>
                <w:color w:val="000000"/>
                <w:highlight w:val="black"/>
              </w:rPr>
              <w:t xml:space="preserve"> </w:t>
            </w:r>
            <w:r w:rsidR="00294FDC" w:rsidRPr="00294FDC">
              <w:rPr>
                <w:color w:val="000000"/>
                <w:highlight w:val="black"/>
              </w:rPr>
              <w:t>xxxxxx</w:t>
            </w:r>
            <w:r w:rsidR="00484142">
              <w:rPr>
                <w:color w:val="000000"/>
                <w:highlight w:val="black"/>
              </w:rPr>
              <w:t xml:space="preserve"> </w:t>
            </w:r>
            <w:r w:rsidR="00294FDC" w:rsidRPr="00294FDC">
              <w:rPr>
                <w:color w:val="000000"/>
                <w:highlight w:val="black"/>
              </w:rPr>
              <w:t>xxxxxxx</w:t>
            </w:r>
            <w:r w:rsidR="00484142">
              <w:rPr>
                <w:color w:val="000000"/>
                <w:highlight w:val="black"/>
              </w:rPr>
              <w:t xml:space="preserve"> </w:t>
            </w:r>
            <w:r w:rsidR="00294FDC" w:rsidRPr="00294FDC">
              <w:rPr>
                <w:color w:val="000000"/>
                <w:highlight w:val="black"/>
              </w:rPr>
              <w:t>xxx</w:t>
            </w:r>
          </w:p>
          <w:p w14:paraId="5E19D8D7" w14:textId="00D7120A" w:rsidR="000B148D" w:rsidRPr="00756252" w:rsidRDefault="000B148D" w:rsidP="00954359">
            <w:pPr>
              <w:pStyle w:val="Tablebody"/>
              <w:numPr>
                <w:ilvl w:val="0"/>
                <w:numId w:val="11"/>
              </w:numPr>
              <w:spacing w:after="0"/>
            </w:pPr>
            <w:r w:rsidRPr="00756252">
              <w:t>Changes from baseline in EORTC QLQ</w:t>
            </w:r>
            <w:r w:rsidRPr="00756252">
              <w:noBreakHyphen/>
              <w:t xml:space="preserve">BR45 were assessed using a </w:t>
            </w:r>
            <w:r w:rsidR="00294FDC" w:rsidRPr="00294FDC">
              <w:rPr>
                <w:color w:val="000000"/>
                <w:highlight w:val="black"/>
              </w:rPr>
              <w:t>xxxxxxxxxxx</w:t>
            </w:r>
            <w:r w:rsidR="00675564">
              <w:rPr>
                <w:color w:val="000000"/>
                <w:highlight w:val="black"/>
              </w:rPr>
              <w:t xml:space="preserve"> </w:t>
            </w:r>
            <w:r w:rsidR="00294FDC" w:rsidRPr="00294FDC">
              <w:rPr>
                <w:color w:val="000000"/>
                <w:highlight w:val="black"/>
              </w:rPr>
              <w:t>xxxx</w:t>
            </w:r>
            <w:r w:rsidR="00675564">
              <w:rPr>
                <w:color w:val="000000"/>
                <w:highlight w:val="black"/>
              </w:rPr>
              <w:t xml:space="preserve"> </w:t>
            </w:r>
            <w:r w:rsidR="00294FDC" w:rsidRPr="00294FDC">
              <w:rPr>
                <w:color w:val="000000"/>
                <w:highlight w:val="black"/>
              </w:rPr>
              <w:t>xxxxxxxxxxxxxxxxxxxxxxxxxxxxxxxx</w:t>
            </w:r>
            <w:r w:rsidRPr="00756252">
              <w:t>, and the descriptive p-values, differences in least square means, and the corresponding two</w:t>
            </w:r>
            <w:r w:rsidRPr="00756252">
              <w:noBreakHyphen/>
              <w:t xml:space="preserve">sided 95% CI was calculated. Time to definitive deterioration on the ‘breast symptoms’ and ‘arm symptoms’ subscales was assessed using the </w:t>
            </w:r>
            <w:r w:rsidR="00294FDC" w:rsidRPr="00294FDC">
              <w:rPr>
                <w:color w:val="000000"/>
                <w:highlight w:val="black"/>
              </w:rPr>
              <w:t>xxxxxxxxxxxxxxxx</w:t>
            </w:r>
            <w:r w:rsidR="00484142">
              <w:rPr>
                <w:color w:val="000000"/>
                <w:highlight w:val="black"/>
              </w:rPr>
              <w:t xml:space="preserve"> </w:t>
            </w:r>
            <w:r w:rsidR="00294FDC" w:rsidRPr="00294FDC">
              <w:rPr>
                <w:color w:val="000000"/>
                <w:highlight w:val="black"/>
              </w:rPr>
              <w:t>xxx</w:t>
            </w:r>
            <w:r w:rsidR="00484142">
              <w:rPr>
                <w:color w:val="000000"/>
                <w:highlight w:val="black"/>
              </w:rPr>
              <w:t xml:space="preserve"> </w:t>
            </w:r>
            <w:r w:rsidR="00294FDC" w:rsidRPr="00294FDC">
              <w:rPr>
                <w:color w:val="000000"/>
                <w:highlight w:val="black"/>
              </w:rPr>
              <w:t>xxxxxxxxx</w:t>
            </w:r>
            <w:r w:rsidR="00484142">
              <w:rPr>
                <w:color w:val="000000"/>
                <w:highlight w:val="black"/>
              </w:rPr>
              <w:t xml:space="preserve"> </w:t>
            </w:r>
            <w:r w:rsidR="00294FDC" w:rsidRPr="00294FDC">
              <w:rPr>
                <w:color w:val="000000"/>
                <w:highlight w:val="black"/>
              </w:rPr>
              <w:t>xxxxxx</w:t>
            </w:r>
            <w:r w:rsidR="00484142">
              <w:rPr>
                <w:color w:val="000000"/>
                <w:highlight w:val="black"/>
              </w:rPr>
              <w:t xml:space="preserve"> </w:t>
            </w:r>
            <w:r w:rsidR="00294FDC" w:rsidRPr="00294FDC">
              <w:rPr>
                <w:color w:val="000000"/>
                <w:highlight w:val="black"/>
              </w:rPr>
              <w:t>xxxxxxxxxxxxxxxxxxxxxxxxxxxxxxx</w:t>
            </w:r>
            <w:r w:rsidRPr="00756252">
              <w:t xml:space="preserve">. The survival distributions of time to definition deterioration were estimated by the </w:t>
            </w:r>
            <w:r w:rsidR="00294FDC" w:rsidRPr="00294FDC">
              <w:rPr>
                <w:color w:val="000000"/>
                <w:highlight w:val="black"/>
              </w:rPr>
              <w:t>xxxxxxxxxxxxx</w:t>
            </w:r>
            <w:r w:rsidR="00675564">
              <w:rPr>
                <w:color w:val="000000"/>
                <w:highlight w:val="black"/>
              </w:rPr>
              <w:t xml:space="preserve"> </w:t>
            </w:r>
            <w:r w:rsidR="00294FDC" w:rsidRPr="00294FDC">
              <w:rPr>
                <w:color w:val="000000"/>
                <w:highlight w:val="black"/>
              </w:rPr>
              <w:t>xxxx</w:t>
            </w:r>
            <w:r w:rsidR="00484142">
              <w:rPr>
                <w:color w:val="000000"/>
                <w:highlight w:val="black"/>
              </w:rPr>
              <w:t xml:space="preserve"> </w:t>
            </w:r>
            <w:r w:rsidR="00294FDC" w:rsidRPr="00294FDC">
              <w:rPr>
                <w:color w:val="000000"/>
                <w:highlight w:val="black"/>
              </w:rPr>
              <w:t>xxxxxxxxxxxxx</w:t>
            </w:r>
            <w:r w:rsidR="00484142">
              <w:rPr>
                <w:color w:val="000000"/>
                <w:highlight w:val="black"/>
              </w:rPr>
              <w:t xml:space="preserve"> </w:t>
            </w:r>
            <w:r w:rsidR="00294FDC" w:rsidRPr="00294FDC">
              <w:rPr>
                <w:color w:val="000000"/>
                <w:highlight w:val="black"/>
              </w:rPr>
              <w:t>xxxxxxxxxxxxxxxxxx</w:t>
            </w:r>
            <w:r w:rsidR="00484142">
              <w:rPr>
                <w:color w:val="000000"/>
                <w:highlight w:val="black"/>
              </w:rPr>
              <w:t xml:space="preserve"> </w:t>
            </w:r>
            <w:r w:rsidR="00294FDC" w:rsidRPr="00294FDC">
              <w:rPr>
                <w:color w:val="000000"/>
                <w:highlight w:val="black"/>
              </w:rPr>
              <w:t>xxxxxx</w:t>
            </w:r>
            <w:r w:rsidR="00484142">
              <w:rPr>
                <w:color w:val="000000"/>
                <w:highlight w:val="black"/>
              </w:rPr>
              <w:t xml:space="preserve"> </w:t>
            </w:r>
            <w:r w:rsidR="00294FDC" w:rsidRPr="00294FDC">
              <w:rPr>
                <w:color w:val="000000"/>
                <w:highlight w:val="black"/>
              </w:rPr>
              <w:t>xxxx</w:t>
            </w:r>
            <w:r w:rsidR="00484142">
              <w:rPr>
                <w:color w:val="000000"/>
                <w:highlight w:val="black"/>
              </w:rPr>
              <w:t xml:space="preserve"> </w:t>
            </w:r>
            <w:r w:rsidR="00294FDC" w:rsidRPr="00294FDC">
              <w:rPr>
                <w:color w:val="000000"/>
                <w:highlight w:val="black"/>
              </w:rPr>
              <w:t>xxx</w:t>
            </w:r>
            <w:r w:rsidR="00484142">
              <w:rPr>
                <w:color w:val="000000"/>
                <w:highlight w:val="black"/>
              </w:rPr>
              <w:t xml:space="preserve"> </w:t>
            </w:r>
            <w:r w:rsidR="00294FDC" w:rsidRPr="00294FDC">
              <w:rPr>
                <w:color w:val="000000"/>
                <w:highlight w:val="black"/>
              </w:rPr>
              <w:t>xx</w:t>
            </w:r>
            <w:r w:rsidR="00484142">
              <w:rPr>
                <w:color w:val="000000"/>
                <w:highlight w:val="black"/>
              </w:rPr>
              <w:t xml:space="preserve"> </w:t>
            </w:r>
            <w:r w:rsidR="00294FDC" w:rsidRPr="00294FDC">
              <w:rPr>
                <w:color w:val="000000"/>
                <w:highlight w:val="black"/>
              </w:rPr>
              <w:t>xxxxxxxxx</w:t>
            </w:r>
            <w:r w:rsidR="00675564">
              <w:rPr>
                <w:color w:val="000000"/>
                <w:highlight w:val="black"/>
              </w:rPr>
              <w:t xml:space="preserve"> </w:t>
            </w:r>
            <w:r w:rsidR="00484142">
              <w:rPr>
                <w:color w:val="000000"/>
                <w:highlight w:val="black"/>
              </w:rPr>
              <w:t xml:space="preserve"> </w:t>
            </w:r>
            <w:r w:rsidR="00294FDC" w:rsidRPr="00294FDC">
              <w:rPr>
                <w:color w:val="000000"/>
                <w:highlight w:val="black"/>
              </w:rPr>
              <w:t>xxxxxxxxxxxxxxxxxxx</w:t>
            </w:r>
            <w:r w:rsidR="00484142">
              <w:rPr>
                <w:color w:val="000000"/>
                <w:highlight w:val="black"/>
              </w:rPr>
              <w:t xml:space="preserve"> </w:t>
            </w:r>
            <w:r w:rsidR="00294FDC" w:rsidRPr="00294FDC">
              <w:rPr>
                <w:color w:val="000000"/>
                <w:highlight w:val="black"/>
              </w:rPr>
              <w:t>xxxxxxxxxxxxxx</w:t>
            </w:r>
            <w:r w:rsidR="00484142">
              <w:rPr>
                <w:color w:val="000000"/>
                <w:highlight w:val="black"/>
              </w:rPr>
              <w:t xml:space="preserve"> </w:t>
            </w:r>
            <w:r w:rsidR="00294FDC" w:rsidRPr="00294FDC">
              <w:rPr>
                <w:color w:val="000000"/>
                <w:highlight w:val="black"/>
              </w:rPr>
              <w:t>xxxxxxxxxxxxxxxxx</w:t>
            </w:r>
          </w:p>
          <w:p w14:paraId="20A0A4C5" w14:textId="2F39FE1D" w:rsidR="000B148D" w:rsidRPr="00756252" w:rsidRDefault="000B148D">
            <w:pPr>
              <w:pStyle w:val="Tablebody"/>
            </w:pPr>
            <w:r w:rsidRPr="00756252">
              <w:rPr>
                <w:b/>
                <w:bCs/>
              </w:rPr>
              <w:t>Subgroup analysis of PFS by BICR</w:t>
            </w:r>
            <w:r w:rsidRPr="00756252">
              <w:t xml:space="preserve"> was carried out on all pre-specified patient subgroups (detailed in Section </w:t>
            </w:r>
            <w:r w:rsidRPr="00756252">
              <w:fldChar w:fldCharType="begin"/>
            </w:r>
            <w:r w:rsidRPr="00756252">
              <w:instrText xml:space="preserve"> REF _Ref92393658 \r \h  \* MERGEFORMAT </w:instrText>
            </w:r>
            <w:r w:rsidRPr="00756252">
              <w:fldChar w:fldCharType="separate"/>
            </w:r>
            <w:r w:rsidR="00145F42">
              <w:t>B.2.7</w:t>
            </w:r>
            <w:r w:rsidRPr="00756252">
              <w:fldChar w:fldCharType="end"/>
            </w:r>
            <w:r w:rsidRPr="00756252">
              <w:t xml:space="preserve">) that had </w:t>
            </w:r>
            <w:r w:rsidR="00294FDC" w:rsidRPr="00294FDC">
              <w:rPr>
                <w:color w:val="000000"/>
                <w:highlight w:val="black"/>
              </w:rPr>
              <w:t>xxx</w:t>
            </w:r>
            <w:r w:rsidRPr="00756252">
              <w:t xml:space="preserve"> PFS events in both treatment arms. </w:t>
            </w:r>
            <w:r w:rsidR="00675564" w:rsidRPr="00294FDC">
              <w:rPr>
                <w:color w:val="000000"/>
                <w:highlight w:val="black"/>
              </w:rPr>
              <w:t>X</w:t>
            </w:r>
            <w:r w:rsidR="00294FDC" w:rsidRPr="00294FDC">
              <w:rPr>
                <w:color w:val="000000"/>
                <w:highlight w:val="black"/>
              </w:rPr>
              <w:t>xxxxxxxxxx</w:t>
            </w:r>
            <w:r w:rsidR="00675564">
              <w:rPr>
                <w:color w:val="000000"/>
                <w:highlight w:val="black"/>
              </w:rPr>
              <w:t xml:space="preserve"> </w:t>
            </w:r>
            <w:r w:rsidR="00294FDC" w:rsidRPr="00294FDC">
              <w:rPr>
                <w:color w:val="000000"/>
                <w:highlight w:val="black"/>
              </w:rPr>
              <w:t>xxxxxxxxxxxxxxxxxxxxxxxxxxx</w:t>
            </w:r>
            <w:r w:rsidR="00675564">
              <w:rPr>
                <w:color w:val="000000"/>
                <w:highlight w:val="black"/>
              </w:rPr>
              <w:t xml:space="preserve"> </w:t>
            </w:r>
            <w:r w:rsidR="00294FDC" w:rsidRPr="00294FDC">
              <w:rPr>
                <w:color w:val="000000"/>
                <w:highlight w:val="black"/>
              </w:rPr>
              <w:t>xxxxxx</w:t>
            </w:r>
            <w:r w:rsidR="00484142">
              <w:rPr>
                <w:color w:val="000000"/>
                <w:highlight w:val="black"/>
              </w:rPr>
              <w:t xml:space="preserve"> </w:t>
            </w:r>
            <w:r w:rsidR="00294FDC" w:rsidRPr="00294FDC">
              <w:rPr>
                <w:color w:val="000000"/>
                <w:highlight w:val="black"/>
              </w:rPr>
              <w:t>xxxx</w:t>
            </w:r>
            <w:r w:rsidR="00484142">
              <w:rPr>
                <w:color w:val="000000"/>
                <w:highlight w:val="black"/>
              </w:rPr>
              <w:t xml:space="preserve"> </w:t>
            </w:r>
            <w:r w:rsidR="00294FDC" w:rsidRPr="00294FDC">
              <w:rPr>
                <w:color w:val="000000"/>
                <w:highlight w:val="black"/>
              </w:rPr>
              <w:t>xx</w:t>
            </w:r>
            <w:r w:rsidR="00484142">
              <w:rPr>
                <w:color w:val="000000"/>
                <w:highlight w:val="black"/>
              </w:rPr>
              <w:t xml:space="preserve"> </w:t>
            </w:r>
            <w:r w:rsidR="00294FDC" w:rsidRPr="00294FDC">
              <w:rPr>
                <w:color w:val="000000"/>
                <w:highlight w:val="black"/>
              </w:rPr>
              <w:t>xxxxxxx</w:t>
            </w:r>
            <w:r w:rsidR="00675564">
              <w:rPr>
                <w:color w:val="000000"/>
                <w:highlight w:val="black"/>
              </w:rPr>
              <w:t xml:space="preserve"> </w:t>
            </w:r>
            <w:r w:rsidR="00294FDC" w:rsidRPr="00294FDC">
              <w:rPr>
                <w:color w:val="000000"/>
                <w:highlight w:val="black"/>
              </w:rPr>
              <w:t>xxx</w:t>
            </w:r>
            <w:r w:rsidR="00484142">
              <w:rPr>
                <w:color w:val="000000"/>
                <w:highlight w:val="black"/>
              </w:rPr>
              <w:t xml:space="preserve"> </w:t>
            </w:r>
            <w:r w:rsidR="00294FDC" w:rsidRPr="00294FDC">
              <w:rPr>
                <w:color w:val="000000"/>
                <w:highlight w:val="black"/>
              </w:rPr>
              <w:t>xxxxxxxxxxxx</w:t>
            </w:r>
            <w:r w:rsidR="00675564">
              <w:rPr>
                <w:color w:val="000000"/>
                <w:highlight w:val="black"/>
              </w:rPr>
              <w:t xml:space="preserve"> </w:t>
            </w:r>
            <w:r w:rsidR="00294FDC" w:rsidRPr="00294FDC">
              <w:rPr>
                <w:color w:val="000000"/>
                <w:highlight w:val="black"/>
              </w:rPr>
              <w:t>xxxxxxxxxx</w:t>
            </w:r>
            <w:r w:rsidR="00675564">
              <w:rPr>
                <w:color w:val="000000"/>
                <w:highlight w:val="black"/>
              </w:rPr>
              <w:t xml:space="preserve"> </w:t>
            </w:r>
            <w:r w:rsidR="00294FDC" w:rsidRPr="00294FDC">
              <w:rPr>
                <w:color w:val="000000"/>
                <w:highlight w:val="black"/>
              </w:rPr>
              <w:t>xxxxxxxxxxxx</w:t>
            </w:r>
            <w:r w:rsidR="00484142">
              <w:rPr>
                <w:color w:val="000000"/>
                <w:highlight w:val="black"/>
              </w:rPr>
              <w:t xml:space="preserve"> </w:t>
            </w:r>
            <w:r w:rsidR="00294FDC" w:rsidRPr="00294FDC">
              <w:rPr>
                <w:color w:val="000000"/>
                <w:highlight w:val="black"/>
              </w:rPr>
              <w:t>xxxxxxxx</w:t>
            </w:r>
            <w:r w:rsidR="00484142">
              <w:rPr>
                <w:color w:val="000000"/>
                <w:highlight w:val="black"/>
              </w:rPr>
              <w:t xml:space="preserve"> </w:t>
            </w:r>
            <w:r w:rsidR="00294FDC" w:rsidRPr="00294FDC">
              <w:rPr>
                <w:color w:val="000000"/>
                <w:highlight w:val="black"/>
              </w:rPr>
              <w:t>xxxxx</w:t>
            </w:r>
            <w:r w:rsidR="00484142">
              <w:rPr>
                <w:color w:val="000000"/>
                <w:highlight w:val="black"/>
              </w:rPr>
              <w:t xml:space="preserve"> </w:t>
            </w:r>
            <w:r w:rsidR="00294FDC" w:rsidRPr="00294FDC">
              <w:rPr>
                <w:color w:val="000000"/>
                <w:highlight w:val="black"/>
              </w:rPr>
              <w:t>xxxx</w:t>
            </w:r>
            <w:r w:rsidR="00675564">
              <w:rPr>
                <w:color w:val="000000"/>
                <w:highlight w:val="black"/>
              </w:rPr>
              <w:t xml:space="preserve"> </w:t>
            </w:r>
            <w:r w:rsidR="00294FDC" w:rsidRPr="00294FDC">
              <w:rPr>
                <w:color w:val="000000"/>
                <w:highlight w:val="black"/>
              </w:rPr>
              <w:t>xxxx</w:t>
            </w:r>
            <w:r w:rsidR="00484142">
              <w:rPr>
                <w:color w:val="000000"/>
                <w:highlight w:val="black"/>
              </w:rPr>
              <w:t xml:space="preserve"> </w:t>
            </w:r>
            <w:r w:rsidR="00294FDC" w:rsidRPr="00294FDC">
              <w:rPr>
                <w:color w:val="000000"/>
                <w:highlight w:val="black"/>
              </w:rPr>
              <w:t>xxxxxxxxxxx</w:t>
            </w:r>
            <w:r w:rsidR="00675564">
              <w:rPr>
                <w:color w:val="000000"/>
                <w:highlight w:val="black"/>
              </w:rPr>
              <w:t xml:space="preserve"> </w:t>
            </w:r>
            <w:r w:rsidR="00294FDC" w:rsidRPr="00294FDC">
              <w:rPr>
                <w:color w:val="000000"/>
                <w:highlight w:val="black"/>
              </w:rPr>
              <w:t>xxxxxxxxxxxxxxxxxxxxxxxxxx</w:t>
            </w:r>
            <w:r w:rsidR="00675564">
              <w:rPr>
                <w:color w:val="000000"/>
                <w:highlight w:val="black"/>
              </w:rPr>
              <w:t xml:space="preserve"> </w:t>
            </w:r>
            <w:r w:rsidR="00294FDC" w:rsidRPr="00294FDC">
              <w:rPr>
                <w:color w:val="000000"/>
                <w:highlight w:val="black"/>
              </w:rPr>
              <w:t>xxxx</w:t>
            </w:r>
            <w:r w:rsidRPr="00756252">
              <w:t>.</w:t>
            </w:r>
          </w:p>
        </w:tc>
      </w:tr>
      <w:tr w:rsidR="000B148D" w:rsidRPr="00756252" w14:paraId="6D53D82C" w14:textId="77777777" w:rsidTr="00484142">
        <w:tc>
          <w:tcPr>
            <w:tcW w:w="1177" w:type="pct"/>
            <w:shd w:val="clear" w:color="auto" w:fill="D9D9D9" w:themeFill="background1" w:themeFillShade="D9"/>
          </w:tcPr>
          <w:p w14:paraId="55BE9ABD" w14:textId="77777777" w:rsidR="000B148D" w:rsidRPr="00756252" w:rsidRDefault="000B148D">
            <w:pPr>
              <w:pStyle w:val="Tableheading"/>
            </w:pPr>
            <w:r w:rsidRPr="00756252">
              <w:lastRenderedPageBreak/>
              <w:t>Sample size, power calculation</w:t>
            </w:r>
          </w:p>
        </w:tc>
        <w:tc>
          <w:tcPr>
            <w:tcW w:w="3823" w:type="pct"/>
          </w:tcPr>
          <w:p w14:paraId="0C4325EC" w14:textId="06081EF5" w:rsidR="000B148D" w:rsidRPr="00756252" w:rsidRDefault="000B148D">
            <w:pPr>
              <w:pStyle w:val="Tablebody"/>
            </w:pPr>
            <w:r w:rsidRPr="00756252">
              <w:t xml:space="preserve">The study was planned with a group sequential design, with a three-look Lan-DeMets alpha spending function and an </w:t>
            </w:r>
            <w:r w:rsidR="00294FDC" w:rsidRPr="00294FDC">
              <w:rPr>
                <w:color w:val="000000"/>
                <w:highlight w:val="black"/>
              </w:rPr>
              <w:t>xxxxxxxxxxxxxxxxx</w:t>
            </w:r>
            <w:r w:rsidR="00484142">
              <w:rPr>
                <w:color w:val="000000"/>
                <w:highlight w:val="black"/>
              </w:rPr>
              <w:t xml:space="preserve"> </w:t>
            </w:r>
            <w:r w:rsidR="00294FDC" w:rsidRPr="00294FDC">
              <w:rPr>
                <w:color w:val="000000"/>
                <w:highlight w:val="black"/>
              </w:rPr>
              <w:t>xxxxxxxx</w:t>
            </w:r>
            <w:r w:rsidR="00484142">
              <w:rPr>
                <w:color w:val="000000"/>
                <w:highlight w:val="black"/>
              </w:rPr>
              <w:t xml:space="preserve"> </w:t>
            </w:r>
            <w:r w:rsidR="00294FDC" w:rsidRPr="00294FDC">
              <w:rPr>
                <w:color w:val="000000"/>
                <w:highlight w:val="black"/>
              </w:rPr>
              <w:t>xxxx</w:t>
            </w:r>
            <w:r w:rsidR="00484142">
              <w:rPr>
                <w:color w:val="000000"/>
                <w:highlight w:val="black"/>
              </w:rPr>
              <w:t xml:space="preserve"> </w:t>
            </w:r>
            <w:r w:rsidR="00294FDC" w:rsidRPr="00294FDC">
              <w:rPr>
                <w:color w:val="000000"/>
                <w:highlight w:val="black"/>
              </w:rPr>
              <w:t>xx</w:t>
            </w:r>
            <w:r w:rsidR="00484142">
              <w:rPr>
                <w:color w:val="000000"/>
                <w:highlight w:val="black"/>
              </w:rPr>
              <w:t xml:space="preserve"> </w:t>
            </w:r>
            <w:r w:rsidR="00294FDC" w:rsidRPr="00294FDC">
              <w:rPr>
                <w:color w:val="000000"/>
                <w:highlight w:val="black"/>
              </w:rPr>
              <w:t>xxxxxxx</w:t>
            </w:r>
            <w:r w:rsidRPr="00756252">
              <w:t xml:space="preserve">. In the HR-positive, it was hypothesised that treatment with T-DXd would result in an HR of 0.68, a 32% reduction in the hazard rate of PFS (disease progression or death), which would correspond to a 47% improvement in median PFS from </w:t>
            </w:r>
            <w:r w:rsidR="00294FDC" w:rsidRPr="00294FDC">
              <w:rPr>
                <w:color w:val="000000"/>
                <w:highlight w:val="black"/>
              </w:rPr>
              <w:t>xxx</w:t>
            </w:r>
            <w:r w:rsidRPr="00756252">
              <w:t xml:space="preserve"> months in the TPC arm to </w:t>
            </w:r>
            <w:r w:rsidR="00294FDC" w:rsidRPr="00294FDC">
              <w:rPr>
                <w:color w:val="000000"/>
                <w:highlight w:val="black"/>
              </w:rPr>
              <w:t>xxx</w:t>
            </w:r>
            <w:r w:rsidRPr="00756252">
              <w:t xml:space="preserve"> months in the T-DXd arm under the </w:t>
            </w:r>
            <w:r w:rsidR="00294FDC" w:rsidRPr="00294FDC">
              <w:rPr>
                <w:color w:val="000000"/>
                <w:highlight w:val="black"/>
              </w:rPr>
              <w:t>xxxxxxxxxxxxxxxxxxxxxxxxxxxx</w:t>
            </w:r>
            <w:r w:rsidRPr="00756252">
              <w:t>.</w:t>
            </w:r>
          </w:p>
          <w:p w14:paraId="0712795F" w14:textId="757DD5BC" w:rsidR="000B148D" w:rsidRPr="00756252" w:rsidRDefault="000B148D">
            <w:pPr>
              <w:pStyle w:val="Tablebody"/>
            </w:pPr>
            <w:r w:rsidRPr="00756252">
              <w:t>Approximately 480 patients, with HR-positive BC, were planned for randomisation (320 patients to T-DXd and 160 patients to TPC). In addition, 60 patients, with HR-</w:t>
            </w:r>
            <w:r w:rsidR="00C814FD">
              <w:t>negative</w:t>
            </w:r>
            <w:r w:rsidRPr="00756252">
              <w:t xml:space="preserve"> BC, were also planned for randomisation (40 to T-DXd and 20 to TPC). The </w:t>
            </w:r>
            <w:r>
              <w:t>primary</w:t>
            </w:r>
            <w:r w:rsidRPr="00756252">
              <w:t xml:space="preserve"> PFS analysis in the HR-positive was to occur after approximately </w:t>
            </w:r>
            <w:r w:rsidR="00F77ABC" w:rsidRPr="00F77ABC">
              <w:rPr>
                <w:color w:val="000000"/>
                <w:highlight w:val="black"/>
              </w:rPr>
              <w:t>xxx</w:t>
            </w:r>
            <w:r w:rsidRPr="00756252">
              <w:t xml:space="preserve"> PFS events were documented. With </w:t>
            </w:r>
            <w:r w:rsidR="00F77ABC" w:rsidRPr="00F77ABC">
              <w:rPr>
                <w:color w:val="000000"/>
                <w:highlight w:val="black"/>
              </w:rPr>
              <w:t>xxx</w:t>
            </w:r>
            <w:r w:rsidRPr="00756252">
              <w:t xml:space="preserve"> PFS events in approximately 480 patients, the study had approximately </w:t>
            </w:r>
            <w:r w:rsidR="00F77ABC" w:rsidRPr="00F77ABC">
              <w:rPr>
                <w:color w:val="000000"/>
                <w:highlight w:val="black"/>
              </w:rPr>
              <w:t>xx</w:t>
            </w:r>
            <w:r w:rsidRPr="00756252">
              <w:t xml:space="preserve">% power to detect an HR of 0.68 in PFS at an overall two-sided significance level of 0.05 to reject the null hypothesis </w:t>
            </w:r>
            <w:r w:rsidRPr="002D46A8">
              <w:t xml:space="preserve">of no difference in PFS distributions </w:t>
            </w:r>
            <w:r w:rsidRPr="00756252">
              <w:t xml:space="preserve">(HR=1) using a log-rank test and a </w:t>
            </w:r>
            <w:r w:rsidR="00294FDC" w:rsidRPr="00294FDC">
              <w:rPr>
                <w:color w:val="000000"/>
                <w:highlight w:val="black"/>
              </w:rPr>
              <w:t>xxxxxxx</w:t>
            </w:r>
            <w:r w:rsidR="00B749F5">
              <w:rPr>
                <w:color w:val="000000"/>
                <w:highlight w:val="black"/>
              </w:rPr>
              <w:t xml:space="preserve"> </w:t>
            </w:r>
            <w:r w:rsidR="00294FDC" w:rsidRPr="00294FDC">
              <w:rPr>
                <w:color w:val="000000"/>
                <w:highlight w:val="black"/>
              </w:rPr>
              <w:t>xxxxxx</w:t>
            </w:r>
            <w:r w:rsidR="00675564">
              <w:rPr>
                <w:color w:val="000000"/>
                <w:highlight w:val="black"/>
              </w:rPr>
              <w:t xml:space="preserve"> </w:t>
            </w:r>
            <w:r w:rsidR="00294FDC" w:rsidRPr="00294FDC">
              <w:rPr>
                <w:color w:val="000000"/>
                <w:highlight w:val="black"/>
              </w:rPr>
              <w:t>xxxxxxxx</w:t>
            </w:r>
            <w:r w:rsidR="00675564">
              <w:rPr>
                <w:color w:val="000000"/>
                <w:highlight w:val="black"/>
              </w:rPr>
              <w:t xml:space="preserve"> </w:t>
            </w:r>
            <w:r w:rsidR="00294FDC" w:rsidRPr="00294FDC">
              <w:rPr>
                <w:color w:val="000000"/>
                <w:highlight w:val="black"/>
              </w:rPr>
              <w:t>xxxxxx</w:t>
            </w:r>
            <w:r w:rsidR="00675564">
              <w:rPr>
                <w:color w:val="000000"/>
                <w:highlight w:val="black"/>
              </w:rPr>
              <w:t xml:space="preserve"> </w:t>
            </w:r>
            <w:r w:rsidR="00294FDC" w:rsidRPr="00294FDC">
              <w:rPr>
                <w:color w:val="000000"/>
                <w:highlight w:val="black"/>
              </w:rPr>
              <w:t>xxxxxxxxxx</w:t>
            </w:r>
            <w:r w:rsidR="00484142">
              <w:rPr>
                <w:color w:val="000000"/>
                <w:highlight w:val="black"/>
              </w:rPr>
              <w:t xml:space="preserve">  </w:t>
            </w:r>
            <w:r w:rsidR="00294FDC" w:rsidRPr="00294FDC">
              <w:rPr>
                <w:color w:val="000000"/>
                <w:highlight w:val="black"/>
              </w:rPr>
              <w:t>xxxxxxxxxx</w:t>
            </w:r>
            <w:r w:rsidR="00484142">
              <w:rPr>
                <w:color w:val="000000"/>
                <w:highlight w:val="black"/>
              </w:rPr>
              <w:t xml:space="preserve"> </w:t>
            </w:r>
            <w:r w:rsidR="00294FDC" w:rsidRPr="00294FDC">
              <w:rPr>
                <w:color w:val="000000"/>
                <w:highlight w:val="black"/>
              </w:rPr>
              <w:t>xxxxxxxxxx</w:t>
            </w:r>
            <w:r w:rsidR="00484142">
              <w:rPr>
                <w:color w:val="000000"/>
                <w:highlight w:val="black"/>
              </w:rPr>
              <w:t xml:space="preserve"> </w:t>
            </w:r>
            <w:r w:rsidR="00294FDC" w:rsidRPr="00294FDC">
              <w:rPr>
                <w:color w:val="000000"/>
                <w:highlight w:val="black"/>
              </w:rPr>
              <w:t>xxxx</w:t>
            </w:r>
            <w:r w:rsidR="00484142">
              <w:rPr>
                <w:color w:val="000000"/>
                <w:highlight w:val="black"/>
              </w:rPr>
              <w:t xml:space="preserve"> </w:t>
            </w:r>
            <w:r w:rsidR="00294FDC" w:rsidRPr="00294FDC">
              <w:rPr>
                <w:color w:val="000000"/>
                <w:highlight w:val="black"/>
              </w:rPr>
              <w:t>xx</w:t>
            </w:r>
            <w:r w:rsidR="00484142">
              <w:rPr>
                <w:color w:val="000000"/>
                <w:highlight w:val="black"/>
              </w:rPr>
              <w:t xml:space="preserve"> </w:t>
            </w:r>
            <w:r w:rsidR="00294FDC" w:rsidRPr="00294FDC">
              <w:rPr>
                <w:color w:val="000000"/>
                <w:highlight w:val="black"/>
              </w:rPr>
              <w:t>xxxxx</w:t>
            </w:r>
            <w:r w:rsidRPr="00756252">
              <w:t>. The sample size computation was performed using the EAST v6.4.43</w:t>
            </w:r>
          </w:p>
          <w:p w14:paraId="6AC6F28C" w14:textId="41766B09" w:rsidR="000B148D" w:rsidRPr="00756252" w:rsidRDefault="000B148D">
            <w:pPr>
              <w:rPr>
                <w:sz w:val="20"/>
                <w:szCs w:val="20"/>
              </w:rPr>
            </w:pPr>
            <w:r w:rsidRPr="00756252">
              <w:rPr>
                <w:sz w:val="20"/>
                <w:szCs w:val="20"/>
              </w:rPr>
              <w:t xml:space="preserve">Conditional on PFS being significant, a total of </w:t>
            </w:r>
            <w:r w:rsidR="00F77ABC" w:rsidRPr="00F77ABC">
              <w:rPr>
                <w:color w:val="000000"/>
                <w:sz w:val="20"/>
                <w:szCs w:val="20"/>
                <w:highlight w:val="black"/>
              </w:rPr>
              <w:t>xxx</w:t>
            </w:r>
            <w:r w:rsidRPr="00756252">
              <w:rPr>
                <w:sz w:val="20"/>
                <w:szCs w:val="20"/>
              </w:rPr>
              <w:t xml:space="preserve"> OS events would be needed to ensure </w:t>
            </w:r>
            <w:r w:rsidR="00F77ABC" w:rsidRPr="00F77ABC">
              <w:rPr>
                <w:color w:val="000000"/>
                <w:sz w:val="20"/>
                <w:szCs w:val="20"/>
                <w:highlight w:val="black"/>
              </w:rPr>
              <w:t>xx</w:t>
            </w:r>
            <w:r w:rsidRPr="00756252">
              <w:rPr>
                <w:sz w:val="20"/>
                <w:szCs w:val="20"/>
              </w:rPr>
              <w:t xml:space="preserve">% power of a log-rank test to reject a null hypothesis of no difference in OS distributions at an overall 2-sided significance level of 0.05 under a 3-look group sequential design with </w:t>
            </w:r>
            <w:r w:rsidR="00294FDC" w:rsidRPr="00294FDC">
              <w:rPr>
                <w:color w:val="000000"/>
                <w:sz w:val="20"/>
                <w:szCs w:val="20"/>
                <w:highlight w:val="black"/>
              </w:rPr>
              <w:t>xx</w:t>
            </w:r>
            <w:r w:rsidR="00675564">
              <w:rPr>
                <w:color w:val="000000"/>
                <w:sz w:val="20"/>
                <w:szCs w:val="20"/>
                <w:highlight w:val="black"/>
              </w:rPr>
              <w:t xml:space="preserve"> </w:t>
            </w:r>
            <w:r w:rsidR="00294FDC" w:rsidRPr="00294FDC">
              <w:rPr>
                <w:color w:val="000000"/>
                <w:sz w:val="20"/>
                <w:szCs w:val="20"/>
                <w:highlight w:val="black"/>
              </w:rPr>
              <w:t>xxxxxxxxxx</w:t>
            </w:r>
            <w:r w:rsidR="00484142">
              <w:rPr>
                <w:color w:val="000000"/>
                <w:sz w:val="20"/>
                <w:szCs w:val="20"/>
                <w:highlight w:val="black"/>
              </w:rPr>
              <w:t xml:space="preserve"> </w:t>
            </w:r>
            <w:r w:rsidR="00294FDC" w:rsidRPr="00294FDC">
              <w:rPr>
                <w:color w:val="000000"/>
                <w:sz w:val="20"/>
                <w:szCs w:val="20"/>
                <w:highlight w:val="black"/>
              </w:rPr>
              <w:t>xxxxxxxxx</w:t>
            </w:r>
            <w:r w:rsidR="00484142">
              <w:rPr>
                <w:color w:val="000000"/>
                <w:sz w:val="20"/>
                <w:szCs w:val="20"/>
                <w:highlight w:val="black"/>
              </w:rPr>
              <w:t xml:space="preserve"> </w:t>
            </w:r>
            <w:r w:rsidR="00294FDC" w:rsidRPr="00294FDC">
              <w:rPr>
                <w:color w:val="000000"/>
                <w:sz w:val="20"/>
                <w:szCs w:val="20"/>
                <w:highlight w:val="black"/>
              </w:rPr>
              <w:t>xxxxxxx</w:t>
            </w:r>
            <w:r w:rsidR="00675564">
              <w:rPr>
                <w:color w:val="000000"/>
                <w:sz w:val="20"/>
                <w:szCs w:val="20"/>
                <w:highlight w:val="black"/>
              </w:rPr>
              <w:t xml:space="preserve"> </w:t>
            </w:r>
            <w:r w:rsidR="00294FDC" w:rsidRPr="00294FDC">
              <w:rPr>
                <w:color w:val="000000"/>
                <w:sz w:val="20"/>
                <w:szCs w:val="20"/>
                <w:highlight w:val="black"/>
              </w:rPr>
              <w:t>x</w:t>
            </w:r>
            <w:r w:rsidR="00484142">
              <w:rPr>
                <w:color w:val="000000"/>
                <w:sz w:val="20"/>
                <w:szCs w:val="20"/>
                <w:highlight w:val="black"/>
              </w:rPr>
              <w:t xml:space="preserve"> </w:t>
            </w:r>
            <w:r w:rsidR="00294FDC" w:rsidRPr="00294FDC">
              <w:rPr>
                <w:color w:val="000000"/>
                <w:sz w:val="20"/>
                <w:szCs w:val="20"/>
                <w:highlight w:val="black"/>
              </w:rPr>
              <w:t>xxxxxxxxxxxxxxx</w:t>
            </w:r>
            <w:r w:rsidR="00675564">
              <w:rPr>
                <w:color w:val="000000"/>
                <w:sz w:val="20"/>
                <w:szCs w:val="20"/>
                <w:highlight w:val="black"/>
              </w:rPr>
              <w:t xml:space="preserve"> </w:t>
            </w:r>
            <w:r w:rsidR="00294FDC" w:rsidRPr="00294FDC">
              <w:rPr>
                <w:color w:val="000000"/>
                <w:sz w:val="20"/>
                <w:szCs w:val="20"/>
                <w:highlight w:val="black"/>
              </w:rPr>
              <w:t>xxxxxxxx</w:t>
            </w:r>
            <w:r w:rsidR="00675564">
              <w:rPr>
                <w:color w:val="000000"/>
                <w:sz w:val="20"/>
                <w:szCs w:val="20"/>
                <w:highlight w:val="black"/>
              </w:rPr>
              <w:t xml:space="preserve"> </w:t>
            </w:r>
            <w:r w:rsidR="00294FDC" w:rsidRPr="00294FDC">
              <w:rPr>
                <w:color w:val="000000"/>
                <w:sz w:val="20"/>
                <w:szCs w:val="20"/>
                <w:highlight w:val="black"/>
              </w:rPr>
              <w:t>xxxxxxxx</w:t>
            </w:r>
            <w:r w:rsidR="00484142">
              <w:rPr>
                <w:color w:val="000000"/>
                <w:sz w:val="20"/>
                <w:szCs w:val="20"/>
                <w:highlight w:val="black"/>
              </w:rPr>
              <w:t xml:space="preserve"> </w:t>
            </w:r>
            <w:r w:rsidR="00294FDC" w:rsidRPr="00294FDC">
              <w:rPr>
                <w:color w:val="000000"/>
                <w:sz w:val="20"/>
                <w:szCs w:val="20"/>
                <w:highlight w:val="black"/>
              </w:rPr>
              <w:t>xxxxxxx</w:t>
            </w:r>
            <w:r w:rsidR="00484142">
              <w:rPr>
                <w:color w:val="000000"/>
                <w:sz w:val="20"/>
                <w:szCs w:val="20"/>
                <w:highlight w:val="black"/>
              </w:rPr>
              <w:t xml:space="preserve"> </w:t>
            </w:r>
            <w:r w:rsidR="00294FDC" w:rsidRPr="00294FDC">
              <w:rPr>
                <w:color w:val="000000"/>
                <w:sz w:val="20"/>
                <w:szCs w:val="20"/>
                <w:highlight w:val="black"/>
              </w:rPr>
              <w:t>xxxx</w:t>
            </w:r>
            <w:r w:rsidR="00484142">
              <w:rPr>
                <w:color w:val="000000"/>
                <w:sz w:val="20"/>
                <w:szCs w:val="20"/>
                <w:highlight w:val="black"/>
              </w:rPr>
              <w:t xml:space="preserve"> </w:t>
            </w:r>
            <w:r w:rsidR="00294FDC" w:rsidRPr="00294FDC">
              <w:rPr>
                <w:color w:val="000000"/>
                <w:sz w:val="20"/>
                <w:szCs w:val="20"/>
                <w:highlight w:val="black"/>
              </w:rPr>
              <w:t>xxxxx</w:t>
            </w:r>
            <w:r w:rsidR="00484142">
              <w:rPr>
                <w:color w:val="000000"/>
                <w:sz w:val="20"/>
                <w:szCs w:val="20"/>
                <w:highlight w:val="black"/>
              </w:rPr>
              <w:t xml:space="preserve"> </w:t>
            </w:r>
            <w:r w:rsidR="00294FDC" w:rsidRPr="00294FDC">
              <w:rPr>
                <w:color w:val="000000"/>
                <w:sz w:val="20"/>
                <w:szCs w:val="20"/>
                <w:highlight w:val="black"/>
              </w:rPr>
              <w:t>xxxxx</w:t>
            </w:r>
            <w:r w:rsidR="00484142">
              <w:rPr>
                <w:color w:val="000000"/>
                <w:sz w:val="20"/>
                <w:szCs w:val="20"/>
              </w:rPr>
              <w:t xml:space="preserve"> </w:t>
            </w:r>
            <w:r w:rsidRPr="00756252">
              <w:rPr>
                <w:sz w:val="20"/>
                <w:szCs w:val="20"/>
              </w:rPr>
              <w:t xml:space="preserve">assuming a HR of 0.72. If the true HR is 0.72, it was estimated that approximately </w:t>
            </w:r>
            <w:r w:rsidR="00F77ABC" w:rsidRPr="00F77ABC">
              <w:rPr>
                <w:color w:val="000000"/>
                <w:sz w:val="20"/>
                <w:szCs w:val="20"/>
                <w:highlight w:val="black"/>
              </w:rPr>
              <w:t>xxx</w:t>
            </w:r>
            <w:r w:rsidRPr="00756252">
              <w:rPr>
                <w:sz w:val="20"/>
                <w:szCs w:val="20"/>
              </w:rPr>
              <w:t xml:space="preserve"> (</w:t>
            </w:r>
            <w:r w:rsidR="00F77ABC" w:rsidRPr="00F77ABC">
              <w:rPr>
                <w:color w:val="000000"/>
                <w:sz w:val="20"/>
                <w:szCs w:val="20"/>
                <w:highlight w:val="black"/>
              </w:rPr>
              <w:t>xx</w:t>
            </w:r>
            <w:r w:rsidRPr="00B95C72">
              <w:rPr>
                <w:sz w:val="20"/>
                <w:szCs w:val="20"/>
              </w:rPr>
              <w:t>%</w:t>
            </w:r>
            <w:r w:rsidRPr="00756252">
              <w:rPr>
                <w:sz w:val="20"/>
                <w:szCs w:val="20"/>
              </w:rPr>
              <w:t xml:space="preserve">) and </w:t>
            </w:r>
            <w:r w:rsidR="00F77ABC" w:rsidRPr="00F77ABC">
              <w:rPr>
                <w:color w:val="000000"/>
                <w:sz w:val="20"/>
                <w:szCs w:val="20"/>
                <w:highlight w:val="black"/>
              </w:rPr>
              <w:t>xxx</w:t>
            </w:r>
            <w:r w:rsidRPr="00756252">
              <w:rPr>
                <w:sz w:val="20"/>
                <w:szCs w:val="20"/>
              </w:rPr>
              <w:t xml:space="preserve"> (</w:t>
            </w:r>
            <w:r w:rsidR="00F77ABC" w:rsidRPr="00F77ABC">
              <w:rPr>
                <w:color w:val="000000"/>
                <w:sz w:val="20"/>
                <w:szCs w:val="20"/>
                <w:highlight w:val="black"/>
              </w:rPr>
              <w:t>xx</w:t>
            </w:r>
            <w:r w:rsidRPr="00756252">
              <w:rPr>
                <w:sz w:val="20"/>
                <w:szCs w:val="20"/>
              </w:rPr>
              <w:t xml:space="preserve">%) of the targeted OS events would be documented in the </w:t>
            </w:r>
            <w:r w:rsidR="005C7256">
              <w:rPr>
                <w:sz w:val="20"/>
                <w:szCs w:val="20"/>
              </w:rPr>
              <w:t>HR-positive</w:t>
            </w:r>
            <w:r w:rsidRPr="00756252">
              <w:rPr>
                <w:sz w:val="20"/>
                <w:szCs w:val="20"/>
              </w:rPr>
              <w:t xml:space="preserve"> cohort at the time of the first and second OS IAs, respectively, with the first OS IA performed at the time of the PFS </w:t>
            </w:r>
            <w:r>
              <w:rPr>
                <w:sz w:val="20"/>
                <w:szCs w:val="20"/>
              </w:rPr>
              <w:t>primary</w:t>
            </w:r>
            <w:r w:rsidRPr="00756252">
              <w:rPr>
                <w:sz w:val="20"/>
                <w:szCs w:val="20"/>
              </w:rPr>
              <w:t xml:space="preserve"> analysis. The </w:t>
            </w:r>
            <w:r>
              <w:rPr>
                <w:sz w:val="20"/>
                <w:szCs w:val="20"/>
              </w:rPr>
              <w:t>primary</w:t>
            </w:r>
            <w:r w:rsidRPr="00756252">
              <w:rPr>
                <w:sz w:val="20"/>
                <w:szCs w:val="20"/>
              </w:rPr>
              <w:t xml:space="preserve"> OS analysis was projected to occur approximately </w:t>
            </w:r>
            <w:r w:rsidR="00294FDC" w:rsidRPr="00294FDC">
              <w:rPr>
                <w:color w:val="000000"/>
                <w:sz w:val="20"/>
                <w:szCs w:val="20"/>
                <w:highlight w:val="black"/>
              </w:rPr>
              <w:t>xxxx</w:t>
            </w:r>
            <w:r w:rsidRPr="00756252">
              <w:rPr>
                <w:sz w:val="20"/>
                <w:szCs w:val="20"/>
              </w:rPr>
              <w:t xml:space="preserve"> months from the date the first subject was randomi</w:t>
            </w:r>
            <w:r>
              <w:rPr>
                <w:sz w:val="20"/>
                <w:szCs w:val="20"/>
              </w:rPr>
              <w:t>s</w:t>
            </w:r>
            <w:r w:rsidRPr="00756252">
              <w:rPr>
                <w:sz w:val="20"/>
                <w:szCs w:val="20"/>
              </w:rPr>
              <w:t xml:space="preserve">ed, when </w:t>
            </w:r>
            <w:r w:rsidR="00F77ABC" w:rsidRPr="00F77ABC">
              <w:rPr>
                <w:color w:val="000000"/>
                <w:sz w:val="20"/>
                <w:szCs w:val="20"/>
                <w:highlight w:val="black"/>
              </w:rPr>
              <w:t>xxx</w:t>
            </w:r>
            <w:r w:rsidRPr="00756252">
              <w:rPr>
                <w:sz w:val="20"/>
                <w:szCs w:val="20"/>
              </w:rPr>
              <w:t xml:space="preserve"> OS events had been documented in the hormone receptor positive cohort. The sample size computation was performed using the EAST v6.4.</w:t>
            </w:r>
          </w:p>
        </w:tc>
      </w:tr>
      <w:tr w:rsidR="000B148D" w:rsidRPr="00756252" w14:paraId="46F89BCC" w14:textId="77777777" w:rsidTr="00484142">
        <w:tc>
          <w:tcPr>
            <w:tcW w:w="1177" w:type="pct"/>
            <w:shd w:val="clear" w:color="auto" w:fill="D9D9D9" w:themeFill="background1" w:themeFillShade="D9"/>
          </w:tcPr>
          <w:p w14:paraId="4498FECE" w14:textId="77777777" w:rsidR="000B148D" w:rsidRPr="00756252" w:rsidRDefault="000B148D">
            <w:pPr>
              <w:pStyle w:val="Tableheading"/>
            </w:pPr>
            <w:r w:rsidRPr="00756252">
              <w:lastRenderedPageBreak/>
              <w:t>Data management, patient withdrawals</w:t>
            </w:r>
          </w:p>
        </w:tc>
        <w:tc>
          <w:tcPr>
            <w:tcW w:w="3823" w:type="pct"/>
          </w:tcPr>
          <w:p w14:paraId="3C73F130" w14:textId="63CBE1DB" w:rsidR="000B148D" w:rsidRPr="00314A60" w:rsidRDefault="000B148D">
            <w:pPr>
              <w:pStyle w:val="Tablebody"/>
              <w:rPr>
                <w:rFonts w:cs="Yu Gothic Light"/>
                <w:bdr w:val="none" w:sz="0" w:space="0" w:color="auto" w:frame="1"/>
              </w:rPr>
            </w:pPr>
            <w:r w:rsidRPr="00756252">
              <w:rPr>
                <w:rStyle w:val="normaltextrun"/>
                <w:rFonts w:cs="Yu Gothic Light"/>
                <w:bdr w:val="none" w:sz="0" w:space="0" w:color="auto" w:frame="1"/>
              </w:rPr>
              <w:t xml:space="preserve">In general, </w:t>
            </w:r>
            <w:r w:rsidR="00294FDC" w:rsidRPr="00294FDC">
              <w:rPr>
                <w:rStyle w:val="normaltextrun"/>
                <w:rFonts w:cs="Yu Gothic Light"/>
                <w:color w:val="000000"/>
                <w:highlight w:val="black"/>
                <w:bdr w:val="none" w:sz="0" w:space="0" w:color="auto" w:frame="1"/>
              </w:rPr>
              <w:t>xxxxxxxxxxxxxxxxxxxxxxxxxxxxxxxxxxxxxx</w:t>
            </w:r>
            <w:r w:rsidR="00484142">
              <w:rPr>
                <w:rStyle w:val="normaltextrun"/>
                <w:rFonts w:cs="Yu Gothic Light"/>
                <w:color w:val="000000"/>
                <w:highlight w:val="black"/>
                <w:bdr w:val="none" w:sz="0" w:space="0" w:color="auto" w:frame="1"/>
              </w:rPr>
              <w:t xml:space="preserve"> </w:t>
            </w:r>
            <w:r w:rsidR="00294FDC" w:rsidRPr="00294FDC">
              <w:rPr>
                <w:rStyle w:val="normaltextrun"/>
                <w:rFonts w:cs="Yu Gothic Light"/>
                <w:color w:val="000000"/>
                <w:highlight w:val="black"/>
                <w:bdr w:val="none" w:sz="0" w:space="0" w:color="auto" w:frame="1"/>
              </w:rPr>
              <w:t>xxxxxxxxxxxx</w:t>
            </w:r>
            <w:r w:rsidR="00484142">
              <w:rPr>
                <w:rStyle w:val="normaltextrun"/>
                <w:rFonts w:cs="Yu Gothic Light"/>
                <w:color w:val="000000"/>
                <w:highlight w:val="black"/>
                <w:bdr w:val="none" w:sz="0" w:space="0" w:color="auto" w:frame="1"/>
              </w:rPr>
              <w:t xml:space="preserve"> </w:t>
            </w:r>
            <w:r w:rsidR="00294FDC" w:rsidRPr="00294FDC">
              <w:rPr>
                <w:rStyle w:val="normaltextrun"/>
                <w:rFonts w:cs="Yu Gothic Light"/>
                <w:color w:val="000000"/>
                <w:highlight w:val="black"/>
                <w:bdr w:val="none" w:sz="0" w:space="0" w:color="auto" w:frame="1"/>
              </w:rPr>
              <w:t>xxxx</w:t>
            </w:r>
            <w:r w:rsidR="00B749F5">
              <w:rPr>
                <w:rStyle w:val="normaltextrun"/>
                <w:rFonts w:cs="Yu Gothic Light"/>
                <w:color w:val="000000"/>
                <w:highlight w:val="black"/>
                <w:bdr w:val="none" w:sz="0" w:space="0" w:color="auto" w:frame="1"/>
              </w:rPr>
              <w:t xml:space="preserve"> </w:t>
            </w:r>
            <w:r w:rsidR="00294FDC" w:rsidRPr="00294FDC">
              <w:rPr>
                <w:rStyle w:val="normaltextrun"/>
                <w:rFonts w:cs="Yu Gothic Light"/>
                <w:color w:val="000000"/>
                <w:highlight w:val="black"/>
                <w:bdr w:val="none" w:sz="0" w:space="0" w:color="auto" w:frame="1"/>
              </w:rPr>
              <w:t>xxxx</w:t>
            </w:r>
            <w:r w:rsidR="00484142">
              <w:rPr>
                <w:rStyle w:val="normaltextrun"/>
                <w:rFonts w:cs="Yu Gothic Light"/>
                <w:color w:val="000000"/>
                <w:highlight w:val="black"/>
                <w:bdr w:val="none" w:sz="0" w:space="0" w:color="auto" w:frame="1"/>
              </w:rPr>
              <w:t xml:space="preserve"> </w:t>
            </w:r>
            <w:r w:rsidR="00294FDC" w:rsidRPr="00294FDC">
              <w:rPr>
                <w:rStyle w:val="normaltextrun"/>
                <w:rFonts w:cs="Yu Gothic Light"/>
                <w:color w:val="000000"/>
                <w:highlight w:val="black"/>
                <w:bdr w:val="none" w:sz="0" w:space="0" w:color="auto" w:frame="1"/>
              </w:rPr>
              <w:t>xxxxxxx</w:t>
            </w:r>
            <w:r w:rsidR="00484142">
              <w:rPr>
                <w:rStyle w:val="normaltextrun"/>
                <w:rFonts w:cs="Yu Gothic Light"/>
                <w:color w:val="000000"/>
                <w:highlight w:val="black"/>
                <w:bdr w:val="none" w:sz="0" w:space="0" w:color="auto" w:frame="1"/>
              </w:rPr>
              <w:t xml:space="preserve"> </w:t>
            </w:r>
            <w:r w:rsidR="00294FDC" w:rsidRPr="00294FDC">
              <w:rPr>
                <w:rStyle w:val="normaltextrun"/>
                <w:rFonts w:cs="Yu Gothic Light"/>
                <w:color w:val="000000"/>
                <w:highlight w:val="black"/>
                <w:bdr w:val="none" w:sz="0" w:space="0" w:color="auto" w:frame="1"/>
              </w:rPr>
              <w:t>xxxx</w:t>
            </w:r>
            <w:r w:rsidR="00675564">
              <w:rPr>
                <w:rStyle w:val="normaltextrun"/>
                <w:rFonts w:cs="Yu Gothic Light"/>
                <w:color w:val="000000"/>
                <w:highlight w:val="black"/>
                <w:bdr w:val="none" w:sz="0" w:space="0" w:color="auto" w:frame="1"/>
              </w:rPr>
              <w:t xml:space="preserve"> </w:t>
            </w:r>
            <w:r w:rsidR="00294FDC" w:rsidRPr="00294FDC">
              <w:rPr>
                <w:rStyle w:val="normaltextrun"/>
                <w:rFonts w:cs="Yu Gothic Light"/>
                <w:color w:val="000000"/>
                <w:highlight w:val="black"/>
                <w:bdr w:val="none" w:sz="0" w:space="0" w:color="auto" w:frame="1"/>
              </w:rPr>
              <w:t>xx</w:t>
            </w:r>
            <w:r w:rsidR="00675564">
              <w:rPr>
                <w:rStyle w:val="normaltextrun"/>
                <w:rFonts w:cs="Yu Gothic Light"/>
                <w:color w:val="000000"/>
                <w:highlight w:val="black"/>
                <w:bdr w:val="none" w:sz="0" w:space="0" w:color="auto" w:frame="1"/>
              </w:rPr>
              <w:t xml:space="preserve"> </w:t>
            </w:r>
            <w:r w:rsidR="00294FDC" w:rsidRPr="00294FDC">
              <w:rPr>
                <w:rStyle w:val="normaltextrun"/>
                <w:rFonts w:cs="Yu Gothic Light"/>
                <w:color w:val="000000"/>
                <w:highlight w:val="black"/>
                <w:bdr w:val="none" w:sz="0" w:space="0" w:color="auto" w:frame="1"/>
              </w:rPr>
              <w:t>xxxxxxxxxxxxxxxxxxxxxxxxxxxxxxxxxxxxx</w:t>
            </w:r>
            <w:r w:rsidR="00484142">
              <w:rPr>
                <w:rStyle w:val="normaltextrun"/>
                <w:rFonts w:cs="Yu Gothic Light"/>
                <w:color w:val="000000"/>
                <w:highlight w:val="black"/>
                <w:bdr w:val="none" w:sz="0" w:space="0" w:color="auto" w:frame="1"/>
              </w:rPr>
              <w:t xml:space="preserve"> </w:t>
            </w:r>
            <w:r w:rsidR="00294FDC" w:rsidRPr="00294FDC">
              <w:rPr>
                <w:rStyle w:val="normaltextrun"/>
                <w:rFonts w:cs="Yu Gothic Light"/>
                <w:color w:val="000000"/>
                <w:highlight w:val="black"/>
                <w:bdr w:val="none" w:sz="0" w:space="0" w:color="auto" w:frame="1"/>
              </w:rPr>
              <w:t>xxxxxxxxx</w:t>
            </w:r>
            <w:r w:rsidR="00484142">
              <w:rPr>
                <w:rStyle w:val="normaltextrun"/>
                <w:rFonts w:cs="Yu Gothic Light"/>
                <w:color w:val="000000"/>
                <w:highlight w:val="black"/>
                <w:bdr w:val="none" w:sz="0" w:space="0" w:color="auto" w:frame="1"/>
              </w:rPr>
              <w:t xml:space="preserve"> </w:t>
            </w:r>
            <w:r w:rsidR="00294FDC" w:rsidRPr="00294FDC">
              <w:rPr>
                <w:rStyle w:val="normaltextrun"/>
                <w:rFonts w:cs="Yu Gothic Light"/>
                <w:color w:val="000000"/>
                <w:highlight w:val="black"/>
                <w:bdr w:val="none" w:sz="0" w:space="0" w:color="auto" w:frame="1"/>
              </w:rPr>
              <w:t>xxx</w:t>
            </w:r>
            <w:r w:rsidR="00B749F5">
              <w:rPr>
                <w:rStyle w:val="normaltextrun"/>
                <w:rFonts w:cs="Yu Gothic Light"/>
                <w:color w:val="000000"/>
                <w:highlight w:val="black"/>
                <w:bdr w:val="none" w:sz="0" w:space="0" w:color="auto" w:frame="1"/>
              </w:rPr>
              <w:t xml:space="preserve"> </w:t>
            </w:r>
            <w:r w:rsidR="00294FDC" w:rsidRPr="00294FDC">
              <w:rPr>
                <w:rStyle w:val="normaltextrun"/>
                <w:rFonts w:cs="Yu Gothic Light"/>
                <w:color w:val="000000"/>
                <w:highlight w:val="black"/>
                <w:bdr w:val="none" w:sz="0" w:space="0" w:color="auto" w:frame="1"/>
              </w:rPr>
              <w:t>xxxxxxxxxxxxxxxxxxxxxxxx</w:t>
            </w:r>
            <w:r w:rsidR="00675564">
              <w:rPr>
                <w:rStyle w:val="normaltextrun"/>
                <w:rFonts w:cs="Yu Gothic Light"/>
                <w:color w:val="000000"/>
                <w:highlight w:val="black"/>
                <w:bdr w:val="none" w:sz="0" w:space="0" w:color="auto" w:frame="1"/>
              </w:rPr>
              <w:t xml:space="preserve"> </w:t>
            </w:r>
            <w:r w:rsidR="00294FDC" w:rsidRPr="00294FDC">
              <w:rPr>
                <w:rStyle w:val="normaltextrun"/>
                <w:rFonts w:cs="Yu Gothic Light"/>
                <w:color w:val="000000"/>
                <w:highlight w:val="black"/>
                <w:bdr w:val="none" w:sz="0" w:space="0" w:color="auto" w:frame="1"/>
              </w:rPr>
              <w:t>xxxxxxx</w:t>
            </w:r>
            <w:r w:rsidR="00675564">
              <w:rPr>
                <w:rStyle w:val="normaltextrun"/>
                <w:rFonts w:cs="Yu Gothic Light"/>
                <w:color w:val="000000"/>
                <w:highlight w:val="black"/>
                <w:bdr w:val="none" w:sz="0" w:space="0" w:color="auto" w:frame="1"/>
              </w:rPr>
              <w:t xml:space="preserve"> </w:t>
            </w:r>
            <w:r w:rsidR="00294FDC" w:rsidRPr="00294FDC">
              <w:rPr>
                <w:rStyle w:val="normaltextrun"/>
                <w:rFonts w:cs="Yu Gothic Light"/>
                <w:color w:val="000000"/>
                <w:highlight w:val="black"/>
                <w:bdr w:val="none" w:sz="0" w:space="0" w:color="auto" w:frame="1"/>
              </w:rPr>
              <w:t>xxxxxxxx</w:t>
            </w:r>
            <w:r w:rsidR="00484142">
              <w:rPr>
                <w:rStyle w:val="normaltextrun"/>
                <w:rFonts w:cs="Yu Gothic Light"/>
                <w:color w:val="000000"/>
                <w:highlight w:val="black"/>
                <w:bdr w:val="none" w:sz="0" w:space="0" w:color="auto" w:frame="1"/>
              </w:rPr>
              <w:t xml:space="preserve"> </w:t>
            </w:r>
            <w:r w:rsidR="00294FDC" w:rsidRPr="00294FDC">
              <w:rPr>
                <w:rStyle w:val="normaltextrun"/>
                <w:rFonts w:cs="Yu Gothic Light"/>
                <w:color w:val="000000"/>
                <w:highlight w:val="black"/>
                <w:bdr w:val="none" w:sz="0" w:space="0" w:color="auto" w:frame="1"/>
              </w:rPr>
              <w:t>xxxxxxx</w:t>
            </w:r>
            <w:r w:rsidR="00484142">
              <w:rPr>
                <w:rStyle w:val="normaltextrun"/>
                <w:rFonts w:cs="Yu Gothic Light"/>
                <w:color w:val="000000"/>
                <w:highlight w:val="black"/>
                <w:bdr w:val="none" w:sz="0" w:space="0" w:color="auto" w:frame="1"/>
              </w:rPr>
              <w:t xml:space="preserve"> </w:t>
            </w:r>
            <w:r w:rsidR="00294FDC" w:rsidRPr="00294FDC">
              <w:rPr>
                <w:rStyle w:val="normaltextrun"/>
                <w:rFonts w:cs="Yu Gothic Light"/>
                <w:color w:val="000000"/>
                <w:highlight w:val="black"/>
                <w:bdr w:val="none" w:sz="0" w:space="0" w:color="auto" w:frame="1"/>
              </w:rPr>
              <w:t>xxxxxxx</w:t>
            </w:r>
            <w:r w:rsidR="00484142">
              <w:rPr>
                <w:rStyle w:val="normaltextrun"/>
                <w:rFonts w:cs="Yu Gothic Light"/>
                <w:color w:val="000000"/>
                <w:highlight w:val="black"/>
                <w:bdr w:val="none" w:sz="0" w:space="0" w:color="auto" w:frame="1"/>
              </w:rPr>
              <w:t xml:space="preserve"> </w:t>
            </w:r>
            <w:r w:rsidR="00294FDC" w:rsidRPr="00294FDC">
              <w:rPr>
                <w:rStyle w:val="normaltextrun"/>
                <w:rFonts w:cs="Yu Gothic Light"/>
                <w:color w:val="000000"/>
                <w:highlight w:val="black"/>
                <w:bdr w:val="none" w:sz="0" w:space="0" w:color="auto" w:frame="1"/>
              </w:rPr>
              <w:t>xxxxx</w:t>
            </w:r>
            <w:r w:rsidR="00484142">
              <w:rPr>
                <w:rStyle w:val="normaltextrun"/>
                <w:rFonts w:cs="Yu Gothic Light"/>
                <w:color w:val="000000"/>
                <w:highlight w:val="black"/>
                <w:bdr w:val="none" w:sz="0" w:space="0" w:color="auto" w:frame="1"/>
              </w:rPr>
              <w:t xml:space="preserve"> </w:t>
            </w:r>
            <w:r w:rsidR="00294FDC" w:rsidRPr="00294FDC">
              <w:rPr>
                <w:rStyle w:val="normaltextrun"/>
                <w:rFonts w:cs="Yu Gothic Light"/>
                <w:color w:val="000000"/>
                <w:highlight w:val="black"/>
                <w:bdr w:val="none" w:sz="0" w:space="0" w:color="auto" w:frame="1"/>
              </w:rPr>
              <w:t>xxx</w:t>
            </w:r>
            <w:r w:rsidR="00B749F5">
              <w:rPr>
                <w:rStyle w:val="normaltextrun"/>
                <w:rFonts w:cs="Yu Gothic Light"/>
                <w:color w:val="000000"/>
                <w:highlight w:val="black"/>
                <w:bdr w:val="none" w:sz="0" w:space="0" w:color="auto" w:frame="1"/>
              </w:rPr>
              <w:t xml:space="preserve"> </w:t>
            </w:r>
            <w:r w:rsidR="00294FDC" w:rsidRPr="00294FDC">
              <w:rPr>
                <w:rStyle w:val="normaltextrun"/>
                <w:rFonts w:cs="Yu Gothic Light"/>
                <w:color w:val="000000"/>
                <w:highlight w:val="black"/>
                <w:bdr w:val="none" w:sz="0" w:space="0" w:color="auto" w:frame="1"/>
              </w:rPr>
              <w:t>xxxxxx</w:t>
            </w:r>
            <w:r w:rsidR="00675564">
              <w:rPr>
                <w:rStyle w:val="normaltextrun"/>
                <w:rFonts w:cs="Yu Gothic Light"/>
                <w:color w:val="000000"/>
                <w:highlight w:val="black"/>
                <w:bdr w:val="none" w:sz="0" w:space="0" w:color="auto" w:frame="1"/>
              </w:rPr>
              <w:t xml:space="preserve"> </w:t>
            </w:r>
            <w:r w:rsidR="00294FDC" w:rsidRPr="00294FDC">
              <w:rPr>
                <w:rStyle w:val="normaltextrun"/>
                <w:rFonts w:cs="Yu Gothic Light"/>
                <w:color w:val="000000"/>
                <w:highlight w:val="black"/>
                <w:bdr w:val="none" w:sz="0" w:space="0" w:color="auto" w:frame="1"/>
              </w:rPr>
              <w:t>xxxxxxxxxxxxxxxxxxxxxxxxxxxx</w:t>
            </w:r>
            <w:r w:rsidR="00675564">
              <w:rPr>
                <w:rStyle w:val="normaltextrun"/>
                <w:rFonts w:cs="Yu Gothic Light"/>
                <w:color w:val="000000"/>
                <w:highlight w:val="black"/>
                <w:bdr w:val="none" w:sz="0" w:space="0" w:color="auto" w:frame="1"/>
              </w:rPr>
              <w:t xml:space="preserve"> </w:t>
            </w:r>
            <w:r w:rsidR="00294FDC" w:rsidRPr="00294FDC">
              <w:rPr>
                <w:rStyle w:val="normaltextrun"/>
                <w:rFonts w:cs="Yu Gothic Light"/>
                <w:color w:val="000000"/>
                <w:highlight w:val="black"/>
                <w:bdr w:val="none" w:sz="0" w:space="0" w:color="auto" w:frame="1"/>
              </w:rPr>
              <w:t>xxxxxxxxxxxxxx</w:t>
            </w:r>
            <w:r w:rsidR="00675564">
              <w:rPr>
                <w:rStyle w:val="normaltextrun"/>
                <w:rFonts w:cs="Yu Gothic Light"/>
                <w:color w:val="000000"/>
                <w:highlight w:val="black"/>
                <w:bdr w:val="none" w:sz="0" w:space="0" w:color="auto" w:frame="1"/>
              </w:rPr>
              <w:t xml:space="preserve"> </w:t>
            </w:r>
            <w:r w:rsidR="00294FDC" w:rsidRPr="00294FDC">
              <w:rPr>
                <w:rStyle w:val="normaltextrun"/>
                <w:rFonts w:cs="Yu Gothic Light"/>
                <w:color w:val="000000"/>
                <w:highlight w:val="black"/>
                <w:bdr w:val="none" w:sz="0" w:space="0" w:color="auto" w:frame="1"/>
              </w:rPr>
              <w:t>x</w:t>
            </w:r>
            <w:r w:rsidR="00675564">
              <w:rPr>
                <w:rStyle w:val="normaltextrun"/>
                <w:rFonts w:cs="Yu Gothic Light"/>
                <w:color w:val="000000"/>
                <w:highlight w:val="black"/>
                <w:bdr w:val="none" w:sz="0" w:space="0" w:color="auto" w:frame="1"/>
              </w:rPr>
              <w:t xml:space="preserve"> </w:t>
            </w:r>
            <w:r w:rsidR="00294FDC" w:rsidRPr="00294FDC">
              <w:rPr>
                <w:rStyle w:val="normaltextrun"/>
                <w:rFonts w:cs="Yu Gothic Light"/>
                <w:color w:val="000000"/>
                <w:highlight w:val="black"/>
                <w:bdr w:val="none" w:sz="0" w:space="0" w:color="auto" w:frame="1"/>
              </w:rPr>
              <w:t>xxxxxxx</w:t>
            </w:r>
            <w:r w:rsidR="00484142">
              <w:rPr>
                <w:rStyle w:val="normaltextrun"/>
                <w:rFonts w:cs="Yu Gothic Light"/>
                <w:color w:val="000000"/>
                <w:highlight w:val="black"/>
                <w:bdr w:val="none" w:sz="0" w:space="0" w:color="auto" w:frame="1"/>
              </w:rPr>
              <w:t xml:space="preserve"> </w:t>
            </w:r>
            <w:r w:rsidR="00294FDC" w:rsidRPr="00294FDC">
              <w:rPr>
                <w:rStyle w:val="normaltextrun"/>
                <w:rFonts w:cs="Yu Gothic Light"/>
                <w:color w:val="000000"/>
                <w:highlight w:val="black"/>
                <w:bdr w:val="none" w:sz="0" w:space="0" w:color="auto" w:frame="1"/>
              </w:rPr>
              <w:t>xxx</w:t>
            </w:r>
            <w:r w:rsidR="00675564">
              <w:rPr>
                <w:rStyle w:val="normaltextrun"/>
                <w:rFonts w:cs="Yu Gothic Light"/>
                <w:color w:val="000000"/>
                <w:highlight w:val="black"/>
                <w:bdr w:val="none" w:sz="0" w:space="0" w:color="auto" w:frame="1"/>
              </w:rPr>
              <w:t xml:space="preserve"> </w:t>
            </w:r>
            <w:r w:rsidR="00294FDC" w:rsidRPr="00294FDC">
              <w:rPr>
                <w:rStyle w:val="normaltextrun"/>
                <w:rFonts w:cs="Yu Gothic Light"/>
                <w:color w:val="000000"/>
                <w:highlight w:val="black"/>
                <w:bdr w:val="none" w:sz="0" w:space="0" w:color="auto" w:frame="1"/>
              </w:rPr>
              <w:t>xxxxxx</w:t>
            </w:r>
            <w:r>
              <w:rPr>
                <w:rStyle w:val="normaltextrun"/>
                <w:rFonts w:cs="Yu Gothic Light"/>
                <w:bdr w:val="none" w:sz="0" w:space="0" w:color="auto" w:frame="1"/>
              </w:rPr>
              <w:t xml:space="preserve"> </w:t>
            </w:r>
            <w:r w:rsidRPr="00756252">
              <w:rPr>
                <w:rStyle w:val="normaltextrun"/>
                <w:rFonts w:cs="Yu Gothic Light"/>
                <w:bdr w:val="none" w:sz="0" w:space="0" w:color="auto" w:frame="1"/>
              </w:rPr>
              <w:t xml:space="preserve">The rules for censored data for each endpoint are defined in </w:t>
            </w:r>
            <w:r w:rsidRPr="00756252">
              <w:rPr>
                <w:rStyle w:val="normaltextrun"/>
                <w:rFonts w:cs="Yu Gothic Light"/>
                <w:bdr w:val="none" w:sz="0" w:space="0" w:color="auto" w:frame="1"/>
              </w:rPr>
              <w:fldChar w:fldCharType="begin"/>
            </w:r>
            <w:r w:rsidRPr="00756252">
              <w:rPr>
                <w:rStyle w:val="normaltextrun"/>
                <w:rFonts w:cs="Yu Gothic Light"/>
                <w:bdr w:val="none" w:sz="0" w:space="0" w:color="auto" w:frame="1"/>
              </w:rPr>
              <w:instrText xml:space="preserve"> REF _Ref85796390 \h </w:instrText>
            </w:r>
            <w:r w:rsidRPr="00756252">
              <w:rPr>
                <w:rStyle w:val="normaltextrun"/>
                <w:rFonts w:cs="Yu Gothic Light"/>
                <w:bdr w:val="none" w:sz="0" w:space="0" w:color="auto" w:frame="1"/>
              </w:rPr>
            </w:r>
            <w:r w:rsidRPr="00756252">
              <w:rPr>
                <w:rStyle w:val="normaltextrun"/>
                <w:rFonts w:cs="Yu Gothic Light"/>
                <w:bdr w:val="none" w:sz="0" w:space="0" w:color="auto" w:frame="1"/>
              </w:rPr>
              <w:fldChar w:fldCharType="separate"/>
            </w:r>
            <w:r w:rsidR="00145F42" w:rsidRPr="00D07FD6">
              <w:t xml:space="preserve">Table </w:t>
            </w:r>
            <w:r w:rsidR="00145F42">
              <w:rPr>
                <w:noProof/>
              </w:rPr>
              <w:t>10</w:t>
            </w:r>
            <w:r w:rsidRPr="00756252">
              <w:rPr>
                <w:rStyle w:val="normaltextrun"/>
                <w:rFonts w:cs="Yu Gothic Light"/>
                <w:bdr w:val="none" w:sz="0" w:space="0" w:color="auto" w:frame="1"/>
              </w:rPr>
              <w:fldChar w:fldCharType="end"/>
            </w:r>
            <w:r w:rsidRPr="00756252">
              <w:rPr>
                <w:rStyle w:val="normaltextrun"/>
                <w:rFonts w:cs="Yu Gothic Light"/>
                <w:bdr w:val="none" w:sz="0" w:space="0" w:color="auto" w:frame="1"/>
              </w:rPr>
              <w:t>.</w:t>
            </w:r>
          </w:p>
        </w:tc>
      </w:tr>
      <w:tr w:rsidR="000B148D" w:rsidRPr="00756252" w14:paraId="61876684" w14:textId="77777777" w:rsidTr="00484142">
        <w:tc>
          <w:tcPr>
            <w:tcW w:w="1177" w:type="pct"/>
            <w:shd w:val="clear" w:color="auto" w:fill="D9D9D9" w:themeFill="background1" w:themeFillShade="D9"/>
          </w:tcPr>
          <w:p w14:paraId="4A7DC763" w14:textId="77777777" w:rsidR="000B148D" w:rsidRPr="00756252" w:rsidRDefault="000B148D">
            <w:pPr>
              <w:pStyle w:val="Tableheading"/>
              <w:keepNext/>
            </w:pPr>
            <w:r w:rsidRPr="00756252">
              <w:t>Statistical analysis timepoints</w:t>
            </w:r>
          </w:p>
        </w:tc>
        <w:tc>
          <w:tcPr>
            <w:tcW w:w="3823" w:type="pct"/>
          </w:tcPr>
          <w:p w14:paraId="5656F87B" w14:textId="3844DEDC" w:rsidR="00E9275D" w:rsidRPr="00756252" w:rsidRDefault="000B148D" w:rsidP="00E9275D">
            <w:pPr>
              <w:pStyle w:val="Tablebody"/>
            </w:pPr>
            <w:r w:rsidRPr="00756252">
              <w:t xml:space="preserve">The primary efficacy analysis was planned for when approximately </w:t>
            </w:r>
            <w:r w:rsidR="00F77ABC" w:rsidRPr="00F77ABC">
              <w:rPr>
                <w:color w:val="000000"/>
                <w:highlight w:val="black"/>
              </w:rPr>
              <w:t>xxx</w:t>
            </w:r>
            <w:r w:rsidRPr="00756252">
              <w:t xml:space="preserve"> BICR-assessed PFS events were observed in the HR-positive cohort. With </w:t>
            </w:r>
            <w:r w:rsidR="00F77ABC" w:rsidRPr="00F77ABC">
              <w:rPr>
                <w:color w:val="000000"/>
                <w:highlight w:val="black"/>
              </w:rPr>
              <w:t>xxx</w:t>
            </w:r>
            <w:r w:rsidRPr="00756252">
              <w:t xml:space="preserve"> PFS events, the study will have approximately </w:t>
            </w:r>
            <w:r w:rsidR="00F77ABC" w:rsidRPr="00F77ABC">
              <w:rPr>
                <w:color w:val="000000"/>
                <w:highlight w:val="black"/>
              </w:rPr>
              <w:t>xx</w:t>
            </w:r>
            <w:r w:rsidRPr="00756252">
              <w:t>% power of a log-rank test to reject the null hypothesis of no difference in PFS</w:t>
            </w:r>
            <w:r w:rsidR="00F21C78">
              <w:t xml:space="preserve"> distributions</w:t>
            </w:r>
            <w:r w:rsidR="007F29CF">
              <w:t xml:space="preserve"> at an overall 2-sided significance level of 0.05</w:t>
            </w:r>
            <w:r w:rsidRPr="00756252">
              <w:t xml:space="preserve">, assuming a hazard ratio of 0.68. At the DCO, there were </w:t>
            </w:r>
            <w:r w:rsidR="00F77ABC" w:rsidRPr="00F77ABC">
              <w:rPr>
                <w:color w:val="000000"/>
                <w:highlight w:val="black"/>
              </w:rPr>
              <w:t>xxx</w:t>
            </w:r>
            <w:r w:rsidRPr="00756252">
              <w:t xml:space="preserve"> PFS events in the HR-positive cohort and statistical significance was demonstrated for primary and key secondary endpoints of PFS and OS, so there is no </w:t>
            </w:r>
            <w:r>
              <w:t xml:space="preserve">protocol </w:t>
            </w:r>
            <w:r w:rsidRPr="00756252">
              <w:t>requirement for further data analyses.</w:t>
            </w:r>
          </w:p>
        </w:tc>
      </w:tr>
    </w:tbl>
    <w:p w14:paraId="2274BC02" w14:textId="13C399FA" w:rsidR="000B148D" w:rsidRPr="00756252" w:rsidRDefault="000B148D" w:rsidP="000B148D">
      <w:pPr>
        <w:pStyle w:val="Footnotes"/>
      </w:pPr>
      <w:r w:rsidRPr="00756252">
        <w:t xml:space="preserve">Abbreviations: </w:t>
      </w:r>
      <w:r>
        <w:t xml:space="preserve">AE, adverse event; </w:t>
      </w:r>
      <w:r w:rsidRPr="00756252">
        <w:t xml:space="preserve">BC, breast cancer; BICR, </w:t>
      </w:r>
      <w:r w:rsidRPr="00756252">
        <w:rPr>
          <w:rStyle w:val="normaltextrun"/>
          <w:rFonts w:cs="Yu Gothic Light"/>
          <w:shd w:val="clear" w:color="auto" w:fill="FFFFFF"/>
        </w:rPr>
        <w:t xml:space="preserve">blinded independent central review; </w:t>
      </w:r>
      <w:r w:rsidRPr="00756252">
        <w:t>CBR, clinical benefit rate; CI, confidence interval; DCR, disease control rate; EORTC, European Organisation for Research and Treatment of Cancer; FAS</w:t>
      </w:r>
      <w:r>
        <w:t>,</w:t>
      </w:r>
      <w:r w:rsidRPr="00756252">
        <w:t xml:space="preserve"> full analysis set</w:t>
      </w:r>
      <w:r>
        <w:t xml:space="preserve">; </w:t>
      </w:r>
      <w:r w:rsidRPr="00756252">
        <w:t>HR</w:t>
      </w:r>
      <w:r>
        <w:t>-positive</w:t>
      </w:r>
      <w:r w:rsidRPr="00756252">
        <w:t>, hormone receptor</w:t>
      </w:r>
      <w:r w:rsidR="00146B3A">
        <w:t>-</w:t>
      </w:r>
      <w:r w:rsidRPr="00756252">
        <w:t>positive; HR-</w:t>
      </w:r>
      <w:r>
        <w:t>negative</w:t>
      </w:r>
      <w:r w:rsidRPr="00756252">
        <w:t>, hormone receptor negative; HR, hazard ratio; IA, investigator assessment; IXRS, Interactive Web/Voice Response System; ORR, objective response rate; OS, overall survival; PFS, progression-free survival; PFS2, progression-free survival 2; QLQ</w:t>
      </w:r>
      <w:r w:rsidRPr="00756252">
        <w:noBreakHyphen/>
        <w:t>BR45, Quality</w:t>
      </w:r>
      <w:r w:rsidR="005754E8">
        <w:rPr>
          <w:spacing w:val="-16"/>
        </w:rPr>
        <w:t>-</w:t>
      </w:r>
      <w:r w:rsidR="005754E8" w:rsidRPr="00D07FD6">
        <w:t>of</w:t>
      </w:r>
      <w:r w:rsidR="005754E8">
        <w:t>-l</w:t>
      </w:r>
      <w:r w:rsidR="005754E8" w:rsidRPr="00D07FD6">
        <w:t>ife</w:t>
      </w:r>
      <w:r w:rsidRPr="00756252">
        <w:t xml:space="preserve"> Breast Cancer questionnaire; QLQ</w:t>
      </w:r>
      <w:r w:rsidRPr="00756252">
        <w:noBreakHyphen/>
        <w:t>C30, Quality</w:t>
      </w:r>
      <w:r w:rsidR="005754E8">
        <w:rPr>
          <w:spacing w:val="-16"/>
        </w:rPr>
        <w:t>-</w:t>
      </w:r>
      <w:r w:rsidR="005754E8" w:rsidRPr="00D07FD6">
        <w:t>of</w:t>
      </w:r>
      <w:r w:rsidR="005754E8">
        <w:t>-l</w:t>
      </w:r>
      <w:r w:rsidR="005754E8" w:rsidRPr="00D07FD6">
        <w:t xml:space="preserve">ife </w:t>
      </w:r>
      <w:r w:rsidRPr="00756252">
        <w:t xml:space="preserve">of Cancer Patients questionnaire; QoL, </w:t>
      </w:r>
      <w:r w:rsidR="005754E8">
        <w:t>quality-of-life</w:t>
      </w:r>
      <w:r w:rsidRPr="00756252">
        <w:t>; T-DXd, trastuzumab deruxtecan; TPC, treatment of physician’s choice; TTR, time to response; VAS, visual analogue scale</w:t>
      </w:r>
      <w:r>
        <w:t>.</w:t>
      </w:r>
      <w:r w:rsidRPr="00756252">
        <w:t xml:space="preserve"> </w:t>
      </w:r>
      <w:r w:rsidRPr="00756252">
        <w:br/>
        <w:t>Source: Daiichi Sankyo, 2022, (CSR and SAP; Data on File).</w:t>
      </w:r>
      <w:r w:rsidRPr="00756252">
        <w:fldChar w:fldCharType="begin"/>
      </w:r>
      <w:r w:rsidR="00CA6345">
        <w:instrText xml:space="preserve"> ADDIN ZOTERO_ITEM CSL_CITATION {"citationID":"YWJVPuDj","properties":{"formattedCitation":"\\super 7,153\\nosupersub{}","plainCitation":"7,153","noteIndex":0},"citationItems":[{"id":65944,"uris":["http://zotero.org/groups/4797619/items/WBVSVVF7"],"itemData":{"id":65944,"type":"document","title":"Clinical Study Report for DS8201-A-U303. Data cut-off date: 11 Jan 2022. Data on File.","author":[{"family":"Daiichi Sankyo Inc.","given":""}],"issued":{"date-parts":[["2022"]]}}},{"id":65924,"uris":["http://zotero.org/groups/4797619/items/5D3NP3DU"],"itemData":{"id":65924,"type":"document","title":"Statistical Analysis Plan Version 2.0 for DS8201-A-U303. 04 January 2022. Data on File.","author":[{"family":"Daiichi Sankyo Inc.","given":""}],"issued":{"date-parts":[["2022"]]}}}],"schema":"https://github.com/citation-style-language/schema/raw/master/csl-citation.json"} </w:instrText>
      </w:r>
      <w:r w:rsidRPr="00756252">
        <w:fldChar w:fldCharType="separate"/>
      </w:r>
      <w:r w:rsidR="00CA6345" w:rsidRPr="00CA6345">
        <w:rPr>
          <w:rFonts w:cs="Arial"/>
          <w:szCs w:val="24"/>
          <w:vertAlign w:val="superscript"/>
        </w:rPr>
        <w:t>7,153</w:t>
      </w:r>
      <w:r w:rsidRPr="00756252">
        <w:fldChar w:fldCharType="end"/>
      </w:r>
    </w:p>
    <w:p w14:paraId="735D5B56" w14:textId="77777777" w:rsidR="000B148D" w:rsidRPr="00731D14" w:rsidRDefault="000B148D" w:rsidP="000B148D">
      <w:pPr>
        <w:pStyle w:val="Heading3"/>
      </w:pPr>
      <w:bookmarkStart w:id="177" w:name="_Toc124447834"/>
      <w:bookmarkStart w:id="178" w:name="_Toc129350861"/>
      <w:r w:rsidRPr="00731D14">
        <w:t>Patient flow in DESTINY-Breast0</w:t>
      </w:r>
      <w:r>
        <w:t>4</w:t>
      </w:r>
      <w:bookmarkEnd w:id="177"/>
      <w:bookmarkEnd w:id="178"/>
    </w:p>
    <w:p w14:paraId="5F85DE70" w14:textId="5C096E33" w:rsidR="000B148D" w:rsidRPr="00966FF8" w:rsidRDefault="000B148D" w:rsidP="000B148D">
      <w:pPr>
        <w:pStyle w:val="Body"/>
        <w:rPr>
          <w:strike/>
        </w:rPr>
      </w:pPr>
      <w:r w:rsidRPr="00966FF8">
        <w:t xml:space="preserve">In the FAS, 557 patients were randomised 2:1 to receive T-DXd and TPC, respectively </w:t>
      </w:r>
      <w:r w:rsidRPr="00966FF8">
        <w:rPr>
          <w:sz w:val="24"/>
          <w:szCs w:val="24"/>
        </w:rPr>
        <w:t>(</w:t>
      </w:r>
      <w:r w:rsidRPr="00966FF8">
        <w:rPr>
          <w:b/>
          <w:bCs/>
        </w:rPr>
        <w:fldChar w:fldCharType="begin"/>
      </w:r>
      <w:r w:rsidRPr="00966FF8">
        <w:rPr>
          <w:b/>
          <w:bCs/>
        </w:rPr>
        <w:instrText xml:space="preserve"> REF _Ref124228737 \h  \* MERGEFORMAT </w:instrText>
      </w:r>
      <w:r w:rsidRPr="00966FF8">
        <w:rPr>
          <w:b/>
          <w:bCs/>
        </w:rPr>
      </w:r>
      <w:r w:rsidRPr="00966FF8">
        <w:rPr>
          <w:b/>
          <w:bCs/>
        </w:rPr>
        <w:fldChar w:fldCharType="separate"/>
      </w:r>
      <w:r w:rsidR="00145F42" w:rsidRPr="00145F42">
        <w:rPr>
          <w:b/>
          <w:bCs/>
        </w:rPr>
        <w:t xml:space="preserve">Table </w:t>
      </w:r>
      <w:r w:rsidR="00145F42" w:rsidRPr="00145F42">
        <w:rPr>
          <w:b/>
          <w:bCs/>
          <w:noProof/>
        </w:rPr>
        <w:t>13</w:t>
      </w:r>
      <w:r w:rsidRPr="00966FF8">
        <w:rPr>
          <w:b/>
          <w:bCs/>
        </w:rPr>
        <w:fldChar w:fldCharType="end"/>
      </w:r>
      <w:r w:rsidRPr="00966FF8">
        <w:rPr>
          <w:b/>
          <w:bCs/>
        </w:rPr>
        <w:t xml:space="preserve"> </w:t>
      </w:r>
      <w:r w:rsidRPr="003C648C">
        <w:t>and</w:t>
      </w:r>
      <w:r w:rsidR="004C6DAB">
        <w:rPr>
          <w:b/>
          <w:bCs/>
          <w:sz w:val="24"/>
          <w:szCs w:val="24"/>
        </w:rPr>
        <w:t xml:space="preserve"> </w:t>
      </w:r>
      <w:r w:rsidR="004C6DAB">
        <w:rPr>
          <w:b/>
          <w:bCs/>
          <w:sz w:val="24"/>
          <w:szCs w:val="24"/>
        </w:rPr>
        <w:fldChar w:fldCharType="begin"/>
      </w:r>
      <w:r w:rsidR="004C6DAB">
        <w:rPr>
          <w:b/>
          <w:bCs/>
          <w:sz w:val="24"/>
          <w:szCs w:val="24"/>
        </w:rPr>
        <w:instrText xml:space="preserve"> REF _Ref126933574 \h </w:instrText>
      </w:r>
      <w:r w:rsidR="004C6DAB">
        <w:rPr>
          <w:b/>
          <w:bCs/>
          <w:sz w:val="24"/>
          <w:szCs w:val="24"/>
        </w:rPr>
      </w:r>
      <w:r w:rsidR="004C6DAB">
        <w:rPr>
          <w:b/>
          <w:bCs/>
          <w:sz w:val="24"/>
          <w:szCs w:val="24"/>
        </w:rPr>
        <w:fldChar w:fldCharType="separate"/>
      </w:r>
      <w:r w:rsidR="00145F42" w:rsidRPr="003C648C">
        <w:rPr>
          <w:rFonts w:cs="Arial"/>
          <w:b/>
        </w:rPr>
        <w:t xml:space="preserve">Figure </w:t>
      </w:r>
      <w:r w:rsidR="00145F42">
        <w:rPr>
          <w:rFonts w:cs="Arial"/>
          <w:b/>
          <w:noProof/>
        </w:rPr>
        <w:t>10</w:t>
      </w:r>
      <w:r w:rsidR="004C6DAB">
        <w:rPr>
          <w:b/>
          <w:bCs/>
          <w:sz w:val="24"/>
          <w:szCs w:val="24"/>
        </w:rPr>
        <w:fldChar w:fldCharType="end"/>
      </w:r>
      <w:r w:rsidRPr="00966FF8">
        <w:rPr>
          <w:sz w:val="24"/>
          <w:szCs w:val="24"/>
        </w:rPr>
        <w:t>)</w:t>
      </w:r>
      <w:r>
        <w:rPr>
          <w:sz w:val="24"/>
          <w:szCs w:val="24"/>
        </w:rPr>
        <w:t>.</w:t>
      </w:r>
      <w:r w:rsidRPr="00966FF8">
        <w:t xml:space="preserve"> Of the 373 and 184 patients randomised to T</w:t>
      </w:r>
      <w:r w:rsidRPr="00966FF8">
        <w:noBreakHyphen/>
        <w:t xml:space="preserve">DXd and TPC, 331 and 163 patients, respectively, were HR-positive. Of the 557 patients randomised, </w:t>
      </w:r>
      <w:r w:rsidR="00294FDC" w:rsidRPr="00294FDC">
        <w:rPr>
          <w:color w:val="000000"/>
          <w:highlight w:val="black"/>
        </w:rPr>
        <w:t>xxx</w:t>
      </w:r>
      <w:r w:rsidRPr="00966FF8">
        <w:t xml:space="preserve"> (T-DXd, </w:t>
      </w:r>
      <w:r w:rsidR="00294FDC" w:rsidRPr="00294FDC">
        <w:rPr>
          <w:color w:val="000000"/>
          <w:highlight w:val="black"/>
        </w:rPr>
        <w:t>xxx</w:t>
      </w:r>
      <w:r w:rsidRPr="00966FF8">
        <w:t xml:space="preserve">; TPC, </w:t>
      </w:r>
      <w:r w:rsidR="00294FDC" w:rsidRPr="00294FDC">
        <w:rPr>
          <w:color w:val="000000"/>
          <w:highlight w:val="black"/>
        </w:rPr>
        <w:t>xxx</w:t>
      </w:r>
      <w:r>
        <w:t>)</w:t>
      </w:r>
      <w:r w:rsidRPr="00966FF8">
        <w:t xml:space="preserve"> received at least one dose of study drug</w:t>
      </w:r>
      <w:r>
        <w:t xml:space="preserve"> and</w:t>
      </w:r>
      <w:r w:rsidRPr="00966FF8">
        <w:t xml:space="preserve"> </w:t>
      </w:r>
      <w:r w:rsidR="00294FDC" w:rsidRPr="00294FDC">
        <w:rPr>
          <w:color w:val="000000"/>
          <w:highlight w:val="black"/>
        </w:rPr>
        <w:t>xx</w:t>
      </w:r>
      <w:r w:rsidRPr="00966FF8">
        <w:t xml:space="preserve"> (T-DXd, </w:t>
      </w:r>
      <w:r w:rsidR="00294FDC" w:rsidRPr="00294FDC">
        <w:rPr>
          <w:color w:val="000000"/>
          <w:highlight w:val="black"/>
        </w:rPr>
        <w:t>x</w:t>
      </w:r>
      <w:r w:rsidRPr="00966FF8">
        <w:t xml:space="preserve">; TPC; </w:t>
      </w:r>
      <w:r w:rsidR="00294FDC" w:rsidRPr="00294FDC">
        <w:rPr>
          <w:color w:val="000000"/>
          <w:highlight w:val="black"/>
        </w:rPr>
        <w:t>xx</w:t>
      </w:r>
      <w:r w:rsidRPr="00966FF8">
        <w:t>) were randomised but not treated, with a majority withdrawing consent after randomisation.</w:t>
      </w:r>
      <w:r w:rsidRPr="00966FF8">
        <w:fldChar w:fldCharType="begin"/>
      </w:r>
      <w:r w:rsidR="00CA6345">
        <w:instrText xml:space="preserve"> ADDIN ZOTERO_ITEM CSL_CITATION {"citationID":"b7hfEgoQ","properties":{"formattedCitation":"\\super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966FF8">
        <w:fldChar w:fldCharType="separate"/>
      </w:r>
      <w:r w:rsidR="00FD57F4" w:rsidRPr="00FD57F4">
        <w:rPr>
          <w:rFonts w:cs="Arial"/>
          <w:szCs w:val="24"/>
          <w:vertAlign w:val="superscript"/>
        </w:rPr>
        <w:t>7</w:t>
      </w:r>
      <w:r w:rsidRPr="00966FF8">
        <w:fldChar w:fldCharType="end"/>
      </w:r>
      <w:r w:rsidRPr="00966FF8">
        <w:t xml:space="preserve">   </w:t>
      </w:r>
    </w:p>
    <w:p w14:paraId="2DB3539E" w14:textId="65808615" w:rsidR="000B148D" w:rsidRPr="00966FF8" w:rsidRDefault="000B148D" w:rsidP="000B148D">
      <w:pPr>
        <w:pStyle w:val="Body"/>
      </w:pPr>
      <w:r w:rsidRPr="00966FF8">
        <w:t xml:space="preserve">At the </w:t>
      </w:r>
      <w:r>
        <w:t>primary</w:t>
      </w:r>
      <w:r w:rsidRPr="00966FF8">
        <w:t xml:space="preserve"> analysis for PFS (DCO, 11 January 2022) the median follow-up in the FAS for T-DXd and TPC was </w:t>
      </w:r>
      <w:r w:rsidR="00294FDC" w:rsidRPr="00294FDC">
        <w:rPr>
          <w:color w:val="000000"/>
          <w:highlight w:val="black"/>
        </w:rPr>
        <w:t>xxxx</w:t>
      </w:r>
      <w:r w:rsidRPr="00966FF8">
        <w:t xml:space="preserve"> and </w:t>
      </w:r>
      <w:r w:rsidR="00294FDC" w:rsidRPr="00294FDC">
        <w:rPr>
          <w:color w:val="000000"/>
          <w:highlight w:val="black"/>
        </w:rPr>
        <w:t>xxxx</w:t>
      </w:r>
      <w:r w:rsidRPr="00966FF8">
        <w:t> months, respectively (</w:t>
      </w:r>
      <w:r w:rsidRPr="00966FF8">
        <w:rPr>
          <w:b/>
          <w:bCs/>
        </w:rPr>
        <w:fldChar w:fldCharType="begin"/>
      </w:r>
      <w:r w:rsidRPr="00966FF8">
        <w:rPr>
          <w:b/>
          <w:bCs/>
        </w:rPr>
        <w:instrText xml:space="preserve"> REF _Ref124228737 \h  \* MERGEFORMAT </w:instrText>
      </w:r>
      <w:r w:rsidRPr="00966FF8">
        <w:rPr>
          <w:b/>
          <w:bCs/>
        </w:rPr>
      </w:r>
      <w:r w:rsidRPr="00966FF8">
        <w:rPr>
          <w:b/>
          <w:bCs/>
        </w:rPr>
        <w:fldChar w:fldCharType="separate"/>
      </w:r>
      <w:r w:rsidR="00145F42" w:rsidRPr="00145F42">
        <w:rPr>
          <w:b/>
          <w:bCs/>
        </w:rPr>
        <w:t xml:space="preserve">Table </w:t>
      </w:r>
      <w:r w:rsidR="00145F42" w:rsidRPr="00145F42">
        <w:rPr>
          <w:b/>
          <w:bCs/>
          <w:noProof/>
        </w:rPr>
        <w:t>13</w:t>
      </w:r>
      <w:r w:rsidRPr="00966FF8">
        <w:rPr>
          <w:b/>
          <w:bCs/>
        </w:rPr>
        <w:fldChar w:fldCharType="end"/>
      </w:r>
      <w:r w:rsidRPr="00966FF8">
        <w:t xml:space="preserve">). At the DCO in the FAS, </w:t>
      </w:r>
      <w:r w:rsidR="00294FDC" w:rsidRPr="00294FDC">
        <w:rPr>
          <w:color w:val="000000"/>
          <w:highlight w:val="black"/>
        </w:rPr>
        <w:t>xx</w:t>
      </w:r>
      <w:r w:rsidRPr="00966FF8">
        <w:t xml:space="preserve"> (</w:t>
      </w:r>
      <w:r w:rsidR="00294FDC" w:rsidRPr="00294FDC">
        <w:rPr>
          <w:color w:val="000000"/>
          <w:highlight w:val="black"/>
        </w:rPr>
        <w:t>xxxxx</w:t>
      </w:r>
      <w:r w:rsidRPr="00966FF8">
        <w:t xml:space="preserve">) patients in the T-DXd arm and </w:t>
      </w:r>
      <w:r w:rsidR="00294FDC" w:rsidRPr="00294FDC">
        <w:rPr>
          <w:color w:val="000000"/>
          <w:highlight w:val="black"/>
        </w:rPr>
        <w:t>x</w:t>
      </w:r>
      <w:r w:rsidRPr="00966FF8">
        <w:t xml:space="preserve"> (</w:t>
      </w:r>
      <w:r w:rsidR="00294FDC" w:rsidRPr="00294FDC">
        <w:rPr>
          <w:color w:val="000000"/>
          <w:highlight w:val="black"/>
        </w:rPr>
        <w:t>xxxx</w:t>
      </w:r>
      <w:r w:rsidRPr="00966FF8">
        <w:t xml:space="preserve">) patients in the TPC arm were ongoing treatment; </w:t>
      </w:r>
      <w:r w:rsidR="00294FDC" w:rsidRPr="00294FDC">
        <w:rPr>
          <w:color w:val="000000"/>
          <w:highlight w:val="black"/>
        </w:rPr>
        <w:t>xxx</w:t>
      </w:r>
      <w:r w:rsidRPr="00966FF8">
        <w:t xml:space="preserve"> (</w:t>
      </w:r>
      <w:r w:rsidR="00294FDC" w:rsidRPr="00294FDC">
        <w:rPr>
          <w:color w:val="000000"/>
          <w:highlight w:val="black"/>
        </w:rPr>
        <w:t>xxxxx</w:t>
      </w:r>
      <w:r w:rsidRPr="00966FF8">
        <w:t xml:space="preserve">) T-DXd and </w:t>
      </w:r>
      <w:r w:rsidR="00294FDC" w:rsidRPr="00294FDC">
        <w:rPr>
          <w:color w:val="000000"/>
          <w:highlight w:val="black"/>
        </w:rPr>
        <w:t>xxx</w:t>
      </w:r>
      <w:r w:rsidRPr="00966FF8">
        <w:t xml:space="preserve"> (</w:t>
      </w:r>
      <w:r w:rsidR="00294FDC" w:rsidRPr="00294FDC">
        <w:rPr>
          <w:color w:val="000000"/>
          <w:highlight w:val="black"/>
        </w:rPr>
        <w:t>xxxxx</w:t>
      </w:r>
      <w:r w:rsidRPr="00966FF8">
        <w:t>) TPC patients discontinued due to progressive disease;</w:t>
      </w:r>
      <w:r>
        <w:t xml:space="preserve"> </w:t>
      </w:r>
      <w:r w:rsidR="00294FDC" w:rsidRPr="00294FDC">
        <w:rPr>
          <w:color w:val="000000"/>
          <w:highlight w:val="black"/>
        </w:rPr>
        <w:t>xx</w:t>
      </w:r>
      <w:r w:rsidRPr="00360B63">
        <w:rPr>
          <w:u w:val="single"/>
        </w:rPr>
        <w:t xml:space="preserve"> </w:t>
      </w:r>
      <w:r>
        <w:t>(</w:t>
      </w:r>
      <w:r w:rsidR="00294FDC" w:rsidRPr="00294FDC">
        <w:rPr>
          <w:color w:val="000000"/>
          <w:highlight w:val="black"/>
        </w:rPr>
        <w:t>xxxx</w:t>
      </w:r>
      <w:r>
        <w:t xml:space="preserve">) T-DXd and </w:t>
      </w:r>
      <w:r w:rsidR="00294FDC" w:rsidRPr="00294FDC">
        <w:rPr>
          <w:color w:val="000000"/>
          <w:highlight w:val="black"/>
        </w:rPr>
        <w:t>x</w:t>
      </w:r>
      <w:r>
        <w:t xml:space="preserve"> (</w:t>
      </w:r>
      <w:r w:rsidR="00294FDC" w:rsidRPr="00294FDC">
        <w:rPr>
          <w:color w:val="000000"/>
          <w:highlight w:val="black"/>
        </w:rPr>
        <w:t>xxxx</w:t>
      </w:r>
      <w:r>
        <w:t xml:space="preserve">) TPC patients discontinued due to clinical progression; </w:t>
      </w:r>
      <w:r w:rsidR="00294FDC" w:rsidRPr="00294FDC">
        <w:rPr>
          <w:color w:val="000000"/>
          <w:highlight w:val="black"/>
        </w:rPr>
        <w:t>xx</w:t>
      </w:r>
      <w:r w:rsidRPr="00966FF8">
        <w:t xml:space="preserve"> (</w:t>
      </w:r>
      <w:r w:rsidR="00294FDC" w:rsidRPr="00294FDC">
        <w:rPr>
          <w:color w:val="000000"/>
          <w:highlight w:val="black"/>
        </w:rPr>
        <w:t>xxxxx</w:t>
      </w:r>
      <w:r w:rsidRPr="00966FF8">
        <w:t xml:space="preserve">) T-DXd and </w:t>
      </w:r>
      <w:r w:rsidR="00294FDC" w:rsidRPr="00294FDC">
        <w:rPr>
          <w:color w:val="000000"/>
          <w:highlight w:val="black"/>
        </w:rPr>
        <w:t>xx</w:t>
      </w:r>
      <w:r w:rsidRPr="00966FF8">
        <w:t xml:space="preserve"> (</w:t>
      </w:r>
      <w:r w:rsidR="00294FDC" w:rsidRPr="00294FDC">
        <w:rPr>
          <w:color w:val="000000"/>
          <w:highlight w:val="black"/>
        </w:rPr>
        <w:t>xxxx</w:t>
      </w:r>
      <w:r w:rsidRPr="00966FF8">
        <w:t xml:space="preserve">) TPC patients discontinued due to AEs; and for </w:t>
      </w:r>
      <w:r w:rsidR="00294FDC" w:rsidRPr="00294FDC">
        <w:rPr>
          <w:color w:val="000000"/>
          <w:highlight w:val="black"/>
        </w:rPr>
        <w:t>x</w:t>
      </w:r>
      <w:r w:rsidRPr="00360B63">
        <w:t xml:space="preserve"> </w:t>
      </w:r>
      <w:r w:rsidRPr="00966FF8">
        <w:t>(</w:t>
      </w:r>
      <w:r w:rsidR="00294FDC" w:rsidRPr="00294FDC">
        <w:rPr>
          <w:color w:val="000000"/>
          <w:highlight w:val="black"/>
        </w:rPr>
        <w:t>xxxx</w:t>
      </w:r>
      <w:r w:rsidRPr="00966FF8">
        <w:t xml:space="preserve">) T-DXd and </w:t>
      </w:r>
      <w:r w:rsidR="00294FDC" w:rsidRPr="00294FDC">
        <w:rPr>
          <w:color w:val="000000"/>
          <w:highlight w:val="black"/>
        </w:rPr>
        <w:t>x</w:t>
      </w:r>
      <w:r w:rsidRPr="00966FF8">
        <w:t xml:space="preserve"> (</w:t>
      </w:r>
      <w:r w:rsidR="00294FDC" w:rsidRPr="00294FDC">
        <w:rPr>
          <w:color w:val="000000"/>
          <w:highlight w:val="black"/>
        </w:rPr>
        <w:t>xxxx</w:t>
      </w:r>
      <w:r w:rsidRPr="00966FF8">
        <w:t>) TPC patients, the reason for discontinuation was death.</w:t>
      </w:r>
      <w:r w:rsidRPr="00966FF8">
        <w:fldChar w:fldCharType="begin"/>
      </w:r>
      <w:r w:rsidR="00CA6345">
        <w:instrText xml:space="preserve"> ADDIN ZOTERO_ITEM CSL_CITATION {"citationID":"qMEv6npx","properties":{"formattedCitation":"\\super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966FF8">
        <w:fldChar w:fldCharType="separate"/>
      </w:r>
      <w:r w:rsidR="00FD57F4" w:rsidRPr="00FD57F4">
        <w:rPr>
          <w:rFonts w:cs="Arial"/>
          <w:szCs w:val="24"/>
          <w:vertAlign w:val="superscript"/>
        </w:rPr>
        <w:t>7</w:t>
      </w:r>
      <w:r w:rsidRPr="00966FF8">
        <w:fldChar w:fldCharType="end"/>
      </w:r>
      <w:r w:rsidRPr="00966FF8">
        <w:t xml:space="preserve"> </w:t>
      </w:r>
      <w:r>
        <w:t xml:space="preserve">All percentages are based on the </w:t>
      </w:r>
      <w:r w:rsidR="00C9178E">
        <w:t>SAS</w:t>
      </w:r>
      <w:r>
        <w:t>.</w:t>
      </w:r>
    </w:p>
    <w:p w14:paraId="539BA193" w14:textId="7F832625" w:rsidR="000B148D" w:rsidRPr="00966FF8" w:rsidRDefault="000B148D" w:rsidP="000B148D">
      <w:pPr>
        <w:pStyle w:val="Body"/>
      </w:pPr>
      <w:r w:rsidRPr="00966FF8">
        <w:t>Among the single-agent chemotherapies permitted in TPC, eribulin was the most commonly used (94 [51.1%] patients</w:t>
      </w:r>
      <w:r>
        <w:t xml:space="preserve"> in the FAS</w:t>
      </w:r>
      <w:r w:rsidRPr="00966FF8">
        <w:t>), followed by capecitabine (37 [20.1%]), nab-paclitaxel (19 [10.3%]), gemcitabine (19 [10.3%]) and paclitaxel (15 [8.2%]).</w:t>
      </w:r>
      <w:r w:rsidRPr="00966FF8">
        <w:fldChar w:fldCharType="begin"/>
      </w:r>
      <w:r w:rsidR="00CA6345">
        <w:instrText xml:space="preserve"> ADDIN ZOTERO_ITEM CSL_CITATION {"citationID":"TcG3uacC","properties":{"formattedCitation":"\\super 140\\nosupersub{}","plainCitation":"140","noteIndex":0},"citationItems":[{"id":66138,"uris":["http://zotero.org/groups/4797619/items/7DECRJ2U"],"itemData":{"id":66138,"type":"document","title":"Trastuzumab deruxtecan (T-DXd) vs treatment of physician's choice in patients with HER2-low unresectable and/or metastatic breast cancer: Results of DESTINY-Breast04, a randomized, phase 3 study. Presented at ASCO 2022 Annual Meeting.","author":[{"family":"Modi","given":"Shanu"},{"family":"Jacot","given":"William"},{"family":"Yamashita","given":"Toshinari"},{"family":"Sohn","given":"Joohyuk"},{"family":"Vidal","given":"Maria"},{"family":"Tokunaga","given":"Eriko"},{"family":"Tsurutani","given":"Junji"},{"family":"Ueno","given":"Naoto T."},{"family":"Chae","given":"Yee Soo"},{"family":"Lee","given":"Keun Seok"},{"family":"Niikura","given":"Naoki"},{"family":"Park","given":"Yeon Hee"},{"family":"Wang","given":"Xiaojia"},{"family":"Xu","given":"Binghe"},{"family":"Gambhire","given":"Dhiraj"},{"family":"Yung","given":"Lotus"},{"family":"Meinhardt","given":"Gerold"},{"family":"Wang","given":"Yibin"},{"family":"Harbeck","given":"Nadia"},{"family":"Cameron","given":"David"}],"issued":{"date-parts":[["2022",6,5]]}}}],"schema":"https://github.com/citation-style-language/schema/raw/master/csl-citation.json"} </w:instrText>
      </w:r>
      <w:r w:rsidRPr="00966FF8">
        <w:fldChar w:fldCharType="separate"/>
      </w:r>
      <w:r w:rsidR="00CA6345" w:rsidRPr="00CA6345">
        <w:rPr>
          <w:rFonts w:cs="Arial"/>
          <w:szCs w:val="24"/>
          <w:vertAlign w:val="superscript"/>
        </w:rPr>
        <w:t>140</w:t>
      </w:r>
      <w:r w:rsidRPr="00966FF8">
        <w:fldChar w:fldCharType="end"/>
      </w:r>
      <w:r>
        <w:t xml:space="preserve"> </w:t>
      </w:r>
    </w:p>
    <w:p w14:paraId="149261B1" w14:textId="00C57A79" w:rsidR="000B148D" w:rsidRPr="003C648C" w:rsidRDefault="000B148D" w:rsidP="000B148D">
      <w:pPr>
        <w:pStyle w:val="Body"/>
        <w:keepNext/>
        <w:spacing w:after="0"/>
        <w:rPr>
          <w:rFonts w:cs="Arial"/>
          <w:b/>
        </w:rPr>
      </w:pPr>
      <w:bookmarkStart w:id="179" w:name="_Ref126933574"/>
      <w:bookmarkStart w:id="180" w:name="_Toc124447856"/>
      <w:bookmarkStart w:id="181" w:name="_Toc129350936"/>
      <w:r w:rsidRPr="003C648C">
        <w:rPr>
          <w:rFonts w:cs="Arial"/>
          <w:b/>
        </w:rPr>
        <w:lastRenderedPageBreak/>
        <w:t xml:space="preserve">Figure </w:t>
      </w:r>
      <w:r w:rsidRPr="00226FF8">
        <w:rPr>
          <w:rFonts w:cs="Arial"/>
          <w:b/>
          <w:bCs/>
        </w:rPr>
        <w:fldChar w:fldCharType="begin"/>
      </w:r>
      <w:r w:rsidRPr="003C648C">
        <w:rPr>
          <w:rFonts w:cs="Arial"/>
          <w:b/>
        </w:rPr>
        <w:instrText xml:space="preserve"> SEQ Figure \* ARABIC </w:instrText>
      </w:r>
      <w:r w:rsidRPr="00226FF8">
        <w:rPr>
          <w:rFonts w:cs="Arial"/>
          <w:b/>
          <w:bCs/>
        </w:rPr>
        <w:fldChar w:fldCharType="separate"/>
      </w:r>
      <w:r w:rsidR="00145F42">
        <w:rPr>
          <w:rFonts w:cs="Arial"/>
          <w:b/>
          <w:noProof/>
        </w:rPr>
        <w:t>10</w:t>
      </w:r>
      <w:r w:rsidRPr="00226FF8">
        <w:rPr>
          <w:rFonts w:cs="Arial"/>
          <w:b/>
          <w:bCs/>
        </w:rPr>
        <w:fldChar w:fldCharType="end"/>
      </w:r>
      <w:bookmarkEnd w:id="179"/>
      <w:r w:rsidRPr="003C648C">
        <w:rPr>
          <w:rFonts w:cs="Arial"/>
          <w:b/>
        </w:rPr>
        <w:t>: DESTINY-Breast04 | Patient disposition</w:t>
      </w:r>
      <w:bookmarkEnd w:id="180"/>
      <w:bookmarkEnd w:id="181"/>
    </w:p>
    <w:tbl>
      <w:tblPr>
        <w:tblStyle w:val="TableGrid"/>
        <w:tblW w:w="0" w:type="auto"/>
        <w:tblLook w:val="04A0" w:firstRow="1" w:lastRow="0" w:firstColumn="1" w:lastColumn="0" w:noHBand="0" w:noVBand="1"/>
      </w:tblPr>
      <w:tblGrid>
        <w:gridCol w:w="9016"/>
      </w:tblGrid>
      <w:tr w:rsidR="000B148D" w:rsidRPr="00966FF8" w14:paraId="633D5886" w14:textId="77777777">
        <w:tc>
          <w:tcPr>
            <w:tcW w:w="9016" w:type="dxa"/>
          </w:tcPr>
          <w:p w14:paraId="4EBA7C3F" w14:textId="77777777" w:rsidR="000B148D" w:rsidRPr="00966FF8" w:rsidRDefault="000B148D">
            <w:pPr>
              <w:pStyle w:val="Body"/>
              <w:tabs>
                <w:tab w:val="left" w:pos="5386"/>
              </w:tabs>
              <w:spacing w:before="120" w:after="120"/>
              <w:jc w:val="center"/>
              <w:rPr>
                <w:rFonts w:cs="Arial"/>
                <w:sz w:val="20"/>
                <w:szCs w:val="20"/>
                <w:lang w:val="fr-FR"/>
              </w:rPr>
            </w:pPr>
            <w:r w:rsidRPr="00966FF8">
              <w:rPr>
                <w:rFonts w:cs="Arial"/>
                <w:noProof/>
                <w:sz w:val="20"/>
                <w:szCs w:val="20"/>
              </w:rPr>
              <w:drawing>
                <wp:inline distT="0" distB="0" distL="0" distR="0" wp14:anchorId="4560C662" wp14:editId="2CA784A1">
                  <wp:extent cx="4572000" cy="44074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5889" cy="4411217"/>
                          </a:xfrm>
                          <a:prstGeom prst="rect">
                            <a:avLst/>
                          </a:prstGeom>
                          <a:noFill/>
                        </pic:spPr>
                      </pic:pic>
                    </a:graphicData>
                  </a:graphic>
                </wp:inline>
              </w:drawing>
            </w:r>
          </w:p>
        </w:tc>
      </w:tr>
    </w:tbl>
    <w:p w14:paraId="4379EC23" w14:textId="219F59F4" w:rsidR="000B148D" w:rsidRPr="00966FF8" w:rsidRDefault="000B148D" w:rsidP="000B148D">
      <w:pPr>
        <w:pStyle w:val="Footnotes"/>
      </w:pPr>
      <w:r w:rsidRPr="00966FF8">
        <w:t xml:space="preserve">Abbreviations: DCO, data cut-off; PK, pharmacokinetic; T-DXd, trastuzumab deruxtecan; TPC, treatment of physician’s choice. </w:t>
      </w:r>
      <w:r w:rsidRPr="00966FF8">
        <w:br/>
        <w:t>Source: Daiichi Sankyo Inc., 2022 (CSR; Data on File).</w:t>
      </w:r>
      <w:r w:rsidRPr="00966FF8">
        <w:fldChar w:fldCharType="begin"/>
      </w:r>
      <w:r w:rsidR="00CA6345">
        <w:instrText xml:space="preserve"> ADDIN ZOTERO_ITEM CSL_CITATION {"citationID":"a2m531la8e8","properties":{"formattedCitation":"\\super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966FF8">
        <w:fldChar w:fldCharType="separate"/>
      </w:r>
      <w:r w:rsidR="00FD57F4" w:rsidRPr="00FD57F4">
        <w:rPr>
          <w:rFonts w:cs="Arial"/>
          <w:szCs w:val="24"/>
          <w:vertAlign w:val="superscript"/>
        </w:rPr>
        <w:t>7</w:t>
      </w:r>
      <w:r w:rsidRPr="00966FF8">
        <w:fldChar w:fldCharType="end"/>
      </w:r>
    </w:p>
    <w:p w14:paraId="3764E44A" w14:textId="11DE63E9" w:rsidR="000B148D" w:rsidRPr="00966FF8" w:rsidRDefault="000B148D" w:rsidP="000B148D">
      <w:pPr>
        <w:pStyle w:val="Caption"/>
      </w:pPr>
      <w:bookmarkStart w:id="182" w:name="_Ref124228737"/>
      <w:bookmarkStart w:id="183" w:name="_Toc124447873"/>
      <w:bookmarkStart w:id="184" w:name="_Toc129350988"/>
      <w:r w:rsidRPr="00966FF8">
        <w:t xml:space="preserve">Table </w:t>
      </w:r>
      <w:r w:rsidRPr="00966FF8">
        <w:fldChar w:fldCharType="begin"/>
      </w:r>
      <w:r w:rsidRPr="00966FF8">
        <w:instrText>SEQ Table \* ARABIC</w:instrText>
      </w:r>
      <w:r w:rsidRPr="00966FF8">
        <w:fldChar w:fldCharType="separate"/>
      </w:r>
      <w:r w:rsidR="00145F42">
        <w:rPr>
          <w:noProof/>
        </w:rPr>
        <w:t>13</w:t>
      </w:r>
      <w:r w:rsidRPr="00966FF8">
        <w:fldChar w:fldCharType="end"/>
      </w:r>
      <w:bookmarkEnd w:id="182"/>
      <w:r w:rsidRPr="00966FF8">
        <w:t>: Disposition of all screened patients | HR-positive cohort and FAS</w:t>
      </w:r>
      <w:bookmarkEnd w:id="183"/>
      <w:bookmarkEnd w:id="184"/>
    </w:p>
    <w:tbl>
      <w:tblPr>
        <w:tblStyle w:val="TableGrid0"/>
        <w:tblW w:w="937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77"/>
        <w:gridCol w:w="1132"/>
        <w:gridCol w:w="1133"/>
        <w:gridCol w:w="1132"/>
        <w:gridCol w:w="1133"/>
        <w:gridCol w:w="1132"/>
        <w:gridCol w:w="1133"/>
      </w:tblGrid>
      <w:tr w:rsidR="000B148D" w:rsidRPr="00966FF8" w14:paraId="3ED81CF4" w14:textId="77777777">
        <w:trPr>
          <w:trHeight w:val="20"/>
        </w:trPr>
        <w:tc>
          <w:tcPr>
            <w:tcW w:w="2577" w:type="dxa"/>
            <w:vMerge w:val="restart"/>
            <w:shd w:val="clear" w:color="auto" w:fill="F2F2F2" w:themeFill="background1" w:themeFillShade="F2"/>
            <w:vAlign w:val="center"/>
          </w:tcPr>
          <w:p w14:paraId="3496C21A" w14:textId="77777777" w:rsidR="000B148D" w:rsidRPr="00966FF8" w:rsidRDefault="000B148D">
            <w:pPr>
              <w:ind w:left="16"/>
              <w:rPr>
                <w:rFonts w:cs="Arial"/>
                <w:sz w:val="20"/>
                <w:szCs w:val="20"/>
              </w:rPr>
            </w:pPr>
            <w:r w:rsidRPr="00966FF8">
              <w:rPr>
                <w:rFonts w:eastAsia="Times New Roman" w:cs="Arial"/>
                <w:b/>
                <w:sz w:val="20"/>
                <w:szCs w:val="20"/>
              </w:rPr>
              <w:t xml:space="preserve">Parameter </w:t>
            </w:r>
          </w:p>
        </w:tc>
        <w:tc>
          <w:tcPr>
            <w:tcW w:w="6795" w:type="dxa"/>
            <w:gridSpan w:val="6"/>
            <w:shd w:val="clear" w:color="auto" w:fill="F2F2F2" w:themeFill="background1" w:themeFillShade="F2"/>
          </w:tcPr>
          <w:p w14:paraId="16A12368" w14:textId="77777777" w:rsidR="000B148D" w:rsidRPr="00966FF8" w:rsidRDefault="000B148D">
            <w:pPr>
              <w:ind w:right="67"/>
              <w:jc w:val="center"/>
              <w:rPr>
                <w:rFonts w:cs="Arial"/>
                <w:sz w:val="20"/>
                <w:szCs w:val="20"/>
              </w:rPr>
            </w:pPr>
            <w:r w:rsidRPr="00966FF8">
              <w:rPr>
                <w:rFonts w:eastAsia="Times New Roman" w:cs="Arial"/>
                <w:b/>
                <w:sz w:val="20"/>
                <w:szCs w:val="20"/>
              </w:rPr>
              <w:t xml:space="preserve">Number (%) of patients </w:t>
            </w:r>
          </w:p>
        </w:tc>
      </w:tr>
      <w:tr w:rsidR="000B148D" w:rsidRPr="00966FF8" w14:paraId="1AA948E9" w14:textId="77777777">
        <w:trPr>
          <w:trHeight w:val="20"/>
        </w:trPr>
        <w:tc>
          <w:tcPr>
            <w:tcW w:w="2577" w:type="dxa"/>
            <w:vMerge/>
            <w:shd w:val="clear" w:color="auto" w:fill="F2F2F2" w:themeFill="background1" w:themeFillShade="F2"/>
            <w:vAlign w:val="center"/>
          </w:tcPr>
          <w:p w14:paraId="03DBA41F" w14:textId="77777777" w:rsidR="000B148D" w:rsidRPr="00966FF8" w:rsidRDefault="000B148D">
            <w:pPr>
              <w:rPr>
                <w:rFonts w:cs="Arial"/>
                <w:sz w:val="20"/>
                <w:szCs w:val="20"/>
              </w:rPr>
            </w:pPr>
          </w:p>
        </w:tc>
        <w:tc>
          <w:tcPr>
            <w:tcW w:w="3397" w:type="dxa"/>
            <w:gridSpan w:val="3"/>
            <w:shd w:val="clear" w:color="auto" w:fill="F2F2F2" w:themeFill="background1" w:themeFillShade="F2"/>
            <w:vAlign w:val="center"/>
          </w:tcPr>
          <w:p w14:paraId="1C33E6D2" w14:textId="77777777" w:rsidR="000B148D" w:rsidRPr="00966FF8" w:rsidRDefault="000B148D">
            <w:pPr>
              <w:ind w:right="61"/>
              <w:jc w:val="center"/>
              <w:rPr>
                <w:rFonts w:cs="Arial"/>
                <w:sz w:val="20"/>
                <w:szCs w:val="20"/>
              </w:rPr>
            </w:pPr>
            <w:r w:rsidRPr="00966FF8">
              <w:rPr>
                <w:rFonts w:eastAsia="Times New Roman" w:cs="Arial"/>
                <w:b/>
                <w:sz w:val="20"/>
                <w:szCs w:val="20"/>
              </w:rPr>
              <w:t>HR-positive cohort</w:t>
            </w:r>
          </w:p>
        </w:tc>
        <w:tc>
          <w:tcPr>
            <w:tcW w:w="3398" w:type="dxa"/>
            <w:gridSpan w:val="3"/>
            <w:shd w:val="clear" w:color="auto" w:fill="F2F2F2" w:themeFill="background1" w:themeFillShade="F2"/>
            <w:vAlign w:val="center"/>
          </w:tcPr>
          <w:p w14:paraId="0E2ACA8D" w14:textId="77777777" w:rsidR="000B148D" w:rsidRPr="00966FF8" w:rsidRDefault="000B148D">
            <w:pPr>
              <w:ind w:right="30"/>
              <w:jc w:val="center"/>
              <w:rPr>
                <w:rFonts w:cs="Arial"/>
                <w:sz w:val="20"/>
                <w:szCs w:val="20"/>
              </w:rPr>
            </w:pPr>
            <w:r>
              <w:rPr>
                <w:rFonts w:eastAsia="Times New Roman" w:cs="Arial"/>
                <w:b/>
                <w:sz w:val="20"/>
                <w:szCs w:val="20"/>
              </w:rPr>
              <w:t>FAS</w:t>
            </w:r>
          </w:p>
        </w:tc>
      </w:tr>
      <w:tr w:rsidR="000B148D" w:rsidRPr="00966FF8" w14:paraId="29000EB5" w14:textId="77777777">
        <w:trPr>
          <w:trHeight w:val="20"/>
        </w:trPr>
        <w:tc>
          <w:tcPr>
            <w:tcW w:w="2577" w:type="dxa"/>
            <w:vMerge/>
            <w:shd w:val="clear" w:color="auto" w:fill="F2F2F2" w:themeFill="background1" w:themeFillShade="F2"/>
            <w:vAlign w:val="center"/>
          </w:tcPr>
          <w:p w14:paraId="6B5EC345" w14:textId="77777777" w:rsidR="000B148D" w:rsidRPr="00966FF8" w:rsidRDefault="000B148D">
            <w:pPr>
              <w:rPr>
                <w:rFonts w:cs="Arial"/>
                <w:sz w:val="20"/>
                <w:szCs w:val="20"/>
              </w:rPr>
            </w:pPr>
          </w:p>
        </w:tc>
        <w:tc>
          <w:tcPr>
            <w:tcW w:w="1132" w:type="dxa"/>
            <w:shd w:val="clear" w:color="auto" w:fill="F2F2F2" w:themeFill="background1" w:themeFillShade="F2"/>
            <w:vAlign w:val="center"/>
          </w:tcPr>
          <w:p w14:paraId="2D7629D9" w14:textId="77777777" w:rsidR="000B148D" w:rsidRPr="00966FF8" w:rsidRDefault="000B148D">
            <w:pPr>
              <w:ind w:right="46"/>
              <w:jc w:val="center"/>
              <w:rPr>
                <w:rFonts w:cs="Arial"/>
                <w:sz w:val="20"/>
                <w:szCs w:val="20"/>
              </w:rPr>
            </w:pPr>
            <w:r w:rsidRPr="00966FF8">
              <w:rPr>
                <w:rFonts w:eastAsia="Times New Roman" w:cs="Arial"/>
                <w:b/>
                <w:sz w:val="20"/>
                <w:szCs w:val="20"/>
              </w:rPr>
              <w:t>T-DXd</w:t>
            </w:r>
          </w:p>
          <w:p w14:paraId="2930465F" w14:textId="77777777" w:rsidR="000B148D" w:rsidRPr="00966FF8" w:rsidRDefault="000B148D">
            <w:pPr>
              <w:ind w:left="48"/>
              <w:jc w:val="center"/>
              <w:rPr>
                <w:rFonts w:cs="Arial"/>
                <w:sz w:val="20"/>
                <w:szCs w:val="20"/>
              </w:rPr>
            </w:pPr>
            <w:r w:rsidRPr="00966FF8">
              <w:rPr>
                <w:rFonts w:eastAsia="Times New Roman" w:cs="Arial"/>
                <w:b/>
                <w:sz w:val="20"/>
                <w:szCs w:val="20"/>
              </w:rPr>
              <w:t>(</w:t>
            </w:r>
            <w:r>
              <w:rPr>
                <w:rFonts w:eastAsia="Times New Roman" w:cs="Arial"/>
                <w:b/>
                <w:sz w:val="20"/>
                <w:szCs w:val="20"/>
              </w:rPr>
              <w:t>N=</w:t>
            </w:r>
            <w:r w:rsidRPr="00966FF8">
              <w:rPr>
                <w:rFonts w:eastAsia="Times New Roman" w:cs="Arial"/>
                <w:b/>
                <w:sz w:val="20"/>
                <w:szCs w:val="20"/>
              </w:rPr>
              <w:t>331)</w:t>
            </w:r>
          </w:p>
        </w:tc>
        <w:tc>
          <w:tcPr>
            <w:tcW w:w="1133" w:type="dxa"/>
            <w:shd w:val="clear" w:color="auto" w:fill="F2F2F2" w:themeFill="background1" w:themeFillShade="F2"/>
            <w:vAlign w:val="center"/>
          </w:tcPr>
          <w:p w14:paraId="3C086A80" w14:textId="77777777" w:rsidR="000B148D" w:rsidRPr="00966FF8" w:rsidRDefault="000B148D">
            <w:pPr>
              <w:ind w:right="11"/>
              <w:jc w:val="center"/>
              <w:rPr>
                <w:rFonts w:cs="Arial"/>
                <w:b/>
                <w:sz w:val="20"/>
                <w:szCs w:val="20"/>
              </w:rPr>
            </w:pPr>
            <w:r w:rsidRPr="00966FF8">
              <w:rPr>
                <w:rFonts w:eastAsia="Times New Roman" w:cs="Arial"/>
                <w:b/>
                <w:sz w:val="20"/>
                <w:szCs w:val="20"/>
              </w:rPr>
              <w:t>TPC</w:t>
            </w:r>
          </w:p>
          <w:p w14:paraId="29EA8EFC" w14:textId="77777777" w:rsidR="000B148D" w:rsidRPr="00966FF8" w:rsidRDefault="000B148D">
            <w:pPr>
              <w:ind w:right="11"/>
              <w:jc w:val="center"/>
              <w:rPr>
                <w:rFonts w:cs="Arial"/>
                <w:sz w:val="20"/>
                <w:szCs w:val="20"/>
              </w:rPr>
            </w:pPr>
            <w:r w:rsidRPr="00966FF8">
              <w:rPr>
                <w:rFonts w:eastAsia="Times New Roman" w:cs="Arial"/>
                <w:b/>
                <w:sz w:val="20"/>
                <w:szCs w:val="20"/>
              </w:rPr>
              <w:t>(</w:t>
            </w:r>
            <w:r>
              <w:rPr>
                <w:rFonts w:eastAsia="Times New Roman" w:cs="Arial"/>
                <w:b/>
                <w:sz w:val="20"/>
                <w:szCs w:val="20"/>
              </w:rPr>
              <w:t>N=</w:t>
            </w:r>
            <w:r w:rsidRPr="00966FF8">
              <w:rPr>
                <w:rFonts w:eastAsia="Times New Roman" w:cs="Arial"/>
                <w:b/>
                <w:sz w:val="20"/>
                <w:szCs w:val="20"/>
              </w:rPr>
              <w:t>163)</w:t>
            </w:r>
          </w:p>
        </w:tc>
        <w:tc>
          <w:tcPr>
            <w:tcW w:w="1132" w:type="dxa"/>
            <w:shd w:val="clear" w:color="auto" w:fill="F2F2F2" w:themeFill="background1" w:themeFillShade="F2"/>
            <w:vAlign w:val="center"/>
          </w:tcPr>
          <w:p w14:paraId="267C3543" w14:textId="77777777" w:rsidR="000B148D" w:rsidRPr="00966FF8" w:rsidRDefault="000B148D">
            <w:pPr>
              <w:ind w:left="46" w:right="6"/>
              <w:jc w:val="center"/>
              <w:rPr>
                <w:rFonts w:eastAsia="Times New Roman" w:cs="Arial"/>
                <w:b/>
                <w:sz w:val="20"/>
                <w:szCs w:val="20"/>
              </w:rPr>
            </w:pPr>
            <w:r w:rsidRPr="00966FF8">
              <w:rPr>
                <w:rFonts w:eastAsia="Times New Roman" w:cs="Arial"/>
                <w:b/>
                <w:sz w:val="20"/>
                <w:szCs w:val="20"/>
              </w:rPr>
              <w:t>Total</w:t>
            </w:r>
          </w:p>
          <w:p w14:paraId="06140B68" w14:textId="77777777" w:rsidR="000B148D" w:rsidRPr="00966FF8" w:rsidRDefault="000B148D">
            <w:pPr>
              <w:ind w:left="46" w:right="6"/>
              <w:jc w:val="center"/>
              <w:rPr>
                <w:rFonts w:eastAsia="Times New Roman" w:cs="Arial"/>
                <w:b/>
                <w:sz w:val="20"/>
                <w:szCs w:val="20"/>
              </w:rPr>
            </w:pPr>
            <w:r w:rsidRPr="00966FF8">
              <w:rPr>
                <w:rFonts w:eastAsia="Times New Roman" w:cs="Arial"/>
                <w:b/>
                <w:sz w:val="20"/>
                <w:szCs w:val="20"/>
              </w:rPr>
              <w:t>(</w:t>
            </w:r>
            <w:r>
              <w:rPr>
                <w:rFonts w:eastAsia="Times New Roman" w:cs="Arial"/>
                <w:b/>
                <w:sz w:val="20"/>
                <w:szCs w:val="20"/>
              </w:rPr>
              <w:t>N=</w:t>
            </w:r>
            <w:r w:rsidRPr="00966FF8">
              <w:rPr>
                <w:rFonts w:eastAsia="Times New Roman" w:cs="Arial"/>
                <w:b/>
                <w:sz w:val="20"/>
                <w:szCs w:val="20"/>
              </w:rPr>
              <w:t>494)</w:t>
            </w:r>
          </w:p>
        </w:tc>
        <w:tc>
          <w:tcPr>
            <w:tcW w:w="1133" w:type="dxa"/>
            <w:shd w:val="clear" w:color="auto" w:fill="F2F2F2" w:themeFill="background1" w:themeFillShade="F2"/>
            <w:vAlign w:val="center"/>
          </w:tcPr>
          <w:p w14:paraId="4A0653DF" w14:textId="77777777" w:rsidR="000B148D" w:rsidRPr="00966FF8" w:rsidRDefault="000B148D">
            <w:pPr>
              <w:ind w:right="29"/>
              <w:jc w:val="center"/>
              <w:rPr>
                <w:rFonts w:cs="Arial"/>
                <w:sz w:val="20"/>
                <w:szCs w:val="20"/>
              </w:rPr>
            </w:pPr>
            <w:r w:rsidRPr="00966FF8">
              <w:rPr>
                <w:rFonts w:eastAsia="Times New Roman" w:cs="Arial"/>
                <w:b/>
                <w:sz w:val="20"/>
                <w:szCs w:val="20"/>
              </w:rPr>
              <w:t>T-DXd</w:t>
            </w:r>
          </w:p>
          <w:p w14:paraId="6FCC699A" w14:textId="77777777" w:rsidR="000B148D" w:rsidRPr="00966FF8" w:rsidRDefault="000B148D">
            <w:pPr>
              <w:ind w:left="64"/>
              <w:jc w:val="center"/>
              <w:rPr>
                <w:rFonts w:cs="Arial"/>
                <w:sz w:val="20"/>
                <w:szCs w:val="20"/>
              </w:rPr>
            </w:pPr>
            <w:r w:rsidRPr="00966FF8">
              <w:rPr>
                <w:rFonts w:eastAsia="Times New Roman" w:cs="Arial"/>
                <w:b/>
                <w:sz w:val="20"/>
                <w:szCs w:val="20"/>
              </w:rPr>
              <w:t>(</w:t>
            </w:r>
            <w:r>
              <w:rPr>
                <w:rFonts w:eastAsia="Times New Roman" w:cs="Arial"/>
                <w:b/>
                <w:sz w:val="20"/>
                <w:szCs w:val="20"/>
              </w:rPr>
              <w:t>N=</w:t>
            </w:r>
            <w:r w:rsidRPr="00966FF8">
              <w:rPr>
                <w:rFonts w:eastAsia="Times New Roman" w:cs="Arial"/>
                <w:b/>
                <w:sz w:val="20"/>
                <w:szCs w:val="20"/>
              </w:rPr>
              <w:t>373)</w:t>
            </w:r>
          </w:p>
        </w:tc>
        <w:tc>
          <w:tcPr>
            <w:tcW w:w="1132" w:type="dxa"/>
            <w:shd w:val="clear" w:color="auto" w:fill="F2F2F2" w:themeFill="background1" w:themeFillShade="F2"/>
            <w:vAlign w:val="center"/>
          </w:tcPr>
          <w:p w14:paraId="0FFC1FC0" w14:textId="77777777" w:rsidR="000B148D" w:rsidRPr="00966FF8" w:rsidRDefault="000B148D">
            <w:pPr>
              <w:ind w:right="22"/>
              <w:jc w:val="center"/>
              <w:rPr>
                <w:rFonts w:eastAsia="Times New Roman" w:cs="Arial"/>
                <w:b/>
                <w:sz w:val="20"/>
                <w:szCs w:val="20"/>
              </w:rPr>
            </w:pPr>
            <w:r w:rsidRPr="00966FF8">
              <w:rPr>
                <w:rFonts w:eastAsia="Times New Roman" w:cs="Arial"/>
                <w:b/>
                <w:sz w:val="20"/>
                <w:szCs w:val="20"/>
              </w:rPr>
              <w:t>TPC</w:t>
            </w:r>
          </w:p>
          <w:p w14:paraId="565AC451" w14:textId="77777777" w:rsidR="000B148D" w:rsidRPr="00966FF8" w:rsidRDefault="000B148D">
            <w:pPr>
              <w:ind w:left="48" w:right="22"/>
              <w:jc w:val="center"/>
              <w:rPr>
                <w:rFonts w:cs="Arial"/>
                <w:sz w:val="20"/>
                <w:szCs w:val="20"/>
              </w:rPr>
            </w:pPr>
            <w:r w:rsidRPr="00966FF8">
              <w:rPr>
                <w:rFonts w:eastAsia="Times New Roman" w:cs="Arial"/>
                <w:b/>
                <w:sz w:val="20"/>
                <w:szCs w:val="20"/>
              </w:rPr>
              <w:t>(</w:t>
            </w:r>
            <w:r>
              <w:rPr>
                <w:rFonts w:eastAsia="Times New Roman" w:cs="Arial"/>
                <w:b/>
                <w:sz w:val="20"/>
                <w:szCs w:val="20"/>
              </w:rPr>
              <w:t>N=</w:t>
            </w:r>
            <w:r w:rsidRPr="00966FF8">
              <w:rPr>
                <w:rFonts w:eastAsia="Times New Roman" w:cs="Arial"/>
                <w:b/>
                <w:sz w:val="20"/>
                <w:szCs w:val="20"/>
              </w:rPr>
              <w:t>184)</w:t>
            </w:r>
          </w:p>
        </w:tc>
        <w:tc>
          <w:tcPr>
            <w:tcW w:w="1133" w:type="dxa"/>
            <w:shd w:val="clear" w:color="auto" w:fill="F2F2F2" w:themeFill="background1" w:themeFillShade="F2"/>
            <w:vAlign w:val="center"/>
          </w:tcPr>
          <w:p w14:paraId="732A40C6" w14:textId="77777777" w:rsidR="000B148D" w:rsidRPr="00966FF8" w:rsidRDefault="000B148D">
            <w:pPr>
              <w:ind w:right="81"/>
              <w:jc w:val="center"/>
              <w:rPr>
                <w:rFonts w:eastAsia="Times New Roman" w:cs="Arial"/>
                <w:b/>
                <w:sz w:val="20"/>
                <w:szCs w:val="20"/>
              </w:rPr>
            </w:pPr>
            <w:r w:rsidRPr="00966FF8">
              <w:rPr>
                <w:rFonts w:eastAsia="Times New Roman" w:cs="Arial"/>
                <w:b/>
                <w:sz w:val="20"/>
                <w:szCs w:val="20"/>
              </w:rPr>
              <w:t>Total</w:t>
            </w:r>
          </w:p>
          <w:p w14:paraId="3703D49B" w14:textId="77777777" w:rsidR="000B148D" w:rsidRPr="00966FF8" w:rsidRDefault="000B148D">
            <w:pPr>
              <w:ind w:left="64" w:right="81"/>
              <w:jc w:val="center"/>
              <w:rPr>
                <w:rFonts w:cs="Arial"/>
                <w:sz w:val="20"/>
                <w:szCs w:val="20"/>
              </w:rPr>
            </w:pPr>
            <w:r w:rsidRPr="00966FF8">
              <w:rPr>
                <w:rFonts w:eastAsia="Times New Roman" w:cs="Arial"/>
                <w:b/>
                <w:sz w:val="20"/>
                <w:szCs w:val="20"/>
              </w:rPr>
              <w:t>(</w:t>
            </w:r>
            <w:r>
              <w:rPr>
                <w:rFonts w:eastAsia="Times New Roman" w:cs="Arial"/>
                <w:b/>
                <w:sz w:val="20"/>
                <w:szCs w:val="20"/>
              </w:rPr>
              <w:t>N=</w:t>
            </w:r>
            <w:r w:rsidRPr="00966FF8">
              <w:rPr>
                <w:rFonts w:eastAsia="Times New Roman" w:cs="Arial"/>
                <w:b/>
                <w:sz w:val="20"/>
                <w:szCs w:val="20"/>
              </w:rPr>
              <w:t>557)</w:t>
            </w:r>
          </w:p>
        </w:tc>
      </w:tr>
      <w:tr w:rsidR="000B148D" w:rsidRPr="00966FF8" w14:paraId="3FD93014" w14:textId="77777777">
        <w:trPr>
          <w:trHeight w:val="20"/>
        </w:trPr>
        <w:tc>
          <w:tcPr>
            <w:tcW w:w="2577" w:type="dxa"/>
            <w:shd w:val="clear" w:color="auto" w:fill="F2F2F2" w:themeFill="background1" w:themeFillShade="F2"/>
            <w:vAlign w:val="center"/>
          </w:tcPr>
          <w:p w14:paraId="02410BC7" w14:textId="77777777" w:rsidR="000B148D" w:rsidRPr="00966FF8" w:rsidRDefault="000B148D">
            <w:pPr>
              <w:ind w:left="16"/>
              <w:rPr>
                <w:rFonts w:cs="Arial"/>
                <w:b/>
                <w:bCs/>
                <w:sz w:val="20"/>
                <w:szCs w:val="20"/>
              </w:rPr>
            </w:pPr>
            <w:r w:rsidRPr="00966FF8">
              <w:rPr>
                <w:rFonts w:eastAsia="Times New Roman" w:cs="Arial"/>
                <w:b/>
                <w:bCs/>
                <w:sz w:val="20"/>
                <w:szCs w:val="20"/>
              </w:rPr>
              <w:t xml:space="preserve">Randomised </w:t>
            </w:r>
          </w:p>
        </w:tc>
        <w:tc>
          <w:tcPr>
            <w:tcW w:w="1132" w:type="dxa"/>
            <w:vAlign w:val="center"/>
          </w:tcPr>
          <w:p w14:paraId="146D727D" w14:textId="77777777" w:rsidR="000B148D" w:rsidRPr="00966FF8" w:rsidRDefault="000B148D">
            <w:pPr>
              <w:ind w:right="56"/>
              <w:jc w:val="center"/>
              <w:rPr>
                <w:rFonts w:cs="Arial"/>
                <w:sz w:val="20"/>
                <w:szCs w:val="20"/>
              </w:rPr>
            </w:pPr>
            <w:r w:rsidRPr="00966FF8">
              <w:rPr>
                <w:rFonts w:eastAsia="Times New Roman" w:cs="Arial"/>
                <w:sz w:val="20"/>
                <w:szCs w:val="20"/>
              </w:rPr>
              <w:t>331</w:t>
            </w:r>
          </w:p>
        </w:tc>
        <w:tc>
          <w:tcPr>
            <w:tcW w:w="1133" w:type="dxa"/>
            <w:vAlign w:val="center"/>
          </w:tcPr>
          <w:p w14:paraId="45CDEACC" w14:textId="77777777" w:rsidR="000B148D" w:rsidRPr="00966FF8" w:rsidRDefault="000B148D">
            <w:pPr>
              <w:ind w:right="40"/>
              <w:jc w:val="center"/>
              <w:rPr>
                <w:rFonts w:cs="Arial"/>
                <w:sz w:val="20"/>
                <w:szCs w:val="20"/>
              </w:rPr>
            </w:pPr>
            <w:r w:rsidRPr="00966FF8">
              <w:rPr>
                <w:rFonts w:eastAsia="Times New Roman" w:cs="Arial"/>
                <w:sz w:val="20"/>
                <w:szCs w:val="20"/>
              </w:rPr>
              <w:t>163</w:t>
            </w:r>
          </w:p>
        </w:tc>
        <w:tc>
          <w:tcPr>
            <w:tcW w:w="1132" w:type="dxa"/>
            <w:vAlign w:val="center"/>
          </w:tcPr>
          <w:p w14:paraId="07B5663C" w14:textId="77777777" w:rsidR="000B148D" w:rsidRPr="00966FF8" w:rsidRDefault="000B148D">
            <w:pPr>
              <w:ind w:right="40"/>
              <w:jc w:val="center"/>
              <w:rPr>
                <w:rFonts w:cs="Arial"/>
                <w:sz w:val="20"/>
                <w:szCs w:val="20"/>
              </w:rPr>
            </w:pPr>
            <w:r w:rsidRPr="00966FF8">
              <w:rPr>
                <w:rFonts w:eastAsia="Times New Roman" w:cs="Arial"/>
                <w:sz w:val="20"/>
                <w:szCs w:val="20"/>
              </w:rPr>
              <w:t>494</w:t>
            </w:r>
          </w:p>
        </w:tc>
        <w:tc>
          <w:tcPr>
            <w:tcW w:w="1133" w:type="dxa"/>
            <w:vAlign w:val="center"/>
          </w:tcPr>
          <w:p w14:paraId="551FC245" w14:textId="77777777" w:rsidR="000B148D" w:rsidRPr="00966FF8" w:rsidRDefault="000B148D">
            <w:pPr>
              <w:ind w:right="40"/>
              <w:jc w:val="center"/>
              <w:rPr>
                <w:rFonts w:cs="Arial"/>
                <w:sz w:val="20"/>
                <w:szCs w:val="20"/>
              </w:rPr>
            </w:pPr>
            <w:r w:rsidRPr="00966FF8">
              <w:rPr>
                <w:rFonts w:eastAsia="Times New Roman" w:cs="Arial"/>
                <w:sz w:val="20"/>
                <w:szCs w:val="20"/>
              </w:rPr>
              <w:t>373</w:t>
            </w:r>
          </w:p>
        </w:tc>
        <w:tc>
          <w:tcPr>
            <w:tcW w:w="1132" w:type="dxa"/>
            <w:vAlign w:val="center"/>
          </w:tcPr>
          <w:p w14:paraId="3E6CACEE" w14:textId="77777777" w:rsidR="000B148D" w:rsidRPr="00966FF8" w:rsidRDefault="000B148D">
            <w:pPr>
              <w:ind w:right="57"/>
              <w:jc w:val="center"/>
              <w:rPr>
                <w:rFonts w:cs="Arial"/>
                <w:sz w:val="20"/>
                <w:szCs w:val="20"/>
              </w:rPr>
            </w:pPr>
            <w:r w:rsidRPr="00966FF8">
              <w:rPr>
                <w:rFonts w:eastAsia="Times New Roman" w:cs="Arial"/>
                <w:sz w:val="20"/>
                <w:szCs w:val="20"/>
              </w:rPr>
              <w:t>184</w:t>
            </w:r>
          </w:p>
        </w:tc>
        <w:tc>
          <w:tcPr>
            <w:tcW w:w="1133" w:type="dxa"/>
            <w:vAlign w:val="center"/>
          </w:tcPr>
          <w:p w14:paraId="6A32F476" w14:textId="77777777" w:rsidR="000B148D" w:rsidRPr="00966FF8" w:rsidRDefault="000B148D">
            <w:pPr>
              <w:ind w:right="40"/>
              <w:jc w:val="center"/>
              <w:rPr>
                <w:rFonts w:cs="Arial"/>
                <w:sz w:val="20"/>
                <w:szCs w:val="20"/>
              </w:rPr>
            </w:pPr>
            <w:r w:rsidRPr="00966FF8">
              <w:rPr>
                <w:rFonts w:eastAsia="Times New Roman" w:cs="Arial"/>
                <w:sz w:val="20"/>
                <w:szCs w:val="20"/>
              </w:rPr>
              <w:t>557</w:t>
            </w:r>
          </w:p>
        </w:tc>
      </w:tr>
      <w:tr w:rsidR="000B148D" w:rsidRPr="00966FF8" w14:paraId="1199FF3D" w14:textId="77777777">
        <w:trPr>
          <w:trHeight w:val="20"/>
        </w:trPr>
        <w:tc>
          <w:tcPr>
            <w:tcW w:w="2577" w:type="dxa"/>
            <w:shd w:val="clear" w:color="auto" w:fill="F2F2F2" w:themeFill="background1" w:themeFillShade="F2"/>
            <w:vAlign w:val="center"/>
          </w:tcPr>
          <w:p w14:paraId="0A16479C" w14:textId="77777777" w:rsidR="000B148D" w:rsidRPr="00966FF8" w:rsidRDefault="000B148D">
            <w:pPr>
              <w:ind w:left="256"/>
              <w:rPr>
                <w:rFonts w:cs="Arial"/>
                <w:sz w:val="20"/>
                <w:szCs w:val="20"/>
              </w:rPr>
            </w:pPr>
            <w:r w:rsidRPr="00966FF8">
              <w:rPr>
                <w:rFonts w:eastAsia="Times New Roman" w:cs="Arial"/>
                <w:sz w:val="20"/>
                <w:szCs w:val="20"/>
              </w:rPr>
              <w:t xml:space="preserve">Randomised but not treated </w:t>
            </w:r>
          </w:p>
        </w:tc>
        <w:tc>
          <w:tcPr>
            <w:tcW w:w="1132" w:type="dxa"/>
            <w:vAlign w:val="center"/>
          </w:tcPr>
          <w:p w14:paraId="13C5E512" w14:textId="5F409F06" w:rsidR="000B148D" w:rsidRPr="00294FDC" w:rsidRDefault="00294FDC">
            <w:pPr>
              <w:ind w:right="61"/>
              <w:jc w:val="center"/>
              <w:rPr>
                <w:rFonts w:cs="Arial"/>
                <w:color w:val="000000"/>
                <w:sz w:val="20"/>
                <w:szCs w:val="20"/>
                <w:highlight w:val="black"/>
              </w:rPr>
            </w:pPr>
            <w:r w:rsidRPr="00294FDC">
              <w:rPr>
                <w:rFonts w:eastAsia="Times New Roman" w:cs="Arial"/>
                <w:color w:val="000000"/>
                <w:sz w:val="20"/>
                <w:szCs w:val="20"/>
                <w:highlight w:val="black"/>
              </w:rPr>
              <w:t>xxxxxxx</w:t>
            </w:r>
          </w:p>
        </w:tc>
        <w:tc>
          <w:tcPr>
            <w:tcW w:w="1133" w:type="dxa"/>
            <w:vAlign w:val="center"/>
          </w:tcPr>
          <w:p w14:paraId="29F19C43" w14:textId="1983EA4D" w:rsidR="000B148D" w:rsidRPr="00294FDC" w:rsidRDefault="00294FDC">
            <w:pPr>
              <w:ind w:right="29"/>
              <w:jc w:val="center"/>
              <w:rPr>
                <w:rFonts w:cs="Arial"/>
                <w:color w:val="000000"/>
                <w:sz w:val="20"/>
                <w:szCs w:val="20"/>
                <w:highlight w:val="black"/>
              </w:rPr>
            </w:pPr>
            <w:r w:rsidRPr="00294FDC">
              <w:rPr>
                <w:rFonts w:eastAsia="Times New Roman" w:cs="Arial"/>
                <w:color w:val="000000"/>
                <w:sz w:val="20"/>
                <w:szCs w:val="20"/>
                <w:highlight w:val="black"/>
              </w:rPr>
              <w:t>xxxxxxxx</w:t>
            </w:r>
          </w:p>
        </w:tc>
        <w:tc>
          <w:tcPr>
            <w:tcW w:w="1132" w:type="dxa"/>
            <w:vAlign w:val="center"/>
          </w:tcPr>
          <w:p w14:paraId="35047D13" w14:textId="11234FDD" w:rsidR="000B148D" w:rsidRPr="00294FDC" w:rsidRDefault="00294FDC">
            <w:pPr>
              <w:ind w:right="28"/>
              <w:jc w:val="center"/>
              <w:rPr>
                <w:rFonts w:cs="Arial"/>
                <w:color w:val="000000"/>
                <w:sz w:val="20"/>
                <w:szCs w:val="20"/>
                <w:highlight w:val="black"/>
              </w:rPr>
            </w:pPr>
            <w:r w:rsidRPr="00294FDC">
              <w:rPr>
                <w:rFonts w:eastAsia="Times New Roman" w:cs="Arial"/>
                <w:color w:val="000000"/>
                <w:sz w:val="20"/>
                <w:szCs w:val="20"/>
                <w:highlight w:val="black"/>
              </w:rPr>
              <w:t>xxxxxxxx</w:t>
            </w:r>
          </w:p>
        </w:tc>
        <w:tc>
          <w:tcPr>
            <w:tcW w:w="1133" w:type="dxa"/>
            <w:vAlign w:val="center"/>
          </w:tcPr>
          <w:p w14:paraId="083F075D" w14:textId="3E6E03AF" w:rsidR="000B148D" w:rsidRPr="00294FDC" w:rsidRDefault="00294FDC">
            <w:pPr>
              <w:ind w:right="44"/>
              <w:jc w:val="center"/>
              <w:rPr>
                <w:rFonts w:cs="Arial"/>
                <w:color w:val="000000"/>
                <w:sz w:val="20"/>
                <w:szCs w:val="20"/>
                <w:highlight w:val="black"/>
              </w:rPr>
            </w:pPr>
            <w:r w:rsidRPr="00294FDC">
              <w:rPr>
                <w:rFonts w:eastAsia="Times New Roman" w:cs="Arial"/>
                <w:color w:val="000000"/>
                <w:sz w:val="20"/>
                <w:szCs w:val="20"/>
                <w:highlight w:val="black"/>
              </w:rPr>
              <w:t>xxxxxxx</w:t>
            </w:r>
          </w:p>
        </w:tc>
        <w:tc>
          <w:tcPr>
            <w:tcW w:w="1132" w:type="dxa"/>
            <w:vAlign w:val="center"/>
          </w:tcPr>
          <w:p w14:paraId="750A3CDE" w14:textId="405BA34C" w:rsidR="000B148D" w:rsidRPr="00294FDC" w:rsidRDefault="00294FDC">
            <w:pPr>
              <w:ind w:right="44"/>
              <w:jc w:val="center"/>
              <w:rPr>
                <w:rFonts w:cs="Arial"/>
                <w:color w:val="000000"/>
                <w:sz w:val="20"/>
                <w:szCs w:val="20"/>
                <w:highlight w:val="black"/>
              </w:rPr>
            </w:pPr>
            <w:r w:rsidRPr="00294FDC">
              <w:rPr>
                <w:rFonts w:eastAsia="Times New Roman" w:cs="Arial"/>
                <w:color w:val="000000"/>
                <w:sz w:val="20"/>
                <w:szCs w:val="20"/>
                <w:highlight w:val="black"/>
              </w:rPr>
              <w:t>xxxxxxxx</w:t>
            </w:r>
          </w:p>
        </w:tc>
        <w:tc>
          <w:tcPr>
            <w:tcW w:w="1133" w:type="dxa"/>
            <w:vAlign w:val="center"/>
          </w:tcPr>
          <w:p w14:paraId="24CE18CC" w14:textId="5A049D46" w:rsidR="000B148D" w:rsidRPr="00294FDC" w:rsidRDefault="00294FDC">
            <w:pPr>
              <w:ind w:right="28"/>
              <w:jc w:val="center"/>
              <w:rPr>
                <w:rFonts w:cs="Arial"/>
                <w:color w:val="000000"/>
                <w:sz w:val="20"/>
                <w:szCs w:val="20"/>
                <w:highlight w:val="black"/>
              </w:rPr>
            </w:pPr>
            <w:r w:rsidRPr="00294FDC">
              <w:rPr>
                <w:rFonts w:eastAsia="Times New Roman" w:cs="Arial"/>
                <w:color w:val="000000"/>
                <w:sz w:val="20"/>
                <w:szCs w:val="20"/>
                <w:highlight w:val="black"/>
              </w:rPr>
              <w:t>xxxxxxxx</w:t>
            </w:r>
          </w:p>
        </w:tc>
      </w:tr>
      <w:tr w:rsidR="000B148D" w:rsidRPr="00966FF8" w14:paraId="72EB7F3D" w14:textId="77777777">
        <w:trPr>
          <w:trHeight w:val="20"/>
        </w:trPr>
        <w:tc>
          <w:tcPr>
            <w:tcW w:w="9372" w:type="dxa"/>
            <w:gridSpan w:val="7"/>
            <w:shd w:val="clear" w:color="auto" w:fill="F2F2F2" w:themeFill="background1" w:themeFillShade="F2"/>
            <w:vAlign w:val="center"/>
          </w:tcPr>
          <w:p w14:paraId="5BE17251" w14:textId="77777777" w:rsidR="000B148D" w:rsidRPr="00314A60" w:rsidRDefault="000B148D">
            <w:pPr>
              <w:ind w:right="28"/>
              <w:rPr>
                <w:rFonts w:eastAsia="Times New Roman" w:cs="Arial"/>
                <w:sz w:val="20"/>
                <w:szCs w:val="20"/>
                <w:vertAlign w:val="superscript"/>
              </w:rPr>
            </w:pPr>
            <w:r w:rsidRPr="00966FF8">
              <w:rPr>
                <w:rFonts w:eastAsia="Times New Roman" w:cs="Arial"/>
                <w:b/>
                <w:bCs/>
                <w:sz w:val="20"/>
                <w:szCs w:val="20"/>
              </w:rPr>
              <w:t>Study duration (months)</w:t>
            </w:r>
            <w:r>
              <w:rPr>
                <w:rFonts w:eastAsia="Times New Roman" w:cs="Arial"/>
                <w:b/>
                <w:bCs/>
                <w:sz w:val="20"/>
                <w:szCs w:val="20"/>
                <w:vertAlign w:val="superscript"/>
              </w:rPr>
              <w:t>a</w:t>
            </w:r>
          </w:p>
        </w:tc>
      </w:tr>
      <w:tr w:rsidR="000B148D" w:rsidRPr="00966FF8" w14:paraId="6024D5CD" w14:textId="77777777">
        <w:trPr>
          <w:trHeight w:val="20"/>
        </w:trPr>
        <w:tc>
          <w:tcPr>
            <w:tcW w:w="2577" w:type="dxa"/>
            <w:shd w:val="clear" w:color="auto" w:fill="F2F2F2" w:themeFill="background1" w:themeFillShade="F2"/>
            <w:vAlign w:val="center"/>
          </w:tcPr>
          <w:p w14:paraId="4F7D43FD" w14:textId="77777777" w:rsidR="000B148D" w:rsidRPr="00966FF8" w:rsidRDefault="000B148D">
            <w:pPr>
              <w:ind w:left="256"/>
              <w:rPr>
                <w:rFonts w:eastAsia="Times New Roman" w:cs="Arial"/>
                <w:sz w:val="20"/>
                <w:szCs w:val="20"/>
              </w:rPr>
            </w:pPr>
            <w:r w:rsidRPr="00966FF8">
              <w:rPr>
                <w:rFonts w:eastAsia="Times New Roman" w:cs="Arial"/>
                <w:sz w:val="20"/>
                <w:szCs w:val="20"/>
              </w:rPr>
              <w:t>Mean (SD)</w:t>
            </w:r>
          </w:p>
        </w:tc>
        <w:tc>
          <w:tcPr>
            <w:tcW w:w="1132" w:type="dxa"/>
            <w:vAlign w:val="center"/>
          </w:tcPr>
          <w:p w14:paraId="13A6326E" w14:textId="54671792" w:rsidR="000B148D" w:rsidRPr="00294FDC" w:rsidRDefault="00294FDC">
            <w:pPr>
              <w:ind w:right="61"/>
              <w:jc w:val="center"/>
              <w:rPr>
                <w:rFonts w:eastAsia="Times New Roman" w:cs="Arial"/>
                <w:color w:val="000000"/>
                <w:sz w:val="20"/>
                <w:szCs w:val="20"/>
                <w:highlight w:val="black"/>
              </w:rPr>
            </w:pPr>
            <w:r w:rsidRPr="00294FDC">
              <w:rPr>
                <w:rFonts w:eastAsia="Times New Roman" w:cs="Arial"/>
                <w:color w:val="000000"/>
                <w:sz w:val="20"/>
                <w:szCs w:val="20"/>
                <w:highlight w:val="black"/>
              </w:rPr>
              <w:t>xxxxxxxxxx</w:t>
            </w:r>
          </w:p>
        </w:tc>
        <w:tc>
          <w:tcPr>
            <w:tcW w:w="1133" w:type="dxa"/>
            <w:vAlign w:val="center"/>
          </w:tcPr>
          <w:p w14:paraId="69E9608D" w14:textId="180F51A8" w:rsidR="000B148D" w:rsidRPr="00294FDC" w:rsidRDefault="009059F3">
            <w:pPr>
              <w:ind w:right="29"/>
              <w:jc w:val="center"/>
              <w:rPr>
                <w:rFonts w:eastAsia="Times New Roman" w:cs="Arial"/>
                <w:color w:val="000000"/>
                <w:sz w:val="20"/>
                <w:szCs w:val="20"/>
                <w:highlight w:val="black"/>
              </w:rPr>
            </w:pPr>
            <w:r w:rsidRPr="00294FDC">
              <w:rPr>
                <w:rFonts w:eastAsia="Times New Roman" w:cs="Arial"/>
                <w:color w:val="000000"/>
                <w:sz w:val="20"/>
                <w:szCs w:val="20"/>
                <w:highlight w:val="black"/>
              </w:rPr>
              <w:t>X</w:t>
            </w:r>
            <w:r w:rsidR="00294FDC" w:rsidRPr="00294FDC">
              <w:rPr>
                <w:rFonts w:eastAsia="Times New Roman" w:cs="Arial"/>
                <w:color w:val="000000"/>
                <w:sz w:val="20"/>
                <w:szCs w:val="20"/>
                <w:highlight w:val="black"/>
              </w:rPr>
              <w:t>xxxxxxxxx</w:t>
            </w:r>
          </w:p>
        </w:tc>
        <w:tc>
          <w:tcPr>
            <w:tcW w:w="1132" w:type="dxa"/>
            <w:vAlign w:val="center"/>
          </w:tcPr>
          <w:p w14:paraId="392A0313" w14:textId="1EBC54B4" w:rsidR="000B148D" w:rsidRPr="00294FDC" w:rsidRDefault="00294FDC">
            <w:pPr>
              <w:ind w:right="28"/>
              <w:jc w:val="center"/>
              <w:rPr>
                <w:rFonts w:eastAsia="Times New Roman" w:cs="Arial"/>
                <w:color w:val="000000"/>
                <w:sz w:val="20"/>
                <w:szCs w:val="20"/>
                <w:highlight w:val="black"/>
              </w:rPr>
            </w:pPr>
            <w:r w:rsidRPr="00294FDC">
              <w:rPr>
                <w:rFonts w:eastAsia="Times New Roman" w:cs="Arial"/>
                <w:color w:val="000000"/>
                <w:sz w:val="20"/>
                <w:szCs w:val="20"/>
                <w:highlight w:val="black"/>
              </w:rPr>
              <w:t>xxxxxxxxxx</w:t>
            </w:r>
          </w:p>
        </w:tc>
        <w:tc>
          <w:tcPr>
            <w:tcW w:w="1133" w:type="dxa"/>
            <w:vAlign w:val="center"/>
          </w:tcPr>
          <w:p w14:paraId="1BC4C16D" w14:textId="3A0A397C" w:rsidR="000B148D" w:rsidRPr="00294FDC" w:rsidRDefault="00294FDC">
            <w:pPr>
              <w:ind w:right="44"/>
              <w:jc w:val="center"/>
              <w:rPr>
                <w:rFonts w:eastAsia="Times New Roman" w:cs="Arial"/>
                <w:color w:val="000000"/>
                <w:sz w:val="20"/>
                <w:szCs w:val="20"/>
                <w:highlight w:val="black"/>
              </w:rPr>
            </w:pPr>
            <w:r w:rsidRPr="00294FDC">
              <w:rPr>
                <w:rFonts w:eastAsia="Times New Roman" w:cs="Arial"/>
                <w:color w:val="000000"/>
                <w:sz w:val="20"/>
                <w:szCs w:val="20"/>
                <w:highlight w:val="black"/>
              </w:rPr>
              <w:t>xxxxxxxxxx</w:t>
            </w:r>
          </w:p>
        </w:tc>
        <w:tc>
          <w:tcPr>
            <w:tcW w:w="1132" w:type="dxa"/>
            <w:vAlign w:val="center"/>
          </w:tcPr>
          <w:p w14:paraId="663D3E0C" w14:textId="354C1773" w:rsidR="000B148D" w:rsidRPr="00294FDC" w:rsidRDefault="00294FDC">
            <w:pPr>
              <w:ind w:right="44"/>
              <w:jc w:val="center"/>
              <w:rPr>
                <w:rFonts w:eastAsia="Times New Roman" w:cs="Arial"/>
                <w:color w:val="000000"/>
                <w:sz w:val="20"/>
                <w:szCs w:val="20"/>
                <w:highlight w:val="black"/>
              </w:rPr>
            </w:pPr>
            <w:r w:rsidRPr="00294FDC">
              <w:rPr>
                <w:rFonts w:eastAsia="Times New Roman" w:cs="Arial"/>
                <w:color w:val="000000"/>
                <w:sz w:val="20"/>
                <w:szCs w:val="20"/>
                <w:highlight w:val="black"/>
              </w:rPr>
              <w:t>xxxxxxxxxx</w:t>
            </w:r>
          </w:p>
        </w:tc>
        <w:tc>
          <w:tcPr>
            <w:tcW w:w="1133" w:type="dxa"/>
            <w:vAlign w:val="center"/>
          </w:tcPr>
          <w:p w14:paraId="56824F30" w14:textId="432C629B" w:rsidR="000B148D" w:rsidRPr="00294FDC" w:rsidRDefault="00294FDC">
            <w:pPr>
              <w:ind w:right="28"/>
              <w:jc w:val="center"/>
              <w:rPr>
                <w:rFonts w:eastAsia="Times New Roman" w:cs="Arial"/>
                <w:color w:val="000000"/>
                <w:sz w:val="20"/>
                <w:szCs w:val="20"/>
                <w:highlight w:val="black"/>
              </w:rPr>
            </w:pPr>
            <w:r w:rsidRPr="00294FDC">
              <w:rPr>
                <w:rFonts w:eastAsia="Times New Roman" w:cs="Arial"/>
                <w:color w:val="000000"/>
                <w:sz w:val="20"/>
                <w:szCs w:val="20"/>
                <w:highlight w:val="black"/>
              </w:rPr>
              <w:t>xxxxxxxxxx</w:t>
            </w:r>
          </w:p>
        </w:tc>
      </w:tr>
      <w:tr w:rsidR="000B148D" w:rsidRPr="00966FF8" w14:paraId="5F1F98A6" w14:textId="77777777">
        <w:trPr>
          <w:trHeight w:val="20"/>
        </w:trPr>
        <w:tc>
          <w:tcPr>
            <w:tcW w:w="2577" w:type="dxa"/>
            <w:shd w:val="clear" w:color="auto" w:fill="F2F2F2" w:themeFill="background1" w:themeFillShade="F2"/>
            <w:vAlign w:val="center"/>
          </w:tcPr>
          <w:p w14:paraId="002B12DC" w14:textId="77777777" w:rsidR="000B148D" w:rsidRPr="00966FF8" w:rsidRDefault="000B148D">
            <w:pPr>
              <w:ind w:left="256"/>
              <w:rPr>
                <w:rFonts w:eastAsia="Times New Roman" w:cs="Arial"/>
                <w:sz w:val="20"/>
                <w:szCs w:val="20"/>
              </w:rPr>
            </w:pPr>
            <w:r w:rsidRPr="00966FF8">
              <w:rPr>
                <w:rFonts w:eastAsia="Times New Roman" w:cs="Arial"/>
                <w:sz w:val="20"/>
                <w:szCs w:val="20"/>
              </w:rPr>
              <w:t xml:space="preserve">Median </w:t>
            </w:r>
          </w:p>
        </w:tc>
        <w:tc>
          <w:tcPr>
            <w:tcW w:w="1132" w:type="dxa"/>
            <w:vAlign w:val="center"/>
          </w:tcPr>
          <w:p w14:paraId="0F7F3F4B" w14:textId="46F03A0A" w:rsidR="000B148D" w:rsidRPr="00294FDC" w:rsidRDefault="00294FDC">
            <w:pPr>
              <w:ind w:right="61"/>
              <w:jc w:val="center"/>
              <w:rPr>
                <w:rFonts w:eastAsia="Times New Roman" w:cs="Arial"/>
                <w:color w:val="000000"/>
                <w:sz w:val="20"/>
                <w:szCs w:val="20"/>
                <w:highlight w:val="black"/>
              </w:rPr>
            </w:pPr>
            <w:r w:rsidRPr="00294FDC">
              <w:rPr>
                <w:rFonts w:eastAsia="Times New Roman" w:cs="Arial"/>
                <w:color w:val="000000"/>
                <w:sz w:val="20"/>
                <w:szCs w:val="20"/>
                <w:highlight w:val="black"/>
              </w:rPr>
              <w:t>xxxx</w:t>
            </w:r>
          </w:p>
        </w:tc>
        <w:tc>
          <w:tcPr>
            <w:tcW w:w="1133" w:type="dxa"/>
            <w:vAlign w:val="center"/>
          </w:tcPr>
          <w:p w14:paraId="1FABCAA9" w14:textId="64794CF0" w:rsidR="000B148D" w:rsidRPr="00294FDC" w:rsidRDefault="00294FDC">
            <w:pPr>
              <w:ind w:right="29"/>
              <w:jc w:val="center"/>
              <w:rPr>
                <w:rFonts w:eastAsia="Times New Roman" w:cs="Arial"/>
                <w:color w:val="000000"/>
                <w:sz w:val="20"/>
                <w:szCs w:val="20"/>
                <w:highlight w:val="black"/>
              </w:rPr>
            </w:pPr>
            <w:r w:rsidRPr="00294FDC">
              <w:rPr>
                <w:rFonts w:eastAsia="Times New Roman" w:cs="Arial"/>
                <w:color w:val="000000"/>
                <w:sz w:val="20"/>
                <w:szCs w:val="20"/>
                <w:highlight w:val="black"/>
              </w:rPr>
              <w:t>xxxx</w:t>
            </w:r>
          </w:p>
        </w:tc>
        <w:tc>
          <w:tcPr>
            <w:tcW w:w="1132" w:type="dxa"/>
            <w:vAlign w:val="center"/>
          </w:tcPr>
          <w:p w14:paraId="1C8A6FE6" w14:textId="60A9A5E2" w:rsidR="000B148D" w:rsidRPr="00294FDC" w:rsidRDefault="00294FDC">
            <w:pPr>
              <w:ind w:right="28"/>
              <w:jc w:val="center"/>
              <w:rPr>
                <w:rFonts w:eastAsia="Times New Roman" w:cs="Arial"/>
                <w:color w:val="000000"/>
                <w:sz w:val="20"/>
                <w:szCs w:val="20"/>
                <w:highlight w:val="black"/>
              </w:rPr>
            </w:pPr>
            <w:r w:rsidRPr="00294FDC">
              <w:rPr>
                <w:rFonts w:eastAsia="Times New Roman" w:cs="Arial"/>
                <w:color w:val="000000"/>
                <w:sz w:val="20"/>
                <w:szCs w:val="20"/>
                <w:highlight w:val="black"/>
              </w:rPr>
              <w:t>xxxx</w:t>
            </w:r>
          </w:p>
        </w:tc>
        <w:tc>
          <w:tcPr>
            <w:tcW w:w="1133" w:type="dxa"/>
            <w:vAlign w:val="center"/>
          </w:tcPr>
          <w:p w14:paraId="05F38095" w14:textId="2CC0CFE9" w:rsidR="000B148D" w:rsidRPr="00294FDC" w:rsidRDefault="00294FDC">
            <w:pPr>
              <w:ind w:right="44"/>
              <w:jc w:val="center"/>
              <w:rPr>
                <w:rFonts w:eastAsia="Times New Roman" w:cs="Arial"/>
                <w:color w:val="000000"/>
                <w:sz w:val="20"/>
                <w:szCs w:val="20"/>
                <w:highlight w:val="black"/>
              </w:rPr>
            </w:pPr>
            <w:r w:rsidRPr="00294FDC">
              <w:rPr>
                <w:rFonts w:eastAsia="Times New Roman" w:cs="Arial"/>
                <w:color w:val="000000"/>
                <w:sz w:val="20"/>
                <w:szCs w:val="20"/>
                <w:highlight w:val="black"/>
              </w:rPr>
              <w:t>xxxx</w:t>
            </w:r>
          </w:p>
        </w:tc>
        <w:tc>
          <w:tcPr>
            <w:tcW w:w="1132" w:type="dxa"/>
            <w:vAlign w:val="center"/>
          </w:tcPr>
          <w:p w14:paraId="6998862E" w14:textId="7BF00DF2" w:rsidR="000B148D" w:rsidRPr="00294FDC" w:rsidRDefault="00294FDC">
            <w:pPr>
              <w:ind w:right="44"/>
              <w:jc w:val="center"/>
              <w:rPr>
                <w:rFonts w:eastAsia="Times New Roman" w:cs="Arial"/>
                <w:color w:val="000000"/>
                <w:sz w:val="20"/>
                <w:szCs w:val="20"/>
                <w:highlight w:val="black"/>
              </w:rPr>
            </w:pPr>
            <w:r w:rsidRPr="00294FDC">
              <w:rPr>
                <w:rFonts w:eastAsia="Times New Roman" w:cs="Arial"/>
                <w:color w:val="000000"/>
                <w:sz w:val="20"/>
                <w:szCs w:val="20"/>
                <w:highlight w:val="black"/>
              </w:rPr>
              <w:t>xxxx</w:t>
            </w:r>
          </w:p>
        </w:tc>
        <w:tc>
          <w:tcPr>
            <w:tcW w:w="1133" w:type="dxa"/>
            <w:vAlign w:val="center"/>
          </w:tcPr>
          <w:p w14:paraId="1B607971" w14:textId="068FCBC1" w:rsidR="000B148D" w:rsidRPr="00294FDC" w:rsidRDefault="00294FDC">
            <w:pPr>
              <w:ind w:right="28"/>
              <w:jc w:val="center"/>
              <w:rPr>
                <w:rFonts w:eastAsia="Times New Roman" w:cs="Arial"/>
                <w:color w:val="000000"/>
                <w:sz w:val="20"/>
                <w:szCs w:val="20"/>
                <w:highlight w:val="black"/>
              </w:rPr>
            </w:pPr>
            <w:r w:rsidRPr="00294FDC">
              <w:rPr>
                <w:rFonts w:eastAsia="Times New Roman" w:cs="Arial"/>
                <w:color w:val="000000"/>
                <w:sz w:val="20"/>
                <w:szCs w:val="20"/>
                <w:highlight w:val="black"/>
              </w:rPr>
              <w:t>xxxx</w:t>
            </w:r>
          </w:p>
        </w:tc>
      </w:tr>
      <w:tr w:rsidR="000B148D" w:rsidRPr="00966FF8" w14:paraId="63C446A9" w14:textId="77777777">
        <w:trPr>
          <w:trHeight w:val="20"/>
        </w:trPr>
        <w:tc>
          <w:tcPr>
            <w:tcW w:w="2577" w:type="dxa"/>
            <w:shd w:val="clear" w:color="auto" w:fill="F2F2F2" w:themeFill="background1" w:themeFillShade="F2"/>
            <w:vAlign w:val="center"/>
          </w:tcPr>
          <w:p w14:paraId="5A3005C6" w14:textId="77777777" w:rsidR="000B148D" w:rsidRPr="00966FF8" w:rsidRDefault="000B148D">
            <w:pPr>
              <w:ind w:left="256"/>
              <w:rPr>
                <w:rFonts w:eastAsia="Times New Roman" w:cs="Arial"/>
                <w:sz w:val="20"/>
                <w:szCs w:val="20"/>
              </w:rPr>
            </w:pPr>
            <w:r w:rsidRPr="00966FF8">
              <w:rPr>
                <w:rFonts w:eastAsia="Times New Roman" w:cs="Arial"/>
                <w:sz w:val="20"/>
                <w:szCs w:val="20"/>
              </w:rPr>
              <w:t>Min, max</w:t>
            </w:r>
          </w:p>
        </w:tc>
        <w:tc>
          <w:tcPr>
            <w:tcW w:w="1132" w:type="dxa"/>
            <w:vAlign w:val="center"/>
          </w:tcPr>
          <w:p w14:paraId="7F5A653A" w14:textId="6CD52AB0" w:rsidR="000B148D" w:rsidRPr="00294FDC" w:rsidRDefault="00294FDC">
            <w:pPr>
              <w:ind w:right="61"/>
              <w:jc w:val="center"/>
              <w:rPr>
                <w:rFonts w:eastAsia="Times New Roman" w:cs="Arial"/>
                <w:color w:val="000000"/>
                <w:sz w:val="20"/>
                <w:szCs w:val="20"/>
                <w:highlight w:val="black"/>
              </w:rPr>
            </w:pPr>
            <w:r w:rsidRPr="00294FDC">
              <w:rPr>
                <w:rFonts w:eastAsia="Times New Roman" w:cs="Arial"/>
                <w:color w:val="000000"/>
                <w:sz w:val="20"/>
                <w:szCs w:val="20"/>
                <w:highlight w:val="black"/>
              </w:rPr>
              <w:t>xxxxxxxxx</w:t>
            </w:r>
          </w:p>
        </w:tc>
        <w:tc>
          <w:tcPr>
            <w:tcW w:w="1133" w:type="dxa"/>
            <w:vAlign w:val="center"/>
          </w:tcPr>
          <w:p w14:paraId="49EA5C47" w14:textId="7717923E" w:rsidR="000B148D" w:rsidRPr="00294FDC" w:rsidRDefault="00294FDC">
            <w:pPr>
              <w:ind w:right="29"/>
              <w:jc w:val="center"/>
              <w:rPr>
                <w:rFonts w:eastAsia="Times New Roman" w:cs="Arial"/>
                <w:color w:val="000000"/>
                <w:sz w:val="20"/>
                <w:szCs w:val="20"/>
                <w:highlight w:val="black"/>
              </w:rPr>
            </w:pPr>
            <w:r w:rsidRPr="00294FDC">
              <w:rPr>
                <w:rFonts w:eastAsia="Times New Roman" w:cs="Arial"/>
                <w:color w:val="000000"/>
                <w:sz w:val="20"/>
                <w:szCs w:val="20"/>
                <w:highlight w:val="black"/>
              </w:rPr>
              <w:t>xxxxxxxxx</w:t>
            </w:r>
          </w:p>
        </w:tc>
        <w:tc>
          <w:tcPr>
            <w:tcW w:w="1132" w:type="dxa"/>
            <w:vAlign w:val="center"/>
          </w:tcPr>
          <w:p w14:paraId="3EE2F386" w14:textId="167261F1" w:rsidR="000B148D" w:rsidRPr="00294FDC" w:rsidRDefault="00294FDC">
            <w:pPr>
              <w:ind w:right="28"/>
              <w:jc w:val="center"/>
              <w:rPr>
                <w:rFonts w:eastAsia="Times New Roman" w:cs="Arial"/>
                <w:color w:val="000000"/>
                <w:sz w:val="20"/>
                <w:szCs w:val="20"/>
                <w:highlight w:val="black"/>
              </w:rPr>
            </w:pPr>
            <w:r w:rsidRPr="00294FDC">
              <w:rPr>
                <w:rFonts w:eastAsia="Times New Roman" w:cs="Arial"/>
                <w:color w:val="000000"/>
                <w:sz w:val="20"/>
                <w:szCs w:val="20"/>
                <w:highlight w:val="black"/>
              </w:rPr>
              <w:t>xxxxxxxxx</w:t>
            </w:r>
          </w:p>
        </w:tc>
        <w:tc>
          <w:tcPr>
            <w:tcW w:w="1133" w:type="dxa"/>
            <w:vAlign w:val="center"/>
          </w:tcPr>
          <w:p w14:paraId="23A52C74" w14:textId="29EAA359" w:rsidR="000B148D" w:rsidRPr="00294FDC" w:rsidRDefault="00294FDC">
            <w:pPr>
              <w:ind w:right="44"/>
              <w:jc w:val="center"/>
              <w:rPr>
                <w:rFonts w:eastAsia="Times New Roman" w:cs="Arial"/>
                <w:color w:val="000000"/>
                <w:sz w:val="20"/>
                <w:szCs w:val="20"/>
                <w:highlight w:val="black"/>
              </w:rPr>
            </w:pPr>
            <w:r w:rsidRPr="00294FDC">
              <w:rPr>
                <w:rFonts w:eastAsia="Times New Roman" w:cs="Arial"/>
                <w:color w:val="000000"/>
                <w:sz w:val="20"/>
                <w:szCs w:val="20"/>
                <w:highlight w:val="black"/>
              </w:rPr>
              <w:t>xxxxxxxxx</w:t>
            </w:r>
          </w:p>
        </w:tc>
        <w:tc>
          <w:tcPr>
            <w:tcW w:w="1132" w:type="dxa"/>
            <w:vAlign w:val="center"/>
          </w:tcPr>
          <w:p w14:paraId="12A730A4" w14:textId="14BB5204" w:rsidR="000B148D" w:rsidRPr="00294FDC" w:rsidRDefault="00294FDC">
            <w:pPr>
              <w:ind w:right="44"/>
              <w:jc w:val="center"/>
              <w:rPr>
                <w:rFonts w:eastAsia="Times New Roman" w:cs="Arial"/>
                <w:color w:val="000000"/>
                <w:sz w:val="20"/>
                <w:szCs w:val="20"/>
                <w:highlight w:val="black"/>
              </w:rPr>
            </w:pPr>
            <w:r w:rsidRPr="00294FDC">
              <w:rPr>
                <w:rFonts w:eastAsia="Times New Roman" w:cs="Arial"/>
                <w:color w:val="000000"/>
                <w:sz w:val="20"/>
                <w:szCs w:val="20"/>
                <w:highlight w:val="black"/>
              </w:rPr>
              <w:t>xxxxxxxxx</w:t>
            </w:r>
          </w:p>
        </w:tc>
        <w:tc>
          <w:tcPr>
            <w:tcW w:w="1133" w:type="dxa"/>
            <w:vAlign w:val="center"/>
          </w:tcPr>
          <w:p w14:paraId="3301B688" w14:textId="2B0F816F" w:rsidR="000B148D" w:rsidRPr="00294FDC" w:rsidRDefault="00294FDC">
            <w:pPr>
              <w:ind w:right="28"/>
              <w:jc w:val="center"/>
              <w:rPr>
                <w:rFonts w:eastAsia="Times New Roman" w:cs="Arial"/>
                <w:color w:val="000000"/>
                <w:sz w:val="20"/>
                <w:szCs w:val="20"/>
                <w:highlight w:val="black"/>
              </w:rPr>
            </w:pPr>
            <w:r w:rsidRPr="00294FDC">
              <w:rPr>
                <w:rFonts w:eastAsia="Times New Roman" w:cs="Arial"/>
                <w:color w:val="000000"/>
                <w:sz w:val="20"/>
                <w:szCs w:val="20"/>
                <w:highlight w:val="black"/>
              </w:rPr>
              <w:t>xxxxxxxxx</w:t>
            </w:r>
          </w:p>
        </w:tc>
      </w:tr>
      <w:tr w:rsidR="000B148D" w:rsidRPr="00966FF8" w14:paraId="1DAC8D75" w14:textId="77777777">
        <w:trPr>
          <w:trHeight w:val="20"/>
        </w:trPr>
        <w:tc>
          <w:tcPr>
            <w:tcW w:w="9372" w:type="dxa"/>
            <w:gridSpan w:val="7"/>
            <w:shd w:val="clear" w:color="auto" w:fill="F2F2F2" w:themeFill="background1" w:themeFillShade="F2"/>
            <w:vAlign w:val="center"/>
          </w:tcPr>
          <w:p w14:paraId="7BD7B7A1" w14:textId="2C4B4912" w:rsidR="000B148D" w:rsidRPr="003751BA" w:rsidRDefault="000B148D">
            <w:pPr>
              <w:ind w:left="4"/>
              <w:rPr>
                <w:rFonts w:cs="Arial"/>
                <w:b/>
                <w:sz w:val="20"/>
                <w:szCs w:val="20"/>
              </w:rPr>
            </w:pPr>
            <w:r w:rsidRPr="00031D4C">
              <w:rPr>
                <w:rFonts w:eastAsia="Times New Roman" w:cs="Arial"/>
                <w:b/>
                <w:bCs/>
                <w:sz w:val="20"/>
                <w:szCs w:val="20"/>
              </w:rPr>
              <w:t>Treatment status</w:t>
            </w:r>
            <w:r w:rsidRPr="00031D4C">
              <w:rPr>
                <w:rFonts w:eastAsia="Times New Roman" w:cs="Arial"/>
                <w:b/>
                <w:bCs/>
                <w:sz w:val="20"/>
                <w:szCs w:val="20"/>
                <w:vertAlign w:val="superscript"/>
              </w:rPr>
              <w:t xml:space="preserve"> </w:t>
            </w:r>
            <w:r w:rsidRPr="00031D4C">
              <w:rPr>
                <w:rFonts w:eastAsia="Times New Roman" w:cs="Arial"/>
                <w:b/>
                <w:bCs/>
                <w:sz w:val="20"/>
                <w:szCs w:val="20"/>
              </w:rPr>
              <w:t xml:space="preserve">(based on </w:t>
            </w:r>
            <w:r w:rsidR="007E582B">
              <w:rPr>
                <w:rFonts w:eastAsia="Times New Roman" w:cs="Arial"/>
                <w:b/>
                <w:bCs/>
                <w:sz w:val="20"/>
                <w:szCs w:val="20"/>
              </w:rPr>
              <w:t>SAS</w:t>
            </w:r>
            <w:r w:rsidRPr="00031D4C">
              <w:rPr>
                <w:rFonts w:eastAsia="Times New Roman" w:cs="Arial"/>
                <w:b/>
                <w:bCs/>
                <w:sz w:val="20"/>
                <w:szCs w:val="20"/>
              </w:rPr>
              <w:t>)</w:t>
            </w:r>
            <w:r w:rsidRPr="00031D4C">
              <w:rPr>
                <w:rFonts w:eastAsia="Times New Roman" w:cs="Arial"/>
                <w:b/>
                <w:bCs/>
                <w:sz w:val="20"/>
                <w:szCs w:val="20"/>
                <w:vertAlign w:val="superscript"/>
              </w:rPr>
              <w:t>b</w:t>
            </w:r>
          </w:p>
        </w:tc>
      </w:tr>
      <w:tr w:rsidR="000B148D" w:rsidRPr="00966FF8" w14:paraId="009C2615" w14:textId="77777777">
        <w:trPr>
          <w:trHeight w:val="20"/>
        </w:trPr>
        <w:tc>
          <w:tcPr>
            <w:tcW w:w="2577" w:type="dxa"/>
            <w:shd w:val="clear" w:color="auto" w:fill="F2F2F2" w:themeFill="background1" w:themeFillShade="F2"/>
            <w:vAlign w:val="center"/>
          </w:tcPr>
          <w:p w14:paraId="7FBB7F9E" w14:textId="77777777" w:rsidR="000B148D" w:rsidRPr="00031D4C" w:rsidRDefault="000B148D">
            <w:pPr>
              <w:ind w:left="256"/>
              <w:rPr>
                <w:rFonts w:eastAsia="Times New Roman" w:cs="Arial"/>
                <w:sz w:val="20"/>
                <w:szCs w:val="20"/>
              </w:rPr>
            </w:pPr>
            <w:r w:rsidRPr="00031D4C">
              <w:rPr>
                <w:rFonts w:eastAsia="Times New Roman" w:cs="Arial"/>
                <w:sz w:val="20"/>
                <w:szCs w:val="20"/>
              </w:rPr>
              <w:t>N in safety analysis set</w:t>
            </w:r>
          </w:p>
        </w:tc>
        <w:tc>
          <w:tcPr>
            <w:tcW w:w="1132" w:type="dxa"/>
            <w:vAlign w:val="center"/>
          </w:tcPr>
          <w:p w14:paraId="571BC07D" w14:textId="529254D9" w:rsidR="000B148D" w:rsidRPr="00294FDC" w:rsidRDefault="00294FDC">
            <w:pPr>
              <w:ind w:right="61"/>
              <w:jc w:val="center"/>
              <w:rPr>
                <w:rFonts w:eastAsia="Times New Roman" w:cs="Arial"/>
                <w:color w:val="000000"/>
                <w:sz w:val="20"/>
                <w:szCs w:val="20"/>
                <w:highlight w:val="black"/>
              </w:rPr>
            </w:pPr>
            <w:r w:rsidRPr="00294FDC">
              <w:rPr>
                <w:rFonts w:eastAsia="Times New Roman" w:cs="Arial"/>
                <w:color w:val="000000"/>
                <w:sz w:val="20"/>
                <w:szCs w:val="20"/>
                <w:highlight w:val="black"/>
              </w:rPr>
              <w:t>xxx</w:t>
            </w:r>
          </w:p>
        </w:tc>
        <w:tc>
          <w:tcPr>
            <w:tcW w:w="1133" w:type="dxa"/>
            <w:vAlign w:val="center"/>
          </w:tcPr>
          <w:p w14:paraId="5EB4716C" w14:textId="3F7232AD" w:rsidR="000B148D" w:rsidRPr="00294FDC" w:rsidRDefault="00294FDC">
            <w:pPr>
              <w:ind w:right="13"/>
              <w:jc w:val="center"/>
              <w:rPr>
                <w:rFonts w:eastAsia="Times New Roman" w:cs="Arial"/>
                <w:color w:val="000000"/>
                <w:sz w:val="20"/>
                <w:szCs w:val="20"/>
                <w:highlight w:val="black"/>
              </w:rPr>
            </w:pPr>
            <w:r w:rsidRPr="00294FDC">
              <w:rPr>
                <w:rFonts w:eastAsia="Times New Roman" w:cs="Arial"/>
                <w:color w:val="000000"/>
                <w:sz w:val="20"/>
                <w:szCs w:val="20"/>
                <w:highlight w:val="black"/>
              </w:rPr>
              <w:t>xxx</w:t>
            </w:r>
          </w:p>
        </w:tc>
        <w:tc>
          <w:tcPr>
            <w:tcW w:w="1132" w:type="dxa"/>
            <w:vAlign w:val="center"/>
          </w:tcPr>
          <w:p w14:paraId="4B70194C" w14:textId="23DBC827" w:rsidR="000B148D" w:rsidRPr="00294FDC" w:rsidRDefault="00294FDC">
            <w:pPr>
              <w:ind w:right="13"/>
              <w:jc w:val="center"/>
              <w:rPr>
                <w:rFonts w:eastAsia="Times New Roman" w:cs="Arial"/>
                <w:color w:val="000000"/>
                <w:sz w:val="20"/>
                <w:szCs w:val="20"/>
                <w:highlight w:val="black"/>
              </w:rPr>
            </w:pPr>
            <w:r w:rsidRPr="00294FDC">
              <w:rPr>
                <w:rFonts w:eastAsia="Times New Roman" w:cs="Arial"/>
                <w:color w:val="000000"/>
                <w:sz w:val="20"/>
                <w:szCs w:val="20"/>
                <w:highlight w:val="black"/>
              </w:rPr>
              <w:t>xxx</w:t>
            </w:r>
          </w:p>
        </w:tc>
        <w:tc>
          <w:tcPr>
            <w:tcW w:w="1133" w:type="dxa"/>
            <w:vAlign w:val="center"/>
          </w:tcPr>
          <w:p w14:paraId="26874304" w14:textId="77777777" w:rsidR="000B148D" w:rsidRPr="00031D4C" w:rsidRDefault="000B148D">
            <w:pPr>
              <w:ind w:right="45"/>
              <w:jc w:val="center"/>
              <w:rPr>
                <w:rFonts w:eastAsia="Times New Roman" w:cs="Arial"/>
                <w:sz w:val="20"/>
                <w:szCs w:val="20"/>
              </w:rPr>
            </w:pPr>
            <w:r w:rsidRPr="00031D4C">
              <w:rPr>
                <w:rFonts w:eastAsia="Times New Roman" w:cs="Arial"/>
                <w:sz w:val="20"/>
                <w:szCs w:val="20"/>
              </w:rPr>
              <w:t>371</w:t>
            </w:r>
          </w:p>
        </w:tc>
        <w:tc>
          <w:tcPr>
            <w:tcW w:w="1132" w:type="dxa"/>
            <w:vAlign w:val="center"/>
          </w:tcPr>
          <w:p w14:paraId="2E22B217" w14:textId="77777777" w:rsidR="000B148D" w:rsidRPr="00031D4C" w:rsidRDefault="000B148D">
            <w:pPr>
              <w:ind w:right="60"/>
              <w:jc w:val="center"/>
              <w:rPr>
                <w:rFonts w:eastAsia="Times New Roman" w:cs="Arial"/>
                <w:sz w:val="20"/>
                <w:szCs w:val="20"/>
              </w:rPr>
            </w:pPr>
            <w:r w:rsidRPr="00031D4C">
              <w:rPr>
                <w:rFonts w:eastAsia="Times New Roman" w:cs="Arial"/>
                <w:sz w:val="20"/>
                <w:szCs w:val="20"/>
              </w:rPr>
              <w:t>172</w:t>
            </w:r>
          </w:p>
        </w:tc>
        <w:tc>
          <w:tcPr>
            <w:tcW w:w="1133" w:type="dxa"/>
            <w:vAlign w:val="center"/>
          </w:tcPr>
          <w:p w14:paraId="0416FAB2" w14:textId="53BC129D" w:rsidR="000B148D" w:rsidRPr="00294FDC" w:rsidRDefault="00294FDC">
            <w:pPr>
              <w:ind w:right="44"/>
              <w:jc w:val="center"/>
              <w:rPr>
                <w:rFonts w:eastAsia="Times New Roman" w:cs="Arial"/>
                <w:color w:val="000000"/>
                <w:sz w:val="20"/>
                <w:szCs w:val="20"/>
                <w:highlight w:val="black"/>
              </w:rPr>
            </w:pPr>
            <w:r w:rsidRPr="00294FDC">
              <w:rPr>
                <w:rFonts w:eastAsia="Times New Roman" w:cs="Arial"/>
                <w:color w:val="000000"/>
                <w:sz w:val="20"/>
                <w:szCs w:val="20"/>
                <w:highlight w:val="black"/>
              </w:rPr>
              <w:t>xxx</w:t>
            </w:r>
          </w:p>
        </w:tc>
      </w:tr>
      <w:tr w:rsidR="000B148D" w:rsidRPr="00966FF8" w14:paraId="0C6E4B08" w14:textId="77777777">
        <w:trPr>
          <w:trHeight w:val="20"/>
        </w:trPr>
        <w:tc>
          <w:tcPr>
            <w:tcW w:w="2577" w:type="dxa"/>
            <w:shd w:val="clear" w:color="auto" w:fill="F2F2F2" w:themeFill="background1" w:themeFillShade="F2"/>
            <w:vAlign w:val="center"/>
          </w:tcPr>
          <w:p w14:paraId="016D9593" w14:textId="77777777" w:rsidR="000B148D" w:rsidRPr="00966FF8" w:rsidRDefault="000B148D">
            <w:pPr>
              <w:ind w:left="256"/>
              <w:rPr>
                <w:rFonts w:cs="Arial"/>
                <w:sz w:val="20"/>
                <w:szCs w:val="20"/>
              </w:rPr>
            </w:pPr>
            <w:r w:rsidRPr="00966FF8">
              <w:rPr>
                <w:rFonts w:eastAsia="Times New Roman" w:cs="Arial"/>
                <w:sz w:val="20"/>
                <w:szCs w:val="20"/>
              </w:rPr>
              <w:t xml:space="preserve">Ongoing </w:t>
            </w:r>
          </w:p>
        </w:tc>
        <w:tc>
          <w:tcPr>
            <w:tcW w:w="1132" w:type="dxa"/>
            <w:vAlign w:val="center"/>
          </w:tcPr>
          <w:p w14:paraId="640FE6BE" w14:textId="638825D2" w:rsidR="000B148D" w:rsidRPr="00294FDC" w:rsidRDefault="00294FDC">
            <w:pPr>
              <w:ind w:right="61"/>
              <w:jc w:val="center"/>
              <w:rPr>
                <w:rFonts w:cs="Arial"/>
                <w:color w:val="000000"/>
                <w:sz w:val="20"/>
                <w:szCs w:val="20"/>
                <w:highlight w:val="black"/>
              </w:rPr>
            </w:pPr>
            <w:r w:rsidRPr="00294FDC">
              <w:rPr>
                <w:rFonts w:eastAsia="Times New Roman" w:cs="Arial"/>
                <w:color w:val="000000"/>
                <w:sz w:val="20"/>
                <w:szCs w:val="20"/>
                <w:highlight w:val="black"/>
              </w:rPr>
              <w:t>xxxxxxxxx</w:t>
            </w:r>
          </w:p>
        </w:tc>
        <w:tc>
          <w:tcPr>
            <w:tcW w:w="1133" w:type="dxa"/>
            <w:vAlign w:val="center"/>
          </w:tcPr>
          <w:p w14:paraId="5113F128" w14:textId="5630F0C2" w:rsidR="000B148D" w:rsidRPr="00294FDC" w:rsidRDefault="00294FDC">
            <w:pPr>
              <w:ind w:right="13"/>
              <w:jc w:val="center"/>
              <w:rPr>
                <w:rFonts w:cs="Arial"/>
                <w:color w:val="000000"/>
                <w:sz w:val="20"/>
                <w:szCs w:val="20"/>
                <w:highlight w:val="black"/>
              </w:rPr>
            </w:pPr>
            <w:r w:rsidRPr="00294FDC">
              <w:rPr>
                <w:rFonts w:eastAsia="Times New Roman" w:cs="Arial"/>
                <w:color w:val="000000"/>
                <w:sz w:val="20"/>
                <w:szCs w:val="20"/>
                <w:highlight w:val="black"/>
              </w:rPr>
              <w:t>xxxxxxx</w:t>
            </w:r>
          </w:p>
        </w:tc>
        <w:tc>
          <w:tcPr>
            <w:tcW w:w="1132" w:type="dxa"/>
            <w:vAlign w:val="center"/>
          </w:tcPr>
          <w:p w14:paraId="05176CDE" w14:textId="110C14AF" w:rsidR="000B148D" w:rsidRPr="00294FDC" w:rsidRDefault="00294FDC">
            <w:pPr>
              <w:ind w:right="13"/>
              <w:jc w:val="center"/>
              <w:rPr>
                <w:rFonts w:cs="Arial"/>
                <w:color w:val="000000"/>
                <w:sz w:val="20"/>
                <w:szCs w:val="20"/>
                <w:highlight w:val="black"/>
              </w:rPr>
            </w:pPr>
            <w:r w:rsidRPr="00294FDC">
              <w:rPr>
                <w:rFonts w:eastAsia="Times New Roman" w:cs="Arial"/>
                <w:color w:val="000000"/>
                <w:sz w:val="20"/>
                <w:szCs w:val="20"/>
                <w:highlight w:val="black"/>
              </w:rPr>
              <w:t>xxxxxxxxx</w:t>
            </w:r>
          </w:p>
        </w:tc>
        <w:tc>
          <w:tcPr>
            <w:tcW w:w="1133" w:type="dxa"/>
            <w:vAlign w:val="center"/>
          </w:tcPr>
          <w:p w14:paraId="6EB83240" w14:textId="7C8324A5" w:rsidR="000B148D" w:rsidRPr="00294FDC" w:rsidRDefault="00294FDC">
            <w:pPr>
              <w:ind w:right="45"/>
              <w:jc w:val="center"/>
              <w:rPr>
                <w:rFonts w:cs="Arial"/>
                <w:color w:val="000000"/>
                <w:sz w:val="20"/>
                <w:szCs w:val="20"/>
                <w:highlight w:val="black"/>
              </w:rPr>
            </w:pPr>
            <w:r w:rsidRPr="00294FDC">
              <w:rPr>
                <w:rFonts w:eastAsia="Times New Roman" w:cs="Arial"/>
                <w:color w:val="000000"/>
                <w:sz w:val="20"/>
                <w:szCs w:val="20"/>
                <w:highlight w:val="black"/>
              </w:rPr>
              <w:t>xxxxxxxxx</w:t>
            </w:r>
          </w:p>
        </w:tc>
        <w:tc>
          <w:tcPr>
            <w:tcW w:w="1132" w:type="dxa"/>
            <w:vAlign w:val="center"/>
          </w:tcPr>
          <w:p w14:paraId="2B6CA488" w14:textId="00E5BF17" w:rsidR="000B148D" w:rsidRPr="00294FDC" w:rsidRDefault="00294FDC">
            <w:pPr>
              <w:ind w:right="60"/>
              <w:jc w:val="center"/>
              <w:rPr>
                <w:rFonts w:cs="Arial"/>
                <w:color w:val="000000"/>
                <w:sz w:val="20"/>
                <w:szCs w:val="20"/>
                <w:highlight w:val="black"/>
              </w:rPr>
            </w:pPr>
            <w:r w:rsidRPr="00294FDC">
              <w:rPr>
                <w:rFonts w:eastAsia="Times New Roman" w:cs="Arial"/>
                <w:color w:val="000000"/>
                <w:sz w:val="20"/>
                <w:szCs w:val="20"/>
                <w:highlight w:val="black"/>
              </w:rPr>
              <w:t>xxxxxxx</w:t>
            </w:r>
          </w:p>
        </w:tc>
        <w:tc>
          <w:tcPr>
            <w:tcW w:w="1133" w:type="dxa"/>
            <w:vAlign w:val="center"/>
          </w:tcPr>
          <w:p w14:paraId="01F0C2D0" w14:textId="293BC190" w:rsidR="000B148D" w:rsidRPr="00294FDC" w:rsidRDefault="00294FDC">
            <w:pPr>
              <w:ind w:right="44"/>
              <w:jc w:val="center"/>
              <w:rPr>
                <w:rFonts w:cs="Arial"/>
                <w:color w:val="000000"/>
                <w:sz w:val="20"/>
                <w:szCs w:val="20"/>
                <w:highlight w:val="black"/>
              </w:rPr>
            </w:pPr>
            <w:r w:rsidRPr="00294FDC">
              <w:rPr>
                <w:rFonts w:eastAsia="Times New Roman" w:cs="Arial"/>
                <w:color w:val="000000"/>
                <w:sz w:val="20"/>
                <w:szCs w:val="20"/>
                <w:highlight w:val="black"/>
              </w:rPr>
              <w:t>xxxxxxxxx</w:t>
            </w:r>
          </w:p>
        </w:tc>
      </w:tr>
      <w:tr w:rsidR="000B148D" w:rsidRPr="00966FF8" w14:paraId="50F4D87A" w14:textId="77777777">
        <w:trPr>
          <w:trHeight w:val="20"/>
        </w:trPr>
        <w:tc>
          <w:tcPr>
            <w:tcW w:w="2577" w:type="dxa"/>
            <w:shd w:val="clear" w:color="auto" w:fill="F2F2F2" w:themeFill="background1" w:themeFillShade="F2"/>
            <w:vAlign w:val="center"/>
          </w:tcPr>
          <w:p w14:paraId="7E411E7D" w14:textId="77777777" w:rsidR="000B148D" w:rsidRPr="00966FF8" w:rsidRDefault="000B148D">
            <w:pPr>
              <w:ind w:left="256"/>
              <w:rPr>
                <w:rFonts w:cs="Arial"/>
                <w:sz w:val="20"/>
                <w:szCs w:val="20"/>
              </w:rPr>
            </w:pPr>
            <w:r w:rsidRPr="00966FF8">
              <w:rPr>
                <w:rFonts w:eastAsia="Times New Roman" w:cs="Arial"/>
                <w:sz w:val="20"/>
                <w:szCs w:val="20"/>
              </w:rPr>
              <w:t xml:space="preserve">Discontinued </w:t>
            </w:r>
          </w:p>
        </w:tc>
        <w:tc>
          <w:tcPr>
            <w:tcW w:w="1132" w:type="dxa"/>
            <w:vAlign w:val="center"/>
          </w:tcPr>
          <w:p w14:paraId="233B952B" w14:textId="0BCB0163" w:rsidR="000B148D" w:rsidRPr="00294FDC" w:rsidRDefault="00294FDC">
            <w:pPr>
              <w:ind w:left="32"/>
              <w:jc w:val="center"/>
              <w:rPr>
                <w:rFonts w:cs="Arial"/>
                <w:color w:val="000000"/>
                <w:sz w:val="20"/>
                <w:szCs w:val="20"/>
                <w:highlight w:val="black"/>
              </w:rPr>
            </w:pPr>
            <w:r w:rsidRPr="00294FDC">
              <w:rPr>
                <w:rFonts w:eastAsia="Times New Roman" w:cs="Arial"/>
                <w:color w:val="000000"/>
                <w:sz w:val="20"/>
                <w:szCs w:val="20"/>
                <w:highlight w:val="black"/>
              </w:rPr>
              <w:t>xxxxxxxxxx</w:t>
            </w:r>
          </w:p>
        </w:tc>
        <w:tc>
          <w:tcPr>
            <w:tcW w:w="1133" w:type="dxa"/>
            <w:vAlign w:val="center"/>
          </w:tcPr>
          <w:p w14:paraId="3FD64F3D" w14:textId="6C8C8399" w:rsidR="000B148D" w:rsidRPr="00294FDC" w:rsidRDefault="00294FDC">
            <w:pPr>
              <w:ind w:right="30"/>
              <w:jc w:val="center"/>
              <w:rPr>
                <w:rFonts w:cs="Arial"/>
                <w:color w:val="000000"/>
                <w:sz w:val="20"/>
                <w:szCs w:val="20"/>
                <w:highlight w:val="black"/>
              </w:rPr>
            </w:pPr>
            <w:r w:rsidRPr="00294FDC">
              <w:rPr>
                <w:rFonts w:eastAsia="Times New Roman" w:cs="Arial"/>
                <w:color w:val="000000"/>
                <w:sz w:val="20"/>
                <w:szCs w:val="20"/>
                <w:highlight w:val="black"/>
              </w:rPr>
              <w:t>xxxxxxxxxx</w:t>
            </w:r>
          </w:p>
        </w:tc>
        <w:tc>
          <w:tcPr>
            <w:tcW w:w="1132" w:type="dxa"/>
            <w:vAlign w:val="center"/>
          </w:tcPr>
          <w:p w14:paraId="1BAAAEFB" w14:textId="7EFFF551" w:rsidR="000B148D" w:rsidRPr="00294FDC" w:rsidRDefault="00294FDC">
            <w:pPr>
              <w:ind w:right="30"/>
              <w:jc w:val="center"/>
              <w:rPr>
                <w:rFonts w:cs="Arial"/>
                <w:color w:val="000000"/>
                <w:sz w:val="20"/>
                <w:szCs w:val="20"/>
                <w:highlight w:val="black"/>
              </w:rPr>
            </w:pPr>
            <w:r w:rsidRPr="00294FDC">
              <w:rPr>
                <w:rFonts w:eastAsia="Times New Roman" w:cs="Arial"/>
                <w:color w:val="000000"/>
                <w:sz w:val="20"/>
                <w:szCs w:val="20"/>
                <w:highlight w:val="black"/>
              </w:rPr>
              <w:t>xxxxxxxxxx</w:t>
            </w:r>
          </w:p>
        </w:tc>
        <w:tc>
          <w:tcPr>
            <w:tcW w:w="1133" w:type="dxa"/>
            <w:vAlign w:val="center"/>
          </w:tcPr>
          <w:p w14:paraId="7E078229" w14:textId="27DB2B9D" w:rsidR="000B148D" w:rsidRPr="00294FDC" w:rsidRDefault="00294FDC">
            <w:pPr>
              <w:ind w:left="48"/>
              <w:jc w:val="center"/>
              <w:rPr>
                <w:rFonts w:cs="Arial"/>
                <w:color w:val="000000"/>
                <w:sz w:val="20"/>
                <w:szCs w:val="20"/>
                <w:highlight w:val="black"/>
              </w:rPr>
            </w:pPr>
            <w:r w:rsidRPr="00294FDC">
              <w:rPr>
                <w:rFonts w:eastAsia="Times New Roman" w:cs="Arial"/>
                <w:color w:val="000000"/>
                <w:sz w:val="20"/>
                <w:szCs w:val="20"/>
                <w:highlight w:val="black"/>
              </w:rPr>
              <w:t>xxxxxxxxxx</w:t>
            </w:r>
          </w:p>
        </w:tc>
        <w:tc>
          <w:tcPr>
            <w:tcW w:w="1132" w:type="dxa"/>
            <w:vAlign w:val="center"/>
          </w:tcPr>
          <w:p w14:paraId="01195AD5" w14:textId="0B11B637" w:rsidR="000B148D" w:rsidRPr="00294FDC" w:rsidRDefault="00294FDC">
            <w:pPr>
              <w:ind w:left="32"/>
              <w:jc w:val="center"/>
              <w:rPr>
                <w:rFonts w:cs="Arial"/>
                <w:color w:val="000000"/>
                <w:sz w:val="20"/>
                <w:szCs w:val="20"/>
                <w:highlight w:val="black"/>
              </w:rPr>
            </w:pPr>
            <w:r w:rsidRPr="00294FDC">
              <w:rPr>
                <w:rFonts w:eastAsia="Times New Roman" w:cs="Arial"/>
                <w:color w:val="000000"/>
                <w:sz w:val="20"/>
                <w:szCs w:val="20"/>
                <w:highlight w:val="black"/>
              </w:rPr>
              <w:t>xxxxxxxxxx</w:t>
            </w:r>
          </w:p>
        </w:tc>
        <w:tc>
          <w:tcPr>
            <w:tcW w:w="1133" w:type="dxa"/>
            <w:vAlign w:val="center"/>
          </w:tcPr>
          <w:p w14:paraId="44BE3B46" w14:textId="1E2A11A2" w:rsidR="000B148D" w:rsidRPr="00294FDC" w:rsidRDefault="00294FDC">
            <w:pPr>
              <w:ind w:left="48"/>
              <w:jc w:val="center"/>
              <w:rPr>
                <w:rFonts w:cs="Arial"/>
                <w:color w:val="000000"/>
                <w:sz w:val="20"/>
                <w:szCs w:val="20"/>
                <w:highlight w:val="black"/>
              </w:rPr>
            </w:pPr>
            <w:r w:rsidRPr="00294FDC">
              <w:rPr>
                <w:rFonts w:eastAsia="Times New Roman" w:cs="Arial"/>
                <w:color w:val="000000"/>
                <w:sz w:val="20"/>
                <w:szCs w:val="20"/>
                <w:highlight w:val="black"/>
              </w:rPr>
              <w:t>xxxxxxxxxx</w:t>
            </w:r>
          </w:p>
        </w:tc>
      </w:tr>
      <w:tr w:rsidR="000B148D" w:rsidRPr="00966FF8" w14:paraId="116E79B2" w14:textId="77777777">
        <w:trPr>
          <w:trHeight w:val="20"/>
        </w:trPr>
        <w:tc>
          <w:tcPr>
            <w:tcW w:w="9372" w:type="dxa"/>
            <w:gridSpan w:val="7"/>
            <w:shd w:val="clear" w:color="auto" w:fill="F2F2F2" w:themeFill="background1" w:themeFillShade="F2"/>
            <w:vAlign w:val="center"/>
          </w:tcPr>
          <w:p w14:paraId="5C21A2C6" w14:textId="0D041C08" w:rsidR="000B148D" w:rsidRPr="00031D4C" w:rsidRDefault="000B148D">
            <w:pPr>
              <w:ind w:left="4"/>
              <w:rPr>
                <w:rFonts w:cs="Arial"/>
                <w:b/>
                <w:bCs/>
                <w:sz w:val="20"/>
                <w:szCs w:val="20"/>
              </w:rPr>
            </w:pPr>
            <w:r w:rsidRPr="00031D4C">
              <w:rPr>
                <w:rFonts w:eastAsia="Times New Roman" w:cs="Arial"/>
                <w:b/>
                <w:bCs/>
                <w:sz w:val="20"/>
                <w:szCs w:val="20"/>
              </w:rPr>
              <w:t xml:space="preserve">Primary reason for study drug discontinuation (based on </w:t>
            </w:r>
            <w:r w:rsidR="007E582B">
              <w:rPr>
                <w:rFonts w:eastAsia="Times New Roman" w:cs="Arial"/>
                <w:b/>
                <w:bCs/>
                <w:sz w:val="20"/>
                <w:szCs w:val="20"/>
              </w:rPr>
              <w:t>SAS</w:t>
            </w:r>
            <w:r w:rsidRPr="00031D4C">
              <w:rPr>
                <w:rFonts w:eastAsia="Times New Roman" w:cs="Arial"/>
                <w:b/>
                <w:bCs/>
                <w:sz w:val="20"/>
                <w:szCs w:val="20"/>
              </w:rPr>
              <w:t>)</w:t>
            </w:r>
            <w:r w:rsidRPr="00031D4C">
              <w:rPr>
                <w:rFonts w:eastAsia="Times New Roman" w:cs="Arial"/>
                <w:b/>
                <w:bCs/>
                <w:sz w:val="20"/>
                <w:szCs w:val="20"/>
                <w:vertAlign w:val="superscript"/>
              </w:rPr>
              <w:t xml:space="preserve">b </w:t>
            </w:r>
          </w:p>
        </w:tc>
      </w:tr>
      <w:tr w:rsidR="000B148D" w:rsidRPr="00966FF8" w14:paraId="194ECD5F" w14:textId="77777777">
        <w:trPr>
          <w:trHeight w:val="20"/>
        </w:trPr>
        <w:tc>
          <w:tcPr>
            <w:tcW w:w="2577" w:type="dxa"/>
            <w:shd w:val="clear" w:color="auto" w:fill="F2F2F2" w:themeFill="background1" w:themeFillShade="F2"/>
            <w:vAlign w:val="center"/>
          </w:tcPr>
          <w:p w14:paraId="563F6D7E" w14:textId="77777777" w:rsidR="000B148D" w:rsidRPr="003C648C" w:rsidRDefault="000B148D">
            <w:pPr>
              <w:ind w:left="256"/>
              <w:rPr>
                <w:rFonts w:eastAsia="Times New Roman" w:cs="Arial"/>
                <w:sz w:val="20"/>
                <w:szCs w:val="20"/>
              </w:rPr>
            </w:pPr>
            <w:r w:rsidRPr="003C648C">
              <w:rPr>
                <w:rFonts w:eastAsia="Times New Roman" w:cs="Arial"/>
                <w:sz w:val="20"/>
                <w:szCs w:val="20"/>
              </w:rPr>
              <w:t>N in safety analysis set</w:t>
            </w:r>
          </w:p>
        </w:tc>
        <w:tc>
          <w:tcPr>
            <w:tcW w:w="1132" w:type="dxa"/>
            <w:vAlign w:val="center"/>
          </w:tcPr>
          <w:p w14:paraId="5A584DB8" w14:textId="61D6AC13" w:rsidR="000B148D" w:rsidRPr="00294FDC" w:rsidRDefault="00294FDC">
            <w:pPr>
              <w:ind w:left="32"/>
              <w:jc w:val="center"/>
              <w:rPr>
                <w:rFonts w:eastAsia="Times New Roman" w:cs="Arial"/>
                <w:color w:val="000000"/>
                <w:sz w:val="20"/>
                <w:szCs w:val="20"/>
                <w:highlight w:val="black"/>
              </w:rPr>
            </w:pPr>
            <w:r w:rsidRPr="00294FDC">
              <w:rPr>
                <w:rFonts w:eastAsia="Times New Roman" w:cs="Arial"/>
                <w:color w:val="000000"/>
                <w:sz w:val="20"/>
                <w:szCs w:val="20"/>
                <w:highlight w:val="black"/>
              </w:rPr>
              <w:t>xxx</w:t>
            </w:r>
          </w:p>
        </w:tc>
        <w:tc>
          <w:tcPr>
            <w:tcW w:w="1133" w:type="dxa"/>
            <w:vAlign w:val="center"/>
          </w:tcPr>
          <w:p w14:paraId="08AA689C" w14:textId="6747DB64" w:rsidR="000B148D" w:rsidRPr="00294FDC" w:rsidRDefault="00294FDC">
            <w:pPr>
              <w:ind w:right="30"/>
              <w:jc w:val="center"/>
              <w:rPr>
                <w:rFonts w:eastAsia="Times New Roman" w:cs="Arial"/>
                <w:color w:val="000000"/>
                <w:sz w:val="20"/>
                <w:szCs w:val="20"/>
                <w:highlight w:val="black"/>
              </w:rPr>
            </w:pPr>
            <w:r w:rsidRPr="00294FDC">
              <w:rPr>
                <w:rFonts w:eastAsia="Times New Roman" w:cs="Arial"/>
                <w:color w:val="000000"/>
                <w:sz w:val="20"/>
                <w:szCs w:val="20"/>
                <w:highlight w:val="black"/>
              </w:rPr>
              <w:t>xxx</w:t>
            </w:r>
          </w:p>
        </w:tc>
        <w:tc>
          <w:tcPr>
            <w:tcW w:w="1132" w:type="dxa"/>
            <w:vAlign w:val="center"/>
          </w:tcPr>
          <w:p w14:paraId="0C7BD735" w14:textId="22696DA0" w:rsidR="000B148D" w:rsidRPr="00294FDC" w:rsidRDefault="00294FDC">
            <w:pPr>
              <w:ind w:right="30"/>
              <w:jc w:val="center"/>
              <w:rPr>
                <w:rFonts w:eastAsia="Times New Roman" w:cs="Arial"/>
                <w:color w:val="000000"/>
                <w:sz w:val="20"/>
                <w:szCs w:val="20"/>
                <w:highlight w:val="black"/>
              </w:rPr>
            </w:pPr>
            <w:r w:rsidRPr="00294FDC">
              <w:rPr>
                <w:rFonts w:eastAsia="Times New Roman" w:cs="Arial"/>
                <w:color w:val="000000"/>
                <w:sz w:val="20"/>
                <w:szCs w:val="20"/>
                <w:highlight w:val="black"/>
              </w:rPr>
              <w:t>xxx</w:t>
            </w:r>
          </w:p>
        </w:tc>
        <w:tc>
          <w:tcPr>
            <w:tcW w:w="1133" w:type="dxa"/>
            <w:vAlign w:val="center"/>
          </w:tcPr>
          <w:p w14:paraId="05FBB804" w14:textId="1B637A12" w:rsidR="000B148D" w:rsidRPr="00294FDC" w:rsidRDefault="00294FDC">
            <w:pPr>
              <w:ind w:left="48"/>
              <w:jc w:val="center"/>
              <w:rPr>
                <w:rFonts w:eastAsia="Times New Roman" w:cs="Arial"/>
                <w:color w:val="000000"/>
                <w:sz w:val="20"/>
                <w:szCs w:val="20"/>
                <w:highlight w:val="black"/>
              </w:rPr>
            </w:pPr>
            <w:r w:rsidRPr="00294FDC">
              <w:rPr>
                <w:rFonts w:eastAsia="Times New Roman" w:cs="Arial"/>
                <w:color w:val="000000"/>
                <w:sz w:val="20"/>
                <w:szCs w:val="20"/>
                <w:highlight w:val="black"/>
              </w:rPr>
              <w:t>xxx</w:t>
            </w:r>
          </w:p>
        </w:tc>
        <w:tc>
          <w:tcPr>
            <w:tcW w:w="1132" w:type="dxa"/>
            <w:vAlign w:val="center"/>
          </w:tcPr>
          <w:p w14:paraId="24CF27EE" w14:textId="320756D7" w:rsidR="000B148D" w:rsidRPr="00294FDC" w:rsidRDefault="00294FDC">
            <w:pPr>
              <w:ind w:left="32"/>
              <w:jc w:val="center"/>
              <w:rPr>
                <w:rFonts w:eastAsia="Times New Roman" w:cs="Arial"/>
                <w:color w:val="000000"/>
                <w:sz w:val="20"/>
                <w:szCs w:val="20"/>
                <w:highlight w:val="black"/>
              </w:rPr>
            </w:pPr>
            <w:r w:rsidRPr="00294FDC">
              <w:rPr>
                <w:rFonts w:eastAsia="Times New Roman" w:cs="Arial"/>
                <w:color w:val="000000"/>
                <w:sz w:val="20"/>
                <w:szCs w:val="20"/>
                <w:highlight w:val="black"/>
              </w:rPr>
              <w:t>xxx</w:t>
            </w:r>
          </w:p>
        </w:tc>
        <w:tc>
          <w:tcPr>
            <w:tcW w:w="1133" w:type="dxa"/>
            <w:vAlign w:val="center"/>
          </w:tcPr>
          <w:p w14:paraId="3A3B8AF6" w14:textId="0617B6F2" w:rsidR="000B148D" w:rsidRPr="00294FDC" w:rsidRDefault="00294FDC">
            <w:pPr>
              <w:ind w:left="48"/>
              <w:jc w:val="center"/>
              <w:rPr>
                <w:rFonts w:eastAsia="Times New Roman" w:cs="Arial"/>
                <w:color w:val="000000"/>
                <w:sz w:val="20"/>
                <w:szCs w:val="20"/>
                <w:highlight w:val="black"/>
              </w:rPr>
            </w:pPr>
            <w:r w:rsidRPr="00294FDC">
              <w:rPr>
                <w:rFonts w:eastAsia="Times New Roman" w:cs="Arial"/>
                <w:color w:val="000000"/>
                <w:sz w:val="20"/>
                <w:szCs w:val="20"/>
                <w:highlight w:val="black"/>
              </w:rPr>
              <w:t>xxx</w:t>
            </w:r>
          </w:p>
        </w:tc>
      </w:tr>
      <w:tr w:rsidR="000B148D" w:rsidRPr="00966FF8" w14:paraId="14045CFA" w14:textId="77777777">
        <w:trPr>
          <w:trHeight w:val="20"/>
        </w:trPr>
        <w:tc>
          <w:tcPr>
            <w:tcW w:w="2577" w:type="dxa"/>
            <w:shd w:val="clear" w:color="auto" w:fill="F2F2F2" w:themeFill="background1" w:themeFillShade="F2"/>
            <w:vAlign w:val="center"/>
          </w:tcPr>
          <w:p w14:paraId="7F296C5B" w14:textId="77777777" w:rsidR="000B148D" w:rsidRPr="00966FF8" w:rsidRDefault="000B148D">
            <w:pPr>
              <w:ind w:left="256"/>
              <w:rPr>
                <w:rFonts w:cs="Arial"/>
                <w:sz w:val="20"/>
                <w:szCs w:val="20"/>
                <w:lang w:val="it-IT"/>
              </w:rPr>
            </w:pPr>
            <w:r w:rsidRPr="00966FF8">
              <w:rPr>
                <w:rFonts w:eastAsia="Times New Roman" w:cs="Arial"/>
                <w:sz w:val="20"/>
                <w:szCs w:val="20"/>
                <w:lang w:val="it-IT"/>
              </w:rPr>
              <w:t xml:space="preserve">Progressive disease per RECIST v1.1 </w:t>
            </w:r>
          </w:p>
        </w:tc>
        <w:tc>
          <w:tcPr>
            <w:tcW w:w="1132" w:type="dxa"/>
            <w:vAlign w:val="center"/>
          </w:tcPr>
          <w:p w14:paraId="732EDDC2" w14:textId="540A14D2" w:rsidR="000B148D" w:rsidRPr="00294FDC" w:rsidRDefault="00294FDC">
            <w:pPr>
              <w:ind w:left="32"/>
              <w:jc w:val="center"/>
              <w:rPr>
                <w:rFonts w:cs="Arial"/>
                <w:color w:val="000000"/>
                <w:sz w:val="20"/>
                <w:szCs w:val="20"/>
                <w:highlight w:val="black"/>
              </w:rPr>
            </w:pPr>
            <w:r w:rsidRPr="00294FDC">
              <w:rPr>
                <w:rFonts w:eastAsia="Times New Roman" w:cs="Arial"/>
                <w:color w:val="000000"/>
                <w:sz w:val="20"/>
                <w:szCs w:val="20"/>
                <w:highlight w:val="black"/>
              </w:rPr>
              <w:t>xxxxxxxxxx</w:t>
            </w:r>
          </w:p>
        </w:tc>
        <w:tc>
          <w:tcPr>
            <w:tcW w:w="1133" w:type="dxa"/>
            <w:vAlign w:val="center"/>
          </w:tcPr>
          <w:p w14:paraId="67FE61AC" w14:textId="65FFAD6D" w:rsidR="000B148D" w:rsidRPr="00294FDC" w:rsidRDefault="00294FDC">
            <w:pPr>
              <w:ind w:right="30"/>
              <w:jc w:val="center"/>
              <w:rPr>
                <w:rFonts w:cs="Arial"/>
                <w:color w:val="000000"/>
                <w:sz w:val="20"/>
                <w:szCs w:val="20"/>
                <w:highlight w:val="black"/>
              </w:rPr>
            </w:pPr>
            <w:r w:rsidRPr="00294FDC">
              <w:rPr>
                <w:rFonts w:eastAsia="Times New Roman" w:cs="Arial"/>
                <w:color w:val="000000"/>
                <w:sz w:val="20"/>
                <w:szCs w:val="20"/>
                <w:highlight w:val="black"/>
              </w:rPr>
              <w:t>xxxxxxxxxx</w:t>
            </w:r>
          </w:p>
        </w:tc>
        <w:tc>
          <w:tcPr>
            <w:tcW w:w="1132" w:type="dxa"/>
            <w:vAlign w:val="center"/>
          </w:tcPr>
          <w:p w14:paraId="24F5E99D" w14:textId="398D6FCB" w:rsidR="000B148D" w:rsidRPr="00294FDC" w:rsidRDefault="00294FDC">
            <w:pPr>
              <w:ind w:right="30"/>
              <w:jc w:val="center"/>
              <w:rPr>
                <w:rFonts w:cs="Arial"/>
                <w:color w:val="000000"/>
                <w:sz w:val="20"/>
                <w:szCs w:val="20"/>
                <w:highlight w:val="black"/>
              </w:rPr>
            </w:pPr>
            <w:r w:rsidRPr="00294FDC">
              <w:rPr>
                <w:rFonts w:eastAsia="Times New Roman" w:cs="Arial"/>
                <w:color w:val="000000"/>
                <w:sz w:val="20"/>
                <w:szCs w:val="20"/>
                <w:highlight w:val="black"/>
              </w:rPr>
              <w:t>xxxxxxxxxx</w:t>
            </w:r>
          </w:p>
        </w:tc>
        <w:tc>
          <w:tcPr>
            <w:tcW w:w="1133" w:type="dxa"/>
            <w:vAlign w:val="center"/>
          </w:tcPr>
          <w:p w14:paraId="090FF59E" w14:textId="52046512" w:rsidR="000B148D" w:rsidRPr="00294FDC" w:rsidRDefault="00294FDC">
            <w:pPr>
              <w:ind w:left="48"/>
              <w:jc w:val="center"/>
              <w:rPr>
                <w:rFonts w:cs="Arial"/>
                <w:color w:val="000000"/>
                <w:sz w:val="20"/>
                <w:szCs w:val="20"/>
                <w:highlight w:val="black"/>
              </w:rPr>
            </w:pPr>
            <w:r w:rsidRPr="00294FDC">
              <w:rPr>
                <w:rFonts w:eastAsia="Times New Roman" w:cs="Arial"/>
                <w:color w:val="000000"/>
                <w:sz w:val="20"/>
                <w:szCs w:val="20"/>
                <w:highlight w:val="black"/>
              </w:rPr>
              <w:t>xxxxxxxxxx</w:t>
            </w:r>
          </w:p>
        </w:tc>
        <w:tc>
          <w:tcPr>
            <w:tcW w:w="1132" w:type="dxa"/>
            <w:vAlign w:val="center"/>
          </w:tcPr>
          <w:p w14:paraId="444E701C" w14:textId="3C0F4C1D" w:rsidR="000B148D" w:rsidRPr="00294FDC" w:rsidRDefault="00294FDC">
            <w:pPr>
              <w:ind w:left="32"/>
              <w:jc w:val="center"/>
              <w:rPr>
                <w:rFonts w:cs="Arial"/>
                <w:color w:val="000000"/>
                <w:sz w:val="20"/>
                <w:szCs w:val="20"/>
                <w:highlight w:val="black"/>
              </w:rPr>
            </w:pPr>
            <w:r w:rsidRPr="00294FDC">
              <w:rPr>
                <w:rFonts w:eastAsia="Times New Roman" w:cs="Arial"/>
                <w:color w:val="000000"/>
                <w:sz w:val="20"/>
                <w:szCs w:val="20"/>
                <w:highlight w:val="black"/>
              </w:rPr>
              <w:t>xxxxxxxxxx</w:t>
            </w:r>
          </w:p>
        </w:tc>
        <w:tc>
          <w:tcPr>
            <w:tcW w:w="1133" w:type="dxa"/>
            <w:vAlign w:val="center"/>
          </w:tcPr>
          <w:p w14:paraId="102FC77A" w14:textId="251E87F6" w:rsidR="000B148D" w:rsidRPr="00294FDC" w:rsidRDefault="00294FDC">
            <w:pPr>
              <w:ind w:left="48"/>
              <w:jc w:val="center"/>
              <w:rPr>
                <w:rFonts w:cs="Arial"/>
                <w:color w:val="000000"/>
                <w:sz w:val="20"/>
                <w:szCs w:val="20"/>
                <w:highlight w:val="black"/>
              </w:rPr>
            </w:pPr>
            <w:r w:rsidRPr="00294FDC">
              <w:rPr>
                <w:rFonts w:eastAsia="Times New Roman" w:cs="Arial"/>
                <w:color w:val="000000"/>
                <w:sz w:val="20"/>
                <w:szCs w:val="20"/>
                <w:highlight w:val="black"/>
              </w:rPr>
              <w:t>xxxxxxxxxx</w:t>
            </w:r>
          </w:p>
        </w:tc>
      </w:tr>
      <w:tr w:rsidR="000B148D" w:rsidRPr="00966FF8" w14:paraId="1CCD1EE2" w14:textId="77777777">
        <w:trPr>
          <w:trHeight w:val="20"/>
        </w:trPr>
        <w:tc>
          <w:tcPr>
            <w:tcW w:w="2577" w:type="dxa"/>
            <w:shd w:val="clear" w:color="auto" w:fill="F2F2F2" w:themeFill="background1" w:themeFillShade="F2"/>
            <w:vAlign w:val="center"/>
          </w:tcPr>
          <w:p w14:paraId="066FAB81" w14:textId="77777777" w:rsidR="000B148D" w:rsidRPr="00966FF8" w:rsidRDefault="000B148D">
            <w:pPr>
              <w:ind w:left="256"/>
              <w:rPr>
                <w:rFonts w:cs="Arial"/>
                <w:sz w:val="20"/>
                <w:szCs w:val="20"/>
              </w:rPr>
            </w:pPr>
            <w:r w:rsidRPr="00966FF8">
              <w:rPr>
                <w:rFonts w:eastAsia="Times New Roman" w:cs="Arial"/>
                <w:sz w:val="20"/>
                <w:szCs w:val="20"/>
              </w:rPr>
              <w:t xml:space="preserve">Adverse event </w:t>
            </w:r>
          </w:p>
        </w:tc>
        <w:tc>
          <w:tcPr>
            <w:tcW w:w="1132" w:type="dxa"/>
            <w:vAlign w:val="center"/>
          </w:tcPr>
          <w:p w14:paraId="05132EB0" w14:textId="44058788" w:rsidR="000B148D" w:rsidRPr="00294FDC" w:rsidRDefault="00294FDC">
            <w:pPr>
              <w:ind w:right="61"/>
              <w:jc w:val="center"/>
              <w:rPr>
                <w:rFonts w:cs="Arial"/>
                <w:color w:val="000000"/>
                <w:sz w:val="20"/>
                <w:szCs w:val="20"/>
                <w:highlight w:val="black"/>
              </w:rPr>
            </w:pPr>
            <w:r w:rsidRPr="00294FDC">
              <w:rPr>
                <w:rFonts w:eastAsia="Times New Roman" w:cs="Arial"/>
                <w:color w:val="000000"/>
                <w:sz w:val="20"/>
                <w:szCs w:val="20"/>
                <w:highlight w:val="black"/>
              </w:rPr>
              <w:t>xxxxxxxxx</w:t>
            </w:r>
          </w:p>
        </w:tc>
        <w:tc>
          <w:tcPr>
            <w:tcW w:w="1133" w:type="dxa"/>
            <w:vAlign w:val="center"/>
          </w:tcPr>
          <w:p w14:paraId="4BF2B99A" w14:textId="19C1BE03" w:rsidR="000B148D" w:rsidRPr="00294FDC" w:rsidRDefault="00294FDC">
            <w:pPr>
              <w:ind w:right="29"/>
              <w:jc w:val="center"/>
              <w:rPr>
                <w:rFonts w:cs="Arial"/>
                <w:color w:val="000000"/>
                <w:sz w:val="20"/>
                <w:szCs w:val="20"/>
                <w:highlight w:val="black"/>
              </w:rPr>
            </w:pPr>
            <w:r w:rsidRPr="00294FDC">
              <w:rPr>
                <w:rFonts w:eastAsia="Times New Roman" w:cs="Arial"/>
                <w:color w:val="000000"/>
                <w:sz w:val="20"/>
                <w:szCs w:val="20"/>
                <w:highlight w:val="black"/>
              </w:rPr>
              <w:t>xxxxxxxx</w:t>
            </w:r>
          </w:p>
        </w:tc>
        <w:tc>
          <w:tcPr>
            <w:tcW w:w="1132" w:type="dxa"/>
            <w:vAlign w:val="center"/>
          </w:tcPr>
          <w:p w14:paraId="39C73478" w14:textId="67DD3DBE" w:rsidR="000B148D" w:rsidRPr="00294FDC" w:rsidRDefault="00294FDC">
            <w:pPr>
              <w:ind w:right="13"/>
              <w:jc w:val="center"/>
              <w:rPr>
                <w:rFonts w:cs="Arial"/>
                <w:color w:val="000000"/>
                <w:sz w:val="20"/>
                <w:szCs w:val="20"/>
                <w:highlight w:val="black"/>
              </w:rPr>
            </w:pPr>
            <w:r w:rsidRPr="00294FDC">
              <w:rPr>
                <w:rFonts w:eastAsia="Times New Roman" w:cs="Arial"/>
                <w:color w:val="000000"/>
                <w:sz w:val="20"/>
                <w:szCs w:val="20"/>
                <w:highlight w:val="black"/>
              </w:rPr>
              <w:t>xxxxxxxxx</w:t>
            </w:r>
          </w:p>
        </w:tc>
        <w:tc>
          <w:tcPr>
            <w:tcW w:w="1133" w:type="dxa"/>
            <w:vAlign w:val="center"/>
          </w:tcPr>
          <w:p w14:paraId="2A34AC2C" w14:textId="02231310" w:rsidR="000B148D" w:rsidRPr="00294FDC" w:rsidRDefault="00294FDC">
            <w:pPr>
              <w:ind w:right="45"/>
              <w:jc w:val="center"/>
              <w:rPr>
                <w:rFonts w:cs="Arial"/>
                <w:color w:val="000000"/>
                <w:sz w:val="20"/>
                <w:szCs w:val="20"/>
                <w:highlight w:val="black"/>
              </w:rPr>
            </w:pPr>
            <w:r w:rsidRPr="00294FDC">
              <w:rPr>
                <w:rFonts w:eastAsia="Times New Roman" w:cs="Arial"/>
                <w:color w:val="000000"/>
                <w:sz w:val="20"/>
                <w:szCs w:val="20"/>
                <w:highlight w:val="black"/>
              </w:rPr>
              <w:t>xxxxxxxxx</w:t>
            </w:r>
          </w:p>
        </w:tc>
        <w:tc>
          <w:tcPr>
            <w:tcW w:w="1132" w:type="dxa"/>
            <w:vAlign w:val="center"/>
          </w:tcPr>
          <w:p w14:paraId="41BDDFE3" w14:textId="6D762192" w:rsidR="000B148D" w:rsidRPr="00294FDC" w:rsidRDefault="00294FDC">
            <w:pPr>
              <w:ind w:right="44"/>
              <w:jc w:val="center"/>
              <w:rPr>
                <w:rFonts w:cs="Arial"/>
                <w:color w:val="000000"/>
                <w:sz w:val="20"/>
                <w:szCs w:val="20"/>
                <w:highlight w:val="black"/>
              </w:rPr>
            </w:pPr>
            <w:r w:rsidRPr="00294FDC">
              <w:rPr>
                <w:rFonts w:eastAsia="Times New Roman" w:cs="Arial"/>
                <w:color w:val="000000"/>
                <w:sz w:val="20"/>
                <w:szCs w:val="20"/>
                <w:highlight w:val="black"/>
              </w:rPr>
              <w:t>xxxxxxxx</w:t>
            </w:r>
          </w:p>
        </w:tc>
        <w:tc>
          <w:tcPr>
            <w:tcW w:w="1133" w:type="dxa"/>
            <w:vAlign w:val="center"/>
          </w:tcPr>
          <w:p w14:paraId="2C42E161" w14:textId="6A0B7070" w:rsidR="000B148D" w:rsidRPr="00294FDC" w:rsidRDefault="00294FDC">
            <w:pPr>
              <w:ind w:right="44"/>
              <w:jc w:val="center"/>
              <w:rPr>
                <w:rFonts w:cs="Arial"/>
                <w:color w:val="000000"/>
                <w:sz w:val="20"/>
                <w:szCs w:val="20"/>
                <w:highlight w:val="black"/>
              </w:rPr>
            </w:pPr>
            <w:r w:rsidRPr="00294FDC">
              <w:rPr>
                <w:rFonts w:eastAsia="Times New Roman" w:cs="Arial"/>
                <w:color w:val="000000"/>
                <w:sz w:val="20"/>
                <w:szCs w:val="20"/>
                <w:highlight w:val="black"/>
              </w:rPr>
              <w:t>xxxxxxxxx</w:t>
            </w:r>
          </w:p>
        </w:tc>
      </w:tr>
      <w:tr w:rsidR="000B148D" w:rsidRPr="00966FF8" w14:paraId="2B42743D" w14:textId="77777777">
        <w:trPr>
          <w:trHeight w:val="20"/>
        </w:trPr>
        <w:tc>
          <w:tcPr>
            <w:tcW w:w="2577" w:type="dxa"/>
            <w:shd w:val="clear" w:color="auto" w:fill="F2F2F2" w:themeFill="background1" w:themeFillShade="F2"/>
            <w:vAlign w:val="center"/>
          </w:tcPr>
          <w:p w14:paraId="04267303" w14:textId="77777777" w:rsidR="000B148D" w:rsidRPr="00966FF8" w:rsidRDefault="000B148D">
            <w:pPr>
              <w:ind w:left="256"/>
              <w:rPr>
                <w:rFonts w:cs="Arial"/>
                <w:sz w:val="20"/>
                <w:szCs w:val="20"/>
              </w:rPr>
            </w:pPr>
            <w:r w:rsidRPr="00966FF8">
              <w:rPr>
                <w:rFonts w:eastAsia="Times New Roman" w:cs="Arial"/>
                <w:sz w:val="20"/>
                <w:szCs w:val="20"/>
              </w:rPr>
              <w:lastRenderedPageBreak/>
              <w:t xml:space="preserve">Withdrawal by subject </w:t>
            </w:r>
          </w:p>
        </w:tc>
        <w:tc>
          <w:tcPr>
            <w:tcW w:w="1132" w:type="dxa"/>
            <w:vAlign w:val="center"/>
          </w:tcPr>
          <w:p w14:paraId="5216E253" w14:textId="25B4B07E" w:rsidR="000B148D" w:rsidRPr="00294FDC" w:rsidRDefault="00294FDC">
            <w:pPr>
              <w:ind w:right="45"/>
              <w:jc w:val="center"/>
              <w:rPr>
                <w:rFonts w:cs="Arial"/>
                <w:color w:val="000000"/>
                <w:sz w:val="20"/>
                <w:szCs w:val="20"/>
                <w:highlight w:val="black"/>
              </w:rPr>
            </w:pPr>
            <w:r w:rsidRPr="00294FDC">
              <w:rPr>
                <w:rFonts w:eastAsia="Times New Roman" w:cs="Arial"/>
                <w:color w:val="000000"/>
                <w:sz w:val="20"/>
                <w:szCs w:val="20"/>
                <w:highlight w:val="black"/>
              </w:rPr>
              <w:t>xxxxxxxx</w:t>
            </w:r>
          </w:p>
        </w:tc>
        <w:tc>
          <w:tcPr>
            <w:tcW w:w="1133" w:type="dxa"/>
            <w:vAlign w:val="center"/>
          </w:tcPr>
          <w:p w14:paraId="52F578BF" w14:textId="7A446E56" w:rsidR="000B148D" w:rsidRPr="00294FDC" w:rsidRDefault="00294FDC">
            <w:pPr>
              <w:ind w:right="29"/>
              <w:jc w:val="center"/>
              <w:rPr>
                <w:rFonts w:cs="Arial"/>
                <w:color w:val="000000"/>
                <w:sz w:val="20"/>
                <w:szCs w:val="20"/>
                <w:highlight w:val="black"/>
              </w:rPr>
            </w:pPr>
            <w:r w:rsidRPr="00294FDC">
              <w:rPr>
                <w:rFonts w:eastAsia="Times New Roman" w:cs="Arial"/>
                <w:color w:val="000000"/>
                <w:sz w:val="20"/>
                <w:szCs w:val="20"/>
                <w:highlight w:val="black"/>
              </w:rPr>
              <w:t>xxxxxxxx</w:t>
            </w:r>
          </w:p>
        </w:tc>
        <w:tc>
          <w:tcPr>
            <w:tcW w:w="1132" w:type="dxa"/>
            <w:vAlign w:val="center"/>
          </w:tcPr>
          <w:p w14:paraId="2E261520" w14:textId="60EE6A55" w:rsidR="000B148D" w:rsidRPr="00294FDC" w:rsidRDefault="00294FDC">
            <w:pPr>
              <w:ind w:right="28"/>
              <w:jc w:val="center"/>
              <w:rPr>
                <w:rFonts w:cs="Arial"/>
                <w:color w:val="000000"/>
                <w:sz w:val="20"/>
                <w:szCs w:val="20"/>
                <w:highlight w:val="black"/>
              </w:rPr>
            </w:pPr>
            <w:r w:rsidRPr="00294FDC">
              <w:rPr>
                <w:rFonts w:eastAsia="Times New Roman" w:cs="Arial"/>
                <w:color w:val="000000"/>
                <w:sz w:val="20"/>
                <w:szCs w:val="20"/>
                <w:highlight w:val="black"/>
              </w:rPr>
              <w:t>xxxxxxxx</w:t>
            </w:r>
          </w:p>
        </w:tc>
        <w:tc>
          <w:tcPr>
            <w:tcW w:w="1133" w:type="dxa"/>
            <w:vAlign w:val="center"/>
          </w:tcPr>
          <w:p w14:paraId="06052905" w14:textId="75843881" w:rsidR="000B148D" w:rsidRPr="00294FDC" w:rsidRDefault="00294FDC">
            <w:pPr>
              <w:ind w:right="27"/>
              <w:jc w:val="center"/>
              <w:rPr>
                <w:rFonts w:cs="Arial"/>
                <w:color w:val="000000"/>
                <w:sz w:val="20"/>
                <w:szCs w:val="20"/>
                <w:highlight w:val="black"/>
              </w:rPr>
            </w:pPr>
            <w:r w:rsidRPr="00294FDC">
              <w:rPr>
                <w:rFonts w:eastAsia="Times New Roman" w:cs="Arial"/>
                <w:color w:val="000000"/>
                <w:sz w:val="20"/>
                <w:szCs w:val="20"/>
                <w:highlight w:val="black"/>
              </w:rPr>
              <w:t>xxxxxxxx</w:t>
            </w:r>
          </w:p>
        </w:tc>
        <w:tc>
          <w:tcPr>
            <w:tcW w:w="1132" w:type="dxa"/>
            <w:vAlign w:val="center"/>
          </w:tcPr>
          <w:p w14:paraId="0F0367BB" w14:textId="6A9D2D7A" w:rsidR="000B148D" w:rsidRPr="00294FDC" w:rsidRDefault="00294FDC">
            <w:pPr>
              <w:ind w:right="44"/>
              <w:jc w:val="center"/>
              <w:rPr>
                <w:rFonts w:cs="Arial"/>
                <w:color w:val="000000"/>
                <w:sz w:val="20"/>
                <w:szCs w:val="20"/>
                <w:highlight w:val="black"/>
              </w:rPr>
            </w:pPr>
            <w:r w:rsidRPr="00294FDC">
              <w:rPr>
                <w:rFonts w:eastAsia="Times New Roman" w:cs="Arial"/>
                <w:color w:val="000000"/>
                <w:sz w:val="20"/>
                <w:szCs w:val="20"/>
                <w:highlight w:val="black"/>
              </w:rPr>
              <w:t>xxxxxxxx</w:t>
            </w:r>
          </w:p>
        </w:tc>
        <w:tc>
          <w:tcPr>
            <w:tcW w:w="1133" w:type="dxa"/>
            <w:vAlign w:val="center"/>
          </w:tcPr>
          <w:p w14:paraId="10AF2C48" w14:textId="6B98F151" w:rsidR="000B148D" w:rsidRPr="00294FDC" w:rsidRDefault="00294FDC">
            <w:pPr>
              <w:ind w:right="28"/>
              <w:jc w:val="center"/>
              <w:rPr>
                <w:rFonts w:cs="Arial"/>
                <w:color w:val="000000"/>
                <w:sz w:val="20"/>
                <w:szCs w:val="20"/>
                <w:highlight w:val="black"/>
              </w:rPr>
            </w:pPr>
            <w:r w:rsidRPr="00294FDC">
              <w:rPr>
                <w:rFonts w:eastAsia="Times New Roman" w:cs="Arial"/>
                <w:color w:val="000000"/>
                <w:sz w:val="20"/>
                <w:szCs w:val="20"/>
                <w:highlight w:val="black"/>
              </w:rPr>
              <w:t>xxxxxxxx</w:t>
            </w:r>
          </w:p>
        </w:tc>
      </w:tr>
      <w:tr w:rsidR="000B148D" w:rsidRPr="00966FF8" w14:paraId="46AB51DD" w14:textId="77777777">
        <w:trPr>
          <w:trHeight w:val="20"/>
        </w:trPr>
        <w:tc>
          <w:tcPr>
            <w:tcW w:w="2577" w:type="dxa"/>
            <w:shd w:val="clear" w:color="auto" w:fill="F2F2F2" w:themeFill="background1" w:themeFillShade="F2"/>
            <w:vAlign w:val="center"/>
          </w:tcPr>
          <w:p w14:paraId="2F7216D6" w14:textId="77777777" w:rsidR="000B148D" w:rsidRPr="00966FF8" w:rsidRDefault="000B148D">
            <w:pPr>
              <w:ind w:left="256"/>
              <w:rPr>
                <w:rFonts w:cs="Arial"/>
                <w:sz w:val="20"/>
                <w:szCs w:val="20"/>
              </w:rPr>
            </w:pPr>
            <w:r w:rsidRPr="00966FF8">
              <w:rPr>
                <w:rFonts w:eastAsia="Times New Roman" w:cs="Arial"/>
                <w:sz w:val="20"/>
                <w:szCs w:val="20"/>
              </w:rPr>
              <w:t xml:space="preserve">Clinical progression per investigator </w:t>
            </w:r>
          </w:p>
        </w:tc>
        <w:tc>
          <w:tcPr>
            <w:tcW w:w="1132" w:type="dxa"/>
            <w:vAlign w:val="center"/>
          </w:tcPr>
          <w:p w14:paraId="46E2DEF1" w14:textId="601F3D64" w:rsidR="000B148D" w:rsidRPr="00294FDC" w:rsidRDefault="00294FDC">
            <w:pPr>
              <w:ind w:right="61"/>
              <w:jc w:val="center"/>
              <w:rPr>
                <w:rFonts w:cs="Arial"/>
                <w:color w:val="000000"/>
                <w:sz w:val="20"/>
                <w:szCs w:val="20"/>
                <w:highlight w:val="black"/>
              </w:rPr>
            </w:pPr>
            <w:r w:rsidRPr="00294FDC">
              <w:rPr>
                <w:rFonts w:eastAsia="Times New Roman" w:cs="Arial"/>
                <w:color w:val="000000"/>
                <w:sz w:val="20"/>
                <w:szCs w:val="20"/>
                <w:highlight w:val="black"/>
              </w:rPr>
              <w:t>xxxxxxx</w:t>
            </w:r>
          </w:p>
        </w:tc>
        <w:tc>
          <w:tcPr>
            <w:tcW w:w="1133" w:type="dxa"/>
            <w:vAlign w:val="center"/>
          </w:tcPr>
          <w:p w14:paraId="088F9D2B" w14:textId="25B4160E" w:rsidR="000B148D" w:rsidRPr="00294FDC" w:rsidRDefault="00294FDC">
            <w:pPr>
              <w:ind w:right="13"/>
              <w:jc w:val="center"/>
              <w:rPr>
                <w:rFonts w:cs="Arial"/>
                <w:color w:val="000000"/>
                <w:sz w:val="20"/>
                <w:szCs w:val="20"/>
                <w:highlight w:val="black"/>
              </w:rPr>
            </w:pPr>
            <w:r w:rsidRPr="00294FDC">
              <w:rPr>
                <w:rFonts w:eastAsia="Times New Roman" w:cs="Arial"/>
                <w:color w:val="000000"/>
                <w:sz w:val="20"/>
                <w:szCs w:val="20"/>
                <w:highlight w:val="black"/>
              </w:rPr>
              <w:t>xxxxxxx</w:t>
            </w:r>
          </w:p>
        </w:tc>
        <w:tc>
          <w:tcPr>
            <w:tcW w:w="1132" w:type="dxa"/>
            <w:vAlign w:val="center"/>
          </w:tcPr>
          <w:p w14:paraId="088D3764" w14:textId="1FB7AB13" w:rsidR="000B148D" w:rsidRPr="00294FDC" w:rsidRDefault="00294FDC">
            <w:pPr>
              <w:ind w:right="28"/>
              <w:jc w:val="center"/>
              <w:rPr>
                <w:rFonts w:cs="Arial"/>
                <w:color w:val="000000"/>
                <w:sz w:val="20"/>
                <w:szCs w:val="20"/>
                <w:highlight w:val="black"/>
              </w:rPr>
            </w:pPr>
            <w:r w:rsidRPr="00294FDC">
              <w:rPr>
                <w:rFonts w:eastAsia="Times New Roman" w:cs="Arial"/>
                <w:color w:val="000000"/>
                <w:sz w:val="20"/>
                <w:szCs w:val="20"/>
                <w:highlight w:val="black"/>
              </w:rPr>
              <w:t>xxxxxxxx</w:t>
            </w:r>
          </w:p>
        </w:tc>
        <w:tc>
          <w:tcPr>
            <w:tcW w:w="1133" w:type="dxa"/>
            <w:vAlign w:val="center"/>
          </w:tcPr>
          <w:p w14:paraId="2C92B6B8" w14:textId="563F3FEA" w:rsidR="000B148D" w:rsidRPr="00294FDC" w:rsidRDefault="00294FDC">
            <w:pPr>
              <w:ind w:right="28"/>
              <w:jc w:val="center"/>
              <w:rPr>
                <w:rFonts w:cs="Arial"/>
                <w:color w:val="000000"/>
                <w:sz w:val="20"/>
                <w:szCs w:val="20"/>
                <w:highlight w:val="black"/>
              </w:rPr>
            </w:pPr>
            <w:r w:rsidRPr="00294FDC">
              <w:rPr>
                <w:rFonts w:eastAsia="Times New Roman" w:cs="Arial"/>
                <w:color w:val="000000"/>
                <w:sz w:val="20"/>
                <w:szCs w:val="20"/>
                <w:highlight w:val="black"/>
              </w:rPr>
              <w:t>xxxxxxxx</w:t>
            </w:r>
          </w:p>
        </w:tc>
        <w:tc>
          <w:tcPr>
            <w:tcW w:w="1132" w:type="dxa"/>
            <w:vAlign w:val="center"/>
          </w:tcPr>
          <w:p w14:paraId="13787DF3" w14:textId="04C45541" w:rsidR="000B148D" w:rsidRPr="00294FDC" w:rsidRDefault="00294FDC">
            <w:pPr>
              <w:ind w:right="60"/>
              <w:jc w:val="center"/>
              <w:rPr>
                <w:rFonts w:cs="Arial"/>
                <w:color w:val="000000"/>
                <w:sz w:val="20"/>
                <w:szCs w:val="20"/>
                <w:highlight w:val="black"/>
              </w:rPr>
            </w:pPr>
            <w:r w:rsidRPr="00294FDC">
              <w:rPr>
                <w:rFonts w:eastAsia="Times New Roman" w:cs="Arial"/>
                <w:color w:val="000000"/>
                <w:sz w:val="20"/>
                <w:szCs w:val="20"/>
                <w:highlight w:val="black"/>
              </w:rPr>
              <w:t>xxxxxxx</w:t>
            </w:r>
          </w:p>
        </w:tc>
        <w:tc>
          <w:tcPr>
            <w:tcW w:w="1133" w:type="dxa"/>
            <w:vAlign w:val="center"/>
          </w:tcPr>
          <w:p w14:paraId="1084833C" w14:textId="63F06200" w:rsidR="000B148D" w:rsidRPr="00294FDC" w:rsidRDefault="00294FDC">
            <w:pPr>
              <w:ind w:right="28"/>
              <w:jc w:val="center"/>
              <w:rPr>
                <w:rFonts w:cs="Arial"/>
                <w:color w:val="000000"/>
                <w:sz w:val="20"/>
                <w:szCs w:val="20"/>
                <w:highlight w:val="black"/>
              </w:rPr>
            </w:pPr>
            <w:r w:rsidRPr="00294FDC">
              <w:rPr>
                <w:rFonts w:eastAsia="Times New Roman" w:cs="Arial"/>
                <w:color w:val="000000"/>
                <w:sz w:val="20"/>
                <w:szCs w:val="20"/>
                <w:highlight w:val="black"/>
              </w:rPr>
              <w:t>xxxxxxxx</w:t>
            </w:r>
          </w:p>
        </w:tc>
      </w:tr>
      <w:tr w:rsidR="000B148D" w:rsidRPr="00966FF8" w14:paraId="2D872E92" w14:textId="77777777">
        <w:trPr>
          <w:trHeight w:val="20"/>
        </w:trPr>
        <w:tc>
          <w:tcPr>
            <w:tcW w:w="2577" w:type="dxa"/>
            <w:shd w:val="clear" w:color="auto" w:fill="F2F2F2" w:themeFill="background1" w:themeFillShade="F2"/>
            <w:vAlign w:val="center"/>
          </w:tcPr>
          <w:p w14:paraId="3570668C" w14:textId="77777777" w:rsidR="000B148D" w:rsidRPr="00966FF8" w:rsidRDefault="000B148D">
            <w:pPr>
              <w:ind w:left="256"/>
              <w:rPr>
                <w:rFonts w:cs="Arial"/>
                <w:sz w:val="20"/>
                <w:szCs w:val="20"/>
              </w:rPr>
            </w:pPr>
            <w:r w:rsidRPr="00966FF8">
              <w:rPr>
                <w:rFonts w:eastAsia="Times New Roman" w:cs="Arial"/>
                <w:sz w:val="20"/>
                <w:szCs w:val="20"/>
              </w:rPr>
              <w:t xml:space="preserve">Death </w:t>
            </w:r>
          </w:p>
        </w:tc>
        <w:tc>
          <w:tcPr>
            <w:tcW w:w="1132" w:type="dxa"/>
            <w:vAlign w:val="center"/>
          </w:tcPr>
          <w:p w14:paraId="341AEBD7" w14:textId="6524D0C6" w:rsidR="000B148D" w:rsidRPr="00294FDC" w:rsidRDefault="00294FDC">
            <w:pPr>
              <w:ind w:right="61"/>
              <w:jc w:val="center"/>
              <w:rPr>
                <w:rFonts w:cs="Arial"/>
                <w:color w:val="000000"/>
                <w:sz w:val="20"/>
                <w:szCs w:val="20"/>
                <w:highlight w:val="black"/>
              </w:rPr>
            </w:pPr>
            <w:r w:rsidRPr="00294FDC">
              <w:rPr>
                <w:rFonts w:eastAsia="Times New Roman" w:cs="Arial"/>
                <w:color w:val="000000"/>
                <w:sz w:val="20"/>
                <w:szCs w:val="20"/>
                <w:highlight w:val="black"/>
              </w:rPr>
              <w:t>xxxxxxx</w:t>
            </w:r>
          </w:p>
        </w:tc>
        <w:tc>
          <w:tcPr>
            <w:tcW w:w="1133" w:type="dxa"/>
            <w:vAlign w:val="center"/>
          </w:tcPr>
          <w:p w14:paraId="07D66EED" w14:textId="168076CD" w:rsidR="000B148D" w:rsidRPr="00294FDC" w:rsidRDefault="00294FDC">
            <w:pPr>
              <w:ind w:right="13"/>
              <w:jc w:val="center"/>
              <w:rPr>
                <w:rFonts w:cs="Arial"/>
                <w:color w:val="000000"/>
                <w:sz w:val="20"/>
                <w:szCs w:val="20"/>
                <w:highlight w:val="black"/>
              </w:rPr>
            </w:pPr>
            <w:r w:rsidRPr="00294FDC">
              <w:rPr>
                <w:rFonts w:eastAsia="Times New Roman" w:cs="Arial"/>
                <w:color w:val="000000"/>
                <w:sz w:val="20"/>
                <w:szCs w:val="20"/>
                <w:highlight w:val="black"/>
              </w:rPr>
              <w:t>xxxxxxx</w:t>
            </w:r>
          </w:p>
        </w:tc>
        <w:tc>
          <w:tcPr>
            <w:tcW w:w="1132" w:type="dxa"/>
            <w:vAlign w:val="center"/>
          </w:tcPr>
          <w:p w14:paraId="486A2914" w14:textId="7B77170B" w:rsidR="000B148D" w:rsidRPr="00294FDC" w:rsidRDefault="00294FDC">
            <w:pPr>
              <w:ind w:right="12"/>
              <w:jc w:val="center"/>
              <w:rPr>
                <w:rFonts w:cs="Arial"/>
                <w:color w:val="000000"/>
                <w:sz w:val="20"/>
                <w:szCs w:val="20"/>
                <w:highlight w:val="black"/>
              </w:rPr>
            </w:pPr>
            <w:r w:rsidRPr="00294FDC">
              <w:rPr>
                <w:rFonts w:eastAsia="Times New Roman" w:cs="Arial"/>
                <w:color w:val="000000"/>
                <w:sz w:val="20"/>
                <w:szCs w:val="20"/>
                <w:highlight w:val="black"/>
              </w:rPr>
              <w:t>xxxxxxx</w:t>
            </w:r>
          </w:p>
        </w:tc>
        <w:tc>
          <w:tcPr>
            <w:tcW w:w="1133" w:type="dxa"/>
            <w:vAlign w:val="center"/>
          </w:tcPr>
          <w:p w14:paraId="2BB6B9D6" w14:textId="2295071F" w:rsidR="000B148D" w:rsidRPr="00294FDC" w:rsidRDefault="00294FDC">
            <w:pPr>
              <w:ind w:right="44"/>
              <w:jc w:val="center"/>
              <w:rPr>
                <w:rFonts w:cs="Arial"/>
                <w:color w:val="000000"/>
                <w:sz w:val="20"/>
                <w:szCs w:val="20"/>
                <w:highlight w:val="black"/>
              </w:rPr>
            </w:pPr>
            <w:r w:rsidRPr="00294FDC">
              <w:rPr>
                <w:rFonts w:eastAsia="Times New Roman" w:cs="Arial"/>
                <w:color w:val="000000"/>
                <w:sz w:val="20"/>
                <w:szCs w:val="20"/>
                <w:highlight w:val="black"/>
              </w:rPr>
              <w:t>xxxxxxx</w:t>
            </w:r>
          </w:p>
        </w:tc>
        <w:tc>
          <w:tcPr>
            <w:tcW w:w="1132" w:type="dxa"/>
            <w:vAlign w:val="center"/>
          </w:tcPr>
          <w:p w14:paraId="1C040ADB" w14:textId="6A1DF68B" w:rsidR="000B148D" w:rsidRPr="00294FDC" w:rsidRDefault="00294FDC">
            <w:pPr>
              <w:ind w:right="60"/>
              <w:jc w:val="center"/>
              <w:rPr>
                <w:rFonts w:cs="Arial"/>
                <w:color w:val="000000"/>
                <w:sz w:val="20"/>
                <w:szCs w:val="20"/>
                <w:highlight w:val="black"/>
              </w:rPr>
            </w:pPr>
            <w:r w:rsidRPr="00294FDC">
              <w:rPr>
                <w:rFonts w:eastAsia="Times New Roman" w:cs="Arial"/>
                <w:color w:val="000000"/>
                <w:sz w:val="20"/>
                <w:szCs w:val="20"/>
                <w:highlight w:val="black"/>
              </w:rPr>
              <w:t>xxxxxxx</w:t>
            </w:r>
          </w:p>
        </w:tc>
        <w:tc>
          <w:tcPr>
            <w:tcW w:w="1133" w:type="dxa"/>
            <w:vAlign w:val="center"/>
          </w:tcPr>
          <w:p w14:paraId="62212B4E" w14:textId="7621EDCA" w:rsidR="000B148D" w:rsidRPr="00294FDC" w:rsidRDefault="00294FDC">
            <w:pPr>
              <w:ind w:right="44"/>
              <w:jc w:val="center"/>
              <w:rPr>
                <w:rFonts w:cs="Arial"/>
                <w:color w:val="000000"/>
                <w:sz w:val="20"/>
                <w:szCs w:val="20"/>
                <w:highlight w:val="black"/>
              </w:rPr>
            </w:pPr>
            <w:r w:rsidRPr="00294FDC">
              <w:rPr>
                <w:rFonts w:eastAsia="Times New Roman" w:cs="Arial"/>
                <w:color w:val="000000"/>
                <w:sz w:val="20"/>
                <w:szCs w:val="20"/>
                <w:highlight w:val="black"/>
              </w:rPr>
              <w:t>xxxxxxx</w:t>
            </w:r>
          </w:p>
        </w:tc>
      </w:tr>
      <w:tr w:rsidR="000B148D" w:rsidRPr="00966FF8" w14:paraId="151C16F4" w14:textId="77777777">
        <w:trPr>
          <w:trHeight w:val="20"/>
        </w:trPr>
        <w:tc>
          <w:tcPr>
            <w:tcW w:w="2577" w:type="dxa"/>
            <w:shd w:val="clear" w:color="auto" w:fill="F2F2F2" w:themeFill="background1" w:themeFillShade="F2"/>
            <w:vAlign w:val="center"/>
          </w:tcPr>
          <w:p w14:paraId="36126BB5" w14:textId="77777777" w:rsidR="000B148D" w:rsidRPr="00966FF8" w:rsidRDefault="000B148D">
            <w:pPr>
              <w:ind w:right="43"/>
              <w:rPr>
                <w:rFonts w:cs="Arial"/>
                <w:sz w:val="20"/>
                <w:szCs w:val="20"/>
              </w:rPr>
            </w:pPr>
            <w:r w:rsidRPr="00966FF8">
              <w:rPr>
                <w:rFonts w:eastAsia="Times New Roman" w:cs="Arial"/>
                <w:sz w:val="20"/>
                <w:szCs w:val="20"/>
              </w:rPr>
              <w:t xml:space="preserve">Physician decision </w:t>
            </w:r>
          </w:p>
        </w:tc>
        <w:tc>
          <w:tcPr>
            <w:tcW w:w="1132" w:type="dxa"/>
            <w:vAlign w:val="center"/>
          </w:tcPr>
          <w:p w14:paraId="7BBAE255" w14:textId="07114285" w:rsidR="000B148D" w:rsidRPr="00294FDC" w:rsidRDefault="00294FDC">
            <w:pPr>
              <w:ind w:right="61"/>
              <w:jc w:val="center"/>
              <w:rPr>
                <w:rFonts w:cs="Arial"/>
                <w:color w:val="000000"/>
                <w:sz w:val="20"/>
                <w:szCs w:val="20"/>
                <w:highlight w:val="black"/>
              </w:rPr>
            </w:pPr>
            <w:r w:rsidRPr="00294FDC">
              <w:rPr>
                <w:rFonts w:eastAsia="Times New Roman" w:cs="Arial"/>
                <w:color w:val="000000"/>
                <w:sz w:val="20"/>
                <w:szCs w:val="20"/>
                <w:highlight w:val="black"/>
              </w:rPr>
              <w:t>xxxxxxx</w:t>
            </w:r>
          </w:p>
        </w:tc>
        <w:tc>
          <w:tcPr>
            <w:tcW w:w="1133" w:type="dxa"/>
            <w:vAlign w:val="center"/>
          </w:tcPr>
          <w:p w14:paraId="4B89C014" w14:textId="56242D10" w:rsidR="000B148D" w:rsidRPr="00294FDC" w:rsidRDefault="00294FDC">
            <w:pPr>
              <w:ind w:right="13"/>
              <w:jc w:val="center"/>
              <w:rPr>
                <w:rFonts w:cs="Arial"/>
                <w:color w:val="000000"/>
                <w:sz w:val="20"/>
                <w:szCs w:val="20"/>
                <w:highlight w:val="black"/>
              </w:rPr>
            </w:pPr>
            <w:r w:rsidRPr="00294FDC">
              <w:rPr>
                <w:rFonts w:eastAsia="Times New Roman" w:cs="Arial"/>
                <w:color w:val="000000"/>
                <w:sz w:val="20"/>
                <w:szCs w:val="20"/>
                <w:highlight w:val="black"/>
              </w:rPr>
              <w:t>xxxxxxx</w:t>
            </w:r>
          </w:p>
        </w:tc>
        <w:tc>
          <w:tcPr>
            <w:tcW w:w="1132" w:type="dxa"/>
            <w:vAlign w:val="center"/>
          </w:tcPr>
          <w:p w14:paraId="7E9A9A00" w14:textId="20AF4D8E" w:rsidR="000B148D" w:rsidRPr="00294FDC" w:rsidRDefault="00294FDC">
            <w:pPr>
              <w:ind w:right="12"/>
              <w:jc w:val="center"/>
              <w:rPr>
                <w:rFonts w:cs="Arial"/>
                <w:color w:val="000000"/>
                <w:sz w:val="20"/>
                <w:szCs w:val="20"/>
                <w:highlight w:val="black"/>
              </w:rPr>
            </w:pPr>
            <w:r w:rsidRPr="00294FDC">
              <w:rPr>
                <w:rFonts w:eastAsia="Times New Roman" w:cs="Arial"/>
                <w:color w:val="000000"/>
                <w:sz w:val="20"/>
                <w:szCs w:val="20"/>
                <w:highlight w:val="black"/>
              </w:rPr>
              <w:t>xxxxxxx</w:t>
            </w:r>
          </w:p>
        </w:tc>
        <w:tc>
          <w:tcPr>
            <w:tcW w:w="1133" w:type="dxa"/>
            <w:vAlign w:val="center"/>
          </w:tcPr>
          <w:p w14:paraId="0C12F0EF" w14:textId="0AACF569" w:rsidR="000B148D" w:rsidRPr="00294FDC" w:rsidRDefault="00294FDC">
            <w:pPr>
              <w:ind w:right="44"/>
              <w:jc w:val="center"/>
              <w:rPr>
                <w:rFonts w:cs="Arial"/>
                <w:color w:val="000000"/>
                <w:sz w:val="20"/>
                <w:szCs w:val="20"/>
                <w:highlight w:val="black"/>
              </w:rPr>
            </w:pPr>
            <w:r w:rsidRPr="00294FDC">
              <w:rPr>
                <w:rFonts w:eastAsia="Times New Roman" w:cs="Arial"/>
                <w:color w:val="000000"/>
                <w:sz w:val="20"/>
                <w:szCs w:val="20"/>
                <w:highlight w:val="black"/>
              </w:rPr>
              <w:t>xxxxxxx</w:t>
            </w:r>
          </w:p>
        </w:tc>
        <w:tc>
          <w:tcPr>
            <w:tcW w:w="1132" w:type="dxa"/>
            <w:vAlign w:val="center"/>
          </w:tcPr>
          <w:p w14:paraId="4DB1A8E9" w14:textId="0A4747D3" w:rsidR="000B148D" w:rsidRPr="00294FDC" w:rsidRDefault="00294FDC">
            <w:pPr>
              <w:ind w:right="60"/>
              <w:jc w:val="center"/>
              <w:rPr>
                <w:rFonts w:cs="Arial"/>
                <w:color w:val="000000"/>
                <w:sz w:val="20"/>
                <w:szCs w:val="20"/>
                <w:highlight w:val="black"/>
              </w:rPr>
            </w:pPr>
            <w:r w:rsidRPr="00294FDC">
              <w:rPr>
                <w:rFonts w:eastAsia="Times New Roman" w:cs="Arial"/>
                <w:color w:val="000000"/>
                <w:sz w:val="20"/>
                <w:szCs w:val="20"/>
                <w:highlight w:val="black"/>
              </w:rPr>
              <w:t>xxxxxxx</w:t>
            </w:r>
          </w:p>
        </w:tc>
        <w:tc>
          <w:tcPr>
            <w:tcW w:w="1133" w:type="dxa"/>
            <w:vAlign w:val="center"/>
          </w:tcPr>
          <w:p w14:paraId="33A9D34E" w14:textId="378CEA2D" w:rsidR="000B148D" w:rsidRPr="00294FDC" w:rsidRDefault="00294FDC">
            <w:pPr>
              <w:ind w:right="44"/>
              <w:jc w:val="center"/>
              <w:rPr>
                <w:rFonts w:cs="Arial"/>
                <w:color w:val="000000"/>
                <w:sz w:val="20"/>
                <w:szCs w:val="20"/>
                <w:highlight w:val="black"/>
              </w:rPr>
            </w:pPr>
            <w:r w:rsidRPr="00294FDC">
              <w:rPr>
                <w:rFonts w:eastAsia="Times New Roman" w:cs="Arial"/>
                <w:color w:val="000000"/>
                <w:sz w:val="20"/>
                <w:szCs w:val="20"/>
                <w:highlight w:val="black"/>
              </w:rPr>
              <w:t>xxxxxxx</w:t>
            </w:r>
          </w:p>
        </w:tc>
      </w:tr>
      <w:tr w:rsidR="000B148D" w:rsidRPr="00966FF8" w14:paraId="034CBF65" w14:textId="77777777">
        <w:trPr>
          <w:trHeight w:val="20"/>
        </w:trPr>
        <w:tc>
          <w:tcPr>
            <w:tcW w:w="2577" w:type="dxa"/>
            <w:shd w:val="clear" w:color="auto" w:fill="F2F2F2" w:themeFill="background1" w:themeFillShade="F2"/>
            <w:vAlign w:val="center"/>
          </w:tcPr>
          <w:p w14:paraId="71A94A48" w14:textId="77777777" w:rsidR="000B148D" w:rsidRPr="00966FF8" w:rsidRDefault="000B148D">
            <w:pPr>
              <w:ind w:left="241"/>
              <w:rPr>
                <w:rFonts w:cs="Arial"/>
                <w:sz w:val="20"/>
                <w:szCs w:val="20"/>
              </w:rPr>
            </w:pPr>
            <w:r w:rsidRPr="00966FF8">
              <w:rPr>
                <w:rFonts w:eastAsia="Times New Roman" w:cs="Arial"/>
                <w:sz w:val="20"/>
                <w:szCs w:val="20"/>
              </w:rPr>
              <w:t xml:space="preserve">Other </w:t>
            </w:r>
          </w:p>
        </w:tc>
        <w:tc>
          <w:tcPr>
            <w:tcW w:w="1132" w:type="dxa"/>
            <w:vAlign w:val="center"/>
          </w:tcPr>
          <w:p w14:paraId="06939C7A" w14:textId="148447FE" w:rsidR="000B148D" w:rsidRPr="00294FDC" w:rsidRDefault="00294FDC">
            <w:pPr>
              <w:ind w:right="18"/>
              <w:jc w:val="center"/>
              <w:rPr>
                <w:rFonts w:cs="Arial"/>
                <w:color w:val="000000"/>
                <w:sz w:val="20"/>
                <w:szCs w:val="20"/>
                <w:highlight w:val="black"/>
              </w:rPr>
            </w:pPr>
            <w:r w:rsidRPr="00294FDC">
              <w:rPr>
                <w:rFonts w:eastAsia="Times New Roman" w:cs="Arial"/>
                <w:color w:val="000000"/>
                <w:sz w:val="20"/>
                <w:szCs w:val="20"/>
                <w:highlight w:val="black"/>
              </w:rPr>
              <w:t>xxxxxxx</w:t>
            </w:r>
          </w:p>
        </w:tc>
        <w:tc>
          <w:tcPr>
            <w:tcW w:w="1133" w:type="dxa"/>
            <w:vAlign w:val="center"/>
          </w:tcPr>
          <w:p w14:paraId="67E6B295" w14:textId="46B000EF" w:rsidR="000B148D" w:rsidRPr="00294FDC" w:rsidRDefault="00294FDC">
            <w:pPr>
              <w:ind w:left="3"/>
              <w:jc w:val="center"/>
              <w:rPr>
                <w:rFonts w:cs="Arial"/>
                <w:color w:val="000000"/>
                <w:sz w:val="20"/>
                <w:szCs w:val="20"/>
                <w:highlight w:val="black"/>
              </w:rPr>
            </w:pPr>
            <w:r w:rsidRPr="00294FDC">
              <w:rPr>
                <w:rFonts w:eastAsia="Times New Roman" w:cs="Arial"/>
                <w:color w:val="000000"/>
                <w:sz w:val="20"/>
                <w:szCs w:val="20"/>
                <w:highlight w:val="black"/>
              </w:rPr>
              <w:t>x</w:t>
            </w:r>
          </w:p>
        </w:tc>
        <w:tc>
          <w:tcPr>
            <w:tcW w:w="1132" w:type="dxa"/>
            <w:vAlign w:val="center"/>
          </w:tcPr>
          <w:p w14:paraId="185DFC29" w14:textId="2573CB1B" w:rsidR="000B148D" w:rsidRPr="00294FDC" w:rsidRDefault="00294FDC">
            <w:pPr>
              <w:ind w:left="32"/>
              <w:jc w:val="center"/>
              <w:rPr>
                <w:rFonts w:cs="Arial"/>
                <w:color w:val="000000"/>
                <w:sz w:val="20"/>
                <w:szCs w:val="20"/>
                <w:highlight w:val="black"/>
              </w:rPr>
            </w:pPr>
            <w:r w:rsidRPr="00294FDC">
              <w:rPr>
                <w:rFonts w:eastAsia="Times New Roman" w:cs="Arial"/>
                <w:color w:val="000000"/>
                <w:sz w:val="20"/>
                <w:szCs w:val="20"/>
                <w:highlight w:val="black"/>
              </w:rPr>
              <w:t>xxxxxxx</w:t>
            </w:r>
          </w:p>
        </w:tc>
        <w:tc>
          <w:tcPr>
            <w:tcW w:w="1133" w:type="dxa"/>
            <w:vAlign w:val="center"/>
          </w:tcPr>
          <w:p w14:paraId="689F784D" w14:textId="46A10492" w:rsidR="000B148D" w:rsidRPr="00294FDC" w:rsidRDefault="00294FDC">
            <w:pPr>
              <w:ind w:right="1"/>
              <w:jc w:val="center"/>
              <w:rPr>
                <w:rFonts w:cs="Arial"/>
                <w:color w:val="000000"/>
                <w:sz w:val="20"/>
                <w:szCs w:val="20"/>
                <w:highlight w:val="black"/>
              </w:rPr>
            </w:pPr>
            <w:r w:rsidRPr="00294FDC">
              <w:rPr>
                <w:rFonts w:eastAsia="Times New Roman" w:cs="Arial"/>
                <w:color w:val="000000"/>
                <w:sz w:val="20"/>
                <w:szCs w:val="20"/>
                <w:highlight w:val="black"/>
              </w:rPr>
              <w:t>xxxxxxx</w:t>
            </w:r>
          </w:p>
        </w:tc>
        <w:tc>
          <w:tcPr>
            <w:tcW w:w="1132" w:type="dxa"/>
            <w:vAlign w:val="center"/>
          </w:tcPr>
          <w:p w14:paraId="48D6FFC8" w14:textId="6EAB80B3" w:rsidR="000B148D" w:rsidRPr="00294FDC" w:rsidRDefault="00294FDC">
            <w:pPr>
              <w:ind w:right="14"/>
              <w:jc w:val="center"/>
              <w:rPr>
                <w:rFonts w:cs="Arial"/>
                <w:color w:val="000000"/>
                <w:sz w:val="20"/>
                <w:szCs w:val="20"/>
                <w:highlight w:val="black"/>
              </w:rPr>
            </w:pPr>
            <w:r w:rsidRPr="00294FDC">
              <w:rPr>
                <w:rFonts w:eastAsia="Times New Roman" w:cs="Arial"/>
                <w:color w:val="000000"/>
                <w:sz w:val="20"/>
                <w:szCs w:val="20"/>
                <w:highlight w:val="black"/>
              </w:rPr>
              <w:t>x</w:t>
            </w:r>
          </w:p>
        </w:tc>
        <w:tc>
          <w:tcPr>
            <w:tcW w:w="1133" w:type="dxa"/>
            <w:vAlign w:val="center"/>
          </w:tcPr>
          <w:p w14:paraId="7B1F8560" w14:textId="6462CC0A" w:rsidR="000B148D" w:rsidRPr="00294FDC" w:rsidRDefault="00294FDC">
            <w:pPr>
              <w:jc w:val="center"/>
              <w:rPr>
                <w:rFonts w:cs="Arial"/>
                <w:color w:val="000000"/>
                <w:sz w:val="20"/>
                <w:szCs w:val="20"/>
                <w:highlight w:val="black"/>
              </w:rPr>
            </w:pPr>
            <w:r w:rsidRPr="00294FDC">
              <w:rPr>
                <w:rFonts w:eastAsia="Times New Roman" w:cs="Arial"/>
                <w:color w:val="000000"/>
                <w:sz w:val="20"/>
                <w:szCs w:val="20"/>
                <w:highlight w:val="black"/>
              </w:rPr>
              <w:t>xxxxxxx</w:t>
            </w:r>
          </w:p>
        </w:tc>
      </w:tr>
      <w:tr w:rsidR="000B148D" w:rsidRPr="00966FF8" w14:paraId="0B0656E1" w14:textId="77777777">
        <w:trPr>
          <w:trHeight w:val="20"/>
        </w:trPr>
        <w:tc>
          <w:tcPr>
            <w:tcW w:w="2577" w:type="dxa"/>
            <w:shd w:val="clear" w:color="auto" w:fill="F2F2F2" w:themeFill="background1" w:themeFillShade="F2"/>
            <w:vAlign w:val="center"/>
          </w:tcPr>
          <w:p w14:paraId="3257418F" w14:textId="77777777" w:rsidR="000B148D" w:rsidRPr="00966FF8" w:rsidRDefault="000B148D">
            <w:pPr>
              <w:ind w:right="93"/>
              <w:rPr>
                <w:rFonts w:cs="Arial"/>
                <w:sz w:val="20"/>
                <w:szCs w:val="20"/>
              </w:rPr>
            </w:pPr>
            <w:r w:rsidRPr="00966FF8">
              <w:rPr>
                <w:rFonts w:eastAsia="Times New Roman" w:cs="Arial"/>
                <w:sz w:val="20"/>
                <w:szCs w:val="20"/>
              </w:rPr>
              <w:t xml:space="preserve">Lost to follow-up </w:t>
            </w:r>
          </w:p>
        </w:tc>
        <w:tc>
          <w:tcPr>
            <w:tcW w:w="1132" w:type="dxa"/>
            <w:vAlign w:val="center"/>
          </w:tcPr>
          <w:p w14:paraId="587AE9CF" w14:textId="0AEF6423" w:rsidR="000B148D" w:rsidRPr="00294FDC" w:rsidRDefault="00294FDC">
            <w:pPr>
              <w:ind w:right="14"/>
              <w:jc w:val="center"/>
              <w:rPr>
                <w:rFonts w:cs="Arial"/>
                <w:color w:val="000000"/>
                <w:sz w:val="20"/>
                <w:szCs w:val="20"/>
                <w:highlight w:val="black"/>
              </w:rPr>
            </w:pPr>
            <w:r w:rsidRPr="00294FDC">
              <w:rPr>
                <w:rFonts w:eastAsia="Times New Roman" w:cs="Arial"/>
                <w:color w:val="000000"/>
                <w:sz w:val="20"/>
                <w:szCs w:val="20"/>
                <w:highlight w:val="black"/>
              </w:rPr>
              <w:t>x</w:t>
            </w:r>
          </w:p>
        </w:tc>
        <w:tc>
          <w:tcPr>
            <w:tcW w:w="1133" w:type="dxa"/>
            <w:vAlign w:val="center"/>
          </w:tcPr>
          <w:p w14:paraId="7E689964" w14:textId="079C8B01" w:rsidR="000B148D" w:rsidRPr="00294FDC" w:rsidRDefault="00294FDC">
            <w:pPr>
              <w:ind w:left="30"/>
              <w:jc w:val="center"/>
              <w:rPr>
                <w:rFonts w:cs="Arial"/>
                <w:color w:val="000000"/>
                <w:sz w:val="20"/>
                <w:szCs w:val="20"/>
                <w:highlight w:val="black"/>
              </w:rPr>
            </w:pPr>
            <w:r w:rsidRPr="00294FDC">
              <w:rPr>
                <w:rFonts w:eastAsia="Times New Roman" w:cs="Arial"/>
                <w:color w:val="000000"/>
                <w:sz w:val="20"/>
                <w:szCs w:val="20"/>
                <w:highlight w:val="black"/>
              </w:rPr>
              <w:t>xxxxxxx</w:t>
            </w:r>
          </w:p>
        </w:tc>
        <w:tc>
          <w:tcPr>
            <w:tcW w:w="1132" w:type="dxa"/>
            <w:vAlign w:val="center"/>
          </w:tcPr>
          <w:p w14:paraId="0DD18073" w14:textId="19C993F1" w:rsidR="000B148D" w:rsidRPr="00294FDC" w:rsidRDefault="00294FDC">
            <w:pPr>
              <w:ind w:left="31"/>
              <w:jc w:val="center"/>
              <w:rPr>
                <w:rFonts w:cs="Arial"/>
                <w:color w:val="000000"/>
                <w:sz w:val="20"/>
                <w:szCs w:val="20"/>
                <w:highlight w:val="black"/>
              </w:rPr>
            </w:pPr>
            <w:r w:rsidRPr="00294FDC">
              <w:rPr>
                <w:rFonts w:eastAsia="Times New Roman" w:cs="Arial"/>
                <w:color w:val="000000"/>
                <w:sz w:val="20"/>
                <w:szCs w:val="20"/>
                <w:highlight w:val="black"/>
              </w:rPr>
              <w:t>xxxxxxx</w:t>
            </w:r>
          </w:p>
        </w:tc>
        <w:tc>
          <w:tcPr>
            <w:tcW w:w="1133" w:type="dxa"/>
            <w:vAlign w:val="center"/>
          </w:tcPr>
          <w:p w14:paraId="39397DA4" w14:textId="7B72757E" w:rsidR="000B148D" w:rsidRPr="00294FDC" w:rsidRDefault="00294FDC">
            <w:pPr>
              <w:ind w:left="3"/>
              <w:jc w:val="center"/>
              <w:rPr>
                <w:rFonts w:cs="Arial"/>
                <w:color w:val="000000"/>
                <w:sz w:val="20"/>
                <w:szCs w:val="20"/>
                <w:highlight w:val="black"/>
              </w:rPr>
            </w:pPr>
            <w:r w:rsidRPr="00294FDC">
              <w:rPr>
                <w:rFonts w:eastAsia="Times New Roman" w:cs="Arial"/>
                <w:color w:val="000000"/>
                <w:sz w:val="20"/>
                <w:szCs w:val="20"/>
                <w:highlight w:val="black"/>
              </w:rPr>
              <w:t>x</w:t>
            </w:r>
          </w:p>
        </w:tc>
        <w:tc>
          <w:tcPr>
            <w:tcW w:w="1132" w:type="dxa"/>
            <w:vAlign w:val="center"/>
          </w:tcPr>
          <w:p w14:paraId="6D95C974" w14:textId="68550F2F" w:rsidR="000B148D" w:rsidRPr="00294FDC" w:rsidRDefault="00294FDC">
            <w:pPr>
              <w:ind w:right="17"/>
              <w:jc w:val="center"/>
              <w:rPr>
                <w:rFonts w:cs="Arial"/>
                <w:color w:val="000000"/>
                <w:sz w:val="20"/>
                <w:szCs w:val="20"/>
                <w:highlight w:val="black"/>
              </w:rPr>
            </w:pPr>
            <w:r w:rsidRPr="00294FDC">
              <w:rPr>
                <w:rFonts w:eastAsia="Times New Roman" w:cs="Arial"/>
                <w:color w:val="000000"/>
                <w:sz w:val="20"/>
                <w:szCs w:val="20"/>
                <w:highlight w:val="black"/>
              </w:rPr>
              <w:t>xxxxxxx</w:t>
            </w:r>
          </w:p>
        </w:tc>
        <w:tc>
          <w:tcPr>
            <w:tcW w:w="1133" w:type="dxa"/>
            <w:vAlign w:val="center"/>
          </w:tcPr>
          <w:p w14:paraId="265E4EEB" w14:textId="518FCA77" w:rsidR="000B148D" w:rsidRPr="00294FDC" w:rsidRDefault="00294FDC">
            <w:pPr>
              <w:ind w:right="1"/>
              <w:jc w:val="center"/>
              <w:rPr>
                <w:rFonts w:cs="Arial"/>
                <w:color w:val="000000"/>
                <w:sz w:val="20"/>
                <w:szCs w:val="20"/>
                <w:highlight w:val="black"/>
              </w:rPr>
            </w:pPr>
            <w:r w:rsidRPr="00294FDC">
              <w:rPr>
                <w:rFonts w:eastAsia="Times New Roman" w:cs="Arial"/>
                <w:color w:val="000000"/>
                <w:sz w:val="20"/>
                <w:szCs w:val="20"/>
                <w:highlight w:val="black"/>
              </w:rPr>
              <w:t>xxxxxxx</w:t>
            </w:r>
          </w:p>
        </w:tc>
      </w:tr>
    </w:tbl>
    <w:p w14:paraId="0D3FB07C" w14:textId="54425230" w:rsidR="000B148D" w:rsidRPr="000C741C" w:rsidRDefault="000B148D" w:rsidP="000B148D">
      <w:pPr>
        <w:pStyle w:val="Footnotes"/>
      </w:pPr>
      <w:bookmarkStart w:id="185" w:name="_Ref94858888"/>
      <w:bookmarkStart w:id="186" w:name="_Toc95826045"/>
      <w:bookmarkStart w:id="187" w:name="_Ref124229002"/>
      <w:r w:rsidRPr="00966FF8">
        <w:rPr>
          <w:vertAlign w:val="superscript"/>
        </w:rPr>
        <w:t>a</w:t>
      </w:r>
      <w:r w:rsidRPr="00966FF8">
        <w:t xml:space="preserve"> Study duration for a subject (months) was defined as (date of last known alive minus date of randomisation plus 1)/365.25×12</w:t>
      </w:r>
      <w:r w:rsidR="009E10DB">
        <w:t>.</w:t>
      </w:r>
      <w:r w:rsidRPr="00966FF8">
        <w:br/>
      </w:r>
      <w:r w:rsidRPr="00966FF8">
        <w:rPr>
          <w:vertAlign w:val="superscript"/>
        </w:rPr>
        <w:t>b</w:t>
      </w:r>
      <w:r w:rsidRPr="00966FF8">
        <w:t xml:space="preserve"> The percentage was based on the S</w:t>
      </w:r>
      <w:r w:rsidR="007E582B">
        <w:t>AS</w:t>
      </w:r>
      <w:r w:rsidRPr="00966FF8">
        <w:t xml:space="preserve">. </w:t>
      </w:r>
      <w:r w:rsidRPr="00966FF8">
        <w:br/>
        <w:t xml:space="preserve">Abbreviations: </w:t>
      </w:r>
      <w:r w:rsidR="002E5550">
        <w:t>HR-positive, hormone receptor-positive;</w:t>
      </w:r>
      <w:r w:rsidRPr="00966FF8">
        <w:t xml:space="preserve"> RECIST v1.1, Response Evaluation Criteria in Solid Tumo</w:t>
      </w:r>
      <w:r w:rsidR="00484AC4">
        <w:t>urs</w:t>
      </w:r>
      <w:r w:rsidRPr="00966FF8">
        <w:t xml:space="preserve"> version 1.1; T-DXd, trastuzumab deruxtecan; TPC, treatment of physician’s choice.</w:t>
      </w:r>
      <w:r w:rsidRPr="00966FF8">
        <w:br/>
      </w:r>
      <w:r w:rsidRPr="00966FF8">
        <w:rPr>
          <w:lang w:val="fr-FR"/>
        </w:rPr>
        <w:t>Sources: Modi et al., 2022</w:t>
      </w:r>
      <w:bookmarkEnd w:id="185"/>
      <w:bookmarkEnd w:id="186"/>
      <w:r>
        <w:rPr>
          <w:lang w:val="fr-FR"/>
        </w:rPr>
        <w:t> ;</w:t>
      </w:r>
      <w:r>
        <w:rPr>
          <w:lang w:val="fr-FR"/>
        </w:rPr>
        <w:fldChar w:fldCharType="begin"/>
      </w:r>
      <w:r w:rsidR="00CA6345">
        <w:rPr>
          <w:lang w:val="fr-FR"/>
        </w:rPr>
        <w:instrText xml:space="preserve"> ADDIN ZOTERO_ITEM CSL_CITATION {"citationID":"242Mg8ky","properties":{"formattedCitation":"\\super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Pr>
          <w:lang w:val="fr-FR"/>
        </w:rPr>
        <w:fldChar w:fldCharType="separate"/>
      </w:r>
      <w:r w:rsidR="00FD57F4" w:rsidRPr="00FD57F4">
        <w:rPr>
          <w:rFonts w:cs="Arial"/>
          <w:szCs w:val="24"/>
          <w:vertAlign w:val="superscript"/>
        </w:rPr>
        <w:t>6</w:t>
      </w:r>
      <w:r>
        <w:rPr>
          <w:lang w:val="fr-FR"/>
        </w:rPr>
        <w:fldChar w:fldCharType="end"/>
      </w:r>
      <w:r w:rsidRPr="00966FF8">
        <w:rPr>
          <w:lang w:val="fr-FR"/>
        </w:rPr>
        <w:t xml:space="preserve"> Daiichi Sankyo Inc., 2022 (CSR, Data on File)</w:t>
      </w:r>
      <w:r w:rsidRPr="00966FF8">
        <w:rPr>
          <w:lang w:val="fr-FR"/>
        </w:rPr>
        <w:fldChar w:fldCharType="begin"/>
      </w:r>
      <w:r w:rsidR="00CA6345">
        <w:rPr>
          <w:lang w:val="fr-FR"/>
        </w:rPr>
        <w:instrText xml:space="preserve"> ADDIN ZOTERO_ITEM CSL_CITATION {"citationID":"a1o9ouujvrj","properties":{"formattedCitation":"\\super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966FF8">
        <w:rPr>
          <w:lang w:val="fr-FR"/>
        </w:rPr>
        <w:fldChar w:fldCharType="separate"/>
      </w:r>
      <w:r w:rsidR="00FD57F4" w:rsidRPr="00FD57F4">
        <w:rPr>
          <w:rFonts w:cs="Arial"/>
          <w:szCs w:val="24"/>
          <w:vertAlign w:val="superscript"/>
        </w:rPr>
        <w:t>7</w:t>
      </w:r>
      <w:r w:rsidRPr="00966FF8">
        <w:rPr>
          <w:lang w:val="fr-FR"/>
        </w:rPr>
        <w:fldChar w:fldCharType="end"/>
      </w:r>
      <w:r w:rsidRPr="000C741C">
        <w:t xml:space="preserve"> </w:t>
      </w:r>
    </w:p>
    <w:p w14:paraId="5F62481B" w14:textId="562135F5" w:rsidR="000B148D" w:rsidRPr="00966FF8" w:rsidRDefault="000B148D" w:rsidP="000B148D">
      <w:pPr>
        <w:pStyle w:val="Caption"/>
      </w:pPr>
      <w:bookmarkStart w:id="188" w:name="_Toc124447874"/>
      <w:bookmarkStart w:id="189" w:name="_Ref127007910"/>
      <w:bookmarkStart w:id="190" w:name="_Toc129350989"/>
      <w:r w:rsidRPr="00966FF8">
        <w:t xml:space="preserve">Table </w:t>
      </w:r>
      <w:r w:rsidRPr="003C648C">
        <w:fldChar w:fldCharType="begin"/>
      </w:r>
      <w:r>
        <w:instrText xml:space="preserve"> SEQ Table \* ARABIC </w:instrText>
      </w:r>
      <w:r w:rsidRPr="003C648C">
        <w:fldChar w:fldCharType="separate"/>
      </w:r>
      <w:r w:rsidR="00145F42">
        <w:rPr>
          <w:noProof/>
        </w:rPr>
        <w:t>14</w:t>
      </w:r>
      <w:r w:rsidRPr="003C648C">
        <w:fldChar w:fldCharType="end"/>
      </w:r>
      <w:bookmarkEnd w:id="187"/>
      <w:r w:rsidRPr="00966FF8">
        <w:t>: TPC single-agent chemotherapy use | All screened patients (</w:t>
      </w:r>
      <w:r>
        <w:t>N=</w:t>
      </w:r>
      <w:r w:rsidRPr="00966FF8">
        <w:t>184)</w:t>
      </w:r>
      <w:bookmarkEnd w:id="188"/>
      <w:bookmarkEnd w:id="189"/>
      <w:bookmarkEnd w:id="190"/>
    </w:p>
    <w:tbl>
      <w:tblPr>
        <w:tblStyle w:val="TableGrid"/>
        <w:tblW w:w="0" w:type="auto"/>
        <w:tblLook w:val="04A0" w:firstRow="1" w:lastRow="0" w:firstColumn="1" w:lastColumn="0" w:noHBand="0" w:noVBand="1"/>
      </w:tblPr>
      <w:tblGrid>
        <w:gridCol w:w="4508"/>
        <w:gridCol w:w="4508"/>
      </w:tblGrid>
      <w:tr w:rsidR="000B148D" w:rsidRPr="00966FF8" w14:paraId="7BB43064" w14:textId="77777777">
        <w:tc>
          <w:tcPr>
            <w:tcW w:w="4508" w:type="dxa"/>
            <w:shd w:val="clear" w:color="auto" w:fill="F2F2F2" w:themeFill="background1" w:themeFillShade="F2"/>
          </w:tcPr>
          <w:p w14:paraId="58752373" w14:textId="77777777" w:rsidR="000B148D" w:rsidRPr="00966FF8" w:rsidRDefault="000B148D">
            <w:pPr>
              <w:rPr>
                <w:b/>
                <w:bCs/>
              </w:rPr>
            </w:pPr>
            <w:r w:rsidRPr="00966FF8">
              <w:rPr>
                <w:b/>
                <w:bCs/>
              </w:rPr>
              <w:t>Single-agent chemotherapy</w:t>
            </w:r>
          </w:p>
        </w:tc>
        <w:tc>
          <w:tcPr>
            <w:tcW w:w="4508" w:type="dxa"/>
            <w:shd w:val="clear" w:color="auto" w:fill="F2F2F2" w:themeFill="background1" w:themeFillShade="F2"/>
          </w:tcPr>
          <w:p w14:paraId="20DDE558" w14:textId="77777777" w:rsidR="000B148D" w:rsidRPr="00966FF8" w:rsidRDefault="000B148D">
            <w:pPr>
              <w:rPr>
                <w:b/>
                <w:bCs/>
              </w:rPr>
            </w:pPr>
            <w:r w:rsidRPr="00966FF8">
              <w:rPr>
                <w:b/>
                <w:bCs/>
              </w:rPr>
              <w:t>Patients, N (%)</w:t>
            </w:r>
          </w:p>
        </w:tc>
      </w:tr>
      <w:tr w:rsidR="000B148D" w:rsidRPr="00966FF8" w14:paraId="70D46D54" w14:textId="77777777">
        <w:tc>
          <w:tcPr>
            <w:tcW w:w="4508" w:type="dxa"/>
            <w:shd w:val="clear" w:color="auto" w:fill="auto"/>
          </w:tcPr>
          <w:p w14:paraId="4AB15AD9" w14:textId="77777777" w:rsidR="000B148D" w:rsidRPr="00966FF8" w:rsidRDefault="000B148D">
            <w:r w:rsidRPr="00966FF8">
              <w:t>Eribulin</w:t>
            </w:r>
          </w:p>
        </w:tc>
        <w:tc>
          <w:tcPr>
            <w:tcW w:w="4508" w:type="dxa"/>
          </w:tcPr>
          <w:p w14:paraId="10F70DAD" w14:textId="77777777" w:rsidR="000B148D" w:rsidRPr="00966FF8" w:rsidRDefault="000B148D">
            <w:r w:rsidRPr="00966FF8">
              <w:t>94 (51.1)</w:t>
            </w:r>
          </w:p>
        </w:tc>
      </w:tr>
      <w:tr w:rsidR="000B148D" w:rsidRPr="00966FF8" w14:paraId="641F583B" w14:textId="77777777">
        <w:tc>
          <w:tcPr>
            <w:tcW w:w="4508" w:type="dxa"/>
            <w:shd w:val="clear" w:color="auto" w:fill="auto"/>
          </w:tcPr>
          <w:p w14:paraId="2073144C" w14:textId="77777777" w:rsidR="000B148D" w:rsidRPr="00966FF8" w:rsidRDefault="000B148D">
            <w:r w:rsidRPr="00966FF8">
              <w:t>Capecitabine</w:t>
            </w:r>
          </w:p>
        </w:tc>
        <w:tc>
          <w:tcPr>
            <w:tcW w:w="4508" w:type="dxa"/>
          </w:tcPr>
          <w:p w14:paraId="79DE66EC" w14:textId="77777777" w:rsidR="000B148D" w:rsidRPr="00966FF8" w:rsidRDefault="000B148D">
            <w:r w:rsidRPr="00966FF8">
              <w:t>37 (20.1)</w:t>
            </w:r>
          </w:p>
        </w:tc>
      </w:tr>
      <w:tr w:rsidR="000B148D" w:rsidRPr="00966FF8" w14:paraId="2A8771F6" w14:textId="77777777">
        <w:tc>
          <w:tcPr>
            <w:tcW w:w="4508" w:type="dxa"/>
            <w:shd w:val="clear" w:color="auto" w:fill="auto"/>
          </w:tcPr>
          <w:p w14:paraId="2188A9E0" w14:textId="77777777" w:rsidR="000B148D" w:rsidRPr="00966FF8" w:rsidRDefault="000B148D">
            <w:r w:rsidRPr="00966FF8">
              <w:t>Nab-paclitaxel</w:t>
            </w:r>
          </w:p>
        </w:tc>
        <w:tc>
          <w:tcPr>
            <w:tcW w:w="4508" w:type="dxa"/>
          </w:tcPr>
          <w:p w14:paraId="12E9B312" w14:textId="77777777" w:rsidR="000B148D" w:rsidRPr="00966FF8" w:rsidRDefault="000B148D">
            <w:r w:rsidRPr="00966FF8">
              <w:t>19 (10.3)</w:t>
            </w:r>
          </w:p>
        </w:tc>
      </w:tr>
      <w:tr w:rsidR="000B148D" w:rsidRPr="00966FF8" w14:paraId="5BF62A0F" w14:textId="77777777">
        <w:tc>
          <w:tcPr>
            <w:tcW w:w="4508" w:type="dxa"/>
            <w:shd w:val="clear" w:color="auto" w:fill="auto"/>
          </w:tcPr>
          <w:p w14:paraId="292BBB97" w14:textId="77777777" w:rsidR="000B148D" w:rsidRPr="00966FF8" w:rsidRDefault="000B148D">
            <w:r w:rsidRPr="00966FF8">
              <w:t>Gemcitabine</w:t>
            </w:r>
          </w:p>
        </w:tc>
        <w:tc>
          <w:tcPr>
            <w:tcW w:w="4508" w:type="dxa"/>
          </w:tcPr>
          <w:p w14:paraId="0DC865CD" w14:textId="77777777" w:rsidR="000B148D" w:rsidRPr="00966FF8" w:rsidRDefault="000B148D">
            <w:r w:rsidRPr="00966FF8">
              <w:t>19 (10.3)</w:t>
            </w:r>
          </w:p>
        </w:tc>
      </w:tr>
      <w:tr w:rsidR="000B148D" w:rsidRPr="00966FF8" w14:paraId="6A0D77D4" w14:textId="77777777">
        <w:tc>
          <w:tcPr>
            <w:tcW w:w="4508" w:type="dxa"/>
            <w:shd w:val="clear" w:color="auto" w:fill="auto"/>
          </w:tcPr>
          <w:p w14:paraId="0DB87152" w14:textId="77777777" w:rsidR="000B148D" w:rsidRPr="00966FF8" w:rsidRDefault="000B148D">
            <w:r w:rsidRPr="00966FF8">
              <w:t>Paclitaxel</w:t>
            </w:r>
          </w:p>
        </w:tc>
        <w:tc>
          <w:tcPr>
            <w:tcW w:w="4508" w:type="dxa"/>
          </w:tcPr>
          <w:p w14:paraId="77E01188" w14:textId="77777777" w:rsidR="000B148D" w:rsidRPr="00966FF8" w:rsidRDefault="000B148D">
            <w:r w:rsidRPr="00966FF8">
              <w:t>15 (8.2)</w:t>
            </w:r>
          </w:p>
        </w:tc>
      </w:tr>
    </w:tbl>
    <w:p w14:paraId="21BAEFBC" w14:textId="3A16A839" w:rsidR="000B148D" w:rsidRPr="00966FF8" w:rsidRDefault="000B148D" w:rsidP="000B148D">
      <w:pPr>
        <w:pStyle w:val="Footnotes"/>
      </w:pPr>
      <w:r w:rsidRPr="00966FF8">
        <w:t>Abbreviations: TPC, treatment of physician’s choice</w:t>
      </w:r>
      <w:r w:rsidRPr="00966FF8">
        <w:br/>
        <w:t>Source: Modi et al., ASCO 2022;</w:t>
      </w:r>
      <w:r w:rsidRPr="00966FF8">
        <w:fldChar w:fldCharType="begin"/>
      </w:r>
      <w:r w:rsidR="00CA6345">
        <w:instrText xml:space="preserve"> ADDIN ZOTERO_ITEM CSL_CITATION {"citationID":"JfAKDyk2","properties":{"formattedCitation":"\\super 140\\nosupersub{}","plainCitation":"140","noteIndex":0},"citationItems":[{"id":66138,"uris":["http://zotero.org/groups/4797619/items/7DECRJ2U"],"itemData":{"id":66138,"type":"document","title":"Trastuzumab deruxtecan (T-DXd) vs treatment of physician's choice in patients with HER2-low unresectable and/or metastatic breast cancer: Results of DESTINY-Breast04, a randomized, phase 3 study. Presented at ASCO 2022 Annual Meeting.","author":[{"family":"Modi","given":"Shanu"},{"family":"Jacot","given":"William"},{"family":"Yamashita","given":"Toshinari"},{"family":"Sohn","given":"Joohyuk"},{"family":"Vidal","given":"Maria"},{"family":"Tokunaga","given":"Eriko"},{"family":"Tsurutani","given":"Junji"},{"family":"Ueno","given":"Naoto T."},{"family":"Chae","given":"Yee Soo"},{"family":"Lee","given":"Keun Seok"},{"family":"Niikura","given":"Naoki"},{"family":"Park","given":"Yeon Hee"},{"family":"Wang","given":"Xiaojia"},{"family":"Xu","given":"Binghe"},{"family":"Gambhire","given":"Dhiraj"},{"family":"Yung","given":"Lotus"},{"family":"Meinhardt","given":"Gerold"},{"family":"Wang","given":"Yibin"},{"family":"Harbeck","given":"Nadia"},{"family":"Cameron","given":"David"}],"issued":{"date-parts":[["2022",6,5]]}}}],"schema":"https://github.com/citation-style-language/schema/raw/master/csl-citation.json"} </w:instrText>
      </w:r>
      <w:r w:rsidRPr="00966FF8">
        <w:fldChar w:fldCharType="separate"/>
      </w:r>
      <w:r w:rsidR="00CA6345" w:rsidRPr="00CA6345">
        <w:rPr>
          <w:rFonts w:cs="Arial"/>
          <w:szCs w:val="24"/>
          <w:vertAlign w:val="superscript"/>
        </w:rPr>
        <w:t>140</w:t>
      </w:r>
      <w:r w:rsidRPr="00966FF8">
        <w:fldChar w:fldCharType="end"/>
      </w:r>
      <w:r w:rsidRPr="00966FF8">
        <w:t xml:space="preserve"> Daiichi Sankyo Inc., 2022 (CSR; Data on File)</w:t>
      </w:r>
      <w:r w:rsidRPr="00966FF8">
        <w:fldChar w:fldCharType="begin"/>
      </w:r>
      <w:r w:rsidR="00CA6345">
        <w:instrText xml:space="preserve"> ADDIN ZOTERO_ITEM CSL_CITATION {"citationID":"SXoNCI8C","properties":{"formattedCitation":"\\super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966FF8">
        <w:fldChar w:fldCharType="separate"/>
      </w:r>
      <w:r w:rsidR="00FD57F4" w:rsidRPr="00FD57F4">
        <w:rPr>
          <w:rFonts w:cs="Arial"/>
          <w:szCs w:val="24"/>
          <w:vertAlign w:val="superscript"/>
        </w:rPr>
        <w:t>7</w:t>
      </w:r>
      <w:r w:rsidRPr="00966FF8">
        <w:fldChar w:fldCharType="end"/>
      </w:r>
    </w:p>
    <w:p w14:paraId="1B8BD278" w14:textId="77777777" w:rsidR="000B148D" w:rsidRPr="00966FF8" w:rsidRDefault="000B148D" w:rsidP="000B148D">
      <w:pPr>
        <w:pStyle w:val="Heading3"/>
      </w:pPr>
      <w:bookmarkStart w:id="191" w:name="_Toc124447835"/>
      <w:bookmarkStart w:id="192" w:name="_Ref127007557"/>
      <w:bookmarkStart w:id="193" w:name="_Toc129350862"/>
      <w:r w:rsidRPr="00966FF8">
        <w:t>Patient baseline characteristics</w:t>
      </w:r>
      <w:bookmarkEnd w:id="191"/>
      <w:bookmarkEnd w:id="192"/>
      <w:bookmarkEnd w:id="193"/>
    </w:p>
    <w:p w14:paraId="5E1610E5" w14:textId="4CA7A277" w:rsidR="000B148D" w:rsidRPr="00966FF8" w:rsidRDefault="000B148D" w:rsidP="000B148D">
      <w:pPr>
        <w:pStyle w:val="Body"/>
      </w:pPr>
      <w:bookmarkStart w:id="194" w:name="_Hlk114667973"/>
      <w:r w:rsidRPr="00966FF8">
        <w:t xml:space="preserve">Patient baseline characteristics for DESTINY-Breast04 are presented in </w:t>
      </w:r>
      <w:r w:rsidRPr="00966FF8">
        <w:rPr>
          <w:b/>
          <w:bCs/>
        </w:rPr>
        <w:fldChar w:fldCharType="begin"/>
      </w:r>
      <w:r w:rsidRPr="00966FF8">
        <w:rPr>
          <w:b/>
          <w:bCs/>
        </w:rPr>
        <w:instrText xml:space="preserve"> REF _Ref101386017 \h  \* MERGEFORMAT </w:instrText>
      </w:r>
      <w:r w:rsidRPr="00966FF8">
        <w:rPr>
          <w:b/>
          <w:bCs/>
        </w:rPr>
      </w:r>
      <w:r w:rsidRPr="00966FF8">
        <w:rPr>
          <w:b/>
          <w:bCs/>
        </w:rPr>
        <w:fldChar w:fldCharType="separate"/>
      </w:r>
      <w:r w:rsidR="00145F42" w:rsidRPr="00145F42">
        <w:rPr>
          <w:b/>
          <w:bCs/>
        </w:rPr>
        <w:t xml:space="preserve">Table </w:t>
      </w:r>
      <w:r w:rsidR="00145F42" w:rsidRPr="00145F42">
        <w:rPr>
          <w:b/>
          <w:bCs/>
          <w:noProof/>
        </w:rPr>
        <w:t>15</w:t>
      </w:r>
      <w:r w:rsidRPr="00966FF8">
        <w:rPr>
          <w:b/>
          <w:bCs/>
        </w:rPr>
        <w:fldChar w:fldCharType="end"/>
      </w:r>
      <w:r w:rsidRPr="00966FF8">
        <w:t>. Between December 27, 2018, and December 31, 2021, 557 patients with HER2-low mBC were enrolled at 161 centres in 19 countries.</w:t>
      </w:r>
      <w:r w:rsidRPr="00966FF8">
        <w:fldChar w:fldCharType="begin"/>
      </w:r>
      <w:r w:rsidR="00CA6345">
        <w:instrText xml:space="preserve"> ADDIN ZOTERO_ITEM CSL_CITATION {"citationID":"lswUgfpL","properties":{"formattedCitation":"\\super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966FF8">
        <w:fldChar w:fldCharType="separate"/>
      </w:r>
      <w:r w:rsidR="00FD57F4" w:rsidRPr="00FD57F4">
        <w:rPr>
          <w:rFonts w:cs="Arial"/>
          <w:szCs w:val="24"/>
          <w:vertAlign w:val="superscript"/>
        </w:rPr>
        <w:t>7</w:t>
      </w:r>
      <w:r w:rsidRPr="00966FF8">
        <w:fldChar w:fldCharType="end"/>
      </w:r>
      <w:r w:rsidRPr="00966FF8">
        <w:t xml:space="preserve"> </w:t>
      </w:r>
      <w:bookmarkStart w:id="195" w:name="_Ref85795847"/>
      <w:bookmarkStart w:id="196" w:name="_Toc95826062"/>
      <w:bookmarkEnd w:id="194"/>
    </w:p>
    <w:p w14:paraId="0F931017" w14:textId="219CAFAA" w:rsidR="000B148D" w:rsidRPr="00966FF8" w:rsidRDefault="000B148D" w:rsidP="000B148D">
      <w:pPr>
        <w:pStyle w:val="Body"/>
      </w:pPr>
      <w:r>
        <w:t>D</w:t>
      </w:r>
      <w:r w:rsidRPr="00966FF8">
        <w:t>emographic</w:t>
      </w:r>
      <w:r>
        <w:t>ally</w:t>
      </w:r>
      <w:r w:rsidRPr="00966FF8">
        <w:t>, patients were generally well</w:t>
      </w:r>
      <w:r w:rsidR="00510EE1">
        <w:t xml:space="preserve"> balanced</w:t>
      </w:r>
      <w:r w:rsidRPr="00966FF8">
        <w:t xml:space="preserve"> across treatment arms at baseline</w:t>
      </w:r>
      <w:r>
        <w:t xml:space="preserve"> </w:t>
      </w:r>
      <w:r w:rsidRPr="00966FF8">
        <w:t>(</w:t>
      </w:r>
      <w:r w:rsidRPr="00966FF8">
        <w:rPr>
          <w:b/>
          <w:bCs/>
        </w:rPr>
        <w:fldChar w:fldCharType="begin"/>
      </w:r>
      <w:r w:rsidRPr="00966FF8">
        <w:rPr>
          <w:b/>
          <w:bCs/>
        </w:rPr>
        <w:instrText xml:space="preserve"> REF _Ref101386017 \h  \* MERGEFORMAT </w:instrText>
      </w:r>
      <w:r w:rsidRPr="00966FF8">
        <w:rPr>
          <w:b/>
          <w:bCs/>
        </w:rPr>
      </w:r>
      <w:r w:rsidRPr="00966FF8">
        <w:rPr>
          <w:b/>
          <w:bCs/>
        </w:rPr>
        <w:fldChar w:fldCharType="separate"/>
      </w:r>
      <w:r w:rsidR="00145F42" w:rsidRPr="00145F42">
        <w:rPr>
          <w:b/>
          <w:bCs/>
        </w:rPr>
        <w:t xml:space="preserve">Table </w:t>
      </w:r>
      <w:r w:rsidR="00145F42" w:rsidRPr="00145F42">
        <w:rPr>
          <w:b/>
          <w:bCs/>
          <w:noProof/>
        </w:rPr>
        <w:t>15</w:t>
      </w:r>
      <w:r w:rsidRPr="00966FF8">
        <w:rPr>
          <w:b/>
          <w:bCs/>
        </w:rPr>
        <w:fldChar w:fldCharType="end"/>
      </w:r>
      <w:r w:rsidRPr="00966FF8">
        <w:t>). Median age was similar in the T</w:t>
      </w:r>
      <w:r w:rsidRPr="00966FF8">
        <w:noBreakHyphen/>
        <w:t>DXd and TPC treatment arms (57.5 vs. 55.9 years in the FAS),</w:t>
      </w:r>
      <w:r>
        <w:fldChar w:fldCharType="begin"/>
      </w:r>
      <w:r w:rsidR="00CA6345">
        <w:instrText xml:space="preserve"> ADDIN ZOTERO_ITEM CSL_CITATION {"citationID":"6P5sy79a","properties":{"formattedCitation":"\\super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966FF8">
        <w:t xml:space="preserve"> as was the proportion of patients who were female (99.5% vs</w:t>
      </w:r>
      <w:r>
        <w:t>.</w:t>
      </w:r>
      <w:r w:rsidRPr="00966FF8">
        <w:t xml:space="preserve"> 100%, FAS); only two male patients were enrolled (both in the T-DXd arm).</w:t>
      </w:r>
      <w:r>
        <w:fldChar w:fldCharType="begin"/>
      </w:r>
      <w:r w:rsidR="00CA6345">
        <w:instrText xml:space="preserve"> ADDIN ZOTERO_ITEM CSL_CITATION {"citationID":"AnXZQ29F","properties":{"formattedCitation":"\\super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966FF8">
        <w:t xml:space="preserve"> The proportion of patients who were white, black, Asian, and </w:t>
      </w:r>
      <w:r w:rsidR="001428DE">
        <w:t>of other ethnicity</w:t>
      </w:r>
      <w:r w:rsidRPr="00966FF8">
        <w:t xml:space="preserve"> was similar between the T-DXd and TPC arms (in the FAS: white: 47.2% vs. 49.</w:t>
      </w:r>
      <w:r>
        <w:t>5</w:t>
      </w:r>
      <w:r w:rsidRPr="00966FF8">
        <w:t>%; black: 1.9% vs. 1.6%; Asian: 40.5% vs. 39.1%;</w:t>
      </w:r>
      <w:r w:rsidR="0005196D">
        <w:t>other</w:t>
      </w:r>
      <w:r w:rsidRPr="00966FF8">
        <w:t xml:space="preserve">: </w:t>
      </w:r>
      <w:r w:rsidR="0005196D">
        <w:t>10.5</w:t>
      </w:r>
      <w:r w:rsidRPr="00966FF8">
        <w:t xml:space="preserve">% vs. </w:t>
      </w:r>
      <w:r w:rsidR="0005196D">
        <w:t>9.2</w:t>
      </w:r>
      <w:r w:rsidRPr="00966FF8">
        <w:t>%)</w:t>
      </w:r>
      <w:r>
        <w:t>.</w:t>
      </w:r>
      <w:r>
        <w:fldChar w:fldCharType="begin"/>
      </w:r>
      <w:r w:rsidR="00CA6345">
        <w:instrText xml:space="preserve"> ADDIN ZOTERO_ITEM CSL_CITATION {"citationID":"zmdh5SVm","properties":{"formattedCitation":"\\super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Del="00FD20BF">
        <w:t xml:space="preserve"> </w:t>
      </w:r>
      <w:r>
        <w:t>Current smoking status was also similar in the T-DXd and TPC arms (</w:t>
      </w:r>
      <w:r w:rsidR="00294FDC" w:rsidRPr="00294FDC">
        <w:rPr>
          <w:color w:val="000000"/>
          <w:highlight w:val="black"/>
        </w:rPr>
        <w:t>xxxx</w:t>
      </w:r>
      <w:r>
        <w:t xml:space="preserve"> vs. </w:t>
      </w:r>
      <w:r w:rsidR="00294FDC" w:rsidRPr="00294FDC">
        <w:rPr>
          <w:color w:val="000000"/>
          <w:highlight w:val="black"/>
        </w:rPr>
        <w:t>xxxx</w:t>
      </w:r>
      <w:r>
        <w:t>; FAS).</w:t>
      </w:r>
      <w:r>
        <w:fldChar w:fldCharType="begin"/>
      </w:r>
      <w:r w:rsidR="00CA6345">
        <w:instrText xml:space="preserve"> ADDIN ZOTERO_ITEM CSL_CITATION {"citationID":"pcUEAI81","properties":{"formattedCitation":"\\super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fldChar w:fldCharType="separate"/>
      </w:r>
      <w:r w:rsidR="00FD57F4" w:rsidRPr="00FD57F4">
        <w:rPr>
          <w:rFonts w:cs="Arial"/>
          <w:szCs w:val="24"/>
          <w:vertAlign w:val="superscript"/>
        </w:rPr>
        <w:t>7</w:t>
      </w:r>
      <w:r>
        <w:fldChar w:fldCharType="end"/>
      </w:r>
    </w:p>
    <w:p w14:paraId="17DCEF3E" w14:textId="450F5591" w:rsidR="000B148D" w:rsidRPr="00966FF8" w:rsidRDefault="000B148D" w:rsidP="000B148D">
      <w:pPr>
        <w:pStyle w:val="Body"/>
      </w:pPr>
      <w:r w:rsidRPr="00966FF8">
        <w:t>Baseline disease characteristics were also generally similar between the two treatment arms (</w:t>
      </w:r>
      <w:r w:rsidRPr="00966FF8">
        <w:rPr>
          <w:b/>
          <w:bCs/>
        </w:rPr>
        <w:fldChar w:fldCharType="begin"/>
      </w:r>
      <w:r w:rsidRPr="00966FF8">
        <w:rPr>
          <w:b/>
          <w:bCs/>
        </w:rPr>
        <w:instrText xml:space="preserve"> REF _Ref101386017 \h  \* MERGEFORMAT </w:instrText>
      </w:r>
      <w:r w:rsidRPr="00966FF8">
        <w:rPr>
          <w:b/>
          <w:bCs/>
        </w:rPr>
      </w:r>
      <w:r w:rsidRPr="00966FF8">
        <w:rPr>
          <w:b/>
          <w:bCs/>
        </w:rPr>
        <w:fldChar w:fldCharType="separate"/>
      </w:r>
      <w:r w:rsidR="00145F42" w:rsidRPr="00145F42">
        <w:rPr>
          <w:b/>
          <w:bCs/>
        </w:rPr>
        <w:t xml:space="preserve">Table </w:t>
      </w:r>
      <w:r w:rsidR="00145F42" w:rsidRPr="00145F42">
        <w:rPr>
          <w:b/>
          <w:bCs/>
          <w:noProof/>
        </w:rPr>
        <w:t>15</w:t>
      </w:r>
      <w:r w:rsidRPr="00966FF8">
        <w:rPr>
          <w:b/>
          <w:bCs/>
        </w:rPr>
        <w:fldChar w:fldCharType="end"/>
      </w:r>
      <w:r w:rsidRPr="00966FF8">
        <w:t>). The proportion of patients with HER2-low IHC 1+ was the same in each arm (57.6%, FAS), as was the proportion with IHC2+/ISH-negative (42.4%, FAS).</w:t>
      </w:r>
      <w:r>
        <w:fldChar w:fldCharType="begin"/>
      </w:r>
      <w:r w:rsidR="00CA6345">
        <w:instrText xml:space="preserve"> ADDIN ZOTERO_ITEM CSL_CITATION {"citationID":"kddziZrh","properties":{"formattedCitation":"\\super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966FF8">
        <w:t xml:space="preserve"> The proportion of patients with positive hormone receptor status was also similar for T-DXd v</w:t>
      </w:r>
      <w:r>
        <w:t>s.</w:t>
      </w:r>
      <w:r w:rsidRPr="00966FF8">
        <w:t xml:space="preserve"> TPC (89.3% vs. 90.2%, FAS).</w:t>
      </w:r>
      <w:r>
        <w:fldChar w:fldCharType="begin"/>
      </w:r>
      <w:r w:rsidR="00CA6345">
        <w:instrText xml:space="preserve"> ADDIN ZOTERO_ITEM CSL_CITATION {"citationID":"lkUAxhbh","properties":{"formattedCitation":"\\super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966FF8">
        <w:t xml:space="preserve"> The proportion of patients with ECOG performance status 1 </w:t>
      </w:r>
      <w:r>
        <w:t xml:space="preserve">was </w:t>
      </w:r>
      <w:r w:rsidRPr="00966FF8">
        <w:t>slightly higher in the T-DXd arm (46.4 vs. 42.9%; FAS).</w:t>
      </w:r>
      <w:r>
        <w:fldChar w:fldCharType="begin"/>
      </w:r>
      <w:r w:rsidR="00CA6345">
        <w:instrText xml:space="preserve"> ADDIN ZOTERO_ITEM CSL_CITATION {"citationID":"OyyZ5WUS","properties":{"formattedCitation":"\\super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966FF8">
        <w:t xml:space="preserve"> Similarly, a slightly higher proportion of T-DXd v</w:t>
      </w:r>
      <w:r>
        <w:t>s.</w:t>
      </w:r>
      <w:r w:rsidRPr="00966FF8">
        <w:t xml:space="preserve"> TPC had baseline liver metastases (71.3% vs. 66.8%, FAS),</w:t>
      </w:r>
      <w:r>
        <w:fldChar w:fldCharType="begin"/>
      </w:r>
      <w:r w:rsidR="00CA6345">
        <w:instrText xml:space="preserve"> ADDIN ZOTERO_ITEM CSL_CITATION {"citationID":"NOsuNhNR","properties":{"formattedCitation":"\\super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966FF8">
        <w:t xml:space="preserve"> and visceral disease (</w:t>
      </w:r>
      <w:r w:rsidR="00294FDC" w:rsidRPr="00294FDC">
        <w:rPr>
          <w:color w:val="000000"/>
          <w:highlight w:val="black"/>
        </w:rPr>
        <w:t>xxxxx</w:t>
      </w:r>
      <w:r w:rsidRPr="00966FF8">
        <w:t xml:space="preserve"> vs. </w:t>
      </w:r>
      <w:r w:rsidR="00294FDC" w:rsidRPr="00294FDC">
        <w:rPr>
          <w:color w:val="000000"/>
          <w:highlight w:val="black"/>
        </w:rPr>
        <w:t>xxxxx</w:t>
      </w:r>
      <w:r w:rsidRPr="00966FF8">
        <w:t>; FAS).</w:t>
      </w:r>
      <w:r>
        <w:fldChar w:fldCharType="begin"/>
      </w:r>
      <w:r w:rsidR="00CA6345">
        <w:instrText xml:space="preserve"> ADDIN ZOTERO_ITEM CSL_CITATION {"citationID":"zSeonCkQ","properties":{"formattedCitation":"\\super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fldChar w:fldCharType="separate"/>
      </w:r>
      <w:r w:rsidR="00FD57F4" w:rsidRPr="00FD57F4">
        <w:rPr>
          <w:rFonts w:cs="Arial"/>
          <w:szCs w:val="24"/>
          <w:vertAlign w:val="superscript"/>
        </w:rPr>
        <w:t>7</w:t>
      </w:r>
      <w:r>
        <w:fldChar w:fldCharType="end"/>
      </w:r>
      <w:r w:rsidRPr="00966FF8">
        <w:t xml:space="preserve"> The proportion</w:t>
      </w:r>
      <w:r w:rsidR="00D870AE">
        <w:t>s</w:t>
      </w:r>
      <w:r w:rsidRPr="00966FF8">
        <w:t xml:space="preserve"> with baseline lung</w:t>
      </w:r>
      <w:r w:rsidRPr="00966FF8" w:rsidDel="00B614AE">
        <w:t xml:space="preserve"> metastases (</w:t>
      </w:r>
      <w:r w:rsidRPr="00966FF8">
        <w:t>32.2% vs</w:t>
      </w:r>
      <w:r>
        <w:t>.</w:t>
      </w:r>
      <w:r w:rsidRPr="00966FF8">
        <w:t xml:space="preserve"> 34.2% </w:t>
      </w:r>
      <w:r w:rsidR="005C4E78" w:rsidRPr="00966FF8">
        <w:t xml:space="preserve">for T-DXd </w:t>
      </w:r>
      <w:r w:rsidR="004341E0">
        <w:t>and</w:t>
      </w:r>
      <w:r w:rsidR="005C4E78" w:rsidRPr="00966FF8">
        <w:t xml:space="preserve"> TPC</w:t>
      </w:r>
      <w:r w:rsidR="004341E0">
        <w:t>, respectively</w:t>
      </w:r>
      <w:r w:rsidR="005C4E78" w:rsidRPr="00966FF8">
        <w:t xml:space="preserve"> </w:t>
      </w:r>
      <w:r w:rsidR="006F7F8D">
        <w:t>[</w:t>
      </w:r>
      <w:r w:rsidRPr="00966FF8">
        <w:t>FAS</w:t>
      </w:r>
      <w:r w:rsidR="006F7F8D">
        <w:t>]</w:t>
      </w:r>
      <w:r w:rsidRPr="00966FF8">
        <w:t>)</w:t>
      </w:r>
      <w:r>
        <w:fldChar w:fldCharType="begin"/>
      </w:r>
      <w:r w:rsidR="00CA6345">
        <w:instrText xml:space="preserve"> ADDIN ZOTERO_ITEM CSL_CITATION {"citationID":"BYaLEJCp","properties":{"formattedCitation":"\\super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966FF8">
        <w:t xml:space="preserve"> </w:t>
      </w:r>
      <w:r w:rsidR="00C04FCE">
        <w:t xml:space="preserve">and </w:t>
      </w:r>
      <w:r w:rsidR="00B614AE" w:rsidRPr="00966FF8">
        <w:t>stable brain metastases (6.4% vs. 4.3%, FAS)</w:t>
      </w:r>
      <w:r w:rsidR="00B614AE">
        <w:fldChar w:fldCharType="begin"/>
      </w:r>
      <w:r w:rsidR="00CA6345">
        <w:instrText xml:space="preserve"> ADDIN ZOTERO_ITEM CSL_CITATION {"citationID":"WScn69za","properties":{"formattedCitation":"\\super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00B614AE">
        <w:fldChar w:fldCharType="separate"/>
      </w:r>
      <w:r w:rsidR="00FD57F4" w:rsidRPr="00FD57F4">
        <w:rPr>
          <w:rFonts w:cs="Arial"/>
          <w:szCs w:val="24"/>
          <w:vertAlign w:val="superscript"/>
        </w:rPr>
        <w:t>6</w:t>
      </w:r>
      <w:r w:rsidR="00B614AE">
        <w:fldChar w:fldCharType="end"/>
      </w:r>
      <w:r w:rsidR="00C04FCE" w:rsidRPr="00C04FCE">
        <w:t xml:space="preserve"> </w:t>
      </w:r>
      <w:r w:rsidR="00D870AE">
        <w:t>were</w:t>
      </w:r>
      <w:r w:rsidR="00C04FCE" w:rsidRPr="00966FF8">
        <w:t xml:space="preserve"> </w:t>
      </w:r>
      <w:r w:rsidR="00C04FCE">
        <w:t>similar</w:t>
      </w:r>
      <w:r w:rsidR="00EF70CB">
        <w:t xml:space="preserve">. </w:t>
      </w:r>
    </w:p>
    <w:p w14:paraId="11D2C96F" w14:textId="0C98CFF8" w:rsidR="000B148D" w:rsidRDefault="000B148D" w:rsidP="000B148D">
      <w:pPr>
        <w:pStyle w:val="Body"/>
      </w:pPr>
      <w:r w:rsidRPr="00966FF8">
        <w:t xml:space="preserve">In terms of prior BC therapies </w:t>
      </w:r>
      <w:r w:rsidR="002A026F" w:rsidRPr="00966FF8">
        <w:t xml:space="preserve">(including </w:t>
      </w:r>
      <w:r w:rsidR="004C7B11">
        <w:t>CDK4/6i/</w:t>
      </w:r>
      <w:r w:rsidR="002A026F" w:rsidRPr="00966FF8">
        <w:t>ET</w:t>
      </w:r>
      <w:r w:rsidR="00A70663">
        <w:t xml:space="preserve">, </w:t>
      </w:r>
      <w:r w:rsidR="002A026F" w:rsidRPr="00966FF8">
        <w:t xml:space="preserve">targeted therapies </w:t>
      </w:r>
      <w:r w:rsidR="00A70663">
        <w:t>and</w:t>
      </w:r>
      <w:r w:rsidR="002A026F" w:rsidRPr="00966FF8">
        <w:t xml:space="preserve"> chemotherapies</w:t>
      </w:r>
      <w:r w:rsidR="002A026F">
        <w:t xml:space="preserve">; </w:t>
      </w:r>
      <w:r w:rsidRPr="00966FF8">
        <w:rPr>
          <w:b/>
          <w:bCs/>
        </w:rPr>
        <w:fldChar w:fldCharType="begin"/>
      </w:r>
      <w:r w:rsidRPr="00966FF8">
        <w:rPr>
          <w:b/>
          <w:bCs/>
        </w:rPr>
        <w:instrText xml:space="preserve"> REF _Ref101386017 \h  \* MERGEFORMAT </w:instrText>
      </w:r>
      <w:r w:rsidRPr="00966FF8">
        <w:rPr>
          <w:b/>
          <w:bCs/>
        </w:rPr>
      </w:r>
      <w:r w:rsidRPr="00966FF8">
        <w:rPr>
          <w:b/>
          <w:bCs/>
        </w:rPr>
        <w:fldChar w:fldCharType="separate"/>
      </w:r>
      <w:r w:rsidR="00145F42" w:rsidRPr="00145F42">
        <w:rPr>
          <w:b/>
          <w:bCs/>
        </w:rPr>
        <w:t xml:space="preserve">Table </w:t>
      </w:r>
      <w:r w:rsidR="00145F42" w:rsidRPr="00145F42">
        <w:rPr>
          <w:b/>
          <w:bCs/>
          <w:noProof/>
        </w:rPr>
        <w:t>15</w:t>
      </w:r>
      <w:r w:rsidRPr="00966FF8">
        <w:rPr>
          <w:b/>
          <w:bCs/>
        </w:rPr>
        <w:fldChar w:fldCharType="end"/>
      </w:r>
      <w:r w:rsidRPr="00966FF8">
        <w:t xml:space="preserve">), </w:t>
      </w:r>
      <w:r w:rsidRPr="00B11A58">
        <w:t>the</w:t>
      </w:r>
      <w:r w:rsidRPr="00966FF8">
        <w:t xml:space="preserve"> median </w:t>
      </w:r>
      <w:r>
        <w:t xml:space="preserve">number of </w:t>
      </w:r>
      <w:r w:rsidRPr="00966FF8">
        <w:t>line</w:t>
      </w:r>
      <w:r>
        <w:t>s</w:t>
      </w:r>
      <w:r w:rsidRPr="00966FF8">
        <w:t xml:space="preserve"> of prior systemic therapy </w:t>
      </w:r>
      <w:r>
        <w:t xml:space="preserve">in any setting and </w:t>
      </w:r>
      <w:r w:rsidR="005334DB">
        <w:t xml:space="preserve">in </w:t>
      </w:r>
      <w:r>
        <w:t>the</w:t>
      </w:r>
      <w:r w:rsidRPr="00966FF8">
        <w:t xml:space="preserve"> metastatic </w:t>
      </w:r>
      <w:r>
        <w:t>setting</w:t>
      </w:r>
      <w:r w:rsidRPr="00966FF8">
        <w:t xml:space="preserve"> was </w:t>
      </w:r>
      <w:r w:rsidR="00294FDC" w:rsidRPr="00294FDC">
        <w:rPr>
          <w:color w:val="000000"/>
          <w:highlight w:val="black"/>
        </w:rPr>
        <w:t>x</w:t>
      </w:r>
      <w:r>
        <w:t xml:space="preserve"> and </w:t>
      </w:r>
      <w:r w:rsidRPr="00A22ECF">
        <w:t>3</w:t>
      </w:r>
      <w:r>
        <w:t>, respectively,</w:t>
      </w:r>
      <w:r w:rsidRPr="00966FF8">
        <w:t xml:space="preserve"> in both treatment arms</w:t>
      </w:r>
      <w:r>
        <w:t>.</w:t>
      </w:r>
      <w:r>
        <w:fldChar w:fldCharType="begin"/>
      </w:r>
      <w:r w:rsidR="00CA6345">
        <w:instrText xml:space="preserve"> ADDIN ZOTERO_ITEM CSL_CITATION {"citationID":"0XBoSuOM","properties":{"formattedCitation":"\\super 6,7\\nosupersub{}","plainCitation":"6,7","noteIndex":0},"citationItems":[{"id":65944,"uris":["http://zotero.org/groups/4797619/items/WBVSVVF7"],"itemData":{"id":65944,"type":"document","title":"Clinical Study Report for DS8201-A-U303. Data cut-off date: 11 Jan 2022. Data on File.","author":[{"family":"Daiichi Sankyo Inc.","given":""}],"issued":{"date-parts":[["2022"]]}}},{"id":66153,"uris":["http://zotero.org/groups/4797619/items/DIMCLQBB"],"itemData":{"id":66153,"type":"article-journal","container-title":"New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6,7</w:t>
      </w:r>
      <w:r>
        <w:fldChar w:fldCharType="end"/>
      </w:r>
      <w:r w:rsidRPr="00966FF8">
        <w:t xml:space="preserve"> </w:t>
      </w:r>
      <w:r>
        <w:t>T</w:t>
      </w:r>
      <w:r w:rsidRPr="00966FF8">
        <w:t xml:space="preserve">he </w:t>
      </w:r>
      <w:r w:rsidRPr="00966FF8">
        <w:lastRenderedPageBreak/>
        <w:t xml:space="preserve">proportion of patients with 1, 2, or </w:t>
      </w:r>
      <w:r w:rsidRPr="00966FF8">
        <w:rPr>
          <w:rFonts w:cs="Arial"/>
        </w:rPr>
        <w:t>≥</w:t>
      </w:r>
      <w:r w:rsidRPr="00966FF8">
        <w:t xml:space="preserve">3 prior lines of systemic treatment </w:t>
      </w:r>
      <w:r>
        <w:t xml:space="preserve">in the metastatic setting </w:t>
      </w:r>
      <w:r w:rsidRPr="00966FF8">
        <w:t>was</w:t>
      </w:r>
      <w:r>
        <w:t xml:space="preserve"> </w:t>
      </w:r>
      <w:r w:rsidRPr="00966FF8">
        <w:t>similar between treatment arms.</w:t>
      </w:r>
      <w:r>
        <w:fldChar w:fldCharType="begin"/>
      </w:r>
      <w:r w:rsidR="00CA6345">
        <w:instrText xml:space="preserve"> ADDIN ZOTERO_ITEM CSL_CITATION {"citationID":"oYCZtnEV","properties":{"formattedCitation":"\\super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966FF8">
        <w:t xml:space="preserve"> </w:t>
      </w:r>
    </w:p>
    <w:p w14:paraId="5E866BBB" w14:textId="0D1AE0DA" w:rsidR="000B148D" w:rsidRDefault="000B148D" w:rsidP="000B148D">
      <w:pPr>
        <w:pStyle w:val="Body"/>
      </w:pPr>
      <w:r>
        <w:t>The median number of prior lines of ET</w:t>
      </w:r>
      <w:r w:rsidR="00A31FBF">
        <w:t xml:space="preserve"> in any setting</w:t>
      </w:r>
      <w:r>
        <w:t xml:space="preserve"> </w:t>
      </w:r>
      <w:r w:rsidR="00E12BDB">
        <w:t>and</w:t>
      </w:r>
      <w:r>
        <w:t xml:space="preserve"> in the metastatic setting was </w:t>
      </w:r>
      <w:r w:rsidR="00294FDC" w:rsidRPr="00294FDC">
        <w:rPr>
          <w:color w:val="000000"/>
          <w:highlight w:val="black"/>
        </w:rPr>
        <w:t>x</w:t>
      </w:r>
      <w:r>
        <w:t xml:space="preserve"> and </w:t>
      </w:r>
      <w:r w:rsidR="00294FDC" w:rsidRPr="00294FDC">
        <w:rPr>
          <w:color w:val="000000"/>
          <w:highlight w:val="black"/>
        </w:rPr>
        <w:t>x</w:t>
      </w:r>
      <w:r>
        <w:t>, respectively, in both treatment arms.</w:t>
      </w:r>
      <w:r>
        <w:fldChar w:fldCharType="begin"/>
      </w:r>
      <w:r w:rsidR="00CA6345">
        <w:instrText xml:space="preserve"> ADDIN ZOTERO_ITEM CSL_CITATION {"citationID":"PY6SSCGV","properties":{"formattedCitation":"\\super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fldChar w:fldCharType="separate"/>
      </w:r>
      <w:r w:rsidR="00FD57F4" w:rsidRPr="00FD57F4">
        <w:rPr>
          <w:rFonts w:cs="Arial"/>
          <w:szCs w:val="24"/>
          <w:vertAlign w:val="superscript"/>
        </w:rPr>
        <w:t>7</w:t>
      </w:r>
      <w:r>
        <w:fldChar w:fldCharType="end"/>
      </w:r>
      <w:r>
        <w:t xml:space="preserve"> </w:t>
      </w:r>
      <w:r w:rsidRPr="00966FF8">
        <w:t>The proportion of patients who received</w:t>
      </w:r>
      <w:r>
        <w:t xml:space="preserve"> prior ET and who received</w:t>
      </w:r>
      <w:r w:rsidRPr="00966FF8">
        <w:t xml:space="preserve"> 0, 1, 2 or </w:t>
      </w:r>
      <w:r w:rsidRPr="00966FF8">
        <w:rPr>
          <w:rFonts w:cs="Arial"/>
        </w:rPr>
        <w:t>≥</w:t>
      </w:r>
      <w:r w:rsidRPr="00966FF8">
        <w:t>3 prior lines of ET in the metastatic setting was similar between treatment arms.</w:t>
      </w:r>
      <w:r w:rsidRPr="00966FF8">
        <w:fldChar w:fldCharType="begin"/>
      </w:r>
      <w:r w:rsidR="00CA6345">
        <w:instrText xml:space="preserve"> ADDIN ZOTERO_ITEM CSL_CITATION {"citationID":"YHREhzpc","properties":{"formattedCitation":"\\super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966FF8">
        <w:fldChar w:fldCharType="separate"/>
      </w:r>
      <w:r w:rsidR="00FD57F4" w:rsidRPr="00FD57F4">
        <w:rPr>
          <w:rFonts w:cs="Arial"/>
          <w:szCs w:val="24"/>
          <w:vertAlign w:val="superscript"/>
        </w:rPr>
        <w:t>7</w:t>
      </w:r>
      <w:r w:rsidRPr="00966FF8">
        <w:fldChar w:fldCharType="end"/>
      </w:r>
      <w:r w:rsidRPr="00966FF8">
        <w:t xml:space="preserve"> </w:t>
      </w:r>
    </w:p>
    <w:p w14:paraId="65DFDEEA" w14:textId="49A2C74B" w:rsidR="000B148D" w:rsidRPr="00966FF8" w:rsidRDefault="000B148D" w:rsidP="000B148D">
      <w:pPr>
        <w:pStyle w:val="Body"/>
      </w:pPr>
      <w:r>
        <w:t xml:space="preserve">The median number of prior lines of chemotherapy </w:t>
      </w:r>
      <w:r w:rsidR="00716A18">
        <w:t>in any setting and</w:t>
      </w:r>
      <w:r>
        <w:t xml:space="preserve"> in the metastatic setting was </w:t>
      </w:r>
      <w:r w:rsidR="00294FDC" w:rsidRPr="00294FDC">
        <w:rPr>
          <w:color w:val="000000"/>
          <w:highlight w:val="black"/>
        </w:rPr>
        <w:t>x</w:t>
      </w:r>
      <w:r>
        <w:t xml:space="preserve"> and </w:t>
      </w:r>
      <w:r w:rsidR="00294FDC" w:rsidRPr="00294FDC">
        <w:rPr>
          <w:color w:val="000000"/>
          <w:highlight w:val="black"/>
        </w:rPr>
        <w:t>x</w:t>
      </w:r>
      <w:r>
        <w:t>, respectively, in both treatment arms.</w:t>
      </w:r>
      <w:r>
        <w:fldChar w:fldCharType="begin"/>
      </w:r>
      <w:r w:rsidR="00CA6345">
        <w:instrText xml:space="preserve"> ADDIN ZOTERO_ITEM CSL_CITATION {"citationID":"eCwZL95c","properties":{"formattedCitation":"\\super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fldChar w:fldCharType="separate"/>
      </w:r>
      <w:r w:rsidR="00FD57F4" w:rsidRPr="00FD57F4">
        <w:rPr>
          <w:rFonts w:cs="Arial"/>
          <w:szCs w:val="24"/>
          <w:vertAlign w:val="superscript"/>
        </w:rPr>
        <w:t>7</w:t>
      </w:r>
      <w:r>
        <w:fldChar w:fldCharType="end"/>
      </w:r>
      <w:r>
        <w:t xml:space="preserve"> As per the eligibility criteria, nearly all</w:t>
      </w:r>
      <w:r w:rsidRPr="00966FF8">
        <w:t xml:space="preserve"> patients </w:t>
      </w:r>
      <w:r>
        <w:t xml:space="preserve">in both treatment arms </w:t>
      </w:r>
      <w:r w:rsidRPr="00966FF8">
        <w:t>had received one or two prior lines of chemotherapy in the metastatic setting</w:t>
      </w:r>
      <w:r w:rsidRPr="002612F7">
        <w:rPr>
          <w:rStyle w:val="FootnoteReference"/>
        </w:rPr>
        <w:footnoteReference w:id="10"/>
      </w:r>
      <w:r>
        <w:t xml:space="preserve"> (</w:t>
      </w:r>
      <w:r w:rsidR="00294FDC" w:rsidRPr="00294FDC">
        <w:rPr>
          <w:color w:val="000000"/>
          <w:highlight w:val="black"/>
        </w:rPr>
        <w:t>xxxxx</w:t>
      </w:r>
      <w:r>
        <w:t xml:space="preserve"> vs. </w:t>
      </w:r>
      <w:r w:rsidR="00294FDC" w:rsidRPr="00294FDC">
        <w:rPr>
          <w:color w:val="000000"/>
          <w:highlight w:val="black"/>
        </w:rPr>
        <w:t>xxxxx</w:t>
      </w:r>
      <w:r>
        <w:t xml:space="preserve"> in the T-DXd and TPC arms, respectively)</w:t>
      </w:r>
      <w:r w:rsidRPr="00966FF8">
        <w:t>,</w:t>
      </w:r>
      <w:r w:rsidRPr="00966FF8">
        <w:fldChar w:fldCharType="begin"/>
      </w:r>
      <w:r w:rsidR="00CA6345">
        <w:instrText xml:space="preserve"> ADDIN ZOTERO_ITEM CSL_CITATION {"citationID":"BQSMEjlh","properties":{"formattedCitation":"\\super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966FF8">
        <w:fldChar w:fldCharType="separate"/>
      </w:r>
      <w:r w:rsidR="00FD57F4" w:rsidRPr="00FD57F4">
        <w:rPr>
          <w:rFonts w:cs="Arial"/>
          <w:szCs w:val="24"/>
          <w:vertAlign w:val="superscript"/>
        </w:rPr>
        <w:t>7</w:t>
      </w:r>
      <w:r w:rsidRPr="00966FF8">
        <w:fldChar w:fldCharType="end"/>
      </w:r>
      <w:r w:rsidRPr="00966FF8">
        <w:t xml:space="preserve"> which aligns to the scope of this appraisal</w:t>
      </w:r>
      <w:r w:rsidRPr="00966FF8">
        <w:fldChar w:fldCharType="begin"/>
      </w:r>
      <w:r w:rsidR="00CA6345">
        <w:instrText xml:space="preserve"> ADDIN ZOTERO_ITEM CSL_CITATION {"citationID":"PDirzbPQ","properties":{"formattedCitation":"\\super 1\\nosupersub{}","plainCitation":"1","noteIndex":0},"citationItems":[{"id":66383,"uris":["http://zotero.org/groups/4797619/items/Y75R2AJY"],"itemData":{"id":66383,"type":"webpage","language":"eng","note":"publisher: NICE","title":"Final Scope. Trastuzumab deruxtecan for treating HER2-low unresectable or metastatic breast cancer after chemotherapy","URL":"https://www.nice.org.uk/guidance/gid-ta10813/documents/final-scope","author":[{"family":"NICE","given":""}],"accessed":{"date-parts":[["2022",11,29]]},"issued":{"date-parts":[["2023",1,6]]}}}],"schema":"https://github.com/citation-style-language/schema/raw/master/csl-citation.json"} </w:instrText>
      </w:r>
      <w:r w:rsidRPr="00966FF8">
        <w:fldChar w:fldCharType="separate"/>
      </w:r>
      <w:r w:rsidR="00FD57F4" w:rsidRPr="00FD57F4">
        <w:rPr>
          <w:rFonts w:cs="Arial"/>
          <w:szCs w:val="24"/>
          <w:vertAlign w:val="superscript"/>
        </w:rPr>
        <w:t>1</w:t>
      </w:r>
      <w:r w:rsidRPr="00966FF8">
        <w:fldChar w:fldCharType="end"/>
      </w:r>
      <w:r w:rsidRPr="00966FF8">
        <w:t xml:space="preserve"> and proposed positioning of T-DXd in HER2-low u/mBC in the UK. The proportion of patients who had received one prior line of chemotherapy in the metastatic setting was slightly higher in the T-DXd v</w:t>
      </w:r>
      <w:r>
        <w:t>s.</w:t>
      </w:r>
      <w:r w:rsidRPr="00966FF8">
        <w:t xml:space="preserve"> TPC arm (</w:t>
      </w:r>
      <w:r w:rsidR="00294FDC" w:rsidRPr="00294FDC">
        <w:rPr>
          <w:color w:val="000000"/>
          <w:highlight w:val="black"/>
        </w:rPr>
        <w:t>xxxxx</w:t>
      </w:r>
      <w:r w:rsidRPr="00966FF8">
        <w:t xml:space="preserve"> vs </w:t>
      </w:r>
      <w:r w:rsidR="00294FDC" w:rsidRPr="00294FDC">
        <w:rPr>
          <w:color w:val="000000"/>
          <w:highlight w:val="black"/>
        </w:rPr>
        <w:t>xxxxx</w:t>
      </w:r>
      <w:r w:rsidRPr="00966FF8">
        <w:t>; FAS), and slightly lower for two prior lines of chemotherapy in the metastatic setting (</w:t>
      </w:r>
      <w:r w:rsidR="00294FDC" w:rsidRPr="00294FDC">
        <w:rPr>
          <w:color w:val="000000"/>
          <w:highlight w:val="black"/>
        </w:rPr>
        <w:t>xxxxx</w:t>
      </w:r>
      <w:r w:rsidRPr="00966FF8">
        <w:t xml:space="preserve"> vs</w:t>
      </w:r>
      <w:r>
        <w:t>.</w:t>
      </w:r>
      <w:r w:rsidRPr="00966FF8">
        <w:t xml:space="preserve"> </w:t>
      </w:r>
      <w:r w:rsidR="00294FDC" w:rsidRPr="00294FDC">
        <w:rPr>
          <w:color w:val="000000"/>
          <w:highlight w:val="black"/>
        </w:rPr>
        <w:t>xxxxx</w:t>
      </w:r>
      <w:r w:rsidRPr="00966FF8">
        <w:t>; FAS).</w:t>
      </w:r>
      <w:r w:rsidRPr="00966FF8">
        <w:fldChar w:fldCharType="begin"/>
      </w:r>
      <w:r w:rsidR="00CA6345">
        <w:instrText xml:space="preserve"> ADDIN ZOTERO_ITEM CSL_CITATION {"citationID":"g3U70fPo","properties":{"formattedCitation":"\\super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966FF8">
        <w:fldChar w:fldCharType="separate"/>
      </w:r>
      <w:r w:rsidR="00FD57F4" w:rsidRPr="00FD57F4">
        <w:rPr>
          <w:rFonts w:cs="Arial"/>
          <w:szCs w:val="24"/>
          <w:vertAlign w:val="superscript"/>
        </w:rPr>
        <w:t>7</w:t>
      </w:r>
      <w:r w:rsidRPr="00966FF8">
        <w:fldChar w:fldCharType="end"/>
      </w:r>
      <w:r w:rsidRPr="00966FF8">
        <w:t xml:space="preserve"> </w:t>
      </w:r>
    </w:p>
    <w:p w14:paraId="5877AC1F" w14:textId="5CA33670" w:rsidR="000B148D" w:rsidRDefault="000B148D" w:rsidP="000B148D">
      <w:pPr>
        <w:pStyle w:val="Body"/>
      </w:pPr>
      <w:r>
        <w:t>The proportion of patients who had received prior ET, targeted therapy including CDK4/6 inhibitors and immunotherapy, and chemotherapy was also similar across the two arms.</w:t>
      </w:r>
      <w:r>
        <w:fldChar w:fldCharType="begin"/>
      </w:r>
      <w:r w:rsidR="00CA6345">
        <w:instrText xml:space="preserve"> ADDIN ZOTERO_ITEM CSL_CITATION {"citationID":"reAwGKQx","properties":{"formattedCitation":"\\super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fldChar w:fldCharType="separate"/>
      </w:r>
      <w:r w:rsidR="00FD57F4" w:rsidRPr="00FD57F4">
        <w:rPr>
          <w:rFonts w:cs="Arial"/>
          <w:szCs w:val="24"/>
          <w:vertAlign w:val="superscript"/>
        </w:rPr>
        <w:t>7</w:t>
      </w:r>
      <w:r>
        <w:fldChar w:fldCharType="end"/>
      </w:r>
    </w:p>
    <w:p w14:paraId="0212F76F" w14:textId="7EF07D63" w:rsidR="000B148D" w:rsidRPr="00966FF8" w:rsidRDefault="000B148D" w:rsidP="000B148D">
      <w:pPr>
        <w:pStyle w:val="Caption"/>
      </w:pPr>
      <w:bookmarkStart w:id="197" w:name="_Ref101386017"/>
      <w:bookmarkStart w:id="198" w:name="_Toc124447875"/>
      <w:bookmarkStart w:id="199" w:name="_Toc129350990"/>
      <w:r w:rsidRPr="00966FF8">
        <w:t xml:space="preserve">Table </w:t>
      </w:r>
      <w:r w:rsidRPr="00966FF8">
        <w:fldChar w:fldCharType="begin"/>
      </w:r>
      <w:r w:rsidRPr="00966FF8">
        <w:instrText>SEQ Table \* ARABIC</w:instrText>
      </w:r>
      <w:r w:rsidRPr="00966FF8">
        <w:fldChar w:fldCharType="separate"/>
      </w:r>
      <w:r w:rsidR="00145F42">
        <w:rPr>
          <w:noProof/>
        </w:rPr>
        <w:t>15</w:t>
      </w:r>
      <w:r w:rsidRPr="00966FF8">
        <w:fldChar w:fldCharType="end"/>
      </w:r>
      <w:bookmarkEnd w:id="195"/>
      <w:bookmarkEnd w:id="197"/>
      <w:r w:rsidRPr="00966FF8">
        <w:t>: DESTINY-Breast04 | Patient baseline characteristics</w:t>
      </w:r>
      <w:bookmarkEnd w:id="198"/>
      <w:bookmarkEnd w:id="199"/>
      <w:r w:rsidRPr="00966FF8">
        <w:t xml:space="preserve"> </w:t>
      </w:r>
      <w:bookmarkEnd w:id="196"/>
    </w:p>
    <w:tbl>
      <w:tblPr>
        <w:tblStyle w:val="TableGrid"/>
        <w:tblW w:w="8914" w:type="dxa"/>
        <w:tblLayout w:type="fixed"/>
        <w:tblCellMar>
          <w:left w:w="28" w:type="dxa"/>
          <w:right w:w="28" w:type="dxa"/>
        </w:tblCellMar>
        <w:tblLook w:val="04A0" w:firstRow="1" w:lastRow="0" w:firstColumn="1" w:lastColumn="0" w:noHBand="0" w:noVBand="1"/>
      </w:tblPr>
      <w:tblGrid>
        <w:gridCol w:w="2972"/>
        <w:gridCol w:w="1485"/>
        <w:gridCol w:w="1486"/>
        <w:gridCol w:w="1485"/>
        <w:gridCol w:w="1486"/>
      </w:tblGrid>
      <w:tr w:rsidR="000B148D" w:rsidRPr="00966FF8" w14:paraId="13C40425" w14:textId="77777777">
        <w:trPr>
          <w:trHeight w:val="20"/>
          <w:tblHeader/>
        </w:trPr>
        <w:tc>
          <w:tcPr>
            <w:tcW w:w="2972" w:type="dxa"/>
            <w:vMerge w:val="restart"/>
            <w:shd w:val="clear" w:color="auto" w:fill="F2F2F2" w:themeFill="background1" w:themeFillShade="F2"/>
            <w:vAlign w:val="center"/>
          </w:tcPr>
          <w:p w14:paraId="2CAB0C75" w14:textId="77777777" w:rsidR="000B148D" w:rsidRPr="00966FF8" w:rsidRDefault="000B148D" w:rsidP="00617689">
            <w:pPr>
              <w:pStyle w:val="Tableheading"/>
              <w:spacing w:before="0" w:after="0"/>
            </w:pPr>
            <w:r w:rsidRPr="00966FF8">
              <w:t>Characteristic</w:t>
            </w:r>
          </w:p>
        </w:tc>
        <w:tc>
          <w:tcPr>
            <w:tcW w:w="2971" w:type="dxa"/>
            <w:gridSpan w:val="2"/>
            <w:shd w:val="clear" w:color="auto" w:fill="F2F2F2" w:themeFill="background1" w:themeFillShade="F2"/>
            <w:vAlign w:val="center"/>
          </w:tcPr>
          <w:p w14:paraId="3909A1A6" w14:textId="77777777" w:rsidR="000B148D" w:rsidRPr="00966FF8" w:rsidRDefault="000B148D" w:rsidP="00617689">
            <w:pPr>
              <w:pStyle w:val="Tableheading"/>
              <w:spacing w:before="0" w:after="0"/>
              <w:jc w:val="center"/>
            </w:pPr>
            <w:r w:rsidRPr="00966FF8">
              <w:t>HR-positive cohort</w:t>
            </w:r>
          </w:p>
        </w:tc>
        <w:tc>
          <w:tcPr>
            <w:tcW w:w="2971" w:type="dxa"/>
            <w:gridSpan w:val="2"/>
            <w:shd w:val="clear" w:color="auto" w:fill="F2F2F2" w:themeFill="background1" w:themeFillShade="F2"/>
            <w:vAlign w:val="center"/>
          </w:tcPr>
          <w:p w14:paraId="418B302D" w14:textId="77777777" w:rsidR="000B148D" w:rsidRPr="00966FF8" w:rsidRDefault="000B148D" w:rsidP="00617689">
            <w:pPr>
              <w:pStyle w:val="Tableheading"/>
              <w:spacing w:before="0" w:after="0"/>
              <w:jc w:val="center"/>
            </w:pPr>
            <w:r w:rsidRPr="00966FF8">
              <w:t>FAS</w:t>
            </w:r>
          </w:p>
        </w:tc>
      </w:tr>
      <w:tr w:rsidR="000B148D" w:rsidRPr="00966FF8" w14:paraId="500843F9" w14:textId="77777777">
        <w:trPr>
          <w:trHeight w:val="20"/>
          <w:tblHeader/>
        </w:trPr>
        <w:tc>
          <w:tcPr>
            <w:tcW w:w="2972" w:type="dxa"/>
            <w:vMerge/>
            <w:shd w:val="clear" w:color="auto" w:fill="F2F2F2" w:themeFill="background1" w:themeFillShade="F2"/>
            <w:vAlign w:val="center"/>
          </w:tcPr>
          <w:p w14:paraId="61DFB217" w14:textId="77777777" w:rsidR="000B148D" w:rsidRPr="00966FF8" w:rsidRDefault="000B148D" w:rsidP="00617689">
            <w:pPr>
              <w:pStyle w:val="Tableheading"/>
              <w:spacing w:before="0" w:after="0"/>
            </w:pPr>
          </w:p>
        </w:tc>
        <w:tc>
          <w:tcPr>
            <w:tcW w:w="1485" w:type="dxa"/>
            <w:shd w:val="clear" w:color="auto" w:fill="F2F2F2" w:themeFill="background1" w:themeFillShade="F2"/>
            <w:vAlign w:val="center"/>
          </w:tcPr>
          <w:p w14:paraId="5DC01477" w14:textId="77777777" w:rsidR="000B148D" w:rsidRPr="00966FF8" w:rsidRDefault="000B148D" w:rsidP="00617689">
            <w:pPr>
              <w:pStyle w:val="Tableheading"/>
              <w:spacing w:before="0" w:after="0"/>
              <w:jc w:val="center"/>
            </w:pPr>
            <w:r w:rsidRPr="00966FF8">
              <w:t>T-DXd</w:t>
            </w:r>
          </w:p>
          <w:p w14:paraId="2CDDF997" w14:textId="77777777" w:rsidR="000B148D" w:rsidRPr="00966FF8" w:rsidRDefault="000B148D" w:rsidP="00617689">
            <w:pPr>
              <w:pStyle w:val="Tableheading"/>
              <w:spacing w:before="0" w:after="0"/>
              <w:jc w:val="center"/>
            </w:pPr>
            <w:r w:rsidRPr="00966FF8">
              <w:t>(</w:t>
            </w:r>
            <w:r>
              <w:t>N=</w:t>
            </w:r>
            <w:r w:rsidRPr="00966FF8">
              <w:t>331)</w:t>
            </w:r>
          </w:p>
        </w:tc>
        <w:tc>
          <w:tcPr>
            <w:tcW w:w="1486" w:type="dxa"/>
            <w:shd w:val="clear" w:color="auto" w:fill="F2F2F2" w:themeFill="background1" w:themeFillShade="F2"/>
            <w:vAlign w:val="center"/>
          </w:tcPr>
          <w:p w14:paraId="5ABCDFF5" w14:textId="77777777" w:rsidR="000B148D" w:rsidRPr="00966FF8" w:rsidRDefault="000B148D" w:rsidP="00617689">
            <w:pPr>
              <w:pStyle w:val="Tableheading"/>
              <w:spacing w:before="0" w:after="0"/>
              <w:jc w:val="center"/>
            </w:pPr>
            <w:r w:rsidRPr="00966FF8">
              <w:t>TPC</w:t>
            </w:r>
          </w:p>
          <w:p w14:paraId="1AE8AC7F" w14:textId="77777777" w:rsidR="000B148D" w:rsidRPr="00966FF8" w:rsidRDefault="000B148D" w:rsidP="00617689">
            <w:pPr>
              <w:pStyle w:val="Tableheading"/>
              <w:spacing w:before="0" w:after="0"/>
              <w:jc w:val="center"/>
            </w:pPr>
            <w:r w:rsidRPr="00966FF8">
              <w:t>(</w:t>
            </w:r>
            <w:r>
              <w:t>N=</w:t>
            </w:r>
            <w:r w:rsidRPr="00966FF8">
              <w:t>163)</w:t>
            </w:r>
          </w:p>
        </w:tc>
        <w:tc>
          <w:tcPr>
            <w:tcW w:w="1485" w:type="dxa"/>
            <w:shd w:val="clear" w:color="auto" w:fill="F2F2F2" w:themeFill="background1" w:themeFillShade="F2"/>
            <w:vAlign w:val="center"/>
          </w:tcPr>
          <w:p w14:paraId="6B2E4C97" w14:textId="77777777" w:rsidR="000B148D" w:rsidRPr="00966FF8" w:rsidRDefault="000B148D" w:rsidP="00617689">
            <w:pPr>
              <w:pStyle w:val="Tableheading"/>
              <w:spacing w:before="0" w:after="0"/>
              <w:jc w:val="center"/>
            </w:pPr>
            <w:r w:rsidRPr="00966FF8">
              <w:t>T-DXd</w:t>
            </w:r>
          </w:p>
          <w:p w14:paraId="6A3D2F7E" w14:textId="77777777" w:rsidR="000B148D" w:rsidRPr="00966FF8" w:rsidRDefault="000B148D" w:rsidP="00617689">
            <w:pPr>
              <w:pStyle w:val="Tableheading"/>
              <w:spacing w:before="0" w:after="0"/>
              <w:jc w:val="center"/>
            </w:pPr>
            <w:r w:rsidRPr="00966FF8">
              <w:t>(</w:t>
            </w:r>
            <w:r>
              <w:t>N=</w:t>
            </w:r>
            <w:r w:rsidRPr="00966FF8">
              <w:t>373)</w:t>
            </w:r>
          </w:p>
        </w:tc>
        <w:tc>
          <w:tcPr>
            <w:tcW w:w="1486" w:type="dxa"/>
            <w:shd w:val="clear" w:color="auto" w:fill="F2F2F2" w:themeFill="background1" w:themeFillShade="F2"/>
            <w:vAlign w:val="center"/>
          </w:tcPr>
          <w:p w14:paraId="4853F1AE" w14:textId="77777777" w:rsidR="000B148D" w:rsidRPr="00966FF8" w:rsidRDefault="000B148D" w:rsidP="00617689">
            <w:pPr>
              <w:pStyle w:val="Tableheading"/>
              <w:spacing w:before="0" w:after="0"/>
              <w:jc w:val="center"/>
            </w:pPr>
            <w:r w:rsidRPr="00966FF8">
              <w:t>TPC</w:t>
            </w:r>
          </w:p>
          <w:p w14:paraId="576B722E" w14:textId="77777777" w:rsidR="000B148D" w:rsidRPr="00966FF8" w:rsidRDefault="000B148D" w:rsidP="00617689">
            <w:pPr>
              <w:pStyle w:val="Tableheading"/>
              <w:spacing w:before="0" w:after="0"/>
              <w:jc w:val="center"/>
            </w:pPr>
            <w:r w:rsidRPr="00966FF8">
              <w:t>(</w:t>
            </w:r>
            <w:r>
              <w:t>N=</w:t>
            </w:r>
            <w:r w:rsidRPr="00966FF8">
              <w:t>184)</w:t>
            </w:r>
          </w:p>
        </w:tc>
      </w:tr>
      <w:tr w:rsidR="000B148D" w:rsidRPr="00966FF8" w14:paraId="5D0AE090" w14:textId="77777777">
        <w:trPr>
          <w:trHeight w:val="20"/>
        </w:trPr>
        <w:tc>
          <w:tcPr>
            <w:tcW w:w="8914" w:type="dxa"/>
            <w:gridSpan w:val="5"/>
            <w:shd w:val="clear" w:color="auto" w:fill="F2F2F2" w:themeFill="background1" w:themeFillShade="F2"/>
            <w:vAlign w:val="center"/>
          </w:tcPr>
          <w:p w14:paraId="68248B8F" w14:textId="77777777" w:rsidR="000B148D" w:rsidRPr="00966FF8" w:rsidRDefault="000B148D" w:rsidP="00617689">
            <w:pPr>
              <w:pStyle w:val="Tablebody"/>
              <w:spacing w:before="0" w:after="0"/>
            </w:pPr>
            <w:r w:rsidRPr="00966FF8">
              <w:t>Age, years</w:t>
            </w:r>
          </w:p>
        </w:tc>
      </w:tr>
      <w:tr w:rsidR="000B148D" w:rsidRPr="00966FF8" w14:paraId="2638C71C" w14:textId="77777777">
        <w:trPr>
          <w:trHeight w:val="20"/>
        </w:trPr>
        <w:tc>
          <w:tcPr>
            <w:tcW w:w="2972" w:type="dxa"/>
            <w:shd w:val="clear" w:color="auto" w:fill="F2F2F2" w:themeFill="background1" w:themeFillShade="F2"/>
            <w:vAlign w:val="center"/>
          </w:tcPr>
          <w:p w14:paraId="0555D892" w14:textId="77777777" w:rsidR="000B148D" w:rsidRPr="00966FF8" w:rsidRDefault="000B148D" w:rsidP="00617689">
            <w:pPr>
              <w:pStyle w:val="Tablebody"/>
              <w:keepNext/>
              <w:spacing w:before="0" w:after="0"/>
              <w:ind w:left="169"/>
            </w:pPr>
            <w:r w:rsidRPr="00966FF8">
              <w:t>Mean (standard deviation)</w:t>
            </w:r>
          </w:p>
        </w:tc>
        <w:tc>
          <w:tcPr>
            <w:tcW w:w="1485" w:type="dxa"/>
            <w:vAlign w:val="center"/>
          </w:tcPr>
          <w:p w14:paraId="49620DDD" w14:textId="7C587EA5" w:rsidR="000B148D" w:rsidRPr="00294FDC" w:rsidRDefault="00294FDC" w:rsidP="00617689">
            <w:pPr>
              <w:pStyle w:val="Tablebody"/>
              <w:spacing w:before="0" w:after="0"/>
              <w:jc w:val="center"/>
              <w:rPr>
                <w:color w:val="000000"/>
                <w:highlight w:val="black"/>
              </w:rPr>
            </w:pPr>
            <w:r w:rsidRPr="00294FDC">
              <w:rPr>
                <w:color w:val="000000"/>
                <w:highlight w:val="black"/>
              </w:rPr>
              <w:t>xxxxxxxxxxxx</w:t>
            </w:r>
          </w:p>
        </w:tc>
        <w:tc>
          <w:tcPr>
            <w:tcW w:w="1486" w:type="dxa"/>
            <w:vAlign w:val="center"/>
          </w:tcPr>
          <w:p w14:paraId="51BAB34C" w14:textId="08AD6B29" w:rsidR="000B148D" w:rsidRPr="00294FDC" w:rsidRDefault="00294FDC" w:rsidP="00617689">
            <w:pPr>
              <w:pStyle w:val="Tablebody"/>
              <w:spacing w:before="0" w:after="0"/>
              <w:jc w:val="center"/>
              <w:rPr>
                <w:color w:val="000000"/>
                <w:highlight w:val="black"/>
              </w:rPr>
            </w:pPr>
            <w:r w:rsidRPr="00294FDC">
              <w:rPr>
                <w:color w:val="000000"/>
                <w:highlight w:val="black"/>
              </w:rPr>
              <w:t>xxxxxxxxxxxx</w:t>
            </w:r>
          </w:p>
        </w:tc>
        <w:tc>
          <w:tcPr>
            <w:tcW w:w="1485" w:type="dxa"/>
            <w:vAlign w:val="center"/>
          </w:tcPr>
          <w:p w14:paraId="027D468D" w14:textId="68DB3850" w:rsidR="000B148D" w:rsidRPr="00294FDC" w:rsidRDefault="00294FDC" w:rsidP="00617689">
            <w:pPr>
              <w:pStyle w:val="Tablebody"/>
              <w:spacing w:before="0" w:after="0"/>
              <w:jc w:val="center"/>
              <w:rPr>
                <w:color w:val="000000"/>
                <w:highlight w:val="black"/>
              </w:rPr>
            </w:pPr>
            <w:r w:rsidRPr="00294FDC">
              <w:rPr>
                <w:color w:val="000000"/>
                <w:highlight w:val="black"/>
              </w:rPr>
              <w:t>xxxxxxxxxxxx</w:t>
            </w:r>
          </w:p>
        </w:tc>
        <w:tc>
          <w:tcPr>
            <w:tcW w:w="1486" w:type="dxa"/>
            <w:vAlign w:val="center"/>
          </w:tcPr>
          <w:p w14:paraId="1B083DD5" w14:textId="1AA6409B" w:rsidR="000B148D" w:rsidRPr="00294FDC" w:rsidRDefault="00294FDC" w:rsidP="00617689">
            <w:pPr>
              <w:pStyle w:val="Tablebody"/>
              <w:spacing w:before="0" w:after="0"/>
              <w:jc w:val="center"/>
              <w:rPr>
                <w:color w:val="000000"/>
                <w:highlight w:val="black"/>
              </w:rPr>
            </w:pPr>
            <w:r w:rsidRPr="00294FDC">
              <w:rPr>
                <w:color w:val="000000"/>
                <w:highlight w:val="black"/>
              </w:rPr>
              <w:t>xxxxxxxxxxxx</w:t>
            </w:r>
          </w:p>
        </w:tc>
      </w:tr>
      <w:tr w:rsidR="000B148D" w:rsidRPr="00966FF8" w14:paraId="6CF2D7C5" w14:textId="77777777">
        <w:trPr>
          <w:trHeight w:val="20"/>
        </w:trPr>
        <w:tc>
          <w:tcPr>
            <w:tcW w:w="2972" w:type="dxa"/>
            <w:shd w:val="clear" w:color="auto" w:fill="F2F2F2" w:themeFill="background1" w:themeFillShade="F2"/>
            <w:vAlign w:val="center"/>
          </w:tcPr>
          <w:p w14:paraId="6B3B4686" w14:textId="77777777" w:rsidR="000B148D" w:rsidRPr="00966FF8" w:rsidRDefault="000B148D" w:rsidP="00617689">
            <w:pPr>
              <w:pStyle w:val="Tablebody"/>
              <w:keepNext/>
              <w:spacing w:before="0" w:after="0"/>
              <w:ind w:left="169"/>
            </w:pPr>
            <w:r w:rsidRPr="00966FF8">
              <w:t>Median (range)</w:t>
            </w:r>
          </w:p>
        </w:tc>
        <w:tc>
          <w:tcPr>
            <w:tcW w:w="1485" w:type="dxa"/>
            <w:vAlign w:val="center"/>
          </w:tcPr>
          <w:p w14:paraId="5C0D7C36" w14:textId="77777777" w:rsidR="000B148D" w:rsidRPr="00966FF8" w:rsidRDefault="000B148D" w:rsidP="00617689">
            <w:pPr>
              <w:pStyle w:val="Tablebody"/>
              <w:spacing w:before="0" w:after="0"/>
              <w:jc w:val="center"/>
            </w:pPr>
            <w:r w:rsidRPr="00966FF8">
              <w:t xml:space="preserve">56.8 </w:t>
            </w:r>
            <w:r w:rsidRPr="00966FF8">
              <w:br/>
              <w:t>(31.5–80.2)</w:t>
            </w:r>
          </w:p>
        </w:tc>
        <w:tc>
          <w:tcPr>
            <w:tcW w:w="1486" w:type="dxa"/>
            <w:vAlign w:val="center"/>
          </w:tcPr>
          <w:p w14:paraId="0C631570" w14:textId="77777777" w:rsidR="000B148D" w:rsidRPr="00966FF8" w:rsidRDefault="000B148D" w:rsidP="00617689">
            <w:pPr>
              <w:pStyle w:val="Tablebody"/>
              <w:spacing w:before="0" w:after="0"/>
              <w:jc w:val="center"/>
            </w:pPr>
            <w:r w:rsidRPr="00966FF8">
              <w:t xml:space="preserve">55.7 </w:t>
            </w:r>
            <w:r w:rsidRPr="00966FF8">
              <w:br/>
              <w:t>(28.4–80.0)</w:t>
            </w:r>
          </w:p>
        </w:tc>
        <w:tc>
          <w:tcPr>
            <w:tcW w:w="1485" w:type="dxa"/>
            <w:vAlign w:val="center"/>
          </w:tcPr>
          <w:p w14:paraId="503A19CA" w14:textId="77777777" w:rsidR="000B148D" w:rsidRPr="00966FF8" w:rsidRDefault="000B148D" w:rsidP="00617689">
            <w:pPr>
              <w:pStyle w:val="Tablebody"/>
              <w:spacing w:before="0" w:after="0"/>
              <w:jc w:val="center"/>
            </w:pPr>
            <w:r w:rsidRPr="00966FF8">
              <w:t xml:space="preserve">57.5 </w:t>
            </w:r>
            <w:r w:rsidRPr="00966FF8">
              <w:br/>
              <w:t>(31.5– 80.2)</w:t>
            </w:r>
          </w:p>
        </w:tc>
        <w:tc>
          <w:tcPr>
            <w:tcW w:w="1486" w:type="dxa"/>
            <w:vAlign w:val="center"/>
          </w:tcPr>
          <w:p w14:paraId="5FFC4BBF" w14:textId="77777777" w:rsidR="000B148D" w:rsidRPr="00966FF8" w:rsidRDefault="000B148D" w:rsidP="00617689">
            <w:pPr>
              <w:pStyle w:val="Tablebody"/>
              <w:spacing w:before="0" w:after="0"/>
              <w:jc w:val="center"/>
            </w:pPr>
            <w:r w:rsidRPr="00966FF8">
              <w:t xml:space="preserve">55.9 </w:t>
            </w:r>
            <w:r w:rsidRPr="00966FF8">
              <w:br/>
              <w:t>(28.4–80.5)</w:t>
            </w:r>
          </w:p>
        </w:tc>
      </w:tr>
      <w:tr w:rsidR="000B148D" w:rsidRPr="00966FF8" w14:paraId="64D23A74" w14:textId="77777777">
        <w:trPr>
          <w:trHeight w:val="20"/>
        </w:trPr>
        <w:tc>
          <w:tcPr>
            <w:tcW w:w="2972" w:type="dxa"/>
            <w:shd w:val="clear" w:color="auto" w:fill="F2F2F2" w:themeFill="background1" w:themeFillShade="F2"/>
            <w:vAlign w:val="center"/>
          </w:tcPr>
          <w:p w14:paraId="3B4C844C" w14:textId="77777777" w:rsidR="000B148D" w:rsidRPr="00966FF8" w:rsidRDefault="000B148D" w:rsidP="00617689">
            <w:pPr>
              <w:pStyle w:val="Tablebody"/>
              <w:keepNext/>
              <w:spacing w:before="0" w:after="0"/>
            </w:pPr>
            <w:r w:rsidRPr="00966FF8">
              <w:t>Female, %</w:t>
            </w:r>
          </w:p>
        </w:tc>
        <w:tc>
          <w:tcPr>
            <w:tcW w:w="1485" w:type="dxa"/>
            <w:vAlign w:val="center"/>
          </w:tcPr>
          <w:p w14:paraId="017C2876" w14:textId="77777777" w:rsidR="000B148D" w:rsidRPr="00966FF8" w:rsidRDefault="000B148D" w:rsidP="00617689">
            <w:pPr>
              <w:pStyle w:val="Tablebody"/>
              <w:spacing w:before="0" w:after="0"/>
              <w:jc w:val="center"/>
            </w:pPr>
            <w:r w:rsidRPr="00966FF8">
              <w:t>99.4</w:t>
            </w:r>
          </w:p>
        </w:tc>
        <w:tc>
          <w:tcPr>
            <w:tcW w:w="1486" w:type="dxa"/>
            <w:vAlign w:val="center"/>
          </w:tcPr>
          <w:p w14:paraId="1328E9F9" w14:textId="77777777" w:rsidR="000B148D" w:rsidRPr="00966FF8" w:rsidRDefault="000B148D" w:rsidP="00617689">
            <w:pPr>
              <w:pStyle w:val="Tablebody"/>
              <w:spacing w:before="0" w:after="0"/>
              <w:jc w:val="center"/>
            </w:pPr>
            <w:r w:rsidRPr="00966FF8">
              <w:t>100.0</w:t>
            </w:r>
          </w:p>
        </w:tc>
        <w:tc>
          <w:tcPr>
            <w:tcW w:w="1485" w:type="dxa"/>
            <w:vAlign w:val="center"/>
          </w:tcPr>
          <w:p w14:paraId="23A4A44A" w14:textId="77777777" w:rsidR="000B148D" w:rsidRPr="00966FF8" w:rsidRDefault="000B148D" w:rsidP="00617689">
            <w:pPr>
              <w:pStyle w:val="Tablebody"/>
              <w:spacing w:before="0" w:after="0"/>
              <w:jc w:val="center"/>
            </w:pPr>
            <w:r w:rsidRPr="00966FF8">
              <w:t>99.5</w:t>
            </w:r>
          </w:p>
        </w:tc>
        <w:tc>
          <w:tcPr>
            <w:tcW w:w="1486" w:type="dxa"/>
            <w:vAlign w:val="center"/>
          </w:tcPr>
          <w:p w14:paraId="7E3F7E03" w14:textId="77777777" w:rsidR="000B148D" w:rsidRPr="00966FF8" w:rsidRDefault="000B148D" w:rsidP="00617689">
            <w:pPr>
              <w:pStyle w:val="Tablebody"/>
              <w:spacing w:before="0" w:after="0"/>
              <w:jc w:val="center"/>
            </w:pPr>
            <w:r w:rsidRPr="00966FF8">
              <w:t>100.0</w:t>
            </w:r>
          </w:p>
        </w:tc>
      </w:tr>
      <w:tr w:rsidR="000B148D" w:rsidRPr="00966FF8" w14:paraId="166CA0E0" w14:textId="77777777">
        <w:trPr>
          <w:trHeight w:val="20"/>
        </w:trPr>
        <w:tc>
          <w:tcPr>
            <w:tcW w:w="8914" w:type="dxa"/>
            <w:gridSpan w:val="5"/>
            <w:shd w:val="clear" w:color="auto" w:fill="F2F2F2" w:themeFill="background1" w:themeFillShade="F2"/>
            <w:vAlign w:val="center"/>
          </w:tcPr>
          <w:p w14:paraId="70195206" w14:textId="77777777" w:rsidR="000B148D" w:rsidRPr="00966FF8" w:rsidRDefault="000B148D" w:rsidP="00617689">
            <w:pPr>
              <w:pStyle w:val="Tablebody"/>
              <w:spacing w:before="0" w:after="0"/>
            </w:pPr>
            <w:r w:rsidRPr="00966FF8">
              <w:t>Region, n (%)</w:t>
            </w:r>
          </w:p>
        </w:tc>
      </w:tr>
      <w:tr w:rsidR="000B148D" w:rsidRPr="00966FF8" w14:paraId="60E281D7" w14:textId="77777777">
        <w:trPr>
          <w:trHeight w:val="20"/>
        </w:trPr>
        <w:tc>
          <w:tcPr>
            <w:tcW w:w="2972" w:type="dxa"/>
            <w:shd w:val="clear" w:color="auto" w:fill="F2F2F2" w:themeFill="background1" w:themeFillShade="F2"/>
            <w:vAlign w:val="center"/>
          </w:tcPr>
          <w:p w14:paraId="60646C0B" w14:textId="77777777" w:rsidR="000B148D" w:rsidRPr="00966FF8" w:rsidRDefault="000B148D" w:rsidP="00617689">
            <w:pPr>
              <w:pStyle w:val="Tablebody"/>
              <w:spacing w:before="0" w:after="0"/>
              <w:ind w:left="171"/>
            </w:pPr>
            <w:r w:rsidRPr="00966FF8">
              <w:t>Europe</w:t>
            </w:r>
          </w:p>
        </w:tc>
        <w:tc>
          <w:tcPr>
            <w:tcW w:w="1485" w:type="dxa"/>
            <w:vAlign w:val="center"/>
          </w:tcPr>
          <w:p w14:paraId="0791C475" w14:textId="77777777" w:rsidR="000B148D" w:rsidRPr="00966FF8" w:rsidRDefault="000B148D" w:rsidP="00617689">
            <w:pPr>
              <w:pStyle w:val="Tablebody"/>
              <w:spacing w:before="0" w:after="0"/>
              <w:jc w:val="center"/>
            </w:pPr>
            <w:r w:rsidRPr="00966FF8">
              <w:t>149 (45.0)</w:t>
            </w:r>
          </w:p>
        </w:tc>
        <w:tc>
          <w:tcPr>
            <w:tcW w:w="1486" w:type="dxa"/>
            <w:vAlign w:val="center"/>
          </w:tcPr>
          <w:p w14:paraId="7E2A638A" w14:textId="77777777" w:rsidR="000B148D" w:rsidRPr="00966FF8" w:rsidRDefault="000B148D" w:rsidP="00617689">
            <w:pPr>
              <w:pStyle w:val="Tablebody"/>
              <w:spacing w:before="0" w:after="0"/>
              <w:jc w:val="center"/>
            </w:pPr>
            <w:r w:rsidRPr="00966FF8">
              <w:t>73 (44.8)</w:t>
            </w:r>
          </w:p>
        </w:tc>
        <w:tc>
          <w:tcPr>
            <w:tcW w:w="1485" w:type="dxa"/>
            <w:vAlign w:val="center"/>
          </w:tcPr>
          <w:p w14:paraId="3B399753" w14:textId="77777777" w:rsidR="000B148D" w:rsidRPr="00966FF8" w:rsidRDefault="000B148D" w:rsidP="00617689">
            <w:pPr>
              <w:pStyle w:val="Tablebody"/>
              <w:spacing w:before="0" w:after="0"/>
              <w:jc w:val="center"/>
            </w:pPr>
            <w:r w:rsidRPr="00966FF8">
              <w:t>166 (44.5)</w:t>
            </w:r>
          </w:p>
        </w:tc>
        <w:tc>
          <w:tcPr>
            <w:tcW w:w="1486" w:type="dxa"/>
            <w:vAlign w:val="center"/>
          </w:tcPr>
          <w:p w14:paraId="2B6F1E19" w14:textId="77777777" w:rsidR="000B148D" w:rsidRPr="00966FF8" w:rsidRDefault="000B148D" w:rsidP="00617689">
            <w:pPr>
              <w:pStyle w:val="Tablebody"/>
              <w:spacing w:before="0" w:after="0"/>
              <w:jc w:val="center"/>
            </w:pPr>
            <w:r w:rsidRPr="00966FF8">
              <w:t>85 (46.2)</w:t>
            </w:r>
          </w:p>
        </w:tc>
      </w:tr>
      <w:tr w:rsidR="000B148D" w:rsidRPr="00966FF8" w14:paraId="69D67350" w14:textId="77777777">
        <w:trPr>
          <w:trHeight w:val="20"/>
        </w:trPr>
        <w:tc>
          <w:tcPr>
            <w:tcW w:w="2972" w:type="dxa"/>
            <w:shd w:val="clear" w:color="auto" w:fill="F2F2F2" w:themeFill="background1" w:themeFillShade="F2"/>
            <w:vAlign w:val="center"/>
          </w:tcPr>
          <w:p w14:paraId="6C9C105C" w14:textId="77777777" w:rsidR="000B148D" w:rsidRPr="00966FF8" w:rsidRDefault="000B148D" w:rsidP="00617689">
            <w:pPr>
              <w:pStyle w:val="Tablebody"/>
              <w:spacing w:before="0" w:after="0"/>
              <w:ind w:left="171"/>
            </w:pPr>
            <w:r w:rsidRPr="00966FF8">
              <w:t>Asia</w:t>
            </w:r>
          </w:p>
        </w:tc>
        <w:tc>
          <w:tcPr>
            <w:tcW w:w="1485" w:type="dxa"/>
            <w:vAlign w:val="center"/>
          </w:tcPr>
          <w:p w14:paraId="3A2C91E8" w14:textId="77777777" w:rsidR="000B148D" w:rsidRPr="00966FF8" w:rsidRDefault="000B148D" w:rsidP="00617689">
            <w:pPr>
              <w:pStyle w:val="Tablebody"/>
              <w:spacing w:before="0" w:after="0"/>
              <w:jc w:val="center"/>
            </w:pPr>
            <w:r w:rsidRPr="00966FF8">
              <w:t>128 (38.7)</w:t>
            </w:r>
          </w:p>
        </w:tc>
        <w:tc>
          <w:tcPr>
            <w:tcW w:w="1486" w:type="dxa"/>
            <w:vAlign w:val="center"/>
          </w:tcPr>
          <w:p w14:paraId="5AE64E1E" w14:textId="77777777" w:rsidR="000B148D" w:rsidRPr="00966FF8" w:rsidRDefault="000B148D" w:rsidP="00617689">
            <w:pPr>
              <w:pStyle w:val="Tablebody"/>
              <w:spacing w:before="0" w:after="0"/>
              <w:jc w:val="center"/>
            </w:pPr>
            <w:r w:rsidRPr="00966FF8">
              <w:t>60 (36.8)</w:t>
            </w:r>
          </w:p>
        </w:tc>
        <w:tc>
          <w:tcPr>
            <w:tcW w:w="1485" w:type="dxa"/>
            <w:vAlign w:val="center"/>
          </w:tcPr>
          <w:p w14:paraId="504FB0C3" w14:textId="77777777" w:rsidR="000B148D" w:rsidRPr="00966FF8" w:rsidRDefault="000B148D" w:rsidP="00617689">
            <w:pPr>
              <w:pStyle w:val="Tablebody"/>
              <w:spacing w:before="0" w:after="0"/>
              <w:jc w:val="center"/>
            </w:pPr>
            <w:r w:rsidRPr="00966FF8">
              <w:t>147 (39.4)</w:t>
            </w:r>
          </w:p>
        </w:tc>
        <w:tc>
          <w:tcPr>
            <w:tcW w:w="1486" w:type="dxa"/>
            <w:vAlign w:val="center"/>
          </w:tcPr>
          <w:p w14:paraId="1C3CF6D8" w14:textId="77777777" w:rsidR="000B148D" w:rsidRPr="00966FF8" w:rsidRDefault="000B148D" w:rsidP="00617689">
            <w:pPr>
              <w:pStyle w:val="Tablebody"/>
              <w:spacing w:before="0" w:after="0"/>
              <w:jc w:val="center"/>
            </w:pPr>
            <w:r w:rsidRPr="00966FF8">
              <w:t>66 (35.9)</w:t>
            </w:r>
          </w:p>
        </w:tc>
      </w:tr>
      <w:tr w:rsidR="000B148D" w:rsidRPr="00966FF8" w14:paraId="60185DD4" w14:textId="77777777">
        <w:trPr>
          <w:trHeight w:val="20"/>
        </w:trPr>
        <w:tc>
          <w:tcPr>
            <w:tcW w:w="2972" w:type="dxa"/>
            <w:shd w:val="clear" w:color="auto" w:fill="F2F2F2" w:themeFill="background1" w:themeFillShade="F2"/>
            <w:vAlign w:val="center"/>
          </w:tcPr>
          <w:p w14:paraId="6312C2C4" w14:textId="77777777" w:rsidR="000B148D" w:rsidRPr="00966FF8" w:rsidRDefault="000B148D" w:rsidP="00617689">
            <w:pPr>
              <w:pStyle w:val="Tablebody"/>
              <w:spacing w:before="0" w:after="0"/>
              <w:ind w:left="171"/>
            </w:pPr>
            <w:r w:rsidRPr="00966FF8">
              <w:t>North America</w:t>
            </w:r>
          </w:p>
        </w:tc>
        <w:tc>
          <w:tcPr>
            <w:tcW w:w="1485" w:type="dxa"/>
            <w:vAlign w:val="center"/>
          </w:tcPr>
          <w:p w14:paraId="61C6B8F6" w14:textId="77777777" w:rsidR="000B148D" w:rsidRPr="00966FF8" w:rsidRDefault="000B148D" w:rsidP="00617689">
            <w:pPr>
              <w:pStyle w:val="Tablebody"/>
              <w:spacing w:before="0" w:after="0"/>
              <w:jc w:val="center"/>
            </w:pPr>
            <w:r w:rsidRPr="00966FF8">
              <w:t>54 (16.3)</w:t>
            </w:r>
          </w:p>
        </w:tc>
        <w:tc>
          <w:tcPr>
            <w:tcW w:w="1486" w:type="dxa"/>
            <w:vAlign w:val="center"/>
          </w:tcPr>
          <w:p w14:paraId="1FB29474" w14:textId="77777777" w:rsidR="000B148D" w:rsidRPr="00966FF8" w:rsidRDefault="000B148D" w:rsidP="00617689">
            <w:pPr>
              <w:pStyle w:val="Tablebody"/>
              <w:spacing w:before="0" w:after="0"/>
              <w:jc w:val="center"/>
            </w:pPr>
            <w:r w:rsidRPr="00966FF8">
              <w:t>30 (18.4)</w:t>
            </w:r>
          </w:p>
        </w:tc>
        <w:tc>
          <w:tcPr>
            <w:tcW w:w="1485" w:type="dxa"/>
            <w:vAlign w:val="center"/>
          </w:tcPr>
          <w:p w14:paraId="20F5ECE0" w14:textId="77777777" w:rsidR="000B148D" w:rsidRPr="00966FF8" w:rsidRDefault="000B148D" w:rsidP="00617689">
            <w:pPr>
              <w:pStyle w:val="Tablebody"/>
              <w:spacing w:before="0" w:after="0"/>
              <w:jc w:val="center"/>
            </w:pPr>
            <w:r w:rsidRPr="00966FF8">
              <w:t>60 (16.1)</w:t>
            </w:r>
          </w:p>
        </w:tc>
        <w:tc>
          <w:tcPr>
            <w:tcW w:w="1486" w:type="dxa"/>
            <w:vAlign w:val="center"/>
          </w:tcPr>
          <w:p w14:paraId="158D12D6" w14:textId="77777777" w:rsidR="000B148D" w:rsidRPr="00966FF8" w:rsidRDefault="000B148D" w:rsidP="00617689">
            <w:pPr>
              <w:pStyle w:val="Tablebody"/>
              <w:spacing w:before="0" w:after="0"/>
              <w:jc w:val="center"/>
            </w:pPr>
            <w:r w:rsidRPr="00966FF8">
              <w:t>33 (17.9)</w:t>
            </w:r>
          </w:p>
        </w:tc>
      </w:tr>
      <w:tr w:rsidR="000B148D" w:rsidRPr="00966FF8" w14:paraId="6DD1C085" w14:textId="77777777">
        <w:trPr>
          <w:trHeight w:val="20"/>
        </w:trPr>
        <w:tc>
          <w:tcPr>
            <w:tcW w:w="8914" w:type="dxa"/>
            <w:gridSpan w:val="5"/>
            <w:shd w:val="clear" w:color="auto" w:fill="F2F2F2" w:themeFill="background1" w:themeFillShade="F2"/>
            <w:vAlign w:val="center"/>
          </w:tcPr>
          <w:p w14:paraId="21D46FCD" w14:textId="77777777" w:rsidR="000B148D" w:rsidRPr="00966FF8" w:rsidRDefault="000B148D" w:rsidP="00617689">
            <w:pPr>
              <w:pStyle w:val="Tablebody"/>
              <w:spacing w:before="0" w:after="0"/>
            </w:pPr>
            <w:r w:rsidRPr="00966FF8">
              <w:t>Race, n (%)</w:t>
            </w:r>
          </w:p>
        </w:tc>
      </w:tr>
      <w:tr w:rsidR="000B148D" w:rsidRPr="00966FF8" w14:paraId="4807B897" w14:textId="77777777">
        <w:trPr>
          <w:trHeight w:val="20"/>
        </w:trPr>
        <w:tc>
          <w:tcPr>
            <w:tcW w:w="2972" w:type="dxa"/>
            <w:shd w:val="clear" w:color="auto" w:fill="F2F2F2" w:themeFill="background1" w:themeFillShade="F2"/>
            <w:vAlign w:val="center"/>
          </w:tcPr>
          <w:p w14:paraId="22D39F3C" w14:textId="77777777" w:rsidR="000B148D" w:rsidRPr="00966FF8" w:rsidRDefault="000B148D" w:rsidP="00617689">
            <w:pPr>
              <w:pStyle w:val="Tablebody"/>
              <w:spacing w:before="0" w:after="0"/>
              <w:ind w:left="171"/>
            </w:pPr>
            <w:r w:rsidRPr="00966FF8">
              <w:t>Asian</w:t>
            </w:r>
          </w:p>
        </w:tc>
        <w:tc>
          <w:tcPr>
            <w:tcW w:w="1485" w:type="dxa"/>
            <w:vAlign w:val="center"/>
          </w:tcPr>
          <w:p w14:paraId="2B909072" w14:textId="77777777" w:rsidR="000B148D" w:rsidRPr="00966FF8" w:rsidRDefault="000B148D" w:rsidP="00617689">
            <w:pPr>
              <w:pStyle w:val="Tablebody"/>
              <w:spacing w:before="0" w:after="0"/>
              <w:jc w:val="center"/>
            </w:pPr>
            <w:r w:rsidRPr="00966FF8">
              <w:t>131 (39.6)</w:t>
            </w:r>
          </w:p>
        </w:tc>
        <w:tc>
          <w:tcPr>
            <w:tcW w:w="1486" w:type="dxa"/>
            <w:vAlign w:val="center"/>
          </w:tcPr>
          <w:p w14:paraId="64024279" w14:textId="77777777" w:rsidR="000B148D" w:rsidRPr="00966FF8" w:rsidRDefault="000B148D" w:rsidP="00617689">
            <w:pPr>
              <w:pStyle w:val="Tablebody"/>
              <w:spacing w:before="0" w:after="0"/>
              <w:jc w:val="center"/>
            </w:pPr>
            <w:r w:rsidRPr="00966FF8">
              <w:t>66 (40.5)</w:t>
            </w:r>
          </w:p>
        </w:tc>
        <w:tc>
          <w:tcPr>
            <w:tcW w:w="1485" w:type="dxa"/>
            <w:vAlign w:val="center"/>
          </w:tcPr>
          <w:p w14:paraId="45BD0CB9" w14:textId="77777777" w:rsidR="000B148D" w:rsidRPr="00966FF8" w:rsidRDefault="000B148D" w:rsidP="00617689">
            <w:pPr>
              <w:pStyle w:val="Tablebody"/>
              <w:spacing w:before="0" w:after="0"/>
              <w:jc w:val="center"/>
            </w:pPr>
            <w:r w:rsidRPr="00966FF8">
              <w:t>151 (40.5)</w:t>
            </w:r>
          </w:p>
        </w:tc>
        <w:tc>
          <w:tcPr>
            <w:tcW w:w="1486" w:type="dxa"/>
            <w:vAlign w:val="center"/>
          </w:tcPr>
          <w:p w14:paraId="009DFD36" w14:textId="77777777" w:rsidR="000B148D" w:rsidRPr="00966FF8" w:rsidRDefault="000B148D" w:rsidP="00617689">
            <w:pPr>
              <w:pStyle w:val="Tablebody"/>
              <w:spacing w:before="0" w:after="0"/>
              <w:jc w:val="center"/>
            </w:pPr>
            <w:r w:rsidRPr="00966FF8">
              <w:t>72 (39.1)</w:t>
            </w:r>
          </w:p>
        </w:tc>
      </w:tr>
      <w:tr w:rsidR="000B148D" w:rsidRPr="00966FF8" w14:paraId="7CF57FB7" w14:textId="77777777">
        <w:trPr>
          <w:trHeight w:val="20"/>
        </w:trPr>
        <w:tc>
          <w:tcPr>
            <w:tcW w:w="2972" w:type="dxa"/>
            <w:shd w:val="clear" w:color="auto" w:fill="F2F2F2" w:themeFill="background1" w:themeFillShade="F2"/>
            <w:vAlign w:val="center"/>
          </w:tcPr>
          <w:p w14:paraId="6B4146A1" w14:textId="77777777" w:rsidR="000B148D" w:rsidRPr="00966FF8" w:rsidRDefault="000B148D" w:rsidP="00617689">
            <w:pPr>
              <w:pStyle w:val="Tablebody"/>
              <w:spacing w:before="0" w:after="0"/>
              <w:ind w:left="171"/>
            </w:pPr>
            <w:r w:rsidRPr="00966FF8">
              <w:t>White</w:t>
            </w:r>
          </w:p>
        </w:tc>
        <w:tc>
          <w:tcPr>
            <w:tcW w:w="1485" w:type="dxa"/>
            <w:vAlign w:val="center"/>
          </w:tcPr>
          <w:p w14:paraId="423F889F" w14:textId="77777777" w:rsidR="000B148D" w:rsidRPr="00966FF8" w:rsidRDefault="000B148D" w:rsidP="00617689">
            <w:pPr>
              <w:pStyle w:val="Tablebody"/>
              <w:spacing w:before="0" w:after="0"/>
              <w:jc w:val="center"/>
            </w:pPr>
            <w:r w:rsidRPr="00966FF8">
              <w:t>156 (47.1)</w:t>
            </w:r>
          </w:p>
        </w:tc>
        <w:tc>
          <w:tcPr>
            <w:tcW w:w="1486" w:type="dxa"/>
            <w:vAlign w:val="center"/>
          </w:tcPr>
          <w:p w14:paraId="1A69189A" w14:textId="77777777" w:rsidR="000B148D" w:rsidRPr="00966FF8" w:rsidRDefault="000B148D" w:rsidP="00617689">
            <w:pPr>
              <w:pStyle w:val="Tablebody"/>
              <w:spacing w:before="0" w:after="0"/>
              <w:jc w:val="center"/>
            </w:pPr>
            <w:r w:rsidRPr="00966FF8">
              <w:t>78 (47.9)</w:t>
            </w:r>
          </w:p>
        </w:tc>
        <w:tc>
          <w:tcPr>
            <w:tcW w:w="1485" w:type="dxa"/>
            <w:vAlign w:val="center"/>
          </w:tcPr>
          <w:p w14:paraId="4CE18172" w14:textId="77777777" w:rsidR="000B148D" w:rsidRPr="00966FF8" w:rsidRDefault="000B148D" w:rsidP="00617689">
            <w:pPr>
              <w:pStyle w:val="Tablebody"/>
              <w:spacing w:before="0" w:after="0"/>
              <w:jc w:val="center"/>
            </w:pPr>
            <w:r w:rsidRPr="00966FF8">
              <w:t>176 (47.2)</w:t>
            </w:r>
          </w:p>
        </w:tc>
        <w:tc>
          <w:tcPr>
            <w:tcW w:w="1486" w:type="dxa"/>
            <w:vAlign w:val="center"/>
          </w:tcPr>
          <w:p w14:paraId="022FC06B" w14:textId="77777777" w:rsidR="000B148D" w:rsidRPr="00966FF8" w:rsidRDefault="000B148D" w:rsidP="00617689">
            <w:pPr>
              <w:pStyle w:val="Tablebody"/>
              <w:spacing w:before="0" w:after="0"/>
              <w:jc w:val="center"/>
            </w:pPr>
            <w:r w:rsidRPr="00966FF8">
              <w:t>91 (49.5)</w:t>
            </w:r>
          </w:p>
        </w:tc>
      </w:tr>
      <w:tr w:rsidR="000B148D" w:rsidRPr="00966FF8" w14:paraId="73E5DA5E" w14:textId="77777777">
        <w:trPr>
          <w:trHeight w:val="20"/>
        </w:trPr>
        <w:tc>
          <w:tcPr>
            <w:tcW w:w="2972" w:type="dxa"/>
            <w:shd w:val="clear" w:color="auto" w:fill="F2F2F2" w:themeFill="background1" w:themeFillShade="F2"/>
            <w:vAlign w:val="center"/>
          </w:tcPr>
          <w:p w14:paraId="71318E2F" w14:textId="77777777" w:rsidR="000B148D" w:rsidRPr="00966FF8" w:rsidRDefault="000B148D" w:rsidP="00617689">
            <w:pPr>
              <w:pStyle w:val="Tablebody"/>
              <w:spacing w:before="0" w:after="0"/>
              <w:ind w:left="171"/>
            </w:pPr>
            <w:r w:rsidRPr="00966FF8">
              <w:t>Black or African American</w:t>
            </w:r>
          </w:p>
        </w:tc>
        <w:tc>
          <w:tcPr>
            <w:tcW w:w="1485" w:type="dxa"/>
            <w:vAlign w:val="center"/>
          </w:tcPr>
          <w:p w14:paraId="152897D7" w14:textId="77777777" w:rsidR="000B148D" w:rsidRPr="00966FF8" w:rsidRDefault="000B148D" w:rsidP="00617689">
            <w:pPr>
              <w:pStyle w:val="Tablebody"/>
              <w:spacing w:before="0" w:after="0"/>
              <w:jc w:val="center"/>
            </w:pPr>
            <w:r w:rsidRPr="00966FF8">
              <w:t>7 (2.1)</w:t>
            </w:r>
          </w:p>
        </w:tc>
        <w:tc>
          <w:tcPr>
            <w:tcW w:w="1486" w:type="dxa"/>
            <w:vAlign w:val="center"/>
          </w:tcPr>
          <w:p w14:paraId="5155C2D6" w14:textId="77777777" w:rsidR="000B148D" w:rsidRPr="00966FF8" w:rsidRDefault="000B148D" w:rsidP="00617689">
            <w:pPr>
              <w:pStyle w:val="Tablebody"/>
              <w:spacing w:before="0" w:after="0"/>
              <w:jc w:val="center"/>
            </w:pPr>
            <w:r w:rsidRPr="00966FF8">
              <w:t>2 (1.2)</w:t>
            </w:r>
          </w:p>
        </w:tc>
        <w:tc>
          <w:tcPr>
            <w:tcW w:w="1485" w:type="dxa"/>
            <w:vAlign w:val="center"/>
          </w:tcPr>
          <w:p w14:paraId="62205A44" w14:textId="77777777" w:rsidR="000B148D" w:rsidRPr="00966FF8" w:rsidRDefault="000B148D" w:rsidP="00617689">
            <w:pPr>
              <w:pStyle w:val="Tablebody"/>
              <w:spacing w:before="0" w:after="0"/>
              <w:jc w:val="center"/>
            </w:pPr>
            <w:r w:rsidRPr="00966FF8">
              <w:t>7 (1.9)</w:t>
            </w:r>
          </w:p>
        </w:tc>
        <w:tc>
          <w:tcPr>
            <w:tcW w:w="1486" w:type="dxa"/>
            <w:vAlign w:val="center"/>
          </w:tcPr>
          <w:p w14:paraId="0E33CA55" w14:textId="77777777" w:rsidR="000B148D" w:rsidRPr="00966FF8" w:rsidRDefault="000B148D" w:rsidP="00617689">
            <w:pPr>
              <w:pStyle w:val="Tablebody"/>
              <w:spacing w:before="0" w:after="0"/>
              <w:jc w:val="center"/>
            </w:pPr>
            <w:r w:rsidRPr="00966FF8">
              <w:t>3 (1.6)</w:t>
            </w:r>
          </w:p>
        </w:tc>
      </w:tr>
      <w:tr w:rsidR="000B148D" w:rsidRPr="00966FF8" w14:paraId="7DC2AB2D" w14:textId="77777777">
        <w:trPr>
          <w:trHeight w:val="20"/>
        </w:trPr>
        <w:tc>
          <w:tcPr>
            <w:tcW w:w="2972" w:type="dxa"/>
            <w:shd w:val="clear" w:color="auto" w:fill="F2F2F2" w:themeFill="background1" w:themeFillShade="F2"/>
            <w:vAlign w:val="center"/>
          </w:tcPr>
          <w:p w14:paraId="53F750E4" w14:textId="77777777" w:rsidR="000B148D" w:rsidRPr="00966FF8" w:rsidRDefault="000B148D" w:rsidP="00617689">
            <w:pPr>
              <w:pStyle w:val="Tablebody"/>
              <w:spacing w:before="0" w:after="0"/>
              <w:ind w:left="171"/>
            </w:pPr>
            <w:r w:rsidRPr="00966FF8">
              <w:t>Other</w:t>
            </w:r>
          </w:p>
        </w:tc>
        <w:tc>
          <w:tcPr>
            <w:tcW w:w="1485" w:type="dxa"/>
            <w:vAlign w:val="center"/>
          </w:tcPr>
          <w:p w14:paraId="51E727B3" w14:textId="77777777" w:rsidR="000B148D" w:rsidRPr="00966FF8" w:rsidRDefault="000B148D" w:rsidP="00617689">
            <w:pPr>
              <w:pStyle w:val="Tablebody"/>
              <w:spacing w:before="0" w:after="0"/>
              <w:jc w:val="center"/>
            </w:pPr>
            <w:r w:rsidRPr="00966FF8">
              <w:t>37 (11.2)</w:t>
            </w:r>
          </w:p>
        </w:tc>
        <w:tc>
          <w:tcPr>
            <w:tcW w:w="1486" w:type="dxa"/>
            <w:vAlign w:val="center"/>
          </w:tcPr>
          <w:p w14:paraId="2BEAD4F2" w14:textId="77777777" w:rsidR="000B148D" w:rsidRPr="00966FF8" w:rsidRDefault="000B148D" w:rsidP="00617689">
            <w:pPr>
              <w:pStyle w:val="Tablebody"/>
              <w:spacing w:before="0" w:after="0"/>
              <w:jc w:val="center"/>
            </w:pPr>
            <w:r w:rsidRPr="00966FF8">
              <w:t>16 (9.8)</w:t>
            </w:r>
          </w:p>
        </w:tc>
        <w:tc>
          <w:tcPr>
            <w:tcW w:w="1485" w:type="dxa"/>
            <w:vAlign w:val="center"/>
          </w:tcPr>
          <w:p w14:paraId="6AF8165D" w14:textId="77777777" w:rsidR="000B148D" w:rsidRPr="00966FF8" w:rsidRDefault="000B148D" w:rsidP="00617689">
            <w:pPr>
              <w:pStyle w:val="Tablebody"/>
              <w:spacing w:before="0" w:after="0"/>
              <w:jc w:val="center"/>
            </w:pPr>
            <w:r w:rsidRPr="00966FF8">
              <w:t>39 (10.5)</w:t>
            </w:r>
          </w:p>
        </w:tc>
        <w:tc>
          <w:tcPr>
            <w:tcW w:w="1486" w:type="dxa"/>
            <w:vAlign w:val="center"/>
          </w:tcPr>
          <w:p w14:paraId="4A7ECE71" w14:textId="77777777" w:rsidR="000B148D" w:rsidRPr="00966FF8" w:rsidRDefault="000B148D" w:rsidP="00617689">
            <w:pPr>
              <w:pStyle w:val="Tablebody"/>
              <w:spacing w:before="0" w:after="0"/>
              <w:jc w:val="center"/>
            </w:pPr>
            <w:r w:rsidRPr="00966FF8">
              <w:t>17 (9.2)</w:t>
            </w:r>
          </w:p>
        </w:tc>
      </w:tr>
      <w:tr w:rsidR="000B148D" w:rsidRPr="00966FF8" w14:paraId="37EE9495" w14:textId="77777777">
        <w:trPr>
          <w:trHeight w:val="20"/>
        </w:trPr>
        <w:tc>
          <w:tcPr>
            <w:tcW w:w="2972" w:type="dxa"/>
            <w:shd w:val="clear" w:color="auto" w:fill="F2F2F2" w:themeFill="background1" w:themeFillShade="F2"/>
            <w:vAlign w:val="center"/>
          </w:tcPr>
          <w:p w14:paraId="302DCD4B" w14:textId="77777777" w:rsidR="000B148D" w:rsidRPr="00966FF8" w:rsidRDefault="000B148D" w:rsidP="00617689">
            <w:pPr>
              <w:pStyle w:val="Tablebody"/>
              <w:spacing w:before="0" w:after="0"/>
              <w:ind w:left="171"/>
            </w:pPr>
            <w:r w:rsidRPr="00966FF8">
              <w:t>Missing</w:t>
            </w:r>
            <w:r>
              <w:t xml:space="preserve"> data</w:t>
            </w:r>
          </w:p>
        </w:tc>
        <w:tc>
          <w:tcPr>
            <w:tcW w:w="1485" w:type="dxa"/>
            <w:vAlign w:val="center"/>
          </w:tcPr>
          <w:p w14:paraId="6829781B" w14:textId="77777777" w:rsidR="000B148D" w:rsidRPr="00966FF8" w:rsidRDefault="000B148D" w:rsidP="00617689">
            <w:pPr>
              <w:pStyle w:val="Tablebody"/>
              <w:spacing w:before="0" w:after="0"/>
              <w:jc w:val="center"/>
            </w:pPr>
            <w:r w:rsidRPr="00966FF8">
              <w:t>0</w:t>
            </w:r>
          </w:p>
        </w:tc>
        <w:tc>
          <w:tcPr>
            <w:tcW w:w="1486" w:type="dxa"/>
            <w:vAlign w:val="center"/>
          </w:tcPr>
          <w:p w14:paraId="19F1970D" w14:textId="77777777" w:rsidR="000B148D" w:rsidRPr="00966FF8" w:rsidRDefault="000B148D" w:rsidP="00617689">
            <w:pPr>
              <w:pStyle w:val="Tablebody"/>
              <w:spacing w:before="0" w:after="0"/>
              <w:jc w:val="center"/>
            </w:pPr>
            <w:r w:rsidRPr="00966FF8">
              <w:t>1 (0.6)</w:t>
            </w:r>
          </w:p>
        </w:tc>
        <w:tc>
          <w:tcPr>
            <w:tcW w:w="1485" w:type="dxa"/>
            <w:vAlign w:val="center"/>
          </w:tcPr>
          <w:p w14:paraId="643C8F22" w14:textId="77777777" w:rsidR="000B148D" w:rsidRPr="00966FF8" w:rsidRDefault="000B148D" w:rsidP="00617689">
            <w:pPr>
              <w:pStyle w:val="Tablebody"/>
              <w:spacing w:before="0" w:after="0"/>
              <w:jc w:val="center"/>
            </w:pPr>
            <w:r w:rsidRPr="00966FF8">
              <w:t>0</w:t>
            </w:r>
          </w:p>
        </w:tc>
        <w:tc>
          <w:tcPr>
            <w:tcW w:w="1486" w:type="dxa"/>
            <w:vAlign w:val="center"/>
          </w:tcPr>
          <w:p w14:paraId="024BFB26" w14:textId="77777777" w:rsidR="000B148D" w:rsidRPr="00966FF8" w:rsidRDefault="000B148D" w:rsidP="00617689">
            <w:pPr>
              <w:pStyle w:val="Tablebody"/>
              <w:spacing w:before="0" w:after="0"/>
              <w:jc w:val="center"/>
            </w:pPr>
            <w:r w:rsidRPr="00966FF8">
              <w:t>1 (0.5)</w:t>
            </w:r>
          </w:p>
        </w:tc>
      </w:tr>
      <w:tr w:rsidR="000B148D" w:rsidRPr="00966FF8" w14:paraId="2671DFF9" w14:textId="77777777">
        <w:trPr>
          <w:trHeight w:val="20"/>
        </w:trPr>
        <w:tc>
          <w:tcPr>
            <w:tcW w:w="8914" w:type="dxa"/>
            <w:gridSpan w:val="5"/>
            <w:shd w:val="clear" w:color="auto" w:fill="F2F2F2" w:themeFill="background1" w:themeFillShade="F2"/>
            <w:vAlign w:val="center"/>
          </w:tcPr>
          <w:p w14:paraId="56C6DF50" w14:textId="77777777" w:rsidR="000B148D" w:rsidRPr="00966FF8" w:rsidRDefault="000B148D" w:rsidP="00617689">
            <w:pPr>
              <w:pStyle w:val="Tablebody"/>
              <w:spacing w:before="0" w:after="0"/>
            </w:pPr>
            <w:r w:rsidRPr="00966FF8">
              <w:t>Weight, kg</w:t>
            </w:r>
          </w:p>
        </w:tc>
      </w:tr>
      <w:tr w:rsidR="000B148D" w:rsidRPr="00966FF8" w14:paraId="2F297830" w14:textId="77777777">
        <w:trPr>
          <w:trHeight w:val="20"/>
        </w:trPr>
        <w:tc>
          <w:tcPr>
            <w:tcW w:w="2972" w:type="dxa"/>
            <w:shd w:val="clear" w:color="auto" w:fill="F2F2F2" w:themeFill="background1" w:themeFillShade="F2"/>
            <w:vAlign w:val="center"/>
          </w:tcPr>
          <w:p w14:paraId="79AA1A1C" w14:textId="77777777" w:rsidR="000B148D" w:rsidRPr="00966FF8" w:rsidRDefault="000B148D" w:rsidP="00617689">
            <w:pPr>
              <w:pStyle w:val="Tablebody"/>
              <w:spacing w:before="0" w:after="0"/>
              <w:ind w:left="171"/>
            </w:pPr>
            <w:r w:rsidRPr="00966FF8">
              <w:t>Mean (standard deviation)</w:t>
            </w:r>
          </w:p>
        </w:tc>
        <w:tc>
          <w:tcPr>
            <w:tcW w:w="1485" w:type="dxa"/>
            <w:vAlign w:val="center"/>
          </w:tcPr>
          <w:p w14:paraId="0DB8AF64" w14:textId="37B5381B" w:rsidR="000B148D" w:rsidRPr="00294FDC" w:rsidRDefault="00294FDC" w:rsidP="00617689">
            <w:pPr>
              <w:pStyle w:val="Tablebody"/>
              <w:spacing w:before="0" w:after="0"/>
              <w:jc w:val="center"/>
              <w:rPr>
                <w:color w:val="000000"/>
                <w:highlight w:val="black"/>
              </w:rPr>
            </w:pPr>
            <w:r w:rsidRPr="00294FDC">
              <w:rPr>
                <w:color w:val="000000"/>
                <w:highlight w:val="black"/>
              </w:rPr>
              <w:t>xxxxxxxxxxxx</w:t>
            </w:r>
          </w:p>
        </w:tc>
        <w:tc>
          <w:tcPr>
            <w:tcW w:w="1486" w:type="dxa"/>
            <w:vAlign w:val="center"/>
          </w:tcPr>
          <w:p w14:paraId="012D55B1" w14:textId="3E5B83D8" w:rsidR="000B148D" w:rsidRPr="00294FDC" w:rsidRDefault="00294FDC" w:rsidP="00617689">
            <w:pPr>
              <w:pStyle w:val="Tablebody"/>
              <w:spacing w:before="0" w:after="0"/>
              <w:jc w:val="center"/>
              <w:rPr>
                <w:color w:val="000000"/>
                <w:highlight w:val="black"/>
              </w:rPr>
            </w:pPr>
            <w:r w:rsidRPr="00294FDC">
              <w:rPr>
                <w:color w:val="000000"/>
                <w:highlight w:val="black"/>
              </w:rPr>
              <w:t>xxxxxxxxxxxx</w:t>
            </w:r>
          </w:p>
        </w:tc>
        <w:tc>
          <w:tcPr>
            <w:tcW w:w="1485" w:type="dxa"/>
            <w:vAlign w:val="center"/>
          </w:tcPr>
          <w:p w14:paraId="433D09EB" w14:textId="73051FC4" w:rsidR="000B148D" w:rsidRPr="00294FDC" w:rsidRDefault="00294FDC" w:rsidP="00617689">
            <w:pPr>
              <w:pStyle w:val="Tablebody"/>
              <w:spacing w:before="0" w:after="0"/>
              <w:jc w:val="center"/>
              <w:rPr>
                <w:color w:val="000000"/>
                <w:highlight w:val="black"/>
              </w:rPr>
            </w:pPr>
            <w:r w:rsidRPr="00294FDC">
              <w:rPr>
                <w:color w:val="000000"/>
                <w:highlight w:val="black"/>
              </w:rPr>
              <w:t>xxxxxxxxxxxx</w:t>
            </w:r>
          </w:p>
        </w:tc>
        <w:tc>
          <w:tcPr>
            <w:tcW w:w="1486" w:type="dxa"/>
            <w:vAlign w:val="center"/>
          </w:tcPr>
          <w:p w14:paraId="17B25311" w14:textId="79725952" w:rsidR="000B148D" w:rsidRPr="00294FDC" w:rsidRDefault="00294FDC" w:rsidP="00617689">
            <w:pPr>
              <w:pStyle w:val="Tablebody"/>
              <w:spacing w:before="0" w:after="0"/>
              <w:jc w:val="center"/>
              <w:rPr>
                <w:color w:val="000000"/>
                <w:highlight w:val="black"/>
              </w:rPr>
            </w:pPr>
            <w:r w:rsidRPr="00294FDC">
              <w:rPr>
                <w:color w:val="000000"/>
                <w:highlight w:val="black"/>
              </w:rPr>
              <w:t>xxxxxxxxxxxx</w:t>
            </w:r>
          </w:p>
        </w:tc>
      </w:tr>
      <w:tr w:rsidR="000B148D" w:rsidRPr="00966FF8" w14:paraId="540062B2" w14:textId="77777777">
        <w:trPr>
          <w:trHeight w:val="20"/>
        </w:trPr>
        <w:tc>
          <w:tcPr>
            <w:tcW w:w="2972" w:type="dxa"/>
            <w:shd w:val="clear" w:color="auto" w:fill="F2F2F2" w:themeFill="background1" w:themeFillShade="F2"/>
            <w:vAlign w:val="center"/>
          </w:tcPr>
          <w:p w14:paraId="64F48813" w14:textId="77777777" w:rsidR="000B148D" w:rsidRPr="00966FF8" w:rsidRDefault="000B148D" w:rsidP="00617689">
            <w:pPr>
              <w:pStyle w:val="Tablebody"/>
              <w:spacing w:before="0" w:after="0"/>
              <w:ind w:left="171"/>
            </w:pPr>
            <w:r w:rsidRPr="00966FF8">
              <w:t xml:space="preserve">Median </w:t>
            </w:r>
            <w:r w:rsidRPr="00966FF8">
              <w:br/>
              <w:t>(range)</w:t>
            </w:r>
          </w:p>
        </w:tc>
        <w:tc>
          <w:tcPr>
            <w:tcW w:w="1485" w:type="dxa"/>
            <w:vAlign w:val="center"/>
          </w:tcPr>
          <w:p w14:paraId="14153B6A" w14:textId="61566C5C" w:rsidR="000B148D" w:rsidRPr="00294FDC" w:rsidRDefault="00294FDC" w:rsidP="00617689">
            <w:pPr>
              <w:pStyle w:val="Tablebody"/>
              <w:spacing w:before="0" w:after="0"/>
              <w:jc w:val="center"/>
              <w:rPr>
                <w:color w:val="000000"/>
                <w:highlight w:val="black"/>
              </w:rPr>
            </w:pPr>
            <w:r w:rsidRPr="00294FDC">
              <w:rPr>
                <w:color w:val="000000"/>
                <w:highlight w:val="black"/>
              </w:rPr>
              <w:t>xxxxxxxxxxxxxxxxxx</w:t>
            </w:r>
          </w:p>
        </w:tc>
        <w:tc>
          <w:tcPr>
            <w:tcW w:w="1486" w:type="dxa"/>
            <w:vAlign w:val="center"/>
          </w:tcPr>
          <w:p w14:paraId="0D950450" w14:textId="3BB443A7" w:rsidR="000B148D" w:rsidRPr="00294FDC" w:rsidRDefault="00294FDC" w:rsidP="00617689">
            <w:pPr>
              <w:pStyle w:val="Tablebody"/>
              <w:spacing w:before="0" w:after="0"/>
              <w:jc w:val="center"/>
              <w:rPr>
                <w:color w:val="000000"/>
                <w:highlight w:val="black"/>
              </w:rPr>
            </w:pPr>
            <w:r w:rsidRPr="00294FDC">
              <w:rPr>
                <w:color w:val="000000"/>
                <w:highlight w:val="black"/>
              </w:rPr>
              <w:t>xxxxxxxxxxxxxxxxxx</w:t>
            </w:r>
          </w:p>
        </w:tc>
        <w:tc>
          <w:tcPr>
            <w:tcW w:w="1485" w:type="dxa"/>
            <w:vAlign w:val="center"/>
          </w:tcPr>
          <w:p w14:paraId="28D32A62" w14:textId="084DBCFB" w:rsidR="000B148D" w:rsidRPr="00294FDC" w:rsidRDefault="00294FDC" w:rsidP="00617689">
            <w:pPr>
              <w:pStyle w:val="Tablebody"/>
              <w:spacing w:before="0" w:after="0"/>
              <w:jc w:val="center"/>
              <w:rPr>
                <w:color w:val="000000"/>
                <w:highlight w:val="black"/>
              </w:rPr>
            </w:pPr>
            <w:r w:rsidRPr="00294FDC">
              <w:rPr>
                <w:color w:val="000000"/>
                <w:highlight w:val="black"/>
              </w:rPr>
              <w:t>xxxxxxxxxxxxxxxxxx</w:t>
            </w:r>
          </w:p>
        </w:tc>
        <w:tc>
          <w:tcPr>
            <w:tcW w:w="1486" w:type="dxa"/>
            <w:vAlign w:val="center"/>
          </w:tcPr>
          <w:p w14:paraId="480DC9B8" w14:textId="23FED017" w:rsidR="000B148D" w:rsidRPr="00294FDC" w:rsidRDefault="00294FDC" w:rsidP="00617689">
            <w:pPr>
              <w:pStyle w:val="Tablebody"/>
              <w:spacing w:before="0" w:after="0"/>
              <w:jc w:val="center"/>
              <w:rPr>
                <w:color w:val="000000"/>
                <w:highlight w:val="black"/>
              </w:rPr>
            </w:pPr>
            <w:r w:rsidRPr="00294FDC">
              <w:rPr>
                <w:color w:val="000000"/>
                <w:highlight w:val="black"/>
              </w:rPr>
              <w:t>xxxxxxxxxxxxxxxxxx</w:t>
            </w:r>
          </w:p>
        </w:tc>
      </w:tr>
      <w:tr w:rsidR="000B148D" w:rsidRPr="00966FF8" w14:paraId="33AA4825" w14:textId="77777777">
        <w:trPr>
          <w:trHeight w:val="20"/>
        </w:trPr>
        <w:tc>
          <w:tcPr>
            <w:tcW w:w="8914" w:type="dxa"/>
            <w:gridSpan w:val="5"/>
            <w:shd w:val="clear" w:color="auto" w:fill="F2F2F2" w:themeFill="background1" w:themeFillShade="F2"/>
            <w:vAlign w:val="center"/>
          </w:tcPr>
          <w:p w14:paraId="2DD7321D" w14:textId="77777777" w:rsidR="000B148D" w:rsidRPr="00966FF8" w:rsidRDefault="000B148D" w:rsidP="00617689">
            <w:pPr>
              <w:pStyle w:val="Tablebody"/>
              <w:spacing w:before="0" w:after="0"/>
              <w:rPr>
                <w:rFonts w:cs="Arial"/>
              </w:rPr>
            </w:pPr>
            <w:r w:rsidRPr="00966FF8">
              <w:t>BMI, kg/m</w:t>
            </w:r>
            <w:r w:rsidRPr="00966FF8">
              <w:rPr>
                <w:vertAlign w:val="superscript"/>
              </w:rPr>
              <w:t>2</w:t>
            </w:r>
          </w:p>
        </w:tc>
      </w:tr>
      <w:tr w:rsidR="000B148D" w:rsidRPr="00966FF8" w14:paraId="508163EB" w14:textId="77777777">
        <w:trPr>
          <w:trHeight w:val="20"/>
        </w:trPr>
        <w:tc>
          <w:tcPr>
            <w:tcW w:w="2972" w:type="dxa"/>
            <w:shd w:val="clear" w:color="auto" w:fill="F2F2F2" w:themeFill="background1" w:themeFillShade="F2"/>
            <w:vAlign w:val="center"/>
          </w:tcPr>
          <w:p w14:paraId="269E8377" w14:textId="77777777" w:rsidR="000B148D" w:rsidRPr="00966FF8" w:rsidRDefault="000B148D" w:rsidP="00617689">
            <w:pPr>
              <w:pStyle w:val="Tablebody"/>
              <w:spacing w:before="0" w:after="0"/>
              <w:ind w:left="171"/>
            </w:pPr>
            <w:r w:rsidRPr="00966FF8">
              <w:t>Mean (standard deviation)</w:t>
            </w:r>
          </w:p>
        </w:tc>
        <w:tc>
          <w:tcPr>
            <w:tcW w:w="1485" w:type="dxa"/>
            <w:vAlign w:val="center"/>
          </w:tcPr>
          <w:p w14:paraId="2A2645C5" w14:textId="6B96369B" w:rsidR="000B148D" w:rsidRPr="00294FDC" w:rsidRDefault="00294FDC" w:rsidP="00617689">
            <w:pPr>
              <w:pStyle w:val="Tablebody"/>
              <w:spacing w:before="0" w:after="0"/>
              <w:jc w:val="center"/>
              <w:rPr>
                <w:color w:val="000000"/>
                <w:highlight w:val="black"/>
              </w:rPr>
            </w:pPr>
            <w:r w:rsidRPr="00294FDC">
              <w:rPr>
                <w:color w:val="000000"/>
                <w:highlight w:val="black"/>
              </w:rPr>
              <w:t>xxxxxxxxxxx</w:t>
            </w:r>
          </w:p>
        </w:tc>
        <w:tc>
          <w:tcPr>
            <w:tcW w:w="1486" w:type="dxa"/>
            <w:vAlign w:val="center"/>
          </w:tcPr>
          <w:p w14:paraId="194F72BB" w14:textId="7C3ECA24" w:rsidR="000B148D" w:rsidRPr="00294FDC" w:rsidRDefault="00294FDC" w:rsidP="00617689">
            <w:pPr>
              <w:pStyle w:val="Tablebody"/>
              <w:spacing w:before="0" w:after="0"/>
              <w:jc w:val="center"/>
              <w:rPr>
                <w:color w:val="000000"/>
                <w:highlight w:val="black"/>
              </w:rPr>
            </w:pPr>
            <w:r w:rsidRPr="00294FDC">
              <w:rPr>
                <w:color w:val="000000"/>
                <w:highlight w:val="black"/>
              </w:rPr>
              <w:t>xxxxxxxxxxx</w:t>
            </w:r>
          </w:p>
        </w:tc>
        <w:tc>
          <w:tcPr>
            <w:tcW w:w="1485" w:type="dxa"/>
            <w:vAlign w:val="center"/>
          </w:tcPr>
          <w:p w14:paraId="17F13372" w14:textId="47F400C5" w:rsidR="000B148D" w:rsidRPr="00294FDC" w:rsidRDefault="00294FDC" w:rsidP="00617689">
            <w:pPr>
              <w:pStyle w:val="Tablebody"/>
              <w:spacing w:before="0" w:after="0"/>
              <w:jc w:val="center"/>
              <w:rPr>
                <w:color w:val="000000"/>
                <w:highlight w:val="black"/>
              </w:rPr>
            </w:pPr>
            <w:r w:rsidRPr="00294FDC">
              <w:rPr>
                <w:color w:val="000000"/>
                <w:highlight w:val="black"/>
              </w:rPr>
              <w:t>xxxxxxxxxxx</w:t>
            </w:r>
          </w:p>
        </w:tc>
        <w:tc>
          <w:tcPr>
            <w:tcW w:w="1486" w:type="dxa"/>
            <w:vAlign w:val="center"/>
          </w:tcPr>
          <w:p w14:paraId="1B4F6925" w14:textId="64322158" w:rsidR="000B148D" w:rsidRPr="00294FDC" w:rsidRDefault="00294FDC" w:rsidP="00617689">
            <w:pPr>
              <w:pStyle w:val="Tablebody"/>
              <w:spacing w:before="0" w:after="0"/>
              <w:jc w:val="center"/>
              <w:rPr>
                <w:color w:val="000000"/>
                <w:highlight w:val="black"/>
              </w:rPr>
            </w:pPr>
            <w:r w:rsidRPr="00294FDC">
              <w:rPr>
                <w:color w:val="000000"/>
                <w:highlight w:val="black"/>
              </w:rPr>
              <w:t>xxxxxxxxxxx</w:t>
            </w:r>
          </w:p>
        </w:tc>
      </w:tr>
      <w:tr w:rsidR="000B148D" w:rsidRPr="00966FF8" w14:paraId="56BBBA32" w14:textId="77777777">
        <w:trPr>
          <w:trHeight w:val="20"/>
        </w:trPr>
        <w:tc>
          <w:tcPr>
            <w:tcW w:w="2972" w:type="dxa"/>
            <w:shd w:val="clear" w:color="auto" w:fill="F2F2F2" w:themeFill="background1" w:themeFillShade="F2"/>
            <w:vAlign w:val="center"/>
          </w:tcPr>
          <w:p w14:paraId="0EE3000C" w14:textId="77777777" w:rsidR="000B148D" w:rsidRPr="00966FF8" w:rsidRDefault="000B148D" w:rsidP="00617689">
            <w:pPr>
              <w:pStyle w:val="Tablebody"/>
              <w:spacing w:before="0" w:after="0"/>
              <w:ind w:left="171"/>
            </w:pPr>
            <w:r w:rsidRPr="00966FF8">
              <w:t>Median (range)</w:t>
            </w:r>
          </w:p>
        </w:tc>
        <w:tc>
          <w:tcPr>
            <w:tcW w:w="1485" w:type="dxa"/>
            <w:vAlign w:val="center"/>
          </w:tcPr>
          <w:p w14:paraId="35857F63" w14:textId="64B259E1" w:rsidR="000B148D" w:rsidRPr="00294FDC" w:rsidRDefault="00294FDC" w:rsidP="00617689">
            <w:pPr>
              <w:pStyle w:val="Tablebody"/>
              <w:spacing w:before="0" w:after="0"/>
              <w:jc w:val="center"/>
              <w:rPr>
                <w:color w:val="000000"/>
                <w:highlight w:val="black"/>
              </w:rPr>
            </w:pPr>
            <w:r w:rsidRPr="00294FDC">
              <w:rPr>
                <w:color w:val="000000"/>
                <w:highlight w:val="black"/>
              </w:rPr>
              <w:t>xxxxxxxxxxxxxx</w:t>
            </w:r>
          </w:p>
        </w:tc>
        <w:tc>
          <w:tcPr>
            <w:tcW w:w="1486" w:type="dxa"/>
            <w:vAlign w:val="center"/>
          </w:tcPr>
          <w:p w14:paraId="5D74C730" w14:textId="0BBD1A7D" w:rsidR="000B148D" w:rsidRPr="00294FDC" w:rsidRDefault="00294FDC" w:rsidP="00617689">
            <w:pPr>
              <w:pStyle w:val="Tablebody"/>
              <w:spacing w:before="0" w:after="0"/>
              <w:jc w:val="center"/>
              <w:rPr>
                <w:color w:val="000000"/>
                <w:highlight w:val="black"/>
              </w:rPr>
            </w:pPr>
            <w:r w:rsidRPr="00294FDC">
              <w:rPr>
                <w:color w:val="000000"/>
                <w:highlight w:val="black"/>
              </w:rPr>
              <w:t>xxxxxxxxxxxxxx</w:t>
            </w:r>
          </w:p>
        </w:tc>
        <w:tc>
          <w:tcPr>
            <w:tcW w:w="1485" w:type="dxa"/>
            <w:vAlign w:val="center"/>
          </w:tcPr>
          <w:p w14:paraId="640A6E8D" w14:textId="57AACC61" w:rsidR="000B148D" w:rsidRPr="00294FDC" w:rsidRDefault="00294FDC" w:rsidP="00617689">
            <w:pPr>
              <w:pStyle w:val="Tablebody"/>
              <w:spacing w:before="0" w:after="0"/>
              <w:jc w:val="center"/>
              <w:rPr>
                <w:color w:val="000000"/>
                <w:highlight w:val="black"/>
              </w:rPr>
            </w:pPr>
            <w:r w:rsidRPr="00294FDC">
              <w:rPr>
                <w:color w:val="000000"/>
                <w:highlight w:val="black"/>
              </w:rPr>
              <w:t>xxxxxxxxxxxxxx</w:t>
            </w:r>
          </w:p>
        </w:tc>
        <w:tc>
          <w:tcPr>
            <w:tcW w:w="1486" w:type="dxa"/>
            <w:vAlign w:val="center"/>
          </w:tcPr>
          <w:p w14:paraId="7F40098F" w14:textId="291CD4E7" w:rsidR="000B148D" w:rsidRPr="00294FDC" w:rsidRDefault="00294FDC" w:rsidP="00617689">
            <w:pPr>
              <w:pStyle w:val="Tablebody"/>
              <w:spacing w:before="0" w:after="0"/>
              <w:jc w:val="center"/>
              <w:rPr>
                <w:color w:val="000000"/>
                <w:highlight w:val="black"/>
              </w:rPr>
            </w:pPr>
            <w:r w:rsidRPr="00294FDC">
              <w:rPr>
                <w:color w:val="000000"/>
                <w:highlight w:val="black"/>
              </w:rPr>
              <w:t>xxxxxxxxxxxxxx</w:t>
            </w:r>
          </w:p>
        </w:tc>
      </w:tr>
      <w:tr w:rsidR="000B148D" w:rsidRPr="00966FF8" w14:paraId="6D6EC316" w14:textId="77777777">
        <w:trPr>
          <w:trHeight w:val="20"/>
        </w:trPr>
        <w:tc>
          <w:tcPr>
            <w:tcW w:w="8914" w:type="dxa"/>
            <w:gridSpan w:val="5"/>
            <w:shd w:val="clear" w:color="auto" w:fill="F2F2F2" w:themeFill="background1" w:themeFillShade="F2"/>
            <w:vAlign w:val="center"/>
          </w:tcPr>
          <w:p w14:paraId="7AE2E4C1" w14:textId="77777777" w:rsidR="000B148D" w:rsidRPr="00966FF8" w:rsidRDefault="000B148D" w:rsidP="00617689">
            <w:pPr>
              <w:pStyle w:val="Tablebody"/>
              <w:spacing w:before="0" w:after="0"/>
            </w:pPr>
            <w:r w:rsidRPr="00966FF8">
              <w:t>Smoking status, n (%)</w:t>
            </w:r>
          </w:p>
        </w:tc>
      </w:tr>
      <w:tr w:rsidR="000B148D" w:rsidRPr="00966FF8" w14:paraId="1E9B3D3E" w14:textId="77777777">
        <w:trPr>
          <w:trHeight w:val="20"/>
        </w:trPr>
        <w:tc>
          <w:tcPr>
            <w:tcW w:w="2972" w:type="dxa"/>
            <w:shd w:val="clear" w:color="auto" w:fill="F2F2F2" w:themeFill="background1" w:themeFillShade="F2"/>
            <w:vAlign w:val="center"/>
          </w:tcPr>
          <w:p w14:paraId="4D3F1050" w14:textId="77777777" w:rsidR="000B148D" w:rsidRPr="00966FF8" w:rsidRDefault="000B148D" w:rsidP="00617689">
            <w:pPr>
              <w:pStyle w:val="Tablebody"/>
              <w:keepNext/>
              <w:spacing w:before="0" w:after="0"/>
            </w:pPr>
            <w:r w:rsidRPr="00966FF8">
              <w:t xml:space="preserve">   Never</w:t>
            </w:r>
          </w:p>
        </w:tc>
        <w:tc>
          <w:tcPr>
            <w:tcW w:w="1485" w:type="dxa"/>
            <w:vAlign w:val="center"/>
          </w:tcPr>
          <w:p w14:paraId="0761A781" w14:textId="4B6728B3" w:rsidR="000B148D" w:rsidRPr="00294FDC" w:rsidRDefault="00294FDC" w:rsidP="00617689">
            <w:pPr>
              <w:pStyle w:val="Tablebody"/>
              <w:spacing w:before="0" w:after="0"/>
              <w:jc w:val="center"/>
              <w:rPr>
                <w:color w:val="000000"/>
                <w:highlight w:val="black"/>
              </w:rPr>
            </w:pPr>
            <w:r w:rsidRPr="00294FDC">
              <w:rPr>
                <w:color w:val="000000"/>
                <w:highlight w:val="black"/>
              </w:rPr>
              <w:t>xxxxxxxxxx</w:t>
            </w:r>
          </w:p>
        </w:tc>
        <w:tc>
          <w:tcPr>
            <w:tcW w:w="1486" w:type="dxa"/>
            <w:vAlign w:val="center"/>
          </w:tcPr>
          <w:p w14:paraId="4863BC8E" w14:textId="13075EE8" w:rsidR="000B148D" w:rsidRPr="00294FDC" w:rsidRDefault="00294FDC" w:rsidP="00617689">
            <w:pPr>
              <w:pStyle w:val="Tablebody"/>
              <w:spacing w:before="0" w:after="0"/>
              <w:jc w:val="center"/>
              <w:rPr>
                <w:color w:val="000000"/>
                <w:highlight w:val="black"/>
              </w:rPr>
            </w:pPr>
            <w:r w:rsidRPr="00294FDC">
              <w:rPr>
                <w:color w:val="000000"/>
                <w:highlight w:val="black"/>
              </w:rPr>
              <w:t>xxxxxxxxxx</w:t>
            </w:r>
          </w:p>
        </w:tc>
        <w:tc>
          <w:tcPr>
            <w:tcW w:w="1485" w:type="dxa"/>
            <w:vAlign w:val="center"/>
          </w:tcPr>
          <w:p w14:paraId="3545725F" w14:textId="0B7D1EED" w:rsidR="000B148D" w:rsidRPr="00294FDC" w:rsidRDefault="00294FDC" w:rsidP="00617689">
            <w:pPr>
              <w:pStyle w:val="Tablebody"/>
              <w:spacing w:before="0" w:after="0"/>
              <w:jc w:val="center"/>
              <w:rPr>
                <w:color w:val="000000"/>
                <w:highlight w:val="black"/>
              </w:rPr>
            </w:pPr>
            <w:r w:rsidRPr="00294FDC">
              <w:rPr>
                <w:color w:val="000000"/>
                <w:highlight w:val="black"/>
              </w:rPr>
              <w:t>xxxxxxxxxx</w:t>
            </w:r>
          </w:p>
        </w:tc>
        <w:tc>
          <w:tcPr>
            <w:tcW w:w="1486" w:type="dxa"/>
            <w:vAlign w:val="center"/>
          </w:tcPr>
          <w:p w14:paraId="444177BC" w14:textId="6B3056B1" w:rsidR="000B148D" w:rsidRPr="00294FDC" w:rsidRDefault="00294FDC" w:rsidP="00617689">
            <w:pPr>
              <w:pStyle w:val="Tablebody"/>
              <w:spacing w:before="0" w:after="0"/>
              <w:jc w:val="center"/>
              <w:rPr>
                <w:color w:val="000000"/>
                <w:highlight w:val="black"/>
              </w:rPr>
            </w:pPr>
            <w:r w:rsidRPr="00294FDC">
              <w:rPr>
                <w:color w:val="000000"/>
                <w:highlight w:val="black"/>
              </w:rPr>
              <w:t>xxxxxxxxxx</w:t>
            </w:r>
          </w:p>
        </w:tc>
      </w:tr>
      <w:tr w:rsidR="000B148D" w:rsidRPr="00966FF8" w14:paraId="08E0CCA3" w14:textId="77777777">
        <w:trPr>
          <w:trHeight w:val="20"/>
        </w:trPr>
        <w:tc>
          <w:tcPr>
            <w:tcW w:w="2972" w:type="dxa"/>
            <w:shd w:val="clear" w:color="auto" w:fill="F2F2F2" w:themeFill="background1" w:themeFillShade="F2"/>
            <w:vAlign w:val="center"/>
          </w:tcPr>
          <w:p w14:paraId="4489341D" w14:textId="77777777" w:rsidR="000B148D" w:rsidRPr="00966FF8" w:rsidRDefault="000B148D" w:rsidP="00617689">
            <w:pPr>
              <w:pStyle w:val="Tablebody"/>
              <w:spacing w:before="0" w:after="0"/>
              <w:ind w:left="171"/>
            </w:pPr>
            <w:r w:rsidRPr="00966FF8">
              <w:t>Former</w:t>
            </w:r>
          </w:p>
        </w:tc>
        <w:tc>
          <w:tcPr>
            <w:tcW w:w="1485" w:type="dxa"/>
            <w:vAlign w:val="center"/>
          </w:tcPr>
          <w:p w14:paraId="5EA1060A" w14:textId="56253963" w:rsidR="000B148D" w:rsidRPr="00294FDC" w:rsidRDefault="00294FDC" w:rsidP="00617689">
            <w:pPr>
              <w:pStyle w:val="Tablebody"/>
              <w:spacing w:before="0" w:after="0"/>
              <w:jc w:val="center"/>
              <w:rPr>
                <w:color w:val="000000"/>
                <w:highlight w:val="black"/>
              </w:rPr>
            </w:pPr>
            <w:r w:rsidRPr="00294FDC">
              <w:rPr>
                <w:color w:val="000000"/>
                <w:highlight w:val="black"/>
              </w:rPr>
              <w:t>xxxxxxxxx</w:t>
            </w:r>
          </w:p>
        </w:tc>
        <w:tc>
          <w:tcPr>
            <w:tcW w:w="1486" w:type="dxa"/>
            <w:vAlign w:val="center"/>
          </w:tcPr>
          <w:p w14:paraId="62718EBD" w14:textId="39BEB3C1" w:rsidR="000B148D" w:rsidRPr="00294FDC" w:rsidRDefault="00294FDC" w:rsidP="00617689">
            <w:pPr>
              <w:pStyle w:val="Tablebody"/>
              <w:spacing w:before="0" w:after="0"/>
              <w:jc w:val="center"/>
              <w:rPr>
                <w:color w:val="000000"/>
                <w:highlight w:val="black"/>
              </w:rPr>
            </w:pPr>
            <w:r w:rsidRPr="00294FDC">
              <w:rPr>
                <w:color w:val="000000"/>
                <w:highlight w:val="black"/>
              </w:rPr>
              <w:t>xxxxxxxxx</w:t>
            </w:r>
          </w:p>
        </w:tc>
        <w:tc>
          <w:tcPr>
            <w:tcW w:w="1485" w:type="dxa"/>
            <w:vAlign w:val="center"/>
          </w:tcPr>
          <w:p w14:paraId="397DD216" w14:textId="57921FF0" w:rsidR="000B148D" w:rsidRPr="00294FDC" w:rsidRDefault="00294FDC" w:rsidP="00617689">
            <w:pPr>
              <w:pStyle w:val="Tablebody"/>
              <w:spacing w:before="0" w:after="0"/>
              <w:jc w:val="center"/>
              <w:rPr>
                <w:color w:val="000000"/>
                <w:highlight w:val="black"/>
              </w:rPr>
            </w:pPr>
            <w:r w:rsidRPr="00294FDC">
              <w:rPr>
                <w:color w:val="000000"/>
                <w:highlight w:val="black"/>
              </w:rPr>
              <w:t>xxxxxxxxx</w:t>
            </w:r>
          </w:p>
        </w:tc>
        <w:tc>
          <w:tcPr>
            <w:tcW w:w="1486" w:type="dxa"/>
            <w:vAlign w:val="center"/>
          </w:tcPr>
          <w:p w14:paraId="2AF15F46" w14:textId="7DF467A5" w:rsidR="000B148D" w:rsidRPr="00294FDC" w:rsidRDefault="00294FDC" w:rsidP="00617689">
            <w:pPr>
              <w:pStyle w:val="Tablebody"/>
              <w:spacing w:before="0" w:after="0"/>
              <w:jc w:val="center"/>
              <w:rPr>
                <w:color w:val="000000"/>
                <w:highlight w:val="black"/>
              </w:rPr>
            </w:pPr>
            <w:r w:rsidRPr="00294FDC">
              <w:rPr>
                <w:color w:val="000000"/>
                <w:highlight w:val="black"/>
              </w:rPr>
              <w:t>xxxxxxxxx</w:t>
            </w:r>
          </w:p>
        </w:tc>
      </w:tr>
      <w:tr w:rsidR="000B148D" w:rsidRPr="00966FF8" w14:paraId="1C3BACBF" w14:textId="77777777">
        <w:trPr>
          <w:trHeight w:val="20"/>
        </w:trPr>
        <w:tc>
          <w:tcPr>
            <w:tcW w:w="2972" w:type="dxa"/>
            <w:shd w:val="clear" w:color="auto" w:fill="F2F2F2" w:themeFill="background1" w:themeFillShade="F2"/>
            <w:vAlign w:val="center"/>
          </w:tcPr>
          <w:p w14:paraId="33173247" w14:textId="77777777" w:rsidR="000B148D" w:rsidRPr="00966FF8" w:rsidRDefault="000B148D" w:rsidP="00617689">
            <w:pPr>
              <w:pStyle w:val="Tablebody"/>
              <w:spacing w:before="0" w:after="0"/>
              <w:ind w:left="171"/>
            </w:pPr>
            <w:r w:rsidRPr="00966FF8">
              <w:t>Current</w:t>
            </w:r>
          </w:p>
        </w:tc>
        <w:tc>
          <w:tcPr>
            <w:tcW w:w="1485" w:type="dxa"/>
            <w:vAlign w:val="center"/>
          </w:tcPr>
          <w:p w14:paraId="1BF095F4" w14:textId="3C72EF4C" w:rsidR="000B148D" w:rsidRPr="00294FDC" w:rsidRDefault="00294FDC" w:rsidP="00617689">
            <w:pPr>
              <w:pStyle w:val="Tablebody"/>
              <w:spacing w:before="0" w:after="0"/>
              <w:jc w:val="center"/>
              <w:rPr>
                <w:color w:val="000000"/>
                <w:highlight w:val="black"/>
              </w:rPr>
            </w:pPr>
            <w:r w:rsidRPr="00294FDC">
              <w:rPr>
                <w:color w:val="000000"/>
                <w:highlight w:val="black"/>
              </w:rPr>
              <w:t>xxxxxxxx</w:t>
            </w:r>
          </w:p>
        </w:tc>
        <w:tc>
          <w:tcPr>
            <w:tcW w:w="1486" w:type="dxa"/>
            <w:vAlign w:val="center"/>
          </w:tcPr>
          <w:p w14:paraId="77B5620B" w14:textId="2BC5134F" w:rsidR="000B148D" w:rsidRPr="00294FDC" w:rsidRDefault="00294FDC" w:rsidP="00617689">
            <w:pPr>
              <w:pStyle w:val="Tablebody"/>
              <w:spacing w:before="0" w:after="0"/>
              <w:jc w:val="center"/>
              <w:rPr>
                <w:color w:val="000000"/>
                <w:highlight w:val="black"/>
              </w:rPr>
            </w:pPr>
            <w:r w:rsidRPr="00294FDC">
              <w:rPr>
                <w:color w:val="000000"/>
                <w:highlight w:val="black"/>
              </w:rPr>
              <w:t>xxxxxxx</w:t>
            </w:r>
          </w:p>
        </w:tc>
        <w:tc>
          <w:tcPr>
            <w:tcW w:w="1485" w:type="dxa"/>
            <w:vAlign w:val="center"/>
          </w:tcPr>
          <w:p w14:paraId="047F26E0" w14:textId="220E7395" w:rsidR="000B148D" w:rsidRPr="00294FDC" w:rsidRDefault="00294FDC" w:rsidP="00617689">
            <w:pPr>
              <w:pStyle w:val="Tablebody"/>
              <w:spacing w:before="0" w:after="0"/>
              <w:jc w:val="center"/>
              <w:rPr>
                <w:color w:val="000000"/>
                <w:highlight w:val="black"/>
              </w:rPr>
            </w:pPr>
            <w:r w:rsidRPr="00294FDC">
              <w:rPr>
                <w:color w:val="000000"/>
                <w:highlight w:val="black"/>
              </w:rPr>
              <w:t>xxxxxxxx</w:t>
            </w:r>
          </w:p>
        </w:tc>
        <w:tc>
          <w:tcPr>
            <w:tcW w:w="1486" w:type="dxa"/>
            <w:vAlign w:val="center"/>
          </w:tcPr>
          <w:p w14:paraId="1D0321FD" w14:textId="5FFE7848" w:rsidR="000B148D" w:rsidRPr="00294FDC" w:rsidRDefault="00294FDC" w:rsidP="00617689">
            <w:pPr>
              <w:pStyle w:val="Tablebody"/>
              <w:spacing w:before="0" w:after="0"/>
              <w:jc w:val="center"/>
              <w:rPr>
                <w:color w:val="000000"/>
                <w:highlight w:val="black"/>
              </w:rPr>
            </w:pPr>
            <w:r w:rsidRPr="00294FDC">
              <w:rPr>
                <w:color w:val="000000"/>
                <w:highlight w:val="black"/>
              </w:rPr>
              <w:t>xxxxxxx</w:t>
            </w:r>
          </w:p>
        </w:tc>
      </w:tr>
      <w:tr w:rsidR="000B148D" w:rsidRPr="00966FF8" w14:paraId="3F6071C2" w14:textId="77777777">
        <w:trPr>
          <w:trHeight w:val="20"/>
        </w:trPr>
        <w:tc>
          <w:tcPr>
            <w:tcW w:w="2972" w:type="dxa"/>
            <w:shd w:val="clear" w:color="auto" w:fill="F2F2F2" w:themeFill="background1" w:themeFillShade="F2"/>
            <w:vAlign w:val="center"/>
          </w:tcPr>
          <w:p w14:paraId="385ED9F4" w14:textId="77777777" w:rsidR="000B148D" w:rsidRPr="00966FF8" w:rsidRDefault="000B148D" w:rsidP="00617689">
            <w:pPr>
              <w:pStyle w:val="Tablebody"/>
              <w:spacing w:before="0" w:after="0"/>
              <w:ind w:left="171"/>
            </w:pPr>
            <w:r w:rsidRPr="00966FF8">
              <w:t>Missing</w:t>
            </w:r>
          </w:p>
        </w:tc>
        <w:tc>
          <w:tcPr>
            <w:tcW w:w="1485" w:type="dxa"/>
            <w:vAlign w:val="center"/>
          </w:tcPr>
          <w:p w14:paraId="29DC32D2" w14:textId="39FADBD6" w:rsidR="000B148D" w:rsidRPr="00294FDC" w:rsidRDefault="00294FDC" w:rsidP="00617689">
            <w:pPr>
              <w:pStyle w:val="Tablebody"/>
              <w:spacing w:before="0" w:after="0"/>
              <w:jc w:val="center"/>
              <w:rPr>
                <w:color w:val="000000"/>
                <w:highlight w:val="black"/>
              </w:rPr>
            </w:pPr>
            <w:r w:rsidRPr="00294FDC">
              <w:rPr>
                <w:color w:val="000000"/>
                <w:highlight w:val="black"/>
              </w:rPr>
              <w:t>xxxxxxx</w:t>
            </w:r>
          </w:p>
        </w:tc>
        <w:tc>
          <w:tcPr>
            <w:tcW w:w="1486" w:type="dxa"/>
            <w:vAlign w:val="center"/>
          </w:tcPr>
          <w:p w14:paraId="7F965935" w14:textId="4288A87C" w:rsidR="000B148D" w:rsidRPr="00294FDC" w:rsidRDefault="00294FDC" w:rsidP="00617689">
            <w:pPr>
              <w:pStyle w:val="Tablebody"/>
              <w:spacing w:before="0" w:after="0"/>
              <w:jc w:val="center"/>
              <w:rPr>
                <w:color w:val="000000"/>
                <w:highlight w:val="black"/>
              </w:rPr>
            </w:pPr>
            <w:r w:rsidRPr="00294FDC">
              <w:rPr>
                <w:color w:val="000000"/>
                <w:highlight w:val="black"/>
              </w:rPr>
              <w:t>x</w:t>
            </w:r>
          </w:p>
        </w:tc>
        <w:tc>
          <w:tcPr>
            <w:tcW w:w="1485" w:type="dxa"/>
            <w:vAlign w:val="center"/>
          </w:tcPr>
          <w:p w14:paraId="45E94BED" w14:textId="185E9E5B" w:rsidR="000B148D" w:rsidRPr="00294FDC" w:rsidRDefault="00294FDC" w:rsidP="00617689">
            <w:pPr>
              <w:pStyle w:val="Tablebody"/>
              <w:spacing w:before="0" w:after="0"/>
              <w:jc w:val="center"/>
              <w:rPr>
                <w:color w:val="000000"/>
                <w:highlight w:val="black"/>
              </w:rPr>
            </w:pPr>
            <w:r w:rsidRPr="00294FDC">
              <w:rPr>
                <w:color w:val="000000"/>
                <w:highlight w:val="black"/>
              </w:rPr>
              <w:t>xxxxxxx</w:t>
            </w:r>
          </w:p>
        </w:tc>
        <w:tc>
          <w:tcPr>
            <w:tcW w:w="1486" w:type="dxa"/>
            <w:vAlign w:val="center"/>
          </w:tcPr>
          <w:p w14:paraId="22129EBD" w14:textId="3E212604" w:rsidR="000B148D" w:rsidRPr="00294FDC" w:rsidRDefault="00294FDC" w:rsidP="00617689">
            <w:pPr>
              <w:pStyle w:val="Tablebody"/>
              <w:spacing w:before="0" w:after="0"/>
              <w:jc w:val="center"/>
              <w:rPr>
                <w:color w:val="000000"/>
                <w:highlight w:val="black"/>
              </w:rPr>
            </w:pPr>
            <w:r w:rsidRPr="00294FDC">
              <w:rPr>
                <w:color w:val="000000"/>
                <w:highlight w:val="black"/>
              </w:rPr>
              <w:t>x</w:t>
            </w:r>
          </w:p>
        </w:tc>
      </w:tr>
      <w:tr w:rsidR="000B148D" w:rsidRPr="00966FF8" w14:paraId="741D5127" w14:textId="77777777">
        <w:trPr>
          <w:trHeight w:val="20"/>
        </w:trPr>
        <w:tc>
          <w:tcPr>
            <w:tcW w:w="8914" w:type="dxa"/>
            <w:gridSpan w:val="5"/>
            <w:shd w:val="clear" w:color="auto" w:fill="F2F2F2" w:themeFill="background1" w:themeFillShade="F2"/>
            <w:vAlign w:val="center"/>
          </w:tcPr>
          <w:p w14:paraId="71F8E2AF" w14:textId="77777777" w:rsidR="000B148D" w:rsidRPr="00966FF8" w:rsidRDefault="000B148D" w:rsidP="00617689">
            <w:pPr>
              <w:pStyle w:val="Tablebody"/>
              <w:spacing w:before="0" w:after="0"/>
              <w:rPr>
                <w:highlight w:val="yellow"/>
                <w:u w:val="single"/>
              </w:rPr>
            </w:pPr>
            <w:r>
              <w:lastRenderedPageBreak/>
              <w:t xml:space="preserve">Stratification factor: </w:t>
            </w:r>
            <w:r w:rsidRPr="00966FF8">
              <w:t>HER2 IHC status</w:t>
            </w:r>
            <w:r>
              <w:t xml:space="preserve"> per IXRS</w:t>
            </w:r>
            <w:r w:rsidRPr="00966FF8">
              <w:t>, n (%)</w:t>
            </w:r>
          </w:p>
        </w:tc>
      </w:tr>
      <w:tr w:rsidR="000B148D" w:rsidRPr="00966FF8" w14:paraId="007F2C4C" w14:textId="77777777">
        <w:trPr>
          <w:trHeight w:val="20"/>
        </w:trPr>
        <w:tc>
          <w:tcPr>
            <w:tcW w:w="2972" w:type="dxa"/>
            <w:shd w:val="clear" w:color="auto" w:fill="F2F2F2" w:themeFill="background1" w:themeFillShade="F2"/>
            <w:vAlign w:val="center"/>
          </w:tcPr>
          <w:p w14:paraId="23BF2F7E" w14:textId="77777777" w:rsidR="000B148D" w:rsidRPr="00966FF8" w:rsidRDefault="000B148D" w:rsidP="00617689">
            <w:pPr>
              <w:pStyle w:val="Tablebody"/>
              <w:spacing w:before="0" w:after="0"/>
              <w:ind w:left="171"/>
            </w:pPr>
            <w:r w:rsidRPr="00966FF8">
              <w:t>1+</w:t>
            </w:r>
          </w:p>
        </w:tc>
        <w:tc>
          <w:tcPr>
            <w:tcW w:w="1485" w:type="dxa"/>
            <w:vAlign w:val="center"/>
          </w:tcPr>
          <w:p w14:paraId="788DC505" w14:textId="77777777" w:rsidR="000B148D" w:rsidRPr="00966FF8" w:rsidRDefault="000B148D" w:rsidP="00617689">
            <w:pPr>
              <w:pStyle w:val="Tablebody"/>
              <w:spacing w:before="0" w:after="0"/>
              <w:jc w:val="center"/>
            </w:pPr>
            <w:r w:rsidRPr="00966FF8">
              <w:t>193 (58.3)</w:t>
            </w:r>
          </w:p>
        </w:tc>
        <w:tc>
          <w:tcPr>
            <w:tcW w:w="1486" w:type="dxa"/>
            <w:vAlign w:val="center"/>
          </w:tcPr>
          <w:p w14:paraId="71CC3F42" w14:textId="77777777" w:rsidR="000B148D" w:rsidRPr="00966FF8" w:rsidRDefault="000B148D" w:rsidP="00617689">
            <w:pPr>
              <w:pStyle w:val="Tablebody"/>
              <w:spacing w:before="0" w:after="0"/>
              <w:jc w:val="center"/>
            </w:pPr>
            <w:r w:rsidRPr="00966FF8">
              <w:t>95 (58.3)</w:t>
            </w:r>
          </w:p>
        </w:tc>
        <w:tc>
          <w:tcPr>
            <w:tcW w:w="1485" w:type="dxa"/>
            <w:vAlign w:val="center"/>
          </w:tcPr>
          <w:p w14:paraId="43A3BD4A" w14:textId="77777777" w:rsidR="000B148D" w:rsidRPr="00966FF8" w:rsidRDefault="000B148D" w:rsidP="00617689">
            <w:pPr>
              <w:pStyle w:val="Tablebody"/>
              <w:spacing w:before="0" w:after="0"/>
              <w:jc w:val="center"/>
            </w:pPr>
            <w:r w:rsidRPr="00966FF8">
              <w:t>215 (57.6)</w:t>
            </w:r>
          </w:p>
        </w:tc>
        <w:tc>
          <w:tcPr>
            <w:tcW w:w="1486" w:type="dxa"/>
            <w:vAlign w:val="center"/>
          </w:tcPr>
          <w:p w14:paraId="7BA19287" w14:textId="77777777" w:rsidR="000B148D" w:rsidRPr="00966FF8" w:rsidRDefault="000B148D" w:rsidP="00617689">
            <w:pPr>
              <w:pStyle w:val="Tablebody"/>
              <w:spacing w:before="0" w:after="0"/>
              <w:jc w:val="center"/>
            </w:pPr>
            <w:r w:rsidRPr="00966FF8">
              <w:t>106 (57.6)</w:t>
            </w:r>
          </w:p>
        </w:tc>
      </w:tr>
      <w:tr w:rsidR="000B148D" w:rsidRPr="00966FF8" w14:paraId="7F4E34F6" w14:textId="77777777">
        <w:trPr>
          <w:trHeight w:val="20"/>
        </w:trPr>
        <w:tc>
          <w:tcPr>
            <w:tcW w:w="2972" w:type="dxa"/>
            <w:shd w:val="clear" w:color="auto" w:fill="F2F2F2" w:themeFill="background1" w:themeFillShade="F2"/>
            <w:vAlign w:val="center"/>
          </w:tcPr>
          <w:p w14:paraId="29D31EC7" w14:textId="2035384D" w:rsidR="000B148D" w:rsidRPr="00966FF8" w:rsidRDefault="000B148D" w:rsidP="00617689">
            <w:pPr>
              <w:pStyle w:val="Tablebody"/>
              <w:spacing w:before="0" w:after="0"/>
              <w:ind w:left="171"/>
            </w:pPr>
            <w:r w:rsidRPr="00966FF8">
              <w:t>2+/ISH</w:t>
            </w:r>
            <w:r w:rsidR="00E555C7">
              <w:t>-</w:t>
            </w:r>
            <w:r w:rsidRPr="00966FF8">
              <w:t>negative</w:t>
            </w:r>
          </w:p>
        </w:tc>
        <w:tc>
          <w:tcPr>
            <w:tcW w:w="1485" w:type="dxa"/>
            <w:vAlign w:val="center"/>
          </w:tcPr>
          <w:p w14:paraId="2350707E" w14:textId="77777777" w:rsidR="000B148D" w:rsidRPr="00966FF8" w:rsidRDefault="000B148D" w:rsidP="00617689">
            <w:pPr>
              <w:pStyle w:val="Tablebody"/>
              <w:spacing w:before="0" w:after="0"/>
              <w:jc w:val="center"/>
            </w:pPr>
            <w:r w:rsidRPr="00966FF8">
              <w:t>138 (41.7)</w:t>
            </w:r>
          </w:p>
        </w:tc>
        <w:tc>
          <w:tcPr>
            <w:tcW w:w="1486" w:type="dxa"/>
            <w:vAlign w:val="center"/>
          </w:tcPr>
          <w:p w14:paraId="5FF85997" w14:textId="77777777" w:rsidR="000B148D" w:rsidRPr="00966FF8" w:rsidRDefault="000B148D" w:rsidP="00617689">
            <w:pPr>
              <w:pStyle w:val="Tablebody"/>
              <w:spacing w:before="0" w:after="0"/>
              <w:jc w:val="center"/>
            </w:pPr>
            <w:r w:rsidRPr="00966FF8">
              <w:t>68 (42.4)</w:t>
            </w:r>
          </w:p>
        </w:tc>
        <w:tc>
          <w:tcPr>
            <w:tcW w:w="1485" w:type="dxa"/>
            <w:vAlign w:val="center"/>
          </w:tcPr>
          <w:p w14:paraId="5591E6CF" w14:textId="77777777" w:rsidR="000B148D" w:rsidRPr="00966FF8" w:rsidRDefault="000B148D" w:rsidP="00617689">
            <w:pPr>
              <w:pStyle w:val="Tablebody"/>
              <w:spacing w:before="0" w:after="0"/>
              <w:jc w:val="center"/>
            </w:pPr>
            <w:r w:rsidRPr="00966FF8">
              <w:t>158 (42.4)</w:t>
            </w:r>
          </w:p>
        </w:tc>
        <w:tc>
          <w:tcPr>
            <w:tcW w:w="1486" w:type="dxa"/>
            <w:vAlign w:val="center"/>
          </w:tcPr>
          <w:p w14:paraId="59507966" w14:textId="77777777" w:rsidR="000B148D" w:rsidRPr="00966FF8" w:rsidRDefault="000B148D" w:rsidP="00617689">
            <w:pPr>
              <w:pStyle w:val="Tablebody"/>
              <w:spacing w:before="0" w:after="0"/>
              <w:jc w:val="center"/>
            </w:pPr>
            <w:r w:rsidRPr="00966FF8">
              <w:t>78 (42.4)</w:t>
            </w:r>
          </w:p>
        </w:tc>
      </w:tr>
      <w:tr w:rsidR="000B148D" w:rsidRPr="00966FF8" w14:paraId="0FD7A87B" w14:textId="77777777">
        <w:trPr>
          <w:trHeight w:val="20"/>
        </w:trPr>
        <w:tc>
          <w:tcPr>
            <w:tcW w:w="2972" w:type="dxa"/>
            <w:shd w:val="clear" w:color="auto" w:fill="F2F2F2" w:themeFill="background1" w:themeFillShade="F2"/>
            <w:vAlign w:val="center"/>
          </w:tcPr>
          <w:p w14:paraId="7652CBAF" w14:textId="77777777" w:rsidR="000B148D" w:rsidRPr="00966FF8" w:rsidRDefault="000B148D" w:rsidP="00617689">
            <w:pPr>
              <w:pStyle w:val="Tablebody"/>
              <w:spacing w:before="0" w:after="0"/>
            </w:pPr>
            <w:r w:rsidRPr="00966FF8">
              <w:t>ECOG PS, n (%)</w:t>
            </w:r>
          </w:p>
        </w:tc>
        <w:tc>
          <w:tcPr>
            <w:tcW w:w="1485" w:type="dxa"/>
            <w:vAlign w:val="center"/>
          </w:tcPr>
          <w:p w14:paraId="615CDE66" w14:textId="77777777" w:rsidR="000B148D" w:rsidRPr="00966FF8" w:rsidRDefault="000B148D" w:rsidP="00617689">
            <w:pPr>
              <w:pStyle w:val="Tablebody"/>
              <w:spacing w:before="0" w:after="0"/>
              <w:jc w:val="center"/>
            </w:pPr>
          </w:p>
        </w:tc>
        <w:tc>
          <w:tcPr>
            <w:tcW w:w="1486" w:type="dxa"/>
            <w:vAlign w:val="center"/>
          </w:tcPr>
          <w:p w14:paraId="42CCE990" w14:textId="77777777" w:rsidR="000B148D" w:rsidRPr="00966FF8" w:rsidRDefault="000B148D" w:rsidP="00617689">
            <w:pPr>
              <w:pStyle w:val="Tablebody"/>
              <w:spacing w:before="0" w:after="0"/>
              <w:jc w:val="center"/>
            </w:pPr>
          </w:p>
        </w:tc>
        <w:tc>
          <w:tcPr>
            <w:tcW w:w="1485" w:type="dxa"/>
            <w:vAlign w:val="center"/>
          </w:tcPr>
          <w:p w14:paraId="4A29127A" w14:textId="77777777" w:rsidR="000B148D" w:rsidRPr="00966FF8" w:rsidRDefault="000B148D" w:rsidP="00617689">
            <w:pPr>
              <w:pStyle w:val="Tablebody"/>
              <w:spacing w:before="0" w:after="0"/>
              <w:jc w:val="center"/>
            </w:pPr>
          </w:p>
        </w:tc>
        <w:tc>
          <w:tcPr>
            <w:tcW w:w="1486" w:type="dxa"/>
            <w:vAlign w:val="center"/>
          </w:tcPr>
          <w:p w14:paraId="24B6B201" w14:textId="77777777" w:rsidR="000B148D" w:rsidRPr="00966FF8" w:rsidRDefault="000B148D" w:rsidP="00617689">
            <w:pPr>
              <w:pStyle w:val="Tablebody"/>
              <w:spacing w:before="0" w:after="0"/>
              <w:jc w:val="center"/>
            </w:pPr>
          </w:p>
        </w:tc>
      </w:tr>
      <w:tr w:rsidR="000B148D" w:rsidRPr="00966FF8" w14:paraId="4053A3D9" w14:textId="77777777">
        <w:trPr>
          <w:trHeight w:val="20"/>
        </w:trPr>
        <w:tc>
          <w:tcPr>
            <w:tcW w:w="2972" w:type="dxa"/>
            <w:shd w:val="clear" w:color="auto" w:fill="F2F2F2" w:themeFill="background1" w:themeFillShade="F2"/>
            <w:vAlign w:val="center"/>
          </w:tcPr>
          <w:p w14:paraId="5F674189" w14:textId="77777777" w:rsidR="000B148D" w:rsidRPr="00966FF8" w:rsidRDefault="000B148D" w:rsidP="00617689">
            <w:pPr>
              <w:pStyle w:val="Tablebody"/>
              <w:keepNext/>
              <w:spacing w:before="0" w:after="0"/>
            </w:pPr>
            <w:r w:rsidRPr="00966FF8">
              <w:t xml:space="preserve">   0</w:t>
            </w:r>
          </w:p>
        </w:tc>
        <w:tc>
          <w:tcPr>
            <w:tcW w:w="1485" w:type="dxa"/>
            <w:vAlign w:val="center"/>
          </w:tcPr>
          <w:p w14:paraId="174A1038" w14:textId="77777777" w:rsidR="000B148D" w:rsidRPr="00966FF8" w:rsidRDefault="000B148D" w:rsidP="00617689">
            <w:pPr>
              <w:pStyle w:val="Tablebody"/>
              <w:spacing w:before="0" w:after="0"/>
              <w:jc w:val="center"/>
            </w:pPr>
            <w:r w:rsidRPr="00966FF8">
              <w:t>187 (56.5)</w:t>
            </w:r>
          </w:p>
        </w:tc>
        <w:tc>
          <w:tcPr>
            <w:tcW w:w="1486" w:type="dxa"/>
            <w:vAlign w:val="center"/>
          </w:tcPr>
          <w:p w14:paraId="0F5CF9F5" w14:textId="77777777" w:rsidR="000B148D" w:rsidRPr="00966FF8" w:rsidRDefault="000B148D" w:rsidP="00617689">
            <w:pPr>
              <w:pStyle w:val="Tablebody"/>
              <w:spacing w:before="0" w:after="0"/>
              <w:jc w:val="center"/>
            </w:pPr>
            <w:r w:rsidRPr="00966FF8">
              <w:t>95 (58.3)</w:t>
            </w:r>
          </w:p>
        </w:tc>
        <w:tc>
          <w:tcPr>
            <w:tcW w:w="1485" w:type="dxa"/>
            <w:vAlign w:val="center"/>
          </w:tcPr>
          <w:p w14:paraId="7CEDD5A9" w14:textId="77777777" w:rsidR="000B148D" w:rsidRPr="00966FF8" w:rsidRDefault="000B148D" w:rsidP="00617689">
            <w:pPr>
              <w:pStyle w:val="Tablebody"/>
              <w:spacing w:before="0" w:after="0"/>
              <w:jc w:val="center"/>
            </w:pPr>
            <w:r w:rsidRPr="00966FF8">
              <w:t>200 (53.6)</w:t>
            </w:r>
          </w:p>
        </w:tc>
        <w:tc>
          <w:tcPr>
            <w:tcW w:w="1486" w:type="dxa"/>
            <w:vAlign w:val="center"/>
          </w:tcPr>
          <w:p w14:paraId="4B2AB44C" w14:textId="77777777" w:rsidR="000B148D" w:rsidRPr="00966FF8" w:rsidRDefault="000B148D" w:rsidP="00617689">
            <w:pPr>
              <w:pStyle w:val="Tablebody"/>
              <w:spacing w:before="0" w:after="0"/>
              <w:jc w:val="center"/>
            </w:pPr>
            <w:r w:rsidRPr="00966FF8">
              <w:t>105 (57.1)</w:t>
            </w:r>
          </w:p>
        </w:tc>
      </w:tr>
      <w:tr w:rsidR="000B148D" w:rsidRPr="00966FF8" w14:paraId="4E82416B" w14:textId="77777777">
        <w:trPr>
          <w:trHeight w:val="20"/>
        </w:trPr>
        <w:tc>
          <w:tcPr>
            <w:tcW w:w="2972" w:type="dxa"/>
            <w:shd w:val="clear" w:color="auto" w:fill="F2F2F2" w:themeFill="background1" w:themeFillShade="F2"/>
            <w:vAlign w:val="center"/>
          </w:tcPr>
          <w:p w14:paraId="63C1864F" w14:textId="77777777" w:rsidR="000B148D" w:rsidRPr="00966FF8" w:rsidRDefault="000B148D" w:rsidP="00617689">
            <w:pPr>
              <w:pStyle w:val="Tablebody"/>
              <w:spacing w:before="0" w:after="0"/>
              <w:ind w:left="171"/>
            </w:pPr>
            <w:r w:rsidRPr="00966FF8">
              <w:t>1</w:t>
            </w:r>
          </w:p>
        </w:tc>
        <w:tc>
          <w:tcPr>
            <w:tcW w:w="1485" w:type="dxa"/>
            <w:vAlign w:val="center"/>
          </w:tcPr>
          <w:p w14:paraId="124A73AC" w14:textId="77777777" w:rsidR="000B148D" w:rsidRPr="00966FF8" w:rsidRDefault="000B148D" w:rsidP="00617689">
            <w:pPr>
              <w:pStyle w:val="Tablebody"/>
              <w:spacing w:before="0" w:after="0"/>
              <w:jc w:val="center"/>
            </w:pPr>
            <w:r w:rsidRPr="00966FF8">
              <w:t>144 (43.5)</w:t>
            </w:r>
          </w:p>
        </w:tc>
        <w:tc>
          <w:tcPr>
            <w:tcW w:w="1486" w:type="dxa"/>
            <w:vAlign w:val="center"/>
          </w:tcPr>
          <w:p w14:paraId="4D444156" w14:textId="77777777" w:rsidR="000B148D" w:rsidRPr="00966FF8" w:rsidRDefault="000B148D" w:rsidP="00617689">
            <w:pPr>
              <w:pStyle w:val="Tablebody"/>
              <w:spacing w:before="0" w:after="0"/>
              <w:jc w:val="center"/>
            </w:pPr>
            <w:r w:rsidRPr="00966FF8">
              <w:t>68 (41.7)</w:t>
            </w:r>
          </w:p>
        </w:tc>
        <w:tc>
          <w:tcPr>
            <w:tcW w:w="1485" w:type="dxa"/>
            <w:vAlign w:val="center"/>
          </w:tcPr>
          <w:p w14:paraId="4E8B4E64" w14:textId="77777777" w:rsidR="000B148D" w:rsidRPr="00966FF8" w:rsidRDefault="000B148D" w:rsidP="00617689">
            <w:pPr>
              <w:pStyle w:val="Tablebody"/>
              <w:spacing w:before="0" w:after="0"/>
              <w:jc w:val="center"/>
            </w:pPr>
            <w:r w:rsidRPr="00966FF8">
              <w:t>173 (46.4)</w:t>
            </w:r>
          </w:p>
        </w:tc>
        <w:tc>
          <w:tcPr>
            <w:tcW w:w="1486" w:type="dxa"/>
            <w:vAlign w:val="center"/>
          </w:tcPr>
          <w:p w14:paraId="514B3D7A" w14:textId="77777777" w:rsidR="000B148D" w:rsidRPr="00966FF8" w:rsidRDefault="000B148D" w:rsidP="00617689">
            <w:pPr>
              <w:pStyle w:val="Tablebody"/>
              <w:spacing w:before="0" w:after="0"/>
              <w:jc w:val="center"/>
            </w:pPr>
            <w:r w:rsidRPr="00966FF8">
              <w:t>79 (42.9)</w:t>
            </w:r>
          </w:p>
        </w:tc>
      </w:tr>
      <w:tr w:rsidR="000B148D" w:rsidRPr="00966FF8" w14:paraId="0C740F48" w14:textId="77777777">
        <w:trPr>
          <w:trHeight w:val="20"/>
        </w:trPr>
        <w:tc>
          <w:tcPr>
            <w:tcW w:w="8914" w:type="dxa"/>
            <w:gridSpan w:val="5"/>
            <w:shd w:val="clear" w:color="auto" w:fill="F2F2F2" w:themeFill="background1" w:themeFillShade="F2"/>
            <w:vAlign w:val="center"/>
          </w:tcPr>
          <w:p w14:paraId="76148660" w14:textId="77777777" w:rsidR="000B148D" w:rsidRPr="00966FF8" w:rsidRDefault="000B148D" w:rsidP="00617689">
            <w:pPr>
              <w:pStyle w:val="Tablebody"/>
              <w:spacing w:before="0" w:after="0"/>
            </w:pPr>
            <w:r w:rsidRPr="00966FF8">
              <w:t>Hormone receptor</w:t>
            </w:r>
            <w:r>
              <w:t xml:space="preserve"> status (derived based on factors captured in electronic data capture),</w:t>
            </w:r>
            <w:r w:rsidRPr="00966FF8">
              <w:t xml:space="preserve"> n (%)</w:t>
            </w:r>
            <w:r>
              <w:t>*</w:t>
            </w:r>
          </w:p>
        </w:tc>
      </w:tr>
      <w:tr w:rsidR="000B148D" w:rsidRPr="00966FF8" w14:paraId="3EE13279" w14:textId="77777777">
        <w:trPr>
          <w:trHeight w:val="20"/>
        </w:trPr>
        <w:tc>
          <w:tcPr>
            <w:tcW w:w="2972" w:type="dxa"/>
            <w:shd w:val="clear" w:color="auto" w:fill="F2F2F2" w:themeFill="background1" w:themeFillShade="F2"/>
            <w:vAlign w:val="center"/>
          </w:tcPr>
          <w:p w14:paraId="5B7B011D" w14:textId="77777777" w:rsidR="000B148D" w:rsidRPr="00966FF8" w:rsidRDefault="000B148D" w:rsidP="00617689">
            <w:pPr>
              <w:pStyle w:val="Tablebody"/>
              <w:keepNext/>
              <w:spacing w:before="0" w:after="0"/>
            </w:pPr>
            <w:r w:rsidRPr="00966FF8">
              <w:t xml:space="preserve">   Positive</w:t>
            </w:r>
          </w:p>
        </w:tc>
        <w:tc>
          <w:tcPr>
            <w:tcW w:w="1485" w:type="dxa"/>
            <w:vAlign w:val="center"/>
          </w:tcPr>
          <w:p w14:paraId="18E6AC13" w14:textId="77777777" w:rsidR="000B148D" w:rsidRPr="00966FF8" w:rsidRDefault="000B148D" w:rsidP="00617689">
            <w:pPr>
              <w:pStyle w:val="Tablebody"/>
              <w:spacing w:before="0" w:after="0"/>
              <w:jc w:val="center"/>
            </w:pPr>
            <w:r w:rsidRPr="00966FF8">
              <w:t>328 (99.1)</w:t>
            </w:r>
          </w:p>
        </w:tc>
        <w:tc>
          <w:tcPr>
            <w:tcW w:w="1486" w:type="dxa"/>
            <w:vAlign w:val="center"/>
          </w:tcPr>
          <w:p w14:paraId="64641603" w14:textId="77777777" w:rsidR="000B148D" w:rsidRPr="00966FF8" w:rsidRDefault="000B148D" w:rsidP="00617689">
            <w:pPr>
              <w:pStyle w:val="Tablebody"/>
              <w:spacing w:before="0" w:after="0"/>
              <w:jc w:val="center"/>
            </w:pPr>
            <w:r w:rsidRPr="00966FF8">
              <w:t>162 (99.4)</w:t>
            </w:r>
          </w:p>
        </w:tc>
        <w:tc>
          <w:tcPr>
            <w:tcW w:w="1485" w:type="dxa"/>
            <w:vAlign w:val="center"/>
          </w:tcPr>
          <w:p w14:paraId="6EAD6B5F" w14:textId="77777777" w:rsidR="000B148D" w:rsidRPr="00966FF8" w:rsidRDefault="000B148D" w:rsidP="00617689">
            <w:pPr>
              <w:pStyle w:val="Tablebody"/>
              <w:spacing w:before="0" w:after="0"/>
              <w:jc w:val="center"/>
            </w:pPr>
            <w:r w:rsidRPr="00966FF8">
              <w:t>333 (89.3)</w:t>
            </w:r>
          </w:p>
        </w:tc>
        <w:tc>
          <w:tcPr>
            <w:tcW w:w="1486" w:type="dxa"/>
            <w:vAlign w:val="center"/>
          </w:tcPr>
          <w:p w14:paraId="0DFD0623" w14:textId="77777777" w:rsidR="000B148D" w:rsidRPr="00966FF8" w:rsidRDefault="000B148D" w:rsidP="00617689">
            <w:pPr>
              <w:pStyle w:val="Tablebody"/>
              <w:spacing w:before="0" w:after="0"/>
              <w:jc w:val="center"/>
            </w:pPr>
            <w:r w:rsidRPr="00966FF8">
              <w:t>166 (90.2)</w:t>
            </w:r>
          </w:p>
        </w:tc>
      </w:tr>
      <w:tr w:rsidR="000B148D" w:rsidRPr="00966FF8" w14:paraId="4F360297" w14:textId="77777777">
        <w:trPr>
          <w:trHeight w:val="20"/>
        </w:trPr>
        <w:tc>
          <w:tcPr>
            <w:tcW w:w="2972" w:type="dxa"/>
            <w:shd w:val="clear" w:color="auto" w:fill="F2F2F2" w:themeFill="background1" w:themeFillShade="F2"/>
            <w:vAlign w:val="center"/>
          </w:tcPr>
          <w:p w14:paraId="605A29EA" w14:textId="77777777" w:rsidR="000B148D" w:rsidRPr="00966FF8" w:rsidRDefault="000B148D" w:rsidP="00617689">
            <w:pPr>
              <w:pStyle w:val="Tablebody"/>
              <w:spacing w:before="0" w:after="0"/>
              <w:ind w:left="171"/>
            </w:pPr>
            <w:r w:rsidRPr="00966FF8">
              <w:t>Negative</w:t>
            </w:r>
          </w:p>
        </w:tc>
        <w:tc>
          <w:tcPr>
            <w:tcW w:w="1485" w:type="dxa"/>
            <w:vAlign w:val="center"/>
          </w:tcPr>
          <w:p w14:paraId="7E06EDAA" w14:textId="77777777" w:rsidR="000B148D" w:rsidRPr="00966FF8" w:rsidRDefault="000B148D" w:rsidP="00617689">
            <w:pPr>
              <w:pStyle w:val="Tablebody"/>
              <w:spacing w:before="0" w:after="0"/>
              <w:jc w:val="center"/>
            </w:pPr>
            <w:r w:rsidRPr="00966FF8">
              <w:t>3 (0.9)</w:t>
            </w:r>
          </w:p>
        </w:tc>
        <w:tc>
          <w:tcPr>
            <w:tcW w:w="1486" w:type="dxa"/>
            <w:vAlign w:val="center"/>
          </w:tcPr>
          <w:p w14:paraId="6AD89608" w14:textId="77777777" w:rsidR="000B148D" w:rsidRPr="00966FF8" w:rsidRDefault="000B148D" w:rsidP="00617689">
            <w:pPr>
              <w:pStyle w:val="Tablebody"/>
              <w:spacing w:before="0" w:after="0"/>
              <w:jc w:val="center"/>
            </w:pPr>
            <w:r w:rsidRPr="00966FF8">
              <w:t>1 (0.6)</w:t>
            </w:r>
          </w:p>
        </w:tc>
        <w:tc>
          <w:tcPr>
            <w:tcW w:w="1485" w:type="dxa"/>
            <w:vAlign w:val="center"/>
          </w:tcPr>
          <w:p w14:paraId="120093BD" w14:textId="77777777" w:rsidR="000B148D" w:rsidRPr="00966FF8" w:rsidRDefault="000B148D" w:rsidP="00617689">
            <w:pPr>
              <w:pStyle w:val="Tablebody"/>
              <w:spacing w:before="0" w:after="0"/>
              <w:jc w:val="center"/>
            </w:pPr>
            <w:r w:rsidRPr="00966FF8">
              <w:t>40 (10.7)</w:t>
            </w:r>
          </w:p>
        </w:tc>
        <w:tc>
          <w:tcPr>
            <w:tcW w:w="1486" w:type="dxa"/>
            <w:vAlign w:val="center"/>
          </w:tcPr>
          <w:p w14:paraId="3B30839D" w14:textId="77777777" w:rsidR="000B148D" w:rsidRPr="00966FF8" w:rsidRDefault="000B148D" w:rsidP="00617689">
            <w:pPr>
              <w:pStyle w:val="Tablebody"/>
              <w:spacing w:before="0" w:after="0"/>
              <w:jc w:val="center"/>
            </w:pPr>
            <w:r w:rsidRPr="00966FF8">
              <w:t>18 (9.8)</w:t>
            </w:r>
          </w:p>
        </w:tc>
      </w:tr>
      <w:tr w:rsidR="000B148D" w:rsidRPr="00966FF8" w14:paraId="48A9B21D" w14:textId="77777777">
        <w:trPr>
          <w:trHeight w:val="20"/>
        </w:trPr>
        <w:tc>
          <w:tcPr>
            <w:tcW w:w="8914" w:type="dxa"/>
            <w:gridSpan w:val="5"/>
            <w:shd w:val="clear" w:color="auto" w:fill="F2F2F2" w:themeFill="background1" w:themeFillShade="F2"/>
            <w:vAlign w:val="center"/>
          </w:tcPr>
          <w:p w14:paraId="660E2B8D" w14:textId="77777777" w:rsidR="000B148D" w:rsidRPr="00966FF8" w:rsidRDefault="000B148D" w:rsidP="00617689">
            <w:pPr>
              <w:pStyle w:val="Tablebody"/>
              <w:spacing w:before="0" w:after="0"/>
            </w:pPr>
            <w:r>
              <w:t xml:space="preserve">Stratification factor: </w:t>
            </w:r>
            <w:r w:rsidRPr="00966FF8">
              <w:t>HR/CDK status</w:t>
            </w:r>
            <w:r>
              <w:t xml:space="preserve"> per IXRS</w:t>
            </w:r>
            <w:r w:rsidRPr="00966FF8">
              <w:t>, n (%)</w:t>
            </w:r>
          </w:p>
        </w:tc>
      </w:tr>
      <w:tr w:rsidR="000B148D" w:rsidRPr="00966FF8" w14:paraId="30E50564" w14:textId="77777777">
        <w:trPr>
          <w:trHeight w:val="20"/>
        </w:trPr>
        <w:tc>
          <w:tcPr>
            <w:tcW w:w="2972" w:type="dxa"/>
            <w:shd w:val="clear" w:color="auto" w:fill="F2F2F2" w:themeFill="background1" w:themeFillShade="F2"/>
            <w:vAlign w:val="center"/>
          </w:tcPr>
          <w:p w14:paraId="3122DFF9" w14:textId="77777777" w:rsidR="000B148D" w:rsidRPr="00966FF8" w:rsidRDefault="000B148D" w:rsidP="00617689">
            <w:pPr>
              <w:pStyle w:val="Tablebody"/>
              <w:spacing w:before="0" w:after="0"/>
              <w:ind w:left="171"/>
            </w:pPr>
            <w:r w:rsidRPr="00966FF8">
              <w:t>HR</w:t>
            </w:r>
            <w:r>
              <w:t>-positive</w:t>
            </w:r>
            <w:r w:rsidRPr="00966FF8">
              <w:t xml:space="preserve"> with prior CDK4/6</w:t>
            </w:r>
          </w:p>
        </w:tc>
        <w:tc>
          <w:tcPr>
            <w:tcW w:w="1485" w:type="dxa"/>
            <w:vAlign w:val="center"/>
          </w:tcPr>
          <w:p w14:paraId="21F71A57" w14:textId="08781F04" w:rsidR="000B148D" w:rsidRPr="00294FDC" w:rsidRDefault="00294FDC" w:rsidP="00617689">
            <w:pPr>
              <w:pStyle w:val="Tablebody"/>
              <w:spacing w:before="0" w:after="0"/>
              <w:jc w:val="center"/>
              <w:rPr>
                <w:color w:val="000000"/>
                <w:highlight w:val="black"/>
              </w:rPr>
            </w:pPr>
            <w:r w:rsidRPr="00294FDC">
              <w:rPr>
                <w:color w:val="000000"/>
                <w:highlight w:val="black"/>
              </w:rPr>
              <w:t>xxxxxxxxxx</w:t>
            </w:r>
          </w:p>
        </w:tc>
        <w:tc>
          <w:tcPr>
            <w:tcW w:w="1486" w:type="dxa"/>
            <w:vAlign w:val="center"/>
          </w:tcPr>
          <w:p w14:paraId="1FBA4F01" w14:textId="5F2CE75F" w:rsidR="000B148D" w:rsidRPr="00294FDC" w:rsidRDefault="00294FDC" w:rsidP="00617689">
            <w:pPr>
              <w:pStyle w:val="Tablebody"/>
              <w:spacing w:before="0" w:after="0"/>
              <w:jc w:val="center"/>
              <w:rPr>
                <w:color w:val="000000"/>
                <w:highlight w:val="black"/>
              </w:rPr>
            </w:pPr>
            <w:r w:rsidRPr="00294FDC">
              <w:rPr>
                <w:color w:val="000000"/>
                <w:highlight w:val="black"/>
              </w:rPr>
              <w:t>xxxxxxxxxx</w:t>
            </w:r>
          </w:p>
        </w:tc>
        <w:tc>
          <w:tcPr>
            <w:tcW w:w="1485" w:type="dxa"/>
            <w:vAlign w:val="center"/>
          </w:tcPr>
          <w:p w14:paraId="49759335" w14:textId="3620DE6B" w:rsidR="000B148D" w:rsidRPr="00294FDC" w:rsidRDefault="00294FDC" w:rsidP="00617689">
            <w:pPr>
              <w:pStyle w:val="Tablebody"/>
              <w:spacing w:before="0" w:after="0"/>
              <w:jc w:val="center"/>
              <w:rPr>
                <w:color w:val="000000"/>
                <w:highlight w:val="black"/>
              </w:rPr>
            </w:pPr>
            <w:r w:rsidRPr="00294FDC">
              <w:rPr>
                <w:color w:val="000000"/>
                <w:highlight w:val="black"/>
              </w:rPr>
              <w:t>xxxxxxxxxx</w:t>
            </w:r>
          </w:p>
        </w:tc>
        <w:tc>
          <w:tcPr>
            <w:tcW w:w="1486" w:type="dxa"/>
            <w:vAlign w:val="center"/>
          </w:tcPr>
          <w:p w14:paraId="3E9D3AC9" w14:textId="2342A72A" w:rsidR="000B148D" w:rsidRPr="00294FDC" w:rsidRDefault="00294FDC" w:rsidP="00617689">
            <w:pPr>
              <w:pStyle w:val="Tablebody"/>
              <w:spacing w:before="0" w:after="0"/>
              <w:jc w:val="center"/>
              <w:rPr>
                <w:color w:val="000000"/>
                <w:highlight w:val="black"/>
              </w:rPr>
            </w:pPr>
            <w:r w:rsidRPr="00294FDC">
              <w:rPr>
                <w:color w:val="000000"/>
                <w:highlight w:val="black"/>
              </w:rPr>
              <w:t>xxxxxxxxxx</w:t>
            </w:r>
          </w:p>
        </w:tc>
      </w:tr>
      <w:tr w:rsidR="000B148D" w:rsidRPr="00966FF8" w14:paraId="66650C74" w14:textId="77777777">
        <w:trPr>
          <w:trHeight w:val="20"/>
        </w:trPr>
        <w:tc>
          <w:tcPr>
            <w:tcW w:w="2972" w:type="dxa"/>
            <w:shd w:val="clear" w:color="auto" w:fill="F2F2F2" w:themeFill="background1" w:themeFillShade="F2"/>
            <w:vAlign w:val="center"/>
          </w:tcPr>
          <w:p w14:paraId="5D0C9508" w14:textId="77777777" w:rsidR="000B148D" w:rsidRPr="00966FF8" w:rsidRDefault="000B148D" w:rsidP="00617689">
            <w:pPr>
              <w:pStyle w:val="Tablebody"/>
              <w:spacing w:before="0" w:after="0"/>
              <w:ind w:left="171"/>
            </w:pPr>
            <w:r w:rsidRPr="00966FF8">
              <w:t>HR</w:t>
            </w:r>
            <w:r>
              <w:t>-positive</w:t>
            </w:r>
            <w:r w:rsidRPr="00966FF8">
              <w:t xml:space="preserve"> without prior CDK4/6</w:t>
            </w:r>
          </w:p>
        </w:tc>
        <w:tc>
          <w:tcPr>
            <w:tcW w:w="1485" w:type="dxa"/>
            <w:vAlign w:val="center"/>
          </w:tcPr>
          <w:p w14:paraId="46BE4D97" w14:textId="41073B99" w:rsidR="000B148D" w:rsidRPr="00294FDC" w:rsidRDefault="00294FDC" w:rsidP="00617689">
            <w:pPr>
              <w:pStyle w:val="Tablebody"/>
              <w:spacing w:before="0" w:after="0"/>
              <w:jc w:val="center"/>
              <w:rPr>
                <w:color w:val="000000"/>
                <w:highlight w:val="black"/>
              </w:rPr>
            </w:pPr>
            <w:r w:rsidRPr="00294FDC">
              <w:rPr>
                <w:color w:val="000000"/>
                <w:highlight w:val="black"/>
              </w:rPr>
              <w:t>xxxxxxxxx</w:t>
            </w:r>
          </w:p>
        </w:tc>
        <w:tc>
          <w:tcPr>
            <w:tcW w:w="1486" w:type="dxa"/>
            <w:vAlign w:val="center"/>
          </w:tcPr>
          <w:p w14:paraId="0DB37319" w14:textId="301C47D5" w:rsidR="000B148D" w:rsidRPr="00294FDC" w:rsidRDefault="00294FDC" w:rsidP="00617689">
            <w:pPr>
              <w:pStyle w:val="Tablebody"/>
              <w:spacing w:before="0" w:after="0"/>
              <w:jc w:val="center"/>
              <w:rPr>
                <w:color w:val="000000"/>
                <w:highlight w:val="black"/>
              </w:rPr>
            </w:pPr>
            <w:r w:rsidRPr="00294FDC">
              <w:rPr>
                <w:color w:val="000000"/>
                <w:highlight w:val="black"/>
              </w:rPr>
              <w:t>xxxxxxxxx</w:t>
            </w:r>
          </w:p>
        </w:tc>
        <w:tc>
          <w:tcPr>
            <w:tcW w:w="1485" w:type="dxa"/>
            <w:vAlign w:val="center"/>
          </w:tcPr>
          <w:p w14:paraId="3853465F" w14:textId="3BC30DB8" w:rsidR="000B148D" w:rsidRPr="00294FDC" w:rsidRDefault="00294FDC" w:rsidP="00617689">
            <w:pPr>
              <w:pStyle w:val="Tablebody"/>
              <w:spacing w:before="0" w:after="0"/>
              <w:jc w:val="center"/>
              <w:rPr>
                <w:color w:val="000000"/>
                <w:highlight w:val="black"/>
              </w:rPr>
            </w:pPr>
            <w:r w:rsidRPr="00294FDC">
              <w:rPr>
                <w:color w:val="000000"/>
                <w:highlight w:val="black"/>
              </w:rPr>
              <w:t>xxxxxxxxx</w:t>
            </w:r>
          </w:p>
        </w:tc>
        <w:tc>
          <w:tcPr>
            <w:tcW w:w="1486" w:type="dxa"/>
            <w:vAlign w:val="center"/>
          </w:tcPr>
          <w:p w14:paraId="6DBF7E81" w14:textId="186B9E73" w:rsidR="000B148D" w:rsidRPr="00294FDC" w:rsidRDefault="00294FDC" w:rsidP="00617689">
            <w:pPr>
              <w:pStyle w:val="Tablebody"/>
              <w:spacing w:before="0" w:after="0"/>
              <w:jc w:val="center"/>
              <w:rPr>
                <w:color w:val="000000"/>
                <w:highlight w:val="black"/>
              </w:rPr>
            </w:pPr>
            <w:r w:rsidRPr="00294FDC">
              <w:rPr>
                <w:color w:val="000000"/>
                <w:highlight w:val="black"/>
              </w:rPr>
              <w:t>xxxxxxxxx</w:t>
            </w:r>
          </w:p>
        </w:tc>
      </w:tr>
      <w:tr w:rsidR="000B148D" w:rsidRPr="00966FF8" w14:paraId="2CB71ECA" w14:textId="77777777">
        <w:trPr>
          <w:trHeight w:val="20"/>
        </w:trPr>
        <w:tc>
          <w:tcPr>
            <w:tcW w:w="2972" w:type="dxa"/>
            <w:shd w:val="clear" w:color="auto" w:fill="F2F2F2" w:themeFill="background1" w:themeFillShade="F2"/>
            <w:vAlign w:val="center"/>
          </w:tcPr>
          <w:p w14:paraId="4D9BA611" w14:textId="77777777" w:rsidR="000B148D" w:rsidRPr="00966FF8" w:rsidRDefault="000B148D" w:rsidP="00617689">
            <w:pPr>
              <w:pStyle w:val="Tablebody"/>
              <w:spacing w:before="0" w:after="0"/>
              <w:ind w:left="171"/>
            </w:pPr>
            <w:r w:rsidRPr="00966FF8">
              <w:t>HR-</w:t>
            </w:r>
            <w:r>
              <w:t>negative</w:t>
            </w:r>
          </w:p>
        </w:tc>
        <w:tc>
          <w:tcPr>
            <w:tcW w:w="1485" w:type="dxa"/>
            <w:vAlign w:val="center"/>
          </w:tcPr>
          <w:p w14:paraId="673EB18A" w14:textId="67845C92" w:rsidR="000B148D" w:rsidRPr="00294FDC" w:rsidRDefault="00294FDC" w:rsidP="00617689">
            <w:pPr>
              <w:pStyle w:val="Tablebody"/>
              <w:spacing w:before="0" w:after="0"/>
              <w:jc w:val="center"/>
              <w:rPr>
                <w:color w:val="000000"/>
                <w:highlight w:val="black"/>
              </w:rPr>
            </w:pPr>
            <w:r w:rsidRPr="00294FDC">
              <w:rPr>
                <w:color w:val="000000"/>
                <w:highlight w:val="black"/>
              </w:rPr>
              <w:t>x</w:t>
            </w:r>
          </w:p>
        </w:tc>
        <w:tc>
          <w:tcPr>
            <w:tcW w:w="1486" w:type="dxa"/>
            <w:vAlign w:val="center"/>
          </w:tcPr>
          <w:p w14:paraId="6B2DF364" w14:textId="425FCA7A" w:rsidR="000B148D" w:rsidRPr="00294FDC" w:rsidRDefault="00294FDC" w:rsidP="00617689">
            <w:pPr>
              <w:pStyle w:val="Tablebody"/>
              <w:spacing w:before="0" w:after="0"/>
              <w:jc w:val="center"/>
              <w:rPr>
                <w:color w:val="000000"/>
                <w:highlight w:val="black"/>
              </w:rPr>
            </w:pPr>
            <w:r w:rsidRPr="00294FDC">
              <w:rPr>
                <w:color w:val="000000"/>
                <w:highlight w:val="black"/>
              </w:rPr>
              <w:t>x</w:t>
            </w:r>
          </w:p>
        </w:tc>
        <w:tc>
          <w:tcPr>
            <w:tcW w:w="1485" w:type="dxa"/>
            <w:vAlign w:val="center"/>
          </w:tcPr>
          <w:p w14:paraId="5CDF319F" w14:textId="21301A46" w:rsidR="000B148D" w:rsidRPr="00294FDC" w:rsidRDefault="00294FDC" w:rsidP="00617689">
            <w:pPr>
              <w:pStyle w:val="Tablebody"/>
              <w:spacing w:before="0" w:after="0"/>
              <w:jc w:val="center"/>
              <w:rPr>
                <w:color w:val="000000"/>
                <w:highlight w:val="black"/>
              </w:rPr>
            </w:pPr>
            <w:r w:rsidRPr="00294FDC">
              <w:rPr>
                <w:color w:val="000000"/>
                <w:highlight w:val="black"/>
              </w:rPr>
              <w:t>xxxxxxxxx</w:t>
            </w:r>
          </w:p>
        </w:tc>
        <w:tc>
          <w:tcPr>
            <w:tcW w:w="1486" w:type="dxa"/>
            <w:vAlign w:val="center"/>
          </w:tcPr>
          <w:p w14:paraId="797F88FC" w14:textId="5E4D51F3" w:rsidR="000B148D" w:rsidRPr="00294FDC" w:rsidRDefault="00294FDC" w:rsidP="00617689">
            <w:pPr>
              <w:pStyle w:val="Tablebody"/>
              <w:spacing w:before="0" w:after="0"/>
              <w:jc w:val="center"/>
              <w:rPr>
                <w:color w:val="000000"/>
                <w:highlight w:val="black"/>
              </w:rPr>
            </w:pPr>
            <w:r w:rsidRPr="00294FDC">
              <w:rPr>
                <w:color w:val="000000"/>
                <w:highlight w:val="black"/>
              </w:rPr>
              <w:t>xxxxxxxxx</w:t>
            </w:r>
          </w:p>
        </w:tc>
      </w:tr>
      <w:tr w:rsidR="000B148D" w:rsidRPr="00966FF8" w14:paraId="7BC9048C" w14:textId="77777777">
        <w:trPr>
          <w:trHeight w:val="20"/>
        </w:trPr>
        <w:tc>
          <w:tcPr>
            <w:tcW w:w="2972" w:type="dxa"/>
            <w:shd w:val="clear" w:color="auto" w:fill="F2F2F2" w:themeFill="background1" w:themeFillShade="F2"/>
            <w:vAlign w:val="center"/>
          </w:tcPr>
          <w:p w14:paraId="0824ECF3" w14:textId="77777777" w:rsidR="000B148D" w:rsidRPr="00966FF8" w:rsidRDefault="000B148D" w:rsidP="00617689">
            <w:pPr>
              <w:pStyle w:val="Tablebody"/>
              <w:spacing w:before="0" w:after="0"/>
            </w:pPr>
            <w:r w:rsidRPr="00966FF8">
              <w:t>Stable brain metastases, n (%)</w:t>
            </w:r>
          </w:p>
        </w:tc>
        <w:tc>
          <w:tcPr>
            <w:tcW w:w="1485" w:type="dxa"/>
            <w:vAlign w:val="center"/>
          </w:tcPr>
          <w:p w14:paraId="0BA2D749" w14:textId="5AF2592C" w:rsidR="000B148D" w:rsidRPr="00294FDC" w:rsidRDefault="00294FDC" w:rsidP="00617689">
            <w:pPr>
              <w:pStyle w:val="Tablebody"/>
              <w:spacing w:before="0" w:after="0"/>
              <w:jc w:val="center"/>
              <w:rPr>
                <w:color w:val="000000"/>
                <w:highlight w:val="black"/>
              </w:rPr>
            </w:pPr>
            <w:r w:rsidRPr="00294FDC">
              <w:rPr>
                <w:color w:val="000000"/>
                <w:highlight w:val="black"/>
              </w:rPr>
              <w:t>xxxxxxxx</w:t>
            </w:r>
          </w:p>
        </w:tc>
        <w:tc>
          <w:tcPr>
            <w:tcW w:w="1486" w:type="dxa"/>
            <w:vAlign w:val="center"/>
          </w:tcPr>
          <w:p w14:paraId="0129B70F" w14:textId="10EDC815" w:rsidR="000B148D" w:rsidRPr="00294FDC" w:rsidRDefault="00294FDC" w:rsidP="00617689">
            <w:pPr>
              <w:pStyle w:val="Tablebody"/>
              <w:spacing w:before="0" w:after="0"/>
              <w:jc w:val="center"/>
              <w:rPr>
                <w:color w:val="000000"/>
                <w:highlight w:val="black"/>
              </w:rPr>
            </w:pPr>
            <w:r w:rsidRPr="00294FDC">
              <w:rPr>
                <w:color w:val="000000"/>
                <w:highlight w:val="black"/>
              </w:rPr>
              <w:t>xxxxxxx</w:t>
            </w:r>
          </w:p>
        </w:tc>
        <w:tc>
          <w:tcPr>
            <w:tcW w:w="1485" w:type="dxa"/>
            <w:vAlign w:val="center"/>
          </w:tcPr>
          <w:p w14:paraId="38605C05" w14:textId="5C53D898" w:rsidR="000B148D" w:rsidRPr="00294FDC" w:rsidRDefault="00294FDC" w:rsidP="00617689">
            <w:pPr>
              <w:pStyle w:val="Tablebody"/>
              <w:spacing w:before="0" w:after="0"/>
              <w:jc w:val="center"/>
              <w:rPr>
                <w:color w:val="000000"/>
                <w:highlight w:val="black"/>
              </w:rPr>
            </w:pPr>
            <w:r w:rsidRPr="00294FDC">
              <w:rPr>
                <w:color w:val="000000"/>
                <w:highlight w:val="black"/>
              </w:rPr>
              <w:t>xxxxxxxx</w:t>
            </w:r>
          </w:p>
        </w:tc>
        <w:tc>
          <w:tcPr>
            <w:tcW w:w="1486" w:type="dxa"/>
            <w:vAlign w:val="center"/>
          </w:tcPr>
          <w:p w14:paraId="63B6EDAD" w14:textId="520CEE40" w:rsidR="000B148D" w:rsidRPr="00294FDC" w:rsidRDefault="00294FDC" w:rsidP="00617689">
            <w:pPr>
              <w:pStyle w:val="Tablebody"/>
              <w:spacing w:before="0" w:after="0"/>
              <w:jc w:val="center"/>
              <w:rPr>
                <w:color w:val="000000"/>
                <w:highlight w:val="black"/>
              </w:rPr>
            </w:pPr>
            <w:r w:rsidRPr="00294FDC">
              <w:rPr>
                <w:color w:val="000000"/>
                <w:highlight w:val="black"/>
              </w:rPr>
              <w:t>xxxxxxx</w:t>
            </w:r>
          </w:p>
        </w:tc>
      </w:tr>
      <w:tr w:rsidR="000B148D" w:rsidRPr="00966FF8" w14:paraId="07C2DB2B" w14:textId="77777777">
        <w:trPr>
          <w:trHeight w:val="20"/>
        </w:trPr>
        <w:tc>
          <w:tcPr>
            <w:tcW w:w="2972" w:type="dxa"/>
            <w:shd w:val="clear" w:color="auto" w:fill="F2F2F2" w:themeFill="background1" w:themeFillShade="F2"/>
            <w:vAlign w:val="center"/>
          </w:tcPr>
          <w:p w14:paraId="69C074FB" w14:textId="77777777" w:rsidR="000B148D" w:rsidRPr="00966FF8" w:rsidRDefault="000B148D" w:rsidP="00617689">
            <w:pPr>
              <w:pStyle w:val="Tablebody"/>
              <w:keepNext/>
              <w:spacing w:before="0" w:after="0"/>
            </w:pPr>
            <w:r w:rsidRPr="00966FF8">
              <w:t>Stable brain metastases defined as a reported history of CNS metastases, n (%)</w:t>
            </w:r>
          </w:p>
        </w:tc>
        <w:tc>
          <w:tcPr>
            <w:tcW w:w="1485" w:type="dxa"/>
            <w:vAlign w:val="center"/>
          </w:tcPr>
          <w:p w14:paraId="1754A06C" w14:textId="5432C87D" w:rsidR="000B148D" w:rsidRPr="00294FDC" w:rsidRDefault="00294FDC" w:rsidP="00617689">
            <w:pPr>
              <w:pStyle w:val="Tablebody"/>
              <w:spacing w:before="0" w:after="0"/>
              <w:jc w:val="center"/>
              <w:rPr>
                <w:color w:val="000000"/>
                <w:highlight w:val="black"/>
              </w:rPr>
            </w:pPr>
            <w:r w:rsidRPr="00294FDC">
              <w:rPr>
                <w:color w:val="000000"/>
                <w:highlight w:val="black"/>
              </w:rPr>
              <w:t>xxxxxxxx</w:t>
            </w:r>
          </w:p>
        </w:tc>
        <w:tc>
          <w:tcPr>
            <w:tcW w:w="1486" w:type="dxa"/>
            <w:vAlign w:val="center"/>
          </w:tcPr>
          <w:p w14:paraId="249AFD8B" w14:textId="77121379" w:rsidR="000B148D" w:rsidRPr="00294FDC" w:rsidRDefault="00294FDC" w:rsidP="00617689">
            <w:pPr>
              <w:pStyle w:val="Tablebody"/>
              <w:spacing w:before="0" w:after="0"/>
              <w:jc w:val="center"/>
              <w:rPr>
                <w:color w:val="000000"/>
                <w:highlight w:val="black"/>
              </w:rPr>
            </w:pPr>
            <w:r w:rsidRPr="00294FDC">
              <w:rPr>
                <w:color w:val="000000"/>
                <w:highlight w:val="black"/>
              </w:rPr>
              <w:t>xxxxxxxx</w:t>
            </w:r>
          </w:p>
        </w:tc>
        <w:tc>
          <w:tcPr>
            <w:tcW w:w="1485" w:type="dxa"/>
            <w:vAlign w:val="center"/>
          </w:tcPr>
          <w:p w14:paraId="68FD7AB6" w14:textId="127EAB7F" w:rsidR="000B148D" w:rsidRPr="00294FDC" w:rsidRDefault="00294FDC" w:rsidP="00617689">
            <w:pPr>
              <w:pStyle w:val="Tablebody"/>
              <w:spacing w:before="0" w:after="0"/>
              <w:jc w:val="center"/>
              <w:rPr>
                <w:color w:val="000000"/>
                <w:highlight w:val="black"/>
              </w:rPr>
            </w:pPr>
            <w:r w:rsidRPr="00294FDC">
              <w:rPr>
                <w:color w:val="000000"/>
                <w:highlight w:val="black"/>
              </w:rPr>
              <w:t>xxxxxxxx</w:t>
            </w:r>
          </w:p>
        </w:tc>
        <w:tc>
          <w:tcPr>
            <w:tcW w:w="1486" w:type="dxa"/>
            <w:vAlign w:val="center"/>
          </w:tcPr>
          <w:p w14:paraId="5F598151" w14:textId="49A4F045" w:rsidR="000B148D" w:rsidRPr="00294FDC" w:rsidRDefault="00294FDC" w:rsidP="00617689">
            <w:pPr>
              <w:pStyle w:val="Tablebody"/>
              <w:spacing w:before="0" w:after="0"/>
              <w:jc w:val="center"/>
              <w:rPr>
                <w:color w:val="000000"/>
                <w:highlight w:val="black"/>
              </w:rPr>
            </w:pPr>
            <w:r w:rsidRPr="00294FDC">
              <w:rPr>
                <w:color w:val="000000"/>
                <w:highlight w:val="black"/>
              </w:rPr>
              <w:t>xxxxxxxx</w:t>
            </w:r>
          </w:p>
        </w:tc>
      </w:tr>
      <w:tr w:rsidR="000B148D" w:rsidRPr="00966FF8" w14:paraId="19817AB0" w14:textId="77777777">
        <w:trPr>
          <w:trHeight w:val="20"/>
        </w:trPr>
        <w:tc>
          <w:tcPr>
            <w:tcW w:w="2972" w:type="dxa"/>
            <w:shd w:val="clear" w:color="auto" w:fill="F2F2F2" w:themeFill="background1" w:themeFillShade="F2"/>
            <w:vAlign w:val="center"/>
          </w:tcPr>
          <w:p w14:paraId="595EB2D2" w14:textId="77777777" w:rsidR="000B148D" w:rsidRPr="00966FF8" w:rsidRDefault="000B148D" w:rsidP="00617689">
            <w:pPr>
              <w:pStyle w:val="Tablebody"/>
              <w:keepNext/>
              <w:spacing w:before="0" w:after="0"/>
              <w:rPr>
                <w:rFonts w:cs="Arial"/>
              </w:rPr>
            </w:pPr>
            <w:r w:rsidRPr="00966FF8">
              <w:rPr>
                <w:rFonts w:eastAsia="Times New Roman" w:cs="Arial"/>
              </w:rPr>
              <w:t>Presence of baseline lung metastases, n (%)</w:t>
            </w:r>
          </w:p>
        </w:tc>
        <w:tc>
          <w:tcPr>
            <w:tcW w:w="1485" w:type="dxa"/>
            <w:vAlign w:val="center"/>
          </w:tcPr>
          <w:p w14:paraId="20FF16F4" w14:textId="092AAFF4" w:rsidR="000B148D" w:rsidRPr="00294FDC" w:rsidRDefault="00294FDC" w:rsidP="00617689">
            <w:pPr>
              <w:pStyle w:val="Tablebody"/>
              <w:spacing w:before="0" w:after="0"/>
              <w:jc w:val="center"/>
              <w:rPr>
                <w:rFonts w:cs="Arial"/>
                <w:color w:val="000000"/>
                <w:highlight w:val="black"/>
              </w:rPr>
            </w:pPr>
            <w:r w:rsidRPr="00294FDC">
              <w:rPr>
                <w:rFonts w:eastAsia="Times New Roman" w:cs="Arial"/>
                <w:color w:val="000000"/>
                <w:highlight w:val="black"/>
              </w:rPr>
              <w:t>xxxxxxxxx</w:t>
            </w:r>
          </w:p>
        </w:tc>
        <w:tc>
          <w:tcPr>
            <w:tcW w:w="1486" w:type="dxa"/>
            <w:vAlign w:val="center"/>
          </w:tcPr>
          <w:p w14:paraId="7520615C" w14:textId="105B6761" w:rsidR="000B148D" w:rsidRPr="00294FDC" w:rsidRDefault="00294FDC" w:rsidP="00617689">
            <w:pPr>
              <w:pStyle w:val="Tablebody"/>
              <w:spacing w:before="0" w:after="0"/>
              <w:jc w:val="center"/>
              <w:rPr>
                <w:rFonts w:cs="Arial"/>
                <w:color w:val="000000"/>
                <w:highlight w:val="black"/>
              </w:rPr>
            </w:pPr>
            <w:r w:rsidRPr="00294FDC">
              <w:rPr>
                <w:rFonts w:eastAsia="Times New Roman" w:cs="Arial"/>
                <w:color w:val="000000"/>
                <w:highlight w:val="black"/>
              </w:rPr>
              <w:t>xxxxxxxxx</w:t>
            </w:r>
          </w:p>
        </w:tc>
        <w:tc>
          <w:tcPr>
            <w:tcW w:w="1485" w:type="dxa"/>
            <w:vAlign w:val="center"/>
          </w:tcPr>
          <w:p w14:paraId="7643F4A3" w14:textId="2B3F8398" w:rsidR="000B148D" w:rsidRPr="00294FDC" w:rsidRDefault="00294FDC" w:rsidP="00617689">
            <w:pPr>
              <w:pStyle w:val="Tablebody"/>
              <w:spacing w:before="0" w:after="0"/>
              <w:jc w:val="center"/>
              <w:rPr>
                <w:rFonts w:cs="Arial"/>
                <w:color w:val="000000"/>
                <w:highlight w:val="black"/>
              </w:rPr>
            </w:pPr>
            <w:r w:rsidRPr="00294FDC">
              <w:rPr>
                <w:rFonts w:eastAsia="Times New Roman" w:cs="Arial"/>
                <w:color w:val="000000"/>
                <w:highlight w:val="black"/>
              </w:rPr>
              <w:t>xxxxxxxxxx</w:t>
            </w:r>
          </w:p>
        </w:tc>
        <w:tc>
          <w:tcPr>
            <w:tcW w:w="1486" w:type="dxa"/>
            <w:vAlign w:val="center"/>
          </w:tcPr>
          <w:p w14:paraId="280D18E9" w14:textId="52DAF2E4" w:rsidR="000B148D" w:rsidRPr="00294FDC" w:rsidRDefault="00294FDC" w:rsidP="00617689">
            <w:pPr>
              <w:pStyle w:val="Tablebody"/>
              <w:spacing w:before="0" w:after="0"/>
              <w:jc w:val="center"/>
              <w:rPr>
                <w:rFonts w:cs="Arial"/>
                <w:color w:val="000000"/>
                <w:highlight w:val="black"/>
              </w:rPr>
            </w:pPr>
            <w:r w:rsidRPr="00294FDC">
              <w:rPr>
                <w:rFonts w:eastAsia="Times New Roman" w:cs="Arial"/>
                <w:color w:val="000000"/>
                <w:highlight w:val="black"/>
              </w:rPr>
              <w:t>xxxxxxxxx</w:t>
            </w:r>
          </w:p>
        </w:tc>
      </w:tr>
      <w:tr w:rsidR="000B148D" w:rsidRPr="00966FF8" w14:paraId="5116ECA6" w14:textId="77777777">
        <w:trPr>
          <w:trHeight w:val="20"/>
        </w:trPr>
        <w:tc>
          <w:tcPr>
            <w:tcW w:w="2972" w:type="dxa"/>
            <w:shd w:val="clear" w:color="auto" w:fill="F2F2F2" w:themeFill="background1" w:themeFillShade="F2"/>
            <w:vAlign w:val="center"/>
          </w:tcPr>
          <w:p w14:paraId="174C75D3" w14:textId="77777777" w:rsidR="000B148D" w:rsidRPr="00966FF8" w:rsidRDefault="000B148D" w:rsidP="00617689">
            <w:pPr>
              <w:pStyle w:val="Tablebody"/>
              <w:keepNext/>
              <w:spacing w:before="0" w:after="0"/>
              <w:rPr>
                <w:rFonts w:cs="Arial"/>
              </w:rPr>
            </w:pPr>
            <w:r w:rsidRPr="00966FF8">
              <w:rPr>
                <w:rFonts w:eastAsia="Times New Roman" w:cs="Arial"/>
              </w:rPr>
              <w:t>Presence of baseline liver metastases, n (%)</w:t>
            </w:r>
          </w:p>
        </w:tc>
        <w:tc>
          <w:tcPr>
            <w:tcW w:w="1485" w:type="dxa"/>
            <w:vAlign w:val="center"/>
          </w:tcPr>
          <w:p w14:paraId="6B50E8DB" w14:textId="3A55DA66" w:rsidR="000B148D" w:rsidRPr="00294FDC" w:rsidRDefault="00294FDC" w:rsidP="00617689">
            <w:pPr>
              <w:pStyle w:val="Tablebody"/>
              <w:spacing w:before="0" w:after="0"/>
              <w:jc w:val="center"/>
              <w:rPr>
                <w:rFonts w:cs="Arial"/>
                <w:color w:val="000000"/>
                <w:highlight w:val="black"/>
              </w:rPr>
            </w:pPr>
            <w:r w:rsidRPr="00294FDC">
              <w:rPr>
                <w:rFonts w:eastAsia="Times New Roman" w:cs="Arial"/>
                <w:color w:val="000000"/>
                <w:highlight w:val="black"/>
              </w:rPr>
              <w:t>xxxxxxxxxx</w:t>
            </w:r>
          </w:p>
        </w:tc>
        <w:tc>
          <w:tcPr>
            <w:tcW w:w="1486" w:type="dxa"/>
            <w:vAlign w:val="center"/>
          </w:tcPr>
          <w:p w14:paraId="1A020529" w14:textId="786E741C" w:rsidR="000B148D" w:rsidRPr="00294FDC" w:rsidRDefault="00294FDC" w:rsidP="00617689">
            <w:pPr>
              <w:pStyle w:val="Tablebody"/>
              <w:spacing w:before="0" w:after="0"/>
              <w:jc w:val="center"/>
              <w:rPr>
                <w:rFonts w:cs="Arial"/>
                <w:color w:val="000000"/>
                <w:highlight w:val="black"/>
              </w:rPr>
            </w:pPr>
            <w:r w:rsidRPr="00294FDC">
              <w:rPr>
                <w:rFonts w:eastAsia="Times New Roman" w:cs="Arial"/>
                <w:color w:val="000000"/>
                <w:highlight w:val="black"/>
              </w:rPr>
              <w:t>xxxxxxxxxx</w:t>
            </w:r>
          </w:p>
        </w:tc>
        <w:tc>
          <w:tcPr>
            <w:tcW w:w="1485" w:type="dxa"/>
            <w:vAlign w:val="center"/>
          </w:tcPr>
          <w:p w14:paraId="5A8CA313" w14:textId="20C239A0" w:rsidR="000B148D" w:rsidRPr="00294FDC" w:rsidRDefault="00294FDC" w:rsidP="00617689">
            <w:pPr>
              <w:pStyle w:val="Tablebody"/>
              <w:spacing w:before="0" w:after="0"/>
              <w:jc w:val="center"/>
              <w:rPr>
                <w:rFonts w:cs="Arial"/>
                <w:color w:val="000000"/>
                <w:highlight w:val="black"/>
              </w:rPr>
            </w:pPr>
            <w:r w:rsidRPr="00294FDC">
              <w:rPr>
                <w:rFonts w:eastAsia="Times New Roman" w:cs="Arial"/>
                <w:color w:val="000000"/>
                <w:highlight w:val="black"/>
              </w:rPr>
              <w:t>xxxxxxxxxx</w:t>
            </w:r>
          </w:p>
        </w:tc>
        <w:tc>
          <w:tcPr>
            <w:tcW w:w="1486" w:type="dxa"/>
            <w:vAlign w:val="center"/>
          </w:tcPr>
          <w:p w14:paraId="6058FE0C" w14:textId="10A9723A" w:rsidR="000B148D" w:rsidRPr="00294FDC" w:rsidRDefault="00294FDC" w:rsidP="00617689">
            <w:pPr>
              <w:pStyle w:val="Tablebody"/>
              <w:spacing w:before="0" w:after="0"/>
              <w:jc w:val="center"/>
              <w:rPr>
                <w:rFonts w:cs="Arial"/>
                <w:color w:val="000000"/>
                <w:highlight w:val="black"/>
              </w:rPr>
            </w:pPr>
            <w:r w:rsidRPr="00294FDC">
              <w:rPr>
                <w:rFonts w:eastAsia="Times New Roman" w:cs="Arial"/>
                <w:color w:val="000000"/>
                <w:highlight w:val="black"/>
              </w:rPr>
              <w:t>xxxxxxxxxx</w:t>
            </w:r>
          </w:p>
        </w:tc>
      </w:tr>
      <w:tr w:rsidR="000B148D" w:rsidRPr="00966FF8" w14:paraId="77471A18" w14:textId="77777777">
        <w:trPr>
          <w:trHeight w:val="20"/>
        </w:trPr>
        <w:tc>
          <w:tcPr>
            <w:tcW w:w="2972" w:type="dxa"/>
            <w:shd w:val="clear" w:color="auto" w:fill="F2F2F2" w:themeFill="background1" w:themeFillShade="F2"/>
            <w:vAlign w:val="center"/>
          </w:tcPr>
          <w:p w14:paraId="7781716C" w14:textId="77777777" w:rsidR="000B148D" w:rsidRPr="00966FF8" w:rsidRDefault="000B148D" w:rsidP="00617689">
            <w:pPr>
              <w:pStyle w:val="Tablebody"/>
              <w:spacing w:before="0" w:after="0"/>
            </w:pPr>
            <w:r w:rsidRPr="00966FF8">
              <w:t>Baseline visceral disease, n (%)</w:t>
            </w:r>
          </w:p>
        </w:tc>
        <w:tc>
          <w:tcPr>
            <w:tcW w:w="1485" w:type="dxa"/>
            <w:vAlign w:val="center"/>
          </w:tcPr>
          <w:p w14:paraId="3BE92343" w14:textId="5C946FC7" w:rsidR="000B148D" w:rsidRPr="00294FDC" w:rsidRDefault="00294FDC" w:rsidP="00617689">
            <w:pPr>
              <w:pStyle w:val="Tablebody"/>
              <w:spacing w:before="0" w:after="0"/>
              <w:jc w:val="center"/>
              <w:rPr>
                <w:color w:val="000000"/>
                <w:highlight w:val="black"/>
              </w:rPr>
            </w:pPr>
            <w:r w:rsidRPr="00294FDC">
              <w:rPr>
                <w:color w:val="000000"/>
                <w:highlight w:val="black"/>
              </w:rPr>
              <w:t>xxxxxxxxxx</w:t>
            </w:r>
          </w:p>
        </w:tc>
        <w:tc>
          <w:tcPr>
            <w:tcW w:w="1486" w:type="dxa"/>
            <w:vAlign w:val="center"/>
          </w:tcPr>
          <w:p w14:paraId="79FA91E2" w14:textId="68F711BC" w:rsidR="000B148D" w:rsidRPr="00294FDC" w:rsidRDefault="00294FDC" w:rsidP="00617689">
            <w:pPr>
              <w:pStyle w:val="Tablebody"/>
              <w:spacing w:before="0" w:after="0"/>
              <w:jc w:val="center"/>
              <w:rPr>
                <w:color w:val="000000"/>
                <w:highlight w:val="black"/>
              </w:rPr>
            </w:pPr>
            <w:r w:rsidRPr="00294FDC">
              <w:rPr>
                <w:color w:val="000000"/>
                <w:highlight w:val="black"/>
              </w:rPr>
              <w:t>xxxxxxxxxx</w:t>
            </w:r>
          </w:p>
        </w:tc>
        <w:tc>
          <w:tcPr>
            <w:tcW w:w="1485" w:type="dxa"/>
            <w:vAlign w:val="center"/>
          </w:tcPr>
          <w:p w14:paraId="1CBB956C" w14:textId="1240E20D" w:rsidR="000B148D" w:rsidRPr="00294FDC" w:rsidRDefault="00294FDC" w:rsidP="00617689">
            <w:pPr>
              <w:pStyle w:val="Tablebody"/>
              <w:spacing w:before="0" w:after="0"/>
              <w:jc w:val="center"/>
              <w:rPr>
                <w:color w:val="000000"/>
                <w:highlight w:val="black"/>
              </w:rPr>
            </w:pPr>
            <w:r w:rsidRPr="00294FDC">
              <w:rPr>
                <w:color w:val="000000"/>
                <w:highlight w:val="black"/>
              </w:rPr>
              <w:t>xxxxxxxxxx</w:t>
            </w:r>
          </w:p>
        </w:tc>
        <w:tc>
          <w:tcPr>
            <w:tcW w:w="1486" w:type="dxa"/>
            <w:vAlign w:val="center"/>
          </w:tcPr>
          <w:p w14:paraId="63600FB2" w14:textId="775A44BD" w:rsidR="000B148D" w:rsidRPr="00294FDC" w:rsidRDefault="00294FDC" w:rsidP="00617689">
            <w:pPr>
              <w:pStyle w:val="Tablebody"/>
              <w:spacing w:before="0" w:after="0"/>
              <w:jc w:val="center"/>
              <w:rPr>
                <w:color w:val="000000"/>
                <w:highlight w:val="black"/>
              </w:rPr>
            </w:pPr>
            <w:r w:rsidRPr="00294FDC">
              <w:rPr>
                <w:color w:val="000000"/>
                <w:highlight w:val="black"/>
              </w:rPr>
              <w:t>xxxxxxxxxx</w:t>
            </w:r>
          </w:p>
        </w:tc>
      </w:tr>
      <w:tr w:rsidR="000B148D" w:rsidRPr="00966FF8" w14:paraId="70A79EAB" w14:textId="77777777">
        <w:trPr>
          <w:trHeight w:val="20"/>
        </w:trPr>
        <w:tc>
          <w:tcPr>
            <w:tcW w:w="8914" w:type="dxa"/>
            <w:gridSpan w:val="5"/>
            <w:shd w:val="clear" w:color="auto" w:fill="F2F2F2" w:themeFill="background1" w:themeFillShade="F2"/>
            <w:vAlign w:val="center"/>
          </w:tcPr>
          <w:p w14:paraId="7DC10346" w14:textId="77777777" w:rsidR="000B148D" w:rsidRPr="00966FF8" w:rsidRDefault="000B148D" w:rsidP="00617689">
            <w:pPr>
              <w:pStyle w:val="Tablebody"/>
              <w:spacing w:before="0" w:after="0"/>
            </w:pPr>
            <w:r>
              <w:t>Prior lines of systemic therapy in any setting, n (%)</w:t>
            </w:r>
          </w:p>
        </w:tc>
      </w:tr>
      <w:tr w:rsidR="000B148D" w:rsidRPr="00966FF8" w14:paraId="6101DB09" w14:textId="77777777">
        <w:trPr>
          <w:trHeight w:val="20"/>
        </w:trPr>
        <w:tc>
          <w:tcPr>
            <w:tcW w:w="2972" w:type="dxa"/>
            <w:shd w:val="clear" w:color="auto" w:fill="F2F2F2" w:themeFill="background1" w:themeFillShade="F2"/>
            <w:vAlign w:val="center"/>
          </w:tcPr>
          <w:p w14:paraId="697F0B44" w14:textId="77777777" w:rsidR="000B148D" w:rsidRPr="00966FF8" w:rsidRDefault="000B148D" w:rsidP="00617689">
            <w:pPr>
              <w:pStyle w:val="Tablebody"/>
              <w:spacing w:before="0" w:after="0"/>
              <w:ind w:firstLine="112"/>
            </w:pPr>
            <w:r>
              <w:t>1</w:t>
            </w:r>
          </w:p>
        </w:tc>
        <w:tc>
          <w:tcPr>
            <w:tcW w:w="1485" w:type="dxa"/>
            <w:vAlign w:val="center"/>
          </w:tcPr>
          <w:p w14:paraId="49E0275D" w14:textId="2E7C1FF9" w:rsidR="000B148D" w:rsidRPr="00294FDC" w:rsidRDefault="00294FDC" w:rsidP="00617689">
            <w:pPr>
              <w:pStyle w:val="Tablebody"/>
              <w:spacing w:before="0" w:after="0"/>
              <w:jc w:val="center"/>
              <w:rPr>
                <w:color w:val="000000"/>
                <w:highlight w:val="black"/>
              </w:rPr>
            </w:pPr>
            <w:r w:rsidRPr="00294FDC">
              <w:rPr>
                <w:color w:val="000000"/>
                <w:highlight w:val="black"/>
              </w:rPr>
              <w:t>xxxxxxxx</w:t>
            </w:r>
          </w:p>
        </w:tc>
        <w:tc>
          <w:tcPr>
            <w:tcW w:w="1486" w:type="dxa"/>
            <w:vAlign w:val="center"/>
          </w:tcPr>
          <w:p w14:paraId="3752F7B2" w14:textId="2D86A097" w:rsidR="000B148D" w:rsidRPr="00294FDC" w:rsidRDefault="00294FDC" w:rsidP="00617689">
            <w:pPr>
              <w:pStyle w:val="Tablebody"/>
              <w:spacing w:before="0" w:after="0"/>
              <w:jc w:val="center"/>
              <w:rPr>
                <w:color w:val="000000"/>
                <w:highlight w:val="black"/>
              </w:rPr>
            </w:pPr>
            <w:r w:rsidRPr="00294FDC">
              <w:rPr>
                <w:color w:val="000000"/>
                <w:highlight w:val="black"/>
              </w:rPr>
              <w:t>xxxxxxx</w:t>
            </w:r>
          </w:p>
        </w:tc>
        <w:tc>
          <w:tcPr>
            <w:tcW w:w="1485" w:type="dxa"/>
            <w:vAlign w:val="center"/>
          </w:tcPr>
          <w:p w14:paraId="04F54A80" w14:textId="3CB2BF14" w:rsidR="000B148D" w:rsidRPr="00294FDC" w:rsidRDefault="00294FDC" w:rsidP="00617689">
            <w:pPr>
              <w:pStyle w:val="Tablebody"/>
              <w:spacing w:before="0" w:after="0"/>
              <w:jc w:val="center"/>
              <w:rPr>
                <w:color w:val="000000"/>
                <w:highlight w:val="black"/>
              </w:rPr>
            </w:pPr>
            <w:r w:rsidRPr="00294FDC">
              <w:rPr>
                <w:color w:val="000000"/>
                <w:highlight w:val="black"/>
              </w:rPr>
              <w:t>xxxxxxx</w:t>
            </w:r>
          </w:p>
        </w:tc>
        <w:tc>
          <w:tcPr>
            <w:tcW w:w="1486" w:type="dxa"/>
            <w:vAlign w:val="center"/>
          </w:tcPr>
          <w:p w14:paraId="5137B404" w14:textId="6BBC99F6" w:rsidR="000B148D" w:rsidRPr="00294FDC" w:rsidRDefault="00294FDC" w:rsidP="00617689">
            <w:pPr>
              <w:pStyle w:val="Tablebody"/>
              <w:spacing w:before="0" w:after="0"/>
              <w:jc w:val="center"/>
              <w:rPr>
                <w:color w:val="000000"/>
                <w:highlight w:val="black"/>
              </w:rPr>
            </w:pPr>
            <w:r w:rsidRPr="00294FDC">
              <w:rPr>
                <w:color w:val="000000"/>
                <w:highlight w:val="black"/>
              </w:rPr>
              <w:t>xxxxxxx</w:t>
            </w:r>
          </w:p>
        </w:tc>
      </w:tr>
      <w:tr w:rsidR="000B148D" w:rsidRPr="00966FF8" w14:paraId="287F5A3A" w14:textId="77777777">
        <w:trPr>
          <w:trHeight w:val="20"/>
        </w:trPr>
        <w:tc>
          <w:tcPr>
            <w:tcW w:w="2972" w:type="dxa"/>
            <w:shd w:val="clear" w:color="auto" w:fill="F2F2F2" w:themeFill="background1" w:themeFillShade="F2"/>
            <w:vAlign w:val="center"/>
          </w:tcPr>
          <w:p w14:paraId="1F3CE374" w14:textId="77777777" w:rsidR="000B148D" w:rsidRPr="00966FF8" w:rsidRDefault="000B148D" w:rsidP="00617689">
            <w:pPr>
              <w:pStyle w:val="Tablebody"/>
              <w:spacing w:before="0" w:after="0"/>
              <w:ind w:firstLine="112"/>
            </w:pPr>
            <w:r>
              <w:t>2</w:t>
            </w:r>
          </w:p>
        </w:tc>
        <w:tc>
          <w:tcPr>
            <w:tcW w:w="1485" w:type="dxa"/>
            <w:vAlign w:val="center"/>
          </w:tcPr>
          <w:p w14:paraId="7DEEA44A" w14:textId="58E71888" w:rsidR="000B148D" w:rsidRPr="00294FDC" w:rsidRDefault="00294FDC" w:rsidP="00617689">
            <w:pPr>
              <w:pStyle w:val="Tablebody"/>
              <w:spacing w:before="0" w:after="0"/>
              <w:jc w:val="center"/>
              <w:rPr>
                <w:color w:val="000000"/>
                <w:highlight w:val="black"/>
              </w:rPr>
            </w:pPr>
            <w:r w:rsidRPr="00294FDC">
              <w:rPr>
                <w:color w:val="000000"/>
                <w:highlight w:val="black"/>
              </w:rPr>
              <w:t>xxxxxxxxx</w:t>
            </w:r>
          </w:p>
        </w:tc>
        <w:tc>
          <w:tcPr>
            <w:tcW w:w="1486" w:type="dxa"/>
            <w:vAlign w:val="center"/>
          </w:tcPr>
          <w:p w14:paraId="4721B234" w14:textId="3BAC34AA" w:rsidR="000B148D" w:rsidRPr="00294FDC" w:rsidRDefault="00294FDC" w:rsidP="00617689">
            <w:pPr>
              <w:pStyle w:val="Tablebody"/>
              <w:spacing w:before="0" w:after="0"/>
              <w:jc w:val="center"/>
              <w:rPr>
                <w:color w:val="000000"/>
                <w:highlight w:val="black"/>
              </w:rPr>
            </w:pPr>
            <w:r w:rsidRPr="00294FDC">
              <w:rPr>
                <w:color w:val="000000"/>
                <w:highlight w:val="black"/>
              </w:rPr>
              <w:t>xxxxxxxxx</w:t>
            </w:r>
          </w:p>
        </w:tc>
        <w:tc>
          <w:tcPr>
            <w:tcW w:w="1485" w:type="dxa"/>
            <w:vAlign w:val="center"/>
          </w:tcPr>
          <w:p w14:paraId="72BE5086" w14:textId="714856C2" w:rsidR="000B148D" w:rsidRPr="00294FDC" w:rsidRDefault="00294FDC" w:rsidP="00617689">
            <w:pPr>
              <w:pStyle w:val="Tablebody"/>
              <w:spacing w:before="0" w:after="0"/>
              <w:jc w:val="center"/>
              <w:rPr>
                <w:color w:val="000000"/>
                <w:highlight w:val="black"/>
              </w:rPr>
            </w:pPr>
            <w:r w:rsidRPr="00294FDC">
              <w:rPr>
                <w:color w:val="000000"/>
                <w:highlight w:val="black"/>
              </w:rPr>
              <w:t>xxxxxxxxx</w:t>
            </w:r>
          </w:p>
        </w:tc>
        <w:tc>
          <w:tcPr>
            <w:tcW w:w="1486" w:type="dxa"/>
            <w:vAlign w:val="center"/>
          </w:tcPr>
          <w:p w14:paraId="0A242A81" w14:textId="3BE64F10" w:rsidR="000B148D" w:rsidRPr="00294FDC" w:rsidRDefault="00294FDC" w:rsidP="00617689">
            <w:pPr>
              <w:pStyle w:val="Tablebody"/>
              <w:spacing w:before="0" w:after="0"/>
              <w:jc w:val="center"/>
              <w:rPr>
                <w:color w:val="000000"/>
                <w:highlight w:val="black"/>
              </w:rPr>
            </w:pPr>
            <w:r w:rsidRPr="00294FDC">
              <w:rPr>
                <w:color w:val="000000"/>
                <w:highlight w:val="black"/>
              </w:rPr>
              <w:t>xxxxxxxxx</w:t>
            </w:r>
          </w:p>
        </w:tc>
      </w:tr>
      <w:tr w:rsidR="000B148D" w:rsidRPr="00966FF8" w14:paraId="6D0A1B7D" w14:textId="77777777">
        <w:trPr>
          <w:trHeight w:val="20"/>
        </w:trPr>
        <w:tc>
          <w:tcPr>
            <w:tcW w:w="2972" w:type="dxa"/>
            <w:shd w:val="clear" w:color="auto" w:fill="F2F2F2" w:themeFill="background1" w:themeFillShade="F2"/>
            <w:vAlign w:val="center"/>
          </w:tcPr>
          <w:p w14:paraId="38B521DC" w14:textId="77777777" w:rsidR="000B148D" w:rsidRPr="00966FF8" w:rsidRDefault="000B148D" w:rsidP="00617689">
            <w:pPr>
              <w:pStyle w:val="Tablebody"/>
              <w:spacing w:before="0" w:after="0"/>
              <w:ind w:firstLine="112"/>
            </w:pPr>
            <w:r w:rsidRPr="00966FF8">
              <w:rPr>
                <w:rFonts w:cs="Arial"/>
              </w:rPr>
              <w:t>≥</w:t>
            </w:r>
            <w:r w:rsidRPr="00966FF8">
              <w:t>3</w:t>
            </w:r>
          </w:p>
        </w:tc>
        <w:tc>
          <w:tcPr>
            <w:tcW w:w="1485" w:type="dxa"/>
            <w:vAlign w:val="center"/>
          </w:tcPr>
          <w:p w14:paraId="17E0D701" w14:textId="3516B7FF" w:rsidR="000B148D" w:rsidRPr="00294FDC" w:rsidRDefault="00294FDC" w:rsidP="00617689">
            <w:pPr>
              <w:pStyle w:val="Tablebody"/>
              <w:spacing w:before="0" w:after="0"/>
              <w:jc w:val="center"/>
              <w:rPr>
                <w:color w:val="000000"/>
                <w:highlight w:val="black"/>
              </w:rPr>
            </w:pPr>
            <w:r w:rsidRPr="00294FDC">
              <w:rPr>
                <w:color w:val="000000"/>
                <w:highlight w:val="black"/>
              </w:rPr>
              <w:t>xxxxxxxxxx</w:t>
            </w:r>
          </w:p>
        </w:tc>
        <w:tc>
          <w:tcPr>
            <w:tcW w:w="1486" w:type="dxa"/>
            <w:vAlign w:val="center"/>
          </w:tcPr>
          <w:p w14:paraId="27A5124A" w14:textId="0A818116" w:rsidR="000B148D" w:rsidRPr="00294FDC" w:rsidRDefault="00294FDC" w:rsidP="00617689">
            <w:pPr>
              <w:pStyle w:val="Tablebody"/>
              <w:spacing w:before="0" w:after="0"/>
              <w:jc w:val="center"/>
              <w:rPr>
                <w:color w:val="000000"/>
                <w:highlight w:val="black"/>
              </w:rPr>
            </w:pPr>
            <w:r w:rsidRPr="00294FDC">
              <w:rPr>
                <w:color w:val="000000"/>
                <w:highlight w:val="black"/>
              </w:rPr>
              <w:t>xxxxxxxxxx</w:t>
            </w:r>
          </w:p>
        </w:tc>
        <w:tc>
          <w:tcPr>
            <w:tcW w:w="1485" w:type="dxa"/>
            <w:vAlign w:val="center"/>
          </w:tcPr>
          <w:p w14:paraId="02BB5AF5" w14:textId="6C5D261F" w:rsidR="000B148D" w:rsidRPr="00294FDC" w:rsidRDefault="00294FDC" w:rsidP="00617689">
            <w:pPr>
              <w:pStyle w:val="Tablebody"/>
              <w:spacing w:before="0" w:after="0"/>
              <w:jc w:val="center"/>
              <w:rPr>
                <w:color w:val="000000"/>
                <w:highlight w:val="black"/>
              </w:rPr>
            </w:pPr>
            <w:r w:rsidRPr="00294FDC">
              <w:rPr>
                <w:color w:val="000000"/>
                <w:highlight w:val="black"/>
              </w:rPr>
              <w:t>xxxxxxxxxx</w:t>
            </w:r>
          </w:p>
        </w:tc>
        <w:tc>
          <w:tcPr>
            <w:tcW w:w="1486" w:type="dxa"/>
            <w:vAlign w:val="center"/>
          </w:tcPr>
          <w:p w14:paraId="689D13B6" w14:textId="43BAA807" w:rsidR="000B148D" w:rsidRPr="00294FDC" w:rsidRDefault="00294FDC" w:rsidP="00617689">
            <w:pPr>
              <w:pStyle w:val="Tablebody"/>
              <w:spacing w:before="0" w:after="0"/>
              <w:jc w:val="center"/>
              <w:rPr>
                <w:color w:val="000000"/>
                <w:highlight w:val="black"/>
              </w:rPr>
            </w:pPr>
            <w:r w:rsidRPr="00294FDC">
              <w:rPr>
                <w:color w:val="000000"/>
                <w:highlight w:val="black"/>
              </w:rPr>
              <w:t>xxxxxxxxxx</w:t>
            </w:r>
          </w:p>
        </w:tc>
      </w:tr>
      <w:tr w:rsidR="000B148D" w:rsidRPr="00966FF8" w14:paraId="66368423" w14:textId="77777777">
        <w:trPr>
          <w:trHeight w:val="20"/>
        </w:trPr>
        <w:tc>
          <w:tcPr>
            <w:tcW w:w="2972" w:type="dxa"/>
            <w:shd w:val="clear" w:color="auto" w:fill="F2F2F2" w:themeFill="background1" w:themeFillShade="F2"/>
            <w:vAlign w:val="center"/>
          </w:tcPr>
          <w:p w14:paraId="37CD6A3F" w14:textId="77777777" w:rsidR="000B148D" w:rsidRDefault="000B148D" w:rsidP="00617689">
            <w:pPr>
              <w:pStyle w:val="Tablebody"/>
              <w:spacing w:before="0" w:after="0"/>
              <w:ind w:firstLine="112"/>
              <w:rPr>
                <w:rFonts w:cs="Arial"/>
              </w:rPr>
            </w:pPr>
            <w:r>
              <w:rPr>
                <w:rFonts w:cs="Arial"/>
              </w:rPr>
              <w:t>Mean (SD)</w:t>
            </w:r>
          </w:p>
        </w:tc>
        <w:tc>
          <w:tcPr>
            <w:tcW w:w="1485" w:type="dxa"/>
            <w:vAlign w:val="center"/>
          </w:tcPr>
          <w:p w14:paraId="5E71B2A6" w14:textId="54324824" w:rsidR="000B148D" w:rsidRPr="00294FDC" w:rsidRDefault="00294FDC" w:rsidP="00617689">
            <w:pPr>
              <w:pStyle w:val="Tablebody"/>
              <w:spacing w:before="0" w:after="0"/>
              <w:jc w:val="center"/>
              <w:rPr>
                <w:color w:val="000000"/>
                <w:highlight w:val="black"/>
              </w:rPr>
            </w:pPr>
            <w:r w:rsidRPr="00294FDC">
              <w:rPr>
                <w:color w:val="000000"/>
                <w:highlight w:val="black"/>
              </w:rPr>
              <w:t>xxxxxxxxxx</w:t>
            </w:r>
          </w:p>
        </w:tc>
        <w:tc>
          <w:tcPr>
            <w:tcW w:w="1486" w:type="dxa"/>
            <w:vAlign w:val="center"/>
          </w:tcPr>
          <w:p w14:paraId="4ADF7A3F" w14:textId="1B13FB1C" w:rsidR="000B148D" w:rsidRPr="00294FDC" w:rsidRDefault="00294FDC" w:rsidP="00617689">
            <w:pPr>
              <w:pStyle w:val="Tablebody"/>
              <w:spacing w:before="0" w:after="0"/>
              <w:jc w:val="center"/>
              <w:rPr>
                <w:color w:val="000000"/>
                <w:highlight w:val="black"/>
              </w:rPr>
            </w:pPr>
            <w:r w:rsidRPr="00294FDC">
              <w:rPr>
                <w:color w:val="000000"/>
                <w:highlight w:val="black"/>
              </w:rPr>
              <w:t>xxxxxxxxxx</w:t>
            </w:r>
          </w:p>
        </w:tc>
        <w:tc>
          <w:tcPr>
            <w:tcW w:w="1485" w:type="dxa"/>
            <w:vAlign w:val="center"/>
          </w:tcPr>
          <w:p w14:paraId="7A61AAF5" w14:textId="3EC981FD" w:rsidR="000B148D" w:rsidRPr="00294FDC" w:rsidRDefault="00294FDC" w:rsidP="00617689">
            <w:pPr>
              <w:pStyle w:val="Tablebody"/>
              <w:spacing w:before="0" w:after="0"/>
              <w:jc w:val="center"/>
              <w:rPr>
                <w:color w:val="000000"/>
                <w:highlight w:val="black"/>
              </w:rPr>
            </w:pPr>
            <w:r w:rsidRPr="00294FDC">
              <w:rPr>
                <w:color w:val="000000"/>
                <w:highlight w:val="black"/>
              </w:rPr>
              <w:t>xxxxxxxxxx</w:t>
            </w:r>
          </w:p>
        </w:tc>
        <w:tc>
          <w:tcPr>
            <w:tcW w:w="1486" w:type="dxa"/>
            <w:vAlign w:val="center"/>
          </w:tcPr>
          <w:p w14:paraId="0FE884AC" w14:textId="53E0445B" w:rsidR="000B148D" w:rsidRPr="00294FDC" w:rsidRDefault="00294FDC" w:rsidP="00617689">
            <w:pPr>
              <w:pStyle w:val="Tablebody"/>
              <w:spacing w:before="0" w:after="0"/>
              <w:jc w:val="center"/>
              <w:rPr>
                <w:color w:val="000000"/>
                <w:highlight w:val="black"/>
              </w:rPr>
            </w:pPr>
            <w:r w:rsidRPr="00294FDC">
              <w:rPr>
                <w:color w:val="000000"/>
                <w:highlight w:val="black"/>
              </w:rPr>
              <w:t>xxxxxxxxxx</w:t>
            </w:r>
          </w:p>
        </w:tc>
      </w:tr>
      <w:tr w:rsidR="000B148D" w:rsidRPr="00966FF8" w14:paraId="5947D323" w14:textId="77777777">
        <w:trPr>
          <w:trHeight w:val="20"/>
        </w:trPr>
        <w:tc>
          <w:tcPr>
            <w:tcW w:w="2972" w:type="dxa"/>
            <w:shd w:val="clear" w:color="auto" w:fill="F2F2F2" w:themeFill="background1" w:themeFillShade="F2"/>
            <w:vAlign w:val="center"/>
          </w:tcPr>
          <w:p w14:paraId="547821C2" w14:textId="77777777" w:rsidR="000B148D" w:rsidRPr="00966FF8" w:rsidRDefault="000B148D" w:rsidP="00617689">
            <w:pPr>
              <w:pStyle w:val="Tablebody"/>
              <w:spacing w:before="0" w:after="0"/>
              <w:ind w:firstLine="112"/>
              <w:rPr>
                <w:rFonts w:cs="Arial"/>
              </w:rPr>
            </w:pPr>
            <w:r>
              <w:rPr>
                <w:rFonts w:cs="Arial"/>
              </w:rPr>
              <w:t>Median</w:t>
            </w:r>
          </w:p>
        </w:tc>
        <w:tc>
          <w:tcPr>
            <w:tcW w:w="1485" w:type="dxa"/>
            <w:vAlign w:val="center"/>
          </w:tcPr>
          <w:p w14:paraId="1FB3F0A9" w14:textId="09F30B14" w:rsidR="000B148D" w:rsidRPr="00294FDC" w:rsidRDefault="00294FDC" w:rsidP="00617689">
            <w:pPr>
              <w:pStyle w:val="Tablebody"/>
              <w:spacing w:before="0" w:after="0"/>
              <w:jc w:val="center"/>
              <w:rPr>
                <w:color w:val="000000"/>
                <w:highlight w:val="black"/>
              </w:rPr>
            </w:pPr>
            <w:r w:rsidRPr="00294FDC">
              <w:rPr>
                <w:color w:val="000000"/>
                <w:highlight w:val="black"/>
              </w:rPr>
              <w:t>x</w:t>
            </w:r>
          </w:p>
        </w:tc>
        <w:tc>
          <w:tcPr>
            <w:tcW w:w="1486" w:type="dxa"/>
            <w:vAlign w:val="center"/>
          </w:tcPr>
          <w:p w14:paraId="55244D6C" w14:textId="3727A41D" w:rsidR="000B148D" w:rsidRPr="00294FDC" w:rsidRDefault="00294FDC" w:rsidP="00617689">
            <w:pPr>
              <w:pStyle w:val="Tablebody"/>
              <w:spacing w:before="0" w:after="0"/>
              <w:jc w:val="center"/>
              <w:rPr>
                <w:color w:val="000000"/>
                <w:highlight w:val="black"/>
              </w:rPr>
            </w:pPr>
            <w:r w:rsidRPr="00294FDC">
              <w:rPr>
                <w:color w:val="000000"/>
                <w:highlight w:val="black"/>
              </w:rPr>
              <w:t>x</w:t>
            </w:r>
          </w:p>
        </w:tc>
        <w:tc>
          <w:tcPr>
            <w:tcW w:w="1485" w:type="dxa"/>
            <w:vAlign w:val="center"/>
          </w:tcPr>
          <w:p w14:paraId="6CBB13C1" w14:textId="67F510D8" w:rsidR="000B148D" w:rsidRPr="00294FDC" w:rsidRDefault="00294FDC" w:rsidP="00617689">
            <w:pPr>
              <w:pStyle w:val="Tablebody"/>
              <w:spacing w:before="0" w:after="0"/>
              <w:jc w:val="center"/>
              <w:rPr>
                <w:color w:val="000000"/>
                <w:highlight w:val="black"/>
              </w:rPr>
            </w:pPr>
            <w:r w:rsidRPr="00294FDC">
              <w:rPr>
                <w:color w:val="000000"/>
                <w:highlight w:val="black"/>
              </w:rPr>
              <w:t>x</w:t>
            </w:r>
          </w:p>
        </w:tc>
        <w:tc>
          <w:tcPr>
            <w:tcW w:w="1486" w:type="dxa"/>
            <w:vAlign w:val="center"/>
          </w:tcPr>
          <w:p w14:paraId="5FF1C60D" w14:textId="2F9EF2E3" w:rsidR="000B148D" w:rsidRPr="00294FDC" w:rsidRDefault="00294FDC" w:rsidP="00617689">
            <w:pPr>
              <w:pStyle w:val="Tablebody"/>
              <w:spacing w:before="0" w:after="0"/>
              <w:jc w:val="center"/>
              <w:rPr>
                <w:color w:val="000000"/>
                <w:highlight w:val="black"/>
              </w:rPr>
            </w:pPr>
            <w:r w:rsidRPr="00294FDC">
              <w:rPr>
                <w:color w:val="000000"/>
                <w:highlight w:val="black"/>
              </w:rPr>
              <w:t>x</w:t>
            </w:r>
          </w:p>
        </w:tc>
      </w:tr>
      <w:tr w:rsidR="000B148D" w:rsidRPr="00966FF8" w14:paraId="2F8A0413" w14:textId="77777777">
        <w:trPr>
          <w:trHeight w:val="20"/>
        </w:trPr>
        <w:tc>
          <w:tcPr>
            <w:tcW w:w="8914" w:type="dxa"/>
            <w:gridSpan w:val="5"/>
            <w:shd w:val="clear" w:color="auto" w:fill="F2F2F2" w:themeFill="background1" w:themeFillShade="F2"/>
            <w:vAlign w:val="center"/>
          </w:tcPr>
          <w:p w14:paraId="337BCD91" w14:textId="77777777" w:rsidR="000B148D" w:rsidRPr="00966FF8" w:rsidRDefault="000B148D" w:rsidP="00617689">
            <w:pPr>
              <w:pStyle w:val="Tablebody"/>
              <w:spacing w:before="0" w:after="0"/>
            </w:pPr>
            <w:r w:rsidRPr="00966FF8">
              <w:t>Prior lines of systemic therapy in the metastatic setting, n (%)</w:t>
            </w:r>
          </w:p>
        </w:tc>
      </w:tr>
      <w:tr w:rsidR="000B148D" w:rsidRPr="00966FF8" w14:paraId="7933DA74" w14:textId="77777777">
        <w:trPr>
          <w:trHeight w:val="20"/>
        </w:trPr>
        <w:tc>
          <w:tcPr>
            <w:tcW w:w="2972" w:type="dxa"/>
            <w:shd w:val="clear" w:color="auto" w:fill="F2F2F2" w:themeFill="background1" w:themeFillShade="F2"/>
            <w:vAlign w:val="center"/>
          </w:tcPr>
          <w:p w14:paraId="5CCB22EB" w14:textId="77777777" w:rsidR="000B148D" w:rsidRPr="00966FF8" w:rsidRDefault="000B148D" w:rsidP="00617689">
            <w:pPr>
              <w:pStyle w:val="Tablebody"/>
              <w:keepNext/>
              <w:spacing w:before="0" w:after="0"/>
              <w:ind w:left="171"/>
            </w:pPr>
            <w:r w:rsidRPr="00966FF8">
              <w:t>0</w:t>
            </w:r>
          </w:p>
        </w:tc>
        <w:tc>
          <w:tcPr>
            <w:tcW w:w="1485" w:type="dxa"/>
            <w:vAlign w:val="center"/>
          </w:tcPr>
          <w:p w14:paraId="78077F4A" w14:textId="37A38B60" w:rsidR="000B148D" w:rsidRPr="00294FDC" w:rsidRDefault="00294FDC" w:rsidP="00617689">
            <w:pPr>
              <w:pStyle w:val="Tablebody"/>
              <w:spacing w:before="0" w:after="0"/>
              <w:jc w:val="center"/>
              <w:rPr>
                <w:color w:val="000000"/>
                <w:highlight w:val="black"/>
              </w:rPr>
            </w:pPr>
            <w:r w:rsidRPr="00294FDC">
              <w:rPr>
                <w:color w:val="000000"/>
                <w:highlight w:val="black"/>
              </w:rPr>
              <w:t>xxxxxxxx</w:t>
            </w:r>
          </w:p>
        </w:tc>
        <w:tc>
          <w:tcPr>
            <w:tcW w:w="1486" w:type="dxa"/>
            <w:vAlign w:val="center"/>
          </w:tcPr>
          <w:p w14:paraId="52AB25A1" w14:textId="1F4740D0" w:rsidR="000B148D" w:rsidRPr="00294FDC" w:rsidRDefault="00294FDC" w:rsidP="00617689">
            <w:pPr>
              <w:pStyle w:val="Tablebody"/>
              <w:spacing w:before="0" w:after="0"/>
              <w:jc w:val="center"/>
              <w:rPr>
                <w:color w:val="000000"/>
                <w:highlight w:val="black"/>
              </w:rPr>
            </w:pPr>
            <w:r w:rsidRPr="00294FDC">
              <w:rPr>
                <w:color w:val="000000"/>
                <w:highlight w:val="black"/>
              </w:rPr>
              <w:t>xxxxxxxxx</w:t>
            </w:r>
          </w:p>
        </w:tc>
        <w:tc>
          <w:tcPr>
            <w:tcW w:w="1485" w:type="dxa"/>
            <w:vAlign w:val="center"/>
          </w:tcPr>
          <w:p w14:paraId="0ACF7320" w14:textId="681B3F5A" w:rsidR="000B148D" w:rsidRPr="00294FDC" w:rsidRDefault="00294FDC" w:rsidP="00617689">
            <w:pPr>
              <w:pStyle w:val="Tablebody"/>
              <w:spacing w:before="0" w:after="0"/>
              <w:jc w:val="center"/>
              <w:rPr>
                <w:color w:val="000000"/>
                <w:highlight w:val="black"/>
              </w:rPr>
            </w:pPr>
            <w:r w:rsidRPr="00294FDC">
              <w:rPr>
                <w:color w:val="000000"/>
                <w:highlight w:val="black"/>
              </w:rPr>
              <w:t>xxxxxxxxx</w:t>
            </w:r>
          </w:p>
        </w:tc>
        <w:tc>
          <w:tcPr>
            <w:tcW w:w="1486" w:type="dxa"/>
            <w:vAlign w:val="center"/>
          </w:tcPr>
          <w:p w14:paraId="538039BD" w14:textId="3BBC67A5" w:rsidR="000B148D" w:rsidRPr="00294FDC" w:rsidRDefault="00294FDC" w:rsidP="00617689">
            <w:pPr>
              <w:pStyle w:val="Tablebody"/>
              <w:spacing w:before="0" w:after="0"/>
              <w:jc w:val="center"/>
              <w:rPr>
                <w:color w:val="000000"/>
                <w:highlight w:val="black"/>
              </w:rPr>
            </w:pPr>
            <w:r w:rsidRPr="00294FDC">
              <w:rPr>
                <w:color w:val="000000"/>
                <w:highlight w:val="black"/>
              </w:rPr>
              <w:t>xxxxxxxxx</w:t>
            </w:r>
          </w:p>
        </w:tc>
      </w:tr>
      <w:tr w:rsidR="000B148D" w:rsidRPr="00966FF8" w14:paraId="1EFD7F3B" w14:textId="77777777">
        <w:trPr>
          <w:trHeight w:val="20"/>
        </w:trPr>
        <w:tc>
          <w:tcPr>
            <w:tcW w:w="2972" w:type="dxa"/>
            <w:shd w:val="clear" w:color="auto" w:fill="F2F2F2" w:themeFill="background1" w:themeFillShade="F2"/>
            <w:vAlign w:val="center"/>
          </w:tcPr>
          <w:p w14:paraId="55508954" w14:textId="77777777" w:rsidR="000B148D" w:rsidRPr="00966FF8" w:rsidRDefault="000B148D" w:rsidP="00617689">
            <w:pPr>
              <w:pStyle w:val="Tablebody"/>
              <w:keepNext/>
              <w:spacing w:before="0" w:after="0"/>
              <w:ind w:left="171"/>
            </w:pPr>
            <w:r w:rsidRPr="00966FF8">
              <w:t>1</w:t>
            </w:r>
          </w:p>
        </w:tc>
        <w:tc>
          <w:tcPr>
            <w:tcW w:w="1485" w:type="dxa"/>
            <w:vAlign w:val="center"/>
          </w:tcPr>
          <w:p w14:paraId="0DB138A8" w14:textId="62421FD8" w:rsidR="000B148D" w:rsidRPr="00294FDC" w:rsidRDefault="00294FDC" w:rsidP="00617689">
            <w:pPr>
              <w:pStyle w:val="Tablebody"/>
              <w:spacing w:before="0" w:after="0"/>
              <w:jc w:val="center"/>
              <w:rPr>
                <w:color w:val="000000"/>
                <w:highlight w:val="black"/>
              </w:rPr>
            </w:pPr>
            <w:r w:rsidRPr="00294FDC">
              <w:rPr>
                <w:color w:val="000000"/>
                <w:highlight w:val="black"/>
              </w:rPr>
              <w:t>xxxxxxxx</w:t>
            </w:r>
          </w:p>
        </w:tc>
        <w:tc>
          <w:tcPr>
            <w:tcW w:w="1486" w:type="dxa"/>
            <w:vAlign w:val="center"/>
          </w:tcPr>
          <w:p w14:paraId="62D7300A" w14:textId="4DB0DD2D" w:rsidR="000B148D" w:rsidRPr="00294FDC" w:rsidRDefault="00294FDC" w:rsidP="00617689">
            <w:pPr>
              <w:pStyle w:val="Tablebody"/>
              <w:spacing w:before="0" w:after="0"/>
              <w:jc w:val="center"/>
              <w:rPr>
                <w:color w:val="000000"/>
                <w:highlight w:val="black"/>
              </w:rPr>
            </w:pPr>
            <w:r w:rsidRPr="00294FDC">
              <w:rPr>
                <w:color w:val="000000"/>
                <w:highlight w:val="black"/>
              </w:rPr>
              <w:t>xxxxxxxx</w:t>
            </w:r>
          </w:p>
        </w:tc>
        <w:tc>
          <w:tcPr>
            <w:tcW w:w="1485" w:type="dxa"/>
            <w:vAlign w:val="center"/>
          </w:tcPr>
          <w:p w14:paraId="745AD382" w14:textId="4DC35763" w:rsidR="000B148D" w:rsidRPr="00294FDC" w:rsidRDefault="00294FDC" w:rsidP="00617689">
            <w:pPr>
              <w:pStyle w:val="Tablebody"/>
              <w:spacing w:before="0" w:after="0"/>
              <w:jc w:val="center"/>
              <w:rPr>
                <w:color w:val="000000"/>
                <w:highlight w:val="black"/>
              </w:rPr>
            </w:pPr>
            <w:r w:rsidRPr="00294FDC">
              <w:rPr>
                <w:color w:val="000000"/>
                <w:highlight w:val="black"/>
              </w:rPr>
              <w:t>xxxxxxxxx</w:t>
            </w:r>
          </w:p>
        </w:tc>
        <w:tc>
          <w:tcPr>
            <w:tcW w:w="1486" w:type="dxa"/>
            <w:vAlign w:val="center"/>
          </w:tcPr>
          <w:p w14:paraId="5B71274C" w14:textId="40ABBD0A" w:rsidR="000B148D" w:rsidRPr="00294FDC" w:rsidRDefault="00294FDC" w:rsidP="00617689">
            <w:pPr>
              <w:pStyle w:val="Tablebody"/>
              <w:spacing w:before="0" w:after="0"/>
              <w:jc w:val="center"/>
              <w:rPr>
                <w:color w:val="000000"/>
                <w:highlight w:val="black"/>
              </w:rPr>
            </w:pPr>
            <w:r w:rsidRPr="00294FDC">
              <w:rPr>
                <w:color w:val="000000"/>
                <w:highlight w:val="black"/>
              </w:rPr>
              <w:t>xxxxxxxxx</w:t>
            </w:r>
          </w:p>
        </w:tc>
      </w:tr>
      <w:tr w:rsidR="000B148D" w:rsidRPr="00966FF8" w14:paraId="2B1F2AA3" w14:textId="77777777">
        <w:trPr>
          <w:trHeight w:val="20"/>
        </w:trPr>
        <w:tc>
          <w:tcPr>
            <w:tcW w:w="2972" w:type="dxa"/>
            <w:shd w:val="clear" w:color="auto" w:fill="F2F2F2" w:themeFill="background1" w:themeFillShade="F2"/>
            <w:vAlign w:val="center"/>
          </w:tcPr>
          <w:p w14:paraId="7E06AE21" w14:textId="77777777" w:rsidR="000B148D" w:rsidRPr="00966FF8" w:rsidRDefault="000B148D" w:rsidP="00617689">
            <w:pPr>
              <w:pStyle w:val="Tablebody"/>
              <w:spacing w:before="0" w:after="0"/>
              <w:ind w:left="171"/>
            </w:pPr>
            <w:r w:rsidRPr="00966FF8">
              <w:t>2</w:t>
            </w:r>
          </w:p>
        </w:tc>
        <w:tc>
          <w:tcPr>
            <w:tcW w:w="1485" w:type="dxa"/>
            <w:vAlign w:val="center"/>
          </w:tcPr>
          <w:p w14:paraId="615334ED" w14:textId="25D1A349" w:rsidR="000B148D" w:rsidRPr="00294FDC" w:rsidRDefault="00294FDC" w:rsidP="00617689">
            <w:pPr>
              <w:pStyle w:val="Tablebody"/>
              <w:spacing w:before="0" w:after="0"/>
              <w:jc w:val="center"/>
              <w:rPr>
                <w:color w:val="000000"/>
                <w:highlight w:val="black"/>
              </w:rPr>
            </w:pPr>
            <w:r w:rsidRPr="00294FDC">
              <w:rPr>
                <w:color w:val="000000"/>
                <w:highlight w:val="black"/>
              </w:rPr>
              <w:t>xxxxxxxxx</w:t>
            </w:r>
          </w:p>
        </w:tc>
        <w:tc>
          <w:tcPr>
            <w:tcW w:w="1486" w:type="dxa"/>
            <w:vAlign w:val="center"/>
          </w:tcPr>
          <w:p w14:paraId="50225B90" w14:textId="0B2FE030" w:rsidR="000B148D" w:rsidRPr="00294FDC" w:rsidRDefault="00294FDC" w:rsidP="00617689">
            <w:pPr>
              <w:pStyle w:val="Tablebody"/>
              <w:spacing w:before="0" w:after="0"/>
              <w:jc w:val="center"/>
              <w:rPr>
                <w:color w:val="000000"/>
                <w:highlight w:val="black"/>
              </w:rPr>
            </w:pPr>
            <w:r w:rsidRPr="00294FDC">
              <w:rPr>
                <w:color w:val="000000"/>
                <w:highlight w:val="black"/>
              </w:rPr>
              <w:t>xxxxxxxx</w:t>
            </w:r>
          </w:p>
        </w:tc>
        <w:tc>
          <w:tcPr>
            <w:tcW w:w="1485" w:type="dxa"/>
            <w:vAlign w:val="center"/>
          </w:tcPr>
          <w:p w14:paraId="511F79A1" w14:textId="27E2038B" w:rsidR="000B148D" w:rsidRPr="00294FDC" w:rsidRDefault="00294FDC" w:rsidP="00617689">
            <w:pPr>
              <w:pStyle w:val="Tablebody"/>
              <w:spacing w:before="0" w:after="0"/>
              <w:jc w:val="center"/>
              <w:rPr>
                <w:color w:val="000000"/>
                <w:highlight w:val="black"/>
              </w:rPr>
            </w:pPr>
            <w:r w:rsidRPr="00294FDC">
              <w:rPr>
                <w:color w:val="000000"/>
                <w:highlight w:val="black"/>
              </w:rPr>
              <w:t>xxxxxxxxxx</w:t>
            </w:r>
          </w:p>
        </w:tc>
        <w:tc>
          <w:tcPr>
            <w:tcW w:w="1486" w:type="dxa"/>
            <w:vAlign w:val="center"/>
          </w:tcPr>
          <w:p w14:paraId="3F89F8EB" w14:textId="5A99C22E" w:rsidR="000B148D" w:rsidRPr="00294FDC" w:rsidRDefault="00294FDC" w:rsidP="00617689">
            <w:pPr>
              <w:pStyle w:val="Tablebody"/>
              <w:spacing w:before="0" w:after="0"/>
              <w:jc w:val="center"/>
              <w:rPr>
                <w:color w:val="000000"/>
                <w:highlight w:val="black"/>
              </w:rPr>
            </w:pPr>
            <w:r w:rsidRPr="00294FDC">
              <w:rPr>
                <w:color w:val="000000"/>
                <w:highlight w:val="black"/>
              </w:rPr>
              <w:t>xxxxxxxxx</w:t>
            </w:r>
          </w:p>
        </w:tc>
      </w:tr>
      <w:tr w:rsidR="000B148D" w:rsidRPr="00966FF8" w14:paraId="46F23174" w14:textId="77777777">
        <w:trPr>
          <w:trHeight w:val="20"/>
        </w:trPr>
        <w:tc>
          <w:tcPr>
            <w:tcW w:w="2972" w:type="dxa"/>
            <w:shd w:val="clear" w:color="auto" w:fill="F2F2F2" w:themeFill="background1" w:themeFillShade="F2"/>
            <w:vAlign w:val="center"/>
          </w:tcPr>
          <w:p w14:paraId="65B36BD4" w14:textId="77777777" w:rsidR="000B148D" w:rsidRPr="00966FF8" w:rsidRDefault="000B148D" w:rsidP="00617689">
            <w:pPr>
              <w:pStyle w:val="Tablebody"/>
              <w:spacing w:before="0" w:after="0"/>
              <w:ind w:left="171"/>
            </w:pPr>
            <w:r w:rsidRPr="00966FF8">
              <w:rPr>
                <w:rFonts w:cs="Arial"/>
              </w:rPr>
              <w:t>≥</w:t>
            </w:r>
            <w:r w:rsidRPr="00966FF8">
              <w:t>3</w:t>
            </w:r>
          </w:p>
        </w:tc>
        <w:tc>
          <w:tcPr>
            <w:tcW w:w="1485" w:type="dxa"/>
            <w:vAlign w:val="center"/>
          </w:tcPr>
          <w:p w14:paraId="2F3CA232" w14:textId="44BA47CA" w:rsidR="000B148D" w:rsidRPr="00294FDC" w:rsidRDefault="00294FDC" w:rsidP="00617689">
            <w:pPr>
              <w:pStyle w:val="Tablebody"/>
              <w:spacing w:before="0" w:after="0"/>
              <w:jc w:val="center"/>
              <w:rPr>
                <w:color w:val="000000"/>
                <w:highlight w:val="black"/>
              </w:rPr>
            </w:pPr>
            <w:r w:rsidRPr="00294FDC">
              <w:rPr>
                <w:color w:val="000000"/>
                <w:highlight w:val="black"/>
              </w:rPr>
              <w:t>xxxxxxxxxx</w:t>
            </w:r>
          </w:p>
        </w:tc>
        <w:tc>
          <w:tcPr>
            <w:tcW w:w="1486" w:type="dxa"/>
            <w:vAlign w:val="center"/>
          </w:tcPr>
          <w:p w14:paraId="44272D82" w14:textId="58620338" w:rsidR="000B148D" w:rsidRPr="00294FDC" w:rsidRDefault="00294FDC" w:rsidP="00617689">
            <w:pPr>
              <w:pStyle w:val="Tablebody"/>
              <w:spacing w:before="0" w:after="0"/>
              <w:jc w:val="center"/>
              <w:rPr>
                <w:color w:val="000000"/>
                <w:highlight w:val="black"/>
              </w:rPr>
            </w:pPr>
            <w:r w:rsidRPr="00294FDC">
              <w:rPr>
                <w:color w:val="000000"/>
                <w:highlight w:val="black"/>
              </w:rPr>
              <w:t>xxxxxxxxxx</w:t>
            </w:r>
          </w:p>
        </w:tc>
        <w:tc>
          <w:tcPr>
            <w:tcW w:w="1485" w:type="dxa"/>
            <w:vAlign w:val="center"/>
          </w:tcPr>
          <w:p w14:paraId="2E09A9CC" w14:textId="19A3214C" w:rsidR="000B148D" w:rsidRPr="00294FDC" w:rsidRDefault="00294FDC" w:rsidP="00617689">
            <w:pPr>
              <w:pStyle w:val="Tablebody"/>
              <w:spacing w:before="0" w:after="0"/>
              <w:jc w:val="center"/>
              <w:rPr>
                <w:color w:val="000000"/>
                <w:highlight w:val="black"/>
              </w:rPr>
            </w:pPr>
            <w:r w:rsidRPr="00294FDC">
              <w:rPr>
                <w:color w:val="000000"/>
                <w:highlight w:val="black"/>
              </w:rPr>
              <w:t>xxxxxxxxxx</w:t>
            </w:r>
          </w:p>
        </w:tc>
        <w:tc>
          <w:tcPr>
            <w:tcW w:w="1486" w:type="dxa"/>
            <w:vAlign w:val="center"/>
          </w:tcPr>
          <w:p w14:paraId="43C3BB38" w14:textId="37B78A21" w:rsidR="000B148D" w:rsidRPr="00294FDC" w:rsidRDefault="00294FDC" w:rsidP="00617689">
            <w:pPr>
              <w:pStyle w:val="Tablebody"/>
              <w:spacing w:before="0" w:after="0"/>
              <w:jc w:val="center"/>
              <w:rPr>
                <w:color w:val="000000"/>
                <w:highlight w:val="black"/>
              </w:rPr>
            </w:pPr>
            <w:r w:rsidRPr="00294FDC">
              <w:rPr>
                <w:color w:val="000000"/>
                <w:highlight w:val="black"/>
              </w:rPr>
              <w:t>xxxxxxxxxx</w:t>
            </w:r>
          </w:p>
        </w:tc>
      </w:tr>
      <w:tr w:rsidR="000B148D" w:rsidRPr="00966FF8" w14:paraId="33396AA4" w14:textId="77777777">
        <w:trPr>
          <w:trHeight w:val="20"/>
        </w:trPr>
        <w:tc>
          <w:tcPr>
            <w:tcW w:w="2972" w:type="dxa"/>
            <w:shd w:val="clear" w:color="auto" w:fill="F2F2F2" w:themeFill="background1" w:themeFillShade="F2"/>
            <w:vAlign w:val="center"/>
          </w:tcPr>
          <w:p w14:paraId="54600E60" w14:textId="77777777" w:rsidR="000B148D" w:rsidRPr="00966FF8" w:rsidRDefault="000B148D" w:rsidP="00617689">
            <w:pPr>
              <w:pStyle w:val="Tablebody"/>
              <w:spacing w:before="0" w:after="0"/>
              <w:ind w:left="171"/>
              <w:rPr>
                <w:rFonts w:cs="Arial"/>
              </w:rPr>
            </w:pPr>
            <w:r>
              <w:rPr>
                <w:rFonts w:cs="Arial"/>
              </w:rPr>
              <w:t>Mean (SD)</w:t>
            </w:r>
          </w:p>
        </w:tc>
        <w:tc>
          <w:tcPr>
            <w:tcW w:w="1485" w:type="dxa"/>
            <w:vAlign w:val="center"/>
          </w:tcPr>
          <w:p w14:paraId="04144D8C" w14:textId="4786D4EF" w:rsidR="000B148D" w:rsidRPr="00294FDC" w:rsidRDefault="00294FDC" w:rsidP="00617689">
            <w:pPr>
              <w:pStyle w:val="Tablebody"/>
              <w:spacing w:before="0" w:after="0"/>
              <w:jc w:val="center"/>
              <w:rPr>
                <w:color w:val="000000"/>
                <w:highlight w:val="black"/>
              </w:rPr>
            </w:pPr>
            <w:r w:rsidRPr="00294FDC">
              <w:rPr>
                <w:color w:val="000000"/>
                <w:highlight w:val="black"/>
              </w:rPr>
              <w:t>xxxxxxxxxx</w:t>
            </w:r>
          </w:p>
        </w:tc>
        <w:tc>
          <w:tcPr>
            <w:tcW w:w="1486" w:type="dxa"/>
            <w:vAlign w:val="center"/>
          </w:tcPr>
          <w:p w14:paraId="19EFB114" w14:textId="14034659" w:rsidR="000B148D" w:rsidRPr="00294FDC" w:rsidRDefault="00294FDC" w:rsidP="00617689">
            <w:pPr>
              <w:pStyle w:val="Tablebody"/>
              <w:spacing w:before="0" w:after="0"/>
              <w:jc w:val="center"/>
              <w:rPr>
                <w:color w:val="000000"/>
                <w:highlight w:val="black"/>
              </w:rPr>
            </w:pPr>
            <w:r w:rsidRPr="00294FDC">
              <w:rPr>
                <w:color w:val="000000"/>
                <w:highlight w:val="black"/>
              </w:rPr>
              <w:t>xxxxxxxxxx</w:t>
            </w:r>
          </w:p>
        </w:tc>
        <w:tc>
          <w:tcPr>
            <w:tcW w:w="1485" w:type="dxa"/>
            <w:vAlign w:val="center"/>
          </w:tcPr>
          <w:p w14:paraId="1B690F1B" w14:textId="2C9E8D38" w:rsidR="000B148D" w:rsidRPr="00294FDC" w:rsidRDefault="00294FDC" w:rsidP="00617689">
            <w:pPr>
              <w:pStyle w:val="Tablebody"/>
              <w:spacing w:before="0" w:after="0"/>
              <w:jc w:val="center"/>
              <w:rPr>
                <w:color w:val="000000"/>
                <w:highlight w:val="black"/>
              </w:rPr>
            </w:pPr>
            <w:r w:rsidRPr="00294FDC">
              <w:rPr>
                <w:color w:val="000000"/>
                <w:highlight w:val="black"/>
              </w:rPr>
              <w:t>xxxxxxxxxx</w:t>
            </w:r>
          </w:p>
        </w:tc>
        <w:tc>
          <w:tcPr>
            <w:tcW w:w="1486" w:type="dxa"/>
            <w:vAlign w:val="center"/>
          </w:tcPr>
          <w:p w14:paraId="2875332F" w14:textId="5D8791F1" w:rsidR="000B148D" w:rsidRPr="00294FDC" w:rsidRDefault="00294FDC" w:rsidP="00617689">
            <w:pPr>
              <w:pStyle w:val="Tablebody"/>
              <w:spacing w:before="0" w:after="0"/>
              <w:jc w:val="center"/>
              <w:rPr>
                <w:color w:val="000000"/>
                <w:highlight w:val="black"/>
              </w:rPr>
            </w:pPr>
            <w:r w:rsidRPr="00294FDC">
              <w:rPr>
                <w:color w:val="000000"/>
                <w:highlight w:val="black"/>
              </w:rPr>
              <w:t>xxxxxxxxxx</w:t>
            </w:r>
          </w:p>
        </w:tc>
      </w:tr>
      <w:tr w:rsidR="000B148D" w:rsidRPr="00966FF8" w14:paraId="304DEF8C" w14:textId="77777777">
        <w:trPr>
          <w:trHeight w:val="20"/>
        </w:trPr>
        <w:tc>
          <w:tcPr>
            <w:tcW w:w="2972" w:type="dxa"/>
            <w:shd w:val="clear" w:color="auto" w:fill="F2F2F2" w:themeFill="background1" w:themeFillShade="F2"/>
            <w:vAlign w:val="center"/>
          </w:tcPr>
          <w:p w14:paraId="3CBCE3E1" w14:textId="77777777" w:rsidR="000B148D" w:rsidRPr="00966FF8" w:rsidRDefault="000B148D" w:rsidP="00617689">
            <w:pPr>
              <w:pStyle w:val="Tablebody"/>
              <w:spacing w:before="0" w:after="0"/>
              <w:ind w:left="171"/>
              <w:rPr>
                <w:rFonts w:cs="Arial"/>
              </w:rPr>
            </w:pPr>
            <w:r>
              <w:rPr>
                <w:rFonts w:cs="Arial"/>
              </w:rPr>
              <w:t xml:space="preserve">Median </w:t>
            </w:r>
          </w:p>
        </w:tc>
        <w:tc>
          <w:tcPr>
            <w:tcW w:w="1485" w:type="dxa"/>
            <w:vAlign w:val="center"/>
          </w:tcPr>
          <w:p w14:paraId="357F0176" w14:textId="76F04C45" w:rsidR="000B148D" w:rsidRPr="00294FDC" w:rsidRDefault="00294FDC" w:rsidP="00617689">
            <w:pPr>
              <w:pStyle w:val="Tablebody"/>
              <w:spacing w:before="0" w:after="0"/>
              <w:jc w:val="center"/>
              <w:rPr>
                <w:color w:val="000000"/>
                <w:highlight w:val="black"/>
              </w:rPr>
            </w:pPr>
            <w:r w:rsidRPr="00294FDC">
              <w:rPr>
                <w:color w:val="000000"/>
                <w:highlight w:val="black"/>
              </w:rPr>
              <w:t>x</w:t>
            </w:r>
          </w:p>
        </w:tc>
        <w:tc>
          <w:tcPr>
            <w:tcW w:w="1486" w:type="dxa"/>
            <w:vAlign w:val="center"/>
          </w:tcPr>
          <w:p w14:paraId="6467D3B9" w14:textId="67ED33B1" w:rsidR="000B148D" w:rsidRPr="00294FDC" w:rsidRDefault="00294FDC" w:rsidP="00617689">
            <w:pPr>
              <w:pStyle w:val="Tablebody"/>
              <w:spacing w:before="0" w:after="0"/>
              <w:jc w:val="center"/>
              <w:rPr>
                <w:color w:val="000000"/>
                <w:highlight w:val="black"/>
              </w:rPr>
            </w:pPr>
            <w:r w:rsidRPr="00294FDC">
              <w:rPr>
                <w:color w:val="000000"/>
                <w:highlight w:val="black"/>
              </w:rPr>
              <w:t>x</w:t>
            </w:r>
          </w:p>
        </w:tc>
        <w:tc>
          <w:tcPr>
            <w:tcW w:w="1485" w:type="dxa"/>
            <w:vAlign w:val="center"/>
          </w:tcPr>
          <w:p w14:paraId="7E324176" w14:textId="17C8C7A1" w:rsidR="000B148D" w:rsidRPr="00294FDC" w:rsidRDefault="00294FDC" w:rsidP="00617689">
            <w:pPr>
              <w:pStyle w:val="Tablebody"/>
              <w:spacing w:before="0" w:after="0"/>
              <w:jc w:val="center"/>
              <w:rPr>
                <w:color w:val="000000"/>
                <w:highlight w:val="black"/>
              </w:rPr>
            </w:pPr>
            <w:r w:rsidRPr="00294FDC">
              <w:rPr>
                <w:color w:val="000000"/>
                <w:highlight w:val="black"/>
              </w:rPr>
              <w:t>x</w:t>
            </w:r>
          </w:p>
        </w:tc>
        <w:tc>
          <w:tcPr>
            <w:tcW w:w="1486" w:type="dxa"/>
            <w:vAlign w:val="center"/>
          </w:tcPr>
          <w:p w14:paraId="6906433A" w14:textId="511D2843" w:rsidR="000B148D" w:rsidRPr="00294FDC" w:rsidRDefault="00294FDC" w:rsidP="00617689">
            <w:pPr>
              <w:pStyle w:val="Tablebody"/>
              <w:spacing w:before="0" w:after="0"/>
              <w:jc w:val="center"/>
              <w:rPr>
                <w:color w:val="000000"/>
                <w:highlight w:val="black"/>
              </w:rPr>
            </w:pPr>
            <w:r w:rsidRPr="00294FDC">
              <w:rPr>
                <w:color w:val="000000"/>
                <w:highlight w:val="black"/>
              </w:rPr>
              <w:t>x</w:t>
            </w:r>
          </w:p>
        </w:tc>
      </w:tr>
      <w:tr w:rsidR="000B148D" w:rsidRPr="00966FF8" w14:paraId="42AA39EB" w14:textId="77777777">
        <w:trPr>
          <w:trHeight w:val="20"/>
        </w:trPr>
        <w:tc>
          <w:tcPr>
            <w:tcW w:w="8914" w:type="dxa"/>
            <w:gridSpan w:val="5"/>
            <w:shd w:val="clear" w:color="auto" w:fill="F2F2F2" w:themeFill="background1" w:themeFillShade="F2"/>
            <w:vAlign w:val="center"/>
          </w:tcPr>
          <w:p w14:paraId="38EBA1C8" w14:textId="77777777" w:rsidR="000B148D" w:rsidRPr="00966FF8" w:rsidRDefault="000B148D" w:rsidP="00617689">
            <w:pPr>
              <w:pStyle w:val="Tablebody"/>
              <w:spacing w:before="0" w:after="0"/>
            </w:pPr>
            <w:r w:rsidRPr="00966FF8">
              <w:rPr>
                <w:rFonts w:eastAsia="Times New Roman" w:cs="Arial"/>
              </w:rPr>
              <w:t>Type of prior systemic cancer therapy, n (%)</w:t>
            </w:r>
          </w:p>
        </w:tc>
      </w:tr>
      <w:tr w:rsidR="000B148D" w:rsidRPr="00966FF8" w14:paraId="18B1AF0A" w14:textId="77777777">
        <w:trPr>
          <w:trHeight w:val="20"/>
        </w:trPr>
        <w:tc>
          <w:tcPr>
            <w:tcW w:w="2972" w:type="dxa"/>
            <w:shd w:val="clear" w:color="auto" w:fill="F2F2F2" w:themeFill="background1" w:themeFillShade="F2"/>
            <w:vAlign w:val="center"/>
          </w:tcPr>
          <w:p w14:paraId="177CB20F" w14:textId="77777777" w:rsidR="000B148D" w:rsidRPr="00966FF8" w:rsidRDefault="000B148D" w:rsidP="00617689">
            <w:pPr>
              <w:pStyle w:val="Tablebody"/>
              <w:spacing w:before="0" w:after="0"/>
              <w:ind w:left="171"/>
              <w:rPr>
                <w:rFonts w:cs="Arial"/>
              </w:rPr>
            </w:pPr>
            <w:r w:rsidRPr="00966FF8">
              <w:rPr>
                <w:rFonts w:eastAsia="Times New Roman" w:cs="Arial"/>
              </w:rPr>
              <w:t xml:space="preserve">CDK4/6 inhibitor </w:t>
            </w:r>
          </w:p>
        </w:tc>
        <w:tc>
          <w:tcPr>
            <w:tcW w:w="1485" w:type="dxa"/>
            <w:vAlign w:val="center"/>
          </w:tcPr>
          <w:p w14:paraId="25C79A14" w14:textId="77777777" w:rsidR="000B148D" w:rsidRPr="00966FF8" w:rsidRDefault="000B148D" w:rsidP="00617689">
            <w:pPr>
              <w:pStyle w:val="Tablebody"/>
              <w:spacing w:before="0" w:after="0"/>
              <w:jc w:val="center"/>
            </w:pPr>
            <w:r w:rsidRPr="00966FF8">
              <w:rPr>
                <w:rFonts w:eastAsia="Times New Roman" w:cs="Arial"/>
              </w:rPr>
              <w:t>233 (70.4)</w:t>
            </w:r>
          </w:p>
        </w:tc>
        <w:tc>
          <w:tcPr>
            <w:tcW w:w="1486" w:type="dxa"/>
            <w:vAlign w:val="center"/>
          </w:tcPr>
          <w:p w14:paraId="756EC6AE" w14:textId="77777777" w:rsidR="000B148D" w:rsidRPr="00966FF8" w:rsidRDefault="000B148D" w:rsidP="00617689">
            <w:pPr>
              <w:pStyle w:val="Tablebody"/>
              <w:spacing w:before="0" w:after="0"/>
              <w:jc w:val="center"/>
            </w:pPr>
            <w:r w:rsidRPr="00966FF8">
              <w:rPr>
                <w:rFonts w:eastAsia="Times New Roman" w:cs="Arial"/>
              </w:rPr>
              <w:t>115 (70.6)</w:t>
            </w:r>
          </w:p>
        </w:tc>
        <w:tc>
          <w:tcPr>
            <w:tcW w:w="1485" w:type="dxa"/>
            <w:vAlign w:val="center"/>
          </w:tcPr>
          <w:p w14:paraId="35C9041D" w14:textId="77777777" w:rsidR="000B148D" w:rsidRPr="00966FF8" w:rsidRDefault="000B148D" w:rsidP="00617689">
            <w:pPr>
              <w:pStyle w:val="Tablebody"/>
              <w:spacing w:before="0" w:after="0"/>
              <w:jc w:val="center"/>
            </w:pPr>
            <w:r w:rsidRPr="00966FF8">
              <w:rPr>
                <w:rFonts w:eastAsia="Times New Roman" w:cs="Arial"/>
              </w:rPr>
              <w:t>239 (64.1)</w:t>
            </w:r>
          </w:p>
        </w:tc>
        <w:tc>
          <w:tcPr>
            <w:tcW w:w="1486" w:type="dxa"/>
            <w:vAlign w:val="center"/>
          </w:tcPr>
          <w:p w14:paraId="7BAF8C98" w14:textId="77777777" w:rsidR="000B148D" w:rsidRPr="00966FF8" w:rsidRDefault="000B148D" w:rsidP="00617689">
            <w:pPr>
              <w:pStyle w:val="Tablebody"/>
              <w:spacing w:before="0" w:after="0"/>
              <w:jc w:val="center"/>
            </w:pPr>
            <w:r w:rsidRPr="00966FF8">
              <w:rPr>
                <w:rFonts w:eastAsia="Times New Roman" w:cs="Arial"/>
              </w:rPr>
              <w:t>119 (64.7)</w:t>
            </w:r>
          </w:p>
        </w:tc>
      </w:tr>
      <w:tr w:rsidR="000B148D" w:rsidRPr="00966FF8" w14:paraId="7E053BF3" w14:textId="77777777">
        <w:trPr>
          <w:trHeight w:val="20"/>
        </w:trPr>
        <w:tc>
          <w:tcPr>
            <w:tcW w:w="2972" w:type="dxa"/>
            <w:shd w:val="clear" w:color="auto" w:fill="F2F2F2" w:themeFill="background1" w:themeFillShade="F2"/>
            <w:vAlign w:val="center"/>
          </w:tcPr>
          <w:p w14:paraId="7394C402" w14:textId="77777777" w:rsidR="000B148D" w:rsidRPr="00966FF8" w:rsidRDefault="000B148D" w:rsidP="00617689">
            <w:pPr>
              <w:pStyle w:val="Tablebody"/>
              <w:spacing w:before="0" w:after="0"/>
              <w:ind w:left="171"/>
              <w:rPr>
                <w:rFonts w:cs="Arial"/>
              </w:rPr>
            </w:pPr>
            <w:r w:rsidRPr="00966FF8">
              <w:rPr>
                <w:rFonts w:eastAsia="Times New Roman" w:cs="Arial"/>
              </w:rPr>
              <w:t xml:space="preserve">Immunotherapy </w:t>
            </w:r>
          </w:p>
        </w:tc>
        <w:tc>
          <w:tcPr>
            <w:tcW w:w="1485" w:type="dxa"/>
            <w:vAlign w:val="center"/>
          </w:tcPr>
          <w:p w14:paraId="2D307577" w14:textId="77777777" w:rsidR="000B148D" w:rsidRPr="00966FF8" w:rsidRDefault="000B148D" w:rsidP="00617689">
            <w:pPr>
              <w:pStyle w:val="Tablebody"/>
              <w:spacing w:before="0" w:after="0"/>
              <w:jc w:val="center"/>
            </w:pPr>
            <w:r w:rsidRPr="00966FF8">
              <w:rPr>
                <w:rFonts w:eastAsia="Times New Roman" w:cs="Arial"/>
              </w:rPr>
              <w:t>10 (3.0)</w:t>
            </w:r>
          </w:p>
        </w:tc>
        <w:tc>
          <w:tcPr>
            <w:tcW w:w="1486" w:type="dxa"/>
            <w:vAlign w:val="center"/>
          </w:tcPr>
          <w:p w14:paraId="37173012" w14:textId="77777777" w:rsidR="000B148D" w:rsidRPr="00966FF8" w:rsidRDefault="000B148D" w:rsidP="00617689">
            <w:pPr>
              <w:pStyle w:val="Tablebody"/>
              <w:spacing w:before="0" w:after="0"/>
              <w:jc w:val="center"/>
            </w:pPr>
            <w:r w:rsidRPr="00966FF8">
              <w:rPr>
                <w:rFonts w:eastAsia="Times New Roman" w:cs="Arial"/>
              </w:rPr>
              <w:t>8 (4.9)</w:t>
            </w:r>
          </w:p>
        </w:tc>
        <w:tc>
          <w:tcPr>
            <w:tcW w:w="1485" w:type="dxa"/>
            <w:vAlign w:val="center"/>
          </w:tcPr>
          <w:p w14:paraId="0F9BF437" w14:textId="77777777" w:rsidR="000B148D" w:rsidRPr="00966FF8" w:rsidRDefault="000B148D" w:rsidP="00617689">
            <w:pPr>
              <w:pStyle w:val="Tablebody"/>
              <w:spacing w:before="0" w:after="0"/>
              <w:jc w:val="center"/>
            </w:pPr>
            <w:r w:rsidRPr="00966FF8">
              <w:rPr>
                <w:rFonts w:eastAsia="Times New Roman" w:cs="Arial"/>
              </w:rPr>
              <w:t>20 (5.4)</w:t>
            </w:r>
          </w:p>
        </w:tc>
        <w:tc>
          <w:tcPr>
            <w:tcW w:w="1486" w:type="dxa"/>
            <w:vAlign w:val="center"/>
          </w:tcPr>
          <w:p w14:paraId="6CF49501" w14:textId="77777777" w:rsidR="000B148D" w:rsidRPr="00966FF8" w:rsidRDefault="000B148D" w:rsidP="00617689">
            <w:pPr>
              <w:pStyle w:val="Tablebody"/>
              <w:spacing w:before="0" w:after="0"/>
              <w:jc w:val="center"/>
            </w:pPr>
            <w:r w:rsidRPr="00966FF8">
              <w:rPr>
                <w:rFonts w:eastAsia="Times New Roman" w:cs="Arial"/>
              </w:rPr>
              <w:t>12 (6.5)</w:t>
            </w:r>
          </w:p>
        </w:tc>
      </w:tr>
      <w:tr w:rsidR="000B148D" w:rsidRPr="00966FF8" w14:paraId="7FE254D5" w14:textId="77777777">
        <w:trPr>
          <w:trHeight w:val="20"/>
        </w:trPr>
        <w:tc>
          <w:tcPr>
            <w:tcW w:w="2972" w:type="dxa"/>
            <w:shd w:val="clear" w:color="auto" w:fill="F2F2F2" w:themeFill="background1" w:themeFillShade="F2"/>
            <w:vAlign w:val="center"/>
          </w:tcPr>
          <w:p w14:paraId="29D9CB65" w14:textId="77777777" w:rsidR="000B148D" w:rsidRPr="00966FF8" w:rsidRDefault="000B148D" w:rsidP="00617689">
            <w:pPr>
              <w:pStyle w:val="Tablebody"/>
              <w:spacing w:before="0" w:after="0"/>
              <w:ind w:left="171"/>
              <w:rPr>
                <w:rFonts w:cs="Arial"/>
              </w:rPr>
            </w:pPr>
            <w:r w:rsidRPr="00966FF8">
              <w:rPr>
                <w:rFonts w:eastAsia="Times New Roman" w:cs="Arial"/>
              </w:rPr>
              <w:t xml:space="preserve">Endocrine therapy </w:t>
            </w:r>
          </w:p>
        </w:tc>
        <w:tc>
          <w:tcPr>
            <w:tcW w:w="1485" w:type="dxa"/>
            <w:vAlign w:val="center"/>
          </w:tcPr>
          <w:p w14:paraId="235CADBF" w14:textId="77777777" w:rsidR="000B148D" w:rsidRPr="00966FF8" w:rsidRDefault="000B148D" w:rsidP="00617689">
            <w:pPr>
              <w:pStyle w:val="Tablebody"/>
              <w:spacing w:before="0" w:after="0"/>
              <w:jc w:val="center"/>
            </w:pPr>
            <w:r w:rsidRPr="00966FF8">
              <w:rPr>
                <w:rFonts w:eastAsia="Times New Roman" w:cs="Arial"/>
              </w:rPr>
              <w:t>330 (99.7)</w:t>
            </w:r>
          </w:p>
        </w:tc>
        <w:tc>
          <w:tcPr>
            <w:tcW w:w="1486" w:type="dxa"/>
            <w:vAlign w:val="center"/>
          </w:tcPr>
          <w:p w14:paraId="358239E0" w14:textId="77777777" w:rsidR="000B148D" w:rsidRPr="00966FF8" w:rsidRDefault="000B148D" w:rsidP="00617689">
            <w:pPr>
              <w:pStyle w:val="Tablebody"/>
              <w:spacing w:before="0" w:after="0"/>
              <w:jc w:val="center"/>
            </w:pPr>
            <w:r w:rsidRPr="00966FF8">
              <w:rPr>
                <w:rFonts w:eastAsia="Times New Roman" w:cs="Arial"/>
              </w:rPr>
              <w:t>160 (98.2)</w:t>
            </w:r>
          </w:p>
        </w:tc>
        <w:tc>
          <w:tcPr>
            <w:tcW w:w="1485" w:type="dxa"/>
            <w:vAlign w:val="center"/>
          </w:tcPr>
          <w:p w14:paraId="5FF316C5" w14:textId="77777777" w:rsidR="000B148D" w:rsidRPr="00966FF8" w:rsidRDefault="000B148D" w:rsidP="00617689">
            <w:pPr>
              <w:pStyle w:val="Tablebody"/>
              <w:spacing w:before="0" w:after="0"/>
              <w:jc w:val="center"/>
            </w:pPr>
            <w:r w:rsidRPr="00966FF8">
              <w:rPr>
                <w:rFonts w:eastAsia="Times New Roman" w:cs="Arial"/>
              </w:rPr>
              <w:t>347 (93.0)</w:t>
            </w:r>
          </w:p>
        </w:tc>
        <w:tc>
          <w:tcPr>
            <w:tcW w:w="1486" w:type="dxa"/>
            <w:vAlign w:val="center"/>
          </w:tcPr>
          <w:p w14:paraId="0BBD7FF3" w14:textId="77777777" w:rsidR="000B148D" w:rsidRPr="00966FF8" w:rsidRDefault="000B148D" w:rsidP="00617689">
            <w:pPr>
              <w:pStyle w:val="Tablebody"/>
              <w:spacing w:before="0" w:after="0"/>
              <w:jc w:val="center"/>
            </w:pPr>
            <w:r w:rsidRPr="00966FF8">
              <w:rPr>
                <w:rFonts w:eastAsia="Times New Roman" w:cs="Arial"/>
              </w:rPr>
              <w:t>165 (89.7)</w:t>
            </w:r>
          </w:p>
        </w:tc>
      </w:tr>
      <w:tr w:rsidR="000B148D" w:rsidRPr="00966FF8" w14:paraId="54CAE32C" w14:textId="77777777">
        <w:trPr>
          <w:trHeight w:val="20"/>
        </w:trPr>
        <w:tc>
          <w:tcPr>
            <w:tcW w:w="2972" w:type="dxa"/>
            <w:shd w:val="clear" w:color="auto" w:fill="F2F2F2" w:themeFill="background1" w:themeFillShade="F2"/>
            <w:vAlign w:val="center"/>
          </w:tcPr>
          <w:p w14:paraId="28DD5B21" w14:textId="77777777" w:rsidR="000B148D" w:rsidRPr="00966FF8" w:rsidRDefault="000B148D" w:rsidP="00617689">
            <w:pPr>
              <w:pStyle w:val="Tablebody"/>
              <w:spacing w:before="0" w:after="0"/>
              <w:ind w:left="171"/>
              <w:rPr>
                <w:rFonts w:cs="Arial"/>
              </w:rPr>
            </w:pPr>
            <w:r w:rsidRPr="00966FF8">
              <w:rPr>
                <w:rFonts w:eastAsia="Times New Roman" w:cs="Arial"/>
              </w:rPr>
              <w:t xml:space="preserve">Chemotherapy </w:t>
            </w:r>
          </w:p>
        </w:tc>
        <w:tc>
          <w:tcPr>
            <w:tcW w:w="1485" w:type="dxa"/>
            <w:vAlign w:val="center"/>
          </w:tcPr>
          <w:p w14:paraId="4EFDBC42" w14:textId="77777777" w:rsidR="000B148D" w:rsidRPr="00966FF8" w:rsidRDefault="000B148D" w:rsidP="00617689">
            <w:pPr>
              <w:pStyle w:val="Tablebody"/>
              <w:spacing w:before="0" w:after="0"/>
              <w:jc w:val="center"/>
            </w:pPr>
            <w:r w:rsidRPr="00966FF8">
              <w:rPr>
                <w:rFonts w:eastAsia="Times New Roman" w:cs="Arial"/>
              </w:rPr>
              <w:t>331 (100.0)</w:t>
            </w:r>
          </w:p>
        </w:tc>
        <w:tc>
          <w:tcPr>
            <w:tcW w:w="1486" w:type="dxa"/>
            <w:vAlign w:val="center"/>
          </w:tcPr>
          <w:p w14:paraId="772BFD73" w14:textId="77777777" w:rsidR="000B148D" w:rsidRPr="00966FF8" w:rsidRDefault="000B148D" w:rsidP="00617689">
            <w:pPr>
              <w:pStyle w:val="Tablebody"/>
              <w:spacing w:before="0" w:after="0"/>
              <w:jc w:val="center"/>
            </w:pPr>
            <w:r w:rsidRPr="00966FF8">
              <w:rPr>
                <w:rFonts w:eastAsia="Times New Roman" w:cs="Arial"/>
              </w:rPr>
              <w:t>162 (99.4)</w:t>
            </w:r>
          </w:p>
        </w:tc>
        <w:tc>
          <w:tcPr>
            <w:tcW w:w="1485" w:type="dxa"/>
            <w:vAlign w:val="center"/>
          </w:tcPr>
          <w:p w14:paraId="6DA71DEF" w14:textId="77777777" w:rsidR="000B148D" w:rsidRPr="00966FF8" w:rsidRDefault="000B148D" w:rsidP="00617689">
            <w:pPr>
              <w:pStyle w:val="Tablebody"/>
              <w:spacing w:before="0" w:after="0"/>
              <w:jc w:val="center"/>
            </w:pPr>
            <w:r w:rsidRPr="00966FF8">
              <w:rPr>
                <w:rFonts w:eastAsia="Times New Roman" w:cs="Arial"/>
              </w:rPr>
              <w:t>373 (100.0)</w:t>
            </w:r>
          </w:p>
        </w:tc>
        <w:tc>
          <w:tcPr>
            <w:tcW w:w="1486" w:type="dxa"/>
            <w:vAlign w:val="center"/>
          </w:tcPr>
          <w:p w14:paraId="3F344F16" w14:textId="77777777" w:rsidR="000B148D" w:rsidRPr="00966FF8" w:rsidRDefault="000B148D" w:rsidP="00617689">
            <w:pPr>
              <w:pStyle w:val="Tablebody"/>
              <w:spacing w:before="0" w:after="0"/>
              <w:jc w:val="center"/>
            </w:pPr>
            <w:r w:rsidRPr="00966FF8">
              <w:rPr>
                <w:rFonts w:eastAsia="Times New Roman" w:cs="Arial"/>
              </w:rPr>
              <w:t>183 (99.5)</w:t>
            </w:r>
          </w:p>
        </w:tc>
      </w:tr>
      <w:tr w:rsidR="000B148D" w:rsidRPr="00966FF8" w14:paraId="7FAABA3B" w14:textId="77777777">
        <w:trPr>
          <w:trHeight w:val="20"/>
        </w:trPr>
        <w:tc>
          <w:tcPr>
            <w:tcW w:w="2972" w:type="dxa"/>
            <w:shd w:val="clear" w:color="auto" w:fill="F2F2F2" w:themeFill="background1" w:themeFillShade="F2"/>
            <w:vAlign w:val="center"/>
          </w:tcPr>
          <w:p w14:paraId="0679E335" w14:textId="77777777" w:rsidR="000B148D" w:rsidRPr="00966FF8" w:rsidRDefault="000B148D" w:rsidP="00617689">
            <w:pPr>
              <w:pStyle w:val="Tablebody"/>
              <w:spacing w:before="0" w:after="0"/>
              <w:ind w:left="171"/>
              <w:rPr>
                <w:rFonts w:cs="Arial"/>
              </w:rPr>
            </w:pPr>
            <w:r w:rsidRPr="00966FF8">
              <w:rPr>
                <w:rFonts w:eastAsia="Times New Roman" w:cs="Arial"/>
              </w:rPr>
              <w:t xml:space="preserve">Supportive Therapy </w:t>
            </w:r>
          </w:p>
        </w:tc>
        <w:tc>
          <w:tcPr>
            <w:tcW w:w="1485" w:type="dxa"/>
            <w:vAlign w:val="center"/>
          </w:tcPr>
          <w:p w14:paraId="0D0E2207" w14:textId="672D2C6F" w:rsidR="000B148D" w:rsidRPr="00294FDC" w:rsidRDefault="00294FDC" w:rsidP="00617689">
            <w:pPr>
              <w:pStyle w:val="Tablebody"/>
              <w:spacing w:before="0" w:after="0"/>
              <w:jc w:val="center"/>
              <w:rPr>
                <w:color w:val="000000"/>
                <w:highlight w:val="black"/>
              </w:rPr>
            </w:pPr>
            <w:r w:rsidRPr="00294FDC">
              <w:rPr>
                <w:rFonts w:eastAsia="Times New Roman" w:cs="Arial"/>
                <w:color w:val="000000"/>
                <w:highlight w:val="black"/>
              </w:rPr>
              <w:t>xxxxxxxxx</w:t>
            </w:r>
          </w:p>
        </w:tc>
        <w:tc>
          <w:tcPr>
            <w:tcW w:w="1486" w:type="dxa"/>
            <w:vAlign w:val="center"/>
          </w:tcPr>
          <w:p w14:paraId="723C1BBD" w14:textId="0569B1D4" w:rsidR="000B148D" w:rsidRPr="00294FDC" w:rsidRDefault="00294FDC" w:rsidP="00617689">
            <w:pPr>
              <w:pStyle w:val="Tablebody"/>
              <w:spacing w:before="0" w:after="0"/>
              <w:jc w:val="center"/>
              <w:rPr>
                <w:color w:val="000000"/>
                <w:highlight w:val="black"/>
              </w:rPr>
            </w:pPr>
            <w:r w:rsidRPr="00294FDC">
              <w:rPr>
                <w:rFonts w:eastAsia="Times New Roman" w:cs="Arial"/>
                <w:color w:val="000000"/>
                <w:highlight w:val="black"/>
              </w:rPr>
              <w:t>xxxxxxxxx</w:t>
            </w:r>
          </w:p>
        </w:tc>
        <w:tc>
          <w:tcPr>
            <w:tcW w:w="1485" w:type="dxa"/>
            <w:vAlign w:val="center"/>
          </w:tcPr>
          <w:p w14:paraId="07012084" w14:textId="6D1BE949" w:rsidR="000B148D" w:rsidRPr="00294FDC" w:rsidRDefault="00294FDC" w:rsidP="00617689">
            <w:pPr>
              <w:pStyle w:val="Tablebody"/>
              <w:spacing w:before="0" w:after="0"/>
              <w:jc w:val="center"/>
              <w:rPr>
                <w:color w:val="000000"/>
                <w:highlight w:val="black"/>
              </w:rPr>
            </w:pPr>
            <w:r w:rsidRPr="00294FDC">
              <w:rPr>
                <w:rFonts w:eastAsia="Times New Roman" w:cs="Arial"/>
                <w:color w:val="000000"/>
                <w:highlight w:val="black"/>
              </w:rPr>
              <w:t>xxxxxxxxx</w:t>
            </w:r>
          </w:p>
        </w:tc>
        <w:tc>
          <w:tcPr>
            <w:tcW w:w="1486" w:type="dxa"/>
            <w:vAlign w:val="center"/>
          </w:tcPr>
          <w:p w14:paraId="51492F5C" w14:textId="1A2251B8" w:rsidR="000B148D" w:rsidRPr="00294FDC" w:rsidRDefault="00294FDC" w:rsidP="00617689">
            <w:pPr>
              <w:pStyle w:val="Tablebody"/>
              <w:spacing w:before="0" w:after="0"/>
              <w:jc w:val="center"/>
              <w:rPr>
                <w:color w:val="000000"/>
                <w:highlight w:val="black"/>
              </w:rPr>
            </w:pPr>
            <w:r w:rsidRPr="00294FDC">
              <w:rPr>
                <w:rFonts w:eastAsia="Times New Roman" w:cs="Arial"/>
                <w:color w:val="000000"/>
                <w:highlight w:val="black"/>
              </w:rPr>
              <w:t>xxxxxxxxx</w:t>
            </w:r>
          </w:p>
        </w:tc>
      </w:tr>
      <w:tr w:rsidR="000B148D" w:rsidRPr="00966FF8" w14:paraId="3AFE0AC3" w14:textId="77777777">
        <w:trPr>
          <w:trHeight w:val="20"/>
        </w:trPr>
        <w:tc>
          <w:tcPr>
            <w:tcW w:w="8914" w:type="dxa"/>
            <w:gridSpan w:val="5"/>
            <w:shd w:val="clear" w:color="auto" w:fill="F2F2F2" w:themeFill="background1" w:themeFillShade="F2"/>
            <w:vAlign w:val="center"/>
          </w:tcPr>
          <w:p w14:paraId="53B75328" w14:textId="77777777" w:rsidR="000B148D" w:rsidRPr="00966FF8" w:rsidRDefault="000B148D" w:rsidP="00617689">
            <w:pPr>
              <w:pStyle w:val="Tablebody"/>
              <w:spacing w:before="0" w:after="0"/>
              <w:rPr>
                <w:rFonts w:eastAsia="Times New Roman" w:cs="Arial"/>
              </w:rPr>
            </w:pPr>
            <w:r>
              <w:rPr>
                <w:rFonts w:eastAsia="Times New Roman" w:cs="Arial"/>
              </w:rPr>
              <w:t>Lines of prior endocrine therapy, n (%)</w:t>
            </w:r>
          </w:p>
        </w:tc>
      </w:tr>
      <w:tr w:rsidR="000B148D" w:rsidRPr="00966FF8" w14:paraId="42CB4027" w14:textId="77777777">
        <w:trPr>
          <w:trHeight w:val="20"/>
        </w:trPr>
        <w:tc>
          <w:tcPr>
            <w:tcW w:w="2972" w:type="dxa"/>
            <w:shd w:val="clear" w:color="auto" w:fill="F2F2F2" w:themeFill="background1" w:themeFillShade="F2"/>
            <w:vAlign w:val="center"/>
          </w:tcPr>
          <w:p w14:paraId="3EEF9D87" w14:textId="77777777" w:rsidR="000B148D" w:rsidRPr="00966FF8" w:rsidRDefault="000B148D" w:rsidP="00617689">
            <w:pPr>
              <w:pStyle w:val="Tablebody"/>
              <w:spacing w:before="0" w:after="0"/>
              <w:ind w:left="171"/>
              <w:rPr>
                <w:rFonts w:eastAsia="Times New Roman" w:cs="Arial"/>
              </w:rPr>
            </w:pPr>
            <w:r>
              <w:rPr>
                <w:rFonts w:eastAsia="Times New Roman" w:cs="Arial"/>
              </w:rPr>
              <w:t>0</w:t>
            </w:r>
          </w:p>
        </w:tc>
        <w:tc>
          <w:tcPr>
            <w:tcW w:w="1485" w:type="dxa"/>
            <w:vAlign w:val="center"/>
          </w:tcPr>
          <w:p w14:paraId="097B10D9" w14:textId="3FF39EE6"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w:t>
            </w:r>
          </w:p>
        </w:tc>
        <w:tc>
          <w:tcPr>
            <w:tcW w:w="1486" w:type="dxa"/>
            <w:vAlign w:val="center"/>
          </w:tcPr>
          <w:p w14:paraId="51420F46" w14:textId="7211F3F6"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w:t>
            </w:r>
          </w:p>
        </w:tc>
        <w:tc>
          <w:tcPr>
            <w:tcW w:w="1485" w:type="dxa"/>
            <w:vAlign w:val="center"/>
          </w:tcPr>
          <w:p w14:paraId="6E50E457" w14:textId="7D091D93"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w:t>
            </w:r>
          </w:p>
        </w:tc>
        <w:tc>
          <w:tcPr>
            <w:tcW w:w="1486" w:type="dxa"/>
            <w:vAlign w:val="center"/>
          </w:tcPr>
          <w:p w14:paraId="3054DDBC" w14:textId="30845DFF"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w:t>
            </w:r>
          </w:p>
        </w:tc>
      </w:tr>
      <w:tr w:rsidR="000B148D" w:rsidRPr="00966FF8" w14:paraId="3AF313C6" w14:textId="77777777">
        <w:trPr>
          <w:trHeight w:val="20"/>
        </w:trPr>
        <w:tc>
          <w:tcPr>
            <w:tcW w:w="2972" w:type="dxa"/>
            <w:shd w:val="clear" w:color="auto" w:fill="F2F2F2" w:themeFill="background1" w:themeFillShade="F2"/>
            <w:vAlign w:val="center"/>
          </w:tcPr>
          <w:p w14:paraId="0A68DD41" w14:textId="77777777" w:rsidR="000B148D" w:rsidRPr="00966FF8" w:rsidRDefault="000B148D" w:rsidP="00617689">
            <w:pPr>
              <w:pStyle w:val="Tablebody"/>
              <w:spacing w:before="0" w:after="0"/>
              <w:ind w:left="171"/>
              <w:rPr>
                <w:rFonts w:eastAsia="Times New Roman" w:cs="Arial"/>
              </w:rPr>
            </w:pPr>
            <w:r>
              <w:rPr>
                <w:rFonts w:eastAsia="Times New Roman" w:cs="Arial"/>
              </w:rPr>
              <w:t>1</w:t>
            </w:r>
          </w:p>
        </w:tc>
        <w:tc>
          <w:tcPr>
            <w:tcW w:w="1485" w:type="dxa"/>
            <w:vAlign w:val="center"/>
          </w:tcPr>
          <w:p w14:paraId="73FCCC38" w14:textId="4043C14D"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w:t>
            </w:r>
          </w:p>
        </w:tc>
        <w:tc>
          <w:tcPr>
            <w:tcW w:w="1486" w:type="dxa"/>
            <w:vAlign w:val="center"/>
          </w:tcPr>
          <w:p w14:paraId="443376BB" w14:textId="0A1EEC1C"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w:t>
            </w:r>
          </w:p>
        </w:tc>
        <w:tc>
          <w:tcPr>
            <w:tcW w:w="1485" w:type="dxa"/>
            <w:vAlign w:val="center"/>
          </w:tcPr>
          <w:p w14:paraId="055EBD7A" w14:textId="4EC14F56"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w:t>
            </w:r>
          </w:p>
        </w:tc>
        <w:tc>
          <w:tcPr>
            <w:tcW w:w="1486" w:type="dxa"/>
            <w:vAlign w:val="center"/>
          </w:tcPr>
          <w:p w14:paraId="1E97A71F" w14:textId="46C20292"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w:t>
            </w:r>
          </w:p>
        </w:tc>
      </w:tr>
      <w:tr w:rsidR="000B148D" w:rsidRPr="00966FF8" w14:paraId="512196C1" w14:textId="77777777">
        <w:trPr>
          <w:trHeight w:val="20"/>
        </w:trPr>
        <w:tc>
          <w:tcPr>
            <w:tcW w:w="2972" w:type="dxa"/>
            <w:shd w:val="clear" w:color="auto" w:fill="F2F2F2" w:themeFill="background1" w:themeFillShade="F2"/>
            <w:vAlign w:val="center"/>
          </w:tcPr>
          <w:p w14:paraId="1A4A5FA9" w14:textId="77777777" w:rsidR="000B148D" w:rsidRPr="00966FF8" w:rsidRDefault="000B148D" w:rsidP="00617689">
            <w:pPr>
              <w:pStyle w:val="Tablebody"/>
              <w:spacing w:before="0" w:after="0"/>
              <w:ind w:left="171"/>
              <w:rPr>
                <w:rFonts w:eastAsia="Times New Roman" w:cs="Arial"/>
              </w:rPr>
            </w:pPr>
            <w:r>
              <w:rPr>
                <w:rFonts w:eastAsia="Times New Roman" w:cs="Arial"/>
              </w:rPr>
              <w:t>2</w:t>
            </w:r>
          </w:p>
        </w:tc>
        <w:tc>
          <w:tcPr>
            <w:tcW w:w="1485" w:type="dxa"/>
            <w:vAlign w:val="center"/>
          </w:tcPr>
          <w:p w14:paraId="324489DF" w14:textId="68F8CD98"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w:t>
            </w:r>
          </w:p>
        </w:tc>
        <w:tc>
          <w:tcPr>
            <w:tcW w:w="1486" w:type="dxa"/>
            <w:vAlign w:val="center"/>
          </w:tcPr>
          <w:p w14:paraId="0A6A01B0" w14:textId="51D45DE0"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w:t>
            </w:r>
          </w:p>
        </w:tc>
        <w:tc>
          <w:tcPr>
            <w:tcW w:w="1485" w:type="dxa"/>
            <w:vAlign w:val="center"/>
          </w:tcPr>
          <w:p w14:paraId="1FCF6FF7" w14:textId="4A84B04A"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w:t>
            </w:r>
          </w:p>
        </w:tc>
        <w:tc>
          <w:tcPr>
            <w:tcW w:w="1486" w:type="dxa"/>
            <w:vAlign w:val="center"/>
          </w:tcPr>
          <w:p w14:paraId="740724F4" w14:textId="49B85DF2"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w:t>
            </w:r>
          </w:p>
        </w:tc>
      </w:tr>
      <w:tr w:rsidR="000B148D" w:rsidRPr="00966FF8" w14:paraId="176CC736" w14:textId="77777777">
        <w:trPr>
          <w:trHeight w:val="20"/>
        </w:trPr>
        <w:tc>
          <w:tcPr>
            <w:tcW w:w="2972" w:type="dxa"/>
            <w:shd w:val="clear" w:color="auto" w:fill="F2F2F2" w:themeFill="background1" w:themeFillShade="F2"/>
            <w:vAlign w:val="center"/>
          </w:tcPr>
          <w:p w14:paraId="10A15C88" w14:textId="77777777" w:rsidR="000B148D" w:rsidRPr="00966FF8" w:rsidRDefault="000B148D" w:rsidP="00617689">
            <w:pPr>
              <w:pStyle w:val="Tablebody"/>
              <w:spacing w:before="0" w:after="0"/>
              <w:ind w:left="171"/>
              <w:rPr>
                <w:rFonts w:eastAsia="Times New Roman" w:cs="Arial"/>
              </w:rPr>
            </w:pPr>
            <w:r w:rsidRPr="00966FF8">
              <w:rPr>
                <w:rFonts w:eastAsia="Times New Roman" w:cs="Arial"/>
              </w:rPr>
              <w:t>≥3</w:t>
            </w:r>
          </w:p>
        </w:tc>
        <w:tc>
          <w:tcPr>
            <w:tcW w:w="1485" w:type="dxa"/>
            <w:vAlign w:val="center"/>
          </w:tcPr>
          <w:p w14:paraId="19678EE5" w14:textId="29237B7E"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w:t>
            </w:r>
          </w:p>
        </w:tc>
        <w:tc>
          <w:tcPr>
            <w:tcW w:w="1486" w:type="dxa"/>
            <w:vAlign w:val="center"/>
          </w:tcPr>
          <w:p w14:paraId="34E1B797" w14:textId="6BF2FEEA"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w:t>
            </w:r>
          </w:p>
        </w:tc>
        <w:tc>
          <w:tcPr>
            <w:tcW w:w="1485" w:type="dxa"/>
            <w:vAlign w:val="center"/>
          </w:tcPr>
          <w:p w14:paraId="524CF1DF" w14:textId="47C23FF7"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w:t>
            </w:r>
          </w:p>
        </w:tc>
        <w:tc>
          <w:tcPr>
            <w:tcW w:w="1486" w:type="dxa"/>
            <w:vAlign w:val="center"/>
          </w:tcPr>
          <w:p w14:paraId="6CE7E5EE" w14:textId="270E3071"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w:t>
            </w:r>
          </w:p>
        </w:tc>
      </w:tr>
      <w:tr w:rsidR="000B148D" w:rsidRPr="00966FF8" w14:paraId="4EEC377E" w14:textId="77777777">
        <w:trPr>
          <w:trHeight w:val="20"/>
        </w:trPr>
        <w:tc>
          <w:tcPr>
            <w:tcW w:w="2972" w:type="dxa"/>
            <w:shd w:val="clear" w:color="auto" w:fill="F2F2F2" w:themeFill="background1" w:themeFillShade="F2"/>
            <w:vAlign w:val="center"/>
          </w:tcPr>
          <w:p w14:paraId="43231DE3" w14:textId="77777777" w:rsidR="000B148D" w:rsidRPr="00966FF8" w:rsidRDefault="000B148D" w:rsidP="00617689">
            <w:pPr>
              <w:pStyle w:val="Tablebody"/>
              <w:spacing w:before="0" w:after="0"/>
              <w:ind w:left="171"/>
              <w:rPr>
                <w:rFonts w:eastAsia="Times New Roman" w:cs="Arial"/>
              </w:rPr>
            </w:pPr>
            <w:r>
              <w:rPr>
                <w:rFonts w:eastAsia="Times New Roman" w:cs="Arial"/>
              </w:rPr>
              <w:t>Mean (SD)</w:t>
            </w:r>
          </w:p>
        </w:tc>
        <w:tc>
          <w:tcPr>
            <w:tcW w:w="1485" w:type="dxa"/>
            <w:vAlign w:val="center"/>
          </w:tcPr>
          <w:p w14:paraId="353E5AF1" w14:textId="51842B30"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w:t>
            </w:r>
          </w:p>
        </w:tc>
        <w:tc>
          <w:tcPr>
            <w:tcW w:w="1486" w:type="dxa"/>
            <w:vAlign w:val="center"/>
          </w:tcPr>
          <w:p w14:paraId="3433A259" w14:textId="14EDB2D0"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w:t>
            </w:r>
          </w:p>
        </w:tc>
        <w:tc>
          <w:tcPr>
            <w:tcW w:w="1485" w:type="dxa"/>
            <w:vAlign w:val="center"/>
          </w:tcPr>
          <w:p w14:paraId="3BE7FF28" w14:textId="36D54E4A"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w:t>
            </w:r>
          </w:p>
        </w:tc>
        <w:tc>
          <w:tcPr>
            <w:tcW w:w="1486" w:type="dxa"/>
            <w:vAlign w:val="center"/>
          </w:tcPr>
          <w:p w14:paraId="4E347EAB" w14:textId="36AE255E"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w:t>
            </w:r>
          </w:p>
        </w:tc>
      </w:tr>
      <w:tr w:rsidR="000B148D" w:rsidRPr="00966FF8" w14:paraId="438255D1" w14:textId="77777777">
        <w:trPr>
          <w:trHeight w:val="20"/>
        </w:trPr>
        <w:tc>
          <w:tcPr>
            <w:tcW w:w="2972" w:type="dxa"/>
            <w:shd w:val="clear" w:color="auto" w:fill="F2F2F2" w:themeFill="background1" w:themeFillShade="F2"/>
            <w:vAlign w:val="center"/>
          </w:tcPr>
          <w:p w14:paraId="5719C0A7" w14:textId="77777777" w:rsidR="000B148D" w:rsidRPr="00966FF8" w:rsidRDefault="000B148D" w:rsidP="00617689">
            <w:pPr>
              <w:pStyle w:val="Tablebody"/>
              <w:spacing w:before="0" w:after="0"/>
              <w:ind w:left="171"/>
              <w:rPr>
                <w:rFonts w:eastAsia="Times New Roman" w:cs="Arial"/>
              </w:rPr>
            </w:pPr>
            <w:r>
              <w:rPr>
                <w:rFonts w:eastAsia="Times New Roman" w:cs="Arial"/>
              </w:rPr>
              <w:t>Median</w:t>
            </w:r>
          </w:p>
        </w:tc>
        <w:tc>
          <w:tcPr>
            <w:tcW w:w="1485" w:type="dxa"/>
            <w:vAlign w:val="center"/>
          </w:tcPr>
          <w:p w14:paraId="1200A561" w14:textId="0E2B5F77"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w:t>
            </w:r>
          </w:p>
        </w:tc>
        <w:tc>
          <w:tcPr>
            <w:tcW w:w="1486" w:type="dxa"/>
            <w:vAlign w:val="center"/>
          </w:tcPr>
          <w:p w14:paraId="3DD5447E" w14:textId="04D66276"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w:t>
            </w:r>
          </w:p>
        </w:tc>
        <w:tc>
          <w:tcPr>
            <w:tcW w:w="1485" w:type="dxa"/>
            <w:vAlign w:val="center"/>
          </w:tcPr>
          <w:p w14:paraId="39B16FD7" w14:textId="2A95B409"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w:t>
            </w:r>
          </w:p>
        </w:tc>
        <w:tc>
          <w:tcPr>
            <w:tcW w:w="1486" w:type="dxa"/>
            <w:vAlign w:val="center"/>
          </w:tcPr>
          <w:p w14:paraId="671C4B51" w14:textId="4A9BF177"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w:t>
            </w:r>
          </w:p>
        </w:tc>
      </w:tr>
      <w:tr w:rsidR="000B148D" w:rsidRPr="00966FF8" w14:paraId="2C1B1EFB" w14:textId="77777777">
        <w:trPr>
          <w:trHeight w:val="20"/>
        </w:trPr>
        <w:tc>
          <w:tcPr>
            <w:tcW w:w="8914" w:type="dxa"/>
            <w:gridSpan w:val="5"/>
            <w:shd w:val="clear" w:color="auto" w:fill="F2F2F2" w:themeFill="background1" w:themeFillShade="F2"/>
            <w:vAlign w:val="center"/>
          </w:tcPr>
          <w:p w14:paraId="7A230246" w14:textId="77777777" w:rsidR="000B148D" w:rsidRPr="00966FF8" w:rsidRDefault="000B148D" w:rsidP="00617689">
            <w:pPr>
              <w:pStyle w:val="Tablebody"/>
              <w:spacing w:before="0" w:after="0"/>
              <w:rPr>
                <w:rFonts w:cs="Arial"/>
              </w:rPr>
            </w:pPr>
            <w:r w:rsidRPr="00966FF8">
              <w:rPr>
                <w:rFonts w:eastAsia="Times New Roman" w:cs="Arial"/>
              </w:rPr>
              <w:t>Lines of prior endocrine therapy in metastatic setting, n (%)</w:t>
            </w:r>
          </w:p>
        </w:tc>
      </w:tr>
      <w:tr w:rsidR="000B148D" w:rsidRPr="00966FF8" w14:paraId="7D6CC65F" w14:textId="77777777">
        <w:trPr>
          <w:trHeight w:val="20"/>
        </w:trPr>
        <w:tc>
          <w:tcPr>
            <w:tcW w:w="2972" w:type="dxa"/>
            <w:shd w:val="clear" w:color="auto" w:fill="F2F2F2" w:themeFill="background1" w:themeFillShade="F2"/>
            <w:vAlign w:val="center"/>
          </w:tcPr>
          <w:p w14:paraId="27805E39" w14:textId="77777777" w:rsidR="000B148D" w:rsidRPr="00966FF8" w:rsidRDefault="000B148D" w:rsidP="00617689">
            <w:pPr>
              <w:pStyle w:val="Tablebody"/>
              <w:spacing w:before="0" w:after="0"/>
              <w:ind w:left="171"/>
              <w:rPr>
                <w:rFonts w:cs="Arial"/>
              </w:rPr>
            </w:pPr>
            <w:r w:rsidRPr="00966FF8">
              <w:rPr>
                <w:rFonts w:eastAsia="Times New Roman" w:cs="Arial"/>
              </w:rPr>
              <w:t xml:space="preserve">0 </w:t>
            </w:r>
          </w:p>
        </w:tc>
        <w:tc>
          <w:tcPr>
            <w:tcW w:w="1485" w:type="dxa"/>
            <w:vAlign w:val="center"/>
          </w:tcPr>
          <w:p w14:paraId="02AB7EC9" w14:textId="0A2CF1F4" w:rsidR="000B148D" w:rsidRPr="00294FDC" w:rsidRDefault="00294FDC" w:rsidP="00617689">
            <w:pPr>
              <w:pStyle w:val="Tablebody"/>
              <w:spacing w:before="0" w:after="0"/>
              <w:jc w:val="center"/>
              <w:rPr>
                <w:rFonts w:cs="Arial"/>
                <w:color w:val="000000"/>
                <w:highlight w:val="black"/>
              </w:rPr>
            </w:pPr>
            <w:r w:rsidRPr="00294FDC">
              <w:rPr>
                <w:rFonts w:eastAsia="Times New Roman" w:cs="Arial"/>
                <w:color w:val="000000"/>
                <w:highlight w:val="black"/>
              </w:rPr>
              <w:t>xxxxxxxx</w:t>
            </w:r>
          </w:p>
        </w:tc>
        <w:tc>
          <w:tcPr>
            <w:tcW w:w="1486" w:type="dxa"/>
            <w:vAlign w:val="center"/>
          </w:tcPr>
          <w:p w14:paraId="082BA2D7" w14:textId="456AC766" w:rsidR="000B148D" w:rsidRPr="00294FDC" w:rsidRDefault="00294FDC" w:rsidP="00617689">
            <w:pPr>
              <w:pStyle w:val="Tablebody"/>
              <w:spacing w:before="0" w:after="0"/>
              <w:jc w:val="center"/>
              <w:rPr>
                <w:rFonts w:cs="Arial"/>
                <w:color w:val="000000"/>
                <w:highlight w:val="black"/>
              </w:rPr>
            </w:pPr>
            <w:r w:rsidRPr="00294FDC">
              <w:rPr>
                <w:rFonts w:eastAsia="Times New Roman" w:cs="Arial"/>
                <w:color w:val="000000"/>
                <w:highlight w:val="black"/>
              </w:rPr>
              <w:t>xxxxxxxxx</w:t>
            </w:r>
          </w:p>
        </w:tc>
        <w:tc>
          <w:tcPr>
            <w:tcW w:w="1485" w:type="dxa"/>
            <w:vAlign w:val="center"/>
          </w:tcPr>
          <w:p w14:paraId="0D12BFF8" w14:textId="711AB184" w:rsidR="000B148D" w:rsidRPr="00294FDC" w:rsidRDefault="00294FDC" w:rsidP="00617689">
            <w:pPr>
              <w:pStyle w:val="Tablebody"/>
              <w:spacing w:before="0" w:after="0"/>
              <w:jc w:val="center"/>
              <w:rPr>
                <w:rFonts w:cs="Arial"/>
                <w:color w:val="000000"/>
                <w:highlight w:val="black"/>
              </w:rPr>
            </w:pPr>
            <w:r w:rsidRPr="00294FDC">
              <w:rPr>
                <w:rFonts w:eastAsia="Times New Roman" w:cs="Arial"/>
                <w:color w:val="000000"/>
                <w:highlight w:val="black"/>
              </w:rPr>
              <w:t>xxxxxxxxx</w:t>
            </w:r>
          </w:p>
        </w:tc>
        <w:tc>
          <w:tcPr>
            <w:tcW w:w="1486" w:type="dxa"/>
            <w:vAlign w:val="center"/>
          </w:tcPr>
          <w:p w14:paraId="235B377F" w14:textId="61D2595E" w:rsidR="000B148D" w:rsidRPr="00294FDC" w:rsidRDefault="00294FDC" w:rsidP="00617689">
            <w:pPr>
              <w:pStyle w:val="Tablebody"/>
              <w:spacing w:before="0" w:after="0"/>
              <w:jc w:val="center"/>
              <w:rPr>
                <w:rFonts w:cs="Arial"/>
                <w:color w:val="000000"/>
                <w:highlight w:val="black"/>
              </w:rPr>
            </w:pPr>
            <w:r w:rsidRPr="00294FDC">
              <w:rPr>
                <w:rFonts w:eastAsia="Times New Roman" w:cs="Arial"/>
                <w:color w:val="000000"/>
                <w:highlight w:val="black"/>
              </w:rPr>
              <w:t>xxxxxxxxx</w:t>
            </w:r>
          </w:p>
        </w:tc>
      </w:tr>
      <w:tr w:rsidR="000B148D" w:rsidRPr="00966FF8" w14:paraId="53AEEE2D" w14:textId="77777777">
        <w:trPr>
          <w:trHeight w:val="20"/>
        </w:trPr>
        <w:tc>
          <w:tcPr>
            <w:tcW w:w="2972" w:type="dxa"/>
            <w:shd w:val="clear" w:color="auto" w:fill="F2F2F2" w:themeFill="background1" w:themeFillShade="F2"/>
            <w:vAlign w:val="center"/>
          </w:tcPr>
          <w:p w14:paraId="51032F82" w14:textId="77777777" w:rsidR="000B148D" w:rsidRPr="00966FF8" w:rsidRDefault="000B148D" w:rsidP="00617689">
            <w:pPr>
              <w:pStyle w:val="Tablebody"/>
              <w:spacing w:before="0" w:after="0"/>
              <w:ind w:left="171"/>
              <w:rPr>
                <w:rFonts w:cs="Arial"/>
              </w:rPr>
            </w:pPr>
            <w:r w:rsidRPr="00966FF8">
              <w:rPr>
                <w:rFonts w:eastAsia="Times New Roman" w:cs="Arial"/>
              </w:rPr>
              <w:t xml:space="preserve">1 </w:t>
            </w:r>
          </w:p>
        </w:tc>
        <w:tc>
          <w:tcPr>
            <w:tcW w:w="1485" w:type="dxa"/>
            <w:vAlign w:val="center"/>
          </w:tcPr>
          <w:p w14:paraId="024277F4" w14:textId="77073069" w:rsidR="000B148D" w:rsidRPr="00294FDC" w:rsidRDefault="00294FDC" w:rsidP="00617689">
            <w:pPr>
              <w:pStyle w:val="Tablebody"/>
              <w:spacing w:before="0" w:after="0"/>
              <w:jc w:val="center"/>
              <w:rPr>
                <w:rFonts w:cs="Arial"/>
                <w:color w:val="000000"/>
                <w:highlight w:val="black"/>
              </w:rPr>
            </w:pPr>
            <w:r w:rsidRPr="00294FDC">
              <w:rPr>
                <w:rFonts w:eastAsia="Times New Roman" w:cs="Arial"/>
                <w:color w:val="000000"/>
                <w:highlight w:val="black"/>
              </w:rPr>
              <w:t>xxxxxxxxxx</w:t>
            </w:r>
          </w:p>
        </w:tc>
        <w:tc>
          <w:tcPr>
            <w:tcW w:w="1486" w:type="dxa"/>
            <w:vAlign w:val="center"/>
          </w:tcPr>
          <w:p w14:paraId="4B008A6E" w14:textId="4C19BD8F" w:rsidR="000B148D" w:rsidRPr="00294FDC" w:rsidRDefault="00294FDC" w:rsidP="00617689">
            <w:pPr>
              <w:pStyle w:val="Tablebody"/>
              <w:spacing w:before="0" w:after="0"/>
              <w:jc w:val="center"/>
              <w:rPr>
                <w:rFonts w:cs="Arial"/>
                <w:color w:val="000000"/>
                <w:highlight w:val="black"/>
              </w:rPr>
            </w:pPr>
            <w:r w:rsidRPr="00294FDC">
              <w:rPr>
                <w:rFonts w:eastAsia="Times New Roman" w:cs="Arial"/>
                <w:color w:val="000000"/>
                <w:highlight w:val="black"/>
              </w:rPr>
              <w:t>xxxxxxxxx</w:t>
            </w:r>
          </w:p>
        </w:tc>
        <w:tc>
          <w:tcPr>
            <w:tcW w:w="1485" w:type="dxa"/>
            <w:vAlign w:val="center"/>
          </w:tcPr>
          <w:p w14:paraId="6ECB800B" w14:textId="502C6F76" w:rsidR="000B148D" w:rsidRPr="00294FDC" w:rsidRDefault="00294FDC" w:rsidP="00617689">
            <w:pPr>
              <w:pStyle w:val="Tablebody"/>
              <w:spacing w:before="0" w:after="0"/>
              <w:jc w:val="center"/>
              <w:rPr>
                <w:rFonts w:cs="Arial"/>
                <w:color w:val="000000"/>
                <w:highlight w:val="black"/>
              </w:rPr>
            </w:pPr>
            <w:r w:rsidRPr="00294FDC">
              <w:rPr>
                <w:rFonts w:eastAsia="Times New Roman" w:cs="Arial"/>
                <w:color w:val="000000"/>
                <w:highlight w:val="black"/>
              </w:rPr>
              <w:t>xxxxxxxxxx</w:t>
            </w:r>
          </w:p>
        </w:tc>
        <w:tc>
          <w:tcPr>
            <w:tcW w:w="1486" w:type="dxa"/>
            <w:vAlign w:val="center"/>
          </w:tcPr>
          <w:p w14:paraId="0FFC0DED" w14:textId="0F1A625E" w:rsidR="000B148D" w:rsidRPr="00294FDC" w:rsidRDefault="00294FDC" w:rsidP="00617689">
            <w:pPr>
              <w:pStyle w:val="Tablebody"/>
              <w:spacing w:before="0" w:after="0"/>
              <w:jc w:val="center"/>
              <w:rPr>
                <w:rFonts w:cs="Arial"/>
                <w:color w:val="000000"/>
                <w:highlight w:val="black"/>
              </w:rPr>
            </w:pPr>
            <w:r w:rsidRPr="00294FDC">
              <w:rPr>
                <w:rFonts w:eastAsia="Times New Roman" w:cs="Arial"/>
                <w:color w:val="000000"/>
                <w:highlight w:val="black"/>
              </w:rPr>
              <w:t>xxxxxxxxx</w:t>
            </w:r>
          </w:p>
        </w:tc>
      </w:tr>
      <w:tr w:rsidR="000B148D" w:rsidRPr="00966FF8" w14:paraId="3C7341DD" w14:textId="77777777">
        <w:trPr>
          <w:trHeight w:val="20"/>
        </w:trPr>
        <w:tc>
          <w:tcPr>
            <w:tcW w:w="2972" w:type="dxa"/>
            <w:shd w:val="clear" w:color="auto" w:fill="F2F2F2" w:themeFill="background1" w:themeFillShade="F2"/>
            <w:vAlign w:val="center"/>
          </w:tcPr>
          <w:p w14:paraId="78F40D36" w14:textId="77777777" w:rsidR="000B148D" w:rsidRPr="00966FF8" w:rsidRDefault="000B148D" w:rsidP="00617689">
            <w:pPr>
              <w:pStyle w:val="Tablebody"/>
              <w:spacing w:before="0" w:after="0"/>
              <w:ind w:left="171"/>
              <w:rPr>
                <w:rFonts w:cs="Arial"/>
              </w:rPr>
            </w:pPr>
            <w:r w:rsidRPr="00966FF8">
              <w:rPr>
                <w:rFonts w:eastAsia="Times New Roman" w:cs="Arial"/>
              </w:rPr>
              <w:t xml:space="preserve">2 </w:t>
            </w:r>
          </w:p>
        </w:tc>
        <w:tc>
          <w:tcPr>
            <w:tcW w:w="1485" w:type="dxa"/>
            <w:vAlign w:val="center"/>
          </w:tcPr>
          <w:p w14:paraId="45ABBACA" w14:textId="65393B18" w:rsidR="000B148D" w:rsidRPr="00294FDC" w:rsidRDefault="00294FDC" w:rsidP="00617689">
            <w:pPr>
              <w:pStyle w:val="Tablebody"/>
              <w:spacing w:before="0" w:after="0"/>
              <w:jc w:val="center"/>
              <w:rPr>
                <w:rFonts w:cs="Arial"/>
                <w:color w:val="000000"/>
                <w:highlight w:val="black"/>
              </w:rPr>
            </w:pPr>
            <w:r w:rsidRPr="00294FDC">
              <w:rPr>
                <w:rFonts w:eastAsia="Times New Roman" w:cs="Arial"/>
                <w:color w:val="000000"/>
                <w:highlight w:val="black"/>
              </w:rPr>
              <w:t>xxxxxxxxxx</w:t>
            </w:r>
          </w:p>
        </w:tc>
        <w:tc>
          <w:tcPr>
            <w:tcW w:w="1486" w:type="dxa"/>
            <w:vAlign w:val="center"/>
          </w:tcPr>
          <w:p w14:paraId="6829C00E" w14:textId="209472FB" w:rsidR="000B148D" w:rsidRPr="00294FDC" w:rsidRDefault="00294FDC" w:rsidP="00617689">
            <w:pPr>
              <w:pStyle w:val="Tablebody"/>
              <w:spacing w:before="0" w:after="0"/>
              <w:jc w:val="center"/>
              <w:rPr>
                <w:rFonts w:cs="Arial"/>
                <w:color w:val="000000"/>
                <w:highlight w:val="black"/>
              </w:rPr>
            </w:pPr>
            <w:r w:rsidRPr="00294FDC">
              <w:rPr>
                <w:rFonts w:eastAsia="Times New Roman" w:cs="Arial"/>
                <w:color w:val="000000"/>
                <w:highlight w:val="black"/>
              </w:rPr>
              <w:t>xxxxxxxxx</w:t>
            </w:r>
          </w:p>
        </w:tc>
        <w:tc>
          <w:tcPr>
            <w:tcW w:w="1485" w:type="dxa"/>
            <w:vAlign w:val="center"/>
          </w:tcPr>
          <w:p w14:paraId="24B9CFC6" w14:textId="3040E8D8" w:rsidR="000B148D" w:rsidRPr="00294FDC" w:rsidRDefault="00294FDC" w:rsidP="00617689">
            <w:pPr>
              <w:pStyle w:val="Tablebody"/>
              <w:spacing w:before="0" w:after="0"/>
              <w:jc w:val="center"/>
              <w:rPr>
                <w:rFonts w:cs="Arial"/>
                <w:color w:val="000000"/>
                <w:highlight w:val="black"/>
              </w:rPr>
            </w:pPr>
            <w:r w:rsidRPr="00294FDC">
              <w:rPr>
                <w:rFonts w:eastAsia="Times New Roman" w:cs="Arial"/>
                <w:color w:val="000000"/>
                <w:highlight w:val="black"/>
              </w:rPr>
              <w:t>xxxxxxxxxx</w:t>
            </w:r>
          </w:p>
        </w:tc>
        <w:tc>
          <w:tcPr>
            <w:tcW w:w="1486" w:type="dxa"/>
            <w:vAlign w:val="center"/>
          </w:tcPr>
          <w:p w14:paraId="0764ADFC" w14:textId="12515F35" w:rsidR="000B148D" w:rsidRPr="00294FDC" w:rsidRDefault="00294FDC" w:rsidP="00617689">
            <w:pPr>
              <w:pStyle w:val="Tablebody"/>
              <w:spacing w:before="0" w:after="0"/>
              <w:jc w:val="center"/>
              <w:rPr>
                <w:rFonts w:cs="Arial"/>
                <w:color w:val="000000"/>
                <w:highlight w:val="black"/>
              </w:rPr>
            </w:pPr>
            <w:r w:rsidRPr="00294FDC">
              <w:rPr>
                <w:rFonts w:eastAsia="Times New Roman" w:cs="Arial"/>
                <w:color w:val="000000"/>
                <w:highlight w:val="black"/>
              </w:rPr>
              <w:t>xxxxxxxxx</w:t>
            </w:r>
          </w:p>
        </w:tc>
      </w:tr>
      <w:tr w:rsidR="000B148D" w:rsidRPr="00966FF8" w14:paraId="40E6DBA4" w14:textId="77777777">
        <w:trPr>
          <w:trHeight w:val="20"/>
        </w:trPr>
        <w:tc>
          <w:tcPr>
            <w:tcW w:w="2972" w:type="dxa"/>
            <w:shd w:val="clear" w:color="auto" w:fill="F2F2F2" w:themeFill="background1" w:themeFillShade="F2"/>
            <w:vAlign w:val="center"/>
          </w:tcPr>
          <w:p w14:paraId="2CB2804C" w14:textId="77777777" w:rsidR="000B148D" w:rsidRPr="00966FF8" w:rsidRDefault="000B148D" w:rsidP="00617689">
            <w:pPr>
              <w:pStyle w:val="Tablebody"/>
              <w:spacing w:before="0" w:after="0"/>
              <w:ind w:left="171"/>
              <w:rPr>
                <w:rFonts w:eastAsia="Times New Roman" w:cs="Arial"/>
              </w:rPr>
            </w:pPr>
            <w:r w:rsidRPr="00966FF8">
              <w:rPr>
                <w:rFonts w:eastAsia="Times New Roman" w:cs="Arial"/>
              </w:rPr>
              <w:lastRenderedPageBreak/>
              <w:t xml:space="preserve">≥3 </w:t>
            </w:r>
          </w:p>
        </w:tc>
        <w:tc>
          <w:tcPr>
            <w:tcW w:w="1485" w:type="dxa"/>
            <w:vAlign w:val="center"/>
          </w:tcPr>
          <w:p w14:paraId="56F0A240" w14:textId="5B1A9F2B"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w:t>
            </w:r>
          </w:p>
        </w:tc>
        <w:tc>
          <w:tcPr>
            <w:tcW w:w="1486" w:type="dxa"/>
            <w:vAlign w:val="center"/>
          </w:tcPr>
          <w:p w14:paraId="688D4564" w14:textId="21BCF1D0"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w:t>
            </w:r>
          </w:p>
        </w:tc>
        <w:tc>
          <w:tcPr>
            <w:tcW w:w="1485" w:type="dxa"/>
            <w:vAlign w:val="center"/>
          </w:tcPr>
          <w:p w14:paraId="0EAC0CDC" w14:textId="4A21AD7D"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w:t>
            </w:r>
          </w:p>
        </w:tc>
        <w:tc>
          <w:tcPr>
            <w:tcW w:w="1486" w:type="dxa"/>
            <w:vAlign w:val="center"/>
          </w:tcPr>
          <w:p w14:paraId="79760D3D" w14:textId="4D1339AD"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w:t>
            </w:r>
          </w:p>
        </w:tc>
      </w:tr>
      <w:tr w:rsidR="000B148D" w:rsidRPr="00966FF8" w14:paraId="2B4C5300" w14:textId="77777777">
        <w:trPr>
          <w:trHeight w:val="20"/>
        </w:trPr>
        <w:tc>
          <w:tcPr>
            <w:tcW w:w="2972" w:type="dxa"/>
            <w:shd w:val="clear" w:color="auto" w:fill="F2F2F2" w:themeFill="background1" w:themeFillShade="F2"/>
            <w:vAlign w:val="center"/>
          </w:tcPr>
          <w:p w14:paraId="7384ED6E" w14:textId="77777777" w:rsidR="000B148D" w:rsidRPr="00966FF8" w:rsidRDefault="000B148D" w:rsidP="00617689">
            <w:pPr>
              <w:pStyle w:val="Tablebody"/>
              <w:spacing w:before="0" w:after="0"/>
              <w:ind w:left="171"/>
              <w:rPr>
                <w:rFonts w:eastAsia="Times New Roman" w:cs="Arial"/>
              </w:rPr>
            </w:pPr>
            <w:r>
              <w:rPr>
                <w:rFonts w:eastAsia="Times New Roman" w:cs="Arial"/>
              </w:rPr>
              <w:t>Mean (SD)</w:t>
            </w:r>
          </w:p>
        </w:tc>
        <w:tc>
          <w:tcPr>
            <w:tcW w:w="1485" w:type="dxa"/>
            <w:vAlign w:val="center"/>
          </w:tcPr>
          <w:p w14:paraId="4D958068" w14:textId="76189D3E"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w:t>
            </w:r>
          </w:p>
        </w:tc>
        <w:tc>
          <w:tcPr>
            <w:tcW w:w="1486" w:type="dxa"/>
            <w:vAlign w:val="center"/>
          </w:tcPr>
          <w:p w14:paraId="7B6C01E6" w14:textId="4A994B62"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w:t>
            </w:r>
          </w:p>
        </w:tc>
        <w:tc>
          <w:tcPr>
            <w:tcW w:w="1485" w:type="dxa"/>
            <w:vAlign w:val="center"/>
          </w:tcPr>
          <w:p w14:paraId="7991D8E0" w14:textId="40A4EC67"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w:t>
            </w:r>
          </w:p>
        </w:tc>
        <w:tc>
          <w:tcPr>
            <w:tcW w:w="1486" w:type="dxa"/>
            <w:vAlign w:val="center"/>
          </w:tcPr>
          <w:p w14:paraId="6B3A012F" w14:textId="3BD8EA16"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w:t>
            </w:r>
          </w:p>
        </w:tc>
      </w:tr>
      <w:tr w:rsidR="000B148D" w:rsidRPr="00966FF8" w14:paraId="7946FE37" w14:textId="77777777">
        <w:trPr>
          <w:trHeight w:val="20"/>
        </w:trPr>
        <w:tc>
          <w:tcPr>
            <w:tcW w:w="2972" w:type="dxa"/>
            <w:shd w:val="clear" w:color="auto" w:fill="F2F2F2" w:themeFill="background1" w:themeFillShade="F2"/>
            <w:vAlign w:val="center"/>
          </w:tcPr>
          <w:p w14:paraId="2A18E245" w14:textId="77777777" w:rsidR="000B148D" w:rsidRPr="00966FF8" w:rsidRDefault="000B148D" w:rsidP="00617689">
            <w:pPr>
              <w:pStyle w:val="Tablebody"/>
              <w:spacing w:before="0" w:after="0"/>
              <w:ind w:left="171"/>
              <w:rPr>
                <w:rFonts w:eastAsia="Times New Roman" w:cs="Arial"/>
              </w:rPr>
            </w:pPr>
            <w:r>
              <w:rPr>
                <w:rFonts w:eastAsia="Times New Roman" w:cs="Arial"/>
              </w:rPr>
              <w:t>Median</w:t>
            </w:r>
          </w:p>
        </w:tc>
        <w:tc>
          <w:tcPr>
            <w:tcW w:w="1485" w:type="dxa"/>
            <w:vAlign w:val="center"/>
          </w:tcPr>
          <w:p w14:paraId="17AD3E8C" w14:textId="0A470E56"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w:t>
            </w:r>
          </w:p>
        </w:tc>
        <w:tc>
          <w:tcPr>
            <w:tcW w:w="1486" w:type="dxa"/>
            <w:vAlign w:val="center"/>
          </w:tcPr>
          <w:p w14:paraId="6C452D4A" w14:textId="379BAEBE"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w:t>
            </w:r>
          </w:p>
        </w:tc>
        <w:tc>
          <w:tcPr>
            <w:tcW w:w="1485" w:type="dxa"/>
            <w:vAlign w:val="center"/>
          </w:tcPr>
          <w:p w14:paraId="34E76512" w14:textId="04EEE4E5"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w:t>
            </w:r>
          </w:p>
        </w:tc>
        <w:tc>
          <w:tcPr>
            <w:tcW w:w="1486" w:type="dxa"/>
            <w:vAlign w:val="center"/>
          </w:tcPr>
          <w:p w14:paraId="2C1D40AD" w14:textId="4E2B3BA4"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w:t>
            </w:r>
          </w:p>
        </w:tc>
      </w:tr>
      <w:tr w:rsidR="000B148D" w:rsidRPr="00966FF8" w14:paraId="3EC3FF7E" w14:textId="77777777">
        <w:trPr>
          <w:trHeight w:val="20"/>
        </w:trPr>
        <w:tc>
          <w:tcPr>
            <w:tcW w:w="8914" w:type="dxa"/>
            <w:gridSpan w:val="5"/>
            <w:shd w:val="clear" w:color="auto" w:fill="F2F2F2" w:themeFill="background1" w:themeFillShade="F2"/>
            <w:vAlign w:val="center"/>
          </w:tcPr>
          <w:p w14:paraId="33938E39" w14:textId="77777777" w:rsidR="000B148D" w:rsidRDefault="000B148D" w:rsidP="00617689">
            <w:pPr>
              <w:pStyle w:val="Tablebody"/>
              <w:spacing w:before="0" w:after="0"/>
              <w:rPr>
                <w:rFonts w:eastAsia="Times New Roman" w:cs="Arial"/>
              </w:rPr>
            </w:pPr>
            <w:r>
              <w:rPr>
                <w:rFonts w:eastAsia="Times New Roman" w:cs="Arial"/>
              </w:rPr>
              <w:t>Lines of prior chemotherapy, n (%)</w:t>
            </w:r>
          </w:p>
        </w:tc>
      </w:tr>
      <w:tr w:rsidR="000B148D" w:rsidRPr="00966FF8" w14:paraId="336D351F" w14:textId="77777777">
        <w:trPr>
          <w:trHeight w:val="20"/>
        </w:trPr>
        <w:tc>
          <w:tcPr>
            <w:tcW w:w="2972" w:type="dxa"/>
            <w:shd w:val="clear" w:color="auto" w:fill="F2F2F2" w:themeFill="background1" w:themeFillShade="F2"/>
            <w:vAlign w:val="center"/>
          </w:tcPr>
          <w:p w14:paraId="002D5600" w14:textId="77777777" w:rsidR="000B148D" w:rsidRDefault="000B148D" w:rsidP="00617689">
            <w:pPr>
              <w:pStyle w:val="Tablebody"/>
              <w:spacing w:before="0" w:after="0"/>
              <w:ind w:left="171"/>
              <w:rPr>
                <w:rFonts w:eastAsia="Times New Roman" w:cs="Arial"/>
              </w:rPr>
            </w:pPr>
            <w:r>
              <w:rPr>
                <w:rFonts w:eastAsia="Times New Roman" w:cs="Arial"/>
              </w:rPr>
              <w:t>0</w:t>
            </w:r>
          </w:p>
        </w:tc>
        <w:tc>
          <w:tcPr>
            <w:tcW w:w="1485" w:type="dxa"/>
            <w:vAlign w:val="center"/>
          </w:tcPr>
          <w:p w14:paraId="6648ED94" w14:textId="544FD2F5"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w:t>
            </w:r>
          </w:p>
        </w:tc>
        <w:tc>
          <w:tcPr>
            <w:tcW w:w="1486" w:type="dxa"/>
            <w:vAlign w:val="center"/>
          </w:tcPr>
          <w:p w14:paraId="16CF2DB9" w14:textId="2804CDF8" w:rsidR="000B148D" w:rsidRPr="00B942B1" w:rsidRDefault="00294FDC" w:rsidP="00617689">
            <w:pPr>
              <w:pStyle w:val="Tablebody"/>
              <w:spacing w:before="0" w:after="0"/>
              <w:jc w:val="center"/>
              <w:rPr>
                <w:rFonts w:eastAsia="Times New Roman" w:cs="Arial"/>
                <w:highlight w:val="yellow"/>
                <w:u w:val="single"/>
              </w:rPr>
            </w:pPr>
            <w:r w:rsidRPr="00294FDC">
              <w:rPr>
                <w:rFonts w:eastAsia="Times New Roman" w:cs="Arial"/>
                <w:color w:val="000000"/>
                <w:highlight w:val="black"/>
              </w:rPr>
              <w:t>xxxxxxx</w:t>
            </w:r>
            <w:r w:rsidR="000B148D" w:rsidRPr="00B942B1">
              <w:rPr>
                <w:rFonts w:eastAsia="Times New Roman" w:cs="Arial"/>
              </w:rPr>
              <w:t>**</w:t>
            </w:r>
          </w:p>
        </w:tc>
        <w:tc>
          <w:tcPr>
            <w:tcW w:w="1485" w:type="dxa"/>
            <w:vAlign w:val="center"/>
          </w:tcPr>
          <w:p w14:paraId="2519C3BD" w14:textId="4E7F2173"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w:t>
            </w:r>
          </w:p>
        </w:tc>
        <w:tc>
          <w:tcPr>
            <w:tcW w:w="1486" w:type="dxa"/>
            <w:vAlign w:val="center"/>
          </w:tcPr>
          <w:p w14:paraId="6876DF9B" w14:textId="0A29F462" w:rsidR="000B148D" w:rsidRPr="00B942B1" w:rsidRDefault="00294FDC" w:rsidP="00617689">
            <w:pPr>
              <w:pStyle w:val="Tablebody"/>
              <w:spacing w:before="0" w:after="0"/>
              <w:jc w:val="center"/>
              <w:rPr>
                <w:rFonts w:eastAsia="Times New Roman" w:cs="Arial"/>
                <w:highlight w:val="yellow"/>
                <w:u w:val="single"/>
              </w:rPr>
            </w:pPr>
            <w:r w:rsidRPr="00294FDC">
              <w:rPr>
                <w:rFonts w:eastAsia="Times New Roman" w:cs="Arial"/>
                <w:color w:val="000000"/>
                <w:highlight w:val="black"/>
              </w:rPr>
              <w:t>xxxxxxx</w:t>
            </w:r>
            <w:r w:rsidR="000B148D" w:rsidRPr="00B942B1">
              <w:rPr>
                <w:rFonts w:eastAsia="Times New Roman" w:cs="Arial"/>
              </w:rPr>
              <w:t>**</w:t>
            </w:r>
          </w:p>
        </w:tc>
      </w:tr>
      <w:tr w:rsidR="000B148D" w:rsidRPr="00966FF8" w14:paraId="76BFB8F0" w14:textId="77777777">
        <w:trPr>
          <w:trHeight w:val="20"/>
        </w:trPr>
        <w:tc>
          <w:tcPr>
            <w:tcW w:w="2972" w:type="dxa"/>
            <w:shd w:val="clear" w:color="auto" w:fill="F2F2F2" w:themeFill="background1" w:themeFillShade="F2"/>
            <w:vAlign w:val="center"/>
          </w:tcPr>
          <w:p w14:paraId="7F9BAABE" w14:textId="77777777" w:rsidR="000B148D" w:rsidRDefault="000B148D" w:rsidP="00617689">
            <w:pPr>
              <w:pStyle w:val="Tablebody"/>
              <w:spacing w:before="0" w:after="0"/>
              <w:ind w:left="171"/>
              <w:rPr>
                <w:rFonts w:eastAsia="Times New Roman" w:cs="Arial"/>
              </w:rPr>
            </w:pPr>
            <w:r>
              <w:rPr>
                <w:rFonts w:eastAsia="Times New Roman" w:cs="Arial"/>
              </w:rPr>
              <w:t>1</w:t>
            </w:r>
          </w:p>
        </w:tc>
        <w:tc>
          <w:tcPr>
            <w:tcW w:w="1485" w:type="dxa"/>
            <w:vAlign w:val="center"/>
          </w:tcPr>
          <w:p w14:paraId="11F23BFA" w14:textId="03A9E8E0"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w:t>
            </w:r>
          </w:p>
        </w:tc>
        <w:tc>
          <w:tcPr>
            <w:tcW w:w="1486" w:type="dxa"/>
            <w:vAlign w:val="center"/>
          </w:tcPr>
          <w:p w14:paraId="14F3B087" w14:textId="4036AAB7"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w:t>
            </w:r>
          </w:p>
        </w:tc>
        <w:tc>
          <w:tcPr>
            <w:tcW w:w="1485" w:type="dxa"/>
            <w:vAlign w:val="center"/>
          </w:tcPr>
          <w:p w14:paraId="63C7E230" w14:textId="0E780FE1"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w:t>
            </w:r>
          </w:p>
        </w:tc>
        <w:tc>
          <w:tcPr>
            <w:tcW w:w="1486" w:type="dxa"/>
            <w:vAlign w:val="center"/>
          </w:tcPr>
          <w:p w14:paraId="063D3FA8" w14:textId="10E561BD"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w:t>
            </w:r>
          </w:p>
        </w:tc>
      </w:tr>
      <w:tr w:rsidR="000B148D" w:rsidRPr="00966FF8" w14:paraId="7A23C187" w14:textId="77777777">
        <w:trPr>
          <w:trHeight w:val="20"/>
        </w:trPr>
        <w:tc>
          <w:tcPr>
            <w:tcW w:w="2972" w:type="dxa"/>
            <w:shd w:val="clear" w:color="auto" w:fill="F2F2F2" w:themeFill="background1" w:themeFillShade="F2"/>
            <w:vAlign w:val="center"/>
          </w:tcPr>
          <w:p w14:paraId="3426D622" w14:textId="77777777" w:rsidR="000B148D" w:rsidRDefault="000B148D" w:rsidP="00617689">
            <w:pPr>
              <w:pStyle w:val="Tablebody"/>
              <w:spacing w:before="0" w:after="0"/>
              <w:ind w:left="171"/>
              <w:rPr>
                <w:rFonts w:eastAsia="Times New Roman" w:cs="Arial"/>
              </w:rPr>
            </w:pPr>
            <w:r>
              <w:rPr>
                <w:rFonts w:eastAsia="Times New Roman" w:cs="Arial"/>
              </w:rPr>
              <w:t>2</w:t>
            </w:r>
          </w:p>
        </w:tc>
        <w:tc>
          <w:tcPr>
            <w:tcW w:w="1485" w:type="dxa"/>
            <w:vAlign w:val="center"/>
          </w:tcPr>
          <w:p w14:paraId="50F1B56F" w14:textId="0E22C9E7"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w:t>
            </w:r>
          </w:p>
        </w:tc>
        <w:tc>
          <w:tcPr>
            <w:tcW w:w="1486" w:type="dxa"/>
            <w:vAlign w:val="center"/>
          </w:tcPr>
          <w:p w14:paraId="63CA506B" w14:textId="42E15184"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w:t>
            </w:r>
          </w:p>
        </w:tc>
        <w:tc>
          <w:tcPr>
            <w:tcW w:w="1485" w:type="dxa"/>
            <w:vAlign w:val="center"/>
          </w:tcPr>
          <w:p w14:paraId="637C04B1" w14:textId="16EC6714"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w:t>
            </w:r>
          </w:p>
        </w:tc>
        <w:tc>
          <w:tcPr>
            <w:tcW w:w="1486" w:type="dxa"/>
            <w:vAlign w:val="center"/>
          </w:tcPr>
          <w:p w14:paraId="27CCE2C1" w14:textId="26C27EBF"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w:t>
            </w:r>
          </w:p>
        </w:tc>
      </w:tr>
      <w:tr w:rsidR="000B148D" w:rsidRPr="00966FF8" w14:paraId="5625685D" w14:textId="77777777">
        <w:trPr>
          <w:trHeight w:val="20"/>
        </w:trPr>
        <w:tc>
          <w:tcPr>
            <w:tcW w:w="2972" w:type="dxa"/>
            <w:shd w:val="clear" w:color="auto" w:fill="F2F2F2" w:themeFill="background1" w:themeFillShade="F2"/>
            <w:vAlign w:val="center"/>
          </w:tcPr>
          <w:p w14:paraId="48C459D2" w14:textId="77777777" w:rsidR="000B148D" w:rsidRDefault="000B148D" w:rsidP="00617689">
            <w:pPr>
              <w:pStyle w:val="Tablebody"/>
              <w:spacing w:before="0" w:after="0"/>
              <w:ind w:left="171"/>
              <w:rPr>
                <w:rFonts w:eastAsia="Times New Roman" w:cs="Arial"/>
              </w:rPr>
            </w:pPr>
            <w:r w:rsidRPr="00966FF8">
              <w:rPr>
                <w:rFonts w:eastAsia="Times New Roman" w:cs="Arial"/>
              </w:rPr>
              <w:t>≥3</w:t>
            </w:r>
          </w:p>
        </w:tc>
        <w:tc>
          <w:tcPr>
            <w:tcW w:w="1485" w:type="dxa"/>
            <w:vAlign w:val="center"/>
          </w:tcPr>
          <w:p w14:paraId="2FB697D8" w14:textId="26760129"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w:t>
            </w:r>
          </w:p>
        </w:tc>
        <w:tc>
          <w:tcPr>
            <w:tcW w:w="1486" w:type="dxa"/>
            <w:vAlign w:val="center"/>
          </w:tcPr>
          <w:p w14:paraId="0AEC090C" w14:textId="51C85CBF"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w:t>
            </w:r>
          </w:p>
        </w:tc>
        <w:tc>
          <w:tcPr>
            <w:tcW w:w="1485" w:type="dxa"/>
            <w:vAlign w:val="center"/>
          </w:tcPr>
          <w:p w14:paraId="1C23C117" w14:textId="67E2AD88"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w:t>
            </w:r>
          </w:p>
        </w:tc>
        <w:tc>
          <w:tcPr>
            <w:tcW w:w="1486" w:type="dxa"/>
            <w:vAlign w:val="center"/>
          </w:tcPr>
          <w:p w14:paraId="22B35DE2" w14:textId="67660F77"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w:t>
            </w:r>
          </w:p>
        </w:tc>
      </w:tr>
      <w:tr w:rsidR="000B148D" w:rsidRPr="00966FF8" w14:paraId="682B8D52" w14:textId="77777777">
        <w:trPr>
          <w:trHeight w:val="20"/>
        </w:trPr>
        <w:tc>
          <w:tcPr>
            <w:tcW w:w="2972" w:type="dxa"/>
            <w:shd w:val="clear" w:color="auto" w:fill="F2F2F2" w:themeFill="background1" w:themeFillShade="F2"/>
            <w:vAlign w:val="center"/>
          </w:tcPr>
          <w:p w14:paraId="742199A3" w14:textId="77777777" w:rsidR="000B148D" w:rsidRDefault="000B148D" w:rsidP="00617689">
            <w:pPr>
              <w:pStyle w:val="Tablebody"/>
              <w:spacing w:before="0" w:after="0"/>
              <w:ind w:left="171"/>
              <w:rPr>
                <w:rFonts w:eastAsia="Times New Roman" w:cs="Arial"/>
              </w:rPr>
            </w:pPr>
            <w:r>
              <w:rPr>
                <w:rFonts w:eastAsia="Times New Roman" w:cs="Arial"/>
              </w:rPr>
              <w:t>Mean (SD)</w:t>
            </w:r>
          </w:p>
        </w:tc>
        <w:tc>
          <w:tcPr>
            <w:tcW w:w="1485" w:type="dxa"/>
            <w:vAlign w:val="center"/>
          </w:tcPr>
          <w:p w14:paraId="48100AF5" w14:textId="3DB14F36"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w:t>
            </w:r>
          </w:p>
        </w:tc>
        <w:tc>
          <w:tcPr>
            <w:tcW w:w="1486" w:type="dxa"/>
            <w:vAlign w:val="center"/>
          </w:tcPr>
          <w:p w14:paraId="2A8145E0" w14:textId="53524D79"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w:t>
            </w:r>
          </w:p>
        </w:tc>
        <w:tc>
          <w:tcPr>
            <w:tcW w:w="1485" w:type="dxa"/>
            <w:vAlign w:val="center"/>
          </w:tcPr>
          <w:p w14:paraId="3C62794B" w14:textId="300F08D1"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w:t>
            </w:r>
          </w:p>
        </w:tc>
        <w:tc>
          <w:tcPr>
            <w:tcW w:w="1486" w:type="dxa"/>
            <w:vAlign w:val="center"/>
          </w:tcPr>
          <w:p w14:paraId="28D400B3" w14:textId="546CE1F6"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w:t>
            </w:r>
          </w:p>
        </w:tc>
      </w:tr>
      <w:tr w:rsidR="000B148D" w:rsidRPr="00966FF8" w14:paraId="22C708A4" w14:textId="77777777">
        <w:trPr>
          <w:trHeight w:val="20"/>
        </w:trPr>
        <w:tc>
          <w:tcPr>
            <w:tcW w:w="2972" w:type="dxa"/>
            <w:shd w:val="clear" w:color="auto" w:fill="F2F2F2" w:themeFill="background1" w:themeFillShade="F2"/>
            <w:vAlign w:val="center"/>
          </w:tcPr>
          <w:p w14:paraId="69D968C4" w14:textId="77777777" w:rsidR="000B148D" w:rsidRDefault="000B148D" w:rsidP="00617689">
            <w:pPr>
              <w:pStyle w:val="Tablebody"/>
              <w:spacing w:before="0" w:after="0"/>
              <w:ind w:left="171"/>
              <w:rPr>
                <w:rFonts w:eastAsia="Times New Roman" w:cs="Arial"/>
              </w:rPr>
            </w:pPr>
            <w:r>
              <w:rPr>
                <w:rFonts w:eastAsia="Times New Roman" w:cs="Arial"/>
              </w:rPr>
              <w:t>Median</w:t>
            </w:r>
          </w:p>
        </w:tc>
        <w:tc>
          <w:tcPr>
            <w:tcW w:w="1485" w:type="dxa"/>
            <w:vAlign w:val="center"/>
          </w:tcPr>
          <w:p w14:paraId="54950935" w14:textId="6A044E9C"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w:t>
            </w:r>
          </w:p>
        </w:tc>
        <w:tc>
          <w:tcPr>
            <w:tcW w:w="1486" w:type="dxa"/>
            <w:vAlign w:val="center"/>
          </w:tcPr>
          <w:p w14:paraId="748F2692" w14:textId="79718E7E"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w:t>
            </w:r>
          </w:p>
        </w:tc>
        <w:tc>
          <w:tcPr>
            <w:tcW w:w="1485" w:type="dxa"/>
            <w:vAlign w:val="center"/>
          </w:tcPr>
          <w:p w14:paraId="32C79398" w14:textId="541738F6"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w:t>
            </w:r>
          </w:p>
        </w:tc>
        <w:tc>
          <w:tcPr>
            <w:tcW w:w="1486" w:type="dxa"/>
            <w:vAlign w:val="center"/>
          </w:tcPr>
          <w:p w14:paraId="2D75FF11" w14:textId="51F4FE00"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w:t>
            </w:r>
          </w:p>
        </w:tc>
      </w:tr>
      <w:tr w:rsidR="000B148D" w:rsidRPr="00966FF8" w14:paraId="3C5E8390" w14:textId="77777777">
        <w:trPr>
          <w:trHeight w:val="20"/>
        </w:trPr>
        <w:tc>
          <w:tcPr>
            <w:tcW w:w="8914" w:type="dxa"/>
            <w:gridSpan w:val="5"/>
            <w:shd w:val="clear" w:color="auto" w:fill="F2F2F2" w:themeFill="background1" w:themeFillShade="F2"/>
            <w:vAlign w:val="center"/>
          </w:tcPr>
          <w:p w14:paraId="48A350C5" w14:textId="77777777" w:rsidR="000B148D" w:rsidRPr="00966FF8" w:rsidRDefault="000B148D" w:rsidP="00617689">
            <w:pPr>
              <w:pStyle w:val="Tablebody"/>
              <w:spacing w:before="0" w:after="0"/>
              <w:rPr>
                <w:rFonts w:eastAsia="Times New Roman" w:cs="Arial"/>
              </w:rPr>
            </w:pPr>
            <w:r>
              <w:rPr>
                <w:rFonts w:eastAsia="Times New Roman" w:cs="Arial"/>
              </w:rPr>
              <w:t xml:space="preserve">Stratification factor: </w:t>
            </w:r>
            <w:r w:rsidRPr="00966FF8">
              <w:rPr>
                <w:rFonts w:eastAsia="Times New Roman" w:cs="Arial"/>
              </w:rPr>
              <w:t>Lines of prior chemotherapy in metastatic setting</w:t>
            </w:r>
            <w:r>
              <w:rPr>
                <w:rFonts w:eastAsia="Times New Roman" w:cs="Arial"/>
              </w:rPr>
              <w:t xml:space="preserve"> per IXRS</w:t>
            </w:r>
            <w:r w:rsidRPr="00966FF8">
              <w:rPr>
                <w:rFonts w:cs="Yu Gothic Light"/>
                <w:vertAlign w:val="superscript"/>
              </w:rPr>
              <w:t>†</w:t>
            </w:r>
            <w:r w:rsidRPr="00966FF8">
              <w:rPr>
                <w:rFonts w:eastAsia="Times New Roman" w:cs="Arial"/>
              </w:rPr>
              <w:t>, n (%)</w:t>
            </w:r>
          </w:p>
        </w:tc>
      </w:tr>
      <w:tr w:rsidR="000B148D" w:rsidRPr="00966FF8" w14:paraId="4FAF9CB6" w14:textId="77777777">
        <w:trPr>
          <w:trHeight w:val="20"/>
        </w:trPr>
        <w:tc>
          <w:tcPr>
            <w:tcW w:w="2972" w:type="dxa"/>
            <w:shd w:val="clear" w:color="auto" w:fill="F2F2F2" w:themeFill="background1" w:themeFillShade="F2"/>
            <w:vAlign w:val="center"/>
          </w:tcPr>
          <w:p w14:paraId="10E9F7AB" w14:textId="77777777" w:rsidR="000B148D" w:rsidRPr="00966FF8" w:rsidRDefault="000B148D" w:rsidP="00617689">
            <w:pPr>
              <w:pStyle w:val="Tablebody"/>
              <w:spacing w:before="0" w:after="0"/>
              <w:ind w:left="171"/>
              <w:rPr>
                <w:rFonts w:eastAsia="Times New Roman" w:cs="Arial"/>
              </w:rPr>
            </w:pPr>
            <w:r w:rsidRPr="00966FF8">
              <w:rPr>
                <w:rFonts w:eastAsia="Times New Roman" w:cs="Arial"/>
              </w:rPr>
              <w:t>0</w:t>
            </w:r>
            <w:r>
              <w:rPr>
                <w:rFonts w:eastAsia="Times New Roman" w:cs="Arial"/>
              </w:rPr>
              <w:t>**</w:t>
            </w:r>
          </w:p>
        </w:tc>
        <w:tc>
          <w:tcPr>
            <w:tcW w:w="1485" w:type="dxa"/>
            <w:vAlign w:val="center"/>
          </w:tcPr>
          <w:p w14:paraId="7ACF121D" w14:textId="1298E526"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w:t>
            </w:r>
          </w:p>
        </w:tc>
        <w:tc>
          <w:tcPr>
            <w:tcW w:w="1486" w:type="dxa"/>
            <w:vAlign w:val="center"/>
          </w:tcPr>
          <w:p w14:paraId="74F6EF2C" w14:textId="059E4EC4"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w:t>
            </w:r>
          </w:p>
        </w:tc>
        <w:tc>
          <w:tcPr>
            <w:tcW w:w="1485" w:type="dxa"/>
            <w:vAlign w:val="center"/>
          </w:tcPr>
          <w:p w14:paraId="404268F0" w14:textId="343BBE87"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w:t>
            </w:r>
          </w:p>
        </w:tc>
        <w:tc>
          <w:tcPr>
            <w:tcW w:w="1486" w:type="dxa"/>
            <w:vAlign w:val="center"/>
          </w:tcPr>
          <w:p w14:paraId="4EC0A610" w14:textId="3FB7FD82"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w:t>
            </w:r>
          </w:p>
        </w:tc>
      </w:tr>
      <w:tr w:rsidR="000B148D" w:rsidRPr="00966FF8" w14:paraId="661D6C99" w14:textId="77777777">
        <w:trPr>
          <w:trHeight w:val="20"/>
        </w:trPr>
        <w:tc>
          <w:tcPr>
            <w:tcW w:w="2972" w:type="dxa"/>
            <w:shd w:val="clear" w:color="auto" w:fill="F2F2F2" w:themeFill="background1" w:themeFillShade="F2"/>
            <w:vAlign w:val="center"/>
          </w:tcPr>
          <w:p w14:paraId="1F1BD759" w14:textId="77777777" w:rsidR="000B148D" w:rsidRPr="00966FF8" w:rsidRDefault="000B148D" w:rsidP="00617689">
            <w:pPr>
              <w:pStyle w:val="Tablebody"/>
              <w:spacing w:before="0" w:after="0"/>
              <w:ind w:left="171"/>
              <w:rPr>
                <w:rFonts w:eastAsia="Times New Roman" w:cs="Arial"/>
              </w:rPr>
            </w:pPr>
            <w:r w:rsidRPr="00966FF8">
              <w:rPr>
                <w:rFonts w:eastAsia="Times New Roman" w:cs="Arial"/>
              </w:rPr>
              <w:t xml:space="preserve">1 </w:t>
            </w:r>
          </w:p>
        </w:tc>
        <w:tc>
          <w:tcPr>
            <w:tcW w:w="1485" w:type="dxa"/>
            <w:vAlign w:val="center"/>
          </w:tcPr>
          <w:p w14:paraId="0A213406" w14:textId="5F7A8893"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w:t>
            </w:r>
          </w:p>
        </w:tc>
        <w:tc>
          <w:tcPr>
            <w:tcW w:w="1486" w:type="dxa"/>
            <w:vAlign w:val="center"/>
          </w:tcPr>
          <w:p w14:paraId="36D5709E" w14:textId="0C9EC05A"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w:t>
            </w:r>
          </w:p>
        </w:tc>
        <w:tc>
          <w:tcPr>
            <w:tcW w:w="1485" w:type="dxa"/>
            <w:vAlign w:val="center"/>
          </w:tcPr>
          <w:p w14:paraId="354E3E35" w14:textId="3166AD51"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w:t>
            </w:r>
          </w:p>
        </w:tc>
        <w:tc>
          <w:tcPr>
            <w:tcW w:w="1486" w:type="dxa"/>
            <w:vAlign w:val="center"/>
          </w:tcPr>
          <w:p w14:paraId="15B544CF" w14:textId="4F21ADA3"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w:t>
            </w:r>
          </w:p>
        </w:tc>
      </w:tr>
      <w:tr w:rsidR="000B148D" w:rsidRPr="00966FF8" w14:paraId="63D134CD" w14:textId="77777777">
        <w:trPr>
          <w:trHeight w:val="20"/>
        </w:trPr>
        <w:tc>
          <w:tcPr>
            <w:tcW w:w="2972" w:type="dxa"/>
            <w:shd w:val="clear" w:color="auto" w:fill="F2F2F2" w:themeFill="background1" w:themeFillShade="F2"/>
            <w:vAlign w:val="center"/>
          </w:tcPr>
          <w:p w14:paraId="11DC1AA7" w14:textId="77777777" w:rsidR="000B148D" w:rsidRPr="00966FF8" w:rsidRDefault="000B148D" w:rsidP="00617689">
            <w:pPr>
              <w:pStyle w:val="Tablebody"/>
              <w:spacing w:before="0" w:after="0"/>
              <w:ind w:left="171"/>
              <w:rPr>
                <w:rFonts w:eastAsia="Times New Roman" w:cs="Arial"/>
              </w:rPr>
            </w:pPr>
            <w:r w:rsidRPr="00966FF8">
              <w:rPr>
                <w:rFonts w:eastAsia="Times New Roman" w:cs="Arial"/>
              </w:rPr>
              <w:t xml:space="preserve">2 </w:t>
            </w:r>
          </w:p>
        </w:tc>
        <w:tc>
          <w:tcPr>
            <w:tcW w:w="1485" w:type="dxa"/>
            <w:vAlign w:val="center"/>
          </w:tcPr>
          <w:p w14:paraId="43F72FD1" w14:textId="14ABE3F7"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w:t>
            </w:r>
          </w:p>
        </w:tc>
        <w:tc>
          <w:tcPr>
            <w:tcW w:w="1486" w:type="dxa"/>
            <w:vAlign w:val="center"/>
          </w:tcPr>
          <w:p w14:paraId="7CF232C6" w14:textId="5A7BC8B4"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w:t>
            </w:r>
          </w:p>
        </w:tc>
        <w:tc>
          <w:tcPr>
            <w:tcW w:w="1485" w:type="dxa"/>
            <w:vAlign w:val="center"/>
          </w:tcPr>
          <w:p w14:paraId="7292CB90" w14:textId="084151E7"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w:t>
            </w:r>
          </w:p>
        </w:tc>
        <w:tc>
          <w:tcPr>
            <w:tcW w:w="1486" w:type="dxa"/>
            <w:vAlign w:val="center"/>
          </w:tcPr>
          <w:p w14:paraId="04985A6A" w14:textId="2370C57D"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w:t>
            </w:r>
          </w:p>
        </w:tc>
      </w:tr>
      <w:tr w:rsidR="000B148D" w:rsidRPr="00966FF8" w14:paraId="1A37F885" w14:textId="77777777">
        <w:trPr>
          <w:trHeight w:val="20"/>
        </w:trPr>
        <w:tc>
          <w:tcPr>
            <w:tcW w:w="2972" w:type="dxa"/>
            <w:shd w:val="clear" w:color="auto" w:fill="F2F2F2" w:themeFill="background1" w:themeFillShade="F2"/>
            <w:vAlign w:val="center"/>
          </w:tcPr>
          <w:p w14:paraId="6BE38153" w14:textId="77777777" w:rsidR="000B148D" w:rsidRPr="00966FF8" w:rsidRDefault="000B148D" w:rsidP="00617689">
            <w:pPr>
              <w:pStyle w:val="Tablebody"/>
              <w:spacing w:before="0" w:after="0"/>
              <w:ind w:left="171"/>
              <w:rPr>
                <w:rFonts w:eastAsia="Times New Roman" w:cs="Arial"/>
              </w:rPr>
            </w:pPr>
            <w:r w:rsidRPr="00966FF8">
              <w:rPr>
                <w:rFonts w:eastAsia="Times New Roman" w:cs="Arial"/>
              </w:rPr>
              <w:t>≥3</w:t>
            </w:r>
            <w:r>
              <w:rPr>
                <w:rFonts w:eastAsia="Times New Roman" w:cs="Arial"/>
              </w:rPr>
              <w:t>**</w:t>
            </w:r>
          </w:p>
        </w:tc>
        <w:tc>
          <w:tcPr>
            <w:tcW w:w="1485" w:type="dxa"/>
            <w:vAlign w:val="center"/>
          </w:tcPr>
          <w:p w14:paraId="11E539BA" w14:textId="3136EA23"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w:t>
            </w:r>
          </w:p>
        </w:tc>
        <w:tc>
          <w:tcPr>
            <w:tcW w:w="1486" w:type="dxa"/>
            <w:vAlign w:val="center"/>
          </w:tcPr>
          <w:p w14:paraId="21E44FB1" w14:textId="626CEA8E"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w:t>
            </w:r>
          </w:p>
        </w:tc>
        <w:tc>
          <w:tcPr>
            <w:tcW w:w="1485" w:type="dxa"/>
            <w:vAlign w:val="center"/>
          </w:tcPr>
          <w:p w14:paraId="4ED1F8D7" w14:textId="4D97DF4E"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w:t>
            </w:r>
          </w:p>
        </w:tc>
        <w:tc>
          <w:tcPr>
            <w:tcW w:w="1486" w:type="dxa"/>
            <w:vAlign w:val="center"/>
          </w:tcPr>
          <w:p w14:paraId="68442B24" w14:textId="037A931C"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w:t>
            </w:r>
          </w:p>
        </w:tc>
      </w:tr>
      <w:tr w:rsidR="000B148D" w:rsidRPr="00966FF8" w14:paraId="5C79DAD8" w14:textId="77777777">
        <w:trPr>
          <w:trHeight w:val="20"/>
        </w:trPr>
        <w:tc>
          <w:tcPr>
            <w:tcW w:w="2972" w:type="dxa"/>
            <w:shd w:val="clear" w:color="auto" w:fill="F2F2F2" w:themeFill="background1" w:themeFillShade="F2"/>
            <w:vAlign w:val="center"/>
          </w:tcPr>
          <w:p w14:paraId="7045C421" w14:textId="77777777" w:rsidR="000B148D" w:rsidRPr="00966FF8" w:rsidRDefault="000B148D" w:rsidP="00617689">
            <w:pPr>
              <w:pStyle w:val="Tablebody"/>
              <w:spacing w:before="0" w:after="0"/>
              <w:ind w:left="171"/>
              <w:rPr>
                <w:rFonts w:eastAsia="Times New Roman" w:cs="Arial"/>
              </w:rPr>
            </w:pPr>
            <w:r>
              <w:rPr>
                <w:rFonts w:eastAsia="Times New Roman" w:cs="Arial"/>
              </w:rPr>
              <w:t>Mean (SD)</w:t>
            </w:r>
          </w:p>
        </w:tc>
        <w:tc>
          <w:tcPr>
            <w:tcW w:w="1485" w:type="dxa"/>
            <w:vAlign w:val="center"/>
          </w:tcPr>
          <w:p w14:paraId="3F822092" w14:textId="5B27B5A9"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w:t>
            </w:r>
          </w:p>
        </w:tc>
        <w:tc>
          <w:tcPr>
            <w:tcW w:w="1486" w:type="dxa"/>
            <w:vAlign w:val="center"/>
          </w:tcPr>
          <w:p w14:paraId="7E28612B" w14:textId="14FF50F7"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w:t>
            </w:r>
          </w:p>
        </w:tc>
        <w:tc>
          <w:tcPr>
            <w:tcW w:w="1485" w:type="dxa"/>
            <w:vAlign w:val="center"/>
          </w:tcPr>
          <w:p w14:paraId="6E24B08B" w14:textId="09FBF519"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w:t>
            </w:r>
          </w:p>
        </w:tc>
        <w:tc>
          <w:tcPr>
            <w:tcW w:w="1486" w:type="dxa"/>
            <w:vAlign w:val="center"/>
          </w:tcPr>
          <w:p w14:paraId="1095C381" w14:textId="08D2AE92"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w:t>
            </w:r>
          </w:p>
        </w:tc>
      </w:tr>
      <w:tr w:rsidR="000B148D" w:rsidRPr="00966FF8" w14:paraId="3C867E7A" w14:textId="77777777">
        <w:trPr>
          <w:trHeight w:val="20"/>
        </w:trPr>
        <w:tc>
          <w:tcPr>
            <w:tcW w:w="2972" w:type="dxa"/>
            <w:shd w:val="clear" w:color="auto" w:fill="F2F2F2" w:themeFill="background1" w:themeFillShade="F2"/>
            <w:vAlign w:val="center"/>
          </w:tcPr>
          <w:p w14:paraId="49CD6609" w14:textId="77777777" w:rsidR="000B148D" w:rsidRPr="00966FF8" w:rsidRDefault="000B148D" w:rsidP="00617689">
            <w:pPr>
              <w:pStyle w:val="Tablebody"/>
              <w:spacing w:before="0" w:after="0"/>
              <w:ind w:left="171"/>
              <w:rPr>
                <w:rFonts w:eastAsia="Times New Roman" w:cs="Arial"/>
              </w:rPr>
            </w:pPr>
            <w:r>
              <w:rPr>
                <w:rFonts w:eastAsia="Times New Roman" w:cs="Arial"/>
              </w:rPr>
              <w:t>Median</w:t>
            </w:r>
          </w:p>
        </w:tc>
        <w:tc>
          <w:tcPr>
            <w:tcW w:w="1485" w:type="dxa"/>
            <w:vAlign w:val="center"/>
          </w:tcPr>
          <w:p w14:paraId="67D051BE" w14:textId="62947B1B"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w:t>
            </w:r>
          </w:p>
        </w:tc>
        <w:tc>
          <w:tcPr>
            <w:tcW w:w="1486" w:type="dxa"/>
            <w:vAlign w:val="center"/>
          </w:tcPr>
          <w:p w14:paraId="3DDCC422" w14:textId="3FE090FD"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w:t>
            </w:r>
          </w:p>
        </w:tc>
        <w:tc>
          <w:tcPr>
            <w:tcW w:w="1485" w:type="dxa"/>
            <w:vAlign w:val="center"/>
          </w:tcPr>
          <w:p w14:paraId="595D2B96" w14:textId="68B46CD5"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w:t>
            </w:r>
          </w:p>
        </w:tc>
        <w:tc>
          <w:tcPr>
            <w:tcW w:w="1486" w:type="dxa"/>
            <w:vAlign w:val="center"/>
          </w:tcPr>
          <w:p w14:paraId="665DEE29" w14:textId="1F2939EE" w:rsidR="000B148D" w:rsidRPr="00294FDC" w:rsidRDefault="00294FDC" w:rsidP="00617689">
            <w:pPr>
              <w:pStyle w:val="Tablebody"/>
              <w:spacing w:before="0" w:after="0"/>
              <w:jc w:val="center"/>
              <w:rPr>
                <w:rFonts w:eastAsia="Times New Roman" w:cs="Arial"/>
                <w:color w:val="000000"/>
                <w:highlight w:val="black"/>
              </w:rPr>
            </w:pPr>
            <w:r w:rsidRPr="00294FDC">
              <w:rPr>
                <w:rFonts w:eastAsia="Times New Roman" w:cs="Arial"/>
                <w:color w:val="000000"/>
                <w:highlight w:val="black"/>
              </w:rPr>
              <w:t>x</w:t>
            </w:r>
          </w:p>
        </w:tc>
      </w:tr>
    </w:tbl>
    <w:p w14:paraId="0EAED129" w14:textId="15EFF83D" w:rsidR="000B148D" w:rsidRPr="0007049D" w:rsidRDefault="000B148D" w:rsidP="000B148D">
      <w:pPr>
        <w:pStyle w:val="Footnotes"/>
        <w:spacing w:after="0"/>
      </w:pPr>
      <w:r>
        <w:t>*</w:t>
      </w:r>
      <w:r w:rsidR="00294FDC" w:rsidRPr="00294FDC">
        <w:rPr>
          <w:color w:val="000000"/>
          <w:highlight w:val="black"/>
        </w:rPr>
        <w:t>xxxxxxxxxxxxxxxxxxxxxxxxxxxxxxxxxxxxxxxxxxxxxxxxxxxxxxxxxxxxxxxxxxxxxxxxxxxxxxxxxxxxxxxxxxxxxxxxxxxxxxxxxxxxxxxxxxxxxxxxxxxxxxxxxxxxxxxxxxxxxxxxxxxxxxxxxxxxxxxxxxxxxxxxxxxxxxxxxxxxxxxxxxx</w:t>
      </w:r>
      <w:r>
        <w:t>.</w:t>
      </w:r>
      <w:r>
        <w:cr/>
        <w:t>**Represents a protocol deviation.</w:t>
      </w:r>
      <w:r w:rsidRPr="00966FF8">
        <w:br/>
      </w:r>
      <w:r w:rsidRPr="00966FF8">
        <w:rPr>
          <w:rFonts w:cs="Yu Gothic Light"/>
          <w:vertAlign w:val="superscript"/>
        </w:rPr>
        <w:t>†</w:t>
      </w:r>
      <w:r w:rsidRPr="00AB7A3E">
        <w:t xml:space="preserve">If recurrence occurred </w:t>
      </w:r>
      <w:r w:rsidRPr="00AB7A3E">
        <w:rPr>
          <w:rFonts w:cs="Arial"/>
        </w:rPr>
        <w:t>≤</w:t>
      </w:r>
      <w:r w:rsidRPr="00AB7A3E">
        <w:t>6 months of (neo)adjuvant chemotherapy, (neo)adjuvant chemotherapy was counted as one line of chemotherapy.</w:t>
      </w:r>
      <w:r w:rsidRPr="00AB7A3E">
        <w:rPr>
          <w:u w:val="single"/>
        </w:rPr>
        <w:t xml:space="preserve"> </w:t>
      </w:r>
      <w:r w:rsidR="00C76DB7" w:rsidRPr="00294FDC">
        <w:rPr>
          <w:color w:val="000000"/>
          <w:highlight w:val="black"/>
        </w:rPr>
        <w:t>X</w:t>
      </w:r>
      <w:r w:rsidR="00294FDC" w:rsidRPr="00294FDC">
        <w:rPr>
          <w:color w:val="000000"/>
          <w:highlight w:val="black"/>
        </w:rPr>
        <w:t>xxxxxxxxxxxxxxxxxxxxxx</w:t>
      </w:r>
      <w:r w:rsidR="00C76DB7">
        <w:rPr>
          <w:color w:val="000000"/>
          <w:highlight w:val="black"/>
        </w:rPr>
        <w:t xml:space="preserve"> </w:t>
      </w:r>
      <w:r w:rsidR="00294FDC" w:rsidRPr="00294FDC">
        <w:rPr>
          <w:color w:val="000000"/>
          <w:highlight w:val="black"/>
        </w:rPr>
        <w:t>xxxxxxxxxxxxxxxxxxxx</w:t>
      </w:r>
      <w:r w:rsidR="00C76DB7">
        <w:rPr>
          <w:color w:val="000000"/>
          <w:highlight w:val="black"/>
        </w:rPr>
        <w:t xml:space="preserve"> </w:t>
      </w:r>
      <w:r w:rsidR="00294FDC" w:rsidRPr="00294FDC">
        <w:rPr>
          <w:color w:val="000000"/>
          <w:highlight w:val="black"/>
        </w:rPr>
        <w:t>xxxxxxxxxxxxxxxx</w:t>
      </w:r>
      <w:r w:rsidR="00C76DB7">
        <w:rPr>
          <w:color w:val="000000"/>
          <w:highlight w:val="black"/>
        </w:rPr>
        <w:t xml:space="preserve"> </w:t>
      </w:r>
      <w:r w:rsidR="00294FDC" w:rsidRPr="00294FDC">
        <w:rPr>
          <w:color w:val="000000"/>
          <w:highlight w:val="black"/>
        </w:rPr>
        <w:t>xxxxxxxxxxx</w:t>
      </w:r>
      <w:r w:rsidR="00C76DB7">
        <w:rPr>
          <w:color w:val="000000"/>
          <w:highlight w:val="black"/>
        </w:rPr>
        <w:t xml:space="preserve"> </w:t>
      </w:r>
      <w:r w:rsidR="00294FDC" w:rsidRPr="00294FDC">
        <w:rPr>
          <w:color w:val="000000"/>
          <w:highlight w:val="black"/>
        </w:rPr>
        <w:t>xxx</w:t>
      </w:r>
      <w:r w:rsidR="00C76DB7">
        <w:rPr>
          <w:color w:val="000000"/>
          <w:highlight w:val="black"/>
        </w:rPr>
        <w:t xml:space="preserve"> </w:t>
      </w:r>
      <w:r w:rsidRPr="004003CB">
        <w:rPr>
          <w:u w:val="single"/>
        </w:rPr>
        <w:t>.</w:t>
      </w:r>
      <w:r w:rsidRPr="00966FF8">
        <w:t xml:space="preserve"> </w:t>
      </w:r>
      <w:r w:rsidRPr="00966FF8">
        <w:br/>
        <w:t xml:space="preserve">Abbreviations: BMI, body mass index; CDK, cyclic-dependent kinase; CNS, central nervous system; ECOG, Eastern Cooperative Oncology Group; FAS, full analysis set; HER2, human epidermal growth factor receptor 2; </w:t>
      </w:r>
      <w:r>
        <w:t>HR</w:t>
      </w:r>
      <w:r w:rsidR="002E5550">
        <w:t>-positive</w:t>
      </w:r>
      <w:r>
        <w:t>, hormone receptor</w:t>
      </w:r>
      <w:r w:rsidR="002E5550">
        <w:t>-positive</w:t>
      </w:r>
      <w:r>
        <w:t xml:space="preserve">; </w:t>
      </w:r>
      <w:r w:rsidRPr="00966FF8">
        <w:t xml:space="preserve">IHC, immunohistochemistry; ISH, in situ hybridisation; </w:t>
      </w:r>
      <w:r>
        <w:t xml:space="preserve">ITT, intent-to-treat; </w:t>
      </w:r>
      <w:r w:rsidRPr="00966FF8">
        <w:t xml:space="preserve">IXRS, interactive web/voice response system; PS, performance status; </w:t>
      </w:r>
      <w:r>
        <w:t>SD, standard deviation;</w:t>
      </w:r>
      <w:r w:rsidRPr="00966FF8">
        <w:t xml:space="preserve"> T</w:t>
      </w:r>
      <w:r w:rsidRPr="00966FF8">
        <w:noBreakHyphen/>
        <w:t>DXd, trastuzumab deruxtecan; TPC, treatment of physician’s choice.</w:t>
      </w:r>
      <w:r w:rsidRPr="00966FF8">
        <w:br/>
      </w:r>
      <w:r w:rsidRPr="00966FF8">
        <w:rPr>
          <w:lang w:val="fr-FR"/>
        </w:rPr>
        <w:t>Sources: Modi et al., 2022</w:t>
      </w:r>
      <w:r>
        <w:rPr>
          <w:lang w:val="fr-FR"/>
        </w:rPr>
        <w:t>;</w:t>
      </w:r>
      <w:r>
        <w:rPr>
          <w:lang w:val="fr-FR"/>
        </w:rPr>
        <w:fldChar w:fldCharType="begin"/>
      </w:r>
      <w:r w:rsidR="00CA6345">
        <w:rPr>
          <w:lang w:val="fr-FR"/>
        </w:rPr>
        <w:instrText xml:space="preserve"> ADDIN ZOTERO_ITEM CSL_CITATION {"citationID":"ezapoBM8","properties":{"formattedCitation":"\\super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Pr>
          <w:lang w:val="fr-FR"/>
        </w:rPr>
        <w:fldChar w:fldCharType="separate"/>
      </w:r>
      <w:r w:rsidR="00FD57F4" w:rsidRPr="00FD57F4">
        <w:rPr>
          <w:rFonts w:cs="Arial"/>
          <w:szCs w:val="24"/>
          <w:vertAlign w:val="superscript"/>
        </w:rPr>
        <w:t>6</w:t>
      </w:r>
      <w:r>
        <w:rPr>
          <w:lang w:val="fr-FR"/>
        </w:rPr>
        <w:fldChar w:fldCharType="end"/>
      </w:r>
      <w:r w:rsidRPr="00966FF8">
        <w:rPr>
          <w:lang w:val="fr-FR"/>
        </w:rPr>
        <w:t xml:space="preserve"> Daiichi Sankyo Inc., 2022 (CSR and SAP, Data on File)</w:t>
      </w:r>
      <w:r w:rsidRPr="00966FF8">
        <w:rPr>
          <w:lang w:val="fr-FR"/>
        </w:rPr>
        <w:fldChar w:fldCharType="begin"/>
      </w:r>
      <w:r w:rsidR="00CA6345">
        <w:rPr>
          <w:lang w:val="fr-FR"/>
        </w:rPr>
        <w:instrText xml:space="preserve"> ADDIN ZOTERO_ITEM CSL_CITATION {"citationID":"NikDz0dU","properties":{"formattedCitation":"\\super 7,153\\nosupersub{}","plainCitation":"7,153","noteIndex":0},"citationItems":[{"id":65944,"uris":["http://zotero.org/groups/4797619/items/WBVSVVF7"],"itemData":{"id":65944,"type":"document","title":"Clinical Study Report for DS8201-A-U303. Data cut-off date: 11 Jan 2022. Data on File.","author":[{"family":"Daiichi Sankyo Inc.","given":""}],"issued":{"date-parts":[["2022"]]}}},{"id":65924,"uris":["http://zotero.org/groups/4797619/items/5D3NP3DU"],"itemData":{"id":65924,"type":"document","title":"Statistical Analysis Plan Version 2.0 for DS8201-A-U303. 04 January 2022. Data on File.","author":[{"family":"Daiichi Sankyo Inc.","given":""}],"issued":{"date-parts":[["2022"]]}}}],"schema":"https://github.com/citation-style-language/schema/raw/master/csl-citation.json"} </w:instrText>
      </w:r>
      <w:r w:rsidRPr="00966FF8">
        <w:rPr>
          <w:lang w:val="fr-FR"/>
        </w:rPr>
        <w:fldChar w:fldCharType="separate"/>
      </w:r>
      <w:r w:rsidR="00CA6345" w:rsidRPr="00CA6345">
        <w:rPr>
          <w:rFonts w:cs="Arial"/>
          <w:szCs w:val="24"/>
          <w:vertAlign w:val="superscript"/>
        </w:rPr>
        <w:t>7,153</w:t>
      </w:r>
      <w:r w:rsidRPr="00966FF8">
        <w:rPr>
          <w:lang w:val="fr-FR"/>
        </w:rPr>
        <w:fldChar w:fldCharType="end"/>
      </w:r>
      <w:r w:rsidRPr="00966FF8">
        <w:t xml:space="preserve"> </w:t>
      </w:r>
    </w:p>
    <w:p w14:paraId="639AC644" w14:textId="77777777" w:rsidR="000B148D" w:rsidRDefault="000B148D" w:rsidP="000B148D">
      <w:pPr>
        <w:pStyle w:val="Heading2"/>
      </w:pPr>
      <w:bookmarkStart w:id="200" w:name="_Toc124447836"/>
      <w:bookmarkStart w:id="201" w:name="_Toc129350863"/>
      <w:r>
        <w:t>Critical appraisal of the relevant clinical effectiveness evidence</w:t>
      </w:r>
      <w:bookmarkEnd w:id="200"/>
      <w:bookmarkEnd w:id="201"/>
    </w:p>
    <w:p w14:paraId="43B51DA2" w14:textId="6BEEB08F" w:rsidR="000B148D" w:rsidRPr="0007049D" w:rsidRDefault="000B148D" w:rsidP="000B148D">
      <w:pPr>
        <w:pStyle w:val="Body"/>
      </w:pPr>
      <w:r w:rsidRPr="0007049D">
        <w:t>Quality assessment of DESTINY-Breast04 was conducted using the NICE single technology assessment: User guide for company evidence submission template, adapted from Systematic reviews: Centre for Reviews and Dissemination’s guidance for undertaking reviews in health care (University of York Centre for Reviews and Dissemination;</w:t>
      </w:r>
      <w:r>
        <w:t xml:space="preserve"> </w:t>
      </w:r>
      <w:r w:rsidRPr="00792ECA">
        <w:rPr>
          <w:b/>
          <w:bCs/>
        </w:rPr>
        <w:fldChar w:fldCharType="begin"/>
      </w:r>
      <w:r w:rsidRPr="00792ECA">
        <w:rPr>
          <w:b/>
          <w:bCs/>
        </w:rPr>
        <w:instrText xml:space="preserve"> REF _Ref124432606 \h </w:instrText>
      </w:r>
      <w:r>
        <w:rPr>
          <w:b/>
          <w:bCs/>
        </w:rPr>
        <w:instrText xml:space="preserve"> \* MERGEFORMAT </w:instrText>
      </w:r>
      <w:r w:rsidRPr="00792ECA">
        <w:rPr>
          <w:b/>
          <w:bCs/>
        </w:rPr>
      </w:r>
      <w:r w:rsidRPr="00792ECA">
        <w:rPr>
          <w:b/>
          <w:bCs/>
        </w:rPr>
        <w:fldChar w:fldCharType="separate"/>
      </w:r>
      <w:r w:rsidR="00145F42" w:rsidRPr="00145F42">
        <w:rPr>
          <w:b/>
          <w:bCs/>
        </w:rPr>
        <w:t xml:space="preserve">Table </w:t>
      </w:r>
      <w:r w:rsidR="00145F42" w:rsidRPr="00145F42">
        <w:rPr>
          <w:b/>
          <w:bCs/>
          <w:noProof/>
        </w:rPr>
        <w:t>16</w:t>
      </w:r>
      <w:r w:rsidRPr="00792ECA">
        <w:rPr>
          <w:b/>
          <w:bCs/>
        </w:rPr>
        <w:fldChar w:fldCharType="end"/>
      </w:r>
      <w:r>
        <w:t>)</w:t>
      </w:r>
      <w:r w:rsidRPr="0007049D">
        <w:t>.</w:t>
      </w:r>
    </w:p>
    <w:p w14:paraId="163E9E28" w14:textId="688485C3" w:rsidR="000B148D" w:rsidRPr="0007049D" w:rsidRDefault="000B148D" w:rsidP="000B148D">
      <w:bookmarkStart w:id="202" w:name="_Ref85799907"/>
      <w:bookmarkStart w:id="203" w:name="_Toc95826065"/>
      <w:r w:rsidRPr="0007049D">
        <w:t xml:space="preserve">The quality assessment review was initially conducted by an agency consultant used by the </w:t>
      </w:r>
      <w:r w:rsidR="00956A8A">
        <w:t>c</w:t>
      </w:r>
      <w:r w:rsidRPr="0007049D">
        <w:t xml:space="preserve">ompany to support submission development, and subsequently independently and separately checked by two representatives from the </w:t>
      </w:r>
      <w:r w:rsidR="00956A8A">
        <w:t>c</w:t>
      </w:r>
      <w:r w:rsidRPr="0007049D">
        <w:t xml:space="preserve">ompany. Any disagreements were resolved through discussion between the reviewers. It was not possible to conduct the review in a blinded manner as all reviewers were aware that DESTINY-Breast04 was the only relevant trial identified by the systematic review. The assessment decisions are as described in </w:t>
      </w:r>
      <w:r w:rsidRPr="00A6448D">
        <w:rPr>
          <w:b/>
          <w:bCs/>
        </w:rPr>
        <w:t>Appendix D.2</w:t>
      </w:r>
      <w:r w:rsidRPr="0007049D">
        <w:t>.</w:t>
      </w:r>
    </w:p>
    <w:p w14:paraId="7B4610E3" w14:textId="2F0A2889" w:rsidR="000B148D" w:rsidRPr="0007049D" w:rsidRDefault="000B148D" w:rsidP="000B148D">
      <w:pPr>
        <w:pStyle w:val="Caption"/>
      </w:pPr>
      <w:bookmarkStart w:id="204" w:name="_Ref124432606"/>
      <w:bookmarkStart w:id="205" w:name="_Toc124447876"/>
      <w:bookmarkStart w:id="206" w:name="_Toc129350991"/>
      <w:r w:rsidRPr="0007049D">
        <w:t xml:space="preserve">Table </w:t>
      </w:r>
      <w:r w:rsidRPr="0007049D">
        <w:fldChar w:fldCharType="begin"/>
      </w:r>
      <w:r w:rsidRPr="0007049D">
        <w:instrText>SEQ Table \* ARABIC</w:instrText>
      </w:r>
      <w:r w:rsidRPr="0007049D">
        <w:fldChar w:fldCharType="separate"/>
      </w:r>
      <w:r w:rsidR="00145F42">
        <w:rPr>
          <w:noProof/>
        </w:rPr>
        <w:t>16</w:t>
      </w:r>
      <w:r w:rsidRPr="0007049D">
        <w:fldChar w:fldCharType="end"/>
      </w:r>
      <w:bookmarkEnd w:id="202"/>
      <w:bookmarkEnd w:id="204"/>
      <w:r w:rsidRPr="0007049D">
        <w:t>: DESTINY-Breast04 | Quality assessment results</w:t>
      </w:r>
      <w:bookmarkEnd w:id="203"/>
      <w:bookmarkEnd w:id="205"/>
      <w:bookmarkEnd w:id="206"/>
    </w:p>
    <w:tbl>
      <w:tblPr>
        <w:tblStyle w:val="Generaltable"/>
        <w:tblW w:w="5000" w:type="pct"/>
        <w:tblLook w:val="04A0" w:firstRow="1" w:lastRow="0" w:firstColumn="1" w:lastColumn="0" w:noHBand="0" w:noVBand="1"/>
      </w:tblPr>
      <w:tblGrid>
        <w:gridCol w:w="2122"/>
        <w:gridCol w:w="6894"/>
      </w:tblGrid>
      <w:tr w:rsidR="000B148D" w:rsidRPr="0007049D" w14:paraId="29A46040" w14:textId="77777777">
        <w:trPr>
          <w:cnfStyle w:val="100000000000" w:firstRow="1" w:lastRow="0" w:firstColumn="0" w:lastColumn="0" w:oddVBand="0" w:evenVBand="0" w:oddHBand="0" w:evenHBand="0" w:firstRowFirstColumn="0" w:firstRowLastColumn="0" w:lastRowFirstColumn="0" w:lastRowLastColumn="0"/>
          <w:tblHeader/>
        </w:trPr>
        <w:tc>
          <w:tcPr>
            <w:tcW w:w="1177" w:type="pct"/>
          </w:tcPr>
          <w:p w14:paraId="4A02C2AF" w14:textId="77777777" w:rsidR="000B148D" w:rsidRPr="0007049D" w:rsidRDefault="000B148D" w:rsidP="0042119C">
            <w:pPr>
              <w:pStyle w:val="Tableheading"/>
              <w:spacing w:before="0" w:after="0"/>
            </w:pPr>
            <w:r w:rsidRPr="0007049D">
              <w:t>Questions</w:t>
            </w:r>
          </w:p>
        </w:tc>
        <w:tc>
          <w:tcPr>
            <w:tcW w:w="3823" w:type="pct"/>
          </w:tcPr>
          <w:p w14:paraId="66F394E7" w14:textId="77777777" w:rsidR="000B148D" w:rsidRPr="0007049D" w:rsidRDefault="000B148D" w:rsidP="0042119C">
            <w:pPr>
              <w:pStyle w:val="Tableheading"/>
              <w:spacing w:before="0" w:after="0"/>
            </w:pPr>
            <w:r w:rsidRPr="0007049D">
              <w:t>DESTINY-Breast0</w:t>
            </w:r>
            <w:r>
              <w:t>4</w:t>
            </w:r>
            <w:r w:rsidRPr="0007049D">
              <w:fldChar w:fldCharType="begin">
                <w:fldData xml:space="preserve">PEVuZE5vdGU+PENpdGU+PEF1dGhvcj5Db3J0w6lzPC9BdXRob3I+PFllYXI+MjAyMTwvWWVhcj48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</w:fldData>
              </w:fldChar>
            </w:r>
            <w:r w:rsidRPr="0007049D">
              <w:instrText xml:space="preserve"> ADDIN EN.CITE </w:instrText>
            </w:r>
            <w:r w:rsidRPr="0007049D">
              <w:fldChar w:fldCharType="begin">
                <w:fldData xml:space="preserve">PEVuZE5vdGU+PENpdGU+PEF1dGhvcj5Db3J0w6lzPC9BdXRob3I+PFllYXI+MjAyMTwvWWVhcj48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</w:fldData>
              </w:fldChar>
            </w:r>
            <w:r w:rsidRPr="0007049D">
              <w:instrText xml:space="preserve"> ADDIN EN.CITE.DATA </w:instrText>
            </w:r>
            <w:r w:rsidRPr="0007049D">
              <w:fldChar w:fldCharType="end"/>
            </w:r>
            <w:r w:rsidRPr="0007049D">
              <w:fldChar w:fldCharType="separate"/>
            </w:r>
            <w:r w:rsidRPr="0007049D">
              <w:fldChar w:fldCharType="end"/>
            </w:r>
          </w:p>
        </w:tc>
      </w:tr>
      <w:tr w:rsidR="000B148D" w:rsidRPr="0007049D" w14:paraId="14248924" w14:textId="77777777">
        <w:tc>
          <w:tcPr>
            <w:tcW w:w="1177" w:type="pct"/>
          </w:tcPr>
          <w:p w14:paraId="220D342B" w14:textId="77777777" w:rsidR="000B148D" w:rsidRPr="0007049D" w:rsidRDefault="000B148D" w:rsidP="0042119C">
            <w:pPr>
              <w:pStyle w:val="Tablebody"/>
              <w:spacing w:before="0" w:after="0"/>
            </w:pPr>
            <w:r w:rsidRPr="0007049D">
              <w:t>Was randomisation carried out appropriately?</w:t>
            </w:r>
          </w:p>
        </w:tc>
        <w:tc>
          <w:tcPr>
            <w:tcW w:w="3823" w:type="pct"/>
          </w:tcPr>
          <w:p w14:paraId="6F9722F2" w14:textId="77777777" w:rsidR="000B148D" w:rsidRPr="0007049D" w:rsidRDefault="000B148D" w:rsidP="0042119C">
            <w:pPr>
              <w:pStyle w:val="Tablebody"/>
              <w:spacing w:before="0" w:after="0"/>
            </w:pPr>
            <w:r w:rsidRPr="0007049D">
              <w:rPr>
                <w:b/>
                <w:bCs/>
              </w:rPr>
              <w:t>Yes:</w:t>
            </w:r>
            <w:r w:rsidRPr="0007049D">
              <w:t xml:space="preserve"> Patients were randomised 2:1 by an IXRS and stratified by HER2 IHC status (HER2 IHC 1+ vs. HER2 IHC 2+/ISH-negative), number of prior lines of chemotherapy (1 vs. 2) and</w:t>
            </w:r>
            <w:r>
              <w:t xml:space="preserve"> </w:t>
            </w:r>
            <w:r w:rsidRPr="0007049D">
              <w:t xml:space="preserve">HR and CDK status (HR-positive with prior CDK4/6 inhibitor treatment vs. HR-positive without prior CDK4/6 inhibitor treatment vs. HR-negative). </w:t>
            </w:r>
          </w:p>
        </w:tc>
      </w:tr>
      <w:tr w:rsidR="000B148D" w:rsidRPr="0007049D" w14:paraId="63F4734D" w14:textId="77777777">
        <w:tc>
          <w:tcPr>
            <w:tcW w:w="1177" w:type="pct"/>
          </w:tcPr>
          <w:p w14:paraId="58ADDADB" w14:textId="77777777" w:rsidR="000B148D" w:rsidRPr="0007049D" w:rsidRDefault="000B148D" w:rsidP="0042119C">
            <w:pPr>
              <w:pStyle w:val="Tablebody"/>
              <w:spacing w:before="0" w:after="0"/>
            </w:pPr>
            <w:r w:rsidRPr="0007049D">
              <w:lastRenderedPageBreak/>
              <w:t>Was the concealment of treatment allocation adequate?</w:t>
            </w:r>
          </w:p>
        </w:tc>
        <w:tc>
          <w:tcPr>
            <w:tcW w:w="3823" w:type="pct"/>
          </w:tcPr>
          <w:p w14:paraId="20B1E6EA" w14:textId="7A2ED54D" w:rsidR="000B148D" w:rsidRPr="0007049D" w:rsidRDefault="000B148D" w:rsidP="0042119C">
            <w:pPr>
              <w:pStyle w:val="Tablebody"/>
              <w:spacing w:before="0" w:after="0"/>
              <w:rPr>
                <w:highlight w:val="cyan"/>
              </w:rPr>
            </w:pPr>
            <w:r w:rsidRPr="0007049D">
              <w:rPr>
                <w:b/>
                <w:bCs/>
              </w:rPr>
              <w:t>No</w:t>
            </w:r>
            <w:r w:rsidR="004A7117">
              <w:rPr>
                <w:b/>
                <w:bCs/>
              </w:rPr>
              <w:t xml:space="preserve">t </w:t>
            </w:r>
            <w:r w:rsidR="00672A64">
              <w:rPr>
                <w:b/>
                <w:bCs/>
              </w:rPr>
              <w:t>applicable:</w:t>
            </w:r>
            <w:r w:rsidRPr="0007049D">
              <w:t xml:space="preserve"> DESTINY-Breast04 is an open-label study. To minimi</w:t>
            </w:r>
            <w:r w:rsidR="00BA1B37">
              <w:t>s</w:t>
            </w:r>
            <w:r w:rsidRPr="0007049D">
              <w:t xml:space="preserve">e any risk of bias, the </w:t>
            </w:r>
            <w:r w:rsidR="00CD0FB2">
              <w:t>s</w:t>
            </w:r>
            <w:r w:rsidRPr="0007049D">
              <w:t>ponsor was blinded to aggregate data by treatment arm, although the study participant and investigator would be aware of the study drug administered</w:t>
            </w:r>
            <w:r>
              <w:t xml:space="preserve">. </w:t>
            </w:r>
            <w:r w:rsidRPr="00314A60">
              <w:t xml:space="preserve">It was not feasible to blind treatment allocations for individual subjects because of different routes of administration and different treatment schedules between T-DXd and TPC. The study team did not perform or have access to efficacy analysis/summary during the study. </w:t>
            </w:r>
            <w:r>
              <w:t xml:space="preserve">An independent biostatistician generated the randomisation schedule per the randomisation specification. Methods of concealment to study arms (i.e., via IXRS) are summarised in the row above. </w:t>
            </w:r>
          </w:p>
        </w:tc>
      </w:tr>
      <w:tr w:rsidR="000B148D" w:rsidRPr="0007049D" w14:paraId="1B28F0D6" w14:textId="77777777">
        <w:tc>
          <w:tcPr>
            <w:tcW w:w="1177" w:type="pct"/>
          </w:tcPr>
          <w:p w14:paraId="33F83813" w14:textId="77777777" w:rsidR="000B148D" w:rsidRPr="0007049D" w:rsidRDefault="000B148D" w:rsidP="0042119C">
            <w:pPr>
              <w:pStyle w:val="Tablebody"/>
              <w:spacing w:before="0" w:after="0"/>
            </w:pPr>
            <w:r w:rsidRPr="0007049D">
              <w:t>Were the groups similar at the outset of the study in terms of prognostic factors?</w:t>
            </w:r>
          </w:p>
        </w:tc>
        <w:tc>
          <w:tcPr>
            <w:tcW w:w="3823" w:type="pct"/>
          </w:tcPr>
          <w:p w14:paraId="548C0858" w14:textId="61EE6521" w:rsidR="000B148D" w:rsidRPr="0007049D" w:rsidRDefault="000B148D" w:rsidP="0042119C">
            <w:pPr>
              <w:pStyle w:val="Tablebody"/>
              <w:spacing w:before="0" w:after="0"/>
              <w:rPr>
                <w:highlight w:val="cyan"/>
              </w:rPr>
            </w:pPr>
            <w:r w:rsidRPr="0007049D">
              <w:rPr>
                <w:b/>
                <w:bCs/>
              </w:rPr>
              <w:t>Yes:</w:t>
            </w:r>
            <w:r w:rsidRPr="0007049D">
              <w:t xml:space="preserve"> There was no significant difference in the baseline characteristics reported between the treatment arms</w:t>
            </w:r>
            <w:r w:rsidR="003A5FB5">
              <w:t>.</w:t>
            </w:r>
          </w:p>
        </w:tc>
      </w:tr>
      <w:tr w:rsidR="000B148D" w:rsidRPr="0007049D" w14:paraId="794111E5" w14:textId="77777777">
        <w:tc>
          <w:tcPr>
            <w:tcW w:w="1177" w:type="pct"/>
          </w:tcPr>
          <w:p w14:paraId="0CAC058E" w14:textId="77777777" w:rsidR="000B148D" w:rsidRPr="0007049D" w:rsidRDefault="000B148D" w:rsidP="0042119C">
            <w:pPr>
              <w:pStyle w:val="Tablebody"/>
              <w:spacing w:before="0" w:after="0"/>
            </w:pPr>
            <w:r w:rsidRPr="0007049D">
              <w:t>Were the care providers, participants and outcome assessors blind to treatment allocation?</w:t>
            </w:r>
          </w:p>
        </w:tc>
        <w:tc>
          <w:tcPr>
            <w:tcW w:w="3823" w:type="pct"/>
            <w:tcBorders>
              <w:bottom w:val="single" w:sz="4" w:space="0" w:color="auto"/>
            </w:tcBorders>
          </w:tcPr>
          <w:p w14:paraId="3E5DDAD3" w14:textId="77777777" w:rsidR="000B148D" w:rsidRPr="0007049D" w:rsidRDefault="000B148D" w:rsidP="0042119C">
            <w:pPr>
              <w:spacing w:after="60"/>
              <w:rPr>
                <w:sz w:val="20"/>
                <w:szCs w:val="20"/>
              </w:rPr>
            </w:pPr>
            <w:r w:rsidRPr="0007049D">
              <w:rPr>
                <w:b/>
                <w:bCs/>
                <w:sz w:val="20"/>
                <w:szCs w:val="20"/>
              </w:rPr>
              <w:t>No:</w:t>
            </w:r>
            <w:r w:rsidRPr="0007049D">
              <w:rPr>
                <w:sz w:val="20"/>
                <w:szCs w:val="20"/>
              </w:rPr>
              <w:t xml:space="preserve"> Open-label study design. As stated in the CSR, it was not feasible to blind treatment allocations for individual patients because of different routes of administration and different treatment schedules between T-DXd and TPC. </w:t>
            </w:r>
          </w:p>
          <w:p w14:paraId="31A09A02" w14:textId="0BE8695D" w:rsidR="000B148D" w:rsidRPr="0007049D" w:rsidRDefault="000B148D" w:rsidP="0042119C">
            <w:pPr>
              <w:rPr>
                <w:sz w:val="20"/>
                <w:szCs w:val="20"/>
              </w:rPr>
            </w:pPr>
            <w:r w:rsidRPr="0007049D">
              <w:rPr>
                <w:sz w:val="20"/>
                <w:szCs w:val="20"/>
              </w:rPr>
              <w:t xml:space="preserve">Outcome assessors for key endpoints – including the primary endpoint (PFS by BICR in the HR-positive cohort) and a key secondary endpoint (PFS by BICR in the </w:t>
            </w:r>
            <w:r w:rsidR="00DF3D14" w:rsidRPr="0007049D">
              <w:rPr>
                <w:sz w:val="20"/>
                <w:szCs w:val="20"/>
              </w:rPr>
              <w:t>FAS) –</w:t>
            </w:r>
            <w:r w:rsidRPr="0007049D">
              <w:rPr>
                <w:sz w:val="20"/>
                <w:szCs w:val="20"/>
              </w:rPr>
              <w:t xml:space="preserve"> were blinded to treatment allocation. The study team did not perform or have access to efficacy analysis/summary during the study. An independent biostatistician generated the randomisation schedule per the randomisation specification.</w:t>
            </w:r>
          </w:p>
        </w:tc>
      </w:tr>
      <w:tr w:rsidR="000B148D" w:rsidRPr="0007049D" w14:paraId="75A1FC41" w14:textId="77777777" w:rsidTr="0042119C">
        <w:trPr>
          <w:trHeight w:val="706"/>
        </w:trPr>
        <w:tc>
          <w:tcPr>
            <w:tcW w:w="1177" w:type="pct"/>
          </w:tcPr>
          <w:p w14:paraId="50586FDB" w14:textId="77777777" w:rsidR="000B148D" w:rsidRPr="0007049D" w:rsidRDefault="000B148D" w:rsidP="0042119C">
            <w:pPr>
              <w:pStyle w:val="Tablebody"/>
              <w:spacing w:before="0" w:after="0"/>
            </w:pPr>
            <w:r w:rsidRPr="0007049D">
              <w:t>Were there any unexpected imbalances in drop-outs between groups?</w:t>
            </w:r>
          </w:p>
        </w:tc>
        <w:tc>
          <w:tcPr>
            <w:tcW w:w="3823" w:type="pct"/>
          </w:tcPr>
          <w:p w14:paraId="6BC81386" w14:textId="19DF2539" w:rsidR="000B148D" w:rsidRPr="0007049D" w:rsidRDefault="000B148D" w:rsidP="0042119C">
            <w:pPr>
              <w:pStyle w:val="Tablebody"/>
              <w:spacing w:before="0" w:after="0"/>
            </w:pPr>
            <w:r w:rsidRPr="0007049D">
              <w:rPr>
                <w:b/>
                <w:bCs/>
              </w:rPr>
              <w:t xml:space="preserve">No: </w:t>
            </w:r>
            <w:r w:rsidRPr="0007049D">
              <w:t>Dropout rates from randomisation to first dose were lower in the T-DXd arm versus TPC arm (2 [0.5%] vs. 12 [6.</w:t>
            </w:r>
            <w:r>
              <w:t>5</w:t>
            </w:r>
            <w:r w:rsidRPr="0007049D">
              <w:t>%]; FAS). The majority of drop</w:t>
            </w:r>
            <w:r w:rsidR="008A298C">
              <w:t>-outs</w:t>
            </w:r>
            <w:r w:rsidRPr="0007049D">
              <w:t xml:space="preserve"> were due to withdrawal of consent after randomisation. </w:t>
            </w:r>
          </w:p>
        </w:tc>
      </w:tr>
      <w:tr w:rsidR="000B148D" w:rsidRPr="0007049D" w14:paraId="72E627E5" w14:textId="77777777">
        <w:tc>
          <w:tcPr>
            <w:tcW w:w="1177" w:type="pct"/>
          </w:tcPr>
          <w:p w14:paraId="62573E20" w14:textId="77777777" w:rsidR="000B148D" w:rsidRPr="0007049D" w:rsidRDefault="000B148D" w:rsidP="0042119C">
            <w:pPr>
              <w:pStyle w:val="Tablebody"/>
              <w:spacing w:before="0" w:after="0"/>
            </w:pPr>
            <w:r w:rsidRPr="0007049D">
              <w:t>Is there any evidence to suggest that the authors measured more outcomes than they reported?</w:t>
            </w:r>
          </w:p>
        </w:tc>
        <w:tc>
          <w:tcPr>
            <w:tcW w:w="3823" w:type="pct"/>
          </w:tcPr>
          <w:p w14:paraId="47F73CD9" w14:textId="11AA8D2A" w:rsidR="000B148D" w:rsidRPr="0007049D" w:rsidRDefault="000B148D" w:rsidP="0042119C">
            <w:pPr>
              <w:pStyle w:val="Tablebody"/>
              <w:spacing w:before="0" w:after="0"/>
            </w:pPr>
            <w:r w:rsidRPr="0007049D">
              <w:rPr>
                <w:b/>
                <w:bCs/>
              </w:rPr>
              <w:t>No:</w:t>
            </w:r>
            <w:r w:rsidRPr="0007049D">
              <w:t xml:space="preserve"> </w:t>
            </w:r>
            <w:r>
              <w:t>There is n</w:t>
            </w:r>
            <w:r w:rsidRPr="0007049D">
              <w:t>o evidence to suggest that the authors measured more outcomes than they reported</w:t>
            </w:r>
            <w:r w:rsidR="003A5FB5">
              <w:t>.</w:t>
            </w:r>
          </w:p>
        </w:tc>
      </w:tr>
      <w:tr w:rsidR="000B148D" w:rsidRPr="0007049D" w14:paraId="4DEFB95C" w14:textId="77777777">
        <w:tc>
          <w:tcPr>
            <w:tcW w:w="1177" w:type="pct"/>
          </w:tcPr>
          <w:p w14:paraId="02957EF2" w14:textId="77777777" w:rsidR="000B148D" w:rsidRPr="0007049D" w:rsidRDefault="000B148D" w:rsidP="0042119C">
            <w:pPr>
              <w:pStyle w:val="Tablebody"/>
              <w:spacing w:before="0" w:after="0"/>
            </w:pPr>
            <w:r w:rsidRPr="0007049D">
              <w:t>Did the analysis include an intention-to-treat analysis? If so, was this appropriate and were appropriate methods used to account for missing data?</w:t>
            </w:r>
          </w:p>
        </w:tc>
        <w:tc>
          <w:tcPr>
            <w:tcW w:w="3823" w:type="pct"/>
          </w:tcPr>
          <w:p w14:paraId="3C33BC0B" w14:textId="77777777" w:rsidR="000B148D" w:rsidRPr="0007049D" w:rsidRDefault="000B148D" w:rsidP="0042119C">
            <w:pPr>
              <w:pStyle w:val="Tablebody"/>
              <w:spacing w:before="0" w:after="60"/>
            </w:pPr>
            <w:r w:rsidRPr="0007049D">
              <w:rPr>
                <w:b/>
                <w:bCs/>
              </w:rPr>
              <w:t>Yes:</w:t>
            </w:r>
            <w:r w:rsidRPr="0007049D">
              <w:t xml:space="preserve"> Efficacy analys</w:t>
            </w:r>
            <w:r>
              <w:t>e</w:t>
            </w:r>
            <w:r w:rsidRPr="0007049D">
              <w:t>s w</w:t>
            </w:r>
            <w:r>
              <w:t>ere</w:t>
            </w:r>
            <w:r w:rsidRPr="0007049D">
              <w:t xml:space="preserve"> performed using the FAS and HR-positive cohort. Following the intention-to-treat principle, subjects were analysed according to the treatments and strata to which they were assigned at randomisation.</w:t>
            </w:r>
          </w:p>
          <w:p w14:paraId="27C1B955" w14:textId="56F6467E" w:rsidR="000B148D" w:rsidRPr="0007049D" w:rsidRDefault="000B148D" w:rsidP="0042119C">
            <w:pPr>
              <w:pStyle w:val="Tablebody"/>
              <w:spacing w:before="0" w:after="0"/>
              <w:rPr>
                <w:highlight w:val="cyan"/>
              </w:rPr>
            </w:pPr>
            <w:r w:rsidRPr="0007049D">
              <w:t>For missing data: In general, missing or dropout data were treated as missing, and were not imputed for the purpose of data analysis, unless otherwise specified in the SAP</w:t>
            </w:r>
            <w:r w:rsidR="003A5FB5">
              <w:t>.</w:t>
            </w:r>
          </w:p>
        </w:tc>
      </w:tr>
    </w:tbl>
    <w:p w14:paraId="00A6E334" w14:textId="53F38474" w:rsidR="000B148D" w:rsidRPr="0007049D" w:rsidRDefault="000B148D" w:rsidP="000B148D">
      <w:pPr>
        <w:pStyle w:val="Footnotes"/>
      </w:pPr>
      <w:r w:rsidRPr="0007049D">
        <w:t>Abbreviations: AE, adverse event; BICR, blinded independent central review; CDK, cyclic-dependent kinase; FAS, full analysis set; HER2, human epidermal growth factor receptor 2; HR</w:t>
      </w:r>
      <w:r w:rsidR="002E5550">
        <w:t>-positive</w:t>
      </w:r>
      <w:r w:rsidRPr="0007049D">
        <w:t>, hormone receptor</w:t>
      </w:r>
      <w:r w:rsidR="002E5550">
        <w:t>-positive</w:t>
      </w:r>
      <w:r w:rsidRPr="0007049D">
        <w:t>; IHC, immunohistochemistry; ISH, in situ hybridisation; IXRS, interactive voice and web response system; PFS, progression-free survival; RCT, randomised controlled trial; T-DXd, trastuzumab deruxtecan; TPC, treatment of physician’s choice; SAP, statistical analysis plan.</w:t>
      </w:r>
    </w:p>
    <w:p w14:paraId="1D670122" w14:textId="77777777" w:rsidR="000B148D" w:rsidRPr="0007049D" w:rsidRDefault="000B148D" w:rsidP="000B148D">
      <w:pPr>
        <w:pStyle w:val="Heading3"/>
      </w:pPr>
      <w:bookmarkStart w:id="207" w:name="_Toc124447837"/>
      <w:bookmarkStart w:id="208" w:name="_Toc129350864"/>
      <w:r w:rsidRPr="0007049D">
        <w:t>Limitations of the evidence base</w:t>
      </w:r>
      <w:bookmarkEnd w:id="207"/>
      <w:bookmarkEnd w:id="208"/>
    </w:p>
    <w:p w14:paraId="13A33485" w14:textId="511F8CA0" w:rsidR="000B148D" w:rsidRPr="0007049D" w:rsidRDefault="000B148D" w:rsidP="000B148D">
      <w:pPr>
        <w:pStyle w:val="Body"/>
      </w:pPr>
      <w:r w:rsidRPr="0007049D">
        <w:t>The open</w:t>
      </w:r>
      <w:r w:rsidR="002300A6">
        <w:t>-</w:t>
      </w:r>
      <w:r w:rsidRPr="0007049D">
        <w:t>label study design presents a limitation to the evidence base, but the impact is considered minimal given that key endpoints, including the primary endpoint (PFS by BICR in the HR-positive cohort) were assessed by BICR.</w:t>
      </w:r>
      <w:r w:rsidRPr="0007049D">
        <w:fldChar w:fldCharType="begin"/>
      </w:r>
      <w:r w:rsidR="00CA6345">
        <w:instrText xml:space="preserve"> ADDIN ZOTERO_ITEM CSL_CITATION {"citationID":"Toy2PBmv","properties":{"formattedCitation":"\\super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7049D">
        <w:fldChar w:fldCharType="separate"/>
      </w:r>
      <w:r w:rsidR="00FD57F4" w:rsidRPr="00FD57F4">
        <w:rPr>
          <w:rFonts w:cs="Arial"/>
          <w:szCs w:val="24"/>
          <w:vertAlign w:val="superscript"/>
        </w:rPr>
        <w:t>7</w:t>
      </w:r>
      <w:r w:rsidRPr="0007049D">
        <w:fldChar w:fldCharType="end"/>
      </w:r>
    </w:p>
    <w:p w14:paraId="77229603" w14:textId="44178603" w:rsidR="000B148D" w:rsidRPr="0007049D" w:rsidRDefault="000B148D" w:rsidP="000B148D">
      <w:pPr>
        <w:pStyle w:val="Body"/>
      </w:pPr>
      <w:r w:rsidRPr="0007049D">
        <w:t xml:space="preserve">Another potential limitation was that study recruitment restricted the total number of patients in the HR-negative cohort to </w:t>
      </w:r>
      <w:r>
        <w:t>~</w:t>
      </w:r>
      <w:r w:rsidRPr="0007049D">
        <w:t>60</w:t>
      </w:r>
      <w:r w:rsidR="00FB23E9">
        <w:t>.</w:t>
      </w:r>
      <w:r w:rsidRPr="0007049D">
        <w:fldChar w:fldCharType="begin"/>
      </w:r>
      <w:r w:rsidR="00CA6345">
        <w:instrText xml:space="preserve"> ADDIN ZOTERO_ITEM CSL_CITATION {"citationID":"SsD58KeZ","properties":{"formattedCitation":"\\super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7049D">
        <w:fldChar w:fldCharType="separate"/>
      </w:r>
      <w:r w:rsidR="00FD57F4" w:rsidRPr="00FD57F4">
        <w:rPr>
          <w:rFonts w:cs="Arial"/>
          <w:szCs w:val="24"/>
          <w:vertAlign w:val="superscript"/>
        </w:rPr>
        <w:t>7</w:t>
      </w:r>
      <w:r w:rsidRPr="0007049D">
        <w:fldChar w:fldCharType="end"/>
      </w:r>
      <w:r w:rsidR="00CC0603">
        <w:t xml:space="preserve"> </w:t>
      </w:r>
      <w:r w:rsidR="00EA433D">
        <w:t>T</w:t>
      </w:r>
      <w:r w:rsidR="00556F27" w:rsidRPr="0007049D">
        <w:t xml:space="preserve">he relative proportion of patients in </w:t>
      </w:r>
      <w:r w:rsidR="00EA433D">
        <w:t xml:space="preserve">DESTINY-Breast04 </w:t>
      </w:r>
      <w:r w:rsidR="00556F27" w:rsidRPr="0007049D">
        <w:lastRenderedPageBreak/>
        <w:t>with HR-positive and HR-negative BC</w:t>
      </w:r>
      <w:r w:rsidR="00556F27">
        <w:t xml:space="preserve"> was </w:t>
      </w:r>
      <w:r w:rsidR="00FB23E9">
        <w:t>88.7</w:t>
      </w:r>
      <w:r w:rsidR="00556F27">
        <w:t xml:space="preserve">% and </w:t>
      </w:r>
      <w:r w:rsidR="00FB23E9">
        <w:t>11.3</w:t>
      </w:r>
      <w:r w:rsidR="00556F27">
        <w:t>%, respectively.</w:t>
      </w:r>
      <w:r w:rsidR="00556F27" w:rsidRPr="0007049D">
        <w:fldChar w:fldCharType="begin"/>
      </w:r>
      <w:r w:rsidR="00CA6345">
        <w:instrText xml:space="preserve"> ADDIN ZOTERO_ITEM CSL_CITATION {"citationID":"AEWhhV38","properties":{"formattedCitation":"\\super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00556F27" w:rsidRPr="0007049D">
        <w:fldChar w:fldCharType="separate"/>
      </w:r>
      <w:r w:rsidR="00FD57F4" w:rsidRPr="00FD57F4">
        <w:rPr>
          <w:rFonts w:cs="Arial"/>
          <w:szCs w:val="24"/>
          <w:vertAlign w:val="superscript"/>
        </w:rPr>
        <w:t>7</w:t>
      </w:r>
      <w:r w:rsidR="00556F27" w:rsidRPr="0007049D">
        <w:fldChar w:fldCharType="end"/>
      </w:r>
      <w:r w:rsidR="00E81A0A">
        <w:t xml:space="preserve"> This is</w:t>
      </w:r>
      <w:r w:rsidR="00824FDB">
        <w:t xml:space="preserve"> </w:t>
      </w:r>
      <w:r w:rsidR="00E81A0A">
        <w:t>consistent with a</w:t>
      </w:r>
      <w:r>
        <w:t xml:space="preserve"> published UK biomarker analysis involving over 199,000 patient data sets</w:t>
      </w:r>
      <w:r w:rsidR="003B60FE">
        <w:t>,</w:t>
      </w:r>
      <w:r w:rsidR="00E81A0A">
        <w:t xml:space="preserve"> which</w:t>
      </w:r>
      <w:r>
        <w:t xml:space="preserve"> show</w:t>
      </w:r>
      <w:r w:rsidR="00E81A0A">
        <w:t>ed</w:t>
      </w:r>
      <w:r>
        <w:t xml:space="preserve"> that 89.6% of all HER2-low u/mBC patients are HR-positive and 10.4% are HR-negative.</w:t>
      </w:r>
      <w:r>
        <w:fldChar w:fldCharType="begin"/>
      </w:r>
      <w:r w:rsidR="00CA6345">
        <w:instrText xml:space="preserve"> ADDIN ZOTERO_ITEM CSL_CITATION {"citationID":"UyhmwyeM","properties":{"formattedCitation":"\\super 56\\nosupersub{}","plainCitation":"56","noteIndex":0},"citationItems":[{"id":65940,"uris":["http://zotero.org/groups/4797619/items/7UYVWR36"],"itemData":{"id":65940,"type":"article-journal","container-title":"The Journal of Pathology: Clinical Research","DOI":"10.1002/cjp2.173","ISSN":"2056-4538, 2056-4538","issue":"3","journalAbbreviation":"J Pathol Clin Res","language":"en","page":"227-227","source":"DOI.org (Crossref)","title":"Breast cancer biomarkers in clinical testing: analysis of a UK NEQAS ICC &amp; ISH database containing results from 199 300 patients","title-short":"‘Breast cancer biomarkers in clinical testing","volume":"6","author":[{"family":"Dodson","given":"Andrew"},{"family":"Parry","given":"Suzanne"},{"family":"Ibrahim","given":"Merdol"},{"family":"Bartlett","given":"John M. S."},{"family":"Pinder","given":"Sarah E."},{"family":"Dowsett","given":"Mitch"},{"family":"Miller","given":"Keith"}],"issued":{"date-parts":[["2020",7]]}}}],"schema":"https://github.com/citation-style-language/schema/raw/master/csl-citation.json"} </w:instrText>
      </w:r>
      <w:r>
        <w:fldChar w:fldCharType="separate"/>
      </w:r>
      <w:r w:rsidR="00FD57F4" w:rsidRPr="00FD57F4">
        <w:rPr>
          <w:rFonts w:cs="Arial"/>
          <w:szCs w:val="24"/>
          <w:vertAlign w:val="superscript"/>
        </w:rPr>
        <w:t>56</w:t>
      </w:r>
      <w:r>
        <w:fldChar w:fldCharType="end"/>
      </w:r>
      <w:r>
        <w:t xml:space="preserve"> </w:t>
      </w:r>
      <w:r w:rsidR="00497A2C">
        <w:t xml:space="preserve">This </w:t>
      </w:r>
      <w:r w:rsidR="002B59B1">
        <w:t>confirms</w:t>
      </w:r>
      <w:r w:rsidR="00497A2C" w:rsidRPr="0007049D">
        <w:t xml:space="preserve"> that the DESTINY-Breast04</w:t>
      </w:r>
      <w:r w:rsidR="00497A2C">
        <w:t xml:space="preserve"> population</w:t>
      </w:r>
      <w:r w:rsidR="00497A2C" w:rsidRPr="0007049D">
        <w:t xml:space="preserve"> is representative of UK clinical practice</w:t>
      </w:r>
      <w:r w:rsidR="00384830">
        <w:t xml:space="preserve"> and consistent with </w:t>
      </w:r>
      <w:r w:rsidRPr="0007049D">
        <w:t xml:space="preserve">UK Clinical expert feedback received by the </w:t>
      </w:r>
      <w:r w:rsidR="00956A8A">
        <w:t>c</w:t>
      </w:r>
      <w:r w:rsidRPr="0007049D">
        <w:t>ompany (Dec 2022 advisory board)</w:t>
      </w:r>
      <w:r w:rsidR="00384830">
        <w:t>.</w:t>
      </w:r>
      <w:r w:rsidRPr="0007049D">
        <w:fldChar w:fldCharType="begin"/>
      </w:r>
      <w:r w:rsidR="00CA6345">
        <w:instrText xml:space="preserve"> ADDIN ZOTERO_ITEM CSL_CITATION {"citationID":"Xvfis1k8","properties":{"formattedCitation":"\\super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Pr="0007049D">
        <w:fldChar w:fldCharType="separate"/>
      </w:r>
      <w:r w:rsidR="00CA6345" w:rsidRPr="00CA6345">
        <w:rPr>
          <w:rFonts w:cs="Arial"/>
          <w:szCs w:val="24"/>
          <w:vertAlign w:val="superscript"/>
        </w:rPr>
        <w:t>121</w:t>
      </w:r>
      <w:r w:rsidRPr="0007049D">
        <w:fldChar w:fldCharType="end"/>
      </w:r>
    </w:p>
    <w:p w14:paraId="04E1E26C" w14:textId="55A8F94C" w:rsidR="000B148D" w:rsidRPr="0007049D" w:rsidRDefault="000B148D" w:rsidP="000B148D">
      <w:pPr>
        <w:pStyle w:val="Body"/>
      </w:pPr>
      <w:r w:rsidRPr="0007049D">
        <w:t xml:space="preserve">Another limitation may be that the number of patients receiving individual TPC agents is too small to allow </w:t>
      </w:r>
      <w:r w:rsidR="00871E60">
        <w:t xml:space="preserve">meaningful </w:t>
      </w:r>
      <w:r>
        <w:t>subgroup</w:t>
      </w:r>
      <w:r w:rsidRPr="0007049D">
        <w:t xml:space="preserve"> analyses (e.g., by individual chemotherapy agent </w:t>
      </w:r>
      <w:r w:rsidR="00656506">
        <w:t>or</w:t>
      </w:r>
      <w:r w:rsidR="00656506" w:rsidRPr="0007049D">
        <w:t xml:space="preserve"> </w:t>
      </w:r>
      <w:r w:rsidRPr="0007049D">
        <w:t>by line of therapy). However, this is not expected to have an impact on the interpretation of DESTINY-Breast04 results, as there was consensus from UK clinical experts</w:t>
      </w:r>
      <w:r>
        <w:t xml:space="preserve"> </w:t>
      </w:r>
      <w:r w:rsidRPr="0007049D">
        <w:t>(Dec</w:t>
      </w:r>
      <w:r>
        <w:t>ember</w:t>
      </w:r>
      <w:r w:rsidRPr="0007049D">
        <w:t xml:space="preserve"> 2022 advisory board) that there is no difference in efficacy across </w:t>
      </w:r>
      <w:r>
        <w:t xml:space="preserve">non-targeted </w:t>
      </w:r>
      <w:r w:rsidRPr="0007049D">
        <w:t>chemotherapy agents in the metastatic setting.</w:t>
      </w:r>
      <w:r w:rsidRPr="0007049D">
        <w:fldChar w:fldCharType="begin"/>
      </w:r>
      <w:r w:rsidR="00CA6345">
        <w:instrText xml:space="preserve"> ADDIN ZOTERO_ITEM CSL_CITATION {"citationID":"gJrTqN7k","properties":{"formattedCitation":"\\super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Pr="0007049D">
        <w:fldChar w:fldCharType="separate"/>
      </w:r>
      <w:r w:rsidR="00CA6345" w:rsidRPr="00CA6345">
        <w:rPr>
          <w:rFonts w:cs="Arial"/>
          <w:szCs w:val="24"/>
          <w:vertAlign w:val="superscript"/>
        </w:rPr>
        <w:t>121</w:t>
      </w:r>
      <w:r w:rsidRPr="0007049D">
        <w:fldChar w:fldCharType="end"/>
      </w:r>
      <w:r w:rsidRPr="0007049D">
        <w:t xml:space="preserve"> </w:t>
      </w:r>
      <w:r>
        <w:t xml:space="preserve">In addition, as described in </w:t>
      </w:r>
      <w:r w:rsidRPr="00243A9E">
        <w:rPr>
          <w:b/>
          <w:bCs/>
        </w:rPr>
        <w:t>Section</w:t>
      </w:r>
      <w:r w:rsidR="00243A9E" w:rsidRPr="00243A9E">
        <w:rPr>
          <w:b/>
          <w:bCs/>
        </w:rPr>
        <w:t xml:space="preserve"> </w:t>
      </w:r>
      <w:r w:rsidR="006C3C48">
        <w:rPr>
          <w:b/>
          <w:bCs/>
        </w:rPr>
        <w:fldChar w:fldCharType="begin"/>
      </w:r>
      <w:r w:rsidR="006C3C48">
        <w:rPr>
          <w:b/>
          <w:bCs/>
        </w:rPr>
        <w:instrText xml:space="preserve"> REF _Ref129209200 \r \h </w:instrText>
      </w:r>
      <w:r w:rsidR="006C3C48">
        <w:rPr>
          <w:b/>
          <w:bCs/>
        </w:rPr>
      </w:r>
      <w:r w:rsidR="006C3C48">
        <w:rPr>
          <w:b/>
          <w:bCs/>
        </w:rPr>
        <w:fldChar w:fldCharType="separate"/>
      </w:r>
      <w:r w:rsidR="00145F42">
        <w:rPr>
          <w:b/>
          <w:bCs/>
        </w:rPr>
        <w:t>B.1.3.6</w:t>
      </w:r>
      <w:r w:rsidR="006C3C48">
        <w:rPr>
          <w:b/>
          <w:bCs/>
        </w:rPr>
        <w:fldChar w:fldCharType="end"/>
      </w:r>
      <w:r>
        <w:t>, the pooled TPC arm is broadly representative of UK practice</w:t>
      </w:r>
      <w:r w:rsidR="002A7DC4">
        <w:t>,</w:t>
      </w:r>
      <w:r>
        <w:t xml:space="preserve"> </w:t>
      </w:r>
      <w:r w:rsidR="00610349">
        <w:t>as there is no single standard of care in this setting</w:t>
      </w:r>
      <w:r w:rsidR="002A7DC4">
        <w:t>,</w:t>
      </w:r>
      <w:r>
        <w:t xml:space="preserve"> and is the most robust comparator for this appraisal.</w:t>
      </w:r>
    </w:p>
    <w:p w14:paraId="68B805B3" w14:textId="39984B12" w:rsidR="000B148D" w:rsidRPr="0007049D" w:rsidRDefault="000B148D" w:rsidP="000B148D">
      <w:pPr>
        <w:pStyle w:val="Body"/>
      </w:pPr>
      <w:r w:rsidRPr="0007049D">
        <w:t>At the time of the primary analysis database lock, targeted source data verification could not be completed for some sites due to site access limitations as a result of the COVID-19 pandemic. The risk to data quality was considered minimal, as alternative methods of risk-based monitoring/central monitoring of data review and data cleaning activities were conducted over the course of the study.</w:t>
      </w:r>
      <w:r w:rsidRPr="0007049D">
        <w:fldChar w:fldCharType="begin"/>
      </w:r>
      <w:r w:rsidR="00CA6345">
        <w:instrText xml:space="preserve"> ADDIN ZOTERO_ITEM CSL_CITATION {"citationID":"KKERnM9G","properties":{"formattedCitation":"\\super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7049D">
        <w:fldChar w:fldCharType="separate"/>
      </w:r>
      <w:r w:rsidR="00FD57F4" w:rsidRPr="00FD57F4">
        <w:rPr>
          <w:rFonts w:cs="Arial"/>
          <w:szCs w:val="24"/>
          <w:vertAlign w:val="superscript"/>
        </w:rPr>
        <w:t>7</w:t>
      </w:r>
      <w:r w:rsidRPr="0007049D">
        <w:fldChar w:fldCharType="end"/>
      </w:r>
      <w:r w:rsidRPr="0007049D">
        <w:t xml:space="preserve"> </w:t>
      </w:r>
    </w:p>
    <w:p w14:paraId="76BF9444" w14:textId="77777777" w:rsidR="000B148D" w:rsidRDefault="000B148D" w:rsidP="000B148D">
      <w:pPr>
        <w:pStyle w:val="Heading2"/>
      </w:pPr>
      <w:bookmarkStart w:id="209" w:name="_Toc124447838"/>
      <w:bookmarkStart w:id="210" w:name="_Toc129350865"/>
      <w:r>
        <w:t>Clinical effectiveness results of the relevant trials</w:t>
      </w:r>
      <w:bookmarkEnd w:id="209"/>
      <w:bookmarkEnd w:id="210"/>
    </w:p>
    <w:p w14:paraId="2EA7F8A7" w14:textId="77777777" w:rsidR="000B148D" w:rsidRDefault="000B148D" w:rsidP="000B148D">
      <w:pPr>
        <w:pStyle w:val="Heading3"/>
      </w:pPr>
      <w:bookmarkStart w:id="211" w:name="_Ref92452297"/>
      <w:bookmarkStart w:id="212" w:name="_Ref95225100"/>
      <w:bookmarkStart w:id="213" w:name="_Toc124447839"/>
      <w:bookmarkStart w:id="214" w:name="_Ref127007584"/>
      <w:bookmarkStart w:id="215" w:name="_Ref127007664"/>
      <w:bookmarkStart w:id="216" w:name="_Ref127007791"/>
      <w:bookmarkStart w:id="217" w:name="_Toc129350866"/>
      <w:r>
        <w:t>DESTINY-</w:t>
      </w:r>
      <w:bookmarkEnd w:id="211"/>
      <w:bookmarkEnd w:id="212"/>
      <w:r>
        <w:t>Breas</w:t>
      </w:r>
      <w:r w:rsidRPr="005E0882">
        <w:t>t04</w:t>
      </w:r>
      <w:bookmarkEnd w:id="213"/>
      <w:bookmarkEnd w:id="214"/>
      <w:bookmarkEnd w:id="215"/>
      <w:bookmarkEnd w:id="216"/>
      <w:bookmarkEnd w:id="217"/>
    </w:p>
    <w:p w14:paraId="7CFAF38F" w14:textId="4D29BF69" w:rsidR="000B148D" w:rsidRPr="00054570" w:rsidRDefault="000B148D" w:rsidP="000B148D">
      <w:pPr>
        <w:pStyle w:val="Body"/>
      </w:pPr>
      <w:r w:rsidRPr="00054570">
        <w:t xml:space="preserve">Data presented in this submission are from the </w:t>
      </w:r>
      <w:r>
        <w:t>primary</w:t>
      </w:r>
      <w:r w:rsidRPr="00054570">
        <w:t xml:space="preserve"> analysis for PFS (DCO, 11 Jan 2022) with a median follow-up of </w:t>
      </w:r>
      <w:r w:rsidR="00294FDC" w:rsidRPr="00294FDC">
        <w:rPr>
          <w:color w:val="000000"/>
          <w:highlight w:val="black"/>
        </w:rPr>
        <w:t>xxxx</w:t>
      </w:r>
      <w:r w:rsidRPr="00054570">
        <w:t xml:space="preserve"> months (range: </w:t>
      </w:r>
      <w:r w:rsidR="00294FDC" w:rsidRPr="00294FDC">
        <w:rPr>
          <w:color w:val="000000"/>
          <w:highlight w:val="black"/>
        </w:rPr>
        <w:t>xxxxxxxx</w:t>
      </w:r>
      <w:r w:rsidRPr="00054570">
        <w:t>) in the T</w:t>
      </w:r>
      <w:r w:rsidRPr="00054570">
        <w:noBreakHyphen/>
        <w:t>DXd arm (</w:t>
      </w:r>
      <w:r>
        <w:t>N=</w:t>
      </w:r>
      <w:r w:rsidRPr="00054570">
        <w:t>373)</w:t>
      </w:r>
      <w:r>
        <w:t xml:space="preserve">, </w:t>
      </w:r>
      <w:r w:rsidR="00294FDC" w:rsidRPr="00294FDC">
        <w:rPr>
          <w:color w:val="000000"/>
          <w:highlight w:val="black"/>
        </w:rPr>
        <w:t>xxxx</w:t>
      </w:r>
      <w:r w:rsidRPr="00054570">
        <w:t xml:space="preserve"> months (range: </w:t>
      </w:r>
      <w:r w:rsidR="00294FDC" w:rsidRPr="00294FDC">
        <w:rPr>
          <w:color w:val="000000"/>
          <w:highlight w:val="black"/>
        </w:rPr>
        <w:t>xxxxxxxx</w:t>
      </w:r>
      <w:r w:rsidRPr="00054570">
        <w:t>) in the TPC arm (</w:t>
      </w:r>
      <w:r>
        <w:t>N=</w:t>
      </w:r>
      <w:r w:rsidRPr="00054570">
        <w:t>184),</w:t>
      </w:r>
      <w:r>
        <w:t xml:space="preserve"> and </w:t>
      </w:r>
      <w:r w:rsidR="00294FDC" w:rsidRPr="00294FDC">
        <w:rPr>
          <w:color w:val="000000"/>
          <w:highlight w:val="black"/>
        </w:rPr>
        <w:t>xxxx</w:t>
      </w:r>
      <w:r>
        <w:t xml:space="preserve"> months (range: </w:t>
      </w:r>
      <w:r w:rsidR="00294FDC" w:rsidRPr="00294FDC">
        <w:rPr>
          <w:color w:val="000000"/>
          <w:highlight w:val="black"/>
        </w:rPr>
        <w:t>xxxxxxxx</w:t>
      </w:r>
      <w:r>
        <w:t>) in total (N=557),</w:t>
      </w:r>
      <w:r w:rsidRPr="00054570">
        <w:t xml:space="preserve"> in the FAS.</w:t>
      </w:r>
      <w:r w:rsidRPr="00054570">
        <w:fldChar w:fldCharType="begin"/>
      </w:r>
      <w:r w:rsidR="00CA6345">
        <w:instrText xml:space="preserve"> ADDIN ZOTERO_ITEM CSL_CITATION {"citationID":"aBAy289h","properties":{"formattedCitation":"\\super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r w:rsidRPr="00054570">
        <w:t xml:space="preserve"> Efficacy analyses were conducted in the HR-positive </w:t>
      </w:r>
      <w:r>
        <w:t xml:space="preserve">and </w:t>
      </w:r>
      <w:r w:rsidRPr="00054570">
        <w:t xml:space="preserve">FAS, following the intention-to-treat principle (see Section </w:t>
      </w:r>
      <w:r w:rsidRPr="00054570">
        <w:fldChar w:fldCharType="begin"/>
      </w:r>
      <w:r w:rsidRPr="00054570">
        <w:instrText xml:space="preserve"> REF _Ref95474345 \r \h  \* MERGEFORMAT </w:instrText>
      </w:r>
      <w:r w:rsidRPr="00054570">
        <w:fldChar w:fldCharType="separate"/>
      </w:r>
      <w:r w:rsidR="00145F42">
        <w:t>B.2.4.1</w:t>
      </w:r>
      <w:r w:rsidRPr="00054570">
        <w:fldChar w:fldCharType="end"/>
      </w:r>
      <w:r w:rsidRPr="00054570">
        <w:t>).</w:t>
      </w:r>
      <w:r w:rsidRPr="00054570">
        <w:rPr>
          <w:rFonts w:cs="Arial"/>
          <w:szCs w:val="24"/>
          <w:vertAlign w:val="superscript"/>
        </w:rPr>
        <w:t>2,3</w:t>
      </w:r>
    </w:p>
    <w:p w14:paraId="425EAD6F" w14:textId="198B892F" w:rsidR="000B148D" w:rsidRPr="00054570" w:rsidRDefault="000B148D" w:rsidP="000B148D">
      <w:pPr>
        <w:pStyle w:val="Body"/>
      </w:pPr>
      <w:r w:rsidRPr="00054570">
        <w:t xml:space="preserve">DESTINY-Breast04 met its primary endpoint, with a statistically significant improvement in BICR-assessed PFS in </w:t>
      </w:r>
      <w:r>
        <w:t xml:space="preserve">HR-positive </w:t>
      </w:r>
      <w:r w:rsidRPr="00054570">
        <w:t>patients treated with T</w:t>
      </w:r>
      <w:r w:rsidRPr="00054570">
        <w:noBreakHyphen/>
        <w:t>DXd compared with TPC (HR: 0.51; p&lt;0.001; HR-positive cohort).</w:t>
      </w:r>
      <w:r>
        <w:fldChar w:fldCharType="begin"/>
      </w:r>
      <w:r w:rsidR="00CA6345">
        <w:instrText xml:space="preserve"> ADDIN ZOTERO_ITEM CSL_CITATION {"citationID":"XZtTyaMa","properties":{"formattedCitation":"\\super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054570">
        <w:t xml:space="preserve"> The statistically significant result for the primary endpoint of PFS by BICR </w:t>
      </w:r>
      <w:r w:rsidR="00294FDC" w:rsidRPr="00294FDC">
        <w:rPr>
          <w:color w:val="000000"/>
          <w:highlight w:val="black"/>
        </w:rPr>
        <w:t>xxxxxxxxxxxxxxxxxxxxxxxxxx</w:t>
      </w:r>
      <w:r w:rsidRPr="00054570">
        <w:t>.</w:t>
      </w:r>
      <w:r w:rsidRPr="00054570">
        <w:fldChar w:fldCharType="begin"/>
      </w:r>
      <w:r w:rsidR="00CA6345">
        <w:instrText xml:space="preserve"> ADDIN ZOTERO_ITEM CSL_CITATION {"citationID":"a1h69iami50","properties":{"formattedCitation":"\\super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r w:rsidRPr="00054570">
        <w:t xml:space="preserve"> T</w:t>
      </w:r>
      <w:r w:rsidRPr="00054570">
        <w:noBreakHyphen/>
        <w:t>DXd was also associated with statistically significant improvements over TPC in the secondary efficacy endpoints of PFS by BICR in the FAS (HR: 0.50; p&lt;0.001), OS in the HR-positive cohort (HR: 0.64; p=0.00</w:t>
      </w:r>
      <w:r>
        <w:t>3</w:t>
      </w:r>
      <w:r w:rsidRPr="00054570">
        <w:t>), and OS in the FAS (HR: 0.64; p=0.001).</w:t>
      </w:r>
      <w:r>
        <w:fldChar w:fldCharType="begin"/>
      </w:r>
      <w:r w:rsidR="00CA6345">
        <w:instrText xml:space="preserve"> ADDIN ZOTERO_ITEM CSL_CITATION {"citationID":"dQfEnqQZ","properties":{"formattedCitation":"\\super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054570">
        <w:t xml:space="preserve"> T-DXd was similarly associated with statistically significant </w:t>
      </w:r>
      <w:r>
        <w:t>improvements</w:t>
      </w:r>
      <w:r w:rsidRPr="00054570">
        <w:t xml:space="preserve"> </w:t>
      </w:r>
      <w:r>
        <w:t>over TPC in other clinically meaningful endpoints including</w:t>
      </w:r>
      <w:r w:rsidRPr="00054570">
        <w:t xml:space="preserve"> the secondary efficacy endpoint of</w:t>
      </w:r>
      <w:r>
        <w:t xml:space="preserve"> confirmed objective response rate</w:t>
      </w:r>
      <w:r w:rsidRPr="00054570">
        <w:t xml:space="preserve"> </w:t>
      </w:r>
      <w:r>
        <w:t>(</w:t>
      </w:r>
      <w:r w:rsidRPr="00054570">
        <w:t>ORR</w:t>
      </w:r>
      <w:r>
        <w:t>)</w:t>
      </w:r>
      <w:r w:rsidRPr="00054570">
        <w:t xml:space="preserve"> by BICR (</w:t>
      </w:r>
      <w:r w:rsidRPr="00725C0A">
        <w:t>p&lt;0.0001</w:t>
      </w:r>
      <w:r w:rsidRPr="00054570">
        <w:t>; FAS</w:t>
      </w:r>
      <w:r>
        <w:t>)</w:t>
      </w:r>
      <w:r w:rsidRPr="00054570">
        <w:t xml:space="preserve"> </w:t>
      </w:r>
      <w:r>
        <w:t>and</w:t>
      </w:r>
      <w:r w:rsidRPr="00054570">
        <w:t xml:space="preserve"> key exploratory endpoints, including the clinical benefit rate</w:t>
      </w:r>
      <w:r>
        <w:t xml:space="preserve"> (CBR)</w:t>
      </w:r>
      <w:r w:rsidRPr="00054570">
        <w:t xml:space="preserve"> by </w:t>
      </w:r>
      <w:r w:rsidRPr="00725C0A">
        <w:t>BICR (p&lt;0.0001; FAS),</w:t>
      </w:r>
      <w:r w:rsidRPr="00054570">
        <w:t xml:space="preserve"> and the disease control rate</w:t>
      </w:r>
      <w:r>
        <w:t xml:space="preserve"> (DCR)</w:t>
      </w:r>
      <w:r w:rsidRPr="00054570">
        <w:t xml:space="preserve"> by BICR (</w:t>
      </w:r>
      <w:r w:rsidRPr="00725C0A">
        <w:t>p&lt;0.0001;</w:t>
      </w:r>
      <w:r w:rsidRPr="00054570">
        <w:t xml:space="preserve"> FAS).</w:t>
      </w:r>
      <w:r>
        <w:fldChar w:fldCharType="begin"/>
      </w:r>
      <w:r w:rsidR="00CA6345">
        <w:instrText xml:space="preserve"> ADDIN ZOTERO_ITEM CSL_CITATION {"citationID":"87RC45Os","properties":{"formattedCitation":"\\super 6,7\\nosupersub{}","plainCitation":"6,7","noteIndex":0},"citationItems":[{"id":65944,"uris":["http://zotero.org/groups/4797619/items/WBVSVVF7"],"itemData":{"id":65944,"type":"document","title":"Clinical Study Report for DS8201-A-U303. Data cut-off date: 11 Jan 2022. Data on File.","author":[{"family":"Daiichi Sankyo Inc.","given":""}],"issued":{"date-parts":[["2022"]]}}},{"id":66153,"uris":["http://zotero.org/groups/4797619/items/DIMCLQBB"],"itemData":{"id":66153,"type":"article-journal","container-title":"New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6,7</w:t>
      </w:r>
      <w:r>
        <w:fldChar w:fldCharType="end"/>
      </w:r>
      <w:r w:rsidRPr="00054570">
        <w:t xml:space="preserve"> </w:t>
      </w:r>
    </w:p>
    <w:p w14:paraId="45305829" w14:textId="77777777" w:rsidR="000B148D" w:rsidRPr="00054570" w:rsidRDefault="000B148D" w:rsidP="000B148D">
      <w:pPr>
        <w:pStyle w:val="Body"/>
      </w:pPr>
      <w:r w:rsidRPr="00054570">
        <w:t xml:space="preserve">The primary efficacy endpoint </w:t>
      </w:r>
      <w:r>
        <w:t xml:space="preserve">in </w:t>
      </w:r>
      <w:r w:rsidRPr="000C5DE2">
        <w:t xml:space="preserve">DESTINY-Breast04 </w:t>
      </w:r>
      <w:r w:rsidRPr="00054570">
        <w:t>is PFS by BICR in the HR-positive cohort. This submission focuses on the FAS</w:t>
      </w:r>
      <w:r>
        <w:t xml:space="preserve"> although key results in the HR-positive cohort are presented for completeness.</w:t>
      </w:r>
      <w:r w:rsidRPr="00054570">
        <w:t xml:space="preserve"> </w:t>
      </w:r>
    </w:p>
    <w:p w14:paraId="6AB2F8C1" w14:textId="77777777" w:rsidR="000B148D" w:rsidRPr="00054570" w:rsidRDefault="000B148D" w:rsidP="003C648C">
      <w:pPr>
        <w:pStyle w:val="Heading4"/>
      </w:pPr>
      <w:r w:rsidRPr="00054570">
        <w:lastRenderedPageBreak/>
        <w:t xml:space="preserve">Primary efficacy | PFS by BICR in HR-positive cohort </w:t>
      </w:r>
    </w:p>
    <w:p w14:paraId="6EFDF879" w14:textId="1F9D2A24" w:rsidR="000B148D" w:rsidRPr="00054570" w:rsidRDefault="000B148D" w:rsidP="000B148D">
      <w:pPr>
        <w:pStyle w:val="Body"/>
        <w:spacing w:before="240" w:after="240"/>
      </w:pPr>
      <w:r>
        <w:t>In the HR-positive cohort a</w:t>
      </w:r>
      <w:r w:rsidRPr="00054570">
        <w:t xml:space="preserve">t DCO, the median duration of </w:t>
      </w:r>
      <w:r>
        <w:t xml:space="preserve">PFS </w:t>
      </w:r>
      <w:r w:rsidRPr="00054570">
        <w:t xml:space="preserve">follow-up was </w:t>
      </w:r>
      <w:r w:rsidR="00294FDC" w:rsidRPr="00294FDC">
        <w:rPr>
          <w:color w:val="000000"/>
          <w:highlight w:val="black"/>
        </w:rPr>
        <w:t>xxxx</w:t>
      </w:r>
      <w:r w:rsidRPr="00054570">
        <w:t xml:space="preserve"> months and events of disease progression or death were reported in </w:t>
      </w:r>
      <w:r w:rsidR="00294FDC" w:rsidRPr="00294FDC">
        <w:rPr>
          <w:color w:val="000000"/>
          <w:highlight w:val="black"/>
        </w:rPr>
        <w:t>xxx</w:t>
      </w:r>
      <w:r w:rsidRPr="00054570">
        <w:t> patients (</w:t>
      </w:r>
      <w:r w:rsidR="00294FDC" w:rsidRPr="00294FDC">
        <w:rPr>
          <w:color w:val="000000"/>
          <w:highlight w:val="black"/>
        </w:rPr>
        <w:t>xxxxx</w:t>
      </w:r>
      <w:r w:rsidRPr="00054570">
        <w:t>) in the T</w:t>
      </w:r>
      <w:r w:rsidRPr="00054570">
        <w:noBreakHyphen/>
        <w:t xml:space="preserve">DXd arm and </w:t>
      </w:r>
      <w:r w:rsidR="00294FDC" w:rsidRPr="00294FDC">
        <w:rPr>
          <w:color w:val="000000"/>
          <w:highlight w:val="black"/>
        </w:rPr>
        <w:t>xxx</w:t>
      </w:r>
      <w:r w:rsidRPr="00054570">
        <w:t> patients (</w:t>
      </w:r>
      <w:r w:rsidR="00294FDC" w:rsidRPr="00294FDC">
        <w:rPr>
          <w:color w:val="000000"/>
          <w:highlight w:val="black"/>
        </w:rPr>
        <w:t>xxxxx</w:t>
      </w:r>
      <w:r w:rsidRPr="00054570">
        <w:t>) in the TPC arm (</w:t>
      </w:r>
      <w:r w:rsidRPr="007A2F76">
        <w:rPr>
          <w:b/>
          <w:bCs/>
        </w:rPr>
        <w:fldChar w:fldCharType="begin"/>
      </w:r>
      <w:r w:rsidRPr="007A2F76">
        <w:rPr>
          <w:b/>
          <w:bCs/>
        </w:rPr>
        <w:instrText xml:space="preserve"> REF _Ref88659206 \h  \* MERGEFORMAT </w:instrText>
      </w:r>
      <w:r w:rsidRPr="007A2F76">
        <w:rPr>
          <w:b/>
          <w:bCs/>
        </w:rPr>
      </w:r>
      <w:r w:rsidRPr="007A2F76">
        <w:rPr>
          <w:b/>
          <w:bCs/>
        </w:rPr>
        <w:fldChar w:fldCharType="separate"/>
      </w:r>
      <w:r w:rsidR="00145F42" w:rsidRPr="00145F42">
        <w:rPr>
          <w:b/>
          <w:bCs/>
        </w:rPr>
        <w:t xml:space="preserve">Table </w:t>
      </w:r>
      <w:r w:rsidR="00145F42" w:rsidRPr="00145F42">
        <w:rPr>
          <w:b/>
          <w:bCs/>
          <w:noProof/>
        </w:rPr>
        <w:t>17</w:t>
      </w:r>
      <w:r w:rsidRPr="007A2F76">
        <w:rPr>
          <w:b/>
          <w:bCs/>
        </w:rPr>
        <w:fldChar w:fldCharType="end"/>
      </w:r>
      <w:r w:rsidRPr="007A2F76">
        <w:rPr>
          <w:b/>
          <w:bCs/>
        </w:rPr>
        <w:t xml:space="preserve">; </w:t>
      </w:r>
      <w:r w:rsidRPr="007A2F76">
        <w:rPr>
          <w:b/>
          <w:bCs/>
        </w:rPr>
        <w:fldChar w:fldCharType="begin"/>
      </w:r>
      <w:r w:rsidRPr="007A2F76">
        <w:rPr>
          <w:b/>
          <w:bCs/>
        </w:rPr>
        <w:instrText xml:space="preserve"> REF _Ref88463924 \h  \* MERGEFORMAT </w:instrText>
      </w:r>
      <w:r w:rsidRPr="007A2F76">
        <w:rPr>
          <w:b/>
          <w:bCs/>
        </w:rPr>
      </w:r>
      <w:r w:rsidRPr="007A2F76">
        <w:rPr>
          <w:b/>
          <w:bCs/>
        </w:rPr>
        <w:fldChar w:fldCharType="separate"/>
      </w:r>
      <w:r w:rsidR="00145F42" w:rsidRPr="00145F42">
        <w:rPr>
          <w:b/>
          <w:bCs/>
        </w:rPr>
        <w:t>Figure 11</w:t>
      </w:r>
      <w:r w:rsidRPr="007A2F76">
        <w:rPr>
          <w:b/>
          <w:bCs/>
        </w:rPr>
        <w:fldChar w:fldCharType="end"/>
      </w:r>
      <w:r w:rsidRPr="00054570">
        <w:t>).</w:t>
      </w:r>
      <w:r w:rsidRPr="00054570">
        <w:fldChar w:fldCharType="begin"/>
      </w:r>
      <w:r w:rsidR="00CA6345">
        <w:instrText xml:space="preserve"> ADDIN ZOTERO_ITEM CSL_CITATION {"citationID":"ThWb73tA","properties":{"formattedCitation":"\\super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r w:rsidRPr="00054570">
        <w:t xml:space="preserve"> </w:t>
      </w:r>
      <w:r>
        <w:t>Of these,</w:t>
      </w:r>
      <w:r w:rsidRPr="00054570">
        <w:t xml:space="preserve"> </w:t>
      </w:r>
      <w:r w:rsidR="00294FDC" w:rsidRPr="00294FDC">
        <w:rPr>
          <w:color w:val="000000"/>
          <w:highlight w:val="black"/>
        </w:rPr>
        <w:t>xxx</w:t>
      </w:r>
      <w:r w:rsidRPr="00054570">
        <w:t> patients (</w:t>
      </w:r>
      <w:r w:rsidR="00294FDC" w:rsidRPr="00294FDC">
        <w:rPr>
          <w:color w:val="000000"/>
          <w:highlight w:val="black"/>
        </w:rPr>
        <w:t>xxxxx</w:t>
      </w:r>
      <w:r w:rsidRPr="00054570">
        <w:t>) in the T</w:t>
      </w:r>
      <w:r w:rsidRPr="00054570">
        <w:noBreakHyphen/>
        <w:t>DXd arm and</w:t>
      </w:r>
      <w:r w:rsidRPr="00164A21">
        <w:t xml:space="preserve"> </w:t>
      </w:r>
      <w:r w:rsidR="00294FDC" w:rsidRPr="00294FDC">
        <w:rPr>
          <w:color w:val="000000"/>
          <w:highlight w:val="black"/>
        </w:rPr>
        <w:t>xxx</w:t>
      </w:r>
      <w:r w:rsidRPr="00054570">
        <w:t> patients (</w:t>
      </w:r>
      <w:r w:rsidR="00294FDC" w:rsidRPr="00294FDC">
        <w:rPr>
          <w:color w:val="000000"/>
          <w:highlight w:val="black"/>
        </w:rPr>
        <w:t>xxxxx</w:t>
      </w:r>
      <w:r w:rsidRPr="00054570">
        <w:t>) in the TPC arm had disease progression.</w:t>
      </w:r>
      <w:r w:rsidRPr="00054570">
        <w:fldChar w:fldCharType="begin"/>
      </w:r>
      <w:r w:rsidR="00CA6345">
        <w:instrText xml:space="preserve"> ADDIN ZOTERO_ITEM CSL_CITATION {"citationID":"aga6g3kta6","properties":{"formattedCitation":"\\super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r w:rsidRPr="00054570">
        <w:t xml:space="preserve"> </w:t>
      </w:r>
      <w:bookmarkStart w:id="218" w:name="_Hlk123823826"/>
      <w:r w:rsidRPr="00054570">
        <w:t xml:space="preserve">Death was the recorded PFS event in </w:t>
      </w:r>
      <w:r w:rsidR="00294FDC" w:rsidRPr="00294FDC">
        <w:rPr>
          <w:color w:val="000000"/>
          <w:highlight w:val="black"/>
        </w:rPr>
        <w:t>xx</w:t>
      </w:r>
      <w:r w:rsidRPr="00054570">
        <w:t> patients (</w:t>
      </w:r>
      <w:r w:rsidR="00294FDC" w:rsidRPr="00294FDC">
        <w:rPr>
          <w:color w:val="000000"/>
          <w:highlight w:val="black"/>
        </w:rPr>
        <w:t>xxxx</w:t>
      </w:r>
      <w:r w:rsidRPr="00054570">
        <w:t>) in the T</w:t>
      </w:r>
      <w:r w:rsidRPr="00054570">
        <w:noBreakHyphen/>
        <w:t xml:space="preserve">DXd arm and </w:t>
      </w:r>
      <w:r w:rsidR="00294FDC" w:rsidRPr="00294FDC">
        <w:rPr>
          <w:color w:val="000000"/>
          <w:highlight w:val="black"/>
        </w:rPr>
        <w:t>xxxx</w:t>
      </w:r>
      <w:r w:rsidRPr="00054570">
        <w:t> patients (</w:t>
      </w:r>
      <w:r w:rsidR="00294FDC" w:rsidRPr="00294FDC">
        <w:rPr>
          <w:color w:val="000000"/>
          <w:highlight w:val="black"/>
        </w:rPr>
        <w:t>xxxx</w:t>
      </w:r>
      <w:r w:rsidRPr="00054570">
        <w:t>) in the TPC arm</w:t>
      </w:r>
      <w:bookmarkEnd w:id="218"/>
      <w:r w:rsidRPr="00054570">
        <w:t>.</w:t>
      </w:r>
      <w:r w:rsidRPr="00054570">
        <w:fldChar w:fldCharType="begin"/>
      </w:r>
      <w:r w:rsidR="00CA6345">
        <w:instrText xml:space="preserve"> ADDIN ZOTERO_ITEM CSL_CITATION {"citationID":"fvmNCwgA","properties":{"formattedCitation":"\\super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r w:rsidRPr="00054570">
        <w:t xml:space="preserve"> </w:t>
      </w:r>
    </w:p>
    <w:p w14:paraId="20323D89" w14:textId="64114527" w:rsidR="000B148D" w:rsidRPr="00054570" w:rsidRDefault="000B148D" w:rsidP="000B148D">
      <w:pPr>
        <w:pStyle w:val="Body"/>
      </w:pPr>
      <w:r>
        <w:t>A</w:t>
      </w:r>
      <w:r w:rsidR="00081163">
        <w:t>t</w:t>
      </w:r>
      <w:r>
        <w:t xml:space="preserve"> DCO, </w:t>
      </w:r>
      <w:r w:rsidR="00294FDC" w:rsidRPr="00294FDC">
        <w:rPr>
          <w:color w:val="000000"/>
          <w:highlight w:val="black"/>
        </w:rPr>
        <w:t>xxx</w:t>
      </w:r>
      <w:r>
        <w:t xml:space="preserve"> patients (</w:t>
      </w:r>
      <w:r w:rsidR="00294FDC" w:rsidRPr="00294FDC">
        <w:rPr>
          <w:color w:val="000000"/>
          <w:highlight w:val="black"/>
        </w:rPr>
        <w:t>xxxxx</w:t>
      </w:r>
      <w:r>
        <w:t xml:space="preserve">) in the T-DXd arm and </w:t>
      </w:r>
      <w:r w:rsidR="00294FDC" w:rsidRPr="00294FDC">
        <w:rPr>
          <w:color w:val="000000"/>
          <w:highlight w:val="black"/>
        </w:rPr>
        <w:t>xx</w:t>
      </w:r>
      <w:r>
        <w:t xml:space="preserve"> patients (</w:t>
      </w:r>
      <w:r w:rsidR="00294FDC" w:rsidRPr="00294FDC">
        <w:rPr>
          <w:color w:val="000000"/>
          <w:highlight w:val="black"/>
        </w:rPr>
        <w:t>xxxxx</w:t>
      </w:r>
      <w:r>
        <w:t>) in the TPC arm were censored.</w:t>
      </w:r>
      <w:r>
        <w:fldChar w:fldCharType="begin"/>
      </w:r>
      <w:r w:rsidR="00CA6345">
        <w:instrText xml:space="preserve"> ADDIN ZOTERO_ITEM CSL_CITATION {"citationID":"jObdEXhg","properties":{"formattedCitation":"\\super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fldChar w:fldCharType="separate"/>
      </w:r>
      <w:r w:rsidR="00FD57F4" w:rsidRPr="00FD57F4">
        <w:rPr>
          <w:rFonts w:cs="Arial"/>
          <w:szCs w:val="24"/>
          <w:vertAlign w:val="superscript"/>
        </w:rPr>
        <w:t>7</w:t>
      </w:r>
      <w:r>
        <w:fldChar w:fldCharType="end"/>
      </w:r>
      <w:r>
        <w:t xml:space="preserve"> Of these, </w:t>
      </w:r>
      <w:r w:rsidR="00294FDC" w:rsidRPr="00294FDC">
        <w:rPr>
          <w:color w:val="000000"/>
          <w:highlight w:val="black"/>
        </w:rPr>
        <w:t>xx</w:t>
      </w:r>
      <w:r>
        <w:t xml:space="preserve"> patients (</w:t>
      </w:r>
      <w:r w:rsidR="00294FDC" w:rsidRPr="00294FDC">
        <w:rPr>
          <w:color w:val="000000"/>
          <w:highlight w:val="black"/>
        </w:rPr>
        <w:t>xxxxx</w:t>
      </w:r>
      <w:r>
        <w:t xml:space="preserve">) in the T-DXd arm and </w:t>
      </w:r>
      <w:r w:rsidR="00294FDC" w:rsidRPr="00294FDC">
        <w:rPr>
          <w:color w:val="000000"/>
          <w:highlight w:val="black"/>
        </w:rPr>
        <w:t>xxxxx</w:t>
      </w:r>
      <w:r>
        <w:t xml:space="preserve"> patients (</w:t>
      </w:r>
      <w:r w:rsidR="00294FDC" w:rsidRPr="00294FDC">
        <w:rPr>
          <w:color w:val="000000"/>
          <w:highlight w:val="black"/>
        </w:rPr>
        <w:t>xxxx</w:t>
      </w:r>
      <w:r>
        <w:t>) in the TPC arm were ongoing without an event.</w:t>
      </w:r>
      <w:r>
        <w:fldChar w:fldCharType="begin"/>
      </w:r>
      <w:r w:rsidR="00CA6345">
        <w:instrText xml:space="preserve"> ADDIN ZOTERO_ITEM CSL_CITATION {"citationID":"LOKYRii1","properties":{"formattedCitation":"\\super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fldChar w:fldCharType="separate"/>
      </w:r>
      <w:r w:rsidR="00FD57F4" w:rsidRPr="00FD57F4">
        <w:rPr>
          <w:rFonts w:cs="Arial"/>
          <w:szCs w:val="24"/>
          <w:vertAlign w:val="superscript"/>
        </w:rPr>
        <w:t>7</w:t>
      </w:r>
      <w:r>
        <w:fldChar w:fldCharType="end"/>
      </w:r>
      <w:r>
        <w:t xml:space="preserve"> </w:t>
      </w:r>
      <w:r w:rsidRPr="00054570">
        <w:t xml:space="preserve">The remaining </w:t>
      </w:r>
      <w:r w:rsidR="00294FDC" w:rsidRPr="00294FDC">
        <w:rPr>
          <w:color w:val="000000"/>
          <w:highlight w:val="black"/>
        </w:rPr>
        <w:t>xx</w:t>
      </w:r>
      <w:r w:rsidRPr="00054570">
        <w:t> patients (</w:t>
      </w:r>
      <w:r w:rsidR="00294FDC" w:rsidRPr="00294FDC">
        <w:rPr>
          <w:color w:val="000000"/>
          <w:highlight w:val="black"/>
        </w:rPr>
        <w:t>xxxxx</w:t>
      </w:r>
      <w:r w:rsidRPr="00054570">
        <w:t>) in the T</w:t>
      </w:r>
      <w:r w:rsidRPr="00054570">
        <w:noBreakHyphen/>
        <w:t xml:space="preserve">DXd arm and </w:t>
      </w:r>
      <w:r w:rsidR="00294FDC" w:rsidRPr="00294FDC">
        <w:rPr>
          <w:color w:val="000000"/>
          <w:highlight w:val="black"/>
        </w:rPr>
        <w:t>xx</w:t>
      </w:r>
      <w:r w:rsidRPr="00054570">
        <w:t xml:space="preserve"> patients (</w:t>
      </w:r>
      <w:r w:rsidR="00294FDC" w:rsidRPr="00294FDC">
        <w:rPr>
          <w:color w:val="000000"/>
          <w:highlight w:val="black"/>
        </w:rPr>
        <w:t>xxxxx</w:t>
      </w:r>
      <w:r w:rsidRPr="00054570">
        <w:t>) in the TPC arm were censored for other reasons (</w:t>
      </w:r>
      <w:r w:rsidRPr="00314A60">
        <w:rPr>
          <w:b/>
          <w:bCs/>
        </w:rPr>
        <w:fldChar w:fldCharType="begin"/>
      </w:r>
      <w:r w:rsidRPr="00314A60">
        <w:rPr>
          <w:b/>
          <w:bCs/>
        </w:rPr>
        <w:instrText xml:space="preserve"> REF _Ref88659206 \h </w:instrText>
      </w:r>
      <w:r>
        <w:rPr>
          <w:b/>
          <w:bCs/>
        </w:rPr>
        <w:instrText xml:space="preserve"> \* MERGEFORMAT </w:instrText>
      </w:r>
      <w:r w:rsidRPr="00314A60">
        <w:rPr>
          <w:b/>
          <w:bCs/>
        </w:rPr>
      </w:r>
      <w:r w:rsidRPr="00314A60">
        <w:rPr>
          <w:b/>
          <w:bCs/>
        </w:rPr>
        <w:fldChar w:fldCharType="separate"/>
      </w:r>
      <w:r w:rsidR="00145F42" w:rsidRPr="00145F42">
        <w:rPr>
          <w:b/>
          <w:bCs/>
        </w:rPr>
        <w:t xml:space="preserve">Table </w:t>
      </w:r>
      <w:r w:rsidR="00145F42" w:rsidRPr="00145F42">
        <w:rPr>
          <w:b/>
          <w:bCs/>
          <w:noProof/>
        </w:rPr>
        <w:t>17</w:t>
      </w:r>
      <w:r w:rsidRPr="00314A60">
        <w:rPr>
          <w:b/>
          <w:bCs/>
        </w:rPr>
        <w:fldChar w:fldCharType="end"/>
      </w:r>
      <w:r w:rsidRPr="00054570">
        <w:t>).</w:t>
      </w:r>
      <w:r w:rsidRPr="00054570">
        <w:fldChar w:fldCharType="begin"/>
      </w:r>
      <w:r w:rsidR="00CA6345">
        <w:instrText xml:space="preserve"> ADDIN ZOTERO_ITEM CSL_CITATION {"citationID":"9PpTJbt9","properties":{"formattedCitation":"\\super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r w:rsidRPr="00054570">
        <w:t xml:space="preserve"> </w:t>
      </w:r>
    </w:p>
    <w:p w14:paraId="426F62BF" w14:textId="251C0D6E" w:rsidR="000B148D" w:rsidRPr="00054570" w:rsidRDefault="000B148D" w:rsidP="000B148D">
      <w:pPr>
        <w:pStyle w:val="Body"/>
      </w:pPr>
      <w:r w:rsidRPr="00054570">
        <w:t>T</w:t>
      </w:r>
      <w:r w:rsidRPr="00054570">
        <w:noBreakHyphen/>
        <w:t>DXd was associated with a statistically significant 49% lower risk of progression or death compared with TPC (HR: 0.51; 95% CI: 0.40, 0.64; p&lt;0.001).</w:t>
      </w:r>
      <w:r>
        <w:fldChar w:fldCharType="begin"/>
      </w:r>
      <w:r w:rsidR="00CA6345">
        <w:instrText xml:space="preserve"> ADDIN ZOTERO_ITEM CSL_CITATION {"citationID":"pqGqgHBs","properties":{"formattedCitation":"\\super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054570">
        <w:t xml:space="preserve"> DESTINY-Breast04 therefore met its primary endpoint of PFS by BICR in the HR-positive cohort.</w:t>
      </w:r>
      <w:r w:rsidR="00DB709B">
        <w:fldChar w:fldCharType="begin"/>
      </w:r>
      <w:r w:rsidR="00CA6345">
        <w:instrText xml:space="preserve"> ADDIN ZOTERO_ITEM CSL_CITATION {"citationID":"hTFMMWa2","properties":{"formattedCitation":"\\super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00DB709B">
        <w:fldChar w:fldCharType="separate"/>
      </w:r>
      <w:r w:rsidR="00FD57F4" w:rsidRPr="00FD57F4">
        <w:rPr>
          <w:rFonts w:cs="Arial"/>
          <w:szCs w:val="24"/>
          <w:vertAlign w:val="superscript"/>
        </w:rPr>
        <w:t>6</w:t>
      </w:r>
      <w:r w:rsidR="00DB709B">
        <w:fldChar w:fldCharType="end"/>
      </w:r>
    </w:p>
    <w:p w14:paraId="462C1925" w14:textId="4BAABEAE" w:rsidR="000B148D" w:rsidRPr="00054570" w:rsidRDefault="000B148D" w:rsidP="000B148D">
      <w:pPr>
        <w:pStyle w:val="Body"/>
      </w:pPr>
      <w:r w:rsidRPr="00054570">
        <w:t>Median PFS by BICR was 10.1 months (95% CI: 9.5, 11.5) in the T-DXd arm vs. 5.4 months (95% CI: 4.4, 7.1) in the TPC arm.</w:t>
      </w:r>
      <w:r>
        <w:fldChar w:fldCharType="begin"/>
      </w:r>
      <w:r w:rsidR="00CA6345">
        <w:instrText xml:space="preserve"> ADDIN ZOTERO_ITEM CSL_CITATION {"citationID":"uqUkvCWr","properties":{"formattedCitation":"\\super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054570">
        <w:t xml:space="preserve"> At 12 months, </w:t>
      </w:r>
      <w:r w:rsidR="00294FDC" w:rsidRPr="00294FDC">
        <w:rPr>
          <w:color w:val="000000"/>
          <w:highlight w:val="black"/>
        </w:rPr>
        <w:t>xxxxx</w:t>
      </w:r>
      <w:r w:rsidRPr="00054570">
        <w:t xml:space="preserve"> (95% CI: </w:t>
      </w:r>
      <w:r w:rsidR="00294FDC" w:rsidRPr="00294FDC">
        <w:rPr>
          <w:color w:val="000000"/>
          <w:highlight w:val="black"/>
        </w:rPr>
        <w:t>xxxxxxxxxx</w:t>
      </w:r>
      <w:r w:rsidRPr="00054570">
        <w:t xml:space="preserve">) and </w:t>
      </w:r>
      <w:r w:rsidR="00294FDC" w:rsidRPr="00294FDC">
        <w:rPr>
          <w:color w:val="000000"/>
          <w:highlight w:val="black"/>
        </w:rPr>
        <w:t>xxxxx</w:t>
      </w:r>
      <w:r w:rsidRPr="00054570">
        <w:t xml:space="preserve"> (95% CI: </w:t>
      </w:r>
      <w:r w:rsidR="00294FDC" w:rsidRPr="00294FDC">
        <w:rPr>
          <w:color w:val="000000"/>
          <w:highlight w:val="black"/>
        </w:rPr>
        <w:t>xxxxxxxxxx</w:t>
      </w:r>
      <w:r w:rsidRPr="00054570">
        <w:t>) of patients were alive and progression free in the T</w:t>
      </w:r>
      <w:r w:rsidRPr="00054570">
        <w:noBreakHyphen/>
        <w:t>DXd and TPC arms, respectively (</w:t>
      </w:r>
      <w:r w:rsidRPr="007F4DDF">
        <w:rPr>
          <w:b/>
          <w:bCs/>
        </w:rPr>
        <w:fldChar w:fldCharType="begin"/>
      </w:r>
      <w:r w:rsidRPr="007F4DDF">
        <w:rPr>
          <w:b/>
          <w:bCs/>
        </w:rPr>
        <w:instrText xml:space="preserve"> REF _Ref88463924 \h </w:instrText>
      </w:r>
      <w:r>
        <w:rPr>
          <w:b/>
          <w:bCs/>
        </w:rPr>
        <w:instrText xml:space="preserve"> \* MERGEFORMAT </w:instrText>
      </w:r>
      <w:r w:rsidRPr="007F4DDF">
        <w:rPr>
          <w:b/>
          <w:bCs/>
        </w:rPr>
      </w:r>
      <w:r w:rsidRPr="007F4DDF">
        <w:rPr>
          <w:b/>
          <w:bCs/>
        </w:rPr>
        <w:fldChar w:fldCharType="separate"/>
      </w:r>
      <w:r w:rsidR="00145F42" w:rsidRPr="00145F42">
        <w:rPr>
          <w:b/>
          <w:bCs/>
        </w:rPr>
        <w:t xml:space="preserve">Figure </w:t>
      </w:r>
      <w:r w:rsidR="00145F42" w:rsidRPr="00145F42">
        <w:rPr>
          <w:b/>
          <w:bCs/>
          <w:noProof/>
        </w:rPr>
        <w:t>11</w:t>
      </w:r>
      <w:r w:rsidRPr="007F4DDF">
        <w:rPr>
          <w:b/>
          <w:bCs/>
        </w:rPr>
        <w:fldChar w:fldCharType="end"/>
      </w:r>
      <w:r w:rsidRPr="00054570">
        <w:t>).</w:t>
      </w:r>
      <w:r w:rsidRPr="00054570">
        <w:fldChar w:fldCharType="begin"/>
      </w:r>
      <w:r w:rsidR="00CA6345">
        <w:instrText xml:space="preserve"> ADDIN ZOTERO_ITEM CSL_CITATION {"citationID":"4PA5KMlp","properties":{"formattedCitation":"\\super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r w:rsidRPr="00054570">
        <w:rPr>
          <w:rFonts w:ascii="Times New Roman" w:hAnsi="Times New Roman" w:cs="Times New Roman"/>
          <w:sz w:val="24"/>
          <w:szCs w:val="24"/>
        </w:rPr>
        <w:t xml:space="preserve"> </w:t>
      </w:r>
      <w:r w:rsidRPr="00054570">
        <w:t>There was an early and sustained separation of the PFS curves in favour of T-DXd that was maintained throughout the study.</w:t>
      </w:r>
      <w:r w:rsidRPr="00054570" w:rsidDel="00763B17">
        <w:t xml:space="preserve"> </w:t>
      </w:r>
    </w:p>
    <w:tbl>
      <w:tblPr>
        <w:tblStyle w:val="Figurebox"/>
        <w:tblW w:w="5000" w:type="pct"/>
        <w:tblCellMar>
          <w:top w:w="57" w:type="dxa"/>
          <w:bottom w:w="57" w:type="dxa"/>
        </w:tblCellMar>
        <w:tblLook w:val="04A0" w:firstRow="1" w:lastRow="0" w:firstColumn="1" w:lastColumn="0" w:noHBand="0" w:noVBand="1"/>
      </w:tblPr>
      <w:tblGrid>
        <w:gridCol w:w="9026"/>
      </w:tblGrid>
      <w:tr w:rsidR="000B148D" w:rsidRPr="00054570" w14:paraId="7AA224C6" w14:textId="77777777">
        <w:tc>
          <w:tcPr>
            <w:tcW w:w="5000" w:type="pct"/>
            <w:tcBorders>
              <w:bottom w:val="single" w:sz="4" w:space="0" w:color="auto"/>
            </w:tcBorders>
          </w:tcPr>
          <w:p w14:paraId="24CD7F87" w14:textId="2E4F7270" w:rsidR="000B148D" w:rsidRPr="00054570" w:rsidRDefault="000B148D">
            <w:pPr>
              <w:pStyle w:val="Caption"/>
            </w:pPr>
            <w:r w:rsidRPr="00054570">
              <w:t xml:space="preserve"> </w:t>
            </w:r>
            <w:bookmarkStart w:id="219" w:name="_Ref124249964"/>
            <w:bookmarkStart w:id="220" w:name="_Ref88463924"/>
            <w:bookmarkStart w:id="221" w:name="_Toc95826046"/>
            <w:bookmarkStart w:id="222" w:name="_Toc124447857"/>
            <w:bookmarkStart w:id="223" w:name="_Toc129350937"/>
            <w:r w:rsidRPr="00054570">
              <w:t xml:space="preserve">Figure </w:t>
            </w:r>
            <w:r w:rsidRPr="00054570">
              <w:fldChar w:fldCharType="begin"/>
            </w:r>
            <w:r w:rsidRPr="00054570">
              <w:instrText>SEQ Figure \* ARABIC</w:instrText>
            </w:r>
            <w:r w:rsidRPr="00054570">
              <w:fldChar w:fldCharType="separate"/>
            </w:r>
            <w:r w:rsidR="00145F42">
              <w:rPr>
                <w:noProof/>
              </w:rPr>
              <w:t>11</w:t>
            </w:r>
            <w:r w:rsidRPr="00054570">
              <w:fldChar w:fldCharType="end"/>
            </w:r>
            <w:bookmarkEnd w:id="219"/>
            <w:bookmarkEnd w:id="220"/>
            <w:r w:rsidRPr="00054570">
              <w:t xml:space="preserve">: DESTINY-Breast04 | Kaplan-Meier of PFS by BICR | </w:t>
            </w:r>
            <w:bookmarkEnd w:id="221"/>
            <w:r w:rsidRPr="00054570">
              <w:t>HR-positive cohort</w:t>
            </w:r>
            <w:bookmarkEnd w:id="222"/>
            <w:bookmarkEnd w:id="223"/>
            <w:r w:rsidRPr="00054570">
              <w:t xml:space="preserve"> </w:t>
            </w:r>
          </w:p>
        </w:tc>
      </w:tr>
      <w:tr w:rsidR="000B148D" w:rsidRPr="00054570" w14:paraId="25EECD47" w14:textId="77777777">
        <w:tc>
          <w:tcPr>
            <w:tcW w:w="5000" w:type="pct"/>
            <w:tcBorders>
              <w:top w:val="single" w:sz="4" w:space="0" w:color="auto"/>
              <w:left w:val="single" w:sz="4" w:space="0" w:color="auto"/>
              <w:bottom w:val="single" w:sz="4" w:space="0" w:color="auto"/>
              <w:right w:val="single" w:sz="4" w:space="0" w:color="auto"/>
            </w:tcBorders>
            <w:vAlign w:val="center"/>
          </w:tcPr>
          <w:p w14:paraId="3969ABC1" w14:textId="77777777" w:rsidR="000B148D" w:rsidRPr="00054570" w:rsidRDefault="000B148D">
            <w:pPr>
              <w:pStyle w:val="Body"/>
              <w:keepNext/>
              <w:spacing w:before="20" w:after="0"/>
              <w:jc w:val="center"/>
            </w:pPr>
            <w:r w:rsidRPr="00587469">
              <w:rPr>
                <w:noProof/>
              </w:rPr>
              <w:drawing>
                <wp:inline distT="0" distB="0" distL="0" distR="0" wp14:anchorId="3197E4F6" wp14:editId="2B378E5B">
                  <wp:extent cx="5731510" cy="362521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25215"/>
                          </a:xfrm>
                          <a:prstGeom prst="rect">
                            <a:avLst/>
                          </a:prstGeom>
                        </pic:spPr>
                      </pic:pic>
                    </a:graphicData>
                  </a:graphic>
                </wp:inline>
              </w:drawing>
            </w:r>
          </w:p>
        </w:tc>
      </w:tr>
      <w:tr w:rsidR="000B148D" w:rsidRPr="00054570" w14:paraId="748FBF00" w14:textId="77777777">
        <w:tc>
          <w:tcPr>
            <w:tcW w:w="5000" w:type="pct"/>
            <w:tcBorders>
              <w:top w:val="single" w:sz="4" w:space="0" w:color="auto"/>
            </w:tcBorders>
          </w:tcPr>
          <w:p w14:paraId="5545DF2E" w14:textId="74F6FE52" w:rsidR="000B148D" w:rsidRPr="00054570" w:rsidRDefault="000B148D" w:rsidP="003B60FE">
            <w:pPr>
              <w:pStyle w:val="Footnotes"/>
              <w:spacing w:after="120"/>
            </w:pPr>
            <w:r w:rsidRPr="00054570">
              <w:t>Abbreviations: BICR, blinded independent central review; CI, confidence interval; HR, hazard ratio</w:t>
            </w:r>
            <w:r>
              <w:t xml:space="preserve">; </w:t>
            </w:r>
            <w:r w:rsidR="00F50DBB">
              <w:t xml:space="preserve">HR-positive, hormone receptor-positive; </w:t>
            </w:r>
            <w:r w:rsidRPr="00054570">
              <w:t xml:space="preserve">PFS, progression-free survival; T-DXd, trastuzumab deruxtecan; TPC; treatment of </w:t>
            </w:r>
            <w:r w:rsidRPr="00054570">
              <w:lastRenderedPageBreak/>
              <w:t>physician</w:t>
            </w:r>
            <w:r>
              <w:t>’</w:t>
            </w:r>
            <w:r w:rsidRPr="00054570">
              <w:t>s choice</w:t>
            </w:r>
            <w:r w:rsidR="00F50DBB">
              <w:t>.</w:t>
            </w:r>
            <w:r w:rsidRPr="00054570">
              <w:br/>
              <w:t>Source: Daiichi Sankyo Inc., 2022 (CSR; Data on File).</w:t>
            </w:r>
            <w:r w:rsidRPr="00054570">
              <w:fldChar w:fldCharType="begin"/>
            </w:r>
            <w:r w:rsidR="00CA6345">
              <w:instrText xml:space="preserve"> ADDIN ZOTERO_ITEM CSL_CITATION {"citationID":"UqSXmCe7","properties":{"formattedCitation":"\\super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p>
        </w:tc>
      </w:tr>
    </w:tbl>
    <w:p w14:paraId="499F544B" w14:textId="235A8885" w:rsidR="000B148D" w:rsidRPr="00054570" w:rsidRDefault="000B148D" w:rsidP="000B148D">
      <w:pPr>
        <w:pStyle w:val="Caption"/>
      </w:pPr>
      <w:bookmarkStart w:id="224" w:name="_Ref88659206"/>
      <w:bookmarkStart w:id="225" w:name="_Ref96516379"/>
      <w:bookmarkStart w:id="226" w:name="_Toc95826066"/>
      <w:bookmarkStart w:id="227" w:name="_Toc124447877"/>
      <w:bookmarkStart w:id="228" w:name="_Toc129350992"/>
      <w:r w:rsidRPr="00054570">
        <w:lastRenderedPageBreak/>
        <w:t xml:space="preserve">Table </w:t>
      </w:r>
      <w:r w:rsidRPr="00054570">
        <w:fldChar w:fldCharType="begin"/>
      </w:r>
      <w:r w:rsidRPr="00054570">
        <w:instrText>SEQ Table \* ARABIC</w:instrText>
      </w:r>
      <w:r w:rsidRPr="00054570">
        <w:fldChar w:fldCharType="separate"/>
      </w:r>
      <w:r w:rsidR="00145F42">
        <w:rPr>
          <w:noProof/>
        </w:rPr>
        <w:t>17</w:t>
      </w:r>
      <w:r w:rsidRPr="00054570">
        <w:fldChar w:fldCharType="end"/>
      </w:r>
      <w:bookmarkEnd w:id="224"/>
      <w:bookmarkEnd w:id="225"/>
      <w:r w:rsidRPr="00054570">
        <w:t xml:space="preserve">: DESTINY-Breast04 | Analysis of PFS by BICR | </w:t>
      </w:r>
      <w:bookmarkEnd w:id="226"/>
      <w:r w:rsidRPr="00054570">
        <w:t>HR-positive cohort</w:t>
      </w:r>
      <w:bookmarkEnd w:id="227"/>
      <w:bookmarkEnd w:id="228"/>
      <w:r w:rsidRPr="00054570">
        <w:t xml:space="preserve"> </w:t>
      </w:r>
    </w:p>
    <w:tbl>
      <w:tblPr>
        <w:tblStyle w:val="Generaltable"/>
        <w:tblW w:w="0" w:type="auto"/>
        <w:tblLook w:val="04A0" w:firstRow="1" w:lastRow="0" w:firstColumn="1" w:lastColumn="0" w:noHBand="0" w:noVBand="1"/>
      </w:tblPr>
      <w:tblGrid>
        <w:gridCol w:w="4984"/>
        <w:gridCol w:w="2016"/>
        <w:gridCol w:w="2016"/>
      </w:tblGrid>
      <w:tr w:rsidR="000B148D" w:rsidRPr="00054570" w14:paraId="15D6D93A" w14:textId="77777777">
        <w:trPr>
          <w:cnfStyle w:val="100000000000" w:firstRow="1" w:lastRow="0" w:firstColumn="0" w:lastColumn="0" w:oddVBand="0" w:evenVBand="0" w:oddHBand="0" w:evenHBand="0" w:firstRowFirstColumn="0" w:firstRowLastColumn="0" w:lastRowFirstColumn="0" w:lastRowLastColumn="0"/>
          <w:tblHeader/>
        </w:trPr>
        <w:tc>
          <w:tcPr>
            <w:tcW w:w="5098" w:type="dxa"/>
            <w:tcBorders>
              <w:bottom w:val="single" w:sz="4" w:space="0" w:color="auto"/>
            </w:tcBorders>
            <w:shd w:val="clear" w:color="auto" w:fill="F2F2F2" w:themeFill="background1" w:themeFillShade="F2"/>
          </w:tcPr>
          <w:p w14:paraId="00718D4D" w14:textId="77777777" w:rsidR="000B148D" w:rsidRPr="00054570" w:rsidRDefault="000B148D">
            <w:pPr>
              <w:pStyle w:val="Tableheading"/>
            </w:pPr>
          </w:p>
        </w:tc>
        <w:tc>
          <w:tcPr>
            <w:tcW w:w="1959" w:type="dxa"/>
            <w:tcBorders>
              <w:bottom w:val="single" w:sz="4" w:space="0" w:color="auto"/>
            </w:tcBorders>
            <w:shd w:val="clear" w:color="auto" w:fill="F2F2F2" w:themeFill="background1" w:themeFillShade="F2"/>
          </w:tcPr>
          <w:p w14:paraId="1F468476" w14:textId="77777777" w:rsidR="000B148D" w:rsidRPr="00054570" w:rsidRDefault="000B148D">
            <w:pPr>
              <w:pStyle w:val="Tableheading"/>
              <w:jc w:val="center"/>
              <w:rPr>
                <w:rFonts w:cs="Arial"/>
              </w:rPr>
            </w:pPr>
            <w:r w:rsidRPr="00054570">
              <w:rPr>
                <w:rFonts w:cs="Arial"/>
              </w:rPr>
              <w:t>T-DXd</w:t>
            </w:r>
            <w:r w:rsidRPr="00054570">
              <w:rPr>
                <w:rFonts w:cs="Arial"/>
              </w:rPr>
              <w:br/>
              <w:t>(</w:t>
            </w:r>
            <w:r>
              <w:rPr>
                <w:rFonts w:cs="Arial"/>
              </w:rPr>
              <w:t>N=</w:t>
            </w:r>
            <w:r w:rsidRPr="00054570">
              <w:rPr>
                <w:rFonts w:cs="Arial"/>
              </w:rPr>
              <w:t>331)</w:t>
            </w:r>
          </w:p>
        </w:tc>
        <w:tc>
          <w:tcPr>
            <w:tcW w:w="1959" w:type="dxa"/>
            <w:tcBorders>
              <w:bottom w:val="single" w:sz="4" w:space="0" w:color="auto"/>
            </w:tcBorders>
            <w:shd w:val="clear" w:color="auto" w:fill="F2F2F2" w:themeFill="background1" w:themeFillShade="F2"/>
          </w:tcPr>
          <w:p w14:paraId="6F547344" w14:textId="77777777" w:rsidR="000B148D" w:rsidRPr="00054570" w:rsidRDefault="000B148D">
            <w:pPr>
              <w:pStyle w:val="Tableheading"/>
              <w:jc w:val="center"/>
              <w:rPr>
                <w:rFonts w:cs="Arial"/>
              </w:rPr>
            </w:pPr>
            <w:r w:rsidRPr="00054570">
              <w:rPr>
                <w:rFonts w:cs="Arial"/>
              </w:rPr>
              <w:t>TPC</w:t>
            </w:r>
            <w:r w:rsidRPr="00054570">
              <w:rPr>
                <w:rFonts w:cs="Arial"/>
              </w:rPr>
              <w:br/>
              <w:t>(</w:t>
            </w:r>
            <w:r>
              <w:rPr>
                <w:rFonts w:cs="Arial"/>
              </w:rPr>
              <w:t>N=</w:t>
            </w:r>
            <w:r w:rsidRPr="00054570">
              <w:rPr>
                <w:rFonts w:cs="Arial"/>
              </w:rPr>
              <w:t>163)</w:t>
            </w:r>
          </w:p>
        </w:tc>
      </w:tr>
      <w:tr w:rsidR="000B148D" w:rsidRPr="00054570" w14:paraId="4AF67158" w14:textId="77777777">
        <w:tc>
          <w:tcPr>
            <w:tcW w:w="5098" w:type="dxa"/>
            <w:tcBorders>
              <w:bottom w:val="single" w:sz="4" w:space="0" w:color="auto"/>
            </w:tcBorders>
            <w:shd w:val="clear" w:color="auto" w:fill="F2F2F2" w:themeFill="background1" w:themeFillShade="F2"/>
          </w:tcPr>
          <w:p w14:paraId="6E5835F2" w14:textId="77777777" w:rsidR="000B148D" w:rsidRPr="00054570" w:rsidRDefault="000B148D">
            <w:pPr>
              <w:pStyle w:val="Tablebody"/>
              <w:keepNext/>
            </w:pPr>
            <w:r w:rsidRPr="00054570">
              <w:t>Subjects with events, n (%)</w:t>
            </w:r>
          </w:p>
        </w:tc>
        <w:tc>
          <w:tcPr>
            <w:tcW w:w="1959" w:type="dxa"/>
            <w:tcBorders>
              <w:bottom w:val="single" w:sz="4" w:space="0" w:color="auto"/>
            </w:tcBorders>
          </w:tcPr>
          <w:p w14:paraId="491A87BD" w14:textId="7AAD14C2" w:rsidR="000B148D" w:rsidRPr="00294FDC" w:rsidRDefault="00294FDC">
            <w:pPr>
              <w:pStyle w:val="Tablebody"/>
              <w:jc w:val="center"/>
              <w:rPr>
                <w:rFonts w:cs="Arial"/>
                <w:color w:val="000000"/>
                <w:highlight w:val="black"/>
              </w:rPr>
            </w:pPr>
            <w:r w:rsidRPr="00294FDC">
              <w:rPr>
                <w:rFonts w:eastAsia="Times New Roman" w:cs="Arial"/>
                <w:color w:val="000000"/>
                <w:highlight w:val="black"/>
              </w:rPr>
              <w:t>xxxxxxxxxxx</w:t>
            </w:r>
          </w:p>
        </w:tc>
        <w:tc>
          <w:tcPr>
            <w:tcW w:w="1959" w:type="dxa"/>
            <w:tcBorders>
              <w:bottom w:val="single" w:sz="4" w:space="0" w:color="auto"/>
            </w:tcBorders>
          </w:tcPr>
          <w:p w14:paraId="19D63D32" w14:textId="3EDDD649" w:rsidR="000B148D" w:rsidRPr="00294FDC" w:rsidRDefault="00294FDC">
            <w:pPr>
              <w:pStyle w:val="Tablebody"/>
              <w:jc w:val="center"/>
              <w:rPr>
                <w:rFonts w:cs="Arial"/>
                <w:color w:val="000000"/>
                <w:highlight w:val="black"/>
              </w:rPr>
            </w:pPr>
            <w:r w:rsidRPr="00294FDC">
              <w:rPr>
                <w:rFonts w:eastAsia="Times New Roman" w:cs="Arial"/>
                <w:color w:val="000000"/>
                <w:highlight w:val="black"/>
              </w:rPr>
              <w:t>xxxxxxxxxxx</w:t>
            </w:r>
          </w:p>
        </w:tc>
      </w:tr>
      <w:tr w:rsidR="000B148D" w:rsidRPr="00054570" w14:paraId="50CB3378" w14:textId="77777777">
        <w:tc>
          <w:tcPr>
            <w:tcW w:w="5098" w:type="dxa"/>
            <w:tcBorders>
              <w:top w:val="single" w:sz="4" w:space="0" w:color="auto"/>
              <w:bottom w:val="single" w:sz="4" w:space="0" w:color="auto"/>
            </w:tcBorders>
            <w:shd w:val="clear" w:color="auto" w:fill="F2F2F2" w:themeFill="background1" w:themeFillShade="F2"/>
          </w:tcPr>
          <w:p w14:paraId="6B671010" w14:textId="77777777" w:rsidR="000B148D" w:rsidRPr="00054570" w:rsidRDefault="000B148D">
            <w:pPr>
              <w:pStyle w:val="Tablebody"/>
              <w:ind w:left="174"/>
            </w:pPr>
            <w:r w:rsidRPr="00054570">
              <w:t>Progressive disease</w:t>
            </w:r>
          </w:p>
        </w:tc>
        <w:tc>
          <w:tcPr>
            <w:tcW w:w="1959" w:type="dxa"/>
            <w:tcBorders>
              <w:top w:val="single" w:sz="4" w:space="0" w:color="auto"/>
              <w:bottom w:val="single" w:sz="4" w:space="0" w:color="auto"/>
            </w:tcBorders>
          </w:tcPr>
          <w:p w14:paraId="6BE02082" w14:textId="45D7FAC3" w:rsidR="000B148D" w:rsidRPr="00294FDC" w:rsidRDefault="00294FDC">
            <w:pPr>
              <w:pStyle w:val="Tablebody"/>
              <w:jc w:val="center"/>
              <w:rPr>
                <w:rFonts w:cs="Arial"/>
                <w:color w:val="000000"/>
                <w:highlight w:val="black"/>
              </w:rPr>
            </w:pPr>
            <w:r w:rsidRPr="00294FDC">
              <w:rPr>
                <w:rFonts w:eastAsia="Times New Roman" w:cs="Arial"/>
                <w:color w:val="000000"/>
                <w:highlight w:val="black"/>
              </w:rPr>
              <w:t>xxxxxxxxxxx</w:t>
            </w:r>
          </w:p>
        </w:tc>
        <w:tc>
          <w:tcPr>
            <w:tcW w:w="1959" w:type="dxa"/>
            <w:tcBorders>
              <w:top w:val="single" w:sz="4" w:space="0" w:color="auto"/>
              <w:bottom w:val="single" w:sz="4" w:space="0" w:color="auto"/>
            </w:tcBorders>
          </w:tcPr>
          <w:p w14:paraId="104C0E3F" w14:textId="0638704B" w:rsidR="000B148D" w:rsidRPr="00294FDC" w:rsidRDefault="00294FDC">
            <w:pPr>
              <w:pStyle w:val="Tablebody"/>
              <w:jc w:val="center"/>
              <w:rPr>
                <w:rFonts w:cs="Arial"/>
                <w:color w:val="000000"/>
                <w:highlight w:val="black"/>
              </w:rPr>
            </w:pPr>
            <w:r w:rsidRPr="00294FDC">
              <w:rPr>
                <w:rFonts w:eastAsia="Times New Roman" w:cs="Arial"/>
                <w:color w:val="000000"/>
                <w:highlight w:val="black"/>
              </w:rPr>
              <w:t>xxxxxxxxxxx</w:t>
            </w:r>
          </w:p>
        </w:tc>
      </w:tr>
      <w:tr w:rsidR="000B148D" w:rsidRPr="00054570" w14:paraId="2B0CF9AD" w14:textId="77777777">
        <w:tc>
          <w:tcPr>
            <w:tcW w:w="5098" w:type="dxa"/>
            <w:tcBorders>
              <w:top w:val="single" w:sz="4" w:space="0" w:color="auto"/>
              <w:bottom w:val="single" w:sz="4" w:space="0" w:color="auto"/>
            </w:tcBorders>
            <w:shd w:val="clear" w:color="auto" w:fill="F2F2F2" w:themeFill="background1" w:themeFillShade="F2"/>
          </w:tcPr>
          <w:p w14:paraId="1E825F5B" w14:textId="77777777" w:rsidR="000B148D" w:rsidRPr="00054570" w:rsidRDefault="000B148D">
            <w:pPr>
              <w:pStyle w:val="Tablebody"/>
              <w:ind w:left="174"/>
            </w:pPr>
            <w:r w:rsidRPr="00054570">
              <w:t>Death</w:t>
            </w:r>
          </w:p>
        </w:tc>
        <w:tc>
          <w:tcPr>
            <w:tcW w:w="1959" w:type="dxa"/>
            <w:tcBorders>
              <w:top w:val="single" w:sz="4" w:space="0" w:color="auto"/>
              <w:bottom w:val="single" w:sz="4" w:space="0" w:color="auto"/>
            </w:tcBorders>
          </w:tcPr>
          <w:p w14:paraId="0A90FAF5" w14:textId="1FF5EE4D" w:rsidR="000B148D" w:rsidRPr="00294FDC" w:rsidRDefault="00294FDC">
            <w:pPr>
              <w:pStyle w:val="Tablebody"/>
              <w:jc w:val="center"/>
              <w:rPr>
                <w:rFonts w:cs="Arial"/>
                <w:color w:val="000000"/>
                <w:highlight w:val="black"/>
              </w:rPr>
            </w:pPr>
            <w:r w:rsidRPr="00294FDC">
              <w:rPr>
                <w:rFonts w:eastAsia="Times New Roman" w:cs="Arial"/>
                <w:color w:val="000000"/>
                <w:highlight w:val="black"/>
              </w:rPr>
              <w:t>xxxxxxxxx</w:t>
            </w:r>
          </w:p>
        </w:tc>
        <w:tc>
          <w:tcPr>
            <w:tcW w:w="1959" w:type="dxa"/>
            <w:tcBorders>
              <w:top w:val="single" w:sz="4" w:space="0" w:color="auto"/>
              <w:bottom w:val="single" w:sz="4" w:space="0" w:color="auto"/>
            </w:tcBorders>
          </w:tcPr>
          <w:p w14:paraId="76F834C2" w14:textId="48352406" w:rsidR="000B148D" w:rsidRPr="00294FDC" w:rsidRDefault="00294FDC">
            <w:pPr>
              <w:pStyle w:val="Tablebody"/>
              <w:jc w:val="center"/>
              <w:rPr>
                <w:rFonts w:cs="Arial"/>
                <w:color w:val="000000"/>
                <w:highlight w:val="black"/>
              </w:rPr>
            </w:pPr>
            <w:r w:rsidRPr="00294FDC">
              <w:rPr>
                <w:rFonts w:eastAsia="Times New Roman" w:cs="Arial"/>
                <w:color w:val="000000"/>
                <w:highlight w:val="black"/>
              </w:rPr>
              <w:t>xxxxxxxx</w:t>
            </w:r>
          </w:p>
        </w:tc>
      </w:tr>
      <w:tr w:rsidR="000B148D" w:rsidRPr="00054570" w14:paraId="0657ABB8" w14:textId="77777777">
        <w:tc>
          <w:tcPr>
            <w:tcW w:w="5098" w:type="dxa"/>
            <w:tcBorders>
              <w:top w:val="single" w:sz="4" w:space="0" w:color="auto"/>
              <w:bottom w:val="single" w:sz="4" w:space="0" w:color="auto"/>
            </w:tcBorders>
            <w:shd w:val="clear" w:color="auto" w:fill="F2F2F2" w:themeFill="background1" w:themeFillShade="F2"/>
          </w:tcPr>
          <w:p w14:paraId="2BD33DC9" w14:textId="77777777" w:rsidR="000B148D" w:rsidRPr="00054570" w:rsidRDefault="000B148D">
            <w:pPr>
              <w:pStyle w:val="Tablebody"/>
              <w:keepNext/>
            </w:pPr>
            <w:r w:rsidRPr="00054570">
              <w:t>Subjects without events (censored), n (%)</w:t>
            </w:r>
          </w:p>
        </w:tc>
        <w:tc>
          <w:tcPr>
            <w:tcW w:w="1959" w:type="dxa"/>
            <w:tcBorders>
              <w:top w:val="single" w:sz="4" w:space="0" w:color="auto"/>
              <w:bottom w:val="single" w:sz="4" w:space="0" w:color="auto"/>
            </w:tcBorders>
          </w:tcPr>
          <w:p w14:paraId="61F61CFD" w14:textId="44D65E99" w:rsidR="000B148D" w:rsidRPr="00294FDC" w:rsidRDefault="00294FDC">
            <w:pPr>
              <w:pStyle w:val="Tablebody"/>
              <w:jc w:val="center"/>
              <w:rPr>
                <w:rFonts w:cs="Arial"/>
                <w:color w:val="000000"/>
                <w:highlight w:val="black"/>
              </w:rPr>
            </w:pPr>
            <w:r w:rsidRPr="00294FDC">
              <w:rPr>
                <w:rFonts w:eastAsia="Times New Roman" w:cs="Arial"/>
                <w:color w:val="000000"/>
                <w:highlight w:val="black"/>
              </w:rPr>
              <w:t>xxxxxxxxxxx</w:t>
            </w:r>
          </w:p>
        </w:tc>
        <w:tc>
          <w:tcPr>
            <w:tcW w:w="1959" w:type="dxa"/>
            <w:tcBorders>
              <w:top w:val="single" w:sz="4" w:space="0" w:color="auto"/>
              <w:bottom w:val="single" w:sz="4" w:space="0" w:color="auto"/>
            </w:tcBorders>
          </w:tcPr>
          <w:p w14:paraId="39C2EF00" w14:textId="3836BB97" w:rsidR="000B148D" w:rsidRPr="00294FDC" w:rsidRDefault="00294FDC">
            <w:pPr>
              <w:pStyle w:val="Tablebody"/>
              <w:jc w:val="center"/>
              <w:rPr>
                <w:rFonts w:cs="Arial"/>
                <w:color w:val="000000"/>
                <w:highlight w:val="black"/>
              </w:rPr>
            </w:pPr>
            <w:r w:rsidRPr="00294FDC">
              <w:rPr>
                <w:rFonts w:eastAsia="Times New Roman" w:cs="Arial"/>
                <w:color w:val="000000"/>
                <w:highlight w:val="black"/>
              </w:rPr>
              <w:t>xxxxxxxxxx</w:t>
            </w:r>
          </w:p>
        </w:tc>
      </w:tr>
      <w:tr w:rsidR="000B148D" w:rsidRPr="00054570" w14:paraId="5F6C0C6E" w14:textId="77777777">
        <w:tc>
          <w:tcPr>
            <w:tcW w:w="5098" w:type="dxa"/>
            <w:tcBorders>
              <w:top w:val="single" w:sz="4" w:space="0" w:color="auto"/>
              <w:bottom w:val="single" w:sz="4" w:space="0" w:color="auto"/>
            </w:tcBorders>
            <w:shd w:val="clear" w:color="auto" w:fill="F2F2F2" w:themeFill="background1" w:themeFillShade="F2"/>
          </w:tcPr>
          <w:p w14:paraId="6C6367B7" w14:textId="77777777" w:rsidR="000B148D" w:rsidRPr="00054570" w:rsidRDefault="000B148D">
            <w:pPr>
              <w:pStyle w:val="Tablebody"/>
              <w:ind w:left="174"/>
            </w:pPr>
            <w:r w:rsidRPr="00054570">
              <w:t>Ongoing without event</w:t>
            </w:r>
          </w:p>
        </w:tc>
        <w:tc>
          <w:tcPr>
            <w:tcW w:w="1959" w:type="dxa"/>
            <w:tcBorders>
              <w:top w:val="single" w:sz="4" w:space="0" w:color="auto"/>
              <w:bottom w:val="single" w:sz="4" w:space="0" w:color="auto"/>
            </w:tcBorders>
          </w:tcPr>
          <w:p w14:paraId="3C8EC853" w14:textId="47A80BF2" w:rsidR="000B148D" w:rsidRPr="00294FDC" w:rsidRDefault="00294FDC">
            <w:pPr>
              <w:pStyle w:val="Tablebody"/>
              <w:jc w:val="center"/>
              <w:rPr>
                <w:rFonts w:cs="Arial"/>
                <w:color w:val="000000"/>
                <w:highlight w:val="black"/>
              </w:rPr>
            </w:pPr>
            <w:r w:rsidRPr="00294FDC">
              <w:rPr>
                <w:rFonts w:eastAsia="Times New Roman" w:cs="Arial"/>
                <w:color w:val="000000"/>
                <w:highlight w:val="black"/>
              </w:rPr>
              <w:t>xxxxxxxxxx</w:t>
            </w:r>
          </w:p>
        </w:tc>
        <w:tc>
          <w:tcPr>
            <w:tcW w:w="1959" w:type="dxa"/>
            <w:tcBorders>
              <w:top w:val="single" w:sz="4" w:space="0" w:color="auto"/>
              <w:bottom w:val="single" w:sz="4" w:space="0" w:color="auto"/>
            </w:tcBorders>
          </w:tcPr>
          <w:p w14:paraId="4CA7E0E8" w14:textId="4CC0FC68" w:rsidR="000B148D" w:rsidRPr="00294FDC" w:rsidRDefault="00294FDC">
            <w:pPr>
              <w:pStyle w:val="Tablebody"/>
              <w:jc w:val="center"/>
              <w:rPr>
                <w:rFonts w:cs="Arial"/>
                <w:color w:val="000000"/>
                <w:highlight w:val="black"/>
              </w:rPr>
            </w:pPr>
            <w:r w:rsidRPr="00294FDC">
              <w:rPr>
                <w:rFonts w:eastAsia="Times New Roman" w:cs="Arial"/>
                <w:color w:val="000000"/>
                <w:highlight w:val="black"/>
              </w:rPr>
              <w:t>xxxxxxxx</w:t>
            </w:r>
          </w:p>
        </w:tc>
      </w:tr>
      <w:tr w:rsidR="000B148D" w:rsidRPr="00054570" w14:paraId="281DEE90" w14:textId="77777777">
        <w:tc>
          <w:tcPr>
            <w:tcW w:w="5098" w:type="dxa"/>
            <w:tcBorders>
              <w:top w:val="single" w:sz="4" w:space="0" w:color="auto"/>
              <w:bottom w:val="single" w:sz="4" w:space="0" w:color="auto"/>
            </w:tcBorders>
            <w:shd w:val="clear" w:color="auto" w:fill="F2F2F2" w:themeFill="background1" w:themeFillShade="F2"/>
          </w:tcPr>
          <w:p w14:paraId="4F25C43B" w14:textId="77777777" w:rsidR="000B148D" w:rsidRPr="00054570" w:rsidRDefault="000B148D">
            <w:pPr>
              <w:pStyle w:val="Tablebody"/>
              <w:ind w:left="174"/>
            </w:pPr>
            <w:r w:rsidRPr="00054570">
              <w:t>Other reason</w:t>
            </w:r>
            <w:r w:rsidRPr="00054570">
              <w:rPr>
                <w:vertAlign w:val="superscript"/>
              </w:rPr>
              <w:t>*</w:t>
            </w:r>
          </w:p>
        </w:tc>
        <w:tc>
          <w:tcPr>
            <w:tcW w:w="1959" w:type="dxa"/>
            <w:tcBorders>
              <w:top w:val="single" w:sz="4" w:space="0" w:color="auto"/>
              <w:bottom w:val="single" w:sz="4" w:space="0" w:color="auto"/>
            </w:tcBorders>
          </w:tcPr>
          <w:p w14:paraId="76E5F754" w14:textId="7125762B" w:rsidR="000B148D" w:rsidRPr="00294FDC" w:rsidRDefault="00294FDC">
            <w:pPr>
              <w:pStyle w:val="Tablebody"/>
              <w:jc w:val="center"/>
              <w:rPr>
                <w:rFonts w:cs="Arial"/>
                <w:color w:val="000000"/>
                <w:highlight w:val="black"/>
              </w:rPr>
            </w:pPr>
            <w:r w:rsidRPr="00294FDC">
              <w:rPr>
                <w:rFonts w:cs="Arial"/>
                <w:color w:val="000000"/>
                <w:highlight w:val="black"/>
              </w:rPr>
              <w:t>xxxxxxxxx</w:t>
            </w:r>
          </w:p>
        </w:tc>
        <w:tc>
          <w:tcPr>
            <w:tcW w:w="1959" w:type="dxa"/>
            <w:tcBorders>
              <w:top w:val="single" w:sz="4" w:space="0" w:color="auto"/>
              <w:bottom w:val="single" w:sz="4" w:space="0" w:color="auto"/>
            </w:tcBorders>
          </w:tcPr>
          <w:p w14:paraId="6F4E40EE" w14:textId="5BAFAD3A" w:rsidR="000B148D" w:rsidRPr="00294FDC" w:rsidRDefault="00294FDC">
            <w:pPr>
              <w:pStyle w:val="Tablebody"/>
              <w:jc w:val="center"/>
              <w:rPr>
                <w:rFonts w:cs="Arial"/>
                <w:color w:val="000000"/>
                <w:highlight w:val="black"/>
              </w:rPr>
            </w:pPr>
            <w:r w:rsidRPr="00294FDC">
              <w:rPr>
                <w:rFonts w:cs="Arial"/>
                <w:color w:val="000000"/>
                <w:highlight w:val="black"/>
              </w:rPr>
              <w:t>xxxxxxxxx</w:t>
            </w:r>
          </w:p>
        </w:tc>
      </w:tr>
      <w:tr w:rsidR="000B148D" w:rsidRPr="00054570" w14:paraId="606358E0" w14:textId="77777777">
        <w:tc>
          <w:tcPr>
            <w:tcW w:w="5098" w:type="dxa"/>
            <w:tcBorders>
              <w:bottom w:val="single" w:sz="4" w:space="0" w:color="auto"/>
            </w:tcBorders>
            <w:shd w:val="clear" w:color="auto" w:fill="F2F2F2" w:themeFill="background1" w:themeFillShade="F2"/>
          </w:tcPr>
          <w:p w14:paraId="1F55C6C8" w14:textId="77777777" w:rsidR="000B148D" w:rsidRPr="00054570" w:rsidRDefault="000B148D">
            <w:pPr>
              <w:pStyle w:val="Tablebody"/>
              <w:keepNext/>
            </w:pPr>
            <w:r w:rsidRPr="00054570">
              <w:t>Median PFS, months</w:t>
            </w:r>
            <w:r w:rsidRPr="00054570">
              <w:rPr>
                <w:rFonts w:cs="Arial"/>
                <w:vertAlign w:val="superscript"/>
              </w:rPr>
              <w:t>†</w:t>
            </w:r>
          </w:p>
        </w:tc>
        <w:tc>
          <w:tcPr>
            <w:tcW w:w="1959" w:type="dxa"/>
            <w:tcBorders>
              <w:bottom w:val="single" w:sz="4" w:space="0" w:color="auto"/>
            </w:tcBorders>
          </w:tcPr>
          <w:p w14:paraId="38B7B089" w14:textId="77777777" w:rsidR="000B148D" w:rsidRPr="00054570" w:rsidRDefault="000B148D">
            <w:pPr>
              <w:pStyle w:val="Tablebody"/>
              <w:jc w:val="center"/>
              <w:rPr>
                <w:rFonts w:cs="Arial"/>
              </w:rPr>
            </w:pPr>
            <w:r w:rsidRPr="00054570">
              <w:rPr>
                <w:rFonts w:eastAsia="Times New Roman" w:cs="Arial"/>
              </w:rPr>
              <w:t xml:space="preserve">10.1 </w:t>
            </w:r>
          </w:p>
        </w:tc>
        <w:tc>
          <w:tcPr>
            <w:tcW w:w="1959" w:type="dxa"/>
            <w:tcBorders>
              <w:bottom w:val="single" w:sz="4" w:space="0" w:color="auto"/>
            </w:tcBorders>
          </w:tcPr>
          <w:p w14:paraId="79FC555A" w14:textId="77777777" w:rsidR="000B148D" w:rsidRPr="00054570" w:rsidRDefault="000B148D">
            <w:pPr>
              <w:pStyle w:val="Tablebody"/>
              <w:jc w:val="center"/>
              <w:rPr>
                <w:rFonts w:cs="Arial"/>
              </w:rPr>
            </w:pPr>
            <w:r w:rsidRPr="00054570">
              <w:rPr>
                <w:rFonts w:eastAsia="Times New Roman" w:cs="Arial"/>
              </w:rPr>
              <w:t xml:space="preserve">5.4 </w:t>
            </w:r>
          </w:p>
        </w:tc>
      </w:tr>
      <w:tr w:rsidR="000B148D" w:rsidRPr="00054570" w14:paraId="4FE323BF" w14:textId="77777777">
        <w:tc>
          <w:tcPr>
            <w:tcW w:w="5098" w:type="dxa"/>
            <w:tcBorders>
              <w:top w:val="single" w:sz="4" w:space="0" w:color="auto"/>
              <w:bottom w:val="single" w:sz="4" w:space="0" w:color="auto"/>
            </w:tcBorders>
            <w:shd w:val="clear" w:color="auto" w:fill="F2F2F2" w:themeFill="background1" w:themeFillShade="F2"/>
          </w:tcPr>
          <w:p w14:paraId="5E557AE4" w14:textId="77777777" w:rsidR="000B148D" w:rsidRPr="00054570" w:rsidRDefault="000B148D">
            <w:pPr>
              <w:pStyle w:val="Tablebody"/>
              <w:ind w:left="174"/>
            </w:pPr>
            <w:r w:rsidRPr="00054570">
              <w:t>(95% CI)</w:t>
            </w:r>
            <w:r w:rsidRPr="00054570">
              <w:rPr>
                <w:rFonts w:cs="Yu Gothic Light"/>
                <w:vertAlign w:val="superscript"/>
              </w:rPr>
              <w:t>†</w:t>
            </w:r>
          </w:p>
        </w:tc>
        <w:tc>
          <w:tcPr>
            <w:tcW w:w="1959" w:type="dxa"/>
            <w:tcBorders>
              <w:top w:val="single" w:sz="4" w:space="0" w:color="auto"/>
              <w:bottom w:val="single" w:sz="4" w:space="0" w:color="auto"/>
            </w:tcBorders>
          </w:tcPr>
          <w:p w14:paraId="10585DCA" w14:textId="77777777" w:rsidR="000B148D" w:rsidRPr="00054570" w:rsidRDefault="000B148D">
            <w:pPr>
              <w:pStyle w:val="Tablebody"/>
              <w:jc w:val="center"/>
              <w:rPr>
                <w:rFonts w:cs="Arial"/>
              </w:rPr>
            </w:pPr>
            <w:r w:rsidRPr="00054570">
              <w:rPr>
                <w:rFonts w:eastAsia="Times New Roman" w:cs="Arial"/>
              </w:rPr>
              <w:t xml:space="preserve">(9.5, 11.5) </w:t>
            </w:r>
          </w:p>
        </w:tc>
        <w:tc>
          <w:tcPr>
            <w:tcW w:w="1959" w:type="dxa"/>
            <w:tcBorders>
              <w:top w:val="single" w:sz="4" w:space="0" w:color="auto"/>
              <w:bottom w:val="single" w:sz="4" w:space="0" w:color="auto"/>
            </w:tcBorders>
          </w:tcPr>
          <w:p w14:paraId="2912C382" w14:textId="77777777" w:rsidR="000B148D" w:rsidRPr="00054570" w:rsidRDefault="000B148D">
            <w:pPr>
              <w:pStyle w:val="Tablebody"/>
              <w:jc w:val="center"/>
              <w:rPr>
                <w:rFonts w:cs="Arial"/>
              </w:rPr>
            </w:pPr>
            <w:r w:rsidRPr="00054570">
              <w:rPr>
                <w:rFonts w:eastAsia="Times New Roman" w:cs="Arial"/>
              </w:rPr>
              <w:t xml:space="preserve">(4.4, 7.1) </w:t>
            </w:r>
          </w:p>
        </w:tc>
      </w:tr>
      <w:tr w:rsidR="000B148D" w:rsidRPr="00054570" w14:paraId="0FF6996E" w14:textId="77777777">
        <w:tc>
          <w:tcPr>
            <w:tcW w:w="5098" w:type="dxa"/>
            <w:tcBorders>
              <w:top w:val="single" w:sz="4" w:space="0" w:color="auto"/>
              <w:bottom w:val="single" w:sz="4" w:space="0" w:color="auto"/>
            </w:tcBorders>
            <w:shd w:val="clear" w:color="auto" w:fill="F2F2F2" w:themeFill="background1" w:themeFillShade="F2"/>
          </w:tcPr>
          <w:p w14:paraId="57DF4834" w14:textId="77777777" w:rsidR="000B148D" w:rsidRPr="00054570" w:rsidRDefault="000B148D">
            <w:pPr>
              <w:pStyle w:val="Tablebody"/>
              <w:ind w:left="174"/>
            </w:pPr>
            <w:r w:rsidRPr="00054570">
              <w:t>Stratified Cox hazard ratio</w:t>
            </w:r>
            <w:r w:rsidRPr="00054570">
              <w:rPr>
                <w:rFonts w:cs="Arial"/>
                <w:vertAlign w:val="superscript"/>
              </w:rPr>
              <w:t>‡</w:t>
            </w:r>
          </w:p>
        </w:tc>
        <w:tc>
          <w:tcPr>
            <w:tcW w:w="3918" w:type="dxa"/>
            <w:gridSpan w:val="2"/>
            <w:tcBorders>
              <w:top w:val="single" w:sz="4" w:space="0" w:color="auto"/>
              <w:bottom w:val="single" w:sz="4" w:space="0" w:color="auto"/>
            </w:tcBorders>
          </w:tcPr>
          <w:p w14:paraId="2BE1C95C" w14:textId="77777777" w:rsidR="000B148D" w:rsidRPr="00054570" w:rsidRDefault="000B148D">
            <w:pPr>
              <w:pStyle w:val="Tablebody"/>
              <w:jc w:val="center"/>
              <w:rPr>
                <w:rFonts w:cs="Arial"/>
              </w:rPr>
            </w:pPr>
            <w:r w:rsidRPr="00054570">
              <w:rPr>
                <w:rFonts w:eastAsia="Times New Roman" w:cs="Arial"/>
              </w:rPr>
              <w:t>0.5085</w:t>
            </w:r>
          </w:p>
        </w:tc>
      </w:tr>
      <w:tr w:rsidR="000B148D" w:rsidRPr="00054570" w14:paraId="1FA5D4C4" w14:textId="77777777">
        <w:tc>
          <w:tcPr>
            <w:tcW w:w="5098" w:type="dxa"/>
            <w:tcBorders>
              <w:top w:val="single" w:sz="4" w:space="0" w:color="auto"/>
              <w:bottom w:val="single" w:sz="4" w:space="0" w:color="auto"/>
            </w:tcBorders>
            <w:shd w:val="clear" w:color="auto" w:fill="F2F2F2" w:themeFill="background1" w:themeFillShade="F2"/>
          </w:tcPr>
          <w:p w14:paraId="0268BD9F" w14:textId="77777777" w:rsidR="000B148D" w:rsidRPr="00054570" w:rsidRDefault="000B148D">
            <w:pPr>
              <w:pStyle w:val="Tablebody"/>
              <w:ind w:firstLine="306"/>
            </w:pPr>
            <w:r w:rsidRPr="00054570">
              <w:t>(95% CI)</w:t>
            </w:r>
            <w:r w:rsidRPr="00054570">
              <w:rPr>
                <w:rFonts w:cs="Arial"/>
                <w:vertAlign w:val="superscript"/>
              </w:rPr>
              <w:t>§</w:t>
            </w:r>
          </w:p>
        </w:tc>
        <w:tc>
          <w:tcPr>
            <w:tcW w:w="3918" w:type="dxa"/>
            <w:gridSpan w:val="2"/>
            <w:tcBorders>
              <w:top w:val="single" w:sz="4" w:space="0" w:color="auto"/>
              <w:bottom w:val="single" w:sz="4" w:space="0" w:color="auto"/>
            </w:tcBorders>
          </w:tcPr>
          <w:p w14:paraId="073F3A22" w14:textId="77777777" w:rsidR="000B148D" w:rsidRPr="00054570" w:rsidRDefault="000B148D">
            <w:pPr>
              <w:pStyle w:val="Tablebody"/>
              <w:jc w:val="center"/>
              <w:rPr>
                <w:rFonts w:cs="Arial"/>
              </w:rPr>
            </w:pPr>
            <w:r w:rsidRPr="00054570">
              <w:rPr>
                <w:rFonts w:eastAsia="Times New Roman" w:cs="Arial"/>
              </w:rPr>
              <w:t xml:space="preserve">(0.4012, 0.6444)  </w:t>
            </w:r>
          </w:p>
        </w:tc>
      </w:tr>
      <w:tr w:rsidR="000B148D" w:rsidRPr="00054570" w14:paraId="710AD359" w14:textId="77777777">
        <w:tc>
          <w:tcPr>
            <w:tcW w:w="5098" w:type="dxa"/>
            <w:tcBorders>
              <w:top w:val="single" w:sz="4" w:space="0" w:color="auto"/>
              <w:bottom w:val="single" w:sz="4" w:space="0" w:color="auto"/>
            </w:tcBorders>
            <w:shd w:val="clear" w:color="auto" w:fill="F2F2F2" w:themeFill="background1" w:themeFillShade="F2"/>
          </w:tcPr>
          <w:p w14:paraId="37E02655" w14:textId="77777777" w:rsidR="000B148D" w:rsidRPr="00054570" w:rsidRDefault="000B148D">
            <w:pPr>
              <w:pStyle w:val="Tablebody"/>
              <w:ind w:firstLine="306"/>
            </w:pPr>
            <w:r w:rsidRPr="00054570">
              <w:t>Stratified log-rank p-value</w:t>
            </w:r>
          </w:p>
        </w:tc>
        <w:tc>
          <w:tcPr>
            <w:tcW w:w="3918" w:type="dxa"/>
            <w:gridSpan w:val="2"/>
            <w:tcBorders>
              <w:top w:val="single" w:sz="4" w:space="0" w:color="auto"/>
              <w:bottom w:val="single" w:sz="4" w:space="0" w:color="auto"/>
            </w:tcBorders>
          </w:tcPr>
          <w:p w14:paraId="2D2B4BE1" w14:textId="77777777" w:rsidR="000B148D" w:rsidRPr="00054570" w:rsidRDefault="000B148D">
            <w:pPr>
              <w:pStyle w:val="Tablebody"/>
              <w:jc w:val="center"/>
              <w:rPr>
                <w:rFonts w:cs="Arial"/>
              </w:rPr>
            </w:pPr>
            <w:r w:rsidRPr="00054570">
              <w:rPr>
                <w:rFonts w:eastAsia="Times New Roman" w:cs="Arial"/>
              </w:rPr>
              <w:t>&lt;0.0001</w:t>
            </w:r>
          </w:p>
        </w:tc>
      </w:tr>
      <w:tr w:rsidR="000B148D" w:rsidRPr="00054570" w14:paraId="05E8E31C" w14:textId="77777777">
        <w:tc>
          <w:tcPr>
            <w:tcW w:w="9016" w:type="dxa"/>
            <w:gridSpan w:val="3"/>
            <w:tcBorders>
              <w:bottom w:val="single" w:sz="4" w:space="0" w:color="auto"/>
            </w:tcBorders>
            <w:shd w:val="clear" w:color="auto" w:fill="F2F2F2" w:themeFill="background1" w:themeFillShade="F2"/>
            <w:vAlign w:val="center"/>
          </w:tcPr>
          <w:p w14:paraId="475AEAA7" w14:textId="77777777" w:rsidR="000B148D" w:rsidRPr="00054570" w:rsidRDefault="000B148D">
            <w:pPr>
              <w:pStyle w:val="Tablebody"/>
              <w:rPr>
                <w:rFonts w:cs="Arial"/>
              </w:rPr>
            </w:pPr>
            <w:r w:rsidRPr="00054570">
              <w:t>Proportion alive and progression-free at landmark (%)</w:t>
            </w:r>
            <w:r w:rsidRPr="00054570">
              <w:rPr>
                <w:rFonts w:cs="Arial"/>
                <w:vertAlign w:val="superscript"/>
              </w:rPr>
              <w:t>§</w:t>
            </w:r>
          </w:p>
        </w:tc>
      </w:tr>
      <w:tr w:rsidR="000B148D" w:rsidRPr="00054570" w14:paraId="1CDE43C9" w14:textId="77777777">
        <w:tc>
          <w:tcPr>
            <w:tcW w:w="5098" w:type="dxa"/>
            <w:tcBorders>
              <w:top w:val="single" w:sz="4" w:space="0" w:color="auto"/>
              <w:bottom w:val="single" w:sz="4" w:space="0" w:color="auto"/>
            </w:tcBorders>
            <w:shd w:val="clear" w:color="auto" w:fill="F2F2F2" w:themeFill="background1" w:themeFillShade="F2"/>
          </w:tcPr>
          <w:p w14:paraId="525D65DD" w14:textId="77777777" w:rsidR="000B148D" w:rsidRPr="00054570" w:rsidRDefault="000B148D">
            <w:pPr>
              <w:pStyle w:val="Tablebody"/>
              <w:ind w:left="174"/>
            </w:pPr>
            <w:r w:rsidRPr="00054570">
              <w:t>3 months (95% CI)</w:t>
            </w:r>
          </w:p>
        </w:tc>
        <w:tc>
          <w:tcPr>
            <w:tcW w:w="1959" w:type="dxa"/>
            <w:tcBorders>
              <w:top w:val="single" w:sz="4" w:space="0" w:color="auto"/>
              <w:bottom w:val="single" w:sz="4" w:space="0" w:color="auto"/>
            </w:tcBorders>
          </w:tcPr>
          <w:p w14:paraId="6419AE11" w14:textId="69123D33" w:rsidR="000B148D" w:rsidRPr="00294FDC" w:rsidRDefault="00294FDC">
            <w:pPr>
              <w:pStyle w:val="Tablebody"/>
              <w:jc w:val="center"/>
              <w:rPr>
                <w:rFonts w:cs="Arial"/>
                <w:color w:val="000000"/>
                <w:highlight w:val="black"/>
              </w:rPr>
            </w:pPr>
            <w:r w:rsidRPr="00294FDC">
              <w:rPr>
                <w:rFonts w:eastAsia="Times New Roman" w:cs="Arial"/>
                <w:color w:val="000000"/>
                <w:highlight w:val="black"/>
              </w:rPr>
              <w:t>xxxxxxxxxxxxxxxxxx</w:t>
            </w:r>
          </w:p>
        </w:tc>
        <w:tc>
          <w:tcPr>
            <w:tcW w:w="1959" w:type="dxa"/>
            <w:tcBorders>
              <w:top w:val="single" w:sz="4" w:space="0" w:color="auto"/>
              <w:bottom w:val="single" w:sz="4" w:space="0" w:color="auto"/>
            </w:tcBorders>
          </w:tcPr>
          <w:p w14:paraId="4837B9C3" w14:textId="792DA9B1" w:rsidR="000B148D" w:rsidRPr="00294FDC" w:rsidRDefault="00294FDC">
            <w:pPr>
              <w:pStyle w:val="Tablebody"/>
              <w:jc w:val="center"/>
              <w:rPr>
                <w:rFonts w:cs="Arial"/>
                <w:color w:val="000000"/>
                <w:highlight w:val="black"/>
              </w:rPr>
            </w:pPr>
            <w:r w:rsidRPr="00294FDC">
              <w:rPr>
                <w:rFonts w:eastAsia="Times New Roman" w:cs="Arial"/>
                <w:color w:val="000000"/>
                <w:highlight w:val="black"/>
              </w:rPr>
              <w:t>xxxxxxxxxxxxxxxxxx</w:t>
            </w:r>
          </w:p>
        </w:tc>
      </w:tr>
      <w:tr w:rsidR="000B148D" w:rsidRPr="00054570" w14:paraId="64B81690" w14:textId="77777777">
        <w:tc>
          <w:tcPr>
            <w:tcW w:w="5098" w:type="dxa"/>
            <w:tcBorders>
              <w:top w:val="single" w:sz="4" w:space="0" w:color="auto"/>
              <w:bottom w:val="single" w:sz="4" w:space="0" w:color="auto"/>
            </w:tcBorders>
            <w:shd w:val="clear" w:color="auto" w:fill="F2F2F2" w:themeFill="background1" w:themeFillShade="F2"/>
          </w:tcPr>
          <w:p w14:paraId="15DB369C" w14:textId="77777777" w:rsidR="000B148D" w:rsidRPr="00054570" w:rsidRDefault="000B148D">
            <w:pPr>
              <w:pStyle w:val="Tablebody"/>
              <w:ind w:left="174"/>
            </w:pPr>
            <w:r w:rsidRPr="00054570">
              <w:t>6 months (95% CI)</w:t>
            </w:r>
          </w:p>
        </w:tc>
        <w:tc>
          <w:tcPr>
            <w:tcW w:w="1959" w:type="dxa"/>
            <w:tcBorders>
              <w:top w:val="single" w:sz="4" w:space="0" w:color="auto"/>
              <w:bottom w:val="single" w:sz="4" w:space="0" w:color="auto"/>
            </w:tcBorders>
          </w:tcPr>
          <w:p w14:paraId="15CAC82E" w14:textId="470190FE" w:rsidR="000B148D" w:rsidRPr="00294FDC" w:rsidRDefault="00294FDC">
            <w:pPr>
              <w:pStyle w:val="Tablebody"/>
              <w:jc w:val="center"/>
              <w:rPr>
                <w:rFonts w:cs="Arial"/>
                <w:color w:val="000000"/>
                <w:highlight w:val="black"/>
              </w:rPr>
            </w:pPr>
            <w:r w:rsidRPr="00294FDC">
              <w:rPr>
                <w:rFonts w:eastAsia="Times New Roman" w:cs="Arial"/>
                <w:color w:val="000000"/>
                <w:highlight w:val="black"/>
              </w:rPr>
              <w:t>xxxxxxxxxxxxxxxxxx</w:t>
            </w:r>
          </w:p>
        </w:tc>
        <w:tc>
          <w:tcPr>
            <w:tcW w:w="1959" w:type="dxa"/>
            <w:tcBorders>
              <w:top w:val="single" w:sz="4" w:space="0" w:color="auto"/>
              <w:bottom w:val="single" w:sz="4" w:space="0" w:color="auto"/>
            </w:tcBorders>
          </w:tcPr>
          <w:p w14:paraId="1F6E4775" w14:textId="60AB752A" w:rsidR="000B148D" w:rsidRPr="00294FDC" w:rsidRDefault="00294FDC">
            <w:pPr>
              <w:pStyle w:val="Tablebody"/>
              <w:jc w:val="center"/>
              <w:rPr>
                <w:rFonts w:cs="Arial"/>
                <w:color w:val="000000"/>
                <w:highlight w:val="black"/>
              </w:rPr>
            </w:pPr>
            <w:r w:rsidRPr="00294FDC">
              <w:rPr>
                <w:rFonts w:eastAsia="Times New Roman" w:cs="Arial"/>
                <w:color w:val="000000"/>
                <w:highlight w:val="black"/>
              </w:rPr>
              <w:t>xxxxxxxxxxxxxxxxxx</w:t>
            </w:r>
          </w:p>
        </w:tc>
      </w:tr>
      <w:tr w:rsidR="000B148D" w:rsidRPr="00054570" w14:paraId="2CEFFB5E" w14:textId="77777777">
        <w:tc>
          <w:tcPr>
            <w:tcW w:w="5098" w:type="dxa"/>
            <w:tcBorders>
              <w:top w:val="single" w:sz="4" w:space="0" w:color="auto"/>
              <w:bottom w:val="single" w:sz="4" w:space="0" w:color="auto"/>
            </w:tcBorders>
            <w:shd w:val="clear" w:color="auto" w:fill="F2F2F2" w:themeFill="background1" w:themeFillShade="F2"/>
          </w:tcPr>
          <w:p w14:paraId="054681F6" w14:textId="77777777" w:rsidR="000B148D" w:rsidRPr="00054570" w:rsidRDefault="000B148D">
            <w:pPr>
              <w:pStyle w:val="Tablebody"/>
              <w:ind w:left="174"/>
            </w:pPr>
            <w:r w:rsidRPr="00054570">
              <w:t>9 months (95% CI)</w:t>
            </w:r>
          </w:p>
        </w:tc>
        <w:tc>
          <w:tcPr>
            <w:tcW w:w="1959" w:type="dxa"/>
            <w:tcBorders>
              <w:top w:val="single" w:sz="4" w:space="0" w:color="auto"/>
              <w:bottom w:val="single" w:sz="4" w:space="0" w:color="auto"/>
            </w:tcBorders>
          </w:tcPr>
          <w:p w14:paraId="7CF46034" w14:textId="13A78F09" w:rsidR="000B148D" w:rsidRPr="00294FDC" w:rsidRDefault="00294FDC">
            <w:pPr>
              <w:pStyle w:val="Tablebody"/>
              <w:jc w:val="center"/>
              <w:rPr>
                <w:rFonts w:cs="Arial"/>
                <w:color w:val="000000"/>
                <w:highlight w:val="black"/>
              </w:rPr>
            </w:pPr>
            <w:r w:rsidRPr="00294FDC">
              <w:rPr>
                <w:rFonts w:eastAsia="Times New Roman" w:cs="Arial"/>
                <w:color w:val="000000"/>
                <w:highlight w:val="black"/>
              </w:rPr>
              <w:t>xxxxxxxxxxxxxxxxxx</w:t>
            </w:r>
          </w:p>
        </w:tc>
        <w:tc>
          <w:tcPr>
            <w:tcW w:w="1959" w:type="dxa"/>
            <w:tcBorders>
              <w:top w:val="single" w:sz="4" w:space="0" w:color="auto"/>
              <w:bottom w:val="single" w:sz="4" w:space="0" w:color="auto"/>
            </w:tcBorders>
          </w:tcPr>
          <w:p w14:paraId="461BA0AE" w14:textId="5B309CE8" w:rsidR="000B148D" w:rsidRPr="00294FDC" w:rsidRDefault="00294FDC">
            <w:pPr>
              <w:pStyle w:val="Tablebody"/>
              <w:jc w:val="center"/>
              <w:rPr>
                <w:rFonts w:cs="Arial"/>
                <w:color w:val="000000"/>
                <w:highlight w:val="black"/>
              </w:rPr>
            </w:pPr>
            <w:r w:rsidRPr="00294FDC">
              <w:rPr>
                <w:rFonts w:eastAsia="Times New Roman" w:cs="Arial"/>
                <w:color w:val="000000"/>
                <w:highlight w:val="black"/>
              </w:rPr>
              <w:t>xxxxxxxxxxxxxxxxxx</w:t>
            </w:r>
          </w:p>
        </w:tc>
      </w:tr>
      <w:tr w:rsidR="000B148D" w:rsidRPr="00054570" w14:paraId="2968A63B" w14:textId="77777777">
        <w:tc>
          <w:tcPr>
            <w:tcW w:w="5098" w:type="dxa"/>
            <w:tcBorders>
              <w:top w:val="single" w:sz="4" w:space="0" w:color="auto"/>
              <w:bottom w:val="single" w:sz="4" w:space="0" w:color="auto"/>
            </w:tcBorders>
            <w:shd w:val="clear" w:color="auto" w:fill="F2F2F2" w:themeFill="background1" w:themeFillShade="F2"/>
          </w:tcPr>
          <w:p w14:paraId="0D8B1BEB" w14:textId="77777777" w:rsidR="000B148D" w:rsidRPr="00054570" w:rsidRDefault="000B148D">
            <w:pPr>
              <w:pStyle w:val="Tablebody"/>
              <w:ind w:left="174"/>
            </w:pPr>
            <w:r w:rsidRPr="00054570">
              <w:t>12 months (95% CI)</w:t>
            </w:r>
          </w:p>
        </w:tc>
        <w:tc>
          <w:tcPr>
            <w:tcW w:w="1959" w:type="dxa"/>
            <w:tcBorders>
              <w:top w:val="single" w:sz="4" w:space="0" w:color="auto"/>
              <w:bottom w:val="single" w:sz="4" w:space="0" w:color="auto"/>
            </w:tcBorders>
          </w:tcPr>
          <w:p w14:paraId="2CBAC6E3" w14:textId="718686A0" w:rsidR="000B148D" w:rsidRPr="00294FDC" w:rsidRDefault="00294FDC">
            <w:pPr>
              <w:pStyle w:val="Tablebody"/>
              <w:jc w:val="center"/>
              <w:rPr>
                <w:rFonts w:cs="Arial"/>
                <w:color w:val="000000"/>
                <w:highlight w:val="black"/>
              </w:rPr>
            </w:pPr>
            <w:r w:rsidRPr="00294FDC">
              <w:rPr>
                <w:rFonts w:eastAsia="Times New Roman" w:cs="Arial"/>
                <w:color w:val="000000"/>
                <w:highlight w:val="black"/>
              </w:rPr>
              <w:t>xxxxxxxxxxxxxxxxxx</w:t>
            </w:r>
          </w:p>
        </w:tc>
        <w:tc>
          <w:tcPr>
            <w:tcW w:w="1959" w:type="dxa"/>
            <w:tcBorders>
              <w:top w:val="single" w:sz="4" w:space="0" w:color="auto"/>
              <w:bottom w:val="single" w:sz="4" w:space="0" w:color="auto"/>
            </w:tcBorders>
          </w:tcPr>
          <w:p w14:paraId="146CB501" w14:textId="5D9CA507" w:rsidR="000B148D" w:rsidRPr="00294FDC" w:rsidRDefault="00294FDC">
            <w:pPr>
              <w:pStyle w:val="Tablebody"/>
              <w:jc w:val="center"/>
              <w:rPr>
                <w:rFonts w:cs="Arial"/>
                <w:color w:val="000000"/>
                <w:highlight w:val="black"/>
              </w:rPr>
            </w:pPr>
            <w:r w:rsidRPr="00294FDC">
              <w:rPr>
                <w:rFonts w:eastAsia="Times New Roman" w:cs="Arial"/>
                <w:color w:val="000000"/>
                <w:highlight w:val="black"/>
              </w:rPr>
              <w:t>xxxxxxxxxxxxxxxxxx</w:t>
            </w:r>
          </w:p>
        </w:tc>
      </w:tr>
      <w:tr w:rsidR="000B148D" w:rsidRPr="00054570" w14:paraId="62E71950" w14:textId="77777777">
        <w:tc>
          <w:tcPr>
            <w:tcW w:w="5098" w:type="dxa"/>
            <w:tcBorders>
              <w:top w:val="single" w:sz="4" w:space="0" w:color="auto"/>
              <w:bottom w:val="single" w:sz="4" w:space="0" w:color="auto"/>
            </w:tcBorders>
            <w:shd w:val="clear" w:color="auto" w:fill="F2F2F2" w:themeFill="background1" w:themeFillShade="F2"/>
          </w:tcPr>
          <w:p w14:paraId="2EBDE81F" w14:textId="77777777" w:rsidR="000B148D" w:rsidRPr="00054570" w:rsidRDefault="000B148D">
            <w:pPr>
              <w:pStyle w:val="Tablebody"/>
              <w:keepNext/>
              <w:ind w:left="176"/>
            </w:pPr>
            <w:r w:rsidRPr="00054570">
              <w:t>18 months (95% CI)</w:t>
            </w:r>
          </w:p>
        </w:tc>
        <w:tc>
          <w:tcPr>
            <w:tcW w:w="1959" w:type="dxa"/>
            <w:tcBorders>
              <w:top w:val="single" w:sz="4" w:space="0" w:color="auto"/>
              <w:bottom w:val="single" w:sz="4" w:space="0" w:color="auto"/>
            </w:tcBorders>
          </w:tcPr>
          <w:p w14:paraId="467EBA10" w14:textId="4017BC67" w:rsidR="000B148D" w:rsidRPr="00294FDC" w:rsidRDefault="00294FDC">
            <w:pPr>
              <w:pStyle w:val="Tablebody"/>
              <w:jc w:val="center"/>
              <w:rPr>
                <w:rFonts w:cs="Arial"/>
                <w:color w:val="000000"/>
                <w:highlight w:val="black"/>
              </w:rPr>
            </w:pPr>
            <w:r w:rsidRPr="00294FDC">
              <w:rPr>
                <w:rFonts w:eastAsia="Times New Roman" w:cs="Arial"/>
                <w:color w:val="000000"/>
                <w:highlight w:val="black"/>
              </w:rPr>
              <w:t>xxxxxxxxxxxxxxxxxx</w:t>
            </w:r>
          </w:p>
        </w:tc>
        <w:tc>
          <w:tcPr>
            <w:tcW w:w="1959" w:type="dxa"/>
            <w:tcBorders>
              <w:top w:val="single" w:sz="4" w:space="0" w:color="auto"/>
              <w:bottom w:val="single" w:sz="4" w:space="0" w:color="auto"/>
            </w:tcBorders>
          </w:tcPr>
          <w:p w14:paraId="06B4D8A0" w14:textId="442EB050" w:rsidR="000B148D" w:rsidRPr="00294FDC" w:rsidRDefault="00294FDC">
            <w:pPr>
              <w:pStyle w:val="Tablebody"/>
              <w:jc w:val="center"/>
              <w:rPr>
                <w:rFonts w:cs="Arial"/>
                <w:color w:val="000000"/>
                <w:highlight w:val="black"/>
              </w:rPr>
            </w:pPr>
            <w:r w:rsidRPr="00294FDC">
              <w:rPr>
                <w:rFonts w:eastAsia="Times New Roman" w:cs="Arial"/>
                <w:color w:val="000000"/>
                <w:highlight w:val="black"/>
              </w:rPr>
              <w:t>xxxxxxxxxxxxxxxxx</w:t>
            </w:r>
          </w:p>
        </w:tc>
      </w:tr>
      <w:tr w:rsidR="000B148D" w:rsidRPr="00054570" w14:paraId="1060FEEA" w14:textId="77777777">
        <w:tc>
          <w:tcPr>
            <w:tcW w:w="5098" w:type="dxa"/>
            <w:tcBorders>
              <w:top w:val="single" w:sz="4" w:space="0" w:color="auto"/>
            </w:tcBorders>
            <w:shd w:val="clear" w:color="auto" w:fill="F2F2F2" w:themeFill="background1" w:themeFillShade="F2"/>
          </w:tcPr>
          <w:p w14:paraId="56C2EBD3" w14:textId="77777777" w:rsidR="000B148D" w:rsidRPr="00054570" w:rsidRDefault="000B148D">
            <w:pPr>
              <w:pStyle w:val="Tablebody"/>
              <w:keepNext/>
              <w:ind w:left="176"/>
            </w:pPr>
            <w:r w:rsidRPr="00054570">
              <w:t>24 months (95% CI)</w:t>
            </w:r>
          </w:p>
        </w:tc>
        <w:tc>
          <w:tcPr>
            <w:tcW w:w="1959" w:type="dxa"/>
            <w:tcBorders>
              <w:top w:val="single" w:sz="4" w:space="0" w:color="auto"/>
            </w:tcBorders>
          </w:tcPr>
          <w:p w14:paraId="0EDDEEB9" w14:textId="71FC0FD2" w:rsidR="000B148D" w:rsidRPr="00294FDC" w:rsidRDefault="00294FDC">
            <w:pPr>
              <w:pStyle w:val="Tablebody"/>
              <w:jc w:val="center"/>
              <w:rPr>
                <w:rFonts w:cs="Arial"/>
                <w:color w:val="000000"/>
                <w:highlight w:val="black"/>
              </w:rPr>
            </w:pPr>
            <w:r w:rsidRPr="00294FDC">
              <w:rPr>
                <w:rFonts w:eastAsia="Times New Roman" w:cs="Arial"/>
                <w:color w:val="000000"/>
                <w:highlight w:val="black"/>
              </w:rPr>
              <w:t>xxxxxxxxxxxxxxxxxx</w:t>
            </w:r>
          </w:p>
        </w:tc>
        <w:tc>
          <w:tcPr>
            <w:tcW w:w="1959" w:type="dxa"/>
            <w:tcBorders>
              <w:top w:val="single" w:sz="4" w:space="0" w:color="auto"/>
            </w:tcBorders>
          </w:tcPr>
          <w:p w14:paraId="731BE65A" w14:textId="5BD86985" w:rsidR="000B148D" w:rsidRPr="00294FDC" w:rsidRDefault="00294FDC">
            <w:pPr>
              <w:pStyle w:val="Tablebody"/>
              <w:jc w:val="center"/>
              <w:rPr>
                <w:rFonts w:cs="Arial"/>
                <w:color w:val="000000"/>
                <w:highlight w:val="black"/>
              </w:rPr>
            </w:pPr>
            <w:r w:rsidRPr="00294FDC">
              <w:rPr>
                <w:rFonts w:eastAsia="Times New Roman" w:cs="Arial"/>
                <w:color w:val="000000"/>
                <w:highlight w:val="black"/>
              </w:rPr>
              <w:t>xxxxxxxxxxxxxxxx</w:t>
            </w:r>
          </w:p>
        </w:tc>
      </w:tr>
    </w:tbl>
    <w:p w14:paraId="741FFFFE" w14:textId="5151D966" w:rsidR="000B148D" w:rsidRPr="00054570" w:rsidRDefault="000B148D" w:rsidP="000B148D">
      <w:pPr>
        <w:pStyle w:val="Footnotes"/>
      </w:pPr>
      <w:r w:rsidRPr="00054570">
        <w:t xml:space="preserve">*Censoring reasons included: </w:t>
      </w:r>
      <w:r w:rsidR="00294FDC" w:rsidRPr="00294FDC">
        <w:rPr>
          <w:color w:val="000000"/>
          <w:highlight w:val="black"/>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r w:rsidRPr="00054570">
        <w:t xml:space="preserve">. </w:t>
      </w:r>
      <w:r w:rsidRPr="00054570">
        <w:br/>
      </w:r>
      <w:r w:rsidRPr="00054570">
        <w:rPr>
          <w:rFonts w:cs="Arial"/>
        </w:rPr>
        <w:t>†</w:t>
      </w:r>
      <w:r w:rsidRPr="005C518C">
        <w:t>Median PFS is from the KM analysis</w:t>
      </w:r>
      <w:r w:rsidRPr="0009471E">
        <w:t>. CI for median was computed using the Brookmeyer-Crowley method.</w:t>
      </w:r>
      <w:r w:rsidRPr="00054570">
        <w:t xml:space="preserve"> </w:t>
      </w:r>
      <w:r w:rsidRPr="00054570">
        <w:br/>
      </w:r>
      <w:r w:rsidRPr="00054570">
        <w:rPr>
          <w:rFonts w:cs="Arial"/>
        </w:rPr>
        <w:t>‡</w:t>
      </w:r>
      <w:r w:rsidRPr="00054570">
        <w:rPr>
          <w:rFonts w:cs="Yu Gothic Light"/>
        </w:rPr>
        <w:t>Two</w:t>
      </w:r>
      <w:r w:rsidRPr="00054570">
        <w:t xml:space="preserve">-sided p-value is from the stratified log-rank test; hazard ratio and 95% CI are from the stratified Cox proportional hazards model with stratification factors: HER2 status, number of prior lines of chemotherapy, HR/CDK status, as defined by the IXRS. </w:t>
      </w:r>
      <w:r w:rsidRPr="00054570">
        <w:br/>
      </w:r>
      <w:r w:rsidRPr="0009471E">
        <w:rPr>
          <w:rFonts w:cs="Arial"/>
        </w:rPr>
        <w:t>§</w:t>
      </w:r>
      <w:r w:rsidRPr="0009471E">
        <w:t>Estimate and CI for PFS rate at the specified time point are from the KM analysis.</w:t>
      </w:r>
      <w:r w:rsidRPr="00054570">
        <w:br/>
        <w:t xml:space="preserve">Abbreviations: BICR, blinded independent central review; CI, confidence interval; </w:t>
      </w:r>
      <w:r w:rsidR="00F50DBB">
        <w:t xml:space="preserve">HR-positive, hormone receptor-positive; </w:t>
      </w:r>
      <w:r w:rsidRPr="00054570">
        <w:t xml:space="preserve">PFS, progression-free survival; T-DXd, trastuzumab deruxtecan; TPC, treatment of physician’s choice. </w:t>
      </w:r>
      <w:r w:rsidRPr="00054570">
        <w:br/>
        <w:t>Source: Modi et al., 2022</w:t>
      </w:r>
      <w:r>
        <w:fldChar w:fldCharType="begin"/>
      </w:r>
      <w:r w:rsidR="00CA6345">
        <w:instrText xml:space="preserve"> ADDIN ZOTERO_ITEM CSL_CITATION {"citationID":"ZDESmLns","properties":{"formattedCitation":"\\super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054570">
        <w:t>; Daiichi Sankyo Inc., 2022 (CSR; Data on File).</w:t>
      </w:r>
      <w:r w:rsidRPr="00054570">
        <w:fldChar w:fldCharType="begin"/>
      </w:r>
      <w:r w:rsidR="00CA6345">
        <w:instrText xml:space="preserve"> ADDIN ZOTERO_ITEM CSL_CITATION {"citationID":"NfjGON1c","properties":{"formattedCitation":"\\super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p>
    <w:p w14:paraId="0AAC9AD4" w14:textId="77777777" w:rsidR="000B148D" w:rsidRPr="00054570" w:rsidRDefault="000B148D" w:rsidP="003C648C">
      <w:pPr>
        <w:pStyle w:val="Heading4"/>
      </w:pPr>
      <w:r w:rsidRPr="00054570">
        <w:t>Key secondary efficacy</w:t>
      </w:r>
    </w:p>
    <w:p w14:paraId="1ABC6BB1" w14:textId="77777777" w:rsidR="000B148D" w:rsidRPr="00612D3F" w:rsidRDefault="000B148D" w:rsidP="000B148D">
      <w:pPr>
        <w:pStyle w:val="Heading5"/>
        <w:numPr>
          <w:ilvl w:val="0"/>
          <w:numId w:val="0"/>
        </w:numPr>
        <w:ind w:left="1276" w:hanging="1276"/>
      </w:pPr>
      <w:r w:rsidRPr="00314A60">
        <w:rPr>
          <w:bCs/>
        </w:rPr>
        <w:t xml:space="preserve">Key secondary efficacy </w:t>
      </w:r>
      <w:r w:rsidRPr="0086718D">
        <w:rPr>
          <w:bCs/>
        </w:rPr>
        <w:t>|</w:t>
      </w:r>
      <w:r w:rsidRPr="00612D3F">
        <w:t xml:space="preserve"> PFS by BICR in FAS </w:t>
      </w:r>
    </w:p>
    <w:p w14:paraId="497C3360" w14:textId="412E5934" w:rsidR="000B148D" w:rsidRPr="00054570" w:rsidRDefault="000B148D" w:rsidP="000B148D">
      <w:pPr>
        <w:pStyle w:val="Body"/>
      </w:pPr>
      <w:r w:rsidRPr="00054570">
        <w:t xml:space="preserve">In the FAS at DCO, the median duration of follow-up was </w:t>
      </w:r>
      <w:r w:rsidR="00294FDC" w:rsidRPr="00294FDC">
        <w:rPr>
          <w:color w:val="000000"/>
          <w:highlight w:val="black"/>
        </w:rPr>
        <w:t>xxxx</w:t>
      </w:r>
      <w:r w:rsidRPr="001822FA">
        <w:t xml:space="preserve"> </w:t>
      </w:r>
      <w:r w:rsidRPr="00054570">
        <w:t xml:space="preserve">months and </w:t>
      </w:r>
      <w:r>
        <w:t xml:space="preserve">events of disease progression or death were reported in </w:t>
      </w:r>
      <w:r w:rsidR="00294FDC" w:rsidRPr="00294FDC">
        <w:rPr>
          <w:color w:val="000000"/>
          <w:highlight w:val="black"/>
        </w:rPr>
        <w:t>xxx</w:t>
      </w:r>
      <w:r w:rsidRPr="00054570">
        <w:t xml:space="preserve"> patients (</w:t>
      </w:r>
      <w:r w:rsidR="00294FDC" w:rsidRPr="00294FDC">
        <w:rPr>
          <w:color w:val="000000"/>
          <w:highlight w:val="black"/>
        </w:rPr>
        <w:t>xxxxx</w:t>
      </w:r>
      <w:r w:rsidRPr="00054570">
        <w:t xml:space="preserve">) in the T-DXd arm </w:t>
      </w:r>
      <w:r>
        <w:t xml:space="preserve">and </w:t>
      </w:r>
      <w:r w:rsidR="00294FDC" w:rsidRPr="00294FDC">
        <w:rPr>
          <w:color w:val="000000"/>
          <w:highlight w:val="black"/>
        </w:rPr>
        <w:t>xxx</w:t>
      </w:r>
      <w:r w:rsidRPr="00054570">
        <w:t xml:space="preserve"> patients (</w:t>
      </w:r>
      <w:r w:rsidR="00294FDC" w:rsidRPr="00294FDC">
        <w:rPr>
          <w:color w:val="000000"/>
          <w:highlight w:val="black"/>
        </w:rPr>
        <w:t>xxxxx</w:t>
      </w:r>
      <w:r w:rsidRPr="00054570">
        <w:t>) in the TPC arm (</w:t>
      </w:r>
      <w:r w:rsidRPr="00054570">
        <w:rPr>
          <w:b/>
          <w:bCs/>
        </w:rPr>
        <w:fldChar w:fldCharType="begin"/>
      </w:r>
      <w:r w:rsidRPr="00054570">
        <w:rPr>
          <w:b/>
          <w:bCs/>
        </w:rPr>
        <w:instrText xml:space="preserve"> REF _Ref124249969 \h  \* MERGEFORMAT </w:instrText>
      </w:r>
      <w:r w:rsidRPr="00054570">
        <w:rPr>
          <w:b/>
          <w:bCs/>
        </w:rPr>
      </w:r>
      <w:r w:rsidRPr="00054570">
        <w:rPr>
          <w:b/>
          <w:bCs/>
        </w:rPr>
        <w:fldChar w:fldCharType="separate"/>
      </w:r>
      <w:r w:rsidR="00145F42" w:rsidRPr="00145F42">
        <w:rPr>
          <w:b/>
          <w:bCs/>
        </w:rPr>
        <w:t xml:space="preserve">Figure </w:t>
      </w:r>
      <w:r w:rsidR="00145F42" w:rsidRPr="00145F42">
        <w:rPr>
          <w:b/>
          <w:bCs/>
          <w:noProof/>
        </w:rPr>
        <w:t>12</w:t>
      </w:r>
      <w:r w:rsidRPr="00054570">
        <w:rPr>
          <w:b/>
          <w:bCs/>
        </w:rPr>
        <w:fldChar w:fldCharType="end"/>
      </w:r>
      <w:r w:rsidRPr="00054570">
        <w:rPr>
          <w:b/>
          <w:bCs/>
        </w:rPr>
        <w:t xml:space="preserve">, </w:t>
      </w:r>
      <w:r w:rsidRPr="00054570">
        <w:rPr>
          <w:b/>
          <w:bCs/>
        </w:rPr>
        <w:fldChar w:fldCharType="begin"/>
      </w:r>
      <w:r w:rsidRPr="00054570">
        <w:rPr>
          <w:b/>
          <w:bCs/>
        </w:rPr>
        <w:instrText xml:space="preserve"> REF _Ref124249982 \h  \* MERGEFORMAT </w:instrText>
      </w:r>
      <w:r w:rsidRPr="00054570">
        <w:rPr>
          <w:b/>
          <w:bCs/>
        </w:rPr>
      </w:r>
      <w:r w:rsidRPr="00054570">
        <w:rPr>
          <w:b/>
          <w:bCs/>
        </w:rPr>
        <w:fldChar w:fldCharType="separate"/>
      </w:r>
      <w:r w:rsidR="00145F42" w:rsidRPr="00145F42">
        <w:rPr>
          <w:b/>
          <w:bCs/>
        </w:rPr>
        <w:t xml:space="preserve">Table </w:t>
      </w:r>
      <w:r w:rsidR="00145F42" w:rsidRPr="00145F42">
        <w:rPr>
          <w:b/>
          <w:bCs/>
          <w:noProof/>
        </w:rPr>
        <w:t>18</w:t>
      </w:r>
      <w:r w:rsidRPr="00054570">
        <w:rPr>
          <w:b/>
          <w:bCs/>
        </w:rPr>
        <w:fldChar w:fldCharType="end"/>
      </w:r>
      <w:r w:rsidRPr="00054570">
        <w:t>).</w:t>
      </w:r>
      <w:r w:rsidRPr="00054570">
        <w:fldChar w:fldCharType="begin"/>
      </w:r>
      <w:r w:rsidR="00CA6345">
        <w:instrText xml:space="preserve"> ADDIN ZOTERO_ITEM CSL_CITATION {"citationID":"UQvTGkqc","properties":{"formattedCitation":"\\super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r w:rsidRPr="00054570">
        <w:t xml:space="preserve"> Of these, </w:t>
      </w:r>
      <w:r w:rsidR="00294FDC" w:rsidRPr="00294FDC">
        <w:rPr>
          <w:color w:val="000000"/>
          <w:highlight w:val="black"/>
        </w:rPr>
        <w:t>xxx</w:t>
      </w:r>
      <w:r w:rsidRPr="00314A60">
        <w:rPr>
          <w:u w:val="single"/>
        </w:rPr>
        <w:t xml:space="preserve"> </w:t>
      </w:r>
      <w:r w:rsidRPr="00054570">
        <w:t>(</w:t>
      </w:r>
      <w:r w:rsidR="00294FDC" w:rsidRPr="00294FDC">
        <w:rPr>
          <w:color w:val="000000"/>
          <w:highlight w:val="black"/>
        </w:rPr>
        <w:t>xxxxx</w:t>
      </w:r>
      <w:r w:rsidRPr="00054570">
        <w:t xml:space="preserve">) in the T-DXd arm </w:t>
      </w:r>
      <w:r>
        <w:t xml:space="preserve">and </w:t>
      </w:r>
      <w:r w:rsidR="00294FDC" w:rsidRPr="00294FDC">
        <w:rPr>
          <w:color w:val="000000"/>
          <w:highlight w:val="black"/>
        </w:rPr>
        <w:t>xxx</w:t>
      </w:r>
      <w:r>
        <w:t xml:space="preserve"> (</w:t>
      </w:r>
      <w:r w:rsidR="00294FDC" w:rsidRPr="00294FDC">
        <w:rPr>
          <w:color w:val="000000"/>
          <w:highlight w:val="black"/>
        </w:rPr>
        <w:t>xxxxx</w:t>
      </w:r>
      <w:r>
        <w:t xml:space="preserve">) in the TPC arm </w:t>
      </w:r>
      <w:r w:rsidRPr="00054570">
        <w:t>had disease progression</w:t>
      </w:r>
      <w:r>
        <w:t>.</w:t>
      </w:r>
      <w:r w:rsidRPr="00054570">
        <w:fldChar w:fldCharType="begin"/>
      </w:r>
      <w:r w:rsidR="00CA6345">
        <w:instrText xml:space="preserve"> ADDIN ZOTERO_ITEM CSL_CITATION {"citationID":"kYbzlYeB","properties":{"formattedCitation":"\\super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r w:rsidRPr="00054570">
        <w:t xml:space="preserve"> Death was the recorded PFS event in </w:t>
      </w:r>
      <w:r w:rsidR="00294FDC" w:rsidRPr="00294FDC">
        <w:rPr>
          <w:color w:val="000000"/>
          <w:highlight w:val="black"/>
        </w:rPr>
        <w:t>xx</w:t>
      </w:r>
      <w:r w:rsidRPr="00054570">
        <w:t> patients (</w:t>
      </w:r>
      <w:r w:rsidR="00294FDC" w:rsidRPr="00294FDC">
        <w:rPr>
          <w:color w:val="000000"/>
          <w:highlight w:val="black"/>
        </w:rPr>
        <w:t>xxxx</w:t>
      </w:r>
      <w:r w:rsidRPr="00054570">
        <w:t>) in the T</w:t>
      </w:r>
      <w:r w:rsidRPr="00054570">
        <w:noBreakHyphen/>
        <w:t xml:space="preserve">DXd arm and </w:t>
      </w:r>
      <w:r w:rsidR="00294FDC" w:rsidRPr="00294FDC">
        <w:rPr>
          <w:color w:val="000000"/>
          <w:highlight w:val="black"/>
        </w:rPr>
        <w:t>xx</w:t>
      </w:r>
      <w:r w:rsidRPr="00054570">
        <w:t> patients (</w:t>
      </w:r>
      <w:r w:rsidR="00294FDC" w:rsidRPr="00294FDC">
        <w:rPr>
          <w:color w:val="000000"/>
          <w:highlight w:val="black"/>
        </w:rPr>
        <w:t>xxxx</w:t>
      </w:r>
      <w:r w:rsidRPr="00054570">
        <w:t>) in the TPC arm.</w:t>
      </w:r>
      <w:r w:rsidRPr="00054570">
        <w:fldChar w:fldCharType="begin"/>
      </w:r>
      <w:r w:rsidR="00CA6345">
        <w:instrText xml:space="preserve"> ADDIN ZOTERO_ITEM CSL_CITATION {"citationID":"lbumXS7B","properties":{"formattedCitation":"\\super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p>
    <w:p w14:paraId="3CCBCE0E" w14:textId="507480E7" w:rsidR="000B148D" w:rsidRPr="00054570" w:rsidRDefault="000B148D" w:rsidP="000B148D">
      <w:pPr>
        <w:pStyle w:val="Body"/>
      </w:pPr>
      <w:r w:rsidRPr="00054570">
        <w:lastRenderedPageBreak/>
        <w:t xml:space="preserve">At DCO, </w:t>
      </w:r>
      <w:r w:rsidR="00294FDC" w:rsidRPr="00294FDC">
        <w:rPr>
          <w:color w:val="000000"/>
          <w:highlight w:val="black"/>
        </w:rPr>
        <w:t>xxx</w:t>
      </w:r>
      <w:r w:rsidRPr="00054570">
        <w:t xml:space="preserve"> (</w:t>
      </w:r>
      <w:r w:rsidR="00294FDC" w:rsidRPr="00294FDC">
        <w:rPr>
          <w:color w:val="000000"/>
          <w:highlight w:val="black"/>
        </w:rPr>
        <w:t>xxxxx</w:t>
      </w:r>
      <w:r w:rsidRPr="00054570">
        <w:t xml:space="preserve">) patients in the T-DXd arm and </w:t>
      </w:r>
      <w:r w:rsidR="00294FDC" w:rsidRPr="00294FDC">
        <w:rPr>
          <w:color w:val="000000"/>
          <w:highlight w:val="black"/>
        </w:rPr>
        <w:t>xx</w:t>
      </w:r>
      <w:r w:rsidRPr="00054570">
        <w:t xml:space="preserve"> (</w:t>
      </w:r>
      <w:r w:rsidR="00294FDC" w:rsidRPr="00294FDC">
        <w:rPr>
          <w:color w:val="000000"/>
          <w:highlight w:val="black"/>
        </w:rPr>
        <w:t>xxxxx</w:t>
      </w:r>
      <w:r w:rsidRPr="00054570">
        <w:t>) of patients in the TPC arm were censored.</w:t>
      </w:r>
      <w:r w:rsidRPr="00054570">
        <w:fldChar w:fldCharType="begin"/>
      </w:r>
      <w:r w:rsidR="00CA6345">
        <w:instrText xml:space="preserve"> ADDIN ZOTERO_ITEM CSL_CITATION {"citationID":"vSCKJ9C4","properties":{"formattedCitation":"\\super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r w:rsidRPr="00054570">
        <w:t xml:space="preserve"> Of these, </w:t>
      </w:r>
      <w:r w:rsidR="00294FDC" w:rsidRPr="00294FDC">
        <w:rPr>
          <w:color w:val="000000"/>
          <w:highlight w:val="black"/>
        </w:rPr>
        <w:t>xx</w:t>
      </w:r>
      <w:r w:rsidRPr="006D6195">
        <w:t> </w:t>
      </w:r>
      <w:r w:rsidRPr="00054570">
        <w:t>patients (</w:t>
      </w:r>
      <w:r w:rsidR="00294FDC" w:rsidRPr="00294FDC">
        <w:rPr>
          <w:color w:val="000000"/>
          <w:highlight w:val="black"/>
        </w:rPr>
        <w:t>xxxxx</w:t>
      </w:r>
      <w:r w:rsidRPr="00054570">
        <w:t>) in the T</w:t>
      </w:r>
      <w:r w:rsidRPr="00054570">
        <w:noBreakHyphen/>
        <w:t xml:space="preserve">DXd arm and </w:t>
      </w:r>
      <w:r w:rsidR="00294FDC" w:rsidRPr="00294FDC">
        <w:rPr>
          <w:color w:val="000000"/>
          <w:highlight w:val="black"/>
        </w:rPr>
        <w:t>xxxxx</w:t>
      </w:r>
      <w:r w:rsidRPr="00054570">
        <w:t> patients (</w:t>
      </w:r>
      <w:r w:rsidR="00294FDC" w:rsidRPr="00294FDC">
        <w:rPr>
          <w:color w:val="000000"/>
          <w:highlight w:val="black"/>
        </w:rPr>
        <w:t>xxxx</w:t>
      </w:r>
      <w:r w:rsidRPr="00054570">
        <w:t>) in the TPC arm were recorded as ongoing without an event.</w:t>
      </w:r>
      <w:r w:rsidRPr="00054570">
        <w:fldChar w:fldCharType="begin"/>
      </w:r>
      <w:r w:rsidR="00CA6345">
        <w:instrText xml:space="preserve"> ADDIN ZOTERO_ITEM CSL_CITATION {"citationID":"hStMz3sA","properties":{"formattedCitation":"\\super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r w:rsidRPr="00054570">
        <w:t xml:space="preserve"> The remaining </w:t>
      </w:r>
      <w:r w:rsidR="00294FDC" w:rsidRPr="00294FDC">
        <w:rPr>
          <w:color w:val="000000"/>
          <w:highlight w:val="black"/>
        </w:rPr>
        <w:t>xx</w:t>
      </w:r>
      <w:r w:rsidRPr="00054570">
        <w:t xml:space="preserve"> patients (</w:t>
      </w:r>
      <w:r w:rsidR="00294FDC" w:rsidRPr="00294FDC">
        <w:rPr>
          <w:color w:val="000000"/>
          <w:highlight w:val="black"/>
        </w:rPr>
        <w:t>xxxxx</w:t>
      </w:r>
      <w:r w:rsidRPr="00054570">
        <w:t>) in the T</w:t>
      </w:r>
      <w:r w:rsidRPr="00054570">
        <w:noBreakHyphen/>
        <w:t xml:space="preserve">DXd arm and </w:t>
      </w:r>
      <w:r w:rsidR="00294FDC" w:rsidRPr="00294FDC">
        <w:rPr>
          <w:color w:val="000000"/>
          <w:highlight w:val="black"/>
        </w:rPr>
        <w:t>xx</w:t>
      </w:r>
      <w:r w:rsidRPr="00054570">
        <w:t> patients (</w:t>
      </w:r>
      <w:r w:rsidR="00294FDC" w:rsidRPr="00294FDC">
        <w:rPr>
          <w:color w:val="000000"/>
          <w:highlight w:val="black"/>
        </w:rPr>
        <w:t>xxxxx</w:t>
      </w:r>
      <w:r w:rsidRPr="00054570">
        <w:t>) in the TPC arm were censored for other reasons</w:t>
      </w:r>
      <w:r>
        <w:t xml:space="preserve"> (</w:t>
      </w:r>
      <w:r w:rsidRPr="00314A60">
        <w:rPr>
          <w:b/>
          <w:bCs/>
        </w:rPr>
        <w:fldChar w:fldCharType="begin"/>
      </w:r>
      <w:r w:rsidRPr="00314A60">
        <w:rPr>
          <w:b/>
          <w:bCs/>
        </w:rPr>
        <w:instrText xml:space="preserve"> REF _Ref124249982 \h </w:instrText>
      </w:r>
      <w:r>
        <w:rPr>
          <w:b/>
          <w:bCs/>
        </w:rPr>
        <w:instrText xml:space="preserve"> \* MERGEFORMAT </w:instrText>
      </w:r>
      <w:r w:rsidRPr="00314A60">
        <w:rPr>
          <w:b/>
          <w:bCs/>
        </w:rPr>
      </w:r>
      <w:r w:rsidRPr="00314A60">
        <w:rPr>
          <w:b/>
          <w:bCs/>
        </w:rPr>
        <w:fldChar w:fldCharType="separate"/>
      </w:r>
      <w:r w:rsidR="00145F42" w:rsidRPr="00145F42">
        <w:rPr>
          <w:b/>
          <w:bCs/>
        </w:rPr>
        <w:t xml:space="preserve">Table </w:t>
      </w:r>
      <w:r w:rsidR="00145F42" w:rsidRPr="00145F42">
        <w:rPr>
          <w:b/>
          <w:bCs/>
          <w:noProof/>
        </w:rPr>
        <w:t>18</w:t>
      </w:r>
      <w:r w:rsidRPr="00314A60">
        <w:rPr>
          <w:b/>
          <w:bCs/>
        </w:rPr>
        <w:fldChar w:fldCharType="end"/>
      </w:r>
      <w:r>
        <w:t>)</w:t>
      </w:r>
      <w:r w:rsidRPr="00054570">
        <w:t>.</w:t>
      </w:r>
      <w:r w:rsidRPr="00054570">
        <w:fldChar w:fldCharType="begin"/>
      </w:r>
      <w:r w:rsidR="00CA6345">
        <w:instrText xml:space="preserve"> ADDIN ZOTERO_ITEM CSL_CITATION {"citationID":"HvEo8Lzo","properties":{"formattedCitation":"\\super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r w:rsidRPr="00054570">
        <w:t xml:space="preserve"> </w:t>
      </w:r>
    </w:p>
    <w:p w14:paraId="71ACC34D" w14:textId="6B2E2263" w:rsidR="000B148D" w:rsidRDefault="000B148D" w:rsidP="000B148D">
      <w:pPr>
        <w:pStyle w:val="Body"/>
      </w:pPr>
      <w:hyperlink w:anchor="_ENREF_102" w:tooltip="Cortés, 2022 #167" w:history="1">
        <w:r w:rsidRPr="00054570">
          <w:fldChar w:fldCharType="begin"/>
        </w:r>
        <w:r w:rsidRPr="00054570">
          <w:instrText xml:space="preserve"> ADDIN EN.CITE &lt;EndNote&gt;&lt;Cite&gt;&lt;Author&gt;Cortés&lt;/Author&gt;&lt;Year&gt;2022&lt;/Year&gt;&lt;RecNum&gt;167&lt;/RecNum&gt;&lt;DisplayText&gt;&lt;style face="superscript"&gt;102&lt;/style&gt;&lt;/DisplayText&gt;&lt;record&gt;&lt;rec-number&gt;167&lt;/rec-number&gt;&lt;foreign-keys&gt;&lt;key app="EN" db-id="zsraxr2sldvt0herzw7x5028s0efeazsx9r0" timestamp="1648198293"&gt;167&lt;/key&gt;&lt;/foreign-keys&gt;&lt;ref-type name="Journal Article"&gt;17&lt;/ref-type&gt;&lt;contributors&gt;&lt;authors&gt;&lt;author&gt;Cortés, Javier&lt;/author&gt;&lt;author&gt;Kim, Sung-Bae&lt;/author&gt;&lt;author&gt;Chung, Wei-Pang&lt;/author&gt;&lt;author&gt;Im, Seock-Ah&lt;/author&gt;&lt;author&gt;Park, Yeon Hee&lt;/author&gt;&lt;author&gt;Hegg, Roberto&lt;/author&gt;&lt;author&gt;Kim, Min Hwan&lt;/author&gt;&lt;author&gt;Tseng, Ling-Ming&lt;/author&gt;&lt;author&gt;Petry, Vanessa&lt;/author&gt;&lt;author&gt;Chung, Chi-Feng&lt;/author&gt;&lt;author&gt;Iwata, Hiroji&lt;/author&gt;&lt;author&gt;Hamilton, Erika&lt;/author&gt;&lt;author&gt;Curigliano, Giuseppe&lt;/author&gt;&lt;author&gt;Xu, Binghe&lt;/author&gt;&lt;author&gt;Huang, Chiun-Sheng&lt;/author&gt;&lt;author&gt;Kim, Jee Hyun&lt;/author&gt;&lt;author&gt;Chiu, Joanne W. Y.&lt;/author&gt;&lt;author&gt;Pedrini, Jose Luiz&lt;/author&gt;&lt;author&gt;Lee, Caleb&lt;/author&gt;&lt;author&gt;Liu, Yali&lt;/author&gt;&lt;author&gt;Cathcart, Jillian&lt;/author&gt;&lt;author&gt;Bako, Emarjola&lt;/author&gt;&lt;author&gt;Verma, Sunil&lt;/author&gt;&lt;author&gt;Hurvitz, Sara A.&lt;/author&gt;&lt;/authors&gt;&lt;/contributors&gt;&lt;titles&gt;&lt;title&gt;Trastuzumab Deruxtecan versus Trastuzumab Emtansine for Breast Cancer&lt;/title&gt;&lt;secondary-title&gt;New England Journal of Medicine&lt;/secondary-title&gt;&lt;/titles&gt;&lt;periodical&gt;&lt;full-title&gt;New England Journal of Medicine&lt;/full-title&gt;&lt;/periodical&gt;&lt;pages&gt;1143-1154&lt;/pages&gt;&lt;volume&gt;386&lt;/volume&gt;&lt;number&gt;12&lt;/number&gt;&lt;dates&gt;&lt;year&gt;2022&lt;/year&gt;&lt;pub-dates&gt;&lt;date&gt;2022/03/24&lt;/date&gt;&lt;/pub-dates&gt;&lt;/dates&gt;&lt;publisher&gt;Massachusetts Medical Society&lt;/publisher&gt;&lt;isbn&gt;0028-4793&lt;/isbn&gt;&lt;urls&gt;&lt;related-urls&gt;&lt;url&gt;https://doi.org/10.1056/NEJMoa2115022&lt;/url&gt;&lt;/related-urls&gt;&lt;/urls&gt;&lt;electronic-resource-num&gt;10.1056/NEJMoa2115022&lt;/electronic-resource-num&gt;&lt;access-date&gt;2022/03/25&lt;/access-date&gt;&lt;/record&gt;&lt;/Cite&gt;&lt;/EndNote&gt;</w:instrText>
        </w:r>
        <w:r w:rsidRPr="00054570">
          <w:fldChar w:fldCharType="separate"/>
        </w:r>
        <w:r w:rsidRPr="00054570">
          <w:fldChar w:fldCharType="end"/>
        </w:r>
      </w:hyperlink>
      <w:r w:rsidRPr="00054570">
        <w:t>Results in the FAS were consistent with those in the HR-positive cohort</w:t>
      </w:r>
      <w:r>
        <w:t>.</w:t>
      </w:r>
      <w:r w:rsidRPr="00054570">
        <w:t xml:space="preserve"> </w:t>
      </w:r>
      <w:r>
        <w:t xml:space="preserve">T-DXd was associated with a statistically significant 50% lower risk of progression or death compared with TPC </w:t>
      </w:r>
      <w:r w:rsidRPr="00054570">
        <w:t>(HR: 0.50; 95% CI: 0.40, 0.63; p&lt;0.001</w:t>
      </w:r>
      <w:r>
        <w:t>).</w:t>
      </w:r>
      <w:r>
        <w:fldChar w:fldCharType="begin"/>
      </w:r>
      <w:r w:rsidR="00CA6345">
        <w:instrText xml:space="preserve"> ADDIN ZOTERO_ITEM CSL_CITATION {"citationID":"jLWfussG","properties":{"formattedCitation":"\\super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t xml:space="preserve"> </w:t>
      </w:r>
      <w:r w:rsidRPr="00054570">
        <w:t xml:space="preserve">DESTINY-Breast04 therefore met its </w:t>
      </w:r>
      <w:r>
        <w:t xml:space="preserve">secondary </w:t>
      </w:r>
      <w:r w:rsidRPr="00054570">
        <w:t xml:space="preserve">endpoint of PFS by BICR in the </w:t>
      </w:r>
      <w:r>
        <w:t xml:space="preserve">FAS. </w:t>
      </w:r>
    </w:p>
    <w:p w14:paraId="0BCD6779" w14:textId="5AB21952" w:rsidR="000B148D" w:rsidRPr="00D3095B" w:rsidRDefault="000B148D" w:rsidP="000B148D">
      <w:pPr>
        <w:pStyle w:val="Body"/>
        <w:rPr>
          <w:rFonts w:cs="Arial"/>
          <w:szCs w:val="24"/>
          <w:vertAlign w:val="superscript"/>
        </w:rPr>
      </w:pPr>
      <w:r w:rsidRPr="00054570">
        <w:t>Median PFS by BICR in the FAS was 9.9 months (95% CI: 9.0, 11.3) in the T-DXd arm vs. 5.1 months (95% CI: 4.2, 6.8) in the TPC arm.</w:t>
      </w:r>
      <w:r>
        <w:fldChar w:fldCharType="begin"/>
      </w:r>
      <w:r w:rsidR="00CA6345">
        <w:instrText xml:space="preserve"> ADDIN ZOTERO_ITEM CSL_CITATION {"citationID":"XtUSQiE0","properties":{"formattedCitation":"\\super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054570">
        <w:t xml:space="preserve"> At 12 months, </w:t>
      </w:r>
      <w:r w:rsidR="00294FDC" w:rsidRPr="00294FDC">
        <w:rPr>
          <w:color w:val="000000"/>
          <w:highlight w:val="black"/>
        </w:rPr>
        <w:t>xxxxx</w:t>
      </w:r>
      <w:r w:rsidRPr="00054570">
        <w:t xml:space="preserve"> </w:t>
      </w:r>
      <w:r>
        <w:t xml:space="preserve">(95% CI: </w:t>
      </w:r>
      <w:r w:rsidR="00294FDC" w:rsidRPr="00294FDC">
        <w:rPr>
          <w:color w:val="000000"/>
          <w:highlight w:val="black"/>
        </w:rPr>
        <w:t>xxxxxxxxxx</w:t>
      </w:r>
      <w:r>
        <w:t xml:space="preserve">) </w:t>
      </w:r>
      <w:r w:rsidRPr="00054570">
        <w:t xml:space="preserve">and </w:t>
      </w:r>
      <w:r w:rsidR="00294FDC" w:rsidRPr="00294FDC">
        <w:rPr>
          <w:color w:val="000000"/>
          <w:highlight w:val="black"/>
        </w:rPr>
        <w:t>xxxxx</w:t>
      </w:r>
      <w:r w:rsidRPr="00054570">
        <w:t xml:space="preserve"> </w:t>
      </w:r>
      <w:r>
        <w:t xml:space="preserve">(95% CI: </w:t>
      </w:r>
      <w:r w:rsidR="00294FDC" w:rsidRPr="00294FDC">
        <w:rPr>
          <w:color w:val="000000"/>
          <w:highlight w:val="black"/>
        </w:rPr>
        <w:t>xxxxxxxxxx</w:t>
      </w:r>
      <w:r>
        <w:t xml:space="preserve">) </w:t>
      </w:r>
      <w:r w:rsidRPr="00054570">
        <w:t>of patients were alive and progression-free in the T</w:t>
      </w:r>
      <w:r w:rsidRPr="00054570">
        <w:noBreakHyphen/>
        <w:t>DXd and TPC arms, respectively</w:t>
      </w:r>
      <w:r>
        <w:t xml:space="preserve"> (</w:t>
      </w:r>
      <w:r w:rsidRPr="00314A60">
        <w:rPr>
          <w:b/>
          <w:bCs/>
        </w:rPr>
        <w:fldChar w:fldCharType="begin"/>
      </w:r>
      <w:r w:rsidRPr="00314A60">
        <w:rPr>
          <w:b/>
          <w:bCs/>
        </w:rPr>
        <w:instrText xml:space="preserve"> REF _Ref124249969 \h </w:instrText>
      </w:r>
      <w:r>
        <w:rPr>
          <w:b/>
          <w:bCs/>
        </w:rPr>
        <w:instrText xml:space="preserve"> \* MERGEFORMAT </w:instrText>
      </w:r>
      <w:r w:rsidRPr="00314A60">
        <w:rPr>
          <w:b/>
          <w:bCs/>
        </w:rPr>
      </w:r>
      <w:r w:rsidRPr="00314A60">
        <w:rPr>
          <w:b/>
          <w:bCs/>
        </w:rPr>
        <w:fldChar w:fldCharType="separate"/>
      </w:r>
      <w:r w:rsidR="00145F42" w:rsidRPr="00145F42">
        <w:rPr>
          <w:b/>
          <w:bCs/>
        </w:rPr>
        <w:t xml:space="preserve">Figure </w:t>
      </w:r>
      <w:r w:rsidR="00145F42" w:rsidRPr="00145F42">
        <w:rPr>
          <w:b/>
          <w:bCs/>
          <w:noProof/>
        </w:rPr>
        <w:t>12</w:t>
      </w:r>
      <w:r w:rsidRPr="00314A60">
        <w:rPr>
          <w:b/>
          <w:bCs/>
        </w:rPr>
        <w:fldChar w:fldCharType="end"/>
      </w:r>
      <w:r>
        <w:t>)</w:t>
      </w:r>
      <w:r w:rsidRPr="00054570">
        <w:t>.</w:t>
      </w:r>
      <w:r>
        <w:fldChar w:fldCharType="begin"/>
      </w:r>
      <w:r w:rsidR="00CA6345">
        <w:instrText xml:space="preserve"> ADDIN ZOTERO_ITEM CSL_CITATION {"citationID":"GufcDVH1","properties":{"formattedCitation":"\\super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fldChar w:fldCharType="separate"/>
      </w:r>
      <w:r w:rsidR="00FD57F4" w:rsidRPr="00FD57F4">
        <w:rPr>
          <w:rFonts w:cs="Arial"/>
          <w:szCs w:val="24"/>
          <w:vertAlign w:val="superscript"/>
        </w:rPr>
        <w:t>7</w:t>
      </w:r>
      <w:r>
        <w:fldChar w:fldCharType="end"/>
      </w:r>
      <w:r w:rsidRPr="00054570">
        <w:rPr>
          <w:rFonts w:cs="Arial"/>
          <w:szCs w:val="24"/>
          <w:vertAlign w:val="superscript"/>
        </w:rPr>
        <w:t xml:space="preserve"> </w:t>
      </w:r>
      <w:r w:rsidRPr="00523520">
        <w:t>There was an early and sustained separation of the PFS curves in favour of T-DXd that was maintained throughout the study</w:t>
      </w:r>
      <w:r w:rsidRPr="00054570">
        <w:t xml:space="preserve">. </w:t>
      </w:r>
    </w:p>
    <w:tbl>
      <w:tblPr>
        <w:tblStyle w:val="Figurebox"/>
        <w:tblW w:w="0" w:type="auto"/>
        <w:tblLook w:val="04A0" w:firstRow="1" w:lastRow="0" w:firstColumn="1" w:lastColumn="0" w:noHBand="0" w:noVBand="1"/>
      </w:tblPr>
      <w:tblGrid>
        <w:gridCol w:w="9026"/>
      </w:tblGrid>
      <w:tr w:rsidR="000B148D" w:rsidRPr="00054570" w14:paraId="4B84B0E4" w14:textId="77777777">
        <w:tc>
          <w:tcPr>
            <w:tcW w:w="13892" w:type="dxa"/>
            <w:tcBorders>
              <w:bottom w:val="single" w:sz="4" w:space="0" w:color="auto"/>
            </w:tcBorders>
          </w:tcPr>
          <w:p w14:paraId="6207423B" w14:textId="100A40F3" w:rsidR="000B148D" w:rsidRPr="00054570" w:rsidRDefault="000B148D">
            <w:pPr>
              <w:pStyle w:val="Caption"/>
            </w:pPr>
            <w:bookmarkStart w:id="229" w:name="_Ref124249969"/>
            <w:bookmarkStart w:id="230" w:name="_Toc124447858"/>
            <w:bookmarkStart w:id="231" w:name="_Toc129350938"/>
            <w:r w:rsidRPr="00054570">
              <w:t xml:space="preserve">Figure </w:t>
            </w:r>
            <w:r>
              <w:fldChar w:fldCharType="begin"/>
            </w:r>
            <w:r>
              <w:instrText>SEQ Figure \* ARABIC</w:instrText>
            </w:r>
            <w:r>
              <w:fldChar w:fldCharType="separate"/>
            </w:r>
            <w:r w:rsidR="00145F42">
              <w:rPr>
                <w:noProof/>
              </w:rPr>
              <w:t>12</w:t>
            </w:r>
            <w:r>
              <w:fldChar w:fldCharType="end"/>
            </w:r>
            <w:bookmarkEnd w:id="229"/>
            <w:r w:rsidRPr="00054570">
              <w:t>: DESTINY-Breast04 | Kaplan-Meier of PFS by BICR | FAS</w:t>
            </w:r>
            <w:bookmarkEnd w:id="230"/>
            <w:bookmarkEnd w:id="231"/>
          </w:p>
        </w:tc>
      </w:tr>
      <w:tr w:rsidR="000B148D" w:rsidRPr="00054570" w14:paraId="094CBAA3" w14:textId="77777777">
        <w:tc>
          <w:tcPr>
            <w:tcW w:w="13892" w:type="dxa"/>
            <w:tcBorders>
              <w:top w:val="single" w:sz="4" w:space="0" w:color="auto"/>
              <w:left w:val="single" w:sz="4" w:space="0" w:color="auto"/>
              <w:bottom w:val="single" w:sz="4" w:space="0" w:color="auto"/>
              <w:right w:val="single" w:sz="4" w:space="0" w:color="auto"/>
            </w:tcBorders>
          </w:tcPr>
          <w:p w14:paraId="3C830467" w14:textId="77777777" w:rsidR="000B148D" w:rsidRPr="00054570" w:rsidRDefault="000B148D">
            <w:pPr>
              <w:pStyle w:val="Body"/>
              <w:keepNext/>
              <w:spacing w:before="20" w:after="0"/>
              <w:jc w:val="center"/>
            </w:pPr>
            <w:r w:rsidRPr="00054570">
              <w:rPr>
                <w:noProof/>
              </w:rPr>
              <w:drawing>
                <wp:inline distT="0" distB="0" distL="0" distR="0" wp14:anchorId="0D5CFC7F" wp14:editId="434F59E5">
                  <wp:extent cx="5691541" cy="3600450"/>
                  <wp:effectExtent l="0" t="0" r="4445" b="0"/>
                  <wp:docPr id="7" name="Picture 7"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line chart&#10;&#10;Description automatically generated"/>
                          <pic:cNvPicPr/>
                        </pic:nvPicPr>
                        <pic:blipFill>
                          <a:blip r:embed="rId24"/>
                          <a:stretch>
                            <a:fillRect/>
                          </a:stretch>
                        </pic:blipFill>
                        <pic:spPr>
                          <a:xfrm>
                            <a:off x="0" y="0"/>
                            <a:ext cx="5694674" cy="3602432"/>
                          </a:xfrm>
                          <a:prstGeom prst="rect">
                            <a:avLst/>
                          </a:prstGeom>
                        </pic:spPr>
                      </pic:pic>
                    </a:graphicData>
                  </a:graphic>
                </wp:inline>
              </w:drawing>
            </w:r>
          </w:p>
        </w:tc>
      </w:tr>
      <w:tr w:rsidR="000B148D" w:rsidRPr="00054570" w14:paraId="356C6586" w14:textId="77777777">
        <w:trPr>
          <w:trHeight w:val="578"/>
        </w:trPr>
        <w:tc>
          <w:tcPr>
            <w:tcW w:w="13892" w:type="dxa"/>
            <w:tcBorders>
              <w:top w:val="single" w:sz="4" w:space="0" w:color="auto"/>
            </w:tcBorders>
          </w:tcPr>
          <w:p w14:paraId="5FA0C32C" w14:textId="31D3BE91" w:rsidR="000B148D" w:rsidRPr="00054570" w:rsidRDefault="000B148D">
            <w:pPr>
              <w:pStyle w:val="Footnotes"/>
            </w:pPr>
            <w:r w:rsidRPr="00054570">
              <w:t xml:space="preserve">Abbreviations: BICR; blinded independent central review; CI, confidence interval; FAS, full analysis set; HR, hazard ratio; PFS, progression-free survival; </w:t>
            </w:r>
            <w:r w:rsidR="007A2618">
              <w:t>T-DXd, trastuzumab deruxtecan, TPC, treatment of physician’s choice.</w:t>
            </w:r>
            <w:r w:rsidRPr="00054570">
              <w:br/>
              <w:t>Source:  Daiichi Sankyo Inc., 2022 (CSR; Data on File).</w:t>
            </w:r>
            <w:r w:rsidRPr="00054570">
              <w:fldChar w:fldCharType="begin"/>
            </w:r>
            <w:r w:rsidR="00CA6345">
              <w:instrText xml:space="preserve"> ADDIN ZOTERO_ITEM CSL_CITATION {"citationID":"9evDQ6Dn","properties":{"formattedCitation":"\\super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hyperlink w:anchor="_ENREF_102" w:tooltip="Cortés, 2022 #167" w:history="1">
              <w:r w:rsidRPr="00054570">
                <w:fldChar w:fldCharType="begin"/>
              </w:r>
              <w:r w:rsidRPr="00054570">
                <w:instrText xml:space="preserve"> ADDIN EN.CITE &lt;EndNote&gt;&lt;Cite&gt;&lt;Author&gt;Cortés&lt;/Author&gt;&lt;Year&gt;2022&lt;/Year&gt;&lt;RecNum&gt;167&lt;/RecNum&gt;&lt;DisplayText&gt;&lt;style face="superscript"&gt;102&lt;/style&gt;&lt;/DisplayText&gt;&lt;record&gt;&lt;rec-number&gt;167&lt;/rec-number&gt;&lt;foreign-keys&gt;&lt;key app="EN" db-id="zsraxr2sldvt0herzw7x5028s0efeazsx9r0" timestamp="1648198293"&gt;167&lt;/key&gt;&lt;/foreign-keys&gt;&lt;ref-type name="Journal Article"&gt;17&lt;/ref-type&gt;&lt;contributors&gt;&lt;authors&gt;&lt;author&gt;Cortés, Javier&lt;/author&gt;&lt;author&gt;Kim, Sung-Bae&lt;/author&gt;&lt;author&gt;Chung, Wei-Pang&lt;/author&gt;&lt;author&gt;Im, Seock-Ah&lt;/author&gt;&lt;author&gt;Park, Yeon Hee&lt;/author&gt;&lt;author&gt;Hegg, Roberto&lt;/author&gt;&lt;author&gt;Kim, Min Hwan&lt;/author&gt;&lt;author&gt;Tseng, Ling-Ming&lt;/author&gt;&lt;author&gt;Petry, Vanessa&lt;/author&gt;&lt;author&gt;Chung, Chi-Feng&lt;/author&gt;&lt;author&gt;Iwata, Hiroji&lt;/author&gt;&lt;author&gt;Hamilton, Erika&lt;/author&gt;&lt;author&gt;Curigliano, Giuseppe&lt;/author&gt;&lt;author&gt;Xu, Binghe&lt;/author&gt;&lt;author&gt;Huang, Chiun-Sheng&lt;/author&gt;&lt;author&gt;Kim, Jee Hyun&lt;/author&gt;&lt;author&gt;Chiu, Joanne W. Y.&lt;/author&gt;&lt;author&gt;Pedrini, Jose Luiz&lt;/author&gt;&lt;author&gt;Lee, Caleb&lt;/author&gt;&lt;author&gt;Liu, Yali&lt;/author&gt;&lt;author&gt;Cathcart, Jillian&lt;/author&gt;&lt;author&gt;Bako, Emarjola&lt;/author&gt;&lt;author&gt;Verma, Sunil&lt;/author&gt;&lt;author&gt;Hurvitz, Sara A.&lt;/author&gt;&lt;/authors&gt;&lt;/contributors&gt;&lt;titles&gt;&lt;title&gt;Trastuzumab Deruxtecan versus Trastuzumab Emtansine for Breast Cancer&lt;/title&gt;&lt;secondary-title&gt;New England Journal of Medicine&lt;/secondary-title&gt;&lt;/titles&gt;&lt;periodical&gt;&lt;full-title&gt;New England Journal of Medicine&lt;/full-title&gt;&lt;/periodical&gt;&lt;pages&gt;1143-1154&lt;/pages&gt;&lt;volume&gt;386&lt;/volume&gt;&lt;number&gt;12&lt;/number&gt;&lt;dates&gt;&lt;year&gt;2022&lt;/year&gt;&lt;pub-dates&gt;&lt;date&gt;2022/03/24&lt;/date&gt;&lt;/pub-dates&gt;&lt;/dates&gt;&lt;publisher&gt;Massachusetts Medical Society&lt;/publisher&gt;&lt;isbn&gt;0028-4793&lt;/isbn&gt;&lt;urls&gt;&lt;related-urls&gt;&lt;url&gt;https://doi.org/10.1056/NEJMoa2115022&lt;/url&gt;&lt;/related-urls&gt;&lt;/urls&gt;&lt;electronic-resource-num&gt;10.1056/NEJMoa2115022&lt;/electronic-resource-num&gt;&lt;access-date&gt;2022/03/25&lt;/access-date&gt;&lt;/record&gt;&lt;/Cite&gt;&lt;/EndNote&gt;</w:instrText>
              </w:r>
              <w:r w:rsidRPr="00054570">
                <w:fldChar w:fldCharType="separate"/>
              </w:r>
              <w:r w:rsidRPr="00054570">
                <w:fldChar w:fldCharType="end"/>
              </w:r>
            </w:hyperlink>
          </w:p>
        </w:tc>
      </w:tr>
    </w:tbl>
    <w:p w14:paraId="1A7F86CC" w14:textId="13C452E5" w:rsidR="000B148D" w:rsidRPr="00054570" w:rsidRDefault="000B148D" w:rsidP="000B148D">
      <w:pPr>
        <w:pStyle w:val="Caption"/>
      </w:pPr>
      <w:bookmarkStart w:id="232" w:name="_Ref124249982"/>
      <w:bookmarkStart w:id="233" w:name="_Ref124249978"/>
      <w:bookmarkStart w:id="234" w:name="_Toc124447878"/>
      <w:bookmarkStart w:id="235" w:name="_Toc129350993"/>
      <w:r w:rsidRPr="00054570">
        <w:t xml:space="preserve">Table </w:t>
      </w:r>
      <w:r w:rsidRPr="00054570">
        <w:fldChar w:fldCharType="begin"/>
      </w:r>
      <w:r w:rsidRPr="00054570">
        <w:instrText>SEQ Table \* ARABIC</w:instrText>
      </w:r>
      <w:r w:rsidRPr="00054570">
        <w:fldChar w:fldCharType="separate"/>
      </w:r>
      <w:r w:rsidR="00145F42">
        <w:rPr>
          <w:noProof/>
        </w:rPr>
        <w:t>18</w:t>
      </w:r>
      <w:r w:rsidRPr="00054570">
        <w:fldChar w:fldCharType="end"/>
      </w:r>
      <w:bookmarkEnd w:id="232"/>
      <w:r w:rsidRPr="00054570">
        <w:t>: DESTINY-Breast04 | Analysis of PFS by BICR | FAS</w:t>
      </w:r>
      <w:bookmarkEnd w:id="233"/>
      <w:bookmarkEnd w:id="234"/>
      <w:bookmarkEnd w:id="235"/>
    </w:p>
    <w:tbl>
      <w:tblPr>
        <w:tblStyle w:val="Generaltable"/>
        <w:tblW w:w="0" w:type="auto"/>
        <w:tblLook w:val="04A0" w:firstRow="1" w:lastRow="0" w:firstColumn="1" w:lastColumn="0" w:noHBand="0" w:noVBand="1"/>
      </w:tblPr>
      <w:tblGrid>
        <w:gridCol w:w="4984"/>
        <w:gridCol w:w="2016"/>
        <w:gridCol w:w="2016"/>
      </w:tblGrid>
      <w:tr w:rsidR="000B148D" w:rsidRPr="00054570" w14:paraId="3B7E6D83" w14:textId="77777777">
        <w:trPr>
          <w:cnfStyle w:val="100000000000" w:firstRow="1" w:lastRow="0" w:firstColumn="0" w:lastColumn="0" w:oddVBand="0" w:evenVBand="0" w:oddHBand="0" w:evenHBand="0" w:firstRowFirstColumn="0" w:firstRowLastColumn="0" w:lastRowFirstColumn="0" w:lastRowLastColumn="0"/>
          <w:tblHeader/>
        </w:trPr>
        <w:tc>
          <w:tcPr>
            <w:tcW w:w="5098" w:type="dxa"/>
            <w:tcBorders>
              <w:bottom w:val="single" w:sz="4" w:space="0" w:color="auto"/>
            </w:tcBorders>
            <w:shd w:val="clear" w:color="auto" w:fill="F2F2F2" w:themeFill="background1" w:themeFillShade="F2"/>
          </w:tcPr>
          <w:p w14:paraId="2962EDAB" w14:textId="77777777" w:rsidR="000B148D" w:rsidRPr="00054570" w:rsidRDefault="000B148D">
            <w:pPr>
              <w:pStyle w:val="Tableheading"/>
            </w:pPr>
          </w:p>
        </w:tc>
        <w:tc>
          <w:tcPr>
            <w:tcW w:w="1959" w:type="dxa"/>
            <w:tcBorders>
              <w:bottom w:val="single" w:sz="4" w:space="0" w:color="auto"/>
            </w:tcBorders>
            <w:shd w:val="clear" w:color="auto" w:fill="F2F2F2" w:themeFill="background1" w:themeFillShade="F2"/>
          </w:tcPr>
          <w:p w14:paraId="53447D61" w14:textId="77777777" w:rsidR="000B148D" w:rsidRPr="00054570" w:rsidRDefault="000B148D">
            <w:pPr>
              <w:pStyle w:val="Tableheading"/>
              <w:jc w:val="center"/>
              <w:rPr>
                <w:rFonts w:cs="Arial"/>
              </w:rPr>
            </w:pPr>
            <w:r w:rsidRPr="00054570">
              <w:rPr>
                <w:rFonts w:cs="Arial"/>
              </w:rPr>
              <w:t>T-DXd</w:t>
            </w:r>
            <w:r w:rsidRPr="00054570">
              <w:rPr>
                <w:rFonts w:cs="Arial"/>
              </w:rPr>
              <w:br/>
              <w:t>(</w:t>
            </w:r>
            <w:r>
              <w:rPr>
                <w:rFonts w:cs="Arial"/>
              </w:rPr>
              <w:t>N=</w:t>
            </w:r>
            <w:r w:rsidRPr="00054570">
              <w:rPr>
                <w:rFonts w:cs="Arial"/>
              </w:rPr>
              <w:t>373)</w:t>
            </w:r>
          </w:p>
        </w:tc>
        <w:tc>
          <w:tcPr>
            <w:tcW w:w="1959" w:type="dxa"/>
            <w:tcBorders>
              <w:bottom w:val="single" w:sz="4" w:space="0" w:color="auto"/>
            </w:tcBorders>
            <w:shd w:val="clear" w:color="auto" w:fill="F2F2F2" w:themeFill="background1" w:themeFillShade="F2"/>
          </w:tcPr>
          <w:p w14:paraId="058ADE4A" w14:textId="77777777" w:rsidR="000B148D" w:rsidRPr="00054570" w:rsidRDefault="000B148D">
            <w:pPr>
              <w:pStyle w:val="Tableheading"/>
              <w:jc w:val="center"/>
              <w:rPr>
                <w:rFonts w:cs="Arial"/>
              </w:rPr>
            </w:pPr>
            <w:r w:rsidRPr="00054570">
              <w:rPr>
                <w:rFonts w:cs="Arial"/>
              </w:rPr>
              <w:t>TPC</w:t>
            </w:r>
            <w:r w:rsidRPr="00054570">
              <w:rPr>
                <w:rFonts w:cs="Arial"/>
              </w:rPr>
              <w:br/>
              <w:t>(</w:t>
            </w:r>
            <w:r>
              <w:rPr>
                <w:rFonts w:cs="Arial"/>
              </w:rPr>
              <w:t>N=</w:t>
            </w:r>
            <w:r w:rsidRPr="00054570">
              <w:rPr>
                <w:rFonts w:cs="Arial"/>
              </w:rPr>
              <w:t>184)</w:t>
            </w:r>
          </w:p>
        </w:tc>
      </w:tr>
      <w:tr w:rsidR="000B148D" w:rsidRPr="00054570" w14:paraId="6F65F5A7" w14:textId="77777777">
        <w:tc>
          <w:tcPr>
            <w:tcW w:w="5098" w:type="dxa"/>
            <w:tcBorders>
              <w:bottom w:val="single" w:sz="4" w:space="0" w:color="auto"/>
            </w:tcBorders>
            <w:shd w:val="clear" w:color="auto" w:fill="F2F2F2" w:themeFill="background1" w:themeFillShade="F2"/>
          </w:tcPr>
          <w:p w14:paraId="7C3C1001" w14:textId="77777777" w:rsidR="000B148D" w:rsidRPr="00054570" w:rsidRDefault="000B148D">
            <w:pPr>
              <w:pStyle w:val="Tablebody"/>
              <w:keepNext/>
            </w:pPr>
            <w:r w:rsidRPr="00054570">
              <w:t>Subjects with events, n (%)</w:t>
            </w:r>
          </w:p>
        </w:tc>
        <w:tc>
          <w:tcPr>
            <w:tcW w:w="1959" w:type="dxa"/>
            <w:tcBorders>
              <w:bottom w:val="single" w:sz="4" w:space="0" w:color="auto"/>
            </w:tcBorders>
          </w:tcPr>
          <w:p w14:paraId="273EF944" w14:textId="096F96E5" w:rsidR="000B148D" w:rsidRPr="00294FDC" w:rsidRDefault="00294FDC">
            <w:pPr>
              <w:pStyle w:val="Tablebody"/>
              <w:jc w:val="center"/>
              <w:rPr>
                <w:rFonts w:cs="Arial"/>
                <w:color w:val="000000"/>
                <w:highlight w:val="black"/>
              </w:rPr>
            </w:pPr>
            <w:r w:rsidRPr="00294FDC">
              <w:rPr>
                <w:rFonts w:eastAsia="Times New Roman" w:cs="Arial"/>
                <w:color w:val="000000"/>
                <w:highlight w:val="black"/>
              </w:rPr>
              <w:t>xxxxxxxxxxx</w:t>
            </w:r>
          </w:p>
        </w:tc>
        <w:tc>
          <w:tcPr>
            <w:tcW w:w="1959" w:type="dxa"/>
            <w:tcBorders>
              <w:bottom w:val="single" w:sz="4" w:space="0" w:color="auto"/>
            </w:tcBorders>
          </w:tcPr>
          <w:p w14:paraId="35ED65C5" w14:textId="2A16ACD4" w:rsidR="000B148D" w:rsidRPr="00294FDC" w:rsidRDefault="00294FDC">
            <w:pPr>
              <w:pStyle w:val="Tablebody"/>
              <w:jc w:val="center"/>
              <w:rPr>
                <w:rFonts w:cs="Arial"/>
                <w:color w:val="000000"/>
                <w:highlight w:val="black"/>
              </w:rPr>
            </w:pPr>
            <w:r w:rsidRPr="00294FDC">
              <w:rPr>
                <w:rFonts w:eastAsia="Times New Roman" w:cs="Arial"/>
                <w:color w:val="000000"/>
                <w:highlight w:val="black"/>
              </w:rPr>
              <w:t>xxxxxxxxxxx</w:t>
            </w:r>
          </w:p>
        </w:tc>
      </w:tr>
      <w:tr w:rsidR="000B148D" w:rsidRPr="00054570" w14:paraId="543B9EC3" w14:textId="77777777">
        <w:tc>
          <w:tcPr>
            <w:tcW w:w="5098" w:type="dxa"/>
            <w:tcBorders>
              <w:top w:val="single" w:sz="4" w:space="0" w:color="auto"/>
              <w:bottom w:val="single" w:sz="4" w:space="0" w:color="auto"/>
            </w:tcBorders>
            <w:shd w:val="clear" w:color="auto" w:fill="F2F2F2" w:themeFill="background1" w:themeFillShade="F2"/>
          </w:tcPr>
          <w:p w14:paraId="358E05A0" w14:textId="77777777" w:rsidR="000B148D" w:rsidRPr="00054570" w:rsidRDefault="000B148D">
            <w:pPr>
              <w:pStyle w:val="Tablebody"/>
              <w:ind w:left="174"/>
            </w:pPr>
            <w:r w:rsidRPr="00054570">
              <w:t>Progressive disease</w:t>
            </w:r>
          </w:p>
        </w:tc>
        <w:tc>
          <w:tcPr>
            <w:tcW w:w="1959" w:type="dxa"/>
            <w:tcBorders>
              <w:top w:val="single" w:sz="4" w:space="0" w:color="auto"/>
              <w:bottom w:val="single" w:sz="4" w:space="0" w:color="auto"/>
            </w:tcBorders>
          </w:tcPr>
          <w:p w14:paraId="247A8BA4" w14:textId="35BFDF52" w:rsidR="000B148D" w:rsidRPr="00294FDC" w:rsidRDefault="00294FDC">
            <w:pPr>
              <w:pStyle w:val="Tablebody"/>
              <w:jc w:val="center"/>
              <w:rPr>
                <w:rFonts w:cs="Arial"/>
                <w:color w:val="000000"/>
                <w:highlight w:val="black"/>
              </w:rPr>
            </w:pPr>
            <w:r w:rsidRPr="00294FDC">
              <w:rPr>
                <w:rFonts w:eastAsia="Times New Roman" w:cs="Arial"/>
                <w:color w:val="000000"/>
                <w:highlight w:val="black"/>
              </w:rPr>
              <w:t>xxxxxxxxxxx</w:t>
            </w:r>
          </w:p>
        </w:tc>
        <w:tc>
          <w:tcPr>
            <w:tcW w:w="1959" w:type="dxa"/>
            <w:tcBorders>
              <w:top w:val="single" w:sz="4" w:space="0" w:color="auto"/>
              <w:bottom w:val="single" w:sz="4" w:space="0" w:color="auto"/>
            </w:tcBorders>
          </w:tcPr>
          <w:p w14:paraId="0C4BD51E" w14:textId="671E6A0F" w:rsidR="000B148D" w:rsidRPr="00294FDC" w:rsidRDefault="00294FDC">
            <w:pPr>
              <w:pStyle w:val="Tablebody"/>
              <w:jc w:val="center"/>
              <w:rPr>
                <w:rFonts w:cs="Arial"/>
                <w:color w:val="000000"/>
                <w:highlight w:val="black"/>
              </w:rPr>
            </w:pPr>
            <w:r w:rsidRPr="00294FDC">
              <w:rPr>
                <w:rFonts w:eastAsia="Times New Roman" w:cs="Arial"/>
                <w:color w:val="000000"/>
                <w:highlight w:val="black"/>
              </w:rPr>
              <w:t>xxxxxxxxxxx</w:t>
            </w:r>
          </w:p>
        </w:tc>
      </w:tr>
      <w:tr w:rsidR="000B148D" w:rsidRPr="00054570" w14:paraId="68C32028" w14:textId="77777777">
        <w:tc>
          <w:tcPr>
            <w:tcW w:w="5098" w:type="dxa"/>
            <w:tcBorders>
              <w:top w:val="single" w:sz="4" w:space="0" w:color="auto"/>
              <w:bottom w:val="single" w:sz="4" w:space="0" w:color="auto"/>
            </w:tcBorders>
            <w:shd w:val="clear" w:color="auto" w:fill="F2F2F2" w:themeFill="background1" w:themeFillShade="F2"/>
          </w:tcPr>
          <w:p w14:paraId="0E4687E5" w14:textId="77777777" w:rsidR="000B148D" w:rsidRPr="00054570" w:rsidRDefault="000B148D">
            <w:pPr>
              <w:pStyle w:val="Tablebody"/>
              <w:ind w:left="174"/>
            </w:pPr>
            <w:r w:rsidRPr="00054570">
              <w:lastRenderedPageBreak/>
              <w:t>Death</w:t>
            </w:r>
          </w:p>
        </w:tc>
        <w:tc>
          <w:tcPr>
            <w:tcW w:w="1959" w:type="dxa"/>
            <w:tcBorders>
              <w:top w:val="single" w:sz="4" w:space="0" w:color="auto"/>
              <w:bottom w:val="single" w:sz="4" w:space="0" w:color="auto"/>
            </w:tcBorders>
          </w:tcPr>
          <w:p w14:paraId="42D802A1" w14:textId="32FC430D" w:rsidR="000B148D" w:rsidRPr="00294FDC" w:rsidRDefault="00294FDC">
            <w:pPr>
              <w:pStyle w:val="Tablebody"/>
              <w:jc w:val="center"/>
              <w:rPr>
                <w:rFonts w:cs="Arial"/>
                <w:color w:val="000000"/>
                <w:highlight w:val="black"/>
              </w:rPr>
            </w:pPr>
            <w:r w:rsidRPr="00294FDC">
              <w:rPr>
                <w:rFonts w:eastAsia="Times New Roman" w:cs="Arial"/>
                <w:color w:val="000000"/>
                <w:highlight w:val="black"/>
              </w:rPr>
              <w:t>xxxxxxxxx</w:t>
            </w:r>
          </w:p>
        </w:tc>
        <w:tc>
          <w:tcPr>
            <w:tcW w:w="1959" w:type="dxa"/>
            <w:tcBorders>
              <w:top w:val="single" w:sz="4" w:space="0" w:color="auto"/>
              <w:bottom w:val="single" w:sz="4" w:space="0" w:color="auto"/>
            </w:tcBorders>
          </w:tcPr>
          <w:p w14:paraId="73E9BB4B" w14:textId="60BA465E" w:rsidR="000B148D" w:rsidRPr="00294FDC" w:rsidRDefault="00294FDC">
            <w:pPr>
              <w:pStyle w:val="Tablebody"/>
              <w:jc w:val="center"/>
              <w:rPr>
                <w:rFonts w:cs="Arial"/>
                <w:color w:val="000000"/>
                <w:highlight w:val="black"/>
              </w:rPr>
            </w:pPr>
            <w:r w:rsidRPr="00294FDC">
              <w:rPr>
                <w:rFonts w:eastAsia="Times New Roman" w:cs="Arial"/>
                <w:color w:val="000000"/>
                <w:highlight w:val="black"/>
              </w:rPr>
              <w:t>xxxxxxxxx</w:t>
            </w:r>
          </w:p>
        </w:tc>
      </w:tr>
      <w:tr w:rsidR="000B148D" w:rsidRPr="00054570" w14:paraId="02B0355A" w14:textId="77777777">
        <w:tc>
          <w:tcPr>
            <w:tcW w:w="5098" w:type="dxa"/>
            <w:tcBorders>
              <w:top w:val="single" w:sz="4" w:space="0" w:color="auto"/>
              <w:bottom w:val="single" w:sz="4" w:space="0" w:color="auto"/>
            </w:tcBorders>
            <w:shd w:val="clear" w:color="auto" w:fill="F2F2F2" w:themeFill="background1" w:themeFillShade="F2"/>
          </w:tcPr>
          <w:p w14:paraId="20B59EBC" w14:textId="77777777" w:rsidR="000B148D" w:rsidRPr="00054570" w:rsidRDefault="000B148D">
            <w:pPr>
              <w:pStyle w:val="Tablebody"/>
              <w:keepNext/>
            </w:pPr>
            <w:r w:rsidRPr="00054570">
              <w:t>Subjects without events (censored), n (%)</w:t>
            </w:r>
          </w:p>
        </w:tc>
        <w:tc>
          <w:tcPr>
            <w:tcW w:w="1959" w:type="dxa"/>
            <w:tcBorders>
              <w:top w:val="single" w:sz="4" w:space="0" w:color="auto"/>
              <w:bottom w:val="single" w:sz="4" w:space="0" w:color="auto"/>
            </w:tcBorders>
          </w:tcPr>
          <w:p w14:paraId="729763F7" w14:textId="277B2C87" w:rsidR="000B148D" w:rsidRPr="00294FDC" w:rsidRDefault="00294FDC">
            <w:pPr>
              <w:pStyle w:val="Tablebody"/>
              <w:jc w:val="center"/>
              <w:rPr>
                <w:rFonts w:cs="Arial"/>
                <w:color w:val="000000"/>
                <w:highlight w:val="black"/>
              </w:rPr>
            </w:pPr>
            <w:r w:rsidRPr="00294FDC">
              <w:rPr>
                <w:rFonts w:eastAsia="Times New Roman" w:cs="Arial"/>
                <w:color w:val="000000"/>
                <w:highlight w:val="black"/>
              </w:rPr>
              <w:t>xxxxxxxxxxx</w:t>
            </w:r>
          </w:p>
        </w:tc>
        <w:tc>
          <w:tcPr>
            <w:tcW w:w="1959" w:type="dxa"/>
            <w:tcBorders>
              <w:top w:val="single" w:sz="4" w:space="0" w:color="auto"/>
              <w:bottom w:val="single" w:sz="4" w:space="0" w:color="auto"/>
            </w:tcBorders>
          </w:tcPr>
          <w:p w14:paraId="34E2FA7C" w14:textId="2267FF42" w:rsidR="000B148D" w:rsidRPr="00294FDC" w:rsidRDefault="00294FDC">
            <w:pPr>
              <w:pStyle w:val="Tablebody"/>
              <w:jc w:val="center"/>
              <w:rPr>
                <w:rFonts w:cs="Arial"/>
                <w:color w:val="000000"/>
                <w:highlight w:val="black"/>
              </w:rPr>
            </w:pPr>
            <w:r w:rsidRPr="00294FDC">
              <w:rPr>
                <w:rFonts w:eastAsia="Times New Roman" w:cs="Arial"/>
                <w:color w:val="000000"/>
                <w:highlight w:val="black"/>
              </w:rPr>
              <w:t>xxxxxxxxxx</w:t>
            </w:r>
          </w:p>
        </w:tc>
      </w:tr>
      <w:tr w:rsidR="000B148D" w:rsidRPr="00054570" w14:paraId="18E5867F" w14:textId="77777777">
        <w:tc>
          <w:tcPr>
            <w:tcW w:w="5098" w:type="dxa"/>
            <w:tcBorders>
              <w:top w:val="single" w:sz="4" w:space="0" w:color="auto"/>
              <w:bottom w:val="single" w:sz="4" w:space="0" w:color="auto"/>
            </w:tcBorders>
            <w:shd w:val="clear" w:color="auto" w:fill="F2F2F2" w:themeFill="background1" w:themeFillShade="F2"/>
          </w:tcPr>
          <w:p w14:paraId="3CFB6A0E" w14:textId="77777777" w:rsidR="000B148D" w:rsidRPr="00054570" w:rsidRDefault="000B148D">
            <w:pPr>
              <w:pStyle w:val="Tablebody"/>
              <w:ind w:left="174"/>
            </w:pPr>
            <w:r w:rsidRPr="00054570">
              <w:t>Ongoing without event</w:t>
            </w:r>
          </w:p>
        </w:tc>
        <w:tc>
          <w:tcPr>
            <w:tcW w:w="1959" w:type="dxa"/>
            <w:tcBorders>
              <w:top w:val="single" w:sz="4" w:space="0" w:color="auto"/>
              <w:bottom w:val="single" w:sz="4" w:space="0" w:color="auto"/>
            </w:tcBorders>
          </w:tcPr>
          <w:p w14:paraId="142062F3" w14:textId="5BDD60D3" w:rsidR="000B148D" w:rsidRPr="00294FDC" w:rsidRDefault="00294FDC">
            <w:pPr>
              <w:pStyle w:val="Tablebody"/>
              <w:jc w:val="center"/>
              <w:rPr>
                <w:rFonts w:cs="Arial"/>
                <w:color w:val="000000"/>
                <w:highlight w:val="black"/>
              </w:rPr>
            </w:pPr>
            <w:r w:rsidRPr="00294FDC">
              <w:rPr>
                <w:rFonts w:eastAsia="Times New Roman" w:cs="Arial"/>
                <w:color w:val="000000"/>
                <w:highlight w:val="black"/>
              </w:rPr>
              <w:t>xxxxxxxxxx</w:t>
            </w:r>
          </w:p>
        </w:tc>
        <w:tc>
          <w:tcPr>
            <w:tcW w:w="1959" w:type="dxa"/>
            <w:tcBorders>
              <w:top w:val="single" w:sz="4" w:space="0" w:color="auto"/>
              <w:bottom w:val="single" w:sz="4" w:space="0" w:color="auto"/>
            </w:tcBorders>
          </w:tcPr>
          <w:p w14:paraId="3980AFD0" w14:textId="464E99DB" w:rsidR="000B148D" w:rsidRPr="00294FDC" w:rsidRDefault="00294FDC">
            <w:pPr>
              <w:pStyle w:val="Tablebody"/>
              <w:jc w:val="center"/>
              <w:rPr>
                <w:rFonts w:cs="Arial"/>
                <w:color w:val="000000"/>
                <w:highlight w:val="black"/>
              </w:rPr>
            </w:pPr>
            <w:r w:rsidRPr="00294FDC">
              <w:rPr>
                <w:rFonts w:eastAsia="Times New Roman" w:cs="Arial"/>
                <w:color w:val="000000"/>
                <w:highlight w:val="black"/>
              </w:rPr>
              <w:t>xxxxxxxx</w:t>
            </w:r>
          </w:p>
        </w:tc>
      </w:tr>
      <w:tr w:rsidR="000B148D" w:rsidRPr="00054570" w14:paraId="0C4E1A9A" w14:textId="77777777">
        <w:tc>
          <w:tcPr>
            <w:tcW w:w="5098" w:type="dxa"/>
            <w:tcBorders>
              <w:top w:val="single" w:sz="4" w:space="0" w:color="auto"/>
              <w:bottom w:val="single" w:sz="4" w:space="0" w:color="auto"/>
            </w:tcBorders>
            <w:shd w:val="clear" w:color="auto" w:fill="F2F2F2" w:themeFill="background1" w:themeFillShade="F2"/>
          </w:tcPr>
          <w:p w14:paraId="38657800" w14:textId="77777777" w:rsidR="000B148D" w:rsidRPr="00054570" w:rsidRDefault="000B148D">
            <w:pPr>
              <w:pStyle w:val="Tablebody"/>
              <w:ind w:left="174"/>
            </w:pPr>
            <w:r w:rsidRPr="00054570">
              <w:t>Other reason</w:t>
            </w:r>
            <w:r w:rsidRPr="00054570">
              <w:rPr>
                <w:vertAlign w:val="superscript"/>
              </w:rPr>
              <w:t>*</w:t>
            </w:r>
          </w:p>
        </w:tc>
        <w:tc>
          <w:tcPr>
            <w:tcW w:w="1959" w:type="dxa"/>
            <w:tcBorders>
              <w:top w:val="single" w:sz="4" w:space="0" w:color="auto"/>
              <w:bottom w:val="single" w:sz="4" w:space="0" w:color="auto"/>
            </w:tcBorders>
          </w:tcPr>
          <w:p w14:paraId="27B964E1" w14:textId="25EE01A4" w:rsidR="000B148D" w:rsidRPr="00294FDC" w:rsidRDefault="00294FDC">
            <w:pPr>
              <w:pStyle w:val="Tablebody"/>
              <w:jc w:val="center"/>
              <w:rPr>
                <w:rFonts w:cs="Arial"/>
                <w:color w:val="000000"/>
                <w:highlight w:val="black"/>
              </w:rPr>
            </w:pPr>
            <w:r w:rsidRPr="00294FDC">
              <w:rPr>
                <w:rFonts w:cs="Arial"/>
                <w:color w:val="000000"/>
                <w:highlight w:val="black"/>
              </w:rPr>
              <w:t>xxxxxxxxx</w:t>
            </w:r>
          </w:p>
        </w:tc>
        <w:tc>
          <w:tcPr>
            <w:tcW w:w="1959" w:type="dxa"/>
            <w:tcBorders>
              <w:top w:val="single" w:sz="4" w:space="0" w:color="auto"/>
              <w:bottom w:val="single" w:sz="4" w:space="0" w:color="auto"/>
            </w:tcBorders>
          </w:tcPr>
          <w:p w14:paraId="0E5FCD27" w14:textId="3E99F4EE" w:rsidR="000B148D" w:rsidRPr="00294FDC" w:rsidRDefault="00294FDC">
            <w:pPr>
              <w:pStyle w:val="Tablebody"/>
              <w:jc w:val="center"/>
              <w:rPr>
                <w:rFonts w:cs="Arial"/>
                <w:color w:val="000000"/>
                <w:highlight w:val="black"/>
              </w:rPr>
            </w:pPr>
            <w:r w:rsidRPr="00294FDC">
              <w:rPr>
                <w:rFonts w:cs="Arial"/>
                <w:color w:val="000000"/>
                <w:highlight w:val="black"/>
              </w:rPr>
              <w:t>xxxxxxxxx</w:t>
            </w:r>
          </w:p>
        </w:tc>
      </w:tr>
      <w:tr w:rsidR="000B148D" w:rsidRPr="00054570" w14:paraId="051AFB99" w14:textId="77777777">
        <w:tc>
          <w:tcPr>
            <w:tcW w:w="5098" w:type="dxa"/>
            <w:tcBorders>
              <w:bottom w:val="single" w:sz="4" w:space="0" w:color="auto"/>
            </w:tcBorders>
            <w:shd w:val="clear" w:color="auto" w:fill="F2F2F2" w:themeFill="background1" w:themeFillShade="F2"/>
          </w:tcPr>
          <w:p w14:paraId="2B5F39B9" w14:textId="77777777" w:rsidR="000B148D" w:rsidRPr="00054570" w:rsidRDefault="000B148D">
            <w:pPr>
              <w:pStyle w:val="Tablebody"/>
              <w:keepNext/>
            </w:pPr>
            <w:r w:rsidRPr="00054570">
              <w:t>Median PFS, months</w:t>
            </w:r>
            <w:r w:rsidRPr="00054570">
              <w:rPr>
                <w:rFonts w:cs="Arial"/>
                <w:vertAlign w:val="superscript"/>
              </w:rPr>
              <w:t>†</w:t>
            </w:r>
          </w:p>
        </w:tc>
        <w:tc>
          <w:tcPr>
            <w:tcW w:w="1959" w:type="dxa"/>
            <w:tcBorders>
              <w:bottom w:val="single" w:sz="4" w:space="0" w:color="auto"/>
            </w:tcBorders>
          </w:tcPr>
          <w:p w14:paraId="7F363563" w14:textId="77777777" w:rsidR="000B148D" w:rsidRPr="00054570" w:rsidRDefault="000B148D">
            <w:pPr>
              <w:pStyle w:val="Tablebody"/>
              <w:jc w:val="center"/>
              <w:rPr>
                <w:rFonts w:cs="Arial"/>
              </w:rPr>
            </w:pPr>
            <w:r w:rsidRPr="00054570">
              <w:rPr>
                <w:rFonts w:eastAsia="Times New Roman" w:cs="Arial"/>
              </w:rPr>
              <w:t xml:space="preserve">9.9 </w:t>
            </w:r>
          </w:p>
        </w:tc>
        <w:tc>
          <w:tcPr>
            <w:tcW w:w="1959" w:type="dxa"/>
            <w:tcBorders>
              <w:bottom w:val="single" w:sz="4" w:space="0" w:color="auto"/>
            </w:tcBorders>
          </w:tcPr>
          <w:p w14:paraId="5DAB063B" w14:textId="77777777" w:rsidR="000B148D" w:rsidRPr="00054570" w:rsidRDefault="000B148D">
            <w:pPr>
              <w:pStyle w:val="Tablebody"/>
              <w:jc w:val="center"/>
              <w:rPr>
                <w:rFonts w:cs="Arial"/>
              </w:rPr>
            </w:pPr>
            <w:r w:rsidRPr="00054570">
              <w:rPr>
                <w:rFonts w:eastAsia="Times New Roman" w:cs="Arial"/>
              </w:rPr>
              <w:t xml:space="preserve">5.1 </w:t>
            </w:r>
          </w:p>
        </w:tc>
      </w:tr>
      <w:tr w:rsidR="000B148D" w:rsidRPr="00054570" w14:paraId="005AA247" w14:textId="77777777">
        <w:tc>
          <w:tcPr>
            <w:tcW w:w="5098" w:type="dxa"/>
            <w:tcBorders>
              <w:top w:val="single" w:sz="4" w:space="0" w:color="auto"/>
              <w:bottom w:val="single" w:sz="4" w:space="0" w:color="auto"/>
            </w:tcBorders>
            <w:shd w:val="clear" w:color="auto" w:fill="F2F2F2" w:themeFill="background1" w:themeFillShade="F2"/>
          </w:tcPr>
          <w:p w14:paraId="7732E137" w14:textId="77777777" w:rsidR="000B148D" w:rsidRPr="00054570" w:rsidRDefault="000B148D">
            <w:pPr>
              <w:pStyle w:val="Tablebody"/>
              <w:ind w:left="174"/>
            </w:pPr>
            <w:r w:rsidRPr="00054570">
              <w:t>(95% CI)</w:t>
            </w:r>
            <w:r w:rsidRPr="00054570">
              <w:rPr>
                <w:rFonts w:cs="Yu Gothic Light"/>
                <w:vertAlign w:val="superscript"/>
              </w:rPr>
              <w:t>†</w:t>
            </w:r>
          </w:p>
        </w:tc>
        <w:tc>
          <w:tcPr>
            <w:tcW w:w="1959" w:type="dxa"/>
            <w:tcBorders>
              <w:top w:val="single" w:sz="4" w:space="0" w:color="auto"/>
              <w:bottom w:val="single" w:sz="4" w:space="0" w:color="auto"/>
            </w:tcBorders>
          </w:tcPr>
          <w:p w14:paraId="75F6E381" w14:textId="77777777" w:rsidR="000B148D" w:rsidRPr="00054570" w:rsidRDefault="000B148D">
            <w:pPr>
              <w:pStyle w:val="Tablebody"/>
              <w:jc w:val="center"/>
              <w:rPr>
                <w:rFonts w:cs="Arial"/>
              </w:rPr>
            </w:pPr>
            <w:r w:rsidRPr="00054570">
              <w:rPr>
                <w:rFonts w:eastAsia="Times New Roman" w:cs="Arial"/>
              </w:rPr>
              <w:t xml:space="preserve">(9.0, 11.3) </w:t>
            </w:r>
          </w:p>
        </w:tc>
        <w:tc>
          <w:tcPr>
            <w:tcW w:w="1959" w:type="dxa"/>
            <w:tcBorders>
              <w:top w:val="single" w:sz="4" w:space="0" w:color="auto"/>
              <w:bottom w:val="single" w:sz="4" w:space="0" w:color="auto"/>
            </w:tcBorders>
          </w:tcPr>
          <w:p w14:paraId="1B82B4B1" w14:textId="77777777" w:rsidR="000B148D" w:rsidRPr="00054570" w:rsidRDefault="000B148D">
            <w:pPr>
              <w:pStyle w:val="Tablebody"/>
              <w:jc w:val="center"/>
              <w:rPr>
                <w:rFonts w:cs="Arial"/>
              </w:rPr>
            </w:pPr>
            <w:r w:rsidRPr="00054570">
              <w:rPr>
                <w:rFonts w:eastAsia="Times New Roman" w:cs="Arial"/>
              </w:rPr>
              <w:t xml:space="preserve">(4.2, 6.8) </w:t>
            </w:r>
          </w:p>
        </w:tc>
      </w:tr>
      <w:tr w:rsidR="000B148D" w:rsidRPr="00054570" w14:paraId="481DA30A" w14:textId="77777777">
        <w:tc>
          <w:tcPr>
            <w:tcW w:w="5098" w:type="dxa"/>
            <w:tcBorders>
              <w:top w:val="single" w:sz="4" w:space="0" w:color="auto"/>
              <w:bottom w:val="single" w:sz="4" w:space="0" w:color="auto"/>
            </w:tcBorders>
            <w:shd w:val="clear" w:color="auto" w:fill="F2F2F2" w:themeFill="background1" w:themeFillShade="F2"/>
          </w:tcPr>
          <w:p w14:paraId="30102535" w14:textId="77777777" w:rsidR="000B148D" w:rsidRPr="00054570" w:rsidRDefault="000B148D">
            <w:pPr>
              <w:pStyle w:val="Tablebody"/>
              <w:ind w:left="174"/>
            </w:pPr>
            <w:r w:rsidRPr="00054570">
              <w:t>Stratified Cox hazard ratio</w:t>
            </w:r>
            <w:r w:rsidRPr="00054570">
              <w:rPr>
                <w:rFonts w:cs="Arial"/>
                <w:vertAlign w:val="superscript"/>
              </w:rPr>
              <w:t>‡</w:t>
            </w:r>
          </w:p>
        </w:tc>
        <w:tc>
          <w:tcPr>
            <w:tcW w:w="3918" w:type="dxa"/>
            <w:gridSpan w:val="2"/>
            <w:tcBorders>
              <w:top w:val="single" w:sz="4" w:space="0" w:color="auto"/>
              <w:bottom w:val="single" w:sz="4" w:space="0" w:color="auto"/>
            </w:tcBorders>
          </w:tcPr>
          <w:p w14:paraId="76702A8F" w14:textId="77777777" w:rsidR="000B148D" w:rsidRPr="00054570" w:rsidRDefault="000B148D">
            <w:pPr>
              <w:pStyle w:val="Tablebody"/>
              <w:jc w:val="center"/>
              <w:rPr>
                <w:rFonts w:cs="Arial"/>
              </w:rPr>
            </w:pPr>
            <w:r w:rsidRPr="00054570">
              <w:rPr>
                <w:rFonts w:eastAsia="Times New Roman" w:cs="Arial"/>
              </w:rPr>
              <w:t xml:space="preserve">0.5014 </w:t>
            </w:r>
          </w:p>
        </w:tc>
      </w:tr>
      <w:tr w:rsidR="000B148D" w:rsidRPr="00054570" w14:paraId="335A50E1" w14:textId="77777777">
        <w:tc>
          <w:tcPr>
            <w:tcW w:w="5098" w:type="dxa"/>
            <w:tcBorders>
              <w:top w:val="single" w:sz="4" w:space="0" w:color="auto"/>
              <w:bottom w:val="single" w:sz="4" w:space="0" w:color="auto"/>
            </w:tcBorders>
            <w:shd w:val="clear" w:color="auto" w:fill="F2F2F2" w:themeFill="background1" w:themeFillShade="F2"/>
          </w:tcPr>
          <w:p w14:paraId="34049079" w14:textId="77777777" w:rsidR="000B148D" w:rsidRPr="00054570" w:rsidRDefault="000B148D">
            <w:pPr>
              <w:pStyle w:val="Tablebody"/>
              <w:ind w:left="316"/>
            </w:pPr>
            <w:r w:rsidRPr="00054570">
              <w:t>(95% CI)</w:t>
            </w:r>
            <w:r w:rsidRPr="00054570">
              <w:rPr>
                <w:rFonts w:cs="Arial"/>
                <w:vertAlign w:val="superscript"/>
              </w:rPr>
              <w:t>§</w:t>
            </w:r>
          </w:p>
        </w:tc>
        <w:tc>
          <w:tcPr>
            <w:tcW w:w="3918" w:type="dxa"/>
            <w:gridSpan w:val="2"/>
            <w:tcBorders>
              <w:top w:val="single" w:sz="4" w:space="0" w:color="auto"/>
              <w:bottom w:val="single" w:sz="4" w:space="0" w:color="auto"/>
            </w:tcBorders>
          </w:tcPr>
          <w:p w14:paraId="2E2743A1" w14:textId="77777777" w:rsidR="000B148D" w:rsidRPr="00054570" w:rsidRDefault="000B148D">
            <w:pPr>
              <w:pStyle w:val="Tablebody"/>
              <w:jc w:val="center"/>
              <w:rPr>
                <w:rFonts w:cs="Arial"/>
              </w:rPr>
            </w:pPr>
            <w:r w:rsidRPr="00054570">
              <w:rPr>
                <w:rFonts w:eastAsia="Times New Roman" w:cs="Arial"/>
              </w:rPr>
              <w:t xml:space="preserve">(0.4013, 0.6265) </w:t>
            </w:r>
          </w:p>
        </w:tc>
      </w:tr>
      <w:tr w:rsidR="000B148D" w:rsidRPr="00054570" w14:paraId="4AEC9106" w14:textId="77777777">
        <w:tc>
          <w:tcPr>
            <w:tcW w:w="5098" w:type="dxa"/>
            <w:tcBorders>
              <w:top w:val="single" w:sz="4" w:space="0" w:color="auto"/>
              <w:bottom w:val="single" w:sz="4" w:space="0" w:color="auto"/>
            </w:tcBorders>
            <w:shd w:val="clear" w:color="auto" w:fill="F2F2F2" w:themeFill="background1" w:themeFillShade="F2"/>
          </w:tcPr>
          <w:p w14:paraId="2ADD95F7" w14:textId="77777777" w:rsidR="000B148D" w:rsidRPr="00054570" w:rsidRDefault="000B148D">
            <w:pPr>
              <w:pStyle w:val="Tablebody"/>
              <w:ind w:left="316"/>
            </w:pPr>
            <w:r w:rsidRPr="00054570">
              <w:t>Stratified log-rank p-value</w:t>
            </w:r>
          </w:p>
        </w:tc>
        <w:tc>
          <w:tcPr>
            <w:tcW w:w="3918" w:type="dxa"/>
            <w:gridSpan w:val="2"/>
            <w:tcBorders>
              <w:top w:val="single" w:sz="4" w:space="0" w:color="auto"/>
              <w:bottom w:val="single" w:sz="4" w:space="0" w:color="auto"/>
            </w:tcBorders>
          </w:tcPr>
          <w:p w14:paraId="11CEF07C" w14:textId="77777777" w:rsidR="000B148D" w:rsidRPr="00054570" w:rsidRDefault="000B148D">
            <w:pPr>
              <w:pStyle w:val="Tablebody"/>
              <w:jc w:val="center"/>
              <w:rPr>
                <w:rFonts w:cs="Arial"/>
              </w:rPr>
            </w:pPr>
            <w:r w:rsidRPr="00054570">
              <w:rPr>
                <w:rFonts w:eastAsia="Times New Roman" w:cs="Arial"/>
              </w:rPr>
              <w:t>&lt;0.0001</w:t>
            </w:r>
          </w:p>
        </w:tc>
      </w:tr>
      <w:tr w:rsidR="000B148D" w:rsidRPr="00054570" w14:paraId="4B13B7C2" w14:textId="77777777">
        <w:tc>
          <w:tcPr>
            <w:tcW w:w="5098" w:type="dxa"/>
            <w:tcBorders>
              <w:bottom w:val="single" w:sz="4" w:space="0" w:color="auto"/>
            </w:tcBorders>
            <w:shd w:val="clear" w:color="auto" w:fill="F2F2F2" w:themeFill="background1" w:themeFillShade="F2"/>
          </w:tcPr>
          <w:p w14:paraId="7084740F" w14:textId="77777777" w:rsidR="000B148D" w:rsidRPr="00054570" w:rsidRDefault="000B148D">
            <w:pPr>
              <w:pStyle w:val="Tablebody"/>
              <w:keepNext/>
            </w:pPr>
            <w:r w:rsidRPr="00054570">
              <w:t>Proportion alive and progression-free at landmark (%)</w:t>
            </w:r>
            <w:r w:rsidRPr="00054570">
              <w:rPr>
                <w:rFonts w:cs="Arial"/>
                <w:vertAlign w:val="superscript"/>
              </w:rPr>
              <w:t>§</w:t>
            </w:r>
          </w:p>
        </w:tc>
        <w:tc>
          <w:tcPr>
            <w:tcW w:w="1959" w:type="dxa"/>
            <w:tcBorders>
              <w:bottom w:val="single" w:sz="4" w:space="0" w:color="auto"/>
            </w:tcBorders>
            <w:shd w:val="clear" w:color="auto" w:fill="F2F2F2" w:themeFill="background1" w:themeFillShade="F2"/>
          </w:tcPr>
          <w:p w14:paraId="24655E55" w14:textId="77777777" w:rsidR="000B148D" w:rsidRPr="00054570" w:rsidRDefault="000B148D">
            <w:pPr>
              <w:pStyle w:val="Tablebody"/>
              <w:jc w:val="center"/>
              <w:rPr>
                <w:rFonts w:cs="Arial"/>
              </w:rPr>
            </w:pPr>
          </w:p>
        </w:tc>
        <w:tc>
          <w:tcPr>
            <w:tcW w:w="1959" w:type="dxa"/>
            <w:tcBorders>
              <w:bottom w:val="single" w:sz="4" w:space="0" w:color="auto"/>
            </w:tcBorders>
            <w:shd w:val="clear" w:color="auto" w:fill="F2F2F2" w:themeFill="background1" w:themeFillShade="F2"/>
          </w:tcPr>
          <w:p w14:paraId="5FE0B885" w14:textId="77777777" w:rsidR="000B148D" w:rsidRPr="00054570" w:rsidRDefault="000B148D">
            <w:pPr>
              <w:pStyle w:val="Tablebody"/>
              <w:jc w:val="center"/>
              <w:rPr>
                <w:rFonts w:cs="Arial"/>
              </w:rPr>
            </w:pPr>
          </w:p>
        </w:tc>
      </w:tr>
      <w:tr w:rsidR="000B148D" w:rsidRPr="00054570" w14:paraId="51B32896" w14:textId="77777777">
        <w:tc>
          <w:tcPr>
            <w:tcW w:w="5098" w:type="dxa"/>
            <w:tcBorders>
              <w:top w:val="single" w:sz="4" w:space="0" w:color="auto"/>
              <w:bottom w:val="single" w:sz="4" w:space="0" w:color="auto"/>
            </w:tcBorders>
            <w:shd w:val="clear" w:color="auto" w:fill="F2F2F2" w:themeFill="background1" w:themeFillShade="F2"/>
          </w:tcPr>
          <w:p w14:paraId="4E7D6777" w14:textId="77777777" w:rsidR="000B148D" w:rsidRPr="00054570" w:rsidRDefault="000B148D">
            <w:pPr>
              <w:pStyle w:val="Tablebody"/>
              <w:ind w:left="174"/>
            </w:pPr>
            <w:r w:rsidRPr="00054570">
              <w:t>3 months (95% CI)</w:t>
            </w:r>
          </w:p>
        </w:tc>
        <w:tc>
          <w:tcPr>
            <w:tcW w:w="1959" w:type="dxa"/>
            <w:tcBorders>
              <w:top w:val="single" w:sz="4" w:space="0" w:color="auto"/>
              <w:bottom w:val="single" w:sz="4" w:space="0" w:color="auto"/>
            </w:tcBorders>
          </w:tcPr>
          <w:p w14:paraId="3BF71FD7" w14:textId="0A522F4A" w:rsidR="000B148D" w:rsidRPr="00294FDC" w:rsidRDefault="00294FDC">
            <w:pPr>
              <w:pStyle w:val="Tablebody"/>
              <w:jc w:val="center"/>
              <w:rPr>
                <w:rFonts w:cs="Arial"/>
                <w:color w:val="000000"/>
                <w:highlight w:val="black"/>
              </w:rPr>
            </w:pPr>
            <w:r w:rsidRPr="00294FDC">
              <w:rPr>
                <w:rFonts w:eastAsia="Times New Roman" w:cs="Arial"/>
                <w:color w:val="000000"/>
                <w:highlight w:val="black"/>
              </w:rPr>
              <w:t>xxxxxxxxxxxxxxxxxx</w:t>
            </w:r>
          </w:p>
        </w:tc>
        <w:tc>
          <w:tcPr>
            <w:tcW w:w="1959" w:type="dxa"/>
            <w:tcBorders>
              <w:top w:val="single" w:sz="4" w:space="0" w:color="auto"/>
              <w:bottom w:val="single" w:sz="4" w:space="0" w:color="auto"/>
            </w:tcBorders>
          </w:tcPr>
          <w:p w14:paraId="128D4C42" w14:textId="50FAFADB" w:rsidR="000B148D" w:rsidRPr="00294FDC" w:rsidRDefault="00294FDC">
            <w:pPr>
              <w:pStyle w:val="Tablebody"/>
              <w:jc w:val="center"/>
              <w:rPr>
                <w:rFonts w:cs="Arial"/>
                <w:color w:val="000000"/>
                <w:highlight w:val="black"/>
              </w:rPr>
            </w:pPr>
            <w:r w:rsidRPr="00294FDC">
              <w:rPr>
                <w:rFonts w:eastAsia="Times New Roman" w:cs="Arial"/>
                <w:color w:val="000000"/>
                <w:highlight w:val="black"/>
              </w:rPr>
              <w:t>xxxxxxxxxxxxxxxxxx</w:t>
            </w:r>
          </w:p>
        </w:tc>
      </w:tr>
      <w:tr w:rsidR="000B148D" w:rsidRPr="00054570" w14:paraId="34BAFFF9" w14:textId="77777777">
        <w:tc>
          <w:tcPr>
            <w:tcW w:w="5098" w:type="dxa"/>
            <w:tcBorders>
              <w:top w:val="single" w:sz="4" w:space="0" w:color="auto"/>
              <w:bottom w:val="single" w:sz="4" w:space="0" w:color="auto"/>
            </w:tcBorders>
            <w:shd w:val="clear" w:color="auto" w:fill="F2F2F2" w:themeFill="background1" w:themeFillShade="F2"/>
          </w:tcPr>
          <w:p w14:paraId="6128ED90" w14:textId="77777777" w:rsidR="000B148D" w:rsidRPr="00054570" w:rsidRDefault="000B148D">
            <w:pPr>
              <w:pStyle w:val="Tablebody"/>
              <w:ind w:left="174"/>
            </w:pPr>
            <w:r w:rsidRPr="00054570">
              <w:t>6 months (95% CI)</w:t>
            </w:r>
          </w:p>
        </w:tc>
        <w:tc>
          <w:tcPr>
            <w:tcW w:w="1959" w:type="dxa"/>
            <w:tcBorders>
              <w:top w:val="single" w:sz="4" w:space="0" w:color="auto"/>
              <w:bottom w:val="single" w:sz="4" w:space="0" w:color="auto"/>
            </w:tcBorders>
          </w:tcPr>
          <w:p w14:paraId="7A2E9CCD" w14:textId="271A4AB6" w:rsidR="000B148D" w:rsidRPr="00294FDC" w:rsidRDefault="00294FDC">
            <w:pPr>
              <w:pStyle w:val="Tablebody"/>
              <w:jc w:val="center"/>
              <w:rPr>
                <w:rFonts w:cs="Arial"/>
                <w:color w:val="000000"/>
                <w:highlight w:val="black"/>
              </w:rPr>
            </w:pPr>
            <w:r w:rsidRPr="00294FDC">
              <w:rPr>
                <w:rFonts w:eastAsia="Times New Roman" w:cs="Arial"/>
                <w:color w:val="000000"/>
                <w:highlight w:val="black"/>
              </w:rPr>
              <w:t>xxxxxxxxxxxxxxxxxx</w:t>
            </w:r>
          </w:p>
        </w:tc>
        <w:tc>
          <w:tcPr>
            <w:tcW w:w="1959" w:type="dxa"/>
            <w:tcBorders>
              <w:top w:val="single" w:sz="4" w:space="0" w:color="auto"/>
              <w:bottom w:val="single" w:sz="4" w:space="0" w:color="auto"/>
            </w:tcBorders>
          </w:tcPr>
          <w:p w14:paraId="69426F76" w14:textId="3E6E73A5" w:rsidR="000B148D" w:rsidRPr="00294FDC" w:rsidRDefault="00294FDC">
            <w:pPr>
              <w:pStyle w:val="Tablebody"/>
              <w:jc w:val="center"/>
              <w:rPr>
                <w:rFonts w:cs="Arial"/>
                <w:color w:val="000000"/>
                <w:highlight w:val="black"/>
              </w:rPr>
            </w:pPr>
            <w:r w:rsidRPr="00294FDC">
              <w:rPr>
                <w:rFonts w:eastAsia="Times New Roman" w:cs="Arial"/>
                <w:color w:val="000000"/>
                <w:highlight w:val="black"/>
              </w:rPr>
              <w:t>xxxxxxxxxxxxxxxxxx</w:t>
            </w:r>
          </w:p>
        </w:tc>
      </w:tr>
      <w:tr w:rsidR="000B148D" w:rsidRPr="00054570" w14:paraId="2C7EAF10" w14:textId="77777777">
        <w:tc>
          <w:tcPr>
            <w:tcW w:w="5098" w:type="dxa"/>
            <w:tcBorders>
              <w:top w:val="single" w:sz="4" w:space="0" w:color="auto"/>
              <w:bottom w:val="single" w:sz="4" w:space="0" w:color="auto"/>
            </w:tcBorders>
            <w:shd w:val="clear" w:color="auto" w:fill="F2F2F2" w:themeFill="background1" w:themeFillShade="F2"/>
          </w:tcPr>
          <w:p w14:paraId="04FAC1D6" w14:textId="77777777" w:rsidR="000B148D" w:rsidRPr="00054570" w:rsidRDefault="000B148D">
            <w:pPr>
              <w:pStyle w:val="Tablebody"/>
              <w:ind w:left="174"/>
            </w:pPr>
            <w:r w:rsidRPr="00054570">
              <w:t>9 months (95% CI)</w:t>
            </w:r>
          </w:p>
        </w:tc>
        <w:tc>
          <w:tcPr>
            <w:tcW w:w="1959" w:type="dxa"/>
            <w:tcBorders>
              <w:top w:val="single" w:sz="4" w:space="0" w:color="auto"/>
              <w:bottom w:val="single" w:sz="4" w:space="0" w:color="auto"/>
            </w:tcBorders>
          </w:tcPr>
          <w:p w14:paraId="22EAE212" w14:textId="65E6D77C" w:rsidR="000B148D" w:rsidRPr="00294FDC" w:rsidRDefault="00294FDC">
            <w:pPr>
              <w:pStyle w:val="Tablebody"/>
              <w:jc w:val="center"/>
              <w:rPr>
                <w:rFonts w:cs="Arial"/>
                <w:color w:val="000000"/>
                <w:highlight w:val="black"/>
              </w:rPr>
            </w:pPr>
            <w:r w:rsidRPr="00294FDC">
              <w:rPr>
                <w:rFonts w:eastAsia="Times New Roman" w:cs="Arial"/>
                <w:color w:val="000000"/>
                <w:highlight w:val="black"/>
              </w:rPr>
              <w:t>xxxxxxxxxxxxxxxxxx</w:t>
            </w:r>
          </w:p>
        </w:tc>
        <w:tc>
          <w:tcPr>
            <w:tcW w:w="1959" w:type="dxa"/>
            <w:tcBorders>
              <w:top w:val="single" w:sz="4" w:space="0" w:color="auto"/>
              <w:bottom w:val="single" w:sz="4" w:space="0" w:color="auto"/>
            </w:tcBorders>
          </w:tcPr>
          <w:p w14:paraId="27EF9047" w14:textId="7B0C76EC" w:rsidR="000B148D" w:rsidRPr="00294FDC" w:rsidRDefault="00294FDC">
            <w:pPr>
              <w:pStyle w:val="Tablebody"/>
              <w:jc w:val="center"/>
              <w:rPr>
                <w:rFonts w:cs="Arial"/>
                <w:color w:val="000000"/>
                <w:highlight w:val="black"/>
              </w:rPr>
            </w:pPr>
            <w:r w:rsidRPr="00294FDC">
              <w:rPr>
                <w:rFonts w:eastAsia="Times New Roman" w:cs="Arial"/>
                <w:color w:val="000000"/>
                <w:highlight w:val="black"/>
              </w:rPr>
              <w:t>xxxxxxxxxxxxxxxxxx</w:t>
            </w:r>
          </w:p>
        </w:tc>
      </w:tr>
      <w:tr w:rsidR="000B148D" w:rsidRPr="00054570" w14:paraId="1D7F1F68" w14:textId="77777777">
        <w:tc>
          <w:tcPr>
            <w:tcW w:w="5098" w:type="dxa"/>
            <w:tcBorders>
              <w:top w:val="single" w:sz="4" w:space="0" w:color="auto"/>
              <w:bottom w:val="single" w:sz="4" w:space="0" w:color="auto"/>
            </w:tcBorders>
            <w:shd w:val="clear" w:color="auto" w:fill="F2F2F2" w:themeFill="background1" w:themeFillShade="F2"/>
          </w:tcPr>
          <w:p w14:paraId="130EC64B" w14:textId="77777777" w:rsidR="000B148D" w:rsidRPr="00054570" w:rsidRDefault="000B148D">
            <w:pPr>
              <w:pStyle w:val="Tablebody"/>
              <w:ind w:left="174"/>
            </w:pPr>
            <w:r w:rsidRPr="00054570">
              <w:t>12 months (95% CI)</w:t>
            </w:r>
          </w:p>
        </w:tc>
        <w:tc>
          <w:tcPr>
            <w:tcW w:w="1959" w:type="dxa"/>
            <w:tcBorders>
              <w:top w:val="single" w:sz="4" w:space="0" w:color="auto"/>
              <w:bottom w:val="single" w:sz="4" w:space="0" w:color="auto"/>
            </w:tcBorders>
          </w:tcPr>
          <w:p w14:paraId="38D9D7AE" w14:textId="02F2FDE3" w:rsidR="000B148D" w:rsidRPr="00294FDC" w:rsidRDefault="00294FDC">
            <w:pPr>
              <w:pStyle w:val="Tablebody"/>
              <w:jc w:val="center"/>
              <w:rPr>
                <w:rFonts w:cs="Arial"/>
                <w:color w:val="000000"/>
                <w:highlight w:val="black"/>
              </w:rPr>
            </w:pPr>
            <w:r w:rsidRPr="00294FDC">
              <w:rPr>
                <w:rFonts w:eastAsia="Times New Roman" w:cs="Arial"/>
                <w:color w:val="000000"/>
                <w:highlight w:val="black"/>
              </w:rPr>
              <w:t>xxxxxxxxxxxxxxxxxx</w:t>
            </w:r>
          </w:p>
        </w:tc>
        <w:tc>
          <w:tcPr>
            <w:tcW w:w="1959" w:type="dxa"/>
            <w:tcBorders>
              <w:top w:val="single" w:sz="4" w:space="0" w:color="auto"/>
              <w:bottom w:val="single" w:sz="4" w:space="0" w:color="auto"/>
            </w:tcBorders>
          </w:tcPr>
          <w:p w14:paraId="1833FD0A" w14:textId="6388E7DA" w:rsidR="000B148D" w:rsidRPr="00294FDC" w:rsidRDefault="00294FDC">
            <w:pPr>
              <w:pStyle w:val="Tablebody"/>
              <w:jc w:val="center"/>
              <w:rPr>
                <w:rFonts w:cs="Arial"/>
                <w:color w:val="000000"/>
                <w:highlight w:val="black"/>
              </w:rPr>
            </w:pPr>
            <w:r w:rsidRPr="00294FDC">
              <w:rPr>
                <w:rFonts w:eastAsia="Times New Roman" w:cs="Arial"/>
                <w:color w:val="000000"/>
                <w:highlight w:val="black"/>
              </w:rPr>
              <w:t>xxxxxxxxxxxxxxxxxx</w:t>
            </w:r>
          </w:p>
        </w:tc>
      </w:tr>
      <w:tr w:rsidR="000B148D" w:rsidRPr="00054570" w14:paraId="2E8E89CB" w14:textId="77777777">
        <w:tc>
          <w:tcPr>
            <w:tcW w:w="5098" w:type="dxa"/>
            <w:tcBorders>
              <w:top w:val="single" w:sz="4" w:space="0" w:color="auto"/>
              <w:bottom w:val="single" w:sz="4" w:space="0" w:color="auto"/>
            </w:tcBorders>
            <w:shd w:val="clear" w:color="auto" w:fill="F2F2F2" w:themeFill="background1" w:themeFillShade="F2"/>
          </w:tcPr>
          <w:p w14:paraId="30E4AA28" w14:textId="77777777" w:rsidR="000B148D" w:rsidRPr="00054570" w:rsidRDefault="000B148D">
            <w:pPr>
              <w:pStyle w:val="Tablebody"/>
              <w:keepNext/>
              <w:ind w:left="176"/>
            </w:pPr>
            <w:r w:rsidRPr="00054570">
              <w:t>18 months (95% CI)</w:t>
            </w:r>
          </w:p>
        </w:tc>
        <w:tc>
          <w:tcPr>
            <w:tcW w:w="1959" w:type="dxa"/>
            <w:tcBorders>
              <w:top w:val="single" w:sz="4" w:space="0" w:color="auto"/>
              <w:bottom w:val="single" w:sz="4" w:space="0" w:color="auto"/>
            </w:tcBorders>
          </w:tcPr>
          <w:p w14:paraId="4F607E0C" w14:textId="5109FC29" w:rsidR="000B148D" w:rsidRPr="00294FDC" w:rsidRDefault="00294FDC">
            <w:pPr>
              <w:pStyle w:val="Tablebody"/>
              <w:jc w:val="center"/>
              <w:rPr>
                <w:rFonts w:cs="Arial"/>
                <w:color w:val="000000"/>
                <w:highlight w:val="black"/>
              </w:rPr>
            </w:pPr>
            <w:r w:rsidRPr="00294FDC">
              <w:rPr>
                <w:rFonts w:eastAsia="Times New Roman" w:cs="Arial"/>
                <w:color w:val="000000"/>
                <w:highlight w:val="black"/>
              </w:rPr>
              <w:t>xxxxxxxxxxxxxxxxxx</w:t>
            </w:r>
          </w:p>
        </w:tc>
        <w:tc>
          <w:tcPr>
            <w:tcW w:w="1959" w:type="dxa"/>
            <w:tcBorders>
              <w:top w:val="single" w:sz="4" w:space="0" w:color="auto"/>
              <w:bottom w:val="single" w:sz="4" w:space="0" w:color="auto"/>
            </w:tcBorders>
          </w:tcPr>
          <w:p w14:paraId="43D07112" w14:textId="49130409" w:rsidR="000B148D" w:rsidRPr="00294FDC" w:rsidRDefault="00294FDC">
            <w:pPr>
              <w:pStyle w:val="Tablebody"/>
              <w:jc w:val="center"/>
              <w:rPr>
                <w:rFonts w:cs="Arial"/>
                <w:color w:val="000000"/>
                <w:highlight w:val="black"/>
              </w:rPr>
            </w:pPr>
            <w:r w:rsidRPr="00294FDC">
              <w:rPr>
                <w:rFonts w:eastAsia="Times New Roman" w:cs="Arial"/>
                <w:color w:val="000000"/>
                <w:highlight w:val="black"/>
              </w:rPr>
              <w:t>xxxxxxxxxxxxxxxxx</w:t>
            </w:r>
          </w:p>
        </w:tc>
      </w:tr>
      <w:tr w:rsidR="000B148D" w:rsidRPr="00054570" w14:paraId="14669124" w14:textId="77777777">
        <w:tc>
          <w:tcPr>
            <w:tcW w:w="5098" w:type="dxa"/>
            <w:tcBorders>
              <w:top w:val="single" w:sz="4" w:space="0" w:color="auto"/>
            </w:tcBorders>
            <w:shd w:val="clear" w:color="auto" w:fill="F2F2F2" w:themeFill="background1" w:themeFillShade="F2"/>
          </w:tcPr>
          <w:p w14:paraId="2D490AD0" w14:textId="77777777" w:rsidR="000B148D" w:rsidRPr="00054570" w:rsidRDefault="000B148D">
            <w:pPr>
              <w:pStyle w:val="Tablebody"/>
              <w:keepNext/>
              <w:ind w:left="176"/>
            </w:pPr>
            <w:r w:rsidRPr="00054570">
              <w:t>24 months (95% CI)</w:t>
            </w:r>
          </w:p>
        </w:tc>
        <w:tc>
          <w:tcPr>
            <w:tcW w:w="1959" w:type="dxa"/>
            <w:tcBorders>
              <w:top w:val="single" w:sz="4" w:space="0" w:color="auto"/>
            </w:tcBorders>
          </w:tcPr>
          <w:p w14:paraId="66308DC6" w14:textId="6F717D11" w:rsidR="000B148D" w:rsidRPr="00294FDC" w:rsidRDefault="00294FDC">
            <w:pPr>
              <w:pStyle w:val="Tablebody"/>
              <w:jc w:val="center"/>
              <w:rPr>
                <w:rFonts w:cs="Arial"/>
                <w:color w:val="000000"/>
                <w:highlight w:val="black"/>
              </w:rPr>
            </w:pPr>
            <w:r w:rsidRPr="00294FDC">
              <w:rPr>
                <w:rFonts w:eastAsia="Times New Roman" w:cs="Arial"/>
                <w:color w:val="000000"/>
                <w:highlight w:val="black"/>
              </w:rPr>
              <w:t>xxxxxxxxxxxxxxxxxx</w:t>
            </w:r>
          </w:p>
        </w:tc>
        <w:tc>
          <w:tcPr>
            <w:tcW w:w="1959" w:type="dxa"/>
            <w:tcBorders>
              <w:top w:val="single" w:sz="4" w:space="0" w:color="auto"/>
            </w:tcBorders>
          </w:tcPr>
          <w:p w14:paraId="6FBBD851" w14:textId="49CDE8EB" w:rsidR="000B148D" w:rsidRPr="00294FDC" w:rsidRDefault="00294FDC">
            <w:pPr>
              <w:pStyle w:val="Tablebody"/>
              <w:jc w:val="center"/>
              <w:rPr>
                <w:rFonts w:cs="Arial"/>
                <w:color w:val="000000"/>
                <w:highlight w:val="black"/>
              </w:rPr>
            </w:pPr>
            <w:r w:rsidRPr="00294FDC">
              <w:rPr>
                <w:rFonts w:eastAsia="Times New Roman" w:cs="Arial"/>
                <w:color w:val="000000"/>
                <w:highlight w:val="black"/>
              </w:rPr>
              <w:t>xxxxxxxxxxxxxxxx</w:t>
            </w:r>
          </w:p>
        </w:tc>
      </w:tr>
    </w:tbl>
    <w:p w14:paraId="3DDAD357" w14:textId="086D245B" w:rsidR="000B148D" w:rsidRPr="00054570" w:rsidRDefault="000B148D" w:rsidP="000B148D">
      <w:pPr>
        <w:pStyle w:val="Footnotes"/>
      </w:pPr>
      <w:r w:rsidRPr="00054570">
        <w:t xml:space="preserve">*Censoring reasons included: </w:t>
      </w:r>
      <w:r w:rsidR="00294FDC" w:rsidRPr="00294FDC">
        <w:rPr>
          <w:color w:val="000000"/>
          <w:highlight w:val="black"/>
        </w:rPr>
        <w:t>xxxxxxxxxxxxxxxxxxxxxxxxxxxxxxxxxxxxxxxxxxxxxxxxxxxxxxxxxxxxxxxxxxxxxxxx</w:t>
      </w:r>
      <w:r w:rsidR="001822FA">
        <w:rPr>
          <w:color w:val="000000"/>
          <w:highlight w:val="black"/>
        </w:rPr>
        <w:t xml:space="preserve"> </w:t>
      </w:r>
      <w:r w:rsidR="00294FDC" w:rsidRPr="00294FDC">
        <w:rPr>
          <w:color w:val="000000"/>
          <w:highlight w:val="black"/>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r>
        <w:rPr>
          <w:u w:val="single"/>
        </w:rPr>
        <w:t>.</w:t>
      </w:r>
      <w:r w:rsidRPr="00054570">
        <w:t xml:space="preserve"> </w:t>
      </w:r>
      <w:r w:rsidRPr="00054570">
        <w:br/>
      </w:r>
      <w:r w:rsidRPr="00054570">
        <w:rPr>
          <w:rFonts w:cs="Arial"/>
        </w:rPr>
        <w:t>†</w:t>
      </w:r>
      <w:r w:rsidRPr="005C518C">
        <w:t xml:space="preserve">Median PFS is from the KM </w:t>
      </w:r>
      <w:r w:rsidRPr="0071670B">
        <w:t>analysis. CI for median was computed using the Brookmeyer-Crowley method.</w:t>
      </w:r>
      <w:r w:rsidRPr="00054570">
        <w:t xml:space="preserve"> </w:t>
      </w:r>
      <w:r w:rsidRPr="00054570">
        <w:br/>
      </w:r>
      <w:r w:rsidRPr="00054570">
        <w:rPr>
          <w:rFonts w:cs="Arial"/>
        </w:rPr>
        <w:t>‡</w:t>
      </w:r>
      <w:r w:rsidRPr="00054570">
        <w:rPr>
          <w:rFonts w:cs="Yu Gothic Light"/>
        </w:rPr>
        <w:t>Two</w:t>
      </w:r>
      <w:r w:rsidRPr="00054570">
        <w:t xml:space="preserve">-sided p-value is from the stratified log-rank test; hazard ratio and 95% CI are from the stratified Cox proportional hazards model with stratification factors: HER2 status, number of prior lines of chemotherapy, HR/CDK status, as defined by the IXRS. </w:t>
      </w:r>
      <w:r w:rsidRPr="00054570">
        <w:br/>
      </w:r>
      <w:r w:rsidRPr="00054570">
        <w:rPr>
          <w:rFonts w:cs="Arial"/>
        </w:rPr>
        <w:t>§</w:t>
      </w:r>
      <w:r w:rsidRPr="0071670B">
        <w:t>Estimate and CI for PFS rate at the specified time point are from the KM analysis.</w:t>
      </w:r>
      <w:r w:rsidRPr="00054570">
        <w:br/>
        <w:t xml:space="preserve">Abbreviations: BICR, blinded independent central review; CI, confidence interval; PFS, progression-free survival; T-DXd, trastuzumab deruxtecan; TPC, treatment of physician’s choice. </w:t>
      </w:r>
      <w:r w:rsidRPr="00054570">
        <w:br/>
      </w:r>
      <w:r w:rsidRPr="008778EF">
        <w:t>Source: Modi et al., 2022</w:t>
      </w:r>
      <w:r>
        <w:rPr>
          <w:lang w:val="fr-FR"/>
        </w:rPr>
        <w:fldChar w:fldCharType="begin"/>
      </w:r>
      <w:r w:rsidR="00CA6345">
        <w:instrText xml:space="preserve"> ADDIN ZOTERO_ITEM CSL_CITATION {"citationID":"VV8g9OwE","properties":{"formattedCitation":"\\super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Pr>
          <w:lang w:val="fr-FR"/>
        </w:rPr>
        <w:fldChar w:fldCharType="separate"/>
      </w:r>
      <w:r w:rsidR="00FD57F4" w:rsidRPr="00FD57F4">
        <w:rPr>
          <w:rFonts w:cs="Arial"/>
          <w:szCs w:val="24"/>
          <w:vertAlign w:val="superscript"/>
        </w:rPr>
        <w:t>6</w:t>
      </w:r>
      <w:r>
        <w:rPr>
          <w:lang w:val="fr-FR"/>
        </w:rPr>
        <w:fldChar w:fldCharType="end"/>
      </w:r>
      <w:r w:rsidRPr="008778EF">
        <w:t>; Daiichi Sankyo Inc., 2022 (CSR; Data on File).</w:t>
      </w:r>
      <w:r w:rsidRPr="00054570">
        <w:fldChar w:fldCharType="begin"/>
      </w:r>
      <w:r w:rsidR="00CA6345">
        <w:instrText xml:space="preserve"> ADDIN ZOTERO_ITEM CSL_CITATION {"citationID":"T4MXAxcd","properties":{"formattedCitation":"\\super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bookmarkStart w:id="236" w:name="_Ref90883919"/>
    </w:p>
    <w:p w14:paraId="0EEA9277" w14:textId="77777777" w:rsidR="000B148D" w:rsidRPr="008778EF" w:rsidRDefault="000B148D" w:rsidP="000B148D">
      <w:pPr>
        <w:pStyle w:val="Heading5"/>
        <w:numPr>
          <w:ilvl w:val="0"/>
          <w:numId w:val="0"/>
        </w:numPr>
        <w:ind w:left="1276" w:hanging="1276"/>
      </w:pPr>
      <w:r w:rsidRPr="008778EF">
        <w:t xml:space="preserve">Key secondary efficacy | OS in HR-positive cohort </w:t>
      </w:r>
    </w:p>
    <w:p w14:paraId="58019B3F" w14:textId="7B82F925" w:rsidR="000B148D" w:rsidRDefault="000B148D" w:rsidP="000B148D">
      <w:pPr>
        <w:pStyle w:val="Body"/>
      </w:pPr>
      <w:r w:rsidRPr="00054570">
        <w:t xml:space="preserve">At DCO in the HR-positive cohort, the median duration of </w:t>
      </w:r>
      <w:r>
        <w:t xml:space="preserve">survival </w:t>
      </w:r>
      <w:r w:rsidRPr="00054570">
        <w:t>follow-up was 18.4 months</w:t>
      </w:r>
      <w:r>
        <w:fldChar w:fldCharType="begin"/>
      </w:r>
      <w:r w:rsidR="00CA6345">
        <w:instrText xml:space="preserve"> ADDIN ZOTERO_ITEM CSL_CITATION {"citationID":"HFcLOb1q","properties":{"formattedCitation":"\\super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054570">
        <w:t xml:space="preserve"> and </w:t>
      </w:r>
      <w:r>
        <w:t xml:space="preserve">events of death were reported in </w:t>
      </w:r>
      <w:r w:rsidR="00294FDC" w:rsidRPr="00294FDC">
        <w:rPr>
          <w:color w:val="000000"/>
          <w:highlight w:val="black"/>
        </w:rPr>
        <w:t>xxx</w:t>
      </w:r>
      <w:r w:rsidRPr="00054570">
        <w:t> patients (</w:t>
      </w:r>
      <w:r w:rsidR="00294FDC" w:rsidRPr="00294FDC">
        <w:rPr>
          <w:color w:val="000000"/>
          <w:highlight w:val="black"/>
        </w:rPr>
        <w:t>xxxxx</w:t>
      </w:r>
      <w:r w:rsidRPr="00054570">
        <w:t>) in the T</w:t>
      </w:r>
      <w:r w:rsidRPr="00054570">
        <w:noBreakHyphen/>
        <w:t xml:space="preserve">DXd arm and </w:t>
      </w:r>
      <w:r w:rsidR="00294FDC" w:rsidRPr="00294FDC">
        <w:rPr>
          <w:color w:val="000000"/>
          <w:highlight w:val="black"/>
        </w:rPr>
        <w:t>xx</w:t>
      </w:r>
      <w:r w:rsidRPr="00054570">
        <w:t> patients (</w:t>
      </w:r>
      <w:r w:rsidR="00294FDC" w:rsidRPr="00294FDC">
        <w:rPr>
          <w:color w:val="000000"/>
          <w:highlight w:val="black"/>
        </w:rPr>
        <w:t>xxxxx</w:t>
      </w:r>
      <w:r w:rsidRPr="00054570">
        <w:t>) in the TPC arm (</w:t>
      </w:r>
      <w:r w:rsidRPr="00FF0A37">
        <w:rPr>
          <w:b/>
          <w:bCs/>
        </w:rPr>
        <w:fldChar w:fldCharType="begin"/>
      </w:r>
      <w:r w:rsidRPr="00FF0A37">
        <w:rPr>
          <w:b/>
          <w:bCs/>
        </w:rPr>
        <w:instrText xml:space="preserve"> REF _Ref124433502 \h  \* MERGEFORMAT </w:instrText>
      </w:r>
      <w:r w:rsidRPr="00FF0A37">
        <w:rPr>
          <w:b/>
          <w:bCs/>
        </w:rPr>
      </w:r>
      <w:r w:rsidRPr="00FF0A37">
        <w:rPr>
          <w:b/>
          <w:bCs/>
        </w:rPr>
        <w:fldChar w:fldCharType="separate"/>
      </w:r>
      <w:r w:rsidR="00145F42" w:rsidRPr="00145F42">
        <w:rPr>
          <w:b/>
          <w:bCs/>
        </w:rPr>
        <w:t xml:space="preserve">Figure </w:t>
      </w:r>
      <w:r w:rsidR="00145F42" w:rsidRPr="00145F42">
        <w:rPr>
          <w:b/>
          <w:bCs/>
          <w:noProof/>
        </w:rPr>
        <w:t>13</w:t>
      </w:r>
      <w:r w:rsidRPr="00FF0A37">
        <w:rPr>
          <w:b/>
          <w:bCs/>
        </w:rPr>
        <w:fldChar w:fldCharType="end"/>
      </w:r>
      <w:r>
        <w:rPr>
          <w:b/>
          <w:bCs/>
        </w:rPr>
        <w:t xml:space="preserve">; </w:t>
      </w:r>
      <w:r w:rsidRPr="00FF0A37">
        <w:rPr>
          <w:b/>
          <w:bCs/>
        </w:rPr>
        <w:fldChar w:fldCharType="begin"/>
      </w:r>
      <w:r w:rsidRPr="00FF0A37">
        <w:rPr>
          <w:b/>
          <w:bCs/>
        </w:rPr>
        <w:instrText xml:space="preserve"> REF _Ref118738545 \h  \* MERGEFORMAT </w:instrText>
      </w:r>
      <w:r w:rsidRPr="00FF0A37">
        <w:rPr>
          <w:b/>
          <w:bCs/>
        </w:rPr>
      </w:r>
      <w:r w:rsidRPr="00FF0A37">
        <w:rPr>
          <w:b/>
          <w:bCs/>
        </w:rPr>
        <w:fldChar w:fldCharType="separate"/>
      </w:r>
      <w:r w:rsidR="00145F42" w:rsidRPr="00145F42">
        <w:rPr>
          <w:b/>
          <w:bCs/>
        </w:rPr>
        <w:t xml:space="preserve">Table </w:t>
      </w:r>
      <w:r w:rsidR="00145F42" w:rsidRPr="00145F42">
        <w:rPr>
          <w:b/>
          <w:bCs/>
          <w:noProof/>
        </w:rPr>
        <w:t>19</w:t>
      </w:r>
      <w:r w:rsidRPr="00FF0A37">
        <w:rPr>
          <w:b/>
          <w:bCs/>
        </w:rPr>
        <w:fldChar w:fldCharType="end"/>
      </w:r>
      <w:r w:rsidRPr="00054570">
        <w:t>).</w:t>
      </w:r>
      <w:r w:rsidRPr="00054570">
        <w:fldChar w:fldCharType="begin"/>
      </w:r>
      <w:r w:rsidR="00CA6345">
        <w:instrText xml:space="preserve"> ADDIN ZOTERO_ITEM CSL_CITATION {"citationID":"CVQDh1ds","properties":{"formattedCitation":"\\super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r w:rsidRPr="00054570">
        <w:t xml:space="preserve"> </w:t>
      </w:r>
    </w:p>
    <w:p w14:paraId="50ADACAF" w14:textId="430DC969" w:rsidR="000B148D" w:rsidRPr="00054570" w:rsidRDefault="000B148D" w:rsidP="000B148D">
      <w:pPr>
        <w:pStyle w:val="Body"/>
      </w:pPr>
      <w:r>
        <w:t xml:space="preserve">At DCO, </w:t>
      </w:r>
      <w:r w:rsidR="00294FDC" w:rsidRPr="00294FDC">
        <w:rPr>
          <w:color w:val="000000"/>
          <w:highlight w:val="black"/>
        </w:rPr>
        <w:t>xxx</w:t>
      </w:r>
      <w:r>
        <w:t xml:space="preserve"> patients (</w:t>
      </w:r>
      <w:r w:rsidR="00294FDC" w:rsidRPr="00294FDC">
        <w:rPr>
          <w:color w:val="000000"/>
          <w:highlight w:val="black"/>
        </w:rPr>
        <w:t>xxxxx</w:t>
      </w:r>
      <w:r>
        <w:t xml:space="preserve">) in the T-DXd arm and </w:t>
      </w:r>
      <w:r w:rsidR="00294FDC" w:rsidRPr="00294FDC">
        <w:rPr>
          <w:color w:val="000000"/>
          <w:highlight w:val="black"/>
        </w:rPr>
        <w:t>xx</w:t>
      </w:r>
      <w:r>
        <w:t xml:space="preserve"> patients (</w:t>
      </w:r>
      <w:r w:rsidR="00294FDC" w:rsidRPr="00294FDC">
        <w:rPr>
          <w:color w:val="000000"/>
          <w:highlight w:val="black"/>
        </w:rPr>
        <w:t>xxxxx</w:t>
      </w:r>
      <w:r>
        <w:t>) in the TPC arm were censored.</w:t>
      </w:r>
      <w:r>
        <w:fldChar w:fldCharType="begin"/>
      </w:r>
      <w:r w:rsidR="00CA6345">
        <w:instrText xml:space="preserve"> ADDIN ZOTERO_ITEM CSL_CITATION {"citationID":"mUSVkkz2","properties":{"formattedCitation":"\\super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fldChar w:fldCharType="separate"/>
      </w:r>
      <w:r w:rsidR="00FD57F4" w:rsidRPr="00FD57F4">
        <w:rPr>
          <w:rFonts w:cs="Arial"/>
          <w:szCs w:val="24"/>
          <w:vertAlign w:val="superscript"/>
        </w:rPr>
        <w:t>7</w:t>
      </w:r>
      <w:r>
        <w:fldChar w:fldCharType="end"/>
      </w:r>
      <w:r>
        <w:t xml:space="preserve"> Of these, </w:t>
      </w:r>
      <w:r w:rsidR="00294FDC" w:rsidRPr="00294FDC">
        <w:rPr>
          <w:color w:val="000000"/>
          <w:highlight w:val="black"/>
        </w:rPr>
        <w:t>xxx</w:t>
      </w:r>
      <w:r w:rsidRPr="00054570">
        <w:t> patients (</w:t>
      </w:r>
      <w:r w:rsidR="00294FDC" w:rsidRPr="00294FDC">
        <w:rPr>
          <w:color w:val="000000"/>
          <w:highlight w:val="black"/>
        </w:rPr>
        <w:t>xxxxx</w:t>
      </w:r>
      <w:r w:rsidRPr="00054570">
        <w:t>) in the T</w:t>
      </w:r>
      <w:r w:rsidRPr="00054570">
        <w:noBreakHyphen/>
        <w:t xml:space="preserve">DXd arm and </w:t>
      </w:r>
      <w:r w:rsidR="00294FDC" w:rsidRPr="00294FDC">
        <w:rPr>
          <w:color w:val="000000"/>
          <w:highlight w:val="black"/>
        </w:rPr>
        <w:t>xx</w:t>
      </w:r>
      <w:r w:rsidRPr="00314A60">
        <w:rPr>
          <w:u w:val="single"/>
        </w:rPr>
        <w:t> </w:t>
      </w:r>
      <w:r w:rsidRPr="00054570">
        <w:t>patients (</w:t>
      </w:r>
      <w:r w:rsidR="00294FDC" w:rsidRPr="00294FDC">
        <w:rPr>
          <w:color w:val="000000"/>
          <w:highlight w:val="black"/>
        </w:rPr>
        <w:t>xxxxx</w:t>
      </w:r>
      <w:r w:rsidRPr="00054570">
        <w:t>) in the TPC arm were alive.</w:t>
      </w:r>
      <w:r w:rsidRPr="00054570">
        <w:fldChar w:fldCharType="begin"/>
      </w:r>
      <w:r w:rsidR="00CA6345">
        <w:instrText xml:space="preserve"> ADDIN ZOTERO_ITEM CSL_CITATION {"citationID":"4wx5W4TC","properties":{"formattedCitation":"\\super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r w:rsidRPr="00054570">
        <w:t xml:space="preserve"> </w:t>
      </w:r>
      <w:r>
        <w:t xml:space="preserve">The remaining </w:t>
      </w:r>
      <w:r w:rsidR="00294FDC" w:rsidRPr="00294FDC">
        <w:rPr>
          <w:color w:val="000000"/>
          <w:highlight w:val="black"/>
        </w:rPr>
        <w:t>xx</w:t>
      </w:r>
      <w:r>
        <w:t xml:space="preserve"> patients (</w:t>
      </w:r>
      <w:r w:rsidR="00294FDC" w:rsidRPr="00294FDC">
        <w:rPr>
          <w:color w:val="000000"/>
          <w:highlight w:val="black"/>
        </w:rPr>
        <w:t>xxxx</w:t>
      </w:r>
      <w:r>
        <w:t xml:space="preserve">) in the T-DXd arm and </w:t>
      </w:r>
      <w:r w:rsidR="00294FDC" w:rsidRPr="00294FDC">
        <w:rPr>
          <w:color w:val="000000"/>
          <w:highlight w:val="black"/>
        </w:rPr>
        <w:t>xx</w:t>
      </w:r>
      <w:r>
        <w:t xml:space="preserve"> patients (</w:t>
      </w:r>
      <w:r w:rsidR="00294FDC" w:rsidRPr="00294FDC">
        <w:rPr>
          <w:color w:val="000000"/>
          <w:highlight w:val="black"/>
        </w:rPr>
        <w:t>xxxxx</w:t>
      </w:r>
      <w:r>
        <w:t>) in the TPC arm were censored for other reasons (</w:t>
      </w:r>
      <w:r w:rsidRPr="00314A60">
        <w:rPr>
          <w:b/>
          <w:bCs/>
        </w:rPr>
        <w:fldChar w:fldCharType="begin"/>
      </w:r>
      <w:r w:rsidRPr="00314A60">
        <w:rPr>
          <w:b/>
          <w:bCs/>
        </w:rPr>
        <w:instrText xml:space="preserve"> REF _Ref118738545 \h </w:instrText>
      </w:r>
      <w:r>
        <w:rPr>
          <w:b/>
          <w:bCs/>
        </w:rPr>
        <w:instrText xml:space="preserve"> \* MERGEFORMAT </w:instrText>
      </w:r>
      <w:r w:rsidRPr="00314A60">
        <w:rPr>
          <w:b/>
          <w:bCs/>
        </w:rPr>
      </w:r>
      <w:r w:rsidRPr="00314A60">
        <w:rPr>
          <w:b/>
          <w:bCs/>
        </w:rPr>
        <w:fldChar w:fldCharType="separate"/>
      </w:r>
      <w:r w:rsidR="00145F42" w:rsidRPr="00145F42">
        <w:rPr>
          <w:b/>
          <w:bCs/>
        </w:rPr>
        <w:t xml:space="preserve">Table </w:t>
      </w:r>
      <w:r w:rsidR="00145F42" w:rsidRPr="00145F42">
        <w:rPr>
          <w:b/>
          <w:bCs/>
          <w:noProof/>
        </w:rPr>
        <w:t>19</w:t>
      </w:r>
      <w:r w:rsidRPr="00314A60">
        <w:rPr>
          <w:b/>
          <w:bCs/>
        </w:rPr>
        <w:fldChar w:fldCharType="end"/>
      </w:r>
      <w:r>
        <w:t>).</w:t>
      </w:r>
      <w:r w:rsidRPr="00054570">
        <w:fldChar w:fldCharType="begin"/>
      </w:r>
      <w:r w:rsidR="00CA6345">
        <w:instrText xml:space="preserve"> ADDIN ZOTERO_ITEM CSL_CITATION {"citationID":"OE6Ib70a","properties":{"formattedCitation":"\\super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p>
    <w:p w14:paraId="31C68586" w14:textId="41FAF181" w:rsidR="000B148D" w:rsidRDefault="000B148D" w:rsidP="000B148D">
      <w:pPr>
        <w:pStyle w:val="Body"/>
      </w:pPr>
      <w:r w:rsidRPr="00054570">
        <w:t>T</w:t>
      </w:r>
      <w:r w:rsidRPr="00054570">
        <w:noBreakHyphen/>
        <w:t xml:space="preserve">DXd was associated with a statistically significant </w:t>
      </w:r>
      <w:r>
        <w:t xml:space="preserve">36% lower risk of death </w:t>
      </w:r>
      <w:r w:rsidRPr="00054570">
        <w:t>compared with TPC (HR: 0.64; 95% CI: 0.48, 0.86</w:t>
      </w:r>
      <w:r>
        <w:t xml:space="preserve">; </w:t>
      </w:r>
      <w:r w:rsidRPr="00054570">
        <w:t>p=0.00</w:t>
      </w:r>
      <w:r>
        <w:t>3</w:t>
      </w:r>
      <w:r w:rsidRPr="00054570">
        <w:t>).</w:t>
      </w:r>
      <w:r>
        <w:fldChar w:fldCharType="begin"/>
      </w:r>
      <w:r w:rsidR="00CA6345">
        <w:instrText xml:space="preserve"> ADDIN ZOTERO_ITEM CSL_CITATION {"citationID":"8i593qvC","properties":{"formattedCitation":"\\super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054570">
        <w:t xml:space="preserve"> </w:t>
      </w:r>
      <w:r>
        <w:t xml:space="preserve">The stratified log-rank </w:t>
      </w:r>
      <w:r w:rsidR="00CD0FB2">
        <w:t>p</w:t>
      </w:r>
      <w:r>
        <w:t xml:space="preserve">-value of 0.003 </w:t>
      </w:r>
      <w:r w:rsidRPr="00054570">
        <w:t>crossed the pre-specified efficacy stopping boundary of 0.007</w:t>
      </w:r>
      <w:r>
        <w:t>5, confirming the efficacy of T-DXd vs. TPC for this outcome</w:t>
      </w:r>
      <w:r w:rsidRPr="00054570">
        <w:t>.</w:t>
      </w:r>
      <w:r>
        <w:fldChar w:fldCharType="begin"/>
      </w:r>
      <w:r w:rsidR="00CA6345">
        <w:instrText xml:space="preserve"> ADDIN ZOTERO_ITEM CSL_CITATION {"citationID":"VWk8Ye3M","properties":{"formattedCitation":"\\super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054570">
        <w:t xml:space="preserve"> </w:t>
      </w:r>
      <w:r>
        <w:t xml:space="preserve">DESTINY-Breast04 therefore met its secondary endpoint of OS in the HR-positive cohort. </w:t>
      </w:r>
    </w:p>
    <w:p w14:paraId="27FD3841" w14:textId="5F24D660" w:rsidR="000B148D" w:rsidRPr="00054570" w:rsidRDefault="000B148D" w:rsidP="000B148D">
      <w:pPr>
        <w:pStyle w:val="Body"/>
      </w:pPr>
      <w:r>
        <w:lastRenderedPageBreak/>
        <w:t>M</w:t>
      </w:r>
      <w:r w:rsidRPr="00054570">
        <w:t>edian OS was 23.9 months (95% CI: 20.8, 24.8) in the T-DXd arm vs. 17.5 months (95% CI: 15.2, 22.4) in the TPC arm.</w:t>
      </w:r>
      <w:r>
        <w:fldChar w:fldCharType="begin"/>
      </w:r>
      <w:r w:rsidR="00CA6345">
        <w:instrText xml:space="preserve"> ADDIN ZOTERO_ITEM CSL_CITATION {"citationID":"ILSle9nO","properties":{"formattedCitation":"\\super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054570">
        <w:t xml:space="preserve"> At 12 months, </w:t>
      </w:r>
      <w:r w:rsidR="00294FDC" w:rsidRPr="00294FDC">
        <w:rPr>
          <w:color w:val="000000"/>
          <w:highlight w:val="black"/>
        </w:rPr>
        <w:t>xxxxx</w:t>
      </w:r>
      <w:r>
        <w:t xml:space="preserve"> (95% CI: </w:t>
      </w:r>
      <w:r w:rsidR="00294FDC" w:rsidRPr="00294FDC">
        <w:rPr>
          <w:color w:val="000000"/>
          <w:highlight w:val="black"/>
        </w:rPr>
        <w:t>xxxxxxxxxx</w:t>
      </w:r>
      <w:r>
        <w:t xml:space="preserve">) and </w:t>
      </w:r>
      <w:r w:rsidR="00294FDC" w:rsidRPr="00294FDC">
        <w:rPr>
          <w:color w:val="000000"/>
          <w:highlight w:val="black"/>
        </w:rPr>
        <w:t>xxxxx</w:t>
      </w:r>
      <w:r>
        <w:t xml:space="preserve"> (95% CI: </w:t>
      </w:r>
      <w:r w:rsidR="00294FDC" w:rsidRPr="00294FDC">
        <w:rPr>
          <w:color w:val="000000"/>
          <w:highlight w:val="black"/>
        </w:rPr>
        <w:t>xxxxxxxxxx</w:t>
      </w:r>
      <w:r>
        <w:t>) of patients were alive in the T-DXd and TPC arms, respectively (</w:t>
      </w:r>
      <w:r w:rsidRPr="00314A60">
        <w:rPr>
          <w:b/>
          <w:bCs/>
        </w:rPr>
        <w:fldChar w:fldCharType="begin"/>
      </w:r>
      <w:r w:rsidRPr="00314A60">
        <w:rPr>
          <w:b/>
          <w:bCs/>
        </w:rPr>
        <w:instrText xml:space="preserve"> REF _Ref124433502 \h </w:instrText>
      </w:r>
      <w:r>
        <w:rPr>
          <w:b/>
          <w:bCs/>
        </w:rPr>
        <w:instrText xml:space="preserve"> \* MERGEFORMAT </w:instrText>
      </w:r>
      <w:r w:rsidRPr="00314A60">
        <w:rPr>
          <w:b/>
          <w:bCs/>
        </w:rPr>
      </w:r>
      <w:r w:rsidRPr="00314A60">
        <w:rPr>
          <w:b/>
          <w:bCs/>
        </w:rPr>
        <w:fldChar w:fldCharType="separate"/>
      </w:r>
      <w:r w:rsidR="00145F42" w:rsidRPr="00145F42">
        <w:rPr>
          <w:b/>
          <w:bCs/>
        </w:rPr>
        <w:t xml:space="preserve">Figure </w:t>
      </w:r>
      <w:r w:rsidR="00145F42" w:rsidRPr="00145F42">
        <w:rPr>
          <w:b/>
          <w:bCs/>
          <w:noProof/>
        </w:rPr>
        <w:t>13</w:t>
      </w:r>
      <w:r w:rsidRPr="00314A60">
        <w:rPr>
          <w:b/>
          <w:bCs/>
        </w:rPr>
        <w:fldChar w:fldCharType="end"/>
      </w:r>
      <w:r>
        <w:t>).</w:t>
      </w:r>
      <w:r w:rsidRPr="00054570">
        <w:fldChar w:fldCharType="begin"/>
      </w:r>
      <w:r w:rsidR="00CA6345">
        <w:instrText xml:space="preserve"> ADDIN ZOTERO_ITEM CSL_CITATION {"citationID":"K6cEY8QJ","properties":{"formattedCitation":"\\super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r>
        <w:t xml:space="preserve"> </w:t>
      </w:r>
      <w:r w:rsidRPr="00054570">
        <w:t>A sustained separation of the KM OS curve in favour of the T-DXd arm was observed starting at approximately 4 months.</w:t>
      </w:r>
    </w:p>
    <w:tbl>
      <w:tblPr>
        <w:tblStyle w:val="Figurebox"/>
        <w:tblW w:w="0" w:type="auto"/>
        <w:tblLook w:val="04A0" w:firstRow="1" w:lastRow="0" w:firstColumn="1" w:lastColumn="0" w:noHBand="0" w:noVBand="1"/>
      </w:tblPr>
      <w:tblGrid>
        <w:gridCol w:w="9026"/>
      </w:tblGrid>
      <w:tr w:rsidR="000B148D" w:rsidRPr="00054570" w14:paraId="681D7DE7" w14:textId="77777777">
        <w:tc>
          <w:tcPr>
            <w:tcW w:w="13892" w:type="dxa"/>
            <w:tcBorders>
              <w:bottom w:val="single" w:sz="4" w:space="0" w:color="auto"/>
            </w:tcBorders>
          </w:tcPr>
          <w:p w14:paraId="3863CF89" w14:textId="53055CDC" w:rsidR="000B148D" w:rsidRPr="00054570" w:rsidRDefault="000B148D">
            <w:pPr>
              <w:pStyle w:val="Caption"/>
              <w:spacing w:before="0"/>
            </w:pPr>
            <w:bookmarkStart w:id="237" w:name="_Ref124433502"/>
            <w:bookmarkStart w:id="238" w:name="_Toc124447859"/>
            <w:bookmarkStart w:id="239" w:name="_Toc129350939"/>
            <w:r w:rsidRPr="00054570">
              <w:t xml:space="preserve">Figure </w:t>
            </w:r>
            <w:r w:rsidRPr="00054570">
              <w:fldChar w:fldCharType="begin"/>
            </w:r>
            <w:r w:rsidRPr="00054570">
              <w:instrText>SEQ Figure \* ARABIC</w:instrText>
            </w:r>
            <w:r w:rsidRPr="00054570">
              <w:fldChar w:fldCharType="separate"/>
            </w:r>
            <w:r w:rsidR="00145F42">
              <w:rPr>
                <w:noProof/>
              </w:rPr>
              <w:t>13</w:t>
            </w:r>
            <w:r w:rsidRPr="00054570">
              <w:fldChar w:fldCharType="end"/>
            </w:r>
            <w:bookmarkEnd w:id="237"/>
            <w:r w:rsidRPr="00054570">
              <w:t>: DESTINY-Breast04 | Kaplan-Meier of OS | HR-positive cohort</w:t>
            </w:r>
            <w:bookmarkEnd w:id="238"/>
            <w:bookmarkEnd w:id="239"/>
            <w:r w:rsidRPr="00054570">
              <w:t xml:space="preserve"> </w:t>
            </w:r>
          </w:p>
        </w:tc>
      </w:tr>
      <w:tr w:rsidR="000B148D" w:rsidRPr="00054570" w14:paraId="52D2127D" w14:textId="77777777">
        <w:tc>
          <w:tcPr>
            <w:tcW w:w="13892" w:type="dxa"/>
            <w:tcBorders>
              <w:top w:val="single" w:sz="4" w:space="0" w:color="auto"/>
              <w:left w:val="single" w:sz="4" w:space="0" w:color="auto"/>
              <w:bottom w:val="single" w:sz="4" w:space="0" w:color="auto"/>
              <w:right w:val="single" w:sz="4" w:space="0" w:color="auto"/>
            </w:tcBorders>
          </w:tcPr>
          <w:p w14:paraId="4E73FD87" w14:textId="77777777" w:rsidR="000B148D" w:rsidRPr="00054570" w:rsidRDefault="000B148D">
            <w:pPr>
              <w:pStyle w:val="Body"/>
              <w:keepNext/>
              <w:spacing w:before="20" w:after="0"/>
              <w:jc w:val="center"/>
            </w:pPr>
            <w:r w:rsidRPr="003B05C2">
              <w:rPr>
                <w:noProof/>
              </w:rPr>
              <w:drawing>
                <wp:inline distT="0" distB="0" distL="0" distR="0" wp14:anchorId="56388427" wp14:editId="51329D77">
                  <wp:extent cx="5731510" cy="36576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57600"/>
                          </a:xfrm>
                          <a:prstGeom prst="rect">
                            <a:avLst/>
                          </a:prstGeom>
                        </pic:spPr>
                      </pic:pic>
                    </a:graphicData>
                  </a:graphic>
                </wp:inline>
              </w:drawing>
            </w:r>
          </w:p>
        </w:tc>
      </w:tr>
      <w:tr w:rsidR="000B148D" w:rsidRPr="00054570" w14:paraId="30667D41" w14:textId="77777777">
        <w:trPr>
          <w:trHeight w:val="1044"/>
        </w:trPr>
        <w:tc>
          <w:tcPr>
            <w:tcW w:w="13892" w:type="dxa"/>
            <w:tcBorders>
              <w:top w:val="single" w:sz="4" w:space="0" w:color="auto"/>
            </w:tcBorders>
          </w:tcPr>
          <w:p w14:paraId="601C1535" w14:textId="65F9719A" w:rsidR="000B148D" w:rsidRPr="00054570" w:rsidRDefault="000B148D" w:rsidP="006441F0">
            <w:pPr>
              <w:pStyle w:val="Footnotes"/>
              <w:spacing w:after="180"/>
            </w:pPr>
            <w:r w:rsidRPr="00054570">
              <w:t>Abbreviations: CI, confidence interval; HR, hazard ratio;</w:t>
            </w:r>
            <w:r w:rsidR="006C4279">
              <w:t xml:space="preserve"> HR-positive, hormone receptor-positive</w:t>
            </w:r>
            <w:r w:rsidRPr="00054570">
              <w:t>; OS, overall survival; T-DXd, trastuzumab deruxtecan; TPC, treatment of physician’s choice</w:t>
            </w:r>
            <w:r w:rsidR="00C814FD">
              <w:t>.</w:t>
            </w:r>
            <w:r w:rsidRPr="00054570">
              <w:br/>
              <w:t xml:space="preserve">Source: </w:t>
            </w:r>
            <w:bookmarkStart w:id="240" w:name="_Hlk123830959"/>
            <w:r w:rsidRPr="00054570">
              <w:t>Daiichi Sankyo Inc., 2022 (CSR; Data on File).</w:t>
            </w:r>
            <w:bookmarkEnd w:id="240"/>
            <w:r w:rsidRPr="00054570">
              <w:fldChar w:fldCharType="begin"/>
            </w:r>
            <w:r w:rsidR="00CA6345">
              <w:instrText xml:space="preserve"> ADDIN ZOTERO_ITEM CSL_CITATION {"citationID":"WRvB3n3V","properties":{"formattedCitation":"\\super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p>
        </w:tc>
      </w:tr>
    </w:tbl>
    <w:p w14:paraId="66DFE8C6" w14:textId="0445FF98" w:rsidR="000B148D" w:rsidRPr="00054570" w:rsidRDefault="000B148D" w:rsidP="000B148D">
      <w:pPr>
        <w:pStyle w:val="Caption"/>
      </w:pPr>
      <w:bookmarkStart w:id="241" w:name="_Ref118738545"/>
      <w:bookmarkStart w:id="242" w:name="_Toc95826067"/>
      <w:bookmarkStart w:id="243" w:name="_Toc124447879"/>
      <w:bookmarkStart w:id="244" w:name="_Toc129350994"/>
      <w:r w:rsidRPr="00054570">
        <w:t xml:space="preserve">Table </w:t>
      </w:r>
      <w:r w:rsidRPr="00054570">
        <w:fldChar w:fldCharType="begin"/>
      </w:r>
      <w:r w:rsidRPr="00054570">
        <w:instrText>SEQ Table \* ARABIC</w:instrText>
      </w:r>
      <w:r w:rsidRPr="00054570">
        <w:fldChar w:fldCharType="separate"/>
      </w:r>
      <w:r w:rsidR="00145F42">
        <w:rPr>
          <w:noProof/>
        </w:rPr>
        <w:t>19</w:t>
      </w:r>
      <w:r w:rsidRPr="00054570">
        <w:fldChar w:fldCharType="end"/>
      </w:r>
      <w:bookmarkEnd w:id="241"/>
      <w:r w:rsidRPr="00054570">
        <w:t xml:space="preserve">: DESTINY-Breast04 | Analysis of OS | </w:t>
      </w:r>
      <w:bookmarkEnd w:id="242"/>
      <w:r w:rsidRPr="00054570">
        <w:t>HR-positive cohort</w:t>
      </w:r>
      <w:bookmarkEnd w:id="243"/>
      <w:bookmarkEnd w:id="244"/>
      <w:r w:rsidRPr="00054570">
        <w:t xml:space="preserve"> </w:t>
      </w:r>
    </w:p>
    <w:tbl>
      <w:tblPr>
        <w:tblStyle w:val="Generaltable"/>
        <w:tblW w:w="9067" w:type="dxa"/>
        <w:tblLook w:val="04A0" w:firstRow="1" w:lastRow="0" w:firstColumn="1" w:lastColumn="0" w:noHBand="0" w:noVBand="1"/>
      </w:tblPr>
      <w:tblGrid>
        <w:gridCol w:w="5098"/>
        <w:gridCol w:w="1984"/>
        <w:gridCol w:w="1985"/>
      </w:tblGrid>
      <w:tr w:rsidR="000B148D" w:rsidRPr="00054570" w14:paraId="1650DDCB" w14:textId="77777777">
        <w:trPr>
          <w:cnfStyle w:val="100000000000" w:firstRow="1" w:lastRow="0" w:firstColumn="0" w:lastColumn="0" w:oddVBand="0" w:evenVBand="0" w:oddHBand="0" w:evenHBand="0" w:firstRowFirstColumn="0" w:firstRowLastColumn="0" w:lastRowFirstColumn="0" w:lastRowLastColumn="0"/>
          <w:trHeight w:val="20"/>
          <w:tblHeader/>
        </w:trPr>
        <w:tc>
          <w:tcPr>
            <w:tcW w:w="5098" w:type="dxa"/>
            <w:vMerge w:val="restart"/>
            <w:shd w:val="clear" w:color="auto" w:fill="F2F2F2" w:themeFill="background1" w:themeFillShade="F2"/>
            <w:vAlign w:val="center"/>
          </w:tcPr>
          <w:p w14:paraId="36F1DCAE" w14:textId="77777777" w:rsidR="000B148D" w:rsidRPr="00054570" w:rsidRDefault="000B148D">
            <w:pPr>
              <w:pStyle w:val="Tableheading"/>
              <w:spacing w:before="0" w:after="0"/>
            </w:pPr>
          </w:p>
        </w:tc>
        <w:tc>
          <w:tcPr>
            <w:tcW w:w="3969" w:type="dxa"/>
            <w:gridSpan w:val="2"/>
            <w:shd w:val="clear" w:color="auto" w:fill="F2F2F2" w:themeFill="background1" w:themeFillShade="F2"/>
            <w:vAlign w:val="center"/>
          </w:tcPr>
          <w:p w14:paraId="77ABD680" w14:textId="77777777" w:rsidR="000B148D" w:rsidRPr="00054570" w:rsidRDefault="000B148D">
            <w:pPr>
              <w:pStyle w:val="Tableheading"/>
              <w:spacing w:before="0" w:after="0"/>
              <w:jc w:val="center"/>
            </w:pPr>
            <w:r w:rsidRPr="00054570">
              <w:t>HR-positive cohort</w:t>
            </w:r>
          </w:p>
        </w:tc>
      </w:tr>
      <w:tr w:rsidR="000B148D" w:rsidRPr="00054570" w14:paraId="44B850D9" w14:textId="77777777">
        <w:trPr>
          <w:cnfStyle w:val="100000000000" w:firstRow="1" w:lastRow="0" w:firstColumn="0" w:lastColumn="0" w:oddVBand="0" w:evenVBand="0" w:oddHBand="0" w:evenHBand="0" w:firstRowFirstColumn="0" w:firstRowLastColumn="0" w:lastRowFirstColumn="0" w:lastRowLastColumn="0"/>
          <w:trHeight w:val="20"/>
          <w:tblHeader/>
        </w:trPr>
        <w:tc>
          <w:tcPr>
            <w:tcW w:w="5098" w:type="dxa"/>
            <w:vMerge/>
            <w:shd w:val="clear" w:color="auto" w:fill="F2F2F2" w:themeFill="background1" w:themeFillShade="F2"/>
            <w:vAlign w:val="center"/>
          </w:tcPr>
          <w:p w14:paraId="375980CD" w14:textId="77777777" w:rsidR="000B148D" w:rsidRPr="00054570" w:rsidRDefault="000B148D">
            <w:pPr>
              <w:pStyle w:val="Tableheading"/>
              <w:spacing w:before="0" w:after="0"/>
            </w:pPr>
          </w:p>
        </w:tc>
        <w:tc>
          <w:tcPr>
            <w:tcW w:w="1984" w:type="dxa"/>
            <w:shd w:val="clear" w:color="auto" w:fill="F2F2F2" w:themeFill="background1" w:themeFillShade="F2"/>
            <w:vAlign w:val="center"/>
          </w:tcPr>
          <w:p w14:paraId="7FAEF9F5" w14:textId="77777777" w:rsidR="000B148D" w:rsidRPr="00054570" w:rsidRDefault="000B148D">
            <w:pPr>
              <w:ind w:right="28"/>
              <w:jc w:val="center"/>
              <w:rPr>
                <w:rFonts w:cs="Arial"/>
                <w:sz w:val="20"/>
                <w:szCs w:val="20"/>
              </w:rPr>
            </w:pPr>
            <w:r w:rsidRPr="00054570">
              <w:rPr>
                <w:rFonts w:eastAsia="Times New Roman" w:cs="Arial"/>
                <w:b/>
                <w:sz w:val="20"/>
                <w:szCs w:val="20"/>
              </w:rPr>
              <w:t>T-DXd</w:t>
            </w:r>
          </w:p>
          <w:p w14:paraId="76B822C3" w14:textId="5744C4D1" w:rsidR="000B148D" w:rsidRPr="00054570" w:rsidRDefault="000B148D">
            <w:pPr>
              <w:pStyle w:val="Tableheading"/>
              <w:spacing w:before="0" w:after="0"/>
              <w:jc w:val="center"/>
              <w:rPr>
                <w:rFonts w:cs="Arial"/>
              </w:rPr>
            </w:pPr>
            <w:r w:rsidRPr="00054570">
              <w:rPr>
                <w:rFonts w:eastAsia="Times New Roman" w:cs="Arial"/>
              </w:rPr>
              <w:t>(N=331)</w:t>
            </w:r>
          </w:p>
        </w:tc>
        <w:tc>
          <w:tcPr>
            <w:tcW w:w="1985" w:type="dxa"/>
            <w:shd w:val="clear" w:color="auto" w:fill="F2F2F2" w:themeFill="background1" w:themeFillShade="F2"/>
            <w:vAlign w:val="center"/>
          </w:tcPr>
          <w:p w14:paraId="111A8F4D" w14:textId="77777777" w:rsidR="000B148D" w:rsidRPr="00054570" w:rsidRDefault="000B148D">
            <w:pPr>
              <w:ind w:right="7"/>
              <w:jc w:val="center"/>
              <w:rPr>
                <w:rFonts w:cs="Arial"/>
                <w:sz w:val="20"/>
                <w:szCs w:val="20"/>
              </w:rPr>
            </w:pPr>
            <w:r w:rsidRPr="00054570">
              <w:rPr>
                <w:rFonts w:eastAsia="Times New Roman" w:cs="Arial"/>
                <w:b/>
                <w:sz w:val="20"/>
                <w:szCs w:val="20"/>
              </w:rPr>
              <w:t>TPC</w:t>
            </w:r>
          </w:p>
          <w:p w14:paraId="42F82536" w14:textId="0F49885E" w:rsidR="000B148D" w:rsidRPr="00054570" w:rsidRDefault="000B148D">
            <w:pPr>
              <w:pStyle w:val="Tableheading"/>
              <w:spacing w:before="0" w:after="0"/>
              <w:jc w:val="center"/>
              <w:rPr>
                <w:rFonts w:cs="Arial"/>
              </w:rPr>
            </w:pPr>
            <w:r w:rsidRPr="00054570">
              <w:rPr>
                <w:rFonts w:eastAsia="Times New Roman" w:cs="Arial"/>
              </w:rPr>
              <w:t>(N=163)</w:t>
            </w:r>
          </w:p>
        </w:tc>
      </w:tr>
      <w:tr w:rsidR="000B148D" w:rsidRPr="00054570" w14:paraId="55F9CF52" w14:textId="77777777">
        <w:trPr>
          <w:trHeight w:val="20"/>
        </w:trPr>
        <w:tc>
          <w:tcPr>
            <w:tcW w:w="5098" w:type="dxa"/>
            <w:shd w:val="clear" w:color="auto" w:fill="F2F2F2" w:themeFill="background1" w:themeFillShade="F2"/>
            <w:vAlign w:val="center"/>
          </w:tcPr>
          <w:p w14:paraId="6E027291" w14:textId="77777777" w:rsidR="000B148D" w:rsidRPr="00054570" w:rsidRDefault="000B148D">
            <w:pPr>
              <w:pStyle w:val="Tablebody"/>
              <w:spacing w:before="0" w:after="0"/>
            </w:pPr>
            <w:r w:rsidRPr="00054570">
              <w:t>Subjects with events (deaths), n (%)</w:t>
            </w:r>
          </w:p>
        </w:tc>
        <w:tc>
          <w:tcPr>
            <w:tcW w:w="1984" w:type="dxa"/>
            <w:vAlign w:val="center"/>
          </w:tcPr>
          <w:p w14:paraId="6EF2076E" w14:textId="13DB56BC"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w:t>
            </w:r>
          </w:p>
        </w:tc>
        <w:tc>
          <w:tcPr>
            <w:tcW w:w="1985" w:type="dxa"/>
            <w:vAlign w:val="center"/>
          </w:tcPr>
          <w:p w14:paraId="5613F062" w14:textId="3B813334"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w:t>
            </w:r>
          </w:p>
        </w:tc>
      </w:tr>
      <w:tr w:rsidR="000B148D" w:rsidRPr="00054570" w14:paraId="58E9B291" w14:textId="77777777">
        <w:trPr>
          <w:trHeight w:val="20"/>
        </w:trPr>
        <w:tc>
          <w:tcPr>
            <w:tcW w:w="5098" w:type="dxa"/>
            <w:shd w:val="clear" w:color="auto" w:fill="F2F2F2" w:themeFill="background1" w:themeFillShade="F2"/>
            <w:vAlign w:val="center"/>
          </w:tcPr>
          <w:p w14:paraId="6B934FF5" w14:textId="77777777" w:rsidR="000B148D" w:rsidRPr="00054570" w:rsidRDefault="000B148D">
            <w:pPr>
              <w:pStyle w:val="Tablebody"/>
              <w:keepNext/>
              <w:spacing w:before="0" w:after="0"/>
            </w:pPr>
            <w:r w:rsidRPr="00054570">
              <w:t>Subjects without events (censored), n (%)</w:t>
            </w:r>
          </w:p>
        </w:tc>
        <w:tc>
          <w:tcPr>
            <w:tcW w:w="1984" w:type="dxa"/>
            <w:vAlign w:val="center"/>
          </w:tcPr>
          <w:p w14:paraId="0D6F5BAC" w14:textId="29607EE2"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w:t>
            </w:r>
          </w:p>
        </w:tc>
        <w:tc>
          <w:tcPr>
            <w:tcW w:w="1985" w:type="dxa"/>
            <w:vAlign w:val="center"/>
          </w:tcPr>
          <w:p w14:paraId="041C9E18" w14:textId="25532147"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w:t>
            </w:r>
          </w:p>
        </w:tc>
      </w:tr>
      <w:tr w:rsidR="000B148D" w:rsidRPr="00054570" w14:paraId="6E351C5C" w14:textId="77777777">
        <w:trPr>
          <w:trHeight w:val="20"/>
        </w:trPr>
        <w:tc>
          <w:tcPr>
            <w:tcW w:w="5098" w:type="dxa"/>
            <w:shd w:val="clear" w:color="auto" w:fill="F2F2F2" w:themeFill="background1" w:themeFillShade="F2"/>
            <w:vAlign w:val="center"/>
          </w:tcPr>
          <w:p w14:paraId="18745931" w14:textId="77777777" w:rsidR="000B148D" w:rsidRPr="00054570" w:rsidRDefault="000B148D">
            <w:pPr>
              <w:pStyle w:val="Tablebody"/>
              <w:spacing w:before="0" w:after="0"/>
              <w:ind w:left="169"/>
            </w:pPr>
            <w:r w:rsidRPr="00054570">
              <w:t>Alive</w:t>
            </w:r>
          </w:p>
        </w:tc>
        <w:tc>
          <w:tcPr>
            <w:tcW w:w="1984" w:type="dxa"/>
            <w:vAlign w:val="center"/>
          </w:tcPr>
          <w:p w14:paraId="428E7196" w14:textId="39090B1D"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w:t>
            </w:r>
          </w:p>
        </w:tc>
        <w:tc>
          <w:tcPr>
            <w:tcW w:w="1985" w:type="dxa"/>
            <w:vAlign w:val="center"/>
          </w:tcPr>
          <w:p w14:paraId="6DA85797" w14:textId="28554922"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w:t>
            </w:r>
          </w:p>
        </w:tc>
      </w:tr>
      <w:tr w:rsidR="000B148D" w:rsidRPr="00054570" w14:paraId="70D6ECBF" w14:textId="77777777">
        <w:trPr>
          <w:trHeight w:val="20"/>
        </w:trPr>
        <w:tc>
          <w:tcPr>
            <w:tcW w:w="5098" w:type="dxa"/>
            <w:shd w:val="clear" w:color="auto" w:fill="F2F2F2" w:themeFill="background1" w:themeFillShade="F2"/>
            <w:vAlign w:val="center"/>
          </w:tcPr>
          <w:p w14:paraId="068DF3D4" w14:textId="77777777" w:rsidR="000B148D" w:rsidRPr="00054570" w:rsidRDefault="000B148D">
            <w:pPr>
              <w:pStyle w:val="Tablebody"/>
              <w:spacing w:before="0" w:after="0"/>
              <w:ind w:left="169"/>
            </w:pPr>
            <w:r>
              <w:t>Lost to follow-up</w:t>
            </w:r>
          </w:p>
        </w:tc>
        <w:tc>
          <w:tcPr>
            <w:tcW w:w="1984" w:type="dxa"/>
            <w:vAlign w:val="center"/>
          </w:tcPr>
          <w:p w14:paraId="0ECFCFFB" w14:textId="30D3E1D5"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w:t>
            </w:r>
          </w:p>
        </w:tc>
        <w:tc>
          <w:tcPr>
            <w:tcW w:w="1985" w:type="dxa"/>
            <w:vAlign w:val="center"/>
          </w:tcPr>
          <w:p w14:paraId="556A79FE" w14:textId="3E779966"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w:t>
            </w:r>
          </w:p>
        </w:tc>
      </w:tr>
      <w:tr w:rsidR="000B148D" w:rsidRPr="00054570" w14:paraId="13FE4BEC" w14:textId="77777777">
        <w:trPr>
          <w:trHeight w:val="20"/>
        </w:trPr>
        <w:tc>
          <w:tcPr>
            <w:tcW w:w="5098" w:type="dxa"/>
            <w:shd w:val="clear" w:color="auto" w:fill="F2F2F2" w:themeFill="background1" w:themeFillShade="F2"/>
            <w:vAlign w:val="center"/>
          </w:tcPr>
          <w:p w14:paraId="004555AD" w14:textId="77777777" w:rsidR="000B148D" w:rsidRPr="00054570" w:rsidRDefault="000B148D">
            <w:pPr>
              <w:pStyle w:val="Tablebody"/>
              <w:spacing w:before="0" w:after="0"/>
              <w:ind w:left="169"/>
            </w:pPr>
            <w:r>
              <w:t xml:space="preserve">Withdrawal by subject </w:t>
            </w:r>
          </w:p>
        </w:tc>
        <w:tc>
          <w:tcPr>
            <w:tcW w:w="1984" w:type="dxa"/>
            <w:vAlign w:val="center"/>
          </w:tcPr>
          <w:p w14:paraId="7EF46BBE" w14:textId="226645D0"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w:t>
            </w:r>
          </w:p>
        </w:tc>
        <w:tc>
          <w:tcPr>
            <w:tcW w:w="1985" w:type="dxa"/>
            <w:vAlign w:val="center"/>
          </w:tcPr>
          <w:p w14:paraId="01D64413" w14:textId="7B6100C9"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w:t>
            </w:r>
          </w:p>
        </w:tc>
      </w:tr>
      <w:tr w:rsidR="000B148D" w:rsidRPr="00054570" w14:paraId="4EA07026" w14:textId="77777777">
        <w:trPr>
          <w:trHeight w:val="20"/>
        </w:trPr>
        <w:tc>
          <w:tcPr>
            <w:tcW w:w="5098" w:type="dxa"/>
            <w:shd w:val="clear" w:color="auto" w:fill="F2F2F2" w:themeFill="background1" w:themeFillShade="F2"/>
            <w:vAlign w:val="center"/>
          </w:tcPr>
          <w:p w14:paraId="1DB34700" w14:textId="77777777" w:rsidR="000B148D" w:rsidRPr="00054570" w:rsidRDefault="000B148D">
            <w:pPr>
              <w:pStyle w:val="Tablebody"/>
              <w:spacing w:before="0" w:after="0"/>
              <w:ind w:left="169"/>
            </w:pPr>
            <w:r>
              <w:t>Other</w:t>
            </w:r>
          </w:p>
        </w:tc>
        <w:tc>
          <w:tcPr>
            <w:tcW w:w="1984" w:type="dxa"/>
            <w:vAlign w:val="center"/>
          </w:tcPr>
          <w:p w14:paraId="01B78034" w14:textId="59F8FCAE"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w:t>
            </w:r>
          </w:p>
        </w:tc>
        <w:tc>
          <w:tcPr>
            <w:tcW w:w="1985" w:type="dxa"/>
            <w:vAlign w:val="center"/>
          </w:tcPr>
          <w:p w14:paraId="77BDFD04" w14:textId="3C7CFBC8"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w:t>
            </w:r>
          </w:p>
        </w:tc>
      </w:tr>
      <w:tr w:rsidR="000B148D" w:rsidRPr="00054570" w14:paraId="619703FB" w14:textId="77777777">
        <w:trPr>
          <w:trHeight w:val="20"/>
        </w:trPr>
        <w:tc>
          <w:tcPr>
            <w:tcW w:w="5098" w:type="dxa"/>
            <w:shd w:val="clear" w:color="auto" w:fill="F2F2F2" w:themeFill="background1" w:themeFillShade="F2"/>
            <w:vAlign w:val="center"/>
          </w:tcPr>
          <w:p w14:paraId="7BFB4FB9" w14:textId="77777777" w:rsidR="000B148D" w:rsidRPr="00054570" w:rsidRDefault="000B148D">
            <w:pPr>
              <w:pStyle w:val="Tablebody"/>
              <w:keepNext/>
              <w:spacing w:before="0" w:after="0"/>
            </w:pPr>
            <w:r w:rsidRPr="00054570">
              <w:t>Median overall survival, months*</w:t>
            </w:r>
          </w:p>
        </w:tc>
        <w:tc>
          <w:tcPr>
            <w:tcW w:w="1984" w:type="dxa"/>
            <w:vAlign w:val="center"/>
          </w:tcPr>
          <w:p w14:paraId="732E57F3" w14:textId="77777777" w:rsidR="000B148D" w:rsidRPr="00054570" w:rsidRDefault="000B148D">
            <w:pPr>
              <w:pStyle w:val="Tablebody"/>
              <w:spacing w:before="0" w:after="0"/>
              <w:jc w:val="center"/>
              <w:rPr>
                <w:rFonts w:eastAsia="Times New Roman" w:cs="Arial"/>
              </w:rPr>
            </w:pPr>
            <w:r w:rsidRPr="00054570">
              <w:rPr>
                <w:rFonts w:eastAsia="Times New Roman" w:cs="Arial"/>
              </w:rPr>
              <w:t>23.9</w:t>
            </w:r>
          </w:p>
        </w:tc>
        <w:tc>
          <w:tcPr>
            <w:tcW w:w="1985" w:type="dxa"/>
            <w:vAlign w:val="center"/>
          </w:tcPr>
          <w:p w14:paraId="53F10D45" w14:textId="77777777" w:rsidR="000B148D" w:rsidRPr="00054570" w:rsidRDefault="000B148D">
            <w:pPr>
              <w:pStyle w:val="Tablebody"/>
              <w:spacing w:before="0" w:after="0"/>
              <w:jc w:val="center"/>
              <w:rPr>
                <w:rFonts w:eastAsia="Times New Roman" w:cs="Arial"/>
              </w:rPr>
            </w:pPr>
            <w:r w:rsidRPr="00054570">
              <w:rPr>
                <w:rFonts w:eastAsia="Times New Roman" w:cs="Arial"/>
              </w:rPr>
              <w:t>17.5</w:t>
            </w:r>
          </w:p>
        </w:tc>
      </w:tr>
      <w:tr w:rsidR="000B148D" w:rsidRPr="00054570" w14:paraId="784D4162" w14:textId="77777777">
        <w:trPr>
          <w:trHeight w:val="20"/>
        </w:trPr>
        <w:tc>
          <w:tcPr>
            <w:tcW w:w="5098" w:type="dxa"/>
            <w:shd w:val="clear" w:color="auto" w:fill="F2F2F2" w:themeFill="background1" w:themeFillShade="F2"/>
            <w:vAlign w:val="center"/>
          </w:tcPr>
          <w:p w14:paraId="79808DF2" w14:textId="77777777" w:rsidR="000B148D" w:rsidRPr="00054570" w:rsidRDefault="000B148D">
            <w:pPr>
              <w:pStyle w:val="Tablebody"/>
              <w:spacing w:before="0" w:after="0"/>
              <w:ind w:left="169"/>
            </w:pPr>
            <w:r w:rsidRPr="00054570">
              <w:t>(95% CI)*</w:t>
            </w:r>
          </w:p>
        </w:tc>
        <w:tc>
          <w:tcPr>
            <w:tcW w:w="1984" w:type="dxa"/>
            <w:vAlign w:val="center"/>
          </w:tcPr>
          <w:p w14:paraId="53D26DFB" w14:textId="77777777" w:rsidR="000B148D" w:rsidRPr="00054570" w:rsidRDefault="000B148D">
            <w:pPr>
              <w:pStyle w:val="Tablebody"/>
              <w:spacing w:before="0" w:after="0"/>
              <w:jc w:val="center"/>
              <w:rPr>
                <w:rFonts w:eastAsia="Times New Roman" w:cs="Arial"/>
              </w:rPr>
            </w:pPr>
            <w:r w:rsidRPr="00054570">
              <w:rPr>
                <w:rFonts w:eastAsia="Times New Roman" w:cs="Arial"/>
              </w:rPr>
              <w:t>(20.8, 24.8)</w:t>
            </w:r>
          </w:p>
        </w:tc>
        <w:tc>
          <w:tcPr>
            <w:tcW w:w="1985" w:type="dxa"/>
            <w:vAlign w:val="center"/>
          </w:tcPr>
          <w:p w14:paraId="4AD213C5" w14:textId="77777777" w:rsidR="000B148D" w:rsidRPr="00054570" w:rsidRDefault="000B148D">
            <w:pPr>
              <w:pStyle w:val="Tablebody"/>
              <w:spacing w:before="0" w:after="0"/>
              <w:jc w:val="center"/>
              <w:rPr>
                <w:rFonts w:eastAsia="Times New Roman" w:cs="Arial"/>
              </w:rPr>
            </w:pPr>
            <w:r w:rsidRPr="00054570">
              <w:rPr>
                <w:rFonts w:eastAsia="Times New Roman" w:cs="Arial"/>
              </w:rPr>
              <w:t>(15.2, 22.4)</w:t>
            </w:r>
          </w:p>
        </w:tc>
      </w:tr>
      <w:tr w:rsidR="000B148D" w:rsidRPr="00054570" w14:paraId="1972BDEB" w14:textId="77777777">
        <w:trPr>
          <w:trHeight w:val="20"/>
        </w:trPr>
        <w:tc>
          <w:tcPr>
            <w:tcW w:w="5098" w:type="dxa"/>
            <w:shd w:val="clear" w:color="auto" w:fill="F2F2F2" w:themeFill="background1" w:themeFillShade="F2"/>
            <w:vAlign w:val="center"/>
          </w:tcPr>
          <w:p w14:paraId="46D23E1E" w14:textId="77777777" w:rsidR="000B148D" w:rsidRPr="00054570" w:rsidRDefault="000B148D">
            <w:pPr>
              <w:pStyle w:val="Tablebody"/>
              <w:spacing w:before="0" w:after="0"/>
            </w:pPr>
            <w:r w:rsidRPr="00054570">
              <w:t>Stratified Cox proportional hazards model hazard ratio</w:t>
            </w:r>
            <w:r w:rsidRPr="00054570">
              <w:rPr>
                <w:rFonts w:cs="Yu Gothic Light"/>
                <w:vertAlign w:val="superscript"/>
              </w:rPr>
              <w:t>†</w:t>
            </w:r>
          </w:p>
        </w:tc>
        <w:tc>
          <w:tcPr>
            <w:tcW w:w="3969" w:type="dxa"/>
            <w:gridSpan w:val="2"/>
            <w:vAlign w:val="center"/>
          </w:tcPr>
          <w:p w14:paraId="0AA5E5EF" w14:textId="77777777" w:rsidR="000B148D" w:rsidRPr="00054570" w:rsidRDefault="000B148D">
            <w:pPr>
              <w:pStyle w:val="Tablebody"/>
              <w:spacing w:before="0" w:after="0"/>
              <w:jc w:val="center"/>
              <w:rPr>
                <w:rFonts w:eastAsia="Times New Roman" w:cs="Arial"/>
              </w:rPr>
            </w:pPr>
            <w:r w:rsidRPr="00054570">
              <w:rPr>
                <w:rFonts w:eastAsia="Times New Roman" w:cs="Arial"/>
              </w:rPr>
              <w:t>0.6432</w:t>
            </w:r>
          </w:p>
        </w:tc>
      </w:tr>
      <w:tr w:rsidR="000B148D" w:rsidRPr="00054570" w14:paraId="78CDF56B" w14:textId="77777777">
        <w:trPr>
          <w:trHeight w:val="20"/>
        </w:trPr>
        <w:tc>
          <w:tcPr>
            <w:tcW w:w="5098" w:type="dxa"/>
            <w:shd w:val="clear" w:color="auto" w:fill="F2F2F2" w:themeFill="background1" w:themeFillShade="F2"/>
            <w:vAlign w:val="center"/>
          </w:tcPr>
          <w:p w14:paraId="61ECADC5" w14:textId="77777777" w:rsidR="000B148D" w:rsidRPr="00054570" w:rsidRDefault="000B148D">
            <w:pPr>
              <w:pStyle w:val="Tablebody"/>
              <w:spacing w:before="0" w:after="0"/>
              <w:ind w:left="311"/>
            </w:pPr>
            <w:r w:rsidRPr="00054570">
              <w:t>(95% CI)</w:t>
            </w:r>
            <w:r w:rsidRPr="00054570">
              <w:rPr>
                <w:rFonts w:cs="Yu Gothic Light"/>
                <w:vertAlign w:val="superscript"/>
              </w:rPr>
              <w:t>†</w:t>
            </w:r>
          </w:p>
        </w:tc>
        <w:tc>
          <w:tcPr>
            <w:tcW w:w="3969" w:type="dxa"/>
            <w:gridSpan w:val="2"/>
            <w:vAlign w:val="center"/>
          </w:tcPr>
          <w:p w14:paraId="4FD350C2" w14:textId="77777777" w:rsidR="000B148D" w:rsidRPr="00054570" w:rsidRDefault="000B148D">
            <w:pPr>
              <w:pStyle w:val="Tablebody"/>
              <w:spacing w:before="0" w:after="0"/>
              <w:jc w:val="center"/>
              <w:rPr>
                <w:rFonts w:eastAsia="Times New Roman" w:cs="Arial"/>
              </w:rPr>
            </w:pPr>
            <w:r w:rsidRPr="00054570">
              <w:rPr>
                <w:rFonts w:eastAsia="Times New Roman" w:cs="Arial"/>
              </w:rPr>
              <w:t>(0.4804, 0.8610)</w:t>
            </w:r>
          </w:p>
        </w:tc>
      </w:tr>
      <w:tr w:rsidR="000B148D" w:rsidRPr="00054570" w14:paraId="32AE5E45" w14:textId="77777777">
        <w:trPr>
          <w:trHeight w:val="20"/>
        </w:trPr>
        <w:tc>
          <w:tcPr>
            <w:tcW w:w="5098" w:type="dxa"/>
            <w:shd w:val="clear" w:color="auto" w:fill="F2F2F2" w:themeFill="background1" w:themeFillShade="F2"/>
            <w:vAlign w:val="center"/>
          </w:tcPr>
          <w:p w14:paraId="104D0D00" w14:textId="77777777" w:rsidR="000B148D" w:rsidRPr="00054570" w:rsidRDefault="000B148D">
            <w:pPr>
              <w:pStyle w:val="Tablebody"/>
              <w:spacing w:before="0" w:after="0"/>
              <w:ind w:left="311"/>
            </w:pPr>
            <w:r w:rsidRPr="00054570">
              <w:t>Stratified log-rank test p-value</w:t>
            </w:r>
            <w:r w:rsidRPr="00054570">
              <w:rPr>
                <w:rFonts w:cs="Yu Gothic Light"/>
                <w:vertAlign w:val="superscript"/>
              </w:rPr>
              <w:t>†</w:t>
            </w:r>
          </w:p>
        </w:tc>
        <w:tc>
          <w:tcPr>
            <w:tcW w:w="3969" w:type="dxa"/>
            <w:gridSpan w:val="2"/>
            <w:vAlign w:val="center"/>
          </w:tcPr>
          <w:p w14:paraId="76F867AD" w14:textId="77777777" w:rsidR="000B148D" w:rsidRPr="00054570" w:rsidRDefault="000B148D">
            <w:pPr>
              <w:pStyle w:val="Tablebody"/>
              <w:spacing w:before="0" w:after="0"/>
              <w:jc w:val="center"/>
              <w:rPr>
                <w:rFonts w:eastAsia="Times New Roman" w:cs="Arial"/>
              </w:rPr>
            </w:pPr>
            <w:r w:rsidRPr="00054570">
              <w:rPr>
                <w:rFonts w:eastAsia="Times New Roman" w:cs="Arial"/>
              </w:rPr>
              <w:t>0.0028</w:t>
            </w:r>
          </w:p>
        </w:tc>
      </w:tr>
      <w:tr w:rsidR="000B148D" w:rsidRPr="00054570" w14:paraId="12F5E059" w14:textId="77777777">
        <w:trPr>
          <w:trHeight w:val="20"/>
        </w:trPr>
        <w:tc>
          <w:tcPr>
            <w:tcW w:w="5098" w:type="dxa"/>
            <w:shd w:val="clear" w:color="auto" w:fill="F2F2F2" w:themeFill="background1" w:themeFillShade="F2"/>
            <w:vAlign w:val="center"/>
          </w:tcPr>
          <w:p w14:paraId="666351CF" w14:textId="77777777" w:rsidR="000B148D" w:rsidRPr="00054570" w:rsidRDefault="000B148D">
            <w:pPr>
              <w:pStyle w:val="Tablebody"/>
              <w:spacing w:before="0" w:after="0"/>
              <w:ind w:left="169"/>
            </w:pPr>
            <w:r w:rsidRPr="00054570">
              <w:t>3 months (95% CI)</w:t>
            </w:r>
          </w:p>
        </w:tc>
        <w:tc>
          <w:tcPr>
            <w:tcW w:w="1984" w:type="dxa"/>
            <w:vAlign w:val="center"/>
          </w:tcPr>
          <w:p w14:paraId="0B465CC0" w14:textId="59C67F49"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xxxxxxxxxxxxxxxxx</w:t>
            </w:r>
          </w:p>
        </w:tc>
        <w:tc>
          <w:tcPr>
            <w:tcW w:w="1985" w:type="dxa"/>
            <w:vAlign w:val="center"/>
          </w:tcPr>
          <w:p w14:paraId="2560F078" w14:textId="47DB6B9D"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xxxxxxxxxxxxxxxxx</w:t>
            </w:r>
          </w:p>
        </w:tc>
      </w:tr>
      <w:tr w:rsidR="000B148D" w:rsidRPr="00054570" w14:paraId="13C3B769" w14:textId="77777777">
        <w:trPr>
          <w:trHeight w:val="20"/>
        </w:trPr>
        <w:tc>
          <w:tcPr>
            <w:tcW w:w="5098" w:type="dxa"/>
            <w:shd w:val="clear" w:color="auto" w:fill="F2F2F2" w:themeFill="background1" w:themeFillShade="F2"/>
            <w:vAlign w:val="center"/>
          </w:tcPr>
          <w:p w14:paraId="7DAC6502" w14:textId="77777777" w:rsidR="000B148D" w:rsidRPr="00054570" w:rsidRDefault="000B148D">
            <w:pPr>
              <w:pStyle w:val="Tablebody"/>
              <w:spacing w:before="0" w:after="0"/>
              <w:ind w:left="169"/>
            </w:pPr>
            <w:r w:rsidRPr="00054570">
              <w:t>6 months (95% CI)</w:t>
            </w:r>
          </w:p>
        </w:tc>
        <w:tc>
          <w:tcPr>
            <w:tcW w:w="1984" w:type="dxa"/>
            <w:vAlign w:val="center"/>
          </w:tcPr>
          <w:p w14:paraId="59AC0426" w14:textId="1E04CDDE"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xxxxxxxxxxxxxxxxx</w:t>
            </w:r>
          </w:p>
        </w:tc>
        <w:tc>
          <w:tcPr>
            <w:tcW w:w="1985" w:type="dxa"/>
            <w:vAlign w:val="center"/>
          </w:tcPr>
          <w:p w14:paraId="3727FA8D" w14:textId="5D2010E4"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xxxxxxxxxxxxxxxxx</w:t>
            </w:r>
          </w:p>
        </w:tc>
      </w:tr>
      <w:tr w:rsidR="000B148D" w:rsidRPr="00054570" w14:paraId="391D071F" w14:textId="77777777">
        <w:trPr>
          <w:trHeight w:val="20"/>
        </w:trPr>
        <w:tc>
          <w:tcPr>
            <w:tcW w:w="5098" w:type="dxa"/>
            <w:shd w:val="clear" w:color="auto" w:fill="F2F2F2" w:themeFill="background1" w:themeFillShade="F2"/>
            <w:vAlign w:val="center"/>
          </w:tcPr>
          <w:p w14:paraId="565FF5DC" w14:textId="77777777" w:rsidR="000B148D" w:rsidRPr="00054570" w:rsidRDefault="000B148D">
            <w:pPr>
              <w:pStyle w:val="Tablebody"/>
              <w:spacing w:before="0" w:after="0"/>
              <w:ind w:left="169"/>
              <w:rPr>
                <w:u w:val="single" w:color="ED7D31" w:themeColor="accent2"/>
              </w:rPr>
            </w:pPr>
            <w:r w:rsidRPr="00054570">
              <w:t>9 months (95% CI)</w:t>
            </w:r>
          </w:p>
        </w:tc>
        <w:tc>
          <w:tcPr>
            <w:tcW w:w="1984" w:type="dxa"/>
            <w:vAlign w:val="center"/>
          </w:tcPr>
          <w:p w14:paraId="3A67D409" w14:textId="327E76E3"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xxxxxxxxxxxxxxxxx</w:t>
            </w:r>
          </w:p>
        </w:tc>
        <w:tc>
          <w:tcPr>
            <w:tcW w:w="1985" w:type="dxa"/>
            <w:vAlign w:val="center"/>
          </w:tcPr>
          <w:p w14:paraId="3C3E3250" w14:textId="788ADB66"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xxxxxxxxxxxxxxxxx</w:t>
            </w:r>
          </w:p>
        </w:tc>
      </w:tr>
      <w:tr w:rsidR="000B148D" w:rsidRPr="00054570" w14:paraId="4AE4CFEA" w14:textId="77777777">
        <w:trPr>
          <w:trHeight w:val="20"/>
        </w:trPr>
        <w:tc>
          <w:tcPr>
            <w:tcW w:w="5098" w:type="dxa"/>
            <w:shd w:val="clear" w:color="auto" w:fill="F2F2F2" w:themeFill="background1" w:themeFillShade="F2"/>
            <w:vAlign w:val="center"/>
          </w:tcPr>
          <w:p w14:paraId="29A704DC" w14:textId="77777777" w:rsidR="000B148D" w:rsidRPr="00054570" w:rsidRDefault="000B148D">
            <w:pPr>
              <w:pStyle w:val="Tablebody"/>
              <w:spacing w:before="0" w:after="0"/>
              <w:ind w:left="169"/>
            </w:pPr>
            <w:r w:rsidRPr="00054570">
              <w:t>12 months (95% CI)</w:t>
            </w:r>
          </w:p>
        </w:tc>
        <w:tc>
          <w:tcPr>
            <w:tcW w:w="1984" w:type="dxa"/>
            <w:vAlign w:val="center"/>
          </w:tcPr>
          <w:p w14:paraId="0772222C" w14:textId="3324E21B"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xxxxxxxxxxxxxxxxx</w:t>
            </w:r>
          </w:p>
        </w:tc>
        <w:tc>
          <w:tcPr>
            <w:tcW w:w="1985" w:type="dxa"/>
            <w:vAlign w:val="center"/>
          </w:tcPr>
          <w:p w14:paraId="4095B8F1" w14:textId="6E95BFD6"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xxxxxxxxxxxxxxxxx</w:t>
            </w:r>
          </w:p>
        </w:tc>
      </w:tr>
      <w:tr w:rsidR="000B148D" w:rsidRPr="00054570" w14:paraId="0178BEED" w14:textId="77777777">
        <w:trPr>
          <w:trHeight w:val="20"/>
        </w:trPr>
        <w:tc>
          <w:tcPr>
            <w:tcW w:w="5098" w:type="dxa"/>
            <w:shd w:val="clear" w:color="auto" w:fill="F2F2F2" w:themeFill="background1" w:themeFillShade="F2"/>
            <w:vAlign w:val="center"/>
          </w:tcPr>
          <w:p w14:paraId="47092018" w14:textId="77777777" w:rsidR="000B148D" w:rsidRPr="00054570" w:rsidRDefault="000B148D">
            <w:pPr>
              <w:pStyle w:val="Tablebody"/>
              <w:spacing w:before="0" w:after="0"/>
              <w:ind w:left="169"/>
            </w:pPr>
            <w:r w:rsidRPr="00054570">
              <w:lastRenderedPageBreak/>
              <w:t>18 months (95% CI)</w:t>
            </w:r>
          </w:p>
        </w:tc>
        <w:tc>
          <w:tcPr>
            <w:tcW w:w="1984" w:type="dxa"/>
            <w:vAlign w:val="center"/>
          </w:tcPr>
          <w:p w14:paraId="44211BA0" w14:textId="0CAF450C"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xxxxxxxxxxxxxxxxx</w:t>
            </w:r>
          </w:p>
        </w:tc>
        <w:tc>
          <w:tcPr>
            <w:tcW w:w="1985" w:type="dxa"/>
            <w:vAlign w:val="center"/>
          </w:tcPr>
          <w:p w14:paraId="452D99F9" w14:textId="6AAE835E"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xxxxxxxxxxxxxxxxx</w:t>
            </w:r>
          </w:p>
        </w:tc>
      </w:tr>
      <w:tr w:rsidR="000B148D" w:rsidRPr="00054570" w14:paraId="78F5170C" w14:textId="77777777">
        <w:trPr>
          <w:trHeight w:val="20"/>
        </w:trPr>
        <w:tc>
          <w:tcPr>
            <w:tcW w:w="5098" w:type="dxa"/>
            <w:shd w:val="clear" w:color="auto" w:fill="F2F2F2" w:themeFill="background1" w:themeFillShade="F2"/>
            <w:vAlign w:val="center"/>
          </w:tcPr>
          <w:p w14:paraId="104138EE" w14:textId="77777777" w:rsidR="000B148D" w:rsidRPr="00054570" w:rsidRDefault="000B148D">
            <w:pPr>
              <w:pStyle w:val="Tablebody"/>
              <w:keepNext/>
              <w:spacing w:before="0" w:after="0"/>
              <w:ind w:left="170"/>
            </w:pPr>
            <w:r w:rsidRPr="00054570">
              <w:t>24 months (95% CI)</w:t>
            </w:r>
          </w:p>
        </w:tc>
        <w:tc>
          <w:tcPr>
            <w:tcW w:w="1984" w:type="dxa"/>
            <w:vAlign w:val="center"/>
          </w:tcPr>
          <w:p w14:paraId="3131CA18" w14:textId="4AAFE3E4"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xxxxxxxxxxxxxxxxx</w:t>
            </w:r>
          </w:p>
        </w:tc>
        <w:tc>
          <w:tcPr>
            <w:tcW w:w="1985" w:type="dxa"/>
            <w:vAlign w:val="center"/>
          </w:tcPr>
          <w:p w14:paraId="5E22D292" w14:textId="53044F76"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xxxxxxxxxxxxxxxxx</w:t>
            </w:r>
          </w:p>
        </w:tc>
      </w:tr>
    </w:tbl>
    <w:p w14:paraId="6D820E02" w14:textId="6D97E167" w:rsidR="000B148D" w:rsidRPr="00054570" w:rsidRDefault="000B148D" w:rsidP="000B148D">
      <w:pPr>
        <w:pStyle w:val="Footnotes"/>
      </w:pPr>
      <w:r w:rsidRPr="00054570">
        <w:t xml:space="preserve">*Median OS is from KM analysis. </w:t>
      </w:r>
      <w:r w:rsidRPr="002A02A9">
        <w:t>CI for median was computed using the Brookmeyer-Crowley method.</w:t>
      </w:r>
      <w:r w:rsidRPr="00054570">
        <w:t xml:space="preserve"> </w:t>
      </w:r>
      <w:r>
        <w:br/>
      </w:r>
      <w:r w:rsidRPr="00054570">
        <w:t xml:space="preserve">†Two-sided p-value is from the stratified log-rank test; hazard ratio and 95% CI are from the stratified Cox proportional hazards model with stratification factors: HER2 status, number of prior lines of chemotherapy, HR/CDK status, as defined by the IXRS. </w:t>
      </w:r>
      <w:r>
        <w:br/>
      </w:r>
      <w:r w:rsidRPr="00054570">
        <w:t>‡Estimate and CI for OS rate at the specified timepoint are from KM analysis.</w:t>
      </w:r>
      <w:r w:rsidRPr="00054570">
        <w:br/>
        <w:t xml:space="preserve">Abbreviations: CI, confidence interval; FAS, full analysis set; </w:t>
      </w:r>
      <w:r w:rsidR="006C4279">
        <w:t xml:space="preserve">HR-positive, hormone receptor-positive; </w:t>
      </w:r>
      <w:r w:rsidRPr="00054570">
        <w:t>IXRS, Interactive Web/Voice Response System; KM, Kaplan-Meier; NE, not estimable; OS, overall survival; T-DXd, trastuzumab deruxtecan; TPC, treatment of physician’s choice.</w:t>
      </w:r>
      <w:r w:rsidRPr="00054570">
        <w:br/>
      </w:r>
      <w:r w:rsidRPr="000C741C">
        <w:t>Sources: Modi et al., 2022</w:t>
      </w:r>
      <w:r>
        <w:rPr>
          <w:lang w:val="fr-FR"/>
        </w:rPr>
        <w:fldChar w:fldCharType="begin"/>
      </w:r>
      <w:r w:rsidR="00CA6345">
        <w:instrText xml:space="preserve"> ADDIN ZOTERO_ITEM CSL_CITATION {"citationID":"QgEyf7oj","properties":{"formattedCitation":"\\super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Pr>
          <w:lang w:val="fr-FR"/>
        </w:rPr>
        <w:fldChar w:fldCharType="separate"/>
      </w:r>
      <w:r w:rsidR="00FD57F4" w:rsidRPr="00FD57F4">
        <w:rPr>
          <w:rFonts w:cs="Arial"/>
          <w:szCs w:val="24"/>
          <w:vertAlign w:val="superscript"/>
        </w:rPr>
        <w:t>6</w:t>
      </w:r>
      <w:r>
        <w:rPr>
          <w:lang w:val="fr-FR"/>
        </w:rPr>
        <w:fldChar w:fldCharType="end"/>
      </w:r>
      <w:r w:rsidRPr="000C741C">
        <w:t>; Daiichi Sankyo Inc., 2022 (CSR, Data on File)</w:t>
      </w:r>
      <w:r w:rsidRPr="00054570">
        <w:rPr>
          <w:lang w:val="fr-FR"/>
        </w:rPr>
        <w:fldChar w:fldCharType="begin"/>
      </w:r>
      <w:r w:rsidR="00CA6345">
        <w:instrText xml:space="preserve"> ADDIN ZOTERO_ITEM CSL_CITATION {"citationID":"hZtoM18W","properties":{"formattedCitation":"\\super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rPr>
          <w:lang w:val="fr-FR"/>
        </w:rPr>
        <w:fldChar w:fldCharType="separate"/>
      </w:r>
      <w:r w:rsidR="00FD57F4" w:rsidRPr="00FD57F4">
        <w:rPr>
          <w:rFonts w:cs="Arial"/>
          <w:szCs w:val="24"/>
          <w:vertAlign w:val="superscript"/>
        </w:rPr>
        <w:t>7</w:t>
      </w:r>
      <w:r w:rsidRPr="00054570">
        <w:rPr>
          <w:lang w:val="fr-FR"/>
        </w:rPr>
        <w:fldChar w:fldCharType="end"/>
      </w:r>
      <w:r w:rsidRPr="000C741C" w:rsidDel="00881788">
        <w:t xml:space="preserve"> </w:t>
      </w:r>
    </w:p>
    <w:p w14:paraId="31605D3C" w14:textId="77777777" w:rsidR="000B148D" w:rsidRPr="00054570" w:rsidRDefault="000B148D" w:rsidP="000B148D">
      <w:pPr>
        <w:pStyle w:val="Heading5"/>
        <w:numPr>
          <w:ilvl w:val="0"/>
          <w:numId w:val="0"/>
        </w:numPr>
        <w:ind w:left="1276" w:hanging="1276"/>
      </w:pPr>
      <w:r w:rsidRPr="000C741C">
        <w:t>Key</w:t>
      </w:r>
      <w:r w:rsidRPr="00054570">
        <w:t xml:space="preserve"> secondary efficacy | O</w:t>
      </w:r>
      <w:r>
        <w:t>S</w:t>
      </w:r>
      <w:r w:rsidRPr="00054570">
        <w:t xml:space="preserve"> in FAS </w:t>
      </w:r>
    </w:p>
    <w:p w14:paraId="58E5A009" w14:textId="491C46E0" w:rsidR="000B148D" w:rsidRPr="00054570" w:rsidRDefault="000B148D" w:rsidP="000B148D">
      <w:pPr>
        <w:pStyle w:val="Body"/>
      </w:pPr>
      <w:r w:rsidRPr="00054570">
        <w:t>At DCO</w:t>
      </w:r>
      <w:r>
        <w:t xml:space="preserve"> in the FAS</w:t>
      </w:r>
      <w:r w:rsidRPr="00054570">
        <w:t xml:space="preserve">, median duration of </w:t>
      </w:r>
      <w:r>
        <w:t xml:space="preserve">survival </w:t>
      </w:r>
      <w:r w:rsidRPr="00054570">
        <w:t>follow-up was 18.4 months</w:t>
      </w:r>
      <w:r>
        <w:fldChar w:fldCharType="begin"/>
      </w:r>
      <w:r w:rsidR="00CA6345">
        <w:instrText xml:space="preserve"> ADDIN ZOTERO_ITEM CSL_CITATION {"citationID":"m1XdiAPm","properties":{"formattedCitation":"\\super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054570">
        <w:t xml:space="preserve"> and</w:t>
      </w:r>
      <w:r>
        <w:t xml:space="preserve"> events of death were reported in</w:t>
      </w:r>
      <w:r w:rsidRPr="00054570">
        <w:t xml:space="preserve"> </w:t>
      </w:r>
      <w:r w:rsidR="00294FDC" w:rsidRPr="00294FDC">
        <w:rPr>
          <w:color w:val="000000"/>
          <w:highlight w:val="black"/>
        </w:rPr>
        <w:t>xxx</w:t>
      </w:r>
      <w:r w:rsidRPr="00054570">
        <w:t> patients (</w:t>
      </w:r>
      <w:r w:rsidR="00294FDC" w:rsidRPr="00294FDC">
        <w:rPr>
          <w:color w:val="000000"/>
          <w:highlight w:val="black"/>
        </w:rPr>
        <w:t>xxxxx</w:t>
      </w:r>
      <w:r w:rsidRPr="00054570">
        <w:t>) in the T</w:t>
      </w:r>
      <w:r w:rsidRPr="00054570">
        <w:noBreakHyphen/>
        <w:t xml:space="preserve">DXd arm and </w:t>
      </w:r>
      <w:r w:rsidR="00294FDC" w:rsidRPr="00294FDC">
        <w:rPr>
          <w:color w:val="000000"/>
          <w:highlight w:val="black"/>
        </w:rPr>
        <w:t>xx</w:t>
      </w:r>
      <w:r w:rsidRPr="00054570">
        <w:t> patients (</w:t>
      </w:r>
      <w:r w:rsidR="00294FDC" w:rsidRPr="00294FDC">
        <w:rPr>
          <w:color w:val="000000"/>
          <w:highlight w:val="black"/>
        </w:rPr>
        <w:t>xxxxx</w:t>
      </w:r>
      <w:r w:rsidRPr="00054570">
        <w:t xml:space="preserve">) in the TPC arm </w:t>
      </w:r>
      <w:r>
        <w:t>(</w:t>
      </w:r>
      <w:r w:rsidRPr="00C4523D">
        <w:rPr>
          <w:b/>
          <w:bCs/>
        </w:rPr>
        <w:fldChar w:fldCharType="begin"/>
      </w:r>
      <w:r w:rsidRPr="00C4523D">
        <w:rPr>
          <w:b/>
          <w:bCs/>
        </w:rPr>
        <w:instrText xml:space="preserve"> REF _Ref124433585 \h </w:instrText>
      </w:r>
      <w:r>
        <w:rPr>
          <w:b/>
          <w:bCs/>
        </w:rPr>
        <w:instrText xml:space="preserve"> \* MERGEFORMAT </w:instrText>
      </w:r>
      <w:r w:rsidRPr="00C4523D">
        <w:rPr>
          <w:b/>
          <w:bCs/>
        </w:rPr>
      </w:r>
      <w:r w:rsidRPr="00C4523D">
        <w:rPr>
          <w:b/>
          <w:bCs/>
        </w:rPr>
        <w:fldChar w:fldCharType="separate"/>
      </w:r>
      <w:r w:rsidR="00145F42" w:rsidRPr="00145F42">
        <w:rPr>
          <w:b/>
          <w:bCs/>
        </w:rPr>
        <w:t xml:space="preserve">Table </w:t>
      </w:r>
      <w:r w:rsidR="00145F42" w:rsidRPr="00145F42">
        <w:rPr>
          <w:b/>
          <w:bCs/>
          <w:noProof/>
        </w:rPr>
        <w:t>20</w:t>
      </w:r>
      <w:r w:rsidRPr="00C4523D">
        <w:rPr>
          <w:b/>
          <w:bCs/>
        </w:rPr>
        <w:fldChar w:fldCharType="end"/>
      </w:r>
      <w:r>
        <w:t xml:space="preserve">; </w:t>
      </w:r>
      <w:r>
        <w:fldChar w:fldCharType="begin"/>
      </w:r>
      <w:r>
        <w:instrText xml:space="preserve"> REF _Ref117676113 \h </w:instrText>
      </w:r>
      <w:r>
        <w:fldChar w:fldCharType="separate"/>
      </w:r>
      <w:r w:rsidR="00145F42" w:rsidRPr="00054570">
        <w:rPr>
          <w:b/>
        </w:rPr>
        <w:t xml:space="preserve">Figure </w:t>
      </w:r>
      <w:r w:rsidR="00145F42">
        <w:rPr>
          <w:b/>
          <w:noProof/>
        </w:rPr>
        <w:t>14</w:t>
      </w:r>
      <w:r>
        <w:fldChar w:fldCharType="end"/>
      </w:r>
      <w:r w:rsidRPr="00054570">
        <w:t>).</w:t>
      </w:r>
      <w:r w:rsidRPr="00054570">
        <w:fldChar w:fldCharType="begin"/>
      </w:r>
      <w:r w:rsidR="00CA6345">
        <w:instrText xml:space="preserve"> ADDIN ZOTERO_ITEM CSL_CITATION {"citationID":"0FJGdwEb","properties":{"formattedCitation":"\\super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r w:rsidRPr="00054570">
        <w:t xml:space="preserve"> </w:t>
      </w:r>
    </w:p>
    <w:p w14:paraId="7C395FEB" w14:textId="56B7A2C8" w:rsidR="000B148D" w:rsidRPr="00054570" w:rsidRDefault="000B148D" w:rsidP="000B148D">
      <w:pPr>
        <w:pStyle w:val="Body"/>
      </w:pPr>
      <w:r>
        <w:t xml:space="preserve">At DCO, </w:t>
      </w:r>
      <w:r w:rsidR="00294FDC" w:rsidRPr="00294FDC">
        <w:rPr>
          <w:color w:val="000000"/>
          <w:highlight w:val="black"/>
        </w:rPr>
        <w:t>xxx</w:t>
      </w:r>
      <w:r>
        <w:t xml:space="preserve"> patients (</w:t>
      </w:r>
      <w:r w:rsidR="00294FDC" w:rsidRPr="00294FDC">
        <w:rPr>
          <w:color w:val="000000"/>
          <w:highlight w:val="black"/>
        </w:rPr>
        <w:t>xxxxx</w:t>
      </w:r>
      <w:r>
        <w:t xml:space="preserve">) in the T-DXd arm and </w:t>
      </w:r>
      <w:r w:rsidR="00294FDC" w:rsidRPr="00294FDC">
        <w:rPr>
          <w:color w:val="000000"/>
          <w:highlight w:val="black"/>
        </w:rPr>
        <w:t>xx</w:t>
      </w:r>
      <w:r>
        <w:t xml:space="preserve"> patients (</w:t>
      </w:r>
      <w:r w:rsidR="00294FDC" w:rsidRPr="00294FDC">
        <w:rPr>
          <w:color w:val="000000"/>
          <w:highlight w:val="black"/>
        </w:rPr>
        <w:t>xxxxx</w:t>
      </w:r>
      <w:r>
        <w:t>) in the TPC arm were censored.</w:t>
      </w:r>
      <w:r>
        <w:fldChar w:fldCharType="begin"/>
      </w:r>
      <w:r w:rsidR="00CA6345">
        <w:instrText xml:space="preserve"> ADDIN ZOTERO_ITEM CSL_CITATION {"citationID":"WIX9wKck","properties":{"formattedCitation":"\\super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fldChar w:fldCharType="separate"/>
      </w:r>
      <w:r w:rsidR="00FD57F4" w:rsidRPr="00FD57F4">
        <w:rPr>
          <w:rFonts w:cs="Arial"/>
          <w:szCs w:val="24"/>
          <w:vertAlign w:val="superscript"/>
        </w:rPr>
        <w:t>7</w:t>
      </w:r>
      <w:r>
        <w:fldChar w:fldCharType="end"/>
      </w:r>
      <w:r>
        <w:t xml:space="preserve"> Of these, </w:t>
      </w:r>
      <w:r w:rsidR="00294FDC" w:rsidRPr="00294FDC">
        <w:rPr>
          <w:color w:val="000000"/>
          <w:highlight w:val="black"/>
        </w:rPr>
        <w:t>xxx</w:t>
      </w:r>
      <w:r w:rsidRPr="00054570">
        <w:t xml:space="preserve"> patients (</w:t>
      </w:r>
      <w:r w:rsidR="00294FDC" w:rsidRPr="00294FDC">
        <w:rPr>
          <w:color w:val="000000"/>
          <w:highlight w:val="black"/>
        </w:rPr>
        <w:t>xxxx</w:t>
      </w:r>
      <w:r w:rsidRPr="00054570">
        <w:t>%) in the T</w:t>
      </w:r>
      <w:r w:rsidRPr="00054570">
        <w:noBreakHyphen/>
        <w:t xml:space="preserve">DXd arm and </w:t>
      </w:r>
      <w:r w:rsidR="00294FDC" w:rsidRPr="00294FDC">
        <w:rPr>
          <w:color w:val="000000"/>
          <w:highlight w:val="black"/>
        </w:rPr>
        <w:t>xx</w:t>
      </w:r>
      <w:r w:rsidRPr="00314A60">
        <w:rPr>
          <w:u w:val="single"/>
        </w:rPr>
        <w:t> </w:t>
      </w:r>
      <w:r w:rsidRPr="00054570">
        <w:t>patients (</w:t>
      </w:r>
      <w:r w:rsidR="00294FDC" w:rsidRPr="00294FDC">
        <w:rPr>
          <w:color w:val="000000"/>
          <w:highlight w:val="black"/>
        </w:rPr>
        <w:t>xxxxx</w:t>
      </w:r>
      <w:r w:rsidRPr="00054570">
        <w:t>) in the TPC arm were alive.</w:t>
      </w:r>
      <w:r w:rsidRPr="00054570">
        <w:fldChar w:fldCharType="begin"/>
      </w:r>
      <w:r w:rsidR="00CA6345">
        <w:instrText xml:space="preserve"> ADDIN ZOTERO_ITEM CSL_CITATION {"citationID":"aHX355cO","properties":{"formattedCitation":"\\super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r w:rsidRPr="00054570">
        <w:t xml:space="preserve"> </w:t>
      </w:r>
      <w:r>
        <w:t xml:space="preserve">The remaining </w:t>
      </w:r>
      <w:r w:rsidR="00294FDC" w:rsidRPr="00294FDC">
        <w:rPr>
          <w:color w:val="000000"/>
          <w:highlight w:val="black"/>
        </w:rPr>
        <w:t>xx</w:t>
      </w:r>
      <w:r>
        <w:t xml:space="preserve"> patients (</w:t>
      </w:r>
      <w:r w:rsidR="00294FDC" w:rsidRPr="00294FDC">
        <w:rPr>
          <w:color w:val="000000"/>
          <w:highlight w:val="black"/>
        </w:rPr>
        <w:t>xxxx</w:t>
      </w:r>
      <w:r>
        <w:t xml:space="preserve">) in the T-DXd arm and </w:t>
      </w:r>
      <w:r w:rsidR="00294FDC" w:rsidRPr="00294FDC">
        <w:rPr>
          <w:color w:val="000000"/>
          <w:highlight w:val="black"/>
        </w:rPr>
        <w:t>xx</w:t>
      </w:r>
      <w:r>
        <w:t xml:space="preserve"> patients (</w:t>
      </w:r>
      <w:r w:rsidR="00294FDC" w:rsidRPr="00294FDC">
        <w:rPr>
          <w:color w:val="000000"/>
          <w:highlight w:val="black"/>
        </w:rPr>
        <w:t>xxxxx</w:t>
      </w:r>
      <w:r>
        <w:t>) in the TPC arm were censored for other reasons (</w:t>
      </w:r>
      <w:r w:rsidRPr="00314A60">
        <w:rPr>
          <w:b/>
          <w:bCs/>
        </w:rPr>
        <w:fldChar w:fldCharType="begin"/>
      </w:r>
      <w:r w:rsidRPr="00314A60">
        <w:rPr>
          <w:b/>
          <w:bCs/>
        </w:rPr>
        <w:instrText xml:space="preserve"> REF _Ref124433585 \h </w:instrText>
      </w:r>
      <w:r>
        <w:rPr>
          <w:b/>
          <w:bCs/>
        </w:rPr>
        <w:instrText xml:space="preserve"> \* MERGEFORMAT </w:instrText>
      </w:r>
      <w:r w:rsidRPr="00314A60">
        <w:rPr>
          <w:b/>
          <w:bCs/>
        </w:rPr>
      </w:r>
      <w:r w:rsidRPr="00314A60">
        <w:rPr>
          <w:b/>
          <w:bCs/>
        </w:rPr>
        <w:fldChar w:fldCharType="separate"/>
      </w:r>
      <w:r w:rsidR="00145F42" w:rsidRPr="00145F42">
        <w:rPr>
          <w:b/>
          <w:bCs/>
        </w:rPr>
        <w:t xml:space="preserve">Table </w:t>
      </w:r>
      <w:r w:rsidR="00145F42" w:rsidRPr="00145F42">
        <w:rPr>
          <w:b/>
          <w:bCs/>
          <w:noProof/>
        </w:rPr>
        <w:t>20</w:t>
      </w:r>
      <w:r w:rsidRPr="00314A60">
        <w:rPr>
          <w:b/>
          <w:bCs/>
        </w:rPr>
        <w:fldChar w:fldCharType="end"/>
      </w:r>
      <w:r>
        <w:t>).</w:t>
      </w:r>
      <w:r w:rsidRPr="00054570">
        <w:fldChar w:fldCharType="begin"/>
      </w:r>
      <w:r w:rsidR="00CA6345">
        <w:instrText xml:space="preserve"> ADDIN ZOTERO_ITEM CSL_CITATION {"citationID":"nIfzOAIY","properties":{"formattedCitation":"\\super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r w:rsidRPr="00054570">
        <w:t xml:space="preserve"> </w:t>
      </w:r>
    </w:p>
    <w:p w14:paraId="4021B4BB" w14:textId="1C045BA4" w:rsidR="000B148D" w:rsidRPr="00054570" w:rsidRDefault="000B148D" w:rsidP="000B148D">
      <w:pPr>
        <w:pStyle w:val="Body"/>
      </w:pPr>
      <w:r w:rsidRPr="00054570">
        <w:t>OS results in the FAS were consistent with those from the HR-positive cohort</w:t>
      </w:r>
      <w:r>
        <w:t>.</w:t>
      </w:r>
      <w:r w:rsidRPr="00054570">
        <w:t xml:space="preserve"> </w:t>
      </w:r>
      <w:r>
        <w:t xml:space="preserve">T-DXd was associated </w:t>
      </w:r>
      <w:r w:rsidRPr="00054570">
        <w:t xml:space="preserve">with a statistically significant </w:t>
      </w:r>
      <w:r>
        <w:t xml:space="preserve">36% lower risk of death </w:t>
      </w:r>
      <w:r w:rsidRPr="00054570">
        <w:t>compared with TPC (HR: 0.64 [95% CI: 0.49, 0.84]; p=0.001).</w:t>
      </w:r>
      <w:r>
        <w:fldChar w:fldCharType="begin"/>
      </w:r>
      <w:r w:rsidR="00CA6345">
        <w:instrText xml:space="preserve"> ADDIN ZOTERO_ITEM CSL_CITATION {"citationID":"reHXAUTy","properties":{"formattedCitation":"\\super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054570">
        <w:t xml:space="preserve"> </w:t>
      </w:r>
      <w:r>
        <w:t xml:space="preserve">The stratified log-rank </w:t>
      </w:r>
      <w:r w:rsidR="00CD0FB2">
        <w:t>p</w:t>
      </w:r>
      <w:r>
        <w:t xml:space="preserve">-value of 0.001 </w:t>
      </w:r>
      <w:r w:rsidRPr="00054570">
        <w:t>crossed the pre-specified efficacy stopping boundary of 0.007</w:t>
      </w:r>
      <w:r>
        <w:t>5, confirming the efficacy of T-DXd vs. TPC for this outcome</w:t>
      </w:r>
      <w:r w:rsidRPr="00054570">
        <w:t>.</w:t>
      </w:r>
      <w:r>
        <w:fldChar w:fldCharType="begin"/>
      </w:r>
      <w:r w:rsidR="00CA6345">
        <w:instrText xml:space="preserve"> ADDIN ZOTERO_ITEM CSL_CITATION {"citationID":"ruT41cL1","properties":{"formattedCitation":"\\super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054570">
        <w:t xml:space="preserve"> </w:t>
      </w:r>
      <w:r>
        <w:t>DESTINY-Breast04 therefore met its secondary endpoint of OS in the FAS.</w:t>
      </w:r>
      <w:r w:rsidRPr="00054570">
        <w:t xml:space="preserve"> </w:t>
      </w:r>
    </w:p>
    <w:p w14:paraId="681F353C" w14:textId="67AD6085" w:rsidR="000B148D" w:rsidRPr="00054570" w:rsidRDefault="000B148D" w:rsidP="000B148D">
      <w:pPr>
        <w:pStyle w:val="Body"/>
      </w:pPr>
      <w:r w:rsidRPr="00054570">
        <w:t>Median OS in the FAS was 23.4 months (95% CI: 20.0, 24.8) in the T-DXd arm vs. 16.8 months (95% CI: 14.5, 20.0) in the TPC arm.</w:t>
      </w:r>
      <w:r>
        <w:fldChar w:fldCharType="begin"/>
      </w:r>
      <w:r w:rsidR="00CA6345">
        <w:instrText xml:space="preserve"> ADDIN ZOTERO_ITEM CSL_CITATION {"citationID":"BaV0o9C6","properties":{"formattedCitation":"\\super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054570">
        <w:t xml:space="preserve"> At 12 months, </w:t>
      </w:r>
      <w:r w:rsidR="00294FDC" w:rsidRPr="00294FDC">
        <w:rPr>
          <w:color w:val="000000"/>
          <w:highlight w:val="black"/>
        </w:rPr>
        <w:t>xxxxx</w:t>
      </w:r>
      <w:r>
        <w:t xml:space="preserve"> (95% CI: </w:t>
      </w:r>
      <w:r w:rsidR="00294FDC" w:rsidRPr="00294FDC">
        <w:rPr>
          <w:color w:val="000000"/>
          <w:highlight w:val="black"/>
        </w:rPr>
        <w:t>xxxxxxxxxx</w:t>
      </w:r>
      <w:r>
        <w:t>)</w:t>
      </w:r>
      <w:r w:rsidRPr="00054570">
        <w:t xml:space="preserve"> and </w:t>
      </w:r>
      <w:r w:rsidR="00294FDC" w:rsidRPr="00294FDC">
        <w:rPr>
          <w:color w:val="000000"/>
          <w:highlight w:val="black"/>
        </w:rPr>
        <w:t>xxxxx</w:t>
      </w:r>
      <w:r>
        <w:t xml:space="preserve"> (95% CI: </w:t>
      </w:r>
      <w:r w:rsidR="00294FDC" w:rsidRPr="00294FDC">
        <w:rPr>
          <w:color w:val="000000"/>
          <w:highlight w:val="black"/>
        </w:rPr>
        <w:t>xxxxxxxxxx</w:t>
      </w:r>
      <w:r>
        <w:t xml:space="preserve">) of patients were alive </w:t>
      </w:r>
      <w:r w:rsidRPr="00054570">
        <w:t>in the T</w:t>
      </w:r>
      <w:r w:rsidRPr="00054570">
        <w:noBreakHyphen/>
        <w:t>DXd and TPC arms, respectively</w:t>
      </w:r>
      <w:r>
        <w:t xml:space="preserve"> (</w:t>
      </w:r>
      <w:r w:rsidRPr="00314A60">
        <w:rPr>
          <w:b/>
          <w:bCs/>
        </w:rPr>
        <w:fldChar w:fldCharType="begin"/>
      </w:r>
      <w:r w:rsidRPr="00314A60">
        <w:rPr>
          <w:b/>
          <w:bCs/>
        </w:rPr>
        <w:instrText xml:space="preserve"> REF _Ref117676113 \h </w:instrText>
      </w:r>
      <w:r>
        <w:rPr>
          <w:b/>
          <w:bCs/>
        </w:rPr>
        <w:instrText xml:space="preserve"> \* MERGEFORMAT </w:instrText>
      </w:r>
      <w:r w:rsidRPr="00314A60">
        <w:rPr>
          <w:b/>
          <w:bCs/>
        </w:rPr>
      </w:r>
      <w:r w:rsidRPr="00314A60">
        <w:rPr>
          <w:b/>
          <w:bCs/>
        </w:rPr>
        <w:fldChar w:fldCharType="separate"/>
      </w:r>
      <w:r w:rsidR="00145F42" w:rsidRPr="00145F42">
        <w:rPr>
          <w:b/>
          <w:bCs/>
        </w:rPr>
        <w:t xml:space="preserve">Figure </w:t>
      </w:r>
      <w:r w:rsidR="00145F42" w:rsidRPr="00145F42">
        <w:rPr>
          <w:b/>
          <w:bCs/>
          <w:noProof/>
        </w:rPr>
        <w:t>14</w:t>
      </w:r>
      <w:r w:rsidRPr="00314A60">
        <w:rPr>
          <w:b/>
          <w:bCs/>
        </w:rPr>
        <w:fldChar w:fldCharType="end"/>
      </w:r>
      <w:r>
        <w:t>)</w:t>
      </w:r>
      <w:r w:rsidRPr="00054570">
        <w:t>.</w:t>
      </w:r>
      <w:r w:rsidRPr="00054570">
        <w:fldChar w:fldCharType="begin"/>
      </w:r>
      <w:r w:rsidR="00CA6345">
        <w:instrText xml:space="preserve"> ADDIN ZOTERO_ITEM CSL_CITATION {"citationID":"EXwR1rga","properties":{"formattedCitation":"\\super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r w:rsidRPr="00054570">
        <w:t xml:space="preserve"> </w:t>
      </w:r>
      <w:r w:rsidRPr="00207CDA">
        <w:t>A sustained separation of the KM OS curve in favour of the T-DXd arm was observed starting at approximately 4 months</w:t>
      </w:r>
      <w:r>
        <w:t>.</w:t>
      </w:r>
    </w:p>
    <w:p w14:paraId="104A2DB2" w14:textId="714C0D17" w:rsidR="000B148D" w:rsidRPr="00054570" w:rsidRDefault="000B148D" w:rsidP="000B148D">
      <w:pPr>
        <w:pStyle w:val="Body"/>
        <w:keepNext/>
        <w:spacing w:after="0"/>
        <w:rPr>
          <w:rStyle w:val="CommentReference"/>
          <w:sz w:val="22"/>
          <w:szCs w:val="22"/>
        </w:rPr>
      </w:pPr>
      <w:bookmarkStart w:id="245" w:name="_Ref117676113"/>
      <w:bookmarkStart w:id="246" w:name="_Ref118384062"/>
      <w:bookmarkStart w:id="247" w:name="_Toc124447860"/>
      <w:bookmarkStart w:id="248" w:name="_Toc129350940"/>
      <w:bookmarkEnd w:id="236"/>
      <w:r w:rsidRPr="00054570">
        <w:rPr>
          <w:b/>
        </w:rPr>
        <w:lastRenderedPageBreak/>
        <w:t xml:space="preserve">Figure </w:t>
      </w:r>
      <w:r w:rsidRPr="00054570">
        <w:rPr>
          <w:b/>
        </w:rPr>
        <w:fldChar w:fldCharType="begin"/>
      </w:r>
      <w:r w:rsidRPr="00054570">
        <w:rPr>
          <w:b/>
        </w:rPr>
        <w:instrText xml:space="preserve"> SEQ Figure \* ARABIC </w:instrText>
      </w:r>
      <w:r w:rsidRPr="00054570">
        <w:rPr>
          <w:b/>
        </w:rPr>
        <w:fldChar w:fldCharType="separate"/>
      </w:r>
      <w:r w:rsidR="00145F42">
        <w:rPr>
          <w:b/>
          <w:noProof/>
        </w:rPr>
        <w:t>14</w:t>
      </w:r>
      <w:r w:rsidRPr="00054570">
        <w:rPr>
          <w:b/>
        </w:rPr>
        <w:fldChar w:fldCharType="end"/>
      </w:r>
      <w:bookmarkEnd w:id="245"/>
      <w:r w:rsidRPr="00054570">
        <w:rPr>
          <w:b/>
        </w:rPr>
        <w:t>: DESTINY-Breast04 | Kaplan-Meier of OS | FAS</w:t>
      </w:r>
      <w:bookmarkEnd w:id="246"/>
      <w:bookmarkEnd w:id="247"/>
      <w:bookmarkEnd w:id="248"/>
      <w:r w:rsidRPr="0005457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57" w:type="dxa"/>
          <w:bottom w:w="113" w:type="dxa"/>
          <w:right w:w="57" w:type="dxa"/>
        </w:tblCellMar>
        <w:tblLook w:val="04A0" w:firstRow="1" w:lastRow="0" w:firstColumn="1" w:lastColumn="0" w:noHBand="0" w:noVBand="1"/>
      </w:tblPr>
      <w:tblGrid>
        <w:gridCol w:w="9016"/>
      </w:tblGrid>
      <w:tr w:rsidR="000B148D" w:rsidRPr="00054570" w14:paraId="70197721" w14:textId="77777777">
        <w:tc>
          <w:tcPr>
            <w:tcW w:w="13887" w:type="dxa"/>
            <w:tcBorders>
              <w:top w:val="single" w:sz="4" w:space="0" w:color="auto"/>
              <w:left w:val="single" w:sz="4" w:space="0" w:color="auto"/>
              <w:bottom w:val="single" w:sz="4" w:space="0" w:color="auto"/>
              <w:right w:val="single" w:sz="4" w:space="0" w:color="auto"/>
            </w:tcBorders>
          </w:tcPr>
          <w:p w14:paraId="08C7B28D" w14:textId="77777777" w:rsidR="000B148D" w:rsidRPr="00054570" w:rsidRDefault="000B148D">
            <w:pPr>
              <w:pStyle w:val="Footnotes"/>
              <w:spacing w:after="0"/>
              <w:jc w:val="center"/>
              <w:rPr>
                <w:b/>
                <w:sz w:val="22"/>
                <w:szCs w:val="22"/>
              </w:rPr>
            </w:pPr>
            <w:r w:rsidRPr="00054570">
              <w:rPr>
                <w:b/>
                <w:noProof/>
                <w:sz w:val="22"/>
                <w:szCs w:val="22"/>
              </w:rPr>
              <w:drawing>
                <wp:inline distT="0" distB="0" distL="0" distR="0" wp14:anchorId="1DCFBB25" wp14:editId="454B36E9">
                  <wp:extent cx="5634639" cy="36195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35472" cy="3620035"/>
                          </a:xfrm>
                          <a:prstGeom prst="rect">
                            <a:avLst/>
                          </a:prstGeom>
                        </pic:spPr>
                      </pic:pic>
                    </a:graphicData>
                  </a:graphic>
                </wp:inline>
              </w:drawing>
            </w:r>
          </w:p>
        </w:tc>
      </w:tr>
    </w:tbl>
    <w:p w14:paraId="1BFC17C3" w14:textId="0156FC1A" w:rsidR="000B148D" w:rsidRPr="00054570" w:rsidRDefault="000B148D" w:rsidP="000B148D">
      <w:pPr>
        <w:pStyle w:val="Footnotes"/>
        <w:spacing w:after="0"/>
      </w:pPr>
      <w:r w:rsidRPr="00054570">
        <w:t>Abbreviations: CI, confidence interval; FAS, full analysis set; HR, hazard ratio; OS, overall survival; T</w:t>
      </w:r>
      <w:r w:rsidR="001D0D1A">
        <w:t>-</w:t>
      </w:r>
      <w:r w:rsidRPr="00054570">
        <w:t>DXd, trastuzumab deruxtecan; TPC, treatment of physician’s choice.</w:t>
      </w:r>
    </w:p>
    <w:p w14:paraId="31286789" w14:textId="3B013E19" w:rsidR="000B148D" w:rsidRPr="00054570" w:rsidRDefault="000B148D" w:rsidP="000B148D">
      <w:pPr>
        <w:pStyle w:val="Footnotes"/>
        <w:rPr>
          <w:vertAlign w:val="superscript"/>
        </w:rPr>
      </w:pPr>
      <w:r w:rsidRPr="00054570">
        <w:t>Source:  Daiichi Sankyo Inc., 2022 (CSR; Data on File).</w:t>
      </w:r>
      <w:r w:rsidRPr="00054570">
        <w:rPr>
          <w:sz w:val="14"/>
          <w:szCs w:val="14"/>
        </w:rPr>
        <w:fldChar w:fldCharType="begin"/>
      </w:r>
      <w:r w:rsidR="00CA6345">
        <w:instrText xml:space="preserve"> ADDIN ZOTERO_ITEM CSL_CITATION {"citationID":"iB1ywaRd","properties":{"formattedCitation":"\\super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rPr>
          <w:sz w:val="14"/>
          <w:szCs w:val="14"/>
        </w:rPr>
        <w:fldChar w:fldCharType="separate"/>
      </w:r>
      <w:r w:rsidR="00FD57F4" w:rsidRPr="00FD57F4">
        <w:rPr>
          <w:rFonts w:cs="Arial"/>
          <w:szCs w:val="24"/>
          <w:vertAlign w:val="superscript"/>
        </w:rPr>
        <w:t>7</w:t>
      </w:r>
      <w:r w:rsidRPr="00054570">
        <w:rPr>
          <w:sz w:val="14"/>
          <w:szCs w:val="14"/>
        </w:rPr>
        <w:fldChar w:fldCharType="end"/>
      </w:r>
    </w:p>
    <w:p w14:paraId="7618C87C" w14:textId="76175B06" w:rsidR="000B148D" w:rsidRPr="00054570" w:rsidRDefault="000B148D" w:rsidP="000B148D">
      <w:pPr>
        <w:pStyle w:val="Caption"/>
      </w:pPr>
      <w:bookmarkStart w:id="249" w:name="_Ref124433585"/>
      <w:bookmarkStart w:id="250" w:name="_Toc124447880"/>
      <w:bookmarkStart w:id="251" w:name="_Toc129350995"/>
      <w:r w:rsidRPr="00054570">
        <w:t xml:space="preserve">Table </w:t>
      </w:r>
      <w:r w:rsidRPr="00054570">
        <w:fldChar w:fldCharType="begin"/>
      </w:r>
      <w:r w:rsidRPr="00054570">
        <w:instrText>SEQ Table \* ARABIC</w:instrText>
      </w:r>
      <w:r w:rsidRPr="00054570">
        <w:fldChar w:fldCharType="separate"/>
      </w:r>
      <w:r w:rsidR="00145F42">
        <w:rPr>
          <w:noProof/>
        </w:rPr>
        <w:t>20</w:t>
      </w:r>
      <w:r w:rsidRPr="00054570">
        <w:fldChar w:fldCharType="end"/>
      </w:r>
      <w:bookmarkEnd w:id="249"/>
      <w:r w:rsidRPr="00054570">
        <w:t>: DESTINY-Breast04 | Analysis of OS | FAS</w:t>
      </w:r>
      <w:bookmarkEnd w:id="250"/>
      <w:bookmarkEnd w:id="251"/>
    </w:p>
    <w:tbl>
      <w:tblPr>
        <w:tblStyle w:val="Generaltable"/>
        <w:tblW w:w="9067" w:type="dxa"/>
        <w:tblLook w:val="04A0" w:firstRow="1" w:lastRow="0" w:firstColumn="1" w:lastColumn="0" w:noHBand="0" w:noVBand="1"/>
      </w:tblPr>
      <w:tblGrid>
        <w:gridCol w:w="5098"/>
        <w:gridCol w:w="1984"/>
        <w:gridCol w:w="1985"/>
      </w:tblGrid>
      <w:tr w:rsidR="000B148D" w:rsidRPr="00054570" w14:paraId="43B4BF5E" w14:textId="77777777">
        <w:trPr>
          <w:cnfStyle w:val="100000000000" w:firstRow="1" w:lastRow="0" w:firstColumn="0" w:lastColumn="0" w:oddVBand="0" w:evenVBand="0" w:oddHBand="0" w:evenHBand="0" w:firstRowFirstColumn="0" w:firstRowLastColumn="0" w:lastRowFirstColumn="0" w:lastRowLastColumn="0"/>
          <w:trHeight w:val="20"/>
        </w:trPr>
        <w:tc>
          <w:tcPr>
            <w:tcW w:w="5098" w:type="dxa"/>
            <w:vMerge w:val="restart"/>
            <w:shd w:val="clear" w:color="auto" w:fill="F2F2F2" w:themeFill="background1" w:themeFillShade="F2"/>
            <w:vAlign w:val="center"/>
          </w:tcPr>
          <w:p w14:paraId="2FD03575" w14:textId="77777777" w:rsidR="000B148D" w:rsidRPr="00054570" w:rsidRDefault="000B148D">
            <w:pPr>
              <w:pStyle w:val="Tableheading"/>
              <w:spacing w:before="0" w:after="0"/>
            </w:pPr>
          </w:p>
        </w:tc>
        <w:tc>
          <w:tcPr>
            <w:tcW w:w="3969" w:type="dxa"/>
            <w:gridSpan w:val="2"/>
            <w:shd w:val="clear" w:color="auto" w:fill="F2F2F2" w:themeFill="background1" w:themeFillShade="F2"/>
            <w:vAlign w:val="center"/>
          </w:tcPr>
          <w:p w14:paraId="619F9F72" w14:textId="77777777" w:rsidR="000B148D" w:rsidRPr="00054570" w:rsidRDefault="000B148D">
            <w:pPr>
              <w:pStyle w:val="Tableheading"/>
              <w:spacing w:before="0" w:after="0"/>
              <w:jc w:val="center"/>
            </w:pPr>
            <w:r w:rsidRPr="00054570">
              <w:t>FAS</w:t>
            </w:r>
          </w:p>
        </w:tc>
      </w:tr>
      <w:tr w:rsidR="000B148D" w:rsidRPr="00054570" w14:paraId="23253657" w14:textId="77777777">
        <w:trPr>
          <w:trHeight w:val="20"/>
        </w:trPr>
        <w:tc>
          <w:tcPr>
            <w:tcW w:w="5098" w:type="dxa"/>
            <w:vMerge/>
            <w:shd w:val="clear" w:color="auto" w:fill="F2F2F2" w:themeFill="background1" w:themeFillShade="F2"/>
            <w:vAlign w:val="center"/>
          </w:tcPr>
          <w:p w14:paraId="081E42A8" w14:textId="77777777" w:rsidR="000B148D" w:rsidRPr="00054570" w:rsidRDefault="000B148D">
            <w:pPr>
              <w:pStyle w:val="Tableheading"/>
              <w:spacing w:before="0" w:after="0"/>
            </w:pPr>
          </w:p>
        </w:tc>
        <w:tc>
          <w:tcPr>
            <w:tcW w:w="1984" w:type="dxa"/>
            <w:shd w:val="clear" w:color="auto" w:fill="F2F2F2" w:themeFill="background1" w:themeFillShade="F2"/>
            <w:vAlign w:val="center"/>
          </w:tcPr>
          <w:p w14:paraId="0BEFE1C7" w14:textId="7FBB5C3D" w:rsidR="000B148D" w:rsidRPr="00054570" w:rsidRDefault="000B148D">
            <w:pPr>
              <w:pStyle w:val="Tableheading"/>
              <w:spacing w:before="0" w:after="0"/>
              <w:jc w:val="center"/>
              <w:rPr>
                <w:rFonts w:cs="Arial"/>
              </w:rPr>
            </w:pPr>
            <w:r w:rsidRPr="00054570">
              <w:rPr>
                <w:rFonts w:eastAsia="Times New Roman" w:cs="Arial"/>
              </w:rPr>
              <w:t>T-DXd (N=373)</w:t>
            </w:r>
          </w:p>
        </w:tc>
        <w:tc>
          <w:tcPr>
            <w:tcW w:w="1985" w:type="dxa"/>
            <w:shd w:val="clear" w:color="auto" w:fill="F2F2F2" w:themeFill="background1" w:themeFillShade="F2"/>
            <w:vAlign w:val="center"/>
          </w:tcPr>
          <w:p w14:paraId="0CB5525B" w14:textId="7BE138FA" w:rsidR="000B148D" w:rsidRPr="00054570" w:rsidRDefault="000B148D">
            <w:pPr>
              <w:ind w:right="7"/>
              <w:jc w:val="center"/>
            </w:pPr>
            <w:r w:rsidRPr="00054570">
              <w:rPr>
                <w:rFonts w:eastAsia="Times New Roman" w:cs="Arial"/>
                <w:b/>
                <w:sz w:val="20"/>
                <w:szCs w:val="20"/>
              </w:rPr>
              <w:t xml:space="preserve">TPC </w:t>
            </w:r>
            <w:r w:rsidRPr="00054570">
              <w:rPr>
                <w:b/>
                <w:sz w:val="20"/>
                <w:szCs w:val="20"/>
              </w:rPr>
              <w:t>(N=184)</w:t>
            </w:r>
          </w:p>
        </w:tc>
      </w:tr>
      <w:tr w:rsidR="000B148D" w:rsidRPr="00054570" w14:paraId="782FCDEC" w14:textId="77777777">
        <w:trPr>
          <w:trHeight w:val="20"/>
        </w:trPr>
        <w:tc>
          <w:tcPr>
            <w:tcW w:w="5098" w:type="dxa"/>
            <w:shd w:val="clear" w:color="auto" w:fill="F2F2F2" w:themeFill="background1" w:themeFillShade="F2"/>
            <w:vAlign w:val="center"/>
          </w:tcPr>
          <w:p w14:paraId="65A273CE" w14:textId="77777777" w:rsidR="000B148D" w:rsidRPr="00054570" w:rsidRDefault="000B148D">
            <w:pPr>
              <w:pStyle w:val="Tablebody"/>
              <w:spacing w:before="0" w:after="0"/>
            </w:pPr>
            <w:r w:rsidRPr="00054570">
              <w:t>Subjects with events (deaths), n (%)</w:t>
            </w:r>
          </w:p>
        </w:tc>
        <w:tc>
          <w:tcPr>
            <w:tcW w:w="1984" w:type="dxa"/>
            <w:vAlign w:val="center"/>
          </w:tcPr>
          <w:p w14:paraId="24419BA0" w14:textId="5C5824EF"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xxxxxxxxxx</w:t>
            </w:r>
          </w:p>
        </w:tc>
        <w:tc>
          <w:tcPr>
            <w:tcW w:w="1985" w:type="dxa"/>
            <w:vAlign w:val="center"/>
          </w:tcPr>
          <w:p w14:paraId="03FC1149" w14:textId="24BE7E0F"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xxxxxxxxx</w:t>
            </w:r>
          </w:p>
        </w:tc>
      </w:tr>
      <w:tr w:rsidR="000B148D" w:rsidRPr="00054570" w14:paraId="625873A4" w14:textId="77777777">
        <w:trPr>
          <w:trHeight w:val="20"/>
        </w:trPr>
        <w:tc>
          <w:tcPr>
            <w:tcW w:w="5098" w:type="dxa"/>
            <w:shd w:val="clear" w:color="auto" w:fill="F2F2F2" w:themeFill="background1" w:themeFillShade="F2"/>
            <w:vAlign w:val="center"/>
          </w:tcPr>
          <w:p w14:paraId="5CFBBD9C" w14:textId="77777777" w:rsidR="000B148D" w:rsidRPr="00054570" w:rsidRDefault="000B148D">
            <w:pPr>
              <w:pStyle w:val="Tablebody"/>
              <w:keepNext/>
              <w:spacing w:before="0" w:after="0"/>
            </w:pPr>
            <w:r w:rsidRPr="00054570">
              <w:t>Subjects without events (censored), n (%)</w:t>
            </w:r>
          </w:p>
        </w:tc>
        <w:tc>
          <w:tcPr>
            <w:tcW w:w="1984" w:type="dxa"/>
            <w:vAlign w:val="center"/>
          </w:tcPr>
          <w:p w14:paraId="40A5F2A6" w14:textId="2A6B3C5E"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xxxxxxxxxx</w:t>
            </w:r>
          </w:p>
        </w:tc>
        <w:tc>
          <w:tcPr>
            <w:tcW w:w="1985" w:type="dxa"/>
            <w:vAlign w:val="center"/>
          </w:tcPr>
          <w:p w14:paraId="395A9023" w14:textId="30AEADB0"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xxxxxxxxx</w:t>
            </w:r>
          </w:p>
        </w:tc>
      </w:tr>
      <w:tr w:rsidR="000B148D" w:rsidRPr="00054570" w14:paraId="7A522F1B" w14:textId="77777777">
        <w:trPr>
          <w:trHeight w:val="20"/>
        </w:trPr>
        <w:tc>
          <w:tcPr>
            <w:tcW w:w="5098" w:type="dxa"/>
            <w:shd w:val="clear" w:color="auto" w:fill="F2F2F2" w:themeFill="background1" w:themeFillShade="F2"/>
            <w:vAlign w:val="center"/>
          </w:tcPr>
          <w:p w14:paraId="76594E1D" w14:textId="77777777" w:rsidR="000B148D" w:rsidRPr="00054570" w:rsidRDefault="000B148D">
            <w:pPr>
              <w:pStyle w:val="Tablebody"/>
              <w:spacing w:before="0" w:after="0"/>
              <w:ind w:left="169"/>
            </w:pPr>
            <w:r w:rsidRPr="00054570">
              <w:t>Alive</w:t>
            </w:r>
          </w:p>
        </w:tc>
        <w:tc>
          <w:tcPr>
            <w:tcW w:w="1984" w:type="dxa"/>
            <w:vAlign w:val="center"/>
          </w:tcPr>
          <w:p w14:paraId="5B16B22F" w14:textId="0A46CA6C"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xxxxxxxxxx</w:t>
            </w:r>
          </w:p>
        </w:tc>
        <w:tc>
          <w:tcPr>
            <w:tcW w:w="1985" w:type="dxa"/>
            <w:vAlign w:val="center"/>
          </w:tcPr>
          <w:p w14:paraId="10BE9476" w14:textId="46BB24E1"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xxxxxxxxx</w:t>
            </w:r>
          </w:p>
        </w:tc>
      </w:tr>
      <w:tr w:rsidR="000B148D" w:rsidRPr="00054570" w14:paraId="379BDC9B" w14:textId="77777777">
        <w:trPr>
          <w:trHeight w:val="20"/>
        </w:trPr>
        <w:tc>
          <w:tcPr>
            <w:tcW w:w="5098" w:type="dxa"/>
            <w:shd w:val="clear" w:color="auto" w:fill="F2F2F2" w:themeFill="background1" w:themeFillShade="F2"/>
            <w:vAlign w:val="center"/>
          </w:tcPr>
          <w:p w14:paraId="3DE62083" w14:textId="77777777" w:rsidR="000B148D" w:rsidRPr="00054570" w:rsidRDefault="000B148D">
            <w:pPr>
              <w:pStyle w:val="Tablebody"/>
              <w:spacing w:before="0" w:after="0"/>
              <w:ind w:left="169"/>
            </w:pPr>
            <w:r w:rsidRPr="00054570">
              <w:t>Lost to follow-up</w:t>
            </w:r>
          </w:p>
        </w:tc>
        <w:tc>
          <w:tcPr>
            <w:tcW w:w="1984" w:type="dxa"/>
            <w:vAlign w:val="center"/>
          </w:tcPr>
          <w:p w14:paraId="407A0540" w14:textId="7219FBD1"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xxxxxxx</w:t>
            </w:r>
          </w:p>
        </w:tc>
        <w:tc>
          <w:tcPr>
            <w:tcW w:w="1985" w:type="dxa"/>
            <w:vAlign w:val="center"/>
          </w:tcPr>
          <w:p w14:paraId="242842EA" w14:textId="14D685BA"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xxxxxxx</w:t>
            </w:r>
          </w:p>
        </w:tc>
      </w:tr>
      <w:tr w:rsidR="000B148D" w:rsidRPr="00054570" w14:paraId="4633C824" w14:textId="77777777">
        <w:trPr>
          <w:trHeight w:val="20"/>
        </w:trPr>
        <w:tc>
          <w:tcPr>
            <w:tcW w:w="5098" w:type="dxa"/>
            <w:shd w:val="clear" w:color="auto" w:fill="F2F2F2" w:themeFill="background1" w:themeFillShade="F2"/>
            <w:vAlign w:val="center"/>
          </w:tcPr>
          <w:p w14:paraId="716AF8BA" w14:textId="77777777" w:rsidR="000B148D" w:rsidRPr="00054570" w:rsidRDefault="000B148D">
            <w:pPr>
              <w:pStyle w:val="Tablebody"/>
              <w:spacing w:before="0" w:after="0"/>
              <w:ind w:left="169"/>
            </w:pPr>
            <w:r>
              <w:t xml:space="preserve">Withdrawal by subject </w:t>
            </w:r>
          </w:p>
        </w:tc>
        <w:tc>
          <w:tcPr>
            <w:tcW w:w="1984" w:type="dxa"/>
            <w:vAlign w:val="center"/>
          </w:tcPr>
          <w:p w14:paraId="2FD4F048" w14:textId="759F5924"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w:t>
            </w:r>
          </w:p>
        </w:tc>
        <w:tc>
          <w:tcPr>
            <w:tcW w:w="1985" w:type="dxa"/>
            <w:vAlign w:val="center"/>
          </w:tcPr>
          <w:p w14:paraId="1712C59D" w14:textId="10FDD4D6"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w:t>
            </w:r>
          </w:p>
        </w:tc>
      </w:tr>
      <w:tr w:rsidR="000B148D" w:rsidRPr="00054570" w14:paraId="17194E0C" w14:textId="77777777">
        <w:trPr>
          <w:trHeight w:val="20"/>
        </w:trPr>
        <w:tc>
          <w:tcPr>
            <w:tcW w:w="5098" w:type="dxa"/>
            <w:shd w:val="clear" w:color="auto" w:fill="F2F2F2" w:themeFill="background1" w:themeFillShade="F2"/>
            <w:vAlign w:val="center"/>
          </w:tcPr>
          <w:p w14:paraId="4B91D815" w14:textId="77777777" w:rsidR="000B148D" w:rsidRPr="00054570" w:rsidRDefault="000B148D">
            <w:pPr>
              <w:pStyle w:val="Tablebody"/>
              <w:spacing w:before="0" w:after="0"/>
              <w:ind w:left="169"/>
            </w:pPr>
            <w:r>
              <w:t>Other</w:t>
            </w:r>
          </w:p>
        </w:tc>
        <w:tc>
          <w:tcPr>
            <w:tcW w:w="1984" w:type="dxa"/>
            <w:vAlign w:val="center"/>
          </w:tcPr>
          <w:p w14:paraId="351B70A7" w14:textId="08AB37EA"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w:t>
            </w:r>
          </w:p>
        </w:tc>
        <w:tc>
          <w:tcPr>
            <w:tcW w:w="1985" w:type="dxa"/>
            <w:vAlign w:val="center"/>
          </w:tcPr>
          <w:p w14:paraId="78BD7408" w14:textId="53FC2E4D"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w:t>
            </w:r>
          </w:p>
        </w:tc>
      </w:tr>
      <w:tr w:rsidR="000B148D" w:rsidRPr="00054570" w14:paraId="24238551" w14:textId="77777777">
        <w:trPr>
          <w:trHeight w:val="20"/>
        </w:trPr>
        <w:tc>
          <w:tcPr>
            <w:tcW w:w="5098" w:type="dxa"/>
            <w:shd w:val="clear" w:color="auto" w:fill="F2F2F2" w:themeFill="background1" w:themeFillShade="F2"/>
            <w:vAlign w:val="center"/>
          </w:tcPr>
          <w:p w14:paraId="40D3CEA4" w14:textId="77777777" w:rsidR="000B148D" w:rsidRPr="00054570" w:rsidRDefault="000B148D">
            <w:pPr>
              <w:pStyle w:val="Tablebody"/>
              <w:keepNext/>
              <w:spacing w:before="0" w:after="0"/>
            </w:pPr>
            <w:r w:rsidRPr="00054570">
              <w:t>Median overall survival, months*</w:t>
            </w:r>
          </w:p>
        </w:tc>
        <w:tc>
          <w:tcPr>
            <w:tcW w:w="1984" w:type="dxa"/>
            <w:vAlign w:val="center"/>
          </w:tcPr>
          <w:p w14:paraId="18AB50D5" w14:textId="77777777" w:rsidR="000B148D" w:rsidRPr="00054570" w:rsidRDefault="000B148D">
            <w:pPr>
              <w:pStyle w:val="Tablebody"/>
              <w:spacing w:before="0" w:after="0"/>
              <w:jc w:val="center"/>
              <w:rPr>
                <w:rFonts w:cs="Arial"/>
              </w:rPr>
            </w:pPr>
            <w:r w:rsidRPr="00054570">
              <w:rPr>
                <w:rFonts w:eastAsia="Times New Roman" w:cs="Arial"/>
              </w:rPr>
              <w:t>23.4</w:t>
            </w:r>
          </w:p>
        </w:tc>
        <w:tc>
          <w:tcPr>
            <w:tcW w:w="1985" w:type="dxa"/>
            <w:vAlign w:val="center"/>
          </w:tcPr>
          <w:p w14:paraId="7F48BA64" w14:textId="77777777" w:rsidR="000B148D" w:rsidRPr="00054570" w:rsidRDefault="000B148D">
            <w:pPr>
              <w:pStyle w:val="Tablebody"/>
              <w:spacing w:before="0" w:after="0"/>
              <w:jc w:val="center"/>
              <w:rPr>
                <w:rFonts w:cs="Arial"/>
              </w:rPr>
            </w:pPr>
            <w:r w:rsidRPr="00054570">
              <w:rPr>
                <w:rFonts w:eastAsia="Times New Roman" w:cs="Arial"/>
              </w:rPr>
              <w:t>16.8</w:t>
            </w:r>
          </w:p>
        </w:tc>
      </w:tr>
      <w:tr w:rsidR="000B148D" w:rsidRPr="00054570" w14:paraId="156D0059" w14:textId="77777777">
        <w:trPr>
          <w:trHeight w:val="20"/>
        </w:trPr>
        <w:tc>
          <w:tcPr>
            <w:tcW w:w="5098" w:type="dxa"/>
            <w:shd w:val="clear" w:color="auto" w:fill="F2F2F2" w:themeFill="background1" w:themeFillShade="F2"/>
            <w:vAlign w:val="center"/>
          </w:tcPr>
          <w:p w14:paraId="01BE38FD" w14:textId="77777777" w:rsidR="000B148D" w:rsidRPr="00054570" w:rsidRDefault="000B148D">
            <w:pPr>
              <w:pStyle w:val="Tablebody"/>
              <w:spacing w:before="0" w:after="0"/>
              <w:ind w:left="169"/>
            </w:pPr>
            <w:r w:rsidRPr="00054570">
              <w:t>(95% CI)*</w:t>
            </w:r>
          </w:p>
        </w:tc>
        <w:tc>
          <w:tcPr>
            <w:tcW w:w="1984" w:type="dxa"/>
            <w:vAlign w:val="center"/>
          </w:tcPr>
          <w:p w14:paraId="799CFD1A" w14:textId="77777777" w:rsidR="000B148D" w:rsidRPr="00054570" w:rsidRDefault="000B148D">
            <w:pPr>
              <w:pStyle w:val="Tablebody"/>
              <w:spacing w:before="0" w:after="0"/>
              <w:jc w:val="center"/>
              <w:rPr>
                <w:rFonts w:cs="Arial"/>
              </w:rPr>
            </w:pPr>
            <w:r w:rsidRPr="00054570">
              <w:rPr>
                <w:rFonts w:eastAsia="Times New Roman" w:cs="Arial"/>
              </w:rPr>
              <w:t>(20.0, 24.8)</w:t>
            </w:r>
          </w:p>
        </w:tc>
        <w:tc>
          <w:tcPr>
            <w:tcW w:w="1985" w:type="dxa"/>
            <w:vAlign w:val="center"/>
          </w:tcPr>
          <w:p w14:paraId="16A6BB52" w14:textId="77777777" w:rsidR="000B148D" w:rsidRPr="00054570" w:rsidRDefault="000B148D">
            <w:pPr>
              <w:pStyle w:val="Tablebody"/>
              <w:spacing w:before="0" w:after="0"/>
              <w:jc w:val="center"/>
              <w:rPr>
                <w:rFonts w:cs="Arial"/>
              </w:rPr>
            </w:pPr>
            <w:r w:rsidRPr="00054570">
              <w:rPr>
                <w:rFonts w:eastAsia="Times New Roman" w:cs="Arial"/>
              </w:rPr>
              <w:t>(14.5, 20.0)</w:t>
            </w:r>
          </w:p>
        </w:tc>
      </w:tr>
      <w:tr w:rsidR="000B148D" w:rsidRPr="00054570" w14:paraId="39D2EF45" w14:textId="77777777">
        <w:trPr>
          <w:trHeight w:val="20"/>
        </w:trPr>
        <w:tc>
          <w:tcPr>
            <w:tcW w:w="5098" w:type="dxa"/>
            <w:shd w:val="clear" w:color="auto" w:fill="F2F2F2" w:themeFill="background1" w:themeFillShade="F2"/>
            <w:vAlign w:val="center"/>
          </w:tcPr>
          <w:p w14:paraId="11B31BB8" w14:textId="77777777" w:rsidR="000B148D" w:rsidRPr="00054570" w:rsidRDefault="000B148D">
            <w:pPr>
              <w:pStyle w:val="Tablebody"/>
              <w:spacing w:before="0" w:after="0"/>
            </w:pPr>
            <w:r w:rsidRPr="00054570">
              <w:t>Stratified Cox proportional hazards model hazard ratio</w:t>
            </w:r>
            <w:r w:rsidRPr="00054570">
              <w:rPr>
                <w:rFonts w:cs="Yu Gothic Light"/>
                <w:vertAlign w:val="superscript"/>
              </w:rPr>
              <w:t>†</w:t>
            </w:r>
          </w:p>
        </w:tc>
        <w:tc>
          <w:tcPr>
            <w:tcW w:w="3969" w:type="dxa"/>
            <w:gridSpan w:val="2"/>
            <w:vAlign w:val="center"/>
          </w:tcPr>
          <w:p w14:paraId="1F3B1CF7" w14:textId="77777777" w:rsidR="000B148D" w:rsidRPr="00054570" w:rsidRDefault="000B148D">
            <w:pPr>
              <w:pStyle w:val="Tablebody"/>
              <w:spacing w:before="0" w:after="0"/>
              <w:jc w:val="center"/>
              <w:rPr>
                <w:rFonts w:cs="Arial"/>
              </w:rPr>
            </w:pPr>
            <w:r w:rsidRPr="00054570">
              <w:rPr>
                <w:rFonts w:eastAsia="Times New Roman" w:cs="Arial"/>
              </w:rPr>
              <w:t>0.6408</w:t>
            </w:r>
          </w:p>
        </w:tc>
      </w:tr>
      <w:tr w:rsidR="000B148D" w:rsidRPr="00054570" w14:paraId="0C7A846F" w14:textId="77777777">
        <w:trPr>
          <w:trHeight w:val="20"/>
        </w:trPr>
        <w:tc>
          <w:tcPr>
            <w:tcW w:w="5098" w:type="dxa"/>
            <w:shd w:val="clear" w:color="auto" w:fill="F2F2F2" w:themeFill="background1" w:themeFillShade="F2"/>
            <w:vAlign w:val="center"/>
          </w:tcPr>
          <w:p w14:paraId="6C32051A" w14:textId="77777777" w:rsidR="000B148D" w:rsidRPr="00054570" w:rsidRDefault="000B148D">
            <w:pPr>
              <w:pStyle w:val="Tablebody"/>
              <w:spacing w:before="0" w:after="0"/>
              <w:ind w:left="311"/>
            </w:pPr>
            <w:r w:rsidRPr="00054570">
              <w:t>(95% CI)</w:t>
            </w:r>
            <w:r w:rsidRPr="00054570">
              <w:rPr>
                <w:rFonts w:cs="Yu Gothic Light"/>
                <w:vertAlign w:val="superscript"/>
              </w:rPr>
              <w:t>†</w:t>
            </w:r>
          </w:p>
        </w:tc>
        <w:tc>
          <w:tcPr>
            <w:tcW w:w="3969" w:type="dxa"/>
            <w:gridSpan w:val="2"/>
            <w:vAlign w:val="center"/>
          </w:tcPr>
          <w:p w14:paraId="55FAAAE2" w14:textId="77777777" w:rsidR="000B148D" w:rsidRPr="00054570" w:rsidRDefault="000B148D">
            <w:pPr>
              <w:pStyle w:val="Tablebody"/>
              <w:spacing w:before="0" w:after="0"/>
              <w:jc w:val="center"/>
              <w:rPr>
                <w:rFonts w:cs="Arial"/>
              </w:rPr>
            </w:pPr>
            <w:r w:rsidRPr="00054570">
              <w:rPr>
                <w:rFonts w:eastAsia="Times New Roman" w:cs="Arial"/>
              </w:rPr>
              <w:t>(0.4903, 0.8375)</w:t>
            </w:r>
          </w:p>
        </w:tc>
      </w:tr>
      <w:tr w:rsidR="000B148D" w:rsidRPr="00054570" w14:paraId="5F34C1B1" w14:textId="77777777">
        <w:trPr>
          <w:trHeight w:val="20"/>
        </w:trPr>
        <w:tc>
          <w:tcPr>
            <w:tcW w:w="5098" w:type="dxa"/>
            <w:shd w:val="clear" w:color="auto" w:fill="F2F2F2" w:themeFill="background1" w:themeFillShade="F2"/>
            <w:vAlign w:val="center"/>
          </w:tcPr>
          <w:p w14:paraId="5337521E" w14:textId="77777777" w:rsidR="000B148D" w:rsidRPr="00054570" w:rsidRDefault="000B148D">
            <w:pPr>
              <w:pStyle w:val="Tablebody"/>
              <w:spacing w:before="0" w:after="0"/>
              <w:ind w:left="311"/>
            </w:pPr>
            <w:r w:rsidRPr="00054570">
              <w:t>Stratified log-rank test p-value</w:t>
            </w:r>
            <w:r w:rsidRPr="00054570">
              <w:rPr>
                <w:rFonts w:cs="Yu Gothic Light"/>
                <w:vertAlign w:val="superscript"/>
              </w:rPr>
              <w:t>†</w:t>
            </w:r>
          </w:p>
        </w:tc>
        <w:tc>
          <w:tcPr>
            <w:tcW w:w="3969" w:type="dxa"/>
            <w:gridSpan w:val="2"/>
            <w:vAlign w:val="center"/>
          </w:tcPr>
          <w:p w14:paraId="0C5620CB" w14:textId="77777777" w:rsidR="000B148D" w:rsidRPr="00054570" w:rsidRDefault="000B148D">
            <w:pPr>
              <w:pStyle w:val="Tablebody"/>
              <w:spacing w:before="0" w:after="0"/>
              <w:jc w:val="center"/>
              <w:rPr>
                <w:rFonts w:cs="Arial"/>
              </w:rPr>
            </w:pPr>
            <w:r w:rsidRPr="00054570">
              <w:rPr>
                <w:rFonts w:eastAsia="Times New Roman" w:cs="Arial"/>
              </w:rPr>
              <w:t>0.0010</w:t>
            </w:r>
          </w:p>
        </w:tc>
      </w:tr>
      <w:tr w:rsidR="000B148D" w:rsidRPr="00054570" w14:paraId="49B01E69" w14:textId="77777777">
        <w:trPr>
          <w:trHeight w:val="20"/>
        </w:trPr>
        <w:tc>
          <w:tcPr>
            <w:tcW w:w="5098" w:type="dxa"/>
            <w:shd w:val="clear" w:color="auto" w:fill="F2F2F2" w:themeFill="background1" w:themeFillShade="F2"/>
            <w:vAlign w:val="center"/>
          </w:tcPr>
          <w:p w14:paraId="05F79B1D" w14:textId="77777777" w:rsidR="000B148D" w:rsidRPr="00054570" w:rsidRDefault="000B148D">
            <w:pPr>
              <w:pStyle w:val="Tablebody"/>
              <w:spacing w:before="0" w:after="0"/>
              <w:ind w:left="169"/>
            </w:pPr>
            <w:r w:rsidRPr="00054570">
              <w:t>3 months (95% CI)</w:t>
            </w:r>
          </w:p>
        </w:tc>
        <w:tc>
          <w:tcPr>
            <w:tcW w:w="1984" w:type="dxa"/>
            <w:vAlign w:val="center"/>
          </w:tcPr>
          <w:p w14:paraId="07066C06" w14:textId="03EC4403"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xxxxxxxxxxxxxxxxx</w:t>
            </w:r>
          </w:p>
        </w:tc>
        <w:tc>
          <w:tcPr>
            <w:tcW w:w="1985" w:type="dxa"/>
            <w:vAlign w:val="center"/>
          </w:tcPr>
          <w:p w14:paraId="1C6AD668" w14:textId="223FB2F8"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xxxxxxxxxxxxxxxxx</w:t>
            </w:r>
          </w:p>
        </w:tc>
      </w:tr>
      <w:tr w:rsidR="000B148D" w:rsidRPr="00054570" w14:paraId="5559BEAD" w14:textId="77777777">
        <w:trPr>
          <w:trHeight w:val="20"/>
        </w:trPr>
        <w:tc>
          <w:tcPr>
            <w:tcW w:w="5098" w:type="dxa"/>
            <w:shd w:val="clear" w:color="auto" w:fill="F2F2F2" w:themeFill="background1" w:themeFillShade="F2"/>
            <w:vAlign w:val="center"/>
          </w:tcPr>
          <w:p w14:paraId="048B78B1" w14:textId="77777777" w:rsidR="000B148D" w:rsidRPr="00054570" w:rsidRDefault="000B148D">
            <w:pPr>
              <w:pStyle w:val="Tablebody"/>
              <w:spacing w:before="0" w:after="0"/>
              <w:ind w:left="169"/>
            </w:pPr>
            <w:r w:rsidRPr="00054570">
              <w:t>6 months (95% CI)</w:t>
            </w:r>
          </w:p>
        </w:tc>
        <w:tc>
          <w:tcPr>
            <w:tcW w:w="1984" w:type="dxa"/>
            <w:vAlign w:val="center"/>
          </w:tcPr>
          <w:p w14:paraId="75A1C9E8" w14:textId="1E8E5A47"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xxxxxxxxxxxxxxxxx</w:t>
            </w:r>
          </w:p>
        </w:tc>
        <w:tc>
          <w:tcPr>
            <w:tcW w:w="1985" w:type="dxa"/>
            <w:vAlign w:val="center"/>
          </w:tcPr>
          <w:p w14:paraId="5ACBBE8B" w14:textId="28E2D483"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xxxxxxxxxxxxxxxxx</w:t>
            </w:r>
          </w:p>
        </w:tc>
      </w:tr>
      <w:tr w:rsidR="000B148D" w:rsidRPr="00054570" w14:paraId="3E961BB4" w14:textId="77777777">
        <w:trPr>
          <w:trHeight w:val="20"/>
        </w:trPr>
        <w:tc>
          <w:tcPr>
            <w:tcW w:w="5098" w:type="dxa"/>
            <w:shd w:val="clear" w:color="auto" w:fill="F2F2F2" w:themeFill="background1" w:themeFillShade="F2"/>
            <w:vAlign w:val="center"/>
          </w:tcPr>
          <w:p w14:paraId="6EF4C711" w14:textId="77777777" w:rsidR="000B148D" w:rsidRPr="00054570" w:rsidRDefault="000B148D">
            <w:pPr>
              <w:pStyle w:val="Tablebody"/>
              <w:spacing w:before="0" w:after="0"/>
              <w:ind w:left="169"/>
              <w:rPr>
                <w:u w:val="single" w:color="ED7D31" w:themeColor="accent2"/>
              </w:rPr>
            </w:pPr>
            <w:r w:rsidRPr="00054570">
              <w:t>9 months (95% CI)</w:t>
            </w:r>
          </w:p>
        </w:tc>
        <w:tc>
          <w:tcPr>
            <w:tcW w:w="1984" w:type="dxa"/>
            <w:vAlign w:val="center"/>
          </w:tcPr>
          <w:p w14:paraId="3F85B74F" w14:textId="03FC59D2"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xxxxxxxxxxxxxxxxx</w:t>
            </w:r>
          </w:p>
        </w:tc>
        <w:tc>
          <w:tcPr>
            <w:tcW w:w="1985" w:type="dxa"/>
            <w:vAlign w:val="center"/>
          </w:tcPr>
          <w:p w14:paraId="07D62D57" w14:textId="5C386A5A"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xxxxxxxxxxxxxxxxx</w:t>
            </w:r>
          </w:p>
        </w:tc>
      </w:tr>
      <w:tr w:rsidR="000B148D" w:rsidRPr="00054570" w14:paraId="51FDE197" w14:textId="77777777">
        <w:trPr>
          <w:trHeight w:val="20"/>
        </w:trPr>
        <w:tc>
          <w:tcPr>
            <w:tcW w:w="5098" w:type="dxa"/>
            <w:shd w:val="clear" w:color="auto" w:fill="F2F2F2" w:themeFill="background1" w:themeFillShade="F2"/>
            <w:vAlign w:val="center"/>
          </w:tcPr>
          <w:p w14:paraId="1FB18B9B" w14:textId="77777777" w:rsidR="000B148D" w:rsidRPr="00054570" w:rsidRDefault="000B148D">
            <w:pPr>
              <w:pStyle w:val="Tablebody"/>
              <w:spacing w:before="0" w:after="0"/>
              <w:ind w:left="169"/>
            </w:pPr>
            <w:r w:rsidRPr="00054570">
              <w:t>12 months (95% CI)</w:t>
            </w:r>
          </w:p>
        </w:tc>
        <w:tc>
          <w:tcPr>
            <w:tcW w:w="1984" w:type="dxa"/>
            <w:vAlign w:val="center"/>
          </w:tcPr>
          <w:p w14:paraId="79456A29" w14:textId="01E13E7E"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xxxxxxxxxxxxxxxxx</w:t>
            </w:r>
          </w:p>
        </w:tc>
        <w:tc>
          <w:tcPr>
            <w:tcW w:w="1985" w:type="dxa"/>
            <w:vAlign w:val="center"/>
          </w:tcPr>
          <w:p w14:paraId="77069137" w14:textId="29565A11"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xxxxxxxxxxxxxxxxx</w:t>
            </w:r>
          </w:p>
        </w:tc>
      </w:tr>
      <w:tr w:rsidR="000B148D" w:rsidRPr="00054570" w14:paraId="5281DA1D" w14:textId="77777777">
        <w:trPr>
          <w:trHeight w:val="20"/>
        </w:trPr>
        <w:tc>
          <w:tcPr>
            <w:tcW w:w="5098" w:type="dxa"/>
            <w:shd w:val="clear" w:color="auto" w:fill="F2F2F2" w:themeFill="background1" w:themeFillShade="F2"/>
            <w:vAlign w:val="center"/>
          </w:tcPr>
          <w:p w14:paraId="13C44C61" w14:textId="77777777" w:rsidR="000B148D" w:rsidRPr="00054570" w:rsidRDefault="000B148D">
            <w:pPr>
              <w:pStyle w:val="Tablebody"/>
              <w:spacing w:before="0" w:after="0"/>
              <w:ind w:left="169"/>
            </w:pPr>
            <w:r w:rsidRPr="00054570">
              <w:t>18 months (95% CI)</w:t>
            </w:r>
          </w:p>
        </w:tc>
        <w:tc>
          <w:tcPr>
            <w:tcW w:w="1984" w:type="dxa"/>
            <w:vAlign w:val="center"/>
          </w:tcPr>
          <w:p w14:paraId="6CB2D5A4" w14:textId="13BA869F"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xxxxxxxxxxxxxxxxx</w:t>
            </w:r>
          </w:p>
        </w:tc>
        <w:tc>
          <w:tcPr>
            <w:tcW w:w="1985" w:type="dxa"/>
            <w:vAlign w:val="center"/>
          </w:tcPr>
          <w:p w14:paraId="23BADB75" w14:textId="0F253E14"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xxxxxxxxxxxxxxxxx</w:t>
            </w:r>
          </w:p>
        </w:tc>
      </w:tr>
      <w:tr w:rsidR="000B148D" w:rsidRPr="00054570" w14:paraId="54BFF327" w14:textId="77777777">
        <w:trPr>
          <w:trHeight w:val="20"/>
        </w:trPr>
        <w:tc>
          <w:tcPr>
            <w:tcW w:w="5098" w:type="dxa"/>
            <w:shd w:val="clear" w:color="auto" w:fill="F2F2F2" w:themeFill="background1" w:themeFillShade="F2"/>
            <w:vAlign w:val="center"/>
          </w:tcPr>
          <w:p w14:paraId="5A9976BB" w14:textId="77777777" w:rsidR="000B148D" w:rsidRPr="00054570" w:rsidRDefault="000B148D">
            <w:pPr>
              <w:pStyle w:val="Tablebody"/>
              <w:keepNext/>
              <w:spacing w:before="0" w:after="0"/>
              <w:ind w:left="170"/>
            </w:pPr>
            <w:r w:rsidRPr="00054570">
              <w:t>24 months (95% CI)</w:t>
            </w:r>
          </w:p>
        </w:tc>
        <w:tc>
          <w:tcPr>
            <w:tcW w:w="1984" w:type="dxa"/>
            <w:vAlign w:val="center"/>
          </w:tcPr>
          <w:p w14:paraId="4C6CC8DD" w14:textId="6958222D"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xxxxxxxxxxxxxxxxx</w:t>
            </w:r>
          </w:p>
        </w:tc>
        <w:tc>
          <w:tcPr>
            <w:tcW w:w="1985" w:type="dxa"/>
            <w:vAlign w:val="center"/>
          </w:tcPr>
          <w:p w14:paraId="04629377" w14:textId="02450820"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xxxxxxxxxxxxxxxxx</w:t>
            </w:r>
          </w:p>
        </w:tc>
      </w:tr>
    </w:tbl>
    <w:p w14:paraId="62DFFE7A" w14:textId="7D22FF33" w:rsidR="000B148D" w:rsidRPr="00DC2676" w:rsidRDefault="000B148D" w:rsidP="000B148D">
      <w:pPr>
        <w:pStyle w:val="Footnotes"/>
      </w:pPr>
      <w:r w:rsidRPr="00054570">
        <w:t xml:space="preserve">*Median OS is from KM analysis. </w:t>
      </w:r>
      <w:r w:rsidRPr="00314A60">
        <w:rPr>
          <w:sz w:val="16"/>
          <w:szCs w:val="16"/>
        </w:rPr>
        <w:t xml:space="preserve">CI for median was computed using the Brookmeyer-Crowley method. </w:t>
      </w:r>
      <w:r w:rsidRPr="00054570">
        <w:br/>
        <w:t xml:space="preserve">†Two-sided p-value is from the stratified log-rank test; hazard ratio and 95% CI are from the stratified Cox proportional hazards model with stratification factors: HER2 status, number of prior lines of chemotherapy, </w:t>
      </w:r>
      <w:r w:rsidRPr="00F46F5F">
        <w:t xml:space="preserve">HR/CDK status, as defined by the IXRS. </w:t>
      </w:r>
      <w:r w:rsidRPr="00F46F5F">
        <w:br/>
      </w:r>
      <w:r w:rsidRPr="00054570">
        <w:t>‡Estimate and CI for OS rate at the specified timepoint are from KM analysis.</w:t>
      </w:r>
      <w:r w:rsidRPr="00054570">
        <w:br/>
        <w:t xml:space="preserve">Abbreviations: CI, confidence interval; FAS, full analysis set; IXRS, Interactive Web/Voice Response System; KM, Kaplan-Meier; NE, not estimable; OS, overall survival; T-DXd, trastuzumab deruxtecan; TPC, treatment of </w:t>
      </w:r>
      <w:r w:rsidRPr="00054570">
        <w:lastRenderedPageBreak/>
        <w:t>physician’s choice.</w:t>
      </w:r>
      <w:r w:rsidRPr="00054570">
        <w:br/>
      </w:r>
      <w:r w:rsidRPr="00DC2676">
        <w:t>Sources: Modi et al., 2022</w:t>
      </w:r>
      <w:r>
        <w:t>;</w:t>
      </w:r>
      <w:r>
        <w:rPr>
          <w:lang w:val="fr-FR"/>
        </w:rPr>
        <w:fldChar w:fldCharType="begin"/>
      </w:r>
      <w:r w:rsidR="00CA6345">
        <w:instrText xml:space="preserve"> ADDIN ZOTERO_ITEM CSL_CITATION {"citationID":"R5OyG24c","properties":{"formattedCitation":"\\super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Pr>
          <w:lang w:val="fr-FR"/>
        </w:rPr>
        <w:fldChar w:fldCharType="separate"/>
      </w:r>
      <w:r w:rsidR="00FD57F4" w:rsidRPr="00FD57F4">
        <w:rPr>
          <w:rFonts w:cs="Arial"/>
          <w:szCs w:val="24"/>
          <w:vertAlign w:val="superscript"/>
        </w:rPr>
        <w:t>6</w:t>
      </w:r>
      <w:r>
        <w:rPr>
          <w:lang w:val="fr-FR"/>
        </w:rPr>
        <w:fldChar w:fldCharType="end"/>
      </w:r>
      <w:r w:rsidRPr="00DC2676">
        <w:t xml:space="preserve"> Daiichi Sankyo Inc., 2022 (CSR, Data on File)</w:t>
      </w:r>
      <w:r w:rsidRPr="00054570">
        <w:rPr>
          <w:lang w:val="fr-FR"/>
        </w:rPr>
        <w:fldChar w:fldCharType="begin"/>
      </w:r>
      <w:r w:rsidR="00CA6345">
        <w:instrText xml:space="preserve"> ADDIN ZOTERO_ITEM CSL_CITATION {"citationID":"dhAwS2og","properties":{"formattedCitation":"\\super 1,2\\nosupersub{}","plainCitation":"1,2","dontUpdate":true,"noteIndex":0},"citationItems":[{"id":65944,"uris":["http://zotero.org/groups/4797619/items/WBVSVVF7"],"itemData":{"id":65944,"type":"document","title":"Clinical Study Report for DS8201-A-U303. Data cut-off date: 11 Jan 2022. Data on File.","author":[{"family":"Daiichi Sankyo Inc.","given":""}],"issued":{"date-parts":[["2022"]]}}},{"id":65924,"uris":["http://zotero.org/groups/4797619/items/5D3NP3DU"],"itemData":{"id":65924,"type":"document","title":"Statistical Analysis Plan Version 2.0 for DS8201-A-U303. 04 January 2022. Data on File.","author":[{"family":"Daiichi Sankyo Inc.","given":""}],"issued":{"date-parts":[["2022"]]}}}],"schema":"https://github.com/citation-style-language/schema/raw/master/csl-citation.json"} </w:instrText>
      </w:r>
      <w:r w:rsidRPr="00054570">
        <w:rPr>
          <w:lang w:val="fr-FR"/>
        </w:rPr>
        <w:fldChar w:fldCharType="separate"/>
      </w:r>
      <w:r w:rsidRPr="00054570">
        <w:rPr>
          <w:rFonts w:cs="Arial"/>
          <w:szCs w:val="24"/>
          <w:vertAlign w:val="superscript"/>
        </w:rPr>
        <w:t>2</w:t>
      </w:r>
      <w:r w:rsidRPr="00054570">
        <w:rPr>
          <w:lang w:val="fr-FR"/>
        </w:rPr>
        <w:fldChar w:fldCharType="end"/>
      </w:r>
    </w:p>
    <w:p w14:paraId="463269F5" w14:textId="77777777" w:rsidR="000B148D" w:rsidRPr="00054570" w:rsidRDefault="000B148D" w:rsidP="003C648C">
      <w:pPr>
        <w:pStyle w:val="Heading4"/>
      </w:pPr>
      <w:r w:rsidRPr="00054570">
        <w:t>Other secondary efficacy</w:t>
      </w:r>
      <w:r>
        <w:t xml:space="preserve"> </w:t>
      </w:r>
    </w:p>
    <w:p w14:paraId="1717BB77" w14:textId="77777777" w:rsidR="000B148D" w:rsidRPr="00DC2676" w:rsidRDefault="000B148D" w:rsidP="000B148D">
      <w:pPr>
        <w:pStyle w:val="Heading5"/>
        <w:numPr>
          <w:ilvl w:val="0"/>
          <w:numId w:val="0"/>
        </w:numPr>
        <w:ind w:left="1276" w:hanging="1276"/>
      </w:pPr>
      <w:r w:rsidRPr="00DC2676">
        <w:t xml:space="preserve">Other secondary efficacy </w:t>
      </w:r>
      <w:r w:rsidRPr="00054570">
        <w:t xml:space="preserve">| </w:t>
      </w:r>
      <w:r w:rsidRPr="00DC2676">
        <w:t xml:space="preserve">PFS by IA </w:t>
      </w:r>
      <w:r w:rsidRPr="00054570">
        <w:t>|</w:t>
      </w:r>
      <w:r w:rsidRPr="00DC2676">
        <w:t xml:space="preserve"> HR-positive cohort and in the FAS</w:t>
      </w:r>
    </w:p>
    <w:p w14:paraId="047F8772" w14:textId="52ADBE71" w:rsidR="000B148D" w:rsidRPr="00054570" w:rsidRDefault="000B148D" w:rsidP="000B148D">
      <w:pPr>
        <w:pStyle w:val="Body"/>
      </w:pPr>
      <w:r w:rsidRPr="00054570">
        <w:t xml:space="preserve">The </w:t>
      </w:r>
      <w:r w:rsidRPr="00BF1433">
        <w:t>statistically significant result</w:t>
      </w:r>
      <w:r w:rsidRPr="00054570">
        <w:t xml:space="preserve"> for the primary endpoint of PFS by BICR in the HR-positive cohort </w:t>
      </w:r>
      <w:r w:rsidRPr="00BF1433">
        <w:t xml:space="preserve">was </w:t>
      </w:r>
      <w:r w:rsidR="00294FDC" w:rsidRPr="00294FDC">
        <w:rPr>
          <w:color w:val="000000"/>
          <w:highlight w:val="black"/>
        </w:rPr>
        <w:t>xxxxxxxxxxxxxxxxxxxxxx</w:t>
      </w:r>
      <w:r w:rsidRPr="00054570">
        <w:t xml:space="preserve">. In the HR-positive cohort, median PFS by IA was </w:t>
      </w:r>
      <w:r w:rsidR="00294FDC" w:rsidRPr="00294FDC">
        <w:rPr>
          <w:color w:val="000000"/>
          <w:highlight w:val="black"/>
        </w:rPr>
        <w:t>xxx</w:t>
      </w:r>
      <w:r w:rsidRPr="00054570">
        <w:t xml:space="preserve"> months (95% CI: </w:t>
      </w:r>
      <w:r w:rsidR="00294FDC" w:rsidRPr="00294FDC">
        <w:rPr>
          <w:color w:val="000000"/>
          <w:highlight w:val="black"/>
        </w:rPr>
        <w:t>xxxxxxxxx</w:t>
      </w:r>
      <w:r w:rsidRPr="00054570">
        <w:t>) with T</w:t>
      </w:r>
      <w:r w:rsidRPr="00054570">
        <w:noBreakHyphen/>
        <w:t xml:space="preserve">DXd compared with </w:t>
      </w:r>
      <w:r w:rsidR="00294FDC" w:rsidRPr="00294FDC">
        <w:rPr>
          <w:color w:val="000000"/>
          <w:highlight w:val="black"/>
        </w:rPr>
        <w:t>xxx</w:t>
      </w:r>
      <w:r w:rsidRPr="00054570">
        <w:t xml:space="preserve"> months (95% CI: </w:t>
      </w:r>
      <w:r w:rsidR="00294FDC" w:rsidRPr="00294FDC">
        <w:rPr>
          <w:color w:val="000000"/>
          <w:highlight w:val="black"/>
        </w:rPr>
        <w:t>xxxxxxxx</w:t>
      </w:r>
      <w:r w:rsidRPr="00054570">
        <w:t>) with TPC</w:t>
      </w:r>
      <w:r w:rsidRPr="00054570" w:rsidDel="00B62CE3">
        <w:t xml:space="preserve"> </w:t>
      </w:r>
      <w:r>
        <w:t xml:space="preserve">(HR: </w:t>
      </w:r>
      <w:r w:rsidR="00294FDC" w:rsidRPr="00294FDC">
        <w:rPr>
          <w:color w:val="000000"/>
          <w:sz w:val="20"/>
          <w:szCs w:val="20"/>
          <w:highlight w:val="black"/>
        </w:rPr>
        <w:t>xxxx</w:t>
      </w:r>
      <w:r>
        <w:t>;</w:t>
      </w:r>
      <w:r w:rsidRPr="00054570">
        <w:t xml:space="preserve"> 95%</w:t>
      </w:r>
      <w:r>
        <w:t xml:space="preserve"> </w:t>
      </w:r>
      <w:r w:rsidRPr="00054570">
        <w:t xml:space="preserve">CI: </w:t>
      </w:r>
      <w:r w:rsidR="00294FDC" w:rsidRPr="00294FDC">
        <w:rPr>
          <w:color w:val="000000"/>
          <w:highlight w:val="black"/>
        </w:rPr>
        <w:t>xxxxxxxxxx</w:t>
      </w:r>
      <w:r w:rsidRPr="00054570">
        <w:t>).</w:t>
      </w:r>
      <w:r w:rsidRPr="00054570">
        <w:fldChar w:fldCharType="begin"/>
      </w:r>
      <w:r w:rsidR="00CA6345">
        <w:instrText xml:space="preserve"> ADDIN ZOTERO_ITEM CSL_CITATION {"citationID":"5i5rXDq7","properties":{"formattedCitation":"\\super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p>
    <w:p w14:paraId="2B7BD145" w14:textId="13AF38B9" w:rsidR="000B148D" w:rsidRPr="00054570" w:rsidRDefault="00294FDC" w:rsidP="000B148D">
      <w:pPr>
        <w:pStyle w:val="Body"/>
      </w:pPr>
      <w:r w:rsidRPr="00294FDC">
        <w:rPr>
          <w:color w:val="000000"/>
          <w:highlight w:val="black"/>
        </w:rPr>
        <w:t>xxxxxxxxxxxxxxx</w:t>
      </w:r>
      <w:r w:rsidR="000B148D" w:rsidRPr="00054570">
        <w:t xml:space="preserve"> were observed for the FAS, where the statistically significant result for PFS by BICR was</w:t>
      </w:r>
      <w:r w:rsidR="000B148D">
        <w:t xml:space="preserve"> also</w:t>
      </w:r>
      <w:r w:rsidR="000B148D" w:rsidRPr="00054570">
        <w:t xml:space="preserve"> </w:t>
      </w:r>
      <w:r w:rsidRPr="00294FDC">
        <w:rPr>
          <w:color w:val="000000"/>
          <w:highlight w:val="black"/>
        </w:rPr>
        <w:t>xxxxxxxxxxxxxxxxxxxxxx</w:t>
      </w:r>
      <w:r w:rsidR="000B148D" w:rsidRPr="00054570">
        <w:t xml:space="preserve">. In the FAS, median PFS by IA in the HR-positive cohort was </w:t>
      </w:r>
      <w:r w:rsidRPr="00294FDC">
        <w:rPr>
          <w:color w:val="000000"/>
          <w:highlight w:val="black"/>
        </w:rPr>
        <w:t>xxx</w:t>
      </w:r>
      <w:r w:rsidR="000B148D" w:rsidRPr="00054570">
        <w:t xml:space="preserve"> months (95% CI: </w:t>
      </w:r>
      <w:r w:rsidRPr="00294FDC">
        <w:rPr>
          <w:color w:val="000000"/>
          <w:highlight w:val="black"/>
        </w:rPr>
        <w:t>xxxxxxxx</w:t>
      </w:r>
      <w:r w:rsidR="000B148D" w:rsidRPr="00054570">
        <w:t>) with T</w:t>
      </w:r>
      <w:r w:rsidR="000B148D" w:rsidRPr="00054570">
        <w:noBreakHyphen/>
        <w:t xml:space="preserve">DXd compared with </w:t>
      </w:r>
      <w:r w:rsidRPr="00294FDC">
        <w:rPr>
          <w:color w:val="000000"/>
          <w:highlight w:val="black"/>
        </w:rPr>
        <w:t>xxx</w:t>
      </w:r>
      <w:r w:rsidR="000B148D" w:rsidRPr="0079246D">
        <w:t> </w:t>
      </w:r>
      <w:r w:rsidR="000B148D" w:rsidRPr="00054570">
        <w:t xml:space="preserve">months (95% CI: </w:t>
      </w:r>
      <w:r w:rsidRPr="00294FDC">
        <w:rPr>
          <w:color w:val="000000"/>
          <w:highlight w:val="black"/>
        </w:rPr>
        <w:t>xxxxxxxx</w:t>
      </w:r>
      <w:r w:rsidR="000B148D" w:rsidRPr="00054570">
        <w:t>) with TPC</w:t>
      </w:r>
      <w:r w:rsidR="000B148D">
        <w:t xml:space="preserve"> (HR: </w:t>
      </w:r>
      <w:r w:rsidRPr="00294FDC">
        <w:rPr>
          <w:color w:val="000000"/>
          <w:highlight w:val="black"/>
        </w:rPr>
        <w:t>xxxx</w:t>
      </w:r>
      <w:r w:rsidR="000B148D">
        <w:t xml:space="preserve">; </w:t>
      </w:r>
      <w:r w:rsidR="000B148D" w:rsidRPr="00054570">
        <w:t>95%</w:t>
      </w:r>
      <w:r w:rsidR="000B148D">
        <w:t xml:space="preserve"> </w:t>
      </w:r>
      <w:r w:rsidR="000B148D" w:rsidRPr="00054570">
        <w:t xml:space="preserve">CI: </w:t>
      </w:r>
      <w:r w:rsidRPr="00294FDC">
        <w:rPr>
          <w:color w:val="000000"/>
          <w:highlight w:val="black"/>
        </w:rPr>
        <w:t>xxxxxxxxxx</w:t>
      </w:r>
      <w:r w:rsidR="000B148D" w:rsidRPr="00054570">
        <w:t>).</w:t>
      </w:r>
      <w:r w:rsidR="000B148D" w:rsidRPr="00054570">
        <w:rPr>
          <w:rFonts w:eastAsiaTheme="majorEastAsia" w:cstheme="majorBidi"/>
          <w:b/>
          <w:iCs/>
        </w:rPr>
        <w:fldChar w:fldCharType="begin"/>
      </w:r>
      <w:r w:rsidR="00CA6345">
        <w:instrText xml:space="preserve"> ADDIN ZOTERO_ITEM CSL_CITATION {"citationID":"sCnwAJUw","properties":{"formattedCitation":"\\super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000B148D" w:rsidRPr="00054570">
        <w:rPr>
          <w:rFonts w:eastAsiaTheme="majorEastAsia" w:cstheme="majorBidi"/>
          <w:b/>
          <w:iCs/>
        </w:rPr>
        <w:fldChar w:fldCharType="separate"/>
      </w:r>
      <w:r w:rsidR="00FD57F4" w:rsidRPr="00FD57F4">
        <w:rPr>
          <w:rFonts w:cs="Arial"/>
          <w:szCs w:val="24"/>
          <w:vertAlign w:val="superscript"/>
        </w:rPr>
        <w:t>7</w:t>
      </w:r>
      <w:r w:rsidR="000B148D" w:rsidRPr="00054570">
        <w:rPr>
          <w:rFonts w:eastAsiaTheme="majorEastAsia" w:cstheme="majorBidi"/>
          <w:b/>
          <w:iCs/>
        </w:rPr>
        <w:fldChar w:fldCharType="end"/>
      </w:r>
    </w:p>
    <w:p w14:paraId="48180807" w14:textId="77777777" w:rsidR="000B148D" w:rsidRPr="00DC2676" w:rsidRDefault="000B148D" w:rsidP="000B148D">
      <w:pPr>
        <w:pStyle w:val="Heading5"/>
        <w:numPr>
          <w:ilvl w:val="0"/>
          <w:numId w:val="0"/>
        </w:numPr>
        <w:ind w:left="1276" w:hanging="1276"/>
      </w:pPr>
      <w:r w:rsidRPr="00DC2676">
        <w:t xml:space="preserve">Other secondary efficacy </w:t>
      </w:r>
      <w:r w:rsidRPr="00DC2676">
        <w:rPr>
          <w:b w:val="0"/>
        </w:rPr>
        <w:t>|</w:t>
      </w:r>
      <w:r w:rsidRPr="00DC2676">
        <w:t xml:space="preserve"> Response rates </w:t>
      </w:r>
      <w:r w:rsidRPr="00DC2676">
        <w:rPr>
          <w:b w:val="0"/>
        </w:rPr>
        <w:t>|</w:t>
      </w:r>
      <w:r w:rsidRPr="00DC2676">
        <w:t xml:space="preserve"> FAS and HR-positive cohort</w:t>
      </w:r>
    </w:p>
    <w:p w14:paraId="5CF8C4B7" w14:textId="220D6A44" w:rsidR="000B148D" w:rsidRPr="00DC2676" w:rsidRDefault="000B148D" w:rsidP="000B148D">
      <w:pPr>
        <w:pStyle w:val="Body"/>
      </w:pPr>
      <w:r w:rsidRPr="00DC2676">
        <w:t xml:space="preserve">At DCO in the FAS, the </w:t>
      </w:r>
      <w:r>
        <w:t>DCR (</w:t>
      </w:r>
      <w:r w:rsidRPr="00DC2676">
        <w:t>defined as</w:t>
      </w:r>
      <w:r>
        <w:t xml:space="preserve"> sum of patients with best overall response of</w:t>
      </w:r>
      <w:r w:rsidRPr="00DC2676">
        <w:t xml:space="preserve"> </w:t>
      </w:r>
      <w:r>
        <w:t>complete response (</w:t>
      </w:r>
      <w:r w:rsidRPr="00DC2676">
        <w:t>CR</w:t>
      </w:r>
      <w:r>
        <w:t>)</w:t>
      </w:r>
      <w:r w:rsidRPr="00DC2676">
        <w:t xml:space="preserve">, </w:t>
      </w:r>
      <w:r>
        <w:t>partial response (</w:t>
      </w:r>
      <w:r w:rsidRPr="00DC2676">
        <w:t>PR</w:t>
      </w:r>
      <w:r>
        <w:t>)</w:t>
      </w:r>
      <w:r w:rsidRPr="00DC2676">
        <w:t xml:space="preserve">, or </w:t>
      </w:r>
      <w:r>
        <w:t>stable disease (</w:t>
      </w:r>
      <w:r w:rsidRPr="00DC2676">
        <w:t>SD</w:t>
      </w:r>
      <w:r>
        <w:t>)</w:t>
      </w:r>
      <w:r w:rsidRPr="00DC2676">
        <w:t xml:space="preserve">) </w:t>
      </w:r>
      <w:r w:rsidRPr="00AB6AD7">
        <w:t xml:space="preserve">by BICR </w:t>
      </w:r>
      <w:r w:rsidRPr="00DC2676">
        <w:t>was</w:t>
      </w:r>
      <w:r>
        <w:t xml:space="preserve"> statistically significantly greater in the T-DXd arm</w:t>
      </w:r>
      <w:r w:rsidRPr="00DC2676">
        <w:t xml:space="preserve"> </w:t>
      </w:r>
      <w:r>
        <w:t>(</w:t>
      </w:r>
      <w:r w:rsidRPr="00DC2676">
        <w:t>87.1%</w:t>
      </w:r>
      <w:r>
        <w:t xml:space="preserve">; </w:t>
      </w:r>
      <w:r w:rsidRPr="00DC2676">
        <w:t>325</w:t>
      </w:r>
      <w:r>
        <w:t xml:space="preserve"> of 373</w:t>
      </w:r>
      <w:r w:rsidRPr="00DC2676">
        <w:t xml:space="preserve"> patients</w:t>
      </w:r>
      <w:r w:rsidRPr="00091D35">
        <w:t>)</w:t>
      </w:r>
      <w:r w:rsidRPr="00DC2676">
        <w:t xml:space="preserve"> </w:t>
      </w:r>
      <w:r>
        <w:t>compared with the TPC arm</w:t>
      </w:r>
      <w:r w:rsidRPr="00DC2676">
        <w:t xml:space="preserve"> </w:t>
      </w:r>
      <w:r>
        <w:t>(</w:t>
      </w:r>
      <w:r w:rsidRPr="00DC2676">
        <w:t>65.8%</w:t>
      </w:r>
      <w:r>
        <w:t xml:space="preserve">; </w:t>
      </w:r>
      <w:r w:rsidRPr="00DC2676">
        <w:t>121</w:t>
      </w:r>
      <w:r>
        <w:t xml:space="preserve"> of 184</w:t>
      </w:r>
      <w:r w:rsidRPr="00DC2676">
        <w:t xml:space="preserve"> patients</w:t>
      </w:r>
      <w:r>
        <w:t xml:space="preserve">; </w:t>
      </w:r>
      <w:r w:rsidRPr="00091D35">
        <w:t>p&lt;0.0001</w:t>
      </w:r>
      <w:r w:rsidRPr="00DC2676">
        <w:t>).</w:t>
      </w:r>
      <w:r>
        <w:fldChar w:fldCharType="begin"/>
      </w:r>
      <w:r w:rsidR="00CA6345">
        <w:instrText xml:space="preserve"> ADDIN ZOTERO_ITEM CSL_CITATION {"citationID":"0gIEcpKd","properties":{"formattedCitation":"\\super 6,7\\nosupersub{}","plainCitation":"6,7","noteIndex":0},"citationItems":[{"id":65944,"uris":["http://zotero.org/groups/4797619/items/WBVSVVF7"],"itemData":{"id":65944,"type":"document","title":"Clinical Study Report for DS8201-A-U303. Data cut-off date: 11 Jan 2022. Data on File.","author":[{"family":"Daiichi Sankyo Inc.","given":""}],"issued":{"date-parts":[["2022"]]}}},{"id":66153,"uris":["http://zotero.org/groups/4797619/items/DIMCLQBB"],"itemData":{"id":66153,"type":"article-journal","container-title":"New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6,7</w:t>
      </w:r>
      <w:r>
        <w:fldChar w:fldCharType="end"/>
      </w:r>
      <w:r w:rsidRPr="00DC2676">
        <w:t xml:space="preserve"> </w:t>
      </w:r>
      <w:r>
        <w:t>Similarly, the</w:t>
      </w:r>
      <w:r w:rsidRPr="00DC2676">
        <w:t xml:space="preserve"> confirmed </w:t>
      </w:r>
      <w:r>
        <w:t>ORR (</w:t>
      </w:r>
      <w:r w:rsidRPr="000C741C">
        <w:t xml:space="preserve">CR+PR) by BICR was </w:t>
      </w:r>
      <w:r>
        <w:t>also statistically significantly greater with T-DXd (</w:t>
      </w:r>
      <w:r w:rsidRPr="00DC2676">
        <w:t>52.3%</w:t>
      </w:r>
      <w:r>
        <w:t>;</w:t>
      </w:r>
      <w:r w:rsidRPr="00DC2676">
        <w:t xml:space="preserve"> </w:t>
      </w:r>
      <w:r w:rsidRPr="000C741C">
        <w:t>195</w:t>
      </w:r>
      <w:r w:rsidRPr="002612F7">
        <w:rPr>
          <w:rStyle w:val="FootnoteReference"/>
        </w:rPr>
        <w:footnoteReference w:id="11"/>
      </w:r>
      <w:r w:rsidRPr="000C741C">
        <w:t xml:space="preserve"> patients) compared with </w:t>
      </w:r>
      <w:r w:rsidRPr="005C5277">
        <w:t>TPC</w:t>
      </w:r>
      <w:r>
        <w:t xml:space="preserve"> (</w:t>
      </w:r>
      <w:r w:rsidRPr="00DC2676">
        <w:t>16.3%</w:t>
      </w:r>
      <w:r>
        <w:t xml:space="preserve">; </w:t>
      </w:r>
      <w:r w:rsidRPr="000C741C">
        <w:t>30 patients</w:t>
      </w:r>
      <w:r>
        <w:t xml:space="preserve">; </w:t>
      </w:r>
      <w:r w:rsidRPr="00091D35">
        <w:t>p&lt;0.0001</w:t>
      </w:r>
      <w:r>
        <w:t xml:space="preserve">; </w:t>
      </w:r>
      <w:r w:rsidRPr="00314A60">
        <w:rPr>
          <w:b/>
          <w:bCs/>
        </w:rPr>
        <w:fldChar w:fldCharType="begin"/>
      </w:r>
      <w:r w:rsidRPr="00314A60">
        <w:rPr>
          <w:b/>
          <w:bCs/>
        </w:rPr>
        <w:instrText xml:space="preserve"> REF _Ref123902630 \h </w:instrText>
      </w:r>
      <w:r>
        <w:rPr>
          <w:b/>
          <w:bCs/>
        </w:rPr>
        <w:instrText xml:space="preserve"> \* MERGEFORMAT </w:instrText>
      </w:r>
      <w:r w:rsidRPr="00314A60">
        <w:rPr>
          <w:b/>
          <w:bCs/>
        </w:rPr>
      </w:r>
      <w:r w:rsidRPr="00314A60">
        <w:rPr>
          <w:b/>
          <w:bCs/>
        </w:rPr>
        <w:fldChar w:fldCharType="separate"/>
      </w:r>
      <w:r w:rsidR="00145F42" w:rsidRPr="00145F42">
        <w:rPr>
          <w:b/>
          <w:bCs/>
        </w:rPr>
        <w:t xml:space="preserve">Table </w:t>
      </w:r>
      <w:r w:rsidR="00145F42" w:rsidRPr="00145F42">
        <w:rPr>
          <w:b/>
          <w:bCs/>
          <w:noProof/>
        </w:rPr>
        <w:t>21</w:t>
      </w:r>
      <w:r w:rsidRPr="00314A60">
        <w:rPr>
          <w:b/>
          <w:bCs/>
        </w:rPr>
        <w:fldChar w:fldCharType="end"/>
      </w:r>
      <w:r w:rsidRPr="000C741C" w:rsidDel="00A72755">
        <w:t>)</w:t>
      </w:r>
      <w:r>
        <w:t>.</w:t>
      </w:r>
      <w:r>
        <w:fldChar w:fldCharType="begin"/>
      </w:r>
      <w:r w:rsidR="00CA6345">
        <w:instrText xml:space="preserve"> ADDIN ZOTERO_ITEM CSL_CITATION {"citationID":"Ky6HJwyq","properties":{"formattedCitation":"\\super 6,7\\nosupersub{}","plainCitation":"6,7","noteIndex":0},"citationItems":[{"id":65944,"uris":["http://zotero.org/groups/4797619/items/WBVSVVF7"],"itemData":{"id":65944,"type":"document","title":"Clinical Study Report for DS8201-A-U303. Data cut-off date: 11 Jan 2022. Data on File.","author":[{"family":"Daiichi Sankyo Inc.","given":""}],"issued":{"date-parts":[["2022"]]}}},{"id":66153,"uris":["http://zotero.org/groups/4797619/items/DIMCLQBB"],"itemData":{"id":66153,"type":"article-journal","container-title":"New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6,7</w:t>
      </w:r>
      <w:r>
        <w:fldChar w:fldCharType="end"/>
      </w:r>
    </w:p>
    <w:p w14:paraId="4E9F87F5" w14:textId="34BAA5DB" w:rsidR="000B148D" w:rsidRPr="00054570" w:rsidRDefault="000B148D" w:rsidP="000B148D">
      <w:r>
        <w:t>A</w:t>
      </w:r>
      <w:r w:rsidRPr="00054570">
        <w:t xml:space="preserve"> best overall response by BICR of CR was observed in 3.5% (13 of 373 patients) in the T-DXd arm and 1.1% (2 of 184 patients) in the TPC arm.</w:t>
      </w:r>
      <w:r>
        <w:fldChar w:fldCharType="begin"/>
      </w:r>
      <w:r w:rsidR="00CA6345">
        <w:instrText xml:space="preserve"> ADDIN ZOTERO_ITEM CSL_CITATION {"citationID":"r4e4gaJ6","properties":{"formattedCitation":"\\super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054570">
        <w:t xml:space="preserve"> A best response of PR was observed in 49.1% (183 patients) in the T-DXd arm and 15.2% (28 patients) in the TPC arm.</w:t>
      </w:r>
      <w:r>
        <w:fldChar w:fldCharType="begin"/>
      </w:r>
      <w:r w:rsidR="00CA6345">
        <w:instrText xml:space="preserve"> ADDIN ZOTERO_ITEM CSL_CITATION {"citationID":"DXWTFZgK","properties":{"formattedCitation":"\\super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054570">
        <w:t xml:space="preserve"> A best response of SD was observed in 34.6% (129 patients) in the T-DXd arm and 49.5</w:t>
      </w:r>
      <w:r w:rsidR="00CC3D09">
        <w:t>%</w:t>
      </w:r>
      <w:r w:rsidRPr="00054570">
        <w:t xml:space="preserve"> (91 patients) in the TPC arm.</w:t>
      </w:r>
      <w:r>
        <w:fldChar w:fldCharType="begin"/>
      </w:r>
      <w:r w:rsidR="00CA6345">
        <w:instrText xml:space="preserve"> ADDIN ZOTERO_ITEM CSL_CITATION {"citationID":"kMrWEKfI","properties":{"formattedCitation":"\\super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054570">
        <w:t xml:space="preserve"> Progressive disease (PD) was observed in 8.3% (31 patients) in the T-DXd arm compared with 22.3% (41 patients) in the TPC arm.</w:t>
      </w:r>
      <w:r>
        <w:fldChar w:fldCharType="begin"/>
      </w:r>
      <w:r w:rsidR="00CA6345">
        <w:instrText xml:space="preserve"> ADDIN ZOTERO_ITEM CSL_CITATION {"citationID":"4oZUKlRV","properties":{"formattedCitation":"\\super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054570">
        <w:t xml:space="preserve"> </w:t>
      </w:r>
    </w:p>
    <w:p w14:paraId="592F95EC" w14:textId="6824F945" w:rsidR="000B148D" w:rsidRPr="00054570" w:rsidRDefault="000B148D" w:rsidP="000B148D">
      <w:r w:rsidRPr="00054570">
        <w:t xml:space="preserve">The </w:t>
      </w:r>
      <w:r>
        <w:t xml:space="preserve">CBR </w:t>
      </w:r>
      <w:r w:rsidRPr="00054570">
        <w:t xml:space="preserve">by BICR (CBR; a best response of CR, PR, or SD for </w:t>
      </w:r>
      <w:r w:rsidRPr="00054570">
        <w:rPr>
          <w:rFonts w:cs="Arial"/>
        </w:rPr>
        <w:t>≥</w:t>
      </w:r>
      <w:r w:rsidRPr="00054570">
        <w:t>6 months) was significantly higher with T-DXd than with TPC at DCO: 70.2% (262 patients) compared with 33.7% (62 patients)</w:t>
      </w:r>
      <w:r>
        <w:t>,</w:t>
      </w:r>
      <w:r>
        <w:fldChar w:fldCharType="begin"/>
      </w:r>
      <w:r w:rsidR="00CA6345">
        <w:instrText xml:space="preserve"> ADDIN ZOTERO_ITEM CSL_CITATION {"citationID":"3e6ZdBvD","properties":{"formattedCitation":"\\super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t xml:space="preserve"> respectively</w:t>
      </w:r>
      <w:r w:rsidRPr="00054570">
        <w:t xml:space="preserve"> (</w:t>
      </w:r>
      <w:r w:rsidRPr="00091D35">
        <w:t>p&lt;0.0001</w:t>
      </w:r>
      <w:r w:rsidRPr="00054570">
        <w:t>).</w:t>
      </w:r>
      <w:r w:rsidRPr="00054570">
        <w:fldChar w:fldCharType="begin"/>
      </w:r>
      <w:r w:rsidR="00CA6345">
        <w:instrText xml:space="preserve"> ADDIN ZOTERO_ITEM CSL_CITATION {"citationID":"cmVQ7106","properties":{"formattedCitation":"\\super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r w:rsidRPr="00054570">
        <w:t xml:space="preserve"> </w:t>
      </w:r>
    </w:p>
    <w:p w14:paraId="1197695C" w14:textId="1B046744" w:rsidR="000B148D" w:rsidRPr="00AB4A1A" w:rsidRDefault="000B148D" w:rsidP="000B148D">
      <w:pPr>
        <w:spacing w:after="180"/>
      </w:pPr>
      <w:r w:rsidRPr="00AB4A1A">
        <w:t>Response rates by IA</w:t>
      </w:r>
      <w:r>
        <w:t xml:space="preserve"> in the FAS</w:t>
      </w:r>
      <w:r w:rsidRPr="00AB4A1A">
        <w:t xml:space="preserve"> </w:t>
      </w:r>
      <w:r w:rsidR="00294FDC" w:rsidRPr="00294FDC">
        <w:rPr>
          <w:color w:val="000000"/>
          <w:highlight w:val="black"/>
        </w:rPr>
        <w:t>xxxxxxxxxxxxxxxxxx</w:t>
      </w:r>
      <w:r w:rsidRPr="00AB4A1A">
        <w:t xml:space="preserve"> the assessment of response by BICR</w:t>
      </w:r>
      <w:r>
        <w:t xml:space="preserve">, showing a </w:t>
      </w:r>
      <w:r w:rsidR="00294FDC" w:rsidRPr="00294FDC">
        <w:rPr>
          <w:color w:val="000000"/>
          <w:highlight w:val="black"/>
        </w:rPr>
        <w:t>xxxxxxxxxxxxxxxxxxxxx</w:t>
      </w:r>
      <w:r>
        <w:t xml:space="preserve"> benefit of T-DXd compared with TPC</w:t>
      </w:r>
      <w:r w:rsidRPr="00AB4A1A">
        <w:t xml:space="preserve"> (</w:t>
      </w:r>
      <w:r w:rsidRPr="00AB4A1A">
        <w:rPr>
          <w:b/>
          <w:bCs/>
          <w:lang w:val="fr-FR"/>
        </w:rPr>
        <w:fldChar w:fldCharType="begin"/>
      </w:r>
      <w:r w:rsidRPr="000C741C">
        <w:rPr>
          <w:b/>
          <w:bCs/>
        </w:rPr>
        <w:instrText xml:space="preserve"> REF _Ref123902630 \h  \* MERGEFORMAT </w:instrText>
      </w:r>
      <w:r w:rsidRPr="00AB4A1A">
        <w:rPr>
          <w:b/>
          <w:bCs/>
          <w:lang w:val="fr-FR"/>
        </w:rPr>
      </w:r>
      <w:r w:rsidRPr="00AB4A1A">
        <w:rPr>
          <w:b/>
          <w:bCs/>
          <w:lang w:val="fr-FR"/>
        </w:rPr>
        <w:fldChar w:fldCharType="separate"/>
      </w:r>
      <w:r w:rsidR="00145F42" w:rsidRPr="00145F42">
        <w:rPr>
          <w:b/>
          <w:bCs/>
        </w:rPr>
        <w:t xml:space="preserve">Table </w:t>
      </w:r>
      <w:r w:rsidR="00145F42" w:rsidRPr="00145F42">
        <w:rPr>
          <w:b/>
          <w:bCs/>
          <w:noProof/>
        </w:rPr>
        <w:t>21</w:t>
      </w:r>
      <w:r w:rsidRPr="00AB4A1A">
        <w:rPr>
          <w:b/>
          <w:bCs/>
          <w:lang w:val="fr-FR"/>
        </w:rPr>
        <w:fldChar w:fldCharType="end"/>
      </w:r>
      <w:r w:rsidRPr="00DC2676">
        <w:t>)</w:t>
      </w:r>
      <w:r w:rsidRPr="00AB4A1A">
        <w:t>.</w:t>
      </w:r>
      <w:r>
        <w:fldChar w:fldCharType="begin"/>
      </w:r>
      <w:r w:rsidR="00CA6345">
        <w:instrText xml:space="preserve"> ADDIN ZOTERO_ITEM CSL_CITATION {"citationID":"vkyW0p0m","properties":{"formattedCitation":"\\super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fldChar w:fldCharType="separate"/>
      </w:r>
      <w:r w:rsidR="00FD57F4" w:rsidRPr="00FD57F4">
        <w:rPr>
          <w:rFonts w:cs="Arial"/>
          <w:szCs w:val="24"/>
          <w:vertAlign w:val="superscript"/>
        </w:rPr>
        <w:t>7</w:t>
      </w:r>
      <w:r>
        <w:fldChar w:fldCharType="end"/>
      </w:r>
      <w:r>
        <w:t xml:space="preserve"> </w:t>
      </w:r>
      <w:r w:rsidR="00294FDC" w:rsidRPr="00294FDC">
        <w:rPr>
          <w:color w:val="000000"/>
          <w:highlight w:val="black"/>
        </w:rPr>
        <w:t>xxxxxx</w:t>
      </w:r>
      <w:r w:rsidR="008127E9">
        <w:rPr>
          <w:color w:val="000000"/>
          <w:highlight w:val="black"/>
        </w:rPr>
        <w:t xml:space="preserve"> </w:t>
      </w:r>
      <w:r w:rsidR="00294FDC" w:rsidRPr="00294FDC">
        <w:rPr>
          <w:color w:val="000000"/>
          <w:highlight w:val="black"/>
        </w:rPr>
        <w:t>xxxxxxxxx</w:t>
      </w:r>
      <w:r>
        <w:t xml:space="preserve"> were also seen in the HR-positive cohort (BICR and IA).</w:t>
      </w:r>
      <w:r>
        <w:fldChar w:fldCharType="begin"/>
      </w:r>
      <w:r w:rsidR="00CA6345">
        <w:instrText xml:space="preserve"> ADDIN ZOTERO_ITEM CSL_CITATION {"citationID":"uYOLfEHw","properties":{"formattedCitation":"\\super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fldChar w:fldCharType="separate"/>
      </w:r>
      <w:r w:rsidR="00FD57F4" w:rsidRPr="00FD57F4">
        <w:rPr>
          <w:rFonts w:cs="Arial"/>
          <w:szCs w:val="24"/>
          <w:vertAlign w:val="superscript"/>
        </w:rPr>
        <w:t>7</w:t>
      </w:r>
      <w:r>
        <w:fldChar w:fldCharType="end"/>
      </w:r>
      <w:r>
        <w:t xml:space="preserve"> </w:t>
      </w:r>
      <w:r w:rsidRPr="00054570">
        <w:t>Waterfall plots (</w:t>
      </w:r>
      <w:r w:rsidRPr="00314A60">
        <w:rPr>
          <w:b/>
          <w:bCs/>
        </w:rPr>
        <w:fldChar w:fldCharType="begin"/>
      </w:r>
      <w:r w:rsidRPr="00314A60">
        <w:rPr>
          <w:b/>
          <w:bCs/>
        </w:rPr>
        <w:instrText xml:space="preserve"> REF _Ref126147360 \h </w:instrText>
      </w:r>
      <w:r>
        <w:rPr>
          <w:b/>
          <w:bCs/>
        </w:rPr>
        <w:instrText xml:space="preserve"> \* MERGEFORMAT </w:instrText>
      </w:r>
      <w:r w:rsidRPr="00314A60">
        <w:rPr>
          <w:b/>
          <w:bCs/>
        </w:rPr>
      </w:r>
      <w:r w:rsidRPr="00314A60">
        <w:rPr>
          <w:b/>
          <w:bCs/>
        </w:rPr>
        <w:fldChar w:fldCharType="separate"/>
      </w:r>
      <w:r w:rsidR="00145F42" w:rsidRPr="00145F42">
        <w:rPr>
          <w:b/>
          <w:bCs/>
        </w:rPr>
        <w:t xml:space="preserve">Figure </w:t>
      </w:r>
      <w:r w:rsidR="00145F42" w:rsidRPr="00145F42">
        <w:rPr>
          <w:b/>
          <w:bCs/>
          <w:noProof/>
        </w:rPr>
        <w:t>15</w:t>
      </w:r>
      <w:r w:rsidRPr="00314A60">
        <w:rPr>
          <w:b/>
          <w:bCs/>
        </w:rPr>
        <w:fldChar w:fldCharType="end"/>
      </w:r>
      <w:r w:rsidRPr="00054570">
        <w:t xml:space="preserve">) visually display the impact of T-DXd and TPC on percentage change in sum of diameters of target lesions from baseline to best </w:t>
      </w:r>
      <w:r>
        <w:t xml:space="preserve">(minimum) </w:t>
      </w:r>
      <w:r w:rsidRPr="00054570">
        <w:t xml:space="preserve">post-baseline value based on BICR </w:t>
      </w:r>
      <w:r>
        <w:t>(FAS)</w:t>
      </w:r>
      <w:r w:rsidRPr="00054570">
        <w:t>.</w:t>
      </w:r>
    </w:p>
    <w:p w14:paraId="78B1B41A" w14:textId="5900C67E" w:rsidR="000B148D" w:rsidRPr="00054570" w:rsidRDefault="000B148D" w:rsidP="000B148D">
      <w:pPr>
        <w:pStyle w:val="Caption"/>
      </w:pPr>
      <w:bookmarkStart w:id="252" w:name="_Ref123902630"/>
      <w:bookmarkStart w:id="253" w:name="_Toc124447881"/>
      <w:bookmarkStart w:id="254" w:name="_Toc129350996"/>
      <w:r w:rsidRPr="00054570">
        <w:t xml:space="preserve">Table </w:t>
      </w:r>
      <w:fldSimple w:instr=" SEQ Table \* ARABIC ">
        <w:r w:rsidR="00145F42">
          <w:rPr>
            <w:noProof/>
          </w:rPr>
          <w:t>21</w:t>
        </w:r>
      </w:fldSimple>
      <w:bookmarkEnd w:id="252"/>
      <w:r w:rsidRPr="00054570">
        <w:t>: DESTINY-Breast04 | Best overall response and ORR by BICR or IA | FAS and HR-positive cohort</w:t>
      </w:r>
      <w:bookmarkEnd w:id="253"/>
      <w:bookmarkEnd w:id="254"/>
      <w:r w:rsidRPr="00054570">
        <w:t xml:space="preserve"> </w:t>
      </w:r>
    </w:p>
    <w:tbl>
      <w:tblPr>
        <w:tblStyle w:val="Generaltable"/>
        <w:tblW w:w="9016" w:type="dxa"/>
        <w:tblLayout w:type="fixed"/>
        <w:tblLook w:val="04A0" w:firstRow="1" w:lastRow="0" w:firstColumn="1" w:lastColumn="0" w:noHBand="0" w:noVBand="1"/>
      </w:tblPr>
      <w:tblGrid>
        <w:gridCol w:w="3539"/>
        <w:gridCol w:w="1369"/>
        <w:gridCol w:w="1369"/>
        <w:gridCol w:w="1369"/>
        <w:gridCol w:w="1370"/>
      </w:tblGrid>
      <w:tr w:rsidR="000B148D" w:rsidRPr="00054570" w14:paraId="1A2FDE08" w14:textId="77777777">
        <w:trPr>
          <w:cnfStyle w:val="100000000000" w:firstRow="1" w:lastRow="0" w:firstColumn="0" w:lastColumn="0" w:oddVBand="0" w:evenVBand="0" w:oddHBand="0" w:evenHBand="0" w:firstRowFirstColumn="0" w:firstRowLastColumn="0" w:lastRowFirstColumn="0" w:lastRowLastColumn="0"/>
          <w:tblHeader/>
        </w:trPr>
        <w:tc>
          <w:tcPr>
            <w:tcW w:w="3539" w:type="dxa"/>
            <w:vMerge w:val="restart"/>
            <w:shd w:val="clear" w:color="auto" w:fill="F2F2F2" w:themeFill="background1" w:themeFillShade="F2"/>
          </w:tcPr>
          <w:p w14:paraId="545746CD" w14:textId="77777777" w:rsidR="000B148D" w:rsidRPr="00054570" w:rsidRDefault="000B148D">
            <w:pPr>
              <w:pStyle w:val="Tableheading"/>
              <w:spacing w:before="0" w:after="0"/>
              <w:rPr>
                <w:rFonts w:cs="Arial"/>
              </w:rPr>
            </w:pPr>
          </w:p>
        </w:tc>
        <w:tc>
          <w:tcPr>
            <w:tcW w:w="2738" w:type="dxa"/>
            <w:gridSpan w:val="2"/>
            <w:shd w:val="clear" w:color="auto" w:fill="F2F2F2" w:themeFill="background1" w:themeFillShade="F2"/>
          </w:tcPr>
          <w:p w14:paraId="3343FBF8" w14:textId="77777777" w:rsidR="000B148D" w:rsidRPr="00054570" w:rsidRDefault="000B148D">
            <w:pPr>
              <w:pStyle w:val="Tableheading"/>
              <w:spacing w:before="0" w:after="0"/>
              <w:jc w:val="center"/>
              <w:rPr>
                <w:rFonts w:cs="Arial"/>
              </w:rPr>
            </w:pPr>
            <w:r w:rsidRPr="00054570">
              <w:rPr>
                <w:rFonts w:cs="Arial"/>
              </w:rPr>
              <w:t xml:space="preserve">HR-positive cohort </w:t>
            </w:r>
          </w:p>
        </w:tc>
        <w:tc>
          <w:tcPr>
            <w:tcW w:w="2739" w:type="dxa"/>
            <w:gridSpan w:val="2"/>
            <w:shd w:val="clear" w:color="auto" w:fill="F2F2F2" w:themeFill="background1" w:themeFillShade="F2"/>
          </w:tcPr>
          <w:p w14:paraId="5226163C" w14:textId="77777777" w:rsidR="000B148D" w:rsidRPr="00054570" w:rsidRDefault="000B148D">
            <w:pPr>
              <w:pStyle w:val="Tableheading"/>
              <w:spacing w:before="0" w:after="0"/>
              <w:jc w:val="center"/>
              <w:rPr>
                <w:rFonts w:cs="Arial"/>
              </w:rPr>
            </w:pPr>
            <w:r>
              <w:rPr>
                <w:rFonts w:cs="Arial"/>
              </w:rPr>
              <w:t>FAS</w:t>
            </w:r>
          </w:p>
        </w:tc>
      </w:tr>
      <w:tr w:rsidR="000B148D" w:rsidRPr="00054570" w14:paraId="7BA18C63" w14:textId="77777777">
        <w:trPr>
          <w:cnfStyle w:val="100000000000" w:firstRow="1" w:lastRow="0" w:firstColumn="0" w:lastColumn="0" w:oddVBand="0" w:evenVBand="0" w:oddHBand="0" w:evenHBand="0" w:firstRowFirstColumn="0" w:firstRowLastColumn="0" w:lastRowFirstColumn="0" w:lastRowLastColumn="0"/>
          <w:tblHeader/>
        </w:trPr>
        <w:tc>
          <w:tcPr>
            <w:tcW w:w="3539" w:type="dxa"/>
            <w:vMerge/>
            <w:shd w:val="clear" w:color="auto" w:fill="F2F2F2" w:themeFill="background1" w:themeFillShade="F2"/>
          </w:tcPr>
          <w:p w14:paraId="39659167" w14:textId="77777777" w:rsidR="000B148D" w:rsidRPr="00054570" w:rsidRDefault="000B148D">
            <w:pPr>
              <w:pStyle w:val="Tableheading"/>
              <w:spacing w:before="0" w:after="0"/>
              <w:rPr>
                <w:rFonts w:cs="Arial"/>
              </w:rPr>
            </w:pPr>
          </w:p>
        </w:tc>
        <w:tc>
          <w:tcPr>
            <w:tcW w:w="1369" w:type="dxa"/>
            <w:shd w:val="clear" w:color="auto" w:fill="F2F2F2" w:themeFill="background1" w:themeFillShade="F2"/>
          </w:tcPr>
          <w:p w14:paraId="0887F49D" w14:textId="77777777" w:rsidR="000B148D" w:rsidRPr="00054570" w:rsidRDefault="000B148D">
            <w:pPr>
              <w:pStyle w:val="Tableheading"/>
              <w:spacing w:before="0" w:after="0"/>
              <w:jc w:val="center"/>
              <w:rPr>
                <w:rFonts w:eastAsia="Times New Roman" w:cs="Arial"/>
              </w:rPr>
            </w:pPr>
            <w:r w:rsidRPr="00054570">
              <w:rPr>
                <w:rFonts w:eastAsia="Times New Roman" w:cs="Arial"/>
              </w:rPr>
              <w:t>T-DXd</w:t>
            </w:r>
          </w:p>
          <w:p w14:paraId="62BFD67E" w14:textId="77777777" w:rsidR="000B148D" w:rsidRPr="00054570" w:rsidRDefault="000B148D">
            <w:pPr>
              <w:pStyle w:val="Tableheading"/>
              <w:spacing w:before="0" w:after="0"/>
              <w:jc w:val="center"/>
              <w:rPr>
                <w:rFonts w:cs="Arial"/>
              </w:rPr>
            </w:pPr>
            <w:r w:rsidRPr="00054570">
              <w:rPr>
                <w:rFonts w:eastAsia="Times New Roman" w:cs="Arial"/>
              </w:rPr>
              <w:t>(</w:t>
            </w:r>
            <w:r>
              <w:rPr>
                <w:rFonts w:eastAsia="Times New Roman" w:cs="Arial"/>
              </w:rPr>
              <w:t>N=</w:t>
            </w:r>
            <w:r w:rsidRPr="00054570">
              <w:rPr>
                <w:rFonts w:eastAsia="Times New Roman" w:cs="Arial"/>
              </w:rPr>
              <w:t xml:space="preserve">331) </w:t>
            </w:r>
          </w:p>
        </w:tc>
        <w:tc>
          <w:tcPr>
            <w:tcW w:w="1369" w:type="dxa"/>
            <w:shd w:val="clear" w:color="auto" w:fill="F2F2F2" w:themeFill="background1" w:themeFillShade="F2"/>
          </w:tcPr>
          <w:p w14:paraId="74948719" w14:textId="77777777" w:rsidR="000B148D" w:rsidRPr="00054570" w:rsidRDefault="000B148D">
            <w:pPr>
              <w:pStyle w:val="Tableheading"/>
              <w:spacing w:before="0" w:after="0"/>
              <w:jc w:val="center"/>
              <w:rPr>
                <w:rFonts w:eastAsia="Times New Roman" w:cs="Arial"/>
              </w:rPr>
            </w:pPr>
            <w:r w:rsidRPr="00054570">
              <w:rPr>
                <w:rFonts w:eastAsia="Times New Roman" w:cs="Arial"/>
              </w:rPr>
              <w:t>T</w:t>
            </w:r>
            <w:r>
              <w:rPr>
                <w:rFonts w:eastAsia="Times New Roman" w:cs="Arial"/>
              </w:rPr>
              <w:t>PC</w:t>
            </w:r>
          </w:p>
          <w:p w14:paraId="010FB66F" w14:textId="77777777" w:rsidR="000B148D" w:rsidRPr="00054570" w:rsidRDefault="000B148D">
            <w:pPr>
              <w:pStyle w:val="Tableheading"/>
              <w:spacing w:before="0" w:after="0"/>
              <w:jc w:val="center"/>
              <w:rPr>
                <w:rFonts w:cs="Arial"/>
              </w:rPr>
            </w:pPr>
            <w:r w:rsidRPr="00054570">
              <w:rPr>
                <w:rFonts w:eastAsia="Times New Roman" w:cs="Arial"/>
              </w:rPr>
              <w:t>(</w:t>
            </w:r>
            <w:r>
              <w:rPr>
                <w:rFonts w:eastAsia="Times New Roman" w:cs="Arial"/>
              </w:rPr>
              <w:t>N=163</w:t>
            </w:r>
            <w:r w:rsidRPr="00054570">
              <w:rPr>
                <w:rFonts w:eastAsia="Times New Roman" w:cs="Arial"/>
              </w:rPr>
              <w:t xml:space="preserve">) </w:t>
            </w:r>
          </w:p>
        </w:tc>
        <w:tc>
          <w:tcPr>
            <w:tcW w:w="1369" w:type="dxa"/>
            <w:shd w:val="clear" w:color="auto" w:fill="F2F2F2" w:themeFill="background1" w:themeFillShade="F2"/>
          </w:tcPr>
          <w:p w14:paraId="52D6669D" w14:textId="77777777" w:rsidR="000B148D" w:rsidRPr="00054570" w:rsidRDefault="000B148D">
            <w:pPr>
              <w:pStyle w:val="Tableheading"/>
              <w:spacing w:before="0" w:after="0"/>
              <w:jc w:val="center"/>
              <w:rPr>
                <w:rFonts w:eastAsia="Times New Roman" w:cs="Arial"/>
              </w:rPr>
            </w:pPr>
            <w:r w:rsidRPr="00054570">
              <w:rPr>
                <w:rFonts w:eastAsia="Times New Roman" w:cs="Arial"/>
              </w:rPr>
              <w:t xml:space="preserve">T-DXd </w:t>
            </w:r>
          </w:p>
          <w:p w14:paraId="062B67E9" w14:textId="77777777" w:rsidR="000B148D" w:rsidRPr="00054570" w:rsidRDefault="000B148D">
            <w:pPr>
              <w:pStyle w:val="Tableheading"/>
              <w:spacing w:before="0" w:after="0"/>
              <w:jc w:val="center"/>
              <w:rPr>
                <w:rFonts w:eastAsia="Times New Roman" w:cs="Arial"/>
              </w:rPr>
            </w:pPr>
            <w:r w:rsidRPr="00054570">
              <w:rPr>
                <w:rFonts w:eastAsia="Times New Roman" w:cs="Arial"/>
              </w:rPr>
              <w:t>(</w:t>
            </w:r>
            <w:r>
              <w:rPr>
                <w:rFonts w:eastAsia="Times New Roman" w:cs="Arial"/>
              </w:rPr>
              <w:t>N=</w:t>
            </w:r>
            <w:r w:rsidRPr="00054570">
              <w:rPr>
                <w:rFonts w:eastAsia="Times New Roman" w:cs="Arial"/>
              </w:rPr>
              <w:t xml:space="preserve">373) </w:t>
            </w:r>
          </w:p>
        </w:tc>
        <w:tc>
          <w:tcPr>
            <w:tcW w:w="1370" w:type="dxa"/>
            <w:shd w:val="clear" w:color="auto" w:fill="F2F2F2" w:themeFill="background1" w:themeFillShade="F2"/>
          </w:tcPr>
          <w:p w14:paraId="4A3E108A" w14:textId="77777777" w:rsidR="000B148D" w:rsidRPr="00054570" w:rsidRDefault="000B148D">
            <w:pPr>
              <w:pStyle w:val="Tableheading"/>
              <w:spacing w:before="0" w:after="0"/>
              <w:jc w:val="center"/>
              <w:rPr>
                <w:rFonts w:eastAsia="Times New Roman" w:cs="Arial"/>
              </w:rPr>
            </w:pPr>
            <w:r w:rsidRPr="00054570">
              <w:rPr>
                <w:rFonts w:eastAsia="Times New Roman" w:cs="Arial"/>
              </w:rPr>
              <w:t xml:space="preserve">TPC </w:t>
            </w:r>
          </w:p>
          <w:p w14:paraId="4A0D4F21" w14:textId="77777777" w:rsidR="000B148D" w:rsidRPr="00054570" w:rsidRDefault="000B148D">
            <w:pPr>
              <w:pStyle w:val="Tableheading"/>
              <w:spacing w:before="0" w:after="0"/>
              <w:jc w:val="center"/>
              <w:rPr>
                <w:rFonts w:eastAsia="Times New Roman" w:cs="Arial"/>
              </w:rPr>
            </w:pPr>
            <w:r w:rsidRPr="00054570">
              <w:rPr>
                <w:rFonts w:eastAsia="Times New Roman" w:cs="Arial"/>
              </w:rPr>
              <w:t>(</w:t>
            </w:r>
            <w:r>
              <w:rPr>
                <w:rFonts w:eastAsia="Times New Roman" w:cs="Arial"/>
              </w:rPr>
              <w:t>N=</w:t>
            </w:r>
            <w:r w:rsidRPr="00054570">
              <w:rPr>
                <w:rFonts w:eastAsia="Times New Roman" w:cs="Arial"/>
              </w:rPr>
              <w:t xml:space="preserve">184) </w:t>
            </w:r>
          </w:p>
        </w:tc>
      </w:tr>
      <w:tr w:rsidR="000B148D" w:rsidRPr="00054570" w14:paraId="5961AE7A" w14:textId="77777777">
        <w:tc>
          <w:tcPr>
            <w:tcW w:w="3539" w:type="dxa"/>
            <w:shd w:val="clear" w:color="auto" w:fill="F2F2F2" w:themeFill="background1" w:themeFillShade="F2"/>
          </w:tcPr>
          <w:p w14:paraId="7F93A547" w14:textId="77777777" w:rsidR="000B148D" w:rsidRPr="00054570" w:rsidRDefault="000B148D">
            <w:pPr>
              <w:pStyle w:val="Tablebody"/>
              <w:spacing w:before="0" w:after="0"/>
              <w:rPr>
                <w:rFonts w:cs="Arial"/>
              </w:rPr>
            </w:pPr>
            <w:r w:rsidRPr="00054570">
              <w:rPr>
                <w:rFonts w:cs="Arial"/>
              </w:rPr>
              <w:t>Confirmed ORR by BICR, n (%)</w:t>
            </w:r>
          </w:p>
        </w:tc>
        <w:tc>
          <w:tcPr>
            <w:tcW w:w="1369" w:type="dxa"/>
          </w:tcPr>
          <w:p w14:paraId="5E38839C" w14:textId="77777777" w:rsidR="000B148D" w:rsidRPr="00054570" w:rsidRDefault="000B148D">
            <w:pPr>
              <w:pStyle w:val="Tablebody"/>
              <w:spacing w:before="0" w:after="0"/>
              <w:jc w:val="center"/>
              <w:rPr>
                <w:rFonts w:cs="Arial"/>
              </w:rPr>
            </w:pPr>
            <w:r w:rsidRPr="00054570">
              <w:rPr>
                <w:rFonts w:eastAsia="Times New Roman" w:cs="Arial"/>
              </w:rPr>
              <w:t>175 (52.9)</w:t>
            </w:r>
            <w:r w:rsidRPr="00054570">
              <w:rPr>
                <w:rFonts w:eastAsia="Times New Roman" w:cs="Arial"/>
                <w:vertAlign w:val="superscript"/>
              </w:rPr>
              <w:t>a</w:t>
            </w:r>
            <w:r w:rsidRPr="00054570">
              <w:rPr>
                <w:rFonts w:eastAsia="Times New Roman" w:cs="Arial"/>
              </w:rPr>
              <w:t xml:space="preserve"> </w:t>
            </w:r>
          </w:p>
        </w:tc>
        <w:tc>
          <w:tcPr>
            <w:tcW w:w="1369" w:type="dxa"/>
          </w:tcPr>
          <w:p w14:paraId="391DEA63" w14:textId="77777777" w:rsidR="000B148D" w:rsidRPr="00054570" w:rsidRDefault="000B148D">
            <w:pPr>
              <w:pStyle w:val="Tablebody"/>
              <w:spacing w:before="0" w:after="0"/>
              <w:jc w:val="center"/>
              <w:rPr>
                <w:rFonts w:cs="Arial"/>
              </w:rPr>
            </w:pPr>
            <w:r w:rsidRPr="00054570">
              <w:rPr>
                <w:rFonts w:eastAsia="Times New Roman" w:cs="Arial"/>
              </w:rPr>
              <w:t xml:space="preserve">27 (16.6) </w:t>
            </w:r>
          </w:p>
        </w:tc>
        <w:tc>
          <w:tcPr>
            <w:tcW w:w="1369" w:type="dxa"/>
          </w:tcPr>
          <w:p w14:paraId="4BB5B553" w14:textId="77777777" w:rsidR="000B148D" w:rsidRPr="00054570" w:rsidRDefault="000B148D">
            <w:pPr>
              <w:pStyle w:val="Tablebody"/>
              <w:spacing w:before="0" w:after="0"/>
              <w:jc w:val="center"/>
              <w:rPr>
                <w:rFonts w:eastAsia="Times New Roman" w:cs="Arial"/>
              </w:rPr>
            </w:pPr>
            <w:r w:rsidRPr="00054570">
              <w:rPr>
                <w:rFonts w:eastAsia="Times New Roman" w:cs="Arial"/>
              </w:rPr>
              <w:t>195 (52.3)</w:t>
            </w:r>
            <w:r w:rsidRPr="00054570">
              <w:rPr>
                <w:rFonts w:eastAsia="Times New Roman" w:cs="Arial"/>
                <w:vertAlign w:val="superscript"/>
              </w:rPr>
              <w:t>a</w:t>
            </w:r>
            <w:r w:rsidRPr="00054570">
              <w:rPr>
                <w:rFonts w:eastAsia="Times New Roman" w:cs="Arial"/>
              </w:rPr>
              <w:t xml:space="preserve"> </w:t>
            </w:r>
          </w:p>
        </w:tc>
        <w:tc>
          <w:tcPr>
            <w:tcW w:w="1370" w:type="dxa"/>
          </w:tcPr>
          <w:p w14:paraId="14FA176F" w14:textId="77777777" w:rsidR="000B148D" w:rsidRPr="00054570" w:rsidRDefault="000B148D">
            <w:pPr>
              <w:pStyle w:val="Tablebody"/>
              <w:spacing w:before="0" w:after="0"/>
              <w:jc w:val="center"/>
              <w:rPr>
                <w:rFonts w:eastAsia="Times New Roman" w:cs="Arial"/>
              </w:rPr>
            </w:pPr>
            <w:r w:rsidRPr="00054570">
              <w:rPr>
                <w:rFonts w:eastAsia="Times New Roman" w:cs="Arial"/>
              </w:rPr>
              <w:t xml:space="preserve">30 (16.3) </w:t>
            </w:r>
          </w:p>
        </w:tc>
      </w:tr>
      <w:tr w:rsidR="000B148D" w:rsidRPr="00054570" w14:paraId="1501977B" w14:textId="77777777">
        <w:tc>
          <w:tcPr>
            <w:tcW w:w="3539" w:type="dxa"/>
            <w:shd w:val="clear" w:color="auto" w:fill="F2F2F2" w:themeFill="background1" w:themeFillShade="F2"/>
          </w:tcPr>
          <w:p w14:paraId="136F5E28" w14:textId="77777777" w:rsidR="000B148D" w:rsidRPr="00054570" w:rsidRDefault="000B148D">
            <w:pPr>
              <w:pStyle w:val="Tablebody"/>
              <w:spacing w:before="0" w:after="0"/>
              <w:ind w:left="166"/>
              <w:rPr>
                <w:rFonts w:cs="Arial"/>
              </w:rPr>
            </w:pPr>
            <w:r w:rsidRPr="00054570">
              <w:rPr>
                <w:rFonts w:cs="Arial"/>
              </w:rPr>
              <w:t>95% CI</w:t>
            </w:r>
          </w:p>
        </w:tc>
        <w:tc>
          <w:tcPr>
            <w:tcW w:w="1369" w:type="dxa"/>
          </w:tcPr>
          <w:p w14:paraId="327BE439" w14:textId="77777777" w:rsidR="000B148D" w:rsidRPr="00054570" w:rsidRDefault="000B148D">
            <w:pPr>
              <w:pStyle w:val="Tablebody"/>
              <w:spacing w:before="0" w:after="0"/>
              <w:jc w:val="center"/>
              <w:rPr>
                <w:rFonts w:cs="Arial"/>
              </w:rPr>
            </w:pPr>
            <w:r w:rsidRPr="00054570">
              <w:rPr>
                <w:rFonts w:eastAsia="Times New Roman" w:cs="Arial"/>
              </w:rPr>
              <w:t xml:space="preserve">(47.3, 58.4) </w:t>
            </w:r>
          </w:p>
        </w:tc>
        <w:tc>
          <w:tcPr>
            <w:tcW w:w="1369" w:type="dxa"/>
          </w:tcPr>
          <w:p w14:paraId="55EF2151" w14:textId="77777777" w:rsidR="000B148D" w:rsidRPr="00054570" w:rsidRDefault="000B148D">
            <w:pPr>
              <w:pStyle w:val="Tablebody"/>
              <w:spacing w:before="0" w:after="0"/>
              <w:jc w:val="center"/>
              <w:rPr>
                <w:rFonts w:cs="Arial"/>
              </w:rPr>
            </w:pPr>
            <w:r w:rsidRPr="00054570">
              <w:rPr>
                <w:rFonts w:eastAsia="Times New Roman" w:cs="Arial"/>
              </w:rPr>
              <w:t xml:space="preserve">(11.2, 23.2) </w:t>
            </w:r>
          </w:p>
        </w:tc>
        <w:tc>
          <w:tcPr>
            <w:tcW w:w="1369" w:type="dxa"/>
          </w:tcPr>
          <w:p w14:paraId="51DE0C9F" w14:textId="77777777" w:rsidR="000B148D" w:rsidRPr="00054570" w:rsidRDefault="000B148D">
            <w:pPr>
              <w:pStyle w:val="Tablebody"/>
              <w:spacing w:before="0" w:after="0"/>
              <w:jc w:val="center"/>
              <w:rPr>
                <w:rFonts w:eastAsia="Times New Roman" w:cs="Arial"/>
              </w:rPr>
            </w:pPr>
            <w:r w:rsidRPr="00054570">
              <w:rPr>
                <w:rFonts w:eastAsia="Times New Roman" w:cs="Arial"/>
              </w:rPr>
              <w:t xml:space="preserve">(47.1, 57.4) </w:t>
            </w:r>
          </w:p>
        </w:tc>
        <w:tc>
          <w:tcPr>
            <w:tcW w:w="1370" w:type="dxa"/>
          </w:tcPr>
          <w:p w14:paraId="4E9714B1" w14:textId="77777777" w:rsidR="000B148D" w:rsidRPr="00054570" w:rsidRDefault="000B148D">
            <w:pPr>
              <w:pStyle w:val="Tablebody"/>
              <w:spacing w:before="0" w:after="0"/>
              <w:jc w:val="center"/>
              <w:rPr>
                <w:rFonts w:eastAsia="Times New Roman" w:cs="Arial"/>
              </w:rPr>
            </w:pPr>
            <w:r w:rsidRPr="00054570">
              <w:rPr>
                <w:rFonts w:eastAsia="Times New Roman" w:cs="Arial"/>
              </w:rPr>
              <w:t xml:space="preserve">(11.3, 22.5) </w:t>
            </w:r>
          </w:p>
        </w:tc>
      </w:tr>
      <w:tr w:rsidR="000B148D" w:rsidRPr="00054570" w14:paraId="06079EBB" w14:textId="77777777">
        <w:tc>
          <w:tcPr>
            <w:tcW w:w="3539" w:type="dxa"/>
            <w:shd w:val="clear" w:color="auto" w:fill="F2F2F2" w:themeFill="background1" w:themeFillShade="F2"/>
          </w:tcPr>
          <w:p w14:paraId="791D009A" w14:textId="4028345C" w:rsidR="000B148D" w:rsidRPr="00054570" w:rsidRDefault="000B148D">
            <w:pPr>
              <w:pStyle w:val="Tablebody"/>
              <w:spacing w:before="0" w:after="0"/>
              <w:ind w:left="166"/>
              <w:rPr>
                <w:rFonts w:cs="Arial"/>
              </w:rPr>
            </w:pPr>
            <w:r w:rsidRPr="00054570">
              <w:rPr>
                <w:rFonts w:cs="Arial"/>
              </w:rPr>
              <w:t>p-value</w:t>
            </w:r>
            <w:r w:rsidR="008F6994">
              <w:rPr>
                <w:rFonts w:cs="Arial"/>
              </w:rPr>
              <w:t>*</w:t>
            </w:r>
          </w:p>
        </w:tc>
        <w:tc>
          <w:tcPr>
            <w:tcW w:w="2738" w:type="dxa"/>
            <w:gridSpan w:val="2"/>
          </w:tcPr>
          <w:p w14:paraId="68AD199D" w14:textId="77777777" w:rsidR="000B148D" w:rsidRPr="00054570" w:rsidRDefault="000B148D">
            <w:pPr>
              <w:pStyle w:val="Tablebody"/>
              <w:spacing w:before="0" w:after="0"/>
              <w:jc w:val="center"/>
              <w:rPr>
                <w:rFonts w:cs="Arial"/>
              </w:rPr>
            </w:pPr>
            <w:r>
              <w:rPr>
                <w:rFonts w:eastAsia="Times New Roman" w:cs="Arial"/>
              </w:rPr>
              <w:t>&lt;0.0001</w:t>
            </w:r>
          </w:p>
        </w:tc>
        <w:tc>
          <w:tcPr>
            <w:tcW w:w="2739" w:type="dxa"/>
            <w:gridSpan w:val="2"/>
          </w:tcPr>
          <w:p w14:paraId="53BC9E09" w14:textId="77777777" w:rsidR="000B148D" w:rsidRPr="00054570" w:rsidRDefault="000B148D">
            <w:pPr>
              <w:pStyle w:val="Tablebody"/>
              <w:spacing w:before="0" w:after="0"/>
              <w:jc w:val="center"/>
              <w:rPr>
                <w:rFonts w:eastAsia="Times New Roman" w:cs="Arial"/>
              </w:rPr>
            </w:pPr>
            <w:r w:rsidRPr="00054570">
              <w:rPr>
                <w:rFonts w:eastAsia="Times New Roman" w:cs="Arial"/>
              </w:rPr>
              <w:t>&lt;0.0001</w:t>
            </w:r>
          </w:p>
        </w:tc>
      </w:tr>
      <w:tr w:rsidR="000B148D" w:rsidRPr="00054570" w14:paraId="59980790" w14:textId="77777777">
        <w:tc>
          <w:tcPr>
            <w:tcW w:w="3539" w:type="dxa"/>
            <w:shd w:val="clear" w:color="auto" w:fill="F2F2F2" w:themeFill="background1" w:themeFillShade="F2"/>
          </w:tcPr>
          <w:p w14:paraId="6D612F24" w14:textId="77777777" w:rsidR="000B148D" w:rsidRPr="00054570" w:rsidRDefault="000B148D">
            <w:pPr>
              <w:pStyle w:val="Tablebody"/>
              <w:keepNext/>
              <w:spacing w:before="0" w:after="0"/>
              <w:rPr>
                <w:rFonts w:cs="Arial"/>
                <w:lang w:val="pt-PT"/>
              </w:rPr>
            </w:pPr>
            <w:r w:rsidRPr="00054570">
              <w:rPr>
                <w:rFonts w:cs="Arial"/>
                <w:lang w:val="pt-PT"/>
              </w:rPr>
              <w:lastRenderedPageBreak/>
              <w:t>Confirmed ORR by IA, n (%)</w:t>
            </w:r>
          </w:p>
        </w:tc>
        <w:tc>
          <w:tcPr>
            <w:tcW w:w="1369" w:type="dxa"/>
          </w:tcPr>
          <w:p w14:paraId="445A75A8" w14:textId="525FA826"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xxxxxxxxxxx</w:t>
            </w:r>
          </w:p>
        </w:tc>
        <w:tc>
          <w:tcPr>
            <w:tcW w:w="1369" w:type="dxa"/>
          </w:tcPr>
          <w:p w14:paraId="5D60985A" w14:textId="59500874"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xxxxxxxxxx</w:t>
            </w:r>
          </w:p>
        </w:tc>
        <w:tc>
          <w:tcPr>
            <w:tcW w:w="1369" w:type="dxa"/>
          </w:tcPr>
          <w:p w14:paraId="5DC1AB3B" w14:textId="1F8027ED"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xxxxxxxxxxx</w:t>
            </w:r>
          </w:p>
        </w:tc>
        <w:tc>
          <w:tcPr>
            <w:tcW w:w="1370" w:type="dxa"/>
          </w:tcPr>
          <w:p w14:paraId="69D2DDE8" w14:textId="1950C401"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w:t>
            </w:r>
          </w:p>
        </w:tc>
      </w:tr>
      <w:tr w:rsidR="000B148D" w:rsidRPr="00054570" w14:paraId="4CA5CD3A" w14:textId="77777777">
        <w:tc>
          <w:tcPr>
            <w:tcW w:w="3539" w:type="dxa"/>
            <w:shd w:val="clear" w:color="auto" w:fill="F2F2F2" w:themeFill="background1" w:themeFillShade="F2"/>
          </w:tcPr>
          <w:p w14:paraId="386709F0" w14:textId="77777777" w:rsidR="000B148D" w:rsidRPr="00054570" w:rsidRDefault="000B148D">
            <w:pPr>
              <w:pStyle w:val="Tablebody"/>
              <w:spacing w:before="0" w:after="0"/>
              <w:ind w:left="169"/>
              <w:rPr>
                <w:rFonts w:cs="Arial"/>
              </w:rPr>
            </w:pPr>
            <w:r w:rsidRPr="00054570">
              <w:rPr>
                <w:rFonts w:cs="Arial"/>
              </w:rPr>
              <w:t>95% CI</w:t>
            </w:r>
          </w:p>
        </w:tc>
        <w:tc>
          <w:tcPr>
            <w:tcW w:w="1369" w:type="dxa"/>
          </w:tcPr>
          <w:p w14:paraId="63F501DE" w14:textId="48F33BF9"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xxxxxxxxxx</w:t>
            </w:r>
          </w:p>
        </w:tc>
        <w:tc>
          <w:tcPr>
            <w:tcW w:w="1369" w:type="dxa"/>
          </w:tcPr>
          <w:p w14:paraId="49559F01" w14:textId="322780D6"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xxxxxxxxxx</w:t>
            </w:r>
          </w:p>
        </w:tc>
        <w:tc>
          <w:tcPr>
            <w:tcW w:w="1369" w:type="dxa"/>
          </w:tcPr>
          <w:p w14:paraId="74C1BEC7" w14:textId="3E7CC138"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w:t>
            </w:r>
          </w:p>
        </w:tc>
        <w:tc>
          <w:tcPr>
            <w:tcW w:w="1370" w:type="dxa"/>
          </w:tcPr>
          <w:p w14:paraId="47C0DB31" w14:textId="19822B88"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w:t>
            </w:r>
          </w:p>
        </w:tc>
      </w:tr>
      <w:tr w:rsidR="000B148D" w:rsidRPr="00054570" w14:paraId="0435E695" w14:textId="77777777">
        <w:tc>
          <w:tcPr>
            <w:tcW w:w="3539" w:type="dxa"/>
            <w:shd w:val="clear" w:color="auto" w:fill="F2F2F2" w:themeFill="background1" w:themeFillShade="F2"/>
          </w:tcPr>
          <w:p w14:paraId="0FBF0F87" w14:textId="77777777" w:rsidR="000B148D" w:rsidRPr="00054570" w:rsidRDefault="000B148D">
            <w:pPr>
              <w:pStyle w:val="Tablebody"/>
              <w:spacing w:before="0" w:after="0"/>
              <w:ind w:left="169"/>
              <w:rPr>
                <w:rFonts w:cs="Arial"/>
              </w:rPr>
            </w:pPr>
            <w:r w:rsidRPr="00054570">
              <w:rPr>
                <w:rFonts w:cs="Arial"/>
              </w:rPr>
              <w:t>p-value</w:t>
            </w:r>
          </w:p>
        </w:tc>
        <w:tc>
          <w:tcPr>
            <w:tcW w:w="2738" w:type="dxa"/>
            <w:gridSpan w:val="2"/>
          </w:tcPr>
          <w:p w14:paraId="2FC35F46" w14:textId="0506C845"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xxxxxxx</w:t>
            </w:r>
          </w:p>
        </w:tc>
        <w:tc>
          <w:tcPr>
            <w:tcW w:w="2739" w:type="dxa"/>
            <w:gridSpan w:val="2"/>
          </w:tcPr>
          <w:p w14:paraId="752AC0DD" w14:textId="08118607"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w:t>
            </w:r>
          </w:p>
        </w:tc>
      </w:tr>
      <w:tr w:rsidR="000B148D" w:rsidRPr="00054570" w14:paraId="41F3A60A" w14:textId="77777777">
        <w:tc>
          <w:tcPr>
            <w:tcW w:w="3539" w:type="dxa"/>
            <w:shd w:val="clear" w:color="auto" w:fill="F2F2F2" w:themeFill="background1" w:themeFillShade="F2"/>
          </w:tcPr>
          <w:p w14:paraId="22DBA531" w14:textId="6B8A0F28" w:rsidR="000B148D" w:rsidRPr="00054570" w:rsidRDefault="000B148D">
            <w:pPr>
              <w:pStyle w:val="Tablebody"/>
              <w:keepNext/>
              <w:spacing w:before="0" w:after="0"/>
              <w:rPr>
                <w:rFonts w:cs="Arial"/>
              </w:rPr>
            </w:pPr>
            <w:r w:rsidRPr="00054570">
              <w:rPr>
                <w:rFonts w:cs="Arial"/>
              </w:rPr>
              <w:t>Disease control rate by BICR</w:t>
            </w:r>
            <w:r w:rsidR="00F97FF6">
              <w:rPr>
                <w:rFonts w:cs="Arial"/>
              </w:rPr>
              <w:t>*</w:t>
            </w:r>
            <w:r w:rsidR="003374A3">
              <w:rPr>
                <w:rFonts w:cs="Arial"/>
              </w:rPr>
              <w:t>*</w:t>
            </w:r>
            <w:r w:rsidRPr="00054570">
              <w:rPr>
                <w:rFonts w:cs="Arial"/>
              </w:rPr>
              <w:t>, n (%)</w:t>
            </w:r>
          </w:p>
        </w:tc>
        <w:tc>
          <w:tcPr>
            <w:tcW w:w="1369" w:type="dxa"/>
          </w:tcPr>
          <w:p w14:paraId="5F5D1214" w14:textId="77777777" w:rsidR="000B148D" w:rsidRPr="00054570" w:rsidRDefault="000B148D">
            <w:pPr>
              <w:pStyle w:val="Tablebody"/>
              <w:spacing w:before="0" w:after="0"/>
              <w:jc w:val="center"/>
              <w:rPr>
                <w:rFonts w:cs="Arial"/>
              </w:rPr>
            </w:pPr>
            <w:r w:rsidRPr="00054570">
              <w:rPr>
                <w:rFonts w:eastAsia="Times New Roman" w:cs="Arial"/>
              </w:rPr>
              <w:t xml:space="preserve">291 (87.9) </w:t>
            </w:r>
          </w:p>
        </w:tc>
        <w:tc>
          <w:tcPr>
            <w:tcW w:w="1369" w:type="dxa"/>
          </w:tcPr>
          <w:p w14:paraId="108B7BD6" w14:textId="77777777" w:rsidR="000B148D" w:rsidRPr="00054570" w:rsidRDefault="000B148D">
            <w:pPr>
              <w:pStyle w:val="Tablebody"/>
              <w:spacing w:before="0" w:after="0"/>
              <w:jc w:val="center"/>
              <w:rPr>
                <w:rFonts w:cs="Arial"/>
              </w:rPr>
            </w:pPr>
            <w:r w:rsidRPr="00054570">
              <w:rPr>
                <w:rFonts w:eastAsia="Times New Roman" w:cs="Arial"/>
              </w:rPr>
              <w:t xml:space="preserve">108 (66.3) </w:t>
            </w:r>
          </w:p>
        </w:tc>
        <w:tc>
          <w:tcPr>
            <w:tcW w:w="1369" w:type="dxa"/>
          </w:tcPr>
          <w:p w14:paraId="521A69CD" w14:textId="77777777" w:rsidR="000B148D" w:rsidRPr="00054570" w:rsidRDefault="000B148D">
            <w:pPr>
              <w:pStyle w:val="Tablebody"/>
              <w:spacing w:before="0" w:after="0"/>
              <w:jc w:val="center"/>
              <w:rPr>
                <w:rFonts w:eastAsia="Times New Roman" w:cs="Arial"/>
              </w:rPr>
            </w:pPr>
            <w:r w:rsidRPr="00054570">
              <w:rPr>
                <w:rFonts w:eastAsia="Times New Roman" w:cs="Arial"/>
              </w:rPr>
              <w:t xml:space="preserve">325 (87.1) </w:t>
            </w:r>
          </w:p>
        </w:tc>
        <w:tc>
          <w:tcPr>
            <w:tcW w:w="1370" w:type="dxa"/>
          </w:tcPr>
          <w:p w14:paraId="5A59CBFE" w14:textId="77777777" w:rsidR="000B148D" w:rsidRPr="00054570" w:rsidRDefault="000B148D">
            <w:pPr>
              <w:pStyle w:val="Tablebody"/>
              <w:spacing w:before="0" w:after="0"/>
              <w:jc w:val="center"/>
              <w:rPr>
                <w:rFonts w:eastAsia="Times New Roman" w:cs="Arial"/>
              </w:rPr>
            </w:pPr>
            <w:r w:rsidRPr="00054570">
              <w:rPr>
                <w:rFonts w:eastAsia="Times New Roman" w:cs="Arial"/>
              </w:rPr>
              <w:t xml:space="preserve">121 (65.8) </w:t>
            </w:r>
          </w:p>
        </w:tc>
      </w:tr>
      <w:tr w:rsidR="000B148D" w:rsidRPr="00054570" w14:paraId="57C455BE" w14:textId="77777777">
        <w:tc>
          <w:tcPr>
            <w:tcW w:w="3539" w:type="dxa"/>
            <w:shd w:val="clear" w:color="auto" w:fill="F2F2F2" w:themeFill="background1" w:themeFillShade="F2"/>
          </w:tcPr>
          <w:p w14:paraId="3B35B483" w14:textId="77777777" w:rsidR="000B148D" w:rsidRPr="00054570" w:rsidRDefault="000B148D">
            <w:pPr>
              <w:pStyle w:val="Tablebody"/>
              <w:keepNext/>
              <w:spacing w:before="0" w:after="0"/>
              <w:ind w:firstLine="175"/>
              <w:rPr>
                <w:rFonts w:cs="Arial"/>
              </w:rPr>
            </w:pPr>
            <w:r w:rsidRPr="00054570">
              <w:rPr>
                <w:rFonts w:cs="Arial"/>
              </w:rPr>
              <w:t>95% CI</w:t>
            </w:r>
          </w:p>
        </w:tc>
        <w:tc>
          <w:tcPr>
            <w:tcW w:w="1369" w:type="dxa"/>
          </w:tcPr>
          <w:p w14:paraId="165AC821" w14:textId="77777777" w:rsidR="000B148D" w:rsidRPr="00054570" w:rsidRDefault="000B148D">
            <w:pPr>
              <w:pStyle w:val="Tablebody"/>
              <w:spacing w:before="0" w:after="0"/>
              <w:jc w:val="center"/>
              <w:rPr>
                <w:rFonts w:eastAsia="Times New Roman" w:cs="Arial"/>
              </w:rPr>
            </w:pPr>
            <w:r w:rsidRPr="00054570">
              <w:rPr>
                <w:rFonts w:eastAsia="Times New Roman" w:cs="Arial"/>
              </w:rPr>
              <w:t>(83.9, 91.2)</w:t>
            </w:r>
          </w:p>
        </w:tc>
        <w:tc>
          <w:tcPr>
            <w:tcW w:w="1369" w:type="dxa"/>
          </w:tcPr>
          <w:p w14:paraId="33BC58DB" w14:textId="77777777" w:rsidR="000B148D" w:rsidRPr="00054570" w:rsidRDefault="000B148D">
            <w:pPr>
              <w:pStyle w:val="Tablebody"/>
              <w:spacing w:before="0" w:after="0"/>
              <w:jc w:val="center"/>
              <w:rPr>
                <w:rFonts w:eastAsia="Times New Roman" w:cs="Arial"/>
              </w:rPr>
            </w:pPr>
            <w:r w:rsidRPr="00054570">
              <w:rPr>
                <w:rFonts w:eastAsia="Times New Roman" w:cs="Arial"/>
              </w:rPr>
              <w:t>(58.4, 73.5)</w:t>
            </w:r>
          </w:p>
        </w:tc>
        <w:tc>
          <w:tcPr>
            <w:tcW w:w="1369" w:type="dxa"/>
          </w:tcPr>
          <w:p w14:paraId="5BA98C3E" w14:textId="77777777" w:rsidR="000B148D" w:rsidRPr="00054570" w:rsidRDefault="000B148D">
            <w:pPr>
              <w:pStyle w:val="Tablebody"/>
              <w:spacing w:before="0" w:after="0"/>
              <w:jc w:val="center"/>
              <w:rPr>
                <w:rFonts w:eastAsia="Times New Roman" w:cs="Arial"/>
              </w:rPr>
            </w:pPr>
            <w:r w:rsidRPr="00054570">
              <w:rPr>
                <w:rFonts w:eastAsia="Times New Roman" w:cs="Arial"/>
              </w:rPr>
              <w:t>(83.3, 90.4)</w:t>
            </w:r>
          </w:p>
        </w:tc>
        <w:tc>
          <w:tcPr>
            <w:tcW w:w="1370" w:type="dxa"/>
          </w:tcPr>
          <w:p w14:paraId="127619B1" w14:textId="77777777" w:rsidR="000B148D" w:rsidRPr="00054570" w:rsidRDefault="000B148D">
            <w:pPr>
              <w:pStyle w:val="Tablebody"/>
              <w:spacing w:before="0" w:after="0"/>
              <w:jc w:val="center"/>
              <w:rPr>
                <w:rFonts w:eastAsia="Times New Roman" w:cs="Arial"/>
              </w:rPr>
            </w:pPr>
            <w:r w:rsidRPr="00054570">
              <w:rPr>
                <w:rFonts w:eastAsia="Times New Roman" w:cs="Arial"/>
              </w:rPr>
              <w:t>(58.4, 72.6)</w:t>
            </w:r>
          </w:p>
        </w:tc>
      </w:tr>
      <w:tr w:rsidR="000B148D" w:rsidRPr="00054570" w14:paraId="1018ED7C" w14:textId="77777777">
        <w:tc>
          <w:tcPr>
            <w:tcW w:w="3539" w:type="dxa"/>
            <w:shd w:val="clear" w:color="auto" w:fill="F2F2F2" w:themeFill="background1" w:themeFillShade="F2"/>
          </w:tcPr>
          <w:p w14:paraId="221A4DF1" w14:textId="14E870D2" w:rsidR="000B148D" w:rsidRPr="00054570" w:rsidRDefault="000B148D">
            <w:pPr>
              <w:pStyle w:val="Tablebody"/>
              <w:keepNext/>
              <w:spacing w:before="0" w:after="0"/>
              <w:ind w:firstLine="175"/>
              <w:rPr>
                <w:rFonts w:cs="Arial"/>
              </w:rPr>
            </w:pPr>
            <w:r w:rsidRPr="00054570">
              <w:rPr>
                <w:rFonts w:cs="Arial"/>
              </w:rPr>
              <w:t>p-value</w:t>
            </w:r>
            <w:r w:rsidR="00103D80">
              <w:rPr>
                <w:rFonts w:cs="Arial"/>
              </w:rPr>
              <w:t>*</w:t>
            </w:r>
          </w:p>
        </w:tc>
        <w:tc>
          <w:tcPr>
            <w:tcW w:w="2738" w:type="dxa"/>
            <w:gridSpan w:val="2"/>
          </w:tcPr>
          <w:p w14:paraId="662CC9F3" w14:textId="77777777" w:rsidR="000B148D" w:rsidRPr="00054570" w:rsidRDefault="000B148D">
            <w:pPr>
              <w:pStyle w:val="Tablebody"/>
              <w:spacing w:before="0" w:after="0"/>
              <w:jc w:val="center"/>
              <w:rPr>
                <w:rFonts w:eastAsia="Times New Roman" w:cs="Arial"/>
              </w:rPr>
            </w:pPr>
            <w:r>
              <w:rPr>
                <w:rFonts w:eastAsia="Times New Roman" w:cs="Arial"/>
              </w:rPr>
              <w:t>&lt;0.0001</w:t>
            </w:r>
          </w:p>
        </w:tc>
        <w:tc>
          <w:tcPr>
            <w:tcW w:w="2739" w:type="dxa"/>
            <w:gridSpan w:val="2"/>
          </w:tcPr>
          <w:p w14:paraId="5F4C6058" w14:textId="77777777" w:rsidR="000B148D" w:rsidRPr="00054570" w:rsidRDefault="000B148D">
            <w:pPr>
              <w:pStyle w:val="Tablebody"/>
              <w:spacing w:before="0" w:after="0"/>
              <w:jc w:val="center"/>
              <w:rPr>
                <w:rFonts w:eastAsia="Times New Roman" w:cs="Arial"/>
              </w:rPr>
            </w:pPr>
            <w:r w:rsidRPr="00054570">
              <w:rPr>
                <w:rFonts w:eastAsia="Times New Roman" w:cs="Arial"/>
              </w:rPr>
              <w:t>&lt;0.0001</w:t>
            </w:r>
          </w:p>
        </w:tc>
      </w:tr>
      <w:tr w:rsidR="000B148D" w:rsidRPr="00054570" w14:paraId="66043EEB" w14:textId="77777777">
        <w:tc>
          <w:tcPr>
            <w:tcW w:w="3539" w:type="dxa"/>
            <w:shd w:val="clear" w:color="auto" w:fill="F2F2F2" w:themeFill="background1" w:themeFillShade="F2"/>
          </w:tcPr>
          <w:p w14:paraId="275B5589" w14:textId="400B92F8" w:rsidR="000B148D" w:rsidRPr="00054570" w:rsidRDefault="000B148D">
            <w:pPr>
              <w:pStyle w:val="Tablebody"/>
              <w:keepNext/>
              <w:spacing w:before="0" w:after="0"/>
              <w:rPr>
                <w:rFonts w:cs="Arial"/>
              </w:rPr>
            </w:pPr>
            <w:r w:rsidRPr="00054570">
              <w:rPr>
                <w:rFonts w:cs="Arial"/>
              </w:rPr>
              <w:t>Clinical benefit rate by BICR</w:t>
            </w:r>
            <w:r w:rsidRPr="00054570">
              <w:rPr>
                <w:rFonts w:cs="Arial"/>
                <w:vertAlign w:val="superscript"/>
              </w:rPr>
              <w:t>†</w:t>
            </w:r>
            <w:r w:rsidRPr="00054570">
              <w:rPr>
                <w:rFonts w:cs="Arial"/>
              </w:rPr>
              <w:t>, n (%)</w:t>
            </w:r>
          </w:p>
        </w:tc>
        <w:tc>
          <w:tcPr>
            <w:tcW w:w="1369" w:type="dxa"/>
          </w:tcPr>
          <w:p w14:paraId="75ED380A" w14:textId="77777777" w:rsidR="000B148D" w:rsidRPr="00054570" w:rsidRDefault="000B148D">
            <w:pPr>
              <w:pStyle w:val="Tablebody"/>
              <w:spacing w:before="0" w:after="0"/>
              <w:jc w:val="center"/>
              <w:rPr>
                <w:rFonts w:cs="Arial"/>
                <w:u w:val="single"/>
              </w:rPr>
            </w:pPr>
            <w:r w:rsidRPr="00054570">
              <w:rPr>
                <w:rFonts w:eastAsia="Times New Roman" w:cs="Arial"/>
              </w:rPr>
              <w:t xml:space="preserve">238 (71.9) </w:t>
            </w:r>
          </w:p>
        </w:tc>
        <w:tc>
          <w:tcPr>
            <w:tcW w:w="1369" w:type="dxa"/>
          </w:tcPr>
          <w:p w14:paraId="288BDE95" w14:textId="77777777" w:rsidR="000B148D" w:rsidRPr="00054570" w:rsidRDefault="000B148D">
            <w:pPr>
              <w:pStyle w:val="Tablebody"/>
              <w:spacing w:before="0" w:after="0"/>
              <w:jc w:val="center"/>
              <w:rPr>
                <w:rFonts w:cs="Arial"/>
                <w:u w:val="single"/>
              </w:rPr>
            </w:pPr>
            <w:r w:rsidRPr="00054570">
              <w:rPr>
                <w:rFonts w:eastAsia="Times New Roman" w:cs="Arial"/>
              </w:rPr>
              <w:t xml:space="preserve">57 (35.0) </w:t>
            </w:r>
          </w:p>
        </w:tc>
        <w:tc>
          <w:tcPr>
            <w:tcW w:w="1369" w:type="dxa"/>
          </w:tcPr>
          <w:p w14:paraId="18E6B2DA" w14:textId="77777777" w:rsidR="000B148D" w:rsidRPr="00054570" w:rsidRDefault="000B148D">
            <w:pPr>
              <w:pStyle w:val="Tablebody"/>
              <w:spacing w:before="0" w:after="0"/>
              <w:jc w:val="center"/>
              <w:rPr>
                <w:rFonts w:eastAsia="Times New Roman" w:cs="Arial"/>
              </w:rPr>
            </w:pPr>
            <w:r w:rsidRPr="00054570">
              <w:rPr>
                <w:rFonts w:eastAsia="Times New Roman" w:cs="Arial"/>
              </w:rPr>
              <w:t xml:space="preserve">262 (70.2) </w:t>
            </w:r>
          </w:p>
        </w:tc>
        <w:tc>
          <w:tcPr>
            <w:tcW w:w="1370" w:type="dxa"/>
          </w:tcPr>
          <w:p w14:paraId="65681BED" w14:textId="77777777" w:rsidR="000B148D" w:rsidRPr="00054570" w:rsidRDefault="000B148D">
            <w:pPr>
              <w:pStyle w:val="Tablebody"/>
              <w:spacing w:before="0" w:after="0"/>
              <w:jc w:val="center"/>
              <w:rPr>
                <w:rFonts w:eastAsia="Times New Roman" w:cs="Arial"/>
              </w:rPr>
            </w:pPr>
            <w:r w:rsidRPr="00054570">
              <w:rPr>
                <w:rFonts w:eastAsia="Times New Roman" w:cs="Arial"/>
              </w:rPr>
              <w:t xml:space="preserve">62 (33.7) </w:t>
            </w:r>
          </w:p>
        </w:tc>
      </w:tr>
      <w:tr w:rsidR="000B148D" w:rsidRPr="00054570" w14:paraId="02E570A1" w14:textId="77777777">
        <w:tc>
          <w:tcPr>
            <w:tcW w:w="3539" w:type="dxa"/>
            <w:shd w:val="clear" w:color="auto" w:fill="F2F2F2" w:themeFill="background1" w:themeFillShade="F2"/>
          </w:tcPr>
          <w:p w14:paraId="4BEEA5D2" w14:textId="77777777" w:rsidR="000B148D" w:rsidRPr="00054570" w:rsidRDefault="000B148D">
            <w:pPr>
              <w:pStyle w:val="Tablebody"/>
              <w:keepNext/>
              <w:spacing w:before="0" w:after="0"/>
              <w:ind w:left="169"/>
              <w:rPr>
                <w:rFonts w:cs="Arial"/>
              </w:rPr>
            </w:pPr>
            <w:r w:rsidRPr="00054570">
              <w:rPr>
                <w:rFonts w:cs="Arial"/>
              </w:rPr>
              <w:t>95% CI</w:t>
            </w:r>
          </w:p>
        </w:tc>
        <w:tc>
          <w:tcPr>
            <w:tcW w:w="1369" w:type="dxa"/>
          </w:tcPr>
          <w:p w14:paraId="1D5C4B13" w14:textId="77777777" w:rsidR="000B148D" w:rsidRPr="00054570" w:rsidRDefault="000B148D">
            <w:pPr>
              <w:pStyle w:val="Tablebody"/>
              <w:spacing w:before="0" w:after="0"/>
              <w:jc w:val="center"/>
              <w:rPr>
                <w:rFonts w:eastAsia="Times New Roman" w:cs="Arial"/>
              </w:rPr>
            </w:pPr>
            <w:r w:rsidRPr="00054570">
              <w:rPr>
                <w:rFonts w:eastAsia="Times New Roman" w:cs="Arial"/>
              </w:rPr>
              <w:t xml:space="preserve">(66.7, 76.7) </w:t>
            </w:r>
          </w:p>
        </w:tc>
        <w:tc>
          <w:tcPr>
            <w:tcW w:w="1369" w:type="dxa"/>
          </w:tcPr>
          <w:p w14:paraId="78B8CCF3" w14:textId="77777777" w:rsidR="000B148D" w:rsidRPr="00054570" w:rsidRDefault="000B148D">
            <w:pPr>
              <w:pStyle w:val="Tablebody"/>
              <w:spacing w:before="0" w:after="0"/>
              <w:jc w:val="center"/>
              <w:rPr>
                <w:rFonts w:eastAsia="Times New Roman" w:cs="Arial"/>
              </w:rPr>
            </w:pPr>
            <w:r w:rsidRPr="00054570">
              <w:rPr>
                <w:rFonts w:eastAsia="Times New Roman" w:cs="Arial"/>
              </w:rPr>
              <w:t xml:space="preserve">(27.7, 42.8) </w:t>
            </w:r>
          </w:p>
        </w:tc>
        <w:tc>
          <w:tcPr>
            <w:tcW w:w="1369" w:type="dxa"/>
          </w:tcPr>
          <w:p w14:paraId="649B7731" w14:textId="77777777" w:rsidR="000B148D" w:rsidRPr="00054570" w:rsidRDefault="000B148D">
            <w:pPr>
              <w:pStyle w:val="Tablebody"/>
              <w:spacing w:before="0" w:after="0"/>
              <w:jc w:val="center"/>
              <w:rPr>
                <w:rFonts w:eastAsia="Times New Roman" w:cs="Arial"/>
              </w:rPr>
            </w:pPr>
            <w:r w:rsidRPr="00054570">
              <w:rPr>
                <w:rFonts w:eastAsia="Times New Roman" w:cs="Arial"/>
              </w:rPr>
              <w:t xml:space="preserve">(65.3, 74.8) </w:t>
            </w:r>
          </w:p>
        </w:tc>
        <w:tc>
          <w:tcPr>
            <w:tcW w:w="1370" w:type="dxa"/>
          </w:tcPr>
          <w:p w14:paraId="3B3888D0" w14:textId="77777777" w:rsidR="000B148D" w:rsidRPr="00054570" w:rsidRDefault="000B148D">
            <w:pPr>
              <w:pStyle w:val="Tablebody"/>
              <w:spacing w:before="0" w:after="0"/>
              <w:jc w:val="center"/>
              <w:rPr>
                <w:rFonts w:eastAsia="Times New Roman" w:cs="Arial"/>
              </w:rPr>
            </w:pPr>
            <w:r w:rsidRPr="00054570">
              <w:rPr>
                <w:rFonts w:eastAsia="Times New Roman" w:cs="Arial"/>
              </w:rPr>
              <w:t xml:space="preserve">(26.9, 41.0) </w:t>
            </w:r>
          </w:p>
        </w:tc>
      </w:tr>
      <w:tr w:rsidR="000B148D" w:rsidRPr="00054570" w14:paraId="757DB5F3" w14:textId="77777777">
        <w:tc>
          <w:tcPr>
            <w:tcW w:w="3539" w:type="dxa"/>
            <w:shd w:val="clear" w:color="auto" w:fill="F2F2F2" w:themeFill="background1" w:themeFillShade="F2"/>
          </w:tcPr>
          <w:p w14:paraId="371E7488" w14:textId="15700692" w:rsidR="000B148D" w:rsidRPr="00054570" w:rsidRDefault="000B148D">
            <w:pPr>
              <w:pStyle w:val="Tablebody"/>
              <w:keepNext/>
              <w:spacing w:before="0" w:after="0"/>
              <w:ind w:left="169"/>
              <w:rPr>
                <w:rFonts w:cs="Arial"/>
              </w:rPr>
            </w:pPr>
            <w:r w:rsidRPr="00054570">
              <w:rPr>
                <w:rFonts w:cs="Arial"/>
              </w:rPr>
              <w:t>p-value</w:t>
            </w:r>
            <w:r w:rsidR="00103D80">
              <w:rPr>
                <w:rFonts w:cs="Arial"/>
              </w:rPr>
              <w:t>*</w:t>
            </w:r>
          </w:p>
        </w:tc>
        <w:tc>
          <w:tcPr>
            <w:tcW w:w="2738" w:type="dxa"/>
            <w:gridSpan w:val="2"/>
          </w:tcPr>
          <w:p w14:paraId="2669470C" w14:textId="77777777" w:rsidR="000B148D" w:rsidRPr="00054570" w:rsidRDefault="000B148D">
            <w:pPr>
              <w:pStyle w:val="Tablebody"/>
              <w:spacing w:before="0" w:after="0"/>
              <w:jc w:val="center"/>
              <w:rPr>
                <w:rFonts w:cs="Arial"/>
                <w:u w:val="single"/>
              </w:rPr>
            </w:pPr>
            <w:r>
              <w:rPr>
                <w:rFonts w:eastAsia="Times New Roman" w:cs="Arial"/>
              </w:rPr>
              <w:t>&lt;0.0001</w:t>
            </w:r>
          </w:p>
        </w:tc>
        <w:tc>
          <w:tcPr>
            <w:tcW w:w="2739" w:type="dxa"/>
            <w:gridSpan w:val="2"/>
          </w:tcPr>
          <w:p w14:paraId="2FD76656" w14:textId="77777777" w:rsidR="000B148D" w:rsidRPr="00054570" w:rsidRDefault="000B148D">
            <w:pPr>
              <w:pStyle w:val="Tablebody"/>
              <w:spacing w:before="0" w:after="0"/>
              <w:jc w:val="center"/>
              <w:rPr>
                <w:rFonts w:eastAsia="Times New Roman" w:cs="Arial"/>
              </w:rPr>
            </w:pPr>
            <w:r w:rsidRPr="00054570">
              <w:rPr>
                <w:rFonts w:eastAsia="Times New Roman" w:cs="Arial"/>
              </w:rPr>
              <w:t>&lt;0.0001</w:t>
            </w:r>
          </w:p>
        </w:tc>
      </w:tr>
      <w:tr w:rsidR="000B148D" w:rsidRPr="00054570" w14:paraId="68A1DC31" w14:textId="77777777">
        <w:tc>
          <w:tcPr>
            <w:tcW w:w="9016" w:type="dxa"/>
            <w:gridSpan w:val="5"/>
            <w:shd w:val="clear" w:color="auto" w:fill="F2F2F2" w:themeFill="background1" w:themeFillShade="F2"/>
          </w:tcPr>
          <w:p w14:paraId="72BA1AC5" w14:textId="77777777" w:rsidR="000B148D" w:rsidRPr="00054570" w:rsidRDefault="000B148D">
            <w:pPr>
              <w:pStyle w:val="Tablebody"/>
              <w:spacing w:before="0" w:after="0"/>
              <w:rPr>
                <w:rFonts w:cs="Arial"/>
              </w:rPr>
            </w:pPr>
            <w:r w:rsidRPr="00054570">
              <w:rPr>
                <w:rFonts w:cs="Arial"/>
              </w:rPr>
              <w:t>Best overall response by BICR, n (%)</w:t>
            </w:r>
          </w:p>
        </w:tc>
      </w:tr>
      <w:tr w:rsidR="000B148D" w:rsidRPr="00054570" w14:paraId="0CDF548E" w14:textId="77777777">
        <w:tc>
          <w:tcPr>
            <w:tcW w:w="3539" w:type="dxa"/>
            <w:shd w:val="clear" w:color="auto" w:fill="F2F2F2" w:themeFill="background1" w:themeFillShade="F2"/>
          </w:tcPr>
          <w:p w14:paraId="248941E8" w14:textId="77777777" w:rsidR="000B148D" w:rsidRPr="00054570" w:rsidRDefault="000B148D">
            <w:pPr>
              <w:pStyle w:val="Tablebody"/>
              <w:spacing w:before="0" w:after="0"/>
              <w:ind w:left="166"/>
              <w:rPr>
                <w:rFonts w:cs="Arial"/>
              </w:rPr>
            </w:pPr>
            <w:r w:rsidRPr="00054570">
              <w:rPr>
                <w:rFonts w:cs="Arial"/>
              </w:rPr>
              <w:t>CR</w:t>
            </w:r>
          </w:p>
        </w:tc>
        <w:tc>
          <w:tcPr>
            <w:tcW w:w="1369" w:type="dxa"/>
          </w:tcPr>
          <w:p w14:paraId="40B22FA8" w14:textId="77777777" w:rsidR="000B148D" w:rsidRPr="00054570" w:rsidRDefault="000B148D">
            <w:pPr>
              <w:pStyle w:val="Tablebody"/>
              <w:spacing w:before="0" w:after="0"/>
              <w:jc w:val="center"/>
              <w:rPr>
                <w:rFonts w:cs="Arial"/>
              </w:rPr>
            </w:pPr>
            <w:r w:rsidRPr="00054570">
              <w:rPr>
                <w:rFonts w:eastAsia="Times New Roman" w:cs="Arial"/>
              </w:rPr>
              <w:t xml:space="preserve">12 (3.6) </w:t>
            </w:r>
          </w:p>
        </w:tc>
        <w:tc>
          <w:tcPr>
            <w:tcW w:w="1369" w:type="dxa"/>
          </w:tcPr>
          <w:p w14:paraId="0EDB19B9" w14:textId="77777777" w:rsidR="000B148D" w:rsidRPr="00054570" w:rsidRDefault="000B148D">
            <w:pPr>
              <w:pStyle w:val="Tablebody"/>
              <w:spacing w:before="0" w:after="0"/>
              <w:jc w:val="center"/>
              <w:rPr>
                <w:rFonts w:cs="Arial"/>
              </w:rPr>
            </w:pPr>
            <w:r w:rsidRPr="00054570">
              <w:rPr>
                <w:rFonts w:eastAsia="Times New Roman" w:cs="Arial"/>
              </w:rPr>
              <w:t xml:space="preserve">1 (0.6) </w:t>
            </w:r>
          </w:p>
        </w:tc>
        <w:tc>
          <w:tcPr>
            <w:tcW w:w="1369" w:type="dxa"/>
          </w:tcPr>
          <w:p w14:paraId="067691F2" w14:textId="77777777" w:rsidR="000B148D" w:rsidRPr="00054570" w:rsidRDefault="000B148D">
            <w:pPr>
              <w:pStyle w:val="Tablebody"/>
              <w:spacing w:before="0" w:after="0"/>
              <w:jc w:val="center"/>
              <w:rPr>
                <w:rFonts w:eastAsia="Times New Roman" w:cs="Arial"/>
              </w:rPr>
            </w:pPr>
            <w:r w:rsidRPr="00054570">
              <w:rPr>
                <w:rFonts w:eastAsia="Times New Roman" w:cs="Arial"/>
              </w:rPr>
              <w:t xml:space="preserve">13 (3.5) </w:t>
            </w:r>
          </w:p>
        </w:tc>
        <w:tc>
          <w:tcPr>
            <w:tcW w:w="1370" w:type="dxa"/>
          </w:tcPr>
          <w:p w14:paraId="0DC9AC30" w14:textId="77777777" w:rsidR="000B148D" w:rsidRPr="00054570" w:rsidRDefault="000B148D">
            <w:pPr>
              <w:pStyle w:val="Tablebody"/>
              <w:spacing w:before="0" w:after="0"/>
              <w:jc w:val="center"/>
              <w:rPr>
                <w:rFonts w:eastAsia="Times New Roman" w:cs="Arial"/>
              </w:rPr>
            </w:pPr>
            <w:r w:rsidRPr="00054570">
              <w:rPr>
                <w:rFonts w:eastAsia="Times New Roman" w:cs="Arial"/>
              </w:rPr>
              <w:t xml:space="preserve">2 (1.1) </w:t>
            </w:r>
          </w:p>
        </w:tc>
      </w:tr>
      <w:tr w:rsidR="000B148D" w:rsidRPr="00054570" w14:paraId="6993C59C" w14:textId="77777777">
        <w:tc>
          <w:tcPr>
            <w:tcW w:w="3539" w:type="dxa"/>
            <w:shd w:val="clear" w:color="auto" w:fill="F2F2F2" w:themeFill="background1" w:themeFillShade="F2"/>
          </w:tcPr>
          <w:p w14:paraId="6EBB7804" w14:textId="77777777" w:rsidR="000B148D" w:rsidRPr="00054570" w:rsidRDefault="000B148D">
            <w:pPr>
              <w:pStyle w:val="Tablebody"/>
              <w:spacing w:before="0" w:after="0"/>
              <w:ind w:left="166"/>
              <w:rPr>
                <w:rFonts w:cs="Arial"/>
              </w:rPr>
            </w:pPr>
            <w:r w:rsidRPr="00054570">
              <w:rPr>
                <w:rFonts w:cs="Arial"/>
              </w:rPr>
              <w:t>PR</w:t>
            </w:r>
          </w:p>
        </w:tc>
        <w:tc>
          <w:tcPr>
            <w:tcW w:w="1369" w:type="dxa"/>
          </w:tcPr>
          <w:p w14:paraId="28F826A5" w14:textId="77777777" w:rsidR="000B148D" w:rsidRPr="00054570" w:rsidRDefault="000B148D">
            <w:pPr>
              <w:pStyle w:val="Tablebody"/>
              <w:spacing w:before="0" w:after="0"/>
              <w:jc w:val="center"/>
              <w:rPr>
                <w:rFonts w:cs="Arial"/>
              </w:rPr>
            </w:pPr>
            <w:r w:rsidRPr="00054570">
              <w:rPr>
                <w:rFonts w:eastAsia="Times New Roman" w:cs="Arial"/>
              </w:rPr>
              <w:t xml:space="preserve">164 (49.5) </w:t>
            </w:r>
          </w:p>
        </w:tc>
        <w:tc>
          <w:tcPr>
            <w:tcW w:w="1369" w:type="dxa"/>
          </w:tcPr>
          <w:p w14:paraId="52EF3EB7" w14:textId="77777777" w:rsidR="000B148D" w:rsidRPr="00054570" w:rsidRDefault="000B148D">
            <w:pPr>
              <w:pStyle w:val="Tablebody"/>
              <w:spacing w:before="0" w:after="0"/>
              <w:jc w:val="center"/>
              <w:rPr>
                <w:rFonts w:cs="Arial"/>
              </w:rPr>
            </w:pPr>
            <w:r w:rsidRPr="00054570">
              <w:rPr>
                <w:rFonts w:eastAsia="Times New Roman" w:cs="Arial"/>
              </w:rPr>
              <w:t xml:space="preserve">26 (16.0) </w:t>
            </w:r>
          </w:p>
        </w:tc>
        <w:tc>
          <w:tcPr>
            <w:tcW w:w="1369" w:type="dxa"/>
          </w:tcPr>
          <w:p w14:paraId="3F45C3DA" w14:textId="77777777" w:rsidR="000B148D" w:rsidRPr="00054570" w:rsidRDefault="000B148D">
            <w:pPr>
              <w:pStyle w:val="Tablebody"/>
              <w:spacing w:before="0" w:after="0"/>
              <w:jc w:val="center"/>
              <w:rPr>
                <w:rFonts w:eastAsia="Times New Roman" w:cs="Arial"/>
              </w:rPr>
            </w:pPr>
            <w:r w:rsidRPr="00054570">
              <w:rPr>
                <w:rFonts w:eastAsia="Times New Roman" w:cs="Arial"/>
              </w:rPr>
              <w:t xml:space="preserve">183 (49.1) </w:t>
            </w:r>
          </w:p>
        </w:tc>
        <w:tc>
          <w:tcPr>
            <w:tcW w:w="1370" w:type="dxa"/>
          </w:tcPr>
          <w:p w14:paraId="72776612" w14:textId="77777777" w:rsidR="000B148D" w:rsidRPr="00054570" w:rsidRDefault="000B148D">
            <w:pPr>
              <w:pStyle w:val="Tablebody"/>
              <w:spacing w:before="0" w:after="0"/>
              <w:jc w:val="center"/>
              <w:rPr>
                <w:rFonts w:eastAsia="Times New Roman" w:cs="Arial"/>
              </w:rPr>
            </w:pPr>
            <w:r w:rsidRPr="00054570">
              <w:rPr>
                <w:rFonts w:eastAsia="Times New Roman" w:cs="Arial"/>
              </w:rPr>
              <w:t xml:space="preserve">28 (15.2) </w:t>
            </w:r>
          </w:p>
        </w:tc>
      </w:tr>
      <w:tr w:rsidR="000B148D" w:rsidRPr="00054570" w14:paraId="52D604D7" w14:textId="77777777">
        <w:tc>
          <w:tcPr>
            <w:tcW w:w="3539" w:type="dxa"/>
            <w:shd w:val="clear" w:color="auto" w:fill="F2F2F2" w:themeFill="background1" w:themeFillShade="F2"/>
          </w:tcPr>
          <w:p w14:paraId="6510E24A" w14:textId="77777777" w:rsidR="000B148D" w:rsidRPr="00054570" w:rsidRDefault="000B148D">
            <w:pPr>
              <w:pStyle w:val="Tablebody"/>
              <w:spacing w:before="0" w:after="0"/>
              <w:ind w:left="166"/>
              <w:rPr>
                <w:rFonts w:cs="Arial"/>
              </w:rPr>
            </w:pPr>
            <w:r w:rsidRPr="00054570">
              <w:rPr>
                <w:rFonts w:cs="Arial"/>
              </w:rPr>
              <w:t>SD</w:t>
            </w:r>
          </w:p>
        </w:tc>
        <w:tc>
          <w:tcPr>
            <w:tcW w:w="1369" w:type="dxa"/>
          </w:tcPr>
          <w:p w14:paraId="53C60AF2" w14:textId="77777777" w:rsidR="000B148D" w:rsidRPr="00054570" w:rsidRDefault="000B148D">
            <w:pPr>
              <w:pStyle w:val="Tablebody"/>
              <w:spacing w:before="0" w:after="0"/>
              <w:jc w:val="center"/>
              <w:rPr>
                <w:rFonts w:cs="Arial"/>
              </w:rPr>
            </w:pPr>
            <w:r w:rsidRPr="00054570">
              <w:rPr>
                <w:rFonts w:eastAsia="Times New Roman" w:cs="Arial"/>
              </w:rPr>
              <w:t xml:space="preserve">115 (34.7) </w:t>
            </w:r>
          </w:p>
        </w:tc>
        <w:tc>
          <w:tcPr>
            <w:tcW w:w="1369" w:type="dxa"/>
          </w:tcPr>
          <w:p w14:paraId="6F9ECC7D" w14:textId="77777777" w:rsidR="000B148D" w:rsidRPr="00054570" w:rsidRDefault="000B148D">
            <w:pPr>
              <w:pStyle w:val="Tablebody"/>
              <w:spacing w:before="0" w:after="0"/>
              <w:jc w:val="center"/>
              <w:rPr>
                <w:rFonts w:cs="Arial"/>
              </w:rPr>
            </w:pPr>
            <w:r w:rsidRPr="00054570">
              <w:rPr>
                <w:rFonts w:eastAsia="Times New Roman" w:cs="Arial"/>
              </w:rPr>
              <w:t xml:space="preserve">81 (49.7) </w:t>
            </w:r>
          </w:p>
        </w:tc>
        <w:tc>
          <w:tcPr>
            <w:tcW w:w="1369" w:type="dxa"/>
          </w:tcPr>
          <w:p w14:paraId="3A17CACD" w14:textId="77777777" w:rsidR="000B148D" w:rsidRPr="00054570" w:rsidRDefault="000B148D">
            <w:pPr>
              <w:pStyle w:val="Tablebody"/>
              <w:spacing w:before="0" w:after="0"/>
              <w:jc w:val="center"/>
              <w:rPr>
                <w:rFonts w:eastAsia="Times New Roman" w:cs="Arial"/>
              </w:rPr>
            </w:pPr>
            <w:r w:rsidRPr="00054570">
              <w:rPr>
                <w:rFonts w:eastAsia="Times New Roman" w:cs="Arial"/>
              </w:rPr>
              <w:t xml:space="preserve">129 (34.6) </w:t>
            </w:r>
          </w:p>
        </w:tc>
        <w:tc>
          <w:tcPr>
            <w:tcW w:w="1370" w:type="dxa"/>
          </w:tcPr>
          <w:p w14:paraId="3DCBE9D2" w14:textId="77777777" w:rsidR="000B148D" w:rsidRPr="00054570" w:rsidRDefault="000B148D">
            <w:pPr>
              <w:pStyle w:val="Tablebody"/>
              <w:spacing w:before="0" w:after="0"/>
              <w:jc w:val="center"/>
              <w:rPr>
                <w:rFonts w:eastAsia="Times New Roman" w:cs="Arial"/>
              </w:rPr>
            </w:pPr>
            <w:r w:rsidRPr="00054570">
              <w:rPr>
                <w:rFonts w:eastAsia="Times New Roman" w:cs="Arial"/>
              </w:rPr>
              <w:t xml:space="preserve">91 (49.5) </w:t>
            </w:r>
          </w:p>
        </w:tc>
      </w:tr>
      <w:tr w:rsidR="000B148D" w:rsidRPr="00054570" w14:paraId="477D56BC" w14:textId="77777777">
        <w:tc>
          <w:tcPr>
            <w:tcW w:w="3539" w:type="dxa"/>
            <w:shd w:val="clear" w:color="auto" w:fill="F2F2F2" w:themeFill="background1" w:themeFillShade="F2"/>
          </w:tcPr>
          <w:p w14:paraId="778486FE" w14:textId="77777777" w:rsidR="000B148D" w:rsidRPr="00054570" w:rsidRDefault="000B148D">
            <w:pPr>
              <w:pStyle w:val="Tablebody"/>
              <w:spacing w:before="0" w:after="0"/>
              <w:ind w:left="166"/>
              <w:rPr>
                <w:rFonts w:cs="Arial"/>
              </w:rPr>
            </w:pPr>
            <w:r w:rsidRPr="00054570">
              <w:rPr>
                <w:rFonts w:cs="Arial"/>
              </w:rPr>
              <w:t>PD</w:t>
            </w:r>
          </w:p>
        </w:tc>
        <w:tc>
          <w:tcPr>
            <w:tcW w:w="1369" w:type="dxa"/>
          </w:tcPr>
          <w:p w14:paraId="323BA4C7" w14:textId="77777777" w:rsidR="000B148D" w:rsidRPr="00054570" w:rsidRDefault="000B148D">
            <w:pPr>
              <w:pStyle w:val="Tablebody"/>
              <w:spacing w:before="0" w:after="0"/>
              <w:jc w:val="center"/>
              <w:rPr>
                <w:rFonts w:cs="Arial"/>
              </w:rPr>
            </w:pPr>
            <w:r w:rsidRPr="00054570">
              <w:rPr>
                <w:rFonts w:eastAsia="Times New Roman" w:cs="Arial"/>
              </w:rPr>
              <w:t xml:space="preserve">26 (7.9) </w:t>
            </w:r>
          </w:p>
        </w:tc>
        <w:tc>
          <w:tcPr>
            <w:tcW w:w="1369" w:type="dxa"/>
          </w:tcPr>
          <w:p w14:paraId="352D2C5A" w14:textId="77777777" w:rsidR="000B148D" w:rsidRPr="00054570" w:rsidRDefault="000B148D">
            <w:pPr>
              <w:pStyle w:val="Tablebody"/>
              <w:spacing w:before="0" w:after="0"/>
              <w:jc w:val="center"/>
              <w:rPr>
                <w:rFonts w:cs="Arial"/>
              </w:rPr>
            </w:pPr>
            <w:r w:rsidRPr="00054570">
              <w:rPr>
                <w:rFonts w:eastAsia="Times New Roman" w:cs="Arial"/>
              </w:rPr>
              <w:t xml:space="preserve">34 (20.9) </w:t>
            </w:r>
          </w:p>
        </w:tc>
        <w:tc>
          <w:tcPr>
            <w:tcW w:w="1369" w:type="dxa"/>
          </w:tcPr>
          <w:p w14:paraId="210B4C2B" w14:textId="77777777" w:rsidR="000B148D" w:rsidRPr="00054570" w:rsidRDefault="000B148D">
            <w:pPr>
              <w:pStyle w:val="Tablebody"/>
              <w:spacing w:before="0" w:after="0"/>
              <w:jc w:val="center"/>
              <w:rPr>
                <w:rFonts w:eastAsia="Times New Roman" w:cs="Arial"/>
              </w:rPr>
            </w:pPr>
            <w:r w:rsidRPr="00054570">
              <w:rPr>
                <w:rFonts w:eastAsia="Times New Roman" w:cs="Arial"/>
              </w:rPr>
              <w:t xml:space="preserve">31 (8.3) </w:t>
            </w:r>
          </w:p>
        </w:tc>
        <w:tc>
          <w:tcPr>
            <w:tcW w:w="1370" w:type="dxa"/>
          </w:tcPr>
          <w:p w14:paraId="4975CE6F" w14:textId="77777777" w:rsidR="000B148D" w:rsidRPr="00054570" w:rsidRDefault="000B148D">
            <w:pPr>
              <w:pStyle w:val="Tablebody"/>
              <w:spacing w:before="0" w:after="0"/>
              <w:jc w:val="center"/>
              <w:rPr>
                <w:rFonts w:eastAsia="Times New Roman" w:cs="Arial"/>
              </w:rPr>
            </w:pPr>
            <w:r w:rsidRPr="00054570">
              <w:rPr>
                <w:rFonts w:eastAsia="Times New Roman" w:cs="Arial"/>
              </w:rPr>
              <w:t xml:space="preserve">41 (22.3) </w:t>
            </w:r>
          </w:p>
        </w:tc>
      </w:tr>
      <w:tr w:rsidR="000B148D" w:rsidRPr="00054570" w14:paraId="7595F7C4" w14:textId="77777777">
        <w:tc>
          <w:tcPr>
            <w:tcW w:w="3539" w:type="dxa"/>
            <w:shd w:val="clear" w:color="auto" w:fill="F2F2F2" w:themeFill="background1" w:themeFillShade="F2"/>
          </w:tcPr>
          <w:p w14:paraId="2E753F0B" w14:textId="77777777" w:rsidR="000B148D" w:rsidRPr="00054570" w:rsidRDefault="000B148D">
            <w:pPr>
              <w:pStyle w:val="Tablebody"/>
              <w:spacing w:before="0" w:after="0"/>
              <w:ind w:left="166"/>
              <w:rPr>
                <w:rFonts w:cs="Arial"/>
              </w:rPr>
            </w:pPr>
            <w:r w:rsidRPr="00054570">
              <w:rPr>
                <w:rFonts w:cs="Arial"/>
              </w:rPr>
              <w:t>Not evaluable</w:t>
            </w:r>
          </w:p>
        </w:tc>
        <w:tc>
          <w:tcPr>
            <w:tcW w:w="1369" w:type="dxa"/>
          </w:tcPr>
          <w:p w14:paraId="63004D2E" w14:textId="77777777" w:rsidR="000B148D" w:rsidRPr="00054570" w:rsidRDefault="000B148D">
            <w:pPr>
              <w:pStyle w:val="Tablebody"/>
              <w:spacing w:before="0" w:after="0"/>
              <w:jc w:val="center"/>
              <w:rPr>
                <w:rFonts w:cs="Arial"/>
              </w:rPr>
            </w:pPr>
            <w:r w:rsidRPr="00054570">
              <w:rPr>
                <w:rFonts w:eastAsia="Times New Roman" w:cs="Arial"/>
              </w:rPr>
              <w:t xml:space="preserve">14 (4.2) </w:t>
            </w:r>
          </w:p>
        </w:tc>
        <w:tc>
          <w:tcPr>
            <w:tcW w:w="1369" w:type="dxa"/>
          </w:tcPr>
          <w:p w14:paraId="1D9DC2CB" w14:textId="77777777" w:rsidR="000B148D" w:rsidRPr="00054570" w:rsidRDefault="000B148D">
            <w:pPr>
              <w:pStyle w:val="Tablebody"/>
              <w:spacing w:before="0" w:after="0"/>
              <w:jc w:val="center"/>
              <w:rPr>
                <w:rFonts w:cs="Arial"/>
              </w:rPr>
            </w:pPr>
            <w:r w:rsidRPr="00054570">
              <w:rPr>
                <w:rFonts w:eastAsia="Times New Roman" w:cs="Arial"/>
              </w:rPr>
              <w:t xml:space="preserve">21 (12.9) </w:t>
            </w:r>
          </w:p>
        </w:tc>
        <w:tc>
          <w:tcPr>
            <w:tcW w:w="1369" w:type="dxa"/>
          </w:tcPr>
          <w:p w14:paraId="48469A7F" w14:textId="77777777" w:rsidR="000B148D" w:rsidRPr="00054570" w:rsidRDefault="000B148D">
            <w:pPr>
              <w:pStyle w:val="Tablebody"/>
              <w:spacing w:before="0" w:after="0"/>
              <w:jc w:val="center"/>
              <w:rPr>
                <w:rFonts w:eastAsia="Times New Roman" w:cs="Arial"/>
              </w:rPr>
            </w:pPr>
            <w:r w:rsidRPr="00054570">
              <w:rPr>
                <w:rFonts w:eastAsia="Times New Roman" w:cs="Arial"/>
              </w:rPr>
              <w:t xml:space="preserve">17 (4.6) </w:t>
            </w:r>
          </w:p>
        </w:tc>
        <w:tc>
          <w:tcPr>
            <w:tcW w:w="1370" w:type="dxa"/>
          </w:tcPr>
          <w:p w14:paraId="57A1CF2E" w14:textId="77777777" w:rsidR="000B148D" w:rsidRPr="00054570" w:rsidRDefault="000B148D">
            <w:pPr>
              <w:pStyle w:val="Tablebody"/>
              <w:spacing w:before="0" w:after="0"/>
              <w:jc w:val="center"/>
              <w:rPr>
                <w:rFonts w:eastAsia="Times New Roman" w:cs="Arial"/>
              </w:rPr>
            </w:pPr>
            <w:r w:rsidRPr="00054570">
              <w:rPr>
                <w:rFonts w:eastAsia="Times New Roman" w:cs="Arial"/>
              </w:rPr>
              <w:t xml:space="preserve">22 (12.0) </w:t>
            </w:r>
          </w:p>
        </w:tc>
      </w:tr>
      <w:tr w:rsidR="000B148D" w:rsidRPr="00054570" w14:paraId="15EBA295" w14:textId="77777777">
        <w:tc>
          <w:tcPr>
            <w:tcW w:w="9016" w:type="dxa"/>
            <w:gridSpan w:val="5"/>
            <w:shd w:val="clear" w:color="auto" w:fill="F2F2F2" w:themeFill="background1" w:themeFillShade="F2"/>
          </w:tcPr>
          <w:p w14:paraId="154F152A" w14:textId="77777777" w:rsidR="000B148D" w:rsidRPr="00054570" w:rsidRDefault="000B148D">
            <w:pPr>
              <w:pStyle w:val="Tablebody"/>
              <w:spacing w:before="0" w:after="0"/>
              <w:rPr>
                <w:rFonts w:cs="Arial"/>
              </w:rPr>
            </w:pPr>
            <w:r w:rsidRPr="00054570">
              <w:rPr>
                <w:rFonts w:cs="Arial"/>
              </w:rPr>
              <w:t>Best overall response by IA, n (%)</w:t>
            </w:r>
          </w:p>
        </w:tc>
      </w:tr>
      <w:tr w:rsidR="000B148D" w:rsidRPr="00054570" w14:paraId="535EE779" w14:textId="77777777">
        <w:tc>
          <w:tcPr>
            <w:tcW w:w="3539" w:type="dxa"/>
            <w:shd w:val="clear" w:color="auto" w:fill="F2F2F2" w:themeFill="background1" w:themeFillShade="F2"/>
          </w:tcPr>
          <w:p w14:paraId="0BC8FC0F" w14:textId="77777777" w:rsidR="000B148D" w:rsidRPr="00054570" w:rsidRDefault="000B148D">
            <w:pPr>
              <w:pStyle w:val="Tablebody"/>
              <w:spacing w:before="0" w:after="0"/>
              <w:ind w:left="166"/>
              <w:rPr>
                <w:rFonts w:cs="Arial"/>
              </w:rPr>
            </w:pPr>
            <w:r w:rsidRPr="00054570">
              <w:rPr>
                <w:rFonts w:cs="Arial"/>
              </w:rPr>
              <w:t>CR</w:t>
            </w:r>
          </w:p>
        </w:tc>
        <w:tc>
          <w:tcPr>
            <w:tcW w:w="1369" w:type="dxa"/>
          </w:tcPr>
          <w:p w14:paraId="387A7B54" w14:textId="3A113DEB"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xxxxxxxx</w:t>
            </w:r>
          </w:p>
        </w:tc>
        <w:tc>
          <w:tcPr>
            <w:tcW w:w="1369" w:type="dxa"/>
          </w:tcPr>
          <w:p w14:paraId="4DDA21FA" w14:textId="72DC78B3"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w:t>
            </w:r>
          </w:p>
        </w:tc>
        <w:tc>
          <w:tcPr>
            <w:tcW w:w="1369" w:type="dxa"/>
          </w:tcPr>
          <w:p w14:paraId="44565334" w14:textId="5CA5D2C9"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w:t>
            </w:r>
          </w:p>
        </w:tc>
        <w:tc>
          <w:tcPr>
            <w:tcW w:w="1370" w:type="dxa"/>
          </w:tcPr>
          <w:p w14:paraId="3EC2D47F" w14:textId="32B62504"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w:t>
            </w:r>
          </w:p>
        </w:tc>
      </w:tr>
      <w:tr w:rsidR="000B148D" w:rsidRPr="00054570" w14:paraId="2D065AD8" w14:textId="77777777">
        <w:tc>
          <w:tcPr>
            <w:tcW w:w="3539" w:type="dxa"/>
            <w:shd w:val="clear" w:color="auto" w:fill="F2F2F2" w:themeFill="background1" w:themeFillShade="F2"/>
          </w:tcPr>
          <w:p w14:paraId="7AE2F6E7" w14:textId="77777777" w:rsidR="000B148D" w:rsidRPr="00054570" w:rsidRDefault="000B148D">
            <w:pPr>
              <w:pStyle w:val="Tablebody"/>
              <w:spacing w:before="0" w:after="0"/>
              <w:ind w:left="166"/>
              <w:rPr>
                <w:rFonts w:cs="Arial"/>
              </w:rPr>
            </w:pPr>
            <w:r w:rsidRPr="00054570">
              <w:rPr>
                <w:rFonts w:cs="Arial"/>
              </w:rPr>
              <w:t>PR</w:t>
            </w:r>
          </w:p>
        </w:tc>
        <w:tc>
          <w:tcPr>
            <w:tcW w:w="1369" w:type="dxa"/>
          </w:tcPr>
          <w:p w14:paraId="7026F5F9" w14:textId="545AF7AA"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xxxxxxxxxxx</w:t>
            </w:r>
          </w:p>
        </w:tc>
        <w:tc>
          <w:tcPr>
            <w:tcW w:w="1369" w:type="dxa"/>
          </w:tcPr>
          <w:p w14:paraId="21B74D9E" w14:textId="58DA8AB4"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xxxxxxxxxx</w:t>
            </w:r>
          </w:p>
        </w:tc>
        <w:tc>
          <w:tcPr>
            <w:tcW w:w="1369" w:type="dxa"/>
          </w:tcPr>
          <w:p w14:paraId="10295921" w14:textId="770F1F4C"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xxxxxxxxxxx</w:t>
            </w:r>
          </w:p>
        </w:tc>
        <w:tc>
          <w:tcPr>
            <w:tcW w:w="1370" w:type="dxa"/>
          </w:tcPr>
          <w:p w14:paraId="1D4CF958" w14:textId="5437D0DE"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w:t>
            </w:r>
          </w:p>
        </w:tc>
      </w:tr>
      <w:tr w:rsidR="000B148D" w:rsidRPr="00054570" w14:paraId="67205052" w14:textId="77777777">
        <w:tc>
          <w:tcPr>
            <w:tcW w:w="3539" w:type="dxa"/>
            <w:shd w:val="clear" w:color="auto" w:fill="F2F2F2" w:themeFill="background1" w:themeFillShade="F2"/>
          </w:tcPr>
          <w:p w14:paraId="67D7DAF2" w14:textId="77777777" w:rsidR="000B148D" w:rsidRPr="00054570" w:rsidRDefault="000B148D">
            <w:pPr>
              <w:pStyle w:val="Tablebody"/>
              <w:spacing w:before="0" w:after="0"/>
              <w:ind w:left="166"/>
              <w:rPr>
                <w:rFonts w:cs="Arial"/>
              </w:rPr>
            </w:pPr>
            <w:r w:rsidRPr="00054570">
              <w:rPr>
                <w:rFonts w:cs="Arial"/>
              </w:rPr>
              <w:t>SD</w:t>
            </w:r>
          </w:p>
        </w:tc>
        <w:tc>
          <w:tcPr>
            <w:tcW w:w="1369" w:type="dxa"/>
          </w:tcPr>
          <w:p w14:paraId="5EF764E2" w14:textId="5923D2A8"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xxxxxxxxxxx</w:t>
            </w:r>
          </w:p>
        </w:tc>
        <w:tc>
          <w:tcPr>
            <w:tcW w:w="1369" w:type="dxa"/>
          </w:tcPr>
          <w:p w14:paraId="53E60C50" w14:textId="3C0BF5AA"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xxxxxxxxxx</w:t>
            </w:r>
          </w:p>
        </w:tc>
        <w:tc>
          <w:tcPr>
            <w:tcW w:w="1369" w:type="dxa"/>
          </w:tcPr>
          <w:p w14:paraId="3B734D94" w14:textId="6BE2CC0C"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xxxxxxxxxxx</w:t>
            </w:r>
          </w:p>
        </w:tc>
        <w:tc>
          <w:tcPr>
            <w:tcW w:w="1370" w:type="dxa"/>
          </w:tcPr>
          <w:p w14:paraId="5173EB8D" w14:textId="77681CDF"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w:t>
            </w:r>
          </w:p>
        </w:tc>
      </w:tr>
      <w:tr w:rsidR="000B148D" w:rsidRPr="00054570" w14:paraId="10F21F9A" w14:textId="77777777">
        <w:tc>
          <w:tcPr>
            <w:tcW w:w="3539" w:type="dxa"/>
            <w:shd w:val="clear" w:color="auto" w:fill="F2F2F2" w:themeFill="background1" w:themeFillShade="F2"/>
          </w:tcPr>
          <w:p w14:paraId="5DB63A4C" w14:textId="77777777" w:rsidR="000B148D" w:rsidRPr="00054570" w:rsidRDefault="000B148D">
            <w:pPr>
              <w:pStyle w:val="Tablebody"/>
              <w:spacing w:before="0" w:after="0"/>
              <w:ind w:left="166"/>
              <w:rPr>
                <w:rFonts w:cs="Arial"/>
              </w:rPr>
            </w:pPr>
            <w:r w:rsidRPr="00054570">
              <w:rPr>
                <w:rFonts w:cs="Arial"/>
              </w:rPr>
              <w:t>PD</w:t>
            </w:r>
          </w:p>
        </w:tc>
        <w:tc>
          <w:tcPr>
            <w:tcW w:w="1369" w:type="dxa"/>
          </w:tcPr>
          <w:p w14:paraId="32E74DA7" w14:textId="609426D9"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xxxxxxxxx</w:t>
            </w:r>
          </w:p>
        </w:tc>
        <w:tc>
          <w:tcPr>
            <w:tcW w:w="1369" w:type="dxa"/>
          </w:tcPr>
          <w:p w14:paraId="6E9AC38D" w14:textId="44AAD785"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xxxxxxxxxx</w:t>
            </w:r>
          </w:p>
        </w:tc>
        <w:tc>
          <w:tcPr>
            <w:tcW w:w="1369" w:type="dxa"/>
          </w:tcPr>
          <w:p w14:paraId="424CE7CB" w14:textId="464755B0"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w:t>
            </w:r>
          </w:p>
        </w:tc>
        <w:tc>
          <w:tcPr>
            <w:tcW w:w="1370" w:type="dxa"/>
          </w:tcPr>
          <w:p w14:paraId="1B651C0F" w14:textId="0DBFD4AD"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w:t>
            </w:r>
          </w:p>
        </w:tc>
      </w:tr>
      <w:tr w:rsidR="000B148D" w:rsidRPr="00054570" w14:paraId="3BBAC8AC" w14:textId="77777777">
        <w:tc>
          <w:tcPr>
            <w:tcW w:w="3539" w:type="dxa"/>
            <w:shd w:val="clear" w:color="auto" w:fill="F2F2F2" w:themeFill="background1" w:themeFillShade="F2"/>
          </w:tcPr>
          <w:p w14:paraId="33B31A9B" w14:textId="77777777" w:rsidR="000B148D" w:rsidRPr="00054570" w:rsidRDefault="000B148D">
            <w:pPr>
              <w:pStyle w:val="Tablebody"/>
              <w:keepNext/>
              <w:spacing w:before="0" w:after="0"/>
              <w:ind w:left="164"/>
              <w:rPr>
                <w:rFonts w:cs="Arial"/>
              </w:rPr>
            </w:pPr>
            <w:r w:rsidRPr="00054570">
              <w:rPr>
                <w:rFonts w:cs="Arial"/>
              </w:rPr>
              <w:t>Not evaluable</w:t>
            </w:r>
          </w:p>
        </w:tc>
        <w:tc>
          <w:tcPr>
            <w:tcW w:w="1369" w:type="dxa"/>
          </w:tcPr>
          <w:p w14:paraId="791086F8" w14:textId="4A845B84"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xxxxxxxxx</w:t>
            </w:r>
          </w:p>
        </w:tc>
        <w:tc>
          <w:tcPr>
            <w:tcW w:w="1369" w:type="dxa"/>
          </w:tcPr>
          <w:p w14:paraId="0A16D00F" w14:textId="6A62804C"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xxxxxxxxxx</w:t>
            </w:r>
          </w:p>
        </w:tc>
        <w:tc>
          <w:tcPr>
            <w:tcW w:w="1369" w:type="dxa"/>
          </w:tcPr>
          <w:p w14:paraId="28387B95" w14:textId="4FAD89F6"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w:t>
            </w:r>
          </w:p>
        </w:tc>
        <w:tc>
          <w:tcPr>
            <w:tcW w:w="1370" w:type="dxa"/>
          </w:tcPr>
          <w:p w14:paraId="19E9DC72" w14:textId="41E78C99"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xxxxxxxxxx</w:t>
            </w:r>
          </w:p>
        </w:tc>
      </w:tr>
    </w:tbl>
    <w:p w14:paraId="07B13E5D" w14:textId="4BD7982D" w:rsidR="000B148D" w:rsidRPr="003C648C" w:rsidRDefault="008F6994" w:rsidP="000B148D">
      <w:pPr>
        <w:pStyle w:val="Footnotes"/>
        <w:spacing w:after="120"/>
      </w:pPr>
      <w:r>
        <w:rPr>
          <w:rFonts w:cs="Yu Gothic Light"/>
        </w:rPr>
        <w:t>*</w:t>
      </w:r>
      <w:r w:rsidR="008C4812">
        <w:rPr>
          <w:rFonts w:cs="Yu Gothic Light"/>
        </w:rPr>
        <w:t>Two-sided p-value based on the Cochran-Mantel-Haenszel test adjusted for stratification factors.</w:t>
      </w:r>
      <w:r>
        <w:rPr>
          <w:rFonts w:cs="Yu Gothic Light"/>
        </w:rPr>
        <w:br/>
      </w:r>
      <w:r w:rsidR="003374A3">
        <w:rPr>
          <w:rFonts w:cs="Yu Gothic Light"/>
        </w:rPr>
        <w:t>*</w:t>
      </w:r>
      <w:r w:rsidR="000B148D" w:rsidRPr="00054570">
        <w:rPr>
          <w:rFonts w:cs="Yu Gothic Light"/>
        </w:rPr>
        <w:t>*CR + PR + SD.</w:t>
      </w:r>
      <w:r w:rsidR="000B148D">
        <w:rPr>
          <w:rFonts w:cs="Yu Gothic Light"/>
        </w:rPr>
        <w:t xml:space="preserve"> </w:t>
      </w:r>
      <w:r>
        <w:rPr>
          <w:rFonts w:cs="Yu Gothic Light"/>
        </w:rPr>
        <w:br/>
      </w:r>
      <w:r w:rsidR="000B148D" w:rsidRPr="00B85CFE">
        <w:rPr>
          <w:rFonts w:cs="Arial"/>
          <w:vertAlign w:val="superscript"/>
        </w:rPr>
        <w:t>†</w:t>
      </w:r>
      <w:r w:rsidR="000B148D" w:rsidRPr="00054570">
        <w:rPr>
          <w:rFonts w:cs="Yu Gothic Light"/>
        </w:rPr>
        <w:t>CR + PR + SD ≥6 months.</w:t>
      </w:r>
      <w:r w:rsidR="000B148D">
        <w:rPr>
          <w:rFonts w:cs="Yu Gothic Light"/>
        </w:rPr>
        <w:t xml:space="preserve"> </w:t>
      </w:r>
      <w:r w:rsidR="00A323EE">
        <w:rPr>
          <w:rFonts w:cs="Yu Gothic Light"/>
        </w:rPr>
        <w:br/>
      </w:r>
      <w:r w:rsidR="000B148D" w:rsidRPr="00054570">
        <w:rPr>
          <w:vertAlign w:val="superscript"/>
        </w:rPr>
        <w:t xml:space="preserve">a </w:t>
      </w:r>
      <w:r w:rsidR="000B148D" w:rsidRPr="00054570">
        <w:t>One subject in the T-DXd arm who had a confirmed best overall response of complete or partial response had a baseline scan done after randomisation but before the first dose and thus was considered a non-responder in the calculation of confirmed ORR.</w:t>
      </w:r>
      <w:r w:rsidR="000B148D" w:rsidRPr="00054570">
        <w:br/>
        <w:t xml:space="preserve">Abbreviations: CI, confidence interval; CR, complete response; FAS, full analysis set; </w:t>
      </w:r>
      <w:r w:rsidR="006C4279">
        <w:t>HR-positive, hormone receptor-positive;</w:t>
      </w:r>
      <w:r w:rsidR="000B148D" w:rsidRPr="00054570">
        <w:t xml:space="preserve"> IA, investigator assessment; ORR, objective response rate; PD, progressive disease; PR, partial response; SD, stable disease; T-DXd, trastuzumab deruxtecan; TPC, treatment of physician’s choice.</w:t>
      </w:r>
      <w:r w:rsidR="000B148D" w:rsidRPr="00054570">
        <w:br/>
        <w:t>Source: Modi et al., 2022</w:t>
      </w:r>
      <w:r w:rsidR="000B148D">
        <w:t>;</w:t>
      </w:r>
      <w:r w:rsidR="000B148D">
        <w:fldChar w:fldCharType="begin"/>
      </w:r>
      <w:r w:rsidR="00CA6345">
        <w:instrText xml:space="preserve"> ADDIN ZOTERO_ITEM CSL_CITATION {"citationID":"FMIogvNo","properties":{"formattedCitation":"\\super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000B148D">
        <w:fldChar w:fldCharType="separate"/>
      </w:r>
      <w:r w:rsidR="00FD57F4" w:rsidRPr="00FD57F4">
        <w:rPr>
          <w:rFonts w:cs="Arial"/>
          <w:szCs w:val="24"/>
          <w:vertAlign w:val="superscript"/>
        </w:rPr>
        <w:t>6</w:t>
      </w:r>
      <w:r w:rsidR="000B148D">
        <w:fldChar w:fldCharType="end"/>
      </w:r>
      <w:r w:rsidR="000B148D" w:rsidRPr="00054570">
        <w:t xml:space="preserve"> Daiichi Sankyo Inc. (CSR, Data on file)</w:t>
      </w:r>
      <w:r w:rsidR="000B148D" w:rsidRPr="00054570">
        <w:rPr>
          <w:lang w:val="fr-FR"/>
        </w:rPr>
        <w:fldChar w:fldCharType="begin"/>
      </w:r>
      <w:r w:rsidR="00CA6345">
        <w:instrText xml:space="preserve"> ADDIN ZOTERO_ITEM CSL_CITATION {"citationID":"EfBYKIaY","properties":{"formattedCitation":"\\super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000B148D" w:rsidRPr="00054570">
        <w:rPr>
          <w:lang w:val="fr-FR"/>
        </w:rPr>
        <w:fldChar w:fldCharType="separate"/>
      </w:r>
      <w:r w:rsidR="00FD57F4" w:rsidRPr="00FD57F4">
        <w:rPr>
          <w:rFonts w:cs="Arial"/>
          <w:szCs w:val="24"/>
          <w:vertAlign w:val="superscript"/>
        </w:rPr>
        <w:t>7</w:t>
      </w:r>
      <w:r w:rsidR="000B148D" w:rsidRPr="00054570">
        <w:rPr>
          <w:lang w:val="fr-FR"/>
        </w:rPr>
        <w:fldChar w:fldCharType="end"/>
      </w:r>
    </w:p>
    <w:p w14:paraId="35B21B07" w14:textId="7A5092EA" w:rsidR="000B148D" w:rsidRPr="000C741C" w:rsidRDefault="000B148D" w:rsidP="000B148D">
      <w:pPr>
        <w:pStyle w:val="Caption"/>
      </w:pPr>
      <w:bookmarkStart w:id="255" w:name="_Ref126147360"/>
      <w:bookmarkStart w:id="256" w:name="_Toc129350941"/>
      <w:r>
        <w:lastRenderedPageBreak/>
        <w:t xml:space="preserve">Figure </w:t>
      </w:r>
      <w:fldSimple w:instr=" SEQ Figure \* ARABIC ">
        <w:r w:rsidR="00145F42">
          <w:rPr>
            <w:noProof/>
          </w:rPr>
          <w:t>15</w:t>
        </w:r>
      </w:fldSimple>
      <w:bookmarkEnd w:id="255"/>
      <w:r>
        <w:t>: DESTINY-Breast04 | Waterfall plot of percentage change in sum of diameters of target lesions from baseline to best post-baseline value based on BICR | FAS</w:t>
      </w:r>
      <w:bookmarkEnd w:id="256"/>
    </w:p>
    <w:tbl>
      <w:tblPr>
        <w:tblStyle w:val="TableGrid"/>
        <w:tblW w:w="0" w:type="auto"/>
        <w:tblLook w:val="04A0" w:firstRow="1" w:lastRow="0" w:firstColumn="1" w:lastColumn="0" w:noHBand="0" w:noVBand="1"/>
      </w:tblPr>
      <w:tblGrid>
        <w:gridCol w:w="9016"/>
      </w:tblGrid>
      <w:tr w:rsidR="000B148D" w14:paraId="46E7D241" w14:textId="77777777" w:rsidTr="0027334A">
        <w:tc>
          <w:tcPr>
            <w:tcW w:w="9016" w:type="dxa"/>
            <w:shd w:val="clear" w:color="auto" w:fill="auto"/>
          </w:tcPr>
          <w:p w14:paraId="0CC39996" w14:textId="77777777" w:rsidR="000B148D" w:rsidRDefault="000B148D">
            <w:pPr>
              <w:pStyle w:val="Caption"/>
              <w:spacing w:before="0"/>
              <w:jc w:val="center"/>
            </w:pPr>
            <w:r w:rsidRPr="007B73D2">
              <w:rPr>
                <w:noProof/>
              </w:rPr>
              <w:drawing>
                <wp:inline distT="0" distB="0" distL="0" distR="0" wp14:anchorId="71865285" wp14:editId="5FA0DA3A">
                  <wp:extent cx="5563870" cy="2835884"/>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5611405" cy="2860112"/>
                          </a:xfrm>
                          <a:prstGeom prst="rect">
                            <a:avLst/>
                          </a:prstGeom>
                        </pic:spPr>
                      </pic:pic>
                    </a:graphicData>
                  </a:graphic>
                </wp:inline>
              </w:drawing>
            </w:r>
            <w:r w:rsidRPr="003C0BC2">
              <w:rPr>
                <w:noProof/>
              </w:rPr>
              <w:drawing>
                <wp:inline distT="0" distB="0" distL="0" distR="0" wp14:anchorId="54FB5199" wp14:editId="750BC314">
                  <wp:extent cx="5581650" cy="2883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5582816" cy="2884137"/>
                          </a:xfrm>
                          <a:prstGeom prst="rect">
                            <a:avLst/>
                          </a:prstGeom>
                        </pic:spPr>
                      </pic:pic>
                    </a:graphicData>
                  </a:graphic>
                </wp:inline>
              </w:drawing>
            </w:r>
          </w:p>
        </w:tc>
      </w:tr>
    </w:tbl>
    <w:p w14:paraId="4679DB62" w14:textId="4934ADCA" w:rsidR="000B148D" w:rsidRPr="000C741C" w:rsidRDefault="000B148D" w:rsidP="000B148D">
      <w:pPr>
        <w:pStyle w:val="Footnotes"/>
      </w:pPr>
      <w:r w:rsidRPr="00054570">
        <w:t>Shown are the best percentage changes from baseline in the sum of the largest diameters of measurable tumours in patients for whom data from both baseline and post</w:t>
      </w:r>
      <w:r w:rsidR="008A298C">
        <w:t>-baseline</w:t>
      </w:r>
      <w:r w:rsidRPr="00054570">
        <w:t xml:space="preserve"> assessments of target lesions by BICR were available.</w:t>
      </w:r>
      <w:r>
        <w:t xml:space="preserve"> </w:t>
      </w:r>
      <w:r w:rsidRPr="00054570">
        <w:t>For each subject, the best (minimum) percent change from baseline in the sum of diameters for all target lesions is represented by a vertical line. Only subjects with measurable disease at baseline and at least one post-baseline assessment are included in t</w:t>
      </w:r>
      <w:r>
        <w:t>h</w:t>
      </w:r>
      <w:r w:rsidRPr="00054570">
        <w:t xml:space="preserve">e waterfall graphs. </w:t>
      </w:r>
      <w:r w:rsidRPr="00054570">
        <w:br/>
      </w:r>
      <w:r w:rsidRPr="00FA179F">
        <w:t xml:space="preserve">Abbreviations: BICR, blinded independent central review; FAS, full analysis set; </w:t>
      </w:r>
      <w:r w:rsidRPr="00FA179F">
        <w:rPr>
          <w:rStyle w:val="CommentReference"/>
          <w:sz w:val="18"/>
          <w:szCs w:val="18"/>
        </w:rPr>
        <w:t xml:space="preserve">T-DXd, trastuzumab deruxtecan; </w:t>
      </w:r>
      <w:r w:rsidRPr="00FA179F">
        <w:t>TPC, treatment of physician’s choice</w:t>
      </w:r>
      <w:r w:rsidR="00F27151">
        <w:t>.</w:t>
      </w:r>
      <w:r w:rsidRPr="00054570">
        <w:t xml:space="preserve">  </w:t>
      </w:r>
      <w:r w:rsidRPr="00054570">
        <w:br/>
        <w:t>Source: Daiichi Sankyo Inc. (</w:t>
      </w:r>
      <w:r>
        <w:t>DESTINY-Breast04</w:t>
      </w:r>
      <w:r w:rsidRPr="000C741C">
        <w:t xml:space="preserve"> </w:t>
      </w:r>
      <w:r>
        <w:t>CSR, Data on file)</w:t>
      </w:r>
      <w:r>
        <w:fldChar w:fldCharType="begin"/>
      </w:r>
      <w:r w:rsidR="00CA6345">
        <w:instrText xml:space="preserve"> ADDIN ZOTERO_ITEM CSL_CITATION {"citationID":"W3n0DOAZ","properties":{"formattedCitation":"\\super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fldChar w:fldCharType="separate"/>
      </w:r>
      <w:r w:rsidR="00FD57F4" w:rsidRPr="00FD57F4">
        <w:rPr>
          <w:rFonts w:cs="Arial"/>
          <w:szCs w:val="24"/>
          <w:vertAlign w:val="superscript"/>
        </w:rPr>
        <w:t>7</w:t>
      </w:r>
      <w:r>
        <w:fldChar w:fldCharType="end"/>
      </w:r>
    </w:p>
    <w:p w14:paraId="4BE21B4A" w14:textId="77777777" w:rsidR="000B148D" w:rsidRPr="000C741C" w:rsidRDefault="000B148D" w:rsidP="000B148D">
      <w:pPr>
        <w:pStyle w:val="Heading5"/>
        <w:numPr>
          <w:ilvl w:val="0"/>
          <w:numId w:val="0"/>
        </w:numPr>
        <w:rPr>
          <w:b w:val="0"/>
          <w:i w:val="0"/>
        </w:rPr>
      </w:pPr>
      <w:r w:rsidRPr="000C741C">
        <w:rPr>
          <w:i w:val="0"/>
        </w:rPr>
        <w:t xml:space="preserve">Other secondary efficacy </w:t>
      </w:r>
      <w:r w:rsidRPr="000C741C">
        <w:t xml:space="preserve">| </w:t>
      </w:r>
      <w:r w:rsidRPr="000C741C">
        <w:rPr>
          <w:i w:val="0"/>
        </w:rPr>
        <w:t xml:space="preserve">Duration of confirmed response | FAS </w:t>
      </w:r>
    </w:p>
    <w:p w14:paraId="3C3DB3CF" w14:textId="0055CFE2" w:rsidR="000B148D" w:rsidRPr="00054570" w:rsidRDefault="000B148D" w:rsidP="000B148D">
      <w:pPr>
        <w:spacing w:after="180"/>
      </w:pPr>
      <w:r w:rsidRPr="00054570">
        <w:t>The median duration of response (DoR) in patients with a confirmed objective response (CR or</w:t>
      </w:r>
      <w:r>
        <w:t xml:space="preserve"> PR</w:t>
      </w:r>
      <w:r w:rsidRPr="00054570">
        <w:t>, by BICR or by IA) was numerically higher with T-DXd than with TPC in the FAS (median DoR by BICR: 10.7 vs 6.8 months).</w:t>
      </w:r>
      <w:r>
        <w:fldChar w:fldCharType="begin"/>
      </w:r>
      <w:r w:rsidR="00CA6345">
        <w:instrText xml:space="preserve"> ADDIN ZOTERO_ITEM CSL_CITATION {"citationID":"iIVzqO6Y","properties":{"formattedCitation":"\\super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054570">
        <w:t xml:space="preserve"> Similar results were observed for the HR-positive cohort (median DoR by BICR: 10.7 vs. 6.8 months).</w:t>
      </w:r>
      <w:r>
        <w:fldChar w:fldCharType="begin"/>
      </w:r>
      <w:r w:rsidR="00CA6345">
        <w:instrText xml:space="preserve"> ADDIN ZOTERO_ITEM CSL_CITATION {"citationID":"0Mh0w0yQ","properties":{"formattedCitation":"\\super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054570">
        <w:t xml:space="preserve"> </w:t>
      </w:r>
    </w:p>
    <w:p w14:paraId="2627E272" w14:textId="77777777" w:rsidR="000B148D" w:rsidRPr="000C741C" w:rsidRDefault="000B148D" w:rsidP="000B148D">
      <w:pPr>
        <w:pStyle w:val="Heading5"/>
        <w:numPr>
          <w:ilvl w:val="0"/>
          <w:numId w:val="0"/>
        </w:numPr>
        <w:ind w:left="1276" w:hanging="1276"/>
        <w:rPr>
          <w:b w:val="0"/>
          <w:i w:val="0"/>
        </w:rPr>
      </w:pPr>
      <w:r w:rsidRPr="000C741C">
        <w:rPr>
          <w:i w:val="0"/>
        </w:rPr>
        <w:lastRenderedPageBreak/>
        <w:t xml:space="preserve">Other secondary efficacy </w:t>
      </w:r>
      <w:r w:rsidRPr="00054570">
        <w:t>|</w:t>
      </w:r>
      <w:r w:rsidRPr="000C741C">
        <w:t xml:space="preserve"> </w:t>
      </w:r>
      <w:r w:rsidRPr="000C741C">
        <w:rPr>
          <w:i w:val="0"/>
        </w:rPr>
        <w:t>Time to response</w:t>
      </w:r>
      <w:r w:rsidRPr="000C741C">
        <w:t xml:space="preserve"> </w:t>
      </w:r>
      <w:r w:rsidRPr="00054570">
        <w:t xml:space="preserve">| </w:t>
      </w:r>
      <w:r w:rsidRPr="00054570">
        <w:rPr>
          <w:i w:val="0"/>
        </w:rPr>
        <w:t>FAS</w:t>
      </w:r>
    </w:p>
    <w:p w14:paraId="6326E583" w14:textId="73D42224" w:rsidR="000B148D" w:rsidRPr="000C741C" w:rsidRDefault="000B148D" w:rsidP="000B148D">
      <w:pPr>
        <w:pStyle w:val="Body"/>
      </w:pPr>
      <w:r w:rsidRPr="00054570">
        <w:t>In the FAS, the median time to response (TTR) based on BICR among responders (patients with CR or</w:t>
      </w:r>
      <w:r>
        <w:t xml:space="preserve"> PR</w:t>
      </w:r>
      <w:r w:rsidRPr="00054570">
        <w:t>) was 2.73 months (range: 1.2, 14.0) in the T</w:t>
      </w:r>
      <w:r w:rsidRPr="00054570">
        <w:noBreakHyphen/>
        <w:t>DXd arm and 2.22 months (range: 1.2, 8.3) in the TPC arm.</w:t>
      </w:r>
      <w:r>
        <w:fldChar w:fldCharType="begin"/>
      </w:r>
      <w:r w:rsidR="00CA6345">
        <w:instrText xml:space="preserve"> ADDIN ZOTERO_ITEM CSL_CITATION {"citationID":"JXRBgLvW","properties":{"formattedCitation":"\\super 6,7\\nosupersub{}","plainCitation":"6,7","noteIndex":0},"citationItems":[{"id":65944,"uris":["http://zotero.org/groups/4797619/items/WBVSVVF7"],"itemData":{"id":65944,"type":"document","title":"Clinical Study Report for DS8201-A-U303. Data cut-off date: 11 Jan 2022. Data on File.","author":[{"family":"Daiichi Sankyo Inc.","given":""}],"issued":{"date-parts":[["2022"]]}}},{"id":66153,"uris":["http://zotero.org/groups/4797619/items/DIMCLQBB"],"itemData":{"id":66153,"type":"article-journal","container-title":"New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6,7</w:t>
      </w:r>
      <w:r>
        <w:fldChar w:fldCharType="end"/>
      </w:r>
      <w:r w:rsidRPr="000C741C">
        <w:t xml:space="preserve"> </w:t>
      </w:r>
      <w:r w:rsidR="008221E9">
        <w:t xml:space="preserve">Similar results were observed for the HR-positive cohort (median TTR: </w:t>
      </w:r>
      <w:r w:rsidR="00B55016">
        <w:t>2.76 vs. 2.73</w:t>
      </w:r>
      <w:r w:rsidR="00C24079">
        <w:t xml:space="preserve"> months</w:t>
      </w:r>
      <w:r w:rsidR="00B55016">
        <w:t>).</w:t>
      </w:r>
      <w:r w:rsidR="00C24079">
        <w:fldChar w:fldCharType="begin"/>
      </w:r>
      <w:r w:rsidR="00CA6345">
        <w:instrText xml:space="preserve"> ADDIN ZOTERO_ITEM CSL_CITATION {"citationID":"kdWHKOUB","properties":{"formattedCitation":"\\super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00C24079">
        <w:fldChar w:fldCharType="separate"/>
      </w:r>
      <w:r w:rsidR="00FD57F4" w:rsidRPr="00FD57F4">
        <w:rPr>
          <w:rFonts w:cs="Arial"/>
          <w:szCs w:val="24"/>
          <w:vertAlign w:val="superscript"/>
        </w:rPr>
        <w:t>7</w:t>
      </w:r>
      <w:r w:rsidR="00C24079">
        <w:fldChar w:fldCharType="end"/>
      </w:r>
    </w:p>
    <w:p w14:paraId="663FB1F9" w14:textId="77777777" w:rsidR="000B148D" w:rsidRPr="00054570" w:rsidRDefault="000B148D" w:rsidP="003C648C">
      <w:pPr>
        <w:pStyle w:val="Heading4"/>
      </w:pPr>
      <w:r w:rsidRPr="00054570">
        <w:t xml:space="preserve">Patient-reported outcomes and hospitalisation </w:t>
      </w:r>
    </w:p>
    <w:p w14:paraId="349B8010" w14:textId="77777777" w:rsidR="000B148D" w:rsidRPr="00054570" w:rsidRDefault="000B148D" w:rsidP="000B148D">
      <w:pPr>
        <w:pStyle w:val="Heading5"/>
        <w:numPr>
          <w:ilvl w:val="0"/>
          <w:numId w:val="0"/>
        </w:numPr>
        <w:ind w:left="1276" w:hanging="1276"/>
      </w:pPr>
      <w:r w:rsidRPr="00054570">
        <w:t xml:space="preserve">Overview </w:t>
      </w:r>
    </w:p>
    <w:p w14:paraId="4C8CC126" w14:textId="5C30CC48" w:rsidR="000B148D" w:rsidRPr="00054570" w:rsidRDefault="000B148D" w:rsidP="000B148D">
      <w:pPr>
        <w:pStyle w:val="Body"/>
      </w:pPr>
      <w:r w:rsidRPr="00054570">
        <w:t>In DESTINY-Breast04, EQ-5D-5L, EORTC Q</w:t>
      </w:r>
      <w:r w:rsidR="009500DA">
        <w:t>L</w:t>
      </w:r>
      <w:r w:rsidRPr="00054570">
        <w:t xml:space="preserve">Q-BR45 and EORTC QLQ-C30 questionnaires were administered to patients to measure HRQoL. Questionnaires were completed by patients </w:t>
      </w:r>
      <w:r w:rsidR="00294FDC" w:rsidRPr="00294FDC">
        <w:rPr>
          <w:color w:val="000000"/>
          <w:highlight w:val="black"/>
        </w:rPr>
        <w:t>xxxxxxxxxxxxxxxxxxxxxxxxxxxxxxxxxxxxxxxxxxxxxxxxxxxx</w:t>
      </w:r>
      <w:r w:rsidR="0027334A">
        <w:rPr>
          <w:color w:val="000000"/>
          <w:highlight w:val="black"/>
        </w:rPr>
        <w:t xml:space="preserve"> </w:t>
      </w:r>
      <w:r w:rsidR="00294FDC" w:rsidRPr="00294FDC">
        <w:rPr>
          <w:color w:val="000000"/>
          <w:highlight w:val="black"/>
        </w:rPr>
        <w:t>xxxxxx</w:t>
      </w:r>
      <w:r w:rsidR="0027334A">
        <w:rPr>
          <w:color w:val="000000"/>
          <w:highlight w:val="black"/>
        </w:rPr>
        <w:t xml:space="preserve"> </w:t>
      </w:r>
      <w:r w:rsidR="00294FDC" w:rsidRPr="00294FDC">
        <w:rPr>
          <w:color w:val="000000"/>
          <w:highlight w:val="black"/>
        </w:rPr>
        <w:t>xx</w:t>
      </w:r>
      <w:r w:rsidR="0027334A">
        <w:rPr>
          <w:color w:val="000000"/>
          <w:highlight w:val="black"/>
        </w:rPr>
        <w:t xml:space="preserve"> </w:t>
      </w:r>
      <w:r w:rsidR="00294FDC" w:rsidRPr="00294FDC">
        <w:rPr>
          <w:color w:val="000000"/>
          <w:highlight w:val="black"/>
        </w:rPr>
        <w:t>x</w:t>
      </w:r>
      <w:r w:rsidR="0027334A">
        <w:rPr>
          <w:color w:val="000000"/>
          <w:highlight w:val="black"/>
        </w:rPr>
        <w:t xml:space="preserve"> </w:t>
      </w:r>
      <w:r w:rsidR="00294FDC" w:rsidRPr="00294FDC">
        <w:rPr>
          <w:color w:val="000000"/>
          <w:highlight w:val="black"/>
        </w:rPr>
        <w:t>xxxxxxxxxxxxxxxxxxxxxxxxxxxxxxxxxxxxxxxxxxxxxxx</w:t>
      </w:r>
      <w:r w:rsidRPr="00054570">
        <w:t>.</w:t>
      </w:r>
      <w:r w:rsidRPr="00054570">
        <w:fldChar w:fldCharType="begin"/>
      </w:r>
      <w:r w:rsidR="00CA6345">
        <w:instrText xml:space="preserve"> ADDIN ZOTERO_ITEM CSL_CITATION {"citationID":"PtlOsXmJ","properties":{"formattedCitation":"\\super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r w:rsidRPr="00054570">
        <w:t xml:space="preserve"> Patients were then followed up at the Day 40 (+7 days) first follow-up assessment (after last study drug administration) or before initiation of new anti-cancer treatment, whichever came first, and then at the first long-term/survival follow-up assessments three months later, which was the last data collection point for </w:t>
      </w:r>
      <w:r>
        <w:t>all HRQoL</w:t>
      </w:r>
      <w:r w:rsidRPr="00054570">
        <w:t xml:space="preserve"> questionnaires.</w:t>
      </w:r>
      <w:r w:rsidRPr="00054570">
        <w:fldChar w:fldCharType="begin"/>
      </w:r>
      <w:r w:rsidR="00CA6345">
        <w:instrText xml:space="preserve"> ADDIN ZOTERO_ITEM CSL_CITATION {"citationID":"fqzN5Hl0","properties":{"formattedCitation":"\\super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r w:rsidRPr="00054570">
        <w:t xml:space="preserve"> Patients were required to complete questionnaires before any other study assessments or procedures were performed on the day and prior to infusion.</w:t>
      </w:r>
      <w:r w:rsidRPr="00054570">
        <w:fldChar w:fldCharType="begin"/>
      </w:r>
      <w:r w:rsidR="00CA6345">
        <w:instrText xml:space="preserve"> ADDIN ZOTERO_ITEM CSL_CITATION {"citationID":"wNUkO3i0","properties":{"formattedCitation":"\\super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p>
    <w:p w14:paraId="4EDAB8C1" w14:textId="3B62983C" w:rsidR="000B148D" w:rsidRDefault="000B148D" w:rsidP="000B148D">
      <w:pPr>
        <w:pStyle w:val="Heading5"/>
        <w:numPr>
          <w:ilvl w:val="0"/>
          <w:numId w:val="0"/>
        </w:numPr>
        <w:ind w:left="1276" w:hanging="1276"/>
      </w:pPr>
      <w:r>
        <w:t>Q</w:t>
      </w:r>
      <w:r w:rsidRPr="009910CA">
        <w:t>uestionnaire compliance</w:t>
      </w:r>
    </w:p>
    <w:p w14:paraId="37EE97CF" w14:textId="1946A4FC" w:rsidR="000B148D" w:rsidRPr="00054570" w:rsidRDefault="000B148D" w:rsidP="000B148D">
      <w:pPr>
        <w:pStyle w:val="Body"/>
      </w:pPr>
      <w:r w:rsidRPr="00054570">
        <w:t xml:space="preserve">In the T-DXd arm, the compliance rate in the </w:t>
      </w:r>
      <w:r w:rsidR="00777679">
        <w:t>FAS</w:t>
      </w:r>
      <w:r w:rsidRPr="00054570">
        <w:t xml:space="preserve"> was </w:t>
      </w:r>
      <w:r w:rsidR="00294FDC" w:rsidRPr="00294FDC">
        <w:rPr>
          <w:color w:val="000000"/>
          <w:highlight w:val="black"/>
        </w:rPr>
        <w:t>xxxxx</w:t>
      </w:r>
      <w:r w:rsidRPr="00054570">
        <w:t xml:space="preserve"> at baseline and </w:t>
      </w:r>
      <w:r w:rsidR="00294FDC" w:rsidRPr="00294FDC">
        <w:rPr>
          <w:color w:val="000000"/>
          <w:highlight w:val="black"/>
        </w:rPr>
        <w:t>xxxxx</w:t>
      </w:r>
      <w:r w:rsidRPr="00054570">
        <w:t xml:space="preserve"> at the end of treatment for the QLQ-C30 questionnaire, </w:t>
      </w:r>
      <w:r w:rsidR="00294FDC" w:rsidRPr="00294FDC">
        <w:rPr>
          <w:color w:val="000000"/>
          <w:highlight w:val="black"/>
        </w:rPr>
        <w:t>xxxxx</w:t>
      </w:r>
      <w:r w:rsidRPr="00054570">
        <w:t xml:space="preserve"> at baseline and </w:t>
      </w:r>
      <w:r w:rsidR="00294FDC" w:rsidRPr="00294FDC">
        <w:rPr>
          <w:color w:val="000000"/>
          <w:highlight w:val="black"/>
        </w:rPr>
        <w:t>xxxxx</w:t>
      </w:r>
      <w:r w:rsidRPr="00054570">
        <w:t xml:space="preserve"> at end of treatment for the QLQ-B45 (QLQ-BR23) questionnaire, and </w:t>
      </w:r>
      <w:r w:rsidR="00294FDC" w:rsidRPr="00294FDC">
        <w:rPr>
          <w:color w:val="000000"/>
          <w:highlight w:val="black"/>
        </w:rPr>
        <w:t>xxxxx</w:t>
      </w:r>
      <w:r w:rsidRPr="00054570">
        <w:t xml:space="preserve"> at baseline and </w:t>
      </w:r>
      <w:r w:rsidR="00294FDC" w:rsidRPr="00294FDC">
        <w:rPr>
          <w:color w:val="000000"/>
          <w:highlight w:val="black"/>
        </w:rPr>
        <w:t>xxxxx</w:t>
      </w:r>
      <w:r w:rsidRPr="00054570">
        <w:t xml:space="preserve"> at end of treatment for the EQ-5D-5L.</w:t>
      </w:r>
      <w:r w:rsidRPr="00054570">
        <w:fldChar w:fldCharType="begin"/>
      </w:r>
      <w:r w:rsidR="00CA6345">
        <w:instrText xml:space="preserve"> ADDIN ZOTERO_ITEM CSL_CITATION {"citationID":"yGOcQvCK","properties":{"formattedCitation":"\\super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r w:rsidRPr="00054570">
        <w:t xml:space="preserve"> In the TPC arm, the compliance rate in the HR-positive cohort was </w:t>
      </w:r>
      <w:r w:rsidR="00294FDC" w:rsidRPr="00294FDC">
        <w:rPr>
          <w:color w:val="000000"/>
          <w:highlight w:val="black"/>
        </w:rPr>
        <w:t>xxxxx</w:t>
      </w:r>
      <w:r w:rsidRPr="00054570">
        <w:t xml:space="preserve"> at baseline and </w:t>
      </w:r>
      <w:r w:rsidR="00294FDC" w:rsidRPr="00294FDC">
        <w:rPr>
          <w:color w:val="000000"/>
          <w:highlight w:val="black"/>
        </w:rPr>
        <w:t>xxxxx</w:t>
      </w:r>
      <w:r w:rsidRPr="00054570">
        <w:t xml:space="preserve"> at the end of treatment for the QLQ-C30 questionnaire, </w:t>
      </w:r>
      <w:r w:rsidR="00294FDC" w:rsidRPr="00294FDC">
        <w:rPr>
          <w:color w:val="000000"/>
          <w:highlight w:val="black"/>
        </w:rPr>
        <w:t>xxxxx</w:t>
      </w:r>
      <w:r w:rsidRPr="00054570">
        <w:t xml:space="preserve"> at baseline and </w:t>
      </w:r>
      <w:r w:rsidR="00294FDC" w:rsidRPr="00294FDC">
        <w:rPr>
          <w:color w:val="000000"/>
          <w:highlight w:val="black"/>
        </w:rPr>
        <w:t>xxxx</w:t>
      </w:r>
      <w:r w:rsidRPr="00054570">
        <w:t xml:space="preserve">% at end of treatment for the QLQ-B45 (QLQ-BR23) questionnaire, and </w:t>
      </w:r>
      <w:r w:rsidR="00294FDC" w:rsidRPr="00294FDC">
        <w:rPr>
          <w:color w:val="000000"/>
          <w:highlight w:val="black"/>
        </w:rPr>
        <w:t>xxxx</w:t>
      </w:r>
      <w:r w:rsidRPr="00054570">
        <w:t xml:space="preserve">% at baseline and </w:t>
      </w:r>
      <w:r w:rsidR="00294FDC" w:rsidRPr="00294FDC">
        <w:rPr>
          <w:color w:val="000000"/>
          <w:highlight w:val="black"/>
        </w:rPr>
        <w:t>xxxxx</w:t>
      </w:r>
      <w:r w:rsidRPr="00054570">
        <w:t xml:space="preserve"> at end of treatment for the EQ-5D-5L questionnaire.</w:t>
      </w:r>
      <w:r w:rsidR="00AA03FE">
        <w:fldChar w:fldCharType="begin"/>
      </w:r>
      <w:r w:rsidR="00CA6345">
        <w:instrText xml:space="preserve"> ADDIN ZOTERO_ITEM CSL_CITATION {"citationID":"ADjUOpOP","properties":{"formattedCitation":"\\super 152\\nosupersub{}","plainCitation":"152","noteIndex":0},"citationItems":[{"id":66410,"uris":["http://zotero.org/groups/4797619/items/RKV2VG2A"],"itemData":{"id":66410,"type":"document","title":"FAS PRO tables and figures. Data on File.","author":[{"family":"Daiichi Sankyo Inc.","given":""}]}}],"schema":"https://github.com/citation-style-language/schema/raw/master/csl-citation.json"} </w:instrText>
      </w:r>
      <w:r w:rsidR="00AA03FE">
        <w:fldChar w:fldCharType="separate"/>
      </w:r>
      <w:r w:rsidR="00CA6345" w:rsidRPr="00CA6345">
        <w:rPr>
          <w:rFonts w:cs="Arial"/>
          <w:szCs w:val="24"/>
          <w:vertAlign w:val="superscript"/>
        </w:rPr>
        <w:t>152</w:t>
      </w:r>
      <w:r w:rsidR="00AA03FE">
        <w:fldChar w:fldCharType="end"/>
      </w:r>
      <w:r w:rsidRPr="00054570">
        <w:t xml:space="preserve"> From Cycle 3 onward</w:t>
      </w:r>
      <w:r>
        <w:t>s</w:t>
      </w:r>
      <w:r w:rsidRPr="00054570">
        <w:t xml:space="preserve">, the minimum compliance rate </w:t>
      </w:r>
      <w:r>
        <w:t xml:space="preserve">was at least </w:t>
      </w:r>
      <w:r w:rsidR="00294FDC" w:rsidRPr="00294FDC">
        <w:rPr>
          <w:color w:val="000000"/>
          <w:highlight w:val="black"/>
        </w:rPr>
        <w:t>xxxxx</w:t>
      </w:r>
      <w:r>
        <w:t xml:space="preserve"> </w:t>
      </w:r>
      <w:r w:rsidRPr="00054570">
        <w:t xml:space="preserve">across the questionnaires </w:t>
      </w:r>
      <w:r>
        <w:t>in both treatment arms, except for one cycle</w:t>
      </w:r>
      <w:r w:rsidR="00860ECD">
        <w:t>.</w:t>
      </w:r>
      <w:r w:rsidR="000F4805">
        <w:fldChar w:fldCharType="begin"/>
      </w:r>
      <w:r w:rsidR="00CA6345">
        <w:instrText xml:space="preserve"> ADDIN ZOTERO_ITEM CSL_CITATION {"citationID":"XEI4YVZp","properties":{"formattedCitation":"\\super 152\\nosupersub{}","plainCitation":"152","noteIndex":0},"citationItems":[{"id":66410,"uris":["http://zotero.org/groups/4797619/items/RKV2VG2A"],"itemData":{"id":66410,"type":"document","title":"FAS PRO tables and figures. Data on File.","author":[{"family":"Daiichi Sankyo Inc.","given":""}]}}],"schema":"https://github.com/citation-style-language/schema/raw/master/csl-citation.json"} </w:instrText>
      </w:r>
      <w:r w:rsidR="000F4805">
        <w:fldChar w:fldCharType="separate"/>
      </w:r>
      <w:r w:rsidR="00CA6345" w:rsidRPr="00CA6345">
        <w:rPr>
          <w:rFonts w:cs="Arial"/>
          <w:szCs w:val="24"/>
          <w:vertAlign w:val="superscript"/>
        </w:rPr>
        <w:t>152</w:t>
      </w:r>
      <w:r w:rsidR="000F4805">
        <w:fldChar w:fldCharType="end"/>
      </w:r>
      <w:r>
        <w:t xml:space="preserve"> </w:t>
      </w:r>
    </w:p>
    <w:p w14:paraId="5742B5EB" w14:textId="77777777" w:rsidR="000B148D" w:rsidRPr="00054570" w:rsidRDefault="000B148D" w:rsidP="000B148D">
      <w:pPr>
        <w:pStyle w:val="Heading5"/>
        <w:numPr>
          <w:ilvl w:val="0"/>
          <w:numId w:val="0"/>
        </w:numPr>
      </w:pPr>
      <w:r w:rsidRPr="00054570">
        <w:t>Patient-reported outcome | EQ-5D-5L | FAS</w:t>
      </w:r>
    </w:p>
    <w:p w14:paraId="61E1CC60" w14:textId="6F7986F7" w:rsidR="00287F4C" w:rsidRDefault="00DA126E" w:rsidP="000B148D">
      <w:r>
        <w:t xml:space="preserve">HRQoL as measured by EQ-5D-5L (both index and VAS) was </w:t>
      </w:r>
      <w:r w:rsidR="00294FDC" w:rsidRPr="00294FDC">
        <w:rPr>
          <w:color w:val="000000"/>
          <w:highlight w:val="black"/>
        </w:rPr>
        <w:t>xxxxxxxxxxxxxxxxxxxx</w:t>
      </w:r>
      <w:r w:rsidR="0027334A">
        <w:rPr>
          <w:color w:val="000000"/>
          <w:highlight w:val="black"/>
        </w:rPr>
        <w:t xml:space="preserve"> </w:t>
      </w:r>
      <w:r w:rsidR="00294FDC" w:rsidRPr="00294FDC">
        <w:rPr>
          <w:color w:val="000000"/>
          <w:highlight w:val="black"/>
        </w:rPr>
        <w:t>xxxxxxxxx</w:t>
      </w:r>
      <w:r w:rsidRPr="00F43DD8">
        <w:t xml:space="preserve">. </w:t>
      </w:r>
      <w:r w:rsidR="004A0D5C">
        <w:t xml:space="preserve">For the EQ-5D-5L index score, mean change from baseline to end of treatment was </w:t>
      </w:r>
      <w:r w:rsidR="00294FDC" w:rsidRPr="00294FDC">
        <w:rPr>
          <w:color w:val="000000"/>
          <w:highlight w:val="black"/>
        </w:rPr>
        <w:t>xxxxx</w:t>
      </w:r>
      <w:r w:rsidR="0094344B">
        <w:t xml:space="preserve"> in the T-DXd arm</w:t>
      </w:r>
      <w:r w:rsidR="003A75D1">
        <w:t xml:space="preserve"> and </w:t>
      </w:r>
      <w:r w:rsidR="00294FDC" w:rsidRPr="00294FDC">
        <w:rPr>
          <w:color w:val="000000"/>
          <w:highlight w:val="black"/>
        </w:rPr>
        <w:t>xxxxx</w:t>
      </w:r>
      <w:r w:rsidR="00046F35">
        <w:t xml:space="preserve"> in the TPC arm</w:t>
      </w:r>
      <w:r w:rsidR="00BA1214">
        <w:t xml:space="preserve">; for the EQ-5D-5L VAS, mean change from baseline to end of treatment was </w:t>
      </w:r>
      <w:r w:rsidR="00294FDC" w:rsidRPr="00294FDC">
        <w:rPr>
          <w:color w:val="000000"/>
          <w:highlight w:val="black"/>
        </w:rPr>
        <w:t>xxxxx</w:t>
      </w:r>
      <w:r w:rsidR="006A1D05">
        <w:t xml:space="preserve"> in the T-DXd arm and </w:t>
      </w:r>
      <w:r w:rsidR="00294FDC" w:rsidRPr="00294FDC">
        <w:rPr>
          <w:color w:val="000000"/>
          <w:highlight w:val="black"/>
        </w:rPr>
        <w:t>xxxxx</w:t>
      </w:r>
      <w:r w:rsidR="006A1D05">
        <w:t xml:space="preserve"> in the TPC arm.</w:t>
      </w:r>
      <w:r w:rsidR="000974D9">
        <w:fldChar w:fldCharType="begin"/>
      </w:r>
      <w:r w:rsidR="00CA6345">
        <w:instrText xml:space="preserve"> ADDIN ZOTERO_ITEM CSL_CITATION {"citationID":"6FPO4Mak","properties":{"formattedCitation":"\\super 152\\nosupersub{}","plainCitation":"152","noteIndex":0},"citationItems":[{"id":66410,"uris":["http://zotero.org/groups/4797619/items/RKV2VG2A"],"itemData":{"id":66410,"type":"document","title":"FAS PRO tables and figures. Data on File.","author":[{"family":"Daiichi Sankyo Inc.","given":""}]}}],"schema":"https://github.com/citation-style-language/schema/raw/master/csl-citation.json"} </w:instrText>
      </w:r>
      <w:r w:rsidR="000974D9">
        <w:fldChar w:fldCharType="separate"/>
      </w:r>
      <w:r w:rsidR="00CA6345" w:rsidRPr="00CA6345">
        <w:rPr>
          <w:rFonts w:cs="Arial"/>
          <w:szCs w:val="24"/>
          <w:vertAlign w:val="superscript"/>
        </w:rPr>
        <w:t>152</w:t>
      </w:r>
      <w:r w:rsidR="000974D9">
        <w:fldChar w:fldCharType="end"/>
      </w:r>
      <w:r w:rsidR="006A1D05">
        <w:t xml:space="preserve"> </w:t>
      </w:r>
    </w:p>
    <w:p w14:paraId="3549CA6B" w14:textId="5E40EAD5" w:rsidR="000B148D" w:rsidRPr="0039694A" w:rsidRDefault="000B148D" w:rsidP="000B148D">
      <w:r w:rsidRPr="0039694A">
        <w:t xml:space="preserve">At baseline in the FAS, the median EQ-5D-5L VAS score was </w:t>
      </w:r>
      <w:r w:rsidR="00F43DD8" w:rsidRPr="00F43DD8">
        <w:rPr>
          <w:highlight w:val="black"/>
          <w:u w:val="single"/>
        </w:rPr>
        <w:t>xxxx</w:t>
      </w:r>
      <w:r w:rsidRPr="00F43DD8">
        <w:t xml:space="preserve"> </w:t>
      </w:r>
      <w:r w:rsidRPr="0077608D">
        <w:t>in</w:t>
      </w:r>
      <w:r w:rsidRPr="0039694A">
        <w:t xml:space="preserve"> both the T-DXd arm and the TPC arm.</w:t>
      </w:r>
      <w:r>
        <w:fldChar w:fldCharType="begin"/>
      </w:r>
      <w:r w:rsidR="00CA6345">
        <w:instrText xml:space="preserve"> ADDIN ZOTERO_ITEM CSL_CITATION {"citationID":"Ob89ANfJ","properties":{"formattedCitation":"\\super 152\\nosupersub{}","plainCitation":"152","noteIndex":0},"citationItems":[{"id":66410,"uris":["http://zotero.org/groups/4797619/items/RKV2VG2A"],"itemData":{"id":66410,"type":"document","title":"FAS PRO tables and figures. Data on File.","author":[{"family":"Daiichi Sankyo Inc.","given":""}]}}],"schema":"https://github.com/citation-style-language/schema/raw/master/csl-citation.json"} </w:instrText>
      </w:r>
      <w:r>
        <w:fldChar w:fldCharType="separate"/>
      </w:r>
      <w:r w:rsidR="00CA6345" w:rsidRPr="00CA6345">
        <w:rPr>
          <w:rFonts w:cs="Arial"/>
          <w:szCs w:val="24"/>
          <w:vertAlign w:val="superscript"/>
        </w:rPr>
        <w:t>152</w:t>
      </w:r>
      <w:r>
        <w:fldChar w:fldCharType="end"/>
      </w:r>
      <w:r w:rsidRPr="0039694A">
        <w:t xml:space="preserve"> At end of treatment, </w:t>
      </w:r>
      <w:r w:rsidR="00294FDC" w:rsidRPr="00294FDC">
        <w:rPr>
          <w:color w:val="000000"/>
          <w:highlight w:val="black"/>
        </w:rPr>
        <w:t>xxxxxxxxxxxxxxxxxxxxxxxxxxxxxxxxx</w:t>
      </w:r>
      <w:r w:rsidRPr="0039694A">
        <w:t xml:space="preserve"> (median change from baseline: </w:t>
      </w:r>
      <w:r w:rsidR="00294FDC" w:rsidRPr="00294FDC">
        <w:rPr>
          <w:color w:val="000000"/>
          <w:highlight w:val="black"/>
        </w:rPr>
        <w:t>xxxxx</w:t>
      </w:r>
      <w:r w:rsidRPr="0039694A">
        <w:t xml:space="preserve"> in both treatment arms).</w:t>
      </w:r>
      <w:r>
        <w:fldChar w:fldCharType="begin"/>
      </w:r>
      <w:r w:rsidR="00CA6345">
        <w:instrText xml:space="preserve"> ADDIN ZOTERO_ITEM CSL_CITATION {"citationID":"7lYDujlk","properties":{"formattedCitation":"\\super 152\\nosupersub{}","plainCitation":"152","noteIndex":0},"citationItems":[{"id":66410,"uris":["http://zotero.org/groups/4797619/items/RKV2VG2A"],"itemData":{"id":66410,"type":"document","title":"FAS PRO tables and figures. Data on File.","author":[{"family":"Daiichi Sankyo Inc.","given":""}]}}],"schema":"https://github.com/citation-style-language/schema/raw/master/csl-citation.json"} </w:instrText>
      </w:r>
      <w:r>
        <w:fldChar w:fldCharType="separate"/>
      </w:r>
      <w:r w:rsidR="00CA6345" w:rsidRPr="00CA6345">
        <w:rPr>
          <w:rFonts w:cs="Arial"/>
          <w:szCs w:val="24"/>
          <w:vertAlign w:val="superscript"/>
        </w:rPr>
        <w:t>152</w:t>
      </w:r>
      <w:r>
        <w:fldChar w:fldCharType="end"/>
      </w:r>
      <w:r w:rsidRPr="0039694A">
        <w:t xml:space="preserve"> </w:t>
      </w:r>
      <w:r w:rsidR="00294FDC" w:rsidRPr="00294FDC">
        <w:rPr>
          <w:color w:val="000000"/>
          <w:highlight w:val="black"/>
        </w:rPr>
        <w:t>xxxxxxxxxxxxxxxxxxxxxxxxxx</w:t>
      </w:r>
      <w:r w:rsidR="00F43DD8">
        <w:rPr>
          <w:color w:val="000000"/>
          <w:highlight w:val="black"/>
        </w:rPr>
        <w:t xml:space="preserve"> </w:t>
      </w:r>
      <w:r w:rsidR="00294FDC" w:rsidRPr="00294FDC">
        <w:rPr>
          <w:color w:val="000000"/>
          <w:highlight w:val="black"/>
        </w:rPr>
        <w:t>xxx</w:t>
      </w:r>
      <w:r w:rsidR="00F43DD8">
        <w:rPr>
          <w:color w:val="000000"/>
          <w:highlight w:val="black"/>
        </w:rPr>
        <w:t xml:space="preserve"> </w:t>
      </w:r>
      <w:r w:rsidR="00294FDC" w:rsidRPr="00294FDC">
        <w:rPr>
          <w:color w:val="000000"/>
          <w:highlight w:val="black"/>
        </w:rPr>
        <w:t>xxxxxxxxxxxxxxxxxxxxxxxxxxxxxxxxxxxxxxxxxxxxxxxxxxxxxx</w:t>
      </w:r>
      <w:r w:rsidRPr="003A5110">
        <w:t xml:space="preserve">, after which the number of subjects was too low </w:t>
      </w:r>
      <w:r w:rsidR="00DD7003">
        <w:t>(</w:t>
      </w:r>
      <w:r w:rsidR="007B4A9C">
        <w:t xml:space="preserve">N&lt;10) </w:t>
      </w:r>
      <w:r w:rsidRPr="003A5110">
        <w:t>to allow for meaningful interpretation, and did not deteriorate compared to the TPC arm.</w:t>
      </w:r>
      <w:r>
        <w:fldChar w:fldCharType="begin"/>
      </w:r>
      <w:r w:rsidR="00CA6345">
        <w:instrText xml:space="preserve"> ADDIN ZOTERO_ITEM CSL_CITATION {"citationID":"P6e4ODYw","properties":{"formattedCitation":"\\super 152\\nosupersub{}","plainCitation":"152","noteIndex":0},"citationItems":[{"id":66410,"uris":["http://zotero.org/groups/4797619/items/RKV2VG2A"],"itemData":{"id":66410,"type":"document","title":"FAS PRO tables and figures. Data on File.","author":[{"family":"Daiichi Sankyo Inc.","given":""}]}}],"schema":"https://github.com/citation-style-language/schema/raw/master/csl-citation.json"} </w:instrText>
      </w:r>
      <w:r>
        <w:fldChar w:fldCharType="separate"/>
      </w:r>
      <w:r w:rsidR="00CA6345" w:rsidRPr="00CA6345">
        <w:rPr>
          <w:rFonts w:cs="Arial"/>
          <w:szCs w:val="24"/>
          <w:vertAlign w:val="superscript"/>
        </w:rPr>
        <w:t>152</w:t>
      </w:r>
      <w:r>
        <w:fldChar w:fldCharType="end"/>
      </w:r>
      <w:r w:rsidRPr="0039694A">
        <w:t xml:space="preserve"> </w:t>
      </w:r>
    </w:p>
    <w:p w14:paraId="6AE740BD" w14:textId="41E07BF9" w:rsidR="000B148D" w:rsidRDefault="000B148D" w:rsidP="000B148D">
      <w:r w:rsidRPr="00054570">
        <w:t xml:space="preserve">In the FAS, median time to definitive deterioration (TTDD) by at least 10 points for the EQ-5D-5L VAS was </w:t>
      </w:r>
      <w:r w:rsidR="00294FDC" w:rsidRPr="00294FDC">
        <w:rPr>
          <w:color w:val="000000"/>
          <w:highlight w:val="black"/>
        </w:rPr>
        <w:t>xxxxxx</w:t>
      </w:r>
      <w:r w:rsidRPr="00054570">
        <w:t xml:space="preserve"> </w:t>
      </w:r>
      <w:r>
        <w:t>in</w:t>
      </w:r>
      <w:r w:rsidRPr="00054570">
        <w:t xml:space="preserve"> the T-DXd arm than the TPC arm (</w:t>
      </w:r>
      <w:r w:rsidR="00294FDC" w:rsidRPr="00294FDC">
        <w:rPr>
          <w:color w:val="000000"/>
          <w:highlight w:val="black"/>
        </w:rPr>
        <w:t>xxxx</w:t>
      </w:r>
      <w:r w:rsidRPr="006D77C8">
        <w:rPr>
          <w:u w:val="single"/>
        </w:rPr>
        <w:t xml:space="preserve"> </w:t>
      </w:r>
      <w:r w:rsidR="004428CC" w:rsidRPr="003C648C">
        <w:t>(95% CI:</w:t>
      </w:r>
      <w:r w:rsidR="004428CC">
        <w:rPr>
          <w:u w:val="single"/>
        </w:rPr>
        <w:t xml:space="preserve"> </w:t>
      </w:r>
      <w:r w:rsidR="00294FDC" w:rsidRPr="00294FDC">
        <w:rPr>
          <w:color w:val="000000"/>
          <w:highlight w:val="black"/>
        </w:rPr>
        <w:t>xxxxxxxxx</w:t>
      </w:r>
      <w:r w:rsidR="00DD4A8E" w:rsidRPr="003C648C">
        <w:t xml:space="preserve">) </w:t>
      </w:r>
      <w:r w:rsidRPr="00054570">
        <w:t xml:space="preserve">vs. </w:t>
      </w:r>
      <w:r w:rsidR="00294FDC" w:rsidRPr="00294FDC">
        <w:rPr>
          <w:color w:val="000000"/>
          <w:highlight w:val="black"/>
        </w:rPr>
        <w:t>xxx</w:t>
      </w:r>
      <w:r w:rsidRPr="00054570">
        <w:t xml:space="preserve"> months</w:t>
      </w:r>
      <w:r w:rsidR="00DD4A8E">
        <w:t xml:space="preserve"> (95% CI:</w:t>
      </w:r>
      <w:r w:rsidR="001C24B2">
        <w:t xml:space="preserve"> </w:t>
      </w:r>
      <w:r w:rsidR="00294FDC" w:rsidRPr="00294FDC">
        <w:rPr>
          <w:color w:val="000000"/>
          <w:highlight w:val="black"/>
        </w:rPr>
        <w:t>xxxxxxxxx</w:t>
      </w:r>
      <w:r w:rsidR="001C24B2">
        <w:t>)</w:t>
      </w:r>
      <w:r w:rsidRPr="00054570">
        <w:t xml:space="preserve">; HR: </w:t>
      </w:r>
      <w:r w:rsidR="00294FDC" w:rsidRPr="00294FDC">
        <w:rPr>
          <w:color w:val="000000"/>
          <w:highlight w:val="black"/>
        </w:rPr>
        <w:t>xxxx</w:t>
      </w:r>
      <w:r w:rsidRPr="00054570">
        <w:t xml:space="preserve">; 95% CI: </w:t>
      </w:r>
      <w:r w:rsidR="00294FDC" w:rsidRPr="00294FDC">
        <w:rPr>
          <w:color w:val="000000"/>
          <w:highlight w:val="black"/>
        </w:rPr>
        <w:t>xxxxxxxxxx</w:t>
      </w:r>
      <w:r w:rsidRPr="00054570">
        <w:t>; p=</w:t>
      </w:r>
      <w:r w:rsidR="00294FDC" w:rsidRPr="00294FDC">
        <w:rPr>
          <w:color w:val="000000"/>
          <w:highlight w:val="black"/>
        </w:rPr>
        <w:t>xxxxxx</w:t>
      </w:r>
      <w:r w:rsidRPr="00054570">
        <w:t>).</w:t>
      </w:r>
      <w:r w:rsidRPr="00054570">
        <w:fldChar w:fldCharType="begin"/>
      </w:r>
      <w:r w:rsidR="00CA6345">
        <w:instrText xml:space="preserve"> ADDIN ZOTERO_ITEM CSL_CITATION {"citationID":"oFz0xJGW","properties":{"formattedCitation":"\\super 152\\nosupersub{}","plainCitation":"152","noteIndex":0},"citationItems":[{"id":66410,"uris":["http://zotero.org/groups/4797619/items/RKV2VG2A"],"itemData":{"id":66410,"type":"document","title":"FAS PRO tables and figures. Data on File.","author":[{"family":"Daiichi Sankyo Inc.","given":""}]}}],"schema":"https://github.com/citation-style-language/schema/raw/master/csl-citation.json"} </w:instrText>
      </w:r>
      <w:r w:rsidRPr="00054570">
        <w:fldChar w:fldCharType="separate"/>
      </w:r>
      <w:r w:rsidR="00CA6345" w:rsidRPr="00CA6345">
        <w:rPr>
          <w:rFonts w:cs="Arial"/>
          <w:szCs w:val="24"/>
          <w:vertAlign w:val="superscript"/>
        </w:rPr>
        <w:t>152</w:t>
      </w:r>
      <w:r w:rsidRPr="00054570">
        <w:fldChar w:fldCharType="end"/>
      </w:r>
      <w:r w:rsidRPr="00054570">
        <w:t xml:space="preserve"> </w:t>
      </w:r>
    </w:p>
    <w:p w14:paraId="44AB72A5" w14:textId="6E8F3C11" w:rsidR="000B148D" w:rsidRPr="00054570" w:rsidRDefault="000B148D" w:rsidP="000B148D">
      <w:r>
        <w:t>Results in the HR-positive cohort were consistent with those in the FAS.</w:t>
      </w:r>
      <w:r>
        <w:fldChar w:fldCharType="begin"/>
      </w:r>
      <w:r w:rsidR="00CA6345">
        <w:instrText xml:space="preserve"> ADDIN ZOTERO_ITEM CSL_CITATION {"citationID":"aoBETz0I","properties":{"formattedCitation":"\\super 7,151\\nosupersub{}","plainCitation":"7,151","noteIndex":0},"citationItems":[{"id":65944,"uris":["http://zotero.org/groups/4797619/items/WBVSVVF7"],"itemData":{"id":65944,"type":"document","title":"Clinical Study Report for DS8201-A-U303. Data cut-off date: 11 Jan 2022. Data on File.","author":[{"family":"Daiichi Sankyo Inc.","given":""}],"issued":{"date-parts":[["2022"]]}}},{"id":66139,"uris":["http://zotero.org/groups/4797619/items/GE98BVW6"],"itemData":{"id":66139,"type":"document","title":"Patient-Reported Outcomes (PROs) From DESTINY-Breast04  a Randomized Phase 3 Study of Trastuzumab Deruxtecan (T-DXd) vs Treatment of Physician’s Choice (TPC) in Patients With HER2-Low  Metastatic Breast Cancer. Presented at ESMO Congress, September 2022.","author":[{"family":"Ueno","given":"Shanu"},{"family":"Jacot","given":"William"},{"family":"Yamashita","given":"Toshinari"},{"family":"Sohn","given":"Joohyuk"},{"family":"Vidal","given":"Maria"},{"family":"Tokunaga","given":"Eriko"},{"family":"Tsurutani","given":"Junji"},{"family":"Lee","given":"Keun Seok"},{"family":"Niikura","given":"Naoki"},{"family":"Park","given":"Yeon Hee"},{"family":"Wang","given":"Xiaojia"},{"family":"Xu","given":"Binghe"},{"family":"Gambhire","given":"Dhiraj"},{"family":"Yung","given":"Lotus"},{"family":"Meinhardt","given":"Gerold"},{"family":"Wang","given":"Yibin"},{"family":"Harbeck","given":"Nadia"},{"family":"Cameron","given":"David"},{"family":"Modi","given":"Shanu"}],"issued":{"date-parts":[["2022",9,1]]}}}],"schema":"https://github.com/citation-style-language/schema/raw/master/csl-citation.json"} </w:instrText>
      </w:r>
      <w:r>
        <w:fldChar w:fldCharType="separate"/>
      </w:r>
      <w:r w:rsidR="00CA6345" w:rsidRPr="00CA6345">
        <w:rPr>
          <w:rFonts w:cs="Arial"/>
          <w:szCs w:val="24"/>
          <w:vertAlign w:val="superscript"/>
        </w:rPr>
        <w:t>7,151</w:t>
      </w:r>
      <w:r>
        <w:fldChar w:fldCharType="end"/>
      </w:r>
    </w:p>
    <w:tbl>
      <w:tblPr>
        <w:tblStyle w:val="Figurebox"/>
        <w:tblW w:w="0" w:type="auto"/>
        <w:tblLook w:val="04A0" w:firstRow="1" w:lastRow="0" w:firstColumn="1" w:lastColumn="0" w:noHBand="0" w:noVBand="1"/>
      </w:tblPr>
      <w:tblGrid>
        <w:gridCol w:w="9016"/>
      </w:tblGrid>
      <w:tr w:rsidR="000B148D" w:rsidRPr="00054570" w14:paraId="15980848" w14:textId="77777777">
        <w:tc>
          <w:tcPr>
            <w:tcW w:w="9016" w:type="dxa"/>
            <w:tcBorders>
              <w:bottom w:val="single" w:sz="4" w:space="0" w:color="auto"/>
            </w:tcBorders>
          </w:tcPr>
          <w:p w14:paraId="0059F1A5" w14:textId="65C54974" w:rsidR="000B148D" w:rsidRPr="00054570" w:rsidRDefault="000B148D">
            <w:pPr>
              <w:pStyle w:val="Caption"/>
            </w:pPr>
            <w:bookmarkStart w:id="257" w:name="_Ref92456612"/>
            <w:bookmarkStart w:id="258" w:name="_Toc95826050"/>
            <w:bookmarkStart w:id="259" w:name="_Toc124447862"/>
            <w:bookmarkStart w:id="260" w:name="_Toc129350942"/>
            <w:r w:rsidRPr="00054570">
              <w:lastRenderedPageBreak/>
              <w:t xml:space="preserve">Figure </w:t>
            </w:r>
            <w:r>
              <w:fldChar w:fldCharType="begin"/>
            </w:r>
            <w:r>
              <w:instrText>SEQ Figure \* ARABIC</w:instrText>
            </w:r>
            <w:r>
              <w:fldChar w:fldCharType="separate"/>
            </w:r>
            <w:r w:rsidR="00145F42">
              <w:rPr>
                <w:noProof/>
              </w:rPr>
              <w:t>16</w:t>
            </w:r>
            <w:r>
              <w:fldChar w:fldCharType="end"/>
            </w:r>
            <w:bookmarkEnd w:id="257"/>
            <w:r w:rsidRPr="00054570">
              <w:t>: DESTINY-Breast04 | Kaplan-Meier plot of time to definitive deterioration of EQ-5D-5L</w:t>
            </w:r>
            <w:r>
              <w:t xml:space="preserve"> VAS</w:t>
            </w:r>
            <w:r w:rsidRPr="00054570">
              <w:t xml:space="preserve"> | FAS</w:t>
            </w:r>
            <w:bookmarkEnd w:id="258"/>
            <w:bookmarkEnd w:id="259"/>
            <w:bookmarkEnd w:id="260"/>
          </w:p>
        </w:tc>
      </w:tr>
      <w:tr w:rsidR="000B148D" w:rsidRPr="00054570" w14:paraId="1BC0BE07" w14:textId="77777777" w:rsidTr="00433B79">
        <w:tc>
          <w:tcPr>
            <w:tcW w:w="9016" w:type="dxa"/>
            <w:tcBorders>
              <w:top w:val="single" w:sz="4" w:space="0" w:color="auto"/>
              <w:left w:val="single" w:sz="4" w:space="0" w:color="auto"/>
              <w:bottom w:val="single" w:sz="4" w:space="0" w:color="auto"/>
              <w:right w:val="single" w:sz="4" w:space="0" w:color="auto"/>
            </w:tcBorders>
            <w:shd w:val="clear" w:color="auto" w:fill="auto"/>
          </w:tcPr>
          <w:p w14:paraId="048274A0" w14:textId="77777777" w:rsidR="000B148D" w:rsidRPr="00054570" w:rsidRDefault="000B148D">
            <w:pPr>
              <w:pStyle w:val="Body"/>
              <w:spacing w:after="120"/>
              <w:jc w:val="center"/>
            </w:pPr>
            <w:r w:rsidRPr="00F102AD">
              <w:rPr>
                <w:noProof/>
              </w:rPr>
              <w:drawing>
                <wp:inline distT="0" distB="0" distL="0" distR="0" wp14:anchorId="789DD239" wp14:editId="70EBFF31">
                  <wp:extent cx="5608923" cy="29495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a:extLst>
                              <a:ext uri="{28A0092B-C50C-407E-A947-70E740481C1C}">
                                <a14:useLocalDpi xmlns:a14="http://schemas.microsoft.com/office/drawing/2010/main" val="0"/>
                              </a:ext>
                            </a:extLst>
                          </a:blip>
                          <a:stretch>
                            <a:fillRect/>
                          </a:stretch>
                        </pic:blipFill>
                        <pic:spPr>
                          <a:xfrm>
                            <a:off x="0" y="0"/>
                            <a:ext cx="5643956" cy="2967998"/>
                          </a:xfrm>
                          <a:prstGeom prst="rect">
                            <a:avLst/>
                          </a:prstGeom>
                        </pic:spPr>
                      </pic:pic>
                    </a:graphicData>
                  </a:graphic>
                </wp:inline>
              </w:drawing>
            </w:r>
          </w:p>
        </w:tc>
      </w:tr>
      <w:tr w:rsidR="000B148D" w:rsidRPr="00054570" w14:paraId="558240DF" w14:textId="77777777">
        <w:tc>
          <w:tcPr>
            <w:tcW w:w="9016" w:type="dxa"/>
            <w:tcBorders>
              <w:top w:val="single" w:sz="4" w:space="0" w:color="auto"/>
            </w:tcBorders>
            <w:vAlign w:val="center"/>
          </w:tcPr>
          <w:p w14:paraId="4C46DC67" w14:textId="2D1F82C8" w:rsidR="000B148D" w:rsidRPr="00054570" w:rsidRDefault="000B148D">
            <w:pPr>
              <w:pStyle w:val="Footnotes"/>
            </w:pPr>
            <w:r w:rsidRPr="00054570">
              <w:t>Abbreviations: CI, confidence interval; FAS, full analysis set; HR, hazard ratio; T-DXd, trastuzumab deruxtecan; TPC, treatment of physician’s choice; VAS, visual analogue score.</w:t>
            </w:r>
            <w:r w:rsidRPr="00054570">
              <w:br/>
              <w:t xml:space="preserve">Source: </w:t>
            </w:r>
            <w:bookmarkStart w:id="261" w:name="_Hlk124423357"/>
            <w:r w:rsidRPr="00054570">
              <w:t>Daiichi Sankyo Inc., 2022 (FAS PRO tables and figures, Data on File)</w:t>
            </w:r>
            <w:bookmarkEnd w:id="261"/>
            <w:r>
              <w:fldChar w:fldCharType="begin"/>
            </w:r>
            <w:r w:rsidR="00CA6345">
              <w:instrText xml:space="preserve"> ADDIN ZOTERO_ITEM CSL_CITATION {"citationID":"p7VGp5UF","properties":{"formattedCitation":"\\super 152\\nosupersub{}","plainCitation":"152","noteIndex":0},"citationItems":[{"id":66410,"uris":["http://zotero.org/groups/4797619/items/RKV2VG2A"],"itemData":{"id":66410,"type":"document","title":"FAS PRO tables and figures. Data on File.","author":[{"family":"Daiichi Sankyo Inc.","given":""}]}}],"schema":"https://github.com/citation-style-language/schema/raw/master/csl-citation.json"} </w:instrText>
            </w:r>
            <w:r>
              <w:fldChar w:fldCharType="separate"/>
            </w:r>
            <w:r w:rsidR="00CA6345" w:rsidRPr="00CA6345">
              <w:rPr>
                <w:rFonts w:cs="Arial"/>
                <w:szCs w:val="24"/>
                <w:vertAlign w:val="superscript"/>
              </w:rPr>
              <w:t>152</w:t>
            </w:r>
            <w:r>
              <w:fldChar w:fldCharType="end"/>
            </w:r>
          </w:p>
        </w:tc>
      </w:tr>
    </w:tbl>
    <w:p w14:paraId="00FF829B" w14:textId="77777777" w:rsidR="000B148D" w:rsidRPr="00AA6742" w:rsidRDefault="000B148D" w:rsidP="000B148D">
      <w:pPr>
        <w:pStyle w:val="Heading5"/>
        <w:numPr>
          <w:ilvl w:val="0"/>
          <w:numId w:val="0"/>
        </w:numPr>
      </w:pPr>
      <w:r w:rsidRPr="00AA6742">
        <w:t>Patient-reported outcome | EORTC QLQ-C30 | FAS</w:t>
      </w:r>
    </w:p>
    <w:p w14:paraId="654234BF" w14:textId="28A9E726" w:rsidR="000B148D" w:rsidRPr="00AA6742" w:rsidRDefault="000B148D" w:rsidP="003C648C">
      <w:r w:rsidRPr="00AA6742">
        <w:t xml:space="preserve">At baseline in the FAS, the median global health status </w:t>
      </w:r>
      <w:r>
        <w:t xml:space="preserve">(GHS) </w:t>
      </w:r>
      <w:r w:rsidRPr="00AA6742">
        <w:t xml:space="preserve">score was </w:t>
      </w:r>
      <w:r w:rsidR="00294FDC" w:rsidRPr="00294FDC">
        <w:rPr>
          <w:color w:val="000000"/>
          <w:highlight w:val="black"/>
        </w:rPr>
        <w:t>xxxxx</w:t>
      </w:r>
      <w:r w:rsidR="00A559A9" w:rsidRPr="003C648C">
        <w:t xml:space="preserve"> i</w:t>
      </w:r>
      <w:r w:rsidRPr="00D00FF2">
        <w:t>n</w:t>
      </w:r>
      <w:r w:rsidRPr="00AA6742">
        <w:t xml:space="preserve"> both the T</w:t>
      </w:r>
      <w:r w:rsidRPr="00AA6742">
        <w:noBreakHyphen/>
        <w:t>DXd arm and the TPC arm</w:t>
      </w:r>
      <w:r w:rsidR="0067391C">
        <w:t xml:space="preserve"> </w:t>
      </w:r>
      <w:r w:rsidR="0067391C" w:rsidRPr="003C648C">
        <w:t xml:space="preserve">(a high score for GHS represents a low </w:t>
      </w:r>
      <w:r w:rsidR="006421C0">
        <w:t>QoL</w:t>
      </w:r>
      <w:r w:rsidR="0067391C" w:rsidRPr="003C648C">
        <w:t>)</w:t>
      </w:r>
      <w:r w:rsidRPr="007A591C">
        <w:t>.</w:t>
      </w:r>
      <w:r>
        <w:fldChar w:fldCharType="begin"/>
      </w:r>
      <w:r w:rsidR="00CA6345">
        <w:instrText xml:space="preserve"> ADDIN ZOTERO_ITEM CSL_CITATION {"citationID":"r0xJpFSK","properties":{"formattedCitation":"\\super 152\\nosupersub{}","plainCitation":"152","noteIndex":0},"citationItems":[{"id":66410,"uris":["http://zotero.org/groups/4797619/items/RKV2VG2A"],"itemData":{"id":66410,"type":"document","title":"FAS PRO tables and figures. Data on File.","author":[{"family":"Daiichi Sankyo Inc.","given":""}]}}],"schema":"https://github.com/citation-style-language/schema/raw/master/csl-citation.json"} </w:instrText>
      </w:r>
      <w:r>
        <w:fldChar w:fldCharType="separate"/>
      </w:r>
      <w:r w:rsidR="00CA6345" w:rsidRPr="00CA6345">
        <w:rPr>
          <w:rFonts w:cs="Arial"/>
          <w:szCs w:val="24"/>
          <w:vertAlign w:val="superscript"/>
        </w:rPr>
        <w:t>152</w:t>
      </w:r>
      <w:r>
        <w:fldChar w:fldCharType="end"/>
      </w:r>
      <w:r w:rsidRPr="00AA6742">
        <w:t xml:space="preserve"> At end of treatment, </w:t>
      </w:r>
      <w:r w:rsidR="00294FDC" w:rsidRPr="00294FDC">
        <w:rPr>
          <w:color w:val="000000"/>
          <w:highlight w:val="black"/>
        </w:rPr>
        <w:t>xxxxxxxxxxxxxxxxxxxxxxxxxxxxxxxxxxxx</w:t>
      </w:r>
      <w:r w:rsidRPr="00AA6742">
        <w:t xml:space="preserve">(median change from baseline: </w:t>
      </w:r>
      <w:r w:rsidR="00294FDC" w:rsidRPr="00294FDC">
        <w:rPr>
          <w:color w:val="000000"/>
          <w:highlight w:val="black"/>
        </w:rPr>
        <w:t>xxxx</w:t>
      </w:r>
      <w:r>
        <w:t>).</w:t>
      </w:r>
      <w:r>
        <w:fldChar w:fldCharType="begin"/>
      </w:r>
      <w:r w:rsidR="00CA6345">
        <w:instrText xml:space="preserve"> ADDIN ZOTERO_ITEM CSL_CITATION {"citationID":"M6nNUPTz","properties":{"formattedCitation":"\\super 152\\nosupersub{}","plainCitation":"152","noteIndex":0},"citationItems":[{"id":66410,"uris":["http://zotero.org/groups/4797619/items/RKV2VG2A"],"itemData":{"id":66410,"type":"document","title":"FAS PRO tables and figures. Data on File.","author":[{"family":"Daiichi Sankyo Inc.","given":""}]}}],"schema":"https://github.com/citation-style-language/schema/raw/master/csl-citation.json"} </w:instrText>
      </w:r>
      <w:r>
        <w:fldChar w:fldCharType="separate"/>
      </w:r>
      <w:r w:rsidR="00CA6345" w:rsidRPr="00CA6345">
        <w:rPr>
          <w:rFonts w:cs="Arial"/>
          <w:szCs w:val="24"/>
          <w:vertAlign w:val="superscript"/>
        </w:rPr>
        <w:t>152</w:t>
      </w:r>
      <w:r>
        <w:fldChar w:fldCharType="end"/>
      </w:r>
      <w:r w:rsidRPr="00AA6742">
        <w:t xml:space="preserve"> </w:t>
      </w:r>
      <w:r w:rsidR="00294FDC" w:rsidRPr="00294FDC">
        <w:rPr>
          <w:color w:val="000000"/>
          <w:highlight w:val="black"/>
        </w:rPr>
        <w:t>xxxxxxxxxxxxxxxxxxxxxxxxxxxxxxxxxxxxxxxxxxxxx</w:t>
      </w:r>
      <w:r>
        <w:t xml:space="preserve">, </w:t>
      </w:r>
      <w:r w:rsidRPr="00AA6742">
        <w:t xml:space="preserve">the median change from baseline to end of treatment was </w:t>
      </w:r>
      <w:r w:rsidR="00294FDC" w:rsidRPr="00294FDC">
        <w:rPr>
          <w:color w:val="000000"/>
          <w:highlight w:val="black"/>
        </w:rPr>
        <w:t>xxxx</w:t>
      </w:r>
      <w:r w:rsidRPr="00AA6742">
        <w:t xml:space="preserve"> in both arms. The exception was for </w:t>
      </w:r>
      <w:r w:rsidR="00294FDC" w:rsidRPr="00294FDC">
        <w:rPr>
          <w:color w:val="000000"/>
          <w:highlight w:val="black"/>
        </w:rPr>
        <w:t>xxxxxxxxxxxxxxxxxxxx</w:t>
      </w:r>
      <w:r w:rsidRPr="00AA6742">
        <w:t xml:space="preserve"> for TPC, where </w:t>
      </w:r>
      <w:r>
        <w:t xml:space="preserve">QoL decreased as shown by a </w:t>
      </w:r>
      <w:r w:rsidRPr="00AA6742">
        <w:t xml:space="preserve">median increase from baseline </w:t>
      </w:r>
      <w:r>
        <w:t>of</w:t>
      </w:r>
      <w:r w:rsidRPr="00AA6742">
        <w:t xml:space="preserve"> </w:t>
      </w:r>
      <w:r w:rsidR="00294FDC" w:rsidRPr="00294FDC">
        <w:rPr>
          <w:color w:val="000000"/>
          <w:highlight w:val="black"/>
        </w:rPr>
        <w:t>xxxx</w:t>
      </w:r>
      <w:r w:rsidRPr="00AA6742">
        <w:t>.</w:t>
      </w:r>
      <w:r>
        <w:fldChar w:fldCharType="begin"/>
      </w:r>
      <w:r w:rsidR="00CA6345">
        <w:instrText xml:space="preserve"> ADDIN ZOTERO_ITEM CSL_CITATION {"citationID":"Rjxavpyj","properties":{"formattedCitation":"\\super 152\\nosupersub{}","plainCitation":"152","noteIndex":0},"citationItems":[{"id":66410,"uris":["http://zotero.org/groups/4797619/items/RKV2VG2A"],"itemData":{"id":66410,"type":"document","title":"FAS PRO tables and figures. Data on File.","author":[{"family":"Daiichi Sankyo Inc.","given":""}]}}],"schema":"https://github.com/citation-style-language/schema/raw/master/csl-citation.json"} </w:instrText>
      </w:r>
      <w:r>
        <w:fldChar w:fldCharType="separate"/>
      </w:r>
      <w:r w:rsidR="00CA6345" w:rsidRPr="00CA6345">
        <w:rPr>
          <w:rFonts w:cs="Arial"/>
          <w:szCs w:val="24"/>
          <w:vertAlign w:val="superscript"/>
        </w:rPr>
        <w:t>152</w:t>
      </w:r>
      <w:r>
        <w:fldChar w:fldCharType="end"/>
      </w:r>
      <w:r w:rsidRPr="00AA6742">
        <w:t xml:space="preserve"> </w:t>
      </w:r>
      <w:r w:rsidRPr="00054570">
        <w:t xml:space="preserve">Mean change from baseline for overall </w:t>
      </w:r>
      <w:r>
        <w:t>GHS</w:t>
      </w:r>
      <w:r w:rsidRPr="00054570">
        <w:t xml:space="preserve"> remained stable (within </w:t>
      </w:r>
      <w:r w:rsidRPr="00054570">
        <w:rPr>
          <w:rFonts w:cs="Arial"/>
        </w:rPr>
        <w:t>±</w:t>
      </w:r>
      <w:r w:rsidRPr="00054570">
        <w:t xml:space="preserve">10 points) over the course of treatment with T-DXd up to </w:t>
      </w:r>
      <w:r w:rsidR="00294FDC" w:rsidRPr="00294FDC">
        <w:rPr>
          <w:color w:val="000000"/>
          <w:highlight w:val="black"/>
        </w:rPr>
        <w:t>xxxxxxxxx</w:t>
      </w:r>
      <w:r w:rsidRPr="00054570">
        <w:t xml:space="preserve"> and with TPC up to </w:t>
      </w:r>
      <w:r w:rsidR="00294FDC" w:rsidRPr="00294FDC">
        <w:rPr>
          <w:color w:val="000000"/>
          <w:highlight w:val="black"/>
        </w:rPr>
        <w:t>xxxxxxxxx</w:t>
      </w:r>
      <w:r>
        <w:t xml:space="preserve">, </w:t>
      </w:r>
      <w:r w:rsidRPr="00314A60">
        <w:t>after</w:t>
      </w:r>
      <w:r>
        <w:t xml:space="preserve"> </w:t>
      </w:r>
      <w:r w:rsidRPr="00314A60">
        <w:t>which the number of subjects became too small to allow for meaningful interpretation</w:t>
      </w:r>
      <w:r>
        <w:t>.</w:t>
      </w:r>
      <w:r>
        <w:fldChar w:fldCharType="begin"/>
      </w:r>
      <w:r w:rsidR="00CA6345">
        <w:instrText xml:space="preserve"> ADDIN ZOTERO_ITEM CSL_CITATION {"citationID":"6hnKUNLh","properties":{"formattedCitation":"\\super 152\\nosupersub{}","plainCitation":"152","noteIndex":0},"citationItems":[{"id":66410,"uris":["http://zotero.org/groups/4797619/items/RKV2VG2A"],"itemData":{"id":66410,"type":"document","title":"FAS PRO tables and figures. Data on File.","author":[{"family":"Daiichi Sankyo Inc.","given":""}]}}],"schema":"https://github.com/citation-style-language/schema/raw/master/csl-citation.json"} </w:instrText>
      </w:r>
      <w:r>
        <w:fldChar w:fldCharType="separate"/>
      </w:r>
      <w:r w:rsidR="00CA6345" w:rsidRPr="00CA6345">
        <w:rPr>
          <w:rFonts w:cs="Arial"/>
          <w:szCs w:val="24"/>
          <w:vertAlign w:val="superscript"/>
        </w:rPr>
        <w:t>152</w:t>
      </w:r>
      <w:r>
        <w:fldChar w:fldCharType="end"/>
      </w:r>
      <w:r>
        <w:t xml:space="preserve"> </w:t>
      </w:r>
    </w:p>
    <w:p w14:paraId="37EE6552" w14:textId="7115C8AC" w:rsidR="000B148D" w:rsidRPr="00054570" w:rsidRDefault="000B148D" w:rsidP="000B148D">
      <w:pPr>
        <w:pStyle w:val="Body"/>
      </w:pPr>
      <w:r w:rsidRPr="00054570">
        <w:t>In the FAS, median TTDD by at least 10 points for the EORTC QLQ-30</w:t>
      </w:r>
      <w:r>
        <w:t xml:space="preserve"> GHS</w:t>
      </w:r>
      <w:r w:rsidRPr="00054570">
        <w:t xml:space="preserve"> </w:t>
      </w:r>
      <w:r w:rsidR="00A559A9">
        <w:t>was</w:t>
      </w:r>
      <w:r w:rsidR="00BD4583">
        <w:t xml:space="preserve"> </w:t>
      </w:r>
      <w:r w:rsidR="00294FDC" w:rsidRPr="00294FDC">
        <w:rPr>
          <w:color w:val="000000"/>
          <w:highlight w:val="black"/>
        </w:rPr>
        <w:t>xxxxxx</w:t>
      </w:r>
      <w:r w:rsidRPr="00054570">
        <w:t xml:space="preserve"> for the T-DXd arm than the TPC arm (</w:t>
      </w:r>
      <w:r w:rsidR="00294FDC" w:rsidRPr="00294FDC">
        <w:rPr>
          <w:color w:val="000000"/>
          <w:highlight w:val="black"/>
        </w:rPr>
        <w:t>xxxx</w:t>
      </w:r>
      <w:r w:rsidRPr="00054570">
        <w:t xml:space="preserve"> </w:t>
      </w:r>
      <w:r w:rsidR="00115746">
        <w:t>[</w:t>
      </w:r>
      <w:r w:rsidR="00CD3CC2">
        <w:t xml:space="preserve">95% CI: </w:t>
      </w:r>
      <w:r w:rsidR="00294FDC" w:rsidRPr="00294FDC">
        <w:rPr>
          <w:color w:val="000000"/>
          <w:highlight w:val="black"/>
        </w:rPr>
        <w:t>xxxxxxxxx</w:t>
      </w:r>
      <w:r w:rsidR="003B6FAE">
        <w:t>]</w:t>
      </w:r>
      <w:r w:rsidR="00805075">
        <w:t xml:space="preserve"> </w:t>
      </w:r>
      <w:r w:rsidRPr="00054570">
        <w:t xml:space="preserve">vs. </w:t>
      </w:r>
      <w:r w:rsidR="00294FDC" w:rsidRPr="00294FDC">
        <w:rPr>
          <w:color w:val="000000"/>
          <w:highlight w:val="black"/>
        </w:rPr>
        <w:t>xxx</w:t>
      </w:r>
      <w:r w:rsidRPr="00E16168">
        <w:t xml:space="preserve"> </w:t>
      </w:r>
      <w:r w:rsidRPr="00054570">
        <w:t>months</w:t>
      </w:r>
      <w:r w:rsidR="00805075">
        <w:t xml:space="preserve"> </w:t>
      </w:r>
      <w:r w:rsidR="003B6FAE">
        <w:t>[</w:t>
      </w:r>
      <w:r w:rsidR="00805075">
        <w:t xml:space="preserve">95% CI: </w:t>
      </w:r>
      <w:r w:rsidR="00294FDC" w:rsidRPr="00294FDC">
        <w:rPr>
          <w:color w:val="000000"/>
          <w:highlight w:val="black"/>
        </w:rPr>
        <w:t>xxxxxxxx</w:t>
      </w:r>
      <w:r w:rsidR="003B6FAE">
        <w:t>]</w:t>
      </w:r>
      <w:r w:rsidRPr="00054570">
        <w:t xml:space="preserve">; HR: </w:t>
      </w:r>
      <w:r w:rsidR="00294FDC" w:rsidRPr="00294FDC">
        <w:rPr>
          <w:color w:val="000000"/>
          <w:highlight w:val="black"/>
        </w:rPr>
        <w:t>xxxx</w:t>
      </w:r>
      <w:r w:rsidRPr="00054570">
        <w:t xml:space="preserve">; 95% CI: </w:t>
      </w:r>
      <w:r w:rsidR="00294FDC" w:rsidRPr="00294FDC">
        <w:rPr>
          <w:color w:val="000000"/>
          <w:highlight w:val="black"/>
        </w:rPr>
        <w:t>xxxxxxxxxx</w:t>
      </w:r>
      <w:r w:rsidRPr="00054570">
        <w:t>; p=</w:t>
      </w:r>
      <w:r w:rsidR="00294FDC" w:rsidRPr="00294FDC">
        <w:rPr>
          <w:color w:val="000000"/>
          <w:highlight w:val="black"/>
        </w:rPr>
        <w:t>xxxxxx</w:t>
      </w:r>
      <w:r w:rsidRPr="00054570">
        <w:t>).</w:t>
      </w:r>
      <w:r>
        <w:fldChar w:fldCharType="begin"/>
      </w:r>
      <w:r w:rsidR="00CA6345">
        <w:instrText xml:space="preserve"> ADDIN ZOTERO_ITEM CSL_CITATION {"citationID":"9fCpwP8U","properties":{"formattedCitation":"\\super 152\\nosupersub{}","plainCitation":"152","noteIndex":0},"citationItems":[{"id":66410,"uris":["http://zotero.org/groups/4797619/items/RKV2VG2A"],"itemData":{"id":66410,"type":"document","title":"FAS PRO tables and figures. Data on File.","author":[{"family":"Daiichi Sankyo Inc.","given":""}]}}],"schema":"https://github.com/citation-style-language/schema/raw/master/csl-citation.json"} </w:instrText>
      </w:r>
      <w:r>
        <w:fldChar w:fldCharType="separate"/>
      </w:r>
      <w:r w:rsidR="00CA6345" w:rsidRPr="00CA6345">
        <w:rPr>
          <w:rFonts w:cs="Arial"/>
          <w:szCs w:val="24"/>
          <w:vertAlign w:val="superscript"/>
        </w:rPr>
        <w:t>152</w:t>
      </w:r>
      <w:r>
        <w:fldChar w:fldCharType="end"/>
      </w:r>
      <w:r>
        <w:t xml:space="preserve"> </w:t>
      </w:r>
      <w:r w:rsidRPr="00054570">
        <w:t xml:space="preserve">The HR was </w:t>
      </w:r>
      <w:r w:rsidR="00294FDC" w:rsidRPr="00294FDC">
        <w:rPr>
          <w:color w:val="000000"/>
          <w:highlight w:val="black"/>
        </w:rPr>
        <w:t>xxxxxxxxxxxxxxx</w:t>
      </w:r>
      <w:r w:rsidR="00433B79">
        <w:rPr>
          <w:color w:val="000000"/>
          <w:highlight w:val="black"/>
        </w:rPr>
        <w:t xml:space="preserve"> </w:t>
      </w:r>
      <w:r w:rsidR="00294FDC" w:rsidRPr="00294FDC">
        <w:rPr>
          <w:color w:val="000000"/>
          <w:highlight w:val="black"/>
        </w:rPr>
        <w:t>xxxxxxxxxxxxxxxxxxxxxx</w:t>
      </w:r>
      <w:r w:rsidRPr="00054570">
        <w:t xml:space="preserve"> of T</w:t>
      </w:r>
      <w:r w:rsidRPr="00054570">
        <w:noBreakHyphen/>
        <w:t xml:space="preserve">DXd vs. TPC for nearly </w:t>
      </w:r>
      <w:r w:rsidR="00294FDC" w:rsidRPr="00294FDC">
        <w:rPr>
          <w:color w:val="000000"/>
          <w:highlight w:val="black"/>
        </w:rPr>
        <w:t>xxxxxxxxxxxxxxxxxxxxxxxxxxx</w:t>
      </w:r>
      <w:r w:rsidRPr="00054570">
        <w:t xml:space="preserve">, including </w:t>
      </w:r>
      <w:r w:rsidR="00294FDC" w:rsidRPr="00294FDC">
        <w:rPr>
          <w:color w:val="000000"/>
          <w:highlight w:val="black"/>
        </w:rPr>
        <w:t>xxxxxxxxxxxxxxxxxxxxx</w:t>
      </w:r>
      <w:r w:rsidRPr="00054570">
        <w:t xml:space="preserve"> (</w:t>
      </w:r>
      <w:r w:rsidR="00294FDC" w:rsidRPr="00294FDC">
        <w:rPr>
          <w:color w:val="000000"/>
          <w:highlight w:val="black"/>
        </w:rPr>
        <w:t>xxxx</w:t>
      </w:r>
      <w:r w:rsidRPr="00054570">
        <w:t xml:space="preserve"> and </w:t>
      </w:r>
      <w:r w:rsidR="00294FDC" w:rsidRPr="00294FDC">
        <w:rPr>
          <w:color w:val="000000"/>
          <w:highlight w:val="black"/>
        </w:rPr>
        <w:t>xxxx</w:t>
      </w:r>
      <w:r w:rsidRPr="00054570">
        <w:t xml:space="preserve"> months; HR: </w:t>
      </w:r>
      <w:r w:rsidR="00294FDC" w:rsidRPr="00294FDC">
        <w:rPr>
          <w:color w:val="000000"/>
          <w:highlight w:val="black"/>
        </w:rPr>
        <w:t>xxxx</w:t>
      </w:r>
      <w:r w:rsidRPr="00054570">
        <w:t xml:space="preserve">; 95% CI: </w:t>
      </w:r>
      <w:r w:rsidR="00294FDC" w:rsidRPr="00294FDC">
        <w:rPr>
          <w:color w:val="000000"/>
          <w:highlight w:val="black"/>
        </w:rPr>
        <w:t>xxxxxxxxxx</w:t>
      </w:r>
      <w:r w:rsidRPr="00054570">
        <w:t xml:space="preserve">), </w:t>
      </w:r>
      <w:r w:rsidR="00294FDC" w:rsidRPr="00294FDC">
        <w:rPr>
          <w:color w:val="000000"/>
          <w:highlight w:val="black"/>
        </w:rPr>
        <w:t>xxxxxxxxxxxxxxxxxxxxx</w:t>
      </w:r>
      <w:r w:rsidRPr="00B46526">
        <w:rPr>
          <w:u w:val="single"/>
        </w:rPr>
        <w:t xml:space="preserve"> </w:t>
      </w:r>
      <w:r>
        <w:t>(</w:t>
      </w:r>
      <w:r w:rsidR="00294FDC" w:rsidRPr="00294FDC">
        <w:rPr>
          <w:color w:val="000000"/>
          <w:highlight w:val="black"/>
        </w:rPr>
        <w:t>xxxx</w:t>
      </w:r>
      <w:r>
        <w:t xml:space="preserve"> and </w:t>
      </w:r>
      <w:r w:rsidR="00294FDC" w:rsidRPr="00294FDC">
        <w:rPr>
          <w:color w:val="000000"/>
          <w:highlight w:val="black"/>
        </w:rPr>
        <w:t>xxx</w:t>
      </w:r>
      <w:r>
        <w:t xml:space="preserve"> months; HR: </w:t>
      </w:r>
      <w:r w:rsidR="00294FDC" w:rsidRPr="00294FDC">
        <w:rPr>
          <w:color w:val="000000"/>
          <w:highlight w:val="black"/>
        </w:rPr>
        <w:t>xxxx</w:t>
      </w:r>
      <w:r>
        <w:t xml:space="preserve">; 95% CI: </w:t>
      </w:r>
      <w:r w:rsidR="00294FDC" w:rsidRPr="00294FDC">
        <w:rPr>
          <w:color w:val="000000"/>
          <w:highlight w:val="black"/>
        </w:rPr>
        <w:t>xxxxxxxxxx</w:t>
      </w:r>
      <w:r>
        <w:t xml:space="preserve">), </w:t>
      </w:r>
      <w:r w:rsidR="00294FDC" w:rsidRPr="00294FDC">
        <w:rPr>
          <w:color w:val="000000"/>
          <w:highlight w:val="black"/>
        </w:rPr>
        <w:t>xxxxx</w:t>
      </w:r>
      <w:r w:rsidR="00433B79">
        <w:rPr>
          <w:color w:val="000000"/>
          <w:highlight w:val="black"/>
        </w:rPr>
        <w:t xml:space="preserve"> </w:t>
      </w:r>
      <w:r w:rsidR="00294FDC" w:rsidRPr="00294FDC">
        <w:rPr>
          <w:color w:val="000000"/>
          <w:highlight w:val="black"/>
        </w:rPr>
        <w:t>xxx</w:t>
      </w:r>
      <w:r w:rsidR="00433B79">
        <w:rPr>
          <w:color w:val="000000"/>
          <w:highlight w:val="black"/>
        </w:rPr>
        <w:t xml:space="preserve"> </w:t>
      </w:r>
      <w:r w:rsidR="00294FDC" w:rsidRPr="00294FDC">
        <w:rPr>
          <w:color w:val="000000"/>
          <w:highlight w:val="black"/>
        </w:rPr>
        <w:t>xxx</w:t>
      </w:r>
      <w:r w:rsidR="00433B79">
        <w:rPr>
          <w:color w:val="000000"/>
          <w:highlight w:val="black"/>
        </w:rPr>
        <w:t xml:space="preserve"> </w:t>
      </w:r>
      <w:r w:rsidR="00294FDC" w:rsidRPr="00294FDC">
        <w:rPr>
          <w:color w:val="000000"/>
          <w:highlight w:val="black"/>
        </w:rPr>
        <w:t>xxxxxxx</w:t>
      </w:r>
      <w:r w:rsidRPr="00054570">
        <w:t xml:space="preserve"> (</w:t>
      </w:r>
      <w:r w:rsidR="00294FDC" w:rsidRPr="00294FDC">
        <w:rPr>
          <w:color w:val="000000"/>
          <w:highlight w:val="black"/>
        </w:rPr>
        <w:t>xxxx</w:t>
      </w:r>
      <w:r w:rsidRPr="00054570">
        <w:t xml:space="preserve"> and </w:t>
      </w:r>
      <w:r w:rsidR="00294FDC" w:rsidRPr="00294FDC">
        <w:rPr>
          <w:color w:val="000000"/>
          <w:highlight w:val="black"/>
        </w:rPr>
        <w:t>xxx</w:t>
      </w:r>
      <w:r w:rsidRPr="00054570">
        <w:t xml:space="preserve"> months; HR: </w:t>
      </w:r>
      <w:r w:rsidR="00294FDC" w:rsidRPr="00294FDC">
        <w:rPr>
          <w:color w:val="000000"/>
          <w:highlight w:val="black"/>
        </w:rPr>
        <w:t>xxxx</w:t>
      </w:r>
      <w:r w:rsidRPr="00054570">
        <w:t xml:space="preserve">; 95% CI: </w:t>
      </w:r>
      <w:r w:rsidR="00294FDC" w:rsidRPr="00294FDC">
        <w:rPr>
          <w:color w:val="000000"/>
          <w:highlight w:val="black"/>
        </w:rPr>
        <w:t>xxxxxxxxxx</w:t>
      </w:r>
      <w:r w:rsidRPr="00054570">
        <w:t xml:space="preserve">), </w:t>
      </w:r>
      <w:r w:rsidR="00294FDC" w:rsidRPr="00294FDC">
        <w:rPr>
          <w:color w:val="000000"/>
          <w:highlight w:val="black"/>
        </w:rPr>
        <w:t>xxxxxxxxxxxxxxx</w:t>
      </w:r>
      <w:r w:rsidRPr="00054570">
        <w:t xml:space="preserve"> (</w:t>
      </w:r>
      <w:r w:rsidR="00294FDC" w:rsidRPr="00294FDC">
        <w:rPr>
          <w:color w:val="000000"/>
          <w:highlight w:val="black"/>
        </w:rPr>
        <w:t>xxxx</w:t>
      </w:r>
      <w:r w:rsidRPr="00054570">
        <w:t xml:space="preserve"> and </w:t>
      </w:r>
      <w:r w:rsidR="00294FDC" w:rsidRPr="00294FDC">
        <w:rPr>
          <w:color w:val="000000"/>
          <w:highlight w:val="black"/>
        </w:rPr>
        <w:t>xxx</w:t>
      </w:r>
      <w:r w:rsidRPr="00054570">
        <w:t xml:space="preserve"> months; HR: </w:t>
      </w:r>
      <w:r w:rsidR="00294FDC" w:rsidRPr="00294FDC">
        <w:rPr>
          <w:color w:val="000000"/>
          <w:highlight w:val="black"/>
        </w:rPr>
        <w:t>xxxx</w:t>
      </w:r>
      <w:r w:rsidRPr="00054570">
        <w:t xml:space="preserve">; 95% CI: </w:t>
      </w:r>
      <w:r w:rsidR="00294FDC" w:rsidRPr="00294FDC">
        <w:rPr>
          <w:color w:val="000000"/>
          <w:highlight w:val="black"/>
        </w:rPr>
        <w:t>xxxxxxxxxx</w:t>
      </w:r>
      <w:r w:rsidRPr="00054570">
        <w:t xml:space="preserve">), </w:t>
      </w:r>
      <w:r w:rsidR="00294FDC" w:rsidRPr="00294FDC">
        <w:rPr>
          <w:color w:val="000000"/>
          <w:highlight w:val="black"/>
        </w:rPr>
        <w:t>xxxxxxxxxxxxx</w:t>
      </w:r>
      <w:r w:rsidRPr="00054570">
        <w:t xml:space="preserve"> (</w:t>
      </w:r>
      <w:r w:rsidR="00294FDC" w:rsidRPr="00294FDC">
        <w:rPr>
          <w:color w:val="000000"/>
          <w:highlight w:val="black"/>
        </w:rPr>
        <w:t>xxxx</w:t>
      </w:r>
      <w:r w:rsidRPr="00054570">
        <w:t xml:space="preserve"> and </w:t>
      </w:r>
      <w:r w:rsidR="00294FDC" w:rsidRPr="00294FDC">
        <w:rPr>
          <w:color w:val="000000"/>
          <w:highlight w:val="black"/>
        </w:rPr>
        <w:t>xxx</w:t>
      </w:r>
      <w:r w:rsidRPr="00054570">
        <w:t xml:space="preserve"> months; HR: </w:t>
      </w:r>
      <w:r w:rsidR="00294FDC" w:rsidRPr="00294FDC">
        <w:rPr>
          <w:color w:val="000000"/>
          <w:highlight w:val="black"/>
        </w:rPr>
        <w:t>xxxx</w:t>
      </w:r>
      <w:r w:rsidRPr="00054570">
        <w:t xml:space="preserve">; 95% CI: </w:t>
      </w:r>
      <w:r w:rsidR="00433B79" w:rsidRPr="00433B79">
        <w:rPr>
          <w:highlight w:val="black"/>
          <w:u w:val="single"/>
        </w:rPr>
        <w:t>XXXXX</w:t>
      </w:r>
      <w:r w:rsidRPr="00054570">
        <w:t>)</w:t>
      </w:r>
      <w:r>
        <w:t xml:space="preserve">, and </w:t>
      </w:r>
      <w:r w:rsidR="00294FDC" w:rsidRPr="00294FDC">
        <w:rPr>
          <w:color w:val="000000"/>
          <w:highlight w:val="black"/>
        </w:rPr>
        <w:t>xxxxxxx</w:t>
      </w:r>
      <w:r>
        <w:t xml:space="preserve"> (</w:t>
      </w:r>
      <w:r w:rsidR="00294FDC" w:rsidRPr="00294FDC">
        <w:rPr>
          <w:color w:val="000000"/>
          <w:highlight w:val="black"/>
        </w:rPr>
        <w:t>xxxx</w:t>
      </w:r>
      <w:r>
        <w:t xml:space="preserve"> and </w:t>
      </w:r>
      <w:r w:rsidR="00294FDC" w:rsidRPr="00294FDC">
        <w:rPr>
          <w:color w:val="000000"/>
          <w:highlight w:val="black"/>
        </w:rPr>
        <w:t>xxx</w:t>
      </w:r>
      <w:r>
        <w:t xml:space="preserve"> months; HR: </w:t>
      </w:r>
      <w:r w:rsidR="00294FDC" w:rsidRPr="00294FDC">
        <w:rPr>
          <w:color w:val="000000"/>
          <w:highlight w:val="black"/>
        </w:rPr>
        <w:t>xxxx</w:t>
      </w:r>
      <w:r>
        <w:t xml:space="preserve">; 95% CI: </w:t>
      </w:r>
      <w:r w:rsidR="00294FDC" w:rsidRPr="00294FDC">
        <w:rPr>
          <w:color w:val="000000"/>
          <w:highlight w:val="black"/>
        </w:rPr>
        <w:t>xxxxxx</w:t>
      </w:r>
      <w:r>
        <w:t>).</w:t>
      </w:r>
      <w:r>
        <w:fldChar w:fldCharType="begin"/>
      </w:r>
      <w:r w:rsidR="00CA6345">
        <w:instrText xml:space="preserve"> ADDIN ZOTERO_ITEM CSL_CITATION {"citationID":"HfXhTaO1","properties":{"formattedCitation":"\\super 152\\nosupersub{}","plainCitation":"152","noteIndex":0},"citationItems":[{"id":66410,"uris":["http://zotero.org/groups/4797619/items/RKV2VG2A"],"itemData":{"id":66410,"type":"document","title":"FAS PRO tables and figures. Data on File.","author":[{"family":"Daiichi Sankyo Inc.","given":""}]}}],"schema":"https://github.com/citation-style-language/schema/raw/master/csl-citation.json"} </w:instrText>
      </w:r>
      <w:r>
        <w:fldChar w:fldCharType="separate"/>
      </w:r>
      <w:r w:rsidR="00CA6345" w:rsidRPr="00CA6345">
        <w:rPr>
          <w:rFonts w:cs="Arial"/>
          <w:szCs w:val="24"/>
          <w:vertAlign w:val="superscript"/>
        </w:rPr>
        <w:t>152</w:t>
      </w:r>
      <w:r>
        <w:fldChar w:fldCharType="end"/>
      </w:r>
      <w:r>
        <w:t xml:space="preserve"> </w:t>
      </w:r>
      <w:hyperlink w:anchor="_ENREF_105" w:tooltip="Daiichi Sankyo Inc, 2021 #86" w:history="1">
        <w:r w:rsidRPr="00054570">
          <w:fldChar w:fldCharType="begin"/>
        </w:r>
        <w:r w:rsidRPr="00054570">
          <w:instrText xml:space="preserve"> ADDIN EN.CITE &lt;EndNote&gt;&lt;Cite&gt;&lt;Author&gt;Daiichi Sankyo Inc&lt;/Author&gt;&lt;Year&gt;2021&lt;/Year&gt;&lt;RecNum&gt;86&lt;/RecNum&gt;&lt;DisplayText&gt;&lt;style face="superscript"&gt;105&lt;/style&gt;&lt;/DisplayText&gt;&lt;record&gt;&lt;rec-number&gt;86&lt;/rec-number&gt;&lt;foreign-keys&gt;&lt;key app="EN" db-id="zsraxr2sldvt0herzw7x5028s0efeazsx9r0" timestamp="1637662814"&gt;86&lt;/key&gt;&lt;/foreign-keys&gt;&lt;ref-type name="Journal Article"&gt;17&lt;/ref-type&gt;&lt;contributors&gt;&lt;authors&gt;&lt;author&gt;Daiichi Sankyo Inc,&lt;/author&gt;&lt;/authors&gt;&lt;/contributors&gt;&lt;titles&gt;&lt;title&gt;A Phase 3, Multicenter, Randomized, Open-label, Active-controlled Study of Trastuzumab Deruxtecan (DS-8201a), an Anti-HER2-antibody Drug Conjugate, versus Trastuzumab Emtansine (T-DM1) for HER2-positive, Unresectable and/or Metastatic Breast Cancer Subjects Previously Treated with Trastuzumab and Taxane (DESTINY-Breast03)&lt;/title&gt;&lt;secondary-title&gt;Clinical study report version 1.0 for data cut-off May 2021&lt;/secondary-title&gt;&lt;/titles&gt;&lt;periodical&gt;&lt;full-title&gt;Clinical study report version 1.0 for data cut-off May 2021&lt;/full-title&gt;&lt;/periodical&gt;&lt;dates&gt;&lt;year&gt;2021&lt;/year&gt;&lt;/dates&gt;&lt;urls&gt;&lt;/urls&gt;&lt;/record&gt;&lt;/Cite&gt;&lt;/EndNote&gt;</w:instrText>
        </w:r>
        <w:r w:rsidRPr="00054570">
          <w:fldChar w:fldCharType="separate"/>
        </w:r>
        <w:r w:rsidRPr="00054570">
          <w:fldChar w:fldCharType="end"/>
        </w:r>
      </w:hyperlink>
      <w:r>
        <w:t xml:space="preserve">The exception was for </w:t>
      </w:r>
      <w:r w:rsidR="00294FDC" w:rsidRPr="00294FDC">
        <w:rPr>
          <w:color w:val="000000"/>
          <w:highlight w:val="black"/>
        </w:rPr>
        <w:t>xxxxxxxxxxxxxxxxxxx</w:t>
      </w:r>
      <w:r>
        <w:t xml:space="preserve">, where the HR was </w:t>
      </w:r>
      <w:r w:rsidR="00294FDC" w:rsidRPr="00294FDC">
        <w:rPr>
          <w:color w:val="000000"/>
          <w:highlight w:val="black"/>
        </w:rPr>
        <w:t>x</w:t>
      </w:r>
      <w:r w:rsidR="00433B79">
        <w:rPr>
          <w:color w:val="000000"/>
          <w:highlight w:val="black"/>
        </w:rPr>
        <w:t xml:space="preserve"> </w:t>
      </w:r>
      <w:r w:rsidR="00294FDC" w:rsidRPr="00294FDC">
        <w:rPr>
          <w:color w:val="000000"/>
          <w:highlight w:val="black"/>
        </w:rPr>
        <w:t>xxxxxxxxxxxxxxx</w:t>
      </w:r>
      <w:r>
        <w:t xml:space="preserve"> of TPC vs. T-DXd (</w:t>
      </w:r>
      <w:r w:rsidR="00294FDC" w:rsidRPr="00294FDC">
        <w:rPr>
          <w:color w:val="000000"/>
          <w:highlight w:val="black"/>
        </w:rPr>
        <w:t>xxx</w:t>
      </w:r>
      <w:r>
        <w:t xml:space="preserve"> and </w:t>
      </w:r>
      <w:r w:rsidR="00294FDC" w:rsidRPr="00294FDC">
        <w:rPr>
          <w:color w:val="000000"/>
          <w:highlight w:val="black"/>
        </w:rPr>
        <w:t>xxx</w:t>
      </w:r>
      <w:r>
        <w:t xml:space="preserve"> months; HR: </w:t>
      </w:r>
      <w:r w:rsidR="00294FDC" w:rsidRPr="00294FDC">
        <w:rPr>
          <w:color w:val="000000"/>
          <w:highlight w:val="black"/>
        </w:rPr>
        <w:t>xxxx</w:t>
      </w:r>
      <w:r>
        <w:t xml:space="preserve">; 95% CI: </w:t>
      </w:r>
      <w:r w:rsidR="00294FDC" w:rsidRPr="00294FDC">
        <w:rPr>
          <w:color w:val="000000"/>
          <w:highlight w:val="black"/>
        </w:rPr>
        <w:t>xxxxxxxxxx</w:t>
      </w:r>
      <w:r>
        <w:t>).</w:t>
      </w:r>
      <w:r>
        <w:fldChar w:fldCharType="begin"/>
      </w:r>
      <w:r w:rsidR="00CA6345">
        <w:instrText xml:space="preserve"> ADDIN ZOTERO_ITEM CSL_CITATION {"citationID":"6xsnxxZU","properties":{"formattedCitation":"\\super 152\\nosupersub{}","plainCitation":"152","noteIndex":0},"citationItems":[{"id":66410,"uris":["http://zotero.org/groups/4797619/items/RKV2VG2A"],"itemData":{"id":66410,"type":"document","title":"FAS PRO tables and figures. Data on File.","author":[{"family":"Daiichi Sankyo Inc.","given":""}]}}],"schema":"https://github.com/citation-style-language/schema/raw/master/csl-citation.json"} </w:instrText>
      </w:r>
      <w:r>
        <w:fldChar w:fldCharType="separate"/>
      </w:r>
      <w:r w:rsidR="00CA6345" w:rsidRPr="00CA6345">
        <w:rPr>
          <w:rFonts w:cs="Arial"/>
          <w:szCs w:val="24"/>
          <w:vertAlign w:val="superscript"/>
        </w:rPr>
        <w:t>152</w:t>
      </w:r>
      <w:r>
        <w:fldChar w:fldCharType="end"/>
      </w:r>
      <w:r w:rsidRPr="00054570">
        <w:t xml:space="preserve"> </w:t>
      </w:r>
    </w:p>
    <w:p w14:paraId="4FB1C93D" w14:textId="2F6ED94A" w:rsidR="000B148D" w:rsidRPr="00054570" w:rsidRDefault="000B148D" w:rsidP="000B148D">
      <w:pPr>
        <w:pStyle w:val="Body"/>
      </w:pPr>
      <w:r>
        <w:t>Results in the HR-positive cohort were consistent with those in the FAS (</w:t>
      </w:r>
      <w:r w:rsidRPr="00A73583">
        <w:rPr>
          <w:b/>
          <w:bCs/>
        </w:rPr>
        <w:fldChar w:fldCharType="begin"/>
      </w:r>
      <w:r w:rsidRPr="00A73583">
        <w:rPr>
          <w:b/>
          <w:bCs/>
        </w:rPr>
        <w:instrText xml:space="preserve"> REF _Ref124278895 \h </w:instrText>
      </w:r>
      <w:r>
        <w:rPr>
          <w:b/>
          <w:bCs/>
        </w:rPr>
        <w:instrText xml:space="preserve"> \* MERGEFORMAT </w:instrText>
      </w:r>
      <w:r w:rsidRPr="00A73583">
        <w:rPr>
          <w:b/>
          <w:bCs/>
        </w:rPr>
      </w:r>
      <w:r w:rsidRPr="00A73583">
        <w:rPr>
          <w:b/>
          <w:bCs/>
        </w:rPr>
        <w:fldChar w:fldCharType="separate"/>
      </w:r>
      <w:r w:rsidR="00145F42" w:rsidRPr="00145F42">
        <w:rPr>
          <w:b/>
          <w:bCs/>
        </w:rPr>
        <w:t xml:space="preserve">Figure </w:t>
      </w:r>
      <w:r w:rsidR="00145F42" w:rsidRPr="00145F42">
        <w:rPr>
          <w:b/>
          <w:bCs/>
          <w:noProof/>
        </w:rPr>
        <w:t>18</w:t>
      </w:r>
      <w:r w:rsidRPr="00A73583">
        <w:rPr>
          <w:b/>
          <w:bCs/>
        </w:rPr>
        <w:fldChar w:fldCharType="end"/>
      </w:r>
      <w:r>
        <w:t xml:space="preserve"> and </w:t>
      </w:r>
      <w:r w:rsidRPr="00A73583">
        <w:rPr>
          <w:b/>
          <w:bCs/>
        </w:rPr>
        <w:fldChar w:fldCharType="begin"/>
      </w:r>
      <w:r w:rsidRPr="00A73583">
        <w:rPr>
          <w:b/>
          <w:bCs/>
        </w:rPr>
        <w:instrText xml:space="preserve"> REF _Ref124279298 \h </w:instrText>
      </w:r>
      <w:r>
        <w:rPr>
          <w:b/>
          <w:bCs/>
        </w:rPr>
        <w:instrText xml:space="preserve"> \* MERGEFORMAT </w:instrText>
      </w:r>
      <w:r w:rsidRPr="00A73583">
        <w:rPr>
          <w:b/>
          <w:bCs/>
        </w:rPr>
      </w:r>
      <w:r w:rsidRPr="00A73583">
        <w:rPr>
          <w:b/>
          <w:bCs/>
        </w:rPr>
        <w:fldChar w:fldCharType="separate"/>
      </w:r>
      <w:r w:rsidR="00145F42" w:rsidRPr="00145F42">
        <w:rPr>
          <w:b/>
          <w:bCs/>
        </w:rPr>
        <w:t xml:space="preserve">Figure </w:t>
      </w:r>
      <w:r w:rsidR="00145F42" w:rsidRPr="00145F42">
        <w:rPr>
          <w:b/>
          <w:bCs/>
          <w:noProof/>
        </w:rPr>
        <w:t>19</w:t>
      </w:r>
      <w:r w:rsidRPr="00A73583">
        <w:rPr>
          <w:b/>
          <w:bCs/>
        </w:rPr>
        <w:fldChar w:fldCharType="end"/>
      </w:r>
      <w:r>
        <w:t>).</w:t>
      </w:r>
      <w:r>
        <w:fldChar w:fldCharType="begin"/>
      </w:r>
      <w:r w:rsidR="00CA6345">
        <w:instrText xml:space="preserve"> ADDIN ZOTERO_ITEM CSL_CITATION {"citationID":"JdiA3IQq","properties":{"formattedCitation":"\\super 7,151\\nosupersub{}","plainCitation":"7,151","noteIndex":0},"citationItems":[{"id":65944,"uris":["http://zotero.org/groups/4797619/items/WBVSVVF7"],"itemData":{"id":65944,"type":"document","title":"Clinical Study Report for DS8201-A-U303. Data cut-off date: 11 Jan 2022. Data on File.","author":[{"family":"Daiichi Sankyo Inc.","given":""}],"issued":{"date-parts":[["2022"]]}}},{"id":66139,"uris":["http://zotero.org/groups/4797619/items/GE98BVW6"],"itemData":{"id":66139,"type":"document","title":"Patient-Reported Outcomes (PROs) From DESTINY-Breast04  a Randomized Phase 3 Study of Trastuzumab Deruxtecan (T-DXd) vs Treatment of Physician’s Choice (TPC) in Patients With HER2-Low  Metastatic Breast Cancer. Presented at ESMO Congress, September 2022.","author":[{"family":"Ueno","given":"Shanu"},{"family":"Jacot","given":"William"},{"family":"Yamashita","given":"Toshinari"},{"family":"Sohn","given":"Joohyuk"},{"family":"Vidal","given":"Maria"},{"family":"Tokunaga","given":"Eriko"},{"family":"Tsurutani","given":"Junji"},{"family":"Lee","given":"Keun Seok"},{"family":"Niikura","given":"Naoki"},{"family":"Park","given":"Yeon Hee"},{"family":"Wang","given":"Xiaojia"},{"family":"Xu","given":"Binghe"},{"family":"Gambhire","given":"Dhiraj"},{"family":"Yung","given":"Lotus"},{"family":"Meinhardt","given":"Gerold"},{"family":"Wang","given":"Yibin"},{"family":"Harbeck","given":"Nadia"},{"family":"Cameron","given":"David"},{"family":"Modi","given":"Shanu"}],"issued":{"date-parts":[["2022",9,1]]}}}],"schema":"https://github.com/citation-style-language/schema/raw/master/csl-citation.json"} </w:instrText>
      </w:r>
      <w:r>
        <w:fldChar w:fldCharType="separate"/>
      </w:r>
      <w:r w:rsidR="00CA6345" w:rsidRPr="00CA6345">
        <w:rPr>
          <w:rFonts w:cs="Arial"/>
          <w:szCs w:val="24"/>
          <w:vertAlign w:val="superscript"/>
        </w:rPr>
        <w:t>7,151</w:t>
      </w:r>
      <w:r>
        <w:fldChar w:fldCharType="end"/>
      </w:r>
    </w:p>
    <w:p w14:paraId="728209D1" w14:textId="244F394E" w:rsidR="000B148D" w:rsidRPr="00054570" w:rsidRDefault="000B148D" w:rsidP="000B148D">
      <w:pPr>
        <w:pStyle w:val="Caption"/>
      </w:pPr>
      <w:bookmarkStart w:id="262" w:name="_Toc124447863"/>
      <w:bookmarkStart w:id="263" w:name="_Toc129350943"/>
      <w:r w:rsidRPr="00054570">
        <w:lastRenderedPageBreak/>
        <w:t xml:space="preserve">Figure </w:t>
      </w:r>
      <w:fldSimple w:instr=" SEQ Figure \* ARABIC ">
        <w:r w:rsidR="00145F42">
          <w:rPr>
            <w:noProof/>
          </w:rPr>
          <w:t>17</w:t>
        </w:r>
      </w:fldSimple>
      <w:r w:rsidRPr="00054570">
        <w:t>: DESTINY-Breast04 | Kaplan-Meier plot of time to definitive deterioration of EORTC QLQ-30</w:t>
      </w:r>
      <w:r w:rsidR="00D646F1">
        <w:t xml:space="preserve"> GHS</w:t>
      </w:r>
      <w:r w:rsidRPr="00054570">
        <w:t xml:space="preserve"> | FAS</w:t>
      </w:r>
      <w:bookmarkEnd w:id="262"/>
      <w:bookmarkEnd w:id="263"/>
    </w:p>
    <w:tbl>
      <w:tblPr>
        <w:tblStyle w:val="TableGrid"/>
        <w:tblW w:w="0" w:type="auto"/>
        <w:tblLook w:val="04A0" w:firstRow="1" w:lastRow="0" w:firstColumn="1" w:lastColumn="0" w:noHBand="0" w:noVBand="1"/>
      </w:tblPr>
      <w:tblGrid>
        <w:gridCol w:w="9016"/>
      </w:tblGrid>
      <w:tr w:rsidR="000B148D" w:rsidRPr="00054570" w14:paraId="2A278C00" w14:textId="77777777" w:rsidTr="00433B79">
        <w:tc>
          <w:tcPr>
            <w:tcW w:w="9016" w:type="dxa"/>
            <w:shd w:val="clear" w:color="auto" w:fill="auto"/>
          </w:tcPr>
          <w:p w14:paraId="01BF7CE8" w14:textId="77777777" w:rsidR="000B148D" w:rsidRPr="00054570" w:rsidRDefault="000B148D">
            <w:pPr>
              <w:jc w:val="center"/>
            </w:pPr>
            <w:r w:rsidRPr="00301C35">
              <w:rPr>
                <w:noProof/>
              </w:rPr>
              <w:drawing>
                <wp:inline distT="0" distB="0" distL="0" distR="0" wp14:anchorId="0AC05CFA" wp14:editId="26FCF9D6">
                  <wp:extent cx="5591175" cy="29737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a:extLst>
                              <a:ext uri="{28A0092B-C50C-407E-A947-70E740481C1C}">
                                <a14:useLocalDpi xmlns:a14="http://schemas.microsoft.com/office/drawing/2010/main" val="0"/>
                              </a:ext>
                            </a:extLst>
                          </a:blip>
                          <a:stretch>
                            <a:fillRect/>
                          </a:stretch>
                        </pic:blipFill>
                        <pic:spPr>
                          <a:xfrm>
                            <a:off x="0" y="0"/>
                            <a:ext cx="5603754" cy="2980480"/>
                          </a:xfrm>
                          <a:prstGeom prst="rect">
                            <a:avLst/>
                          </a:prstGeom>
                        </pic:spPr>
                      </pic:pic>
                    </a:graphicData>
                  </a:graphic>
                </wp:inline>
              </w:drawing>
            </w:r>
          </w:p>
        </w:tc>
      </w:tr>
    </w:tbl>
    <w:p w14:paraId="4A32ACED" w14:textId="36A05BE3" w:rsidR="000B148D" w:rsidRPr="00054570" w:rsidRDefault="000B148D" w:rsidP="000B148D">
      <w:pPr>
        <w:pStyle w:val="Footnotes"/>
      </w:pPr>
      <w:r w:rsidRPr="00054570">
        <w:rPr>
          <w:rStyle w:val="FootnotesChar"/>
        </w:rPr>
        <w:t xml:space="preserve">Abbreviations: CI, confidence interval; FAS, full analysis set; </w:t>
      </w:r>
      <w:r w:rsidR="00592E78">
        <w:rPr>
          <w:rStyle w:val="FootnotesChar"/>
        </w:rPr>
        <w:t xml:space="preserve">GHS, global health status; </w:t>
      </w:r>
      <w:r w:rsidRPr="00054570">
        <w:rPr>
          <w:rStyle w:val="FootnotesChar"/>
        </w:rPr>
        <w:t>HR, hazard ratio; T-DXd, trastuzumab deruxtecan; TPC, treatment of physician’s choice</w:t>
      </w:r>
      <w:r w:rsidR="00D646F1">
        <w:rPr>
          <w:rStyle w:val="FootnotesChar"/>
        </w:rPr>
        <w:t>.</w:t>
      </w:r>
      <w:r w:rsidRPr="00054570">
        <w:br/>
        <w:t>Source: Daiichi Sankyo Inc., 2022 (FAS PRO tables and figures, Data on File)</w:t>
      </w:r>
      <w:r>
        <w:fldChar w:fldCharType="begin"/>
      </w:r>
      <w:r w:rsidR="00CA6345">
        <w:instrText xml:space="preserve"> ADDIN ZOTERO_ITEM CSL_CITATION {"citationID":"YiixfO3O","properties":{"formattedCitation":"\\super 152\\nosupersub{}","plainCitation":"152","noteIndex":0},"citationItems":[{"id":66410,"uris":["http://zotero.org/groups/4797619/items/RKV2VG2A"],"itemData":{"id":66410,"type":"document","title":"FAS PRO tables and figures. Data on File.","author":[{"family":"Daiichi Sankyo Inc.","given":""}]}}],"schema":"https://github.com/citation-style-language/schema/raw/master/csl-citation.json"} </w:instrText>
      </w:r>
      <w:r>
        <w:fldChar w:fldCharType="separate"/>
      </w:r>
      <w:r w:rsidR="00CA6345" w:rsidRPr="00CA6345">
        <w:rPr>
          <w:rFonts w:cs="Arial"/>
          <w:szCs w:val="24"/>
          <w:vertAlign w:val="superscript"/>
        </w:rPr>
        <w:t>152</w:t>
      </w:r>
      <w:r>
        <w:fldChar w:fldCharType="end"/>
      </w:r>
    </w:p>
    <w:p w14:paraId="1520D12C" w14:textId="0D1EE939" w:rsidR="000B148D" w:rsidRPr="00054570" w:rsidRDefault="000B148D" w:rsidP="000B148D">
      <w:pPr>
        <w:pStyle w:val="Caption"/>
      </w:pPr>
      <w:bookmarkStart w:id="264" w:name="_Ref124278895"/>
      <w:bookmarkStart w:id="265" w:name="_Ref124278892"/>
      <w:bookmarkStart w:id="266" w:name="_Toc124447864"/>
      <w:bookmarkStart w:id="267" w:name="_Toc129350944"/>
      <w:r w:rsidRPr="00054570">
        <w:t xml:space="preserve">Figure </w:t>
      </w:r>
      <w:fldSimple w:instr=" SEQ Figure \* ARABIC ">
        <w:r w:rsidR="00145F42">
          <w:rPr>
            <w:noProof/>
          </w:rPr>
          <w:t>18</w:t>
        </w:r>
      </w:fldSimple>
      <w:bookmarkEnd w:id="264"/>
      <w:r w:rsidRPr="00054570">
        <w:t>: DESTINY-Breast04 | Kaplan-Meier plot of time to definitive deterioration of the EORTC QLQ-C30 | HR-positive cohort</w:t>
      </w:r>
      <w:bookmarkEnd w:id="265"/>
      <w:bookmarkEnd w:id="266"/>
      <w:bookmarkEnd w:id="26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B148D" w:rsidRPr="00054570" w14:paraId="1167751B" w14:textId="77777777">
        <w:tc>
          <w:tcPr>
            <w:tcW w:w="9026" w:type="dxa"/>
            <w:tcBorders>
              <w:top w:val="single" w:sz="4" w:space="0" w:color="auto"/>
              <w:left w:val="single" w:sz="4" w:space="0" w:color="auto"/>
              <w:bottom w:val="single" w:sz="4" w:space="0" w:color="auto"/>
              <w:right w:val="single" w:sz="4" w:space="0" w:color="auto"/>
            </w:tcBorders>
            <w:vAlign w:val="center"/>
          </w:tcPr>
          <w:p w14:paraId="27054CFE" w14:textId="77777777" w:rsidR="000B148D" w:rsidRPr="00054570" w:rsidRDefault="000B148D">
            <w:pPr>
              <w:pStyle w:val="Body"/>
              <w:spacing w:before="120" w:after="120"/>
              <w:jc w:val="center"/>
            </w:pPr>
            <w:r w:rsidRPr="00054570">
              <w:rPr>
                <w:noProof/>
              </w:rPr>
              <w:drawing>
                <wp:inline distT="0" distB="0" distL="0" distR="0" wp14:anchorId="0A19B569" wp14:editId="1751374B">
                  <wp:extent cx="5607685" cy="3333459"/>
                  <wp:effectExtent l="0" t="0" r="0" b="1905"/>
                  <wp:docPr id="9" name="Picture 9"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10;&#10;Description automatically generated with medium confidence"/>
                          <pic:cNvPicPr/>
                        </pic:nvPicPr>
                        <pic:blipFill rotWithShape="1">
                          <a:blip r:embed="rId28"/>
                          <a:srcRect t="13774" b="4522"/>
                          <a:stretch/>
                        </pic:blipFill>
                        <pic:spPr bwMode="auto">
                          <a:xfrm>
                            <a:off x="0" y="0"/>
                            <a:ext cx="5607685" cy="3333459"/>
                          </a:xfrm>
                          <a:prstGeom prst="rect">
                            <a:avLst/>
                          </a:prstGeom>
                          <a:ln>
                            <a:noFill/>
                          </a:ln>
                          <a:extLst>
                            <a:ext uri="{53640926-AAD7-44D8-BBD7-CCE9431645EC}">
                              <a14:shadowObscured xmlns:a14="http://schemas.microsoft.com/office/drawing/2010/main"/>
                            </a:ext>
                          </a:extLst>
                        </pic:spPr>
                      </pic:pic>
                    </a:graphicData>
                  </a:graphic>
                </wp:inline>
              </w:drawing>
            </w:r>
          </w:p>
        </w:tc>
      </w:tr>
    </w:tbl>
    <w:p w14:paraId="49045590" w14:textId="5853BC18" w:rsidR="000B148D" w:rsidRPr="00054570" w:rsidRDefault="000B148D" w:rsidP="000B148D">
      <w:pPr>
        <w:pStyle w:val="Footnotes"/>
      </w:pPr>
      <w:r w:rsidRPr="00054570">
        <w:t>Abbreviations: CI, confidence intervals;</w:t>
      </w:r>
      <w:r w:rsidR="00445DFF">
        <w:t>HR, hazard ratio</w:t>
      </w:r>
      <w:r w:rsidRPr="00054570">
        <w:t xml:space="preserve">; </w:t>
      </w:r>
      <w:r w:rsidR="00696DC3">
        <w:t xml:space="preserve">HR-positive, hormone receptor-positive; </w:t>
      </w:r>
      <w:r w:rsidRPr="00054570">
        <w:t xml:space="preserve">GHS, global health status; QoL, </w:t>
      </w:r>
      <w:r w:rsidR="005754E8">
        <w:t>quality-of-</w:t>
      </w:r>
      <w:r w:rsidRPr="00054570">
        <w:t>life; TDD, time to definitive deterioration; T-DXd, trastuzumab deruxtecan; TPC, treatment of physician’s choice.</w:t>
      </w:r>
      <w:r w:rsidRPr="00054570">
        <w:br/>
        <w:t>Source: Ueno, N. et al. ASCO, 2022.</w:t>
      </w:r>
      <w:r>
        <w:fldChar w:fldCharType="begin"/>
      </w:r>
      <w:r w:rsidR="00CA6345">
        <w:instrText xml:space="preserve"> ADDIN ZOTERO_ITEM CSL_CITATION {"citationID":"7oJliJw4","properties":{"formattedCitation":"\\super 151\\nosupersub{}","plainCitation":"151","noteIndex":0},"citationItems":[{"id":66139,"uris":["http://zotero.org/groups/4797619/items/GE98BVW6"],"itemData":{"id":66139,"type":"document","title":"Patient-Reported Outcomes (PROs) From DESTINY-Breast04  a Randomized Phase 3 Study of Trastuzumab Deruxtecan (T-DXd) vs Treatment of Physician’s Choice (TPC) in Patients With HER2-Low  Metastatic Breast Cancer. Presented at ESMO Congress, September 2022.","author":[{"family":"Ueno","given":"Shanu"},{"family":"Jacot","given":"William"},{"family":"Yamashita","given":"Toshinari"},{"family":"Sohn","given":"Joohyuk"},{"family":"Vidal","given":"Maria"},{"family":"Tokunaga","given":"Eriko"},{"family":"Tsurutani","given":"Junji"},{"family":"Lee","given":"Keun Seok"},{"family":"Niikura","given":"Naoki"},{"family":"Park","given":"Yeon Hee"},{"family":"Wang","given":"Xiaojia"},{"family":"Xu","given":"Binghe"},{"family":"Gambhire","given":"Dhiraj"},{"family":"Yung","given":"Lotus"},{"family":"Meinhardt","given":"Gerold"},{"family":"Wang","given":"Yibin"},{"family":"Harbeck","given":"Nadia"},{"family":"Cameron","given":"David"},{"family":"Modi","given":"Shanu"}],"issued":{"date-parts":[["2022",9,1]]}}}],"schema":"https://github.com/citation-style-language/schema/raw/master/csl-citation.json"} </w:instrText>
      </w:r>
      <w:r>
        <w:fldChar w:fldCharType="separate"/>
      </w:r>
      <w:r w:rsidR="00CA6345" w:rsidRPr="00CA6345">
        <w:rPr>
          <w:rFonts w:cs="Arial"/>
          <w:szCs w:val="24"/>
          <w:vertAlign w:val="superscript"/>
        </w:rPr>
        <w:t>151</w:t>
      </w:r>
      <w:r>
        <w:fldChar w:fldCharType="end"/>
      </w:r>
      <w:r w:rsidRPr="00054570">
        <w:t xml:space="preserve"> </w:t>
      </w:r>
    </w:p>
    <w:p w14:paraId="46535D76" w14:textId="73154E54" w:rsidR="000B148D" w:rsidRPr="00054570" w:rsidRDefault="000B148D" w:rsidP="000B148D">
      <w:pPr>
        <w:pStyle w:val="Caption"/>
      </w:pPr>
      <w:bookmarkStart w:id="268" w:name="_Ref124279298"/>
      <w:bookmarkStart w:id="269" w:name="_Ref124356127"/>
      <w:bookmarkStart w:id="270" w:name="_Toc124447865"/>
      <w:bookmarkStart w:id="271" w:name="_Toc129350945"/>
      <w:r w:rsidRPr="00054570">
        <w:lastRenderedPageBreak/>
        <w:t xml:space="preserve">Figure </w:t>
      </w:r>
      <w:fldSimple w:instr=" SEQ Figure \* ARABIC ">
        <w:r w:rsidR="00145F42">
          <w:rPr>
            <w:noProof/>
          </w:rPr>
          <w:t>19</w:t>
        </w:r>
      </w:fldSimple>
      <w:bookmarkEnd w:id="268"/>
      <w:r w:rsidRPr="00054570">
        <w:t>: DESTINY-Breast04 | Time to definitive deterioration in PRO measures | HR-positive cohort</w:t>
      </w:r>
      <w:bookmarkEnd w:id="269"/>
      <w:bookmarkEnd w:id="270"/>
      <w:bookmarkEnd w:id="27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B148D" w:rsidRPr="00054570" w14:paraId="264F7E9D" w14:textId="77777777">
        <w:tc>
          <w:tcPr>
            <w:tcW w:w="9026" w:type="dxa"/>
            <w:tcBorders>
              <w:top w:val="single" w:sz="4" w:space="0" w:color="auto"/>
              <w:left w:val="single" w:sz="4" w:space="0" w:color="auto"/>
              <w:bottom w:val="single" w:sz="4" w:space="0" w:color="auto"/>
              <w:right w:val="single" w:sz="4" w:space="0" w:color="auto"/>
            </w:tcBorders>
            <w:vAlign w:val="center"/>
          </w:tcPr>
          <w:p w14:paraId="07356424" w14:textId="77777777" w:rsidR="000B148D" w:rsidRPr="00054570" w:rsidRDefault="000B148D">
            <w:pPr>
              <w:pStyle w:val="Body"/>
              <w:spacing w:before="120" w:after="120"/>
              <w:jc w:val="center"/>
            </w:pPr>
            <w:r w:rsidRPr="00054570">
              <w:rPr>
                <w:noProof/>
              </w:rPr>
              <w:drawing>
                <wp:inline distT="0" distB="0" distL="0" distR="0" wp14:anchorId="21C2E9ED" wp14:editId="4D94ECFB">
                  <wp:extent cx="5607685" cy="2413057"/>
                  <wp:effectExtent l="0" t="0" r="0" b="6350"/>
                  <wp:docPr id="14" name="Picture 14" descr="Table&#10;&#10;Description automatically generated">
                    <a:extLst xmlns:a="http://schemas.openxmlformats.org/drawingml/2006/main">
                      <a:ext uri="{FF2B5EF4-FFF2-40B4-BE49-F238E27FC236}">
                        <a16:creationId xmlns:a16="http://schemas.microsoft.com/office/drawing/2014/main" id="{1776B04D-AACD-33AF-BFDD-BB70928622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descr="Table&#10;&#10;Description automatically generated">
                            <a:extLst>
                              <a:ext uri="{FF2B5EF4-FFF2-40B4-BE49-F238E27FC236}">
                                <a16:creationId xmlns:a16="http://schemas.microsoft.com/office/drawing/2014/main" id="{1776B04D-AACD-33AF-BFDD-BB7092862207}"/>
                              </a:ext>
                            </a:extLst>
                          </pic:cNvPr>
                          <pic:cNvPicPr>
                            <a:picLocks noChangeAspect="1"/>
                          </pic:cNvPicPr>
                        </pic:nvPicPr>
                        <pic:blipFill>
                          <a:blip r:embed="rId29"/>
                          <a:stretch>
                            <a:fillRect/>
                          </a:stretch>
                        </pic:blipFill>
                        <pic:spPr>
                          <a:xfrm>
                            <a:off x="0" y="0"/>
                            <a:ext cx="5611952" cy="2414893"/>
                          </a:xfrm>
                          <a:prstGeom prst="rect">
                            <a:avLst/>
                          </a:prstGeom>
                        </pic:spPr>
                      </pic:pic>
                    </a:graphicData>
                  </a:graphic>
                </wp:inline>
              </w:drawing>
            </w:r>
          </w:p>
        </w:tc>
      </w:tr>
    </w:tbl>
    <w:p w14:paraId="52B91617" w14:textId="2AB950A8" w:rsidR="000B148D" w:rsidRPr="00054570" w:rsidRDefault="000B148D" w:rsidP="000B148D">
      <w:pPr>
        <w:pStyle w:val="Footnotes"/>
      </w:pPr>
      <w:r w:rsidRPr="00054570">
        <w:t>Abbreviations: CI, confidence intervals; EQ-5D-5L, EuroQol 5-dimensions 5-levels; EORTC, European Organi</w:t>
      </w:r>
      <w:r w:rsidR="00052513">
        <w:t>s</w:t>
      </w:r>
      <w:r w:rsidRPr="00054570">
        <w:t>ation for Research and Treatment of Cance</w:t>
      </w:r>
      <w:r w:rsidR="00291469">
        <w:t>r</w:t>
      </w:r>
      <w:r w:rsidRPr="00054570">
        <w:t xml:space="preserve">; </w:t>
      </w:r>
      <w:r w:rsidR="008705F2">
        <w:t>HR-positive, hormone receptor-positive;</w:t>
      </w:r>
      <w:r w:rsidRPr="00054570">
        <w:t xml:space="preserve"> NE, not evaluable;</w:t>
      </w:r>
      <w:r w:rsidR="00291469">
        <w:t xml:space="preserve"> PRO, patient</w:t>
      </w:r>
      <w:r w:rsidR="000715B5">
        <w:t>-</w:t>
      </w:r>
      <w:r w:rsidR="00291469">
        <w:t>reported outcome;</w:t>
      </w:r>
      <w:r w:rsidRPr="00054570">
        <w:t xml:space="preserve"> QLQ-BR23, Quality</w:t>
      </w:r>
      <w:r w:rsidR="005754E8">
        <w:rPr>
          <w:spacing w:val="-16"/>
        </w:rPr>
        <w:t>-</w:t>
      </w:r>
      <w:r w:rsidR="005754E8" w:rsidRPr="00D07FD6">
        <w:t>of</w:t>
      </w:r>
      <w:r w:rsidR="005754E8">
        <w:t>-l</w:t>
      </w:r>
      <w:r w:rsidR="005754E8" w:rsidRPr="00D07FD6">
        <w:t xml:space="preserve">ife </w:t>
      </w:r>
      <w:r w:rsidR="00392C61">
        <w:t>Breast</w:t>
      </w:r>
      <w:r w:rsidRPr="00054570">
        <w:t xml:space="preserve"> </w:t>
      </w:r>
      <w:r w:rsidR="00392C61">
        <w:t>Cancer 2</w:t>
      </w:r>
      <w:r w:rsidRPr="00054570">
        <w:t>3 questionnaire; QLQ-C30, Quality</w:t>
      </w:r>
      <w:r w:rsidR="005754E8">
        <w:rPr>
          <w:spacing w:val="-16"/>
        </w:rPr>
        <w:t>-</w:t>
      </w:r>
      <w:r w:rsidR="005754E8" w:rsidRPr="00D07FD6">
        <w:t>of</w:t>
      </w:r>
      <w:r w:rsidR="005754E8">
        <w:t>-l</w:t>
      </w:r>
      <w:r w:rsidR="005754E8" w:rsidRPr="00D07FD6">
        <w:t xml:space="preserve">ife </w:t>
      </w:r>
      <w:r w:rsidRPr="00054570">
        <w:t xml:space="preserve">Core 30 questionnaire; QoL, </w:t>
      </w:r>
      <w:r w:rsidR="005754E8">
        <w:t>quality-of-life</w:t>
      </w:r>
      <w:r w:rsidRPr="00054570">
        <w:t>; TDD, time to definitive deterioration; T-DXd, trastuzumab deruxtecan; TPC, treatment of physician’s choice; VAS, visual analogue scale</w:t>
      </w:r>
      <w:r w:rsidRPr="00054570">
        <w:br/>
        <w:t>Source: Ueno, N. et al. ASCO, 2022.</w:t>
      </w:r>
      <w:r>
        <w:fldChar w:fldCharType="begin"/>
      </w:r>
      <w:r w:rsidR="00CA6345">
        <w:instrText xml:space="preserve"> ADDIN ZOTERO_ITEM CSL_CITATION {"citationID":"VhuAA9ZY","properties":{"formattedCitation":"\\super 151\\nosupersub{}","plainCitation":"151","noteIndex":0},"citationItems":[{"id":66139,"uris":["http://zotero.org/groups/4797619/items/GE98BVW6"],"itemData":{"id":66139,"type":"document","title":"Patient-Reported Outcomes (PROs) From DESTINY-Breast04  a Randomized Phase 3 Study of Trastuzumab Deruxtecan (T-DXd) vs Treatment of Physician’s Choice (TPC) in Patients With HER2-Low  Metastatic Breast Cancer. Presented at ESMO Congress, September 2022.","author":[{"family":"Ueno","given":"Shanu"},{"family":"Jacot","given":"William"},{"family":"Yamashita","given":"Toshinari"},{"family":"Sohn","given":"Joohyuk"},{"family":"Vidal","given":"Maria"},{"family":"Tokunaga","given":"Eriko"},{"family":"Tsurutani","given":"Junji"},{"family":"Lee","given":"Keun Seok"},{"family":"Niikura","given":"Naoki"},{"family":"Park","given":"Yeon Hee"},{"family":"Wang","given":"Xiaojia"},{"family":"Xu","given":"Binghe"},{"family":"Gambhire","given":"Dhiraj"},{"family":"Yung","given":"Lotus"},{"family":"Meinhardt","given":"Gerold"},{"family":"Wang","given":"Yibin"},{"family":"Harbeck","given":"Nadia"},{"family":"Cameron","given":"David"},{"family":"Modi","given":"Shanu"}],"issued":{"date-parts":[["2022",9,1]]}}}],"schema":"https://github.com/citation-style-language/schema/raw/master/csl-citation.json"} </w:instrText>
      </w:r>
      <w:r>
        <w:fldChar w:fldCharType="separate"/>
      </w:r>
      <w:r w:rsidR="00CA6345" w:rsidRPr="00CA6345">
        <w:rPr>
          <w:rFonts w:cs="Arial"/>
          <w:szCs w:val="24"/>
          <w:vertAlign w:val="superscript"/>
        </w:rPr>
        <w:t>151</w:t>
      </w:r>
      <w:r>
        <w:fldChar w:fldCharType="end"/>
      </w:r>
      <w:r w:rsidRPr="00054570">
        <w:t xml:space="preserve"> </w:t>
      </w:r>
    </w:p>
    <w:p w14:paraId="21914E05" w14:textId="77777777" w:rsidR="000B148D" w:rsidRPr="00054570" w:rsidRDefault="000B148D" w:rsidP="000B148D">
      <w:pPr>
        <w:pStyle w:val="Heading5"/>
        <w:numPr>
          <w:ilvl w:val="0"/>
          <w:numId w:val="0"/>
        </w:numPr>
      </w:pPr>
      <w:r w:rsidRPr="00054570">
        <w:t>Patient-reported outcome | EORTC QLQ-BR45 (QLQ-BR23) | FAS</w:t>
      </w:r>
    </w:p>
    <w:p w14:paraId="5E6ACB3D" w14:textId="52093D24" w:rsidR="000B148D" w:rsidRPr="00054570" w:rsidRDefault="000B148D" w:rsidP="000B148D">
      <w:pPr>
        <w:pStyle w:val="Body"/>
      </w:pPr>
      <w:r>
        <w:t xml:space="preserve">For the breast symptoms scale, the median baseline score was </w:t>
      </w:r>
      <w:r w:rsidR="00294FDC" w:rsidRPr="00294FDC">
        <w:rPr>
          <w:color w:val="000000"/>
          <w:highlight w:val="black"/>
        </w:rPr>
        <w:t>xxxx</w:t>
      </w:r>
      <w:r>
        <w:t xml:space="preserve"> in both treatment arms.</w:t>
      </w:r>
      <w:r>
        <w:fldChar w:fldCharType="begin"/>
      </w:r>
      <w:r w:rsidR="00CA6345">
        <w:instrText xml:space="preserve"> ADDIN ZOTERO_ITEM CSL_CITATION {"citationID":"qWmSdwEc","properties":{"formattedCitation":"\\super 152\\nosupersub{}","plainCitation":"152","noteIndex":0},"citationItems":[{"id":66410,"uris":["http://zotero.org/groups/4797619/items/RKV2VG2A"],"itemData":{"id":66410,"type":"document","title":"FAS PRO tables and figures. Data on File.","author":[{"family":"Daiichi Sankyo Inc.","given":""}]}}],"schema":"https://github.com/citation-style-language/schema/raw/master/csl-citation.json"} </w:instrText>
      </w:r>
      <w:r>
        <w:fldChar w:fldCharType="separate"/>
      </w:r>
      <w:r w:rsidR="00CA6345" w:rsidRPr="00CA6345">
        <w:rPr>
          <w:rFonts w:cs="Arial"/>
          <w:szCs w:val="24"/>
          <w:vertAlign w:val="superscript"/>
        </w:rPr>
        <w:t>152</w:t>
      </w:r>
      <w:r>
        <w:fldChar w:fldCharType="end"/>
      </w:r>
      <w:r>
        <w:t xml:space="preserve"> </w:t>
      </w:r>
      <w:r w:rsidRPr="00054570">
        <w:t xml:space="preserve">At end of treatment, median baseline </w:t>
      </w:r>
      <w:r>
        <w:t xml:space="preserve">breast </w:t>
      </w:r>
      <w:r w:rsidRPr="00054570">
        <w:t xml:space="preserve">symptom scores were </w:t>
      </w:r>
      <w:r w:rsidR="00294FDC" w:rsidRPr="00294FDC">
        <w:rPr>
          <w:color w:val="000000"/>
          <w:highlight w:val="black"/>
        </w:rPr>
        <w:t>xxxxxxxx</w:t>
      </w:r>
      <w:r w:rsidR="00433B79">
        <w:rPr>
          <w:color w:val="000000"/>
          <w:highlight w:val="black"/>
        </w:rPr>
        <w:t xml:space="preserve"> </w:t>
      </w:r>
      <w:r w:rsidR="00294FDC" w:rsidRPr="00294FDC">
        <w:rPr>
          <w:color w:val="000000"/>
          <w:highlight w:val="black"/>
        </w:rPr>
        <w:t>xxxxxxxxxxxxxxx</w:t>
      </w:r>
      <w:r w:rsidRPr="00054570">
        <w:t xml:space="preserve"> (median change from baseline: </w:t>
      </w:r>
      <w:r w:rsidR="00294FDC" w:rsidRPr="00294FDC">
        <w:rPr>
          <w:color w:val="000000"/>
          <w:highlight w:val="black"/>
        </w:rPr>
        <w:t>xxxx</w:t>
      </w:r>
      <w:r w:rsidRPr="00362962">
        <w:t xml:space="preserve"> and </w:t>
      </w:r>
      <w:r w:rsidR="00294FDC" w:rsidRPr="00294FDC">
        <w:rPr>
          <w:color w:val="000000"/>
          <w:highlight w:val="black"/>
        </w:rPr>
        <w:t>xxxx</w:t>
      </w:r>
      <w:r w:rsidRPr="00362962">
        <w:t>, in the T-DXd arm and TPC arm, respectively</w:t>
      </w:r>
      <w:r w:rsidRPr="00054570">
        <w:t>).</w:t>
      </w:r>
      <w:r>
        <w:fldChar w:fldCharType="begin"/>
      </w:r>
      <w:r w:rsidR="00CA6345">
        <w:instrText xml:space="preserve"> ADDIN ZOTERO_ITEM CSL_CITATION {"citationID":"DtlC9oLX","properties":{"formattedCitation":"\\super 152\\nosupersub{}","plainCitation":"152","noteIndex":0},"citationItems":[{"id":66410,"uris":["http://zotero.org/groups/4797619/items/RKV2VG2A"],"itemData":{"id":66410,"type":"document","title":"FAS PRO tables and figures. Data on File.","author":[{"family":"Daiichi Sankyo Inc.","given":""}]}}],"schema":"https://github.com/citation-style-language/schema/raw/master/csl-citation.json"} </w:instrText>
      </w:r>
      <w:r>
        <w:fldChar w:fldCharType="separate"/>
      </w:r>
      <w:r w:rsidR="00CA6345" w:rsidRPr="00CA6345">
        <w:rPr>
          <w:rFonts w:cs="Arial"/>
          <w:szCs w:val="24"/>
          <w:vertAlign w:val="superscript"/>
        </w:rPr>
        <w:t>152</w:t>
      </w:r>
      <w:r>
        <w:fldChar w:fldCharType="end"/>
      </w:r>
      <w:r w:rsidRPr="003F5E28">
        <w:t xml:space="preserve"> </w:t>
      </w:r>
      <w:r w:rsidRPr="00054570">
        <w:t xml:space="preserve">For the arm symptoms scale, the median baseline score was </w:t>
      </w:r>
      <w:r w:rsidR="00294FDC" w:rsidRPr="00294FDC">
        <w:rPr>
          <w:color w:val="000000"/>
          <w:highlight w:val="black"/>
        </w:rPr>
        <w:t>xxxxx</w:t>
      </w:r>
      <w:r w:rsidRPr="00054570">
        <w:t xml:space="preserve"> in both arms, and at the end of treatment, the median change from baseline was </w:t>
      </w:r>
      <w:r w:rsidR="00294FDC" w:rsidRPr="00294FDC">
        <w:rPr>
          <w:color w:val="000000"/>
          <w:highlight w:val="black"/>
        </w:rPr>
        <w:t>xxxx</w:t>
      </w:r>
      <w:r w:rsidRPr="00054570">
        <w:t xml:space="preserve"> in both arms.</w:t>
      </w:r>
      <w:r>
        <w:fldChar w:fldCharType="begin"/>
      </w:r>
      <w:r w:rsidR="00CA6345">
        <w:instrText xml:space="preserve"> ADDIN ZOTERO_ITEM CSL_CITATION {"citationID":"mDkKgeF8","properties":{"formattedCitation":"\\super 152\\nosupersub{}","plainCitation":"152","noteIndex":0},"citationItems":[{"id":66410,"uris":["http://zotero.org/groups/4797619/items/RKV2VG2A"],"itemData":{"id":66410,"type":"document","title":"FAS PRO tables and figures. Data on File.","author":[{"family":"Daiichi Sankyo Inc.","given":""}]}}],"schema":"https://github.com/citation-style-language/schema/raw/master/csl-citation.json"} </w:instrText>
      </w:r>
      <w:r>
        <w:fldChar w:fldCharType="separate"/>
      </w:r>
      <w:r w:rsidR="00CA6345" w:rsidRPr="00CA6345">
        <w:rPr>
          <w:rFonts w:cs="Arial"/>
          <w:szCs w:val="24"/>
          <w:vertAlign w:val="superscript"/>
        </w:rPr>
        <w:t>152</w:t>
      </w:r>
      <w:r>
        <w:fldChar w:fldCharType="end"/>
      </w:r>
      <w:r w:rsidRPr="00054570">
        <w:t xml:space="preserve"> </w:t>
      </w:r>
    </w:p>
    <w:p w14:paraId="4203D08E" w14:textId="554A1FE3" w:rsidR="000B148D" w:rsidRDefault="000B148D" w:rsidP="000B148D">
      <w:pPr>
        <w:pStyle w:val="Body"/>
      </w:pPr>
      <w:r w:rsidRPr="00054570">
        <w:t xml:space="preserve">T-DXd was associated with </w:t>
      </w:r>
      <w:r w:rsidR="00294FDC" w:rsidRPr="00294FDC">
        <w:rPr>
          <w:color w:val="000000"/>
          <w:highlight w:val="black"/>
        </w:rPr>
        <w:t>xxxxxxxxxxx</w:t>
      </w:r>
      <w:r w:rsidRPr="00054570">
        <w:t xml:space="preserve"> in arm symptoms compared with TPC (</w:t>
      </w:r>
      <w:r w:rsidR="00294FDC" w:rsidRPr="00294FDC">
        <w:rPr>
          <w:color w:val="000000"/>
          <w:highlight w:val="black"/>
        </w:rPr>
        <w:t>xxxx</w:t>
      </w:r>
      <w:r w:rsidRPr="00054570">
        <w:t xml:space="preserve"> </w:t>
      </w:r>
      <w:r w:rsidR="00BA159F">
        <w:t xml:space="preserve">months </w:t>
      </w:r>
      <w:r w:rsidR="002905A0">
        <w:t xml:space="preserve">(95% CI: </w:t>
      </w:r>
      <w:r w:rsidR="00294FDC" w:rsidRPr="00294FDC">
        <w:rPr>
          <w:color w:val="000000"/>
          <w:highlight w:val="black"/>
        </w:rPr>
        <w:t>xxxxxxxxxx</w:t>
      </w:r>
      <w:r w:rsidR="00A70C63">
        <w:t xml:space="preserve">) </w:t>
      </w:r>
      <w:r w:rsidRPr="00054570">
        <w:t xml:space="preserve">vs. </w:t>
      </w:r>
      <w:r w:rsidR="00294FDC" w:rsidRPr="00294FDC">
        <w:rPr>
          <w:color w:val="000000"/>
          <w:highlight w:val="black"/>
        </w:rPr>
        <w:t>xxx</w:t>
      </w:r>
      <w:r w:rsidRPr="00054570">
        <w:t xml:space="preserve"> months</w:t>
      </w:r>
      <w:r w:rsidR="00A70C63">
        <w:t xml:space="preserve"> (95% CI: </w:t>
      </w:r>
      <w:r w:rsidR="00294FDC" w:rsidRPr="00294FDC">
        <w:rPr>
          <w:color w:val="000000"/>
          <w:highlight w:val="black"/>
        </w:rPr>
        <w:t>xxxxxxx</w:t>
      </w:r>
      <w:r w:rsidR="00A70C63">
        <w:t>)</w:t>
      </w:r>
      <w:r w:rsidRPr="00054570">
        <w:t xml:space="preserve">; HR: </w:t>
      </w:r>
      <w:r w:rsidR="00294FDC" w:rsidRPr="00294FDC">
        <w:rPr>
          <w:color w:val="000000"/>
          <w:highlight w:val="black"/>
        </w:rPr>
        <w:t>xxxx</w:t>
      </w:r>
      <w:r w:rsidRPr="00054570">
        <w:t xml:space="preserve">; 95% CI: </w:t>
      </w:r>
      <w:r w:rsidR="00294FDC" w:rsidRPr="00294FDC">
        <w:rPr>
          <w:color w:val="000000"/>
          <w:highlight w:val="black"/>
        </w:rPr>
        <w:t>xxxxxxxxxx</w:t>
      </w:r>
      <w:r w:rsidRPr="00054570">
        <w:t>; p=</w:t>
      </w:r>
      <w:r w:rsidR="00294FDC" w:rsidRPr="00294FDC">
        <w:rPr>
          <w:color w:val="000000"/>
          <w:highlight w:val="black"/>
        </w:rPr>
        <w:t>xxxxxx</w:t>
      </w:r>
      <w:r w:rsidRPr="00BC1CFC">
        <w:t xml:space="preserve">; </w:t>
      </w:r>
      <w:r w:rsidRPr="00BC1CFC">
        <w:rPr>
          <w:b/>
          <w:bCs/>
          <w:highlight w:val="yellow"/>
          <w:u w:val="single"/>
        </w:rPr>
        <w:fldChar w:fldCharType="begin"/>
      </w:r>
      <w:r w:rsidRPr="00BC1CFC">
        <w:rPr>
          <w:b/>
          <w:bCs/>
          <w:u w:val="single"/>
        </w:rPr>
        <w:instrText xml:space="preserve"> REF _Ref126851229 \h </w:instrText>
      </w:r>
      <w:r>
        <w:rPr>
          <w:b/>
          <w:bCs/>
          <w:highlight w:val="yellow"/>
          <w:u w:val="single"/>
        </w:rPr>
        <w:instrText xml:space="preserve"> \* MERGEFORMAT </w:instrText>
      </w:r>
      <w:r w:rsidRPr="00BC1CFC">
        <w:rPr>
          <w:b/>
          <w:bCs/>
          <w:highlight w:val="yellow"/>
          <w:u w:val="single"/>
        </w:rPr>
      </w:r>
      <w:r w:rsidRPr="00BC1CFC">
        <w:rPr>
          <w:b/>
          <w:bCs/>
          <w:highlight w:val="yellow"/>
          <w:u w:val="single"/>
        </w:rPr>
        <w:fldChar w:fldCharType="separate"/>
      </w:r>
      <w:r w:rsidR="00145F42" w:rsidRPr="00145F42">
        <w:rPr>
          <w:b/>
          <w:bCs/>
        </w:rPr>
        <w:t xml:space="preserve">Figure </w:t>
      </w:r>
      <w:r w:rsidR="00145F42" w:rsidRPr="00145F42">
        <w:rPr>
          <w:b/>
          <w:bCs/>
          <w:noProof/>
        </w:rPr>
        <w:t>20</w:t>
      </w:r>
      <w:r w:rsidRPr="00BC1CFC">
        <w:rPr>
          <w:b/>
          <w:bCs/>
          <w:highlight w:val="yellow"/>
          <w:u w:val="single"/>
        </w:rPr>
        <w:fldChar w:fldCharType="end"/>
      </w:r>
      <w:r w:rsidRPr="00054570">
        <w:t>)</w:t>
      </w:r>
      <w:r>
        <w:t>.</w:t>
      </w:r>
      <w:r>
        <w:fldChar w:fldCharType="begin"/>
      </w:r>
      <w:r w:rsidR="00CA6345">
        <w:instrText xml:space="preserve"> ADDIN ZOTERO_ITEM CSL_CITATION {"citationID":"3lGd9r3Y","properties":{"formattedCitation":"\\super 152\\nosupersub{}","plainCitation":"152","noteIndex":0},"citationItems":[{"id":66410,"uris":["http://zotero.org/groups/4797619/items/RKV2VG2A"],"itemData":{"id":66410,"type":"document","title":"FAS PRO tables and figures. Data on File.","author":[{"family":"Daiichi Sankyo Inc.","given":""}]}}],"schema":"https://github.com/citation-style-language/schema/raw/master/csl-citation.json"} </w:instrText>
      </w:r>
      <w:r>
        <w:fldChar w:fldCharType="separate"/>
      </w:r>
      <w:r w:rsidR="00CA6345" w:rsidRPr="00CA6345">
        <w:rPr>
          <w:rFonts w:cs="Arial"/>
          <w:szCs w:val="24"/>
          <w:vertAlign w:val="superscript"/>
        </w:rPr>
        <w:t>152</w:t>
      </w:r>
      <w:r>
        <w:fldChar w:fldCharType="end"/>
      </w:r>
      <w:r w:rsidRPr="00054570">
        <w:t xml:space="preserve"> </w:t>
      </w:r>
    </w:p>
    <w:p w14:paraId="2764B8EB" w14:textId="715F25F0" w:rsidR="000B148D" w:rsidRPr="00F803CA" w:rsidRDefault="000B148D" w:rsidP="000B148D">
      <w:pPr>
        <w:pStyle w:val="Body"/>
      </w:pPr>
      <w:r>
        <w:t>Results in the HR-positive cohort were consistent with those in the FAS (</w:t>
      </w:r>
      <w:r w:rsidRPr="00F803CA">
        <w:rPr>
          <w:b/>
          <w:bCs/>
        </w:rPr>
        <w:fldChar w:fldCharType="begin"/>
      </w:r>
      <w:r w:rsidRPr="00F803CA">
        <w:rPr>
          <w:b/>
          <w:bCs/>
        </w:rPr>
        <w:instrText xml:space="preserve"> REF _Ref124279298 \h </w:instrText>
      </w:r>
      <w:r>
        <w:rPr>
          <w:b/>
          <w:bCs/>
        </w:rPr>
        <w:instrText xml:space="preserve"> \* MERGEFORMAT </w:instrText>
      </w:r>
      <w:r w:rsidRPr="00F803CA">
        <w:rPr>
          <w:b/>
          <w:bCs/>
        </w:rPr>
      </w:r>
      <w:r w:rsidRPr="00F803CA">
        <w:rPr>
          <w:b/>
          <w:bCs/>
        </w:rPr>
        <w:fldChar w:fldCharType="separate"/>
      </w:r>
      <w:r w:rsidR="00145F42" w:rsidRPr="00145F42">
        <w:rPr>
          <w:b/>
          <w:bCs/>
        </w:rPr>
        <w:t xml:space="preserve">Figure </w:t>
      </w:r>
      <w:r w:rsidR="00145F42" w:rsidRPr="00145F42">
        <w:rPr>
          <w:b/>
          <w:bCs/>
          <w:noProof/>
        </w:rPr>
        <w:t>19</w:t>
      </w:r>
      <w:r w:rsidRPr="00F803CA">
        <w:rPr>
          <w:b/>
          <w:bCs/>
        </w:rPr>
        <w:fldChar w:fldCharType="end"/>
      </w:r>
      <w:r>
        <w:t>).</w:t>
      </w:r>
      <w:r>
        <w:fldChar w:fldCharType="begin"/>
      </w:r>
      <w:r w:rsidR="00CA6345">
        <w:instrText xml:space="preserve"> ADDIN ZOTERO_ITEM CSL_CITATION {"citationID":"zXMC5aji","properties":{"formattedCitation":"\\super 7,151\\nosupersub{}","plainCitation":"7,151","noteIndex":0},"citationItems":[{"id":65944,"uris":["http://zotero.org/groups/4797619/items/WBVSVVF7"],"itemData":{"id":65944,"type":"document","title":"Clinical Study Report for DS8201-A-U303. Data cut-off date: 11 Jan 2022. Data on File.","author":[{"family":"Daiichi Sankyo Inc.","given":""}],"issued":{"date-parts":[["2022"]]}}},{"id":66139,"uris":["http://zotero.org/groups/4797619/items/GE98BVW6"],"itemData":{"id":66139,"type":"document","title":"Patient-Reported Outcomes (PROs) From DESTINY-Breast04  a Randomized Phase 3 Study of Trastuzumab Deruxtecan (T-DXd) vs Treatment of Physician’s Choice (TPC) in Patients With HER2-Low  Metastatic Breast Cancer. Presented at ESMO Congress, September 2022.","author":[{"family":"Ueno","given":"Shanu"},{"family":"Jacot","given":"William"},{"family":"Yamashita","given":"Toshinari"},{"family":"Sohn","given":"Joohyuk"},{"family":"Vidal","given":"Maria"},{"family":"Tokunaga","given":"Eriko"},{"family":"Tsurutani","given":"Junji"},{"family":"Lee","given":"Keun Seok"},{"family":"Niikura","given":"Naoki"},{"family":"Park","given":"Yeon Hee"},{"family":"Wang","given":"Xiaojia"},{"family":"Xu","given":"Binghe"},{"family":"Gambhire","given":"Dhiraj"},{"family":"Yung","given":"Lotus"},{"family":"Meinhardt","given":"Gerold"},{"family":"Wang","given":"Yibin"},{"family":"Harbeck","given":"Nadia"},{"family":"Cameron","given":"David"},{"family":"Modi","given":"Shanu"}],"issued":{"date-parts":[["2022",9,1]]}}}],"schema":"https://github.com/citation-style-language/schema/raw/master/csl-citation.json"} </w:instrText>
      </w:r>
      <w:r>
        <w:fldChar w:fldCharType="separate"/>
      </w:r>
      <w:r w:rsidR="00CA6345" w:rsidRPr="00CA6345">
        <w:rPr>
          <w:rFonts w:cs="Arial"/>
          <w:szCs w:val="24"/>
          <w:vertAlign w:val="superscript"/>
        </w:rPr>
        <w:t>7,151</w:t>
      </w:r>
      <w:r>
        <w:fldChar w:fldCharType="end"/>
      </w:r>
    </w:p>
    <w:p w14:paraId="5E16E756" w14:textId="1E932846" w:rsidR="000B148D" w:rsidRPr="00054570" w:rsidRDefault="000B148D" w:rsidP="000B148D">
      <w:pPr>
        <w:pStyle w:val="Caption"/>
      </w:pPr>
      <w:bookmarkStart w:id="272" w:name="_Ref126851229"/>
      <w:bookmarkStart w:id="273" w:name="_Toc124447866"/>
      <w:bookmarkStart w:id="274" w:name="_Toc129350946"/>
      <w:r w:rsidRPr="00054570">
        <w:lastRenderedPageBreak/>
        <w:t xml:space="preserve">Figure </w:t>
      </w:r>
      <w:fldSimple w:instr=" SEQ Figure \* ARABIC ">
        <w:r w:rsidR="00145F42">
          <w:rPr>
            <w:noProof/>
          </w:rPr>
          <w:t>20</w:t>
        </w:r>
      </w:fldSimple>
      <w:bookmarkEnd w:id="272"/>
      <w:r w:rsidRPr="00054570">
        <w:t>: DESTINY-Breast04 | Kaplan</w:t>
      </w:r>
      <w:r w:rsidR="00E555C7">
        <w:t>-</w:t>
      </w:r>
      <w:r w:rsidRPr="00054570">
        <w:t>Meier plot of time to definitive deterioration of EORTC QLQ-BR45 | FAS</w:t>
      </w:r>
      <w:bookmarkEnd w:id="273"/>
      <w:bookmarkEnd w:id="274"/>
    </w:p>
    <w:tbl>
      <w:tblPr>
        <w:tblStyle w:val="TableGrid"/>
        <w:tblW w:w="0" w:type="auto"/>
        <w:tblLook w:val="04A0" w:firstRow="1" w:lastRow="0" w:firstColumn="1" w:lastColumn="0" w:noHBand="0" w:noVBand="1"/>
      </w:tblPr>
      <w:tblGrid>
        <w:gridCol w:w="9016"/>
      </w:tblGrid>
      <w:tr w:rsidR="000B148D" w:rsidRPr="00054570" w14:paraId="68682F01" w14:textId="77777777" w:rsidTr="00433B79">
        <w:tc>
          <w:tcPr>
            <w:tcW w:w="9016" w:type="dxa"/>
            <w:shd w:val="clear" w:color="auto" w:fill="auto"/>
          </w:tcPr>
          <w:p w14:paraId="2FB5B186" w14:textId="77777777" w:rsidR="000B148D" w:rsidRPr="00054570" w:rsidRDefault="000B148D">
            <w:pPr>
              <w:jc w:val="center"/>
            </w:pPr>
            <w:r w:rsidRPr="003374CA">
              <w:rPr>
                <w:noProof/>
              </w:rPr>
              <w:drawing>
                <wp:inline distT="0" distB="0" distL="0" distR="0" wp14:anchorId="655448C0" wp14:editId="13E90896">
                  <wp:extent cx="5586095" cy="2906471"/>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7">
                            <a:extLst>
                              <a:ext uri="{28A0092B-C50C-407E-A947-70E740481C1C}">
                                <a14:useLocalDpi xmlns:a14="http://schemas.microsoft.com/office/drawing/2010/main" val="0"/>
                              </a:ext>
                            </a:extLst>
                          </a:blip>
                          <a:stretch>
                            <a:fillRect/>
                          </a:stretch>
                        </pic:blipFill>
                        <pic:spPr>
                          <a:xfrm>
                            <a:off x="0" y="0"/>
                            <a:ext cx="5596332" cy="2911797"/>
                          </a:xfrm>
                          <a:prstGeom prst="rect">
                            <a:avLst/>
                          </a:prstGeom>
                        </pic:spPr>
                      </pic:pic>
                    </a:graphicData>
                  </a:graphic>
                </wp:inline>
              </w:drawing>
            </w:r>
          </w:p>
        </w:tc>
      </w:tr>
    </w:tbl>
    <w:p w14:paraId="7FE02495" w14:textId="0370772B" w:rsidR="000B148D" w:rsidRPr="00525BCA" w:rsidRDefault="000B148D" w:rsidP="000B148D">
      <w:pPr>
        <w:pStyle w:val="Footnotes"/>
        <w:shd w:val="clear" w:color="auto" w:fill="FFFFFF" w:themeFill="background1"/>
        <w:rPr>
          <w:shd w:val="clear" w:color="auto" w:fill="E1DFDD"/>
        </w:rPr>
      </w:pPr>
      <w:r w:rsidRPr="003C648C">
        <w:rPr>
          <w:rStyle w:val="Hashtag"/>
          <w:color w:val="auto"/>
          <w:shd w:val="clear" w:color="auto" w:fill="FFFFFF" w:themeFill="background1"/>
        </w:rPr>
        <w:t xml:space="preserve">Abbreviations: CI, confidence interval; </w:t>
      </w:r>
      <w:r w:rsidR="00392C61" w:rsidRPr="00054570">
        <w:t>EORTC, European Organi</w:t>
      </w:r>
      <w:r w:rsidR="00392C61">
        <w:t>s</w:t>
      </w:r>
      <w:r w:rsidR="00392C61" w:rsidRPr="00054570">
        <w:t>ation for Research and Treatment of Cance</w:t>
      </w:r>
      <w:r w:rsidR="00392C61">
        <w:t>r</w:t>
      </w:r>
      <w:r w:rsidR="00392C61" w:rsidRPr="00054570">
        <w:t>;</w:t>
      </w:r>
      <w:r w:rsidR="00392C61">
        <w:t xml:space="preserve"> </w:t>
      </w:r>
      <w:r w:rsidRPr="003C648C">
        <w:rPr>
          <w:rStyle w:val="Hashtag"/>
          <w:color w:val="auto"/>
          <w:shd w:val="clear" w:color="auto" w:fill="FFFFFF" w:themeFill="background1"/>
        </w:rPr>
        <w:t>FAS, full analysis set; HR, hazard ratio;</w:t>
      </w:r>
      <w:r w:rsidR="00E54FA4">
        <w:rPr>
          <w:rStyle w:val="Hashtag"/>
          <w:color w:val="auto"/>
          <w:shd w:val="clear" w:color="auto" w:fill="FFFFFF" w:themeFill="background1"/>
        </w:rPr>
        <w:t xml:space="preserve"> </w:t>
      </w:r>
      <w:r w:rsidR="005F1203">
        <w:rPr>
          <w:rStyle w:val="Hashtag"/>
          <w:color w:val="auto"/>
          <w:shd w:val="clear" w:color="auto" w:fill="FFFFFF" w:themeFill="background1"/>
        </w:rPr>
        <w:t xml:space="preserve">QLQ-BR45, </w:t>
      </w:r>
      <w:r w:rsidR="005F1203" w:rsidRPr="00054570">
        <w:t>Quality</w:t>
      </w:r>
      <w:r w:rsidR="005F1203">
        <w:rPr>
          <w:spacing w:val="-16"/>
        </w:rPr>
        <w:t>-</w:t>
      </w:r>
      <w:r w:rsidR="005F1203" w:rsidRPr="00D07FD6">
        <w:t>of</w:t>
      </w:r>
      <w:r w:rsidR="005F1203">
        <w:t>-l</w:t>
      </w:r>
      <w:r w:rsidR="005F1203" w:rsidRPr="00D07FD6">
        <w:t xml:space="preserve">ife </w:t>
      </w:r>
      <w:r w:rsidR="005F1203">
        <w:t>Breast</w:t>
      </w:r>
      <w:r w:rsidR="005F1203" w:rsidRPr="00054570">
        <w:t xml:space="preserve"> </w:t>
      </w:r>
      <w:r w:rsidR="005F1203">
        <w:t>Cancer 45</w:t>
      </w:r>
      <w:r w:rsidR="005F1203" w:rsidRPr="00054570">
        <w:t xml:space="preserve"> questionnaire</w:t>
      </w:r>
      <w:r w:rsidR="00E54FA4" w:rsidRPr="00054570">
        <w:t>;</w:t>
      </w:r>
      <w:r w:rsidRPr="003C648C">
        <w:rPr>
          <w:rStyle w:val="Hashtag"/>
          <w:color w:val="auto"/>
          <w:shd w:val="clear" w:color="auto" w:fill="FFFFFF" w:themeFill="background1"/>
        </w:rPr>
        <w:t xml:space="preserve"> T-DXd, trastuzumab deruxtecan; TPC, treatment of physician’s choice; VAS, visual analogue score.</w:t>
      </w:r>
      <w:r w:rsidRPr="003C648C">
        <w:rPr>
          <w:rStyle w:val="Hashtag"/>
          <w:color w:val="auto"/>
          <w:shd w:val="clear" w:color="auto" w:fill="FFFFFF" w:themeFill="background1"/>
        </w:rPr>
        <w:br/>
        <w:t>Source:</w:t>
      </w:r>
      <w:r w:rsidRPr="00525BCA">
        <w:t xml:space="preserve"> Daiichi Sankyo Inc., 2022 (FAS PRO tables and figures, Data on File)</w:t>
      </w:r>
      <w:r w:rsidRPr="00F72639">
        <w:fldChar w:fldCharType="begin"/>
      </w:r>
      <w:r w:rsidR="00CA6345">
        <w:instrText xml:space="preserve"> ADDIN ZOTERO_ITEM CSL_CITATION {"citationID":"FM9favAT","properties":{"formattedCitation":"\\super 152\\nosupersub{}","plainCitation":"152","noteIndex":0},"citationItems":[{"id":66410,"uris":["http://zotero.org/groups/4797619/items/RKV2VG2A"],"itemData":{"id":66410,"type":"document","title":"FAS PRO tables and figures. Data on File.","author":[{"family":"Daiichi Sankyo Inc.","given":""}]}}],"schema":"https://github.com/citation-style-language/schema/raw/master/csl-citation.json"} </w:instrText>
      </w:r>
      <w:r w:rsidRPr="00F72639">
        <w:fldChar w:fldCharType="separate"/>
      </w:r>
      <w:r w:rsidR="00CA6345" w:rsidRPr="00CA6345">
        <w:rPr>
          <w:rFonts w:cs="Arial"/>
          <w:szCs w:val="24"/>
          <w:vertAlign w:val="superscript"/>
        </w:rPr>
        <w:t>152</w:t>
      </w:r>
      <w:r w:rsidRPr="00F72639">
        <w:fldChar w:fldCharType="end"/>
      </w:r>
    </w:p>
    <w:p w14:paraId="54E8658F" w14:textId="31F13040" w:rsidR="000B148D" w:rsidRPr="00054570" w:rsidRDefault="000B148D" w:rsidP="000B148D">
      <w:pPr>
        <w:pStyle w:val="Heading5"/>
        <w:numPr>
          <w:ilvl w:val="0"/>
          <w:numId w:val="0"/>
        </w:numPr>
      </w:pPr>
      <w:r w:rsidRPr="00054570">
        <w:t xml:space="preserve">Patient-reported outcome | Hospitalisation | FAS </w:t>
      </w:r>
    </w:p>
    <w:p w14:paraId="51698740" w14:textId="750A7D1F" w:rsidR="00FE3C2C" w:rsidRDefault="00FE3C2C" w:rsidP="003C648C">
      <w:r w:rsidRPr="003C648C">
        <w:t>Hospitalizations were summarized during study treatment (from on and after date of the first dose of study drug to</w:t>
      </w:r>
      <w:r w:rsidR="00E917B0">
        <w:t xml:space="preserve"> </w:t>
      </w:r>
      <w:r w:rsidRPr="003C648C">
        <w:t>date of last dose plus 47 days)</w:t>
      </w:r>
      <w:r w:rsidR="002849DD">
        <w:t>.</w:t>
      </w:r>
      <w:r w:rsidR="000E48BD" w:rsidRPr="000D3FD6">
        <w:fldChar w:fldCharType="begin"/>
      </w:r>
      <w:r w:rsidR="00CA6345">
        <w:instrText xml:space="preserve"> ADDIN ZOTERO_ITEM CSL_CITATION {"citationID":"7wQG94aQ","properties":{"formattedCitation":"\\super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000E48BD" w:rsidRPr="000D3FD6">
        <w:fldChar w:fldCharType="separate"/>
      </w:r>
      <w:r w:rsidR="000E48BD" w:rsidRPr="00FD57F4">
        <w:rPr>
          <w:rFonts w:cs="Arial"/>
          <w:szCs w:val="24"/>
          <w:vertAlign w:val="superscript"/>
        </w:rPr>
        <w:t>7</w:t>
      </w:r>
      <w:r w:rsidR="000E48BD" w:rsidRPr="000D3FD6">
        <w:fldChar w:fldCharType="end"/>
      </w:r>
    </w:p>
    <w:p w14:paraId="728CFB7C" w14:textId="561AE76A" w:rsidR="000B148D" w:rsidRPr="000D3FD6" w:rsidRDefault="000B148D" w:rsidP="000B148D">
      <w:pPr>
        <w:pStyle w:val="Body"/>
      </w:pPr>
      <w:r w:rsidRPr="000D3FD6">
        <w:t xml:space="preserve">In the FAS at DCO (Jan 2022), </w:t>
      </w:r>
      <w:r w:rsidR="00294FDC" w:rsidRPr="00294FDC">
        <w:rPr>
          <w:color w:val="000000"/>
          <w:highlight w:val="black"/>
        </w:rPr>
        <w:t>xxx</w:t>
      </w:r>
      <w:r w:rsidRPr="000D3FD6">
        <w:t xml:space="preserve"> patients (</w:t>
      </w:r>
      <w:r w:rsidR="00294FDC" w:rsidRPr="00294FDC">
        <w:rPr>
          <w:color w:val="000000"/>
          <w:highlight w:val="black"/>
        </w:rPr>
        <w:t>xxxxx</w:t>
      </w:r>
      <w:r w:rsidRPr="000D3FD6">
        <w:t xml:space="preserve">) in the T-DXd arm and </w:t>
      </w:r>
      <w:r w:rsidR="00294FDC" w:rsidRPr="00294FDC">
        <w:rPr>
          <w:color w:val="000000"/>
          <w:highlight w:val="black"/>
        </w:rPr>
        <w:t>xx</w:t>
      </w:r>
      <w:r w:rsidRPr="000D3FD6">
        <w:t xml:space="preserve"> patients (</w:t>
      </w:r>
      <w:r w:rsidR="00294FDC" w:rsidRPr="00294FDC">
        <w:rPr>
          <w:color w:val="000000"/>
          <w:highlight w:val="black"/>
        </w:rPr>
        <w:t>xxxxx</w:t>
      </w:r>
      <w:r w:rsidRPr="000D3FD6">
        <w:t>) in the TPC arm had been hospitalised.</w:t>
      </w:r>
      <w:r w:rsidRPr="000D3FD6">
        <w:fldChar w:fldCharType="begin"/>
      </w:r>
      <w:r w:rsidR="00CA6345">
        <w:instrText xml:space="preserve"> ADDIN ZOTERO_ITEM CSL_CITATION {"citationID":"X6Q7LS1H","properties":{"formattedCitation":"\\super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D3FD6">
        <w:fldChar w:fldCharType="separate"/>
      </w:r>
      <w:r w:rsidR="00FD57F4" w:rsidRPr="00FD57F4">
        <w:rPr>
          <w:rFonts w:cs="Arial"/>
          <w:szCs w:val="24"/>
          <w:vertAlign w:val="superscript"/>
        </w:rPr>
        <w:t>7</w:t>
      </w:r>
      <w:r w:rsidRPr="000D3FD6">
        <w:fldChar w:fldCharType="end"/>
      </w:r>
      <w:r w:rsidRPr="000D3FD6">
        <w:t xml:space="preserve"> The median time to first hospitalisation was longer in the T-DXd arm than the TPC arm (</w:t>
      </w:r>
      <w:r w:rsidR="00294FDC" w:rsidRPr="00294FDC">
        <w:rPr>
          <w:color w:val="000000"/>
          <w:highlight w:val="black"/>
        </w:rPr>
        <w:t>xxxxx</w:t>
      </w:r>
      <w:r w:rsidRPr="000D3FD6">
        <w:t xml:space="preserve"> vs. </w:t>
      </w:r>
      <w:r w:rsidR="00294FDC" w:rsidRPr="00294FDC">
        <w:rPr>
          <w:color w:val="000000"/>
          <w:highlight w:val="black"/>
        </w:rPr>
        <w:t>xxxx</w:t>
      </w:r>
      <w:r w:rsidRPr="000D3FD6">
        <w:t xml:space="preserve"> days).</w:t>
      </w:r>
      <w:r w:rsidRPr="000D3FD6">
        <w:fldChar w:fldCharType="begin"/>
      </w:r>
      <w:r w:rsidR="00CA6345">
        <w:instrText xml:space="preserve"> ADDIN ZOTERO_ITEM CSL_CITATION {"citationID":"i6o3Xe8x","properties":{"formattedCitation":"\\super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D3FD6">
        <w:fldChar w:fldCharType="separate"/>
      </w:r>
      <w:r w:rsidR="00FD57F4" w:rsidRPr="00FD57F4">
        <w:rPr>
          <w:rFonts w:cs="Arial"/>
          <w:szCs w:val="24"/>
          <w:vertAlign w:val="superscript"/>
        </w:rPr>
        <w:t>7</w:t>
      </w:r>
      <w:r w:rsidRPr="000D3FD6">
        <w:fldChar w:fldCharType="end"/>
      </w:r>
    </w:p>
    <w:p w14:paraId="2598AA67" w14:textId="46E8B743" w:rsidR="000B148D" w:rsidRDefault="000B148D" w:rsidP="000B148D">
      <w:pPr>
        <w:pStyle w:val="Body"/>
      </w:pPr>
      <w:r w:rsidRPr="000D3FD6">
        <w:t>In the HR</w:t>
      </w:r>
      <w:r>
        <w:t>-positive</w:t>
      </w:r>
      <w:r w:rsidRPr="000D3FD6">
        <w:t xml:space="preserve"> population at DCO, </w:t>
      </w:r>
      <w:r w:rsidR="00294FDC" w:rsidRPr="00294FDC">
        <w:rPr>
          <w:color w:val="000000"/>
          <w:highlight w:val="black"/>
        </w:rPr>
        <w:t>xx</w:t>
      </w:r>
      <w:r w:rsidRPr="000D3FD6">
        <w:t> patients (</w:t>
      </w:r>
      <w:r w:rsidR="00294FDC" w:rsidRPr="00294FDC">
        <w:rPr>
          <w:color w:val="000000"/>
          <w:highlight w:val="black"/>
        </w:rPr>
        <w:t>xxxxx</w:t>
      </w:r>
      <w:r w:rsidRPr="000D3FD6">
        <w:t>) in the T</w:t>
      </w:r>
      <w:r w:rsidRPr="000D3FD6">
        <w:noBreakHyphen/>
        <w:t xml:space="preserve">DXd arm and </w:t>
      </w:r>
      <w:r w:rsidR="00294FDC" w:rsidRPr="00294FDC">
        <w:rPr>
          <w:color w:val="000000"/>
          <w:highlight w:val="black"/>
        </w:rPr>
        <w:t>xx</w:t>
      </w:r>
      <w:r w:rsidRPr="000D3FD6">
        <w:t xml:space="preserve"> patients (</w:t>
      </w:r>
      <w:r w:rsidR="00294FDC" w:rsidRPr="00294FDC">
        <w:rPr>
          <w:color w:val="000000"/>
          <w:highlight w:val="black"/>
        </w:rPr>
        <w:t>xxxxx</w:t>
      </w:r>
      <w:r w:rsidRPr="000D3FD6">
        <w:t>) in the TPC arm had been hospitalised.</w:t>
      </w:r>
      <w:r w:rsidRPr="000D3FD6">
        <w:fldChar w:fldCharType="begin"/>
      </w:r>
      <w:r w:rsidR="00CA6345">
        <w:instrText xml:space="preserve"> ADDIN ZOTERO_ITEM CSL_CITATION {"citationID":"nBthfVXc","properties":{"formattedCitation":"\\super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D3FD6">
        <w:fldChar w:fldCharType="separate"/>
      </w:r>
      <w:r w:rsidR="00FD57F4" w:rsidRPr="00FD57F4">
        <w:rPr>
          <w:rFonts w:cs="Arial"/>
          <w:szCs w:val="24"/>
          <w:vertAlign w:val="superscript"/>
        </w:rPr>
        <w:t>7</w:t>
      </w:r>
      <w:r w:rsidRPr="000D3FD6">
        <w:fldChar w:fldCharType="end"/>
      </w:r>
      <w:r w:rsidRPr="000D3FD6">
        <w:t xml:space="preserve"> At DCO, median time to first hospitalisation </w:t>
      </w:r>
      <w:r w:rsidR="00294FDC" w:rsidRPr="00294FDC">
        <w:rPr>
          <w:color w:val="000000"/>
          <w:highlight w:val="black"/>
        </w:rPr>
        <w:t>xxxxxxxxxx</w:t>
      </w:r>
      <w:r w:rsidRPr="000D3FD6">
        <w:t xml:space="preserve"> in the T</w:t>
      </w:r>
      <w:r w:rsidRPr="000D3FD6">
        <w:noBreakHyphen/>
        <w:t>DXd arm compared with the TPC arm (</w:t>
      </w:r>
      <w:r w:rsidR="00294FDC" w:rsidRPr="00294FDC">
        <w:rPr>
          <w:color w:val="000000"/>
          <w:highlight w:val="black"/>
        </w:rPr>
        <w:t>xxxxx</w:t>
      </w:r>
      <w:r w:rsidRPr="000D3FD6">
        <w:t xml:space="preserve"> and </w:t>
      </w:r>
      <w:r w:rsidR="00294FDC" w:rsidRPr="00294FDC">
        <w:rPr>
          <w:color w:val="000000"/>
          <w:highlight w:val="black"/>
        </w:rPr>
        <w:t>xxxx</w:t>
      </w:r>
      <w:r w:rsidRPr="000D3FD6">
        <w:t> days, respectively).</w:t>
      </w:r>
      <w:r w:rsidRPr="000D3FD6">
        <w:fldChar w:fldCharType="begin"/>
      </w:r>
      <w:r w:rsidR="00CA6345">
        <w:instrText xml:space="preserve"> ADDIN ZOTERO_ITEM CSL_CITATION {"citationID":"hE7JOmpV","properties":{"formattedCitation":"\\super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D3FD6">
        <w:fldChar w:fldCharType="separate"/>
      </w:r>
      <w:r w:rsidR="00FD57F4" w:rsidRPr="00FD57F4">
        <w:rPr>
          <w:rFonts w:cs="Arial"/>
          <w:szCs w:val="24"/>
          <w:vertAlign w:val="superscript"/>
        </w:rPr>
        <w:t>7</w:t>
      </w:r>
      <w:r w:rsidRPr="000D3FD6">
        <w:fldChar w:fldCharType="end"/>
      </w:r>
    </w:p>
    <w:p w14:paraId="16EFCED4" w14:textId="77777777" w:rsidR="000B148D" w:rsidRPr="00054570" w:rsidRDefault="000B148D" w:rsidP="00244F59">
      <w:pPr>
        <w:pStyle w:val="Heading3"/>
      </w:pPr>
      <w:bookmarkStart w:id="275" w:name="_Toc129001122"/>
      <w:bookmarkStart w:id="276" w:name="_Toc129040062"/>
      <w:bookmarkStart w:id="277" w:name="_Toc129052347"/>
      <w:bookmarkStart w:id="278" w:name="_Toc129053148"/>
      <w:bookmarkStart w:id="279" w:name="_Toc129001123"/>
      <w:bookmarkStart w:id="280" w:name="_Toc129040063"/>
      <w:bookmarkStart w:id="281" w:name="_Toc129052348"/>
      <w:bookmarkStart w:id="282" w:name="_Toc129053149"/>
      <w:bookmarkStart w:id="283" w:name="_Toc124447840"/>
      <w:bookmarkStart w:id="284" w:name="_Ref127008012"/>
      <w:bookmarkStart w:id="285" w:name="_Toc129350867"/>
      <w:bookmarkEnd w:id="275"/>
      <w:bookmarkEnd w:id="276"/>
      <w:bookmarkEnd w:id="277"/>
      <w:bookmarkEnd w:id="278"/>
      <w:bookmarkEnd w:id="279"/>
      <w:bookmarkEnd w:id="280"/>
      <w:bookmarkEnd w:id="281"/>
      <w:bookmarkEnd w:id="282"/>
      <w:r w:rsidRPr="00244F59">
        <w:t>Efficacy</w:t>
      </w:r>
      <w:r w:rsidRPr="00054570">
        <w:t xml:space="preserve"> conclusions</w:t>
      </w:r>
      <w:bookmarkEnd w:id="283"/>
      <w:bookmarkEnd w:id="284"/>
      <w:bookmarkEnd w:id="285"/>
    </w:p>
    <w:p w14:paraId="5AA087F8" w14:textId="39174EBB" w:rsidR="00BD15C4" w:rsidRDefault="000B148D" w:rsidP="003C648C">
      <w:pPr>
        <w:pStyle w:val="Body"/>
      </w:pPr>
      <w:r w:rsidRPr="00054570">
        <w:t>DESTINY-Breast04 is a head-to-head trial of T-DXd vs. TPC in patients with HER2-low u/mBC after one or two lines of chemotherapy in the metastatic setting. UK clinical</w:t>
      </w:r>
      <w:r>
        <w:t xml:space="preserve"> and HEOR</w:t>
      </w:r>
      <w:r w:rsidRPr="00054570">
        <w:t xml:space="preserve"> experts</w:t>
      </w:r>
      <w:r>
        <w:t xml:space="preserve"> consulted</w:t>
      </w:r>
      <w:r w:rsidRPr="00054570">
        <w:t xml:space="preserve"> at an advisory board in December 2022</w:t>
      </w:r>
      <w:r>
        <w:t xml:space="preserve"> </w:t>
      </w:r>
      <w:r w:rsidRPr="00054570">
        <w:t>considered the trial design to be robust</w:t>
      </w:r>
      <w:r>
        <w:t xml:space="preserve"> and appropriate for decision-making in the UK.</w:t>
      </w:r>
      <w:r>
        <w:fldChar w:fldCharType="begin"/>
      </w:r>
      <w:r w:rsidR="00CA6345">
        <w:instrText xml:space="preserve"> ADDIN ZOTERO_ITEM CSL_CITATION {"citationID":"iSC2ZrRm","properties":{"formattedCitation":"\\super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fldChar w:fldCharType="separate"/>
      </w:r>
      <w:r w:rsidR="00CA6345" w:rsidRPr="00CA6345">
        <w:rPr>
          <w:rFonts w:cs="Arial"/>
          <w:szCs w:val="24"/>
          <w:vertAlign w:val="superscript"/>
        </w:rPr>
        <w:t>121</w:t>
      </w:r>
      <w:r>
        <w:fldChar w:fldCharType="end"/>
      </w:r>
      <w:r>
        <w:t xml:space="preserve"> Clinical experts confirmed p</w:t>
      </w:r>
      <w:r w:rsidRPr="00054570">
        <w:t>atient characteristics to be generalisable to the UK</w:t>
      </w:r>
      <w:r w:rsidR="00995961">
        <w:t>,</w:t>
      </w:r>
      <w:r>
        <w:t xml:space="preserve"> with the higher proportion of Asian patients in </w:t>
      </w:r>
      <w:r w:rsidRPr="00054570">
        <w:t>DESTINY-Breast04</w:t>
      </w:r>
      <w:r>
        <w:t xml:space="preserve"> than in UK clinical practice not expected to impact outcomes as there is no biological reason for ethnicity to affect the efficacy of T-DXd</w:t>
      </w:r>
      <w:r w:rsidRPr="00054570">
        <w:t>.</w:t>
      </w:r>
      <w:r w:rsidRPr="00054570">
        <w:fldChar w:fldCharType="begin"/>
      </w:r>
      <w:r w:rsidR="00CA6345">
        <w:instrText xml:space="preserve"> ADDIN ZOTERO_ITEM CSL_CITATION {"citationID":"CZdUXmSY","properties":{"formattedCitation":"\\super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Pr="00054570">
        <w:fldChar w:fldCharType="separate"/>
      </w:r>
      <w:r w:rsidR="00CA6345" w:rsidRPr="00CA6345">
        <w:rPr>
          <w:rFonts w:cs="Arial"/>
          <w:szCs w:val="24"/>
          <w:vertAlign w:val="superscript"/>
        </w:rPr>
        <w:t>121</w:t>
      </w:r>
      <w:r w:rsidRPr="00054570">
        <w:fldChar w:fldCharType="end"/>
      </w:r>
      <w:r w:rsidRPr="00054570">
        <w:t xml:space="preserve"> </w:t>
      </w:r>
      <w:r w:rsidR="008C5500">
        <w:t>Published UK biomarker data</w:t>
      </w:r>
      <w:r w:rsidR="008C5500">
        <w:fldChar w:fldCharType="begin"/>
      </w:r>
      <w:r w:rsidR="00CA6345">
        <w:instrText xml:space="preserve"> ADDIN ZOTERO_ITEM CSL_CITATION {"citationID":"2IkkN5Ug","properties":{"formattedCitation":"\\super 56\\nosupersub{}","plainCitation":"56","noteIndex":0},"citationItems":[{"id":65940,"uris":["http://zotero.org/groups/4797619/items/7UYVWR36"],"itemData":{"id":65940,"type":"article-journal","container-title":"The Journal of Pathology: Clinical Research","DOI":"10.1002/cjp2.173","ISSN":"2056-4538, 2056-4538","issue":"3","journalAbbreviation":"J Pathol Clin Res","language":"en","page":"227-227","source":"DOI.org (Crossref)","title":"Breast cancer biomarkers in clinical testing: analysis of a UK NEQAS ICC &amp; ISH database containing results from 199 300 patients","title-short":"‘Breast cancer biomarkers in clinical testing","volume":"6","author":[{"family":"Dodson","given":"Andrew"},{"family":"Parry","given":"Suzanne"},{"family":"Ibrahim","given":"Merdol"},{"family":"Bartlett","given":"John M. S."},{"family":"Pinder","given":"Sarah E."},{"family":"Dowsett","given":"Mitch"},{"family":"Miller","given":"Keith"}],"issued":{"date-parts":[["2020",7]]}}}],"schema":"https://github.com/citation-style-language/schema/raw/master/csl-citation.json"} </w:instrText>
      </w:r>
      <w:r w:rsidR="008C5500">
        <w:fldChar w:fldCharType="separate"/>
      </w:r>
      <w:r w:rsidR="00FD57F4" w:rsidRPr="00FD57F4">
        <w:rPr>
          <w:rFonts w:cs="Arial"/>
          <w:szCs w:val="24"/>
          <w:vertAlign w:val="superscript"/>
        </w:rPr>
        <w:t>56</w:t>
      </w:r>
      <w:r w:rsidR="008C5500">
        <w:fldChar w:fldCharType="end"/>
      </w:r>
      <w:r w:rsidR="008C5500">
        <w:t xml:space="preserve"> and UK clinical expert insights confirm that the distribution of HR-positive and HR-negative patients in DESTINY-Breast04 is aligned to UK clinical practice.</w:t>
      </w:r>
      <w:r w:rsidR="008C5500">
        <w:fldChar w:fldCharType="begin"/>
      </w:r>
      <w:r w:rsidR="00CA6345">
        <w:instrText xml:space="preserve"> ADDIN ZOTERO_ITEM CSL_CITATION {"citationID":"c7h2ZUFK","properties":{"formattedCitation":"\\super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008C5500">
        <w:fldChar w:fldCharType="separate"/>
      </w:r>
      <w:r w:rsidR="00CA6345" w:rsidRPr="00CA6345">
        <w:rPr>
          <w:rFonts w:cs="Arial"/>
          <w:szCs w:val="24"/>
          <w:vertAlign w:val="superscript"/>
        </w:rPr>
        <w:t>121</w:t>
      </w:r>
      <w:r w:rsidR="008C5500">
        <w:fldChar w:fldCharType="end"/>
      </w:r>
      <w:r w:rsidR="008C5500">
        <w:t xml:space="preserve"> </w:t>
      </w:r>
      <w:r w:rsidRPr="00054570">
        <w:t xml:space="preserve">UK experts </w:t>
      </w:r>
      <w:r w:rsidR="00722C3D">
        <w:t>also</w:t>
      </w:r>
      <w:r w:rsidRPr="00054570">
        <w:t xml:space="preserve"> confirmed that the TPC arm</w:t>
      </w:r>
      <w:r>
        <w:t xml:space="preserve"> in </w:t>
      </w:r>
      <w:r w:rsidRPr="00054570">
        <w:t xml:space="preserve">DESTINY-Breast04, which </w:t>
      </w:r>
      <w:r>
        <w:t>included</w:t>
      </w:r>
      <w:r w:rsidRPr="00054570">
        <w:t xml:space="preserve"> chemotherapy agents commonly used in the UK (</w:t>
      </w:r>
      <w:r>
        <w:t>including</w:t>
      </w:r>
      <w:r w:rsidRPr="00054570">
        <w:t xml:space="preserve"> capecitabine, eribulin</w:t>
      </w:r>
      <w:r>
        <w:t xml:space="preserve"> and</w:t>
      </w:r>
      <w:r w:rsidRPr="00054570">
        <w:t xml:space="preserve"> paclitaxel), </w:t>
      </w:r>
      <w:r>
        <w:t>to be</w:t>
      </w:r>
      <w:r w:rsidRPr="00054570">
        <w:t xml:space="preserve"> generalisable to UK</w:t>
      </w:r>
      <w:r>
        <w:t xml:space="preserve"> clinical</w:t>
      </w:r>
      <w:r w:rsidRPr="00054570">
        <w:t xml:space="preserve"> practice.</w:t>
      </w:r>
      <w:r w:rsidRPr="00054570">
        <w:fldChar w:fldCharType="begin"/>
      </w:r>
      <w:r w:rsidR="00CA6345">
        <w:instrText xml:space="preserve"> ADDIN ZOTERO_ITEM CSL_CITATION {"citationID":"EHmykwi1","properties":{"formattedCitation":"\\super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Pr="00054570">
        <w:fldChar w:fldCharType="separate"/>
      </w:r>
      <w:r w:rsidR="00CA6345" w:rsidRPr="00CA6345">
        <w:rPr>
          <w:rFonts w:cs="Arial"/>
          <w:szCs w:val="24"/>
          <w:vertAlign w:val="superscript"/>
        </w:rPr>
        <w:t>121</w:t>
      </w:r>
      <w:r w:rsidRPr="00054570">
        <w:fldChar w:fldCharType="end"/>
      </w:r>
      <w:r w:rsidRPr="00054570">
        <w:t xml:space="preserve">  </w:t>
      </w:r>
    </w:p>
    <w:p w14:paraId="585582FA" w14:textId="5ABA4464" w:rsidR="003C0530" w:rsidRDefault="000B148D" w:rsidP="003C648C">
      <w:pPr>
        <w:pStyle w:val="Body"/>
      </w:pPr>
      <w:r w:rsidRPr="00054570">
        <w:lastRenderedPageBreak/>
        <w:t>In DESTINY-Breast04, T</w:t>
      </w:r>
      <w:r w:rsidRPr="00054570">
        <w:noBreakHyphen/>
        <w:t>DXd demonstrated statistically significant superiority compared with TPC for the primary endpoint of PFS by BICR in the HR</w:t>
      </w:r>
      <w:r>
        <w:t>-positive</w:t>
      </w:r>
      <w:r w:rsidRPr="00054570">
        <w:t xml:space="preserve"> cohort (median PFS: 10.1 vs 5.4 months; HR: 0.51; p&lt;0.001).</w:t>
      </w:r>
      <w:r>
        <w:fldChar w:fldCharType="begin"/>
      </w:r>
      <w:r w:rsidR="00CA6345">
        <w:instrText xml:space="preserve"> ADDIN ZOTERO_ITEM CSL_CITATION {"citationID":"pzoDDipr","properties":{"formattedCitation":"\\super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054570">
        <w:t xml:space="preserve"> </w:t>
      </w:r>
      <w:r>
        <w:t xml:space="preserve">The </w:t>
      </w:r>
      <w:r w:rsidRPr="00054570">
        <w:t xml:space="preserve">findings of the primary endpoint were </w:t>
      </w:r>
      <w:r w:rsidRPr="003C648C">
        <w:t>confirmed by analysis of PFS by IA</w:t>
      </w:r>
      <w:r>
        <w:t>.</w:t>
      </w:r>
      <w:r>
        <w:fldChar w:fldCharType="begin"/>
      </w:r>
      <w:r w:rsidR="00CA6345">
        <w:instrText xml:space="preserve"> ADDIN ZOTERO_ITEM CSL_CITATION {"citationID":"CVuG06gd","properties":{"formattedCitation":"\\super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fldChar w:fldCharType="separate"/>
      </w:r>
      <w:r w:rsidR="00FD57F4" w:rsidRPr="00FD57F4">
        <w:rPr>
          <w:rFonts w:cs="Arial"/>
          <w:szCs w:val="24"/>
          <w:vertAlign w:val="superscript"/>
        </w:rPr>
        <w:t>7</w:t>
      </w:r>
      <w:r>
        <w:fldChar w:fldCharType="end"/>
      </w:r>
      <w:r w:rsidR="001304A0" w:rsidRPr="001304A0">
        <w:t xml:space="preserve"> </w:t>
      </w:r>
      <w:r w:rsidR="001304A0" w:rsidRPr="00054570">
        <w:t>T</w:t>
      </w:r>
      <w:r w:rsidR="001304A0" w:rsidRPr="00054570">
        <w:noBreakHyphen/>
        <w:t xml:space="preserve">DXd was also associated with statistically significant </w:t>
      </w:r>
      <w:r w:rsidR="005C0D66">
        <w:t>superiority</w:t>
      </w:r>
      <w:r w:rsidR="001304A0" w:rsidRPr="00054570">
        <w:t xml:space="preserve"> over TPC </w:t>
      </w:r>
      <w:r w:rsidR="001304A0">
        <w:t>for all</w:t>
      </w:r>
      <w:r w:rsidR="001304A0" w:rsidRPr="00054570">
        <w:t xml:space="preserve"> secondary efficacy endpoints</w:t>
      </w:r>
      <w:r w:rsidR="001304A0">
        <w:t xml:space="preserve">: </w:t>
      </w:r>
      <w:r w:rsidR="001304A0" w:rsidRPr="00054570">
        <w:t>PFS by BICR in the FAS (</w:t>
      </w:r>
      <w:r w:rsidR="001A36E0">
        <w:t>median PFS: 9.9 months vs. 5.1 months; HR: 0.50; p&lt;0.001)</w:t>
      </w:r>
      <w:r w:rsidR="001304A0" w:rsidRPr="00054570">
        <w:t>, OS in the HR</w:t>
      </w:r>
      <w:r w:rsidR="004F4B1D">
        <w:t>-positive</w:t>
      </w:r>
      <w:r w:rsidR="001304A0" w:rsidRPr="00054570">
        <w:t xml:space="preserve"> cohort </w:t>
      </w:r>
      <w:r w:rsidR="00F77867">
        <w:t xml:space="preserve">(median OS: 23.9 months vs. 17.5 months; HR: 0.64; p=0.003) </w:t>
      </w:r>
      <w:r w:rsidR="001304A0" w:rsidRPr="00054570">
        <w:t xml:space="preserve">and OS in the FAS </w:t>
      </w:r>
      <w:r w:rsidR="00632D96">
        <w:t>(</w:t>
      </w:r>
      <w:r w:rsidR="00F77867">
        <w:t>median OS: 23.4 months vs.16.8 months; HR: 0.64; p=0.001).</w:t>
      </w:r>
      <w:r w:rsidR="00F77867">
        <w:fldChar w:fldCharType="begin"/>
      </w:r>
      <w:r w:rsidR="00CA6345">
        <w:instrText xml:space="preserve"> ADDIN ZOTERO_ITEM CSL_CITATION {"citationID":"aXKfLMIA","properties":{"formattedCitation":"\\super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00F77867">
        <w:fldChar w:fldCharType="separate"/>
      </w:r>
      <w:r w:rsidR="00FD57F4" w:rsidRPr="00FD57F4">
        <w:rPr>
          <w:rFonts w:cs="Arial"/>
          <w:szCs w:val="24"/>
          <w:vertAlign w:val="superscript"/>
        </w:rPr>
        <w:t>6</w:t>
      </w:r>
      <w:r w:rsidR="00F77867">
        <w:fldChar w:fldCharType="end"/>
      </w:r>
      <w:r w:rsidR="00083EC7">
        <w:t xml:space="preserve"> </w:t>
      </w:r>
      <w:r>
        <w:t xml:space="preserve">Results </w:t>
      </w:r>
      <w:r w:rsidR="00083EC7">
        <w:t>demonstrate consistency between the</w:t>
      </w:r>
      <w:r>
        <w:t xml:space="preserve"> FAS </w:t>
      </w:r>
      <w:r w:rsidR="00083EC7">
        <w:t>and</w:t>
      </w:r>
      <w:r>
        <w:t xml:space="preserve"> HR-positive cohort</w:t>
      </w:r>
      <w:r w:rsidR="00485149">
        <w:t>s</w:t>
      </w:r>
      <w:r>
        <w:t xml:space="preserve">. </w:t>
      </w:r>
    </w:p>
    <w:p w14:paraId="1A3888C4" w14:textId="4AF36673" w:rsidR="000B148D" w:rsidRPr="00054570" w:rsidRDefault="000B148D" w:rsidP="000B148D">
      <w:pPr>
        <w:pStyle w:val="Body"/>
      </w:pPr>
      <w:r>
        <w:t>In addition, T-DXd showed benefit</w:t>
      </w:r>
      <w:r w:rsidR="00336BAC">
        <w:t xml:space="preserve"> over TPC</w:t>
      </w:r>
      <w:r>
        <w:t xml:space="preserve"> across a range of other clinically meaningful endpoints. I</w:t>
      </w:r>
      <w:r w:rsidRPr="00DC2676">
        <w:t xml:space="preserve">n the FAS, the </w:t>
      </w:r>
      <w:r>
        <w:t>DCR (</w:t>
      </w:r>
      <w:r w:rsidRPr="00DC2676">
        <w:t>CR</w:t>
      </w:r>
      <w:r>
        <w:t>+</w:t>
      </w:r>
      <w:r w:rsidRPr="00DC2676">
        <w:t>PR</w:t>
      </w:r>
      <w:r>
        <w:t>+</w:t>
      </w:r>
      <w:r w:rsidRPr="00DC2676">
        <w:t xml:space="preserve">SD) </w:t>
      </w:r>
      <w:r w:rsidRPr="00AB6AD7">
        <w:t xml:space="preserve">by BICR </w:t>
      </w:r>
      <w:r w:rsidRPr="00DC2676">
        <w:t>was</w:t>
      </w:r>
      <w:r>
        <w:t xml:space="preserve"> statistically significantly greater in the T-DXd arm</w:t>
      </w:r>
      <w:r w:rsidRPr="00DC2676">
        <w:t xml:space="preserve"> </w:t>
      </w:r>
      <w:r>
        <w:t>compared with the TPC arm</w:t>
      </w:r>
      <w:r w:rsidRPr="00DC2676">
        <w:t xml:space="preserve"> </w:t>
      </w:r>
      <w:r>
        <w:t>(</w:t>
      </w:r>
      <w:r w:rsidRPr="00DC2676">
        <w:t>87.1%</w:t>
      </w:r>
      <w:r>
        <w:t xml:space="preserve"> vs.</w:t>
      </w:r>
      <w:r w:rsidRPr="00DC2676">
        <w:t xml:space="preserve"> 65.8%</w:t>
      </w:r>
      <w:r>
        <w:t xml:space="preserve">; </w:t>
      </w:r>
      <w:r w:rsidRPr="00E15E50">
        <w:t>p&lt;0.0001</w:t>
      </w:r>
      <w:r w:rsidRPr="00DC2676">
        <w:t>).</w:t>
      </w:r>
      <w:r>
        <w:fldChar w:fldCharType="begin"/>
      </w:r>
      <w:r w:rsidR="00CA6345">
        <w:instrText xml:space="preserve"> ADDIN ZOTERO_ITEM CSL_CITATION {"citationID":"edUbSSgn","properties":{"formattedCitation":"\\super 6,7\\nosupersub{}","plainCitation":"6,7","noteIndex":0},"citationItems":[{"id":65944,"uris":["http://zotero.org/groups/4797619/items/WBVSVVF7"],"itemData":{"id":65944,"type":"document","title":"Clinical Study Report for DS8201-A-U303. Data cut-off date: 11 Jan 2022. Data on File.","author":[{"family":"Daiichi Sankyo Inc.","given":""}],"issued":{"date-parts":[["2022"]]}}},{"id":66153,"uris":["http://zotero.org/groups/4797619/items/DIMCLQBB"],"itemData":{"id":66153,"type":"article-journal","container-title":"New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6,7</w:t>
      </w:r>
      <w:r>
        <w:fldChar w:fldCharType="end"/>
      </w:r>
      <w:r>
        <w:t xml:space="preserve"> </w:t>
      </w:r>
      <w:r w:rsidRPr="00054570">
        <w:t xml:space="preserve">A </w:t>
      </w:r>
      <w:r>
        <w:t xml:space="preserve">statistically </w:t>
      </w:r>
      <w:r w:rsidRPr="00054570">
        <w:t>significant</w:t>
      </w:r>
      <w:r w:rsidR="0015687F">
        <w:t>ly</w:t>
      </w:r>
      <w:r w:rsidRPr="00054570">
        <w:t xml:space="preserve"> greater proportion of patients achieved a confirmed ORR (CR + PR) by BICR and </w:t>
      </w:r>
      <w:r w:rsidRPr="003C648C">
        <w:t>by IA</w:t>
      </w:r>
      <w:r w:rsidRPr="00336BAC">
        <w:t xml:space="preserve"> </w:t>
      </w:r>
      <w:r w:rsidRPr="00054570">
        <w:t>with T</w:t>
      </w:r>
      <w:r w:rsidRPr="00054570">
        <w:noBreakHyphen/>
        <w:t>DXd compared with TPC (both p&lt;0.0001</w:t>
      </w:r>
      <w:r>
        <w:t>; FAS</w:t>
      </w:r>
      <w:r w:rsidRPr="00054570">
        <w:t>).</w:t>
      </w:r>
      <w:r>
        <w:fldChar w:fldCharType="begin"/>
      </w:r>
      <w:r w:rsidR="00CA6345">
        <w:instrText xml:space="preserve"> ADDIN ZOTERO_ITEM CSL_CITATION {"citationID":"CYm9iDjR","properties":{"formattedCitation":"\\super 6,7\\nosupersub{}","plainCitation":"6,7","noteIndex":0},"citationItems":[{"id":65944,"uris":["http://zotero.org/groups/4797619/items/WBVSVVF7"],"itemData":{"id":65944,"type":"document","title":"Clinical Study Report for DS8201-A-U303. Data cut-off date: 11 Jan 2022. Data on File.","author":[{"family":"Daiichi Sankyo Inc.","given":""}],"issued":{"date-parts":[["2022"]]}}},{"id":66153,"uris":["http://zotero.org/groups/4797619/items/DIMCLQBB"],"itemData":{"id":66153,"type":"article-journal","container-title":"New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6,7</w:t>
      </w:r>
      <w:r>
        <w:fldChar w:fldCharType="end"/>
      </w:r>
      <w:r w:rsidRPr="00054570">
        <w:t xml:space="preserve"> A best overall response of CR and PR was observed in more than </w:t>
      </w:r>
      <w:r>
        <w:t>three times a</w:t>
      </w:r>
      <w:r w:rsidRPr="00054570">
        <w:t>s many patients in the T-DXd arm as the TPC arm (CR: 3.5% vs. 1.1%; PR: 49.1% vs. 15.2%</w:t>
      </w:r>
      <w:r>
        <w:t>; FAS</w:t>
      </w:r>
      <w:r w:rsidRPr="00054570">
        <w:t>).</w:t>
      </w:r>
      <w:r>
        <w:fldChar w:fldCharType="begin"/>
      </w:r>
      <w:r w:rsidR="00CA6345">
        <w:instrText xml:space="preserve"> ADDIN ZOTERO_ITEM CSL_CITATION {"citationID":"lzaJqcSj","properties":{"formattedCitation":"\\super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054570">
        <w:t xml:space="preserve"> The CBR by BICR</w:t>
      </w:r>
      <w:r>
        <w:t>, demonstrating sustained response (CR+PR+SD) for at least six months,</w:t>
      </w:r>
      <w:r w:rsidRPr="00054570">
        <w:t xml:space="preserve"> was also </w:t>
      </w:r>
      <w:r>
        <w:t xml:space="preserve">statistically significantly </w:t>
      </w:r>
      <w:r w:rsidRPr="00054570">
        <w:t>greater with T</w:t>
      </w:r>
      <w:r w:rsidRPr="00054570">
        <w:noBreakHyphen/>
        <w:t>DXd than TPC (70.2% vs. 33.7%</w:t>
      </w:r>
      <w:r>
        <w:t xml:space="preserve">; </w:t>
      </w:r>
      <w:r w:rsidRPr="00054570">
        <w:t>p&lt;0.0001</w:t>
      </w:r>
      <w:r>
        <w:t>; FAS</w:t>
      </w:r>
      <w:r w:rsidRPr="00054570">
        <w:t>).</w:t>
      </w:r>
      <w:r>
        <w:fldChar w:fldCharType="begin"/>
      </w:r>
      <w:r w:rsidR="00CA6345">
        <w:instrText xml:space="preserve"> ADDIN ZOTERO_ITEM CSL_CITATION {"citationID":"5ecP0Ibw","properties":{"formattedCitation":"\\super 6,7\\nosupersub{}","plainCitation":"6,7","noteIndex":0},"citationItems":[{"id":65944,"uris":["http://zotero.org/groups/4797619/items/WBVSVVF7"],"itemData":{"id":65944,"type":"document","title":"Clinical Study Report for DS8201-A-U303. Data cut-off date: 11 Jan 2022. Data on File.","author":[{"family":"Daiichi Sankyo Inc.","given":""}],"issued":{"date-parts":[["2022"]]}}},{"id":66153,"uris":["http://zotero.org/groups/4797619/items/DIMCLQBB"],"itemData":{"id":66153,"type":"article-journal","container-title":"New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6,7</w:t>
      </w:r>
      <w:r>
        <w:fldChar w:fldCharType="end"/>
      </w:r>
      <w:r w:rsidRPr="00054570">
        <w:t xml:space="preserve"> </w:t>
      </w:r>
    </w:p>
    <w:p w14:paraId="05E397C1" w14:textId="3BF45ED5" w:rsidR="000B148D" w:rsidRPr="00054570" w:rsidRDefault="00B276DE" w:rsidP="000B148D">
      <w:pPr>
        <w:pStyle w:val="Body"/>
      </w:pPr>
      <w:r>
        <w:t>Health-related q</w:t>
      </w:r>
      <w:r w:rsidR="00982D29">
        <w:t>uality-of-life</w:t>
      </w:r>
      <w:r w:rsidR="00982D29" w:rsidRPr="00054570">
        <w:t xml:space="preserve"> </w:t>
      </w:r>
      <w:r w:rsidR="000B148D" w:rsidRPr="00054570">
        <w:t>of patients in the T</w:t>
      </w:r>
      <w:r w:rsidR="000B148D" w:rsidRPr="00054570">
        <w:noBreakHyphen/>
        <w:t xml:space="preserve">DXd arm </w:t>
      </w:r>
      <w:r w:rsidR="00294FDC" w:rsidRPr="00294FDC">
        <w:rPr>
          <w:color w:val="000000"/>
          <w:highlight w:val="black"/>
        </w:rPr>
        <w:t>xxxxxxxxxxxxxxxxxxxxxxxxxxx</w:t>
      </w:r>
      <w:r w:rsidR="000B148D">
        <w:t xml:space="preserve"> across a range of generic</w:t>
      </w:r>
      <w:r w:rsidR="00AC6ED1">
        <w:t xml:space="preserve"> (EQ-5D-5L)</w:t>
      </w:r>
      <w:r w:rsidR="000B148D">
        <w:t xml:space="preserve"> and cancer-specific</w:t>
      </w:r>
      <w:r w:rsidR="00AC6ED1">
        <w:t xml:space="preserve"> (EORTC QLQ-30 and EORTC</w:t>
      </w:r>
      <w:r w:rsidR="00934C5F">
        <w:t xml:space="preserve"> QLQ-BR45)</w:t>
      </w:r>
      <w:r w:rsidR="000B148D">
        <w:t xml:space="preserve"> PRO instruments</w:t>
      </w:r>
      <w:r w:rsidR="004807C0">
        <w:t xml:space="preserve"> with longer TTDD across almost all measures and scales compared with TPC</w:t>
      </w:r>
      <w:r w:rsidR="000B148D" w:rsidRPr="00054570">
        <w:t>. In the</w:t>
      </w:r>
      <w:r w:rsidR="00BF2DC9">
        <w:t xml:space="preserve"> FAS</w:t>
      </w:r>
      <w:r w:rsidR="000B148D" w:rsidRPr="00054570">
        <w:t>, the mean</w:t>
      </w:r>
      <w:r w:rsidR="00C34388">
        <w:t>/median</w:t>
      </w:r>
      <w:r w:rsidR="000B148D" w:rsidRPr="00054570">
        <w:t xml:space="preserve"> changes from baseline</w:t>
      </w:r>
      <w:r w:rsidR="000B148D">
        <w:t xml:space="preserve"> to end of treatment</w:t>
      </w:r>
      <w:r w:rsidR="000B148D" w:rsidRPr="00054570">
        <w:t xml:space="preserve"> in EQ-5D-5L</w:t>
      </w:r>
      <w:r w:rsidR="000B148D">
        <w:t xml:space="preserve">, </w:t>
      </w:r>
      <w:r w:rsidR="000B148D" w:rsidRPr="00054570">
        <w:t xml:space="preserve">EORTC QLQ-C30 </w:t>
      </w:r>
      <w:r w:rsidR="000204D2">
        <w:t>GHS</w:t>
      </w:r>
      <w:r w:rsidR="000B148D">
        <w:t xml:space="preserve"> and</w:t>
      </w:r>
      <w:r w:rsidR="000B148D" w:rsidRPr="00054570">
        <w:t xml:space="preserve"> EORTC QLQ-BR45, demonstrated that </w:t>
      </w:r>
      <w:r w:rsidR="00987921">
        <w:t>QoL</w:t>
      </w:r>
      <w:r w:rsidR="008A6A11" w:rsidRPr="00054570">
        <w:t xml:space="preserve"> </w:t>
      </w:r>
      <w:r w:rsidR="00294FDC" w:rsidRPr="00294FDC">
        <w:rPr>
          <w:color w:val="000000"/>
          <w:highlight w:val="black"/>
        </w:rPr>
        <w:t>xxxxxxxxxxxxxxxxxxxxxxxxxxxxxxxxxxxxxxxxxxxxxxx</w:t>
      </w:r>
      <w:r w:rsidR="000B148D" w:rsidRPr="00F710CB">
        <w:t xml:space="preserve"> </w:t>
      </w:r>
      <w:r w:rsidR="000B148D" w:rsidRPr="00054570">
        <w:t>with T-DXd.</w:t>
      </w:r>
      <w:r w:rsidR="00E9588A">
        <w:fldChar w:fldCharType="begin"/>
      </w:r>
      <w:r w:rsidR="00CA6345">
        <w:instrText xml:space="preserve"> ADDIN ZOTERO_ITEM CSL_CITATION {"citationID":"hYfgx1L8","properties":{"formattedCitation":"\\super 152\\nosupersub{}","plainCitation":"152","noteIndex":0},"citationItems":[{"id":66410,"uris":["http://zotero.org/groups/4797619/items/RKV2VG2A"],"itemData":{"id":66410,"type":"document","title":"FAS PRO tables and figures. Data on File.","author":[{"family":"Daiichi Sankyo Inc.","given":""}]}}],"schema":"https://github.com/citation-style-language/schema/raw/master/csl-citation.json"} </w:instrText>
      </w:r>
      <w:r w:rsidR="00E9588A">
        <w:fldChar w:fldCharType="separate"/>
      </w:r>
      <w:r w:rsidR="00CA6345" w:rsidRPr="00CA6345">
        <w:rPr>
          <w:rFonts w:cs="Arial"/>
          <w:szCs w:val="24"/>
          <w:vertAlign w:val="superscript"/>
        </w:rPr>
        <w:t>152</w:t>
      </w:r>
      <w:r w:rsidR="00E9588A">
        <w:fldChar w:fldCharType="end"/>
      </w:r>
      <w:r w:rsidR="000B148D" w:rsidRPr="00054570">
        <w:t xml:space="preserve"> Additionally, in the</w:t>
      </w:r>
      <w:r w:rsidR="005744F9">
        <w:t xml:space="preserve"> </w:t>
      </w:r>
      <w:r w:rsidR="00BF2DC9">
        <w:t>FAS</w:t>
      </w:r>
      <w:r w:rsidR="000B148D" w:rsidRPr="00054570">
        <w:t xml:space="preserve">, median TTDD was </w:t>
      </w:r>
      <w:r w:rsidR="00294FDC" w:rsidRPr="00294FDC">
        <w:rPr>
          <w:color w:val="000000"/>
          <w:highlight w:val="black"/>
        </w:rPr>
        <w:t>xxxxxx</w:t>
      </w:r>
      <w:r w:rsidR="000B148D" w:rsidRPr="00054570">
        <w:t xml:space="preserve"> with T-DXd </w:t>
      </w:r>
      <w:r w:rsidR="00F230E0">
        <w:t>than TPC</w:t>
      </w:r>
      <w:r w:rsidR="000B148D" w:rsidRPr="00054570">
        <w:t xml:space="preserve"> for EQ-5D-5L-VAS</w:t>
      </w:r>
      <w:r w:rsidR="000B148D" w:rsidRPr="00054570" w:rsidDel="00C11615">
        <w:t xml:space="preserve"> (</w:t>
      </w:r>
      <w:r w:rsidR="00294FDC" w:rsidRPr="00294FDC">
        <w:rPr>
          <w:color w:val="000000"/>
          <w:highlight w:val="black"/>
        </w:rPr>
        <w:t>xxxx</w:t>
      </w:r>
      <w:r w:rsidR="00F230E0" w:rsidRPr="00F710CB">
        <w:t xml:space="preserve"> </w:t>
      </w:r>
      <w:r w:rsidR="007C0B1C">
        <w:t>[</w:t>
      </w:r>
      <w:r w:rsidR="00F230E0" w:rsidRPr="003C648C">
        <w:t>95% CI:</w:t>
      </w:r>
      <w:r w:rsidR="00F230E0">
        <w:rPr>
          <w:u w:val="single"/>
        </w:rPr>
        <w:t xml:space="preserve"> </w:t>
      </w:r>
      <w:r w:rsidR="00294FDC" w:rsidRPr="00294FDC">
        <w:rPr>
          <w:color w:val="000000"/>
          <w:highlight w:val="black"/>
        </w:rPr>
        <w:t>xxx</w:t>
      </w:r>
      <w:r w:rsidR="008760B5">
        <w:rPr>
          <w:color w:val="000000"/>
          <w:highlight w:val="black"/>
        </w:rPr>
        <w:t xml:space="preserve"> </w:t>
      </w:r>
      <w:r w:rsidR="00294FDC" w:rsidRPr="00294FDC">
        <w:rPr>
          <w:color w:val="000000"/>
          <w:highlight w:val="black"/>
        </w:rPr>
        <w:t>xxx</w:t>
      </w:r>
      <w:r w:rsidR="007C0B1C">
        <w:t>]</w:t>
      </w:r>
      <w:r w:rsidR="007C0B1C" w:rsidRPr="003C648C">
        <w:t xml:space="preserve"> </w:t>
      </w:r>
      <w:r w:rsidR="00F230E0" w:rsidRPr="00054570">
        <w:t xml:space="preserve">vs. </w:t>
      </w:r>
      <w:r w:rsidR="00294FDC" w:rsidRPr="00294FDC">
        <w:rPr>
          <w:color w:val="000000"/>
          <w:highlight w:val="black"/>
        </w:rPr>
        <w:t>xxx</w:t>
      </w:r>
      <w:r w:rsidR="00F230E0" w:rsidRPr="00054570">
        <w:t xml:space="preserve"> months</w:t>
      </w:r>
      <w:r w:rsidR="00F230E0">
        <w:t xml:space="preserve"> </w:t>
      </w:r>
      <w:r w:rsidR="007C0B1C">
        <w:t>[</w:t>
      </w:r>
      <w:r w:rsidR="00F230E0">
        <w:t xml:space="preserve">95% CI: </w:t>
      </w:r>
      <w:r w:rsidR="00294FDC" w:rsidRPr="00294FDC">
        <w:rPr>
          <w:color w:val="000000"/>
          <w:highlight w:val="black"/>
        </w:rPr>
        <w:t>xxxxxxx</w:t>
      </w:r>
      <w:r w:rsidR="007C0B1C">
        <w:t>]</w:t>
      </w:r>
      <w:r w:rsidR="007C0B1C" w:rsidRPr="00054570">
        <w:t xml:space="preserve">; </w:t>
      </w:r>
      <w:r w:rsidR="00F230E0" w:rsidRPr="00054570">
        <w:t xml:space="preserve">HR: </w:t>
      </w:r>
      <w:r w:rsidR="00294FDC" w:rsidRPr="00294FDC">
        <w:rPr>
          <w:color w:val="000000"/>
          <w:highlight w:val="black"/>
        </w:rPr>
        <w:t>xxxx</w:t>
      </w:r>
      <w:r w:rsidR="00F230E0" w:rsidRPr="00054570">
        <w:t xml:space="preserve">; 95% CI: </w:t>
      </w:r>
      <w:r w:rsidR="00294FDC" w:rsidRPr="00294FDC">
        <w:rPr>
          <w:color w:val="000000"/>
          <w:highlight w:val="black"/>
        </w:rPr>
        <w:t>xxxxxxxxxx</w:t>
      </w:r>
      <w:r w:rsidR="00F230E0" w:rsidRPr="00054570">
        <w:t>; p=</w:t>
      </w:r>
      <w:r w:rsidR="00294FDC" w:rsidRPr="00294FDC">
        <w:rPr>
          <w:color w:val="000000"/>
          <w:highlight w:val="black"/>
        </w:rPr>
        <w:t>xxxxxx</w:t>
      </w:r>
      <w:r w:rsidR="00F230E0" w:rsidRPr="00054570">
        <w:t>)</w:t>
      </w:r>
      <w:r w:rsidR="000B148D" w:rsidRPr="00054570">
        <w:t xml:space="preserve">, EORTC QLQ-C30 </w:t>
      </w:r>
      <w:r w:rsidR="000204D2">
        <w:t>GHS</w:t>
      </w:r>
      <w:r w:rsidR="000B148D" w:rsidRPr="00054570" w:rsidDel="00C11615">
        <w:t xml:space="preserve"> (</w:t>
      </w:r>
      <w:r w:rsidR="00294FDC" w:rsidRPr="00294FDC">
        <w:rPr>
          <w:color w:val="000000"/>
          <w:highlight w:val="black"/>
        </w:rPr>
        <w:t>xxxx</w:t>
      </w:r>
      <w:r w:rsidR="00F230E0" w:rsidRPr="00054570">
        <w:t xml:space="preserve"> </w:t>
      </w:r>
      <w:r w:rsidR="007C0B1C">
        <w:t>[</w:t>
      </w:r>
      <w:r w:rsidR="00F230E0">
        <w:t xml:space="preserve">95% CI: </w:t>
      </w:r>
      <w:r w:rsidR="00294FDC" w:rsidRPr="00294FDC">
        <w:rPr>
          <w:color w:val="000000"/>
          <w:highlight w:val="black"/>
        </w:rPr>
        <w:t>xxxxxx</w:t>
      </w:r>
      <w:r w:rsidR="007C0B1C">
        <w:t xml:space="preserve">] </w:t>
      </w:r>
      <w:r w:rsidR="00F230E0" w:rsidRPr="00054570">
        <w:t xml:space="preserve">vs. </w:t>
      </w:r>
      <w:r w:rsidR="00294FDC" w:rsidRPr="00294FDC">
        <w:rPr>
          <w:color w:val="000000"/>
          <w:highlight w:val="black"/>
        </w:rPr>
        <w:t>xxx</w:t>
      </w:r>
      <w:r w:rsidR="00F230E0" w:rsidRPr="00E16168">
        <w:t xml:space="preserve"> </w:t>
      </w:r>
      <w:r w:rsidR="00F230E0" w:rsidRPr="00054570">
        <w:t>months</w:t>
      </w:r>
      <w:r w:rsidR="00F230E0">
        <w:t xml:space="preserve"> </w:t>
      </w:r>
      <w:r w:rsidR="007C0B1C">
        <w:t>[</w:t>
      </w:r>
      <w:r w:rsidR="00F230E0">
        <w:t xml:space="preserve">95% CI: </w:t>
      </w:r>
      <w:r w:rsidR="00294FDC" w:rsidRPr="00294FDC">
        <w:rPr>
          <w:color w:val="000000"/>
          <w:highlight w:val="black"/>
        </w:rPr>
        <w:t>xxxxxxxx</w:t>
      </w:r>
      <w:r w:rsidR="007C0B1C">
        <w:t>]</w:t>
      </w:r>
      <w:r w:rsidR="007C0B1C" w:rsidRPr="00054570">
        <w:t>;</w:t>
      </w:r>
      <w:r w:rsidR="00F230E0" w:rsidRPr="00054570">
        <w:t xml:space="preserve"> HR: </w:t>
      </w:r>
      <w:r w:rsidR="00294FDC" w:rsidRPr="00294FDC">
        <w:rPr>
          <w:color w:val="000000"/>
          <w:highlight w:val="black"/>
        </w:rPr>
        <w:t>xxxx</w:t>
      </w:r>
      <w:r w:rsidR="00F230E0" w:rsidRPr="00054570">
        <w:t xml:space="preserve">; 95% CI: </w:t>
      </w:r>
      <w:r w:rsidR="00294FDC" w:rsidRPr="00294FDC">
        <w:rPr>
          <w:color w:val="000000"/>
          <w:highlight w:val="black"/>
        </w:rPr>
        <w:t>xxxxxxxxx</w:t>
      </w:r>
      <w:r w:rsidR="00F230E0" w:rsidRPr="00054570">
        <w:t>; p=</w:t>
      </w:r>
      <w:r w:rsidR="00294FDC" w:rsidRPr="00294FDC">
        <w:rPr>
          <w:color w:val="000000"/>
          <w:highlight w:val="black"/>
        </w:rPr>
        <w:t>xxxxxx</w:t>
      </w:r>
      <w:r w:rsidR="00F230E0" w:rsidRPr="00054570">
        <w:t>)</w:t>
      </w:r>
      <w:r w:rsidR="000B148D" w:rsidRPr="00054570">
        <w:t xml:space="preserve">, and for the </w:t>
      </w:r>
      <w:r w:rsidR="000B148D">
        <w:t xml:space="preserve">vast </w:t>
      </w:r>
      <w:r w:rsidR="000B148D" w:rsidRPr="00054570">
        <w:t>majority of pre</w:t>
      </w:r>
      <w:r w:rsidR="00133B67">
        <w:t>-specified</w:t>
      </w:r>
      <w:r w:rsidR="000B148D" w:rsidRPr="00054570">
        <w:t xml:space="preserve"> subscales of the EORTC QLQ-C30 and EORTC QLQ-BR45.</w:t>
      </w:r>
      <w:r w:rsidR="00D00FF2">
        <w:fldChar w:fldCharType="begin"/>
      </w:r>
      <w:r w:rsidR="00CA6345">
        <w:instrText xml:space="preserve"> ADDIN ZOTERO_ITEM CSL_CITATION {"citationID":"3bNBnBnP","properties":{"formattedCitation":"\\super 152\\nosupersub{}","plainCitation":"152","noteIndex":0},"citationItems":[{"id":66410,"uris":["http://zotero.org/groups/4797619/items/RKV2VG2A"],"itemData":{"id":66410,"type":"document","title":"FAS PRO tables and figures. Data on File.","author":[{"family":"Daiichi Sankyo Inc.","given":""}]}}],"schema":"https://github.com/citation-style-language/schema/raw/master/csl-citation.json"} </w:instrText>
      </w:r>
      <w:r w:rsidR="00D00FF2">
        <w:fldChar w:fldCharType="separate"/>
      </w:r>
      <w:r w:rsidR="00CA6345" w:rsidRPr="00CA6345">
        <w:rPr>
          <w:rFonts w:cs="Arial"/>
          <w:szCs w:val="24"/>
          <w:vertAlign w:val="superscript"/>
        </w:rPr>
        <w:t>152</w:t>
      </w:r>
      <w:r w:rsidR="00D00FF2">
        <w:fldChar w:fldCharType="end"/>
      </w:r>
      <w:r w:rsidR="00D377FD">
        <w:t xml:space="preserve"> Results were consistent in the HR-positive cohort.</w:t>
      </w:r>
      <w:r w:rsidR="00D377FD" w:rsidRPr="00D377FD">
        <w:t xml:space="preserve"> </w:t>
      </w:r>
      <w:r w:rsidR="00D377FD">
        <w:fldChar w:fldCharType="begin"/>
      </w:r>
      <w:r w:rsidR="00CA6345">
        <w:instrText xml:space="preserve"> ADDIN ZOTERO_ITEM CSL_CITATION {"citationID":"QpSYvlO3","properties":{"formattedCitation":"\\super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00D377FD">
        <w:fldChar w:fldCharType="separate"/>
      </w:r>
      <w:r w:rsidR="00FD57F4" w:rsidRPr="00FD57F4">
        <w:rPr>
          <w:rFonts w:cs="Arial"/>
          <w:szCs w:val="24"/>
          <w:vertAlign w:val="superscript"/>
        </w:rPr>
        <w:t>7</w:t>
      </w:r>
      <w:r w:rsidR="00D377FD">
        <w:fldChar w:fldCharType="end"/>
      </w:r>
      <w:r w:rsidR="00D377FD" w:rsidRPr="001304A0">
        <w:t xml:space="preserve"> </w:t>
      </w:r>
    </w:p>
    <w:p w14:paraId="074184B5" w14:textId="550EEC43" w:rsidR="000B148D" w:rsidRPr="00054570" w:rsidRDefault="000B148D" w:rsidP="000B148D">
      <w:pPr>
        <w:pStyle w:val="Body"/>
      </w:pPr>
      <w:r w:rsidRPr="00054570">
        <w:t xml:space="preserve">Overall, the efficacy </w:t>
      </w:r>
      <w:r>
        <w:t>data</w:t>
      </w:r>
      <w:r w:rsidRPr="00054570">
        <w:t xml:space="preserve"> </w:t>
      </w:r>
      <w:r>
        <w:t>from</w:t>
      </w:r>
      <w:r w:rsidRPr="00054570">
        <w:t xml:space="preserve"> DESTINY-Breast04 </w:t>
      </w:r>
      <w:r w:rsidR="001B0839">
        <w:t>across a range of clinically meaningful outcomes</w:t>
      </w:r>
      <w:r>
        <w:t xml:space="preserve"> confirm</w:t>
      </w:r>
      <w:r w:rsidRPr="00054570">
        <w:t xml:space="preserve"> </w:t>
      </w:r>
      <w:r>
        <w:t>the</w:t>
      </w:r>
      <w:r w:rsidRPr="00054570">
        <w:t xml:space="preserve"> substantial </w:t>
      </w:r>
      <w:r>
        <w:t>efficacy benefit of T-DXd</w:t>
      </w:r>
      <w:r w:rsidRPr="00054570">
        <w:t xml:space="preserve"> compared with TPC</w:t>
      </w:r>
      <w:r>
        <w:t xml:space="preserve">. Multiple PRO endpoints demonstrate </w:t>
      </w:r>
      <w:r w:rsidR="00294FDC" w:rsidRPr="00294FDC">
        <w:rPr>
          <w:color w:val="000000"/>
          <w:highlight w:val="black"/>
        </w:rPr>
        <w:t>xxxxxxxxxxxxxxxxxxxxxxxxxxxxxxxxxxxxx</w:t>
      </w:r>
      <w:r w:rsidR="00A83A42" w:rsidRPr="00F710CB">
        <w:t xml:space="preserve"> </w:t>
      </w:r>
      <w:r w:rsidR="00A83A42" w:rsidRPr="003C648C">
        <w:t xml:space="preserve">and a </w:t>
      </w:r>
      <w:r w:rsidR="00294FDC" w:rsidRPr="00294FDC">
        <w:rPr>
          <w:color w:val="000000"/>
          <w:highlight w:val="black"/>
        </w:rPr>
        <w:t>xxxxxx</w:t>
      </w:r>
      <w:r w:rsidR="00A83A42" w:rsidRPr="003C648C">
        <w:t xml:space="preserve"> </w:t>
      </w:r>
      <w:r w:rsidR="00D30D44">
        <w:t>TTDD</w:t>
      </w:r>
      <w:r w:rsidR="006B6BC5">
        <w:t xml:space="preserve"> </w:t>
      </w:r>
      <w:r>
        <w:t>compared with non-targeted chemotherapy</w:t>
      </w:r>
      <w:r w:rsidRPr="00054570">
        <w:t>.</w:t>
      </w:r>
      <w:r>
        <w:fldChar w:fldCharType="begin"/>
      </w:r>
      <w:r w:rsidR="00CA6345">
        <w:instrText xml:space="preserve"> ADDIN ZOTERO_ITEM CSL_CITATION {"citationID":"z93KBZlu","properties":{"formattedCitation":"\\super 7,151\\nosupersub{}","plainCitation":"7,151","noteIndex":0},"citationItems":[{"id":65944,"uris":["http://zotero.org/groups/4797619/items/WBVSVVF7"],"itemData":{"id":65944,"type":"document","title":"Clinical Study Report for DS8201-A-U303. Data cut-off date: 11 Jan 2022. Data on File.","author":[{"family":"Daiichi Sankyo Inc.","given":""}],"issued":{"date-parts":[["2022"]]}}},{"id":66139,"uris":["http://zotero.org/groups/4797619/items/GE98BVW6"],"itemData":{"id":66139,"type":"document","title":"Patient-Reported Outcomes (PROs) From DESTINY-Breast04  a Randomized Phase 3 Study of Trastuzumab Deruxtecan (T-DXd) vs Treatment of Physician’s Choice (TPC) in Patients With HER2-Low  Metastatic Breast Cancer. Presented at ESMO Congress, September 2022.","author":[{"family":"Ueno","given":"Shanu"},{"family":"Jacot","given":"William"},{"family":"Yamashita","given":"Toshinari"},{"family":"Sohn","given":"Joohyuk"},{"family":"Vidal","given":"Maria"},{"family":"Tokunaga","given":"Eriko"},{"family":"Tsurutani","given":"Junji"},{"family":"Lee","given":"Keun Seok"},{"family":"Niikura","given":"Naoki"},{"family":"Park","given":"Yeon Hee"},{"family":"Wang","given":"Xiaojia"},{"family":"Xu","given":"Binghe"},{"family":"Gambhire","given":"Dhiraj"},{"family":"Yung","given":"Lotus"},{"family":"Meinhardt","given":"Gerold"},{"family":"Wang","given":"Yibin"},{"family":"Harbeck","given":"Nadia"},{"family":"Cameron","given":"David"},{"family":"Modi","given":"Shanu"}],"issued":{"date-parts":[["2022",9,1]]}}}],"schema":"https://github.com/citation-style-language/schema/raw/master/csl-citation.json"} </w:instrText>
      </w:r>
      <w:r>
        <w:fldChar w:fldCharType="separate"/>
      </w:r>
      <w:r w:rsidR="00CA6345" w:rsidRPr="00CA6345">
        <w:rPr>
          <w:rFonts w:cs="Arial"/>
          <w:szCs w:val="24"/>
          <w:vertAlign w:val="superscript"/>
        </w:rPr>
        <w:t>7,151</w:t>
      </w:r>
      <w:r>
        <w:fldChar w:fldCharType="end"/>
      </w:r>
      <w:r w:rsidRPr="00054570">
        <w:t xml:space="preserve"> </w:t>
      </w:r>
    </w:p>
    <w:p w14:paraId="778CD311" w14:textId="77777777" w:rsidR="000B148D" w:rsidRPr="00054570" w:rsidRDefault="000B148D" w:rsidP="000B148D">
      <w:pPr>
        <w:pStyle w:val="Heading2"/>
      </w:pPr>
      <w:bookmarkStart w:id="286" w:name="_Ref92393658"/>
      <w:bookmarkStart w:id="287" w:name="_Ref92447940"/>
      <w:bookmarkStart w:id="288" w:name="_Ref92448031"/>
      <w:bookmarkStart w:id="289" w:name="_Toc124447841"/>
      <w:bookmarkStart w:id="290" w:name="_Toc129350868"/>
      <w:r w:rsidRPr="00054570">
        <w:t>Subgroup analysis</w:t>
      </w:r>
      <w:bookmarkEnd w:id="286"/>
      <w:bookmarkEnd w:id="287"/>
      <w:bookmarkEnd w:id="288"/>
      <w:bookmarkEnd w:id="289"/>
      <w:bookmarkEnd w:id="290"/>
    </w:p>
    <w:p w14:paraId="708A1FAB" w14:textId="4631F2D4" w:rsidR="000B148D" w:rsidRPr="00054570" w:rsidRDefault="000B148D" w:rsidP="000B148D">
      <w:pPr>
        <w:pStyle w:val="Body"/>
        <w:spacing w:before="120"/>
      </w:pPr>
      <w:r w:rsidRPr="00054570">
        <w:t>Pre-specified subgroups for analysis were:</w:t>
      </w:r>
      <w:r w:rsidRPr="00054570">
        <w:fldChar w:fldCharType="begin"/>
      </w:r>
      <w:r w:rsidR="00CA6345">
        <w:instrText xml:space="preserve"> ADDIN ZOTERO_ITEM CSL_CITATION {"citationID":"5byKxaxe","properties":{"formattedCitation":"\\super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p>
    <w:p w14:paraId="7DEDE3EB" w14:textId="77777777" w:rsidR="000B148D" w:rsidRPr="00054570" w:rsidRDefault="000B148D" w:rsidP="00954359">
      <w:pPr>
        <w:pStyle w:val="Body"/>
        <w:numPr>
          <w:ilvl w:val="0"/>
          <w:numId w:val="7"/>
        </w:numPr>
        <w:ind w:left="426" w:hanging="284"/>
        <w:contextualSpacing/>
      </w:pPr>
      <w:r w:rsidRPr="00054570">
        <w:t>HER2 status (IHC+1, IHC 2+/ISH-negative)</w:t>
      </w:r>
    </w:p>
    <w:p w14:paraId="2A4DB7DE" w14:textId="77777777" w:rsidR="000B148D" w:rsidRPr="00054570" w:rsidRDefault="000B148D" w:rsidP="00954359">
      <w:pPr>
        <w:pStyle w:val="Body"/>
        <w:numPr>
          <w:ilvl w:val="0"/>
          <w:numId w:val="7"/>
        </w:numPr>
        <w:ind w:left="426" w:hanging="284"/>
        <w:contextualSpacing/>
      </w:pPr>
      <w:r>
        <w:t>FAS only – hormone receptor</w:t>
      </w:r>
      <w:r w:rsidRPr="00054570">
        <w:t xml:space="preserve"> status (positive, negative)</w:t>
      </w:r>
    </w:p>
    <w:p w14:paraId="02937F1E" w14:textId="77777777" w:rsidR="000B148D" w:rsidRPr="00054570" w:rsidRDefault="000B148D" w:rsidP="00954359">
      <w:pPr>
        <w:pStyle w:val="Body"/>
        <w:numPr>
          <w:ilvl w:val="0"/>
          <w:numId w:val="7"/>
        </w:numPr>
        <w:ind w:left="426" w:hanging="284"/>
        <w:contextualSpacing/>
      </w:pPr>
      <w:r w:rsidRPr="00054570">
        <w:t>Lines of prior chemotherapy in the metastatic setting (1, ≥2)</w:t>
      </w:r>
    </w:p>
    <w:p w14:paraId="6F804F9A" w14:textId="77777777" w:rsidR="000B148D" w:rsidRPr="00054570" w:rsidRDefault="000B148D" w:rsidP="00954359">
      <w:pPr>
        <w:pStyle w:val="Body"/>
        <w:numPr>
          <w:ilvl w:val="0"/>
          <w:numId w:val="7"/>
        </w:numPr>
        <w:ind w:left="426" w:hanging="284"/>
        <w:contextualSpacing/>
      </w:pPr>
      <w:r w:rsidRPr="00054570">
        <w:t>Prior CDK4/6 (yes, no)</w:t>
      </w:r>
    </w:p>
    <w:p w14:paraId="287ABF82" w14:textId="77777777" w:rsidR="000B148D" w:rsidRPr="00054570" w:rsidRDefault="000B148D" w:rsidP="00954359">
      <w:pPr>
        <w:pStyle w:val="Body"/>
        <w:numPr>
          <w:ilvl w:val="0"/>
          <w:numId w:val="7"/>
        </w:numPr>
        <w:ind w:left="426" w:hanging="284"/>
        <w:contextualSpacing/>
      </w:pPr>
      <w:r w:rsidRPr="00054570">
        <w:t xml:space="preserve">Lines of prior </w:t>
      </w:r>
      <w:r>
        <w:t>ET</w:t>
      </w:r>
      <w:r w:rsidRPr="00054570">
        <w:t xml:space="preserve"> received in the metastatic setting (0, 1, 2, ≥3)</w:t>
      </w:r>
    </w:p>
    <w:p w14:paraId="0811B2AD" w14:textId="77777777" w:rsidR="000B148D" w:rsidRPr="00054570" w:rsidRDefault="000B148D" w:rsidP="00954359">
      <w:pPr>
        <w:pStyle w:val="Body"/>
        <w:numPr>
          <w:ilvl w:val="0"/>
          <w:numId w:val="7"/>
        </w:numPr>
        <w:ind w:left="426" w:hanging="284"/>
        <w:contextualSpacing/>
      </w:pPr>
      <w:r w:rsidRPr="00054570">
        <w:t>Best response to last prior cancer systemic therapy (complete response/partial response, stable disease, progressive disease, unknown)</w:t>
      </w:r>
    </w:p>
    <w:p w14:paraId="2A003F29" w14:textId="77777777" w:rsidR="000B148D" w:rsidRPr="00054570" w:rsidRDefault="000B148D" w:rsidP="00954359">
      <w:pPr>
        <w:pStyle w:val="Body"/>
        <w:numPr>
          <w:ilvl w:val="0"/>
          <w:numId w:val="7"/>
        </w:numPr>
        <w:ind w:left="426" w:hanging="284"/>
        <w:contextualSpacing/>
      </w:pPr>
      <w:r w:rsidRPr="00054570">
        <w:t>Renal function at baseline (normal function, mild impairment, moderate impairment)</w:t>
      </w:r>
    </w:p>
    <w:p w14:paraId="6683D717" w14:textId="77777777" w:rsidR="000B148D" w:rsidRPr="00054570" w:rsidRDefault="000B148D" w:rsidP="00954359">
      <w:pPr>
        <w:pStyle w:val="Body"/>
        <w:numPr>
          <w:ilvl w:val="0"/>
          <w:numId w:val="7"/>
        </w:numPr>
        <w:ind w:left="426" w:hanging="284"/>
        <w:contextualSpacing/>
      </w:pPr>
      <w:r w:rsidRPr="00054570">
        <w:t>Hepatic function at baseline (normal function, mild impairment)</w:t>
      </w:r>
    </w:p>
    <w:p w14:paraId="6ADF8D55" w14:textId="77777777" w:rsidR="000B148D" w:rsidRPr="00054570" w:rsidRDefault="000B148D" w:rsidP="00954359">
      <w:pPr>
        <w:pStyle w:val="Body"/>
        <w:numPr>
          <w:ilvl w:val="0"/>
          <w:numId w:val="7"/>
        </w:numPr>
        <w:ind w:left="426" w:hanging="284"/>
        <w:contextualSpacing/>
      </w:pPr>
      <w:r w:rsidRPr="00054570">
        <w:lastRenderedPageBreak/>
        <w:t>Baseline visceral disease (yes, no)</w:t>
      </w:r>
    </w:p>
    <w:p w14:paraId="1D3DD903" w14:textId="77777777" w:rsidR="000B148D" w:rsidRPr="00054570" w:rsidRDefault="000B148D" w:rsidP="00954359">
      <w:pPr>
        <w:pStyle w:val="Body"/>
        <w:numPr>
          <w:ilvl w:val="0"/>
          <w:numId w:val="7"/>
        </w:numPr>
        <w:ind w:left="426" w:hanging="284"/>
        <w:contextualSpacing/>
        <w:rPr>
          <w:lang w:val="es-ES"/>
        </w:rPr>
      </w:pPr>
      <w:r w:rsidRPr="00054570">
        <w:rPr>
          <w:lang w:val="es-ES"/>
        </w:rPr>
        <w:t>Baseline CNS metastases (yes, no)</w:t>
      </w:r>
    </w:p>
    <w:p w14:paraId="68BB078D" w14:textId="77777777" w:rsidR="000B148D" w:rsidRPr="00054570" w:rsidRDefault="000B148D" w:rsidP="00954359">
      <w:pPr>
        <w:pStyle w:val="Body"/>
        <w:numPr>
          <w:ilvl w:val="0"/>
          <w:numId w:val="7"/>
        </w:numPr>
        <w:ind w:left="426" w:hanging="284"/>
        <w:contextualSpacing/>
      </w:pPr>
      <w:r w:rsidRPr="00054570">
        <w:t>Reported history of CNS metastases (yes, no)</w:t>
      </w:r>
    </w:p>
    <w:p w14:paraId="6A1DA6A7" w14:textId="77777777" w:rsidR="000B148D" w:rsidRPr="00054570" w:rsidRDefault="000B148D" w:rsidP="00954359">
      <w:pPr>
        <w:pStyle w:val="Body"/>
        <w:numPr>
          <w:ilvl w:val="0"/>
          <w:numId w:val="7"/>
        </w:numPr>
        <w:ind w:left="426" w:hanging="284"/>
        <w:contextualSpacing/>
      </w:pPr>
      <w:r w:rsidRPr="00054570">
        <w:t>Age (&lt;65, ≥65 years)</w:t>
      </w:r>
    </w:p>
    <w:p w14:paraId="0E8F4D3B" w14:textId="77777777" w:rsidR="000B148D" w:rsidRPr="00054570" w:rsidRDefault="000B148D" w:rsidP="00954359">
      <w:pPr>
        <w:pStyle w:val="Body"/>
        <w:numPr>
          <w:ilvl w:val="0"/>
          <w:numId w:val="7"/>
        </w:numPr>
        <w:ind w:left="426" w:hanging="284"/>
        <w:contextualSpacing/>
      </w:pPr>
      <w:r w:rsidRPr="00054570">
        <w:t>Race (including white, Asian, other)</w:t>
      </w:r>
    </w:p>
    <w:p w14:paraId="2A928DE0" w14:textId="77777777" w:rsidR="000B148D" w:rsidRPr="00054570" w:rsidRDefault="000B148D" w:rsidP="00954359">
      <w:pPr>
        <w:pStyle w:val="Body"/>
        <w:numPr>
          <w:ilvl w:val="0"/>
          <w:numId w:val="7"/>
        </w:numPr>
        <w:ind w:left="426" w:hanging="284"/>
        <w:contextualSpacing/>
      </w:pPr>
      <w:r w:rsidRPr="00054570">
        <w:t>Region (Asia, North America, Europe + Israel)</w:t>
      </w:r>
    </w:p>
    <w:p w14:paraId="5359A21D" w14:textId="77777777" w:rsidR="000B148D" w:rsidRDefault="000B148D" w:rsidP="00954359">
      <w:pPr>
        <w:pStyle w:val="Body"/>
        <w:numPr>
          <w:ilvl w:val="0"/>
          <w:numId w:val="7"/>
        </w:numPr>
        <w:ind w:left="426" w:hanging="284"/>
      </w:pPr>
      <w:r w:rsidRPr="00054570">
        <w:t>ECOG performance status (0, 1)</w:t>
      </w:r>
    </w:p>
    <w:p w14:paraId="30AD2746" w14:textId="77777777" w:rsidR="000B148D" w:rsidRPr="00054570" w:rsidRDefault="000B148D" w:rsidP="000B148D">
      <w:pPr>
        <w:pStyle w:val="Heading3"/>
      </w:pPr>
      <w:r w:rsidRPr="00054570">
        <w:t xml:space="preserve"> </w:t>
      </w:r>
      <w:bookmarkStart w:id="291" w:name="_Toc124447842"/>
      <w:bookmarkStart w:id="292" w:name="_Toc129350869"/>
      <w:r w:rsidRPr="00054570">
        <w:t>PFS by BICR | Pre-specified analysis in key subgroups | FAS</w:t>
      </w:r>
      <w:bookmarkEnd w:id="291"/>
      <w:bookmarkEnd w:id="292"/>
    </w:p>
    <w:p w14:paraId="7DC8821E" w14:textId="28E6DF3B" w:rsidR="000B148D" w:rsidRDefault="000B148D" w:rsidP="000B148D">
      <w:pPr>
        <w:pStyle w:val="Body"/>
      </w:pPr>
      <w:r>
        <w:t xml:space="preserve">In the FAS, T-DXd demonstrated </w:t>
      </w:r>
      <w:r w:rsidR="00DB6288">
        <w:t>a</w:t>
      </w:r>
      <w:r>
        <w:t xml:space="preserve"> </w:t>
      </w:r>
      <w:r w:rsidRPr="00A1485E">
        <w:t>statistically significant improvement</w:t>
      </w:r>
      <w:r>
        <w:t xml:space="preserve"> in PFS by BICR compared to the TPC arm with a HR of 0.50 (</w:t>
      </w:r>
      <w:r w:rsidRPr="00054570">
        <w:t xml:space="preserve">95% </w:t>
      </w:r>
      <w:r>
        <w:t xml:space="preserve">CI: </w:t>
      </w:r>
      <w:r w:rsidRPr="00054570">
        <w:t>0.40, 0.63</w:t>
      </w:r>
      <w:r>
        <w:t>).</w:t>
      </w:r>
      <w:r>
        <w:fldChar w:fldCharType="begin"/>
      </w:r>
      <w:r w:rsidR="00CA6345">
        <w:instrText xml:space="preserve"> ADDIN ZOTERO_ITEM CSL_CITATION {"citationID":"kzwBwpPr","properties":{"formattedCitation":"\\super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t xml:space="preserve"> </w:t>
      </w:r>
      <w:r w:rsidR="006764B8">
        <w:t xml:space="preserve">The </w:t>
      </w:r>
      <w:r>
        <w:t xml:space="preserve">treatment effect was </w:t>
      </w:r>
      <w:r w:rsidR="00294FDC" w:rsidRPr="00294FDC">
        <w:rPr>
          <w:color w:val="000000"/>
          <w:highlight w:val="black"/>
        </w:rPr>
        <w:t>xxxxxxxxxxxxxxxxxxxxxxxxxxxxxxxxxxxxxxxxxxxxxxxxxxxxxxxxxxxxxxxxx</w:t>
      </w:r>
      <w:r>
        <w:t>, as indicated by</w:t>
      </w:r>
      <w:r w:rsidRPr="00054570">
        <w:t xml:space="preserve"> </w:t>
      </w:r>
      <w:r>
        <w:t xml:space="preserve">the subgroup HR </w:t>
      </w:r>
      <w:r w:rsidRPr="0067268C">
        <w:t>estimate</w:t>
      </w:r>
      <w:r>
        <w:t>s</w:t>
      </w:r>
      <w:r w:rsidRPr="0067268C">
        <w:t xml:space="preserve"> </w:t>
      </w:r>
      <w:r w:rsidR="001477FF">
        <w:t>lying</w:t>
      </w:r>
      <w:r w:rsidR="001477FF" w:rsidRPr="0067268C">
        <w:t xml:space="preserve"> </w:t>
      </w:r>
      <w:r w:rsidR="00294FDC" w:rsidRPr="00294FDC">
        <w:rPr>
          <w:color w:val="000000"/>
          <w:highlight w:val="black"/>
        </w:rPr>
        <w:t>xxxxxxxxxxxxxxxxxxxxxxxxxxxxxxxxxx</w:t>
      </w:r>
      <w:r w:rsidRPr="0067268C">
        <w:t xml:space="preserve"> for </w:t>
      </w:r>
      <w:r>
        <w:t>the FAS (</w:t>
      </w:r>
      <w:r w:rsidRPr="00D558DD">
        <w:rPr>
          <w:b/>
          <w:bCs/>
        </w:rPr>
        <w:fldChar w:fldCharType="begin"/>
      </w:r>
      <w:r w:rsidRPr="00D558DD">
        <w:rPr>
          <w:b/>
          <w:bCs/>
        </w:rPr>
        <w:instrText xml:space="preserve"> REF _Ref126580718 \h </w:instrText>
      </w:r>
      <w:r>
        <w:rPr>
          <w:b/>
          <w:bCs/>
        </w:rPr>
        <w:instrText xml:space="preserve"> \* MERGEFORMAT </w:instrText>
      </w:r>
      <w:r w:rsidRPr="00D558DD">
        <w:rPr>
          <w:b/>
          <w:bCs/>
        </w:rPr>
      </w:r>
      <w:r w:rsidRPr="00D558DD">
        <w:rPr>
          <w:b/>
          <w:bCs/>
        </w:rPr>
        <w:fldChar w:fldCharType="separate"/>
      </w:r>
      <w:r w:rsidR="00145F42" w:rsidRPr="00145F42">
        <w:rPr>
          <w:b/>
          <w:bCs/>
        </w:rPr>
        <w:t xml:space="preserve">Figure </w:t>
      </w:r>
      <w:r w:rsidR="00145F42" w:rsidRPr="00145F42">
        <w:rPr>
          <w:b/>
          <w:bCs/>
          <w:noProof/>
        </w:rPr>
        <w:t>21</w:t>
      </w:r>
      <w:r w:rsidRPr="00D558DD">
        <w:rPr>
          <w:b/>
          <w:bCs/>
        </w:rPr>
        <w:fldChar w:fldCharType="end"/>
      </w:r>
      <w:r>
        <w:t>).</w:t>
      </w:r>
      <w:r w:rsidR="00556273" w:rsidRPr="00054570">
        <w:fldChar w:fldCharType="begin"/>
      </w:r>
      <w:r w:rsidR="00CA6345">
        <w:instrText xml:space="preserve"> ADDIN ZOTERO_ITEM CSL_CITATION {"citationID":"r4C8abED","properties":{"formattedCitation":"\\super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00556273" w:rsidRPr="00054570">
        <w:fldChar w:fldCharType="separate"/>
      </w:r>
      <w:r w:rsidR="00FD57F4" w:rsidRPr="00FD57F4">
        <w:rPr>
          <w:rFonts w:cs="Arial"/>
          <w:szCs w:val="24"/>
          <w:vertAlign w:val="superscript"/>
        </w:rPr>
        <w:t>7</w:t>
      </w:r>
      <w:r w:rsidR="00556273" w:rsidRPr="00054570">
        <w:fldChar w:fldCharType="end"/>
      </w:r>
      <w:r w:rsidR="00556273">
        <w:t xml:space="preserve"> </w:t>
      </w:r>
      <w:r>
        <w:t xml:space="preserve"> The subgroup HR estimates that </w:t>
      </w:r>
      <w:r w:rsidR="00294FDC" w:rsidRPr="00294FDC">
        <w:rPr>
          <w:color w:val="000000"/>
          <w:highlight w:val="black"/>
        </w:rPr>
        <w:t>xxxxxxxxxxxxxxxxxxxxxxxxxx</w:t>
      </w:r>
      <w:r>
        <w:t xml:space="preserve"> of the FAS were:</w:t>
      </w:r>
      <w:r w:rsidRPr="0067268C">
        <w:t xml:space="preserve"> </w:t>
      </w:r>
      <w:r w:rsidR="00294FDC" w:rsidRPr="00294FDC">
        <w:rPr>
          <w:color w:val="000000"/>
          <w:highlight w:val="black"/>
        </w:rPr>
        <w:t>xxxxx</w:t>
      </w:r>
      <w:r w:rsidR="008760B5">
        <w:rPr>
          <w:color w:val="000000"/>
          <w:highlight w:val="black"/>
        </w:rPr>
        <w:t xml:space="preserve"> </w:t>
      </w:r>
      <w:r w:rsidR="00294FDC" w:rsidRPr="00294FDC">
        <w:rPr>
          <w:color w:val="000000"/>
          <w:highlight w:val="black"/>
        </w:rPr>
        <w:t>xxxxxxxxxxxxxxxxxxxxxxxxxxxxxxxxxxxxxxxxxxxxxxxxxxxxxxxxxxxxxxxxxxxxxxxxxxxxxxxxxxxxxxxxxxxxxxxxxxxxxxxxxxxxxxxxxxxxxxxxxxxxxxxxxxxxxxxxxxxxxxxxxxxxxxxxxxxxxxxxxxxxxxxxxxxxxx</w:t>
      </w:r>
      <w:r>
        <w:t>.</w:t>
      </w:r>
      <w:r w:rsidR="00556273" w:rsidRPr="00054570">
        <w:fldChar w:fldCharType="begin"/>
      </w:r>
      <w:r w:rsidR="00CA6345">
        <w:instrText xml:space="preserve"> ADDIN ZOTERO_ITEM CSL_CITATION {"citationID":"g0fS9MlX","properties":{"formattedCitation":"\\super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00556273" w:rsidRPr="00054570">
        <w:fldChar w:fldCharType="separate"/>
      </w:r>
      <w:r w:rsidR="00FD57F4" w:rsidRPr="00FD57F4">
        <w:rPr>
          <w:rFonts w:cs="Arial"/>
          <w:szCs w:val="24"/>
          <w:vertAlign w:val="superscript"/>
        </w:rPr>
        <w:t>7</w:t>
      </w:r>
      <w:r w:rsidR="00556273" w:rsidRPr="00054570">
        <w:fldChar w:fldCharType="end"/>
      </w:r>
      <w:r>
        <w:t xml:space="preserve"> For all of these exceptions, the </w:t>
      </w:r>
      <w:r w:rsidR="00294FDC" w:rsidRPr="00294FDC">
        <w:rPr>
          <w:color w:val="000000"/>
          <w:highlight w:val="black"/>
        </w:rPr>
        <w:t>xxxxxxxxxxxxxxxxxxxxxxxxxxxxxxxxxxxxxx</w:t>
      </w:r>
      <w:r>
        <w:t>.</w:t>
      </w:r>
      <w:r w:rsidR="00556273" w:rsidRPr="00054570">
        <w:fldChar w:fldCharType="begin"/>
      </w:r>
      <w:r w:rsidR="00CA6345">
        <w:instrText xml:space="preserve"> ADDIN ZOTERO_ITEM CSL_CITATION {"citationID":"khKzwLPc","properties":{"formattedCitation":"\\super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00556273" w:rsidRPr="00054570">
        <w:fldChar w:fldCharType="separate"/>
      </w:r>
      <w:r w:rsidR="00FD57F4" w:rsidRPr="00FD57F4">
        <w:rPr>
          <w:rFonts w:cs="Arial"/>
          <w:szCs w:val="24"/>
          <w:vertAlign w:val="superscript"/>
        </w:rPr>
        <w:t>7</w:t>
      </w:r>
      <w:r w:rsidR="00556273" w:rsidRPr="00054570">
        <w:fldChar w:fldCharType="end"/>
      </w:r>
      <w:r w:rsidR="00556273">
        <w:t xml:space="preserve"> </w:t>
      </w:r>
      <w:r w:rsidRPr="0067268C">
        <w:t xml:space="preserve"> </w:t>
      </w:r>
      <w:r w:rsidR="00126AA6" w:rsidDel="00126AA6">
        <w:t xml:space="preserve"> </w:t>
      </w:r>
    </w:p>
    <w:p w14:paraId="0110F5A4" w14:textId="0FF21732" w:rsidR="00F17180" w:rsidRDefault="001D639A" w:rsidP="000B148D">
      <w:pPr>
        <w:pStyle w:val="Body"/>
      </w:pPr>
      <w:r>
        <w:t>S</w:t>
      </w:r>
      <w:r w:rsidR="000B148D">
        <w:t xml:space="preserve">ubgroup </w:t>
      </w:r>
      <w:r w:rsidR="001B77F3">
        <w:t xml:space="preserve">analysis </w:t>
      </w:r>
      <w:r w:rsidR="000B148D">
        <w:t xml:space="preserve">show that </w:t>
      </w:r>
      <w:r w:rsidR="000B148D" w:rsidRPr="00054570">
        <w:t>T-DXd is associated with a</w:t>
      </w:r>
      <w:r w:rsidR="00612833" w:rsidRPr="003C648C">
        <w:t xml:space="preserve"> </w:t>
      </w:r>
      <w:r w:rsidR="00294FDC" w:rsidRPr="00294FDC">
        <w:rPr>
          <w:color w:val="000000"/>
          <w:highlight w:val="black"/>
        </w:rPr>
        <w:t>xxxxxxxxxxxxxxxxxxxxxx</w:t>
      </w:r>
      <w:r w:rsidR="000B148D" w:rsidRPr="00054570">
        <w:t xml:space="preserve"> </w:t>
      </w:r>
      <w:r w:rsidR="000B148D">
        <w:t xml:space="preserve">in PFS vs. </w:t>
      </w:r>
      <w:r w:rsidR="000B148D" w:rsidRPr="00054570">
        <w:t>TPC</w:t>
      </w:r>
      <w:r w:rsidR="000B148D">
        <w:t xml:space="preserve">, including in key subgroups (e.g., </w:t>
      </w:r>
      <w:r w:rsidR="00294FDC" w:rsidRPr="00294FDC">
        <w:rPr>
          <w:color w:val="000000"/>
          <w:highlight w:val="black"/>
        </w:rPr>
        <w:t>xxxxxxxxxxxxxxxxxxxxxxxxxxxxxxxxxxxxxxxxxxxxxxxxxxxxxxxxxxxxxxxxxxxxxxxxxxxxxxxxxxxxxxxxxxxxxxxxxxxxxxxxxxxxxxxxxxxxx</w:t>
      </w:r>
      <w:r w:rsidR="000B148D" w:rsidRPr="00054570">
        <w:t>)</w:t>
      </w:r>
      <w:r w:rsidR="004C2EF1">
        <w:t xml:space="preserve">, as indicated by the </w:t>
      </w:r>
      <w:r w:rsidR="00294FDC" w:rsidRPr="00294FDC">
        <w:rPr>
          <w:color w:val="000000"/>
          <w:highlight w:val="black"/>
        </w:rPr>
        <w:t>xxxxxxxxxxxxxxxxxx</w:t>
      </w:r>
      <w:r w:rsidR="000B148D" w:rsidRPr="00054570">
        <w:t>.</w:t>
      </w:r>
      <w:r w:rsidR="000B148D" w:rsidRPr="00054570">
        <w:fldChar w:fldCharType="begin"/>
      </w:r>
      <w:r w:rsidR="00CA6345">
        <w:instrText xml:space="preserve"> ADDIN ZOTERO_ITEM CSL_CITATION {"citationID":"snEHN5dm","properties":{"formattedCitation":"\\super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000B148D" w:rsidRPr="00054570">
        <w:fldChar w:fldCharType="separate"/>
      </w:r>
      <w:r w:rsidR="00FD57F4" w:rsidRPr="00FD57F4">
        <w:rPr>
          <w:rFonts w:cs="Arial"/>
          <w:szCs w:val="24"/>
          <w:vertAlign w:val="superscript"/>
        </w:rPr>
        <w:t>7</w:t>
      </w:r>
      <w:r w:rsidR="000B148D" w:rsidRPr="00054570">
        <w:fldChar w:fldCharType="end"/>
      </w:r>
      <w:r w:rsidR="000B148D" w:rsidRPr="00054570">
        <w:t xml:space="preserve"> </w:t>
      </w:r>
      <w:r w:rsidR="00294FDC" w:rsidRPr="00294FDC">
        <w:rPr>
          <w:color w:val="000000"/>
          <w:highlight w:val="black"/>
        </w:rPr>
        <w:t>xxxxx</w:t>
      </w:r>
      <w:r w:rsidR="008760B5">
        <w:rPr>
          <w:color w:val="000000"/>
          <w:highlight w:val="black"/>
        </w:rPr>
        <w:t xml:space="preserve"> </w:t>
      </w:r>
      <w:r w:rsidR="00294FDC" w:rsidRPr="00294FDC">
        <w:rPr>
          <w:color w:val="000000"/>
          <w:highlight w:val="black"/>
        </w:rPr>
        <w:t>xx</w:t>
      </w:r>
      <w:r w:rsidR="008760B5">
        <w:rPr>
          <w:color w:val="000000"/>
          <w:highlight w:val="black"/>
        </w:rPr>
        <w:t xml:space="preserve"> </w:t>
      </w:r>
      <w:r w:rsidR="00294FDC" w:rsidRPr="00294FDC">
        <w:rPr>
          <w:color w:val="000000"/>
          <w:highlight w:val="black"/>
        </w:rPr>
        <w:t>xxxxxxxxxxxxxxxxxxxxxxxxxxxxxxxxxxxxxxxxxxxxxxxxxxxxxxxxxxxxxxxxxxxxxxxxxxxxxxxxxxxxxxxxxxxxxxxxxxxxxxxxxxxxxxxxxxxxxxxxxxxxxxxxxxxxxxxxxxxxxxxxxxxxxxxxxxxxxxxxxxxxxxxxxxxxxxxxxxxxxxxxxxxxxxxxxxxxxxxxxxxxxxxxxxxxxxxxxxxxxxxxx</w:t>
      </w:r>
      <w:r w:rsidR="0004238A" w:rsidRPr="00945BFC">
        <w:t xml:space="preserve"> </w:t>
      </w:r>
      <w:r w:rsidR="0004238A">
        <w:t>(</w:t>
      </w:r>
      <w:r w:rsidR="0004238A" w:rsidRPr="000E000C">
        <w:t xml:space="preserve">HR: </w:t>
      </w:r>
      <w:r w:rsidR="00294FDC" w:rsidRPr="00294FDC">
        <w:rPr>
          <w:color w:val="000000"/>
          <w:highlight w:val="black"/>
        </w:rPr>
        <w:t>xxxx</w:t>
      </w:r>
      <w:r w:rsidR="0004238A" w:rsidRPr="000E000C">
        <w:t xml:space="preserve">; 95% CI: </w:t>
      </w:r>
      <w:r w:rsidR="00294FDC" w:rsidRPr="00294FDC">
        <w:rPr>
          <w:color w:val="000000"/>
          <w:highlight w:val="black"/>
        </w:rPr>
        <w:t>xxxx</w:t>
      </w:r>
      <w:r w:rsidR="0004238A" w:rsidRPr="000E000C">
        <w:t xml:space="preserve">, </w:t>
      </w:r>
      <w:r w:rsidR="00294FDC" w:rsidRPr="00294FDC">
        <w:rPr>
          <w:color w:val="000000"/>
          <w:highlight w:val="black"/>
        </w:rPr>
        <w:t>xxxx</w:t>
      </w:r>
      <w:r w:rsidR="0004238A">
        <w:rPr>
          <w:u w:val="single"/>
        </w:rPr>
        <w:t xml:space="preserve"> vs. </w:t>
      </w:r>
      <w:r w:rsidR="00294FDC" w:rsidRPr="00294FDC">
        <w:rPr>
          <w:color w:val="000000"/>
          <w:highlight w:val="black"/>
        </w:rPr>
        <w:t>xxxx</w:t>
      </w:r>
      <w:r w:rsidR="0004238A" w:rsidRPr="00054570">
        <w:t xml:space="preserve">; 95% CI: </w:t>
      </w:r>
      <w:r w:rsidR="00294FDC" w:rsidRPr="00294FDC">
        <w:rPr>
          <w:color w:val="000000"/>
          <w:highlight w:val="black"/>
        </w:rPr>
        <w:t>xxxx</w:t>
      </w:r>
      <w:r w:rsidR="0004238A" w:rsidRPr="00054570">
        <w:t xml:space="preserve">, </w:t>
      </w:r>
      <w:r w:rsidR="00294FDC" w:rsidRPr="00294FDC">
        <w:rPr>
          <w:color w:val="000000"/>
          <w:highlight w:val="black"/>
        </w:rPr>
        <w:t>xxxx</w:t>
      </w:r>
      <w:r w:rsidR="0004238A" w:rsidRPr="00054570">
        <w:t>)</w:t>
      </w:r>
      <w:r w:rsidR="0004238A">
        <w:t xml:space="preserve"> indicating consistency across lines of therapy.</w:t>
      </w:r>
      <w:r w:rsidR="0004238A" w:rsidRPr="00054570">
        <w:fldChar w:fldCharType="begin"/>
      </w:r>
      <w:r w:rsidR="00CA6345">
        <w:instrText xml:space="preserve"> ADDIN ZOTERO_ITEM CSL_CITATION {"citationID":"BoFQivy4","properties":{"formattedCitation":"\\super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0004238A" w:rsidRPr="00054570">
        <w:fldChar w:fldCharType="separate"/>
      </w:r>
      <w:r w:rsidR="00FD57F4" w:rsidRPr="00FD57F4">
        <w:rPr>
          <w:rFonts w:cs="Arial"/>
          <w:szCs w:val="24"/>
          <w:vertAlign w:val="superscript"/>
        </w:rPr>
        <w:t>7</w:t>
      </w:r>
      <w:r w:rsidR="0004238A" w:rsidRPr="00054570">
        <w:fldChar w:fldCharType="end"/>
      </w:r>
      <w:r w:rsidR="0004238A">
        <w:t xml:space="preserve"> </w:t>
      </w:r>
      <w:r w:rsidR="00554D03">
        <w:t>T</w:t>
      </w:r>
      <w:r w:rsidR="00A67571">
        <w:t xml:space="preserve">reatment effect was </w:t>
      </w:r>
      <w:r w:rsidR="00554D03">
        <w:t xml:space="preserve">also </w:t>
      </w:r>
      <w:r w:rsidR="00A67571">
        <w:t>similar across</w:t>
      </w:r>
      <w:r w:rsidR="0013347D">
        <w:t xml:space="preserve"> </w:t>
      </w:r>
      <w:r w:rsidR="00A67571">
        <w:t>HR-positive</w:t>
      </w:r>
      <w:r w:rsidR="0013347D">
        <w:t xml:space="preserve"> and HR-negative</w:t>
      </w:r>
      <w:r w:rsidR="00A67571">
        <w:t xml:space="preserve"> </w:t>
      </w:r>
      <w:r w:rsidR="0013347D">
        <w:t>subgroups (</w:t>
      </w:r>
      <w:r w:rsidR="002215D9">
        <w:t xml:space="preserve">HR: </w:t>
      </w:r>
      <w:r w:rsidR="00294FDC" w:rsidRPr="00294FDC">
        <w:rPr>
          <w:color w:val="000000"/>
          <w:highlight w:val="black"/>
        </w:rPr>
        <w:t>xxxx</w:t>
      </w:r>
      <w:r w:rsidR="00612C2F">
        <w:t xml:space="preserve"> CI: </w:t>
      </w:r>
      <w:r w:rsidR="00294FDC" w:rsidRPr="00294FDC">
        <w:rPr>
          <w:color w:val="000000"/>
          <w:highlight w:val="black"/>
        </w:rPr>
        <w:t>xxxx</w:t>
      </w:r>
      <w:r w:rsidR="00496EF9">
        <w:t xml:space="preserve">, </w:t>
      </w:r>
      <w:r w:rsidR="00294FDC" w:rsidRPr="00294FDC">
        <w:rPr>
          <w:color w:val="000000"/>
          <w:highlight w:val="black"/>
        </w:rPr>
        <w:t>xxxx</w:t>
      </w:r>
      <w:r w:rsidR="006D23C3">
        <w:t xml:space="preserve"> vs. </w:t>
      </w:r>
      <w:r w:rsidR="00294FDC" w:rsidRPr="00294FDC">
        <w:rPr>
          <w:color w:val="000000"/>
          <w:highlight w:val="black"/>
        </w:rPr>
        <w:t>xxxx</w:t>
      </w:r>
      <w:r w:rsidR="00E33837">
        <w:t xml:space="preserve"> </w:t>
      </w:r>
      <w:r w:rsidR="004953EB">
        <w:t xml:space="preserve">CI: </w:t>
      </w:r>
      <w:r w:rsidR="00294FDC" w:rsidRPr="00294FDC">
        <w:rPr>
          <w:color w:val="000000"/>
          <w:highlight w:val="black"/>
        </w:rPr>
        <w:t>xxxx</w:t>
      </w:r>
      <w:r w:rsidR="00F67D18">
        <w:t xml:space="preserve">, </w:t>
      </w:r>
      <w:r w:rsidR="00294FDC" w:rsidRPr="00294FDC">
        <w:rPr>
          <w:color w:val="000000"/>
          <w:highlight w:val="black"/>
        </w:rPr>
        <w:t>xxxx</w:t>
      </w:r>
      <w:r w:rsidR="00BF7D32">
        <w:t>)</w:t>
      </w:r>
      <w:r w:rsidR="008A3A2D">
        <w:t xml:space="preserve"> </w:t>
      </w:r>
      <w:r w:rsidR="000C4A56">
        <w:t>demonstrating</w:t>
      </w:r>
      <w:r w:rsidR="008A3A2D">
        <w:t xml:space="preserve"> the benefit of</w:t>
      </w:r>
      <w:r w:rsidR="000B148D" w:rsidRPr="00054570">
        <w:t xml:space="preserve"> T</w:t>
      </w:r>
      <w:r w:rsidR="008A3A2D">
        <w:t>-</w:t>
      </w:r>
      <w:r w:rsidR="000B148D" w:rsidRPr="00054570">
        <w:t xml:space="preserve">DXd </w:t>
      </w:r>
      <w:r w:rsidR="008A3A2D">
        <w:t xml:space="preserve">in </w:t>
      </w:r>
      <w:r w:rsidR="001B7883">
        <w:t>the HR</w:t>
      </w:r>
      <w:r w:rsidR="007F51C9">
        <w:t>-negative</w:t>
      </w:r>
      <w:r w:rsidR="00983483">
        <w:t xml:space="preserve"> </w:t>
      </w:r>
      <w:r w:rsidR="003216B5">
        <w:t xml:space="preserve">population where outcomes are particularly poor. </w:t>
      </w:r>
    </w:p>
    <w:p w14:paraId="05240E8C" w14:textId="7B3B1D89" w:rsidR="000B148D" w:rsidRPr="00054570" w:rsidRDefault="000B148D" w:rsidP="000B148D">
      <w:pPr>
        <w:pStyle w:val="Body"/>
      </w:pPr>
      <w:r>
        <w:t>Overall, the subgroup data</w:t>
      </w:r>
      <w:r w:rsidRPr="00054570">
        <w:t xml:space="preserve"> </w:t>
      </w:r>
      <w:r>
        <w:t>highlight the</w:t>
      </w:r>
      <w:r w:rsidRPr="00054570">
        <w:t xml:space="preserve"> superiority of T-DXd over TPC and</w:t>
      </w:r>
      <w:r>
        <w:t xml:space="preserve"> show that treatment effect is </w:t>
      </w:r>
      <w:r w:rsidR="00294FDC" w:rsidRPr="00294FDC">
        <w:rPr>
          <w:color w:val="000000"/>
          <w:highlight w:val="black"/>
        </w:rPr>
        <w:t>xxxxxxxxxxxxxxxxx</w:t>
      </w:r>
      <w:r w:rsidRPr="00054570">
        <w:t xml:space="preserve"> </w:t>
      </w:r>
      <w:r>
        <w:t>subgroup</w:t>
      </w:r>
      <w:r w:rsidR="00126AA6">
        <w:t>s</w:t>
      </w:r>
      <w:r w:rsidRPr="00054570">
        <w:t>.</w:t>
      </w:r>
    </w:p>
    <w:p w14:paraId="534EBD4A" w14:textId="77777777" w:rsidR="000B148D" w:rsidRDefault="000B148D" w:rsidP="000B148D">
      <w:pPr>
        <w:pStyle w:val="Body"/>
      </w:pPr>
    </w:p>
    <w:p w14:paraId="0EC0B513" w14:textId="77777777" w:rsidR="000B148D" w:rsidRPr="00054570" w:rsidRDefault="000B148D" w:rsidP="000B148D">
      <w:pPr>
        <w:pStyle w:val="Body"/>
        <w:sectPr w:rsidR="000B148D" w:rsidRPr="00054570" w:rsidSect="008F6E53">
          <w:footnotePr>
            <w:numFmt w:val="lowerLetter"/>
          </w:footnotePr>
          <w:type w:val="continuous"/>
          <w:pgSz w:w="11906" w:h="16838"/>
          <w:pgMar w:top="1440" w:right="1440" w:bottom="1440" w:left="1440" w:header="708" w:footer="708" w:gutter="0"/>
          <w:cols w:space="708"/>
          <w:docGrid w:linePitch="360"/>
        </w:sectPr>
      </w:pPr>
    </w:p>
    <w:tbl>
      <w:tblPr>
        <w:tblStyle w:val="Figurebox"/>
        <w:tblW w:w="4773" w:type="pct"/>
        <w:tblLook w:val="04A0" w:firstRow="1" w:lastRow="0" w:firstColumn="1" w:lastColumn="0" w:noHBand="0" w:noVBand="1"/>
      </w:tblPr>
      <w:tblGrid>
        <w:gridCol w:w="13324"/>
      </w:tblGrid>
      <w:tr w:rsidR="000B148D" w:rsidRPr="00054570" w14:paraId="24F6CE39" w14:textId="77777777">
        <w:tc>
          <w:tcPr>
            <w:tcW w:w="5000" w:type="pct"/>
            <w:tcBorders>
              <w:bottom w:val="single" w:sz="4" w:space="0" w:color="auto"/>
            </w:tcBorders>
            <w:vAlign w:val="center"/>
          </w:tcPr>
          <w:p w14:paraId="11EF50AE" w14:textId="1BAF3A2B" w:rsidR="000B148D" w:rsidRPr="00314A60" w:rsidRDefault="000B148D">
            <w:pPr>
              <w:pStyle w:val="Caption"/>
              <w:rPr>
                <w:vertAlign w:val="superscript"/>
              </w:rPr>
            </w:pPr>
            <w:bookmarkStart w:id="293" w:name="_Ref126580718"/>
            <w:bookmarkStart w:id="294" w:name="_Toc124447867"/>
            <w:bookmarkStart w:id="295" w:name="_Toc129350947"/>
            <w:r w:rsidRPr="00054570">
              <w:lastRenderedPageBreak/>
              <w:t xml:space="preserve">Figure </w:t>
            </w:r>
            <w:r>
              <w:fldChar w:fldCharType="begin"/>
            </w:r>
            <w:r>
              <w:instrText>SEQ Figure \* ARABIC</w:instrText>
            </w:r>
            <w:r>
              <w:fldChar w:fldCharType="separate"/>
            </w:r>
            <w:r w:rsidR="00145F42">
              <w:rPr>
                <w:noProof/>
              </w:rPr>
              <w:t>21</w:t>
            </w:r>
            <w:r>
              <w:fldChar w:fldCharType="end"/>
            </w:r>
            <w:bookmarkEnd w:id="293"/>
            <w:r w:rsidRPr="00054570">
              <w:t>: DESTINY-Breast04 | Forest plot of PFS by BICR | FAS | Analysis in all subgroups</w:t>
            </w:r>
            <w:bookmarkEnd w:id="294"/>
            <w:r>
              <w:rPr>
                <w:vertAlign w:val="superscript"/>
              </w:rPr>
              <w:t>a</w:t>
            </w:r>
            <w:bookmarkEnd w:id="295"/>
          </w:p>
        </w:tc>
      </w:tr>
      <w:tr w:rsidR="000B148D" w:rsidRPr="00054570" w14:paraId="085E4F6C" w14:textId="77777777" w:rsidTr="00CE1B4C">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B521E3A" w14:textId="4F4F0E76" w:rsidR="000B148D" w:rsidRPr="00054570" w:rsidRDefault="000B148D">
            <w:pPr>
              <w:pStyle w:val="Body"/>
              <w:keepNext/>
              <w:spacing w:before="120" w:after="120"/>
              <w:jc w:val="center"/>
              <w:rPr>
                <w:noProof/>
              </w:rPr>
            </w:pPr>
            <w:r w:rsidRPr="00054570">
              <w:rPr>
                <w:noProof/>
              </w:rPr>
              <w:drawing>
                <wp:inline distT="0" distB="0" distL="0" distR="0" wp14:anchorId="29D9FEE1" wp14:editId="623D740A">
                  <wp:extent cx="7705530" cy="45022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0">
                            <a:extLst>
                              <a:ext uri="{28A0092B-C50C-407E-A947-70E740481C1C}">
                                <a14:useLocalDpi xmlns:a14="http://schemas.microsoft.com/office/drawing/2010/main" val="0"/>
                              </a:ext>
                            </a:extLst>
                          </a:blip>
                          <a:stretch>
                            <a:fillRect/>
                          </a:stretch>
                        </pic:blipFill>
                        <pic:spPr>
                          <a:xfrm>
                            <a:off x="0" y="0"/>
                            <a:ext cx="7705530" cy="4502206"/>
                          </a:xfrm>
                          <a:prstGeom prst="rect">
                            <a:avLst/>
                          </a:prstGeom>
                        </pic:spPr>
                      </pic:pic>
                    </a:graphicData>
                  </a:graphic>
                </wp:inline>
              </w:drawing>
            </w:r>
          </w:p>
        </w:tc>
      </w:tr>
      <w:tr w:rsidR="000B148D" w:rsidRPr="00054570" w14:paraId="02066D85" w14:textId="77777777" w:rsidTr="00CE1B4C">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5198621" w14:textId="77777777" w:rsidR="000B148D" w:rsidRPr="00054570" w:rsidRDefault="000B148D">
            <w:pPr>
              <w:pStyle w:val="Body"/>
              <w:keepNext/>
              <w:spacing w:before="20" w:after="0"/>
              <w:jc w:val="center"/>
              <w:rPr>
                <w:noProof/>
              </w:rPr>
            </w:pPr>
            <w:r w:rsidRPr="00054570">
              <w:rPr>
                <w:noProof/>
              </w:rPr>
              <w:lastRenderedPageBreak/>
              <w:drawing>
                <wp:inline distT="0" distB="0" distL="0" distR="0" wp14:anchorId="3090397A" wp14:editId="68DE8FB1">
                  <wp:extent cx="7751163" cy="4528868"/>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extLst>
                              <a:ext uri="{28A0092B-C50C-407E-A947-70E740481C1C}">
                                <a14:useLocalDpi xmlns:a14="http://schemas.microsoft.com/office/drawing/2010/main" val="0"/>
                              </a:ext>
                            </a:extLst>
                          </a:blip>
                          <a:stretch>
                            <a:fillRect/>
                          </a:stretch>
                        </pic:blipFill>
                        <pic:spPr>
                          <a:xfrm>
                            <a:off x="0" y="0"/>
                            <a:ext cx="7751163" cy="4528868"/>
                          </a:xfrm>
                          <a:prstGeom prst="rect">
                            <a:avLst/>
                          </a:prstGeom>
                        </pic:spPr>
                      </pic:pic>
                    </a:graphicData>
                  </a:graphic>
                </wp:inline>
              </w:drawing>
            </w:r>
          </w:p>
          <w:p w14:paraId="5F3B53B0" w14:textId="77777777" w:rsidR="000B148D" w:rsidRPr="00054570" w:rsidRDefault="000B148D">
            <w:pPr>
              <w:pStyle w:val="Body"/>
              <w:keepNext/>
              <w:spacing w:before="20" w:after="0"/>
              <w:jc w:val="center"/>
              <w:rPr>
                <w:noProof/>
              </w:rPr>
            </w:pPr>
            <w:r w:rsidRPr="00054570">
              <w:rPr>
                <w:noProof/>
              </w:rPr>
              <w:lastRenderedPageBreak/>
              <w:drawing>
                <wp:inline distT="0" distB="0" distL="0" distR="0" wp14:anchorId="356CE0D4" wp14:editId="639AB2A6">
                  <wp:extent cx="7537665" cy="440412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7537665" cy="4404125"/>
                          </a:xfrm>
                          <a:prstGeom prst="rect">
                            <a:avLst/>
                          </a:prstGeom>
                        </pic:spPr>
                      </pic:pic>
                    </a:graphicData>
                  </a:graphic>
                </wp:inline>
              </w:drawing>
            </w:r>
          </w:p>
        </w:tc>
      </w:tr>
      <w:tr w:rsidR="000B148D" w:rsidRPr="00054570" w14:paraId="249AF0F6" w14:textId="77777777">
        <w:tc>
          <w:tcPr>
            <w:tcW w:w="5000" w:type="pct"/>
            <w:tcBorders>
              <w:top w:val="single" w:sz="4" w:space="0" w:color="auto"/>
            </w:tcBorders>
          </w:tcPr>
          <w:p w14:paraId="4BA42DFB" w14:textId="77777777" w:rsidR="000B148D" w:rsidRPr="00015FD3" w:rsidRDefault="000B148D">
            <w:pPr>
              <w:pStyle w:val="Footnotes"/>
              <w:spacing w:after="0"/>
            </w:pPr>
            <w:r>
              <w:lastRenderedPageBreak/>
              <w:t xml:space="preserve">Notes: </w:t>
            </w:r>
            <w:r>
              <w:rPr>
                <w:vertAlign w:val="superscript"/>
              </w:rPr>
              <w:t xml:space="preserve">a </w:t>
            </w:r>
            <w:r>
              <w:t>subgroup analyses were only conducted if there were at least 10 patients in each arm of the subgroup.</w:t>
            </w:r>
          </w:p>
          <w:p w14:paraId="7484C588" w14:textId="76D671B4" w:rsidR="000B148D" w:rsidRPr="00054570" w:rsidRDefault="000B148D">
            <w:pPr>
              <w:pStyle w:val="Footnotes"/>
              <w:spacing w:after="0"/>
            </w:pPr>
            <w:r w:rsidRPr="00054570">
              <w:t>Abbreviations: BICR, blinded independent central review; CDK, cyclic-dependent kinase; CI, confidence interval; CNS, central nervous system; ECOG, Eastern Cooperative Oncology Group; FAS, full analysis set; HER2, human epidermal growth factor receptor 2; IHC, immunohistochemistry; ISH, in situ hybridisation; NE, not estimable; No, number; PFS, progression-free survival; PS, performance status; T-DXd, trastuzumab deruxtecan; TPC, treatment of physician’s choice.</w:t>
            </w:r>
            <w:r w:rsidRPr="00054570">
              <w:br/>
              <w:t>Source: Daiichi Sankyo Inc., 2022 (CSR, Data on File).</w:t>
            </w:r>
            <w:r w:rsidRPr="00054570">
              <w:fldChar w:fldCharType="begin"/>
            </w:r>
            <w:r w:rsidR="00CA6345">
              <w:instrText xml:space="preserve"> ADDIN ZOTERO_ITEM CSL_CITATION {"citationID":"aufg80nid0","properties":{"formattedCitation":"\\super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r w:rsidRPr="00054570">
              <w:t xml:space="preserve"> </w:t>
            </w:r>
          </w:p>
        </w:tc>
      </w:tr>
    </w:tbl>
    <w:p w14:paraId="671ADF43" w14:textId="77777777" w:rsidR="000B148D" w:rsidRPr="00054570" w:rsidRDefault="000B148D" w:rsidP="000B148D">
      <w:pPr>
        <w:pStyle w:val="Body"/>
        <w:sectPr w:rsidR="000B148D" w:rsidRPr="00054570">
          <w:footnotePr>
            <w:numFmt w:val="lowerLetter"/>
          </w:footnotePr>
          <w:pgSz w:w="16838" w:h="11906" w:orient="landscape"/>
          <w:pgMar w:top="1440" w:right="1440" w:bottom="1440" w:left="1440" w:header="708" w:footer="708" w:gutter="0"/>
          <w:cols w:space="708"/>
          <w:docGrid w:linePitch="360"/>
        </w:sectPr>
      </w:pPr>
    </w:p>
    <w:p w14:paraId="0CF3FBA3" w14:textId="5889D88D" w:rsidR="000B148D" w:rsidRPr="00054570" w:rsidRDefault="000B148D" w:rsidP="000B148D">
      <w:pPr>
        <w:pStyle w:val="Heading3"/>
      </w:pPr>
      <w:bookmarkStart w:id="296" w:name="_Toc124447843"/>
      <w:bookmarkStart w:id="297" w:name="_Toc129350870"/>
      <w:r w:rsidRPr="00054570">
        <w:lastRenderedPageBreak/>
        <w:t>Exploratory efficacy</w:t>
      </w:r>
      <w:r w:rsidR="00AD15DF">
        <w:t xml:space="preserve"> </w:t>
      </w:r>
      <w:r w:rsidRPr="00054570">
        <w:t>| Efficacy in the HR-negative cohort</w:t>
      </w:r>
      <w:bookmarkEnd w:id="296"/>
      <w:bookmarkEnd w:id="297"/>
      <w:r w:rsidRPr="00054570">
        <w:t xml:space="preserve"> </w:t>
      </w:r>
    </w:p>
    <w:p w14:paraId="07095E15" w14:textId="24210FD9" w:rsidR="000B148D" w:rsidRDefault="000B148D" w:rsidP="000B148D">
      <w:pPr>
        <w:pStyle w:val="Body"/>
      </w:pPr>
      <w:r>
        <w:t>Analyses in the HR-negative cohort demonstrate that T-DXd is associated with a</w:t>
      </w:r>
      <w:r w:rsidR="004B7416">
        <w:t>n</w:t>
      </w:r>
      <w:r>
        <w:t xml:space="preserve"> </w:t>
      </w:r>
      <w:r w:rsidRPr="00A82AEA">
        <w:t>improvement in PFS</w:t>
      </w:r>
      <w:r w:rsidR="007D37F5">
        <w:t xml:space="preserve"> by BICR</w:t>
      </w:r>
      <w:r w:rsidR="006E215D">
        <w:t xml:space="preserve"> (</w:t>
      </w:r>
      <w:r w:rsidR="008B75B9">
        <w:t>8.5 vs. 2.9 months; HR: 0.46</w:t>
      </w:r>
      <w:r w:rsidR="008D4B14">
        <w:t>; 95% CI: 0.24, 0.89</w:t>
      </w:r>
      <w:r w:rsidR="008B75B9">
        <w:t>)</w:t>
      </w:r>
      <w:r w:rsidRPr="00A82AEA">
        <w:t>, OS</w:t>
      </w:r>
      <w:r w:rsidR="008B75B9">
        <w:t xml:space="preserve"> (</w:t>
      </w:r>
      <w:r w:rsidR="00BF2C55">
        <w:t>18.2 vs. 8.3 months; HR:</w:t>
      </w:r>
      <w:r w:rsidR="0039489F">
        <w:t xml:space="preserve"> 0.48</w:t>
      </w:r>
      <w:r w:rsidR="0088108D">
        <w:t xml:space="preserve">; </w:t>
      </w:r>
      <w:r w:rsidR="0020594C">
        <w:t>95% CI: 0.</w:t>
      </w:r>
      <w:r w:rsidR="00D14A8B">
        <w:t>24, 0.95</w:t>
      </w:r>
      <w:r w:rsidR="0039489F">
        <w:t>)</w:t>
      </w:r>
      <w:r w:rsidRPr="00A82AEA">
        <w:t>,</w:t>
      </w:r>
      <w:r w:rsidR="00643CC8">
        <w:fldChar w:fldCharType="begin"/>
      </w:r>
      <w:r w:rsidR="00CA6345">
        <w:instrText xml:space="preserve"> ADDIN ZOTERO_ITEM CSL_CITATION {"citationID":"gn3I0clJ","properties":{"formattedCitation":"\\super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00643CC8">
        <w:fldChar w:fldCharType="separate"/>
      </w:r>
      <w:r w:rsidR="00FD57F4" w:rsidRPr="00FD57F4">
        <w:rPr>
          <w:rFonts w:cs="Arial"/>
          <w:szCs w:val="24"/>
          <w:vertAlign w:val="superscript"/>
        </w:rPr>
        <w:t>6</w:t>
      </w:r>
      <w:r w:rsidR="00643CC8">
        <w:fldChar w:fldCharType="end"/>
      </w:r>
      <w:r w:rsidRPr="00A82AEA">
        <w:t xml:space="preserve"> and response rates</w:t>
      </w:r>
      <w:r w:rsidR="00262291">
        <w:t xml:space="preserve"> (c</w:t>
      </w:r>
      <w:r w:rsidR="00543B47">
        <w:t xml:space="preserve">onfirmed ORR by BICR: </w:t>
      </w:r>
      <w:r w:rsidR="00294FDC" w:rsidRPr="00294FDC">
        <w:rPr>
          <w:color w:val="000000"/>
          <w:highlight w:val="black"/>
        </w:rPr>
        <w:t>xxxxx</w:t>
      </w:r>
      <w:r w:rsidR="004B503E">
        <w:t xml:space="preserve"> vs </w:t>
      </w:r>
      <w:r w:rsidR="00294FDC" w:rsidRPr="00294FDC">
        <w:rPr>
          <w:color w:val="000000"/>
          <w:highlight w:val="black"/>
        </w:rPr>
        <w:t>xxxxx</w:t>
      </w:r>
      <w:r w:rsidR="000808DF">
        <w:t>; p=</w:t>
      </w:r>
      <w:r w:rsidR="00294FDC" w:rsidRPr="00294FDC">
        <w:rPr>
          <w:color w:val="000000"/>
          <w:highlight w:val="black"/>
        </w:rPr>
        <w:t>xxxxxx</w:t>
      </w:r>
      <w:r w:rsidR="004B503E">
        <w:t>)</w:t>
      </w:r>
      <w:r w:rsidR="00643CC8" w:rsidRPr="00054570">
        <w:fldChar w:fldCharType="begin"/>
      </w:r>
      <w:r w:rsidR="00CA6345">
        <w:instrText xml:space="preserve"> ADDIN ZOTERO_ITEM CSL_CITATION {"citationID":"84ygd4FI","properties":{"formattedCitation":"\\super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00643CC8" w:rsidRPr="00054570">
        <w:fldChar w:fldCharType="separate"/>
      </w:r>
      <w:r w:rsidR="00FD57F4" w:rsidRPr="00FD57F4">
        <w:rPr>
          <w:rFonts w:cs="Arial"/>
          <w:szCs w:val="24"/>
          <w:vertAlign w:val="superscript"/>
        </w:rPr>
        <w:t>7</w:t>
      </w:r>
      <w:r w:rsidR="00643CC8" w:rsidRPr="00054570">
        <w:fldChar w:fldCharType="end"/>
      </w:r>
      <w:r w:rsidR="00643CC8" w:rsidRPr="00054570">
        <w:t xml:space="preserve"> </w:t>
      </w:r>
      <w:r w:rsidRPr="00A82AEA">
        <w:t>compared with TPC. This confirms the consistent treatment effect</w:t>
      </w:r>
      <w:r>
        <w:t xml:space="preserve"> of T-DXd vs. TPC across key subgroups. For more information, see </w:t>
      </w:r>
      <w:r w:rsidRPr="00A6448D">
        <w:rPr>
          <w:b/>
          <w:bCs/>
        </w:rPr>
        <w:t>Appendix N</w:t>
      </w:r>
      <w:r w:rsidRPr="00A6448D">
        <w:t>.</w:t>
      </w:r>
    </w:p>
    <w:p w14:paraId="0D6AF225" w14:textId="77777777" w:rsidR="000B148D" w:rsidRPr="00054570" w:rsidRDefault="000B148D" w:rsidP="000B148D">
      <w:pPr>
        <w:pStyle w:val="Heading2"/>
      </w:pPr>
      <w:bookmarkStart w:id="298" w:name="_Toc124447844"/>
      <w:bookmarkStart w:id="299" w:name="_Toc129350871"/>
      <w:r w:rsidRPr="00054570">
        <w:t>Meta-analysis</w:t>
      </w:r>
      <w:bookmarkEnd w:id="298"/>
      <w:bookmarkEnd w:id="299"/>
    </w:p>
    <w:p w14:paraId="5AD836DA" w14:textId="53E1A16D" w:rsidR="000B148D" w:rsidRPr="00054570" w:rsidRDefault="000B148D" w:rsidP="000B148D">
      <w:pPr>
        <w:pStyle w:val="Body"/>
      </w:pPr>
      <w:r w:rsidRPr="00054570">
        <w:t xml:space="preserve">Not applicable. A meta-analysis </w:t>
      </w:r>
      <w:r w:rsidR="00E30330">
        <w:t>was not performed</w:t>
      </w:r>
      <w:r w:rsidRPr="00054570">
        <w:t xml:space="preserve"> because DESTINY-Breast04 is a </w:t>
      </w:r>
      <w:r>
        <w:t>P</w:t>
      </w:r>
      <w:r w:rsidRPr="00054570">
        <w:t xml:space="preserve">hase III RCT </w:t>
      </w:r>
      <w:r>
        <w:t xml:space="preserve">in the relevant population </w:t>
      </w:r>
      <w:r w:rsidRPr="00054570">
        <w:t xml:space="preserve">comparing T-DXd with comparators that are reflective of UK standard of care. </w:t>
      </w:r>
    </w:p>
    <w:p w14:paraId="33BD38FD" w14:textId="77777777" w:rsidR="000B148D" w:rsidRPr="00054570" w:rsidRDefault="000B148D" w:rsidP="000B148D">
      <w:pPr>
        <w:pStyle w:val="Heading2"/>
      </w:pPr>
      <w:bookmarkStart w:id="300" w:name="_Toc124447845"/>
      <w:bookmarkStart w:id="301" w:name="_Ref126931857"/>
      <w:bookmarkStart w:id="302" w:name="_Toc129350872"/>
      <w:r w:rsidRPr="00054570">
        <w:t>Indirect and mixed treatment comparisons</w:t>
      </w:r>
      <w:bookmarkEnd w:id="300"/>
      <w:bookmarkEnd w:id="301"/>
      <w:bookmarkEnd w:id="302"/>
    </w:p>
    <w:p w14:paraId="7D401C0C" w14:textId="73EF3559" w:rsidR="000B148D" w:rsidRDefault="000B148D" w:rsidP="000B148D">
      <w:pPr>
        <w:pStyle w:val="Body"/>
      </w:pPr>
      <w:r w:rsidRPr="00054570">
        <w:t>Not applicable. As above, an indirect o</w:t>
      </w:r>
      <w:r>
        <w:t>r</w:t>
      </w:r>
      <w:r w:rsidRPr="00054570">
        <w:t xml:space="preserve"> mixed treatment comparison </w:t>
      </w:r>
      <w:r w:rsidR="00936664">
        <w:t>was</w:t>
      </w:r>
      <w:r w:rsidRPr="00054570">
        <w:t xml:space="preserve"> </w:t>
      </w:r>
      <w:r w:rsidR="00BE47D2">
        <w:t>not performed</w:t>
      </w:r>
      <w:r w:rsidRPr="00054570">
        <w:t xml:space="preserve"> because DESTINY-Breast04 is a </w:t>
      </w:r>
      <w:r w:rsidR="00500957">
        <w:t>Phase III</w:t>
      </w:r>
      <w:r w:rsidRPr="00054570">
        <w:t xml:space="preserve"> RCT </w:t>
      </w:r>
      <w:r w:rsidR="007F016C">
        <w:t>investigating</w:t>
      </w:r>
      <w:r w:rsidR="007F016C" w:rsidRPr="00054570">
        <w:t xml:space="preserve"> </w:t>
      </w:r>
      <w:r w:rsidRPr="00054570">
        <w:t xml:space="preserve">T-DXd </w:t>
      </w:r>
      <w:r w:rsidR="007F016C">
        <w:t>vs.</w:t>
      </w:r>
      <w:r w:rsidR="007F016C" w:rsidRPr="00054570">
        <w:t xml:space="preserve"> </w:t>
      </w:r>
      <w:r w:rsidRPr="00054570">
        <w:t>comparators that are reflective of UK standard of care</w:t>
      </w:r>
      <w:r>
        <w:t xml:space="preserve"> (see </w:t>
      </w:r>
      <w:r w:rsidRPr="00657307">
        <w:rPr>
          <w:b/>
          <w:bCs/>
        </w:rPr>
        <w:t xml:space="preserve">Section </w:t>
      </w:r>
      <w:r w:rsidR="00581CD8">
        <w:rPr>
          <w:b/>
          <w:bCs/>
        </w:rPr>
        <w:fldChar w:fldCharType="begin"/>
      </w:r>
      <w:r w:rsidR="00581CD8">
        <w:rPr>
          <w:b/>
          <w:bCs/>
        </w:rPr>
        <w:instrText xml:space="preserve"> REF _Ref129209254 \r \h </w:instrText>
      </w:r>
      <w:r w:rsidR="00581CD8">
        <w:rPr>
          <w:b/>
          <w:bCs/>
        </w:rPr>
      </w:r>
      <w:r w:rsidR="00581CD8">
        <w:rPr>
          <w:b/>
          <w:bCs/>
        </w:rPr>
        <w:fldChar w:fldCharType="separate"/>
      </w:r>
      <w:r w:rsidR="00145F42">
        <w:rPr>
          <w:b/>
          <w:bCs/>
        </w:rPr>
        <w:t>B.1.3.6</w:t>
      </w:r>
      <w:r w:rsidR="00581CD8">
        <w:rPr>
          <w:b/>
          <w:bCs/>
        </w:rPr>
        <w:fldChar w:fldCharType="end"/>
      </w:r>
      <w:r>
        <w:t>)</w:t>
      </w:r>
      <w:r w:rsidRPr="00054570">
        <w:t xml:space="preserve">. </w:t>
      </w:r>
      <w:r w:rsidR="00BB7C2F">
        <w:t>T</w:t>
      </w:r>
      <w:r w:rsidR="00BB7C2F" w:rsidRPr="00054570">
        <w:t>he comparators listed in the NICE final scope</w:t>
      </w:r>
      <w:r w:rsidR="00BB7C2F" w:rsidRPr="00054570">
        <w:fldChar w:fldCharType="begin"/>
      </w:r>
      <w:r w:rsidR="00CA6345">
        <w:instrText xml:space="preserve"> ADDIN ZOTERO_ITEM CSL_CITATION {"citationID":"erp1cdHy","properties":{"formattedCitation":"\\super 1\\nosupersub{}","plainCitation":"1","noteIndex":0},"citationItems":[{"id":66383,"uris":["http://zotero.org/groups/4797619/items/Y75R2AJY"],"itemData":{"id":66383,"type":"webpage","language":"eng","note":"publisher: NICE","title":"Final Scope. Trastuzumab deruxtecan for treating HER2-low unresectable or metastatic breast cancer after chemotherapy","URL":"https://www.nice.org.uk/guidance/gid-ta10813/documents/final-scope","author":[{"family":"NICE","given":""}],"accessed":{"date-parts":[["2022",11,29]]},"issued":{"date-parts":[["2023",1,6]]}}}],"schema":"https://github.com/citation-style-language/schema/raw/master/csl-citation.json"} </w:instrText>
      </w:r>
      <w:r w:rsidR="00BB7C2F" w:rsidRPr="00054570">
        <w:fldChar w:fldCharType="separate"/>
      </w:r>
      <w:r w:rsidR="00FD57F4" w:rsidRPr="00FD57F4">
        <w:rPr>
          <w:rFonts w:cs="Arial"/>
          <w:szCs w:val="24"/>
          <w:vertAlign w:val="superscript"/>
        </w:rPr>
        <w:t>1</w:t>
      </w:r>
      <w:r w:rsidR="00BB7C2F" w:rsidRPr="00054570">
        <w:fldChar w:fldCharType="end"/>
      </w:r>
      <w:r w:rsidR="00BB7C2F" w:rsidRPr="00054570">
        <w:t xml:space="preserve"> are well represented in the TPC arm of DESTINY-Breast04.</w:t>
      </w:r>
    </w:p>
    <w:p w14:paraId="1F80E5E8" w14:textId="093CEAF3" w:rsidR="000B148D" w:rsidRDefault="000B148D" w:rsidP="000B148D">
      <w:pPr>
        <w:pStyle w:val="Body"/>
      </w:pPr>
      <w:r>
        <w:t xml:space="preserve">As stated </w:t>
      </w:r>
      <w:r w:rsidRPr="00657307">
        <w:t xml:space="preserve">in </w:t>
      </w:r>
      <w:r w:rsidRPr="00657307">
        <w:rPr>
          <w:b/>
          <w:bCs/>
        </w:rPr>
        <w:t xml:space="preserve">Section </w:t>
      </w:r>
      <w:r w:rsidR="00E60A1B">
        <w:rPr>
          <w:b/>
          <w:bCs/>
        </w:rPr>
        <w:fldChar w:fldCharType="begin"/>
      </w:r>
      <w:r w:rsidR="00E60A1B">
        <w:rPr>
          <w:b/>
          <w:bCs/>
        </w:rPr>
        <w:instrText xml:space="preserve"> REF _Ref129209403 \r \h </w:instrText>
      </w:r>
      <w:r w:rsidR="00E60A1B">
        <w:rPr>
          <w:b/>
          <w:bCs/>
        </w:rPr>
      </w:r>
      <w:r w:rsidR="00E60A1B">
        <w:rPr>
          <w:b/>
          <w:bCs/>
        </w:rPr>
        <w:fldChar w:fldCharType="separate"/>
      </w:r>
      <w:r w:rsidR="00145F42">
        <w:rPr>
          <w:b/>
          <w:bCs/>
        </w:rPr>
        <w:t>B.1.3.6</w:t>
      </w:r>
      <w:r w:rsidR="00E60A1B">
        <w:rPr>
          <w:b/>
          <w:bCs/>
        </w:rPr>
        <w:fldChar w:fldCharType="end"/>
      </w:r>
      <w:r>
        <w:t xml:space="preserve">the company acknowledges that </w:t>
      </w:r>
      <w:r w:rsidR="00FB23E9">
        <w:t>SG</w:t>
      </w:r>
      <w:r>
        <w:t xml:space="preserve"> is included in the NICE scope </w:t>
      </w:r>
      <w:r w:rsidR="00637241">
        <w:t>as a comparator in the</w:t>
      </w:r>
      <w:r>
        <w:t xml:space="preserve"> HR-negative cohort but is not in</w:t>
      </w:r>
      <w:r w:rsidR="000B2B72">
        <w:t xml:space="preserve">cluded </w:t>
      </w:r>
      <w:r>
        <w:t>in the TPC arm of DESTINY-Breast04.</w:t>
      </w:r>
      <w:r w:rsidRPr="00054570">
        <w:fldChar w:fldCharType="begin"/>
      </w:r>
      <w:r w:rsidR="00CA6345">
        <w:instrText xml:space="preserve"> ADDIN ZOTERO_ITEM CSL_CITATION {"citationID":"7xt8vj0M","properties":{"formattedCitation":"\\super 1\\nosupersub{}","plainCitation":"1","noteIndex":0},"citationItems":[{"id":66383,"uris":["http://zotero.org/groups/4797619/items/Y75R2AJY"],"itemData":{"id":66383,"type":"webpage","language":"eng","note":"publisher: NICE","title":"Final Scope. Trastuzumab deruxtecan for treating HER2-low unresectable or metastatic breast cancer after chemotherapy","URL":"https://www.nice.org.uk/guidance/gid-ta10813/documents/final-scope","author":[{"family":"NICE","given":""}],"accessed":{"date-parts":[["2022",11,29]]},"issued":{"date-parts":[["2023",1,6]]}}}],"schema":"https://github.com/citation-style-language/schema/raw/master/csl-citation.json"} </w:instrText>
      </w:r>
      <w:r w:rsidRPr="00054570">
        <w:fldChar w:fldCharType="separate"/>
      </w:r>
      <w:r w:rsidR="00FD57F4" w:rsidRPr="00FD57F4">
        <w:rPr>
          <w:rFonts w:cs="Arial"/>
          <w:szCs w:val="24"/>
          <w:vertAlign w:val="superscript"/>
        </w:rPr>
        <w:t>1</w:t>
      </w:r>
      <w:r w:rsidRPr="00054570">
        <w:fldChar w:fldCharType="end"/>
      </w:r>
      <w:r>
        <w:t xml:space="preserve"> The company does not consider </w:t>
      </w:r>
      <w:r w:rsidR="00FB23E9">
        <w:t>SG</w:t>
      </w:r>
      <w:r w:rsidRPr="00945D1F">
        <w:t xml:space="preserve"> to be a relevant comparator</w:t>
      </w:r>
      <w:r>
        <w:t xml:space="preserve"> as it is </w:t>
      </w:r>
      <w:r w:rsidRPr="002646F6">
        <w:t>only recommended by NICE for patients with TNBC i.e. HER2-negative</w:t>
      </w:r>
      <w:r>
        <w:t>/</w:t>
      </w:r>
      <w:r w:rsidRPr="002646F6">
        <w:t>HR-negative</w:t>
      </w:r>
      <w:r>
        <w:t xml:space="preserve"> (TA819),</w:t>
      </w:r>
      <w:r w:rsidRPr="00945D1F">
        <w:fldChar w:fldCharType="begin"/>
      </w:r>
      <w:r w:rsidR="00CA6345">
        <w:instrText xml:space="preserve"> ADDIN ZOTERO_ITEM CSL_CITATION {"citationID":"OxPY5yvX","properties":{"formattedCitation":"\\super 132\\nosupersub{}","plainCitation":"132","noteIndex":0},"citationItems":[{"id":65875,"uris":["http://zotero.org/groups/4797619/items/IP9MEGL9"],"itemData":{"id":65875,"type":"webpage","abstract":"Evidence-based recommendations on sacituzumab govetican (Trodelvy) for treating unresectable, triple-negative locally advanced or metastatic breast cancer in adults after 2 or more systemic therapies, at least 1 of which was for advanced disease","language":"eng","note":"publisher: NICE","title":"Sacituzumab govitecan for treating unresectable triple-negative advanced breast cancer after 2 or more therapies | NICE [TA819]","URL":"https://www.nice.org.uk/guidance/ta819","author":[{"family":"NICE","given":""}],"accessed":{"date-parts":[["2022",10,17]]}}}],"schema":"https://github.com/citation-style-language/schema/raw/master/csl-citation.json"} </w:instrText>
      </w:r>
      <w:r w:rsidRPr="00945D1F">
        <w:fldChar w:fldCharType="separate"/>
      </w:r>
      <w:r w:rsidR="00CA6345" w:rsidRPr="00CA6345">
        <w:rPr>
          <w:rFonts w:cs="Arial"/>
          <w:szCs w:val="24"/>
          <w:vertAlign w:val="superscript"/>
        </w:rPr>
        <w:t>132</w:t>
      </w:r>
      <w:r w:rsidRPr="00945D1F">
        <w:fldChar w:fldCharType="end"/>
      </w:r>
      <w:r w:rsidRPr="002646F6">
        <w:t xml:space="preserve"> </w:t>
      </w:r>
      <w:r>
        <w:t>which represents a small proportion (~10%) of the total</w:t>
      </w:r>
      <w:r w:rsidRPr="002646F6">
        <w:t xml:space="preserve"> HER2-low u/mBC</w:t>
      </w:r>
      <w:r>
        <w:t xml:space="preserve"> population in UK practice.</w:t>
      </w:r>
      <w:r w:rsidRPr="002646F6">
        <w:fldChar w:fldCharType="begin"/>
      </w:r>
      <w:r w:rsidR="00CA6345">
        <w:instrText xml:space="preserve"> ADDIN ZOTERO_ITEM CSL_CITATION {"citationID":"WPu9XkTl","properties":{"formattedCitation":"\\super 146\\nosupersub{}","plainCitation":"146","noteIndex":0},"citationItems":[{"id":66212,"uris":["http://zotero.org/groups/4797619/items/9BDSKTKZ"],"itemData":{"id":66212,"type":"article-journal","abstract":"We describe a collated data set of results from clinical testing of breast cancers carried out between 2009 and 2016 in the United Kingdom and Republic of Ireland. More than 199 000 patient biomarker data sets, together with clinicopathological parameters were collected. Our analyses focused on human epidermal growth factor receptor-2 (HER2), oestrogen receptor (ER) and progesterone receptor (PR), with the aim of the study being to provide robust confirmatory evidence on known associations in these biomarkers and to uncover new data on previously undescribed or unconfirmed associations, thus strengthening the evidence-base in clinical breast cancer testing. Overall, 13.1% of tumours were HER2-positive; 10.6% in ER-positive tumours, and 25.5% in ER-negative tumours. Higher rates of HER2 positivity were significantly associated with patient age &lt;56 years versus age ≥56 years, symptomatic versus screen-detected tumours, testing of involved axillary node versus primary breast cancer, invasive ductal carcinoma (not otherwise specified) versus other histological types, higher histological grade, increasing tumour size, increasing nodal involvement, ER-negative versus ER-positive tumour status, PR-negative versus PR-positive tumour status. Where ER status was known, 82.7% of tumours were ER-positive; 80.9% in women age &lt;56 years, and 83.6% in those age ≥56 years (ER-positive cut-off ≥1.0% positive tumour cells or equivalent). Where PR status was known, 64.9% of tumours were PR-positive; 65.8% in women age &lt;56 years, and 64.4% in women age ≥56 years (PR-positive cut off ≥10.0% or equivalent). These analyses of clinical test results provide contemporary benchmarking data for HER2, ER and PR positive rates.","container-title":"The Journal of Pathology. Clinical Research","DOI":"10.1002/cjp2.112","ISSN":"2056-4538","issue":"4","journalAbbreviation":"J Pathol Clin Res","language":"eng","note":"PMID: 30066480\nPMCID: PMC6174620","page":"262-273","source":"PubMed","title":"Breast cancer biomarkers in clinical testing: analysis of a UK national external quality assessment scheme for immunocytochemistry and in situ hybridisation database containing results from 199 300 patients","title-short":"Breast cancer biomarkers in clinical testing","volume":"4","author":[{"family":"Dodson","given":"Andrew"},{"family":"Parry","given":"Suzanne"},{"family":"Ibrahim","given":"Merdol"},{"family":"Bartlett","given":"John Ms"},{"family":"Pinder","given":"Sarah"},{"family":"Dowsett","given":"Mitch"},{"family":"Miller","given":"Keith"}],"issued":{"date-parts":[["2018",10]]}}}],"schema":"https://github.com/citation-style-language/schema/raw/master/csl-citation.json"} </w:instrText>
      </w:r>
      <w:r w:rsidRPr="002646F6">
        <w:fldChar w:fldCharType="separate"/>
      </w:r>
      <w:r w:rsidR="00CA6345" w:rsidRPr="00CA6345">
        <w:rPr>
          <w:rFonts w:cs="Arial"/>
          <w:szCs w:val="24"/>
          <w:vertAlign w:val="superscript"/>
        </w:rPr>
        <w:t>146</w:t>
      </w:r>
      <w:r w:rsidRPr="002646F6">
        <w:fldChar w:fldCharType="end"/>
      </w:r>
      <w:r>
        <w:t xml:space="preserve"> </w:t>
      </w:r>
      <w:r w:rsidRPr="002646F6">
        <w:t xml:space="preserve">Within this small proportion, </w:t>
      </w:r>
      <w:r w:rsidR="00FB23E9">
        <w:t>SG</w:t>
      </w:r>
      <w:r w:rsidRPr="00945D1F">
        <w:t xml:space="preserve"> </w:t>
      </w:r>
      <w:r w:rsidRPr="002646F6">
        <w:t xml:space="preserve">cannot </w:t>
      </w:r>
      <w:r>
        <w:t xml:space="preserve">currently </w:t>
      </w:r>
      <w:r w:rsidRPr="002646F6">
        <w:t xml:space="preserve">be considered </w:t>
      </w:r>
      <w:r>
        <w:t xml:space="preserve">to be </w:t>
      </w:r>
      <w:r w:rsidRPr="002646F6">
        <w:t xml:space="preserve">standard of care </w:t>
      </w:r>
      <w:r w:rsidR="000E4FBE">
        <w:t xml:space="preserve">within its licenced indication </w:t>
      </w:r>
      <w:r w:rsidRPr="002646F6">
        <w:t xml:space="preserve">given </w:t>
      </w:r>
      <w:r>
        <w:t xml:space="preserve">that </w:t>
      </w:r>
      <w:r w:rsidRPr="002646F6">
        <w:t>i</w:t>
      </w:r>
      <w:r>
        <w:t>t wa</w:t>
      </w:r>
      <w:r w:rsidRPr="002646F6">
        <w:t>s recommend</w:t>
      </w:r>
      <w:r>
        <w:t>ed</w:t>
      </w:r>
      <w:r w:rsidRPr="002646F6">
        <w:t xml:space="preserve"> </w:t>
      </w:r>
      <w:r>
        <w:t>by NICE as recently as</w:t>
      </w:r>
      <w:r w:rsidRPr="002646F6">
        <w:t xml:space="preserve"> August 2022</w:t>
      </w:r>
      <w:r w:rsidRPr="002646F6">
        <w:fldChar w:fldCharType="begin"/>
      </w:r>
      <w:r w:rsidR="00CA6345">
        <w:instrText xml:space="preserve"> ADDIN ZOTERO_ITEM CSL_CITATION {"citationID":"FYwUfEuo","properties":{"formattedCitation":"\\super 132\\nosupersub{}","plainCitation":"132","noteIndex":0},"citationItems":[{"id":65875,"uris":["http://zotero.org/groups/4797619/items/IP9MEGL9"],"itemData":{"id":65875,"type":"webpage","abstract":"Evidence-based recommendations on sacituzumab govetican (Trodelvy) for treating unresectable, triple-negative locally advanced or metastatic breast cancer in adults after 2 or more systemic therapies, at least 1 of which was for advanced disease","language":"eng","note":"publisher: NICE","title":"Sacituzumab govitecan for treating unresectable triple-negative advanced breast cancer after 2 or more therapies | NICE [TA819]","URL":"https://www.nice.org.uk/guidance/ta819","author":[{"family":"NICE","given":""}],"accessed":{"date-parts":[["2022",10,17]]}}}],"schema":"https://github.com/citation-style-language/schema/raw/master/csl-citation.json"} </w:instrText>
      </w:r>
      <w:r w:rsidRPr="002646F6">
        <w:fldChar w:fldCharType="separate"/>
      </w:r>
      <w:r w:rsidR="00CA6345" w:rsidRPr="00CA6345">
        <w:rPr>
          <w:rFonts w:cs="Arial"/>
          <w:szCs w:val="24"/>
          <w:vertAlign w:val="superscript"/>
        </w:rPr>
        <w:t>132</w:t>
      </w:r>
      <w:r w:rsidRPr="002646F6">
        <w:fldChar w:fldCharType="end"/>
      </w:r>
      <w:r w:rsidRPr="002646F6">
        <w:t xml:space="preserve"> and </w:t>
      </w:r>
      <w:r>
        <w:t xml:space="preserve">therefore </w:t>
      </w:r>
      <w:r w:rsidRPr="002646F6">
        <w:t xml:space="preserve">its uptake in UK </w:t>
      </w:r>
      <w:r w:rsidRPr="00945D1F">
        <w:t>clinical</w:t>
      </w:r>
      <w:r w:rsidRPr="002646F6">
        <w:t xml:space="preserve"> practice is currently uncertain. </w:t>
      </w:r>
    </w:p>
    <w:p w14:paraId="2F00BE56" w14:textId="336B9E0F" w:rsidR="000B148D" w:rsidRDefault="00DC7F9C" w:rsidP="000B148D">
      <w:pPr>
        <w:pStyle w:val="Body"/>
      </w:pPr>
      <w:r>
        <w:t>However</w:t>
      </w:r>
      <w:r w:rsidR="000B148D" w:rsidRPr="004E004F">
        <w:t xml:space="preserve">, the company </w:t>
      </w:r>
      <w:r w:rsidR="00B95AF7">
        <w:t>has</w:t>
      </w:r>
      <w:r w:rsidR="000B148D" w:rsidRPr="004E004F">
        <w:t xml:space="preserve"> </w:t>
      </w:r>
      <w:r w:rsidR="00CE50E9">
        <w:t>performed</w:t>
      </w:r>
      <w:r w:rsidR="00CE50E9" w:rsidRPr="004E004F">
        <w:t xml:space="preserve"> </w:t>
      </w:r>
      <w:r w:rsidR="000B148D" w:rsidRPr="004E004F">
        <w:t xml:space="preserve">a feasibility assessment to determine </w:t>
      </w:r>
      <w:r w:rsidR="006F4FC4">
        <w:t xml:space="preserve">the possibility and robustness </w:t>
      </w:r>
      <w:r w:rsidR="00CB29CA">
        <w:t>of</w:t>
      </w:r>
      <w:r w:rsidR="000B148D" w:rsidRPr="004E004F">
        <w:t xml:space="preserve"> a</w:t>
      </w:r>
      <w:r w:rsidR="000B148D">
        <w:t>n indirect comparison</w:t>
      </w:r>
      <w:r w:rsidR="000B148D" w:rsidRPr="004E004F">
        <w:t xml:space="preserve"> between T-DXd and </w:t>
      </w:r>
      <w:r w:rsidR="0019656C">
        <w:t xml:space="preserve">SG </w:t>
      </w:r>
      <w:r w:rsidR="000B148D">
        <w:t xml:space="preserve">using DESTINY-Breast04 and </w:t>
      </w:r>
      <w:r w:rsidR="006B268A">
        <w:t xml:space="preserve">published data from the </w:t>
      </w:r>
      <w:r w:rsidR="000B148D">
        <w:t>ASCENT stud</w:t>
      </w:r>
      <w:r w:rsidR="006B268A">
        <w:t>y</w:t>
      </w:r>
      <w:r w:rsidR="000B148D" w:rsidRPr="004E004F">
        <w:t>.</w:t>
      </w:r>
      <w:r w:rsidR="000B148D">
        <w:fldChar w:fldCharType="begin"/>
      </w:r>
      <w:r w:rsidR="00CA6345">
        <w:instrText xml:space="preserve"> ADDIN ZOTERO_ITEM CSL_CITATION {"citationID":"IhKQwtOh","properties":{"formattedCitation":"\\super 147\\nosupersub{}","plainCitation":"147","noteIndex":0},"citationItems":[{"id":66793,"uris":["http://zotero.org/groups/4797619/items/YMS8DM96"],"itemData":{"id":66793,"type":"document","title":"Estima: Feasibility of performing an indirect treatment comparison between ENHERTU® and TRODELVY® in a hormone-receptor negative and HER2-low population. Data on file.","author":[{"family":"Daiichi Sankyo Inc.","given":""}],"issued":{"date-parts":[["2023"]]}}}],"schema":"https://github.com/citation-style-language/schema/raw/master/csl-citation.json"} </w:instrText>
      </w:r>
      <w:r w:rsidR="000B148D">
        <w:fldChar w:fldCharType="separate"/>
      </w:r>
      <w:r w:rsidR="00CA6345" w:rsidRPr="00CA6345">
        <w:rPr>
          <w:rFonts w:cs="Arial"/>
          <w:szCs w:val="24"/>
          <w:vertAlign w:val="superscript"/>
        </w:rPr>
        <w:t>147</w:t>
      </w:r>
      <w:r w:rsidR="000B148D">
        <w:fldChar w:fldCharType="end"/>
      </w:r>
      <w:r w:rsidR="000B148D" w:rsidRPr="004E004F">
        <w:t xml:space="preserve"> The feasibility assessment </w:t>
      </w:r>
      <w:r w:rsidR="000B148D">
        <w:t xml:space="preserve">reported a number of limitations that </w:t>
      </w:r>
      <w:r w:rsidR="009A6FF2">
        <w:t xml:space="preserve">indicate </w:t>
      </w:r>
      <w:r w:rsidR="000B148D">
        <w:t>an ITC would not be robust or suitable for decision</w:t>
      </w:r>
      <w:r w:rsidR="008A68B0">
        <w:t>-</w:t>
      </w:r>
      <w:r w:rsidR="000B148D">
        <w:t>making.</w:t>
      </w:r>
      <w:r w:rsidR="000B148D">
        <w:fldChar w:fldCharType="begin"/>
      </w:r>
      <w:r w:rsidR="00CA6345">
        <w:instrText xml:space="preserve"> ADDIN ZOTERO_ITEM CSL_CITATION {"citationID":"19ZmmbZ9","properties":{"formattedCitation":"\\super 147\\nosupersub{}","plainCitation":"147","noteIndex":0},"citationItems":[{"id":66793,"uris":["http://zotero.org/groups/4797619/items/YMS8DM96"],"itemData":{"id":66793,"type":"document","title":"Estima: Feasibility of performing an indirect treatment comparison between ENHERTU® and TRODELVY® in a hormone-receptor negative and HER2-low population. Data on file.","author":[{"family":"Daiichi Sankyo Inc.","given":""}],"issued":{"date-parts":[["2023"]]}}}],"schema":"https://github.com/citation-style-language/schema/raw/master/csl-citation.json"} </w:instrText>
      </w:r>
      <w:r w:rsidR="000B148D">
        <w:fldChar w:fldCharType="separate"/>
      </w:r>
      <w:r w:rsidR="00CA6345" w:rsidRPr="00CA6345">
        <w:rPr>
          <w:rFonts w:cs="Arial"/>
          <w:szCs w:val="24"/>
          <w:vertAlign w:val="superscript"/>
        </w:rPr>
        <w:t>147</w:t>
      </w:r>
      <w:r w:rsidR="000B148D">
        <w:fldChar w:fldCharType="end"/>
      </w:r>
      <w:r w:rsidR="000B148D">
        <w:t xml:space="preserve"> The limitations related to conducting an ITC for T-DXd vs. </w:t>
      </w:r>
      <w:r w:rsidR="00FB23E9">
        <w:t>SG</w:t>
      </w:r>
      <w:r w:rsidR="000B148D">
        <w:t xml:space="preserve"> are:</w:t>
      </w:r>
      <w:r w:rsidR="000B148D">
        <w:fldChar w:fldCharType="begin"/>
      </w:r>
      <w:r w:rsidR="00CA6345">
        <w:instrText xml:space="preserve"> ADDIN ZOTERO_ITEM CSL_CITATION {"citationID":"triMTkSQ","properties":{"formattedCitation":"\\super 147\\nosupersub{}","plainCitation":"147","noteIndex":0},"citationItems":[{"id":66793,"uris":["http://zotero.org/groups/4797619/items/YMS8DM96"],"itemData":{"id":66793,"type":"document","title":"Estima: Feasibility of performing an indirect treatment comparison between ENHERTU® and TRODELVY® in a hormone-receptor negative and HER2-low population. Data on file.","author":[{"family":"Daiichi Sankyo Inc.","given":""}],"issued":{"date-parts":[["2023"]]}}}],"schema":"https://github.com/citation-style-language/schema/raw/master/csl-citation.json"} </w:instrText>
      </w:r>
      <w:r w:rsidR="000B148D">
        <w:fldChar w:fldCharType="separate"/>
      </w:r>
      <w:r w:rsidR="00CA6345" w:rsidRPr="00CA6345">
        <w:rPr>
          <w:rFonts w:cs="Arial"/>
          <w:szCs w:val="24"/>
          <w:vertAlign w:val="superscript"/>
        </w:rPr>
        <w:t>147</w:t>
      </w:r>
      <w:r w:rsidR="000B148D">
        <w:fldChar w:fldCharType="end"/>
      </w:r>
    </w:p>
    <w:p w14:paraId="425E8BA2" w14:textId="57B771E1" w:rsidR="00491FF4" w:rsidRPr="003C648C" w:rsidRDefault="00491FF4" w:rsidP="00E91470">
      <w:pPr>
        <w:pStyle w:val="pf0"/>
        <w:numPr>
          <w:ilvl w:val="0"/>
          <w:numId w:val="65"/>
        </w:numPr>
        <w:rPr>
          <w:rFonts w:ascii="Arial" w:hAnsi="Arial" w:cs="Arial"/>
          <w:sz w:val="22"/>
          <w:szCs w:val="22"/>
        </w:rPr>
      </w:pPr>
      <w:r w:rsidRPr="006D3BB5">
        <w:rPr>
          <w:rFonts w:ascii="Arial" w:hAnsi="Arial" w:cs="Arial"/>
          <w:b/>
          <w:sz w:val="22"/>
          <w:szCs w:val="22"/>
        </w:rPr>
        <w:t xml:space="preserve">Data availability: </w:t>
      </w:r>
      <w:r w:rsidRPr="006D3BB5">
        <w:rPr>
          <w:rFonts w:ascii="Arial" w:hAnsi="Arial" w:cs="Arial"/>
          <w:sz w:val="22"/>
          <w:szCs w:val="22"/>
        </w:rPr>
        <w:t xml:space="preserve">While the company has access to individual patient data </w:t>
      </w:r>
      <w:r w:rsidR="00F15E1B">
        <w:rPr>
          <w:rFonts w:ascii="Arial" w:hAnsi="Arial" w:cs="Arial"/>
          <w:sz w:val="22"/>
          <w:szCs w:val="22"/>
        </w:rPr>
        <w:t xml:space="preserve">(IPD) </w:t>
      </w:r>
      <w:r w:rsidRPr="006D3BB5">
        <w:rPr>
          <w:rFonts w:ascii="Arial" w:hAnsi="Arial" w:cs="Arial"/>
          <w:sz w:val="22"/>
          <w:szCs w:val="22"/>
        </w:rPr>
        <w:t>for DESTINY-Breast04, any ITC is limited by the availability of published data for ASCENT.</w:t>
      </w:r>
      <w:r w:rsidR="00250052" w:rsidRPr="006D3BB5">
        <w:rPr>
          <w:rFonts w:ascii="Arial" w:hAnsi="Arial" w:cs="Arial"/>
          <w:sz w:val="22"/>
          <w:szCs w:val="22"/>
        </w:rPr>
        <w:fldChar w:fldCharType="begin"/>
      </w:r>
      <w:r w:rsidR="00CA6345">
        <w:rPr>
          <w:rFonts w:ascii="Arial" w:hAnsi="Arial" w:cs="Arial"/>
          <w:sz w:val="22"/>
          <w:szCs w:val="22"/>
        </w:rPr>
        <w:instrText xml:space="preserve"> ADDIN ZOTERO_ITEM CSL_CITATION {"citationID":"oX7AkQR1","properties":{"formattedCitation":"\\super 154\\nosupersub{}","plainCitation":"154","noteIndex":0},"citationItems":[{"id":66797,"uris":["http://zotero.org/groups/4797619/items/RYJ26GZ9"],"itemData":{"id":66797,"type":"speech","title":"Poster 168P: Sacituzumab Govitecan Efficacy in Patients with Metastatic Triple-Negative Breast Cancer by HER2 Immunohistochemistry Status: Findings from the Phase 3 ASCENT Study. Poster Presented at the European Society for Medical Oncology Breast Cancer Congress – May 3-5, 2022","author":[{"family":"Hurvitz","given":"S"}],"issued":{"date-parts":[["2022",5]]}}}],"schema":"https://github.com/citation-style-language/schema/raw/master/csl-citation.json"} </w:instrText>
      </w:r>
      <w:r w:rsidR="00250052" w:rsidRPr="006D3BB5">
        <w:rPr>
          <w:rFonts w:ascii="Arial" w:hAnsi="Arial" w:cs="Arial"/>
          <w:sz w:val="22"/>
          <w:szCs w:val="22"/>
        </w:rPr>
        <w:fldChar w:fldCharType="separate"/>
      </w:r>
      <w:r w:rsidR="00CA6345" w:rsidRPr="00CA6345">
        <w:rPr>
          <w:rFonts w:ascii="Arial" w:hAnsi="Arial" w:cs="Arial"/>
          <w:sz w:val="22"/>
          <w:vertAlign w:val="superscript"/>
        </w:rPr>
        <w:t>154</w:t>
      </w:r>
      <w:r w:rsidR="00250052" w:rsidRPr="006D3BB5">
        <w:rPr>
          <w:rFonts w:ascii="Arial" w:hAnsi="Arial" w:cs="Arial"/>
          <w:sz w:val="22"/>
          <w:szCs w:val="22"/>
        </w:rPr>
        <w:fldChar w:fldCharType="end"/>
      </w:r>
      <w:r w:rsidRPr="006D3BB5">
        <w:rPr>
          <w:rFonts w:ascii="Arial" w:hAnsi="Arial" w:cs="Arial"/>
          <w:sz w:val="22"/>
          <w:szCs w:val="22"/>
        </w:rPr>
        <w:t xml:space="preserve"> Notably, there are limited published data from ASCENT for HER2-low patients specifically, including data on </w:t>
      </w:r>
      <w:r w:rsidR="00C83F18">
        <w:rPr>
          <w:rFonts w:ascii="Arial" w:hAnsi="Arial" w:cs="Arial"/>
          <w:sz w:val="22"/>
          <w:szCs w:val="22"/>
        </w:rPr>
        <w:t xml:space="preserve">the </w:t>
      </w:r>
      <w:r w:rsidRPr="006D3BB5">
        <w:rPr>
          <w:rFonts w:ascii="Arial" w:hAnsi="Arial" w:cs="Arial"/>
          <w:sz w:val="22"/>
          <w:szCs w:val="22"/>
        </w:rPr>
        <w:t>baseline characteristics</w:t>
      </w:r>
      <w:r w:rsidR="00FC71B1" w:rsidRPr="006D3BB5">
        <w:rPr>
          <w:rFonts w:ascii="Arial" w:hAnsi="Arial" w:cs="Arial"/>
          <w:sz w:val="22"/>
          <w:szCs w:val="22"/>
        </w:rPr>
        <w:t xml:space="preserve"> </w:t>
      </w:r>
      <w:r w:rsidR="00130E5C">
        <w:rPr>
          <w:rFonts w:ascii="Arial" w:hAnsi="Arial" w:cs="Arial"/>
          <w:sz w:val="22"/>
          <w:szCs w:val="22"/>
        </w:rPr>
        <w:t>that</w:t>
      </w:r>
      <w:r w:rsidR="00FC71B1" w:rsidRPr="006D3BB5">
        <w:rPr>
          <w:rFonts w:ascii="Arial" w:hAnsi="Arial" w:cs="Arial"/>
          <w:sz w:val="22"/>
          <w:szCs w:val="22"/>
        </w:rPr>
        <w:t xml:space="preserve"> would be required for the purposes of matching</w:t>
      </w:r>
      <w:r w:rsidRPr="006D3BB5">
        <w:rPr>
          <w:rFonts w:ascii="Arial" w:hAnsi="Arial" w:cs="Arial"/>
          <w:sz w:val="22"/>
          <w:szCs w:val="22"/>
        </w:rPr>
        <w:t>.</w:t>
      </w:r>
      <w:r w:rsidR="00953814" w:rsidRPr="006D3BB5">
        <w:rPr>
          <w:rFonts w:ascii="Arial" w:hAnsi="Arial" w:cs="Arial"/>
          <w:sz w:val="22"/>
          <w:szCs w:val="22"/>
        </w:rPr>
        <w:t xml:space="preserve"> The only baseline characteristics </w:t>
      </w:r>
      <w:r w:rsidR="00135913" w:rsidRPr="006D3BB5">
        <w:rPr>
          <w:rFonts w:ascii="Arial" w:hAnsi="Arial" w:cs="Arial"/>
          <w:sz w:val="22"/>
          <w:szCs w:val="22"/>
        </w:rPr>
        <w:t xml:space="preserve">published for the HER2-low subgroup of ASCENT are median age, race, ECOG performance status and number of prior chemotherapy lines. </w:t>
      </w:r>
      <w:r w:rsidR="00927A3B">
        <w:rPr>
          <w:rFonts w:ascii="Arial" w:hAnsi="Arial" w:cs="Arial"/>
          <w:sz w:val="22"/>
          <w:szCs w:val="22"/>
        </w:rPr>
        <w:t>Of these characteristics, t</w:t>
      </w:r>
      <w:r w:rsidR="00927A3B" w:rsidRPr="006D3BB5">
        <w:rPr>
          <w:rFonts w:ascii="Arial" w:eastAsiaTheme="majorEastAsia" w:hAnsi="Arial" w:cs="Arial"/>
          <w:sz w:val="22"/>
          <w:szCs w:val="22"/>
        </w:rPr>
        <w:t xml:space="preserve">he </w:t>
      </w:r>
      <w:r w:rsidR="00927A3B">
        <w:rPr>
          <w:rFonts w:ascii="Arial" w:eastAsiaTheme="majorEastAsia" w:hAnsi="Arial" w:cs="Arial"/>
          <w:sz w:val="22"/>
          <w:szCs w:val="22"/>
        </w:rPr>
        <w:t xml:space="preserve">DESTINY-Breast04 and ASCENT HER2-low </w:t>
      </w:r>
      <w:r w:rsidR="0026322D" w:rsidRPr="006D3BB5">
        <w:rPr>
          <w:rFonts w:ascii="Arial" w:eastAsiaTheme="majorEastAsia" w:hAnsi="Arial" w:cs="Arial"/>
          <w:sz w:val="22"/>
          <w:szCs w:val="22"/>
        </w:rPr>
        <w:t>populations are similar for age</w:t>
      </w:r>
      <w:r w:rsidR="00A02CE3" w:rsidRPr="006D3BB5">
        <w:rPr>
          <w:rFonts w:ascii="Arial" w:hAnsi="Arial" w:cs="Arial"/>
          <w:sz w:val="22"/>
          <w:szCs w:val="22"/>
        </w:rPr>
        <w:t xml:space="preserve"> and</w:t>
      </w:r>
      <w:r w:rsidR="0026322D" w:rsidRPr="006D3BB5">
        <w:rPr>
          <w:rFonts w:ascii="Arial" w:eastAsiaTheme="majorEastAsia" w:hAnsi="Arial" w:cs="Arial"/>
          <w:sz w:val="22"/>
          <w:szCs w:val="22"/>
        </w:rPr>
        <w:t xml:space="preserve"> ECOG performance status, </w:t>
      </w:r>
      <w:r w:rsidR="009006ED">
        <w:rPr>
          <w:rFonts w:ascii="Arial" w:eastAsiaTheme="majorEastAsia" w:hAnsi="Arial" w:cs="Arial"/>
          <w:sz w:val="22"/>
          <w:szCs w:val="22"/>
        </w:rPr>
        <w:t xml:space="preserve">but </w:t>
      </w:r>
      <w:r w:rsidR="0026322D" w:rsidRPr="006D3BB5">
        <w:rPr>
          <w:rFonts w:ascii="Arial" w:eastAsiaTheme="majorEastAsia" w:hAnsi="Arial" w:cs="Arial"/>
          <w:sz w:val="22"/>
          <w:szCs w:val="22"/>
        </w:rPr>
        <w:t>different for race</w:t>
      </w:r>
      <w:r w:rsidR="0026322D" w:rsidRPr="006D3BB5">
        <w:rPr>
          <w:rFonts w:ascii="Arial" w:hAnsi="Arial" w:cs="Arial"/>
          <w:sz w:val="22"/>
          <w:szCs w:val="22"/>
        </w:rPr>
        <w:t xml:space="preserve"> </w:t>
      </w:r>
      <w:r w:rsidR="0026322D" w:rsidRPr="006D3BB5">
        <w:rPr>
          <w:rFonts w:ascii="Arial" w:eastAsiaTheme="majorEastAsia" w:hAnsi="Arial" w:cs="Arial"/>
          <w:sz w:val="22"/>
          <w:szCs w:val="22"/>
        </w:rPr>
        <w:t>and unknown for the number prior chemotherapy lines</w:t>
      </w:r>
      <w:r w:rsidR="00A02CE3" w:rsidRPr="006D3BB5">
        <w:rPr>
          <w:rFonts w:ascii="Arial" w:hAnsi="Arial" w:cs="Arial"/>
          <w:sz w:val="22"/>
          <w:szCs w:val="22"/>
        </w:rPr>
        <w:t>.</w:t>
      </w:r>
      <w:r w:rsidR="006D3BB5" w:rsidRPr="006D3BB5">
        <w:rPr>
          <w:rFonts w:ascii="Arial" w:hAnsi="Arial" w:cs="Arial"/>
          <w:sz w:val="22"/>
          <w:szCs w:val="22"/>
        </w:rPr>
        <w:t xml:space="preserve"> </w:t>
      </w:r>
      <w:r w:rsidR="006D3BB5" w:rsidRPr="006D3BB5">
        <w:rPr>
          <w:rFonts w:ascii="Arial" w:eastAsiaTheme="majorEastAsia" w:hAnsi="Arial" w:cs="Arial"/>
          <w:sz w:val="22"/>
          <w:szCs w:val="22"/>
        </w:rPr>
        <w:t>Thus, it may only be possible to match the populations using age and ECOG status.</w:t>
      </w:r>
      <w:r w:rsidR="00A977C4">
        <w:rPr>
          <w:rFonts w:ascii="Arial" w:eastAsiaTheme="majorEastAsia" w:hAnsi="Arial" w:cs="Arial"/>
          <w:sz w:val="22"/>
          <w:szCs w:val="22"/>
        </w:rPr>
        <w:t xml:space="preserve"> </w:t>
      </w:r>
    </w:p>
    <w:p w14:paraId="4A92C6E7" w14:textId="14CE0A9D" w:rsidR="000B148D" w:rsidRPr="00E32790" w:rsidRDefault="000B148D" w:rsidP="00954359">
      <w:pPr>
        <w:pStyle w:val="Body"/>
        <w:numPr>
          <w:ilvl w:val="0"/>
          <w:numId w:val="47"/>
        </w:numPr>
      </w:pPr>
      <w:r>
        <w:rPr>
          <w:b/>
          <w:bCs/>
        </w:rPr>
        <w:t xml:space="preserve">Study design: </w:t>
      </w:r>
      <w:r>
        <w:t xml:space="preserve">ASCENT was a </w:t>
      </w:r>
      <w:r w:rsidR="00500957">
        <w:t>Phase III</w:t>
      </w:r>
      <w:r>
        <w:t xml:space="preserve"> study investigating the efficacy and safety of </w:t>
      </w:r>
      <w:r w:rsidR="00FB23E9">
        <w:t>SG</w:t>
      </w:r>
      <w:r>
        <w:t xml:space="preserve"> vs. TPC in the metastatic TNBC population. While this population included </w:t>
      </w:r>
      <w:r>
        <w:lastRenderedPageBreak/>
        <w:t>HER2-low patients, the study was not powered to analyse efficacy in HER2-low nor was HER2</w:t>
      </w:r>
      <w:r w:rsidR="000E19E7">
        <w:t xml:space="preserve"> status (by IHC and ISH levels)</w:t>
      </w:r>
      <w:r w:rsidR="0033090B">
        <w:t xml:space="preserve"> </w:t>
      </w:r>
      <w:r>
        <w:t>a randomisation stratification factor or a pre</w:t>
      </w:r>
      <w:r w:rsidR="00133B67">
        <w:t>-specified</w:t>
      </w:r>
      <w:r>
        <w:t xml:space="preserve"> subgroup analysis. DESTINY-Breast04 is the only</w:t>
      </w:r>
      <w:r w:rsidR="001B4B2B">
        <w:t xml:space="preserve"> study</w:t>
      </w:r>
      <w:r>
        <w:t xml:space="preserve"> powered to detect a treatment effect in HER2-low u/mBC specifically.</w:t>
      </w:r>
    </w:p>
    <w:p w14:paraId="2AC851CA" w14:textId="40625D0B" w:rsidR="000B148D" w:rsidRPr="00811439" w:rsidRDefault="000B148D" w:rsidP="00954359">
      <w:pPr>
        <w:pStyle w:val="Body"/>
        <w:numPr>
          <w:ilvl w:val="0"/>
          <w:numId w:val="47"/>
        </w:numPr>
      </w:pPr>
      <w:r w:rsidRPr="00811439">
        <w:rPr>
          <w:b/>
          <w:bCs/>
        </w:rPr>
        <w:t>Population size:</w:t>
      </w:r>
      <w:r>
        <w:t xml:space="preserve"> </w:t>
      </w:r>
      <w:r>
        <w:rPr>
          <w:lang w:val="en-US"/>
        </w:rPr>
        <w:t>DESTINY-Breast04 included only a small number of</w:t>
      </w:r>
      <w:r w:rsidRPr="005B2613">
        <w:rPr>
          <w:lang w:val="en-US"/>
        </w:rPr>
        <w:t xml:space="preserve"> </w:t>
      </w:r>
      <w:r w:rsidR="00515852">
        <w:rPr>
          <w:lang w:val="en-US"/>
        </w:rPr>
        <w:t>HER2-low/HR-negative</w:t>
      </w:r>
      <w:r>
        <w:rPr>
          <w:lang w:val="en-US"/>
        </w:rPr>
        <w:t xml:space="preserve"> patients </w:t>
      </w:r>
      <w:r w:rsidR="002A089C">
        <w:rPr>
          <w:lang w:val="en-US"/>
        </w:rPr>
        <w:t xml:space="preserve">treated with T-DXd </w:t>
      </w:r>
      <w:r>
        <w:rPr>
          <w:lang w:val="en-US"/>
        </w:rPr>
        <w:t>(N=42)</w:t>
      </w:r>
      <w:r w:rsidRPr="005B2613">
        <w:rPr>
          <w:lang w:val="en-US"/>
        </w:rPr>
        <w:t xml:space="preserve">, </w:t>
      </w:r>
      <w:r>
        <w:rPr>
          <w:lang w:val="en-US"/>
        </w:rPr>
        <w:t xml:space="preserve">while ASCENT </w:t>
      </w:r>
      <w:r w:rsidR="00036827">
        <w:rPr>
          <w:lang w:val="en-US"/>
        </w:rPr>
        <w:t xml:space="preserve">also </w:t>
      </w:r>
      <w:r>
        <w:rPr>
          <w:lang w:val="en-US"/>
        </w:rPr>
        <w:t xml:space="preserve">included a </w:t>
      </w:r>
      <w:r w:rsidR="00036827">
        <w:rPr>
          <w:lang w:val="en-US"/>
        </w:rPr>
        <w:t xml:space="preserve">relatively </w:t>
      </w:r>
      <w:r>
        <w:rPr>
          <w:lang w:val="en-US"/>
        </w:rPr>
        <w:t xml:space="preserve">small number of HER2-low patients </w:t>
      </w:r>
      <w:r w:rsidR="002A089C">
        <w:rPr>
          <w:lang w:val="en-US"/>
        </w:rPr>
        <w:t xml:space="preserve">treated with SG </w:t>
      </w:r>
      <w:r>
        <w:rPr>
          <w:lang w:val="en-US"/>
        </w:rPr>
        <w:t xml:space="preserve">(N=63). This means that </w:t>
      </w:r>
      <w:r w:rsidR="006A1AD1">
        <w:rPr>
          <w:lang w:val="en-US"/>
        </w:rPr>
        <w:t>after matching</w:t>
      </w:r>
      <w:r w:rsidR="00534C12">
        <w:rPr>
          <w:lang w:val="en-US"/>
        </w:rPr>
        <w:t>,</w:t>
      </w:r>
      <w:r w:rsidR="006A1AD1">
        <w:rPr>
          <w:lang w:val="en-US"/>
        </w:rPr>
        <w:t xml:space="preserve"> the effective sample size</w:t>
      </w:r>
      <w:r>
        <w:rPr>
          <w:lang w:val="en-US"/>
        </w:rPr>
        <w:t xml:space="preserve"> of any ITC would be limited, in turn meaning that any analyses would be uncertain</w:t>
      </w:r>
      <w:r w:rsidRPr="005B2613">
        <w:rPr>
          <w:lang w:val="en-US"/>
        </w:rPr>
        <w:t>.</w:t>
      </w:r>
    </w:p>
    <w:p w14:paraId="61F66D5A" w14:textId="245C2560" w:rsidR="000B148D" w:rsidRPr="00906A53" w:rsidRDefault="000B148D" w:rsidP="00954359">
      <w:pPr>
        <w:pStyle w:val="Body"/>
        <w:numPr>
          <w:ilvl w:val="0"/>
          <w:numId w:val="47"/>
        </w:numPr>
      </w:pPr>
      <w:r>
        <w:rPr>
          <w:b/>
          <w:bCs/>
          <w:lang w:val="en-US"/>
        </w:rPr>
        <w:t>Differences in populations</w:t>
      </w:r>
      <w:r w:rsidR="0064194C">
        <w:rPr>
          <w:b/>
          <w:bCs/>
          <w:lang w:val="en-US"/>
        </w:rPr>
        <w:t xml:space="preserve"> and trial inclusion/exclusion criteria</w:t>
      </w:r>
      <w:r w:rsidRPr="00811439">
        <w:rPr>
          <w:b/>
          <w:bCs/>
          <w:lang w:val="en-US"/>
        </w:rPr>
        <w:t>:</w:t>
      </w:r>
      <w:r>
        <w:rPr>
          <w:lang w:val="en-US"/>
        </w:rPr>
        <w:t xml:space="preserve"> The</w:t>
      </w:r>
      <w:r w:rsidR="009A0742">
        <w:rPr>
          <w:lang w:val="en-US"/>
        </w:rPr>
        <w:t>re are a number of differences across</w:t>
      </w:r>
      <w:r>
        <w:rPr>
          <w:lang w:val="en-US"/>
        </w:rPr>
        <w:t xml:space="preserve"> populations in ASCENT and DESTINY-Breast04 that may impact treatment effect</w:t>
      </w:r>
      <w:r w:rsidR="00A667E9">
        <w:rPr>
          <w:lang w:val="en-US"/>
        </w:rPr>
        <w:t xml:space="preserve"> and </w:t>
      </w:r>
      <w:r w:rsidR="00751380">
        <w:rPr>
          <w:lang w:val="en-US"/>
        </w:rPr>
        <w:t>may</w:t>
      </w:r>
      <w:r w:rsidR="00872142">
        <w:rPr>
          <w:lang w:val="en-US"/>
        </w:rPr>
        <w:t xml:space="preserve"> </w:t>
      </w:r>
      <w:r w:rsidR="00751380">
        <w:rPr>
          <w:lang w:val="en-US"/>
        </w:rPr>
        <w:t xml:space="preserve">be </w:t>
      </w:r>
      <w:r w:rsidR="00A667E9">
        <w:rPr>
          <w:lang w:val="en-US"/>
        </w:rPr>
        <w:t xml:space="preserve">covariates </w:t>
      </w:r>
      <w:r w:rsidR="00D87648">
        <w:rPr>
          <w:lang w:val="en-US"/>
        </w:rPr>
        <w:t>that</w:t>
      </w:r>
      <w:r w:rsidR="00A667E9">
        <w:rPr>
          <w:lang w:val="en-US"/>
        </w:rPr>
        <w:t xml:space="preserve"> cannot be adjusted for</w:t>
      </w:r>
      <w:r>
        <w:rPr>
          <w:lang w:val="en-US"/>
        </w:rPr>
        <w:t xml:space="preserve">: </w:t>
      </w:r>
    </w:p>
    <w:p w14:paraId="45CDEDA9" w14:textId="0CD8FE2E" w:rsidR="000B148D" w:rsidRPr="003B04B7" w:rsidRDefault="000B148D" w:rsidP="00954359">
      <w:pPr>
        <w:pStyle w:val="Body"/>
        <w:numPr>
          <w:ilvl w:val="1"/>
          <w:numId w:val="47"/>
        </w:numPr>
      </w:pPr>
      <w:r>
        <w:t xml:space="preserve">Prior chemotherapy: </w:t>
      </w:r>
      <w:r w:rsidR="00576159">
        <w:t>Data on</w:t>
      </w:r>
      <w:r w:rsidR="00FA3EE5">
        <w:t xml:space="preserve"> </w:t>
      </w:r>
      <w:r w:rsidR="007735CC">
        <w:t xml:space="preserve">prior lines of chemotherapy is reported differently in </w:t>
      </w:r>
      <w:r>
        <w:t xml:space="preserve">DESTINY-Breast04 and ASCENT </w:t>
      </w:r>
      <w:r w:rsidR="007735CC">
        <w:t>(</w:t>
      </w:r>
      <w:r w:rsidR="00392652">
        <w:t>number of lines in a metastatic setting</w:t>
      </w:r>
      <w:r w:rsidR="0025627A">
        <w:t xml:space="preserve"> </w:t>
      </w:r>
      <w:r w:rsidR="00960B9E">
        <w:t>[1 vs. 2]</w:t>
      </w:r>
      <w:r w:rsidR="00392652">
        <w:t xml:space="preserve"> vs. </w:t>
      </w:r>
      <w:r w:rsidR="00434F62">
        <w:t>number of previous lines in any setting</w:t>
      </w:r>
      <w:r w:rsidR="00960B9E">
        <w:t xml:space="preserve"> [2–3 vs. &gt;3</w:t>
      </w:r>
      <w:r w:rsidR="005004FD">
        <w:t>]</w:t>
      </w:r>
      <w:r w:rsidR="00434F62">
        <w:t>),</w:t>
      </w:r>
      <w:r>
        <w:t xml:space="preserve"> making it challenging to explore the impact of this variable on relative treatment effect.</w:t>
      </w:r>
      <w:r w:rsidR="00AD6132">
        <w:t xml:space="preserve"> </w:t>
      </w:r>
      <w:r w:rsidR="004F3136">
        <w:t xml:space="preserve">Eligibility criteria for prior chemotherapy </w:t>
      </w:r>
      <w:r w:rsidR="00D2772E">
        <w:t xml:space="preserve">and randomisation stratification factors </w:t>
      </w:r>
      <w:r w:rsidR="009C2C4B">
        <w:t xml:space="preserve">based on this </w:t>
      </w:r>
      <w:r w:rsidR="004F3136">
        <w:t>w</w:t>
      </w:r>
      <w:r w:rsidR="00D2772E">
        <w:t>ere</w:t>
      </w:r>
      <w:r w:rsidR="004F3136">
        <w:t xml:space="preserve"> also different between the trials (1 </w:t>
      </w:r>
      <w:r w:rsidR="0046184F">
        <w:t>or</w:t>
      </w:r>
      <w:r w:rsidR="0033731E">
        <w:t xml:space="preserve"> 2</w:t>
      </w:r>
      <w:r w:rsidR="0046184F">
        <w:t xml:space="preserve"> for metastatic disease</w:t>
      </w:r>
      <w:r w:rsidR="0033731E">
        <w:t xml:space="preserve"> in DESTINY-Breast04 </w:t>
      </w:r>
      <w:r w:rsidR="009C2C4B">
        <w:t xml:space="preserve">vs. </w:t>
      </w:r>
      <w:r w:rsidR="00BF1DD6">
        <w:rPr>
          <w:rFonts w:cs="Arial"/>
        </w:rPr>
        <w:t>≥</w:t>
      </w:r>
      <w:r w:rsidR="00BF1DD6">
        <w:t xml:space="preserve">2 </w:t>
      </w:r>
      <w:r w:rsidR="0084711D">
        <w:t xml:space="preserve">for advanced disease </w:t>
      </w:r>
      <w:r w:rsidR="00BF1DD6">
        <w:t>in ASCENT</w:t>
      </w:r>
      <w:r w:rsidR="00B548B4">
        <w:t>)</w:t>
      </w:r>
      <w:r w:rsidR="0084711D">
        <w:t>.</w:t>
      </w:r>
    </w:p>
    <w:p w14:paraId="08234FAE" w14:textId="77777777" w:rsidR="000B148D" w:rsidRPr="00645B26" w:rsidRDefault="000B148D" w:rsidP="00954359">
      <w:pPr>
        <w:pStyle w:val="Body"/>
        <w:numPr>
          <w:ilvl w:val="1"/>
          <w:numId w:val="47"/>
        </w:numPr>
      </w:pPr>
      <w:r>
        <w:t>Race: The DESTINY-Breast04 and ASCENT populations are very different in terms of proportion of White (48% vs. 84%) and Asian (48% vs. 5%) patients.</w:t>
      </w:r>
    </w:p>
    <w:p w14:paraId="4DB46D2C" w14:textId="67FC3D3C" w:rsidR="000B148D" w:rsidRPr="007A3E97" w:rsidRDefault="000B148D" w:rsidP="00954359">
      <w:pPr>
        <w:pStyle w:val="Body"/>
        <w:numPr>
          <w:ilvl w:val="1"/>
          <w:numId w:val="47"/>
        </w:numPr>
      </w:pPr>
      <w:r>
        <w:rPr>
          <w:lang w:val="en-US"/>
        </w:rPr>
        <w:t>R</w:t>
      </w:r>
      <w:r w:rsidRPr="005477F1">
        <w:rPr>
          <w:lang w:val="en-US"/>
        </w:rPr>
        <w:t>egion:</w:t>
      </w:r>
      <w:r>
        <w:rPr>
          <w:lang w:val="en-US"/>
        </w:rPr>
        <w:t xml:space="preserve"> </w:t>
      </w:r>
      <w:r w:rsidR="006B7E6F">
        <w:rPr>
          <w:lang w:val="en-US"/>
        </w:rPr>
        <w:t xml:space="preserve">Region was used as a </w:t>
      </w:r>
      <w:r w:rsidR="004E15A2">
        <w:rPr>
          <w:lang w:val="en-US"/>
        </w:rPr>
        <w:t>r</w:t>
      </w:r>
      <w:r w:rsidR="00BA159F">
        <w:rPr>
          <w:lang w:val="en-US"/>
        </w:rPr>
        <w:t>andomi</w:t>
      </w:r>
      <w:r w:rsidR="004E15A2">
        <w:rPr>
          <w:lang w:val="en-US"/>
        </w:rPr>
        <w:t>s</w:t>
      </w:r>
      <w:r w:rsidR="00BA159F">
        <w:rPr>
          <w:lang w:val="en-US"/>
        </w:rPr>
        <w:t>ation</w:t>
      </w:r>
      <w:r w:rsidR="006B7E6F">
        <w:rPr>
          <w:lang w:val="en-US"/>
        </w:rPr>
        <w:t xml:space="preserve"> factor </w:t>
      </w:r>
      <w:r w:rsidR="00AE5D93">
        <w:rPr>
          <w:lang w:val="en-US"/>
        </w:rPr>
        <w:t xml:space="preserve">in ASCENT (North America vs. rest of the world) </w:t>
      </w:r>
      <w:r w:rsidR="00BE6FA8">
        <w:rPr>
          <w:lang w:val="en-US"/>
        </w:rPr>
        <w:t xml:space="preserve">without reporting the proportion of patients in each region. </w:t>
      </w:r>
      <w:r w:rsidR="009D5F7C">
        <w:rPr>
          <w:lang w:val="en-US"/>
        </w:rPr>
        <w:t>I</w:t>
      </w:r>
      <w:r>
        <w:rPr>
          <w:lang w:val="en-US"/>
        </w:rPr>
        <w:t xml:space="preserve">t is </w:t>
      </w:r>
      <w:r w:rsidR="009D5F7C">
        <w:rPr>
          <w:lang w:val="en-US"/>
        </w:rPr>
        <w:t>therefore</w:t>
      </w:r>
      <w:r>
        <w:rPr>
          <w:lang w:val="en-US"/>
        </w:rPr>
        <w:t xml:space="preserve"> </w:t>
      </w:r>
      <w:r w:rsidRPr="00811439">
        <w:rPr>
          <w:lang w:val="en-US"/>
        </w:rPr>
        <w:t>not possible to adjust the populations based on this variable</w:t>
      </w:r>
      <w:r w:rsidR="000976E7">
        <w:rPr>
          <w:lang w:val="en-US"/>
        </w:rPr>
        <w:t>.</w:t>
      </w:r>
    </w:p>
    <w:p w14:paraId="1DCD1C36" w14:textId="0736307C" w:rsidR="000B148D" w:rsidRPr="00152A6F" w:rsidRDefault="000B148D" w:rsidP="00954359">
      <w:pPr>
        <w:pStyle w:val="Body"/>
        <w:numPr>
          <w:ilvl w:val="1"/>
          <w:numId w:val="47"/>
        </w:numPr>
      </w:pPr>
      <w:r w:rsidRPr="00811439">
        <w:rPr>
          <w:lang w:val="en-US"/>
        </w:rPr>
        <w:t xml:space="preserve">Metastases: </w:t>
      </w:r>
      <w:r w:rsidR="005128E7">
        <w:rPr>
          <w:lang w:val="en-US"/>
        </w:rPr>
        <w:t xml:space="preserve">The presence of metastases is likely to </w:t>
      </w:r>
      <w:r w:rsidR="008F78DE">
        <w:rPr>
          <w:lang w:val="en-US"/>
        </w:rPr>
        <w:t>be detrimental for survival</w:t>
      </w:r>
      <w:r w:rsidR="00BA68E4">
        <w:rPr>
          <w:lang w:val="en-US"/>
        </w:rPr>
        <w:t xml:space="preserve"> but</w:t>
      </w:r>
      <w:r w:rsidR="001450BE">
        <w:rPr>
          <w:lang w:val="en-US"/>
        </w:rPr>
        <w:t>,</w:t>
      </w:r>
      <w:r w:rsidR="008F78DE">
        <w:rPr>
          <w:lang w:val="en-US"/>
        </w:rPr>
        <w:t xml:space="preserve"> </w:t>
      </w:r>
      <w:r w:rsidR="006B7528">
        <w:rPr>
          <w:lang w:val="en-US"/>
        </w:rPr>
        <w:t>due to limited</w:t>
      </w:r>
      <w:r w:rsidR="008F78DE">
        <w:rPr>
          <w:lang w:val="en-US"/>
        </w:rPr>
        <w:t xml:space="preserve"> </w:t>
      </w:r>
      <w:r w:rsidR="00BA68E4">
        <w:rPr>
          <w:lang w:val="en-US"/>
        </w:rPr>
        <w:t>p</w:t>
      </w:r>
      <w:r>
        <w:rPr>
          <w:lang w:val="en-US"/>
        </w:rPr>
        <w:t>ublished data on the presence of metastases in HER2-low patients in ASCENT</w:t>
      </w:r>
      <w:r w:rsidR="001F6226">
        <w:rPr>
          <w:lang w:val="en-US"/>
        </w:rPr>
        <w:t xml:space="preserve"> (e.g.,</w:t>
      </w:r>
      <w:r w:rsidR="00E034D7">
        <w:rPr>
          <w:lang w:val="en-US"/>
        </w:rPr>
        <w:t xml:space="preserve"> did not include</w:t>
      </w:r>
      <w:r w:rsidR="000B6C47">
        <w:rPr>
          <w:lang w:val="en-US"/>
        </w:rPr>
        <w:t xml:space="preserve"> </w:t>
      </w:r>
      <w:r w:rsidR="00E034D7">
        <w:rPr>
          <w:lang w:val="en-US"/>
        </w:rPr>
        <w:t>brain metastases</w:t>
      </w:r>
      <w:r w:rsidR="001F6226">
        <w:rPr>
          <w:lang w:val="en-US"/>
        </w:rPr>
        <w:t xml:space="preserve">), </w:t>
      </w:r>
      <w:r w:rsidR="007F7363">
        <w:rPr>
          <w:lang w:val="en-US"/>
        </w:rPr>
        <w:t xml:space="preserve">it is unknown </w:t>
      </w:r>
      <w:r w:rsidR="00C71D1D">
        <w:rPr>
          <w:lang w:val="en-US"/>
        </w:rPr>
        <w:t>whether the two subpopulations have a similar proportion of patients with brain, liver, or lung met</w:t>
      </w:r>
      <w:r w:rsidR="00B40749">
        <w:rPr>
          <w:lang w:val="en-US"/>
        </w:rPr>
        <w:t>astases</w:t>
      </w:r>
      <w:r w:rsidR="00C71D1D">
        <w:rPr>
          <w:lang w:val="en-US"/>
        </w:rPr>
        <w:t xml:space="preserve">. </w:t>
      </w:r>
    </w:p>
    <w:p w14:paraId="60BFF452" w14:textId="47554763" w:rsidR="000B148D" w:rsidRPr="00206509" w:rsidRDefault="000B148D" w:rsidP="00954359">
      <w:pPr>
        <w:pStyle w:val="Body"/>
        <w:numPr>
          <w:ilvl w:val="1"/>
          <w:numId w:val="47"/>
        </w:numPr>
      </w:pPr>
      <w:r w:rsidRPr="00553611">
        <w:rPr>
          <w:lang w:val="en-US"/>
        </w:rPr>
        <w:t>Patient age:</w:t>
      </w:r>
      <w:r w:rsidRPr="00FE1439">
        <w:rPr>
          <w:b/>
          <w:bCs/>
          <w:lang w:val="en-US"/>
        </w:rPr>
        <w:t xml:space="preserve"> </w:t>
      </w:r>
      <w:r w:rsidRPr="00FE1439">
        <w:rPr>
          <w:lang w:val="en-US"/>
        </w:rPr>
        <w:t>The</w:t>
      </w:r>
      <w:r>
        <w:rPr>
          <w:lang w:val="en-US"/>
        </w:rPr>
        <w:t xml:space="preserve">re is a small </w:t>
      </w:r>
      <w:r w:rsidRPr="00FE1439">
        <w:rPr>
          <w:lang w:val="en-US"/>
        </w:rPr>
        <w:t>difference in median age between the two populations (</w:t>
      </w:r>
      <w:r w:rsidR="00294FDC" w:rsidRPr="00294FDC">
        <w:rPr>
          <w:color w:val="000000"/>
          <w:highlight w:val="black"/>
          <w:lang w:val="en-US"/>
        </w:rPr>
        <w:t>xx</w:t>
      </w:r>
      <w:r w:rsidRPr="007E5A76">
        <w:rPr>
          <w:lang w:val="en-US"/>
        </w:rPr>
        <w:t xml:space="preserve"> and </w:t>
      </w:r>
      <w:r w:rsidR="00294FDC" w:rsidRPr="00294FDC">
        <w:rPr>
          <w:color w:val="000000"/>
          <w:highlight w:val="black"/>
          <w:lang w:val="en-US"/>
        </w:rPr>
        <w:t>xx</w:t>
      </w:r>
      <w:r>
        <w:rPr>
          <w:lang w:val="en-US"/>
        </w:rPr>
        <w:t xml:space="preserve"> years</w:t>
      </w:r>
      <w:r w:rsidRPr="00FE1439">
        <w:rPr>
          <w:lang w:val="en-US"/>
        </w:rPr>
        <w:t xml:space="preserve"> for</w:t>
      </w:r>
      <w:r>
        <w:rPr>
          <w:lang w:val="en-US"/>
        </w:rPr>
        <w:t xml:space="preserve"> the</w:t>
      </w:r>
      <w:r w:rsidRPr="00FE1439">
        <w:rPr>
          <w:lang w:val="en-US"/>
        </w:rPr>
        <w:t xml:space="preserve"> </w:t>
      </w:r>
      <w:r>
        <w:rPr>
          <w:lang w:val="en-US"/>
        </w:rPr>
        <w:t xml:space="preserve">T-DXd and TPC arms in the </w:t>
      </w:r>
      <w:r w:rsidRPr="00FE1439">
        <w:rPr>
          <w:lang w:val="en-US"/>
        </w:rPr>
        <w:t>HR-</w:t>
      </w:r>
      <w:r>
        <w:rPr>
          <w:lang w:val="en-US"/>
        </w:rPr>
        <w:t>negative cohort</w:t>
      </w:r>
      <w:r w:rsidRPr="00FE1439">
        <w:rPr>
          <w:lang w:val="en-US"/>
        </w:rPr>
        <w:t xml:space="preserve"> in </w:t>
      </w:r>
      <w:r>
        <w:rPr>
          <w:lang w:val="en-US"/>
        </w:rPr>
        <w:t>DESTINY-Breast04</w:t>
      </w:r>
      <w:r>
        <w:rPr>
          <w:lang w:val="en-US"/>
        </w:rPr>
        <w:fldChar w:fldCharType="begin"/>
      </w:r>
      <w:r w:rsidR="00CA6345">
        <w:rPr>
          <w:lang w:val="en-US"/>
        </w:rPr>
        <w:instrText xml:space="preserve"> ADDIN ZOTERO_ITEM CSL_CITATION {"citationID":"ZeTS60Gh","properties":{"formattedCitation":"\\super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Pr>
          <w:lang w:val="en-US"/>
        </w:rPr>
        <w:fldChar w:fldCharType="separate"/>
      </w:r>
      <w:r w:rsidR="00FD57F4" w:rsidRPr="00FD57F4">
        <w:rPr>
          <w:rFonts w:cs="Arial"/>
          <w:szCs w:val="24"/>
          <w:vertAlign w:val="superscript"/>
        </w:rPr>
        <w:t>7</w:t>
      </w:r>
      <w:r>
        <w:rPr>
          <w:lang w:val="en-US"/>
        </w:rPr>
        <w:fldChar w:fldCharType="end"/>
      </w:r>
      <w:r w:rsidRPr="00FE1439">
        <w:rPr>
          <w:lang w:val="en-US"/>
        </w:rPr>
        <w:t xml:space="preserve"> vs. 5</w:t>
      </w:r>
      <w:r>
        <w:rPr>
          <w:lang w:val="en-US"/>
        </w:rPr>
        <w:t xml:space="preserve">5 and </w:t>
      </w:r>
      <w:r w:rsidRPr="00FE1439">
        <w:rPr>
          <w:lang w:val="en-US"/>
        </w:rPr>
        <w:t>5</w:t>
      </w:r>
      <w:r>
        <w:rPr>
          <w:lang w:val="en-US"/>
        </w:rPr>
        <w:t>4</w:t>
      </w:r>
      <w:r w:rsidRPr="00FE1439">
        <w:rPr>
          <w:lang w:val="en-US"/>
        </w:rPr>
        <w:t xml:space="preserve"> </w:t>
      </w:r>
      <w:r>
        <w:rPr>
          <w:lang w:val="en-US"/>
        </w:rPr>
        <w:t xml:space="preserve">years </w:t>
      </w:r>
      <w:r w:rsidRPr="00FE1439">
        <w:rPr>
          <w:lang w:val="en-US"/>
        </w:rPr>
        <w:t xml:space="preserve">for </w:t>
      </w:r>
      <w:r>
        <w:rPr>
          <w:lang w:val="en-US"/>
        </w:rPr>
        <w:t xml:space="preserve">the </w:t>
      </w:r>
      <w:r w:rsidR="00FB23E9">
        <w:rPr>
          <w:lang w:val="en-US"/>
        </w:rPr>
        <w:t>SG</w:t>
      </w:r>
      <w:r>
        <w:rPr>
          <w:lang w:val="en-US"/>
        </w:rPr>
        <w:t xml:space="preserve"> and TPC arms in the </w:t>
      </w:r>
      <w:r w:rsidRPr="00FE1439">
        <w:rPr>
          <w:lang w:val="en-US"/>
        </w:rPr>
        <w:t xml:space="preserve">HER2-low </w:t>
      </w:r>
      <w:r>
        <w:rPr>
          <w:lang w:val="en-US"/>
        </w:rPr>
        <w:t xml:space="preserve">cohort </w:t>
      </w:r>
      <w:r w:rsidRPr="00FE1439">
        <w:rPr>
          <w:lang w:val="en-US"/>
        </w:rPr>
        <w:t>in ASCENT</w:t>
      </w:r>
      <w:r>
        <w:rPr>
          <w:lang w:val="en-US"/>
        </w:rPr>
        <w:fldChar w:fldCharType="begin"/>
      </w:r>
      <w:r w:rsidR="00CA6345">
        <w:rPr>
          <w:lang w:val="en-US"/>
        </w:rPr>
        <w:instrText xml:space="preserve"> ADDIN ZOTERO_ITEM CSL_CITATION {"citationID":"QFOt6LVw","properties":{"formattedCitation":"\\super 154\\nosupersub{}","plainCitation":"154","noteIndex":0},"citationItems":[{"id":66797,"uris":["http://zotero.org/groups/4797619/items/RYJ26GZ9"],"itemData":{"id":66797,"type":"speech","title":"Poster 168P: Sacituzumab Govitecan Efficacy in Patients with Metastatic Triple-Negative Breast Cancer by HER2 Immunohistochemistry Status: Findings from the Phase 3 ASCENT Study. Poster Presented at the European Society for Medical Oncology Breast Cancer Congress – May 3-5, 2022","author":[{"family":"Hurvitz","given":"S"}],"issued":{"date-parts":[["2022",5]]}}}],"schema":"https://github.com/citation-style-language/schema/raw/master/csl-citation.json"} </w:instrText>
      </w:r>
      <w:r>
        <w:rPr>
          <w:lang w:val="en-US"/>
        </w:rPr>
        <w:fldChar w:fldCharType="separate"/>
      </w:r>
      <w:r w:rsidR="00CA6345" w:rsidRPr="00CA6345">
        <w:rPr>
          <w:rFonts w:cs="Arial"/>
          <w:szCs w:val="24"/>
          <w:vertAlign w:val="superscript"/>
        </w:rPr>
        <w:t>154</w:t>
      </w:r>
      <w:r>
        <w:rPr>
          <w:lang w:val="en-US"/>
        </w:rPr>
        <w:fldChar w:fldCharType="end"/>
      </w:r>
      <w:r w:rsidRPr="00FE1439">
        <w:rPr>
          <w:lang w:val="en-US"/>
        </w:rPr>
        <w:t>)</w:t>
      </w:r>
      <w:r>
        <w:rPr>
          <w:lang w:val="en-US"/>
        </w:rPr>
        <w:t>, but the age distributions of each population are unavailable, meaning that it is not possible to explore the effect of age on relative efficacy.</w:t>
      </w:r>
      <w:r w:rsidR="002F0054">
        <w:rPr>
          <w:lang w:val="en-US"/>
        </w:rPr>
        <w:t xml:space="preserve"> A subgroup analysis </w:t>
      </w:r>
      <w:r w:rsidR="00880ABA">
        <w:rPr>
          <w:lang w:val="en-US"/>
        </w:rPr>
        <w:t xml:space="preserve">from ASCENT suggests that age </w:t>
      </w:r>
      <w:r w:rsidR="009D5F7C">
        <w:rPr>
          <w:lang w:val="en-US"/>
        </w:rPr>
        <w:t>may</w:t>
      </w:r>
      <w:r w:rsidR="00880ABA">
        <w:rPr>
          <w:lang w:val="en-US"/>
        </w:rPr>
        <w:t xml:space="preserve"> have a</w:t>
      </w:r>
      <w:r w:rsidR="009D5F7C">
        <w:rPr>
          <w:lang w:val="en-US"/>
        </w:rPr>
        <w:t>n</w:t>
      </w:r>
      <w:r w:rsidR="00880ABA">
        <w:rPr>
          <w:lang w:val="en-US"/>
        </w:rPr>
        <w:t xml:space="preserve"> impact on results</w:t>
      </w:r>
      <w:r w:rsidR="00F239A1">
        <w:rPr>
          <w:lang w:val="en-US"/>
        </w:rPr>
        <w:t>.</w:t>
      </w:r>
      <w:r w:rsidR="006631C7">
        <w:rPr>
          <w:lang w:val="en-US"/>
        </w:rPr>
        <w:t xml:space="preserve"> Without seeing </w:t>
      </w:r>
      <w:r w:rsidR="00314CBF">
        <w:rPr>
          <w:lang w:val="en-US"/>
        </w:rPr>
        <w:t>the whole age distribution, it is difficult to predict exactly how much overlap there is between the age distributions for DESTINY-Breast04 and ASCENT</w:t>
      </w:r>
      <w:r w:rsidR="001D3354">
        <w:rPr>
          <w:lang w:val="en-US"/>
        </w:rPr>
        <w:t xml:space="preserve">, and therefore the effect that age difference is likely to have on the </w:t>
      </w:r>
      <w:r w:rsidR="00034969">
        <w:rPr>
          <w:lang w:val="en-US"/>
        </w:rPr>
        <w:t>HRs</w:t>
      </w:r>
      <w:r w:rsidR="001D3354">
        <w:rPr>
          <w:lang w:val="en-US"/>
        </w:rPr>
        <w:t xml:space="preserve">. </w:t>
      </w:r>
    </w:p>
    <w:p w14:paraId="5A98209D" w14:textId="55009E57" w:rsidR="00582C89" w:rsidRPr="00B94763" w:rsidRDefault="00582C89" w:rsidP="003C648C">
      <w:pPr>
        <w:pStyle w:val="Body"/>
      </w:pPr>
      <w:r>
        <w:rPr>
          <w:lang w:val="en-US"/>
        </w:rPr>
        <w:t xml:space="preserve">Due to differences in reporting </w:t>
      </w:r>
      <w:r w:rsidR="005B5533">
        <w:rPr>
          <w:lang w:val="en-US"/>
        </w:rPr>
        <w:t xml:space="preserve">for the above characteristics, it is not possible to determine whether the populations </w:t>
      </w:r>
      <w:r w:rsidR="00EB560B">
        <w:rPr>
          <w:lang w:val="en-US"/>
        </w:rPr>
        <w:t xml:space="preserve">can be adjusted for these variables. </w:t>
      </w:r>
    </w:p>
    <w:p w14:paraId="3F0CCA2D" w14:textId="30A77D16" w:rsidR="000B148D" w:rsidRPr="00A3237D" w:rsidRDefault="000B148D" w:rsidP="000B148D">
      <w:pPr>
        <w:pStyle w:val="Body"/>
      </w:pPr>
      <w:r>
        <w:lastRenderedPageBreak/>
        <w:t xml:space="preserve">Further to this, ITC methodologies (e.g. </w:t>
      </w:r>
      <w:r w:rsidR="00463287">
        <w:t xml:space="preserve">a </w:t>
      </w:r>
      <w:r>
        <w:t xml:space="preserve">matching-adjusted indirect comparison [MAIC]) </w:t>
      </w:r>
      <w:r w:rsidR="00092D2D">
        <w:t xml:space="preserve">would </w:t>
      </w:r>
      <w:r w:rsidR="00707FED">
        <w:rPr>
          <w:lang w:val="en-US"/>
        </w:rPr>
        <w:t>require</w:t>
      </w:r>
      <w:r w:rsidR="00707FED" w:rsidRPr="00811439">
        <w:rPr>
          <w:lang w:val="en-US"/>
        </w:rPr>
        <w:t xml:space="preserve"> </w:t>
      </w:r>
      <w:r w:rsidRPr="00811439">
        <w:rPr>
          <w:lang w:val="en-US"/>
        </w:rPr>
        <w:t>adjust</w:t>
      </w:r>
      <w:r w:rsidR="00707FED">
        <w:rPr>
          <w:lang w:val="en-US"/>
        </w:rPr>
        <w:t>ment</w:t>
      </w:r>
      <w:r w:rsidRPr="00811439">
        <w:rPr>
          <w:lang w:val="en-US"/>
        </w:rPr>
        <w:t xml:space="preserve"> </w:t>
      </w:r>
      <w:r w:rsidR="00707FED">
        <w:rPr>
          <w:lang w:val="en-US"/>
        </w:rPr>
        <w:t xml:space="preserve">of </w:t>
      </w:r>
      <w:r w:rsidRPr="00811439">
        <w:rPr>
          <w:lang w:val="en-US"/>
        </w:rPr>
        <w:t>the D</w:t>
      </w:r>
      <w:r>
        <w:rPr>
          <w:lang w:val="en-US"/>
        </w:rPr>
        <w:t>ESTINY-</w:t>
      </w:r>
      <w:r w:rsidRPr="00811439">
        <w:rPr>
          <w:lang w:val="en-US"/>
        </w:rPr>
        <w:t>B</w:t>
      </w:r>
      <w:r>
        <w:rPr>
          <w:lang w:val="en-US"/>
        </w:rPr>
        <w:t>reast</w:t>
      </w:r>
      <w:r w:rsidRPr="00811439">
        <w:rPr>
          <w:lang w:val="en-US"/>
        </w:rPr>
        <w:t>04 population to better match the ASCENT population</w:t>
      </w:r>
      <w:r>
        <w:rPr>
          <w:lang w:val="en-US"/>
        </w:rPr>
        <w:t>.</w:t>
      </w:r>
      <w:r w:rsidRPr="00811439">
        <w:rPr>
          <w:lang w:val="en-US"/>
        </w:rPr>
        <w:t xml:space="preserve"> </w:t>
      </w:r>
      <w:r w:rsidR="00463287">
        <w:rPr>
          <w:lang w:val="en-US"/>
        </w:rPr>
        <w:t xml:space="preserve">A </w:t>
      </w:r>
      <w:r>
        <w:rPr>
          <w:lang w:val="en-US"/>
        </w:rPr>
        <w:t xml:space="preserve">MAIC would likely </w:t>
      </w:r>
      <w:r w:rsidR="00FC3FF2">
        <w:rPr>
          <w:lang w:val="en-US"/>
        </w:rPr>
        <w:t xml:space="preserve">result in </w:t>
      </w:r>
      <w:r>
        <w:rPr>
          <w:lang w:val="en-US"/>
        </w:rPr>
        <w:t>an even smaller</w:t>
      </w:r>
      <w:r w:rsidRPr="00811439">
        <w:rPr>
          <w:lang w:val="en-US"/>
        </w:rPr>
        <w:t xml:space="preserve"> effective sample size than the original </w:t>
      </w:r>
      <w:r>
        <w:rPr>
          <w:lang w:val="en-US"/>
        </w:rPr>
        <w:t>population,</w:t>
      </w:r>
      <w:r w:rsidRPr="00811439">
        <w:rPr>
          <w:lang w:val="en-US"/>
        </w:rPr>
        <w:t xml:space="preserve"> </w:t>
      </w:r>
      <w:r>
        <w:rPr>
          <w:lang w:val="en-US"/>
        </w:rPr>
        <w:t>lead</w:t>
      </w:r>
      <w:r w:rsidR="006A01F2">
        <w:rPr>
          <w:lang w:val="en-US"/>
        </w:rPr>
        <w:t>ing</w:t>
      </w:r>
      <w:r>
        <w:rPr>
          <w:lang w:val="en-US"/>
        </w:rPr>
        <w:t xml:space="preserve"> to wide </w:t>
      </w:r>
      <w:r w:rsidR="00463287">
        <w:rPr>
          <w:lang w:val="en-US"/>
        </w:rPr>
        <w:t xml:space="preserve">confidence intervals </w:t>
      </w:r>
      <w:r w:rsidR="00721BAC">
        <w:rPr>
          <w:lang w:val="en-US"/>
        </w:rPr>
        <w:t>and high uncertainty</w:t>
      </w:r>
      <w:r w:rsidRPr="00811439">
        <w:rPr>
          <w:lang w:val="en-US"/>
        </w:rPr>
        <w:t>.</w:t>
      </w:r>
      <w:r>
        <w:rPr>
          <w:lang w:val="en-US"/>
        </w:rPr>
        <w:fldChar w:fldCharType="begin"/>
      </w:r>
      <w:r w:rsidR="00CA6345">
        <w:rPr>
          <w:lang w:val="en-US"/>
        </w:rPr>
        <w:instrText xml:space="preserve"> ADDIN ZOTERO_ITEM CSL_CITATION {"citationID":"Z5gX8PYA","properties":{"formattedCitation":"\\super 147\\nosupersub{}","plainCitation":"147","noteIndex":0},"citationItems":[{"id":66793,"uris":["http://zotero.org/groups/4797619/items/YMS8DM96"],"itemData":{"id":66793,"type":"document","title":"Estima: Feasibility of performing an indirect treatment comparison between ENHERTU® and TRODELVY® in a hormone-receptor negative and HER2-low population. Data on file.","author":[{"family":"Daiichi Sankyo Inc.","given":""}],"issued":{"date-parts":[["2023"]]}}}],"schema":"https://github.com/citation-style-language/schema/raw/master/csl-citation.json"} </w:instrText>
      </w:r>
      <w:r>
        <w:rPr>
          <w:lang w:val="en-US"/>
        </w:rPr>
        <w:fldChar w:fldCharType="separate"/>
      </w:r>
      <w:r w:rsidR="00CA6345" w:rsidRPr="00CA6345">
        <w:rPr>
          <w:rFonts w:cs="Arial"/>
          <w:szCs w:val="24"/>
          <w:vertAlign w:val="superscript"/>
        </w:rPr>
        <w:t>147</w:t>
      </w:r>
      <w:r>
        <w:rPr>
          <w:lang w:val="en-US"/>
        </w:rPr>
        <w:fldChar w:fldCharType="end"/>
      </w:r>
    </w:p>
    <w:p w14:paraId="68B4F8C3" w14:textId="24767AD4" w:rsidR="000B148D" w:rsidRDefault="000B148D" w:rsidP="000B148D">
      <w:pPr>
        <w:pStyle w:val="Body"/>
      </w:pPr>
      <w:r>
        <w:t>A</w:t>
      </w:r>
      <w:r w:rsidDel="001A6D19">
        <w:t xml:space="preserve"> </w:t>
      </w:r>
      <w:r w:rsidR="001A6D19">
        <w:t>second</w:t>
      </w:r>
      <w:r>
        <w:t xml:space="preserve"> feasibility assessment was also performed independently of the analysis summarised above.</w:t>
      </w:r>
      <w:r>
        <w:fldChar w:fldCharType="begin"/>
      </w:r>
      <w:r w:rsidR="00CA6345">
        <w:instrText xml:space="preserve"> ADDIN ZOTERO_ITEM CSL_CITATION {"citationID":"n3yvKKyt","properties":{"formattedCitation":"\\super 148\\nosupersub{}","plainCitation":"148","noteIndex":0},"citationItems":[{"id":66794,"uris":["http://zotero.org/groups/4797619/items/BK9TW82J"],"itemData":{"id":66794,"type":"document","title":"ASc Academics: A feasibility assessment of indirect treatment comparisons with T-DXd in HER2-low unresectable and/or metastatic breast cancer","author":[{"family":"Daiichi Sankyo Inc.","given":""}],"issued":{"date-parts":[["2022"]]}}}],"schema":"https://github.com/citation-style-language/schema/raw/master/csl-citation.json"} </w:instrText>
      </w:r>
      <w:r>
        <w:fldChar w:fldCharType="separate"/>
      </w:r>
      <w:r w:rsidR="00CA6345" w:rsidRPr="00CA6345">
        <w:rPr>
          <w:rFonts w:cs="Arial"/>
          <w:szCs w:val="24"/>
          <w:vertAlign w:val="superscript"/>
        </w:rPr>
        <w:t>148</w:t>
      </w:r>
      <w:r>
        <w:fldChar w:fldCharType="end"/>
      </w:r>
      <w:r>
        <w:t xml:space="preserve"> This independent feasibility assessment also highlighted that an</w:t>
      </w:r>
      <w:r w:rsidR="005F4373">
        <w:t>y</w:t>
      </w:r>
      <w:r>
        <w:t xml:space="preserve"> indirect </w:t>
      </w:r>
      <w:r w:rsidR="005F4373">
        <w:t>comparison</w:t>
      </w:r>
      <w:r w:rsidRPr="004E004F">
        <w:t xml:space="preserve"> between T-DXd and </w:t>
      </w:r>
      <w:r w:rsidR="00FB23E9">
        <w:t>SG</w:t>
      </w:r>
      <w:r>
        <w:t xml:space="preserve"> would be uncertain due to low effective sample sizes and limited reporting of relevant data </w:t>
      </w:r>
      <w:r w:rsidR="00F30EEF">
        <w:t xml:space="preserve">from </w:t>
      </w:r>
      <w:r>
        <w:t>ASCENT.</w:t>
      </w:r>
      <w:r>
        <w:fldChar w:fldCharType="begin"/>
      </w:r>
      <w:r w:rsidR="00CA6345">
        <w:instrText xml:space="preserve"> ADDIN ZOTERO_ITEM CSL_CITATION {"citationID":"7Y46f2ZH","properties":{"formattedCitation":"\\super 148\\nosupersub{}","plainCitation":"148","noteIndex":0},"citationItems":[{"id":66794,"uris":["http://zotero.org/groups/4797619/items/BK9TW82J"],"itemData":{"id":66794,"type":"document","title":"ASc Academics: A feasibility assessment of indirect treatment comparisons with T-DXd in HER2-low unresectable and/or metastatic breast cancer","author":[{"family":"Daiichi Sankyo Inc.","given":""}],"issued":{"date-parts":[["2022"]]}}}],"schema":"https://github.com/citation-style-language/schema/raw/master/csl-citation.json"} </w:instrText>
      </w:r>
      <w:r>
        <w:fldChar w:fldCharType="separate"/>
      </w:r>
      <w:r w:rsidR="00CA6345" w:rsidRPr="00CA6345">
        <w:rPr>
          <w:rFonts w:cs="Arial"/>
          <w:szCs w:val="24"/>
          <w:vertAlign w:val="superscript"/>
        </w:rPr>
        <w:t>148</w:t>
      </w:r>
      <w:r>
        <w:fldChar w:fldCharType="end"/>
      </w:r>
    </w:p>
    <w:p w14:paraId="01B83792" w14:textId="777986D4" w:rsidR="000B148D" w:rsidRPr="00054570" w:rsidRDefault="000B148D" w:rsidP="000B148D">
      <w:pPr>
        <w:pStyle w:val="Body"/>
      </w:pPr>
      <w:r>
        <w:t>The possibility of conducting indirect analyses was also discussed with UK HEOR experts (including ex-NICE Committee and EAG members), who</w:t>
      </w:r>
      <w:r w:rsidRPr="00054570">
        <w:t xml:space="preserve"> </w:t>
      </w:r>
      <w:r>
        <w:t xml:space="preserve">suggested that an ITC with </w:t>
      </w:r>
      <w:r w:rsidR="00FB23E9">
        <w:t>SG</w:t>
      </w:r>
      <w:r>
        <w:t xml:space="preserve"> would be highly uncertain due to small sample sizes and differences in study design and populations</w:t>
      </w:r>
      <w:r w:rsidR="00ED3507">
        <w:t xml:space="preserve"> as well as the limited availability of data from the ASCENT study</w:t>
      </w:r>
      <w:r>
        <w:t>.</w:t>
      </w:r>
      <w:r>
        <w:fldChar w:fldCharType="begin"/>
      </w:r>
      <w:r w:rsidR="00CA6345">
        <w:instrText xml:space="preserve"> ADDIN ZOTERO_ITEM CSL_CITATION {"citationID":"ZZSa3SXE","properties":{"formattedCitation":"\\super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fldChar w:fldCharType="separate"/>
      </w:r>
      <w:r w:rsidR="00CA6345" w:rsidRPr="00CA6345">
        <w:rPr>
          <w:rFonts w:cs="Arial"/>
          <w:szCs w:val="24"/>
          <w:vertAlign w:val="superscript"/>
        </w:rPr>
        <w:t>121</w:t>
      </w:r>
      <w:r>
        <w:fldChar w:fldCharType="end"/>
      </w:r>
      <w:r>
        <w:t xml:space="preserve"> </w:t>
      </w:r>
      <w:r w:rsidR="00AD2DC8">
        <w:t>Following</w:t>
      </w:r>
      <w:r w:rsidR="007D3041">
        <w:t xml:space="preserve"> clinical advice, the</w:t>
      </w:r>
      <w:r w:rsidR="007B6949">
        <w:t xml:space="preserve"> experts </w:t>
      </w:r>
      <w:r w:rsidR="00AD3C03">
        <w:t xml:space="preserve">also advised </w:t>
      </w:r>
      <w:r w:rsidR="007B6949">
        <w:t>that</w:t>
      </w:r>
      <w:r w:rsidR="00AD3C03">
        <w:t xml:space="preserve"> </w:t>
      </w:r>
      <w:r w:rsidR="00C616D3">
        <w:t xml:space="preserve">stratifying </w:t>
      </w:r>
      <w:r w:rsidR="00BA2F66">
        <w:t xml:space="preserve">DESTINY-Breast04 </w:t>
      </w:r>
      <w:r w:rsidR="00C616D3">
        <w:t xml:space="preserve">data </w:t>
      </w:r>
      <w:r w:rsidR="00F60925">
        <w:t>would increase uncertainty and that</w:t>
      </w:r>
      <w:r w:rsidR="00AA57F8">
        <w:t>,</w:t>
      </w:r>
      <w:r w:rsidR="007B6949">
        <w:t xml:space="preserve"> </w:t>
      </w:r>
      <w:r w:rsidR="009A5BA4">
        <w:t>for</w:t>
      </w:r>
      <w:r w:rsidR="00E84391">
        <w:t xml:space="preserve"> decision</w:t>
      </w:r>
      <w:r w:rsidR="00AA57F8">
        <w:t>-</w:t>
      </w:r>
      <w:r w:rsidR="00E84391">
        <w:t>making</w:t>
      </w:r>
      <w:r w:rsidR="00AA57F8">
        <w:t>,</w:t>
      </w:r>
      <w:r w:rsidR="00E84391">
        <w:t xml:space="preserve"> in</w:t>
      </w:r>
      <w:r w:rsidR="009A5BA4">
        <w:t xml:space="preserve"> the</w:t>
      </w:r>
      <w:r w:rsidR="00AD3C03">
        <w:t xml:space="preserve"> full</w:t>
      </w:r>
      <w:r w:rsidR="009A5BA4">
        <w:t xml:space="preserve"> in-scope population</w:t>
      </w:r>
      <w:r w:rsidR="00584BAC">
        <w:t>,</w:t>
      </w:r>
      <w:r w:rsidR="00F60925">
        <w:t xml:space="preserve"> the</w:t>
      </w:r>
      <w:r w:rsidR="009C0277">
        <w:t xml:space="preserve"> FAS is the relevant </w:t>
      </w:r>
      <w:r w:rsidR="00E84391">
        <w:t>dataset and the</w:t>
      </w:r>
      <w:r w:rsidR="00F60925">
        <w:t xml:space="preserve"> TPC arm of DESTINY-Breast04 </w:t>
      </w:r>
      <w:r w:rsidR="00AD3C03">
        <w:t>is the relevant comparator</w:t>
      </w:r>
      <w:r w:rsidR="00E84391">
        <w:t>.</w:t>
      </w:r>
      <w:r w:rsidR="00BE358D">
        <w:fldChar w:fldCharType="begin"/>
      </w:r>
      <w:r w:rsidR="00CA6345">
        <w:instrText xml:space="preserve"> ADDIN ZOTERO_ITEM CSL_CITATION {"citationID":"jEFMI47X","properties":{"formattedCitation":"\\super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00BE358D">
        <w:fldChar w:fldCharType="separate"/>
      </w:r>
      <w:r w:rsidR="00CA6345" w:rsidRPr="00CA6345">
        <w:rPr>
          <w:rFonts w:cs="Arial"/>
          <w:szCs w:val="24"/>
          <w:vertAlign w:val="superscript"/>
        </w:rPr>
        <w:t>121</w:t>
      </w:r>
      <w:r w:rsidR="00BE358D">
        <w:fldChar w:fldCharType="end"/>
      </w:r>
      <w:r w:rsidR="00E84391">
        <w:t xml:space="preserve"> </w:t>
      </w:r>
    </w:p>
    <w:p w14:paraId="133890A4" w14:textId="710BC7C5" w:rsidR="000B148D" w:rsidRDefault="000B148D" w:rsidP="000B148D">
      <w:pPr>
        <w:pStyle w:val="Body"/>
      </w:pPr>
      <w:r>
        <w:t>In conclusion, the company considers a</w:t>
      </w:r>
      <w:r w:rsidR="000C2AA2">
        <w:t>n indirect</w:t>
      </w:r>
      <w:r>
        <w:t xml:space="preserve"> comparison with </w:t>
      </w:r>
      <w:r w:rsidR="00FB23E9">
        <w:t>SG</w:t>
      </w:r>
      <w:r>
        <w:t xml:space="preserve"> </w:t>
      </w:r>
      <w:r w:rsidR="00CB7625">
        <w:t xml:space="preserve">would </w:t>
      </w:r>
      <w:r>
        <w:t>be highly uncertain, and not informative for decision-making</w:t>
      </w:r>
      <w:r w:rsidR="000C2AA2">
        <w:t>.</w:t>
      </w:r>
    </w:p>
    <w:p w14:paraId="629E45F1" w14:textId="77777777" w:rsidR="000B148D" w:rsidRPr="00054570" w:rsidRDefault="000B148D" w:rsidP="000B148D">
      <w:pPr>
        <w:pStyle w:val="Heading2"/>
      </w:pPr>
      <w:bookmarkStart w:id="303" w:name="_Toc129286952"/>
      <w:bookmarkStart w:id="304" w:name="_Toc129301555"/>
      <w:bookmarkStart w:id="305" w:name="_Toc129286953"/>
      <w:bookmarkStart w:id="306" w:name="_Toc129301556"/>
      <w:bookmarkStart w:id="307" w:name="_Toc129286954"/>
      <w:bookmarkStart w:id="308" w:name="_Toc129301557"/>
      <w:bookmarkStart w:id="309" w:name="_Toc129286955"/>
      <w:bookmarkStart w:id="310" w:name="_Toc129301558"/>
      <w:bookmarkStart w:id="311" w:name="_Toc129286956"/>
      <w:bookmarkStart w:id="312" w:name="_Toc129301559"/>
      <w:bookmarkStart w:id="313" w:name="_Toc129286957"/>
      <w:bookmarkStart w:id="314" w:name="_Toc129301560"/>
      <w:bookmarkStart w:id="315" w:name="_Ref99727914"/>
      <w:bookmarkStart w:id="316" w:name="_Toc124447846"/>
      <w:bookmarkStart w:id="317" w:name="_Toc129350873"/>
      <w:bookmarkEnd w:id="303"/>
      <w:bookmarkEnd w:id="304"/>
      <w:bookmarkEnd w:id="305"/>
      <w:bookmarkEnd w:id="306"/>
      <w:bookmarkEnd w:id="307"/>
      <w:bookmarkEnd w:id="308"/>
      <w:bookmarkEnd w:id="309"/>
      <w:bookmarkEnd w:id="310"/>
      <w:bookmarkEnd w:id="311"/>
      <w:bookmarkEnd w:id="312"/>
      <w:bookmarkEnd w:id="313"/>
      <w:bookmarkEnd w:id="314"/>
      <w:r w:rsidRPr="00054570">
        <w:t>Adverse reactions</w:t>
      </w:r>
      <w:bookmarkEnd w:id="315"/>
      <w:bookmarkEnd w:id="316"/>
      <w:bookmarkEnd w:id="317"/>
    </w:p>
    <w:p w14:paraId="6CEE24EF" w14:textId="77777777" w:rsidR="000B148D" w:rsidRPr="00054570" w:rsidRDefault="000B148D" w:rsidP="000B148D">
      <w:pPr>
        <w:pStyle w:val="Body"/>
      </w:pPr>
      <w:bookmarkStart w:id="318" w:name="_Ref99727501"/>
      <w:r w:rsidRPr="00054570">
        <w:t>The safety of T</w:t>
      </w:r>
      <w:r w:rsidRPr="00054570">
        <w:noBreakHyphen/>
        <w:t>DXd in patients with HER2-low u/mBC, previously treated with one or two lines of chemotherapy in the recurrent or metastatic setting, was evaluated in the DESTINY-Breast04 study, as presented below.</w:t>
      </w:r>
    </w:p>
    <w:p w14:paraId="070BE4BB" w14:textId="77777777" w:rsidR="000B148D" w:rsidRPr="00054570" w:rsidRDefault="000B148D" w:rsidP="000B148D">
      <w:pPr>
        <w:pStyle w:val="Heading3"/>
      </w:pPr>
      <w:bookmarkStart w:id="319" w:name="_Toc124447847"/>
      <w:bookmarkStart w:id="320" w:name="_Ref127007952"/>
      <w:bookmarkStart w:id="321" w:name="_Toc129350874"/>
      <w:r w:rsidRPr="00054570">
        <w:t>DESTINY-Breast04</w:t>
      </w:r>
      <w:bookmarkEnd w:id="318"/>
      <w:bookmarkEnd w:id="319"/>
      <w:bookmarkEnd w:id="320"/>
      <w:bookmarkEnd w:id="321"/>
    </w:p>
    <w:p w14:paraId="6E528FCE" w14:textId="1D86934A" w:rsidR="000B148D" w:rsidRPr="00054570" w:rsidRDefault="000B148D" w:rsidP="000B148D">
      <w:pPr>
        <w:pStyle w:val="Body"/>
        <w:rPr>
          <w:rStyle w:val="normaltextrun"/>
          <w:rFonts w:cs="Yu Gothic Light"/>
          <w:shd w:val="clear" w:color="auto" w:fill="FFFFFF"/>
        </w:rPr>
      </w:pPr>
      <w:r w:rsidRPr="00054570">
        <w:t xml:space="preserve">The data presented from the DESTINY-Breast04 study are from the January 2022 DCO, with a median follow-up of </w:t>
      </w:r>
      <w:r w:rsidR="00294FDC" w:rsidRPr="00294FDC">
        <w:rPr>
          <w:color w:val="000000"/>
          <w:highlight w:val="black"/>
        </w:rPr>
        <w:t>xxxx</w:t>
      </w:r>
      <w:r w:rsidRPr="00054570">
        <w:t> months in the T</w:t>
      </w:r>
      <w:r w:rsidRPr="00054570">
        <w:noBreakHyphen/>
        <w:t xml:space="preserve">DXd arm and </w:t>
      </w:r>
      <w:r w:rsidR="00294FDC" w:rsidRPr="00294FDC">
        <w:rPr>
          <w:color w:val="000000"/>
          <w:highlight w:val="black"/>
        </w:rPr>
        <w:t>xxxx</w:t>
      </w:r>
      <w:r w:rsidRPr="00054570">
        <w:t> months in the TPC arm.</w:t>
      </w:r>
      <w:r w:rsidRPr="00054570">
        <w:fldChar w:fldCharType="begin"/>
      </w:r>
      <w:r w:rsidR="00CA6345">
        <w:instrText xml:space="preserve"> ADDIN ZOTERO_ITEM CSL_CITATION {"citationID":"hbWvo8zc","properties":{"formattedCitation":"\\super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r w:rsidRPr="00054570">
        <w:t xml:space="preserve"> TEAEs were categorised with the use of the Medical Dictionary for Regulatory Activities (MedDRA, </w:t>
      </w:r>
      <w:r w:rsidR="00E6301D">
        <w:t>V</w:t>
      </w:r>
      <w:r w:rsidR="00E6301D" w:rsidRPr="00054570">
        <w:t xml:space="preserve">ersion </w:t>
      </w:r>
      <w:r w:rsidRPr="00054570">
        <w:t>2</w:t>
      </w:r>
      <w:r w:rsidR="005244B3">
        <w:t>4</w:t>
      </w:r>
      <w:r w:rsidRPr="00054570">
        <w:t>.0</w:t>
      </w:r>
      <w:r w:rsidR="00E6301D">
        <w:t>)</w:t>
      </w:r>
      <w:r w:rsidRPr="00054570">
        <w:t xml:space="preserve">, and graded according to the </w:t>
      </w:r>
      <w:r w:rsidRPr="00054570">
        <w:rPr>
          <w:rStyle w:val="normaltextrun"/>
          <w:rFonts w:cs="Yu Gothic Light"/>
          <w:shd w:val="clear" w:color="auto" w:fill="FFFFFF"/>
        </w:rPr>
        <w:t xml:space="preserve">National Cancer Institute (NCI) Common Terminology Criteria for Adverse Events (CTCAE), version 5.0. Potential episodes of </w:t>
      </w:r>
      <w:r w:rsidR="009B1DA0" w:rsidRPr="005D58CB">
        <w:t>interstitial lung disease</w:t>
      </w:r>
      <w:r w:rsidRPr="00054570">
        <w:rPr>
          <w:rStyle w:val="normaltextrun"/>
          <w:rFonts w:cs="Yu Gothic Light"/>
          <w:shd w:val="clear" w:color="auto" w:fill="FFFFFF"/>
        </w:rPr>
        <w:t xml:space="preserve"> </w:t>
      </w:r>
      <w:r w:rsidR="009B1DA0">
        <w:rPr>
          <w:rStyle w:val="normaltextrun"/>
          <w:rFonts w:cs="Yu Gothic Light"/>
          <w:shd w:val="clear" w:color="auto" w:fill="FFFFFF"/>
        </w:rPr>
        <w:t>(</w:t>
      </w:r>
      <w:r w:rsidRPr="00054570">
        <w:rPr>
          <w:rStyle w:val="normaltextrun"/>
          <w:rFonts w:cs="Yu Gothic Light"/>
          <w:shd w:val="clear" w:color="auto" w:fill="FFFFFF"/>
        </w:rPr>
        <w:t>ILD</w:t>
      </w:r>
      <w:r w:rsidR="009B1DA0">
        <w:rPr>
          <w:rStyle w:val="normaltextrun"/>
          <w:rFonts w:cs="Yu Gothic Light"/>
          <w:shd w:val="clear" w:color="auto" w:fill="FFFFFF"/>
        </w:rPr>
        <w:t>)</w:t>
      </w:r>
      <w:r w:rsidRPr="00054570">
        <w:rPr>
          <w:rStyle w:val="normaltextrun"/>
          <w:rFonts w:cs="Yu Gothic Light"/>
          <w:shd w:val="clear" w:color="auto" w:fill="FFFFFF"/>
        </w:rPr>
        <w:t>, an AE of special interest, were evaluated by an external independent adjudication committee, and grading was consistent with the NCI CTCAE version 5.0. Safety analyses were performed on the SAS.</w:t>
      </w:r>
    </w:p>
    <w:p w14:paraId="7063C2AD" w14:textId="03D6687C" w:rsidR="000B148D" w:rsidRPr="00054570" w:rsidRDefault="000B148D" w:rsidP="000B148D">
      <w:pPr>
        <w:pStyle w:val="Body"/>
      </w:pPr>
      <w:r w:rsidRPr="00054570">
        <w:t>In general, T</w:t>
      </w:r>
      <w:r w:rsidRPr="00054570">
        <w:noBreakHyphen/>
        <w:t>DXd had a safety profile similar to that observed in previous studies of T</w:t>
      </w:r>
      <w:r w:rsidRPr="00054570">
        <w:noBreakHyphen/>
        <w:t>DXd, with no new A</w:t>
      </w:r>
      <w:r w:rsidR="00BA159F" w:rsidRPr="00054570">
        <w:t>e</w:t>
      </w:r>
      <w:r w:rsidRPr="00054570">
        <w:t>s of concern identified in DESTINY-Breast04.</w:t>
      </w:r>
      <w:r w:rsidRPr="00054570">
        <w:fldChar w:fldCharType="begin"/>
      </w:r>
      <w:r w:rsidR="00CA6345">
        <w:instrText xml:space="preserve"> ADDIN ZOTERO_ITEM CSL_CITATION {"citationID":"RVyDI1nO","properties":{"formattedCitation":"\\super 6, 20,68\\nosupersub{}","plainCitation":"6, 20,68","noteIndex":0},"citationItems":[{"id":66153,"uris":["http://zotero.org/groups/4797619/items/DIMCLQBB"],"itemData":{"id":66153,"type":"article-journal","container-title":"New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A."}],"issued":{"date-parts":[["2022",7,7]]}}},{"id":66397,"uris":["http://zotero.org/groups/4797619/items/ID7JDCSX"],"itemData":{"id":66397,"type":"article-journal","abstract":"BACKGROUND: Trastuzumab emtansine is the current standard treatment for patients with human epidermal growth factor receptor 2 (HER2)-positive metastatic breast cancer whose disease progresses after treatment with a combination of anti-HER2 antibodies and a taxane.\nMETHODS: We conducted a phase 3, multicenter, open-label, randomized trial to compare the efficacy and safety of trastuzumab deruxtecan (a HER2 antibody-drug conjugate) with those of trastuzumab emtansine in patients with HER2-positive metastatic breast cancer previously treated with trastuzumab and a taxane. The primary end point was progression-free survival (as determined by blinded independent central review); secondary end points included overall survival, objective response, and safety.\nRESULTS: Among 524 randomly assigned patients, the percentage of those who were alive without disease progression at 12 months was 75.8% (95% confidence interval [CI], 69.8 to 80.7) with trastuzumab deruxtecan and 34.1% (95% CI, 27.7 to 40.5) with trastuzumab emtansine (hazard ratio for progression or death from any cause, 0.28; 95% CI, 0.22 to 0.37; P&lt;0.001). The percentage of patients who were alive at 12 months was 94.1% (95% CI, 90.3 to 96.4) with trastuzumab deruxtecan and 85.9% (95% CI, 80.9 to 89.7) with trastuzumab emtansine (hazard ratio for death, 0.55; 95% CI, 0.36 to 0.86; prespecified significance boundary not reached). An overall response (a complete or partial response) occurred in 79.7% (95% CI, 74.3 to 84.4) of the patients who received trastuzumab deruxtecan and in 34.2% (95% CI, 28.5 to 40.3) of those who received trastuzumab emtansine. The incidence of drug-related adverse events of any grade was 98.1% with trastuzumab deruxtecan and 86.6% with trastuzumab emtansine, and the incidence of drug-related adverse events of grade 3 or 4 was 45.1% and 39.8%, respectively. Adjudicated drug-related interstitial lung disease or pneumonitis occurred in 10.5% of the patients in the trastuzumab deruxtecan group and in 1.9% of those in the trastuzumab emtansine group; none of these events were of grade 4 or 5.\nCONCLUSIONS: Among patients with HER2-positive metastatic breast cancer previously treated with trastuzumab and a taxane, the risk of disease progression or death was lower among those who received trastuzumab deruxtecan than among those who received trastuzumab emtansine. Treatment with trastuzumab deruxtecan was associated with interstitial lung disease and pneumonitis. (Funded by Daiichi Sankyo and AstraZeneca; DESTINY-Breast03 ClinicalTrials.gov number, NCT03529110.).","container-title":"The New England Journal of Medicine","DOI":"10.1056/NEJMoa2115022","ISSN":"1533-4406","issue":"12","journalAbbreviation":"N Engl J Med","language":"eng","note":"PMID: 35320644","page":"1143-1154","source":"PubMed","title":"Trastuzumab Deruxtecan versus Trastuzumab Emtansine for Breast Cancer","volume":"386","author":[{"family":"Cortés","given":"Javier"},{"family":"Kim","given":"Sung-Bae"},{"family":"Chung","given":"Wei-Pang"},{"family":"Im","given":"Seock-Ah"},{"family":"Park","given":"Yeon Hee"},{"family":"Hegg","given":"Roberto"},{"family":"Kim","given":"Min Hwan"},{"family":"Tseng","given":"Ling-Ming"},{"family":"Petry","given":"Vanessa"},{"family":"Chung","given":"Chi-Feng"},{"family":"Iwata","given":"Hiroji"},{"family":"Hamilton","given":"Erika"},{"family":"Curigliano","given":"Giuseppe"},{"family":"Xu","given":"Binghe"},{"family":"Huang","given":"Chiun-Sheng"},{"family":"Kim","given":"Jee Hyun"},{"family":"Chiu","given":"Joanne W. Y."},{"family":"Pedrini","given":"Jose Luiz"},{"family":"Lee","given":"Caleb"},{"family":"Liu","given":"Yali"},{"family":"Cathcart","given":"Jillian"},{"family":"Bako","given":"Emarjola"},{"family":"Verma","given":"Sunil"},{"family":"Hurvitz","given":"Sara A."},{"literal":"DESTINY-Breast03 Trial Investigators"}],"issued":{"date-parts":[["2022",3,24]]}}},{"id":65848,"uris":["http://zotero.org/groups/4797619/items/XCBQ3YJP"],"itemData":{"id":65848,"type":"article-journal","abstract":"This is a summary of the article discussing the results of the DESTINY-Breast01 study originally published in the New England Journal of Medicine. The DESTINY-Breast01 study is a clinical study in participants with a type of breast cancer called HER2-positive breast cancer. The participants in the study received a treatment called trastuzumab deruxtecan, also known as T-DXd. The purpose of this summary is to help you understand the results of the DESTINY-Breast01 study. T-DXd is currently available as a treatment for adults with HER2-positive breast cancer that cannot be removed by surgery, also called unresectable, or that has spread, also called metastatic. In the DESTINY-Breast01 study, all the participants had HER2-positive breast cancer that was metastatic or unresectable. All participants were required to have had previous treatment for their HER2-positive breast cancer with another treatment, called trastuzumab emtansine or T-DM1. All the participants received T-DXd every 3 weeks. Part 1 was done to learn how T-DXd acted in the body, and to choose a dose to give to all the participants in Part 2. In Part 2, 184 participants received T-DXd at 5.4 mg/kg and the results showed that T-DXd reduced tumor growth. Up to 60.9% of the participants had their tumors shrink or disappear, with a treatment response that lasted for nearly 15 months on average. The participants lived with their cancer for around 16 months before it got worse. During the study, 183 out of 184 participants had side effects, known as adverse events. The most common adverse event was nausea. There were 42 participants (22.8%) who had serious adverse events, including lung toxicity. These results suggest that T-DXd could be a treatment option for people with metastatic HER2-positive breast cancer who have already been treated with T-DM1. Additional studies will provide more information and results about T-DXd. ClinicalTrials.gov NCT number: NCT03248492. To read the full Plain Language Summary of this article, click on the View Article button above and download the PDF. Link to original article here.","container-title":"Future Oncology (London, England)","DOI":"10.2217/fon-2021-0427","ISSN":"1744-8301","issue":"26","journalAbbreviation":"Future Oncol","language":"eng","note":"PMID: 34263665","page":"3415-3423","source":"PubMed","title":"Trastuzumab deruxtecan in previously treated HER2-positive metastatic breast cancer: Plain language summary of the DESTINY-Breast01 study","title-short":"Trastuzumab deruxtecan in previously treated HER2-positive metastatic breast cancer","volume":"17","author":[{"family":"Modi","given":"Shanu"}],"issued":{"date-parts":[["2021",9,1]]}}}],"schema":"https://github.com/citation-style-language/schema/raw/master/csl-citation.json"} </w:instrText>
      </w:r>
      <w:r w:rsidRPr="00054570">
        <w:fldChar w:fldCharType="separate"/>
      </w:r>
      <w:r w:rsidR="00FD57F4" w:rsidRPr="00FD57F4">
        <w:rPr>
          <w:rFonts w:cs="Arial"/>
          <w:szCs w:val="24"/>
          <w:vertAlign w:val="superscript"/>
        </w:rPr>
        <w:t>6, 20,68</w:t>
      </w:r>
      <w:r w:rsidRPr="00054570">
        <w:fldChar w:fldCharType="end"/>
      </w:r>
      <w:r w:rsidRPr="00054570">
        <w:fldChar w:fldCharType="begin">
          <w:fldData xml:space="preserve">PEVuZE5vdGU+PENpdGU+PEF1dGhvcj5UYW11cmE8L0F1dGhvcj48WWVhcj4yMDE5PC9ZZWFyPjxS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</w:fldData>
        </w:fldChar>
      </w:r>
      <w:r w:rsidRPr="00054570">
        <w:instrText xml:space="preserve"> ADDIN EN.CITE </w:instrText>
      </w:r>
      <w:r w:rsidRPr="00054570">
        <w:fldChar w:fldCharType="begin">
          <w:fldData xml:space="preserve">PEVuZE5vdGU+PENpdGU+PEF1dGhvcj5UYW11cmE8L0F1dGhvcj48WWVhcj4yMDE5PC9ZZWFyPjxS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</w:fldData>
        </w:fldChar>
      </w:r>
      <w:r w:rsidRPr="00054570">
        <w:instrText xml:space="preserve"> ADDIN EN.CITE.DATA </w:instrText>
      </w:r>
      <w:r w:rsidRPr="00054570">
        <w:fldChar w:fldCharType="end"/>
      </w:r>
      <w:r w:rsidRPr="00054570">
        <w:fldChar w:fldCharType="separate"/>
      </w:r>
      <w:r w:rsidRPr="00054570">
        <w:fldChar w:fldCharType="end"/>
      </w:r>
    </w:p>
    <w:p w14:paraId="3E3055F7" w14:textId="77777777" w:rsidR="000B148D" w:rsidRPr="00054570" w:rsidRDefault="000B148D" w:rsidP="003C648C">
      <w:pPr>
        <w:pStyle w:val="Heading4"/>
      </w:pPr>
      <w:r w:rsidRPr="00054570">
        <w:t>Exposure to T-DXd</w:t>
      </w:r>
    </w:p>
    <w:p w14:paraId="5F5ECCF4" w14:textId="30E2C87C" w:rsidR="000B148D" w:rsidRPr="00054570" w:rsidRDefault="000B148D" w:rsidP="000B148D">
      <w:pPr>
        <w:pStyle w:val="Body"/>
      </w:pPr>
      <w:r w:rsidRPr="00054570">
        <w:t xml:space="preserve">At DCO (Jan 2022), the median treatment duration was 8.2 months (range: 0.2–33.3) for </w:t>
      </w:r>
      <w:r w:rsidR="6D69CA61" w:rsidRPr="00054570">
        <w:t>TDXd</w:t>
      </w:r>
      <w:r w:rsidR="6D69CA61" w:rsidRPr="00054570">
        <w:noBreakHyphen/>
      </w:r>
      <w:r w:rsidRPr="00054570">
        <w:t xml:space="preserve"> and 3.5 months (range: 0.3–17.6) for TPC (</w:t>
      </w:r>
      <w:r w:rsidRPr="005459D1">
        <w:rPr>
          <w:b/>
          <w:bCs/>
        </w:rPr>
        <w:fldChar w:fldCharType="begin"/>
      </w:r>
      <w:r w:rsidRPr="005459D1">
        <w:rPr>
          <w:b/>
          <w:bCs/>
        </w:rPr>
        <w:instrText xml:space="preserve"> REF _Ref89420464 \h </w:instrText>
      </w:r>
      <w:r>
        <w:rPr>
          <w:b/>
          <w:bCs/>
        </w:rPr>
        <w:instrText xml:space="preserve"> \* MERGEFORMAT </w:instrText>
      </w:r>
      <w:r w:rsidRPr="005459D1">
        <w:rPr>
          <w:b/>
          <w:bCs/>
        </w:rPr>
      </w:r>
      <w:r w:rsidRPr="005459D1">
        <w:rPr>
          <w:b/>
          <w:bCs/>
        </w:rPr>
        <w:fldChar w:fldCharType="separate"/>
      </w:r>
      <w:r w:rsidR="00145F42" w:rsidRPr="00145F42">
        <w:rPr>
          <w:b/>
          <w:bCs/>
        </w:rPr>
        <w:t xml:space="preserve">Table </w:t>
      </w:r>
      <w:r w:rsidR="00145F42" w:rsidRPr="00145F42">
        <w:rPr>
          <w:b/>
          <w:bCs/>
          <w:noProof/>
        </w:rPr>
        <w:t>22</w:t>
      </w:r>
      <w:r w:rsidRPr="005459D1">
        <w:rPr>
          <w:b/>
          <w:bCs/>
        </w:rPr>
        <w:fldChar w:fldCharType="end"/>
      </w:r>
      <w:r w:rsidR="6D69CA61" w:rsidRPr="00054570">
        <w:t>).</w:t>
      </w:r>
      <w:r>
        <w:fldChar w:fldCharType="begin"/>
      </w:r>
      <w:r w:rsidR="00CA6345">
        <w:instrText xml:space="preserve"> ADDIN ZOTERO_ITEM CSL_CITATION {"citationID":"037rCSUw","properties":{"formattedCitation":"\\super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6D69CA61" w:rsidRPr="00054570">
        <w:t xml:space="preserve"> </w:t>
      </w:r>
      <w:r w:rsidR="6D69CA61" w:rsidRPr="00054570">
        <w:rPr>
          <w:rStyle w:val="normaltextrun"/>
          <w:rFonts w:cs="Yu Gothic Light"/>
          <w:shd w:val="clear" w:color="auto" w:fill="FFFFFF"/>
        </w:rPr>
        <w:t>The mean study dose</w:t>
      </w:r>
      <w:bookmarkStart w:id="322" w:name="_Ref95226660"/>
      <w:r w:rsidR="6D69CA61" w:rsidRPr="00054570">
        <w:rPr>
          <w:rStyle w:val="normaltextrun"/>
          <w:rFonts w:cs="Yu Gothic Light"/>
          <w:shd w:val="clear" w:color="auto" w:fill="FFFFFF"/>
        </w:rPr>
        <w:t xml:space="preserve"> intensity</w:t>
      </w:r>
      <w:bookmarkEnd w:id="322"/>
      <w:r w:rsidR="6D69CA61" w:rsidRPr="00054570">
        <w:rPr>
          <w:rStyle w:val="normaltextrun"/>
          <w:rFonts w:cs="Yu Gothic Light"/>
          <w:shd w:val="clear" w:color="auto" w:fill="FFFFFF"/>
        </w:rPr>
        <w:t xml:space="preserve"> was </w:t>
      </w:r>
      <w:r w:rsidR="00294FDC" w:rsidRPr="00294FDC">
        <w:rPr>
          <w:rStyle w:val="normaltextrun"/>
          <w:rFonts w:cs="Yu Gothic Light"/>
          <w:color w:val="000000"/>
          <w:highlight w:val="black"/>
          <w:shd w:val="clear" w:color="auto" w:fill="FFFFFF"/>
        </w:rPr>
        <w:t>xxx</w:t>
      </w:r>
      <w:r w:rsidR="6D69CA61" w:rsidRPr="00054570">
        <w:rPr>
          <w:rStyle w:val="normaltextrun"/>
          <w:rFonts w:cs="Yu Gothic Light"/>
          <w:shd w:val="clear" w:color="auto" w:fill="FFFFFF"/>
        </w:rPr>
        <w:t> mg/kg/3 weeks</w:t>
      </w:r>
      <w:r w:rsidRPr="002612F7">
        <w:rPr>
          <w:rStyle w:val="FootnoteReference"/>
        </w:rPr>
        <w:footnoteReference w:id="12"/>
      </w:r>
      <w:r w:rsidR="6D69CA61" w:rsidRPr="00054570">
        <w:rPr>
          <w:rStyle w:val="normaltextrun"/>
          <w:rFonts w:cs="Yu Gothic Light"/>
          <w:shd w:val="clear" w:color="auto" w:fill="FFFFFF"/>
        </w:rPr>
        <w:t xml:space="preserve"> in the TDXd</w:t>
      </w:r>
      <w:r w:rsidR="6D69CA61" w:rsidRPr="00054570">
        <w:rPr>
          <w:rStyle w:val="normaltextrun"/>
          <w:rFonts w:cs="Yu Gothic Light"/>
          <w:shd w:val="clear" w:color="auto" w:fill="FFFFFF"/>
        </w:rPr>
        <w:noBreakHyphen/>
        <w:t xml:space="preserve"> arm. </w:t>
      </w:r>
      <w:r w:rsidR="6D69CA61" w:rsidRPr="0025519B">
        <w:rPr>
          <w:rStyle w:val="normaltextrun"/>
          <w:rFonts w:cs="Yu Gothic Light"/>
          <w:shd w:val="clear" w:color="auto" w:fill="FFFFFF"/>
        </w:rPr>
        <w:t>The mean relative dose intensity (RDI</w:t>
      </w:r>
      <w:r w:rsidRPr="0025519B">
        <w:rPr>
          <w:rStyle w:val="normaltextrun"/>
          <w:rFonts w:cs="Yu Gothic Light"/>
          <w:shd w:val="clear" w:color="auto" w:fill="FFFFFF"/>
        </w:rPr>
        <w:t xml:space="preserve">) </w:t>
      </w:r>
      <w:r w:rsidRPr="0025519B">
        <w:rPr>
          <w:rStyle w:val="normaltextrun"/>
          <w:rFonts w:cs="Yu Gothic Light"/>
          <w:shd w:val="clear" w:color="auto" w:fill="FFFFFF"/>
        </w:rPr>
        <w:lastRenderedPageBreak/>
        <w:t>was</w:t>
      </w:r>
      <w:r w:rsidRPr="00054570">
        <w:rPr>
          <w:rStyle w:val="normaltextrun"/>
          <w:rFonts w:cs="Yu Gothic Light"/>
          <w:shd w:val="clear" w:color="auto" w:fill="FFFFFF"/>
        </w:rPr>
        <w:t xml:space="preserve"> </w:t>
      </w:r>
      <w:r w:rsidR="00F77ABC" w:rsidRPr="00F77ABC">
        <w:rPr>
          <w:rStyle w:val="normaltextrun"/>
          <w:rFonts w:cs="Yu Gothic Light"/>
          <w:color w:val="000000"/>
          <w:highlight w:val="black"/>
          <w:shd w:val="clear" w:color="auto" w:fill="FFFFFF"/>
        </w:rPr>
        <w:t>xxxx</w:t>
      </w:r>
      <w:r w:rsidRPr="00054570">
        <w:rPr>
          <w:rStyle w:val="normaltextrun"/>
          <w:rFonts w:cs="Yu Gothic Light"/>
          <w:shd w:val="clear" w:color="auto" w:fill="FFFFFF"/>
        </w:rPr>
        <w:t xml:space="preserve">% in the </w:t>
      </w:r>
      <w:r w:rsidR="6D69CA61" w:rsidRPr="00054570">
        <w:rPr>
          <w:rStyle w:val="normaltextrun"/>
          <w:rFonts w:cs="Yu Gothic Light"/>
          <w:shd w:val="clear" w:color="auto" w:fill="FFFFFF"/>
        </w:rPr>
        <w:t>TDXd</w:t>
      </w:r>
      <w:r w:rsidR="6D69CA61" w:rsidRPr="00054570">
        <w:rPr>
          <w:rStyle w:val="normaltextrun"/>
          <w:rFonts w:cs="Yu Gothic Light"/>
          <w:shd w:val="clear" w:color="auto" w:fill="FFFFFF"/>
        </w:rPr>
        <w:noBreakHyphen/>
      </w:r>
      <w:r w:rsidRPr="00054570">
        <w:rPr>
          <w:rStyle w:val="normaltextrun"/>
          <w:rFonts w:cs="Yu Gothic Light"/>
          <w:shd w:val="clear" w:color="auto" w:fill="FFFFFF"/>
        </w:rPr>
        <w:t xml:space="preserve"> </w:t>
      </w:r>
      <w:r w:rsidRPr="0055239C">
        <w:rPr>
          <w:rStyle w:val="normaltextrun"/>
          <w:rFonts w:cs="Yu Gothic Light"/>
          <w:shd w:val="clear" w:color="auto" w:fill="FFFFFF"/>
        </w:rPr>
        <w:t>arm</w:t>
      </w:r>
      <w:r w:rsidRPr="002612F7">
        <w:rPr>
          <w:rStyle w:val="FootnoteReference"/>
        </w:rPr>
        <w:footnoteReference w:id="13"/>
      </w:r>
      <w:r w:rsidRPr="0055239C">
        <w:rPr>
          <w:rStyle w:val="normaltextrun"/>
          <w:rFonts w:cs="Yu Gothic Light"/>
          <w:shd w:val="clear" w:color="auto" w:fill="FFFFFF"/>
        </w:rPr>
        <w:t xml:space="preserve"> and ranged from </w:t>
      </w:r>
      <w:r w:rsidR="00F77ABC" w:rsidRPr="00F77ABC">
        <w:rPr>
          <w:rStyle w:val="normaltextrun"/>
          <w:rFonts w:cs="Yu Gothic Light"/>
          <w:color w:val="000000"/>
          <w:highlight w:val="black"/>
          <w:shd w:val="clear" w:color="auto" w:fill="FFFFFF"/>
        </w:rPr>
        <w:t>xxxx</w:t>
      </w:r>
      <w:r w:rsidRPr="0055239C">
        <w:rPr>
          <w:rStyle w:val="normaltextrun"/>
          <w:rFonts w:cs="Yu Gothic Light"/>
          <w:shd w:val="clear" w:color="auto" w:fill="FFFFFF"/>
        </w:rPr>
        <w:t>–</w:t>
      </w:r>
      <w:r w:rsidR="00F77ABC" w:rsidRPr="00F77ABC">
        <w:rPr>
          <w:rStyle w:val="normaltextrun"/>
          <w:rFonts w:cs="Yu Gothic Light"/>
          <w:color w:val="000000"/>
          <w:highlight w:val="black"/>
          <w:shd w:val="clear" w:color="auto" w:fill="FFFFFF"/>
        </w:rPr>
        <w:t>xxxx</w:t>
      </w:r>
      <w:r w:rsidRPr="0055239C">
        <w:rPr>
          <w:rStyle w:val="normaltextrun"/>
          <w:rFonts w:cs="Yu Gothic Light"/>
          <w:shd w:val="clear" w:color="auto" w:fill="FFFFFF"/>
        </w:rPr>
        <w:t xml:space="preserve">% </w:t>
      </w:r>
      <w:r>
        <w:rPr>
          <w:rStyle w:val="normaltextrun"/>
          <w:rFonts w:cs="Yu Gothic Light"/>
          <w:shd w:val="clear" w:color="auto" w:fill="FFFFFF"/>
        </w:rPr>
        <w:t xml:space="preserve">for the agents </w:t>
      </w:r>
      <w:r w:rsidRPr="0055239C">
        <w:rPr>
          <w:rStyle w:val="normaltextrun"/>
          <w:rFonts w:cs="Yu Gothic Light"/>
          <w:shd w:val="clear" w:color="auto" w:fill="FFFFFF"/>
        </w:rPr>
        <w:t>in the TPC arm</w:t>
      </w:r>
      <w:r w:rsidRPr="002612F7">
        <w:rPr>
          <w:rStyle w:val="FootnoteReference"/>
        </w:rPr>
        <w:footnoteReference w:id="14"/>
      </w:r>
      <w:r w:rsidRPr="0055239C">
        <w:rPr>
          <w:rStyle w:val="normaltextrun"/>
          <w:rFonts w:cs="Yu Gothic Light"/>
          <w:shd w:val="clear" w:color="auto" w:fill="FFFFFF"/>
        </w:rPr>
        <w:t xml:space="preserve"> </w:t>
      </w:r>
      <w:r w:rsidRPr="0055239C">
        <w:t>(</w:t>
      </w:r>
      <w:r w:rsidRPr="0055239C">
        <w:rPr>
          <w:b/>
        </w:rPr>
        <w:fldChar w:fldCharType="begin"/>
      </w:r>
      <w:r w:rsidRPr="0055239C">
        <w:rPr>
          <w:b/>
        </w:rPr>
        <w:instrText xml:space="preserve"> REF _Ref89420464 \h  \* MERGEFORMAT </w:instrText>
      </w:r>
      <w:r w:rsidRPr="0055239C">
        <w:rPr>
          <w:b/>
        </w:rPr>
      </w:r>
      <w:r w:rsidRPr="0055239C">
        <w:rPr>
          <w:b/>
        </w:rPr>
        <w:fldChar w:fldCharType="separate"/>
      </w:r>
      <w:r w:rsidR="00145F42" w:rsidRPr="00145F42">
        <w:rPr>
          <w:b/>
        </w:rPr>
        <w:t>Table 22</w:t>
      </w:r>
      <w:r w:rsidRPr="0055239C">
        <w:rPr>
          <w:b/>
        </w:rPr>
        <w:fldChar w:fldCharType="end"/>
      </w:r>
      <w:r w:rsidRPr="0055239C">
        <w:t>).</w:t>
      </w:r>
      <w:r w:rsidRPr="0055239C">
        <w:fldChar w:fldCharType="begin"/>
      </w:r>
      <w:r w:rsidR="00CA6345">
        <w:instrText xml:space="preserve"> ADDIN ZOTERO_ITEM CSL_CITATION {"citationID":"E7v21Pzu","properties":{"formattedCitation":"\\super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55239C">
        <w:fldChar w:fldCharType="separate"/>
      </w:r>
      <w:r w:rsidR="00FD57F4" w:rsidRPr="00FD57F4">
        <w:rPr>
          <w:rFonts w:cs="Arial"/>
          <w:szCs w:val="24"/>
          <w:vertAlign w:val="superscript"/>
        </w:rPr>
        <w:t>7</w:t>
      </w:r>
      <w:r w:rsidRPr="0055239C">
        <w:fldChar w:fldCharType="end"/>
      </w:r>
      <w:r w:rsidR="6D69CA61" w:rsidRPr="0055239C">
        <w:t xml:space="preserve"> </w:t>
      </w:r>
      <w:r w:rsidR="6D69CA61" w:rsidRPr="00054570">
        <w:rPr>
          <w:rStyle w:val="normaltextrun"/>
          <w:rFonts w:cs="Yu Gothic Light"/>
          <w:shd w:val="clear" w:color="auto" w:fill="FFFFFF"/>
        </w:rPr>
        <w:t xml:space="preserve"> </w:t>
      </w:r>
    </w:p>
    <w:p w14:paraId="67A76283" w14:textId="79FB4ABB" w:rsidR="000B148D" w:rsidRDefault="000B148D" w:rsidP="00BF626D">
      <w:pPr>
        <w:pStyle w:val="Body"/>
      </w:pPr>
      <w:r w:rsidRPr="00054570">
        <w:t>At DCO, 58 patients (15.6%) in the T</w:t>
      </w:r>
      <w:r w:rsidRPr="00054570">
        <w:noBreakHyphen/>
        <w:t xml:space="preserve">DXd arm and 3 patients (1.7%) in the TPC arm were continuing study treatment. </w:t>
      </w:r>
    </w:p>
    <w:p w14:paraId="1B7B2B63" w14:textId="110514C9" w:rsidR="000B148D" w:rsidRPr="00054570" w:rsidRDefault="000B148D" w:rsidP="000B148D">
      <w:pPr>
        <w:pStyle w:val="Caption"/>
      </w:pPr>
      <w:bookmarkStart w:id="323" w:name="_Ref89420464"/>
      <w:bookmarkStart w:id="324" w:name="_Toc95826069"/>
      <w:bookmarkStart w:id="325" w:name="_Toc124447882"/>
      <w:bookmarkStart w:id="326" w:name="_Toc129350997"/>
      <w:r w:rsidRPr="00054570">
        <w:t xml:space="preserve">Table </w:t>
      </w:r>
      <w:r w:rsidRPr="00054570">
        <w:fldChar w:fldCharType="begin"/>
      </w:r>
      <w:r w:rsidRPr="00054570">
        <w:instrText>SEQ Table \* ARABIC</w:instrText>
      </w:r>
      <w:r w:rsidRPr="00054570">
        <w:fldChar w:fldCharType="separate"/>
      </w:r>
      <w:r w:rsidR="00145F42">
        <w:rPr>
          <w:noProof/>
        </w:rPr>
        <w:t>22</w:t>
      </w:r>
      <w:r w:rsidRPr="00054570">
        <w:fldChar w:fldCharType="end"/>
      </w:r>
      <w:bookmarkEnd w:id="323"/>
      <w:r w:rsidRPr="00054570">
        <w:rPr>
          <w:noProof/>
        </w:rPr>
        <w:t>:</w:t>
      </w:r>
      <w:r w:rsidRPr="00054570">
        <w:t xml:space="preserve"> DESTINY-Breast04 | Study drug exposure | SAS</w:t>
      </w:r>
      <w:bookmarkEnd w:id="324"/>
      <w:bookmarkEnd w:id="325"/>
      <w:bookmarkEnd w:id="326"/>
    </w:p>
    <w:tbl>
      <w:tblPr>
        <w:tblStyle w:val="Generaltable"/>
        <w:tblW w:w="9271" w:type="dxa"/>
        <w:tblInd w:w="80" w:type="dxa"/>
        <w:tblLayout w:type="fixed"/>
        <w:tblCellMar>
          <w:left w:w="28" w:type="dxa"/>
          <w:right w:w="28" w:type="dxa"/>
        </w:tblCellMar>
        <w:tblLook w:val="04A0" w:firstRow="1" w:lastRow="0" w:firstColumn="1" w:lastColumn="0" w:noHBand="0" w:noVBand="1"/>
      </w:tblPr>
      <w:tblGrid>
        <w:gridCol w:w="1758"/>
        <w:gridCol w:w="1276"/>
        <w:gridCol w:w="1134"/>
        <w:gridCol w:w="1417"/>
        <w:gridCol w:w="1418"/>
        <w:gridCol w:w="1276"/>
        <w:gridCol w:w="992"/>
      </w:tblGrid>
      <w:tr w:rsidR="000B148D" w:rsidRPr="00054570" w14:paraId="2B71B44B" w14:textId="77777777">
        <w:trPr>
          <w:cnfStyle w:val="100000000000" w:firstRow="1" w:lastRow="0" w:firstColumn="0" w:lastColumn="0" w:oddVBand="0" w:evenVBand="0" w:oddHBand="0" w:evenHBand="0" w:firstRowFirstColumn="0" w:firstRowLastColumn="0" w:lastRowFirstColumn="0" w:lastRowLastColumn="0"/>
          <w:trHeight w:val="20"/>
          <w:tblHeader/>
        </w:trPr>
        <w:tc>
          <w:tcPr>
            <w:tcW w:w="1758" w:type="dxa"/>
            <w:tcBorders>
              <w:bottom w:val="single" w:sz="4" w:space="0" w:color="auto"/>
            </w:tcBorders>
            <w:shd w:val="clear" w:color="auto" w:fill="F2F2F2" w:themeFill="background1" w:themeFillShade="F2"/>
            <w:vAlign w:val="center"/>
          </w:tcPr>
          <w:p w14:paraId="5F3C28BD" w14:textId="77777777" w:rsidR="000B148D" w:rsidRPr="00054570" w:rsidRDefault="000B148D">
            <w:pPr>
              <w:pStyle w:val="Tableheading"/>
              <w:spacing w:before="0" w:after="0"/>
            </w:pPr>
          </w:p>
        </w:tc>
        <w:tc>
          <w:tcPr>
            <w:tcW w:w="1276" w:type="dxa"/>
            <w:tcBorders>
              <w:bottom w:val="single" w:sz="4" w:space="0" w:color="auto"/>
            </w:tcBorders>
            <w:shd w:val="clear" w:color="auto" w:fill="F2F2F2" w:themeFill="background1" w:themeFillShade="F2"/>
          </w:tcPr>
          <w:p w14:paraId="21F3C835" w14:textId="77777777" w:rsidR="000B148D" w:rsidRPr="00054570" w:rsidRDefault="000B148D">
            <w:pPr>
              <w:pStyle w:val="Tableheading"/>
              <w:spacing w:before="0" w:after="0"/>
              <w:jc w:val="center"/>
              <w:rPr>
                <w:rFonts w:cs="Arial"/>
              </w:rPr>
            </w:pPr>
            <w:r w:rsidRPr="00054570">
              <w:rPr>
                <w:rFonts w:cs="Arial"/>
              </w:rPr>
              <w:t>T-DXd</w:t>
            </w:r>
          </w:p>
          <w:p w14:paraId="20546229" w14:textId="77777777" w:rsidR="000B148D" w:rsidRPr="00054570" w:rsidRDefault="000B148D">
            <w:pPr>
              <w:pStyle w:val="Tableheading"/>
              <w:spacing w:before="0" w:after="0"/>
              <w:jc w:val="center"/>
              <w:rPr>
                <w:rFonts w:cs="Arial"/>
              </w:rPr>
            </w:pPr>
            <w:r w:rsidRPr="00054570">
              <w:rPr>
                <w:rFonts w:cs="Arial"/>
              </w:rPr>
              <w:t>(</w:t>
            </w:r>
            <w:r>
              <w:rPr>
                <w:rFonts w:cs="Arial"/>
              </w:rPr>
              <w:t>N=</w:t>
            </w:r>
            <w:r w:rsidRPr="00054570">
              <w:rPr>
                <w:rFonts w:cs="Arial"/>
              </w:rPr>
              <w:t>371)</w:t>
            </w:r>
          </w:p>
        </w:tc>
        <w:tc>
          <w:tcPr>
            <w:tcW w:w="1134" w:type="dxa"/>
            <w:tcBorders>
              <w:bottom w:val="single" w:sz="4" w:space="0" w:color="auto"/>
            </w:tcBorders>
            <w:shd w:val="clear" w:color="auto" w:fill="F2F2F2" w:themeFill="background1" w:themeFillShade="F2"/>
          </w:tcPr>
          <w:p w14:paraId="60468E9E" w14:textId="77777777" w:rsidR="000B148D" w:rsidRPr="00054570" w:rsidRDefault="000B148D">
            <w:pPr>
              <w:pStyle w:val="Tableheading"/>
              <w:spacing w:before="0" w:after="0"/>
              <w:jc w:val="center"/>
              <w:rPr>
                <w:rFonts w:cs="Arial"/>
              </w:rPr>
            </w:pPr>
            <w:r w:rsidRPr="00054570">
              <w:rPr>
                <w:rFonts w:cs="Arial"/>
              </w:rPr>
              <w:t>Eribulin</w:t>
            </w:r>
          </w:p>
          <w:p w14:paraId="0DDA276E" w14:textId="77777777" w:rsidR="000B148D" w:rsidRPr="00054570" w:rsidRDefault="000B148D">
            <w:pPr>
              <w:pStyle w:val="Tableheading"/>
              <w:spacing w:before="0" w:after="0"/>
              <w:jc w:val="center"/>
              <w:rPr>
                <w:rFonts w:cs="Arial"/>
              </w:rPr>
            </w:pPr>
            <w:r w:rsidRPr="00054570">
              <w:rPr>
                <w:rFonts w:cs="Arial"/>
              </w:rPr>
              <w:t>(</w:t>
            </w:r>
            <w:r>
              <w:rPr>
                <w:rFonts w:cs="Arial"/>
              </w:rPr>
              <w:t>N=</w:t>
            </w:r>
            <w:r w:rsidRPr="00054570">
              <w:rPr>
                <w:rFonts w:cs="Arial"/>
              </w:rPr>
              <w:t>89)</w:t>
            </w:r>
          </w:p>
        </w:tc>
        <w:tc>
          <w:tcPr>
            <w:tcW w:w="1417" w:type="dxa"/>
            <w:tcBorders>
              <w:bottom w:val="single" w:sz="4" w:space="0" w:color="auto"/>
            </w:tcBorders>
            <w:shd w:val="clear" w:color="auto" w:fill="F2F2F2" w:themeFill="background1" w:themeFillShade="F2"/>
          </w:tcPr>
          <w:p w14:paraId="05276D3F" w14:textId="77777777" w:rsidR="000B148D" w:rsidRPr="00054570" w:rsidRDefault="000B148D">
            <w:pPr>
              <w:pStyle w:val="Tableheading"/>
              <w:spacing w:before="0" w:after="0"/>
              <w:jc w:val="center"/>
              <w:rPr>
                <w:rFonts w:cs="Arial"/>
              </w:rPr>
            </w:pPr>
            <w:r w:rsidRPr="00054570">
              <w:rPr>
                <w:rFonts w:cs="Arial"/>
              </w:rPr>
              <w:t>Capecitabine</w:t>
            </w:r>
          </w:p>
          <w:p w14:paraId="5496CBE6" w14:textId="77777777" w:rsidR="000B148D" w:rsidRPr="00054570" w:rsidRDefault="000B148D">
            <w:pPr>
              <w:pStyle w:val="Tableheading"/>
              <w:spacing w:before="0" w:after="0"/>
              <w:jc w:val="center"/>
              <w:rPr>
                <w:rFonts w:cs="Arial"/>
              </w:rPr>
            </w:pPr>
            <w:r w:rsidRPr="00054570">
              <w:rPr>
                <w:rFonts w:cs="Arial"/>
              </w:rPr>
              <w:t>(</w:t>
            </w:r>
            <w:r>
              <w:rPr>
                <w:rFonts w:cs="Arial"/>
              </w:rPr>
              <w:t>N=</w:t>
            </w:r>
            <w:r w:rsidRPr="00054570">
              <w:rPr>
                <w:rFonts w:cs="Arial"/>
              </w:rPr>
              <w:t>36)</w:t>
            </w:r>
          </w:p>
        </w:tc>
        <w:tc>
          <w:tcPr>
            <w:tcW w:w="1418" w:type="dxa"/>
            <w:tcBorders>
              <w:bottom w:val="single" w:sz="4" w:space="0" w:color="auto"/>
            </w:tcBorders>
            <w:shd w:val="clear" w:color="auto" w:fill="F2F2F2" w:themeFill="background1" w:themeFillShade="F2"/>
          </w:tcPr>
          <w:p w14:paraId="3819115E" w14:textId="77777777" w:rsidR="000B148D" w:rsidRPr="00054570" w:rsidRDefault="000B148D">
            <w:pPr>
              <w:pStyle w:val="Tableheading"/>
              <w:spacing w:before="0" w:after="0"/>
              <w:jc w:val="center"/>
              <w:rPr>
                <w:rFonts w:cs="Arial"/>
              </w:rPr>
            </w:pPr>
            <w:r w:rsidRPr="00054570">
              <w:rPr>
                <w:rFonts w:cs="Arial"/>
              </w:rPr>
              <w:t>Nab-paclitaxel</w:t>
            </w:r>
            <w:r>
              <w:rPr>
                <w:rFonts w:cs="Arial"/>
              </w:rPr>
              <w:t xml:space="preserve"> </w:t>
            </w:r>
            <w:r w:rsidRPr="00054570">
              <w:rPr>
                <w:rFonts w:cs="Arial"/>
              </w:rPr>
              <w:t>(</w:t>
            </w:r>
            <w:r>
              <w:rPr>
                <w:rFonts w:cs="Arial"/>
              </w:rPr>
              <w:t>N=</w:t>
            </w:r>
            <w:r w:rsidRPr="00054570">
              <w:rPr>
                <w:rFonts w:cs="Arial"/>
              </w:rPr>
              <w:t>17)</w:t>
            </w:r>
          </w:p>
        </w:tc>
        <w:tc>
          <w:tcPr>
            <w:tcW w:w="1276" w:type="dxa"/>
            <w:tcBorders>
              <w:bottom w:val="single" w:sz="4" w:space="0" w:color="auto"/>
            </w:tcBorders>
            <w:shd w:val="clear" w:color="auto" w:fill="F2F2F2" w:themeFill="background1" w:themeFillShade="F2"/>
          </w:tcPr>
          <w:p w14:paraId="34BC22AF" w14:textId="77777777" w:rsidR="000B148D" w:rsidRPr="00054570" w:rsidRDefault="000B148D">
            <w:pPr>
              <w:pStyle w:val="Tableheading"/>
              <w:spacing w:before="0" w:after="0"/>
              <w:jc w:val="center"/>
              <w:rPr>
                <w:rFonts w:cs="Arial"/>
              </w:rPr>
            </w:pPr>
            <w:r w:rsidRPr="00054570">
              <w:rPr>
                <w:rFonts w:cs="Arial"/>
              </w:rPr>
              <w:t>Gemcitabine</w:t>
            </w:r>
          </w:p>
          <w:p w14:paraId="308B5DC1" w14:textId="77777777" w:rsidR="000B148D" w:rsidRPr="00054570" w:rsidRDefault="000B148D">
            <w:pPr>
              <w:pStyle w:val="Tableheading"/>
              <w:spacing w:before="0" w:after="0"/>
              <w:jc w:val="center"/>
              <w:rPr>
                <w:rFonts w:cs="Arial"/>
              </w:rPr>
            </w:pPr>
            <w:r w:rsidRPr="00054570">
              <w:rPr>
                <w:rFonts w:cs="Arial"/>
              </w:rPr>
              <w:t>(</w:t>
            </w:r>
            <w:r>
              <w:rPr>
                <w:rFonts w:cs="Arial"/>
              </w:rPr>
              <w:t>N=</w:t>
            </w:r>
            <w:r w:rsidRPr="00054570">
              <w:rPr>
                <w:rFonts w:cs="Arial"/>
              </w:rPr>
              <w:t>16)</w:t>
            </w:r>
          </w:p>
        </w:tc>
        <w:tc>
          <w:tcPr>
            <w:tcW w:w="992" w:type="dxa"/>
            <w:tcBorders>
              <w:bottom w:val="single" w:sz="4" w:space="0" w:color="auto"/>
            </w:tcBorders>
            <w:shd w:val="clear" w:color="auto" w:fill="F2F2F2" w:themeFill="background1" w:themeFillShade="F2"/>
          </w:tcPr>
          <w:p w14:paraId="6D988835" w14:textId="77777777" w:rsidR="000B148D" w:rsidRPr="00054570" w:rsidRDefault="000B148D">
            <w:pPr>
              <w:pStyle w:val="Tableheading"/>
              <w:spacing w:before="0" w:after="0"/>
              <w:jc w:val="center"/>
              <w:rPr>
                <w:rFonts w:cs="Arial"/>
              </w:rPr>
            </w:pPr>
            <w:r w:rsidRPr="00054570">
              <w:rPr>
                <w:rFonts w:cs="Arial"/>
              </w:rPr>
              <w:t>Paclitaxel</w:t>
            </w:r>
          </w:p>
          <w:p w14:paraId="0FAE43F4" w14:textId="77777777" w:rsidR="000B148D" w:rsidRPr="00054570" w:rsidRDefault="000B148D">
            <w:pPr>
              <w:pStyle w:val="Tableheading"/>
              <w:spacing w:before="0" w:after="0"/>
              <w:jc w:val="center"/>
              <w:rPr>
                <w:rFonts w:cs="Arial"/>
              </w:rPr>
            </w:pPr>
            <w:r w:rsidRPr="00054570">
              <w:rPr>
                <w:rFonts w:cs="Arial"/>
              </w:rPr>
              <w:t>(</w:t>
            </w:r>
            <w:r>
              <w:rPr>
                <w:rFonts w:cs="Arial"/>
              </w:rPr>
              <w:t>N=</w:t>
            </w:r>
            <w:r w:rsidRPr="00054570">
              <w:rPr>
                <w:rFonts w:cs="Arial"/>
              </w:rPr>
              <w:t>14)</w:t>
            </w:r>
          </w:p>
        </w:tc>
      </w:tr>
      <w:tr w:rsidR="000B148D" w:rsidRPr="00054570" w14:paraId="3A3CDE11" w14:textId="77777777">
        <w:trPr>
          <w:trHeight w:val="20"/>
        </w:trPr>
        <w:tc>
          <w:tcPr>
            <w:tcW w:w="1758" w:type="dxa"/>
            <w:shd w:val="clear" w:color="auto" w:fill="F2F2F2" w:themeFill="background1" w:themeFillShade="F2"/>
            <w:vAlign w:val="center"/>
          </w:tcPr>
          <w:p w14:paraId="441E741E" w14:textId="77777777" w:rsidR="000B148D" w:rsidRPr="00054570" w:rsidRDefault="000B148D">
            <w:pPr>
              <w:pStyle w:val="Tablebody"/>
              <w:spacing w:before="0" w:after="0"/>
            </w:pPr>
            <w:r w:rsidRPr="00054570">
              <w:t>Median treatment duration, months (range)*</w:t>
            </w:r>
          </w:p>
        </w:tc>
        <w:tc>
          <w:tcPr>
            <w:tcW w:w="1276" w:type="dxa"/>
            <w:vAlign w:val="center"/>
          </w:tcPr>
          <w:p w14:paraId="5F5978B1" w14:textId="77777777" w:rsidR="000B148D" w:rsidRPr="00054570" w:rsidRDefault="000B148D">
            <w:pPr>
              <w:pStyle w:val="Tablebody"/>
              <w:spacing w:before="0" w:after="0"/>
              <w:jc w:val="center"/>
              <w:rPr>
                <w:rFonts w:cs="Arial"/>
              </w:rPr>
            </w:pPr>
            <w:r w:rsidRPr="00054570">
              <w:rPr>
                <w:rFonts w:cs="Arial"/>
              </w:rPr>
              <w:t>8.2</w:t>
            </w:r>
          </w:p>
          <w:p w14:paraId="0677F752" w14:textId="77777777" w:rsidR="000B148D" w:rsidRPr="00054570" w:rsidRDefault="000B148D">
            <w:pPr>
              <w:pStyle w:val="Tablebody"/>
              <w:spacing w:before="0" w:after="0"/>
              <w:jc w:val="center"/>
              <w:rPr>
                <w:rFonts w:cs="Arial"/>
              </w:rPr>
            </w:pPr>
            <w:r w:rsidRPr="00054570">
              <w:rPr>
                <w:rFonts w:cs="Arial"/>
              </w:rPr>
              <w:t>(0.2–33.3)</w:t>
            </w:r>
          </w:p>
        </w:tc>
        <w:tc>
          <w:tcPr>
            <w:tcW w:w="1134" w:type="dxa"/>
            <w:vAlign w:val="center"/>
          </w:tcPr>
          <w:p w14:paraId="160E6858" w14:textId="198559C5" w:rsidR="000B148D" w:rsidRPr="009170D8" w:rsidRDefault="00294FDC">
            <w:pPr>
              <w:pStyle w:val="Tablebody"/>
              <w:spacing w:before="0" w:after="0"/>
              <w:jc w:val="center"/>
              <w:rPr>
                <w:rFonts w:cs="Arial"/>
                <w:highlight w:val="yellow"/>
                <w:u w:val="single"/>
              </w:rPr>
            </w:pPr>
            <w:r w:rsidRPr="00294FDC">
              <w:rPr>
                <w:rFonts w:cs="Arial"/>
                <w:color w:val="000000"/>
                <w:highlight w:val="black"/>
              </w:rPr>
              <w:t>xxxxxxxxxxxxxx</w:t>
            </w:r>
          </w:p>
        </w:tc>
        <w:tc>
          <w:tcPr>
            <w:tcW w:w="1417" w:type="dxa"/>
            <w:vAlign w:val="center"/>
          </w:tcPr>
          <w:p w14:paraId="5AB31F07" w14:textId="2E1655B2" w:rsidR="000B148D" w:rsidRPr="009170D8" w:rsidRDefault="00294FDC">
            <w:pPr>
              <w:pStyle w:val="Tablebody"/>
              <w:spacing w:before="0" w:after="0"/>
              <w:jc w:val="center"/>
              <w:rPr>
                <w:rFonts w:cs="Arial"/>
                <w:highlight w:val="yellow"/>
                <w:u w:val="single"/>
              </w:rPr>
            </w:pPr>
            <w:r w:rsidRPr="00294FDC">
              <w:rPr>
                <w:rFonts w:cs="Arial"/>
                <w:color w:val="000000"/>
                <w:highlight w:val="black"/>
              </w:rPr>
              <w:t>xxxxxxxxxxxxxx</w:t>
            </w:r>
          </w:p>
        </w:tc>
        <w:tc>
          <w:tcPr>
            <w:tcW w:w="1418" w:type="dxa"/>
            <w:vAlign w:val="center"/>
          </w:tcPr>
          <w:p w14:paraId="17F74211" w14:textId="2C4569CA" w:rsidR="000B148D" w:rsidRPr="009170D8" w:rsidRDefault="00294FDC">
            <w:pPr>
              <w:pStyle w:val="Tablebody"/>
              <w:spacing w:before="0" w:after="0"/>
              <w:jc w:val="center"/>
              <w:rPr>
                <w:rFonts w:cs="Arial"/>
                <w:highlight w:val="yellow"/>
                <w:u w:val="single"/>
              </w:rPr>
            </w:pPr>
            <w:r w:rsidRPr="00294FDC">
              <w:rPr>
                <w:rFonts w:cs="Arial"/>
                <w:color w:val="000000"/>
                <w:highlight w:val="black"/>
              </w:rPr>
              <w:t>xxxxxxxxxxxxxx</w:t>
            </w:r>
          </w:p>
        </w:tc>
        <w:tc>
          <w:tcPr>
            <w:tcW w:w="1276" w:type="dxa"/>
            <w:vAlign w:val="center"/>
          </w:tcPr>
          <w:p w14:paraId="4D62534A" w14:textId="4D847E12" w:rsidR="000B148D" w:rsidRPr="009170D8" w:rsidRDefault="00294FDC">
            <w:pPr>
              <w:pStyle w:val="Tablebody"/>
              <w:spacing w:before="0" w:after="0"/>
              <w:jc w:val="center"/>
              <w:rPr>
                <w:rFonts w:cs="Arial"/>
                <w:highlight w:val="yellow"/>
                <w:u w:val="single"/>
              </w:rPr>
            </w:pPr>
            <w:r w:rsidRPr="00294FDC">
              <w:rPr>
                <w:rFonts w:cs="Arial"/>
                <w:color w:val="000000"/>
                <w:highlight w:val="black"/>
              </w:rPr>
              <w:t>xxxxxxxxxxxxx</w:t>
            </w:r>
          </w:p>
        </w:tc>
        <w:tc>
          <w:tcPr>
            <w:tcW w:w="992" w:type="dxa"/>
            <w:vAlign w:val="center"/>
          </w:tcPr>
          <w:p w14:paraId="468D6A89" w14:textId="17317FAF" w:rsidR="000B148D" w:rsidRPr="009170D8" w:rsidRDefault="00294FDC">
            <w:pPr>
              <w:pStyle w:val="Tablebody"/>
              <w:spacing w:before="0" w:after="0"/>
              <w:jc w:val="center"/>
              <w:rPr>
                <w:rFonts w:cs="Arial"/>
                <w:highlight w:val="yellow"/>
                <w:u w:val="single"/>
              </w:rPr>
            </w:pPr>
            <w:r w:rsidRPr="00294FDC">
              <w:rPr>
                <w:rFonts w:cs="Arial"/>
                <w:color w:val="000000"/>
                <w:highlight w:val="black"/>
              </w:rPr>
              <w:t>xxxxxxxxxxxxx</w:t>
            </w:r>
          </w:p>
        </w:tc>
      </w:tr>
      <w:tr w:rsidR="000B148D" w:rsidRPr="00054570" w14:paraId="6492C740" w14:textId="77777777">
        <w:trPr>
          <w:trHeight w:val="20"/>
        </w:trPr>
        <w:tc>
          <w:tcPr>
            <w:tcW w:w="1758" w:type="dxa"/>
            <w:shd w:val="clear" w:color="auto" w:fill="F2F2F2" w:themeFill="background1" w:themeFillShade="F2"/>
            <w:vAlign w:val="center"/>
          </w:tcPr>
          <w:p w14:paraId="4C1FF2EA" w14:textId="77777777" w:rsidR="000B148D" w:rsidRPr="00054570" w:rsidRDefault="000B148D">
            <w:pPr>
              <w:pStyle w:val="Tablebody"/>
              <w:spacing w:before="0" w:after="0"/>
            </w:pPr>
            <w:r w:rsidRPr="00054570">
              <w:t>Patient-years of exposure</w:t>
            </w:r>
            <w:r w:rsidRPr="00054570">
              <w:rPr>
                <w:rFonts w:cs="Yu Gothic Light"/>
                <w:vertAlign w:val="superscript"/>
              </w:rPr>
              <w:t>†</w:t>
            </w:r>
          </w:p>
        </w:tc>
        <w:tc>
          <w:tcPr>
            <w:tcW w:w="1276" w:type="dxa"/>
            <w:vAlign w:val="center"/>
          </w:tcPr>
          <w:p w14:paraId="00B6D274" w14:textId="3FECA0CF" w:rsidR="000B148D" w:rsidRPr="00294FDC" w:rsidRDefault="00294FDC">
            <w:pPr>
              <w:pStyle w:val="Tablebody"/>
              <w:spacing w:before="0" w:after="0"/>
              <w:jc w:val="center"/>
              <w:rPr>
                <w:rFonts w:cs="Arial"/>
                <w:color w:val="000000"/>
                <w:highlight w:val="black"/>
              </w:rPr>
            </w:pPr>
            <w:r w:rsidRPr="00294FDC">
              <w:rPr>
                <w:rFonts w:cs="Arial"/>
                <w:color w:val="000000"/>
                <w:highlight w:val="black"/>
              </w:rPr>
              <w:t>xxxxxx</w:t>
            </w:r>
          </w:p>
        </w:tc>
        <w:tc>
          <w:tcPr>
            <w:tcW w:w="1134" w:type="dxa"/>
            <w:tcBorders>
              <w:top w:val="single" w:sz="6" w:space="0" w:color="000000"/>
              <w:left w:val="single" w:sz="6" w:space="0" w:color="000000"/>
              <w:bottom w:val="single" w:sz="6" w:space="0" w:color="000000"/>
              <w:right w:val="single" w:sz="6" w:space="0" w:color="000000"/>
            </w:tcBorders>
            <w:vAlign w:val="center"/>
          </w:tcPr>
          <w:p w14:paraId="00B45EA6" w14:textId="41BCA064"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w:t>
            </w:r>
          </w:p>
        </w:tc>
        <w:tc>
          <w:tcPr>
            <w:tcW w:w="1417" w:type="dxa"/>
            <w:tcBorders>
              <w:top w:val="single" w:sz="6" w:space="0" w:color="000000"/>
              <w:left w:val="single" w:sz="6" w:space="0" w:color="000000"/>
              <w:bottom w:val="single" w:sz="6" w:space="0" w:color="000000"/>
              <w:right w:val="single" w:sz="6" w:space="0" w:color="000000"/>
            </w:tcBorders>
            <w:vAlign w:val="center"/>
          </w:tcPr>
          <w:p w14:paraId="229FA3C1" w14:textId="51FD4605"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w:t>
            </w:r>
          </w:p>
        </w:tc>
        <w:tc>
          <w:tcPr>
            <w:tcW w:w="1418" w:type="dxa"/>
            <w:tcBorders>
              <w:top w:val="single" w:sz="6" w:space="0" w:color="000000"/>
              <w:left w:val="single" w:sz="6" w:space="0" w:color="000000"/>
              <w:bottom w:val="single" w:sz="6" w:space="0" w:color="000000"/>
              <w:right w:val="single" w:sz="7" w:space="0" w:color="000000"/>
            </w:tcBorders>
            <w:vAlign w:val="center"/>
          </w:tcPr>
          <w:p w14:paraId="6159F0D9" w14:textId="0D366899"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w:t>
            </w:r>
          </w:p>
        </w:tc>
        <w:tc>
          <w:tcPr>
            <w:tcW w:w="1276" w:type="dxa"/>
            <w:tcBorders>
              <w:top w:val="single" w:sz="6" w:space="0" w:color="000000"/>
              <w:left w:val="single" w:sz="7" w:space="0" w:color="000000"/>
              <w:bottom w:val="single" w:sz="6" w:space="0" w:color="000000"/>
              <w:right w:val="single" w:sz="6" w:space="0" w:color="000000"/>
            </w:tcBorders>
            <w:vAlign w:val="center"/>
          </w:tcPr>
          <w:p w14:paraId="52799C32" w14:textId="663A9587"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w:t>
            </w:r>
          </w:p>
        </w:tc>
        <w:tc>
          <w:tcPr>
            <w:tcW w:w="992" w:type="dxa"/>
            <w:tcBorders>
              <w:top w:val="single" w:sz="6" w:space="0" w:color="000000"/>
              <w:left w:val="single" w:sz="6" w:space="0" w:color="000000"/>
              <w:bottom w:val="single" w:sz="6" w:space="0" w:color="000000"/>
              <w:right w:val="single" w:sz="6" w:space="0" w:color="000000"/>
            </w:tcBorders>
            <w:vAlign w:val="center"/>
          </w:tcPr>
          <w:p w14:paraId="1E6A06C7" w14:textId="1377B3BC"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w:t>
            </w:r>
          </w:p>
        </w:tc>
      </w:tr>
      <w:tr w:rsidR="000B148D" w:rsidRPr="00054570" w14:paraId="08A11829" w14:textId="77777777">
        <w:trPr>
          <w:trHeight w:val="20"/>
        </w:trPr>
        <w:tc>
          <w:tcPr>
            <w:tcW w:w="1758" w:type="dxa"/>
            <w:shd w:val="clear" w:color="auto" w:fill="F2F2F2" w:themeFill="background1" w:themeFillShade="F2"/>
            <w:vAlign w:val="center"/>
          </w:tcPr>
          <w:p w14:paraId="6DF2BC9C" w14:textId="77777777" w:rsidR="000B148D" w:rsidRPr="00054570" w:rsidRDefault="000B148D">
            <w:pPr>
              <w:pStyle w:val="Tablebody"/>
              <w:spacing w:before="0" w:after="0"/>
            </w:pPr>
            <w:r w:rsidRPr="00054570">
              <w:t>Mean dose intensity, mg/kg/ 3w (std. dev.)</w:t>
            </w:r>
            <w:r w:rsidRPr="00054570">
              <w:rPr>
                <w:rFonts w:cs="Yu Gothic Light"/>
                <w:sz w:val="18"/>
                <w:szCs w:val="18"/>
                <w:vertAlign w:val="superscript"/>
              </w:rPr>
              <w:t>‡</w:t>
            </w:r>
          </w:p>
        </w:tc>
        <w:tc>
          <w:tcPr>
            <w:tcW w:w="1276" w:type="dxa"/>
            <w:vAlign w:val="center"/>
          </w:tcPr>
          <w:p w14:paraId="143AAF20" w14:textId="40E97876" w:rsidR="000B148D" w:rsidRPr="00294FDC" w:rsidRDefault="00294FDC">
            <w:pPr>
              <w:pStyle w:val="Tablebody"/>
              <w:spacing w:before="0" w:after="0"/>
              <w:jc w:val="center"/>
              <w:rPr>
                <w:rFonts w:cs="Arial"/>
                <w:color w:val="000000"/>
                <w:highlight w:val="black"/>
              </w:rPr>
            </w:pPr>
            <w:r w:rsidRPr="00294FDC">
              <w:rPr>
                <w:rFonts w:cs="Arial"/>
                <w:color w:val="000000"/>
                <w:highlight w:val="black"/>
              </w:rPr>
              <w:t>xxxxxxxxxx</w:t>
            </w:r>
          </w:p>
        </w:tc>
        <w:tc>
          <w:tcPr>
            <w:tcW w:w="1134" w:type="dxa"/>
            <w:vAlign w:val="center"/>
          </w:tcPr>
          <w:p w14:paraId="2A5D1B3E" w14:textId="5AE08B37" w:rsidR="000B148D" w:rsidRPr="00294FDC" w:rsidRDefault="00294FDC">
            <w:pPr>
              <w:pStyle w:val="Tablebody"/>
              <w:spacing w:before="0" w:after="0"/>
              <w:jc w:val="center"/>
              <w:rPr>
                <w:rFonts w:cs="Arial"/>
                <w:color w:val="000000"/>
                <w:szCs w:val="18"/>
                <w:highlight w:val="black"/>
              </w:rPr>
            </w:pPr>
            <w:r w:rsidRPr="00294FDC">
              <w:rPr>
                <w:rFonts w:eastAsia="Times New Roman" w:cs="Arial"/>
                <w:color w:val="000000"/>
                <w:szCs w:val="18"/>
                <w:highlight w:val="black"/>
              </w:rPr>
              <w:t>xxxxxxxxxx</w:t>
            </w:r>
          </w:p>
        </w:tc>
        <w:tc>
          <w:tcPr>
            <w:tcW w:w="1417" w:type="dxa"/>
            <w:vAlign w:val="center"/>
          </w:tcPr>
          <w:p w14:paraId="60396BF2" w14:textId="56003134" w:rsidR="000B148D" w:rsidRPr="009170D8" w:rsidRDefault="00294FDC">
            <w:pPr>
              <w:pStyle w:val="Tablebody"/>
              <w:spacing w:before="0" w:after="0"/>
              <w:jc w:val="center"/>
              <w:rPr>
                <w:rFonts w:cs="Arial"/>
                <w:szCs w:val="18"/>
                <w:highlight w:val="yellow"/>
                <w:u w:val="single"/>
              </w:rPr>
            </w:pPr>
            <w:r w:rsidRPr="00294FDC">
              <w:rPr>
                <w:rFonts w:eastAsia="Times New Roman" w:cs="Arial"/>
                <w:color w:val="000000"/>
                <w:szCs w:val="18"/>
                <w:highlight w:val="black"/>
              </w:rPr>
              <w:t>xxxxxxxxxxxxxxxxxxx</w:t>
            </w:r>
          </w:p>
        </w:tc>
        <w:tc>
          <w:tcPr>
            <w:tcW w:w="1418" w:type="dxa"/>
            <w:vAlign w:val="center"/>
          </w:tcPr>
          <w:p w14:paraId="15EF1ED9" w14:textId="3F7B74C1" w:rsidR="000B148D" w:rsidRPr="00294FDC" w:rsidRDefault="00294FDC">
            <w:pPr>
              <w:pStyle w:val="Tablebody"/>
              <w:spacing w:before="0" w:after="0"/>
              <w:jc w:val="center"/>
              <w:rPr>
                <w:rFonts w:cs="Arial"/>
                <w:color w:val="000000"/>
                <w:szCs w:val="18"/>
                <w:highlight w:val="black"/>
              </w:rPr>
            </w:pPr>
            <w:r w:rsidRPr="00294FDC">
              <w:rPr>
                <w:rFonts w:eastAsia="Times New Roman" w:cs="Arial"/>
                <w:color w:val="000000"/>
                <w:szCs w:val="18"/>
                <w:highlight w:val="black"/>
              </w:rPr>
              <w:t>xxxxxxxxxxxxx</w:t>
            </w:r>
          </w:p>
        </w:tc>
        <w:tc>
          <w:tcPr>
            <w:tcW w:w="1276" w:type="dxa"/>
            <w:vAlign w:val="center"/>
          </w:tcPr>
          <w:p w14:paraId="5738B1A9" w14:textId="0D83A071" w:rsidR="000B148D" w:rsidRPr="009170D8" w:rsidRDefault="00294FDC">
            <w:pPr>
              <w:pStyle w:val="Tablebody"/>
              <w:spacing w:before="0" w:after="0"/>
              <w:jc w:val="center"/>
              <w:rPr>
                <w:rFonts w:cs="Arial"/>
                <w:szCs w:val="18"/>
                <w:highlight w:val="yellow"/>
                <w:u w:val="single"/>
              </w:rPr>
            </w:pPr>
            <w:r w:rsidRPr="00294FDC">
              <w:rPr>
                <w:rFonts w:eastAsia="Times New Roman" w:cs="Arial"/>
                <w:color w:val="000000"/>
                <w:szCs w:val="18"/>
                <w:highlight w:val="black"/>
              </w:rPr>
              <w:t>xxxxxxxxxxxxxxx</w:t>
            </w:r>
          </w:p>
        </w:tc>
        <w:tc>
          <w:tcPr>
            <w:tcW w:w="992" w:type="dxa"/>
            <w:vAlign w:val="center"/>
          </w:tcPr>
          <w:p w14:paraId="35047FA1" w14:textId="04BCE2F8" w:rsidR="000B148D" w:rsidRPr="00294FDC" w:rsidRDefault="00294FDC">
            <w:pPr>
              <w:pStyle w:val="Tablebody"/>
              <w:spacing w:before="0" w:after="0"/>
              <w:jc w:val="center"/>
              <w:rPr>
                <w:rFonts w:cs="Arial"/>
                <w:color w:val="000000"/>
                <w:szCs w:val="18"/>
                <w:highlight w:val="black"/>
              </w:rPr>
            </w:pPr>
            <w:r w:rsidRPr="00294FDC">
              <w:rPr>
                <w:rFonts w:eastAsia="Times New Roman" w:cs="Arial"/>
                <w:color w:val="000000"/>
                <w:szCs w:val="18"/>
                <w:highlight w:val="black"/>
              </w:rPr>
              <w:t>xxxxxxxxxxxxx</w:t>
            </w:r>
          </w:p>
        </w:tc>
      </w:tr>
      <w:tr w:rsidR="000B148D" w:rsidRPr="00054570" w14:paraId="19472648" w14:textId="77777777">
        <w:trPr>
          <w:trHeight w:val="20"/>
        </w:trPr>
        <w:tc>
          <w:tcPr>
            <w:tcW w:w="1758" w:type="dxa"/>
            <w:tcBorders>
              <w:bottom w:val="single" w:sz="4" w:space="0" w:color="auto"/>
            </w:tcBorders>
            <w:shd w:val="clear" w:color="auto" w:fill="F2F2F2" w:themeFill="background1" w:themeFillShade="F2"/>
            <w:vAlign w:val="center"/>
          </w:tcPr>
          <w:p w14:paraId="27289A1D" w14:textId="77777777" w:rsidR="000B148D" w:rsidRPr="00054570" w:rsidRDefault="000B148D">
            <w:pPr>
              <w:pStyle w:val="Tablebody"/>
              <w:spacing w:before="0" w:after="0"/>
            </w:pPr>
            <w:r w:rsidRPr="00054570">
              <w:t xml:space="preserve">Mean RDI, % </w:t>
            </w:r>
            <w:r>
              <w:br/>
            </w:r>
            <w:r w:rsidRPr="00054570">
              <w:t>(std. dev.)</w:t>
            </w:r>
            <w:r w:rsidRPr="00F2126C">
              <w:rPr>
                <w:rFonts w:cs="Arial"/>
                <w:vertAlign w:val="superscript"/>
              </w:rPr>
              <w:t>¶</w:t>
            </w:r>
          </w:p>
        </w:tc>
        <w:tc>
          <w:tcPr>
            <w:tcW w:w="1276" w:type="dxa"/>
            <w:tcBorders>
              <w:bottom w:val="single" w:sz="4" w:space="0" w:color="auto"/>
            </w:tcBorders>
            <w:vAlign w:val="center"/>
          </w:tcPr>
          <w:p w14:paraId="5BAD0D5F" w14:textId="444E086B" w:rsidR="000B148D" w:rsidRPr="009170D8" w:rsidRDefault="00F77ABC">
            <w:pPr>
              <w:pStyle w:val="Tablebody"/>
              <w:spacing w:before="0" w:after="0"/>
              <w:jc w:val="center"/>
              <w:rPr>
                <w:rFonts w:cs="Arial"/>
                <w:highlight w:val="cyan"/>
                <w:u w:val="single"/>
              </w:rPr>
            </w:pPr>
            <w:r w:rsidRPr="00F77ABC">
              <w:rPr>
                <w:rFonts w:cs="Arial"/>
                <w:color w:val="000000"/>
                <w:highlight w:val="black"/>
              </w:rPr>
              <w:t>xxxxxxxxxxx</w:t>
            </w:r>
            <w:r w:rsidR="000B148D" w:rsidRPr="00054570">
              <w:rPr>
                <w:rFonts w:cs="Arial"/>
                <w:vertAlign w:val="superscript"/>
              </w:rPr>
              <w:t>§</w:t>
            </w:r>
          </w:p>
        </w:tc>
        <w:tc>
          <w:tcPr>
            <w:tcW w:w="1134" w:type="dxa"/>
            <w:tcBorders>
              <w:bottom w:val="single" w:sz="4" w:space="0" w:color="auto"/>
            </w:tcBorders>
            <w:vAlign w:val="center"/>
          </w:tcPr>
          <w:p w14:paraId="18E6D041" w14:textId="00A5D488" w:rsidR="000B148D" w:rsidRPr="00F77ABC" w:rsidRDefault="00F77ABC">
            <w:pPr>
              <w:pStyle w:val="Tablebody"/>
              <w:spacing w:before="0" w:after="0"/>
              <w:jc w:val="center"/>
              <w:rPr>
                <w:rFonts w:cs="Arial"/>
                <w:color w:val="000000"/>
                <w:szCs w:val="18"/>
                <w:highlight w:val="black"/>
              </w:rPr>
            </w:pPr>
            <w:r w:rsidRPr="00F77ABC">
              <w:rPr>
                <w:rFonts w:eastAsia="Times New Roman" w:cs="Arial"/>
                <w:color w:val="000000"/>
                <w:szCs w:val="18"/>
                <w:highlight w:val="black"/>
              </w:rPr>
              <w:t>xxxxxxxxxx</w:t>
            </w:r>
          </w:p>
        </w:tc>
        <w:tc>
          <w:tcPr>
            <w:tcW w:w="1417" w:type="dxa"/>
            <w:tcBorders>
              <w:bottom w:val="single" w:sz="4" w:space="0" w:color="auto"/>
            </w:tcBorders>
            <w:vAlign w:val="center"/>
          </w:tcPr>
          <w:p w14:paraId="69CFFFD0" w14:textId="74D708D8" w:rsidR="000B148D" w:rsidRPr="00F77ABC" w:rsidRDefault="00F77ABC">
            <w:pPr>
              <w:pStyle w:val="Tablebody"/>
              <w:spacing w:before="0" w:after="0"/>
              <w:jc w:val="center"/>
              <w:rPr>
                <w:rFonts w:cs="Arial"/>
                <w:color w:val="000000"/>
                <w:szCs w:val="18"/>
                <w:highlight w:val="black"/>
              </w:rPr>
            </w:pPr>
            <w:r w:rsidRPr="00F77ABC">
              <w:rPr>
                <w:rFonts w:eastAsia="Times New Roman" w:cs="Arial"/>
                <w:color w:val="000000"/>
                <w:szCs w:val="18"/>
                <w:highlight w:val="black"/>
              </w:rPr>
              <w:t>xxxxxxxxxxxx</w:t>
            </w:r>
          </w:p>
        </w:tc>
        <w:tc>
          <w:tcPr>
            <w:tcW w:w="1418" w:type="dxa"/>
            <w:tcBorders>
              <w:bottom w:val="single" w:sz="4" w:space="0" w:color="auto"/>
            </w:tcBorders>
            <w:vAlign w:val="center"/>
          </w:tcPr>
          <w:p w14:paraId="6B95C339" w14:textId="787B4372" w:rsidR="000B148D" w:rsidRPr="00F77ABC" w:rsidRDefault="00F77ABC">
            <w:pPr>
              <w:pStyle w:val="Tablebody"/>
              <w:spacing w:before="0" w:after="0"/>
              <w:jc w:val="center"/>
              <w:rPr>
                <w:rFonts w:cs="Arial"/>
                <w:color w:val="000000"/>
                <w:szCs w:val="18"/>
                <w:highlight w:val="black"/>
              </w:rPr>
            </w:pPr>
            <w:r w:rsidRPr="00F77ABC">
              <w:rPr>
                <w:rFonts w:eastAsia="Times New Roman" w:cs="Arial"/>
                <w:color w:val="000000"/>
                <w:szCs w:val="18"/>
                <w:highlight w:val="black"/>
              </w:rPr>
              <w:t>xxxxxxxxxxx</w:t>
            </w:r>
          </w:p>
        </w:tc>
        <w:tc>
          <w:tcPr>
            <w:tcW w:w="1276" w:type="dxa"/>
            <w:tcBorders>
              <w:bottom w:val="single" w:sz="4" w:space="0" w:color="auto"/>
            </w:tcBorders>
            <w:vAlign w:val="center"/>
          </w:tcPr>
          <w:p w14:paraId="6B6F5ACA" w14:textId="1628D7DE" w:rsidR="000B148D" w:rsidRPr="00F77ABC" w:rsidRDefault="00F77ABC">
            <w:pPr>
              <w:pStyle w:val="Tablebody"/>
              <w:spacing w:before="0" w:after="0"/>
              <w:jc w:val="center"/>
              <w:rPr>
                <w:rFonts w:cs="Arial"/>
                <w:color w:val="000000"/>
                <w:szCs w:val="18"/>
                <w:highlight w:val="black"/>
              </w:rPr>
            </w:pPr>
            <w:r w:rsidRPr="00F77ABC">
              <w:rPr>
                <w:rFonts w:eastAsia="Times New Roman" w:cs="Arial"/>
                <w:color w:val="000000"/>
                <w:szCs w:val="18"/>
                <w:highlight w:val="black"/>
              </w:rPr>
              <w:t>xxxxxxxxxxxx</w:t>
            </w:r>
          </w:p>
        </w:tc>
        <w:tc>
          <w:tcPr>
            <w:tcW w:w="992" w:type="dxa"/>
            <w:tcBorders>
              <w:bottom w:val="single" w:sz="4" w:space="0" w:color="auto"/>
            </w:tcBorders>
            <w:vAlign w:val="center"/>
          </w:tcPr>
          <w:p w14:paraId="29FAE59B" w14:textId="181D1747" w:rsidR="000B148D" w:rsidRPr="00F77ABC" w:rsidRDefault="00F77ABC">
            <w:pPr>
              <w:pStyle w:val="Tablebody"/>
              <w:spacing w:before="0" w:after="0"/>
              <w:jc w:val="center"/>
              <w:rPr>
                <w:rFonts w:cs="Arial"/>
                <w:color w:val="000000"/>
                <w:szCs w:val="18"/>
                <w:highlight w:val="black"/>
              </w:rPr>
            </w:pPr>
            <w:r w:rsidRPr="00F77ABC">
              <w:rPr>
                <w:rFonts w:eastAsia="Times New Roman" w:cs="Arial"/>
                <w:color w:val="000000"/>
                <w:szCs w:val="18"/>
                <w:highlight w:val="black"/>
              </w:rPr>
              <w:t>xxxxxxxxx</w:t>
            </w:r>
          </w:p>
        </w:tc>
      </w:tr>
      <w:tr w:rsidR="000B148D" w:rsidRPr="00054570" w14:paraId="28DE7AC2" w14:textId="77777777">
        <w:trPr>
          <w:trHeight w:val="20"/>
        </w:trPr>
        <w:tc>
          <w:tcPr>
            <w:tcW w:w="9271" w:type="dxa"/>
            <w:gridSpan w:val="7"/>
            <w:tcBorders>
              <w:bottom w:val="single" w:sz="4" w:space="0" w:color="auto"/>
            </w:tcBorders>
            <w:shd w:val="clear" w:color="auto" w:fill="F2F2F2" w:themeFill="background1" w:themeFillShade="F2"/>
            <w:vAlign w:val="center"/>
          </w:tcPr>
          <w:p w14:paraId="599449C2" w14:textId="77777777" w:rsidR="000B148D" w:rsidRPr="00054570" w:rsidRDefault="000B148D">
            <w:pPr>
              <w:pStyle w:val="Tablebody"/>
              <w:spacing w:before="0" w:after="0"/>
              <w:rPr>
                <w:rFonts w:cs="Arial"/>
              </w:rPr>
            </w:pPr>
            <w:r w:rsidRPr="00054570">
              <w:t>Duration of treatment as of data cut-off date, n (%)</w:t>
            </w:r>
          </w:p>
        </w:tc>
      </w:tr>
      <w:tr w:rsidR="000B148D" w:rsidRPr="00054570" w14:paraId="4BD4BDCC" w14:textId="77777777">
        <w:trPr>
          <w:trHeight w:val="20"/>
        </w:trPr>
        <w:tc>
          <w:tcPr>
            <w:tcW w:w="1758" w:type="dxa"/>
            <w:tcBorders>
              <w:top w:val="single" w:sz="4" w:space="0" w:color="auto"/>
              <w:bottom w:val="single" w:sz="4" w:space="0" w:color="auto"/>
            </w:tcBorders>
            <w:shd w:val="clear" w:color="auto" w:fill="F2F2F2" w:themeFill="background1" w:themeFillShade="F2"/>
            <w:vAlign w:val="center"/>
          </w:tcPr>
          <w:p w14:paraId="7A1831CD" w14:textId="77777777" w:rsidR="000B148D" w:rsidRPr="00054570" w:rsidRDefault="000B148D">
            <w:pPr>
              <w:pStyle w:val="Tablebody"/>
              <w:spacing w:before="0" w:after="0"/>
              <w:ind w:left="167" w:hanging="145"/>
            </w:pPr>
            <w:r w:rsidRPr="00054570">
              <w:t>≤3 months</w:t>
            </w:r>
          </w:p>
        </w:tc>
        <w:tc>
          <w:tcPr>
            <w:tcW w:w="1276" w:type="dxa"/>
            <w:tcBorders>
              <w:top w:val="single" w:sz="4" w:space="0" w:color="auto"/>
              <w:bottom w:val="single" w:sz="4" w:space="0" w:color="auto"/>
            </w:tcBorders>
            <w:vAlign w:val="center"/>
          </w:tcPr>
          <w:p w14:paraId="0D3B70B3" w14:textId="2B7A961E"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xxxxxxxxx</w:t>
            </w:r>
          </w:p>
        </w:tc>
        <w:tc>
          <w:tcPr>
            <w:tcW w:w="1134" w:type="dxa"/>
            <w:tcBorders>
              <w:top w:val="single" w:sz="4" w:space="0" w:color="auto"/>
              <w:bottom w:val="single" w:sz="4" w:space="0" w:color="auto"/>
            </w:tcBorders>
            <w:vAlign w:val="center"/>
          </w:tcPr>
          <w:p w14:paraId="3C5F33CE" w14:textId="1158C446"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xxxxxxxxx</w:t>
            </w:r>
          </w:p>
        </w:tc>
        <w:tc>
          <w:tcPr>
            <w:tcW w:w="1417" w:type="dxa"/>
            <w:tcBorders>
              <w:top w:val="single" w:sz="4" w:space="0" w:color="auto"/>
              <w:bottom w:val="single" w:sz="4" w:space="0" w:color="auto"/>
            </w:tcBorders>
            <w:vAlign w:val="center"/>
          </w:tcPr>
          <w:p w14:paraId="2B534931" w14:textId="4A946240"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w:t>
            </w:r>
          </w:p>
        </w:tc>
        <w:tc>
          <w:tcPr>
            <w:tcW w:w="1418" w:type="dxa"/>
            <w:tcBorders>
              <w:top w:val="single" w:sz="4" w:space="0" w:color="auto"/>
              <w:bottom w:val="single" w:sz="4" w:space="0" w:color="auto"/>
            </w:tcBorders>
            <w:vAlign w:val="center"/>
          </w:tcPr>
          <w:p w14:paraId="352BB119" w14:textId="7FE6A261"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w:t>
            </w:r>
          </w:p>
        </w:tc>
        <w:tc>
          <w:tcPr>
            <w:tcW w:w="1276" w:type="dxa"/>
            <w:tcBorders>
              <w:top w:val="single" w:sz="4" w:space="0" w:color="auto"/>
              <w:bottom w:val="single" w:sz="4" w:space="0" w:color="auto"/>
            </w:tcBorders>
            <w:vAlign w:val="center"/>
          </w:tcPr>
          <w:p w14:paraId="6835CCD1" w14:textId="16FBFC37"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xxxxxxxxx</w:t>
            </w:r>
          </w:p>
        </w:tc>
        <w:tc>
          <w:tcPr>
            <w:tcW w:w="992" w:type="dxa"/>
            <w:tcBorders>
              <w:top w:val="single" w:sz="4" w:space="0" w:color="auto"/>
              <w:bottom w:val="single" w:sz="4" w:space="0" w:color="auto"/>
            </w:tcBorders>
            <w:vAlign w:val="center"/>
          </w:tcPr>
          <w:p w14:paraId="72FF6BBA" w14:textId="297B3F9D"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w:t>
            </w:r>
          </w:p>
        </w:tc>
      </w:tr>
      <w:tr w:rsidR="000B148D" w:rsidRPr="00054570" w14:paraId="460B7D6C" w14:textId="77777777">
        <w:trPr>
          <w:trHeight w:val="20"/>
        </w:trPr>
        <w:tc>
          <w:tcPr>
            <w:tcW w:w="1758" w:type="dxa"/>
            <w:tcBorders>
              <w:top w:val="single" w:sz="4" w:space="0" w:color="auto"/>
              <w:bottom w:val="single" w:sz="4" w:space="0" w:color="auto"/>
            </w:tcBorders>
            <w:shd w:val="clear" w:color="auto" w:fill="F2F2F2" w:themeFill="background1" w:themeFillShade="F2"/>
            <w:vAlign w:val="center"/>
          </w:tcPr>
          <w:p w14:paraId="3B82256F" w14:textId="77777777" w:rsidR="000B148D" w:rsidRPr="00054570" w:rsidRDefault="000B148D">
            <w:pPr>
              <w:pStyle w:val="Tablebody"/>
              <w:spacing w:before="0" w:after="0"/>
              <w:ind w:left="167" w:hanging="145"/>
            </w:pPr>
            <w:r w:rsidRPr="00054570">
              <w:t>&gt;3 to ≤6 months</w:t>
            </w:r>
          </w:p>
        </w:tc>
        <w:tc>
          <w:tcPr>
            <w:tcW w:w="1276" w:type="dxa"/>
            <w:tcBorders>
              <w:top w:val="single" w:sz="4" w:space="0" w:color="auto"/>
              <w:bottom w:val="single" w:sz="4" w:space="0" w:color="auto"/>
            </w:tcBorders>
            <w:vAlign w:val="center"/>
          </w:tcPr>
          <w:p w14:paraId="0AE2E380" w14:textId="6ABF3EA5"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xxxxxxxxx</w:t>
            </w:r>
          </w:p>
        </w:tc>
        <w:tc>
          <w:tcPr>
            <w:tcW w:w="1134" w:type="dxa"/>
            <w:tcBorders>
              <w:top w:val="single" w:sz="4" w:space="0" w:color="auto"/>
              <w:bottom w:val="single" w:sz="4" w:space="0" w:color="auto"/>
            </w:tcBorders>
            <w:vAlign w:val="center"/>
          </w:tcPr>
          <w:p w14:paraId="3D3E669D" w14:textId="50CFC576"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xxxxxxxxx</w:t>
            </w:r>
          </w:p>
        </w:tc>
        <w:tc>
          <w:tcPr>
            <w:tcW w:w="1417" w:type="dxa"/>
            <w:tcBorders>
              <w:top w:val="single" w:sz="4" w:space="0" w:color="auto"/>
              <w:bottom w:val="single" w:sz="4" w:space="0" w:color="auto"/>
            </w:tcBorders>
            <w:vAlign w:val="center"/>
          </w:tcPr>
          <w:p w14:paraId="1DF368F5" w14:textId="52E7A50F"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w:t>
            </w:r>
          </w:p>
        </w:tc>
        <w:tc>
          <w:tcPr>
            <w:tcW w:w="1418" w:type="dxa"/>
            <w:tcBorders>
              <w:top w:val="single" w:sz="4" w:space="0" w:color="auto"/>
              <w:bottom w:val="single" w:sz="4" w:space="0" w:color="auto"/>
            </w:tcBorders>
            <w:vAlign w:val="center"/>
          </w:tcPr>
          <w:p w14:paraId="1E0E4344" w14:textId="668DF872"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w:t>
            </w:r>
          </w:p>
        </w:tc>
        <w:tc>
          <w:tcPr>
            <w:tcW w:w="1276" w:type="dxa"/>
            <w:tcBorders>
              <w:top w:val="single" w:sz="4" w:space="0" w:color="auto"/>
              <w:bottom w:val="single" w:sz="4" w:space="0" w:color="auto"/>
            </w:tcBorders>
            <w:vAlign w:val="center"/>
          </w:tcPr>
          <w:p w14:paraId="24374D63" w14:textId="49751B6F"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w:t>
            </w:r>
          </w:p>
        </w:tc>
        <w:tc>
          <w:tcPr>
            <w:tcW w:w="992" w:type="dxa"/>
            <w:tcBorders>
              <w:top w:val="single" w:sz="4" w:space="0" w:color="auto"/>
              <w:bottom w:val="single" w:sz="4" w:space="0" w:color="auto"/>
            </w:tcBorders>
            <w:vAlign w:val="center"/>
          </w:tcPr>
          <w:p w14:paraId="78A0A5F4" w14:textId="1AD06A6B"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w:t>
            </w:r>
          </w:p>
        </w:tc>
      </w:tr>
      <w:tr w:rsidR="000B148D" w:rsidRPr="00054570" w14:paraId="50EA0344" w14:textId="77777777">
        <w:trPr>
          <w:trHeight w:val="20"/>
        </w:trPr>
        <w:tc>
          <w:tcPr>
            <w:tcW w:w="1758" w:type="dxa"/>
            <w:tcBorders>
              <w:top w:val="single" w:sz="4" w:space="0" w:color="auto"/>
              <w:bottom w:val="single" w:sz="4" w:space="0" w:color="auto"/>
            </w:tcBorders>
            <w:shd w:val="clear" w:color="auto" w:fill="F2F2F2" w:themeFill="background1" w:themeFillShade="F2"/>
            <w:vAlign w:val="center"/>
          </w:tcPr>
          <w:p w14:paraId="41D774C5" w14:textId="77777777" w:rsidR="000B148D" w:rsidRPr="00054570" w:rsidRDefault="000B148D">
            <w:pPr>
              <w:pStyle w:val="Tablebody"/>
              <w:spacing w:before="0" w:after="0"/>
              <w:ind w:left="167" w:hanging="145"/>
            </w:pPr>
            <w:r w:rsidRPr="00054570">
              <w:t>&gt;6 to ≤9 months</w:t>
            </w:r>
          </w:p>
        </w:tc>
        <w:tc>
          <w:tcPr>
            <w:tcW w:w="1276" w:type="dxa"/>
            <w:tcBorders>
              <w:top w:val="single" w:sz="4" w:space="0" w:color="auto"/>
              <w:bottom w:val="single" w:sz="4" w:space="0" w:color="auto"/>
            </w:tcBorders>
            <w:vAlign w:val="center"/>
          </w:tcPr>
          <w:p w14:paraId="01A78FEC" w14:textId="3A746CB6"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xxxxxxxxx</w:t>
            </w:r>
          </w:p>
        </w:tc>
        <w:tc>
          <w:tcPr>
            <w:tcW w:w="1134" w:type="dxa"/>
            <w:tcBorders>
              <w:top w:val="single" w:sz="4" w:space="0" w:color="auto"/>
              <w:bottom w:val="single" w:sz="4" w:space="0" w:color="auto"/>
            </w:tcBorders>
            <w:vAlign w:val="center"/>
          </w:tcPr>
          <w:p w14:paraId="144908DC" w14:textId="5A051D5D"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xxxxxxxx</w:t>
            </w:r>
          </w:p>
        </w:tc>
        <w:tc>
          <w:tcPr>
            <w:tcW w:w="1417" w:type="dxa"/>
            <w:tcBorders>
              <w:top w:val="single" w:sz="4" w:space="0" w:color="auto"/>
              <w:bottom w:val="single" w:sz="4" w:space="0" w:color="auto"/>
            </w:tcBorders>
            <w:vAlign w:val="center"/>
          </w:tcPr>
          <w:p w14:paraId="50E59545" w14:textId="093EA678"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w:t>
            </w:r>
          </w:p>
        </w:tc>
        <w:tc>
          <w:tcPr>
            <w:tcW w:w="1418" w:type="dxa"/>
            <w:tcBorders>
              <w:top w:val="single" w:sz="4" w:space="0" w:color="auto"/>
              <w:bottom w:val="single" w:sz="4" w:space="0" w:color="auto"/>
            </w:tcBorders>
            <w:vAlign w:val="center"/>
          </w:tcPr>
          <w:p w14:paraId="129C69FF" w14:textId="5E0A82F0"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w:t>
            </w:r>
          </w:p>
        </w:tc>
        <w:tc>
          <w:tcPr>
            <w:tcW w:w="1276" w:type="dxa"/>
            <w:tcBorders>
              <w:top w:val="single" w:sz="4" w:space="0" w:color="auto"/>
              <w:bottom w:val="single" w:sz="4" w:space="0" w:color="auto"/>
            </w:tcBorders>
            <w:vAlign w:val="center"/>
          </w:tcPr>
          <w:p w14:paraId="159B296A" w14:textId="513D9AE3"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w:t>
            </w:r>
          </w:p>
        </w:tc>
        <w:tc>
          <w:tcPr>
            <w:tcW w:w="992" w:type="dxa"/>
            <w:tcBorders>
              <w:top w:val="single" w:sz="4" w:space="0" w:color="auto"/>
              <w:bottom w:val="single" w:sz="4" w:space="0" w:color="auto"/>
            </w:tcBorders>
            <w:vAlign w:val="center"/>
          </w:tcPr>
          <w:p w14:paraId="7C908FCF" w14:textId="1A738E64"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w:t>
            </w:r>
          </w:p>
        </w:tc>
      </w:tr>
      <w:tr w:rsidR="000B148D" w:rsidRPr="00054570" w14:paraId="4A7A77C7" w14:textId="77777777">
        <w:trPr>
          <w:trHeight w:val="20"/>
        </w:trPr>
        <w:tc>
          <w:tcPr>
            <w:tcW w:w="1758" w:type="dxa"/>
            <w:tcBorders>
              <w:top w:val="single" w:sz="4" w:space="0" w:color="auto"/>
              <w:bottom w:val="single" w:sz="4" w:space="0" w:color="auto"/>
            </w:tcBorders>
            <w:shd w:val="clear" w:color="auto" w:fill="F2F2F2" w:themeFill="background1" w:themeFillShade="F2"/>
            <w:vAlign w:val="center"/>
          </w:tcPr>
          <w:p w14:paraId="3C8C2657" w14:textId="77777777" w:rsidR="000B148D" w:rsidRPr="00054570" w:rsidRDefault="000B148D">
            <w:pPr>
              <w:pStyle w:val="Tablebody"/>
              <w:spacing w:before="0" w:after="0"/>
              <w:ind w:left="167" w:hanging="145"/>
            </w:pPr>
            <w:r w:rsidRPr="00054570">
              <w:t>&gt;9 to ≤12 months</w:t>
            </w:r>
          </w:p>
        </w:tc>
        <w:tc>
          <w:tcPr>
            <w:tcW w:w="1276" w:type="dxa"/>
            <w:tcBorders>
              <w:top w:val="single" w:sz="4" w:space="0" w:color="auto"/>
              <w:bottom w:val="single" w:sz="4" w:space="0" w:color="auto"/>
            </w:tcBorders>
            <w:vAlign w:val="center"/>
          </w:tcPr>
          <w:p w14:paraId="67A79AE4" w14:textId="16A802CE"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xxxxxxxxx</w:t>
            </w:r>
          </w:p>
        </w:tc>
        <w:tc>
          <w:tcPr>
            <w:tcW w:w="1134" w:type="dxa"/>
            <w:tcBorders>
              <w:top w:val="single" w:sz="4" w:space="0" w:color="auto"/>
              <w:bottom w:val="single" w:sz="4" w:space="0" w:color="auto"/>
            </w:tcBorders>
            <w:vAlign w:val="center"/>
          </w:tcPr>
          <w:p w14:paraId="23EDFB04" w14:textId="43586699"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xxxxxxx</w:t>
            </w:r>
          </w:p>
        </w:tc>
        <w:tc>
          <w:tcPr>
            <w:tcW w:w="1417" w:type="dxa"/>
            <w:tcBorders>
              <w:top w:val="single" w:sz="4" w:space="0" w:color="auto"/>
              <w:bottom w:val="single" w:sz="4" w:space="0" w:color="auto"/>
            </w:tcBorders>
            <w:vAlign w:val="center"/>
          </w:tcPr>
          <w:p w14:paraId="7BC3884A" w14:textId="01C73FA8"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w:t>
            </w:r>
          </w:p>
        </w:tc>
        <w:tc>
          <w:tcPr>
            <w:tcW w:w="1418" w:type="dxa"/>
            <w:tcBorders>
              <w:top w:val="single" w:sz="4" w:space="0" w:color="auto"/>
              <w:bottom w:val="single" w:sz="4" w:space="0" w:color="auto"/>
            </w:tcBorders>
            <w:vAlign w:val="center"/>
          </w:tcPr>
          <w:p w14:paraId="175075CC" w14:textId="1555B814"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w:t>
            </w:r>
          </w:p>
        </w:tc>
        <w:tc>
          <w:tcPr>
            <w:tcW w:w="1276" w:type="dxa"/>
            <w:tcBorders>
              <w:top w:val="single" w:sz="4" w:space="0" w:color="auto"/>
              <w:bottom w:val="single" w:sz="4" w:space="0" w:color="auto"/>
            </w:tcBorders>
            <w:vAlign w:val="center"/>
          </w:tcPr>
          <w:p w14:paraId="04C3D0C8" w14:textId="176B35CF"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w:t>
            </w:r>
          </w:p>
        </w:tc>
        <w:tc>
          <w:tcPr>
            <w:tcW w:w="992" w:type="dxa"/>
            <w:tcBorders>
              <w:top w:val="single" w:sz="4" w:space="0" w:color="auto"/>
              <w:bottom w:val="single" w:sz="4" w:space="0" w:color="auto"/>
            </w:tcBorders>
            <w:vAlign w:val="center"/>
          </w:tcPr>
          <w:p w14:paraId="672D2893" w14:textId="0B80D534"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w:t>
            </w:r>
          </w:p>
        </w:tc>
      </w:tr>
      <w:tr w:rsidR="000B148D" w:rsidRPr="00054570" w14:paraId="2A0917EF" w14:textId="77777777">
        <w:trPr>
          <w:trHeight w:val="20"/>
        </w:trPr>
        <w:tc>
          <w:tcPr>
            <w:tcW w:w="1758" w:type="dxa"/>
            <w:tcBorders>
              <w:top w:val="single" w:sz="4" w:space="0" w:color="auto"/>
              <w:bottom w:val="single" w:sz="4" w:space="0" w:color="auto"/>
            </w:tcBorders>
            <w:shd w:val="clear" w:color="auto" w:fill="F2F2F2" w:themeFill="background1" w:themeFillShade="F2"/>
            <w:vAlign w:val="center"/>
          </w:tcPr>
          <w:p w14:paraId="5751E81B" w14:textId="77777777" w:rsidR="000B148D" w:rsidRPr="00054570" w:rsidRDefault="000B148D">
            <w:pPr>
              <w:pStyle w:val="Tablebody"/>
              <w:spacing w:before="0" w:after="0"/>
              <w:ind w:left="167" w:hanging="145"/>
            </w:pPr>
            <w:r w:rsidRPr="00054570">
              <w:t>&gt;12 to ≤18 months</w:t>
            </w:r>
          </w:p>
        </w:tc>
        <w:tc>
          <w:tcPr>
            <w:tcW w:w="1276" w:type="dxa"/>
            <w:tcBorders>
              <w:top w:val="single" w:sz="4" w:space="0" w:color="auto"/>
              <w:bottom w:val="single" w:sz="4" w:space="0" w:color="auto"/>
            </w:tcBorders>
            <w:vAlign w:val="center"/>
          </w:tcPr>
          <w:p w14:paraId="7C423357" w14:textId="0EDF3159"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xxxxxxxxx</w:t>
            </w:r>
          </w:p>
        </w:tc>
        <w:tc>
          <w:tcPr>
            <w:tcW w:w="1134" w:type="dxa"/>
            <w:tcBorders>
              <w:top w:val="single" w:sz="4" w:space="0" w:color="auto"/>
              <w:bottom w:val="single" w:sz="4" w:space="0" w:color="auto"/>
            </w:tcBorders>
            <w:vAlign w:val="center"/>
          </w:tcPr>
          <w:p w14:paraId="12B88127" w14:textId="5361C061"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xxxxxxx</w:t>
            </w:r>
          </w:p>
        </w:tc>
        <w:tc>
          <w:tcPr>
            <w:tcW w:w="1417" w:type="dxa"/>
            <w:tcBorders>
              <w:top w:val="single" w:sz="4" w:space="0" w:color="auto"/>
              <w:bottom w:val="single" w:sz="4" w:space="0" w:color="auto"/>
            </w:tcBorders>
            <w:vAlign w:val="center"/>
          </w:tcPr>
          <w:p w14:paraId="4B3F620D" w14:textId="6A5C4398"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xxxxxxxx</w:t>
            </w:r>
          </w:p>
        </w:tc>
        <w:tc>
          <w:tcPr>
            <w:tcW w:w="1418" w:type="dxa"/>
            <w:tcBorders>
              <w:top w:val="single" w:sz="4" w:space="0" w:color="auto"/>
              <w:bottom w:val="single" w:sz="4" w:space="0" w:color="auto"/>
            </w:tcBorders>
            <w:vAlign w:val="center"/>
          </w:tcPr>
          <w:p w14:paraId="59A15EFE" w14:textId="626B93F7"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xxxxxxx</w:t>
            </w:r>
          </w:p>
        </w:tc>
        <w:tc>
          <w:tcPr>
            <w:tcW w:w="1276" w:type="dxa"/>
            <w:tcBorders>
              <w:top w:val="single" w:sz="4" w:space="0" w:color="auto"/>
              <w:bottom w:val="single" w:sz="4" w:space="0" w:color="auto"/>
            </w:tcBorders>
            <w:vAlign w:val="center"/>
          </w:tcPr>
          <w:p w14:paraId="1EC6210C" w14:textId="46DF6F1A"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w:t>
            </w:r>
          </w:p>
        </w:tc>
        <w:tc>
          <w:tcPr>
            <w:tcW w:w="992" w:type="dxa"/>
            <w:tcBorders>
              <w:top w:val="single" w:sz="4" w:space="0" w:color="auto"/>
              <w:bottom w:val="single" w:sz="4" w:space="0" w:color="auto"/>
            </w:tcBorders>
            <w:vAlign w:val="center"/>
          </w:tcPr>
          <w:p w14:paraId="31EE9CFB" w14:textId="56BD59A4"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w:t>
            </w:r>
          </w:p>
        </w:tc>
      </w:tr>
      <w:tr w:rsidR="000B148D" w:rsidRPr="00054570" w14:paraId="64BAE0FD" w14:textId="77777777">
        <w:trPr>
          <w:trHeight w:val="20"/>
        </w:trPr>
        <w:tc>
          <w:tcPr>
            <w:tcW w:w="1758" w:type="dxa"/>
            <w:tcBorders>
              <w:top w:val="single" w:sz="4" w:space="0" w:color="auto"/>
              <w:bottom w:val="single" w:sz="4" w:space="0" w:color="auto"/>
            </w:tcBorders>
            <w:shd w:val="clear" w:color="auto" w:fill="F2F2F2" w:themeFill="background1" w:themeFillShade="F2"/>
            <w:vAlign w:val="center"/>
          </w:tcPr>
          <w:p w14:paraId="39E801FE" w14:textId="77777777" w:rsidR="000B148D" w:rsidRPr="00054570" w:rsidRDefault="000B148D">
            <w:pPr>
              <w:pStyle w:val="Tablebody"/>
              <w:spacing w:before="0" w:after="0"/>
              <w:ind w:left="167" w:hanging="145"/>
            </w:pPr>
            <w:r w:rsidRPr="00054570">
              <w:t>&gt;18 to ≤24 months</w:t>
            </w:r>
          </w:p>
        </w:tc>
        <w:tc>
          <w:tcPr>
            <w:tcW w:w="1276" w:type="dxa"/>
            <w:tcBorders>
              <w:top w:val="single" w:sz="4" w:space="0" w:color="auto"/>
              <w:bottom w:val="single" w:sz="4" w:space="0" w:color="auto"/>
            </w:tcBorders>
            <w:vAlign w:val="center"/>
          </w:tcPr>
          <w:p w14:paraId="14A142C5" w14:textId="532F09F0"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xxxxxxxx</w:t>
            </w:r>
          </w:p>
        </w:tc>
        <w:tc>
          <w:tcPr>
            <w:tcW w:w="1134" w:type="dxa"/>
            <w:tcBorders>
              <w:top w:val="single" w:sz="4" w:space="0" w:color="auto"/>
              <w:bottom w:val="single" w:sz="4" w:space="0" w:color="auto"/>
            </w:tcBorders>
            <w:vAlign w:val="center"/>
          </w:tcPr>
          <w:p w14:paraId="098B3CB6" w14:textId="7C6B5050"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w:t>
            </w:r>
          </w:p>
        </w:tc>
        <w:tc>
          <w:tcPr>
            <w:tcW w:w="1417" w:type="dxa"/>
            <w:tcBorders>
              <w:top w:val="single" w:sz="4" w:space="0" w:color="auto"/>
              <w:bottom w:val="single" w:sz="4" w:space="0" w:color="auto"/>
            </w:tcBorders>
            <w:vAlign w:val="center"/>
          </w:tcPr>
          <w:p w14:paraId="3DA4CDFC" w14:textId="43A5F477"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w:t>
            </w:r>
          </w:p>
        </w:tc>
        <w:tc>
          <w:tcPr>
            <w:tcW w:w="1418" w:type="dxa"/>
            <w:tcBorders>
              <w:top w:val="single" w:sz="4" w:space="0" w:color="auto"/>
              <w:bottom w:val="single" w:sz="4" w:space="0" w:color="auto"/>
            </w:tcBorders>
            <w:vAlign w:val="center"/>
          </w:tcPr>
          <w:p w14:paraId="767F1B67" w14:textId="33BEF2C5"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w:t>
            </w:r>
          </w:p>
        </w:tc>
        <w:tc>
          <w:tcPr>
            <w:tcW w:w="1276" w:type="dxa"/>
            <w:tcBorders>
              <w:top w:val="single" w:sz="4" w:space="0" w:color="auto"/>
              <w:bottom w:val="single" w:sz="4" w:space="0" w:color="auto"/>
            </w:tcBorders>
            <w:vAlign w:val="center"/>
          </w:tcPr>
          <w:p w14:paraId="054B3CFA" w14:textId="69622146"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w:t>
            </w:r>
          </w:p>
        </w:tc>
        <w:tc>
          <w:tcPr>
            <w:tcW w:w="992" w:type="dxa"/>
            <w:tcBorders>
              <w:top w:val="single" w:sz="4" w:space="0" w:color="auto"/>
              <w:bottom w:val="single" w:sz="4" w:space="0" w:color="auto"/>
            </w:tcBorders>
            <w:vAlign w:val="center"/>
          </w:tcPr>
          <w:p w14:paraId="326EEE5B" w14:textId="3A8579FD"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w:t>
            </w:r>
          </w:p>
        </w:tc>
      </w:tr>
      <w:tr w:rsidR="000B148D" w:rsidRPr="00054570" w14:paraId="22979348" w14:textId="77777777">
        <w:trPr>
          <w:trHeight w:val="20"/>
        </w:trPr>
        <w:tc>
          <w:tcPr>
            <w:tcW w:w="1758" w:type="dxa"/>
            <w:tcBorders>
              <w:top w:val="single" w:sz="4" w:space="0" w:color="auto"/>
            </w:tcBorders>
            <w:shd w:val="clear" w:color="auto" w:fill="F2F2F2" w:themeFill="background1" w:themeFillShade="F2"/>
            <w:vAlign w:val="center"/>
          </w:tcPr>
          <w:p w14:paraId="70563222" w14:textId="77777777" w:rsidR="000B148D" w:rsidRPr="00054570" w:rsidRDefault="000B148D">
            <w:pPr>
              <w:pStyle w:val="Tablebody"/>
              <w:spacing w:before="0" w:after="0"/>
              <w:ind w:left="167" w:hanging="145"/>
            </w:pPr>
            <w:r w:rsidRPr="00054570">
              <w:t>&gt;24 months</w:t>
            </w:r>
          </w:p>
        </w:tc>
        <w:tc>
          <w:tcPr>
            <w:tcW w:w="1276" w:type="dxa"/>
            <w:tcBorders>
              <w:top w:val="single" w:sz="4" w:space="0" w:color="auto"/>
            </w:tcBorders>
            <w:vAlign w:val="center"/>
          </w:tcPr>
          <w:p w14:paraId="35CE3598" w14:textId="464F1638"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xxxxxxxx</w:t>
            </w:r>
          </w:p>
        </w:tc>
        <w:tc>
          <w:tcPr>
            <w:tcW w:w="1134" w:type="dxa"/>
            <w:tcBorders>
              <w:top w:val="single" w:sz="4" w:space="0" w:color="auto"/>
            </w:tcBorders>
            <w:vAlign w:val="center"/>
          </w:tcPr>
          <w:p w14:paraId="42EAC9C8" w14:textId="1B91DA86" w:rsidR="000B148D" w:rsidRPr="00294FDC" w:rsidRDefault="00294FDC">
            <w:pPr>
              <w:pStyle w:val="Tablebody"/>
              <w:spacing w:before="0" w:after="0"/>
              <w:jc w:val="center"/>
              <w:rPr>
                <w:rFonts w:cs="Arial"/>
                <w:color w:val="000000"/>
                <w:highlight w:val="black"/>
              </w:rPr>
            </w:pPr>
            <w:r w:rsidRPr="00294FDC">
              <w:rPr>
                <w:rFonts w:eastAsia="Times New Roman" w:cs="Arial"/>
                <w:color w:val="000000"/>
                <w:highlight w:val="black"/>
              </w:rPr>
              <w:t>x</w:t>
            </w:r>
          </w:p>
        </w:tc>
        <w:tc>
          <w:tcPr>
            <w:tcW w:w="1417" w:type="dxa"/>
            <w:tcBorders>
              <w:top w:val="single" w:sz="4" w:space="0" w:color="auto"/>
            </w:tcBorders>
            <w:vAlign w:val="center"/>
          </w:tcPr>
          <w:p w14:paraId="444BD506" w14:textId="4E1E96D2"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w:t>
            </w:r>
          </w:p>
        </w:tc>
        <w:tc>
          <w:tcPr>
            <w:tcW w:w="1418" w:type="dxa"/>
            <w:tcBorders>
              <w:top w:val="single" w:sz="4" w:space="0" w:color="auto"/>
            </w:tcBorders>
            <w:vAlign w:val="center"/>
          </w:tcPr>
          <w:p w14:paraId="2C381914" w14:textId="662CF039"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w:t>
            </w:r>
          </w:p>
        </w:tc>
        <w:tc>
          <w:tcPr>
            <w:tcW w:w="1276" w:type="dxa"/>
            <w:tcBorders>
              <w:top w:val="single" w:sz="4" w:space="0" w:color="auto"/>
            </w:tcBorders>
            <w:vAlign w:val="center"/>
          </w:tcPr>
          <w:p w14:paraId="7F26DC31" w14:textId="1867EBCE"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w:t>
            </w:r>
          </w:p>
        </w:tc>
        <w:tc>
          <w:tcPr>
            <w:tcW w:w="992" w:type="dxa"/>
            <w:tcBorders>
              <w:top w:val="single" w:sz="4" w:space="0" w:color="auto"/>
            </w:tcBorders>
            <w:vAlign w:val="center"/>
          </w:tcPr>
          <w:p w14:paraId="10DA5264" w14:textId="2B727BEC" w:rsidR="000B148D" w:rsidRPr="00294FDC" w:rsidRDefault="00294FDC">
            <w:pPr>
              <w:pStyle w:val="Tablebody"/>
              <w:spacing w:before="0" w:after="0"/>
              <w:jc w:val="center"/>
              <w:rPr>
                <w:rFonts w:eastAsia="Times New Roman" w:cs="Arial"/>
                <w:color w:val="000000"/>
                <w:highlight w:val="black"/>
              </w:rPr>
            </w:pPr>
            <w:r w:rsidRPr="00294FDC">
              <w:rPr>
                <w:rFonts w:eastAsia="Times New Roman" w:cs="Arial"/>
                <w:color w:val="000000"/>
                <w:highlight w:val="black"/>
              </w:rPr>
              <w:t>x</w:t>
            </w:r>
          </w:p>
        </w:tc>
      </w:tr>
    </w:tbl>
    <w:p w14:paraId="2BF9F98A" w14:textId="77777777" w:rsidR="000B148D" w:rsidRDefault="000B148D" w:rsidP="000B148D">
      <w:pPr>
        <w:pStyle w:val="Body"/>
        <w:spacing w:after="0"/>
        <w:rPr>
          <w:sz w:val="18"/>
          <w:szCs w:val="18"/>
        </w:rPr>
      </w:pPr>
      <w:bookmarkStart w:id="327" w:name="_Ref99728665"/>
      <w:r w:rsidRPr="00054570">
        <w:rPr>
          <w:sz w:val="18"/>
          <w:szCs w:val="18"/>
        </w:rPr>
        <w:t>*Treatment duration = (last dose date</w:t>
      </w:r>
      <w:r>
        <w:rPr>
          <w:sz w:val="18"/>
          <w:szCs w:val="18"/>
        </w:rPr>
        <w:t xml:space="preserve"> </w:t>
      </w:r>
      <w:r w:rsidRPr="00054570">
        <w:rPr>
          <w:sz w:val="18"/>
          <w:szCs w:val="18"/>
        </w:rPr>
        <w:t>–</w:t>
      </w:r>
      <w:r>
        <w:rPr>
          <w:sz w:val="18"/>
          <w:szCs w:val="18"/>
        </w:rPr>
        <w:t xml:space="preserve"> </w:t>
      </w:r>
      <w:r w:rsidRPr="00054570">
        <w:rPr>
          <w:sz w:val="18"/>
          <w:szCs w:val="18"/>
        </w:rPr>
        <w:t>first dose date</w:t>
      </w:r>
      <w:r>
        <w:rPr>
          <w:sz w:val="18"/>
          <w:szCs w:val="18"/>
        </w:rPr>
        <w:t xml:space="preserve"> </w:t>
      </w:r>
      <w:r w:rsidRPr="00054570">
        <w:rPr>
          <w:sz w:val="18"/>
          <w:szCs w:val="18"/>
        </w:rPr>
        <w:t>+</w:t>
      </w:r>
      <w:r>
        <w:rPr>
          <w:sz w:val="18"/>
          <w:szCs w:val="18"/>
        </w:rPr>
        <w:t xml:space="preserve"> </w:t>
      </w:r>
      <w:r w:rsidRPr="00054570">
        <w:rPr>
          <w:sz w:val="18"/>
          <w:szCs w:val="18"/>
        </w:rPr>
        <w:t>21)</w:t>
      </w:r>
      <w:r>
        <w:rPr>
          <w:sz w:val="18"/>
          <w:szCs w:val="18"/>
        </w:rPr>
        <w:t xml:space="preserve"> </w:t>
      </w:r>
      <w:r w:rsidRPr="00054570">
        <w:rPr>
          <w:rFonts w:cs="Arial"/>
          <w:sz w:val="18"/>
          <w:szCs w:val="18"/>
        </w:rPr>
        <w:t>×</w:t>
      </w:r>
      <w:r>
        <w:rPr>
          <w:rFonts w:cs="Arial"/>
          <w:sz w:val="18"/>
          <w:szCs w:val="18"/>
        </w:rPr>
        <w:t xml:space="preserve"> </w:t>
      </w:r>
      <w:r w:rsidRPr="00054570">
        <w:rPr>
          <w:sz w:val="18"/>
          <w:szCs w:val="18"/>
        </w:rPr>
        <w:t>12/365.25.</w:t>
      </w:r>
      <w:r w:rsidRPr="00054570">
        <w:rPr>
          <w:sz w:val="18"/>
          <w:szCs w:val="18"/>
        </w:rPr>
        <w:br/>
      </w:r>
      <w:r w:rsidRPr="00633ACB">
        <w:rPr>
          <w:sz w:val="18"/>
          <w:szCs w:val="18"/>
          <w:vertAlign w:val="superscript"/>
        </w:rPr>
        <w:t>†</w:t>
      </w:r>
      <w:r w:rsidRPr="00054570">
        <w:rPr>
          <w:sz w:val="18"/>
          <w:szCs w:val="18"/>
        </w:rPr>
        <w:t xml:space="preserve">Patient-years of exposure = total of treatment duration of all patients within each treatment group. </w:t>
      </w:r>
      <w:r w:rsidRPr="00054570">
        <w:rPr>
          <w:sz w:val="18"/>
          <w:szCs w:val="18"/>
        </w:rPr>
        <w:br/>
      </w:r>
      <w:r w:rsidRPr="00633ACB">
        <w:rPr>
          <w:sz w:val="18"/>
          <w:szCs w:val="18"/>
          <w:vertAlign w:val="superscript"/>
        </w:rPr>
        <w:t>‡</w:t>
      </w:r>
      <w:r w:rsidRPr="00054570">
        <w:rPr>
          <w:sz w:val="18"/>
          <w:szCs w:val="18"/>
        </w:rPr>
        <w:t>Dose intensity (units/cycle length in weeks) = cumulative dose level (units)/(duration of treatment [days]/cycle length [days]). Due to different cycle durations among the individual TPC treatments, dose intensity is not presented for the overall TPC arm.</w:t>
      </w:r>
      <w:r w:rsidRPr="00054570">
        <w:rPr>
          <w:sz w:val="18"/>
          <w:szCs w:val="18"/>
        </w:rPr>
        <w:br/>
      </w:r>
      <w:r w:rsidRPr="00C92BDF">
        <w:rPr>
          <w:rFonts w:cs="Arial"/>
          <w:sz w:val="18"/>
          <w:szCs w:val="18"/>
          <w:vertAlign w:val="superscript"/>
        </w:rPr>
        <w:t>§</w:t>
      </w:r>
      <w:r w:rsidRPr="00C92BDF">
        <w:rPr>
          <w:rFonts w:cs="Arial"/>
          <w:sz w:val="18"/>
          <w:szCs w:val="18"/>
        </w:rPr>
        <w:t>RDI for T-DXd was calculated using an amended methodology to that stated in the CSR: RDI (%) = Dose Intensity/Planned Dose Intensity</w:t>
      </w:r>
      <w:r>
        <w:rPr>
          <w:rFonts w:cs="Arial"/>
          <w:sz w:val="18"/>
          <w:szCs w:val="18"/>
        </w:rPr>
        <w:t xml:space="preserve"> </w:t>
      </w:r>
      <w:r w:rsidRPr="00054570">
        <w:rPr>
          <w:rFonts w:cs="Arial"/>
          <w:sz w:val="18"/>
          <w:szCs w:val="18"/>
        </w:rPr>
        <w:t>×</w:t>
      </w:r>
      <w:r>
        <w:rPr>
          <w:rFonts w:cs="Arial"/>
          <w:sz w:val="18"/>
          <w:szCs w:val="18"/>
        </w:rPr>
        <w:t xml:space="preserve"> </w:t>
      </w:r>
      <w:r w:rsidRPr="00C92BDF">
        <w:rPr>
          <w:rFonts w:cs="Arial"/>
          <w:sz w:val="18"/>
          <w:szCs w:val="18"/>
        </w:rPr>
        <w:t xml:space="preserve">100, where Planned Dose Intensity for T-DXd = 5.4 mg/kg / Duration of exposure (day) </w:t>
      </w:r>
      <w:r w:rsidRPr="00054570">
        <w:rPr>
          <w:rFonts w:cs="Arial"/>
          <w:sz w:val="18"/>
          <w:szCs w:val="18"/>
        </w:rPr>
        <w:t>×</w:t>
      </w:r>
      <w:r w:rsidRPr="00C92BDF">
        <w:rPr>
          <w:rFonts w:cs="Arial"/>
          <w:sz w:val="18"/>
          <w:szCs w:val="18"/>
        </w:rPr>
        <w:t xml:space="preserve"> cycle length in days </w:t>
      </w:r>
      <w:r w:rsidRPr="00054570">
        <w:rPr>
          <w:rFonts w:cs="Arial"/>
          <w:sz w:val="18"/>
          <w:szCs w:val="18"/>
        </w:rPr>
        <w:t>×</w:t>
      </w:r>
      <w:r w:rsidRPr="00C92BDF">
        <w:rPr>
          <w:rFonts w:cs="Arial"/>
          <w:sz w:val="18"/>
          <w:szCs w:val="18"/>
        </w:rPr>
        <w:t xml:space="preserve"> expected number of cycles, where cycle length is 21 days for T-DXd and number of cycles expected is based on the duration of treatment exposure</w:t>
      </w:r>
      <w:r w:rsidRPr="00653576">
        <w:rPr>
          <w:sz w:val="18"/>
          <w:szCs w:val="18"/>
        </w:rPr>
        <w:t>.</w:t>
      </w:r>
    </w:p>
    <w:p w14:paraId="2FE6E871" w14:textId="4C0E394F" w:rsidR="000B148D" w:rsidRPr="00054570" w:rsidRDefault="000B148D" w:rsidP="000B148D">
      <w:pPr>
        <w:pStyle w:val="Body"/>
        <w:rPr>
          <w:sz w:val="18"/>
          <w:szCs w:val="18"/>
        </w:rPr>
      </w:pPr>
      <w:r w:rsidRPr="00F2126C">
        <w:rPr>
          <w:rFonts w:cs="Arial"/>
          <w:vertAlign w:val="superscript"/>
        </w:rPr>
        <w:t>¶</w:t>
      </w:r>
      <w:r w:rsidRPr="00614A0F">
        <w:rPr>
          <w:sz w:val="18"/>
          <w:szCs w:val="18"/>
        </w:rPr>
        <w:t>RDI for TPC was calculated as per the CSR: RDI (%) = dose intensity / planned dose intensity ×100, where planned dose intensity (units/cycle lengths in weeks) = planned cumulative dose (units)/planned duration of exposure (day)/cycle length in day. Due to different cycle durations among the individual TPC treatments, relative dose intensity is not presented for the overall TPC arm</w:t>
      </w:r>
      <w:r w:rsidRPr="00054570">
        <w:rPr>
          <w:sz w:val="18"/>
          <w:szCs w:val="18"/>
        </w:rPr>
        <w:br/>
        <w:t xml:space="preserve">Abbreviations: </w:t>
      </w:r>
      <w:r>
        <w:rPr>
          <w:sz w:val="18"/>
          <w:szCs w:val="18"/>
        </w:rPr>
        <w:t xml:space="preserve">CSR, clinical study report; </w:t>
      </w:r>
      <w:r w:rsidRPr="00054570">
        <w:rPr>
          <w:sz w:val="18"/>
          <w:szCs w:val="18"/>
        </w:rPr>
        <w:t xml:space="preserve">RDI, relative dose intensity; SAS, safety analysis set; std. dev., standard deviation; T-DXd, trastuzumab deruxtecan; </w:t>
      </w:r>
      <w:r>
        <w:rPr>
          <w:sz w:val="18"/>
          <w:szCs w:val="18"/>
        </w:rPr>
        <w:t xml:space="preserve">TPC, </w:t>
      </w:r>
      <w:r w:rsidRPr="00054570">
        <w:rPr>
          <w:sz w:val="18"/>
          <w:szCs w:val="18"/>
        </w:rPr>
        <w:t>treatment of physician’s choice</w:t>
      </w:r>
      <w:r>
        <w:rPr>
          <w:sz w:val="18"/>
          <w:szCs w:val="18"/>
        </w:rPr>
        <w:t>; w, weeks</w:t>
      </w:r>
      <w:r w:rsidRPr="00054570">
        <w:rPr>
          <w:sz w:val="18"/>
          <w:szCs w:val="18"/>
        </w:rPr>
        <w:t>.</w:t>
      </w:r>
      <w:r w:rsidRPr="00054570">
        <w:rPr>
          <w:sz w:val="18"/>
          <w:szCs w:val="18"/>
        </w:rPr>
        <w:br/>
        <w:t>Source: Daiichi Sankyo Inc., 2022 (CSR; Data on File).</w:t>
      </w:r>
      <w:r w:rsidRPr="00054570">
        <w:rPr>
          <w:sz w:val="18"/>
          <w:szCs w:val="18"/>
        </w:rPr>
        <w:fldChar w:fldCharType="begin"/>
      </w:r>
      <w:r w:rsidR="00CA6345">
        <w:rPr>
          <w:sz w:val="18"/>
          <w:szCs w:val="18"/>
        </w:rPr>
        <w:instrText xml:space="preserve"> ADDIN ZOTERO_ITEM CSL_CITATION {"citationID":"a1tsmb6mb36","properties":{"formattedCitation":"\\super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rPr>
          <w:sz w:val="18"/>
          <w:szCs w:val="18"/>
        </w:rPr>
        <w:fldChar w:fldCharType="separate"/>
      </w:r>
      <w:r w:rsidR="00FD57F4" w:rsidRPr="00FD57F4">
        <w:rPr>
          <w:rFonts w:cs="Arial"/>
          <w:sz w:val="18"/>
          <w:szCs w:val="24"/>
          <w:vertAlign w:val="superscript"/>
        </w:rPr>
        <w:t>7</w:t>
      </w:r>
      <w:r w:rsidRPr="00054570">
        <w:rPr>
          <w:sz w:val="18"/>
          <w:szCs w:val="18"/>
        </w:rPr>
        <w:fldChar w:fldCharType="end"/>
      </w:r>
      <w:r w:rsidRPr="00054570">
        <w:rPr>
          <w:sz w:val="18"/>
          <w:szCs w:val="18"/>
        </w:rPr>
        <w:t xml:space="preserve"> </w:t>
      </w:r>
    </w:p>
    <w:p w14:paraId="48701190" w14:textId="77777777" w:rsidR="000B148D" w:rsidRPr="00054570" w:rsidRDefault="000B148D" w:rsidP="003C648C">
      <w:pPr>
        <w:pStyle w:val="Heading4"/>
      </w:pPr>
      <w:bookmarkStart w:id="328" w:name="_Ref101384162"/>
      <w:r w:rsidRPr="00054570">
        <w:t>Treatment-emergent adverse events</w:t>
      </w:r>
      <w:bookmarkEnd w:id="327"/>
      <w:bookmarkEnd w:id="328"/>
    </w:p>
    <w:p w14:paraId="0E5EAB57" w14:textId="478DC415" w:rsidR="000B148D" w:rsidRPr="00054570" w:rsidRDefault="000B148D" w:rsidP="000B148D">
      <w:pPr>
        <w:pStyle w:val="Body"/>
      </w:pPr>
      <w:r w:rsidRPr="00054570">
        <w:t>A summary of TEAEs reported in patients in the DESTINY-Breast04 study are shown in</w:t>
      </w:r>
      <w:r>
        <w:rPr>
          <w:b/>
          <w:bCs/>
        </w:rPr>
        <w:t xml:space="preserve"> (</w:t>
      </w:r>
      <w:r w:rsidRPr="00011BE1">
        <w:rPr>
          <w:b/>
          <w:bCs/>
        </w:rPr>
        <w:fldChar w:fldCharType="begin"/>
      </w:r>
      <w:r w:rsidRPr="00011BE1">
        <w:rPr>
          <w:b/>
          <w:bCs/>
        </w:rPr>
        <w:instrText xml:space="preserve"> REF _Ref88471079 \h  \* MERGEFORMAT </w:instrText>
      </w:r>
      <w:r w:rsidRPr="00011BE1">
        <w:rPr>
          <w:b/>
          <w:bCs/>
        </w:rPr>
      </w:r>
      <w:r w:rsidRPr="00011BE1">
        <w:rPr>
          <w:b/>
          <w:bCs/>
        </w:rPr>
        <w:fldChar w:fldCharType="separate"/>
      </w:r>
      <w:r w:rsidR="00145F42" w:rsidRPr="00145F42">
        <w:rPr>
          <w:b/>
          <w:bCs/>
        </w:rPr>
        <w:t xml:space="preserve">Table </w:t>
      </w:r>
      <w:r w:rsidR="00145F42" w:rsidRPr="00145F42">
        <w:rPr>
          <w:b/>
          <w:bCs/>
          <w:noProof/>
        </w:rPr>
        <w:t>23</w:t>
      </w:r>
      <w:r w:rsidRPr="00011BE1">
        <w:rPr>
          <w:b/>
          <w:bCs/>
        </w:rPr>
        <w:fldChar w:fldCharType="end"/>
      </w:r>
      <w:r>
        <w:rPr>
          <w:b/>
          <w:bCs/>
        </w:rPr>
        <w:t>)</w:t>
      </w:r>
      <w:r w:rsidRPr="00054570">
        <w:t xml:space="preserve">. </w:t>
      </w:r>
    </w:p>
    <w:p w14:paraId="60DFDCE7" w14:textId="4A9B25B0" w:rsidR="000B148D" w:rsidRPr="00054570" w:rsidRDefault="000B148D" w:rsidP="000B148D">
      <w:pPr>
        <w:pStyle w:val="Body"/>
      </w:pPr>
      <w:r w:rsidRPr="00054570">
        <w:lastRenderedPageBreak/>
        <w:t>TEAEs were reported in 369 of 371 patients (99.5%) who received T</w:t>
      </w:r>
      <w:r w:rsidRPr="00054570">
        <w:noBreakHyphen/>
        <w:t>DXd and 169 of 173 patients (</w:t>
      </w:r>
      <w:r w:rsidRPr="007A2D66">
        <w:t>98.3</w:t>
      </w:r>
      <w:r w:rsidRPr="00054570">
        <w:t>%) who received TPC (</w:t>
      </w:r>
      <w:r w:rsidRPr="00F31D23">
        <w:rPr>
          <w:b/>
          <w:bCs/>
        </w:rPr>
        <w:fldChar w:fldCharType="begin"/>
      </w:r>
      <w:r w:rsidRPr="00F31D23">
        <w:rPr>
          <w:b/>
          <w:bCs/>
        </w:rPr>
        <w:instrText xml:space="preserve"> REF _Ref88471079 \h </w:instrText>
      </w:r>
      <w:r>
        <w:rPr>
          <w:b/>
          <w:bCs/>
        </w:rPr>
        <w:instrText xml:space="preserve"> \* MERGEFORMAT </w:instrText>
      </w:r>
      <w:r w:rsidRPr="00F31D23">
        <w:rPr>
          <w:b/>
          <w:bCs/>
        </w:rPr>
      </w:r>
      <w:r w:rsidRPr="00F31D23">
        <w:rPr>
          <w:b/>
          <w:bCs/>
        </w:rPr>
        <w:fldChar w:fldCharType="separate"/>
      </w:r>
      <w:r w:rsidR="00145F42" w:rsidRPr="00145F42">
        <w:rPr>
          <w:b/>
          <w:bCs/>
        </w:rPr>
        <w:t xml:space="preserve">Table </w:t>
      </w:r>
      <w:r w:rsidR="00145F42" w:rsidRPr="00145F42">
        <w:rPr>
          <w:b/>
          <w:bCs/>
          <w:noProof/>
        </w:rPr>
        <w:t>23</w:t>
      </w:r>
      <w:r w:rsidRPr="00F31D23">
        <w:rPr>
          <w:b/>
          <w:bCs/>
        </w:rPr>
        <w:fldChar w:fldCharType="end"/>
      </w:r>
      <w:r w:rsidRPr="00054570">
        <w:t>).</w:t>
      </w:r>
      <w:r>
        <w:fldChar w:fldCharType="begin"/>
      </w:r>
      <w:r w:rsidR="00CA6345">
        <w:instrText xml:space="preserve"> ADDIN ZOTERO_ITEM CSL_CITATION {"citationID":"l4X79r1S","properties":{"formattedCitation":"\\super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054570">
        <w:t xml:space="preserve"> When the incidence of TEAEs were adjusted for patient-years of exposure, the event rate per patient year was </w:t>
      </w:r>
      <w:r w:rsidRPr="00E830EF">
        <w:t>1.30</w:t>
      </w:r>
      <w:r w:rsidRPr="00054570">
        <w:t xml:space="preserve"> and </w:t>
      </w:r>
      <w:r w:rsidRPr="00E830EF">
        <w:t>2.66</w:t>
      </w:r>
      <w:r w:rsidRPr="00054570">
        <w:t> with T</w:t>
      </w:r>
      <w:r w:rsidRPr="00054570">
        <w:noBreakHyphen/>
        <w:t>DXd and TPC, respectively.</w:t>
      </w:r>
      <w:r>
        <w:fldChar w:fldCharType="begin"/>
      </w:r>
      <w:r w:rsidR="00CA6345">
        <w:instrText xml:space="preserve"> ADDIN ZOTERO_ITEM CSL_CITATION {"citationID":"YINKgAXg","properties":{"formattedCitation":"\\super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054570">
        <w:t xml:space="preserve"> When assessed by the investigator for causality to treatment, TEAEs reported by </w:t>
      </w:r>
      <w:r w:rsidR="00294FDC" w:rsidRPr="00294FDC">
        <w:rPr>
          <w:color w:val="000000"/>
          <w:highlight w:val="black"/>
        </w:rPr>
        <w:t>xxx</w:t>
      </w:r>
      <w:r w:rsidRPr="00054570">
        <w:t> patients (</w:t>
      </w:r>
      <w:r w:rsidR="00294FDC" w:rsidRPr="00294FDC">
        <w:rPr>
          <w:color w:val="000000"/>
          <w:highlight w:val="black"/>
        </w:rPr>
        <w:t>xxxxx</w:t>
      </w:r>
      <w:r w:rsidRPr="00054570">
        <w:t xml:space="preserve">) and </w:t>
      </w:r>
      <w:r w:rsidR="00294FDC" w:rsidRPr="00294FDC">
        <w:rPr>
          <w:color w:val="000000"/>
          <w:highlight w:val="black"/>
        </w:rPr>
        <w:t>xxx</w:t>
      </w:r>
      <w:r w:rsidRPr="001A0C78">
        <w:t> </w:t>
      </w:r>
      <w:r w:rsidRPr="00054570">
        <w:t>patients (</w:t>
      </w:r>
      <w:r w:rsidR="00294FDC" w:rsidRPr="00294FDC">
        <w:rPr>
          <w:color w:val="000000"/>
          <w:highlight w:val="black"/>
        </w:rPr>
        <w:t>xxxxx</w:t>
      </w:r>
      <w:r w:rsidRPr="00054570">
        <w:t>) treated with T</w:t>
      </w:r>
      <w:r w:rsidRPr="00054570">
        <w:noBreakHyphen/>
        <w:t>DXd and TPC, respectively, were considered drug</w:t>
      </w:r>
      <w:r w:rsidR="008A68B0">
        <w:t>-</w:t>
      </w:r>
      <w:r w:rsidRPr="00054570">
        <w:t>related.</w:t>
      </w:r>
      <w:r w:rsidRPr="00054570">
        <w:fldChar w:fldCharType="begin"/>
      </w:r>
      <w:r w:rsidR="00CA6345">
        <w:instrText xml:space="preserve"> ADDIN ZOTERO_ITEM CSL_CITATION {"citationID":"UJbDTcfT","properties":{"formattedCitation":"\\super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p>
    <w:p w14:paraId="072A81E2" w14:textId="277B5A5B" w:rsidR="000B148D" w:rsidRPr="00054570" w:rsidRDefault="000B148D" w:rsidP="000B148D">
      <w:pPr>
        <w:pStyle w:val="Body"/>
      </w:pPr>
      <w:r w:rsidRPr="00054570">
        <w:t xml:space="preserve">In total, </w:t>
      </w:r>
      <w:r w:rsidRPr="00240C2D">
        <w:t>CTCAE Grade ≥3 TEAEs were reported by 195 patients (</w:t>
      </w:r>
      <w:r w:rsidRPr="0057571E">
        <w:t>52.6</w:t>
      </w:r>
      <w:r w:rsidRPr="00240C2D">
        <w:t>%) treated with T</w:t>
      </w:r>
      <w:r w:rsidRPr="00240C2D">
        <w:noBreakHyphen/>
        <w:t>DXd and 116 patients (67.4%) treated</w:t>
      </w:r>
      <w:r w:rsidRPr="00054570">
        <w:t xml:space="preserve"> in the TPC arm;</w:t>
      </w:r>
      <w:r>
        <w:fldChar w:fldCharType="begin"/>
      </w:r>
      <w:r w:rsidR="00CA6345">
        <w:instrText xml:space="preserve"> ADDIN ZOTERO_ITEM CSL_CITATION {"citationID":"xDy5ekL5","properties":{"formattedCitation":"\\super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054570">
        <w:t xml:space="preserve"> in </w:t>
      </w:r>
      <w:r w:rsidR="00294FDC" w:rsidRPr="00294FDC">
        <w:rPr>
          <w:color w:val="000000"/>
          <w:highlight w:val="black"/>
        </w:rPr>
        <w:t>xxx</w:t>
      </w:r>
      <w:r w:rsidRPr="00054570">
        <w:t> patients (</w:t>
      </w:r>
      <w:r w:rsidR="00294FDC" w:rsidRPr="00294FDC">
        <w:rPr>
          <w:color w:val="000000"/>
          <w:highlight w:val="black"/>
        </w:rPr>
        <w:t>xxxxx</w:t>
      </w:r>
      <w:r w:rsidRPr="00054570">
        <w:t xml:space="preserve">) and </w:t>
      </w:r>
      <w:r w:rsidR="00294FDC" w:rsidRPr="00294FDC">
        <w:rPr>
          <w:color w:val="000000"/>
          <w:highlight w:val="black"/>
        </w:rPr>
        <w:t>xx</w:t>
      </w:r>
      <w:r w:rsidRPr="004211C5">
        <w:t> </w:t>
      </w:r>
      <w:r w:rsidRPr="00054570">
        <w:t>patients (</w:t>
      </w:r>
      <w:r w:rsidR="00294FDC" w:rsidRPr="00294FDC">
        <w:rPr>
          <w:color w:val="000000"/>
          <w:highlight w:val="black"/>
        </w:rPr>
        <w:t>xxxxx</w:t>
      </w:r>
      <w:r w:rsidRPr="00054570">
        <w:t>), respectively, the investigator deemed these drug</w:t>
      </w:r>
      <w:r w:rsidR="008A68B0">
        <w:t>-</w:t>
      </w:r>
      <w:r w:rsidRPr="00054570">
        <w:t>related.</w:t>
      </w:r>
      <w:r w:rsidRPr="00054570">
        <w:fldChar w:fldCharType="begin"/>
      </w:r>
      <w:r w:rsidR="00CA6345">
        <w:instrText xml:space="preserve"> ADDIN ZOTERO_ITEM CSL_CITATION {"citationID":"GzGVVP7V","properties":{"formattedCitation":"\\super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r w:rsidRPr="00054570">
        <w:t xml:space="preserve"> When adjusted by patient-years of exposure, the rate of Grade ≥3 A</w:t>
      </w:r>
      <w:r w:rsidR="00BA159F" w:rsidRPr="00054570">
        <w:t>e</w:t>
      </w:r>
      <w:r w:rsidRPr="00054570">
        <w:t xml:space="preserve">s was </w:t>
      </w:r>
      <w:r w:rsidRPr="00AF7637">
        <w:t>0.69</w:t>
      </w:r>
      <w:r w:rsidRPr="00054570">
        <w:t> events per patient year in the T</w:t>
      </w:r>
      <w:r w:rsidRPr="00054570">
        <w:noBreakHyphen/>
        <w:t xml:space="preserve">DXd arm </w:t>
      </w:r>
      <w:r w:rsidRPr="00AF7637">
        <w:t>and 1.82</w:t>
      </w:r>
      <w:r w:rsidRPr="00054570">
        <w:t> events per patient year in the TPC arm.</w:t>
      </w:r>
      <w:r>
        <w:fldChar w:fldCharType="begin"/>
      </w:r>
      <w:r w:rsidR="00CA6345">
        <w:instrText xml:space="preserve"> ADDIN ZOTERO_ITEM CSL_CITATION {"citationID":"F18xQyo2","properties":{"formattedCitation":"\\super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054570">
        <w:t xml:space="preserve"> </w:t>
      </w:r>
    </w:p>
    <w:p w14:paraId="04C5672A" w14:textId="0B567182" w:rsidR="000B148D" w:rsidRPr="00054570" w:rsidRDefault="000B148D" w:rsidP="000B148D">
      <w:pPr>
        <w:pStyle w:val="Body"/>
      </w:pPr>
      <w:r w:rsidRPr="00054570">
        <w:t>Serious TEAEs were reported by 103 patients (27.8%) treated with T</w:t>
      </w:r>
      <w:r w:rsidRPr="00054570">
        <w:noBreakHyphen/>
        <w:t>DXd and 43 patients (25.0%) in the TPC arm.</w:t>
      </w:r>
      <w:r>
        <w:fldChar w:fldCharType="begin"/>
      </w:r>
      <w:r w:rsidR="00CA6345">
        <w:instrText xml:space="preserve"> ADDIN ZOTERO_ITEM CSL_CITATION {"citationID":"XKn9ZO18","properties":{"formattedCitation":"\\super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054570">
        <w:t xml:space="preserve"> Adjusted for drug exposure, serious TEAEs occurred at a rate of </w:t>
      </w:r>
      <w:r w:rsidR="00294FDC" w:rsidRPr="00294FDC">
        <w:rPr>
          <w:color w:val="000000"/>
          <w:highlight w:val="black"/>
        </w:rPr>
        <w:t>xxxx</w:t>
      </w:r>
      <w:r w:rsidRPr="00054570">
        <w:t xml:space="preserve"> and </w:t>
      </w:r>
      <w:r w:rsidR="00294FDC" w:rsidRPr="00294FDC">
        <w:rPr>
          <w:color w:val="000000"/>
          <w:highlight w:val="black"/>
        </w:rPr>
        <w:t>xxxx</w:t>
      </w:r>
      <w:r w:rsidRPr="00054570">
        <w:t> events per patient-year of exposure in patients treated with T</w:t>
      </w:r>
      <w:r w:rsidRPr="00054570">
        <w:noBreakHyphen/>
        <w:t>DXd and TPC, respectively.</w:t>
      </w:r>
      <w:r w:rsidRPr="00054570">
        <w:fldChar w:fldCharType="begin"/>
      </w:r>
      <w:r w:rsidR="00CA6345">
        <w:instrText xml:space="preserve"> ADDIN ZOTERO_ITEM CSL_CITATION {"citationID":"Mf2kPfnN","properties":{"formattedCitation":"\\super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r w:rsidRPr="00054570">
        <w:t xml:space="preserve"> Serious drug-related TEAEs were reported by </w:t>
      </w:r>
      <w:r w:rsidR="00294FDC" w:rsidRPr="00294FDC">
        <w:rPr>
          <w:color w:val="000000"/>
          <w:highlight w:val="black"/>
        </w:rPr>
        <w:t>xx</w:t>
      </w:r>
      <w:r w:rsidRPr="00054570">
        <w:t> patients (</w:t>
      </w:r>
      <w:r w:rsidR="00294FDC" w:rsidRPr="00294FDC">
        <w:rPr>
          <w:color w:val="000000"/>
          <w:highlight w:val="black"/>
        </w:rPr>
        <w:t>xxxxx</w:t>
      </w:r>
      <w:r w:rsidRPr="00054570">
        <w:t>) in the</w:t>
      </w:r>
      <w:r w:rsidR="00834549">
        <w:t xml:space="preserve"> </w:t>
      </w:r>
      <w:r w:rsidRPr="00054570">
        <w:t>T</w:t>
      </w:r>
      <w:r w:rsidRPr="00054570">
        <w:noBreakHyphen/>
        <w:t xml:space="preserve">DXd and </w:t>
      </w:r>
      <w:r w:rsidR="00294FDC" w:rsidRPr="00294FDC">
        <w:rPr>
          <w:color w:val="000000"/>
          <w:highlight w:val="black"/>
        </w:rPr>
        <w:t>xx</w:t>
      </w:r>
      <w:r w:rsidRPr="00054570">
        <w:t> patients (</w:t>
      </w:r>
      <w:r w:rsidR="00294FDC" w:rsidRPr="00294FDC">
        <w:rPr>
          <w:color w:val="000000"/>
          <w:highlight w:val="black"/>
        </w:rPr>
        <w:t>xxxx</w:t>
      </w:r>
      <w:r w:rsidRPr="00054570">
        <w:t>%) in the TPC arm.</w:t>
      </w:r>
      <w:r>
        <w:fldChar w:fldCharType="begin"/>
      </w:r>
      <w:r w:rsidR="00CA6345">
        <w:instrText xml:space="preserve"> ADDIN ZOTERO_ITEM CSL_CITATION {"citationID":"troQ5eLf","properties":{"formattedCitation":"\\super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fldChar w:fldCharType="separate"/>
      </w:r>
      <w:r w:rsidR="00FD57F4" w:rsidRPr="00FD57F4">
        <w:rPr>
          <w:rFonts w:cs="Arial"/>
          <w:szCs w:val="24"/>
          <w:vertAlign w:val="superscript"/>
        </w:rPr>
        <w:t>7</w:t>
      </w:r>
      <w:r>
        <w:fldChar w:fldCharType="end"/>
      </w:r>
      <w:r w:rsidRPr="00054570">
        <w:t xml:space="preserve"> </w:t>
      </w:r>
      <w:r>
        <w:t>Seven</w:t>
      </w:r>
      <w:r w:rsidRPr="00054570">
        <w:t xml:space="preserve"> drug-related TEAEs led to death in the T-DXd arm and none led to death in the TPC arm</w:t>
      </w:r>
      <w:r>
        <w:t>.</w:t>
      </w:r>
      <w:r>
        <w:fldChar w:fldCharType="begin"/>
      </w:r>
      <w:r w:rsidR="00CA6345">
        <w:instrText xml:space="preserve"> ADDIN ZOTERO_ITEM CSL_CITATION {"citationID":"nx9qx2EX","properties":{"formattedCitation":"\\super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t xml:space="preserve"> </w:t>
      </w:r>
      <w:hyperlink w:anchor="_ENREF_102" w:tooltip="Cortés, 2022 #167" w:history="1">
        <w:r w:rsidRPr="00054570">
          <w:fldChar w:fldCharType="begin"/>
        </w:r>
        <w:r w:rsidRPr="00054570">
          <w:instrText xml:space="preserve"> ADDIN EN.CITE &lt;EndNote&gt;&lt;Cite&gt;&lt;Author&gt;Cortés&lt;/Author&gt;&lt;Year&gt;2022&lt;/Year&gt;&lt;RecNum&gt;167&lt;/RecNum&gt;&lt;DisplayText&gt;&lt;style face="superscript"&gt;102&lt;/style&gt;&lt;/DisplayText&gt;&lt;record&gt;&lt;rec-number&gt;167&lt;/rec-number&gt;&lt;foreign-keys&gt;&lt;key app="EN" db-id="zsraxr2sldvt0herzw7x5028s0efeazsx9r0" timestamp="1648198293"&gt;167&lt;/key&gt;&lt;/foreign-keys&gt;&lt;ref-type name="Journal Article"&gt;17&lt;/ref-type&gt;&lt;contributors&gt;&lt;authors&gt;&lt;author&gt;Cortés, Javier&lt;/author&gt;&lt;author&gt;Kim, Sung-Bae&lt;/author&gt;&lt;author&gt;Chung, Wei-Pang&lt;/author&gt;&lt;author&gt;Im, Seock-Ah&lt;/author&gt;&lt;author&gt;Park, Yeon Hee&lt;/author&gt;&lt;author&gt;Hegg, Roberto&lt;/author&gt;&lt;author&gt;Kim, Min Hwan&lt;/author&gt;&lt;author&gt;Tseng, Ling-Ming&lt;/author&gt;&lt;author&gt;Petry, Vanessa&lt;/author&gt;&lt;author&gt;Chung, Chi-Feng&lt;/author&gt;&lt;author&gt;Iwata, Hiroji&lt;/author&gt;&lt;author&gt;Hamilton, Erika&lt;/author&gt;&lt;author&gt;Curigliano, Giuseppe&lt;/author&gt;&lt;author&gt;Xu, Binghe&lt;/author&gt;&lt;author&gt;Huang, Chiun-Sheng&lt;/author&gt;&lt;author&gt;Kim, Jee Hyun&lt;/author&gt;&lt;author&gt;Chiu, Joanne W. Y.&lt;/author&gt;&lt;author&gt;Pedrini, Jose Luiz&lt;/author&gt;&lt;author&gt;Lee, Caleb&lt;/author&gt;&lt;author&gt;Liu, Yali&lt;/author&gt;&lt;author&gt;Cathcart, Jillian&lt;/author&gt;&lt;author&gt;Bako, Emarjola&lt;/author&gt;&lt;author&gt;Verma, Sunil&lt;/author&gt;&lt;author&gt;Hurvitz, Sara A.&lt;/author&gt;&lt;/authors&gt;&lt;/contributors&gt;&lt;titles&gt;&lt;title&gt;Trastuzumab Deruxtecan versus Trastuzumab Emtansine for Breast Cancer&lt;/title&gt;&lt;secondary-title&gt;New England Journal of Medicine&lt;/secondary-title&gt;&lt;/titles&gt;&lt;periodical&gt;&lt;full-title&gt;New England Journal of Medicine&lt;/full-title&gt;&lt;/periodical&gt;&lt;pages&gt;1143-1154&lt;/pages&gt;&lt;volume&gt;386&lt;/volume&gt;&lt;number&gt;12&lt;/number&gt;&lt;dates&gt;&lt;year&gt;2022&lt;/year&gt;&lt;pub-dates&gt;&lt;date&gt;2022/03/24&lt;/date&gt;&lt;/pub-dates&gt;&lt;/dates&gt;&lt;publisher&gt;Massachusetts Medical Society&lt;/publisher&gt;&lt;isbn&gt;0028-4793&lt;/isbn&gt;&lt;urls&gt;&lt;related-urls&gt;&lt;url&gt;https://doi.org/10.1056/NEJMoa2115022&lt;/url&gt;&lt;/related-urls&gt;&lt;/urls&gt;&lt;electronic-resource-num&gt;10.1056/NEJMoa2115022&lt;/electronic-resource-num&gt;&lt;access-date&gt;2022/03/25&lt;/access-date&gt;&lt;/record&gt;&lt;/Cite&gt;&lt;/EndNote&gt;</w:instrText>
        </w:r>
        <w:r w:rsidRPr="00054570">
          <w:fldChar w:fldCharType="separate"/>
        </w:r>
        <w:r w:rsidRPr="00054570">
          <w:fldChar w:fldCharType="end"/>
        </w:r>
      </w:hyperlink>
    </w:p>
    <w:p w14:paraId="2413623E" w14:textId="2215D5D6" w:rsidR="000B148D" w:rsidRDefault="000B148D" w:rsidP="000B148D">
      <w:pPr>
        <w:pStyle w:val="Body"/>
      </w:pPr>
      <w:r w:rsidRPr="00054570">
        <w:t>In the T</w:t>
      </w:r>
      <w:r w:rsidRPr="00054570">
        <w:noBreakHyphen/>
        <w:t>DXd arm, TEAEs leading to discontinuation or dose reduction occurred in</w:t>
      </w:r>
      <w:r w:rsidR="00B83163">
        <w:t xml:space="preserve"> </w:t>
      </w:r>
      <w:r w:rsidRPr="00054570">
        <w:t>60</w:t>
      </w:r>
      <w:r w:rsidR="00B83163">
        <w:t xml:space="preserve"> </w:t>
      </w:r>
      <w:r w:rsidRPr="00054570">
        <w:t>patients (16.2%) and 84 patients (22.6%), respectively, and in the TPC arm, 14 patients (8.1%) and 66 patients (38.4%), respectively, with most considered drug</w:t>
      </w:r>
      <w:r w:rsidR="008A68B0">
        <w:t>-</w:t>
      </w:r>
      <w:r w:rsidRPr="00054570">
        <w:t>related (see</w:t>
      </w:r>
      <w:r>
        <w:t xml:space="preserve"> </w:t>
      </w:r>
      <w:r w:rsidRPr="00CA625D">
        <w:rPr>
          <w:b/>
          <w:bCs/>
        </w:rPr>
        <w:fldChar w:fldCharType="begin"/>
      </w:r>
      <w:r w:rsidRPr="00CA625D">
        <w:rPr>
          <w:b/>
          <w:bCs/>
        </w:rPr>
        <w:instrText xml:space="preserve"> REF _Ref88471079 \h </w:instrText>
      </w:r>
      <w:r>
        <w:rPr>
          <w:b/>
          <w:bCs/>
        </w:rPr>
        <w:instrText xml:space="preserve"> \* MERGEFORMAT </w:instrText>
      </w:r>
      <w:r w:rsidRPr="00CA625D">
        <w:rPr>
          <w:b/>
          <w:bCs/>
        </w:rPr>
      </w:r>
      <w:r w:rsidRPr="00CA625D">
        <w:rPr>
          <w:b/>
          <w:bCs/>
        </w:rPr>
        <w:fldChar w:fldCharType="separate"/>
      </w:r>
      <w:r w:rsidR="00145F42" w:rsidRPr="00145F42">
        <w:rPr>
          <w:b/>
          <w:bCs/>
        </w:rPr>
        <w:t xml:space="preserve">Table </w:t>
      </w:r>
      <w:r w:rsidR="00145F42" w:rsidRPr="00145F42">
        <w:rPr>
          <w:b/>
          <w:bCs/>
          <w:noProof/>
        </w:rPr>
        <w:t>23</w:t>
      </w:r>
      <w:r w:rsidRPr="00CA625D">
        <w:rPr>
          <w:b/>
          <w:bCs/>
        </w:rPr>
        <w:fldChar w:fldCharType="end"/>
      </w:r>
      <w:r w:rsidRPr="00054570">
        <w:t>).</w:t>
      </w:r>
      <w:r>
        <w:fldChar w:fldCharType="begin"/>
      </w:r>
      <w:r w:rsidR="00CA6345">
        <w:instrText xml:space="preserve"> ADDIN ZOTERO_ITEM CSL_CITATION {"citationID":"Yc3Ai74V","properties":{"formattedCitation":"\\super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054570">
        <w:t xml:space="preserve"> </w:t>
      </w:r>
    </w:p>
    <w:p w14:paraId="16ACAFE7" w14:textId="10ADEC41" w:rsidR="000B148D" w:rsidRPr="00054570" w:rsidRDefault="000B148D" w:rsidP="000B148D">
      <w:pPr>
        <w:pStyle w:val="Body"/>
      </w:pPr>
      <w:r w:rsidRPr="00054570">
        <w:t xml:space="preserve">The proportion of TEAEs by cycle was highest in </w:t>
      </w:r>
      <w:r w:rsidR="00294FDC" w:rsidRPr="00294FDC">
        <w:rPr>
          <w:color w:val="000000"/>
          <w:highlight w:val="black"/>
        </w:rPr>
        <w:t>xxxxxxx</w:t>
      </w:r>
      <w:r w:rsidRPr="00054570">
        <w:t xml:space="preserve">, and generally </w:t>
      </w:r>
      <w:r w:rsidR="00294FDC" w:rsidRPr="00294FDC">
        <w:rPr>
          <w:color w:val="000000"/>
          <w:highlight w:val="black"/>
        </w:rPr>
        <w:t>xxxxxxxx</w:t>
      </w:r>
      <w:r w:rsidRPr="00054570">
        <w:t xml:space="preserve"> across subsequent cycles (</w:t>
      </w:r>
      <w:r w:rsidRPr="00ED2B1B">
        <w:rPr>
          <w:b/>
          <w:bCs/>
        </w:rPr>
        <w:fldChar w:fldCharType="begin"/>
      </w:r>
      <w:r w:rsidRPr="00ED2B1B">
        <w:rPr>
          <w:b/>
          <w:bCs/>
        </w:rPr>
        <w:instrText xml:space="preserve"> REF _Ref97026307 \h </w:instrText>
      </w:r>
      <w:r>
        <w:rPr>
          <w:b/>
          <w:bCs/>
        </w:rPr>
        <w:instrText xml:space="preserve"> \* MERGEFORMAT </w:instrText>
      </w:r>
      <w:r w:rsidRPr="00ED2B1B">
        <w:rPr>
          <w:b/>
          <w:bCs/>
        </w:rPr>
      </w:r>
      <w:r w:rsidRPr="00ED2B1B">
        <w:rPr>
          <w:b/>
          <w:bCs/>
        </w:rPr>
        <w:fldChar w:fldCharType="separate"/>
      </w:r>
      <w:r w:rsidR="00145F42" w:rsidRPr="00145F42">
        <w:rPr>
          <w:b/>
          <w:bCs/>
        </w:rPr>
        <w:t xml:space="preserve">Table </w:t>
      </w:r>
      <w:r w:rsidR="00145F42" w:rsidRPr="00145F42">
        <w:rPr>
          <w:b/>
          <w:bCs/>
          <w:noProof/>
        </w:rPr>
        <w:t>24</w:t>
      </w:r>
      <w:r w:rsidRPr="00ED2B1B">
        <w:rPr>
          <w:b/>
          <w:bCs/>
        </w:rPr>
        <w:fldChar w:fldCharType="end"/>
      </w:r>
      <w:r w:rsidRPr="00054570">
        <w:t>).</w:t>
      </w:r>
      <w:r w:rsidRPr="00054570">
        <w:fldChar w:fldCharType="begin"/>
      </w:r>
      <w:r w:rsidR="00CA6345">
        <w:instrText xml:space="preserve"> ADDIN ZOTERO_ITEM CSL_CITATION {"citationID":"Q5FuXl4y","properties":{"formattedCitation":"\\super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r w:rsidRPr="00054570">
        <w:t xml:space="preserve"> </w:t>
      </w:r>
      <w:r>
        <w:t xml:space="preserve">Each of the </w:t>
      </w:r>
      <w:r w:rsidRPr="00CB2DA2">
        <w:t>final</w:t>
      </w:r>
      <w:r>
        <w:t xml:space="preserve"> two rows in </w:t>
      </w:r>
      <w:r w:rsidRPr="002F197C">
        <w:rPr>
          <w:b/>
          <w:bCs/>
        </w:rPr>
        <w:fldChar w:fldCharType="begin"/>
      </w:r>
      <w:r w:rsidRPr="002F197C">
        <w:rPr>
          <w:b/>
          <w:bCs/>
        </w:rPr>
        <w:instrText xml:space="preserve"> REF _Ref97026307 \h </w:instrText>
      </w:r>
      <w:r>
        <w:rPr>
          <w:b/>
          <w:bCs/>
        </w:rPr>
        <w:instrText xml:space="preserve"> \* MERGEFORMAT </w:instrText>
      </w:r>
      <w:r w:rsidRPr="002F197C">
        <w:rPr>
          <w:b/>
          <w:bCs/>
        </w:rPr>
      </w:r>
      <w:r w:rsidRPr="002F197C">
        <w:rPr>
          <w:b/>
          <w:bCs/>
        </w:rPr>
        <w:fldChar w:fldCharType="separate"/>
      </w:r>
      <w:r w:rsidR="00145F42" w:rsidRPr="00145F42">
        <w:rPr>
          <w:b/>
          <w:bCs/>
        </w:rPr>
        <w:t xml:space="preserve">Table </w:t>
      </w:r>
      <w:r w:rsidR="00145F42" w:rsidRPr="00145F42">
        <w:rPr>
          <w:b/>
          <w:bCs/>
          <w:noProof/>
        </w:rPr>
        <w:t>24</w:t>
      </w:r>
      <w:r w:rsidRPr="002F197C">
        <w:rPr>
          <w:b/>
          <w:bCs/>
        </w:rPr>
        <w:fldChar w:fldCharType="end"/>
      </w:r>
      <w:r>
        <w:t xml:space="preserve"> contain more than one cycle, hence the proportion of patients with TEAEs appears to increase compared with the data for </w:t>
      </w:r>
      <w:r w:rsidR="00294FDC" w:rsidRPr="00294FDC">
        <w:rPr>
          <w:color w:val="000000"/>
          <w:highlight w:val="black"/>
        </w:rPr>
        <w:t>xxxxxxxx</w:t>
      </w:r>
      <w:r>
        <w:t xml:space="preserve"> through to </w:t>
      </w:r>
      <w:r w:rsidR="00294FDC" w:rsidRPr="00294FDC">
        <w:rPr>
          <w:color w:val="000000"/>
          <w:highlight w:val="black"/>
        </w:rPr>
        <w:t>x</w:t>
      </w:r>
      <w:r>
        <w:t xml:space="preserve">. </w:t>
      </w:r>
      <w:r w:rsidRPr="00054570">
        <w:t xml:space="preserve">Overall, treatment discontinuation </w:t>
      </w:r>
      <w:r>
        <w:t>rates were relatively low considering that</w:t>
      </w:r>
      <w:r w:rsidRPr="00054570">
        <w:t xml:space="preserve"> most patients experienc</w:t>
      </w:r>
      <w:r>
        <w:t>ed</w:t>
      </w:r>
      <w:r w:rsidRPr="00054570">
        <w:t xml:space="preserve"> TEAEs</w:t>
      </w:r>
      <w:r>
        <w:t xml:space="preserve"> </w:t>
      </w:r>
      <w:r w:rsidRPr="00054570">
        <w:t>(</w:t>
      </w:r>
      <w:r w:rsidRPr="0034087F">
        <w:rPr>
          <w:b/>
          <w:bCs/>
        </w:rPr>
        <w:fldChar w:fldCharType="begin"/>
      </w:r>
      <w:r w:rsidRPr="0034087F">
        <w:rPr>
          <w:b/>
          <w:bCs/>
        </w:rPr>
        <w:instrText xml:space="preserve"> REF _Ref88471079 \h  \* MERGEFORMAT </w:instrText>
      </w:r>
      <w:r w:rsidRPr="0034087F">
        <w:rPr>
          <w:b/>
          <w:bCs/>
        </w:rPr>
      </w:r>
      <w:r w:rsidRPr="0034087F">
        <w:rPr>
          <w:b/>
          <w:bCs/>
        </w:rPr>
        <w:fldChar w:fldCharType="separate"/>
      </w:r>
      <w:r w:rsidR="00145F42" w:rsidRPr="00145F42">
        <w:rPr>
          <w:b/>
          <w:bCs/>
        </w:rPr>
        <w:t xml:space="preserve">Table </w:t>
      </w:r>
      <w:r w:rsidR="00145F42" w:rsidRPr="00145F42">
        <w:rPr>
          <w:b/>
          <w:bCs/>
          <w:noProof/>
        </w:rPr>
        <w:t>23</w:t>
      </w:r>
      <w:r w:rsidRPr="0034087F">
        <w:rPr>
          <w:b/>
          <w:bCs/>
        </w:rPr>
        <w:fldChar w:fldCharType="end"/>
      </w:r>
      <w:r w:rsidRPr="00054570">
        <w:t xml:space="preserve">). </w:t>
      </w:r>
    </w:p>
    <w:p w14:paraId="79E5006A" w14:textId="56EA63F0" w:rsidR="000B148D" w:rsidRPr="00054570" w:rsidRDefault="000B148D" w:rsidP="000B148D">
      <w:pPr>
        <w:pStyle w:val="Caption"/>
      </w:pPr>
      <w:bookmarkStart w:id="329" w:name="_Ref88471079"/>
      <w:bookmarkStart w:id="330" w:name="_Toc95826070"/>
      <w:bookmarkStart w:id="331" w:name="_Ref124434533"/>
      <w:bookmarkStart w:id="332" w:name="_Toc124447883"/>
      <w:bookmarkStart w:id="333" w:name="_Toc129350998"/>
      <w:r w:rsidRPr="00054570">
        <w:t xml:space="preserve">Table </w:t>
      </w:r>
      <w:r w:rsidRPr="00054570">
        <w:fldChar w:fldCharType="begin"/>
      </w:r>
      <w:r w:rsidRPr="00054570">
        <w:instrText>SEQ Table \* ARABIC</w:instrText>
      </w:r>
      <w:r w:rsidRPr="00054570">
        <w:fldChar w:fldCharType="separate"/>
      </w:r>
      <w:r w:rsidR="00145F42">
        <w:rPr>
          <w:noProof/>
        </w:rPr>
        <w:t>23</w:t>
      </w:r>
      <w:r w:rsidRPr="00054570">
        <w:fldChar w:fldCharType="end"/>
      </w:r>
      <w:bookmarkEnd w:id="329"/>
      <w:r w:rsidRPr="00054570">
        <w:t>: DESTINY-Breast04 | Summary of TEAEs | SAS</w:t>
      </w:r>
      <w:bookmarkEnd w:id="330"/>
      <w:bookmarkEnd w:id="331"/>
      <w:bookmarkEnd w:id="332"/>
      <w:bookmarkEnd w:id="333"/>
    </w:p>
    <w:tbl>
      <w:tblPr>
        <w:tblStyle w:val="Generaltable"/>
        <w:tblW w:w="0" w:type="auto"/>
        <w:tblLook w:val="04A0" w:firstRow="1" w:lastRow="0" w:firstColumn="1" w:lastColumn="0" w:noHBand="0" w:noVBand="1"/>
      </w:tblPr>
      <w:tblGrid>
        <w:gridCol w:w="6091"/>
        <w:gridCol w:w="1462"/>
        <w:gridCol w:w="1463"/>
      </w:tblGrid>
      <w:tr w:rsidR="000B148D" w:rsidRPr="00054570" w14:paraId="04FB982D" w14:textId="77777777" w:rsidTr="00E85FFB">
        <w:trPr>
          <w:cnfStyle w:val="100000000000" w:firstRow="1" w:lastRow="0" w:firstColumn="0" w:lastColumn="0" w:oddVBand="0" w:evenVBand="0" w:oddHBand="0" w:evenHBand="0" w:firstRowFirstColumn="0" w:firstRowLastColumn="0" w:lastRowFirstColumn="0" w:lastRowLastColumn="0"/>
          <w:tblHeader/>
        </w:trPr>
        <w:tc>
          <w:tcPr>
            <w:tcW w:w="6091" w:type="dxa"/>
            <w:shd w:val="clear" w:color="auto" w:fill="F2F2F2" w:themeFill="background1" w:themeFillShade="F2"/>
            <w:vAlign w:val="bottom"/>
          </w:tcPr>
          <w:p w14:paraId="614DD7FE" w14:textId="724CDA04" w:rsidR="000B148D" w:rsidRPr="00054570" w:rsidRDefault="00E85FFB" w:rsidP="00E85FFB">
            <w:pPr>
              <w:pStyle w:val="Tableheading"/>
              <w:spacing w:before="0" w:after="0"/>
            </w:pPr>
            <w:r>
              <w:t>N</w:t>
            </w:r>
            <w:r w:rsidRPr="00054570">
              <w:t xml:space="preserve"> </w:t>
            </w:r>
            <w:r w:rsidR="000B148D" w:rsidRPr="00054570">
              <w:t>(%)</w:t>
            </w:r>
          </w:p>
        </w:tc>
        <w:tc>
          <w:tcPr>
            <w:tcW w:w="1462" w:type="dxa"/>
            <w:shd w:val="clear" w:color="auto" w:fill="F2F2F2" w:themeFill="background1" w:themeFillShade="F2"/>
          </w:tcPr>
          <w:p w14:paraId="02642449" w14:textId="77777777" w:rsidR="000B148D" w:rsidRPr="00054570" w:rsidRDefault="000B148D" w:rsidP="00E85FFB">
            <w:pPr>
              <w:pStyle w:val="Tableheading"/>
              <w:spacing w:before="0" w:after="0"/>
              <w:jc w:val="center"/>
            </w:pPr>
            <w:r w:rsidRPr="00054570">
              <w:t>T-DXd</w:t>
            </w:r>
          </w:p>
          <w:p w14:paraId="56D0C568" w14:textId="77777777" w:rsidR="000B148D" w:rsidRPr="00054570" w:rsidRDefault="000B148D" w:rsidP="00E85FFB">
            <w:pPr>
              <w:pStyle w:val="Tableheading"/>
              <w:spacing w:before="0" w:after="0"/>
              <w:jc w:val="center"/>
            </w:pPr>
            <w:r w:rsidRPr="00054570">
              <w:t>(</w:t>
            </w:r>
            <w:r>
              <w:t>N=</w:t>
            </w:r>
            <w:r w:rsidRPr="00054570">
              <w:t>371)</w:t>
            </w:r>
          </w:p>
        </w:tc>
        <w:tc>
          <w:tcPr>
            <w:tcW w:w="1463" w:type="dxa"/>
            <w:shd w:val="clear" w:color="auto" w:fill="F2F2F2" w:themeFill="background1" w:themeFillShade="F2"/>
          </w:tcPr>
          <w:p w14:paraId="22320C2A" w14:textId="77777777" w:rsidR="000B148D" w:rsidRPr="00054570" w:rsidRDefault="000B148D" w:rsidP="00E85FFB">
            <w:pPr>
              <w:pStyle w:val="Tableheading"/>
              <w:spacing w:before="0" w:after="0"/>
              <w:jc w:val="center"/>
            </w:pPr>
            <w:r w:rsidRPr="00054570">
              <w:t>TPC</w:t>
            </w:r>
          </w:p>
          <w:p w14:paraId="75096884" w14:textId="77777777" w:rsidR="000B148D" w:rsidRPr="00054570" w:rsidRDefault="000B148D" w:rsidP="00E85FFB">
            <w:pPr>
              <w:pStyle w:val="Tableheading"/>
              <w:spacing w:before="0" w:after="0"/>
              <w:jc w:val="center"/>
            </w:pPr>
            <w:r w:rsidRPr="00054570">
              <w:t>(</w:t>
            </w:r>
            <w:r>
              <w:t>N=</w:t>
            </w:r>
            <w:r w:rsidRPr="00054570">
              <w:t>172)</w:t>
            </w:r>
          </w:p>
        </w:tc>
      </w:tr>
      <w:tr w:rsidR="000B148D" w:rsidRPr="00054570" w14:paraId="0D87BC3F" w14:textId="77777777" w:rsidTr="00E85FFB">
        <w:tc>
          <w:tcPr>
            <w:tcW w:w="6091" w:type="dxa"/>
            <w:shd w:val="clear" w:color="auto" w:fill="F2F2F2" w:themeFill="background1" w:themeFillShade="F2"/>
          </w:tcPr>
          <w:p w14:paraId="4309B284" w14:textId="77777777" w:rsidR="000B148D" w:rsidRPr="00054570" w:rsidRDefault="000B148D" w:rsidP="00E85FFB">
            <w:pPr>
              <w:pStyle w:val="Tablebody"/>
              <w:keepNext/>
              <w:spacing w:before="0" w:after="0"/>
              <w:rPr>
                <w:b/>
                <w:bCs/>
              </w:rPr>
            </w:pPr>
            <w:r w:rsidRPr="00054570">
              <w:rPr>
                <w:b/>
                <w:bCs/>
              </w:rPr>
              <w:t>Any TEAE</w:t>
            </w:r>
          </w:p>
        </w:tc>
        <w:tc>
          <w:tcPr>
            <w:tcW w:w="1462" w:type="dxa"/>
          </w:tcPr>
          <w:p w14:paraId="66124652" w14:textId="77777777" w:rsidR="000B148D" w:rsidRPr="00054570" w:rsidRDefault="000B148D" w:rsidP="00E85FFB">
            <w:pPr>
              <w:pStyle w:val="Tablebody"/>
              <w:spacing w:before="0" w:after="0"/>
              <w:jc w:val="center"/>
            </w:pPr>
            <w:r w:rsidRPr="00054570">
              <w:rPr>
                <w:rFonts w:eastAsia="Times New Roman" w:cs="Arial"/>
              </w:rPr>
              <w:t xml:space="preserve">369 (99.5) </w:t>
            </w:r>
          </w:p>
        </w:tc>
        <w:tc>
          <w:tcPr>
            <w:tcW w:w="1463" w:type="dxa"/>
          </w:tcPr>
          <w:p w14:paraId="6620A5DB" w14:textId="77777777" w:rsidR="000B148D" w:rsidRPr="00054570" w:rsidRDefault="000B148D" w:rsidP="00E85FFB">
            <w:pPr>
              <w:pStyle w:val="Tablebody"/>
              <w:spacing w:before="0" w:after="0"/>
              <w:jc w:val="center"/>
            </w:pPr>
            <w:r w:rsidRPr="00054570">
              <w:rPr>
                <w:rFonts w:eastAsia="Times New Roman" w:cs="Arial"/>
              </w:rPr>
              <w:t xml:space="preserve">169 (98.3) </w:t>
            </w:r>
          </w:p>
        </w:tc>
      </w:tr>
      <w:tr w:rsidR="000B148D" w:rsidRPr="00054570" w14:paraId="0CBD93CC" w14:textId="77777777" w:rsidTr="00E85FFB">
        <w:tc>
          <w:tcPr>
            <w:tcW w:w="6091" w:type="dxa"/>
            <w:shd w:val="clear" w:color="auto" w:fill="F2F2F2" w:themeFill="background1" w:themeFillShade="F2"/>
          </w:tcPr>
          <w:p w14:paraId="2B4D6FC4" w14:textId="77777777" w:rsidR="000B148D" w:rsidRPr="00054570" w:rsidRDefault="000B148D" w:rsidP="00E85FFB">
            <w:pPr>
              <w:pStyle w:val="Tablebody"/>
              <w:spacing w:before="0" w:after="0"/>
              <w:ind w:left="174"/>
            </w:pPr>
            <w:r w:rsidRPr="00054570">
              <w:t>EAIR per patient-year of exposure</w:t>
            </w:r>
          </w:p>
        </w:tc>
        <w:tc>
          <w:tcPr>
            <w:tcW w:w="1462" w:type="dxa"/>
          </w:tcPr>
          <w:p w14:paraId="54C5727E" w14:textId="77777777" w:rsidR="000B148D" w:rsidRPr="00054570" w:rsidRDefault="000B148D" w:rsidP="00E85FFB">
            <w:pPr>
              <w:pStyle w:val="Tablebody"/>
              <w:spacing w:before="0" w:after="0"/>
              <w:jc w:val="center"/>
              <w:rPr>
                <w:highlight w:val="yellow"/>
                <w:u w:val="single"/>
              </w:rPr>
            </w:pPr>
            <w:r w:rsidRPr="00054570">
              <w:rPr>
                <w:rFonts w:eastAsia="Times New Roman" w:cs="Arial"/>
              </w:rPr>
              <w:t xml:space="preserve">1.30 </w:t>
            </w:r>
          </w:p>
        </w:tc>
        <w:tc>
          <w:tcPr>
            <w:tcW w:w="1463" w:type="dxa"/>
          </w:tcPr>
          <w:p w14:paraId="35C61FC5" w14:textId="77777777" w:rsidR="000B148D" w:rsidRPr="00054570" w:rsidRDefault="000B148D" w:rsidP="00E85FFB">
            <w:pPr>
              <w:pStyle w:val="Tablebody"/>
              <w:spacing w:before="0" w:after="0"/>
              <w:jc w:val="center"/>
              <w:rPr>
                <w:highlight w:val="yellow"/>
                <w:u w:val="single"/>
              </w:rPr>
            </w:pPr>
            <w:r w:rsidRPr="00054570">
              <w:rPr>
                <w:rFonts w:eastAsia="Times New Roman" w:cs="Arial"/>
              </w:rPr>
              <w:t xml:space="preserve">2.66 </w:t>
            </w:r>
          </w:p>
        </w:tc>
      </w:tr>
      <w:tr w:rsidR="000B148D" w:rsidRPr="00054570" w14:paraId="07F9B0A7" w14:textId="77777777" w:rsidTr="00E85FFB">
        <w:tc>
          <w:tcPr>
            <w:tcW w:w="6091" w:type="dxa"/>
            <w:shd w:val="clear" w:color="auto" w:fill="F2F2F2" w:themeFill="background1" w:themeFillShade="F2"/>
          </w:tcPr>
          <w:p w14:paraId="5FDBBAAC" w14:textId="77777777" w:rsidR="000B148D" w:rsidRPr="00054570" w:rsidRDefault="000B148D" w:rsidP="00E85FFB">
            <w:pPr>
              <w:pStyle w:val="Tablebody"/>
              <w:spacing w:before="0" w:after="0"/>
              <w:ind w:left="174"/>
            </w:pPr>
            <w:r w:rsidRPr="00054570">
              <w:t>Any drug-related TEAE</w:t>
            </w:r>
          </w:p>
        </w:tc>
        <w:tc>
          <w:tcPr>
            <w:tcW w:w="1462" w:type="dxa"/>
          </w:tcPr>
          <w:p w14:paraId="0B952FDB" w14:textId="5CA7A76E" w:rsidR="000B148D" w:rsidRPr="00294FDC" w:rsidRDefault="00294FDC" w:rsidP="00E85FFB">
            <w:pPr>
              <w:pStyle w:val="Tablebody"/>
              <w:spacing w:before="0" w:after="0"/>
              <w:jc w:val="center"/>
              <w:rPr>
                <w:color w:val="000000"/>
                <w:highlight w:val="black"/>
              </w:rPr>
            </w:pPr>
            <w:r w:rsidRPr="00294FDC">
              <w:rPr>
                <w:rFonts w:eastAsia="Times New Roman" w:cs="Arial"/>
                <w:color w:val="000000"/>
                <w:highlight w:val="black"/>
              </w:rPr>
              <w:t>xxxxxxxxxxx</w:t>
            </w:r>
          </w:p>
        </w:tc>
        <w:tc>
          <w:tcPr>
            <w:tcW w:w="1463" w:type="dxa"/>
          </w:tcPr>
          <w:p w14:paraId="75599017" w14:textId="6EA946C8" w:rsidR="000B148D" w:rsidRPr="00294FDC" w:rsidRDefault="00294FDC" w:rsidP="00E85FFB">
            <w:pPr>
              <w:pStyle w:val="Tablebody"/>
              <w:spacing w:before="0" w:after="0"/>
              <w:jc w:val="center"/>
              <w:rPr>
                <w:color w:val="000000"/>
                <w:highlight w:val="black"/>
              </w:rPr>
            </w:pPr>
            <w:r w:rsidRPr="00294FDC">
              <w:rPr>
                <w:rFonts w:eastAsia="Times New Roman" w:cs="Arial"/>
                <w:color w:val="000000"/>
                <w:highlight w:val="black"/>
              </w:rPr>
              <w:t>xxxxxxxxxxx</w:t>
            </w:r>
          </w:p>
        </w:tc>
      </w:tr>
      <w:tr w:rsidR="000B148D" w:rsidRPr="00054570" w14:paraId="71BA9D53" w14:textId="77777777" w:rsidTr="00E85FFB">
        <w:tc>
          <w:tcPr>
            <w:tcW w:w="6091" w:type="dxa"/>
            <w:shd w:val="clear" w:color="auto" w:fill="F2F2F2" w:themeFill="background1" w:themeFillShade="F2"/>
          </w:tcPr>
          <w:p w14:paraId="10FAB888" w14:textId="77777777" w:rsidR="000B148D" w:rsidRPr="00054570" w:rsidRDefault="000B148D" w:rsidP="00E85FFB">
            <w:pPr>
              <w:pStyle w:val="Tablebody"/>
              <w:keepNext/>
              <w:spacing w:before="0" w:after="0"/>
              <w:rPr>
                <w:b/>
                <w:bCs/>
              </w:rPr>
            </w:pPr>
            <w:r w:rsidRPr="00054570">
              <w:rPr>
                <w:b/>
                <w:bCs/>
              </w:rPr>
              <w:t>TEAE Grade ≥3</w:t>
            </w:r>
          </w:p>
        </w:tc>
        <w:tc>
          <w:tcPr>
            <w:tcW w:w="1462" w:type="dxa"/>
          </w:tcPr>
          <w:p w14:paraId="7D860647" w14:textId="77777777" w:rsidR="000B148D" w:rsidRPr="00054570" w:rsidRDefault="000B148D" w:rsidP="00E85FFB">
            <w:pPr>
              <w:pStyle w:val="Tablebody"/>
              <w:spacing w:before="0" w:after="0"/>
              <w:jc w:val="center"/>
            </w:pPr>
            <w:r w:rsidRPr="00054570">
              <w:rPr>
                <w:rFonts w:eastAsia="Times New Roman" w:cs="Arial"/>
              </w:rPr>
              <w:t xml:space="preserve">195 (52.6) </w:t>
            </w:r>
          </w:p>
        </w:tc>
        <w:tc>
          <w:tcPr>
            <w:tcW w:w="1463" w:type="dxa"/>
          </w:tcPr>
          <w:p w14:paraId="19ABDFEF" w14:textId="77777777" w:rsidR="000B148D" w:rsidRPr="00054570" w:rsidRDefault="000B148D" w:rsidP="00E85FFB">
            <w:pPr>
              <w:pStyle w:val="Tablebody"/>
              <w:spacing w:before="0" w:after="0"/>
              <w:jc w:val="center"/>
            </w:pPr>
            <w:r w:rsidRPr="00054570">
              <w:rPr>
                <w:rFonts w:eastAsia="Times New Roman" w:cs="Arial"/>
              </w:rPr>
              <w:t xml:space="preserve">116 (67.4) </w:t>
            </w:r>
          </w:p>
        </w:tc>
      </w:tr>
      <w:tr w:rsidR="000B148D" w:rsidRPr="00054570" w14:paraId="6AE41632" w14:textId="77777777" w:rsidTr="00E85FFB">
        <w:tc>
          <w:tcPr>
            <w:tcW w:w="6091" w:type="dxa"/>
            <w:shd w:val="clear" w:color="auto" w:fill="F2F2F2" w:themeFill="background1" w:themeFillShade="F2"/>
          </w:tcPr>
          <w:p w14:paraId="1F3280A0" w14:textId="77777777" w:rsidR="000B148D" w:rsidRPr="00054570" w:rsidRDefault="000B148D" w:rsidP="00E85FFB">
            <w:pPr>
              <w:pStyle w:val="Tablebody"/>
              <w:spacing w:before="0" w:after="0"/>
              <w:ind w:left="174"/>
            </w:pPr>
            <w:r w:rsidRPr="00054570">
              <w:t>EAIR per patient-year of exposure</w:t>
            </w:r>
          </w:p>
        </w:tc>
        <w:tc>
          <w:tcPr>
            <w:tcW w:w="1462" w:type="dxa"/>
          </w:tcPr>
          <w:p w14:paraId="6F7D3D2F" w14:textId="77777777" w:rsidR="000B148D" w:rsidRPr="00054570" w:rsidRDefault="000B148D" w:rsidP="00E85FFB">
            <w:pPr>
              <w:pStyle w:val="Tablebody"/>
              <w:spacing w:before="0" w:after="0"/>
              <w:jc w:val="center"/>
              <w:rPr>
                <w:highlight w:val="yellow"/>
                <w:u w:val="single"/>
              </w:rPr>
            </w:pPr>
            <w:r w:rsidRPr="00054570">
              <w:rPr>
                <w:rFonts w:eastAsia="Times New Roman" w:cs="Arial"/>
              </w:rPr>
              <w:t xml:space="preserve">0.69 </w:t>
            </w:r>
          </w:p>
        </w:tc>
        <w:tc>
          <w:tcPr>
            <w:tcW w:w="1463" w:type="dxa"/>
          </w:tcPr>
          <w:p w14:paraId="32A123B8" w14:textId="77777777" w:rsidR="000B148D" w:rsidRPr="00054570" w:rsidRDefault="000B148D" w:rsidP="00E85FFB">
            <w:pPr>
              <w:pStyle w:val="Tablebody"/>
              <w:spacing w:before="0" w:after="0"/>
              <w:jc w:val="center"/>
              <w:rPr>
                <w:highlight w:val="yellow"/>
                <w:u w:val="single"/>
              </w:rPr>
            </w:pPr>
            <w:r w:rsidRPr="00054570">
              <w:rPr>
                <w:rFonts w:eastAsia="Times New Roman" w:cs="Arial"/>
              </w:rPr>
              <w:t xml:space="preserve">1.82 </w:t>
            </w:r>
          </w:p>
        </w:tc>
      </w:tr>
      <w:tr w:rsidR="000B148D" w:rsidRPr="00054570" w14:paraId="17C63EEF" w14:textId="77777777" w:rsidTr="00E85FFB">
        <w:tc>
          <w:tcPr>
            <w:tcW w:w="6091" w:type="dxa"/>
            <w:shd w:val="clear" w:color="auto" w:fill="F2F2F2" w:themeFill="background1" w:themeFillShade="F2"/>
          </w:tcPr>
          <w:p w14:paraId="4B345986" w14:textId="77777777" w:rsidR="000B148D" w:rsidRPr="00054570" w:rsidRDefault="000B148D" w:rsidP="00E85FFB">
            <w:pPr>
              <w:pStyle w:val="Tablebody"/>
              <w:spacing w:before="0" w:after="0"/>
              <w:ind w:left="174"/>
            </w:pPr>
            <w:r w:rsidRPr="00054570">
              <w:t>Drug-related TEAE Grade ≥3</w:t>
            </w:r>
          </w:p>
        </w:tc>
        <w:tc>
          <w:tcPr>
            <w:tcW w:w="1462" w:type="dxa"/>
          </w:tcPr>
          <w:p w14:paraId="325B501C" w14:textId="6B8F8CF3" w:rsidR="000B148D" w:rsidRPr="00294FDC" w:rsidRDefault="00294FDC" w:rsidP="00E85FFB">
            <w:pPr>
              <w:pStyle w:val="Tablebody"/>
              <w:spacing w:before="0" w:after="0"/>
              <w:jc w:val="center"/>
              <w:rPr>
                <w:color w:val="000000"/>
                <w:highlight w:val="black"/>
              </w:rPr>
            </w:pPr>
            <w:r w:rsidRPr="00294FDC">
              <w:rPr>
                <w:rFonts w:eastAsia="Times New Roman" w:cs="Arial"/>
                <w:color w:val="000000"/>
                <w:highlight w:val="black"/>
              </w:rPr>
              <w:t>xxxxxxxxxxx</w:t>
            </w:r>
          </w:p>
        </w:tc>
        <w:tc>
          <w:tcPr>
            <w:tcW w:w="1463" w:type="dxa"/>
          </w:tcPr>
          <w:p w14:paraId="741D0142" w14:textId="30985432" w:rsidR="000B148D" w:rsidRPr="00294FDC" w:rsidRDefault="00294FDC" w:rsidP="00E85FFB">
            <w:pPr>
              <w:pStyle w:val="Tablebody"/>
              <w:spacing w:before="0" w:after="0"/>
              <w:jc w:val="center"/>
              <w:rPr>
                <w:color w:val="000000"/>
                <w:highlight w:val="black"/>
              </w:rPr>
            </w:pPr>
            <w:r w:rsidRPr="00294FDC">
              <w:rPr>
                <w:rFonts w:eastAsia="Times New Roman" w:cs="Arial"/>
                <w:color w:val="000000"/>
                <w:highlight w:val="black"/>
              </w:rPr>
              <w:t>xxxxxxxxxx</w:t>
            </w:r>
          </w:p>
        </w:tc>
      </w:tr>
      <w:tr w:rsidR="000B148D" w:rsidRPr="00054570" w14:paraId="169C1A77" w14:textId="77777777" w:rsidTr="00E85FFB">
        <w:tc>
          <w:tcPr>
            <w:tcW w:w="6091" w:type="dxa"/>
            <w:shd w:val="clear" w:color="auto" w:fill="F2F2F2" w:themeFill="background1" w:themeFillShade="F2"/>
          </w:tcPr>
          <w:p w14:paraId="2B691757" w14:textId="77777777" w:rsidR="000B148D" w:rsidRPr="00054570" w:rsidRDefault="000B148D" w:rsidP="00E85FFB">
            <w:pPr>
              <w:pStyle w:val="Tablebody"/>
              <w:keepNext/>
              <w:spacing w:before="0" w:after="0"/>
              <w:rPr>
                <w:b/>
                <w:bCs/>
              </w:rPr>
            </w:pPr>
            <w:r w:rsidRPr="00054570">
              <w:rPr>
                <w:b/>
                <w:bCs/>
              </w:rPr>
              <w:t>Serious TEAE</w:t>
            </w:r>
          </w:p>
        </w:tc>
        <w:tc>
          <w:tcPr>
            <w:tcW w:w="1462" w:type="dxa"/>
          </w:tcPr>
          <w:p w14:paraId="79B12723" w14:textId="77777777" w:rsidR="000B148D" w:rsidRPr="00054570" w:rsidRDefault="000B148D" w:rsidP="00E85FFB">
            <w:pPr>
              <w:pStyle w:val="Tablebody"/>
              <w:spacing w:before="0" w:after="0"/>
              <w:jc w:val="center"/>
            </w:pPr>
            <w:r w:rsidRPr="00054570">
              <w:rPr>
                <w:rFonts w:eastAsia="Times New Roman" w:cs="Arial"/>
              </w:rPr>
              <w:t xml:space="preserve">103 (27.8) </w:t>
            </w:r>
          </w:p>
        </w:tc>
        <w:tc>
          <w:tcPr>
            <w:tcW w:w="1463" w:type="dxa"/>
          </w:tcPr>
          <w:p w14:paraId="1C37754F" w14:textId="77777777" w:rsidR="000B148D" w:rsidRPr="00054570" w:rsidRDefault="000B148D" w:rsidP="00E85FFB">
            <w:pPr>
              <w:pStyle w:val="Tablebody"/>
              <w:spacing w:before="0" w:after="0"/>
              <w:jc w:val="center"/>
            </w:pPr>
            <w:r w:rsidRPr="00054570">
              <w:rPr>
                <w:rFonts w:eastAsia="Times New Roman" w:cs="Arial"/>
              </w:rPr>
              <w:t xml:space="preserve">43 (25.0) </w:t>
            </w:r>
          </w:p>
        </w:tc>
      </w:tr>
      <w:tr w:rsidR="000B148D" w:rsidRPr="00054570" w14:paraId="5A870895" w14:textId="77777777" w:rsidTr="00E85FFB">
        <w:tc>
          <w:tcPr>
            <w:tcW w:w="6091" w:type="dxa"/>
            <w:shd w:val="clear" w:color="auto" w:fill="F2F2F2" w:themeFill="background1" w:themeFillShade="F2"/>
          </w:tcPr>
          <w:p w14:paraId="7DAFF4A2" w14:textId="77777777" w:rsidR="000B148D" w:rsidRPr="00054570" w:rsidRDefault="000B148D" w:rsidP="00E85FFB">
            <w:pPr>
              <w:pStyle w:val="Tablebody"/>
              <w:spacing w:before="0" w:after="0"/>
              <w:ind w:left="174"/>
            </w:pPr>
            <w:r w:rsidRPr="00054570">
              <w:t>EAIR per patient-year of exposure</w:t>
            </w:r>
          </w:p>
        </w:tc>
        <w:tc>
          <w:tcPr>
            <w:tcW w:w="1462" w:type="dxa"/>
          </w:tcPr>
          <w:p w14:paraId="6248EDE6" w14:textId="77777777" w:rsidR="000B148D" w:rsidRPr="00054570" w:rsidRDefault="000B148D" w:rsidP="00E85FFB">
            <w:pPr>
              <w:pStyle w:val="Tablebody"/>
              <w:spacing w:before="0" w:after="0"/>
              <w:jc w:val="center"/>
              <w:rPr>
                <w:highlight w:val="yellow"/>
                <w:u w:val="single"/>
              </w:rPr>
            </w:pPr>
            <w:r w:rsidRPr="00054570">
              <w:rPr>
                <w:rFonts w:eastAsia="Times New Roman" w:cs="Arial"/>
              </w:rPr>
              <w:t xml:space="preserve">0.36 </w:t>
            </w:r>
          </w:p>
        </w:tc>
        <w:tc>
          <w:tcPr>
            <w:tcW w:w="1463" w:type="dxa"/>
          </w:tcPr>
          <w:p w14:paraId="22DB84EC" w14:textId="77777777" w:rsidR="000B148D" w:rsidRPr="00054570" w:rsidRDefault="000B148D" w:rsidP="00E85FFB">
            <w:pPr>
              <w:pStyle w:val="Tablebody"/>
              <w:spacing w:before="0" w:after="0"/>
              <w:jc w:val="center"/>
              <w:rPr>
                <w:highlight w:val="yellow"/>
                <w:u w:val="single"/>
              </w:rPr>
            </w:pPr>
            <w:r w:rsidRPr="00054570">
              <w:rPr>
                <w:rFonts w:eastAsia="Times New Roman" w:cs="Arial"/>
              </w:rPr>
              <w:t xml:space="preserve">0.68 </w:t>
            </w:r>
          </w:p>
        </w:tc>
      </w:tr>
      <w:tr w:rsidR="000B148D" w:rsidRPr="00054570" w14:paraId="57AE2576" w14:textId="77777777" w:rsidTr="00E85FFB">
        <w:tc>
          <w:tcPr>
            <w:tcW w:w="6091" w:type="dxa"/>
            <w:shd w:val="clear" w:color="auto" w:fill="F2F2F2" w:themeFill="background1" w:themeFillShade="F2"/>
          </w:tcPr>
          <w:p w14:paraId="09611479" w14:textId="77777777" w:rsidR="000B148D" w:rsidRPr="00054570" w:rsidRDefault="000B148D" w:rsidP="00E85FFB">
            <w:pPr>
              <w:pStyle w:val="Tablebody"/>
              <w:spacing w:before="0" w:after="0"/>
              <w:ind w:left="174"/>
            </w:pPr>
            <w:r w:rsidRPr="00054570">
              <w:t>Serious drug-related TEAE</w:t>
            </w:r>
          </w:p>
        </w:tc>
        <w:tc>
          <w:tcPr>
            <w:tcW w:w="1462" w:type="dxa"/>
          </w:tcPr>
          <w:p w14:paraId="6C5B1F5A" w14:textId="3D78828E" w:rsidR="000B148D" w:rsidRPr="00294FDC" w:rsidRDefault="00294FDC" w:rsidP="00E85FFB">
            <w:pPr>
              <w:pStyle w:val="Tablebody"/>
              <w:spacing w:before="0" w:after="0"/>
              <w:jc w:val="center"/>
              <w:rPr>
                <w:color w:val="000000"/>
                <w:highlight w:val="black"/>
              </w:rPr>
            </w:pPr>
            <w:r w:rsidRPr="00294FDC">
              <w:rPr>
                <w:rFonts w:eastAsia="Times New Roman" w:cs="Arial"/>
                <w:color w:val="000000"/>
                <w:highlight w:val="black"/>
              </w:rPr>
              <w:t>xxxxxxxxxx</w:t>
            </w:r>
          </w:p>
        </w:tc>
        <w:tc>
          <w:tcPr>
            <w:tcW w:w="1463" w:type="dxa"/>
          </w:tcPr>
          <w:p w14:paraId="7ECE9EC7" w14:textId="42F55FC4" w:rsidR="000B148D" w:rsidRPr="00294FDC" w:rsidRDefault="00294FDC" w:rsidP="00E85FFB">
            <w:pPr>
              <w:pStyle w:val="Tablebody"/>
              <w:spacing w:before="0" w:after="0"/>
              <w:jc w:val="center"/>
              <w:rPr>
                <w:color w:val="000000"/>
                <w:highlight w:val="black"/>
              </w:rPr>
            </w:pPr>
            <w:r w:rsidRPr="00294FDC">
              <w:rPr>
                <w:rFonts w:eastAsia="Times New Roman" w:cs="Arial"/>
                <w:color w:val="000000"/>
                <w:highlight w:val="black"/>
              </w:rPr>
              <w:t>xxxxxxxxxx</w:t>
            </w:r>
          </w:p>
        </w:tc>
      </w:tr>
      <w:tr w:rsidR="000B148D" w:rsidRPr="00054570" w14:paraId="756227DB" w14:textId="77777777" w:rsidTr="00E85FFB">
        <w:tc>
          <w:tcPr>
            <w:tcW w:w="6091" w:type="dxa"/>
            <w:shd w:val="clear" w:color="auto" w:fill="F2F2F2" w:themeFill="background1" w:themeFillShade="F2"/>
          </w:tcPr>
          <w:p w14:paraId="4EE012BB" w14:textId="77777777" w:rsidR="000B148D" w:rsidRPr="00054570" w:rsidRDefault="000B148D" w:rsidP="00E85FFB">
            <w:pPr>
              <w:pStyle w:val="Tablebody"/>
              <w:keepNext/>
              <w:spacing w:before="0" w:after="0"/>
              <w:rPr>
                <w:b/>
                <w:bCs/>
              </w:rPr>
            </w:pPr>
            <w:r w:rsidRPr="00054570">
              <w:rPr>
                <w:b/>
                <w:bCs/>
              </w:rPr>
              <w:t>TEAE associated with an outcome of death</w:t>
            </w:r>
          </w:p>
        </w:tc>
        <w:tc>
          <w:tcPr>
            <w:tcW w:w="1462" w:type="dxa"/>
          </w:tcPr>
          <w:p w14:paraId="053B7B3C" w14:textId="77777777" w:rsidR="000B148D" w:rsidRPr="00054570" w:rsidRDefault="000B148D" w:rsidP="00E85FFB">
            <w:pPr>
              <w:pStyle w:val="Tablebody"/>
              <w:spacing w:before="0" w:after="0"/>
              <w:jc w:val="center"/>
            </w:pPr>
            <w:r w:rsidRPr="00054570">
              <w:rPr>
                <w:rFonts w:eastAsia="Times New Roman" w:cs="Arial"/>
              </w:rPr>
              <w:t xml:space="preserve">14 (3.8) </w:t>
            </w:r>
          </w:p>
        </w:tc>
        <w:tc>
          <w:tcPr>
            <w:tcW w:w="1463" w:type="dxa"/>
          </w:tcPr>
          <w:p w14:paraId="55F36478" w14:textId="77777777" w:rsidR="000B148D" w:rsidRPr="00054570" w:rsidRDefault="000B148D" w:rsidP="00E85FFB">
            <w:pPr>
              <w:pStyle w:val="Tablebody"/>
              <w:spacing w:before="0" w:after="0"/>
              <w:jc w:val="center"/>
            </w:pPr>
            <w:r w:rsidRPr="00054570">
              <w:rPr>
                <w:rFonts w:eastAsia="Times New Roman" w:cs="Arial"/>
              </w:rPr>
              <w:t xml:space="preserve">5 (2.9) </w:t>
            </w:r>
          </w:p>
        </w:tc>
      </w:tr>
      <w:tr w:rsidR="000B148D" w:rsidRPr="00054570" w14:paraId="24988A77" w14:textId="77777777" w:rsidTr="00E85FFB">
        <w:tc>
          <w:tcPr>
            <w:tcW w:w="6091" w:type="dxa"/>
            <w:shd w:val="clear" w:color="auto" w:fill="F2F2F2" w:themeFill="background1" w:themeFillShade="F2"/>
          </w:tcPr>
          <w:p w14:paraId="519FFBB6" w14:textId="77777777" w:rsidR="000B148D" w:rsidRPr="00054570" w:rsidRDefault="000B148D" w:rsidP="00E85FFB">
            <w:pPr>
              <w:pStyle w:val="Tablebody"/>
              <w:spacing w:before="0" w:after="0"/>
              <w:ind w:left="174"/>
            </w:pPr>
            <w:r w:rsidRPr="00054570">
              <w:t>EAIR per patient-year of exposure</w:t>
            </w:r>
          </w:p>
        </w:tc>
        <w:tc>
          <w:tcPr>
            <w:tcW w:w="1462" w:type="dxa"/>
          </w:tcPr>
          <w:p w14:paraId="01885867" w14:textId="77777777" w:rsidR="000B148D" w:rsidRPr="00054570" w:rsidRDefault="000B148D" w:rsidP="00E85FFB">
            <w:pPr>
              <w:pStyle w:val="Tablebody"/>
              <w:spacing w:before="0" w:after="0"/>
              <w:jc w:val="center"/>
              <w:rPr>
                <w:rFonts w:eastAsia="Times New Roman" w:cs="Arial"/>
              </w:rPr>
            </w:pPr>
            <w:r w:rsidRPr="00054570">
              <w:rPr>
                <w:rFonts w:eastAsia="Times New Roman" w:cs="Arial"/>
              </w:rPr>
              <w:t>0.05</w:t>
            </w:r>
          </w:p>
        </w:tc>
        <w:tc>
          <w:tcPr>
            <w:tcW w:w="1463" w:type="dxa"/>
          </w:tcPr>
          <w:p w14:paraId="66B40E61" w14:textId="77777777" w:rsidR="000B148D" w:rsidRPr="00054570" w:rsidRDefault="000B148D" w:rsidP="00E85FFB">
            <w:pPr>
              <w:pStyle w:val="Tablebody"/>
              <w:spacing w:before="0" w:after="0"/>
              <w:jc w:val="center"/>
              <w:rPr>
                <w:rFonts w:eastAsia="Times New Roman" w:cs="Arial"/>
              </w:rPr>
            </w:pPr>
            <w:r w:rsidRPr="00054570">
              <w:rPr>
                <w:rFonts w:eastAsia="Times New Roman" w:cs="Arial"/>
              </w:rPr>
              <w:t>0.08</w:t>
            </w:r>
          </w:p>
        </w:tc>
      </w:tr>
      <w:tr w:rsidR="000B148D" w:rsidRPr="00054570" w14:paraId="606550A8" w14:textId="77777777" w:rsidTr="00E85FFB">
        <w:tc>
          <w:tcPr>
            <w:tcW w:w="6091" w:type="dxa"/>
            <w:shd w:val="clear" w:color="auto" w:fill="F2F2F2" w:themeFill="background1" w:themeFillShade="F2"/>
          </w:tcPr>
          <w:p w14:paraId="0B04B367" w14:textId="77777777" w:rsidR="000B148D" w:rsidRPr="00054570" w:rsidRDefault="000B148D" w:rsidP="00E85FFB">
            <w:pPr>
              <w:pStyle w:val="Tablebody"/>
              <w:spacing w:before="0" w:after="0"/>
              <w:ind w:left="174"/>
            </w:pPr>
            <w:r w:rsidRPr="00054570">
              <w:t>Drug-related TEAE associated with an outcome of death</w:t>
            </w:r>
          </w:p>
        </w:tc>
        <w:tc>
          <w:tcPr>
            <w:tcW w:w="1462" w:type="dxa"/>
          </w:tcPr>
          <w:p w14:paraId="4E63246C" w14:textId="77777777" w:rsidR="000B148D" w:rsidRPr="00054570" w:rsidRDefault="000B148D" w:rsidP="00E85FFB">
            <w:pPr>
              <w:pStyle w:val="Tablebody"/>
              <w:spacing w:before="0" w:after="0"/>
              <w:jc w:val="center"/>
            </w:pPr>
            <w:r w:rsidRPr="00054570">
              <w:rPr>
                <w:rFonts w:eastAsia="Times New Roman" w:cs="Arial"/>
              </w:rPr>
              <w:t xml:space="preserve">7 (1.9) </w:t>
            </w:r>
          </w:p>
        </w:tc>
        <w:tc>
          <w:tcPr>
            <w:tcW w:w="1463" w:type="dxa"/>
          </w:tcPr>
          <w:p w14:paraId="4C79314E" w14:textId="77777777" w:rsidR="000B148D" w:rsidRPr="00054570" w:rsidRDefault="000B148D" w:rsidP="00E85FFB">
            <w:pPr>
              <w:pStyle w:val="Tablebody"/>
              <w:spacing w:before="0" w:after="0"/>
              <w:jc w:val="center"/>
            </w:pPr>
            <w:r w:rsidRPr="00054570">
              <w:rPr>
                <w:rFonts w:eastAsia="Times New Roman" w:cs="Arial"/>
              </w:rPr>
              <w:t xml:space="preserve">0 </w:t>
            </w:r>
          </w:p>
        </w:tc>
      </w:tr>
      <w:tr w:rsidR="000B148D" w:rsidRPr="00054570" w14:paraId="0C9A6456" w14:textId="77777777" w:rsidTr="00E85FFB">
        <w:tc>
          <w:tcPr>
            <w:tcW w:w="6091" w:type="dxa"/>
            <w:shd w:val="clear" w:color="auto" w:fill="F2F2F2" w:themeFill="background1" w:themeFillShade="F2"/>
          </w:tcPr>
          <w:p w14:paraId="29D41646" w14:textId="77777777" w:rsidR="000B148D" w:rsidRPr="00054570" w:rsidRDefault="000B148D" w:rsidP="00E85FFB">
            <w:pPr>
              <w:pStyle w:val="Tablebody"/>
              <w:keepNext/>
              <w:spacing w:before="0" w:after="0"/>
              <w:rPr>
                <w:b/>
                <w:bCs/>
              </w:rPr>
            </w:pPr>
            <w:r w:rsidRPr="00054570">
              <w:rPr>
                <w:b/>
                <w:bCs/>
              </w:rPr>
              <w:t>TEAE associated with study drug discontinuation</w:t>
            </w:r>
          </w:p>
        </w:tc>
        <w:tc>
          <w:tcPr>
            <w:tcW w:w="1462" w:type="dxa"/>
          </w:tcPr>
          <w:p w14:paraId="48673BB8" w14:textId="77777777" w:rsidR="000B148D" w:rsidRPr="00054570" w:rsidRDefault="000B148D" w:rsidP="00E85FFB">
            <w:pPr>
              <w:pStyle w:val="Tablebody"/>
              <w:spacing w:before="0" w:after="0"/>
              <w:jc w:val="center"/>
            </w:pPr>
            <w:r w:rsidRPr="00054570">
              <w:rPr>
                <w:rFonts w:eastAsia="Times New Roman" w:cs="Arial"/>
              </w:rPr>
              <w:t xml:space="preserve">60 (16.2) </w:t>
            </w:r>
          </w:p>
        </w:tc>
        <w:tc>
          <w:tcPr>
            <w:tcW w:w="1463" w:type="dxa"/>
          </w:tcPr>
          <w:p w14:paraId="3B6AD5D7" w14:textId="77777777" w:rsidR="000B148D" w:rsidRPr="00054570" w:rsidRDefault="000B148D" w:rsidP="00E85FFB">
            <w:pPr>
              <w:pStyle w:val="Tablebody"/>
              <w:spacing w:before="0" w:after="0"/>
              <w:jc w:val="center"/>
            </w:pPr>
            <w:r w:rsidRPr="00054570">
              <w:rPr>
                <w:rFonts w:eastAsia="Times New Roman" w:cs="Arial"/>
              </w:rPr>
              <w:t xml:space="preserve">14 (8.1) </w:t>
            </w:r>
          </w:p>
        </w:tc>
      </w:tr>
      <w:tr w:rsidR="000B148D" w:rsidRPr="00054570" w14:paraId="09677751" w14:textId="77777777" w:rsidTr="00E85FFB">
        <w:tc>
          <w:tcPr>
            <w:tcW w:w="6091" w:type="dxa"/>
            <w:shd w:val="clear" w:color="auto" w:fill="F2F2F2" w:themeFill="background1" w:themeFillShade="F2"/>
          </w:tcPr>
          <w:p w14:paraId="1A07F8CF" w14:textId="77777777" w:rsidR="000B148D" w:rsidRPr="00054570" w:rsidRDefault="000B148D" w:rsidP="00E85FFB">
            <w:pPr>
              <w:pStyle w:val="Tablebody"/>
              <w:spacing w:before="0" w:after="0"/>
              <w:ind w:left="174"/>
            </w:pPr>
            <w:r w:rsidRPr="00054570">
              <w:t>EAIR per patient-year of exposure</w:t>
            </w:r>
          </w:p>
        </w:tc>
        <w:tc>
          <w:tcPr>
            <w:tcW w:w="1462" w:type="dxa"/>
          </w:tcPr>
          <w:p w14:paraId="3EE0CE34" w14:textId="77777777" w:rsidR="000B148D" w:rsidRPr="00054570" w:rsidRDefault="000B148D" w:rsidP="00E85FFB">
            <w:pPr>
              <w:pStyle w:val="Tablebody"/>
              <w:spacing w:before="0" w:after="0"/>
              <w:jc w:val="center"/>
              <w:rPr>
                <w:rFonts w:eastAsia="Times New Roman" w:cs="Arial"/>
              </w:rPr>
            </w:pPr>
            <w:r w:rsidRPr="00054570">
              <w:rPr>
                <w:rFonts w:eastAsia="Times New Roman" w:cs="Arial"/>
              </w:rPr>
              <w:t>0.21</w:t>
            </w:r>
          </w:p>
        </w:tc>
        <w:tc>
          <w:tcPr>
            <w:tcW w:w="1463" w:type="dxa"/>
          </w:tcPr>
          <w:p w14:paraId="515372C9" w14:textId="77777777" w:rsidR="000B148D" w:rsidRPr="00054570" w:rsidRDefault="000B148D" w:rsidP="00E85FFB">
            <w:pPr>
              <w:pStyle w:val="Tablebody"/>
              <w:spacing w:before="0" w:after="0"/>
              <w:jc w:val="center"/>
              <w:rPr>
                <w:rFonts w:eastAsia="Times New Roman" w:cs="Arial"/>
              </w:rPr>
            </w:pPr>
            <w:r w:rsidRPr="00054570">
              <w:rPr>
                <w:rFonts w:eastAsia="Times New Roman" w:cs="Arial"/>
              </w:rPr>
              <w:t>0.22</w:t>
            </w:r>
          </w:p>
        </w:tc>
      </w:tr>
      <w:tr w:rsidR="000B148D" w:rsidRPr="00054570" w14:paraId="6188340B" w14:textId="77777777" w:rsidTr="00E85FFB">
        <w:tc>
          <w:tcPr>
            <w:tcW w:w="6091" w:type="dxa"/>
            <w:shd w:val="clear" w:color="auto" w:fill="F2F2F2" w:themeFill="background1" w:themeFillShade="F2"/>
          </w:tcPr>
          <w:p w14:paraId="61592049" w14:textId="77777777" w:rsidR="000B148D" w:rsidRPr="00054570" w:rsidRDefault="000B148D" w:rsidP="00E85FFB">
            <w:pPr>
              <w:pStyle w:val="Tablebody"/>
              <w:spacing w:before="0" w:after="0"/>
              <w:ind w:left="174"/>
            </w:pPr>
            <w:r w:rsidRPr="00054570">
              <w:t>Drug-related TEAE associated with discontinuation</w:t>
            </w:r>
          </w:p>
        </w:tc>
        <w:tc>
          <w:tcPr>
            <w:tcW w:w="1462" w:type="dxa"/>
          </w:tcPr>
          <w:p w14:paraId="333883C3" w14:textId="77777777" w:rsidR="000B148D" w:rsidRPr="00054570" w:rsidRDefault="000B148D" w:rsidP="00E85FFB">
            <w:pPr>
              <w:pStyle w:val="Tablebody"/>
              <w:spacing w:before="0" w:after="0"/>
              <w:jc w:val="center"/>
            </w:pPr>
            <w:r w:rsidRPr="00054570">
              <w:rPr>
                <w:rFonts w:eastAsia="Times New Roman" w:cs="Arial"/>
              </w:rPr>
              <w:t xml:space="preserve">56 (15.1) </w:t>
            </w:r>
          </w:p>
        </w:tc>
        <w:tc>
          <w:tcPr>
            <w:tcW w:w="1463" w:type="dxa"/>
          </w:tcPr>
          <w:p w14:paraId="1A239141" w14:textId="77777777" w:rsidR="000B148D" w:rsidRPr="00054570" w:rsidRDefault="000B148D" w:rsidP="00E85FFB">
            <w:pPr>
              <w:pStyle w:val="Tablebody"/>
              <w:spacing w:before="0" w:after="0"/>
              <w:jc w:val="center"/>
            </w:pPr>
            <w:r w:rsidRPr="00054570">
              <w:rPr>
                <w:rFonts w:eastAsia="Times New Roman" w:cs="Arial"/>
              </w:rPr>
              <w:t xml:space="preserve">12 (7.0) </w:t>
            </w:r>
          </w:p>
        </w:tc>
      </w:tr>
      <w:tr w:rsidR="000B148D" w:rsidRPr="00054570" w14:paraId="11069F98" w14:textId="77777777" w:rsidTr="00E85FFB">
        <w:tc>
          <w:tcPr>
            <w:tcW w:w="6091" w:type="dxa"/>
            <w:shd w:val="clear" w:color="auto" w:fill="F2F2F2" w:themeFill="background1" w:themeFillShade="F2"/>
          </w:tcPr>
          <w:p w14:paraId="41416423" w14:textId="77777777" w:rsidR="000B148D" w:rsidRPr="00054570" w:rsidRDefault="000B148D" w:rsidP="00E85FFB">
            <w:pPr>
              <w:pStyle w:val="Tablebody"/>
              <w:spacing w:before="0" w:after="0"/>
              <w:rPr>
                <w:b/>
                <w:bCs/>
              </w:rPr>
            </w:pPr>
            <w:r w:rsidRPr="00054570">
              <w:rPr>
                <w:b/>
                <w:bCs/>
              </w:rPr>
              <w:t>TEAE associated with dose reduction</w:t>
            </w:r>
          </w:p>
        </w:tc>
        <w:tc>
          <w:tcPr>
            <w:tcW w:w="1462" w:type="dxa"/>
          </w:tcPr>
          <w:p w14:paraId="04AB59E7" w14:textId="77777777" w:rsidR="000B148D" w:rsidRPr="00054570" w:rsidRDefault="000B148D" w:rsidP="00E85FFB">
            <w:pPr>
              <w:pStyle w:val="Tablebody"/>
              <w:spacing w:before="0" w:after="0"/>
              <w:jc w:val="center"/>
            </w:pPr>
            <w:r w:rsidRPr="00054570">
              <w:rPr>
                <w:rFonts w:eastAsia="Times New Roman" w:cs="Arial"/>
              </w:rPr>
              <w:t xml:space="preserve">84 (22.6) </w:t>
            </w:r>
          </w:p>
        </w:tc>
        <w:tc>
          <w:tcPr>
            <w:tcW w:w="1463" w:type="dxa"/>
          </w:tcPr>
          <w:p w14:paraId="3CA49576" w14:textId="77777777" w:rsidR="000B148D" w:rsidRPr="00054570" w:rsidRDefault="000B148D" w:rsidP="00E85FFB">
            <w:pPr>
              <w:pStyle w:val="Tablebody"/>
              <w:spacing w:before="0" w:after="0"/>
              <w:jc w:val="center"/>
            </w:pPr>
            <w:r w:rsidRPr="00054570">
              <w:rPr>
                <w:rFonts w:eastAsia="Times New Roman" w:cs="Arial"/>
              </w:rPr>
              <w:t xml:space="preserve">66 (38.4) </w:t>
            </w:r>
          </w:p>
        </w:tc>
      </w:tr>
      <w:tr w:rsidR="000B148D" w:rsidRPr="00054570" w14:paraId="3F5B1BA7" w14:textId="77777777" w:rsidTr="00E85FFB">
        <w:tc>
          <w:tcPr>
            <w:tcW w:w="6091" w:type="dxa"/>
            <w:shd w:val="clear" w:color="auto" w:fill="F2F2F2" w:themeFill="background1" w:themeFillShade="F2"/>
          </w:tcPr>
          <w:p w14:paraId="462547E2" w14:textId="77777777" w:rsidR="000B148D" w:rsidRPr="00054570" w:rsidRDefault="000B148D" w:rsidP="00E85FFB">
            <w:pPr>
              <w:pStyle w:val="Tablebody"/>
              <w:spacing w:before="0" w:after="0"/>
              <w:ind w:left="174"/>
            </w:pPr>
            <w:r w:rsidRPr="00054570">
              <w:t>EAIR per patient-year of exposure</w:t>
            </w:r>
          </w:p>
        </w:tc>
        <w:tc>
          <w:tcPr>
            <w:tcW w:w="1462" w:type="dxa"/>
          </w:tcPr>
          <w:p w14:paraId="1F4395C0" w14:textId="77777777" w:rsidR="000B148D" w:rsidRPr="00054570" w:rsidRDefault="000B148D" w:rsidP="00E85FFB">
            <w:pPr>
              <w:pStyle w:val="Tablebody"/>
              <w:spacing w:before="0" w:after="0"/>
              <w:jc w:val="center"/>
              <w:rPr>
                <w:rFonts w:eastAsia="Times New Roman" w:cs="Arial"/>
              </w:rPr>
            </w:pPr>
            <w:r w:rsidRPr="00054570">
              <w:rPr>
                <w:rFonts w:eastAsia="Times New Roman" w:cs="Arial"/>
              </w:rPr>
              <w:t>0.30</w:t>
            </w:r>
          </w:p>
        </w:tc>
        <w:tc>
          <w:tcPr>
            <w:tcW w:w="1463" w:type="dxa"/>
          </w:tcPr>
          <w:p w14:paraId="7ED4A8C2" w14:textId="77777777" w:rsidR="000B148D" w:rsidRPr="00054570" w:rsidRDefault="000B148D" w:rsidP="00E85FFB">
            <w:pPr>
              <w:pStyle w:val="Tablebody"/>
              <w:spacing w:before="0" w:after="0"/>
              <w:jc w:val="center"/>
              <w:rPr>
                <w:rFonts w:eastAsia="Times New Roman" w:cs="Arial"/>
              </w:rPr>
            </w:pPr>
            <w:r w:rsidRPr="00054570">
              <w:rPr>
                <w:rFonts w:eastAsia="Times New Roman" w:cs="Arial"/>
              </w:rPr>
              <w:t>1.04</w:t>
            </w:r>
          </w:p>
        </w:tc>
      </w:tr>
      <w:tr w:rsidR="000B148D" w:rsidRPr="00054570" w14:paraId="545C088C" w14:textId="77777777" w:rsidTr="00E85FFB">
        <w:tc>
          <w:tcPr>
            <w:tcW w:w="6091" w:type="dxa"/>
            <w:shd w:val="clear" w:color="auto" w:fill="F2F2F2" w:themeFill="background1" w:themeFillShade="F2"/>
          </w:tcPr>
          <w:p w14:paraId="2540B534" w14:textId="77777777" w:rsidR="000B148D" w:rsidRPr="00054570" w:rsidRDefault="000B148D" w:rsidP="00E85FFB">
            <w:pPr>
              <w:pStyle w:val="Tablebody"/>
              <w:spacing w:before="0" w:after="0"/>
              <w:ind w:left="174"/>
            </w:pPr>
            <w:r w:rsidRPr="00054570">
              <w:t>Drug-related TEAE associated with dose reduction</w:t>
            </w:r>
          </w:p>
        </w:tc>
        <w:tc>
          <w:tcPr>
            <w:tcW w:w="1462" w:type="dxa"/>
          </w:tcPr>
          <w:p w14:paraId="3E745612" w14:textId="77777777" w:rsidR="000B148D" w:rsidRPr="00054570" w:rsidRDefault="000B148D" w:rsidP="00E85FFB">
            <w:pPr>
              <w:pStyle w:val="Tablebody"/>
              <w:spacing w:before="0" w:after="0"/>
              <w:jc w:val="center"/>
              <w:rPr>
                <w:rFonts w:cs="Arial"/>
              </w:rPr>
            </w:pPr>
            <w:r w:rsidRPr="00054570">
              <w:rPr>
                <w:rFonts w:eastAsia="Times New Roman" w:cs="Arial"/>
              </w:rPr>
              <w:t xml:space="preserve">77 (20.8) </w:t>
            </w:r>
          </w:p>
        </w:tc>
        <w:tc>
          <w:tcPr>
            <w:tcW w:w="1463" w:type="dxa"/>
          </w:tcPr>
          <w:p w14:paraId="1016C3A3" w14:textId="77777777" w:rsidR="000B148D" w:rsidRPr="00054570" w:rsidRDefault="000B148D" w:rsidP="00E85FFB">
            <w:pPr>
              <w:pStyle w:val="Tablebody"/>
              <w:spacing w:before="0" w:after="0"/>
              <w:jc w:val="center"/>
              <w:rPr>
                <w:rFonts w:cs="Arial"/>
              </w:rPr>
            </w:pPr>
            <w:r w:rsidRPr="00054570">
              <w:rPr>
                <w:rFonts w:eastAsia="Times New Roman" w:cs="Arial"/>
              </w:rPr>
              <w:t xml:space="preserve">64 (37.2) </w:t>
            </w:r>
          </w:p>
        </w:tc>
      </w:tr>
      <w:tr w:rsidR="000B148D" w:rsidRPr="00054570" w14:paraId="3A0F073A" w14:textId="77777777" w:rsidTr="00E85FFB">
        <w:tc>
          <w:tcPr>
            <w:tcW w:w="6091" w:type="dxa"/>
            <w:shd w:val="clear" w:color="auto" w:fill="F2F2F2" w:themeFill="background1" w:themeFillShade="F2"/>
          </w:tcPr>
          <w:p w14:paraId="69C0D5DF" w14:textId="77777777" w:rsidR="000B148D" w:rsidRPr="00054570" w:rsidRDefault="000B148D" w:rsidP="00E85FFB">
            <w:pPr>
              <w:pStyle w:val="Tablebody"/>
              <w:spacing w:before="0" w:after="0"/>
              <w:rPr>
                <w:b/>
                <w:bCs/>
              </w:rPr>
            </w:pPr>
            <w:r w:rsidRPr="00054570">
              <w:rPr>
                <w:b/>
                <w:bCs/>
              </w:rPr>
              <w:t xml:space="preserve">TEAE associated with study drug interruption </w:t>
            </w:r>
          </w:p>
        </w:tc>
        <w:tc>
          <w:tcPr>
            <w:tcW w:w="1462" w:type="dxa"/>
          </w:tcPr>
          <w:p w14:paraId="25D9C53F" w14:textId="77777777" w:rsidR="000B148D" w:rsidRPr="00054570" w:rsidRDefault="000B148D" w:rsidP="00E85FFB">
            <w:pPr>
              <w:pStyle w:val="Tablebody"/>
              <w:spacing w:before="0" w:after="0"/>
              <w:jc w:val="center"/>
              <w:rPr>
                <w:rFonts w:eastAsia="Times New Roman" w:cs="Arial"/>
              </w:rPr>
            </w:pPr>
            <w:r w:rsidRPr="00054570">
              <w:rPr>
                <w:rFonts w:eastAsia="Times New Roman" w:cs="Arial"/>
              </w:rPr>
              <w:t xml:space="preserve">143 (38.5) </w:t>
            </w:r>
          </w:p>
        </w:tc>
        <w:tc>
          <w:tcPr>
            <w:tcW w:w="1463" w:type="dxa"/>
          </w:tcPr>
          <w:p w14:paraId="2E70D7AE" w14:textId="77777777" w:rsidR="000B148D" w:rsidRPr="00054570" w:rsidRDefault="000B148D" w:rsidP="00E85FFB">
            <w:pPr>
              <w:pStyle w:val="Tablebody"/>
              <w:spacing w:before="0" w:after="0"/>
              <w:jc w:val="center"/>
              <w:rPr>
                <w:rFonts w:eastAsia="Times New Roman" w:cs="Arial"/>
              </w:rPr>
            </w:pPr>
            <w:r w:rsidRPr="00054570">
              <w:rPr>
                <w:rFonts w:eastAsia="Times New Roman" w:cs="Arial"/>
              </w:rPr>
              <w:t xml:space="preserve">72 (41.9) </w:t>
            </w:r>
          </w:p>
        </w:tc>
      </w:tr>
      <w:tr w:rsidR="000B148D" w:rsidRPr="00054570" w14:paraId="0A139AFF" w14:textId="77777777" w:rsidTr="00E85FFB">
        <w:tc>
          <w:tcPr>
            <w:tcW w:w="6091" w:type="dxa"/>
            <w:shd w:val="clear" w:color="auto" w:fill="F2F2F2" w:themeFill="background1" w:themeFillShade="F2"/>
          </w:tcPr>
          <w:p w14:paraId="6D950DD1" w14:textId="77777777" w:rsidR="000B148D" w:rsidRPr="00054570" w:rsidRDefault="000B148D" w:rsidP="00E85FFB">
            <w:pPr>
              <w:pStyle w:val="Tablebody"/>
              <w:spacing w:before="0" w:after="0"/>
              <w:ind w:left="174"/>
            </w:pPr>
            <w:r w:rsidRPr="00054570">
              <w:lastRenderedPageBreak/>
              <w:t>EAIR per patient-year of exposure</w:t>
            </w:r>
          </w:p>
        </w:tc>
        <w:tc>
          <w:tcPr>
            <w:tcW w:w="1462" w:type="dxa"/>
            <w:tcBorders>
              <w:top w:val="single" w:sz="6" w:space="0" w:color="000000"/>
              <w:left w:val="single" w:sz="6" w:space="0" w:color="000000"/>
              <w:bottom w:val="single" w:sz="6" w:space="0" w:color="000000"/>
              <w:right w:val="single" w:sz="6" w:space="0" w:color="000000"/>
            </w:tcBorders>
          </w:tcPr>
          <w:p w14:paraId="0A3FEB4A" w14:textId="77777777" w:rsidR="000B148D" w:rsidRPr="00054570" w:rsidRDefault="000B148D" w:rsidP="00E85FFB">
            <w:pPr>
              <w:pStyle w:val="Tablebody"/>
              <w:spacing w:before="0" w:after="0"/>
              <w:jc w:val="center"/>
              <w:rPr>
                <w:rFonts w:eastAsia="Times New Roman" w:cs="Arial"/>
              </w:rPr>
            </w:pPr>
            <w:r w:rsidRPr="00054570">
              <w:rPr>
                <w:rFonts w:eastAsia="Times New Roman" w:cs="Arial"/>
              </w:rPr>
              <w:t>0.50</w:t>
            </w:r>
          </w:p>
        </w:tc>
        <w:tc>
          <w:tcPr>
            <w:tcW w:w="1463" w:type="dxa"/>
            <w:tcBorders>
              <w:top w:val="single" w:sz="6" w:space="0" w:color="000000"/>
              <w:left w:val="single" w:sz="6" w:space="0" w:color="000000"/>
              <w:bottom w:val="single" w:sz="6" w:space="0" w:color="000000"/>
              <w:right w:val="single" w:sz="6" w:space="0" w:color="000000"/>
            </w:tcBorders>
          </w:tcPr>
          <w:p w14:paraId="513219C6" w14:textId="77777777" w:rsidR="000B148D" w:rsidRPr="00054570" w:rsidRDefault="000B148D" w:rsidP="00E85FFB">
            <w:pPr>
              <w:pStyle w:val="Tablebody"/>
              <w:spacing w:before="0" w:after="0"/>
              <w:jc w:val="center"/>
              <w:rPr>
                <w:rFonts w:eastAsia="Times New Roman" w:cs="Arial"/>
              </w:rPr>
            </w:pPr>
            <w:r w:rsidRPr="00054570">
              <w:rPr>
                <w:rFonts w:eastAsia="Times New Roman" w:cs="Arial"/>
              </w:rPr>
              <w:t>1.13</w:t>
            </w:r>
          </w:p>
        </w:tc>
      </w:tr>
      <w:tr w:rsidR="000B148D" w:rsidRPr="00054570" w14:paraId="049D72A4" w14:textId="77777777" w:rsidTr="00E85FFB">
        <w:tc>
          <w:tcPr>
            <w:tcW w:w="6091" w:type="dxa"/>
            <w:shd w:val="clear" w:color="auto" w:fill="F2F2F2" w:themeFill="background1" w:themeFillShade="F2"/>
          </w:tcPr>
          <w:p w14:paraId="2D2DE8DA" w14:textId="77777777" w:rsidR="000B148D" w:rsidRPr="00054570" w:rsidRDefault="000B148D" w:rsidP="00E85FFB">
            <w:pPr>
              <w:pStyle w:val="Tablebody"/>
              <w:spacing w:before="0" w:after="0"/>
              <w:ind w:left="174"/>
            </w:pPr>
            <w:r w:rsidRPr="00054570">
              <w:t>Drug-related TEAE associated with study drug interruption</w:t>
            </w:r>
          </w:p>
        </w:tc>
        <w:tc>
          <w:tcPr>
            <w:tcW w:w="1462" w:type="dxa"/>
            <w:tcBorders>
              <w:top w:val="single" w:sz="6" w:space="0" w:color="000000"/>
              <w:left w:val="single" w:sz="6" w:space="0" w:color="000000"/>
              <w:bottom w:val="single" w:sz="6" w:space="0" w:color="000000"/>
              <w:right w:val="single" w:sz="6" w:space="0" w:color="000000"/>
            </w:tcBorders>
          </w:tcPr>
          <w:p w14:paraId="554AC038" w14:textId="77777777" w:rsidR="000B148D" w:rsidRPr="00054570" w:rsidRDefault="000B148D" w:rsidP="00E85FFB">
            <w:pPr>
              <w:pStyle w:val="Tablebody"/>
              <w:spacing w:before="0" w:after="0"/>
              <w:jc w:val="center"/>
              <w:rPr>
                <w:rFonts w:eastAsia="Times New Roman" w:cs="Arial"/>
              </w:rPr>
            </w:pPr>
            <w:r w:rsidRPr="00054570">
              <w:rPr>
                <w:rFonts w:eastAsia="Times New Roman" w:cs="Arial"/>
              </w:rPr>
              <w:t xml:space="preserve">106 (28.6) </w:t>
            </w:r>
          </w:p>
        </w:tc>
        <w:tc>
          <w:tcPr>
            <w:tcW w:w="1463" w:type="dxa"/>
            <w:tcBorders>
              <w:top w:val="single" w:sz="6" w:space="0" w:color="000000"/>
              <w:left w:val="single" w:sz="6" w:space="0" w:color="000000"/>
              <w:bottom w:val="single" w:sz="6" w:space="0" w:color="000000"/>
              <w:right w:val="single" w:sz="6" w:space="0" w:color="000000"/>
            </w:tcBorders>
          </w:tcPr>
          <w:p w14:paraId="2FBD1A0F" w14:textId="77777777" w:rsidR="000B148D" w:rsidRPr="00054570" w:rsidRDefault="000B148D" w:rsidP="00E85FFB">
            <w:pPr>
              <w:pStyle w:val="Tablebody"/>
              <w:spacing w:before="0" w:after="0"/>
              <w:jc w:val="center"/>
              <w:rPr>
                <w:rFonts w:eastAsia="Times New Roman" w:cs="Arial"/>
              </w:rPr>
            </w:pPr>
            <w:r w:rsidRPr="00054570">
              <w:rPr>
                <w:rFonts w:eastAsia="Times New Roman" w:cs="Arial"/>
              </w:rPr>
              <w:t xml:space="preserve">62 (36.0) </w:t>
            </w:r>
          </w:p>
        </w:tc>
      </w:tr>
    </w:tbl>
    <w:p w14:paraId="2743B21B" w14:textId="0E75ED08" w:rsidR="000B148D" w:rsidRPr="00054570" w:rsidRDefault="000B148D" w:rsidP="000B148D">
      <w:pPr>
        <w:pStyle w:val="Footnotes"/>
      </w:pPr>
      <w:r w:rsidRPr="00054570">
        <w:t>Abbreviations: EAIR, exposure-adjusted incidence rate; TEAE, treatment-emergent adverse event; T-DXd, trastuzumab deruxtecan; treatment of physician’s choice.</w:t>
      </w:r>
      <w:r w:rsidRPr="00054570">
        <w:br/>
        <w:t>Sources: Modi et al, 2022;</w:t>
      </w:r>
      <w:r>
        <w:fldChar w:fldCharType="begin"/>
      </w:r>
      <w:r w:rsidR="00CA6345">
        <w:instrText xml:space="preserve"> ADDIN ZOTERO_ITEM CSL_CITATION {"citationID":"D8AMEZp1","properties":{"formattedCitation":"\\super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054570">
        <w:t xml:space="preserve"> Daiichi Sankyo Inc., 2022 (CSR; Data on File).</w:t>
      </w:r>
      <w:r w:rsidRPr="00054570">
        <w:fldChar w:fldCharType="begin"/>
      </w:r>
      <w:r w:rsidR="00CA6345">
        <w:instrText xml:space="preserve"> ADDIN ZOTERO_ITEM CSL_CITATION {"citationID":"fJlwwyyw","properties":{"formattedCitation":"\\super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p>
    <w:p w14:paraId="6B1475F2" w14:textId="207D276B" w:rsidR="000B148D" w:rsidRPr="00054570" w:rsidRDefault="000B148D" w:rsidP="000B148D">
      <w:pPr>
        <w:pStyle w:val="Caption"/>
      </w:pPr>
      <w:bookmarkStart w:id="334" w:name="_Ref97026307"/>
      <w:bookmarkStart w:id="335" w:name="_Toc124447884"/>
      <w:bookmarkStart w:id="336" w:name="_Toc129350999"/>
      <w:r w:rsidRPr="00054570">
        <w:t xml:space="preserve">Table </w:t>
      </w:r>
      <w:r w:rsidRPr="00054570">
        <w:fldChar w:fldCharType="begin"/>
      </w:r>
      <w:r w:rsidRPr="00054570">
        <w:instrText>SEQ Table \* ARABIC</w:instrText>
      </w:r>
      <w:r w:rsidRPr="00054570">
        <w:fldChar w:fldCharType="separate"/>
      </w:r>
      <w:r w:rsidR="00145F42">
        <w:rPr>
          <w:noProof/>
        </w:rPr>
        <w:t>24</w:t>
      </w:r>
      <w:r w:rsidRPr="00054570">
        <w:fldChar w:fldCharType="end"/>
      </w:r>
      <w:bookmarkEnd w:id="334"/>
      <w:r w:rsidRPr="00054570">
        <w:t>: DESTINY-Breast04 | TEAEs by cycle | SAS</w:t>
      </w:r>
      <w:bookmarkEnd w:id="335"/>
      <w:bookmarkEnd w:id="336"/>
    </w:p>
    <w:tbl>
      <w:tblPr>
        <w:tblStyle w:val="Generaltable"/>
        <w:tblW w:w="0" w:type="auto"/>
        <w:tblLook w:val="04A0" w:firstRow="1" w:lastRow="0" w:firstColumn="1" w:lastColumn="0" w:noHBand="0" w:noVBand="1"/>
      </w:tblPr>
      <w:tblGrid>
        <w:gridCol w:w="1271"/>
        <w:gridCol w:w="1290"/>
        <w:gridCol w:w="1291"/>
        <w:gridCol w:w="1291"/>
        <w:gridCol w:w="1291"/>
        <w:gridCol w:w="1291"/>
        <w:gridCol w:w="1291"/>
      </w:tblGrid>
      <w:tr w:rsidR="000B148D" w:rsidRPr="00054570" w14:paraId="366F398C" w14:textId="77777777" w:rsidTr="003C049A">
        <w:trPr>
          <w:cnfStyle w:val="100000000000" w:firstRow="1" w:lastRow="0" w:firstColumn="0" w:lastColumn="0" w:oddVBand="0" w:evenVBand="0" w:oddHBand="0" w:evenHBand="0" w:firstRowFirstColumn="0" w:firstRowLastColumn="0" w:lastRowFirstColumn="0" w:lastRowLastColumn="0"/>
          <w:trHeight w:val="20"/>
          <w:tblHeader/>
        </w:trPr>
        <w:tc>
          <w:tcPr>
            <w:tcW w:w="1271" w:type="dxa"/>
            <w:vMerge w:val="restart"/>
            <w:shd w:val="clear" w:color="auto" w:fill="F2F2F2" w:themeFill="background1" w:themeFillShade="F2"/>
          </w:tcPr>
          <w:p w14:paraId="0AFDB157" w14:textId="77777777" w:rsidR="000B148D" w:rsidRPr="00054570" w:rsidRDefault="000B148D" w:rsidP="003C049A">
            <w:pPr>
              <w:pStyle w:val="Tableheading"/>
              <w:spacing w:before="0" w:after="0"/>
            </w:pPr>
          </w:p>
        </w:tc>
        <w:tc>
          <w:tcPr>
            <w:tcW w:w="3872" w:type="dxa"/>
            <w:gridSpan w:val="3"/>
            <w:shd w:val="clear" w:color="auto" w:fill="F2F2F2" w:themeFill="background1" w:themeFillShade="F2"/>
            <w:vAlign w:val="bottom"/>
          </w:tcPr>
          <w:p w14:paraId="418903CA" w14:textId="77777777" w:rsidR="000B148D" w:rsidRPr="00054570" w:rsidRDefault="000B148D" w:rsidP="003C049A">
            <w:pPr>
              <w:pStyle w:val="Tableheading"/>
              <w:spacing w:before="0" w:after="0"/>
              <w:jc w:val="center"/>
            </w:pPr>
            <w:r w:rsidRPr="00054570">
              <w:t>T</w:t>
            </w:r>
            <w:r w:rsidRPr="00054570">
              <w:noBreakHyphen/>
              <w:t>DXd (</w:t>
            </w:r>
            <w:r>
              <w:t>N=</w:t>
            </w:r>
            <w:r w:rsidRPr="00054570">
              <w:t>371)</w:t>
            </w:r>
          </w:p>
        </w:tc>
        <w:tc>
          <w:tcPr>
            <w:tcW w:w="3873" w:type="dxa"/>
            <w:gridSpan w:val="3"/>
            <w:shd w:val="clear" w:color="auto" w:fill="F2F2F2" w:themeFill="background1" w:themeFillShade="F2"/>
            <w:vAlign w:val="bottom"/>
          </w:tcPr>
          <w:p w14:paraId="4063242A" w14:textId="77777777" w:rsidR="000B148D" w:rsidRPr="00054570" w:rsidRDefault="000B148D" w:rsidP="003C049A">
            <w:pPr>
              <w:pStyle w:val="Tableheading"/>
              <w:spacing w:before="0" w:after="0"/>
              <w:jc w:val="center"/>
            </w:pPr>
            <w:r w:rsidRPr="00054570">
              <w:t>TPC (</w:t>
            </w:r>
            <w:r>
              <w:t>N=</w:t>
            </w:r>
            <w:r w:rsidRPr="00054570">
              <w:t>172)</w:t>
            </w:r>
          </w:p>
        </w:tc>
      </w:tr>
      <w:tr w:rsidR="000B148D" w:rsidRPr="00054570" w14:paraId="76C0F425" w14:textId="77777777" w:rsidTr="003C049A">
        <w:trPr>
          <w:cnfStyle w:val="100000000000" w:firstRow="1" w:lastRow="0" w:firstColumn="0" w:lastColumn="0" w:oddVBand="0" w:evenVBand="0" w:oddHBand="0" w:evenHBand="0" w:firstRowFirstColumn="0" w:firstRowLastColumn="0" w:lastRowFirstColumn="0" w:lastRowLastColumn="0"/>
          <w:trHeight w:val="20"/>
          <w:tblHeader/>
        </w:trPr>
        <w:tc>
          <w:tcPr>
            <w:tcW w:w="1271" w:type="dxa"/>
            <w:vMerge/>
            <w:shd w:val="clear" w:color="auto" w:fill="F2F2F2" w:themeFill="background1" w:themeFillShade="F2"/>
          </w:tcPr>
          <w:p w14:paraId="63FF84FA" w14:textId="77777777" w:rsidR="000B148D" w:rsidRPr="00054570" w:rsidRDefault="000B148D" w:rsidP="003C049A">
            <w:pPr>
              <w:pStyle w:val="Tableheading"/>
              <w:spacing w:before="0" w:after="0"/>
            </w:pPr>
          </w:p>
        </w:tc>
        <w:tc>
          <w:tcPr>
            <w:tcW w:w="1290" w:type="dxa"/>
            <w:shd w:val="clear" w:color="auto" w:fill="F2F2F2" w:themeFill="background1" w:themeFillShade="F2"/>
            <w:vAlign w:val="bottom"/>
          </w:tcPr>
          <w:p w14:paraId="5C9D51D8" w14:textId="77777777" w:rsidR="000B148D" w:rsidRPr="00054570" w:rsidRDefault="000B148D" w:rsidP="003C049A">
            <w:pPr>
              <w:pStyle w:val="Tableheading"/>
              <w:spacing w:before="0" w:after="0"/>
              <w:jc w:val="center"/>
            </w:pPr>
            <w:r w:rsidRPr="00054570">
              <w:t>Subjects with any TEAEs, n</w:t>
            </w:r>
          </w:p>
        </w:tc>
        <w:tc>
          <w:tcPr>
            <w:tcW w:w="1291" w:type="dxa"/>
            <w:shd w:val="clear" w:color="auto" w:fill="F2F2F2" w:themeFill="background1" w:themeFillShade="F2"/>
            <w:vAlign w:val="bottom"/>
          </w:tcPr>
          <w:p w14:paraId="1A59C24F" w14:textId="77777777" w:rsidR="000B148D" w:rsidRPr="00054570" w:rsidRDefault="000B148D" w:rsidP="003C049A">
            <w:pPr>
              <w:pStyle w:val="Tableheading"/>
              <w:spacing w:before="0" w:after="0"/>
              <w:jc w:val="center"/>
            </w:pPr>
            <w:r w:rsidRPr="00054570">
              <w:t>Subjects at risk, n</w:t>
            </w:r>
          </w:p>
        </w:tc>
        <w:tc>
          <w:tcPr>
            <w:tcW w:w="1291" w:type="dxa"/>
            <w:shd w:val="clear" w:color="auto" w:fill="F2F2F2" w:themeFill="background1" w:themeFillShade="F2"/>
            <w:vAlign w:val="bottom"/>
          </w:tcPr>
          <w:p w14:paraId="00800753" w14:textId="77777777" w:rsidR="000B148D" w:rsidRPr="00054570" w:rsidRDefault="000B148D" w:rsidP="003C049A">
            <w:pPr>
              <w:pStyle w:val="Tableheading"/>
              <w:spacing w:before="0" w:after="0"/>
              <w:jc w:val="center"/>
            </w:pPr>
            <w:r w:rsidRPr="00054570">
              <w:t>Proportion with TEAEs, %</w:t>
            </w:r>
          </w:p>
        </w:tc>
        <w:tc>
          <w:tcPr>
            <w:tcW w:w="1291" w:type="dxa"/>
            <w:shd w:val="clear" w:color="auto" w:fill="F2F2F2" w:themeFill="background1" w:themeFillShade="F2"/>
            <w:vAlign w:val="bottom"/>
          </w:tcPr>
          <w:p w14:paraId="4AA5BE96" w14:textId="77777777" w:rsidR="000B148D" w:rsidRPr="00054570" w:rsidRDefault="000B148D" w:rsidP="003C049A">
            <w:pPr>
              <w:pStyle w:val="Tableheading"/>
              <w:spacing w:before="0" w:after="0"/>
              <w:jc w:val="center"/>
            </w:pPr>
            <w:r w:rsidRPr="00054570">
              <w:t>Subjects with any TEAEs, n</w:t>
            </w:r>
          </w:p>
        </w:tc>
        <w:tc>
          <w:tcPr>
            <w:tcW w:w="1291" w:type="dxa"/>
            <w:shd w:val="clear" w:color="auto" w:fill="F2F2F2" w:themeFill="background1" w:themeFillShade="F2"/>
            <w:vAlign w:val="bottom"/>
          </w:tcPr>
          <w:p w14:paraId="538D6C9D" w14:textId="77777777" w:rsidR="000B148D" w:rsidRPr="00054570" w:rsidRDefault="000B148D" w:rsidP="003C049A">
            <w:pPr>
              <w:pStyle w:val="Tableheading"/>
              <w:spacing w:before="0" w:after="0"/>
              <w:jc w:val="center"/>
            </w:pPr>
            <w:r w:rsidRPr="00054570">
              <w:t>Subjects at risk, n</w:t>
            </w:r>
          </w:p>
        </w:tc>
        <w:tc>
          <w:tcPr>
            <w:tcW w:w="1291" w:type="dxa"/>
            <w:shd w:val="clear" w:color="auto" w:fill="F2F2F2" w:themeFill="background1" w:themeFillShade="F2"/>
            <w:vAlign w:val="bottom"/>
          </w:tcPr>
          <w:p w14:paraId="738CAC75" w14:textId="77777777" w:rsidR="000B148D" w:rsidRPr="00054570" w:rsidRDefault="000B148D" w:rsidP="003C049A">
            <w:pPr>
              <w:pStyle w:val="Tableheading"/>
              <w:spacing w:before="0" w:after="0"/>
              <w:jc w:val="center"/>
            </w:pPr>
            <w:r w:rsidRPr="00054570">
              <w:t>Proportion with TEAEs, %</w:t>
            </w:r>
          </w:p>
        </w:tc>
      </w:tr>
      <w:tr w:rsidR="000B148D" w:rsidRPr="00054570" w14:paraId="1D97D9AD" w14:textId="77777777" w:rsidTr="003C049A">
        <w:trPr>
          <w:trHeight w:val="20"/>
        </w:trPr>
        <w:tc>
          <w:tcPr>
            <w:tcW w:w="1271" w:type="dxa"/>
            <w:shd w:val="clear" w:color="auto" w:fill="F2F2F2" w:themeFill="background1" w:themeFillShade="F2"/>
          </w:tcPr>
          <w:p w14:paraId="63632228" w14:textId="77777777" w:rsidR="000B148D" w:rsidRPr="00054570" w:rsidRDefault="000B148D" w:rsidP="003C049A">
            <w:pPr>
              <w:pStyle w:val="Tablebody"/>
              <w:spacing w:before="0" w:after="0"/>
            </w:pPr>
            <w:r w:rsidRPr="00054570">
              <w:t>Cycle 1</w:t>
            </w:r>
          </w:p>
        </w:tc>
        <w:tc>
          <w:tcPr>
            <w:tcW w:w="1290" w:type="dxa"/>
            <w:shd w:val="clear" w:color="auto" w:fill="auto"/>
          </w:tcPr>
          <w:p w14:paraId="6D2235F7" w14:textId="5A5AB002" w:rsidR="000B148D" w:rsidRPr="00294FDC" w:rsidRDefault="00294FDC" w:rsidP="003C049A">
            <w:pPr>
              <w:pStyle w:val="Tablebody"/>
              <w:spacing w:before="0" w:after="0"/>
              <w:jc w:val="center"/>
              <w:rPr>
                <w:color w:val="000000"/>
                <w:highlight w:val="black"/>
              </w:rPr>
            </w:pPr>
            <w:r w:rsidRPr="00294FDC">
              <w:rPr>
                <w:color w:val="000000"/>
                <w:highlight w:val="black"/>
              </w:rPr>
              <w:t>xxx</w:t>
            </w:r>
          </w:p>
        </w:tc>
        <w:tc>
          <w:tcPr>
            <w:tcW w:w="1291" w:type="dxa"/>
            <w:shd w:val="clear" w:color="auto" w:fill="auto"/>
          </w:tcPr>
          <w:p w14:paraId="547D31FA" w14:textId="1B7D1EA3" w:rsidR="000B148D" w:rsidRPr="00294FDC" w:rsidRDefault="00294FDC" w:rsidP="003C049A">
            <w:pPr>
              <w:pStyle w:val="Tablebody"/>
              <w:spacing w:before="0" w:after="0"/>
              <w:jc w:val="center"/>
              <w:rPr>
                <w:color w:val="000000"/>
                <w:highlight w:val="black"/>
              </w:rPr>
            </w:pPr>
            <w:r w:rsidRPr="00294FDC">
              <w:rPr>
                <w:color w:val="000000"/>
                <w:highlight w:val="black"/>
              </w:rPr>
              <w:t>xxx</w:t>
            </w:r>
          </w:p>
        </w:tc>
        <w:tc>
          <w:tcPr>
            <w:tcW w:w="1291" w:type="dxa"/>
            <w:shd w:val="clear" w:color="auto" w:fill="auto"/>
          </w:tcPr>
          <w:p w14:paraId="61F3175D" w14:textId="54AED8F7" w:rsidR="000B148D" w:rsidRPr="00294FDC" w:rsidRDefault="00294FDC" w:rsidP="003C049A">
            <w:pPr>
              <w:pStyle w:val="Tablebody"/>
              <w:spacing w:before="0" w:after="0"/>
              <w:jc w:val="center"/>
              <w:rPr>
                <w:color w:val="000000"/>
                <w:highlight w:val="black"/>
              </w:rPr>
            </w:pPr>
            <w:r w:rsidRPr="00294FDC">
              <w:rPr>
                <w:color w:val="000000"/>
                <w:highlight w:val="black"/>
              </w:rPr>
              <w:t>xxxx</w:t>
            </w:r>
          </w:p>
        </w:tc>
        <w:tc>
          <w:tcPr>
            <w:tcW w:w="1291" w:type="dxa"/>
            <w:shd w:val="clear" w:color="auto" w:fill="auto"/>
          </w:tcPr>
          <w:p w14:paraId="45D438EE" w14:textId="2148AB9F" w:rsidR="000B148D" w:rsidRPr="00294FDC" w:rsidRDefault="00294FDC" w:rsidP="003C049A">
            <w:pPr>
              <w:pStyle w:val="Tablebody"/>
              <w:spacing w:before="0" w:after="0"/>
              <w:jc w:val="center"/>
              <w:rPr>
                <w:color w:val="000000"/>
                <w:highlight w:val="black"/>
              </w:rPr>
            </w:pPr>
            <w:r w:rsidRPr="00294FDC">
              <w:rPr>
                <w:color w:val="000000"/>
                <w:highlight w:val="black"/>
              </w:rPr>
              <w:t>xxx</w:t>
            </w:r>
          </w:p>
        </w:tc>
        <w:tc>
          <w:tcPr>
            <w:tcW w:w="1291" w:type="dxa"/>
            <w:shd w:val="clear" w:color="auto" w:fill="auto"/>
          </w:tcPr>
          <w:p w14:paraId="7998DCBF" w14:textId="44A6164F" w:rsidR="000B148D" w:rsidRPr="00294FDC" w:rsidRDefault="00294FDC" w:rsidP="003C049A">
            <w:pPr>
              <w:pStyle w:val="Tablebody"/>
              <w:spacing w:before="0" w:after="0"/>
              <w:jc w:val="center"/>
              <w:rPr>
                <w:color w:val="000000"/>
                <w:highlight w:val="black"/>
              </w:rPr>
            </w:pPr>
            <w:r w:rsidRPr="00294FDC">
              <w:rPr>
                <w:color w:val="000000"/>
                <w:highlight w:val="black"/>
              </w:rPr>
              <w:t>xxx</w:t>
            </w:r>
          </w:p>
        </w:tc>
        <w:tc>
          <w:tcPr>
            <w:tcW w:w="1291" w:type="dxa"/>
            <w:shd w:val="clear" w:color="auto" w:fill="auto"/>
          </w:tcPr>
          <w:p w14:paraId="785986DE" w14:textId="0CE729E9" w:rsidR="000B148D" w:rsidRPr="00294FDC" w:rsidRDefault="00294FDC" w:rsidP="003C049A">
            <w:pPr>
              <w:pStyle w:val="Tablebody"/>
              <w:spacing w:before="0" w:after="0"/>
              <w:jc w:val="center"/>
              <w:rPr>
                <w:color w:val="000000"/>
                <w:highlight w:val="black"/>
              </w:rPr>
            </w:pPr>
            <w:r w:rsidRPr="00294FDC">
              <w:rPr>
                <w:color w:val="000000"/>
                <w:highlight w:val="black"/>
              </w:rPr>
              <w:t>xxxx</w:t>
            </w:r>
          </w:p>
        </w:tc>
      </w:tr>
      <w:tr w:rsidR="000B148D" w:rsidRPr="00054570" w14:paraId="6B0F57BF" w14:textId="77777777" w:rsidTr="003C049A">
        <w:trPr>
          <w:trHeight w:val="20"/>
        </w:trPr>
        <w:tc>
          <w:tcPr>
            <w:tcW w:w="1271" w:type="dxa"/>
            <w:shd w:val="clear" w:color="auto" w:fill="F2F2F2" w:themeFill="background1" w:themeFillShade="F2"/>
          </w:tcPr>
          <w:p w14:paraId="65869265" w14:textId="77777777" w:rsidR="000B148D" w:rsidRPr="00054570" w:rsidRDefault="000B148D" w:rsidP="003C049A">
            <w:pPr>
              <w:pStyle w:val="Tablebody"/>
              <w:spacing w:before="0" w:after="0"/>
            </w:pPr>
            <w:r w:rsidRPr="00054570">
              <w:t>Cycle 2</w:t>
            </w:r>
          </w:p>
        </w:tc>
        <w:tc>
          <w:tcPr>
            <w:tcW w:w="1290" w:type="dxa"/>
            <w:shd w:val="clear" w:color="auto" w:fill="auto"/>
          </w:tcPr>
          <w:p w14:paraId="76AB10A5" w14:textId="6F3146F3" w:rsidR="000B148D" w:rsidRPr="00294FDC" w:rsidRDefault="00294FDC" w:rsidP="003C049A">
            <w:pPr>
              <w:pStyle w:val="Tablebody"/>
              <w:spacing w:before="0" w:after="0"/>
              <w:jc w:val="center"/>
              <w:rPr>
                <w:color w:val="000000"/>
                <w:highlight w:val="black"/>
              </w:rPr>
            </w:pPr>
            <w:r w:rsidRPr="00294FDC">
              <w:rPr>
                <w:color w:val="000000"/>
                <w:highlight w:val="black"/>
              </w:rPr>
              <w:t>xxx</w:t>
            </w:r>
          </w:p>
        </w:tc>
        <w:tc>
          <w:tcPr>
            <w:tcW w:w="1291" w:type="dxa"/>
            <w:shd w:val="clear" w:color="auto" w:fill="auto"/>
          </w:tcPr>
          <w:p w14:paraId="1BAA6F9F" w14:textId="3580EE3B" w:rsidR="000B148D" w:rsidRPr="00294FDC" w:rsidRDefault="00294FDC" w:rsidP="003C049A">
            <w:pPr>
              <w:pStyle w:val="Tablebody"/>
              <w:spacing w:before="0" w:after="0"/>
              <w:jc w:val="center"/>
              <w:rPr>
                <w:color w:val="000000"/>
                <w:highlight w:val="black"/>
              </w:rPr>
            </w:pPr>
            <w:r w:rsidRPr="00294FDC">
              <w:rPr>
                <w:color w:val="000000"/>
                <w:highlight w:val="black"/>
              </w:rPr>
              <w:t>xxx</w:t>
            </w:r>
          </w:p>
        </w:tc>
        <w:tc>
          <w:tcPr>
            <w:tcW w:w="1291" w:type="dxa"/>
            <w:shd w:val="clear" w:color="auto" w:fill="auto"/>
          </w:tcPr>
          <w:p w14:paraId="7488ECF7" w14:textId="6D5DA38A" w:rsidR="000B148D" w:rsidRPr="00294FDC" w:rsidRDefault="00294FDC" w:rsidP="003C049A">
            <w:pPr>
              <w:pStyle w:val="Tablebody"/>
              <w:spacing w:before="0" w:after="0"/>
              <w:jc w:val="center"/>
              <w:rPr>
                <w:color w:val="000000"/>
                <w:highlight w:val="black"/>
              </w:rPr>
            </w:pPr>
            <w:r w:rsidRPr="00294FDC">
              <w:rPr>
                <w:color w:val="000000"/>
                <w:highlight w:val="black"/>
              </w:rPr>
              <w:t>xxxx</w:t>
            </w:r>
          </w:p>
        </w:tc>
        <w:tc>
          <w:tcPr>
            <w:tcW w:w="1291" w:type="dxa"/>
            <w:shd w:val="clear" w:color="auto" w:fill="auto"/>
          </w:tcPr>
          <w:p w14:paraId="43F7C780" w14:textId="120BD12B" w:rsidR="000B148D" w:rsidRPr="00294FDC" w:rsidRDefault="00294FDC" w:rsidP="003C049A">
            <w:pPr>
              <w:pStyle w:val="Tablebody"/>
              <w:spacing w:before="0" w:after="0"/>
              <w:jc w:val="center"/>
              <w:rPr>
                <w:color w:val="000000"/>
                <w:highlight w:val="black"/>
              </w:rPr>
            </w:pPr>
            <w:r w:rsidRPr="00294FDC">
              <w:rPr>
                <w:color w:val="000000"/>
                <w:highlight w:val="black"/>
              </w:rPr>
              <w:t>xx</w:t>
            </w:r>
          </w:p>
        </w:tc>
        <w:tc>
          <w:tcPr>
            <w:tcW w:w="1291" w:type="dxa"/>
            <w:shd w:val="clear" w:color="auto" w:fill="auto"/>
          </w:tcPr>
          <w:p w14:paraId="13AD5870" w14:textId="1E02A4A4" w:rsidR="000B148D" w:rsidRPr="00294FDC" w:rsidRDefault="00294FDC" w:rsidP="003C049A">
            <w:pPr>
              <w:pStyle w:val="Tablebody"/>
              <w:spacing w:before="0" w:after="0"/>
              <w:jc w:val="center"/>
              <w:rPr>
                <w:color w:val="000000"/>
                <w:highlight w:val="black"/>
              </w:rPr>
            </w:pPr>
            <w:r w:rsidRPr="00294FDC">
              <w:rPr>
                <w:color w:val="000000"/>
                <w:highlight w:val="black"/>
              </w:rPr>
              <w:t>xxx</w:t>
            </w:r>
          </w:p>
        </w:tc>
        <w:tc>
          <w:tcPr>
            <w:tcW w:w="1291" w:type="dxa"/>
            <w:shd w:val="clear" w:color="auto" w:fill="auto"/>
          </w:tcPr>
          <w:p w14:paraId="7C26797B" w14:textId="62D9B0C2" w:rsidR="000B148D" w:rsidRPr="00294FDC" w:rsidRDefault="00294FDC" w:rsidP="003C049A">
            <w:pPr>
              <w:pStyle w:val="Tablebody"/>
              <w:spacing w:before="0" w:after="0"/>
              <w:jc w:val="center"/>
              <w:rPr>
                <w:color w:val="000000"/>
                <w:highlight w:val="black"/>
              </w:rPr>
            </w:pPr>
            <w:r w:rsidRPr="00294FDC">
              <w:rPr>
                <w:color w:val="000000"/>
                <w:highlight w:val="black"/>
              </w:rPr>
              <w:t>xxxx</w:t>
            </w:r>
          </w:p>
        </w:tc>
      </w:tr>
      <w:tr w:rsidR="000B148D" w:rsidRPr="00054570" w14:paraId="51462004" w14:textId="77777777" w:rsidTr="003C049A">
        <w:trPr>
          <w:trHeight w:val="20"/>
        </w:trPr>
        <w:tc>
          <w:tcPr>
            <w:tcW w:w="1271" w:type="dxa"/>
            <w:shd w:val="clear" w:color="auto" w:fill="F2F2F2" w:themeFill="background1" w:themeFillShade="F2"/>
          </w:tcPr>
          <w:p w14:paraId="46A6222A" w14:textId="77777777" w:rsidR="000B148D" w:rsidRPr="00054570" w:rsidRDefault="000B148D" w:rsidP="003C049A">
            <w:pPr>
              <w:pStyle w:val="Tablebody"/>
              <w:spacing w:before="0" w:after="0"/>
            </w:pPr>
            <w:r w:rsidRPr="00054570">
              <w:t>Cycle 3</w:t>
            </w:r>
          </w:p>
        </w:tc>
        <w:tc>
          <w:tcPr>
            <w:tcW w:w="1290" w:type="dxa"/>
            <w:shd w:val="clear" w:color="auto" w:fill="auto"/>
          </w:tcPr>
          <w:p w14:paraId="6E796EC3" w14:textId="5B97C326" w:rsidR="000B148D" w:rsidRPr="00294FDC" w:rsidRDefault="00294FDC" w:rsidP="003C049A">
            <w:pPr>
              <w:pStyle w:val="Tablebody"/>
              <w:spacing w:before="0" w:after="0"/>
              <w:jc w:val="center"/>
              <w:rPr>
                <w:color w:val="000000"/>
                <w:highlight w:val="black"/>
              </w:rPr>
            </w:pPr>
            <w:r w:rsidRPr="00294FDC">
              <w:rPr>
                <w:color w:val="000000"/>
                <w:highlight w:val="black"/>
              </w:rPr>
              <w:t>xxx</w:t>
            </w:r>
          </w:p>
        </w:tc>
        <w:tc>
          <w:tcPr>
            <w:tcW w:w="1291" w:type="dxa"/>
            <w:shd w:val="clear" w:color="auto" w:fill="auto"/>
          </w:tcPr>
          <w:p w14:paraId="439B0FF2" w14:textId="26B3E24F" w:rsidR="000B148D" w:rsidRPr="00294FDC" w:rsidRDefault="00294FDC" w:rsidP="003C049A">
            <w:pPr>
              <w:pStyle w:val="Tablebody"/>
              <w:spacing w:before="0" w:after="0"/>
              <w:jc w:val="center"/>
              <w:rPr>
                <w:color w:val="000000"/>
                <w:highlight w:val="black"/>
              </w:rPr>
            </w:pPr>
            <w:r w:rsidRPr="00294FDC">
              <w:rPr>
                <w:color w:val="000000"/>
                <w:highlight w:val="black"/>
              </w:rPr>
              <w:t>xxx</w:t>
            </w:r>
          </w:p>
        </w:tc>
        <w:tc>
          <w:tcPr>
            <w:tcW w:w="1291" w:type="dxa"/>
            <w:shd w:val="clear" w:color="auto" w:fill="auto"/>
          </w:tcPr>
          <w:p w14:paraId="2EBFA057" w14:textId="6A5E982D" w:rsidR="000B148D" w:rsidRPr="00294FDC" w:rsidRDefault="00294FDC" w:rsidP="003C049A">
            <w:pPr>
              <w:pStyle w:val="Tablebody"/>
              <w:spacing w:before="0" w:after="0"/>
              <w:jc w:val="center"/>
              <w:rPr>
                <w:color w:val="000000"/>
                <w:highlight w:val="black"/>
              </w:rPr>
            </w:pPr>
            <w:r w:rsidRPr="00294FDC">
              <w:rPr>
                <w:color w:val="000000"/>
                <w:highlight w:val="black"/>
              </w:rPr>
              <w:t>xxxx</w:t>
            </w:r>
          </w:p>
        </w:tc>
        <w:tc>
          <w:tcPr>
            <w:tcW w:w="1291" w:type="dxa"/>
            <w:shd w:val="clear" w:color="auto" w:fill="auto"/>
          </w:tcPr>
          <w:p w14:paraId="0876F2E4" w14:textId="1F89CD38" w:rsidR="000B148D" w:rsidRPr="00294FDC" w:rsidRDefault="00294FDC" w:rsidP="003C049A">
            <w:pPr>
              <w:pStyle w:val="Tablebody"/>
              <w:spacing w:before="0" w:after="0"/>
              <w:jc w:val="center"/>
              <w:rPr>
                <w:color w:val="000000"/>
                <w:highlight w:val="black"/>
              </w:rPr>
            </w:pPr>
            <w:r w:rsidRPr="00294FDC">
              <w:rPr>
                <w:color w:val="000000"/>
                <w:highlight w:val="black"/>
              </w:rPr>
              <w:t>xx</w:t>
            </w:r>
          </w:p>
        </w:tc>
        <w:tc>
          <w:tcPr>
            <w:tcW w:w="1291" w:type="dxa"/>
            <w:shd w:val="clear" w:color="auto" w:fill="auto"/>
          </w:tcPr>
          <w:p w14:paraId="5650BAAA" w14:textId="08BE97F4" w:rsidR="000B148D" w:rsidRPr="00294FDC" w:rsidRDefault="00294FDC" w:rsidP="003C049A">
            <w:pPr>
              <w:pStyle w:val="Tablebody"/>
              <w:spacing w:before="0" w:after="0"/>
              <w:jc w:val="center"/>
              <w:rPr>
                <w:color w:val="000000"/>
                <w:highlight w:val="black"/>
              </w:rPr>
            </w:pPr>
            <w:r w:rsidRPr="00294FDC">
              <w:rPr>
                <w:color w:val="000000"/>
                <w:highlight w:val="black"/>
              </w:rPr>
              <w:t>xxx</w:t>
            </w:r>
          </w:p>
        </w:tc>
        <w:tc>
          <w:tcPr>
            <w:tcW w:w="1291" w:type="dxa"/>
            <w:shd w:val="clear" w:color="auto" w:fill="auto"/>
          </w:tcPr>
          <w:p w14:paraId="7216018B" w14:textId="06AA8508" w:rsidR="000B148D" w:rsidRPr="00294FDC" w:rsidRDefault="00294FDC" w:rsidP="003C049A">
            <w:pPr>
              <w:pStyle w:val="Tablebody"/>
              <w:spacing w:before="0" w:after="0"/>
              <w:jc w:val="center"/>
              <w:rPr>
                <w:color w:val="000000"/>
                <w:highlight w:val="black"/>
              </w:rPr>
            </w:pPr>
            <w:r w:rsidRPr="00294FDC">
              <w:rPr>
                <w:color w:val="000000"/>
                <w:highlight w:val="black"/>
              </w:rPr>
              <w:t>xxxx</w:t>
            </w:r>
          </w:p>
        </w:tc>
      </w:tr>
      <w:tr w:rsidR="000B148D" w:rsidRPr="00054570" w14:paraId="4D36DF11" w14:textId="77777777" w:rsidTr="003C049A">
        <w:trPr>
          <w:trHeight w:val="20"/>
        </w:trPr>
        <w:tc>
          <w:tcPr>
            <w:tcW w:w="1271" w:type="dxa"/>
            <w:shd w:val="clear" w:color="auto" w:fill="F2F2F2" w:themeFill="background1" w:themeFillShade="F2"/>
          </w:tcPr>
          <w:p w14:paraId="0A47104C" w14:textId="77777777" w:rsidR="000B148D" w:rsidRPr="00054570" w:rsidRDefault="000B148D" w:rsidP="003C049A">
            <w:pPr>
              <w:pStyle w:val="Tablebody"/>
              <w:spacing w:before="0" w:after="0"/>
            </w:pPr>
            <w:r w:rsidRPr="00054570">
              <w:t>Cycle 4</w:t>
            </w:r>
          </w:p>
        </w:tc>
        <w:tc>
          <w:tcPr>
            <w:tcW w:w="1290" w:type="dxa"/>
            <w:shd w:val="clear" w:color="auto" w:fill="auto"/>
          </w:tcPr>
          <w:p w14:paraId="6348FB17" w14:textId="5D30FBD0" w:rsidR="000B148D" w:rsidRPr="00294FDC" w:rsidRDefault="00294FDC" w:rsidP="003C049A">
            <w:pPr>
              <w:pStyle w:val="Tablebody"/>
              <w:spacing w:before="0" w:after="0"/>
              <w:jc w:val="center"/>
              <w:rPr>
                <w:color w:val="000000"/>
                <w:highlight w:val="black"/>
              </w:rPr>
            </w:pPr>
            <w:r w:rsidRPr="00294FDC">
              <w:rPr>
                <w:color w:val="000000"/>
                <w:highlight w:val="black"/>
              </w:rPr>
              <w:t>xxx</w:t>
            </w:r>
          </w:p>
        </w:tc>
        <w:tc>
          <w:tcPr>
            <w:tcW w:w="1291" w:type="dxa"/>
            <w:shd w:val="clear" w:color="auto" w:fill="auto"/>
          </w:tcPr>
          <w:p w14:paraId="01D58623" w14:textId="1CC18369" w:rsidR="000B148D" w:rsidRPr="00294FDC" w:rsidRDefault="00294FDC" w:rsidP="003C049A">
            <w:pPr>
              <w:pStyle w:val="Tablebody"/>
              <w:spacing w:before="0" w:after="0"/>
              <w:jc w:val="center"/>
              <w:rPr>
                <w:color w:val="000000"/>
                <w:highlight w:val="black"/>
              </w:rPr>
            </w:pPr>
            <w:r w:rsidRPr="00294FDC">
              <w:rPr>
                <w:color w:val="000000"/>
                <w:highlight w:val="black"/>
              </w:rPr>
              <w:t>xxx</w:t>
            </w:r>
          </w:p>
        </w:tc>
        <w:tc>
          <w:tcPr>
            <w:tcW w:w="1291" w:type="dxa"/>
            <w:shd w:val="clear" w:color="auto" w:fill="auto"/>
          </w:tcPr>
          <w:p w14:paraId="7787ABF4" w14:textId="5F00CC3F" w:rsidR="000B148D" w:rsidRPr="00294FDC" w:rsidRDefault="00294FDC" w:rsidP="003C049A">
            <w:pPr>
              <w:pStyle w:val="Tablebody"/>
              <w:spacing w:before="0" w:after="0"/>
              <w:jc w:val="center"/>
              <w:rPr>
                <w:color w:val="000000"/>
                <w:highlight w:val="black"/>
              </w:rPr>
            </w:pPr>
            <w:r w:rsidRPr="00294FDC">
              <w:rPr>
                <w:color w:val="000000"/>
                <w:highlight w:val="black"/>
              </w:rPr>
              <w:t>xxxx</w:t>
            </w:r>
          </w:p>
        </w:tc>
        <w:tc>
          <w:tcPr>
            <w:tcW w:w="1291" w:type="dxa"/>
            <w:shd w:val="clear" w:color="auto" w:fill="auto"/>
          </w:tcPr>
          <w:p w14:paraId="2ADC952C" w14:textId="26008225" w:rsidR="000B148D" w:rsidRPr="00294FDC" w:rsidRDefault="00294FDC" w:rsidP="003C049A">
            <w:pPr>
              <w:pStyle w:val="Tablebody"/>
              <w:spacing w:before="0" w:after="0"/>
              <w:jc w:val="center"/>
              <w:rPr>
                <w:color w:val="000000"/>
                <w:highlight w:val="black"/>
              </w:rPr>
            </w:pPr>
            <w:r w:rsidRPr="00294FDC">
              <w:rPr>
                <w:color w:val="000000"/>
                <w:highlight w:val="black"/>
              </w:rPr>
              <w:t>xx</w:t>
            </w:r>
          </w:p>
        </w:tc>
        <w:tc>
          <w:tcPr>
            <w:tcW w:w="1291" w:type="dxa"/>
            <w:shd w:val="clear" w:color="auto" w:fill="auto"/>
          </w:tcPr>
          <w:p w14:paraId="6B53882E" w14:textId="5F190ADB" w:rsidR="000B148D" w:rsidRPr="00294FDC" w:rsidRDefault="00294FDC" w:rsidP="003C049A">
            <w:pPr>
              <w:pStyle w:val="Tablebody"/>
              <w:spacing w:before="0" w:after="0"/>
              <w:jc w:val="center"/>
              <w:rPr>
                <w:color w:val="000000"/>
                <w:highlight w:val="black"/>
              </w:rPr>
            </w:pPr>
            <w:r w:rsidRPr="00294FDC">
              <w:rPr>
                <w:color w:val="000000"/>
                <w:highlight w:val="black"/>
              </w:rPr>
              <w:t>xxx</w:t>
            </w:r>
          </w:p>
        </w:tc>
        <w:tc>
          <w:tcPr>
            <w:tcW w:w="1291" w:type="dxa"/>
            <w:shd w:val="clear" w:color="auto" w:fill="auto"/>
          </w:tcPr>
          <w:p w14:paraId="7E9C4CAF" w14:textId="5F035505" w:rsidR="000B148D" w:rsidRPr="00294FDC" w:rsidRDefault="00294FDC" w:rsidP="003C049A">
            <w:pPr>
              <w:pStyle w:val="Tablebody"/>
              <w:spacing w:before="0" w:after="0"/>
              <w:jc w:val="center"/>
              <w:rPr>
                <w:color w:val="000000"/>
                <w:highlight w:val="black"/>
              </w:rPr>
            </w:pPr>
            <w:r w:rsidRPr="00294FDC">
              <w:rPr>
                <w:color w:val="000000"/>
                <w:highlight w:val="black"/>
              </w:rPr>
              <w:t>xxxx</w:t>
            </w:r>
          </w:p>
        </w:tc>
      </w:tr>
      <w:tr w:rsidR="000B148D" w:rsidRPr="00054570" w14:paraId="45251A6E" w14:textId="77777777" w:rsidTr="003C049A">
        <w:trPr>
          <w:trHeight w:val="20"/>
        </w:trPr>
        <w:tc>
          <w:tcPr>
            <w:tcW w:w="1271" w:type="dxa"/>
            <w:shd w:val="clear" w:color="auto" w:fill="F2F2F2" w:themeFill="background1" w:themeFillShade="F2"/>
          </w:tcPr>
          <w:p w14:paraId="4D187501" w14:textId="77777777" w:rsidR="000B148D" w:rsidRPr="00054570" w:rsidRDefault="000B148D" w:rsidP="003C049A">
            <w:pPr>
              <w:pStyle w:val="Tablebody"/>
              <w:spacing w:before="0" w:after="0"/>
            </w:pPr>
            <w:r w:rsidRPr="00054570">
              <w:t>Cycle 5</w:t>
            </w:r>
          </w:p>
        </w:tc>
        <w:tc>
          <w:tcPr>
            <w:tcW w:w="1290" w:type="dxa"/>
            <w:shd w:val="clear" w:color="auto" w:fill="auto"/>
          </w:tcPr>
          <w:p w14:paraId="3E4D7B6F" w14:textId="6E874C90" w:rsidR="000B148D" w:rsidRPr="00294FDC" w:rsidRDefault="00294FDC" w:rsidP="003C049A">
            <w:pPr>
              <w:pStyle w:val="Tablebody"/>
              <w:spacing w:before="0" w:after="0"/>
              <w:jc w:val="center"/>
              <w:rPr>
                <w:color w:val="000000"/>
                <w:highlight w:val="black"/>
              </w:rPr>
            </w:pPr>
            <w:r w:rsidRPr="00294FDC">
              <w:rPr>
                <w:color w:val="000000"/>
                <w:highlight w:val="black"/>
              </w:rPr>
              <w:t>xxx</w:t>
            </w:r>
          </w:p>
        </w:tc>
        <w:tc>
          <w:tcPr>
            <w:tcW w:w="1291" w:type="dxa"/>
            <w:shd w:val="clear" w:color="auto" w:fill="auto"/>
          </w:tcPr>
          <w:p w14:paraId="3D852385" w14:textId="7569E771" w:rsidR="000B148D" w:rsidRPr="00294FDC" w:rsidRDefault="00294FDC" w:rsidP="003C049A">
            <w:pPr>
              <w:pStyle w:val="Tablebody"/>
              <w:spacing w:before="0" w:after="0"/>
              <w:jc w:val="center"/>
              <w:rPr>
                <w:color w:val="000000"/>
                <w:highlight w:val="black"/>
              </w:rPr>
            </w:pPr>
            <w:r w:rsidRPr="00294FDC">
              <w:rPr>
                <w:color w:val="000000"/>
                <w:highlight w:val="black"/>
              </w:rPr>
              <w:t>xxx</w:t>
            </w:r>
          </w:p>
        </w:tc>
        <w:tc>
          <w:tcPr>
            <w:tcW w:w="1291" w:type="dxa"/>
            <w:shd w:val="clear" w:color="auto" w:fill="auto"/>
          </w:tcPr>
          <w:p w14:paraId="37B0891F" w14:textId="1E6CA96F" w:rsidR="000B148D" w:rsidRPr="00294FDC" w:rsidRDefault="00294FDC" w:rsidP="003C049A">
            <w:pPr>
              <w:pStyle w:val="Tablebody"/>
              <w:spacing w:before="0" w:after="0"/>
              <w:jc w:val="center"/>
              <w:rPr>
                <w:color w:val="000000"/>
                <w:highlight w:val="black"/>
              </w:rPr>
            </w:pPr>
            <w:r w:rsidRPr="00294FDC">
              <w:rPr>
                <w:color w:val="000000"/>
                <w:highlight w:val="black"/>
              </w:rPr>
              <w:t>xxxx</w:t>
            </w:r>
          </w:p>
        </w:tc>
        <w:tc>
          <w:tcPr>
            <w:tcW w:w="1291" w:type="dxa"/>
            <w:shd w:val="clear" w:color="auto" w:fill="auto"/>
          </w:tcPr>
          <w:p w14:paraId="0A894202" w14:textId="06E269F8" w:rsidR="000B148D" w:rsidRPr="00294FDC" w:rsidRDefault="00294FDC" w:rsidP="003C049A">
            <w:pPr>
              <w:pStyle w:val="Tablebody"/>
              <w:spacing w:before="0" w:after="0"/>
              <w:jc w:val="center"/>
              <w:rPr>
                <w:color w:val="000000"/>
                <w:highlight w:val="black"/>
              </w:rPr>
            </w:pPr>
            <w:r w:rsidRPr="00294FDC">
              <w:rPr>
                <w:color w:val="000000"/>
                <w:highlight w:val="black"/>
              </w:rPr>
              <w:t>xx</w:t>
            </w:r>
          </w:p>
        </w:tc>
        <w:tc>
          <w:tcPr>
            <w:tcW w:w="1291" w:type="dxa"/>
            <w:shd w:val="clear" w:color="auto" w:fill="auto"/>
          </w:tcPr>
          <w:p w14:paraId="4EB5EEBD" w14:textId="4B1D9847" w:rsidR="000B148D" w:rsidRPr="00294FDC" w:rsidRDefault="00294FDC" w:rsidP="003C049A">
            <w:pPr>
              <w:pStyle w:val="Tablebody"/>
              <w:spacing w:before="0" w:after="0"/>
              <w:jc w:val="center"/>
              <w:rPr>
                <w:color w:val="000000"/>
                <w:highlight w:val="black"/>
              </w:rPr>
            </w:pPr>
            <w:r w:rsidRPr="00294FDC">
              <w:rPr>
                <w:color w:val="000000"/>
                <w:highlight w:val="black"/>
              </w:rPr>
              <w:t>xx</w:t>
            </w:r>
          </w:p>
        </w:tc>
        <w:tc>
          <w:tcPr>
            <w:tcW w:w="1291" w:type="dxa"/>
            <w:shd w:val="clear" w:color="auto" w:fill="auto"/>
          </w:tcPr>
          <w:p w14:paraId="3494A25A" w14:textId="2AC6D87E" w:rsidR="000B148D" w:rsidRPr="00294FDC" w:rsidRDefault="00294FDC" w:rsidP="003C049A">
            <w:pPr>
              <w:pStyle w:val="Tablebody"/>
              <w:spacing w:before="0" w:after="0"/>
              <w:jc w:val="center"/>
              <w:rPr>
                <w:color w:val="000000"/>
                <w:highlight w:val="black"/>
              </w:rPr>
            </w:pPr>
            <w:r w:rsidRPr="00294FDC">
              <w:rPr>
                <w:color w:val="000000"/>
                <w:highlight w:val="black"/>
              </w:rPr>
              <w:t>xxxx</w:t>
            </w:r>
          </w:p>
        </w:tc>
      </w:tr>
      <w:tr w:rsidR="000B148D" w:rsidRPr="00054570" w14:paraId="2EF6143A" w14:textId="77777777" w:rsidTr="003C049A">
        <w:trPr>
          <w:trHeight w:val="20"/>
        </w:trPr>
        <w:tc>
          <w:tcPr>
            <w:tcW w:w="1271" w:type="dxa"/>
            <w:shd w:val="clear" w:color="auto" w:fill="F2F2F2" w:themeFill="background1" w:themeFillShade="F2"/>
          </w:tcPr>
          <w:p w14:paraId="3B73CF98" w14:textId="77777777" w:rsidR="000B148D" w:rsidRPr="00054570" w:rsidRDefault="000B148D" w:rsidP="003C049A">
            <w:pPr>
              <w:pStyle w:val="Tablebody"/>
              <w:spacing w:before="0" w:after="0"/>
            </w:pPr>
            <w:r w:rsidRPr="00054570">
              <w:t>Cycle 6</w:t>
            </w:r>
          </w:p>
        </w:tc>
        <w:tc>
          <w:tcPr>
            <w:tcW w:w="1290" w:type="dxa"/>
            <w:shd w:val="clear" w:color="auto" w:fill="auto"/>
          </w:tcPr>
          <w:p w14:paraId="64EFC7B1" w14:textId="3202D963" w:rsidR="000B148D" w:rsidRPr="00294FDC" w:rsidRDefault="00294FDC" w:rsidP="003C049A">
            <w:pPr>
              <w:pStyle w:val="Tablebody"/>
              <w:spacing w:before="0" w:after="0"/>
              <w:jc w:val="center"/>
              <w:rPr>
                <w:color w:val="000000"/>
                <w:highlight w:val="black"/>
              </w:rPr>
            </w:pPr>
            <w:r w:rsidRPr="00294FDC">
              <w:rPr>
                <w:color w:val="000000"/>
                <w:highlight w:val="black"/>
              </w:rPr>
              <w:t>xxx</w:t>
            </w:r>
          </w:p>
        </w:tc>
        <w:tc>
          <w:tcPr>
            <w:tcW w:w="1291" w:type="dxa"/>
            <w:shd w:val="clear" w:color="auto" w:fill="auto"/>
          </w:tcPr>
          <w:p w14:paraId="5DCCCA75" w14:textId="55102B3B" w:rsidR="000B148D" w:rsidRPr="00294FDC" w:rsidRDefault="00294FDC" w:rsidP="003C049A">
            <w:pPr>
              <w:pStyle w:val="Tablebody"/>
              <w:spacing w:before="0" w:after="0"/>
              <w:jc w:val="center"/>
              <w:rPr>
                <w:color w:val="000000"/>
                <w:highlight w:val="black"/>
              </w:rPr>
            </w:pPr>
            <w:r w:rsidRPr="00294FDC">
              <w:rPr>
                <w:color w:val="000000"/>
                <w:highlight w:val="black"/>
              </w:rPr>
              <w:t>xxx</w:t>
            </w:r>
          </w:p>
        </w:tc>
        <w:tc>
          <w:tcPr>
            <w:tcW w:w="1291" w:type="dxa"/>
            <w:shd w:val="clear" w:color="auto" w:fill="auto"/>
          </w:tcPr>
          <w:p w14:paraId="147FDFB2" w14:textId="7BFC7914" w:rsidR="000B148D" w:rsidRPr="00294FDC" w:rsidRDefault="00294FDC" w:rsidP="003C049A">
            <w:pPr>
              <w:pStyle w:val="Tablebody"/>
              <w:spacing w:before="0" w:after="0"/>
              <w:jc w:val="center"/>
              <w:rPr>
                <w:color w:val="000000"/>
                <w:highlight w:val="black"/>
              </w:rPr>
            </w:pPr>
            <w:r w:rsidRPr="00294FDC">
              <w:rPr>
                <w:color w:val="000000"/>
                <w:highlight w:val="black"/>
              </w:rPr>
              <w:t>xxxx</w:t>
            </w:r>
          </w:p>
        </w:tc>
        <w:tc>
          <w:tcPr>
            <w:tcW w:w="1291" w:type="dxa"/>
            <w:shd w:val="clear" w:color="auto" w:fill="auto"/>
          </w:tcPr>
          <w:p w14:paraId="08B56671" w14:textId="51EE98A8" w:rsidR="000B148D" w:rsidRPr="00294FDC" w:rsidRDefault="00294FDC" w:rsidP="003C049A">
            <w:pPr>
              <w:pStyle w:val="Tablebody"/>
              <w:spacing w:before="0" w:after="0"/>
              <w:jc w:val="center"/>
              <w:rPr>
                <w:color w:val="000000"/>
                <w:highlight w:val="black"/>
              </w:rPr>
            </w:pPr>
            <w:r w:rsidRPr="00294FDC">
              <w:rPr>
                <w:color w:val="000000"/>
                <w:highlight w:val="black"/>
              </w:rPr>
              <w:t>xx</w:t>
            </w:r>
          </w:p>
        </w:tc>
        <w:tc>
          <w:tcPr>
            <w:tcW w:w="1291" w:type="dxa"/>
            <w:shd w:val="clear" w:color="auto" w:fill="auto"/>
          </w:tcPr>
          <w:p w14:paraId="3227A810" w14:textId="7E6FEE31" w:rsidR="000B148D" w:rsidRPr="00294FDC" w:rsidRDefault="00294FDC" w:rsidP="003C049A">
            <w:pPr>
              <w:pStyle w:val="Tablebody"/>
              <w:spacing w:before="0" w:after="0"/>
              <w:jc w:val="center"/>
              <w:rPr>
                <w:color w:val="000000"/>
                <w:highlight w:val="black"/>
              </w:rPr>
            </w:pPr>
            <w:r w:rsidRPr="00294FDC">
              <w:rPr>
                <w:color w:val="000000"/>
                <w:highlight w:val="black"/>
              </w:rPr>
              <w:t>xx</w:t>
            </w:r>
          </w:p>
        </w:tc>
        <w:tc>
          <w:tcPr>
            <w:tcW w:w="1291" w:type="dxa"/>
            <w:shd w:val="clear" w:color="auto" w:fill="auto"/>
          </w:tcPr>
          <w:p w14:paraId="36672B54" w14:textId="6E80CBE8" w:rsidR="000B148D" w:rsidRPr="00294FDC" w:rsidRDefault="00294FDC" w:rsidP="003C049A">
            <w:pPr>
              <w:pStyle w:val="Tablebody"/>
              <w:spacing w:before="0" w:after="0"/>
              <w:jc w:val="center"/>
              <w:rPr>
                <w:color w:val="000000"/>
                <w:highlight w:val="black"/>
              </w:rPr>
            </w:pPr>
            <w:r w:rsidRPr="00294FDC">
              <w:rPr>
                <w:color w:val="000000"/>
                <w:highlight w:val="black"/>
              </w:rPr>
              <w:t>xxxx</w:t>
            </w:r>
          </w:p>
        </w:tc>
      </w:tr>
      <w:tr w:rsidR="000B148D" w:rsidRPr="00054570" w14:paraId="1EFE4D55" w14:textId="77777777" w:rsidTr="003C049A">
        <w:trPr>
          <w:trHeight w:val="20"/>
        </w:trPr>
        <w:tc>
          <w:tcPr>
            <w:tcW w:w="1271" w:type="dxa"/>
            <w:shd w:val="clear" w:color="auto" w:fill="F2F2F2" w:themeFill="background1" w:themeFillShade="F2"/>
          </w:tcPr>
          <w:p w14:paraId="3172BF53" w14:textId="77777777" w:rsidR="000B148D" w:rsidRPr="00054570" w:rsidRDefault="000B148D" w:rsidP="003C049A">
            <w:pPr>
              <w:pStyle w:val="Tablebody"/>
              <w:spacing w:before="0" w:after="0"/>
            </w:pPr>
            <w:r w:rsidRPr="00054570">
              <w:t>Cycle 7</w:t>
            </w:r>
          </w:p>
        </w:tc>
        <w:tc>
          <w:tcPr>
            <w:tcW w:w="1290" w:type="dxa"/>
            <w:shd w:val="clear" w:color="auto" w:fill="auto"/>
          </w:tcPr>
          <w:p w14:paraId="1A22AD38" w14:textId="5F6DAAEE" w:rsidR="000B148D" w:rsidRPr="00294FDC" w:rsidRDefault="00294FDC" w:rsidP="003C049A">
            <w:pPr>
              <w:pStyle w:val="Tablebody"/>
              <w:spacing w:before="0" w:after="0"/>
              <w:jc w:val="center"/>
              <w:rPr>
                <w:color w:val="000000"/>
                <w:highlight w:val="black"/>
              </w:rPr>
            </w:pPr>
            <w:r w:rsidRPr="00294FDC">
              <w:rPr>
                <w:color w:val="000000"/>
                <w:highlight w:val="black"/>
              </w:rPr>
              <w:t>xxx</w:t>
            </w:r>
          </w:p>
        </w:tc>
        <w:tc>
          <w:tcPr>
            <w:tcW w:w="1291" w:type="dxa"/>
            <w:shd w:val="clear" w:color="auto" w:fill="auto"/>
          </w:tcPr>
          <w:p w14:paraId="3F5BFD8F" w14:textId="6A14DC52" w:rsidR="000B148D" w:rsidRPr="00294FDC" w:rsidRDefault="00294FDC" w:rsidP="003C049A">
            <w:pPr>
              <w:pStyle w:val="Tablebody"/>
              <w:spacing w:before="0" w:after="0"/>
              <w:jc w:val="center"/>
              <w:rPr>
                <w:color w:val="000000"/>
                <w:highlight w:val="black"/>
              </w:rPr>
            </w:pPr>
            <w:r w:rsidRPr="00294FDC">
              <w:rPr>
                <w:color w:val="000000"/>
                <w:highlight w:val="black"/>
              </w:rPr>
              <w:t>xxx</w:t>
            </w:r>
          </w:p>
        </w:tc>
        <w:tc>
          <w:tcPr>
            <w:tcW w:w="1291" w:type="dxa"/>
            <w:shd w:val="clear" w:color="auto" w:fill="auto"/>
          </w:tcPr>
          <w:p w14:paraId="471B23FA" w14:textId="089507FE" w:rsidR="000B148D" w:rsidRPr="00294FDC" w:rsidRDefault="00294FDC" w:rsidP="003C049A">
            <w:pPr>
              <w:pStyle w:val="Tablebody"/>
              <w:spacing w:before="0" w:after="0"/>
              <w:jc w:val="center"/>
              <w:rPr>
                <w:color w:val="000000"/>
                <w:highlight w:val="black"/>
              </w:rPr>
            </w:pPr>
            <w:r w:rsidRPr="00294FDC">
              <w:rPr>
                <w:color w:val="000000"/>
                <w:highlight w:val="black"/>
              </w:rPr>
              <w:t>xxxx</w:t>
            </w:r>
          </w:p>
        </w:tc>
        <w:tc>
          <w:tcPr>
            <w:tcW w:w="1291" w:type="dxa"/>
            <w:shd w:val="clear" w:color="auto" w:fill="auto"/>
          </w:tcPr>
          <w:p w14:paraId="773FFD2B" w14:textId="02BF81A8" w:rsidR="000B148D" w:rsidRPr="00294FDC" w:rsidRDefault="00294FDC" w:rsidP="003C049A">
            <w:pPr>
              <w:pStyle w:val="Tablebody"/>
              <w:spacing w:before="0" w:after="0"/>
              <w:jc w:val="center"/>
              <w:rPr>
                <w:color w:val="000000"/>
                <w:highlight w:val="black"/>
              </w:rPr>
            </w:pPr>
            <w:r w:rsidRPr="00294FDC">
              <w:rPr>
                <w:color w:val="000000"/>
                <w:highlight w:val="black"/>
              </w:rPr>
              <w:t>xx</w:t>
            </w:r>
          </w:p>
        </w:tc>
        <w:tc>
          <w:tcPr>
            <w:tcW w:w="1291" w:type="dxa"/>
            <w:shd w:val="clear" w:color="auto" w:fill="auto"/>
          </w:tcPr>
          <w:p w14:paraId="6CE0422B" w14:textId="61F547CD" w:rsidR="000B148D" w:rsidRPr="00294FDC" w:rsidRDefault="00294FDC" w:rsidP="003C049A">
            <w:pPr>
              <w:pStyle w:val="Tablebody"/>
              <w:spacing w:before="0" w:after="0"/>
              <w:jc w:val="center"/>
              <w:rPr>
                <w:color w:val="000000"/>
                <w:highlight w:val="black"/>
              </w:rPr>
            </w:pPr>
            <w:r w:rsidRPr="00294FDC">
              <w:rPr>
                <w:color w:val="000000"/>
                <w:highlight w:val="black"/>
              </w:rPr>
              <w:t>xx</w:t>
            </w:r>
          </w:p>
        </w:tc>
        <w:tc>
          <w:tcPr>
            <w:tcW w:w="1291" w:type="dxa"/>
            <w:shd w:val="clear" w:color="auto" w:fill="auto"/>
          </w:tcPr>
          <w:p w14:paraId="72576D05" w14:textId="6EA5C186" w:rsidR="000B148D" w:rsidRPr="00294FDC" w:rsidRDefault="00294FDC" w:rsidP="003C049A">
            <w:pPr>
              <w:pStyle w:val="Tablebody"/>
              <w:spacing w:before="0" w:after="0"/>
              <w:jc w:val="center"/>
              <w:rPr>
                <w:color w:val="000000"/>
                <w:highlight w:val="black"/>
              </w:rPr>
            </w:pPr>
            <w:r w:rsidRPr="00294FDC">
              <w:rPr>
                <w:color w:val="000000"/>
                <w:highlight w:val="black"/>
              </w:rPr>
              <w:t>xxxx</w:t>
            </w:r>
          </w:p>
        </w:tc>
      </w:tr>
      <w:tr w:rsidR="000B148D" w:rsidRPr="00054570" w14:paraId="074D9D09" w14:textId="77777777" w:rsidTr="003C049A">
        <w:trPr>
          <w:trHeight w:val="20"/>
        </w:trPr>
        <w:tc>
          <w:tcPr>
            <w:tcW w:w="1271" w:type="dxa"/>
            <w:shd w:val="clear" w:color="auto" w:fill="F2F2F2" w:themeFill="background1" w:themeFillShade="F2"/>
          </w:tcPr>
          <w:p w14:paraId="1CE97ABE" w14:textId="77777777" w:rsidR="000B148D" w:rsidRPr="00054570" w:rsidRDefault="000B148D" w:rsidP="003C049A">
            <w:pPr>
              <w:pStyle w:val="Tablebody"/>
              <w:spacing w:before="0" w:after="0"/>
            </w:pPr>
            <w:r w:rsidRPr="00054570">
              <w:t>Cycle ≥8*</w:t>
            </w:r>
          </w:p>
        </w:tc>
        <w:tc>
          <w:tcPr>
            <w:tcW w:w="1290" w:type="dxa"/>
            <w:shd w:val="clear" w:color="auto" w:fill="auto"/>
          </w:tcPr>
          <w:p w14:paraId="44167BBA" w14:textId="1B7697C0" w:rsidR="000B148D" w:rsidRPr="00294FDC" w:rsidRDefault="00294FDC" w:rsidP="003C049A">
            <w:pPr>
              <w:pStyle w:val="Tablebody"/>
              <w:spacing w:before="0" w:after="0"/>
              <w:jc w:val="center"/>
              <w:rPr>
                <w:color w:val="000000"/>
                <w:highlight w:val="black"/>
              </w:rPr>
            </w:pPr>
            <w:r w:rsidRPr="00294FDC">
              <w:rPr>
                <w:color w:val="000000"/>
                <w:highlight w:val="black"/>
              </w:rPr>
              <w:t>xxx</w:t>
            </w:r>
          </w:p>
        </w:tc>
        <w:tc>
          <w:tcPr>
            <w:tcW w:w="1291" w:type="dxa"/>
            <w:shd w:val="clear" w:color="auto" w:fill="auto"/>
          </w:tcPr>
          <w:p w14:paraId="2D956AF5" w14:textId="6AA804BA" w:rsidR="000B148D" w:rsidRPr="00294FDC" w:rsidRDefault="00294FDC" w:rsidP="003C049A">
            <w:pPr>
              <w:pStyle w:val="Tablebody"/>
              <w:spacing w:before="0" w:after="0"/>
              <w:jc w:val="center"/>
              <w:rPr>
                <w:color w:val="000000"/>
                <w:highlight w:val="black"/>
              </w:rPr>
            </w:pPr>
            <w:r w:rsidRPr="00294FDC">
              <w:rPr>
                <w:color w:val="000000"/>
                <w:highlight w:val="black"/>
              </w:rPr>
              <w:t>xxx</w:t>
            </w:r>
          </w:p>
        </w:tc>
        <w:tc>
          <w:tcPr>
            <w:tcW w:w="1291" w:type="dxa"/>
            <w:shd w:val="clear" w:color="auto" w:fill="auto"/>
          </w:tcPr>
          <w:p w14:paraId="5835116B" w14:textId="4D78960F" w:rsidR="000B148D" w:rsidRPr="00294FDC" w:rsidRDefault="00294FDC" w:rsidP="003C049A">
            <w:pPr>
              <w:pStyle w:val="Tablebody"/>
              <w:spacing w:before="0" w:after="0"/>
              <w:jc w:val="center"/>
              <w:rPr>
                <w:color w:val="000000"/>
                <w:highlight w:val="black"/>
              </w:rPr>
            </w:pPr>
            <w:r w:rsidRPr="00294FDC">
              <w:rPr>
                <w:color w:val="000000"/>
                <w:highlight w:val="black"/>
              </w:rPr>
              <w:t>xxxx</w:t>
            </w:r>
          </w:p>
        </w:tc>
        <w:tc>
          <w:tcPr>
            <w:tcW w:w="1291" w:type="dxa"/>
            <w:shd w:val="clear" w:color="auto" w:fill="auto"/>
          </w:tcPr>
          <w:p w14:paraId="06EA1C9A" w14:textId="74874317" w:rsidR="000B148D" w:rsidRPr="00294FDC" w:rsidRDefault="00294FDC" w:rsidP="003C049A">
            <w:pPr>
              <w:pStyle w:val="Tablebody"/>
              <w:spacing w:before="0" w:after="0"/>
              <w:jc w:val="center"/>
              <w:rPr>
                <w:color w:val="000000"/>
                <w:highlight w:val="black"/>
              </w:rPr>
            </w:pPr>
            <w:r w:rsidRPr="00294FDC">
              <w:rPr>
                <w:color w:val="000000"/>
                <w:highlight w:val="black"/>
              </w:rPr>
              <w:t>xx</w:t>
            </w:r>
          </w:p>
        </w:tc>
        <w:tc>
          <w:tcPr>
            <w:tcW w:w="1291" w:type="dxa"/>
            <w:shd w:val="clear" w:color="auto" w:fill="auto"/>
          </w:tcPr>
          <w:p w14:paraId="5E57F48B" w14:textId="38D7A2F1" w:rsidR="000B148D" w:rsidRPr="00294FDC" w:rsidRDefault="00294FDC" w:rsidP="003C049A">
            <w:pPr>
              <w:pStyle w:val="Tablebody"/>
              <w:spacing w:before="0" w:after="0"/>
              <w:jc w:val="center"/>
              <w:rPr>
                <w:color w:val="000000"/>
                <w:highlight w:val="black"/>
              </w:rPr>
            </w:pPr>
            <w:r w:rsidRPr="00294FDC">
              <w:rPr>
                <w:color w:val="000000"/>
                <w:highlight w:val="black"/>
              </w:rPr>
              <w:t>xx</w:t>
            </w:r>
          </w:p>
        </w:tc>
        <w:tc>
          <w:tcPr>
            <w:tcW w:w="1291" w:type="dxa"/>
            <w:shd w:val="clear" w:color="auto" w:fill="auto"/>
          </w:tcPr>
          <w:p w14:paraId="6F4D65F7" w14:textId="701EF607" w:rsidR="000B148D" w:rsidRPr="00294FDC" w:rsidRDefault="00294FDC" w:rsidP="003C049A">
            <w:pPr>
              <w:pStyle w:val="Tablebody"/>
              <w:spacing w:before="0" w:after="0"/>
              <w:jc w:val="center"/>
              <w:rPr>
                <w:color w:val="000000"/>
                <w:highlight w:val="black"/>
              </w:rPr>
            </w:pPr>
            <w:r w:rsidRPr="00294FDC">
              <w:rPr>
                <w:color w:val="000000"/>
                <w:highlight w:val="black"/>
              </w:rPr>
              <w:t>xxxx</w:t>
            </w:r>
          </w:p>
        </w:tc>
      </w:tr>
      <w:tr w:rsidR="000B148D" w:rsidRPr="00054570" w14:paraId="12E7DD3B" w14:textId="77777777" w:rsidTr="003C049A">
        <w:trPr>
          <w:trHeight w:val="20"/>
        </w:trPr>
        <w:tc>
          <w:tcPr>
            <w:tcW w:w="1271" w:type="dxa"/>
            <w:shd w:val="clear" w:color="auto" w:fill="F2F2F2" w:themeFill="background1" w:themeFillShade="F2"/>
          </w:tcPr>
          <w:p w14:paraId="478E0FC0" w14:textId="77777777" w:rsidR="000B148D" w:rsidRPr="00054570" w:rsidRDefault="000B148D" w:rsidP="003C049A">
            <w:pPr>
              <w:pStyle w:val="Tablebody"/>
              <w:spacing w:before="0" w:after="0"/>
            </w:pPr>
            <w:r w:rsidRPr="00054570">
              <w:t>Cycle ≥18*</w:t>
            </w:r>
          </w:p>
        </w:tc>
        <w:tc>
          <w:tcPr>
            <w:tcW w:w="1290" w:type="dxa"/>
            <w:shd w:val="clear" w:color="auto" w:fill="auto"/>
          </w:tcPr>
          <w:p w14:paraId="2FFF1C68" w14:textId="6FBFF82C" w:rsidR="000B148D" w:rsidRPr="00294FDC" w:rsidRDefault="00294FDC" w:rsidP="003C049A">
            <w:pPr>
              <w:pStyle w:val="Tablebody"/>
              <w:spacing w:before="0" w:after="0"/>
              <w:jc w:val="center"/>
              <w:rPr>
                <w:color w:val="000000"/>
                <w:highlight w:val="black"/>
              </w:rPr>
            </w:pPr>
            <w:r w:rsidRPr="00294FDC">
              <w:rPr>
                <w:color w:val="000000"/>
                <w:highlight w:val="black"/>
              </w:rPr>
              <w:t>xx</w:t>
            </w:r>
          </w:p>
        </w:tc>
        <w:tc>
          <w:tcPr>
            <w:tcW w:w="1291" w:type="dxa"/>
            <w:shd w:val="clear" w:color="auto" w:fill="auto"/>
          </w:tcPr>
          <w:p w14:paraId="68F18B95" w14:textId="588B7F15" w:rsidR="000B148D" w:rsidRPr="00294FDC" w:rsidRDefault="00294FDC" w:rsidP="003C049A">
            <w:pPr>
              <w:pStyle w:val="Tablebody"/>
              <w:spacing w:before="0" w:after="0"/>
              <w:jc w:val="center"/>
              <w:rPr>
                <w:color w:val="000000"/>
                <w:highlight w:val="black"/>
              </w:rPr>
            </w:pPr>
            <w:r w:rsidRPr="00294FDC">
              <w:rPr>
                <w:color w:val="000000"/>
                <w:highlight w:val="black"/>
              </w:rPr>
              <w:t>xxx</w:t>
            </w:r>
          </w:p>
        </w:tc>
        <w:tc>
          <w:tcPr>
            <w:tcW w:w="1291" w:type="dxa"/>
            <w:shd w:val="clear" w:color="auto" w:fill="auto"/>
          </w:tcPr>
          <w:p w14:paraId="1584D01D" w14:textId="135FC3C7" w:rsidR="000B148D" w:rsidRPr="00294FDC" w:rsidRDefault="00294FDC" w:rsidP="003C049A">
            <w:pPr>
              <w:pStyle w:val="Tablebody"/>
              <w:spacing w:before="0" w:after="0"/>
              <w:jc w:val="center"/>
              <w:rPr>
                <w:color w:val="000000"/>
                <w:highlight w:val="black"/>
              </w:rPr>
            </w:pPr>
            <w:r w:rsidRPr="00294FDC">
              <w:rPr>
                <w:color w:val="000000"/>
                <w:highlight w:val="black"/>
              </w:rPr>
              <w:t>xxxx</w:t>
            </w:r>
          </w:p>
        </w:tc>
        <w:tc>
          <w:tcPr>
            <w:tcW w:w="1291" w:type="dxa"/>
            <w:shd w:val="clear" w:color="auto" w:fill="auto"/>
          </w:tcPr>
          <w:p w14:paraId="23309B1D" w14:textId="3005FD4A" w:rsidR="000B148D" w:rsidRPr="00294FDC" w:rsidRDefault="00294FDC" w:rsidP="003C049A">
            <w:pPr>
              <w:pStyle w:val="Tablebody"/>
              <w:spacing w:before="0" w:after="0"/>
              <w:jc w:val="center"/>
              <w:rPr>
                <w:color w:val="000000"/>
                <w:highlight w:val="black"/>
              </w:rPr>
            </w:pPr>
            <w:r w:rsidRPr="00294FDC">
              <w:rPr>
                <w:color w:val="000000"/>
                <w:highlight w:val="black"/>
              </w:rPr>
              <w:t>x</w:t>
            </w:r>
          </w:p>
        </w:tc>
        <w:tc>
          <w:tcPr>
            <w:tcW w:w="1291" w:type="dxa"/>
            <w:shd w:val="clear" w:color="auto" w:fill="auto"/>
          </w:tcPr>
          <w:p w14:paraId="1ABB7251" w14:textId="643C5CC6" w:rsidR="000B148D" w:rsidRPr="00294FDC" w:rsidRDefault="00294FDC" w:rsidP="003C049A">
            <w:pPr>
              <w:pStyle w:val="Tablebody"/>
              <w:spacing w:before="0" w:after="0"/>
              <w:jc w:val="center"/>
              <w:rPr>
                <w:color w:val="000000"/>
                <w:highlight w:val="black"/>
              </w:rPr>
            </w:pPr>
            <w:r w:rsidRPr="00294FDC">
              <w:rPr>
                <w:color w:val="000000"/>
                <w:highlight w:val="black"/>
              </w:rPr>
              <w:t>x</w:t>
            </w:r>
          </w:p>
        </w:tc>
        <w:tc>
          <w:tcPr>
            <w:tcW w:w="1291" w:type="dxa"/>
            <w:shd w:val="clear" w:color="auto" w:fill="auto"/>
          </w:tcPr>
          <w:p w14:paraId="241D4B8B" w14:textId="330C48D3" w:rsidR="000B148D" w:rsidRPr="00294FDC" w:rsidRDefault="00294FDC" w:rsidP="003C049A">
            <w:pPr>
              <w:pStyle w:val="Tablebody"/>
              <w:spacing w:before="0" w:after="0"/>
              <w:jc w:val="center"/>
              <w:rPr>
                <w:color w:val="000000"/>
                <w:highlight w:val="black"/>
              </w:rPr>
            </w:pPr>
            <w:r w:rsidRPr="00294FDC">
              <w:rPr>
                <w:color w:val="000000"/>
                <w:highlight w:val="black"/>
              </w:rPr>
              <w:t>xxxx</w:t>
            </w:r>
          </w:p>
        </w:tc>
      </w:tr>
    </w:tbl>
    <w:p w14:paraId="641EC9B8" w14:textId="01C2D5B3" w:rsidR="000B148D" w:rsidRPr="00054570" w:rsidRDefault="000B148D" w:rsidP="000B148D">
      <w:pPr>
        <w:pStyle w:val="Footnotes"/>
      </w:pPr>
      <w:r w:rsidRPr="00054570">
        <w:t>*Contain</w:t>
      </w:r>
      <w:r>
        <w:t>s</w:t>
      </w:r>
      <w:r w:rsidRPr="00054570">
        <w:t xml:space="preserve"> more than one cycle.</w:t>
      </w:r>
      <w:r w:rsidRPr="00054570">
        <w:br/>
        <w:t>Abbreviations: TEAE, treatment-emergent adverse event; T-DXd, trastuzumab deruxtecan; treatment of physician’s choice.</w:t>
      </w:r>
      <w:r w:rsidRPr="00054570">
        <w:br/>
        <w:t>Source: Daiichi Sanko Inc., 2022 (CSR tables and figures; Data on File).</w:t>
      </w:r>
      <w:r>
        <w:fldChar w:fldCharType="begin"/>
      </w:r>
      <w:r w:rsidR="00CA6345">
        <w:instrText xml:space="preserve"> ADDIN ZOTERO_ITEM CSL_CITATION {"citationID":"PePVH0FP","properties":{"formattedCitation":"\\super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fldChar w:fldCharType="separate"/>
      </w:r>
      <w:r w:rsidR="00FD57F4" w:rsidRPr="00FD57F4">
        <w:rPr>
          <w:rFonts w:cs="Arial"/>
          <w:szCs w:val="24"/>
          <w:vertAlign w:val="superscript"/>
        </w:rPr>
        <w:t>7</w:t>
      </w:r>
      <w:r>
        <w:fldChar w:fldCharType="end"/>
      </w:r>
      <w:r w:rsidRPr="00054570">
        <w:t xml:space="preserve"> </w:t>
      </w:r>
    </w:p>
    <w:p w14:paraId="0C2D74E8" w14:textId="77777777" w:rsidR="000B148D" w:rsidRPr="00054570" w:rsidRDefault="000B148D" w:rsidP="00244F59">
      <w:pPr>
        <w:pStyle w:val="Heading5"/>
        <w:numPr>
          <w:ilvl w:val="0"/>
          <w:numId w:val="0"/>
        </w:numPr>
      </w:pPr>
      <w:r w:rsidRPr="00054570">
        <w:t>Most common TEAEs</w:t>
      </w:r>
    </w:p>
    <w:p w14:paraId="46EAB2AF" w14:textId="2F43D96A" w:rsidR="000B148D" w:rsidRPr="00054570" w:rsidRDefault="000B148D" w:rsidP="000B148D">
      <w:pPr>
        <w:pStyle w:val="Body"/>
      </w:pPr>
      <w:r w:rsidRPr="00054570">
        <w:t>In patients treated with T</w:t>
      </w:r>
      <w:r w:rsidRPr="00054570">
        <w:noBreakHyphen/>
        <w:t>DXd, the most common TEAEs (any grade, reported by ≥50% of patients) were in the system organ classes of gastrointestinal disorders (</w:t>
      </w:r>
      <w:r w:rsidR="00294FDC" w:rsidRPr="00294FDC">
        <w:rPr>
          <w:color w:val="000000"/>
          <w:highlight w:val="black"/>
        </w:rPr>
        <w:t>xxx</w:t>
      </w:r>
      <w:r w:rsidRPr="00054570">
        <w:t xml:space="preserve"> patient; </w:t>
      </w:r>
      <w:r w:rsidR="00294FDC" w:rsidRPr="00294FDC">
        <w:rPr>
          <w:color w:val="000000"/>
          <w:highlight w:val="black"/>
        </w:rPr>
        <w:t>xxxxx</w:t>
      </w:r>
      <w:r w:rsidRPr="00054570">
        <w:t>), investigations (</w:t>
      </w:r>
      <w:r w:rsidR="00294FDC" w:rsidRPr="00294FDC">
        <w:rPr>
          <w:color w:val="000000"/>
          <w:highlight w:val="black"/>
        </w:rPr>
        <w:t>xxx</w:t>
      </w:r>
      <w:r w:rsidRPr="00054570">
        <w:t xml:space="preserve"> patients; </w:t>
      </w:r>
      <w:r w:rsidR="00294FDC" w:rsidRPr="00294FDC">
        <w:rPr>
          <w:color w:val="000000"/>
          <w:highlight w:val="black"/>
        </w:rPr>
        <w:t>xxxxx</w:t>
      </w:r>
      <w:r w:rsidRPr="00054570">
        <w:t>), general disorders and administration site conditions (</w:t>
      </w:r>
      <w:r w:rsidR="00294FDC" w:rsidRPr="00294FDC">
        <w:rPr>
          <w:color w:val="000000"/>
          <w:highlight w:val="black"/>
        </w:rPr>
        <w:t>xxx</w:t>
      </w:r>
      <w:r w:rsidRPr="00054570">
        <w:t xml:space="preserve"> patients; </w:t>
      </w:r>
      <w:r w:rsidR="00294FDC" w:rsidRPr="00294FDC">
        <w:rPr>
          <w:color w:val="000000"/>
          <w:highlight w:val="black"/>
        </w:rPr>
        <w:t>xxxxx</w:t>
      </w:r>
      <w:r w:rsidRPr="00054570">
        <w:t>), skin and subcutaneous tissue disorders (</w:t>
      </w:r>
      <w:r w:rsidR="00294FDC" w:rsidRPr="00294FDC">
        <w:rPr>
          <w:color w:val="000000"/>
          <w:highlight w:val="black"/>
        </w:rPr>
        <w:t>xxx</w:t>
      </w:r>
      <w:r w:rsidRPr="00435126">
        <w:t> </w:t>
      </w:r>
      <w:r w:rsidRPr="00054570">
        <w:t xml:space="preserve">patients; </w:t>
      </w:r>
      <w:r w:rsidR="00294FDC" w:rsidRPr="00294FDC">
        <w:rPr>
          <w:color w:val="000000"/>
          <w:highlight w:val="black"/>
        </w:rPr>
        <w:t>xxxxx</w:t>
      </w:r>
      <w:r w:rsidRPr="00054570">
        <w:t>) and metabolism and nutrition disorders (</w:t>
      </w:r>
      <w:r w:rsidR="00294FDC" w:rsidRPr="00294FDC">
        <w:rPr>
          <w:color w:val="000000"/>
          <w:highlight w:val="black"/>
        </w:rPr>
        <w:t>xxx</w:t>
      </w:r>
      <w:r w:rsidRPr="00054570">
        <w:t xml:space="preserve"> patients; </w:t>
      </w:r>
      <w:r w:rsidR="00294FDC" w:rsidRPr="00294FDC">
        <w:rPr>
          <w:color w:val="000000"/>
          <w:highlight w:val="black"/>
        </w:rPr>
        <w:t>xxxxx</w:t>
      </w:r>
      <w:r w:rsidRPr="00054570">
        <w:t>).</w:t>
      </w:r>
      <w:r w:rsidRPr="00054570">
        <w:fldChar w:fldCharType="begin"/>
      </w:r>
      <w:r w:rsidR="00CA6345">
        <w:instrText xml:space="preserve"> ADDIN ZOTERO_ITEM CSL_CITATION {"citationID":"bhbvXUon","properties":{"formattedCitation":"\\super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r>
        <w:t xml:space="preserve"> </w:t>
      </w:r>
      <w:r w:rsidRPr="00054570">
        <w:t>In patients treated with TPC, the most common TEAEs were in the system organ classes of gastrointestinal disorders (</w:t>
      </w:r>
      <w:r w:rsidR="00294FDC" w:rsidRPr="00294FDC">
        <w:rPr>
          <w:color w:val="000000"/>
          <w:highlight w:val="black"/>
        </w:rPr>
        <w:t>xxx</w:t>
      </w:r>
      <w:r w:rsidRPr="00054570">
        <w:t xml:space="preserve"> patients; </w:t>
      </w:r>
      <w:r w:rsidR="00294FDC" w:rsidRPr="00294FDC">
        <w:rPr>
          <w:color w:val="000000"/>
          <w:highlight w:val="black"/>
        </w:rPr>
        <w:t>xxxxx</w:t>
      </w:r>
      <w:r w:rsidRPr="00054570">
        <w:t>), investigations (</w:t>
      </w:r>
      <w:r w:rsidR="00294FDC" w:rsidRPr="00294FDC">
        <w:rPr>
          <w:color w:val="000000"/>
          <w:highlight w:val="black"/>
        </w:rPr>
        <w:t>xxx</w:t>
      </w:r>
      <w:r w:rsidRPr="00054570">
        <w:t xml:space="preserve"> patients; </w:t>
      </w:r>
      <w:r w:rsidR="00294FDC" w:rsidRPr="00294FDC">
        <w:rPr>
          <w:color w:val="000000"/>
          <w:highlight w:val="black"/>
        </w:rPr>
        <w:t>xxxxx</w:t>
      </w:r>
      <w:r w:rsidRPr="00054570">
        <w:t>), general disorders and administrative site conditions (</w:t>
      </w:r>
      <w:r w:rsidR="00294FDC" w:rsidRPr="00294FDC">
        <w:rPr>
          <w:color w:val="000000"/>
          <w:highlight w:val="black"/>
        </w:rPr>
        <w:t>xxx</w:t>
      </w:r>
      <w:r w:rsidRPr="00054570">
        <w:t xml:space="preserve"> patients; </w:t>
      </w:r>
      <w:r w:rsidR="00294FDC" w:rsidRPr="00294FDC">
        <w:rPr>
          <w:color w:val="000000"/>
          <w:highlight w:val="black"/>
        </w:rPr>
        <w:t>xxxxx</w:t>
      </w:r>
      <w:r w:rsidRPr="00054570">
        <w:t>), and skin and subcutaneous tissue disorders (</w:t>
      </w:r>
      <w:r w:rsidR="00294FDC" w:rsidRPr="00294FDC">
        <w:rPr>
          <w:color w:val="000000"/>
          <w:highlight w:val="black"/>
        </w:rPr>
        <w:t>xx</w:t>
      </w:r>
      <w:r w:rsidRPr="00054570">
        <w:t xml:space="preserve"> patients; </w:t>
      </w:r>
      <w:r w:rsidR="00294FDC" w:rsidRPr="00294FDC">
        <w:rPr>
          <w:color w:val="000000"/>
          <w:highlight w:val="black"/>
        </w:rPr>
        <w:t>xxxxx</w:t>
      </w:r>
      <w:r w:rsidRPr="00054570">
        <w:t>).</w:t>
      </w:r>
      <w:r w:rsidRPr="00054570">
        <w:fldChar w:fldCharType="begin"/>
      </w:r>
      <w:r w:rsidR="00CA6345">
        <w:instrText xml:space="preserve"> ADDIN ZOTERO_ITEM CSL_CITATION {"citationID":"ehwTDQ4B","properties":{"formattedCitation":"\\super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p>
    <w:p w14:paraId="34D5CB93" w14:textId="74640E1F" w:rsidR="000B148D" w:rsidRPr="00054570" w:rsidRDefault="000B148D" w:rsidP="000B148D">
      <w:pPr>
        <w:pStyle w:val="Body"/>
      </w:pPr>
      <w:r>
        <w:t>In the T-DXd arm, the most common TEAEs of any grade were nausea (</w:t>
      </w:r>
      <w:r w:rsidR="00294FDC" w:rsidRPr="00294FDC">
        <w:rPr>
          <w:color w:val="000000"/>
          <w:highlight w:val="black"/>
        </w:rPr>
        <w:t>xxx</w:t>
      </w:r>
      <w:r>
        <w:t xml:space="preserve"> patients; </w:t>
      </w:r>
      <w:r w:rsidR="00294FDC" w:rsidRPr="00294FDC">
        <w:rPr>
          <w:color w:val="000000"/>
          <w:highlight w:val="black"/>
        </w:rPr>
        <w:t>xxxxx</w:t>
      </w:r>
      <w:r>
        <w:t>), fatigue (</w:t>
      </w:r>
      <w:r w:rsidR="00294FDC" w:rsidRPr="00294FDC">
        <w:rPr>
          <w:color w:val="000000"/>
          <w:highlight w:val="black"/>
        </w:rPr>
        <w:t>xxx</w:t>
      </w:r>
      <w:r>
        <w:t xml:space="preserve"> patients; </w:t>
      </w:r>
      <w:r w:rsidR="00294FDC" w:rsidRPr="00294FDC">
        <w:rPr>
          <w:color w:val="000000"/>
          <w:highlight w:val="black"/>
        </w:rPr>
        <w:t>xxxxx</w:t>
      </w:r>
      <w:r>
        <w:t>) and vomiting (</w:t>
      </w:r>
      <w:r w:rsidR="00294FDC" w:rsidRPr="00294FDC">
        <w:rPr>
          <w:color w:val="000000"/>
          <w:highlight w:val="black"/>
        </w:rPr>
        <w:t>xxx</w:t>
      </w:r>
      <w:r>
        <w:t xml:space="preserve"> patients; </w:t>
      </w:r>
      <w:r w:rsidR="00294FDC" w:rsidRPr="00294FDC">
        <w:rPr>
          <w:color w:val="000000"/>
          <w:highlight w:val="black"/>
        </w:rPr>
        <w:t>xxxxx</w:t>
      </w:r>
      <w:r>
        <w:t>).</w:t>
      </w:r>
      <w:r w:rsidRPr="00054570">
        <w:fldChar w:fldCharType="begin"/>
      </w:r>
      <w:r w:rsidR="00CA6345">
        <w:instrText xml:space="preserve"> ADDIN ZOTERO_ITEM CSL_CITATION {"citationID":"tb5wKDD2","properties":{"formattedCitation":"\\super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r>
        <w:t xml:space="preserve"> In the TPC arm, neutropenia (</w:t>
      </w:r>
      <w:r w:rsidR="00294FDC" w:rsidRPr="00294FDC">
        <w:rPr>
          <w:color w:val="000000"/>
          <w:highlight w:val="black"/>
        </w:rPr>
        <w:t>xx</w:t>
      </w:r>
      <w:r>
        <w:t xml:space="preserve"> patients; </w:t>
      </w:r>
      <w:r w:rsidR="00294FDC" w:rsidRPr="00294FDC">
        <w:rPr>
          <w:color w:val="000000"/>
          <w:highlight w:val="black"/>
        </w:rPr>
        <w:t>xxxxx</w:t>
      </w:r>
      <w:r>
        <w:t>), fatigue (</w:t>
      </w:r>
      <w:r w:rsidR="00294FDC" w:rsidRPr="00294FDC">
        <w:rPr>
          <w:color w:val="000000"/>
          <w:highlight w:val="black"/>
        </w:rPr>
        <w:t>xx</w:t>
      </w:r>
      <w:r>
        <w:t xml:space="preserve"> patients; </w:t>
      </w:r>
      <w:r w:rsidR="00294FDC" w:rsidRPr="00294FDC">
        <w:rPr>
          <w:color w:val="000000"/>
          <w:highlight w:val="black"/>
        </w:rPr>
        <w:t>xxxxx</w:t>
      </w:r>
      <w:r>
        <w:t>) and alopecia (</w:t>
      </w:r>
      <w:r w:rsidR="00294FDC" w:rsidRPr="00294FDC">
        <w:rPr>
          <w:color w:val="000000"/>
          <w:highlight w:val="black"/>
        </w:rPr>
        <w:t>xx</w:t>
      </w:r>
      <w:r>
        <w:t xml:space="preserve"> patients; </w:t>
      </w:r>
      <w:r w:rsidR="00294FDC" w:rsidRPr="00294FDC">
        <w:rPr>
          <w:color w:val="000000"/>
          <w:highlight w:val="black"/>
        </w:rPr>
        <w:t>xxxxx</w:t>
      </w:r>
      <w:r>
        <w:t>) were the most common TEAEs of any grade.</w:t>
      </w:r>
      <w:r>
        <w:fldChar w:fldCharType="begin"/>
      </w:r>
      <w:r w:rsidR="00CA6345">
        <w:instrText xml:space="preserve"> ADDIN ZOTERO_ITEM CSL_CITATION {"citationID":"6EsMShHc","properties":{"formattedCitation":"\\super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fldChar w:fldCharType="separate"/>
      </w:r>
      <w:r w:rsidR="00FD57F4" w:rsidRPr="00FD57F4">
        <w:rPr>
          <w:rFonts w:cs="Arial"/>
          <w:szCs w:val="24"/>
          <w:vertAlign w:val="superscript"/>
        </w:rPr>
        <w:t>7</w:t>
      </w:r>
      <w:r>
        <w:fldChar w:fldCharType="end"/>
      </w:r>
      <w:r>
        <w:t xml:space="preserve"> </w:t>
      </w:r>
    </w:p>
    <w:p w14:paraId="08EFA4BE" w14:textId="314F08CC" w:rsidR="000B148D" w:rsidRPr="00054570" w:rsidRDefault="000B148D" w:rsidP="000B148D">
      <w:pPr>
        <w:pStyle w:val="Body"/>
        <w:rPr>
          <w:strike/>
        </w:rPr>
      </w:pPr>
      <w:r w:rsidRPr="00054570">
        <w:t>The</w:t>
      </w:r>
      <w:r>
        <w:t xml:space="preserve"> </w:t>
      </w:r>
      <w:r w:rsidR="000E185F">
        <w:t>five</w:t>
      </w:r>
      <w:r w:rsidRPr="00054570">
        <w:t xml:space="preserve"> most common TEAEs of </w:t>
      </w:r>
      <w:r w:rsidRPr="00054570">
        <w:rPr>
          <w:rStyle w:val="normaltextrun"/>
          <w:rFonts w:cs="Yu Gothic Light"/>
          <w:shd w:val="clear" w:color="auto" w:fill="FFFFFF"/>
        </w:rPr>
        <w:t>Grade ≥3 that occurred in patients treated with T</w:t>
      </w:r>
      <w:r w:rsidRPr="00054570">
        <w:rPr>
          <w:rStyle w:val="normaltextrun"/>
          <w:rFonts w:cs="Yu Gothic Light"/>
          <w:shd w:val="clear" w:color="auto" w:fill="FFFFFF"/>
        </w:rPr>
        <w:noBreakHyphen/>
        <w:t>DXd were neutropoenia (</w:t>
      </w:r>
      <w:r w:rsidR="00294FDC" w:rsidRPr="00294FDC">
        <w:rPr>
          <w:rStyle w:val="normaltextrun"/>
          <w:rFonts w:cs="Yu Gothic Light"/>
          <w:color w:val="000000"/>
          <w:highlight w:val="black"/>
          <w:shd w:val="clear" w:color="auto" w:fill="FFFFFF"/>
        </w:rPr>
        <w:t>xx</w:t>
      </w:r>
      <w:r w:rsidRPr="00DC2F7D">
        <w:rPr>
          <w:rStyle w:val="normaltextrun"/>
          <w:rFonts w:cs="Yu Gothic Light"/>
          <w:shd w:val="clear" w:color="auto" w:fill="FFFFFF"/>
        </w:rPr>
        <w:t> </w:t>
      </w:r>
      <w:r w:rsidRPr="00054570">
        <w:rPr>
          <w:rStyle w:val="normaltextrun"/>
          <w:rFonts w:cs="Yu Gothic Light"/>
          <w:shd w:val="clear" w:color="auto" w:fill="FFFFFF"/>
        </w:rPr>
        <w:t xml:space="preserve">patients; </w:t>
      </w:r>
      <w:r w:rsidR="00294FDC" w:rsidRPr="00294FDC">
        <w:rPr>
          <w:rStyle w:val="normaltextrun"/>
          <w:rFonts w:cs="Yu Gothic Light"/>
          <w:color w:val="000000"/>
          <w:highlight w:val="black"/>
          <w:shd w:val="clear" w:color="auto" w:fill="FFFFFF"/>
        </w:rPr>
        <w:t>xxxxx</w:t>
      </w:r>
      <w:r w:rsidRPr="00054570">
        <w:rPr>
          <w:rStyle w:val="normaltextrun"/>
          <w:rFonts w:cs="Yu Gothic Light"/>
          <w:shd w:val="clear" w:color="auto" w:fill="FFFFFF"/>
        </w:rPr>
        <w:t>), anaemia (</w:t>
      </w:r>
      <w:r w:rsidR="00294FDC" w:rsidRPr="00294FDC">
        <w:rPr>
          <w:rStyle w:val="normaltextrun"/>
          <w:rFonts w:cs="Yu Gothic Light"/>
          <w:color w:val="000000"/>
          <w:highlight w:val="black"/>
          <w:shd w:val="clear" w:color="auto" w:fill="FFFFFF"/>
        </w:rPr>
        <w:t>xx</w:t>
      </w:r>
      <w:r w:rsidRPr="00054570">
        <w:rPr>
          <w:rStyle w:val="normaltextrun"/>
          <w:rFonts w:cs="Yu Gothic Light"/>
          <w:shd w:val="clear" w:color="auto" w:fill="FFFFFF"/>
        </w:rPr>
        <w:t xml:space="preserve"> patients; </w:t>
      </w:r>
      <w:r w:rsidR="00294FDC" w:rsidRPr="00294FDC">
        <w:rPr>
          <w:rStyle w:val="normaltextrun"/>
          <w:rFonts w:cs="Yu Gothic Light"/>
          <w:color w:val="000000"/>
          <w:highlight w:val="black"/>
          <w:shd w:val="clear" w:color="auto" w:fill="FFFFFF"/>
        </w:rPr>
        <w:t>xxxxx</w:t>
      </w:r>
      <w:r w:rsidRPr="00054570">
        <w:rPr>
          <w:rStyle w:val="normaltextrun"/>
          <w:rFonts w:cs="Yu Gothic Light"/>
          <w:shd w:val="clear" w:color="auto" w:fill="FFFFFF"/>
        </w:rPr>
        <w:t>), fatigue (</w:t>
      </w:r>
      <w:r w:rsidR="00294FDC" w:rsidRPr="00294FDC">
        <w:rPr>
          <w:rStyle w:val="normaltextrun"/>
          <w:rFonts w:cs="Yu Gothic Light"/>
          <w:color w:val="000000"/>
          <w:highlight w:val="black"/>
          <w:shd w:val="clear" w:color="auto" w:fill="FFFFFF"/>
        </w:rPr>
        <w:t>xx</w:t>
      </w:r>
      <w:r w:rsidRPr="00054570">
        <w:rPr>
          <w:rStyle w:val="normaltextrun"/>
          <w:rFonts w:cs="Yu Gothic Light"/>
          <w:shd w:val="clear" w:color="auto" w:fill="FFFFFF"/>
        </w:rPr>
        <w:t xml:space="preserve"> patients; </w:t>
      </w:r>
      <w:r w:rsidR="00294FDC" w:rsidRPr="00294FDC">
        <w:rPr>
          <w:rStyle w:val="normaltextrun"/>
          <w:rFonts w:cs="Yu Gothic Light"/>
          <w:color w:val="000000"/>
          <w:highlight w:val="black"/>
          <w:shd w:val="clear" w:color="auto" w:fill="FFFFFF"/>
        </w:rPr>
        <w:t>xxxx</w:t>
      </w:r>
      <w:r w:rsidRPr="00054570">
        <w:rPr>
          <w:rStyle w:val="normaltextrun"/>
          <w:rFonts w:cs="Yu Gothic Light"/>
          <w:shd w:val="clear" w:color="auto" w:fill="FFFFFF"/>
        </w:rPr>
        <w:t>), leukopenia (</w:t>
      </w:r>
      <w:r w:rsidR="00294FDC" w:rsidRPr="00294FDC">
        <w:rPr>
          <w:rStyle w:val="normaltextrun"/>
          <w:rFonts w:cs="Yu Gothic Light"/>
          <w:color w:val="000000"/>
          <w:highlight w:val="black"/>
          <w:shd w:val="clear" w:color="auto" w:fill="FFFFFF"/>
        </w:rPr>
        <w:t>xx</w:t>
      </w:r>
      <w:r w:rsidRPr="00054570">
        <w:rPr>
          <w:rStyle w:val="normaltextrun"/>
          <w:rFonts w:cs="Yu Gothic Light"/>
          <w:shd w:val="clear" w:color="auto" w:fill="FFFFFF"/>
        </w:rPr>
        <w:t xml:space="preserve"> patients; </w:t>
      </w:r>
      <w:r w:rsidR="00294FDC" w:rsidRPr="00294FDC">
        <w:rPr>
          <w:rStyle w:val="normaltextrun"/>
          <w:rFonts w:cs="Yu Gothic Light"/>
          <w:color w:val="000000"/>
          <w:highlight w:val="black"/>
          <w:shd w:val="clear" w:color="auto" w:fill="FFFFFF"/>
        </w:rPr>
        <w:t>xxxx</w:t>
      </w:r>
      <w:r w:rsidRPr="00054570">
        <w:rPr>
          <w:rStyle w:val="normaltextrun"/>
          <w:rFonts w:cs="Yu Gothic Light"/>
          <w:shd w:val="clear" w:color="auto" w:fill="FFFFFF"/>
        </w:rPr>
        <w:t>) and thrombocytopaenia (</w:t>
      </w:r>
      <w:r w:rsidR="00294FDC" w:rsidRPr="00294FDC">
        <w:rPr>
          <w:rStyle w:val="normaltextrun"/>
          <w:rFonts w:cs="Yu Gothic Light"/>
          <w:color w:val="000000"/>
          <w:highlight w:val="black"/>
          <w:shd w:val="clear" w:color="auto" w:fill="FFFFFF"/>
        </w:rPr>
        <w:t>xx</w:t>
      </w:r>
      <w:r w:rsidRPr="00054570">
        <w:rPr>
          <w:rStyle w:val="normaltextrun"/>
          <w:rFonts w:cs="Yu Gothic Light"/>
          <w:shd w:val="clear" w:color="auto" w:fill="FFFFFF"/>
        </w:rPr>
        <w:t xml:space="preserve"> patients; </w:t>
      </w:r>
      <w:r w:rsidR="00294FDC" w:rsidRPr="00294FDC">
        <w:rPr>
          <w:rStyle w:val="normaltextrun"/>
          <w:rFonts w:cs="Yu Gothic Light"/>
          <w:color w:val="000000"/>
          <w:highlight w:val="black"/>
          <w:shd w:val="clear" w:color="auto" w:fill="FFFFFF"/>
        </w:rPr>
        <w:t>xxxx</w:t>
      </w:r>
      <w:r w:rsidRPr="00054570">
        <w:rPr>
          <w:rStyle w:val="normaltextrun"/>
          <w:rFonts w:cs="Yu Gothic Light"/>
          <w:shd w:val="clear" w:color="auto" w:fill="FFFFFF"/>
        </w:rPr>
        <w:t>).</w:t>
      </w:r>
      <w:r w:rsidRPr="00054570">
        <w:rPr>
          <w:rStyle w:val="normaltextrun"/>
          <w:rFonts w:cs="Yu Gothic Light"/>
          <w:shd w:val="clear" w:color="auto" w:fill="FFFFFF"/>
        </w:rPr>
        <w:fldChar w:fldCharType="begin"/>
      </w:r>
      <w:r w:rsidR="00CA6345">
        <w:rPr>
          <w:rStyle w:val="normaltextrun"/>
          <w:rFonts w:cs="Yu Gothic Light"/>
          <w:shd w:val="clear" w:color="auto" w:fill="FFFFFF"/>
        </w:rPr>
        <w:instrText xml:space="preserve"> ADDIN ZOTERO_ITEM CSL_CITATION {"citationID":"y6S9u2oi","properties":{"formattedCitation":"\\super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rPr>
          <w:rStyle w:val="normaltextrun"/>
          <w:rFonts w:cs="Yu Gothic Light"/>
          <w:shd w:val="clear" w:color="auto" w:fill="FFFFFF"/>
        </w:rPr>
        <w:fldChar w:fldCharType="separate"/>
      </w:r>
      <w:r w:rsidR="00FD57F4" w:rsidRPr="00FD57F4">
        <w:rPr>
          <w:rFonts w:cs="Arial"/>
          <w:szCs w:val="24"/>
          <w:vertAlign w:val="superscript"/>
        </w:rPr>
        <w:t>7</w:t>
      </w:r>
      <w:r w:rsidRPr="00054570">
        <w:rPr>
          <w:rStyle w:val="normaltextrun"/>
          <w:rFonts w:cs="Yu Gothic Light"/>
          <w:shd w:val="clear" w:color="auto" w:fill="FFFFFF"/>
        </w:rPr>
        <w:fldChar w:fldCharType="end"/>
      </w:r>
      <w:r w:rsidRPr="00054570">
        <w:rPr>
          <w:rStyle w:val="normaltextrun"/>
          <w:rFonts w:cs="Yu Gothic Light"/>
          <w:shd w:val="clear" w:color="auto" w:fill="FFFFFF"/>
        </w:rPr>
        <w:t xml:space="preserve"> In patients in the TPC arm, </w:t>
      </w:r>
      <w:r>
        <w:rPr>
          <w:rStyle w:val="normaltextrun"/>
          <w:rFonts w:cs="Yu Gothic Light"/>
          <w:shd w:val="clear" w:color="auto" w:fill="FFFFFF"/>
        </w:rPr>
        <w:t xml:space="preserve">the </w:t>
      </w:r>
      <w:r w:rsidR="003F3B6C">
        <w:rPr>
          <w:rStyle w:val="normaltextrun"/>
          <w:rFonts w:cs="Yu Gothic Light"/>
          <w:shd w:val="clear" w:color="auto" w:fill="FFFFFF"/>
        </w:rPr>
        <w:t>five</w:t>
      </w:r>
      <w:r>
        <w:rPr>
          <w:rStyle w:val="normaltextrun"/>
          <w:rFonts w:cs="Yu Gothic Light"/>
          <w:shd w:val="clear" w:color="auto" w:fill="FFFFFF"/>
        </w:rPr>
        <w:t xml:space="preserve"> most common TEAEs of Grade </w:t>
      </w:r>
      <w:r>
        <w:rPr>
          <w:rStyle w:val="normaltextrun"/>
          <w:rFonts w:cs="Arial"/>
          <w:shd w:val="clear" w:color="auto" w:fill="FFFFFF"/>
        </w:rPr>
        <w:t>≥</w:t>
      </w:r>
      <w:r>
        <w:rPr>
          <w:rStyle w:val="normaltextrun"/>
          <w:rFonts w:cs="Yu Gothic Light"/>
          <w:shd w:val="clear" w:color="auto" w:fill="FFFFFF"/>
        </w:rPr>
        <w:t>3</w:t>
      </w:r>
      <w:r w:rsidRPr="00054570">
        <w:rPr>
          <w:rStyle w:val="normaltextrun"/>
          <w:rFonts w:cs="Yu Gothic Light"/>
          <w:shd w:val="clear" w:color="auto" w:fill="FFFFFF"/>
        </w:rPr>
        <w:t xml:space="preserve"> were neutropoenia (</w:t>
      </w:r>
      <w:r w:rsidR="00294FDC" w:rsidRPr="00294FDC">
        <w:rPr>
          <w:rStyle w:val="normaltextrun"/>
          <w:rFonts w:cs="Yu Gothic Light"/>
          <w:color w:val="000000"/>
          <w:highlight w:val="black"/>
          <w:shd w:val="clear" w:color="auto" w:fill="FFFFFF"/>
        </w:rPr>
        <w:t>xx</w:t>
      </w:r>
      <w:r w:rsidRPr="00054570">
        <w:rPr>
          <w:rStyle w:val="normaltextrun"/>
          <w:rFonts w:cs="Yu Gothic Light"/>
          <w:shd w:val="clear" w:color="auto" w:fill="FFFFFF"/>
        </w:rPr>
        <w:t xml:space="preserve"> patients; </w:t>
      </w:r>
      <w:r w:rsidR="00294FDC" w:rsidRPr="00294FDC">
        <w:rPr>
          <w:rStyle w:val="normaltextrun"/>
          <w:rFonts w:cs="Yu Gothic Light"/>
          <w:color w:val="000000"/>
          <w:highlight w:val="black"/>
          <w:shd w:val="clear" w:color="auto" w:fill="FFFFFF"/>
        </w:rPr>
        <w:t>xxxxx</w:t>
      </w:r>
      <w:r w:rsidRPr="00054570">
        <w:rPr>
          <w:rStyle w:val="normaltextrun"/>
          <w:rFonts w:cs="Yu Gothic Light"/>
          <w:shd w:val="clear" w:color="auto" w:fill="FFFFFF"/>
        </w:rPr>
        <w:t>), leukopenia (</w:t>
      </w:r>
      <w:r w:rsidR="00294FDC" w:rsidRPr="00294FDC">
        <w:rPr>
          <w:rStyle w:val="normaltextrun"/>
          <w:rFonts w:cs="Yu Gothic Light"/>
          <w:color w:val="000000"/>
          <w:highlight w:val="black"/>
          <w:shd w:val="clear" w:color="auto" w:fill="FFFFFF"/>
        </w:rPr>
        <w:t>xx</w:t>
      </w:r>
      <w:r w:rsidRPr="00383E87">
        <w:rPr>
          <w:rStyle w:val="normaltextrun"/>
          <w:rFonts w:cs="Yu Gothic Light"/>
          <w:shd w:val="clear" w:color="auto" w:fill="FFFFFF"/>
        </w:rPr>
        <w:t xml:space="preserve"> </w:t>
      </w:r>
      <w:r w:rsidRPr="00054570">
        <w:rPr>
          <w:rStyle w:val="normaltextrun"/>
          <w:rFonts w:cs="Yu Gothic Light"/>
          <w:shd w:val="clear" w:color="auto" w:fill="FFFFFF"/>
        </w:rPr>
        <w:t xml:space="preserve">patients; </w:t>
      </w:r>
      <w:r w:rsidR="00294FDC" w:rsidRPr="00294FDC">
        <w:rPr>
          <w:rStyle w:val="normaltextrun"/>
          <w:rFonts w:cs="Yu Gothic Light"/>
          <w:color w:val="000000"/>
          <w:highlight w:val="black"/>
          <w:shd w:val="clear" w:color="auto" w:fill="FFFFFF"/>
        </w:rPr>
        <w:t>xxxxx</w:t>
      </w:r>
      <w:r w:rsidRPr="00054570">
        <w:rPr>
          <w:rStyle w:val="normaltextrun"/>
          <w:rFonts w:cs="Yu Gothic Light"/>
          <w:shd w:val="clear" w:color="auto" w:fill="FFFFFF"/>
        </w:rPr>
        <w:t>) increased transaminases (</w:t>
      </w:r>
      <w:r w:rsidR="00294FDC" w:rsidRPr="00294FDC">
        <w:rPr>
          <w:rStyle w:val="normaltextrun"/>
          <w:rFonts w:cs="Yu Gothic Light"/>
          <w:color w:val="000000"/>
          <w:highlight w:val="black"/>
          <w:shd w:val="clear" w:color="auto" w:fill="FFFFFF"/>
        </w:rPr>
        <w:t>xx</w:t>
      </w:r>
      <w:r w:rsidRPr="00054570">
        <w:rPr>
          <w:rStyle w:val="normaltextrun"/>
          <w:rFonts w:cs="Yu Gothic Light"/>
          <w:shd w:val="clear" w:color="auto" w:fill="FFFFFF"/>
        </w:rPr>
        <w:t xml:space="preserve"> patients; </w:t>
      </w:r>
      <w:r w:rsidR="00294FDC" w:rsidRPr="00294FDC">
        <w:rPr>
          <w:rStyle w:val="normaltextrun"/>
          <w:rFonts w:cs="Yu Gothic Light"/>
          <w:color w:val="000000"/>
          <w:highlight w:val="black"/>
          <w:shd w:val="clear" w:color="auto" w:fill="FFFFFF"/>
        </w:rPr>
        <w:t>xxx</w:t>
      </w:r>
      <w:r w:rsidRPr="00054570">
        <w:rPr>
          <w:rStyle w:val="normaltextrun"/>
          <w:rFonts w:cs="Yu Gothic Light"/>
          <w:shd w:val="clear" w:color="auto" w:fill="FFFFFF"/>
        </w:rPr>
        <w:t>%)</w:t>
      </w:r>
      <w:r>
        <w:rPr>
          <w:rStyle w:val="normaltextrun"/>
          <w:rFonts w:cs="Yu Gothic Light"/>
          <w:shd w:val="clear" w:color="auto" w:fill="FFFFFF"/>
        </w:rPr>
        <w:t>, anaemia (</w:t>
      </w:r>
      <w:r w:rsidR="00294FDC" w:rsidRPr="00294FDC">
        <w:rPr>
          <w:rStyle w:val="normaltextrun"/>
          <w:rFonts w:cs="Yu Gothic Light"/>
          <w:color w:val="000000"/>
          <w:highlight w:val="black"/>
          <w:shd w:val="clear" w:color="auto" w:fill="FFFFFF"/>
        </w:rPr>
        <w:t>x</w:t>
      </w:r>
      <w:r>
        <w:rPr>
          <w:rStyle w:val="normaltextrun"/>
          <w:rFonts w:cs="Yu Gothic Light"/>
          <w:shd w:val="clear" w:color="auto" w:fill="FFFFFF"/>
        </w:rPr>
        <w:t xml:space="preserve"> patients; </w:t>
      </w:r>
      <w:r w:rsidR="00294FDC" w:rsidRPr="00294FDC">
        <w:rPr>
          <w:rStyle w:val="normaltextrun"/>
          <w:rFonts w:cs="Yu Gothic Light"/>
          <w:color w:val="000000"/>
          <w:highlight w:val="black"/>
          <w:shd w:val="clear" w:color="auto" w:fill="FFFFFF"/>
        </w:rPr>
        <w:t>xxxx</w:t>
      </w:r>
      <w:r>
        <w:rPr>
          <w:rStyle w:val="normaltextrun"/>
          <w:rFonts w:cs="Yu Gothic Light"/>
          <w:shd w:val="clear" w:color="auto" w:fill="FFFFFF"/>
        </w:rPr>
        <w:t>) and fatigue (</w:t>
      </w:r>
      <w:r w:rsidR="00294FDC" w:rsidRPr="00294FDC">
        <w:rPr>
          <w:rStyle w:val="normaltextrun"/>
          <w:rFonts w:cs="Yu Gothic Light"/>
          <w:color w:val="000000"/>
          <w:highlight w:val="black"/>
          <w:shd w:val="clear" w:color="auto" w:fill="FFFFFF"/>
        </w:rPr>
        <w:t>x</w:t>
      </w:r>
      <w:r>
        <w:rPr>
          <w:rStyle w:val="normaltextrun"/>
          <w:rFonts w:cs="Yu Gothic Light"/>
          <w:shd w:val="clear" w:color="auto" w:fill="FFFFFF"/>
        </w:rPr>
        <w:t xml:space="preserve"> patients; </w:t>
      </w:r>
      <w:r w:rsidR="00294FDC" w:rsidRPr="00294FDC">
        <w:rPr>
          <w:rStyle w:val="normaltextrun"/>
          <w:rFonts w:cs="Yu Gothic Light"/>
          <w:color w:val="000000"/>
          <w:highlight w:val="black"/>
          <w:shd w:val="clear" w:color="auto" w:fill="FFFFFF"/>
        </w:rPr>
        <w:t>xxxx</w:t>
      </w:r>
      <w:r>
        <w:rPr>
          <w:rStyle w:val="normaltextrun"/>
          <w:rFonts w:cs="Yu Gothic Light"/>
          <w:shd w:val="clear" w:color="auto" w:fill="FFFFFF"/>
        </w:rPr>
        <w:t>)</w:t>
      </w:r>
      <w:r w:rsidRPr="00054570">
        <w:rPr>
          <w:rStyle w:val="normaltextrun"/>
          <w:rFonts w:cs="Yu Gothic Light"/>
          <w:shd w:val="clear" w:color="auto" w:fill="FFFFFF"/>
        </w:rPr>
        <w:t>.</w:t>
      </w:r>
      <w:r w:rsidRPr="00054570">
        <w:rPr>
          <w:rStyle w:val="normaltextrun"/>
          <w:rFonts w:cs="Yu Gothic Light"/>
          <w:shd w:val="clear" w:color="auto" w:fill="FFFFFF"/>
        </w:rPr>
        <w:fldChar w:fldCharType="begin"/>
      </w:r>
      <w:r w:rsidR="00CA6345">
        <w:rPr>
          <w:rStyle w:val="normaltextrun"/>
          <w:rFonts w:cs="Yu Gothic Light"/>
          <w:shd w:val="clear" w:color="auto" w:fill="FFFFFF"/>
        </w:rPr>
        <w:instrText xml:space="preserve"> ADDIN ZOTERO_ITEM CSL_CITATION {"citationID":"4zviobKt","properties":{"formattedCitation":"\\super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rPr>
          <w:rStyle w:val="normaltextrun"/>
          <w:rFonts w:cs="Yu Gothic Light"/>
          <w:shd w:val="clear" w:color="auto" w:fill="FFFFFF"/>
        </w:rPr>
        <w:fldChar w:fldCharType="separate"/>
      </w:r>
      <w:r w:rsidR="00FD57F4" w:rsidRPr="00FD57F4">
        <w:rPr>
          <w:rFonts w:cs="Arial"/>
          <w:szCs w:val="24"/>
          <w:vertAlign w:val="superscript"/>
        </w:rPr>
        <w:t>7</w:t>
      </w:r>
      <w:r w:rsidRPr="00054570">
        <w:rPr>
          <w:rStyle w:val="normaltextrun"/>
          <w:rFonts w:cs="Yu Gothic Light"/>
          <w:shd w:val="clear" w:color="auto" w:fill="FFFFFF"/>
        </w:rPr>
        <w:fldChar w:fldCharType="end"/>
      </w:r>
      <w:r w:rsidRPr="00054570">
        <w:rPr>
          <w:strike/>
        </w:rPr>
        <w:t xml:space="preserve"> </w:t>
      </w:r>
    </w:p>
    <w:p w14:paraId="6C8FB46F" w14:textId="60138C50" w:rsidR="000B148D" w:rsidRPr="0034087F" w:rsidRDefault="000B148D" w:rsidP="000B148D">
      <w:pPr>
        <w:pStyle w:val="Body"/>
        <w:rPr>
          <w:b/>
          <w:bCs/>
        </w:rPr>
      </w:pPr>
      <w:r w:rsidRPr="00054570">
        <w:t>A summary of TEAEs (any grade) experienced by ≥20% of patients treated with T</w:t>
      </w:r>
      <w:r w:rsidRPr="00054570">
        <w:noBreakHyphen/>
        <w:t xml:space="preserve">DXd or TPC in the DESTINY-Breast04 trial in order of decreasing frequency is presented in </w:t>
      </w:r>
      <w:r w:rsidRPr="0034087F">
        <w:rPr>
          <w:b/>
          <w:bCs/>
        </w:rPr>
        <w:fldChar w:fldCharType="begin"/>
      </w:r>
      <w:r w:rsidRPr="0034087F">
        <w:rPr>
          <w:b/>
          <w:bCs/>
        </w:rPr>
        <w:instrText xml:space="preserve"> REF _Ref119053526 \h </w:instrText>
      </w:r>
      <w:r>
        <w:rPr>
          <w:b/>
          <w:bCs/>
        </w:rPr>
        <w:instrText xml:space="preserve"> \* MERGEFORMAT </w:instrText>
      </w:r>
      <w:r w:rsidRPr="0034087F">
        <w:rPr>
          <w:b/>
          <w:bCs/>
        </w:rPr>
      </w:r>
      <w:r w:rsidRPr="0034087F">
        <w:rPr>
          <w:b/>
          <w:bCs/>
        </w:rPr>
        <w:fldChar w:fldCharType="separate"/>
      </w:r>
      <w:r w:rsidR="00145F42" w:rsidRPr="00145F42">
        <w:rPr>
          <w:b/>
          <w:bCs/>
        </w:rPr>
        <w:t xml:space="preserve">Table </w:t>
      </w:r>
      <w:r w:rsidR="00145F42" w:rsidRPr="00145F42">
        <w:rPr>
          <w:b/>
          <w:bCs/>
          <w:noProof/>
        </w:rPr>
        <w:t>25</w:t>
      </w:r>
      <w:r w:rsidRPr="0034087F">
        <w:rPr>
          <w:b/>
          <w:bCs/>
        </w:rPr>
        <w:fldChar w:fldCharType="end"/>
      </w:r>
      <w:r>
        <w:rPr>
          <w:b/>
          <w:bCs/>
        </w:rPr>
        <w:t>.</w:t>
      </w:r>
    </w:p>
    <w:p w14:paraId="6009F4FE" w14:textId="7C9A2C6A" w:rsidR="000B148D" w:rsidRPr="00054570" w:rsidRDefault="000B148D" w:rsidP="000B148D">
      <w:pPr>
        <w:pStyle w:val="Caption"/>
        <w:rPr>
          <w:rFonts w:cs="Arial"/>
          <w:sz w:val="20"/>
          <w:szCs w:val="20"/>
        </w:rPr>
      </w:pPr>
      <w:bookmarkStart w:id="337" w:name="_Ref119053526"/>
      <w:bookmarkStart w:id="338" w:name="_Ref119053519"/>
      <w:bookmarkStart w:id="339" w:name="_Toc124447885"/>
      <w:bookmarkStart w:id="340" w:name="_Toc129351000"/>
      <w:bookmarkStart w:id="341" w:name="_Ref98406626"/>
      <w:r w:rsidRPr="00054570">
        <w:lastRenderedPageBreak/>
        <w:t xml:space="preserve">Table </w:t>
      </w:r>
      <w:r w:rsidRPr="00054570">
        <w:fldChar w:fldCharType="begin"/>
      </w:r>
      <w:r w:rsidRPr="00054570">
        <w:instrText>SEQ Table \* ARABIC</w:instrText>
      </w:r>
      <w:r w:rsidRPr="00054570">
        <w:fldChar w:fldCharType="separate"/>
      </w:r>
      <w:r w:rsidR="00145F42">
        <w:rPr>
          <w:noProof/>
        </w:rPr>
        <w:t>25</w:t>
      </w:r>
      <w:r w:rsidRPr="00054570">
        <w:fldChar w:fldCharType="end"/>
      </w:r>
      <w:bookmarkEnd w:id="337"/>
      <w:r w:rsidRPr="00054570">
        <w:t>: DESTINY-Breast04 | TEAEs in ≥20% of patients | SAS</w:t>
      </w:r>
      <w:bookmarkEnd w:id="338"/>
      <w:bookmarkEnd w:id="339"/>
      <w:bookmarkEnd w:id="340"/>
    </w:p>
    <w:tbl>
      <w:tblPr>
        <w:tblStyle w:val="Generaltable"/>
        <w:tblW w:w="0" w:type="auto"/>
        <w:tblLayout w:type="fixed"/>
        <w:tblCellMar>
          <w:left w:w="57" w:type="dxa"/>
          <w:right w:w="57" w:type="dxa"/>
        </w:tblCellMar>
        <w:tblLook w:val="04A0" w:firstRow="1" w:lastRow="0" w:firstColumn="1" w:lastColumn="0" w:noHBand="0" w:noVBand="1"/>
      </w:tblPr>
      <w:tblGrid>
        <w:gridCol w:w="4390"/>
        <w:gridCol w:w="1156"/>
        <w:gridCol w:w="1157"/>
        <w:gridCol w:w="1156"/>
        <w:gridCol w:w="1157"/>
      </w:tblGrid>
      <w:tr w:rsidR="000B148D" w:rsidRPr="00054570" w14:paraId="71ACFA31" w14:textId="77777777" w:rsidTr="00514744">
        <w:trPr>
          <w:cnfStyle w:val="100000000000" w:firstRow="1" w:lastRow="0" w:firstColumn="0" w:lastColumn="0" w:oddVBand="0" w:evenVBand="0" w:oddHBand="0" w:evenHBand="0" w:firstRowFirstColumn="0" w:firstRowLastColumn="0" w:lastRowFirstColumn="0" w:lastRowLastColumn="0"/>
          <w:trHeight w:val="70"/>
          <w:tblHeader/>
        </w:trPr>
        <w:tc>
          <w:tcPr>
            <w:tcW w:w="4390" w:type="dxa"/>
            <w:shd w:val="clear" w:color="auto" w:fill="F2F2F2" w:themeFill="background1" w:themeFillShade="F2"/>
            <w:vAlign w:val="bottom"/>
          </w:tcPr>
          <w:p w14:paraId="7908990D" w14:textId="77777777" w:rsidR="000B148D" w:rsidRPr="00054570" w:rsidRDefault="000B148D" w:rsidP="00514744">
            <w:pPr>
              <w:pStyle w:val="Tableheading"/>
              <w:spacing w:before="0" w:after="0"/>
              <w:ind w:left="171"/>
              <w:contextualSpacing/>
              <w:rPr>
                <w:rFonts w:cs="Arial"/>
              </w:rPr>
            </w:pPr>
          </w:p>
        </w:tc>
        <w:tc>
          <w:tcPr>
            <w:tcW w:w="2313" w:type="dxa"/>
            <w:gridSpan w:val="2"/>
            <w:shd w:val="clear" w:color="auto" w:fill="F2F2F2" w:themeFill="background1" w:themeFillShade="F2"/>
          </w:tcPr>
          <w:p w14:paraId="2B42EEAF" w14:textId="4550037C" w:rsidR="000B148D" w:rsidRPr="00054570" w:rsidRDefault="000B148D" w:rsidP="00514744">
            <w:pPr>
              <w:pStyle w:val="Tableheading"/>
              <w:spacing w:before="0" w:after="0"/>
              <w:contextualSpacing/>
              <w:jc w:val="center"/>
              <w:rPr>
                <w:rFonts w:cs="Arial"/>
              </w:rPr>
            </w:pPr>
            <w:r w:rsidRPr="00054570">
              <w:rPr>
                <w:rFonts w:cs="Arial"/>
              </w:rPr>
              <w:t>T-DXd</w:t>
            </w:r>
            <w:r w:rsidR="00514744">
              <w:rPr>
                <w:rFonts w:cs="Arial"/>
              </w:rPr>
              <w:t xml:space="preserve"> </w:t>
            </w:r>
            <w:r w:rsidRPr="00054570">
              <w:rPr>
                <w:rFonts w:cs="Arial"/>
              </w:rPr>
              <w:t>(</w:t>
            </w:r>
            <w:r>
              <w:rPr>
                <w:rFonts w:cs="Arial"/>
              </w:rPr>
              <w:t>N=</w:t>
            </w:r>
            <w:r w:rsidRPr="00054570">
              <w:rPr>
                <w:rFonts w:cs="Arial"/>
              </w:rPr>
              <w:t>371)</w:t>
            </w:r>
          </w:p>
        </w:tc>
        <w:tc>
          <w:tcPr>
            <w:tcW w:w="2313" w:type="dxa"/>
            <w:gridSpan w:val="2"/>
            <w:shd w:val="clear" w:color="auto" w:fill="F2F2F2" w:themeFill="background1" w:themeFillShade="F2"/>
          </w:tcPr>
          <w:p w14:paraId="3358D340" w14:textId="5548A276" w:rsidR="000B148D" w:rsidRPr="00054570" w:rsidRDefault="000B148D" w:rsidP="00514744">
            <w:pPr>
              <w:pStyle w:val="Tableheading"/>
              <w:spacing w:before="0" w:after="0"/>
              <w:contextualSpacing/>
              <w:jc w:val="center"/>
              <w:rPr>
                <w:rFonts w:cs="Arial"/>
              </w:rPr>
            </w:pPr>
            <w:r w:rsidRPr="00054570">
              <w:rPr>
                <w:rFonts w:cs="Arial"/>
              </w:rPr>
              <w:t>TPC</w:t>
            </w:r>
            <w:r w:rsidR="00514744">
              <w:rPr>
                <w:rFonts w:cs="Arial"/>
              </w:rPr>
              <w:t xml:space="preserve"> </w:t>
            </w:r>
            <w:r w:rsidRPr="00054570">
              <w:rPr>
                <w:rFonts w:cs="Arial"/>
              </w:rPr>
              <w:t>(</w:t>
            </w:r>
            <w:r>
              <w:rPr>
                <w:rFonts w:cs="Arial"/>
              </w:rPr>
              <w:t>N=</w:t>
            </w:r>
            <w:r w:rsidRPr="00054570">
              <w:rPr>
                <w:rFonts w:cs="Arial"/>
              </w:rPr>
              <w:t>172)</w:t>
            </w:r>
          </w:p>
        </w:tc>
      </w:tr>
      <w:tr w:rsidR="000B148D" w:rsidRPr="00054570" w14:paraId="634CF849" w14:textId="77777777" w:rsidTr="00514744">
        <w:tc>
          <w:tcPr>
            <w:tcW w:w="4390" w:type="dxa"/>
            <w:shd w:val="clear" w:color="auto" w:fill="F2F2F2" w:themeFill="background1" w:themeFillShade="F2"/>
          </w:tcPr>
          <w:p w14:paraId="14070FA2" w14:textId="77777777" w:rsidR="000B148D" w:rsidRPr="00054570" w:rsidRDefault="000B148D" w:rsidP="00514744">
            <w:pPr>
              <w:pStyle w:val="Tablebody"/>
              <w:keepNext/>
              <w:spacing w:before="0" w:after="0"/>
              <w:contextualSpacing/>
              <w:rPr>
                <w:rFonts w:cs="Arial"/>
                <w:b/>
                <w:bCs/>
              </w:rPr>
            </w:pPr>
            <w:r w:rsidRPr="00054570">
              <w:rPr>
                <w:rFonts w:cs="Arial"/>
                <w:b/>
                <w:bCs/>
              </w:rPr>
              <w:t>Patient-years of exposure</w:t>
            </w:r>
          </w:p>
        </w:tc>
        <w:tc>
          <w:tcPr>
            <w:tcW w:w="2313" w:type="dxa"/>
            <w:gridSpan w:val="2"/>
          </w:tcPr>
          <w:p w14:paraId="6DEF67A1" w14:textId="77777777" w:rsidR="000B148D" w:rsidRPr="00054570" w:rsidRDefault="000B148D" w:rsidP="00514744">
            <w:pPr>
              <w:pStyle w:val="Tablebody"/>
              <w:spacing w:before="0" w:after="0"/>
              <w:contextualSpacing/>
              <w:jc w:val="center"/>
              <w:rPr>
                <w:rFonts w:cs="Arial"/>
              </w:rPr>
            </w:pPr>
            <w:r w:rsidRPr="00054570">
              <w:rPr>
                <w:rFonts w:cs="Arial"/>
              </w:rPr>
              <w:t>283.55</w:t>
            </w:r>
          </w:p>
        </w:tc>
        <w:tc>
          <w:tcPr>
            <w:tcW w:w="2313" w:type="dxa"/>
            <w:gridSpan w:val="2"/>
          </w:tcPr>
          <w:p w14:paraId="14678B05" w14:textId="77777777" w:rsidR="000B148D" w:rsidRPr="00054570" w:rsidRDefault="000B148D" w:rsidP="00514744">
            <w:pPr>
              <w:pStyle w:val="Tablebody"/>
              <w:spacing w:before="0" w:after="0"/>
              <w:contextualSpacing/>
              <w:jc w:val="center"/>
              <w:rPr>
                <w:rFonts w:cs="Arial"/>
              </w:rPr>
            </w:pPr>
            <w:r w:rsidRPr="00054570">
              <w:rPr>
                <w:rFonts w:cs="Arial"/>
              </w:rPr>
              <w:t>63.59</w:t>
            </w:r>
          </w:p>
        </w:tc>
      </w:tr>
      <w:tr w:rsidR="000B148D" w:rsidRPr="00054570" w14:paraId="7EA6ADEC" w14:textId="77777777" w:rsidTr="00514744">
        <w:tc>
          <w:tcPr>
            <w:tcW w:w="4390" w:type="dxa"/>
            <w:shd w:val="clear" w:color="auto" w:fill="F2F2F2" w:themeFill="background1" w:themeFillShade="F2"/>
          </w:tcPr>
          <w:p w14:paraId="1ADDEE93" w14:textId="77777777" w:rsidR="000B148D" w:rsidRPr="00054570" w:rsidRDefault="000B148D" w:rsidP="00514744">
            <w:pPr>
              <w:pStyle w:val="Tableheading"/>
              <w:spacing w:before="0" w:after="0"/>
              <w:contextualSpacing/>
              <w:rPr>
                <w:rFonts w:cs="Arial"/>
              </w:rPr>
            </w:pPr>
            <w:r w:rsidRPr="00054570">
              <w:rPr>
                <w:rFonts w:cs="Arial"/>
              </w:rPr>
              <w:t>System organ class, Preferred term, n (%)</w:t>
            </w:r>
          </w:p>
        </w:tc>
        <w:tc>
          <w:tcPr>
            <w:tcW w:w="1156" w:type="dxa"/>
            <w:shd w:val="clear" w:color="auto" w:fill="F2F2F2" w:themeFill="background1" w:themeFillShade="F2"/>
            <w:vAlign w:val="center"/>
          </w:tcPr>
          <w:p w14:paraId="4F164003" w14:textId="77777777" w:rsidR="000B148D" w:rsidRPr="00054570" w:rsidRDefault="000B148D" w:rsidP="00514744">
            <w:pPr>
              <w:pStyle w:val="Tableheading"/>
              <w:spacing w:before="0" w:after="0"/>
              <w:contextualSpacing/>
              <w:jc w:val="center"/>
              <w:rPr>
                <w:rFonts w:cs="Arial"/>
              </w:rPr>
            </w:pPr>
            <w:r w:rsidRPr="00054570">
              <w:rPr>
                <w:rFonts w:cs="Arial"/>
              </w:rPr>
              <w:t>Any grade</w:t>
            </w:r>
          </w:p>
        </w:tc>
        <w:tc>
          <w:tcPr>
            <w:tcW w:w="1157" w:type="dxa"/>
            <w:shd w:val="clear" w:color="auto" w:fill="F2F2F2" w:themeFill="background1" w:themeFillShade="F2"/>
            <w:vAlign w:val="center"/>
          </w:tcPr>
          <w:p w14:paraId="23A29F4A" w14:textId="77777777" w:rsidR="000B148D" w:rsidRPr="00054570" w:rsidRDefault="000B148D" w:rsidP="00514744">
            <w:pPr>
              <w:pStyle w:val="Tableheading"/>
              <w:spacing w:before="0" w:after="0"/>
              <w:contextualSpacing/>
              <w:jc w:val="center"/>
              <w:rPr>
                <w:rFonts w:cs="Arial"/>
              </w:rPr>
            </w:pPr>
            <w:r w:rsidRPr="00054570">
              <w:rPr>
                <w:rFonts w:cs="Arial"/>
              </w:rPr>
              <w:t>Grade ≥3</w:t>
            </w:r>
          </w:p>
        </w:tc>
        <w:tc>
          <w:tcPr>
            <w:tcW w:w="1156" w:type="dxa"/>
            <w:shd w:val="clear" w:color="auto" w:fill="F2F2F2" w:themeFill="background1" w:themeFillShade="F2"/>
            <w:vAlign w:val="center"/>
          </w:tcPr>
          <w:p w14:paraId="30C59873" w14:textId="77777777" w:rsidR="000B148D" w:rsidRPr="00054570" w:rsidRDefault="000B148D" w:rsidP="00514744">
            <w:pPr>
              <w:pStyle w:val="Tableheading"/>
              <w:spacing w:before="0" w:after="0"/>
              <w:contextualSpacing/>
              <w:jc w:val="center"/>
              <w:rPr>
                <w:rFonts w:cs="Arial"/>
              </w:rPr>
            </w:pPr>
            <w:r w:rsidRPr="00054570">
              <w:rPr>
                <w:rFonts w:cs="Arial"/>
              </w:rPr>
              <w:t>Any grade</w:t>
            </w:r>
          </w:p>
        </w:tc>
        <w:tc>
          <w:tcPr>
            <w:tcW w:w="1157" w:type="dxa"/>
            <w:shd w:val="clear" w:color="auto" w:fill="F2F2F2" w:themeFill="background1" w:themeFillShade="F2"/>
            <w:vAlign w:val="center"/>
          </w:tcPr>
          <w:p w14:paraId="277640F5" w14:textId="77777777" w:rsidR="000B148D" w:rsidRPr="00054570" w:rsidRDefault="000B148D" w:rsidP="00514744">
            <w:pPr>
              <w:pStyle w:val="Tableheading"/>
              <w:spacing w:before="0" w:after="0"/>
              <w:contextualSpacing/>
              <w:jc w:val="center"/>
              <w:rPr>
                <w:rFonts w:cs="Arial"/>
              </w:rPr>
            </w:pPr>
            <w:r w:rsidRPr="00054570">
              <w:rPr>
                <w:rFonts w:cs="Arial"/>
              </w:rPr>
              <w:t>Grade ≥3</w:t>
            </w:r>
          </w:p>
        </w:tc>
      </w:tr>
      <w:tr w:rsidR="000B148D" w:rsidRPr="00054570" w14:paraId="3BF93D6B" w14:textId="77777777" w:rsidTr="00147167">
        <w:tc>
          <w:tcPr>
            <w:tcW w:w="9016" w:type="dxa"/>
            <w:gridSpan w:val="5"/>
            <w:shd w:val="clear" w:color="auto" w:fill="F2F2F2" w:themeFill="background1" w:themeFillShade="F2"/>
          </w:tcPr>
          <w:p w14:paraId="5B6B3C68" w14:textId="77777777" w:rsidR="000B148D" w:rsidRPr="00054570" w:rsidRDefault="000B148D" w:rsidP="00514744">
            <w:pPr>
              <w:pStyle w:val="Tablebody"/>
              <w:spacing w:before="0" w:after="0"/>
              <w:contextualSpacing/>
              <w:rPr>
                <w:rFonts w:cs="Arial"/>
                <w:b/>
                <w:bCs/>
              </w:rPr>
            </w:pPr>
            <w:r w:rsidRPr="00054570">
              <w:rPr>
                <w:rFonts w:cs="Arial"/>
                <w:b/>
                <w:bCs/>
              </w:rPr>
              <w:t>Blood and lymphatic system disorders</w:t>
            </w:r>
          </w:p>
        </w:tc>
      </w:tr>
      <w:tr w:rsidR="000B148D" w:rsidRPr="00054570" w14:paraId="3F280E7B" w14:textId="77777777" w:rsidTr="00514744">
        <w:tc>
          <w:tcPr>
            <w:tcW w:w="4390" w:type="dxa"/>
            <w:shd w:val="clear" w:color="auto" w:fill="F2F2F2" w:themeFill="background1" w:themeFillShade="F2"/>
          </w:tcPr>
          <w:p w14:paraId="63B61154" w14:textId="77777777" w:rsidR="000B148D" w:rsidRPr="00054570" w:rsidRDefault="000B148D" w:rsidP="00514744">
            <w:pPr>
              <w:pStyle w:val="Tablebody"/>
              <w:spacing w:before="0" w:after="0"/>
              <w:ind w:left="171"/>
              <w:contextualSpacing/>
              <w:rPr>
                <w:rFonts w:cs="Arial"/>
              </w:rPr>
            </w:pPr>
            <w:r w:rsidRPr="00054570">
              <w:rPr>
                <w:rFonts w:cs="Arial"/>
              </w:rPr>
              <w:t>Anaemia</w:t>
            </w:r>
            <w:r w:rsidRPr="00054570">
              <w:rPr>
                <w:rFonts w:cs="Arial"/>
                <w:vertAlign w:val="superscript"/>
              </w:rPr>
              <w:t>†</w:t>
            </w:r>
          </w:p>
        </w:tc>
        <w:tc>
          <w:tcPr>
            <w:tcW w:w="1156" w:type="dxa"/>
          </w:tcPr>
          <w:p w14:paraId="5AC3AD17" w14:textId="159822BE"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xxxxxxxxx</w:t>
            </w:r>
          </w:p>
        </w:tc>
        <w:tc>
          <w:tcPr>
            <w:tcW w:w="1157" w:type="dxa"/>
          </w:tcPr>
          <w:p w14:paraId="1FD42293" w14:textId="29281FC5"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xxxxxxxxxx</w:t>
            </w:r>
          </w:p>
        </w:tc>
        <w:tc>
          <w:tcPr>
            <w:tcW w:w="1156" w:type="dxa"/>
          </w:tcPr>
          <w:p w14:paraId="283F255D" w14:textId="5434DEFF"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xxxxxxxxxx</w:t>
            </w:r>
          </w:p>
        </w:tc>
        <w:tc>
          <w:tcPr>
            <w:tcW w:w="1157" w:type="dxa"/>
          </w:tcPr>
          <w:p w14:paraId="198930F6" w14:textId="58269B7C"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xxxxxxxx</w:t>
            </w:r>
          </w:p>
        </w:tc>
      </w:tr>
      <w:tr w:rsidR="000B148D" w:rsidRPr="00054570" w14:paraId="6BB54964" w14:textId="77777777" w:rsidTr="00514744">
        <w:tc>
          <w:tcPr>
            <w:tcW w:w="4390" w:type="dxa"/>
            <w:shd w:val="clear" w:color="auto" w:fill="F2F2F2" w:themeFill="background1" w:themeFillShade="F2"/>
          </w:tcPr>
          <w:p w14:paraId="7EC0589A" w14:textId="77777777" w:rsidR="000B148D" w:rsidRPr="00054570" w:rsidRDefault="000B148D" w:rsidP="00514744">
            <w:pPr>
              <w:pStyle w:val="Tablebody"/>
              <w:spacing w:before="0" w:after="0"/>
              <w:ind w:left="171"/>
              <w:contextualSpacing/>
              <w:rPr>
                <w:rFonts w:cs="Arial"/>
              </w:rPr>
            </w:pPr>
            <w:r w:rsidRPr="00054570">
              <w:rPr>
                <w:rFonts w:cs="Arial"/>
              </w:rPr>
              <w:t>Neutropoenia*</w:t>
            </w:r>
          </w:p>
        </w:tc>
        <w:tc>
          <w:tcPr>
            <w:tcW w:w="1156" w:type="dxa"/>
          </w:tcPr>
          <w:p w14:paraId="3413F692" w14:textId="017D403D"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xxxxxxxxx</w:t>
            </w:r>
          </w:p>
        </w:tc>
        <w:tc>
          <w:tcPr>
            <w:tcW w:w="1157" w:type="dxa"/>
          </w:tcPr>
          <w:p w14:paraId="7CE704CB" w14:textId="19686D7B"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xxxxxxxxxx</w:t>
            </w:r>
          </w:p>
        </w:tc>
        <w:tc>
          <w:tcPr>
            <w:tcW w:w="1156" w:type="dxa"/>
          </w:tcPr>
          <w:p w14:paraId="45AFE412" w14:textId="721E8E7D"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xxxxxxxxxx</w:t>
            </w:r>
          </w:p>
        </w:tc>
        <w:tc>
          <w:tcPr>
            <w:tcW w:w="1157" w:type="dxa"/>
          </w:tcPr>
          <w:p w14:paraId="07CD57FD" w14:textId="42CE4D69"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xxxxxxxxxx</w:t>
            </w:r>
          </w:p>
        </w:tc>
      </w:tr>
      <w:tr w:rsidR="000B148D" w:rsidRPr="00054570" w14:paraId="47CC3458" w14:textId="77777777" w:rsidTr="00514744">
        <w:tc>
          <w:tcPr>
            <w:tcW w:w="4390" w:type="dxa"/>
            <w:shd w:val="clear" w:color="auto" w:fill="F2F2F2" w:themeFill="background1" w:themeFillShade="F2"/>
          </w:tcPr>
          <w:p w14:paraId="24CD8248" w14:textId="77777777" w:rsidR="000B148D" w:rsidRPr="00054570" w:rsidRDefault="000B148D" w:rsidP="00514744">
            <w:pPr>
              <w:pStyle w:val="Tablebody"/>
              <w:spacing w:before="0" w:after="0"/>
              <w:ind w:left="171"/>
              <w:contextualSpacing/>
              <w:rPr>
                <w:rFonts w:cs="Arial"/>
              </w:rPr>
            </w:pPr>
            <w:r w:rsidRPr="00054570">
              <w:rPr>
                <w:rFonts w:cs="Arial"/>
              </w:rPr>
              <w:t>Thrombocytopaenia</w:t>
            </w:r>
            <w:r w:rsidRPr="00054570">
              <w:rPr>
                <w:rFonts w:cs="Arial"/>
                <w:vertAlign w:val="superscript"/>
              </w:rPr>
              <w:t>§</w:t>
            </w:r>
          </w:p>
        </w:tc>
        <w:tc>
          <w:tcPr>
            <w:tcW w:w="1156" w:type="dxa"/>
          </w:tcPr>
          <w:p w14:paraId="7B0BCEDB" w14:textId="68554D6A"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xxxxxxxxxx</w:t>
            </w:r>
          </w:p>
        </w:tc>
        <w:tc>
          <w:tcPr>
            <w:tcW w:w="1157" w:type="dxa"/>
          </w:tcPr>
          <w:p w14:paraId="0F0BAB70" w14:textId="14F672F3"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xxxxxxxxx</w:t>
            </w:r>
          </w:p>
        </w:tc>
        <w:tc>
          <w:tcPr>
            <w:tcW w:w="1156" w:type="dxa"/>
          </w:tcPr>
          <w:p w14:paraId="4DBC8F2D" w14:textId="3C774318"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xxxxxxxxx</w:t>
            </w:r>
          </w:p>
        </w:tc>
        <w:tc>
          <w:tcPr>
            <w:tcW w:w="1157" w:type="dxa"/>
          </w:tcPr>
          <w:p w14:paraId="55CD809F" w14:textId="65A3734A"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xxxxxxxx</w:t>
            </w:r>
          </w:p>
        </w:tc>
      </w:tr>
      <w:tr w:rsidR="000B148D" w:rsidRPr="00054570" w14:paraId="04BA4612" w14:textId="77777777" w:rsidTr="00514744">
        <w:tc>
          <w:tcPr>
            <w:tcW w:w="4390" w:type="dxa"/>
            <w:shd w:val="clear" w:color="auto" w:fill="F2F2F2" w:themeFill="background1" w:themeFillShade="F2"/>
          </w:tcPr>
          <w:p w14:paraId="0000F2FB" w14:textId="77777777" w:rsidR="000B148D" w:rsidRPr="00054570" w:rsidRDefault="000B148D" w:rsidP="00514744">
            <w:pPr>
              <w:pStyle w:val="Tablebody"/>
              <w:spacing w:before="0" w:after="0"/>
              <w:ind w:left="171"/>
              <w:contextualSpacing/>
              <w:rPr>
                <w:rFonts w:cs="Arial"/>
              </w:rPr>
            </w:pPr>
            <w:r w:rsidRPr="00054570">
              <w:rPr>
                <w:rFonts w:cs="Arial"/>
              </w:rPr>
              <w:t>Leucopoenia</w:t>
            </w:r>
            <w:r w:rsidRPr="00054570">
              <w:rPr>
                <w:rFonts w:cs="Arial"/>
                <w:vertAlign w:val="superscript"/>
              </w:rPr>
              <w:t>‡</w:t>
            </w:r>
          </w:p>
        </w:tc>
        <w:tc>
          <w:tcPr>
            <w:tcW w:w="1156" w:type="dxa"/>
          </w:tcPr>
          <w:p w14:paraId="3F7646F3" w14:textId="4A20DE90"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xxxxxxxxxx</w:t>
            </w:r>
          </w:p>
        </w:tc>
        <w:tc>
          <w:tcPr>
            <w:tcW w:w="1157" w:type="dxa"/>
          </w:tcPr>
          <w:p w14:paraId="378CA1DC" w14:textId="2E8597DB"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xxxxxxxxx</w:t>
            </w:r>
          </w:p>
        </w:tc>
        <w:tc>
          <w:tcPr>
            <w:tcW w:w="1156" w:type="dxa"/>
          </w:tcPr>
          <w:p w14:paraId="292A446C" w14:textId="10E15AD6"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xxxxxxxxxx</w:t>
            </w:r>
          </w:p>
        </w:tc>
        <w:tc>
          <w:tcPr>
            <w:tcW w:w="1157" w:type="dxa"/>
          </w:tcPr>
          <w:p w14:paraId="558FB25C" w14:textId="6620AF34"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xxxxxxxxxx</w:t>
            </w:r>
          </w:p>
        </w:tc>
      </w:tr>
      <w:tr w:rsidR="000B148D" w:rsidRPr="00054570" w14:paraId="641E4529" w14:textId="77777777" w:rsidTr="00514744">
        <w:tc>
          <w:tcPr>
            <w:tcW w:w="4390" w:type="dxa"/>
            <w:shd w:val="clear" w:color="auto" w:fill="F2F2F2" w:themeFill="background1" w:themeFillShade="F2"/>
          </w:tcPr>
          <w:p w14:paraId="791EE16C" w14:textId="77777777" w:rsidR="000B148D" w:rsidRPr="00054570" w:rsidRDefault="000B148D" w:rsidP="00514744">
            <w:pPr>
              <w:pStyle w:val="Tablebody"/>
              <w:spacing w:before="0" w:after="0"/>
              <w:ind w:left="171"/>
              <w:contextualSpacing/>
              <w:rPr>
                <w:rFonts w:cs="Arial"/>
              </w:rPr>
            </w:pPr>
            <w:r w:rsidRPr="00054570">
              <w:rPr>
                <w:rFonts w:eastAsia="Times New Roman" w:cs="Arial"/>
              </w:rPr>
              <w:t>Lymphopenia</w:t>
            </w:r>
          </w:p>
        </w:tc>
        <w:tc>
          <w:tcPr>
            <w:tcW w:w="1156" w:type="dxa"/>
          </w:tcPr>
          <w:p w14:paraId="30BAF7FA" w14:textId="66A5B288"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xxxxxxxx</w:t>
            </w:r>
          </w:p>
        </w:tc>
        <w:tc>
          <w:tcPr>
            <w:tcW w:w="1157" w:type="dxa"/>
          </w:tcPr>
          <w:p w14:paraId="0FC80285" w14:textId="216D1C8A"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xxxxxxxx</w:t>
            </w:r>
          </w:p>
        </w:tc>
        <w:tc>
          <w:tcPr>
            <w:tcW w:w="1156" w:type="dxa"/>
          </w:tcPr>
          <w:p w14:paraId="071573D9" w14:textId="1FFDB1ED"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xxxxxxxx</w:t>
            </w:r>
          </w:p>
        </w:tc>
        <w:tc>
          <w:tcPr>
            <w:tcW w:w="1157" w:type="dxa"/>
          </w:tcPr>
          <w:p w14:paraId="5D0A02E7" w14:textId="1E62B96B"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xxxxxxxx</w:t>
            </w:r>
          </w:p>
        </w:tc>
      </w:tr>
      <w:tr w:rsidR="000B148D" w:rsidRPr="00054570" w14:paraId="72FBEC32" w14:textId="77777777" w:rsidTr="00514744">
        <w:tc>
          <w:tcPr>
            <w:tcW w:w="4390" w:type="dxa"/>
            <w:shd w:val="clear" w:color="auto" w:fill="F2F2F2" w:themeFill="background1" w:themeFillShade="F2"/>
          </w:tcPr>
          <w:p w14:paraId="78502FA6" w14:textId="77777777" w:rsidR="000B148D" w:rsidRPr="00054570" w:rsidRDefault="000B148D" w:rsidP="00514744">
            <w:pPr>
              <w:pStyle w:val="Tablebody"/>
              <w:spacing w:before="0" w:after="0"/>
              <w:ind w:left="171"/>
              <w:contextualSpacing/>
              <w:rPr>
                <w:rFonts w:cs="Arial"/>
              </w:rPr>
            </w:pPr>
            <w:r w:rsidRPr="00054570">
              <w:rPr>
                <w:rFonts w:eastAsia="Times New Roman" w:cs="Arial"/>
              </w:rPr>
              <w:t>Febrile neutropenia</w:t>
            </w:r>
          </w:p>
        </w:tc>
        <w:tc>
          <w:tcPr>
            <w:tcW w:w="1156" w:type="dxa"/>
          </w:tcPr>
          <w:p w14:paraId="3740F9E0" w14:textId="0156494C"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w:t>
            </w:r>
          </w:p>
        </w:tc>
        <w:tc>
          <w:tcPr>
            <w:tcW w:w="1157" w:type="dxa"/>
          </w:tcPr>
          <w:p w14:paraId="52BEE8E8" w14:textId="3C075EE0"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w:t>
            </w:r>
          </w:p>
        </w:tc>
        <w:tc>
          <w:tcPr>
            <w:tcW w:w="1156" w:type="dxa"/>
          </w:tcPr>
          <w:p w14:paraId="00F9E0A8" w14:textId="1275E2FE"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w:t>
            </w:r>
          </w:p>
        </w:tc>
        <w:tc>
          <w:tcPr>
            <w:tcW w:w="1157" w:type="dxa"/>
          </w:tcPr>
          <w:p w14:paraId="0D2C2E61" w14:textId="2B67C6BE"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w:t>
            </w:r>
          </w:p>
        </w:tc>
      </w:tr>
      <w:tr w:rsidR="000B148D" w:rsidRPr="00054570" w14:paraId="512B7954" w14:textId="77777777" w:rsidTr="00147167">
        <w:tc>
          <w:tcPr>
            <w:tcW w:w="9016" w:type="dxa"/>
            <w:gridSpan w:val="5"/>
            <w:shd w:val="clear" w:color="auto" w:fill="F2F2F2" w:themeFill="background1" w:themeFillShade="F2"/>
            <w:vAlign w:val="center"/>
          </w:tcPr>
          <w:p w14:paraId="45A11EE8" w14:textId="77777777" w:rsidR="000B148D" w:rsidRPr="00E63B21" w:rsidRDefault="000B148D" w:rsidP="00514744">
            <w:pPr>
              <w:pStyle w:val="Tablebody"/>
              <w:spacing w:before="0" w:after="0"/>
              <w:contextualSpacing/>
              <w:rPr>
                <w:rFonts w:cs="Arial"/>
                <w:b/>
                <w:bCs/>
              </w:rPr>
            </w:pPr>
            <w:r w:rsidRPr="00E63B21">
              <w:rPr>
                <w:rFonts w:cs="Arial"/>
                <w:b/>
                <w:bCs/>
              </w:rPr>
              <w:t>Gastrointestinal disorders</w:t>
            </w:r>
          </w:p>
        </w:tc>
      </w:tr>
      <w:tr w:rsidR="000B148D" w:rsidRPr="00054570" w14:paraId="10DB0909" w14:textId="77777777" w:rsidTr="00514744">
        <w:tc>
          <w:tcPr>
            <w:tcW w:w="4390" w:type="dxa"/>
            <w:shd w:val="clear" w:color="auto" w:fill="F2F2F2" w:themeFill="background1" w:themeFillShade="F2"/>
          </w:tcPr>
          <w:p w14:paraId="0BDA7D8F" w14:textId="77777777" w:rsidR="000B148D" w:rsidRPr="00054570" w:rsidRDefault="000B148D" w:rsidP="00514744">
            <w:pPr>
              <w:pStyle w:val="Tablebody"/>
              <w:spacing w:before="0" w:after="0"/>
              <w:ind w:left="171"/>
              <w:contextualSpacing/>
              <w:rPr>
                <w:rFonts w:cs="Arial"/>
              </w:rPr>
            </w:pPr>
            <w:r w:rsidRPr="00054570">
              <w:rPr>
                <w:rFonts w:cs="Arial"/>
              </w:rPr>
              <w:t>Nausea</w:t>
            </w:r>
          </w:p>
        </w:tc>
        <w:tc>
          <w:tcPr>
            <w:tcW w:w="1156" w:type="dxa"/>
          </w:tcPr>
          <w:p w14:paraId="580F9BF5" w14:textId="397FEA4B"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xxxxxxxxx</w:t>
            </w:r>
          </w:p>
        </w:tc>
        <w:tc>
          <w:tcPr>
            <w:tcW w:w="1157" w:type="dxa"/>
          </w:tcPr>
          <w:p w14:paraId="69DEEB01" w14:textId="0D293CF8"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xxxxxxxxx</w:t>
            </w:r>
          </w:p>
        </w:tc>
        <w:tc>
          <w:tcPr>
            <w:tcW w:w="1156" w:type="dxa"/>
          </w:tcPr>
          <w:p w14:paraId="27EA7FDF" w14:textId="711E30A7"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xxxxxxxxxx</w:t>
            </w:r>
          </w:p>
        </w:tc>
        <w:tc>
          <w:tcPr>
            <w:tcW w:w="1157" w:type="dxa"/>
          </w:tcPr>
          <w:p w14:paraId="6A38672D" w14:textId="046B4FB2"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w:t>
            </w:r>
          </w:p>
        </w:tc>
      </w:tr>
      <w:tr w:rsidR="000B148D" w:rsidRPr="00054570" w14:paraId="2C0FE3FB" w14:textId="77777777" w:rsidTr="00514744">
        <w:tc>
          <w:tcPr>
            <w:tcW w:w="4390" w:type="dxa"/>
            <w:shd w:val="clear" w:color="auto" w:fill="F2F2F2" w:themeFill="background1" w:themeFillShade="F2"/>
          </w:tcPr>
          <w:p w14:paraId="3DF65006" w14:textId="77777777" w:rsidR="000B148D" w:rsidRPr="00054570" w:rsidRDefault="000B148D" w:rsidP="00514744">
            <w:pPr>
              <w:pStyle w:val="Tablebody"/>
              <w:spacing w:before="0" w:after="0"/>
              <w:ind w:left="171"/>
              <w:contextualSpacing/>
              <w:rPr>
                <w:rFonts w:cs="Arial"/>
              </w:rPr>
            </w:pPr>
            <w:r w:rsidRPr="00054570">
              <w:rPr>
                <w:rFonts w:cs="Arial"/>
              </w:rPr>
              <w:t>Vomiting</w:t>
            </w:r>
          </w:p>
        </w:tc>
        <w:tc>
          <w:tcPr>
            <w:tcW w:w="1156" w:type="dxa"/>
          </w:tcPr>
          <w:p w14:paraId="2D68C109" w14:textId="3012422F"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xxxxxxxxx</w:t>
            </w:r>
          </w:p>
        </w:tc>
        <w:tc>
          <w:tcPr>
            <w:tcW w:w="1157" w:type="dxa"/>
          </w:tcPr>
          <w:p w14:paraId="26C23B5B" w14:textId="10566998"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w:t>
            </w:r>
          </w:p>
        </w:tc>
        <w:tc>
          <w:tcPr>
            <w:tcW w:w="1156" w:type="dxa"/>
          </w:tcPr>
          <w:p w14:paraId="046BD7AC" w14:textId="33644BBD"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xxxxxxxxxx</w:t>
            </w:r>
          </w:p>
        </w:tc>
        <w:tc>
          <w:tcPr>
            <w:tcW w:w="1157" w:type="dxa"/>
          </w:tcPr>
          <w:p w14:paraId="383D8B25" w14:textId="7002BBF0" w:rsidR="000B148D" w:rsidRPr="00294FDC" w:rsidRDefault="00294FDC" w:rsidP="00514744">
            <w:pPr>
              <w:pStyle w:val="Tablebody"/>
              <w:spacing w:before="0" w:after="0"/>
              <w:contextualSpacing/>
              <w:jc w:val="center"/>
              <w:rPr>
                <w:rFonts w:cs="Arial"/>
                <w:color w:val="000000"/>
                <w:highlight w:val="black"/>
              </w:rPr>
            </w:pPr>
            <w:r w:rsidRPr="00294FDC">
              <w:rPr>
                <w:rFonts w:cs="Arial"/>
                <w:color w:val="000000"/>
                <w:highlight w:val="black"/>
              </w:rPr>
              <w:t>x</w:t>
            </w:r>
          </w:p>
        </w:tc>
      </w:tr>
      <w:tr w:rsidR="000B148D" w:rsidRPr="00054570" w14:paraId="733C22DC" w14:textId="77777777" w:rsidTr="00514744">
        <w:tc>
          <w:tcPr>
            <w:tcW w:w="4390" w:type="dxa"/>
            <w:shd w:val="clear" w:color="auto" w:fill="F2F2F2" w:themeFill="background1" w:themeFillShade="F2"/>
          </w:tcPr>
          <w:p w14:paraId="78A9F058" w14:textId="77777777" w:rsidR="000B148D" w:rsidRPr="00054570" w:rsidRDefault="000B148D" w:rsidP="00514744">
            <w:pPr>
              <w:pStyle w:val="Tablebody"/>
              <w:spacing w:before="0" w:after="0"/>
              <w:ind w:left="171"/>
              <w:contextualSpacing/>
              <w:rPr>
                <w:rFonts w:cs="Arial"/>
              </w:rPr>
            </w:pPr>
            <w:r w:rsidRPr="00054570">
              <w:rPr>
                <w:rFonts w:cs="Arial"/>
              </w:rPr>
              <w:t>Constipation</w:t>
            </w:r>
          </w:p>
        </w:tc>
        <w:tc>
          <w:tcPr>
            <w:tcW w:w="1156" w:type="dxa"/>
          </w:tcPr>
          <w:p w14:paraId="2A7649D8" w14:textId="5BA51070"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xxxxxxxxx</w:t>
            </w:r>
          </w:p>
        </w:tc>
        <w:tc>
          <w:tcPr>
            <w:tcW w:w="1157" w:type="dxa"/>
          </w:tcPr>
          <w:p w14:paraId="16FBB046" w14:textId="656CD6F2"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w:t>
            </w:r>
          </w:p>
        </w:tc>
        <w:tc>
          <w:tcPr>
            <w:tcW w:w="1156" w:type="dxa"/>
          </w:tcPr>
          <w:p w14:paraId="50A627E0" w14:textId="6F3110B8"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xxxxxxxxxx</w:t>
            </w:r>
          </w:p>
        </w:tc>
        <w:tc>
          <w:tcPr>
            <w:tcW w:w="1157" w:type="dxa"/>
          </w:tcPr>
          <w:p w14:paraId="115489EE" w14:textId="73194A84" w:rsidR="000B148D" w:rsidRPr="00294FDC" w:rsidRDefault="00294FDC" w:rsidP="00514744">
            <w:pPr>
              <w:pStyle w:val="Tablebody"/>
              <w:spacing w:before="0" w:after="0"/>
              <w:contextualSpacing/>
              <w:jc w:val="center"/>
              <w:rPr>
                <w:rFonts w:cs="Arial"/>
                <w:color w:val="000000"/>
                <w:highlight w:val="black"/>
              </w:rPr>
            </w:pPr>
            <w:r w:rsidRPr="00294FDC">
              <w:rPr>
                <w:rFonts w:cs="Arial"/>
                <w:color w:val="000000"/>
                <w:highlight w:val="black"/>
              </w:rPr>
              <w:t>x</w:t>
            </w:r>
          </w:p>
        </w:tc>
      </w:tr>
      <w:tr w:rsidR="000B148D" w:rsidRPr="00054570" w14:paraId="3B5188E6" w14:textId="77777777" w:rsidTr="00514744">
        <w:tc>
          <w:tcPr>
            <w:tcW w:w="4390" w:type="dxa"/>
            <w:shd w:val="clear" w:color="auto" w:fill="F2F2F2" w:themeFill="background1" w:themeFillShade="F2"/>
          </w:tcPr>
          <w:p w14:paraId="651242FD" w14:textId="77777777" w:rsidR="000B148D" w:rsidRPr="00054570" w:rsidRDefault="000B148D" w:rsidP="00514744">
            <w:pPr>
              <w:pStyle w:val="Tablebody"/>
              <w:spacing w:before="0" w:after="0"/>
              <w:ind w:left="171"/>
              <w:contextualSpacing/>
              <w:rPr>
                <w:rFonts w:cs="Arial"/>
              </w:rPr>
            </w:pPr>
            <w:r w:rsidRPr="00054570">
              <w:rPr>
                <w:rFonts w:cs="Arial"/>
              </w:rPr>
              <w:t>Diarrhoea</w:t>
            </w:r>
          </w:p>
        </w:tc>
        <w:tc>
          <w:tcPr>
            <w:tcW w:w="1156" w:type="dxa"/>
          </w:tcPr>
          <w:p w14:paraId="08A0C180" w14:textId="1ED89A02"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xxxxxxxxx</w:t>
            </w:r>
          </w:p>
        </w:tc>
        <w:tc>
          <w:tcPr>
            <w:tcW w:w="1157" w:type="dxa"/>
          </w:tcPr>
          <w:p w14:paraId="1A2BF9F5" w14:textId="14C0DA13"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xxxxxxxx</w:t>
            </w:r>
          </w:p>
        </w:tc>
        <w:tc>
          <w:tcPr>
            <w:tcW w:w="1156" w:type="dxa"/>
          </w:tcPr>
          <w:p w14:paraId="2420F729" w14:textId="1150BC21"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xxxxxxxxxx</w:t>
            </w:r>
          </w:p>
        </w:tc>
        <w:tc>
          <w:tcPr>
            <w:tcW w:w="1157" w:type="dxa"/>
          </w:tcPr>
          <w:p w14:paraId="1FB69A7E" w14:textId="06495300" w:rsidR="000B148D" w:rsidRPr="00294FDC" w:rsidRDefault="00294FDC" w:rsidP="00514744">
            <w:pPr>
              <w:pStyle w:val="Tablebody"/>
              <w:spacing w:before="0" w:after="0"/>
              <w:contextualSpacing/>
              <w:jc w:val="center"/>
              <w:rPr>
                <w:rFonts w:cs="Arial"/>
                <w:color w:val="000000"/>
                <w:highlight w:val="black"/>
              </w:rPr>
            </w:pPr>
            <w:r w:rsidRPr="00294FDC">
              <w:rPr>
                <w:rFonts w:cs="Arial"/>
                <w:color w:val="000000"/>
                <w:highlight w:val="black"/>
              </w:rPr>
              <w:t>xxxxxxx</w:t>
            </w:r>
          </w:p>
        </w:tc>
      </w:tr>
      <w:tr w:rsidR="000B148D" w:rsidRPr="00054570" w14:paraId="3C7F17B8" w14:textId="77777777" w:rsidTr="00147167">
        <w:tc>
          <w:tcPr>
            <w:tcW w:w="9016" w:type="dxa"/>
            <w:gridSpan w:val="5"/>
            <w:shd w:val="clear" w:color="auto" w:fill="F2F2F2" w:themeFill="background1" w:themeFillShade="F2"/>
            <w:vAlign w:val="center"/>
          </w:tcPr>
          <w:p w14:paraId="41FDB114" w14:textId="77777777" w:rsidR="000B148D" w:rsidRPr="00E63B21" w:rsidRDefault="000B148D" w:rsidP="00514744">
            <w:pPr>
              <w:pStyle w:val="Tablebody"/>
              <w:spacing w:before="0" w:after="0"/>
              <w:contextualSpacing/>
              <w:rPr>
                <w:rFonts w:cs="Arial"/>
                <w:b/>
                <w:bCs/>
              </w:rPr>
            </w:pPr>
            <w:r w:rsidRPr="00E63B21">
              <w:rPr>
                <w:rFonts w:cs="Arial"/>
                <w:b/>
                <w:bCs/>
              </w:rPr>
              <w:t>General disorders</w:t>
            </w:r>
          </w:p>
        </w:tc>
      </w:tr>
      <w:tr w:rsidR="000B148D" w:rsidRPr="00054570" w14:paraId="553D4D52" w14:textId="77777777" w:rsidTr="00514744">
        <w:tc>
          <w:tcPr>
            <w:tcW w:w="4390" w:type="dxa"/>
            <w:shd w:val="clear" w:color="auto" w:fill="F2F2F2" w:themeFill="background1" w:themeFillShade="F2"/>
          </w:tcPr>
          <w:p w14:paraId="72BDC44F" w14:textId="77777777" w:rsidR="000B148D" w:rsidRPr="00054570" w:rsidRDefault="000B148D" w:rsidP="00514744">
            <w:pPr>
              <w:pStyle w:val="Tablebody"/>
              <w:spacing w:before="0" w:after="0"/>
              <w:ind w:left="171"/>
              <w:contextualSpacing/>
              <w:rPr>
                <w:rFonts w:cs="Arial"/>
              </w:rPr>
            </w:pPr>
            <w:r w:rsidRPr="00054570">
              <w:rPr>
                <w:rFonts w:cs="Arial"/>
              </w:rPr>
              <w:t>Fatigue**</w:t>
            </w:r>
          </w:p>
        </w:tc>
        <w:tc>
          <w:tcPr>
            <w:tcW w:w="1156" w:type="dxa"/>
          </w:tcPr>
          <w:p w14:paraId="7520FC10" w14:textId="655F7D40"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xxxxxxxxx</w:t>
            </w:r>
          </w:p>
        </w:tc>
        <w:tc>
          <w:tcPr>
            <w:tcW w:w="1157" w:type="dxa"/>
          </w:tcPr>
          <w:p w14:paraId="0D72EB46" w14:textId="0085B886"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w:t>
            </w:r>
          </w:p>
        </w:tc>
        <w:tc>
          <w:tcPr>
            <w:tcW w:w="1156" w:type="dxa"/>
          </w:tcPr>
          <w:p w14:paraId="0CB8A0D8" w14:textId="3AC66FA2"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xxxxxxxxxx</w:t>
            </w:r>
          </w:p>
        </w:tc>
        <w:tc>
          <w:tcPr>
            <w:tcW w:w="1157" w:type="dxa"/>
          </w:tcPr>
          <w:p w14:paraId="21FF2BBA" w14:textId="6DA4B738"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w:t>
            </w:r>
          </w:p>
        </w:tc>
      </w:tr>
      <w:tr w:rsidR="000B148D" w:rsidRPr="00054570" w14:paraId="4933E3A4" w14:textId="77777777" w:rsidTr="00514744">
        <w:tc>
          <w:tcPr>
            <w:tcW w:w="4390" w:type="dxa"/>
            <w:shd w:val="clear" w:color="auto" w:fill="F2F2F2" w:themeFill="background1" w:themeFillShade="F2"/>
          </w:tcPr>
          <w:p w14:paraId="2BCC18F5" w14:textId="77777777" w:rsidR="000B148D" w:rsidRPr="00054570" w:rsidRDefault="000B148D" w:rsidP="00514744">
            <w:pPr>
              <w:pStyle w:val="Tablebody"/>
              <w:spacing w:before="0" w:after="0"/>
              <w:ind w:left="171"/>
              <w:contextualSpacing/>
              <w:rPr>
                <w:rFonts w:eastAsia="Times New Roman" w:cs="Arial"/>
              </w:rPr>
            </w:pPr>
            <w:r w:rsidRPr="00054570">
              <w:rPr>
                <w:rFonts w:eastAsia="Times New Roman" w:cs="Arial"/>
              </w:rPr>
              <w:t>Musculoskeletal pain</w:t>
            </w:r>
          </w:p>
        </w:tc>
        <w:tc>
          <w:tcPr>
            <w:tcW w:w="1156" w:type="dxa"/>
          </w:tcPr>
          <w:p w14:paraId="4FE6447F" w14:textId="557EFA06"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xxxxxxxxxx</w:t>
            </w:r>
          </w:p>
        </w:tc>
        <w:tc>
          <w:tcPr>
            <w:tcW w:w="1157" w:type="dxa"/>
          </w:tcPr>
          <w:p w14:paraId="4FDE9FA4" w14:textId="6123A0B7"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xxxxxxxx</w:t>
            </w:r>
          </w:p>
        </w:tc>
        <w:tc>
          <w:tcPr>
            <w:tcW w:w="1156" w:type="dxa"/>
          </w:tcPr>
          <w:p w14:paraId="2A9F38D0" w14:textId="6989EEAC"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xxxxxxxxxx</w:t>
            </w:r>
          </w:p>
        </w:tc>
        <w:tc>
          <w:tcPr>
            <w:tcW w:w="1157" w:type="dxa"/>
          </w:tcPr>
          <w:p w14:paraId="39533C0F" w14:textId="7A27E5B2"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w:t>
            </w:r>
          </w:p>
        </w:tc>
      </w:tr>
      <w:tr w:rsidR="000B148D" w:rsidRPr="00054570" w14:paraId="7FDCE904" w14:textId="77777777" w:rsidTr="00514744">
        <w:tc>
          <w:tcPr>
            <w:tcW w:w="4390" w:type="dxa"/>
            <w:shd w:val="clear" w:color="auto" w:fill="F2F2F2" w:themeFill="background1" w:themeFillShade="F2"/>
          </w:tcPr>
          <w:p w14:paraId="66B0DC66" w14:textId="77777777" w:rsidR="000B148D" w:rsidRPr="00054570" w:rsidRDefault="000B148D" w:rsidP="00514744">
            <w:pPr>
              <w:pStyle w:val="Tablebody"/>
              <w:spacing w:before="0" w:after="0"/>
              <w:ind w:left="171"/>
              <w:contextualSpacing/>
              <w:rPr>
                <w:rFonts w:cs="Arial"/>
              </w:rPr>
            </w:pPr>
            <w:r w:rsidRPr="00054570">
              <w:rPr>
                <w:rFonts w:eastAsia="Times New Roman" w:cs="Arial"/>
              </w:rPr>
              <w:t>Abdominal pain</w:t>
            </w:r>
          </w:p>
        </w:tc>
        <w:tc>
          <w:tcPr>
            <w:tcW w:w="1156" w:type="dxa"/>
          </w:tcPr>
          <w:p w14:paraId="2A041C62" w14:textId="162CCC42"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xxxxxxxxxx</w:t>
            </w:r>
          </w:p>
        </w:tc>
        <w:tc>
          <w:tcPr>
            <w:tcW w:w="1157" w:type="dxa"/>
          </w:tcPr>
          <w:p w14:paraId="7AC1A195" w14:textId="7E14C8D5"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w:t>
            </w:r>
          </w:p>
        </w:tc>
        <w:tc>
          <w:tcPr>
            <w:tcW w:w="1156" w:type="dxa"/>
          </w:tcPr>
          <w:p w14:paraId="7160C3FE" w14:textId="33A2E90D"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xxxxxxxxxx</w:t>
            </w:r>
          </w:p>
        </w:tc>
        <w:tc>
          <w:tcPr>
            <w:tcW w:w="1157" w:type="dxa"/>
          </w:tcPr>
          <w:p w14:paraId="284BD2A6" w14:textId="49007B43"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w:t>
            </w:r>
          </w:p>
        </w:tc>
      </w:tr>
      <w:tr w:rsidR="000B148D" w:rsidRPr="00054570" w14:paraId="47756281" w14:textId="77777777" w:rsidTr="00147167">
        <w:trPr>
          <w:trHeight w:val="177"/>
        </w:trPr>
        <w:tc>
          <w:tcPr>
            <w:tcW w:w="9016" w:type="dxa"/>
            <w:gridSpan w:val="5"/>
            <w:shd w:val="clear" w:color="auto" w:fill="F2F2F2" w:themeFill="background1" w:themeFillShade="F2"/>
            <w:vAlign w:val="center"/>
          </w:tcPr>
          <w:p w14:paraId="58E43FEE" w14:textId="77777777" w:rsidR="000B148D" w:rsidRPr="00E63B21" w:rsidRDefault="000B148D" w:rsidP="00514744">
            <w:pPr>
              <w:pStyle w:val="Tablebody"/>
              <w:spacing w:before="0" w:after="0"/>
              <w:contextualSpacing/>
              <w:rPr>
                <w:rFonts w:cs="Arial"/>
                <w:b/>
                <w:bCs/>
              </w:rPr>
            </w:pPr>
            <w:r w:rsidRPr="00E63B21">
              <w:rPr>
                <w:rFonts w:cs="Arial"/>
                <w:b/>
                <w:bCs/>
              </w:rPr>
              <w:t>Investigations</w:t>
            </w:r>
          </w:p>
        </w:tc>
      </w:tr>
      <w:tr w:rsidR="000B148D" w:rsidRPr="00054570" w14:paraId="4F55F515" w14:textId="77777777" w:rsidTr="00514744">
        <w:tc>
          <w:tcPr>
            <w:tcW w:w="4390" w:type="dxa"/>
            <w:shd w:val="clear" w:color="auto" w:fill="F2F2F2" w:themeFill="background1" w:themeFillShade="F2"/>
          </w:tcPr>
          <w:p w14:paraId="7D50CEEB" w14:textId="77777777" w:rsidR="000B148D" w:rsidRPr="00054570" w:rsidRDefault="000B148D" w:rsidP="00514744">
            <w:pPr>
              <w:pStyle w:val="Tablebody"/>
              <w:spacing w:before="0" w:after="0"/>
              <w:ind w:left="171"/>
              <w:contextualSpacing/>
              <w:rPr>
                <w:rFonts w:cs="Arial"/>
              </w:rPr>
            </w:pPr>
            <w:r w:rsidRPr="00054570">
              <w:rPr>
                <w:rFonts w:eastAsia="Times New Roman" w:cs="Arial"/>
              </w:rPr>
              <w:t>AST Increased</w:t>
            </w:r>
          </w:p>
        </w:tc>
        <w:tc>
          <w:tcPr>
            <w:tcW w:w="1156" w:type="dxa"/>
          </w:tcPr>
          <w:p w14:paraId="201F0855" w14:textId="1B54E3FB"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xxxxxxxxxx</w:t>
            </w:r>
          </w:p>
        </w:tc>
        <w:tc>
          <w:tcPr>
            <w:tcW w:w="1157" w:type="dxa"/>
          </w:tcPr>
          <w:p w14:paraId="618F5B33" w14:textId="3DD11D4E"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w:t>
            </w:r>
          </w:p>
        </w:tc>
        <w:tc>
          <w:tcPr>
            <w:tcW w:w="1156" w:type="dxa"/>
          </w:tcPr>
          <w:p w14:paraId="53AAA7D1" w14:textId="2668B324"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xxxxxxxxxx</w:t>
            </w:r>
          </w:p>
        </w:tc>
        <w:tc>
          <w:tcPr>
            <w:tcW w:w="1157" w:type="dxa"/>
          </w:tcPr>
          <w:p w14:paraId="54F4D32B" w14:textId="26072990"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w:t>
            </w:r>
          </w:p>
        </w:tc>
      </w:tr>
      <w:tr w:rsidR="000B148D" w:rsidRPr="00054570" w14:paraId="5BFB83B2" w14:textId="77777777" w:rsidTr="00147167">
        <w:tc>
          <w:tcPr>
            <w:tcW w:w="9016" w:type="dxa"/>
            <w:gridSpan w:val="5"/>
            <w:shd w:val="clear" w:color="auto" w:fill="F2F2F2" w:themeFill="background1" w:themeFillShade="F2"/>
            <w:vAlign w:val="center"/>
          </w:tcPr>
          <w:p w14:paraId="2FA80604" w14:textId="77777777" w:rsidR="000B148D" w:rsidRPr="00054570" w:rsidRDefault="000B148D" w:rsidP="00514744">
            <w:pPr>
              <w:pStyle w:val="Tablebody"/>
              <w:spacing w:before="0" w:after="0"/>
              <w:contextualSpacing/>
              <w:rPr>
                <w:rFonts w:cs="Arial"/>
                <w:b/>
                <w:bCs/>
              </w:rPr>
            </w:pPr>
            <w:r w:rsidRPr="00054570">
              <w:rPr>
                <w:rFonts w:cs="Arial"/>
                <w:b/>
                <w:bCs/>
              </w:rPr>
              <w:t>Metabolism and nutrition disorders</w:t>
            </w:r>
          </w:p>
        </w:tc>
      </w:tr>
      <w:tr w:rsidR="000B148D" w:rsidRPr="00054570" w14:paraId="2FABA574" w14:textId="77777777" w:rsidTr="00514744">
        <w:tc>
          <w:tcPr>
            <w:tcW w:w="4390" w:type="dxa"/>
            <w:shd w:val="clear" w:color="auto" w:fill="F2F2F2" w:themeFill="background1" w:themeFillShade="F2"/>
          </w:tcPr>
          <w:p w14:paraId="5AF81F00" w14:textId="77777777" w:rsidR="000B148D" w:rsidRPr="00054570" w:rsidRDefault="000B148D" w:rsidP="00514744">
            <w:pPr>
              <w:pStyle w:val="Tablebody"/>
              <w:spacing w:before="0" w:after="0"/>
              <w:ind w:left="171"/>
              <w:contextualSpacing/>
              <w:rPr>
                <w:rFonts w:cs="Arial"/>
              </w:rPr>
            </w:pPr>
            <w:r w:rsidRPr="00054570">
              <w:rPr>
                <w:rFonts w:cs="Arial"/>
              </w:rPr>
              <w:t>Decreased appetite</w:t>
            </w:r>
          </w:p>
        </w:tc>
        <w:tc>
          <w:tcPr>
            <w:tcW w:w="1156" w:type="dxa"/>
          </w:tcPr>
          <w:p w14:paraId="7BCA2CF2" w14:textId="22BAE4F5"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xxxxxxxxxx</w:t>
            </w:r>
          </w:p>
        </w:tc>
        <w:tc>
          <w:tcPr>
            <w:tcW w:w="1157" w:type="dxa"/>
          </w:tcPr>
          <w:p w14:paraId="162B39FA" w14:textId="22E8E6CB"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w:t>
            </w:r>
          </w:p>
        </w:tc>
        <w:tc>
          <w:tcPr>
            <w:tcW w:w="1156" w:type="dxa"/>
          </w:tcPr>
          <w:p w14:paraId="135BDB41" w14:textId="56E71FA7"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xxxxxxxxx</w:t>
            </w:r>
          </w:p>
        </w:tc>
        <w:tc>
          <w:tcPr>
            <w:tcW w:w="1157" w:type="dxa"/>
          </w:tcPr>
          <w:p w14:paraId="45F6FF44" w14:textId="1526C7C8"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w:t>
            </w:r>
          </w:p>
        </w:tc>
      </w:tr>
      <w:tr w:rsidR="000B148D" w:rsidRPr="00054570" w14:paraId="2EBFC1D2" w14:textId="77777777" w:rsidTr="00147167">
        <w:tc>
          <w:tcPr>
            <w:tcW w:w="9016" w:type="dxa"/>
            <w:gridSpan w:val="5"/>
            <w:shd w:val="clear" w:color="auto" w:fill="F2F2F2" w:themeFill="background1" w:themeFillShade="F2"/>
            <w:vAlign w:val="center"/>
          </w:tcPr>
          <w:p w14:paraId="66F70D22" w14:textId="77777777" w:rsidR="000B148D" w:rsidRPr="00054570" w:rsidRDefault="000B148D" w:rsidP="00514744">
            <w:pPr>
              <w:pStyle w:val="Tablebody"/>
              <w:spacing w:before="0" w:after="0"/>
              <w:contextualSpacing/>
              <w:rPr>
                <w:rFonts w:cs="Arial"/>
                <w:b/>
                <w:bCs/>
              </w:rPr>
            </w:pPr>
            <w:r w:rsidRPr="00054570">
              <w:rPr>
                <w:rFonts w:cs="Arial"/>
                <w:b/>
                <w:bCs/>
              </w:rPr>
              <w:t>Skin and subcutaneous tissue disorders</w:t>
            </w:r>
          </w:p>
        </w:tc>
      </w:tr>
      <w:tr w:rsidR="000B148D" w:rsidRPr="00054570" w14:paraId="26923EAE" w14:textId="77777777" w:rsidTr="00514744">
        <w:tc>
          <w:tcPr>
            <w:tcW w:w="4390" w:type="dxa"/>
            <w:shd w:val="clear" w:color="auto" w:fill="F2F2F2" w:themeFill="background1" w:themeFillShade="F2"/>
          </w:tcPr>
          <w:p w14:paraId="0D7B616B" w14:textId="77777777" w:rsidR="000B148D" w:rsidRPr="00054570" w:rsidRDefault="000B148D" w:rsidP="00514744">
            <w:pPr>
              <w:pStyle w:val="Tablebody"/>
              <w:keepNext/>
              <w:spacing w:before="0" w:after="0"/>
              <w:ind w:left="171"/>
              <w:contextualSpacing/>
              <w:rPr>
                <w:rFonts w:cs="Arial"/>
              </w:rPr>
            </w:pPr>
            <w:r w:rsidRPr="00054570">
              <w:rPr>
                <w:rFonts w:cs="Arial"/>
              </w:rPr>
              <w:t>Alopecia</w:t>
            </w:r>
          </w:p>
        </w:tc>
        <w:tc>
          <w:tcPr>
            <w:tcW w:w="1156" w:type="dxa"/>
          </w:tcPr>
          <w:p w14:paraId="51550E53" w14:textId="76EE5D7F"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xxxxxxxxxx</w:t>
            </w:r>
          </w:p>
        </w:tc>
        <w:tc>
          <w:tcPr>
            <w:tcW w:w="1157" w:type="dxa"/>
          </w:tcPr>
          <w:p w14:paraId="471378CB" w14:textId="4F6E752A"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w:t>
            </w:r>
          </w:p>
        </w:tc>
        <w:tc>
          <w:tcPr>
            <w:tcW w:w="1156" w:type="dxa"/>
          </w:tcPr>
          <w:p w14:paraId="510DDA23" w14:textId="7C000860"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xxxxxxxxxx</w:t>
            </w:r>
          </w:p>
        </w:tc>
        <w:tc>
          <w:tcPr>
            <w:tcW w:w="1157" w:type="dxa"/>
          </w:tcPr>
          <w:p w14:paraId="1B765B1E" w14:textId="5FE7E152" w:rsidR="000B148D" w:rsidRPr="00294FDC" w:rsidRDefault="00294FDC" w:rsidP="00514744">
            <w:pPr>
              <w:pStyle w:val="Tablebody"/>
              <w:spacing w:before="0" w:after="0"/>
              <w:contextualSpacing/>
              <w:jc w:val="center"/>
              <w:rPr>
                <w:rFonts w:cs="Arial"/>
                <w:color w:val="000000"/>
                <w:highlight w:val="black"/>
              </w:rPr>
            </w:pPr>
            <w:r w:rsidRPr="00294FDC">
              <w:rPr>
                <w:rFonts w:cs="Arial"/>
                <w:color w:val="000000"/>
                <w:highlight w:val="black"/>
              </w:rPr>
              <w:t>x</w:t>
            </w:r>
          </w:p>
        </w:tc>
      </w:tr>
      <w:tr w:rsidR="000B148D" w:rsidRPr="00054570" w14:paraId="6D2E650F" w14:textId="77777777" w:rsidTr="00514744">
        <w:tc>
          <w:tcPr>
            <w:tcW w:w="4390" w:type="dxa"/>
            <w:shd w:val="clear" w:color="auto" w:fill="F2F2F2" w:themeFill="background1" w:themeFillShade="F2"/>
          </w:tcPr>
          <w:p w14:paraId="537B5634" w14:textId="77777777" w:rsidR="000B148D" w:rsidRPr="00054570" w:rsidRDefault="000B148D" w:rsidP="00514744">
            <w:pPr>
              <w:pStyle w:val="Tablebody"/>
              <w:keepNext/>
              <w:spacing w:before="0" w:after="0"/>
              <w:ind w:left="171"/>
              <w:contextualSpacing/>
              <w:rPr>
                <w:rFonts w:eastAsia="Times New Roman" w:cs="Arial"/>
              </w:rPr>
            </w:pPr>
            <w:r w:rsidRPr="00054570">
              <w:rPr>
                <w:rFonts w:eastAsia="Times New Roman" w:cs="Arial"/>
              </w:rPr>
              <w:t xml:space="preserve">Palmar-plantar erythrodysaesthesia syndrome </w:t>
            </w:r>
          </w:p>
        </w:tc>
        <w:tc>
          <w:tcPr>
            <w:tcW w:w="1156" w:type="dxa"/>
            <w:vAlign w:val="center"/>
          </w:tcPr>
          <w:p w14:paraId="3DA6DD2F" w14:textId="1087B9E8"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w:t>
            </w:r>
          </w:p>
        </w:tc>
        <w:tc>
          <w:tcPr>
            <w:tcW w:w="1157" w:type="dxa"/>
            <w:vAlign w:val="center"/>
          </w:tcPr>
          <w:p w14:paraId="45803B2D" w14:textId="3DB5AEF3" w:rsidR="000B148D" w:rsidRPr="00294FDC" w:rsidRDefault="00294FDC" w:rsidP="00514744">
            <w:pPr>
              <w:pStyle w:val="Tablebody"/>
              <w:spacing w:before="0" w:after="0"/>
              <w:contextualSpacing/>
              <w:jc w:val="center"/>
              <w:rPr>
                <w:rFonts w:cs="Arial"/>
                <w:color w:val="000000"/>
                <w:highlight w:val="black"/>
              </w:rPr>
            </w:pPr>
            <w:r w:rsidRPr="00294FDC">
              <w:rPr>
                <w:rFonts w:cs="Arial"/>
                <w:color w:val="000000"/>
                <w:highlight w:val="black"/>
              </w:rPr>
              <w:t>x</w:t>
            </w:r>
          </w:p>
        </w:tc>
        <w:tc>
          <w:tcPr>
            <w:tcW w:w="1156" w:type="dxa"/>
            <w:vAlign w:val="center"/>
          </w:tcPr>
          <w:p w14:paraId="636B04CA" w14:textId="3172D65C"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xxxxxxxxx</w:t>
            </w:r>
          </w:p>
        </w:tc>
        <w:tc>
          <w:tcPr>
            <w:tcW w:w="1157" w:type="dxa"/>
            <w:vAlign w:val="center"/>
          </w:tcPr>
          <w:p w14:paraId="1BA39240" w14:textId="29D0FF09"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w:t>
            </w:r>
          </w:p>
        </w:tc>
      </w:tr>
    </w:tbl>
    <w:p w14:paraId="27E7D90D" w14:textId="14E0BDC4" w:rsidR="000B148D" w:rsidRPr="00054570" w:rsidRDefault="000B148D" w:rsidP="000B148D">
      <w:pPr>
        <w:pStyle w:val="Footnotes"/>
        <w:rPr>
          <w:rFonts w:cs="Yu Gothic Light"/>
          <w:shd w:val="clear" w:color="auto" w:fill="FFFFFF"/>
        </w:rPr>
      </w:pPr>
      <w:r w:rsidRPr="00054570">
        <w:t xml:space="preserve">*This category includes the preferred terms neutrophil count decreased and neutropoenia. </w:t>
      </w:r>
      <w:r w:rsidRPr="00054570">
        <w:br/>
      </w:r>
      <w:r w:rsidRPr="00054570">
        <w:rPr>
          <w:rFonts w:cs="Yu Gothic Light"/>
        </w:rPr>
        <w:t>†</w:t>
      </w:r>
      <w:r w:rsidRPr="00054570">
        <w:t xml:space="preserve">This category includes the preferred terms haemoglobin decreased, red blood cell count decreased, anaemia, and haematocrit decreased. </w:t>
      </w:r>
      <w:r w:rsidRPr="00054570">
        <w:br/>
      </w:r>
      <w:r w:rsidRPr="00054570">
        <w:rPr>
          <w:rFonts w:cs="Yu Gothic Light"/>
        </w:rPr>
        <w:t>‡</w:t>
      </w:r>
      <w:r w:rsidRPr="00054570">
        <w:t xml:space="preserve">This category includes the preferred terms white blood cell count decreased and leucopoenia. </w:t>
      </w:r>
      <w:r w:rsidRPr="00054570">
        <w:br/>
      </w:r>
      <w:r w:rsidRPr="00054570">
        <w:rPr>
          <w:rFonts w:cs="Yu Gothic Light"/>
        </w:rPr>
        <w:t>§</w:t>
      </w:r>
      <w:r w:rsidRPr="00054570">
        <w:t xml:space="preserve">This category includes platelet count decreased and thrombocytopaenia. </w:t>
      </w:r>
      <w:r w:rsidRPr="00054570">
        <w:br/>
        <w:t>**This category includes the preferred terms fatigue, asthenia, and malaise.</w:t>
      </w:r>
      <w:r w:rsidRPr="00054570">
        <w:br/>
        <w:t>Abbreviations: AST, aspartate aminotransferase; SAS, safety analysis set; TEAE, treatment-emergent adverse event; T-DXd, trastuzumab deruxtecan; TPC, treatment of physician’s choice.</w:t>
      </w:r>
      <w:r w:rsidRPr="00054570">
        <w:br/>
        <w:t>Source: Daiichi Sanko Inc., 2022 (CSR tables and figures; Data on File).</w:t>
      </w:r>
      <w:r w:rsidRPr="00054570">
        <w:rPr>
          <w:rStyle w:val="normaltextrun"/>
          <w:rFonts w:cs="Yu Gothic Light"/>
          <w:shd w:val="clear" w:color="auto" w:fill="FFFFFF"/>
        </w:rPr>
        <w:t xml:space="preserve"> </w:t>
      </w:r>
      <w:r w:rsidRPr="00054570">
        <w:rPr>
          <w:rStyle w:val="normaltextrun"/>
          <w:rFonts w:cs="Yu Gothic Light"/>
          <w:shd w:val="clear" w:color="auto" w:fill="FFFFFF"/>
        </w:rPr>
        <w:fldChar w:fldCharType="begin"/>
      </w:r>
      <w:r w:rsidR="00CA6345">
        <w:rPr>
          <w:rStyle w:val="normaltextrun"/>
          <w:rFonts w:cs="Yu Gothic Light"/>
          <w:shd w:val="clear" w:color="auto" w:fill="FFFFFF"/>
        </w:rPr>
        <w:instrText xml:space="preserve"> ADDIN ZOTERO_ITEM CSL_CITATION {"citationID":"qQZ4Auhs","properties":{"formattedCitation":"\\super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rPr>
          <w:rStyle w:val="normaltextrun"/>
          <w:rFonts w:cs="Yu Gothic Light"/>
          <w:shd w:val="clear" w:color="auto" w:fill="FFFFFF"/>
        </w:rPr>
        <w:fldChar w:fldCharType="separate"/>
      </w:r>
      <w:r w:rsidR="00FD57F4" w:rsidRPr="00FD57F4">
        <w:rPr>
          <w:rFonts w:cs="Arial"/>
          <w:szCs w:val="24"/>
          <w:vertAlign w:val="superscript"/>
        </w:rPr>
        <w:t>7</w:t>
      </w:r>
      <w:r w:rsidRPr="00054570">
        <w:rPr>
          <w:rStyle w:val="normaltextrun"/>
          <w:rFonts w:cs="Yu Gothic Light"/>
          <w:shd w:val="clear" w:color="auto" w:fill="FFFFFF"/>
        </w:rPr>
        <w:fldChar w:fldCharType="end"/>
      </w:r>
    </w:p>
    <w:p w14:paraId="047E9115" w14:textId="77777777" w:rsidR="000B148D" w:rsidRPr="00054570" w:rsidRDefault="000B148D" w:rsidP="000B148D">
      <w:pPr>
        <w:pStyle w:val="Heading5"/>
        <w:numPr>
          <w:ilvl w:val="0"/>
          <w:numId w:val="0"/>
        </w:numPr>
      </w:pPr>
      <w:r w:rsidRPr="00054570">
        <w:t>Most common drug-related TEAEs</w:t>
      </w:r>
    </w:p>
    <w:p w14:paraId="06907F71" w14:textId="6D6069C3" w:rsidR="000B148D" w:rsidRPr="00054570" w:rsidRDefault="000B148D" w:rsidP="000B148D">
      <w:pPr>
        <w:pStyle w:val="Body"/>
      </w:pPr>
      <w:r w:rsidRPr="00054570">
        <w:t xml:space="preserve">The </w:t>
      </w:r>
      <w:r w:rsidR="00122E75">
        <w:t>five</w:t>
      </w:r>
      <w:r>
        <w:t xml:space="preserve"> </w:t>
      </w:r>
      <w:r w:rsidRPr="00054570">
        <w:t xml:space="preserve">most common drug-related TEAEs (all grades) in the T-DXd arm were nausea (271 patients; 73.0%), fatigue (177 patients; 47.7%); alopecia (140 patients; 37.7%), vomiting (126 patients; 34.0%) </w:t>
      </w:r>
      <w:r>
        <w:t xml:space="preserve">and </w:t>
      </w:r>
      <w:r w:rsidRPr="00054570">
        <w:t>neutropoenia (123 patients; 33.2%)</w:t>
      </w:r>
      <w:r>
        <w:t>.</w:t>
      </w:r>
      <w:r w:rsidRPr="00054570">
        <w:fldChar w:fldCharType="begin"/>
      </w:r>
      <w:r w:rsidR="00CA6345">
        <w:instrText xml:space="preserve"> ADDIN ZOTERO_ITEM CSL_CITATION {"citationID":"3GkK0ph4","properties":{"formattedCitation":"\\super 2,3\\nosupersub{}","plainCitation":"2,3","dontUpdate":true,"noteIndex":0},"citationItems":[{"id":65944,"uris":["http://zotero.org/groups/4797619/items/WBVSVVF7"],"itemData":{"id":65944,"type":"document","title":"Clinical Study Report for DS8201-A-U303. Data cut-off date: 11 Jan 2022. Data on File.","author":[{"family":"Daiichi Sankyo Inc.","given":""}],"issued":{"date-parts":[["2022"]]}}},{"id":65852,"uris":["http://zotero.org/groups/4797619/items/AT863AI3"],"itemData":{"id":65852,"type":"webpage","abstract":"Enhertu extended survival in patients with metastatic HER2-low breast cancer longer than standard chemo, a clinical trial showed.","genre":"cgvBlogPost","language":"en","note":"archive_location: nciglobal,ncienterprise","title":"Trastuzumab Deruxtecan for Metastatic HER2-Low Breast Cancer - NCI","URL":"https://www.cancer.gov/news-events/cancer-currents-blog/2022/enhertu-her2-low-breast-cancer","accessed":{"date-parts":[["2022",9,29]]},"issued":{"date-parts":[["2022",7,5]]}}}],"schema":"https://github.com/citation-style-language/schema/raw/master/csl-citation.json"} </w:instrText>
      </w:r>
      <w:r w:rsidRPr="00054570">
        <w:fldChar w:fldCharType="separate"/>
      </w:r>
      <w:r w:rsidRPr="00054570">
        <w:rPr>
          <w:rFonts w:cs="Arial"/>
          <w:szCs w:val="24"/>
          <w:vertAlign w:val="superscript"/>
        </w:rPr>
        <w:t>2</w:t>
      </w:r>
      <w:r w:rsidRPr="00054570">
        <w:fldChar w:fldCharType="end"/>
      </w:r>
      <w:r w:rsidRPr="00054570">
        <w:t xml:space="preserve"> In the TPC arm, the </w:t>
      </w:r>
      <w:r w:rsidR="00122E75">
        <w:t>five</w:t>
      </w:r>
      <w:r>
        <w:t xml:space="preserve"> </w:t>
      </w:r>
      <w:r w:rsidRPr="00054570">
        <w:t>most common drug-related TEAEs were neutropenia (88 patients; 51.2%), fatigue (73 patients; 42.4%), alopecia (56 patients; 32.6%)</w:t>
      </w:r>
      <w:r>
        <w:t>,</w:t>
      </w:r>
      <w:r w:rsidR="00D76142">
        <w:t xml:space="preserve"> </w:t>
      </w:r>
      <w:r w:rsidRPr="00054570">
        <w:t>leucopoenia (54 patients; 31.4%)</w:t>
      </w:r>
      <w:r>
        <w:t xml:space="preserve"> and nausea (41 patients; 23.8%)</w:t>
      </w:r>
      <w:r w:rsidRPr="00054570">
        <w:t>.</w:t>
      </w:r>
      <w:r w:rsidRPr="00054570">
        <w:fldChar w:fldCharType="begin"/>
      </w:r>
      <w:r w:rsidR="00CA6345">
        <w:instrText xml:space="preserve"> ADDIN ZOTERO_ITEM CSL_CITATION {"citationID":"5GVypmH0","properties":{"formattedCitation":"\\super 2,3\\nosupersub{}","plainCitation":"2,3","dontUpdate":true,"noteIndex":0},"citationItems":[{"id":65944,"uris":["http://zotero.org/groups/4797619/items/WBVSVVF7"],"itemData":{"id":65944,"type":"document","title":"Clinical Study Report for DS8201-A-U303. Data cut-off date: 11 Jan 2022. Data on File.","author":[{"family":"Daiichi Sankyo Inc.","given":""}],"issued":{"date-parts":[["2022"]]}}},{"id":65852,"uris":["http://zotero.org/groups/4797619/items/AT863AI3"],"itemData":{"id":65852,"type":"webpage","abstract":"Enhertu extended survival in patients with metastatic HER2-low breast cancer longer than standard chemo, a clinical trial showed.","genre":"cgvBlogPost","language":"en","note":"archive_location: nciglobal,ncienterprise","title":"Trastuzumab Deruxtecan for Metastatic HER2-Low Breast Cancer - NCI","URL":"https://www.cancer.gov/news-events/cancer-currents-blog/2022/enhertu-her2-low-breast-cancer","accessed":{"date-parts":[["2022",9,29]]},"issued":{"date-parts":[["2022",7,5]]}}}],"schema":"https://github.com/citation-style-language/schema/raw/master/csl-citation.json"} </w:instrText>
      </w:r>
      <w:r w:rsidRPr="00054570">
        <w:fldChar w:fldCharType="separate"/>
      </w:r>
      <w:r w:rsidRPr="00054570">
        <w:rPr>
          <w:rFonts w:cs="Arial"/>
          <w:szCs w:val="24"/>
          <w:vertAlign w:val="superscript"/>
        </w:rPr>
        <w:t>2</w:t>
      </w:r>
      <w:r w:rsidRPr="00054570">
        <w:fldChar w:fldCharType="end"/>
      </w:r>
    </w:p>
    <w:p w14:paraId="7075B6FD" w14:textId="094B2DFD" w:rsidR="000B148D" w:rsidRPr="00054570" w:rsidRDefault="000B148D" w:rsidP="000B148D">
      <w:pPr>
        <w:pStyle w:val="Body"/>
        <w:rPr>
          <w:strike/>
        </w:rPr>
      </w:pPr>
      <w:r>
        <w:t>D</w:t>
      </w:r>
      <w:r w:rsidRPr="00054570">
        <w:t xml:space="preserve">rug-related TEAEs of </w:t>
      </w:r>
      <w:r w:rsidRPr="00054570">
        <w:rPr>
          <w:rStyle w:val="normaltextrun"/>
          <w:rFonts w:cs="Yu Gothic Light"/>
          <w:shd w:val="clear" w:color="auto" w:fill="FFFFFF"/>
        </w:rPr>
        <w:t xml:space="preserve">Grade ≥3 that occurred in more than </w:t>
      </w:r>
      <w:r w:rsidR="00294FDC" w:rsidRPr="00294FDC">
        <w:rPr>
          <w:rStyle w:val="normaltextrun"/>
          <w:rFonts w:cs="Yu Gothic Light"/>
          <w:color w:val="000000"/>
          <w:highlight w:val="black"/>
          <w:shd w:val="clear" w:color="auto" w:fill="FFFFFF"/>
        </w:rPr>
        <w:t>xx</w:t>
      </w:r>
      <w:r w:rsidRPr="00054570">
        <w:rPr>
          <w:rStyle w:val="normaltextrun"/>
          <w:rFonts w:cs="Yu Gothic Light"/>
          <w:shd w:val="clear" w:color="auto" w:fill="FFFFFF"/>
        </w:rPr>
        <w:t xml:space="preserve"> of the patients treated with T</w:t>
      </w:r>
      <w:r w:rsidRPr="00054570">
        <w:rPr>
          <w:rStyle w:val="normaltextrun"/>
          <w:rFonts w:cs="Yu Gothic Light"/>
          <w:shd w:val="clear" w:color="auto" w:fill="FFFFFF"/>
        </w:rPr>
        <w:noBreakHyphen/>
        <w:t>DXd were neutropoenia (</w:t>
      </w:r>
      <w:r w:rsidR="00294FDC" w:rsidRPr="00294FDC">
        <w:rPr>
          <w:rStyle w:val="normaltextrun"/>
          <w:rFonts w:cs="Yu Gothic Light"/>
          <w:color w:val="000000"/>
          <w:highlight w:val="black"/>
          <w:shd w:val="clear" w:color="auto" w:fill="FFFFFF"/>
        </w:rPr>
        <w:t>xx</w:t>
      </w:r>
      <w:r w:rsidRPr="00054570">
        <w:rPr>
          <w:rStyle w:val="normaltextrun"/>
          <w:rFonts w:cs="Yu Gothic Light"/>
          <w:shd w:val="clear" w:color="auto" w:fill="FFFFFF"/>
        </w:rPr>
        <w:t xml:space="preserve"> patients; </w:t>
      </w:r>
      <w:r w:rsidR="00294FDC" w:rsidRPr="00294FDC">
        <w:rPr>
          <w:rStyle w:val="normaltextrun"/>
          <w:rFonts w:cs="Yu Gothic Light"/>
          <w:color w:val="000000"/>
          <w:highlight w:val="black"/>
          <w:shd w:val="clear" w:color="auto" w:fill="FFFFFF"/>
        </w:rPr>
        <w:t>xxxxx</w:t>
      </w:r>
      <w:r w:rsidRPr="00054570">
        <w:rPr>
          <w:rStyle w:val="normaltextrun"/>
          <w:rFonts w:cs="Yu Gothic Light"/>
          <w:shd w:val="clear" w:color="auto" w:fill="FFFFFF"/>
        </w:rPr>
        <w:t>), anaemia (</w:t>
      </w:r>
      <w:r w:rsidR="00294FDC" w:rsidRPr="00294FDC">
        <w:rPr>
          <w:rStyle w:val="normaltextrun"/>
          <w:rFonts w:cs="Yu Gothic Light"/>
          <w:color w:val="000000"/>
          <w:highlight w:val="black"/>
          <w:shd w:val="clear" w:color="auto" w:fill="FFFFFF"/>
        </w:rPr>
        <w:t>xx</w:t>
      </w:r>
      <w:r w:rsidRPr="00054570">
        <w:rPr>
          <w:rStyle w:val="normaltextrun"/>
          <w:rFonts w:cs="Yu Gothic Light"/>
          <w:shd w:val="clear" w:color="auto" w:fill="FFFFFF"/>
        </w:rPr>
        <w:t xml:space="preserve"> patients</w:t>
      </w:r>
      <w:r w:rsidRPr="00D478EF">
        <w:rPr>
          <w:rStyle w:val="normaltextrun"/>
          <w:rFonts w:cs="Yu Gothic Light"/>
          <w:shd w:val="clear" w:color="auto" w:fill="FFFFFF"/>
        </w:rPr>
        <w:t xml:space="preserve">; </w:t>
      </w:r>
      <w:r w:rsidR="00294FDC" w:rsidRPr="00294FDC">
        <w:rPr>
          <w:rStyle w:val="normaltextrun"/>
          <w:rFonts w:cs="Yu Gothic Light"/>
          <w:color w:val="000000"/>
          <w:highlight w:val="black"/>
          <w:shd w:val="clear" w:color="auto" w:fill="FFFFFF"/>
        </w:rPr>
        <w:t>xxxx</w:t>
      </w:r>
      <w:r w:rsidRPr="00054570">
        <w:rPr>
          <w:rStyle w:val="normaltextrun"/>
          <w:rFonts w:cs="Yu Gothic Light"/>
          <w:shd w:val="clear" w:color="auto" w:fill="FFFFFF"/>
        </w:rPr>
        <w:t>), fatigue (</w:t>
      </w:r>
      <w:r w:rsidR="00294FDC" w:rsidRPr="00294FDC">
        <w:rPr>
          <w:rStyle w:val="normaltextrun"/>
          <w:rFonts w:cs="Yu Gothic Light"/>
          <w:color w:val="000000"/>
          <w:highlight w:val="black"/>
          <w:shd w:val="clear" w:color="auto" w:fill="FFFFFF"/>
        </w:rPr>
        <w:t>xx</w:t>
      </w:r>
      <w:r w:rsidRPr="00054570">
        <w:rPr>
          <w:rStyle w:val="normaltextrun"/>
          <w:rFonts w:cs="Yu Gothic Light"/>
          <w:shd w:val="clear" w:color="auto" w:fill="FFFFFF"/>
        </w:rPr>
        <w:t xml:space="preserve"> patients; </w:t>
      </w:r>
      <w:r w:rsidR="00294FDC" w:rsidRPr="00294FDC">
        <w:rPr>
          <w:rStyle w:val="normaltextrun"/>
          <w:rFonts w:cs="Yu Gothic Light"/>
          <w:color w:val="000000"/>
          <w:highlight w:val="black"/>
          <w:shd w:val="clear" w:color="auto" w:fill="FFFFFF"/>
        </w:rPr>
        <w:t>xxxx</w:t>
      </w:r>
      <w:r w:rsidRPr="00054570">
        <w:rPr>
          <w:rStyle w:val="normaltextrun"/>
          <w:rFonts w:cs="Yu Gothic Light"/>
          <w:shd w:val="clear" w:color="auto" w:fill="FFFFFF"/>
        </w:rPr>
        <w:t>), leukopenia (</w:t>
      </w:r>
      <w:r w:rsidR="00294FDC" w:rsidRPr="00294FDC">
        <w:rPr>
          <w:rStyle w:val="normaltextrun"/>
          <w:rFonts w:cs="Yu Gothic Light"/>
          <w:color w:val="000000"/>
          <w:highlight w:val="black"/>
          <w:shd w:val="clear" w:color="auto" w:fill="FFFFFF"/>
        </w:rPr>
        <w:t>xx</w:t>
      </w:r>
      <w:r w:rsidRPr="00054570">
        <w:rPr>
          <w:rStyle w:val="normaltextrun"/>
          <w:rFonts w:cs="Yu Gothic Light"/>
          <w:shd w:val="clear" w:color="auto" w:fill="FFFFFF"/>
        </w:rPr>
        <w:t xml:space="preserve"> patients; </w:t>
      </w:r>
      <w:r w:rsidR="00294FDC" w:rsidRPr="00294FDC">
        <w:rPr>
          <w:rStyle w:val="normaltextrun"/>
          <w:rFonts w:cs="Yu Gothic Light"/>
          <w:color w:val="000000"/>
          <w:highlight w:val="black"/>
          <w:shd w:val="clear" w:color="auto" w:fill="FFFFFF"/>
        </w:rPr>
        <w:t>xxxx</w:t>
      </w:r>
      <w:r w:rsidRPr="00054570">
        <w:rPr>
          <w:rStyle w:val="normaltextrun"/>
          <w:rFonts w:cs="Yu Gothic Light"/>
          <w:shd w:val="clear" w:color="auto" w:fill="FFFFFF"/>
        </w:rPr>
        <w:t>) and thrombocytopaenia (</w:t>
      </w:r>
      <w:r w:rsidR="00294FDC" w:rsidRPr="00294FDC">
        <w:rPr>
          <w:rStyle w:val="normaltextrun"/>
          <w:rFonts w:cs="Yu Gothic Light"/>
          <w:color w:val="000000"/>
          <w:highlight w:val="black"/>
          <w:shd w:val="clear" w:color="auto" w:fill="FFFFFF"/>
        </w:rPr>
        <w:t>xx</w:t>
      </w:r>
      <w:r w:rsidRPr="00054570">
        <w:rPr>
          <w:rStyle w:val="normaltextrun"/>
          <w:rFonts w:cs="Yu Gothic Light"/>
          <w:shd w:val="clear" w:color="auto" w:fill="FFFFFF"/>
        </w:rPr>
        <w:t xml:space="preserve"> patients; </w:t>
      </w:r>
      <w:r w:rsidR="00294FDC" w:rsidRPr="00294FDC">
        <w:rPr>
          <w:rStyle w:val="normaltextrun"/>
          <w:rFonts w:cs="Yu Gothic Light"/>
          <w:color w:val="000000"/>
          <w:highlight w:val="black"/>
          <w:shd w:val="clear" w:color="auto" w:fill="FFFFFF"/>
        </w:rPr>
        <w:t>xxxx</w:t>
      </w:r>
      <w:r w:rsidRPr="00054570">
        <w:rPr>
          <w:rStyle w:val="normaltextrun"/>
          <w:rFonts w:cs="Yu Gothic Light"/>
          <w:shd w:val="clear" w:color="auto" w:fill="FFFFFF"/>
        </w:rPr>
        <w:t>).</w:t>
      </w:r>
      <w:r w:rsidRPr="00054570">
        <w:rPr>
          <w:rStyle w:val="normaltextrun"/>
          <w:rFonts w:cs="Yu Gothic Light"/>
          <w:shd w:val="clear" w:color="auto" w:fill="FFFFFF"/>
        </w:rPr>
        <w:fldChar w:fldCharType="begin"/>
      </w:r>
      <w:r w:rsidR="00CA6345">
        <w:rPr>
          <w:rStyle w:val="normaltextrun"/>
          <w:rFonts w:cs="Yu Gothic Light"/>
          <w:shd w:val="clear" w:color="auto" w:fill="FFFFFF"/>
        </w:rPr>
        <w:instrText xml:space="preserve"> ADDIN ZOTERO_ITEM CSL_CITATION {"citationID":"acCoJZgg","properties":{"formattedCitation":"\\super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rPr>
          <w:rStyle w:val="normaltextrun"/>
          <w:rFonts w:cs="Yu Gothic Light"/>
          <w:shd w:val="clear" w:color="auto" w:fill="FFFFFF"/>
        </w:rPr>
        <w:fldChar w:fldCharType="separate"/>
      </w:r>
      <w:r w:rsidR="00FD57F4" w:rsidRPr="00FD57F4">
        <w:rPr>
          <w:rFonts w:cs="Arial"/>
          <w:szCs w:val="24"/>
          <w:vertAlign w:val="superscript"/>
        </w:rPr>
        <w:t>7</w:t>
      </w:r>
      <w:r w:rsidRPr="00054570">
        <w:rPr>
          <w:rStyle w:val="normaltextrun"/>
          <w:rFonts w:cs="Yu Gothic Light"/>
          <w:shd w:val="clear" w:color="auto" w:fill="FFFFFF"/>
        </w:rPr>
        <w:fldChar w:fldCharType="end"/>
      </w:r>
      <w:r w:rsidRPr="00054570">
        <w:rPr>
          <w:rStyle w:val="normaltextrun"/>
          <w:rFonts w:cs="Yu Gothic Light"/>
          <w:shd w:val="clear" w:color="auto" w:fill="FFFFFF"/>
        </w:rPr>
        <w:t xml:space="preserve"> In the TPC arm, these were neutropoenia (</w:t>
      </w:r>
      <w:r w:rsidR="00294FDC" w:rsidRPr="00294FDC">
        <w:rPr>
          <w:rStyle w:val="normaltextrun"/>
          <w:rFonts w:cs="Yu Gothic Light"/>
          <w:color w:val="000000"/>
          <w:highlight w:val="black"/>
          <w:shd w:val="clear" w:color="auto" w:fill="FFFFFF"/>
        </w:rPr>
        <w:t>xx</w:t>
      </w:r>
      <w:r w:rsidRPr="00054570">
        <w:rPr>
          <w:rStyle w:val="normaltextrun"/>
          <w:rFonts w:cs="Yu Gothic Light"/>
          <w:shd w:val="clear" w:color="auto" w:fill="FFFFFF"/>
        </w:rPr>
        <w:t xml:space="preserve"> patients; </w:t>
      </w:r>
      <w:r w:rsidR="00294FDC" w:rsidRPr="00294FDC">
        <w:rPr>
          <w:rStyle w:val="normaltextrun"/>
          <w:rFonts w:cs="Yu Gothic Light"/>
          <w:color w:val="000000"/>
          <w:highlight w:val="black"/>
          <w:shd w:val="clear" w:color="auto" w:fill="FFFFFF"/>
        </w:rPr>
        <w:t>xxxxx</w:t>
      </w:r>
      <w:r w:rsidRPr="00054570">
        <w:rPr>
          <w:rStyle w:val="normaltextrun"/>
          <w:rFonts w:cs="Yu Gothic Light"/>
          <w:shd w:val="clear" w:color="auto" w:fill="FFFFFF"/>
        </w:rPr>
        <w:t>), leukopenia (</w:t>
      </w:r>
      <w:r w:rsidR="00294FDC" w:rsidRPr="00294FDC">
        <w:rPr>
          <w:rStyle w:val="normaltextrun"/>
          <w:rFonts w:cs="Yu Gothic Light"/>
          <w:color w:val="000000"/>
          <w:highlight w:val="black"/>
          <w:shd w:val="clear" w:color="auto" w:fill="FFFFFF"/>
        </w:rPr>
        <w:t>xx</w:t>
      </w:r>
      <w:r w:rsidRPr="00054570">
        <w:rPr>
          <w:rStyle w:val="normaltextrun"/>
          <w:rFonts w:cs="Yu Gothic Light"/>
          <w:shd w:val="clear" w:color="auto" w:fill="FFFFFF"/>
        </w:rPr>
        <w:t xml:space="preserve"> patients; </w:t>
      </w:r>
      <w:r w:rsidR="00294FDC" w:rsidRPr="00294FDC">
        <w:rPr>
          <w:rStyle w:val="normaltextrun"/>
          <w:rFonts w:cs="Yu Gothic Light"/>
          <w:color w:val="000000"/>
          <w:highlight w:val="black"/>
          <w:shd w:val="clear" w:color="auto" w:fill="FFFFFF"/>
        </w:rPr>
        <w:t>xxxxx</w:t>
      </w:r>
      <w:r w:rsidRPr="00054570">
        <w:rPr>
          <w:rStyle w:val="normaltextrun"/>
          <w:rFonts w:cs="Yu Gothic Light"/>
          <w:shd w:val="clear" w:color="auto" w:fill="FFFFFF"/>
        </w:rPr>
        <w:t>) and increased transaminases (</w:t>
      </w:r>
      <w:r w:rsidR="00294FDC" w:rsidRPr="00294FDC">
        <w:rPr>
          <w:rStyle w:val="normaltextrun"/>
          <w:rFonts w:cs="Yu Gothic Light"/>
          <w:color w:val="000000"/>
          <w:highlight w:val="black"/>
          <w:shd w:val="clear" w:color="auto" w:fill="FFFFFF"/>
        </w:rPr>
        <w:t>xx</w:t>
      </w:r>
      <w:r w:rsidRPr="00054570">
        <w:rPr>
          <w:rStyle w:val="normaltextrun"/>
          <w:rFonts w:cs="Yu Gothic Light"/>
          <w:shd w:val="clear" w:color="auto" w:fill="FFFFFF"/>
        </w:rPr>
        <w:t xml:space="preserve"> patients; </w:t>
      </w:r>
      <w:r w:rsidR="00294FDC" w:rsidRPr="00294FDC">
        <w:rPr>
          <w:rStyle w:val="normaltextrun"/>
          <w:rFonts w:cs="Yu Gothic Light"/>
          <w:color w:val="000000"/>
          <w:highlight w:val="black"/>
          <w:shd w:val="clear" w:color="auto" w:fill="FFFFFF"/>
        </w:rPr>
        <w:t>xxxx</w:t>
      </w:r>
      <w:r w:rsidRPr="00054570">
        <w:rPr>
          <w:rStyle w:val="normaltextrun"/>
          <w:rFonts w:cs="Yu Gothic Light"/>
          <w:shd w:val="clear" w:color="auto" w:fill="FFFFFF"/>
        </w:rPr>
        <w:t>).</w:t>
      </w:r>
      <w:r w:rsidRPr="00054570">
        <w:rPr>
          <w:rStyle w:val="normaltextrun"/>
          <w:rFonts w:cs="Yu Gothic Light"/>
          <w:shd w:val="clear" w:color="auto" w:fill="FFFFFF"/>
        </w:rPr>
        <w:fldChar w:fldCharType="begin"/>
      </w:r>
      <w:r w:rsidR="00CA6345">
        <w:rPr>
          <w:rStyle w:val="normaltextrun"/>
          <w:rFonts w:cs="Yu Gothic Light"/>
          <w:shd w:val="clear" w:color="auto" w:fill="FFFFFF"/>
        </w:rPr>
        <w:instrText xml:space="preserve"> ADDIN ZOTERO_ITEM CSL_CITATION {"citationID":"tnRdgEze","properties":{"formattedCitation":"\\super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rPr>
          <w:rStyle w:val="normaltextrun"/>
          <w:rFonts w:cs="Yu Gothic Light"/>
          <w:shd w:val="clear" w:color="auto" w:fill="FFFFFF"/>
        </w:rPr>
        <w:fldChar w:fldCharType="separate"/>
      </w:r>
      <w:r w:rsidR="00FD57F4" w:rsidRPr="00FD57F4">
        <w:rPr>
          <w:rFonts w:cs="Arial"/>
          <w:szCs w:val="24"/>
          <w:vertAlign w:val="superscript"/>
        </w:rPr>
        <w:t>7</w:t>
      </w:r>
      <w:r w:rsidRPr="00054570">
        <w:rPr>
          <w:rStyle w:val="normaltextrun"/>
          <w:rFonts w:cs="Yu Gothic Light"/>
          <w:shd w:val="clear" w:color="auto" w:fill="FFFFFF"/>
        </w:rPr>
        <w:fldChar w:fldCharType="end"/>
      </w:r>
      <w:r w:rsidRPr="00054570">
        <w:rPr>
          <w:strike/>
        </w:rPr>
        <w:t xml:space="preserve"> </w:t>
      </w:r>
    </w:p>
    <w:p w14:paraId="6EF9F6CD" w14:textId="7130BA40" w:rsidR="000B148D" w:rsidRPr="0034087F" w:rsidRDefault="000B148D" w:rsidP="000B148D">
      <w:pPr>
        <w:pStyle w:val="Body"/>
        <w:rPr>
          <w:rStyle w:val="normaltextrun"/>
        </w:rPr>
      </w:pPr>
      <w:r w:rsidRPr="00054570">
        <w:t>A summary of drug-related TEAEs (any grade) experienced by ≥10% of patients treated with T</w:t>
      </w:r>
      <w:r w:rsidRPr="00054570">
        <w:noBreakHyphen/>
        <w:t xml:space="preserve">DXd or TPC in the DESTINY-Breast04 trial in order of decreasing frequency is presented in </w:t>
      </w:r>
      <w:r w:rsidRPr="0034087F">
        <w:rPr>
          <w:b/>
          <w:bCs/>
        </w:rPr>
        <w:fldChar w:fldCharType="begin"/>
      </w:r>
      <w:r w:rsidRPr="0034087F">
        <w:rPr>
          <w:b/>
          <w:bCs/>
        </w:rPr>
        <w:instrText xml:space="preserve"> REF _Ref89417574 \h </w:instrText>
      </w:r>
      <w:r>
        <w:rPr>
          <w:b/>
          <w:bCs/>
        </w:rPr>
        <w:instrText xml:space="preserve"> \* MERGEFORMAT </w:instrText>
      </w:r>
      <w:r w:rsidRPr="0034087F">
        <w:rPr>
          <w:b/>
          <w:bCs/>
        </w:rPr>
      </w:r>
      <w:r w:rsidRPr="0034087F">
        <w:rPr>
          <w:b/>
          <w:bCs/>
        </w:rPr>
        <w:fldChar w:fldCharType="separate"/>
      </w:r>
      <w:r w:rsidR="00145F42" w:rsidRPr="00145F42">
        <w:rPr>
          <w:b/>
          <w:bCs/>
        </w:rPr>
        <w:t xml:space="preserve">Table </w:t>
      </w:r>
      <w:r w:rsidR="00145F42" w:rsidRPr="00145F42">
        <w:rPr>
          <w:b/>
          <w:bCs/>
          <w:noProof/>
        </w:rPr>
        <w:t>26</w:t>
      </w:r>
      <w:r w:rsidRPr="0034087F">
        <w:rPr>
          <w:b/>
          <w:bCs/>
        </w:rPr>
        <w:fldChar w:fldCharType="end"/>
      </w:r>
      <w:r>
        <w:t>.</w:t>
      </w:r>
    </w:p>
    <w:p w14:paraId="067E1016" w14:textId="7319AA48" w:rsidR="000B148D" w:rsidRPr="00054570" w:rsidRDefault="000B148D" w:rsidP="000B148D">
      <w:pPr>
        <w:pStyle w:val="Caption"/>
        <w:rPr>
          <w:rFonts w:cs="Arial"/>
          <w:sz w:val="20"/>
          <w:szCs w:val="20"/>
        </w:rPr>
      </w:pPr>
      <w:bookmarkStart w:id="342" w:name="_Ref89417574"/>
      <w:bookmarkStart w:id="343" w:name="_Toc95826071"/>
      <w:bookmarkStart w:id="344" w:name="_Toc124447886"/>
      <w:bookmarkStart w:id="345" w:name="_Toc129351001"/>
      <w:r w:rsidRPr="00054570">
        <w:lastRenderedPageBreak/>
        <w:t xml:space="preserve">Table </w:t>
      </w:r>
      <w:r w:rsidRPr="00054570">
        <w:fldChar w:fldCharType="begin"/>
      </w:r>
      <w:r w:rsidRPr="00054570">
        <w:instrText>SEQ Table \* ARABIC</w:instrText>
      </w:r>
      <w:r w:rsidRPr="00054570">
        <w:fldChar w:fldCharType="separate"/>
      </w:r>
      <w:r w:rsidR="00145F42">
        <w:rPr>
          <w:noProof/>
        </w:rPr>
        <w:t>26</w:t>
      </w:r>
      <w:r w:rsidRPr="00054570">
        <w:fldChar w:fldCharType="end"/>
      </w:r>
      <w:bookmarkEnd w:id="342"/>
      <w:r w:rsidRPr="00054570">
        <w:t>: DESTINY-Breast04 | Drug-related TEAEs in ≥10% of patients | SAS</w:t>
      </w:r>
      <w:bookmarkEnd w:id="343"/>
      <w:bookmarkEnd w:id="344"/>
      <w:bookmarkEnd w:id="345"/>
    </w:p>
    <w:tbl>
      <w:tblPr>
        <w:tblStyle w:val="Generaltable"/>
        <w:tblW w:w="0" w:type="auto"/>
        <w:tblLayout w:type="fixed"/>
        <w:tblCellMar>
          <w:left w:w="85" w:type="dxa"/>
          <w:right w:w="85" w:type="dxa"/>
        </w:tblCellMar>
        <w:tblLook w:val="04A0" w:firstRow="1" w:lastRow="0" w:firstColumn="1" w:lastColumn="0" w:noHBand="0" w:noVBand="1"/>
      </w:tblPr>
      <w:tblGrid>
        <w:gridCol w:w="4248"/>
        <w:gridCol w:w="1192"/>
        <w:gridCol w:w="1192"/>
        <w:gridCol w:w="1192"/>
        <w:gridCol w:w="1192"/>
      </w:tblGrid>
      <w:tr w:rsidR="000B148D" w:rsidRPr="00054570" w14:paraId="4886B4AB" w14:textId="77777777">
        <w:trPr>
          <w:cnfStyle w:val="100000000000" w:firstRow="1" w:lastRow="0" w:firstColumn="0" w:lastColumn="0" w:oddVBand="0" w:evenVBand="0" w:oddHBand="0" w:evenHBand="0" w:firstRowFirstColumn="0" w:firstRowLastColumn="0" w:lastRowFirstColumn="0" w:lastRowLastColumn="0"/>
          <w:trHeight w:val="53"/>
          <w:tblHeader/>
        </w:trPr>
        <w:tc>
          <w:tcPr>
            <w:tcW w:w="4248" w:type="dxa"/>
            <w:shd w:val="clear" w:color="auto" w:fill="F2F2F2" w:themeFill="background1" w:themeFillShade="F2"/>
            <w:vAlign w:val="bottom"/>
          </w:tcPr>
          <w:p w14:paraId="2D3BC7FA" w14:textId="77777777" w:rsidR="000B148D" w:rsidRPr="00054570" w:rsidRDefault="000B148D" w:rsidP="00514744">
            <w:pPr>
              <w:pStyle w:val="Tableheading"/>
              <w:spacing w:before="0" w:after="0"/>
              <w:ind w:left="171"/>
              <w:contextualSpacing/>
            </w:pPr>
          </w:p>
        </w:tc>
        <w:tc>
          <w:tcPr>
            <w:tcW w:w="2384" w:type="dxa"/>
            <w:gridSpan w:val="2"/>
            <w:shd w:val="clear" w:color="auto" w:fill="F2F2F2" w:themeFill="background1" w:themeFillShade="F2"/>
          </w:tcPr>
          <w:p w14:paraId="69738D32" w14:textId="77777777" w:rsidR="000B148D" w:rsidRPr="00054570" w:rsidRDefault="000B148D" w:rsidP="00514744">
            <w:pPr>
              <w:pStyle w:val="Tableheading"/>
              <w:spacing w:before="0" w:after="0"/>
              <w:contextualSpacing/>
              <w:jc w:val="center"/>
              <w:rPr>
                <w:rFonts w:cs="Arial"/>
              </w:rPr>
            </w:pPr>
            <w:r w:rsidRPr="00054570">
              <w:rPr>
                <w:rFonts w:cs="Arial"/>
              </w:rPr>
              <w:t>T-DXd (</w:t>
            </w:r>
            <w:r>
              <w:rPr>
                <w:rFonts w:cs="Arial"/>
              </w:rPr>
              <w:t>N=</w:t>
            </w:r>
            <w:r w:rsidRPr="00054570">
              <w:rPr>
                <w:rFonts w:cs="Arial"/>
              </w:rPr>
              <w:t>371)</w:t>
            </w:r>
          </w:p>
        </w:tc>
        <w:tc>
          <w:tcPr>
            <w:tcW w:w="2384" w:type="dxa"/>
            <w:gridSpan w:val="2"/>
            <w:shd w:val="clear" w:color="auto" w:fill="F2F2F2" w:themeFill="background1" w:themeFillShade="F2"/>
          </w:tcPr>
          <w:p w14:paraId="10FCAD08" w14:textId="77777777" w:rsidR="000B148D" w:rsidRPr="00054570" w:rsidRDefault="000B148D" w:rsidP="00514744">
            <w:pPr>
              <w:pStyle w:val="Tableheading"/>
              <w:spacing w:before="0" w:after="0"/>
              <w:contextualSpacing/>
              <w:jc w:val="center"/>
              <w:rPr>
                <w:rFonts w:cs="Arial"/>
              </w:rPr>
            </w:pPr>
            <w:r w:rsidRPr="00054570">
              <w:rPr>
                <w:rFonts w:cs="Arial"/>
              </w:rPr>
              <w:t>TPC (</w:t>
            </w:r>
            <w:r>
              <w:rPr>
                <w:rFonts w:cs="Arial"/>
              </w:rPr>
              <w:t>N=</w:t>
            </w:r>
            <w:r w:rsidRPr="00054570">
              <w:rPr>
                <w:rFonts w:cs="Arial"/>
              </w:rPr>
              <w:t>172)</w:t>
            </w:r>
          </w:p>
        </w:tc>
      </w:tr>
      <w:tr w:rsidR="000B148D" w:rsidRPr="00054570" w14:paraId="26C46DAF" w14:textId="77777777">
        <w:tc>
          <w:tcPr>
            <w:tcW w:w="4248" w:type="dxa"/>
            <w:shd w:val="clear" w:color="auto" w:fill="F2F2F2" w:themeFill="background1" w:themeFillShade="F2"/>
          </w:tcPr>
          <w:p w14:paraId="72CDD6C4" w14:textId="77777777" w:rsidR="000B148D" w:rsidRPr="00054570" w:rsidRDefault="000B148D" w:rsidP="00514744">
            <w:pPr>
              <w:pStyle w:val="Tablebody"/>
              <w:keepNext/>
              <w:spacing w:before="0" w:after="0"/>
              <w:contextualSpacing/>
              <w:rPr>
                <w:b/>
                <w:bCs/>
              </w:rPr>
            </w:pPr>
            <w:r w:rsidRPr="00054570">
              <w:rPr>
                <w:b/>
                <w:bCs/>
              </w:rPr>
              <w:t>Patient-years of exposure</w:t>
            </w:r>
          </w:p>
        </w:tc>
        <w:tc>
          <w:tcPr>
            <w:tcW w:w="2384" w:type="dxa"/>
            <w:gridSpan w:val="2"/>
          </w:tcPr>
          <w:p w14:paraId="5DB50474" w14:textId="77777777" w:rsidR="000B148D" w:rsidRPr="00054570" w:rsidRDefault="000B148D" w:rsidP="00514744">
            <w:pPr>
              <w:pStyle w:val="Tablebody"/>
              <w:spacing w:before="0" w:after="0"/>
              <w:contextualSpacing/>
              <w:jc w:val="center"/>
              <w:rPr>
                <w:rFonts w:cs="Arial"/>
              </w:rPr>
            </w:pPr>
            <w:r w:rsidRPr="00054570">
              <w:rPr>
                <w:rFonts w:cs="Arial"/>
              </w:rPr>
              <w:t>283.55</w:t>
            </w:r>
          </w:p>
        </w:tc>
        <w:tc>
          <w:tcPr>
            <w:tcW w:w="2384" w:type="dxa"/>
            <w:gridSpan w:val="2"/>
          </w:tcPr>
          <w:p w14:paraId="0478BBAC" w14:textId="77777777" w:rsidR="000B148D" w:rsidRPr="00054570" w:rsidRDefault="000B148D" w:rsidP="00514744">
            <w:pPr>
              <w:pStyle w:val="Tablebody"/>
              <w:spacing w:before="0" w:after="0"/>
              <w:contextualSpacing/>
              <w:jc w:val="center"/>
              <w:rPr>
                <w:rFonts w:cs="Arial"/>
              </w:rPr>
            </w:pPr>
            <w:r w:rsidRPr="00054570">
              <w:rPr>
                <w:rFonts w:cs="Arial"/>
              </w:rPr>
              <w:t>63.59</w:t>
            </w:r>
          </w:p>
        </w:tc>
      </w:tr>
      <w:tr w:rsidR="000B148D" w:rsidRPr="00054570" w14:paraId="643271FF" w14:textId="77777777">
        <w:tc>
          <w:tcPr>
            <w:tcW w:w="4248" w:type="dxa"/>
            <w:shd w:val="clear" w:color="auto" w:fill="F2F2F2" w:themeFill="background1" w:themeFillShade="F2"/>
          </w:tcPr>
          <w:p w14:paraId="58B08EE4" w14:textId="77777777" w:rsidR="000B148D" w:rsidRPr="00054570" w:rsidRDefault="000B148D" w:rsidP="00514744">
            <w:pPr>
              <w:pStyle w:val="Tableheading"/>
              <w:spacing w:before="0" w:after="0"/>
              <w:contextualSpacing/>
            </w:pPr>
            <w:r w:rsidRPr="00054570">
              <w:t>System organ class, Preferred term, n (%)</w:t>
            </w:r>
          </w:p>
        </w:tc>
        <w:tc>
          <w:tcPr>
            <w:tcW w:w="1192" w:type="dxa"/>
            <w:shd w:val="clear" w:color="auto" w:fill="F2F2F2" w:themeFill="background1" w:themeFillShade="F2"/>
            <w:vAlign w:val="center"/>
          </w:tcPr>
          <w:p w14:paraId="0866A323" w14:textId="77777777" w:rsidR="000B148D" w:rsidRPr="00054570" w:rsidRDefault="000B148D" w:rsidP="00514744">
            <w:pPr>
              <w:pStyle w:val="Tableheading"/>
              <w:spacing w:before="0" w:after="0"/>
              <w:contextualSpacing/>
              <w:jc w:val="center"/>
              <w:rPr>
                <w:rFonts w:cs="Arial"/>
              </w:rPr>
            </w:pPr>
            <w:r w:rsidRPr="00054570">
              <w:rPr>
                <w:rFonts w:cs="Arial"/>
              </w:rPr>
              <w:t>Any grade</w:t>
            </w:r>
          </w:p>
        </w:tc>
        <w:tc>
          <w:tcPr>
            <w:tcW w:w="1192" w:type="dxa"/>
            <w:shd w:val="clear" w:color="auto" w:fill="F2F2F2" w:themeFill="background1" w:themeFillShade="F2"/>
            <w:vAlign w:val="center"/>
          </w:tcPr>
          <w:p w14:paraId="648D352D" w14:textId="77777777" w:rsidR="000B148D" w:rsidRPr="00054570" w:rsidRDefault="000B148D" w:rsidP="00514744">
            <w:pPr>
              <w:pStyle w:val="Tableheading"/>
              <w:spacing w:before="0" w:after="0"/>
              <w:contextualSpacing/>
              <w:jc w:val="center"/>
              <w:rPr>
                <w:rFonts w:cs="Arial"/>
              </w:rPr>
            </w:pPr>
            <w:r w:rsidRPr="00054570">
              <w:rPr>
                <w:rFonts w:cs="Arial"/>
              </w:rPr>
              <w:t>Grade ≥3</w:t>
            </w:r>
          </w:p>
        </w:tc>
        <w:tc>
          <w:tcPr>
            <w:tcW w:w="1192" w:type="dxa"/>
            <w:shd w:val="clear" w:color="auto" w:fill="F2F2F2" w:themeFill="background1" w:themeFillShade="F2"/>
            <w:vAlign w:val="center"/>
          </w:tcPr>
          <w:p w14:paraId="183DF9C9" w14:textId="77777777" w:rsidR="000B148D" w:rsidRPr="00054570" w:rsidRDefault="000B148D" w:rsidP="00514744">
            <w:pPr>
              <w:pStyle w:val="Tableheading"/>
              <w:spacing w:before="0" w:after="0"/>
              <w:contextualSpacing/>
              <w:jc w:val="center"/>
              <w:rPr>
                <w:rFonts w:cs="Arial"/>
              </w:rPr>
            </w:pPr>
            <w:r w:rsidRPr="00054570">
              <w:rPr>
                <w:rFonts w:cs="Arial"/>
              </w:rPr>
              <w:t>Any grade</w:t>
            </w:r>
          </w:p>
        </w:tc>
        <w:tc>
          <w:tcPr>
            <w:tcW w:w="1192" w:type="dxa"/>
            <w:shd w:val="clear" w:color="auto" w:fill="F2F2F2" w:themeFill="background1" w:themeFillShade="F2"/>
            <w:vAlign w:val="center"/>
          </w:tcPr>
          <w:p w14:paraId="1CA43FDB" w14:textId="77777777" w:rsidR="000B148D" w:rsidRPr="00054570" w:rsidRDefault="000B148D" w:rsidP="00514744">
            <w:pPr>
              <w:pStyle w:val="Tableheading"/>
              <w:spacing w:before="0" w:after="0"/>
              <w:contextualSpacing/>
              <w:jc w:val="center"/>
              <w:rPr>
                <w:rFonts w:cs="Arial"/>
              </w:rPr>
            </w:pPr>
            <w:r w:rsidRPr="00054570">
              <w:rPr>
                <w:rFonts w:cs="Arial"/>
              </w:rPr>
              <w:t>Grade ≥3</w:t>
            </w:r>
          </w:p>
        </w:tc>
      </w:tr>
      <w:tr w:rsidR="000B148D" w:rsidRPr="00054570" w14:paraId="4E82E466" w14:textId="77777777">
        <w:tc>
          <w:tcPr>
            <w:tcW w:w="9016" w:type="dxa"/>
            <w:gridSpan w:val="5"/>
            <w:shd w:val="clear" w:color="auto" w:fill="F2F2F2" w:themeFill="background1" w:themeFillShade="F2"/>
          </w:tcPr>
          <w:p w14:paraId="7E4C41BD" w14:textId="77777777" w:rsidR="000B148D" w:rsidRPr="00054570" w:rsidRDefault="000B148D" w:rsidP="00514744">
            <w:pPr>
              <w:pStyle w:val="Tablebody"/>
              <w:spacing w:before="0" w:after="0"/>
              <w:contextualSpacing/>
              <w:rPr>
                <w:rFonts w:cs="Arial"/>
                <w:b/>
                <w:bCs/>
              </w:rPr>
            </w:pPr>
            <w:r w:rsidRPr="00054570">
              <w:rPr>
                <w:rFonts w:cs="Arial"/>
                <w:b/>
                <w:bCs/>
              </w:rPr>
              <w:t>Blood and lymphatic system disorders</w:t>
            </w:r>
          </w:p>
        </w:tc>
      </w:tr>
      <w:tr w:rsidR="000B148D" w:rsidRPr="00054570" w14:paraId="74B6B301" w14:textId="77777777">
        <w:tc>
          <w:tcPr>
            <w:tcW w:w="4248" w:type="dxa"/>
            <w:shd w:val="clear" w:color="auto" w:fill="F2F2F2" w:themeFill="background1" w:themeFillShade="F2"/>
          </w:tcPr>
          <w:p w14:paraId="0E80F6E6" w14:textId="77777777" w:rsidR="000B148D" w:rsidRPr="00054570" w:rsidRDefault="000B148D" w:rsidP="00514744">
            <w:pPr>
              <w:pStyle w:val="Tablebody"/>
              <w:spacing w:before="0" w:after="0"/>
              <w:ind w:left="171"/>
              <w:contextualSpacing/>
            </w:pPr>
            <w:r w:rsidRPr="00054570">
              <w:t>Neutropoenia*</w:t>
            </w:r>
          </w:p>
        </w:tc>
        <w:tc>
          <w:tcPr>
            <w:tcW w:w="1192" w:type="dxa"/>
          </w:tcPr>
          <w:p w14:paraId="048C80DE" w14:textId="77777777" w:rsidR="000B148D" w:rsidRPr="00054570" w:rsidRDefault="000B148D" w:rsidP="00514744">
            <w:pPr>
              <w:pStyle w:val="Tablebody"/>
              <w:spacing w:before="0" w:after="0"/>
              <w:contextualSpacing/>
              <w:jc w:val="center"/>
              <w:rPr>
                <w:rFonts w:cs="Arial"/>
              </w:rPr>
            </w:pPr>
            <w:r w:rsidRPr="00054570">
              <w:rPr>
                <w:rFonts w:eastAsia="Times New Roman" w:cs="Arial"/>
              </w:rPr>
              <w:t>123 (33.2)</w:t>
            </w:r>
          </w:p>
        </w:tc>
        <w:tc>
          <w:tcPr>
            <w:tcW w:w="1192" w:type="dxa"/>
          </w:tcPr>
          <w:p w14:paraId="1D3877AD" w14:textId="77777777" w:rsidR="000B148D" w:rsidRPr="00054570" w:rsidRDefault="000B148D" w:rsidP="00514744">
            <w:pPr>
              <w:pStyle w:val="Tablebody"/>
              <w:spacing w:before="0" w:after="0"/>
              <w:contextualSpacing/>
              <w:jc w:val="center"/>
              <w:rPr>
                <w:rFonts w:cs="Arial"/>
              </w:rPr>
            </w:pPr>
            <w:r w:rsidRPr="00054570">
              <w:rPr>
                <w:rFonts w:eastAsia="Times New Roman" w:cs="Arial"/>
              </w:rPr>
              <w:t>51 (13.7)</w:t>
            </w:r>
          </w:p>
        </w:tc>
        <w:tc>
          <w:tcPr>
            <w:tcW w:w="1192" w:type="dxa"/>
          </w:tcPr>
          <w:p w14:paraId="1A53F613" w14:textId="77777777" w:rsidR="000B148D" w:rsidRPr="00054570" w:rsidRDefault="000B148D" w:rsidP="00514744">
            <w:pPr>
              <w:pStyle w:val="Tablebody"/>
              <w:spacing w:before="0" w:after="0"/>
              <w:contextualSpacing/>
              <w:jc w:val="center"/>
              <w:rPr>
                <w:rFonts w:cs="Arial"/>
              </w:rPr>
            </w:pPr>
            <w:r w:rsidRPr="00054570">
              <w:rPr>
                <w:rFonts w:eastAsia="Times New Roman" w:cs="Arial"/>
              </w:rPr>
              <w:t>88 (51.2)</w:t>
            </w:r>
          </w:p>
        </w:tc>
        <w:tc>
          <w:tcPr>
            <w:tcW w:w="1192" w:type="dxa"/>
          </w:tcPr>
          <w:p w14:paraId="221402A8" w14:textId="77777777" w:rsidR="000B148D" w:rsidRPr="00054570" w:rsidRDefault="000B148D" w:rsidP="00514744">
            <w:pPr>
              <w:pStyle w:val="Tablebody"/>
              <w:spacing w:before="0" w:after="0"/>
              <w:contextualSpacing/>
              <w:jc w:val="center"/>
              <w:rPr>
                <w:rFonts w:cs="Arial"/>
              </w:rPr>
            </w:pPr>
            <w:r w:rsidRPr="00054570">
              <w:rPr>
                <w:rFonts w:eastAsia="Times New Roman" w:cs="Arial"/>
              </w:rPr>
              <w:t>70 (40.7)</w:t>
            </w:r>
          </w:p>
        </w:tc>
      </w:tr>
      <w:tr w:rsidR="000B148D" w:rsidRPr="00054570" w14:paraId="0AE0E8B1" w14:textId="77777777">
        <w:tc>
          <w:tcPr>
            <w:tcW w:w="4248" w:type="dxa"/>
            <w:shd w:val="clear" w:color="auto" w:fill="F2F2F2" w:themeFill="background1" w:themeFillShade="F2"/>
          </w:tcPr>
          <w:p w14:paraId="1FFE349C" w14:textId="77777777" w:rsidR="000B148D" w:rsidRPr="00054570" w:rsidRDefault="000B148D" w:rsidP="00514744">
            <w:pPr>
              <w:pStyle w:val="Tablebody"/>
              <w:spacing w:before="0" w:after="0"/>
              <w:ind w:left="171"/>
              <w:contextualSpacing/>
            </w:pPr>
            <w:r w:rsidRPr="00054570">
              <w:t>Anaemia</w:t>
            </w:r>
            <w:r w:rsidRPr="00054570">
              <w:rPr>
                <w:rFonts w:cs="Yu Gothic Light"/>
                <w:vertAlign w:val="superscript"/>
              </w:rPr>
              <w:t>†</w:t>
            </w:r>
          </w:p>
        </w:tc>
        <w:tc>
          <w:tcPr>
            <w:tcW w:w="1192" w:type="dxa"/>
          </w:tcPr>
          <w:p w14:paraId="76351943" w14:textId="77777777" w:rsidR="000B148D" w:rsidRPr="00054570" w:rsidRDefault="000B148D" w:rsidP="00514744">
            <w:pPr>
              <w:pStyle w:val="Tablebody"/>
              <w:spacing w:before="0" w:after="0"/>
              <w:contextualSpacing/>
              <w:jc w:val="center"/>
              <w:rPr>
                <w:rFonts w:cs="Arial"/>
              </w:rPr>
            </w:pPr>
            <w:r w:rsidRPr="00054570">
              <w:rPr>
                <w:rFonts w:eastAsia="Times New Roman" w:cs="Arial"/>
              </w:rPr>
              <w:t>123 (33.2)</w:t>
            </w:r>
          </w:p>
        </w:tc>
        <w:tc>
          <w:tcPr>
            <w:tcW w:w="1192" w:type="dxa"/>
          </w:tcPr>
          <w:p w14:paraId="6E172250" w14:textId="77777777" w:rsidR="000B148D" w:rsidRPr="00054570" w:rsidRDefault="000B148D" w:rsidP="00514744">
            <w:pPr>
              <w:pStyle w:val="Tablebody"/>
              <w:spacing w:before="0" w:after="0"/>
              <w:contextualSpacing/>
              <w:jc w:val="center"/>
              <w:rPr>
                <w:rFonts w:cs="Arial"/>
              </w:rPr>
            </w:pPr>
            <w:r w:rsidRPr="00054570">
              <w:rPr>
                <w:rFonts w:eastAsia="Times New Roman" w:cs="Arial"/>
              </w:rPr>
              <w:t>30 (8.1)</w:t>
            </w:r>
          </w:p>
        </w:tc>
        <w:tc>
          <w:tcPr>
            <w:tcW w:w="1192" w:type="dxa"/>
          </w:tcPr>
          <w:p w14:paraId="088C4463" w14:textId="77777777" w:rsidR="000B148D" w:rsidRPr="00054570" w:rsidRDefault="000B148D" w:rsidP="00514744">
            <w:pPr>
              <w:pStyle w:val="Tablebody"/>
              <w:spacing w:before="0" w:after="0"/>
              <w:contextualSpacing/>
              <w:jc w:val="center"/>
              <w:rPr>
                <w:rFonts w:cs="Arial"/>
              </w:rPr>
            </w:pPr>
            <w:r w:rsidRPr="00054570">
              <w:rPr>
                <w:rFonts w:eastAsia="Times New Roman" w:cs="Arial"/>
              </w:rPr>
              <w:t>39 (22.7)</w:t>
            </w:r>
          </w:p>
        </w:tc>
        <w:tc>
          <w:tcPr>
            <w:tcW w:w="1192" w:type="dxa"/>
          </w:tcPr>
          <w:p w14:paraId="08283E0B" w14:textId="77777777" w:rsidR="000B148D" w:rsidRPr="00054570" w:rsidRDefault="000B148D" w:rsidP="00514744">
            <w:pPr>
              <w:pStyle w:val="Tablebody"/>
              <w:spacing w:before="0" w:after="0"/>
              <w:contextualSpacing/>
              <w:jc w:val="center"/>
              <w:rPr>
                <w:rFonts w:cs="Arial"/>
              </w:rPr>
            </w:pPr>
            <w:r w:rsidRPr="00054570">
              <w:rPr>
                <w:rFonts w:eastAsia="Times New Roman" w:cs="Arial"/>
              </w:rPr>
              <w:t>8 (4.7)</w:t>
            </w:r>
          </w:p>
        </w:tc>
      </w:tr>
      <w:tr w:rsidR="000B148D" w:rsidRPr="00054570" w14:paraId="0876E7F4" w14:textId="77777777">
        <w:tc>
          <w:tcPr>
            <w:tcW w:w="4248" w:type="dxa"/>
            <w:shd w:val="clear" w:color="auto" w:fill="F2F2F2" w:themeFill="background1" w:themeFillShade="F2"/>
          </w:tcPr>
          <w:p w14:paraId="714B86B8" w14:textId="77777777" w:rsidR="000B148D" w:rsidRPr="00054570" w:rsidRDefault="000B148D" w:rsidP="00514744">
            <w:pPr>
              <w:pStyle w:val="Tablebody"/>
              <w:spacing w:before="0" w:after="0"/>
              <w:ind w:left="171"/>
              <w:contextualSpacing/>
            </w:pPr>
            <w:r w:rsidRPr="00054570">
              <w:t>Leucopoenia</w:t>
            </w:r>
            <w:r w:rsidRPr="00054570">
              <w:rPr>
                <w:rFonts w:cs="Yu Gothic Light"/>
                <w:vertAlign w:val="superscript"/>
              </w:rPr>
              <w:t>‡</w:t>
            </w:r>
          </w:p>
        </w:tc>
        <w:tc>
          <w:tcPr>
            <w:tcW w:w="1192" w:type="dxa"/>
          </w:tcPr>
          <w:p w14:paraId="797C386D" w14:textId="77777777" w:rsidR="000B148D" w:rsidRPr="00054570" w:rsidRDefault="000B148D" w:rsidP="00514744">
            <w:pPr>
              <w:pStyle w:val="Tablebody"/>
              <w:spacing w:before="0" w:after="0"/>
              <w:contextualSpacing/>
              <w:jc w:val="center"/>
              <w:rPr>
                <w:rFonts w:cs="Arial"/>
              </w:rPr>
            </w:pPr>
            <w:r w:rsidRPr="00054570">
              <w:rPr>
                <w:rFonts w:eastAsia="Times New Roman" w:cs="Arial"/>
              </w:rPr>
              <w:t>86 (23.2)</w:t>
            </w:r>
          </w:p>
        </w:tc>
        <w:tc>
          <w:tcPr>
            <w:tcW w:w="1192" w:type="dxa"/>
          </w:tcPr>
          <w:p w14:paraId="2D8DA9E8" w14:textId="77777777" w:rsidR="000B148D" w:rsidRPr="00054570" w:rsidRDefault="000B148D" w:rsidP="00514744">
            <w:pPr>
              <w:pStyle w:val="Tablebody"/>
              <w:spacing w:before="0" w:after="0"/>
              <w:contextualSpacing/>
              <w:jc w:val="center"/>
              <w:rPr>
                <w:rFonts w:cs="Arial"/>
              </w:rPr>
            </w:pPr>
            <w:r w:rsidRPr="00054570">
              <w:rPr>
                <w:rFonts w:eastAsia="Times New Roman" w:cs="Arial"/>
              </w:rPr>
              <w:t>24 (6.5)</w:t>
            </w:r>
          </w:p>
        </w:tc>
        <w:tc>
          <w:tcPr>
            <w:tcW w:w="1192" w:type="dxa"/>
          </w:tcPr>
          <w:p w14:paraId="2EBBE9F2" w14:textId="77777777" w:rsidR="000B148D" w:rsidRPr="00054570" w:rsidRDefault="000B148D" w:rsidP="00514744">
            <w:pPr>
              <w:pStyle w:val="Tablebody"/>
              <w:spacing w:before="0" w:after="0"/>
              <w:contextualSpacing/>
              <w:jc w:val="center"/>
              <w:rPr>
                <w:rFonts w:cs="Arial"/>
              </w:rPr>
            </w:pPr>
            <w:r w:rsidRPr="00054570">
              <w:rPr>
                <w:rFonts w:eastAsia="Times New Roman" w:cs="Arial"/>
              </w:rPr>
              <w:t>54 (31.4)</w:t>
            </w:r>
          </w:p>
        </w:tc>
        <w:tc>
          <w:tcPr>
            <w:tcW w:w="1192" w:type="dxa"/>
          </w:tcPr>
          <w:p w14:paraId="7A0AB962" w14:textId="77777777" w:rsidR="000B148D" w:rsidRPr="00054570" w:rsidRDefault="000B148D" w:rsidP="00514744">
            <w:pPr>
              <w:pStyle w:val="Tablebody"/>
              <w:spacing w:before="0" w:after="0"/>
              <w:contextualSpacing/>
              <w:jc w:val="center"/>
              <w:rPr>
                <w:rFonts w:cs="Arial"/>
              </w:rPr>
            </w:pPr>
            <w:r w:rsidRPr="00054570">
              <w:rPr>
                <w:rFonts w:eastAsia="Times New Roman" w:cs="Arial"/>
              </w:rPr>
              <w:t>33 (19.2)</w:t>
            </w:r>
          </w:p>
        </w:tc>
      </w:tr>
      <w:tr w:rsidR="000B148D" w:rsidRPr="00054570" w14:paraId="1A2A89C2" w14:textId="77777777">
        <w:tc>
          <w:tcPr>
            <w:tcW w:w="4248" w:type="dxa"/>
            <w:shd w:val="clear" w:color="auto" w:fill="F2F2F2" w:themeFill="background1" w:themeFillShade="F2"/>
          </w:tcPr>
          <w:p w14:paraId="54AD3F26" w14:textId="77777777" w:rsidR="000B148D" w:rsidRPr="00054570" w:rsidRDefault="000B148D" w:rsidP="00514744">
            <w:pPr>
              <w:pStyle w:val="Tablebody"/>
              <w:spacing w:before="0" w:after="0"/>
              <w:ind w:left="171"/>
              <w:contextualSpacing/>
              <w:rPr>
                <w:rFonts w:cs="Arial"/>
              </w:rPr>
            </w:pPr>
            <w:r w:rsidRPr="00054570">
              <w:rPr>
                <w:rFonts w:cs="Arial"/>
              </w:rPr>
              <w:t>Thrombocytopaenia</w:t>
            </w:r>
            <w:r w:rsidRPr="00054570">
              <w:rPr>
                <w:rFonts w:cs="Arial"/>
                <w:vertAlign w:val="superscript"/>
              </w:rPr>
              <w:t>§</w:t>
            </w:r>
          </w:p>
        </w:tc>
        <w:tc>
          <w:tcPr>
            <w:tcW w:w="1192" w:type="dxa"/>
          </w:tcPr>
          <w:p w14:paraId="155C87E6" w14:textId="77777777" w:rsidR="000B148D" w:rsidRPr="00054570" w:rsidRDefault="000B148D" w:rsidP="00514744">
            <w:pPr>
              <w:pStyle w:val="Tablebody"/>
              <w:spacing w:before="0" w:after="0"/>
              <w:contextualSpacing/>
              <w:jc w:val="center"/>
              <w:rPr>
                <w:rFonts w:cs="Arial"/>
              </w:rPr>
            </w:pPr>
            <w:r w:rsidRPr="00054570">
              <w:rPr>
                <w:rFonts w:eastAsia="Times New Roman" w:cs="Arial"/>
              </w:rPr>
              <w:t>88 (23.7)</w:t>
            </w:r>
          </w:p>
        </w:tc>
        <w:tc>
          <w:tcPr>
            <w:tcW w:w="1192" w:type="dxa"/>
          </w:tcPr>
          <w:p w14:paraId="19D63608" w14:textId="77777777" w:rsidR="000B148D" w:rsidRPr="00054570" w:rsidRDefault="000B148D" w:rsidP="00514744">
            <w:pPr>
              <w:pStyle w:val="Tablebody"/>
              <w:spacing w:before="0" w:after="0"/>
              <w:contextualSpacing/>
              <w:jc w:val="center"/>
              <w:rPr>
                <w:rFonts w:cs="Arial"/>
              </w:rPr>
            </w:pPr>
            <w:r w:rsidRPr="00054570">
              <w:rPr>
                <w:rFonts w:eastAsia="Times New Roman" w:cs="Arial"/>
              </w:rPr>
              <w:t>19 (5.1)</w:t>
            </w:r>
          </w:p>
        </w:tc>
        <w:tc>
          <w:tcPr>
            <w:tcW w:w="1192" w:type="dxa"/>
          </w:tcPr>
          <w:p w14:paraId="49E3A294" w14:textId="77777777" w:rsidR="000B148D" w:rsidRPr="00054570" w:rsidRDefault="000B148D" w:rsidP="00514744">
            <w:pPr>
              <w:pStyle w:val="Tablebody"/>
              <w:spacing w:before="0" w:after="0"/>
              <w:contextualSpacing/>
              <w:jc w:val="center"/>
              <w:rPr>
                <w:rFonts w:cs="Arial"/>
              </w:rPr>
            </w:pPr>
            <w:r w:rsidRPr="00054570">
              <w:rPr>
                <w:rFonts w:eastAsia="Times New Roman" w:cs="Arial"/>
              </w:rPr>
              <w:t>16 (9.3)</w:t>
            </w:r>
          </w:p>
        </w:tc>
        <w:tc>
          <w:tcPr>
            <w:tcW w:w="1192" w:type="dxa"/>
          </w:tcPr>
          <w:p w14:paraId="3CE0E128" w14:textId="77777777" w:rsidR="000B148D" w:rsidRPr="00054570" w:rsidRDefault="000B148D" w:rsidP="00514744">
            <w:pPr>
              <w:pStyle w:val="Tablebody"/>
              <w:spacing w:before="0" w:after="0"/>
              <w:contextualSpacing/>
              <w:jc w:val="center"/>
              <w:rPr>
                <w:rFonts w:cs="Arial"/>
              </w:rPr>
            </w:pPr>
            <w:r w:rsidRPr="00054570">
              <w:rPr>
                <w:rFonts w:eastAsia="Times New Roman" w:cs="Arial"/>
              </w:rPr>
              <w:t>1 (0.6)</w:t>
            </w:r>
          </w:p>
        </w:tc>
      </w:tr>
      <w:tr w:rsidR="000B148D" w:rsidRPr="00054570" w14:paraId="59C9DA69" w14:textId="77777777">
        <w:tc>
          <w:tcPr>
            <w:tcW w:w="9016" w:type="dxa"/>
            <w:gridSpan w:val="5"/>
            <w:shd w:val="clear" w:color="auto" w:fill="F2F2F2" w:themeFill="background1" w:themeFillShade="F2"/>
            <w:vAlign w:val="center"/>
          </w:tcPr>
          <w:p w14:paraId="6CF3A33A" w14:textId="77777777" w:rsidR="000B148D" w:rsidRPr="00054570" w:rsidRDefault="000B148D" w:rsidP="00514744">
            <w:pPr>
              <w:pStyle w:val="Tablebody"/>
              <w:spacing w:before="0" w:after="0"/>
              <w:contextualSpacing/>
              <w:rPr>
                <w:rFonts w:cs="Arial"/>
                <w:b/>
                <w:bCs/>
              </w:rPr>
            </w:pPr>
            <w:r w:rsidRPr="00054570">
              <w:rPr>
                <w:rFonts w:cs="Arial"/>
                <w:b/>
                <w:bCs/>
              </w:rPr>
              <w:t>Gastrointestinal disorders</w:t>
            </w:r>
          </w:p>
        </w:tc>
      </w:tr>
      <w:tr w:rsidR="000B148D" w:rsidRPr="00054570" w14:paraId="106F4053" w14:textId="77777777">
        <w:tc>
          <w:tcPr>
            <w:tcW w:w="4248" w:type="dxa"/>
            <w:shd w:val="clear" w:color="auto" w:fill="F2F2F2" w:themeFill="background1" w:themeFillShade="F2"/>
          </w:tcPr>
          <w:p w14:paraId="2FCCCF2E" w14:textId="77777777" w:rsidR="000B148D" w:rsidRPr="00054570" w:rsidRDefault="000B148D" w:rsidP="00514744">
            <w:pPr>
              <w:pStyle w:val="Tablebody"/>
              <w:spacing w:before="0" w:after="0"/>
              <w:ind w:left="171"/>
              <w:contextualSpacing/>
              <w:rPr>
                <w:rFonts w:cs="Arial"/>
              </w:rPr>
            </w:pPr>
            <w:r w:rsidRPr="00054570">
              <w:rPr>
                <w:rFonts w:cs="Arial"/>
              </w:rPr>
              <w:t>Nausea</w:t>
            </w:r>
          </w:p>
        </w:tc>
        <w:tc>
          <w:tcPr>
            <w:tcW w:w="1192" w:type="dxa"/>
          </w:tcPr>
          <w:p w14:paraId="5F34D3CD" w14:textId="77777777" w:rsidR="000B148D" w:rsidRPr="00054570" w:rsidRDefault="000B148D" w:rsidP="00514744">
            <w:pPr>
              <w:pStyle w:val="Tablebody"/>
              <w:spacing w:before="0" w:after="0"/>
              <w:contextualSpacing/>
              <w:jc w:val="center"/>
              <w:rPr>
                <w:rFonts w:cs="Arial"/>
              </w:rPr>
            </w:pPr>
            <w:r w:rsidRPr="00054570">
              <w:rPr>
                <w:rFonts w:eastAsia="Times New Roman" w:cs="Arial"/>
              </w:rPr>
              <w:t>271 (73.0)</w:t>
            </w:r>
          </w:p>
        </w:tc>
        <w:tc>
          <w:tcPr>
            <w:tcW w:w="1192" w:type="dxa"/>
          </w:tcPr>
          <w:p w14:paraId="08AE533E" w14:textId="77777777" w:rsidR="000B148D" w:rsidRPr="00054570" w:rsidRDefault="000B148D" w:rsidP="00514744">
            <w:pPr>
              <w:pStyle w:val="Tablebody"/>
              <w:spacing w:before="0" w:after="0"/>
              <w:contextualSpacing/>
              <w:jc w:val="center"/>
              <w:rPr>
                <w:rFonts w:cs="Arial"/>
              </w:rPr>
            </w:pPr>
            <w:r w:rsidRPr="00054570">
              <w:rPr>
                <w:rFonts w:eastAsia="Times New Roman" w:cs="Arial"/>
              </w:rPr>
              <w:t>17 (4.6)</w:t>
            </w:r>
          </w:p>
        </w:tc>
        <w:tc>
          <w:tcPr>
            <w:tcW w:w="1192" w:type="dxa"/>
          </w:tcPr>
          <w:p w14:paraId="22BC16FD" w14:textId="77777777" w:rsidR="000B148D" w:rsidRPr="00054570" w:rsidRDefault="000B148D" w:rsidP="00514744">
            <w:pPr>
              <w:pStyle w:val="Tablebody"/>
              <w:spacing w:before="0" w:after="0"/>
              <w:contextualSpacing/>
              <w:jc w:val="center"/>
              <w:rPr>
                <w:rFonts w:cs="Arial"/>
              </w:rPr>
            </w:pPr>
            <w:r w:rsidRPr="00054570">
              <w:rPr>
                <w:rFonts w:eastAsia="Times New Roman" w:cs="Arial"/>
              </w:rPr>
              <w:t>41 (23.8)</w:t>
            </w:r>
          </w:p>
        </w:tc>
        <w:tc>
          <w:tcPr>
            <w:tcW w:w="1192" w:type="dxa"/>
          </w:tcPr>
          <w:p w14:paraId="24CABADC" w14:textId="77777777" w:rsidR="000B148D" w:rsidRPr="00054570" w:rsidRDefault="000B148D" w:rsidP="00514744">
            <w:pPr>
              <w:pStyle w:val="Tablebody"/>
              <w:spacing w:before="0" w:after="0"/>
              <w:contextualSpacing/>
              <w:jc w:val="center"/>
              <w:rPr>
                <w:rFonts w:cs="Arial"/>
              </w:rPr>
            </w:pPr>
            <w:r w:rsidRPr="00054570">
              <w:rPr>
                <w:rFonts w:eastAsia="Times New Roman" w:cs="Arial"/>
              </w:rPr>
              <w:t>0</w:t>
            </w:r>
          </w:p>
        </w:tc>
      </w:tr>
      <w:tr w:rsidR="000B148D" w:rsidRPr="00054570" w14:paraId="050376FF" w14:textId="77777777">
        <w:tc>
          <w:tcPr>
            <w:tcW w:w="4248" w:type="dxa"/>
            <w:shd w:val="clear" w:color="auto" w:fill="F2F2F2" w:themeFill="background1" w:themeFillShade="F2"/>
          </w:tcPr>
          <w:p w14:paraId="17035EB0" w14:textId="77777777" w:rsidR="000B148D" w:rsidRPr="00054570" w:rsidRDefault="000B148D" w:rsidP="00514744">
            <w:pPr>
              <w:pStyle w:val="Tablebody"/>
              <w:spacing w:before="0" w:after="0"/>
              <w:ind w:left="171"/>
              <w:contextualSpacing/>
              <w:rPr>
                <w:rFonts w:cs="Arial"/>
              </w:rPr>
            </w:pPr>
            <w:r w:rsidRPr="00054570">
              <w:rPr>
                <w:rFonts w:cs="Arial"/>
              </w:rPr>
              <w:t>Vomiting</w:t>
            </w:r>
          </w:p>
        </w:tc>
        <w:tc>
          <w:tcPr>
            <w:tcW w:w="1192" w:type="dxa"/>
          </w:tcPr>
          <w:p w14:paraId="775431B1" w14:textId="77777777" w:rsidR="000B148D" w:rsidRPr="00054570" w:rsidRDefault="000B148D" w:rsidP="00514744">
            <w:pPr>
              <w:pStyle w:val="Tablebody"/>
              <w:spacing w:before="0" w:after="0"/>
              <w:contextualSpacing/>
              <w:jc w:val="center"/>
              <w:rPr>
                <w:rFonts w:cs="Arial"/>
              </w:rPr>
            </w:pPr>
            <w:r w:rsidRPr="00054570">
              <w:rPr>
                <w:rFonts w:eastAsia="Times New Roman" w:cs="Arial"/>
              </w:rPr>
              <w:t>126 (34.0)</w:t>
            </w:r>
          </w:p>
        </w:tc>
        <w:tc>
          <w:tcPr>
            <w:tcW w:w="1192" w:type="dxa"/>
          </w:tcPr>
          <w:p w14:paraId="7403567F" w14:textId="77777777" w:rsidR="000B148D" w:rsidRPr="00054570" w:rsidRDefault="000B148D" w:rsidP="00514744">
            <w:pPr>
              <w:pStyle w:val="Tablebody"/>
              <w:spacing w:before="0" w:after="0"/>
              <w:contextualSpacing/>
              <w:jc w:val="center"/>
              <w:rPr>
                <w:rFonts w:cs="Arial"/>
              </w:rPr>
            </w:pPr>
            <w:r w:rsidRPr="00054570">
              <w:rPr>
                <w:rFonts w:cs="Arial"/>
              </w:rPr>
              <w:t>5 (1.3)</w:t>
            </w:r>
          </w:p>
        </w:tc>
        <w:tc>
          <w:tcPr>
            <w:tcW w:w="1192" w:type="dxa"/>
          </w:tcPr>
          <w:p w14:paraId="3F1A4870" w14:textId="77777777" w:rsidR="000B148D" w:rsidRPr="00054570" w:rsidRDefault="000B148D" w:rsidP="00514744">
            <w:pPr>
              <w:pStyle w:val="Tablebody"/>
              <w:spacing w:before="0" w:after="0"/>
              <w:contextualSpacing/>
              <w:jc w:val="center"/>
              <w:rPr>
                <w:rFonts w:cs="Arial"/>
              </w:rPr>
            </w:pPr>
            <w:r w:rsidRPr="00054570">
              <w:rPr>
                <w:rFonts w:eastAsia="Times New Roman" w:cs="Arial"/>
              </w:rPr>
              <w:t>17 (9.9)</w:t>
            </w:r>
          </w:p>
        </w:tc>
        <w:tc>
          <w:tcPr>
            <w:tcW w:w="1192" w:type="dxa"/>
          </w:tcPr>
          <w:p w14:paraId="6E59C5BB" w14:textId="77777777" w:rsidR="000B148D" w:rsidRPr="00054570" w:rsidRDefault="000B148D" w:rsidP="00514744">
            <w:pPr>
              <w:pStyle w:val="Tablebody"/>
              <w:spacing w:before="0" w:after="0"/>
              <w:contextualSpacing/>
              <w:jc w:val="center"/>
              <w:rPr>
                <w:rFonts w:cs="Arial"/>
              </w:rPr>
            </w:pPr>
            <w:r w:rsidRPr="00054570">
              <w:rPr>
                <w:rFonts w:cs="Arial"/>
              </w:rPr>
              <w:t>0</w:t>
            </w:r>
          </w:p>
        </w:tc>
      </w:tr>
      <w:tr w:rsidR="000B148D" w:rsidRPr="00054570" w14:paraId="52C75E9E" w14:textId="77777777">
        <w:tc>
          <w:tcPr>
            <w:tcW w:w="4248" w:type="dxa"/>
            <w:shd w:val="clear" w:color="auto" w:fill="F2F2F2" w:themeFill="background1" w:themeFillShade="F2"/>
          </w:tcPr>
          <w:p w14:paraId="70F8C304" w14:textId="77777777" w:rsidR="000B148D" w:rsidRPr="00054570" w:rsidRDefault="000B148D" w:rsidP="00514744">
            <w:pPr>
              <w:pStyle w:val="Tablebody"/>
              <w:spacing w:before="0" w:after="0"/>
              <w:ind w:left="171"/>
              <w:contextualSpacing/>
              <w:rPr>
                <w:rFonts w:cs="Arial"/>
              </w:rPr>
            </w:pPr>
            <w:r w:rsidRPr="00054570">
              <w:rPr>
                <w:rFonts w:cs="Arial"/>
              </w:rPr>
              <w:t>Diarrhoea</w:t>
            </w:r>
          </w:p>
        </w:tc>
        <w:tc>
          <w:tcPr>
            <w:tcW w:w="1192" w:type="dxa"/>
          </w:tcPr>
          <w:p w14:paraId="125E5B01" w14:textId="77777777" w:rsidR="000B148D" w:rsidRPr="00054570" w:rsidRDefault="000B148D" w:rsidP="00514744">
            <w:pPr>
              <w:pStyle w:val="Tablebody"/>
              <w:spacing w:before="0" w:after="0"/>
              <w:contextualSpacing/>
              <w:jc w:val="center"/>
              <w:rPr>
                <w:rFonts w:cs="Arial"/>
              </w:rPr>
            </w:pPr>
            <w:r w:rsidRPr="00054570">
              <w:rPr>
                <w:rFonts w:eastAsia="Times New Roman" w:cs="Arial"/>
              </w:rPr>
              <w:t>83 (22.4)</w:t>
            </w:r>
          </w:p>
        </w:tc>
        <w:tc>
          <w:tcPr>
            <w:tcW w:w="1192" w:type="dxa"/>
          </w:tcPr>
          <w:p w14:paraId="48D5F43A" w14:textId="77777777" w:rsidR="000B148D" w:rsidRPr="00054570" w:rsidRDefault="000B148D" w:rsidP="00514744">
            <w:pPr>
              <w:pStyle w:val="Tablebody"/>
              <w:spacing w:before="0" w:after="0"/>
              <w:contextualSpacing/>
              <w:jc w:val="center"/>
              <w:rPr>
                <w:rFonts w:cs="Arial"/>
              </w:rPr>
            </w:pPr>
            <w:r w:rsidRPr="00054570">
              <w:rPr>
                <w:rFonts w:cs="Arial"/>
              </w:rPr>
              <w:t>4 (1.1)</w:t>
            </w:r>
          </w:p>
        </w:tc>
        <w:tc>
          <w:tcPr>
            <w:tcW w:w="1192" w:type="dxa"/>
          </w:tcPr>
          <w:p w14:paraId="53073E1E" w14:textId="77777777" w:rsidR="000B148D" w:rsidRPr="00054570" w:rsidRDefault="000B148D" w:rsidP="00514744">
            <w:pPr>
              <w:pStyle w:val="Tablebody"/>
              <w:spacing w:before="0" w:after="0"/>
              <w:contextualSpacing/>
              <w:jc w:val="center"/>
              <w:rPr>
                <w:rFonts w:cs="Arial"/>
              </w:rPr>
            </w:pPr>
            <w:r w:rsidRPr="00054570">
              <w:rPr>
                <w:rFonts w:eastAsia="Times New Roman" w:cs="Arial"/>
              </w:rPr>
              <w:t>31 (18.0)</w:t>
            </w:r>
          </w:p>
        </w:tc>
        <w:tc>
          <w:tcPr>
            <w:tcW w:w="1192" w:type="dxa"/>
          </w:tcPr>
          <w:p w14:paraId="57E6F810" w14:textId="77777777" w:rsidR="000B148D" w:rsidRPr="00054570" w:rsidRDefault="000B148D" w:rsidP="00514744">
            <w:pPr>
              <w:pStyle w:val="Tablebody"/>
              <w:spacing w:before="0" w:after="0"/>
              <w:contextualSpacing/>
              <w:jc w:val="center"/>
              <w:rPr>
                <w:rFonts w:cs="Arial"/>
              </w:rPr>
            </w:pPr>
            <w:r w:rsidRPr="00054570">
              <w:rPr>
                <w:rFonts w:cs="Arial"/>
              </w:rPr>
              <w:t>3 (1.7)</w:t>
            </w:r>
          </w:p>
        </w:tc>
      </w:tr>
      <w:tr w:rsidR="000B148D" w:rsidRPr="00054570" w14:paraId="0CCF15EC" w14:textId="77777777">
        <w:tc>
          <w:tcPr>
            <w:tcW w:w="4248" w:type="dxa"/>
            <w:shd w:val="clear" w:color="auto" w:fill="F2F2F2" w:themeFill="background1" w:themeFillShade="F2"/>
          </w:tcPr>
          <w:p w14:paraId="4585C750" w14:textId="77777777" w:rsidR="000B148D" w:rsidRPr="00054570" w:rsidRDefault="000B148D" w:rsidP="00514744">
            <w:pPr>
              <w:pStyle w:val="Tablebody"/>
              <w:spacing w:before="0" w:after="0"/>
              <w:ind w:left="171"/>
              <w:contextualSpacing/>
              <w:rPr>
                <w:rFonts w:cs="Arial"/>
              </w:rPr>
            </w:pPr>
            <w:r w:rsidRPr="00054570">
              <w:rPr>
                <w:rFonts w:cs="Arial"/>
              </w:rPr>
              <w:t>Constipation</w:t>
            </w:r>
          </w:p>
        </w:tc>
        <w:tc>
          <w:tcPr>
            <w:tcW w:w="1192" w:type="dxa"/>
          </w:tcPr>
          <w:p w14:paraId="383C21D4" w14:textId="77777777" w:rsidR="000B148D" w:rsidRPr="00054570" w:rsidRDefault="000B148D" w:rsidP="00514744">
            <w:pPr>
              <w:pStyle w:val="Tablebody"/>
              <w:spacing w:before="0" w:after="0"/>
              <w:contextualSpacing/>
              <w:jc w:val="center"/>
              <w:rPr>
                <w:rFonts w:cs="Arial"/>
              </w:rPr>
            </w:pPr>
            <w:r w:rsidRPr="00054570">
              <w:rPr>
                <w:rFonts w:eastAsia="Times New Roman" w:cs="Arial"/>
              </w:rPr>
              <w:t>79 (21.3)</w:t>
            </w:r>
          </w:p>
        </w:tc>
        <w:tc>
          <w:tcPr>
            <w:tcW w:w="1192" w:type="dxa"/>
          </w:tcPr>
          <w:p w14:paraId="75EA8CB7" w14:textId="77777777" w:rsidR="000B148D" w:rsidRPr="00054570" w:rsidRDefault="000B148D" w:rsidP="00514744">
            <w:pPr>
              <w:pStyle w:val="Tablebody"/>
              <w:spacing w:before="0" w:after="0"/>
              <w:contextualSpacing/>
              <w:jc w:val="center"/>
              <w:rPr>
                <w:rFonts w:cs="Arial"/>
              </w:rPr>
            </w:pPr>
            <w:r w:rsidRPr="00054570">
              <w:rPr>
                <w:rFonts w:cs="Arial"/>
              </w:rPr>
              <w:t>0</w:t>
            </w:r>
          </w:p>
        </w:tc>
        <w:tc>
          <w:tcPr>
            <w:tcW w:w="1192" w:type="dxa"/>
          </w:tcPr>
          <w:p w14:paraId="42254C5B" w14:textId="77777777" w:rsidR="000B148D" w:rsidRPr="00054570" w:rsidRDefault="000B148D" w:rsidP="00514744">
            <w:pPr>
              <w:pStyle w:val="Tablebody"/>
              <w:spacing w:before="0" w:after="0"/>
              <w:contextualSpacing/>
              <w:jc w:val="center"/>
              <w:rPr>
                <w:rFonts w:cs="Arial"/>
              </w:rPr>
            </w:pPr>
            <w:r w:rsidRPr="00054570">
              <w:rPr>
                <w:rFonts w:eastAsia="Times New Roman" w:cs="Arial"/>
              </w:rPr>
              <w:t>22 (12.8)</w:t>
            </w:r>
          </w:p>
        </w:tc>
        <w:tc>
          <w:tcPr>
            <w:tcW w:w="1192" w:type="dxa"/>
          </w:tcPr>
          <w:p w14:paraId="2BEF0CE9" w14:textId="77777777" w:rsidR="000B148D" w:rsidRPr="00054570" w:rsidRDefault="000B148D" w:rsidP="00514744">
            <w:pPr>
              <w:pStyle w:val="Tablebody"/>
              <w:spacing w:before="0" w:after="0"/>
              <w:contextualSpacing/>
              <w:jc w:val="center"/>
              <w:rPr>
                <w:rFonts w:cs="Arial"/>
              </w:rPr>
            </w:pPr>
            <w:r w:rsidRPr="00054570">
              <w:rPr>
                <w:rFonts w:cs="Arial"/>
              </w:rPr>
              <w:t>0</w:t>
            </w:r>
          </w:p>
        </w:tc>
      </w:tr>
      <w:tr w:rsidR="000B148D" w:rsidRPr="00054570" w14:paraId="3B2C47A6" w14:textId="77777777">
        <w:tc>
          <w:tcPr>
            <w:tcW w:w="9016" w:type="dxa"/>
            <w:gridSpan w:val="5"/>
            <w:shd w:val="clear" w:color="auto" w:fill="F2F2F2" w:themeFill="background1" w:themeFillShade="F2"/>
            <w:vAlign w:val="center"/>
          </w:tcPr>
          <w:p w14:paraId="7F88B8F3" w14:textId="77777777" w:rsidR="000B148D" w:rsidRPr="00054570" w:rsidRDefault="000B148D" w:rsidP="00514744">
            <w:pPr>
              <w:pStyle w:val="Tablebody"/>
              <w:spacing w:before="0" w:after="0"/>
              <w:contextualSpacing/>
              <w:rPr>
                <w:rFonts w:cs="Arial"/>
                <w:b/>
                <w:bCs/>
              </w:rPr>
            </w:pPr>
            <w:r w:rsidRPr="00054570">
              <w:rPr>
                <w:rFonts w:cs="Arial"/>
                <w:b/>
                <w:bCs/>
              </w:rPr>
              <w:t>General disorders</w:t>
            </w:r>
          </w:p>
        </w:tc>
      </w:tr>
      <w:tr w:rsidR="000B148D" w:rsidRPr="00054570" w14:paraId="23A840EB" w14:textId="77777777">
        <w:tc>
          <w:tcPr>
            <w:tcW w:w="4248" w:type="dxa"/>
            <w:shd w:val="clear" w:color="auto" w:fill="F2F2F2" w:themeFill="background1" w:themeFillShade="F2"/>
          </w:tcPr>
          <w:p w14:paraId="2CC5916F" w14:textId="77777777" w:rsidR="000B148D" w:rsidRPr="00054570" w:rsidRDefault="000B148D" w:rsidP="00514744">
            <w:pPr>
              <w:pStyle w:val="Tablebody"/>
              <w:spacing w:before="0" w:after="0"/>
              <w:ind w:left="171"/>
              <w:contextualSpacing/>
              <w:rPr>
                <w:rFonts w:cs="Arial"/>
              </w:rPr>
            </w:pPr>
            <w:r w:rsidRPr="00054570">
              <w:rPr>
                <w:rFonts w:cs="Arial"/>
              </w:rPr>
              <w:t>Fatigue**</w:t>
            </w:r>
          </w:p>
        </w:tc>
        <w:tc>
          <w:tcPr>
            <w:tcW w:w="1192" w:type="dxa"/>
          </w:tcPr>
          <w:p w14:paraId="326918E8" w14:textId="77777777" w:rsidR="000B148D" w:rsidRPr="00054570" w:rsidRDefault="000B148D" w:rsidP="00514744">
            <w:pPr>
              <w:pStyle w:val="Tablebody"/>
              <w:spacing w:before="0" w:after="0"/>
              <w:contextualSpacing/>
              <w:jc w:val="center"/>
              <w:rPr>
                <w:rFonts w:cs="Arial"/>
              </w:rPr>
            </w:pPr>
            <w:r w:rsidRPr="00054570">
              <w:rPr>
                <w:rFonts w:eastAsia="Times New Roman" w:cs="Arial"/>
              </w:rPr>
              <w:t>177 (47.7)</w:t>
            </w:r>
          </w:p>
        </w:tc>
        <w:tc>
          <w:tcPr>
            <w:tcW w:w="1192" w:type="dxa"/>
          </w:tcPr>
          <w:p w14:paraId="04ED3DFF" w14:textId="77777777" w:rsidR="000B148D" w:rsidRPr="00054570" w:rsidRDefault="000B148D" w:rsidP="00514744">
            <w:pPr>
              <w:pStyle w:val="Tablebody"/>
              <w:spacing w:before="0" w:after="0"/>
              <w:contextualSpacing/>
              <w:jc w:val="center"/>
              <w:rPr>
                <w:rFonts w:cs="Arial"/>
              </w:rPr>
            </w:pPr>
            <w:r w:rsidRPr="00054570">
              <w:rPr>
                <w:rFonts w:eastAsia="Times New Roman" w:cs="Arial"/>
              </w:rPr>
              <w:t>28 (7.5)</w:t>
            </w:r>
          </w:p>
        </w:tc>
        <w:tc>
          <w:tcPr>
            <w:tcW w:w="1192" w:type="dxa"/>
          </w:tcPr>
          <w:p w14:paraId="1C701E94" w14:textId="77777777" w:rsidR="000B148D" w:rsidRPr="00054570" w:rsidRDefault="000B148D" w:rsidP="00514744">
            <w:pPr>
              <w:pStyle w:val="Tablebody"/>
              <w:spacing w:before="0" w:after="0"/>
              <w:contextualSpacing/>
              <w:jc w:val="center"/>
              <w:rPr>
                <w:rFonts w:cs="Arial"/>
              </w:rPr>
            </w:pPr>
            <w:r w:rsidRPr="00054570">
              <w:rPr>
                <w:rFonts w:eastAsia="Times New Roman" w:cs="Arial"/>
              </w:rPr>
              <w:t>73 (42.4)</w:t>
            </w:r>
          </w:p>
        </w:tc>
        <w:tc>
          <w:tcPr>
            <w:tcW w:w="1192" w:type="dxa"/>
          </w:tcPr>
          <w:p w14:paraId="1451DD6C" w14:textId="77777777" w:rsidR="000B148D" w:rsidRPr="00054570" w:rsidRDefault="000B148D" w:rsidP="00514744">
            <w:pPr>
              <w:pStyle w:val="Tablebody"/>
              <w:spacing w:before="0" w:after="0"/>
              <w:contextualSpacing/>
              <w:jc w:val="center"/>
              <w:rPr>
                <w:rFonts w:cs="Arial"/>
              </w:rPr>
            </w:pPr>
            <w:r w:rsidRPr="00054570">
              <w:rPr>
                <w:rFonts w:eastAsia="Times New Roman" w:cs="Arial"/>
              </w:rPr>
              <w:t>8 (4.7)</w:t>
            </w:r>
          </w:p>
        </w:tc>
      </w:tr>
      <w:tr w:rsidR="000B148D" w:rsidRPr="00054570" w14:paraId="184198BC" w14:textId="77777777">
        <w:tc>
          <w:tcPr>
            <w:tcW w:w="4248" w:type="dxa"/>
            <w:shd w:val="clear" w:color="auto" w:fill="F2F2F2" w:themeFill="background1" w:themeFillShade="F2"/>
          </w:tcPr>
          <w:p w14:paraId="08CF3232" w14:textId="77777777" w:rsidR="000B148D" w:rsidRPr="00054570" w:rsidRDefault="000B148D" w:rsidP="00514744">
            <w:pPr>
              <w:pStyle w:val="Tablebody"/>
              <w:spacing w:before="0" w:after="0"/>
              <w:ind w:left="171"/>
              <w:contextualSpacing/>
              <w:rPr>
                <w:rFonts w:cs="Arial"/>
              </w:rPr>
            </w:pPr>
            <w:r w:rsidRPr="00054570">
              <w:rPr>
                <w:rFonts w:eastAsia="Times New Roman" w:cs="Arial"/>
              </w:rPr>
              <w:t>Abdominal pain</w:t>
            </w:r>
          </w:p>
        </w:tc>
        <w:tc>
          <w:tcPr>
            <w:tcW w:w="1192" w:type="dxa"/>
          </w:tcPr>
          <w:p w14:paraId="0FC54BD5" w14:textId="60D7F0F1"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xxxxxxxxxx</w:t>
            </w:r>
          </w:p>
        </w:tc>
        <w:tc>
          <w:tcPr>
            <w:tcW w:w="1192" w:type="dxa"/>
          </w:tcPr>
          <w:p w14:paraId="1EFAEF8A" w14:textId="4AE583FA"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w:t>
            </w:r>
          </w:p>
        </w:tc>
        <w:tc>
          <w:tcPr>
            <w:tcW w:w="1192" w:type="dxa"/>
          </w:tcPr>
          <w:p w14:paraId="1BC44DB6" w14:textId="70E793AF"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w:t>
            </w:r>
          </w:p>
        </w:tc>
        <w:tc>
          <w:tcPr>
            <w:tcW w:w="1192" w:type="dxa"/>
          </w:tcPr>
          <w:p w14:paraId="54E60B05" w14:textId="1534044D"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w:t>
            </w:r>
          </w:p>
        </w:tc>
      </w:tr>
      <w:tr w:rsidR="000B148D" w:rsidRPr="00054570" w14:paraId="00A030D0" w14:textId="77777777">
        <w:tc>
          <w:tcPr>
            <w:tcW w:w="4248" w:type="dxa"/>
            <w:shd w:val="clear" w:color="auto" w:fill="F2F2F2" w:themeFill="background1" w:themeFillShade="F2"/>
          </w:tcPr>
          <w:p w14:paraId="278D1693" w14:textId="77777777" w:rsidR="000B148D" w:rsidRPr="00054570" w:rsidRDefault="000B148D" w:rsidP="00514744">
            <w:pPr>
              <w:pStyle w:val="Tablebody"/>
              <w:spacing w:before="0" w:after="0"/>
              <w:ind w:left="171"/>
              <w:contextualSpacing/>
              <w:rPr>
                <w:rFonts w:eastAsia="Times New Roman" w:cs="Arial"/>
              </w:rPr>
            </w:pPr>
            <w:r w:rsidRPr="00054570">
              <w:rPr>
                <w:rFonts w:eastAsia="Times New Roman" w:cs="Arial"/>
              </w:rPr>
              <w:t>Musculoskeletal pain</w:t>
            </w:r>
          </w:p>
        </w:tc>
        <w:tc>
          <w:tcPr>
            <w:tcW w:w="1192" w:type="dxa"/>
          </w:tcPr>
          <w:p w14:paraId="6AA7DAAB" w14:textId="16FE80D8"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xxxxxxxxx</w:t>
            </w:r>
          </w:p>
        </w:tc>
        <w:tc>
          <w:tcPr>
            <w:tcW w:w="1192" w:type="dxa"/>
          </w:tcPr>
          <w:p w14:paraId="447CC716" w14:textId="218A92FF"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w:t>
            </w:r>
          </w:p>
        </w:tc>
        <w:tc>
          <w:tcPr>
            <w:tcW w:w="1192" w:type="dxa"/>
          </w:tcPr>
          <w:p w14:paraId="01EE5F3A" w14:textId="1F836FF2"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xxxxxxxxx</w:t>
            </w:r>
          </w:p>
        </w:tc>
        <w:tc>
          <w:tcPr>
            <w:tcW w:w="1192" w:type="dxa"/>
          </w:tcPr>
          <w:p w14:paraId="30C7EB72" w14:textId="5D99F79D"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w:t>
            </w:r>
          </w:p>
        </w:tc>
      </w:tr>
      <w:tr w:rsidR="000B148D" w:rsidRPr="00054570" w14:paraId="0E50E42E" w14:textId="77777777">
        <w:trPr>
          <w:trHeight w:val="177"/>
        </w:trPr>
        <w:tc>
          <w:tcPr>
            <w:tcW w:w="9016" w:type="dxa"/>
            <w:gridSpan w:val="5"/>
            <w:shd w:val="clear" w:color="auto" w:fill="F2F2F2" w:themeFill="background1" w:themeFillShade="F2"/>
            <w:vAlign w:val="center"/>
          </w:tcPr>
          <w:p w14:paraId="1C7D4F1E" w14:textId="77777777" w:rsidR="000B148D" w:rsidRPr="00054570" w:rsidRDefault="000B148D" w:rsidP="00514744">
            <w:pPr>
              <w:pStyle w:val="Tablebody"/>
              <w:spacing w:before="0" w:after="0"/>
              <w:contextualSpacing/>
              <w:rPr>
                <w:rFonts w:cs="Arial"/>
                <w:b/>
                <w:bCs/>
              </w:rPr>
            </w:pPr>
            <w:r w:rsidRPr="00054570">
              <w:rPr>
                <w:rFonts w:cs="Arial"/>
                <w:b/>
                <w:bCs/>
              </w:rPr>
              <w:t>Investigations</w:t>
            </w:r>
          </w:p>
        </w:tc>
      </w:tr>
      <w:tr w:rsidR="000B148D" w:rsidRPr="00054570" w14:paraId="4D2F862C" w14:textId="77777777">
        <w:tc>
          <w:tcPr>
            <w:tcW w:w="4248" w:type="dxa"/>
            <w:shd w:val="clear" w:color="auto" w:fill="F2F2F2" w:themeFill="background1" w:themeFillShade="F2"/>
          </w:tcPr>
          <w:p w14:paraId="504E731E" w14:textId="77777777" w:rsidR="000B148D" w:rsidRPr="00054570" w:rsidRDefault="000B148D" w:rsidP="00514744">
            <w:pPr>
              <w:pStyle w:val="Tablebody"/>
              <w:spacing w:before="0" w:after="0"/>
              <w:ind w:left="171"/>
              <w:contextualSpacing/>
              <w:rPr>
                <w:rFonts w:cs="Arial"/>
              </w:rPr>
            </w:pPr>
            <w:r w:rsidRPr="00054570">
              <w:rPr>
                <w:rFonts w:cs="Arial"/>
              </w:rPr>
              <w:t>AST increased</w:t>
            </w:r>
          </w:p>
        </w:tc>
        <w:tc>
          <w:tcPr>
            <w:tcW w:w="1192" w:type="dxa"/>
          </w:tcPr>
          <w:p w14:paraId="6CA32325" w14:textId="50C367F5"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xxxxxxxxx</w:t>
            </w:r>
          </w:p>
        </w:tc>
        <w:tc>
          <w:tcPr>
            <w:tcW w:w="1192" w:type="dxa"/>
          </w:tcPr>
          <w:p w14:paraId="4988317C" w14:textId="608636CA"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w:t>
            </w:r>
          </w:p>
        </w:tc>
        <w:tc>
          <w:tcPr>
            <w:tcW w:w="1192" w:type="dxa"/>
          </w:tcPr>
          <w:p w14:paraId="08DF4362" w14:textId="0C5565D4"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xxxxxxxxx</w:t>
            </w:r>
          </w:p>
        </w:tc>
        <w:tc>
          <w:tcPr>
            <w:tcW w:w="1192" w:type="dxa"/>
          </w:tcPr>
          <w:p w14:paraId="7828B833" w14:textId="286CE731"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w:t>
            </w:r>
          </w:p>
        </w:tc>
      </w:tr>
      <w:tr w:rsidR="000B148D" w:rsidRPr="00054570" w14:paraId="7C6388CA" w14:textId="77777777">
        <w:tc>
          <w:tcPr>
            <w:tcW w:w="9016" w:type="dxa"/>
            <w:gridSpan w:val="5"/>
            <w:shd w:val="clear" w:color="auto" w:fill="F2F2F2" w:themeFill="background1" w:themeFillShade="F2"/>
            <w:vAlign w:val="center"/>
          </w:tcPr>
          <w:p w14:paraId="333B1363" w14:textId="77777777" w:rsidR="000B148D" w:rsidRPr="00054570" w:rsidRDefault="000B148D" w:rsidP="00514744">
            <w:pPr>
              <w:pStyle w:val="Tablebody"/>
              <w:spacing w:before="0" w:after="0"/>
              <w:contextualSpacing/>
              <w:rPr>
                <w:rFonts w:cs="Arial"/>
                <w:b/>
                <w:bCs/>
              </w:rPr>
            </w:pPr>
            <w:r w:rsidRPr="00054570">
              <w:rPr>
                <w:rFonts w:cs="Arial"/>
                <w:b/>
                <w:bCs/>
              </w:rPr>
              <w:t>Metabolism and nutrition disorders</w:t>
            </w:r>
          </w:p>
        </w:tc>
      </w:tr>
      <w:tr w:rsidR="000B148D" w:rsidRPr="00054570" w14:paraId="5F051525" w14:textId="77777777">
        <w:tc>
          <w:tcPr>
            <w:tcW w:w="4248" w:type="dxa"/>
            <w:shd w:val="clear" w:color="auto" w:fill="F2F2F2" w:themeFill="background1" w:themeFillShade="F2"/>
          </w:tcPr>
          <w:p w14:paraId="1183A6B2" w14:textId="77777777" w:rsidR="000B148D" w:rsidRPr="00054570" w:rsidRDefault="000B148D" w:rsidP="00514744">
            <w:pPr>
              <w:pStyle w:val="Tablebody"/>
              <w:spacing w:before="0" w:after="0"/>
              <w:ind w:left="171"/>
              <w:contextualSpacing/>
              <w:rPr>
                <w:rFonts w:cs="Arial"/>
              </w:rPr>
            </w:pPr>
            <w:r w:rsidRPr="00054570">
              <w:rPr>
                <w:rFonts w:cs="Arial"/>
              </w:rPr>
              <w:t>Decreased appetite</w:t>
            </w:r>
          </w:p>
        </w:tc>
        <w:tc>
          <w:tcPr>
            <w:tcW w:w="1192" w:type="dxa"/>
          </w:tcPr>
          <w:p w14:paraId="029EB124" w14:textId="77777777" w:rsidR="000B148D" w:rsidRPr="00054570" w:rsidRDefault="000B148D" w:rsidP="00514744">
            <w:pPr>
              <w:pStyle w:val="Tablebody"/>
              <w:spacing w:before="0" w:after="0"/>
              <w:contextualSpacing/>
              <w:jc w:val="center"/>
              <w:rPr>
                <w:rFonts w:cs="Arial"/>
              </w:rPr>
            </w:pPr>
            <w:r w:rsidRPr="00054570">
              <w:rPr>
                <w:rFonts w:eastAsia="Times New Roman" w:cs="Arial"/>
              </w:rPr>
              <w:t>106 (28.6)</w:t>
            </w:r>
          </w:p>
        </w:tc>
        <w:tc>
          <w:tcPr>
            <w:tcW w:w="1192" w:type="dxa"/>
          </w:tcPr>
          <w:p w14:paraId="1CFE6794" w14:textId="77777777" w:rsidR="000B148D" w:rsidRPr="00054570" w:rsidRDefault="000B148D" w:rsidP="00514744">
            <w:pPr>
              <w:pStyle w:val="Tablebody"/>
              <w:spacing w:before="0" w:after="0"/>
              <w:contextualSpacing/>
              <w:jc w:val="center"/>
              <w:rPr>
                <w:rFonts w:cs="Arial"/>
              </w:rPr>
            </w:pPr>
            <w:r w:rsidRPr="00054570">
              <w:rPr>
                <w:rFonts w:eastAsia="Times New Roman" w:cs="Arial"/>
              </w:rPr>
              <w:t>9 (2.4)</w:t>
            </w:r>
          </w:p>
        </w:tc>
        <w:tc>
          <w:tcPr>
            <w:tcW w:w="1192" w:type="dxa"/>
          </w:tcPr>
          <w:p w14:paraId="66D866C4" w14:textId="77777777" w:rsidR="000B148D" w:rsidRPr="00054570" w:rsidRDefault="000B148D" w:rsidP="00514744">
            <w:pPr>
              <w:pStyle w:val="Tablebody"/>
              <w:spacing w:before="0" w:after="0"/>
              <w:contextualSpacing/>
              <w:jc w:val="center"/>
              <w:rPr>
                <w:rFonts w:cs="Arial"/>
              </w:rPr>
            </w:pPr>
            <w:r w:rsidRPr="00054570">
              <w:rPr>
                <w:rFonts w:eastAsia="Times New Roman" w:cs="Arial"/>
              </w:rPr>
              <w:t>28 (16.3)</w:t>
            </w:r>
          </w:p>
        </w:tc>
        <w:tc>
          <w:tcPr>
            <w:tcW w:w="1192" w:type="dxa"/>
          </w:tcPr>
          <w:p w14:paraId="16EB616B" w14:textId="77777777" w:rsidR="000B148D" w:rsidRPr="00054570" w:rsidRDefault="000B148D" w:rsidP="00514744">
            <w:pPr>
              <w:pStyle w:val="Tablebody"/>
              <w:spacing w:before="0" w:after="0"/>
              <w:contextualSpacing/>
              <w:jc w:val="center"/>
              <w:rPr>
                <w:rFonts w:cs="Arial"/>
              </w:rPr>
            </w:pPr>
            <w:r w:rsidRPr="00054570">
              <w:rPr>
                <w:rFonts w:eastAsia="Times New Roman" w:cs="Arial"/>
              </w:rPr>
              <w:t>2 (1.2)</w:t>
            </w:r>
          </w:p>
        </w:tc>
      </w:tr>
      <w:tr w:rsidR="000B148D" w:rsidRPr="00054570" w14:paraId="54372B51" w14:textId="77777777">
        <w:tc>
          <w:tcPr>
            <w:tcW w:w="4248" w:type="dxa"/>
            <w:shd w:val="clear" w:color="auto" w:fill="F2F2F2" w:themeFill="background1" w:themeFillShade="F2"/>
          </w:tcPr>
          <w:p w14:paraId="61090D06" w14:textId="77777777" w:rsidR="000B148D" w:rsidRPr="00054570" w:rsidRDefault="000B148D" w:rsidP="00514744">
            <w:pPr>
              <w:pStyle w:val="Tablebody"/>
              <w:spacing w:before="0" w:after="0"/>
              <w:ind w:left="171"/>
              <w:contextualSpacing/>
              <w:rPr>
                <w:rFonts w:cs="Arial"/>
              </w:rPr>
            </w:pPr>
            <w:r w:rsidRPr="00054570">
              <w:rPr>
                <w:rFonts w:eastAsia="Times New Roman" w:cs="Arial"/>
              </w:rPr>
              <w:t xml:space="preserve">Weight decreased </w:t>
            </w:r>
          </w:p>
        </w:tc>
        <w:tc>
          <w:tcPr>
            <w:tcW w:w="1192" w:type="dxa"/>
          </w:tcPr>
          <w:p w14:paraId="33457E31" w14:textId="6966C3F2"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xxxxxxxxxx</w:t>
            </w:r>
          </w:p>
        </w:tc>
        <w:tc>
          <w:tcPr>
            <w:tcW w:w="1192" w:type="dxa"/>
          </w:tcPr>
          <w:p w14:paraId="0C06DD91" w14:textId="638ADB0F"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xxxxxxxx</w:t>
            </w:r>
          </w:p>
        </w:tc>
        <w:tc>
          <w:tcPr>
            <w:tcW w:w="1192" w:type="dxa"/>
          </w:tcPr>
          <w:p w14:paraId="7E6ECD40" w14:textId="404F15EA"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w:t>
            </w:r>
          </w:p>
        </w:tc>
        <w:tc>
          <w:tcPr>
            <w:tcW w:w="1192" w:type="dxa"/>
          </w:tcPr>
          <w:p w14:paraId="7BC51EAF" w14:textId="231ADED1"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w:t>
            </w:r>
          </w:p>
        </w:tc>
      </w:tr>
      <w:tr w:rsidR="000B148D" w:rsidRPr="00054570" w14:paraId="1669FE28" w14:textId="77777777">
        <w:tc>
          <w:tcPr>
            <w:tcW w:w="9016" w:type="dxa"/>
            <w:gridSpan w:val="5"/>
            <w:shd w:val="clear" w:color="auto" w:fill="F2F2F2" w:themeFill="background1" w:themeFillShade="F2"/>
            <w:vAlign w:val="center"/>
          </w:tcPr>
          <w:p w14:paraId="6385931F" w14:textId="77777777" w:rsidR="000B148D" w:rsidRPr="00054570" w:rsidRDefault="000B148D" w:rsidP="00514744">
            <w:pPr>
              <w:pStyle w:val="Tablebody"/>
              <w:spacing w:before="0" w:after="0"/>
              <w:contextualSpacing/>
              <w:rPr>
                <w:rFonts w:cs="Arial"/>
                <w:b/>
                <w:bCs/>
              </w:rPr>
            </w:pPr>
            <w:r w:rsidRPr="00054570">
              <w:rPr>
                <w:rFonts w:cs="Arial"/>
                <w:b/>
                <w:bCs/>
              </w:rPr>
              <w:t>Skin and subcutaneous tissue disorders</w:t>
            </w:r>
          </w:p>
        </w:tc>
      </w:tr>
      <w:tr w:rsidR="000B148D" w:rsidRPr="00054570" w14:paraId="063F32C6" w14:textId="77777777">
        <w:tc>
          <w:tcPr>
            <w:tcW w:w="4248" w:type="dxa"/>
            <w:shd w:val="clear" w:color="auto" w:fill="F2F2F2" w:themeFill="background1" w:themeFillShade="F2"/>
          </w:tcPr>
          <w:p w14:paraId="7B47FB9A" w14:textId="77777777" w:rsidR="000B148D" w:rsidRPr="00054570" w:rsidRDefault="000B148D" w:rsidP="00514744">
            <w:pPr>
              <w:pStyle w:val="Tablebody"/>
              <w:keepNext/>
              <w:spacing w:before="0" w:after="0"/>
              <w:ind w:left="171"/>
              <w:contextualSpacing/>
              <w:rPr>
                <w:rFonts w:cs="Arial"/>
              </w:rPr>
            </w:pPr>
            <w:r w:rsidRPr="00054570">
              <w:rPr>
                <w:rFonts w:cs="Arial"/>
              </w:rPr>
              <w:t>Alopecia</w:t>
            </w:r>
          </w:p>
        </w:tc>
        <w:tc>
          <w:tcPr>
            <w:tcW w:w="1192" w:type="dxa"/>
          </w:tcPr>
          <w:p w14:paraId="138C3032" w14:textId="77777777" w:rsidR="000B148D" w:rsidRPr="00054570" w:rsidRDefault="000B148D" w:rsidP="00514744">
            <w:pPr>
              <w:pStyle w:val="Tablebody"/>
              <w:spacing w:before="0" w:after="0"/>
              <w:contextualSpacing/>
              <w:jc w:val="center"/>
              <w:rPr>
                <w:rFonts w:cs="Arial"/>
              </w:rPr>
            </w:pPr>
            <w:r w:rsidRPr="00054570">
              <w:rPr>
                <w:rFonts w:eastAsia="Times New Roman" w:cs="Arial"/>
              </w:rPr>
              <w:t>140 (37.7)</w:t>
            </w:r>
          </w:p>
        </w:tc>
        <w:tc>
          <w:tcPr>
            <w:tcW w:w="1192" w:type="dxa"/>
          </w:tcPr>
          <w:p w14:paraId="04219B5A" w14:textId="77777777" w:rsidR="000B148D" w:rsidRPr="00054570" w:rsidRDefault="000B148D" w:rsidP="00514744">
            <w:pPr>
              <w:pStyle w:val="Tablebody"/>
              <w:spacing w:before="0" w:after="0"/>
              <w:contextualSpacing/>
              <w:jc w:val="center"/>
              <w:rPr>
                <w:rFonts w:cs="Arial"/>
              </w:rPr>
            </w:pPr>
            <w:r w:rsidRPr="00054570">
              <w:rPr>
                <w:rFonts w:cs="Arial"/>
              </w:rPr>
              <w:t>0</w:t>
            </w:r>
          </w:p>
        </w:tc>
        <w:tc>
          <w:tcPr>
            <w:tcW w:w="1192" w:type="dxa"/>
          </w:tcPr>
          <w:p w14:paraId="18516D1E" w14:textId="77777777" w:rsidR="000B148D" w:rsidRPr="00054570" w:rsidRDefault="000B148D" w:rsidP="00514744">
            <w:pPr>
              <w:pStyle w:val="Tablebody"/>
              <w:spacing w:before="0" w:after="0"/>
              <w:contextualSpacing/>
              <w:jc w:val="center"/>
              <w:rPr>
                <w:rFonts w:cs="Arial"/>
              </w:rPr>
            </w:pPr>
            <w:r w:rsidRPr="00054570">
              <w:rPr>
                <w:rFonts w:eastAsia="Times New Roman" w:cs="Arial"/>
              </w:rPr>
              <w:t>56 (32.6)</w:t>
            </w:r>
          </w:p>
        </w:tc>
        <w:tc>
          <w:tcPr>
            <w:tcW w:w="1192" w:type="dxa"/>
          </w:tcPr>
          <w:p w14:paraId="06D3CBD4" w14:textId="77777777" w:rsidR="000B148D" w:rsidRPr="00054570" w:rsidRDefault="000B148D" w:rsidP="00514744">
            <w:pPr>
              <w:pStyle w:val="Tablebody"/>
              <w:spacing w:before="0" w:after="0"/>
              <w:contextualSpacing/>
              <w:jc w:val="center"/>
              <w:rPr>
                <w:rFonts w:cs="Arial"/>
              </w:rPr>
            </w:pPr>
            <w:r w:rsidRPr="00054570">
              <w:rPr>
                <w:rFonts w:cs="Arial"/>
              </w:rPr>
              <w:t>0</w:t>
            </w:r>
          </w:p>
        </w:tc>
      </w:tr>
      <w:tr w:rsidR="000B148D" w:rsidRPr="00054570" w14:paraId="177089D3" w14:textId="77777777">
        <w:tc>
          <w:tcPr>
            <w:tcW w:w="4248" w:type="dxa"/>
            <w:shd w:val="clear" w:color="auto" w:fill="F2F2F2" w:themeFill="background1" w:themeFillShade="F2"/>
          </w:tcPr>
          <w:p w14:paraId="418B9698" w14:textId="77777777" w:rsidR="000B148D" w:rsidRPr="00054570" w:rsidRDefault="000B148D" w:rsidP="00514744">
            <w:pPr>
              <w:pStyle w:val="Tablebody"/>
              <w:keepNext/>
              <w:spacing w:before="0" w:after="0"/>
              <w:ind w:left="171"/>
              <w:contextualSpacing/>
              <w:rPr>
                <w:rFonts w:eastAsia="Times New Roman" w:cs="Arial"/>
              </w:rPr>
            </w:pPr>
            <w:r w:rsidRPr="00054570">
              <w:rPr>
                <w:rFonts w:eastAsia="Times New Roman" w:cs="Arial"/>
              </w:rPr>
              <w:t>Interstitial lung disease</w:t>
            </w:r>
          </w:p>
        </w:tc>
        <w:tc>
          <w:tcPr>
            <w:tcW w:w="1192" w:type="dxa"/>
          </w:tcPr>
          <w:p w14:paraId="231D15B2" w14:textId="0EFDF03E"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xxxxxxxxx</w:t>
            </w:r>
          </w:p>
        </w:tc>
        <w:tc>
          <w:tcPr>
            <w:tcW w:w="1192" w:type="dxa"/>
          </w:tcPr>
          <w:p w14:paraId="2DD6044A" w14:textId="06B3F7A4" w:rsidR="000B148D" w:rsidRPr="00294FDC" w:rsidRDefault="00294FDC" w:rsidP="00514744">
            <w:pPr>
              <w:pStyle w:val="Tablebody"/>
              <w:spacing w:before="0" w:after="0"/>
              <w:contextualSpacing/>
              <w:jc w:val="center"/>
              <w:rPr>
                <w:rFonts w:cs="Arial"/>
                <w:color w:val="000000"/>
                <w:highlight w:val="black"/>
              </w:rPr>
            </w:pPr>
            <w:r w:rsidRPr="00294FDC">
              <w:rPr>
                <w:rFonts w:cs="Arial"/>
                <w:color w:val="000000"/>
                <w:highlight w:val="black"/>
              </w:rPr>
              <w:t>xxxxxxx</w:t>
            </w:r>
          </w:p>
        </w:tc>
        <w:tc>
          <w:tcPr>
            <w:tcW w:w="1192" w:type="dxa"/>
          </w:tcPr>
          <w:p w14:paraId="066F4E52" w14:textId="67E2FABE"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w:t>
            </w:r>
          </w:p>
        </w:tc>
        <w:tc>
          <w:tcPr>
            <w:tcW w:w="1192" w:type="dxa"/>
          </w:tcPr>
          <w:p w14:paraId="771C658B" w14:textId="4694F367" w:rsidR="000B148D" w:rsidRPr="00294FDC" w:rsidRDefault="00294FDC" w:rsidP="00514744">
            <w:pPr>
              <w:pStyle w:val="Tablebody"/>
              <w:spacing w:before="0" w:after="0"/>
              <w:contextualSpacing/>
              <w:jc w:val="center"/>
              <w:rPr>
                <w:rFonts w:cs="Arial"/>
                <w:color w:val="000000"/>
                <w:highlight w:val="black"/>
              </w:rPr>
            </w:pPr>
            <w:r w:rsidRPr="00294FDC">
              <w:rPr>
                <w:rFonts w:cs="Arial"/>
                <w:color w:val="000000"/>
                <w:highlight w:val="black"/>
              </w:rPr>
              <w:t>x</w:t>
            </w:r>
          </w:p>
        </w:tc>
      </w:tr>
      <w:tr w:rsidR="000B148D" w:rsidRPr="00054570" w14:paraId="7EB25508" w14:textId="77777777">
        <w:tc>
          <w:tcPr>
            <w:tcW w:w="4248" w:type="dxa"/>
            <w:shd w:val="clear" w:color="auto" w:fill="F2F2F2" w:themeFill="background1" w:themeFillShade="F2"/>
          </w:tcPr>
          <w:p w14:paraId="53640EBC" w14:textId="77777777" w:rsidR="000B148D" w:rsidRPr="00054570" w:rsidRDefault="000B148D" w:rsidP="00514744">
            <w:pPr>
              <w:pStyle w:val="Tablebody"/>
              <w:keepNext/>
              <w:spacing w:before="0" w:after="0"/>
              <w:ind w:left="171"/>
              <w:contextualSpacing/>
              <w:rPr>
                <w:rFonts w:cs="Arial"/>
              </w:rPr>
            </w:pPr>
            <w:r w:rsidRPr="00054570">
              <w:rPr>
                <w:rFonts w:eastAsia="Times New Roman" w:cs="Arial"/>
              </w:rPr>
              <w:t>Stomatitis</w:t>
            </w:r>
          </w:p>
        </w:tc>
        <w:tc>
          <w:tcPr>
            <w:tcW w:w="1192" w:type="dxa"/>
          </w:tcPr>
          <w:p w14:paraId="40962D25" w14:textId="57EBB5DF"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xxxxxxxxxx</w:t>
            </w:r>
          </w:p>
        </w:tc>
        <w:tc>
          <w:tcPr>
            <w:tcW w:w="1192" w:type="dxa"/>
          </w:tcPr>
          <w:p w14:paraId="5C4EBF07" w14:textId="7019D5A0" w:rsidR="000B148D" w:rsidRPr="00294FDC" w:rsidRDefault="00294FDC" w:rsidP="00514744">
            <w:pPr>
              <w:pStyle w:val="Tablebody"/>
              <w:spacing w:before="0" w:after="0"/>
              <w:contextualSpacing/>
              <w:jc w:val="center"/>
              <w:rPr>
                <w:rFonts w:cs="Arial"/>
                <w:color w:val="000000"/>
                <w:highlight w:val="black"/>
              </w:rPr>
            </w:pPr>
            <w:r w:rsidRPr="00294FDC">
              <w:rPr>
                <w:rFonts w:cs="Arial"/>
                <w:color w:val="000000"/>
                <w:highlight w:val="black"/>
              </w:rPr>
              <w:t>xxxxxxx</w:t>
            </w:r>
          </w:p>
        </w:tc>
        <w:tc>
          <w:tcPr>
            <w:tcW w:w="1192" w:type="dxa"/>
          </w:tcPr>
          <w:p w14:paraId="54036089" w14:textId="3185D0D1"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xxxxxxxxxx</w:t>
            </w:r>
          </w:p>
        </w:tc>
        <w:tc>
          <w:tcPr>
            <w:tcW w:w="1192" w:type="dxa"/>
          </w:tcPr>
          <w:p w14:paraId="209B3E50" w14:textId="40513354" w:rsidR="000B148D" w:rsidRPr="00294FDC" w:rsidRDefault="00294FDC" w:rsidP="00514744">
            <w:pPr>
              <w:pStyle w:val="Tablebody"/>
              <w:spacing w:before="0" w:after="0"/>
              <w:contextualSpacing/>
              <w:jc w:val="center"/>
              <w:rPr>
                <w:rFonts w:cs="Arial"/>
                <w:color w:val="000000"/>
                <w:highlight w:val="black"/>
              </w:rPr>
            </w:pPr>
            <w:r w:rsidRPr="00294FDC">
              <w:rPr>
                <w:rFonts w:cs="Arial"/>
                <w:color w:val="000000"/>
                <w:highlight w:val="black"/>
              </w:rPr>
              <w:t>xxxxxxx</w:t>
            </w:r>
          </w:p>
        </w:tc>
      </w:tr>
      <w:tr w:rsidR="000B148D" w:rsidRPr="00054570" w14:paraId="59DAD1F4" w14:textId="77777777" w:rsidTr="00147167">
        <w:tc>
          <w:tcPr>
            <w:tcW w:w="4248" w:type="dxa"/>
            <w:shd w:val="clear" w:color="auto" w:fill="F2F2F2" w:themeFill="background1" w:themeFillShade="F2"/>
          </w:tcPr>
          <w:p w14:paraId="1A75092C" w14:textId="77777777" w:rsidR="000B148D" w:rsidRPr="00054570" w:rsidRDefault="000B148D" w:rsidP="00514744">
            <w:pPr>
              <w:pStyle w:val="Tablebody"/>
              <w:keepNext/>
              <w:spacing w:before="0" w:after="0"/>
              <w:ind w:left="171"/>
              <w:contextualSpacing/>
              <w:rPr>
                <w:rFonts w:eastAsia="Times New Roman" w:cs="Arial"/>
              </w:rPr>
            </w:pPr>
            <w:r w:rsidRPr="00054570">
              <w:rPr>
                <w:rFonts w:eastAsia="Times New Roman" w:cs="Arial"/>
              </w:rPr>
              <w:t xml:space="preserve">Palmar-plantar erythrodysaesthesia syndrome </w:t>
            </w:r>
          </w:p>
        </w:tc>
        <w:tc>
          <w:tcPr>
            <w:tcW w:w="1192" w:type="dxa"/>
            <w:vAlign w:val="center"/>
          </w:tcPr>
          <w:p w14:paraId="16ED9ACE" w14:textId="3AE43E46"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w:t>
            </w:r>
          </w:p>
        </w:tc>
        <w:tc>
          <w:tcPr>
            <w:tcW w:w="1192" w:type="dxa"/>
            <w:vAlign w:val="center"/>
          </w:tcPr>
          <w:p w14:paraId="34587EB1" w14:textId="678273C0" w:rsidR="000B148D" w:rsidRPr="00294FDC" w:rsidRDefault="00294FDC" w:rsidP="00514744">
            <w:pPr>
              <w:pStyle w:val="Tablebody"/>
              <w:spacing w:before="0" w:after="0"/>
              <w:contextualSpacing/>
              <w:jc w:val="center"/>
              <w:rPr>
                <w:rFonts w:cs="Arial"/>
                <w:color w:val="000000"/>
                <w:highlight w:val="black"/>
              </w:rPr>
            </w:pPr>
            <w:r w:rsidRPr="00294FDC">
              <w:rPr>
                <w:rFonts w:cs="Arial"/>
                <w:color w:val="000000"/>
                <w:highlight w:val="black"/>
              </w:rPr>
              <w:t>x</w:t>
            </w:r>
          </w:p>
        </w:tc>
        <w:tc>
          <w:tcPr>
            <w:tcW w:w="1192" w:type="dxa"/>
            <w:vAlign w:val="center"/>
          </w:tcPr>
          <w:p w14:paraId="42012C6F" w14:textId="099110A0"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xxxxxxxxx</w:t>
            </w:r>
          </w:p>
        </w:tc>
        <w:tc>
          <w:tcPr>
            <w:tcW w:w="1192" w:type="dxa"/>
            <w:vAlign w:val="center"/>
          </w:tcPr>
          <w:p w14:paraId="421279E3" w14:textId="738FBD7D"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w:t>
            </w:r>
          </w:p>
        </w:tc>
      </w:tr>
    </w:tbl>
    <w:p w14:paraId="3AB56B56" w14:textId="74933301" w:rsidR="000B148D" w:rsidRPr="00054570" w:rsidRDefault="000B148D" w:rsidP="000B148D">
      <w:pPr>
        <w:pStyle w:val="Footnotes"/>
      </w:pPr>
      <w:r w:rsidRPr="00054570">
        <w:t xml:space="preserve">*This category includes the preferred terms neutrophil count decreased and neutropoenia. </w:t>
      </w:r>
      <w:r w:rsidRPr="00054570">
        <w:br/>
      </w:r>
      <w:r w:rsidRPr="00054570">
        <w:rPr>
          <w:rFonts w:cs="Yu Gothic Light"/>
        </w:rPr>
        <w:t>†</w:t>
      </w:r>
      <w:r w:rsidRPr="00054570">
        <w:t xml:space="preserve">This category includes the preferred terms haemoglobin decreased, red blood cell count decreased, anaemia, and haematocrit decreased. </w:t>
      </w:r>
      <w:r w:rsidRPr="00054570">
        <w:br/>
      </w:r>
      <w:r w:rsidRPr="00054570">
        <w:rPr>
          <w:rFonts w:cs="Yu Gothic Light"/>
        </w:rPr>
        <w:t>‡</w:t>
      </w:r>
      <w:r w:rsidRPr="00054570">
        <w:t xml:space="preserve">This category includes the preferred terms white blood cell count decreased and leucopoenia. </w:t>
      </w:r>
      <w:r w:rsidRPr="00054570">
        <w:br/>
      </w:r>
      <w:r w:rsidRPr="00054570">
        <w:rPr>
          <w:rFonts w:cs="Yu Gothic Light"/>
        </w:rPr>
        <w:t>§</w:t>
      </w:r>
      <w:r w:rsidRPr="00054570">
        <w:t xml:space="preserve">This category includes platelet count decreased and thrombocytopaenia. </w:t>
      </w:r>
      <w:r w:rsidRPr="00054570">
        <w:br/>
        <w:t xml:space="preserve">**This category includes the preferred terms fatigue, asthenia, and malaise. </w:t>
      </w:r>
      <w:r w:rsidRPr="00054570">
        <w:br/>
        <w:t>Abbreviations: AST, aspartate aminotransferase; SAS, safety analysis set; TEAE, treatment-emergent adverse event; T-DXd, trastuzumab deruxtecan; TPC, treatment of physician’s choice.</w:t>
      </w:r>
      <w:r w:rsidRPr="00054570">
        <w:br/>
        <w:t xml:space="preserve">Source: </w:t>
      </w:r>
      <w:r>
        <w:t>Modi et al., 2022;</w:t>
      </w:r>
      <w:r>
        <w:fldChar w:fldCharType="begin"/>
      </w:r>
      <w:r w:rsidR="00CA6345">
        <w:instrText xml:space="preserve"> ADDIN ZOTERO_ITEM CSL_CITATION {"citationID":"U3UoPvuR","properties":{"formattedCitation":"\\super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t xml:space="preserve"> </w:t>
      </w:r>
      <w:r w:rsidRPr="00054570">
        <w:t>Daiichi Sanko Inc., 2022 (CSR tables and figures; Data on File).</w:t>
      </w:r>
      <w:r w:rsidRPr="00054570">
        <w:rPr>
          <w:rStyle w:val="normaltextrun"/>
          <w:rFonts w:cs="Yu Gothic Light"/>
          <w:shd w:val="clear" w:color="auto" w:fill="FFFFFF"/>
        </w:rPr>
        <w:fldChar w:fldCharType="begin"/>
      </w:r>
      <w:r w:rsidR="00CA6345">
        <w:rPr>
          <w:rStyle w:val="normaltextrun"/>
          <w:rFonts w:cs="Yu Gothic Light"/>
          <w:shd w:val="clear" w:color="auto" w:fill="FFFFFF"/>
        </w:rPr>
        <w:instrText xml:space="preserve"> ADDIN ZOTERO_ITEM CSL_CITATION {"citationID":"BNniyYz1","properties":{"formattedCitation":"\\super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rPr>
          <w:rStyle w:val="normaltextrun"/>
          <w:rFonts w:cs="Yu Gothic Light"/>
          <w:shd w:val="clear" w:color="auto" w:fill="FFFFFF"/>
        </w:rPr>
        <w:fldChar w:fldCharType="separate"/>
      </w:r>
      <w:r w:rsidR="00FD57F4" w:rsidRPr="00FD57F4">
        <w:rPr>
          <w:rFonts w:cs="Arial"/>
          <w:szCs w:val="24"/>
          <w:vertAlign w:val="superscript"/>
        </w:rPr>
        <w:t>7</w:t>
      </w:r>
      <w:r w:rsidRPr="00054570">
        <w:rPr>
          <w:rStyle w:val="normaltextrun"/>
          <w:rFonts w:cs="Yu Gothic Light"/>
          <w:shd w:val="clear" w:color="auto" w:fill="FFFFFF"/>
        </w:rPr>
        <w:fldChar w:fldCharType="end"/>
      </w:r>
      <w:r w:rsidRPr="00054570">
        <w:rPr>
          <w:rStyle w:val="normaltextrun"/>
          <w:rFonts w:cs="Yu Gothic Light"/>
          <w:shd w:val="clear" w:color="auto" w:fill="FFFFFF"/>
        </w:rPr>
        <w:t xml:space="preserve"> </w:t>
      </w:r>
    </w:p>
    <w:p w14:paraId="5CE39915" w14:textId="77777777" w:rsidR="000B148D" w:rsidRPr="00054570" w:rsidRDefault="000B148D" w:rsidP="000B148D">
      <w:pPr>
        <w:pStyle w:val="Heading5"/>
        <w:numPr>
          <w:ilvl w:val="0"/>
          <w:numId w:val="0"/>
        </w:numPr>
      </w:pPr>
      <w:r w:rsidRPr="00054570">
        <w:t>Treatment-emergent adverse events associated with changes to treatment</w:t>
      </w:r>
      <w:bookmarkEnd w:id="341"/>
    </w:p>
    <w:p w14:paraId="2274A87A" w14:textId="7AA1331F" w:rsidR="000B148D" w:rsidRPr="008A249A" w:rsidRDefault="000B148D" w:rsidP="000B148D">
      <w:pPr>
        <w:pStyle w:val="Body"/>
      </w:pPr>
      <w:r w:rsidRPr="00054570">
        <w:t xml:space="preserve">The key TEAEs associated with study drug discontinuation, dose reduction, or treatment interruption are summarised in </w:t>
      </w:r>
      <w:r w:rsidRPr="008A249A">
        <w:rPr>
          <w:b/>
          <w:bCs/>
        </w:rPr>
        <w:fldChar w:fldCharType="begin"/>
      </w:r>
      <w:r w:rsidRPr="008A249A">
        <w:rPr>
          <w:b/>
          <w:bCs/>
        </w:rPr>
        <w:instrText xml:space="preserve"> REF _Ref89422337 \h </w:instrText>
      </w:r>
      <w:r>
        <w:rPr>
          <w:b/>
          <w:bCs/>
        </w:rPr>
        <w:instrText xml:space="preserve"> \* MERGEFORMAT </w:instrText>
      </w:r>
      <w:r w:rsidRPr="008A249A">
        <w:rPr>
          <w:b/>
          <w:bCs/>
        </w:rPr>
      </w:r>
      <w:r w:rsidRPr="008A249A">
        <w:rPr>
          <w:b/>
          <w:bCs/>
        </w:rPr>
        <w:fldChar w:fldCharType="separate"/>
      </w:r>
      <w:r w:rsidR="00145F42" w:rsidRPr="00145F42">
        <w:rPr>
          <w:b/>
          <w:bCs/>
        </w:rPr>
        <w:t xml:space="preserve">Table </w:t>
      </w:r>
      <w:r w:rsidR="00145F42" w:rsidRPr="00145F42">
        <w:rPr>
          <w:b/>
          <w:bCs/>
          <w:noProof/>
        </w:rPr>
        <w:t>27</w:t>
      </w:r>
      <w:r w:rsidRPr="008A249A">
        <w:rPr>
          <w:b/>
          <w:bCs/>
        </w:rPr>
        <w:fldChar w:fldCharType="end"/>
      </w:r>
      <w:r>
        <w:t>.</w:t>
      </w:r>
    </w:p>
    <w:p w14:paraId="70700EBC" w14:textId="59016B4E" w:rsidR="000B148D" w:rsidRPr="00054570" w:rsidRDefault="000B148D" w:rsidP="000B148D">
      <w:pPr>
        <w:pStyle w:val="Body"/>
      </w:pPr>
      <w:r w:rsidRPr="00054570">
        <w:t>In total, 60 patients (16.2%) in the T-DXd arm and 14 patients (8.1%) in the TPC arm had TEAEs associated with study drug discontinuation (</w:t>
      </w:r>
      <w:r w:rsidRPr="00CE5ABB">
        <w:rPr>
          <w:b/>
          <w:bCs/>
        </w:rPr>
        <w:fldChar w:fldCharType="begin"/>
      </w:r>
      <w:r w:rsidRPr="00CE5ABB">
        <w:rPr>
          <w:b/>
          <w:bCs/>
        </w:rPr>
        <w:instrText xml:space="preserve"> REF _Ref89422337 \h </w:instrText>
      </w:r>
      <w:r>
        <w:rPr>
          <w:b/>
          <w:bCs/>
        </w:rPr>
        <w:instrText xml:space="preserve"> \* MERGEFORMAT </w:instrText>
      </w:r>
      <w:r w:rsidRPr="00CE5ABB">
        <w:rPr>
          <w:b/>
          <w:bCs/>
        </w:rPr>
      </w:r>
      <w:r w:rsidRPr="00CE5ABB">
        <w:rPr>
          <w:b/>
          <w:bCs/>
        </w:rPr>
        <w:fldChar w:fldCharType="separate"/>
      </w:r>
      <w:r w:rsidR="00145F42" w:rsidRPr="00145F42">
        <w:rPr>
          <w:b/>
          <w:bCs/>
        </w:rPr>
        <w:t xml:space="preserve">Table </w:t>
      </w:r>
      <w:r w:rsidR="00145F42" w:rsidRPr="00145F42">
        <w:rPr>
          <w:b/>
          <w:bCs/>
          <w:noProof/>
        </w:rPr>
        <w:t>27</w:t>
      </w:r>
      <w:r w:rsidRPr="00CE5ABB">
        <w:rPr>
          <w:b/>
          <w:bCs/>
        </w:rPr>
        <w:fldChar w:fldCharType="end"/>
      </w:r>
      <w:r w:rsidR="00DD418C" w:rsidRPr="003C648C">
        <w:t>)</w:t>
      </w:r>
      <w:r w:rsidRPr="00054570">
        <w:t>.</w:t>
      </w:r>
      <w:r>
        <w:fldChar w:fldCharType="begin"/>
      </w:r>
      <w:r w:rsidR="00CA6345">
        <w:instrText xml:space="preserve"> ADDIN ZOTERO_ITEM CSL_CITATION {"citationID":"l0PHgIfa","properties":{"formattedCitation":"\\super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054570">
        <w:t xml:space="preserve"> These TEAEs were considered drug</w:t>
      </w:r>
      <w:r w:rsidR="008A68B0">
        <w:t>-</w:t>
      </w:r>
      <w:r w:rsidRPr="00054570">
        <w:t>related by the investigator in 56 patients (15.1%) treated with T</w:t>
      </w:r>
      <w:r w:rsidRPr="00054570">
        <w:noBreakHyphen/>
        <w:t xml:space="preserve">DXd and 12 patients (7.0%) treated with TPC. The most common TEAEs associated with study drug discontinuation in the T-DXd arm were pneumonitis in </w:t>
      </w:r>
      <w:r w:rsidR="00294FDC" w:rsidRPr="00294FDC">
        <w:rPr>
          <w:color w:val="000000"/>
          <w:highlight w:val="black"/>
        </w:rPr>
        <w:t>xx</w:t>
      </w:r>
      <w:r w:rsidRPr="0015386A">
        <w:t xml:space="preserve"> </w:t>
      </w:r>
      <w:r w:rsidRPr="00054570">
        <w:t>patients (</w:t>
      </w:r>
      <w:r w:rsidR="00294FDC" w:rsidRPr="00294FDC">
        <w:rPr>
          <w:color w:val="000000"/>
          <w:highlight w:val="black"/>
        </w:rPr>
        <w:t>xxxx</w:t>
      </w:r>
      <w:r w:rsidRPr="00054570">
        <w:t xml:space="preserve">) and ILD in </w:t>
      </w:r>
      <w:r w:rsidR="00294FDC" w:rsidRPr="00294FDC">
        <w:rPr>
          <w:color w:val="000000"/>
          <w:highlight w:val="black"/>
        </w:rPr>
        <w:t>xx</w:t>
      </w:r>
      <w:r w:rsidRPr="00054570">
        <w:t> patients (</w:t>
      </w:r>
      <w:r w:rsidR="00294FDC" w:rsidRPr="00294FDC">
        <w:rPr>
          <w:color w:val="000000"/>
          <w:highlight w:val="black"/>
        </w:rPr>
        <w:t>xxxx</w:t>
      </w:r>
      <w:r w:rsidRPr="00054570">
        <w:t>).</w:t>
      </w:r>
      <w:r>
        <w:fldChar w:fldCharType="begin"/>
      </w:r>
      <w:r w:rsidR="00CA6345">
        <w:instrText xml:space="preserve"> ADDIN ZOTERO_ITEM CSL_CITATION {"citationID":"3uAJWLtY","properties":{"formattedCitation":"\\super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fldChar w:fldCharType="separate"/>
      </w:r>
      <w:r w:rsidR="00FD57F4" w:rsidRPr="00FD57F4">
        <w:rPr>
          <w:rFonts w:cs="Arial"/>
          <w:szCs w:val="24"/>
          <w:vertAlign w:val="superscript"/>
        </w:rPr>
        <w:t>7</w:t>
      </w:r>
      <w:r>
        <w:fldChar w:fldCharType="end"/>
      </w:r>
    </w:p>
    <w:p w14:paraId="15F227E7" w14:textId="4C59BE44" w:rsidR="000B148D" w:rsidRPr="00054570" w:rsidRDefault="000B148D" w:rsidP="000B148D">
      <w:pPr>
        <w:pStyle w:val="Body"/>
      </w:pPr>
      <w:r w:rsidRPr="00054570">
        <w:lastRenderedPageBreak/>
        <w:t>A total of 84 patients (22.6%) in the T-DXd arm and 66 patients (38.4%) in the TPC arm had TEAEs resulting in dose reduction</w:t>
      </w:r>
      <w:r w:rsidRPr="002612F7">
        <w:rPr>
          <w:rStyle w:val="FootnoteReference"/>
        </w:rPr>
        <w:footnoteReference w:id="15"/>
      </w:r>
      <w:r w:rsidRPr="00054570">
        <w:t xml:space="preserve"> (</w:t>
      </w:r>
      <w:r w:rsidRPr="00871B20">
        <w:rPr>
          <w:b/>
          <w:bCs/>
        </w:rPr>
        <w:fldChar w:fldCharType="begin"/>
      </w:r>
      <w:r w:rsidRPr="00871B20">
        <w:rPr>
          <w:b/>
          <w:bCs/>
        </w:rPr>
        <w:instrText xml:space="preserve"> REF _Ref89422337 \h </w:instrText>
      </w:r>
      <w:r>
        <w:rPr>
          <w:b/>
          <w:bCs/>
        </w:rPr>
        <w:instrText xml:space="preserve"> \* MERGEFORMAT </w:instrText>
      </w:r>
      <w:r w:rsidRPr="00871B20">
        <w:rPr>
          <w:b/>
          <w:bCs/>
        </w:rPr>
      </w:r>
      <w:r w:rsidRPr="00871B20">
        <w:rPr>
          <w:b/>
          <w:bCs/>
        </w:rPr>
        <w:fldChar w:fldCharType="separate"/>
      </w:r>
      <w:r w:rsidR="00145F42" w:rsidRPr="00145F42">
        <w:rPr>
          <w:b/>
          <w:bCs/>
        </w:rPr>
        <w:t xml:space="preserve">Table </w:t>
      </w:r>
      <w:r w:rsidR="00145F42" w:rsidRPr="00145F42">
        <w:rPr>
          <w:b/>
          <w:bCs/>
          <w:noProof/>
        </w:rPr>
        <w:t>27</w:t>
      </w:r>
      <w:r w:rsidRPr="00871B20">
        <w:rPr>
          <w:b/>
          <w:bCs/>
        </w:rPr>
        <w:fldChar w:fldCharType="end"/>
      </w:r>
      <w:r w:rsidRPr="00054570">
        <w:t>).</w:t>
      </w:r>
      <w:r>
        <w:fldChar w:fldCharType="begin"/>
      </w:r>
      <w:r w:rsidR="00CA6345">
        <w:instrText xml:space="preserve"> ADDIN ZOTERO_ITEM CSL_CITATION {"citationID":"BPqGFFhM","properties":{"formattedCitation":"\\super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054570">
        <w:t xml:space="preserve"> In most cases, the investigator considered the TEAE associated with dose reduction to be drug-related.</w:t>
      </w:r>
      <w:r>
        <w:fldChar w:fldCharType="begin"/>
      </w:r>
      <w:r w:rsidR="00CA6345">
        <w:instrText xml:space="preserve"> ADDIN ZOTERO_ITEM CSL_CITATION {"citationID":"oZoY4S26","properties":{"formattedCitation":"\\super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054570">
        <w:t xml:space="preserve"> </w:t>
      </w:r>
    </w:p>
    <w:p w14:paraId="05F18816" w14:textId="615A8D83" w:rsidR="000B148D" w:rsidRPr="00054570" w:rsidRDefault="0030308D" w:rsidP="000B148D">
      <w:pPr>
        <w:pStyle w:val="Body"/>
      </w:pPr>
      <w:r>
        <w:t xml:space="preserve">Treatment-emergent </w:t>
      </w:r>
      <w:r w:rsidR="00933BA3">
        <w:t>A</w:t>
      </w:r>
      <w:r w:rsidR="00BA159F">
        <w:t>e</w:t>
      </w:r>
      <w:r w:rsidR="00933BA3">
        <w:t>s</w:t>
      </w:r>
      <w:r w:rsidRPr="00054570">
        <w:t xml:space="preserve"> </w:t>
      </w:r>
      <w:r w:rsidR="000B148D" w:rsidRPr="00054570">
        <w:t>that led to study drug interruption</w:t>
      </w:r>
      <w:r w:rsidR="000B148D" w:rsidRPr="002612F7">
        <w:rPr>
          <w:rStyle w:val="FootnoteReference"/>
        </w:rPr>
        <w:footnoteReference w:id="16"/>
      </w:r>
      <w:r w:rsidR="000B148D" w:rsidRPr="00054570">
        <w:t xml:space="preserve"> were reported for 143 patients (38.5%) in the T</w:t>
      </w:r>
      <w:r w:rsidR="000B148D" w:rsidRPr="00054570">
        <w:noBreakHyphen/>
        <w:t>DXd arm and 72 patients (41.9%) in the TPC arm (</w:t>
      </w:r>
      <w:r w:rsidR="000B148D" w:rsidRPr="00925A08">
        <w:rPr>
          <w:b/>
          <w:bCs/>
        </w:rPr>
        <w:fldChar w:fldCharType="begin"/>
      </w:r>
      <w:r w:rsidR="000B148D" w:rsidRPr="00925A08">
        <w:rPr>
          <w:b/>
          <w:bCs/>
        </w:rPr>
        <w:instrText xml:space="preserve"> REF _Ref89422337 \h </w:instrText>
      </w:r>
      <w:r w:rsidR="000B148D">
        <w:rPr>
          <w:b/>
          <w:bCs/>
        </w:rPr>
        <w:instrText xml:space="preserve"> \* MERGEFORMAT </w:instrText>
      </w:r>
      <w:r w:rsidR="000B148D" w:rsidRPr="00925A08">
        <w:rPr>
          <w:b/>
          <w:bCs/>
        </w:rPr>
      </w:r>
      <w:r w:rsidR="000B148D" w:rsidRPr="00925A08">
        <w:rPr>
          <w:b/>
          <w:bCs/>
        </w:rPr>
        <w:fldChar w:fldCharType="separate"/>
      </w:r>
      <w:r w:rsidR="00145F42" w:rsidRPr="00145F42">
        <w:rPr>
          <w:b/>
          <w:bCs/>
        </w:rPr>
        <w:t xml:space="preserve">Table </w:t>
      </w:r>
      <w:r w:rsidR="00145F42" w:rsidRPr="00145F42">
        <w:rPr>
          <w:b/>
          <w:bCs/>
          <w:noProof/>
        </w:rPr>
        <w:t>27</w:t>
      </w:r>
      <w:r w:rsidR="000B148D" w:rsidRPr="00925A08">
        <w:rPr>
          <w:b/>
          <w:bCs/>
        </w:rPr>
        <w:fldChar w:fldCharType="end"/>
      </w:r>
      <w:r w:rsidR="000B148D" w:rsidRPr="00054570">
        <w:t>).</w:t>
      </w:r>
      <w:r w:rsidR="000B148D">
        <w:fldChar w:fldCharType="begin"/>
      </w:r>
      <w:r w:rsidR="00CA6345">
        <w:instrText xml:space="preserve"> ADDIN ZOTERO_ITEM CSL_CITATION {"citationID":"gWlopmuv","properties":{"formattedCitation":"\\super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000B148D">
        <w:fldChar w:fldCharType="separate"/>
      </w:r>
      <w:r w:rsidR="00FD57F4" w:rsidRPr="00FD57F4">
        <w:rPr>
          <w:rFonts w:cs="Arial"/>
          <w:szCs w:val="24"/>
          <w:vertAlign w:val="superscript"/>
        </w:rPr>
        <w:t>6</w:t>
      </w:r>
      <w:r w:rsidR="000B148D">
        <w:fldChar w:fldCharType="end"/>
      </w:r>
      <w:r w:rsidR="000B148D" w:rsidRPr="00054570">
        <w:rPr>
          <w:rStyle w:val="normaltextrun"/>
          <w:rFonts w:cs="Yu Gothic Light"/>
          <w:shd w:val="clear" w:color="auto" w:fill="FFFFFF"/>
        </w:rPr>
        <w:t xml:space="preserve"> </w:t>
      </w:r>
      <w:r w:rsidR="000B148D" w:rsidRPr="00054570">
        <w:t>The TEAE leading to study drug interruption was considered by the investigator to be drug</w:t>
      </w:r>
      <w:r w:rsidR="008A68B0">
        <w:t>-</w:t>
      </w:r>
      <w:r w:rsidR="000B148D" w:rsidRPr="00054570">
        <w:t>related in 106 T-DXd patients (28.6%) and 62 TPC patients (36.0%), respectively (</w:t>
      </w:r>
      <w:r w:rsidR="000B148D" w:rsidRPr="003C648C">
        <w:rPr>
          <w:b/>
          <w:bCs/>
        </w:rPr>
        <w:fldChar w:fldCharType="begin"/>
      </w:r>
      <w:r w:rsidR="000B148D" w:rsidRPr="003C648C">
        <w:rPr>
          <w:b/>
          <w:bCs/>
        </w:rPr>
        <w:instrText xml:space="preserve"> REF _Ref89422337 \h  \* MERGEFORMAT </w:instrText>
      </w:r>
      <w:r w:rsidR="000B148D" w:rsidRPr="003C648C">
        <w:rPr>
          <w:b/>
          <w:bCs/>
        </w:rPr>
      </w:r>
      <w:r w:rsidR="000B148D" w:rsidRPr="003C648C">
        <w:rPr>
          <w:b/>
          <w:bCs/>
        </w:rPr>
        <w:fldChar w:fldCharType="separate"/>
      </w:r>
      <w:r w:rsidR="00145F42" w:rsidRPr="00145F42">
        <w:rPr>
          <w:b/>
          <w:bCs/>
        </w:rPr>
        <w:t xml:space="preserve">Table </w:t>
      </w:r>
      <w:r w:rsidR="00145F42" w:rsidRPr="00145F42">
        <w:rPr>
          <w:b/>
          <w:bCs/>
          <w:noProof/>
        </w:rPr>
        <w:t>27</w:t>
      </w:r>
      <w:r w:rsidR="000B148D" w:rsidRPr="003C648C">
        <w:rPr>
          <w:b/>
          <w:bCs/>
        </w:rPr>
        <w:fldChar w:fldCharType="end"/>
      </w:r>
      <w:r w:rsidR="000B148D" w:rsidRPr="00054570">
        <w:t>).</w:t>
      </w:r>
      <w:r w:rsidR="000B148D">
        <w:fldChar w:fldCharType="begin"/>
      </w:r>
      <w:r w:rsidR="00CA6345">
        <w:instrText xml:space="preserve"> ADDIN ZOTERO_ITEM CSL_CITATION {"citationID":"p7wkEleU","properties":{"formattedCitation":"\\super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000B148D">
        <w:fldChar w:fldCharType="separate"/>
      </w:r>
      <w:r w:rsidR="00FD57F4" w:rsidRPr="00FD57F4">
        <w:rPr>
          <w:rFonts w:cs="Arial"/>
          <w:szCs w:val="24"/>
          <w:vertAlign w:val="superscript"/>
        </w:rPr>
        <w:t>6</w:t>
      </w:r>
      <w:r w:rsidR="000B148D">
        <w:fldChar w:fldCharType="end"/>
      </w:r>
      <w:r w:rsidR="000B148D" w:rsidRPr="00054570">
        <w:t xml:space="preserve"> </w:t>
      </w:r>
    </w:p>
    <w:p w14:paraId="1DFE6C31" w14:textId="39E4EE55" w:rsidR="000B148D" w:rsidRPr="00054570" w:rsidRDefault="000B148D" w:rsidP="000B148D">
      <w:pPr>
        <w:pStyle w:val="Caption"/>
      </w:pPr>
      <w:bookmarkStart w:id="346" w:name="_Ref89422337"/>
      <w:bookmarkStart w:id="347" w:name="_Toc95826072"/>
      <w:bookmarkStart w:id="348" w:name="_Toc124447887"/>
      <w:bookmarkStart w:id="349" w:name="_Toc129351002"/>
      <w:r w:rsidRPr="00054570">
        <w:t xml:space="preserve">Table </w:t>
      </w:r>
      <w:r w:rsidRPr="00054570">
        <w:fldChar w:fldCharType="begin"/>
      </w:r>
      <w:r w:rsidRPr="00054570">
        <w:instrText>SEQ Table \* ARABIC</w:instrText>
      </w:r>
      <w:r w:rsidRPr="00054570">
        <w:fldChar w:fldCharType="separate"/>
      </w:r>
      <w:r w:rsidR="00145F42">
        <w:rPr>
          <w:noProof/>
        </w:rPr>
        <w:t>27</w:t>
      </w:r>
      <w:r w:rsidRPr="00054570">
        <w:fldChar w:fldCharType="end"/>
      </w:r>
      <w:bookmarkEnd w:id="346"/>
      <w:r w:rsidRPr="00054570">
        <w:rPr>
          <w:noProof/>
        </w:rPr>
        <w:t>:</w:t>
      </w:r>
      <w:r w:rsidRPr="00054570">
        <w:t xml:space="preserve"> TEAEs associated with changes to treatment occurring in ≥2% of patients in either arm | SAS</w:t>
      </w:r>
      <w:bookmarkEnd w:id="347"/>
      <w:bookmarkEnd w:id="348"/>
      <w:bookmarkEnd w:id="349"/>
    </w:p>
    <w:tbl>
      <w:tblPr>
        <w:tblStyle w:val="Generaltable"/>
        <w:tblW w:w="0" w:type="auto"/>
        <w:tblLook w:val="04A0" w:firstRow="1" w:lastRow="0" w:firstColumn="1" w:lastColumn="0" w:noHBand="0" w:noVBand="1"/>
      </w:tblPr>
      <w:tblGrid>
        <w:gridCol w:w="5240"/>
        <w:gridCol w:w="1746"/>
        <w:gridCol w:w="2030"/>
      </w:tblGrid>
      <w:tr w:rsidR="000B148D" w:rsidRPr="00054570" w14:paraId="792FECB1" w14:textId="77777777" w:rsidTr="00514744">
        <w:trPr>
          <w:cnfStyle w:val="100000000000" w:firstRow="1" w:lastRow="0" w:firstColumn="0" w:lastColumn="0" w:oddVBand="0" w:evenVBand="0" w:oddHBand="0" w:evenHBand="0" w:firstRowFirstColumn="0" w:firstRowLastColumn="0" w:lastRowFirstColumn="0" w:lastRowLastColumn="0"/>
          <w:tblHeader/>
        </w:trPr>
        <w:tc>
          <w:tcPr>
            <w:tcW w:w="5240" w:type="dxa"/>
            <w:shd w:val="clear" w:color="auto" w:fill="F2F2F2" w:themeFill="background1" w:themeFillShade="F2"/>
            <w:vAlign w:val="bottom"/>
          </w:tcPr>
          <w:p w14:paraId="4489501E" w14:textId="77777777" w:rsidR="000B148D" w:rsidRPr="00054570" w:rsidRDefault="000B148D" w:rsidP="00514744">
            <w:pPr>
              <w:pStyle w:val="Tableheading"/>
              <w:spacing w:before="0" w:after="0"/>
              <w:contextualSpacing/>
            </w:pPr>
            <w:r w:rsidRPr="00054570">
              <w:t>Preferred term or grouped term, n (%)</w:t>
            </w:r>
          </w:p>
        </w:tc>
        <w:tc>
          <w:tcPr>
            <w:tcW w:w="1746" w:type="dxa"/>
            <w:shd w:val="clear" w:color="auto" w:fill="F2F2F2" w:themeFill="background1" w:themeFillShade="F2"/>
          </w:tcPr>
          <w:p w14:paraId="64AABDB7" w14:textId="45CC81EB" w:rsidR="000B148D" w:rsidRPr="00054570" w:rsidRDefault="000B148D" w:rsidP="00514744">
            <w:pPr>
              <w:pStyle w:val="Tableheading"/>
              <w:spacing w:before="0" w:after="0"/>
              <w:contextualSpacing/>
              <w:jc w:val="center"/>
            </w:pPr>
            <w:r w:rsidRPr="00054570">
              <w:t>T-DXd</w:t>
            </w:r>
            <w:r w:rsidR="00514744">
              <w:t xml:space="preserve"> </w:t>
            </w:r>
            <w:r w:rsidRPr="00054570">
              <w:t>(</w:t>
            </w:r>
            <w:r>
              <w:t>N=</w:t>
            </w:r>
            <w:r w:rsidRPr="00054570">
              <w:t>371)</w:t>
            </w:r>
          </w:p>
        </w:tc>
        <w:tc>
          <w:tcPr>
            <w:tcW w:w="2030" w:type="dxa"/>
            <w:shd w:val="clear" w:color="auto" w:fill="F2F2F2" w:themeFill="background1" w:themeFillShade="F2"/>
          </w:tcPr>
          <w:p w14:paraId="12985635" w14:textId="12F38FF2" w:rsidR="000B148D" w:rsidRPr="00054570" w:rsidRDefault="000B148D" w:rsidP="00514744">
            <w:pPr>
              <w:pStyle w:val="Tableheading"/>
              <w:spacing w:before="0" w:after="0"/>
              <w:contextualSpacing/>
              <w:jc w:val="center"/>
            </w:pPr>
            <w:r w:rsidRPr="00054570">
              <w:t>TPC</w:t>
            </w:r>
            <w:r w:rsidR="00514744">
              <w:t xml:space="preserve"> </w:t>
            </w:r>
            <w:r w:rsidRPr="00054570">
              <w:t>(</w:t>
            </w:r>
            <w:r>
              <w:t>N=</w:t>
            </w:r>
            <w:r w:rsidRPr="00054570">
              <w:t>172)</w:t>
            </w:r>
          </w:p>
        </w:tc>
      </w:tr>
      <w:tr w:rsidR="000B148D" w:rsidRPr="00054570" w14:paraId="715BF47B" w14:textId="77777777">
        <w:trPr>
          <w:cnfStyle w:val="100000000000" w:firstRow="1" w:lastRow="0" w:firstColumn="0" w:lastColumn="0" w:oddVBand="0" w:evenVBand="0" w:oddHBand="0" w:evenHBand="0" w:firstRowFirstColumn="0" w:firstRowLastColumn="0" w:lastRowFirstColumn="0" w:lastRowLastColumn="0"/>
          <w:tblHeader/>
        </w:trPr>
        <w:tc>
          <w:tcPr>
            <w:tcW w:w="5240" w:type="dxa"/>
            <w:shd w:val="clear" w:color="auto" w:fill="F2F2F2" w:themeFill="background1" w:themeFillShade="F2"/>
          </w:tcPr>
          <w:p w14:paraId="3E984068" w14:textId="77777777" w:rsidR="000B148D" w:rsidRPr="00054570" w:rsidRDefault="000B148D" w:rsidP="00514744">
            <w:pPr>
              <w:pStyle w:val="Tablebody"/>
              <w:spacing w:before="0" w:after="0"/>
              <w:contextualSpacing/>
              <w:rPr>
                <w:rFonts w:cs="Arial"/>
                <w:b/>
                <w:bCs/>
              </w:rPr>
            </w:pPr>
            <w:r w:rsidRPr="00054570">
              <w:rPr>
                <w:rFonts w:cs="Arial"/>
                <w:b/>
                <w:bCs/>
              </w:rPr>
              <w:t xml:space="preserve">TEAEs associated with study drug </w:t>
            </w:r>
            <w:r w:rsidRPr="00054570">
              <w:rPr>
                <w:rFonts w:eastAsia="Times New Roman" w:cs="Arial"/>
                <w:b/>
                <w:bCs/>
              </w:rPr>
              <w:t xml:space="preserve">discontinuation </w:t>
            </w:r>
          </w:p>
        </w:tc>
        <w:tc>
          <w:tcPr>
            <w:tcW w:w="1746" w:type="dxa"/>
            <w:shd w:val="clear" w:color="auto" w:fill="auto"/>
          </w:tcPr>
          <w:p w14:paraId="71EBA43A" w14:textId="77777777" w:rsidR="000B148D" w:rsidRPr="000E08E1" w:rsidRDefault="000B148D" w:rsidP="00514744">
            <w:pPr>
              <w:pStyle w:val="Tablebody"/>
              <w:spacing w:before="0" w:after="0"/>
              <w:contextualSpacing/>
              <w:jc w:val="center"/>
              <w:rPr>
                <w:rFonts w:cs="Arial"/>
                <w:b/>
                <w:bCs/>
              </w:rPr>
            </w:pPr>
            <w:r w:rsidRPr="000E08E1">
              <w:rPr>
                <w:rFonts w:eastAsia="Times New Roman" w:cs="Arial"/>
                <w:b/>
                <w:bCs/>
              </w:rPr>
              <w:t xml:space="preserve">60 (16.2) </w:t>
            </w:r>
          </w:p>
        </w:tc>
        <w:tc>
          <w:tcPr>
            <w:tcW w:w="2030" w:type="dxa"/>
            <w:shd w:val="clear" w:color="auto" w:fill="auto"/>
          </w:tcPr>
          <w:p w14:paraId="78084C17" w14:textId="77777777" w:rsidR="000B148D" w:rsidRPr="000E08E1" w:rsidRDefault="000B148D" w:rsidP="00514744">
            <w:pPr>
              <w:pStyle w:val="Tablebody"/>
              <w:spacing w:before="0" w:after="0"/>
              <w:contextualSpacing/>
              <w:jc w:val="center"/>
              <w:rPr>
                <w:rFonts w:cs="Arial"/>
                <w:b/>
                <w:bCs/>
              </w:rPr>
            </w:pPr>
            <w:r w:rsidRPr="000E08E1">
              <w:rPr>
                <w:rFonts w:eastAsia="Times New Roman" w:cs="Arial"/>
                <w:b/>
                <w:bCs/>
              </w:rPr>
              <w:t xml:space="preserve">14 (8.1) </w:t>
            </w:r>
          </w:p>
        </w:tc>
      </w:tr>
      <w:tr w:rsidR="000B148D" w:rsidRPr="00054570" w14:paraId="26A89000" w14:textId="77777777">
        <w:trPr>
          <w:cnfStyle w:val="100000000000" w:firstRow="1" w:lastRow="0" w:firstColumn="0" w:lastColumn="0" w:oddVBand="0" w:evenVBand="0" w:oddHBand="0" w:evenHBand="0" w:firstRowFirstColumn="0" w:firstRowLastColumn="0" w:lastRowFirstColumn="0" w:lastRowLastColumn="0"/>
          <w:tblHeader/>
        </w:trPr>
        <w:tc>
          <w:tcPr>
            <w:tcW w:w="5240" w:type="dxa"/>
            <w:shd w:val="clear" w:color="auto" w:fill="F2F2F2" w:themeFill="background1" w:themeFillShade="F2"/>
          </w:tcPr>
          <w:p w14:paraId="6FBF02B3" w14:textId="77777777" w:rsidR="000B148D" w:rsidRPr="00054570" w:rsidRDefault="000B148D" w:rsidP="00514744">
            <w:pPr>
              <w:pStyle w:val="Tablebody"/>
              <w:spacing w:before="0" w:after="0"/>
              <w:ind w:left="167"/>
              <w:contextualSpacing/>
              <w:rPr>
                <w:rFonts w:eastAsia="Times New Roman" w:cs="Arial"/>
              </w:rPr>
            </w:pPr>
            <w:r>
              <w:rPr>
                <w:rFonts w:eastAsia="Times New Roman" w:cs="Arial"/>
              </w:rPr>
              <w:t>Pneumonitis</w:t>
            </w:r>
          </w:p>
        </w:tc>
        <w:tc>
          <w:tcPr>
            <w:tcW w:w="1746" w:type="dxa"/>
            <w:shd w:val="clear" w:color="auto" w:fill="auto"/>
          </w:tcPr>
          <w:p w14:paraId="0DD77C26" w14:textId="5AEED102"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xxxxxxxxx</w:t>
            </w:r>
          </w:p>
        </w:tc>
        <w:tc>
          <w:tcPr>
            <w:tcW w:w="2030" w:type="dxa"/>
            <w:shd w:val="clear" w:color="auto" w:fill="auto"/>
          </w:tcPr>
          <w:p w14:paraId="1EC27FAB" w14:textId="0B2527C5"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w:t>
            </w:r>
          </w:p>
        </w:tc>
      </w:tr>
      <w:tr w:rsidR="000B148D" w:rsidRPr="00054570" w14:paraId="3631E2B3" w14:textId="77777777">
        <w:trPr>
          <w:cnfStyle w:val="100000000000" w:firstRow="1" w:lastRow="0" w:firstColumn="0" w:lastColumn="0" w:oddVBand="0" w:evenVBand="0" w:oddHBand="0" w:evenHBand="0" w:firstRowFirstColumn="0" w:firstRowLastColumn="0" w:lastRowFirstColumn="0" w:lastRowLastColumn="0"/>
          <w:tblHeader/>
        </w:trPr>
        <w:tc>
          <w:tcPr>
            <w:tcW w:w="5240" w:type="dxa"/>
            <w:shd w:val="clear" w:color="auto" w:fill="F2F2F2" w:themeFill="background1" w:themeFillShade="F2"/>
          </w:tcPr>
          <w:p w14:paraId="2BA9116A" w14:textId="77777777" w:rsidR="000B148D" w:rsidRPr="00054570" w:rsidRDefault="000B148D" w:rsidP="00514744">
            <w:pPr>
              <w:pStyle w:val="Tablebody"/>
              <w:spacing w:before="0" w:after="0"/>
              <w:ind w:left="167"/>
              <w:contextualSpacing/>
              <w:rPr>
                <w:rFonts w:cs="Arial"/>
                <w:strike/>
              </w:rPr>
            </w:pPr>
            <w:r w:rsidRPr="00054570">
              <w:rPr>
                <w:rFonts w:eastAsia="Times New Roman" w:cs="Arial"/>
              </w:rPr>
              <w:t xml:space="preserve">Interstitial lung disease </w:t>
            </w:r>
          </w:p>
        </w:tc>
        <w:tc>
          <w:tcPr>
            <w:tcW w:w="1746" w:type="dxa"/>
            <w:shd w:val="clear" w:color="auto" w:fill="auto"/>
          </w:tcPr>
          <w:p w14:paraId="100DD8F1" w14:textId="039879C5" w:rsidR="000B148D" w:rsidRPr="00294FDC" w:rsidRDefault="00294FDC" w:rsidP="00514744">
            <w:pPr>
              <w:pStyle w:val="Tablebody"/>
              <w:spacing w:before="0" w:after="0"/>
              <w:contextualSpacing/>
              <w:jc w:val="center"/>
              <w:rPr>
                <w:rFonts w:cs="Arial"/>
                <w:strike/>
                <w:color w:val="000000"/>
                <w:highlight w:val="black"/>
              </w:rPr>
            </w:pPr>
            <w:r w:rsidRPr="00294FDC">
              <w:rPr>
                <w:rFonts w:eastAsia="Times New Roman" w:cs="Arial"/>
                <w:color w:val="000000"/>
                <w:highlight w:val="black"/>
              </w:rPr>
              <w:t>xxxxxxxxxx</w:t>
            </w:r>
          </w:p>
        </w:tc>
        <w:tc>
          <w:tcPr>
            <w:tcW w:w="2030" w:type="dxa"/>
            <w:shd w:val="clear" w:color="auto" w:fill="auto"/>
          </w:tcPr>
          <w:p w14:paraId="7E484953" w14:textId="6729A1B6" w:rsidR="000B148D" w:rsidRPr="00294FDC" w:rsidRDefault="00294FDC" w:rsidP="00514744">
            <w:pPr>
              <w:pStyle w:val="Tablebody"/>
              <w:spacing w:before="0" w:after="0"/>
              <w:contextualSpacing/>
              <w:jc w:val="center"/>
              <w:rPr>
                <w:rFonts w:cs="Arial"/>
                <w:strike/>
                <w:color w:val="000000"/>
                <w:highlight w:val="black"/>
              </w:rPr>
            </w:pPr>
            <w:r w:rsidRPr="00294FDC">
              <w:rPr>
                <w:rFonts w:eastAsia="Times New Roman" w:cs="Arial"/>
                <w:color w:val="000000"/>
                <w:highlight w:val="black"/>
              </w:rPr>
              <w:t>xx</w:t>
            </w:r>
          </w:p>
        </w:tc>
      </w:tr>
      <w:tr w:rsidR="000B148D" w:rsidRPr="00054570" w14:paraId="6DDC6084" w14:textId="77777777">
        <w:trPr>
          <w:cnfStyle w:val="100000000000" w:firstRow="1" w:lastRow="0" w:firstColumn="0" w:lastColumn="0" w:oddVBand="0" w:evenVBand="0" w:oddHBand="0" w:evenHBand="0" w:firstRowFirstColumn="0" w:firstRowLastColumn="0" w:lastRowFirstColumn="0" w:lastRowLastColumn="0"/>
          <w:tblHeader/>
        </w:trPr>
        <w:tc>
          <w:tcPr>
            <w:tcW w:w="5240" w:type="dxa"/>
            <w:shd w:val="clear" w:color="auto" w:fill="F2F2F2" w:themeFill="background1" w:themeFillShade="F2"/>
          </w:tcPr>
          <w:p w14:paraId="32D2B615" w14:textId="77777777" w:rsidR="000B148D" w:rsidRPr="00054570" w:rsidRDefault="000B148D" w:rsidP="00514744">
            <w:pPr>
              <w:pStyle w:val="Tablebody"/>
              <w:spacing w:before="0" w:after="0"/>
              <w:ind w:left="167"/>
              <w:contextualSpacing/>
              <w:rPr>
                <w:rFonts w:cs="Arial"/>
                <w:strike/>
              </w:rPr>
            </w:pPr>
            <w:r w:rsidRPr="00054570">
              <w:rPr>
                <w:rFonts w:eastAsia="Times New Roman" w:cs="Arial"/>
              </w:rPr>
              <w:t xml:space="preserve">Peripheral sensory neuropathy </w:t>
            </w:r>
          </w:p>
        </w:tc>
        <w:tc>
          <w:tcPr>
            <w:tcW w:w="1746" w:type="dxa"/>
            <w:shd w:val="clear" w:color="auto" w:fill="auto"/>
          </w:tcPr>
          <w:p w14:paraId="58A0214A" w14:textId="4B972A63" w:rsidR="000B148D" w:rsidRPr="00294FDC" w:rsidRDefault="00294FDC" w:rsidP="00514744">
            <w:pPr>
              <w:pStyle w:val="Tablebody"/>
              <w:spacing w:before="0" w:after="0"/>
              <w:contextualSpacing/>
              <w:jc w:val="center"/>
              <w:rPr>
                <w:rFonts w:cs="Arial"/>
                <w:strike/>
                <w:color w:val="000000"/>
                <w:highlight w:val="black"/>
              </w:rPr>
            </w:pPr>
            <w:r w:rsidRPr="00294FDC">
              <w:rPr>
                <w:rFonts w:eastAsia="Times New Roman" w:cs="Arial"/>
                <w:color w:val="000000"/>
                <w:highlight w:val="black"/>
              </w:rPr>
              <w:t>xx</w:t>
            </w:r>
          </w:p>
        </w:tc>
        <w:tc>
          <w:tcPr>
            <w:tcW w:w="2030" w:type="dxa"/>
            <w:shd w:val="clear" w:color="auto" w:fill="auto"/>
          </w:tcPr>
          <w:p w14:paraId="1229EFAC" w14:textId="591A26B0" w:rsidR="000B148D" w:rsidRPr="00294FDC" w:rsidRDefault="00294FDC" w:rsidP="00514744">
            <w:pPr>
              <w:pStyle w:val="Tablebody"/>
              <w:spacing w:before="0" w:after="0"/>
              <w:contextualSpacing/>
              <w:jc w:val="center"/>
              <w:rPr>
                <w:rFonts w:cs="Arial"/>
                <w:strike/>
                <w:color w:val="000000"/>
                <w:highlight w:val="black"/>
              </w:rPr>
            </w:pPr>
            <w:r w:rsidRPr="00294FDC">
              <w:rPr>
                <w:rFonts w:eastAsia="Times New Roman" w:cs="Arial"/>
                <w:color w:val="000000"/>
                <w:highlight w:val="black"/>
              </w:rPr>
              <w:t>xxxxxxxx</w:t>
            </w:r>
          </w:p>
        </w:tc>
      </w:tr>
      <w:tr w:rsidR="000B148D" w:rsidRPr="00054570" w14:paraId="4E281ABB" w14:textId="77777777">
        <w:trPr>
          <w:cnfStyle w:val="100000000000" w:firstRow="1" w:lastRow="0" w:firstColumn="0" w:lastColumn="0" w:oddVBand="0" w:evenVBand="0" w:oddHBand="0" w:evenHBand="0" w:firstRowFirstColumn="0" w:firstRowLastColumn="0" w:lastRowFirstColumn="0" w:lastRowLastColumn="0"/>
          <w:trHeight w:val="77"/>
          <w:tblHeader/>
        </w:trPr>
        <w:tc>
          <w:tcPr>
            <w:tcW w:w="5240" w:type="dxa"/>
            <w:shd w:val="clear" w:color="auto" w:fill="F2F2F2" w:themeFill="background1" w:themeFillShade="F2"/>
          </w:tcPr>
          <w:p w14:paraId="3A6F8949" w14:textId="77777777" w:rsidR="000B148D" w:rsidRPr="00054570" w:rsidRDefault="000B148D" w:rsidP="00514744">
            <w:pPr>
              <w:pStyle w:val="Tablebody"/>
              <w:spacing w:before="0" w:after="0"/>
              <w:contextualSpacing/>
              <w:rPr>
                <w:rFonts w:cs="Arial"/>
                <w:b/>
                <w:bCs/>
              </w:rPr>
            </w:pPr>
            <w:r w:rsidRPr="00054570">
              <w:rPr>
                <w:rFonts w:cs="Arial"/>
                <w:b/>
                <w:bCs/>
              </w:rPr>
              <w:t xml:space="preserve">TEAEs associated with study drug </w:t>
            </w:r>
            <w:r>
              <w:rPr>
                <w:rFonts w:cs="Arial"/>
                <w:b/>
                <w:bCs/>
              </w:rPr>
              <w:t xml:space="preserve">dose </w:t>
            </w:r>
            <w:r w:rsidRPr="00054570">
              <w:rPr>
                <w:rFonts w:cs="Arial"/>
                <w:b/>
                <w:bCs/>
              </w:rPr>
              <w:t>reduction</w:t>
            </w:r>
          </w:p>
        </w:tc>
        <w:tc>
          <w:tcPr>
            <w:tcW w:w="1746" w:type="dxa"/>
            <w:shd w:val="clear" w:color="auto" w:fill="auto"/>
          </w:tcPr>
          <w:p w14:paraId="63F28D8F" w14:textId="77777777" w:rsidR="000B148D" w:rsidRPr="000E08E1" w:rsidRDefault="000B148D" w:rsidP="00514744">
            <w:pPr>
              <w:pStyle w:val="Tablebody"/>
              <w:spacing w:before="0" w:after="0"/>
              <w:contextualSpacing/>
              <w:jc w:val="center"/>
              <w:rPr>
                <w:rFonts w:cs="Arial"/>
                <w:b/>
                <w:bCs/>
              </w:rPr>
            </w:pPr>
            <w:r w:rsidRPr="000E08E1">
              <w:rPr>
                <w:rFonts w:eastAsia="Times New Roman" w:cs="Arial"/>
                <w:b/>
                <w:bCs/>
              </w:rPr>
              <w:t xml:space="preserve">84 (22.6) </w:t>
            </w:r>
          </w:p>
        </w:tc>
        <w:tc>
          <w:tcPr>
            <w:tcW w:w="2030" w:type="dxa"/>
            <w:shd w:val="clear" w:color="auto" w:fill="auto"/>
          </w:tcPr>
          <w:p w14:paraId="6B2D9132" w14:textId="77777777" w:rsidR="000B148D" w:rsidRPr="000E08E1" w:rsidRDefault="000B148D" w:rsidP="00514744">
            <w:pPr>
              <w:pStyle w:val="Tablebody"/>
              <w:spacing w:before="0" w:after="0"/>
              <w:contextualSpacing/>
              <w:jc w:val="center"/>
              <w:rPr>
                <w:rFonts w:cs="Arial"/>
                <w:b/>
                <w:bCs/>
              </w:rPr>
            </w:pPr>
            <w:r w:rsidRPr="000E08E1">
              <w:rPr>
                <w:rFonts w:eastAsia="Times New Roman" w:cs="Arial"/>
                <w:b/>
                <w:bCs/>
              </w:rPr>
              <w:t xml:space="preserve">66 (38.4) </w:t>
            </w:r>
          </w:p>
        </w:tc>
      </w:tr>
      <w:tr w:rsidR="000B148D" w:rsidRPr="00054570" w14:paraId="472414CD" w14:textId="77777777">
        <w:trPr>
          <w:cnfStyle w:val="100000000000" w:firstRow="1" w:lastRow="0" w:firstColumn="0" w:lastColumn="0" w:oddVBand="0" w:evenVBand="0" w:oddHBand="0" w:evenHBand="0" w:firstRowFirstColumn="0" w:firstRowLastColumn="0" w:lastRowFirstColumn="0" w:lastRowLastColumn="0"/>
          <w:trHeight w:val="77"/>
          <w:tblHeader/>
        </w:trPr>
        <w:tc>
          <w:tcPr>
            <w:tcW w:w="5240" w:type="dxa"/>
            <w:shd w:val="clear" w:color="auto" w:fill="F2F2F2" w:themeFill="background1" w:themeFillShade="F2"/>
          </w:tcPr>
          <w:p w14:paraId="7396639A" w14:textId="77777777" w:rsidR="000B148D" w:rsidRPr="00054570" w:rsidRDefault="000B148D" w:rsidP="00514744">
            <w:pPr>
              <w:pStyle w:val="Tablebody"/>
              <w:spacing w:before="0" w:after="0"/>
              <w:ind w:left="167"/>
              <w:contextualSpacing/>
              <w:rPr>
                <w:rFonts w:cs="Arial"/>
              </w:rPr>
            </w:pPr>
            <w:r w:rsidRPr="00054570">
              <w:rPr>
                <w:rFonts w:eastAsia="Times New Roman" w:cs="Arial"/>
              </w:rPr>
              <w:t>Fatigue</w:t>
            </w:r>
          </w:p>
        </w:tc>
        <w:tc>
          <w:tcPr>
            <w:tcW w:w="1746" w:type="dxa"/>
            <w:shd w:val="clear" w:color="auto" w:fill="auto"/>
          </w:tcPr>
          <w:p w14:paraId="6B780BD2" w14:textId="6BFFB1B0"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xxxxxxxxx</w:t>
            </w:r>
          </w:p>
        </w:tc>
        <w:tc>
          <w:tcPr>
            <w:tcW w:w="2030" w:type="dxa"/>
            <w:shd w:val="clear" w:color="auto" w:fill="auto"/>
          </w:tcPr>
          <w:p w14:paraId="776A614F" w14:textId="70B8D3B4"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w:t>
            </w:r>
          </w:p>
        </w:tc>
      </w:tr>
      <w:tr w:rsidR="000B148D" w:rsidRPr="00054570" w14:paraId="2400E7EC" w14:textId="77777777">
        <w:trPr>
          <w:cnfStyle w:val="100000000000" w:firstRow="1" w:lastRow="0" w:firstColumn="0" w:lastColumn="0" w:oddVBand="0" w:evenVBand="0" w:oddHBand="0" w:evenHBand="0" w:firstRowFirstColumn="0" w:firstRowLastColumn="0" w:lastRowFirstColumn="0" w:lastRowLastColumn="0"/>
          <w:trHeight w:val="77"/>
          <w:tblHeader/>
        </w:trPr>
        <w:tc>
          <w:tcPr>
            <w:tcW w:w="5240" w:type="dxa"/>
            <w:shd w:val="clear" w:color="auto" w:fill="F2F2F2" w:themeFill="background1" w:themeFillShade="F2"/>
          </w:tcPr>
          <w:p w14:paraId="4E3ED51D" w14:textId="77777777" w:rsidR="000B148D" w:rsidRPr="00054570" w:rsidRDefault="000B148D" w:rsidP="00514744">
            <w:pPr>
              <w:pStyle w:val="Tablebody"/>
              <w:spacing w:before="0" w:after="0"/>
              <w:ind w:left="167"/>
              <w:contextualSpacing/>
              <w:rPr>
                <w:rFonts w:cs="Arial"/>
              </w:rPr>
            </w:pPr>
            <w:r w:rsidRPr="00054570">
              <w:rPr>
                <w:rFonts w:eastAsia="Times New Roman" w:cs="Arial"/>
              </w:rPr>
              <w:t xml:space="preserve">Nausea </w:t>
            </w:r>
          </w:p>
        </w:tc>
        <w:tc>
          <w:tcPr>
            <w:tcW w:w="1746" w:type="dxa"/>
            <w:shd w:val="clear" w:color="auto" w:fill="auto"/>
          </w:tcPr>
          <w:p w14:paraId="5B828ECD" w14:textId="4605C11C"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xxxxxxxxx</w:t>
            </w:r>
          </w:p>
        </w:tc>
        <w:tc>
          <w:tcPr>
            <w:tcW w:w="2030" w:type="dxa"/>
            <w:shd w:val="clear" w:color="auto" w:fill="auto"/>
          </w:tcPr>
          <w:p w14:paraId="3AAD4370" w14:textId="33528F61"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w:t>
            </w:r>
          </w:p>
        </w:tc>
      </w:tr>
      <w:tr w:rsidR="000B148D" w:rsidRPr="00054570" w14:paraId="703FA332" w14:textId="77777777">
        <w:trPr>
          <w:cnfStyle w:val="100000000000" w:firstRow="1" w:lastRow="0" w:firstColumn="0" w:lastColumn="0" w:oddVBand="0" w:evenVBand="0" w:oddHBand="0" w:evenHBand="0" w:firstRowFirstColumn="0" w:firstRowLastColumn="0" w:lastRowFirstColumn="0" w:lastRowLastColumn="0"/>
          <w:trHeight w:val="77"/>
          <w:tblHeader/>
        </w:trPr>
        <w:tc>
          <w:tcPr>
            <w:tcW w:w="5240" w:type="dxa"/>
            <w:shd w:val="clear" w:color="auto" w:fill="F2F2F2" w:themeFill="background1" w:themeFillShade="F2"/>
          </w:tcPr>
          <w:p w14:paraId="51CE001B" w14:textId="77777777" w:rsidR="000B148D" w:rsidRPr="00054570" w:rsidRDefault="000B148D" w:rsidP="00514744">
            <w:pPr>
              <w:pStyle w:val="Tablebody"/>
              <w:spacing w:before="0" w:after="0"/>
              <w:ind w:left="167"/>
              <w:contextualSpacing/>
              <w:rPr>
                <w:rFonts w:cs="Arial"/>
              </w:rPr>
            </w:pPr>
            <w:r w:rsidRPr="00054570">
              <w:rPr>
                <w:rFonts w:eastAsia="Times New Roman" w:cs="Arial"/>
              </w:rPr>
              <w:t>Thrombocytopenia</w:t>
            </w:r>
          </w:p>
        </w:tc>
        <w:tc>
          <w:tcPr>
            <w:tcW w:w="1746" w:type="dxa"/>
            <w:shd w:val="clear" w:color="auto" w:fill="auto"/>
          </w:tcPr>
          <w:p w14:paraId="66E6EE90" w14:textId="75874A05"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xxxxxxxxx</w:t>
            </w:r>
          </w:p>
        </w:tc>
        <w:tc>
          <w:tcPr>
            <w:tcW w:w="2030" w:type="dxa"/>
            <w:shd w:val="clear" w:color="auto" w:fill="auto"/>
          </w:tcPr>
          <w:p w14:paraId="445AF396" w14:textId="57DD7D4F"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w:t>
            </w:r>
          </w:p>
        </w:tc>
      </w:tr>
      <w:tr w:rsidR="000B148D" w:rsidRPr="00054570" w14:paraId="0F2011BB" w14:textId="77777777">
        <w:trPr>
          <w:cnfStyle w:val="100000000000" w:firstRow="1" w:lastRow="0" w:firstColumn="0" w:lastColumn="0" w:oddVBand="0" w:evenVBand="0" w:oddHBand="0" w:evenHBand="0" w:firstRowFirstColumn="0" w:firstRowLastColumn="0" w:lastRowFirstColumn="0" w:lastRowLastColumn="0"/>
          <w:trHeight w:val="77"/>
          <w:tblHeader/>
        </w:trPr>
        <w:tc>
          <w:tcPr>
            <w:tcW w:w="5240" w:type="dxa"/>
            <w:shd w:val="clear" w:color="auto" w:fill="F2F2F2" w:themeFill="background1" w:themeFillShade="F2"/>
          </w:tcPr>
          <w:p w14:paraId="5464AFF8" w14:textId="77777777" w:rsidR="000B148D" w:rsidRPr="00054570" w:rsidRDefault="000B148D" w:rsidP="00514744">
            <w:pPr>
              <w:pStyle w:val="Tablebody"/>
              <w:spacing w:before="0" w:after="0"/>
              <w:ind w:left="167"/>
              <w:contextualSpacing/>
              <w:rPr>
                <w:rFonts w:cs="Arial"/>
              </w:rPr>
            </w:pPr>
            <w:r w:rsidRPr="00054570">
              <w:rPr>
                <w:rFonts w:eastAsia="Times New Roman" w:cs="Arial"/>
              </w:rPr>
              <w:t>Neutropenia</w:t>
            </w:r>
          </w:p>
        </w:tc>
        <w:tc>
          <w:tcPr>
            <w:tcW w:w="1746" w:type="dxa"/>
            <w:shd w:val="clear" w:color="auto" w:fill="auto"/>
          </w:tcPr>
          <w:p w14:paraId="35BFB235" w14:textId="64216104"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xxxxxxxxx</w:t>
            </w:r>
          </w:p>
        </w:tc>
        <w:tc>
          <w:tcPr>
            <w:tcW w:w="2030" w:type="dxa"/>
            <w:shd w:val="clear" w:color="auto" w:fill="auto"/>
          </w:tcPr>
          <w:p w14:paraId="1624716D" w14:textId="130C7A52"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xxxxxxxxxx</w:t>
            </w:r>
          </w:p>
        </w:tc>
      </w:tr>
      <w:tr w:rsidR="000B148D" w:rsidRPr="00054570" w14:paraId="75D72DCE" w14:textId="77777777">
        <w:trPr>
          <w:cnfStyle w:val="100000000000" w:firstRow="1" w:lastRow="0" w:firstColumn="0" w:lastColumn="0" w:oddVBand="0" w:evenVBand="0" w:oddHBand="0" w:evenHBand="0" w:firstRowFirstColumn="0" w:firstRowLastColumn="0" w:lastRowFirstColumn="0" w:lastRowLastColumn="0"/>
          <w:trHeight w:val="77"/>
          <w:tblHeader/>
        </w:trPr>
        <w:tc>
          <w:tcPr>
            <w:tcW w:w="5240" w:type="dxa"/>
            <w:shd w:val="clear" w:color="auto" w:fill="F2F2F2" w:themeFill="background1" w:themeFillShade="F2"/>
          </w:tcPr>
          <w:p w14:paraId="5C54F013" w14:textId="77777777" w:rsidR="000B148D" w:rsidRPr="00054570" w:rsidRDefault="000B148D" w:rsidP="00514744">
            <w:pPr>
              <w:pStyle w:val="Tablebody"/>
              <w:spacing w:before="0" w:after="0"/>
              <w:ind w:left="167"/>
              <w:contextualSpacing/>
              <w:rPr>
                <w:rFonts w:cs="Arial"/>
              </w:rPr>
            </w:pPr>
            <w:r w:rsidRPr="00054570">
              <w:rPr>
                <w:rFonts w:cs="Arial"/>
              </w:rPr>
              <w:t>Leucopoenia</w:t>
            </w:r>
          </w:p>
        </w:tc>
        <w:tc>
          <w:tcPr>
            <w:tcW w:w="1746" w:type="dxa"/>
            <w:shd w:val="clear" w:color="auto" w:fill="auto"/>
          </w:tcPr>
          <w:p w14:paraId="418AEB22" w14:textId="5CFACE51"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w:t>
            </w:r>
          </w:p>
        </w:tc>
        <w:tc>
          <w:tcPr>
            <w:tcW w:w="2030" w:type="dxa"/>
            <w:shd w:val="clear" w:color="auto" w:fill="auto"/>
          </w:tcPr>
          <w:p w14:paraId="096B5637" w14:textId="08DF852B"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w:t>
            </w:r>
          </w:p>
        </w:tc>
      </w:tr>
      <w:tr w:rsidR="000B148D" w:rsidRPr="00054570" w14:paraId="78679E3F" w14:textId="77777777">
        <w:trPr>
          <w:cnfStyle w:val="100000000000" w:firstRow="1" w:lastRow="0" w:firstColumn="0" w:lastColumn="0" w:oddVBand="0" w:evenVBand="0" w:oddHBand="0" w:evenHBand="0" w:firstRowFirstColumn="0" w:firstRowLastColumn="0" w:lastRowFirstColumn="0" w:lastRowLastColumn="0"/>
          <w:trHeight w:val="77"/>
          <w:tblHeader/>
        </w:trPr>
        <w:tc>
          <w:tcPr>
            <w:tcW w:w="5240" w:type="dxa"/>
            <w:shd w:val="clear" w:color="auto" w:fill="F2F2F2" w:themeFill="background1" w:themeFillShade="F2"/>
          </w:tcPr>
          <w:p w14:paraId="5B053005" w14:textId="77777777" w:rsidR="000B148D" w:rsidRPr="00054570" w:rsidRDefault="000B148D" w:rsidP="00514744">
            <w:pPr>
              <w:pStyle w:val="Tablebody"/>
              <w:spacing w:before="0" w:after="0"/>
              <w:ind w:left="167"/>
              <w:contextualSpacing/>
              <w:rPr>
                <w:rFonts w:cs="Arial"/>
              </w:rPr>
            </w:pPr>
            <w:r w:rsidRPr="00054570">
              <w:rPr>
                <w:rFonts w:cs="Arial"/>
              </w:rPr>
              <w:t>Transaminases increased</w:t>
            </w:r>
          </w:p>
        </w:tc>
        <w:tc>
          <w:tcPr>
            <w:tcW w:w="1746" w:type="dxa"/>
            <w:shd w:val="clear" w:color="auto" w:fill="auto"/>
          </w:tcPr>
          <w:p w14:paraId="71101724" w14:textId="7FAF34B3"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w:t>
            </w:r>
          </w:p>
        </w:tc>
        <w:tc>
          <w:tcPr>
            <w:tcW w:w="2030" w:type="dxa"/>
            <w:shd w:val="clear" w:color="auto" w:fill="auto"/>
          </w:tcPr>
          <w:p w14:paraId="1154AC6D" w14:textId="476BBFC4"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w:t>
            </w:r>
          </w:p>
        </w:tc>
      </w:tr>
      <w:tr w:rsidR="000B148D" w:rsidRPr="00054570" w14:paraId="16EA17FA" w14:textId="77777777">
        <w:trPr>
          <w:cnfStyle w:val="100000000000" w:firstRow="1" w:lastRow="0" w:firstColumn="0" w:lastColumn="0" w:oddVBand="0" w:evenVBand="0" w:oddHBand="0" w:evenHBand="0" w:firstRowFirstColumn="0" w:firstRowLastColumn="0" w:lastRowFirstColumn="0" w:lastRowLastColumn="0"/>
          <w:trHeight w:val="77"/>
          <w:tblHeader/>
        </w:trPr>
        <w:tc>
          <w:tcPr>
            <w:tcW w:w="5240" w:type="dxa"/>
            <w:shd w:val="clear" w:color="auto" w:fill="F2F2F2" w:themeFill="background1" w:themeFillShade="F2"/>
          </w:tcPr>
          <w:p w14:paraId="3A2ED01F" w14:textId="77777777" w:rsidR="000B148D" w:rsidRPr="00054570" w:rsidRDefault="000B148D" w:rsidP="00514744">
            <w:pPr>
              <w:pStyle w:val="Tablebody"/>
              <w:spacing w:before="0" w:after="0"/>
              <w:contextualSpacing/>
              <w:rPr>
                <w:rFonts w:cs="Arial"/>
                <w:b/>
                <w:bCs/>
              </w:rPr>
            </w:pPr>
            <w:r w:rsidRPr="00054570">
              <w:rPr>
                <w:rFonts w:cs="Arial"/>
                <w:b/>
                <w:bCs/>
              </w:rPr>
              <w:t>TEAEs associated with study drug interruption</w:t>
            </w:r>
          </w:p>
        </w:tc>
        <w:tc>
          <w:tcPr>
            <w:tcW w:w="1746" w:type="dxa"/>
            <w:shd w:val="clear" w:color="auto" w:fill="auto"/>
          </w:tcPr>
          <w:p w14:paraId="30F30B35" w14:textId="77777777" w:rsidR="000B148D" w:rsidRPr="000E08E1" w:rsidRDefault="000B148D" w:rsidP="00514744">
            <w:pPr>
              <w:pStyle w:val="Tablebody"/>
              <w:spacing w:before="0" w:after="0"/>
              <w:contextualSpacing/>
              <w:jc w:val="center"/>
              <w:rPr>
                <w:rFonts w:cs="Arial"/>
                <w:b/>
                <w:bCs/>
              </w:rPr>
            </w:pPr>
            <w:r w:rsidRPr="000E08E1">
              <w:rPr>
                <w:rFonts w:eastAsia="Times New Roman" w:cs="Arial"/>
                <w:b/>
                <w:bCs/>
              </w:rPr>
              <w:t xml:space="preserve">143 (38.5) </w:t>
            </w:r>
          </w:p>
        </w:tc>
        <w:tc>
          <w:tcPr>
            <w:tcW w:w="2030" w:type="dxa"/>
            <w:shd w:val="clear" w:color="auto" w:fill="auto"/>
          </w:tcPr>
          <w:p w14:paraId="7701B0D7" w14:textId="77777777" w:rsidR="000B148D" w:rsidRPr="000E08E1" w:rsidRDefault="000B148D" w:rsidP="00514744">
            <w:pPr>
              <w:pStyle w:val="Tablebody"/>
              <w:spacing w:before="0" w:after="0"/>
              <w:contextualSpacing/>
              <w:jc w:val="center"/>
              <w:rPr>
                <w:rFonts w:cs="Arial"/>
                <w:b/>
                <w:bCs/>
              </w:rPr>
            </w:pPr>
            <w:r w:rsidRPr="000E08E1">
              <w:rPr>
                <w:rFonts w:eastAsia="Times New Roman" w:cs="Arial"/>
                <w:b/>
                <w:bCs/>
              </w:rPr>
              <w:t xml:space="preserve">72 (41.9) </w:t>
            </w:r>
          </w:p>
        </w:tc>
      </w:tr>
      <w:tr w:rsidR="000B148D" w:rsidRPr="00054570" w14:paraId="036BE9F6" w14:textId="77777777">
        <w:trPr>
          <w:cnfStyle w:val="100000000000" w:firstRow="1" w:lastRow="0" w:firstColumn="0" w:lastColumn="0" w:oddVBand="0" w:evenVBand="0" w:oddHBand="0" w:evenHBand="0" w:firstRowFirstColumn="0" w:firstRowLastColumn="0" w:lastRowFirstColumn="0" w:lastRowLastColumn="0"/>
          <w:trHeight w:val="77"/>
          <w:tblHeader/>
        </w:trPr>
        <w:tc>
          <w:tcPr>
            <w:tcW w:w="5240" w:type="dxa"/>
            <w:shd w:val="clear" w:color="auto" w:fill="F2F2F2" w:themeFill="background1" w:themeFillShade="F2"/>
          </w:tcPr>
          <w:p w14:paraId="2DA68CA4" w14:textId="77777777" w:rsidR="000B148D" w:rsidRPr="00054570" w:rsidRDefault="000B148D" w:rsidP="00514744">
            <w:pPr>
              <w:pStyle w:val="Tablebody"/>
              <w:spacing w:before="0" w:after="0"/>
              <w:ind w:left="167"/>
              <w:contextualSpacing/>
              <w:rPr>
                <w:rFonts w:cs="Arial"/>
              </w:rPr>
            </w:pPr>
            <w:r w:rsidRPr="00054570">
              <w:rPr>
                <w:rFonts w:eastAsia="Times New Roman" w:cs="Arial"/>
              </w:rPr>
              <w:t>Neutropenia</w:t>
            </w:r>
          </w:p>
        </w:tc>
        <w:tc>
          <w:tcPr>
            <w:tcW w:w="1746" w:type="dxa"/>
            <w:shd w:val="clear" w:color="auto" w:fill="auto"/>
          </w:tcPr>
          <w:p w14:paraId="696E399B" w14:textId="5C497CC1"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xxxxxxxxx</w:t>
            </w:r>
          </w:p>
        </w:tc>
        <w:tc>
          <w:tcPr>
            <w:tcW w:w="2030" w:type="dxa"/>
            <w:shd w:val="clear" w:color="auto" w:fill="auto"/>
          </w:tcPr>
          <w:p w14:paraId="44A4DAD5" w14:textId="6B9D187A"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xxxxxxxxxx</w:t>
            </w:r>
          </w:p>
        </w:tc>
      </w:tr>
      <w:tr w:rsidR="000B148D" w:rsidRPr="00054570" w14:paraId="09BBC31C" w14:textId="77777777">
        <w:trPr>
          <w:cnfStyle w:val="100000000000" w:firstRow="1" w:lastRow="0" w:firstColumn="0" w:lastColumn="0" w:oddVBand="0" w:evenVBand="0" w:oddHBand="0" w:evenHBand="0" w:firstRowFirstColumn="0" w:firstRowLastColumn="0" w:lastRowFirstColumn="0" w:lastRowLastColumn="0"/>
          <w:trHeight w:val="77"/>
          <w:tblHeader/>
        </w:trPr>
        <w:tc>
          <w:tcPr>
            <w:tcW w:w="5240" w:type="dxa"/>
            <w:shd w:val="clear" w:color="auto" w:fill="F2F2F2" w:themeFill="background1" w:themeFillShade="F2"/>
          </w:tcPr>
          <w:p w14:paraId="5DFB27E8" w14:textId="77777777" w:rsidR="000B148D" w:rsidRPr="00054570" w:rsidRDefault="000B148D" w:rsidP="00514744">
            <w:pPr>
              <w:pStyle w:val="Tablebody"/>
              <w:spacing w:before="0" w:after="0"/>
              <w:ind w:left="167"/>
              <w:contextualSpacing/>
              <w:rPr>
                <w:rFonts w:cs="Arial"/>
              </w:rPr>
            </w:pPr>
            <w:r w:rsidRPr="00054570">
              <w:rPr>
                <w:rFonts w:eastAsia="Times New Roman" w:cs="Arial"/>
              </w:rPr>
              <w:t>Fatigue</w:t>
            </w:r>
          </w:p>
        </w:tc>
        <w:tc>
          <w:tcPr>
            <w:tcW w:w="1746" w:type="dxa"/>
            <w:shd w:val="clear" w:color="auto" w:fill="auto"/>
          </w:tcPr>
          <w:p w14:paraId="0736C933" w14:textId="7807CB69"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xxxxxxxxx</w:t>
            </w:r>
          </w:p>
        </w:tc>
        <w:tc>
          <w:tcPr>
            <w:tcW w:w="2030" w:type="dxa"/>
            <w:shd w:val="clear" w:color="auto" w:fill="auto"/>
          </w:tcPr>
          <w:p w14:paraId="5BD15BCE" w14:textId="2BD1BE1E"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w:t>
            </w:r>
          </w:p>
        </w:tc>
      </w:tr>
      <w:tr w:rsidR="000B148D" w:rsidRPr="00054570" w14:paraId="0FC5B36F" w14:textId="77777777">
        <w:trPr>
          <w:cnfStyle w:val="100000000000" w:firstRow="1" w:lastRow="0" w:firstColumn="0" w:lastColumn="0" w:oddVBand="0" w:evenVBand="0" w:oddHBand="0" w:evenHBand="0" w:firstRowFirstColumn="0" w:firstRowLastColumn="0" w:lastRowFirstColumn="0" w:lastRowLastColumn="0"/>
          <w:trHeight w:val="77"/>
          <w:tblHeader/>
        </w:trPr>
        <w:tc>
          <w:tcPr>
            <w:tcW w:w="5240" w:type="dxa"/>
            <w:shd w:val="clear" w:color="auto" w:fill="F2F2F2" w:themeFill="background1" w:themeFillShade="F2"/>
          </w:tcPr>
          <w:p w14:paraId="0338B16A" w14:textId="77777777" w:rsidR="000B148D" w:rsidRPr="00054570" w:rsidRDefault="000B148D" w:rsidP="00514744">
            <w:pPr>
              <w:pStyle w:val="Tablebody"/>
              <w:spacing w:before="0" w:after="0"/>
              <w:ind w:left="167"/>
              <w:contextualSpacing/>
              <w:rPr>
                <w:rFonts w:cs="Arial"/>
              </w:rPr>
            </w:pPr>
            <w:r w:rsidRPr="00054570">
              <w:rPr>
                <w:rFonts w:eastAsia="Times New Roman" w:cs="Arial"/>
              </w:rPr>
              <w:t>An</w:t>
            </w:r>
            <w:r>
              <w:rPr>
                <w:rFonts w:eastAsia="Times New Roman" w:cs="Arial"/>
              </w:rPr>
              <w:t>a</w:t>
            </w:r>
            <w:r w:rsidRPr="00054570">
              <w:rPr>
                <w:rFonts w:eastAsia="Times New Roman" w:cs="Arial"/>
              </w:rPr>
              <w:t>emia</w:t>
            </w:r>
          </w:p>
        </w:tc>
        <w:tc>
          <w:tcPr>
            <w:tcW w:w="1746" w:type="dxa"/>
            <w:shd w:val="clear" w:color="auto" w:fill="auto"/>
          </w:tcPr>
          <w:p w14:paraId="30FAD160" w14:textId="05E1F131"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xxxxxxxxx</w:t>
            </w:r>
          </w:p>
        </w:tc>
        <w:tc>
          <w:tcPr>
            <w:tcW w:w="2030" w:type="dxa"/>
            <w:shd w:val="clear" w:color="auto" w:fill="auto"/>
          </w:tcPr>
          <w:p w14:paraId="213F2D9D" w14:textId="2580228C"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w:t>
            </w:r>
          </w:p>
        </w:tc>
      </w:tr>
      <w:tr w:rsidR="000B148D" w:rsidRPr="00054570" w14:paraId="0081D4D8" w14:textId="77777777">
        <w:trPr>
          <w:cnfStyle w:val="100000000000" w:firstRow="1" w:lastRow="0" w:firstColumn="0" w:lastColumn="0" w:oddVBand="0" w:evenVBand="0" w:oddHBand="0" w:evenHBand="0" w:firstRowFirstColumn="0" w:firstRowLastColumn="0" w:lastRowFirstColumn="0" w:lastRowLastColumn="0"/>
          <w:trHeight w:val="77"/>
          <w:tblHeader/>
        </w:trPr>
        <w:tc>
          <w:tcPr>
            <w:tcW w:w="5240" w:type="dxa"/>
            <w:shd w:val="clear" w:color="auto" w:fill="F2F2F2" w:themeFill="background1" w:themeFillShade="F2"/>
          </w:tcPr>
          <w:p w14:paraId="2E81632C" w14:textId="77777777" w:rsidR="000B148D" w:rsidRPr="00054570" w:rsidRDefault="000B148D" w:rsidP="00514744">
            <w:pPr>
              <w:pStyle w:val="Tablebody"/>
              <w:spacing w:before="0" w:after="0"/>
              <w:ind w:left="167"/>
              <w:contextualSpacing/>
              <w:rPr>
                <w:rFonts w:cs="Arial"/>
              </w:rPr>
            </w:pPr>
            <w:r w:rsidRPr="00054570">
              <w:rPr>
                <w:rFonts w:eastAsia="Times New Roman" w:cs="Arial"/>
              </w:rPr>
              <w:t>Leukopenia</w:t>
            </w:r>
          </w:p>
        </w:tc>
        <w:tc>
          <w:tcPr>
            <w:tcW w:w="1746" w:type="dxa"/>
            <w:shd w:val="clear" w:color="auto" w:fill="auto"/>
          </w:tcPr>
          <w:p w14:paraId="34C64B27" w14:textId="61BB9BEF"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xxxxxxxxx</w:t>
            </w:r>
          </w:p>
        </w:tc>
        <w:tc>
          <w:tcPr>
            <w:tcW w:w="2030" w:type="dxa"/>
            <w:shd w:val="clear" w:color="auto" w:fill="auto"/>
          </w:tcPr>
          <w:p w14:paraId="363DEB8A" w14:textId="1B3878FD"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xxxxxxxxx</w:t>
            </w:r>
          </w:p>
        </w:tc>
      </w:tr>
      <w:tr w:rsidR="000B148D" w:rsidRPr="00054570" w14:paraId="3F9DB3D6" w14:textId="77777777">
        <w:trPr>
          <w:cnfStyle w:val="100000000000" w:firstRow="1" w:lastRow="0" w:firstColumn="0" w:lastColumn="0" w:oddVBand="0" w:evenVBand="0" w:oddHBand="0" w:evenHBand="0" w:firstRowFirstColumn="0" w:firstRowLastColumn="0" w:lastRowFirstColumn="0" w:lastRowLastColumn="0"/>
          <w:trHeight w:val="77"/>
          <w:tblHeader/>
        </w:trPr>
        <w:tc>
          <w:tcPr>
            <w:tcW w:w="5240" w:type="dxa"/>
            <w:shd w:val="clear" w:color="auto" w:fill="F2F2F2" w:themeFill="background1" w:themeFillShade="F2"/>
          </w:tcPr>
          <w:p w14:paraId="0FCF0F6E" w14:textId="77777777" w:rsidR="000B148D" w:rsidRPr="00054570" w:rsidRDefault="000B148D" w:rsidP="00514744">
            <w:pPr>
              <w:pStyle w:val="Tablebody"/>
              <w:spacing w:before="0" w:after="0"/>
              <w:ind w:left="167"/>
              <w:contextualSpacing/>
              <w:rPr>
                <w:rFonts w:cs="Arial"/>
              </w:rPr>
            </w:pPr>
            <w:r w:rsidRPr="00054570">
              <w:rPr>
                <w:rFonts w:eastAsia="Times New Roman" w:cs="Arial"/>
              </w:rPr>
              <w:t>COVID-19</w:t>
            </w:r>
          </w:p>
        </w:tc>
        <w:tc>
          <w:tcPr>
            <w:tcW w:w="1746" w:type="dxa"/>
            <w:shd w:val="clear" w:color="auto" w:fill="auto"/>
          </w:tcPr>
          <w:p w14:paraId="158FA1D7" w14:textId="190859A3"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xxxxxxxxx</w:t>
            </w:r>
          </w:p>
        </w:tc>
        <w:tc>
          <w:tcPr>
            <w:tcW w:w="2030" w:type="dxa"/>
            <w:shd w:val="clear" w:color="auto" w:fill="auto"/>
          </w:tcPr>
          <w:p w14:paraId="424080E5" w14:textId="35AEF60E"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w:t>
            </w:r>
          </w:p>
        </w:tc>
      </w:tr>
      <w:tr w:rsidR="000B148D" w:rsidRPr="00054570" w14:paraId="71562A2F" w14:textId="77777777">
        <w:trPr>
          <w:cnfStyle w:val="100000000000" w:firstRow="1" w:lastRow="0" w:firstColumn="0" w:lastColumn="0" w:oddVBand="0" w:evenVBand="0" w:oddHBand="0" w:evenHBand="0" w:firstRowFirstColumn="0" w:firstRowLastColumn="0" w:lastRowFirstColumn="0" w:lastRowLastColumn="0"/>
          <w:trHeight w:val="77"/>
          <w:tblHeader/>
        </w:trPr>
        <w:tc>
          <w:tcPr>
            <w:tcW w:w="5240" w:type="dxa"/>
            <w:shd w:val="clear" w:color="auto" w:fill="F2F2F2" w:themeFill="background1" w:themeFillShade="F2"/>
          </w:tcPr>
          <w:p w14:paraId="2008E46C" w14:textId="77777777" w:rsidR="000B148D" w:rsidRPr="00054570" w:rsidRDefault="000B148D" w:rsidP="00514744">
            <w:pPr>
              <w:pStyle w:val="Tablebody"/>
              <w:spacing w:before="0" w:after="0"/>
              <w:ind w:left="167"/>
              <w:contextualSpacing/>
              <w:rPr>
                <w:rFonts w:cs="Arial"/>
              </w:rPr>
            </w:pPr>
            <w:r w:rsidRPr="00054570">
              <w:rPr>
                <w:rFonts w:eastAsia="Times New Roman" w:cs="Arial"/>
              </w:rPr>
              <w:t>Interstitial lung disease</w:t>
            </w:r>
          </w:p>
        </w:tc>
        <w:tc>
          <w:tcPr>
            <w:tcW w:w="1746" w:type="dxa"/>
            <w:shd w:val="clear" w:color="auto" w:fill="auto"/>
          </w:tcPr>
          <w:p w14:paraId="102FC83F" w14:textId="037066CF"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xxxxxxxxx</w:t>
            </w:r>
          </w:p>
        </w:tc>
        <w:tc>
          <w:tcPr>
            <w:tcW w:w="2030" w:type="dxa"/>
            <w:shd w:val="clear" w:color="auto" w:fill="auto"/>
          </w:tcPr>
          <w:p w14:paraId="1421D788" w14:textId="3F06769B"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w:t>
            </w:r>
          </w:p>
        </w:tc>
      </w:tr>
      <w:tr w:rsidR="000B148D" w:rsidRPr="00054570" w14:paraId="570237F1" w14:textId="77777777">
        <w:trPr>
          <w:cnfStyle w:val="100000000000" w:firstRow="1" w:lastRow="0" w:firstColumn="0" w:lastColumn="0" w:oddVBand="0" w:evenVBand="0" w:oddHBand="0" w:evenHBand="0" w:firstRowFirstColumn="0" w:firstRowLastColumn="0" w:lastRowFirstColumn="0" w:lastRowLastColumn="0"/>
          <w:trHeight w:val="77"/>
          <w:tblHeader/>
        </w:trPr>
        <w:tc>
          <w:tcPr>
            <w:tcW w:w="5240" w:type="dxa"/>
            <w:shd w:val="clear" w:color="auto" w:fill="F2F2F2" w:themeFill="background1" w:themeFillShade="F2"/>
          </w:tcPr>
          <w:p w14:paraId="119D4C9B" w14:textId="77777777" w:rsidR="000B148D" w:rsidRPr="00054570" w:rsidRDefault="000B148D" w:rsidP="00514744">
            <w:pPr>
              <w:pStyle w:val="Tablebody"/>
              <w:spacing w:before="0" w:after="0"/>
              <w:ind w:left="167"/>
              <w:contextualSpacing/>
              <w:rPr>
                <w:rFonts w:cs="Arial"/>
              </w:rPr>
            </w:pPr>
            <w:r w:rsidRPr="00054570">
              <w:rPr>
                <w:rFonts w:eastAsia="Times New Roman" w:cs="Arial"/>
              </w:rPr>
              <w:t>Transaminases increased</w:t>
            </w:r>
          </w:p>
        </w:tc>
        <w:tc>
          <w:tcPr>
            <w:tcW w:w="1746" w:type="dxa"/>
            <w:shd w:val="clear" w:color="auto" w:fill="auto"/>
          </w:tcPr>
          <w:p w14:paraId="5A908FC7" w14:textId="1F72D52A"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xxxxxxxxx</w:t>
            </w:r>
          </w:p>
        </w:tc>
        <w:tc>
          <w:tcPr>
            <w:tcW w:w="2030" w:type="dxa"/>
            <w:shd w:val="clear" w:color="auto" w:fill="auto"/>
          </w:tcPr>
          <w:p w14:paraId="76E8AB58" w14:textId="2AC24C35"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w:t>
            </w:r>
          </w:p>
        </w:tc>
      </w:tr>
      <w:tr w:rsidR="000B148D" w:rsidRPr="00054570" w14:paraId="2F19296F" w14:textId="77777777">
        <w:trPr>
          <w:cnfStyle w:val="100000000000" w:firstRow="1" w:lastRow="0" w:firstColumn="0" w:lastColumn="0" w:oddVBand="0" w:evenVBand="0" w:oddHBand="0" w:evenHBand="0" w:firstRowFirstColumn="0" w:firstRowLastColumn="0" w:lastRowFirstColumn="0" w:lastRowLastColumn="0"/>
          <w:trHeight w:val="301"/>
          <w:tblHeader/>
        </w:trPr>
        <w:tc>
          <w:tcPr>
            <w:tcW w:w="5240" w:type="dxa"/>
            <w:shd w:val="clear" w:color="auto" w:fill="F2F2F2" w:themeFill="background1" w:themeFillShade="F2"/>
          </w:tcPr>
          <w:p w14:paraId="0B2904D3" w14:textId="77777777" w:rsidR="000B148D" w:rsidRPr="00054570" w:rsidRDefault="000B148D" w:rsidP="00514744">
            <w:pPr>
              <w:pStyle w:val="Tablebody"/>
              <w:spacing w:before="0" w:after="0"/>
              <w:ind w:left="167"/>
              <w:contextualSpacing/>
              <w:rPr>
                <w:rFonts w:cs="Arial"/>
              </w:rPr>
            </w:pPr>
            <w:r w:rsidRPr="00054570">
              <w:rPr>
                <w:rFonts w:eastAsia="Times New Roman" w:cs="Arial"/>
              </w:rPr>
              <w:t>Blood bilirubin increased</w:t>
            </w:r>
          </w:p>
        </w:tc>
        <w:tc>
          <w:tcPr>
            <w:tcW w:w="1746" w:type="dxa"/>
            <w:shd w:val="clear" w:color="auto" w:fill="auto"/>
          </w:tcPr>
          <w:p w14:paraId="3FAAD830" w14:textId="3B95CD00"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xxxxxxxx</w:t>
            </w:r>
          </w:p>
        </w:tc>
        <w:tc>
          <w:tcPr>
            <w:tcW w:w="2030" w:type="dxa"/>
            <w:shd w:val="clear" w:color="auto" w:fill="auto"/>
          </w:tcPr>
          <w:p w14:paraId="1834727F" w14:textId="2C0D47E2" w:rsidR="000B148D" w:rsidRPr="00294FDC" w:rsidRDefault="00294FDC" w:rsidP="00514744">
            <w:pPr>
              <w:pStyle w:val="Tablebody"/>
              <w:spacing w:before="0" w:after="0"/>
              <w:contextualSpacing/>
              <w:jc w:val="center"/>
              <w:rPr>
                <w:rFonts w:cs="Arial"/>
                <w:color w:val="000000"/>
                <w:highlight w:val="black"/>
              </w:rPr>
            </w:pPr>
            <w:r w:rsidRPr="00294FDC">
              <w:rPr>
                <w:rFonts w:eastAsia="Times New Roman" w:cs="Arial"/>
                <w:color w:val="000000"/>
                <w:highlight w:val="black"/>
              </w:rPr>
              <w:t>xx</w:t>
            </w:r>
          </w:p>
        </w:tc>
      </w:tr>
      <w:tr w:rsidR="000B148D" w:rsidRPr="00054570" w14:paraId="3E2916C5" w14:textId="77777777">
        <w:trPr>
          <w:cnfStyle w:val="100000000000" w:firstRow="1" w:lastRow="0" w:firstColumn="0" w:lastColumn="0" w:oddVBand="0" w:evenVBand="0" w:oddHBand="0" w:evenHBand="0" w:firstRowFirstColumn="0" w:firstRowLastColumn="0" w:lastRowFirstColumn="0" w:lastRowLastColumn="0"/>
          <w:trHeight w:val="77"/>
          <w:tblHeader/>
        </w:trPr>
        <w:tc>
          <w:tcPr>
            <w:tcW w:w="5240" w:type="dxa"/>
            <w:shd w:val="clear" w:color="auto" w:fill="F2F2F2" w:themeFill="background1" w:themeFillShade="F2"/>
          </w:tcPr>
          <w:p w14:paraId="7357631C" w14:textId="77777777" w:rsidR="000B148D" w:rsidRPr="00054570" w:rsidRDefault="000B148D" w:rsidP="00514744">
            <w:pPr>
              <w:pStyle w:val="Tablebody"/>
              <w:spacing w:before="0" w:after="0"/>
              <w:ind w:left="167"/>
              <w:contextualSpacing/>
              <w:rPr>
                <w:rFonts w:eastAsia="Times New Roman" w:cs="Arial"/>
              </w:rPr>
            </w:pPr>
            <w:r w:rsidRPr="00054570">
              <w:rPr>
                <w:rFonts w:eastAsia="Times New Roman" w:cs="Arial"/>
              </w:rPr>
              <w:t>Nausea</w:t>
            </w:r>
          </w:p>
        </w:tc>
        <w:tc>
          <w:tcPr>
            <w:tcW w:w="1746" w:type="dxa"/>
            <w:shd w:val="clear" w:color="auto" w:fill="auto"/>
          </w:tcPr>
          <w:p w14:paraId="7A821690" w14:textId="420C6432"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xxxxxxxx</w:t>
            </w:r>
          </w:p>
        </w:tc>
        <w:tc>
          <w:tcPr>
            <w:tcW w:w="2030" w:type="dxa"/>
            <w:shd w:val="clear" w:color="auto" w:fill="auto"/>
          </w:tcPr>
          <w:p w14:paraId="6BA89A01" w14:textId="13E735D9"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xxxxxxxx</w:t>
            </w:r>
          </w:p>
        </w:tc>
      </w:tr>
      <w:tr w:rsidR="000B148D" w:rsidRPr="00054570" w14:paraId="3F9BD36D" w14:textId="77777777">
        <w:trPr>
          <w:cnfStyle w:val="100000000000" w:firstRow="1" w:lastRow="0" w:firstColumn="0" w:lastColumn="0" w:oddVBand="0" w:evenVBand="0" w:oddHBand="0" w:evenHBand="0" w:firstRowFirstColumn="0" w:firstRowLastColumn="0" w:lastRowFirstColumn="0" w:lastRowLastColumn="0"/>
          <w:trHeight w:val="77"/>
          <w:tblHeader/>
        </w:trPr>
        <w:tc>
          <w:tcPr>
            <w:tcW w:w="5240" w:type="dxa"/>
            <w:shd w:val="clear" w:color="auto" w:fill="F2F2F2" w:themeFill="background1" w:themeFillShade="F2"/>
          </w:tcPr>
          <w:p w14:paraId="495B4787" w14:textId="77777777" w:rsidR="000B148D" w:rsidRPr="00054570" w:rsidRDefault="000B148D" w:rsidP="00514744">
            <w:pPr>
              <w:pStyle w:val="Tablebody"/>
              <w:spacing w:before="0" w:after="0"/>
              <w:ind w:left="167"/>
              <w:contextualSpacing/>
              <w:rPr>
                <w:rFonts w:eastAsia="Times New Roman" w:cs="Arial"/>
              </w:rPr>
            </w:pPr>
            <w:r w:rsidRPr="00054570">
              <w:rPr>
                <w:rFonts w:eastAsia="Times New Roman" w:cs="Arial"/>
              </w:rPr>
              <w:t xml:space="preserve">Palmar-plantar erythrodysaesthesia syndrome </w:t>
            </w:r>
          </w:p>
        </w:tc>
        <w:tc>
          <w:tcPr>
            <w:tcW w:w="1746" w:type="dxa"/>
            <w:shd w:val="clear" w:color="auto" w:fill="auto"/>
          </w:tcPr>
          <w:p w14:paraId="4DD3D637" w14:textId="1153FCC9"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w:t>
            </w:r>
          </w:p>
        </w:tc>
        <w:tc>
          <w:tcPr>
            <w:tcW w:w="2030" w:type="dxa"/>
            <w:shd w:val="clear" w:color="auto" w:fill="auto"/>
          </w:tcPr>
          <w:p w14:paraId="52CDE375" w14:textId="745E453D"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xxxxxxxx</w:t>
            </w:r>
          </w:p>
        </w:tc>
      </w:tr>
      <w:tr w:rsidR="000B148D" w:rsidRPr="00054570" w14:paraId="4E60B164" w14:textId="77777777">
        <w:trPr>
          <w:cnfStyle w:val="100000000000" w:firstRow="1" w:lastRow="0" w:firstColumn="0" w:lastColumn="0" w:oddVBand="0" w:evenVBand="0" w:oddHBand="0" w:evenHBand="0" w:firstRowFirstColumn="0" w:firstRowLastColumn="0" w:lastRowFirstColumn="0" w:lastRowLastColumn="0"/>
          <w:trHeight w:val="77"/>
          <w:tblHeader/>
        </w:trPr>
        <w:tc>
          <w:tcPr>
            <w:tcW w:w="5240" w:type="dxa"/>
            <w:shd w:val="clear" w:color="auto" w:fill="F2F2F2" w:themeFill="background1" w:themeFillShade="F2"/>
          </w:tcPr>
          <w:p w14:paraId="580AC0DB" w14:textId="77777777" w:rsidR="000B148D" w:rsidRPr="00054570" w:rsidRDefault="000B148D" w:rsidP="00514744">
            <w:pPr>
              <w:pStyle w:val="Tablebody"/>
              <w:spacing w:before="0" w:after="0"/>
              <w:ind w:left="167"/>
              <w:contextualSpacing/>
              <w:rPr>
                <w:rFonts w:eastAsia="Times New Roman" w:cs="Arial"/>
              </w:rPr>
            </w:pPr>
            <w:r w:rsidRPr="00054570">
              <w:rPr>
                <w:rFonts w:eastAsia="Times New Roman" w:cs="Arial"/>
              </w:rPr>
              <w:t xml:space="preserve">Peripheral sensory neuropathy </w:t>
            </w:r>
          </w:p>
        </w:tc>
        <w:tc>
          <w:tcPr>
            <w:tcW w:w="1746" w:type="dxa"/>
            <w:shd w:val="clear" w:color="auto" w:fill="auto"/>
          </w:tcPr>
          <w:p w14:paraId="2F957D9B" w14:textId="2A9323A4"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w:t>
            </w:r>
          </w:p>
        </w:tc>
        <w:tc>
          <w:tcPr>
            <w:tcW w:w="2030" w:type="dxa"/>
            <w:shd w:val="clear" w:color="auto" w:fill="auto"/>
          </w:tcPr>
          <w:p w14:paraId="15007A4E" w14:textId="2F5B2466" w:rsidR="000B148D" w:rsidRPr="00294FDC" w:rsidRDefault="00294FDC" w:rsidP="00514744">
            <w:pPr>
              <w:pStyle w:val="Tablebody"/>
              <w:spacing w:before="0" w:after="0"/>
              <w:contextualSpacing/>
              <w:jc w:val="center"/>
              <w:rPr>
                <w:rFonts w:eastAsia="Times New Roman" w:cs="Arial"/>
                <w:color w:val="000000"/>
                <w:highlight w:val="black"/>
              </w:rPr>
            </w:pPr>
            <w:r w:rsidRPr="00294FDC">
              <w:rPr>
                <w:rFonts w:eastAsia="Times New Roman" w:cs="Arial"/>
                <w:color w:val="000000"/>
                <w:highlight w:val="black"/>
              </w:rPr>
              <w:t>xxxxxxxx</w:t>
            </w:r>
          </w:p>
        </w:tc>
      </w:tr>
    </w:tbl>
    <w:p w14:paraId="6E8225DD" w14:textId="030CB91F" w:rsidR="000B148D" w:rsidRPr="00054570" w:rsidRDefault="000B148D" w:rsidP="000B148D">
      <w:pPr>
        <w:pStyle w:val="Body"/>
        <w:rPr>
          <w:sz w:val="18"/>
          <w:szCs w:val="18"/>
        </w:rPr>
      </w:pPr>
      <w:r w:rsidRPr="00054570">
        <w:rPr>
          <w:sz w:val="18"/>
          <w:szCs w:val="18"/>
        </w:rPr>
        <w:t>Abbreviations: ILD, interstitial lung disease; SAS, safety analysis set; T-DXd, trastuzumab deruxtecan; TEAE, treatment-emergent adverse event; TPC, treatment of physician’s choice.</w:t>
      </w:r>
      <w:r w:rsidRPr="00054570">
        <w:rPr>
          <w:sz w:val="18"/>
          <w:szCs w:val="18"/>
        </w:rPr>
        <w:br/>
        <w:t xml:space="preserve">Source: </w:t>
      </w:r>
      <w:r>
        <w:rPr>
          <w:sz w:val="18"/>
          <w:szCs w:val="18"/>
        </w:rPr>
        <w:t>Modi et al., 2022;</w:t>
      </w:r>
      <w:r>
        <w:rPr>
          <w:sz w:val="18"/>
          <w:szCs w:val="18"/>
        </w:rPr>
        <w:fldChar w:fldCharType="begin"/>
      </w:r>
      <w:r w:rsidR="00CA6345">
        <w:rPr>
          <w:sz w:val="18"/>
          <w:szCs w:val="18"/>
        </w:rPr>
        <w:instrText xml:space="preserve"> ADDIN ZOTERO_ITEM CSL_CITATION {"citationID":"OHWRM2Ji","properties":{"formattedCitation":"\\super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Pr>
          <w:sz w:val="18"/>
          <w:szCs w:val="18"/>
        </w:rPr>
        <w:fldChar w:fldCharType="separate"/>
      </w:r>
      <w:r w:rsidR="00FD57F4" w:rsidRPr="00FD57F4">
        <w:rPr>
          <w:rFonts w:cs="Arial"/>
          <w:sz w:val="18"/>
          <w:szCs w:val="24"/>
          <w:vertAlign w:val="superscript"/>
        </w:rPr>
        <w:t>6</w:t>
      </w:r>
      <w:r>
        <w:rPr>
          <w:sz w:val="18"/>
          <w:szCs w:val="18"/>
        </w:rPr>
        <w:fldChar w:fldCharType="end"/>
      </w:r>
      <w:r>
        <w:rPr>
          <w:sz w:val="18"/>
          <w:szCs w:val="18"/>
        </w:rPr>
        <w:t xml:space="preserve"> </w:t>
      </w:r>
      <w:r w:rsidRPr="00054570">
        <w:rPr>
          <w:sz w:val="18"/>
          <w:szCs w:val="18"/>
        </w:rPr>
        <w:t>Daiichi Sankyo Inc., 2022 (CSR; Data on File).</w:t>
      </w:r>
      <w:r w:rsidRPr="00054570">
        <w:rPr>
          <w:sz w:val="18"/>
          <w:szCs w:val="18"/>
          <w:lang w:val="fr-FR"/>
        </w:rPr>
        <w:fldChar w:fldCharType="begin"/>
      </w:r>
      <w:r w:rsidR="00CA6345">
        <w:rPr>
          <w:sz w:val="18"/>
          <w:szCs w:val="18"/>
        </w:rPr>
        <w:instrText xml:space="preserve"> ADDIN ZOTERO_ITEM CSL_CITATION {"citationID":"a243pl1alet","properties":{"formattedCitation":"\\super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rPr>
          <w:sz w:val="18"/>
          <w:szCs w:val="18"/>
          <w:lang w:val="fr-FR"/>
        </w:rPr>
        <w:fldChar w:fldCharType="separate"/>
      </w:r>
      <w:r w:rsidR="00FD57F4" w:rsidRPr="00FD57F4">
        <w:rPr>
          <w:rFonts w:cs="Arial"/>
          <w:sz w:val="18"/>
          <w:szCs w:val="24"/>
          <w:vertAlign w:val="superscript"/>
        </w:rPr>
        <w:t>7</w:t>
      </w:r>
      <w:r w:rsidRPr="00054570">
        <w:rPr>
          <w:sz w:val="18"/>
          <w:szCs w:val="18"/>
          <w:lang w:val="fr-FR"/>
        </w:rPr>
        <w:fldChar w:fldCharType="end"/>
      </w:r>
      <w:r w:rsidRPr="00054570">
        <w:rPr>
          <w:sz w:val="18"/>
          <w:szCs w:val="18"/>
        </w:rPr>
        <w:t xml:space="preserve"> </w:t>
      </w:r>
    </w:p>
    <w:p w14:paraId="11F375A4" w14:textId="77777777" w:rsidR="000B148D" w:rsidRPr="00054570" w:rsidRDefault="000B148D" w:rsidP="000B148D">
      <w:pPr>
        <w:pStyle w:val="Heading5"/>
        <w:numPr>
          <w:ilvl w:val="0"/>
          <w:numId w:val="0"/>
        </w:numPr>
      </w:pPr>
      <w:r w:rsidRPr="00054570">
        <w:t>Treatment-emergent adverse events of special interest</w:t>
      </w:r>
    </w:p>
    <w:p w14:paraId="43F4CCD9" w14:textId="25B7A139" w:rsidR="000B148D" w:rsidRPr="00054570" w:rsidRDefault="000B148D" w:rsidP="000B148D">
      <w:pPr>
        <w:pStyle w:val="Body"/>
      </w:pPr>
      <w:r w:rsidRPr="00054570">
        <w:t>Adverse events identified as of special interest in DESTINY-Breast04 were ILD</w:t>
      </w:r>
      <w:r w:rsidRPr="00054570" w:rsidDel="00E81827">
        <w:t xml:space="preserve"> </w:t>
      </w:r>
      <w:r w:rsidRPr="00054570">
        <w:t xml:space="preserve">and left ventricular (LV) </w:t>
      </w:r>
      <w:r w:rsidR="00201300" w:rsidRPr="00054570">
        <w:t>d</w:t>
      </w:r>
      <w:r w:rsidR="00201300">
        <w:t>ysfunction</w:t>
      </w:r>
      <w:r w:rsidRPr="00054570">
        <w:t xml:space="preserve">, which are summarised in </w:t>
      </w:r>
      <w:r w:rsidRPr="00B9370F">
        <w:rPr>
          <w:b/>
          <w:bCs/>
        </w:rPr>
        <w:fldChar w:fldCharType="begin"/>
      </w:r>
      <w:r w:rsidRPr="00B9370F">
        <w:rPr>
          <w:b/>
          <w:bCs/>
        </w:rPr>
        <w:instrText xml:space="preserve"> REF _Ref119055166 \h </w:instrText>
      </w:r>
      <w:r>
        <w:rPr>
          <w:b/>
          <w:bCs/>
        </w:rPr>
        <w:instrText xml:space="preserve"> \* MERGEFORMAT </w:instrText>
      </w:r>
      <w:r w:rsidRPr="00B9370F">
        <w:rPr>
          <w:b/>
          <w:bCs/>
        </w:rPr>
      </w:r>
      <w:r w:rsidRPr="00B9370F">
        <w:rPr>
          <w:b/>
          <w:bCs/>
        </w:rPr>
        <w:fldChar w:fldCharType="separate"/>
      </w:r>
      <w:r w:rsidR="00145F42" w:rsidRPr="00145F42">
        <w:rPr>
          <w:b/>
          <w:bCs/>
        </w:rPr>
        <w:t xml:space="preserve">Table </w:t>
      </w:r>
      <w:r w:rsidR="00145F42" w:rsidRPr="00145F42">
        <w:rPr>
          <w:b/>
          <w:bCs/>
          <w:noProof/>
        </w:rPr>
        <w:t>28</w:t>
      </w:r>
      <w:r w:rsidRPr="00B9370F">
        <w:rPr>
          <w:b/>
          <w:bCs/>
        </w:rPr>
        <w:fldChar w:fldCharType="end"/>
      </w:r>
      <w:r w:rsidRPr="00054570">
        <w:t xml:space="preserve"> and </w:t>
      </w:r>
      <w:r w:rsidRPr="00B9370F">
        <w:rPr>
          <w:b/>
          <w:bCs/>
        </w:rPr>
        <w:fldChar w:fldCharType="begin"/>
      </w:r>
      <w:r w:rsidRPr="00B9370F">
        <w:rPr>
          <w:b/>
          <w:bCs/>
        </w:rPr>
        <w:instrText xml:space="preserve"> REF _Ref89421312 \h </w:instrText>
      </w:r>
      <w:r>
        <w:rPr>
          <w:b/>
          <w:bCs/>
        </w:rPr>
        <w:instrText xml:space="preserve"> \* MERGEFORMAT </w:instrText>
      </w:r>
      <w:r w:rsidRPr="00B9370F">
        <w:rPr>
          <w:b/>
          <w:bCs/>
        </w:rPr>
      </w:r>
      <w:r w:rsidRPr="00B9370F">
        <w:rPr>
          <w:b/>
          <w:bCs/>
        </w:rPr>
        <w:fldChar w:fldCharType="separate"/>
      </w:r>
      <w:r w:rsidR="00145F42" w:rsidRPr="00145F42">
        <w:rPr>
          <w:b/>
          <w:bCs/>
        </w:rPr>
        <w:t xml:space="preserve">Table </w:t>
      </w:r>
      <w:r w:rsidR="00145F42" w:rsidRPr="00145F42">
        <w:rPr>
          <w:b/>
          <w:bCs/>
          <w:noProof/>
        </w:rPr>
        <w:t>29</w:t>
      </w:r>
      <w:r w:rsidRPr="00B9370F">
        <w:rPr>
          <w:b/>
          <w:bCs/>
        </w:rPr>
        <w:fldChar w:fldCharType="end"/>
      </w:r>
      <w:r w:rsidRPr="00054570">
        <w:t>, respectively. Cases of potential ILD or pneumonitis in either study arm were reviewed by an independent ILD adjudication committee.</w:t>
      </w:r>
      <w:r w:rsidRPr="00054570">
        <w:fldChar w:fldCharType="begin"/>
      </w:r>
      <w:r w:rsidR="00CA6345">
        <w:instrText xml:space="preserve"> ADDIN ZOTERO_ITEM CSL_CITATION {"citationID":"as5j2n5lev","properties":{"formattedCitation":"\\super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r w:rsidRPr="00054570">
        <w:t xml:space="preserve"> </w:t>
      </w:r>
    </w:p>
    <w:p w14:paraId="21638A7C" w14:textId="33DBD551" w:rsidR="000B148D" w:rsidRPr="00054570" w:rsidRDefault="000B148D" w:rsidP="000B148D">
      <w:pPr>
        <w:pStyle w:val="Body"/>
      </w:pPr>
      <w:r w:rsidRPr="00054570">
        <w:t>A total of 45 patients (12.1%) in the T-DXd arm and one patient (0.6%) in the TPC arm had events adjudicated as being drug-related ILD of any grade (</w:t>
      </w:r>
      <w:r w:rsidRPr="00FA3BB1">
        <w:rPr>
          <w:b/>
          <w:bCs/>
        </w:rPr>
        <w:fldChar w:fldCharType="begin"/>
      </w:r>
      <w:r w:rsidRPr="00FA3BB1">
        <w:rPr>
          <w:b/>
          <w:bCs/>
        </w:rPr>
        <w:instrText xml:space="preserve"> REF _Ref119055166 \h </w:instrText>
      </w:r>
      <w:r>
        <w:rPr>
          <w:b/>
          <w:bCs/>
        </w:rPr>
        <w:instrText xml:space="preserve"> \* MERGEFORMAT </w:instrText>
      </w:r>
      <w:r w:rsidRPr="00FA3BB1">
        <w:rPr>
          <w:b/>
          <w:bCs/>
        </w:rPr>
      </w:r>
      <w:r w:rsidRPr="00FA3BB1">
        <w:rPr>
          <w:b/>
          <w:bCs/>
        </w:rPr>
        <w:fldChar w:fldCharType="separate"/>
      </w:r>
      <w:r w:rsidR="00145F42" w:rsidRPr="00145F42">
        <w:rPr>
          <w:b/>
          <w:bCs/>
        </w:rPr>
        <w:t xml:space="preserve">Table </w:t>
      </w:r>
      <w:r w:rsidR="00145F42" w:rsidRPr="00145F42">
        <w:rPr>
          <w:b/>
          <w:bCs/>
          <w:noProof/>
        </w:rPr>
        <w:t>28</w:t>
      </w:r>
      <w:r w:rsidRPr="00FA3BB1">
        <w:rPr>
          <w:b/>
          <w:bCs/>
        </w:rPr>
        <w:fldChar w:fldCharType="end"/>
      </w:r>
      <w:r w:rsidRPr="00054570">
        <w:t>).</w:t>
      </w:r>
      <w:r>
        <w:fldChar w:fldCharType="begin"/>
      </w:r>
      <w:r w:rsidR="00CA6345">
        <w:instrText xml:space="preserve"> ADDIN ZOTERO_ITEM CSL_CITATION {"citationID":"0qgGbC5Y","properties":{"formattedCitation":"\\super 140\\nosupersub{}","plainCitation":"140","noteIndex":0},"citationItems":[{"id":66138,"uris":["http://zotero.org/groups/4797619/items/7DECRJ2U"],"itemData":{"id":66138,"type":"document","title":"Trastuzumab deruxtecan (T-DXd) vs treatment of physician's choice in patients with HER2-low unresectable and/or metastatic breast cancer: Results of DESTINY-Breast04, a randomized, phase 3 study. Presented at ASCO 2022 Annual Meeting.","author":[{"family":"Modi","given":"Shanu"},{"family":"Jacot","given":"William"},{"family":"Yamashita","given":"Toshinari"},{"family":"Sohn","given":"Joohyuk"},{"family":"Vidal","given":"Maria"},{"family":"Tokunaga","given":"Eriko"},{"family":"Tsurutani","given":"Junji"},{"family":"Ueno","given":"Naoto T."},{"family":"Chae","given":"Yee Soo"},{"family":"Lee","given":"Keun Seok"},{"family":"Niikura","given":"Naoki"},{"family":"Park","given":"Yeon Hee"},{"family":"Wang","given":"Xiaojia"},{"family":"Xu","given":"Binghe"},{"family":"Gambhire","given":"Dhiraj"},{"family":"Yung","given":"Lotus"},{"family":"Meinhardt","given":"Gerold"},{"family":"Wang","given":"Yibin"},{"family":"Harbeck","given":"Nadia"},{"family":"Cameron","given":"David"}],"issued":{"date-parts":[["2022",6,5]]}}}],"schema":"https://github.com/citation-style-language/schema/raw/master/csl-citation.json"} </w:instrText>
      </w:r>
      <w:r>
        <w:fldChar w:fldCharType="separate"/>
      </w:r>
      <w:r w:rsidR="00CA6345" w:rsidRPr="00CA6345">
        <w:rPr>
          <w:rFonts w:cs="Arial"/>
          <w:szCs w:val="24"/>
          <w:vertAlign w:val="superscript"/>
        </w:rPr>
        <w:t>140</w:t>
      </w:r>
      <w:r>
        <w:fldChar w:fldCharType="end"/>
      </w:r>
      <w:r w:rsidRPr="00054570">
        <w:t xml:space="preserve"> The majority of cases in the T-DXd arm were Grade 1</w:t>
      </w:r>
      <w:r>
        <w:t xml:space="preserve"> (13</w:t>
      </w:r>
      <w:r w:rsidR="00F24771">
        <w:t xml:space="preserve"> </w:t>
      </w:r>
      <w:r>
        <w:t>patients; 28.9%)</w:t>
      </w:r>
      <w:r w:rsidRPr="00054570">
        <w:t xml:space="preserve"> or Grade 2</w:t>
      </w:r>
      <w:r>
        <w:t xml:space="preserve"> (24</w:t>
      </w:r>
      <w:r w:rsidR="00F24771">
        <w:t xml:space="preserve"> </w:t>
      </w:r>
      <w:r>
        <w:t>patients; 53.3%)</w:t>
      </w:r>
      <w:r w:rsidR="00036ABD">
        <w:t>.</w:t>
      </w:r>
      <w:r>
        <w:t xml:space="preserve"> </w:t>
      </w:r>
      <w:r>
        <w:lastRenderedPageBreak/>
        <w:t xml:space="preserve">Grade 3, 4 and </w:t>
      </w:r>
      <w:r w:rsidRPr="00054570">
        <w:t xml:space="preserve">5 adjudicated drug-related ILD was reported in </w:t>
      </w:r>
      <w:r>
        <w:t>five (1.3%), zero and three (0.8%)</w:t>
      </w:r>
      <w:r w:rsidRPr="00054570">
        <w:t xml:space="preserve"> subjects in the T</w:t>
      </w:r>
      <w:r w:rsidRPr="00054570">
        <w:rPr>
          <w:rFonts w:ascii="Cambria Math" w:hAnsi="Cambria Math" w:cs="Cambria Math"/>
        </w:rPr>
        <w:t>‑</w:t>
      </w:r>
      <w:r w:rsidRPr="00054570">
        <w:t>DXd arm.</w:t>
      </w:r>
      <w:r>
        <w:fldChar w:fldCharType="begin"/>
      </w:r>
      <w:r w:rsidR="00CA6345">
        <w:instrText xml:space="preserve"> ADDIN ZOTERO_ITEM CSL_CITATION {"citationID":"yfakcqcR","properties":{"formattedCitation":"\\super 140\\nosupersub{}","plainCitation":"140","noteIndex":0},"citationItems":[{"id":66138,"uris":["http://zotero.org/groups/4797619/items/7DECRJ2U"],"itemData":{"id":66138,"type":"document","title":"Trastuzumab deruxtecan (T-DXd) vs treatment of physician's choice in patients with HER2-low unresectable and/or metastatic breast cancer: Results of DESTINY-Breast04, a randomized, phase 3 study. Presented at ASCO 2022 Annual Meeting.","author":[{"family":"Modi","given":"Shanu"},{"family":"Jacot","given":"William"},{"family":"Yamashita","given":"Toshinari"},{"family":"Sohn","given":"Joohyuk"},{"family":"Vidal","given":"Maria"},{"family":"Tokunaga","given":"Eriko"},{"family":"Tsurutani","given":"Junji"},{"family":"Ueno","given":"Naoto T."},{"family":"Chae","given":"Yee Soo"},{"family":"Lee","given":"Keun Seok"},{"family":"Niikura","given":"Naoki"},{"family":"Park","given":"Yeon Hee"},{"family":"Wang","given":"Xiaojia"},{"family":"Xu","given":"Binghe"},{"family":"Gambhire","given":"Dhiraj"},{"family":"Yung","given":"Lotus"},{"family":"Meinhardt","given":"Gerold"},{"family":"Wang","given":"Yibin"},{"family":"Harbeck","given":"Nadia"},{"family":"Cameron","given":"David"}],"issued":{"date-parts":[["2022",6,5]]}}}],"schema":"https://github.com/citation-style-language/schema/raw/master/csl-citation.json"} </w:instrText>
      </w:r>
      <w:r>
        <w:fldChar w:fldCharType="separate"/>
      </w:r>
      <w:r w:rsidR="00CA6345" w:rsidRPr="00CA6345">
        <w:rPr>
          <w:rFonts w:cs="Arial"/>
          <w:szCs w:val="24"/>
          <w:vertAlign w:val="superscript"/>
        </w:rPr>
        <w:t>140</w:t>
      </w:r>
      <w:r>
        <w:fldChar w:fldCharType="end"/>
      </w:r>
      <w:r w:rsidR="00622F49" w:rsidRPr="00622F49">
        <w:t xml:space="preserve"> </w:t>
      </w:r>
      <w:r w:rsidR="00622F49">
        <w:t>The overall incidence of ILD was consistent with previous studies of T-DXd</w:t>
      </w:r>
      <w:r w:rsidR="00622F49">
        <w:fldChar w:fldCharType="begin"/>
      </w:r>
      <w:r w:rsidR="00CA6345">
        <w:instrText xml:space="preserve"> ADDIN ZOTERO_ITEM CSL_CITATION {"citationID":"73yKm6JV","properties":{"formattedCitation":"\\super 6, 38, 78,144\\nosupersub{}","plainCitation":"6, 38, 78,144","dontUpdate":true,"noteIndex":0},"citationItems":[{"id":66138,"uris":["http://zotero.org/groups/4797619/items/7DECRJ2U"],"itemData":{"id":66138,"type":"document","title":"Trastuzumab deruxtecan (T-DXd) vs treatment of physician's choice in patients with HER2-low unresectable and/or metastatic breast cancer: Results of DESTINY-Breast04, a randomized, phase 3 study. Presented at ASCO 2022 Annual Meeting.","author":[{"family":"Modi","given":"Shanu"},{"family":"Jacot","given":"William"},{"family":"Yamashita","given":"Toshinari"},{"family":"Sohn","given":"Joohyuk"},{"family":"Vidal","given":"Maria"},{"family":"Tokunaga","given":"Eriko"},{"family":"Tsurutani","given":"Junji"},{"family":"Ueno","given":"Naoto T."},{"family":"Chae","given":"Yee Soo"},{"family":"Lee","given":"Keun Seok"},{"family":"Niikura","given":"Naoki"},{"family":"Park","given":"Yeon Hee"},{"family":"Wang","given":"Xiaojia"},{"family":"Xu","given":"Binghe"},{"family":"Gambhire","given":"Dhiraj"},{"family":"Yung","given":"Lotus"},{"family":"Meinhardt","given":"Gerold"},{"family":"Wang","given":"Yibin"},{"family":"Harbeck","given":"Nadia"},{"family":"Cameron","given":"David"}],"issued":{"date-parts":[["2022",6,5]]}}},{"id":66397,"uris":["http://zotero.org/groups/4797619/items/ID7JDCSX"],"itemData":{"id":66397,"type":"article-journal","abstract":"BACKGROUND: Trastuzumab emtansine is the current standard treatment for patients with human epidermal growth factor receptor 2 (HER2)-positive metastatic breast cancer whose disease progresses after treatment with a combination of anti-HER2 antibodies and a taxane.\nMETHODS: We conducted a phase 3, multicenter, open-label, randomized trial to compare the efficacy and safety of trastuzumab deruxtecan (a HER2 antibody-drug conjugate) with those of trastuzumab emtansine in patients with HER2-positive metastatic breast cancer previously treated with trastuzumab and a taxane. The primary end point was progression-free survival (as determined by blinded independent central review); secondary end points included overall survival, objective response, and safety.\nRESULTS: Among 524 randomly assigned patients, the percentage of those who were alive without disease progression at 12 months was 75.8% (95% confidence interval [CI], 69.8 to 80.7) with trastuzumab deruxtecan and 34.1% (95% CI, 27.7 to 40.5) with trastuzumab emtansine (hazard ratio for progression or death from any cause, 0.28; 95% CI, 0.22 to 0.37; P&lt;0.001). The percentage of patients who were alive at 12 months was 94.1% (95% CI, 90.3 to 96.4) with trastuzumab deruxtecan and 85.9% (95% CI, 80.9 to 89.7) with trastuzumab emtansine (hazard ratio for death, 0.55; 95% CI, 0.36 to 0.86; prespecified significance boundary not reached). An overall response (a complete or partial response) occurred in 79.7% (95% CI, 74.3 to 84.4) of the patients who received trastuzumab deruxtecan and in 34.2% (95% CI, 28.5 to 40.3) of those who received trastuzumab emtansine. The incidence of drug-related adverse events of any grade was 98.1% with trastuzumab deruxtecan and 86.6% with trastuzumab emtansine, and the incidence of drug-related adverse events of grade 3 or 4 was 45.1% and 39.8%, respectively. Adjudicated drug-related interstitial lung disease or pneumonitis occurred in 10.5% of the patients in the trastuzumab deruxtecan group and in 1.9% of those in the trastuzumab emtansine group; none of these events were of grade 4 or 5.\nCONCLUSIONS: Among patients with HER2-positive metastatic breast cancer previously treated with trastuzumab and a taxane, the risk of disease progression or death was lower among those who received trastuzumab deruxtecan than among those who received trastuzumab emtansine. Treatment with trastuzumab deruxtecan was associated with interstitial lung disease and pneumonitis. (Funded by Daiichi Sankyo and AstraZeneca; DESTINY-Breast03 ClinicalTrials.gov number, NCT03529110.).","container-title":"The New England Journal of Medicine","DOI":"10.1056/NEJMoa2115022","ISSN":"1533-4406","issue":"12","journalAbbreviation":"N Engl J Med","language":"eng","note":"PMID: 35320644","page":"1143-1154","source":"PubMed","title":"Trastuzumab Deruxtecan versus Trastuzumab Emtansine for Breast Cancer","volume":"386","author":[{"family":"Cortés","given":"Javier"},{"family":"Kim","given":"Sung-Bae"},{"family":"Chung","given":"Wei-Pang"},{"family":"Im","given":"Seock-Ah"},{"family":"Park","given":"Yeon Hee"},{"family":"Hegg","given":"Roberto"},{"family":"Kim","given":"Min Hwan"},{"family":"Tseng","given":"Ling-Ming"},{"family":"Petry","given":"Vanessa"},{"family":"Chung","given":"Chi-Feng"},{"family":"Iwata","given":"Hiroji"},{"family":"Hamilton","given":"Erika"},{"family":"Curigliano","given":"Giuseppe"},{"family":"Xu","given":"Binghe"},{"family":"Huang","given":"Chiun-Sheng"},{"family":"Kim","given":"Jee Hyun"},{"family":"Chiu","given":"Joanne W. Y."},{"family":"Pedrini","given":"Jose Luiz"},{"family":"Lee","given":"Caleb"},{"family":"Liu","given":"Yali"},{"family":"Cathcart","given":"Jillian"},{"family":"Bako","given":"Emarjola"},{"family":"Verma","given":"Sunil"},{"family":"Hurvitz","given":"Sara A."},{"literal":"DESTINY-Breast03 Trial Investigators"}],"issued":{"date-parts":[["2022",3,24]]}}},{"id":65848,"uris":["http://zotero.org/groups/4797619/items/XCBQ3YJP"],"itemData":{"id":65848,"type":"article-journal","abstract":"This is a summary of the article discussing the results of the DESTINY-Breast01 study originally published in the New England Journal of Medicine. The DESTINY-Breast01 study is a clinical study in participants with a type of breast cancer called HER2-positive breast cancer. The participants in the study received a treatment called trastuzumab deruxtecan, also known as T-DXd. The purpose of this summary is to help you understand the results of the DESTINY-Breast01 study. T-DXd is currently available as a treatment for adults with HER2-positive breast cancer that cannot be removed by surgery, also called unresectable, or that has spread, also called metastatic. In the DESTINY-Breast01 study, all the participants had HER2-positive breast cancer that was metastatic or unresectable. All participants were required to have had previous treatment for their HER2-positive breast cancer with another treatment, called trastuzumab emtansine or T-DM1. All the participants received T-DXd every 3 weeks. Part 1 was done to learn how T-DXd acted in the body, and to choose a dose to give to all the participants in Part 2. In Part 2, 184 participants received T-DXd at 5.4 mg/kg and the results showed that T-DXd reduced tumor growth. Up to 60.9% of the participants had their tumors shrink or disappear, with a treatment response that lasted for nearly 15 months on average. The participants lived with their cancer for around 16 months before it got worse. During the study, 183 out of 184 participants had side effects, known as adverse events. The most common adverse event was nausea. There were 42 participants (22.8%) who had serious adverse events, including lung toxicity. These results suggest that T-DXd could be a treatment option for people with metastatic HER2-positive breast cancer who have already been treated with T-DM1. Additional studies will provide more information and results about T-DXd. ClinicalTrials.gov NCT number: NCT03248492. To read the full Plain Language Summary of this article, click on the View Article button above and download the PDF. Link to original article here.","container-title":"Future Oncology (London, England)","DOI":"10.2217/fon-2021-0427","ISSN":"1744-8301","issue":"26","journalAbbreviation":"Future Oncol","language":"eng","note":"PMID: 34263665","page":"3415-3423","source":"PubMed","title":"Trastuzumab deruxtecan in previously treated HER2-positive metastatic breast cancer: Plain language summary of the DESTINY-Breast01 study","title-short":"Trastuzumab deruxtecan in previously treated HER2-positive metastatic breast cancer","volume":"17","author":[{"family":"Modi","given":"Shanu"}],"issued":{"date-parts":[["2021",9,1]]}},"label":"page"},{"id":66729,"uris":["http://zotero.org/groups/4797619/items/8CME4PW5"],"itemData":{"id":66729,"type":"article-journal","container-title":"ESMO Open","DOI":"10.1016/j.esmoop.2022.100554","ISSN":"2059-7029","issue":"4","journalAbbreviation":"ESMO Open","language":"English","note":"publisher: Elsevier\nPMID: 35963179","source":"www.esmoopen.com","title":"Pooled analysis of drug-related interstitial lung disease and/or pneumonitis in nine trastuzumab deruxtecan monotherapy studies</w:instrText>
      </w:r>
      <w:r w:rsidR="00CA6345">
        <w:rPr>
          <w:rFonts w:ascii="Segoe UI Symbol" w:hAnsi="Segoe UI Symbol" w:cs="Segoe UI Symbol"/>
        </w:rPr>
        <w:instrText>☆</w:instrText>
      </w:r>
      <w:r w:rsidR="00CA6345">
        <w:instrText xml:space="preserve">","URL":"https://www.esmoopen.com/article/S2059-7029(22)00182-X/fulltext","volume":"7","author":[{"family":"Powell","given":"C. A."},{"family":"Modi","given":"S."},{"family":"Iwata","given":"H."},{"family":"Takahashi","given":"S."},{"family":"Smit","given":"E. F."},{"family":"Siena","given":"S."},{"family":"Chang","given":"D.-Y."},{"family":"Macpherson","given":"E."},{"family":"Qin","given":"A."},{"family":"Singh","given":"J."},{"family":"Taitt","given":"C."},{"family":"Shire","given":"N."},{"family":"Camidge","given":"D. Ross"}],"accessed":{"date-parts":[["2023",2,1]]},"issued":{"date-parts":[["2022",8,1]]}}}],"schema":"https://github.com/citation-style-language/schema/raw/master/csl-citation.json"} </w:instrText>
      </w:r>
      <w:r w:rsidR="00622F49">
        <w:fldChar w:fldCharType="separate"/>
      </w:r>
      <w:r w:rsidR="00622F49" w:rsidRPr="00D2264D">
        <w:rPr>
          <w:rFonts w:cs="Arial"/>
          <w:szCs w:val="24"/>
          <w:vertAlign w:val="superscript"/>
        </w:rPr>
        <w:t>6, 38, 78,</w:t>
      </w:r>
      <w:r w:rsidR="00231942">
        <w:rPr>
          <w:rFonts w:cs="Arial"/>
          <w:szCs w:val="24"/>
          <w:vertAlign w:val="superscript"/>
        </w:rPr>
        <w:t xml:space="preserve"> </w:t>
      </w:r>
      <w:r w:rsidR="00622F49" w:rsidRPr="00D2264D">
        <w:rPr>
          <w:rFonts w:cs="Arial"/>
          <w:szCs w:val="24"/>
          <w:vertAlign w:val="superscript"/>
        </w:rPr>
        <w:t>144</w:t>
      </w:r>
      <w:r w:rsidR="00622F49">
        <w:fldChar w:fldCharType="end"/>
      </w:r>
      <w:r w:rsidR="00622F49" w:rsidRPr="00054570" w:rsidDel="002B1738">
        <w:t xml:space="preserve"> </w:t>
      </w:r>
      <w:r w:rsidR="00C74A4D" w:rsidRPr="00054570">
        <w:t xml:space="preserve">and </w:t>
      </w:r>
      <w:r w:rsidR="00C74A4D">
        <w:t xml:space="preserve">events </w:t>
      </w:r>
      <w:r w:rsidR="00C74A4D" w:rsidRPr="00054570">
        <w:t>were manageable by following established ILD management guidelines, which included monitoring signs and symptoms of ILD (e</w:t>
      </w:r>
      <w:r w:rsidR="00C74A4D">
        <w:t>.</w:t>
      </w:r>
      <w:r w:rsidR="00C74A4D" w:rsidRPr="00054570">
        <w:t>g</w:t>
      </w:r>
      <w:r w:rsidR="00C74A4D">
        <w:t>.</w:t>
      </w:r>
      <w:r w:rsidR="00C74A4D" w:rsidRPr="00054570">
        <w:t>, cough, fever, dyspnoea) and proactively managing events with early intervention (including dose modification, treatment, and supportive care).</w:t>
      </w:r>
      <w:r w:rsidR="00C74A4D" w:rsidRPr="00054570">
        <w:fldChar w:fldCharType="begin"/>
      </w:r>
      <w:r w:rsidR="00CA6345">
        <w:instrText xml:space="preserve"> ADDIN ZOTERO_ITEM CSL_CITATION {"citationID":"JjRTMn7I","properties":{"formattedCitation":"\\super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00C74A4D" w:rsidRPr="00054570">
        <w:fldChar w:fldCharType="separate"/>
      </w:r>
      <w:r w:rsidR="00FD57F4" w:rsidRPr="00FD57F4">
        <w:rPr>
          <w:rFonts w:cs="Arial"/>
          <w:szCs w:val="24"/>
          <w:vertAlign w:val="superscript"/>
        </w:rPr>
        <w:t>7</w:t>
      </w:r>
      <w:r w:rsidR="00C74A4D" w:rsidRPr="00054570">
        <w:fldChar w:fldCharType="end"/>
      </w:r>
    </w:p>
    <w:p w14:paraId="6E33F4E7" w14:textId="1D631507" w:rsidR="00375618" w:rsidRPr="00054570" w:rsidRDefault="00375618" w:rsidP="000B148D">
      <w:pPr>
        <w:pStyle w:val="Body"/>
      </w:pPr>
      <w:r w:rsidRPr="00054570">
        <w:t xml:space="preserve">Median time to onset of the first adjudicated drug-related ILD event was </w:t>
      </w:r>
      <w:r w:rsidR="00294FDC" w:rsidRPr="00294FDC">
        <w:rPr>
          <w:color w:val="000000"/>
          <w:highlight w:val="black"/>
        </w:rPr>
        <w:t>xxxxx</w:t>
      </w:r>
      <w:r w:rsidRPr="00054570">
        <w:t xml:space="preserve"> days (range: </w:t>
      </w:r>
      <w:r w:rsidR="00294FDC" w:rsidRPr="00294FDC">
        <w:rPr>
          <w:color w:val="000000"/>
          <w:highlight w:val="black"/>
        </w:rPr>
        <w:t>xxxxxxxxxx</w:t>
      </w:r>
      <w:r w:rsidRPr="00054570">
        <w:t>) in the T</w:t>
      </w:r>
      <w:r w:rsidRPr="00054570">
        <w:noBreakHyphen/>
        <w:t>DXd arm.</w:t>
      </w:r>
      <w:r w:rsidRPr="00054570">
        <w:fldChar w:fldCharType="begin"/>
      </w:r>
      <w:r w:rsidR="00CA6345">
        <w:instrText xml:space="preserve"> ADDIN ZOTERO_ITEM CSL_CITATION {"citationID":"kUIYV249","properties":{"formattedCitation":"\\super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p>
    <w:p w14:paraId="26E4200A" w14:textId="73A2F041" w:rsidR="00B1118B" w:rsidRDefault="000B148D" w:rsidP="000B148D">
      <w:pPr>
        <w:pStyle w:val="Body"/>
      </w:pPr>
      <w:r w:rsidRPr="00054570">
        <w:t xml:space="preserve">In the T-DXd arm, the outcome of the worst adjudicated drug-related ILD event experienced by the patient was recovered/resolved in </w:t>
      </w:r>
      <w:r w:rsidR="00294FDC" w:rsidRPr="00294FDC">
        <w:rPr>
          <w:color w:val="000000"/>
          <w:highlight w:val="black"/>
        </w:rPr>
        <w:t>xx</w:t>
      </w:r>
      <w:r w:rsidRPr="00054570">
        <w:t xml:space="preserve"> patients (</w:t>
      </w:r>
      <w:r w:rsidR="00294FDC" w:rsidRPr="00294FDC">
        <w:rPr>
          <w:color w:val="000000"/>
          <w:highlight w:val="black"/>
        </w:rPr>
        <w:t>xxxxx</w:t>
      </w:r>
      <w:r w:rsidRPr="00054570">
        <w:t xml:space="preserve">), recovered/resolved with sequelae in </w:t>
      </w:r>
      <w:r w:rsidR="00294FDC" w:rsidRPr="00294FDC">
        <w:rPr>
          <w:color w:val="000000"/>
          <w:highlight w:val="black"/>
        </w:rPr>
        <w:t>xxx</w:t>
      </w:r>
      <w:r w:rsidRPr="00054570">
        <w:t xml:space="preserve"> patients (</w:t>
      </w:r>
      <w:r w:rsidR="00294FDC" w:rsidRPr="00294FDC">
        <w:rPr>
          <w:color w:val="000000"/>
          <w:highlight w:val="black"/>
        </w:rPr>
        <w:t>xxxx</w:t>
      </w:r>
      <w:r w:rsidRPr="00054570">
        <w:t xml:space="preserve">) and recovering/resolving in </w:t>
      </w:r>
      <w:r w:rsidR="00294FDC" w:rsidRPr="00294FDC">
        <w:rPr>
          <w:color w:val="000000"/>
          <w:highlight w:val="black"/>
        </w:rPr>
        <w:t>xxxx</w:t>
      </w:r>
      <w:r w:rsidRPr="00054570">
        <w:t xml:space="preserve"> patients (</w:t>
      </w:r>
      <w:r w:rsidR="00294FDC" w:rsidRPr="00294FDC">
        <w:rPr>
          <w:color w:val="000000"/>
          <w:highlight w:val="black"/>
        </w:rPr>
        <w:t>xxxx</w:t>
      </w:r>
      <w:r w:rsidRPr="00054570">
        <w:t>).</w:t>
      </w:r>
      <w:r w:rsidRPr="00054570">
        <w:fldChar w:fldCharType="begin"/>
      </w:r>
      <w:r w:rsidR="00CA6345">
        <w:instrText xml:space="preserve"> ADDIN ZOTERO_ITEM CSL_CITATION {"citationID":"sWG4UZqu","properties":{"formattedCitation":"\\super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r>
        <w:t xml:space="preserve"> </w:t>
      </w:r>
      <w:r w:rsidR="00294FDC" w:rsidRPr="00294FDC">
        <w:rPr>
          <w:color w:val="000000"/>
          <w:highlight w:val="black"/>
        </w:rPr>
        <w:t>xxx</w:t>
      </w:r>
      <w:r w:rsidR="00B1118B" w:rsidRPr="00095CA3">
        <w:t xml:space="preserve"> </w:t>
      </w:r>
      <w:r w:rsidR="00B1118B">
        <w:t>patients (</w:t>
      </w:r>
      <w:r w:rsidR="00294FDC" w:rsidRPr="00294FDC">
        <w:rPr>
          <w:color w:val="000000"/>
          <w:highlight w:val="black"/>
        </w:rPr>
        <w:t>xxxxx</w:t>
      </w:r>
      <w:r w:rsidR="00B1118B">
        <w:t>) in the T-DXd arm had adjudicated ILD events that were not recovered/resolved. In addition, there</w:t>
      </w:r>
      <w:r>
        <w:t xml:space="preserve"> were </w:t>
      </w:r>
      <w:r w:rsidR="00294FDC" w:rsidRPr="00294FDC">
        <w:rPr>
          <w:color w:val="000000"/>
          <w:highlight w:val="black"/>
        </w:rPr>
        <w:t>xxx</w:t>
      </w:r>
      <w:r>
        <w:t xml:space="preserve"> (</w:t>
      </w:r>
      <w:r w:rsidR="00294FDC" w:rsidRPr="00294FDC">
        <w:rPr>
          <w:color w:val="000000"/>
          <w:highlight w:val="black"/>
        </w:rPr>
        <w:t>xxxx</w:t>
      </w:r>
      <w:r>
        <w:t>) adjudicated drug-related ILD events associated with death in the T-DXd arm.</w:t>
      </w:r>
      <w:r>
        <w:fldChar w:fldCharType="begin"/>
      </w:r>
      <w:r w:rsidR="00CA6345">
        <w:instrText xml:space="preserve"> ADDIN ZOTERO_ITEM CSL_CITATION {"citationID":"NjrH2426","properties":{"formattedCitation":"\\super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fldChar w:fldCharType="separate"/>
      </w:r>
      <w:r w:rsidR="00FD57F4" w:rsidRPr="00FD57F4">
        <w:rPr>
          <w:rFonts w:cs="Arial"/>
          <w:szCs w:val="24"/>
          <w:vertAlign w:val="superscript"/>
        </w:rPr>
        <w:t>7</w:t>
      </w:r>
      <w:r>
        <w:fldChar w:fldCharType="end"/>
      </w:r>
      <w:r w:rsidRPr="00054570">
        <w:t xml:space="preserve"> </w:t>
      </w:r>
      <w:r>
        <w:t xml:space="preserve">The </w:t>
      </w:r>
      <w:r w:rsidRPr="00054570">
        <w:t>event was not recovered/resolved</w:t>
      </w:r>
      <w:r>
        <w:t xml:space="preserve"> in the </w:t>
      </w:r>
      <w:r w:rsidR="00294FDC" w:rsidRPr="00294FDC">
        <w:rPr>
          <w:color w:val="000000"/>
          <w:highlight w:val="black"/>
        </w:rPr>
        <w:t>xxxxxxxxxxx</w:t>
      </w:r>
      <w:r>
        <w:t xml:space="preserve"> with an adjudicated ILD event in the TPC arm</w:t>
      </w:r>
      <w:r w:rsidRPr="00054570">
        <w:t>.</w:t>
      </w:r>
      <w:r w:rsidRPr="00054570">
        <w:fldChar w:fldCharType="begin"/>
      </w:r>
      <w:r w:rsidR="00CA6345">
        <w:instrText xml:space="preserve"> ADDIN ZOTERO_ITEM CSL_CITATION {"citationID":"fptohgX8","properties":{"formattedCitation":"\\super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r w:rsidRPr="00054570">
        <w:t xml:space="preserve"> </w:t>
      </w:r>
    </w:p>
    <w:p w14:paraId="44DE20DA" w14:textId="3231669F" w:rsidR="000B148D" w:rsidRPr="00054570" w:rsidRDefault="000B148D" w:rsidP="000B148D">
      <w:pPr>
        <w:pStyle w:val="Body"/>
        <w:rPr>
          <w:strike/>
        </w:rPr>
      </w:pPr>
      <w:r w:rsidRPr="00054570">
        <w:t xml:space="preserve">Events of ILD associated with study drug interruption, dose reduction, or discontinuation were </w:t>
      </w:r>
      <w:r w:rsidRPr="0001356E">
        <w:t xml:space="preserve">reported in </w:t>
      </w:r>
      <w:r w:rsidR="00294FDC" w:rsidRPr="00294FDC">
        <w:rPr>
          <w:color w:val="000000"/>
          <w:highlight w:val="black"/>
        </w:rPr>
        <w:t>xx</w:t>
      </w:r>
      <w:r w:rsidRPr="003C648C">
        <w:t xml:space="preserve"> </w:t>
      </w:r>
      <w:r w:rsidRPr="0001356E">
        <w:t>(</w:t>
      </w:r>
      <w:r w:rsidR="00294FDC" w:rsidRPr="00294FDC">
        <w:rPr>
          <w:color w:val="000000"/>
          <w:highlight w:val="black"/>
        </w:rPr>
        <w:t>xxxx</w:t>
      </w:r>
      <w:r w:rsidRPr="0001356E">
        <w:t xml:space="preserve">), </w:t>
      </w:r>
      <w:r w:rsidR="00294FDC" w:rsidRPr="00294FDC">
        <w:rPr>
          <w:color w:val="000000"/>
          <w:highlight w:val="black"/>
        </w:rPr>
        <w:t>xxx</w:t>
      </w:r>
      <w:r w:rsidRPr="0001356E">
        <w:t xml:space="preserve"> (</w:t>
      </w:r>
      <w:r w:rsidR="00294FDC" w:rsidRPr="00294FDC">
        <w:rPr>
          <w:color w:val="000000"/>
          <w:highlight w:val="black"/>
        </w:rPr>
        <w:t>xxxx</w:t>
      </w:r>
      <w:r w:rsidRPr="0001356E">
        <w:t>) and</w:t>
      </w:r>
      <w:r w:rsidRPr="00054570">
        <w:t xml:space="preserve"> </w:t>
      </w:r>
      <w:r w:rsidR="00294FDC" w:rsidRPr="00294FDC">
        <w:rPr>
          <w:color w:val="000000"/>
          <w:highlight w:val="black"/>
        </w:rPr>
        <w:t>xx</w:t>
      </w:r>
      <w:r w:rsidRPr="00054570">
        <w:t> patients (</w:t>
      </w:r>
      <w:r w:rsidR="00294FDC" w:rsidRPr="00294FDC">
        <w:rPr>
          <w:color w:val="000000"/>
          <w:highlight w:val="black"/>
        </w:rPr>
        <w:t>xxxx</w:t>
      </w:r>
      <w:r w:rsidRPr="00054570">
        <w:t>), respectively of patients treated with T</w:t>
      </w:r>
      <w:r w:rsidRPr="00054570">
        <w:noBreakHyphen/>
        <w:t>DXd.</w:t>
      </w:r>
      <w:r w:rsidRPr="00054570">
        <w:fldChar w:fldCharType="begin"/>
      </w:r>
      <w:r w:rsidR="00CA6345">
        <w:instrText xml:space="preserve"> ADDIN ZOTERO_ITEM CSL_CITATION {"citationID":"7RiyndvF","properties":{"formattedCitation":"\\super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r w:rsidRPr="00054570">
        <w:t xml:space="preserve"> In patients treated with TPC, </w:t>
      </w:r>
      <w:r w:rsidR="00294FDC" w:rsidRPr="00294FDC">
        <w:rPr>
          <w:color w:val="000000"/>
          <w:highlight w:val="black"/>
        </w:rPr>
        <w:t>xx</w:t>
      </w:r>
      <w:r w:rsidRPr="00054570">
        <w:t xml:space="preserve"> ILD-related drug interruptions, dose reductions, or discontinuations were reported.</w:t>
      </w:r>
      <w:r w:rsidRPr="00054570">
        <w:fldChar w:fldCharType="begin"/>
      </w:r>
      <w:r w:rsidR="00CA6345">
        <w:instrText xml:space="preserve"> ADDIN ZOTERO_ITEM CSL_CITATION {"citationID":"pTUqkdBf","properties":{"formattedCitation":"\\super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p>
    <w:p w14:paraId="189F1BC0" w14:textId="21AAC124" w:rsidR="000B148D" w:rsidRPr="00054570" w:rsidRDefault="000B148D" w:rsidP="000B148D">
      <w:pPr>
        <w:pStyle w:val="Caption"/>
      </w:pPr>
      <w:bookmarkStart w:id="350" w:name="_Ref119055166"/>
      <w:bookmarkStart w:id="351" w:name="_Toc124447888"/>
      <w:bookmarkStart w:id="352" w:name="_Toc129351003"/>
      <w:r w:rsidRPr="00054570">
        <w:t xml:space="preserve">Table </w:t>
      </w:r>
      <w:r w:rsidRPr="00054570">
        <w:fldChar w:fldCharType="begin"/>
      </w:r>
      <w:r w:rsidRPr="00054570">
        <w:instrText>SEQ Table \* ARABIC</w:instrText>
      </w:r>
      <w:r w:rsidRPr="00054570">
        <w:fldChar w:fldCharType="separate"/>
      </w:r>
      <w:r w:rsidR="00145F42">
        <w:rPr>
          <w:noProof/>
        </w:rPr>
        <w:t>28</w:t>
      </w:r>
      <w:r w:rsidRPr="00054570">
        <w:fldChar w:fldCharType="end"/>
      </w:r>
      <w:bookmarkEnd w:id="350"/>
      <w:r w:rsidRPr="00054570">
        <w:t xml:space="preserve">: TEAEs adjudicated as drug-related ILD/pneumonitis* by CTCAE v5.0 </w:t>
      </w:r>
      <w:r w:rsidR="00B147D6">
        <w:t>G</w:t>
      </w:r>
      <w:r w:rsidRPr="00054570">
        <w:t>rade</w:t>
      </w:r>
      <w:bookmarkEnd w:id="351"/>
      <w:bookmarkEnd w:id="352"/>
    </w:p>
    <w:tbl>
      <w:tblPr>
        <w:tblStyle w:val="Generaltable"/>
        <w:tblW w:w="0" w:type="auto"/>
        <w:tblLook w:val="04A0" w:firstRow="1" w:lastRow="0" w:firstColumn="1" w:lastColumn="0" w:noHBand="0" w:noVBand="1"/>
      </w:tblPr>
      <w:tblGrid>
        <w:gridCol w:w="1821"/>
        <w:gridCol w:w="1199"/>
        <w:gridCol w:w="1199"/>
        <w:gridCol w:w="1199"/>
        <w:gridCol w:w="1199"/>
        <w:gridCol w:w="1199"/>
        <w:gridCol w:w="1200"/>
      </w:tblGrid>
      <w:tr w:rsidR="000B148D" w:rsidRPr="00054570" w14:paraId="4D952170" w14:textId="77777777">
        <w:trPr>
          <w:cnfStyle w:val="100000000000" w:firstRow="1" w:lastRow="0" w:firstColumn="0" w:lastColumn="0" w:oddVBand="0" w:evenVBand="0" w:oddHBand="0" w:evenHBand="0" w:firstRowFirstColumn="0" w:firstRowLastColumn="0" w:lastRowFirstColumn="0" w:lastRowLastColumn="0"/>
          <w:tblHeader/>
        </w:trPr>
        <w:tc>
          <w:tcPr>
            <w:tcW w:w="1821" w:type="dxa"/>
            <w:shd w:val="clear" w:color="auto" w:fill="F2F2F2" w:themeFill="background1" w:themeFillShade="F2"/>
            <w:vAlign w:val="bottom"/>
          </w:tcPr>
          <w:p w14:paraId="2AF842FB" w14:textId="77777777" w:rsidR="000B148D" w:rsidRPr="00054570" w:rsidRDefault="000B148D">
            <w:pPr>
              <w:pStyle w:val="Tableheading"/>
            </w:pPr>
            <w:r w:rsidRPr="00054570">
              <w:t>n (%)</w:t>
            </w:r>
          </w:p>
        </w:tc>
        <w:tc>
          <w:tcPr>
            <w:tcW w:w="1199" w:type="dxa"/>
            <w:shd w:val="clear" w:color="auto" w:fill="F2F2F2" w:themeFill="background1" w:themeFillShade="F2"/>
            <w:vAlign w:val="bottom"/>
          </w:tcPr>
          <w:p w14:paraId="112E73CC" w14:textId="77777777" w:rsidR="000B148D" w:rsidRPr="00054570" w:rsidRDefault="000B148D">
            <w:pPr>
              <w:pStyle w:val="Tableheading"/>
              <w:jc w:val="center"/>
            </w:pPr>
            <w:r w:rsidRPr="00054570">
              <w:t>Grade 1</w:t>
            </w:r>
          </w:p>
        </w:tc>
        <w:tc>
          <w:tcPr>
            <w:tcW w:w="1199" w:type="dxa"/>
            <w:shd w:val="clear" w:color="auto" w:fill="F2F2F2" w:themeFill="background1" w:themeFillShade="F2"/>
            <w:vAlign w:val="bottom"/>
          </w:tcPr>
          <w:p w14:paraId="3E1D2011" w14:textId="77777777" w:rsidR="000B148D" w:rsidRPr="00054570" w:rsidRDefault="000B148D">
            <w:pPr>
              <w:pStyle w:val="Tableheading"/>
              <w:jc w:val="center"/>
            </w:pPr>
            <w:r w:rsidRPr="00054570">
              <w:t>Grade 2</w:t>
            </w:r>
          </w:p>
        </w:tc>
        <w:tc>
          <w:tcPr>
            <w:tcW w:w="1199" w:type="dxa"/>
            <w:shd w:val="clear" w:color="auto" w:fill="F2F2F2" w:themeFill="background1" w:themeFillShade="F2"/>
            <w:vAlign w:val="bottom"/>
          </w:tcPr>
          <w:p w14:paraId="7E640689" w14:textId="77777777" w:rsidR="000B148D" w:rsidRPr="00054570" w:rsidRDefault="000B148D">
            <w:pPr>
              <w:pStyle w:val="Tableheading"/>
              <w:jc w:val="center"/>
            </w:pPr>
            <w:r w:rsidRPr="00054570">
              <w:t>Grade 3</w:t>
            </w:r>
          </w:p>
        </w:tc>
        <w:tc>
          <w:tcPr>
            <w:tcW w:w="1199" w:type="dxa"/>
            <w:shd w:val="clear" w:color="auto" w:fill="F2F2F2" w:themeFill="background1" w:themeFillShade="F2"/>
            <w:vAlign w:val="bottom"/>
          </w:tcPr>
          <w:p w14:paraId="5E5BB838" w14:textId="77777777" w:rsidR="000B148D" w:rsidRPr="00054570" w:rsidRDefault="000B148D">
            <w:pPr>
              <w:pStyle w:val="Tableheading"/>
              <w:jc w:val="center"/>
            </w:pPr>
            <w:r w:rsidRPr="00054570">
              <w:t>Grade 4</w:t>
            </w:r>
          </w:p>
        </w:tc>
        <w:tc>
          <w:tcPr>
            <w:tcW w:w="1199" w:type="dxa"/>
            <w:shd w:val="clear" w:color="auto" w:fill="F2F2F2" w:themeFill="background1" w:themeFillShade="F2"/>
            <w:vAlign w:val="bottom"/>
          </w:tcPr>
          <w:p w14:paraId="7FB71F52" w14:textId="77777777" w:rsidR="000B148D" w:rsidRPr="00054570" w:rsidRDefault="000B148D">
            <w:pPr>
              <w:pStyle w:val="Tableheading"/>
              <w:jc w:val="center"/>
            </w:pPr>
            <w:r w:rsidRPr="00054570">
              <w:t>Grade 5</w:t>
            </w:r>
          </w:p>
        </w:tc>
        <w:tc>
          <w:tcPr>
            <w:tcW w:w="1200" w:type="dxa"/>
            <w:shd w:val="clear" w:color="auto" w:fill="F2F2F2" w:themeFill="background1" w:themeFillShade="F2"/>
            <w:vAlign w:val="bottom"/>
          </w:tcPr>
          <w:p w14:paraId="2F398AF8" w14:textId="77777777" w:rsidR="000B148D" w:rsidRPr="00054570" w:rsidRDefault="000B148D">
            <w:pPr>
              <w:pStyle w:val="Tableheading"/>
              <w:jc w:val="center"/>
            </w:pPr>
            <w:r w:rsidRPr="00054570">
              <w:t>Any Grade</w:t>
            </w:r>
          </w:p>
        </w:tc>
      </w:tr>
      <w:tr w:rsidR="000B148D" w:rsidRPr="00054570" w14:paraId="4B318623" w14:textId="77777777">
        <w:tc>
          <w:tcPr>
            <w:tcW w:w="1821" w:type="dxa"/>
            <w:shd w:val="clear" w:color="auto" w:fill="F2F2F2" w:themeFill="background1" w:themeFillShade="F2"/>
          </w:tcPr>
          <w:p w14:paraId="6D309B41" w14:textId="77777777" w:rsidR="000B148D" w:rsidRPr="00054570" w:rsidRDefault="000B148D">
            <w:pPr>
              <w:pStyle w:val="Tablebody"/>
            </w:pPr>
            <w:r w:rsidRPr="00054570">
              <w:t>T-DXd (</w:t>
            </w:r>
            <w:r>
              <w:t>N=</w:t>
            </w:r>
            <w:r w:rsidRPr="00054570">
              <w:t>371)</w:t>
            </w:r>
          </w:p>
        </w:tc>
        <w:tc>
          <w:tcPr>
            <w:tcW w:w="1199" w:type="dxa"/>
          </w:tcPr>
          <w:p w14:paraId="7CC0F715" w14:textId="77777777" w:rsidR="000B148D" w:rsidRPr="00054570" w:rsidRDefault="000B148D">
            <w:pPr>
              <w:pStyle w:val="Tablebody"/>
              <w:jc w:val="center"/>
              <w:rPr>
                <w:rFonts w:cs="Arial"/>
              </w:rPr>
            </w:pPr>
            <w:r w:rsidRPr="00054570">
              <w:rPr>
                <w:rFonts w:eastAsia="Times New Roman" w:cs="Arial"/>
              </w:rPr>
              <w:t xml:space="preserve">13 (3.5) </w:t>
            </w:r>
          </w:p>
        </w:tc>
        <w:tc>
          <w:tcPr>
            <w:tcW w:w="1199" w:type="dxa"/>
          </w:tcPr>
          <w:p w14:paraId="11D3E52E" w14:textId="77777777" w:rsidR="000B148D" w:rsidRPr="00054570" w:rsidRDefault="000B148D">
            <w:pPr>
              <w:pStyle w:val="Tablebody"/>
              <w:jc w:val="center"/>
              <w:rPr>
                <w:rFonts w:cs="Arial"/>
              </w:rPr>
            </w:pPr>
            <w:r w:rsidRPr="00054570">
              <w:rPr>
                <w:rFonts w:eastAsia="Times New Roman" w:cs="Arial"/>
              </w:rPr>
              <w:t xml:space="preserve">24 (6.5) </w:t>
            </w:r>
          </w:p>
        </w:tc>
        <w:tc>
          <w:tcPr>
            <w:tcW w:w="1199" w:type="dxa"/>
          </w:tcPr>
          <w:p w14:paraId="090BD5A1" w14:textId="77777777" w:rsidR="000B148D" w:rsidRPr="00054570" w:rsidRDefault="000B148D">
            <w:pPr>
              <w:pStyle w:val="Tablebody"/>
              <w:jc w:val="center"/>
              <w:rPr>
                <w:rFonts w:cs="Arial"/>
              </w:rPr>
            </w:pPr>
            <w:r w:rsidRPr="00054570">
              <w:rPr>
                <w:rFonts w:eastAsia="Times New Roman" w:cs="Arial"/>
              </w:rPr>
              <w:t xml:space="preserve">5 (1.3) </w:t>
            </w:r>
          </w:p>
        </w:tc>
        <w:tc>
          <w:tcPr>
            <w:tcW w:w="1199" w:type="dxa"/>
          </w:tcPr>
          <w:p w14:paraId="260F32A5" w14:textId="77777777" w:rsidR="000B148D" w:rsidRPr="00054570" w:rsidRDefault="000B148D">
            <w:pPr>
              <w:pStyle w:val="Tablebody"/>
              <w:jc w:val="center"/>
              <w:rPr>
                <w:rFonts w:cs="Arial"/>
              </w:rPr>
            </w:pPr>
            <w:r w:rsidRPr="00054570">
              <w:rPr>
                <w:rFonts w:eastAsia="Times New Roman" w:cs="Arial"/>
              </w:rPr>
              <w:t xml:space="preserve">0 </w:t>
            </w:r>
          </w:p>
        </w:tc>
        <w:tc>
          <w:tcPr>
            <w:tcW w:w="1199" w:type="dxa"/>
          </w:tcPr>
          <w:p w14:paraId="30169D6A" w14:textId="77777777" w:rsidR="000B148D" w:rsidRPr="00054570" w:rsidRDefault="000B148D">
            <w:pPr>
              <w:pStyle w:val="Tablebody"/>
              <w:jc w:val="center"/>
              <w:rPr>
                <w:rFonts w:cs="Arial"/>
              </w:rPr>
            </w:pPr>
            <w:r w:rsidRPr="00054570">
              <w:rPr>
                <w:rFonts w:eastAsia="Times New Roman" w:cs="Arial"/>
              </w:rPr>
              <w:t xml:space="preserve">3 (0.8) </w:t>
            </w:r>
          </w:p>
        </w:tc>
        <w:tc>
          <w:tcPr>
            <w:tcW w:w="1200" w:type="dxa"/>
          </w:tcPr>
          <w:p w14:paraId="6EA1AB32" w14:textId="77777777" w:rsidR="000B148D" w:rsidRPr="00054570" w:rsidRDefault="000B148D">
            <w:pPr>
              <w:pStyle w:val="Tablebody"/>
              <w:jc w:val="center"/>
              <w:rPr>
                <w:rFonts w:cs="Arial"/>
              </w:rPr>
            </w:pPr>
            <w:r w:rsidRPr="00054570">
              <w:rPr>
                <w:rFonts w:eastAsia="Times New Roman" w:cs="Arial"/>
              </w:rPr>
              <w:t xml:space="preserve">45 (12.1) </w:t>
            </w:r>
          </w:p>
        </w:tc>
      </w:tr>
      <w:tr w:rsidR="000B148D" w:rsidRPr="00054570" w14:paraId="77457422" w14:textId="77777777">
        <w:tc>
          <w:tcPr>
            <w:tcW w:w="1821" w:type="dxa"/>
            <w:shd w:val="clear" w:color="auto" w:fill="F2F2F2" w:themeFill="background1" w:themeFillShade="F2"/>
          </w:tcPr>
          <w:p w14:paraId="45F3D8FC" w14:textId="77777777" w:rsidR="000B148D" w:rsidRPr="00054570" w:rsidRDefault="000B148D">
            <w:pPr>
              <w:pStyle w:val="Tablebody"/>
            </w:pPr>
            <w:r w:rsidRPr="00054570">
              <w:t>TPC (</w:t>
            </w:r>
            <w:r>
              <w:t>N=</w:t>
            </w:r>
            <w:r w:rsidRPr="00054570">
              <w:t>172)</w:t>
            </w:r>
          </w:p>
        </w:tc>
        <w:tc>
          <w:tcPr>
            <w:tcW w:w="1199" w:type="dxa"/>
          </w:tcPr>
          <w:p w14:paraId="36D82772" w14:textId="77777777" w:rsidR="000B148D" w:rsidRPr="00054570" w:rsidRDefault="000B148D">
            <w:pPr>
              <w:pStyle w:val="Tablebody"/>
              <w:jc w:val="center"/>
              <w:rPr>
                <w:rFonts w:cs="Arial"/>
              </w:rPr>
            </w:pPr>
            <w:r w:rsidRPr="00054570">
              <w:rPr>
                <w:rFonts w:cs="Arial"/>
              </w:rPr>
              <w:t>1 (0.6)</w:t>
            </w:r>
          </w:p>
        </w:tc>
        <w:tc>
          <w:tcPr>
            <w:tcW w:w="1199" w:type="dxa"/>
          </w:tcPr>
          <w:p w14:paraId="1D6E0979" w14:textId="77777777" w:rsidR="000B148D" w:rsidRPr="00054570" w:rsidRDefault="000B148D">
            <w:pPr>
              <w:pStyle w:val="Tablebody"/>
              <w:jc w:val="center"/>
              <w:rPr>
                <w:rFonts w:cs="Arial"/>
              </w:rPr>
            </w:pPr>
            <w:r w:rsidRPr="00054570">
              <w:rPr>
                <w:rFonts w:cs="Arial"/>
              </w:rPr>
              <w:t>0</w:t>
            </w:r>
          </w:p>
        </w:tc>
        <w:tc>
          <w:tcPr>
            <w:tcW w:w="1199" w:type="dxa"/>
          </w:tcPr>
          <w:p w14:paraId="216E1E42" w14:textId="77777777" w:rsidR="000B148D" w:rsidRPr="00054570" w:rsidRDefault="000B148D">
            <w:pPr>
              <w:pStyle w:val="Tablebody"/>
              <w:jc w:val="center"/>
              <w:rPr>
                <w:rFonts w:cs="Arial"/>
              </w:rPr>
            </w:pPr>
            <w:r w:rsidRPr="00054570">
              <w:rPr>
                <w:rFonts w:cs="Arial"/>
              </w:rPr>
              <w:t>0</w:t>
            </w:r>
          </w:p>
        </w:tc>
        <w:tc>
          <w:tcPr>
            <w:tcW w:w="1199" w:type="dxa"/>
          </w:tcPr>
          <w:p w14:paraId="188B7F67" w14:textId="77777777" w:rsidR="000B148D" w:rsidRPr="00054570" w:rsidRDefault="000B148D">
            <w:pPr>
              <w:pStyle w:val="Tablebody"/>
              <w:jc w:val="center"/>
              <w:rPr>
                <w:rFonts w:cs="Arial"/>
              </w:rPr>
            </w:pPr>
            <w:r w:rsidRPr="00054570">
              <w:rPr>
                <w:rFonts w:cs="Arial"/>
              </w:rPr>
              <w:t>0</w:t>
            </w:r>
          </w:p>
        </w:tc>
        <w:tc>
          <w:tcPr>
            <w:tcW w:w="1199" w:type="dxa"/>
          </w:tcPr>
          <w:p w14:paraId="3AA35973" w14:textId="77777777" w:rsidR="000B148D" w:rsidRPr="00054570" w:rsidRDefault="000B148D">
            <w:pPr>
              <w:pStyle w:val="Tablebody"/>
              <w:jc w:val="center"/>
              <w:rPr>
                <w:rFonts w:cs="Arial"/>
              </w:rPr>
            </w:pPr>
            <w:r w:rsidRPr="00054570">
              <w:rPr>
                <w:rFonts w:cs="Arial"/>
              </w:rPr>
              <w:t>0</w:t>
            </w:r>
          </w:p>
        </w:tc>
        <w:tc>
          <w:tcPr>
            <w:tcW w:w="1200" w:type="dxa"/>
          </w:tcPr>
          <w:p w14:paraId="27AB721C" w14:textId="77777777" w:rsidR="000B148D" w:rsidRPr="00054570" w:rsidRDefault="000B148D">
            <w:pPr>
              <w:pStyle w:val="Tablebody"/>
              <w:jc w:val="center"/>
              <w:rPr>
                <w:rFonts w:cs="Arial"/>
              </w:rPr>
            </w:pPr>
            <w:r w:rsidRPr="00054570">
              <w:rPr>
                <w:rFonts w:cs="Arial"/>
              </w:rPr>
              <w:t>1 (0.6)</w:t>
            </w:r>
          </w:p>
        </w:tc>
      </w:tr>
    </w:tbl>
    <w:p w14:paraId="3E8545FF" w14:textId="3EE07E2C" w:rsidR="000B148D" w:rsidRPr="003C648C" w:rsidRDefault="000B148D" w:rsidP="000B148D">
      <w:pPr>
        <w:pStyle w:val="Footnotes"/>
        <w:rPr>
          <w:lang w:val="it-IT"/>
        </w:rPr>
      </w:pPr>
      <w:r w:rsidRPr="00054570">
        <w:t>*Patients with prior history of ILD/pneumonitis requiring steroids were excluded.</w:t>
      </w:r>
      <w:r w:rsidRPr="00054570">
        <w:br/>
        <w:t>Abbreviations: AE, adverse event; CTCAE, Common Terminology Criteria for Adverse Events; ILD, interstitial lung disease; T-DXd, trastuzumab deruxtecan; TPC, treatment of physician’s choice.</w:t>
      </w:r>
      <w:r w:rsidRPr="00054570">
        <w:br/>
      </w:r>
      <w:r w:rsidRPr="003C648C">
        <w:rPr>
          <w:lang w:val="it-IT"/>
        </w:rPr>
        <w:t>Source: Modi et al., ASCO 2022;</w:t>
      </w:r>
      <w:r>
        <w:fldChar w:fldCharType="begin"/>
      </w:r>
      <w:r w:rsidR="00CA6345">
        <w:rPr>
          <w:lang w:val="it-IT"/>
        </w:rPr>
        <w:instrText xml:space="preserve"> ADDIN ZOTERO_ITEM CSL_CITATION {"citationID":"JyZpSGgN","properties":{"formattedCitation":"\\super 140\\nosupersub{}","plainCitation":"140","noteIndex":0},"citationItems":[{"id":66138,"uris":["http://zotero.org/groups/4797619/items/7DECRJ2U"],"itemData":{"id":66138,"type":"document","title":"Trastuzumab deruxtecan (T-DXd) vs treatment of physician's choice in patients with HER2-low unresectable and/or metastatic breast cancer: Results of DESTINY-Breast04, a randomized, phase 3 study. Presented at ASCO 2022 Annual Meeting.","author":[{"family":"Modi","given":"Shanu"},{"family":"Jacot","given":"William"},{"family":"Yamashita","given":"Toshinari"},{"family":"Sohn","given":"Joohyuk"},{"family":"Vidal","given":"Maria"},{"family":"Tokunaga","given":"Eriko"},{"family":"Tsurutani","given":"Junji"},{"family":"Ueno","given":"Naoto T."},{"family":"Chae","given":"Yee Soo"},{"family":"Lee","given":"Keun Seok"},{"family":"Niikura","given":"Naoki"},{"family":"Park","given":"Yeon Hee"},{"family":"Wang","given":"Xiaojia"},{"family":"Xu","given":"Binghe"},{"family":"Gambhire","given":"Dhiraj"},{"family":"Yung","given":"Lotus"},{"family":"Meinhardt","given":"Gerold"},{"family":"Wang","given":"Yibin"},{"family":"Harbeck","given":"Nadia"},{"family":"Cameron","given":"David"}],"issued":{"date-parts":[["2022",6,5]]}}}],"schema":"https://github.com/citation-style-language/schema/raw/master/csl-citation.json"} </w:instrText>
      </w:r>
      <w:r>
        <w:fldChar w:fldCharType="separate"/>
      </w:r>
      <w:r w:rsidR="00CA6345" w:rsidRPr="001D716B">
        <w:rPr>
          <w:rFonts w:cs="Arial"/>
          <w:szCs w:val="24"/>
          <w:vertAlign w:val="superscript"/>
          <w:lang w:val="it-IT"/>
        </w:rPr>
        <w:t>140</w:t>
      </w:r>
      <w:r>
        <w:fldChar w:fldCharType="end"/>
      </w:r>
      <w:r w:rsidRPr="003C648C">
        <w:rPr>
          <w:lang w:val="it-IT"/>
        </w:rPr>
        <w:t xml:space="preserve"> Daiichi Sankyo Inc., 2022 (CSR; Data on File) </w:t>
      </w:r>
      <w:r w:rsidRPr="00054570">
        <w:fldChar w:fldCharType="begin"/>
      </w:r>
      <w:r w:rsidR="00CA6345">
        <w:rPr>
          <w:lang w:val="it-IT"/>
        </w:rPr>
        <w:instrText xml:space="preserve"> ADDIN ZOTERO_ITEM CSL_CITATION {"citationID":"S5MOkCWX","properties":{"formattedCitation":"\\super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BC4682">
        <w:rPr>
          <w:rFonts w:cs="Arial"/>
          <w:sz w:val="22"/>
          <w:szCs w:val="24"/>
          <w:vertAlign w:val="superscript"/>
          <w:lang w:val="it-IT"/>
        </w:rPr>
        <w:t>7</w:t>
      </w:r>
      <w:r w:rsidRPr="00054570">
        <w:fldChar w:fldCharType="end"/>
      </w:r>
    </w:p>
    <w:p w14:paraId="19DB150A" w14:textId="2F347651" w:rsidR="000B148D" w:rsidRPr="00054570" w:rsidRDefault="000B148D" w:rsidP="000B148D">
      <w:pPr>
        <w:pStyle w:val="BodyText"/>
        <w:spacing w:before="7"/>
      </w:pPr>
      <w:r w:rsidRPr="00054570">
        <w:t>Left ventricular dysfunction (any Grade) was reported in 17 patients (4.6%) in the T-DXd arm (</w:t>
      </w:r>
      <w:r w:rsidRPr="001E2E30">
        <w:rPr>
          <w:b/>
          <w:bCs/>
        </w:rPr>
        <w:fldChar w:fldCharType="begin"/>
      </w:r>
      <w:r w:rsidRPr="001E2E30">
        <w:rPr>
          <w:b/>
          <w:bCs/>
        </w:rPr>
        <w:instrText xml:space="preserve"> REF _Ref89421312 \h </w:instrText>
      </w:r>
      <w:r>
        <w:rPr>
          <w:b/>
          <w:bCs/>
        </w:rPr>
        <w:instrText xml:space="preserve"> \* MERGEFORMAT </w:instrText>
      </w:r>
      <w:r w:rsidRPr="001E2E30">
        <w:rPr>
          <w:b/>
          <w:bCs/>
        </w:rPr>
      </w:r>
      <w:r w:rsidRPr="001E2E30">
        <w:rPr>
          <w:b/>
          <w:bCs/>
        </w:rPr>
        <w:fldChar w:fldCharType="separate"/>
      </w:r>
      <w:r w:rsidR="00145F42" w:rsidRPr="00145F42">
        <w:rPr>
          <w:b/>
          <w:bCs/>
        </w:rPr>
        <w:t xml:space="preserve">Table </w:t>
      </w:r>
      <w:r w:rsidR="00145F42" w:rsidRPr="00145F42">
        <w:rPr>
          <w:b/>
          <w:bCs/>
          <w:noProof/>
        </w:rPr>
        <w:t>29</w:t>
      </w:r>
      <w:r w:rsidRPr="001E2E30">
        <w:rPr>
          <w:b/>
          <w:bCs/>
        </w:rPr>
        <w:fldChar w:fldCharType="end"/>
      </w:r>
      <w:r w:rsidRPr="00054570">
        <w:t>).</w:t>
      </w:r>
      <w:r>
        <w:fldChar w:fldCharType="begin"/>
      </w:r>
      <w:r w:rsidR="00CA6345">
        <w:instrText xml:space="preserve"> ADDIN ZOTERO_ITEM CSL_CITATION {"citationID":"Yh7v39bf","properties":{"formattedCitation":"\\super 140\\nosupersub{}","plainCitation":"140","noteIndex":0},"citationItems":[{"id":66138,"uris":["http://zotero.org/groups/4797619/items/7DECRJ2U"],"itemData":{"id":66138,"type":"document","title":"Trastuzumab deruxtecan (T-DXd) vs treatment of physician's choice in patients with HER2-low unresectable and/or metastatic breast cancer: Results of DESTINY-Breast04, a randomized, phase 3 study. Presented at ASCO 2022 Annual Meeting.","author":[{"family":"Modi","given":"Shanu"},{"family":"Jacot","given":"William"},{"family":"Yamashita","given":"Toshinari"},{"family":"Sohn","given":"Joohyuk"},{"family":"Vidal","given":"Maria"},{"family":"Tokunaga","given":"Eriko"},{"family":"Tsurutani","given":"Junji"},{"family":"Ueno","given":"Naoto T."},{"family":"Chae","given":"Yee Soo"},{"family":"Lee","given":"Keun Seok"},{"family":"Niikura","given":"Naoki"},{"family":"Park","given":"Yeon Hee"},{"family":"Wang","given":"Xiaojia"},{"family":"Xu","given":"Binghe"},{"family":"Gambhire","given":"Dhiraj"},{"family":"Yung","given":"Lotus"},{"family":"Meinhardt","given":"Gerold"},{"family":"Wang","given":"Yibin"},{"family":"Harbeck","given":"Nadia"},{"family":"Cameron","given":"David"}],"issued":{"date-parts":[["2022",6,5]]}}}],"schema":"https://github.com/citation-style-language/schema/raw/master/csl-citation.json"} </w:instrText>
      </w:r>
      <w:r>
        <w:fldChar w:fldCharType="separate"/>
      </w:r>
      <w:r w:rsidR="00CA6345" w:rsidRPr="00CA6345">
        <w:rPr>
          <w:rFonts w:cs="Arial"/>
          <w:szCs w:val="24"/>
          <w:vertAlign w:val="superscript"/>
        </w:rPr>
        <w:t>140</w:t>
      </w:r>
      <w:r>
        <w:fldChar w:fldCharType="end"/>
      </w:r>
      <w:r w:rsidRPr="00054570">
        <w:t xml:space="preserve"> Most were Grade 1 or 2 in severity (15 patients; 4.1%).</w:t>
      </w:r>
      <w:r>
        <w:fldChar w:fldCharType="begin"/>
      </w:r>
      <w:r w:rsidR="00CA6345">
        <w:instrText xml:space="preserve"> ADDIN ZOTERO_ITEM CSL_CITATION {"citationID":"72ePJbGH","properties":{"formattedCitation":"\\super 140\\nosupersub{}","plainCitation":"140","noteIndex":0},"citationItems":[{"id":66138,"uris":["http://zotero.org/groups/4797619/items/7DECRJ2U"],"itemData":{"id":66138,"type":"document","title":"Trastuzumab deruxtecan (T-DXd) vs treatment of physician's choice in patients with HER2-low unresectable and/or metastatic breast cancer: Results of DESTINY-Breast04, a randomized, phase 3 study. Presented at ASCO 2022 Annual Meeting.","author":[{"family":"Modi","given":"Shanu"},{"family":"Jacot","given":"William"},{"family":"Yamashita","given":"Toshinari"},{"family":"Sohn","given":"Joohyuk"},{"family":"Vidal","given":"Maria"},{"family":"Tokunaga","given":"Eriko"},{"family":"Tsurutani","given":"Junji"},{"family":"Ueno","given":"Naoto T."},{"family":"Chae","given":"Yee Soo"},{"family":"Lee","given":"Keun Seok"},{"family":"Niikura","given":"Naoki"},{"family":"Park","given":"Yeon Hee"},{"family":"Wang","given":"Xiaojia"},{"family":"Xu","given":"Binghe"},{"family":"Gambhire","given":"Dhiraj"},{"family":"Yung","given":"Lotus"},{"family":"Meinhardt","given":"Gerold"},{"family":"Wang","given":"Yibin"},{"family":"Harbeck","given":"Nadia"},{"family":"Cameron","given":"David"}],"issued":{"date-parts":[["2022",6,5]]}}}],"schema":"https://github.com/citation-style-language/schema/raw/master/csl-citation.json"} </w:instrText>
      </w:r>
      <w:r>
        <w:fldChar w:fldCharType="separate"/>
      </w:r>
      <w:r w:rsidR="00CA6345" w:rsidRPr="00CA6345">
        <w:rPr>
          <w:rFonts w:cs="Arial"/>
          <w:szCs w:val="24"/>
          <w:vertAlign w:val="superscript"/>
        </w:rPr>
        <w:t>140</w:t>
      </w:r>
      <w:r>
        <w:fldChar w:fldCharType="end"/>
      </w:r>
    </w:p>
    <w:p w14:paraId="04C2EC77" w14:textId="7D7EC04A" w:rsidR="000B148D" w:rsidRPr="00054570" w:rsidRDefault="000B148D" w:rsidP="000B148D">
      <w:pPr>
        <w:pStyle w:val="Caption"/>
      </w:pPr>
      <w:bookmarkStart w:id="353" w:name="_Ref89421312"/>
      <w:bookmarkStart w:id="354" w:name="_Toc95826074"/>
      <w:bookmarkStart w:id="355" w:name="_Toc124447889"/>
      <w:bookmarkStart w:id="356" w:name="_Toc129351004"/>
      <w:r w:rsidRPr="00054570">
        <w:t xml:space="preserve">Table </w:t>
      </w:r>
      <w:r w:rsidRPr="00054570">
        <w:fldChar w:fldCharType="begin"/>
      </w:r>
      <w:r w:rsidRPr="00054570">
        <w:instrText>SEQ Table \* ARABIC</w:instrText>
      </w:r>
      <w:r w:rsidRPr="00054570">
        <w:fldChar w:fldCharType="separate"/>
      </w:r>
      <w:r w:rsidR="00145F42">
        <w:rPr>
          <w:noProof/>
        </w:rPr>
        <w:t>29</w:t>
      </w:r>
      <w:r w:rsidRPr="00054570">
        <w:fldChar w:fldCharType="end"/>
      </w:r>
      <w:bookmarkEnd w:id="353"/>
      <w:r w:rsidRPr="00054570">
        <w:t>: TEAEs of LV</w:t>
      </w:r>
      <w:r w:rsidR="00501E59">
        <w:t xml:space="preserve"> dysfunction</w:t>
      </w:r>
      <w:r w:rsidRPr="00054570">
        <w:t xml:space="preserve"> by CTCAE v5.0 </w:t>
      </w:r>
      <w:r w:rsidR="00B147D6">
        <w:t>G</w:t>
      </w:r>
      <w:r w:rsidRPr="00054570">
        <w:t>rade</w:t>
      </w:r>
      <w:bookmarkEnd w:id="354"/>
      <w:bookmarkEnd w:id="355"/>
      <w:bookmarkEnd w:id="356"/>
    </w:p>
    <w:tbl>
      <w:tblPr>
        <w:tblStyle w:val="Generaltable"/>
        <w:tblW w:w="0" w:type="auto"/>
        <w:tblLook w:val="04A0" w:firstRow="1" w:lastRow="0" w:firstColumn="1" w:lastColumn="0" w:noHBand="0" w:noVBand="1"/>
      </w:tblPr>
      <w:tblGrid>
        <w:gridCol w:w="1821"/>
        <w:gridCol w:w="1199"/>
        <w:gridCol w:w="1199"/>
        <w:gridCol w:w="1199"/>
        <w:gridCol w:w="1199"/>
        <w:gridCol w:w="1199"/>
        <w:gridCol w:w="1200"/>
      </w:tblGrid>
      <w:tr w:rsidR="000B148D" w:rsidRPr="00054570" w14:paraId="62A7A2A6" w14:textId="77777777">
        <w:trPr>
          <w:cnfStyle w:val="100000000000" w:firstRow="1" w:lastRow="0" w:firstColumn="0" w:lastColumn="0" w:oddVBand="0" w:evenVBand="0" w:oddHBand="0" w:evenHBand="0" w:firstRowFirstColumn="0" w:firstRowLastColumn="0" w:lastRowFirstColumn="0" w:lastRowLastColumn="0"/>
          <w:tblHeader/>
        </w:trPr>
        <w:tc>
          <w:tcPr>
            <w:tcW w:w="1821" w:type="dxa"/>
            <w:shd w:val="clear" w:color="auto" w:fill="F2F2F2" w:themeFill="background1" w:themeFillShade="F2"/>
            <w:vAlign w:val="bottom"/>
          </w:tcPr>
          <w:p w14:paraId="44F63DD0" w14:textId="77777777" w:rsidR="000B148D" w:rsidRPr="00054570" w:rsidRDefault="000B148D">
            <w:pPr>
              <w:pStyle w:val="Tableheading"/>
            </w:pPr>
            <w:r w:rsidRPr="00054570">
              <w:t>n (%)</w:t>
            </w:r>
          </w:p>
        </w:tc>
        <w:tc>
          <w:tcPr>
            <w:tcW w:w="1199" w:type="dxa"/>
            <w:shd w:val="clear" w:color="auto" w:fill="F2F2F2" w:themeFill="background1" w:themeFillShade="F2"/>
            <w:vAlign w:val="bottom"/>
          </w:tcPr>
          <w:p w14:paraId="35AE3153" w14:textId="77777777" w:rsidR="000B148D" w:rsidRPr="00054570" w:rsidRDefault="000B148D">
            <w:pPr>
              <w:pStyle w:val="Tableheading"/>
              <w:jc w:val="center"/>
            </w:pPr>
            <w:r w:rsidRPr="00054570">
              <w:t>Grade 1</w:t>
            </w:r>
          </w:p>
        </w:tc>
        <w:tc>
          <w:tcPr>
            <w:tcW w:w="1199" w:type="dxa"/>
            <w:shd w:val="clear" w:color="auto" w:fill="F2F2F2" w:themeFill="background1" w:themeFillShade="F2"/>
            <w:vAlign w:val="bottom"/>
          </w:tcPr>
          <w:p w14:paraId="76A7120B" w14:textId="77777777" w:rsidR="000B148D" w:rsidRPr="00054570" w:rsidRDefault="000B148D">
            <w:pPr>
              <w:pStyle w:val="Tableheading"/>
              <w:jc w:val="center"/>
            </w:pPr>
            <w:r w:rsidRPr="00054570">
              <w:t>Grade 2</w:t>
            </w:r>
          </w:p>
        </w:tc>
        <w:tc>
          <w:tcPr>
            <w:tcW w:w="1199" w:type="dxa"/>
            <w:shd w:val="clear" w:color="auto" w:fill="F2F2F2" w:themeFill="background1" w:themeFillShade="F2"/>
            <w:vAlign w:val="bottom"/>
          </w:tcPr>
          <w:p w14:paraId="026C287C" w14:textId="77777777" w:rsidR="000B148D" w:rsidRPr="00054570" w:rsidRDefault="000B148D">
            <w:pPr>
              <w:pStyle w:val="Tableheading"/>
              <w:jc w:val="center"/>
            </w:pPr>
            <w:r w:rsidRPr="00054570">
              <w:t>Grade 3</w:t>
            </w:r>
          </w:p>
        </w:tc>
        <w:tc>
          <w:tcPr>
            <w:tcW w:w="1199" w:type="dxa"/>
            <w:shd w:val="clear" w:color="auto" w:fill="F2F2F2" w:themeFill="background1" w:themeFillShade="F2"/>
            <w:vAlign w:val="bottom"/>
          </w:tcPr>
          <w:p w14:paraId="0A59D386" w14:textId="77777777" w:rsidR="000B148D" w:rsidRPr="00054570" w:rsidRDefault="000B148D">
            <w:pPr>
              <w:pStyle w:val="Tableheading"/>
              <w:jc w:val="center"/>
            </w:pPr>
            <w:r w:rsidRPr="00054570">
              <w:t>Grade 4</w:t>
            </w:r>
          </w:p>
        </w:tc>
        <w:tc>
          <w:tcPr>
            <w:tcW w:w="1199" w:type="dxa"/>
            <w:shd w:val="clear" w:color="auto" w:fill="F2F2F2" w:themeFill="background1" w:themeFillShade="F2"/>
            <w:vAlign w:val="bottom"/>
          </w:tcPr>
          <w:p w14:paraId="3314712F" w14:textId="77777777" w:rsidR="000B148D" w:rsidRPr="00054570" w:rsidRDefault="000B148D">
            <w:pPr>
              <w:pStyle w:val="Tableheading"/>
              <w:jc w:val="center"/>
            </w:pPr>
            <w:r w:rsidRPr="00054570">
              <w:t>Grade 5</w:t>
            </w:r>
          </w:p>
        </w:tc>
        <w:tc>
          <w:tcPr>
            <w:tcW w:w="1200" w:type="dxa"/>
            <w:shd w:val="clear" w:color="auto" w:fill="F2F2F2" w:themeFill="background1" w:themeFillShade="F2"/>
            <w:vAlign w:val="bottom"/>
          </w:tcPr>
          <w:p w14:paraId="3246D6B5" w14:textId="77777777" w:rsidR="000B148D" w:rsidRPr="00054570" w:rsidRDefault="000B148D">
            <w:pPr>
              <w:pStyle w:val="Tableheading"/>
              <w:jc w:val="center"/>
            </w:pPr>
            <w:r w:rsidRPr="00054570">
              <w:t>Any Grade</w:t>
            </w:r>
          </w:p>
        </w:tc>
      </w:tr>
      <w:tr w:rsidR="000B148D" w:rsidRPr="00054570" w14:paraId="5C68B658" w14:textId="77777777">
        <w:tc>
          <w:tcPr>
            <w:tcW w:w="1821" w:type="dxa"/>
            <w:shd w:val="clear" w:color="auto" w:fill="F2F2F2" w:themeFill="background1" w:themeFillShade="F2"/>
          </w:tcPr>
          <w:p w14:paraId="5417A809" w14:textId="77777777" w:rsidR="000B148D" w:rsidRPr="00054570" w:rsidRDefault="000B148D">
            <w:pPr>
              <w:pStyle w:val="Tablebody"/>
            </w:pPr>
            <w:r w:rsidRPr="00054570">
              <w:t>T-DXd (</w:t>
            </w:r>
            <w:r>
              <w:t>N=</w:t>
            </w:r>
            <w:r w:rsidRPr="00054570">
              <w:t>371)</w:t>
            </w:r>
          </w:p>
        </w:tc>
        <w:tc>
          <w:tcPr>
            <w:tcW w:w="1199" w:type="dxa"/>
          </w:tcPr>
          <w:p w14:paraId="2A964ED1" w14:textId="77777777" w:rsidR="000B148D" w:rsidRPr="00054570" w:rsidRDefault="000B148D">
            <w:pPr>
              <w:pStyle w:val="Tablebody"/>
              <w:jc w:val="center"/>
            </w:pPr>
            <w:r w:rsidRPr="00054570">
              <w:t>1 (0.3)</w:t>
            </w:r>
          </w:p>
        </w:tc>
        <w:tc>
          <w:tcPr>
            <w:tcW w:w="1199" w:type="dxa"/>
          </w:tcPr>
          <w:p w14:paraId="635A70D4" w14:textId="77777777" w:rsidR="000B148D" w:rsidRPr="00054570" w:rsidRDefault="000B148D">
            <w:pPr>
              <w:pStyle w:val="Tablebody"/>
              <w:jc w:val="center"/>
            </w:pPr>
            <w:r w:rsidRPr="00054570">
              <w:t>14 (3.8)</w:t>
            </w:r>
          </w:p>
        </w:tc>
        <w:tc>
          <w:tcPr>
            <w:tcW w:w="1199" w:type="dxa"/>
          </w:tcPr>
          <w:p w14:paraId="1FA76B1B" w14:textId="77777777" w:rsidR="000B148D" w:rsidRPr="00054570" w:rsidRDefault="000B148D">
            <w:pPr>
              <w:pStyle w:val="Tablebody"/>
              <w:jc w:val="center"/>
            </w:pPr>
            <w:r w:rsidRPr="00054570">
              <w:t>2 (0.5)</w:t>
            </w:r>
          </w:p>
        </w:tc>
        <w:tc>
          <w:tcPr>
            <w:tcW w:w="1199" w:type="dxa"/>
          </w:tcPr>
          <w:p w14:paraId="74C4A879" w14:textId="77777777" w:rsidR="000B148D" w:rsidRPr="00054570" w:rsidRDefault="000B148D">
            <w:pPr>
              <w:pStyle w:val="Tablebody"/>
              <w:jc w:val="center"/>
            </w:pPr>
            <w:r w:rsidRPr="00054570">
              <w:t>0</w:t>
            </w:r>
          </w:p>
        </w:tc>
        <w:tc>
          <w:tcPr>
            <w:tcW w:w="1199" w:type="dxa"/>
          </w:tcPr>
          <w:p w14:paraId="3780169B" w14:textId="77777777" w:rsidR="000B148D" w:rsidRPr="00054570" w:rsidRDefault="000B148D">
            <w:pPr>
              <w:pStyle w:val="Tablebody"/>
              <w:jc w:val="center"/>
            </w:pPr>
            <w:r w:rsidRPr="00054570">
              <w:t>0</w:t>
            </w:r>
          </w:p>
        </w:tc>
        <w:tc>
          <w:tcPr>
            <w:tcW w:w="1200" w:type="dxa"/>
          </w:tcPr>
          <w:p w14:paraId="47EFFA78" w14:textId="77777777" w:rsidR="000B148D" w:rsidRPr="00054570" w:rsidRDefault="000B148D">
            <w:pPr>
              <w:pStyle w:val="Tablebody"/>
              <w:jc w:val="center"/>
            </w:pPr>
            <w:r w:rsidRPr="00054570">
              <w:t>17 (4.6)</w:t>
            </w:r>
          </w:p>
        </w:tc>
      </w:tr>
      <w:tr w:rsidR="000B148D" w:rsidRPr="00054570" w14:paraId="7690325E" w14:textId="77777777">
        <w:tc>
          <w:tcPr>
            <w:tcW w:w="1821" w:type="dxa"/>
            <w:shd w:val="clear" w:color="auto" w:fill="F2F2F2" w:themeFill="background1" w:themeFillShade="F2"/>
          </w:tcPr>
          <w:p w14:paraId="38282543" w14:textId="77777777" w:rsidR="000B148D" w:rsidRPr="00054570" w:rsidRDefault="000B148D">
            <w:pPr>
              <w:pStyle w:val="Tablebody"/>
            </w:pPr>
            <w:r w:rsidRPr="00054570">
              <w:t>TPC (</w:t>
            </w:r>
            <w:r>
              <w:t>N=</w:t>
            </w:r>
            <w:r w:rsidRPr="00054570">
              <w:t>172)</w:t>
            </w:r>
          </w:p>
        </w:tc>
        <w:tc>
          <w:tcPr>
            <w:tcW w:w="1199" w:type="dxa"/>
          </w:tcPr>
          <w:p w14:paraId="772A4644" w14:textId="77777777" w:rsidR="000B148D" w:rsidRPr="00054570" w:rsidRDefault="000B148D">
            <w:pPr>
              <w:pStyle w:val="Tablebody"/>
              <w:jc w:val="center"/>
            </w:pPr>
            <w:r w:rsidRPr="00054570">
              <w:t>0</w:t>
            </w:r>
          </w:p>
        </w:tc>
        <w:tc>
          <w:tcPr>
            <w:tcW w:w="1199" w:type="dxa"/>
          </w:tcPr>
          <w:p w14:paraId="2BD6911F" w14:textId="77777777" w:rsidR="000B148D" w:rsidRPr="00054570" w:rsidRDefault="000B148D">
            <w:pPr>
              <w:pStyle w:val="Tablebody"/>
              <w:jc w:val="center"/>
            </w:pPr>
            <w:r w:rsidRPr="00054570">
              <w:t>0</w:t>
            </w:r>
          </w:p>
        </w:tc>
        <w:tc>
          <w:tcPr>
            <w:tcW w:w="1199" w:type="dxa"/>
          </w:tcPr>
          <w:p w14:paraId="618A13D2" w14:textId="77777777" w:rsidR="000B148D" w:rsidRPr="00054570" w:rsidRDefault="000B148D">
            <w:pPr>
              <w:pStyle w:val="Tablebody"/>
              <w:jc w:val="center"/>
            </w:pPr>
            <w:r w:rsidRPr="00054570">
              <w:t>0</w:t>
            </w:r>
          </w:p>
        </w:tc>
        <w:tc>
          <w:tcPr>
            <w:tcW w:w="1199" w:type="dxa"/>
          </w:tcPr>
          <w:p w14:paraId="09275D06" w14:textId="77777777" w:rsidR="000B148D" w:rsidRPr="00054570" w:rsidRDefault="000B148D">
            <w:pPr>
              <w:pStyle w:val="Tablebody"/>
              <w:jc w:val="center"/>
            </w:pPr>
            <w:r w:rsidRPr="00054570">
              <w:t>0</w:t>
            </w:r>
          </w:p>
        </w:tc>
        <w:tc>
          <w:tcPr>
            <w:tcW w:w="1199" w:type="dxa"/>
          </w:tcPr>
          <w:p w14:paraId="46285AB7" w14:textId="77777777" w:rsidR="000B148D" w:rsidRPr="00054570" w:rsidRDefault="000B148D">
            <w:pPr>
              <w:pStyle w:val="Tablebody"/>
              <w:jc w:val="center"/>
            </w:pPr>
            <w:r w:rsidRPr="00054570">
              <w:t>0</w:t>
            </w:r>
          </w:p>
        </w:tc>
        <w:tc>
          <w:tcPr>
            <w:tcW w:w="1200" w:type="dxa"/>
          </w:tcPr>
          <w:p w14:paraId="152CE66A" w14:textId="77777777" w:rsidR="000B148D" w:rsidRPr="00054570" w:rsidRDefault="000B148D">
            <w:pPr>
              <w:pStyle w:val="Tablebody"/>
              <w:jc w:val="center"/>
            </w:pPr>
            <w:r w:rsidRPr="00054570">
              <w:t>0</w:t>
            </w:r>
          </w:p>
        </w:tc>
      </w:tr>
    </w:tbl>
    <w:p w14:paraId="14E93364" w14:textId="5AA04775" w:rsidR="000B148D" w:rsidRPr="003C648C" w:rsidRDefault="000B148D" w:rsidP="000B148D">
      <w:pPr>
        <w:pStyle w:val="Footnotes"/>
        <w:rPr>
          <w:lang w:val="it-IT"/>
        </w:rPr>
      </w:pPr>
      <w:r w:rsidRPr="00054570">
        <w:t>Abbreviations: AE, adverse event; CTCAE, Common Terminology Criteria for Adverse Events; LV, left ventricular; T-DXd, trastuzumab deruxtecan, TPC, treatment of physician’s choice.</w:t>
      </w:r>
      <w:r w:rsidRPr="00054570">
        <w:br/>
      </w:r>
      <w:r w:rsidRPr="003C648C">
        <w:rPr>
          <w:lang w:val="it-IT"/>
        </w:rPr>
        <w:t>Source: Modi et al., ASCO 2022;</w:t>
      </w:r>
      <w:r>
        <w:fldChar w:fldCharType="begin"/>
      </w:r>
      <w:r w:rsidR="00CA6345">
        <w:rPr>
          <w:lang w:val="it-IT"/>
        </w:rPr>
        <w:instrText xml:space="preserve"> ADDIN ZOTERO_ITEM CSL_CITATION {"citationID":"MPFyUM7S","properties":{"formattedCitation":"\\super 140\\nosupersub{}","plainCitation":"140","noteIndex":0},"citationItems":[{"id":66138,"uris":["http://zotero.org/groups/4797619/items/7DECRJ2U"],"itemData":{"id":66138,"type":"document","title":"Trastuzumab deruxtecan (T-DXd) vs treatment of physician's choice in patients with HER2-low unresectable and/or metastatic breast cancer: Results of DESTINY-Breast04, a randomized, phase 3 study. Presented at ASCO 2022 Annual Meeting.","author":[{"family":"Modi","given":"Shanu"},{"family":"Jacot","given":"William"},{"family":"Yamashita","given":"Toshinari"},{"family":"Sohn","given":"Joohyuk"},{"family":"Vidal","given":"Maria"},{"family":"Tokunaga","given":"Eriko"},{"family":"Tsurutani","given":"Junji"},{"family":"Ueno","given":"Naoto T."},{"family":"Chae","given":"Yee Soo"},{"family":"Lee","given":"Keun Seok"},{"family":"Niikura","given":"Naoki"},{"family":"Park","given":"Yeon Hee"},{"family":"Wang","given":"Xiaojia"},{"family":"Xu","given":"Binghe"},{"family":"Gambhire","given":"Dhiraj"},{"family":"Yung","given":"Lotus"},{"family":"Meinhardt","given":"Gerold"},{"family":"Wang","given":"Yibin"},{"family":"Harbeck","given":"Nadia"},{"family":"Cameron","given":"David"}],"issued":{"date-parts":[["2022",6,5]]}}}],"schema":"https://github.com/citation-style-language/schema/raw/master/csl-citation.json"} </w:instrText>
      </w:r>
      <w:r>
        <w:fldChar w:fldCharType="separate"/>
      </w:r>
      <w:r w:rsidR="00CA6345" w:rsidRPr="001D716B">
        <w:rPr>
          <w:rFonts w:cs="Arial"/>
          <w:szCs w:val="24"/>
          <w:vertAlign w:val="superscript"/>
          <w:lang w:val="it-IT"/>
        </w:rPr>
        <w:t>140</w:t>
      </w:r>
      <w:r>
        <w:fldChar w:fldCharType="end"/>
      </w:r>
      <w:r w:rsidRPr="003C648C">
        <w:rPr>
          <w:lang w:val="it-IT"/>
        </w:rPr>
        <w:t xml:space="preserve"> Daiichi Sankyo Inc., 2022 (CSR; Data on File) </w:t>
      </w:r>
      <w:r w:rsidRPr="00054570">
        <w:fldChar w:fldCharType="begin"/>
      </w:r>
      <w:r w:rsidR="00CA6345">
        <w:rPr>
          <w:lang w:val="it-IT"/>
        </w:rPr>
        <w:instrText xml:space="preserve"> ADDIN ZOTERO_ITEM CSL_CITATION {"citationID":"7wCU6f0I","properties":{"formattedCitation":"\\super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BC4682">
        <w:rPr>
          <w:rFonts w:cs="Arial"/>
          <w:sz w:val="22"/>
          <w:szCs w:val="24"/>
          <w:vertAlign w:val="superscript"/>
          <w:lang w:val="it-IT"/>
        </w:rPr>
        <w:t>7</w:t>
      </w:r>
      <w:r w:rsidRPr="00054570">
        <w:fldChar w:fldCharType="end"/>
      </w:r>
    </w:p>
    <w:p w14:paraId="516544E4" w14:textId="77777777" w:rsidR="000B148D" w:rsidRPr="00054570" w:rsidRDefault="000B148D" w:rsidP="000B148D">
      <w:pPr>
        <w:pStyle w:val="Heading3"/>
      </w:pPr>
      <w:bookmarkStart w:id="357" w:name="_Toc124447848"/>
      <w:bookmarkStart w:id="358" w:name="_Toc129350875"/>
      <w:r w:rsidRPr="00054570">
        <w:t>Safety conclusions</w:t>
      </w:r>
      <w:bookmarkEnd w:id="357"/>
      <w:bookmarkEnd w:id="358"/>
    </w:p>
    <w:p w14:paraId="3510B632" w14:textId="10E4E806" w:rsidR="000B148D" w:rsidRPr="00054570" w:rsidRDefault="000B148D" w:rsidP="000B148D">
      <w:pPr>
        <w:pStyle w:val="Body"/>
      </w:pPr>
      <w:r w:rsidRPr="00054570">
        <w:t>The safety of T</w:t>
      </w:r>
      <w:r w:rsidRPr="00054570">
        <w:noBreakHyphen/>
        <w:t>DXd in the DESTINY-Breast04 study was generally manageable and tolerable. T</w:t>
      </w:r>
      <w:r w:rsidRPr="00054570">
        <w:noBreakHyphen/>
        <w:t>DXd had a similar safety profile in DESTINY-Breast04 to that observed in previous studies of T</w:t>
      </w:r>
      <w:r w:rsidRPr="00054570">
        <w:noBreakHyphen/>
        <w:t>DXd, including DESTINY-Breast01 and DESTINY-Breast03, with no new A</w:t>
      </w:r>
      <w:r w:rsidR="00913474">
        <w:t>E</w:t>
      </w:r>
      <w:r w:rsidRPr="00054570">
        <w:t>s of concern identified in this study.</w:t>
      </w:r>
      <w:r w:rsidRPr="00054570">
        <w:fldChar w:fldCharType="begin"/>
      </w:r>
      <w:r w:rsidR="00CA6345">
        <w:instrText xml:space="preserve"> ADDIN ZOTERO_ITEM CSL_CITATION {"citationID":"ZkysQQmc","properties":{"formattedCitation":"\\super 6, 20,68\\nosupersub{}","plainCitation":"6, 20,68","noteIndex":0},"citationItems":[{"id":66153,"uris":["http://zotero.org/groups/4797619/items/DIMCLQBB"],"itemData":{"id":66153,"type":"article-journal","container-title":"New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A."}],"issued":{"date-parts":[["2022",7,7]]}}},{"id":66397,"uris":["http://zotero.org/groups/4797619/items/ID7JDCSX"],"itemData":{"id":66397,"type":"article-journal","abstract":"BACKGROUND: Trastuzumab emtansine is the current standard treatment for patients with human epidermal growth factor receptor 2 (HER2)-positive metastatic breast cancer whose disease progresses after treatment with a combination of anti-HER2 antibodies and a taxane.\nMETHODS: We conducted a phase 3, multicenter, open-label, randomized trial to compare the efficacy and safety of trastuzumab deruxtecan (a HER2 antibody-drug conjugate) with those of trastuzumab emtansine in patients with HER2-positive metastatic breast cancer previously treated with trastuzumab and a taxane. The primary end point was progression-free survival (as determined by blinded independent central review); secondary end points included overall survival, objective response, and safety.\nRESULTS: Among 524 randomly assigned patients, the percentage of those who were alive without disease progression at 12 months was 75.8% (95% confidence interval [CI], 69.8 to 80.7) with trastuzumab deruxtecan and 34.1% (95% CI, 27.7 to 40.5) with trastuzumab emtansine (hazard ratio for progression or death from any cause, 0.28; 95% CI, 0.22 to 0.37; P&lt;0.001). The percentage of patients who were alive at 12 months was 94.1% (95% CI, 90.3 to 96.4) with trastuzumab deruxtecan and 85.9% (95% CI, 80.9 to 89.7) with trastuzumab emtansine (hazard ratio for death, 0.55; 95% CI, 0.36 to 0.86; prespecified significance boundary not reached). An overall response (a complete or partial response) occurred in 79.7% (95% CI, 74.3 to 84.4) of the patients who received trastuzumab deruxtecan and in 34.2% (95% CI, 28.5 to 40.3) of those who received trastuzumab emtansine. The incidence of drug-related adverse events of any grade was 98.1% with trastuzumab deruxtecan and 86.6% with trastuzumab emtansine, and the incidence of drug-related adverse events of grade 3 or 4 was 45.1% and 39.8%, respectively. Adjudicated drug-related interstitial lung disease or pneumonitis occurred in 10.5% of the patients in the trastuzumab deruxtecan group and in 1.9% of those in the trastuzumab emtansine group; none of these events were of grade 4 or 5.\nCONCLUSIONS: Among patients with HER2-positive metastatic breast cancer previously treated with trastuzumab and a taxane, the risk of disease progression or death was lower among those who received trastuzumab deruxtecan than among those who received trastuzumab emtansine. Treatment with trastuzumab deruxtecan was associated with interstitial lung disease and pneumonitis. (Funded by Daiichi Sankyo and AstraZeneca; DESTINY-Breast03 ClinicalTrials.gov number, NCT03529110.).","container-title":"The New England Journal of Medicine","DOI":"10.1056/NEJMoa2115022","ISSN":"1533-4406","issue":"12","journalAbbreviation":"N Engl J Med","language":"eng","note":"PMID: 35320644","page":"1143-1154","source":"PubMed","title":"Trastuzumab Deruxtecan versus Trastuzumab Emtansine for Breast Cancer","volume":"386","author":[{"family":"Cortés","given":"Javier"},{"family":"Kim","given":"Sung-Bae"},{"family":"Chung","given":"Wei-Pang"},{"family":"Im","given":"Seock-Ah"},{"family":"Park","given":"Yeon Hee"},{"family":"Hegg","given":"Roberto"},{"family":"Kim","given":"Min Hwan"},{"family":"Tseng","given":"Ling-Ming"},{"family":"Petry","given":"Vanessa"},{"family":"Chung","given":"Chi-Feng"},{"family":"Iwata","given":"Hiroji"},{"family":"Hamilton","given":"Erika"},{"family":"Curigliano","given":"Giuseppe"},{"family":"Xu","given":"Binghe"},{"family":"Huang","given":"Chiun-Sheng"},{"family":"Kim","given":"Jee Hyun"},{"family":"Chiu","given":"Joanne W. Y."},{"family":"Pedrini","given":"Jose Luiz"},{"family":"Lee","given":"Caleb"},{"family":"Liu","given":"Yali"},{"family":"Cathcart","given":"Jillian"},{"family":"Bako","given":"Emarjola"},{"family":"Verma","given":"Sunil"},{"family":"Hurvitz","given":"Sara A."},{"literal":"DESTINY-Breast03 Trial Investigators"}],"issued":{"date-parts":[["2022",3,24]]}}},{"id":65848,"uris":["http://zotero.org/groups/4797619/items/XCBQ3YJP"],"itemData":{"id":65848,"type":"article-journal","abstract":"This is a summary of the article discussing the results of the DESTINY-Breast01 study originally published in the New England Journal of Medicine. The DESTINY-Breast01 study is a clinical study in participants with a type of breast cancer called HER2-positive breast cancer. The participants in the study received a treatment called trastuzumab deruxtecan, also known as T-DXd. The purpose of this summary is to help you understand the results of the DESTINY-Breast01 study. T-DXd is currently available as a treatment for adults with HER2-positive breast cancer that cannot be removed by surgery, also called unresectable, or that has spread, also called metastatic. In the DESTINY-Breast01 study, all the participants had HER2-positive breast cancer that was metastatic or unresectable. All participants were required to have had previous treatment for their HER2-positive breast cancer with another treatment, called trastuzumab emtansine or T-DM1. All the participants received T-DXd every 3 weeks. Part 1 was done to learn how T-DXd acted in the body, and to choose a dose to give to all the participants in Part 2. In Part 2, 184 participants received T-DXd at 5.4 mg/kg and the results showed that T-DXd reduced tumor growth. Up to 60.9% of the participants had their tumors shrink or disappear, with a treatment response that lasted for nearly 15 months on average. The participants lived with their cancer for around 16 months before it got worse. During the study, 183 out of 184 participants had side effects, known as adverse events. The most common adverse event was nausea. There were 42 participants (22.8%) who had serious adverse events, including lung toxicity. These results suggest that T-DXd could be a treatment option for people with metastatic HER2-positive breast cancer who have already been treated with T-DM1. Additional studies will provide more information and results about T-DXd. ClinicalTrials.gov NCT number: NCT03248492. To read the full Plain Language Summary of this article, click on the View Article button above and download the PDF. Link to original article here.","container-title":"Future Oncology (London, England)","DOI":"10.2217/fon-2021-0427","ISSN":"1744-8301","issue":"26","journalAbbreviation":"Future Oncol","language":"eng","note":"PMID: 34263665","page":"3415-3423","source":"PubMed","title":"Trastuzumab deruxtecan in previously treated HER2-positive metastatic breast cancer: Plain language summary of the DESTINY-Breast01 study","title-short":"Trastuzumab deruxtecan in previously treated HER2-positive metastatic breast cancer","volume":"17","author":[{"family":"Modi","given":"Shanu"}],"issued":{"date-parts":[["2021",9,1]]}}}],"schema":"https://github.com/citation-style-language/schema/raw/master/csl-citation.json"} </w:instrText>
      </w:r>
      <w:r w:rsidRPr="00054570">
        <w:fldChar w:fldCharType="separate"/>
      </w:r>
      <w:r w:rsidR="00FD57F4" w:rsidRPr="00FD57F4">
        <w:rPr>
          <w:rFonts w:cs="Arial"/>
          <w:szCs w:val="24"/>
          <w:vertAlign w:val="superscript"/>
        </w:rPr>
        <w:t>6, 20,68</w:t>
      </w:r>
      <w:r w:rsidRPr="00054570">
        <w:fldChar w:fldCharType="end"/>
      </w:r>
    </w:p>
    <w:p w14:paraId="730A740A" w14:textId="73549EDC" w:rsidR="000B148D" w:rsidRPr="00054570" w:rsidRDefault="000B148D" w:rsidP="000B148D">
      <w:pPr>
        <w:pStyle w:val="Body"/>
        <w:rPr>
          <w:rStyle w:val="normaltextrun"/>
        </w:rPr>
      </w:pPr>
      <w:r w:rsidRPr="00054570">
        <w:lastRenderedPageBreak/>
        <w:fldChar w:fldCharType="begin">
          <w:fldData xml:space="preserve">PEVuZE5vdGU+PENpdGU+PEF1dGhvcj5UYW11cmE8L0F1dGhvcj48WWVhcj4yMDE5PC9ZZWFyPjxS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</w:fldData>
        </w:fldChar>
      </w:r>
      <w:r w:rsidRPr="00054570">
        <w:instrText xml:space="preserve"> ADDIN EN.CITE </w:instrText>
      </w:r>
      <w:r w:rsidRPr="00054570">
        <w:fldChar w:fldCharType="begin">
          <w:fldData xml:space="preserve">PEVuZE5vdGU+PENpdGU+PEF1dGhvcj5UYW11cmE8L0F1dGhvcj48WWVhcj4yMDE5PC9ZZWFyPjxS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</w:fldData>
        </w:fldChar>
      </w:r>
      <w:r w:rsidRPr="00054570">
        <w:instrText xml:space="preserve"> ADDIN EN.CITE.DATA </w:instrText>
      </w:r>
      <w:r w:rsidRPr="00054570">
        <w:fldChar w:fldCharType="end"/>
      </w:r>
      <w:r w:rsidRPr="00054570">
        <w:fldChar w:fldCharType="separate"/>
      </w:r>
      <w:r w:rsidRPr="00054570">
        <w:fldChar w:fldCharType="end"/>
      </w:r>
      <w:r w:rsidRPr="00054570">
        <w:rPr>
          <w:rStyle w:val="normaltextrun"/>
        </w:rPr>
        <w:t>The treatment arms were similar in the overall incidence of TEAEs, SAEs, TEAEs associated</w:t>
      </w:r>
      <w:r w:rsidRPr="00054570">
        <w:rPr>
          <w:rStyle w:val="normaltextrun"/>
          <w:b/>
          <w:bCs/>
        </w:rPr>
        <w:t xml:space="preserve"> </w:t>
      </w:r>
      <w:r w:rsidRPr="00054570">
        <w:rPr>
          <w:rStyle w:val="normaltextrun"/>
        </w:rPr>
        <w:t>with study drug interruption, and TEAEs associated with an outcome of death.</w:t>
      </w:r>
      <w:r w:rsidR="00B730FE">
        <w:rPr>
          <w:rStyle w:val="normaltextrun"/>
        </w:rPr>
        <w:fldChar w:fldCharType="begin"/>
      </w:r>
      <w:r w:rsidR="00CA6345">
        <w:rPr>
          <w:rStyle w:val="normaltextrun"/>
        </w:rPr>
        <w:instrText xml:space="preserve"> ADDIN ZOTERO_ITEM CSL_CITATION {"citationID":"bAZDGnkk","properties":{"formattedCitation":"\\super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00B730FE">
        <w:rPr>
          <w:rStyle w:val="normaltextrun"/>
        </w:rPr>
        <w:fldChar w:fldCharType="separate"/>
      </w:r>
      <w:r w:rsidR="00FD57F4" w:rsidRPr="00FD57F4">
        <w:rPr>
          <w:rFonts w:cs="Arial"/>
          <w:szCs w:val="24"/>
          <w:vertAlign w:val="superscript"/>
        </w:rPr>
        <w:t>6</w:t>
      </w:r>
      <w:r w:rsidR="00B730FE">
        <w:rPr>
          <w:rStyle w:val="normaltextrun"/>
        </w:rPr>
        <w:fldChar w:fldCharType="end"/>
      </w:r>
      <w:r w:rsidRPr="00054570">
        <w:rPr>
          <w:rStyle w:val="normaltextrun"/>
        </w:rPr>
        <w:t xml:space="preserve"> The majority of TEAEs were Grade 1 or 2 in severity, occurred mo</w:t>
      </w:r>
      <w:r w:rsidR="00EB000A">
        <w:rPr>
          <w:rStyle w:val="normaltextrun"/>
        </w:rPr>
        <w:t>st</w:t>
      </w:r>
      <w:r w:rsidRPr="00054570">
        <w:rPr>
          <w:rStyle w:val="normaltextrun"/>
        </w:rPr>
        <w:t xml:space="preserve"> frequently in </w:t>
      </w:r>
      <w:r w:rsidR="00294FDC" w:rsidRPr="00294FDC">
        <w:rPr>
          <w:rStyle w:val="normaltextrun"/>
          <w:color w:val="000000"/>
          <w:highlight w:val="black"/>
        </w:rPr>
        <w:t>xxxxxxx</w:t>
      </w:r>
      <w:r w:rsidRPr="00054570">
        <w:rPr>
          <w:rStyle w:val="normaltextrun"/>
        </w:rPr>
        <w:t xml:space="preserve">, and </w:t>
      </w:r>
      <w:r w:rsidR="00294FDC" w:rsidRPr="00294FDC">
        <w:rPr>
          <w:rStyle w:val="normaltextrun"/>
          <w:color w:val="000000"/>
          <w:highlight w:val="black"/>
        </w:rPr>
        <w:t>xxxxxxxxxxxxxxxxxx</w:t>
      </w:r>
      <w:r w:rsidRPr="00054570">
        <w:rPr>
          <w:rStyle w:val="normaltextrun"/>
        </w:rPr>
        <w:t xml:space="preserve"> over subsequent cycles.</w:t>
      </w:r>
      <w:r w:rsidR="005404D4">
        <w:rPr>
          <w:rStyle w:val="normaltextrun"/>
        </w:rPr>
        <w:fldChar w:fldCharType="begin"/>
      </w:r>
      <w:r w:rsidR="00CA6345">
        <w:rPr>
          <w:rStyle w:val="normaltextrun"/>
        </w:rPr>
        <w:instrText xml:space="preserve"> ADDIN ZOTERO_ITEM CSL_CITATION {"citationID":"kmwnHlsE","properties":{"formattedCitation":"\\super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005404D4">
        <w:rPr>
          <w:rStyle w:val="normaltextrun"/>
        </w:rPr>
        <w:fldChar w:fldCharType="separate"/>
      </w:r>
      <w:r w:rsidR="00FD57F4" w:rsidRPr="00FD57F4">
        <w:rPr>
          <w:rFonts w:cs="Arial"/>
          <w:szCs w:val="24"/>
          <w:vertAlign w:val="superscript"/>
        </w:rPr>
        <w:t>7</w:t>
      </w:r>
      <w:r w:rsidR="005404D4">
        <w:rPr>
          <w:rStyle w:val="normaltextrun"/>
        </w:rPr>
        <w:fldChar w:fldCharType="end"/>
      </w:r>
      <w:r w:rsidR="005A58DC">
        <w:rPr>
          <w:rStyle w:val="normaltextrun"/>
        </w:rPr>
        <w:t xml:space="preserve"> </w:t>
      </w:r>
    </w:p>
    <w:p w14:paraId="3BE11840" w14:textId="6AA71AF8" w:rsidR="000B148D" w:rsidRPr="00054570" w:rsidRDefault="000B148D" w:rsidP="000B148D">
      <w:pPr>
        <w:pStyle w:val="Body"/>
      </w:pPr>
      <w:r w:rsidRPr="00054570">
        <w:rPr>
          <w:rStyle w:val="normaltextrun"/>
        </w:rPr>
        <w:t xml:space="preserve">Of note, Grade </w:t>
      </w:r>
      <w:r w:rsidRPr="00054570">
        <w:rPr>
          <w:rStyle w:val="normaltextrun"/>
          <w:rFonts w:cs="Arial"/>
        </w:rPr>
        <w:t>≥</w:t>
      </w:r>
      <w:r w:rsidRPr="00054570">
        <w:rPr>
          <w:rStyle w:val="normaltextrun"/>
        </w:rPr>
        <w:t>3 TEAEs were</w:t>
      </w:r>
      <w:r w:rsidRPr="00054570">
        <w:rPr>
          <w:rStyle w:val="normaltextrun"/>
          <w:b/>
          <w:bCs/>
        </w:rPr>
        <w:t xml:space="preserve"> </w:t>
      </w:r>
      <w:r w:rsidRPr="00054570">
        <w:rPr>
          <w:rStyle w:val="normaltextrun"/>
        </w:rPr>
        <w:t>reported at a lower incidence in the T-DXd arm (</w:t>
      </w:r>
      <w:r w:rsidRPr="0057571E">
        <w:rPr>
          <w:rStyle w:val="normaltextrun"/>
        </w:rPr>
        <w:t>52.6</w:t>
      </w:r>
      <w:r w:rsidRPr="00054570">
        <w:rPr>
          <w:rStyle w:val="normaltextrun"/>
        </w:rPr>
        <w:t>%) than in the TPC arm (67.4%).</w:t>
      </w:r>
      <w:r>
        <w:rPr>
          <w:rStyle w:val="normaltextrun"/>
        </w:rPr>
        <w:fldChar w:fldCharType="begin"/>
      </w:r>
      <w:r w:rsidR="00CA6345">
        <w:rPr>
          <w:rStyle w:val="normaltextrun"/>
        </w:rPr>
        <w:instrText xml:space="preserve"> ADDIN ZOTERO_ITEM CSL_CITATION {"citationID":"uanvlxVO","properties":{"formattedCitation":"\\super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Pr>
          <w:rStyle w:val="normaltextrun"/>
        </w:rPr>
        <w:fldChar w:fldCharType="separate"/>
      </w:r>
      <w:r w:rsidR="00FD57F4" w:rsidRPr="00FD57F4">
        <w:rPr>
          <w:rFonts w:cs="Arial"/>
          <w:szCs w:val="24"/>
          <w:vertAlign w:val="superscript"/>
        </w:rPr>
        <w:t>6</w:t>
      </w:r>
      <w:r>
        <w:rPr>
          <w:rStyle w:val="normaltextrun"/>
        </w:rPr>
        <w:fldChar w:fldCharType="end"/>
      </w:r>
      <w:r w:rsidRPr="00054570">
        <w:rPr>
          <w:rStyle w:val="normaltextrun"/>
        </w:rPr>
        <w:t xml:space="preserve"> Similarly, while drug-related TEAEs were reported in a similar incidence in the T-DXd and TPC arms (</w:t>
      </w:r>
      <w:r w:rsidR="00294FDC" w:rsidRPr="00294FDC">
        <w:rPr>
          <w:rStyle w:val="normaltextrun"/>
          <w:color w:val="000000"/>
          <w:highlight w:val="black"/>
        </w:rPr>
        <w:t>xxxxx</w:t>
      </w:r>
      <w:r w:rsidRPr="00054570">
        <w:rPr>
          <w:rStyle w:val="normaltextrun"/>
        </w:rPr>
        <w:t xml:space="preserve"> vs. </w:t>
      </w:r>
      <w:r w:rsidR="00294FDC" w:rsidRPr="00294FDC">
        <w:rPr>
          <w:rStyle w:val="normaltextrun"/>
          <w:color w:val="000000"/>
          <w:highlight w:val="black"/>
        </w:rPr>
        <w:t>xxxxx</w:t>
      </w:r>
      <w:r w:rsidRPr="00054570">
        <w:rPr>
          <w:rStyle w:val="normaltextrun"/>
        </w:rPr>
        <w:t xml:space="preserve">), the incidence of drug-related Grade </w:t>
      </w:r>
      <w:r w:rsidRPr="00054570">
        <w:rPr>
          <w:rStyle w:val="normaltextrun"/>
          <w:rFonts w:cs="Arial"/>
        </w:rPr>
        <w:t>≥3 TEAEs was higher in the TPC arm (</w:t>
      </w:r>
      <w:r w:rsidR="00294FDC" w:rsidRPr="00294FDC">
        <w:rPr>
          <w:rStyle w:val="normaltextrun"/>
          <w:rFonts w:cs="Arial"/>
          <w:color w:val="000000"/>
          <w:highlight w:val="black"/>
        </w:rPr>
        <w:t>xxxx</w:t>
      </w:r>
      <w:r w:rsidRPr="00054570">
        <w:rPr>
          <w:rStyle w:val="normaltextrun"/>
          <w:rFonts w:cs="Arial"/>
        </w:rPr>
        <w:t xml:space="preserve">% vs. </w:t>
      </w:r>
      <w:r w:rsidR="00294FDC" w:rsidRPr="00294FDC">
        <w:rPr>
          <w:rStyle w:val="normaltextrun"/>
          <w:rFonts w:cs="Arial"/>
          <w:color w:val="000000"/>
          <w:highlight w:val="black"/>
        </w:rPr>
        <w:t>xxxxx</w:t>
      </w:r>
      <w:r w:rsidRPr="00054570">
        <w:rPr>
          <w:rStyle w:val="normaltextrun"/>
          <w:rFonts w:cs="Arial"/>
        </w:rPr>
        <w:t>)</w:t>
      </w:r>
      <w:r w:rsidRPr="00054570">
        <w:rPr>
          <w:rStyle w:val="normaltextrun"/>
        </w:rPr>
        <w:t>.</w:t>
      </w:r>
      <w:r>
        <w:rPr>
          <w:rStyle w:val="normaltextrun"/>
        </w:rPr>
        <w:fldChar w:fldCharType="begin"/>
      </w:r>
      <w:r w:rsidR="00CA6345">
        <w:rPr>
          <w:rStyle w:val="normaltextrun"/>
        </w:rPr>
        <w:instrText xml:space="preserve"> ADDIN ZOTERO_ITEM CSL_CITATION {"citationID":"f4XoOT3K","properties":{"formattedCitation":"\\super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Pr>
          <w:rStyle w:val="normaltextrun"/>
        </w:rPr>
        <w:fldChar w:fldCharType="separate"/>
      </w:r>
      <w:r w:rsidR="00FD57F4" w:rsidRPr="00FD57F4">
        <w:rPr>
          <w:rFonts w:cs="Arial"/>
          <w:szCs w:val="24"/>
          <w:vertAlign w:val="superscript"/>
        </w:rPr>
        <w:t>7</w:t>
      </w:r>
      <w:r>
        <w:rPr>
          <w:rStyle w:val="normaltextrun"/>
        </w:rPr>
        <w:fldChar w:fldCharType="end"/>
      </w:r>
      <w:r w:rsidRPr="00054570">
        <w:rPr>
          <w:rStyle w:val="normaltextrun"/>
        </w:rPr>
        <w:t xml:space="preserve"> </w:t>
      </w:r>
      <w:r w:rsidRPr="00054570">
        <w:rPr>
          <w:rStyle w:val="normaltextrun"/>
          <w:rFonts w:cs="Yu Gothic Light"/>
          <w:shd w:val="clear" w:color="auto" w:fill="FFFFFF"/>
        </w:rPr>
        <w:t xml:space="preserve">In most patients, </w:t>
      </w:r>
      <w:r w:rsidRPr="00054570">
        <w:rPr>
          <w:rStyle w:val="normaltextrun"/>
        </w:rPr>
        <w:t xml:space="preserve">drug-related TEAEs with T-DXd were manageable with dose modifications and routine clinical </w:t>
      </w:r>
      <w:r>
        <w:rPr>
          <w:rStyle w:val="normaltextrun"/>
        </w:rPr>
        <w:t>care</w:t>
      </w:r>
      <w:r w:rsidRPr="00054570">
        <w:rPr>
          <w:rStyle w:val="normaltextrun"/>
        </w:rPr>
        <w:t>.</w:t>
      </w:r>
      <w:r w:rsidRPr="00054570">
        <w:fldChar w:fldCharType="begin"/>
      </w:r>
      <w:r w:rsidR="00CA6345">
        <w:instrText xml:space="preserve"> ADDIN ZOTERO_ITEM CSL_CITATION {"citationID":"xQktcJGR","properties":{"formattedCitation":"\\super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p>
    <w:p w14:paraId="456C1C20" w14:textId="615D0809" w:rsidR="000B148D" w:rsidRPr="00054570" w:rsidRDefault="000B148D" w:rsidP="000B148D">
      <w:pPr>
        <w:pStyle w:val="Body"/>
        <w:rPr>
          <w:rStyle w:val="normaltextrun"/>
        </w:rPr>
      </w:pPr>
      <w:r w:rsidRPr="00054570">
        <w:rPr>
          <w:rStyle w:val="normaltextrun"/>
        </w:rPr>
        <w:t xml:space="preserve">Drug-related TEAEs with T-DXd did not necessitate study drug discontinuation in most </w:t>
      </w:r>
      <w:r w:rsidRPr="00054570">
        <w:t>patients</w:t>
      </w:r>
      <w:r w:rsidRPr="00054570">
        <w:rPr>
          <w:rStyle w:val="normaltextrun"/>
        </w:rPr>
        <w:t>.</w:t>
      </w:r>
      <w:r w:rsidRPr="00054570">
        <w:fldChar w:fldCharType="begin"/>
      </w:r>
      <w:r w:rsidR="00CA6345">
        <w:instrText xml:space="preserve"> ADDIN ZOTERO_ITEM CSL_CITATION {"citationID":"L5C68R7A","properties":{"formattedCitation":"\\super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r w:rsidRPr="00054570">
        <w:rPr>
          <w:rFonts w:cs="Arial"/>
          <w:szCs w:val="24"/>
          <w:vertAlign w:val="superscript"/>
        </w:rPr>
        <w:t xml:space="preserve"> </w:t>
      </w:r>
      <w:r w:rsidRPr="00054570">
        <w:t>While a higher proportion of patients discontinued the study drug in the T-DXd arm than the TPC arm (16.2% vs. 8.1%), this was primarily driven by protocol-defined dose modification criteria for events of ILD (an AE of special interest for T-DXd).</w:t>
      </w:r>
      <w:r w:rsidR="00AC41DC">
        <w:fldChar w:fldCharType="begin"/>
      </w:r>
      <w:r w:rsidR="00CA6345">
        <w:instrText xml:space="preserve"> ADDIN ZOTERO_ITEM CSL_CITATION {"citationID":"DPV2IwsC","properties":{"formattedCitation":"\\super 6,7\\nosupersub{}","plainCitation":"6,7","noteIndex":0},"citationItems":[{"id":66153,"uris":["http://zotero.org/groups/4797619/items/DIMCLQBB"],"itemData":{"id":66153,"type":"article-journal","container-title":"New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00AC41DC">
        <w:fldChar w:fldCharType="separate"/>
      </w:r>
      <w:r w:rsidR="00FD57F4" w:rsidRPr="00FD57F4">
        <w:rPr>
          <w:rFonts w:cs="Arial"/>
          <w:szCs w:val="24"/>
          <w:vertAlign w:val="superscript"/>
        </w:rPr>
        <w:t>6,7</w:t>
      </w:r>
      <w:r w:rsidR="00AC41DC">
        <w:fldChar w:fldCharType="end"/>
      </w:r>
      <w:r w:rsidRPr="00054570">
        <w:t xml:space="preserve"> Additionally, the proportion of patients requiring dose reductions was lower in the T</w:t>
      </w:r>
      <w:r w:rsidRPr="00054570">
        <w:noBreakHyphen/>
        <w:t>DXd arm than the TPC arm (22.6% vs. 38.4%)</w:t>
      </w:r>
      <w:r>
        <w:t>.</w:t>
      </w:r>
      <w:r>
        <w:fldChar w:fldCharType="begin"/>
      </w:r>
      <w:r w:rsidR="00CA6345">
        <w:instrText xml:space="preserve"> ADDIN ZOTERO_ITEM CSL_CITATION {"citationID":"yW5FyI3V","properties":{"formattedCitation":"\\super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054570">
        <w:t xml:space="preserve"> The proportion of patients requiring dose interruptions was similar with T-DXd v</w:t>
      </w:r>
      <w:r>
        <w:t>s.</w:t>
      </w:r>
      <w:r w:rsidRPr="00054570">
        <w:t xml:space="preserve"> TPC (38.5% vs 41.9%).</w:t>
      </w:r>
      <w:r>
        <w:fldChar w:fldCharType="begin"/>
      </w:r>
      <w:r w:rsidR="00CA6345">
        <w:instrText xml:space="preserve"> ADDIN ZOTERO_ITEM CSL_CITATION {"citationID":"OLOr1HbL","properties":{"formattedCitation":"\\super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p>
    <w:p w14:paraId="5F7FDF66" w14:textId="26809212" w:rsidR="000B148D" w:rsidRPr="00054570" w:rsidRDefault="000B148D" w:rsidP="000B148D">
      <w:pPr>
        <w:pStyle w:val="Body"/>
      </w:pPr>
      <w:r w:rsidRPr="00054570">
        <w:rPr>
          <w:rStyle w:val="normaltextrun"/>
        </w:rPr>
        <w:t xml:space="preserve">It should be noted that </w:t>
      </w:r>
      <w:r>
        <w:rPr>
          <w:rStyle w:val="normaltextrun"/>
        </w:rPr>
        <w:t xml:space="preserve">median </w:t>
      </w:r>
      <w:r w:rsidRPr="00054570">
        <w:rPr>
          <w:rStyle w:val="normaltextrun"/>
        </w:rPr>
        <w:t>treatment duration was considerably longer in the T-DXd arm than in the TPC arm (8.2 vs 3.5 months)</w:t>
      </w:r>
      <w:r>
        <w:rPr>
          <w:rStyle w:val="normaltextrun"/>
        </w:rPr>
        <w:t xml:space="preserve">. Exposure-adjusted incidence rates </w:t>
      </w:r>
      <w:r w:rsidR="00AB7ECA">
        <w:rPr>
          <w:rStyle w:val="normaltextrun"/>
        </w:rPr>
        <w:t xml:space="preserve">(EAIR) </w:t>
      </w:r>
      <w:r>
        <w:rPr>
          <w:rStyle w:val="normaltextrun"/>
        </w:rPr>
        <w:t xml:space="preserve">were lower for T-DXd than TPC for </w:t>
      </w:r>
      <w:r w:rsidR="00FD587D">
        <w:rPr>
          <w:rStyle w:val="normaltextrun"/>
        </w:rPr>
        <w:t xml:space="preserve">all parameters including </w:t>
      </w:r>
      <w:r w:rsidR="00635F17">
        <w:rPr>
          <w:rStyle w:val="normaltextrun"/>
        </w:rPr>
        <w:t>overall TEAEs,</w:t>
      </w:r>
      <w:r>
        <w:rPr>
          <w:rStyle w:val="normaltextrun"/>
        </w:rPr>
        <w:t xml:space="preserve"> </w:t>
      </w:r>
      <w:r w:rsidRPr="00054570">
        <w:rPr>
          <w:rStyle w:val="normaltextrun"/>
        </w:rPr>
        <w:t xml:space="preserve">Grade </w:t>
      </w:r>
      <w:r w:rsidRPr="00054570">
        <w:rPr>
          <w:rStyle w:val="normaltextrun"/>
          <w:rFonts w:cs="Arial"/>
        </w:rPr>
        <w:t>≥</w:t>
      </w:r>
      <w:r w:rsidRPr="00054570">
        <w:rPr>
          <w:rStyle w:val="normaltextrun"/>
        </w:rPr>
        <w:t>3</w:t>
      </w:r>
      <w:r>
        <w:rPr>
          <w:rStyle w:val="normaltextrun"/>
        </w:rPr>
        <w:t xml:space="preserve"> TEAEs</w:t>
      </w:r>
      <w:r w:rsidRPr="00054570">
        <w:rPr>
          <w:rStyle w:val="normaltextrun"/>
        </w:rPr>
        <w:t xml:space="preserve">, </w:t>
      </w:r>
      <w:r>
        <w:rPr>
          <w:rStyle w:val="normaltextrun"/>
        </w:rPr>
        <w:t xml:space="preserve">TEAEs </w:t>
      </w:r>
      <w:r w:rsidRPr="00054570">
        <w:rPr>
          <w:rStyle w:val="normaltextrun"/>
        </w:rPr>
        <w:t>associated with study drug interruptions</w:t>
      </w:r>
      <w:r>
        <w:rPr>
          <w:rStyle w:val="normaltextrun"/>
        </w:rPr>
        <w:t xml:space="preserve">, </w:t>
      </w:r>
      <w:r w:rsidRPr="00054570">
        <w:rPr>
          <w:rStyle w:val="normaltextrun"/>
        </w:rPr>
        <w:t>and TEAEs associated with dose reduction.</w:t>
      </w:r>
      <w:r>
        <w:rPr>
          <w:rStyle w:val="normaltextrun"/>
        </w:rPr>
        <w:fldChar w:fldCharType="begin"/>
      </w:r>
      <w:r w:rsidR="00CA6345">
        <w:rPr>
          <w:rStyle w:val="normaltextrun"/>
        </w:rPr>
        <w:instrText xml:space="preserve"> ADDIN ZOTERO_ITEM CSL_CITATION {"citationID":"HxOXBVza","properties":{"formattedCitation":"\\super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Pr>
          <w:rStyle w:val="normaltextrun"/>
        </w:rPr>
        <w:fldChar w:fldCharType="separate"/>
      </w:r>
      <w:r w:rsidR="00FD57F4" w:rsidRPr="00FD57F4">
        <w:rPr>
          <w:rFonts w:cs="Arial"/>
          <w:szCs w:val="24"/>
          <w:vertAlign w:val="superscript"/>
        </w:rPr>
        <w:t>6</w:t>
      </w:r>
      <w:r>
        <w:rPr>
          <w:rStyle w:val="normaltextrun"/>
        </w:rPr>
        <w:fldChar w:fldCharType="end"/>
      </w:r>
      <w:r w:rsidRPr="00054570">
        <w:t xml:space="preserve"> </w:t>
      </w:r>
    </w:p>
    <w:p w14:paraId="47AA3BD9" w14:textId="2FAAC71A" w:rsidR="000B148D" w:rsidRPr="00054570" w:rsidRDefault="005465C6" w:rsidP="000B148D">
      <w:pPr>
        <w:pStyle w:val="Body"/>
        <w:rPr>
          <w:rFonts w:cs="Yu Gothic Light"/>
          <w:shd w:val="clear" w:color="auto" w:fill="FFFFFF"/>
        </w:rPr>
      </w:pPr>
      <w:r w:rsidRPr="00054570">
        <w:rPr>
          <w:rStyle w:val="normaltextrun"/>
        </w:rPr>
        <w:t>A</w:t>
      </w:r>
      <w:r w:rsidR="00AB7ECA">
        <w:rPr>
          <w:rStyle w:val="normaltextrun"/>
        </w:rPr>
        <w:t>dverse event</w:t>
      </w:r>
      <w:r w:rsidR="00AB7ECA" w:rsidRPr="00054570">
        <w:rPr>
          <w:rStyle w:val="normaltextrun"/>
        </w:rPr>
        <w:t xml:space="preserve">s </w:t>
      </w:r>
      <w:r w:rsidRPr="00054570">
        <w:rPr>
          <w:rStyle w:val="normaltextrun"/>
        </w:rPr>
        <w:t>of special interest</w:t>
      </w:r>
      <w:r w:rsidRPr="00054570">
        <w:rPr>
          <w:rStyle w:val="normaltextrun"/>
          <w:b/>
          <w:bCs/>
        </w:rPr>
        <w:t xml:space="preserve"> </w:t>
      </w:r>
      <w:r w:rsidRPr="000C741C">
        <w:rPr>
          <w:rStyle w:val="normaltextrun"/>
        </w:rPr>
        <w:t>(</w:t>
      </w:r>
      <w:r w:rsidRPr="00054570">
        <w:rPr>
          <w:rStyle w:val="normaltextrun"/>
        </w:rPr>
        <w:t>ILD/pneumonitis and LV d</w:t>
      </w:r>
      <w:r w:rsidR="000664D8">
        <w:rPr>
          <w:rStyle w:val="normaltextrun"/>
        </w:rPr>
        <w:t>ysfunction</w:t>
      </w:r>
      <w:r w:rsidRPr="00054570">
        <w:rPr>
          <w:rStyle w:val="normaltextrun"/>
        </w:rPr>
        <w:t xml:space="preserve">) associated with T-DXd were generally of mild or moderate severity and were well managed through the use of established </w:t>
      </w:r>
      <w:r>
        <w:rPr>
          <w:rStyle w:val="normaltextrun"/>
        </w:rPr>
        <w:t>management</w:t>
      </w:r>
      <w:r w:rsidRPr="00054570">
        <w:rPr>
          <w:rStyle w:val="normaltextrun"/>
        </w:rPr>
        <w:t xml:space="preserve"> guidelines, which included monitoring signs and symptoms of ILD and proactively managing events with early intervention.</w:t>
      </w:r>
      <w:r w:rsidR="009047DE" w:rsidRPr="00054570">
        <w:fldChar w:fldCharType="begin"/>
      </w:r>
      <w:r w:rsidR="00CA6345">
        <w:instrText xml:space="preserve"> ADDIN ZOTERO_ITEM CSL_CITATION {"citationID":"r8df81g5","properties":{"formattedCitation":"\\super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009047DE" w:rsidRPr="00054570">
        <w:fldChar w:fldCharType="separate"/>
      </w:r>
      <w:r w:rsidR="00FD57F4" w:rsidRPr="00FD57F4">
        <w:rPr>
          <w:rFonts w:cs="Arial"/>
          <w:szCs w:val="24"/>
          <w:vertAlign w:val="superscript"/>
        </w:rPr>
        <w:t>7</w:t>
      </w:r>
      <w:r w:rsidR="009047DE" w:rsidRPr="00054570">
        <w:fldChar w:fldCharType="end"/>
      </w:r>
      <w:r w:rsidR="00B43DAC" w:rsidRPr="00054570" w:rsidDel="00B43DAC">
        <w:t xml:space="preserve"> </w:t>
      </w:r>
    </w:p>
    <w:p w14:paraId="68C6CDF8" w14:textId="77777777" w:rsidR="000B148D" w:rsidRPr="00054570" w:rsidRDefault="000B148D" w:rsidP="000B148D">
      <w:pPr>
        <w:pStyle w:val="Heading2"/>
      </w:pPr>
      <w:bookmarkStart w:id="359" w:name="_Toc124447849"/>
      <w:bookmarkStart w:id="360" w:name="_Toc129350876"/>
      <w:r w:rsidRPr="00054570">
        <w:t>Ongoing studies</w:t>
      </w:r>
      <w:bookmarkEnd w:id="359"/>
      <w:bookmarkEnd w:id="360"/>
    </w:p>
    <w:p w14:paraId="2DD890A4" w14:textId="02D58875" w:rsidR="000B148D" w:rsidRPr="00054570" w:rsidRDefault="000B148D" w:rsidP="000B148D">
      <w:pPr>
        <w:pStyle w:val="Body"/>
        <w:rPr>
          <w:strike/>
        </w:rPr>
      </w:pPr>
      <w:r>
        <w:t>N</w:t>
      </w:r>
      <w:r w:rsidRPr="00054570">
        <w:t xml:space="preserve">o additional studies </w:t>
      </w:r>
      <w:r>
        <w:t xml:space="preserve">are </w:t>
      </w:r>
      <w:r w:rsidRPr="00054570">
        <w:t>planned in the population of interest. As statistical significance was demonstrated for primary and key secondary endpoints of PFS and OS</w:t>
      </w:r>
      <w:r>
        <w:t xml:space="preserve"> in the HR</w:t>
      </w:r>
      <w:r w:rsidR="00C814FD">
        <w:t>-positive</w:t>
      </w:r>
      <w:r>
        <w:t xml:space="preserve"> and FAS populations</w:t>
      </w:r>
      <w:r w:rsidRPr="00054570">
        <w:t>, there is no</w:t>
      </w:r>
      <w:r>
        <w:t xml:space="preserve"> protocol-defined</w:t>
      </w:r>
      <w:r w:rsidRPr="00054570">
        <w:t xml:space="preserve"> requirement for further data analyses</w:t>
      </w:r>
      <w:r>
        <w:t xml:space="preserve"> of DESTINY-Breast04</w:t>
      </w:r>
      <w:r w:rsidRPr="00054570">
        <w:t xml:space="preserve">. </w:t>
      </w:r>
    </w:p>
    <w:p w14:paraId="6831AC7B" w14:textId="77777777" w:rsidR="000B148D" w:rsidRPr="00054570" w:rsidRDefault="000B148D" w:rsidP="000B148D">
      <w:pPr>
        <w:pStyle w:val="Heading2"/>
      </w:pPr>
      <w:bookmarkStart w:id="361" w:name="_Toc97026251"/>
      <w:bookmarkStart w:id="362" w:name="_Toc97125430"/>
      <w:bookmarkStart w:id="363" w:name="_Toc124447850"/>
      <w:bookmarkStart w:id="364" w:name="_Toc129350877"/>
      <w:bookmarkEnd w:id="361"/>
      <w:bookmarkEnd w:id="362"/>
      <w:r w:rsidRPr="00054570">
        <w:t>Interpretation of clinical effectiveness and safety evidence</w:t>
      </w:r>
      <w:bookmarkEnd w:id="363"/>
      <w:bookmarkEnd w:id="364"/>
    </w:p>
    <w:p w14:paraId="54B2E0C5" w14:textId="77777777" w:rsidR="000B148D" w:rsidRPr="00054570" w:rsidRDefault="000B148D" w:rsidP="000B148D">
      <w:pPr>
        <w:pStyle w:val="Heading3"/>
      </w:pPr>
      <w:bookmarkStart w:id="365" w:name="_Ref127008141"/>
      <w:bookmarkStart w:id="366" w:name="_Toc129350878"/>
      <w:bookmarkStart w:id="367" w:name="_Toc124447851"/>
      <w:r w:rsidRPr="00054570">
        <w:t>Principal findings from the clinical evidence</w:t>
      </w:r>
      <w:bookmarkEnd w:id="365"/>
      <w:bookmarkEnd w:id="366"/>
      <w:r w:rsidRPr="00054570">
        <w:t xml:space="preserve"> </w:t>
      </w:r>
      <w:bookmarkEnd w:id="367"/>
    </w:p>
    <w:p w14:paraId="6D65C998" w14:textId="0C9B0097" w:rsidR="000B148D" w:rsidRDefault="000B148D" w:rsidP="000B148D">
      <w:pPr>
        <w:pStyle w:val="Body"/>
      </w:pPr>
      <w:bookmarkStart w:id="368" w:name="_Ref92278804"/>
      <w:r w:rsidRPr="00054570">
        <w:t>DESTINY-Breast04 demonstrates that T-DXd offers significant clinical benefit over TPC in patients with HER2-low u/mBC following one or two lines of chemotherapy in the metastatic setting.</w:t>
      </w:r>
      <w:r>
        <w:t xml:space="preserve"> </w:t>
      </w:r>
      <w:r w:rsidR="00D44C26">
        <w:t>Published UK biomarker data</w:t>
      </w:r>
      <w:r w:rsidR="00D44C26">
        <w:fldChar w:fldCharType="begin"/>
      </w:r>
      <w:r w:rsidR="00CA6345">
        <w:instrText xml:space="preserve"> ADDIN ZOTERO_ITEM CSL_CITATION {"citationID":"wC8vtTIm","properties":{"formattedCitation":"\\super 56\\nosupersub{}","plainCitation":"56","noteIndex":0},"citationItems":[{"id":65940,"uris":["http://zotero.org/groups/4797619/items/7UYVWR36"],"itemData":{"id":65940,"type":"article-journal","container-title":"The Journal of Pathology: Clinical Research","DOI":"10.1002/cjp2.173","ISSN":"2056-4538, 2056-4538","issue":"3","journalAbbreviation":"J Pathol Clin Res","language":"en","page":"227-227","source":"DOI.org (Crossref)","title":"Breast cancer biomarkers in clinical testing: analysis of a UK NEQAS ICC &amp; ISH database containing results from 199 300 patients","title-short":"‘Breast cancer biomarkers in clinical testing","volume":"6","author":[{"family":"Dodson","given":"Andrew"},{"family":"Parry","given":"Suzanne"},{"family":"Ibrahim","given":"Merdol"},{"family":"Bartlett","given":"John M. S."},{"family":"Pinder","given":"Sarah E."},{"family":"Dowsett","given":"Mitch"},{"family":"Miller","given":"Keith"}],"issued":{"date-parts":[["2020",7]]}}}],"schema":"https://github.com/citation-style-language/schema/raw/master/csl-citation.json"} </w:instrText>
      </w:r>
      <w:r w:rsidR="00D44C26">
        <w:fldChar w:fldCharType="separate"/>
      </w:r>
      <w:r w:rsidR="00FD57F4" w:rsidRPr="00FD57F4">
        <w:rPr>
          <w:rFonts w:cs="Arial"/>
          <w:szCs w:val="24"/>
          <w:vertAlign w:val="superscript"/>
        </w:rPr>
        <w:t>56</w:t>
      </w:r>
      <w:r w:rsidR="00D44C26">
        <w:fldChar w:fldCharType="end"/>
      </w:r>
      <w:r w:rsidR="00D44C26">
        <w:t xml:space="preserve"> and UK clinical expert insights confirm that the distribution of HR-positive and HR-negative patients in DESTINY-Breast04 is aligned to UK clinical practice.</w:t>
      </w:r>
      <w:r w:rsidR="00D44C26">
        <w:fldChar w:fldCharType="begin"/>
      </w:r>
      <w:r w:rsidR="00CA6345">
        <w:instrText xml:space="preserve"> ADDIN ZOTERO_ITEM CSL_CITATION {"citationID":"L9uMneP1","properties":{"formattedCitation":"\\super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00D44C26">
        <w:fldChar w:fldCharType="separate"/>
      </w:r>
      <w:r w:rsidR="00CA6345" w:rsidRPr="00CA6345">
        <w:rPr>
          <w:rFonts w:cs="Arial"/>
          <w:szCs w:val="24"/>
          <w:vertAlign w:val="superscript"/>
        </w:rPr>
        <w:t>121</w:t>
      </w:r>
      <w:r w:rsidR="00D44C26">
        <w:fldChar w:fldCharType="end"/>
      </w:r>
    </w:p>
    <w:p w14:paraId="1E9282C7" w14:textId="6DBF7AA0" w:rsidR="005C0C8D" w:rsidRPr="00054570" w:rsidRDefault="005C0C8D" w:rsidP="000B148D">
      <w:pPr>
        <w:pStyle w:val="Body"/>
      </w:pPr>
      <w:r>
        <w:t xml:space="preserve">In </w:t>
      </w:r>
      <w:r w:rsidRPr="00054570">
        <w:t>DESTINY-Breast04, T</w:t>
      </w:r>
      <w:r w:rsidRPr="00054570">
        <w:noBreakHyphen/>
        <w:t>DXd demonstrated statistically significant superiority compared with TPC for the primary endpoint of PFS by BICR in the HR</w:t>
      </w:r>
      <w:r>
        <w:t>-positive</w:t>
      </w:r>
      <w:r w:rsidRPr="00054570">
        <w:t xml:space="preserve"> cohort (median PFS: 10.1 vs 5.4 months; HR: 0.51; p&lt;0.001).</w:t>
      </w:r>
      <w:r>
        <w:fldChar w:fldCharType="begin"/>
      </w:r>
      <w:r w:rsidR="00CA6345">
        <w:instrText xml:space="preserve"> ADDIN ZOTERO_ITEM CSL_CITATION {"citationID":"2xESUf7Z","properties":{"formattedCitation":"\\super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054570">
        <w:t xml:space="preserve"> </w:t>
      </w:r>
      <w:r w:rsidR="000B148D">
        <w:t xml:space="preserve">The </w:t>
      </w:r>
      <w:r w:rsidRPr="00054570">
        <w:t xml:space="preserve">findings of the primary endpoint were </w:t>
      </w:r>
      <w:r w:rsidR="00294FDC" w:rsidRPr="00294FDC">
        <w:rPr>
          <w:color w:val="000000"/>
          <w:highlight w:val="black"/>
        </w:rPr>
        <w:t>xxxxxxxxxxxxxxxxxxxxxxxxxxxxxxxxxx</w:t>
      </w:r>
      <w:r>
        <w:t>.</w:t>
      </w:r>
      <w:r>
        <w:fldChar w:fldCharType="begin"/>
      </w:r>
      <w:r w:rsidR="00CA6345">
        <w:instrText xml:space="preserve"> ADDIN ZOTERO_ITEM CSL_CITATION {"citationID":"h3YBgJBI","properties":{"formattedCitation":"\\super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fldChar w:fldCharType="separate"/>
      </w:r>
      <w:r w:rsidR="00FD57F4" w:rsidRPr="00FD57F4">
        <w:rPr>
          <w:rFonts w:cs="Arial"/>
          <w:szCs w:val="24"/>
          <w:vertAlign w:val="superscript"/>
        </w:rPr>
        <w:t>7</w:t>
      </w:r>
      <w:r>
        <w:fldChar w:fldCharType="end"/>
      </w:r>
      <w:r w:rsidRPr="001304A0">
        <w:t xml:space="preserve"> </w:t>
      </w:r>
      <w:r w:rsidRPr="00054570">
        <w:t>T</w:t>
      </w:r>
      <w:r w:rsidRPr="00054570">
        <w:noBreakHyphen/>
        <w:t xml:space="preserve">DXd was also associated with statistically significant improvements over TPC </w:t>
      </w:r>
      <w:r>
        <w:t>for all</w:t>
      </w:r>
      <w:r w:rsidRPr="00054570">
        <w:t xml:space="preserve"> secondary </w:t>
      </w:r>
      <w:r w:rsidR="000B148D">
        <w:t xml:space="preserve">efficacy </w:t>
      </w:r>
      <w:r w:rsidRPr="00054570">
        <w:t>endpoints</w:t>
      </w:r>
      <w:r>
        <w:t xml:space="preserve">: </w:t>
      </w:r>
      <w:r w:rsidRPr="00054570">
        <w:t xml:space="preserve">PFS by BICR in the </w:t>
      </w:r>
      <w:r w:rsidRPr="00054570">
        <w:lastRenderedPageBreak/>
        <w:t>FAS (</w:t>
      </w:r>
      <w:r>
        <w:t>median PFS: 9.9 months vs. 5.1 months; HR: 0.50; p&lt;0.001)</w:t>
      </w:r>
      <w:r w:rsidRPr="00054570">
        <w:t>, OS in the HR</w:t>
      </w:r>
      <w:r w:rsidR="003471D7">
        <w:t>-positive</w:t>
      </w:r>
      <w:r w:rsidRPr="00054570">
        <w:t xml:space="preserve"> cohort </w:t>
      </w:r>
      <w:r>
        <w:t xml:space="preserve">(median OS: 23.9 months vs. 17.5 months; HR: 0.64; p=0.003) </w:t>
      </w:r>
      <w:r w:rsidRPr="00054570">
        <w:t xml:space="preserve">and OS in the FAS </w:t>
      </w:r>
      <w:r>
        <w:t>(median OS: 23.4 months vs.16.8 months; HR: 0.64; p=0.001).</w:t>
      </w:r>
      <w:r>
        <w:fldChar w:fldCharType="begin"/>
      </w:r>
      <w:r w:rsidR="00CA6345">
        <w:instrText xml:space="preserve"> ADDIN ZOTERO_ITEM CSL_CITATION {"citationID":"a4jrTgWB","properties":{"formattedCitation":"\\super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t xml:space="preserve"> </w:t>
      </w:r>
      <w:r w:rsidRPr="00530CFF">
        <w:t xml:space="preserve">Likewise, T-DXd was associated with improved PFS and OS outcomes vs. TPC in </w:t>
      </w:r>
      <w:r w:rsidR="009E67E9">
        <w:t>an exploratory analysis of</w:t>
      </w:r>
      <w:r w:rsidRPr="00530CFF">
        <w:t xml:space="preserve"> the HR-negative cohort, with statistically significantly longer PFS (median PFS by BICR: 8.5 vs. 2.9 months; HR: 0.46; p=</w:t>
      </w:r>
      <w:r>
        <w:t>0.0135</w:t>
      </w:r>
      <w:r w:rsidRPr="00530CFF">
        <w:t>) and numerically longer OS (median OS: 18.2 vs. 8.3 months; HR: 0.48</w:t>
      </w:r>
      <w:r>
        <w:t>; p=0.1732</w:t>
      </w:r>
      <w:r w:rsidRPr="00530CFF">
        <w:t>).</w:t>
      </w:r>
      <w:r>
        <w:fldChar w:fldCharType="begin"/>
      </w:r>
      <w:r w:rsidR="00CA6345">
        <w:instrText xml:space="preserve"> ADDIN ZOTERO_ITEM CSL_CITATION {"citationID":"ce6nhRiv","properties":{"formattedCitation":"\\super 6,7\\nosupersub{}","plainCitation":"6,7","noteIndex":0},"citationItems":[{"id":65944,"uris":["http://zotero.org/groups/4797619/items/WBVSVVF7"],"itemData":{"id":65944,"type":"document","title":"Clinical Study Report for DS8201-A-U303. Data cut-off date: 11 Jan 2022. Data on File.","author":[{"family":"Daiichi Sankyo Inc.","given":""}],"issued":{"date-parts":[["2022"]]}}},{"id":66153,"uris":["http://zotero.org/groups/4797619/items/DIMCLQBB"],"itemData":{"id":66153,"type":"article-journal","container-title":"New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6,7</w:t>
      </w:r>
      <w:r>
        <w:fldChar w:fldCharType="end"/>
      </w:r>
      <w:r w:rsidRPr="00054570">
        <w:t xml:space="preserve"> </w:t>
      </w:r>
      <w:r w:rsidR="004E00B6">
        <w:t>T</w:t>
      </w:r>
      <w:r w:rsidR="00A718A9">
        <w:t xml:space="preserve">ogether, </w:t>
      </w:r>
      <w:r w:rsidR="002853BC">
        <w:t>t</w:t>
      </w:r>
      <w:r w:rsidR="004E00B6">
        <w:t>hese r</w:t>
      </w:r>
      <w:r>
        <w:t xml:space="preserve">esults demonstrate </w:t>
      </w:r>
      <w:r w:rsidR="00FB7939">
        <w:t xml:space="preserve">consistent and </w:t>
      </w:r>
      <w:r w:rsidR="00ED4113">
        <w:t xml:space="preserve">clinically </w:t>
      </w:r>
      <w:r w:rsidR="00F40A81">
        <w:t xml:space="preserve">relevant </w:t>
      </w:r>
      <w:r w:rsidR="002A3680">
        <w:t>efficacy</w:t>
      </w:r>
      <w:r>
        <w:t xml:space="preserve"> across </w:t>
      </w:r>
      <w:r w:rsidR="005D1FF5">
        <w:t xml:space="preserve">HR-status </w:t>
      </w:r>
      <w:r>
        <w:t xml:space="preserve">subgroups. </w:t>
      </w:r>
    </w:p>
    <w:p w14:paraId="4507DECF" w14:textId="2471C76B" w:rsidR="000B148D" w:rsidRDefault="000B148D" w:rsidP="000B148D">
      <w:pPr>
        <w:pStyle w:val="Body"/>
      </w:pPr>
      <w:r>
        <w:t xml:space="preserve">The efficacy of T-DXd was </w:t>
      </w:r>
      <w:r w:rsidR="003471D7">
        <w:t>confirmed</w:t>
      </w:r>
      <w:r>
        <w:t xml:space="preserve"> across multiple clinically meaningful endpoints, including all those listed </w:t>
      </w:r>
      <w:r w:rsidRPr="00054570">
        <w:t>in the final scope</w:t>
      </w:r>
      <w:r>
        <w:t xml:space="preserve">, </w:t>
      </w:r>
      <w:r w:rsidRPr="00054570">
        <w:t>cover</w:t>
      </w:r>
      <w:r>
        <w:t>ing</w:t>
      </w:r>
      <w:r w:rsidRPr="00054570">
        <w:t xml:space="preserve"> the most important outcomes in oncology.</w:t>
      </w:r>
      <w:r w:rsidRPr="00054570">
        <w:fldChar w:fldCharType="begin"/>
      </w:r>
      <w:r w:rsidR="00CA6345">
        <w:instrText xml:space="preserve"> ADDIN ZOTERO_ITEM CSL_CITATION {"citationID":"FZJREk8V","properties":{"formattedCitation":"\\super 1,7\\nosupersub{}","plainCitation":"1,7","noteIndex":0},"citationItems":[{"id":65944,"uris":["http://zotero.org/groups/4797619/items/WBVSVVF7"],"itemData":{"id":65944,"type":"document","title":"Clinical Study Report for DS8201-A-U303. Data cut-off date: 11 Jan 2022. Data on File.","author":[{"family":"Daiichi Sankyo Inc.","given":""}],"issued":{"date-parts":[["2022"]]}}},{"id":66383,"uris":["http://zotero.org/groups/4797619/items/Y75R2AJY"],"itemData":{"id":66383,"type":"webpage","language":"eng","note":"publisher: NICE","title":"Final Scope. Trastuzumab deruxtecan for treating HER2-low unresectable or metastatic breast cancer after chemotherapy","URL":"https://www.nice.org.uk/guidance/gid-ta10813/documents/final-scope","author":[{"family":"NICE","given":""}],"accessed":{"date-parts":[["2022",11,29]]},"issued":{"date-parts":[["2023",1,6]]}}}],"schema":"https://github.com/citation-style-language/schema/raw/master/csl-citation.json"} </w:instrText>
      </w:r>
      <w:r w:rsidRPr="00054570">
        <w:fldChar w:fldCharType="separate"/>
      </w:r>
      <w:r w:rsidR="00FD57F4" w:rsidRPr="00FD57F4">
        <w:rPr>
          <w:rFonts w:cs="Arial"/>
          <w:szCs w:val="24"/>
          <w:vertAlign w:val="superscript"/>
        </w:rPr>
        <w:t>1,7</w:t>
      </w:r>
      <w:r w:rsidRPr="00054570">
        <w:fldChar w:fldCharType="end"/>
      </w:r>
      <w:r w:rsidRPr="00054570">
        <w:t xml:space="preserve"> </w:t>
      </w:r>
      <w:r>
        <w:t>In the FAS, confirmed ORR by BICR was achieved in more than three times as many patients in the T-DXd arm compared with TPC (52.3% vs. 16.3%, respectively; p</w:t>
      </w:r>
      <w:r w:rsidRPr="00054570">
        <w:rPr>
          <w:rFonts w:eastAsia="Times New Roman" w:cs="Arial"/>
        </w:rPr>
        <w:t>&lt;0.0001</w:t>
      </w:r>
      <w:r>
        <w:t>).</w:t>
      </w:r>
      <w:r>
        <w:fldChar w:fldCharType="begin"/>
      </w:r>
      <w:r w:rsidR="00CA6345">
        <w:instrText xml:space="preserve"> ADDIN ZOTERO_ITEM CSL_CITATION {"citationID":"xRnPKksb","properties":{"formattedCitation":"\\super 6,7\\nosupersub{}","plainCitation":"6,7","noteIndex":0},"citationItems":[{"id":65944,"uris":["http://zotero.org/groups/4797619/items/WBVSVVF7"],"itemData":{"id":65944,"type":"document","title":"Clinical Study Report for DS8201-A-U303. Data cut-off date: 11 Jan 2022. Data on File.","author":[{"family":"Daiichi Sankyo Inc.","given":""}],"issued":{"date-parts":[["2022"]]}}},{"id":66153,"uris":["http://zotero.org/groups/4797619/items/DIMCLQBB"],"itemData":{"id":66153,"type":"article-journal","container-title":"New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6,7</w:t>
      </w:r>
      <w:r>
        <w:fldChar w:fldCharType="end"/>
      </w:r>
      <w:r>
        <w:t xml:space="preserve"> The CBR associated with T-DXd was more than twice that of TPC (</w:t>
      </w:r>
      <w:r w:rsidRPr="00A30416">
        <w:t xml:space="preserve">70.2% </w:t>
      </w:r>
      <w:r>
        <w:t xml:space="preserve">vs. </w:t>
      </w:r>
      <w:r w:rsidRPr="00A30416">
        <w:t>33.7%</w:t>
      </w:r>
      <w:r>
        <w:t xml:space="preserve">, </w:t>
      </w:r>
      <w:r w:rsidRPr="00A30416">
        <w:t>respectively</w:t>
      </w:r>
      <w:r>
        <w:t xml:space="preserve"> </w:t>
      </w:r>
      <w:r w:rsidRPr="00A30416">
        <w:t>p&lt;0.0001</w:t>
      </w:r>
      <w:r>
        <w:t>) demonstrating durability of response for at least six months.</w:t>
      </w:r>
      <w:r>
        <w:fldChar w:fldCharType="begin"/>
      </w:r>
      <w:r w:rsidR="00CA6345">
        <w:instrText xml:space="preserve"> ADDIN ZOTERO_ITEM CSL_CITATION {"citationID":"3U7KSadb","properties":{"formattedCitation":"\\super 6,7\\nosupersub{}","plainCitation":"6,7","noteIndex":0},"citationItems":[{"id":65944,"uris":["http://zotero.org/groups/4797619/items/WBVSVVF7"],"itemData":{"id":65944,"type":"document","title":"Clinical Study Report for DS8201-A-U303. Data cut-off date: 11 Jan 2022. Data on File.","author":[{"family":"Daiichi Sankyo Inc.","given":""}],"issued":{"date-parts":[["2022"]]}}},{"id":66153,"uris":["http://zotero.org/groups/4797619/items/DIMCLQBB"],"itemData":{"id":66153,"type":"article-journal","container-title":"New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6,7</w:t>
      </w:r>
      <w:r>
        <w:fldChar w:fldCharType="end"/>
      </w:r>
      <w:r>
        <w:t xml:space="preserve"> Consistent with this, median duration of response was longer </w:t>
      </w:r>
      <w:r w:rsidRPr="00054570">
        <w:t>with T-DXd than TPC (median DoR by BICR: 10.7 vs 6.8 months</w:t>
      </w:r>
      <w:r>
        <w:t>).</w:t>
      </w:r>
      <w:r>
        <w:fldChar w:fldCharType="begin"/>
      </w:r>
      <w:r w:rsidR="00CA6345">
        <w:instrText xml:space="preserve"> ADDIN ZOTERO_ITEM CSL_CITATION {"citationID":"mlqBGIrc","properties":{"formattedCitation":"\\super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t xml:space="preserve"> </w:t>
      </w:r>
    </w:p>
    <w:p w14:paraId="59FB9406" w14:textId="486839AF" w:rsidR="000B148D" w:rsidRDefault="000B148D" w:rsidP="000B148D">
      <w:pPr>
        <w:pStyle w:val="Body"/>
      </w:pPr>
      <w:r w:rsidRPr="00054570">
        <w:t>Subgroup analyses of PFS by BICR confirm that T</w:t>
      </w:r>
      <w:r w:rsidRPr="00054570">
        <w:noBreakHyphen/>
        <w:t>DXd offers a statistically significant clinical benefit compared with TPC across pre-specified</w:t>
      </w:r>
      <w:r>
        <w:t xml:space="preserve"> prognostic and demographic</w:t>
      </w:r>
      <w:r w:rsidRPr="00054570">
        <w:t xml:space="preserve"> subgroups, including </w:t>
      </w:r>
      <w:r>
        <w:t>hormone receptor</w:t>
      </w:r>
      <w:r w:rsidRPr="00054570">
        <w:t xml:space="preserve"> status, number of prior lines of chemotherapy in the metastatic setting, prior </w:t>
      </w:r>
      <w:r>
        <w:t xml:space="preserve">treatment with </w:t>
      </w:r>
      <w:r w:rsidRPr="00054570">
        <w:t>CDK4/6 inhibitors</w:t>
      </w:r>
      <w:r>
        <w:t xml:space="preserve">, </w:t>
      </w:r>
      <w:r w:rsidR="00FF48E7">
        <w:t xml:space="preserve">ECOG performance status, </w:t>
      </w:r>
      <w:r>
        <w:t>baseline visceral disease, and baseline brain metastases</w:t>
      </w:r>
      <w:r w:rsidRPr="00054570">
        <w:t>.</w:t>
      </w:r>
      <w:r>
        <w:fldChar w:fldCharType="begin"/>
      </w:r>
      <w:r w:rsidR="00CA6345">
        <w:instrText xml:space="preserve"> ADDIN ZOTERO_ITEM CSL_CITATION {"citationID":"lMLUZLJz","properties":{"formattedCitation":"\\super 6,7\\nosupersub{}","plainCitation":"6,7","noteIndex":0},"citationItems":[{"id":65944,"uris":["http://zotero.org/groups/4797619/items/WBVSVVF7"],"itemData":{"id":65944,"type":"document","title":"Clinical Study Report for DS8201-A-U303. Data cut-off date: 11 Jan 2022. Data on File.","author":[{"family":"Daiichi Sankyo Inc.","given":""}],"issued":{"date-parts":[["2022"]]}}},{"id":66153,"uris":["http://zotero.org/groups/4797619/items/DIMCLQBB"],"itemData":{"id":66153,"type":"article-journal","container-title":"New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6,7</w:t>
      </w:r>
      <w:r>
        <w:fldChar w:fldCharType="end"/>
      </w:r>
      <w:r w:rsidRPr="00054570">
        <w:t xml:space="preserve"> The magnitude of benefit </w:t>
      </w:r>
      <w:r>
        <w:t xml:space="preserve">was similar </w:t>
      </w:r>
      <w:r w:rsidRPr="00054570">
        <w:t xml:space="preserve">across subgroups </w:t>
      </w:r>
      <w:r>
        <w:t>and compared with the FAS, demonstrating</w:t>
      </w:r>
      <w:r w:rsidRPr="00054570">
        <w:t xml:space="preserve"> consistency </w:t>
      </w:r>
      <w:r>
        <w:t>in</w:t>
      </w:r>
      <w:r w:rsidRPr="00054570">
        <w:t xml:space="preserve"> </w:t>
      </w:r>
      <w:r>
        <w:t xml:space="preserve">treatment </w:t>
      </w:r>
      <w:r w:rsidRPr="00054570">
        <w:t>effect.</w:t>
      </w:r>
      <w:r w:rsidRPr="00054570">
        <w:fldChar w:fldCharType="begin"/>
      </w:r>
      <w:r w:rsidR="00CA6345">
        <w:instrText xml:space="preserve"> ADDIN ZOTERO_ITEM CSL_CITATION {"citationID":"epFcoG11","properties":{"formattedCitation":"\\super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r w:rsidRPr="00054570">
        <w:t xml:space="preserve"> </w:t>
      </w:r>
    </w:p>
    <w:p w14:paraId="236A8871" w14:textId="0B8F437F" w:rsidR="000B148D" w:rsidRDefault="00625A8A" w:rsidP="000B148D">
      <w:pPr>
        <w:pStyle w:val="Body"/>
      </w:pPr>
      <w:r>
        <w:t>Health-related quality-of-life</w:t>
      </w:r>
      <w:r w:rsidR="000B148D" w:rsidRPr="00054570">
        <w:t xml:space="preserve"> of patients </w:t>
      </w:r>
      <w:r w:rsidR="00294FDC" w:rsidRPr="00294FDC">
        <w:rPr>
          <w:color w:val="000000"/>
          <w:highlight w:val="black"/>
        </w:rPr>
        <w:t>xxxxxxxxxxxxxxxxxxxxxxxxxxx</w:t>
      </w:r>
      <w:r w:rsidR="000B148D">
        <w:t xml:space="preserve"> with T-DXd across a range of generic (EQ-5D-5L) and cancer-specific (</w:t>
      </w:r>
      <w:r w:rsidR="000B148D" w:rsidRPr="00AA6742">
        <w:t xml:space="preserve">EORTC QLQ-C30 </w:t>
      </w:r>
      <w:r w:rsidR="000B148D">
        <w:t xml:space="preserve">and </w:t>
      </w:r>
      <w:r w:rsidR="000B148D" w:rsidRPr="00054570">
        <w:t>EORTC QLQ-</w:t>
      </w:r>
      <w:r w:rsidR="000B148D">
        <w:t>BR45) PRO instruments with longer TTDD across almost all measures and scales compared with TPC.</w:t>
      </w:r>
      <w:r w:rsidR="000B148D">
        <w:fldChar w:fldCharType="begin"/>
      </w:r>
      <w:r w:rsidR="00CA6345">
        <w:instrText xml:space="preserve"> ADDIN ZOTERO_ITEM CSL_CITATION {"citationID":"Kc15w47n","properties":{"formattedCitation":"\\super 7,151\\nosupersub{}","plainCitation":"7,151","noteIndex":0},"citationItems":[{"id":65944,"uris":["http://zotero.org/groups/4797619/items/WBVSVVF7"],"itemData":{"id":65944,"type":"document","title":"Clinical Study Report for DS8201-A-U303. Data cut-off date: 11 Jan 2022. Data on File.","author":[{"family":"Daiichi Sankyo Inc.","given":""}],"issued":{"date-parts":[["2022"]]}}},{"id":66139,"uris":["http://zotero.org/groups/4797619/items/GE98BVW6"],"itemData":{"id":66139,"type":"document","title":"Patient-Reported Outcomes (PROs) From DESTINY-Breast04  a Randomized Phase 3 Study of Trastuzumab Deruxtecan (T-DXd) vs Treatment of Physician’s Choice (TPC) in Patients With HER2-Low  Metastatic Breast Cancer. Presented at ESMO Congress, September 2022.","author":[{"family":"Ueno","given":"Shanu"},{"family":"Jacot","given":"William"},{"family":"Yamashita","given":"Toshinari"},{"family":"Sohn","given":"Joohyuk"},{"family":"Vidal","given":"Maria"},{"family":"Tokunaga","given":"Eriko"},{"family":"Tsurutani","given":"Junji"},{"family":"Lee","given":"Keun Seok"},{"family":"Niikura","given":"Naoki"},{"family":"Park","given":"Yeon Hee"},{"family":"Wang","given":"Xiaojia"},{"family":"Xu","given":"Binghe"},{"family":"Gambhire","given":"Dhiraj"},{"family":"Yung","given":"Lotus"},{"family":"Meinhardt","given":"Gerold"},{"family":"Wang","given":"Yibin"},{"family":"Harbeck","given":"Nadia"},{"family":"Cameron","given":"David"},{"family":"Modi","given":"Shanu"}],"issued":{"date-parts":[["2022",9,1]]}}}],"schema":"https://github.com/citation-style-language/schema/raw/master/csl-citation.json"} </w:instrText>
      </w:r>
      <w:r w:rsidR="000B148D">
        <w:fldChar w:fldCharType="separate"/>
      </w:r>
      <w:r w:rsidR="00CA6345" w:rsidRPr="00F710CB">
        <w:rPr>
          <w:rFonts w:cs="Arial"/>
          <w:szCs w:val="24"/>
          <w:vertAlign w:val="superscript"/>
        </w:rPr>
        <w:t>7,151</w:t>
      </w:r>
      <w:r w:rsidR="000B148D">
        <w:fldChar w:fldCharType="end"/>
      </w:r>
      <w:r w:rsidR="000B148D">
        <w:t xml:space="preserve"> For EQ-5D-5L VAS, median TTDD was </w:t>
      </w:r>
      <w:r w:rsidR="00294FDC" w:rsidRPr="00294FDC">
        <w:rPr>
          <w:color w:val="000000"/>
          <w:highlight w:val="black"/>
        </w:rPr>
        <w:t>xxxxxx</w:t>
      </w:r>
      <w:r w:rsidR="000B148D">
        <w:t xml:space="preserve"> in the T-DXd arm than the TPC arm (</w:t>
      </w:r>
      <w:r w:rsidR="00294FDC" w:rsidRPr="00294FDC">
        <w:rPr>
          <w:color w:val="000000"/>
          <w:highlight w:val="black"/>
        </w:rPr>
        <w:t>xxxx</w:t>
      </w:r>
      <w:r w:rsidR="005D735C" w:rsidRPr="00F710CB">
        <w:t xml:space="preserve"> </w:t>
      </w:r>
      <w:r w:rsidR="005D735C" w:rsidRPr="003C648C">
        <w:t>(95% CI:</w:t>
      </w:r>
      <w:r w:rsidR="005D735C">
        <w:rPr>
          <w:u w:val="single"/>
        </w:rPr>
        <w:t xml:space="preserve"> </w:t>
      </w:r>
      <w:r w:rsidR="00294FDC" w:rsidRPr="00294FDC">
        <w:rPr>
          <w:color w:val="000000"/>
          <w:highlight w:val="black"/>
        </w:rPr>
        <w:t>xxxxxxxxx</w:t>
      </w:r>
      <w:r w:rsidR="005D735C" w:rsidRPr="003C648C">
        <w:t xml:space="preserve">) </w:t>
      </w:r>
      <w:r w:rsidR="005D735C" w:rsidRPr="00054570">
        <w:t xml:space="preserve">vs. </w:t>
      </w:r>
      <w:r w:rsidR="00294FDC" w:rsidRPr="00294FDC">
        <w:rPr>
          <w:color w:val="000000"/>
          <w:highlight w:val="black"/>
        </w:rPr>
        <w:t>xxx</w:t>
      </w:r>
      <w:r w:rsidR="005D735C" w:rsidRPr="00054570">
        <w:t xml:space="preserve"> months</w:t>
      </w:r>
      <w:r w:rsidR="005D735C">
        <w:t xml:space="preserve"> (95% CI: </w:t>
      </w:r>
      <w:r w:rsidR="00294FDC" w:rsidRPr="00294FDC">
        <w:rPr>
          <w:color w:val="000000"/>
          <w:highlight w:val="black"/>
        </w:rPr>
        <w:t>xxxxxxxxx</w:t>
      </w:r>
      <w:r w:rsidR="005D735C">
        <w:t>)</w:t>
      </w:r>
      <w:r w:rsidR="005D735C" w:rsidRPr="00054570">
        <w:t xml:space="preserve">; HR: </w:t>
      </w:r>
      <w:r w:rsidR="00294FDC" w:rsidRPr="00294FDC">
        <w:rPr>
          <w:color w:val="000000"/>
          <w:highlight w:val="black"/>
        </w:rPr>
        <w:t>xxxx</w:t>
      </w:r>
      <w:r w:rsidR="005D735C" w:rsidRPr="00054570">
        <w:t xml:space="preserve">; 95% CI: </w:t>
      </w:r>
      <w:r w:rsidR="00294FDC" w:rsidRPr="00294FDC">
        <w:rPr>
          <w:color w:val="000000"/>
          <w:highlight w:val="black"/>
        </w:rPr>
        <w:t>xxxxxxxxxx</w:t>
      </w:r>
      <w:r w:rsidR="005D735C" w:rsidRPr="00054570">
        <w:t>; p=</w:t>
      </w:r>
      <w:r w:rsidR="00294FDC" w:rsidRPr="00294FDC">
        <w:rPr>
          <w:color w:val="000000"/>
          <w:highlight w:val="black"/>
        </w:rPr>
        <w:t>xxxxxx</w:t>
      </w:r>
      <w:r w:rsidR="005D735C">
        <w:rPr>
          <w:u w:val="single"/>
        </w:rPr>
        <w:t>; FAS</w:t>
      </w:r>
      <w:r w:rsidR="005D735C">
        <w:t>).</w:t>
      </w:r>
      <w:r w:rsidR="000B148D">
        <w:fldChar w:fldCharType="begin"/>
      </w:r>
      <w:r w:rsidR="00CA6345">
        <w:instrText xml:space="preserve"> ADDIN ZOTERO_ITEM CSL_CITATION {"citationID":"o0hY3ifZ","properties":{"formattedCitation":"\\super 152\\nosupersub{}","plainCitation":"152","noteIndex":0},"citationItems":[{"id":66410,"uris":["http://zotero.org/groups/4797619/items/RKV2VG2A"],"itemData":{"id":66410,"type":"document","title":"FAS PRO tables and figures. Data on File.","author":[{"family":"Daiichi Sankyo Inc.","given":""}]}}],"schema":"https://github.com/citation-style-language/schema/raw/master/csl-citation.json"} </w:instrText>
      </w:r>
      <w:r w:rsidR="000B148D">
        <w:fldChar w:fldCharType="separate"/>
      </w:r>
      <w:r w:rsidR="00CA6345" w:rsidRPr="00F710CB">
        <w:rPr>
          <w:rFonts w:cs="Arial"/>
          <w:szCs w:val="24"/>
          <w:vertAlign w:val="superscript"/>
        </w:rPr>
        <w:t>152</w:t>
      </w:r>
      <w:r w:rsidR="000B148D">
        <w:fldChar w:fldCharType="end"/>
      </w:r>
      <w:r w:rsidR="000B148D">
        <w:t xml:space="preserve"> Similarly, for EORTC QLQ-C30 GHS, the median TTDD was </w:t>
      </w:r>
      <w:r w:rsidR="00294FDC" w:rsidRPr="00294FDC">
        <w:rPr>
          <w:color w:val="000000"/>
          <w:highlight w:val="black"/>
        </w:rPr>
        <w:t>xxxxxx</w:t>
      </w:r>
      <w:r w:rsidR="000B148D">
        <w:t xml:space="preserve"> with T-DXd than TPC (</w:t>
      </w:r>
      <w:r w:rsidR="00294FDC" w:rsidRPr="00294FDC">
        <w:rPr>
          <w:color w:val="000000"/>
          <w:highlight w:val="black"/>
        </w:rPr>
        <w:t>xxxx</w:t>
      </w:r>
      <w:r w:rsidR="005D735C" w:rsidRPr="00054570">
        <w:t xml:space="preserve"> </w:t>
      </w:r>
      <w:r w:rsidR="005D735C">
        <w:t xml:space="preserve">(95% CI: </w:t>
      </w:r>
      <w:r w:rsidR="00294FDC" w:rsidRPr="00294FDC">
        <w:rPr>
          <w:color w:val="000000"/>
          <w:highlight w:val="black"/>
        </w:rPr>
        <w:t>xxxxxxxxx</w:t>
      </w:r>
      <w:r w:rsidR="005D735C">
        <w:t xml:space="preserve">) </w:t>
      </w:r>
      <w:r w:rsidR="005D735C" w:rsidRPr="00054570">
        <w:t xml:space="preserve">vs. </w:t>
      </w:r>
      <w:r w:rsidR="00294FDC" w:rsidRPr="00294FDC">
        <w:rPr>
          <w:color w:val="000000"/>
          <w:highlight w:val="black"/>
        </w:rPr>
        <w:t>xxx</w:t>
      </w:r>
      <w:r w:rsidR="005D735C" w:rsidRPr="00E16168">
        <w:t xml:space="preserve"> </w:t>
      </w:r>
      <w:r w:rsidR="005D735C" w:rsidRPr="00054570">
        <w:t>months</w:t>
      </w:r>
      <w:r w:rsidR="005D735C">
        <w:t xml:space="preserve"> (95% CI: </w:t>
      </w:r>
      <w:r w:rsidR="00294FDC" w:rsidRPr="00294FDC">
        <w:rPr>
          <w:color w:val="000000"/>
          <w:highlight w:val="black"/>
        </w:rPr>
        <w:t>xxxxxxxx</w:t>
      </w:r>
      <w:r w:rsidR="005D735C">
        <w:t>)</w:t>
      </w:r>
      <w:r w:rsidR="005D735C" w:rsidRPr="00054570">
        <w:t xml:space="preserve">; HR: </w:t>
      </w:r>
      <w:r w:rsidR="00294FDC" w:rsidRPr="00294FDC">
        <w:rPr>
          <w:color w:val="000000"/>
          <w:highlight w:val="black"/>
        </w:rPr>
        <w:t>xxxx</w:t>
      </w:r>
      <w:r w:rsidR="005D735C" w:rsidRPr="00054570">
        <w:t xml:space="preserve">; 95% CI: </w:t>
      </w:r>
      <w:r w:rsidR="00294FDC" w:rsidRPr="00294FDC">
        <w:rPr>
          <w:color w:val="000000"/>
          <w:highlight w:val="black"/>
        </w:rPr>
        <w:t>xxxxxxxxxx</w:t>
      </w:r>
      <w:r w:rsidR="005D735C" w:rsidRPr="00054570">
        <w:t>; p=</w:t>
      </w:r>
      <w:r w:rsidR="00294FDC" w:rsidRPr="00294FDC">
        <w:rPr>
          <w:color w:val="000000"/>
          <w:highlight w:val="black"/>
        </w:rPr>
        <w:t>xxxxxx</w:t>
      </w:r>
      <w:r w:rsidR="005D735C" w:rsidRPr="00F710CB">
        <w:t>; FAS</w:t>
      </w:r>
      <w:r w:rsidR="000B148D">
        <w:t>).</w:t>
      </w:r>
      <w:r w:rsidR="000B148D">
        <w:fldChar w:fldCharType="begin"/>
      </w:r>
      <w:r w:rsidR="00CA6345">
        <w:instrText xml:space="preserve"> ADDIN ZOTERO_ITEM CSL_CITATION {"citationID":"mvyuqHWP","properties":{"formattedCitation":"\\super 152\\nosupersub{}","plainCitation":"152","noteIndex":0},"citationItems":[{"id":66410,"uris":["http://zotero.org/groups/4797619/items/RKV2VG2A"],"itemData":{"id":66410,"type":"document","title":"FAS PRO tables and figures. Data on File.","author":[{"family":"Daiichi Sankyo Inc.","given":""}]}}],"schema":"https://github.com/citation-style-language/schema/raw/master/csl-citation.json"} </w:instrText>
      </w:r>
      <w:r w:rsidR="000B148D">
        <w:fldChar w:fldCharType="separate"/>
      </w:r>
      <w:r w:rsidR="00CA6345" w:rsidRPr="00F710CB">
        <w:rPr>
          <w:rFonts w:cs="Arial"/>
          <w:szCs w:val="24"/>
          <w:vertAlign w:val="superscript"/>
        </w:rPr>
        <w:t>152</w:t>
      </w:r>
      <w:r w:rsidR="000B148D">
        <w:fldChar w:fldCharType="end"/>
      </w:r>
    </w:p>
    <w:p w14:paraId="49011DDC" w14:textId="01DE3D03" w:rsidR="000B148D" w:rsidRDefault="00D100E9" w:rsidP="000B148D">
      <w:pPr>
        <w:pStyle w:val="Body"/>
      </w:pPr>
      <w:r w:rsidRPr="00054570">
        <w:t>The safety of T</w:t>
      </w:r>
      <w:r w:rsidRPr="00054570">
        <w:noBreakHyphen/>
        <w:t xml:space="preserve">DXd in the DESTINY-Breast04 study was generally manageable and tolerable. </w:t>
      </w:r>
      <w:r w:rsidR="006D071E">
        <w:t>A s</w:t>
      </w:r>
      <w:r w:rsidR="000B148D">
        <w:t xml:space="preserve">imilar proportion of patients experienced </w:t>
      </w:r>
      <w:r w:rsidR="006A34C9">
        <w:t>TE</w:t>
      </w:r>
      <w:r w:rsidR="000B148D">
        <w:t>AEs in both the T-DXd (99.5%) and TPC (</w:t>
      </w:r>
      <w:r w:rsidR="000B148D" w:rsidRPr="007A2D66">
        <w:t>98.3</w:t>
      </w:r>
      <w:r w:rsidR="000B148D">
        <w:t>%)</w:t>
      </w:r>
      <w:r w:rsidR="00307AD3">
        <w:t xml:space="preserve"> </w:t>
      </w:r>
      <w:r w:rsidR="00E55F5A">
        <w:t xml:space="preserve">arms </w:t>
      </w:r>
      <w:r w:rsidR="001574CD">
        <w:t>with</w:t>
      </w:r>
      <w:r w:rsidR="00307AD3">
        <w:t xml:space="preserve"> </w:t>
      </w:r>
      <w:r w:rsidR="00070AE5">
        <w:t>m</w:t>
      </w:r>
      <w:r w:rsidR="00D70D92" w:rsidRPr="00640D44">
        <w:t xml:space="preserve">ost </w:t>
      </w:r>
      <w:r w:rsidR="00D70D92">
        <w:t xml:space="preserve">of </w:t>
      </w:r>
      <w:r w:rsidR="00D70D92" w:rsidRPr="00640D44">
        <w:t>Grade 1 or 2</w:t>
      </w:r>
      <w:r w:rsidR="00D70D92">
        <w:t xml:space="preserve"> severity</w:t>
      </w:r>
      <w:r w:rsidR="00D70D92" w:rsidRPr="00640D44">
        <w:t xml:space="preserve"> and manageable </w:t>
      </w:r>
      <w:r w:rsidR="00D70D92">
        <w:t>through</w:t>
      </w:r>
      <w:r w:rsidR="00D70D92" w:rsidRPr="00640D44">
        <w:t xml:space="preserve"> routine </w:t>
      </w:r>
      <w:r w:rsidR="00D70D92">
        <w:t>clinical practice</w:t>
      </w:r>
      <w:r w:rsidR="00D70D92" w:rsidRPr="00054570">
        <w:t>.</w:t>
      </w:r>
      <w:r w:rsidR="00D70D92" w:rsidRPr="00054570">
        <w:fldChar w:fldCharType="begin"/>
      </w:r>
      <w:r w:rsidR="00CA6345">
        <w:instrText xml:space="preserve"> ADDIN ZOTERO_ITEM CSL_CITATION {"citationID":"xB2NCE2a","properties":{"formattedCitation":"\\super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00D70D92" w:rsidRPr="00054570">
        <w:fldChar w:fldCharType="separate"/>
      </w:r>
      <w:r w:rsidR="00FD57F4" w:rsidRPr="00FD57F4">
        <w:rPr>
          <w:rFonts w:cs="Arial"/>
          <w:szCs w:val="24"/>
          <w:vertAlign w:val="superscript"/>
        </w:rPr>
        <w:t>7</w:t>
      </w:r>
      <w:r w:rsidR="00D70D92" w:rsidRPr="00054570">
        <w:fldChar w:fldCharType="end"/>
      </w:r>
      <w:r w:rsidR="000B148D">
        <w:t xml:space="preserve"> </w:t>
      </w:r>
      <w:r w:rsidR="006D071E">
        <w:t>A</w:t>
      </w:r>
      <w:r w:rsidR="000B148D">
        <w:t xml:space="preserve"> lower proportion </w:t>
      </w:r>
      <w:r w:rsidR="007C2831">
        <w:t xml:space="preserve">of patients </w:t>
      </w:r>
      <w:r w:rsidR="000B148D">
        <w:t xml:space="preserve">in the T-DXd arm experienced Grade </w:t>
      </w:r>
      <w:r w:rsidR="000B148D" w:rsidRPr="00054570">
        <w:rPr>
          <w:rFonts w:cs="Arial"/>
        </w:rPr>
        <w:t>≥</w:t>
      </w:r>
      <w:r w:rsidR="000B148D" w:rsidRPr="00054570">
        <w:t>3</w:t>
      </w:r>
      <w:r w:rsidR="000B148D">
        <w:t xml:space="preserve"> TEAEs (</w:t>
      </w:r>
      <w:r w:rsidR="000B148D" w:rsidRPr="001B0DDF">
        <w:t>52.6</w:t>
      </w:r>
      <w:r w:rsidR="000B148D">
        <w:t>% vs. 67.4%).</w:t>
      </w:r>
      <w:r w:rsidR="000B148D">
        <w:fldChar w:fldCharType="begin"/>
      </w:r>
      <w:r w:rsidR="00CA6345">
        <w:instrText xml:space="preserve"> ADDIN ZOTERO_ITEM CSL_CITATION {"citationID":"E2XwC8G9","properties":{"formattedCitation":"\\super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000B148D">
        <w:fldChar w:fldCharType="separate"/>
      </w:r>
      <w:r w:rsidR="00FD57F4" w:rsidRPr="00FD57F4">
        <w:rPr>
          <w:rFonts w:cs="Arial"/>
          <w:szCs w:val="24"/>
          <w:vertAlign w:val="superscript"/>
        </w:rPr>
        <w:t>6</w:t>
      </w:r>
      <w:r w:rsidR="000B148D">
        <w:fldChar w:fldCharType="end"/>
      </w:r>
      <w:r w:rsidR="000B148D">
        <w:t xml:space="preserve"> </w:t>
      </w:r>
      <w:r w:rsidR="00933BA3">
        <w:t xml:space="preserve">Treatment-emergent AEs </w:t>
      </w:r>
      <w:r w:rsidR="00A8464E">
        <w:t xml:space="preserve">occurred most frequently in the </w:t>
      </w:r>
      <w:r w:rsidR="00A8464E" w:rsidRPr="006C2DE1">
        <w:t xml:space="preserve">first cycle and generally </w:t>
      </w:r>
      <w:r w:rsidR="00294FDC" w:rsidRPr="00294FDC">
        <w:rPr>
          <w:color w:val="000000"/>
          <w:highlight w:val="black"/>
        </w:rPr>
        <w:t>xxxxxxxxxxxxxxxxxxxxxxxxxxxxxxx</w:t>
      </w:r>
      <w:r w:rsidR="00A8464E">
        <w:t>.</w:t>
      </w:r>
      <w:r w:rsidR="00A8464E">
        <w:fldChar w:fldCharType="begin"/>
      </w:r>
      <w:r w:rsidR="00CA6345">
        <w:instrText xml:space="preserve"> ADDIN ZOTERO_ITEM CSL_CITATION {"citationID":"W3uulm65","properties":{"formattedCitation":"\\super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00A8464E">
        <w:fldChar w:fldCharType="separate"/>
      </w:r>
      <w:r w:rsidR="00FD57F4" w:rsidRPr="00FD57F4">
        <w:rPr>
          <w:rFonts w:cs="Arial"/>
          <w:szCs w:val="24"/>
          <w:vertAlign w:val="superscript"/>
        </w:rPr>
        <w:t>7</w:t>
      </w:r>
      <w:r w:rsidR="00A8464E">
        <w:fldChar w:fldCharType="end"/>
      </w:r>
      <w:r w:rsidR="00A8464E">
        <w:t xml:space="preserve"> </w:t>
      </w:r>
      <w:r w:rsidR="00236909" w:rsidRPr="00054570">
        <w:rPr>
          <w:rStyle w:val="normaltextrun"/>
        </w:rPr>
        <w:t>It should</w:t>
      </w:r>
      <w:r w:rsidR="00AB430B">
        <w:rPr>
          <w:rStyle w:val="normaltextrun"/>
        </w:rPr>
        <w:t xml:space="preserve"> also</w:t>
      </w:r>
      <w:r w:rsidR="00236909" w:rsidRPr="00054570">
        <w:rPr>
          <w:rStyle w:val="normaltextrun"/>
        </w:rPr>
        <w:t xml:space="preserve"> be noted that </w:t>
      </w:r>
      <w:r w:rsidR="00236909">
        <w:rPr>
          <w:rStyle w:val="normaltextrun"/>
        </w:rPr>
        <w:t xml:space="preserve">median </w:t>
      </w:r>
      <w:r w:rsidR="00236909" w:rsidRPr="00054570">
        <w:rPr>
          <w:rStyle w:val="normaltextrun"/>
        </w:rPr>
        <w:t xml:space="preserve">treatment duration was considerably longer </w:t>
      </w:r>
      <w:r w:rsidR="00E6184E">
        <w:rPr>
          <w:rStyle w:val="normaltextrun"/>
        </w:rPr>
        <w:t>with</w:t>
      </w:r>
      <w:r w:rsidR="00236909" w:rsidRPr="00054570">
        <w:rPr>
          <w:rStyle w:val="normaltextrun"/>
        </w:rPr>
        <w:t xml:space="preserve"> T-DXd than TPC (8.2 vs 3.5 months)</w:t>
      </w:r>
      <w:r w:rsidR="00236909">
        <w:rPr>
          <w:rStyle w:val="normaltextrun"/>
        </w:rPr>
        <w:t xml:space="preserve">. </w:t>
      </w:r>
      <w:r w:rsidR="000B148D" w:rsidRPr="00054570">
        <w:t>Exposure-adjusted rates were lower for T-DXd than TPC for</w:t>
      </w:r>
      <w:r w:rsidR="00D42A2A">
        <w:t xml:space="preserve"> all parameters including</w:t>
      </w:r>
      <w:r w:rsidR="000B148D" w:rsidRPr="00054570">
        <w:t xml:space="preserve"> TEAEs</w:t>
      </w:r>
      <w:r w:rsidR="000B148D">
        <w:t xml:space="preserve"> (1.30 vs. 2.66)</w:t>
      </w:r>
      <w:r w:rsidR="000B148D" w:rsidRPr="00054570">
        <w:t xml:space="preserve">, Grade </w:t>
      </w:r>
      <w:r w:rsidR="000B148D" w:rsidRPr="00054570">
        <w:rPr>
          <w:rFonts w:cs="Arial"/>
        </w:rPr>
        <w:t>≥</w:t>
      </w:r>
      <w:r w:rsidR="000B148D" w:rsidRPr="00054570">
        <w:t>3 TEAEs</w:t>
      </w:r>
      <w:r w:rsidR="000B148D">
        <w:t xml:space="preserve"> (0.69 vs. 1.82)</w:t>
      </w:r>
      <w:r w:rsidR="000B148D" w:rsidRPr="00054570">
        <w:t xml:space="preserve">, </w:t>
      </w:r>
      <w:r w:rsidR="000B148D">
        <w:t xml:space="preserve">treatment-emergent SAEs (0.36 vs. 0.68), and </w:t>
      </w:r>
      <w:r w:rsidR="000B148D" w:rsidRPr="00054570">
        <w:t>TEAEs related to dose modification</w:t>
      </w:r>
      <w:r w:rsidR="000B148D">
        <w:t xml:space="preserve"> (discontinuation: 0.21 vs. 0.22; reduction: 0.30 vs. 1.04; interruption: 0.50 vs. 1.13)</w:t>
      </w:r>
      <w:r w:rsidR="000B148D" w:rsidRPr="00054570">
        <w:t>.</w:t>
      </w:r>
      <w:r w:rsidR="000B148D">
        <w:fldChar w:fldCharType="begin"/>
      </w:r>
      <w:r w:rsidR="00CA6345">
        <w:instrText xml:space="preserve"> ADDIN ZOTERO_ITEM CSL_CITATION {"citationID":"d06Y1Qkw","properties":{"formattedCitation":"\\super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000B148D">
        <w:fldChar w:fldCharType="separate"/>
      </w:r>
      <w:r w:rsidR="00FD57F4" w:rsidRPr="00FD57F4">
        <w:rPr>
          <w:rFonts w:cs="Arial"/>
          <w:szCs w:val="24"/>
          <w:vertAlign w:val="superscript"/>
        </w:rPr>
        <w:t>6</w:t>
      </w:r>
      <w:r w:rsidR="000B148D">
        <w:fldChar w:fldCharType="end"/>
      </w:r>
      <w:r w:rsidR="000B148D">
        <w:rPr>
          <w:rStyle w:val="CommentReference"/>
        </w:rPr>
        <w:t xml:space="preserve"> </w:t>
      </w:r>
      <w:r w:rsidR="00EB000A">
        <w:t xml:space="preserve">For T-DXd, </w:t>
      </w:r>
      <w:r w:rsidR="00EB000A" w:rsidRPr="00054570">
        <w:rPr>
          <w:rStyle w:val="normaltextrun"/>
        </w:rPr>
        <w:t>AEs of special interest</w:t>
      </w:r>
      <w:r w:rsidR="00EB000A" w:rsidRPr="00054570">
        <w:rPr>
          <w:rStyle w:val="normaltextrun"/>
          <w:b/>
          <w:bCs/>
        </w:rPr>
        <w:t xml:space="preserve"> </w:t>
      </w:r>
      <w:r w:rsidR="00EB000A" w:rsidRPr="00E577F2">
        <w:rPr>
          <w:rStyle w:val="normaltextrun"/>
        </w:rPr>
        <w:t>(</w:t>
      </w:r>
      <w:r w:rsidR="00EB000A" w:rsidRPr="00054570">
        <w:rPr>
          <w:rStyle w:val="normaltextrun"/>
        </w:rPr>
        <w:t>ILD/pneumonitis and LV</w:t>
      </w:r>
      <w:r w:rsidR="000664D8">
        <w:rPr>
          <w:rStyle w:val="normaltextrun"/>
        </w:rPr>
        <w:t xml:space="preserve"> dysfunction</w:t>
      </w:r>
      <w:r w:rsidR="00EB000A" w:rsidRPr="00054570">
        <w:rPr>
          <w:rStyle w:val="normaltextrun"/>
        </w:rPr>
        <w:t xml:space="preserve">) </w:t>
      </w:r>
      <w:r w:rsidR="00EB000A">
        <w:rPr>
          <w:rStyle w:val="normaltextrun"/>
        </w:rPr>
        <w:t>were mostly of</w:t>
      </w:r>
      <w:r w:rsidR="00EB000A" w:rsidRPr="00054570">
        <w:rPr>
          <w:rStyle w:val="normaltextrun"/>
        </w:rPr>
        <w:t xml:space="preserve"> mild or moderate severity</w:t>
      </w:r>
      <w:r w:rsidR="00EB000A">
        <w:rPr>
          <w:rStyle w:val="normaltextrun"/>
        </w:rPr>
        <w:t xml:space="preserve"> </w:t>
      </w:r>
      <w:r w:rsidR="00EB000A" w:rsidRPr="00054570">
        <w:rPr>
          <w:rStyle w:val="normaltextrun"/>
        </w:rPr>
        <w:t>and manage</w:t>
      </w:r>
      <w:r w:rsidR="00EB000A">
        <w:rPr>
          <w:rStyle w:val="normaltextrun"/>
        </w:rPr>
        <w:t>able</w:t>
      </w:r>
      <w:r w:rsidR="00EB000A" w:rsidRPr="00054570">
        <w:rPr>
          <w:rStyle w:val="normaltextrun"/>
        </w:rPr>
        <w:t xml:space="preserve"> through the use of established guidelines</w:t>
      </w:r>
      <w:r w:rsidR="00EB000A" w:rsidRPr="00EB000A">
        <w:rPr>
          <w:rStyle w:val="normaltextrun"/>
        </w:rPr>
        <w:t xml:space="preserve"> </w:t>
      </w:r>
      <w:r w:rsidR="00EB000A" w:rsidRPr="00054570">
        <w:rPr>
          <w:rStyle w:val="normaltextrun"/>
        </w:rPr>
        <w:t>which included monitoring signs and symptoms of ILD and proactively managing events with early intervention.</w:t>
      </w:r>
      <w:r w:rsidR="00B24BD5">
        <w:rPr>
          <w:rStyle w:val="normaltextrun"/>
        </w:rPr>
        <w:fldChar w:fldCharType="begin"/>
      </w:r>
      <w:r w:rsidR="00CA6345">
        <w:rPr>
          <w:rStyle w:val="normaltextrun"/>
        </w:rPr>
        <w:instrText xml:space="preserve"> ADDIN ZOTERO_ITEM CSL_CITATION {"citationID":"zdlAUo9e","properties":{"formattedCitation":"\\super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00B24BD5">
        <w:rPr>
          <w:rStyle w:val="normaltextrun"/>
        </w:rPr>
        <w:fldChar w:fldCharType="separate"/>
      </w:r>
      <w:r w:rsidR="00FD57F4" w:rsidRPr="00FD57F4">
        <w:rPr>
          <w:rFonts w:cs="Arial"/>
          <w:szCs w:val="24"/>
          <w:vertAlign w:val="superscript"/>
        </w:rPr>
        <w:t>7</w:t>
      </w:r>
      <w:r w:rsidR="00B24BD5">
        <w:rPr>
          <w:rStyle w:val="normaltextrun"/>
        </w:rPr>
        <w:fldChar w:fldCharType="end"/>
      </w:r>
      <w:r w:rsidR="00B24BD5">
        <w:rPr>
          <w:rStyle w:val="CommentReference"/>
        </w:rPr>
        <w:t xml:space="preserve"> </w:t>
      </w:r>
      <w:r w:rsidR="000B148D">
        <w:t xml:space="preserve">Overall, the safety of T-DXd in DESTINY-Breast04 was consistent with previous studies of T-DXd in u/mBC, including </w:t>
      </w:r>
      <w:r w:rsidR="000B148D">
        <w:lastRenderedPageBreak/>
        <w:t>DESTINY-Breast01 and DESTINY-Breast03</w:t>
      </w:r>
      <w:r w:rsidR="00CE1BB7">
        <w:t>, with no new AEs of concerned identified in this study</w:t>
      </w:r>
      <w:r w:rsidR="000B148D">
        <w:t>.</w:t>
      </w:r>
      <w:r w:rsidR="000B148D">
        <w:fldChar w:fldCharType="begin"/>
      </w:r>
      <w:r w:rsidR="00CA6345">
        <w:instrText xml:space="preserve"> ADDIN ZOTERO_ITEM CSL_CITATION {"citationID":"ARaUpqIt","properties":{"formattedCitation":"\\super 7, 20,68\\nosupersub{}","plainCitation":"7, 20,68","noteIndex":0},"citationItems":[{"id":65944,"uris":["http://zotero.org/groups/4797619/items/WBVSVVF7"],"itemData":{"id":65944,"type":"document","title":"Clinical Study Report for DS8201-A-U303. Data cut-off date: 11 Jan 2022. Data on File.","author":[{"family":"Daiichi Sankyo Inc.","given":""}],"issued":{"date-parts":[["2022"]]}}},{"id":66397,"uris":["http://zotero.org/groups/4797619/items/ID7JDCSX"],"itemData":{"id":66397,"type":"article-journal","abstract":"BACKGROUND: Trastuzumab emtansine is the current standard treatment for patients with human epidermal growth factor receptor 2 (HER2)-positive metastatic breast cancer whose disease progresses after treatment with a combination of anti-HER2 antibodies and a taxane.\nMETHODS: We conducted a phase 3, multicenter, open-label, randomized trial to compare the efficacy and safety of trastuzumab deruxtecan (a HER2 antibody-drug conjugate) with those of trastuzumab emtansine in patients with HER2-positive metastatic breast cancer previously treated with trastuzumab and a taxane. The primary end point was progression-free survival (as determined by blinded independent central review); secondary end points included overall survival, objective response, and safety.\nRESULTS: Among 524 randomly assigned patients, the percentage of those who were alive without disease progression at 12 months was 75.8% (95% confidence interval [CI], 69.8 to 80.7) with trastuzumab deruxtecan and 34.1% (95% CI, 27.7 to 40.5) with trastuzumab emtansine (hazard ratio for progression or death from any cause, 0.28; 95% CI, 0.22 to 0.37; P&lt;0.001). The percentage of patients who were alive at 12 months was 94.1% (95% CI, 90.3 to 96.4) with trastuzumab deruxtecan and 85.9% (95% CI, 80.9 to 89.7) with trastuzumab emtansine (hazard ratio for death, 0.55; 95% CI, 0.36 to 0.86; prespecified significance boundary not reached). An overall response (a complete or partial response) occurred in 79.7% (95% CI, 74.3 to 84.4) of the patients who received trastuzumab deruxtecan and in 34.2% (95% CI, 28.5 to 40.3) of those who received trastuzumab emtansine. The incidence of drug-related adverse events of any grade was 98.1% with trastuzumab deruxtecan and 86.6% with trastuzumab emtansine, and the incidence of drug-related adverse events of grade 3 or 4 was 45.1% and 39.8%, respectively. Adjudicated drug-related interstitial lung disease or pneumonitis occurred in 10.5% of the patients in the trastuzumab deruxtecan group and in 1.9% of those in the trastuzumab emtansine group; none of these events were of grade 4 or 5.\nCONCLUSIONS: Among patients with HER2-positive metastatic breast cancer previously treated with trastuzumab and a taxane, the risk of disease progression or death was lower among those who received trastuzumab deruxtecan than among those who received trastuzumab emtansine. Treatment with trastuzumab deruxtecan was associated with interstitial lung disease and pneumonitis. (Funded by Daiichi Sankyo and AstraZeneca; DESTINY-Breast03 ClinicalTrials.gov number, NCT03529110.).","container-title":"The New England Journal of Medicine","DOI":"10.1056/NEJMoa2115022","ISSN":"1533-4406","issue":"12","journalAbbreviation":"N Engl J Med","language":"eng","note":"PMID: 35320644","page":"1143-1154","source":"PubMed","title":"Trastuzumab Deruxtecan versus Trastuzumab Emtansine for Breast Cancer","volume":"386","author":[{"family":"Cortés","given":"Javier"},{"family":"Kim","given":"Sung-Bae"},{"family":"Chung","given":"Wei-Pang"},{"family":"Im","given":"Seock-Ah"},{"family":"Park","given":"Yeon Hee"},{"family":"Hegg","given":"Roberto"},{"family":"Kim","given":"Min Hwan"},{"family":"Tseng","given":"Ling-Ming"},{"family":"Petry","given":"Vanessa"},{"family":"Chung","given":"Chi-Feng"},{"family":"Iwata","given":"Hiroji"},{"family":"Hamilton","given":"Erika"},{"family":"Curigliano","given":"Giuseppe"},{"family":"Xu","given":"Binghe"},{"family":"Huang","given":"Chiun-Sheng"},{"family":"Kim","given":"Jee Hyun"},{"family":"Chiu","given":"Joanne W. Y."},{"family":"Pedrini","given":"Jose Luiz"},{"family":"Lee","given":"Caleb"},{"family":"Liu","given":"Yali"},{"family":"Cathcart","given":"Jillian"},{"family":"Bako","given":"Emarjola"},{"family":"Verma","given":"Sunil"},{"family":"Hurvitz","given":"Sara A."},{"literal":"DESTINY-Breast03 Trial Investigators"}],"issued":{"date-parts":[["2022",3,24]]}}},{"id":65848,"uris":["http://zotero.org/groups/4797619/items/XCBQ3YJP"],"itemData":{"id":65848,"type":"article-journal","abstract":"This is a summary of the article discussing the results of the DESTINY-Breast01 study originally published in the New England Journal of Medicine. The DESTINY-Breast01 study is a clinical study in participants with a type of breast cancer called HER2-positive breast cancer. The participants in the study received a treatment called trastuzumab deruxtecan, also known as T-DXd. The purpose of this summary is to help you understand the results of the DESTINY-Breast01 study. T-DXd is currently available as a treatment for adults with HER2-positive breast cancer that cannot be removed by surgery, also called unresectable, or that has spread, also called metastatic. In the DESTINY-Breast01 study, all the participants had HER2-positive breast cancer that was metastatic or unresectable. All participants were required to have had previous treatment for their HER2-positive breast cancer with another treatment, called trastuzumab emtansine or T-DM1. All the participants received T-DXd every 3 weeks. Part 1 was done to learn how T-DXd acted in the body, and to choose a dose to give to all the participants in Part 2. In Part 2, 184 participants received T-DXd at 5.4 mg/kg and the results showed that T-DXd reduced tumor growth. Up to 60.9% of the participants had their tumors shrink or disappear, with a treatment response that lasted for nearly 15 months on average. The participants lived with their cancer for around 16 months before it got worse. During the study, 183 out of 184 participants had side effects, known as adverse events. The most common adverse event was nausea. There were 42 participants (22.8%) who had serious adverse events, including lung toxicity. These results suggest that T-DXd could be a treatment option for people with metastatic HER2-positive breast cancer who have already been treated with T-DM1. Additional studies will provide more information and results about T-DXd. ClinicalTrials.gov NCT number: NCT03248492. To read the full Plain Language Summary of this article, click on the View Article button above and download the PDF. Link to original article here.","container-title":"Future Oncology (London, England)","DOI":"10.2217/fon-2021-0427","ISSN":"1744-8301","issue":"26","journalAbbreviation":"Future Oncol","language":"eng","note":"PMID: 34263665","page":"3415-3423","source":"PubMed","title":"Trastuzumab deruxtecan in previously treated HER2-positive metastatic breast cancer: Plain language summary of the DESTINY-Breast01 study","title-short":"Trastuzumab deruxtecan in previously treated HER2-positive metastatic breast cancer","volume":"17","author":[{"family":"Modi","given":"Shanu"}],"issued":{"date-parts":[["2021",9,1]]}}}],"schema":"https://github.com/citation-style-language/schema/raw/master/csl-citation.json"} </w:instrText>
      </w:r>
      <w:r w:rsidR="000B148D">
        <w:fldChar w:fldCharType="separate"/>
      </w:r>
      <w:r w:rsidR="00FD57F4" w:rsidRPr="00FD57F4">
        <w:rPr>
          <w:rFonts w:cs="Arial"/>
          <w:szCs w:val="24"/>
          <w:vertAlign w:val="superscript"/>
        </w:rPr>
        <w:t>7, 20,68</w:t>
      </w:r>
      <w:r w:rsidR="000B148D">
        <w:fldChar w:fldCharType="end"/>
      </w:r>
    </w:p>
    <w:p w14:paraId="4AE34D59" w14:textId="7DBFB49B" w:rsidR="000B148D" w:rsidRDefault="000B148D" w:rsidP="000B148D">
      <w:pPr>
        <w:pStyle w:val="Body"/>
      </w:pPr>
      <w:r>
        <w:t xml:space="preserve">At an advisory board meeting in December 2022, </w:t>
      </w:r>
      <w:r w:rsidRPr="00054570">
        <w:t xml:space="preserve">UK </w:t>
      </w:r>
      <w:r>
        <w:t xml:space="preserve">clinical and HEOR </w:t>
      </w:r>
      <w:r w:rsidRPr="00054570">
        <w:t xml:space="preserve">experts confirmed that the DESTINY-Breast04 trial </w:t>
      </w:r>
      <w:r>
        <w:t xml:space="preserve">is well designed, robust, and the </w:t>
      </w:r>
      <w:r w:rsidRPr="00054570">
        <w:t xml:space="preserve">population </w:t>
      </w:r>
      <w:r>
        <w:t xml:space="preserve">is </w:t>
      </w:r>
      <w:r w:rsidRPr="00054570">
        <w:t>generalisable to UK</w:t>
      </w:r>
      <w:r>
        <w:t xml:space="preserve"> clinical practice.</w:t>
      </w:r>
      <w:r w:rsidRPr="00054570">
        <w:fldChar w:fldCharType="begin"/>
      </w:r>
      <w:r w:rsidR="00CA6345">
        <w:instrText xml:space="preserve"> ADDIN ZOTERO_ITEM CSL_CITATION {"citationID":"kAxR1Nv2","properties":{"formattedCitation":"\\super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Pr="00054570">
        <w:fldChar w:fldCharType="separate"/>
      </w:r>
      <w:r w:rsidR="00CA6345" w:rsidRPr="00F710CB">
        <w:rPr>
          <w:rFonts w:cs="Arial"/>
          <w:szCs w:val="24"/>
          <w:vertAlign w:val="superscript"/>
        </w:rPr>
        <w:t>121</w:t>
      </w:r>
      <w:r w:rsidRPr="00054570">
        <w:fldChar w:fldCharType="end"/>
      </w:r>
      <w:r>
        <w:t xml:space="preserve"> In particular, and as described in detail in </w:t>
      </w:r>
      <w:r w:rsidRPr="00657307">
        <w:rPr>
          <w:b/>
          <w:bCs/>
        </w:rPr>
        <w:t>Sectio</w:t>
      </w:r>
      <w:r w:rsidR="00657307" w:rsidRPr="00657307">
        <w:rPr>
          <w:b/>
          <w:bCs/>
        </w:rPr>
        <w:t xml:space="preserve">n </w:t>
      </w:r>
      <w:r w:rsidR="00CF5F76">
        <w:rPr>
          <w:b/>
          <w:bCs/>
        </w:rPr>
        <w:fldChar w:fldCharType="begin"/>
      </w:r>
      <w:r w:rsidR="00CF5F76">
        <w:rPr>
          <w:b/>
          <w:bCs/>
        </w:rPr>
        <w:instrText xml:space="preserve"> REF _Ref129209834 \r \h </w:instrText>
      </w:r>
      <w:r w:rsidR="00CF5F76">
        <w:rPr>
          <w:b/>
          <w:bCs/>
        </w:rPr>
      </w:r>
      <w:r w:rsidR="00CF5F76">
        <w:rPr>
          <w:b/>
          <w:bCs/>
        </w:rPr>
        <w:fldChar w:fldCharType="separate"/>
      </w:r>
      <w:r w:rsidR="00145F42">
        <w:rPr>
          <w:b/>
          <w:bCs/>
        </w:rPr>
        <w:t>B.1.3.6</w:t>
      </w:r>
      <w:r w:rsidR="00CF5F76">
        <w:rPr>
          <w:b/>
          <w:bCs/>
        </w:rPr>
        <w:fldChar w:fldCharType="end"/>
      </w:r>
      <w:r>
        <w:t>, clinical experts agreed that t</w:t>
      </w:r>
      <w:r w:rsidRPr="00054570">
        <w:t xml:space="preserve">he </w:t>
      </w:r>
      <w:r>
        <w:t>comparator</w:t>
      </w:r>
      <w:r w:rsidRPr="00054570">
        <w:t xml:space="preserve"> arm </w:t>
      </w:r>
      <w:r>
        <w:t xml:space="preserve">of the trial (comprising </w:t>
      </w:r>
      <w:r w:rsidRPr="00966FF8">
        <w:t>eribulin</w:t>
      </w:r>
      <w:r>
        <w:t xml:space="preserve">, </w:t>
      </w:r>
      <w:r w:rsidRPr="00966FF8">
        <w:t>capecitabine</w:t>
      </w:r>
      <w:r>
        <w:t xml:space="preserve">, </w:t>
      </w:r>
      <w:r w:rsidRPr="00966FF8">
        <w:t>nab-paclitaxel</w:t>
      </w:r>
      <w:r>
        <w:t xml:space="preserve">, </w:t>
      </w:r>
      <w:r w:rsidRPr="00966FF8">
        <w:t>gemcitabine and paclitaxel</w:t>
      </w:r>
      <w:r>
        <w:t xml:space="preserve">) is relevant as it </w:t>
      </w:r>
      <w:r w:rsidRPr="00054570">
        <w:t>includes treatments widely used in the UK</w:t>
      </w:r>
      <w:r>
        <w:t xml:space="preserve"> after one or two prior lines of non-targeted chemotherapy in the metastatic setting.</w:t>
      </w:r>
      <w:r>
        <w:fldChar w:fldCharType="begin"/>
      </w:r>
      <w:r w:rsidR="00CA6345">
        <w:instrText xml:space="preserve"> ADDIN ZOTERO_ITEM CSL_CITATION {"citationID":"rnPzhIg3","properties":{"formattedCitation":"\\super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fldChar w:fldCharType="separate"/>
      </w:r>
      <w:r w:rsidR="00CA6345" w:rsidRPr="00F710CB">
        <w:rPr>
          <w:rFonts w:cs="Arial"/>
          <w:szCs w:val="24"/>
          <w:vertAlign w:val="superscript"/>
        </w:rPr>
        <w:t>121</w:t>
      </w:r>
      <w:r>
        <w:fldChar w:fldCharType="end"/>
      </w:r>
      <w:r>
        <w:t xml:space="preserve"> The range of comparators </w:t>
      </w:r>
      <w:r w:rsidRPr="00054570">
        <w:t>reflects how u/mBC is treated in the UK</w:t>
      </w:r>
      <w:r>
        <w:t>,</w:t>
      </w:r>
      <w:r w:rsidRPr="00054570">
        <w:t xml:space="preserve"> </w:t>
      </w:r>
      <w:r>
        <w:t>where the choice of non-targeted chemotherapy at later lines is based on</w:t>
      </w:r>
      <w:r w:rsidRPr="00054570">
        <w:t xml:space="preserve"> clinician</w:t>
      </w:r>
      <w:r>
        <w:t xml:space="preserve"> preference as well as </w:t>
      </w:r>
      <w:r w:rsidRPr="00054570">
        <w:t>patient</w:t>
      </w:r>
      <w:r>
        <w:t>-specific</w:t>
      </w:r>
      <w:r w:rsidRPr="00054570">
        <w:t xml:space="preserve"> need</w:t>
      </w:r>
      <w:r>
        <w:t xml:space="preserve">s and </w:t>
      </w:r>
      <w:r w:rsidRPr="00054570">
        <w:t>preference.</w:t>
      </w:r>
      <w:r w:rsidRPr="00054570">
        <w:fldChar w:fldCharType="begin"/>
      </w:r>
      <w:r w:rsidR="00CA6345">
        <w:instrText xml:space="preserve"> ADDIN ZOTERO_ITEM CSL_CITATION {"citationID":"nOI2K9ud","properties":{"formattedCitation":"\\super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Pr="00054570">
        <w:fldChar w:fldCharType="separate"/>
      </w:r>
      <w:r w:rsidR="00CA6345" w:rsidRPr="00F710CB">
        <w:rPr>
          <w:rFonts w:cs="Arial"/>
          <w:szCs w:val="24"/>
          <w:vertAlign w:val="superscript"/>
        </w:rPr>
        <w:t>121</w:t>
      </w:r>
      <w:r w:rsidRPr="00054570">
        <w:fldChar w:fldCharType="end"/>
      </w:r>
      <w:r w:rsidRPr="00054570">
        <w:t xml:space="preserve"> </w:t>
      </w:r>
      <w:r>
        <w:t xml:space="preserve">While </w:t>
      </w:r>
      <w:r w:rsidR="00FB23E9">
        <w:t>SG</w:t>
      </w:r>
      <w:r>
        <w:t xml:space="preserve"> is included as a comparator in the final NICE scope,</w:t>
      </w:r>
      <w:r w:rsidRPr="00054570">
        <w:fldChar w:fldCharType="begin"/>
      </w:r>
      <w:r w:rsidR="00CA6345">
        <w:instrText xml:space="preserve"> ADDIN ZOTERO_ITEM CSL_CITATION {"citationID":"BxORyBoa","properties":{"formattedCitation":"\\super 1\\nosupersub{}","plainCitation":"1","noteIndex":0},"citationItems":[{"id":66383,"uris":["http://zotero.org/groups/4797619/items/Y75R2AJY"],"itemData":{"id":66383,"type":"webpage","language":"eng","note":"publisher: NICE","title":"Final Scope. Trastuzumab deruxtecan for treating HER2-low unresectable or metastatic breast cancer after chemotherapy","URL":"https://www.nice.org.uk/guidance/gid-ta10813/documents/final-scope","author":[{"family":"NICE","given":""}],"accessed":{"date-parts":[["2022",11,29]]},"issued":{"date-parts":[["2023",1,6]]}}}],"schema":"https://github.com/citation-style-language/schema/raw/master/csl-citation.json"} </w:instrText>
      </w:r>
      <w:r w:rsidRPr="00054570">
        <w:fldChar w:fldCharType="separate"/>
      </w:r>
      <w:r w:rsidR="00FD57F4" w:rsidRPr="00FD57F4">
        <w:rPr>
          <w:rFonts w:cs="Arial"/>
          <w:szCs w:val="24"/>
          <w:vertAlign w:val="superscript"/>
        </w:rPr>
        <w:t>1</w:t>
      </w:r>
      <w:r w:rsidRPr="00054570">
        <w:fldChar w:fldCharType="end"/>
      </w:r>
      <w:r>
        <w:t xml:space="preserve"> it is only recommended in a very small proportion (~10%)</w:t>
      </w:r>
      <w:r>
        <w:fldChar w:fldCharType="begin"/>
      </w:r>
      <w:r w:rsidR="00CA6345">
        <w:instrText xml:space="preserve"> ADDIN ZOTERO_ITEM CSL_CITATION {"citationID":"jWXToal7","properties":{"formattedCitation":"\\super 56\\nosupersub{}","plainCitation":"56","noteIndex":0},"citationItems":[{"id":65940,"uris":["http://zotero.org/groups/4797619/items/7UYVWR36"],"itemData":{"id":65940,"type":"article-journal","container-title":"The Journal of Pathology: Clinical Research","DOI":"10.1002/cjp2.173","ISSN":"2056-4538, 2056-4538","issue":"3","journalAbbreviation":"J Pathol Clin Res","language":"en","page":"227-227","source":"DOI.org (Crossref)","title":"Breast cancer biomarkers in clinical testing: analysis of a UK NEQAS ICC &amp; ISH database containing results from 199 300 patients","title-short":"‘Breast cancer biomarkers in clinical testing","volume":"6","author":[{"family":"Dodson","given":"Andrew"},{"family":"Parry","given":"Suzanne"},{"family":"Ibrahim","given":"Merdol"},{"family":"Bartlett","given":"John M. S."},{"family":"Pinder","given":"Sarah E."},{"family":"Dowsett","given":"Mitch"},{"family":"Miller","given":"Keith"}],"issued":{"date-parts":[["2020",7]]}}}],"schema":"https://github.com/citation-style-language/schema/raw/master/csl-citation.json"} </w:instrText>
      </w:r>
      <w:r>
        <w:fldChar w:fldCharType="separate"/>
      </w:r>
      <w:r w:rsidR="00FD57F4" w:rsidRPr="00FD57F4">
        <w:rPr>
          <w:rFonts w:cs="Arial"/>
          <w:szCs w:val="24"/>
          <w:vertAlign w:val="superscript"/>
        </w:rPr>
        <w:t>56</w:t>
      </w:r>
      <w:r>
        <w:fldChar w:fldCharType="end"/>
      </w:r>
      <w:r>
        <w:t xml:space="preserve"> of the population being considered in this appraisal and a feasibility assessment concluded that an ITC </w:t>
      </w:r>
      <w:r w:rsidR="00D65056">
        <w:t xml:space="preserve">would </w:t>
      </w:r>
      <w:r w:rsidR="00BD0284">
        <w:t xml:space="preserve">not </w:t>
      </w:r>
      <w:r w:rsidR="00D65056">
        <w:t>be</w:t>
      </w:r>
      <w:r w:rsidR="00BD0284">
        <w:t xml:space="preserve"> robust for decision making</w:t>
      </w:r>
      <w:r w:rsidR="00D65056">
        <w:t xml:space="preserve"> </w:t>
      </w:r>
      <w:r w:rsidR="00BD0284">
        <w:t>due</w:t>
      </w:r>
      <w:r w:rsidR="00D65056">
        <w:t xml:space="preserve"> to </w:t>
      </w:r>
      <w:r w:rsidR="006069D7">
        <w:t>the</w:t>
      </w:r>
      <w:r w:rsidR="00D65056">
        <w:t xml:space="preserve"> high degree of</w:t>
      </w:r>
      <w:r>
        <w:t xml:space="preserve"> uncertainty caused by very small sample sizes and differences in trial design.</w:t>
      </w:r>
      <w:r>
        <w:fldChar w:fldCharType="begin"/>
      </w:r>
      <w:r w:rsidR="00CA6345">
        <w:instrText xml:space="preserve"> ADDIN ZOTERO_ITEM CSL_CITATION {"citationID":"nnnh4ANQ","properties":{"formattedCitation":"\\super 147\\nosupersub{}","plainCitation":"147","noteIndex":0},"citationItems":[{"id":66793,"uris":["http://zotero.org/groups/4797619/items/YMS8DM96"],"itemData":{"id":66793,"type":"document","title":"Estima: Feasibility of performing an indirect treatment comparison between ENHERTU® and TRODELVY® in a hormone-receptor negative and HER2-low population. Data on file.","author":[{"family":"Daiichi Sankyo Inc.","given":""}],"issued":{"date-parts":[["2023"]]}}}],"schema":"https://github.com/citation-style-language/schema/raw/master/csl-citation.json"} </w:instrText>
      </w:r>
      <w:r>
        <w:fldChar w:fldCharType="separate"/>
      </w:r>
      <w:r w:rsidR="00CA6345" w:rsidRPr="00F710CB">
        <w:rPr>
          <w:rFonts w:cs="Arial"/>
          <w:szCs w:val="24"/>
          <w:vertAlign w:val="superscript"/>
        </w:rPr>
        <w:t>147</w:t>
      </w:r>
      <w:r>
        <w:fldChar w:fldCharType="end"/>
      </w:r>
      <w:r w:rsidRPr="00054570" w:rsidDel="00C43C60">
        <w:t xml:space="preserve"> </w:t>
      </w:r>
      <w:r>
        <w:t>Clinical and HEOR experts agreed that, for decision</w:t>
      </w:r>
      <w:r w:rsidR="008A68B0">
        <w:t>-</w:t>
      </w:r>
      <w:r>
        <w:t xml:space="preserve">making, TPC is the relevant comparator in this appraisal and that </w:t>
      </w:r>
      <w:r w:rsidR="00D9008F">
        <w:t xml:space="preserve">the </w:t>
      </w:r>
      <w:r w:rsidR="009B7B2C" w:rsidRPr="00054570">
        <w:t>comparators listed in the NICE final scope</w:t>
      </w:r>
      <w:r w:rsidR="009B7B2C">
        <w:t xml:space="preserve"> </w:t>
      </w:r>
      <w:r w:rsidR="009B7B2C" w:rsidRPr="00054570">
        <w:t>are well represented in the TPC arm of DESTINY-Breast04</w:t>
      </w:r>
      <w:r>
        <w:t>.</w:t>
      </w:r>
      <w:r w:rsidR="00DE2257">
        <w:fldChar w:fldCharType="begin"/>
      </w:r>
      <w:r w:rsidR="00CA6345">
        <w:instrText xml:space="preserve"> ADDIN ZOTERO_ITEM CSL_CITATION {"citationID":"sLl3qRcM","properties":{"formattedCitation":"\\super 1,121\\nosupersub{}","plainCitation":"1,121","noteIndex":0},"citationItems":[{"id":66383,"uris":["http://zotero.org/groups/4797619/items/Y75R2AJY"],"itemData":{"id":66383,"type":"webpage","language":"eng","note":"publisher: NICE","title":"Final Scope. Trastuzumab deruxtecan for treating HER2-low unresectable or metastatic breast cancer after chemotherapy","URL":"https://www.nice.org.uk/guidance/gid-ta10813/documents/final-scope","author":[{"family":"NICE","given":""}],"accessed":{"date-parts":[["2022",11,29]]},"issued":{"date-parts":[["2023",1,6]]}}},{"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00DE2257">
        <w:fldChar w:fldCharType="separate"/>
      </w:r>
      <w:r w:rsidR="00CA6345" w:rsidRPr="00CA6345">
        <w:rPr>
          <w:rFonts w:cs="Arial"/>
          <w:szCs w:val="24"/>
          <w:vertAlign w:val="superscript"/>
        </w:rPr>
        <w:t>1,121</w:t>
      </w:r>
      <w:r w:rsidR="00DE2257">
        <w:fldChar w:fldCharType="end"/>
      </w:r>
      <w:r>
        <w:t xml:space="preserve"> As such, Daiichi Sankyo consider evidence from </w:t>
      </w:r>
      <w:r w:rsidRPr="00054570">
        <w:t>DESTINY-Breast04</w:t>
      </w:r>
      <w:r>
        <w:t xml:space="preserve"> </w:t>
      </w:r>
      <w:r w:rsidR="00EE625A">
        <w:t xml:space="preserve">to </w:t>
      </w:r>
      <w:r>
        <w:t>be highly relevant to the decision problem.</w:t>
      </w:r>
    </w:p>
    <w:p w14:paraId="0D1B33AA" w14:textId="7D5093DD" w:rsidR="000B148D" w:rsidRPr="00054570" w:rsidRDefault="000B148D" w:rsidP="000B148D">
      <w:pPr>
        <w:pStyle w:val="Body"/>
      </w:pPr>
      <w:r>
        <w:t>T</w:t>
      </w:r>
      <w:r w:rsidRPr="00054570">
        <w:t xml:space="preserve">here are currently no UK-specific treatment guidelines for HER2-low u/mBC and patients are treated according to HER2-negative treatment pathways. Standard of care for HER2-negative u/mBC after a prior chemotherapy in the metastatic setting in UK clinical practice is </w:t>
      </w:r>
      <w:r>
        <w:t>further</w:t>
      </w:r>
      <w:r w:rsidRPr="00054570">
        <w:t xml:space="preserve"> lines of</w:t>
      </w:r>
      <w:r>
        <w:t xml:space="preserve"> single-agent</w:t>
      </w:r>
      <w:r w:rsidRPr="00054570">
        <w:t xml:space="preserve"> non-targeted chemotherapy</w:t>
      </w:r>
      <w:r>
        <w:t>.</w:t>
      </w:r>
      <w:r w:rsidRPr="00054570">
        <w:fldChar w:fldCharType="begin"/>
      </w:r>
      <w:r w:rsidR="00CA6345">
        <w:instrText xml:space="preserve"> ADDIN ZOTERO_ITEM CSL_CITATION {"citationID":"afhorvn1p0","properties":{"formattedCitation":"\\super 35,42\\nosupersub{}","plainCitation":"35,42","noteIndex":0},"citationItems":[{"id":65955,"uris":["http://zotero.org/groups/4797619/items/4KXA6CCG"],"itemData":{"id":65955,"type":"article-journal","container-title":"Annals of Oncology: Official Journal of the European Society for Medical Oncology","DOI":"10.1016/j.annonc.2021.09.019","ISSN":"1569-8041","issue":"12","journalAbbreviation":"Ann Oncol","language":"eng","note":"PMID: 34678411","page":"1475-1495","source":"PubMed","title":"ESMO Clinical Practice Guideline for the diagnosis, staging and treatment of patients with metastatic breast cancer","volume":"32","author":[{"family":"Gennari","given":"A."},{"family":"André","given":"F."},{"family":"Barrios","given":"C. H."},{"family":"Cortés","given":"J."},{"family":"Azambuja","given":"E.","non-dropping-particle":"de"},{"family":"DeMichele","given":"A."},{"family":"Dent","given":"R."},{"family":"Fenlon","given":"D."},{"family":"Gligorov","given":"J."},{"family":"Hurvitz","given":"S. A."},{"family":"Im","given":"S.-A."},{"family":"Krug","given":"D."},{"family":"Kunz","given":"W. G."},{"family":"Loi","given":"S."},{"family":"Penault-Llorca","given":"F."},{"family":"Ricke","given":"J."},{"family":"Robson","given":"M."},{"family":"Rugo","given":"H. S."},{"family":"Saura","given":"C."},{"family":"Schmid","given":"P."},{"family":"Singer","given":"C. F."},{"family":"Spanic","given":"T."},{"family":"Tolaney","given":"S. M."},{"family":"Turner","given":"N. C."},{"family":"Curigliano","given":"G."},{"family":"Loibl","given":"S."},{"family":"Paluch-Shimon","given":"S."},{"family":"Harbeck","given":"N."},{"literal":"ESMO Guidelines Committee. Electronic address: clinicalguidelines@esmo.org"}],"issued":{"date-parts":[["2021",12]]}}},{"id":65866,"uris":["http://zotero.org/groups/4797619/items/3AESVSNK"],"itemData":{"id":65866,"type":"webpage","abstract":"This guideline covers care and support for people with advanced (stage 4) breast cancer. It aims to help them and their healthcare professionals make shared","language":"eng","note":"publisher: NICE","title":"Advanced breast cancer: diagnosis and treatment | NICE CG81","title-short":"NICE CG81. Recommendations | Advanced breast cancer","URL":"https://www.nice.org.uk/guidance/cg81/chapter/Recommendations","author":[{"family":"NICE","given":""}],"accessed":{"date-parts":[["2022",10,17]]},"issued":{"date-parts":[["2017"]]}}}],"schema":"https://github.com/citation-style-language/schema/raw/master/csl-citation.json"} </w:instrText>
      </w:r>
      <w:r w:rsidRPr="00054570">
        <w:fldChar w:fldCharType="separate"/>
      </w:r>
      <w:r w:rsidR="00FD57F4" w:rsidRPr="00FD57F4">
        <w:rPr>
          <w:rFonts w:cs="Arial"/>
          <w:szCs w:val="24"/>
          <w:vertAlign w:val="superscript"/>
        </w:rPr>
        <w:t>35,42</w:t>
      </w:r>
      <w:r w:rsidRPr="00054570">
        <w:fldChar w:fldCharType="end"/>
      </w:r>
      <w:r w:rsidRPr="00054570">
        <w:t xml:space="preserve"> At an advisory board in December 2022, UK clinical experts unanimous</w:t>
      </w:r>
      <w:r>
        <w:t xml:space="preserve">ly agreed </w:t>
      </w:r>
      <w:r w:rsidRPr="00054570">
        <w:t xml:space="preserve">that outcomes with non-targeted chemotherapies are poor in the </w:t>
      </w:r>
      <w:r>
        <w:t xml:space="preserve">mBC </w:t>
      </w:r>
      <w:r w:rsidRPr="00054570">
        <w:t>setting, and that efficacy</w:t>
      </w:r>
      <w:r>
        <w:t xml:space="preserve"> is similar</w:t>
      </w:r>
      <w:r w:rsidRPr="00054570">
        <w:t xml:space="preserve"> </w:t>
      </w:r>
      <w:r>
        <w:t>across</w:t>
      </w:r>
      <w:r w:rsidRPr="00054570">
        <w:t xml:space="preserve"> individual </w:t>
      </w:r>
      <w:r>
        <w:t>non-targeted chemotherap</w:t>
      </w:r>
      <w:r w:rsidR="002034C2">
        <w:t>y agents</w:t>
      </w:r>
      <w:r w:rsidRPr="00054570">
        <w:t>.</w:t>
      </w:r>
      <w:r w:rsidRPr="00054570">
        <w:fldChar w:fldCharType="begin"/>
      </w:r>
      <w:r w:rsidR="00CA6345">
        <w:instrText xml:space="preserve"> ADDIN ZOTERO_ITEM CSL_CITATION {"citationID":"nnNd6FLT","properties":{"formattedCitation":"\\super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Pr="00054570">
        <w:fldChar w:fldCharType="separate"/>
      </w:r>
      <w:r w:rsidR="00CA6345" w:rsidRPr="00CA6345">
        <w:rPr>
          <w:rFonts w:cs="Arial"/>
          <w:szCs w:val="24"/>
          <w:vertAlign w:val="superscript"/>
        </w:rPr>
        <w:t>121</w:t>
      </w:r>
      <w:r w:rsidRPr="00054570">
        <w:fldChar w:fldCharType="end"/>
      </w:r>
      <w:r w:rsidRPr="00054570">
        <w:t xml:space="preserve"> </w:t>
      </w:r>
      <w:r>
        <w:t>This aligns with a published systematic review of RCTs for single</w:t>
      </w:r>
      <w:r w:rsidR="001D0D1A">
        <w:t>-</w:t>
      </w:r>
      <w:r>
        <w:t>agent chemotherapies used in Europe, which concluded that none of the included RCTs demonstrated a significant difference in OS between the chemotherapy agents.</w:t>
      </w:r>
      <w:r>
        <w:fldChar w:fldCharType="begin"/>
      </w:r>
      <w:r w:rsidR="00CA6345">
        <w:instrText xml:space="preserve"> ADDIN ZOTERO_ITEM CSL_CITATION {"citationID":"axw12nom","properties":{"formattedCitation":"\\super 118\\nosupersub{}","plainCitation":"118","noteIndex":0},"citationItems":[{"id":66343,"uris":["http://zotero.org/groups/4797619/items/IB6926PV"],"itemData":{"id":66343,"type":"article-journal","abstract":"INTRODUCTION: Currently available evidence does not provide definitive guidance regarding the optimal chemotherapy agents and combinations in anthracycline- and taxane-pretreated advanced breast cancer. We performed a systematic review of controlled clinical trials of the cytotoxic agents currently used for this population in Europe: capecitabine, gemcitabine, vinorelbine, docetaxel, paclitaxel and paclitaxel protein-bound particles.\nMETHOD: A systematic review of randomised (RCT) and non-randomised controlled clinical trials (non-RCTs). The primary outcomes of interest were overall survival (OS) and progression-free survival (PFS); secondary outcomes were duration of response (DR), overall response rate (ORR), adverse events and quality of life (QoL). Six electronic databases and grey literature sources were searched; reference tracking was performed on included publications. A narrative synthesis was conducted: heterogeneity of study design and interventions prevented meta-analysis.\nRESULTS: No randomised controlled trial (RCT) found any significant differences between any of the regimens in terms of OS. In terms of PFS, only gemcitabine plus vinorelbine performed significantly better than its comparator, vinorelbine alone. For secondary outcomes, only capecitabine plus bevacizumab had a significantly better outcome than its comparator, capecitabine alone, in terms of ORR. A low quality non-RCT found that both capecitabine monotherapy and a combination of capecitabine plus vinorelbine were significantly more effective than vinorelbine alone in terms of OS and ORR. Across all trials, median OS for these patients typically remained less than 16 months.\nCONCLUSION: The quantity and quality of the available evidence regarding the efficacy of the particular chemotherapy regimens in patients with advanced breast cancer pretreated with an anthracycline and a taxane is extremely limited. New effective therapies are sorely needed in this population.","container-title":"European Journal of Cancer (Oxford, England: 1990)","DOI":"10.1016/j.ejca.2009.05.035","ISSN":"1879-0852","issue":"16","journalAbbreviation":"Eur J Cancer","language":"eng","note":"PMID: 19615886","page":"2749-2758","source":"PubMed","title":"The clinical efficacy of cytotoxic agents in locally advanced or metastatic breast cancer patients pretreated with an anthracycline and a taxane: a systematic review","title-short":"The clinical efficacy of cytotoxic agents in locally advanced or metastatic breast cancer patients pretreated with an anthracycline and a taxane","volume":"45","author":[{"family":"Jassem","given":"Jacek"},{"family":"Carroll","given":"Christopher"},{"family":"Ward","given":"Sue E."},{"family":"Simpson","given":"Emma"},{"family":"Hind","given":"Daniel"}],"issued":{"date-parts":[["2009",11]]}}}],"schema":"https://github.com/citation-style-language/schema/raw/master/csl-citation.json"} </w:instrText>
      </w:r>
      <w:r>
        <w:fldChar w:fldCharType="separate"/>
      </w:r>
      <w:r w:rsidR="00CA6345" w:rsidRPr="00CA6345">
        <w:rPr>
          <w:rFonts w:cs="Arial"/>
          <w:szCs w:val="24"/>
          <w:vertAlign w:val="superscript"/>
        </w:rPr>
        <w:t>118</w:t>
      </w:r>
      <w:r>
        <w:fldChar w:fldCharType="end"/>
      </w:r>
    </w:p>
    <w:p w14:paraId="6799BC8C" w14:textId="7B1AD97D" w:rsidR="000B148D" w:rsidRDefault="000B148D" w:rsidP="000B148D">
      <w:pPr>
        <w:pStyle w:val="Body"/>
      </w:pPr>
      <w:r>
        <w:t>Aside from DESTINY-Breast04,</w:t>
      </w:r>
      <w:r w:rsidRPr="00054570">
        <w:t xml:space="preserve"> there are </w:t>
      </w:r>
      <w:r>
        <w:t>no</w:t>
      </w:r>
      <w:r w:rsidRPr="00054570">
        <w:t xml:space="preserve"> prior studies </w:t>
      </w:r>
      <w:r>
        <w:t xml:space="preserve">powered to </w:t>
      </w:r>
      <w:r w:rsidR="00AE5FC9">
        <w:t>evaluate</w:t>
      </w:r>
      <w:r>
        <w:t xml:space="preserve"> efficacy </w:t>
      </w:r>
      <w:r w:rsidRPr="00054570">
        <w:t xml:space="preserve">in </w:t>
      </w:r>
      <w:r>
        <w:t xml:space="preserve">a </w:t>
      </w:r>
      <w:r w:rsidRPr="00054570">
        <w:t xml:space="preserve">HER2-low u/mBC </w:t>
      </w:r>
      <w:r>
        <w:t xml:space="preserve">population </w:t>
      </w:r>
      <w:r w:rsidRPr="00054570">
        <w:t>specifically</w:t>
      </w:r>
      <w:r>
        <w:t>, so the external validity of DESTINY-Breast04 may be assessed by comparing the TPC arm to previous studies in a similar setting in HER2-negative u/mBC (</w:t>
      </w:r>
      <w:r>
        <w:fldChar w:fldCharType="begin"/>
      </w:r>
      <w:r>
        <w:instrText xml:space="preserve"> REF _Ref126923702 \h  \* MERGEFORMAT </w:instrText>
      </w:r>
      <w:r>
        <w:fldChar w:fldCharType="separate"/>
      </w:r>
      <w:r w:rsidR="00145F42" w:rsidRPr="00145F42">
        <w:rPr>
          <w:b/>
          <w:bCs/>
        </w:rPr>
        <w:t xml:space="preserve">Table </w:t>
      </w:r>
      <w:r w:rsidR="00145F42" w:rsidRPr="00145F42">
        <w:rPr>
          <w:b/>
          <w:bCs/>
          <w:noProof/>
        </w:rPr>
        <w:t>30</w:t>
      </w:r>
      <w:r>
        <w:fldChar w:fldCharType="end"/>
      </w:r>
      <w:r>
        <w:t>)</w:t>
      </w:r>
      <w:r w:rsidRPr="00193A70">
        <w:t xml:space="preserve">. In the FAS, median PFS by BICR </w:t>
      </w:r>
      <w:r>
        <w:t>with TPC</w:t>
      </w:r>
      <w:r w:rsidRPr="00193A70">
        <w:t xml:space="preserve"> </w:t>
      </w:r>
      <w:r>
        <w:t xml:space="preserve">in DESTINY-Breast04 was within the range of median PFS for non-targeted single-agent chemotherapies </w:t>
      </w:r>
      <w:r w:rsidR="009111BE">
        <w:t xml:space="preserve">across all </w:t>
      </w:r>
      <w:r>
        <w:t xml:space="preserve">previous studies of HER2-negative u/mBC of any </w:t>
      </w:r>
      <w:r w:rsidR="00703FD4">
        <w:t>HR-</w:t>
      </w:r>
      <w:r>
        <w:t>status (5.1 months</w:t>
      </w:r>
      <w:r w:rsidRPr="00371464">
        <w:fldChar w:fldCharType="begin"/>
      </w:r>
      <w:r w:rsidR="00CA6345">
        <w:instrText xml:space="preserve"> ADDIN ZOTERO_ITEM CSL_CITATION {"citationID":"3JJjags5","properties":{"formattedCitation":"\\super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Pr="00371464">
        <w:fldChar w:fldCharType="separate"/>
      </w:r>
      <w:r w:rsidR="00FD57F4" w:rsidRPr="00FD57F4">
        <w:rPr>
          <w:rFonts w:cs="Arial"/>
          <w:szCs w:val="24"/>
          <w:vertAlign w:val="superscript"/>
        </w:rPr>
        <w:t>6</w:t>
      </w:r>
      <w:r w:rsidRPr="00371464">
        <w:fldChar w:fldCharType="end"/>
      </w:r>
      <w:r>
        <w:t xml:space="preserve"> vs </w:t>
      </w:r>
      <w:r w:rsidR="00133584">
        <w:t>1.7</w:t>
      </w:r>
      <w:r>
        <w:t>–6.6 months;</w:t>
      </w:r>
      <w:r w:rsidR="00133584" w:rsidRPr="00133584">
        <w:t xml:space="preserve"> </w:t>
      </w:r>
      <w:r w:rsidR="00133584">
        <w:fldChar w:fldCharType="begin"/>
      </w:r>
      <w:r w:rsidR="00CA6345">
        <w:instrText xml:space="preserve"> ADDIN ZOTERO_ITEM CSL_CITATION {"citationID":"2mfTlNXi","properties":{"formattedCitation":"\\super 43\\uc0\\u8211{}55\\nosupersub{}","plainCitation":"43–55","noteIndex":0},"citationItems":[{"id":66278,"uris":["http://zotero.org/groups/4797619/items/L9C8M9U3"],"itemData":{"id":66278,"type":"article-journal","abstract":"BACKGROUND: Use of antiangiogenic agents in treatment of metastatic breast cancer (MBC) remains controversial. We evaluated the efficacy and safety of ramucirumab and eribulin versus eribulin alone as third- to fifth-line therapy in women with advanced breast cancer.\nPATIENTS AND METHODS: In this randomized (1:1), open-label, phase II study, US women aged 18 years or older with 2 to 4 previous chemotherapy regimens for locally recurrent or MBC, previous anthracycline and taxane treatment, and Eastern Cooperative Oncology Group performance status of 0 or 1 received ramucirumab with eribulin or eribulin alone in 21-day cycles (eribulin 1.4 mg/m2 intravenously on days 1 and 8; ramucirumab 10 mg/kg intravenously on day 1). Randomization was stratified according to previous antiangiogenic therapy and triple-negative status. The primary end point was progression-free survival (PFS) in the intention to treat population.\nRESULTS: One hundred forty-one women were randomized to ramucirumab with eribulin (n = 71) or eribulin alone (n = 70). Median PFS for ramucirumab with eribulin was 4.4 months (95% confidence interval [CI], 3.1-6.7) compared with 4.1 months (95% CI, 3.2-5.6) for eribulin (hazard ratio [HR], 0.83; 95% CI, 0.56-1.23; P = .35). Median overall survival in patients who received ramucirumab with eribulin was 13.5 months (95% CI, 10.4-17.9) compared with 11.5 months (95% CI, 9.0-17.3) in patients who received eribulin alone (HR, 0.91; 95% CI, 0.59-1.41; P = .68); objective response rate was 21% (13 of 62 patients) for the combination and 28% (17 of 60 patients) for eribulin alone. No unexpected toxicity was identified for the combination.\nCONCLUSION: Ramucirumab combined with eribulin did not significantly improve PFS in advanced MBC.","container-title":"Clinical Breast Cancer","DOI":"10.1016/j.clbc.2016.07.005","ISSN":"1938-0666","issue":"6","journalAbbreviation":"Clin Breast Cancer","language":"eng","note":"PMID: 27569274","page":"471-479.e1","source":"PubMed","title":"Ramucirumab With Eribulin Versus Eribulin in Locally Recurrent or Metastatic Breast Cancer Previously Treated With Anthracycline and Taxane Therapy: A Multicenter, Randomized, Phase II Study","title-short":"Ramucirumab With Eribulin Versus Eribulin in Locally Recurrent or Metastatic Breast Cancer Previously Treated With Anthracycline and Taxane Therapy","volume":"16","author":[{"family":"Yardley","given":"Denise A."},{"family":"Reeves","given":"James"},{"family":"Dees","given":"E. Claire"},{"family":"Osborne","given":"Cynthia"},{"family":"Paul","given":"Devchand"},{"family":"Ademuyiwa","given":"Foluso"},{"family":"Soliman","given":"Hatem"},{"family":"Guthrie","given":"Troy"},{"family":"Andersen","given":"Jay"},{"family":"Krekow","given":"Lea"},{"family":"Choksi","given":"Janak"},{"family":"Daniel","given":"Brooke"},{"family":"Danso","given":"Michael"},{"family":"Favret","given":"Anne"},{"family":"Oommen","given":"Sanjay"},{"family":"Brufsky","given":"Adam"},{"family":"Bromund","given":"Jane L."},{"family":"Lin","given":"Yong"},{"family":"Ibrahim","given":"Ayman B."},{"family":"Richards","given":"Paul D."}],"issued":{"date-parts":[["2016",12]]}}},{"id":66146,"uris":["http://zotero.org/groups/4797619/items/CXIIHEH4"],"itemData":{"id":66146,"type":"article-journal","abstract":"PURPOSE: Improving the outcome of patients with HER2-negative metastatic breast cancer experiencing tumour progression following first-line chemotherapy remains an urgent medical need. The purpose of the VicTORia trial was to show superiority of everolimus in combination with vinorelbine versus vinorelbine monotherapy as second-line chemotherapy for patients with advanced HER2 negative breast cancer.\nMETHODS: In this randomised phase II trial, 133 patients were recruited in 32 centres in Germany. Patients were randomised 1:1 to second-line chemotherapy either with vinorelbine plus everolimus (arm1) or vinorelbine alone (arm2). Primary endpoint was progression-free survival (PFS). Secondary endpoints were PFS rate at 6 months, overall survival (OS), overall response rate (ORR) and safety. Baseline PI3 K mutational status was determined in plasma samples.\nRESULTS: Median progression-free survival was not different between arms (arm1 vs. arm2: 4.01 months, 95% CI 2.40-6.09 vs. 4.08, 95% CI 2.80-5.33). PFS rate at 6 months (arm1 vs. arm2: 39.4%, 95% CI 27.6-50.9% vs. 36.6%, 95% CI 24.6-48.6%), median OS (arm1 vs. arm2: 16.3 months, 95% CI 11.4-19.0 vs. 13.8 months, 95% CI 10.2-19.1) and ORR were not different between arms. Most frequent grade 3/4 adverse events were neutropenia (50% vs. 40%), gastrointestinal toxicities (19.1% vs. 6.1%), and infections (19.1% vs. 7.7%). PI3 K mutational status was neither associated with PFS nor with OS.\nCONCLUSION: Although well tolerated, the efficacy of everolimus and vinorelbine combination therapy was not superior to vinorelbine monotherapy. There was no correlation between PI3 K mutational status and efficacy. EudracCT No 2011-001024-38, ClinicalTrials.gov No NCT01520103.","container-title":"Breast Cancer Research and Treatment","DOI":"10.1007/s10549-019-05280-2","ISSN":"1573-7217","issue":"3","journalAbbreviation":"Breast Cancer Res Treat","language":"eng","note":"PMID: 31115844","page":"637-647","source":"PubMed","title":"VicTORia: a randomised phase II study to compare vinorelbine in combination with the mTOR inhibitor everolimus versus vinorelbine monotherapy for second-line chemotherapy in advanced HER2-negative breast cancer","title-short":"VicTORia","volume":"176","author":[{"family":"Decker","given":"Thomas"},{"family":"Marschner","given":"Norbert"},{"family":"Muendlein","given":"Axel"},{"family":"Welt","given":"Anja"},{"family":"Hagen","given":"Volker"},{"family":"Rauh","given":"Jaqueline"},{"family":"Schröder","given":"Helge"},{"family":"Jaehnig","given":"Peter"},{"family":"Potthoff","given":"Karin"},{"family":"Lerchenmüller","given":"Christian"}],"issued":{"date-parts":[["2019",8]]}}},{"id":66766,"uris":["http://zotero.org/groups/4797619/items/9JHDBM4N"],"itemData":{"id":66766,"type":"article-journal","abstract":"Background: Previously, we showed that reintroduction of the same (first-line) chemotherapy at progression could only partially make up for the loss in efficacy as compared to continuously delivered first-line chemotherapy. Here, we report the probability of starting second-line study chemotherapy in the Stop&amp;Go trial, and the progression-free survival (PFS) and overall survival (OS) of patients who received both the first- and second-line treatment in an intermittent versus continuous schedule.Methods: First-line chemotherapy comprised paclitaxel plus bevacizumab, second-line capecitabine or non-pegylated liposomal doxorubicin, given per treatment line as two times four cycles (intermittent) or as eight consecutive cycles (continuous).Results: Of the 420 patients who started first-line treatment within the Stop&amp;Go trial (210:210), a total of 270 patients continued on second-line study treatment (64% of all), which consisted of capecitabine in 201 patients and of non-pegylated liposomal doxorubicin in 69 patients, evenly distributed between the treatment arms. Median PFS was 3.7 versus 5.0 months (HR 1.07; 95% CI: 0.82–1.38) and median OS 10.9 versus 12.4 months (HR 1.27; 95% CI: 0.98–1.66) for intermittent versus continuous second-line chemotherapy. Second-line PFS was positively influenced by prior hormonal therapy for metastatic disease and longer first-line PFS duration, while triple-negative tumor status had a negative influence. Patients with a shorter time to progression (TTP) in first-line (≤10 months) had a higher probability of starting second-line treatment if they received intermittent compared to continuous chemotherapy (OR 1.97; 95% CI: 1.02–3.80).Conclusion: We recommend continuous scheduling of both the first- and second-line chemotherapy for advanced breast cancer.","container-title":"Acta Oncologica","DOI":"10.1080/0284186X.2020.1731923","ISSN":"0284-186X","issue":"6","note":"publisher: Taylor &amp; Francis\n_eprint: https://doi.org/10.1080/0284186X.2020.1731923\nPMID: 32141389","page":"713-722","source":"Taylor and Francis+NEJM","title":"Secondary analyses of the randomized phase III Stop&amp;Go study: efficacy of second-line intermittent versus continuous chemotherapy in HER2-negative advanced breast cancer","title-short":"Secondary analyses of the randomized phase III Stop&amp;Go study","volume":"59","author":[{"family":"Claessens","given":"Anouk K. M."},{"family":"Erdkamp","given":"Frans L. G."},{"family":"Lopez-Yurda","given":"Marta"},{"family":"Bouma","given":"Jeanette M."},{"family":"Rademaker-Lakhai","given":"Jeany M."},{"family":"Honkoop","given":"Aafke H."},{"family":"Graaf","given":"Hiltje","non-dropping-particle":"de"},{"family":"Tjan-Heijnen","given":"Vivianne C. G."},{"family":"Bos","given":"Monique E. M. M."}],"issued":{"date-parts":[["2020",6,2]]}}},{"id":66756,"uris":["http://zotero.org/groups/4797619/items/97GZ44K7"],"itemData":{"id":66756,"type":"article-journal","abstract":"PURPOSE: This phase III study compared the efficacy and safety of bevacizumab combined with standard chemotherapy regimens versus chemotherapy alone as second-line treatment of patients with human epidermal growth factor receptor 2 (HER2) -negative metastatic breast cancer.\nPATIENTS AND METHODS: Patients were randomly assigned 2:1 to chemotherapy + bevacizumab or to chemotherapy + placebo. Before random assignment, investigators chose capecitabine, a taxane (paclitaxel, nab-paclitaxel, or docetaxel), gemcitabine, or vinorelbine. Dosing for bevacizumab or placebo was 15 mg/kg every 3 weeks or 10 mg/kg every 2 weeks, depending on chemotherapy regimen. The primary end point was progression-free survival (PFS). Secondary end points included overall survival, PFS by chemotherapy cohort, objective response rate (ORR), duration of objective response, 1-year survival rate, and safety.\nRESULTS: RIBBON-2 enrolled 684 patients (225, chemotherapy + placebo; 459, chemotherapy + bevacizumab). The combination of bevacizumab with chemotherapy demonstrated a statistically significant benefit. Median PFS increased from 5.1 to 7.2 months (stratified hazard ratio for PFS, 0.78; 95% CI, 0.64 to 0.93; P = .0072). The 10% improvement in ORR between the placebo- and bevacizumab-containing arms (39.5% v 29.6%; P = .0193), although not statistically significant, was consistent with previous trials. There was no statistically significant difference in overall survival. The most common grade ≥ 3 adverse events (AEs) related to bevacizumab treatment were hypertension (9.0%) and proteinuria (3.1%). There was an increased number of AEs leading to study discontinuation in the chemotherapy + bevacizumab arm compared with the chemotherapy + placebo arm (13.3% v 7.2%).\nCONCLUSION: The combination of bevacizumab with commonly used chemotherapies improved PFS in the second-line treatment of patients with HER2-negative metastatic breast cancer, with a safety profile comparable with that in prior phase III studies.","container-title":"Journal of Clinical Oncology: Official Journal of the American Society of Clinical Oncology","DOI":"10.1200/JCO.2010.34.1255","ISSN":"1527-7755","issue":"32","journalAbbreviation":"J Clin Oncol","language":"eng","note":"PMID: 21990397","page":"4286-4293","source":"PubMed","title":"RIBBON-2: a randomized, double-blind, placebo-controlled, phase III trial evaluating the efficacy and safety of bevacizumab in combination with chemotherapy for second-line treatment of human epidermal growth factor receptor 2-negative metastatic breast cancer","title-short":"RIBBON-2","volume":"29","author":[{"family":"Brufsky","given":"Adam M."},{"family":"Hurvitz","given":"Sara"},{"family":"Perez","given":"Edith"},{"family":"Swamy","given":"Raji"},{"family":"Valero","given":"Vicente"},{"family":"O'Neill","given":"Vincent"},{"family":"Rugo","given":"Hope S."}],"issued":{"date-parts":[["2011",11,10]]}}},{"id":66777,"uris":["http://zotero.org/groups/4797619/items/VJ3GUGK2"],"itemData":{"id":66777,"type":"article-journal","abstract":"Background\nWe conducted an open-label, randomized, two-arm multi-center study to assess the efficacy and safety of paclitaxel versus paclitaxel + sorafenib in patients with locally advanced or metastatic HER2-negative breast cancer.\n\nMethods\nPatients were randomly assigned to receive either paclitaxel monotherapy (80 mg/m2) weekly (3 weeks on, 1 week off) plus sorafenib 400 mg orally, twice a day taken continuously throughout 28 day cycles. Sorafenib dose was gradually escalated from a starting dose of 200 mg twice a day. The primary endpoint was progression free survival (PFS).\n\nResults\nA pre-planned efficacy interim analysis was performed on the data of 60 patients, 30 patients in each treatment arm. Median PFS was estimated at 6.6 months (95% CI: 5.1 to 9.0) in patients randomized to single-agent paclitaxel (Arm A) and 5.6 months (95% CI: 3.8 to 6.5) in patients randomized to paclitaxel-sorafenib combination (Arm B) therapy. Contrary to the hypothesis, the treatment effect was statistically significant in favor of paclitaxel monotherapy (hazard ratio 1.80, 95% CI: 1.02 to 3.20; log-rank test P = 0.0409). It was decided to stop the trial early for futility. Median OS was also in favor of Arm A (20.7 months (95% CI: 16.4 to 26.7) versus 12.1 months (95% CI: 5.8 to 20.4) in Arm B. Clinical control was achieved in 28 patients (93.3%) in Arm A and in 21 patients 70.0% in Arm B. Overall response rate was met in 43.3% of patients in Arm A and in 40.0% in Arm B. Toxicities were increased in Arm B with higher rates of diarrhea, nausea, neutropenia, hand-foot skin reaction (HFSR) and anorexia, Grad 3 and 4 toxicities were rare.\n\nConclusions\nIn this pre-planned interim analysis, paclitaxel-sorafenib combination therapy was not found to be superior to paclitaxel monotherapy with regard to the primary end point, progression-free survival. The trial was therefore discontinued early. There was no indication of more favorable outcomes for combination therapy in secondary efficacy end points. As expected, the safety and toxicity profile of the combination therapy was less favorable compared to monotherapy. Overall, this trial did not demonstrate that adding sorafenib to second- or third-line paclitaxel provides any clinical benefit to patients with HER2-negative advanced or metastatic breast cancer. Cautious dosing using a sorafenib ramp up schedule might have contributed to negative results.\n\nTrial registration\nThe study was registered at EudraCT (No 2009–018025-73) and retrospectively registered at Clinical trials.gov on March 17, 2011 (NCT01320111).","container-title":"BMC Cancer","DOI":"10.1186/s12885-017-3492-1","ISSN":"1471-2407","journalAbbreviation":"BMC Cancer","note":"PMID: 28743247\nPMCID: PMC5526236","page":"499","source":"PubMed Central","title":"A randomized phase II study of paclitaxel alone versus paclitaxel plus sorafenib in second- and third-line treatment of patients with HER2-negative metastatic breast cancer (PASO)","volume":"17","author":[{"family":"Decker","given":"Thomas"},{"family":"Overkamp","given":"Friedrich"},{"family":"Rösel","given":"Siegfried"},{"family":"Nusch","given":"Arnd"},{"family":"Göhler","given":"Thomas"},{"family":"Indorf","given":"Martin"},{"family":"Sahlmann","given":"Jörg"},{"family":"Trarbach","given":"Tanja"}],"issued":{"date-parts":[["2017",7,25]]}}},{"id":66774,"uris":["http://zotero.org/groups/4797619/items/2HU3NYWK"],"itemData":{"id":66774,"type":"article-journal","abstract":"Purpose\n\nGlycoprotein NMB (gpNMB), a negative prognostic marker, is overexpressed in multiple tumor types. Glembatumumab vedotin is a gpNMB-specific monoclonal antibody conjugated to the potent cytotoxin monomethyl auristatin E. This phase II study investigated the activity of glembatumumab vedotin in advanced breast cancer by gpNMB expression.\n\nPatients and Methods\n\nPatients (n = 124) with refractory breast cancer that expressed gpNMB in ≥ 5% of epithelial or stromal cells by central immunohistochemistry were stratified by gpNMB expression (tumor, low stromal intensity, high stromal intensity) and were randomly assigned 2:1 to glembatumumab vedotin (n = 83) or investigator's choice (IC) chemotherapy (n = 41). The study was powered to detect overall objective response rate (ORR) in the glembatumumab vedotin arm between 10% (null) and 22.5% (alternative hypothesis) with preplanned investigation of activity by gpNMB distribution and/or intensity (Stratum 1 to Stratum 3).\n\nResults\n\nGlembatumumab vedotin was well tolerated as compared with IC chemotherapy (less hematologic toxicity; more rash, pruritus, neuropathy, and alopecia). ORR was 6% (five of 83) for glembatumumab vedotin versus 7% (three of 41) for IC, without significant intertreatment differences for predefined strata. Secondary end point revealed ORR of 12% (10 of 83) versus 12% (five of 41) overall, and 30% (seven of 23) versus 9% (one of 11) for gpNMB overexpression (≥ 25% of tumor cells). Unplanned analysis showed ORR of 18% (five of 28) versus 0% (0 of 11) in patients with triple-negative breast cancer (TNBC), and 40% (four of 10) versus 0% (zero of six) in gpNMB-overexpressing TNBC.\n\nConclusion\n\nGlembatumumab vedotin is well tolerated in heavily pretreated patients with breast cancer. Although the primary end point in advanced gpNMB-expressing breast cancer was not met for all enrolled patients (median tumor gpNMB expression, 5%), activity may be enhanced in patients with gpNMB-overexpressing tumors and/or TNBC. A pivotal phase II trial (METRIC [Metastatic Triple-Negative Breast Cancer]) is underway.","container-title":"Journal of Clinical Oncology","DOI":"10.1200/JCO.2014.56.2959","ISSN":"0732-183X","issue":"14","journalAbbreviation":"JCO","note":"publisher: Wolters Kluwer","page":"1609-1619","source":"ascopubs.org (Atypon)","title":"EMERGE: A Randomized Phase II Study of the Antibody-Drug Conjugate Glembatumumab Vedotin in Advanced Glycoprotein NMB–Expressing Breast Cancer","title-short":"EMERGE","volume":"33","author":[{"family":"Yardley","given":"Denise A."},{"family":"Weaver","given":"Robert"},{"family":"Melisko","given":"Michelle E."},{"family":"Saleh","given":"Mansoor N."},{"family":"Arena","given":"Francis P."},{"family":"Forero","given":"Andres"},{"family":"Cigler","given":"Tessa"},{"family":"Stopeck","given":"Alison"},{"family":"Citrin","given":"Dennis"},{"family":"Oliff","given":"Ira"},{"family":"Bechhold","given":"Rebecca"},{"family":"Loutfi","given":"Randa"},{"family":"Garcia","given":"Agustin A."},{"family":"Cruickshank","given":"Scott"},{"family":"Crowley","given":"Elizabeth"},{"family":"Green","given":"Jennifer"},{"family":"Hawthorne","given":"Thomas"},{"family":"Yellin","given":"Michael J."},{"family":"Davis","given":"Thomas A."},{"family":"Vahdat","given":"Linda T."}],"issued":{"date-parts":[["2015",5,10]]}}},{"id":66149,"uris":["http://zotero.org/groups/4797619/items/8M7DF85G"],"itemData":{"id":66149,"type":"article-journal","abstract":"BACKGROUND: Based on data from two multicenter, phase III clinical trials (Studies 301 and 305), eribulin (a microtubule dynamics inhibitor) is indicated in the European Union (EU) for patients with locally advanced or metastatic breast cancer (MBC) after ≥1 prior chemotherapy for advanced disease, including an anthracycline and a taxane in either the adjuvant or metastatic setting. Data from Studies 305 and 301 were pooled to investigate the efficacy of eribulin in various subgroups of patients who matched the EU label, including those with human epidermal growth factor receptor 2 (HER2)-negative and triple-negative disease.\nPATIENTS AND METHODS: In Study 305 (NCT00388726), patients were randomized 2:1 to eribulin mesylate 1.4 mg/m(2) (equivalent to eribulin 1.23 mg/m(2) [expressed as free base]) intravenously on days 1 and 8 every 21 days] or treatment of physician's choice after 2-5 prior chemotherapies (≥2 for advanced disease), including an anthracycline and a taxane (in early/advanced setting). In Study 301 (NCT00337103), patients were randomized 1:1 to eribulin (as above) or capecitabine (1.25 g/m(2) orally twice daily on days 1-14 every 21 days) following ≤3 prior chemotherapies (≤2 for advanced disease), including an anthracycline and a taxane. Efficacy end points were investigated in the intent-to-treat population and subgroups, pooled as discussed above.\nRESULTS: Overall, 1644 patients were included (eribulin: 946; control: 698); baseline characteristics were well matched. Overall survival was significantly longer with eribulin versus control (P &lt; 0.01), as were progression-free survival and clinical benefit rate (both P &lt; 0.05). Significant survival benefits with eribulin versus control were observed in a wide range of patient subgroups, including HER2-negative or triple-negative disease (all P &lt; 0.05).\nCONCLUSION: Our findings underline the survival benefit achieved by eribulin used according to EU label in the overall MBC population and in various subgroups of interest, including patients with HER2-negative and triple-negative disease.","container-title":"Annals of Oncology: Official Journal of the European Society for Medical Oncology","DOI":"10.1093/annonc/mdw203","ISSN":"1569-8041","issue":"8","journalAbbreviation":"Ann Oncol","language":"eng","note":"PMID: 27177860\nPMCID: PMC4959925","page":"1525-1531","source":"PubMed","title":"Pooled analyses of eribulin in metastatic breast cancer patients with at least one prior chemotherapy","volume":"27","author":[{"family":"Pivot","given":"X."},{"family":"Marmé","given":"F."},{"family":"Koenigsberg","given":"R."},{"family":"Guo","given":"M."},{"family":"Berrak","given":"E."},{"family":"Wolfer","given":"A."}],"issued":{"date-parts":[["2016",8]]}}},{"id":66150,"uris":["http://zotero.org/groups/4797619/items/FWP3JYLN"],"itemData":{"id":66150,"type":"article-journal","abstract":"This post hoc subgroup analysis of a large phase 3 study compared the efficacy and safety of eribulin versus capecitabine in patients with human epidermal growth factor receptor 2 (HER2)-negative metastatic breast cancer who received second-line treatment. In the phase 3 study, women with advanced/metastatic breast cancer and ≤ 3 prior chemotherapies were randomized 1:1 to eribulin mesilate 1.4 mg/m2 intravenously on days 1 and 8, or twice-daily oral capecitabine 1.25 g/m2 on days 1-14 (21-day cycles). This analysis included 392 patients. Median overall survival was longer in patients receiving eribulin compared with capecitabine (16.1 vs 13.5 months, respectively; HR 0.77, P = 0.026). Median progression-free survival and response rates were similar between arms. Both treatments had manageable safety profiles.","container-title":"Breast Cancer (Tokyo, Japan)","DOI":"10.1007/s12282-017-0826-4","ISSN":"1880-4233","issue":"3","journalAbbreviation":"Breast Cancer","language":"eng","note":"PMID: 29302858\nPMCID: PMC5906517","page":"370-374","source":"PubMed","title":"Subgroup analysis of patients with HER2-negative metastatic breast cancer in the second-line setting from a phase 3, open-label, randomized study of eribulin mesilate versus capecitabine","volume":"25","author":[{"family":"Pivot","given":"Xavier"},{"family":"Im","given":"Seock Ah"},{"family":"Guo","given":"Matthew"},{"family":"Marmé","given":"Frederik"}],"issued":{"date-parts":[["2018",5]]}}},{"id":66151,"uris":["http://zotero.org/groups/4797619/items/RLDAE79H"],"itemData":{"id":66151,"type":"article-journal","abstract":"PURPOSE AND METHODS: Our secondary analyses compared survival with eribulin versus capecitabine in various patient subgroups from a phase 3, open-label, randomized study. Eligible women aged ≥18 years with advanced/metastatic breast cancer and ≤3 prior chemotherapies (≤2 for advanced/metastatic disease), including an anthracycline and taxane, were randomized 1:1 to intravenous eribulin mesylate 1.4 mg/m(2) on days 1 and 8 or twice-daily oral capecitabine 1250 mg/m(2) on days 1-14 (21-day cycles).\nRESULTS: In the intent-to-treat population (eribulin 554 and capecitabine 548), overall survival appeared longer with eribulin than capecitabine in various subgroups, including patients with human epidermal growth factor receptor 2-negative (15.9 versus 13.5 months, respectively), estrogen receptor-negative (14.4 versus 10.5 months, respectively), and triple-negative (14.4 versus 9.4 months, respectively) disease. Progression-free survival was similar between the treatment arms.\nCONCLUSIONS: Patients with advanced/metastatic breast cancer and human epidermal growth factor receptor 2-, estrogen receptor-, or triple-negative disease may gain particular benefit from eribulin as first-, second-, and third-line chemotherapies.\nTRIAL REGISTRATION PRIMARY STUDY: This study reports the subgroup analyses of eribulin versus capecitabine from a phase 3, open-label, randomized study (www.clinicaltrials.gov; ClinicalTrials.gov identifier: NCT00337103).","container-title":"Breast Cancer: Basic and Clinical Research","DOI":"10.4137/BCBCR.S39615","ISSN":"1178-2234","journalAbbreviation":"Breast Cancer (Auckl)","language":"eng","note":"PMID: 27398025\nPMCID: PMC4927108","page":"77-84","source":"PubMed","title":"Subgroup Analyses from a Phase 3, Open-Label, Randomized Study of Eribulin Mesylate Versus Capecitabine in Pretreated Patients with Advanced or Metastatic Breast Cancer","volume":"10","author":[{"family":"Twelves","given":"Chris"},{"family":"Awada","given":"Ahmad"},{"family":"Cortes","given":"Javier"},{"family":"Yelle","given":"Louise"},{"family":"Velikova","given":"Galina"},{"family":"Olivo","given":"Martin S."},{"family":"Song","given":"James"},{"family":"Dutcus","given":"Corina E."},{"family":"Kaufman","given":"Peter A."}],"issued":{"date-parts":[["2016"]]}}},{"id":66152,"uris":["http://zotero.org/groups/4797619/items/K2TXU8UJ"],"itemData":{"id":66152,"type":"article-journal","abstract":"BACKGROUND: Treatments with survival benefit are greatly needed for women with heavily pretreated metastatic breast cancer. Eribulin mesilate is a non-taxane microtubule dynamics inhibitor with a novel mode of action. We aimed to compare overall survival of heavily pretreated patients receiving eribulin versus currently available treatments.\nMETHODS: In this phase 3 open-label study, women with locally recurrent or metastatic breast cancer were randomly allocated (2:1) to eribulin mesilate (1·4 mg/m(2) administered intravenously during 2-5 min on days 1 and 8 of a 21-day cycle) or treatment of physician's choice (TPC). Patients had received between two and five previous chemotherapy regimens (two or more for advanced disease), including an anthracycline and a taxane, unless contraindicated. Randomisation was stratified by geographical region, previous capecitabine treatment, and human epidermal growth factor receptor 2 status. Patients and investigators were not masked to treatment allocation. The primary endpoint was overall survival in the intention-to-treat population. This study is registered at ClinicalTrials.gov, number NCT00388726.\nFINDINGS: 762 women were randomly allocated to treatment groups (508 eribulin, 254 TPC). Overall survival was significantly improved in women assigned to eribulin (median 13·1 months, 95% CI 11·8-14·3) compared with TPC (10·6 months, 9·3-12·5; hazard ratio 0·81, 95% CI 0·66-0·99; p=0·041). The most common adverse events in both groups were asthenia or fatigue (270 [54%] of 503 patients on eribulin and 98 [40%] of 247 patients on TPC at all grades) and neutropenia (260 [52%] patients receiving eribulin and 73 [30%] of those on TPC at all grades). Peripheral neuropathy was the most common adverse event leading to discontinuation from eribulin, occurring in 24 (5%) of 503 patients.\nINTERPRETATION: Eribulin showed a significant and clinically meaningful improvement in overall survival compared with TPC in women with heavily pretreated metastatic breast cancer. This finding challenges the notion that improved overall survival is an unrealistic expectation during evaluation of new anticancer therapies in the refractory setting.\nFUNDING: Eisai.","container-title":"Lancet (London, England)","DOI":"10.1016/S0140-6736(11)60070-6","ISSN":"1474-547X","issue":"9769","journalAbbreviation":"Lancet","language":"eng","note":"PMID: 21376385","page":"914-923","source":"PubMed","title":"Eribulin monotherapy versus treatment of physician's choice in patients with metastatic breast cancer (EMBRACE): a phase 3 open-label randomised study","title-short":"Eribulin monotherapy versus treatment of physician's choice in patients with metastatic breast cancer (EMBRACE)","volume":"377","author":[{"family":"Cortes","given":"Javier"},{"family":"O'Shaughnessy","given":"Joyce"},{"family":"Loesch","given":"David"},{"family":"Blum","given":"Joanne L."},{"family":"Vahdat","given":"Linda T."},{"family":"Petrakova","given":"Katarina"},{"family":"Chollet","given":"Philippe"},{"family":"Manikas","given":"Alexey"},{"family":"Diéras","given":"Veronique"},{"family":"Delozier","given":"Thierry"},{"family":"Vladimirov","given":"Vladimir"},{"family":"Cardoso","given":"Fatima"},{"family":"Koh","given":"Han"},{"family":"Bougnoux","given":"Philippe"},{"family":"Dutcus","given":"Corina E."},{"family":"Seegobin","given":"Seth"},{"family":"Mir","given":"Denis"},{"family":"Meneses","given":"Nicole"},{"family":"Wanders","given":"Jantien"},{"family":"Twelves","given":"Chris"},{"literal":"EMBRACE (Eisai Metastatic Breast Cancer Study Assessing Physician's Choice Versus E7389) investigators"}],"issued":{"date-parts":[["2011",3,12]]}}},{"id":66759,"uris":["http://zotero.org/groups/4797619/items/WRYWKH52"],"itemData":{"id":66759,"type":"article-journal","abstract":"The METRIC study (NCT#0199733) explored a novel antibody–drug conjugate, glembatumumab vedotin (GV), targeting gpNMB that is overexpressed in ~40% of patients with triple-negative breast cancer (TNBC) and associated with poor prognosis. The study was a randomized, open-label, phase 2b study that evaluated progression-free survival (PFS) of GV compared with capecitabine in gpNMB-overexpressing TNBC. Patients who had previously received anthracycline and taxane-based therapy were randomized 2:1 to receive, GV (1.88 mg/kg IV q21 days) or capecitabine (2500 mg/m2 PO daily d1–14 q21 days). The primary endpoint was RECIST 1.1 PFS per independent, blinded central review. In all, 327 patients were randomized to GV (213 treated) or capecitabine (92 treated). Median PFS was 2.9 months for GV vs. 2.8 months for capecitabine. The most common grade ≥3 toxicities for GV were neutropenia, rash, and leukopenia, and for capecitabine were fatigue, diarrhea, and palmar-plantar erythrodysesthesia. The study did not meet the primary endpoint of improved PFS over capecitabine or demonstrate a relative risk/benefit improvement over capecitabine.","container-title":"npj Breast Cancer","DOI":"10.1038/s41523-021-00244-6","ISSN":"2374-4677","issue":"1","language":"en","license":"2021 The Author(s)","note":"number: 1\npublisher: Nature Publishing Group","page":"1-10","source":"www.nature.com","title":"Glembatumumab vedotin for patients with metastatic, gpNMB overexpressing, triple-negative breast cancer (“METRIC”): a randomized multicenter study","title-short":"Glembatumumab vedotin for patients with metastatic, gpNMB overexpressing, triple-negative breast cancer (“METRIC”)","volume":"7","author":[{"family":"Vahdat","given":"Linda T."},{"family":"Schmid","given":"Peter"},{"family":"Forero-Torres","given":"Andres"},{"family":"Blackwell","given":"Kimberly"},{"family":"Telli","given":"Melinda L."},{"family":"Melisko","given":"Michelle"},{"family":"Möbus","given":"Volker"},{"family":"Cortes","given":"Javier"},{"family":"Montero","given":"Alberto J."},{"family":"Ma","given":"Cynthia"},{"family":"Nanda","given":"Rita"},{"family":"Wright","given":"Gail S."},{"family":"He","given":"Yi"},{"family":"Hawthorne","given":"Thomas"},{"family":"Bagley","given":"Rebecca G."},{"family":"Halim","given":"Abdel-Baset"},{"family":"Turner","given":"Christopher D."},{"family":"Yardley","given":"Denise A."}],"issued":{"date-parts":[["2021",5,20]]}}},{"id":66444,"uris":["http://zotero.org/groups/4797619/items/44JAGUPG"],"itemData":{"id":66444,"type":"article-journal","container-title":"New England Journal of Medicine","DOI":"10.1056/NEJMoa2028485","ISSN":"0028-4793","issue":"16","note":"publisher: Massachusetts Medical Society\n_eprint: https://doi.org/10.1056/NEJMoa2028485\nPMID: 33882206","page":"1529-1541","source":"Taylor and Francis+NEJM","title":"Sacituzumab Govitecan in Metastatic Triple-Negative Breast Cancer","volume":"384","author":[{"family":"Bardia","given":"Aditya"},{"family":"Hurvitz","given":"Sara A."},{"family":"Tolaney","given":"Sara M."},{"family":"Loirat","given":"Delphine"},{"family":"Punie","given":"Kevin"},{"family":"Oliveira","given":"Mafalda"},{"family":"Brufsky","given":"Adam"},{"family":"Sardesai","given":"Sagar D."},{"family":"Kalinsky","given":"Kevin"},{"family":"Zelnak","given":"Amelia B."},{"family":"Weaver","given":"Robert"},{"family":"Traina","given":"Tiffany"},{"family":"Dalenc","given":"Florence"},{"family":"Aftimos","given":"Philippe"},{"family":"Lynce","given":"Filipa"},{"family":"Diab","given":"Sami"},{"family":"Cortés","given":"Javier"},{"family":"O’Shaughnessy","given":"Joyce"},{"family":"Diéras","given":"Véronique"},{"family":"Ferrario","given":"Cristiano"},{"family":"Schmid","given":"Peter"},{"family":"Carey","given":"Lisa A."},{"family":"Gianni","given":"Luca"},{"family":"Piccart","given":"Martine J."},{"family":"Loibl","given":"Sibylle"},{"family":"Goldenberg","given":"David M."},{"family":"Hong","given":"Quan"},{"family":"Olivo","given":"Martin S."},{"family":"Itri","given":"Loretta M."},{"family":"Rugo","given":"Hope S."}],"issued":{"date-parts":[["2021",4,22]]}}},{"id":66764,"uris":["http://zotero.org/groups/4797619/items/YX8NEWUE"],"itemData":{"id":66764,"type":"article-journal","container-title":"The Lancet Oncology","DOI":"10.1016/S1470-2045(20)30754-3","ISSN":"1470-2045, 1474-5488","issue":"4","journalAbbreviation":"The Lancet Oncology","language":"English","note":"publisher: Elsevier\nPMID: 33676601","page":"499-511","source":"www.thelancet.com","title":"Pembrolizumab versus investigator-choice chemotherapy for metastatic triple-negative breast cancer (KEYNOTE-119): a randomised, open-label, phase 3 trial","title-short":"Pembrolizumab versus investigator-choice chemotherapy for metastatic triple-negative breast cancer (KEYNOTE-119)","volume":"22","author":[{"family":"Winer","given":"Eric P."},{"family":"Lipatov","given":"Oleg"},{"family":"Im","given":"Seock-Ah"},{"family":"Goncalves","given":"Anthony"},{"family":"Muñoz-Couselo","given":"Eva"},{"family":"Lee","given":"Keun Seok"},{"family":"Schmid","given":"Peter"},{"family":"Tamura","given":"Kenji"},{"family":"Testa","given":"Laura"},{"family":"Witzel","given":"Isabell"},{"family":"Ohtani","given":"Shoichiro"},{"family":"Turner","given":"Nicholas"},{"family":"Zambelli","given":"Stefania"},{"family":"Harbeck","given":"Nadia"},{"family":"Andre","given":"Fabrice"},{"family":"Dent","given":"Rebecca"},{"family":"Zhou","given":"Xuan"},{"family":"Karantza","given":"Vassiliki"},{"family":"Mejia","given":"Jaime"},{"family":"Cortes","given":"Javier"}],"issued":{"date-parts":[["2021",4,1]]}}}],"schema":"https://github.com/citation-style-language/schema/raw/master/csl-citation.json"} </w:instrText>
      </w:r>
      <w:r w:rsidR="00133584">
        <w:fldChar w:fldCharType="separate"/>
      </w:r>
      <w:r w:rsidR="00FD57F4" w:rsidRPr="00FD57F4">
        <w:rPr>
          <w:rFonts w:cs="Arial"/>
          <w:szCs w:val="24"/>
          <w:vertAlign w:val="superscript"/>
        </w:rPr>
        <w:t>43–55</w:t>
      </w:r>
      <w:r w:rsidR="00133584">
        <w:fldChar w:fldCharType="end"/>
      </w:r>
      <w:r>
        <w:t xml:space="preserve"> including similar TPC arms in RIBBON-2</w:t>
      </w:r>
      <w:r>
        <w:fldChar w:fldCharType="begin"/>
      </w:r>
      <w:r w:rsidR="00CA6345">
        <w:instrText xml:space="preserve"> ADDIN ZOTERO_ITEM CSL_CITATION {"citationID":"Y0LwgiEX","properties":{"formattedCitation":"\\super 53\\nosupersub{}","plainCitation":"53","noteIndex":0},"citationItems":[{"id":66756,"uris":["http://zotero.org/groups/4797619/items/97GZ44K7"],"itemData":{"id":66756,"type":"article-journal","abstract":"PURPOSE: This phase III study compared the efficacy and safety of bevacizumab combined with standard chemotherapy regimens versus chemotherapy alone as second-line treatment of patients with human epidermal growth factor receptor 2 (HER2) -negative metastatic breast cancer.\nPATIENTS AND METHODS: Patients were randomly assigned 2:1 to chemotherapy + bevacizumab or to chemotherapy + placebo. Before random assignment, investigators chose capecitabine, a taxane (paclitaxel, nab-paclitaxel, or docetaxel), gemcitabine, or vinorelbine. Dosing for bevacizumab or placebo was 15 mg/kg every 3 weeks or 10 mg/kg every 2 weeks, depending on chemotherapy regimen. The primary end point was progression-free survival (PFS). Secondary end points included overall survival, PFS by chemotherapy cohort, objective response rate (ORR), duration of objective response, 1-year survival rate, and safety.\nRESULTS: RIBBON-2 enrolled 684 patients (225, chemotherapy + placebo; 459, chemotherapy + bevacizumab). The combination of bevacizumab with chemotherapy demonstrated a statistically significant benefit. Median PFS increased from 5.1 to 7.2 months (stratified hazard ratio for PFS, 0.78; 95% CI, 0.64 to 0.93; P = .0072). The 10% improvement in ORR between the placebo- and bevacizumab-containing arms (39.5% v 29.6%; P = .0193), although not statistically significant, was consistent with previous trials. There was no statistically significant difference in overall survival. The most common grade ≥ 3 adverse events (AEs) related to bevacizumab treatment were hypertension (9.0%) and proteinuria (3.1%). There was an increased number of AEs leading to study discontinuation in the chemotherapy + bevacizumab arm compared with the chemotherapy + placebo arm (13.3% v 7.2%).\nCONCLUSION: The combination of bevacizumab with commonly used chemotherapies improved PFS in the second-line treatment of patients with HER2-negative metastatic breast cancer, with a safety profile comparable with that in prior phase III studies.","container-title":"Journal of Clinical Oncology: Official Journal of the American Society of Clinical Oncology","DOI":"10.1200/JCO.2010.34.1255","ISSN":"1527-7755","issue":"32","journalAbbreviation":"J Clin Oncol","language":"eng","note":"PMID: 21990397","page":"4286-4293","source":"PubMed","title":"RIBBON-2: a randomized, double-blind, placebo-controlled, phase III trial evaluating the efficacy and safety of bevacizumab in combination with chemotherapy for second-line treatment of human epidermal growth factor receptor 2-negative metastatic breast cancer","title-short":"RIBBON-2","volume":"29","author":[{"family":"Brufsky","given":"Adam M."},{"family":"Hurvitz","given":"Sara"},{"family":"Perez","given":"Edith"},{"family":"Swamy","given":"Raji"},{"family":"Valero","given":"Vicente"},{"family":"O'Neill","given":"Vincent"},{"family":"Rugo","given":"Hope S."}],"issued":{"date-parts":[["2011",11,10]]}}}],"schema":"https://github.com/citation-style-language/schema/raw/master/csl-citation.json"} </w:instrText>
      </w:r>
      <w:r>
        <w:fldChar w:fldCharType="separate"/>
      </w:r>
      <w:r w:rsidR="00FD57F4" w:rsidRPr="00FD57F4">
        <w:rPr>
          <w:rFonts w:cs="Arial"/>
          <w:szCs w:val="24"/>
          <w:vertAlign w:val="superscript"/>
        </w:rPr>
        <w:t>53</w:t>
      </w:r>
      <w:r>
        <w:fldChar w:fldCharType="end"/>
      </w:r>
      <w:r>
        <w:t xml:space="preserve"> and EMERGE</w:t>
      </w:r>
      <w:r>
        <w:fldChar w:fldCharType="begin"/>
      </w:r>
      <w:r w:rsidR="00CA6345">
        <w:instrText xml:space="preserve"> ADDIN ZOTERO_ITEM CSL_CITATION {"citationID":"Y3DS54s1","properties":{"formattedCitation":"\\super 55\\nosupersub{}","plainCitation":"55","noteIndex":0},"citationItems":[{"id":66774,"uris":["http://zotero.org/groups/4797619/items/2HU3NYWK"],"itemData":{"id":66774,"type":"article-journal","abstract":"Purpose\n\nGlycoprotein NMB (gpNMB), a negative prognostic marker, is overexpressed in multiple tumor types. Glembatumumab vedotin is a gpNMB-specific monoclonal antibody conjugated to the potent cytotoxin monomethyl auristatin E. This phase II study investigated the activity of glembatumumab vedotin in advanced breast cancer by gpNMB expression.\n\nPatients and Methods\n\nPatients (n = 124) with refractory breast cancer that expressed gpNMB in ≥ 5% of epithelial or stromal cells by central immunohistochemistry were stratified by gpNMB expression (tumor, low stromal intensity, high stromal intensity) and were randomly assigned 2:1 to glembatumumab vedotin (n = 83) or investigator's choice (IC) chemotherapy (n = 41). The study was powered to detect overall objective response rate (ORR) in the glembatumumab vedotin arm between 10% (null) and 22.5% (alternative hypothesis) with preplanned investigation of activity by gpNMB distribution and/or intensity (Stratum 1 to Stratum 3).\n\nResults\n\nGlembatumumab vedotin was well tolerated as compared with IC chemotherapy (less hematologic toxicity; more rash, pruritus, neuropathy, and alopecia). ORR was 6% (five of 83) for glembatumumab vedotin versus 7% (three of 41) for IC, without significant intertreatment differences for predefined strata. Secondary end point revealed ORR of 12% (10 of 83) versus 12% (five of 41) overall, and 30% (seven of 23) versus 9% (one of 11) for gpNMB overexpression (≥ 25% of tumor cells). Unplanned analysis showed ORR of 18% (five of 28) versus 0% (0 of 11) in patients with triple-negative breast cancer (TNBC), and 40% (four of 10) versus 0% (zero of six) in gpNMB-overexpressing TNBC.\n\nConclusion\n\nGlembatumumab vedotin is well tolerated in heavily pretreated patients with breast cancer. Although the primary end point in advanced gpNMB-expressing breast cancer was not met for all enrolled patients (median tumor gpNMB expression, 5%), activity may be enhanced in patients with gpNMB-overexpressing tumors and/or TNBC. A pivotal phase II trial (METRIC [Metastatic Triple-Negative Breast Cancer]) is underway.","container-title":"Journal of Clinical Oncology","DOI":"10.1200/JCO.2014.56.2959","ISSN":"0732-183X","issue":"14","journalAbbreviation":"JCO","note":"publisher: Wolters Kluwer","page":"1609-1619","source":"ascopubs.org (Atypon)","title":"EMERGE: A Randomized Phase II Study of the Antibody-Drug Conjugate Glembatumumab Vedotin in Advanced Glycoprotein NMB–Expressing Breast Cancer","title-short":"EMERGE","volume":"33","author":[{"family":"Yardley","given":"Denise A."},{"family":"Weaver","given":"Robert"},{"family":"Melisko","given":"Michelle E."},{"family":"Saleh","given":"Mansoor N."},{"family":"Arena","given":"Francis P."},{"family":"Forero","given":"Andres"},{"family":"Cigler","given":"Tessa"},{"family":"Stopeck","given":"Alison"},{"family":"Citrin","given":"Dennis"},{"family":"Oliff","given":"Ira"},{"family":"Bechhold","given":"Rebecca"},{"family":"Loutfi","given":"Randa"},{"family":"Garcia","given":"Agustin A."},{"family":"Cruickshank","given":"Scott"},{"family":"Crowley","given":"Elizabeth"},{"family":"Green","given":"Jennifer"},{"family":"Hawthorne","given":"Thomas"},{"family":"Yellin","given":"Michael J."},{"family":"Davis","given":"Thomas A."},{"family":"Vahdat","given":"Linda T."}],"issued":{"date-parts":[["2015",5,10]]}}}],"schema":"https://github.com/citation-style-language/schema/raw/master/csl-citation.json"} </w:instrText>
      </w:r>
      <w:r>
        <w:fldChar w:fldCharType="separate"/>
      </w:r>
      <w:r w:rsidR="00FD57F4" w:rsidRPr="00FD57F4">
        <w:rPr>
          <w:rFonts w:cs="Arial"/>
          <w:szCs w:val="24"/>
          <w:vertAlign w:val="superscript"/>
        </w:rPr>
        <w:t>55</w:t>
      </w:r>
      <w:r>
        <w:fldChar w:fldCharType="end"/>
      </w:r>
      <w:r>
        <w:t>). Median OS (</w:t>
      </w:r>
      <w:r w:rsidRPr="00054570">
        <w:t>16.8 months</w:t>
      </w:r>
      <w:r>
        <w:t>)</w:t>
      </w:r>
      <w:r w:rsidRPr="00371464">
        <w:fldChar w:fldCharType="begin"/>
      </w:r>
      <w:r w:rsidR="00CA6345">
        <w:instrText xml:space="preserve"> ADDIN ZOTERO_ITEM CSL_CITATION {"citationID":"CtHFzG1l","properties":{"formattedCitation":"\\super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Pr="00371464">
        <w:fldChar w:fldCharType="separate"/>
      </w:r>
      <w:r w:rsidR="00FD57F4" w:rsidRPr="00FD57F4">
        <w:rPr>
          <w:rFonts w:cs="Arial"/>
          <w:szCs w:val="24"/>
          <w:vertAlign w:val="superscript"/>
        </w:rPr>
        <w:t>6</w:t>
      </w:r>
      <w:r w:rsidRPr="00371464">
        <w:fldChar w:fldCharType="end"/>
      </w:r>
      <w:r>
        <w:t xml:space="preserve"> was also within the range reported in prior studies (</w:t>
      </w:r>
      <w:r w:rsidR="00133584">
        <w:t>6.7</w:t>
      </w:r>
      <w:r>
        <w:t>–20.7 months)</w:t>
      </w:r>
      <w:r w:rsidR="00133584">
        <w:rPr>
          <w:rStyle w:val="ui-provider"/>
        </w:rPr>
        <w:t>.</w:t>
      </w:r>
      <w:r w:rsidR="00133584">
        <w:fldChar w:fldCharType="begin"/>
      </w:r>
      <w:r w:rsidR="00CA6345">
        <w:instrText xml:space="preserve"> ADDIN ZOTERO_ITEM CSL_CITATION {"citationID":"yDj7FoZv","properties":{"formattedCitation":"\\super 43\\uc0\\u8211{}55\\nosupersub{}","plainCitation":"43–55","noteIndex":0},"citationItems":[{"id":66278,"uris":["http://zotero.org/groups/4797619/items/L9C8M9U3"],"itemData":{"id":66278,"type":"article-journal","abstract":"BACKGROUND: Use of antiangiogenic agents in treatment of metastatic breast cancer (MBC) remains controversial. We evaluated the efficacy and safety of ramucirumab and eribulin versus eribulin alone as third- to fifth-line therapy in women with advanced breast cancer.\nPATIENTS AND METHODS: In this randomized (1:1), open-label, phase II study, US women aged 18 years or older with 2 to 4 previous chemotherapy regimens for locally recurrent or MBC, previous anthracycline and taxane treatment, and Eastern Cooperative Oncology Group performance status of 0 or 1 received ramucirumab with eribulin or eribulin alone in 21-day cycles (eribulin 1.4 mg/m2 intravenously on days 1 and 8; ramucirumab 10 mg/kg intravenously on day 1). Randomization was stratified according to previous antiangiogenic therapy and triple-negative status. The primary end point was progression-free survival (PFS) in the intention to treat population.\nRESULTS: One hundred forty-one women were randomized to ramucirumab with eribulin (n = 71) or eribulin alone (n = 70). Median PFS for ramucirumab with eribulin was 4.4 months (95% confidence interval [CI], 3.1-6.7) compared with 4.1 months (95% CI, 3.2-5.6) for eribulin (hazard ratio [HR], 0.83; 95% CI, 0.56-1.23; P = .35). Median overall survival in patients who received ramucirumab with eribulin was 13.5 months (95% CI, 10.4-17.9) compared with 11.5 months (95% CI, 9.0-17.3) in patients who received eribulin alone (HR, 0.91; 95% CI, 0.59-1.41; P = .68); objective response rate was 21% (13 of 62 patients) for the combination and 28% (17 of 60 patients) for eribulin alone. No unexpected toxicity was identified for the combination.\nCONCLUSION: Ramucirumab combined with eribulin did not significantly improve PFS in advanced MBC.","container-title":"Clinical Breast Cancer","DOI":"10.1016/j.clbc.2016.07.005","ISSN":"1938-0666","issue":"6","journalAbbreviation":"Clin Breast Cancer","language":"eng","note":"PMID: 27569274","page":"471-479.e1","source":"PubMed","title":"Ramucirumab With Eribulin Versus Eribulin in Locally Recurrent or Metastatic Breast Cancer Previously Treated With Anthracycline and Taxane Therapy: A Multicenter, Randomized, Phase II Study","title-short":"Ramucirumab With Eribulin Versus Eribulin in Locally Recurrent or Metastatic Breast Cancer Previously Treated With Anthracycline and Taxane Therapy","volume":"16","author":[{"family":"Yardley","given":"Denise A."},{"family":"Reeves","given":"James"},{"family":"Dees","given":"E. Claire"},{"family":"Osborne","given":"Cynthia"},{"family":"Paul","given":"Devchand"},{"family":"Ademuyiwa","given":"Foluso"},{"family":"Soliman","given":"Hatem"},{"family":"Guthrie","given":"Troy"},{"family":"Andersen","given":"Jay"},{"family":"Krekow","given":"Lea"},{"family":"Choksi","given":"Janak"},{"family":"Daniel","given":"Brooke"},{"family":"Danso","given":"Michael"},{"family":"Favret","given":"Anne"},{"family":"Oommen","given":"Sanjay"},{"family":"Brufsky","given":"Adam"},{"family":"Bromund","given":"Jane L."},{"family":"Lin","given":"Yong"},{"family":"Ibrahim","given":"Ayman B."},{"family":"Richards","given":"Paul D."}],"issued":{"date-parts":[["2016",12]]}}},{"id":66146,"uris":["http://zotero.org/groups/4797619/items/CXIIHEH4"],"itemData":{"id":66146,"type":"article-journal","abstract":"PURPOSE: Improving the outcome of patients with HER2-negative metastatic breast cancer experiencing tumour progression following first-line chemotherapy remains an urgent medical need. The purpose of the VicTORia trial was to show superiority of everolimus in combination with vinorelbine versus vinorelbine monotherapy as second-line chemotherapy for patients with advanced HER2 negative breast cancer.\nMETHODS: In this randomised phase II trial, 133 patients were recruited in 32 centres in Germany. Patients were randomised 1:1 to second-line chemotherapy either with vinorelbine plus everolimus (arm1) or vinorelbine alone (arm2). Primary endpoint was progression-free survival (PFS). Secondary endpoints were PFS rate at 6 months, overall survival (OS), overall response rate (ORR) and safety. Baseline PI3 K mutational status was determined in plasma samples.\nRESULTS: Median progression-free survival was not different between arms (arm1 vs. arm2: 4.01 months, 95% CI 2.40-6.09 vs. 4.08, 95% CI 2.80-5.33). PFS rate at 6 months (arm1 vs. arm2: 39.4%, 95% CI 27.6-50.9% vs. 36.6%, 95% CI 24.6-48.6%), median OS (arm1 vs. arm2: 16.3 months, 95% CI 11.4-19.0 vs. 13.8 months, 95% CI 10.2-19.1) and ORR were not different between arms. Most frequent grade 3/4 adverse events were neutropenia (50% vs. 40%), gastrointestinal toxicities (19.1% vs. 6.1%), and infections (19.1% vs. 7.7%). PI3 K mutational status was neither associated with PFS nor with OS.\nCONCLUSION: Although well tolerated, the efficacy of everolimus and vinorelbine combination therapy was not superior to vinorelbine monotherapy. There was no correlation between PI3 K mutational status and efficacy. EudracCT No 2011-001024-38, ClinicalTrials.gov No NCT01520103.","container-title":"Breast Cancer Research and Treatment","DOI":"10.1007/s10549-019-05280-2","ISSN":"1573-7217","issue":"3","journalAbbreviation":"Breast Cancer Res Treat","language":"eng","note":"PMID: 31115844","page":"637-647","source":"PubMed","title":"VicTORia: a randomised phase II study to compare vinorelbine in combination with the mTOR inhibitor everolimus versus vinorelbine monotherapy for second-line chemotherapy in advanced HER2-negative breast cancer","title-short":"VicTORia","volume":"176","author":[{"family":"Decker","given":"Thomas"},{"family":"Marschner","given":"Norbert"},{"family":"Muendlein","given":"Axel"},{"family":"Welt","given":"Anja"},{"family":"Hagen","given":"Volker"},{"family":"Rauh","given":"Jaqueline"},{"family":"Schröder","given":"Helge"},{"family":"Jaehnig","given":"Peter"},{"family":"Potthoff","given":"Karin"},{"family":"Lerchenmüller","given":"Christian"}],"issued":{"date-parts":[["2019",8]]}}},{"id":66766,"uris":["http://zotero.org/groups/4797619/items/9JHDBM4N"],"itemData":{"id":66766,"type":"article-journal","abstract":"Background: Previously, we showed that reintroduction of the same (first-line) chemotherapy at progression could only partially make up for the loss in efficacy as compared to continuously delivered first-line chemotherapy. Here, we report the probability of starting second-line study chemotherapy in the Stop&amp;Go trial, and the progression-free survival (PFS) and overall survival (OS) of patients who received both the first- and second-line treatment in an intermittent versus continuous schedule.Methods: First-line chemotherapy comprised paclitaxel plus bevacizumab, second-line capecitabine or non-pegylated liposomal doxorubicin, given per treatment line as two times four cycles (intermittent) or as eight consecutive cycles (continuous).Results: Of the 420 patients who started first-line treatment within the Stop&amp;Go trial (210:210), a total of 270 patients continued on second-line study treatment (64% of all), which consisted of capecitabine in 201 patients and of non-pegylated liposomal doxorubicin in 69 patients, evenly distributed between the treatment arms. Median PFS was 3.7 versus 5.0 months (HR 1.07; 95% CI: 0.82–1.38) and median OS 10.9 versus 12.4 months (HR 1.27; 95% CI: 0.98–1.66) for intermittent versus continuous second-line chemotherapy. Second-line PFS was positively influenced by prior hormonal therapy for metastatic disease and longer first-line PFS duration, while triple-negative tumor status had a negative influence. Patients with a shorter time to progression (TTP) in first-line (≤10 months) had a higher probability of starting second-line treatment if they received intermittent compared to continuous chemotherapy (OR 1.97; 95% CI: 1.02–3.80).Conclusion: We recommend continuous scheduling of both the first- and second-line chemotherapy for advanced breast cancer.","container-title":"Acta Oncologica","DOI":"10.1080/0284186X.2020.1731923","ISSN":"0284-186X","issue":"6","note":"publisher: Taylor &amp; Francis\n_eprint: https://doi.org/10.1080/0284186X.2020.1731923\nPMID: 32141389","page":"713-722","source":"Taylor and Francis+NEJM","title":"Secondary analyses of the randomized phase III Stop&amp;Go study: efficacy of second-line intermittent versus continuous chemotherapy in HER2-negative advanced breast cancer","title-short":"Secondary analyses of the randomized phase III Stop&amp;Go study","volume":"59","author":[{"family":"Claessens","given":"Anouk K. M."},{"family":"Erdkamp","given":"Frans L. G."},{"family":"Lopez-Yurda","given":"Marta"},{"family":"Bouma","given":"Jeanette M."},{"family":"Rademaker-Lakhai","given":"Jeany M."},{"family":"Honkoop","given":"Aafke H."},{"family":"Graaf","given":"Hiltje","non-dropping-particle":"de"},{"family":"Tjan-Heijnen","given":"Vivianne C. G."},{"family":"Bos","given":"Monique E. M. M."}],"issued":{"date-parts":[["2020",6,2]]}}},{"id":66756,"uris":["http://zotero.org/groups/4797619/items/97GZ44K7"],"itemData":{"id":66756,"type":"article-journal","abstract":"PURPOSE: This phase III study compared the efficacy and safety of bevacizumab combined with standard chemotherapy regimens versus chemotherapy alone as second-line treatment of patients with human epidermal growth factor receptor 2 (HER2) -negative metastatic breast cancer.\nPATIENTS AND METHODS: Patients were randomly assigned 2:1 to chemotherapy + bevacizumab or to chemotherapy + placebo. Before random assignment, investigators chose capecitabine, a taxane (paclitaxel, nab-paclitaxel, or docetaxel), gemcitabine, or vinorelbine. Dosing for bevacizumab or placebo was 15 mg/kg every 3 weeks or 10 mg/kg every 2 weeks, depending on chemotherapy regimen. The primary end point was progression-free survival (PFS). Secondary end points included overall survival, PFS by chemotherapy cohort, objective response rate (ORR), duration of objective response, 1-year survival rate, and safety.\nRESULTS: RIBBON-2 enrolled 684 patients (225, chemotherapy + placebo; 459, chemotherapy + bevacizumab). The combination of bevacizumab with chemotherapy demonstrated a statistically significant benefit. Median PFS increased from 5.1 to 7.2 months (stratified hazard ratio for PFS, 0.78; 95% CI, 0.64 to 0.93; P = .0072). The 10% improvement in ORR between the placebo- and bevacizumab-containing arms (39.5% v 29.6%; P = .0193), although not statistically significant, was consistent with previous trials. There was no statistically significant difference in overall survival. The most common grade ≥ 3 adverse events (AEs) related to bevacizumab treatment were hypertension (9.0%) and proteinuria (3.1%). There was an increased number of AEs leading to study discontinuation in the chemotherapy + bevacizumab arm compared with the chemotherapy + placebo arm (13.3% v 7.2%).\nCONCLUSION: The combination of bevacizumab with commonly used chemotherapies improved PFS in the second-line treatment of patients with HER2-negative metastatic breast cancer, with a safety profile comparable with that in prior phase III studies.","container-title":"Journal of Clinical Oncology: Official Journal of the American Society of Clinical Oncology","DOI":"10.1200/JCO.2010.34.1255","ISSN":"1527-7755","issue":"32","journalAbbreviation":"J Clin Oncol","language":"eng","note":"PMID: 21990397","page":"4286-4293","source":"PubMed","title":"RIBBON-2: a randomized, double-blind, placebo-controlled, phase III trial evaluating the efficacy and safety of bevacizumab in combination with chemotherapy for second-line treatment of human epidermal growth factor receptor 2-negative metastatic breast cancer","title-short":"RIBBON-2","volume":"29","author":[{"family":"Brufsky","given":"Adam M."},{"family":"Hurvitz","given":"Sara"},{"family":"Perez","given":"Edith"},{"family":"Swamy","given":"Raji"},{"family":"Valero","given":"Vicente"},{"family":"O'Neill","given":"Vincent"},{"family":"Rugo","given":"Hope S."}],"issued":{"date-parts":[["2011",11,10]]}}},{"id":66777,"uris":["http://zotero.org/groups/4797619/items/VJ3GUGK2"],"itemData":{"id":66777,"type":"article-journal","abstract":"Background\nWe conducted an open-label, randomized, two-arm multi-center study to assess the efficacy and safety of paclitaxel versus paclitaxel + sorafenib in patients with locally advanced or metastatic HER2-negative breast cancer.\n\nMethods\nPatients were randomly assigned to receive either paclitaxel monotherapy (80 mg/m2) weekly (3 weeks on, 1 week off) plus sorafenib 400 mg orally, twice a day taken continuously throughout 28 day cycles. Sorafenib dose was gradually escalated from a starting dose of 200 mg twice a day. The primary endpoint was progression free survival (PFS).\n\nResults\nA pre-planned efficacy interim analysis was performed on the data of 60 patients, 30 patients in each treatment arm. Median PFS was estimated at 6.6 months (95% CI: 5.1 to 9.0) in patients randomized to single-agent paclitaxel (Arm A) and 5.6 months (95% CI: 3.8 to 6.5) in patients randomized to paclitaxel-sorafenib combination (Arm B) therapy. Contrary to the hypothesis, the treatment effect was statistically significant in favor of paclitaxel monotherapy (hazard ratio 1.80, 95% CI: 1.02 to 3.20; log-rank test P = 0.0409). It was decided to stop the trial early for futility. Median OS was also in favor of Arm A (20.7 months (95% CI: 16.4 to 26.7) versus 12.1 months (95% CI: 5.8 to 20.4) in Arm B. Clinical control was achieved in 28 patients (93.3%) in Arm A and in 21 patients 70.0% in Arm B. Overall response rate was met in 43.3% of patients in Arm A and in 40.0% in Arm B. Toxicities were increased in Arm B with higher rates of diarrhea, nausea, neutropenia, hand-foot skin reaction (HFSR) and anorexia, Grad 3 and 4 toxicities were rare.\n\nConclusions\nIn this pre-planned interim analysis, paclitaxel-sorafenib combination therapy was not found to be superior to paclitaxel monotherapy with regard to the primary end point, progression-free survival. The trial was therefore discontinued early. There was no indication of more favorable outcomes for combination therapy in secondary efficacy end points. As expected, the safety and toxicity profile of the combination therapy was less favorable compared to monotherapy. Overall, this trial did not demonstrate that adding sorafenib to second- or third-line paclitaxel provides any clinical benefit to patients with HER2-negative advanced or metastatic breast cancer. Cautious dosing using a sorafenib ramp up schedule might have contributed to negative results.\n\nTrial registration\nThe study was registered at EudraCT (No 2009–018025-73) and retrospectively registered at Clinical trials.gov on March 17, 2011 (NCT01320111).","container-title":"BMC Cancer","DOI":"10.1186/s12885-017-3492-1","ISSN":"1471-2407","journalAbbreviation":"BMC Cancer","note":"PMID: 28743247\nPMCID: PMC5526236","page":"499","source":"PubMed Central","title":"A randomized phase II study of paclitaxel alone versus paclitaxel plus sorafenib in second- and third-line treatment of patients with HER2-negative metastatic breast cancer (PASO)","volume":"17","author":[{"family":"Decker","given":"Thomas"},{"family":"Overkamp","given":"Friedrich"},{"family":"Rösel","given":"Siegfried"},{"family":"Nusch","given":"Arnd"},{"family":"Göhler","given":"Thomas"},{"family":"Indorf","given":"Martin"},{"family":"Sahlmann","given":"Jörg"},{"family":"Trarbach","given":"Tanja"}],"issued":{"date-parts":[["2017",7,25]]}}},{"id":66774,"uris":["http://zotero.org/groups/4797619/items/2HU3NYWK"],"itemData":{"id":66774,"type":"article-journal","abstract":"Purpose\n\nGlycoprotein NMB (gpNMB), a negative prognostic marker, is overexpressed in multiple tumor types. Glembatumumab vedotin is a gpNMB-specific monoclonal antibody conjugated to the potent cytotoxin monomethyl auristatin E. This phase II study investigated the activity of glembatumumab vedotin in advanced breast cancer by gpNMB expression.\n\nPatients and Methods\n\nPatients (n = 124) with refractory breast cancer that expressed gpNMB in ≥ 5% of epithelial or stromal cells by central immunohistochemistry were stratified by gpNMB expression (tumor, low stromal intensity, high stromal intensity) and were randomly assigned 2:1 to glembatumumab vedotin (n = 83) or investigator's choice (IC) chemotherapy (n = 41). The study was powered to detect overall objective response rate (ORR) in the glembatumumab vedotin arm between 10% (null) and 22.5% (alternative hypothesis) with preplanned investigation of activity by gpNMB distribution and/or intensity (Stratum 1 to Stratum 3).\n\nResults\n\nGlembatumumab vedotin was well tolerated as compared with IC chemotherapy (less hematologic toxicity; more rash, pruritus, neuropathy, and alopecia). ORR was 6% (five of 83) for glembatumumab vedotin versus 7% (three of 41) for IC, without significant intertreatment differences for predefined strata. Secondary end point revealed ORR of 12% (10 of 83) versus 12% (five of 41) overall, and 30% (seven of 23) versus 9% (one of 11) for gpNMB overexpression (≥ 25% of tumor cells). Unplanned analysis showed ORR of 18% (five of 28) versus 0% (0 of 11) in patients with triple-negative breast cancer (TNBC), and 40% (four of 10) versus 0% (zero of six) in gpNMB-overexpressing TNBC.\n\nConclusion\n\nGlembatumumab vedotin is well tolerated in heavily pretreated patients with breast cancer. Although the primary end point in advanced gpNMB-expressing breast cancer was not met for all enrolled patients (median tumor gpNMB expression, 5%), activity may be enhanced in patients with gpNMB-overexpressing tumors and/or TNBC. A pivotal phase II trial (METRIC [Metastatic Triple-Negative Breast Cancer]) is underway.","container-title":"Journal of Clinical Oncology","DOI":"10.1200/JCO.2014.56.2959","ISSN":"0732-183X","issue":"14","journalAbbreviation":"JCO","note":"publisher: Wolters Kluwer","page":"1609-1619","source":"ascopubs.org (Atypon)","title":"EMERGE: A Randomized Phase II Study of the Antibody-Drug Conjugate Glembatumumab Vedotin in Advanced Glycoprotein NMB–Expressing Breast Cancer","title-short":"EMERGE","volume":"33","author":[{"family":"Yardley","given":"Denise A."},{"family":"Weaver","given":"Robert"},{"family":"Melisko","given":"Michelle E."},{"family":"Saleh","given":"Mansoor N."},{"family":"Arena","given":"Francis P."},{"family":"Forero","given":"Andres"},{"family":"Cigler","given":"Tessa"},{"family":"Stopeck","given":"Alison"},{"family":"Citrin","given":"Dennis"},{"family":"Oliff","given":"Ira"},{"family":"Bechhold","given":"Rebecca"},{"family":"Loutfi","given":"Randa"},{"family":"Garcia","given":"Agustin A."},{"family":"Cruickshank","given":"Scott"},{"family":"Crowley","given":"Elizabeth"},{"family":"Green","given":"Jennifer"},{"family":"Hawthorne","given":"Thomas"},{"family":"Yellin","given":"Michael J."},{"family":"Davis","given":"Thomas A."},{"family":"Vahdat","given":"Linda T."}],"issued":{"date-parts":[["2015",5,10]]}}},{"id":66149,"uris":["http://zotero.org/groups/4797619/items/8M7DF85G"],"itemData":{"id":66149,"type":"article-journal","abstract":"BACKGROUND: Based on data from two multicenter, phase III clinical trials (Studies 301 and 305), eribulin (a microtubule dynamics inhibitor) is indicated in the European Union (EU) for patients with locally advanced or metastatic breast cancer (MBC) after ≥1 prior chemotherapy for advanced disease, including an anthracycline and a taxane in either the adjuvant or metastatic setting. Data from Studies 305 and 301 were pooled to investigate the efficacy of eribulin in various subgroups of patients who matched the EU label, including those with human epidermal growth factor receptor 2 (HER2)-negative and triple-negative disease.\nPATIENTS AND METHODS: In Study 305 (NCT00388726), patients were randomized 2:1 to eribulin mesylate 1.4 mg/m(2) (equivalent to eribulin 1.23 mg/m(2) [expressed as free base]) intravenously on days 1 and 8 every 21 days] or treatment of physician's choice after 2-5 prior chemotherapies (≥2 for advanced disease), including an anthracycline and a taxane (in early/advanced setting). In Study 301 (NCT00337103), patients were randomized 1:1 to eribulin (as above) or capecitabine (1.25 g/m(2) orally twice daily on days 1-14 every 21 days) following ≤3 prior chemotherapies (≤2 for advanced disease), including an anthracycline and a taxane. Efficacy end points were investigated in the intent-to-treat population and subgroups, pooled as discussed above.\nRESULTS: Overall, 1644 patients were included (eribulin: 946; control: 698); baseline characteristics were well matched. Overall survival was significantly longer with eribulin versus control (P &lt; 0.01), as were progression-free survival and clinical benefit rate (both P &lt; 0.05). Significant survival benefits with eribulin versus control were observed in a wide range of patient subgroups, including HER2-negative or triple-negative disease (all P &lt; 0.05).\nCONCLUSION: Our findings underline the survival benefit achieved by eribulin used according to EU label in the overall MBC population and in various subgroups of interest, including patients with HER2-negative and triple-negative disease.","container-title":"Annals of Oncology: Official Journal of the European Society for Medical Oncology","DOI":"10.1093/annonc/mdw203","ISSN":"1569-8041","issue":"8","journalAbbreviation":"Ann Oncol","language":"eng","note":"PMID: 27177860\nPMCID: PMC4959925","page":"1525-1531","source":"PubMed","title":"Pooled analyses of eribulin in metastatic breast cancer patients with at least one prior chemotherapy","volume":"27","author":[{"family":"Pivot","given":"X."},{"family":"Marmé","given":"F."},{"family":"Koenigsberg","given":"R."},{"family":"Guo","given":"M."},{"family":"Berrak","given":"E."},{"family":"Wolfer","given":"A."}],"issued":{"date-parts":[["2016",8]]}}},{"id":66150,"uris":["http://zotero.org/groups/4797619/items/FWP3JYLN"],"itemData":{"id":66150,"type":"article-journal","abstract":"This post hoc subgroup analysis of a large phase 3 study compared the efficacy and safety of eribulin versus capecitabine in patients with human epidermal growth factor receptor 2 (HER2)-negative metastatic breast cancer who received second-line treatment. In the phase 3 study, women with advanced/metastatic breast cancer and ≤ 3 prior chemotherapies were randomized 1:1 to eribulin mesilate 1.4 mg/m2 intravenously on days 1 and 8, or twice-daily oral capecitabine 1.25 g/m2 on days 1-14 (21-day cycles). This analysis included 392 patients. Median overall survival was longer in patients receiving eribulin compared with capecitabine (16.1 vs 13.5 months, respectively; HR 0.77, P = 0.026). Median progression-free survival and response rates were similar between arms. Both treatments had manageable safety profiles.","container-title":"Breast Cancer (Tokyo, Japan)","DOI":"10.1007/s12282-017-0826-4","ISSN":"1880-4233","issue":"3","journalAbbreviation":"Breast Cancer","language":"eng","note":"PMID: 29302858\nPMCID: PMC5906517","page":"370-374","source":"PubMed","title":"Subgroup analysis of patients with HER2-negative metastatic breast cancer in the second-line setting from a phase 3, open-label, randomized study of eribulin mesilate versus capecitabine","volume":"25","author":[{"family":"Pivot","given":"Xavier"},{"family":"Im","given":"Seock Ah"},{"family":"Guo","given":"Matthew"},{"family":"Marmé","given":"Frederik"}],"issued":{"date-parts":[["2018",5]]}}},{"id":66151,"uris":["http://zotero.org/groups/4797619/items/RLDAE79H"],"itemData":{"id":66151,"type":"article-journal","abstract":"PURPOSE AND METHODS: Our secondary analyses compared survival with eribulin versus capecitabine in various patient subgroups from a phase 3, open-label, randomized study. Eligible women aged ≥18 years with advanced/metastatic breast cancer and ≤3 prior chemotherapies (≤2 for advanced/metastatic disease), including an anthracycline and taxane, were randomized 1:1 to intravenous eribulin mesylate 1.4 mg/m(2) on days 1 and 8 or twice-daily oral capecitabine 1250 mg/m(2) on days 1-14 (21-day cycles).\nRESULTS: In the intent-to-treat population (eribulin 554 and capecitabine 548), overall survival appeared longer with eribulin than capecitabine in various subgroups, including patients with human epidermal growth factor receptor 2-negative (15.9 versus 13.5 months, respectively), estrogen receptor-negative (14.4 versus 10.5 months, respectively), and triple-negative (14.4 versus 9.4 months, respectively) disease. Progression-free survival was similar between the treatment arms.\nCONCLUSIONS: Patients with advanced/metastatic breast cancer and human epidermal growth factor receptor 2-, estrogen receptor-, or triple-negative disease may gain particular benefit from eribulin as first-, second-, and third-line chemotherapies.\nTRIAL REGISTRATION PRIMARY STUDY: This study reports the subgroup analyses of eribulin versus capecitabine from a phase 3, open-label, randomized study (www.clinicaltrials.gov; ClinicalTrials.gov identifier: NCT00337103).","container-title":"Breast Cancer: Basic and Clinical Research","DOI":"10.4137/BCBCR.S39615","ISSN":"1178-2234","journalAbbreviation":"Breast Cancer (Auckl)","language":"eng","note":"PMID: 27398025\nPMCID: PMC4927108","page":"77-84","source":"PubMed","title":"Subgroup Analyses from a Phase 3, Open-Label, Randomized Study of Eribulin Mesylate Versus Capecitabine in Pretreated Patients with Advanced or Metastatic Breast Cancer","volume":"10","author":[{"family":"Twelves","given":"Chris"},{"family":"Awada","given":"Ahmad"},{"family":"Cortes","given":"Javier"},{"family":"Yelle","given":"Louise"},{"family":"Velikova","given":"Galina"},{"family":"Olivo","given":"Martin S."},{"family":"Song","given":"James"},{"family":"Dutcus","given":"Corina E."},{"family":"Kaufman","given":"Peter A."}],"issued":{"date-parts":[["2016"]]}}},{"id":66152,"uris":["http://zotero.org/groups/4797619/items/K2TXU8UJ"],"itemData":{"id":66152,"type":"article-journal","abstract":"BACKGROUND: Treatments with survival benefit are greatly needed for women with heavily pretreated metastatic breast cancer. Eribulin mesilate is a non-taxane microtubule dynamics inhibitor with a novel mode of action. We aimed to compare overall survival of heavily pretreated patients receiving eribulin versus currently available treatments.\nMETHODS: In this phase 3 open-label study, women with locally recurrent or metastatic breast cancer were randomly allocated (2:1) to eribulin mesilate (1·4 mg/m(2) administered intravenously during 2-5 min on days 1 and 8 of a 21-day cycle) or treatment of physician's choice (TPC). Patients had received between two and five previous chemotherapy regimens (two or more for advanced disease), including an anthracycline and a taxane, unless contraindicated. Randomisation was stratified by geographical region, previous capecitabine treatment, and human epidermal growth factor receptor 2 status. Patients and investigators were not masked to treatment allocation. The primary endpoint was overall survival in the intention-to-treat population. This study is registered at ClinicalTrials.gov, number NCT00388726.\nFINDINGS: 762 women were randomly allocated to treatment groups (508 eribulin, 254 TPC). Overall survival was significantly improved in women assigned to eribulin (median 13·1 months, 95% CI 11·8-14·3) compared with TPC (10·6 months, 9·3-12·5; hazard ratio 0·81, 95% CI 0·66-0·99; p=0·041). The most common adverse events in both groups were asthenia or fatigue (270 [54%] of 503 patients on eribulin and 98 [40%] of 247 patients on TPC at all grades) and neutropenia (260 [52%] patients receiving eribulin and 73 [30%] of those on TPC at all grades). Peripheral neuropathy was the most common adverse event leading to discontinuation from eribulin, occurring in 24 (5%) of 503 patients.\nINTERPRETATION: Eribulin showed a significant and clinically meaningful improvement in overall survival compared with TPC in women with heavily pretreated metastatic breast cancer. This finding challenges the notion that improved overall survival is an unrealistic expectation during evaluation of new anticancer therapies in the refractory setting.\nFUNDING: Eisai.","container-title":"Lancet (London, England)","DOI":"10.1016/S0140-6736(11)60070-6","ISSN":"1474-547X","issue":"9769","journalAbbreviation":"Lancet","language":"eng","note":"PMID: 21376385","page":"914-923","source":"PubMed","title":"Eribulin monotherapy versus treatment of physician's choice in patients with metastatic breast cancer (EMBRACE): a phase 3 open-label randomised study","title-short":"Eribulin monotherapy versus treatment of physician's choice in patients with metastatic breast cancer (EMBRACE)","volume":"377","author":[{"family":"Cortes","given":"Javier"},{"family":"O'Shaughnessy","given":"Joyce"},{"family":"Loesch","given":"David"},{"family":"Blum","given":"Joanne L."},{"family":"Vahdat","given":"Linda T."},{"family":"Petrakova","given":"Katarina"},{"family":"Chollet","given":"Philippe"},{"family":"Manikas","given":"Alexey"},{"family":"Diéras","given":"Veronique"},{"family":"Delozier","given":"Thierry"},{"family":"Vladimirov","given":"Vladimir"},{"family":"Cardoso","given":"Fatima"},{"family":"Koh","given":"Han"},{"family":"Bougnoux","given":"Philippe"},{"family":"Dutcus","given":"Corina E."},{"family":"Seegobin","given":"Seth"},{"family":"Mir","given":"Denis"},{"family":"Meneses","given":"Nicole"},{"family":"Wanders","given":"Jantien"},{"family":"Twelves","given":"Chris"},{"literal":"EMBRACE (Eisai Metastatic Breast Cancer Study Assessing Physician's Choice Versus E7389) investigators"}],"issued":{"date-parts":[["2011",3,12]]}}},{"id":66759,"uris":["http://zotero.org/groups/4797619/items/WRYWKH52"],"itemData":{"id":66759,"type":"article-journal","abstract":"The METRIC study (NCT#0199733) explored a novel antibody–drug conjugate, glembatumumab vedotin (GV), targeting gpNMB that is overexpressed in ~40% of patients with triple-negative breast cancer (TNBC) and associated with poor prognosis. The study was a randomized, open-label, phase 2b study that evaluated progression-free survival (PFS) of GV compared with capecitabine in gpNMB-overexpressing TNBC. Patients who had previously received anthracycline and taxane-based therapy were randomized 2:1 to receive, GV (1.88 mg/kg IV q21 days) or capecitabine (2500 mg/m2 PO daily d1–14 q21 days). The primary endpoint was RECIST 1.1 PFS per independent, blinded central review. In all, 327 patients were randomized to GV (213 treated) or capecitabine (92 treated). Median PFS was 2.9 months for GV vs. 2.8 months for capecitabine. The most common grade ≥3 toxicities for GV were neutropenia, rash, and leukopenia, and for capecitabine were fatigue, diarrhea, and palmar-plantar erythrodysesthesia. The study did not meet the primary endpoint of improved PFS over capecitabine or demonstrate a relative risk/benefit improvement over capecitabine.","container-title":"npj Breast Cancer","DOI":"10.1038/s41523-021-00244-6","ISSN":"2374-4677","issue":"1","language":"en","license":"2021 The Author(s)","note":"number: 1\npublisher: Nature Publishing Group","page":"1-10","source":"www.nature.com","title":"Glembatumumab vedotin for patients with metastatic, gpNMB overexpressing, triple-negative breast cancer (“METRIC”): a randomized multicenter study","title-short":"Glembatumumab vedotin for patients with metastatic, gpNMB overexpressing, triple-negative breast cancer (“METRIC”)","volume":"7","author":[{"family":"Vahdat","given":"Linda T."},{"family":"Schmid","given":"Peter"},{"family":"Forero-Torres","given":"Andres"},{"family":"Blackwell","given":"Kimberly"},{"family":"Telli","given":"Melinda L."},{"family":"Melisko","given":"Michelle"},{"family":"Möbus","given":"Volker"},{"family":"Cortes","given":"Javier"},{"family":"Montero","given":"Alberto J."},{"family":"Ma","given":"Cynthia"},{"family":"Nanda","given":"Rita"},{"family":"Wright","given":"Gail S."},{"family":"He","given":"Yi"},{"family":"Hawthorne","given":"Thomas"},{"family":"Bagley","given":"Rebecca G."},{"family":"Halim","given":"Abdel-Baset"},{"family":"Turner","given":"Christopher D."},{"family":"Yardley","given":"Denise A."}],"issued":{"date-parts":[["2021",5,20]]}}},{"id":66444,"uris":["http://zotero.org/groups/4797619/items/44JAGUPG"],"itemData":{"id":66444,"type":"article-journal","container-title":"New England Journal of Medicine","DOI":"10.1056/NEJMoa2028485","ISSN":"0028-4793","issue":"16","note":"publisher: Massachusetts Medical Society\n_eprint: https://doi.org/10.1056/NEJMoa2028485\nPMID: 33882206","page":"1529-1541","source":"Taylor and Francis+NEJM","title":"Sacituzumab Govitecan in Metastatic Triple-Negative Breast Cancer","volume":"384","author":[{"family":"Bardia","given":"Aditya"},{"family":"Hurvitz","given":"Sara A."},{"family":"Tolaney","given":"Sara M."},{"family":"Loirat","given":"Delphine"},{"family":"Punie","given":"Kevin"},{"family":"Oliveira","given":"Mafalda"},{"family":"Brufsky","given":"Adam"},{"family":"Sardesai","given":"Sagar D."},{"family":"Kalinsky","given":"Kevin"},{"family":"Zelnak","given":"Amelia B."},{"family":"Weaver","given":"Robert"},{"family":"Traina","given":"Tiffany"},{"family":"Dalenc","given":"Florence"},{"family":"Aftimos","given":"Philippe"},{"family":"Lynce","given":"Filipa"},{"family":"Diab","given":"Sami"},{"family":"Cortés","given":"Javier"},{"family":"O’Shaughnessy","given":"Joyce"},{"family":"Diéras","given":"Véronique"},{"family":"Ferrario","given":"Cristiano"},{"family":"Schmid","given":"Peter"},{"family":"Carey","given":"Lisa A."},{"family":"Gianni","given":"Luca"},{"family":"Piccart","given":"Martine J."},{"family":"Loibl","given":"Sibylle"},{"family":"Goldenberg","given":"David M."},{"family":"Hong","given":"Quan"},{"family":"Olivo","given":"Martin S."},{"family":"Itri","given":"Loretta M."},{"family":"Rugo","given":"Hope S."}],"issued":{"date-parts":[["2021",4,22]]}}},{"id":66764,"uris":["http://zotero.org/groups/4797619/items/YX8NEWUE"],"itemData":{"id":66764,"type":"article-journal","container-title":"The Lancet Oncology","DOI":"10.1016/S1470-2045(20)30754-3","ISSN":"1470-2045, 1474-5488","issue":"4","journalAbbreviation":"The Lancet Oncology","language":"English","note":"publisher: Elsevier\nPMID: 33676601","page":"499-511","source":"www.thelancet.com","title":"Pembrolizumab versus investigator-choice chemotherapy for metastatic triple-negative breast cancer (KEYNOTE-119): a randomised, open-label, phase 3 trial","title-short":"Pembrolizumab versus investigator-choice chemotherapy for metastatic triple-negative breast cancer (KEYNOTE-119)","volume":"22","author":[{"family":"Winer","given":"Eric P."},{"family":"Lipatov","given":"Oleg"},{"family":"Im","given":"Seock-Ah"},{"family":"Goncalves","given":"Anthony"},{"family":"Muñoz-Couselo","given":"Eva"},{"family":"Lee","given":"Keun Seok"},{"family":"Schmid","given":"Peter"},{"family":"Tamura","given":"Kenji"},{"family":"Testa","given":"Laura"},{"family":"Witzel","given":"Isabell"},{"family":"Ohtani","given":"Shoichiro"},{"family":"Turner","given":"Nicholas"},{"family":"Zambelli","given":"Stefania"},{"family":"Harbeck","given":"Nadia"},{"family":"Andre","given":"Fabrice"},{"family":"Dent","given":"Rebecca"},{"family":"Zhou","given":"Xuan"},{"family":"Karantza","given":"Vassiliki"},{"family":"Mejia","given":"Jaime"},{"family":"Cortes","given":"Javier"}],"issued":{"date-parts":[["2021",4,1]]}}}],"schema":"https://github.com/citation-style-language/schema/raw/master/csl-citation.json"} </w:instrText>
      </w:r>
      <w:r w:rsidR="00133584">
        <w:fldChar w:fldCharType="separate"/>
      </w:r>
      <w:r w:rsidR="00FD57F4" w:rsidRPr="00FD57F4">
        <w:rPr>
          <w:rFonts w:cs="Arial"/>
          <w:szCs w:val="24"/>
          <w:vertAlign w:val="superscript"/>
        </w:rPr>
        <w:t>43–55</w:t>
      </w:r>
      <w:r w:rsidR="00133584">
        <w:fldChar w:fldCharType="end"/>
      </w:r>
      <w:r>
        <w:t xml:space="preserve"> </w:t>
      </w:r>
      <w:r w:rsidRPr="00371464">
        <w:t xml:space="preserve">In the </w:t>
      </w:r>
      <w:r w:rsidRPr="00371464" w:rsidDel="009429E5">
        <w:t>HR-positive cohort</w:t>
      </w:r>
      <w:r w:rsidRPr="00371464">
        <w:t xml:space="preserve"> of DESTINY-Breast04 specifically, median PFS by BICR with TPC was </w:t>
      </w:r>
      <w:r>
        <w:t xml:space="preserve">slightly </w:t>
      </w:r>
      <w:r w:rsidRPr="00371464">
        <w:t xml:space="preserve">higher than the range </w:t>
      </w:r>
      <w:r>
        <w:t>in</w:t>
      </w:r>
      <w:r w:rsidRPr="00371464">
        <w:t xml:space="preserve"> previous studies </w:t>
      </w:r>
      <w:r w:rsidR="009E5266">
        <w:t>of</w:t>
      </w:r>
      <w:r w:rsidR="009E5266" w:rsidRPr="00371464">
        <w:t xml:space="preserve"> </w:t>
      </w:r>
      <w:r w:rsidRPr="00371464">
        <w:t>HER2-positive/HR-positive u/mBC (</w:t>
      </w:r>
      <w:r>
        <w:t>5.4 months</w:t>
      </w:r>
      <w:r w:rsidRPr="00AF02AE">
        <w:fldChar w:fldCharType="begin"/>
      </w:r>
      <w:r w:rsidR="00CA6345">
        <w:instrText xml:space="preserve"> ADDIN ZOTERO_ITEM CSL_CITATION {"citationID":"aww1gpfl","properties":{"formattedCitation":"\\super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Pr="00AF02AE">
        <w:fldChar w:fldCharType="separate"/>
      </w:r>
      <w:r w:rsidR="00FD57F4" w:rsidRPr="00FD57F4">
        <w:rPr>
          <w:rFonts w:cs="Arial"/>
          <w:szCs w:val="24"/>
          <w:vertAlign w:val="superscript"/>
        </w:rPr>
        <w:t>6</w:t>
      </w:r>
      <w:r w:rsidRPr="00AF02AE">
        <w:fldChar w:fldCharType="end"/>
      </w:r>
      <w:r>
        <w:t xml:space="preserve"> vs. </w:t>
      </w:r>
      <w:r w:rsidRPr="00371464">
        <w:t>3.</w:t>
      </w:r>
      <w:r>
        <w:t>6</w:t>
      </w:r>
      <w:r w:rsidRPr="00AF02AE">
        <w:t xml:space="preserve">–4.2 months), and median OS was </w:t>
      </w:r>
      <w:r>
        <w:t>also slightly higher</w:t>
      </w:r>
      <w:r w:rsidRPr="00AF02AE">
        <w:t xml:space="preserve"> (17.5 months</w:t>
      </w:r>
      <w:r w:rsidRPr="00AF02AE">
        <w:fldChar w:fldCharType="begin"/>
      </w:r>
      <w:r w:rsidR="00CA6345">
        <w:instrText xml:space="preserve"> ADDIN ZOTERO_ITEM CSL_CITATION {"citationID":"5VgrJ6U7","properties":{"formattedCitation":"\\super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Pr="00AF02AE">
        <w:fldChar w:fldCharType="separate"/>
      </w:r>
      <w:r w:rsidR="00FD57F4" w:rsidRPr="00FD57F4">
        <w:rPr>
          <w:rFonts w:cs="Arial"/>
          <w:szCs w:val="24"/>
          <w:vertAlign w:val="superscript"/>
        </w:rPr>
        <w:t>6</w:t>
      </w:r>
      <w:r w:rsidRPr="00AF02AE">
        <w:fldChar w:fldCharType="end"/>
      </w:r>
      <w:r w:rsidRPr="00AF02AE">
        <w:t xml:space="preserve"> vs. 11.5–</w:t>
      </w:r>
      <w:r>
        <w:t>16</w:t>
      </w:r>
      <w:r w:rsidRPr="00AF02AE">
        <w:t>.</w:t>
      </w:r>
      <w:r>
        <w:t>1</w:t>
      </w:r>
      <w:r w:rsidRPr="00AF02AE">
        <w:t xml:space="preserve"> months).</w:t>
      </w:r>
      <w:r w:rsidRPr="00AF02AE">
        <w:rPr>
          <w:rFonts w:cs="Arial"/>
          <w:sz w:val="20"/>
          <w:szCs w:val="20"/>
        </w:rPr>
        <w:fldChar w:fldCharType="begin"/>
      </w:r>
      <w:r w:rsidR="00CA6345">
        <w:rPr>
          <w:rFonts w:cs="Arial"/>
          <w:sz w:val="20"/>
          <w:szCs w:val="20"/>
        </w:rPr>
        <w:instrText xml:space="preserve"> ADDIN ZOTERO_ITEM CSL_CITATION {"citationID":"Crj8NADD","properties":{"formattedCitation":"\\super 43\\uc0\\u8211{}47,156\\nosupersub{}","plainCitation":"43–47,156","noteIndex":0},"citationItems":[{"id":66149,"uris":["http://zotero.org/groups/4797619/items/8M7DF85G"],"itemData":{"id":66149,"type":"article-journal","abstract":"BACKGROUND: Based on data from two multicenter, phase III clinical trials (Studies 301 and 305), eribulin (a microtubule dynamics inhibitor) is indicated in the European Union (EU) for patients with locally advanced or metastatic breast cancer (MBC) after ≥1 prior chemotherapy for advanced disease, including an anthracycline and a taxane in either the adjuvant or metastatic setting. Data from Studies 305 and 301 were pooled to investigate the efficacy of eribulin in various subgroups of patients who matched the EU label, including those with human epidermal growth factor receptor 2 (HER2)-negative and triple-negative disease.\nPATIENTS AND METHODS: In Study 305 (NCT00388726), patients were randomized 2:1 to eribulin mesylate 1.4 mg/m(2) (equivalent to eribulin 1.23 mg/m(2) [expressed as free base]) intravenously on days 1 and 8 every 21 days] or treatment of physician's choice after 2-5 prior chemotherapies (≥2 for advanced disease), including an anthracycline and a taxane (in early/advanced setting). In Study 301 (NCT00337103), patients were randomized 1:1 to eribulin (as above) or capecitabine (1.25 g/m(2) orally twice daily on days 1-14 every 21 days) following ≤3 prior chemotherapies (≤2 for advanced disease), including an anthracycline and a taxane. Efficacy end points were investigated in the intent-to-treat population and subgroups, pooled as discussed above.\nRESULTS: Overall, 1644 patients were included (eribulin: 946; control: 698); baseline characteristics were well matched. Overall survival was significantly longer with eribulin versus control (P &lt; 0.01), as were progression-free survival and clinical benefit rate (both P &lt; 0.05). Significant survival benefits with eribulin versus control were observed in a wide range of patient subgroups, including HER2-negative or triple-negative disease (all P &lt; 0.05).\nCONCLUSION: Our findings underline the survival benefit achieved by eribulin used according to EU label in the overall MBC population and in various subgroups of interest, including patients with HER2-negative and triple-negative disease.","container-title":"Annals of Oncology: Official Journal of the European Society for Medical Oncology","DOI":"10.1093/annonc/mdw203","ISSN":"1569-8041","issue":"8","journalAbbreviation":"Ann Oncol","language":"eng","note":"PMID: 27177860\nPMCID: PMC4959925","page":"1525-1531","source":"PubMed","title":"Pooled analyses of eribulin in metastatic breast cancer patients with at least one prior chemotherapy","volume":"27","author":[{"family":"Pivot","given":"X."},{"family":"Marmé","given":"F."},{"family":"Koenigsberg","given":"R."},{"family":"Guo","given":"M."},{"family":"Berrak","given":"E."},{"family":"Wolfer","given":"A."}],"issued":{"date-parts":[["2016",8]]}}},{"id":66152,"uris":["http://zotero.org/groups/4797619/items/K2TXU8UJ"],"itemData":{"id":66152,"type":"article-journal","abstract":"BACKGROUND: Treatments with survival benefit are greatly needed for women with heavily pretreated metastatic breast cancer. Eribulin mesilate is a non-taxane microtubule dynamics inhibitor with a novel mode of action. We aimed to compare overall survival of heavily pretreated patients receiving eribulin versus currently available treatments.\nMETHODS: In this phase 3 open-label study, women with locally recurrent or metastatic breast cancer were randomly allocated (2:1) to eribulin mesilate (1·4 mg/m(2) administered intravenously during 2-5 min on days 1 and 8 of a 21-day cycle) or treatment of physician's choice (TPC). Patients had received between two and five previous chemotherapy regimens (two or more for advanced disease), including an anthracycline and a taxane, unless contraindicated. Randomisation was stratified by geographical region, previous capecitabine treatment, and human epidermal growth factor receptor 2 status. Patients and investigators were not masked to treatment allocation. The primary endpoint was overall survival in the intention-to-treat population. This study is registered at ClinicalTrials.gov, number NCT00388726.\nFINDINGS: 762 women were randomly allocated to treatment groups (508 eribulin, 254 TPC). Overall survival was significantly improved in women assigned to eribulin (median 13·1 months, 95% CI 11·8-14·3) compared with TPC (10·6 months, 9·3-12·5; hazard ratio 0·81, 95% CI 0·66-0·99; p=0·041). The most common adverse events in both groups were asthenia or fatigue (270 [54%] of 503 patients on eribulin and 98 [40%] of 247 patients on TPC at all grades) and neutropenia (260 [52%] patients receiving eribulin and 73 [30%] of those on TPC at all grades). Peripheral neuropathy was the most common adverse event leading to discontinuation from eribulin, occurring in 24 (5%) of 503 patients.\nINTERPRETATION: Eribulin showed a significant and clinically meaningful improvement in overall survival compared with TPC in women with heavily pretreated metastatic breast cancer. This finding challenges the notion that improved overall survival is an unrealistic expectation during evaluation of new anticancer therapies in the refractory setting.\nFUNDING: Eisai.","container-title":"Lancet (London, England)","DOI":"10.1016/S0140-6736(11)60070-6","ISSN":"1474-547X","issue":"9769","journalAbbreviation":"Lancet","language":"eng","note":"PMID: 21376385","page":"914-923","source":"PubMed","title":"Eribulin monotherapy versus treatment of physician's choice in patients with metastatic breast cancer (EMBRACE): a phase 3 open-label randomised study","title-short":"Eribulin monotherapy versus treatment of physician's choice in patients with metastatic breast cancer (EMBRACE)","volume":"377","author":[{"family":"Cortes","given":"Javier"},{"family":"O'Shaughnessy","given":"Joyce"},{"family":"Loesch","given":"David"},{"family":"Blum","given":"Joanne L."},{"family":"Vahdat","given":"Linda T."},{"family":"Petrakova","given":"Katarina"},{"family":"Chollet","given":"Philippe"},{"family":"Manikas","given":"Alexey"},{"family":"Diéras","given":"Veronique"},{"family":"Delozier","given":"Thierry"},{"family":"Vladimirov","given":"Vladimir"},{"family":"Cardoso","given":"Fatima"},{"family":"Koh","given":"Han"},{"family":"Bougnoux","given":"Philippe"},{"family":"Dutcus","given":"Corina E."},{"family":"Seegobin","given":"Seth"},{"family":"Mir","given":"Denis"},{"family":"Meneses","given":"Nicole"},{"family":"Wanders","given":"Jantien"},{"family":"Twelves","given":"Chris"},{"literal":"EMBRACE (Eisai Metastatic Breast Cancer Study Assessing Physician's Choice Versus E7389) investigators"}],"issued":{"date-parts":[["2011",3,12]]}}},{"id":66151,"uris":["http://zotero.org/groups/4797619/items/RLDAE79H"],"itemData":{"id":66151,"type":"article-journal","abstract":"PURPOSE AND METHODS: Our secondary analyses compared survival with eribulin versus capecitabine in various patient subgroups from a phase 3, open-label, randomized study. Eligible women aged ≥18 years with advanced/metastatic breast cancer and ≤3 prior chemotherapies (≤2 for advanced/metastatic disease), including an anthracycline and taxane, were randomized 1:1 to intravenous eribulin mesylate 1.4 mg/m(2) on days 1 and 8 or twice-daily oral capecitabine 1250 mg/m(2) on days 1-14 (21-day cycles).\nRESULTS: In the intent-to-treat population (eribulin 554 and capecitabine 548), overall survival appeared longer with eribulin than capecitabine in various subgroups, including patients with human epidermal growth factor receptor 2-negative (15.9 versus 13.5 months, respectively), estrogen receptor-negative (14.4 versus 10.5 months, respectively), and triple-negative (14.4 versus 9.4 months, respectively) disease. Progression-free survival was similar between the treatment arms.\nCONCLUSIONS: Patients with advanced/metastatic breast cancer and human epidermal growth factor receptor 2-, estrogen receptor-, or triple-negative disease may gain particular benefit from eribulin as first-, second-, and third-line chemotherapies.\nTRIAL REGISTRATION PRIMARY STUDY: This study reports the subgroup analyses of eribulin versus capecitabine from a phase 3, open-label, randomized study (www.clinicaltrials.gov; ClinicalTrials.gov identifier: NCT00337103).","container-title":"Breast Cancer: Basic and Clinical Research","DOI":"10.4137/BCBCR.S39615","ISSN":"1178-2234","journalAbbreviation":"Breast Cancer (Auckl)","language":"eng","note":"PMID: 27398025\nPMCID: PMC4927108","page":"77-84","source":"PubMed","title":"Subgroup Analyses from a Phase 3, Open-Label, Randomized Study of Eribulin Mesylate Versus Capecitabine in Pretreated Patients with Advanced or Metastatic Breast Cancer","volume":"10","author":[{"family":"Twelves","given":"Chris"},{"family":"Awada","given":"Ahmad"},{"family":"Cortes","given":"Javier"},{"family":"Yelle","given":"Louise"},{"family":"Velikova","given":"Galina"},{"family":"Olivo","given":"Martin S."},{"family":"Song","given":"James"},{"family":"Dutcus","given":"Corina E."},{"family":"Kaufman","given":"Peter A."}],"issued":{"date-parts":[["2016"]]}}},{"id":66150,"uris":["http://zotero.org/groups/4797619/items/FWP3JYLN"],"itemData":{"id":66150,"type":"article-journal","abstract":"This post hoc subgroup analysis of a large phase 3 study compared the efficacy and safety of eribulin versus capecitabine in patients with human epidermal growth factor receptor 2 (HER2)-negative metastatic breast cancer who received second-line treatment. In the phase 3 study, women with advanced/metastatic breast cancer and ≤ 3 prior chemotherapies were randomized 1:1 to eribulin mesilate 1.4 mg/m2 intravenously on days 1 and 8, or twice-daily oral capecitabine 1.25 g/m2 on days 1-14 (21-day cycles). This analysis included 392 patients. Median overall survival was longer in patients receiving eribulin compared with capecitabine (16.1 vs 13.5 months, respectively; HR 0.77, P = 0.026). Median progression-free survival and response rates were similar between arms. Both treatments had manageable safety profiles.","container-title":"Breast Cancer (Tokyo, Japan)","DOI":"10.1007/s12282-017-0826-4","ISSN":"1880-4233","issue":"3","journalAbbreviation":"Breast Cancer","language":"eng","note":"PMID: 29302858\nPMCID: PMC5906517","page":"370-374","source":"PubMed","title":"Subgroup analysis of patients with HER2-negative metastatic breast cancer in the second-line setting from a phase 3, open-label, randomized study of eribulin mesilate versus capecitabine","volume":"25","author":[{"family":"Pivot","given":"Xavier"},{"family":"Im","given":"Seock Ah"},{"family":"Guo","given":"Matthew"},{"family":"Marmé","given":"Frederik"}],"issued":{"date-parts":[["2018",5]]}}},{"id":66278,"uris":["http://zotero.org/groups/4797619/items/L9C8M9U3"],"itemData":{"id":66278,"type":"article-journal","abstract":"BACKGROUND: Use of antiangiogenic agents in treatment of metastatic breast cancer (MBC) remains controversial. We evaluated the efficacy and safety of ramucirumab and eribulin versus eribulin alone as third- to fifth-line therapy in women with advanced breast cancer.\nPATIENTS AND METHODS: In this randomized (1:1), open-label, phase II study, US women aged 18 years or older with 2 to 4 previous chemotherapy regimens for locally recurrent or MBC, previous anthracycline and taxane treatment, and Eastern Cooperative Oncology Group performance status of 0 or 1 received ramucirumab with eribulin or eribulin alone in 21-day cycles (eribulin 1.4 mg/m2 intravenously on days 1 and 8; ramucirumab 10 mg/kg intravenously on day 1). Randomization was stratified according to previous antiangiogenic therapy and triple-negative status. The primary end point was progression-free survival (PFS) in the intention to treat population.\nRESULTS: One hundred forty-one women were randomized to ramucirumab with eribulin (n = 71) or eribulin alone (n = 70). Median PFS for ramucirumab with eribulin was 4.4 months (95% confidence interval [CI], 3.1-6.7) compared with 4.1 months (95% CI, 3.2-5.6) for eribulin (hazard ratio [HR], 0.83; 95% CI, 0.56-1.23; P = .35). Median overall survival in patients who received ramucirumab with eribulin was 13.5 months (95% CI, 10.4-17.9) compared with 11.5 months (95% CI, 9.0-17.3) in patients who received eribulin alone (HR, 0.91; 95% CI, 0.59-1.41; P = .68); objective response rate was 21% (13 of 62 patients) for the combination and 28% (17 of 60 patients) for eribulin alone. No unexpected toxicity was identified for the combination.\nCONCLUSION: Ramucirumab combined with eribulin did not significantly improve PFS in advanced MBC.","container-title":"Clinical Breast Cancer","DOI":"10.1016/j.clbc.2016.07.005","ISSN":"1938-0666","issue":"6","journalAbbreviation":"Clin Breast Cancer","language":"eng","note":"PMID: 27569274","page":"471-479.e1","source":"PubMed","title":"Ramucirumab With Eribulin Versus Eribulin in Locally Recurrent or Metastatic Breast Cancer Previously Treated With Anthracycline and Taxane Therapy: A Multicenter, Randomized, Phase II Study","title-short":"Ramucirumab With Eribulin Versus Eribulin in Locally Recurrent or Metastatic Breast Cancer Previously Treated With Anthracycline and Taxane Therapy","volume":"16","author":[{"family":"Yardley","given":"Denise A."},{"family":"Reeves","given":"James"},{"family":"Dees","given":"E. Claire"},{"family":"Osborne","given":"Cynthia"},{"family":"Paul","given":"Devchand"},{"family":"Ademuyiwa","given":"Foluso"},{"family":"Soliman","given":"Hatem"},{"family":"Guthrie","given":"Troy"},{"family":"Andersen","given":"Jay"},{"family":"Krekow","given":"Lea"},{"family":"Choksi","given":"Janak"},{"family":"Daniel","given":"Brooke"},{"family":"Danso","given":"Michael"},{"family":"Favret","given":"Anne"},{"family":"Oommen","given":"Sanjay"},{"family":"Brufsky","given":"Adam"},{"family":"Bromund","given":"Jane L."},{"family":"Lin","given":"Yong"},{"family":"Ibrahim","given":"Ayman B."},{"family":"Richards","given":"Paul D."}],"issued":{"date-parts":[["2016",12]]}}},{"id":66277,"uris":["http://zotero.org/groups/4797619/items/5TI5IZJM"],"itemData":{"id":66277,"type":"article-journal","abstract":"This multicenter, randomized, open-label phase III trial (planned enrollment: 700 patients) was conducted to test the hypothesis that single-agent sunitinib improves progression-free survival (PFS) compared with capecitabine as treatment for advanced breast cancer (ABC). Patients with HER2-negative ABC that recurred after anthracycline and taxane therapy were randomized (1:1) to sunitinib 37.5 mg/day or capecitabine 1,250 mg/m(2) (1,000 mg/m(2) in patients &gt;65 years) BID on days 1-14 q3w. The independent data-monitoring committee (DMC) determined during the first interim analysis (238 patients randomized to sunitinib, 244 to capecitabine) that the trial be terminated due to futility in reaching the primary endpoint. No statistical evidence supported the hypothesis that sunitinib improved PFS compared with capecitabine (one-sided P = 0.999). The data indicated that PFS was shorter with sunitinib than capecitabine (median 2.8 vs. 4.2 months, respectively; HR, 1.47; 95% CI, 1.16-1.87; two-sided P = 0.002). Median overall survival (15.3 vs. 24.6 months; HR, 1.17; two-sided P = 0.350) and objective response rates (11 vs. 16%; odds ratio, 0.65; P = 0.109) were numerically inferior with sunitinib versus capecitabine. While no new or unexpected safety findings were reported, sunitinib treatment was associated with higher frequencies and greater severities of many common adverse events (AEs) compared with capecitabine, resulting in more temporary discontinuations due to AEs with sunitinib (66 vs. 51%). The relative dose intensity was lower with sunitinib than capecitabine (73 vs. 95%). Based on these efficacy and safety results, sunitinib should not be used as monotherapy for patients with ABC.","container-title":"Breast Cancer Research and Treatment","DOI":"10.1007/s10549-010-0788-0","ISSN":"1573-7217","issue":"1","journalAbbreviation":"Breast Cancer Res Treat","language":"eng","note":"PMID: 20339913\nPMCID: PMC2855860","page":"121-131","source":"PubMed","title":"Phase III randomized trial of sunitinib versus capecitabine in patients with previously treated HER2-negative advanced breast cancer","volume":"121","author":[{"family":"Barrios","given":"Carlos H."},{"family":"Liu","given":"Mei-Ching"},{"family":"Lee","given":"Soo Chin"},{"family":"Vanlemmens","given":"Laurence"},{"family":"Ferrero","given":"Jean-Marc"},{"family":"Tabei","given":"Toshio"},{"family":"Pivot","given":"Xavier"},{"family":"Iwata","given":"Hiroji"},{"family":"Aogi","given":"Kenjiro"},{"family":"Lugo-Quintana","given":"Roberto"},{"family":"Harbeck","given":"Nadia"},{"family":"Brickman","given":"Marla J."},{"family":"Zhang","given":"Ke"},{"family":"Kern","given":"Kenneth A."},{"family":"Martin","given":"Miguel"}],"issued":{"date-parts":[["2010",5]]}}}],"schema":"https://github.com/citation-style-language/schema/raw/master/csl-citation.json"} </w:instrText>
      </w:r>
      <w:r w:rsidRPr="00AF02AE">
        <w:rPr>
          <w:rFonts w:cs="Arial"/>
          <w:sz w:val="20"/>
          <w:szCs w:val="20"/>
        </w:rPr>
        <w:fldChar w:fldCharType="separate"/>
      </w:r>
      <w:r w:rsidR="00CA6345" w:rsidRPr="00CA6345">
        <w:rPr>
          <w:rFonts w:cs="Arial"/>
          <w:sz w:val="20"/>
          <w:szCs w:val="24"/>
          <w:vertAlign w:val="superscript"/>
        </w:rPr>
        <w:t>43–47,156</w:t>
      </w:r>
      <w:r w:rsidRPr="00AF02AE">
        <w:rPr>
          <w:rFonts w:cs="Arial"/>
          <w:sz w:val="20"/>
          <w:szCs w:val="20"/>
        </w:rPr>
        <w:fldChar w:fldCharType="end"/>
      </w:r>
      <w:r w:rsidRPr="00AF02AE">
        <w:t xml:space="preserve"> In the HR-negative cohort, median PFS in the TPC arm of DESTINY-Breast04 was </w:t>
      </w:r>
      <w:r>
        <w:t>similar to</w:t>
      </w:r>
      <w:r w:rsidRPr="00AF02AE">
        <w:t xml:space="preserve"> previous studies (2.9 months</w:t>
      </w:r>
      <w:r w:rsidRPr="00AF02AE">
        <w:fldChar w:fldCharType="begin"/>
      </w:r>
      <w:r w:rsidR="00CA6345">
        <w:instrText xml:space="preserve"> ADDIN ZOTERO_ITEM CSL_CITATION {"citationID":"yfo9iBVM","properties":{"formattedCitation":"\\super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Pr="00AF02AE">
        <w:fldChar w:fldCharType="separate"/>
      </w:r>
      <w:r w:rsidR="00FD57F4" w:rsidRPr="00FD57F4">
        <w:rPr>
          <w:rFonts w:cs="Arial"/>
          <w:szCs w:val="24"/>
          <w:vertAlign w:val="superscript"/>
        </w:rPr>
        <w:t>6</w:t>
      </w:r>
      <w:r w:rsidRPr="00AF02AE">
        <w:fldChar w:fldCharType="end"/>
      </w:r>
      <w:r w:rsidRPr="00AF02AE">
        <w:t xml:space="preserve"> vs. </w:t>
      </w:r>
      <w:r>
        <w:t>1.7</w:t>
      </w:r>
      <w:r w:rsidRPr="00AF02AE">
        <w:t>–</w:t>
      </w:r>
      <w:r>
        <w:t>2</w:t>
      </w:r>
      <w:r w:rsidRPr="00AF02AE">
        <w:t>.</w:t>
      </w:r>
      <w:r>
        <w:t>8</w:t>
      </w:r>
      <w:r w:rsidRPr="00AF02AE">
        <w:t xml:space="preserve"> months), as was median OS (8.3 months</w:t>
      </w:r>
      <w:r w:rsidRPr="00AF02AE">
        <w:fldChar w:fldCharType="begin"/>
      </w:r>
      <w:r w:rsidR="00CA6345">
        <w:instrText xml:space="preserve"> ADDIN ZOTERO_ITEM CSL_CITATION {"citationID":"RRVtBRds","properties":{"formattedCitation":"\\super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Pr="00AF02AE">
        <w:fldChar w:fldCharType="separate"/>
      </w:r>
      <w:r w:rsidR="00FD57F4" w:rsidRPr="00FD57F4">
        <w:rPr>
          <w:rFonts w:cs="Arial"/>
          <w:szCs w:val="24"/>
          <w:vertAlign w:val="superscript"/>
        </w:rPr>
        <w:t>6</w:t>
      </w:r>
      <w:r w:rsidRPr="00AF02AE">
        <w:fldChar w:fldCharType="end"/>
      </w:r>
      <w:r w:rsidRPr="00AF02AE">
        <w:t xml:space="preserve"> vs 6.7–1</w:t>
      </w:r>
      <w:r>
        <w:t>2</w:t>
      </w:r>
      <w:r w:rsidRPr="00AF02AE">
        <w:t>.</w:t>
      </w:r>
      <w:r>
        <w:t>4</w:t>
      </w:r>
      <w:r w:rsidRPr="00AF02AE">
        <w:t xml:space="preserve"> months).</w:t>
      </w:r>
      <w:r w:rsidRPr="00AF02AE">
        <w:fldChar w:fldCharType="begin"/>
      </w:r>
      <w:r w:rsidR="00CA6345">
        <w:instrText xml:space="preserve"> ADDIN ZOTERO_ITEM CSL_CITATION {"citationID":"lEGFbUbg","properties":{"formattedCitation":"\\super 43, 48\\uc0\\u8211{}50,157\\nosupersub{}","plainCitation":"43, 48–50,157","noteIndex":0},"citationItems":[{"id":66444,"uris":["http://zotero.org/groups/4797619/items/44JAGUPG"],"itemData":{"id":66444,"type":"article-journal","container-title":"New England Journal of Medicine","DOI":"10.1056/NEJMoa2028485","ISSN":"0028-4793","issue":"16","note":"publisher: Massachusetts Medical Society\n_eprint: https://doi.org/10.1056/NEJMoa2028485\nPMID: 33882206","page":"1529-1541","source":"Taylor and Francis+NEJM","title":"Sacituzumab Govitecan in Metastatic Triple-Negative Breast Cancer","volume":"384","author":[{"family":"Bardia","given":"Aditya"},{"family":"Hurvitz","given":"Sara A."},{"family":"Tolaney","given":"Sara M."},{"family":"Loirat","given":"Delphine"},{"family":"Punie","given":"Kevin"},{"family":"Oliveira","given":"Mafalda"},{"family":"Brufsky","given":"Adam"},{"family":"Sardesai","given":"Sagar D."},{"family":"Kalinsky","given":"Kevin"},{"family":"Zelnak","given":"Amelia B."},{"family":"Weaver","given":"Robert"},{"family":"Traina","given":"Tiffany"},{"family":"Dalenc","given":"Florence"},{"family":"Aftimos","given":"Philippe"},{"family":"Lynce","given":"Filipa"},{"family":"Diab","given":"Sami"},{"family":"Cortés","given":"Javier"},{"family":"O’Shaughnessy","given":"Joyce"},{"family":"Diéras","given":"Véronique"},{"family":"Ferrario","given":"Cristiano"},{"family":"Schmid","given":"Peter"},{"family":"Carey","given":"Lisa A."},{"family":"Gianni","given":"Luca"},{"family":"Piccart","given":"Martine J."},{"family":"Loibl","given":"Sibylle"},{"family":"Goldenberg","given":"David M."},{"family":"Hong","given":"Quan"},{"family":"Olivo","given":"Martin S."},{"family":"Itri","given":"Loretta M."},{"family":"Rugo","given":"Hope S."}],"issued":{"date-parts":[["2021",4,22]]}}},{"id":66149,"uris":["http://zotero.org/groups/4797619/items/8M7DF85G"],"itemData":{"id":66149,"type":"article-journal","abstract":"BACKGROUND: Based on data from two multicenter, phase III clinical trials (Studies 301 and 305), eribulin (a microtubule dynamics inhibitor) is indicated in the European Union (EU) for patients with locally advanced or metastatic breast cancer (MBC) after ≥1 prior chemotherapy for advanced disease, including an anthracycline and a taxane in either the adjuvant or metastatic setting. Data from Studies 305 and 301 were pooled to investigate the efficacy of eribulin in various subgroups of patients who matched the EU label, including those with human epidermal growth factor receptor 2 (HER2)-negative and triple-negative disease.\nPATIENTS AND METHODS: In Study 305 (NCT00388726), patients were randomized 2:1 to eribulin mesylate 1.4 mg/m(2) (equivalent to eribulin 1.23 mg/m(2) [expressed as free base]) intravenously on days 1 and 8 every 21 days] or treatment of physician's choice after 2-5 prior chemotherapies (≥2 for advanced disease), including an anthracycline and a taxane (in early/advanced setting). In Study 301 (NCT00337103), patients were randomized 1:1 to eribulin (as above) or capecitabine (1.25 g/m(2) orally twice daily on days 1-14 every 21 days) following ≤3 prior chemotherapies (≤2 for advanced disease), including an anthracycline and a taxane. Efficacy end points were investigated in the intent-to-treat population and subgroups, pooled as discussed above.\nRESULTS: Overall, 1644 patients were included (eribulin: 946; control: 698); baseline characteristics were well matched. Overall survival was significantly longer with eribulin versus control (P &lt; 0.01), as were progression-free survival and clinical benefit rate (both P &lt; 0.05). Significant survival benefits with eribulin versus control were observed in a wide range of patient subgroups, including HER2-negative or triple-negative disease (all P &lt; 0.05).\nCONCLUSION: Our findings underline the survival benefit achieved by eribulin used according to EU label in the overall MBC population and in various subgroups of interest, including patients with HER2-negative and triple-negative disease.","container-title":"Annals of Oncology: Official Journal of the European Society for Medical Oncology","DOI":"10.1093/annonc/mdw203","ISSN":"1569-8041","issue":"8","journalAbbreviation":"Ann Oncol","language":"eng","note":"PMID: 27177860\nPMCID: PMC4959925","page":"1525-1531","source":"PubMed","title":"Pooled analyses of eribulin in metastatic breast cancer patients with at least one prior chemotherapy","volume":"27","author":[{"family":"Pivot","given":"X."},{"family":"Marmé","given":"F."},{"family":"Koenigsberg","given":"R."},{"family":"Guo","given":"M."},{"family":"Berrak","given":"E."},{"family":"Wolfer","given":"A."}],"issued":{"date-parts":[["2016",8]]}}},{"id":66759,"uris":["http://zotero.org/groups/4797619/items/WRYWKH52"],"itemData":{"id":66759,"type":"article-journal","abstract":"The METRIC study (NCT#0199733) explored a novel antibody–drug conjugate, glembatumumab vedotin (GV), targeting gpNMB that is overexpressed in ~40% of patients with triple-negative breast cancer (TNBC) and associated with poor prognosis. The study was a randomized, open-label, phase 2b study that evaluated progression-free survival (PFS) of GV compared with capecitabine in gpNMB-overexpressing TNBC. Patients who had previously received anthracycline and taxane-based therapy were randomized 2:1 to receive, GV (1.88 mg/kg IV q21 days) or capecitabine (2500 mg/m2 PO daily d1–14 q21 days). The primary endpoint was RECIST 1.1 PFS per independent, blinded central review. In all, 327 patients were randomized to GV (213 treated) or capecitabine (92 treated). Median PFS was 2.9 months for GV vs. 2.8 months for capecitabine. The most common grade ≥3 toxicities for GV were neutropenia, rash, and leukopenia, and for capecitabine were fatigue, diarrhea, and palmar-plantar erythrodysesthesia. The study did not meet the primary endpoint of improved PFS over capecitabine or demonstrate a relative risk/benefit improvement over capecitabine.","container-title":"npj Breast Cancer","DOI":"10.1038/s41523-021-00244-6","ISSN":"2374-4677","issue":"1","language":"en","license":"2021 The Author(s)","note":"number: 1\npublisher: Nature Publishing Group","page":"1-10","source":"www.nature.com","title":"Glembatumumab vedotin for patients with metastatic, gpNMB overexpressing, triple-negative breast cancer (“METRIC”): a randomized multicenter study","title-short":"Glembatumumab vedotin for patients with metastatic, gpNMB overexpressing, triple-negative breast cancer (“METRIC”)","volume":"7","author":[{"family":"Vahdat","given":"Linda T."},{"family":"Schmid","given":"Peter"},{"family":"Forero-Torres","given":"Andres"},{"family":"Blackwell","given":"Kimberly"},{"family":"Telli","given":"Melinda L."},{"family":"Melisko","given":"Michelle"},{"family":"Möbus","given":"Volker"},{"family":"Cortes","given":"Javier"},{"family":"Montero","given":"Alberto J."},{"family":"Ma","given":"Cynthia"},{"family":"Nanda","given":"Rita"},{"family":"Wright","given":"Gail S."},{"family":"He","given":"Yi"},{"family":"Hawthorne","given":"Thomas"},{"family":"Bagley","given":"Rebecca G."},{"family":"Halim","given":"Abdel-Baset"},{"family":"Turner","given":"Christopher D."},{"family":"Yardley","given":"Denise A."}],"issued":{"date-parts":[["2021",5,20]]}}},{"id":66764,"uris":["http://zotero.org/groups/4797619/items/YX8NEWUE"],"itemData":{"id":66764,"type":"article-journal","container-title":"The Lancet Oncology","DOI":"10.1016/S1470-2045(20)30754-3","ISSN":"1470-2045, 1474-5488","issue":"4","journalAbbreviation":"The Lancet Oncology","language":"English","note":"publisher: Elsevier\nPMID: 33676601","page":"499-511","source":"www.thelancet.com","title":"Pembrolizumab versus investigator-choice chemotherapy for metastatic triple-negative breast cancer (KEYNOTE-119): a randomised, open-label, phase 3 trial","title-short":"Pembrolizumab versus investigator-choice chemotherapy for metastatic triple-negative breast cancer (KEYNOTE-119)","volume":"22","author":[{"family":"Winer","given":"Eric P."},{"family":"Lipatov","given":"Oleg"},{"family":"Im","given":"Seock-Ah"},{"family":"Goncalves","given":"Anthony"},{"family":"Muñoz-Couselo","given":"Eva"},{"family":"Lee","given":"Keun Seok"},{"family":"Schmid","given":"Peter"},{"family":"Tamura","given":"Kenji"},{"family":"Testa","given":"Laura"},{"family":"Witzel","given":"Isabell"},{"family":"Ohtani","given":"Shoichiro"},{"family":"Turner","given":"Nicholas"},{"family":"Zambelli","given":"Stefania"},{"family":"Harbeck","given":"Nadia"},{"family":"Andre","given":"Fabrice"},{"family":"Dent","given":"Rebecca"},{"family":"Zhou","given":"Xuan"},{"family":"Karantza","given":"Vassiliki"},{"family":"Mejia","given":"Jaime"},{"family":"Cortes","given":"Javier"}],"issued":{"date-parts":[["2021",4,1]]}}},{"id":66770,"uris":["http://zotero.org/groups/4797619/items/43HHHHD5"],"itemData":{"id":66770,"type":"article-journal","abstract":"Purpose\nWe investigated whether irinotecan plus capecitabine improved progression-free survival (PFS) compared with capecitabine alone in patients with human epidermal growth factor 2 (HER2) negative and anthracycline and taxane pretreated metastatic breast cancer (MBC). \n\nMaterials and Methods\nA total of 221 patients were randomly assigned to irinotecan (80 mg/m2, days 1 and 8) and capecitabine (1,000 mg/m2 twice a day, days 1-14) or capecitabine alone (1,250 mg/m2 twice a day, days 1-14) every 3 weeks. The primary endpoint was PFS.\n\nResults\nThere was no significant difference in PFS between the combination and monotherapy arm (median, 6.4 months vs. 4.7 months; hazard ratio [HR], 0.84; 95% confidence interval [CI], 0.63 to 1.11; p=0.84). In patients with triple-negative breast cancer (TNBC, n=90), the combination significantly improved PFS (median, 4.7 months vs. 2.5 months; HR, 0.58; 95% CI, 0.37 to 0.91; p=0.02). Objective response rate was numerically higher in the combination arm, though it failed to reach statistical significance (44.4% vs. 33.3%, p=0.30). Overall survival did not differ between arms (median, 20.4 months vs. 24.0 months; p=0.63). While grade 3 or 4 neutropenia was more common in the combination arm (39.6% vs. 9.0%), hand-foot syndrome was more often observed in capecitabine arm. Quality of life measurements in global health status was similar. However, patients in the combination arm showed significantly worse symptom scales especially in nausea/vomiting and diarrhea. \n\nConclusion\nIrinotecan plus capecitabine did not prove clinically superior to single-agent capecitabine in anthracycline- and taxane-pretreated HER2 negative MBC patients. Toxicity profiles of the two groups differed but were manageable. The role of added irinotecan in patients with TNBC remains to be elucidated.","container-title":"Cancer Research and Treatment : Official Journal of Korean Cancer Association","DOI":"10.4143/crt.2017.562","ISSN":"1598-2998","issue":"1","journalAbbreviation":"Cancer Res Treat","note":"PMID: 29458237\nPMCID: PMC6333992","page":"43-52","source":"PubMed Central","title":"Randomized Open Label Phase III Trial of Irinotecan Plus Capecitabine versus Capecitabine Monotherapy in Patients with Metastatic Breast Cancer Previously Treated with Anthracycline and Taxane: PROCEED Trial (KCSG BR 11-01)","title-short":"Randomized Open Label Phase III Trial of Irinotecan Plus Capecitabine versus Capecitabine Monotherapy in Patients with Metastatic Breast Cancer Previously Treated with Anthracycline and Taxane","volume":"51","author":[{"family":"Park","given":"In Hae"},{"family":"Im","given":"Seock-Ah"},{"family":"Jung","given":"Kyung Hae"},{"family":"Sohn","given":"Joo Hyuk"},{"family":"Park","given":"Yeon Hee"},{"family":"Lee","given":"Keun Seok"},{"family":"Sim","given":"Sung Hoon"},{"family":"Park","given":"Kyong-Hwa"},{"family":"Kim","given":"Jee Hyun"},{"family":"Nam","given":"Byung Ho"},{"family":"Kim","given":"Hee-Jun"},{"family":"Kim","given":"Tae-Yong"},{"family":"Lee","given":"Kyung-Hun"},{"family":"Kim","given":"Sung-Bae"},{"family":"Ahn","given":"Jin-Hee"},{"family":"Lee","given":"Suee"},{"family":"Ro","given":"Jungsil"}],"issued":{"date-parts":[["2019",1]]}}}],"schema":"https://github.com/citation-style-language/schema/raw/master/csl-citation.json"} </w:instrText>
      </w:r>
      <w:r w:rsidRPr="00AF02AE">
        <w:fldChar w:fldCharType="separate"/>
      </w:r>
      <w:r w:rsidR="00CA6345" w:rsidRPr="00CA6345">
        <w:rPr>
          <w:rFonts w:cs="Arial"/>
          <w:szCs w:val="24"/>
          <w:vertAlign w:val="superscript"/>
        </w:rPr>
        <w:t>43, 48–50,157</w:t>
      </w:r>
      <w:r w:rsidRPr="00AF02AE">
        <w:fldChar w:fldCharType="end"/>
      </w:r>
      <w:r>
        <w:t xml:space="preserve"> This confirms the external validity of the TPC arm in DESTINY-Breast04.</w:t>
      </w:r>
      <w:r w:rsidRPr="00AF02AE">
        <w:t xml:space="preserve"> </w:t>
      </w:r>
    </w:p>
    <w:p w14:paraId="0FE3451E" w14:textId="42BEE044" w:rsidR="000B148D" w:rsidRDefault="000B148D" w:rsidP="000B148D">
      <w:pPr>
        <w:pStyle w:val="Body"/>
      </w:pPr>
      <w:r>
        <w:t>A comparison with previous studies highlights the unprecedented efficacy benefit of T-DXd in DESTINY-Breast04 compared with non-targeted single-agent chemotherapies (</w:t>
      </w:r>
      <w:r>
        <w:fldChar w:fldCharType="begin"/>
      </w:r>
      <w:r>
        <w:instrText xml:space="preserve"> REF _Ref126923702 \h  \* MERGEFORMAT </w:instrText>
      </w:r>
      <w:r>
        <w:fldChar w:fldCharType="separate"/>
      </w:r>
      <w:r w:rsidR="00145F42" w:rsidRPr="00145F42">
        <w:rPr>
          <w:b/>
          <w:bCs/>
        </w:rPr>
        <w:t xml:space="preserve">Table </w:t>
      </w:r>
      <w:r w:rsidR="00145F42" w:rsidRPr="00145F42">
        <w:rPr>
          <w:b/>
          <w:bCs/>
          <w:noProof/>
        </w:rPr>
        <w:t>30</w:t>
      </w:r>
      <w:r>
        <w:fldChar w:fldCharType="end"/>
      </w:r>
      <w:r>
        <w:t>).</w:t>
      </w:r>
      <w:r w:rsidRPr="00054570">
        <w:t xml:space="preserve"> </w:t>
      </w:r>
      <w:r>
        <w:t xml:space="preserve">In the FAS, median PFS by BICR for T-DXd was </w:t>
      </w:r>
      <w:r w:rsidR="00EB0FBA">
        <w:t xml:space="preserve">considerably </w:t>
      </w:r>
      <w:r>
        <w:t>longer than the DESTINY-</w:t>
      </w:r>
      <w:r>
        <w:lastRenderedPageBreak/>
        <w:t>Breast04 TPC arm (</w:t>
      </w:r>
      <w:r w:rsidRPr="00054570">
        <w:t>9.9 vs. 5.1 months; HR: 0.50; p&lt;0.001</w:t>
      </w:r>
      <w:r>
        <w:t>)</w:t>
      </w:r>
      <w:r w:rsidRPr="00AF02AE">
        <w:fldChar w:fldCharType="begin"/>
      </w:r>
      <w:r w:rsidR="00CA6345">
        <w:instrText xml:space="preserve"> ADDIN ZOTERO_ITEM CSL_CITATION {"citationID":"G3LPMEiI","properties":{"formattedCitation":"\\super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Pr="00AF02AE">
        <w:fldChar w:fldCharType="separate"/>
      </w:r>
      <w:r w:rsidR="00FD57F4" w:rsidRPr="00FD57F4">
        <w:rPr>
          <w:rFonts w:cs="Arial"/>
          <w:szCs w:val="24"/>
          <w:vertAlign w:val="superscript"/>
        </w:rPr>
        <w:t>6</w:t>
      </w:r>
      <w:r w:rsidRPr="00AF02AE">
        <w:fldChar w:fldCharType="end"/>
      </w:r>
      <w:r>
        <w:t xml:space="preserve"> and </w:t>
      </w:r>
      <w:r w:rsidR="00EB0FBA">
        <w:t>the</w:t>
      </w:r>
      <w:r>
        <w:t xml:space="preserve"> chemotherapy arms from previous studies (</w:t>
      </w:r>
      <w:r w:rsidR="00A03C79">
        <w:t>1.7</w:t>
      </w:r>
      <w:r>
        <w:t>–6.6 months).</w:t>
      </w:r>
      <w:r w:rsidR="00A03C79">
        <w:fldChar w:fldCharType="begin"/>
      </w:r>
      <w:r w:rsidR="00CA6345">
        <w:instrText xml:space="preserve"> ADDIN ZOTERO_ITEM CSL_CITATION {"citationID":"bsGa11Mt","properties":{"formattedCitation":"\\super 43\\uc0\\u8211{}55\\nosupersub{}","plainCitation":"43–55","noteIndex":0},"citationItems":[{"id":66278,"uris":["http://zotero.org/groups/4797619/items/L9C8M9U3"],"itemData":{"id":66278,"type":"article-journal","abstract":"BACKGROUND: Use of antiangiogenic agents in treatment of metastatic breast cancer (MBC) remains controversial. We evaluated the efficacy and safety of ramucirumab and eribulin versus eribulin alone as third- to fifth-line therapy in women with advanced breast cancer.\nPATIENTS AND METHODS: In this randomized (1:1), open-label, phase II study, US women aged 18 years or older with 2 to 4 previous chemotherapy regimens for locally recurrent or MBC, previous anthracycline and taxane treatment, and Eastern Cooperative Oncology Group performance status of 0 or 1 received ramucirumab with eribulin or eribulin alone in 21-day cycles (eribulin 1.4 mg/m2 intravenously on days 1 and 8; ramucirumab 10 mg/kg intravenously on day 1). Randomization was stratified according to previous antiangiogenic therapy and triple-negative status. The primary end point was progression-free survival (PFS) in the intention to treat population.\nRESULTS: One hundred forty-one women were randomized to ramucirumab with eribulin (n = 71) or eribulin alone (n = 70). Median PFS for ramucirumab with eribulin was 4.4 months (95% confidence interval [CI], 3.1-6.7) compared with 4.1 months (95% CI, 3.2-5.6) for eribulin (hazard ratio [HR], 0.83; 95% CI, 0.56-1.23; P = .35). Median overall survival in patients who received ramucirumab with eribulin was 13.5 months (95% CI, 10.4-17.9) compared with 11.5 months (95% CI, 9.0-17.3) in patients who received eribulin alone (HR, 0.91; 95% CI, 0.59-1.41; P = .68); objective response rate was 21% (13 of 62 patients) for the combination and 28% (17 of 60 patients) for eribulin alone. No unexpected toxicity was identified for the combination.\nCONCLUSION: Ramucirumab combined with eribulin did not significantly improve PFS in advanced MBC.","container-title":"Clinical Breast Cancer","DOI":"10.1016/j.clbc.2016.07.005","ISSN":"1938-0666","issue":"6","journalAbbreviation":"Clin Breast Cancer","language":"eng","note":"PMID: 27569274","page":"471-479.e1","source":"PubMed","title":"Ramucirumab With Eribulin Versus Eribulin in Locally Recurrent or Metastatic Breast Cancer Previously Treated With Anthracycline and Taxane Therapy: A Multicenter, Randomized, Phase II Study","title-short":"Ramucirumab With Eribulin Versus Eribulin in Locally Recurrent or Metastatic Breast Cancer Previously Treated With Anthracycline and Taxane Therapy","volume":"16","author":[{"family":"Yardley","given":"Denise A."},{"family":"Reeves","given":"James"},{"family":"Dees","given":"E. Claire"},{"family":"Osborne","given":"Cynthia"},{"family":"Paul","given":"Devchand"},{"family":"Ademuyiwa","given":"Foluso"},{"family":"Soliman","given":"Hatem"},{"family":"Guthrie","given":"Troy"},{"family":"Andersen","given":"Jay"},{"family":"Krekow","given":"Lea"},{"family":"Choksi","given":"Janak"},{"family":"Daniel","given":"Brooke"},{"family":"Danso","given":"Michael"},{"family":"Favret","given":"Anne"},{"family":"Oommen","given":"Sanjay"},{"family":"Brufsky","given":"Adam"},{"family":"Bromund","given":"Jane L."},{"family":"Lin","given":"Yong"},{"family":"Ibrahim","given":"Ayman B."},{"family":"Richards","given":"Paul D."}],"issued":{"date-parts":[["2016",12]]}}},{"id":66146,"uris":["http://zotero.org/groups/4797619/items/CXIIHEH4"],"itemData":{"id":66146,"type":"article-journal","abstract":"PURPOSE: Improving the outcome of patients with HER2-negative metastatic breast cancer experiencing tumour progression following first-line chemotherapy remains an urgent medical need. The purpose of the VicTORia trial was to show superiority of everolimus in combination with vinorelbine versus vinorelbine monotherapy as second-line chemotherapy for patients with advanced HER2 negative breast cancer.\nMETHODS: In this randomised phase II trial, 133 patients were recruited in 32 centres in Germany. Patients were randomised 1:1 to second-line chemotherapy either with vinorelbine plus everolimus (arm1) or vinorelbine alone (arm2). Primary endpoint was progression-free survival (PFS). Secondary endpoints were PFS rate at 6 months, overall survival (OS), overall response rate (ORR) and safety. Baseline PI3 K mutational status was determined in plasma samples.\nRESULTS: Median progression-free survival was not different between arms (arm1 vs. arm2: 4.01 months, 95% CI 2.40-6.09 vs. 4.08, 95% CI 2.80-5.33). PFS rate at 6 months (arm1 vs. arm2: 39.4%, 95% CI 27.6-50.9% vs. 36.6%, 95% CI 24.6-48.6%), median OS (arm1 vs. arm2: 16.3 months, 95% CI 11.4-19.0 vs. 13.8 months, 95% CI 10.2-19.1) and ORR were not different between arms. Most frequent grade 3/4 adverse events were neutropenia (50% vs. 40%), gastrointestinal toxicities (19.1% vs. 6.1%), and infections (19.1% vs. 7.7%). PI3 K mutational status was neither associated with PFS nor with OS.\nCONCLUSION: Although well tolerated, the efficacy of everolimus and vinorelbine combination therapy was not superior to vinorelbine monotherapy. There was no correlation between PI3 K mutational status and efficacy. EudracCT No 2011-001024-38, ClinicalTrials.gov No NCT01520103.","container-title":"Breast Cancer Research and Treatment","DOI":"10.1007/s10549-019-05280-2","ISSN":"1573-7217","issue":"3","journalAbbreviation":"Breast Cancer Res Treat","language":"eng","note":"PMID: 31115844","page":"637-647","source":"PubMed","title":"VicTORia: a randomised phase II study to compare vinorelbine in combination with the mTOR inhibitor everolimus versus vinorelbine monotherapy for second-line chemotherapy in advanced HER2-negative breast cancer","title-short":"VicTORia","volume":"176","author":[{"family":"Decker","given":"Thomas"},{"family":"Marschner","given":"Norbert"},{"family":"Muendlein","given":"Axel"},{"family":"Welt","given":"Anja"},{"family":"Hagen","given":"Volker"},{"family":"Rauh","given":"Jaqueline"},{"family":"Schröder","given":"Helge"},{"family":"Jaehnig","given":"Peter"},{"family":"Potthoff","given":"Karin"},{"family":"Lerchenmüller","given":"Christian"}],"issued":{"date-parts":[["2019",8]]}}},{"id":66766,"uris":["http://zotero.org/groups/4797619/items/9JHDBM4N"],"itemData":{"id":66766,"type":"article-journal","abstract":"Background: Previously, we showed that reintroduction of the same (first-line) chemotherapy at progression could only partially make up for the loss in efficacy as compared to continuously delivered first-line chemotherapy. Here, we report the probability of starting second-line study chemotherapy in the Stop&amp;Go trial, and the progression-free survival (PFS) and overall survival (OS) of patients who received both the first- and second-line treatment in an intermittent versus continuous schedule.Methods: First-line chemotherapy comprised paclitaxel plus bevacizumab, second-line capecitabine or non-pegylated liposomal doxorubicin, given per treatment line as two times four cycles (intermittent) or as eight consecutive cycles (continuous).Results: Of the 420 patients who started first-line treatment within the Stop&amp;Go trial (210:210), a total of 270 patients continued on second-line study treatment (64% of all), which consisted of capecitabine in 201 patients and of non-pegylated liposomal doxorubicin in 69 patients, evenly distributed between the treatment arms. Median PFS was 3.7 versus 5.0 months (HR 1.07; 95% CI: 0.82–1.38) and median OS 10.9 versus 12.4 months (HR 1.27; 95% CI: 0.98–1.66) for intermittent versus continuous second-line chemotherapy. Second-line PFS was positively influenced by prior hormonal therapy for metastatic disease and longer first-line PFS duration, while triple-negative tumor status had a negative influence. Patients with a shorter time to progression (TTP) in first-line (≤10 months) had a higher probability of starting second-line treatment if they received intermittent compared to continuous chemotherapy (OR 1.97; 95% CI: 1.02–3.80).Conclusion: We recommend continuous scheduling of both the first- and second-line chemotherapy for advanced breast cancer.","container-title":"Acta Oncologica","DOI":"10.1080/0284186X.2020.1731923","ISSN":"0284-186X","issue":"6","note":"publisher: Taylor &amp; Francis\n_eprint: https://doi.org/10.1080/0284186X.2020.1731923\nPMID: 32141389","page":"713-722","source":"Taylor and Francis+NEJM","title":"Secondary analyses of the randomized phase III Stop&amp;Go study: efficacy of second-line intermittent versus continuous chemotherapy in HER2-negative advanced breast cancer","title-short":"Secondary analyses of the randomized phase III Stop&amp;Go study","volume":"59","author":[{"family":"Claessens","given":"Anouk K. M."},{"family":"Erdkamp","given":"Frans L. G."},{"family":"Lopez-Yurda","given":"Marta"},{"family":"Bouma","given":"Jeanette M."},{"family":"Rademaker-Lakhai","given":"Jeany M."},{"family":"Honkoop","given":"Aafke H."},{"family":"Graaf","given":"Hiltje","non-dropping-particle":"de"},{"family":"Tjan-Heijnen","given":"Vivianne C. G."},{"family":"Bos","given":"Monique E. M. M."}],"issued":{"date-parts":[["2020",6,2]]}}},{"id":66756,"uris":["http://zotero.org/groups/4797619/items/97GZ44K7"],"itemData":{"id":66756,"type":"article-journal","abstract":"PURPOSE: This phase III study compared the efficacy and safety of bevacizumab combined with standard chemotherapy regimens versus chemotherapy alone as second-line treatment of patients with human epidermal growth factor receptor 2 (HER2) -negative metastatic breast cancer.\nPATIENTS AND METHODS: Patients were randomly assigned 2:1 to chemotherapy + bevacizumab or to chemotherapy + placebo. Before random assignment, investigators chose capecitabine, a taxane (paclitaxel, nab-paclitaxel, or docetaxel), gemcitabine, or vinorelbine. Dosing for bevacizumab or placebo was 15 mg/kg every 3 weeks or 10 mg/kg every 2 weeks, depending on chemotherapy regimen. The primary end point was progression-free survival (PFS). Secondary end points included overall survival, PFS by chemotherapy cohort, objective response rate (ORR), duration of objective response, 1-year survival rate, and safety.\nRESULTS: RIBBON-2 enrolled 684 patients (225, chemotherapy + placebo; 459, chemotherapy + bevacizumab). The combination of bevacizumab with chemotherapy demonstrated a statistically significant benefit. Median PFS increased from 5.1 to 7.2 months (stratified hazard ratio for PFS, 0.78; 95% CI, 0.64 to 0.93; P = .0072). The 10% improvement in ORR between the placebo- and bevacizumab-containing arms (39.5% v 29.6%; P = .0193), although not statistically significant, was consistent with previous trials. There was no statistically significant difference in overall survival. The most common grade ≥ 3 adverse events (AEs) related to bevacizumab treatment were hypertension (9.0%) and proteinuria (3.1%). There was an increased number of AEs leading to study discontinuation in the chemotherapy + bevacizumab arm compared with the chemotherapy + placebo arm (13.3% v 7.2%).\nCONCLUSION: The combination of bevacizumab with commonly used chemotherapies improved PFS in the second-line treatment of patients with HER2-negative metastatic breast cancer, with a safety profile comparable with that in prior phase III studies.","container-title":"Journal of Clinical Oncology: Official Journal of the American Society of Clinical Oncology","DOI":"10.1200/JCO.2010.34.1255","ISSN":"1527-7755","issue":"32","journalAbbreviation":"J Clin Oncol","language":"eng","note":"PMID: 21990397","page":"4286-4293","source":"PubMed","title":"RIBBON-2: a randomized, double-blind, placebo-controlled, phase III trial evaluating the efficacy and safety of bevacizumab in combination with chemotherapy for second-line treatment of human epidermal growth factor receptor 2-negative metastatic breast cancer","title-short":"RIBBON-2","volume":"29","author":[{"family":"Brufsky","given":"Adam M."},{"family":"Hurvitz","given":"Sara"},{"family":"Perez","given":"Edith"},{"family":"Swamy","given":"Raji"},{"family":"Valero","given":"Vicente"},{"family":"O'Neill","given":"Vincent"},{"family":"Rugo","given":"Hope S."}],"issued":{"date-parts":[["2011",11,10]]}}},{"id":66777,"uris":["http://zotero.org/groups/4797619/items/VJ3GUGK2"],"itemData":{"id":66777,"type":"article-journal","abstract":"Background\nWe conducted an open-label, randomized, two-arm multi-center study to assess the efficacy and safety of paclitaxel versus paclitaxel + sorafenib in patients with locally advanced or metastatic HER2-negative breast cancer.\n\nMethods\nPatients were randomly assigned to receive either paclitaxel monotherapy (80 mg/m2) weekly (3 weeks on, 1 week off) plus sorafenib 400 mg orally, twice a day taken continuously throughout 28 day cycles. Sorafenib dose was gradually escalated from a starting dose of 200 mg twice a day. The primary endpoint was progression free survival (PFS).\n\nResults\nA pre-planned efficacy interim analysis was performed on the data of 60 patients, 30 patients in each treatment arm. Median PFS was estimated at 6.6 months (95% CI: 5.1 to 9.0) in patients randomized to single-agent paclitaxel (Arm A) and 5.6 months (95% CI: 3.8 to 6.5) in patients randomized to paclitaxel-sorafenib combination (Arm B) therapy. Contrary to the hypothesis, the treatment effect was statistically significant in favor of paclitaxel monotherapy (hazard ratio 1.80, 95% CI: 1.02 to 3.20; log-rank test P = 0.0409). It was decided to stop the trial early for futility. Median OS was also in favor of Arm A (20.7 months (95% CI: 16.4 to 26.7) versus 12.1 months (95% CI: 5.8 to 20.4) in Arm B. Clinical control was achieved in 28 patients (93.3%) in Arm A and in 21 patients 70.0% in Arm B. Overall response rate was met in 43.3% of patients in Arm A and in 40.0% in Arm B. Toxicities were increased in Arm B with higher rates of diarrhea, nausea, neutropenia, hand-foot skin reaction (HFSR) and anorexia, Grad 3 and 4 toxicities were rare.\n\nConclusions\nIn this pre-planned interim analysis, paclitaxel-sorafenib combination therapy was not found to be superior to paclitaxel monotherapy with regard to the primary end point, progression-free survival. The trial was therefore discontinued early. There was no indication of more favorable outcomes for combination therapy in secondary efficacy end points. As expected, the safety and toxicity profile of the combination therapy was less favorable compared to monotherapy. Overall, this trial did not demonstrate that adding sorafenib to second- or third-line paclitaxel provides any clinical benefit to patients with HER2-negative advanced or metastatic breast cancer. Cautious dosing using a sorafenib ramp up schedule might have contributed to negative results.\n\nTrial registration\nThe study was registered at EudraCT (No 2009–018025-73) and retrospectively registered at Clinical trials.gov on March 17, 2011 (NCT01320111).","container-title":"BMC Cancer","DOI":"10.1186/s12885-017-3492-1","ISSN":"1471-2407","journalAbbreviation":"BMC Cancer","note":"PMID: 28743247\nPMCID: PMC5526236","page":"499","source":"PubMed Central","title":"A randomized phase II study of paclitaxel alone versus paclitaxel plus sorafenib in second- and third-line treatment of patients with HER2-negative metastatic breast cancer (PASO)","volume":"17","author":[{"family":"Decker","given":"Thomas"},{"family":"Overkamp","given":"Friedrich"},{"family":"Rösel","given":"Siegfried"},{"family":"Nusch","given":"Arnd"},{"family":"Göhler","given":"Thomas"},{"family":"Indorf","given":"Martin"},{"family":"Sahlmann","given":"Jörg"},{"family":"Trarbach","given":"Tanja"}],"issued":{"date-parts":[["2017",7,25]]}}},{"id":66774,"uris":["http://zotero.org/groups/4797619/items/2HU3NYWK"],"itemData":{"id":66774,"type":"article-journal","abstract":"Purpose\n\nGlycoprotein NMB (gpNMB), a negative prognostic marker, is overexpressed in multiple tumor types. Glembatumumab vedotin is a gpNMB-specific monoclonal antibody conjugated to the potent cytotoxin monomethyl auristatin E. This phase II study investigated the activity of glembatumumab vedotin in advanced breast cancer by gpNMB expression.\n\nPatients and Methods\n\nPatients (n = 124) with refractory breast cancer that expressed gpNMB in ≥ 5% of epithelial or stromal cells by central immunohistochemistry were stratified by gpNMB expression (tumor, low stromal intensity, high stromal intensity) and were randomly assigned 2:1 to glembatumumab vedotin (n = 83) or investigator's choice (IC) chemotherapy (n = 41). The study was powered to detect overall objective response rate (ORR) in the glembatumumab vedotin arm between 10% (null) and 22.5% (alternative hypothesis) with preplanned investigation of activity by gpNMB distribution and/or intensity (Stratum 1 to Stratum 3).\n\nResults\n\nGlembatumumab vedotin was well tolerated as compared with IC chemotherapy (less hematologic toxicity; more rash, pruritus, neuropathy, and alopecia). ORR was 6% (five of 83) for glembatumumab vedotin versus 7% (three of 41) for IC, without significant intertreatment differences for predefined strata. Secondary end point revealed ORR of 12% (10 of 83) versus 12% (five of 41) overall, and 30% (seven of 23) versus 9% (one of 11) for gpNMB overexpression (≥ 25% of tumor cells). Unplanned analysis showed ORR of 18% (five of 28) versus 0% (0 of 11) in patients with triple-negative breast cancer (TNBC), and 40% (four of 10) versus 0% (zero of six) in gpNMB-overexpressing TNBC.\n\nConclusion\n\nGlembatumumab vedotin is well tolerated in heavily pretreated patients with breast cancer. Although the primary end point in advanced gpNMB-expressing breast cancer was not met for all enrolled patients (median tumor gpNMB expression, 5%), activity may be enhanced in patients with gpNMB-overexpressing tumors and/or TNBC. A pivotal phase II trial (METRIC [Metastatic Triple-Negative Breast Cancer]) is underway.","container-title":"Journal of Clinical Oncology","DOI":"10.1200/JCO.2014.56.2959","ISSN":"0732-183X","issue":"14","journalAbbreviation":"JCO","note":"publisher: Wolters Kluwer","page":"1609-1619","source":"ascopubs.org (Atypon)","title":"EMERGE: A Randomized Phase II Study of the Antibody-Drug Conjugate Glembatumumab Vedotin in Advanced Glycoprotein NMB–Expressing Breast Cancer","title-short":"EMERGE","volume":"33","author":[{"family":"Yardley","given":"Denise A."},{"family":"Weaver","given":"Robert"},{"family":"Melisko","given":"Michelle E."},{"family":"Saleh","given":"Mansoor N."},{"family":"Arena","given":"Francis P."},{"family":"Forero","given":"Andres"},{"family":"Cigler","given":"Tessa"},{"family":"Stopeck","given":"Alison"},{"family":"Citrin","given":"Dennis"},{"family":"Oliff","given":"Ira"},{"family":"Bechhold","given":"Rebecca"},{"family":"Loutfi","given":"Randa"},{"family":"Garcia","given":"Agustin A."},{"family":"Cruickshank","given":"Scott"},{"family":"Crowley","given":"Elizabeth"},{"family":"Green","given":"Jennifer"},{"family":"Hawthorne","given":"Thomas"},{"family":"Yellin","given":"Michael J."},{"family":"Davis","given":"Thomas A."},{"family":"Vahdat","given":"Linda T."}],"issued":{"date-parts":[["2015",5,10]]}}},{"id":66149,"uris":["http://zotero.org/groups/4797619/items/8M7DF85G"],"itemData":{"id":66149,"type":"article-journal","abstract":"BACKGROUND: Based on data from two multicenter, phase III clinical trials (Studies 301 and 305), eribulin (a microtubule dynamics inhibitor) is indicated in the European Union (EU) for patients with locally advanced or metastatic breast cancer (MBC) after ≥1 prior chemotherapy for advanced disease, including an anthracycline and a taxane in either the adjuvant or metastatic setting. Data from Studies 305 and 301 were pooled to investigate the efficacy of eribulin in various subgroups of patients who matched the EU label, including those with human epidermal growth factor receptor 2 (HER2)-negative and triple-negative disease.\nPATIENTS AND METHODS: In Study 305 (NCT00388726), patients were randomized 2:1 to eribulin mesylate 1.4 mg/m(2) (equivalent to eribulin 1.23 mg/m(2) [expressed as free base]) intravenously on days 1 and 8 every 21 days] or treatment of physician's choice after 2-5 prior chemotherapies (≥2 for advanced disease), including an anthracycline and a taxane (in early/advanced setting). In Study 301 (NCT00337103), patients were randomized 1:1 to eribulin (as above) or capecitabine (1.25 g/m(2) orally twice daily on days 1-14 every 21 days) following ≤3 prior chemotherapies (≤2 for advanced disease), including an anthracycline and a taxane. Efficacy end points were investigated in the intent-to-treat population and subgroups, pooled as discussed above.\nRESULTS: Overall, 1644 patients were included (eribulin: 946; control: 698); baseline characteristics were well matched. Overall survival was significantly longer with eribulin versus control (P &lt; 0.01), as were progression-free survival and clinical benefit rate (both P &lt; 0.05). Significant survival benefits with eribulin versus control were observed in a wide range of patient subgroups, including HER2-negative or triple-negative disease (all P &lt; 0.05).\nCONCLUSION: Our findings underline the survival benefit achieved by eribulin used according to EU label in the overall MBC population and in various subgroups of interest, including patients with HER2-negative and triple-negative disease.","container-title":"Annals of Oncology: Official Journal of the European Society for Medical Oncology","DOI":"10.1093/annonc/mdw203","ISSN":"1569-8041","issue":"8","journalAbbreviation":"Ann Oncol","language":"eng","note":"PMID: 27177860\nPMCID: PMC4959925","page":"1525-1531","source":"PubMed","title":"Pooled analyses of eribulin in metastatic breast cancer patients with at least one prior chemotherapy","volume":"27","author":[{"family":"Pivot","given":"X."},{"family":"Marmé","given":"F."},{"family":"Koenigsberg","given":"R."},{"family":"Guo","given":"M."},{"family":"Berrak","given":"E."},{"family":"Wolfer","given":"A."}],"issued":{"date-parts":[["2016",8]]}}},{"id":66150,"uris":["http://zotero.org/groups/4797619/items/FWP3JYLN"],"itemData":{"id":66150,"type":"article-journal","abstract":"This post hoc subgroup analysis of a large phase 3 study compared the efficacy and safety of eribulin versus capecitabine in patients with human epidermal growth factor receptor 2 (HER2)-negative metastatic breast cancer who received second-line treatment. In the phase 3 study, women with advanced/metastatic breast cancer and ≤ 3 prior chemotherapies were randomized 1:1 to eribulin mesilate 1.4 mg/m2 intravenously on days 1 and 8, or twice-daily oral capecitabine 1.25 g/m2 on days 1-14 (21-day cycles). This analysis included 392 patients. Median overall survival was longer in patients receiving eribulin compared with capecitabine (16.1 vs 13.5 months, respectively; HR 0.77, P = 0.026). Median progression-free survival and response rates were similar between arms. Both treatments had manageable safety profiles.","container-title":"Breast Cancer (Tokyo, Japan)","DOI":"10.1007/s12282-017-0826-4","ISSN":"1880-4233","issue":"3","journalAbbreviation":"Breast Cancer","language":"eng","note":"PMID: 29302858\nPMCID: PMC5906517","page":"370-374","source":"PubMed","title":"Subgroup analysis of patients with HER2-negative metastatic breast cancer in the second-line setting from a phase 3, open-label, randomized study of eribulin mesilate versus capecitabine","volume":"25","author":[{"family":"Pivot","given":"Xavier"},{"family":"Im","given":"Seock Ah"},{"family":"Guo","given":"Matthew"},{"family":"Marmé","given":"Frederik"}],"issued":{"date-parts":[["2018",5]]}}},{"id":66151,"uris":["http://zotero.org/groups/4797619/items/RLDAE79H"],"itemData":{"id":66151,"type":"article-journal","abstract":"PURPOSE AND METHODS: Our secondary analyses compared survival with eribulin versus capecitabine in various patient subgroups from a phase 3, open-label, randomized study. Eligible women aged ≥18 years with advanced/metastatic breast cancer and ≤3 prior chemotherapies (≤2 for advanced/metastatic disease), including an anthracycline and taxane, were randomized 1:1 to intravenous eribulin mesylate 1.4 mg/m(2) on days 1 and 8 or twice-daily oral capecitabine 1250 mg/m(2) on days 1-14 (21-day cycles).\nRESULTS: In the intent-to-treat population (eribulin 554 and capecitabine 548), overall survival appeared longer with eribulin than capecitabine in various subgroups, including patients with human epidermal growth factor receptor 2-negative (15.9 versus 13.5 months, respectively), estrogen receptor-negative (14.4 versus 10.5 months, respectively), and triple-negative (14.4 versus 9.4 months, respectively) disease. Progression-free survival was similar between the treatment arms.\nCONCLUSIONS: Patients with advanced/metastatic breast cancer and human epidermal growth factor receptor 2-, estrogen receptor-, or triple-negative disease may gain particular benefit from eribulin as first-, second-, and third-line chemotherapies.\nTRIAL REGISTRATION PRIMARY STUDY: This study reports the subgroup analyses of eribulin versus capecitabine from a phase 3, open-label, randomized study (www.clinicaltrials.gov; ClinicalTrials.gov identifier: NCT00337103).","container-title":"Breast Cancer: Basic and Clinical Research","DOI":"10.4137/BCBCR.S39615","ISSN":"1178-2234","journalAbbreviation":"Breast Cancer (Auckl)","language":"eng","note":"PMID: 27398025\nPMCID: PMC4927108","page":"77-84","source":"PubMed","title":"Subgroup Analyses from a Phase 3, Open-Label, Randomized Study of Eribulin Mesylate Versus Capecitabine in Pretreated Patients with Advanced or Metastatic Breast Cancer","volume":"10","author":[{"family":"Twelves","given":"Chris"},{"family":"Awada","given":"Ahmad"},{"family":"Cortes","given":"Javier"},{"family":"Yelle","given":"Louise"},{"family":"Velikova","given":"Galina"},{"family":"Olivo","given":"Martin S."},{"family":"Song","given":"James"},{"family":"Dutcus","given":"Corina E."},{"family":"Kaufman","given":"Peter A."}],"issued":{"date-parts":[["2016"]]}}},{"id":66152,"uris":["http://zotero.org/groups/4797619/items/K2TXU8UJ"],"itemData":{"id":66152,"type":"article-journal","abstract":"BACKGROUND: Treatments with survival benefit are greatly needed for women with heavily pretreated metastatic breast cancer. Eribulin mesilate is a non-taxane microtubule dynamics inhibitor with a novel mode of action. We aimed to compare overall survival of heavily pretreated patients receiving eribulin versus currently available treatments.\nMETHODS: In this phase 3 open-label study, women with locally recurrent or metastatic breast cancer were randomly allocated (2:1) to eribulin mesilate (1·4 mg/m(2) administered intravenously during 2-5 min on days 1 and 8 of a 21-day cycle) or treatment of physician's choice (TPC). Patients had received between two and five previous chemotherapy regimens (two or more for advanced disease), including an anthracycline and a taxane, unless contraindicated. Randomisation was stratified by geographical region, previous capecitabine treatment, and human epidermal growth factor receptor 2 status. Patients and investigators were not masked to treatment allocation. The primary endpoint was overall survival in the intention-to-treat population. This study is registered at ClinicalTrials.gov, number NCT00388726.\nFINDINGS: 762 women were randomly allocated to treatment groups (508 eribulin, 254 TPC). Overall survival was significantly improved in women assigned to eribulin (median 13·1 months, 95% CI 11·8-14·3) compared with TPC (10·6 months, 9·3-12·5; hazard ratio 0·81, 95% CI 0·66-0·99; p=0·041). The most common adverse events in both groups were asthenia or fatigue (270 [54%] of 503 patients on eribulin and 98 [40%] of 247 patients on TPC at all grades) and neutropenia (260 [52%] patients receiving eribulin and 73 [30%] of those on TPC at all grades). Peripheral neuropathy was the most common adverse event leading to discontinuation from eribulin, occurring in 24 (5%) of 503 patients.\nINTERPRETATION: Eribulin showed a significant and clinically meaningful improvement in overall survival compared with TPC in women with heavily pretreated metastatic breast cancer. This finding challenges the notion that improved overall survival is an unrealistic expectation during evaluation of new anticancer therapies in the refractory setting.\nFUNDING: Eisai.","container-title":"Lancet (London, England)","DOI":"10.1016/S0140-6736(11)60070-6","ISSN":"1474-547X","issue":"9769","journalAbbreviation":"Lancet","language":"eng","note":"PMID: 21376385","page":"914-923","source":"PubMed","title":"Eribulin monotherapy versus treatment of physician's choice in patients with metastatic breast cancer (EMBRACE): a phase 3 open-label randomised study","title-short":"Eribulin monotherapy versus treatment of physician's choice in patients with metastatic breast cancer (EMBRACE)","volume":"377","author":[{"family":"Cortes","given":"Javier"},{"family":"O'Shaughnessy","given":"Joyce"},{"family":"Loesch","given":"David"},{"family":"Blum","given":"Joanne L."},{"family":"Vahdat","given":"Linda T."},{"family":"Petrakova","given":"Katarina"},{"family":"Chollet","given":"Philippe"},{"family":"Manikas","given":"Alexey"},{"family":"Diéras","given":"Veronique"},{"family":"Delozier","given":"Thierry"},{"family":"Vladimirov","given":"Vladimir"},{"family":"Cardoso","given":"Fatima"},{"family":"Koh","given":"Han"},{"family":"Bougnoux","given":"Philippe"},{"family":"Dutcus","given":"Corina E."},{"family":"Seegobin","given":"Seth"},{"family":"Mir","given":"Denis"},{"family":"Meneses","given":"Nicole"},{"family":"Wanders","given":"Jantien"},{"family":"Twelves","given":"Chris"},{"literal":"EMBRACE (Eisai Metastatic Breast Cancer Study Assessing Physician's Choice Versus E7389) investigators"}],"issued":{"date-parts":[["2011",3,12]]}}},{"id":66759,"uris":["http://zotero.org/groups/4797619/items/WRYWKH52"],"itemData":{"id":66759,"type":"article-journal","abstract":"The METRIC study (NCT#0199733) explored a novel antibody–drug conjugate, glembatumumab vedotin (GV), targeting gpNMB that is overexpressed in ~40% of patients with triple-negative breast cancer (TNBC) and associated with poor prognosis. The study was a randomized, open-label, phase 2b study that evaluated progression-free survival (PFS) of GV compared with capecitabine in gpNMB-overexpressing TNBC. Patients who had previously received anthracycline and taxane-based therapy were randomized 2:1 to receive, GV (1.88 mg/kg IV q21 days) or capecitabine (2500 mg/m2 PO daily d1–14 q21 days). The primary endpoint was RECIST 1.1 PFS per independent, blinded central review. In all, 327 patients were randomized to GV (213 treated) or capecitabine (92 treated). Median PFS was 2.9 months for GV vs. 2.8 months for capecitabine. The most common grade ≥3 toxicities for GV were neutropenia, rash, and leukopenia, and for capecitabine were fatigue, diarrhea, and palmar-plantar erythrodysesthesia. The study did not meet the primary endpoint of improved PFS over capecitabine or demonstrate a relative risk/benefit improvement over capecitabine.","container-title":"npj Breast Cancer","DOI":"10.1038/s41523-021-00244-6","ISSN":"2374-4677","issue":"1","language":"en","license":"2021 The Author(s)","note":"number: 1\npublisher: Nature Publishing Group","page":"1-10","source":"www.nature.com","title":"Glembatumumab vedotin for patients with metastatic, gpNMB overexpressing, triple-negative breast cancer (“METRIC”): a randomized multicenter study","title-short":"Glembatumumab vedotin for patients with metastatic, gpNMB overexpressing, triple-negative breast cancer (“METRIC”)","volume":"7","author":[{"family":"Vahdat","given":"Linda T."},{"family":"Schmid","given":"Peter"},{"family":"Forero-Torres","given":"Andres"},{"family":"Blackwell","given":"Kimberly"},{"family":"Telli","given":"Melinda L."},{"family":"Melisko","given":"Michelle"},{"family":"Möbus","given":"Volker"},{"family":"Cortes","given":"Javier"},{"family":"Montero","given":"Alberto J."},{"family":"Ma","given":"Cynthia"},{"family":"Nanda","given":"Rita"},{"family":"Wright","given":"Gail S."},{"family":"He","given":"Yi"},{"family":"Hawthorne","given":"Thomas"},{"family":"Bagley","given":"Rebecca G."},{"family":"Halim","given":"Abdel-Baset"},{"family":"Turner","given":"Christopher D."},{"family":"Yardley","given":"Denise A."}],"issued":{"date-parts":[["2021",5,20]]}}},{"id":66444,"uris":["http://zotero.org/groups/4797619/items/44JAGUPG"],"itemData":{"id":66444,"type":"article-journal","container-title":"New England Journal of Medicine","DOI":"10.1056/NEJMoa2028485","ISSN":"0028-4793","issue":"16","note":"publisher: Massachusetts Medical Society\n_eprint: https://doi.org/10.1056/NEJMoa2028485\nPMID: 33882206","page":"1529-1541","source":"Taylor and Francis+NEJM","title":"Sacituzumab Govitecan in Metastatic Triple-Negative Breast Cancer","volume":"384","author":[{"family":"Bardia","given":"Aditya"},{"family":"Hurvitz","given":"Sara A."},{"family":"Tolaney","given":"Sara M."},{"family":"Loirat","given":"Delphine"},{"family":"Punie","given":"Kevin"},{"family":"Oliveira","given":"Mafalda"},{"family":"Brufsky","given":"Adam"},{"family":"Sardesai","given":"Sagar D."},{"family":"Kalinsky","given":"Kevin"},{"family":"Zelnak","given":"Amelia B."},{"family":"Weaver","given":"Robert"},{"family":"Traina","given":"Tiffany"},{"family":"Dalenc","given":"Florence"},{"family":"Aftimos","given":"Philippe"},{"family":"Lynce","given":"Filipa"},{"family":"Diab","given":"Sami"},{"family":"Cortés","given":"Javier"},{"family":"O’Shaughnessy","given":"Joyce"},{"family":"Diéras","given":"Véronique"},{"family":"Ferrario","given":"Cristiano"},{"family":"Schmid","given":"Peter"},{"family":"Carey","given":"Lisa A."},{"family":"Gianni","given":"Luca"},{"family":"Piccart","given":"Martine J."},{"family":"Loibl","given":"Sibylle"},{"family":"Goldenberg","given":"David M."},{"family":"Hong","given":"Quan"},{"family":"Olivo","given":"Martin S."},{"family":"Itri","given":"Loretta M."},{"family":"Rugo","given":"Hope S."}],"issued":{"date-parts":[["2021",4,22]]}}},{"id":66764,"uris":["http://zotero.org/groups/4797619/items/YX8NEWUE"],"itemData":{"id":66764,"type":"article-journal","container-title":"The Lancet Oncology","DOI":"10.1016/S1470-2045(20)30754-3","ISSN":"1470-2045, 1474-5488","issue":"4","journalAbbreviation":"The Lancet Oncology","language":"English","note":"publisher: Elsevier\nPMID: 33676601","page":"499-511","source":"www.thelancet.com","title":"Pembrolizumab versus investigator-choice chemotherapy for metastatic triple-negative breast cancer (KEYNOTE-119): a randomised, open-label, phase 3 trial","title-short":"Pembrolizumab versus investigator-choice chemotherapy for metastatic triple-negative breast cancer (KEYNOTE-119)","volume":"22","author":[{"family":"Winer","given":"Eric P."},{"family":"Lipatov","given":"Oleg"},{"family":"Im","given":"Seock-Ah"},{"family":"Goncalves","given":"Anthony"},{"family":"Muñoz-Couselo","given":"Eva"},{"family":"Lee","given":"Keun Seok"},{"family":"Schmid","given":"Peter"},{"family":"Tamura","given":"Kenji"},{"family":"Testa","given":"Laura"},{"family":"Witzel","given":"Isabell"},{"family":"Ohtani","given":"Shoichiro"},{"family":"Turner","given":"Nicholas"},{"family":"Zambelli","given":"Stefania"},{"family":"Harbeck","given":"Nadia"},{"family":"Andre","given":"Fabrice"},{"family":"Dent","given":"Rebecca"},{"family":"Zhou","given":"Xuan"},{"family":"Karantza","given":"Vassiliki"},{"family":"Mejia","given":"Jaime"},{"family":"Cortes","given":"Javier"}],"issued":{"date-parts":[["2021",4,1]]}}}],"schema":"https://github.com/citation-style-language/schema/raw/master/csl-citation.json"} </w:instrText>
      </w:r>
      <w:r w:rsidR="00A03C79">
        <w:fldChar w:fldCharType="separate"/>
      </w:r>
      <w:r w:rsidR="00FD57F4" w:rsidRPr="00FD57F4">
        <w:rPr>
          <w:rFonts w:cs="Arial"/>
          <w:szCs w:val="24"/>
          <w:vertAlign w:val="superscript"/>
        </w:rPr>
        <w:t>43–55</w:t>
      </w:r>
      <w:r w:rsidR="00A03C79">
        <w:fldChar w:fldCharType="end"/>
      </w:r>
      <w:r>
        <w:t xml:space="preserve"> Median OS for T-DXd was </w:t>
      </w:r>
      <w:r w:rsidR="008A6B39">
        <w:t>also</w:t>
      </w:r>
      <w:r w:rsidR="0085083E">
        <w:t xml:space="preserve"> considerab</w:t>
      </w:r>
      <w:r w:rsidR="00230060">
        <w:t>ly</w:t>
      </w:r>
      <w:r>
        <w:t xml:space="preserve"> longer than the TPC arm (23.9 </w:t>
      </w:r>
      <w:r w:rsidRPr="00054570">
        <w:t xml:space="preserve">vs. </w:t>
      </w:r>
      <w:r>
        <w:t>17.5</w:t>
      </w:r>
      <w:r w:rsidRPr="00054570">
        <w:t xml:space="preserve"> months; HR: 0.</w:t>
      </w:r>
      <w:r>
        <w:t>64</w:t>
      </w:r>
      <w:r w:rsidRPr="00054570">
        <w:t>; p</w:t>
      </w:r>
      <w:r>
        <w:t>=</w:t>
      </w:r>
      <w:r w:rsidRPr="00054570">
        <w:t>0.00</w:t>
      </w:r>
      <w:r>
        <w:t>3; FAS)</w:t>
      </w:r>
      <w:r w:rsidRPr="00AF02AE">
        <w:fldChar w:fldCharType="begin"/>
      </w:r>
      <w:r w:rsidR="00CA6345">
        <w:instrText xml:space="preserve"> ADDIN ZOTERO_ITEM CSL_CITATION {"citationID":"8q867sDq","properties":{"formattedCitation":"\\super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Pr="00AF02AE">
        <w:fldChar w:fldCharType="separate"/>
      </w:r>
      <w:r w:rsidR="00FD57F4" w:rsidRPr="00FD57F4">
        <w:rPr>
          <w:rFonts w:cs="Arial"/>
          <w:szCs w:val="24"/>
          <w:vertAlign w:val="superscript"/>
        </w:rPr>
        <w:t>6</w:t>
      </w:r>
      <w:r w:rsidRPr="00AF02AE">
        <w:fldChar w:fldCharType="end"/>
      </w:r>
      <w:r>
        <w:t xml:space="preserve"> and chemotherapy arms from </w:t>
      </w:r>
      <w:r w:rsidR="000961DE">
        <w:t>all</w:t>
      </w:r>
      <w:r>
        <w:t xml:space="preserve"> previous studies (</w:t>
      </w:r>
      <w:r w:rsidR="00133584">
        <w:t>6.7</w:t>
      </w:r>
      <w:r>
        <w:t>–20.7 months).</w:t>
      </w:r>
      <w:r w:rsidR="00133584">
        <w:fldChar w:fldCharType="begin"/>
      </w:r>
      <w:r w:rsidR="00CA6345">
        <w:instrText xml:space="preserve"> ADDIN ZOTERO_ITEM CSL_CITATION {"citationID":"CdhpSJpl","properties":{"formattedCitation":"\\super 43\\uc0\\u8211{}55\\nosupersub{}","plainCitation":"43–55","noteIndex":0},"citationItems":[{"id":66278,"uris":["http://zotero.org/groups/4797619/items/L9C8M9U3"],"itemData":{"id":66278,"type":"article-journal","abstract":"BACKGROUND: Use of antiangiogenic agents in treatment of metastatic breast cancer (MBC) remains controversial. We evaluated the efficacy and safety of ramucirumab and eribulin versus eribulin alone as third- to fifth-line therapy in women with advanced breast cancer.\nPATIENTS AND METHODS: In this randomized (1:1), open-label, phase II study, US women aged 18 years or older with 2 to 4 previous chemotherapy regimens for locally recurrent or MBC, previous anthracycline and taxane treatment, and Eastern Cooperative Oncology Group performance status of 0 or 1 received ramucirumab with eribulin or eribulin alone in 21-day cycles (eribulin 1.4 mg/m2 intravenously on days 1 and 8; ramucirumab 10 mg/kg intravenously on day 1). Randomization was stratified according to previous antiangiogenic therapy and triple-negative status. The primary end point was progression-free survival (PFS) in the intention to treat population.\nRESULTS: One hundred forty-one women were randomized to ramucirumab with eribulin (n = 71) or eribulin alone (n = 70). Median PFS for ramucirumab with eribulin was 4.4 months (95% confidence interval [CI], 3.1-6.7) compared with 4.1 months (95% CI, 3.2-5.6) for eribulin (hazard ratio [HR], 0.83; 95% CI, 0.56-1.23; P = .35). Median overall survival in patients who received ramucirumab with eribulin was 13.5 months (95% CI, 10.4-17.9) compared with 11.5 months (95% CI, 9.0-17.3) in patients who received eribulin alone (HR, 0.91; 95% CI, 0.59-1.41; P = .68); objective response rate was 21% (13 of 62 patients) for the combination and 28% (17 of 60 patients) for eribulin alone. No unexpected toxicity was identified for the combination.\nCONCLUSION: Ramucirumab combined with eribulin did not significantly improve PFS in advanced MBC.","container-title":"Clinical Breast Cancer","DOI":"10.1016/j.clbc.2016.07.005","ISSN":"1938-0666","issue":"6","journalAbbreviation":"Clin Breast Cancer","language":"eng","note":"PMID: 27569274","page":"471-479.e1","source":"PubMed","title":"Ramucirumab With Eribulin Versus Eribulin in Locally Recurrent or Metastatic Breast Cancer Previously Treated With Anthracycline and Taxane Therapy: A Multicenter, Randomized, Phase II Study","title-short":"Ramucirumab With Eribulin Versus Eribulin in Locally Recurrent or Metastatic Breast Cancer Previously Treated With Anthracycline and Taxane Therapy","volume":"16","author":[{"family":"Yardley","given":"Denise A."},{"family":"Reeves","given":"James"},{"family":"Dees","given":"E. Claire"},{"family":"Osborne","given":"Cynthia"},{"family":"Paul","given":"Devchand"},{"family":"Ademuyiwa","given":"Foluso"},{"family":"Soliman","given":"Hatem"},{"family":"Guthrie","given":"Troy"},{"family":"Andersen","given":"Jay"},{"family":"Krekow","given":"Lea"},{"family":"Choksi","given":"Janak"},{"family":"Daniel","given":"Brooke"},{"family":"Danso","given":"Michael"},{"family":"Favret","given":"Anne"},{"family":"Oommen","given":"Sanjay"},{"family":"Brufsky","given":"Adam"},{"family":"Bromund","given":"Jane L."},{"family":"Lin","given":"Yong"},{"family":"Ibrahim","given":"Ayman B."},{"family":"Richards","given":"Paul D."}],"issued":{"date-parts":[["2016",12]]}}},{"id":66146,"uris":["http://zotero.org/groups/4797619/items/CXIIHEH4"],"itemData":{"id":66146,"type":"article-journal","abstract":"PURPOSE: Improving the outcome of patients with HER2-negative metastatic breast cancer experiencing tumour progression following first-line chemotherapy remains an urgent medical need. The purpose of the VicTORia trial was to show superiority of everolimus in combination with vinorelbine versus vinorelbine monotherapy as second-line chemotherapy for patients with advanced HER2 negative breast cancer.\nMETHODS: In this randomised phase II trial, 133 patients were recruited in 32 centres in Germany. Patients were randomised 1:1 to second-line chemotherapy either with vinorelbine plus everolimus (arm1) or vinorelbine alone (arm2). Primary endpoint was progression-free survival (PFS). Secondary endpoints were PFS rate at 6 months, overall survival (OS), overall response rate (ORR) and safety. Baseline PI3 K mutational status was determined in plasma samples.\nRESULTS: Median progression-free survival was not different between arms (arm1 vs. arm2: 4.01 months, 95% CI 2.40-6.09 vs. 4.08, 95% CI 2.80-5.33). PFS rate at 6 months (arm1 vs. arm2: 39.4%, 95% CI 27.6-50.9% vs. 36.6%, 95% CI 24.6-48.6%), median OS (arm1 vs. arm2: 16.3 months, 95% CI 11.4-19.0 vs. 13.8 months, 95% CI 10.2-19.1) and ORR were not different between arms. Most frequent grade 3/4 adverse events were neutropenia (50% vs. 40%), gastrointestinal toxicities (19.1% vs. 6.1%), and infections (19.1% vs. 7.7%). PI3 K mutational status was neither associated with PFS nor with OS.\nCONCLUSION: Although well tolerated, the efficacy of everolimus and vinorelbine combination therapy was not superior to vinorelbine monotherapy. There was no correlation between PI3 K mutational status and efficacy. EudracCT No 2011-001024-38, ClinicalTrials.gov No NCT01520103.","container-title":"Breast Cancer Research and Treatment","DOI":"10.1007/s10549-019-05280-2","ISSN":"1573-7217","issue":"3","journalAbbreviation":"Breast Cancer Res Treat","language":"eng","note":"PMID: 31115844","page":"637-647","source":"PubMed","title":"VicTORia: a randomised phase II study to compare vinorelbine in combination with the mTOR inhibitor everolimus versus vinorelbine monotherapy for second-line chemotherapy in advanced HER2-negative breast cancer","title-short":"VicTORia","volume":"176","author":[{"family":"Decker","given":"Thomas"},{"family":"Marschner","given":"Norbert"},{"family":"Muendlein","given":"Axel"},{"family":"Welt","given":"Anja"},{"family":"Hagen","given":"Volker"},{"family":"Rauh","given":"Jaqueline"},{"family":"Schröder","given":"Helge"},{"family":"Jaehnig","given":"Peter"},{"family":"Potthoff","given":"Karin"},{"family":"Lerchenmüller","given":"Christian"}],"issued":{"date-parts":[["2019",8]]}}},{"id":66766,"uris":["http://zotero.org/groups/4797619/items/9JHDBM4N"],"itemData":{"id":66766,"type":"article-journal","abstract":"Background: Previously, we showed that reintroduction of the same (first-line) chemotherapy at progression could only partially make up for the loss in efficacy as compared to continuously delivered first-line chemotherapy. Here, we report the probability of starting second-line study chemotherapy in the Stop&amp;Go trial, and the progression-free survival (PFS) and overall survival (OS) of patients who received both the first- and second-line treatment in an intermittent versus continuous schedule.Methods: First-line chemotherapy comprised paclitaxel plus bevacizumab, second-line capecitabine or non-pegylated liposomal doxorubicin, given per treatment line as two times four cycles (intermittent) or as eight consecutive cycles (continuous).Results: Of the 420 patients who started first-line treatment within the Stop&amp;Go trial (210:210), a total of 270 patients continued on second-line study treatment (64% of all), which consisted of capecitabine in 201 patients and of non-pegylated liposomal doxorubicin in 69 patients, evenly distributed between the treatment arms. Median PFS was 3.7 versus 5.0 months (HR 1.07; 95% CI: 0.82–1.38) and median OS 10.9 versus 12.4 months (HR 1.27; 95% CI: 0.98–1.66) for intermittent versus continuous second-line chemotherapy. Second-line PFS was positively influenced by prior hormonal therapy for metastatic disease and longer first-line PFS duration, while triple-negative tumor status had a negative influence. Patients with a shorter time to progression (TTP) in first-line (≤10 months) had a higher probability of starting second-line treatment if they received intermittent compared to continuous chemotherapy (OR 1.97; 95% CI: 1.02–3.80).Conclusion: We recommend continuous scheduling of both the first- and second-line chemotherapy for advanced breast cancer.","container-title":"Acta Oncologica","DOI":"10.1080/0284186X.2020.1731923","ISSN":"0284-186X","issue":"6","note":"publisher: Taylor &amp; Francis\n_eprint: https://doi.org/10.1080/0284186X.2020.1731923\nPMID: 32141389","page":"713-722","source":"Taylor and Francis+NEJM","title":"Secondary analyses of the randomized phase III Stop&amp;Go study: efficacy of second-line intermittent versus continuous chemotherapy in HER2-negative advanced breast cancer","title-short":"Secondary analyses of the randomized phase III Stop&amp;Go study","volume":"59","author":[{"family":"Claessens","given":"Anouk K. M."},{"family":"Erdkamp","given":"Frans L. G."},{"family":"Lopez-Yurda","given":"Marta"},{"family":"Bouma","given":"Jeanette M."},{"family":"Rademaker-Lakhai","given":"Jeany M."},{"family":"Honkoop","given":"Aafke H."},{"family":"Graaf","given":"Hiltje","non-dropping-particle":"de"},{"family":"Tjan-Heijnen","given":"Vivianne C. G."},{"family":"Bos","given":"Monique E. M. M."}],"issued":{"date-parts":[["2020",6,2]]}}},{"id":66756,"uris":["http://zotero.org/groups/4797619/items/97GZ44K7"],"itemData":{"id":66756,"type":"article-journal","abstract":"PURPOSE: This phase III study compared the efficacy and safety of bevacizumab combined with standard chemotherapy regimens versus chemotherapy alone as second-line treatment of patients with human epidermal growth factor receptor 2 (HER2) -negative metastatic breast cancer.\nPATIENTS AND METHODS: Patients were randomly assigned 2:1 to chemotherapy + bevacizumab or to chemotherapy + placebo. Before random assignment, investigators chose capecitabine, a taxane (paclitaxel, nab-paclitaxel, or docetaxel), gemcitabine, or vinorelbine. Dosing for bevacizumab or placebo was 15 mg/kg every 3 weeks or 10 mg/kg every 2 weeks, depending on chemotherapy regimen. The primary end point was progression-free survival (PFS). Secondary end points included overall survival, PFS by chemotherapy cohort, objective response rate (ORR), duration of objective response, 1-year survival rate, and safety.\nRESULTS: RIBBON-2 enrolled 684 patients (225, chemotherapy + placebo; 459, chemotherapy + bevacizumab). The combination of bevacizumab with chemotherapy demonstrated a statistically significant benefit. Median PFS increased from 5.1 to 7.2 months (stratified hazard ratio for PFS, 0.78; 95% CI, 0.64 to 0.93; P = .0072). The 10% improvement in ORR between the placebo- and bevacizumab-containing arms (39.5% v 29.6%; P = .0193), although not statistically significant, was consistent with previous trials. There was no statistically significant difference in overall survival. The most common grade ≥ 3 adverse events (AEs) related to bevacizumab treatment were hypertension (9.0%) and proteinuria (3.1%). There was an increased number of AEs leading to study discontinuation in the chemotherapy + bevacizumab arm compared with the chemotherapy + placebo arm (13.3% v 7.2%).\nCONCLUSION: The combination of bevacizumab with commonly used chemotherapies improved PFS in the second-line treatment of patients with HER2-negative metastatic breast cancer, with a safety profile comparable with that in prior phase III studies.","container-title":"Journal of Clinical Oncology: Official Journal of the American Society of Clinical Oncology","DOI":"10.1200/JCO.2010.34.1255","ISSN":"1527-7755","issue":"32","journalAbbreviation":"J Clin Oncol","language":"eng","note":"PMID: 21990397","page":"4286-4293","source":"PubMed","title":"RIBBON-2: a randomized, double-blind, placebo-controlled, phase III trial evaluating the efficacy and safety of bevacizumab in combination with chemotherapy for second-line treatment of human epidermal growth factor receptor 2-negative metastatic breast cancer","title-short":"RIBBON-2","volume":"29","author":[{"family":"Brufsky","given":"Adam M."},{"family":"Hurvitz","given":"Sara"},{"family":"Perez","given":"Edith"},{"family":"Swamy","given":"Raji"},{"family":"Valero","given":"Vicente"},{"family":"O'Neill","given":"Vincent"},{"family":"Rugo","given":"Hope S."}],"issued":{"date-parts":[["2011",11,10]]}}},{"id":66777,"uris":["http://zotero.org/groups/4797619/items/VJ3GUGK2"],"itemData":{"id":66777,"type":"article-journal","abstract":"Background\nWe conducted an open-label, randomized, two-arm multi-center study to assess the efficacy and safety of paclitaxel versus paclitaxel + sorafenib in patients with locally advanced or metastatic HER2-negative breast cancer.\n\nMethods\nPatients were randomly assigned to receive either paclitaxel monotherapy (80 mg/m2) weekly (3 weeks on, 1 week off) plus sorafenib 400 mg orally, twice a day taken continuously throughout 28 day cycles. Sorafenib dose was gradually escalated from a starting dose of 200 mg twice a day. The primary endpoint was progression free survival (PFS).\n\nResults\nA pre-planned efficacy interim analysis was performed on the data of 60 patients, 30 patients in each treatment arm. Median PFS was estimated at 6.6 months (95% CI: 5.1 to 9.0) in patients randomized to single-agent paclitaxel (Arm A) and 5.6 months (95% CI: 3.8 to 6.5) in patients randomized to paclitaxel-sorafenib combination (Arm B) therapy. Contrary to the hypothesis, the treatment effect was statistically significant in favor of paclitaxel monotherapy (hazard ratio 1.80, 95% CI: 1.02 to 3.20; log-rank test P = 0.0409). It was decided to stop the trial early for futility. Median OS was also in favor of Arm A (20.7 months (95% CI: 16.4 to 26.7) versus 12.1 months (95% CI: 5.8 to 20.4) in Arm B. Clinical control was achieved in 28 patients (93.3%) in Arm A and in 21 patients 70.0% in Arm B. Overall response rate was met in 43.3% of patients in Arm A and in 40.0% in Arm B. Toxicities were increased in Arm B with higher rates of diarrhea, nausea, neutropenia, hand-foot skin reaction (HFSR) and anorexia, Grad 3 and 4 toxicities were rare.\n\nConclusions\nIn this pre-planned interim analysis, paclitaxel-sorafenib combination therapy was not found to be superior to paclitaxel monotherapy with regard to the primary end point, progression-free survival. The trial was therefore discontinued early. There was no indication of more favorable outcomes for combination therapy in secondary efficacy end points. As expected, the safety and toxicity profile of the combination therapy was less favorable compared to monotherapy. Overall, this trial did not demonstrate that adding sorafenib to second- or third-line paclitaxel provides any clinical benefit to patients with HER2-negative advanced or metastatic breast cancer. Cautious dosing using a sorafenib ramp up schedule might have contributed to negative results.\n\nTrial registration\nThe study was registered at EudraCT (No 2009–018025-73) and retrospectively registered at Clinical trials.gov on March 17, 2011 (NCT01320111).","container-title":"BMC Cancer","DOI":"10.1186/s12885-017-3492-1","ISSN":"1471-2407","journalAbbreviation":"BMC Cancer","note":"PMID: 28743247\nPMCID: PMC5526236","page":"499","source":"PubMed Central","title":"A randomized phase II study of paclitaxel alone versus paclitaxel plus sorafenib in second- and third-line treatment of patients with HER2-negative metastatic breast cancer (PASO)","volume":"17","author":[{"family":"Decker","given":"Thomas"},{"family":"Overkamp","given":"Friedrich"},{"family":"Rösel","given":"Siegfried"},{"family":"Nusch","given":"Arnd"},{"family":"Göhler","given":"Thomas"},{"family":"Indorf","given":"Martin"},{"family":"Sahlmann","given":"Jörg"},{"family":"Trarbach","given":"Tanja"}],"issued":{"date-parts":[["2017",7,25]]}}},{"id":66774,"uris":["http://zotero.org/groups/4797619/items/2HU3NYWK"],"itemData":{"id":66774,"type":"article-journal","abstract":"Purpose\n\nGlycoprotein NMB (gpNMB), a negative prognostic marker, is overexpressed in multiple tumor types. Glembatumumab vedotin is a gpNMB-specific monoclonal antibody conjugated to the potent cytotoxin monomethyl auristatin E. This phase II study investigated the activity of glembatumumab vedotin in advanced breast cancer by gpNMB expression.\n\nPatients and Methods\n\nPatients (n = 124) with refractory breast cancer that expressed gpNMB in ≥ 5% of epithelial or stromal cells by central immunohistochemistry were stratified by gpNMB expression (tumor, low stromal intensity, high stromal intensity) and were randomly assigned 2:1 to glembatumumab vedotin (n = 83) or investigator's choice (IC) chemotherapy (n = 41). The study was powered to detect overall objective response rate (ORR) in the glembatumumab vedotin arm between 10% (null) and 22.5% (alternative hypothesis) with preplanned investigation of activity by gpNMB distribution and/or intensity (Stratum 1 to Stratum 3).\n\nResults\n\nGlembatumumab vedotin was well tolerated as compared with IC chemotherapy (less hematologic toxicity; more rash, pruritus, neuropathy, and alopecia). ORR was 6% (five of 83) for glembatumumab vedotin versus 7% (three of 41) for IC, without significant intertreatment differences for predefined strata. Secondary end point revealed ORR of 12% (10 of 83) versus 12% (five of 41) overall, and 30% (seven of 23) versus 9% (one of 11) for gpNMB overexpression (≥ 25% of tumor cells). Unplanned analysis showed ORR of 18% (five of 28) versus 0% (0 of 11) in patients with triple-negative breast cancer (TNBC), and 40% (four of 10) versus 0% (zero of six) in gpNMB-overexpressing TNBC.\n\nConclusion\n\nGlembatumumab vedotin is well tolerated in heavily pretreated patients with breast cancer. Although the primary end point in advanced gpNMB-expressing breast cancer was not met for all enrolled patients (median tumor gpNMB expression, 5%), activity may be enhanced in patients with gpNMB-overexpressing tumors and/or TNBC. A pivotal phase II trial (METRIC [Metastatic Triple-Negative Breast Cancer]) is underway.","container-title":"Journal of Clinical Oncology","DOI":"10.1200/JCO.2014.56.2959","ISSN":"0732-183X","issue":"14","journalAbbreviation":"JCO","note":"publisher: Wolters Kluwer","page":"1609-1619","source":"ascopubs.org (Atypon)","title":"EMERGE: A Randomized Phase II Study of the Antibody-Drug Conjugate Glembatumumab Vedotin in Advanced Glycoprotein NMB–Expressing Breast Cancer","title-short":"EMERGE","volume":"33","author":[{"family":"Yardley","given":"Denise A."},{"family":"Weaver","given":"Robert"},{"family":"Melisko","given":"Michelle E."},{"family":"Saleh","given":"Mansoor N."},{"family":"Arena","given":"Francis P."},{"family":"Forero","given":"Andres"},{"family":"Cigler","given":"Tessa"},{"family":"Stopeck","given":"Alison"},{"family":"Citrin","given":"Dennis"},{"family":"Oliff","given":"Ira"},{"family":"Bechhold","given":"Rebecca"},{"family":"Loutfi","given":"Randa"},{"family":"Garcia","given":"Agustin A."},{"family":"Cruickshank","given":"Scott"},{"family":"Crowley","given":"Elizabeth"},{"family":"Green","given":"Jennifer"},{"family":"Hawthorne","given":"Thomas"},{"family":"Yellin","given":"Michael J."},{"family":"Davis","given":"Thomas A."},{"family":"Vahdat","given":"Linda T."}],"issued":{"date-parts":[["2015",5,10]]}}},{"id":66149,"uris":["http://zotero.org/groups/4797619/items/8M7DF85G"],"itemData":{"id":66149,"type":"article-journal","abstract":"BACKGROUND: Based on data from two multicenter, phase III clinical trials (Studies 301 and 305), eribulin (a microtubule dynamics inhibitor) is indicated in the European Union (EU) for patients with locally advanced or metastatic breast cancer (MBC) after ≥1 prior chemotherapy for advanced disease, including an anthracycline and a taxane in either the adjuvant or metastatic setting. Data from Studies 305 and 301 were pooled to investigate the efficacy of eribulin in various subgroups of patients who matched the EU label, including those with human epidermal growth factor receptor 2 (HER2)-negative and triple-negative disease.\nPATIENTS AND METHODS: In Study 305 (NCT00388726), patients were randomized 2:1 to eribulin mesylate 1.4 mg/m(2) (equivalent to eribulin 1.23 mg/m(2) [expressed as free base]) intravenously on days 1 and 8 every 21 days] or treatment of physician's choice after 2-5 prior chemotherapies (≥2 for advanced disease), including an anthracycline and a taxane (in early/advanced setting). In Study 301 (NCT00337103), patients were randomized 1:1 to eribulin (as above) or capecitabine (1.25 g/m(2) orally twice daily on days 1-14 every 21 days) following ≤3 prior chemotherapies (≤2 for advanced disease), including an anthracycline and a taxane. Efficacy end points were investigated in the intent-to-treat population and subgroups, pooled as discussed above.\nRESULTS: Overall, 1644 patients were included (eribulin: 946; control: 698); baseline characteristics were well matched. Overall survival was significantly longer with eribulin versus control (P &lt; 0.01), as were progression-free survival and clinical benefit rate (both P &lt; 0.05). Significant survival benefits with eribulin versus control were observed in a wide range of patient subgroups, including HER2-negative or triple-negative disease (all P &lt; 0.05).\nCONCLUSION: Our findings underline the survival benefit achieved by eribulin used according to EU label in the overall MBC population and in various subgroups of interest, including patients with HER2-negative and triple-negative disease.","container-title":"Annals of Oncology: Official Journal of the European Society for Medical Oncology","DOI":"10.1093/annonc/mdw203","ISSN":"1569-8041","issue":"8","journalAbbreviation":"Ann Oncol","language":"eng","note":"PMID: 27177860\nPMCID: PMC4959925","page":"1525-1531","source":"PubMed","title":"Pooled analyses of eribulin in metastatic breast cancer patients with at least one prior chemotherapy","volume":"27","author":[{"family":"Pivot","given":"X."},{"family":"Marmé","given":"F."},{"family":"Koenigsberg","given":"R."},{"family":"Guo","given":"M."},{"family":"Berrak","given":"E."},{"family":"Wolfer","given":"A."}],"issued":{"date-parts":[["2016",8]]}}},{"id":66150,"uris":["http://zotero.org/groups/4797619/items/FWP3JYLN"],"itemData":{"id":66150,"type":"article-journal","abstract":"This post hoc subgroup analysis of a large phase 3 study compared the efficacy and safety of eribulin versus capecitabine in patients with human epidermal growth factor receptor 2 (HER2)-negative metastatic breast cancer who received second-line treatment. In the phase 3 study, women with advanced/metastatic breast cancer and ≤ 3 prior chemotherapies were randomized 1:1 to eribulin mesilate 1.4 mg/m2 intravenously on days 1 and 8, or twice-daily oral capecitabine 1.25 g/m2 on days 1-14 (21-day cycles). This analysis included 392 patients. Median overall survival was longer in patients receiving eribulin compared with capecitabine (16.1 vs 13.5 months, respectively; HR 0.77, P = 0.026). Median progression-free survival and response rates were similar between arms. Both treatments had manageable safety profiles.","container-title":"Breast Cancer (Tokyo, Japan)","DOI":"10.1007/s12282-017-0826-4","ISSN":"1880-4233","issue":"3","journalAbbreviation":"Breast Cancer","language":"eng","note":"PMID: 29302858\nPMCID: PMC5906517","page":"370-374","source":"PubMed","title":"Subgroup analysis of patients with HER2-negative metastatic breast cancer in the second-line setting from a phase 3, open-label, randomized study of eribulin mesilate versus capecitabine","volume":"25","author":[{"family":"Pivot","given":"Xavier"},{"family":"Im","given":"Seock Ah"},{"family":"Guo","given":"Matthew"},{"family":"Marmé","given":"Frederik"}],"issued":{"date-parts":[["2018",5]]}}},{"id":66151,"uris":["http://zotero.org/groups/4797619/items/RLDAE79H"],"itemData":{"id":66151,"type":"article-journal","abstract":"PURPOSE AND METHODS: Our secondary analyses compared survival with eribulin versus capecitabine in various patient subgroups from a phase 3, open-label, randomized study. Eligible women aged ≥18 years with advanced/metastatic breast cancer and ≤3 prior chemotherapies (≤2 for advanced/metastatic disease), including an anthracycline and taxane, were randomized 1:1 to intravenous eribulin mesylate 1.4 mg/m(2) on days 1 and 8 or twice-daily oral capecitabine 1250 mg/m(2) on days 1-14 (21-day cycles).\nRESULTS: In the intent-to-treat population (eribulin 554 and capecitabine 548), overall survival appeared longer with eribulin than capecitabine in various subgroups, including patients with human epidermal growth factor receptor 2-negative (15.9 versus 13.5 months, respectively), estrogen receptor-negative (14.4 versus 10.5 months, respectively), and triple-negative (14.4 versus 9.4 months, respectively) disease. Progression-free survival was similar between the treatment arms.\nCONCLUSIONS: Patients with advanced/metastatic breast cancer and human epidermal growth factor receptor 2-, estrogen receptor-, or triple-negative disease may gain particular benefit from eribulin as first-, second-, and third-line chemotherapies.\nTRIAL REGISTRATION PRIMARY STUDY: This study reports the subgroup analyses of eribulin versus capecitabine from a phase 3, open-label, randomized study (www.clinicaltrials.gov; ClinicalTrials.gov identifier: NCT00337103).","container-title":"Breast Cancer: Basic and Clinical Research","DOI":"10.4137/BCBCR.S39615","ISSN":"1178-2234","journalAbbreviation":"Breast Cancer (Auckl)","language":"eng","note":"PMID: 27398025\nPMCID: PMC4927108","page":"77-84","source":"PubMed","title":"Subgroup Analyses from a Phase 3, Open-Label, Randomized Study of Eribulin Mesylate Versus Capecitabine in Pretreated Patients with Advanced or Metastatic Breast Cancer","volume":"10","author":[{"family":"Twelves","given":"Chris"},{"family":"Awada","given":"Ahmad"},{"family":"Cortes","given":"Javier"},{"family":"Yelle","given":"Louise"},{"family":"Velikova","given":"Galina"},{"family":"Olivo","given":"Martin S."},{"family":"Song","given":"James"},{"family":"Dutcus","given":"Corina E."},{"family":"Kaufman","given":"Peter A."}],"issued":{"date-parts":[["2016"]]}}},{"id":66152,"uris":["http://zotero.org/groups/4797619/items/K2TXU8UJ"],"itemData":{"id":66152,"type":"article-journal","abstract":"BACKGROUND: Treatments with survival benefit are greatly needed for women with heavily pretreated metastatic breast cancer. Eribulin mesilate is a non-taxane microtubule dynamics inhibitor with a novel mode of action. We aimed to compare overall survival of heavily pretreated patients receiving eribulin versus currently available treatments.\nMETHODS: In this phase 3 open-label study, women with locally recurrent or metastatic breast cancer were randomly allocated (2:1) to eribulin mesilate (1·4 mg/m(2) administered intravenously during 2-5 min on days 1 and 8 of a 21-day cycle) or treatment of physician's choice (TPC). Patients had received between two and five previous chemotherapy regimens (two or more for advanced disease), including an anthracycline and a taxane, unless contraindicated. Randomisation was stratified by geographical region, previous capecitabine treatment, and human epidermal growth factor receptor 2 status. Patients and investigators were not masked to treatment allocation. The primary endpoint was overall survival in the intention-to-treat population. This study is registered at ClinicalTrials.gov, number NCT00388726.\nFINDINGS: 762 women were randomly allocated to treatment groups (508 eribulin, 254 TPC). Overall survival was significantly improved in women assigned to eribulin (median 13·1 months, 95% CI 11·8-14·3) compared with TPC (10·6 months, 9·3-12·5; hazard ratio 0·81, 95% CI 0·66-0·99; p=0·041). The most common adverse events in both groups were asthenia or fatigue (270 [54%] of 503 patients on eribulin and 98 [40%] of 247 patients on TPC at all grades) and neutropenia (260 [52%] patients receiving eribulin and 73 [30%] of those on TPC at all grades). Peripheral neuropathy was the most common adverse event leading to discontinuation from eribulin, occurring in 24 (5%) of 503 patients.\nINTERPRETATION: Eribulin showed a significant and clinically meaningful improvement in overall survival compared with TPC in women with heavily pretreated metastatic breast cancer. This finding challenges the notion that improved overall survival is an unrealistic expectation during evaluation of new anticancer therapies in the refractory setting.\nFUNDING: Eisai.","container-title":"Lancet (London, England)","DOI":"10.1016/S0140-6736(11)60070-6","ISSN":"1474-547X","issue":"9769","journalAbbreviation":"Lancet","language":"eng","note":"PMID: 21376385","page":"914-923","source":"PubMed","title":"Eribulin monotherapy versus treatment of physician's choice in patients with metastatic breast cancer (EMBRACE): a phase 3 open-label randomised study","title-short":"Eribulin monotherapy versus treatment of physician's choice in patients with metastatic breast cancer (EMBRACE)","volume":"377","author":[{"family":"Cortes","given":"Javier"},{"family":"O'Shaughnessy","given":"Joyce"},{"family":"Loesch","given":"David"},{"family":"Blum","given":"Joanne L."},{"family":"Vahdat","given":"Linda T."},{"family":"Petrakova","given":"Katarina"},{"family":"Chollet","given":"Philippe"},{"family":"Manikas","given":"Alexey"},{"family":"Diéras","given":"Veronique"},{"family":"Delozier","given":"Thierry"},{"family":"Vladimirov","given":"Vladimir"},{"family":"Cardoso","given":"Fatima"},{"family":"Koh","given":"Han"},{"family":"Bougnoux","given":"Philippe"},{"family":"Dutcus","given":"Corina E."},{"family":"Seegobin","given":"Seth"},{"family":"Mir","given":"Denis"},{"family":"Meneses","given":"Nicole"},{"family":"Wanders","given":"Jantien"},{"family":"Twelves","given":"Chris"},{"literal":"EMBRACE (Eisai Metastatic Breast Cancer Study Assessing Physician's Choice Versus E7389) investigators"}],"issued":{"date-parts":[["2011",3,12]]}}},{"id":66759,"uris":["http://zotero.org/groups/4797619/items/WRYWKH52"],"itemData":{"id":66759,"type":"article-journal","abstract":"The METRIC study (NCT#0199733) explored a novel antibody–drug conjugate, glembatumumab vedotin (GV), targeting gpNMB that is overexpressed in ~40% of patients with triple-negative breast cancer (TNBC) and associated with poor prognosis. The study was a randomized, open-label, phase 2b study that evaluated progression-free survival (PFS) of GV compared with capecitabine in gpNMB-overexpressing TNBC. Patients who had previously received anthracycline and taxane-based therapy were randomized 2:1 to receive, GV (1.88 mg/kg IV q21 days) or capecitabine (2500 mg/m2 PO daily d1–14 q21 days). The primary endpoint was RECIST 1.1 PFS per independent, blinded central review. In all, 327 patients were randomized to GV (213 treated) or capecitabine (92 treated). Median PFS was 2.9 months for GV vs. 2.8 months for capecitabine. The most common grade ≥3 toxicities for GV were neutropenia, rash, and leukopenia, and for capecitabine were fatigue, diarrhea, and palmar-plantar erythrodysesthesia. The study did not meet the primary endpoint of improved PFS over capecitabine or demonstrate a relative risk/benefit improvement over capecitabine.","container-title":"npj Breast Cancer","DOI":"10.1038/s41523-021-00244-6","ISSN":"2374-4677","issue":"1","language":"en","license":"2021 The Author(s)","note":"number: 1\npublisher: Nature Publishing Group","page":"1-10","source":"www.nature.com","title":"Glembatumumab vedotin for patients with metastatic, gpNMB overexpressing, triple-negative breast cancer (“METRIC”): a randomized multicenter study","title-short":"Glembatumumab vedotin for patients with metastatic, gpNMB overexpressing, triple-negative breast cancer (“METRIC”)","volume":"7","author":[{"family":"Vahdat","given":"Linda T."},{"family":"Schmid","given":"Peter"},{"family":"Forero-Torres","given":"Andres"},{"family":"Blackwell","given":"Kimberly"},{"family":"Telli","given":"Melinda L."},{"family":"Melisko","given":"Michelle"},{"family":"Möbus","given":"Volker"},{"family":"Cortes","given":"Javier"},{"family":"Montero","given":"Alberto J."},{"family":"Ma","given":"Cynthia"},{"family":"Nanda","given":"Rita"},{"family":"Wright","given":"Gail S."},{"family":"He","given":"Yi"},{"family":"Hawthorne","given":"Thomas"},{"family":"Bagley","given":"Rebecca G."},{"family":"Halim","given":"Abdel-Baset"},{"family":"Turner","given":"Christopher D."},{"family":"Yardley","given":"Denise A."}],"issued":{"date-parts":[["2021",5,20]]}}},{"id":66444,"uris":["http://zotero.org/groups/4797619/items/44JAGUPG"],"itemData":{"id":66444,"type":"article-journal","container-title":"New England Journal of Medicine","DOI":"10.1056/NEJMoa2028485","ISSN":"0028-4793","issue":"16","note":"publisher: Massachusetts Medical Society\n_eprint: https://doi.org/10.1056/NEJMoa2028485\nPMID: 33882206","page":"1529-1541","source":"Taylor and Francis+NEJM","title":"Sacituzumab Govitecan in Metastatic Triple-Negative Breast Cancer","volume":"384","author":[{"family":"Bardia","given":"Aditya"},{"family":"Hurvitz","given":"Sara A."},{"family":"Tolaney","given":"Sara M."},{"family":"Loirat","given":"Delphine"},{"family":"Punie","given":"Kevin"},{"family":"Oliveira","given":"Mafalda"},{"family":"Brufsky","given":"Adam"},{"family":"Sardesai","given":"Sagar D."},{"family":"Kalinsky","given":"Kevin"},{"family":"Zelnak","given":"Amelia B."},{"family":"Weaver","given":"Robert"},{"family":"Traina","given":"Tiffany"},{"family":"Dalenc","given":"Florence"},{"family":"Aftimos","given":"Philippe"},{"family":"Lynce","given":"Filipa"},{"family":"Diab","given":"Sami"},{"family":"Cortés","given":"Javier"},{"family":"O’Shaughnessy","given":"Joyce"},{"family":"Diéras","given":"Véronique"},{"family":"Ferrario","given":"Cristiano"},{"family":"Schmid","given":"Peter"},{"family":"Carey","given":"Lisa A."},{"family":"Gianni","given":"Luca"},{"family":"Piccart","given":"Martine J."},{"family":"Loibl","given":"Sibylle"},{"family":"Goldenberg","given":"David M."},{"family":"Hong","given":"Quan"},{"family":"Olivo","given":"Martin S."},{"family":"Itri","given":"Loretta M."},{"family":"Rugo","given":"Hope S."}],"issued":{"date-parts":[["2021",4,22]]}}},{"id":66764,"uris":["http://zotero.org/groups/4797619/items/YX8NEWUE"],"itemData":{"id":66764,"type":"article-journal","container-title":"The Lancet Oncology","DOI":"10.1016/S1470-2045(20)30754-3","ISSN":"1470-2045, 1474-5488","issue":"4","journalAbbreviation":"The Lancet Oncology","language":"English","note":"publisher: Elsevier\nPMID: 33676601","page":"499-511","source":"www.thelancet.com","title":"Pembrolizumab versus investigator-choice chemotherapy for metastatic triple-negative breast cancer (KEYNOTE-119): a randomised, open-label, phase 3 trial","title-short":"Pembrolizumab versus investigator-choice chemotherapy for metastatic triple-negative breast cancer (KEYNOTE-119)","volume":"22","author":[{"family":"Winer","given":"Eric P."},{"family":"Lipatov","given":"Oleg"},{"family":"Im","given":"Seock-Ah"},{"family":"Goncalves","given":"Anthony"},{"family":"Muñoz-Couselo","given":"Eva"},{"family":"Lee","given":"Keun Seok"},{"family":"Schmid","given":"Peter"},{"family":"Tamura","given":"Kenji"},{"family":"Testa","given":"Laura"},{"family":"Witzel","given":"Isabell"},{"family":"Ohtani","given":"Shoichiro"},{"family":"Turner","given":"Nicholas"},{"family":"Zambelli","given":"Stefania"},{"family":"Harbeck","given":"Nadia"},{"family":"Andre","given":"Fabrice"},{"family":"Dent","given":"Rebecca"},{"family":"Zhou","given":"Xuan"},{"family":"Karantza","given":"Vassiliki"},{"family":"Mejia","given":"Jaime"},{"family":"Cortes","given":"Javier"}],"issued":{"date-parts":[["2021",4,1]]}}}],"schema":"https://github.com/citation-style-language/schema/raw/master/csl-citation.json"} </w:instrText>
      </w:r>
      <w:r w:rsidR="00133584">
        <w:fldChar w:fldCharType="separate"/>
      </w:r>
      <w:r w:rsidR="00FD57F4" w:rsidRPr="00FD57F4">
        <w:rPr>
          <w:rFonts w:cs="Arial"/>
          <w:szCs w:val="24"/>
          <w:vertAlign w:val="superscript"/>
        </w:rPr>
        <w:t>43–55</w:t>
      </w:r>
      <w:r w:rsidR="00133584">
        <w:fldChar w:fldCharType="end"/>
      </w:r>
      <w:r>
        <w:t xml:space="preserve"> </w:t>
      </w:r>
      <w:r w:rsidRPr="00371464">
        <w:t xml:space="preserve">In the </w:t>
      </w:r>
      <w:r w:rsidRPr="00371464" w:rsidDel="009429E5">
        <w:t>HR-positive cohort</w:t>
      </w:r>
      <w:r w:rsidRPr="00371464">
        <w:t xml:space="preserve"> of DESTINY-Breast04 specifically, </w:t>
      </w:r>
      <w:r>
        <w:t xml:space="preserve">median PFS by BICR with T-DXd was </w:t>
      </w:r>
      <w:r w:rsidR="007D1D4B">
        <w:t xml:space="preserve">considerably </w:t>
      </w:r>
      <w:r>
        <w:t>higher than</w:t>
      </w:r>
      <w:r w:rsidRPr="00371464">
        <w:t xml:space="preserve"> TPC </w:t>
      </w:r>
      <w:r>
        <w:t>(median PFS by BICR: 10.1 vs. 5.4 months; HR: 0.51; p&lt;0.0001)</w:t>
      </w:r>
      <w:r w:rsidRPr="00371464">
        <w:fldChar w:fldCharType="begin"/>
      </w:r>
      <w:r w:rsidR="00CA6345">
        <w:instrText xml:space="preserve"> ADDIN ZOTERO_ITEM CSL_CITATION {"citationID":"jRQ1s4at","properties":{"formattedCitation":"\\super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Pr="00371464">
        <w:fldChar w:fldCharType="separate"/>
      </w:r>
      <w:r w:rsidR="00FD57F4" w:rsidRPr="00FD57F4">
        <w:rPr>
          <w:rFonts w:cs="Arial"/>
          <w:szCs w:val="24"/>
          <w:vertAlign w:val="superscript"/>
        </w:rPr>
        <w:t>6</w:t>
      </w:r>
      <w:r w:rsidRPr="00371464">
        <w:fldChar w:fldCharType="end"/>
      </w:r>
      <w:r w:rsidRPr="00371464">
        <w:t xml:space="preserve"> </w:t>
      </w:r>
      <w:r>
        <w:t xml:space="preserve">and </w:t>
      </w:r>
      <w:r w:rsidRPr="00371464">
        <w:t xml:space="preserve">the range </w:t>
      </w:r>
      <w:r>
        <w:t>in</w:t>
      </w:r>
      <w:r w:rsidRPr="00371464">
        <w:t xml:space="preserve"> previous studies in HER2-positive/HR-positive u/mBC (3.</w:t>
      </w:r>
      <w:r>
        <w:t>6</w:t>
      </w:r>
      <w:r w:rsidRPr="00AF02AE">
        <w:t>–4.2 months)</w:t>
      </w:r>
      <w:r>
        <w:t>.</w:t>
      </w:r>
      <w:r w:rsidRPr="00AF02AE">
        <w:t xml:space="preserve"> </w:t>
      </w:r>
      <w:r>
        <w:t xml:space="preserve">Similar findings were observed for </w:t>
      </w:r>
      <w:r w:rsidRPr="00AF02AE">
        <w:t xml:space="preserve">median OS </w:t>
      </w:r>
      <w:r>
        <w:t xml:space="preserve">in the HR-positive cohort </w:t>
      </w:r>
      <w:r w:rsidRPr="00AF02AE">
        <w:t>(</w:t>
      </w:r>
      <w:r>
        <w:t>T-DXd 23.9 months</w:t>
      </w:r>
      <w:r w:rsidRPr="00AF02AE">
        <w:fldChar w:fldCharType="begin"/>
      </w:r>
      <w:r w:rsidR="00CA6345">
        <w:instrText xml:space="preserve"> ADDIN ZOTERO_ITEM CSL_CITATION {"citationID":"c3NsgyR0","properties":{"formattedCitation":"\\super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Pr="00AF02AE">
        <w:fldChar w:fldCharType="separate"/>
      </w:r>
      <w:r w:rsidR="00FD57F4" w:rsidRPr="00FD57F4">
        <w:rPr>
          <w:rFonts w:cs="Arial"/>
          <w:szCs w:val="24"/>
          <w:vertAlign w:val="superscript"/>
        </w:rPr>
        <w:t>6</w:t>
      </w:r>
      <w:r w:rsidRPr="00AF02AE">
        <w:fldChar w:fldCharType="end"/>
      </w:r>
      <w:r>
        <w:t xml:space="preserve"> vs. TPC </w:t>
      </w:r>
      <w:r w:rsidRPr="00AF02AE">
        <w:t>17.5 months</w:t>
      </w:r>
      <w:r w:rsidRPr="00AF02AE">
        <w:fldChar w:fldCharType="begin"/>
      </w:r>
      <w:r w:rsidR="00CA6345">
        <w:instrText xml:space="preserve"> ADDIN ZOTERO_ITEM CSL_CITATION {"citationID":"S6RfCWKo","properties":{"formattedCitation":"\\super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Pr="00AF02AE">
        <w:fldChar w:fldCharType="separate"/>
      </w:r>
      <w:r w:rsidR="00FD57F4" w:rsidRPr="00FD57F4">
        <w:rPr>
          <w:rFonts w:cs="Arial"/>
          <w:szCs w:val="24"/>
          <w:vertAlign w:val="superscript"/>
        </w:rPr>
        <w:t>6</w:t>
      </w:r>
      <w:r w:rsidRPr="00AF02AE">
        <w:fldChar w:fldCharType="end"/>
      </w:r>
      <w:r w:rsidRPr="00AF02AE">
        <w:t xml:space="preserve"> vs. </w:t>
      </w:r>
      <w:r>
        <w:t xml:space="preserve">previous chemotherapy studies </w:t>
      </w:r>
      <w:r w:rsidRPr="00AF02AE">
        <w:t>11.5–</w:t>
      </w:r>
      <w:r>
        <w:t>16</w:t>
      </w:r>
      <w:r w:rsidRPr="00AF02AE">
        <w:t>.</w:t>
      </w:r>
      <w:r>
        <w:t>1</w:t>
      </w:r>
      <w:r w:rsidRPr="00AF02AE">
        <w:t xml:space="preserve"> months).</w:t>
      </w:r>
      <w:r w:rsidRPr="00AF02AE">
        <w:rPr>
          <w:rFonts w:cs="Arial"/>
          <w:sz w:val="20"/>
          <w:szCs w:val="20"/>
        </w:rPr>
        <w:fldChar w:fldCharType="begin"/>
      </w:r>
      <w:r w:rsidR="00CA6345">
        <w:rPr>
          <w:rFonts w:cs="Arial"/>
          <w:sz w:val="20"/>
          <w:szCs w:val="20"/>
        </w:rPr>
        <w:instrText xml:space="preserve"> ADDIN ZOTERO_ITEM CSL_CITATION {"citationID":"jDQ1dzfM","properties":{"formattedCitation":"\\super 43\\uc0\\u8211{}47,156\\nosupersub{}","plainCitation":"43–47,156","noteIndex":0},"citationItems":[{"id":66149,"uris":["http://zotero.org/groups/4797619/items/8M7DF85G"],"itemData":{"id":66149,"type":"article-journal","abstract":"BACKGROUND: Based on data from two multicenter, phase III clinical trials (Studies 301 and 305), eribulin (a microtubule dynamics inhibitor) is indicated in the European Union (EU) for patients with locally advanced or metastatic breast cancer (MBC) after ≥1 prior chemotherapy for advanced disease, including an anthracycline and a taxane in either the adjuvant or metastatic setting. Data from Studies 305 and 301 were pooled to investigate the efficacy of eribulin in various subgroups of patients who matched the EU label, including those with human epidermal growth factor receptor 2 (HER2)-negative and triple-negative disease.\nPATIENTS AND METHODS: In Study 305 (NCT00388726), patients were randomized 2:1 to eribulin mesylate 1.4 mg/m(2) (equivalent to eribulin 1.23 mg/m(2) [expressed as free base]) intravenously on days 1 and 8 every 21 days] or treatment of physician's choice after 2-5 prior chemotherapies (≥2 for advanced disease), including an anthracycline and a taxane (in early/advanced setting). In Study 301 (NCT00337103), patients were randomized 1:1 to eribulin (as above) or capecitabine (1.25 g/m(2) orally twice daily on days 1-14 every 21 days) following ≤3 prior chemotherapies (≤2 for advanced disease), including an anthracycline and a taxane. Efficacy end points were investigated in the intent-to-treat population and subgroups, pooled as discussed above.\nRESULTS: Overall, 1644 patients were included (eribulin: 946; control: 698); baseline characteristics were well matched. Overall survival was significantly longer with eribulin versus control (P &lt; 0.01), as were progression-free survival and clinical benefit rate (both P &lt; 0.05). Significant survival benefits with eribulin versus control were observed in a wide range of patient subgroups, including HER2-negative or triple-negative disease (all P &lt; 0.05).\nCONCLUSION: Our findings underline the survival benefit achieved by eribulin used according to EU label in the overall MBC population and in various subgroups of interest, including patients with HER2-negative and triple-negative disease.","container-title":"Annals of Oncology: Official Journal of the European Society for Medical Oncology","DOI":"10.1093/annonc/mdw203","ISSN":"1569-8041","issue":"8","journalAbbreviation":"Ann Oncol","language":"eng","note":"PMID: 27177860\nPMCID: PMC4959925","page":"1525-1531","source":"PubMed","title":"Pooled analyses of eribulin in metastatic breast cancer patients with at least one prior chemotherapy","volume":"27","author":[{"family":"Pivot","given":"X."},{"family":"Marmé","given":"F."},{"family":"Koenigsberg","given":"R."},{"family":"Guo","given":"M."},{"family":"Berrak","given":"E."},{"family":"Wolfer","given":"A."}],"issued":{"date-parts":[["2016",8]]}}},{"id":66152,"uris":["http://zotero.org/groups/4797619/items/K2TXU8UJ"],"itemData":{"id":66152,"type":"article-journal","abstract":"BACKGROUND: Treatments with survival benefit are greatly needed for women with heavily pretreated metastatic breast cancer. Eribulin mesilate is a non-taxane microtubule dynamics inhibitor with a novel mode of action. We aimed to compare overall survival of heavily pretreated patients receiving eribulin versus currently available treatments.\nMETHODS: In this phase 3 open-label study, women with locally recurrent or metastatic breast cancer were randomly allocated (2:1) to eribulin mesilate (1·4 mg/m(2) administered intravenously during 2-5 min on days 1 and 8 of a 21-day cycle) or treatment of physician's choice (TPC). Patients had received between two and five previous chemotherapy regimens (two or more for advanced disease), including an anthracycline and a taxane, unless contraindicated. Randomisation was stratified by geographical region, previous capecitabine treatment, and human epidermal growth factor receptor 2 status. Patients and investigators were not masked to treatment allocation. The primary endpoint was overall survival in the intention-to-treat population. This study is registered at ClinicalTrials.gov, number NCT00388726.\nFINDINGS: 762 women were randomly allocated to treatment groups (508 eribulin, 254 TPC). Overall survival was significantly improved in women assigned to eribulin (median 13·1 months, 95% CI 11·8-14·3) compared with TPC (10·6 months, 9·3-12·5; hazard ratio 0·81, 95% CI 0·66-0·99; p=0·041). The most common adverse events in both groups were asthenia or fatigue (270 [54%] of 503 patients on eribulin and 98 [40%] of 247 patients on TPC at all grades) and neutropenia (260 [52%] patients receiving eribulin and 73 [30%] of those on TPC at all grades). Peripheral neuropathy was the most common adverse event leading to discontinuation from eribulin, occurring in 24 (5%) of 503 patients.\nINTERPRETATION: Eribulin showed a significant and clinically meaningful improvement in overall survival compared with TPC in women with heavily pretreated metastatic breast cancer. This finding challenges the notion that improved overall survival is an unrealistic expectation during evaluation of new anticancer therapies in the refractory setting.\nFUNDING: Eisai.","container-title":"Lancet (London, England)","DOI":"10.1016/S0140-6736(11)60070-6","ISSN":"1474-547X","issue":"9769","journalAbbreviation":"Lancet","language":"eng","note":"PMID: 21376385","page":"914-923","source":"PubMed","title":"Eribulin monotherapy versus treatment of physician's choice in patients with metastatic breast cancer (EMBRACE): a phase 3 open-label randomised study","title-short":"Eribulin monotherapy versus treatment of physician's choice in patients with metastatic breast cancer (EMBRACE)","volume":"377","author":[{"family":"Cortes","given":"Javier"},{"family":"O'Shaughnessy","given":"Joyce"},{"family":"Loesch","given":"David"},{"family":"Blum","given":"Joanne L."},{"family":"Vahdat","given":"Linda T."},{"family":"Petrakova","given":"Katarina"},{"family":"Chollet","given":"Philippe"},{"family":"Manikas","given":"Alexey"},{"family":"Diéras","given":"Veronique"},{"family":"Delozier","given":"Thierry"},{"family":"Vladimirov","given":"Vladimir"},{"family":"Cardoso","given":"Fatima"},{"family":"Koh","given":"Han"},{"family":"Bougnoux","given":"Philippe"},{"family":"Dutcus","given":"Corina E."},{"family":"Seegobin","given":"Seth"},{"family":"Mir","given":"Denis"},{"family":"Meneses","given":"Nicole"},{"family":"Wanders","given":"Jantien"},{"family":"Twelves","given":"Chris"},{"literal":"EMBRACE (Eisai Metastatic Breast Cancer Study Assessing Physician's Choice Versus E7389) investigators"}],"issued":{"date-parts":[["2011",3,12]]}}},{"id":66151,"uris":["http://zotero.org/groups/4797619/items/RLDAE79H"],"itemData":{"id":66151,"type":"article-journal","abstract":"PURPOSE AND METHODS: Our secondary analyses compared survival with eribulin versus capecitabine in various patient subgroups from a phase 3, open-label, randomized study. Eligible women aged ≥18 years with advanced/metastatic breast cancer and ≤3 prior chemotherapies (≤2 for advanced/metastatic disease), including an anthracycline and taxane, were randomized 1:1 to intravenous eribulin mesylate 1.4 mg/m(2) on days 1 and 8 or twice-daily oral capecitabine 1250 mg/m(2) on days 1-14 (21-day cycles).\nRESULTS: In the intent-to-treat population (eribulin 554 and capecitabine 548), overall survival appeared longer with eribulin than capecitabine in various subgroups, including patients with human epidermal growth factor receptor 2-negative (15.9 versus 13.5 months, respectively), estrogen receptor-negative (14.4 versus 10.5 months, respectively), and triple-negative (14.4 versus 9.4 months, respectively) disease. Progression-free survival was similar between the treatment arms.\nCONCLUSIONS: Patients with advanced/metastatic breast cancer and human epidermal growth factor receptor 2-, estrogen receptor-, or triple-negative disease may gain particular benefit from eribulin as first-, second-, and third-line chemotherapies.\nTRIAL REGISTRATION PRIMARY STUDY: This study reports the subgroup analyses of eribulin versus capecitabine from a phase 3, open-label, randomized study (www.clinicaltrials.gov; ClinicalTrials.gov identifier: NCT00337103).","container-title":"Breast Cancer: Basic and Clinical Research","DOI":"10.4137/BCBCR.S39615","ISSN":"1178-2234","journalAbbreviation":"Breast Cancer (Auckl)","language":"eng","note":"PMID: 27398025\nPMCID: PMC4927108","page":"77-84","source":"PubMed","title":"Subgroup Analyses from a Phase 3, Open-Label, Randomized Study of Eribulin Mesylate Versus Capecitabine in Pretreated Patients with Advanced or Metastatic Breast Cancer","volume":"10","author":[{"family":"Twelves","given":"Chris"},{"family":"Awada","given":"Ahmad"},{"family":"Cortes","given":"Javier"},{"family":"Yelle","given":"Louise"},{"family":"Velikova","given":"Galina"},{"family":"Olivo","given":"Martin S."},{"family":"Song","given":"James"},{"family":"Dutcus","given":"Corina E."},{"family":"Kaufman","given":"Peter A."}],"issued":{"date-parts":[["2016"]]}}},{"id":66150,"uris":["http://zotero.org/groups/4797619/items/FWP3JYLN"],"itemData":{"id":66150,"type":"article-journal","abstract":"This post hoc subgroup analysis of a large phase 3 study compared the efficacy and safety of eribulin versus capecitabine in patients with human epidermal growth factor receptor 2 (HER2)-negative metastatic breast cancer who received second-line treatment. In the phase 3 study, women with advanced/metastatic breast cancer and ≤ 3 prior chemotherapies were randomized 1:1 to eribulin mesilate 1.4 mg/m2 intravenously on days 1 and 8, or twice-daily oral capecitabine 1.25 g/m2 on days 1-14 (21-day cycles). This analysis included 392 patients. Median overall survival was longer in patients receiving eribulin compared with capecitabine (16.1 vs 13.5 months, respectively; HR 0.77, P = 0.026). Median progression-free survival and response rates were similar between arms. Both treatments had manageable safety profiles.","container-title":"Breast Cancer (Tokyo, Japan)","DOI":"10.1007/s12282-017-0826-4","ISSN":"1880-4233","issue":"3","journalAbbreviation":"Breast Cancer","language":"eng","note":"PMID: 29302858\nPMCID: PMC5906517","page":"370-374","source":"PubMed","title":"Subgroup analysis of patients with HER2-negative metastatic breast cancer in the second-line setting from a phase 3, open-label, randomized study of eribulin mesilate versus capecitabine","volume":"25","author":[{"family":"Pivot","given":"Xavier"},{"family":"Im","given":"Seock Ah"},{"family":"Guo","given":"Matthew"},{"family":"Marmé","given":"Frederik"}],"issued":{"date-parts":[["2018",5]]}}},{"id":66278,"uris":["http://zotero.org/groups/4797619/items/L9C8M9U3"],"itemData":{"id":66278,"type":"article-journal","abstract":"BACKGROUND: Use of antiangiogenic agents in treatment of metastatic breast cancer (MBC) remains controversial. We evaluated the efficacy and safety of ramucirumab and eribulin versus eribulin alone as third- to fifth-line therapy in women with advanced breast cancer.\nPATIENTS AND METHODS: In this randomized (1:1), open-label, phase II study, US women aged 18 years or older with 2 to 4 previous chemotherapy regimens for locally recurrent or MBC, previous anthracycline and taxane treatment, and Eastern Cooperative Oncology Group performance status of 0 or 1 received ramucirumab with eribulin or eribulin alone in 21-day cycles (eribulin 1.4 mg/m2 intravenously on days 1 and 8; ramucirumab 10 mg/kg intravenously on day 1). Randomization was stratified according to previous antiangiogenic therapy and triple-negative status. The primary end point was progression-free survival (PFS) in the intention to treat population.\nRESULTS: One hundred forty-one women were randomized to ramucirumab with eribulin (n = 71) or eribulin alone (n = 70). Median PFS for ramucirumab with eribulin was 4.4 months (95% confidence interval [CI], 3.1-6.7) compared with 4.1 months (95% CI, 3.2-5.6) for eribulin (hazard ratio [HR], 0.83; 95% CI, 0.56-1.23; P = .35). Median overall survival in patients who received ramucirumab with eribulin was 13.5 months (95% CI, 10.4-17.9) compared with 11.5 months (95% CI, 9.0-17.3) in patients who received eribulin alone (HR, 0.91; 95% CI, 0.59-1.41; P = .68); objective response rate was 21% (13 of 62 patients) for the combination and 28% (17 of 60 patients) for eribulin alone. No unexpected toxicity was identified for the combination.\nCONCLUSION: Ramucirumab combined with eribulin did not significantly improve PFS in advanced MBC.","container-title":"Clinical Breast Cancer","DOI":"10.1016/j.clbc.2016.07.005","ISSN":"1938-0666","issue":"6","journalAbbreviation":"Clin Breast Cancer","language":"eng","note":"PMID: 27569274","page":"471-479.e1","source":"PubMed","title":"Ramucirumab With Eribulin Versus Eribulin in Locally Recurrent or Metastatic Breast Cancer Previously Treated With Anthracycline and Taxane Therapy: A Multicenter, Randomized, Phase II Study","title-short":"Ramucirumab With Eribulin Versus Eribulin in Locally Recurrent or Metastatic Breast Cancer Previously Treated With Anthracycline and Taxane Therapy","volume":"16","author":[{"family":"Yardley","given":"Denise A."},{"family":"Reeves","given":"James"},{"family":"Dees","given":"E. Claire"},{"family":"Osborne","given":"Cynthia"},{"family":"Paul","given":"Devchand"},{"family":"Ademuyiwa","given":"Foluso"},{"family":"Soliman","given":"Hatem"},{"family":"Guthrie","given":"Troy"},{"family":"Andersen","given":"Jay"},{"family":"Krekow","given":"Lea"},{"family":"Choksi","given":"Janak"},{"family":"Daniel","given":"Brooke"},{"family":"Danso","given":"Michael"},{"family":"Favret","given":"Anne"},{"family":"Oommen","given":"Sanjay"},{"family":"Brufsky","given":"Adam"},{"family":"Bromund","given":"Jane L."},{"family":"Lin","given":"Yong"},{"family":"Ibrahim","given":"Ayman B."},{"family":"Richards","given":"Paul D."}],"issued":{"date-parts":[["2016",12]]}}},{"id":66277,"uris":["http://zotero.org/groups/4797619/items/5TI5IZJM"],"itemData":{"id":66277,"type":"article-journal","abstract":"This multicenter, randomized, open-label phase III trial (planned enrollment: 700 patients) was conducted to test the hypothesis that single-agent sunitinib improves progression-free survival (PFS) compared with capecitabine as treatment for advanced breast cancer (ABC). Patients with HER2-negative ABC that recurred after anthracycline and taxane therapy were randomized (1:1) to sunitinib 37.5 mg/day or capecitabine 1,250 mg/m(2) (1,000 mg/m(2) in patients &gt;65 years) BID on days 1-14 q3w. The independent data-monitoring committee (DMC) determined during the first interim analysis (238 patients randomized to sunitinib, 244 to capecitabine) that the trial be terminated due to futility in reaching the primary endpoint. No statistical evidence supported the hypothesis that sunitinib improved PFS compared with capecitabine (one-sided P = 0.999). The data indicated that PFS was shorter with sunitinib than capecitabine (median 2.8 vs. 4.2 months, respectively; HR, 1.47; 95% CI, 1.16-1.87; two-sided P = 0.002). Median overall survival (15.3 vs. 24.6 months; HR, 1.17; two-sided P = 0.350) and objective response rates (11 vs. 16%; odds ratio, 0.65; P = 0.109) were numerically inferior with sunitinib versus capecitabine. While no new or unexpected safety findings were reported, sunitinib treatment was associated with higher frequencies and greater severities of many common adverse events (AEs) compared with capecitabine, resulting in more temporary discontinuations due to AEs with sunitinib (66 vs. 51%). The relative dose intensity was lower with sunitinib than capecitabine (73 vs. 95%). Based on these efficacy and safety results, sunitinib should not be used as monotherapy for patients with ABC.","container-title":"Breast Cancer Research and Treatment","DOI":"10.1007/s10549-010-0788-0","ISSN":"1573-7217","issue":"1","journalAbbreviation":"Breast Cancer Res Treat","language":"eng","note":"PMID: 20339913\nPMCID: PMC2855860","page":"121-131","source":"PubMed","title":"Phase III randomized trial of sunitinib versus capecitabine in patients with previously treated HER2-negative advanced breast cancer","volume":"121","author":[{"family":"Barrios","given":"Carlos H."},{"family":"Liu","given":"Mei-Ching"},{"family":"Lee","given":"Soo Chin"},{"family":"Vanlemmens","given":"Laurence"},{"family":"Ferrero","given":"Jean-Marc"},{"family":"Tabei","given":"Toshio"},{"family":"Pivot","given":"Xavier"},{"family":"Iwata","given":"Hiroji"},{"family":"Aogi","given":"Kenjiro"},{"family":"Lugo-Quintana","given":"Roberto"},{"family":"Harbeck","given":"Nadia"},{"family":"Brickman","given":"Marla J."},{"family":"Zhang","given":"Ke"},{"family":"Kern","given":"Kenneth A."},{"family":"Martin","given":"Miguel"}],"issued":{"date-parts":[["2010",5]]}}}],"schema":"https://github.com/citation-style-language/schema/raw/master/csl-citation.json"} </w:instrText>
      </w:r>
      <w:r w:rsidRPr="00AF02AE">
        <w:rPr>
          <w:rFonts w:cs="Arial"/>
          <w:sz w:val="20"/>
          <w:szCs w:val="20"/>
        </w:rPr>
        <w:fldChar w:fldCharType="separate"/>
      </w:r>
      <w:r w:rsidR="00CA6345" w:rsidRPr="00CA6345">
        <w:rPr>
          <w:rFonts w:cs="Arial"/>
          <w:sz w:val="20"/>
          <w:szCs w:val="24"/>
          <w:vertAlign w:val="superscript"/>
        </w:rPr>
        <w:t>43–47,156</w:t>
      </w:r>
      <w:r w:rsidRPr="00AF02AE">
        <w:rPr>
          <w:rFonts w:cs="Arial"/>
          <w:sz w:val="20"/>
          <w:szCs w:val="20"/>
        </w:rPr>
        <w:fldChar w:fldCharType="end"/>
      </w:r>
      <w:r w:rsidRPr="00AF02AE">
        <w:t xml:space="preserve"> </w:t>
      </w:r>
      <w:r>
        <w:t xml:space="preserve">Likewise, T-DXd offers profound survival benefit over chemotherapy in the HR-negative cohort in terms of median PFS by BICR (T-DXd 8.5 months vs. TPC </w:t>
      </w:r>
      <w:r w:rsidRPr="00AF02AE">
        <w:t>2.9 months</w:t>
      </w:r>
      <w:r w:rsidRPr="00AF02AE">
        <w:fldChar w:fldCharType="begin"/>
      </w:r>
      <w:r w:rsidR="00CA6345">
        <w:instrText xml:space="preserve"> ADDIN ZOTERO_ITEM CSL_CITATION {"citationID":"SMRRX5kV","properties":{"formattedCitation":"\\super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Pr="00AF02AE">
        <w:fldChar w:fldCharType="separate"/>
      </w:r>
      <w:r w:rsidR="00FD57F4" w:rsidRPr="00FD57F4">
        <w:rPr>
          <w:rFonts w:cs="Arial"/>
          <w:szCs w:val="24"/>
          <w:vertAlign w:val="superscript"/>
        </w:rPr>
        <w:t>6</w:t>
      </w:r>
      <w:r w:rsidRPr="00AF02AE">
        <w:fldChar w:fldCharType="end"/>
      </w:r>
      <w:r w:rsidRPr="00AF02AE">
        <w:t xml:space="preserve"> vs. </w:t>
      </w:r>
      <w:r>
        <w:t>previous chemotherapy studies 1.7</w:t>
      </w:r>
      <w:r w:rsidRPr="00AF02AE">
        <w:t>–</w:t>
      </w:r>
      <w:r>
        <w:t>2</w:t>
      </w:r>
      <w:r w:rsidRPr="00AF02AE">
        <w:t>.</w:t>
      </w:r>
      <w:r>
        <w:t>8</w:t>
      </w:r>
      <w:r w:rsidRPr="00AF02AE">
        <w:t xml:space="preserve"> months</w:t>
      </w:r>
      <w:r w:rsidRPr="00AF02AE">
        <w:fldChar w:fldCharType="begin"/>
      </w:r>
      <w:r w:rsidR="00CA6345">
        <w:instrText xml:space="preserve"> ADDIN ZOTERO_ITEM CSL_CITATION {"citationID":"1iTx0F6H","properties":{"formattedCitation":"\\super 43, 48\\uc0\\u8211{}50,157\\nosupersub{}","plainCitation":"43, 48–50,157","noteIndex":0},"citationItems":[{"id":66444,"uris":["http://zotero.org/groups/4797619/items/44JAGUPG"],"itemData":{"id":66444,"type":"article-journal","container-title":"New England Journal of Medicine","DOI":"10.1056/NEJMoa2028485","ISSN":"0028-4793","issue":"16","note":"publisher: Massachusetts Medical Society\n_eprint: https://doi.org/10.1056/NEJMoa2028485\nPMID: 33882206","page":"1529-1541","source":"Taylor and Francis+NEJM","title":"Sacituzumab Govitecan in Metastatic Triple-Negative Breast Cancer","volume":"384","author":[{"family":"Bardia","given":"Aditya"},{"family":"Hurvitz","given":"Sara A."},{"family":"Tolaney","given":"Sara M."},{"family":"Loirat","given":"Delphine"},{"family":"Punie","given":"Kevin"},{"family":"Oliveira","given":"Mafalda"},{"family":"Brufsky","given":"Adam"},{"family":"Sardesai","given":"Sagar D."},{"family":"Kalinsky","given":"Kevin"},{"family":"Zelnak","given":"Amelia B."},{"family":"Weaver","given":"Robert"},{"family":"Traina","given":"Tiffany"},{"family":"Dalenc","given":"Florence"},{"family":"Aftimos","given":"Philippe"},{"family":"Lynce","given":"Filipa"},{"family":"Diab","given":"Sami"},{"family":"Cortés","given":"Javier"},{"family":"O’Shaughnessy","given":"Joyce"},{"family":"Diéras","given":"Véronique"},{"family":"Ferrario","given":"Cristiano"},{"family":"Schmid","given":"Peter"},{"family":"Carey","given":"Lisa A."},{"family":"Gianni","given":"Luca"},{"family":"Piccart","given":"Martine J."},{"family":"Loibl","given":"Sibylle"},{"family":"Goldenberg","given":"David M."},{"family":"Hong","given":"Quan"},{"family":"Olivo","given":"Martin S."},{"family":"Itri","given":"Loretta M."},{"family":"Rugo","given":"Hope S."}],"issued":{"date-parts":[["2021",4,22]]}}},{"id":66149,"uris":["http://zotero.org/groups/4797619/items/8M7DF85G"],"itemData":{"id":66149,"type":"article-journal","abstract":"BACKGROUND: Based on data from two multicenter, phase III clinical trials (Studies 301 and 305), eribulin (a microtubule dynamics inhibitor) is indicated in the European Union (EU) for patients with locally advanced or metastatic breast cancer (MBC) after ≥1 prior chemotherapy for advanced disease, including an anthracycline and a taxane in either the adjuvant or metastatic setting. Data from Studies 305 and 301 were pooled to investigate the efficacy of eribulin in various subgroups of patients who matched the EU label, including those with human epidermal growth factor receptor 2 (HER2)-negative and triple-negative disease.\nPATIENTS AND METHODS: In Study 305 (NCT00388726), patients were randomized 2:1 to eribulin mesylate 1.4 mg/m(2) (equivalent to eribulin 1.23 mg/m(2) [expressed as free base]) intravenously on days 1 and 8 every 21 days] or treatment of physician's choice after 2-5 prior chemotherapies (≥2 for advanced disease), including an anthracycline and a taxane (in early/advanced setting). In Study 301 (NCT00337103), patients were randomized 1:1 to eribulin (as above) or capecitabine (1.25 g/m(2) orally twice daily on days 1-14 every 21 days) following ≤3 prior chemotherapies (≤2 for advanced disease), including an anthracycline and a taxane. Efficacy end points were investigated in the intent-to-treat population and subgroups, pooled as discussed above.\nRESULTS: Overall, 1644 patients were included (eribulin: 946; control: 698); baseline characteristics were well matched. Overall survival was significantly longer with eribulin versus control (P &lt; 0.01), as were progression-free survival and clinical benefit rate (both P &lt; 0.05). Significant survival benefits with eribulin versus control were observed in a wide range of patient subgroups, including HER2-negative or triple-negative disease (all P &lt; 0.05).\nCONCLUSION: Our findings underline the survival benefit achieved by eribulin used according to EU label in the overall MBC population and in various subgroups of interest, including patients with HER2-negative and triple-negative disease.","container-title":"Annals of Oncology: Official Journal of the European Society for Medical Oncology","DOI":"10.1093/annonc/mdw203","ISSN":"1569-8041","issue":"8","journalAbbreviation":"Ann Oncol","language":"eng","note":"PMID: 27177860\nPMCID: PMC4959925","page":"1525-1531","source":"PubMed","title":"Pooled analyses of eribulin in metastatic breast cancer patients with at least one prior chemotherapy","volume":"27","author":[{"family":"Pivot","given":"X."},{"family":"Marmé","given":"F."},{"family":"Koenigsberg","given":"R."},{"family":"Guo","given":"M."},{"family":"Berrak","given":"E."},{"family":"Wolfer","given":"A."}],"issued":{"date-parts":[["2016",8]]}}},{"id":66759,"uris":["http://zotero.org/groups/4797619/items/WRYWKH52"],"itemData":{"id":66759,"type":"article-journal","abstract":"The METRIC study (NCT#0199733) explored a novel antibody–drug conjugate, glembatumumab vedotin (GV), targeting gpNMB that is overexpressed in ~40% of patients with triple-negative breast cancer (TNBC) and associated with poor prognosis. The study was a randomized, open-label, phase 2b study that evaluated progression-free survival (PFS) of GV compared with capecitabine in gpNMB-overexpressing TNBC. Patients who had previously received anthracycline and taxane-based therapy were randomized 2:1 to receive, GV (1.88 mg/kg IV q21 days) or capecitabine (2500 mg/m2 PO daily d1–14 q21 days). The primary endpoint was RECIST 1.1 PFS per independent, blinded central review. In all, 327 patients were randomized to GV (213 treated) or capecitabine (92 treated). Median PFS was 2.9 months for GV vs. 2.8 months for capecitabine. The most common grade ≥3 toxicities for GV were neutropenia, rash, and leukopenia, and for capecitabine were fatigue, diarrhea, and palmar-plantar erythrodysesthesia. The study did not meet the primary endpoint of improved PFS over capecitabine or demonstrate a relative risk/benefit improvement over capecitabine.","container-title":"npj Breast Cancer","DOI":"10.1038/s41523-021-00244-6","ISSN":"2374-4677","issue":"1","language":"en","license":"2021 The Author(s)","note":"number: 1\npublisher: Nature Publishing Group","page":"1-10","source":"www.nature.com","title":"Glembatumumab vedotin for patients with metastatic, gpNMB overexpressing, triple-negative breast cancer (“METRIC”): a randomized multicenter study","title-short":"Glembatumumab vedotin for patients with metastatic, gpNMB overexpressing, triple-negative breast cancer (“METRIC”)","volume":"7","author":[{"family":"Vahdat","given":"Linda T."},{"family":"Schmid","given":"Peter"},{"family":"Forero-Torres","given":"Andres"},{"family":"Blackwell","given":"Kimberly"},{"family":"Telli","given":"Melinda L."},{"family":"Melisko","given":"Michelle"},{"family":"Möbus","given":"Volker"},{"family":"Cortes","given":"Javier"},{"family":"Montero","given":"Alberto J."},{"family":"Ma","given":"Cynthia"},{"family":"Nanda","given":"Rita"},{"family":"Wright","given":"Gail S."},{"family":"He","given":"Yi"},{"family":"Hawthorne","given":"Thomas"},{"family":"Bagley","given":"Rebecca G."},{"family":"Halim","given":"Abdel-Baset"},{"family":"Turner","given":"Christopher D."},{"family":"Yardley","given":"Denise A."}],"issued":{"date-parts":[["2021",5,20]]}}},{"id":66764,"uris":["http://zotero.org/groups/4797619/items/YX8NEWUE"],"itemData":{"id":66764,"type":"article-journal","container-title":"The Lancet Oncology","DOI":"10.1016/S1470-2045(20)30754-3","ISSN":"1470-2045, 1474-5488","issue":"4","journalAbbreviation":"The Lancet Oncology","language":"English","note":"publisher: Elsevier\nPMID: 33676601","page":"499-511","source":"www.thelancet.com","title":"Pembrolizumab versus investigator-choice chemotherapy for metastatic triple-negative breast cancer (KEYNOTE-119): a randomised, open-label, phase 3 trial","title-short":"Pembrolizumab versus investigator-choice chemotherapy for metastatic triple-negative breast cancer (KEYNOTE-119)","volume":"22","author":[{"family":"Winer","given":"Eric P."},{"family":"Lipatov","given":"Oleg"},{"family":"Im","given":"Seock-Ah"},{"family":"Goncalves","given":"Anthony"},{"family":"Muñoz-Couselo","given":"Eva"},{"family":"Lee","given":"Keun Seok"},{"family":"Schmid","given":"Peter"},{"family":"Tamura","given":"Kenji"},{"family":"Testa","given":"Laura"},{"family":"Witzel","given":"Isabell"},{"family":"Ohtani","given":"Shoichiro"},{"family":"Turner","given":"Nicholas"},{"family":"Zambelli","given":"Stefania"},{"family":"Harbeck","given":"Nadia"},{"family":"Andre","given":"Fabrice"},{"family":"Dent","given":"Rebecca"},{"family":"Zhou","given":"Xuan"},{"family":"Karantza","given":"Vassiliki"},{"family":"Mejia","given":"Jaime"},{"family":"Cortes","given":"Javier"}],"issued":{"date-parts":[["2021",4,1]]}}},{"id":66770,"uris":["http://zotero.org/groups/4797619/items/43HHHHD5"],"itemData":{"id":66770,"type":"article-journal","abstract":"Purpose\nWe investigated whether irinotecan plus capecitabine improved progression-free survival (PFS) compared with capecitabine alone in patients with human epidermal growth factor 2 (HER2) negative and anthracycline and taxane pretreated metastatic breast cancer (MBC). \n\nMaterials and Methods\nA total of 221 patients were randomly assigned to irinotecan (80 mg/m2, days 1 and 8) and capecitabine (1,000 mg/m2 twice a day, days 1-14) or capecitabine alone (1,250 mg/m2 twice a day, days 1-14) every 3 weeks. The primary endpoint was PFS.\n\nResults\nThere was no significant difference in PFS between the combination and monotherapy arm (median, 6.4 months vs. 4.7 months; hazard ratio [HR], 0.84; 95% confidence interval [CI], 0.63 to 1.11; p=0.84). In patients with triple-negative breast cancer (TNBC, n=90), the combination significantly improved PFS (median, 4.7 months vs. 2.5 months; HR, 0.58; 95% CI, 0.37 to 0.91; p=0.02). Objective response rate was numerically higher in the combination arm, though it failed to reach statistical significance (44.4% vs. 33.3%, p=0.30). Overall survival did not differ between arms (median, 20.4 months vs. 24.0 months; p=0.63). While grade 3 or 4 neutropenia was more common in the combination arm (39.6% vs. 9.0%), hand-foot syndrome was more often observed in capecitabine arm. Quality of life measurements in global health status was similar. However, patients in the combination arm showed significantly worse symptom scales especially in nausea/vomiting and diarrhea. \n\nConclusion\nIrinotecan plus capecitabine did not prove clinically superior to single-agent capecitabine in anthracycline- and taxane-pretreated HER2 negative MBC patients. Toxicity profiles of the two groups differed but were manageable. The role of added irinotecan in patients with TNBC remains to be elucidated.","container-title":"Cancer Research and Treatment : Official Journal of Korean Cancer Association","DOI":"10.4143/crt.2017.562","ISSN":"1598-2998","issue":"1","journalAbbreviation":"Cancer Res Treat","note":"PMID: 29458237\nPMCID: PMC6333992","page":"43-52","source":"PubMed Central","title":"Randomized Open Label Phase III Trial of Irinotecan Plus Capecitabine versus Capecitabine Monotherapy in Patients with Metastatic Breast Cancer Previously Treated with Anthracycline and Taxane: PROCEED Trial (KCSG BR 11-01)","title-short":"Randomized Open Label Phase III Trial of Irinotecan Plus Capecitabine versus Capecitabine Monotherapy in Patients with Metastatic Breast Cancer Previously Treated with Anthracycline and Taxane","volume":"51","author":[{"family":"Park","given":"In Hae"},{"family":"Im","given":"Seock-Ah"},{"family":"Jung","given":"Kyung Hae"},{"family":"Sohn","given":"Joo Hyuk"},{"family":"Park","given":"Yeon Hee"},{"family":"Lee","given":"Keun Seok"},{"family":"Sim","given":"Sung Hoon"},{"family":"Park","given":"Kyong-Hwa"},{"family":"Kim","given":"Jee Hyun"},{"family":"Nam","given":"Byung Ho"},{"family":"Kim","given":"Hee-Jun"},{"family":"Kim","given":"Tae-Yong"},{"family":"Lee","given":"Kyung-Hun"},{"family":"Kim","given":"Sung-Bae"},{"family":"Ahn","given":"Jin-Hee"},{"family":"Lee","given":"Suee"},{"family":"Ro","given":"Jungsil"}],"issued":{"date-parts":[["2019",1]]}}}],"schema":"https://github.com/citation-style-language/schema/raw/master/csl-citation.json"} </w:instrText>
      </w:r>
      <w:r w:rsidRPr="00AF02AE">
        <w:fldChar w:fldCharType="separate"/>
      </w:r>
      <w:r w:rsidR="00CA6345" w:rsidRPr="00CA6345">
        <w:rPr>
          <w:rFonts w:cs="Arial"/>
          <w:szCs w:val="24"/>
          <w:vertAlign w:val="superscript"/>
        </w:rPr>
        <w:t>43, 48–50,157</w:t>
      </w:r>
      <w:r w:rsidRPr="00AF02AE">
        <w:fldChar w:fldCharType="end"/>
      </w:r>
      <w:r w:rsidRPr="00AF02AE">
        <w:t xml:space="preserve">) </w:t>
      </w:r>
      <w:r>
        <w:t>and</w:t>
      </w:r>
      <w:r w:rsidRPr="00AF02AE">
        <w:t xml:space="preserve"> median OS (</w:t>
      </w:r>
      <w:r>
        <w:t xml:space="preserve">T-DXd 18.2 months vs. TPC </w:t>
      </w:r>
      <w:r w:rsidRPr="00AF02AE">
        <w:t>8.3 months</w:t>
      </w:r>
      <w:r w:rsidRPr="00AF02AE">
        <w:fldChar w:fldCharType="begin"/>
      </w:r>
      <w:r w:rsidR="00CA6345">
        <w:instrText xml:space="preserve"> ADDIN ZOTERO_ITEM CSL_CITATION {"citationID":"fyjqz1ay","properties":{"formattedCitation":"\\super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Pr="00AF02AE">
        <w:fldChar w:fldCharType="separate"/>
      </w:r>
      <w:r w:rsidR="00FD57F4" w:rsidRPr="00FD57F4">
        <w:rPr>
          <w:rFonts w:cs="Arial"/>
          <w:szCs w:val="24"/>
          <w:vertAlign w:val="superscript"/>
        </w:rPr>
        <w:t>6</w:t>
      </w:r>
      <w:r w:rsidRPr="00AF02AE">
        <w:fldChar w:fldCharType="end"/>
      </w:r>
      <w:r w:rsidRPr="00AF02AE">
        <w:t xml:space="preserve"> vs</w:t>
      </w:r>
      <w:r w:rsidR="00EB29BC">
        <w:t>.</w:t>
      </w:r>
      <w:r w:rsidRPr="00AF02AE">
        <w:t xml:space="preserve"> </w:t>
      </w:r>
      <w:r>
        <w:t xml:space="preserve">previous chemotherapy studies </w:t>
      </w:r>
      <w:r w:rsidRPr="00AF02AE">
        <w:t>6.7–1</w:t>
      </w:r>
      <w:r>
        <w:t>2</w:t>
      </w:r>
      <w:r w:rsidRPr="00AF02AE">
        <w:t>.</w:t>
      </w:r>
      <w:r>
        <w:t>4</w:t>
      </w:r>
      <w:r w:rsidRPr="00AF02AE">
        <w:t xml:space="preserve"> months).</w:t>
      </w:r>
      <w:r w:rsidRPr="00AF02AE">
        <w:fldChar w:fldCharType="begin"/>
      </w:r>
      <w:r w:rsidR="00CA6345">
        <w:instrText xml:space="preserve"> ADDIN ZOTERO_ITEM CSL_CITATION {"citationID":"3Pwh3tOb","properties":{"formattedCitation":"\\super 43, 48\\uc0\\u8211{}50,157\\nosupersub{}","plainCitation":"43, 48–50,157","noteIndex":0},"citationItems":[{"id":66444,"uris":["http://zotero.org/groups/4797619/items/44JAGUPG"],"itemData":{"id":66444,"type":"article-journal","container-title":"New England Journal of Medicine","DOI":"10.1056/NEJMoa2028485","ISSN":"0028-4793","issue":"16","note":"publisher: Massachusetts Medical Society\n_eprint: https://doi.org/10.1056/NEJMoa2028485\nPMID: 33882206","page":"1529-1541","source":"Taylor and Francis+NEJM","title":"Sacituzumab Govitecan in Metastatic Triple-Negative Breast Cancer","volume":"384","author":[{"family":"Bardia","given":"Aditya"},{"family":"Hurvitz","given":"Sara A."},{"family":"Tolaney","given":"Sara M."},{"family":"Loirat","given":"Delphine"},{"family":"Punie","given":"Kevin"},{"family":"Oliveira","given":"Mafalda"},{"family":"Brufsky","given":"Adam"},{"family":"Sardesai","given":"Sagar D."},{"family":"Kalinsky","given":"Kevin"},{"family":"Zelnak","given":"Amelia B."},{"family":"Weaver","given":"Robert"},{"family":"Traina","given":"Tiffany"},{"family":"Dalenc","given":"Florence"},{"family":"Aftimos","given":"Philippe"},{"family":"Lynce","given":"Filipa"},{"family":"Diab","given":"Sami"},{"family":"Cortés","given":"Javier"},{"family":"O’Shaughnessy","given":"Joyce"},{"family":"Diéras","given":"Véronique"},{"family":"Ferrario","given":"Cristiano"},{"family":"Schmid","given":"Peter"},{"family":"Carey","given":"Lisa A."},{"family":"Gianni","given":"Luca"},{"family":"Piccart","given":"Martine J."},{"family":"Loibl","given":"Sibylle"},{"family":"Goldenberg","given":"David M."},{"family":"Hong","given":"Quan"},{"family":"Olivo","given":"Martin S."},{"family":"Itri","given":"Loretta M."},{"family":"Rugo","given":"Hope S."}],"issued":{"date-parts":[["2021",4,22]]}}},{"id":66149,"uris":["http://zotero.org/groups/4797619/items/8M7DF85G"],"itemData":{"id":66149,"type":"article-journal","abstract":"BACKGROUND: Based on data from two multicenter, phase III clinical trials (Studies 301 and 305), eribulin (a microtubule dynamics inhibitor) is indicated in the European Union (EU) for patients with locally advanced or metastatic breast cancer (MBC) after ≥1 prior chemotherapy for advanced disease, including an anthracycline and a taxane in either the adjuvant or metastatic setting. Data from Studies 305 and 301 were pooled to investigate the efficacy of eribulin in various subgroups of patients who matched the EU label, including those with human epidermal growth factor receptor 2 (HER2)-negative and triple-negative disease.\nPATIENTS AND METHODS: In Study 305 (NCT00388726), patients were randomized 2:1 to eribulin mesylate 1.4 mg/m(2) (equivalent to eribulin 1.23 mg/m(2) [expressed as free base]) intravenously on days 1 and 8 every 21 days] or treatment of physician's choice after 2-5 prior chemotherapies (≥2 for advanced disease), including an anthracycline and a taxane (in early/advanced setting). In Study 301 (NCT00337103), patients were randomized 1:1 to eribulin (as above) or capecitabine (1.25 g/m(2) orally twice daily on days 1-14 every 21 days) following ≤3 prior chemotherapies (≤2 for advanced disease), including an anthracycline and a taxane. Efficacy end points were investigated in the intent-to-treat population and subgroups, pooled as discussed above.\nRESULTS: Overall, 1644 patients were included (eribulin: 946; control: 698); baseline characteristics were well matched. Overall survival was significantly longer with eribulin versus control (P &lt; 0.01), as were progression-free survival and clinical benefit rate (both P &lt; 0.05). Significant survival benefits with eribulin versus control were observed in a wide range of patient subgroups, including HER2-negative or triple-negative disease (all P &lt; 0.05).\nCONCLUSION: Our findings underline the survival benefit achieved by eribulin used according to EU label in the overall MBC population and in various subgroups of interest, including patients with HER2-negative and triple-negative disease.","container-title":"Annals of Oncology: Official Journal of the European Society for Medical Oncology","DOI":"10.1093/annonc/mdw203","ISSN":"1569-8041","issue":"8","journalAbbreviation":"Ann Oncol","language":"eng","note":"PMID: 27177860\nPMCID: PMC4959925","page":"1525-1531","source":"PubMed","title":"Pooled analyses of eribulin in metastatic breast cancer patients with at least one prior chemotherapy","volume":"27","author":[{"family":"Pivot","given":"X."},{"family":"Marmé","given":"F."},{"family":"Koenigsberg","given":"R."},{"family":"Guo","given":"M."},{"family":"Berrak","given":"E."},{"family":"Wolfer","given":"A."}],"issued":{"date-parts":[["2016",8]]}}},{"id":66759,"uris":["http://zotero.org/groups/4797619/items/WRYWKH52"],"itemData":{"id":66759,"type":"article-journal","abstract":"The METRIC study (NCT#0199733) explored a novel antibody–drug conjugate, glembatumumab vedotin (GV), targeting gpNMB that is overexpressed in ~40% of patients with triple-negative breast cancer (TNBC) and associated with poor prognosis. The study was a randomized, open-label, phase 2b study that evaluated progression-free survival (PFS) of GV compared with capecitabine in gpNMB-overexpressing TNBC. Patients who had previously received anthracycline and taxane-based therapy were randomized 2:1 to receive, GV (1.88 mg/kg IV q21 days) or capecitabine (2500 mg/m2 PO daily d1–14 q21 days). The primary endpoint was RECIST 1.1 PFS per independent, blinded central review. In all, 327 patients were randomized to GV (213 treated) or capecitabine (92 treated). Median PFS was 2.9 months for GV vs. 2.8 months for capecitabine. The most common grade ≥3 toxicities for GV were neutropenia, rash, and leukopenia, and for capecitabine were fatigue, diarrhea, and palmar-plantar erythrodysesthesia. The study did not meet the primary endpoint of improved PFS over capecitabine or demonstrate a relative risk/benefit improvement over capecitabine.","container-title":"npj Breast Cancer","DOI":"10.1038/s41523-021-00244-6","ISSN":"2374-4677","issue":"1","language":"en","license":"2021 The Author(s)","note":"number: 1\npublisher: Nature Publishing Group","page":"1-10","source":"www.nature.com","title":"Glembatumumab vedotin for patients with metastatic, gpNMB overexpressing, triple-negative breast cancer (“METRIC”): a randomized multicenter study","title-short":"Glembatumumab vedotin for patients with metastatic, gpNMB overexpressing, triple-negative breast cancer (“METRIC”)","volume":"7","author":[{"family":"Vahdat","given":"Linda T."},{"family":"Schmid","given":"Peter"},{"family":"Forero-Torres","given":"Andres"},{"family":"Blackwell","given":"Kimberly"},{"family":"Telli","given":"Melinda L."},{"family":"Melisko","given":"Michelle"},{"family":"Möbus","given":"Volker"},{"family":"Cortes","given":"Javier"},{"family":"Montero","given":"Alberto J."},{"family":"Ma","given":"Cynthia"},{"family":"Nanda","given":"Rita"},{"family":"Wright","given":"Gail S."},{"family":"He","given":"Yi"},{"family":"Hawthorne","given":"Thomas"},{"family":"Bagley","given":"Rebecca G."},{"family":"Halim","given":"Abdel-Baset"},{"family":"Turner","given":"Christopher D."},{"family":"Yardley","given":"Denise A."}],"issued":{"date-parts":[["2021",5,20]]}}},{"id":66764,"uris":["http://zotero.org/groups/4797619/items/YX8NEWUE"],"itemData":{"id":66764,"type":"article-journal","container-title":"The Lancet Oncology","DOI":"10.1016/S1470-2045(20)30754-3","ISSN":"1470-2045, 1474-5488","issue":"4","journalAbbreviation":"The Lancet Oncology","language":"English","note":"publisher: Elsevier\nPMID: 33676601","page":"499-511","source":"www.thelancet.com","title":"Pembrolizumab versus investigator-choice chemotherapy for metastatic triple-negative breast cancer (KEYNOTE-119): a randomised, open-label, phase 3 trial","title-short":"Pembrolizumab versus investigator-choice chemotherapy for metastatic triple-negative breast cancer (KEYNOTE-119)","volume":"22","author":[{"family":"Winer","given":"Eric P."},{"family":"Lipatov","given":"Oleg"},{"family":"Im","given":"Seock-Ah"},{"family":"Goncalves","given":"Anthony"},{"family":"Muñoz-Couselo","given":"Eva"},{"family":"Lee","given":"Keun Seok"},{"family":"Schmid","given":"Peter"},{"family":"Tamura","given":"Kenji"},{"family":"Testa","given":"Laura"},{"family":"Witzel","given":"Isabell"},{"family":"Ohtani","given":"Shoichiro"},{"family":"Turner","given":"Nicholas"},{"family":"Zambelli","given":"Stefania"},{"family":"Harbeck","given":"Nadia"},{"family":"Andre","given":"Fabrice"},{"family":"Dent","given":"Rebecca"},{"family":"Zhou","given":"Xuan"},{"family":"Karantza","given":"Vassiliki"},{"family":"Mejia","given":"Jaime"},{"family":"Cortes","given":"Javier"}],"issued":{"date-parts":[["2021",4,1]]}}},{"id":66770,"uris":["http://zotero.org/groups/4797619/items/43HHHHD5"],"itemData":{"id":66770,"type":"article-journal","abstract":"Purpose\nWe investigated whether irinotecan plus capecitabine improved progression-free survival (PFS) compared with capecitabine alone in patients with human epidermal growth factor 2 (HER2) negative and anthracycline and taxane pretreated metastatic breast cancer (MBC). \n\nMaterials and Methods\nA total of 221 patients were randomly assigned to irinotecan (80 mg/m2, days 1 and 8) and capecitabine (1,000 mg/m2 twice a day, days 1-14) or capecitabine alone (1,250 mg/m2 twice a day, days 1-14) every 3 weeks. The primary endpoint was PFS.\n\nResults\nThere was no significant difference in PFS between the combination and monotherapy arm (median, 6.4 months vs. 4.7 months; hazard ratio [HR], 0.84; 95% confidence interval [CI], 0.63 to 1.11; p=0.84). In patients with triple-negative breast cancer (TNBC, n=90), the combination significantly improved PFS (median, 4.7 months vs. 2.5 months; HR, 0.58; 95% CI, 0.37 to 0.91; p=0.02). Objective response rate was numerically higher in the combination arm, though it failed to reach statistical significance (44.4% vs. 33.3%, p=0.30). Overall survival did not differ between arms (median, 20.4 months vs. 24.0 months; p=0.63). While grade 3 or 4 neutropenia was more common in the combination arm (39.6% vs. 9.0%), hand-foot syndrome was more often observed in capecitabine arm. Quality of life measurements in global health status was similar. However, patients in the combination arm showed significantly worse symptom scales especially in nausea/vomiting and diarrhea. \n\nConclusion\nIrinotecan plus capecitabine did not prove clinically superior to single-agent capecitabine in anthracycline- and taxane-pretreated HER2 negative MBC patients. Toxicity profiles of the two groups differed but were manageable. The role of added irinotecan in patients with TNBC remains to be elucidated.","container-title":"Cancer Research and Treatment : Official Journal of Korean Cancer Association","DOI":"10.4143/crt.2017.562","ISSN":"1598-2998","issue":"1","journalAbbreviation":"Cancer Res Treat","note":"PMID: 29458237\nPMCID: PMC6333992","page":"43-52","source":"PubMed Central","title":"Randomized Open Label Phase III Trial of Irinotecan Plus Capecitabine versus Capecitabine Monotherapy in Patients with Metastatic Breast Cancer Previously Treated with Anthracycline and Taxane: PROCEED Trial (KCSG BR 11-01)","title-short":"Randomized Open Label Phase III Trial of Irinotecan Plus Capecitabine versus Capecitabine Monotherapy in Patients with Metastatic Breast Cancer Previously Treated with Anthracycline and Taxane","volume":"51","author":[{"family":"Park","given":"In Hae"},{"family":"Im","given":"Seock-Ah"},{"family":"Jung","given":"Kyung Hae"},{"family":"Sohn","given":"Joo Hyuk"},{"family":"Park","given":"Yeon Hee"},{"family":"Lee","given":"Keun Seok"},{"family":"Sim","given":"Sung Hoon"},{"family":"Park","given":"Kyong-Hwa"},{"family":"Kim","given":"Jee Hyun"},{"family":"Nam","given":"Byung Ho"},{"family":"Kim","given":"Hee-Jun"},{"family":"Kim","given":"Tae-Yong"},{"family":"Lee","given":"Kyung-Hun"},{"family":"Kim","given":"Sung-Bae"},{"family":"Ahn","given":"Jin-Hee"},{"family":"Lee","given":"Suee"},{"family":"Ro","given":"Jungsil"}],"issued":{"date-parts":[["2019",1]]}}}],"schema":"https://github.com/citation-style-language/schema/raw/master/csl-citation.json"} </w:instrText>
      </w:r>
      <w:r w:rsidRPr="00AF02AE">
        <w:fldChar w:fldCharType="separate"/>
      </w:r>
      <w:r w:rsidR="00CA6345" w:rsidRPr="00CA6345">
        <w:rPr>
          <w:rFonts w:cs="Arial"/>
          <w:szCs w:val="24"/>
          <w:vertAlign w:val="superscript"/>
        </w:rPr>
        <w:t>43, 48–50,157</w:t>
      </w:r>
      <w:r w:rsidRPr="00AF02AE">
        <w:fldChar w:fldCharType="end"/>
      </w:r>
      <w:r>
        <w:t xml:space="preserve"> </w:t>
      </w:r>
    </w:p>
    <w:p w14:paraId="1CDF45D9" w14:textId="2B7B61BC" w:rsidR="000B148D" w:rsidRPr="00054570" w:rsidRDefault="000B148D" w:rsidP="000B148D">
      <w:pPr>
        <w:pStyle w:val="Body"/>
      </w:pPr>
      <w:r>
        <w:t xml:space="preserve">In conclusion, the DESTINY-Breast04 study clearly demonstrates the unprecedented survival benefit of T-DXd compared with single-agent chemotherapy in HER2-low u/mBC. </w:t>
      </w:r>
      <w:r w:rsidR="006C1EDB">
        <w:t>Naïve comparison</w:t>
      </w:r>
      <w:r>
        <w:t xml:space="preserve"> of DESTINY-Breast04 with external studies in similar setting</w:t>
      </w:r>
      <w:r w:rsidR="0041391E">
        <w:t>s</w:t>
      </w:r>
      <w:r>
        <w:t xml:space="preserve"> provides </w:t>
      </w:r>
      <w:r w:rsidR="004C69FE">
        <w:t xml:space="preserve">further </w:t>
      </w:r>
      <w:r>
        <w:t xml:space="preserve">confidence in the conclusions </w:t>
      </w:r>
      <w:r w:rsidR="004C69FE">
        <w:t>from the trial</w:t>
      </w:r>
      <w:r w:rsidR="00BB4A44">
        <w:t xml:space="preserve">. </w:t>
      </w:r>
      <w:r>
        <w:t>The</w:t>
      </w:r>
      <w:r w:rsidRPr="00054570">
        <w:t xml:space="preserve"> unprecedented efficacy </w:t>
      </w:r>
      <w:r>
        <w:t xml:space="preserve">demonstrated in </w:t>
      </w:r>
      <w:r w:rsidRPr="00054570">
        <w:t>DESTINY-Breast04</w:t>
      </w:r>
      <w:r>
        <w:t xml:space="preserve"> has led to T-DXd becoming the first HER2-targeted therapy to receive </w:t>
      </w:r>
      <w:r w:rsidR="00066A20">
        <w:t>EMA</w:t>
      </w:r>
      <w:r>
        <w:t xml:space="preserve"> regulatory </w:t>
      </w:r>
      <w:r w:rsidR="00151DF4">
        <w:t xml:space="preserve">approval </w:t>
      </w:r>
      <w:r>
        <w:t>in  HER2-low u/mBC</w:t>
      </w:r>
      <w:r w:rsidR="00151DF4">
        <w:t>,</w:t>
      </w:r>
      <w:r w:rsidR="00151DF4">
        <w:rPr>
          <w:i/>
          <w:iCs/>
        </w:rPr>
        <w:fldChar w:fldCharType="begin"/>
      </w:r>
      <w:r w:rsidR="00CA6345">
        <w:rPr>
          <w:i/>
          <w:iCs/>
        </w:rPr>
        <w:instrText xml:space="preserve"> ADDIN ZOTERO_ITEM CSL_CITATION {"citationID":"3hDbSN2k","properties":{"formattedCitation":"\\super 3\\nosupersub{}","plainCitation":"3","noteIndex":0},"citationItems":[{"id":66851,"uris":["http://zotero.org/groups/4797619/items/EUUYPVTM"],"itemData":{"id":66851,"type":"document","title":"EMA Enhertu Summary of Product Characteristics (SmPC)","URL":"https://www.ema.europa.eu/en/documents/product-information/enhertu-epar-product-information_en.pdf","author":[{"family":"European Medicines Agency (EMA)","given":""}],"issued":{"date-parts":[["2023"]]}}}],"schema":"https://github.com/citation-style-language/schema/raw/master/csl-citation.json"} </w:instrText>
      </w:r>
      <w:r w:rsidR="00151DF4">
        <w:rPr>
          <w:i/>
          <w:iCs/>
        </w:rPr>
        <w:fldChar w:fldCharType="separate"/>
      </w:r>
      <w:r w:rsidR="00151DF4" w:rsidRPr="00FD57F4">
        <w:rPr>
          <w:rFonts w:cs="Arial"/>
          <w:szCs w:val="24"/>
          <w:vertAlign w:val="superscript"/>
        </w:rPr>
        <w:t>3</w:t>
      </w:r>
      <w:r w:rsidR="00151DF4">
        <w:rPr>
          <w:i/>
          <w:iCs/>
        </w:rPr>
        <w:fldChar w:fldCharType="end"/>
      </w:r>
      <w:r>
        <w:t xml:space="preserve"> </w:t>
      </w:r>
      <w:r w:rsidR="00F77ABC" w:rsidRPr="00F77ABC">
        <w:rPr>
          <w:color w:val="000000"/>
          <w:highlight w:val="black"/>
        </w:rPr>
        <w:t>xxxxxxxxxxxxxxxxxxxx</w:t>
      </w:r>
      <w:r w:rsidR="000A6FF6">
        <w:rPr>
          <w:color w:val="000000"/>
          <w:highlight w:val="black"/>
        </w:rPr>
        <w:t xml:space="preserve"> </w:t>
      </w:r>
      <w:r w:rsidR="00F77ABC" w:rsidRPr="00F77ABC">
        <w:rPr>
          <w:color w:val="000000"/>
          <w:highlight w:val="black"/>
        </w:rPr>
        <w:t>xxxxxxxxxxxxxxxxxxxxxxxxxxx</w:t>
      </w:r>
      <w:r w:rsidR="00194C5B" w:rsidRPr="00F710CB">
        <w:t xml:space="preserve">. </w:t>
      </w:r>
      <w:r w:rsidR="00E10D87" w:rsidRPr="00F710CB">
        <w:t>T-DXd therefore</w:t>
      </w:r>
      <w:r w:rsidRPr="00E10D87">
        <w:t xml:space="preserve"> </w:t>
      </w:r>
      <w:r w:rsidR="00E10D87">
        <w:t>represents</w:t>
      </w:r>
      <w:r w:rsidR="00E10D87" w:rsidRPr="00054570">
        <w:t xml:space="preserve"> </w:t>
      </w:r>
      <w:r w:rsidRPr="00054570">
        <w:t xml:space="preserve">a step-change in the treatment </w:t>
      </w:r>
      <w:r>
        <w:t xml:space="preserve">paradigm and </w:t>
      </w:r>
      <w:r w:rsidR="00600D45">
        <w:t xml:space="preserve">highlights </w:t>
      </w:r>
      <w:r>
        <w:t>a</w:t>
      </w:r>
      <w:r w:rsidRPr="00054570">
        <w:t xml:space="preserve"> need for</w:t>
      </w:r>
      <w:r>
        <w:t xml:space="preserve"> UK</w:t>
      </w:r>
      <w:r w:rsidRPr="00054570">
        <w:t xml:space="preserve"> clinical pathway</w:t>
      </w:r>
      <w:r>
        <w:t>s</w:t>
      </w:r>
      <w:r w:rsidRPr="00054570">
        <w:t xml:space="preserve"> to </w:t>
      </w:r>
      <w:r>
        <w:t xml:space="preserve">be updated to </w:t>
      </w:r>
      <w:r w:rsidR="00DB110F">
        <w:t>further categorise</w:t>
      </w:r>
      <w:r w:rsidR="00DB110F" w:rsidRPr="00054570">
        <w:t xml:space="preserve"> HER2 statu</w:t>
      </w:r>
      <w:r w:rsidR="00DB110F">
        <w:t>s</w:t>
      </w:r>
      <w:r>
        <w:t xml:space="preserve">. </w:t>
      </w:r>
      <w:r w:rsidR="00901B14" w:rsidRPr="00054570">
        <w:t xml:space="preserve">UK clinical experts confirmed that there is </w:t>
      </w:r>
      <w:r w:rsidR="00901B14">
        <w:t>an unmet need for better outcomes</w:t>
      </w:r>
      <w:r w:rsidR="005E6178">
        <w:t xml:space="preserve"> and that DESTI</w:t>
      </w:r>
      <w:r w:rsidR="00DC3478">
        <w:t>N</w:t>
      </w:r>
      <w:r w:rsidR="005E6178">
        <w:t xml:space="preserve">Y-Breast04 has demonstrated </w:t>
      </w:r>
      <w:r w:rsidR="00EE4615">
        <w:t xml:space="preserve">the </w:t>
      </w:r>
      <w:r w:rsidR="002375D8">
        <w:t>efficacy of T-DXd</w:t>
      </w:r>
      <w:r w:rsidR="00901B14">
        <w:t xml:space="preserve"> in this setting</w:t>
      </w:r>
      <w:r w:rsidRPr="00054570">
        <w:t>.</w:t>
      </w:r>
      <w:r w:rsidRPr="00054570">
        <w:fldChar w:fldCharType="begin"/>
      </w:r>
      <w:r w:rsidR="00CA6345">
        <w:instrText xml:space="preserve"> ADDIN ZOTERO_ITEM CSL_CITATION {"citationID":"64XthC9T","properties":{"formattedCitation":"\\super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Pr="00054570">
        <w:fldChar w:fldCharType="separate"/>
      </w:r>
      <w:r w:rsidR="00CA6345" w:rsidRPr="00CA6345">
        <w:rPr>
          <w:rFonts w:cs="Arial"/>
          <w:szCs w:val="24"/>
          <w:vertAlign w:val="superscript"/>
        </w:rPr>
        <w:t>121</w:t>
      </w:r>
      <w:r w:rsidRPr="00054570">
        <w:fldChar w:fldCharType="end"/>
      </w:r>
    </w:p>
    <w:p w14:paraId="3C876748" w14:textId="77777777" w:rsidR="000B148D" w:rsidRDefault="000B148D" w:rsidP="000B148D">
      <w:pPr>
        <w:pStyle w:val="Caption"/>
        <w:sectPr w:rsidR="000B148D" w:rsidSect="00CD7CFA">
          <w:footnotePr>
            <w:numFmt w:val="lowerLetter"/>
          </w:footnotePr>
          <w:pgSz w:w="11906" w:h="16838"/>
          <w:pgMar w:top="1440" w:right="1440" w:bottom="1440" w:left="1440" w:header="708" w:footer="708" w:gutter="0"/>
          <w:cols w:space="708"/>
          <w:docGrid w:linePitch="360"/>
        </w:sectPr>
      </w:pPr>
      <w:bookmarkStart w:id="369" w:name="_Toc124447890"/>
    </w:p>
    <w:p w14:paraId="3191F9A4" w14:textId="2DB75A4C" w:rsidR="000B148D" w:rsidRPr="00054570" w:rsidRDefault="000B148D" w:rsidP="000B148D">
      <w:pPr>
        <w:pStyle w:val="Caption"/>
      </w:pPr>
      <w:bookmarkStart w:id="370" w:name="_Ref126923702"/>
      <w:bookmarkStart w:id="371" w:name="_Toc129351005"/>
      <w:r w:rsidRPr="00054570">
        <w:lastRenderedPageBreak/>
        <w:t xml:space="preserve">Table </w:t>
      </w:r>
      <w:fldSimple w:instr=" SEQ Table \* ARABIC ">
        <w:r w:rsidR="00145F42">
          <w:rPr>
            <w:noProof/>
          </w:rPr>
          <w:t>30</w:t>
        </w:r>
      </w:fldSimple>
      <w:bookmarkEnd w:id="370"/>
      <w:r w:rsidRPr="00054570">
        <w:t xml:space="preserve">: </w:t>
      </w:r>
      <w:r>
        <w:t xml:space="preserve">External validity comparison of </w:t>
      </w:r>
      <w:r w:rsidRPr="00054570">
        <w:t>PFS and OS in</w:t>
      </w:r>
      <w:r>
        <w:t xml:space="preserve"> DESTINY-Breast04 with previous studies in</w:t>
      </w:r>
      <w:r w:rsidRPr="00054570">
        <w:t xml:space="preserve"> HER2-negative u/mBC</w:t>
      </w:r>
      <w:bookmarkEnd w:id="369"/>
      <w:bookmarkEnd w:id="371"/>
    </w:p>
    <w:tbl>
      <w:tblPr>
        <w:tblStyle w:val="GridTable1Light"/>
        <w:tblW w:w="143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2830"/>
        <w:gridCol w:w="1418"/>
        <w:gridCol w:w="2410"/>
        <w:gridCol w:w="4961"/>
        <w:gridCol w:w="1417"/>
        <w:gridCol w:w="1276"/>
      </w:tblGrid>
      <w:tr w:rsidR="000B148D" w:rsidRPr="00CE5C68" w14:paraId="46E4E671" w14:textId="77777777">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830" w:type="dxa"/>
            <w:shd w:val="clear" w:color="auto" w:fill="E7E6E6" w:themeFill="background2"/>
            <w:vAlign w:val="center"/>
          </w:tcPr>
          <w:p w14:paraId="4822E32B" w14:textId="77777777" w:rsidR="000B148D" w:rsidRPr="00CE5C68" w:rsidRDefault="000B148D">
            <w:pPr>
              <w:pStyle w:val="Asctablesandfigures"/>
              <w:rPr>
                <w:rFonts w:ascii="Arial" w:hAnsi="Arial" w:cs="Arial"/>
                <w:sz w:val="20"/>
                <w:szCs w:val="20"/>
                <w:lang w:val="en-GB"/>
              </w:rPr>
            </w:pPr>
            <w:r>
              <w:rPr>
                <w:rFonts w:ascii="Arial" w:hAnsi="Arial" w:cs="Arial"/>
                <w:sz w:val="20"/>
                <w:szCs w:val="20"/>
                <w:lang w:val="en-GB"/>
              </w:rPr>
              <w:t>Author and study details</w:t>
            </w:r>
            <w:r w:rsidRPr="00CE5C68">
              <w:rPr>
                <w:rFonts w:ascii="Arial" w:hAnsi="Arial" w:cs="Arial"/>
                <w:sz w:val="20"/>
                <w:szCs w:val="20"/>
                <w:lang w:val="en-GB"/>
              </w:rPr>
              <w:t xml:space="preserve"> </w:t>
            </w:r>
          </w:p>
        </w:tc>
        <w:tc>
          <w:tcPr>
            <w:tcW w:w="1418" w:type="dxa"/>
            <w:shd w:val="clear" w:color="auto" w:fill="E7E6E6" w:themeFill="background2"/>
            <w:vAlign w:val="center"/>
          </w:tcPr>
          <w:p w14:paraId="7D71B33F" w14:textId="77777777" w:rsidR="000B148D" w:rsidRPr="0068438F" w:rsidRDefault="000B148D">
            <w:pPr>
              <w:pStyle w:val="Asctablesandfigures"/>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GB"/>
              </w:rPr>
            </w:pPr>
            <w:r w:rsidRPr="0068438F">
              <w:rPr>
                <w:rFonts w:ascii="Arial" w:hAnsi="Arial" w:cs="Arial"/>
                <w:sz w:val="20"/>
                <w:szCs w:val="20"/>
                <w:lang w:val="en-GB"/>
              </w:rPr>
              <w:t>Study name</w:t>
            </w:r>
          </w:p>
        </w:tc>
        <w:tc>
          <w:tcPr>
            <w:tcW w:w="2410" w:type="dxa"/>
            <w:shd w:val="clear" w:color="auto" w:fill="E7E6E6" w:themeFill="background2"/>
            <w:vAlign w:val="center"/>
          </w:tcPr>
          <w:p w14:paraId="0DF674CC" w14:textId="77777777" w:rsidR="000B148D" w:rsidRPr="00CE5C68" w:rsidRDefault="000B148D">
            <w:pPr>
              <w:pStyle w:val="Asctablesandfigures"/>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Line of</w:t>
            </w:r>
            <w:r>
              <w:rPr>
                <w:rFonts w:ascii="Arial" w:hAnsi="Arial" w:cs="Arial"/>
                <w:sz w:val="20"/>
                <w:szCs w:val="20"/>
                <w:lang w:val="en-GB"/>
              </w:rPr>
              <w:t xml:space="preserve"> </w:t>
            </w:r>
            <w:r w:rsidRPr="00CE5C68">
              <w:rPr>
                <w:rFonts w:ascii="Arial" w:hAnsi="Arial" w:cs="Arial"/>
                <w:sz w:val="20"/>
                <w:szCs w:val="20"/>
                <w:lang w:val="en-GB"/>
              </w:rPr>
              <w:t>chemotherapy</w:t>
            </w:r>
            <w:r>
              <w:rPr>
                <w:rFonts w:ascii="Arial" w:hAnsi="Arial" w:cs="Arial"/>
                <w:sz w:val="20"/>
                <w:szCs w:val="20"/>
                <w:lang w:val="en-GB"/>
              </w:rPr>
              <w:t xml:space="preserve"> in the metastatic setting</w:t>
            </w:r>
          </w:p>
        </w:tc>
        <w:tc>
          <w:tcPr>
            <w:tcW w:w="4961" w:type="dxa"/>
            <w:shd w:val="clear" w:color="auto" w:fill="E7E6E6" w:themeFill="background2"/>
            <w:vAlign w:val="center"/>
          </w:tcPr>
          <w:p w14:paraId="42EB61CB" w14:textId="77777777" w:rsidR="000B148D" w:rsidRPr="00CE5C68" w:rsidRDefault="000B148D">
            <w:pPr>
              <w:pStyle w:val="Asctablesandfigures"/>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Treatment</w:t>
            </w:r>
          </w:p>
        </w:tc>
        <w:tc>
          <w:tcPr>
            <w:tcW w:w="1417" w:type="dxa"/>
            <w:shd w:val="clear" w:color="auto" w:fill="E7E6E6" w:themeFill="background2"/>
            <w:vAlign w:val="center"/>
          </w:tcPr>
          <w:p w14:paraId="5B137E9D" w14:textId="77777777" w:rsidR="000B148D" w:rsidRPr="00CE5C68" w:rsidRDefault="000B148D">
            <w:pPr>
              <w:pStyle w:val="Asctablesandfigures"/>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Median PFS, months</w:t>
            </w:r>
          </w:p>
        </w:tc>
        <w:tc>
          <w:tcPr>
            <w:tcW w:w="1276" w:type="dxa"/>
            <w:shd w:val="clear" w:color="auto" w:fill="E7E6E6" w:themeFill="background2"/>
            <w:vAlign w:val="center"/>
          </w:tcPr>
          <w:p w14:paraId="15ED2D05" w14:textId="77777777" w:rsidR="000B148D" w:rsidRPr="00CE5C68" w:rsidRDefault="000B148D">
            <w:pPr>
              <w:pStyle w:val="Asctablesandfigures"/>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Median OS, months</w:t>
            </w:r>
          </w:p>
        </w:tc>
      </w:tr>
      <w:tr w:rsidR="000B148D" w:rsidRPr="00CE5C68" w14:paraId="233FAE9B" w14:textId="77777777">
        <w:trPr>
          <w:trHeight w:val="20"/>
        </w:trPr>
        <w:tc>
          <w:tcPr>
            <w:cnfStyle w:val="001000000000" w:firstRow="0" w:lastRow="0" w:firstColumn="1" w:lastColumn="0" w:oddVBand="0" w:evenVBand="0" w:oddHBand="0" w:evenHBand="0" w:firstRowFirstColumn="0" w:firstRowLastColumn="0" w:lastRowFirstColumn="0" w:lastRowLastColumn="0"/>
            <w:tcW w:w="14312"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vAlign w:val="center"/>
          </w:tcPr>
          <w:p w14:paraId="56695DC8" w14:textId="77777777" w:rsidR="000B148D" w:rsidRPr="00CE5C68" w:rsidRDefault="000B148D">
            <w:pPr>
              <w:pStyle w:val="Asctablesandfigures"/>
              <w:rPr>
                <w:rFonts w:ascii="Arial" w:hAnsi="Arial" w:cs="Arial"/>
                <w:sz w:val="20"/>
                <w:szCs w:val="20"/>
                <w:lang w:val="en-GB"/>
              </w:rPr>
            </w:pPr>
            <w:r w:rsidRPr="00CE5C68">
              <w:rPr>
                <w:rFonts w:ascii="Arial" w:hAnsi="Arial" w:cs="Arial"/>
                <w:sz w:val="20"/>
                <w:szCs w:val="20"/>
                <w:lang w:val="en-GB"/>
              </w:rPr>
              <w:t>HER2-negative</w:t>
            </w:r>
            <w:r>
              <w:rPr>
                <w:rFonts w:ascii="Arial" w:hAnsi="Arial" w:cs="Arial"/>
                <w:sz w:val="20"/>
                <w:szCs w:val="20"/>
                <w:lang w:val="en-GB"/>
              </w:rPr>
              <w:t>/HR-positive (HER2-low/HR-positive cohort for DESTINY-Breast04)</w:t>
            </w:r>
          </w:p>
        </w:tc>
      </w:tr>
      <w:tr w:rsidR="000B148D" w:rsidRPr="00CE5C68" w14:paraId="3A415F37" w14:textId="77777777">
        <w:trPr>
          <w:trHeight w:val="20"/>
        </w:trPr>
        <w:tc>
          <w:tcPr>
            <w:cnfStyle w:val="001000000000" w:firstRow="0" w:lastRow="0" w:firstColumn="1" w:lastColumn="0" w:oddVBand="0" w:evenVBand="0" w:oddHBand="0" w:evenHBand="0" w:firstRowFirstColumn="0" w:firstRowLastColumn="0" w:lastRowFirstColumn="0" w:lastRowLastColumn="0"/>
            <w:tcW w:w="2830" w:type="dxa"/>
            <w:vMerge w:val="restart"/>
            <w:shd w:val="clear" w:color="auto" w:fill="D9E2F3" w:themeFill="accent1" w:themeFillTint="33"/>
            <w:vAlign w:val="center"/>
          </w:tcPr>
          <w:p w14:paraId="5D1A27D4" w14:textId="5D25A281" w:rsidR="000B148D" w:rsidRPr="003C648C" w:rsidRDefault="000B148D">
            <w:pPr>
              <w:pStyle w:val="Asctablesandfigures"/>
              <w:rPr>
                <w:rFonts w:ascii="Arial" w:hAnsi="Arial" w:cs="Arial"/>
                <w:sz w:val="20"/>
                <w:szCs w:val="20"/>
                <w:lang w:val="da-DK"/>
              </w:rPr>
            </w:pPr>
            <w:r w:rsidRPr="003C648C">
              <w:rPr>
                <w:rFonts w:ascii="Arial" w:hAnsi="Arial" w:cs="Arial"/>
                <w:sz w:val="20"/>
                <w:szCs w:val="20"/>
                <w:lang w:val="da-DK"/>
              </w:rPr>
              <w:t>Modi et al., 2022</w:t>
            </w:r>
            <w:r w:rsidRPr="003C648C">
              <w:rPr>
                <w:rFonts w:ascii="Arial" w:hAnsi="Arial" w:cs="Arial"/>
                <w:sz w:val="20"/>
                <w:szCs w:val="20"/>
                <w:lang w:val="da-DK"/>
              </w:rPr>
              <w:br/>
              <w:t>(NCT03734029) Phase III</w:t>
            </w:r>
            <w:r w:rsidRPr="00AF02AE">
              <w:fldChar w:fldCharType="begin"/>
            </w:r>
            <w:r w:rsidR="00CA6345">
              <w:rPr>
                <w:lang w:val="da-DK"/>
              </w:rPr>
              <w:instrText xml:space="preserve"> ADDIN ZOTERO_ITEM CSL_CITATION {"citationID":"vvZvSTy0","properties":{"formattedCitation":"\\super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Pr="00AF02AE">
              <w:fldChar w:fldCharType="separate"/>
            </w:r>
            <w:r w:rsidR="00FD57F4" w:rsidRPr="003C648C">
              <w:rPr>
                <w:rFonts w:ascii="Calibri Light" w:hAnsi="Calibri Light" w:cs="Calibri Light"/>
                <w:vertAlign w:val="superscript"/>
                <w:lang w:val="da-DK"/>
              </w:rPr>
              <w:t>6</w:t>
            </w:r>
            <w:r w:rsidRPr="00AF02AE">
              <w:fldChar w:fldCharType="end"/>
            </w:r>
          </w:p>
        </w:tc>
        <w:tc>
          <w:tcPr>
            <w:tcW w:w="1418" w:type="dxa"/>
            <w:vMerge w:val="restart"/>
            <w:shd w:val="clear" w:color="auto" w:fill="D9E2F3" w:themeFill="accent1" w:themeFillTint="33"/>
            <w:vAlign w:val="center"/>
          </w:tcPr>
          <w:p w14:paraId="4F76E0B5" w14:textId="77777777" w:rsidR="000B148D"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DESTINY-Breast04</w:t>
            </w:r>
          </w:p>
        </w:tc>
        <w:tc>
          <w:tcPr>
            <w:tcW w:w="2410" w:type="dxa"/>
            <w:vMerge w:val="restart"/>
            <w:shd w:val="clear" w:color="auto" w:fill="D9E2F3" w:themeFill="accent1" w:themeFillTint="33"/>
            <w:vAlign w:val="center"/>
          </w:tcPr>
          <w:p w14:paraId="1E9760CA"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2-3</w:t>
            </w:r>
          </w:p>
        </w:tc>
        <w:tc>
          <w:tcPr>
            <w:tcW w:w="4961" w:type="dxa"/>
            <w:shd w:val="clear" w:color="auto" w:fill="D9E2F3" w:themeFill="accent1" w:themeFillTint="33"/>
            <w:vAlign w:val="center"/>
          </w:tcPr>
          <w:p w14:paraId="3068E17A"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T-DXd</w:t>
            </w:r>
          </w:p>
        </w:tc>
        <w:tc>
          <w:tcPr>
            <w:tcW w:w="1417" w:type="dxa"/>
            <w:shd w:val="clear" w:color="auto" w:fill="D9E2F3" w:themeFill="accent1" w:themeFillTint="33"/>
            <w:vAlign w:val="center"/>
          </w:tcPr>
          <w:p w14:paraId="429ED2B9"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10.1</w:t>
            </w:r>
          </w:p>
        </w:tc>
        <w:tc>
          <w:tcPr>
            <w:tcW w:w="1276" w:type="dxa"/>
            <w:shd w:val="clear" w:color="auto" w:fill="D9E2F3" w:themeFill="accent1" w:themeFillTint="33"/>
            <w:vAlign w:val="center"/>
          </w:tcPr>
          <w:p w14:paraId="6206CF08"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23.9</w:t>
            </w:r>
          </w:p>
        </w:tc>
      </w:tr>
      <w:tr w:rsidR="000B148D" w:rsidRPr="00CE5C68" w14:paraId="6A1B3459" w14:textId="77777777">
        <w:trPr>
          <w:trHeight w:val="20"/>
        </w:trPr>
        <w:tc>
          <w:tcPr>
            <w:cnfStyle w:val="001000000000" w:firstRow="0" w:lastRow="0" w:firstColumn="1" w:lastColumn="0" w:oddVBand="0" w:evenVBand="0" w:oddHBand="0" w:evenHBand="0" w:firstRowFirstColumn="0" w:firstRowLastColumn="0" w:lastRowFirstColumn="0" w:lastRowLastColumn="0"/>
            <w:tcW w:w="2830" w:type="dxa"/>
            <w:vMerge/>
            <w:shd w:val="clear" w:color="auto" w:fill="D9E2F3" w:themeFill="accent1" w:themeFillTint="33"/>
            <w:vAlign w:val="center"/>
          </w:tcPr>
          <w:p w14:paraId="78EE9DBD" w14:textId="77777777" w:rsidR="000B148D" w:rsidRDefault="000B148D">
            <w:pPr>
              <w:pStyle w:val="Asctablesandfigures"/>
              <w:rPr>
                <w:rFonts w:ascii="Arial" w:hAnsi="Arial" w:cs="Arial"/>
                <w:sz w:val="20"/>
                <w:szCs w:val="20"/>
                <w:lang w:val="en-GB"/>
              </w:rPr>
            </w:pPr>
          </w:p>
        </w:tc>
        <w:tc>
          <w:tcPr>
            <w:tcW w:w="1418" w:type="dxa"/>
            <w:vMerge/>
            <w:shd w:val="clear" w:color="auto" w:fill="D9E2F3" w:themeFill="accent1" w:themeFillTint="33"/>
            <w:vAlign w:val="center"/>
          </w:tcPr>
          <w:p w14:paraId="752656EA" w14:textId="77777777" w:rsidR="000B148D"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p>
        </w:tc>
        <w:tc>
          <w:tcPr>
            <w:tcW w:w="2410" w:type="dxa"/>
            <w:vMerge/>
            <w:shd w:val="clear" w:color="auto" w:fill="D9E2F3" w:themeFill="accent1" w:themeFillTint="33"/>
            <w:vAlign w:val="center"/>
          </w:tcPr>
          <w:p w14:paraId="5AE14791" w14:textId="77777777" w:rsidR="000B148D"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p>
        </w:tc>
        <w:tc>
          <w:tcPr>
            <w:tcW w:w="4961" w:type="dxa"/>
            <w:shd w:val="clear" w:color="auto" w:fill="D9E2F3" w:themeFill="accent1" w:themeFillTint="33"/>
            <w:vAlign w:val="center"/>
          </w:tcPr>
          <w:p w14:paraId="0F83698F"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TPC (eribulin, capecitabine, nab-paclitaxel, gemcitabine, paclitaxel)</w:t>
            </w:r>
          </w:p>
        </w:tc>
        <w:tc>
          <w:tcPr>
            <w:tcW w:w="1417" w:type="dxa"/>
            <w:shd w:val="clear" w:color="auto" w:fill="D9E2F3" w:themeFill="accent1" w:themeFillTint="33"/>
            <w:vAlign w:val="center"/>
          </w:tcPr>
          <w:p w14:paraId="3F754B4C"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5.4</w:t>
            </w:r>
          </w:p>
        </w:tc>
        <w:tc>
          <w:tcPr>
            <w:tcW w:w="1276" w:type="dxa"/>
            <w:shd w:val="clear" w:color="auto" w:fill="D9E2F3" w:themeFill="accent1" w:themeFillTint="33"/>
            <w:vAlign w:val="center"/>
          </w:tcPr>
          <w:p w14:paraId="11D66CDE"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17.5</w:t>
            </w:r>
          </w:p>
        </w:tc>
      </w:tr>
      <w:tr w:rsidR="000B148D" w:rsidRPr="00CE5C68" w14:paraId="65583DF1" w14:textId="77777777">
        <w:trPr>
          <w:trHeight w:val="20"/>
        </w:trPr>
        <w:tc>
          <w:tcPr>
            <w:cnfStyle w:val="001000000000" w:firstRow="0" w:lastRow="0" w:firstColumn="1" w:lastColumn="0" w:oddVBand="0" w:evenVBand="0" w:oddHBand="0" w:evenHBand="0" w:firstRowFirstColumn="0" w:firstRowLastColumn="0" w:lastRowFirstColumn="0" w:lastRowLastColumn="0"/>
            <w:tcW w:w="2830" w:type="dxa"/>
            <w:shd w:val="clear" w:color="auto" w:fill="F2F2F2" w:themeFill="background1" w:themeFillShade="F2"/>
            <w:vAlign w:val="center"/>
          </w:tcPr>
          <w:p w14:paraId="30B420E9" w14:textId="77777777" w:rsidR="000B148D" w:rsidRPr="003C648C" w:rsidRDefault="000B148D">
            <w:pPr>
              <w:pStyle w:val="Asctablesandfigures"/>
              <w:rPr>
                <w:rFonts w:ascii="Arial" w:hAnsi="Arial" w:cs="Arial"/>
                <w:sz w:val="20"/>
                <w:szCs w:val="20"/>
                <w:lang w:val="da-DK"/>
              </w:rPr>
            </w:pPr>
            <w:r w:rsidRPr="003C648C">
              <w:rPr>
                <w:rFonts w:ascii="Arial" w:hAnsi="Arial" w:cs="Arial"/>
                <w:sz w:val="20"/>
                <w:szCs w:val="20"/>
                <w:lang w:val="da-DK"/>
              </w:rPr>
              <w:t>Pivot et al., 2016</w:t>
            </w:r>
          </w:p>
          <w:p w14:paraId="095F57AD" w14:textId="32917657" w:rsidR="000B148D" w:rsidRPr="00CE5C68" w:rsidRDefault="000B148D">
            <w:pPr>
              <w:pStyle w:val="Asctablesandfigures"/>
              <w:rPr>
                <w:rFonts w:ascii="Arial" w:hAnsi="Arial" w:cs="Arial"/>
                <w:sz w:val="20"/>
                <w:szCs w:val="20"/>
                <w:lang w:val="en-GB"/>
              </w:rPr>
            </w:pPr>
            <w:r w:rsidRPr="003C648C">
              <w:rPr>
                <w:rFonts w:ascii="Arial" w:hAnsi="Arial" w:cs="Arial"/>
                <w:sz w:val="20"/>
                <w:szCs w:val="20"/>
                <w:lang w:val="da-DK"/>
              </w:rPr>
              <w:t>(NR) Phase III</w:t>
            </w:r>
            <w:r w:rsidRPr="00CE5C68">
              <w:rPr>
                <w:rFonts w:ascii="Arial" w:hAnsi="Arial" w:cs="Arial"/>
                <w:sz w:val="20"/>
                <w:szCs w:val="20"/>
                <w:lang w:val="en-GB"/>
              </w:rPr>
              <w:fldChar w:fldCharType="begin"/>
            </w:r>
            <w:r w:rsidR="00CA6345">
              <w:rPr>
                <w:rFonts w:ascii="Arial" w:hAnsi="Arial" w:cs="Arial"/>
                <w:sz w:val="20"/>
                <w:szCs w:val="20"/>
                <w:lang w:val="da-DK"/>
              </w:rPr>
              <w:instrText xml:space="preserve"> ADDIN ZOTERO_ITEM CSL_CITATION {"citationID":"wYQ4pkJA","properties":{"formattedCitation":"\\super 43\\nosupersub{}","plainCitation":"43","noteIndex":0},"citationItems":[{"id":66149,"uris":["http://zotero.org/groups/4797619/items/8M7DF85G"],"itemData":{"id":66149,"type":"article-journal","abstract":"BACKGROUND: Based on data from two multicenter, phase III clinical trials (Studies 301 and 305), eribulin (a microtubule dynamics inhibitor) is indicated in the European Union (EU) for patients with locally advanced or metastatic breast cancer (MBC) after ≥1 prior chemotherapy for advanced disease, including an anthracycline and a taxane in either the adjuvant or metastatic setting. Data from Studies 305 and 301 were pooled to investigate the efficacy of eribulin in various subgroups of patients who matched the EU label, including those with human epidermal growth factor receptor 2 (HER2)-negative and triple-negative disease.\nPATIENTS AND METHODS: In Study 305 (NCT00388726), patients were randomized 2:1 to eribulin mesylate 1.4 mg/m(2) (equivalent to eribulin 1.23 mg/m(2) [expressed as free base]) intravenously on days 1 and 8 every 21 days] or treatment of physician's choice after 2-5 prior chemotherapies (≥2 for advanced disease), including an anthracycline and a taxane (in early/advanced setting). In Study 301 (NCT00337103), patients were randomized 1:1 to eribulin (as above) or capecitabine (1.25 g/m(2) orally twice daily on days 1-14 every 21 days) following ≤3 prior chemotherapies (≤2 for advanced disease), including an anthracycline and a taxane. Efficacy end points were investigated in the intent-to-treat population and subgroups, pooled as discussed above.\nRESULTS: Overall, 1644 patients were included (eribulin: 946; control: 698); baseline characteristics were well matched. Overall survival was significantly longer with eribulin versus control (P &lt; 0.01), as were progression-free survival and clinical benefit rate (both P &lt; 0.05). Significant survival benefits with eribulin versus control were observed in a wide range of patient subgroups, including HER2-negative or triple-negative disease (all P &lt; 0.05).\nCONCLUSION: Our findings underline the survival benefit achieved by eribulin used according to EU label in the overall MBC population and in various subgroups of interest, including patients with HER2-negative and triple-negative disease.","container-title":"Annals of Oncology: Official Journal of the European Society for Medical Oncology","DOI":"10.1093/annonc/mdw203","ISSN":"1569-8041","issue":"8","journalAbbreviation":"Ann Oncol","language":"eng","note":"PMID: 27177860\nPMCID: PMC4959925","page":"1525-1531","source":"PubMed","title":"Pooled analyses of eribulin in metastatic breast cancer patients with at least one prior chemotherapy","volume":"27","author":[{"family":"Pivot","given":"X."},{"family":"Marmé","given":"F."},{"family":"Koenigsberg","given":"R."},{"family":"Guo","given":"M."},{"family":"Berrak","given":"E."},{"family":"Wolfer","given":"A."}],"issued":{"date-parts":[["2016",8]]}}}],"schema":"https://github.com/citation-style-language/schema/raw/master/csl-citation.json"} </w:instrText>
            </w:r>
            <w:r w:rsidRPr="00CE5C68">
              <w:rPr>
                <w:rFonts w:ascii="Arial" w:hAnsi="Arial" w:cs="Arial"/>
                <w:sz w:val="20"/>
                <w:szCs w:val="20"/>
                <w:lang w:val="en-GB"/>
              </w:rPr>
              <w:fldChar w:fldCharType="separate"/>
            </w:r>
            <w:r w:rsidR="00FD57F4" w:rsidRPr="00FD57F4">
              <w:rPr>
                <w:rFonts w:ascii="Arial" w:hAnsi="Arial" w:cs="Arial"/>
                <w:sz w:val="20"/>
                <w:vertAlign w:val="superscript"/>
              </w:rPr>
              <w:t>43</w:t>
            </w:r>
            <w:r w:rsidRPr="00CE5C68">
              <w:rPr>
                <w:rFonts w:ascii="Arial" w:hAnsi="Arial" w:cs="Arial"/>
                <w:sz w:val="20"/>
                <w:szCs w:val="20"/>
                <w:lang w:val="en-GB"/>
              </w:rPr>
              <w:fldChar w:fldCharType="end"/>
            </w:r>
          </w:p>
        </w:tc>
        <w:tc>
          <w:tcPr>
            <w:tcW w:w="1418" w:type="dxa"/>
            <w:shd w:val="clear" w:color="auto" w:fill="auto"/>
            <w:vAlign w:val="center"/>
          </w:tcPr>
          <w:p w14:paraId="29B330D6"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Study 301 and Study 305</w:t>
            </w:r>
          </w:p>
        </w:tc>
        <w:tc>
          <w:tcPr>
            <w:tcW w:w="2410" w:type="dxa"/>
            <w:shd w:val="clear" w:color="auto" w:fill="auto"/>
            <w:vAlign w:val="center"/>
          </w:tcPr>
          <w:p w14:paraId="5A6542EE"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w:t>
            </w:r>
            <w:r>
              <w:rPr>
                <w:rFonts w:ascii="Arial" w:hAnsi="Arial" w:cs="Arial"/>
                <w:sz w:val="20"/>
                <w:szCs w:val="20"/>
                <w:lang w:val="en-GB"/>
              </w:rPr>
              <w:t>2</w:t>
            </w:r>
          </w:p>
        </w:tc>
        <w:tc>
          <w:tcPr>
            <w:tcW w:w="4961" w:type="dxa"/>
            <w:vAlign w:val="center"/>
          </w:tcPr>
          <w:p w14:paraId="79C57F59"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Eribulin</w:t>
            </w:r>
          </w:p>
        </w:tc>
        <w:tc>
          <w:tcPr>
            <w:tcW w:w="1417" w:type="dxa"/>
            <w:vAlign w:val="center"/>
          </w:tcPr>
          <w:p w14:paraId="28B35FD6"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3.7</w:t>
            </w:r>
          </w:p>
        </w:tc>
        <w:tc>
          <w:tcPr>
            <w:tcW w:w="1276" w:type="dxa"/>
            <w:vAlign w:val="center"/>
          </w:tcPr>
          <w:p w14:paraId="04705ACE"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15.1</w:t>
            </w:r>
          </w:p>
        </w:tc>
      </w:tr>
      <w:tr w:rsidR="000B148D" w:rsidRPr="00CE5C68" w14:paraId="03C9C54B" w14:textId="77777777">
        <w:trPr>
          <w:trHeight w:val="20"/>
        </w:trPr>
        <w:tc>
          <w:tcPr>
            <w:cnfStyle w:val="001000000000" w:firstRow="0" w:lastRow="0" w:firstColumn="1" w:lastColumn="0" w:oddVBand="0" w:evenVBand="0" w:oddHBand="0" w:evenHBand="0" w:firstRowFirstColumn="0" w:firstRowLastColumn="0" w:lastRowFirstColumn="0" w:lastRowLastColumn="0"/>
            <w:tcW w:w="2830" w:type="dxa"/>
            <w:vMerge w:val="restart"/>
            <w:shd w:val="clear" w:color="auto" w:fill="F2F2F2" w:themeFill="background1" w:themeFillShade="F2"/>
            <w:vAlign w:val="center"/>
          </w:tcPr>
          <w:p w14:paraId="054D2DBB" w14:textId="77777777" w:rsidR="000B148D" w:rsidRPr="003C648C" w:rsidRDefault="000B148D">
            <w:pPr>
              <w:pStyle w:val="Asctablesandfigures"/>
              <w:rPr>
                <w:rFonts w:ascii="Arial" w:hAnsi="Arial" w:cs="Arial"/>
                <w:sz w:val="20"/>
                <w:szCs w:val="20"/>
                <w:lang w:val="da-DK"/>
              </w:rPr>
            </w:pPr>
            <w:r w:rsidRPr="003C648C">
              <w:rPr>
                <w:rFonts w:ascii="Arial" w:hAnsi="Arial" w:cs="Arial"/>
                <w:sz w:val="20"/>
                <w:szCs w:val="20"/>
                <w:lang w:val="da-DK"/>
              </w:rPr>
              <w:t>Pivot et al., 2017</w:t>
            </w:r>
          </w:p>
          <w:p w14:paraId="7CE016FA" w14:textId="127393B8" w:rsidR="000B148D" w:rsidRPr="003C648C" w:rsidRDefault="000B148D">
            <w:pPr>
              <w:pStyle w:val="Asctablesandfigures"/>
              <w:rPr>
                <w:rFonts w:ascii="Arial" w:hAnsi="Arial" w:cs="Arial"/>
                <w:sz w:val="20"/>
                <w:szCs w:val="20"/>
                <w:lang w:val="da-DK"/>
              </w:rPr>
            </w:pPr>
            <w:r w:rsidRPr="003C648C">
              <w:rPr>
                <w:rFonts w:ascii="Arial" w:hAnsi="Arial" w:cs="Arial"/>
                <w:sz w:val="20"/>
                <w:szCs w:val="20"/>
                <w:lang w:val="da-DK"/>
              </w:rPr>
              <w:t>(NCT00337103) Phase III</w:t>
            </w:r>
            <w:r w:rsidRPr="00CE5C68">
              <w:rPr>
                <w:rFonts w:ascii="Arial" w:hAnsi="Arial" w:cs="Arial"/>
                <w:sz w:val="20"/>
                <w:szCs w:val="20"/>
                <w:lang w:val="en-GB"/>
              </w:rPr>
              <w:fldChar w:fldCharType="begin"/>
            </w:r>
            <w:r w:rsidR="00CA6345">
              <w:rPr>
                <w:rFonts w:ascii="Arial" w:hAnsi="Arial" w:cs="Arial"/>
                <w:sz w:val="20"/>
                <w:szCs w:val="20"/>
                <w:lang w:val="da-DK"/>
              </w:rPr>
              <w:instrText xml:space="preserve"> ADDIN ZOTERO_ITEM CSL_CITATION {"citationID":"h0JC1GWQ","properties":{"formattedCitation":"\\super 46\\nosupersub{}","plainCitation":"46","noteIndex":0},"citationItems":[{"id":66150,"uris":["http://zotero.org/groups/4797619/items/FWP3JYLN"],"itemData":{"id":66150,"type":"article-journal","abstract":"This post hoc subgroup analysis of a large phase 3 study compared the efficacy and safety of eribulin versus capecitabine in patients with human epidermal growth factor receptor 2 (HER2)-negative metastatic breast cancer who received second-line treatment. In the phase 3 study, women with advanced/metastatic breast cancer and ≤ 3 prior chemotherapies were randomized 1:1 to eribulin mesilate 1.4 mg/m2 intravenously on days 1 and 8, or twice-daily oral capecitabine 1.25 g/m2 on days 1-14 (21-day cycles). This analysis included 392 patients. Median overall survival was longer in patients receiving eribulin compared with capecitabine (16.1 vs 13.5 months, respectively; HR 0.77, P = 0.026). Median progression-free survival and response rates were similar between arms. Both treatments had manageable safety profiles.","container-title":"Breast Cancer (Tokyo, Japan)","DOI":"10.1007/s12282-017-0826-4","ISSN":"1880-4233","issue":"3","journalAbbreviation":"Breast Cancer","language":"eng","note":"PMID: 29302858\nPMCID: PMC5906517","page":"370-374","source":"PubMed","title":"Subgroup analysis of patients with HER2-negative metastatic breast cancer in the second-line setting from a phase 3, open-label, randomized study of eribulin mesilate versus capecitabine","volume":"25","author":[{"family":"Pivot","given":"Xavier"},{"family":"Im","given":"Seock Ah"},{"family":"Guo","given":"Matthew"},{"family":"Marmé","given":"Frederik"}],"issued":{"date-parts":[["2018",5]]}}}],"schema":"https://github.com/citation-style-language/schema/raw/master/csl-citation.json"} </w:instrText>
            </w:r>
            <w:r w:rsidRPr="00CE5C68">
              <w:rPr>
                <w:rFonts w:ascii="Arial" w:hAnsi="Arial" w:cs="Arial"/>
                <w:sz w:val="20"/>
                <w:szCs w:val="20"/>
                <w:lang w:val="en-GB"/>
              </w:rPr>
              <w:fldChar w:fldCharType="separate"/>
            </w:r>
            <w:r w:rsidR="00FD57F4" w:rsidRPr="003C648C">
              <w:rPr>
                <w:rFonts w:ascii="Arial" w:hAnsi="Arial" w:cs="Arial"/>
                <w:sz w:val="20"/>
                <w:vertAlign w:val="superscript"/>
                <w:lang w:val="da-DK"/>
              </w:rPr>
              <w:t>46</w:t>
            </w:r>
            <w:r w:rsidRPr="00CE5C68">
              <w:rPr>
                <w:rFonts w:ascii="Arial" w:hAnsi="Arial" w:cs="Arial"/>
                <w:sz w:val="20"/>
                <w:szCs w:val="20"/>
                <w:lang w:val="en-GB"/>
              </w:rPr>
              <w:fldChar w:fldCharType="end"/>
            </w:r>
          </w:p>
        </w:tc>
        <w:tc>
          <w:tcPr>
            <w:tcW w:w="1418" w:type="dxa"/>
            <w:vMerge w:val="restart"/>
            <w:shd w:val="clear" w:color="auto" w:fill="auto"/>
            <w:vAlign w:val="center"/>
          </w:tcPr>
          <w:p w14:paraId="3BDE6FEE"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Study 301</w:t>
            </w:r>
          </w:p>
        </w:tc>
        <w:tc>
          <w:tcPr>
            <w:tcW w:w="2410" w:type="dxa"/>
            <w:vMerge w:val="restart"/>
            <w:shd w:val="clear" w:color="auto" w:fill="auto"/>
            <w:vAlign w:val="center"/>
          </w:tcPr>
          <w:p w14:paraId="5F78C1B8"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2</w:t>
            </w:r>
          </w:p>
        </w:tc>
        <w:tc>
          <w:tcPr>
            <w:tcW w:w="4961" w:type="dxa"/>
            <w:vMerge w:val="restart"/>
            <w:vAlign w:val="center"/>
          </w:tcPr>
          <w:p w14:paraId="36AC9BE4"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Eribulin</w:t>
            </w:r>
          </w:p>
        </w:tc>
        <w:tc>
          <w:tcPr>
            <w:tcW w:w="1417" w:type="dxa"/>
            <w:vAlign w:val="center"/>
          </w:tcPr>
          <w:p w14:paraId="16E550D3"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4.2</w:t>
            </w:r>
          </w:p>
        </w:tc>
        <w:tc>
          <w:tcPr>
            <w:tcW w:w="1276" w:type="dxa"/>
            <w:vAlign w:val="center"/>
          </w:tcPr>
          <w:p w14:paraId="765A5DB4"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16.1</w:t>
            </w:r>
          </w:p>
        </w:tc>
      </w:tr>
      <w:tr w:rsidR="000B148D" w:rsidRPr="00CE5C68" w14:paraId="18A7863F" w14:textId="77777777">
        <w:trPr>
          <w:trHeight w:val="20"/>
        </w:trPr>
        <w:tc>
          <w:tcPr>
            <w:cnfStyle w:val="001000000000" w:firstRow="0" w:lastRow="0" w:firstColumn="1" w:lastColumn="0" w:oddVBand="0" w:evenVBand="0" w:oddHBand="0" w:evenHBand="0" w:firstRowFirstColumn="0" w:firstRowLastColumn="0" w:lastRowFirstColumn="0" w:lastRowLastColumn="0"/>
            <w:tcW w:w="2830" w:type="dxa"/>
            <w:vMerge/>
            <w:shd w:val="clear" w:color="auto" w:fill="F2F2F2" w:themeFill="background1" w:themeFillShade="F2"/>
            <w:vAlign w:val="center"/>
          </w:tcPr>
          <w:p w14:paraId="6EA28E4F" w14:textId="77777777" w:rsidR="000B148D" w:rsidRPr="00CE5C68" w:rsidRDefault="000B148D">
            <w:pPr>
              <w:pStyle w:val="Asctablesandfigures"/>
              <w:rPr>
                <w:rFonts w:ascii="Arial" w:hAnsi="Arial" w:cs="Arial"/>
                <w:sz w:val="20"/>
                <w:szCs w:val="20"/>
                <w:lang w:val="en-GB"/>
              </w:rPr>
            </w:pPr>
          </w:p>
        </w:tc>
        <w:tc>
          <w:tcPr>
            <w:tcW w:w="1418" w:type="dxa"/>
            <w:vMerge/>
            <w:shd w:val="clear" w:color="auto" w:fill="auto"/>
            <w:vAlign w:val="center"/>
          </w:tcPr>
          <w:p w14:paraId="6D3A5226" w14:textId="77777777" w:rsidR="000B148D" w:rsidRPr="00AAAB3A"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p>
        </w:tc>
        <w:tc>
          <w:tcPr>
            <w:tcW w:w="2410" w:type="dxa"/>
            <w:vMerge/>
            <w:shd w:val="clear" w:color="auto" w:fill="auto"/>
            <w:vAlign w:val="center"/>
          </w:tcPr>
          <w:p w14:paraId="716E79E8" w14:textId="77777777" w:rsidR="000B148D" w:rsidRPr="00AAAB3A"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p>
        </w:tc>
        <w:tc>
          <w:tcPr>
            <w:tcW w:w="4961" w:type="dxa"/>
            <w:vMerge/>
            <w:vAlign w:val="center"/>
          </w:tcPr>
          <w:p w14:paraId="3647AE18"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p>
        </w:tc>
        <w:tc>
          <w:tcPr>
            <w:tcW w:w="1417" w:type="dxa"/>
            <w:vAlign w:val="center"/>
          </w:tcPr>
          <w:p w14:paraId="76EEAF73"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4.0</w:t>
            </w:r>
          </w:p>
        </w:tc>
        <w:tc>
          <w:tcPr>
            <w:tcW w:w="1276" w:type="dxa"/>
            <w:vAlign w:val="center"/>
          </w:tcPr>
          <w:p w14:paraId="3DCDBBB9"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13.5</w:t>
            </w:r>
          </w:p>
        </w:tc>
      </w:tr>
      <w:tr w:rsidR="000B148D" w:rsidRPr="00CE5C68" w14:paraId="0DBA01C6" w14:textId="77777777">
        <w:trPr>
          <w:trHeight w:val="20"/>
        </w:trPr>
        <w:tc>
          <w:tcPr>
            <w:cnfStyle w:val="001000000000" w:firstRow="0" w:lastRow="0" w:firstColumn="1" w:lastColumn="0" w:oddVBand="0" w:evenVBand="0" w:oddHBand="0" w:evenHBand="0" w:firstRowFirstColumn="0" w:firstRowLastColumn="0" w:lastRowFirstColumn="0" w:lastRowLastColumn="0"/>
            <w:tcW w:w="2830" w:type="dxa"/>
            <w:vMerge w:val="restart"/>
            <w:shd w:val="clear" w:color="auto" w:fill="F2F2F2" w:themeFill="background1" w:themeFillShade="F2"/>
            <w:vAlign w:val="center"/>
          </w:tcPr>
          <w:p w14:paraId="6DD5D0C9" w14:textId="77777777" w:rsidR="000B148D" w:rsidRPr="003C648C" w:rsidRDefault="000B148D">
            <w:pPr>
              <w:pStyle w:val="Asctablesandfigures"/>
              <w:rPr>
                <w:rFonts w:ascii="Arial" w:hAnsi="Arial" w:cs="Arial"/>
                <w:sz w:val="20"/>
                <w:szCs w:val="20"/>
                <w:lang w:val="da-DK"/>
              </w:rPr>
            </w:pPr>
            <w:r w:rsidRPr="003C648C">
              <w:rPr>
                <w:rFonts w:ascii="Arial" w:hAnsi="Arial" w:cs="Arial"/>
                <w:sz w:val="20"/>
                <w:szCs w:val="20"/>
                <w:lang w:val="da-DK"/>
              </w:rPr>
              <w:t xml:space="preserve">Twelves et al., 2016 </w:t>
            </w:r>
          </w:p>
          <w:p w14:paraId="3EB7AE2C" w14:textId="2087728F" w:rsidR="000B148D" w:rsidRPr="003C648C" w:rsidRDefault="000B148D">
            <w:pPr>
              <w:pStyle w:val="Asctablesandfigures"/>
              <w:rPr>
                <w:rFonts w:ascii="Arial" w:hAnsi="Arial" w:cs="Arial"/>
                <w:sz w:val="20"/>
                <w:szCs w:val="20"/>
                <w:lang w:val="da-DK"/>
              </w:rPr>
            </w:pPr>
            <w:r w:rsidRPr="003C648C">
              <w:rPr>
                <w:rFonts w:ascii="Arial" w:hAnsi="Arial" w:cs="Arial"/>
                <w:sz w:val="20"/>
                <w:szCs w:val="20"/>
                <w:lang w:val="da-DK"/>
              </w:rPr>
              <w:t>(NCT00337103) Phase III</w:t>
            </w:r>
            <w:r w:rsidRPr="00CE5C68">
              <w:rPr>
                <w:rFonts w:ascii="Arial" w:hAnsi="Arial" w:cs="Arial"/>
                <w:sz w:val="20"/>
                <w:szCs w:val="20"/>
                <w:lang w:val="en-GB"/>
              </w:rPr>
              <w:fldChar w:fldCharType="begin"/>
            </w:r>
            <w:r w:rsidR="00CA6345">
              <w:rPr>
                <w:rFonts w:ascii="Arial" w:hAnsi="Arial" w:cs="Arial"/>
                <w:sz w:val="20"/>
                <w:szCs w:val="20"/>
                <w:lang w:val="da-DK"/>
              </w:rPr>
              <w:instrText xml:space="preserve"> ADDIN ZOTERO_ITEM CSL_CITATION {"citationID":"AkagkB9m","properties":{"formattedCitation":"\\super 45\\nosupersub{}","plainCitation":"45","noteIndex":0},"citationItems":[{"id":66151,"uris":["http://zotero.org/groups/4797619/items/RLDAE79H"],"itemData":{"id":66151,"type":"article-journal","abstract":"PURPOSE AND METHODS: Our secondary analyses compared survival with eribulin versus capecitabine in various patient subgroups from a phase 3, open-label, randomized study. Eligible women aged ≥18 years with advanced/metastatic breast cancer and ≤3 prior chemotherapies (≤2 for advanced/metastatic disease), including an anthracycline and taxane, were randomized 1:1 to intravenous eribulin mesylate 1.4 mg/m(2) on days 1 and 8 or twice-daily oral capecitabine 1250 mg/m(2) on days 1-14 (21-day cycles).\nRESULTS: In the intent-to-treat population (eribulin 554 and capecitabine 548), overall survival appeared longer with eribulin than capecitabine in various subgroups, including patients with human epidermal growth factor receptor 2-negative (15.9 versus 13.5 months, respectively), estrogen receptor-negative (14.4 versus 10.5 months, respectively), and triple-negative (14.4 versus 9.4 months, respectively) disease. Progression-free survival was similar between the treatment arms.\nCONCLUSIONS: Patients with advanced/metastatic breast cancer and human epidermal growth factor receptor 2-, estrogen receptor-, or triple-negative disease may gain particular benefit from eribulin as first-, second-, and third-line chemotherapies.\nTRIAL REGISTRATION PRIMARY STUDY: This study reports the subgroup analyses of eribulin versus capecitabine from a phase 3, open-label, randomized study (www.clinicaltrials.gov; ClinicalTrials.gov identifier: NCT00337103).","container-title":"Breast Cancer: Basic and Clinical Research","DOI":"10.4137/BCBCR.S39615","ISSN":"1178-2234","journalAbbreviation":"Breast Cancer (Auckl)","language":"eng","note":"PMID: 27398025\nPMCID: PMC4927108","page":"77-84","source":"PubMed","title":"Subgroup Analyses from a Phase 3, Open-Label, Randomized Study of Eribulin Mesylate Versus Capecitabine in Pretreated Patients with Advanced or Metastatic Breast Cancer","volume":"10","author":[{"family":"Twelves","given":"Chris"},{"family":"Awada","given":"Ahmad"},{"family":"Cortes","given":"Javier"},{"family":"Yelle","given":"Louise"},{"family":"Velikova","given":"Galina"},{"family":"Olivo","given":"Martin S."},{"family":"Song","given":"James"},{"family":"Dutcus","given":"Corina E."},{"family":"Kaufman","given":"Peter A."}],"issued":{"date-parts":[["2016"]]}}}],"schema":"https://github.com/citation-style-language/schema/raw/master/csl-citation.json"} </w:instrText>
            </w:r>
            <w:r w:rsidRPr="00CE5C68">
              <w:rPr>
                <w:rFonts w:ascii="Arial" w:hAnsi="Arial" w:cs="Arial"/>
                <w:sz w:val="20"/>
                <w:szCs w:val="20"/>
                <w:lang w:val="en-GB"/>
              </w:rPr>
              <w:fldChar w:fldCharType="separate"/>
            </w:r>
            <w:r w:rsidR="00FD57F4" w:rsidRPr="003C648C">
              <w:rPr>
                <w:rFonts w:ascii="Arial" w:hAnsi="Arial" w:cs="Arial"/>
                <w:sz w:val="20"/>
                <w:vertAlign w:val="superscript"/>
                <w:lang w:val="da-DK"/>
              </w:rPr>
              <w:t>45</w:t>
            </w:r>
            <w:r w:rsidRPr="00CE5C68">
              <w:rPr>
                <w:rFonts w:ascii="Arial" w:hAnsi="Arial" w:cs="Arial"/>
                <w:sz w:val="20"/>
                <w:szCs w:val="20"/>
                <w:lang w:val="en-GB"/>
              </w:rPr>
              <w:fldChar w:fldCharType="end"/>
            </w:r>
          </w:p>
        </w:tc>
        <w:tc>
          <w:tcPr>
            <w:tcW w:w="1418" w:type="dxa"/>
            <w:vMerge w:val="restart"/>
            <w:shd w:val="clear" w:color="auto" w:fill="auto"/>
            <w:vAlign w:val="center"/>
          </w:tcPr>
          <w:p w14:paraId="27A1B144"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Study 301</w:t>
            </w:r>
          </w:p>
        </w:tc>
        <w:tc>
          <w:tcPr>
            <w:tcW w:w="2410" w:type="dxa"/>
            <w:vMerge w:val="restart"/>
            <w:shd w:val="clear" w:color="auto" w:fill="auto"/>
            <w:vAlign w:val="center"/>
          </w:tcPr>
          <w:p w14:paraId="011A4B09"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w:t>
            </w:r>
            <w:r w:rsidRPr="17701C29">
              <w:rPr>
                <w:rFonts w:ascii="Arial" w:hAnsi="Arial" w:cs="Arial"/>
                <w:sz w:val="20"/>
                <w:szCs w:val="20"/>
                <w:lang w:val="en-GB"/>
              </w:rPr>
              <w:t xml:space="preserve">2 </w:t>
            </w:r>
          </w:p>
        </w:tc>
        <w:tc>
          <w:tcPr>
            <w:tcW w:w="4961" w:type="dxa"/>
            <w:vAlign w:val="center"/>
          </w:tcPr>
          <w:p w14:paraId="68BD36C3"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Eribulin</w:t>
            </w:r>
          </w:p>
        </w:tc>
        <w:tc>
          <w:tcPr>
            <w:tcW w:w="1417" w:type="dxa"/>
            <w:vAlign w:val="center"/>
          </w:tcPr>
          <w:p w14:paraId="3DEAD445"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4.1</w:t>
            </w:r>
          </w:p>
        </w:tc>
        <w:tc>
          <w:tcPr>
            <w:tcW w:w="1276" w:type="dxa"/>
            <w:vAlign w:val="center"/>
          </w:tcPr>
          <w:p w14:paraId="74DE42EA"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15.9</w:t>
            </w:r>
          </w:p>
        </w:tc>
      </w:tr>
      <w:tr w:rsidR="000B148D" w:rsidRPr="00CE5C68" w14:paraId="2E067238" w14:textId="77777777">
        <w:trPr>
          <w:trHeight w:val="20"/>
        </w:trPr>
        <w:tc>
          <w:tcPr>
            <w:cnfStyle w:val="001000000000" w:firstRow="0" w:lastRow="0" w:firstColumn="1" w:lastColumn="0" w:oddVBand="0" w:evenVBand="0" w:oddHBand="0" w:evenHBand="0" w:firstRowFirstColumn="0" w:firstRowLastColumn="0" w:lastRowFirstColumn="0" w:lastRowLastColumn="0"/>
            <w:tcW w:w="2830" w:type="dxa"/>
            <w:vMerge/>
            <w:shd w:val="clear" w:color="auto" w:fill="F2F2F2" w:themeFill="background1" w:themeFillShade="F2"/>
            <w:vAlign w:val="center"/>
          </w:tcPr>
          <w:p w14:paraId="33E2B8A9" w14:textId="77777777" w:rsidR="000B148D" w:rsidRPr="00CE5C68" w:rsidRDefault="000B148D">
            <w:pPr>
              <w:pStyle w:val="Asctablesandfigures"/>
              <w:rPr>
                <w:rFonts w:ascii="Arial" w:hAnsi="Arial" w:cs="Arial"/>
                <w:sz w:val="20"/>
                <w:szCs w:val="20"/>
                <w:lang w:val="en-GB"/>
              </w:rPr>
            </w:pPr>
          </w:p>
        </w:tc>
        <w:tc>
          <w:tcPr>
            <w:tcW w:w="1418" w:type="dxa"/>
            <w:vMerge/>
            <w:shd w:val="clear" w:color="auto" w:fill="auto"/>
            <w:vAlign w:val="center"/>
          </w:tcPr>
          <w:p w14:paraId="1BD2F9EC" w14:textId="77777777" w:rsidR="000B148D" w:rsidRPr="17701C29"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p>
        </w:tc>
        <w:tc>
          <w:tcPr>
            <w:tcW w:w="2410" w:type="dxa"/>
            <w:vMerge/>
            <w:shd w:val="clear" w:color="auto" w:fill="auto"/>
            <w:vAlign w:val="center"/>
          </w:tcPr>
          <w:p w14:paraId="07CA9400" w14:textId="77777777" w:rsidR="000B148D" w:rsidRPr="17701C29"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p>
        </w:tc>
        <w:tc>
          <w:tcPr>
            <w:tcW w:w="4961" w:type="dxa"/>
            <w:vAlign w:val="center"/>
          </w:tcPr>
          <w:p w14:paraId="019C7F7F"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Capecitabine</w:t>
            </w:r>
          </w:p>
        </w:tc>
        <w:tc>
          <w:tcPr>
            <w:tcW w:w="1417" w:type="dxa"/>
            <w:vAlign w:val="center"/>
          </w:tcPr>
          <w:p w14:paraId="6BD3E727"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3.9</w:t>
            </w:r>
          </w:p>
        </w:tc>
        <w:tc>
          <w:tcPr>
            <w:tcW w:w="1276" w:type="dxa"/>
            <w:vAlign w:val="center"/>
          </w:tcPr>
          <w:p w14:paraId="3B57AFF7"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13.5</w:t>
            </w:r>
          </w:p>
        </w:tc>
      </w:tr>
      <w:tr w:rsidR="000B148D" w:rsidRPr="00CE5C68" w14:paraId="37D096CD" w14:textId="77777777">
        <w:trPr>
          <w:trHeight w:val="20"/>
        </w:trPr>
        <w:tc>
          <w:tcPr>
            <w:cnfStyle w:val="001000000000" w:firstRow="0" w:lastRow="0" w:firstColumn="1" w:lastColumn="0" w:oddVBand="0" w:evenVBand="0" w:oddHBand="0" w:evenHBand="0" w:firstRowFirstColumn="0" w:firstRowLastColumn="0" w:lastRowFirstColumn="0" w:lastRowLastColumn="0"/>
            <w:tcW w:w="2830" w:type="dxa"/>
            <w:shd w:val="clear" w:color="auto" w:fill="F2F2F2" w:themeFill="background1" w:themeFillShade="F2"/>
            <w:vAlign w:val="center"/>
          </w:tcPr>
          <w:p w14:paraId="48589FDE" w14:textId="77777777" w:rsidR="000B148D" w:rsidRPr="001D716B" w:rsidRDefault="000B148D">
            <w:pPr>
              <w:pStyle w:val="Asctablesandfigures"/>
              <w:rPr>
                <w:rFonts w:ascii="Arial" w:hAnsi="Arial" w:cs="Arial"/>
                <w:sz w:val="20"/>
                <w:szCs w:val="20"/>
                <w:lang w:val="en-GB"/>
              </w:rPr>
            </w:pPr>
            <w:r w:rsidRPr="001D716B">
              <w:rPr>
                <w:rFonts w:ascii="Arial" w:hAnsi="Arial" w:cs="Arial"/>
                <w:sz w:val="20"/>
                <w:szCs w:val="20"/>
                <w:lang w:val="en-GB"/>
              </w:rPr>
              <w:t xml:space="preserve">Yardley et al., 2016 </w:t>
            </w:r>
            <w:sdt>
              <w:sdtPr>
                <w:rPr>
                  <w:rFonts w:ascii="Arial" w:hAnsi="Arial" w:cs="Arial"/>
                  <w:color w:val="000000"/>
                  <w:sz w:val="20"/>
                  <w:szCs w:val="20"/>
                  <w:lang w:val="en-GB"/>
                </w:rPr>
                <w:tag w:val="MENDELEY_CITATION_v3_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"/>
                <w:id w:val="1337272194"/>
                <w:placeholder>
                  <w:docPart w:val="5B95489E0E09497DB8EEB1E537422179"/>
                </w:placeholder>
              </w:sdtPr>
              <w:sdtEndPr/>
              <w:sdtContent>
                <w:r w:rsidRPr="001D716B">
                  <w:rPr>
                    <w:rFonts w:ascii="Arial" w:hAnsi="Arial" w:cs="Arial"/>
                    <w:color w:val="000000"/>
                    <w:sz w:val="20"/>
                    <w:szCs w:val="20"/>
                    <w:lang w:val="en-GB"/>
                  </w:rPr>
                  <w:t>(298)</w:t>
                </w:r>
              </w:sdtContent>
            </w:sdt>
          </w:p>
          <w:p w14:paraId="0AF9D31B" w14:textId="24705113" w:rsidR="000B148D" w:rsidRPr="00CE5C68" w:rsidRDefault="000B148D">
            <w:pPr>
              <w:pStyle w:val="Asctablesandfigures"/>
              <w:rPr>
                <w:rFonts w:ascii="Arial" w:hAnsi="Arial" w:cs="Arial"/>
                <w:sz w:val="20"/>
                <w:szCs w:val="20"/>
                <w:lang w:val="en-GB"/>
              </w:rPr>
            </w:pPr>
            <w:r w:rsidRPr="001D716B">
              <w:rPr>
                <w:rFonts w:ascii="Arial" w:hAnsi="Arial" w:cs="Arial"/>
                <w:sz w:val="20"/>
                <w:szCs w:val="20"/>
                <w:lang w:val="en-GB"/>
              </w:rPr>
              <w:t>(NCT01427933) Phase II</w:t>
            </w:r>
            <w:r>
              <w:rPr>
                <w:rFonts w:ascii="Arial" w:hAnsi="Arial" w:cs="Arial"/>
                <w:sz w:val="20"/>
                <w:szCs w:val="20"/>
                <w:lang w:val="en-GB"/>
              </w:rPr>
              <w:fldChar w:fldCharType="begin"/>
            </w:r>
            <w:r w:rsidR="00CA6345" w:rsidRPr="001D716B">
              <w:rPr>
                <w:rFonts w:ascii="Arial" w:hAnsi="Arial" w:cs="Arial"/>
                <w:sz w:val="20"/>
                <w:szCs w:val="20"/>
                <w:lang w:val="en-GB"/>
              </w:rPr>
              <w:instrText xml:space="preserve"> ADDIN ZOTERO_ITEM CSL_CITATION {"citationID":"wz9L6XoQ","properties":{"formattedCitation":"\\super 47\\nosupersub{}","plainCitation":"47","noteIndex":0},"citationItems":[{"id":66278,"uris":["http://zotero.org/groups/4797619/items/L9C8M9U3"],"itemData":{"id":66278,"type":"article-journal","abstract":"BACKGROUND: Use of antiangiogenic agents in treatment of metastatic breast cancer (MBC) remains controversial. We evaluated the efficacy and safety of ramucirumab and eribulin versus eribulin alone as third- to fifth-line therapy in women with advanced breast cancer.\nPATIENTS AND METHODS: In this randomized (1:1), open-label, phase II study, US women aged 18 years or older with 2 to 4 previous chemotherapy regimens for locally recurrent or MBC, previous anthracycline and taxane treatment, and Eastern Cooperative Oncology Group performance status of 0 or 1 received ramucirumab with eribulin or eribulin alone in 21-day cycles (eribulin 1.4 mg/m2 intravenously on days 1 and 8; ramucirumab 10 mg/kg intravenously on day 1). Randomization was stratified according to previous antiangiogenic therapy and triple-negative status. The primary end point was progression-free survival (PFS) in the intention to treat population.\nRESULTS: One hundred forty-one women were randomized to ramucirumab with eribulin (n = 71) or eribulin alone (n = 70). Median PFS for ramucirumab with eribulin was 4.4 months (95% confidence interval [CI], 3.1-6.7) compared with 4.1 months (95% CI, 3.2-5.6) for eribulin (hazard ratio [HR], 0.83; 95% CI, 0.56-1.23; P = .35). Median overall survival in patients who received ramucirumab with eribulin was 13.5 months (95% CI, 10.4-17.9) compared with 11.5 months (95% CI, 9.0-17.3) in patients who received eribulin alone (HR, 0.91; 95% CI, 0.59-1.41; P = .68); objective response rate was 21% (13 of 62 patients) for the combination and 28% (17 of 60 patients) for eribulin alone. No unexpected toxicity was identified for the combination.\nCONCLUSION: Ramucirumab combined with eribulin did not significantly improve PFS in advanced MBC.","container-title":"Clinical Breast Cancer","DOI":"10.1016/j.clbc.2016.07.005","ISSN":"1938-0666","issue":"6","journalAbbreviation":"Clin Breast Cancer","language":"eng","note":"PMID: 27569274","page":"471-479.e1","source":"PubMed","title":"Ramucirumab With Eribulin Versus Eribulin in Locally Recurrent or Metastatic Breast Cancer Previously Treated With Anthracycline and Taxane Therapy: A Multicenter, Randomized, Phase II Study","title-short":"Ramucirumab With Eribulin Versus Eribulin in Locally Recurrent or Metastatic Breast Cancer Previously Treated With Anthracycline and Taxane Therapy","volume":"16","author":[{"family":"Yardley","given":"Denise A."},{"family":"Reeves","given":"James"},{"family":"Dees","given":"E. Claire"},{"family":"Osborne","given":"Cynthia"},{"family":"Paul","given":"Devchand"},{"family":"Ademuyiwa","given":"Foluso"},{"family":"Soliman","given":"Hatem"},{"family":"Guthri</w:instrText>
            </w:r>
            <w:r w:rsidR="00CA6345">
              <w:rPr>
                <w:rFonts w:ascii="Arial" w:hAnsi="Arial" w:cs="Arial"/>
                <w:sz w:val="20"/>
                <w:szCs w:val="20"/>
                <w:lang w:val="da-DK"/>
              </w:rPr>
              <w:instrText xml:space="preserve">e","given":"Troy"},{"family":"Andersen","given":"Jay"},{"family":"Krekow","given":"Lea"},{"family":"Choksi","given":"Janak"},{"family":"Daniel","given":"Brooke"},{"family":"Danso","given":"Michael"},{"family":"Favret","given":"Anne"},{"family":"Oommen","given":"Sanjay"},{"family":"Brufsky","given":"Adam"},{"family":"Bromund","given":"Jane L."},{"family":"Lin","given":"Yong"},{"family":"Ibrahim","given":"Ayman B."},{"family":"Richards","given":"Paul D."}],"issued":{"date-parts":[["2016",12]]}}}],"schema":"https://github.com/citation-style-language/schema/raw/master/csl-citation.json"} </w:instrText>
            </w:r>
            <w:r>
              <w:rPr>
                <w:rFonts w:ascii="Arial" w:hAnsi="Arial" w:cs="Arial"/>
                <w:sz w:val="20"/>
                <w:szCs w:val="20"/>
                <w:lang w:val="en-GB"/>
              </w:rPr>
              <w:fldChar w:fldCharType="separate"/>
            </w:r>
            <w:r w:rsidR="00FD57F4" w:rsidRPr="00FD57F4">
              <w:rPr>
                <w:rFonts w:ascii="Arial" w:hAnsi="Arial" w:cs="Arial"/>
                <w:sz w:val="20"/>
                <w:vertAlign w:val="superscript"/>
              </w:rPr>
              <w:t>47</w:t>
            </w:r>
            <w:r>
              <w:rPr>
                <w:rFonts w:ascii="Arial" w:hAnsi="Arial" w:cs="Arial"/>
                <w:sz w:val="20"/>
                <w:szCs w:val="20"/>
                <w:lang w:val="en-GB"/>
              </w:rPr>
              <w:fldChar w:fldCharType="end"/>
            </w:r>
          </w:p>
        </w:tc>
        <w:tc>
          <w:tcPr>
            <w:tcW w:w="1418" w:type="dxa"/>
            <w:shd w:val="clear" w:color="auto" w:fill="auto"/>
            <w:vAlign w:val="center"/>
          </w:tcPr>
          <w:p w14:paraId="2D2462EA"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w:t>
            </w:r>
          </w:p>
        </w:tc>
        <w:tc>
          <w:tcPr>
            <w:tcW w:w="2410" w:type="dxa"/>
            <w:shd w:val="clear" w:color="auto" w:fill="auto"/>
            <w:vAlign w:val="center"/>
          </w:tcPr>
          <w:p w14:paraId="67F37602"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2-4</w:t>
            </w:r>
          </w:p>
        </w:tc>
        <w:tc>
          <w:tcPr>
            <w:tcW w:w="4961" w:type="dxa"/>
            <w:vAlign w:val="center"/>
          </w:tcPr>
          <w:p w14:paraId="0203241D"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Eribulin</w:t>
            </w:r>
          </w:p>
        </w:tc>
        <w:tc>
          <w:tcPr>
            <w:tcW w:w="1417" w:type="dxa"/>
            <w:vAlign w:val="center"/>
          </w:tcPr>
          <w:p w14:paraId="4D8D29E7"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4.1</w:t>
            </w:r>
          </w:p>
        </w:tc>
        <w:tc>
          <w:tcPr>
            <w:tcW w:w="1276" w:type="dxa"/>
            <w:vAlign w:val="center"/>
          </w:tcPr>
          <w:p w14:paraId="3B8D53B2"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11.5</w:t>
            </w:r>
          </w:p>
        </w:tc>
      </w:tr>
      <w:tr w:rsidR="000B148D" w:rsidRPr="00CE5C68" w14:paraId="3591BDE3" w14:textId="77777777">
        <w:trPr>
          <w:trHeight w:val="20"/>
        </w:trPr>
        <w:tc>
          <w:tcPr>
            <w:cnfStyle w:val="001000000000" w:firstRow="0" w:lastRow="0" w:firstColumn="1" w:lastColumn="0" w:oddVBand="0" w:evenVBand="0" w:oddHBand="0" w:evenHBand="0" w:firstRowFirstColumn="0" w:firstRowLastColumn="0" w:lastRowFirstColumn="0" w:lastRowLastColumn="0"/>
            <w:tcW w:w="2830" w:type="dxa"/>
            <w:shd w:val="clear" w:color="auto" w:fill="F2F2F2" w:themeFill="background1" w:themeFillShade="F2"/>
            <w:vAlign w:val="center"/>
          </w:tcPr>
          <w:p w14:paraId="583606B8" w14:textId="77777777" w:rsidR="000B148D" w:rsidRPr="00F710CB" w:rsidRDefault="000B148D">
            <w:pPr>
              <w:pStyle w:val="Asctablesandfigures"/>
              <w:rPr>
                <w:rFonts w:ascii="Arial" w:hAnsi="Arial" w:cs="Arial"/>
                <w:sz w:val="20"/>
                <w:szCs w:val="20"/>
                <w:lang w:val="da-DK"/>
              </w:rPr>
            </w:pPr>
            <w:r w:rsidRPr="00F710CB">
              <w:rPr>
                <w:rFonts w:ascii="Arial" w:hAnsi="Arial" w:cs="Arial"/>
                <w:sz w:val="20"/>
                <w:szCs w:val="20"/>
                <w:lang w:val="da-DK"/>
              </w:rPr>
              <w:t>Cortes et al., 2011</w:t>
            </w:r>
          </w:p>
          <w:p w14:paraId="2BACAF4A" w14:textId="30C4239A" w:rsidR="000B148D" w:rsidRPr="00CE5C68" w:rsidRDefault="000B148D">
            <w:pPr>
              <w:pStyle w:val="Asctablesandfigures"/>
              <w:rPr>
                <w:rFonts w:ascii="Arial" w:hAnsi="Arial" w:cs="Arial"/>
                <w:sz w:val="20"/>
                <w:szCs w:val="20"/>
                <w:lang w:val="en-GB"/>
              </w:rPr>
            </w:pPr>
            <w:r w:rsidRPr="00F710CB">
              <w:rPr>
                <w:rFonts w:ascii="Arial" w:hAnsi="Arial" w:cs="Arial"/>
                <w:sz w:val="20"/>
                <w:szCs w:val="20"/>
                <w:lang w:val="da-DK"/>
              </w:rPr>
              <w:t>(NCT00388726) Phase III</w:t>
            </w:r>
            <w:r w:rsidRPr="00CE5C68">
              <w:rPr>
                <w:rFonts w:ascii="Arial" w:hAnsi="Arial" w:cs="Arial"/>
                <w:sz w:val="20"/>
                <w:szCs w:val="20"/>
                <w:lang w:val="en-GB"/>
              </w:rPr>
              <w:fldChar w:fldCharType="begin"/>
            </w:r>
            <w:r w:rsidR="00CA6345">
              <w:rPr>
                <w:rFonts w:ascii="Arial" w:hAnsi="Arial" w:cs="Arial"/>
                <w:sz w:val="20"/>
                <w:szCs w:val="20"/>
                <w:lang w:val="da-DK"/>
              </w:rPr>
              <w:instrText xml:space="preserve"> ADDIN ZOTERO_ITEM CSL_CITATION {"citationID":"HFTf4M3r","properties":{"formattedCitation":"\\super 44\\nosupersub{}","plainCitation":"44","noteIndex":0},"citationItems":[{"id":66152,"uris":["http://zotero.org/groups/4797619/items/K2TXU8UJ"],"itemData":{"id":66152,"type":"article-journal","abstract":"BACKGROUND: Treatments with survival benefit are greatly needed for women with heavily pretreated metastatic breast cancer. Eribulin mesilate is a non-taxane microtubule dynamics inhibitor with a novel mode of action. We aimed to compare overall survival of heavily pretreated patients receiving eribulin versus currently available treatments.\nMETHODS: In this phase 3 open-label study, women with locally recurrent or metastatic breast cancer were randomly allocated (2:1) to eribulin mesilate (1·4 mg/m(2) administered intravenously during 2-5 min on days 1 and 8 of a 21-day cycle) or treatment of physician's choice (TPC). Patients had received between two and five previous chemotherapy regimens (two or more for advanced disease), including an anthracycline and a taxane, unless contraindicated. Randomisation was stratified by geographical region, previous capecitabine treatment, and human epidermal growth factor receptor 2 status. Patients and investigators were not masked to treatment allocation. The primary endpoint was overall survival in the intention-to-treat population. This study is registered at ClinicalTrials.gov, number NCT00388726.\nFINDINGS: 762 women were randomly allocated to treatment groups (508 eribulin, 254 TPC). Overall survival was significantly improved in women assigned to eribulin (median 13·1 months, 95% CI 11·8-14·3) compared with TPC (10·6 months, 9·3-12·5; hazard ratio 0·81, 95% CI 0·66-0·99; p=0·041). The most common adverse events in both groups were asthenia or fatigue (270 [54%] of 503 patients on eribulin and 98 [40%] of 247 patients on TPC at all grades) and neutropenia (260 [52%] patients receiving eribulin and 73 [30%] of those on TPC at all grades). Peripheral neuropathy was the most common adverse event leading to discontinuation from eribulin, occurring in 24 (5%) of 503 patients.\nINTERPRETATION: Eribulin showed a significant and clinically meaningful improvement in overall survival compared with TPC in women with heavily pretreated metastatic breast cancer. This finding challenges the notion that improved overall survival is an unrealistic expectation during evaluation of new anticancer therapies in the refractory setting.\nFUNDING: Eisai.","container-title":"Lancet (London, England)","DOI":"10.1016/S</w:instrText>
            </w:r>
            <w:r w:rsidR="00CA6345" w:rsidRPr="001D716B">
              <w:rPr>
                <w:rFonts w:ascii="Arial" w:hAnsi="Arial" w:cs="Arial"/>
                <w:sz w:val="20"/>
                <w:szCs w:val="20"/>
                <w:lang w:val="en-GB"/>
              </w:rPr>
              <w:instrText xml:space="preserve">0140-6736(11)60070-6","ISSN":"1474-547X","issue":"9769","journalAbbreviation":"Lancet","language":"eng","note":"PMID: 21376385","page":"914-923","source":"PubMed","title":"Eribulin monotherapy versus treatment of physician's choice in patients with metastatic breast cancer (EMBRACE): a phase 3 open-label randomised study","title-short":"Eribulin monotherapy versus treatment of physician's choice in patients with metastatic breast cancer (EMBRACE)","volume":"377","author":[{"family":"Cortes","given":"Javier"},{"family":"O'Shaughnessy","given":"Joyce"},{"family":"Loesch","given":"David"},{"family":"Blum","given":"Joanne L."},{"family":"Vahdat","given":"Linda T."},{"family":"Petrakova","given":"Katarina"},{"family":"Chollet","given":"Philippe"},{"family":"Manikas","given":"Alexey"},{"family":"Diéras","given":"Veronique"},{"family":"Delozier","given":"Thierry"},{"family":"Vladimirov","given":"Vladimir"},{"family":"Cardoso","given":"Fatima"},{"family":"Koh","given":"Han"},{"family":"Bougnoux","given":"Philippe"},{"family":"Dutcus","given":"Corina E."},{"family":"Seegobin","given":"Seth"},{"family":"Mir","given":"Denis"},{"family":"Meneses","given":"Nicole"},{"family":"Wanders","given":"Jantien"},{"family":"Twelves","given":"Chris"},{"literal":"EMBRACE (Eisai Metastatic Breast Cancer Study Assessing Physician's Choice Versus E7389) investigators"}],"issued":{"date-parts":[["2011",3,12]]}}}],"schema":"https://github.com/citation-style-language/schema/raw/master/csl-citation.json"} </w:instrText>
            </w:r>
            <w:r w:rsidRPr="00CE5C68">
              <w:rPr>
                <w:rFonts w:ascii="Arial" w:hAnsi="Arial" w:cs="Arial"/>
                <w:sz w:val="20"/>
                <w:szCs w:val="20"/>
                <w:lang w:val="en-GB"/>
              </w:rPr>
              <w:fldChar w:fldCharType="separate"/>
            </w:r>
            <w:r w:rsidR="00FD57F4" w:rsidRPr="00FD57F4">
              <w:rPr>
                <w:rFonts w:ascii="Arial" w:hAnsi="Arial" w:cs="Arial"/>
                <w:sz w:val="20"/>
                <w:vertAlign w:val="superscript"/>
              </w:rPr>
              <w:t>44</w:t>
            </w:r>
            <w:r w:rsidRPr="00CE5C68">
              <w:rPr>
                <w:rFonts w:ascii="Arial" w:hAnsi="Arial" w:cs="Arial"/>
                <w:sz w:val="20"/>
                <w:szCs w:val="20"/>
                <w:lang w:val="en-GB"/>
              </w:rPr>
              <w:fldChar w:fldCharType="end"/>
            </w:r>
          </w:p>
        </w:tc>
        <w:tc>
          <w:tcPr>
            <w:tcW w:w="1418" w:type="dxa"/>
            <w:shd w:val="clear" w:color="auto" w:fill="auto"/>
            <w:vAlign w:val="center"/>
          </w:tcPr>
          <w:p w14:paraId="1ACD79AF"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EMBRACE</w:t>
            </w:r>
          </w:p>
        </w:tc>
        <w:tc>
          <w:tcPr>
            <w:tcW w:w="2410" w:type="dxa"/>
            <w:shd w:val="clear" w:color="auto" w:fill="auto"/>
            <w:vAlign w:val="center"/>
          </w:tcPr>
          <w:p w14:paraId="57C1F335"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AAAB3A">
              <w:rPr>
                <w:rFonts w:ascii="Arial" w:hAnsi="Arial" w:cs="Arial"/>
                <w:sz w:val="20"/>
                <w:szCs w:val="20"/>
                <w:lang w:val="en-GB"/>
              </w:rPr>
              <w:t>2</w:t>
            </w:r>
            <w:r>
              <w:rPr>
                <w:rFonts w:ascii="Arial" w:hAnsi="Arial" w:cs="Arial"/>
                <w:sz w:val="20"/>
                <w:szCs w:val="20"/>
                <w:lang w:val="en-GB"/>
              </w:rPr>
              <w:t>–</w:t>
            </w:r>
            <w:r w:rsidRPr="00AAAB3A">
              <w:rPr>
                <w:rFonts w:ascii="Arial" w:hAnsi="Arial" w:cs="Arial"/>
                <w:sz w:val="20"/>
                <w:szCs w:val="20"/>
                <w:lang w:val="en-GB"/>
              </w:rPr>
              <w:t xml:space="preserve">5 </w:t>
            </w:r>
          </w:p>
        </w:tc>
        <w:tc>
          <w:tcPr>
            <w:tcW w:w="4961" w:type="dxa"/>
            <w:vAlign w:val="center"/>
          </w:tcPr>
          <w:p w14:paraId="469C20C7"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Eribulin</w:t>
            </w:r>
          </w:p>
        </w:tc>
        <w:tc>
          <w:tcPr>
            <w:tcW w:w="1417" w:type="dxa"/>
            <w:vAlign w:val="center"/>
          </w:tcPr>
          <w:p w14:paraId="6EA25B0A"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3.6</w:t>
            </w:r>
          </w:p>
        </w:tc>
        <w:tc>
          <w:tcPr>
            <w:tcW w:w="1276" w:type="dxa"/>
            <w:vAlign w:val="center"/>
          </w:tcPr>
          <w:p w14:paraId="658B8C49"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13.2</w:t>
            </w:r>
          </w:p>
        </w:tc>
      </w:tr>
      <w:tr w:rsidR="000B148D" w:rsidRPr="00CE5C68" w14:paraId="1A03F8C7" w14:textId="77777777">
        <w:trPr>
          <w:trHeight w:val="20"/>
        </w:trPr>
        <w:tc>
          <w:tcPr>
            <w:cnfStyle w:val="001000000000" w:firstRow="0" w:lastRow="0" w:firstColumn="1" w:lastColumn="0" w:oddVBand="0" w:evenVBand="0" w:oddHBand="0" w:evenHBand="0" w:firstRowFirstColumn="0" w:firstRowLastColumn="0" w:lastRowFirstColumn="0" w:lastRowLastColumn="0"/>
            <w:tcW w:w="14312"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vAlign w:val="center"/>
          </w:tcPr>
          <w:p w14:paraId="332E807D" w14:textId="77777777" w:rsidR="000B148D" w:rsidRPr="00CE5C68" w:rsidRDefault="000B148D">
            <w:pPr>
              <w:pStyle w:val="Asctablesandfigures"/>
              <w:rPr>
                <w:rFonts w:ascii="Arial" w:hAnsi="Arial" w:cs="Arial"/>
                <w:sz w:val="20"/>
                <w:szCs w:val="20"/>
                <w:lang w:val="en-GB"/>
              </w:rPr>
            </w:pPr>
            <w:r w:rsidRPr="00CE5C68">
              <w:rPr>
                <w:rFonts w:ascii="Arial" w:hAnsi="Arial" w:cs="Arial"/>
                <w:sz w:val="20"/>
                <w:szCs w:val="20"/>
                <w:lang w:val="en-GB"/>
              </w:rPr>
              <w:t>HER2-negative</w:t>
            </w:r>
            <w:r>
              <w:rPr>
                <w:rFonts w:ascii="Arial" w:hAnsi="Arial" w:cs="Arial"/>
                <w:sz w:val="20"/>
                <w:szCs w:val="20"/>
                <w:lang w:val="en-GB"/>
              </w:rPr>
              <w:t>/HR-negative (HER2-low/HR-negative cohort for DESTINY-Breast04)</w:t>
            </w:r>
          </w:p>
        </w:tc>
      </w:tr>
      <w:tr w:rsidR="000B148D" w:rsidRPr="00CE5C68" w14:paraId="3395BC9E" w14:textId="77777777">
        <w:trPr>
          <w:trHeight w:val="20"/>
        </w:trPr>
        <w:tc>
          <w:tcPr>
            <w:cnfStyle w:val="001000000000" w:firstRow="0" w:lastRow="0" w:firstColumn="1" w:lastColumn="0" w:oddVBand="0" w:evenVBand="0" w:oddHBand="0" w:evenHBand="0" w:firstRowFirstColumn="0" w:firstRowLastColumn="0" w:lastRowFirstColumn="0" w:lastRowLastColumn="0"/>
            <w:tcW w:w="2830" w:type="dxa"/>
            <w:vMerge w:val="restart"/>
            <w:shd w:val="clear" w:color="auto" w:fill="D9E2F3" w:themeFill="accent1" w:themeFillTint="33"/>
            <w:vAlign w:val="center"/>
          </w:tcPr>
          <w:p w14:paraId="256BBB11" w14:textId="0FFD6661" w:rsidR="000B148D" w:rsidRPr="003C648C" w:rsidRDefault="000B148D">
            <w:pPr>
              <w:pStyle w:val="Asctablesandfigures"/>
              <w:rPr>
                <w:rFonts w:ascii="Arial" w:hAnsi="Arial" w:cs="Arial"/>
                <w:sz w:val="20"/>
                <w:szCs w:val="20"/>
                <w:lang w:val="da-DK"/>
              </w:rPr>
            </w:pPr>
            <w:r w:rsidRPr="001D716B">
              <w:rPr>
                <w:rFonts w:ascii="Arial" w:hAnsi="Arial" w:cs="Arial"/>
                <w:sz w:val="20"/>
                <w:szCs w:val="20"/>
                <w:lang w:val="en-GB"/>
              </w:rPr>
              <w:t>Modi et al., 2022</w:t>
            </w:r>
            <w:r w:rsidRPr="001D716B">
              <w:rPr>
                <w:rFonts w:ascii="Arial" w:hAnsi="Arial" w:cs="Arial"/>
                <w:sz w:val="20"/>
                <w:szCs w:val="20"/>
                <w:lang w:val="en-GB"/>
              </w:rPr>
              <w:br/>
              <w:t>(NCT03734029) Phase III</w:t>
            </w:r>
            <w:r w:rsidRPr="00AF02AE">
              <w:fldChar w:fldCharType="begin"/>
            </w:r>
            <w:r w:rsidR="00CA6345" w:rsidRPr="001D716B">
              <w:rPr>
                <w:lang w:val="en-GB"/>
              </w:rPr>
              <w:instrText xml:space="preserve"> ADDIN ZOTERO_ITEM CSL_CITATION {"citationID":"ntPdKxVv","properties":{"formattedCitation":"\\super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w:instrText>
            </w:r>
            <w:r w:rsidR="00CA6345">
              <w:rPr>
                <w:lang w:val="da-DK"/>
              </w:rPr>
              <w:instrText xml:space="preserve">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Pr="00AF02AE">
              <w:fldChar w:fldCharType="separate"/>
            </w:r>
            <w:r w:rsidR="00FD57F4" w:rsidRPr="003C648C">
              <w:rPr>
                <w:rFonts w:ascii="Calibri Light" w:hAnsi="Calibri Light" w:cs="Calibri Light"/>
                <w:vertAlign w:val="superscript"/>
                <w:lang w:val="da-DK"/>
              </w:rPr>
              <w:t>6</w:t>
            </w:r>
            <w:r w:rsidRPr="00AF02AE">
              <w:fldChar w:fldCharType="end"/>
            </w:r>
          </w:p>
        </w:tc>
        <w:tc>
          <w:tcPr>
            <w:tcW w:w="1418" w:type="dxa"/>
            <w:vMerge w:val="restart"/>
            <w:shd w:val="clear" w:color="auto" w:fill="D9E2F3" w:themeFill="accent1" w:themeFillTint="33"/>
            <w:vAlign w:val="center"/>
          </w:tcPr>
          <w:p w14:paraId="30F44DAC" w14:textId="77777777" w:rsidR="000B148D"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DESTINY-Breast04</w:t>
            </w:r>
          </w:p>
        </w:tc>
        <w:tc>
          <w:tcPr>
            <w:tcW w:w="2410" w:type="dxa"/>
            <w:vMerge w:val="restart"/>
            <w:shd w:val="clear" w:color="auto" w:fill="D9E2F3" w:themeFill="accent1" w:themeFillTint="33"/>
            <w:vAlign w:val="center"/>
          </w:tcPr>
          <w:p w14:paraId="275498CD"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2-3</w:t>
            </w:r>
          </w:p>
        </w:tc>
        <w:tc>
          <w:tcPr>
            <w:tcW w:w="4961" w:type="dxa"/>
            <w:shd w:val="clear" w:color="auto" w:fill="D9E2F3" w:themeFill="accent1" w:themeFillTint="33"/>
            <w:vAlign w:val="center"/>
          </w:tcPr>
          <w:p w14:paraId="7376B7BA"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T-DXd</w:t>
            </w:r>
          </w:p>
        </w:tc>
        <w:tc>
          <w:tcPr>
            <w:tcW w:w="1417" w:type="dxa"/>
            <w:shd w:val="clear" w:color="auto" w:fill="D9E2F3" w:themeFill="accent1" w:themeFillTint="33"/>
            <w:vAlign w:val="center"/>
          </w:tcPr>
          <w:p w14:paraId="2C7350CF"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8.5</w:t>
            </w:r>
          </w:p>
        </w:tc>
        <w:tc>
          <w:tcPr>
            <w:tcW w:w="1276" w:type="dxa"/>
            <w:shd w:val="clear" w:color="auto" w:fill="D9E2F3" w:themeFill="accent1" w:themeFillTint="33"/>
            <w:vAlign w:val="center"/>
          </w:tcPr>
          <w:p w14:paraId="5EEFE0F3"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18.2</w:t>
            </w:r>
          </w:p>
        </w:tc>
      </w:tr>
      <w:tr w:rsidR="000B148D" w:rsidRPr="00CE5C68" w14:paraId="00E1C7BA" w14:textId="77777777">
        <w:trPr>
          <w:trHeight w:val="20"/>
        </w:trPr>
        <w:tc>
          <w:tcPr>
            <w:cnfStyle w:val="001000000000" w:firstRow="0" w:lastRow="0" w:firstColumn="1" w:lastColumn="0" w:oddVBand="0" w:evenVBand="0" w:oddHBand="0" w:evenHBand="0" w:firstRowFirstColumn="0" w:firstRowLastColumn="0" w:lastRowFirstColumn="0" w:lastRowLastColumn="0"/>
            <w:tcW w:w="2830" w:type="dxa"/>
            <w:vMerge/>
            <w:shd w:val="clear" w:color="auto" w:fill="D9E2F3" w:themeFill="accent1" w:themeFillTint="33"/>
            <w:vAlign w:val="center"/>
          </w:tcPr>
          <w:p w14:paraId="1271DA49" w14:textId="77777777" w:rsidR="000B148D" w:rsidRPr="00CE5C68" w:rsidRDefault="000B148D">
            <w:pPr>
              <w:pStyle w:val="Asctablesandfigures"/>
              <w:rPr>
                <w:rFonts w:ascii="Arial" w:hAnsi="Arial" w:cs="Arial"/>
                <w:sz w:val="20"/>
                <w:szCs w:val="20"/>
                <w:lang w:val="en-GB"/>
              </w:rPr>
            </w:pPr>
          </w:p>
        </w:tc>
        <w:tc>
          <w:tcPr>
            <w:tcW w:w="1418" w:type="dxa"/>
            <w:vMerge/>
            <w:shd w:val="clear" w:color="auto" w:fill="D9E2F3" w:themeFill="accent1" w:themeFillTint="33"/>
            <w:vAlign w:val="center"/>
          </w:tcPr>
          <w:p w14:paraId="34CFD0AD" w14:textId="77777777" w:rsidR="000B148D"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p>
        </w:tc>
        <w:tc>
          <w:tcPr>
            <w:tcW w:w="2410" w:type="dxa"/>
            <w:vMerge/>
            <w:shd w:val="clear" w:color="auto" w:fill="D9E2F3" w:themeFill="accent1" w:themeFillTint="33"/>
            <w:vAlign w:val="center"/>
          </w:tcPr>
          <w:p w14:paraId="2385527E"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p>
        </w:tc>
        <w:tc>
          <w:tcPr>
            <w:tcW w:w="4961" w:type="dxa"/>
            <w:shd w:val="clear" w:color="auto" w:fill="D9E2F3" w:themeFill="accent1" w:themeFillTint="33"/>
            <w:vAlign w:val="center"/>
          </w:tcPr>
          <w:p w14:paraId="4CBA76DA"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TPC (eribulin, capecitabine, nab-paclitaxel, gemcitabine, paclitaxel)</w:t>
            </w:r>
          </w:p>
        </w:tc>
        <w:tc>
          <w:tcPr>
            <w:tcW w:w="1417" w:type="dxa"/>
            <w:shd w:val="clear" w:color="auto" w:fill="D9E2F3" w:themeFill="accent1" w:themeFillTint="33"/>
            <w:vAlign w:val="center"/>
          </w:tcPr>
          <w:p w14:paraId="286E6330"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2.9</w:t>
            </w:r>
          </w:p>
        </w:tc>
        <w:tc>
          <w:tcPr>
            <w:tcW w:w="1276" w:type="dxa"/>
            <w:shd w:val="clear" w:color="auto" w:fill="D9E2F3" w:themeFill="accent1" w:themeFillTint="33"/>
            <w:vAlign w:val="center"/>
          </w:tcPr>
          <w:p w14:paraId="2DDFE1AF"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8.3</w:t>
            </w:r>
          </w:p>
        </w:tc>
      </w:tr>
      <w:tr w:rsidR="000B148D" w:rsidRPr="00CE5C68" w14:paraId="1A94A90B" w14:textId="77777777">
        <w:trPr>
          <w:trHeight w:val="20"/>
        </w:trPr>
        <w:tc>
          <w:tcPr>
            <w:cnfStyle w:val="001000000000" w:firstRow="0" w:lastRow="0" w:firstColumn="1" w:lastColumn="0" w:oddVBand="0" w:evenVBand="0" w:oddHBand="0" w:evenHBand="0" w:firstRowFirstColumn="0" w:firstRowLastColumn="0" w:lastRowFirstColumn="0" w:lastRowLastColumn="0"/>
            <w:tcW w:w="2830" w:type="dxa"/>
            <w:shd w:val="clear" w:color="auto" w:fill="F2F2F2" w:themeFill="background1" w:themeFillShade="F2"/>
            <w:vAlign w:val="center"/>
          </w:tcPr>
          <w:p w14:paraId="70B7D32E" w14:textId="77777777" w:rsidR="000B148D" w:rsidRPr="003C648C" w:rsidRDefault="000B148D">
            <w:pPr>
              <w:pStyle w:val="Asctablesandfigures"/>
              <w:rPr>
                <w:rFonts w:ascii="Arial" w:hAnsi="Arial" w:cs="Arial"/>
                <w:sz w:val="20"/>
                <w:szCs w:val="20"/>
                <w:lang w:val="da-DK"/>
              </w:rPr>
            </w:pPr>
            <w:r w:rsidRPr="003C648C">
              <w:rPr>
                <w:rFonts w:ascii="Arial" w:hAnsi="Arial" w:cs="Arial"/>
                <w:sz w:val="20"/>
                <w:szCs w:val="20"/>
                <w:lang w:val="da-DK"/>
              </w:rPr>
              <w:t>Pivot et al., 2016</w:t>
            </w:r>
          </w:p>
          <w:p w14:paraId="572D76C9" w14:textId="60D39793" w:rsidR="000B148D" w:rsidRPr="00CE5C68" w:rsidRDefault="000B148D">
            <w:pPr>
              <w:pStyle w:val="Asctablesandfigures"/>
              <w:rPr>
                <w:rFonts w:ascii="Arial" w:hAnsi="Arial" w:cs="Arial"/>
                <w:sz w:val="20"/>
                <w:szCs w:val="20"/>
                <w:lang w:val="en-GB"/>
              </w:rPr>
            </w:pPr>
            <w:r w:rsidRPr="003C648C">
              <w:rPr>
                <w:rFonts w:ascii="Arial" w:hAnsi="Arial" w:cs="Arial"/>
                <w:sz w:val="20"/>
                <w:szCs w:val="20"/>
                <w:lang w:val="da-DK"/>
              </w:rPr>
              <w:t>(NR) Phase III</w:t>
            </w:r>
            <w:r w:rsidRPr="00CE5C68">
              <w:rPr>
                <w:rFonts w:ascii="Arial" w:hAnsi="Arial" w:cs="Arial"/>
                <w:sz w:val="20"/>
                <w:szCs w:val="20"/>
                <w:lang w:val="en-GB"/>
              </w:rPr>
              <w:fldChar w:fldCharType="begin"/>
            </w:r>
            <w:r w:rsidR="00CA6345">
              <w:rPr>
                <w:rFonts w:ascii="Arial" w:hAnsi="Arial" w:cs="Arial"/>
                <w:sz w:val="20"/>
                <w:szCs w:val="20"/>
                <w:lang w:val="da-DK"/>
              </w:rPr>
              <w:instrText xml:space="preserve"> ADDIN ZOTERO_ITEM CSL_CITATION {"citationID":"rgX3we1i","properties":{"formattedCitation":"\\super 43\\nosupersub{}","plainCitation":"43","noteIndex":0},"citationItems":[{"id":66149,"uris":["http://zotero.org/groups/4797619/items/8M7DF85G"],"itemData":{"id":66149,"type":"article-journal","abstract":"BACKGROUND: Based on data from two multicenter, phase III clinical trials (Studies 301 and 305), eribulin (a microtubule dynamics inhibitor) is indicated in the European Union (EU) for patients with locally advanced or metastatic breast cancer (MBC) after ≥1 prior chemotherapy for advanced disease, including an anthracycline and a taxane in either the adjuvant or metastatic setting. Data from Studies 305 and 301 were pooled to investigate the efficacy of eribulin in various subgroups of patients who matched the EU label, including those with human epidermal growth factor receptor 2 (HER2)-negative and triple-negative disease.\nPATIENTS AND METHODS: In Study 305 (NCT00388726), patients were randomized 2:1 to eribulin mesylate 1.4 mg/m(2) (equivalent to eribulin 1.23 mg/m(2) [expressed as free base]) intravenously on days 1 and 8 every 21 days] or treatment of physician's choice after 2-5 prior chemotherapies (≥2 for advanced disease), including an anthracycline and a taxane (in early/advanced setting). In Study 301 (NCT00337103), patients were randomized 1:1 to eribulin (as above) or capecitabine (1.25 g/m(2) orally twice daily on days 1-14 every 21 days) following ≤3 prior chemotherapies (≤2 for advanced disease), including an anthracycline and a taxane. Efficacy end points were investigated in the intent-to-treat population and subgroups, pooled as discussed above.\nRESULTS: Overall, 1644 patients were included (eribulin: 946; control: 698); baseline characteristics were well matched. Overall survival was significantly longer with eribulin versus control (P &lt; 0.01), as were progression-free survival and clinical benefit rate (both P &lt; 0.05). Significant survival benefits with eribulin versus control were observed in a wide range of patient subgroups, including HER2-negative or triple-negative disease (all P &lt; 0.05).\nCONCLUSION: Our findings underline the survival benefit achieved by eribulin used according to EU label in the overall MBC population and in various subgroups of interest, including patients with HER2-negative and triple-negative disease.","container-title":"Annals of Oncology: Official Journal of the European Society for Medical Oncology","DOI":"10.1093/annonc/mdw203","ISSN":"1569-8041","issue":"8","journalAbbreviation":"Ann Oncol","language":"eng","note":"PMID: 27177860\nPMCID: PMC4959925","page":"1525-1531","source":"PubMed","title":"Pooled analyses of eribulin in metastatic breast cancer patients with at least one prior chemotherapy","volume":"27","author":[{"family":"Pivot","given":"X."},{"family":"Marmé","given":"F."},{"family":"Koenigsberg","given":"R."},{"family":"Guo","given":"M."},{"family":"Berrak","given":"E."},{"family":"Wolfer","given":"A."}],"issued":{"date-parts":[["2016",8]]}}}],"schema":"https://github.com/citation-style-language/schema/raw/master/csl-citation.json"} </w:instrText>
            </w:r>
            <w:r w:rsidRPr="00CE5C68">
              <w:rPr>
                <w:rFonts w:ascii="Arial" w:hAnsi="Arial" w:cs="Arial"/>
                <w:sz w:val="20"/>
                <w:szCs w:val="20"/>
                <w:lang w:val="en-GB"/>
              </w:rPr>
              <w:fldChar w:fldCharType="separate"/>
            </w:r>
            <w:r w:rsidR="00FD57F4" w:rsidRPr="00FD57F4">
              <w:rPr>
                <w:rFonts w:ascii="Arial" w:hAnsi="Arial" w:cs="Arial"/>
                <w:sz w:val="20"/>
                <w:vertAlign w:val="superscript"/>
              </w:rPr>
              <w:t>43</w:t>
            </w:r>
            <w:r w:rsidRPr="00CE5C68">
              <w:rPr>
                <w:rFonts w:ascii="Arial" w:hAnsi="Arial" w:cs="Arial"/>
                <w:sz w:val="20"/>
                <w:szCs w:val="20"/>
                <w:lang w:val="en-GB"/>
              </w:rPr>
              <w:fldChar w:fldCharType="end"/>
            </w:r>
          </w:p>
        </w:tc>
        <w:tc>
          <w:tcPr>
            <w:tcW w:w="1418" w:type="dxa"/>
            <w:shd w:val="clear" w:color="auto" w:fill="auto"/>
            <w:vAlign w:val="center"/>
          </w:tcPr>
          <w:p w14:paraId="0632D1C4"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Study 301 and Study 305</w:t>
            </w:r>
          </w:p>
        </w:tc>
        <w:tc>
          <w:tcPr>
            <w:tcW w:w="2410" w:type="dxa"/>
            <w:shd w:val="clear" w:color="auto" w:fill="auto"/>
            <w:vAlign w:val="center"/>
          </w:tcPr>
          <w:p w14:paraId="66A61063" w14:textId="77777777" w:rsidR="000B148D" w:rsidRPr="00AAAB3A"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w:t>
            </w:r>
            <w:r>
              <w:rPr>
                <w:rFonts w:ascii="Arial" w:hAnsi="Arial" w:cs="Arial"/>
                <w:sz w:val="20"/>
                <w:szCs w:val="20"/>
                <w:lang w:val="en-GB"/>
              </w:rPr>
              <w:t>2</w:t>
            </w:r>
          </w:p>
        </w:tc>
        <w:tc>
          <w:tcPr>
            <w:tcW w:w="4961" w:type="dxa"/>
            <w:vAlign w:val="center"/>
          </w:tcPr>
          <w:p w14:paraId="0BCF8B0C"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Eribulin</w:t>
            </w:r>
          </w:p>
        </w:tc>
        <w:tc>
          <w:tcPr>
            <w:tcW w:w="1417" w:type="dxa"/>
            <w:vAlign w:val="center"/>
          </w:tcPr>
          <w:p w14:paraId="3416001C"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2.8</w:t>
            </w:r>
          </w:p>
        </w:tc>
        <w:tc>
          <w:tcPr>
            <w:tcW w:w="1276" w:type="dxa"/>
            <w:vAlign w:val="center"/>
          </w:tcPr>
          <w:p w14:paraId="4B0F0737"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12.4</w:t>
            </w:r>
          </w:p>
        </w:tc>
      </w:tr>
      <w:tr w:rsidR="000B148D" w:rsidRPr="00CE5C68" w14:paraId="7E06DBB6" w14:textId="77777777">
        <w:trPr>
          <w:trHeight w:val="20"/>
        </w:trPr>
        <w:tc>
          <w:tcPr>
            <w:cnfStyle w:val="001000000000" w:firstRow="0" w:lastRow="0" w:firstColumn="1" w:lastColumn="0" w:oddVBand="0" w:evenVBand="0" w:oddHBand="0" w:evenHBand="0" w:firstRowFirstColumn="0" w:firstRowLastColumn="0" w:lastRowFirstColumn="0" w:lastRowLastColumn="0"/>
            <w:tcW w:w="2830" w:type="dxa"/>
            <w:shd w:val="clear" w:color="auto" w:fill="F2F2F2" w:themeFill="background1" w:themeFillShade="F2"/>
            <w:vAlign w:val="center"/>
          </w:tcPr>
          <w:p w14:paraId="5425B93A" w14:textId="77777777" w:rsidR="000B148D" w:rsidRPr="003C648C" w:rsidRDefault="000B148D">
            <w:pPr>
              <w:pStyle w:val="Asctablesandfigures"/>
              <w:rPr>
                <w:rFonts w:ascii="Arial" w:hAnsi="Arial" w:cs="Arial"/>
                <w:sz w:val="20"/>
                <w:szCs w:val="20"/>
                <w:lang w:val="da-DK"/>
              </w:rPr>
            </w:pPr>
            <w:r w:rsidRPr="003C648C">
              <w:rPr>
                <w:rFonts w:ascii="Arial" w:hAnsi="Arial" w:cs="Arial"/>
                <w:sz w:val="20"/>
                <w:szCs w:val="20"/>
                <w:lang w:val="da-DK"/>
              </w:rPr>
              <w:t xml:space="preserve">Vahdat et al., 2021* </w:t>
            </w:r>
          </w:p>
          <w:p w14:paraId="463FC2AE" w14:textId="2EBD792C" w:rsidR="000B148D" w:rsidRPr="003C648C" w:rsidRDefault="000B148D">
            <w:pPr>
              <w:pStyle w:val="Asctablesandfigures"/>
              <w:rPr>
                <w:rFonts w:ascii="Arial" w:hAnsi="Arial" w:cs="Arial"/>
                <w:sz w:val="20"/>
                <w:szCs w:val="20"/>
                <w:lang w:val="da-DK"/>
              </w:rPr>
            </w:pPr>
            <w:r w:rsidRPr="003C648C">
              <w:rPr>
                <w:rFonts w:ascii="Arial" w:hAnsi="Arial" w:cs="Arial"/>
                <w:sz w:val="20"/>
                <w:szCs w:val="20"/>
                <w:lang w:val="da-DK"/>
              </w:rPr>
              <w:t>(NCT0199733) Phase II</w:t>
            </w:r>
            <w:r w:rsidRPr="00CE5C68">
              <w:rPr>
                <w:rFonts w:ascii="Arial" w:hAnsi="Arial" w:cs="Arial"/>
                <w:sz w:val="20"/>
                <w:szCs w:val="20"/>
                <w:lang w:val="en-GB"/>
              </w:rPr>
              <w:fldChar w:fldCharType="begin"/>
            </w:r>
            <w:r w:rsidR="00CA6345">
              <w:rPr>
                <w:rFonts w:ascii="Arial" w:hAnsi="Arial" w:cs="Arial"/>
                <w:sz w:val="20"/>
                <w:szCs w:val="20"/>
                <w:lang w:val="da-DK"/>
              </w:rPr>
              <w:instrText xml:space="preserve"> ADDIN ZOTERO_ITEM CSL_CITATION {"citationID":"56LeafGn","properties":{"formattedCitation":"\\super 50\\nosupersub{}","plainCitation":"50","noteIndex":0},"citationItems":[{"id":66759,"uris":["http://zotero.org/groups/4797619/items/WRYWKH52"],"itemData":{"id":66759,"type":"article-journal","abstract":"The METRIC study (NCT#0199733) explored a novel antibody–drug conjugate, glembatumumab vedotin (GV), targeting gpNMB that is overexpressed in ~40% of patients with triple-negative breast cancer (TNBC) and associated with poor prognosis. The study was a randomized, open-label, phase 2b study that evaluated progression-free survival (PFS) of GV compared with capecitabine in gpNMB-overexpressing TNBC. Patients who had previously received anthracycline and taxane-based therapy were randomized 2:1 to receive, GV (1.88 mg/kg IV q21 days) or capecitabine (2500 mg/m2 PO daily d1–14 q21 days). The primary endpoint was RECIST 1.1 PFS per independent, blinded central review. In all, 327 patients were randomized to GV (213 treated) or capecitabine (92 treated). Median PFS was 2.9 months for GV vs. 2.8 months for capecitabine. The most common grade ≥3 toxicities for GV were neutropenia, rash, and leukopenia, and for capecitabine were fatigue, diarrhea, and palmar-plantar erythrodysesthesia. The study did not meet the primary endpoint of improved PFS over capecitabine or demonstrate a relative risk/benefit improvement over capecitabine.","container-title":"npj Breast Cancer","DOI":"10.1038/s41523-021-00244-6","ISSN":"2374-4677","issue":"1","language":"en","license":"2021 The Author(s)","note":"number: 1\npublisher: Nature Publishing Group","page":"1-10","source":"www.nature.com","title":"Glembatumumab vedotin for patients with metastatic, gpNMB overexpressing, triple-negative breast cancer (“METRIC”): a randomized multicenter study","title-short":"Glembatumumab vedotin for patients with metastatic, gpNMB overexpressing, triple-negative breast cancer (“METRIC”)","volume":"7","author":[{"family":"Vahdat","given":"Linda T."},{"family":"Schmid","given":"Peter"},{"family":"Forero-Torres","given":"Andres"},{"family":"Blackwell","given":"Kimberly"},{"family":"Telli","given":"Melinda L."},{"family":"Melisko","given":"Michelle"},{"family":"Möbus","given":"Volker"},{"family":"Cortes","given":"Javier"},{"family":"Montero","given":"Alberto J."},{"family":"Ma","given":"Cynthia"},{"family":"Nanda","given":"Rita"},{"family":"Wright","given":"Gail S."},{"family":"He","given":"Yi"},{"family":"Hawthorne","given":"Thomas"},{"family":"Bagley","given":"Rebecca G."},{"family":"Halim","given":"Abdel-Baset"},{"family":"Turner","given":"Christopher D."},{"family":"Yardley","given":"Denise A."}],"issued":{"date-parts":[["2021",5,20]]}}}],"schema":"https://github.com/citation-style-language/schema/raw/master/csl-citation.json"} </w:instrText>
            </w:r>
            <w:r w:rsidRPr="00CE5C68">
              <w:rPr>
                <w:rFonts w:ascii="Arial" w:hAnsi="Arial" w:cs="Arial"/>
                <w:sz w:val="20"/>
                <w:szCs w:val="20"/>
                <w:lang w:val="en-GB"/>
              </w:rPr>
              <w:fldChar w:fldCharType="separate"/>
            </w:r>
            <w:r w:rsidR="00FD57F4" w:rsidRPr="003C648C">
              <w:rPr>
                <w:rFonts w:ascii="Arial" w:hAnsi="Arial" w:cs="Arial"/>
                <w:sz w:val="20"/>
                <w:vertAlign w:val="superscript"/>
                <w:lang w:val="da-DK"/>
              </w:rPr>
              <w:t>50</w:t>
            </w:r>
            <w:r w:rsidRPr="00CE5C68">
              <w:rPr>
                <w:rFonts w:ascii="Arial" w:hAnsi="Arial" w:cs="Arial"/>
                <w:sz w:val="20"/>
                <w:szCs w:val="20"/>
                <w:lang w:val="en-GB"/>
              </w:rPr>
              <w:fldChar w:fldCharType="end"/>
            </w:r>
          </w:p>
        </w:tc>
        <w:tc>
          <w:tcPr>
            <w:tcW w:w="1418" w:type="dxa"/>
            <w:shd w:val="clear" w:color="auto" w:fill="auto"/>
            <w:vAlign w:val="center"/>
          </w:tcPr>
          <w:p w14:paraId="171C7A89"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METRIC</w:t>
            </w:r>
          </w:p>
        </w:tc>
        <w:tc>
          <w:tcPr>
            <w:tcW w:w="2410" w:type="dxa"/>
            <w:shd w:val="clear" w:color="auto" w:fill="auto"/>
            <w:vAlign w:val="center"/>
          </w:tcPr>
          <w:p w14:paraId="3A958DC5"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AAAB3A">
              <w:rPr>
                <w:rFonts w:ascii="Arial" w:hAnsi="Arial" w:cs="Arial"/>
                <w:sz w:val="20"/>
                <w:szCs w:val="20"/>
                <w:lang w:val="en-GB"/>
              </w:rPr>
              <w:t>≤2</w:t>
            </w:r>
          </w:p>
        </w:tc>
        <w:tc>
          <w:tcPr>
            <w:tcW w:w="4961" w:type="dxa"/>
            <w:vAlign w:val="center"/>
          </w:tcPr>
          <w:p w14:paraId="166C9AA8"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Capecitabine</w:t>
            </w:r>
          </w:p>
        </w:tc>
        <w:tc>
          <w:tcPr>
            <w:tcW w:w="1417" w:type="dxa"/>
            <w:vAlign w:val="center"/>
          </w:tcPr>
          <w:p w14:paraId="5F75DB92"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2.8</w:t>
            </w:r>
          </w:p>
        </w:tc>
        <w:tc>
          <w:tcPr>
            <w:tcW w:w="1276" w:type="dxa"/>
            <w:vAlign w:val="center"/>
          </w:tcPr>
          <w:p w14:paraId="47756740"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8.7</w:t>
            </w:r>
          </w:p>
        </w:tc>
      </w:tr>
      <w:tr w:rsidR="000B148D" w:rsidRPr="00CE5C68" w14:paraId="4851DA0E" w14:textId="77777777">
        <w:trPr>
          <w:trHeight w:val="20"/>
        </w:trPr>
        <w:tc>
          <w:tcPr>
            <w:cnfStyle w:val="001000000000" w:firstRow="0" w:lastRow="0" w:firstColumn="1" w:lastColumn="0" w:oddVBand="0" w:evenVBand="0" w:oddHBand="0" w:evenHBand="0" w:firstRowFirstColumn="0" w:firstRowLastColumn="0" w:lastRowFirstColumn="0" w:lastRowLastColumn="0"/>
            <w:tcW w:w="2830" w:type="dxa"/>
            <w:vMerge w:val="restart"/>
            <w:shd w:val="clear" w:color="auto" w:fill="F2F2F2" w:themeFill="background1" w:themeFillShade="F2"/>
            <w:vAlign w:val="center"/>
          </w:tcPr>
          <w:p w14:paraId="6827D0AC" w14:textId="77777777" w:rsidR="000B148D" w:rsidRPr="003C648C" w:rsidRDefault="000B148D">
            <w:pPr>
              <w:pStyle w:val="Asctablesandfigures"/>
              <w:rPr>
                <w:rFonts w:ascii="Arial" w:hAnsi="Arial" w:cs="Arial"/>
                <w:sz w:val="20"/>
                <w:szCs w:val="20"/>
                <w:lang w:val="da-DK"/>
              </w:rPr>
            </w:pPr>
            <w:r w:rsidRPr="003C648C">
              <w:rPr>
                <w:rFonts w:ascii="Arial" w:hAnsi="Arial" w:cs="Arial"/>
                <w:sz w:val="20"/>
                <w:szCs w:val="20"/>
                <w:lang w:val="da-DK"/>
              </w:rPr>
              <w:t xml:space="preserve">Bardia et al., 2021* </w:t>
            </w:r>
          </w:p>
          <w:p w14:paraId="5A7D448E" w14:textId="63DA54D5" w:rsidR="000B148D" w:rsidRPr="003C648C" w:rsidRDefault="000B148D">
            <w:pPr>
              <w:pStyle w:val="Asctablesandfigures"/>
              <w:rPr>
                <w:rFonts w:ascii="Arial" w:hAnsi="Arial" w:cs="Arial"/>
                <w:sz w:val="20"/>
                <w:szCs w:val="20"/>
                <w:lang w:val="da-DK"/>
              </w:rPr>
            </w:pPr>
            <w:r w:rsidRPr="003C648C">
              <w:rPr>
                <w:rFonts w:ascii="Arial" w:hAnsi="Arial" w:cs="Arial"/>
                <w:sz w:val="20"/>
                <w:szCs w:val="20"/>
                <w:lang w:val="da-DK"/>
              </w:rPr>
              <w:t>(NCT02574455) Phase III</w:t>
            </w:r>
            <w:r w:rsidRPr="00CE5C68">
              <w:rPr>
                <w:rFonts w:ascii="Arial" w:hAnsi="Arial" w:cs="Arial"/>
                <w:sz w:val="20"/>
                <w:szCs w:val="20"/>
                <w:lang w:val="en-GB"/>
              </w:rPr>
              <w:fldChar w:fldCharType="begin"/>
            </w:r>
            <w:r w:rsidR="00CA6345">
              <w:rPr>
                <w:rFonts w:ascii="Arial" w:hAnsi="Arial" w:cs="Arial"/>
                <w:sz w:val="20"/>
                <w:szCs w:val="20"/>
                <w:lang w:val="da-DK"/>
              </w:rPr>
              <w:instrText xml:space="preserve"> ADDIN ZOTERO_ITEM CSL_CITATION {"citationID":"LwfzZ5lB","properties":{"formattedCitation":"\\super 48\\nosupersub{}","plainCitation":"48","noteIndex":0},"citationItems":[{"id":66444,"uris":["http://zotero.org/groups/4797619/items/44JAGUPG"],"itemData":{"id":66444,"type":"article-journal","container-title":"New England Journal of Medicine","DOI":"10.1056/NEJMoa2028485","ISSN":"0028-4793","issue":"16","note":"publisher: Massachusetts Medical Society\n_eprint: https://doi.org/10.1056/NEJMoa2028485\nPMID: 33882206","page":"1529-1541","source":"Taylor and Francis+NEJM","title":"Sacituzumab Govitecan in Metastatic Triple-Negative Breast Cancer","volume":"384","author":[{"family":"Bardia","given":"Aditya"},{"family":"Hurvitz","given":"Sara A."},{"family":"Tolaney","given":"Sara M."},{"family":"Loirat","given":"Delphine"},{"family":"Punie","given":"Kevin"},{"family":"Oliveira","given":"Mafalda"},{"family":"Brufsky","given":"Adam"},{"family":"Sardesai","given":"Sagar D."},{"family":"Kalinsky","given":"Kevin"},{"family":"Zelnak","given":"Amelia B."},{"family":"Weaver","given":"Robert"},{"family":"Traina","given":"Tiffany"},{"family":"Dalenc","given":"Florence"},{"family":"Aftimos","given":"Philippe"},{"family":"Lynce","given":"Filipa"},{"family":"Diab","given":"Sami"},{"family":"Cortés","given":"Javier"},{"family":"O’Shaughnessy","given":"Joyce"},{"family":"Diéras","given":"Véronique"},{"family":"Ferrario","given":"Cristiano"},{"family":"Schmid","given":"Peter"},{"family":"Carey","given":"Lisa A."},{"family":"Gianni","given":"Luca"},{"family":"Piccart","given":"Martine J."},{"family":"Loibl","given":"Sibylle"},{"family":"Goldenberg","given":"David M."},{"family":"Hong","given":"Quan"},{"family":"Olivo","given":"Martin S."},{"family":"Itri","given":"Loretta M."},{"family":"Rugo","given":"Hope S."}],"issued":{"date-parts":[["2021",4,22]]}}}],"schema":"https://github.com/citation-style-language/schema/raw/master/csl-citation.json"} </w:instrText>
            </w:r>
            <w:r w:rsidRPr="00CE5C68">
              <w:rPr>
                <w:rFonts w:ascii="Arial" w:hAnsi="Arial" w:cs="Arial"/>
                <w:sz w:val="20"/>
                <w:szCs w:val="20"/>
                <w:lang w:val="en-GB"/>
              </w:rPr>
              <w:fldChar w:fldCharType="separate"/>
            </w:r>
            <w:r w:rsidR="00FD57F4" w:rsidRPr="003C648C">
              <w:rPr>
                <w:rFonts w:ascii="Arial" w:hAnsi="Arial" w:cs="Arial"/>
                <w:sz w:val="20"/>
                <w:vertAlign w:val="superscript"/>
                <w:lang w:val="da-DK"/>
              </w:rPr>
              <w:t>48</w:t>
            </w:r>
            <w:r w:rsidRPr="00CE5C68">
              <w:rPr>
                <w:rFonts w:ascii="Arial" w:hAnsi="Arial" w:cs="Arial"/>
                <w:sz w:val="20"/>
                <w:szCs w:val="20"/>
                <w:lang w:val="en-GB"/>
              </w:rPr>
              <w:fldChar w:fldCharType="end"/>
            </w:r>
          </w:p>
        </w:tc>
        <w:tc>
          <w:tcPr>
            <w:tcW w:w="1418" w:type="dxa"/>
            <w:vMerge w:val="restart"/>
            <w:shd w:val="clear" w:color="auto" w:fill="auto"/>
            <w:vAlign w:val="center"/>
          </w:tcPr>
          <w:p w14:paraId="12BBCEE9"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ASCENT</w:t>
            </w:r>
          </w:p>
        </w:tc>
        <w:tc>
          <w:tcPr>
            <w:tcW w:w="2410" w:type="dxa"/>
            <w:vMerge w:val="restart"/>
            <w:shd w:val="clear" w:color="auto" w:fill="auto"/>
            <w:vAlign w:val="center"/>
          </w:tcPr>
          <w:p w14:paraId="49FD7385"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≥2</w:t>
            </w:r>
          </w:p>
        </w:tc>
        <w:tc>
          <w:tcPr>
            <w:tcW w:w="4961" w:type="dxa"/>
            <w:vAlign w:val="center"/>
          </w:tcPr>
          <w:p w14:paraId="1B459BF9" w14:textId="54DDCC10"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lang w:val="en-GB"/>
              </w:rPr>
            </w:pPr>
            <w:r w:rsidRPr="00CE5C68">
              <w:rPr>
                <w:rFonts w:ascii="Arial" w:hAnsi="Arial" w:cs="Arial"/>
                <w:sz w:val="20"/>
                <w:szCs w:val="20"/>
                <w:lang w:val="en-GB"/>
              </w:rPr>
              <w:t>S</w:t>
            </w:r>
            <w:r w:rsidR="00DC5124">
              <w:rPr>
                <w:rFonts w:ascii="Arial" w:hAnsi="Arial" w:cs="Arial"/>
                <w:sz w:val="20"/>
                <w:szCs w:val="20"/>
                <w:lang w:val="en-GB"/>
              </w:rPr>
              <w:t>G</w:t>
            </w:r>
            <w:r w:rsidR="00DC5124" w:rsidRPr="00CE5C68" w:rsidDel="00DC5124">
              <w:rPr>
                <w:rFonts w:ascii="Arial" w:hAnsi="Arial" w:cs="Arial"/>
                <w:sz w:val="20"/>
                <w:szCs w:val="20"/>
                <w:lang w:val="en-GB"/>
              </w:rPr>
              <w:t xml:space="preserve"> </w:t>
            </w:r>
            <w:r>
              <w:rPr>
                <w:rFonts w:ascii="Arial" w:hAnsi="Arial" w:cs="Arial"/>
                <w:sz w:val="20"/>
                <w:szCs w:val="20"/>
                <w:lang w:val="en-GB"/>
              </w:rPr>
              <w:t>**</w:t>
            </w:r>
          </w:p>
        </w:tc>
        <w:tc>
          <w:tcPr>
            <w:tcW w:w="1417" w:type="dxa"/>
            <w:vAlign w:val="center"/>
          </w:tcPr>
          <w:p w14:paraId="587D4D16"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5.6</w:t>
            </w:r>
          </w:p>
        </w:tc>
        <w:tc>
          <w:tcPr>
            <w:tcW w:w="1276" w:type="dxa"/>
            <w:vAlign w:val="center"/>
          </w:tcPr>
          <w:p w14:paraId="5A033695"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12.1</w:t>
            </w:r>
          </w:p>
        </w:tc>
      </w:tr>
      <w:tr w:rsidR="000B148D" w:rsidRPr="00CE5C68" w14:paraId="5A1A6E4B" w14:textId="77777777">
        <w:trPr>
          <w:trHeight w:val="20"/>
        </w:trPr>
        <w:tc>
          <w:tcPr>
            <w:cnfStyle w:val="001000000000" w:firstRow="0" w:lastRow="0" w:firstColumn="1" w:lastColumn="0" w:oddVBand="0" w:evenVBand="0" w:oddHBand="0" w:evenHBand="0" w:firstRowFirstColumn="0" w:firstRowLastColumn="0" w:lastRowFirstColumn="0" w:lastRowLastColumn="0"/>
            <w:tcW w:w="2830" w:type="dxa"/>
            <w:vMerge/>
            <w:shd w:val="clear" w:color="auto" w:fill="F2F2F2" w:themeFill="background1" w:themeFillShade="F2"/>
            <w:vAlign w:val="center"/>
          </w:tcPr>
          <w:p w14:paraId="07272275" w14:textId="77777777" w:rsidR="000B148D" w:rsidRPr="00CE5C68" w:rsidRDefault="000B148D">
            <w:pPr>
              <w:pStyle w:val="Asctablesandfigures"/>
              <w:rPr>
                <w:rFonts w:ascii="Arial" w:hAnsi="Arial" w:cs="Arial"/>
                <w:sz w:val="20"/>
                <w:szCs w:val="20"/>
                <w:lang w:val="en-GB"/>
              </w:rPr>
            </w:pPr>
          </w:p>
        </w:tc>
        <w:tc>
          <w:tcPr>
            <w:tcW w:w="1418" w:type="dxa"/>
            <w:vMerge/>
            <w:shd w:val="clear" w:color="auto" w:fill="auto"/>
            <w:vAlign w:val="center"/>
          </w:tcPr>
          <w:p w14:paraId="03618E0B"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p>
        </w:tc>
        <w:tc>
          <w:tcPr>
            <w:tcW w:w="2410" w:type="dxa"/>
            <w:vMerge/>
            <w:shd w:val="clear" w:color="auto" w:fill="auto"/>
            <w:vAlign w:val="center"/>
          </w:tcPr>
          <w:p w14:paraId="5092DD90"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p>
        </w:tc>
        <w:tc>
          <w:tcPr>
            <w:tcW w:w="4961" w:type="dxa"/>
            <w:vAlign w:val="center"/>
          </w:tcPr>
          <w:p w14:paraId="2D4AC58A"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lang w:val="en-GB"/>
              </w:rPr>
            </w:pPr>
            <w:r>
              <w:rPr>
                <w:rFonts w:ascii="Arial" w:hAnsi="Arial" w:cs="Arial"/>
                <w:sz w:val="20"/>
                <w:szCs w:val="20"/>
                <w:lang w:val="en-GB"/>
              </w:rPr>
              <w:t>TPC (e</w:t>
            </w:r>
            <w:r w:rsidRPr="00CE5C68">
              <w:rPr>
                <w:rFonts w:ascii="Arial" w:hAnsi="Arial" w:cs="Arial"/>
                <w:sz w:val="20"/>
                <w:szCs w:val="20"/>
                <w:lang w:val="en-GB"/>
              </w:rPr>
              <w:t>ribulin, vinorelbine, capecitabine, gemcitabine</w:t>
            </w:r>
            <w:r>
              <w:rPr>
                <w:rFonts w:ascii="Arial" w:hAnsi="Arial" w:cs="Arial"/>
                <w:sz w:val="20"/>
                <w:szCs w:val="20"/>
                <w:lang w:val="en-GB"/>
              </w:rPr>
              <w:t>)</w:t>
            </w:r>
          </w:p>
        </w:tc>
        <w:tc>
          <w:tcPr>
            <w:tcW w:w="1417" w:type="dxa"/>
            <w:vAlign w:val="center"/>
          </w:tcPr>
          <w:p w14:paraId="28890C03"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1.7</w:t>
            </w:r>
          </w:p>
        </w:tc>
        <w:tc>
          <w:tcPr>
            <w:tcW w:w="1276" w:type="dxa"/>
            <w:vAlign w:val="center"/>
          </w:tcPr>
          <w:p w14:paraId="2C9E9081"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6.7</w:t>
            </w:r>
          </w:p>
        </w:tc>
      </w:tr>
      <w:tr w:rsidR="000B148D" w:rsidRPr="00CE5C68" w14:paraId="74B7BDFA" w14:textId="77777777">
        <w:trPr>
          <w:trHeight w:val="20"/>
        </w:trPr>
        <w:tc>
          <w:tcPr>
            <w:cnfStyle w:val="001000000000" w:firstRow="0" w:lastRow="0" w:firstColumn="1" w:lastColumn="0" w:oddVBand="0" w:evenVBand="0" w:oddHBand="0" w:evenHBand="0" w:firstRowFirstColumn="0" w:firstRowLastColumn="0" w:lastRowFirstColumn="0" w:lastRowLastColumn="0"/>
            <w:tcW w:w="2830" w:type="dxa"/>
            <w:shd w:val="clear" w:color="auto" w:fill="F2F2F2" w:themeFill="background1" w:themeFillShade="F2"/>
            <w:vAlign w:val="center"/>
          </w:tcPr>
          <w:p w14:paraId="43060D63" w14:textId="77777777" w:rsidR="000B148D" w:rsidRPr="003C648C" w:rsidRDefault="000B148D">
            <w:pPr>
              <w:pStyle w:val="Asctablesandfigures"/>
              <w:rPr>
                <w:rFonts w:ascii="Arial" w:hAnsi="Arial" w:cs="Arial"/>
                <w:sz w:val="20"/>
                <w:szCs w:val="20"/>
                <w:lang w:val="da-DK"/>
              </w:rPr>
            </w:pPr>
            <w:r w:rsidRPr="003C648C">
              <w:rPr>
                <w:rFonts w:ascii="Arial" w:hAnsi="Arial" w:cs="Arial"/>
                <w:sz w:val="20"/>
                <w:szCs w:val="20"/>
                <w:lang w:val="da-DK"/>
              </w:rPr>
              <w:t xml:space="preserve">Winer et al., 2021* </w:t>
            </w:r>
          </w:p>
          <w:p w14:paraId="5A3C5625" w14:textId="4DEF276A" w:rsidR="000B148D" w:rsidRPr="003C648C" w:rsidRDefault="000B148D">
            <w:pPr>
              <w:pStyle w:val="Asctablesandfigures"/>
              <w:rPr>
                <w:rFonts w:ascii="Arial" w:hAnsi="Arial" w:cs="Arial"/>
                <w:sz w:val="20"/>
                <w:szCs w:val="20"/>
                <w:lang w:val="da-DK"/>
              </w:rPr>
            </w:pPr>
            <w:r w:rsidRPr="003C648C">
              <w:rPr>
                <w:rFonts w:ascii="Arial" w:hAnsi="Arial" w:cs="Arial"/>
                <w:sz w:val="20"/>
                <w:szCs w:val="20"/>
                <w:lang w:val="da-DK"/>
              </w:rPr>
              <w:t>(NCT02555657) Phase III</w:t>
            </w:r>
            <w:r w:rsidRPr="00CE5C68">
              <w:rPr>
                <w:rFonts w:ascii="Arial" w:hAnsi="Arial" w:cs="Arial"/>
                <w:sz w:val="20"/>
                <w:szCs w:val="20"/>
                <w:lang w:val="en-GB"/>
              </w:rPr>
              <w:fldChar w:fldCharType="begin"/>
            </w:r>
            <w:r w:rsidR="00CA6345">
              <w:rPr>
                <w:rFonts w:ascii="Arial" w:hAnsi="Arial" w:cs="Arial"/>
                <w:sz w:val="20"/>
                <w:szCs w:val="20"/>
                <w:lang w:val="da-DK"/>
              </w:rPr>
              <w:instrText xml:space="preserve"> ADDIN ZOTERO_ITEM CSL_CITATION {"citationID":"EQsQmT3e","properties":{"formattedCitation":"\\super 49\\nosupersub{}","plainCitation":"49","noteIndex":0},"citationItems":[{"id":66764,"uris":["http://zotero.org/groups/4797619/items/YX8NEWUE"],"itemData":{"id":66764,"type":"article-journal","container-title":"The Lancet Oncology","DOI":"10.1016/S1470-2045(20)30754-3","ISSN":"1470-2045, 1474-5488","issue":"4","journalAbbreviation":"The Lancet Oncology","language":"English","note":"publisher: Elsevier\nPMID: 33676601","page":"499-511","source":"www.thelancet.com","title":"Pembrolizumab versus investigator-choice chemotherapy for metastatic triple-negative breast cancer (KEYNOTE-119): a randomised, open-label, phase 3 trial","title-short":"Pembrolizumab versus investigator-choice chemotherapy for metastatic triple-negative breast cancer (KEYNOTE-119)","volume":"22","author":[{"family":"Winer","given":"Eric P."},{"family":"Lipatov","given":"Oleg"},{"family":"Im","given":"Seock-Ah"},{"family":"Goncalves","given":"Anthony"},{"family":"Muñoz-Couselo","given":"Eva"},{"family":"Lee","given":"Keun Seok"},{"family":"Schmid","given":"Peter"},{"family":"Tamura","given":"Kenji"},{"family":"Testa","given":"Laura"},{"family":"Witzel","given":"Isabell"},{"family":"Ohtani","given":"Shoichiro"},{"family":"Turner","given":"Nicholas"},{"family":"Zambelli","given":"Stefania"},{"family":"Harbeck","given":"Nadia"},{"family":"Andre","given":"Fabrice"},{"family":"Dent","given":"Rebecca"},{"family":"Zhou","given":"Xuan"},{"family":"Karantza","given":"Vassiliki"},{"family":"Mejia","given":"Jaime"},{"family":"Cortes","given":"Javier"}],"issued":{"date-parts":[["2021",4,1]]}}}],"schema":"https://github.com/citation-style-language/schema/raw/master/csl-citation.json"} </w:instrText>
            </w:r>
            <w:r w:rsidRPr="00CE5C68">
              <w:rPr>
                <w:rFonts w:ascii="Arial" w:hAnsi="Arial" w:cs="Arial"/>
                <w:sz w:val="20"/>
                <w:szCs w:val="20"/>
                <w:lang w:val="en-GB"/>
              </w:rPr>
              <w:fldChar w:fldCharType="separate"/>
            </w:r>
            <w:r w:rsidR="00FD57F4" w:rsidRPr="003C648C">
              <w:rPr>
                <w:rFonts w:ascii="Arial" w:hAnsi="Arial" w:cs="Arial"/>
                <w:sz w:val="20"/>
                <w:vertAlign w:val="superscript"/>
                <w:lang w:val="da-DK"/>
              </w:rPr>
              <w:t>49</w:t>
            </w:r>
            <w:r w:rsidRPr="00CE5C68">
              <w:rPr>
                <w:rFonts w:ascii="Arial" w:hAnsi="Arial" w:cs="Arial"/>
                <w:sz w:val="20"/>
                <w:szCs w:val="20"/>
                <w:lang w:val="en-GB"/>
              </w:rPr>
              <w:fldChar w:fldCharType="end"/>
            </w:r>
          </w:p>
        </w:tc>
        <w:tc>
          <w:tcPr>
            <w:tcW w:w="1418" w:type="dxa"/>
            <w:shd w:val="clear" w:color="auto" w:fill="auto"/>
            <w:vAlign w:val="center"/>
          </w:tcPr>
          <w:p w14:paraId="57C1B8B5"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 xml:space="preserve">KEYNOTE-119 </w:t>
            </w:r>
          </w:p>
        </w:tc>
        <w:tc>
          <w:tcPr>
            <w:tcW w:w="2410" w:type="dxa"/>
            <w:shd w:val="clear" w:color="auto" w:fill="auto"/>
            <w:vAlign w:val="center"/>
          </w:tcPr>
          <w:p w14:paraId="3DD7EDD7"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2-3</w:t>
            </w:r>
          </w:p>
        </w:tc>
        <w:tc>
          <w:tcPr>
            <w:tcW w:w="4961" w:type="dxa"/>
            <w:vAlign w:val="center"/>
          </w:tcPr>
          <w:p w14:paraId="1FCC3523"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TPC (e</w:t>
            </w:r>
            <w:r w:rsidRPr="00CE5C68">
              <w:rPr>
                <w:rFonts w:ascii="Arial" w:hAnsi="Arial" w:cs="Arial"/>
                <w:sz w:val="20"/>
                <w:szCs w:val="20"/>
                <w:lang w:val="en-GB"/>
              </w:rPr>
              <w:t>ribulin, vinorelbine, capecitabine, gemcitabine</w:t>
            </w:r>
            <w:r>
              <w:rPr>
                <w:rFonts w:ascii="Arial" w:hAnsi="Arial" w:cs="Arial"/>
                <w:sz w:val="20"/>
                <w:szCs w:val="20"/>
                <w:lang w:val="en-GB"/>
              </w:rPr>
              <w:t>)</w:t>
            </w:r>
          </w:p>
        </w:tc>
        <w:tc>
          <w:tcPr>
            <w:tcW w:w="1417" w:type="dxa"/>
            <w:vAlign w:val="center"/>
          </w:tcPr>
          <w:p w14:paraId="781F45FF"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2.3</w:t>
            </w:r>
          </w:p>
        </w:tc>
        <w:tc>
          <w:tcPr>
            <w:tcW w:w="1276" w:type="dxa"/>
            <w:vAlign w:val="center"/>
          </w:tcPr>
          <w:p w14:paraId="62CD3003"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10.8</w:t>
            </w:r>
          </w:p>
        </w:tc>
      </w:tr>
      <w:tr w:rsidR="000B148D" w:rsidRPr="00CE5C68" w14:paraId="43FF6436" w14:textId="77777777">
        <w:trPr>
          <w:trHeight w:val="20"/>
        </w:trPr>
        <w:tc>
          <w:tcPr>
            <w:cnfStyle w:val="001000000000" w:firstRow="0" w:lastRow="0" w:firstColumn="1" w:lastColumn="0" w:oddVBand="0" w:evenVBand="0" w:oddHBand="0" w:evenHBand="0" w:firstRowFirstColumn="0" w:firstRowLastColumn="0" w:lastRowFirstColumn="0" w:lastRowLastColumn="0"/>
            <w:tcW w:w="14312" w:type="dxa"/>
            <w:gridSpan w:val="6"/>
            <w:shd w:val="clear" w:color="auto" w:fill="E7E6E6" w:themeFill="background2"/>
            <w:vAlign w:val="center"/>
          </w:tcPr>
          <w:p w14:paraId="48000652" w14:textId="77777777" w:rsidR="000B148D" w:rsidRPr="00CE5C68" w:rsidRDefault="000B148D">
            <w:pPr>
              <w:pStyle w:val="Asctablesandfigures"/>
              <w:rPr>
                <w:rFonts w:ascii="Arial" w:hAnsi="Arial" w:cs="Arial"/>
                <w:sz w:val="20"/>
                <w:szCs w:val="20"/>
                <w:lang w:val="en-GB"/>
              </w:rPr>
            </w:pPr>
            <w:r w:rsidRPr="00CE5C68">
              <w:rPr>
                <w:rFonts w:ascii="Arial" w:hAnsi="Arial" w:cs="Arial"/>
                <w:sz w:val="20"/>
                <w:szCs w:val="20"/>
                <w:lang w:val="en-GB"/>
              </w:rPr>
              <w:t xml:space="preserve">HER2-negative </w:t>
            </w:r>
            <w:r>
              <w:rPr>
                <w:rFonts w:ascii="Arial" w:hAnsi="Arial" w:cs="Arial"/>
                <w:sz w:val="20"/>
                <w:szCs w:val="20"/>
                <w:lang w:val="en-GB"/>
              </w:rPr>
              <w:t>[any HR status] (HER2-low FAS for DESTINY-Breast04)</w:t>
            </w:r>
          </w:p>
        </w:tc>
      </w:tr>
      <w:tr w:rsidR="000B148D" w:rsidRPr="00CE5C68" w14:paraId="08C2138C" w14:textId="77777777">
        <w:trPr>
          <w:trHeight w:val="20"/>
        </w:trPr>
        <w:tc>
          <w:tcPr>
            <w:cnfStyle w:val="001000000000" w:firstRow="0" w:lastRow="0" w:firstColumn="1" w:lastColumn="0" w:oddVBand="0" w:evenVBand="0" w:oddHBand="0" w:evenHBand="0" w:firstRowFirstColumn="0" w:firstRowLastColumn="0" w:lastRowFirstColumn="0" w:lastRowLastColumn="0"/>
            <w:tcW w:w="2830" w:type="dxa"/>
            <w:vMerge w:val="restart"/>
            <w:shd w:val="clear" w:color="auto" w:fill="D9E2F3" w:themeFill="accent1" w:themeFillTint="33"/>
            <w:vAlign w:val="center"/>
          </w:tcPr>
          <w:p w14:paraId="37B43F17" w14:textId="44888F43" w:rsidR="000B148D" w:rsidRPr="003C648C" w:rsidRDefault="000B148D">
            <w:pPr>
              <w:pStyle w:val="Asctablesandfigures"/>
              <w:rPr>
                <w:rFonts w:ascii="Arial" w:hAnsi="Arial" w:cs="Arial"/>
                <w:sz w:val="20"/>
                <w:szCs w:val="20"/>
                <w:lang w:val="da-DK"/>
              </w:rPr>
            </w:pPr>
            <w:r w:rsidRPr="003C648C">
              <w:rPr>
                <w:rFonts w:ascii="Arial" w:hAnsi="Arial" w:cs="Arial"/>
                <w:sz w:val="20"/>
                <w:szCs w:val="20"/>
                <w:lang w:val="da-DK"/>
              </w:rPr>
              <w:t>Modi et al., 2022</w:t>
            </w:r>
            <w:r w:rsidRPr="003C648C">
              <w:rPr>
                <w:rFonts w:ascii="Arial" w:hAnsi="Arial" w:cs="Arial"/>
                <w:sz w:val="20"/>
                <w:szCs w:val="20"/>
                <w:lang w:val="da-DK"/>
              </w:rPr>
              <w:br/>
              <w:t>(NCT03734029) Phase III</w:t>
            </w:r>
            <w:r w:rsidRPr="00AF02AE">
              <w:fldChar w:fldCharType="begin"/>
            </w:r>
            <w:r w:rsidR="00CA6345">
              <w:rPr>
                <w:lang w:val="da-DK"/>
              </w:rPr>
              <w:instrText xml:space="preserve"> ADDIN ZOTERO_ITEM CSL_CITATION {"citationID":"i5xawAgE","properties":{"formattedCitation":"\\super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Pr="00AF02AE">
              <w:fldChar w:fldCharType="separate"/>
            </w:r>
            <w:r w:rsidR="00FD57F4" w:rsidRPr="003C648C">
              <w:rPr>
                <w:rFonts w:ascii="Calibri Light" w:hAnsi="Calibri Light" w:cs="Calibri Light"/>
                <w:vertAlign w:val="superscript"/>
                <w:lang w:val="da-DK"/>
              </w:rPr>
              <w:t>6</w:t>
            </w:r>
            <w:r w:rsidRPr="00AF02AE">
              <w:fldChar w:fldCharType="end"/>
            </w:r>
          </w:p>
        </w:tc>
        <w:tc>
          <w:tcPr>
            <w:tcW w:w="1418" w:type="dxa"/>
            <w:vMerge w:val="restart"/>
            <w:shd w:val="clear" w:color="auto" w:fill="D9E2F3" w:themeFill="accent1" w:themeFillTint="33"/>
            <w:vAlign w:val="center"/>
          </w:tcPr>
          <w:p w14:paraId="18E5162C"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DESTINY-Breast04</w:t>
            </w:r>
          </w:p>
        </w:tc>
        <w:tc>
          <w:tcPr>
            <w:tcW w:w="2410" w:type="dxa"/>
            <w:vMerge w:val="restart"/>
            <w:shd w:val="clear" w:color="auto" w:fill="D9E2F3" w:themeFill="accent1" w:themeFillTint="33"/>
            <w:vAlign w:val="center"/>
          </w:tcPr>
          <w:p w14:paraId="27904E08"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2-3</w:t>
            </w:r>
          </w:p>
        </w:tc>
        <w:tc>
          <w:tcPr>
            <w:tcW w:w="4961" w:type="dxa"/>
            <w:shd w:val="clear" w:color="auto" w:fill="D9E2F3" w:themeFill="accent1" w:themeFillTint="33"/>
            <w:vAlign w:val="center"/>
          </w:tcPr>
          <w:p w14:paraId="660E5DA6"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T-DXd</w:t>
            </w:r>
          </w:p>
        </w:tc>
        <w:tc>
          <w:tcPr>
            <w:tcW w:w="1417" w:type="dxa"/>
            <w:shd w:val="clear" w:color="auto" w:fill="D9E2F3" w:themeFill="accent1" w:themeFillTint="33"/>
            <w:vAlign w:val="center"/>
          </w:tcPr>
          <w:p w14:paraId="502B93DA"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9.9</w:t>
            </w:r>
          </w:p>
        </w:tc>
        <w:tc>
          <w:tcPr>
            <w:tcW w:w="1276" w:type="dxa"/>
            <w:shd w:val="clear" w:color="auto" w:fill="D9E2F3" w:themeFill="accent1" w:themeFillTint="33"/>
            <w:vAlign w:val="center"/>
          </w:tcPr>
          <w:p w14:paraId="32D3F746"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23.4</w:t>
            </w:r>
          </w:p>
        </w:tc>
      </w:tr>
      <w:tr w:rsidR="000B148D" w:rsidRPr="00CE5C68" w14:paraId="210973C3" w14:textId="77777777">
        <w:trPr>
          <w:trHeight w:val="20"/>
        </w:trPr>
        <w:tc>
          <w:tcPr>
            <w:cnfStyle w:val="001000000000" w:firstRow="0" w:lastRow="0" w:firstColumn="1" w:lastColumn="0" w:oddVBand="0" w:evenVBand="0" w:oddHBand="0" w:evenHBand="0" w:firstRowFirstColumn="0" w:firstRowLastColumn="0" w:lastRowFirstColumn="0" w:lastRowLastColumn="0"/>
            <w:tcW w:w="2830" w:type="dxa"/>
            <w:vMerge/>
            <w:shd w:val="clear" w:color="auto" w:fill="D9E2F3" w:themeFill="accent1" w:themeFillTint="33"/>
            <w:vAlign w:val="center"/>
          </w:tcPr>
          <w:p w14:paraId="1874908B" w14:textId="77777777" w:rsidR="000B148D" w:rsidRPr="00CE5C68" w:rsidRDefault="000B148D">
            <w:pPr>
              <w:pStyle w:val="Asctablesandfigures"/>
              <w:rPr>
                <w:rFonts w:ascii="Arial" w:hAnsi="Arial" w:cs="Arial"/>
                <w:sz w:val="20"/>
                <w:szCs w:val="20"/>
                <w:lang w:val="en-GB"/>
              </w:rPr>
            </w:pPr>
          </w:p>
        </w:tc>
        <w:tc>
          <w:tcPr>
            <w:tcW w:w="1418" w:type="dxa"/>
            <w:vMerge/>
            <w:shd w:val="clear" w:color="auto" w:fill="D9E2F3" w:themeFill="accent1" w:themeFillTint="33"/>
            <w:vAlign w:val="center"/>
          </w:tcPr>
          <w:p w14:paraId="4AD9DE31"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p>
        </w:tc>
        <w:tc>
          <w:tcPr>
            <w:tcW w:w="2410" w:type="dxa"/>
            <w:vMerge/>
            <w:shd w:val="clear" w:color="auto" w:fill="D9E2F3" w:themeFill="accent1" w:themeFillTint="33"/>
            <w:vAlign w:val="center"/>
          </w:tcPr>
          <w:p w14:paraId="232DD266"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p>
        </w:tc>
        <w:tc>
          <w:tcPr>
            <w:tcW w:w="4961" w:type="dxa"/>
            <w:shd w:val="clear" w:color="auto" w:fill="D9E2F3" w:themeFill="accent1" w:themeFillTint="33"/>
            <w:vAlign w:val="center"/>
          </w:tcPr>
          <w:p w14:paraId="2FED494E"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TPC (eribulin, capecitabine, nab-paclitaxel, gemcitabine, paclitaxel)</w:t>
            </w:r>
          </w:p>
        </w:tc>
        <w:tc>
          <w:tcPr>
            <w:tcW w:w="1417" w:type="dxa"/>
            <w:shd w:val="clear" w:color="auto" w:fill="D9E2F3" w:themeFill="accent1" w:themeFillTint="33"/>
            <w:vAlign w:val="center"/>
          </w:tcPr>
          <w:p w14:paraId="3D21FC4B"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5.1</w:t>
            </w:r>
          </w:p>
        </w:tc>
        <w:tc>
          <w:tcPr>
            <w:tcW w:w="1276" w:type="dxa"/>
            <w:shd w:val="clear" w:color="auto" w:fill="D9E2F3" w:themeFill="accent1" w:themeFillTint="33"/>
            <w:vAlign w:val="center"/>
          </w:tcPr>
          <w:p w14:paraId="5BD8A39C"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16.8</w:t>
            </w:r>
          </w:p>
        </w:tc>
      </w:tr>
      <w:tr w:rsidR="000B148D" w:rsidRPr="00CE5C68" w14:paraId="57FF0B99" w14:textId="77777777">
        <w:trPr>
          <w:trHeight w:val="20"/>
        </w:trPr>
        <w:tc>
          <w:tcPr>
            <w:cnfStyle w:val="001000000000" w:firstRow="0" w:lastRow="0" w:firstColumn="1" w:lastColumn="0" w:oddVBand="0" w:evenVBand="0" w:oddHBand="0" w:evenHBand="0" w:firstRowFirstColumn="0" w:firstRowLastColumn="0" w:lastRowFirstColumn="0" w:lastRowLastColumn="0"/>
            <w:tcW w:w="2830" w:type="dxa"/>
            <w:vMerge w:val="restart"/>
            <w:shd w:val="clear" w:color="auto" w:fill="F2F2F2" w:themeFill="background1" w:themeFillShade="F2"/>
            <w:vAlign w:val="center"/>
          </w:tcPr>
          <w:p w14:paraId="02AABC63" w14:textId="77777777" w:rsidR="000B148D" w:rsidRPr="003C648C" w:rsidRDefault="000B148D">
            <w:pPr>
              <w:pStyle w:val="Asctablesandfigures"/>
              <w:rPr>
                <w:rFonts w:ascii="Arial" w:hAnsi="Arial" w:cs="Arial"/>
                <w:sz w:val="20"/>
                <w:szCs w:val="20"/>
                <w:lang w:val="fr-FR"/>
              </w:rPr>
            </w:pPr>
            <w:r w:rsidRPr="003C648C">
              <w:rPr>
                <w:rFonts w:ascii="Arial" w:hAnsi="Arial" w:cs="Arial"/>
                <w:sz w:val="20"/>
                <w:szCs w:val="20"/>
                <w:lang w:val="fr-FR"/>
              </w:rPr>
              <w:t xml:space="preserve">Claessens et al., 2019 </w:t>
            </w:r>
          </w:p>
          <w:p w14:paraId="6B09CC72" w14:textId="2357938B" w:rsidR="000B148D" w:rsidRPr="00AD0AA9" w:rsidRDefault="000B148D">
            <w:pPr>
              <w:pStyle w:val="Asctablesandfigures"/>
              <w:rPr>
                <w:rFonts w:ascii="Arial" w:hAnsi="Arial" w:cs="Arial"/>
                <w:b w:val="0"/>
                <w:bCs w:val="0"/>
                <w:sz w:val="20"/>
                <w:szCs w:val="20"/>
                <w:lang w:val="en-GB"/>
              </w:rPr>
            </w:pPr>
            <w:r w:rsidRPr="003C648C">
              <w:rPr>
                <w:rFonts w:ascii="Arial" w:hAnsi="Arial" w:cs="Arial"/>
                <w:sz w:val="20"/>
                <w:szCs w:val="20"/>
                <w:lang w:val="fr-FR"/>
              </w:rPr>
              <w:t>(NR) Phase III</w:t>
            </w:r>
            <w:r w:rsidRPr="00CE5C68">
              <w:rPr>
                <w:rFonts w:ascii="Arial" w:hAnsi="Arial" w:cs="Arial"/>
                <w:sz w:val="20"/>
                <w:szCs w:val="20"/>
                <w:lang w:val="en-GB"/>
              </w:rPr>
              <w:fldChar w:fldCharType="begin"/>
            </w:r>
            <w:r w:rsidR="00CA6345">
              <w:rPr>
                <w:rFonts w:ascii="Arial" w:hAnsi="Arial" w:cs="Arial"/>
                <w:sz w:val="20"/>
                <w:szCs w:val="20"/>
                <w:lang w:val="fr-FR"/>
              </w:rPr>
              <w:instrText xml:space="preserve"> ADDIN ZOTERO_ITEM CSL_CITATION {"citationID":"nXK5dCfx","properties":{"formattedCitation":"\\super 52\\nosupersub{}","plainCitation":"52","noteIndex":0},"citationItems":[{"id":66766,"uris":["http://zotero.org/groups/4797619/items/9JHDBM4N"],"itemData":{"id":66766,"type":"article-journal","abstract":"Background: Previously, we showed that reintroduction of the same (first-line) chemotherapy at progression could only partially make up for the loss in efficacy as compared to continuously delivered first-line chemotherapy. Here, we report the probability of starting second-line study chemotherapy in the Stop&amp;Go trial, and the progression-free survival (PFS) and overall survival (OS) of patients who received both the first- and second-line treatment in an intermittent versus continuous schedule.Methods: First-line chemotherapy comprised paclitaxel plus bevacizumab, second-line capecitabine or non-pegylated liposomal doxorubicin, given per treatment line as two times four cycles (intermittent) or as eight consecutive cycles (continuous).Results: Of the 420 patients who started first-line treatment within the Stop&amp;Go trial (210:210), a total of 270 patients continued on second-line study treatment (64% of all), which consisted of capecitabine in 201 patients and of non-pegylated liposomal doxorubicin in 69 patients, evenly distributed between the treatment arms. Median PFS was 3.7 versus 5.0 months (HR 1.07; 95% CI: 0.82–1.38) and median OS 10.9 versus 12.4 months (HR 1.27; 95% CI: 0.98–1.66) for intermittent versus continuous second-line chemotherapy. Second-line PFS was positively influenced by prior hormonal therapy for metastatic disease and longer first-line PFS duration, while triple-negative tumor status had a negative influence. Patients with a shorter time to progression (TTP) in first-line (≤10 months) had a higher probability of starting second-line treatment if they received intermittent compared to continuous chemotherapy (OR 1.97; 95% CI: 1.02–3.80).Conclusion: We recommend continuous scheduling of both the first- and second-line chemotherapy for advanced breast cancer.","container-title":"Acta Oncologica","DOI":"10.1080/0284186X.2020.1731923","ISSN":"0284-186X","issue":"6","note":"publisher: Taylor &amp; Francis\n_eprint: https://doi.org/10.1080/0284186X.2020.1731923\nPMID: 32141389","page":"713-722","source":"Taylor and Francis+NEJM","title":"Secondary analyses of the randomized phase III Stop&amp;Go study: efficacy of second-line intermittent versus continuous chemotherapy in HER2-negative advanced breast cancer","title-short":"Secondary analyses of the randomized phase III Stop&amp;Go study","volume":"59","author":[{"family":"Claessens","given":"Anouk K. M."},{"family":"Erdkamp","given":"Frans L. G."},{"family":"Lopez-Yurda","given":"Marta"},{"family":"Bouma","given":"Jeanette M."},{"family":"Rademaker-Lakhai","given":"Jeany M."},{"family":"Honkoop","given":"Aafke H."},{"family":"Graaf","given":"Hiltje","non-dropping-particle":"de"},{"family":"Tjan-Heijnen","given":"Vivianne C. G."},{"family":"Bos","given":"Monique E. M. M."}],"issued":{"date-parts":[["2020",6,2]]}}}],"schema":"https://github.com/citation-style-language/schema/raw/master/csl-citation.json"} </w:instrText>
            </w:r>
            <w:r w:rsidRPr="00CE5C68">
              <w:rPr>
                <w:rFonts w:ascii="Arial" w:hAnsi="Arial" w:cs="Arial"/>
                <w:sz w:val="20"/>
                <w:szCs w:val="20"/>
                <w:lang w:val="en-GB"/>
              </w:rPr>
              <w:fldChar w:fldCharType="separate"/>
            </w:r>
            <w:r w:rsidR="00FD57F4" w:rsidRPr="00FD57F4">
              <w:rPr>
                <w:rFonts w:ascii="Arial" w:hAnsi="Arial" w:cs="Arial"/>
                <w:sz w:val="20"/>
                <w:vertAlign w:val="superscript"/>
              </w:rPr>
              <w:t>52</w:t>
            </w:r>
            <w:r w:rsidRPr="00CE5C68">
              <w:rPr>
                <w:rFonts w:ascii="Arial" w:hAnsi="Arial" w:cs="Arial"/>
                <w:sz w:val="20"/>
                <w:szCs w:val="20"/>
                <w:lang w:val="en-GB"/>
              </w:rPr>
              <w:fldChar w:fldCharType="end"/>
            </w:r>
          </w:p>
        </w:tc>
        <w:tc>
          <w:tcPr>
            <w:tcW w:w="1418" w:type="dxa"/>
            <w:vMerge w:val="restart"/>
            <w:shd w:val="clear" w:color="auto" w:fill="auto"/>
            <w:vAlign w:val="center"/>
          </w:tcPr>
          <w:p w14:paraId="71F5313E"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Stop&amp;Go</w:t>
            </w:r>
          </w:p>
        </w:tc>
        <w:tc>
          <w:tcPr>
            <w:tcW w:w="2410" w:type="dxa"/>
            <w:vMerge w:val="restart"/>
            <w:shd w:val="clear" w:color="auto" w:fill="auto"/>
            <w:vAlign w:val="center"/>
          </w:tcPr>
          <w:p w14:paraId="666F03CB"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2</w:t>
            </w:r>
          </w:p>
        </w:tc>
        <w:tc>
          <w:tcPr>
            <w:tcW w:w="4961" w:type="dxa"/>
            <w:vAlign w:val="center"/>
          </w:tcPr>
          <w:p w14:paraId="4BF16EB8"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Capecitabine (intermittent)</w:t>
            </w:r>
          </w:p>
        </w:tc>
        <w:tc>
          <w:tcPr>
            <w:tcW w:w="1417" w:type="dxa"/>
            <w:vAlign w:val="center"/>
          </w:tcPr>
          <w:p w14:paraId="083158DF"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3.7</w:t>
            </w:r>
          </w:p>
        </w:tc>
        <w:tc>
          <w:tcPr>
            <w:tcW w:w="1276" w:type="dxa"/>
            <w:vAlign w:val="center"/>
          </w:tcPr>
          <w:p w14:paraId="682B1630"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10.9</w:t>
            </w:r>
          </w:p>
        </w:tc>
      </w:tr>
      <w:tr w:rsidR="000B148D" w:rsidRPr="00CE5C68" w14:paraId="5F1EC9D8" w14:textId="77777777">
        <w:trPr>
          <w:trHeight w:val="20"/>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6E6CD674" w14:textId="77777777" w:rsidR="000B148D" w:rsidRPr="00CE5C68" w:rsidRDefault="000B148D">
            <w:pPr>
              <w:pStyle w:val="Asctablesandfigures"/>
              <w:rPr>
                <w:rFonts w:ascii="Arial" w:hAnsi="Arial" w:cs="Arial"/>
                <w:sz w:val="20"/>
                <w:szCs w:val="20"/>
                <w:lang w:val="en-GB"/>
              </w:rPr>
            </w:pPr>
          </w:p>
        </w:tc>
        <w:tc>
          <w:tcPr>
            <w:tcW w:w="1418" w:type="dxa"/>
            <w:vMerge/>
            <w:shd w:val="clear" w:color="auto" w:fill="auto"/>
            <w:vAlign w:val="center"/>
          </w:tcPr>
          <w:p w14:paraId="606C133B"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p>
        </w:tc>
        <w:tc>
          <w:tcPr>
            <w:tcW w:w="2410" w:type="dxa"/>
            <w:vMerge/>
            <w:shd w:val="clear" w:color="auto" w:fill="auto"/>
            <w:vAlign w:val="center"/>
          </w:tcPr>
          <w:p w14:paraId="2D2A9846"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p>
        </w:tc>
        <w:tc>
          <w:tcPr>
            <w:tcW w:w="4961" w:type="dxa"/>
            <w:vAlign w:val="center"/>
          </w:tcPr>
          <w:p w14:paraId="5620871A"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Capecitabine (continuous)</w:t>
            </w:r>
          </w:p>
        </w:tc>
        <w:tc>
          <w:tcPr>
            <w:tcW w:w="1417" w:type="dxa"/>
            <w:vAlign w:val="center"/>
          </w:tcPr>
          <w:p w14:paraId="38EBC9D6"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5.0</w:t>
            </w:r>
          </w:p>
        </w:tc>
        <w:tc>
          <w:tcPr>
            <w:tcW w:w="1276" w:type="dxa"/>
            <w:vAlign w:val="center"/>
          </w:tcPr>
          <w:p w14:paraId="48AAE4F8"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12.4</w:t>
            </w:r>
          </w:p>
        </w:tc>
      </w:tr>
      <w:tr w:rsidR="000B148D" w:rsidRPr="00CE5C68" w14:paraId="658077BD" w14:textId="77777777">
        <w:trPr>
          <w:trHeight w:val="20"/>
        </w:trPr>
        <w:tc>
          <w:tcPr>
            <w:cnfStyle w:val="001000000000" w:firstRow="0" w:lastRow="0" w:firstColumn="1" w:lastColumn="0" w:oddVBand="0" w:evenVBand="0" w:oddHBand="0" w:evenHBand="0" w:firstRowFirstColumn="0" w:firstRowLastColumn="0" w:lastRowFirstColumn="0" w:lastRowLastColumn="0"/>
            <w:tcW w:w="2830" w:type="dxa"/>
            <w:shd w:val="clear" w:color="auto" w:fill="F2F2F2" w:themeFill="background1" w:themeFillShade="F2"/>
            <w:vAlign w:val="center"/>
          </w:tcPr>
          <w:p w14:paraId="3B3255CF" w14:textId="77777777" w:rsidR="000B148D" w:rsidRPr="00CE5C68" w:rsidRDefault="000B148D">
            <w:pPr>
              <w:pStyle w:val="Asctablesandfigures"/>
              <w:rPr>
                <w:rFonts w:ascii="Arial" w:hAnsi="Arial" w:cs="Arial"/>
                <w:sz w:val="20"/>
                <w:szCs w:val="20"/>
                <w:lang w:val="en-GB"/>
              </w:rPr>
            </w:pPr>
            <w:r w:rsidRPr="00CE5C68">
              <w:rPr>
                <w:rFonts w:ascii="Arial" w:hAnsi="Arial" w:cs="Arial"/>
                <w:sz w:val="20"/>
                <w:szCs w:val="20"/>
                <w:lang w:val="en-GB"/>
              </w:rPr>
              <w:lastRenderedPageBreak/>
              <w:t xml:space="preserve">Brufsky et al., 2011* </w:t>
            </w:r>
          </w:p>
          <w:p w14:paraId="1512C716" w14:textId="354F6451" w:rsidR="000B148D" w:rsidRPr="00CE5C68" w:rsidRDefault="000B148D">
            <w:pPr>
              <w:pStyle w:val="Asctablesandfigures"/>
              <w:rPr>
                <w:rFonts w:ascii="Arial" w:hAnsi="Arial" w:cs="Arial"/>
                <w:sz w:val="20"/>
                <w:szCs w:val="20"/>
                <w:lang w:val="en-GB"/>
              </w:rPr>
            </w:pPr>
            <w:r w:rsidRPr="00E97494">
              <w:rPr>
                <w:rFonts w:ascii="Arial" w:hAnsi="Arial" w:cs="Arial"/>
                <w:sz w:val="20"/>
                <w:szCs w:val="20"/>
                <w:lang w:val="en-GB"/>
              </w:rPr>
              <w:t>(NCT00281697) Phase III</w:t>
            </w:r>
            <w:r w:rsidRPr="00CE5C68">
              <w:rPr>
                <w:rFonts w:ascii="Arial" w:hAnsi="Arial" w:cs="Arial"/>
                <w:sz w:val="20"/>
                <w:szCs w:val="20"/>
                <w:lang w:val="en-GB"/>
              </w:rPr>
              <w:fldChar w:fldCharType="begin"/>
            </w:r>
            <w:r w:rsidR="00CA6345">
              <w:rPr>
                <w:rFonts w:ascii="Arial" w:hAnsi="Arial" w:cs="Arial"/>
                <w:sz w:val="20"/>
                <w:szCs w:val="20"/>
                <w:lang w:val="en-GB"/>
              </w:rPr>
              <w:instrText xml:space="preserve"> ADDIN ZOTERO_ITEM CSL_CITATION {"citationID":"vzxrGwoA","properties":{"formattedCitation":"\\super 53\\nosupersub{}","plainCitation":"53","noteIndex":0},"citationItems":[{"id":66756,"uris":["http://zotero.org/groups/4797619/items/97GZ44K7"],"itemData":{"id":66756,"type":"article-journal","abstract":"PURPOSE: This phase III study compared the efficacy and safety of bevacizumab combined with standard chemotherapy regimens versus chemotherapy alone as second-line treatment of patients with human epidermal growth factor receptor 2 (HER2) -negative metastatic breast cancer.\nPATIENTS AND METHODS: Patients were randomly assigned 2:1 to chemotherapy + bevacizumab or to chemotherapy + placebo. Before random assignment, investigators chose capecitabine, a taxane (paclitaxel, nab-paclitaxel, or docetaxel), gemcitabine, or vinorelbine. Dosing for bevacizumab or placebo was 15 mg/kg every 3 weeks or 10 mg/kg every 2 weeks, depending on chemotherapy regimen. The primary end point was progression-free survival (PFS). Secondary end points included overall survival, PFS by chemotherapy cohort, objective response rate (ORR), duration of objective response, 1-year survival rate, and safety.\nRESULTS: RIBBON-2 enrolled 684 patients (225, chemotherapy + placebo; 459, chemotherapy + bevacizumab). The combination of bevacizumab with chemotherapy demonstrated a statistically significant benefit. Median PFS increased from 5.1 to 7.2 months (stratified hazard ratio for PFS, 0.78; 95% CI, 0.64 to 0.93; P = .0072). The 10% improvement in ORR between the placebo- and bevacizumab-containing arms (39.5% v 29.6%; P = .0193), although not statistically significant, was consistent with previous trials. There was no statistically significant difference in overall survival. The most common grade ≥ 3 adverse events (AEs) related to bevacizumab treatment were hypertension (9.0%) and proteinuria (3.1%). There was an increased number of AEs leading to study discontinuation in the chemotherapy + bevacizumab arm compared with the chemotherapy + placebo arm (13.3% v 7.2%).\nCONCLUSION: The combination of bevacizumab with commonly used chemotherapies improved PFS in the second-line treatment of patients with HER2-negative metastatic breast cancer, with a safety profile comparable with that in prior phase III studies.","container-title":"Journal of Clinical Oncology: Official Journal of the American Society of Clinical Oncology","DOI":"10.1200/JCO.2010.34.1255","ISSN":"1527-7755","issue":"32","journalAbbreviation":"J Clin Oncol","language":"eng","note":"PMID: 21990397","page":"4286-4293","source":"PubMed","title":"RIBBON-2: a randomized, double-blind, placebo-controlled, phase III trial evaluating the efficacy and safety of bevacizumab in combination with chemotherapy for second-line treatment of human epidermal growth factor receptor 2-negative metastatic breast cancer","title-short":"RIBBON-2","volume":"29","author":[{"family":"Brufsky","given":"Adam M."},{"family":"Hurvitz","given":"Sara"},{"family":"Perez","given":"Edith"},{"family":"Swamy","given":"Raji"},{"family":"Valero","given":"Vicente"},{"family":"O'Neill","given":"Vincent"},{"family":"Rugo","given":"Hope S."}],"issued":{"date-parts":[["2011",11,10]]}}}],"schema":"https://github.com/citation-style-language/schema/raw/master/csl-citation.json"} </w:instrText>
            </w:r>
            <w:r w:rsidRPr="00CE5C68">
              <w:rPr>
                <w:rFonts w:ascii="Arial" w:hAnsi="Arial" w:cs="Arial"/>
                <w:sz w:val="20"/>
                <w:szCs w:val="20"/>
                <w:lang w:val="en-GB"/>
              </w:rPr>
              <w:fldChar w:fldCharType="separate"/>
            </w:r>
            <w:r w:rsidR="00FD57F4" w:rsidRPr="00F710CB">
              <w:rPr>
                <w:rFonts w:ascii="Arial" w:hAnsi="Arial" w:cs="Arial"/>
                <w:sz w:val="20"/>
                <w:vertAlign w:val="superscript"/>
                <w:lang w:val="en-GB"/>
              </w:rPr>
              <w:t>53</w:t>
            </w:r>
            <w:r w:rsidRPr="00CE5C68">
              <w:rPr>
                <w:rFonts w:ascii="Arial" w:hAnsi="Arial" w:cs="Arial"/>
                <w:sz w:val="20"/>
                <w:szCs w:val="20"/>
                <w:lang w:val="en-GB"/>
              </w:rPr>
              <w:fldChar w:fldCharType="end"/>
            </w:r>
            <w:r w:rsidRPr="00074F26">
              <w:rPr>
                <w:rFonts w:ascii="Arial" w:hAnsi="Arial" w:cs="Arial"/>
                <w:sz w:val="20"/>
                <w:szCs w:val="20"/>
                <w:lang w:val="en-GB"/>
              </w:rPr>
              <w:t xml:space="preserve"> </w:t>
            </w:r>
          </w:p>
        </w:tc>
        <w:tc>
          <w:tcPr>
            <w:tcW w:w="1418" w:type="dxa"/>
            <w:shd w:val="clear" w:color="auto" w:fill="auto"/>
            <w:vAlign w:val="center"/>
          </w:tcPr>
          <w:p w14:paraId="0C6C4527"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RIBBON-2</w:t>
            </w:r>
          </w:p>
        </w:tc>
        <w:tc>
          <w:tcPr>
            <w:tcW w:w="2410" w:type="dxa"/>
            <w:shd w:val="clear" w:color="auto" w:fill="auto"/>
            <w:vAlign w:val="center"/>
          </w:tcPr>
          <w:p w14:paraId="30A59873"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2</w:t>
            </w:r>
          </w:p>
        </w:tc>
        <w:tc>
          <w:tcPr>
            <w:tcW w:w="4961" w:type="dxa"/>
            <w:vAlign w:val="center"/>
          </w:tcPr>
          <w:p w14:paraId="5BD63EDB"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TPC (c</w:t>
            </w:r>
            <w:r w:rsidRPr="00CE5C68">
              <w:rPr>
                <w:rFonts w:ascii="Arial" w:hAnsi="Arial" w:cs="Arial"/>
                <w:sz w:val="20"/>
                <w:szCs w:val="20"/>
                <w:lang w:val="en-GB"/>
              </w:rPr>
              <w:t>apecitabine, docetaxel, nab-paclitaxel, paclitaxel, gemcitabine, vinorelbine</w:t>
            </w:r>
            <w:r>
              <w:rPr>
                <w:rFonts w:ascii="Arial" w:hAnsi="Arial" w:cs="Arial"/>
                <w:sz w:val="20"/>
                <w:szCs w:val="20"/>
                <w:lang w:val="en-GB"/>
              </w:rPr>
              <w:t>)</w:t>
            </w:r>
          </w:p>
        </w:tc>
        <w:tc>
          <w:tcPr>
            <w:tcW w:w="1417" w:type="dxa"/>
            <w:vAlign w:val="center"/>
          </w:tcPr>
          <w:p w14:paraId="4536318C"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5.1</w:t>
            </w:r>
          </w:p>
        </w:tc>
        <w:tc>
          <w:tcPr>
            <w:tcW w:w="1276" w:type="dxa"/>
            <w:vAlign w:val="center"/>
          </w:tcPr>
          <w:p w14:paraId="4B17A778"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16.4</w:t>
            </w:r>
          </w:p>
        </w:tc>
      </w:tr>
      <w:tr w:rsidR="000B148D" w:rsidRPr="00CE5C68" w14:paraId="3DB811AF" w14:textId="77777777">
        <w:trPr>
          <w:trHeight w:val="20"/>
        </w:trPr>
        <w:tc>
          <w:tcPr>
            <w:cnfStyle w:val="001000000000" w:firstRow="0" w:lastRow="0" w:firstColumn="1" w:lastColumn="0" w:oddVBand="0" w:evenVBand="0" w:oddHBand="0" w:evenHBand="0" w:firstRowFirstColumn="0" w:firstRowLastColumn="0" w:lastRowFirstColumn="0" w:lastRowLastColumn="0"/>
            <w:tcW w:w="2830" w:type="dxa"/>
            <w:shd w:val="clear" w:color="auto" w:fill="F2F2F2" w:themeFill="background1" w:themeFillShade="F2"/>
            <w:vAlign w:val="center"/>
          </w:tcPr>
          <w:p w14:paraId="0C7E8300" w14:textId="77777777" w:rsidR="000B148D" w:rsidRPr="00CE5C68" w:rsidRDefault="000B148D">
            <w:pPr>
              <w:pStyle w:val="Asctablesandfigures"/>
              <w:rPr>
                <w:rFonts w:ascii="Arial" w:hAnsi="Arial" w:cs="Arial"/>
                <w:b w:val="0"/>
                <w:bCs w:val="0"/>
                <w:sz w:val="20"/>
                <w:szCs w:val="20"/>
                <w:lang w:val="en-GB"/>
              </w:rPr>
            </w:pPr>
            <w:r w:rsidRPr="00CE5C68">
              <w:rPr>
                <w:rFonts w:ascii="Arial" w:hAnsi="Arial" w:cs="Arial"/>
                <w:sz w:val="20"/>
                <w:szCs w:val="20"/>
                <w:lang w:val="en-GB"/>
              </w:rPr>
              <w:t xml:space="preserve">Decker et al., 2019* </w:t>
            </w:r>
          </w:p>
          <w:p w14:paraId="6C745BB5" w14:textId="38101E2A" w:rsidR="000B148D" w:rsidRPr="00CE5C68" w:rsidRDefault="000B148D">
            <w:pPr>
              <w:pStyle w:val="Asctablesandfigures"/>
              <w:rPr>
                <w:rFonts w:ascii="Arial" w:hAnsi="Arial" w:cs="Arial"/>
                <w:sz w:val="20"/>
                <w:szCs w:val="20"/>
                <w:lang w:val="en-GB"/>
              </w:rPr>
            </w:pPr>
            <w:r w:rsidRPr="00074F26">
              <w:rPr>
                <w:rFonts w:ascii="Arial" w:hAnsi="Arial" w:cs="Arial"/>
                <w:sz w:val="20"/>
                <w:szCs w:val="20"/>
                <w:lang w:val="en-GB"/>
              </w:rPr>
              <w:t>(NCT01520103) Phase II</w:t>
            </w:r>
            <w:r w:rsidRPr="00CE5C68">
              <w:rPr>
                <w:rFonts w:ascii="Arial" w:hAnsi="Arial" w:cs="Arial"/>
                <w:sz w:val="20"/>
                <w:szCs w:val="20"/>
                <w:lang w:val="en-GB"/>
              </w:rPr>
              <w:fldChar w:fldCharType="begin"/>
            </w:r>
            <w:r w:rsidR="00CA6345">
              <w:rPr>
                <w:rFonts w:ascii="Arial" w:hAnsi="Arial" w:cs="Arial"/>
                <w:sz w:val="20"/>
                <w:szCs w:val="20"/>
                <w:lang w:val="en-GB"/>
              </w:rPr>
              <w:instrText xml:space="preserve"> ADDIN ZOTERO_ITEM CSL_CITATION {"citationID":"oVv3KdAI","properties":{"formattedCitation":"\\super 121\\nosupersub{}","plainCitation":"121","dontUpdate":true,"noteIndex":0},"citationItems":[{"id":66146,"uris":["http://zotero.org/groups/4797619/items/CXIIHEH4"],"itemData":{"id":66146,"type":"article-journal","abstract":"PURPOSE: Improving the outcome of patients with HER2-negative metastatic breast cancer experiencing tumour progression following first-line chemotherapy remains an urgent medical need. The purpose of the VicTORia trial was to show superiority of everolimus in combination with vinorelbine versus vinorelbine monotherapy as second-line chemotherapy for patients with advanced HER2 negative breast cancer.\nMETHODS: In this randomised phase II trial, 133 patients were recruited in 32 centres in Germany. Patients were randomised 1:1 to second-line chemotherapy either with vinorelbine plus everolimus (arm1) or vinorelbine alone (arm2). Primary endpoint was progression-free survival (PFS). Secondary endpoints were PFS rate at 6 months, overall survival (OS), overall response rate (ORR) and safety. Baseline PI3 K mutational status was determined in plasma samples.\nRESULTS: Median progression-free survival was not different between arms (arm1 vs. arm2: 4.01 months, 95% CI 2.40-6.09 vs. 4.08, 95% CI 2.80-5.33). PFS rate at 6 months (arm1 vs. arm2: 39.4%, 95% CI 27.6-50.9% vs. 36.6%, 95% CI 24.6-48.6%), median OS (arm1 vs. arm2: 16.3 months, 95% CI 11.4-19.0 vs. 13.8 months, 95% CI 10.2-19.1) and ORR were not different between arms. Most frequent grade 3/4 adverse events were neutropenia (50% vs. 40%), gastrointestinal toxicities (19.1% vs. 6.1%), and infections (19.1% vs. 7.7%). PI3 K mutational status was neither associated with PFS nor with OS.\nCONCLUSION: Although well tolerated, the efficacy of everolimus and vinorelbine combination therapy was not superior to vinorelbine monotherapy. There was no correlation between PI3 K mutational status and efficacy. EudracCT No 2011-001024-38, ClinicalTrials.gov No NCT01520103.","container-title":"Breast Cancer Research and Treatment","DOI":"10.1007/s10549-019-05280-2","ISSN":"1573-7217","issue":"3","journalAbbreviation":"Breast Cancer Res Treat","language":"eng","note":"PMID: 31115844","page":"637-647","source":"PubMed","title":"VicTORia: a randomised phase II study to compare vinorelbine in combination with the mTOR inhibitor everolimus versus vinorelbine monotherapy for second-line chemotherapy in advanced HER2-negative breast cancer","title-short":"VicTORia","volume":"176","author":[{"family":"Decker","given":"Thomas"},{"family":"Marschner","given":"Norbert"},{"family":"Muendlein","given":"Axel"},{"family":"Welt","given":"Anja"},{"family":"Hagen","given":"Volker"},{"family":"Rauh","given":"Jaqueline"},{"family":"Schröder","given":"Helge"},{"family":"Jaehnig","given":"Peter"},{"family":"Potthoff","given":"Karin"},{"family":"Lerchenmüller","given":"Christian"}],"issued":{"date-parts":[["2019",8]]}}}],"schema":"https://github.com/citation-style-language/schema/raw/master/csl-citation.json"} </w:instrText>
            </w:r>
            <w:r w:rsidRPr="00CE5C68">
              <w:rPr>
                <w:rFonts w:ascii="Arial" w:hAnsi="Arial" w:cs="Arial"/>
                <w:sz w:val="20"/>
                <w:szCs w:val="20"/>
                <w:lang w:val="en-GB"/>
              </w:rPr>
              <w:fldChar w:fldCharType="separate"/>
            </w:r>
            <w:r w:rsidRPr="00CE5C68">
              <w:rPr>
                <w:rFonts w:ascii="Arial" w:hAnsi="Arial" w:cs="Arial"/>
                <w:sz w:val="20"/>
                <w:szCs w:val="20"/>
                <w:lang w:val="en-GB"/>
              </w:rPr>
              <w:fldChar w:fldCharType="end"/>
            </w:r>
          </w:p>
        </w:tc>
        <w:tc>
          <w:tcPr>
            <w:tcW w:w="1418" w:type="dxa"/>
            <w:shd w:val="clear" w:color="auto" w:fill="auto"/>
            <w:vAlign w:val="center"/>
          </w:tcPr>
          <w:p w14:paraId="46EF1E3F" w14:textId="77777777" w:rsidR="000B148D" w:rsidRPr="0068438F"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lang w:val="en-GB"/>
              </w:rPr>
            </w:pPr>
            <w:r w:rsidRPr="00CE5C68">
              <w:rPr>
                <w:rFonts w:ascii="Arial" w:hAnsi="Arial" w:cs="Arial"/>
                <w:sz w:val="20"/>
                <w:szCs w:val="20"/>
                <w:lang w:val="en-GB"/>
              </w:rPr>
              <w:t>VicTORia</w:t>
            </w:r>
          </w:p>
        </w:tc>
        <w:tc>
          <w:tcPr>
            <w:tcW w:w="2410" w:type="dxa"/>
            <w:shd w:val="clear" w:color="auto" w:fill="auto"/>
            <w:vAlign w:val="center"/>
          </w:tcPr>
          <w:p w14:paraId="5E683B84"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2</w:t>
            </w:r>
          </w:p>
        </w:tc>
        <w:tc>
          <w:tcPr>
            <w:tcW w:w="4961" w:type="dxa"/>
            <w:vAlign w:val="center"/>
          </w:tcPr>
          <w:p w14:paraId="5FC00E9E"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Vinorelbine</w:t>
            </w:r>
          </w:p>
        </w:tc>
        <w:tc>
          <w:tcPr>
            <w:tcW w:w="1417" w:type="dxa"/>
            <w:vAlign w:val="center"/>
          </w:tcPr>
          <w:p w14:paraId="65FDB12B"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4.1</w:t>
            </w:r>
          </w:p>
        </w:tc>
        <w:tc>
          <w:tcPr>
            <w:tcW w:w="1276" w:type="dxa"/>
            <w:vAlign w:val="center"/>
          </w:tcPr>
          <w:p w14:paraId="50829C6E"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13.8</w:t>
            </w:r>
          </w:p>
        </w:tc>
      </w:tr>
      <w:tr w:rsidR="000B148D" w:rsidRPr="00CE5C68" w14:paraId="207C2B7E" w14:textId="77777777">
        <w:trPr>
          <w:trHeight w:val="20"/>
        </w:trPr>
        <w:tc>
          <w:tcPr>
            <w:cnfStyle w:val="001000000000" w:firstRow="0" w:lastRow="0" w:firstColumn="1" w:lastColumn="0" w:oddVBand="0" w:evenVBand="0" w:oddHBand="0" w:evenHBand="0" w:firstRowFirstColumn="0" w:firstRowLastColumn="0" w:lastRowFirstColumn="0" w:lastRowLastColumn="0"/>
            <w:tcW w:w="2830" w:type="dxa"/>
            <w:shd w:val="clear" w:color="auto" w:fill="F2F2F2" w:themeFill="background1" w:themeFillShade="F2"/>
            <w:vAlign w:val="center"/>
          </w:tcPr>
          <w:p w14:paraId="598B4BBA" w14:textId="77777777" w:rsidR="000B148D" w:rsidRPr="003C648C" w:rsidRDefault="000B148D">
            <w:pPr>
              <w:pStyle w:val="Asctablesandfigures"/>
              <w:rPr>
                <w:rFonts w:ascii="Arial" w:hAnsi="Arial" w:cs="Arial"/>
                <w:b w:val="0"/>
                <w:sz w:val="20"/>
                <w:szCs w:val="20"/>
                <w:lang w:val="da-DK"/>
              </w:rPr>
            </w:pPr>
            <w:r w:rsidRPr="003C648C">
              <w:rPr>
                <w:rFonts w:ascii="Arial" w:hAnsi="Arial" w:cs="Arial"/>
                <w:sz w:val="20"/>
                <w:szCs w:val="20"/>
                <w:lang w:val="da-DK"/>
              </w:rPr>
              <w:t xml:space="preserve">Decker et al., 2017* </w:t>
            </w:r>
          </w:p>
          <w:p w14:paraId="4FE500A7" w14:textId="33119F9D" w:rsidR="000B148D" w:rsidRPr="00CE5C68" w:rsidRDefault="000B148D">
            <w:pPr>
              <w:pStyle w:val="Asctablesandfigures"/>
              <w:rPr>
                <w:rFonts w:ascii="Arial" w:hAnsi="Arial" w:cs="Arial"/>
                <w:sz w:val="20"/>
                <w:szCs w:val="20"/>
                <w:lang w:val="en-GB"/>
              </w:rPr>
            </w:pPr>
            <w:r w:rsidRPr="003C648C">
              <w:rPr>
                <w:rFonts w:ascii="Arial" w:hAnsi="Arial" w:cs="Arial"/>
                <w:sz w:val="20"/>
                <w:szCs w:val="20"/>
                <w:lang w:val="da-DK"/>
              </w:rPr>
              <w:t>(NCT01320111) Phase II</w:t>
            </w:r>
            <w:r w:rsidRPr="00CE5C68">
              <w:rPr>
                <w:rFonts w:ascii="Arial" w:hAnsi="Arial" w:cs="Arial"/>
                <w:sz w:val="20"/>
                <w:szCs w:val="20"/>
                <w:lang w:val="en-GB"/>
              </w:rPr>
              <w:fldChar w:fldCharType="begin"/>
            </w:r>
            <w:r w:rsidR="00CA6345">
              <w:rPr>
                <w:rFonts w:ascii="Arial" w:hAnsi="Arial" w:cs="Arial"/>
                <w:sz w:val="20"/>
                <w:szCs w:val="20"/>
                <w:lang w:val="da-DK"/>
              </w:rPr>
              <w:instrText xml:space="preserve"> ADDIN ZOTERO_ITEM CSL_CITATION {"citationID":"EaWySrQb","properties":{"formattedCitation":"\\super 54\\nosupersub{}","plainCitation":"54","noteIndex":0},"citationItems":[{"id":66777,"uris":["http://zotero.org/groups/4797619/items/VJ3GUGK2"],"itemData":{"id":66777,"type":"article-journal","abstract":"Background\nWe conducted an open-label, randomized, two-arm multi-center study to assess the efficacy and safety of paclitaxel versus paclitaxel + sorafenib in patients with locally advanced or metastatic HER2-negative breast cancer.\n\nMethods\nPatients were randomly assigned to receive either paclitaxel monotherapy (80 mg/m2) weekly (3 weeks on, 1 week off) plus sorafenib 400 mg orally, twice a day taken continuously throughout 28 day cycles. Sorafenib dose was gradually escalated from a starting dose of 200 mg twice a day. The primary endpoint was progression free survival (PFS).\n\nResults\nA pre-planned efficacy interim analysis was performed on the data of 60 patients, 30 patients in each treatment arm. Median PFS was estimated at 6.6 months (95% CI: 5.1 to 9.0) in patients randomized to single-agent paclitaxel (Arm A) and 5.6 months (95% CI: 3.8 to 6.5) in patients randomized to paclitaxel-sorafenib combination (Arm B) therapy. Contrary to the hypothesis, the treatment effect was statistically significant in favor of paclitaxel monotherapy (hazard ratio 1.80, 95% CI: 1.02 to 3.20; log-rank test P = 0.0409). It was decided to stop the trial early for futility. Median OS was also in favor of Arm A (20.7 months (95% CI: 16.4 to 26.7) versus 12.1 months (95% CI: 5.8 to 20.4) in Arm B. Clinical control was achieved in 28 patients (93.3%) in Arm A and in 21 patients 70.0% in Arm B. Overall response rate was met in 43.3% of patients in Arm A and in 40.0% in Arm B. Toxicities were increased in Arm B with higher rates of diarrhea, nausea, neutropenia, hand-foot skin reaction (HFSR) and anorexia, Grad 3 and 4 toxicities were rare.\n\nConclusions\nIn this pre-planned interim analysis, paclitaxel-sorafenib combination therapy was not found to be superior to paclitaxel monotherapy with regard to the primary end point, progression-free survival. The trial was therefore discontinued early. There was no indication of more favorable outcomes for combination therapy in secondary efficacy end points. As expected, the safety and toxicity profile of the combination therapy was less favorable compared to monotherapy. Overall, this trial did not demonstrate that adding sorafenib to second- or third-line paclitaxel provides any clinical benefit to patients with HER2-negative advanced or metastatic breast cancer. Cautious dosing using a sorafenib ramp up schedule might have contributed to negative results.\n\nTrial registration\nThe study was registered at EudraCT (No 2009–018025-73) and retrospectively registered at Clinical trials.gov on March 17, 2011 (NCT01320111).","container-title":"BMC Cancer","DOI":"10.1186/s12885-017-3492-1","ISSN":"1471-2407","journalAbbreviation":"BMC Cancer","note":"PMID: 28743247\nPMCID: PMC5526236","page":"499","source":"PubMed Central","title":"A randomized phase II study of paclitaxel alone versus paclitaxel plus sorafenib in second- and third-line treatment of patients with HER2-negative metastatic breast cancer (PASO)","volume":"17","author":[{"family":"Decker","given":"Thomas"},{"family":"Overkamp","given":"Friedrich"},{"family":"Rösel","given":"Siegfried"},{"family":"Nusch","given":"Arnd"},{"family":"Göhler","given":"Thomas"},{"family":"Indorf","given":"Martin"},{"family":"Sahlmann","given":"Jörg"},{"family":"Trarbach","given":"Tanja"}],"issued":{"date-parts":[["2017",7,25]]}}}],"schema":"https://github.com/citation-style-language/schema/raw/master/csl-citation.json"} </w:instrText>
            </w:r>
            <w:r w:rsidRPr="00CE5C68">
              <w:rPr>
                <w:rFonts w:ascii="Arial" w:hAnsi="Arial" w:cs="Arial"/>
                <w:sz w:val="20"/>
                <w:szCs w:val="20"/>
                <w:lang w:val="en-GB"/>
              </w:rPr>
              <w:fldChar w:fldCharType="separate"/>
            </w:r>
            <w:r w:rsidR="00FD57F4" w:rsidRPr="00FD57F4">
              <w:rPr>
                <w:rFonts w:ascii="Arial" w:hAnsi="Arial" w:cs="Arial"/>
                <w:sz w:val="20"/>
                <w:vertAlign w:val="superscript"/>
              </w:rPr>
              <w:t>54</w:t>
            </w:r>
            <w:r w:rsidRPr="00CE5C68">
              <w:rPr>
                <w:rFonts w:ascii="Arial" w:hAnsi="Arial" w:cs="Arial"/>
                <w:sz w:val="20"/>
                <w:szCs w:val="20"/>
                <w:lang w:val="en-GB"/>
              </w:rPr>
              <w:fldChar w:fldCharType="end"/>
            </w:r>
          </w:p>
        </w:tc>
        <w:tc>
          <w:tcPr>
            <w:tcW w:w="1418" w:type="dxa"/>
            <w:shd w:val="clear" w:color="auto" w:fill="auto"/>
            <w:vAlign w:val="center"/>
          </w:tcPr>
          <w:p w14:paraId="1F56D798"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PASO</w:t>
            </w:r>
          </w:p>
        </w:tc>
        <w:tc>
          <w:tcPr>
            <w:tcW w:w="2410" w:type="dxa"/>
            <w:shd w:val="clear" w:color="auto" w:fill="auto"/>
            <w:vAlign w:val="center"/>
          </w:tcPr>
          <w:p w14:paraId="61999C49"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2-3</w:t>
            </w:r>
          </w:p>
        </w:tc>
        <w:tc>
          <w:tcPr>
            <w:tcW w:w="4961" w:type="dxa"/>
            <w:vAlign w:val="center"/>
          </w:tcPr>
          <w:p w14:paraId="5D0D93F4"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Paclitaxel</w:t>
            </w:r>
          </w:p>
        </w:tc>
        <w:tc>
          <w:tcPr>
            <w:tcW w:w="1417" w:type="dxa"/>
            <w:vAlign w:val="center"/>
          </w:tcPr>
          <w:p w14:paraId="6CF1E602"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6.6</w:t>
            </w:r>
          </w:p>
        </w:tc>
        <w:tc>
          <w:tcPr>
            <w:tcW w:w="1276" w:type="dxa"/>
            <w:vAlign w:val="center"/>
          </w:tcPr>
          <w:p w14:paraId="1711C9EC"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20.7</w:t>
            </w:r>
          </w:p>
        </w:tc>
      </w:tr>
      <w:tr w:rsidR="000B148D" w:rsidRPr="00CE5C68" w14:paraId="58A73AF8" w14:textId="77777777">
        <w:trPr>
          <w:trHeight w:val="20"/>
        </w:trPr>
        <w:tc>
          <w:tcPr>
            <w:cnfStyle w:val="001000000000" w:firstRow="0" w:lastRow="0" w:firstColumn="1" w:lastColumn="0" w:oddVBand="0" w:evenVBand="0" w:oddHBand="0" w:evenHBand="0" w:firstRowFirstColumn="0" w:firstRowLastColumn="0" w:lastRowFirstColumn="0" w:lastRowLastColumn="0"/>
            <w:tcW w:w="2830" w:type="dxa"/>
            <w:shd w:val="clear" w:color="auto" w:fill="F2F2F2" w:themeFill="background1" w:themeFillShade="F2"/>
            <w:vAlign w:val="center"/>
          </w:tcPr>
          <w:p w14:paraId="569D428F" w14:textId="77777777" w:rsidR="000B148D" w:rsidRPr="00F710CB" w:rsidRDefault="000B148D">
            <w:pPr>
              <w:pStyle w:val="Asctablesandfigures"/>
              <w:rPr>
                <w:rFonts w:ascii="Arial" w:hAnsi="Arial" w:cs="Arial"/>
                <w:sz w:val="20"/>
                <w:szCs w:val="20"/>
                <w:lang w:val="da-DK"/>
              </w:rPr>
            </w:pPr>
            <w:r w:rsidRPr="00F710CB">
              <w:rPr>
                <w:rFonts w:ascii="Arial" w:hAnsi="Arial" w:cs="Arial"/>
                <w:sz w:val="20"/>
                <w:szCs w:val="20"/>
                <w:lang w:val="da-DK"/>
              </w:rPr>
              <w:t xml:space="preserve">Yardley et al., 2016 </w:t>
            </w:r>
          </w:p>
          <w:p w14:paraId="6A0F5438" w14:textId="69CD4174" w:rsidR="000B148D" w:rsidRPr="00CE5C68" w:rsidRDefault="000B148D">
            <w:pPr>
              <w:pStyle w:val="Asctablesandfigures"/>
              <w:rPr>
                <w:rFonts w:ascii="Arial" w:hAnsi="Arial" w:cs="Arial"/>
                <w:sz w:val="20"/>
                <w:szCs w:val="20"/>
                <w:lang w:val="en-GB"/>
              </w:rPr>
            </w:pPr>
            <w:r w:rsidRPr="00F710CB">
              <w:rPr>
                <w:rFonts w:ascii="Arial" w:hAnsi="Arial" w:cs="Arial"/>
                <w:sz w:val="20"/>
                <w:szCs w:val="20"/>
                <w:lang w:val="da-DK"/>
              </w:rPr>
              <w:t>(NCT01427933) Phase II</w:t>
            </w:r>
            <w:r>
              <w:rPr>
                <w:rFonts w:ascii="Arial" w:hAnsi="Arial" w:cs="Arial"/>
                <w:sz w:val="20"/>
                <w:szCs w:val="20"/>
                <w:lang w:val="en-GB"/>
              </w:rPr>
              <w:fldChar w:fldCharType="begin"/>
            </w:r>
            <w:r w:rsidR="00CA6345">
              <w:rPr>
                <w:rFonts w:ascii="Arial" w:hAnsi="Arial" w:cs="Arial"/>
                <w:sz w:val="20"/>
                <w:szCs w:val="20"/>
                <w:lang w:val="da-DK"/>
              </w:rPr>
              <w:instrText xml:space="preserve"> ADDIN ZOTERO_ITEM CSL_CITATION {"citationID":"l01KMOnB","properties":{"formattedCitation":"\\super 47\\nosupersub{}","plainCitation":"47","noteIndex":0},"citationItems":[{"id":66278,"uris":["http://zotero.org/groups/4797619/items/L9C8M9U3"],"itemData":{"id":66278,"type":"article-journal","abstract":"BACKGROUND: Use of antiangiogenic agents in treatment of metastatic breast cancer (MBC) remains controversial. We evaluated the efficacy and safety of ramucirumab and eribulin versus eribulin alone as third- to fifth-line therapy in women with advanced breast cancer.\nPATIENTS AND METHODS: In this randomized (1:1), open-label, phase II study, US women aged 18 years or older with 2 to 4 previous chemotherapy regimens for locally recurrent or MBC, previous anthracycline and taxane treatment, and Eastern Cooperative Oncology Group performance status of 0 or 1 received ramucirumab with eribulin or eribulin alone in 21-day cycles (eribulin 1.4 mg/m2 intravenously on days 1 and 8; ramucirumab 10 mg/kg intravenously on day 1). Randomization was stratified according to previous antiangiogenic therapy and triple-negative status. The primary end point was progression-free survival (PFS) in the intention to treat population.\nRESULTS: One hundred forty-one women were randomized to ramucirumab with eribulin (n = 71) or eribulin alone (n = 70). Median PFS for ramucirumab with eribulin was 4.4 months (95% confidence interval [CI], 3.1-6.7) compared with 4.1 months (95% CI, 3.2-5.6) for eribulin (hazard ratio [HR], 0.83; 95% CI, 0.56-1.23; P = .35). Median overall survival in patients who received ramucirumab with eribulin was 13.5 months (95% CI, 10.4-17.9) compared with 11.5 months (95% CI, 9.0-17.3) in patients who received eribulin alone (HR, 0.91; 95% CI, 0.59-1.41; P = .68); objective response rate was 21% (13 of 62 patients) for the combination and 28% (17 of 60 patients) for eribulin alone. No unexpected toxicity was identified for the combination.\nCONCLUSION: Ramucirumab combined with eribulin did not significantly improve PFS in advanced MBC.","container-title":"Clinical Breast Cancer","DOI":"10.1016/j.clbc.2016.07.005","ISSN":"1938-0666","issue":"6","journalAbbreviation":"Clin Breast Cancer","language":"eng","note":"PMID: 27569274","page":"471-479.e1","source":"PubMed","title":"Ramucirumab With Eribulin Versus Eribulin in Locally Recurrent or Metastatic Breast Cancer Previously Treated With Anthracycline and Taxane Therapy: A Multicenter, Randomized, Phase II Study","title-short":"Ramucirumab With Eribulin Versus Eribulin in Locally Recurrent or Metastatic Breast Cancer Previously Treated With Anthracycline and Taxane Therapy","volume":"16","author":[{"family":"Yardley","given":"Denise A."},{"family":"Reeves","given":"James"},{"family":"Dees","given":"E. Claire"},{"family":"Osborne","given":"Cynthia"},{"family":"Paul","given":"Devchand"},{"family":"Ademuyiwa","given":"Foluso"},{"family":"Soliman","given":"Hatem"},{"family":"Guthrie","given":"Troy"},{"family":"Andersen","given":"Jay"},{"family":"Krekow","given":"Lea"},{"family":"Choksi","given":"Janak"},{"family":"Daniel","given":"Brooke"},{"family":"Danso","given":"Michael"},{"family":"Favret","given":"Anne"},{"family":"Oommen","given":"Sanjay"},{"family":"Brufsky","given":"Adam"},{"family":"Bromund","given":"Jane L."},{"family":"Lin","given":"Yong"},{"family":"Ibrahim","given":"Ayman B."},{"family":"Richards","given":"Paul D."}],"issued":{"date-parts":[["2016",12]]}}}],"schema":"https://github.com/citation-style-language/schema/raw/master/csl-citation.json"} </w:instrText>
            </w:r>
            <w:r>
              <w:rPr>
                <w:rFonts w:ascii="Arial" w:hAnsi="Arial" w:cs="Arial"/>
                <w:sz w:val="20"/>
                <w:szCs w:val="20"/>
                <w:lang w:val="en-GB"/>
              </w:rPr>
              <w:fldChar w:fldCharType="separate"/>
            </w:r>
            <w:r w:rsidR="00FD57F4" w:rsidRPr="00FD57F4">
              <w:rPr>
                <w:rFonts w:ascii="Arial" w:hAnsi="Arial" w:cs="Arial"/>
                <w:sz w:val="20"/>
                <w:vertAlign w:val="superscript"/>
              </w:rPr>
              <w:t>47</w:t>
            </w:r>
            <w:r>
              <w:rPr>
                <w:rFonts w:ascii="Arial" w:hAnsi="Arial" w:cs="Arial"/>
                <w:sz w:val="20"/>
                <w:szCs w:val="20"/>
                <w:lang w:val="en-GB"/>
              </w:rPr>
              <w:fldChar w:fldCharType="end"/>
            </w:r>
          </w:p>
        </w:tc>
        <w:tc>
          <w:tcPr>
            <w:tcW w:w="1418" w:type="dxa"/>
            <w:shd w:val="clear" w:color="auto" w:fill="auto"/>
            <w:vAlign w:val="center"/>
          </w:tcPr>
          <w:p w14:paraId="691ED43D"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pPr>
            <w:r>
              <w:rPr>
                <w:rFonts w:ascii="Arial" w:hAnsi="Arial" w:cs="Arial"/>
                <w:sz w:val="20"/>
                <w:szCs w:val="20"/>
                <w:lang w:val="en-GB"/>
              </w:rPr>
              <w:t>-</w:t>
            </w:r>
          </w:p>
        </w:tc>
        <w:tc>
          <w:tcPr>
            <w:tcW w:w="2410" w:type="dxa"/>
            <w:shd w:val="clear" w:color="auto" w:fill="auto"/>
            <w:vAlign w:val="center"/>
          </w:tcPr>
          <w:p w14:paraId="5EC11794"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pPr>
            <w:r w:rsidRPr="00CE5C68">
              <w:rPr>
                <w:rFonts w:ascii="Arial" w:hAnsi="Arial" w:cs="Arial"/>
                <w:sz w:val="20"/>
                <w:szCs w:val="20"/>
                <w:lang w:val="en-GB"/>
              </w:rPr>
              <w:t>2-4</w:t>
            </w:r>
          </w:p>
        </w:tc>
        <w:tc>
          <w:tcPr>
            <w:tcW w:w="4961" w:type="dxa"/>
            <w:vAlign w:val="center"/>
          </w:tcPr>
          <w:p w14:paraId="30B2666D"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highlight w:val="green"/>
                <w:lang w:val="en-GB"/>
              </w:rPr>
            </w:pPr>
            <w:r w:rsidRPr="00CE5C68">
              <w:rPr>
                <w:rFonts w:ascii="Arial" w:hAnsi="Arial" w:cs="Arial"/>
                <w:sz w:val="20"/>
                <w:szCs w:val="20"/>
                <w:lang w:val="en-GB"/>
              </w:rPr>
              <w:t>Eribulin</w:t>
            </w:r>
          </w:p>
        </w:tc>
        <w:tc>
          <w:tcPr>
            <w:tcW w:w="1417" w:type="dxa"/>
            <w:vAlign w:val="center"/>
          </w:tcPr>
          <w:p w14:paraId="47103F62"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4.</w:t>
            </w:r>
            <w:r>
              <w:rPr>
                <w:rFonts w:ascii="Arial" w:hAnsi="Arial" w:cs="Arial"/>
                <w:sz w:val="20"/>
                <w:szCs w:val="20"/>
                <w:lang w:val="en-GB"/>
              </w:rPr>
              <w:t>1</w:t>
            </w:r>
          </w:p>
        </w:tc>
        <w:tc>
          <w:tcPr>
            <w:tcW w:w="1276" w:type="dxa"/>
            <w:vAlign w:val="center"/>
          </w:tcPr>
          <w:p w14:paraId="555C7FFF"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11.5</w:t>
            </w:r>
          </w:p>
        </w:tc>
      </w:tr>
      <w:tr w:rsidR="000B148D" w:rsidRPr="00CE5C68" w14:paraId="4EE48B96" w14:textId="77777777">
        <w:trPr>
          <w:trHeight w:val="20"/>
        </w:trPr>
        <w:tc>
          <w:tcPr>
            <w:cnfStyle w:val="001000000000" w:firstRow="0" w:lastRow="0" w:firstColumn="1" w:lastColumn="0" w:oddVBand="0" w:evenVBand="0" w:oddHBand="0" w:evenHBand="0" w:firstRowFirstColumn="0" w:firstRowLastColumn="0" w:lastRowFirstColumn="0" w:lastRowLastColumn="0"/>
            <w:tcW w:w="2830" w:type="dxa"/>
            <w:shd w:val="clear" w:color="auto" w:fill="F2F2F2" w:themeFill="background1" w:themeFillShade="F2"/>
            <w:vAlign w:val="center"/>
          </w:tcPr>
          <w:p w14:paraId="228E1410" w14:textId="77777777" w:rsidR="000B148D" w:rsidRPr="00F710CB" w:rsidRDefault="000B148D">
            <w:pPr>
              <w:pStyle w:val="Asctablesandfigures"/>
              <w:rPr>
                <w:rFonts w:ascii="Arial" w:hAnsi="Arial" w:cs="Arial"/>
                <w:b w:val="0"/>
                <w:sz w:val="20"/>
                <w:szCs w:val="20"/>
                <w:lang w:val="da-DK"/>
              </w:rPr>
            </w:pPr>
            <w:r w:rsidRPr="00F710CB">
              <w:rPr>
                <w:rFonts w:ascii="Arial" w:hAnsi="Arial" w:cs="Arial"/>
                <w:sz w:val="20"/>
                <w:szCs w:val="20"/>
                <w:lang w:val="da-DK"/>
              </w:rPr>
              <w:t xml:space="preserve">Yardley et al., 2015* </w:t>
            </w:r>
          </w:p>
          <w:p w14:paraId="3FA466BB" w14:textId="0C335EA7" w:rsidR="000B148D" w:rsidRPr="00F710CB" w:rsidRDefault="000B148D" w:rsidP="003C648C">
            <w:pPr>
              <w:widowControl w:val="0"/>
              <w:autoSpaceDE w:val="0"/>
              <w:autoSpaceDN w:val="0"/>
              <w:adjustRightInd w:val="0"/>
              <w:rPr>
                <w:lang w:val="da-DK"/>
              </w:rPr>
            </w:pPr>
            <w:r w:rsidRPr="00CE5C68">
              <w:rPr>
                <w:rFonts w:cs="Arial"/>
                <w:sz w:val="20"/>
                <w:szCs w:val="20"/>
              </w:rPr>
              <w:t>(NCT01156753) Phase I</w:t>
            </w:r>
            <w:r w:rsidR="00DC5124" w:rsidRPr="00F710CB">
              <w:rPr>
                <w:rFonts w:cs="Arial"/>
                <w:sz w:val="20"/>
                <w:szCs w:val="20"/>
                <w:lang w:val="da-DK"/>
              </w:rPr>
              <w:t>I</w:t>
            </w:r>
            <w:r w:rsidR="00A4705B">
              <w:rPr>
                <w:rFonts w:ascii="Times New Roman" w:hAnsi="Times New Roman" w:cs="Times New Roman"/>
                <w:vertAlign w:val="superscript"/>
              </w:rPr>
              <w:t>125</w:t>
            </w:r>
            <w:r w:rsidRPr="00CE5C68">
              <w:fldChar w:fldCharType="begin"/>
            </w:r>
            <w:r w:rsidR="00CA6345">
              <w:rPr>
                <w:lang w:val="da-DK"/>
              </w:rPr>
              <w:instrText xml:space="preserve"> ADDIN ZOTERO_ITEM CSL_CITATION {"citationID":"BHvRin6z","properties":{"formattedCitation":"\\super 124\\nosupersub{}","plainCitation":"124","dontUpdate":true,"noteIndex":0},"citationItems":[{"id":66774,"uris":["http://zotero.org/groups/4797619/items/2HU3NYWK"],"itemData":{"id":66774,"type":"article-journal","abstract":"Purpose\n\nGlycoprotein NMB (gpNMB), a negative prognostic marker, is overexpressed in multiple tumor types. Glembatumumab vedotin is a gpNMB-specific monoclonal antibody conjugated to the potent cytotoxin monomethyl auristatin E. This phase II study investigated the activity of glembatumumab vedotin in advanced breast cancer by gpNMB expression.\n\nPatients and Methods\n\nPatients (n = 124) with refractory breast cancer that expressed gpNMB in ≥ 5% of epithelial or stromal cells by central immunohistochemistry were stratified by gpNMB expression (tumor, low stromal intensity, high stromal intensity) and were randomly assigned 2:1 to glembatumumab vedotin (n = 83) or investigator's choice (IC) chemotherapy (n = 41). The study was powered to detect overall objective response rate (ORR) in the glembatumumab vedotin arm between 10% (null) and 22.5% (alternative hypothesis) with preplanned investigation of activity by gpNMB distribution and/or intensity (Stratum 1 to Stratum 3).\n\nResults\n\nGlembatumumab vedotin was well tolerated as compared with IC chemotherapy (less hematologic toxicity; more rash, pruritus, neuropathy, and alopecia). ORR was 6% (five of 83) for glembatumumab vedotin versus 7% (three of 41) for IC, without significant intertreatment differences for predefined strata. Secondary end point revealed ORR of 12% (10 of 83) versus 12% (five of 41) overall, and 30% (seven of 23) versus 9% (one of 11) for gpNMB overexpression (≥ 25% of tumor cells). Unplanned analysis showed ORR of 18% (five of 28) versus 0% (0 of 11) in patients with triple-negative breast cancer (TNBC), and 40% (four of 10) versus 0% (zero of six) in gpNMB-overexpressing TNBC.\n\nConclusion\n\nGlembatumumab vedotin is well tolerated in heavily pretreated patients with breast cancer. Although the primary end point in advanced gpNMB-expressing breast cancer was not met for all enrolled patients (median tumor gpNMB expression, 5%), activity may be enhanced in patients with gpNMB-overexpressing tumors and/or TNBC. A pivotal phase II trial (METRIC [Metastatic Triple-Negative Breast Cancer]) is underway.","container-title":"Journal of Clinical Oncology","DOI":"10.1200/JCO.2014.56.2959","ISSN":"0732-183X","issue":"14","journalAbbreviation":"JCO","note":"publisher: Wolters Kluwer","page":"1609-1619","source":"ascopubs.org (Atypon)","title":"EMERGE: A Randomized Phase II Study of the Antibody-Drug Conjugate Glembatumumab Vedotin in Advanced Glycoprotein NMB–Expressing Breast Cancer","title-short":"EMERGE","volume":"33","author":[{"family":"Yardley","given":"Denise A."},{"family":"Weaver","given":"Robert"},{"family":"Melisko","given":"Michelle E."},{"family":"Saleh","given":"Mansoor N."},{"family":"Arena","given":"Francis P."},{"family":"Forero","given":"Andres"},{"family":"Cigler","given":"Tessa"},{"family":"Stopeck","given":"Alison"},{"family":"Citrin","given":"Dennis"},{"family":"Oliff","given":"Ira"},{"family":"Bechhold","given":"Rebecca"},{"family":"Loutfi","given":"Randa"},{"family":"Garcia","given":"Agustin A."},{"family":"Cruickshank","given":"Scott"},{"family":"Crowley","given":"Elizabeth"},{"family":"Green","given":"Jennifer"},{"family":"Hawthorne","given":"Thomas"},{"family":"Yellin","given":"Michael J."},{"family":"Davis","given":"Thomas A."},{"family":"Vahdat","given":"Linda T."}],"issued":{"date-parts":[["2015",5,10]]}}}],"schema":"https://github.com/citation-style-language/schema/raw/master/csl-citation.json"} </w:instrText>
            </w:r>
            <w:r w:rsidRPr="00CE5C68">
              <w:fldChar w:fldCharType="separate"/>
            </w:r>
            <w:r w:rsidRPr="00CE5C68">
              <w:fldChar w:fldCharType="end"/>
            </w:r>
          </w:p>
        </w:tc>
        <w:tc>
          <w:tcPr>
            <w:tcW w:w="1418" w:type="dxa"/>
            <w:shd w:val="clear" w:color="auto" w:fill="auto"/>
            <w:vAlign w:val="center"/>
          </w:tcPr>
          <w:p w14:paraId="2105E143" w14:textId="77777777" w:rsidR="000B148D" w:rsidRPr="0068438F"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lang w:val="en-GB"/>
              </w:rPr>
            </w:pPr>
            <w:r w:rsidRPr="00CE5C68">
              <w:rPr>
                <w:rFonts w:ascii="Arial" w:hAnsi="Arial" w:cs="Arial"/>
                <w:sz w:val="20"/>
                <w:szCs w:val="20"/>
                <w:lang w:val="en-GB"/>
              </w:rPr>
              <w:t>EMERGE</w:t>
            </w:r>
          </w:p>
        </w:tc>
        <w:tc>
          <w:tcPr>
            <w:tcW w:w="2410" w:type="dxa"/>
            <w:shd w:val="clear" w:color="auto" w:fill="auto"/>
            <w:vAlign w:val="center"/>
          </w:tcPr>
          <w:p w14:paraId="799F8C32"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pPr>
            <w:r w:rsidRPr="7E109E16">
              <w:rPr>
                <w:rFonts w:ascii="Arial" w:hAnsi="Arial" w:cs="Arial"/>
                <w:sz w:val="20"/>
                <w:szCs w:val="20"/>
                <w:lang w:val="en-GB"/>
              </w:rPr>
              <w:t>2-7</w:t>
            </w:r>
          </w:p>
        </w:tc>
        <w:tc>
          <w:tcPr>
            <w:tcW w:w="4961" w:type="dxa"/>
            <w:vAlign w:val="center"/>
          </w:tcPr>
          <w:p w14:paraId="78D25797"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TPC (e</w:t>
            </w:r>
            <w:r w:rsidRPr="00CE5C68">
              <w:rPr>
                <w:rFonts w:ascii="Arial" w:hAnsi="Arial" w:cs="Arial"/>
                <w:sz w:val="20"/>
                <w:szCs w:val="20"/>
                <w:lang w:val="en-GB"/>
              </w:rPr>
              <w:t>ribulin, vinorelbine, capecitabine, gemcitabine</w:t>
            </w:r>
            <w:r>
              <w:rPr>
                <w:rFonts w:ascii="Arial" w:hAnsi="Arial" w:cs="Arial"/>
                <w:sz w:val="20"/>
                <w:szCs w:val="20"/>
                <w:lang w:val="en-GB"/>
              </w:rPr>
              <w:t>)</w:t>
            </w:r>
          </w:p>
        </w:tc>
        <w:tc>
          <w:tcPr>
            <w:tcW w:w="1417" w:type="dxa"/>
            <w:vAlign w:val="center"/>
          </w:tcPr>
          <w:p w14:paraId="38773EC2"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2.0</w:t>
            </w:r>
          </w:p>
        </w:tc>
        <w:tc>
          <w:tcPr>
            <w:tcW w:w="1276" w:type="dxa"/>
            <w:vAlign w:val="center"/>
          </w:tcPr>
          <w:p w14:paraId="51AF588A" w14:textId="77777777" w:rsidR="000B148D" w:rsidRPr="00CE5C68" w:rsidRDefault="000B148D">
            <w:pPr>
              <w:pStyle w:val="Asctablesandfigures"/>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CE5C68">
              <w:rPr>
                <w:rFonts w:ascii="Arial" w:hAnsi="Arial" w:cs="Arial"/>
                <w:sz w:val="20"/>
                <w:szCs w:val="20"/>
                <w:lang w:val="en-GB"/>
              </w:rPr>
              <w:t>7.4</w:t>
            </w:r>
          </w:p>
        </w:tc>
      </w:tr>
    </w:tbl>
    <w:p w14:paraId="30CBD116" w14:textId="7909CDBC" w:rsidR="000B148D" w:rsidRDefault="000B148D" w:rsidP="000B148D">
      <w:pPr>
        <w:pStyle w:val="Body"/>
        <w:rPr>
          <w:sz w:val="18"/>
          <w:szCs w:val="18"/>
        </w:rPr>
      </w:pPr>
      <w:r>
        <w:rPr>
          <w:sz w:val="18"/>
          <w:szCs w:val="18"/>
        </w:rPr>
        <w:t>*Publication</w:t>
      </w:r>
      <w:r w:rsidRPr="00B208D7">
        <w:rPr>
          <w:sz w:val="18"/>
          <w:szCs w:val="18"/>
        </w:rPr>
        <w:t xml:space="preserve"> identified as part of the clinical SLR</w:t>
      </w:r>
      <w:r>
        <w:rPr>
          <w:sz w:val="18"/>
          <w:szCs w:val="18"/>
        </w:rPr>
        <w:t xml:space="preserve"> for this appraisal.</w:t>
      </w:r>
      <w:r w:rsidR="00DC5124">
        <w:rPr>
          <w:sz w:val="18"/>
          <w:szCs w:val="18"/>
        </w:rPr>
        <w:t xml:space="preserve"> </w:t>
      </w:r>
      <w:r>
        <w:rPr>
          <w:sz w:val="18"/>
          <w:szCs w:val="18"/>
        </w:rPr>
        <w:t>**</w:t>
      </w:r>
      <w:r w:rsidR="00FB23E9">
        <w:rPr>
          <w:sz w:val="18"/>
          <w:szCs w:val="18"/>
        </w:rPr>
        <w:t>SG</w:t>
      </w:r>
      <w:r>
        <w:rPr>
          <w:sz w:val="18"/>
          <w:szCs w:val="18"/>
        </w:rPr>
        <w:t xml:space="preserve"> is not a non-targeted chemotherapy but is included as it is in the NICE scope.</w:t>
      </w:r>
      <w:r>
        <w:rPr>
          <w:sz w:val="18"/>
          <w:szCs w:val="18"/>
        </w:rPr>
        <w:br/>
      </w:r>
      <w:r w:rsidRPr="00054570">
        <w:rPr>
          <w:sz w:val="18"/>
          <w:szCs w:val="18"/>
        </w:rPr>
        <w:t xml:space="preserve">Abbreviations: BC, breast cancer; HER2, human epidermal growth factor receptor 2; </w:t>
      </w:r>
      <w:r>
        <w:rPr>
          <w:sz w:val="18"/>
          <w:szCs w:val="18"/>
        </w:rPr>
        <w:t xml:space="preserve">NICE, National Institute of Health and Care Excellence; </w:t>
      </w:r>
      <w:r w:rsidRPr="00054570">
        <w:rPr>
          <w:sz w:val="18"/>
          <w:szCs w:val="18"/>
        </w:rPr>
        <w:t>NR, not reported; OS, overall</w:t>
      </w:r>
      <w:r w:rsidR="00DC5124">
        <w:rPr>
          <w:sz w:val="18"/>
          <w:szCs w:val="18"/>
        </w:rPr>
        <w:t>; SG, sacituzumab govitecan; T-DXd, trastuzumab deruxtecan; TPC, treatment of physician’s choice</w:t>
      </w:r>
    </w:p>
    <w:p w14:paraId="1620F96F" w14:textId="77777777" w:rsidR="000B148D" w:rsidRPr="00054570" w:rsidRDefault="000B148D" w:rsidP="000B148D">
      <w:pPr>
        <w:pStyle w:val="Body"/>
      </w:pPr>
    </w:p>
    <w:p w14:paraId="0A0DD2E5" w14:textId="77777777" w:rsidR="000B148D" w:rsidRDefault="000B148D" w:rsidP="000B148D">
      <w:pPr>
        <w:pStyle w:val="Heading3"/>
        <w:sectPr w:rsidR="000B148D">
          <w:footnotePr>
            <w:numFmt w:val="lowerLetter"/>
          </w:footnotePr>
          <w:pgSz w:w="16838" w:h="11906" w:orient="landscape"/>
          <w:pgMar w:top="1440" w:right="1440" w:bottom="1440" w:left="1440" w:header="709" w:footer="709" w:gutter="0"/>
          <w:cols w:space="708"/>
          <w:docGrid w:linePitch="360"/>
        </w:sectPr>
      </w:pPr>
      <w:bookmarkStart w:id="372" w:name="_Toc124447852"/>
    </w:p>
    <w:p w14:paraId="4F605E2D" w14:textId="1FD7180A" w:rsidR="000B148D" w:rsidRPr="00054570" w:rsidRDefault="000B148D" w:rsidP="000B148D">
      <w:pPr>
        <w:pStyle w:val="Heading3"/>
      </w:pPr>
      <w:bookmarkStart w:id="373" w:name="_Toc129350879"/>
      <w:r w:rsidRPr="00054570">
        <w:lastRenderedPageBreak/>
        <w:t>Strengths and limitations of the clinical evidence base for T-DXd</w:t>
      </w:r>
      <w:bookmarkEnd w:id="368"/>
      <w:bookmarkEnd w:id="372"/>
      <w:bookmarkEnd w:id="373"/>
    </w:p>
    <w:p w14:paraId="3F09CD06" w14:textId="77777777" w:rsidR="000B148D" w:rsidRPr="00054570" w:rsidRDefault="000B148D" w:rsidP="000B148D">
      <w:pPr>
        <w:pStyle w:val="Heading5"/>
        <w:numPr>
          <w:ilvl w:val="0"/>
          <w:numId w:val="0"/>
        </w:numPr>
      </w:pPr>
      <w:r w:rsidRPr="00054570">
        <w:t>Strengths of the evidence base</w:t>
      </w:r>
    </w:p>
    <w:p w14:paraId="760B2F80" w14:textId="40C04354" w:rsidR="000B148D" w:rsidRPr="00054570" w:rsidRDefault="000B148D" w:rsidP="000B148D">
      <w:pPr>
        <w:pStyle w:val="Body"/>
      </w:pPr>
      <w:r w:rsidRPr="00054570">
        <w:t xml:space="preserve">The key strength of the evidence base is the DESTINY-Breast04 study, a </w:t>
      </w:r>
      <w:r>
        <w:t>P</w:t>
      </w:r>
      <w:r w:rsidRPr="00054570">
        <w:t>hase III, multicentre, open-label, randomised trial of T-DXd versus TPC, which is representative of the current standard of care in the UK after prior chemotherapy in the metastatic setting.</w:t>
      </w:r>
      <w:r>
        <w:fldChar w:fldCharType="begin"/>
      </w:r>
      <w:r w:rsidR="00CA6345">
        <w:instrText xml:space="preserve"> ADDIN ZOTERO_ITEM CSL_CITATION {"citationID":"k7kzzvtj","properties":{"formattedCitation":"\\super 7, 121,151\\nosupersub{}","plainCitation":"7, 121,151","noteIndex":0},"citationItems":[{"id":65944,"uris":["http://zotero.org/groups/4797619/items/WBVSVVF7"],"itemData":{"id":65944,"type":"document","title":"Clinical Study Report for DS8201-A-U303. Data cut-off date: 11 Jan 2022. Data on File.","author":[{"family":"Daiichi Sankyo Inc.","given":""}],"issued":{"date-parts":[["2022"]]}}},{"id":66139,"uris":["http://zotero.org/groups/4797619/items/GE98BVW6"],"itemData":{"id":66139,"type":"document","title":"Patient-Reported Outcomes (PROs) From DESTINY-Breast04  a Randomized Phase 3 Study of Trastuzumab Deruxtecan (T-DXd) vs Treatment of Physician’s Choice (TPC) in Patients With HER2-Low  Metastatic Breast Cancer. Presented at ESMO Congress, September 2022.","author":[{"family":"Ueno","given":"Shanu"},{"family":"Jacot","given":"William"},{"family":"Yamashita","given":"Toshinari"},{"family":"Sohn","given":"Joohyuk"},{"family":"Vidal","given":"Maria"},{"family":"Tokunaga","given":"Eriko"},{"family":"Tsurutani","given":"Junji"},{"family":"Lee","given":"Keun Seok"},{"family":"Niikura","given":"Naoki"},{"family":"Park","given":"Yeon Hee"},{"family":"Wang","given":"Xiaojia"},{"family":"Xu","given":"Binghe"},{"family":"Gambhire","given":"Dhiraj"},{"family":"Yung","given":"Lotus"},{"family":"Meinhardt","given":"Gerold"},{"family":"Wang","given":"Yibin"},{"family":"Harbeck","given":"Nadia"},{"family":"Cameron","given":"David"},{"family":"Modi","given":"Shanu"}],"issued":{"date-parts":[["2022",9,1]]}}},{"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fldChar w:fldCharType="separate"/>
      </w:r>
      <w:r w:rsidR="00CA6345" w:rsidRPr="00CA6345">
        <w:rPr>
          <w:rFonts w:cs="Arial"/>
          <w:szCs w:val="24"/>
          <w:vertAlign w:val="superscript"/>
        </w:rPr>
        <w:t>7, 121,151</w:t>
      </w:r>
      <w:r>
        <w:fldChar w:fldCharType="end"/>
      </w:r>
      <w:r w:rsidRPr="00054570">
        <w:t xml:space="preserve"> DESTINY-Breast04 is the first ever head-to-head Phase III study </w:t>
      </w:r>
      <w:r>
        <w:t>to show</w:t>
      </w:r>
      <w:r w:rsidRPr="00054570">
        <w:t xml:space="preserve"> a </w:t>
      </w:r>
      <w:r>
        <w:t xml:space="preserve">statistically </w:t>
      </w:r>
      <w:r w:rsidRPr="00054570">
        <w:t xml:space="preserve">significant </w:t>
      </w:r>
      <w:r>
        <w:t xml:space="preserve">efficacy </w:t>
      </w:r>
      <w:r w:rsidRPr="00054570">
        <w:t xml:space="preserve">benefit </w:t>
      </w:r>
      <w:r>
        <w:t>for</w:t>
      </w:r>
      <w:r w:rsidRPr="00054570">
        <w:t xml:space="preserve"> a HER2-targeted treatment versus </w:t>
      </w:r>
      <w:r>
        <w:t xml:space="preserve">non-targeted </w:t>
      </w:r>
      <w:r w:rsidRPr="00054570">
        <w:t xml:space="preserve">chemotherapy in HER2-low u/mBC. </w:t>
      </w:r>
      <w:r>
        <w:t xml:space="preserve">The trial provides data on a range of clinically meaningful efficacy endpoints as well as safety and QoL via generic and cancer-specific PRO instruments. </w:t>
      </w:r>
    </w:p>
    <w:p w14:paraId="262A36EA" w14:textId="43C83FF9" w:rsidR="000B148D" w:rsidRPr="00054570" w:rsidRDefault="000B148D" w:rsidP="000B148D">
      <w:pPr>
        <w:pStyle w:val="Body"/>
      </w:pPr>
      <w:r w:rsidRPr="00054570">
        <w:t>The number of patients randomised in DESTINY-Breast04 was large (</w:t>
      </w:r>
      <w:r>
        <w:t>N=</w:t>
      </w:r>
      <w:r w:rsidRPr="00054570">
        <w:t xml:space="preserve">554) and the </w:t>
      </w:r>
      <w:r>
        <w:t>treatment arms</w:t>
      </w:r>
      <w:r w:rsidRPr="00054570">
        <w:t xml:space="preserve"> were well-balanced in terms of baseline demographics and disease characteristics.</w:t>
      </w:r>
      <w:r w:rsidRPr="00054570">
        <w:fldChar w:fldCharType="begin"/>
      </w:r>
      <w:r w:rsidR="00CA6345">
        <w:instrText xml:space="preserve"> ADDIN ZOTERO_ITEM CSL_CITATION {"citationID":"CEMwUDHi","properties":{"formattedCitation":"\\super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r w:rsidRPr="00054570">
        <w:t xml:space="preserve"> UK </w:t>
      </w:r>
      <w:r>
        <w:t xml:space="preserve">clinical and HEOR </w:t>
      </w:r>
      <w:r w:rsidRPr="00054570">
        <w:t xml:space="preserve">experts confirmed that DESTINY-Breast04 </w:t>
      </w:r>
      <w:r>
        <w:t xml:space="preserve">is well designed and robust, and the patient </w:t>
      </w:r>
      <w:r w:rsidRPr="00054570">
        <w:t xml:space="preserve">population </w:t>
      </w:r>
      <w:r>
        <w:t xml:space="preserve">is </w:t>
      </w:r>
      <w:r w:rsidRPr="00054570">
        <w:t>generalisable to UK</w:t>
      </w:r>
      <w:r>
        <w:t xml:space="preserve"> clinical practice</w:t>
      </w:r>
      <w:r w:rsidRPr="00054570">
        <w:t>.</w:t>
      </w:r>
      <w:r w:rsidRPr="00054570">
        <w:fldChar w:fldCharType="begin"/>
      </w:r>
      <w:r w:rsidR="00CA6345">
        <w:instrText xml:space="preserve"> ADDIN ZOTERO_ITEM CSL_CITATION {"citationID":"JLYQ39y9","properties":{"formattedCitation":"\\super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Pr="00054570">
        <w:fldChar w:fldCharType="separate"/>
      </w:r>
      <w:r w:rsidR="00CA6345" w:rsidRPr="00CA6345">
        <w:rPr>
          <w:rFonts w:cs="Arial"/>
          <w:szCs w:val="24"/>
          <w:vertAlign w:val="superscript"/>
        </w:rPr>
        <w:t>121</w:t>
      </w:r>
      <w:r w:rsidRPr="00054570">
        <w:fldChar w:fldCharType="end"/>
      </w:r>
      <w:r w:rsidRPr="00054570">
        <w:t xml:space="preserve"> </w:t>
      </w:r>
      <w:r>
        <w:t>The trial population is reflective of the UK patient population in terms prior ET in the metastatic setting (</w:t>
      </w:r>
      <w:r w:rsidR="001D50D8">
        <w:t>83</w:t>
      </w:r>
      <w:r>
        <w:t>%</w:t>
      </w:r>
      <w:r w:rsidR="00DD39E9">
        <w:t>)</w:t>
      </w:r>
      <w:r>
        <w:t>.</w:t>
      </w:r>
      <w:r>
        <w:fldChar w:fldCharType="begin"/>
      </w:r>
      <w:r w:rsidR="00CA6345">
        <w:instrText xml:space="preserve"> ADDIN ZOTERO_ITEM CSL_CITATION {"citationID":"jKUygFwv","properties":{"formattedCitation":"\\super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fldChar w:fldCharType="separate"/>
      </w:r>
      <w:r w:rsidR="00FD57F4" w:rsidRPr="00FD57F4">
        <w:rPr>
          <w:rFonts w:cs="Arial"/>
          <w:szCs w:val="24"/>
          <w:vertAlign w:val="superscript"/>
        </w:rPr>
        <w:t>7</w:t>
      </w:r>
      <w:r>
        <w:fldChar w:fldCharType="end"/>
      </w:r>
      <w:r>
        <w:t xml:space="preserve"> Published UK biomarker data and UK clinical experts confirm that the proportion of patients in each </w:t>
      </w:r>
      <w:r w:rsidR="005546A2">
        <w:t>HR-</w:t>
      </w:r>
      <w:r>
        <w:t>status group (HR-positive: 88.7%; HR-negative: 11.3%) was reflective of UK clinical practice, therefore confirming the use of the FAS in the trial.</w:t>
      </w:r>
      <w:r>
        <w:fldChar w:fldCharType="begin"/>
      </w:r>
      <w:r w:rsidR="00CA6345">
        <w:instrText xml:space="preserve"> ADDIN ZOTERO_ITEM CSL_CITATION {"citationID":"I2AKZBrh","properties":{"formattedCitation":"\\super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fldChar w:fldCharType="separate"/>
      </w:r>
      <w:r w:rsidR="00CA6345" w:rsidRPr="00CA6345">
        <w:rPr>
          <w:rFonts w:cs="Arial"/>
          <w:szCs w:val="24"/>
          <w:vertAlign w:val="superscript"/>
        </w:rPr>
        <w:t>121</w:t>
      </w:r>
      <w:r>
        <w:fldChar w:fldCharType="end"/>
      </w:r>
    </w:p>
    <w:p w14:paraId="3C897AC3" w14:textId="06417F08" w:rsidR="000B148D" w:rsidRDefault="000B148D" w:rsidP="000B148D">
      <w:pPr>
        <w:pStyle w:val="Body"/>
      </w:pPr>
      <w:r>
        <w:t>Clinical experts agreed that t</w:t>
      </w:r>
      <w:r w:rsidRPr="00054570">
        <w:t xml:space="preserve">he </w:t>
      </w:r>
      <w:r>
        <w:t>comparator</w:t>
      </w:r>
      <w:r w:rsidRPr="00054570">
        <w:t xml:space="preserve"> arm </w:t>
      </w:r>
      <w:r>
        <w:t xml:space="preserve">of </w:t>
      </w:r>
      <w:r w:rsidRPr="00054570">
        <w:t xml:space="preserve">DESTINY-Breast04 </w:t>
      </w:r>
      <w:r>
        <w:t xml:space="preserve">(comprising </w:t>
      </w:r>
      <w:r w:rsidRPr="00966FF8">
        <w:t>eribulin</w:t>
      </w:r>
      <w:r>
        <w:t xml:space="preserve">, </w:t>
      </w:r>
      <w:r w:rsidRPr="00966FF8">
        <w:t>capecitabine</w:t>
      </w:r>
      <w:r>
        <w:t xml:space="preserve">, </w:t>
      </w:r>
      <w:r w:rsidRPr="00966FF8">
        <w:t>nab-paclitaxel</w:t>
      </w:r>
      <w:r>
        <w:t xml:space="preserve">, </w:t>
      </w:r>
      <w:r w:rsidRPr="00966FF8">
        <w:t>gemcitabine and paclitaxel</w:t>
      </w:r>
      <w:r>
        <w:t xml:space="preserve">) is relevant as it </w:t>
      </w:r>
      <w:r w:rsidRPr="00054570">
        <w:t>includes treatments widely used in the UK</w:t>
      </w:r>
      <w:r>
        <w:t xml:space="preserve"> after one or two prior lines of non-targeted chemotherapy in the metastatic setting.</w:t>
      </w:r>
      <w:r>
        <w:fldChar w:fldCharType="begin"/>
      </w:r>
      <w:r w:rsidR="00CA6345">
        <w:instrText xml:space="preserve"> ADDIN ZOTERO_ITEM CSL_CITATION {"citationID":"BkvdLPgu","properties":{"formattedCitation":"\\super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fldChar w:fldCharType="separate"/>
      </w:r>
      <w:r w:rsidR="00CA6345" w:rsidRPr="00CA6345">
        <w:rPr>
          <w:rFonts w:cs="Arial"/>
          <w:szCs w:val="24"/>
          <w:vertAlign w:val="superscript"/>
        </w:rPr>
        <w:t>121</w:t>
      </w:r>
      <w:r>
        <w:fldChar w:fldCharType="end"/>
      </w:r>
      <w:r>
        <w:t xml:space="preserve"> The range of comparators </w:t>
      </w:r>
      <w:r w:rsidRPr="00054570">
        <w:t xml:space="preserve">reflects how u/mBC is treated in the UK </w:t>
      </w:r>
      <w:r>
        <w:t>where the choice of non-targeted chemotherapy at later lines is based on</w:t>
      </w:r>
      <w:r w:rsidRPr="00054570">
        <w:t xml:space="preserve"> clinician</w:t>
      </w:r>
      <w:r>
        <w:t xml:space="preserve"> preference as well as </w:t>
      </w:r>
      <w:r w:rsidRPr="00054570">
        <w:t>patient</w:t>
      </w:r>
      <w:r>
        <w:t>-specific</w:t>
      </w:r>
      <w:r w:rsidRPr="00054570">
        <w:t xml:space="preserve"> need</w:t>
      </w:r>
      <w:r>
        <w:t>s.</w:t>
      </w:r>
      <w:r>
        <w:fldChar w:fldCharType="begin"/>
      </w:r>
      <w:r w:rsidR="00CA6345">
        <w:instrText xml:space="preserve"> ADDIN ZOTERO_ITEM CSL_CITATION {"citationID":"Ki6YctiY","properties":{"formattedCitation":"\\super 7,121\\nosupersub{}","plainCitation":"7,121","noteIndex":0},"citationItems":[{"id":65944,"uris":["http://zotero.org/groups/4797619/items/WBVSVVF7"],"itemData":{"id":65944,"type":"document","title":"Clinical Study Report for DS8201-A-U303. Data cut-off date: 11 Jan 2022. Data on File.","author":[{"family":"Daiichi Sankyo Inc.","given":""}],"issued":{"date-parts":[["2022"]]}}},{"id":66356,"uris":["http://zotero.org/groups/4797619/items/N6DNXLEP"],"itemData":{"id":66356,"type":"document","title":"T-DXd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fldChar w:fldCharType="separate"/>
      </w:r>
      <w:r w:rsidR="00CA6345" w:rsidRPr="00CA6345">
        <w:rPr>
          <w:rFonts w:cs="Arial"/>
          <w:szCs w:val="24"/>
          <w:vertAlign w:val="superscript"/>
        </w:rPr>
        <w:t>7,121</w:t>
      </w:r>
      <w:r>
        <w:fldChar w:fldCharType="end"/>
      </w:r>
      <w:r>
        <w:t xml:space="preserve"> </w:t>
      </w:r>
      <w:r w:rsidRPr="00054570">
        <w:t>Given that there is no single standard of care</w:t>
      </w:r>
      <w:r w:rsidR="00A44B22">
        <w:t xml:space="preserve"> </w:t>
      </w:r>
      <w:r w:rsidRPr="00054570">
        <w:t>in the UK</w:t>
      </w:r>
      <w:r>
        <w:t xml:space="preserve"> and a wide range of chemotherapies are used</w:t>
      </w:r>
      <w:r w:rsidRPr="00054570">
        <w:t>,</w:t>
      </w:r>
      <w:r w:rsidRPr="00054570">
        <w:fldChar w:fldCharType="begin"/>
      </w:r>
      <w:r w:rsidR="00CA6345">
        <w:instrText xml:space="preserve"> ADDIN ZOTERO_ITEM CSL_CITATION {"citationID":"FXe1ibM2","properties":{"formattedCitation":"\\super 1\\nosupersub{}","plainCitation":"1","noteIndex":0},"citationItems":[{"id":66383,"uris":["http://zotero.org/groups/4797619/items/Y75R2AJY"],"itemData":{"id":66383,"type":"webpage","language":"eng","note":"publisher: NICE","title":"Final Scope. Trastuzumab deruxtecan for treating HER2-low unresectable or metastatic breast cancer after chemotherapy","URL":"https://www.nice.org.uk/guidance/gid-ta10813/documents/final-scope","author":[{"family":"NICE","given":""}],"accessed":{"date-parts":[["2022",11,29]]},"issued":{"date-parts":[["2023",1,6]]}}}],"schema":"https://github.com/citation-style-language/schema/raw/master/csl-citation.json"} </w:instrText>
      </w:r>
      <w:r w:rsidRPr="00054570">
        <w:fldChar w:fldCharType="separate"/>
      </w:r>
      <w:r w:rsidR="00FD57F4" w:rsidRPr="00FD57F4">
        <w:rPr>
          <w:rFonts w:cs="Arial"/>
          <w:szCs w:val="24"/>
          <w:vertAlign w:val="superscript"/>
        </w:rPr>
        <w:t>1</w:t>
      </w:r>
      <w:r w:rsidRPr="00054570">
        <w:fldChar w:fldCharType="end"/>
      </w:r>
      <w:r w:rsidRPr="00054570">
        <w:t xml:space="preserve"> the </w:t>
      </w:r>
      <w:r>
        <w:t>relevance of</w:t>
      </w:r>
      <w:r w:rsidRPr="00054570">
        <w:t xml:space="preserve"> TPC </w:t>
      </w:r>
      <w:r>
        <w:t xml:space="preserve">as the comparator arm </w:t>
      </w:r>
      <w:r w:rsidRPr="00054570">
        <w:t>in DESTINY-Breast04 is a strength of the evidence base.</w:t>
      </w:r>
      <w:r>
        <w:fldChar w:fldCharType="begin"/>
      </w:r>
      <w:r w:rsidR="00CA6345">
        <w:instrText xml:space="preserve"> ADDIN ZOTERO_ITEM CSL_CITATION {"citationID":"V8NiKBpt","properties":{"formattedCitation":"\\super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fldChar w:fldCharType="separate"/>
      </w:r>
      <w:r w:rsidR="00CA6345" w:rsidRPr="00CA6345">
        <w:rPr>
          <w:rFonts w:cs="Arial"/>
          <w:szCs w:val="24"/>
          <w:vertAlign w:val="superscript"/>
        </w:rPr>
        <w:t>121</w:t>
      </w:r>
      <w:r>
        <w:fldChar w:fldCharType="end"/>
      </w:r>
      <w:r w:rsidRPr="00054570">
        <w:t xml:space="preserve"> </w:t>
      </w:r>
      <w:r>
        <w:t>T</w:t>
      </w:r>
      <w:r w:rsidRPr="00054570">
        <w:t>he comparators listed in the NICE final scope</w:t>
      </w:r>
      <w:r w:rsidRPr="00054570">
        <w:fldChar w:fldCharType="begin"/>
      </w:r>
      <w:r w:rsidR="00CA6345">
        <w:instrText xml:space="preserve"> ADDIN ZOTERO_ITEM CSL_CITATION {"citationID":"aLqxF7LY","properties":{"formattedCitation":"\\super 1\\nosupersub{}","plainCitation":"1","noteIndex":0},"citationItems":[{"id":66383,"uris":["http://zotero.org/groups/4797619/items/Y75R2AJY"],"itemData":{"id":66383,"type":"webpage","language":"eng","note":"publisher: NICE","title":"Final Scope. Trastuzumab deruxtecan for treating HER2-low unresectable or metastatic breast cancer after chemotherapy","URL":"https://www.nice.org.uk/guidance/gid-ta10813/documents/final-scope","author":[{"family":"NICE","given":""}],"accessed":{"date-parts":[["2022",11,29]]},"issued":{"date-parts":[["2023",1,6]]}}}],"schema":"https://github.com/citation-style-language/schema/raw/master/csl-citation.json"} </w:instrText>
      </w:r>
      <w:r w:rsidRPr="00054570">
        <w:fldChar w:fldCharType="separate"/>
      </w:r>
      <w:r w:rsidR="00FD57F4" w:rsidRPr="00FD57F4">
        <w:rPr>
          <w:rFonts w:cs="Arial"/>
          <w:szCs w:val="24"/>
          <w:vertAlign w:val="superscript"/>
        </w:rPr>
        <w:t>1</w:t>
      </w:r>
      <w:r w:rsidRPr="00054570">
        <w:fldChar w:fldCharType="end"/>
      </w:r>
      <w:r w:rsidRPr="00054570">
        <w:t xml:space="preserve"> are well represented in the TPC arm of DESTINY-Breast04.</w:t>
      </w:r>
      <w:r>
        <w:t xml:space="preserve"> Clinical and HEOR experts agreed that, for decision</w:t>
      </w:r>
      <w:r w:rsidR="008A68B0">
        <w:t>-</w:t>
      </w:r>
      <w:r>
        <w:t>making, TPC is the relevant comparator in this appraisal.</w:t>
      </w:r>
      <w:r w:rsidRPr="00054570">
        <w:fldChar w:fldCharType="begin"/>
      </w:r>
      <w:r w:rsidR="00CA6345">
        <w:instrText xml:space="preserve"> ADDIN ZOTERO_ITEM CSL_CITATION {"citationID":"7stIKfqx","properties":{"formattedCitation":"\\super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Pr="00054570">
        <w:fldChar w:fldCharType="separate"/>
      </w:r>
      <w:r w:rsidR="00CA6345" w:rsidRPr="00CA6345">
        <w:rPr>
          <w:rFonts w:cs="Arial"/>
          <w:szCs w:val="24"/>
          <w:vertAlign w:val="superscript"/>
        </w:rPr>
        <w:t>121</w:t>
      </w:r>
      <w:r w:rsidRPr="00054570">
        <w:fldChar w:fldCharType="end"/>
      </w:r>
      <w:r>
        <w:t xml:space="preserve"> </w:t>
      </w:r>
    </w:p>
    <w:p w14:paraId="50C52A4B" w14:textId="51F9E80A" w:rsidR="00D566AB" w:rsidRDefault="000B148D" w:rsidP="00D566AB">
      <w:pPr>
        <w:pStyle w:val="Body"/>
      </w:pPr>
      <w:r>
        <w:t xml:space="preserve">Another strength of the evidence base is </w:t>
      </w:r>
      <w:r w:rsidR="005C545D">
        <w:t>in the</w:t>
      </w:r>
      <w:r w:rsidR="00DD0046">
        <w:t xml:space="preserve"> efficacy of T-DXd </w:t>
      </w:r>
      <w:r w:rsidR="001562F0">
        <w:t>which</w:t>
      </w:r>
      <w:r w:rsidR="00DD0046">
        <w:t xml:space="preserve"> was confirmed across multiple clinically meaningful endpoints, including all those listed </w:t>
      </w:r>
      <w:r w:rsidR="00DD0046" w:rsidRPr="00054570">
        <w:t>in the final scope</w:t>
      </w:r>
      <w:r w:rsidR="00DD0046">
        <w:t xml:space="preserve">, </w:t>
      </w:r>
      <w:r w:rsidR="00DD0046" w:rsidRPr="00054570">
        <w:t>cover</w:t>
      </w:r>
      <w:r w:rsidR="00DD0046">
        <w:t>ing</w:t>
      </w:r>
      <w:r w:rsidR="00DD0046" w:rsidRPr="00054570">
        <w:t xml:space="preserve"> the most important outcomes in oncology.</w:t>
      </w:r>
      <w:r w:rsidR="00DD0046" w:rsidRPr="00054570">
        <w:fldChar w:fldCharType="begin"/>
      </w:r>
      <w:r w:rsidR="00CA6345">
        <w:instrText xml:space="preserve"> ADDIN ZOTERO_ITEM CSL_CITATION {"citationID":"pbFTP7pI","properties":{"formattedCitation":"\\super 1,7\\nosupersub{}","plainCitation":"1,7","noteIndex":0},"citationItems":[{"id":65944,"uris":["http://zotero.org/groups/4797619/items/WBVSVVF7"],"itemData":{"id":65944,"type":"document","title":"Clinical Study Report for DS8201-A-U303. Data cut-off date: 11 Jan 2022. Data on File.","author":[{"family":"Daiichi Sankyo Inc.","given":""}],"issued":{"date-parts":[["2022"]]}}},{"id":66383,"uris":["http://zotero.org/groups/4797619/items/Y75R2AJY"],"itemData":{"id":66383,"type":"webpage","language":"eng","note":"publisher: NICE","title":"Final Scope. Trastuzumab deruxtecan for treating HER2-low unresectable or metastatic breast cancer after chemotherapy","URL":"https://www.nice.org.uk/guidance/gid-ta10813/documents/final-scope","author":[{"family":"NICE","given":""}],"accessed":{"date-parts":[["2022",11,29]]},"issued":{"date-parts":[["2023",1,6]]}}}],"schema":"https://github.com/citation-style-language/schema/raw/master/csl-citation.json"} </w:instrText>
      </w:r>
      <w:r w:rsidR="00DD0046" w:rsidRPr="00054570">
        <w:fldChar w:fldCharType="separate"/>
      </w:r>
      <w:r w:rsidR="00FD57F4" w:rsidRPr="00FD57F4">
        <w:rPr>
          <w:rFonts w:cs="Arial"/>
          <w:szCs w:val="24"/>
          <w:vertAlign w:val="superscript"/>
        </w:rPr>
        <w:t>1,7</w:t>
      </w:r>
      <w:r w:rsidR="00DD0046" w:rsidRPr="00054570">
        <w:fldChar w:fldCharType="end"/>
      </w:r>
      <w:r w:rsidR="00DD0046" w:rsidRPr="00054570">
        <w:t xml:space="preserve"> </w:t>
      </w:r>
      <w:r w:rsidR="00D566AB">
        <w:t xml:space="preserve">In </w:t>
      </w:r>
      <w:r w:rsidR="00D566AB" w:rsidRPr="00054570">
        <w:t>DESTINY-Breast04, T</w:t>
      </w:r>
      <w:r w:rsidR="00D566AB" w:rsidRPr="00054570">
        <w:noBreakHyphen/>
        <w:t>DXd demonstrated statistically significant superiority compared with TPC for the primary endpoint of PFS by BICR in the HR</w:t>
      </w:r>
      <w:r w:rsidR="00D566AB">
        <w:t>-positive</w:t>
      </w:r>
      <w:r w:rsidR="00D566AB" w:rsidRPr="00054570">
        <w:t xml:space="preserve"> cohort (median PFS: 10.1 vs 5.4 months; HR: 0.51; p&lt;0.001).</w:t>
      </w:r>
      <w:r w:rsidR="00D566AB">
        <w:fldChar w:fldCharType="begin"/>
      </w:r>
      <w:r w:rsidR="00CA6345">
        <w:instrText xml:space="preserve"> ADDIN ZOTERO_ITEM CSL_CITATION {"citationID":"eG8pqbFX","properties":{"formattedCitation":"\\super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00D566AB">
        <w:fldChar w:fldCharType="separate"/>
      </w:r>
      <w:r w:rsidR="00FD57F4" w:rsidRPr="00FD57F4">
        <w:rPr>
          <w:rFonts w:cs="Arial"/>
          <w:szCs w:val="24"/>
          <w:vertAlign w:val="superscript"/>
        </w:rPr>
        <w:t>6</w:t>
      </w:r>
      <w:r w:rsidR="00D566AB">
        <w:fldChar w:fldCharType="end"/>
      </w:r>
      <w:r w:rsidR="00D566AB" w:rsidRPr="00054570">
        <w:t xml:space="preserve"> </w:t>
      </w:r>
      <w:r w:rsidR="00D566AB">
        <w:t xml:space="preserve">The </w:t>
      </w:r>
      <w:r w:rsidR="00D566AB" w:rsidRPr="00054570">
        <w:t xml:space="preserve">findings of the primary endpoint were </w:t>
      </w:r>
      <w:r w:rsidR="00294FDC" w:rsidRPr="00294FDC">
        <w:rPr>
          <w:color w:val="000000"/>
          <w:highlight w:val="black"/>
        </w:rPr>
        <w:t>xxxxxxxxxxxxx</w:t>
      </w:r>
      <w:r w:rsidR="003813A2">
        <w:rPr>
          <w:color w:val="000000"/>
          <w:highlight w:val="black"/>
        </w:rPr>
        <w:t xml:space="preserve"> </w:t>
      </w:r>
      <w:r w:rsidR="00294FDC" w:rsidRPr="00294FDC">
        <w:rPr>
          <w:color w:val="000000"/>
          <w:highlight w:val="black"/>
        </w:rPr>
        <w:t>xxxxxxxxxx</w:t>
      </w:r>
      <w:r w:rsidR="003813A2">
        <w:rPr>
          <w:color w:val="000000"/>
          <w:highlight w:val="black"/>
        </w:rPr>
        <w:t xml:space="preserve"> </w:t>
      </w:r>
      <w:r w:rsidR="00294FDC" w:rsidRPr="00294FDC">
        <w:rPr>
          <w:color w:val="000000"/>
          <w:highlight w:val="black"/>
        </w:rPr>
        <w:t>xxx</w:t>
      </w:r>
      <w:r w:rsidR="003813A2">
        <w:rPr>
          <w:color w:val="000000"/>
          <w:highlight w:val="black"/>
        </w:rPr>
        <w:t xml:space="preserve"> </w:t>
      </w:r>
      <w:r w:rsidR="00294FDC" w:rsidRPr="00294FDC">
        <w:rPr>
          <w:color w:val="000000"/>
          <w:highlight w:val="black"/>
        </w:rPr>
        <w:t>xxxxx</w:t>
      </w:r>
      <w:r w:rsidR="00D566AB">
        <w:t>.</w:t>
      </w:r>
      <w:r w:rsidR="00D566AB">
        <w:fldChar w:fldCharType="begin"/>
      </w:r>
      <w:r w:rsidR="00CA6345">
        <w:instrText xml:space="preserve"> ADDIN ZOTERO_ITEM CSL_CITATION {"citationID":"1MFHTWl3","properties":{"formattedCitation":"\\super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00D566AB">
        <w:fldChar w:fldCharType="separate"/>
      </w:r>
      <w:r w:rsidR="00FD57F4" w:rsidRPr="00FD57F4">
        <w:rPr>
          <w:rFonts w:cs="Arial"/>
          <w:szCs w:val="24"/>
          <w:vertAlign w:val="superscript"/>
        </w:rPr>
        <w:t>7</w:t>
      </w:r>
      <w:r w:rsidR="00D566AB">
        <w:fldChar w:fldCharType="end"/>
      </w:r>
      <w:r w:rsidR="00D566AB" w:rsidRPr="001304A0">
        <w:t xml:space="preserve"> </w:t>
      </w:r>
      <w:r w:rsidR="00D566AB" w:rsidRPr="00054570">
        <w:t>T</w:t>
      </w:r>
      <w:r w:rsidR="00D566AB" w:rsidRPr="00054570">
        <w:noBreakHyphen/>
        <w:t xml:space="preserve">DXd was also associated with statistically significant </w:t>
      </w:r>
      <w:r w:rsidR="00EC5980">
        <w:t>superiority</w:t>
      </w:r>
      <w:r w:rsidR="00D566AB" w:rsidRPr="00054570">
        <w:t xml:space="preserve"> over TPC </w:t>
      </w:r>
      <w:r w:rsidR="00D566AB">
        <w:t>for all</w:t>
      </w:r>
      <w:r w:rsidR="00D566AB" w:rsidRPr="00054570">
        <w:t xml:space="preserve"> secondary efficacy endpoints</w:t>
      </w:r>
      <w:r w:rsidR="00D566AB">
        <w:t xml:space="preserve">: </w:t>
      </w:r>
      <w:r w:rsidR="00D566AB" w:rsidRPr="00054570">
        <w:t>PFS by BICR in the FAS (</w:t>
      </w:r>
      <w:r w:rsidR="00D566AB">
        <w:t>median PFS: 9.9 months vs. 5.1 months; HR: 0.50; p&lt;0.001)</w:t>
      </w:r>
      <w:r w:rsidR="00D566AB" w:rsidRPr="00054570">
        <w:t>, OS in the HR</w:t>
      </w:r>
      <w:r w:rsidR="00D566AB">
        <w:t>-positive</w:t>
      </w:r>
      <w:r w:rsidR="00D566AB" w:rsidRPr="00054570">
        <w:t xml:space="preserve"> cohort </w:t>
      </w:r>
      <w:r w:rsidR="00D566AB">
        <w:t xml:space="preserve">(median OS: 23.9 months vs. 17.5 months; HR: 0.64; p=0.003) </w:t>
      </w:r>
      <w:r w:rsidR="00D566AB" w:rsidRPr="00054570">
        <w:t xml:space="preserve">and OS in the FAS </w:t>
      </w:r>
      <w:r w:rsidR="00D566AB">
        <w:t>(median OS: 23.4 months vs.16.8 months; HR: 0.64; p=0.001).</w:t>
      </w:r>
      <w:r w:rsidR="00D566AB">
        <w:fldChar w:fldCharType="begin"/>
      </w:r>
      <w:r w:rsidR="00CA6345">
        <w:instrText xml:space="preserve"> ADDIN ZOTERO_ITEM CSL_CITATION {"citationID":"kMMZp6D6","properties":{"formattedCitation":"\\super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00D566AB">
        <w:fldChar w:fldCharType="separate"/>
      </w:r>
      <w:r w:rsidR="00FD57F4" w:rsidRPr="00FD57F4">
        <w:rPr>
          <w:rFonts w:cs="Arial"/>
          <w:szCs w:val="24"/>
          <w:vertAlign w:val="superscript"/>
        </w:rPr>
        <w:t>6</w:t>
      </w:r>
      <w:r w:rsidR="00D566AB">
        <w:fldChar w:fldCharType="end"/>
      </w:r>
      <w:r w:rsidR="00D566AB">
        <w:t xml:space="preserve"> </w:t>
      </w:r>
      <w:r w:rsidR="00D566AB" w:rsidRPr="00530CFF">
        <w:t xml:space="preserve">Likewise, T-DXd was associated with improved PFS and OS outcomes vs. TPC in </w:t>
      </w:r>
      <w:r w:rsidR="00D566AB">
        <w:t>an exploratory analysis of the</w:t>
      </w:r>
      <w:r w:rsidR="00D566AB" w:rsidRPr="00530CFF">
        <w:t xml:space="preserve"> HR-negative cohort, with longer PFS (median PFS by BICR: 8.5 vs. 2.9 months; HR: 0.46; p=</w:t>
      </w:r>
      <w:r w:rsidR="00D566AB">
        <w:t>0.0135</w:t>
      </w:r>
      <w:r w:rsidR="00D566AB" w:rsidRPr="00530CFF">
        <w:t>) and longer OS (median OS: 18.2 vs. 8.3 months; HR: 0.48</w:t>
      </w:r>
      <w:r w:rsidR="00D566AB">
        <w:t>; p=0.1732</w:t>
      </w:r>
      <w:r w:rsidR="00D566AB" w:rsidRPr="00530CFF">
        <w:t>).</w:t>
      </w:r>
      <w:r w:rsidR="00D566AB">
        <w:fldChar w:fldCharType="begin"/>
      </w:r>
      <w:r w:rsidR="00CA6345">
        <w:instrText xml:space="preserve"> ADDIN ZOTERO_ITEM CSL_CITATION {"citationID":"wAySozCF","properties":{"formattedCitation":"\\super 6,7\\nosupersub{}","plainCitation":"6,7","noteIndex":0},"citationItems":[{"id":65944,"uris":["http://zotero.org/groups/4797619/items/WBVSVVF7"],"itemData":{"id":65944,"type":"document","title":"Clinical Study Report for DS8201-A-U303. Data cut-off date: 11 Jan 2022. Data on File.","author":[{"family":"Daiichi Sankyo Inc.","given":""}],"issued":{"date-parts":[["2022"]]}}},{"id":66153,"uris":["http://zotero.org/groups/4797619/items/DIMCLQBB"],"itemData":{"id":66153,"type":"article-journal","container-title":"New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00D566AB">
        <w:fldChar w:fldCharType="separate"/>
      </w:r>
      <w:r w:rsidR="00FD57F4" w:rsidRPr="00FD57F4">
        <w:rPr>
          <w:rFonts w:cs="Arial"/>
          <w:szCs w:val="24"/>
          <w:vertAlign w:val="superscript"/>
        </w:rPr>
        <w:t>6,7</w:t>
      </w:r>
      <w:r w:rsidR="00D566AB">
        <w:fldChar w:fldCharType="end"/>
      </w:r>
      <w:r w:rsidR="0062725C">
        <w:t xml:space="preserve"> </w:t>
      </w:r>
    </w:p>
    <w:p w14:paraId="430A70CF" w14:textId="46E0BADD" w:rsidR="000B148D" w:rsidRDefault="00697ADB" w:rsidP="000B148D">
      <w:pPr>
        <w:pStyle w:val="Body"/>
      </w:pPr>
      <w:r>
        <w:t xml:space="preserve">The magnitude of </w:t>
      </w:r>
      <w:r w:rsidR="00E825CF">
        <w:t xml:space="preserve">survival </w:t>
      </w:r>
      <w:r>
        <w:t xml:space="preserve">benefit </w:t>
      </w:r>
      <w:r w:rsidR="00E825CF">
        <w:t xml:space="preserve">with T-DXd over TPC </w:t>
      </w:r>
      <w:r>
        <w:t>was</w:t>
      </w:r>
      <w:r w:rsidR="000B148D">
        <w:t xml:space="preserve"> consistent across all key subgroups, including </w:t>
      </w:r>
      <w:r w:rsidR="00FF48E7" w:rsidRPr="00054570">
        <w:t xml:space="preserve">number of prior lines of chemotherapy in the metastatic setting, prior </w:t>
      </w:r>
      <w:r w:rsidR="00FF48E7">
        <w:t xml:space="preserve">treatment with </w:t>
      </w:r>
      <w:r w:rsidR="00FF48E7" w:rsidRPr="00054570">
        <w:t>CDK4/6 inhibitors</w:t>
      </w:r>
      <w:r w:rsidR="00FF48E7">
        <w:t xml:space="preserve">, ECOG performance status, baseline visceral disease, and </w:t>
      </w:r>
      <w:r w:rsidR="00FF48E7">
        <w:lastRenderedPageBreak/>
        <w:t>baseline brain metastases</w:t>
      </w:r>
      <w:r w:rsidR="000B148D">
        <w:t>.</w:t>
      </w:r>
      <w:r w:rsidR="000B148D">
        <w:fldChar w:fldCharType="begin"/>
      </w:r>
      <w:r w:rsidR="00CA6345">
        <w:instrText xml:space="preserve"> ADDIN ZOTERO_ITEM CSL_CITATION {"citationID":"Oliv2jEB","properties":{"formattedCitation":"\\super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000B148D">
        <w:fldChar w:fldCharType="separate"/>
      </w:r>
      <w:r w:rsidR="00FD57F4" w:rsidRPr="00FD57F4">
        <w:rPr>
          <w:rFonts w:cs="Arial"/>
          <w:szCs w:val="24"/>
          <w:vertAlign w:val="superscript"/>
        </w:rPr>
        <w:t>7</w:t>
      </w:r>
      <w:r w:rsidR="000B148D">
        <w:fldChar w:fldCharType="end"/>
      </w:r>
      <w:r w:rsidR="000B148D">
        <w:t xml:space="preserve"> The consistency of these results demonstrates the reliability of the evidence base. The reliability</w:t>
      </w:r>
      <w:r w:rsidR="00A710CD">
        <w:t xml:space="preserve"> and external validity</w:t>
      </w:r>
      <w:r w:rsidR="000B148D">
        <w:t xml:space="preserve"> of the evidence base is </w:t>
      </w:r>
      <w:r w:rsidR="00265054">
        <w:t>reinforced</w:t>
      </w:r>
      <w:r w:rsidR="000B148D">
        <w:t xml:space="preserve"> by a </w:t>
      </w:r>
      <w:r w:rsidR="00015E50">
        <w:t xml:space="preserve">naïve </w:t>
      </w:r>
      <w:r w:rsidR="000B148D">
        <w:t xml:space="preserve">comparison of survival outcomes in DESTINY-Breast04 </w:t>
      </w:r>
      <w:r w:rsidR="00015E50">
        <w:t>vs.</w:t>
      </w:r>
      <w:r w:rsidR="000B148D">
        <w:t xml:space="preserve"> previous studies </w:t>
      </w:r>
      <w:r w:rsidR="005A17BC">
        <w:t xml:space="preserve">of </w:t>
      </w:r>
      <w:r w:rsidR="000B148D">
        <w:t>single-agent non-targeted chemotherap</w:t>
      </w:r>
      <w:r w:rsidR="000C7F24">
        <w:t>ies</w:t>
      </w:r>
      <w:r w:rsidR="000B148D">
        <w:t xml:space="preserve"> in HER2-negative u/mBC (</w:t>
      </w:r>
      <w:r w:rsidR="000B148D">
        <w:fldChar w:fldCharType="begin"/>
      </w:r>
      <w:r w:rsidR="000B148D">
        <w:instrText xml:space="preserve"> REF _Ref126923702 \h  \* MERGEFORMAT </w:instrText>
      </w:r>
      <w:r w:rsidR="000B148D">
        <w:fldChar w:fldCharType="separate"/>
      </w:r>
      <w:r w:rsidR="00145F42" w:rsidRPr="00145F42">
        <w:rPr>
          <w:b/>
          <w:bCs/>
        </w:rPr>
        <w:t xml:space="preserve">Table </w:t>
      </w:r>
      <w:r w:rsidR="00145F42" w:rsidRPr="00145F42">
        <w:rPr>
          <w:b/>
          <w:bCs/>
          <w:noProof/>
        </w:rPr>
        <w:t>30</w:t>
      </w:r>
      <w:r w:rsidR="000B148D">
        <w:fldChar w:fldCharType="end"/>
      </w:r>
      <w:r w:rsidR="000B148D">
        <w:t xml:space="preserve">). </w:t>
      </w:r>
      <w:r w:rsidR="00015E50">
        <w:t xml:space="preserve">The naïve comparison </w:t>
      </w:r>
      <w:r w:rsidR="000B148D">
        <w:t xml:space="preserve">confirms the external validity of DESTINY-Breast04 given </w:t>
      </w:r>
      <w:r w:rsidR="00FF7AAF">
        <w:t xml:space="preserve">the similarity in </w:t>
      </w:r>
      <w:r w:rsidR="000B148D">
        <w:t xml:space="preserve">survival in the TPC arm </w:t>
      </w:r>
      <w:r w:rsidR="00FF7AAF">
        <w:t>with</w:t>
      </w:r>
      <w:r w:rsidR="000B148D">
        <w:t xml:space="preserve"> previous studies. </w:t>
      </w:r>
      <w:r w:rsidR="00015E50">
        <w:t xml:space="preserve">It also </w:t>
      </w:r>
      <w:r w:rsidR="000B148D">
        <w:t>provides confidence that T-DXd offers unprecedented survival benefit over non-targeted single-agent chemotherapies.</w:t>
      </w:r>
    </w:p>
    <w:p w14:paraId="574BABFB" w14:textId="1E120FB3" w:rsidR="00855907" w:rsidRDefault="00855907" w:rsidP="00855907">
      <w:pPr>
        <w:pStyle w:val="Body"/>
      </w:pPr>
      <w:r>
        <w:t>Quality-of-life</w:t>
      </w:r>
      <w:r w:rsidRPr="00054570">
        <w:t xml:space="preserve"> of patients was </w:t>
      </w:r>
      <w:r w:rsidR="00294FDC" w:rsidRPr="00294FDC">
        <w:rPr>
          <w:color w:val="000000"/>
          <w:highlight w:val="black"/>
        </w:rPr>
        <w:t>xxxxxxxxxxxxxxxxxxxxxxx</w:t>
      </w:r>
      <w:r>
        <w:t xml:space="preserve"> with T-</w:t>
      </w:r>
      <w:r w:rsidR="006D3820">
        <w:t xml:space="preserve">DXd </w:t>
      </w:r>
      <w:r>
        <w:t>across a range of generic (EQ-5D-5L) and cancer-specific (</w:t>
      </w:r>
      <w:r w:rsidRPr="00AA6742">
        <w:t xml:space="preserve">EORTC QLQ-C30 </w:t>
      </w:r>
      <w:r>
        <w:t xml:space="preserve">and </w:t>
      </w:r>
      <w:r w:rsidRPr="00054570">
        <w:t>EORTC QLQ-C30</w:t>
      </w:r>
      <w:r>
        <w:t>) PRO instruments</w:t>
      </w:r>
      <w:r w:rsidR="006D3820">
        <w:t>, and T-DXd was associated</w:t>
      </w:r>
      <w:r>
        <w:t xml:space="preserve"> with </w:t>
      </w:r>
      <w:r w:rsidR="00294FDC" w:rsidRPr="00294FDC">
        <w:rPr>
          <w:color w:val="000000"/>
          <w:highlight w:val="black"/>
        </w:rPr>
        <w:t>xxxxxx</w:t>
      </w:r>
      <w:r>
        <w:t xml:space="preserve"> TTDD across almost all </w:t>
      </w:r>
      <w:r w:rsidR="006D3820">
        <w:t xml:space="preserve">QoL </w:t>
      </w:r>
      <w:r>
        <w:t xml:space="preserve">measures and </w:t>
      </w:r>
      <w:r w:rsidR="006D3820">
        <w:t>sub</w:t>
      </w:r>
      <w:r>
        <w:t>scales compared with TPC.</w:t>
      </w:r>
      <w:r w:rsidR="00BB23E0">
        <w:fldChar w:fldCharType="begin"/>
      </w:r>
      <w:r w:rsidR="00CA6345">
        <w:instrText xml:space="preserve"> ADDIN ZOTERO_ITEM CSL_CITATION {"citationID":"MpUM93fL","properties":{"formattedCitation":"\\super 7,152\\nosupersub{}","plainCitation":"7,152","noteIndex":0},"citationItems":[{"id":65944,"uris":["http://zotero.org/groups/4797619/items/WBVSVVF7"],"itemData":{"id":65944,"type":"document","title":"Clinical Study Report for DS8201-A-U303. Data cut-off date: 11 Jan 2022. Data on File.","author":[{"family":"Daiichi Sankyo Inc.","given":""}],"issued":{"date-parts":[["2022"]]}}},{"id":66410,"uris":["http://zotero.org/groups/4797619/items/RKV2VG2A"],"itemData":{"id":66410,"type":"document","title":"FAS PRO tables and figures. Data on File.","author":[{"family":"Daiichi Sankyo Inc.","given":""}]}}],"schema":"https://github.com/citation-style-language/schema/raw/master/csl-citation.json"} </w:instrText>
      </w:r>
      <w:r w:rsidR="00BB23E0">
        <w:fldChar w:fldCharType="separate"/>
      </w:r>
      <w:r w:rsidR="00CA6345" w:rsidRPr="00CA6345">
        <w:rPr>
          <w:rFonts w:cs="Arial"/>
          <w:szCs w:val="24"/>
          <w:vertAlign w:val="superscript"/>
        </w:rPr>
        <w:t>7,152</w:t>
      </w:r>
      <w:r w:rsidR="00BB23E0">
        <w:fldChar w:fldCharType="end"/>
      </w:r>
      <w:r>
        <w:t xml:space="preserve"> </w:t>
      </w:r>
    </w:p>
    <w:p w14:paraId="663C835D" w14:textId="48E4C212" w:rsidR="00855907" w:rsidRPr="003C648C" w:rsidRDefault="00855907" w:rsidP="000823B3">
      <w:pPr>
        <w:pStyle w:val="Body"/>
        <w:rPr>
          <w:highlight w:val="green"/>
        </w:rPr>
      </w:pPr>
      <w:r w:rsidRPr="00054570">
        <w:t>The safety profile of T</w:t>
      </w:r>
      <w:r w:rsidRPr="00054570">
        <w:noBreakHyphen/>
        <w:t>DXd in DESTINY-Breast04 was generally manageable and tolerable.</w:t>
      </w:r>
      <w:r w:rsidR="00D75EF8">
        <w:t xml:space="preserve"> </w:t>
      </w:r>
      <w:r w:rsidR="00AB2741">
        <w:t>Toxicities</w:t>
      </w:r>
      <w:r w:rsidR="00D75EF8">
        <w:t xml:space="preserve"> in DESTINY-Breast04</w:t>
      </w:r>
      <w:r w:rsidR="00A92F3C">
        <w:t xml:space="preserve"> were consistent with previous</w:t>
      </w:r>
      <w:r w:rsidR="006D702D">
        <w:t xml:space="preserve"> studies of T</w:t>
      </w:r>
      <w:r w:rsidR="005D46B5">
        <w:t>-</w:t>
      </w:r>
      <w:r w:rsidR="006D702D">
        <w:t>DXd.</w:t>
      </w:r>
      <w:r w:rsidR="007D0332" w:rsidRPr="00054570">
        <w:fldChar w:fldCharType="begin"/>
      </w:r>
      <w:r w:rsidR="00CA6345">
        <w:instrText xml:space="preserve"> ADDIN ZOTERO_ITEM CSL_CITATION {"citationID":"4Pr20PWW","properties":{"formattedCitation":"\\super 20,68\\nosupersub{}","plainCitation":"20,68","noteIndex":0},"citationItems":[{"id":66397,"uris":["http://zotero.org/groups/4797619/items/ID7JDCSX"],"itemData":{"id":66397,"type":"article-journal","abstract":"BACKGROUND: Trastuzumab emtansine is the current standard treatment for patients with human epidermal growth factor receptor 2 (HER2)-positive metastatic breast cancer whose disease progresses after treatment with a combination of anti-HER2 antibodies and a taxane.\nMETHODS: We conducted a phase 3, multicenter, open-label, randomized trial to compare the efficacy and safety of trastuzumab deruxtecan (a HER2 antibody-drug conjugate) with those of trastuzumab emtansine in patients with HER2-positive metastatic breast cancer previously treated with trastuzumab and a taxane. The primary end point was progression-free survival (as determined by blinded independent central review); secondary end points included overall survival, objective response, and safety.\nRESULTS: Among 524 randomly assigned patients, the percentage of those who were alive without disease progression at 12 months was 75.8% (95% confidence interval [CI], 69.8 to 80.7) with trastuzumab deruxtecan and 34.1% (95% CI, 27.7 to 40.5) with trastuzumab emtansine (hazard ratio for progression or death from any cause, 0.28; 95% CI, 0.22 to 0.37; P&lt;0.001). The percentage of patients who were alive at 12 months was 94.1% (95% CI, 90.3 to 96.4) with trastuzumab deruxtecan and 85.9% (95% CI, 80.9 to 89.7) with trastuzumab emtansine (hazard ratio for death, 0.55; 95% CI, 0.36 to 0.86; prespecified significance boundary not reached). An overall response (a complete or partial response) occurred in 79.7% (95% CI, 74.3 to 84.4) of the patients who received trastuzumab deruxtecan and in 34.2% (95% CI, 28.5 to 40.3) of those who received trastuzumab emtansine. The incidence of drug-related adverse events of any grade was 98.1% with trastuzumab deruxtecan and 86.6% with trastuzumab emtansine, and the incidence of drug-related adverse events of grade 3 or 4 was 45.1% and 39.8%, respectively. Adjudicated drug-related interstitial lung disease or pneumonitis occurred in 10.5% of the patients in the trastuzumab deruxtecan group and in 1.9% of those in the trastuzumab emtansine group; none of these events were of grade 4 or 5.\nCONCLUSIONS: Among patients with HER2-positive metastatic breast cancer previously treated with trastuzumab and a taxane, the risk of disease progression or death was lower among those who received trastuzumab deruxtecan than among those who received trastuzumab emtansine. Treatment with trastuzumab deruxtecan was associated with interstitial lung disease and pneumonitis. (Funded by Daiichi Sankyo and AstraZeneca; DESTINY-Breast03 ClinicalTrials.gov number, NCT03529110.).","container-title":"The New England Journal of Medicine","DOI":"10.1056/NEJMoa2115022","ISSN":"1533-4406","issue":"12","journalAbbreviation":"N Engl J Med","language":"eng","note":"PMID: 35320644","page":"1143-1154","source":"PubMed","title":"Trastuzumab Deruxtecan versus Trastuzumab Emtansine for Breast Cancer","volume":"386","author":[{"family":"Cortés","given":"Javier"},{"family":"Kim","given":"Sung-Bae"},{"family":"Chung","given":"Wei-Pang"},{"family":"Im","given":"Seock-Ah"},{"family":"Park","given":"Yeon Hee"},{"family":"Hegg","given":"Roberto"},{"family":"Kim","given":"Min Hwan"},{"family":"Tseng","given":"Ling-Ming"},{"family":"Petry","given":"Vanessa"},{"family":"Chung","given":"Chi-Feng"},{"family":"Iwata","given":"Hiroji"},{"family":"Hamilton","given":"Erika"},{"family":"Curigliano","given":"Giuseppe"},{"family":"Xu","given":"Binghe"},{"family":"Huang","given":"Chiun-Sheng"},{"family":"Kim","given":"Jee Hyun"},{"family":"Chiu","given":"Joanne W. Y."},{"family":"Pedrini","given":"Jose Luiz"},{"family":"Lee","given":"Caleb"},{"family":"Liu","given":"Yali"},{"family":"Cathcart","given":"Jillian"},{"family":"Bako","given":"Emarjola"},{"family":"Verma","given":"Sunil"},{"family":"Hurvitz","given":"Sara A."},{"literal":"DESTINY-Breast03 Trial Investigators"}],"issued":{"date-parts":[["2022",3,24]]}}},{"id":65848,"uris":["http://zotero.org/groups/4797619/items/XCBQ3YJP"],"itemData":{"id":65848,"type":"article-journal","abstract":"This is a summary of the article discussing the results of the DESTINY-Breast01 study originally published in the New England Journal of Medicine. The DESTINY-Breast01 study is a clinical study in participants with a type of breast cancer called HER2-positive breast cancer. The participants in the study received a treatment called trastuzumab deruxtecan, also known as T-DXd. The purpose of this summary is to help you understand the results of the DESTINY-Breast01 study. T-DXd is currently available as a treatment for adults with HER2-positive breast cancer that cannot be removed by surgery, also called unresectable, or that has spread, also called metastatic. In the DESTINY-Breast01 study, all the participants had HER2-positive breast cancer that was metastatic or unresectable. All participants were required to have had previous treatment for their HER2-positive breast cancer with another treatment, called trastuzumab emtansine or T-DM1. All the participants received T-DXd every 3 weeks. Part 1 was done to learn how T-DXd acted in the body, and to choose a dose to give to all the participants in Part 2. In Part 2, 184 participants received T-DXd at 5.4 mg/kg and the results showed that T-DXd reduced tumor growth. Up to 60.9% of the participants had their tumors shrink or disappear, with a treatment response that lasted for nearly 15 months on average. The participants lived with their cancer for around 16 months before it got worse. During the study, 183 out of 184 participants had side effects, known as adverse events. The most common adverse event was nausea. There were 42 participants (22.8%) who had serious adverse events, including lung toxicity. These results suggest that T-DXd could be a treatment option for people with metastatic HER2-positive breast cancer who have already been treated with T-DM1. Additional studies will provide more information and results about T-DXd. ClinicalTrials.gov NCT number: NCT03248492. To read the full Plain Language Summary of this article, click on the View Article button above and download the PDF. Link to original article here.","container-title":"Future Oncology (London, England)","DOI":"10.2217/fon-2021-0427","ISSN":"1744-8301","issue":"26","journalAbbreviation":"Future Oncol","language":"eng","note":"PMID: 34263665","page":"3415-3423","source":"PubMed","title":"Trastuzumab deruxtecan in previously treated HER2-positive metastatic breast cancer: Plain language summary of the DESTINY-Breast01 study","title-short":"Trastuzumab deruxtecan in previously treated HER2-positive metastatic breast cancer","volume":"17","author":[{"family":"Modi","given":"Shanu"}],"issued":{"date-parts":[["2021",9,1]]}}}],"schema":"https://github.com/citation-style-language/schema/raw/master/csl-citation.json"} </w:instrText>
      </w:r>
      <w:r w:rsidR="007D0332" w:rsidRPr="00054570">
        <w:fldChar w:fldCharType="separate"/>
      </w:r>
      <w:r w:rsidR="00FD57F4" w:rsidRPr="00FD57F4">
        <w:rPr>
          <w:rFonts w:cs="Arial"/>
          <w:szCs w:val="24"/>
          <w:vertAlign w:val="superscript"/>
        </w:rPr>
        <w:t>20,68</w:t>
      </w:r>
      <w:r w:rsidR="007D0332" w:rsidRPr="00054570">
        <w:fldChar w:fldCharType="end"/>
      </w:r>
      <w:r w:rsidR="00A92F3C">
        <w:t xml:space="preserve"> </w:t>
      </w:r>
      <w:r w:rsidR="00CC7B5E">
        <w:t xml:space="preserve">The majority of TEAEs were </w:t>
      </w:r>
      <w:r w:rsidR="005D46B5">
        <w:t xml:space="preserve">Grade </w:t>
      </w:r>
      <w:r w:rsidR="00CC7B5E">
        <w:t xml:space="preserve">1 or 2 in severity, occurred most frequently in </w:t>
      </w:r>
      <w:r w:rsidR="00294FDC" w:rsidRPr="00294FDC">
        <w:rPr>
          <w:color w:val="000000"/>
          <w:highlight w:val="black"/>
        </w:rPr>
        <w:t>xxxxxxx</w:t>
      </w:r>
      <w:r w:rsidR="00CC7B5E" w:rsidRPr="00BB6679">
        <w:t xml:space="preserve">, and </w:t>
      </w:r>
      <w:r w:rsidR="00294FDC" w:rsidRPr="00294FDC">
        <w:rPr>
          <w:color w:val="000000"/>
          <w:highlight w:val="black"/>
        </w:rPr>
        <w:t>xxxxxxxxxxxxxxxxxx</w:t>
      </w:r>
      <w:r w:rsidR="00CC7B5E" w:rsidRPr="00BB6679">
        <w:t xml:space="preserve"> over subsequent cycles.</w:t>
      </w:r>
      <w:r w:rsidR="00FC3641" w:rsidRPr="00054570">
        <w:fldChar w:fldCharType="begin"/>
      </w:r>
      <w:r w:rsidR="00CA6345">
        <w:instrText xml:space="preserve"> ADDIN ZOTERO_ITEM CSL_CITATION {"citationID":"SBgN1ejS","properties":{"formattedCitation":"\\super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00FC3641" w:rsidRPr="00054570">
        <w:fldChar w:fldCharType="separate"/>
      </w:r>
      <w:r w:rsidR="00FD57F4" w:rsidRPr="00FD57F4">
        <w:rPr>
          <w:rFonts w:cs="Arial"/>
          <w:szCs w:val="24"/>
          <w:vertAlign w:val="superscript"/>
        </w:rPr>
        <w:t>7</w:t>
      </w:r>
      <w:r w:rsidR="00FC3641" w:rsidRPr="00054570">
        <w:fldChar w:fldCharType="end"/>
      </w:r>
      <w:r w:rsidR="00FC3641">
        <w:t xml:space="preserve"> </w:t>
      </w:r>
      <w:r w:rsidR="003F170F">
        <w:t xml:space="preserve">Grade </w:t>
      </w:r>
      <w:r w:rsidR="003F170F">
        <w:rPr>
          <w:rFonts w:cs="Arial"/>
        </w:rPr>
        <w:t>≥</w:t>
      </w:r>
      <w:r w:rsidR="00B1043C">
        <w:rPr>
          <w:rFonts w:cs="Arial"/>
        </w:rPr>
        <w:t xml:space="preserve">3 TEAEs </w:t>
      </w:r>
      <w:r w:rsidR="00522346">
        <w:rPr>
          <w:rFonts w:cs="Arial"/>
        </w:rPr>
        <w:t xml:space="preserve">and Grade≥3 drug-related TEAEs </w:t>
      </w:r>
      <w:r w:rsidR="00B1043C">
        <w:rPr>
          <w:rFonts w:cs="Arial"/>
        </w:rPr>
        <w:t>were reported at lower</w:t>
      </w:r>
      <w:r w:rsidR="00522346">
        <w:rPr>
          <w:rFonts w:cs="Arial"/>
        </w:rPr>
        <w:t xml:space="preserve"> rates with T-DXd than TPC.</w:t>
      </w:r>
      <w:r w:rsidR="00522346" w:rsidRPr="00054570">
        <w:fldChar w:fldCharType="begin"/>
      </w:r>
      <w:r w:rsidR="00CA6345">
        <w:instrText xml:space="preserve"> ADDIN ZOTERO_ITEM CSL_CITATION {"citationID":"ROf8PqQU","properties":{"formattedCitation":"\\super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00522346" w:rsidRPr="00054570">
        <w:fldChar w:fldCharType="separate"/>
      </w:r>
      <w:r w:rsidR="00FD57F4" w:rsidRPr="00FD57F4">
        <w:rPr>
          <w:rFonts w:cs="Arial"/>
          <w:szCs w:val="24"/>
          <w:vertAlign w:val="superscript"/>
        </w:rPr>
        <w:t>7</w:t>
      </w:r>
      <w:r w:rsidR="00522346" w:rsidRPr="00054570">
        <w:fldChar w:fldCharType="end"/>
      </w:r>
      <w:r w:rsidR="00B1043C">
        <w:rPr>
          <w:rFonts w:cs="Arial"/>
        </w:rPr>
        <w:t xml:space="preserve"> </w:t>
      </w:r>
      <w:r w:rsidR="00522346">
        <w:rPr>
          <w:rFonts w:cs="Arial"/>
        </w:rPr>
        <w:t>In addition, EAIR</w:t>
      </w:r>
      <w:r w:rsidR="00522346">
        <w:t>s</w:t>
      </w:r>
      <w:r w:rsidRPr="00054570">
        <w:t xml:space="preserve"> were lower for T-DXd than TPC for</w:t>
      </w:r>
      <w:r w:rsidR="00445741">
        <w:t xml:space="preserve"> all parameters including</w:t>
      </w:r>
      <w:r w:rsidRPr="00054570">
        <w:t xml:space="preserve"> </w:t>
      </w:r>
      <w:r w:rsidR="002F13C9">
        <w:t xml:space="preserve">overall </w:t>
      </w:r>
      <w:r w:rsidRPr="00054570">
        <w:t xml:space="preserve">TEAEs, Grade </w:t>
      </w:r>
      <w:r w:rsidRPr="00054570">
        <w:rPr>
          <w:rFonts w:cs="Arial"/>
        </w:rPr>
        <w:t>≥</w:t>
      </w:r>
      <w:r w:rsidRPr="00054570">
        <w:t>3 TEAEs, drug-related TEAEs, and TEAEs related to dose modification.</w:t>
      </w:r>
      <w:r w:rsidR="00411D99">
        <w:rPr>
          <w:rStyle w:val="normaltextrun"/>
        </w:rPr>
        <w:fldChar w:fldCharType="begin"/>
      </w:r>
      <w:r w:rsidR="00CA6345">
        <w:rPr>
          <w:rStyle w:val="normaltextrun"/>
        </w:rPr>
        <w:instrText xml:space="preserve"> ADDIN ZOTERO_ITEM CSL_CITATION {"citationID":"IS86mKW2","properties":{"formattedCitation":"\\super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00411D99">
        <w:rPr>
          <w:rStyle w:val="normaltextrun"/>
        </w:rPr>
        <w:fldChar w:fldCharType="separate"/>
      </w:r>
      <w:r w:rsidR="00FD57F4" w:rsidRPr="00FD57F4">
        <w:rPr>
          <w:rFonts w:cs="Arial"/>
          <w:szCs w:val="24"/>
          <w:vertAlign w:val="superscript"/>
        </w:rPr>
        <w:t>6</w:t>
      </w:r>
      <w:r w:rsidR="00411D99">
        <w:rPr>
          <w:rStyle w:val="normaltextrun"/>
        </w:rPr>
        <w:fldChar w:fldCharType="end"/>
      </w:r>
      <w:r>
        <w:t xml:space="preserve"> </w:t>
      </w:r>
      <w:r w:rsidRPr="00054570">
        <w:rPr>
          <w:rStyle w:val="normaltextrun"/>
        </w:rPr>
        <w:t>AEs of special interest</w:t>
      </w:r>
      <w:r w:rsidRPr="00054570">
        <w:rPr>
          <w:rStyle w:val="normaltextrun"/>
          <w:b/>
          <w:bCs/>
        </w:rPr>
        <w:t xml:space="preserve"> </w:t>
      </w:r>
      <w:r w:rsidRPr="00E577F2">
        <w:rPr>
          <w:rStyle w:val="normaltextrun"/>
        </w:rPr>
        <w:t>(</w:t>
      </w:r>
      <w:r w:rsidRPr="00054570">
        <w:rPr>
          <w:rStyle w:val="normaltextrun"/>
        </w:rPr>
        <w:t>ILD/pneumonitis and LV</w:t>
      </w:r>
      <w:r w:rsidR="000664D8">
        <w:rPr>
          <w:rStyle w:val="normaltextrun"/>
        </w:rPr>
        <w:t xml:space="preserve"> dysfunction</w:t>
      </w:r>
      <w:r w:rsidRPr="00054570">
        <w:rPr>
          <w:rStyle w:val="normaltextrun"/>
        </w:rPr>
        <w:t xml:space="preserve">) associated with T-DXd were generally of mild or moderate severity and well managed through the use of established </w:t>
      </w:r>
      <w:r>
        <w:rPr>
          <w:rStyle w:val="normaltextrun"/>
        </w:rPr>
        <w:t>management</w:t>
      </w:r>
      <w:r w:rsidRPr="00054570">
        <w:rPr>
          <w:rStyle w:val="normaltextrun"/>
        </w:rPr>
        <w:t xml:space="preserve"> guidelines</w:t>
      </w:r>
      <w:r w:rsidR="006D702D">
        <w:rPr>
          <w:rStyle w:val="normaltextrun"/>
        </w:rPr>
        <w:t xml:space="preserve">, </w:t>
      </w:r>
      <w:r w:rsidR="006D702D" w:rsidRPr="00054570">
        <w:rPr>
          <w:rStyle w:val="normaltextrun"/>
        </w:rPr>
        <w:t>which included monitoring signs and symptoms of ILD and proactively managing events with early intervention</w:t>
      </w:r>
      <w:r w:rsidRPr="00054570">
        <w:rPr>
          <w:rStyle w:val="normaltextrun"/>
        </w:rPr>
        <w:t>.</w:t>
      </w:r>
      <w:r w:rsidRPr="00054570">
        <w:fldChar w:fldCharType="begin"/>
      </w:r>
      <w:r w:rsidR="00CA6345">
        <w:instrText xml:space="preserve"> ADDIN ZOTERO_ITEM CSL_CITATION {"citationID":"oLTzvkR2","properties":{"formattedCitation":"\\super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FD57F4" w:rsidRPr="00FD57F4">
        <w:rPr>
          <w:rFonts w:cs="Arial"/>
          <w:szCs w:val="24"/>
          <w:vertAlign w:val="superscript"/>
        </w:rPr>
        <w:t>7</w:t>
      </w:r>
      <w:r w:rsidRPr="00054570">
        <w:fldChar w:fldCharType="end"/>
      </w:r>
      <w:r>
        <w:rPr>
          <w:rStyle w:val="normaltextrun"/>
        </w:rPr>
        <w:t xml:space="preserve"> </w:t>
      </w:r>
      <w:r w:rsidRPr="00054570">
        <w:t>In general, T</w:t>
      </w:r>
      <w:r w:rsidRPr="00054570">
        <w:noBreakHyphen/>
        <w:t>DXd had a similar safety profile in DESTINY-Breast04 to that observed in previous studies of T</w:t>
      </w:r>
      <w:r w:rsidRPr="00054570">
        <w:noBreakHyphen/>
        <w:t>DXd, including DESTINY-Breast01 and DESTINY-Breast03, with no new AEs of concern.</w:t>
      </w:r>
      <w:r w:rsidRPr="00054570">
        <w:fldChar w:fldCharType="begin"/>
      </w:r>
      <w:r w:rsidR="00CA6345">
        <w:instrText xml:space="preserve"> ADDIN ZOTERO_ITEM CSL_CITATION {"citationID":"BI84dpIq","properties":{"formattedCitation":"\\super 20,68\\nosupersub{}","plainCitation":"20,68","noteIndex":0},"citationItems":[{"id":66397,"uris":["http://zotero.org/groups/4797619/items/ID7JDCSX"],"itemData":{"id":66397,"type":"article-journal","abstract":"BACKGROUND: Trastuzumab emtansine is the current standard treatment for patients with human epidermal growth factor receptor 2 (HER2)-positive metastatic breast cancer whose disease progresses after treatment with a combination of anti-HER2 antibodies and a taxane.\nMETHODS: We conducted a phase 3, multicenter, open-label, randomized trial to compare the efficacy and safety of trastuzumab deruxtecan (a HER2 antibody-drug conjugate) with those of trastuzumab emtansine in patients with HER2-positive metastatic breast cancer previously treated with trastuzumab and a taxane. The primary end point was progression-free survival (as determined by blinded independent central review); secondary end points included overall survival, objective response, and safety.\nRESULTS: Among 524 randomly assigned patients, the percentage of those who were alive without disease progression at 12 months was 75.8% (95% confidence interval [CI], 69.8 to 80.7) with trastuzumab deruxtecan and 34.1% (95% CI, 27.7 to 40.5) with trastuzumab emtansine (hazard ratio for progression or death from any cause, 0.28; 95% CI, 0.22 to 0.37; P&lt;0.001). The percentage of patients who were alive at 12 months was 94.1% (95% CI, 90.3 to 96.4) with trastuzumab deruxtecan and 85.9% (95% CI, 80.9 to 89.7) with trastuzumab emtansine (hazard ratio for death, 0.55; 95% CI, 0.36 to 0.86; prespecified significance boundary not reached). An overall response (a complete or partial response) occurred in 79.7% (95% CI, 74.3 to 84.4) of the patients who received trastuzumab deruxtecan and in 34.2% (95% CI, 28.5 to 40.3) of those who received trastuzumab emtansine. The incidence of drug-related adverse events of any grade was 98.1% with trastuzumab deruxtecan and 86.6% with trastuzumab emtansine, and the incidence of drug-related adverse events of grade 3 or 4 was 45.1% and 39.8%, respectively. Adjudicated drug-related interstitial lung disease or pneumonitis occurred in 10.5% of the patients in the trastuzumab deruxtecan group and in 1.9% of those in the trastuzumab emtansine group; none of these events were of grade 4 or 5.\nCONCLUSIONS: Among patients with HER2-positive metastatic breast cancer previously treated with trastuzumab and a taxane, the risk of disease progression or death was lower among those who received trastuzumab deruxtecan than among those who received trastuzumab emtansine. Treatment with trastuzumab deruxtecan was associated with interstitial lung disease and pneumonitis. (Funded by Daiichi Sankyo and AstraZeneca; DESTINY-Breast03 ClinicalTrials.gov number, NCT03529110.).","container-title":"The New England Journal of Medicine","DOI":"10.1056/NEJMoa2115022","ISSN":"1533-4406","issue":"12","journalAbbreviation":"N Engl J Med","language":"eng","note":"PMID: 35320644","page":"1143-1154","source":"PubMed","title":"Trastuzumab Deruxtecan versus Trastuzumab Emtansine for Breast Cancer","volume":"386","author":[{"family":"Cortés","given":"Javier"},{"family":"Kim","given":"Sung-Bae"},{"family":"Chung","given":"Wei-Pang"},{"family":"Im","given":"Seock-Ah"},{"family":"Park","given":"Yeon Hee"},{"family":"Hegg","given":"Roberto"},{"family":"Kim","given":"Min Hwan"},{"family":"Tseng","given":"Ling-Ming"},{"family":"Petry","given":"Vanessa"},{"family":"Chung","given":"Chi-Feng"},{"family":"Iwata","given":"Hiroji"},{"family":"Hamilton","given":"Erika"},{"family":"Curigliano","given":"Giuseppe"},{"family":"Xu","given":"Binghe"},{"family":"Huang","given":"Chiun-Sheng"},{"family":"Kim","given":"Jee Hyun"},{"family":"Chiu","given":"Joanne W. Y."},{"family":"Pedrini","given":"Jose Luiz"},{"family":"Lee","given":"Caleb"},{"family":"Liu","given":"Yali"},{"family":"Cathcart","given":"Jillian"},{"family":"Bako","given":"Emarjola"},{"family":"Verma","given":"Sunil"},{"family":"Hurvitz","given":"Sara A."},{"literal":"DESTINY-Breast03 Trial Investigators"}],"issued":{"date-parts":[["2022",3,24]]}}},{"id":65848,"uris":["http://zotero.org/groups/4797619/items/XCBQ3YJP"],"itemData":{"id":65848,"type":"article-journal","abstract":"This is a summary of the article discussing the results of the DESTINY-Breast01 study originally published in the New England Journal of Medicine. The DESTINY-Breast01 study is a clinical study in participants with a type of breast cancer called HER2-positive breast cancer. The participants in the study received a treatment called trastuzumab deruxtecan, also known as T-DXd. The purpose of this summary is to help you understand the results of the DESTINY-Breast01 study. T-DXd is currently available as a treatment for adults with HER2-positive breast cancer that cannot be removed by surgery, also called unresectable, or that has spread, also called metastatic. In the DESTINY-Breast01 study, all the participants had HER2-positive breast cancer that was metastatic or unresectable. All participants were required to have had previous treatment for their HER2-positive breast cancer with another treatment, called trastuzumab emtansine or T-DM1. All the participants received T-DXd every 3 weeks. Part 1 was done to learn how T-DXd acted in the body, and to choose a dose to give to all the participants in Part 2. In Part 2, 184 participants received T-DXd at 5.4 mg/kg and the results showed that T-DXd reduced tumor growth. Up to 60.9% of the participants had their tumors shrink or disappear, with a treatment response that lasted for nearly 15 months on average. The participants lived with their cancer for around 16 months before it got worse. During the study, 183 out of 184 participants had side effects, known as adverse events. The most common adverse event was nausea. There were 42 participants (22.8%) who had serious adverse events, including lung toxicity. These results suggest that T-DXd could be a treatment option for people with metastatic HER2-positive breast cancer who have already been treated with T-DM1. Additional studies will provide more information and results about T-DXd. ClinicalTrials.gov NCT number: NCT03248492. To read the full Plain Language Summary of this article, click on the View Article button above and download the PDF. Link to original article here.","container-title":"Future Oncology (London, England)","DOI":"10.2217/fon-2021-0427","ISSN":"1744-8301","issue":"26","journalAbbreviation":"Future Oncol","language":"eng","note":"PMID: 34263665","page":"3415-3423","source":"PubMed","title":"Trastuzumab deruxtecan in previously treated HER2-positive metastatic breast cancer: Plain language summary of the DESTINY-Breast01 study","title-short":"Trastuzumab deruxtecan in previously treated HER2-positive metastatic breast cancer","volume":"17","author":[{"family":"Modi","given":"Shanu"}],"issued":{"date-parts":[["2021",9,1]]}}}],"schema":"https://github.com/citation-style-language/schema/raw/master/csl-citation.json"} </w:instrText>
      </w:r>
      <w:r w:rsidRPr="00054570">
        <w:fldChar w:fldCharType="separate"/>
      </w:r>
      <w:r w:rsidR="00FD57F4" w:rsidRPr="00FD57F4">
        <w:rPr>
          <w:rFonts w:cs="Arial"/>
          <w:szCs w:val="24"/>
          <w:vertAlign w:val="superscript"/>
        </w:rPr>
        <w:t>20,68</w:t>
      </w:r>
      <w:r w:rsidRPr="00054570">
        <w:fldChar w:fldCharType="end"/>
      </w:r>
    </w:p>
    <w:p w14:paraId="029689B9" w14:textId="7A676286" w:rsidR="000B148D" w:rsidRPr="00054570" w:rsidRDefault="000B148D" w:rsidP="00522346">
      <w:pPr>
        <w:pStyle w:val="Heading5"/>
        <w:numPr>
          <w:ilvl w:val="0"/>
          <w:numId w:val="0"/>
        </w:numPr>
      </w:pPr>
      <w:r w:rsidRPr="00054570">
        <w:t>Potential limitations</w:t>
      </w:r>
    </w:p>
    <w:p w14:paraId="642E38F3" w14:textId="72B2A7B5" w:rsidR="000B148D" w:rsidRPr="00054570" w:rsidRDefault="000B148D" w:rsidP="000B148D">
      <w:pPr>
        <w:pStyle w:val="Body"/>
      </w:pPr>
      <w:r w:rsidRPr="00054570">
        <w:t xml:space="preserve">A potential limitation of DESTINY-Breast04 is the open-label nature of the trial. Although this is unlikely to have substantially affected interpretation of the primary endpoint </w:t>
      </w:r>
      <w:r>
        <w:t>(</w:t>
      </w:r>
      <w:r w:rsidRPr="00054570">
        <w:t>PFS</w:t>
      </w:r>
      <w:r>
        <w:t xml:space="preserve"> </w:t>
      </w:r>
      <w:r w:rsidRPr="00054570">
        <w:t>for the primary endpoint was analysed by a blinded assessor</w:t>
      </w:r>
      <w:r>
        <w:t>)</w:t>
      </w:r>
      <w:r w:rsidRPr="00054570">
        <w:t xml:space="preserve"> it should be considered when interpreting efficacy and safety findings from the trial.</w:t>
      </w:r>
      <w:r w:rsidRPr="00054570">
        <w:fldChar w:fldCharType="begin"/>
      </w:r>
      <w:r w:rsidR="00CA6345">
        <w:instrText xml:space="preserve"> ADDIN ZOTERO_ITEM CSL_CITATION {"citationID":"a2j0o6tvfoe","properties":{"formattedCitation":"\\super 7,158\\nosupersub{}","plainCitation":"7,158","noteIndex":0},"citationItems":[{"id":65923,"uris":["http://zotero.org/groups/4797619/items/RHDMDVKK"],"itemData":{"id":65923,"type":"document","title":"Clinical Study Protocol Version 3.0 for DS8201-A-U303. 24 April 2019. Data on File.","author":[{"family":"Daiichi Sankyo Inc.","given":""}],"issued":{"date-parts":[["2019"]]}}},{"id":65944,"uris":["http://zotero.org/groups/4797619/items/WBVSVVF7"],"itemData":{"id":65944,"type":"document","title":"Clinical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fldChar w:fldCharType="separate"/>
      </w:r>
      <w:r w:rsidR="00CA6345" w:rsidRPr="00CA6345">
        <w:rPr>
          <w:rFonts w:cs="Arial"/>
          <w:szCs w:val="24"/>
          <w:vertAlign w:val="superscript"/>
        </w:rPr>
        <w:t>7,158</w:t>
      </w:r>
      <w:r w:rsidRPr="00054570">
        <w:fldChar w:fldCharType="end"/>
      </w:r>
      <w:r w:rsidRPr="00054570">
        <w:t xml:space="preserve"> </w:t>
      </w:r>
    </w:p>
    <w:p w14:paraId="5C4BABB4" w14:textId="4B6A3737" w:rsidR="000B148D" w:rsidRPr="00054570" w:rsidRDefault="00E5522C" w:rsidP="000B148D">
      <w:pPr>
        <w:pStyle w:val="Body"/>
      </w:pPr>
      <w:r>
        <w:t>As confirmed by published UK biomarker data</w:t>
      </w:r>
      <w:r>
        <w:fldChar w:fldCharType="begin"/>
      </w:r>
      <w:r w:rsidR="00CA6345">
        <w:instrText xml:space="preserve"> ADDIN ZOTERO_ITEM CSL_CITATION {"citationID":"g1JLDJD7","properties":{"formattedCitation":"\\super 56\\nosupersub{}","plainCitation":"56","noteIndex":0},"citationItems":[{"id":65940,"uris":["http://zotero.org/groups/4797619/items/7UYVWR36"],"itemData":{"id":65940,"type":"article-journal","container-title":"The Journal of Pathology: Clinical Research","DOI":"10.1002/cjp2.173","ISSN":"2056-4538, 2056-4538","issue":"3","journalAbbreviation":"J Pathol Clin Res","language":"en","page":"227-227","source":"DOI.org (Crossref)","title":"Breast cancer biomarkers in clinical testing: analysis of a UK NEQAS ICC &amp; ISH database containing results from 199 300 patients","title-short":"‘Breast cancer biomarkers in clinical testing","volume":"6","author":[{"family":"Dodson","given":"Andrew"},{"family":"Parry","given":"Suzanne"},{"family":"Ibrahim","given":"Merdol"},{"family":"Bartlett","given":"John M. S."},{"family":"Pinder","given":"Sarah E."},{"family":"Dowsett","given":"Mitch"},{"family":"Miller","given":"Keith"}],"issued":{"date-parts":[["2020",7]]}}}],"schema":"https://github.com/citation-style-language/schema/raw/master/csl-citation.json"} </w:instrText>
      </w:r>
      <w:r>
        <w:fldChar w:fldCharType="separate"/>
      </w:r>
      <w:r w:rsidR="00FD57F4" w:rsidRPr="00FD57F4">
        <w:rPr>
          <w:rFonts w:cs="Arial"/>
          <w:szCs w:val="24"/>
          <w:vertAlign w:val="superscript"/>
        </w:rPr>
        <w:t>56</w:t>
      </w:r>
      <w:r>
        <w:fldChar w:fldCharType="end"/>
      </w:r>
      <w:r>
        <w:t xml:space="preserve"> w</w:t>
      </w:r>
      <w:r w:rsidR="000B148D" w:rsidRPr="00B70B5E">
        <w:t>hile the proportion of patients with HR</w:t>
      </w:r>
      <w:r w:rsidR="000B148D">
        <w:t>-positive</w:t>
      </w:r>
      <w:r w:rsidR="000B148D" w:rsidRPr="00B70B5E">
        <w:t xml:space="preserve"> vs</w:t>
      </w:r>
      <w:r w:rsidR="000B148D">
        <w:t>.</w:t>
      </w:r>
      <w:r w:rsidR="000B148D" w:rsidRPr="00B70B5E">
        <w:t xml:space="preserve"> HR-</w:t>
      </w:r>
      <w:r w:rsidR="000B148D">
        <w:t>negative disease (88.7% vs 11.3%)</w:t>
      </w:r>
      <w:r w:rsidR="000B148D" w:rsidRPr="00B70B5E">
        <w:t xml:space="preserve"> in the trial is representative of real-world proportions,</w:t>
      </w:r>
      <w:r w:rsidR="000B148D">
        <w:fldChar w:fldCharType="begin"/>
      </w:r>
      <w:r w:rsidR="00CA6345">
        <w:instrText xml:space="preserve"> ADDIN ZOTERO_ITEM CSL_CITATION {"citationID":"X67Ds5qs","properties":{"formattedCitation":"\\super 56\\nosupersub{}","plainCitation":"56","noteIndex":0},"citationItems":[{"id":65940,"uris":["http://zotero.org/groups/4797619/items/7UYVWR36"],"itemData":{"id":65940,"type":"article-journal","container-title":"The Journal of Pathology: Clinical Research","DOI":"10.1002/cjp2.173","ISSN":"2056-4538, 2056-4538","issue":"3","journalAbbreviation":"J Pathol Clin Res","language":"en","page":"227-227","source":"DOI.org (Crossref)","title":"Breast cancer biomarkers in clinical testing: analysis of a UK NEQAS ICC &amp; ISH database containing results from 199 300 patients","title-short":"‘Breast cancer biomarkers in clinical testing","volume":"6","author":[{"family":"Dodson","given":"Andrew"},{"family":"Parry","given":"Suzanne"},{"family":"Ibrahim","given":"Merdol"},{"family":"Bartlett","given":"John M. S."},{"family":"Pinder","given":"Sarah E."},{"family":"Dowsett","given":"Mitch"},{"family":"Miller","given":"Keith"}],"issued":{"date-parts":[["2020",7]]}}}],"schema":"https://github.com/citation-style-language/schema/raw/master/csl-citation.json"} </w:instrText>
      </w:r>
      <w:r w:rsidR="000B148D">
        <w:fldChar w:fldCharType="separate"/>
      </w:r>
      <w:r w:rsidR="00FD57F4" w:rsidRPr="00FD57F4">
        <w:rPr>
          <w:rFonts w:cs="Arial"/>
          <w:szCs w:val="24"/>
          <w:vertAlign w:val="superscript"/>
        </w:rPr>
        <w:t>56</w:t>
      </w:r>
      <w:r w:rsidR="000B148D">
        <w:fldChar w:fldCharType="end"/>
      </w:r>
      <w:r w:rsidR="000B148D" w:rsidRPr="00B70B5E">
        <w:t xml:space="preserve"> </w:t>
      </w:r>
      <w:r w:rsidR="000B148D">
        <w:t xml:space="preserve">HR-negative </w:t>
      </w:r>
      <w:r w:rsidR="000B148D" w:rsidRPr="00B70B5E">
        <w:t xml:space="preserve">results should be interpreted with caution </w:t>
      </w:r>
      <w:r w:rsidR="006C128E">
        <w:t>as this was an exploratory analysis with a</w:t>
      </w:r>
      <w:r w:rsidR="00983B6F">
        <w:t xml:space="preserve"> </w:t>
      </w:r>
      <w:r w:rsidR="006C128E">
        <w:t>limited</w:t>
      </w:r>
      <w:r w:rsidR="000B148D" w:rsidRPr="00B70B5E">
        <w:t xml:space="preserve"> sample size</w:t>
      </w:r>
      <w:r w:rsidR="000B148D">
        <w:t>.</w:t>
      </w:r>
      <w:r w:rsidR="000B148D" w:rsidRPr="00054570">
        <w:fldChar w:fldCharType="begin"/>
      </w:r>
      <w:r w:rsidR="00CA6345">
        <w:instrText xml:space="preserve"> ADDIN ZOTERO_ITEM CSL_CITATION {"citationID":"9HwQyGui","properties":{"formattedCitation":"\\super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000B148D" w:rsidRPr="00054570">
        <w:fldChar w:fldCharType="separate"/>
      </w:r>
      <w:r w:rsidR="00FD57F4" w:rsidRPr="00FD57F4">
        <w:rPr>
          <w:rFonts w:cs="Arial"/>
          <w:szCs w:val="24"/>
          <w:vertAlign w:val="superscript"/>
        </w:rPr>
        <w:t>7</w:t>
      </w:r>
      <w:r w:rsidR="000B148D" w:rsidRPr="00054570">
        <w:fldChar w:fldCharType="end"/>
      </w:r>
      <w:bookmarkStart w:id="374" w:name="_Ref99727263"/>
    </w:p>
    <w:p w14:paraId="29C074EE" w14:textId="755CF67B" w:rsidR="005A35FF" w:rsidRPr="003C648C" w:rsidRDefault="002D5EDE" w:rsidP="003C648C">
      <w:r w:rsidRPr="003C648C">
        <w:t xml:space="preserve">Finally, </w:t>
      </w:r>
      <w:r w:rsidR="00E14558">
        <w:t xml:space="preserve">while the </w:t>
      </w:r>
      <w:r w:rsidR="00F44AFC">
        <w:t>number of patients receiving individual TPC agents is too small to allow meaningful subgroup analyses</w:t>
      </w:r>
      <w:r w:rsidR="009770BD">
        <w:t xml:space="preserve">, this is not expected to have an impact on the interpretation of the results, </w:t>
      </w:r>
      <w:r w:rsidR="009770BD" w:rsidRPr="00054570">
        <w:t xml:space="preserve">as </w:t>
      </w:r>
      <w:r w:rsidR="009770BD">
        <w:t xml:space="preserve">published data and clinical expert feedback suggest that </w:t>
      </w:r>
      <w:r w:rsidR="009770BD" w:rsidRPr="00054570">
        <w:t xml:space="preserve">single-agent </w:t>
      </w:r>
      <w:r w:rsidR="009770BD">
        <w:t xml:space="preserve">non-targeted </w:t>
      </w:r>
      <w:r w:rsidR="009770BD" w:rsidRPr="00054570">
        <w:t>chemotherapies</w:t>
      </w:r>
      <w:r w:rsidR="009770BD">
        <w:t xml:space="preserve"> have comparable efficacy in this setting</w:t>
      </w:r>
      <w:r w:rsidR="009770BD" w:rsidRPr="00054570">
        <w:t>.</w:t>
      </w:r>
      <w:r w:rsidR="009770BD" w:rsidRPr="00054570">
        <w:fldChar w:fldCharType="begin"/>
      </w:r>
      <w:r w:rsidR="00CA6345">
        <w:instrText xml:space="preserve"> ADDIN ZOTERO_ITEM CSL_CITATION {"citationID":"ONWxIxtI","properties":{"formattedCitation":"\\super 118,121\\nosupersub{}","plainCitation":"118,121","noteIndex":0},"citationItems":[{"id":66356,"uris":["http://zotero.org/groups/4797619/items/N6DNXLEP"],"itemData":{"id":66356,"type":"document","title":"T-DXd in HER2-low u/mBC. UK advisory board meeting report. Data on File.","author":[{"family":"Daiichi Sankyo Inc.","given":""}],"issued":{"date-parts":[["2022",12]]}}},{"id":66343,"uris":["http://zotero.org/groups/4797619/items/IB6926PV"],"itemData":{"id":66343,"type":"article-journal","abstract":"INTRODUCTION: Currently available evidence does not provide definitive guidance regarding the optimal chemotherapy agents and combinations in anthracycline- and taxane-pretreated advanced breast cancer. We performed a systematic review of controlled clinical trials of the cytotoxic agents currently used for this population in Europe: capecitabine, gemcitabine, vinorelbine, docetaxel, paclitaxel and paclitaxel protein-bound particles.\nMETHOD: A systematic review of randomised (RCT) and non-randomised controlled clinical trials (non-RCTs). The primary outcomes of interest were overall survival (OS) and progression-free survival (PFS); secondary outcomes were duration of response (DR), overall response rate (ORR), adverse events and quality of life (QoL). Six electronic databases and grey literature sources were searched; reference tracking was performed on included publications. A narrative synthesis was conducted: heterogeneity of study design and interventions prevented meta-analysis.\nRESULTS: No randomised controlled trial (RCT) found any significant differences between any of the regimens in terms of OS. In terms of PFS, only gemcitabine plus vinorelbine performed significantly better than its comparator, vinorelbine alone. For secondary outcomes, only capecitabine plus bevacizumab had a significantly better outcome than its comparator, capecitabine alone, in terms of ORR. A low quality non-RCT found that both capecitabine monotherapy and a combination of capecitabine plus vinorelbine were significantly more effective than vinorelbine alone in terms of OS and ORR. Across all trials, median OS for these patients typically remained less than 16 months.\nCONCLUSION: The quantity and quality of the available evidence regarding the efficacy of the particular chemotherapy regimens in patients with advanced breast cancer pretreated with an anthracycline and a taxane is extremely limited. New effective therapies are sorely needed in this population.","container-title":"European Journal of Cancer (Oxford, England: 1990)","DOI":"10.1016/j.ejca.2009.05.035","ISSN":"1879-0852","issue":"16","journalAbbreviation":"Eur J Cancer","language":"eng","note":"PMID: 19615886","page":"2749-2758","source":"PubMed","title":"The clinical efficacy of cytotoxic agents in locally advanced or metastatic breast cancer patients pretreated with an anthracycline and a taxane: a systematic review","title-short":"The clinical efficacy of cytotoxic agents in locally advanced or metastatic breast cancer patients pretreated with an anthracycline and a taxane","volume":"45","author":[{"family":"Jassem","given":"Jacek"},{"family":"Carroll","given":"Christopher"},{"family":"Ward","given":"Sue E."},{"family":"Simpson","given":"Emma"},{"family":"Hind","given":"Daniel"}],"issued":{"date-parts":[["2009",11]]}}}],"schema":"https://github.com/citation-style-language/schema/raw/master/csl-citation.json"} </w:instrText>
      </w:r>
      <w:r w:rsidR="009770BD" w:rsidRPr="00054570">
        <w:fldChar w:fldCharType="separate"/>
      </w:r>
      <w:r w:rsidR="00CA6345" w:rsidRPr="00CA6345">
        <w:rPr>
          <w:rFonts w:cs="Arial"/>
          <w:szCs w:val="24"/>
          <w:vertAlign w:val="superscript"/>
        </w:rPr>
        <w:t>118,121</w:t>
      </w:r>
      <w:r w:rsidR="009770BD" w:rsidRPr="00054570">
        <w:fldChar w:fldCharType="end"/>
      </w:r>
      <w:r w:rsidR="001F23E3">
        <w:t xml:space="preserve"> </w:t>
      </w:r>
      <w:r w:rsidR="00E67732">
        <w:t xml:space="preserve">The consistency in efficacy between non-targeted chemotherapy agents in prior studies of HER2-negative </w:t>
      </w:r>
      <w:r w:rsidR="006A5F13">
        <w:t>u/</w:t>
      </w:r>
      <w:r w:rsidR="00E67732">
        <w:t>mBC in settings broadly aligned to the scope of this appraisal and the TPC arm of DESTINY-Breast04 support the external validity of trial results (</w:t>
      </w:r>
      <w:r w:rsidR="00E67732">
        <w:fldChar w:fldCharType="begin"/>
      </w:r>
      <w:r w:rsidR="00E67732">
        <w:instrText xml:space="preserve"> REF _Ref126923702 \h  \* MERGEFORMAT </w:instrText>
      </w:r>
      <w:r w:rsidR="00E67732">
        <w:fldChar w:fldCharType="separate"/>
      </w:r>
      <w:r w:rsidR="00145F42" w:rsidRPr="00145F42">
        <w:rPr>
          <w:b/>
          <w:bCs/>
        </w:rPr>
        <w:t xml:space="preserve">Table </w:t>
      </w:r>
      <w:r w:rsidR="00145F42" w:rsidRPr="00145F42">
        <w:rPr>
          <w:b/>
          <w:bCs/>
          <w:noProof/>
        </w:rPr>
        <w:t>30</w:t>
      </w:r>
      <w:r w:rsidR="00E67732">
        <w:fldChar w:fldCharType="end"/>
      </w:r>
      <w:r w:rsidR="00E67732">
        <w:t>).</w:t>
      </w:r>
      <w:r w:rsidR="004165FC">
        <w:t xml:space="preserve"> </w:t>
      </w:r>
      <w:r w:rsidR="005A35FF">
        <w:t xml:space="preserve">Notably clinical and HEOR experts agreed that, for decision-making, TPC is the relevant comparator in this appraisal and that the </w:t>
      </w:r>
      <w:r w:rsidR="005A35FF" w:rsidRPr="00054570">
        <w:t>comparators listed in the NICE final scope</w:t>
      </w:r>
      <w:r w:rsidR="005A35FF">
        <w:t xml:space="preserve"> </w:t>
      </w:r>
      <w:r w:rsidR="005A35FF" w:rsidRPr="00054570">
        <w:t>are well represented in the TPC arm of DESTINY-Breast04</w:t>
      </w:r>
      <w:r w:rsidR="003077CB">
        <w:t xml:space="preserve"> (see </w:t>
      </w:r>
      <w:r w:rsidR="003077CB" w:rsidRPr="00F710CB">
        <w:rPr>
          <w:b/>
          <w:bCs/>
        </w:rPr>
        <w:t xml:space="preserve">Section </w:t>
      </w:r>
      <w:r w:rsidR="003077CB" w:rsidRPr="00F710CB">
        <w:rPr>
          <w:b/>
          <w:bCs/>
        </w:rPr>
        <w:fldChar w:fldCharType="begin"/>
      </w:r>
      <w:r w:rsidR="003077CB" w:rsidRPr="00F710CB">
        <w:rPr>
          <w:b/>
          <w:bCs/>
        </w:rPr>
        <w:instrText xml:space="preserve"> REF _Ref129210454 \r \h </w:instrText>
      </w:r>
      <w:r w:rsidR="003077CB">
        <w:rPr>
          <w:b/>
          <w:bCs/>
        </w:rPr>
        <w:instrText xml:space="preserve"> \* MERGEFORMAT </w:instrText>
      </w:r>
      <w:r w:rsidR="003077CB" w:rsidRPr="00F710CB">
        <w:rPr>
          <w:b/>
          <w:bCs/>
        </w:rPr>
      </w:r>
      <w:r w:rsidR="003077CB" w:rsidRPr="00F710CB">
        <w:rPr>
          <w:b/>
          <w:bCs/>
        </w:rPr>
        <w:fldChar w:fldCharType="separate"/>
      </w:r>
      <w:r w:rsidR="00145F42">
        <w:rPr>
          <w:b/>
          <w:bCs/>
        </w:rPr>
        <w:t>B.1.3.6</w:t>
      </w:r>
      <w:r w:rsidR="003077CB" w:rsidRPr="00F710CB">
        <w:rPr>
          <w:b/>
          <w:bCs/>
        </w:rPr>
        <w:fldChar w:fldCharType="end"/>
      </w:r>
      <w:r w:rsidR="003077CB">
        <w:t xml:space="preserve"> for more information)</w:t>
      </w:r>
      <w:r w:rsidR="005A35FF">
        <w:t>.</w:t>
      </w:r>
      <w:r w:rsidR="005A35FF">
        <w:fldChar w:fldCharType="begin"/>
      </w:r>
      <w:r w:rsidR="00CA6345">
        <w:instrText xml:space="preserve"> ADDIN ZOTERO_ITEM CSL_CITATION {"citationID":"0OUt7IXC","properties":{"formattedCitation":"\\super 1,121\\nosupersub{}","plainCitation":"1,121","noteIndex":0},"citationItems":[{"id":66383,"uris":["http://zotero.org/groups/4797619/items/Y75R2AJY"],"itemData":{"id":66383,"type":"webpage","language":"eng","note":"publisher: NICE","title":"Final Scope. Trastuzumab deruxtecan for treating HER2-low unresectable or metastatic breast cancer after chemotherapy","URL":"https://www.nice.org.uk/guidance/gid-ta10813/documents/final-scope","author":[{"family":"NICE","given":""}],"accessed":{"date-parts":[["2022",11,29]]},"issued":{"date-parts":[["2023",1,6]]}}},{"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005A35FF">
        <w:fldChar w:fldCharType="separate"/>
      </w:r>
      <w:r w:rsidR="00CA6345" w:rsidRPr="00CA6345">
        <w:rPr>
          <w:rFonts w:cs="Arial"/>
          <w:szCs w:val="24"/>
          <w:vertAlign w:val="superscript"/>
        </w:rPr>
        <w:t>1,121</w:t>
      </w:r>
      <w:r w:rsidR="005A35FF">
        <w:fldChar w:fldCharType="end"/>
      </w:r>
    </w:p>
    <w:p w14:paraId="4C7EC7FC" w14:textId="566D1E4A" w:rsidR="000B148D" w:rsidRPr="00054570" w:rsidRDefault="00CA40C7" w:rsidP="000B148D">
      <w:pPr>
        <w:pStyle w:val="Heading3"/>
      </w:pPr>
      <w:bookmarkStart w:id="375" w:name="_Toc124447853"/>
      <w:bookmarkStart w:id="376" w:name="_Toc129350880"/>
      <w:r>
        <w:lastRenderedPageBreak/>
        <w:t>S</w:t>
      </w:r>
      <w:r w:rsidR="000B148D" w:rsidRPr="00054570">
        <w:t>ummary</w:t>
      </w:r>
      <w:bookmarkEnd w:id="375"/>
      <w:bookmarkEnd w:id="376"/>
    </w:p>
    <w:p w14:paraId="4E2610A9" w14:textId="5ADE4C54" w:rsidR="00660510" w:rsidRPr="00054570" w:rsidRDefault="000B148D" w:rsidP="000B148D">
      <w:pPr>
        <w:pStyle w:val="Body"/>
      </w:pPr>
      <w:bookmarkStart w:id="377" w:name="_Toc92280662"/>
      <w:bookmarkStart w:id="378" w:name="_Toc92280663"/>
      <w:bookmarkStart w:id="379" w:name="_Toc92280664"/>
      <w:bookmarkStart w:id="380" w:name="_Toc92280665"/>
      <w:bookmarkStart w:id="381" w:name="_Toc92280666"/>
      <w:bookmarkStart w:id="382" w:name="_Toc92280667"/>
      <w:bookmarkStart w:id="383" w:name="_Toc92280680"/>
      <w:bookmarkStart w:id="384" w:name="_Toc92280660"/>
      <w:bookmarkStart w:id="385" w:name="_Toc86829457"/>
      <w:bookmarkEnd w:id="374"/>
      <w:bookmarkEnd w:id="377"/>
      <w:bookmarkEnd w:id="378"/>
      <w:bookmarkEnd w:id="379"/>
      <w:bookmarkEnd w:id="380"/>
      <w:bookmarkEnd w:id="381"/>
      <w:bookmarkEnd w:id="382"/>
      <w:bookmarkEnd w:id="383"/>
      <w:bookmarkEnd w:id="384"/>
      <w:bookmarkEnd w:id="385"/>
      <w:r w:rsidRPr="00054570">
        <w:t>For patients with HER2-positive u/mBC, the introduction of HER2-targeted therapies, starting with trastuzumab in 1998, has transformed the pathway of care and altered the natural history of disease.</w:t>
      </w:r>
      <w:r w:rsidRPr="00054570">
        <w:fldChar w:fldCharType="begin"/>
      </w:r>
      <w:r w:rsidR="00CA6345">
        <w:instrText xml:space="preserve"> ADDIN ZOTERO_ITEM CSL_CITATION {"citationID":"zYbV8Cqk","properties":{"formattedCitation":"\\super 113\\nosupersub{}","plainCitation":"113","noteIndex":0},"citationItems":[{"id":65892,"uris":["http://zotero.org/groups/4797619/items/VTE8JEMM"],"itemData":{"id":65892,"type":"article-journal","abstract":"PURPOSE The purpose of this study was to determine whether trastuzumab improves prognosis of women with metastatic human epidermal growth factor receptor 2 (HER2)/neu -positive breast cancer beyond that of women with HER2/neu-negative disease. PATIENTS AND METHODS Two thousand ninety-one women with metastatic breast cancer diagnosed from 1991 to 2007, with known HER2/neu status and who had not received trastuzumab in the adjuvant setting, were identified. Disease was classified into the following three groups: HER2/neu negative, HER2/neu positive without first-line trastuzumab treatment, and HER2/neu positive with first-line trastuzumab treatment. Overall survival (OS) was estimated using the Kaplan-Meier product-limit method and compared between groups with the log-rank test. Cox proportional hazards models were used to determine associations between OS and HER2/neu status after controlling for patient characteristics. Results One hundred eighteen patients (5.6%) had HER2/neu-positive disease without trastuzumab treatment, 191 (9.1%) had HER2/neu-positive disease and received trastuzumab treatment, and 1,782 (85.3%) had HER2/neu-negative disease. Median-follow-up was 16.9 months. One-year survival rates among patients with HER2/neu-negative disease, HER2/neu-positive disease and trastuzumab treatment, and HER2/neu-positive disease and no trastuzumab treatment were 75.1% (95% CI, 72.9% to 77.2%), 86.6% (95% CI, 80.8% to 90.8%), and 70.2% (95% CI, 60.3% to 78.1%), respectively. In a multivariable model, women with HER2/neu-positive disease who received trastuzumab had a 44% reduction in the risk of death compared with women with HER2/neu-negative disease (hazard ratio [HR] = 0.56; 95% CI, 0.45 to 0.69; P &lt; .0001). This HR varied with time and was significant for the first 24 months and not significant after 24 months. CONCLUSION Our results show that women with HER2/neu-positive disease who received trastuzumab had improved prognosis compared with women with HER2/neu-negative disease.","container-title":"Journal of Clinical Oncology: Official Journal of the American Society of Clinical Oncology","DOI":"10.1200/JCO.2008.19.9844","ISSN":"1527-7755","issue":"1","journalAbbreviation":"J Clin Oncol","language":"eng","note":"PMID: 19933921\nPMCID: PMC2799236","page":"92-98","source":"PubMed","title":"Prognosis of women with metastatic breast cancer by HER2 status and trastuzumab treatment: an institutional-based review","title-short":"Prognosis of women with metastatic breast cancer by HER2 status and trastuzumab treatment","volume":"28","author":[{"family":"Dawood","given":"Shaheenah"},{"family":"Broglio","given":"Kristine"},{"family":"Buzdar","given":"Aman U."},{"family":"Hortobagyi","given":"Gabriel N."},{"family":"Giordano","given":"Sharon H."}],"issued":{"date-parts":[["2010",1,1]]}}}],"schema":"https://github.com/citation-style-language/schema/raw/master/csl-citation.json"} </w:instrText>
      </w:r>
      <w:r w:rsidRPr="00054570">
        <w:fldChar w:fldCharType="separate"/>
      </w:r>
      <w:r w:rsidR="00CA6345" w:rsidRPr="00CA6345">
        <w:rPr>
          <w:rFonts w:cs="Arial"/>
          <w:szCs w:val="24"/>
          <w:vertAlign w:val="superscript"/>
        </w:rPr>
        <w:t>113</w:t>
      </w:r>
      <w:r w:rsidRPr="00054570">
        <w:fldChar w:fldCharType="end"/>
      </w:r>
      <w:r w:rsidRPr="00054570">
        <w:t xml:space="preserve"> Since then, NICE has recommended a number of HER2-targeted therapies, as monotherapy or combination therapy, for HER2-positive u/mBC</w:t>
      </w:r>
      <w:r w:rsidR="00D43CA8">
        <w:t>.</w:t>
      </w:r>
      <w:r w:rsidR="00660510">
        <w:t xml:space="preserve"> </w:t>
      </w:r>
      <w:r w:rsidR="00D43CA8" w:rsidRPr="00054570">
        <w:t>T-DXd received a positive recommendation from NICE for reimbursement via the CDF for treating HER2-positive u/mBC after two or more anti-HER2 therapies (TA704) based on DESTINY-Breast01,</w:t>
      </w:r>
      <w:r w:rsidR="00D43CA8" w:rsidRPr="00054570">
        <w:fldChar w:fldCharType="begin"/>
      </w:r>
      <w:r w:rsidR="00CA6345">
        <w:instrText xml:space="preserve"> ADDIN ZOTERO_ITEM CSL_CITATION {"citationID":"y4fkQKm5","properties":{"formattedCitation":"\\super 4\\nosupersub{}","plainCitation":"4","noteIndex":0},"citationItems":[{"id":65878,"uris":["http://zotero.org/groups/4797619/items/ESRZZTT8"],"itemData":{"id":65878,"type":"webpage","abstract":"Evidence-based recommendations on trastuzumab deruxtecan (Enhertu) for treating HER2-positive unresectable or metastatic breast cancer in adults after 2 or more","language":"eng","note":"publisher: NICE","title":"Trastuzumab deruxtecan for treating HER2-positive unresectable or metastatic breast cancer after 2 or more anti-HER2 therapies | NICE [TA704]","URL":"https://www.nice.org.uk/guidance/ta704","author":[{"family":"NICE","given":""}],"accessed":{"date-parts":[["2022",9,29]]}}}],"schema":"https://github.com/citation-style-language/schema/raw/master/csl-citation.json"} </w:instrText>
      </w:r>
      <w:r w:rsidR="00D43CA8" w:rsidRPr="00054570">
        <w:fldChar w:fldCharType="separate"/>
      </w:r>
      <w:r w:rsidR="00FD57F4" w:rsidRPr="00FD57F4">
        <w:rPr>
          <w:rFonts w:cs="Arial"/>
          <w:szCs w:val="24"/>
          <w:vertAlign w:val="superscript"/>
        </w:rPr>
        <w:t>4</w:t>
      </w:r>
      <w:r w:rsidR="00D43CA8" w:rsidRPr="00054570">
        <w:fldChar w:fldCharType="end"/>
      </w:r>
      <w:r w:rsidR="00D43CA8" w:rsidRPr="00054570">
        <w:t xml:space="preserve"> and after </w:t>
      </w:r>
      <w:r w:rsidR="00D43CA8">
        <w:t>one</w:t>
      </w:r>
      <w:r w:rsidR="00D43CA8" w:rsidRPr="00054570">
        <w:t xml:space="preserve"> or more anti-HER2 therapies </w:t>
      </w:r>
      <w:r w:rsidR="00D43CA8">
        <w:t>(TA862)</w:t>
      </w:r>
      <w:r w:rsidR="004C74DC" w:rsidRPr="00054570">
        <w:fldChar w:fldCharType="begin"/>
      </w:r>
      <w:r w:rsidR="00CA6345">
        <w:instrText xml:space="preserve"> ADDIN ZOTERO_ITEM CSL_CITATION {"citationID":"W92zXise","properties":{"formattedCitation":"\\super 5\\nosupersub{}","plainCitation":"5","noteIndex":0},"citationItems":[{"id":66214,"uris":["http://zotero.org/groups/4797619/items/H2PQC2GH"],"itemData":{"id":66214,"type":"webpage","abstract":"Trastuzumab deruxtecan for treating HER2-positive unresectable or metastatic breast cancer after trastuzumab and a taxane [TA862]","language":"eng","note":"publisher: NICE","title":"Trastuzumab deruxtecan for treating HER2-positive unresectable or metastatic breast cancer after 1 or more anti-HER2 therapies | NICE [TA862]","URL":"https://www.nice.org.uk/guidance/indevelopment/gid-ta10804/documents","author":[{"family":"NICE","given":""}],"accessed":{"date-parts":[["2023",2,5]]},"issued":{"date-parts":[["2023",2]]}}}],"schema":"https://github.com/citation-style-language/schema/raw/master/csl-citation.json"} </w:instrText>
      </w:r>
      <w:r w:rsidR="004C74DC" w:rsidRPr="00054570">
        <w:fldChar w:fldCharType="separate"/>
      </w:r>
      <w:r w:rsidR="00FD57F4" w:rsidRPr="00FD57F4">
        <w:rPr>
          <w:rFonts w:cs="Arial"/>
          <w:szCs w:val="24"/>
          <w:vertAlign w:val="superscript"/>
        </w:rPr>
        <w:t>5</w:t>
      </w:r>
      <w:r w:rsidR="004C74DC" w:rsidRPr="00054570">
        <w:fldChar w:fldCharType="end"/>
      </w:r>
      <w:r w:rsidR="00D43CA8" w:rsidRPr="00054570">
        <w:t xml:space="preserve"> based on the Phase III DESTINY-Breast03 trial </w:t>
      </w:r>
      <w:r w:rsidR="004C74DC" w:rsidRPr="00054570">
        <w:t>following unprecedented survival benefits over the current UK standard of care, T-DM1 (HR for progression o</w:t>
      </w:r>
      <w:r w:rsidR="004C74DC">
        <w:t>r</w:t>
      </w:r>
      <w:r w:rsidR="004C74DC" w:rsidRPr="00054570">
        <w:t xml:space="preserve"> death: 0.28; 95% CI: 0.22, 0.37; p&lt;0.001)</w:t>
      </w:r>
      <w:r w:rsidR="009B0DE7">
        <w:t>.</w:t>
      </w:r>
      <w:r w:rsidR="004C74DC" w:rsidRPr="00054570">
        <w:fldChar w:fldCharType="begin"/>
      </w:r>
      <w:r w:rsidR="00CA6345">
        <w:instrText xml:space="preserve"> ADDIN ZOTERO_ITEM CSL_CITATION {"citationID":"436at4su","properties":{"formattedCitation":"\\super 68\\nosupersub{}","plainCitation":"68","noteIndex":0},"citationItems":[{"id":66397,"uris":["http://zotero.org/groups/4797619/items/ID7JDCSX"],"itemData":{"id":66397,"type":"article-journal","abstract":"BACKGROUND: Trastuzumab emtansine is the current standard treatment for patients with human epidermal growth factor receptor 2 (HER2)-positive metastatic breast cancer whose disease progresses after treatment with a combination of anti-HER2 antibodies and a taxane.\nMETHODS: We conducted a phase 3, multicenter, open-label, randomized trial to compare the efficacy and safety of trastuzumab deruxtecan (a HER2 antibody-drug conjugate) with those of trastuzumab emtansine in patients with HER2-positive metastatic breast cancer previously treated with trastuzumab and a taxane. The primary end point was progression-free survival (as determined by blinded independent central review); secondary end points included overall survival, objective response, and safety.\nRESULTS: Among 524 randomly assigned patients, the percentage of those who were alive without disease progression at 12 months was 75.8% (95% confidence interval [CI], 69.8 to 80.7) with trastuzumab deruxtecan and 34.1% (95% CI, 27.7 to 40.5) with trastuzumab emtansine (hazard ratio for progression or death from any cause, 0.28; 95% CI, 0.22 to 0.37; P&lt;0.001). The percentage of patients who were alive at 12 months was 94.1% (95% CI, 90.3 to 96.4) with trastuzumab deruxtecan and 85.9% (95% CI, 80.9 to 89.7) with trastuzumab emtansine (hazard ratio for death, 0.55; 95% CI, 0.36 to 0.86; prespecified significance boundary not reached). An overall response (a complete or partial response) occurred in 79.7% (95% CI, 74.3 to 84.4) of the patients who received trastuzumab deruxtecan and in 34.2% (95% CI, 28.5 to 40.3) of those who received trastuzumab emtansine. The incidence of drug-related adverse events of any grade was 98.1% with trastuzumab deruxtecan and 86.6% with trastuzumab emtansine, and the incidence of drug-related adverse events of grade 3 or 4 was 45.1% and 39.8%, respectively. Adjudicated drug-related interstitial lung disease or pneumonitis occurred in 10.5% of the patients in the trastuzumab deruxtecan group and in 1.9% of those in the trastuzumab emtansine group; none of these events were of grade 4 or 5.\nCONCLUSIONS: Among patients with HER2-positive metastatic breast cancer previously treated with trastuzumab and a taxane, the risk of disease progression or death was lower among those who received trastuzumab deruxtecan than among those who received trastuzumab emtansine. Treatment with trastuzumab deruxtecan was associated with interstitial lung disease and pneumonitis. (Funded by Daiichi Sankyo and AstraZeneca; DESTINY-Breast03 ClinicalTrials.gov number, NCT03529110.).","container-title":"The New England Journal of Medicine","DOI":"10.1056/NEJMoa2115022","ISSN":"1533-4406","issue":"12","journalAbbreviation":"N Engl J Med","language":"eng","note":"PMID: 35320644","page":"1143-1154","source":"PubMed","title":"Trastuzumab Deruxtecan versus Trastuzumab Emtansine for Breast Cancer","volume":"386","author":[{"family":"Cortés","given":"Javier"},{"family":"Kim","given":"Sung-Bae"},{"family":"Chung","given":"Wei-Pang"},{"family":"Im","given":"Seock-Ah"},{"family":"Park","given":"Yeon Hee"},{"family":"Hegg","given":"Roberto"},{"family":"Kim","given":"Min Hwan"},{"family":"Tseng","given":"Ling-Ming"},{"family":"Petry","given":"Vanessa"},{"family":"Chung","given":"Chi-Feng"},{"family":"Iwata","given":"Hiroji"},{"family":"Hamilton","given":"Erika"},{"family":"Curigliano","given":"Giuseppe"},{"family":"Xu","given":"Binghe"},{"family":"Huang","given":"Chiun-Sheng"},{"family":"Kim","given":"Jee Hyun"},{"family":"Chiu","given":"Joanne W. Y."},{"family":"Pedrini","given":"Jose Luiz"},{"family":"Lee","given":"Caleb"},{"family":"Liu","given":"Yali"},{"family":"Cathcart","given":"Jillian"},{"family":"Bako","given":"Emarjola"},{"family":"Verma","given":"Sunil"},{"family":"Hurvitz","given":"Sara A."},{"literal":"DESTINY-Breast03 Trial Investigators"}],"issued":{"date-parts":[["2022",3,24]]}}}],"schema":"https://github.com/citation-style-language/schema/raw/master/csl-citation.json"} </w:instrText>
      </w:r>
      <w:r w:rsidR="004C74DC" w:rsidRPr="00054570">
        <w:fldChar w:fldCharType="separate"/>
      </w:r>
      <w:r w:rsidR="00FD57F4" w:rsidRPr="00FD57F4">
        <w:rPr>
          <w:rFonts w:cs="Arial"/>
          <w:szCs w:val="24"/>
          <w:vertAlign w:val="superscript"/>
        </w:rPr>
        <w:t>68</w:t>
      </w:r>
      <w:r w:rsidR="004C74DC" w:rsidRPr="00054570">
        <w:fldChar w:fldCharType="end"/>
      </w:r>
      <w:r w:rsidR="004C74DC" w:rsidRPr="00054570">
        <w:t xml:space="preserve"> </w:t>
      </w:r>
    </w:p>
    <w:p w14:paraId="1FD20031" w14:textId="473EA5F8" w:rsidR="000B148D" w:rsidRPr="00054570" w:rsidRDefault="000B148D" w:rsidP="000B148D">
      <w:pPr>
        <w:pStyle w:val="Body"/>
      </w:pPr>
      <w:r w:rsidRPr="00054570" w:rsidDel="004275EC">
        <w:t xml:space="preserve">For </w:t>
      </w:r>
      <w:r w:rsidRPr="00054570">
        <w:t>patients with HER2-negative u/mBC</w:t>
      </w:r>
      <w:r>
        <w:t xml:space="preserve">, </w:t>
      </w:r>
      <w:r w:rsidDel="004275EC">
        <w:t>options</w:t>
      </w:r>
      <w:r w:rsidRPr="00054570" w:rsidDel="004275EC">
        <w:t xml:space="preserve"> </w:t>
      </w:r>
      <w:r w:rsidDel="004275EC">
        <w:t xml:space="preserve">are </w:t>
      </w:r>
      <w:r>
        <w:t xml:space="preserve">generally </w:t>
      </w:r>
      <w:r w:rsidRPr="00054570" w:rsidDel="004275EC">
        <w:t xml:space="preserve">limited to non-targeted, single-agent chemotherapy once </w:t>
      </w:r>
      <w:r w:rsidRPr="00054570">
        <w:t xml:space="preserve">earlier targeted </w:t>
      </w:r>
      <w:r w:rsidRPr="0027074A">
        <w:t xml:space="preserve">therapies (e.g., ET and </w:t>
      </w:r>
      <w:r w:rsidR="00E66BFA">
        <w:t>CDK4/6i</w:t>
      </w:r>
      <w:r w:rsidRPr="0027074A">
        <w:t xml:space="preserve"> for HR-positive/HER2-negative u/mBC) have been exhausted. Non-targeted, single-agent chemotherapies are associated with poor outcomes; </w:t>
      </w:r>
      <w:r w:rsidR="004B25B3">
        <w:rPr>
          <w:rFonts w:cs="Arial"/>
        </w:rPr>
        <w:t>i</w:t>
      </w:r>
      <w:r w:rsidRPr="002646F6">
        <w:rPr>
          <w:rFonts w:cs="Arial"/>
        </w:rPr>
        <w:t xml:space="preserve">n </w:t>
      </w:r>
      <w:r w:rsidRPr="002646F6">
        <w:t>HER2-negative/HR-positive u/mBC, m</w:t>
      </w:r>
      <w:r>
        <w:t xml:space="preserve">edian </w:t>
      </w:r>
      <w:r w:rsidRPr="002646F6">
        <w:t xml:space="preserve">PFS is </w:t>
      </w:r>
      <w:r w:rsidRPr="00040FAA">
        <w:t>3.</w:t>
      </w:r>
      <w:r>
        <w:t>6</w:t>
      </w:r>
      <w:r w:rsidRPr="00040FAA">
        <w:t>–4.2 months and median OS of 11.5–</w:t>
      </w:r>
      <w:r>
        <w:t xml:space="preserve">16.1 </w:t>
      </w:r>
      <w:r w:rsidRPr="00040FAA">
        <w:t>months.</w:t>
      </w:r>
      <w:r>
        <w:fldChar w:fldCharType="begin"/>
      </w:r>
      <w:r w:rsidR="00CA6345">
        <w:instrText xml:space="preserve"> ADDIN ZOTERO_ITEM CSL_CITATION {"citationID":"RVSARiyc","properties":{"formattedCitation":"\\super 43\\uc0\\u8211{}47\\nosupersub{}","plainCitation":"43–47","noteIndex":0},"citationItems":[{"id":66149,"uris":["http://zotero.org/groups/4797619/items/8M7DF85G"],"itemData":{"id":66149,"type":"article-journal","abstract":"BACKGROUND: Based on data from two multicenter, phase III clinical trials (Studies 301 and 305), eribulin (a microtubule dynamics inhibitor) is indicated in the European Union (EU) for patients with locally advanced or metastatic breast cancer (MBC) after ≥1 prior chemotherapy for advanced disease, including an anthracycline and a taxane in either the adjuvant or metastatic setting. Data from Studies 305 and 301 were pooled to investigate the efficacy of eribulin in various subgroups of patients who matched the EU label, including those with human epidermal growth factor receptor 2 (HER2)-negative and triple-negative disease.\nPATIENTS AND METHODS: In Study 305 (NCT00388726), patients were randomized 2:1 to eribulin mesylate 1.4 mg/m(2) (equivalent to eribulin 1.23 mg/m(2) [expressed as free base]) intravenously on days 1 and 8 every 21 days] or treatment of physician's choice after 2-5 prior chemotherapies (≥2 for advanced disease), including an anthracycline and a taxane (in early/advanced setting). In Study 301 (NCT00337103), patients were randomized 1:1 to eribulin (as above) or capecitabine (1.25 g/m(2) orally twice daily on days 1-14 every 21 days) following ≤3 prior chemotherapies (≤2 for advanced disease), including an anthracycline and a taxane. Efficacy end points were investigated in the intent-to-treat population and subgroups, pooled as discussed above.\nRESULTS: Overall, 1644 patients were included (eribulin: 946; control: 698); baseline characteristics were well matched. Overall survival was significantly longer with eribulin versus control (P &lt; 0.01), as were progression-free survival and clinical benefit rate (both P &lt; 0.05). Significant survival benefits with eribulin versus control were observed in a wide range of patient subgroups, including HER2-negative or triple-negative disease (all P &lt; 0.05).\nCONCLUSION: Our findings underline the survival benefit achieved by eribulin used according to EU label in the overall MBC population and in various subgroups of interest, including patients with HER2-negative and triple-negative disease.","container-title":"Annals of Oncology: Official Journal of the European Society for Medical Oncology","DOI":"10.1093/annonc/mdw203","ISSN":"1569-8041","issue":"8","journalAbbreviation":"Ann Oncol","language":"eng","note":"PMID: 27177860\nPMCID: PMC4959925","page":"1525-1531","source":"PubMed","title":"Pooled analyses of eribulin in metastatic breast cancer patients with at least one prior chemotherapy","volume":"27","author":[{"family":"Pivot","given":"X."},{"family":"Marmé","given":"F."},{"family":"Koenigsberg","given":"R."},{"family":"Guo","given":"M."},{"family":"Berrak","given":"E."},{"family":"Wolfer","given":"A."}],"issued":{"date-parts":[["2016",8]]}}},{"id":66152,"uris":["http://zotero.org/groups/4797619/items/K2TXU8UJ"],"itemData":{"id":66152,"type":"article-journal","abstract":"BACKGROUND: Treatments with survival benefit are greatly needed for women with heavily pretreated metastatic breast cancer. Eribulin mesilate is a non-taxane microtubule dynamics inhibitor with a novel mode of action. We aimed to compare overall survival of heavily pretreated patients receiving eribulin versus currently available treatments.\nMETHODS: In this phase 3 open-label study, women with locally recurrent or metastatic breast cancer were randomly allocated (2:1) to eribulin mesilate (1·4 mg/m(2) administered intravenously during 2-5 min on days 1 and 8 of a 21-day cycle) or treatment of physician's choice (TPC). Patients had received between two and five previous chemotherapy regimens (two or more for advanced disease), including an anthracycline and a taxane, unless contraindicated. Randomisation was stratified by geographical region, previous capecitabine treatment, and human epidermal growth factor receptor 2 status. Patients and investigators were not masked to treatment allocation. The primary endpoint was overall survival in the intention-to-treat population. This study is registered at ClinicalTrials.gov, number NCT00388726.\nFINDINGS: 762 women were randomly allocated to treatment groups (508 eribulin, 254 TPC). Overall survival was significantly improved in women assigned to eribulin (median 13·1 months, 95% CI 11·8-14·3) compared with TPC (10·6 months, 9·3-12·5; hazard ratio 0·81, 95% CI 0·66-0·99; p=0·041). The most common adverse events in both groups were asthenia or fatigue (270 [54%] of 503 patients on eribulin and 98 [40%] of 247 patients on TPC at all grades) and neutropenia (260 [52%] patients receiving eribulin and 73 [30%] of those on TPC at all grades). Peripheral neuropathy was the most common adverse event leading to discontinuation from eribulin, occurring in 24 (5%) of 503 patients.\nINTERPRETATION: Eribulin showed a significant and clinically meaningful improvement in overall survival compared with TPC in women with heavily pretreated metastatic breast cancer. This finding challenges the notion that improved overall survival is an unrealistic expectation during evaluation of new anticancer therapies in the refractory setting.\nFUNDING: Eisai.","container-title":"Lancet (London, England)","DOI":"10.1016/S0140-6736(11)60070-6","ISSN":"1474-547X","issue":"9769","journalAbbreviation":"Lancet","language":"eng","note":"PMID: 21376385","page":"914-923","source":"PubMed","title":"Eribulin monotherapy versus treatment of physician's choice in patients with metastatic breast cancer (EMBRACE): a phase 3 open-label randomised study","title-short":"Eribulin monotherapy versus treatment of physician's choice in patients with metastatic breast cancer (EMBRACE)","volume":"377","author":[{"family":"Cortes","given":"Javier"},{"family":"O'Shaughnessy","given":"Joyce"},{"family":"Loesch","given":"David"},{"family":"Blum","given":"Joanne L."},{"family":"Vahdat","given":"Linda T."},{"family":"Petrakova","given":"Katarina"},{"family":"Chollet","given":"Philippe"},{"family":"Manikas","given":"Alexey"},{"family":"Diéras","given":"Veronique"},{"family":"Delozier","given":"Thierry"},{"family":"Vladimirov","given":"Vladimir"},{"family":"Cardoso","given":"Fatima"},{"family":"Koh","given":"Han"},{"family":"Bougnoux","given":"Philippe"},{"family":"Dutcus","given":"Corina E."},{"family":"Seegobin","given":"Seth"},{"family":"Mir","given":"Denis"},{"family":"Meneses","given":"Nicole"},{"family":"Wanders","given":"Jantien"},{"family":"Twelves","given":"Chris"},{"literal":"EMBRACE (Eisai Metastatic Breast Cancer Study Assessing Physician's Choice Versus E7389) investigators"}],"issued":{"date-parts":[["2011",3,12]]}}},{"id":66151,"uris":["http://zotero.org/groups/4797619/items/RLDAE79H"],"itemData":{"id":66151,"type":"article-journal","abstract":"PURPOSE AND METHODS: Our secondary analyses compared survival with eribulin versus capecitabine in various patient subgroups from a phase 3, open-label, randomized study. Eligible women aged ≥18 years with advanced/metastatic breast cancer and ≤3 prior chemotherapies (≤2 for advanced/metastatic disease), including an anthracycline and taxane, were randomized 1:1 to intravenous eribulin mesylate 1.4 mg/m(2) on days 1 and 8 or twice-daily oral capecitabine 1250 mg/m(2) on days 1-14 (21-day cycles).\nRESULTS: In the intent-to-treat population (eribulin 554 and capecitabine 548), overall survival appeared longer with eribulin than capecitabine in various subgroups, including patients with human epidermal growth factor receptor 2-negative (15.9 versus 13.5 months, respectively), estrogen receptor-negative (14.4 versus 10.5 months, respectively), and triple-negative (14.4 versus 9.4 months, respectively) disease. Progression-free survival was similar between the treatment arms.\nCONCLUSIONS: Patients with advanced/metastatic breast cancer and human epidermal growth factor receptor 2-, estrogen receptor-, or triple-negative disease may gain particular benefit from eribulin as first-, second-, and third-line chemotherapies.\nTRIAL REGISTRATION PRIMARY STUDY: This study reports the subgroup analyses of eribulin versus capecitabine from a phase 3, open-label, randomized study (www.clinicaltrials.gov; ClinicalTrials.gov identifier: NCT00337103).","container-title":"Breast Cancer: Basic and Clinical Research","DOI":"10.4137/BCBCR.S39615","ISSN":"1178-2234","journalAbbreviation":"Breast Cancer (Auckl)","language":"eng","note":"PMID: 27398025\nPMCID: PMC4927108","page":"77-84","source":"PubMed","title":"Subgroup Analyses from a Phase 3, Open-Label, Randomized Study of Eribulin Mesylate Versus Capecitabine in Pretreated Patients with Advanced or Metastatic Breast Cancer","volume":"10","author":[{"family":"Twelves","given":"Chris"},{"family":"Awada","given":"Ahmad"},{"family":"Cortes","given":"Javier"},{"family":"Yelle","given":"Louise"},{"family":"Velikova","given":"Galina"},{"family":"Olivo","given":"Martin S."},{"family":"Song","given":"James"},{"family":"Dutcus","given":"Corina E."},{"family":"Kaufman","given":"Peter A."}],"issued":{"date-parts":[["2016"]]}}},{"id":66150,"uris":["http://zotero.org/groups/4797619/items/FWP3JYLN"],"itemData":{"id":66150,"type":"article-journal","abstract":"This post hoc subgroup analysis of a large phase 3 study compared the efficacy and safety of eribulin versus capecitabine in patients with human epidermal growth factor receptor 2 (HER2)-negative metastatic breast cancer who received second-line treatment. In the phase 3 study, women with advanced/metastatic breast cancer and ≤ 3 prior chemotherapies were randomized 1:1 to eribulin mesilate 1.4 mg/m2 intravenously on days 1 and 8, or twice-daily oral capecitabine 1.25 g/m2 on days 1-14 (21-day cycles). This analysis included 392 patients. Median overall survival was longer in patients receiving eribulin compared with capecitabine (16.1 vs 13.5 months, respectively; HR 0.77, P = 0.026). Median progression-free survival and response rates were similar between arms. Both treatments had manageable safety profiles.","container-title":"Breast Cancer (Tokyo, Japan)","DOI":"10.1007/s12282-017-0826-4","ISSN":"1880-4233","issue":"3","journalAbbreviation":"Breast Cancer","language":"eng","note":"PMID: 29302858\nPMCID: PMC5906517","page":"370-374","source":"PubMed","title":"Subgroup analysis of patients with HER2-negative metastatic breast cancer in the second-line setting from a phase 3, open-label, randomized study of eribulin mesilate versus capecitabine","volume":"25","author":[{"family":"Pivot","given":"Xavier"},{"family":"Im","given":"Seock Ah"},{"family":"Guo","given":"Matthew"},{"family":"Marmé","given":"Frederik"}],"issued":{"date-parts":[["2018",5]]}}},{"id":66278,"uris":["http://zotero.org/groups/4797619/items/L9C8M9U3"],"itemData":{"id":66278,"type":"article-journal","abstract":"BACKGROUND: Use of antiangiogenic agents in treatment of metastatic breast cancer (MBC) remains controversial. We evaluated the efficacy and safety of ramucirumab and eribulin versus eribulin alone as third- to fifth-line therapy in women with advanced breast cancer.\nPATIENTS AND METHODS: In this randomized (1:1), open-label, phase II study, US women aged 18 years or older with 2 to 4 previous chemotherapy regimens for locally recurrent or MBC, previous anthracycline and taxane treatment, and Eastern Cooperative Oncology Group performance status of 0 or 1 received ramucirumab with eribulin or eribulin alone in 21-day cycles (eribulin 1.4 mg/m2 intravenously on days 1 and 8; ramucirumab 10 mg/kg intravenously on day 1). Randomization was stratified according to previous antiangiogenic therapy and triple-negative status. The primary end point was progression-free survival (PFS) in the intention to treat population.\nRESULTS: One hundred forty-one women were randomized to ramucirumab with eribulin (n = 71) or eribulin alone (n = 70). Median PFS for ramucirumab with eribulin was 4.4 months (95% confidence interval [CI], 3.1-6.7) compared with 4.1 months (95% CI, 3.2-5.6) for eribulin (hazard ratio [HR], 0.83; 95% CI, 0.56-1.23; P = .35). Median overall survival in patients who received ramucirumab with eribulin was 13.5 months (95% CI, 10.4-17.9) compared with 11.5 months (95% CI, 9.0-17.3) in patients who received eribulin alone (HR, 0.91; 95% CI, 0.59-1.41; P = .68); objective response rate was 21% (13 of 62 patients) for the combination and 28% (17 of 60 patients) for eribulin alone. No unexpected toxicity was identified for the combination.\nCONCLUSION: Ramucirumab combined with eribulin did not significantly improve PFS in advanced MBC.","container-title":"Clinical Breast Cancer","DOI":"10.1016/j.clbc.2016.07.005","ISSN":"1938-0666","issue":"6","journalAbbreviation":"Clin Breast Cancer","language":"eng","note":"PMID: 27569274","page":"471-479.e1","source":"PubMed","title":"Ramucirumab With Eribulin Versus Eribulin in Locally Recurrent or Metastatic Breast Cancer Previously Treated With Anthracycline and Taxane Therapy: A Multicenter, Randomized, Phase II Study","title-short":"Ramucirumab With Eribulin Versus Eribulin in Locally Recurrent or Metastatic Breast Cancer Previously Treated With Anthracycline and Taxane Therapy","volume":"16","author":[{"family":"Yardley","given":"Denise A."},{"family":"Reeves","given":"James"},{"family":"Dees","given":"E. Claire"},{"family":"Osborne","given":"Cynthia"},{"family":"Paul","given":"Devchand"},{"family":"Ademuyiwa","given":"Foluso"},{"family":"Soliman","given":"Hatem"},{"family":"Guthrie","given":"Troy"},{"family":"Andersen","given":"Jay"},{"family":"Krekow","given":"Lea"},{"family":"Choksi","given":"Janak"},{"family":"Daniel","given":"Brooke"},{"family":"Danso","given":"Michael"},{"family":"Favret","given":"Anne"},{"family":"Oommen","given":"Sanjay"},{"family":"Brufsky","given":"Adam"},{"family":"Bromund","given":"Jane L."},{"family":"Lin","given":"Yong"},{"family":"Ibrahim","given":"Ayman B."},{"family":"Richards","given":"Paul D."}],"issued":{"date-parts":[["2016",12]]}}}],"schema":"https://github.com/citation-style-language/schema/raw/master/csl-citation.json"} </w:instrText>
      </w:r>
      <w:r>
        <w:fldChar w:fldCharType="separate"/>
      </w:r>
      <w:r w:rsidR="00FD57F4" w:rsidRPr="00FD57F4">
        <w:rPr>
          <w:rFonts w:cs="Arial"/>
          <w:szCs w:val="24"/>
          <w:vertAlign w:val="superscript"/>
        </w:rPr>
        <w:t>43–47</w:t>
      </w:r>
      <w:r>
        <w:fldChar w:fldCharType="end"/>
      </w:r>
      <w:r w:rsidRPr="002646F6">
        <w:t xml:space="preserve"> Outcomes are even poorer in</w:t>
      </w:r>
      <w:r w:rsidRPr="002646F6">
        <w:rPr>
          <w:rFonts w:cs="Arial"/>
        </w:rPr>
        <w:t xml:space="preserve"> HER2-negative/HR-negative (TNBC) u/mBC, where median PF</w:t>
      </w:r>
      <w:r>
        <w:rPr>
          <w:rFonts w:cs="Arial"/>
        </w:rPr>
        <w:t>S</w:t>
      </w:r>
      <w:r w:rsidRPr="002646F6">
        <w:rPr>
          <w:rFonts w:cs="Arial"/>
        </w:rPr>
        <w:t xml:space="preserve"> is </w:t>
      </w:r>
      <w:r w:rsidRPr="00040FAA">
        <w:t>1.7–2.8</w:t>
      </w:r>
      <w:r w:rsidRPr="002646F6">
        <w:rPr>
          <w:rFonts w:cs="Arial"/>
        </w:rPr>
        <w:t xml:space="preserve"> months and m</w:t>
      </w:r>
      <w:r>
        <w:rPr>
          <w:rFonts w:cs="Arial"/>
        </w:rPr>
        <w:t xml:space="preserve">edian </w:t>
      </w:r>
      <w:r w:rsidRPr="002646F6">
        <w:rPr>
          <w:rFonts w:cs="Arial"/>
        </w:rPr>
        <w:t xml:space="preserve">OS </w:t>
      </w:r>
      <w:r>
        <w:rPr>
          <w:rFonts w:cs="Arial"/>
        </w:rPr>
        <w:t xml:space="preserve">is </w:t>
      </w:r>
      <w:r w:rsidRPr="00040FAA">
        <w:t>6.7–</w:t>
      </w:r>
      <w:r>
        <w:t>12.4</w:t>
      </w:r>
      <w:r w:rsidRPr="00040FAA">
        <w:t xml:space="preserve"> </w:t>
      </w:r>
      <w:r w:rsidRPr="002646F6">
        <w:rPr>
          <w:rFonts w:cs="Arial"/>
        </w:rPr>
        <w:t>months.</w:t>
      </w:r>
      <w:r>
        <w:fldChar w:fldCharType="begin"/>
      </w:r>
      <w:r w:rsidR="00CA6345">
        <w:instrText xml:space="preserve"> ADDIN ZOTERO_ITEM CSL_CITATION {"citationID":"66ozsfpA","properties":{"formattedCitation":"\\super 47,51\\uc0\\u8211{}55\\nosupersub{}","plainCitation":"47,51–55","noteIndex":0},"citationItems":[{"id":66278,"uris":["http://zotero.org/groups/4797619/items/L9C8M9U3"],"itemData":{"id":66278,"type":"article-journal","abstract":"BACKGROUND: Use of antiangiogenic agents in treatment of metastatic breast cancer (MBC) remains controversial. We evaluated the efficacy and safety of ramucirumab and eribulin versus eribulin alone as third- to fifth-line therapy in women with advanced breast cancer.\nPATIENTS AND METHODS: In this randomized (1:1), open-label, phase II study, US women aged 18 years or older with 2 to 4 previous chemotherapy regimens for locally recurrent or MBC, previous anthracycline and taxane treatment, and Eastern Cooperative Oncology Group performance status of 0 or 1 received ramucirumab with eribulin or eribulin alone in 21-day cycles (eribulin 1.4 mg/m2 intravenously on days 1 and 8; ramucirumab 10 mg/kg intravenously on day 1). Randomization was stratified according to previous antiangiogenic therapy and triple-negative status. The primary end point was progression-free survival (PFS) in the intention to treat population.\nRESULTS: One hundred forty-one women were randomized to ramucirumab with eribulin (n = 71) or eribulin alone (n = 70). Median PFS for ramucirumab with eribulin was 4.4 months (95% confidence interval [CI], 3.1-6.7) compared with 4.1 months (95% CI, 3.2-5.6) for eribulin (hazard ratio [HR], 0.83; 95% CI, 0.56-1.23; P = .35). Median overall survival in patients who received ramucirumab with eribulin was 13.5 months (95% CI, 10.4-17.9) compared with 11.5 months (95% CI, 9.0-17.3) in patients who received eribulin alone (HR, 0.91; 95% CI, 0.59-1.41; P = .68); objective response rate was 21% (13 of 62 patients) for the combination and 28% (17 of 60 patients) for eribulin alone. No unexpected toxicity was identified for the combination.\nCONCLUSION: Ramucirumab combined with eribulin did not significantly improve PFS in advanced MBC.","container-title":"Clinical Breast Cancer","DOI":"10.1016/j.clbc.2016.07.005","ISSN":"1938-0666","issue":"6","journalAbbreviation":"Clin Breast Cancer","language":"eng","note":"PMID: 27569274","page":"471-479.e1","source":"PubMed","title":"Ramucirumab With Eribulin Versus Eribulin in Locally Recurrent or Metastatic Breast Cancer Previously Treated With Anthracycline and Taxane Therapy: A Multicenter, Randomized, Phase II Study","title-short":"Ramucirumab With Eribulin Versus Eribulin in Locally Recurrent or Metastatic Breast Cancer Previously Treated With Anthracycline and Taxane Therapy","volume":"16","author":[{"family":"Yardley","given":"Denise A."},{"family":"Reeves","given":"James"},{"family":"Dees","given":"E. Claire"},{"family":"Osborne","given":"Cynthia"},{"family":"Paul","given":"Devchand"},{"family":"Ademuyiwa","given":"Foluso"},{"family":"Soliman","given":"Hatem"},{"family":"Guthrie","given":"Troy"},{"family":"Andersen","given":"Jay"},{"family":"Krekow","given":"Lea"},{"family":"Choksi","given":"Janak"},{"family":"Daniel","given":"Brooke"},{"family":"Danso","given":"Michael"},{"family":"Favret","given":"Anne"},{"family":"Oommen","given":"Sanjay"},{"family":"Brufsky","given":"Adam"},{"family":"Bromund","given":"Jane L."},{"family":"Lin","given":"Yong"},{"family":"Ibrahim","given":"Ayman B."},{"family":"Richards","given":"Paul D."}],"issued":{"date-parts":[["2016",12]]}}},{"id":66146,"uris":["http://zotero.org/groups/4797619/items/CXIIHEH4"],"itemData":{"id":66146,"type":"article-journal","abstract":"PURPOSE: Improving the outcome of patients with HER2-negative metastatic breast cancer experiencing tumour progression following first-line chemotherapy remains an urgent medical need. The purpose of the VicTORia trial was to show superiority of everolimus in combination with vinorelbine versus vinorelbine monotherapy as second-line chemotherapy for patients with advanced HER2 negative breast cancer.\nMETHODS: In this randomised phase II trial, 133 patients were recruited in 32 centres in Germany. Patients were randomised 1:1 to second-line chemotherapy either with vinorelbine plus everolimus (arm1) or vinorelbine alone (arm2). Primary endpoint was progression-free survival (PFS). Secondary endpoints were PFS rate at 6 months, overall survival (OS), overall response rate (ORR) and safety. Baseline PI3 K mutational status was determined in plasma samples.\nRESULTS: Median progression-free survival was not different between arms (arm1 vs. arm2: 4.01 months, 95% CI 2.40-6.09 vs. 4.08, 95% CI 2.80-5.33). PFS rate at 6 months (arm1 vs. arm2: 39.4%, 95% CI 27.6-50.9% vs. 36.6%, 95% CI 24.6-48.6%), median OS (arm1 vs. arm2: 16.3 months, 95% CI 11.4-19.0 vs. 13.8 months, 95% CI 10.2-19.1) and ORR were not different between arms. Most frequent grade 3/4 adverse events were neutropenia (50% vs. 40%), gastrointestinal toxicities (19.1% vs. 6.1%), and infections (19.1% vs. 7.7%). PI3 K mutational status was neither associated with PFS nor with OS.\nCONCLUSION: Although well tolerated, the efficacy of everolimus and vinorelbine combination therapy was not superior to vinorelbine monotherapy. There was no correlation between PI3 K mutational status and efficacy. EudracCT No 2011-001024-38, ClinicalTrials.gov No NCT01520103.","container-title":"Breast Cancer Research and Treatment","DOI":"10.1007/s10549-019-05280-2","ISSN":"1573-7217","issue":"3","journalAbbreviation":"Breast Cancer Res Treat","language":"eng","note":"PMID: 31115844","page":"637-647","source":"PubMed","title":"VicTORia: a randomised phase II study to compare vinorelbine in combination with the mTOR inhibitor everolimus versus vinorelbine monotherapy for second-line chemotherapy in advanced HER2-negative breast cancer","title-short":"VicTORia","volume":"176","author":[{"family":"Decker","given":"Thomas"},{"family":"Marschner","given":"Norbert"},{"family":"Muendlein","given":"Axel"},{"family":"Welt","given":"Anja"},{"family":"Hagen","given":"Volker"},{"family":"Rauh","given":"Jaqueline"},{"family":"Schröder","given":"Helge"},{"family":"Jaehnig","given":"Peter"},{"family":"Potthoff","given":"Karin"},{"family":"Lerchenmüller","given":"Christian"}],"issued":{"date-parts":[["2019",8]]}}},{"id":66766,"uris":["http://zotero.org/groups/4797619/items/9JHDBM4N"],"itemData":{"id":66766,"type":"article-journal","abstract":"Background: Previously, we showed that reintroduction of the same (first-line) chemotherapy at progression could only partially make up for the loss in efficacy as compared to continuously delivered first-line chemotherapy. Here, we report the probability of starting second-line study chemotherapy in the Stop&amp;Go trial, and the progression-free survival (PFS) and overall survival (OS) of patients who received both the first- and second-line treatment in an intermittent versus continuous schedule.Methods: First-line chemotherapy comprised paclitaxel plus bevacizumab, second-line capecitabine or non-pegylated liposomal doxorubicin, given per treatment line as two times four cycles (intermittent) or as eight consecutive cycles (continuous).Results: Of the 420 patients who started first-line treatment within the Stop&amp;Go trial (210:210), a total of 270 patients continued on second-line study treatment (64% of all), which consisted of capecitabine in 201 patients and of non-pegylated liposomal doxorubicin in 69 patients, evenly distributed between the treatment arms. Median PFS was 3.7 versus 5.0 months (HR 1.07; 95% CI: 0.82–1.38) and median OS 10.9 versus 12.4 months (HR 1.27; 95% CI: 0.98–1.66) for intermittent versus continuous second-line chemotherapy. Second-line PFS was positively influenced by prior hormonal therapy for metastatic disease and longer first-line PFS duration, while triple-negative tumor status had a negative influence. Patients with a shorter time to progression (TTP) in first-line (≤10 months) had a higher probability of starting second-line treatment if they received intermittent compared to continuous chemotherapy (OR 1.97; 95% CI: 1.02–3.80).Conclusion: We recommend continuous scheduling of both the first- and second-line chemotherapy for advanced breast cancer.","container-title":"Acta Oncologica","DOI":"10.1080/0284186X.2020.1731923","ISSN":"0284-186X","issue":"6","note":"publisher: Taylor &amp; Francis\n_eprint: https://doi.org/10.1080/0284186X.2020.1731923\nPMID: 32141389","page":"713-722","source":"Taylor and Francis+NEJM","title":"Secondary analyses of the randomized phase III Stop&amp;Go study: efficacy of second-line intermittent versus continuous chemotherapy in HER2-negative advanced breast cancer","title-short":"Secondary analyses of the randomized phase III Stop&amp;Go study","volume":"59","author":[{"family":"Claessens","given":"Anouk K. M."},{"family":"Erdkamp","given":"Frans L. G."},{"family":"Lopez-Yurda","given":"Marta"},{"family":"Bouma","given":"Jeanette M."},{"family":"Rademaker-Lakhai","given":"Jeany M."},{"family":"Honkoop","given":"Aafke H."},{"family":"Graaf","given":"Hiltje","non-dropping-particle":"de"},{"family":"Tjan-Heijnen","given":"Vivianne C. G."},{"family":"Bos","given":"Monique E. M. M."}],"issued":{"date-parts":[["2020",6,2]]}}},{"id":66756,"uris":["http://zotero.org/groups/4797619/items/97GZ44K7"],"itemData":{"id":66756,"type":"article-journal","abstract":"PURPOSE: This phase III study compared the efficacy and safety of bevacizumab combined with standard chemotherapy regimens versus chemotherapy alone as second-line treatment of patients with human epidermal growth factor receptor 2 (HER2) -negative metastatic breast cancer.\nPATIENTS AND METHODS: Patients were randomly assigned 2:1 to chemotherapy + bevacizumab or to chemotherapy + placebo. Before random assignment, investigators chose capecitabine, a taxane (paclitaxel, nab-paclitaxel, or docetaxel), gemcitabine, or vinorelbine. Dosing for bevacizumab or placebo was 15 mg/kg every 3 weeks or 10 mg/kg every 2 weeks, depending on chemotherapy regimen. The primary end point was progression-free survival (PFS). Secondary end points included overall survival, PFS by chemotherapy cohort, objective response rate (ORR), duration of objective response, 1-year survival rate, and safety.\nRESULTS: RIBBON-2 enrolled 684 patients (225, chemotherapy + placebo; 459, chemotherapy + bevacizumab). The combination of bevacizumab with chemotherapy demonstrated a statistically significant benefit. Median PFS increased from 5.1 to 7.2 months (stratified hazard ratio for PFS, 0.78; 95% CI, 0.64 to 0.93; P = .0072). The 10% improvement in ORR between the placebo- and bevacizumab-containing arms (39.5% v 29.6%; P = .0193), although not statistically significant, was consistent with previous trials. There was no statistically significant difference in overall survival. The most common grade ≥ 3 adverse events (AEs) related to bevacizumab treatment were hypertension (9.0%) and proteinuria (3.1%). There was an increased number of AEs leading to study discontinuation in the chemotherapy + bevacizumab arm compared with the chemotherapy + placebo arm (13.3% v 7.2%).\nCONCLUSION: The combination of bevacizumab with commonly used chemotherapies improved PFS in the second-line treatment of patients with HER2-negative metastatic breast cancer, with a safety profile comparable with that in prior phase III studies.","container-title":"Journal of Clinical Oncology: Official Journal of the American Society of Clinical Oncology","DOI":"10.1200/JCO.2010.34.1255","ISSN":"1527-7755","issue":"32","journalAbbreviation":"J Clin Oncol","language":"eng","note":"PMID: 21990397","page":"4286-4293","source":"PubMed","title":"RIBBON-2: a randomized, double-blind, placebo-controlled, phase III trial evaluating the efficacy and safety of bevacizumab in combination with chemotherapy for second-line treatment of human epidermal growth factor receptor 2-negative metastatic breast cancer","title-short":"RIBBON-2","volume":"29","author":[{"family":"Brufsky","given":"Adam M."},{"family":"Hurvitz","given":"Sara"},{"family":"Perez","given":"Edith"},{"family":"Swamy","given":"Raji"},{"family":"Valero","given":"Vicente"},{"family":"O'Neill","given":"Vincent"},{"family":"Rugo","given":"Hope S."}],"issued":{"date-parts":[["2011",11,10]]}}},{"id":66777,"uris":["http://zotero.org/groups/4797619/items/VJ3GUGK2"],"itemData":{"id":66777,"type":"article-journal","abstract":"Background\nWe conducted an open-label, randomized, two-arm multi-center study to assess the efficacy and safety of paclitaxel versus paclitaxel + sorafenib in patients with locally advanced or metastatic HER2-negative breast cancer.\n\nMethods\nPatients were randomly assigned to receive either paclitaxel monotherapy (80 mg/m2) weekly (3 weeks on, 1 week off) plus sorafenib 400 mg orally, twice a day taken continuously throughout 28 day cycles. Sorafenib dose was gradually escalated from a starting dose of 200 mg twice a day. The primary endpoint was progression free survival (PFS).\n\nResults\nA pre-planned efficacy interim analysis was performed on the data of 60 patients, 30 patients in each treatment arm. Median PFS was estimated at 6.6 months (95% CI: 5.1 to 9.0) in patients randomized to single-agent paclitaxel (Arm A) and 5.6 months (95% CI: 3.8 to 6.5) in patients randomized to paclitaxel-sorafenib combination (Arm B) therapy. Contrary to the hypothesis, the treatment effect was statistically significant in favor of paclitaxel monotherapy (hazard ratio 1.80, 95% CI: 1.02 to 3.20; log-rank test P = 0.0409). It was decided to stop the trial early for futility. Median OS was also in favor of Arm A (20.7 months (95% CI: 16.4 to 26.7) versus 12.1 months (95% CI: 5.8 to 20.4) in Arm B. Clinical control was achieved in 28 patients (93.3%) in Arm A and in 21 patients 70.0% in Arm B. Overall response rate was met in 43.3% of patients in Arm A and in 40.0% in Arm B. Toxicities were increased in Arm B with higher rates of diarrhea, nausea, neutropenia, hand-foot skin reaction (HFSR) and anorexia, Grad 3 and 4 toxicities were rare.\n\nConclusions\nIn this pre-planned interim analysis, paclitaxel-sorafenib combination therapy was not found to be superior to paclitaxel monotherapy with regard to the primary end point, progression-free survival. The trial was therefore discontinued early. There was no indication of more favorable outcomes for combination therapy in secondary efficacy end points. As expected, the safety and toxicity profile of the combination therapy was less favorable compared to monotherapy. Overall, this trial did not demonstrate that adding sorafenib to second- or third-line paclitaxel provides any clinical benefit to patients with HER2-negative advanced or metastatic breast cancer. Cautious dosing using a sorafenib ramp up schedule might have contributed to negative results.\n\nTrial registration\nThe study was registered at EudraCT (No 2009–018025-73) and retrospectively registered at Clinical trials.gov on March 17, 2011 (NCT01320111).","container-title":"BMC Cancer","DOI":"10.1186/s12885-017-3492-1","ISSN":"1471-2407","journalAbbreviation":"BMC Cancer","note":"PMID: 28743247\nPMCID: PMC5526236","page":"499","source":"PubMed Central","title":"A randomized phase II study of paclitaxel alone versus paclitaxel plus sorafenib in second- and third-line treatment of patients with HER2-negative metastatic breast cancer (PASO)","volume":"17","author":[{"family":"Decker","given":"Thomas"},{"family":"Overkamp","given":"Friedrich"},{"family":"Rösel","given":"Siegfried"},{"family":"Nusch","given":"Arnd"},{"family":"Göhler","given":"Thomas"},{"family":"Indorf","given":"Martin"},{"family":"Sahlmann","given":"Jörg"},{"family":"Trarbach","given":"Tanja"}],"issued":{"date-parts":[["2017",7,25]]}}},{"id":66774,"uris":["http://zotero.org/groups/4797619/items/2HU3NYWK"],"itemData":{"id":66774,"type":"article-journal","abstract":"Purpose\n\nGlycoprotein NMB (gpNMB), a negative prognostic marker, is overexpressed in multiple tumor types. Glembatumumab vedotin is a gpNMB-specific monoclonal antibody conjugated to the potent cytotoxin monomethyl auristatin E. This phase II study investigated the activity of glembatumumab vedotin in advanced breast cancer by gpNMB expression.\n\nPatients and Methods\n\nPatients (n = 124) with refractory breast cancer that expressed gpNMB in ≥ 5% of epithelial or stromal cells by central immunohistochemistry were stratified by gpNMB expression (tumor, low stromal intensity, high stromal intensity) and were randomly assigned 2:1 to glembatumumab vedotin (n = 83) or investigator's choice (IC) chemotherapy (n = 41). The study was powered to detect overall objective response rate (ORR) in the glembatumumab vedotin arm between 10% (null) and 22.5% (alternative hypothesis) with preplanned investigation of activity by gpNMB distribution and/or intensity (Stratum 1 to Stratum 3).\n\nResults\n\nGlembatumumab vedotin was well tolerated as compared with IC chemotherapy (less hematologic toxicity; more rash, pruritus, neuropathy, and alopecia). ORR was 6% (five of 83) for glembatumumab vedotin versus 7% (three of 41) for IC, without significant intertreatment differences for predefined strata. Secondary end point revealed ORR of 12% (10 of 83) versus 12% (five of 41) overall, and 30% (seven of 23) versus 9% (one of 11) for gpNMB overexpression (≥ 25% of tumor cells). Unplanned analysis showed ORR of 18% (five of 28) versus 0% (0 of 11) in patients with triple-negative breast cancer (TNBC), and 40% (four of 10) versus 0% (zero of six) in gpNMB-overexpressing TNBC.\n\nConclusion\n\nGlembatumumab vedotin is well tolerated in heavily pretreated patients with breast cancer. Although the primary end point in advanced gpNMB-expressing breast cancer was not met for all enrolled patients (median tumor gpNMB expression, 5%), activity may be enhanced in patients with gpNMB-overexpressing tumors and/or TNBC. A pivotal phase II trial (METRIC [Metastatic Triple-Negative Breast Cancer]) is underway.","container-title":"Journal of Clinical Oncology","DOI":"10.1200/JCO.2014.56.2959","ISSN":"0732-183X","issue":"14","journalAbbreviation":"JCO","note":"publisher: Wolters Kluwer","page":"1609-1619","source":"ascopubs.org (Atypon)","title":"EMERGE: A Randomized Phase II Study of the Antibody-Drug Conjugate Glembatumumab Vedotin in Advanced Glycoprotein NMB–Expressing Breast Cancer","title-short":"EMERGE","volume":"33","author":[{"family":"Yardley","given":"Denise A."},{"family":"Weaver","given":"Robert"},{"family":"Melisko","given":"Michelle E."},{"family":"Saleh","given":"Mansoor N."},{"family":"Arena","given":"Francis P."},{"family":"Forero","given":"Andres"},{"family":"Cigler","given":"Tessa"},{"family":"Stopeck","given":"Alison"},{"family":"Citrin","given":"Dennis"},{"family":"Oliff","given":"Ira"},{"family":"Bechhold","given":"Rebecca"},{"family":"Loutfi","given":"Randa"},{"family":"Garcia","given":"Agustin A."},{"family":"Cruickshank","given":"Scott"},{"family":"Crowley","given":"Elizabeth"},{"family":"Green","given":"Jennifer"},{"family":"Hawthorne","given":"Thomas"},{"family":"Yellin","given":"Michael J."},{"family":"Davis","given":"Thomas A."},{"family":"Vahdat","given":"Linda T."}],"issued":{"date-parts":[["2015",5,10]]}}}],"schema":"https://github.com/citation-style-language/schema/raw/master/csl-citation.json"} </w:instrText>
      </w:r>
      <w:r>
        <w:fldChar w:fldCharType="separate"/>
      </w:r>
      <w:r w:rsidR="00FD57F4" w:rsidRPr="00FD57F4">
        <w:rPr>
          <w:rFonts w:cs="Arial"/>
          <w:szCs w:val="24"/>
          <w:vertAlign w:val="superscript"/>
        </w:rPr>
        <w:t>47,51–55</w:t>
      </w:r>
      <w:r>
        <w:fldChar w:fldCharType="end"/>
      </w:r>
      <w:r w:rsidRPr="0027074A">
        <w:t xml:space="preserve"> At a December 2022 advisory board, UK clinical experts unanimously agreed that single-agent</w:t>
      </w:r>
      <w:r w:rsidRPr="00054570">
        <w:t xml:space="preserve"> chemotherapies are associated with similar</w:t>
      </w:r>
      <w:r>
        <w:t>ly</w:t>
      </w:r>
      <w:r w:rsidRPr="00054570">
        <w:t xml:space="preserve"> poor efficacy and that novel treatments are needed.</w:t>
      </w:r>
      <w:r>
        <w:fldChar w:fldCharType="begin"/>
      </w:r>
      <w:r w:rsidR="00CA6345">
        <w:instrText xml:space="preserve"> ADDIN ZOTERO_ITEM CSL_CITATION {"citationID":"H1eifkjc","properties":{"formattedCitation":"\\super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fldChar w:fldCharType="separate"/>
      </w:r>
      <w:r w:rsidR="00CA6345" w:rsidRPr="00CA6345">
        <w:rPr>
          <w:rFonts w:cs="Arial"/>
          <w:szCs w:val="24"/>
          <w:vertAlign w:val="superscript"/>
        </w:rPr>
        <w:t>121</w:t>
      </w:r>
      <w:r>
        <w:fldChar w:fldCharType="end"/>
      </w:r>
    </w:p>
    <w:p w14:paraId="565E2799" w14:textId="2A69DD5E" w:rsidR="000B148D" w:rsidRPr="00054570" w:rsidRDefault="000B148D" w:rsidP="000B148D">
      <w:pPr>
        <w:pStyle w:val="Body"/>
      </w:pPr>
      <w:r>
        <w:t>Current HER2 classification is binary</w:t>
      </w:r>
      <w:r w:rsidR="00DC19F8">
        <w:t xml:space="preserve">, either </w:t>
      </w:r>
      <w:r>
        <w:t>positive</w:t>
      </w:r>
      <w:r w:rsidR="00DC19F8">
        <w:t xml:space="preserve"> or </w:t>
      </w:r>
      <w:r>
        <w:t xml:space="preserve">negative, yet a </w:t>
      </w:r>
      <w:r w:rsidRPr="00054570">
        <w:t>considerable proportion (5</w:t>
      </w:r>
      <w:r>
        <w:t>8</w:t>
      </w:r>
      <w:r w:rsidRPr="00054570">
        <w:t>%) of patients traditionally classified as HER2-negative u/mBC have tumours expressing low levels of HER2 (ICH1+ or ICH2+/ISH-).</w:t>
      </w:r>
      <w:r w:rsidRPr="00054570">
        <w:fldChar w:fldCharType="begin"/>
      </w:r>
      <w:r w:rsidR="00CA6345">
        <w:instrText xml:space="preserve"> ADDIN ZOTERO_ITEM CSL_CITATION {"citationID":"mjHbWNEt","properties":{"formattedCitation":"\\super 56\\nosupersub{}","plainCitation":"56","noteIndex":0},"citationItems":[{"id":65940,"uris":["http://zotero.org/groups/4797619/items/7UYVWR36"],"itemData":{"id":65940,"type":"article-journal","container-title":"The Journal of Pathology: Clinical Research","DOI":"10.1002/cjp2.173","ISSN":"2056-4538, 2056-4538","issue":"3","journalAbbreviation":"J Pathol Clin Res","language":"en","page":"227-227","source":"DOI.org (Crossref)","title":"Breast cancer biomarkers in clinical testing: analysis of a UK NEQAS ICC &amp; ISH database containing results from 199 300 patients","title-short":"‘Breast cancer biomarkers in clinical testing","volume":"6","author":[{"family":"Dodson","given":"Andrew"},{"family":"Parry","given":"Suzanne"},{"family":"Ibrahim","given":"Merdol"},{"family":"Bartlett","given":"John M. S."},{"family":"Pinder","given":"Sarah E."},{"family":"Dowsett","given":"Mitch"},{"family":"Miller","given":"Keith"}],"issued":{"date-parts":[["2020",7]]}}}],"schema":"https://github.com/citation-style-language/schema/raw/master/csl-citation.json"} </w:instrText>
      </w:r>
      <w:r w:rsidRPr="00054570">
        <w:fldChar w:fldCharType="separate"/>
      </w:r>
      <w:r w:rsidR="00FD57F4" w:rsidRPr="00FD57F4">
        <w:rPr>
          <w:rFonts w:cs="Arial"/>
          <w:szCs w:val="24"/>
          <w:vertAlign w:val="superscript"/>
        </w:rPr>
        <w:t>56</w:t>
      </w:r>
      <w:r w:rsidRPr="00054570">
        <w:fldChar w:fldCharType="end"/>
      </w:r>
      <w:r w:rsidRPr="00054570">
        <w:t xml:space="preserve"> Despite expressing low levels of HER2, the benefits of HER2-targeted therapies in HER2-positive BC have not yet translated to HER2-low. For example, despite demonstrating survival benefits in HER2-positive high-risk invasive </w:t>
      </w:r>
      <w:r w:rsidR="00B25B00">
        <w:t>BC</w:t>
      </w:r>
      <w:r w:rsidRPr="00054570">
        <w:t xml:space="preserve">, trastuzumab plus adjuvant chemotherapy did not improve survival outcomes compared with adjuvant chemotherapy alone in women with HER2-low high-risk invasive </w:t>
      </w:r>
      <w:r w:rsidR="0047363D">
        <w:t>BC</w:t>
      </w:r>
      <w:r w:rsidRPr="00054570">
        <w:t>.</w:t>
      </w:r>
      <w:r w:rsidRPr="00054570">
        <w:fldChar w:fldCharType="begin"/>
      </w:r>
      <w:r w:rsidR="00CA6345">
        <w:instrText xml:space="preserve"> ADDIN ZOTERO_ITEM CSL_CITATION {"citationID":"XH3A240C","properties":{"formattedCitation":"\\super 57\\nosupersub{}","plainCitation":"57","noteIndex":0},"citationItems":[{"id":66281,"uris":["http://zotero.org/groups/4797619/items/3BD9235C"],"itemData":{"id":66281,"type":"article-journal","abstract":"PURPOSE: Adjuvant trastuzumab reduces invasive breast cancer (IBC) recurrence and risk for death in patients with HER2-amplified or overexpressing IBC. A subset of patients in the landmark trastuzumab adjuvant trials who originally tested HER2-positive but were HER2-negative by central HER2 testing appeared to possibly benefit from trastuzumab. The objective for the NSABP B-47 trial was to determine whether the addition of trastuzumab to adjuvant chemotherapy (CRx) would improve invasive disease-free survival (IDFS) in patients with HER2-negative breast cancer.\nPATIENTS AND METHODS: A total of 3,270 women with high-risk primary IBC were randomly assigned to CRx with or without 1 year of trastuzumab. Eligibility criteria included immunohistochemistry (IHC) score 1+ or 2+ with fluorescence in situ hybridization ratio (FISH) &lt; 2.0 or, if ratio was not performed, HER2 gene copy number &lt; 4.0. CRx was either docetaxel plus cyclophosphamide or doxorubicin and cyclophosphamide followed by weekly paclitaxel for 12 weeks.\nRESULTS: At a median follow-up of 46 months, the addition of trastuzumab to CRx did not improve IDFS (5-year IDFS: 89.8% with CRx plus trastuzumab [CRxT] v 89.2% with CRx alone; hazard ratio [HR], 0.98; 95% CI, 0.76 to 1.25; P = .85). These findings did not differ by level of HER2 IHC expression, lymph node involvement, or hormone-receptor status. For distant recurrence-free interval, 5-year estimates were 92.7% with CRxT compared with 93.6% for CRx alone (HR, 1.10; 95% CI, 0.81 to 1.50; P = .55) and for overall survival (OS) were 94.8% with CRxT and 96.3% in CRx alone (HR, 1.33; 95% CI, 0.90 to 1.95; P = .15). There were no unexpected toxicities from the addition of trastuzumab to CRx.\nCONCLUSION: The addition of trastuzumab to CRx did not improve IDFS, distant recurrence-free interval, or OS in women with non-HER2-overexpressing IBC. Trastuzumab does not benefit women without IHC 3+ or FISH ratio-amplified breast cancer.","container-title":"Journal of Clinical Oncology: Official Journal of the American Society of Clinical Oncology","DOI":"10.1200/JCO.19.01455","ISSN":"1527-7755","issue":"5","journalAbbreviation":"J Clin Oncol","language":"eng","note":"PMID: 31821109\nPMCID: PMC7007289","page":"444-453","source":"PubMed","title":"NSABP B-47/NRG Oncology Phase III Randomized Trial Comparing Adjuvant Chemotherapy With or Without Trastuzumab in High-Risk Invasive Breast Cancer Negative for HER2 by FISH and With IHC 1+ or 2","volume":"38","author":[{"family":"Fehrenbacher","given":"Louis"},{"family":"Cecchini","given":"Reena S."},{"family":"Geyer","given":"Charles E."},{"family":"Rastogi","given":"Priya"},{"family":"Costantino","given":"Joseph P."},{"family":"Atkins","given":"James N."},{"family":"Crown","given":"John P."},{"family":"Polikoff","given":"Jonathan"},{"family":"Boileau","given":"Jean-Francois"},{"family":"Provencher","given":"Louise"},{"family":"Stokoe","given":"Christopher"},{"family":"Moore","given":"Timothy D."},{"family":"Robidoux","given":"André"},{"family":"Flynn","given":"Patrick J."},{"family":"Borges","given":"Virginia F."},{"family":"Albain","given":"Kathy S."},{"family":"Swain","given":"Sandra M."},{"family":"Paik","given":"Soonmyung"},{"family":"Mamounas","given":"Eleftherios P."},{"family":"Wolmark","given":"Norman"}],"issued":{"date-parts":[["2020",2,10]]}}}],"schema":"https://github.com/citation-style-language/schema/raw/master/csl-citation.json"} </w:instrText>
      </w:r>
      <w:r w:rsidRPr="00054570">
        <w:fldChar w:fldCharType="separate"/>
      </w:r>
      <w:r w:rsidR="00FD57F4" w:rsidRPr="00FD57F4">
        <w:rPr>
          <w:rFonts w:cs="Arial"/>
          <w:szCs w:val="24"/>
          <w:vertAlign w:val="superscript"/>
        </w:rPr>
        <w:t>57</w:t>
      </w:r>
      <w:r w:rsidRPr="00054570">
        <w:fldChar w:fldCharType="end"/>
      </w:r>
      <w:r w:rsidRPr="00054570">
        <w:t xml:space="preserve"> Similarly, the efficacy of T-DM1 was considerably worse in patients with lower levels of HER2 expression than those with HER2-positive u/mBC.</w:t>
      </w:r>
      <w:r w:rsidRPr="00054570">
        <w:fldChar w:fldCharType="begin"/>
      </w:r>
      <w:r w:rsidR="00CA6345">
        <w:instrText xml:space="preserve"> ADDIN ZOTERO_ITEM CSL_CITATION {"citationID":"LlFO3STl","properties":{"formattedCitation":"\\super 159\\nosupersub{}","plainCitation":"159","noteIndex":0},"citationItems":[{"id":66413,"uris":["http://zotero.org/groups/4797619/items/8YQ7DQTL"],"itemData":{"id":66413,"type":"article-journal","abstract":"PURPOSE: The antibody-drug conjugate trastuzumab-DM1 (T-DM1) combines the biologic activity of trastuzumab with targeted delivery of a potent antimicrotubule agent, DM1, to human epidermal growth factor receptor 2 (HER2)-overexpressing cancer cells. Based on results from a phase I study that showed T-DM1 was well tolerated at the maximum-tolerated dose of 3.6 mg/kg every 3 weeks, with evidence of efficacy, in patients with HER2-positive metastatic breast cancer (MBC) who were previously treated with trastuzumab, we conducted a phase II study to further define the safety and efficacy of T-DM1 in this patient population.\nPATIENTS AND METHODS: This report describes a single-arm phase II study (TDM4258g) that assessed efficacy and safety of intravenous T-DM1 (3.6 mg/kg every 3 weeks) in patients with HER2-positive MBC who had tumor progression after prior treatment with HER2-directed therapy and who had received prior chemotherapy.\nRESULTS: With a follow-up of ≥ 12 months among 112 treated patients, the objective response rate by independent assessment was 25.9% (95% CI, 18.4% to 34.4%). Median duration of response was not reached as a result of insufficient events (lower limit of 95% CI, 6.2 months), and median progression-free survival time was 4.6 months (95% CI, 3.9 to 8.6 months). The response rates were higher among patients with confirmed HER2-positive tumors (immunohistochemistry 3+ or fluorescent in situ hybridization positive) by retrospective central testing (n = 74). Higher response rates were also observed in patients whose tumors expressed ≥ median HER2 levels by quantitative reverse transcriptase polymerase chain reaction for HER2 expression, compared with patients who had less than median HER2 levels. T-DM1 was well tolerated with no dose-limiting cardiotoxicity. Most adverse events (AEs) were grade 1 or 2; the most frequent grade ≥ 3 AEs were hypokalemia (8.9%), thrombocytopenia (8.0%), and fatigue (4.5%).\nCONCLUSION: T-DM1 has robust single-agent activity in patients with heavily pretreated, HER2-positive MBC and is well tolerated at the recommended phase II dose.","container-title":"Journal of Clinical Oncology: Official Journal of the American Society of Clinical Oncology","DOI":"10.1200/JCO.2010.29.5865","ISSN":"1527-7755","issue":"4","journalAbbreviation":"J Clin Oncol","language":"eng","note":"PMID: 21172893","page":"398-405","source":"PubMed","title":"Phase II study of the antibody drug conjugate trastuzumab-DM1 for the treatment of human epidermal growth factor receptor 2 (HER2)-positive breast cancer after prior HER2-directed therapy","volume":"29","author":[{"family":"Burris","given":"Howard A."},{"family":"Rugo","given":"Hope S."},{"family":"Vukelja","given":"Svetislava J."},{"family":"Vogel","given":"Charles L."},{"family":"Borson","given":"Rachel A."},{"family":"Limentani","given":"Steven"},{"family":"Tan-Chiu","given":"Elizabeth"},{"family":"Krop","given":"Ian E."},{"family":"Michaelson","given":"Richard A."},{"family":"Girish","given":"Sandhya"},{"family":"Amler","given":"Lukas"},{"family":"Zheng","given":"Maoxia"},{"family":"Chu","given":"Yu-Waye"},{"family":"Klencke","given":"Barbara"},{"family":"O'Shaughnessy","given":"Joyce A."}],"issued":{"date-parts":[["2011",2,1]]}}}],"schema":"https://github.com/citation-style-language/schema/raw/master/csl-citation.json"} </w:instrText>
      </w:r>
      <w:r w:rsidRPr="00054570">
        <w:fldChar w:fldCharType="separate"/>
      </w:r>
      <w:r w:rsidR="00CA6345" w:rsidRPr="00CA6345">
        <w:rPr>
          <w:rFonts w:cs="Arial"/>
          <w:szCs w:val="24"/>
          <w:vertAlign w:val="superscript"/>
        </w:rPr>
        <w:t>159</w:t>
      </w:r>
      <w:r w:rsidRPr="00054570">
        <w:fldChar w:fldCharType="end"/>
      </w:r>
      <w:r w:rsidRPr="00054570">
        <w:t xml:space="preserve"> There remains an opportunity, therefore, for effective HER2-targeted therapies to improve outcomes in patients with HER2-low u/mBC.</w:t>
      </w:r>
    </w:p>
    <w:p w14:paraId="75220394" w14:textId="71E8C548" w:rsidR="000B148D" w:rsidRDefault="000B148D" w:rsidP="000B148D">
      <w:pPr>
        <w:pStyle w:val="Body"/>
      </w:pPr>
      <w:r w:rsidRPr="00054570">
        <w:t>Following unprecedented survival benefits compared with other HER2-targeted agents in patients with HER2-positive disease,</w:t>
      </w:r>
      <w:r w:rsidRPr="00054570">
        <w:fldChar w:fldCharType="begin"/>
      </w:r>
      <w:r w:rsidR="00CA6345">
        <w:instrText xml:space="preserve"> ADDIN ZOTERO_ITEM CSL_CITATION {"citationID":"z5lB08xF","properties":{"formattedCitation":"\\super 68,160\\nosupersub{}","plainCitation":"68,160","noteIndex":0},"citationItems":[{"id":66397,"uris":["http://zotero.org/groups/4797619/items/ID7JDCSX"],"itemData":{"id":66397,"type":"article-journal","abstract":"BACKGROUND: Trastuzumab emtansine is the current standard treatment for patients with human epidermal growth factor receptor 2 (HER2)-positive metastatic breast cancer whose disease progresses after treatment with a combination of anti-HER2 antibodies and a taxane.\nMETHODS: We conducted a phase 3, multicenter, open-label, randomized trial to compare the efficacy and safety of trastuzumab deruxtecan (a HER2 antibody-drug conjugate) with those of trastuzumab emtansine in patients with HER2-positive metastatic breast cancer previously treated with trastuzumab and a taxane. The primary end point was progression-free survival (as determined by blinded independent central review); secondary end points included overall survival, objective response, and safety.\nRESULTS: Among 524 randomly assigned patients, the percentage of those who were alive without disease progression at 12 months was 75.8% (95% confidence interval [CI], 69.8 to 80.7) with trastuzumab deruxtecan and 34.1% (95% CI, 27.7 to 40.5) with trastuzumab emtansine (hazard ratio for progression or death from any cause, 0.28; 95% CI, 0.22 to 0.37; P&lt;0.001). The percentage of patients who were alive at 12 months was 94.1% (95% CI, 90.3 to 96.4) with trastuzumab deruxtecan and 85.9% (95% CI, 80.9 to 89.7) with trastuzumab emtansine (hazard ratio for death, 0.55; 95% CI, 0.36 to 0.86; prespecified significance boundary not reached). An overall response (a complete or partial response) occurred in 79.7% (95% CI, 74.3 to 84.4) of the patients who received trastuzumab deruxtecan and in 34.2% (95% CI, 28.5 to 40.3) of those who received trastuzumab emtansine. The incidence of drug-related adverse events of any grade was 98.1% with trastuzumab deruxtecan and 86.6% with trastuzumab emtansine, and the incidence of drug-related adverse events of grade 3 or 4 was 45.1% and 39.8%, respectively. Adjudicated drug-related interstitial lung disease or pneumonitis occurred in 10.5% of the patients in the trastuzumab deruxtecan group and in 1.9% of those in the trastuzumab emtansine group; none of these events were of grade 4 or 5.\nCONCLUSIONS: Among patients with HER2-positive metastatic breast cancer previously treated with trastuzumab and a taxane, the risk of disease progression or death was lower among those who received trastuzumab deruxtecan than among those who received trastuzumab emtansine. Treatment with trastuzumab deruxtecan was associated with interstitial lung disease and pneumonitis. (Funded by Daiichi Sankyo and AstraZeneca; DESTINY-Breast03 ClinicalTrials.gov number, NCT03529110.).","container-title":"The New England Journal of Medicine","DOI":"10.1056/NEJMoa2115022","ISSN":"1533-4406","issue":"12","journalAbbreviation":"N Engl J Med","language":"eng","note":"PMID: 35320644","page":"1143-1154","source":"PubMed","title":"Trastuzumab Deruxtecan versus Trastuzumab Emtansine for Breast Cancer","volume":"386","author":[{"family":"Cortés","given":"Javier"},{"family":"Kim","given":"Sung-Bae"},{"family":"Chung","given":"Wei-Pang"},{"family":"Im","given":"Seock-Ah"},{"family":"Park","given":"Yeon Hee"},{"family":"Hegg","given":"Roberto"},{"family":"Kim","given":"Min Hwan"},{"family":"Tseng","given":"Ling-Ming"},{"family":"Petry","given":"Vanessa"},{"family":"Chung","given":"Chi-Feng"},{"family":"Iwata","given":"Hiroji"},{"family":"Hamilton","given":"Erika"},{"family":"Curigliano","given":"Giuseppe"},{"family":"Xu","given":"Binghe"},{"family":"Huang","given":"Chiun-Sheng"},{"family":"Kim","given":"Jee Hyun"},{"family":"Chiu","given":"Joanne W. Y."},{"family":"Pedrini","given":"Jose Luiz"},{"family":"Lee","given":"Caleb"},{"family":"Liu","given":"Yali"},{"family":"Cathcart","given":"Jillian"},{"family":"Bako","given":"Emarjola"},{"family":"Verma","given":"Sunil"},{"family":"Hurvitz","given":"Sara A."},{"literal":"DESTINY-Breast03 Trial Investigators"}],"issued":{"date-parts":[["2022",3,24]]}}},{"id":66736,"uris":["http://zotero.org/groups/4797619/items/LHGE7L2N"],"itemData":{"id":66736,"type":"article-journal","container-title":"New England Journal of Medicine","DOI":"10.1056/NEJMoa1914510","ISSN":"0028-4793","issue":"7","note":"publisher: Massachusetts Medical Society\n_eprint: https://doi.org/10.1056/NEJMoa1914510\nPMID: 31825192","page":"610-621","source":"Taylor and Francis+NEJM","title":"Trastuzumab Deruxtecan in Previously Treated HER2-Positive Breast Cancer","volume":"382","author":[{"family":"Modi","given":"Shanu"},{"family":"Saura","given":"Cristina"},{"family":"Yamashita","given":"Toshinari"},{"family":"Park","given":"Yeon Hee"},{"family":"Kim","given":"Sung-Bae"},{"family":"Tamura","given":"Kenji"},{"family":"Andre","given":"Fabrice"},{"family":"Iwata","given":"Hiroji"},{"family":"Ito","given":"Yoshinori"},{"family":"Tsurutani","given":"Junji"},{"family":"Sohn","given":"Joohyuk"},{"family":"Denduluri","given":"Neelima"},{"family":"Perrin","given":"Christophe"},{"family":"Aogi","given":"Kenjiro"},{"family":"Tokunaga","given":"Eriko"},{"family":"Im","given":"Seock-Ah"},{"family":"Lee","given":"Keun Seok"},{"family":"Hurvitz","given":"Sara A."},{"family":"Cortes","given":"Javier"},{"family":"Lee","given":"Caleb"},{"family":"Chen","given":"Shuquan"},{"family":"Zhang","given":"Lin"},{"family":"Shahidi","given":"Javad"},{"family":"Yver","given":"Antoine"},{"family":"Krop","given":"Ian"}],"issued":{"date-parts":[["2020",2,13]]}}}],"schema":"https://github.com/citation-style-language/schema/raw/master/csl-citation.json"} </w:instrText>
      </w:r>
      <w:r w:rsidRPr="00054570">
        <w:fldChar w:fldCharType="separate"/>
      </w:r>
      <w:r w:rsidR="00CA6345" w:rsidRPr="00CA6345">
        <w:rPr>
          <w:rFonts w:cs="Arial"/>
          <w:szCs w:val="24"/>
          <w:vertAlign w:val="superscript"/>
        </w:rPr>
        <w:t>68,160</w:t>
      </w:r>
      <w:r w:rsidRPr="00054570">
        <w:fldChar w:fldCharType="end"/>
      </w:r>
      <w:r w:rsidRPr="00054570">
        <w:t xml:space="preserve"> DESTINY-Breast04</w:t>
      </w:r>
      <w:r>
        <w:t xml:space="preserve"> evaluated </w:t>
      </w:r>
      <w:r w:rsidRPr="00054570">
        <w:t>T-DXd in patients with HER2-low u/mBC following one or two lines of chemotherapy in the metastatic setting.</w:t>
      </w:r>
      <w:r>
        <w:fldChar w:fldCharType="begin"/>
      </w:r>
      <w:r w:rsidR="00CA6345">
        <w:instrText xml:space="preserve"> ADDIN ZOTERO_ITEM CSL_CITATION {"citationID":"jkR0zxIe","properties":{"formattedCitation":"\\super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t xml:space="preserve"> </w:t>
      </w:r>
      <w:r w:rsidRPr="00054570">
        <w:t>DESTINY-Breast04 met its key primary endpoint of PFS by BICR in the HR-positive cohort, demonstrating statistically significant superiority of T-DXd compared with TPC.</w:t>
      </w:r>
      <w:r>
        <w:fldChar w:fldCharType="begin"/>
      </w:r>
      <w:r w:rsidR="00CA6345">
        <w:instrText xml:space="preserve"> ADDIN ZOTERO_ITEM CSL_CITATION {"citationID":"WdsnQITR","properties":{"formattedCitation":"\\super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054570">
        <w:t xml:space="preserve"> T-DXd was </w:t>
      </w:r>
      <w:r>
        <w:t xml:space="preserve">also </w:t>
      </w:r>
      <w:r w:rsidRPr="00054570">
        <w:t xml:space="preserve">associated with statistically significant </w:t>
      </w:r>
      <w:r w:rsidR="001055C0">
        <w:t xml:space="preserve">superiority </w:t>
      </w:r>
      <w:r w:rsidRPr="00054570">
        <w:t xml:space="preserve">over TPC </w:t>
      </w:r>
      <w:r>
        <w:t>for all</w:t>
      </w:r>
      <w:r w:rsidRPr="00054570">
        <w:t xml:space="preserve"> </w:t>
      </w:r>
      <w:r>
        <w:t xml:space="preserve">key </w:t>
      </w:r>
      <w:r w:rsidRPr="00054570">
        <w:t xml:space="preserve">secondary efficacy endpoints </w:t>
      </w:r>
      <w:r>
        <w:t xml:space="preserve">– </w:t>
      </w:r>
      <w:r w:rsidRPr="00054570">
        <w:t>PFS by BICR in the FAS, OS in the HR-positive cohort, and OS in the FAS</w:t>
      </w:r>
      <w:r>
        <w:t xml:space="preserve"> –</w:t>
      </w:r>
      <w:r w:rsidRPr="00054570">
        <w:t xml:space="preserve"> as well as other </w:t>
      </w:r>
      <w:r>
        <w:t xml:space="preserve">clinically meaningful secondary </w:t>
      </w:r>
      <w:r w:rsidRPr="00054570">
        <w:t xml:space="preserve">endpoints </w:t>
      </w:r>
      <w:r>
        <w:t>including</w:t>
      </w:r>
      <w:r w:rsidRPr="00054570">
        <w:t xml:space="preserve"> response rates.</w:t>
      </w:r>
      <w:r>
        <w:fldChar w:fldCharType="begin"/>
      </w:r>
      <w:r w:rsidR="00CA6345">
        <w:instrText xml:space="preserve"> ADDIN ZOTERO_ITEM CSL_CITATION {"citationID":"vt3whGn0","properties":{"formattedCitation":"\\super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w:t>
      </w:r>
      <w:r>
        <w:fldChar w:fldCharType="end"/>
      </w:r>
      <w:r w:rsidRPr="00054570">
        <w:t xml:space="preserve"> </w:t>
      </w:r>
      <w:r w:rsidRPr="005D4CD3">
        <w:t>The magnitude of benefit across pre-specified subgroups</w:t>
      </w:r>
      <w:r>
        <w:t>,</w:t>
      </w:r>
      <w:r w:rsidRPr="005D4CD3">
        <w:t xml:space="preserve"> </w:t>
      </w:r>
      <w:r w:rsidRPr="00054570">
        <w:t xml:space="preserve">including </w:t>
      </w:r>
      <w:r>
        <w:t>hormone receptor</w:t>
      </w:r>
      <w:r w:rsidRPr="00054570">
        <w:t xml:space="preserve"> status, number of </w:t>
      </w:r>
      <w:r w:rsidR="0010461E" w:rsidRPr="00054570">
        <w:t xml:space="preserve">prior lines of chemotherapy in the metastatic setting, prior </w:t>
      </w:r>
      <w:r w:rsidR="0010461E">
        <w:t xml:space="preserve">treatment with </w:t>
      </w:r>
      <w:r w:rsidR="0010461E" w:rsidRPr="00054570">
        <w:t>CDK4/6 inhibitors</w:t>
      </w:r>
      <w:r w:rsidR="0010461E">
        <w:t>, ECOG performance status, baseline visceral disease, and baseline brain metastases</w:t>
      </w:r>
      <w:r>
        <w:t xml:space="preserve">, </w:t>
      </w:r>
      <w:r w:rsidRPr="005D4CD3">
        <w:t xml:space="preserve">demonstrate </w:t>
      </w:r>
      <w:r>
        <w:t xml:space="preserve">the </w:t>
      </w:r>
      <w:r w:rsidRPr="005D4CD3">
        <w:t xml:space="preserve">consistency </w:t>
      </w:r>
      <w:r>
        <w:t>of</w:t>
      </w:r>
      <w:r w:rsidRPr="005D4CD3">
        <w:t xml:space="preserve"> treatment effect</w:t>
      </w:r>
      <w:r>
        <w:t xml:space="preserve"> and strength of the data</w:t>
      </w:r>
      <w:r w:rsidRPr="005D4CD3">
        <w:t>.</w:t>
      </w:r>
      <w:r w:rsidRPr="00054570">
        <w:fldChar w:fldCharType="begin"/>
      </w:r>
      <w:r w:rsidR="00CA6345">
        <w:instrText xml:space="preserve"> ADDIN ZOTERO_ITEM CSL_CITATION {"citationID":"9LNSWbkn","properties":{"formattedCitation":"\\super 6,7\\nosupersub{}","plainCitation":"6,7","noteIndex":0},"citationItems":[{"id":65944,"uris":["http://zotero.org/groups/4797619/items/WBVSVVF7"],"itemData":{"id":65944,"type":"document","title":"Clinical Study Report for DS8201-A-U303. Data cut-off date: 11 Jan 2022. Data on File.","author":[{"family":"Daiichi Sankyo Inc.","given":""}],"issued":{"date-parts":[["2022"]]}}},{"id":66153,"uris":["http://zotero.org/groups/4797619/items/DIMCLQBB"],"itemData":{"id":66153,"type":"article-journal","container-title":"New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Pr="00054570">
        <w:fldChar w:fldCharType="separate"/>
      </w:r>
      <w:r w:rsidR="00FD57F4" w:rsidRPr="00FD57F4">
        <w:rPr>
          <w:rFonts w:cs="Arial"/>
          <w:szCs w:val="24"/>
          <w:vertAlign w:val="superscript"/>
        </w:rPr>
        <w:t>6,7</w:t>
      </w:r>
      <w:r w:rsidRPr="00054570">
        <w:fldChar w:fldCharType="end"/>
      </w:r>
      <w:r>
        <w:t xml:space="preserve"> </w:t>
      </w:r>
    </w:p>
    <w:p w14:paraId="34F02D4B" w14:textId="1D119562" w:rsidR="000B148D" w:rsidRDefault="00887AA7" w:rsidP="000B148D">
      <w:pPr>
        <w:pStyle w:val="Body"/>
      </w:pPr>
      <w:r>
        <w:t>Quality-of-life</w:t>
      </w:r>
      <w:r w:rsidR="000B148D" w:rsidRPr="00054570">
        <w:t xml:space="preserve"> of patients </w:t>
      </w:r>
      <w:r w:rsidR="000B148D" w:rsidRPr="00CE28B5">
        <w:t>was maintained on treatment</w:t>
      </w:r>
      <w:r w:rsidR="000B148D">
        <w:t xml:space="preserve"> with T-DXd across a range of generic (EQ-5D-5L) and cancer-specific (</w:t>
      </w:r>
      <w:r w:rsidR="000B148D" w:rsidRPr="00AA6742">
        <w:t xml:space="preserve">EORTC QLQ-C30 </w:t>
      </w:r>
      <w:r w:rsidR="000B148D">
        <w:t xml:space="preserve">and </w:t>
      </w:r>
      <w:r w:rsidR="000B148D" w:rsidRPr="00054570">
        <w:t>EORTC QLQ-C30</w:t>
      </w:r>
      <w:r w:rsidR="000B148D">
        <w:t>) PRO instruments with longer TTDD across almost all measures and scales compared with TPC.</w:t>
      </w:r>
      <w:r w:rsidR="000B148D">
        <w:fldChar w:fldCharType="begin"/>
      </w:r>
      <w:r w:rsidR="00CA6345">
        <w:instrText xml:space="preserve"> ADDIN ZOTERO_ITEM CSL_CITATION {"citationID":"Y5jMFquF","properties":{"formattedCitation":"\\super 7,151\\nosupersub{}","plainCitation":"7,151","noteIndex":0},"citationItems":[{"id":65944,"uris":["http://zotero.org/groups/4797619/items/WBVSVVF7"],"itemData":{"id":65944,"type":"document","title":"Clinical Study Report for DS8201-A-U303. Data cut-off date: 11 Jan 2022. Data on File.","author":[{"family":"Daiichi Sankyo Inc.","given":""}],"issued":{"date-parts":[["2022"]]}}},{"id":66139,"uris":["http://zotero.org/groups/4797619/items/GE98BVW6"],"itemData":{"id":66139,"type":"document","title":"Patient-Reported Outcomes (PROs) From DESTINY-Breast04  a Randomized Phase 3 Study of Trastuzumab Deruxtecan (T-DXd) vs Treatment of Physician’s Choice (TPC) in Patients With HER2-Low  Metastatic Breast Cancer. Presented at ESMO Congress, September 2022.","author":[{"family":"Ueno","given":"Shanu"},{"family":"Jacot","given":"William"},{"family":"Yamashita","given":"Toshinari"},{"family":"Sohn","given":"Joohyuk"},{"family":"Vidal","given":"Maria"},{"family":"Tokunaga","given":"Eriko"},{"family":"Tsurutani","given":"Junji"},{"family":"Lee","given":"Keun Seok"},{"family":"Niikura","given":"Naoki"},{"family":"Park","given":"Yeon Hee"},{"family":"Wang","given":"Xiaojia"},{"family":"Xu","given":"Binghe"},{"family":"Gambhire","given":"Dhiraj"},{"family":"Yung","given":"Lotus"},{"family":"Meinhardt","given":"Gerold"},{"family":"Wang","given":"Yibin"},{"family":"Harbeck","given":"Nadia"},{"family":"Cameron","given":"David"},{"family":"Modi","given":"Shanu"}],"issued":{"date-parts":[["2022",9,1]]}}}],"schema":"https://github.com/citation-style-language/schema/raw/master/csl-citation.json"} </w:instrText>
      </w:r>
      <w:r w:rsidR="000B148D">
        <w:fldChar w:fldCharType="separate"/>
      </w:r>
      <w:r w:rsidR="00CA6345" w:rsidRPr="00CA6345">
        <w:rPr>
          <w:rFonts w:cs="Arial"/>
          <w:szCs w:val="24"/>
          <w:vertAlign w:val="superscript"/>
        </w:rPr>
        <w:t>7,151</w:t>
      </w:r>
      <w:r w:rsidR="000B148D">
        <w:fldChar w:fldCharType="end"/>
      </w:r>
      <w:r w:rsidR="000B148D">
        <w:t xml:space="preserve"> </w:t>
      </w:r>
      <w:r w:rsidR="000B148D" w:rsidRPr="00054570">
        <w:t>The safety profile of T</w:t>
      </w:r>
      <w:r w:rsidR="000B148D" w:rsidRPr="00054570">
        <w:noBreakHyphen/>
        <w:t xml:space="preserve">DXd in DESTINY-Breast04 was consistent </w:t>
      </w:r>
      <w:r w:rsidR="000B148D">
        <w:t xml:space="preserve">with </w:t>
      </w:r>
      <w:r w:rsidR="000B148D" w:rsidRPr="00054570">
        <w:t xml:space="preserve">previous studies </w:t>
      </w:r>
      <w:r w:rsidR="000B148D">
        <w:t>of</w:t>
      </w:r>
      <w:r w:rsidR="000B148D" w:rsidRPr="00054570">
        <w:t xml:space="preserve"> T-DXd in u/mBC</w:t>
      </w:r>
      <w:r w:rsidR="000B148D">
        <w:t>,</w:t>
      </w:r>
      <w:r w:rsidR="000B148D" w:rsidRPr="00054570">
        <w:fldChar w:fldCharType="begin"/>
      </w:r>
      <w:r w:rsidR="00CA6345">
        <w:instrText xml:space="preserve"> ADDIN ZOTERO_ITEM CSL_CITATION {"citationID":"XIbjIRt0","properties":{"formattedCitation":"\\super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000B148D" w:rsidRPr="00054570">
        <w:fldChar w:fldCharType="separate"/>
      </w:r>
      <w:r w:rsidR="00FD57F4" w:rsidRPr="00FD57F4">
        <w:rPr>
          <w:rFonts w:cs="Arial"/>
          <w:szCs w:val="24"/>
          <w:vertAlign w:val="superscript"/>
        </w:rPr>
        <w:t>6</w:t>
      </w:r>
      <w:r w:rsidR="000B148D" w:rsidRPr="00054570">
        <w:fldChar w:fldCharType="end"/>
      </w:r>
      <w:r w:rsidR="000B148D" w:rsidRPr="00054570">
        <w:t xml:space="preserve"> </w:t>
      </w:r>
      <w:r w:rsidR="000B148D">
        <w:t>and t</w:t>
      </w:r>
      <w:r w:rsidR="000B148D" w:rsidRPr="00054570">
        <w:t>he majority of TEAEs were mild or moderate in severity</w:t>
      </w:r>
      <w:r w:rsidR="000B148D">
        <w:t>,</w:t>
      </w:r>
      <w:r w:rsidR="000B148D" w:rsidRPr="00054570">
        <w:t xml:space="preserve"> </w:t>
      </w:r>
      <w:r w:rsidR="00294FDC" w:rsidRPr="00294FDC">
        <w:rPr>
          <w:color w:val="000000"/>
          <w:highlight w:val="black"/>
        </w:rPr>
        <w:lastRenderedPageBreak/>
        <w:t>xxxxxxxxxxxxxxxxxxxxxx</w:t>
      </w:r>
      <w:r w:rsidR="000B148D">
        <w:t xml:space="preserve"> through cycles</w:t>
      </w:r>
      <w:r w:rsidR="000B148D" w:rsidRPr="00054570">
        <w:t>.</w:t>
      </w:r>
      <w:r w:rsidR="008B1433" w:rsidRPr="00054570">
        <w:fldChar w:fldCharType="begin"/>
      </w:r>
      <w:r w:rsidR="00CA6345">
        <w:instrText xml:space="preserve"> ADDIN ZOTERO_ITEM CSL_CITATION {"citationID":"KOTJkPhe","properties":{"formattedCitation":"\\super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008B1433" w:rsidRPr="00054570">
        <w:fldChar w:fldCharType="separate"/>
      </w:r>
      <w:r w:rsidR="00FD57F4" w:rsidRPr="00FD57F4">
        <w:rPr>
          <w:rFonts w:cs="Arial"/>
          <w:szCs w:val="24"/>
          <w:vertAlign w:val="superscript"/>
        </w:rPr>
        <w:t>7</w:t>
      </w:r>
      <w:r w:rsidR="008B1433" w:rsidRPr="00054570">
        <w:fldChar w:fldCharType="end"/>
      </w:r>
      <w:r w:rsidR="008B1433">
        <w:t xml:space="preserve"> </w:t>
      </w:r>
      <w:r w:rsidR="000B148D" w:rsidRPr="00054570">
        <w:t xml:space="preserve">Despite similar rates of overall TEAEs and drug-related TEAEs, T-DXd was associated with </w:t>
      </w:r>
      <w:r w:rsidR="001736F2" w:rsidRPr="00054570">
        <w:t>lower</w:t>
      </w:r>
      <w:r w:rsidR="000B148D">
        <w:t xml:space="preserve"> rates </w:t>
      </w:r>
      <w:r w:rsidR="001736F2" w:rsidRPr="00054570">
        <w:t xml:space="preserve">of and </w:t>
      </w:r>
      <w:r w:rsidR="000B148D" w:rsidRPr="00054570">
        <w:t xml:space="preserve">Grade </w:t>
      </w:r>
      <w:r w:rsidR="000B148D" w:rsidRPr="00054570">
        <w:rPr>
          <w:rFonts w:cs="Arial"/>
        </w:rPr>
        <w:t>≥</w:t>
      </w:r>
      <w:r w:rsidR="000B148D" w:rsidRPr="00054570">
        <w:t>3 TEAEs</w:t>
      </w:r>
      <w:r w:rsidR="001736F2" w:rsidRPr="00054570">
        <w:t xml:space="preserve"> and </w:t>
      </w:r>
      <w:r w:rsidR="000B148D" w:rsidRPr="00054570">
        <w:t xml:space="preserve">drug-related Grade </w:t>
      </w:r>
      <w:r w:rsidR="000B148D" w:rsidRPr="00054570">
        <w:rPr>
          <w:rFonts w:cs="Arial"/>
        </w:rPr>
        <w:t>≥</w:t>
      </w:r>
      <w:r w:rsidR="000B148D" w:rsidRPr="00054570">
        <w:t>3 TEAEs</w:t>
      </w:r>
      <w:r w:rsidR="001736F2" w:rsidRPr="00054570">
        <w:t xml:space="preserve"> than TPC</w:t>
      </w:r>
      <w:r w:rsidR="001736F2">
        <w:t>. E</w:t>
      </w:r>
      <w:r w:rsidR="000B148D">
        <w:t>xposure</w:t>
      </w:r>
      <w:r w:rsidR="008A68B0">
        <w:t>-</w:t>
      </w:r>
      <w:r w:rsidR="000B148D">
        <w:t>adjusted rates for</w:t>
      </w:r>
      <w:r w:rsidR="000B148D" w:rsidRPr="00054570">
        <w:t xml:space="preserve"> </w:t>
      </w:r>
      <w:r w:rsidR="0061514C">
        <w:t>all parameters</w:t>
      </w:r>
      <w:r w:rsidR="0034290D">
        <w:t xml:space="preserve"> were lower for T-DXd vs. TPC,</w:t>
      </w:r>
      <w:r w:rsidR="0061514C">
        <w:t xml:space="preserve"> including </w:t>
      </w:r>
      <w:r w:rsidR="000B148D" w:rsidRPr="00054570">
        <w:t xml:space="preserve">Grade </w:t>
      </w:r>
      <w:r w:rsidR="000B148D" w:rsidRPr="00054570">
        <w:rPr>
          <w:rFonts w:cs="Arial"/>
        </w:rPr>
        <w:t>≥</w:t>
      </w:r>
      <w:r w:rsidR="000B148D" w:rsidRPr="00054570">
        <w:t>3 TEAEs</w:t>
      </w:r>
      <w:r w:rsidR="000B148D">
        <w:t>,</w:t>
      </w:r>
      <w:r w:rsidR="000B148D" w:rsidRPr="00054570">
        <w:t xml:space="preserve"> drug-related Grade </w:t>
      </w:r>
      <w:r w:rsidR="000B148D" w:rsidRPr="00054570">
        <w:rPr>
          <w:rFonts w:cs="Arial"/>
        </w:rPr>
        <w:t>≥</w:t>
      </w:r>
      <w:r w:rsidR="000B148D" w:rsidRPr="00054570">
        <w:t>3 TEAEs</w:t>
      </w:r>
      <w:r w:rsidR="000B148D">
        <w:t>, and all TEAEs associated with study drug interruption, dose reduction and discontinuation</w:t>
      </w:r>
      <w:r w:rsidR="000B148D" w:rsidRPr="00054570">
        <w:t>.</w:t>
      </w:r>
      <w:r w:rsidR="000B148D" w:rsidRPr="00054570">
        <w:fldChar w:fldCharType="begin"/>
      </w:r>
      <w:r w:rsidR="00CA6345">
        <w:instrText xml:space="preserve"> ADDIN ZOTERO_ITEM CSL_CITATION {"citationID":"XR95dskt","properties":{"formattedCitation":"\\super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000B148D" w:rsidRPr="00054570">
        <w:fldChar w:fldCharType="separate"/>
      </w:r>
      <w:r w:rsidR="00FD57F4" w:rsidRPr="00FD57F4">
        <w:rPr>
          <w:rFonts w:cs="Arial"/>
          <w:szCs w:val="24"/>
          <w:vertAlign w:val="superscript"/>
        </w:rPr>
        <w:t>6</w:t>
      </w:r>
      <w:r w:rsidR="000B148D" w:rsidRPr="00054570">
        <w:fldChar w:fldCharType="end"/>
      </w:r>
      <w:r w:rsidR="000B148D" w:rsidRPr="00054570">
        <w:t xml:space="preserve"> </w:t>
      </w:r>
      <w:r w:rsidR="008B5C3E">
        <w:rPr>
          <w:rStyle w:val="normaltextrun"/>
        </w:rPr>
        <w:t>Adverse events</w:t>
      </w:r>
      <w:r w:rsidR="008B5C3E" w:rsidRPr="00054570">
        <w:rPr>
          <w:rStyle w:val="normaltextrun"/>
        </w:rPr>
        <w:t xml:space="preserve"> </w:t>
      </w:r>
      <w:r w:rsidR="000B148D" w:rsidRPr="00054570">
        <w:rPr>
          <w:rStyle w:val="normaltextrun"/>
        </w:rPr>
        <w:t>of special interest</w:t>
      </w:r>
      <w:r w:rsidR="000B148D" w:rsidRPr="00054570">
        <w:rPr>
          <w:rStyle w:val="normaltextrun"/>
          <w:b/>
          <w:bCs/>
        </w:rPr>
        <w:t xml:space="preserve"> </w:t>
      </w:r>
      <w:r w:rsidR="000B148D" w:rsidRPr="00E577F2">
        <w:rPr>
          <w:rStyle w:val="normaltextrun"/>
        </w:rPr>
        <w:t>(</w:t>
      </w:r>
      <w:r w:rsidR="000B148D" w:rsidRPr="00054570">
        <w:rPr>
          <w:rStyle w:val="normaltextrun"/>
        </w:rPr>
        <w:t xml:space="preserve">ILD/pneumonitis and LV </w:t>
      </w:r>
      <w:r w:rsidR="000664D8" w:rsidRPr="00054570">
        <w:rPr>
          <w:rStyle w:val="normaltextrun"/>
        </w:rPr>
        <w:t>d</w:t>
      </w:r>
      <w:r w:rsidR="000664D8">
        <w:rPr>
          <w:rStyle w:val="normaltextrun"/>
        </w:rPr>
        <w:t>ysfunction</w:t>
      </w:r>
      <w:r w:rsidR="000B148D" w:rsidRPr="00054570">
        <w:rPr>
          <w:rStyle w:val="normaltextrun"/>
        </w:rPr>
        <w:t xml:space="preserve">) associated with T-DXd were generally of mild or moderate severity and well managed through the use of established </w:t>
      </w:r>
      <w:r w:rsidR="000B148D">
        <w:rPr>
          <w:rStyle w:val="normaltextrun"/>
        </w:rPr>
        <w:t>management</w:t>
      </w:r>
      <w:r w:rsidR="000B148D" w:rsidRPr="00054570">
        <w:rPr>
          <w:rStyle w:val="normaltextrun"/>
        </w:rPr>
        <w:t xml:space="preserve"> guidelines.</w:t>
      </w:r>
      <w:r w:rsidR="000B148D" w:rsidRPr="00054570">
        <w:fldChar w:fldCharType="begin"/>
      </w:r>
      <w:r w:rsidR="00CA6345">
        <w:instrText xml:space="preserve"> ADDIN ZOTERO_ITEM CSL_CITATION {"citationID":"FavAWNZo","properties":{"formattedCitation":"\\super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000B148D" w:rsidRPr="00054570">
        <w:fldChar w:fldCharType="separate"/>
      </w:r>
      <w:r w:rsidR="00FD57F4" w:rsidRPr="00FD57F4">
        <w:rPr>
          <w:rFonts w:cs="Arial"/>
          <w:szCs w:val="24"/>
          <w:vertAlign w:val="superscript"/>
        </w:rPr>
        <w:t>7</w:t>
      </w:r>
      <w:r w:rsidR="000B148D" w:rsidRPr="00054570">
        <w:fldChar w:fldCharType="end"/>
      </w:r>
    </w:p>
    <w:p w14:paraId="7D0658B4" w14:textId="6FAEA79F" w:rsidR="000B148D" w:rsidRDefault="000B148D" w:rsidP="000B148D">
      <w:pPr>
        <w:pStyle w:val="Body"/>
      </w:pPr>
      <w:r w:rsidRPr="00054570">
        <w:t>Overall</w:t>
      </w:r>
      <w:r>
        <w:t xml:space="preserve">, </w:t>
      </w:r>
      <w:r w:rsidRPr="00054570">
        <w:t xml:space="preserve">DESTINY-Breast04 clearly demonstrates </w:t>
      </w:r>
      <w:r>
        <w:t>the efficacy and safety of</w:t>
      </w:r>
      <w:r w:rsidRPr="00054570">
        <w:t xml:space="preserve"> T-DXd </w:t>
      </w:r>
      <w:r>
        <w:t xml:space="preserve">compared with standard of care </w:t>
      </w:r>
      <w:r w:rsidRPr="00054570">
        <w:t xml:space="preserve">in a population of patients aligned to the final scope </w:t>
      </w:r>
      <w:r>
        <w:t>for</w:t>
      </w:r>
      <w:r w:rsidRPr="00054570">
        <w:t xml:space="preserve"> this appraisal.</w:t>
      </w:r>
      <w:r w:rsidRPr="00054570">
        <w:fldChar w:fldCharType="begin"/>
      </w:r>
      <w:r w:rsidR="00CA6345">
        <w:instrText xml:space="preserve"> ADDIN ZOTERO_ITEM CSL_CITATION {"citationID":"Y4TPFgtz","properties":{"formattedCitation":"\\super 1\\nosupersub{}","plainCitation":"1","noteIndex":0},"citationItems":[{"id":66383,"uris":["http://zotero.org/groups/4797619/items/Y75R2AJY"],"itemData":{"id":66383,"type":"webpage","language":"eng","note":"publisher: NICE","title":"Final Scope. Trastuzumab deruxtecan for treating HER2-low unresectable or metastatic breast cancer after chemotherapy","URL":"https://www.nice.org.uk/guidance/gid-ta10813/documents/final-scope","author":[{"family":"NICE","given":""}],"accessed":{"date-parts":[["2022",11,29]]},"issued":{"date-parts":[["2023",1,6]]}}}],"schema":"https://github.com/citation-style-language/schema/raw/master/csl-citation.json"} </w:instrText>
      </w:r>
      <w:r w:rsidRPr="00054570">
        <w:fldChar w:fldCharType="separate"/>
      </w:r>
      <w:r w:rsidR="00FD57F4" w:rsidRPr="00FD57F4">
        <w:rPr>
          <w:rFonts w:cs="Arial"/>
          <w:szCs w:val="24"/>
          <w:vertAlign w:val="superscript"/>
        </w:rPr>
        <w:t>1</w:t>
      </w:r>
      <w:r w:rsidRPr="00054570">
        <w:fldChar w:fldCharType="end"/>
      </w:r>
      <w:r w:rsidRPr="00054570">
        <w:t xml:space="preserve"> UK </w:t>
      </w:r>
      <w:r>
        <w:t xml:space="preserve">clinical and HEOR </w:t>
      </w:r>
      <w:r w:rsidRPr="00054570">
        <w:t xml:space="preserve">experts confirmed that DESTINY-Breast04 </w:t>
      </w:r>
      <w:r>
        <w:t xml:space="preserve">is well designed, robust and </w:t>
      </w:r>
      <w:r w:rsidRPr="00054570">
        <w:t>generalisable to UK</w:t>
      </w:r>
      <w:r>
        <w:t xml:space="preserve"> clinical practice, </w:t>
      </w:r>
      <w:r w:rsidRPr="00054570">
        <w:t xml:space="preserve">including </w:t>
      </w:r>
      <w:r>
        <w:t xml:space="preserve">a </w:t>
      </w:r>
      <w:r w:rsidRPr="00054570">
        <w:t>comparator arm that is reflective of the range of single-agent chemotherapy options used in the metastatic setting</w:t>
      </w:r>
      <w:r>
        <w:t>, where the choice of non-targeted chemotherapy at later lines is based on</w:t>
      </w:r>
      <w:r w:rsidRPr="00054570">
        <w:t xml:space="preserve"> clinician</w:t>
      </w:r>
      <w:r>
        <w:t xml:space="preserve"> preference as well as </w:t>
      </w:r>
      <w:r w:rsidRPr="00054570">
        <w:t>patient</w:t>
      </w:r>
      <w:r>
        <w:t>-specific</w:t>
      </w:r>
      <w:r w:rsidRPr="00054570">
        <w:t xml:space="preserve"> need</w:t>
      </w:r>
      <w:r>
        <w:t xml:space="preserve">s and </w:t>
      </w:r>
      <w:r w:rsidRPr="00054570">
        <w:t>preference.</w:t>
      </w:r>
      <w:r w:rsidRPr="00054570">
        <w:fldChar w:fldCharType="begin"/>
      </w:r>
      <w:r w:rsidR="00CA6345">
        <w:instrText xml:space="preserve"> ADDIN ZOTERO_ITEM CSL_CITATION {"citationID":"bX0btIZI","properties":{"formattedCitation":"\\super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Pr="00054570">
        <w:fldChar w:fldCharType="separate"/>
      </w:r>
      <w:r w:rsidR="00CA6345" w:rsidRPr="00CA6345">
        <w:rPr>
          <w:rFonts w:cs="Arial"/>
          <w:szCs w:val="24"/>
          <w:vertAlign w:val="superscript"/>
        </w:rPr>
        <w:t>121</w:t>
      </w:r>
      <w:r w:rsidRPr="00054570">
        <w:fldChar w:fldCharType="end"/>
      </w:r>
      <w:r w:rsidRPr="00054570">
        <w:t xml:space="preserve"> </w:t>
      </w:r>
      <w:r>
        <w:t>Clinical and HEOR experts agreed that, for decision</w:t>
      </w:r>
      <w:r w:rsidR="008A68B0">
        <w:t>-</w:t>
      </w:r>
      <w:r>
        <w:t>making, TPC is the relevant comparator in this appraisal</w:t>
      </w:r>
      <w:r w:rsidR="006B70B7">
        <w:t xml:space="preserve"> and </w:t>
      </w:r>
      <w:r w:rsidR="0044375E">
        <w:t xml:space="preserve">that the </w:t>
      </w:r>
      <w:r w:rsidR="0044375E" w:rsidRPr="00054570">
        <w:t>comparators listed in the NICE final scope</w:t>
      </w:r>
      <w:r w:rsidR="0044375E">
        <w:t xml:space="preserve"> </w:t>
      </w:r>
      <w:r w:rsidR="0044375E" w:rsidRPr="00054570">
        <w:t>are well represented in the TPC arm of DESTINY-Breast04</w:t>
      </w:r>
      <w:r w:rsidR="00423B66">
        <w:t xml:space="preserve"> (see </w:t>
      </w:r>
      <w:r w:rsidR="00423B66" w:rsidRPr="00184A20">
        <w:rPr>
          <w:b/>
          <w:bCs/>
        </w:rPr>
        <w:t xml:space="preserve">Section </w:t>
      </w:r>
      <w:r w:rsidR="00423B66" w:rsidRPr="00184A20">
        <w:rPr>
          <w:b/>
          <w:bCs/>
        </w:rPr>
        <w:fldChar w:fldCharType="begin"/>
      </w:r>
      <w:r w:rsidR="00423B66" w:rsidRPr="00184A20">
        <w:rPr>
          <w:b/>
          <w:bCs/>
        </w:rPr>
        <w:instrText xml:space="preserve"> REF _Ref129210454 \r \h </w:instrText>
      </w:r>
      <w:r w:rsidR="00423B66">
        <w:rPr>
          <w:b/>
          <w:bCs/>
        </w:rPr>
        <w:instrText xml:space="preserve"> \* MERGEFORMAT </w:instrText>
      </w:r>
      <w:r w:rsidR="00423B66" w:rsidRPr="00184A20">
        <w:rPr>
          <w:b/>
          <w:bCs/>
        </w:rPr>
      </w:r>
      <w:r w:rsidR="00423B66" w:rsidRPr="00184A20">
        <w:rPr>
          <w:b/>
          <w:bCs/>
        </w:rPr>
        <w:fldChar w:fldCharType="separate"/>
      </w:r>
      <w:r w:rsidR="00145F42">
        <w:rPr>
          <w:b/>
          <w:bCs/>
        </w:rPr>
        <w:t>B.1.3.6</w:t>
      </w:r>
      <w:r w:rsidR="00423B66" w:rsidRPr="00184A20">
        <w:rPr>
          <w:b/>
          <w:bCs/>
        </w:rPr>
        <w:fldChar w:fldCharType="end"/>
      </w:r>
      <w:r w:rsidR="00423B66">
        <w:t xml:space="preserve"> for more information)</w:t>
      </w:r>
      <w:r>
        <w:t>.</w:t>
      </w:r>
      <w:r w:rsidRPr="00054570">
        <w:fldChar w:fldCharType="begin"/>
      </w:r>
      <w:r w:rsidR="00CA6345">
        <w:instrText xml:space="preserve"> ADDIN ZOTERO_ITEM CSL_CITATION {"citationID":"Hm8WUCCB","properties":{"formattedCitation":"\\super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Pr="00054570">
        <w:fldChar w:fldCharType="separate"/>
      </w:r>
      <w:r w:rsidR="00CA6345" w:rsidRPr="00CA6345">
        <w:rPr>
          <w:rFonts w:cs="Arial"/>
          <w:szCs w:val="24"/>
          <w:vertAlign w:val="superscript"/>
        </w:rPr>
        <w:t>121</w:t>
      </w:r>
      <w:r w:rsidRPr="00054570">
        <w:fldChar w:fldCharType="end"/>
      </w:r>
      <w:r>
        <w:t xml:space="preserve"> As such, Daiichi Sankyo consider the results from </w:t>
      </w:r>
      <w:r w:rsidRPr="00054570">
        <w:t>DESTINY-Breast04</w:t>
      </w:r>
      <w:r>
        <w:t xml:space="preserve"> to be highly relevant to the decision problem.</w:t>
      </w:r>
      <w:r w:rsidRPr="00293ECD">
        <w:t xml:space="preserve"> </w:t>
      </w:r>
    </w:p>
    <w:p w14:paraId="7785F603" w14:textId="7A93C3C2" w:rsidR="000B148D" w:rsidRPr="00054570" w:rsidRDefault="000B148D" w:rsidP="000B148D">
      <w:pPr>
        <w:pStyle w:val="Body"/>
      </w:pPr>
      <w:r w:rsidRPr="00054570">
        <w:t>DESTINY-Breast04 is the first ever head-to-head Phase III trial to show a significant benefit of HER2-targeted treatment in HER2-low u/mBC</w:t>
      </w:r>
      <w:r>
        <w:t xml:space="preserve"> after </w:t>
      </w:r>
      <w:r w:rsidRPr="00054570">
        <w:t>one or two lines of chemotherapy in the recurrent or metastatic setting</w:t>
      </w:r>
      <w:r>
        <w:t xml:space="preserve"> compared with non-targeted chemotherapy</w:t>
      </w:r>
      <w:r w:rsidRPr="00054570">
        <w:t>.</w:t>
      </w:r>
      <w:r w:rsidRPr="00054570">
        <w:fldChar w:fldCharType="begin"/>
      </w:r>
      <w:r w:rsidR="00CA6345">
        <w:instrText xml:space="preserve"> ADDIN ZOTERO_ITEM CSL_CITATION {"citationID":"GbekfDFf","properties":{"formattedCitation":"\\super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Pr="00054570">
        <w:fldChar w:fldCharType="separate"/>
      </w:r>
      <w:r w:rsidR="00FD57F4" w:rsidRPr="00FD57F4">
        <w:rPr>
          <w:rFonts w:cs="Arial"/>
          <w:szCs w:val="24"/>
          <w:vertAlign w:val="superscript"/>
        </w:rPr>
        <w:t>6</w:t>
      </w:r>
      <w:r w:rsidRPr="00054570">
        <w:fldChar w:fldCharType="end"/>
      </w:r>
      <w:r w:rsidRPr="00054570">
        <w:t xml:space="preserve"> </w:t>
      </w:r>
      <w:r>
        <w:t>The</w:t>
      </w:r>
      <w:r w:rsidRPr="00054570">
        <w:t xml:space="preserve"> unprecedented efficacy </w:t>
      </w:r>
      <w:r>
        <w:t xml:space="preserve">demonstrated in </w:t>
      </w:r>
      <w:r w:rsidRPr="00054570">
        <w:t>DESTINY-Breast04</w:t>
      </w:r>
      <w:r>
        <w:t xml:space="preserve"> has led to T-DXd becoming the first </w:t>
      </w:r>
      <w:r w:rsidR="005455B4">
        <w:t xml:space="preserve">and only </w:t>
      </w:r>
      <w:r>
        <w:t xml:space="preserve">HER2-targeted therapy to receive </w:t>
      </w:r>
      <w:r w:rsidR="005455B4">
        <w:t xml:space="preserve">EMA </w:t>
      </w:r>
      <w:r>
        <w:t xml:space="preserve">regulatory </w:t>
      </w:r>
      <w:r w:rsidR="005455B4">
        <w:t>approval</w:t>
      </w:r>
      <w:r>
        <w:t xml:space="preserve"> in HER2-low u/mBC,</w:t>
      </w:r>
      <w:r w:rsidR="005D17EE">
        <w:rPr>
          <w:i/>
          <w:iCs/>
        </w:rPr>
        <w:fldChar w:fldCharType="begin"/>
      </w:r>
      <w:r w:rsidR="00CA6345">
        <w:rPr>
          <w:i/>
          <w:iCs/>
        </w:rPr>
        <w:instrText xml:space="preserve"> ADDIN ZOTERO_ITEM CSL_CITATION {"citationID":"xRAVcZh4","properties":{"formattedCitation":"\\super 3\\nosupersub{}","plainCitation":"3","noteIndex":0},"citationItems":[{"id":66851,"uris":["http://zotero.org/groups/4797619/items/EUUYPVTM"],"itemData":{"id":66851,"type":"document","title":"EMA Enhertu Summary of Product Characteristics (SmPC)","URL":"https://www.ema.europa.eu/en/documents/product-information/enhertu-epar-product-information_en.pdf","author":[{"family":"European Medicines Agency (EMA)","given":""}],"issued":{"date-parts":[["2023"]]}}}],"schema":"https://github.com/citation-style-language/schema/raw/master/csl-citation.json"} </w:instrText>
      </w:r>
      <w:r w:rsidR="005D17EE">
        <w:rPr>
          <w:i/>
          <w:iCs/>
        </w:rPr>
        <w:fldChar w:fldCharType="separate"/>
      </w:r>
      <w:r w:rsidR="005D17EE" w:rsidRPr="00FD57F4">
        <w:rPr>
          <w:rFonts w:cs="Arial"/>
          <w:szCs w:val="24"/>
          <w:vertAlign w:val="superscript"/>
        </w:rPr>
        <w:t>3</w:t>
      </w:r>
      <w:r w:rsidR="005D17EE">
        <w:rPr>
          <w:i/>
          <w:iCs/>
        </w:rPr>
        <w:fldChar w:fldCharType="end"/>
      </w:r>
      <w:r>
        <w:t xml:space="preserve"> representing</w:t>
      </w:r>
      <w:r w:rsidRPr="00054570">
        <w:t xml:space="preserve"> a step-change in the treatment </w:t>
      </w:r>
      <w:r>
        <w:t>paradigm and supporting a</w:t>
      </w:r>
      <w:r w:rsidRPr="00054570">
        <w:t xml:space="preserve"> need for </w:t>
      </w:r>
      <w:r>
        <w:t xml:space="preserve">UK </w:t>
      </w:r>
      <w:r w:rsidRPr="00054570">
        <w:t>clinical pathway</w:t>
      </w:r>
      <w:r>
        <w:t>s</w:t>
      </w:r>
      <w:r w:rsidRPr="00054570">
        <w:t xml:space="preserve"> to </w:t>
      </w:r>
      <w:r w:rsidR="00400314">
        <w:t>further categorise</w:t>
      </w:r>
      <w:r w:rsidR="00400314" w:rsidRPr="00054570">
        <w:t xml:space="preserve"> HER2 status</w:t>
      </w:r>
      <w:r>
        <w:t xml:space="preserve">. </w:t>
      </w:r>
      <w:r w:rsidRPr="00054570">
        <w:t>In light of the suboptimal survival outcomes in HER2-negative u/mBC</w:t>
      </w:r>
      <w:r>
        <w:t xml:space="preserve"> (</w:t>
      </w:r>
      <w:r w:rsidRPr="008176DB">
        <w:rPr>
          <w:b/>
          <w:bCs/>
        </w:rPr>
        <w:fldChar w:fldCharType="begin"/>
      </w:r>
      <w:r w:rsidRPr="008176DB">
        <w:rPr>
          <w:b/>
          <w:bCs/>
        </w:rPr>
        <w:instrText xml:space="preserve"> REF _Ref126923702 \h </w:instrText>
      </w:r>
      <w:r>
        <w:rPr>
          <w:b/>
          <w:bCs/>
        </w:rPr>
        <w:instrText xml:space="preserve"> \* MERGEFORMAT </w:instrText>
      </w:r>
      <w:r w:rsidRPr="008176DB">
        <w:rPr>
          <w:b/>
          <w:bCs/>
        </w:rPr>
      </w:r>
      <w:r w:rsidRPr="008176DB">
        <w:rPr>
          <w:b/>
          <w:bCs/>
        </w:rPr>
        <w:fldChar w:fldCharType="separate"/>
      </w:r>
      <w:r w:rsidR="00145F42" w:rsidRPr="00145F42">
        <w:rPr>
          <w:b/>
          <w:bCs/>
        </w:rPr>
        <w:t xml:space="preserve">Table </w:t>
      </w:r>
      <w:r w:rsidR="00145F42" w:rsidRPr="00145F42">
        <w:rPr>
          <w:b/>
          <w:bCs/>
          <w:noProof/>
        </w:rPr>
        <w:t>30</w:t>
      </w:r>
      <w:r w:rsidRPr="008176DB">
        <w:rPr>
          <w:b/>
          <w:bCs/>
        </w:rPr>
        <w:fldChar w:fldCharType="end"/>
      </w:r>
      <w:r>
        <w:t>)</w:t>
      </w:r>
      <w:r w:rsidRPr="00054570">
        <w:t xml:space="preserve">, </w:t>
      </w:r>
      <w:r>
        <w:t>T-DXd</w:t>
      </w:r>
      <w:r w:rsidRPr="00054570">
        <w:t xml:space="preserve"> offer</w:t>
      </w:r>
      <w:r>
        <w:t>s</w:t>
      </w:r>
      <w:r w:rsidRPr="00054570">
        <w:t xml:space="preserve"> hope of extended life and </w:t>
      </w:r>
      <w:r>
        <w:t>QoL</w:t>
      </w:r>
      <w:r w:rsidRPr="00054570">
        <w:t xml:space="preserve"> fo</w:t>
      </w:r>
      <w:r>
        <w:t>r</w:t>
      </w:r>
      <w:r w:rsidRPr="00054570">
        <w:t xml:space="preserve"> patients, carers, and families.</w:t>
      </w:r>
      <w:r>
        <w:t xml:space="preserve"> </w:t>
      </w:r>
      <w:r w:rsidRPr="00054570">
        <w:t xml:space="preserve">UK clinical experts confirmed that there is </w:t>
      </w:r>
      <w:r>
        <w:t>an unmet need for better outcomes in this setting</w:t>
      </w:r>
      <w:r w:rsidRPr="00054570">
        <w:t>.</w:t>
      </w:r>
      <w:r w:rsidRPr="00054570">
        <w:fldChar w:fldCharType="begin"/>
      </w:r>
      <w:r w:rsidR="00CA6345">
        <w:instrText xml:space="preserve"> ADDIN ZOTERO_ITEM CSL_CITATION {"citationID":"pDkHaeC8","properties":{"formattedCitation":"\\super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Pr="00054570">
        <w:fldChar w:fldCharType="separate"/>
      </w:r>
      <w:r w:rsidR="00CA6345" w:rsidRPr="00CA6345">
        <w:rPr>
          <w:rFonts w:cs="Arial"/>
          <w:szCs w:val="24"/>
          <w:vertAlign w:val="superscript"/>
        </w:rPr>
        <w:t>121</w:t>
      </w:r>
      <w:r w:rsidRPr="00054570">
        <w:fldChar w:fldCharType="end"/>
      </w:r>
      <w:r w:rsidRPr="00293ECD">
        <w:t xml:space="preserve"> </w:t>
      </w:r>
    </w:p>
    <w:p w14:paraId="693BBE68" w14:textId="2DAE1AC0" w:rsidR="000B148D" w:rsidRDefault="000B148D" w:rsidP="000B148D">
      <w:pPr>
        <w:pStyle w:val="Body"/>
      </w:pPr>
      <w:r>
        <w:t>I</w:t>
      </w:r>
      <w:r w:rsidRPr="00054570">
        <w:t xml:space="preserve">n recognition of its innovation, T-DXd was awarded </w:t>
      </w:r>
      <w:r w:rsidR="00197393">
        <w:t xml:space="preserve">an </w:t>
      </w:r>
      <w:r w:rsidRPr="00054570">
        <w:t xml:space="preserve">Innovation Passport </w:t>
      </w:r>
      <w:r>
        <w:t xml:space="preserve">designation </w:t>
      </w:r>
      <w:r w:rsidRPr="00054570">
        <w:t xml:space="preserve">by the </w:t>
      </w:r>
      <w:r w:rsidR="006A5D60">
        <w:t>Innovative Licen</w:t>
      </w:r>
      <w:r w:rsidR="00C94031">
        <w:t>sing and Access Pathway (</w:t>
      </w:r>
      <w:r>
        <w:t>ILAP</w:t>
      </w:r>
      <w:r w:rsidR="00C94031">
        <w:t>)</w:t>
      </w:r>
      <w:r>
        <w:t xml:space="preserve"> steering group in May 2022 (ILAP reference number: ILAP/IP/22/08265/01)</w:t>
      </w:r>
      <w:r w:rsidRPr="00054570">
        <w:t>. T</w:t>
      </w:r>
      <w:r w:rsidRPr="00054570">
        <w:noBreakHyphen/>
        <w:t xml:space="preserve">DXd is now approved </w:t>
      </w:r>
      <w:r>
        <w:t xml:space="preserve">in HER2-low u/mBC </w:t>
      </w:r>
      <w:r w:rsidRPr="00054570">
        <w:t xml:space="preserve">by the </w:t>
      </w:r>
      <w:r w:rsidR="00C94031">
        <w:t>EMA</w:t>
      </w:r>
      <w:r w:rsidR="00B30184">
        <w:rPr>
          <w:i/>
          <w:iCs/>
        </w:rPr>
        <w:fldChar w:fldCharType="begin"/>
      </w:r>
      <w:r w:rsidR="00CA6345">
        <w:rPr>
          <w:i/>
          <w:iCs/>
        </w:rPr>
        <w:instrText xml:space="preserve"> ADDIN ZOTERO_ITEM CSL_CITATION {"citationID":"pVkZTjOm","properties":{"formattedCitation":"\\super 3\\nosupersub{}","plainCitation":"3","noteIndex":0},"citationItems":[{"id":66851,"uris":["http://zotero.org/groups/4797619/items/EUUYPVTM"],"itemData":{"id":66851,"type":"document","title":"EMA Enhertu Summary of Product Characteristics (SmPC)","URL":"https://www.ema.europa.eu/en/documents/product-information/enhertu-epar-product-information_en.pdf","author":[{"family":"European Medicines Agency (EMA)","given":""}],"issued":{"date-parts":[["2023"]]}}}],"schema":"https://github.com/citation-style-language/schema/raw/master/csl-citation.json"} </w:instrText>
      </w:r>
      <w:r w:rsidR="00B30184">
        <w:rPr>
          <w:i/>
          <w:iCs/>
        </w:rPr>
        <w:fldChar w:fldCharType="separate"/>
      </w:r>
      <w:r w:rsidR="00FD57F4" w:rsidRPr="00FD57F4">
        <w:rPr>
          <w:rFonts w:cs="Arial"/>
          <w:szCs w:val="24"/>
          <w:vertAlign w:val="superscript"/>
        </w:rPr>
        <w:t>3</w:t>
      </w:r>
      <w:r w:rsidR="00B30184">
        <w:rPr>
          <w:i/>
          <w:iCs/>
        </w:rPr>
        <w:fldChar w:fldCharType="end"/>
      </w:r>
      <w:r w:rsidR="00C94031">
        <w:t xml:space="preserve"> </w:t>
      </w:r>
      <w:r>
        <w:t>and the US FDA.</w:t>
      </w:r>
      <w:r w:rsidR="00FE32B8">
        <w:fldChar w:fldCharType="begin"/>
      </w:r>
      <w:r w:rsidR="00CA6345">
        <w:instrText xml:space="preserve"> ADDIN ZOTERO_ITEM CSL_CITATION {"citationID":"hTOkxz3f","properties":{"formattedCitation":"\\super 138,139\\nosupersub{}","plainCitation":"138,139","noteIndex":0},"citationItems":[{"id":66845,"uris":["http://zotero.org/groups/4797619/items/K7R8E452"],"itemData":{"id":66845,"type":"webpage","container-title":"The ASCO Post","language":"en","title":"FDA Approves First Targeted Therapy for HER2-Low Breast Cancer","URL":"https://ascopost.com/issues/september-10-2022/fda-approves-first-targeted-therapy-for-her2-low-breast-cancer/","accessed":{"date-parts":[["2023",3,6]]},"issued":{"date-parts":[["2022",9]]}}},{"id":66843,"uris":["http://zotero.org/groups/4797619/items/IPJ8PZ2L"],"itemData":{"id":66843,"type":"document","publisher":"Access Data FDA.gov","title":"HIGHLIGHTS OF PRESCRIBING INFORMATION - ENHERTU.","URL":"https://www.accessdata.fda.gov/drugsatfda_docs/label/2022/761139s021lbl.pdf","author":[{"family":"US Food and Drug Administration","given":""}],"issued":{"date-parts":[["2022",8]]}}}],"schema":"https://github.com/citation-style-language/schema/raw/master/csl-citation.json"} </w:instrText>
      </w:r>
      <w:r w:rsidR="00FE32B8">
        <w:fldChar w:fldCharType="separate"/>
      </w:r>
      <w:r w:rsidR="00CA6345" w:rsidRPr="00CA6345">
        <w:rPr>
          <w:rFonts w:cs="Arial"/>
          <w:szCs w:val="24"/>
          <w:vertAlign w:val="superscript"/>
        </w:rPr>
        <w:t>138,139</w:t>
      </w:r>
      <w:r w:rsidR="00FE32B8">
        <w:fldChar w:fldCharType="end"/>
      </w:r>
      <w:r w:rsidRPr="00054570">
        <w:t xml:space="preserve"> </w:t>
      </w:r>
      <w:r w:rsidR="000F6252">
        <w:t xml:space="preserve">UK Medicines and Healthcare Products Regulatory Agency (MHRA) approval </w:t>
      </w:r>
      <w:r w:rsidR="00F77ABC" w:rsidRPr="00F77ABC">
        <w:rPr>
          <w:color w:val="000000"/>
          <w:highlight w:val="black"/>
        </w:rPr>
        <w:t>xxxxxxxxxxxxxxxxxxxxxxxxxxxxxxxxxx</w:t>
      </w:r>
      <w:r w:rsidR="00C520C9">
        <w:rPr>
          <w:u w:val="single"/>
        </w:rPr>
        <w:t>)</w:t>
      </w:r>
      <w:r w:rsidR="000F6252">
        <w:t>.</w:t>
      </w:r>
      <w:r w:rsidRPr="00054570">
        <w:t xml:space="preserve"> </w:t>
      </w:r>
      <w:r w:rsidRPr="001F4A75">
        <w:t xml:space="preserve"> </w:t>
      </w:r>
    </w:p>
    <w:p w14:paraId="34049C96" w14:textId="3A881928" w:rsidR="000B148D" w:rsidRPr="00054570" w:rsidRDefault="000B148D" w:rsidP="00F710CB">
      <w:pPr>
        <w:pStyle w:val="Body"/>
      </w:pPr>
      <w:r w:rsidRPr="00054570">
        <w:t>Based on the DESTINY-Breast04 study, US NCCN 2022 guidelines recommend T-DXd as a Category 1 preferred regimen for patients with HER2-low BC who have received at least one prior line of chemotherapy for metastatic disease and, if the tumour is HR-positive, are refractory to ET.</w:t>
      </w:r>
      <w:r>
        <w:rPr>
          <w:rFonts w:ascii="Times New Roman" w:hAnsi="Times New Roman" w:cs="Times New Roman"/>
          <w:sz w:val="24"/>
          <w:szCs w:val="24"/>
          <w:vertAlign w:val="superscript"/>
        </w:rPr>
        <w:t>43</w:t>
      </w:r>
      <w:r w:rsidR="00CA1EB8">
        <w:rPr>
          <w:rFonts w:ascii="Times New Roman" w:hAnsi="Times New Roman" w:cs="Times New Roman"/>
          <w:sz w:val="24"/>
          <w:szCs w:val="24"/>
          <w:vertAlign w:val="superscript"/>
        </w:rPr>
        <w:t xml:space="preserve"> </w:t>
      </w:r>
      <w:r w:rsidRPr="00054570">
        <w:t>Similarly, in the ASCO 2022 Rapid Recommendation Update, T-DXd is recommended for patients with HER2-low who have received at least one prior chemotherapy for metastatic disease, and if HR-positive are refractory to ET.</w:t>
      </w:r>
      <w:r w:rsidRPr="00054570">
        <w:fldChar w:fldCharType="begin"/>
      </w:r>
      <w:r w:rsidR="00CA6345">
        <w:instrText xml:space="preserve"> ADDIN ZOTERO_ITEM CSL_CITATION {"citationID":"sV1Qsogp","properties":{"formattedCitation":"\\super 71\\nosupersub{}","plainCitation":"71","noteIndex":0},"citationItems":[{"id":66147,"uris":["http://zotero.org/groups/4797619/items/YTHABEAP"],"itemData":{"id":66147,"type":"article-journal","abstract":"ASCO Rapid Recommendations Updates highlight revisions to select ASCO guideline recommendations as a response to the emergence of new and practice-changing data. The rapid updates are supported by an evidence review and follow the guideline development processes outlined in the ASCO Guideline Methodology Manual. The goal of these articles is to disseminate updated recommendations, in a timely manner, to better inform health practitioners and the public on the best available cancer care options.","archive_location":"world","container-title":"Journal of Clinical Oncology","DOI":"10.1200/JCO.22.01533","language":"EN","license":"© 2022 by American Society of Clinical Oncology","note":"publisher: Wolters Kluwer Health","source":"ascopubs.org","title":"Chemotherapy and Targeted Therapy for Human Epidermal Growth Factor Receptor 2–Negative Metastatic Breast Cancer That Is Either Endocrine-Pretreated or Hormone Receptor–Negative: ASCO Guideline Rapid Recommendation Update","title-short":"Chemotherapy and Targeted Therapy for Human Epidermal Growth Factor Receptor 2–Negative Metastatic Breast Cancer That Is Either Endocrine-Pretreated or Hormone Receptor–Negative","URL":"https://ascopubs.org/doi/pdf/10.1200/JCO.22.01533?role=tab)","author":[{"family":"Moy","given":"Beverly"},{"family":"Rumble","given":"R. Bryan"},{"family":"Carey","given":"Lisa A."},{"family":"Panel","given":"for the Chemotherapy and Targeted Therapy for HER2-Negative Metastatic Breast Cancer that is Either Endocrine-Pretreated or Hormone Receptor–Negative Expert"}],"accessed":{"date-parts":[["2022",11,16]]},"issued":{"date-parts":[["2022",8,4]]}}}],"schema":"https://github.com/citation-style-language/schema/raw/master/csl-citation.json"} </w:instrText>
      </w:r>
      <w:r w:rsidRPr="00054570">
        <w:fldChar w:fldCharType="separate"/>
      </w:r>
      <w:r w:rsidR="00FD57F4" w:rsidRPr="00FD57F4">
        <w:rPr>
          <w:rFonts w:cs="Arial"/>
          <w:szCs w:val="24"/>
          <w:vertAlign w:val="superscript"/>
        </w:rPr>
        <w:t>71</w:t>
      </w:r>
      <w:r w:rsidRPr="00054570">
        <w:fldChar w:fldCharType="end"/>
      </w:r>
      <w:r w:rsidRPr="00054570">
        <w:t xml:space="preserve"> </w:t>
      </w:r>
      <w:r>
        <w:t xml:space="preserve">Furthermore, </w:t>
      </w:r>
      <w:r w:rsidRPr="0038442A">
        <w:t>ESMO guidelines recognise HER2-low as a clinically relevant subgroup of patient</w:t>
      </w:r>
      <w:r>
        <w:t>s</w:t>
      </w:r>
      <w:r w:rsidRPr="0038442A">
        <w:t xml:space="preserve"> with u/mBC</w:t>
      </w:r>
      <w:r>
        <w:t>.</w:t>
      </w:r>
      <w:r>
        <w:fldChar w:fldCharType="begin"/>
      </w:r>
      <w:r w:rsidR="00CA6345">
        <w:instrText xml:space="preserve"> ADDIN ZOTERO_ITEM CSL_CITATION {"citationID":"uPHsKS2l","properties":{"formattedCitation":"\\super 42\\nosupersub{}","plainCitation":"42","noteIndex":0},"citationItems":[{"id":65955,"uris":["http://zotero.org/groups/4797619/items/4KXA6CCG"],"itemData":{"id":65955,"type":"article-journal","container-title":"Annals of Oncology: Official Journal of the European Society for Medical Oncology","DOI":"10.1016/j.annonc.2021.09.019","ISSN":"1569-8041","issue":"12","journalAbbreviation":"Ann Oncol","language":"eng","note":"PMID: 34678411","page":"1475-1495","source":"PubMed","title":"ESMO Clinical Practice Guideline for the diagnosis, staging and treatment of patients with metastatic breast cancer","volume":"32","author":[{"family":"Gennari","given":"A."},{"family":"André","given":"F."},{"family":"Barrios","given":"C. H."},{"family":"Cortés","given":"J."},{"family":"Azambuja","given":"E.","non-dropping-particle":"de"},{"family":"DeMichele","given":"A."},{"family":"Dent","given":"R."},{"family":"Fenlon","given":"D."},{"family":"Gligorov","given":"J."},{"family":"Hurvitz","given":"S. A."},{"family":"Im","given":"S.-A."},{"family":"Krug","given":"D."},{"family":"Kunz","given":"W. G."},{"family":"Loi","given":"S."},{"family":"Penault-Llorca","given":"F."},{"family":"Ricke","given":"J."},{"family":"Robson","given":"M."},{"family":"Rugo","given":"H. S."},{"family":"Saura","given":"C."},{"family":"Schmid","given":"P."},{"family":"Singer","given":"C. F."},{"family":"Spanic","given":"T."},{"family":"Tolaney","given":"S. M."},{"family":"Turner","given":"N. C."},{"family":"Curigliano","given":"G."},{"family":"Loibl","given":"S."},{"family":"Paluch-Shimon","given":"S."},{"family":"Harbeck","given":"N."},{"literal":"ESMO Guidelines Committee. Electronic address: clinicalguidelines@esmo.org"}],"issued":{"date-parts":[["2021",12]]}}}],"schema":"https://github.com/citation-style-language/schema/raw/master/csl-citation.json"} </w:instrText>
      </w:r>
      <w:r>
        <w:fldChar w:fldCharType="separate"/>
      </w:r>
      <w:r w:rsidR="00FD57F4" w:rsidRPr="00FD57F4">
        <w:rPr>
          <w:rFonts w:cs="Arial"/>
          <w:szCs w:val="24"/>
          <w:vertAlign w:val="superscript"/>
        </w:rPr>
        <w:t>42</w:t>
      </w:r>
      <w:r>
        <w:fldChar w:fldCharType="end"/>
      </w:r>
      <w:r>
        <w:rPr>
          <w:rStyle w:val="CommentReference"/>
        </w:rPr>
        <w:t xml:space="preserve"> </w:t>
      </w:r>
      <w:r w:rsidRPr="00054570">
        <w:fldChar w:fldCharType="begin"/>
      </w:r>
      <w:r w:rsidR="00CA6345">
        <w:instrText xml:space="preserve"> ADDIN ZOTERO_ITEM CSL_CITATION {"citationID":"jGW8XIZr","properties":{"formattedCitation":"\\super 42\\nosupersub{}","plainCitation":"42","dontUpdate":true,"noteIndex":0},"citationItems":[{"id":65859,"uris":["http://zotero.org/groups/4797619/items/73ARJN9L"],"itemData":{"id":65859,"type":"article-journal","language":"EN","note":"publisher: National Comprehensive Cancer Network","title":"NCCN Clinical Practice Guidelines in Oncology, Breast Cancer. Version 4.2022.","URL":"https://www.nccn.org/patients/guidelines/cancers.aspx","author":[{"family":"Gradishar","given":"William J."},{"family":"Moran","given":"Meena S."},{"family":"Abraham","given":"Jame"},{"family":"Aft","given":"Rebecca"},{"family":"Agnese","given":"Doreen"},{"family":"Allison","given":"Kimberly H."},{"family":"Anderson","given":"Bethany"},{"family":"Burstein","given":"Harold J."},{"family":"Chew","given":"Helen"},{"family":"Dang","given":"Chau"},{"family":"Elias","given":"Anthony D."},{"family":"Giordano","given":"Sharon H."},{"family":"Goetz","given":"Matthew P."},{"family":"Goldstein","given":"Lori J."},{"family":"Hurvitz","given":"Sara A."},{"family":"Isakoff","given":"Steven J."},{"family":"Jankowitz","given":"Rachel C."},{"family":"Javid","given":"Sara H."},{"family":"Krishnamurthy","given":"Jairam"},{"family":"Leitch","given":"Marilyn"},{"family":"Lyons","given":"Janice"},{"family":"Mortimer","given":"Joanne"},{"family":"Patel","given":"Sameer A."},{"family":"Pierce","given":"Lori J."},{"family":"Rosenberger","given":"Laura H."},{"family":"Rugo","given":"Hope S."},{"family":"Sitapati","given":"Amy"},{"family":"Smith","given":"Karen Lisa"},{"family":"Smith","given":"Mary Lou"},{"family":"Soliman","given":"Hatem"},{"family":"Stringer-Reasor","given":"Erica M."},{"family":"Telli","given":"Melinda L."},{"family":"Ward","given":"John H."},{"family":"Wisinski","given":"Kari B."},{"family":"Young","given":"Jessica S."},{"family":"Berardi","given":"Ryan"},{"family":"Kumar","given":"Rashmi"}],"accessed":{"date-parts":[["2022",11,3]]},"issued":{"date-parts":[["2022",6,21]]}}}],"schema":"https://github.com/citation-style-language/schema/raw/master/csl-citation.json"} </w:instrText>
      </w:r>
      <w:r w:rsidRPr="00054570">
        <w:fldChar w:fldCharType="separate"/>
      </w:r>
      <w:r w:rsidRPr="00054570">
        <w:fldChar w:fldCharType="end"/>
      </w:r>
      <w:r w:rsidRPr="00054570">
        <w:t>This confirms that T-DXd is expected to transform the pathway of care in patients with HER2-low u/mBC.</w:t>
      </w:r>
    </w:p>
    <w:p w14:paraId="2FF7E32F" w14:textId="77777777" w:rsidR="000B148D" w:rsidRDefault="000B148D" w:rsidP="000B148D"/>
    <w:p w14:paraId="1BE82593" w14:textId="77777777" w:rsidR="000B148D" w:rsidRPr="00A43593" w:rsidRDefault="000B148D" w:rsidP="006D77DC">
      <w:pPr>
        <w:pStyle w:val="Body"/>
      </w:pPr>
    </w:p>
    <w:p w14:paraId="72A0C6AD" w14:textId="34CB4686" w:rsidR="00C57194" w:rsidRDefault="00C57194" w:rsidP="00E5563E">
      <w:pPr>
        <w:pStyle w:val="Heading1"/>
      </w:pPr>
      <w:bookmarkStart w:id="386" w:name="_Toc129350881"/>
      <w:r>
        <w:lastRenderedPageBreak/>
        <w:t>Cost-effectiveness</w:t>
      </w:r>
      <w:bookmarkEnd w:id="386"/>
    </w:p>
    <w:p w14:paraId="5665841C" w14:textId="77777777" w:rsidR="00C57194" w:rsidRDefault="00C57194" w:rsidP="00C57194">
      <w:pPr>
        <w:pStyle w:val="Heading2"/>
      </w:pPr>
      <w:bookmarkStart w:id="387" w:name="_Toc98924658"/>
      <w:bookmarkStart w:id="388" w:name="_Ref99727300"/>
      <w:bookmarkStart w:id="389" w:name="_Toc127006434"/>
      <w:bookmarkStart w:id="390" w:name="_Toc129350882"/>
      <w:r>
        <w:t>Published cost-effectiveness studies</w:t>
      </w:r>
      <w:bookmarkEnd w:id="387"/>
      <w:bookmarkEnd w:id="388"/>
      <w:bookmarkEnd w:id="389"/>
      <w:bookmarkEnd w:id="390"/>
    </w:p>
    <w:p w14:paraId="0F8A09FB" w14:textId="55DD91FC" w:rsidR="00C57194" w:rsidRPr="00E9364A" w:rsidRDefault="00C57194" w:rsidP="00C57194">
      <w:pPr>
        <w:pStyle w:val="Body"/>
      </w:pPr>
      <w:bookmarkStart w:id="391" w:name="_Toc98924741"/>
      <w:r>
        <w:t xml:space="preserve">An SLR was </w:t>
      </w:r>
      <w:r w:rsidRPr="00E9364A">
        <w:t>conducted</w:t>
      </w:r>
      <w:r w:rsidR="00C816C6">
        <w:t xml:space="preserve"> on 25 February 2022</w:t>
      </w:r>
      <w:r w:rsidRPr="00E9364A">
        <w:t xml:space="preserve"> to identify relevant economic evaluations of treatments for patients with HER2-negative or HER2</w:t>
      </w:r>
      <w:r w:rsidRPr="00AD3FB6">
        <w:t xml:space="preserve">-low </w:t>
      </w:r>
      <w:r w:rsidRPr="00E9364A">
        <w:t xml:space="preserve">u/mBC </w:t>
      </w:r>
      <w:r w:rsidRPr="00AD3FB6">
        <w:t xml:space="preserve">previously treated with chemotherapy. As HER2-low is currently not yet established as classification, </w:t>
      </w:r>
      <w:r w:rsidRPr="00AD3FB6">
        <w:rPr>
          <w:rFonts w:eastAsia="Calibri"/>
        </w:rPr>
        <w:t xml:space="preserve">the use of a non-standardised definition of ‘HER2-low’ in the SLR could affect the results of a literature search because this term is not yet widely used in clinical trials or medical guidelines. The populations identified as relevant for the SLR for the </w:t>
      </w:r>
      <w:r w:rsidRPr="00AD3FB6">
        <w:t>anticipated licensed indication</w:t>
      </w:r>
      <w:r w:rsidRPr="00AD3FB6">
        <w:rPr>
          <w:rFonts w:eastAsia="Calibri"/>
        </w:rPr>
        <w:t xml:space="preserve"> were “adult patients with HER2-negative</w:t>
      </w:r>
      <w:r w:rsidR="00B14524">
        <w:rPr>
          <w:rFonts w:eastAsia="Calibri"/>
        </w:rPr>
        <w:t>/HR-positive</w:t>
      </w:r>
      <w:r w:rsidRPr="00AD3FB6">
        <w:rPr>
          <w:rFonts w:eastAsia="Calibri"/>
        </w:rPr>
        <w:t>, unresectable and/or metastatic breast cancer” and “adult patients with triple-</w:t>
      </w:r>
      <w:r w:rsidRPr="00AD3FB6">
        <w:t>negative, unresectable and/or metastatic breast cancer”.</w:t>
      </w:r>
      <w:r w:rsidRPr="00E9364A">
        <w:t xml:space="preserve"> A detailed description of the review methods and results are reported in </w:t>
      </w:r>
      <w:r w:rsidRPr="003C648C">
        <w:rPr>
          <w:b/>
        </w:rPr>
        <w:t>Appendix G</w:t>
      </w:r>
      <w:r w:rsidRPr="00E9364A">
        <w:t xml:space="preserve">. </w:t>
      </w:r>
    </w:p>
    <w:p w14:paraId="3DAD9390" w14:textId="05F65872" w:rsidR="00C57194" w:rsidRPr="00E9364A" w:rsidRDefault="00BF42BF" w:rsidP="00C57194">
      <w:pPr>
        <w:pStyle w:val="Body"/>
      </w:pPr>
      <w:r>
        <w:t>The original SLR (searches conducted on 25 February 2022) found n</w:t>
      </w:r>
      <w:r w:rsidRPr="00AD3FB6">
        <w:t xml:space="preserve">o </w:t>
      </w:r>
      <w:r w:rsidR="00C57194" w:rsidRPr="00AD3FB6">
        <w:t>economic publications evaluating T-DXd in the relevant population</w:t>
      </w:r>
      <w:r>
        <w:t>, but identified</w:t>
      </w:r>
      <w:r w:rsidR="00C57194" w:rsidRPr="00AD3FB6">
        <w:t xml:space="preserve"> </w:t>
      </w:r>
      <w:r>
        <w:t>t</w:t>
      </w:r>
      <w:r w:rsidRPr="00AD3FB6">
        <w:t>wo</w:t>
      </w:r>
      <w:r w:rsidR="00C57194" w:rsidRPr="00E9364A">
        <w:t xml:space="preserve"> </w:t>
      </w:r>
      <w:r w:rsidR="00C57194" w:rsidRPr="00AD3FB6">
        <w:t xml:space="preserve">published economic evaluations of treatments for HER2-negative </w:t>
      </w:r>
      <w:r>
        <w:t>u/</w:t>
      </w:r>
      <w:r w:rsidR="00C57194" w:rsidRPr="00AD3FB6">
        <w:t xml:space="preserve">mBC </w:t>
      </w:r>
      <w:r>
        <w:t>(</w:t>
      </w:r>
      <w:r w:rsidR="00C57194" w:rsidRPr="00E9364A">
        <w:t xml:space="preserve">summarised in </w:t>
      </w:r>
      <w:r w:rsidR="00C57194" w:rsidRPr="003C648C">
        <w:rPr>
          <w:b/>
        </w:rPr>
        <w:fldChar w:fldCharType="begin"/>
      </w:r>
      <w:r w:rsidR="00C57194" w:rsidRPr="00E9364A">
        <w:instrText xml:space="preserve"> REF _Ref99447032 \h  \* MERGEFORMAT </w:instrText>
      </w:r>
      <w:r w:rsidR="00C57194" w:rsidRPr="003C648C">
        <w:rPr>
          <w:b/>
        </w:rPr>
      </w:r>
      <w:r w:rsidR="00C57194" w:rsidRPr="003C648C">
        <w:rPr>
          <w:b/>
        </w:rPr>
        <w:fldChar w:fldCharType="separate"/>
      </w:r>
      <w:r w:rsidR="00145F42" w:rsidRPr="00145F42">
        <w:rPr>
          <w:b/>
        </w:rPr>
        <w:t>Table 31</w:t>
      </w:r>
      <w:r w:rsidR="00C57194" w:rsidRPr="003C648C">
        <w:rPr>
          <w:b/>
        </w:rPr>
        <w:fldChar w:fldCharType="end"/>
      </w:r>
      <w:r w:rsidRPr="003C648C">
        <w:t>)</w:t>
      </w:r>
      <w:r w:rsidR="00C57194" w:rsidRPr="00AD3FB6">
        <w:t>.</w:t>
      </w:r>
      <w:r w:rsidR="00C57194" w:rsidRPr="00AD3FB6">
        <w:fldChar w:fldCharType="begin"/>
      </w:r>
      <w:r w:rsidR="00CA6345">
        <w:instrText xml:space="preserve"> ADDIN ZOTERO_ITEM CSL_CITATION {"citationID":"R1bLnNRC","properties":{"formattedCitation":"\\super 161\\nosupersub{}","plainCitation":"161","noteIndex":0},"citationItems":[{"id":66136,"uris":["http://zotero.org/groups/4797619/items/X5E9JXLW"],"itemData":{"id":66136,"type":"document","title":"Economic Systematic Literature Review Report for DS-8201a on the Treatment of HER2-low Metastatic and/or Unresectable Breast Cancer. Data on File.","author":[{"family":"Daiichi Sankyo Inc.","given":""}],"issued":{"date-parts":[["2022"]]}}}],"schema":"https://github.com/citation-style-language/schema/raw/master/csl-citation.json"} </w:instrText>
      </w:r>
      <w:r w:rsidR="00C57194" w:rsidRPr="00AD3FB6">
        <w:fldChar w:fldCharType="separate"/>
      </w:r>
      <w:r w:rsidR="00CA6345" w:rsidRPr="00CA6345">
        <w:rPr>
          <w:rFonts w:cs="Arial"/>
          <w:szCs w:val="24"/>
          <w:vertAlign w:val="superscript"/>
        </w:rPr>
        <w:t>161</w:t>
      </w:r>
      <w:r w:rsidR="00C57194" w:rsidRPr="00AD3FB6">
        <w:fldChar w:fldCharType="end"/>
      </w:r>
      <w:r w:rsidR="00C57194" w:rsidRPr="00E9364A">
        <w:t xml:space="preserve"> A quality assessment of the identified studies is presented in </w:t>
      </w:r>
      <w:r w:rsidR="00C57194" w:rsidRPr="003C648C">
        <w:rPr>
          <w:b/>
        </w:rPr>
        <w:t>Appendix G</w:t>
      </w:r>
      <w:r w:rsidR="00C57194" w:rsidRPr="00E9364A">
        <w:t>. Both models identified in the SLR used a partitioned survival approach.</w:t>
      </w:r>
      <w:r w:rsidR="00C57194" w:rsidRPr="00AD3FB6">
        <w:fldChar w:fldCharType="begin"/>
      </w:r>
      <w:r w:rsidR="00CA6345">
        <w:instrText xml:space="preserve"> ADDIN ZOTERO_ITEM CSL_CITATION {"citationID":"frnUUvVz","properties":{"formattedCitation":"\\super 161\\nosupersub{}","plainCitation":"161","noteIndex":0},"citationItems":[{"id":66136,"uris":["http://zotero.org/groups/4797619/items/X5E9JXLW"],"itemData":{"id":66136,"type":"document","title":"Economic Systematic Literature Review Report for DS-8201a on the Treatment of HER2-low Metastatic and/or Unresectable Breast Cancer. Data on File.","author":[{"family":"Daiichi Sankyo Inc.","given":""}],"issued":{"date-parts":[["2022"]]}}}],"schema":"https://github.com/citation-style-language/schema/raw/master/csl-citation.json"} </w:instrText>
      </w:r>
      <w:r w:rsidR="00C57194" w:rsidRPr="00AD3FB6">
        <w:fldChar w:fldCharType="separate"/>
      </w:r>
      <w:r w:rsidR="00CA6345" w:rsidRPr="00CA6345">
        <w:rPr>
          <w:rFonts w:cs="Arial"/>
          <w:szCs w:val="24"/>
          <w:vertAlign w:val="superscript"/>
        </w:rPr>
        <w:t>161</w:t>
      </w:r>
      <w:r w:rsidR="00C57194" w:rsidRPr="00AD3FB6">
        <w:fldChar w:fldCharType="end"/>
      </w:r>
      <w:r w:rsidR="00C57194" w:rsidRPr="00E9364A">
        <w:t xml:space="preserve"> </w:t>
      </w:r>
    </w:p>
    <w:p w14:paraId="4702C9B0" w14:textId="2203D2A3" w:rsidR="00C57194" w:rsidRDefault="00463FBF" w:rsidP="00131417">
      <w:pPr>
        <w:pStyle w:val="Body"/>
        <w:sectPr w:rsidR="00C57194" w:rsidSect="00F174DD">
          <w:footerReference w:type="default" r:id="rId31"/>
          <w:footnotePr>
            <w:numFmt w:val="lowerLetter"/>
          </w:footnotePr>
          <w:pgSz w:w="11907" w:h="16840" w:code="9"/>
          <w:pgMar w:top="1440" w:right="1440" w:bottom="1440" w:left="1440" w:header="709" w:footer="709" w:gutter="0"/>
          <w:cols w:space="708"/>
          <w:docGrid w:linePitch="360"/>
        </w:sectPr>
      </w:pPr>
      <w:r>
        <w:t>NICE TA819</w:t>
      </w:r>
      <w:r w:rsidR="00131417" w:rsidRPr="00E9364A">
        <w:rPr>
          <w:bCs/>
        </w:rPr>
        <w:fldChar w:fldCharType="begin"/>
      </w:r>
      <w:r w:rsidR="00CA6345">
        <w:rPr>
          <w:b/>
          <w:bCs/>
        </w:rPr>
        <w:instrText xml:space="preserve"> ADDIN ZOTERO_ITEM CSL_CITATION {"citationID":"7C234m2m","properties":{"formattedCitation":"\\super 132\\nosupersub{}","plainCitation":"132","noteIndex":0},"citationItems":[{"id":65875,"uris":["http://zotero.org/groups/4797619/items/IP9MEGL9"],"itemData":{"id":65875,"type":"webpage","abstract":"Evidence-based recommendations on sacituzumab govetican (Trodelvy) for treating unresectable, triple-negative locally advanced or metastatic breast cancer in adults after 2 or more systemic therapies, at least 1 of which was for advanced disease","language":"eng","note":"publisher: NICE","title":"Sacituzumab govitecan for treating unresectable triple-negative advanced breast cancer after 2 or more therapies | NICE [TA819]","URL":"https://www.nice.org.uk/guidance/ta819","author":[{"family":"NICE","given":""}],"accessed":{"date-parts":[["2022",10,17]]}}}],"schema":"https://github.com/citation-style-language/schema/raw/master/csl-citation.json"} </w:instrText>
      </w:r>
      <w:r w:rsidR="00131417" w:rsidRPr="00E9364A">
        <w:rPr>
          <w:bCs/>
        </w:rPr>
        <w:fldChar w:fldCharType="separate"/>
      </w:r>
      <w:r w:rsidR="00CA6345" w:rsidRPr="00CA6345">
        <w:rPr>
          <w:rFonts w:cs="Arial"/>
          <w:szCs w:val="24"/>
          <w:vertAlign w:val="superscript"/>
        </w:rPr>
        <w:t>132</w:t>
      </w:r>
      <w:r w:rsidR="00131417" w:rsidRPr="00E9364A">
        <w:rPr>
          <w:bCs/>
        </w:rPr>
        <w:fldChar w:fldCharType="end"/>
      </w:r>
      <w:r>
        <w:t xml:space="preserve"> was identified as part of the </w:t>
      </w:r>
      <w:r w:rsidR="00C816C6" w:rsidRPr="006955D2">
        <w:t xml:space="preserve">initial SLR (25 February 2022), </w:t>
      </w:r>
      <w:r>
        <w:t xml:space="preserve">but data for this appraisal were not </w:t>
      </w:r>
      <w:r w:rsidR="00BF42BF">
        <w:t xml:space="preserve">yet </w:t>
      </w:r>
      <w:r>
        <w:t xml:space="preserve">published. </w:t>
      </w:r>
      <w:r w:rsidR="00C816C6" w:rsidRPr="002E67F7">
        <w:t>The company therefore conducted hand searches</w:t>
      </w:r>
      <w:r>
        <w:t xml:space="preserve"> </w:t>
      </w:r>
      <w:r w:rsidRPr="004A32E1">
        <w:rPr>
          <w:rStyle w:val="ui-provider"/>
        </w:rPr>
        <w:t>on 13 Feb</w:t>
      </w:r>
      <w:r>
        <w:rPr>
          <w:rStyle w:val="ui-provider"/>
        </w:rPr>
        <w:t>ruary</w:t>
      </w:r>
      <w:r w:rsidRPr="004A32E1">
        <w:rPr>
          <w:rStyle w:val="ui-provider"/>
        </w:rPr>
        <w:t xml:space="preserve"> 2023</w:t>
      </w:r>
      <w:r w:rsidR="00C816C6" w:rsidRPr="002E67F7">
        <w:t xml:space="preserve"> to identify </w:t>
      </w:r>
      <w:r w:rsidR="00364A76" w:rsidRPr="004A32E1">
        <w:rPr>
          <w:rStyle w:val="ui-provider"/>
        </w:rPr>
        <w:t>data related to NICE TA819, as well as other potentially relevant NICE T</w:t>
      </w:r>
      <w:r w:rsidR="00364A76">
        <w:rPr>
          <w:rStyle w:val="ui-provider"/>
        </w:rPr>
        <w:t>A</w:t>
      </w:r>
      <w:r w:rsidR="00364A76" w:rsidRPr="004A32E1">
        <w:rPr>
          <w:rStyle w:val="ui-provider"/>
        </w:rPr>
        <w:t>s</w:t>
      </w:r>
      <w:r w:rsidR="00364A76">
        <w:t>.</w:t>
      </w:r>
      <w:r w:rsidR="00CD5620">
        <w:t xml:space="preserve"> </w:t>
      </w:r>
      <w:r w:rsidR="00B4735B">
        <w:t xml:space="preserve">The following three NICE TAs were identified as being </w:t>
      </w:r>
      <w:r w:rsidR="00316A77">
        <w:t>applicable to this appraisal</w:t>
      </w:r>
      <w:r w:rsidR="00B4735B">
        <w:t xml:space="preserve"> as they relate to technologies used at a relevant line of therapy in the current treatment pathway for HER2-negative/HR-positive, or HER2-negative/HR-negative u/mBC</w:t>
      </w:r>
      <w:r w:rsidR="00E27334">
        <w:t xml:space="preserve">: </w:t>
      </w:r>
      <w:r w:rsidR="008C5B1C" w:rsidRPr="003C648C">
        <w:t>NICE TA819,</w:t>
      </w:r>
      <w:r w:rsidR="00131417" w:rsidRPr="003C648C">
        <w:rPr>
          <w:vertAlign w:val="superscript"/>
        </w:rPr>
        <w:fldChar w:fldCharType="begin"/>
      </w:r>
      <w:r w:rsidR="00CA6345">
        <w:rPr>
          <w:vertAlign w:val="superscript"/>
        </w:rPr>
        <w:instrText xml:space="preserve"> ADDIN ZOTERO_ITEM CSL_CITATION {"citationID":"rgtToEII","properties":{"formattedCitation":"\\super 132\\nosupersub{}","plainCitation":"132","noteIndex":0},"citationItems":[{"id":65875,"uris":["http://zotero.org/groups/4797619/items/IP9MEGL9"],"itemData":{"id":65875,"type":"webpage","abstract":"Evidence-based recommendations on sacituzumab govetican (Trodelvy) for treating unresectable, triple-negative locally advanced or metastatic breast cancer in adults after 2 or more systemic therapies, at least 1 of which was for advanced disease","language":"eng","note":"publisher: NICE","title":"Sacituzumab govitecan for treating unresectable triple-negative advanced breast cancer after 2 or more therapies | NICE [TA819]","URL":"https://www.nice.org.uk/guidance/ta819","author":[{"family":"NICE","given":""}],"accessed":{"date-parts":[["2022",10,17]]}}}],"schema":"https://github.com/citation-style-language/schema/raw/master/csl-citation.json"} </w:instrText>
      </w:r>
      <w:r w:rsidR="00131417" w:rsidRPr="003C648C">
        <w:rPr>
          <w:vertAlign w:val="superscript"/>
        </w:rPr>
        <w:fldChar w:fldCharType="separate"/>
      </w:r>
      <w:r w:rsidR="00CA6345" w:rsidRPr="00CA6345">
        <w:rPr>
          <w:rFonts w:cs="Arial"/>
          <w:szCs w:val="24"/>
          <w:vertAlign w:val="superscript"/>
        </w:rPr>
        <w:t>132</w:t>
      </w:r>
      <w:r w:rsidR="00131417" w:rsidRPr="003C648C">
        <w:rPr>
          <w:vertAlign w:val="superscript"/>
        </w:rPr>
        <w:fldChar w:fldCharType="end"/>
      </w:r>
      <w:r w:rsidR="008C5B1C" w:rsidRPr="003C648C">
        <w:t xml:space="preserve"> NICE TA423,</w:t>
      </w:r>
      <w:r w:rsidR="00131417" w:rsidRPr="003C648C">
        <w:rPr>
          <w:vertAlign w:val="superscript"/>
        </w:rPr>
        <w:fldChar w:fldCharType="begin"/>
      </w:r>
      <w:r w:rsidR="00CA6345">
        <w:rPr>
          <w:vertAlign w:val="superscript"/>
        </w:rPr>
        <w:instrText xml:space="preserve"> ADDIN ZOTERO_ITEM CSL_CITATION {"citationID":"RZ8V0uKe","properties":{"formattedCitation":"\\super 131\\nosupersub{}","plainCitation":"131","noteIndex":0},"citationItems":[{"id":65884,"uris":["http://zotero.org/groups/4797619/items/GKXW7XYV"],"itemData":{"id":65884,"type":"webpage","abstract":"Evidence-based recommendations on eribulin (Halaven) for treating locally advanced or metastatic breast cancer after 2 or more types of chemotherapy","language":"eng","note":"publisher: NICE","title":"Eribulin for treating locally advanced or metastatic breast cancer after 2 or more chemotherapy regimens | NICE [TA423]","URL":"https://www.nice.org.uk/guidance/ta423","author":[{"family":"NICE","given":""}],"accessed":{"date-parts":[["2022",10,17]]}}}],"schema":"https://github.com/citation-style-language/schema/raw/master/csl-citation.json"} </w:instrText>
      </w:r>
      <w:r w:rsidR="00131417" w:rsidRPr="003C648C">
        <w:rPr>
          <w:vertAlign w:val="superscript"/>
        </w:rPr>
        <w:fldChar w:fldCharType="separate"/>
      </w:r>
      <w:r w:rsidR="00CA6345" w:rsidRPr="00CA6345">
        <w:rPr>
          <w:rFonts w:cs="Arial"/>
          <w:szCs w:val="24"/>
          <w:vertAlign w:val="superscript"/>
        </w:rPr>
        <w:t>131</w:t>
      </w:r>
      <w:r w:rsidR="00131417" w:rsidRPr="003C648C">
        <w:rPr>
          <w:vertAlign w:val="superscript"/>
        </w:rPr>
        <w:fldChar w:fldCharType="end"/>
      </w:r>
      <w:r w:rsidR="008C5B1C" w:rsidRPr="003C648C">
        <w:t xml:space="preserve"> and NICE TA116</w:t>
      </w:r>
      <w:r w:rsidR="00A640CD">
        <w:t>.</w:t>
      </w:r>
      <w:r w:rsidR="00131417" w:rsidRPr="003C648C">
        <w:rPr>
          <w:vertAlign w:val="superscript"/>
        </w:rPr>
        <w:fldChar w:fldCharType="begin"/>
      </w:r>
      <w:r w:rsidR="00CA6345">
        <w:rPr>
          <w:vertAlign w:val="superscript"/>
        </w:rPr>
        <w:instrText xml:space="preserve"> ADDIN ZOTERO_ITEM CSL_CITATION {"citationID":"Mb0ykGna","properties":{"formattedCitation":"\\super 122\\nosupersub{}","plainCitation":"122","noteIndex":0},"citationItems":[{"id":65876,"uris":["http://zotero.org/groups/4797619/items/6S5RPIVP"],"itemData":{"id":65876,"type":"webpage","abstract":"Evidence-based recommendations on gemcitabine for treating metastatic breast cancer in adults","language":"eng","note":"publisher: NICE","title":"Gemcitabine for the treatment of metastatic breast cancer | NICE [TA116]","URL":"https://www.nice.org.uk/guidance/ta116","author":[{"family":"NICE","given":""}],"accessed":{"date-parts":[["2022",10,17]]}}}],"schema":"https://github.com/citation-style-language/schema/raw/master/csl-citation.json"} </w:instrText>
      </w:r>
      <w:r w:rsidR="00131417" w:rsidRPr="003C648C">
        <w:rPr>
          <w:vertAlign w:val="superscript"/>
        </w:rPr>
        <w:fldChar w:fldCharType="separate"/>
      </w:r>
      <w:r w:rsidR="00CA6345" w:rsidRPr="00CA6345">
        <w:rPr>
          <w:rFonts w:cs="Arial"/>
          <w:szCs w:val="24"/>
          <w:vertAlign w:val="superscript"/>
        </w:rPr>
        <w:t>122</w:t>
      </w:r>
      <w:r w:rsidR="00131417" w:rsidRPr="003C648C">
        <w:rPr>
          <w:vertAlign w:val="superscript"/>
        </w:rPr>
        <w:fldChar w:fldCharType="end"/>
      </w:r>
      <w:r w:rsidR="00131417" w:rsidRPr="00500BD8">
        <w:t xml:space="preserve"> </w:t>
      </w:r>
      <w:r w:rsidR="00326D55">
        <w:t>The additional TAs identified</w:t>
      </w:r>
      <w:r w:rsidR="00591172" w:rsidRPr="003C648C">
        <w:t xml:space="preserve"> are summarised in</w:t>
      </w:r>
      <w:r w:rsidR="00E27334">
        <w:t xml:space="preserve"> </w:t>
      </w:r>
      <w:r w:rsidR="00E27334" w:rsidRPr="003C648C">
        <w:rPr>
          <w:b/>
          <w:bCs/>
        </w:rPr>
        <w:fldChar w:fldCharType="begin"/>
      </w:r>
      <w:r w:rsidR="00E27334" w:rsidRPr="003C648C">
        <w:rPr>
          <w:b/>
          <w:bCs/>
        </w:rPr>
        <w:instrText xml:space="preserve"> REF _Ref128485846 \h </w:instrText>
      </w:r>
      <w:r w:rsidR="008473A7">
        <w:rPr>
          <w:b/>
          <w:bCs/>
        </w:rPr>
        <w:instrText xml:space="preserve"> \* MERGEFORMAT </w:instrText>
      </w:r>
      <w:r w:rsidR="00E27334" w:rsidRPr="003C648C">
        <w:rPr>
          <w:b/>
          <w:bCs/>
        </w:rPr>
      </w:r>
      <w:r w:rsidR="00E27334" w:rsidRPr="003C648C">
        <w:rPr>
          <w:b/>
          <w:bCs/>
        </w:rPr>
        <w:fldChar w:fldCharType="separate"/>
      </w:r>
      <w:r w:rsidR="00145F42" w:rsidRPr="00145F42">
        <w:rPr>
          <w:b/>
          <w:bCs/>
        </w:rPr>
        <w:t xml:space="preserve">Table </w:t>
      </w:r>
      <w:r w:rsidR="00145F42" w:rsidRPr="00145F42">
        <w:rPr>
          <w:b/>
          <w:bCs/>
          <w:noProof/>
        </w:rPr>
        <w:t>32</w:t>
      </w:r>
      <w:r w:rsidR="00E27334" w:rsidRPr="003C648C">
        <w:rPr>
          <w:b/>
          <w:bCs/>
        </w:rPr>
        <w:fldChar w:fldCharType="end"/>
      </w:r>
      <w:r w:rsidR="008C5B1C" w:rsidRPr="003C648C">
        <w:t>.</w:t>
      </w:r>
      <w:r w:rsidR="00C816C6" w:rsidRPr="003C648C">
        <w:t xml:space="preserve"> Data from </w:t>
      </w:r>
      <w:r w:rsidR="00C11E13" w:rsidRPr="003C648C">
        <w:t>these TAs</w:t>
      </w:r>
      <w:r w:rsidR="00C816C6" w:rsidRPr="003C648C">
        <w:t xml:space="preserve"> were extracted using the same </w:t>
      </w:r>
      <w:r w:rsidR="008473A7">
        <w:t>approach</w:t>
      </w:r>
      <w:r w:rsidR="00C816C6" w:rsidRPr="003C648C">
        <w:t xml:space="preserve"> as the </w:t>
      </w:r>
      <w:r w:rsidR="008473A7">
        <w:t>original</w:t>
      </w:r>
      <w:r w:rsidR="00C816C6" w:rsidRPr="003C648C">
        <w:t xml:space="preserve"> SLR (see </w:t>
      </w:r>
      <w:r w:rsidR="00C816C6" w:rsidRPr="003C648C">
        <w:rPr>
          <w:b/>
        </w:rPr>
        <w:t xml:space="preserve">Appendix </w:t>
      </w:r>
      <w:r w:rsidR="00C11E13" w:rsidRPr="003C648C">
        <w:rPr>
          <w:b/>
        </w:rPr>
        <w:t>G</w:t>
      </w:r>
      <w:r w:rsidR="00C816C6" w:rsidRPr="003C648C">
        <w:t xml:space="preserve"> for</w:t>
      </w:r>
      <w:r w:rsidR="00C816C6">
        <w:t xml:space="preserve"> </w:t>
      </w:r>
      <w:r w:rsidR="00806CB0">
        <w:t>further details</w:t>
      </w:r>
      <w:r w:rsidR="006530EE">
        <w:t xml:space="preserve"> on extracted data</w:t>
      </w:r>
      <w:r w:rsidR="008473A7">
        <w:t xml:space="preserve"> from the hand searches</w:t>
      </w:r>
      <w:r w:rsidR="00C816C6" w:rsidRPr="003C648C">
        <w:t>).</w:t>
      </w:r>
      <w:r w:rsidR="004A32E1" w:rsidRPr="004A32E1">
        <w:rPr>
          <w:rStyle w:val="ui-provider"/>
        </w:rPr>
        <w:t xml:space="preserve"> </w:t>
      </w:r>
    </w:p>
    <w:p w14:paraId="51003EA0" w14:textId="38C1A783" w:rsidR="00C57194" w:rsidRDefault="00C57194" w:rsidP="00C57194">
      <w:pPr>
        <w:pStyle w:val="Caption"/>
      </w:pPr>
      <w:bookmarkStart w:id="392" w:name="_Ref99447032"/>
      <w:bookmarkStart w:id="393" w:name="_Toc127006662"/>
      <w:bookmarkStart w:id="394" w:name="_Toc129351006"/>
      <w:r>
        <w:lastRenderedPageBreak/>
        <w:t xml:space="preserve">Table </w:t>
      </w:r>
      <w:r>
        <w:fldChar w:fldCharType="begin"/>
      </w:r>
      <w:r>
        <w:instrText>SEQ Table \* ARABIC</w:instrText>
      </w:r>
      <w:r>
        <w:fldChar w:fldCharType="separate"/>
      </w:r>
      <w:r w:rsidR="00145F42">
        <w:rPr>
          <w:noProof/>
        </w:rPr>
        <w:t>31</w:t>
      </w:r>
      <w:r>
        <w:fldChar w:fldCharType="end"/>
      </w:r>
      <w:bookmarkEnd w:id="392"/>
      <w:r>
        <w:rPr>
          <w:noProof/>
        </w:rPr>
        <w:t>:</w:t>
      </w:r>
      <w:r>
        <w:t xml:space="preserve"> Summary list of published cost-effectiveness studies</w:t>
      </w:r>
      <w:bookmarkEnd w:id="391"/>
      <w:bookmarkEnd w:id="393"/>
      <w:r w:rsidR="00DF51FE">
        <w:t xml:space="preserve"> (original SLR; 25 February 2022)</w:t>
      </w:r>
      <w:bookmarkEnd w:id="394"/>
    </w:p>
    <w:tbl>
      <w:tblPr>
        <w:tblStyle w:val="Generaltable"/>
        <w:tblW w:w="5000" w:type="pct"/>
        <w:tblLook w:val="04A0" w:firstRow="1" w:lastRow="0" w:firstColumn="1" w:lastColumn="0" w:noHBand="0" w:noVBand="1"/>
      </w:tblPr>
      <w:tblGrid>
        <w:gridCol w:w="1412"/>
        <w:gridCol w:w="1275"/>
        <w:gridCol w:w="1844"/>
        <w:gridCol w:w="3119"/>
        <w:gridCol w:w="2023"/>
        <w:gridCol w:w="2140"/>
        <w:gridCol w:w="2137"/>
      </w:tblGrid>
      <w:tr w:rsidR="0061476F" w:rsidRPr="00E9364A" w14:paraId="5CE10AB8" w14:textId="77777777" w:rsidTr="0061476F">
        <w:trPr>
          <w:cnfStyle w:val="100000000000" w:firstRow="1" w:lastRow="0" w:firstColumn="0" w:lastColumn="0" w:oddVBand="0" w:evenVBand="0" w:oddHBand="0" w:evenHBand="0" w:firstRowFirstColumn="0" w:firstRowLastColumn="0" w:lastRowFirstColumn="0" w:lastRowLastColumn="0"/>
          <w:tblHeader/>
        </w:trPr>
        <w:tc>
          <w:tcPr>
            <w:tcW w:w="506" w:type="pct"/>
          </w:tcPr>
          <w:p w14:paraId="116F6A3A" w14:textId="77777777" w:rsidR="00C57194" w:rsidRPr="00E9364A" w:rsidRDefault="00C57194">
            <w:pPr>
              <w:pStyle w:val="Tableheading"/>
            </w:pPr>
            <w:r w:rsidRPr="00E9364A">
              <w:t>Study</w:t>
            </w:r>
          </w:p>
        </w:tc>
        <w:tc>
          <w:tcPr>
            <w:tcW w:w="457" w:type="pct"/>
          </w:tcPr>
          <w:p w14:paraId="7A4AEE56" w14:textId="77777777" w:rsidR="00C57194" w:rsidRPr="00E9364A" w:rsidRDefault="00C57194">
            <w:pPr>
              <w:pStyle w:val="Tableheading"/>
            </w:pPr>
            <w:r w:rsidRPr="00E9364A">
              <w:t xml:space="preserve">Cost year (currency) </w:t>
            </w:r>
          </w:p>
        </w:tc>
        <w:tc>
          <w:tcPr>
            <w:tcW w:w="661" w:type="pct"/>
          </w:tcPr>
          <w:p w14:paraId="27A64D15" w14:textId="77777777" w:rsidR="00C57194" w:rsidRPr="00E9364A" w:rsidRDefault="00C57194">
            <w:pPr>
              <w:pStyle w:val="Tableheading"/>
            </w:pPr>
            <w:r w:rsidRPr="00E9364A">
              <w:t>Summary of model</w:t>
            </w:r>
          </w:p>
        </w:tc>
        <w:tc>
          <w:tcPr>
            <w:tcW w:w="1118" w:type="pct"/>
          </w:tcPr>
          <w:p w14:paraId="31E7F193" w14:textId="2958A24A" w:rsidR="00C57194" w:rsidRPr="00E9364A" w:rsidRDefault="00C57194">
            <w:pPr>
              <w:pStyle w:val="Tableheading"/>
            </w:pPr>
            <w:r w:rsidRPr="00E9364A">
              <w:t xml:space="preserve">Patient population </w:t>
            </w:r>
          </w:p>
        </w:tc>
        <w:tc>
          <w:tcPr>
            <w:tcW w:w="725" w:type="pct"/>
          </w:tcPr>
          <w:p w14:paraId="2A2B712A" w14:textId="77777777" w:rsidR="00C57194" w:rsidRPr="00E9364A" w:rsidRDefault="00C57194">
            <w:pPr>
              <w:pStyle w:val="Tableheading"/>
            </w:pPr>
            <w:r w:rsidRPr="00E9364A">
              <w:t>QALYs (intervention, comparator)</w:t>
            </w:r>
          </w:p>
        </w:tc>
        <w:tc>
          <w:tcPr>
            <w:tcW w:w="767" w:type="pct"/>
          </w:tcPr>
          <w:p w14:paraId="5FA12D26" w14:textId="77777777" w:rsidR="00C57194" w:rsidRPr="00E9364A" w:rsidRDefault="00C57194">
            <w:pPr>
              <w:pStyle w:val="Tableheading"/>
            </w:pPr>
            <w:r w:rsidRPr="00E9364A">
              <w:t>Costs (intervention, comparator)</w:t>
            </w:r>
          </w:p>
        </w:tc>
        <w:tc>
          <w:tcPr>
            <w:tcW w:w="766" w:type="pct"/>
          </w:tcPr>
          <w:p w14:paraId="454E034A" w14:textId="77777777" w:rsidR="00C57194" w:rsidRPr="00E9364A" w:rsidRDefault="00C57194">
            <w:pPr>
              <w:pStyle w:val="Tableheading"/>
            </w:pPr>
            <w:r w:rsidRPr="00E9364A">
              <w:t>ICER (per QALY gained)</w:t>
            </w:r>
          </w:p>
        </w:tc>
      </w:tr>
      <w:tr w:rsidR="00C57194" w:rsidRPr="00E9364A" w14:paraId="2750B7B8" w14:textId="77777777" w:rsidTr="0061476F">
        <w:tc>
          <w:tcPr>
            <w:tcW w:w="506" w:type="pct"/>
          </w:tcPr>
          <w:p w14:paraId="406510B5" w14:textId="75CBAFD9" w:rsidR="00C57194" w:rsidRPr="00AD3FB6" w:rsidRDefault="00C57194">
            <w:pPr>
              <w:pStyle w:val="Tablebody"/>
              <w:rPr>
                <w:rFonts w:cs="Arial"/>
                <w:lang w:val="da-DK"/>
              </w:rPr>
            </w:pPr>
            <w:r w:rsidRPr="00AD3FB6">
              <w:rPr>
                <w:rFonts w:cs="Arial"/>
                <w:lang w:val="da-DK"/>
              </w:rPr>
              <w:t>G. Tremblay et al. 2016</w:t>
            </w:r>
            <w:r w:rsidRPr="00AD3FB6">
              <w:rPr>
                <w:rFonts w:cs="Arial"/>
              </w:rPr>
              <w:fldChar w:fldCharType="begin"/>
            </w:r>
            <w:r w:rsidR="00CA6345">
              <w:rPr>
                <w:rFonts w:cs="Arial"/>
                <w:lang w:val="da-DK"/>
              </w:rPr>
              <w:instrText xml:space="preserve"> ADDIN ZOTERO_ITEM CSL_CITATION {"citationID":"QEkUj1O0","properties":{"formattedCitation":"\\super 162\\nosupersub{}","plainCitation":"162","noteIndex":0},"citationItems":[{"id":66120,"uris":["http://zotero.org/groups/4797619/items/EEI7PEE9"],"itemData":{"id":66120,"type":"article-journal","abstract":"BACKGROUND: Metastatic breast cancer (MBC) is associated with poor prognosis, particularly for those patients with human epidermal growth factor receptor (HER2)-negative tumor. Similar to the rest of the world, treatment options are limited in South Korea following first-line chemotherapy with anthracyclines and/or taxanes. This study examined the cost-effectiveness and cost-utility of eribulin in South Korean patients with HER2-negative MBC who have progressed after usage of at least one chemotherapeutic regimen for advanced disease (second-line therapy).\nMETHODS: A partition survival model was developed from the perspective of the South Korean health care system. The economic impact of introducing eribulin as second-line therapy for HER2-negative MBC was compared to that of capecitabine and vinorelbine. The analysis estimated incremental cost per life-year (LY), that is, cost-effectiveness, and cost per quality-adjusted life-year (QALY), that is, cost-utility, of eribulin for management of HER2-negative MBC in South Korea. The model accounted for overall survival, progression-free survival, drug costs, grade 3/4 adverse events, and health care utilization. Deterministic and probabilistic sensitivity analyses were performed to identify uncertainty in the results of the economic evaluation.\nRESULTS: Second-line eribulin was associated with greater benefits in terms of LY and QALY, compared to capecitabine and vinorelbine. The incremental cost-effectiveness ratio was ₩10.5M (approximately USD 9,200) per LY, and the incremental cost-utility ratio was ₩17M (approximately USD 14,800) per QALY in the basecase analysis. The incremental cost-utility ratio ranged from ₩12M (USD 10,461) to ₩27M (USD 23,538) per QALY in the deterministic sensitivity analysis. In the probabilistic sensitivity analysis, &gt;99% of the simulations were below ₩50M (USD 42,300), and the lower and upper 95% confidence intervals were ₩3M (USD 2,600) and ₩24M (USD 20,900) per QALY, respectively.\nCONCLUSION: There currently exist a limited number of treatment choices for women with HER2-negative MBC. Eribulin is a cost-effective option for second-line therapy in South Korea and should be added to the current indications for reimbursement.","container-title":"ClinicoEconomics and outcomes research: CEOR","DOI":"10.2147/CEOR.S110553","ISSN":"1178-6981","journalAbbreviation":"Clinicoecon Outcomes Res","language":"eng","note":"PMID: 27698565\nPMCID: PMC5034912","page":"485-493","source":"PubMed","title":"Economic evaluation of eribulin as second-line treatment for metastatic breast cancer in South Korea","volume":"8","author":[{"family":"Tremblay","given":"Gabriel"},{"family":"Majethia","given":"Unnati"},{"family":"Breeze","given":"Janis L."},{"family":"Kontoudis","given":"Ilias"},{"family":"Park","given":"Jeongae"}],"issued":{"date-parts":[["2016"]]}}}],"schema":"https://github.com/citation-style-language/schema/raw/master/csl-citation.json"} </w:instrText>
            </w:r>
            <w:r w:rsidRPr="00AD3FB6">
              <w:rPr>
                <w:rFonts w:cs="Arial"/>
              </w:rPr>
              <w:fldChar w:fldCharType="separate"/>
            </w:r>
            <w:r w:rsidR="00CA6345" w:rsidRPr="00CA6345">
              <w:rPr>
                <w:rFonts w:cs="Arial"/>
                <w:szCs w:val="24"/>
                <w:vertAlign w:val="superscript"/>
              </w:rPr>
              <w:t>162</w:t>
            </w:r>
            <w:r w:rsidRPr="00AD3FB6">
              <w:rPr>
                <w:rFonts w:cs="Arial"/>
              </w:rPr>
              <w:fldChar w:fldCharType="end"/>
            </w:r>
          </w:p>
        </w:tc>
        <w:tc>
          <w:tcPr>
            <w:tcW w:w="457" w:type="pct"/>
          </w:tcPr>
          <w:p w14:paraId="003EBDC2" w14:textId="77777777" w:rsidR="00C57194" w:rsidRPr="00AD3FB6" w:rsidRDefault="00C57194">
            <w:pPr>
              <w:pStyle w:val="Tablebody"/>
              <w:rPr>
                <w:rFonts w:cs="Arial"/>
                <w:lang w:val="da-DK"/>
              </w:rPr>
            </w:pPr>
            <w:r w:rsidRPr="00AD3FB6">
              <w:rPr>
                <w:rFonts w:cs="Arial"/>
                <w:lang w:val="da-DK"/>
              </w:rPr>
              <w:t>2014/2015 (</w:t>
            </w:r>
            <w:r w:rsidRPr="00AD3FB6">
              <w:rPr>
                <w:rFonts w:eastAsia="Calibri" w:cs="Arial"/>
              </w:rPr>
              <w:t>₩</w:t>
            </w:r>
            <w:r w:rsidRPr="00AD3FB6">
              <w:rPr>
                <w:rFonts w:cs="Arial"/>
                <w:lang w:val="da-DK"/>
              </w:rPr>
              <w:t>)</w:t>
            </w:r>
          </w:p>
        </w:tc>
        <w:tc>
          <w:tcPr>
            <w:tcW w:w="661" w:type="pct"/>
          </w:tcPr>
          <w:p w14:paraId="02027254" w14:textId="77777777" w:rsidR="00C57194" w:rsidRPr="00AD3FB6" w:rsidRDefault="00C57194">
            <w:pPr>
              <w:pStyle w:val="Tablebody"/>
              <w:rPr>
                <w:rFonts w:eastAsia="Calibri" w:cs="Arial"/>
              </w:rPr>
            </w:pPr>
            <w:r w:rsidRPr="00AD3FB6">
              <w:rPr>
                <w:rFonts w:eastAsia="Calibri" w:cs="Arial"/>
              </w:rPr>
              <w:t>PartSA model</w:t>
            </w:r>
          </w:p>
          <w:p w14:paraId="32E8B27F" w14:textId="661EC5AF" w:rsidR="00C57194" w:rsidRPr="00AD3FB6" w:rsidRDefault="00C57194">
            <w:pPr>
              <w:pStyle w:val="Tablebody"/>
              <w:rPr>
                <w:rFonts w:eastAsia="Calibri" w:cs="Arial"/>
              </w:rPr>
            </w:pPr>
            <w:r w:rsidRPr="00AD3FB6">
              <w:rPr>
                <w:rFonts w:eastAsia="Calibri" w:cs="Arial"/>
              </w:rPr>
              <w:t>Cycle length: 1 month</w:t>
            </w:r>
          </w:p>
          <w:p w14:paraId="241479E9" w14:textId="77777777" w:rsidR="00C57194" w:rsidRPr="00AD3FB6" w:rsidRDefault="00C57194">
            <w:pPr>
              <w:pStyle w:val="Tablebody"/>
              <w:rPr>
                <w:rFonts w:cs="Arial"/>
              </w:rPr>
            </w:pPr>
            <w:r w:rsidRPr="00AD3FB6">
              <w:rPr>
                <w:rFonts w:eastAsia="Calibri" w:cs="Arial"/>
              </w:rPr>
              <w:t>Time horizon: lifetime</w:t>
            </w:r>
          </w:p>
        </w:tc>
        <w:tc>
          <w:tcPr>
            <w:tcW w:w="1118" w:type="pct"/>
          </w:tcPr>
          <w:p w14:paraId="409593AF" w14:textId="77777777" w:rsidR="00C57194" w:rsidRPr="00AD3FB6" w:rsidRDefault="00C57194">
            <w:pPr>
              <w:pStyle w:val="Tablebody"/>
              <w:rPr>
                <w:rFonts w:cs="Arial"/>
              </w:rPr>
            </w:pPr>
            <w:r w:rsidRPr="00AD3FB6">
              <w:rPr>
                <w:rFonts w:eastAsia="Calibri" w:cs="Arial"/>
              </w:rPr>
              <w:t>South Korean patients with HER2-negative mBC who have progressed after at least one chemotherapeutic regimen for advanced disease (second-line therapy)</w:t>
            </w:r>
          </w:p>
        </w:tc>
        <w:tc>
          <w:tcPr>
            <w:tcW w:w="725" w:type="pct"/>
          </w:tcPr>
          <w:p w14:paraId="454F6CF7" w14:textId="77777777" w:rsidR="00C57194" w:rsidRPr="00AD3FB6" w:rsidRDefault="00C57194">
            <w:pPr>
              <w:pStyle w:val="Tablebody"/>
              <w:rPr>
                <w:rFonts w:cs="Arial"/>
              </w:rPr>
            </w:pPr>
            <w:r w:rsidRPr="00AD3FB6">
              <w:rPr>
                <w:rFonts w:cs="Arial"/>
              </w:rPr>
              <w:t xml:space="preserve">Eribulin vs. </w:t>
            </w:r>
            <w:r w:rsidRPr="00AD3FB6">
              <w:rPr>
                <w:rFonts w:eastAsia="Calibri" w:cs="Arial"/>
              </w:rPr>
              <w:t>capecitabine and vinorelbine: 0.24</w:t>
            </w:r>
          </w:p>
        </w:tc>
        <w:tc>
          <w:tcPr>
            <w:tcW w:w="767" w:type="pct"/>
          </w:tcPr>
          <w:p w14:paraId="13140D5C" w14:textId="77777777" w:rsidR="00C57194" w:rsidRPr="00AD3FB6" w:rsidRDefault="00C57194">
            <w:pPr>
              <w:pStyle w:val="Tablebody"/>
              <w:rPr>
                <w:rFonts w:cs="Arial"/>
              </w:rPr>
            </w:pPr>
            <w:r w:rsidRPr="00AD3FB6">
              <w:rPr>
                <w:rFonts w:cs="Arial"/>
              </w:rPr>
              <w:t xml:space="preserve">Costs per cycle: </w:t>
            </w:r>
          </w:p>
          <w:p w14:paraId="03513CCC" w14:textId="77777777" w:rsidR="00C57194" w:rsidRPr="00AD3FB6" w:rsidRDefault="00C57194">
            <w:pPr>
              <w:rPr>
                <w:rFonts w:cs="Arial"/>
                <w:sz w:val="20"/>
                <w:szCs w:val="20"/>
              </w:rPr>
            </w:pPr>
            <w:r w:rsidRPr="00AD3FB6">
              <w:rPr>
                <w:rFonts w:cs="Arial"/>
                <w:sz w:val="20"/>
                <w:szCs w:val="20"/>
              </w:rPr>
              <w:t>Eribulin: ₩1,103,807</w:t>
            </w:r>
          </w:p>
          <w:p w14:paraId="3B4ABA67" w14:textId="4E0041A7" w:rsidR="00C57194" w:rsidRPr="0061476F" w:rsidRDefault="00C57194" w:rsidP="0061476F">
            <w:pPr>
              <w:rPr>
                <w:rFonts w:cs="Arial"/>
                <w:sz w:val="20"/>
                <w:szCs w:val="20"/>
              </w:rPr>
            </w:pPr>
            <w:r w:rsidRPr="00AD3FB6">
              <w:rPr>
                <w:rFonts w:cs="Arial"/>
                <w:sz w:val="20"/>
                <w:szCs w:val="20"/>
              </w:rPr>
              <w:t>Capecitabine: ₩267,628 Vinorelbine: ₩494,254</w:t>
            </w:r>
          </w:p>
        </w:tc>
        <w:tc>
          <w:tcPr>
            <w:tcW w:w="766" w:type="pct"/>
          </w:tcPr>
          <w:p w14:paraId="3CDDE2C0" w14:textId="77777777" w:rsidR="00C57194" w:rsidRPr="00AD3FB6" w:rsidRDefault="00C57194">
            <w:pPr>
              <w:pStyle w:val="Tablebody"/>
              <w:rPr>
                <w:rFonts w:cs="Arial"/>
                <w:lang w:val="fr-FR"/>
              </w:rPr>
            </w:pPr>
            <w:r w:rsidRPr="00AD3FB6">
              <w:rPr>
                <w:rFonts w:cs="Arial"/>
              </w:rPr>
              <w:t xml:space="preserve">Eribulin vs. </w:t>
            </w:r>
            <w:r w:rsidRPr="00AD3FB6">
              <w:rPr>
                <w:rFonts w:eastAsia="Calibri" w:cs="Arial"/>
              </w:rPr>
              <w:t>capecitabine and vinorelbine: ₩16,898,483M (approx. $14,800)</w:t>
            </w:r>
          </w:p>
        </w:tc>
      </w:tr>
      <w:tr w:rsidR="00C57194" w:rsidRPr="00E9364A" w14:paraId="69EF1DF9" w14:textId="77777777" w:rsidTr="0061476F">
        <w:tc>
          <w:tcPr>
            <w:tcW w:w="506" w:type="pct"/>
          </w:tcPr>
          <w:p w14:paraId="5EA4CAC2" w14:textId="71F65DA5" w:rsidR="00C57194" w:rsidRPr="00AD3FB6" w:rsidRDefault="00C57194">
            <w:pPr>
              <w:pStyle w:val="Tablebody"/>
              <w:rPr>
                <w:rFonts w:cs="Arial"/>
                <w:lang w:val="da-DK"/>
              </w:rPr>
            </w:pPr>
            <w:r w:rsidRPr="00AD3FB6">
              <w:rPr>
                <w:rFonts w:cs="Arial"/>
                <w:lang w:val="da-DK"/>
              </w:rPr>
              <w:t>U. Majethia et al. 2015</w:t>
            </w:r>
            <w:r w:rsidRPr="00AD3FB6">
              <w:rPr>
                <w:rFonts w:cs="Arial"/>
              </w:rPr>
              <w:fldChar w:fldCharType="begin"/>
            </w:r>
            <w:r w:rsidR="00CA6345">
              <w:rPr>
                <w:rFonts w:cs="Arial"/>
                <w:lang w:val="da-DK"/>
              </w:rPr>
              <w:instrText xml:space="preserve"> ADDIN ZOTERO_ITEM CSL_CITATION {"citationID":"Qn8v2vbR","properties":{"formattedCitation":"\\super 163\\nosupersub{}","plainCitation":"163","noteIndex":0},"citationItems":[{"id":66123,"uris":["http://zotero.org/groups/4797619/items/P75ARV9R"],"itemData":{"id":66123,"type":"article-journal","DOI":"10.1016/j.val.2015.03.1175","issue":"3","journalAbbreviation":"Value in Health","page":"A203","title":"PCN78. Cost Effectiveness Analysis of Eribulin Mesylate as a Treatment for Metastatic Breast Cancer In Spain: Management in the Later Lines of Therapy","volume":"18","author":[{"family":"Majethia","given":"Unnati"},{"family":"Tremblay","given":"Gabriel"},{"family":"Kontoudis","given":"Ilias"},{"family":"De Rosendo","given":"J"}],"issued":{"date-parts":[["2015",5]]}},"locator":"78"}],"schema":"https://github.com/citation-style-language/schema/raw/master/csl-citation.json"} </w:instrText>
            </w:r>
            <w:r w:rsidRPr="00AD3FB6">
              <w:rPr>
                <w:rFonts w:cs="Arial"/>
              </w:rPr>
              <w:fldChar w:fldCharType="separate"/>
            </w:r>
            <w:r w:rsidR="00CA6345" w:rsidRPr="00CA6345">
              <w:rPr>
                <w:rFonts w:cs="Arial"/>
                <w:szCs w:val="24"/>
                <w:vertAlign w:val="superscript"/>
              </w:rPr>
              <w:t>163</w:t>
            </w:r>
            <w:r w:rsidRPr="00AD3FB6">
              <w:rPr>
                <w:rFonts w:cs="Arial"/>
              </w:rPr>
              <w:fldChar w:fldCharType="end"/>
            </w:r>
          </w:p>
        </w:tc>
        <w:tc>
          <w:tcPr>
            <w:tcW w:w="457" w:type="pct"/>
          </w:tcPr>
          <w:p w14:paraId="7303682A" w14:textId="77777777" w:rsidR="00C57194" w:rsidRPr="00AD3FB6" w:rsidRDefault="00C57194">
            <w:pPr>
              <w:pStyle w:val="Tablebody"/>
              <w:rPr>
                <w:rFonts w:cs="Arial"/>
                <w:lang w:val="da-DK"/>
              </w:rPr>
            </w:pPr>
            <w:r w:rsidRPr="00AD3FB6">
              <w:rPr>
                <w:rFonts w:cs="Arial"/>
                <w:lang w:val="da-DK"/>
              </w:rPr>
              <w:t>NR (</w:t>
            </w:r>
            <w:r w:rsidRPr="00AD3FB6">
              <w:rPr>
                <w:rFonts w:eastAsia="Calibri" w:cs="Arial"/>
              </w:rPr>
              <w:t>€)</w:t>
            </w:r>
          </w:p>
        </w:tc>
        <w:tc>
          <w:tcPr>
            <w:tcW w:w="661" w:type="pct"/>
          </w:tcPr>
          <w:p w14:paraId="64BFFE7A" w14:textId="77777777" w:rsidR="00C57194" w:rsidRPr="00AD3FB6" w:rsidRDefault="00C57194">
            <w:pPr>
              <w:pStyle w:val="Tablebody"/>
              <w:rPr>
                <w:rFonts w:eastAsia="Calibri" w:cs="Arial"/>
              </w:rPr>
            </w:pPr>
            <w:r w:rsidRPr="00AD3FB6">
              <w:rPr>
                <w:rFonts w:eastAsia="Calibri" w:cs="Arial"/>
              </w:rPr>
              <w:t>PartSA model</w:t>
            </w:r>
          </w:p>
          <w:p w14:paraId="34928BD4" w14:textId="77777777" w:rsidR="00C57194" w:rsidRPr="00AD3FB6" w:rsidRDefault="00C57194">
            <w:pPr>
              <w:pStyle w:val="Tablebody"/>
              <w:rPr>
                <w:rFonts w:eastAsia="Calibri" w:cs="Arial"/>
              </w:rPr>
            </w:pPr>
            <w:r w:rsidRPr="00AD3FB6">
              <w:rPr>
                <w:rFonts w:eastAsia="Calibri" w:cs="Arial"/>
              </w:rPr>
              <w:t>Cycle length: NR</w:t>
            </w:r>
          </w:p>
          <w:p w14:paraId="750B0101" w14:textId="77777777" w:rsidR="00C57194" w:rsidRPr="00AD3FB6" w:rsidRDefault="00C57194">
            <w:pPr>
              <w:pStyle w:val="Tablebody"/>
              <w:rPr>
                <w:rFonts w:cs="Arial"/>
              </w:rPr>
            </w:pPr>
            <w:r w:rsidRPr="00AD3FB6">
              <w:rPr>
                <w:rFonts w:eastAsia="Calibri" w:cs="Arial"/>
              </w:rPr>
              <w:t>Time horizon: 5 years</w:t>
            </w:r>
          </w:p>
        </w:tc>
        <w:tc>
          <w:tcPr>
            <w:tcW w:w="1118" w:type="pct"/>
          </w:tcPr>
          <w:p w14:paraId="42327E05" w14:textId="77777777" w:rsidR="00C57194" w:rsidRPr="00AD3FB6" w:rsidRDefault="00C57194">
            <w:pPr>
              <w:pStyle w:val="Tablebody"/>
              <w:rPr>
                <w:rFonts w:cs="Arial"/>
              </w:rPr>
            </w:pPr>
            <w:r w:rsidRPr="00AD3FB6">
              <w:rPr>
                <w:rFonts w:eastAsia="Calibri" w:cs="Arial"/>
              </w:rPr>
              <w:t>Spanish patients with HER2-negative mBC who have progressed following one prior chemotherapeutic regimen (second-line therapy)</w:t>
            </w:r>
          </w:p>
        </w:tc>
        <w:tc>
          <w:tcPr>
            <w:tcW w:w="725" w:type="pct"/>
          </w:tcPr>
          <w:p w14:paraId="26196CFF" w14:textId="77777777" w:rsidR="00C57194" w:rsidRPr="00AD3FB6" w:rsidRDefault="00C57194">
            <w:pPr>
              <w:pStyle w:val="Tablebody"/>
              <w:rPr>
                <w:rFonts w:cs="Arial"/>
              </w:rPr>
            </w:pPr>
            <w:r w:rsidRPr="00AD3FB6">
              <w:rPr>
                <w:rFonts w:cs="Arial"/>
              </w:rPr>
              <w:t xml:space="preserve">Eribulin vs. </w:t>
            </w:r>
            <w:r w:rsidRPr="00AD3FB6">
              <w:rPr>
                <w:rFonts w:eastAsia="Calibri" w:cs="Arial"/>
              </w:rPr>
              <w:t>capecitabine</w:t>
            </w:r>
            <w:r w:rsidRPr="00AD3FB6">
              <w:rPr>
                <w:rFonts w:cs="Arial"/>
              </w:rPr>
              <w:t xml:space="preserve">: </w:t>
            </w:r>
            <w:r w:rsidRPr="00AD3FB6">
              <w:rPr>
                <w:rFonts w:eastAsia="Calibri" w:cs="Arial"/>
              </w:rPr>
              <w:t>0.23</w:t>
            </w:r>
          </w:p>
        </w:tc>
        <w:tc>
          <w:tcPr>
            <w:tcW w:w="767" w:type="pct"/>
          </w:tcPr>
          <w:p w14:paraId="38772AAF" w14:textId="77777777" w:rsidR="00C57194" w:rsidRPr="00AD3FB6" w:rsidRDefault="00C57194">
            <w:pPr>
              <w:pStyle w:val="Tablebody"/>
              <w:rPr>
                <w:rFonts w:cs="Arial"/>
              </w:rPr>
            </w:pPr>
            <w:r w:rsidRPr="00AD3FB6">
              <w:rPr>
                <w:rFonts w:cs="Arial"/>
              </w:rPr>
              <w:t xml:space="preserve">Eribulin: </w:t>
            </w:r>
            <w:r w:rsidRPr="00AD3FB6">
              <w:rPr>
                <w:rFonts w:eastAsia="Calibri" w:cs="Arial"/>
              </w:rPr>
              <w:t>€320 per vial</w:t>
            </w:r>
          </w:p>
        </w:tc>
        <w:tc>
          <w:tcPr>
            <w:tcW w:w="766" w:type="pct"/>
          </w:tcPr>
          <w:p w14:paraId="4EAD5051" w14:textId="77777777" w:rsidR="00C57194" w:rsidRPr="00AD3FB6" w:rsidRDefault="00C57194">
            <w:pPr>
              <w:pStyle w:val="Tablebody"/>
              <w:rPr>
                <w:rFonts w:cs="Arial"/>
              </w:rPr>
            </w:pPr>
            <w:r w:rsidRPr="00AD3FB6">
              <w:rPr>
                <w:rFonts w:cs="Arial"/>
              </w:rPr>
              <w:t xml:space="preserve">Eribulin vs. </w:t>
            </w:r>
            <w:r w:rsidRPr="00AD3FB6">
              <w:rPr>
                <w:rFonts w:eastAsia="Calibri" w:cs="Arial"/>
              </w:rPr>
              <w:t>capecitabine</w:t>
            </w:r>
            <w:r w:rsidRPr="00AD3FB6">
              <w:rPr>
                <w:rFonts w:cs="Arial"/>
              </w:rPr>
              <w:t xml:space="preserve">: </w:t>
            </w:r>
            <w:r w:rsidRPr="00AD3FB6">
              <w:rPr>
                <w:rFonts w:eastAsia="Calibri" w:cs="Arial"/>
              </w:rPr>
              <w:t>€36,951</w:t>
            </w:r>
          </w:p>
        </w:tc>
      </w:tr>
    </w:tbl>
    <w:p w14:paraId="155DBE8A" w14:textId="13AA834A" w:rsidR="00C57194" w:rsidRPr="00AD3FB6" w:rsidRDefault="00C57194" w:rsidP="00C57194">
      <w:pPr>
        <w:pStyle w:val="Footnotes"/>
        <w:spacing w:after="0"/>
        <w:rPr>
          <w:lang w:val="en-US"/>
        </w:rPr>
      </w:pPr>
      <w:r w:rsidRPr="00AD3FB6">
        <w:t xml:space="preserve">Abbreviations: ICER, incremental cost-effectiveness ratio; mBC, metastatic breast cancer; NR, not reported; PartSA, partitioned survival analysis; </w:t>
      </w:r>
      <w:r w:rsidRPr="00AD3FB6">
        <w:rPr>
          <w:lang w:val="en-US"/>
        </w:rPr>
        <w:t>QALY, quality-adjusted life-years; ₩, South-Korean Won.</w:t>
      </w:r>
    </w:p>
    <w:p w14:paraId="45A987A9" w14:textId="6690503E" w:rsidR="00DF51FE" w:rsidRDefault="00C57194" w:rsidP="00C57194">
      <w:pPr>
        <w:pStyle w:val="Body"/>
        <w:rPr>
          <w:rStyle w:val="CommentReference"/>
        </w:rPr>
      </w:pPr>
      <w:r w:rsidRPr="00BC4682">
        <w:rPr>
          <w:sz w:val="18"/>
          <w:szCs w:val="18"/>
        </w:rPr>
        <w:t>Source: Daiichi Sankyo Inc., 2022 (Economic SLR report; Data on File)</w:t>
      </w:r>
      <w:r w:rsidRPr="00AD3FB6">
        <w:rPr>
          <w:sz w:val="18"/>
          <w:szCs w:val="18"/>
          <w:lang w:val="en-US"/>
        </w:rPr>
        <w:fldChar w:fldCharType="begin"/>
      </w:r>
      <w:r w:rsidR="00CA6345">
        <w:rPr>
          <w:sz w:val="18"/>
          <w:szCs w:val="18"/>
          <w:lang w:val="en-US"/>
        </w:rPr>
        <w:instrText xml:space="preserve"> ADDIN ZOTERO_ITEM CSL_CITATION {"citationID":"BRB1gRZE","properties":{"formattedCitation":"\\super 161\\nosupersub{}","plainCitation":"161","noteIndex":0},"citationItems":[{"id":66136,"uris":["http://zotero.org/groups/4797619/items/X5E9JXLW"],"itemData":{"id":66136,"type":"document","title":"Economic Systematic Literature Review Report for DS-8201a on the Treatment of HER2-low Metastatic and/or Unresectable Breast Cancer. Data on File.","author":[{"family":"Daiichi Sankyo Inc.","given":""}],"issued":{"date-parts":[["2022"]]}}}],"schema":"https://github.com/citation-style-language/schema/raw/master/csl-citation.json"} </w:instrText>
      </w:r>
      <w:r w:rsidRPr="00AD3FB6">
        <w:rPr>
          <w:sz w:val="18"/>
          <w:szCs w:val="18"/>
          <w:lang w:val="en-US"/>
        </w:rPr>
        <w:fldChar w:fldCharType="separate"/>
      </w:r>
      <w:r w:rsidR="00CA6345" w:rsidRPr="00CA6345">
        <w:rPr>
          <w:rFonts w:cs="Arial"/>
          <w:sz w:val="18"/>
          <w:szCs w:val="24"/>
          <w:vertAlign w:val="superscript"/>
        </w:rPr>
        <w:t>161</w:t>
      </w:r>
      <w:r w:rsidRPr="00AD3FB6">
        <w:rPr>
          <w:sz w:val="18"/>
          <w:szCs w:val="18"/>
          <w:lang w:val="en-US"/>
        </w:rPr>
        <w:fldChar w:fldCharType="end"/>
      </w:r>
    </w:p>
    <w:p w14:paraId="503BD102" w14:textId="0B258AF8" w:rsidR="00E71248" w:rsidRDefault="00E71248" w:rsidP="003C648C">
      <w:pPr>
        <w:pStyle w:val="Caption"/>
      </w:pPr>
      <w:bookmarkStart w:id="395" w:name="_Ref128485846"/>
      <w:bookmarkStart w:id="396" w:name="_Ref128485827"/>
      <w:bookmarkStart w:id="397" w:name="_Toc129351007"/>
      <w:r>
        <w:t xml:space="preserve">Table </w:t>
      </w:r>
      <w:fldSimple w:instr=" SEQ Table \* ARABIC ">
        <w:r w:rsidR="00145F42">
          <w:rPr>
            <w:noProof/>
          </w:rPr>
          <w:t>32</w:t>
        </w:r>
      </w:fldSimple>
      <w:bookmarkEnd w:id="395"/>
      <w:r>
        <w:t xml:space="preserve">: </w:t>
      </w:r>
      <w:r w:rsidRPr="00D84EEA">
        <w:t xml:space="preserve">Summary list of </w:t>
      </w:r>
      <w:r w:rsidR="007B1436">
        <w:t>published cost-effectiveness evaluations</w:t>
      </w:r>
      <w:r w:rsidR="00DA6A8D">
        <w:t xml:space="preserve"> from relevant NICE TAs</w:t>
      </w:r>
      <w:r w:rsidRPr="00D84EEA">
        <w:t xml:space="preserve"> (</w:t>
      </w:r>
      <w:r>
        <w:t>hand search</w:t>
      </w:r>
      <w:r w:rsidR="00B25681">
        <w:t xml:space="preserve"> update</w:t>
      </w:r>
      <w:r w:rsidRPr="00D84EEA">
        <w:t xml:space="preserve">; </w:t>
      </w:r>
      <w:r w:rsidRPr="004A32E1">
        <w:rPr>
          <w:rStyle w:val="ui-provider"/>
        </w:rPr>
        <w:t>13 Feb</w:t>
      </w:r>
      <w:r>
        <w:rPr>
          <w:rStyle w:val="ui-provider"/>
        </w:rPr>
        <w:t>ruary</w:t>
      </w:r>
      <w:r w:rsidRPr="004A32E1">
        <w:rPr>
          <w:rStyle w:val="ui-provider"/>
        </w:rPr>
        <w:t xml:space="preserve"> 2023</w:t>
      </w:r>
      <w:r w:rsidRPr="00D84EEA">
        <w:t>)</w:t>
      </w:r>
      <w:bookmarkEnd w:id="396"/>
      <w:bookmarkEnd w:id="397"/>
    </w:p>
    <w:tbl>
      <w:tblPr>
        <w:tblStyle w:val="Generaltable"/>
        <w:tblW w:w="5000" w:type="pct"/>
        <w:tblCellMar>
          <w:left w:w="57" w:type="dxa"/>
          <w:right w:w="57" w:type="dxa"/>
        </w:tblCellMar>
        <w:tblLook w:val="04A0" w:firstRow="1" w:lastRow="0" w:firstColumn="1" w:lastColumn="0" w:noHBand="0" w:noVBand="1"/>
      </w:tblPr>
      <w:tblGrid>
        <w:gridCol w:w="1412"/>
        <w:gridCol w:w="1278"/>
        <w:gridCol w:w="1841"/>
        <w:gridCol w:w="3002"/>
        <w:gridCol w:w="2140"/>
        <w:gridCol w:w="2140"/>
        <w:gridCol w:w="2137"/>
      </w:tblGrid>
      <w:tr w:rsidR="00B25681" w:rsidRPr="00E9364A" w14:paraId="239DFD5A" w14:textId="77777777" w:rsidTr="00B25681">
        <w:trPr>
          <w:cnfStyle w:val="100000000000" w:firstRow="1" w:lastRow="0" w:firstColumn="0" w:lastColumn="0" w:oddVBand="0" w:evenVBand="0" w:oddHBand="0" w:evenHBand="0" w:firstRowFirstColumn="0" w:firstRowLastColumn="0" w:lastRowFirstColumn="0" w:lastRowLastColumn="0"/>
          <w:tblHeader/>
        </w:trPr>
        <w:tc>
          <w:tcPr>
            <w:tcW w:w="506" w:type="pct"/>
          </w:tcPr>
          <w:p w14:paraId="66928415" w14:textId="77777777" w:rsidR="00E71248" w:rsidRPr="00E9364A" w:rsidRDefault="00E71248">
            <w:pPr>
              <w:pStyle w:val="Tableheading"/>
            </w:pPr>
            <w:r w:rsidRPr="00E9364A">
              <w:t>Study</w:t>
            </w:r>
          </w:p>
        </w:tc>
        <w:tc>
          <w:tcPr>
            <w:tcW w:w="458" w:type="pct"/>
          </w:tcPr>
          <w:p w14:paraId="1DE1F545" w14:textId="77777777" w:rsidR="00E71248" w:rsidRPr="00E9364A" w:rsidRDefault="00E71248">
            <w:pPr>
              <w:pStyle w:val="Tableheading"/>
            </w:pPr>
            <w:r w:rsidRPr="00E9364A">
              <w:t xml:space="preserve">Cost year (currency) </w:t>
            </w:r>
          </w:p>
        </w:tc>
        <w:tc>
          <w:tcPr>
            <w:tcW w:w="660" w:type="pct"/>
          </w:tcPr>
          <w:p w14:paraId="008B112A" w14:textId="77777777" w:rsidR="00E71248" w:rsidRPr="00E9364A" w:rsidRDefault="00E71248">
            <w:pPr>
              <w:pStyle w:val="Tableheading"/>
            </w:pPr>
            <w:r w:rsidRPr="00E9364A">
              <w:t>Summary of model</w:t>
            </w:r>
          </w:p>
        </w:tc>
        <w:tc>
          <w:tcPr>
            <w:tcW w:w="1076" w:type="pct"/>
          </w:tcPr>
          <w:p w14:paraId="721E3B77" w14:textId="77777777" w:rsidR="00E71248" w:rsidRPr="00E9364A" w:rsidRDefault="00E71248">
            <w:pPr>
              <w:pStyle w:val="Tableheading"/>
            </w:pPr>
            <w:r w:rsidRPr="00E9364A">
              <w:t>Patient population (average age in years)</w:t>
            </w:r>
          </w:p>
        </w:tc>
        <w:tc>
          <w:tcPr>
            <w:tcW w:w="767" w:type="pct"/>
          </w:tcPr>
          <w:p w14:paraId="0CDC41D1" w14:textId="77777777" w:rsidR="00E71248" w:rsidRPr="00E9364A" w:rsidRDefault="00E71248">
            <w:pPr>
              <w:pStyle w:val="Tableheading"/>
            </w:pPr>
            <w:r w:rsidRPr="00E9364A">
              <w:t>QALYs (intervention, comparator)</w:t>
            </w:r>
          </w:p>
        </w:tc>
        <w:tc>
          <w:tcPr>
            <w:tcW w:w="767" w:type="pct"/>
          </w:tcPr>
          <w:p w14:paraId="78D5980F" w14:textId="77777777" w:rsidR="00E71248" w:rsidRPr="00E9364A" w:rsidRDefault="00E71248">
            <w:pPr>
              <w:pStyle w:val="Tableheading"/>
            </w:pPr>
            <w:r w:rsidRPr="00E9364A">
              <w:t>Costs (intervention, comparator)</w:t>
            </w:r>
          </w:p>
        </w:tc>
        <w:tc>
          <w:tcPr>
            <w:tcW w:w="766" w:type="pct"/>
          </w:tcPr>
          <w:p w14:paraId="35376CF0" w14:textId="77777777" w:rsidR="00E71248" w:rsidRPr="00E9364A" w:rsidRDefault="00E71248">
            <w:pPr>
              <w:pStyle w:val="Tableheading"/>
            </w:pPr>
            <w:r w:rsidRPr="00E9364A">
              <w:t>ICER (per QALY gained)</w:t>
            </w:r>
          </w:p>
        </w:tc>
      </w:tr>
      <w:tr w:rsidR="00E91470" w:rsidRPr="00E9364A" w14:paraId="6D4BDBAC" w14:textId="77777777" w:rsidTr="00B25681">
        <w:tc>
          <w:tcPr>
            <w:tcW w:w="506" w:type="pct"/>
          </w:tcPr>
          <w:p w14:paraId="00FBA3A2" w14:textId="50DB2F41" w:rsidR="00E91470" w:rsidRPr="00AD3FB6" w:rsidRDefault="00E91470" w:rsidP="00E91470">
            <w:pPr>
              <w:pStyle w:val="Tablebody"/>
              <w:rPr>
                <w:rFonts w:cs="Arial"/>
                <w:lang w:val="da-DK"/>
              </w:rPr>
            </w:pPr>
            <w:r w:rsidRPr="00274C0C">
              <w:t>NICE TA819</w:t>
            </w:r>
            <w:r w:rsidRPr="00274C0C">
              <w:rPr>
                <w:vertAlign w:val="superscript"/>
              </w:rPr>
              <w:fldChar w:fldCharType="begin"/>
            </w:r>
            <w:r w:rsidR="00CA6345">
              <w:rPr>
                <w:vertAlign w:val="superscript"/>
              </w:rPr>
              <w:instrText xml:space="preserve"> ADDIN ZOTERO_ITEM CSL_CITATION {"citationID":"65fF3hWx","properties":{"formattedCitation":"\\super 132\\nosupersub{}","plainCitation":"132","noteIndex":0},"citationItems":[{"id":65875,"uris":["http://zotero.org/groups/4797619/items/IP9MEGL9"],"itemData":{"id":65875,"type":"webpage","abstract":"Evidence-based recommendations on sacituzumab govetican (Trodelvy) for treating unresectable, triple-negative locally advanced or metastatic breast cancer in adults after 2 or more systemic therapies, at least 1 of which was for advanced disease","language":"eng","note":"publisher: NICE","title":"Sacituzumab govitecan for treating unresectable triple-negative advanced breast cancer after 2 or more therapies | NICE [TA819]","URL":"https://www.nice.org.uk/guidance/ta819","author":[{"family":"NICE","given":""}],"accessed":{"date-parts":[["2022",10,17]]}}}],"schema":"https://github.com/citation-style-language/schema/raw/master/csl-citation.json"} </w:instrText>
            </w:r>
            <w:r w:rsidRPr="00274C0C">
              <w:rPr>
                <w:vertAlign w:val="superscript"/>
              </w:rPr>
              <w:fldChar w:fldCharType="separate"/>
            </w:r>
            <w:r w:rsidR="00CA6345" w:rsidRPr="00CA6345">
              <w:rPr>
                <w:rFonts w:cs="Arial"/>
                <w:szCs w:val="24"/>
                <w:vertAlign w:val="superscript"/>
              </w:rPr>
              <w:t>132</w:t>
            </w:r>
            <w:r w:rsidRPr="00274C0C">
              <w:rPr>
                <w:vertAlign w:val="superscript"/>
              </w:rPr>
              <w:fldChar w:fldCharType="end"/>
            </w:r>
          </w:p>
        </w:tc>
        <w:tc>
          <w:tcPr>
            <w:tcW w:w="458" w:type="pct"/>
          </w:tcPr>
          <w:p w14:paraId="50C13CDE" w14:textId="67D525AE" w:rsidR="00E91470" w:rsidRPr="00AD3FB6" w:rsidRDefault="00E91470" w:rsidP="00E91470">
            <w:pPr>
              <w:pStyle w:val="Tablebody"/>
              <w:rPr>
                <w:rFonts w:cs="Arial"/>
                <w:lang w:val="da-DK"/>
              </w:rPr>
            </w:pPr>
            <w:r>
              <w:rPr>
                <w:rFonts w:cs="Arial"/>
                <w:lang w:val="da-DK"/>
              </w:rPr>
              <w:t>2022 (£)</w:t>
            </w:r>
          </w:p>
        </w:tc>
        <w:tc>
          <w:tcPr>
            <w:tcW w:w="660" w:type="pct"/>
          </w:tcPr>
          <w:p w14:paraId="13D91F0D" w14:textId="77777777" w:rsidR="00E91470" w:rsidRDefault="00E91470" w:rsidP="00E91470">
            <w:pPr>
              <w:pStyle w:val="Tablebody"/>
              <w:rPr>
                <w:rFonts w:cs="Arial"/>
              </w:rPr>
            </w:pPr>
            <w:r>
              <w:rPr>
                <w:rFonts w:cs="Arial"/>
              </w:rPr>
              <w:t>PartSA model</w:t>
            </w:r>
          </w:p>
          <w:p w14:paraId="3AF7988C" w14:textId="77777777" w:rsidR="00E91470" w:rsidRDefault="00E91470" w:rsidP="00E91470">
            <w:pPr>
              <w:pStyle w:val="Tablebody"/>
              <w:rPr>
                <w:rFonts w:cs="Arial"/>
              </w:rPr>
            </w:pPr>
            <w:r>
              <w:rPr>
                <w:rFonts w:cs="Arial"/>
              </w:rPr>
              <w:t>Cycle length: 1 week</w:t>
            </w:r>
          </w:p>
          <w:p w14:paraId="6E58DDAD" w14:textId="4C9017C9" w:rsidR="00E91470" w:rsidRPr="00AD3FB6" w:rsidRDefault="00E91470" w:rsidP="00E91470">
            <w:pPr>
              <w:pStyle w:val="Tablebody"/>
              <w:rPr>
                <w:rFonts w:cs="Arial"/>
              </w:rPr>
            </w:pPr>
            <w:r>
              <w:rPr>
                <w:rFonts w:cs="Arial"/>
              </w:rPr>
              <w:t>Time horizon: 10 years</w:t>
            </w:r>
          </w:p>
        </w:tc>
        <w:tc>
          <w:tcPr>
            <w:tcW w:w="1076" w:type="pct"/>
          </w:tcPr>
          <w:p w14:paraId="623D385F" w14:textId="5B345D61" w:rsidR="00E91470" w:rsidRPr="00AD3FB6" w:rsidRDefault="00E91470" w:rsidP="00E91470">
            <w:pPr>
              <w:pStyle w:val="Tablebody"/>
              <w:rPr>
                <w:rFonts w:cs="Arial"/>
              </w:rPr>
            </w:pPr>
            <w:r>
              <w:rPr>
                <w:rFonts w:cs="Arial"/>
              </w:rPr>
              <w:t xml:space="preserve">Patients aged </w:t>
            </w:r>
            <w:r w:rsidRPr="00422BB7">
              <w:rPr>
                <w:rFonts w:cs="Arial"/>
              </w:rPr>
              <w:t xml:space="preserve">≥18 years </w:t>
            </w:r>
            <w:r>
              <w:rPr>
                <w:rFonts w:cs="Arial"/>
              </w:rPr>
              <w:t>with unresectable locally advanced or mTNBC</w:t>
            </w:r>
            <w:r w:rsidRPr="00422BB7">
              <w:rPr>
                <w:rFonts w:cs="Arial"/>
              </w:rPr>
              <w:t xml:space="preserve"> who have received ≥2 prior systemic therapies, including ≥1 prior therapy for locally advanced or metastatic </w:t>
            </w:r>
            <w:r>
              <w:rPr>
                <w:rFonts w:cs="Arial"/>
              </w:rPr>
              <w:t>disease</w:t>
            </w:r>
          </w:p>
        </w:tc>
        <w:tc>
          <w:tcPr>
            <w:tcW w:w="767" w:type="pct"/>
          </w:tcPr>
          <w:p w14:paraId="61A87E89" w14:textId="5E028DA7" w:rsidR="00E91470" w:rsidRPr="00AD3FB6" w:rsidRDefault="00E91470" w:rsidP="00E91470">
            <w:pPr>
              <w:pStyle w:val="Tablebody"/>
              <w:rPr>
                <w:rFonts w:cs="Arial"/>
              </w:rPr>
            </w:pPr>
            <w:r>
              <w:rPr>
                <w:rFonts w:cs="Arial"/>
                <w:bCs/>
              </w:rPr>
              <w:t>NR (</w:t>
            </w:r>
            <w:r w:rsidR="00460D9C">
              <w:rPr>
                <w:rFonts w:cs="Arial"/>
              </w:rPr>
              <w:t>information is redacted</w:t>
            </w:r>
            <w:r>
              <w:rPr>
                <w:rFonts w:cs="Arial"/>
                <w:bCs/>
              </w:rPr>
              <w:t>)</w:t>
            </w:r>
          </w:p>
        </w:tc>
        <w:tc>
          <w:tcPr>
            <w:tcW w:w="767" w:type="pct"/>
          </w:tcPr>
          <w:p w14:paraId="1F3253E1" w14:textId="6DB62F37" w:rsidR="00E91470" w:rsidRPr="00AD3FB6" w:rsidRDefault="00E91470" w:rsidP="00E91470">
            <w:pPr>
              <w:pStyle w:val="Tablebody"/>
              <w:rPr>
                <w:rFonts w:cs="Arial"/>
              </w:rPr>
            </w:pPr>
            <w:r>
              <w:rPr>
                <w:rFonts w:cs="Arial"/>
                <w:bCs/>
              </w:rPr>
              <w:t>NR (</w:t>
            </w:r>
            <w:r w:rsidR="00460D9C">
              <w:rPr>
                <w:rFonts w:cs="Arial"/>
              </w:rPr>
              <w:t>information is redacted</w:t>
            </w:r>
            <w:r>
              <w:rPr>
                <w:rFonts w:cs="Arial"/>
                <w:bCs/>
              </w:rPr>
              <w:t>)</w:t>
            </w:r>
          </w:p>
        </w:tc>
        <w:tc>
          <w:tcPr>
            <w:tcW w:w="766" w:type="pct"/>
          </w:tcPr>
          <w:p w14:paraId="567E3DEB" w14:textId="77777777" w:rsidR="00460D9C" w:rsidRDefault="00E91470" w:rsidP="00E91470">
            <w:pPr>
              <w:pStyle w:val="Tablebody"/>
              <w:rPr>
                <w:rFonts w:cs="Arial"/>
              </w:rPr>
            </w:pPr>
            <w:r w:rsidRPr="00422BB7">
              <w:rPr>
                <w:rFonts w:cs="Arial"/>
              </w:rPr>
              <w:t>Base case ICER (</w:t>
            </w:r>
            <w:r>
              <w:rPr>
                <w:rFonts w:cs="Arial"/>
              </w:rPr>
              <w:t>including</w:t>
            </w:r>
            <w:r w:rsidRPr="00422BB7">
              <w:rPr>
                <w:rFonts w:cs="Arial"/>
              </w:rPr>
              <w:t xml:space="preserve"> confidential </w:t>
            </w:r>
            <w:r>
              <w:rPr>
                <w:rFonts w:cs="Arial"/>
              </w:rPr>
              <w:t>PAS</w:t>
            </w:r>
            <w:r w:rsidRPr="00422BB7">
              <w:rPr>
                <w:rFonts w:cs="Arial"/>
              </w:rPr>
              <w:t xml:space="preserve"> discount for SG and the list price for comparators and subsequent treatments): </w:t>
            </w:r>
          </w:p>
          <w:p w14:paraId="68C8AA1D" w14:textId="40E619F2" w:rsidR="00E91470" w:rsidRPr="00AD3FB6" w:rsidRDefault="00E91470" w:rsidP="00E91470">
            <w:pPr>
              <w:pStyle w:val="Tablebody"/>
              <w:rPr>
                <w:rFonts w:cs="Arial"/>
                <w:lang w:val="fr-FR"/>
              </w:rPr>
            </w:pPr>
            <w:r w:rsidRPr="00422BB7">
              <w:rPr>
                <w:rFonts w:cs="Arial"/>
              </w:rPr>
              <w:t xml:space="preserve">SG </w:t>
            </w:r>
            <w:r>
              <w:rPr>
                <w:rFonts w:cs="Arial"/>
              </w:rPr>
              <w:t>vs.</w:t>
            </w:r>
            <w:r w:rsidRPr="00422BB7">
              <w:rPr>
                <w:rFonts w:cs="Arial"/>
              </w:rPr>
              <w:t xml:space="preserve"> TPC</w:t>
            </w:r>
            <w:r>
              <w:rPr>
                <w:rFonts w:cs="Arial"/>
              </w:rPr>
              <w:t>:</w:t>
            </w:r>
            <w:r w:rsidRPr="00422BB7">
              <w:rPr>
                <w:rFonts w:cs="Arial"/>
              </w:rPr>
              <w:t xml:space="preserve"> £47,170</w:t>
            </w:r>
          </w:p>
        </w:tc>
      </w:tr>
      <w:tr w:rsidR="00E91470" w:rsidRPr="001D716B" w14:paraId="4A54494C" w14:textId="77777777" w:rsidTr="00B25681">
        <w:tc>
          <w:tcPr>
            <w:tcW w:w="506" w:type="pct"/>
          </w:tcPr>
          <w:p w14:paraId="4308E82E" w14:textId="02FD1511" w:rsidR="00E91470" w:rsidRPr="00AD3FB6" w:rsidRDefault="00E91470" w:rsidP="00E91470">
            <w:pPr>
              <w:pStyle w:val="Tablebody"/>
              <w:rPr>
                <w:rFonts w:cs="Arial"/>
                <w:lang w:val="da-DK"/>
              </w:rPr>
            </w:pPr>
            <w:r w:rsidRPr="00274C0C">
              <w:t>NICE TA423</w:t>
            </w:r>
            <w:r w:rsidRPr="00274C0C">
              <w:rPr>
                <w:vertAlign w:val="superscript"/>
              </w:rPr>
              <w:fldChar w:fldCharType="begin"/>
            </w:r>
            <w:r w:rsidR="00CA6345">
              <w:rPr>
                <w:vertAlign w:val="superscript"/>
              </w:rPr>
              <w:instrText xml:space="preserve"> ADDIN ZOTERO_ITEM CSL_CITATION {"citationID":"PZq6Uryd","properties":{"formattedCitation":"\\super 131\\nosupersub{}","plainCitation":"131","noteIndex":0},"citationItems":[{"id":65884,"uris":["http://zotero.org/groups/4797619/items/GKXW7XYV"],"itemData":{"id":65884,"type":"webpage","abstract":"Evidence-based recommendations on eribulin (Halaven) for treating locally advanced or metastatic breast cancer after 2 or more types of chemotherapy","language":"eng","note":"publisher: NICE","title":"Eribulin for treating locally advanced or metastatic breast cancer after 2 or more chemotherapy regimens | NICE [TA423]","URL":"https://www.nice.org.uk/guidance/ta423","author":[{"family":"NICE","given":""}],"accessed":{"date-parts":[["2022",10,17]]}}}],"schema":"https://github.com/citation-style-language/schema/raw/master/csl-citation.json"} </w:instrText>
            </w:r>
            <w:r w:rsidRPr="00274C0C">
              <w:rPr>
                <w:vertAlign w:val="superscript"/>
              </w:rPr>
              <w:fldChar w:fldCharType="separate"/>
            </w:r>
            <w:r w:rsidR="00CA6345" w:rsidRPr="00CA6345">
              <w:rPr>
                <w:rFonts w:cs="Arial"/>
                <w:szCs w:val="24"/>
                <w:vertAlign w:val="superscript"/>
              </w:rPr>
              <w:t>131</w:t>
            </w:r>
            <w:r w:rsidRPr="00274C0C">
              <w:rPr>
                <w:vertAlign w:val="superscript"/>
              </w:rPr>
              <w:fldChar w:fldCharType="end"/>
            </w:r>
          </w:p>
        </w:tc>
        <w:tc>
          <w:tcPr>
            <w:tcW w:w="458" w:type="pct"/>
          </w:tcPr>
          <w:p w14:paraId="47BFFF5B" w14:textId="666AB144" w:rsidR="00E91470" w:rsidRPr="00AD3FB6" w:rsidRDefault="00E91470" w:rsidP="00E91470">
            <w:pPr>
              <w:pStyle w:val="Tablebody"/>
              <w:rPr>
                <w:rFonts w:cs="Arial"/>
                <w:lang w:val="da-DK"/>
              </w:rPr>
            </w:pPr>
            <w:r w:rsidRPr="005A3BC3">
              <w:rPr>
                <w:rFonts w:cs="Arial"/>
              </w:rPr>
              <w:t>2016</w:t>
            </w:r>
            <w:r>
              <w:rPr>
                <w:rFonts w:cs="Arial"/>
                <w:lang w:val="da-DK"/>
              </w:rPr>
              <w:t xml:space="preserve"> (£)</w:t>
            </w:r>
          </w:p>
        </w:tc>
        <w:tc>
          <w:tcPr>
            <w:tcW w:w="660" w:type="pct"/>
          </w:tcPr>
          <w:p w14:paraId="07B1818C" w14:textId="77777777" w:rsidR="00E91470" w:rsidRPr="00AD3FB6" w:rsidRDefault="00E91470" w:rsidP="00E91470">
            <w:pPr>
              <w:pStyle w:val="Tablebody"/>
              <w:rPr>
                <w:rFonts w:eastAsia="Calibri" w:cs="Arial"/>
              </w:rPr>
            </w:pPr>
            <w:r w:rsidRPr="00AD3FB6">
              <w:rPr>
                <w:rFonts w:eastAsia="Calibri" w:cs="Arial"/>
              </w:rPr>
              <w:t>PartSA model</w:t>
            </w:r>
          </w:p>
          <w:p w14:paraId="3FC38BC9" w14:textId="737EB008" w:rsidR="00E91470" w:rsidRPr="00AD3FB6" w:rsidRDefault="00E91470" w:rsidP="00E91470">
            <w:pPr>
              <w:pStyle w:val="Tablebody"/>
              <w:rPr>
                <w:rFonts w:eastAsia="Calibri" w:cs="Arial"/>
              </w:rPr>
            </w:pPr>
            <w:r w:rsidRPr="00AD3FB6">
              <w:rPr>
                <w:rFonts w:eastAsia="Calibri" w:cs="Arial"/>
              </w:rPr>
              <w:t xml:space="preserve">Cycle length: </w:t>
            </w:r>
            <w:r>
              <w:rPr>
                <w:rFonts w:eastAsia="Calibri" w:cs="Arial"/>
              </w:rPr>
              <w:t>1 month</w:t>
            </w:r>
          </w:p>
          <w:p w14:paraId="07A470E4" w14:textId="4BD67323" w:rsidR="00E91470" w:rsidRPr="00AD3FB6" w:rsidRDefault="00E91470" w:rsidP="00E91470">
            <w:pPr>
              <w:pStyle w:val="Tablebody"/>
              <w:rPr>
                <w:rFonts w:cs="Arial"/>
              </w:rPr>
            </w:pPr>
            <w:r w:rsidRPr="00AD3FB6">
              <w:rPr>
                <w:rFonts w:eastAsia="Calibri" w:cs="Arial"/>
              </w:rPr>
              <w:t>Time horizon: 5 years</w:t>
            </w:r>
          </w:p>
        </w:tc>
        <w:tc>
          <w:tcPr>
            <w:tcW w:w="1076" w:type="pct"/>
          </w:tcPr>
          <w:p w14:paraId="75B65767" w14:textId="6F5A7287" w:rsidR="00E91470" w:rsidRDefault="00E91470" w:rsidP="00E91470">
            <w:pPr>
              <w:pStyle w:val="Tablebody"/>
              <w:rPr>
                <w:rFonts w:cs="Arial"/>
              </w:rPr>
            </w:pPr>
            <w:r>
              <w:rPr>
                <w:rFonts w:cs="Arial"/>
              </w:rPr>
              <w:t xml:space="preserve">Subgroup 1: </w:t>
            </w:r>
            <w:r w:rsidRPr="00F9533C">
              <w:rPr>
                <w:rFonts w:cs="Arial"/>
              </w:rPr>
              <w:t>HER2-negative patients with LABC/</w:t>
            </w:r>
            <w:r>
              <w:rPr>
                <w:rFonts w:cs="Arial"/>
              </w:rPr>
              <w:t>m</w:t>
            </w:r>
            <w:r w:rsidRPr="00F9533C">
              <w:rPr>
                <w:rFonts w:cs="Arial"/>
              </w:rPr>
              <w:t xml:space="preserve">BC, whose disease has progressed after </w:t>
            </w:r>
            <w:r>
              <w:rPr>
                <w:rFonts w:cs="Arial"/>
              </w:rPr>
              <w:t>one</w:t>
            </w:r>
            <w:r w:rsidRPr="00F9533C">
              <w:rPr>
                <w:rFonts w:cs="Arial"/>
              </w:rPr>
              <w:t xml:space="preserve"> prior chemotherapy regimen</w:t>
            </w:r>
          </w:p>
          <w:p w14:paraId="4A8B9F63" w14:textId="49AE1BB0" w:rsidR="00E91470" w:rsidRPr="00AD3FB6" w:rsidRDefault="00E91470" w:rsidP="00E91470">
            <w:pPr>
              <w:pStyle w:val="Tablebody"/>
              <w:rPr>
                <w:rFonts w:cs="Arial"/>
              </w:rPr>
            </w:pPr>
            <w:r>
              <w:rPr>
                <w:rFonts w:cs="Arial"/>
              </w:rPr>
              <w:lastRenderedPageBreak/>
              <w:t xml:space="preserve">Subgroup 2: </w:t>
            </w:r>
            <w:r w:rsidRPr="00F9533C">
              <w:rPr>
                <w:rFonts w:cs="Arial"/>
              </w:rPr>
              <w:t>Patients with LABC/</w:t>
            </w:r>
            <w:r>
              <w:rPr>
                <w:rFonts w:cs="Arial"/>
              </w:rPr>
              <w:t>m</w:t>
            </w:r>
            <w:r w:rsidRPr="00F9533C">
              <w:rPr>
                <w:rFonts w:cs="Arial"/>
              </w:rPr>
              <w:t xml:space="preserve">BC whose disease has progressed after at least </w:t>
            </w:r>
            <w:r>
              <w:rPr>
                <w:rFonts w:cs="Arial"/>
              </w:rPr>
              <w:t>two</w:t>
            </w:r>
            <w:r w:rsidRPr="00F9533C">
              <w:rPr>
                <w:rFonts w:cs="Arial"/>
              </w:rPr>
              <w:t xml:space="preserve"> prior chemotherapeutic regimens for advanced disease which includes capecitabine</w:t>
            </w:r>
          </w:p>
        </w:tc>
        <w:tc>
          <w:tcPr>
            <w:tcW w:w="767" w:type="pct"/>
          </w:tcPr>
          <w:p w14:paraId="240B4631" w14:textId="77777777" w:rsidR="00E91470" w:rsidRPr="00BC4682" w:rsidRDefault="00E91470" w:rsidP="00E91470">
            <w:pPr>
              <w:pStyle w:val="Tabletext"/>
              <w:rPr>
                <w:rFonts w:cs="Arial"/>
                <w:szCs w:val="20"/>
                <w:lang w:val="fr-FR"/>
              </w:rPr>
            </w:pPr>
            <w:r w:rsidRPr="00BC4682">
              <w:rPr>
                <w:rFonts w:cs="Arial"/>
                <w:szCs w:val="20"/>
                <w:lang w:val="fr-FR"/>
              </w:rPr>
              <w:lastRenderedPageBreak/>
              <w:t xml:space="preserve">Eribulin vs. capecitabine: </w:t>
            </w:r>
          </w:p>
          <w:p w14:paraId="58103D3C" w14:textId="6BD141D4" w:rsidR="00E91470" w:rsidRPr="00BC4682" w:rsidRDefault="00E91470" w:rsidP="00E91470">
            <w:pPr>
              <w:pStyle w:val="Tabletext"/>
              <w:rPr>
                <w:rFonts w:cs="Arial"/>
                <w:szCs w:val="20"/>
                <w:lang w:val="fr-FR"/>
              </w:rPr>
            </w:pPr>
            <w:r w:rsidRPr="00BC4682">
              <w:rPr>
                <w:rFonts w:cs="Arial"/>
                <w:szCs w:val="20"/>
                <w:lang w:val="fr-FR"/>
              </w:rPr>
              <w:t>Subgroup 1: 0.25</w:t>
            </w:r>
          </w:p>
          <w:p w14:paraId="696E7A85" w14:textId="6AC1D481" w:rsidR="00E91470" w:rsidRPr="00BC4682" w:rsidRDefault="00E91470" w:rsidP="00E91470">
            <w:pPr>
              <w:pStyle w:val="Tabletext"/>
              <w:rPr>
                <w:rFonts w:cs="Arial"/>
                <w:szCs w:val="20"/>
                <w:lang w:val="fr-FR"/>
              </w:rPr>
            </w:pPr>
            <w:r w:rsidRPr="00BC4682">
              <w:rPr>
                <w:rFonts w:cs="Arial"/>
                <w:szCs w:val="20"/>
                <w:lang w:val="fr-FR"/>
              </w:rPr>
              <w:t>Subgroup 2:</w:t>
            </w:r>
            <w:r w:rsidRPr="00BC4682">
              <w:rPr>
                <w:rFonts w:cs="Arial"/>
                <w:szCs w:val="20"/>
                <w:vertAlign w:val="superscript"/>
                <w:lang w:val="fr-FR"/>
              </w:rPr>
              <w:t xml:space="preserve"> </w:t>
            </w:r>
            <w:r w:rsidRPr="00BC4682">
              <w:rPr>
                <w:rFonts w:cs="Arial"/>
                <w:szCs w:val="20"/>
                <w:lang w:val="fr-FR"/>
              </w:rPr>
              <w:t xml:space="preserve">0.16 </w:t>
            </w:r>
          </w:p>
        </w:tc>
        <w:tc>
          <w:tcPr>
            <w:tcW w:w="767" w:type="pct"/>
          </w:tcPr>
          <w:p w14:paraId="4E5F2D30" w14:textId="5A11A5EC" w:rsidR="00E91470" w:rsidRPr="00AD3FB6" w:rsidRDefault="00E91470" w:rsidP="00E91470">
            <w:pPr>
              <w:pStyle w:val="Tablebody"/>
              <w:rPr>
                <w:rFonts w:cs="Arial"/>
              </w:rPr>
            </w:pPr>
            <w:r>
              <w:rPr>
                <w:rFonts w:cs="Arial"/>
              </w:rPr>
              <w:t>NR (information is redacted)</w:t>
            </w:r>
          </w:p>
        </w:tc>
        <w:tc>
          <w:tcPr>
            <w:tcW w:w="766" w:type="pct"/>
          </w:tcPr>
          <w:p w14:paraId="2BA9611E" w14:textId="032CC0AB" w:rsidR="00E91470" w:rsidRPr="00BC4682" w:rsidRDefault="00E91470" w:rsidP="00E91470">
            <w:pPr>
              <w:pStyle w:val="Tabletext"/>
              <w:rPr>
                <w:rFonts w:cs="Arial"/>
                <w:szCs w:val="20"/>
                <w:lang w:val="fr-FR"/>
              </w:rPr>
            </w:pPr>
            <w:r w:rsidRPr="00BC4682">
              <w:rPr>
                <w:rFonts w:cs="Arial"/>
                <w:szCs w:val="20"/>
                <w:lang w:val="fr-FR"/>
              </w:rPr>
              <w:t xml:space="preserve">Eribulin vs. capecitabine: </w:t>
            </w:r>
          </w:p>
          <w:p w14:paraId="721B27F6" w14:textId="77777777" w:rsidR="00E91470" w:rsidRPr="00BC4682" w:rsidRDefault="00E91470" w:rsidP="00E91470">
            <w:pPr>
              <w:pStyle w:val="Tabletext"/>
              <w:keepNext/>
              <w:rPr>
                <w:rFonts w:cs="Arial"/>
                <w:szCs w:val="20"/>
                <w:lang w:val="fr-FR"/>
              </w:rPr>
            </w:pPr>
            <w:r w:rsidRPr="00BC4682">
              <w:rPr>
                <w:rFonts w:cs="Arial"/>
                <w:szCs w:val="20"/>
                <w:lang w:val="fr-FR"/>
              </w:rPr>
              <w:t>Subgroup 1: £36,244</w:t>
            </w:r>
          </w:p>
          <w:p w14:paraId="3455615B" w14:textId="1DEEED87" w:rsidR="00E91470" w:rsidRPr="00BC4682" w:rsidRDefault="00E91470" w:rsidP="00E91470">
            <w:pPr>
              <w:pStyle w:val="Tabletext"/>
              <w:keepNext/>
              <w:rPr>
                <w:rFonts w:cs="Arial"/>
                <w:lang w:val="fr-FR"/>
              </w:rPr>
            </w:pPr>
            <w:r w:rsidRPr="00BC4682">
              <w:rPr>
                <w:rFonts w:cs="Arial"/>
                <w:szCs w:val="20"/>
                <w:lang w:val="fr-FR"/>
              </w:rPr>
              <w:t>Subgroup 2</w:t>
            </w:r>
            <w:r w:rsidRPr="00BC4682">
              <w:rPr>
                <w:rFonts w:cs="Arial"/>
                <w:lang w:val="fr-FR"/>
              </w:rPr>
              <w:t>:</w:t>
            </w:r>
            <w:r w:rsidRPr="00BC4682">
              <w:rPr>
                <w:rFonts w:cs="Arial"/>
                <w:szCs w:val="20"/>
                <w:lang w:val="fr-FR"/>
              </w:rPr>
              <w:t xml:space="preserve"> £35,624</w:t>
            </w:r>
          </w:p>
        </w:tc>
      </w:tr>
      <w:tr w:rsidR="00E91470" w:rsidRPr="00E9364A" w14:paraId="2BBAA7AA" w14:textId="77777777" w:rsidTr="00B25681">
        <w:tc>
          <w:tcPr>
            <w:tcW w:w="506" w:type="pct"/>
          </w:tcPr>
          <w:p w14:paraId="50130192" w14:textId="5D65137A" w:rsidR="00E91470" w:rsidRPr="00AD3FB6" w:rsidRDefault="00E91470" w:rsidP="00E91470">
            <w:pPr>
              <w:pStyle w:val="Tablebody"/>
              <w:rPr>
                <w:rFonts w:cs="Arial"/>
                <w:lang w:val="da-DK"/>
              </w:rPr>
            </w:pPr>
            <w:r w:rsidRPr="00274C0C">
              <w:t>NICE TA116</w:t>
            </w:r>
            <w:r w:rsidRPr="00274C0C">
              <w:rPr>
                <w:vertAlign w:val="superscript"/>
              </w:rPr>
              <w:fldChar w:fldCharType="begin"/>
            </w:r>
            <w:r w:rsidR="00CA6345">
              <w:rPr>
                <w:vertAlign w:val="superscript"/>
              </w:rPr>
              <w:instrText xml:space="preserve"> ADDIN ZOTERO_ITEM CSL_CITATION {"citationID":"7TCwoGGE","properties":{"formattedCitation":"\\super 122\\nosupersub{}","plainCitation":"122","noteIndex":0},"citationItems":[{"id":65876,"uris":["http://zotero.org/groups/4797619/items/6S5RPIVP"],"itemData":{"id":65876,"type":"webpage","abstract":"Evidence-based recommendations on gemcitabine for treating metastatic breast cancer in adults","language":"eng","note":"publisher: NICE","title":"Gemcitabine for the treatment of metastatic breast cancer | NICE [TA116]","URL":"https://www.nice.org.uk/guidance/ta116","author":[{"family":"NICE","given":""}],"accessed":{"date-parts":[["2022",10,17]]}}}],"schema":"https://github.com/citation-style-language/schema/raw/master/csl-citation.json"} </w:instrText>
            </w:r>
            <w:r w:rsidRPr="00274C0C">
              <w:rPr>
                <w:vertAlign w:val="superscript"/>
              </w:rPr>
              <w:fldChar w:fldCharType="separate"/>
            </w:r>
            <w:r w:rsidR="00CA6345" w:rsidRPr="00CA6345">
              <w:rPr>
                <w:rFonts w:cs="Arial"/>
                <w:szCs w:val="24"/>
                <w:vertAlign w:val="superscript"/>
              </w:rPr>
              <w:t>122</w:t>
            </w:r>
            <w:r w:rsidRPr="00274C0C">
              <w:rPr>
                <w:vertAlign w:val="superscript"/>
              </w:rPr>
              <w:fldChar w:fldCharType="end"/>
            </w:r>
          </w:p>
        </w:tc>
        <w:tc>
          <w:tcPr>
            <w:tcW w:w="458" w:type="pct"/>
          </w:tcPr>
          <w:p w14:paraId="04302BD0" w14:textId="3C455F14" w:rsidR="00E91470" w:rsidRPr="00AD3FB6" w:rsidRDefault="00E91470" w:rsidP="00E91470">
            <w:pPr>
              <w:pStyle w:val="Tablebody"/>
              <w:rPr>
                <w:rFonts w:cs="Arial"/>
                <w:lang w:val="da-DK"/>
              </w:rPr>
            </w:pPr>
            <w:r w:rsidRPr="00241887">
              <w:rPr>
                <w:rFonts w:cs="Arial"/>
              </w:rPr>
              <w:t>20</w:t>
            </w:r>
            <w:r>
              <w:rPr>
                <w:rFonts w:cs="Arial"/>
              </w:rPr>
              <w:t>07 (£)</w:t>
            </w:r>
          </w:p>
        </w:tc>
        <w:tc>
          <w:tcPr>
            <w:tcW w:w="660" w:type="pct"/>
          </w:tcPr>
          <w:p w14:paraId="4C5D5908" w14:textId="77777777" w:rsidR="00E91470" w:rsidRDefault="00E91470" w:rsidP="00E91470">
            <w:pPr>
              <w:pStyle w:val="Tablebody"/>
              <w:rPr>
                <w:rFonts w:cs="Arial"/>
              </w:rPr>
            </w:pPr>
            <w:r>
              <w:rPr>
                <w:rFonts w:cs="Arial"/>
              </w:rPr>
              <w:t>Markov model</w:t>
            </w:r>
            <w:r>
              <w:rPr>
                <w:rFonts w:cs="Arial"/>
              </w:rPr>
              <w:br/>
              <w:t>Cycle length: 3 weeks</w:t>
            </w:r>
          </w:p>
          <w:p w14:paraId="470D8202" w14:textId="77777777" w:rsidR="00E91470" w:rsidRPr="00AD3FB6" w:rsidRDefault="00E91470" w:rsidP="00E91470">
            <w:pPr>
              <w:pStyle w:val="Tablebody"/>
              <w:rPr>
                <w:rFonts w:cs="Arial"/>
              </w:rPr>
            </w:pPr>
          </w:p>
        </w:tc>
        <w:tc>
          <w:tcPr>
            <w:tcW w:w="1076" w:type="pct"/>
          </w:tcPr>
          <w:p w14:paraId="342D6EC9" w14:textId="77777777" w:rsidR="00E91470" w:rsidRDefault="00E91470" w:rsidP="00E91470">
            <w:pPr>
              <w:pStyle w:val="Tablebody"/>
              <w:rPr>
                <w:rFonts w:cs="Arial"/>
              </w:rPr>
            </w:pPr>
            <w:r w:rsidRPr="00EE3F05">
              <w:rPr>
                <w:rFonts w:cs="Arial"/>
              </w:rPr>
              <w:t>Patients who have relapsed and developed mBC following anthracycline-based</w:t>
            </w:r>
            <w:r>
              <w:rPr>
                <w:rFonts w:cs="Arial"/>
              </w:rPr>
              <w:t xml:space="preserve"> (</w:t>
            </w:r>
            <w:r w:rsidRPr="00EE3F05">
              <w:rPr>
                <w:rFonts w:cs="Arial"/>
              </w:rPr>
              <w:t>neo</w:t>
            </w:r>
            <w:r>
              <w:rPr>
                <w:rFonts w:cs="Arial"/>
              </w:rPr>
              <w:t>)</w:t>
            </w:r>
            <w:r w:rsidRPr="00EE3F05">
              <w:rPr>
                <w:rFonts w:cs="Arial"/>
              </w:rPr>
              <w:t>adjuvant chemotherapy or non-anthracycline-based chemotherapy where anthracyclines are contraindicated</w:t>
            </w:r>
          </w:p>
          <w:p w14:paraId="6C417073" w14:textId="4DFFD78E" w:rsidR="00E91470" w:rsidRPr="00AD3FB6" w:rsidRDefault="00E91470" w:rsidP="00E91470">
            <w:pPr>
              <w:pStyle w:val="Tablebody"/>
              <w:rPr>
                <w:rFonts w:cs="Arial"/>
              </w:rPr>
            </w:pPr>
            <w:r w:rsidRPr="00B93366">
              <w:rPr>
                <w:rFonts w:cs="Arial"/>
              </w:rPr>
              <w:t xml:space="preserve">Patients who are younger and fitter than the general population of patients with </w:t>
            </w:r>
            <w:r>
              <w:rPr>
                <w:rFonts w:cs="Arial"/>
              </w:rPr>
              <w:t>mBC</w:t>
            </w:r>
            <w:r w:rsidRPr="00B93366">
              <w:rPr>
                <w:rFonts w:cs="Arial"/>
              </w:rPr>
              <w:t>, suitable for taxane-based therapy, and require higher efficacy than what could be achieved from monotherapy, without the toxicity usually associated with a combination regimen</w:t>
            </w:r>
          </w:p>
        </w:tc>
        <w:tc>
          <w:tcPr>
            <w:tcW w:w="767" w:type="pct"/>
          </w:tcPr>
          <w:p w14:paraId="2583D0EF" w14:textId="6AFD47D0" w:rsidR="00E91470" w:rsidRPr="00AD3FB6" w:rsidRDefault="00E91470" w:rsidP="00E91470">
            <w:pPr>
              <w:pStyle w:val="Tablebody"/>
              <w:rPr>
                <w:rFonts w:cs="Arial"/>
              </w:rPr>
            </w:pPr>
            <w:r>
              <w:rPr>
                <w:rFonts w:cs="Arial"/>
              </w:rPr>
              <w:t>G</w:t>
            </w:r>
            <w:r w:rsidRPr="00422BB7">
              <w:rPr>
                <w:rFonts w:cs="Arial"/>
              </w:rPr>
              <w:t xml:space="preserve">emcitabine plus paclitaxel </w:t>
            </w:r>
            <w:r>
              <w:rPr>
                <w:rFonts w:cs="Arial"/>
              </w:rPr>
              <w:t>vs.</w:t>
            </w:r>
            <w:r w:rsidRPr="00422BB7">
              <w:rPr>
                <w:rFonts w:cs="Arial"/>
              </w:rPr>
              <w:t xml:space="preserve"> docetaxel monotherapy</w:t>
            </w:r>
            <w:r>
              <w:rPr>
                <w:rFonts w:cs="Arial"/>
              </w:rPr>
              <w:t xml:space="preserve">: </w:t>
            </w:r>
            <w:r w:rsidRPr="00422BB7">
              <w:rPr>
                <w:rFonts w:cs="Arial"/>
              </w:rPr>
              <w:t>0.23</w:t>
            </w:r>
          </w:p>
        </w:tc>
        <w:tc>
          <w:tcPr>
            <w:tcW w:w="767" w:type="pct"/>
          </w:tcPr>
          <w:p w14:paraId="4CF31CB1" w14:textId="11B8DF9D" w:rsidR="00E91470" w:rsidRPr="00AD3FB6" w:rsidRDefault="00E91470" w:rsidP="00E91470">
            <w:pPr>
              <w:pStyle w:val="Tablebody"/>
              <w:rPr>
                <w:rFonts w:cs="Arial"/>
              </w:rPr>
            </w:pPr>
            <w:r>
              <w:rPr>
                <w:rFonts w:cs="Arial"/>
              </w:rPr>
              <w:t>G</w:t>
            </w:r>
            <w:r w:rsidRPr="00422BB7">
              <w:rPr>
                <w:rFonts w:cs="Arial"/>
              </w:rPr>
              <w:t xml:space="preserve">emcitabine plus paclitaxel </w:t>
            </w:r>
            <w:r>
              <w:rPr>
                <w:rFonts w:cs="Arial"/>
              </w:rPr>
              <w:t>vs.</w:t>
            </w:r>
            <w:r w:rsidRPr="00422BB7">
              <w:rPr>
                <w:rFonts w:cs="Arial"/>
              </w:rPr>
              <w:t xml:space="preserve"> docetaxel monotherapy</w:t>
            </w:r>
            <w:r>
              <w:rPr>
                <w:rFonts w:cs="Arial"/>
              </w:rPr>
              <w:t xml:space="preserve">: </w:t>
            </w:r>
            <w:r w:rsidRPr="00422BB7">
              <w:rPr>
                <w:rFonts w:cs="Arial"/>
              </w:rPr>
              <w:t>£4,013</w:t>
            </w:r>
          </w:p>
        </w:tc>
        <w:tc>
          <w:tcPr>
            <w:tcW w:w="766" w:type="pct"/>
          </w:tcPr>
          <w:p w14:paraId="25A09129" w14:textId="7C6756FC" w:rsidR="00E91470" w:rsidRPr="00AD3FB6" w:rsidRDefault="00E91470" w:rsidP="00E91470">
            <w:pPr>
              <w:pStyle w:val="Tablebody"/>
              <w:rPr>
                <w:rFonts w:cs="Arial"/>
              </w:rPr>
            </w:pPr>
            <w:r>
              <w:rPr>
                <w:rFonts w:cs="Arial"/>
              </w:rPr>
              <w:t>G</w:t>
            </w:r>
            <w:r w:rsidRPr="00422BB7">
              <w:rPr>
                <w:rFonts w:cs="Arial"/>
              </w:rPr>
              <w:t xml:space="preserve">emcitabine plus paclitaxel </w:t>
            </w:r>
            <w:r>
              <w:rPr>
                <w:rFonts w:cs="Arial"/>
              </w:rPr>
              <w:t>vs.</w:t>
            </w:r>
            <w:r w:rsidRPr="00422BB7">
              <w:rPr>
                <w:rFonts w:cs="Arial"/>
              </w:rPr>
              <w:t xml:space="preserve"> docetaxel monotherapy</w:t>
            </w:r>
            <w:r>
              <w:rPr>
                <w:rFonts w:cs="Arial"/>
              </w:rPr>
              <w:t xml:space="preserve">: </w:t>
            </w:r>
            <w:r w:rsidRPr="00422BB7">
              <w:rPr>
                <w:rFonts w:cs="Arial"/>
              </w:rPr>
              <w:t>£17,200</w:t>
            </w:r>
          </w:p>
        </w:tc>
      </w:tr>
    </w:tbl>
    <w:p w14:paraId="3C24BC0A" w14:textId="513F6E29" w:rsidR="00125C38" w:rsidRPr="00AD3FB6" w:rsidRDefault="00125C38" w:rsidP="00125C38">
      <w:pPr>
        <w:pStyle w:val="Footnotes"/>
        <w:spacing w:after="0"/>
        <w:rPr>
          <w:lang w:val="en-US"/>
        </w:rPr>
      </w:pPr>
      <w:r w:rsidRPr="00AD3FB6">
        <w:t xml:space="preserve">Abbreviations: </w:t>
      </w:r>
      <w:r w:rsidR="00460D9C">
        <w:t xml:space="preserve">HER2, human epidermal growth factor receptor 2, </w:t>
      </w:r>
      <w:r w:rsidRPr="00AD3FB6">
        <w:t xml:space="preserve">ICER, incremental cost-effectiveness ratio; </w:t>
      </w:r>
      <w:r w:rsidR="00460D9C">
        <w:t xml:space="preserve">LABC, locally advanced breast cancer; mBC, metastatic breast cancer; </w:t>
      </w:r>
      <w:r w:rsidR="00806CB0">
        <w:t>N</w:t>
      </w:r>
      <w:r w:rsidR="00806CB0" w:rsidRPr="003C648C">
        <w:rPr>
          <w:lang w:val="en-US"/>
        </w:rPr>
        <w:t xml:space="preserve">ICE, </w:t>
      </w:r>
      <w:r w:rsidR="00714458" w:rsidRPr="003C648C">
        <w:rPr>
          <w:lang w:val="en-US"/>
        </w:rPr>
        <w:t>National Institute for Health and Care Excellence</w:t>
      </w:r>
      <w:r w:rsidR="00806CB0" w:rsidRPr="003C648C">
        <w:rPr>
          <w:lang w:val="en-US"/>
        </w:rPr>
        <w:t>;</w:t>
      </w:r>
      <w:r w:rsidR="00806CB0">
        <w:t xml:space="preserve"> </w:t>
      </w:r>
      <w:r w:rsidR="00460D9C">
        <w:t xml:space="preserve">NR, not reported; PartSA, partitioned survival analysis; </w:t>
      </w:r>
      <w:r w:rsidRPr="00AD3FB6">
        <w:rPr>
          <w:lang w:val="en-US"/>
        </w:rPr>
        <w:t>QALY, quality-adjusted life-years;</w:t>
      </w:r>
      <w:r>
        <w:rPr>
          <w:lang w:val="en-US"/>
        </w:rPr>
        <w:t xml:space="preserve"> </w:t>
      </w:r>
      <w:r w:rsidR="00460D9C">
        <w:rPr>
          <w:lang w:val="en-US"/>
        </w:rPr>
        <w:t xml:space="preserve">SG, sacituzumab govitecan; </w:t>
      </w:r>
      <w:r>
        <w:rPr>
          <w:lang w:val="en-US"/>
        </w:rPr>
        <w:t>TA, technical appraisal</w:t>
      </w:r>
      <w:r w:rsidR="00460D9C">
        <w:rPr>
          <w:lang w:val="en-US"/>
        </w:rPr>
        <w:t>; TPC, treatment of physician’s choice</w:t>
      </w:r>
    </w:p>
    <w:p w14:paraId="684EAB17" w14:textId="2B5942DC" w:rsidR="00125C38" w:rsidRDefault="00125C38" w:rsidP="00125C38">
      <w:pPr>
        <w:pStyle w:val="Body"/>
        <w:rPr>
          <w:rStyle w:val="CommentReference"/>
        </w:rPr>
      </w:pPr>
      <w:r w:rsidRPr="00AD3FB6">
        <w:rPr>
          <w:sz w:val="18"/>
          <w:szCs w:val="18"/>
          <w:lang w:val="de-DE"/>
        </w:rPr>
        <w:t>Source: Daiichi Sankyo Inc., 2022 (Economic SLR report; Data on File)</w:t>
      </w:r>
      <w:r w:rsidRPr="00AD3FB6">
        <w:rPr>
          <w:sz w:val="18"/>
          <w:szCs w:val="18"/>
          <w:lang w:val="en-US"/>
        </w:rPr>
        <w:fldChar w:fldCharType="begin"/>
      </w:r>
      <w:r w:rsidR="00CA6345">
        <w:rPr>
          <w:sz w:val="18"/>
          <w:szCs w:val="18"/>
          <w:lang w:val="en-US"/>
        </w:rPr>
        <w:instrText xml:space="preserve"> ADDIN ZOTERO_ITEM CSL_CITATION {"citationID":"oAmABoqX","properties":{"formattedCitation":"\\super 161\\nosupersub{}","plainCitation":"161","noteIndex":0},"citationItems":[{"id":66136,"uris":["http://zotero.org/groups/4797619/items/X5E9JXLW"],"itemData":{"id":66136,"type":"document","title":"Economic Systematic Literature Review Report for DS-8201a on the Treatment of HER2-low Metastatic and/or Unresectable Breast Cancer. Data on File.","author":[{"family":"Daiichi Sankyo Inc.","given":""}],"issued":{"date-parts":[["2022"]]}}}],"schema":"https://github.com/citation-style-language/schema/raw/master/csl-citation.json"} </w:instrText>
      </w:r>
      <w:r w:rsidRPr="00AD3FB6">
        <w:rPr>
          <w:sz w:val="18"/>
          <w:szCs w:val="18"/>
          <w:lang w:val="en-US"/>
        </w:rPr>
        <w:fldChar w:fldCharType="separate"/>
      </w:r>
      <w:r w:rsidR="00CA6345" w:rsidRPr="00CA6345">
        <w:rPr>
          <w:rFonts w:cs="Arial"/>
          <w:sz w:val="18"/>
          <w:szCs w:val="24"/>
          <w:vertAlign w:val="superscript"/>
        </w:rPr>
        <w:t>161</w:t>
      </w:r>
      <w:r w:rsidRPr="00AD3FB6">
        <w:rPr>
          <w:sz w:val="18"/>
          <w:szCs w:val="18"/>
          <w:lang w:val="en-US"/>
        </w:rPr>
        <w:fldChar w:fldCharType="end"/>
      </w:r>
    </w:p>
    <w:p w14:paraId="57E67DB6" w14:textId="55DA797A" w:rsidR="00B95289" w:rsidRDefault="00B95289" w:rsidP="00C57194">
      <w:pPr>
        <w:pStyle w:val="Body"/>
        <w:rPr>
          <w:rStyle w:val="CommentReference"/>
        </w:rPr>
        <w:sectPr w:rsidR="00B95289" w:rsidSect="00F174DD">
          <w:pgSz w:w="16840" w:h="11907" w:orient="landscape" w:code="9"/>
          <w:pgMar w:top="1440" w:right="1440" w:bottom="1440" w:left="1440" w:header="709" w:footer="709" w:gutter="0"/>
          <w:cols w:space="708"/>
          <w:docGrid w:linePitch="360"/>
        </w:sectPr>
      </w:pPr>
    </w:p>
    <w:p w14:paraId="444C985F" w14:textId="77777777" w:rsidR="00036EA7" w:rsidRPr="00AF711B" w:rsidRDefault="00036EA7" w:rsidP="00036EA7">
      <w:pPr>
        <w:pStyle w:val="Heading2"/>
      </w:pPr>
      <w:bookmarkStart w:id="398" w:name="_Toc98924659"/>
      <w:bookmarkStart w:id="399" w:name="_Ref99729254"/>
      <w:bookmarkStart w:id="400" w:name="_Toc127006435"/>
      <w:bookmarkStart w:id="401" w:name="_Toc129350883"/>
      <w:r w:rsidRPr="00AF711B">
        <w:lastRenderedPageBreak/>
        <w:t>Economic analysis</w:t>
      </w:r>
      <w:bookmarkEnd w:id="398"/>
      <w:bookmarkEnd w:id="399"/>
      <w:bookmarkEnd w:id="400"/>
      <w:bookmarkEnd w:id="401"/>
    </w:p>
    <w:p w14:paraId="3FBC4985" w14:textId="53CE2212" w:rsidR="008D47C4" w:rsidRDefault="00036EA7" w:rsidP="005A4D63">
      <w:pPr>
        <w:pStyle w:val="NICEnormal"/>
      </w:pPr>
      <w:r w:rsidRPr="005D58CB">
        <w:t xml:space="preserve">No published economic evaluations of T-DXd were identified in the cost-effectiveness SLR in the HER2-negative or HER2-low mBC setting (see </w:t>
      </w:r>
      <w:r w:rsidRPr="003C648C">
        <w:rPr>
          <w:b/>
        </w:rPr>
        <w:t xml:space="preserve">Section </w:t>
      </w:r>
      <w:r w:rsidRPr="003C648C">
        <w:rPr>
          <w:b/>
        </w:rPr>
        <w:fldChar w:fldCharType="begin"/>
      </w:r>
      <w:r w:rsidRPr="003C648C">
        <w:rPr>
          <w:b/>
        </w:rPr>
        <w:instrText xml:space="preserve"> REF _Ref99727300 \r \h  \* MERGEFORMAT </w:instrText>
      </w:r>
      <w:r w:rsidRPr="003C648C">
        <w:rPr>
          <w:b/>
        </w:rPr>
      </w:r>
      <w:r w:rsidRPr="003C648C">
        <w:rPr>
          <w:b/>
        </w:rPr>
        <w:fldChar w:fldCharType="separate"/>
      </w:r>
      <w:r w:rsidR="00145F42">
        <w:rPr>
          <w:b/>
        </w:rPr>
        <w:t>B.3.1</w:t>
      </w:r>
      <w:r w:rsidRPr="003C648C">
        <w:rPr>
          <w:b/>
        </w:rPr>
        <w:fldChar w:fldCharType="end"/>
      </w:r>
      <w:r w:rsidRPr="005D58CB">
        <w:t xml:space="preserve"> and </w:t>
      </w:r>
      <w:r w:rsidRPr="003C648C">
        <w:rPr>
          <w:b/>
        </w:rPr>
        <w:t>Appendix G</w:t>
      </w:r>
      <w:r w:rsidRPr="005D58CB">
        <w:t xml:space="preserve">). Therefore, a </w:t>
      </w:r>
      <w:r w:rsidRPr="00A710D0">
        <w:rPr>
          <w:i/>
        </w:rPr>
        <w:t>de novo</w:t>
      </w:r>
      <w:r w:rsidRPr="005D58CB">
        <w:t xml:space="preserve"> economic model was developed to assess the cost-effectiveness of T-DXd vs. TPC, </w:t>
      </w:r>
      <w:r w:rsidRPr="00E9364A">
        <w:t>which the company consider</w:t>
      </w:r>
      <w:r>
        <w:t>s</w:t>
      </w:r>
      <w:r w:rsidRPr="00E9364A">
        <w:t xml:space="preserve"> </w:t>
      </w:r>
      <w:r w:rsidR="00BB00D6">
        <w:t>to be standard of care</w:t>
      </w:r>
      <w:r w:rsidRPr="00E9364A">
        <w:t xml:space="preserve"> in this setting, for patients with HER2-low u/mBC previously treated with chemotherapy </w:t>
      </w:r>
      <w:r w:rsidR="004D0536">
        <w:t>in the (neo)adjuvant (if recurrence occurred within 6 months) or metastatic</w:t>
      </w:r>
      <w:r w:rsidRPr="00E9364A">
        <w:t xml:space="preserve"> </w:t>
      </w:r>
      <w:r w:rsidR="004D0536">
        <w:t xml:space="preserve">setting </w:t>
      </w:r>
      <w:r w:rsidRPr="00E9364A">
        <w:t>(</w:t>
      </w:r>
      <w:r w:rsidRPr="00914B98">
        <w:t xml:space="preserve">see </w:t>
      </w:r>
      <w:r w:rsidRPr="003C648C">
        <w:rPr>
          <w:b/>
        </w:rPr>
        <w:t xml:space="preserve">Section </w:t>
      </w:r>
      <w:r w:rsidR="00424787">
        <w:rPr>
          <w:b/>
        </w:rPr>
        <w:fldChar w:fldCharType="begin"/>
      </w:r>
      <w:r w:rsidR="00424787">
        <w:rPr>
          <w:b/>
        </w:rPr>
        <w:instrText xml:space="preserve"> REF _Ref126932847 \n \h </w:instrText>
      </w:r>
      <w:r w:rsidR="00424787">
        <w:rPr>
          <w:b/>
        </w:rPr>
      </w:r>
      <w:r w:rsidR="00424787">
        <w:rPr>
          <w:b/>
        </w:rPr>
        <w:fldChar w:fldCharType="separate"/>
      </w:r>
      <w:r w:rsidR="00145F42">
        <w:rPr>
          <w:b/>
        </w:rPr>
        <w:t>B.1.1</w:t>
      </w:r>
      <w:r w:rsidR="00424787">
        <w:rPr>
          <w:b/>
        </w:rPr>
        <w:fldChar w:fldCharType="end"/>
      </w:r>
      <w:r w:rsidR="00424787">
        <w:rPr>
          <w:b/>
        </w:rPr>
        <w:t xml:space="preserve"> </w:t>
      </w:r>
      <w:r w:rsidRPr="00914B98">
        <w:t>for</w:t>
      </w:r>
      <w:r w:rsidRPr="00E9364A">
        <w:t xml:space="preserve"> further information on the comparator arm</w:t>
      </w:r>
      <w:r w:rsidR="008D47C4">
        <w:t xml:space="preserve"> in this appraisal</w:t>
      </w:r>
      <w:r w:rsidRPr="00E9364A">
        <w:t xml:space="preserve">). </w:t>
      </w:r>
    </w:p>
    <w:p w14:paraId="497E4702" w14:textId="44EB5D41" w:rsidR="00036EA7" w:rsidRPr="00E9364A" w:rsidRDefault="00F34CAA" w:rsidP="005A4D63">
      <w:pPr>
        <w:pStyle w:val="NICEnormal"/>
      </w:pPr>
      <w:r>
        <w:t xml:space="preserve">In addition to the </w:t>
      </w:r>
      <w:r w:rsidR="00036EA7" w:rsidRPr="00E9364A">
        <w:t>publications identified within the economic SLR</w:t>
      </w:r>
      <w:r>
        <w:t>,</w:t>
      </w:r>
      <w:r w:rsidR="00226299" w:rsidRPr="00AD3FB6">
        <w:rPr>
          <w:rFonts w:cs="Arial"/>
        </w:rPr>
        <w:fldChar w:fldCharType="begin"/>
      </w:r>
      <w:r w:rsidR="00CA6345">
        <w:rPr>
          <w:rFonts w:cs="Arial"/>
        </w:rPr>
        <w:instrText xml:space="preserve"> ADDIN ZOTERO_ITEM CSL_CITATION {"citationID":"nr9aJc8j","properties":{"formattedCitation":"\\super 162,163\\nosupersub{}","plainCitation":"162,163","noteIndex":0},"citationItems":[{"id":66120,"uris":["http://zotero.org/groups/4797619/items/EEI7PEE9"],"itemData":{"id":66120,"type":"article-journal","abstract":"BACKGROUND: Metastatic breast cancer (MBC) is associated with poor prognosis, particularly for those patients with human epidermal growth factor receptor (HER2)-negative tumor. Similar to the rest of the world, treatment options are limited in South Korea following first-line chemotherapy with anthracyclines and/or taxanes. This study examined the cost-effectiveness and cost-utility of eribulin in South Korean patients with HER2-negative MBC who have progressed after usage of at least one chemotherapeutic regimen for advanced disease (second-line therapy).\nMETHODS: A partition survival model was developed from the perspective of the South Korean health care system. The economic impact of introducing eribulin as second-line therapy for HER2-negative MBC was compared to that of capecitabine and vinorelbine. The analysis estimated incremental cost per life-year (LY), that is, cost-effectiveness, and cost per quality-adjusted life-year (QALY), that is, cost-utility, of eribulin for management of HER2-negative MBC in South Korea. The model accounted for overall survival, progression-free survival, drug costs, grade 3/4 adverse events, and health care utilization. Deterministic and probabilistic sensitivity analyses were performed to identify uncertainty in the results of the economic evaluation.\nRESULTS: Second-line eribulin was associated with greater benefits in terms of LY and QALY, compared to capecitabine and vinorelbine. The incremental cost-effectiveness ratio was ₩10.5M (approximately USD 9,200) per LY, and the incremental cost-utility ratio was ₩17M (approximately USD 14,800) per QALY in the basecase analysis. The incremental cost-utility ratio ranged from ₩12M (USD 10,461) to ₩27M (USD 23,538) per QALY in the deterministic sensitivity analysis. In the probabilistic sensitivity analysis, &gt;99% of the simulations were below ₩50M (USD 42,300), and the lower and upper 95% confidence intervals were ₩3M (USD 2,600) and ₩24M (USD 20,900) per QALY, respectively.\nCONCLUSION: There currently exist a limited number of treatment choices for women with HER2-negative MBC. Eribulin is a cost-effective option for second-line therapy in South Korea and should be added to the current indications for reimbursement.","container-title":"ClinicoEconomics and outcomes research: CEOR","DOI":"10.2147/CEOR.S110553","ISSN":"1178-6981","journalAbbreviation":"Clinicoecon Outcomes Res","language":"eng","note":"PMID: 27698565\nPMCID: PMC5034912","page":"485-493","source":"PubMed","title":"Economic evaluation of eribulin as second-line treatment for metastatic breast cancer in South Korea","volume":"8","author":[{"family":"Tremblay","given":"Gabriel"},{"family":"Majethia","given":"Unnati"},{"family":"Breeze","given":"Janis L."},{"family":"Kontoudis","given":"Ilias"},{"family":"Park","given":"Jeongae"}],"issued":{"date-parts":[["2016"]]}}},{"id":66123,"uris":["http://zotero.org/groups/4797619/items/P75ARV9R"],"itemData":{"id":66123,"type":"article-journal","DOI":"10.1016/j.val.2015.03.1175","issue":"3","journalAbbreviation":"Value in Health","page":"A203","title":"PCN78. Cost Effectiveness Analysis of Eribulin Mesylate as a Treatment for Metastatic Breast Cancer In Spain: Management in the Later Lines of Therapy","volume":"18","author":[{"family":"Majethia","given":"Unnati"},{"family":"Tremblay","given":"Gabriel"},{"family":"Kontoudis","given":"Ilias"},{"family":"De Rosendo","given":"J"}],"issued":{"date-parts":[["2015",5]]}}}],"schema":"https://github.com/citation-style-language/schema/raw/master/csl-citation.json"} </w:instrText>
      </w:r>
      <w:r w:rsidR="00226299" w:rsidRPr="00AD3FB6">
        <w:rPr>
          <w:rFonts w:cs="Arial"/>
        </w:rPr>
        <w:fldChar w:fldCharType="separate"/>
      </w:r>
      <w:r w:rsidR="00CA6345" w:rsidRPr="00CA6345">
        <w:rPr>
          <w:rFonts w:cs="Arial"/>
          <w:szCs w:val="24"/>
          <w:vertAlign w:val="superscript"/>
        </w:rPr>
        <w:t>162,163</w:t>
      </w:r>
      <w:r w:rsidR="00226299" w:rsidRPr="00AD3FB6">
        <w:rPr>
          <w:rFonts w:cs="Arial"/>
        </w:rPr>
        <w:fldChar w:fldCharType="end"/>
      </w:r>
      <w:r w:rsidRPr="00F34CAA">
        <w:rPr>
          <w:rStyle w:val="ui-provider"/>
        </w:rPr>
        <w:t xml:space="preserve"> </w:t>
      </w:r>
      <w:r w:rsidR="001F237C">
        <w:rPr>
          <w:rStyle w:val="ui-provider"/>
        </w:rPr>
        <w:t xml:space="preserve">relevant </w:t>
      </w:r>
      <w:r>
        <w:rPr>
          <w:rStyle w:val="ui-provider"/>
        </w:rPr>
        <w:t>NICE TAs were used</w:t>
      </w:r>
      <w:r w:rsidR="00036EA7" w:rsidRPr="00E9364A">
        <w:t xml:space="preserve"> to inform the </w:t>
      </w:r>
      <w:r w:rsidR="00036EA7" w:rsidRPr="00A710D0">
        <w:rPr>
          <w:i/>
        </w:rPr>
        <w:t>de novo</w:t>
      </w:r>
      <w:r w:rsidR="00036EA7" w:rsidRPr="00E9364A">
        <w:t xml:space="preserve"> model structure, assumptions and data sources. </w:t>
      </w:r>
      <w:r w:rsidR="00B94763">
        <w:rPr>
          <w:rStyle w:val="ui-provider"/>
        </w:rPr>
        <w:t xml:space="preserve">These TAs included </w:t>
      </w:r>
      <w:r w:rsidR="00204695">
        <w:rPr>
          <w:rStyle w:val="ui-provider"/>
        </w:rPr>
        <w:t>treatments</w:t>
      </w:r>
      <w:r w:rsidR="00B94763">
        <w:rPr>
          <w:rStyle w:val="ui-provider"/>
        </w:rPr>
        <w:t xml:space="preserve"> recommended by NICE at a potentially relevant line of therapy in the HER2-negative/HR-positive and HER2-negative/HR-negative pathways (i.e., </w:t>
      </w:r>
      <w:r w:rsidR="00B94763" w:rsidRPr="00E9364A">
        <w:t>TA116</w:t>
      </w:r>
      <w:r w:rsidR="00C62076" w:rsidRPr="00E9364A">
        <w:t>,</w:t>
      </w:r>
      <w:r w:rsidR="00C62076" w:rsidRPr="00E9364A">
        <w:fldChar w:fldCharType="begin"/>
      </w:r>
      <w:r w:rsidR="00CA6345">
        <w:rPr>
          <w:b/>
        </w:rPr>
        <w:instrText xml:space="preserve"> ADDIN ZOTERO_ITEM CSL_CITATION {"citationID":"BGVDxfQ3","properties":{"formattedCitation":"\\super 122\\nosupersub{}","plainCitation":"122","noteIndex":0},"citationItems":[{"id":65876,"uris":["http://zotero.org/groups/4797619/items/6S5RPIVP"],"itemData":{"id":65876,"type":"webpage","abstract":"Evidence-based recommendations on gemcitabine for treating metastatic breast cancer in adults","language":"eng","note":"publisher: NICE","title":"Gemcitabine for the treatment of metastatic breast cancer | NICE [TA116]","URL":"https://www.nice.org.uk/guidance/ta116","author":[{"family":"NICE","given":""}],"accessed":{"date-parts":[["2022",10,17]]}}}],"schema":"https://github.com/citation-style-language/schema/raw/master/csl-citation.json"} </w:instrText>
      </w:r>
      <w:r w:rsidR="00C62076" w:rsidRPr="00E9364A">
        <w:fldChar w:fldCharType="separate"/>
      </w:r>
      <w:r w:rsidR="00CA6345" w:rsidRPr="00CA6345">
        <w:rPr>
          <w:rFonts w:cs="Arial"/>
          <w:szCs w:val="24"/>
          <w:vertAlign w:val="superscript"/>
        </w:rPr>
        <w:t>122</w:t>
      </w:r>
      <w:r w:rsidR="00C62076" w:rsidRPr="00E9364A">
        <w:fldChar w:fldCharType="end"/>
      </w:r>
      <w:r w:rsidR="00B94763">
        <w:rPr>
          <w:rStyle w:val="ui-provider"/>
        </w:rPr>
        <w:t xml:space="preserve"> </w:t>
      </w:r>
      <w:r w:rsidR="00C62076" w:rsidRPr="00E9364A">
        <w:t>TA423,</w:t>
      </w:r>
      <w:r w:rsidR="00C62076" w:rsidRPr="00E9364A">
        <w:fldChar w:fldCharType="begin"/>
      </w:r>
      <w:r w:rsidR="00CA6345">
        <w:rPr>
          <w:b/>
        </w:rPr>
        <w:instrText xml:space="preserve"> ADDIN ZOTERO_ITEM CSL_CITATION {"citationID":"ksn7wvuo","properties":{"formattedCitation":"\\super 131\\nosupersub{}","plainCitation":"131","noteIndex":0},"citationItems":[{"id":65884,"uris":["http://zotero.org/groups/4797619/items/GKXW7XYV"],"itemData":{"id":65884,"type":"webpage","abstract":"Evidence-based recommendations on eribulin (Halaven) for treating locally advanced or metastatic breast cancer after 2 or more types of chemotherapy","language":"eng","note":"publisher: NICE","title":"Eribulin for treating locally advanced or metastatic breast cancer after 2 or more chemotherapy regimens | NICE [TA423]","URL":"https://www.nice.org.uk/guidance/ta423","author":[{"family":"NICE","given":""}],"accessed":{"date-parts":[["2022",10,17]]}}}],"schema":"https://github.com/citation-style-language/schema/raw/master/csl-citation.json"} </w:instrText>
      </w:r>
      <w:r w:rsidR="00C62076" w:rsidRPr="00E9364A">
        <w:fldChar w:fldCharType="separate"/>
      </w:r>
      <w:r w:rsidR="00CA6345" w:rsidRPr="00CA6345">
        <w:rPr>
          <w:rFonts w:cs="Arial"/>
          <w:szCs w:val="24"/>
          <w:vertAlign w:val="superscript"/>
        </w:rPr>
        <w:t>131</w:t>
      </w:r>
      <w:r w:rsidR="00C62076" w:rsidRPr="00E9364A">
        <w:fldChar w:fldCharType="end"/>
      </w:r>
      <w:r w:rsidR="00B94763">
        <w:rPr>
          <w:rStyle w:val="ui-provider"/>
        </w:rPr>
        <w:t xml:space="preserve"> TA819</w:t>
      </w:r>
      <w:r w:rsidR="00C62076" w:rsidRPr="00E9364A">
        <w:rPr>
          <w:bCs/>
        </w:rPr>
        <w:fldChar w:fldCharType="begin"/>
      </w:r>
      <w:r w:rsidR="00CA6345">
        <w:rPr>
          <w:b/>
          <w:bCs/>
        </w:rPr>
        <w:instrText xml:space="preserve"> ADDIN ZOTERO_ITEM CSL_CITATION {"citationID":"mw3qtb9C","properties":{"formattedCitation":"\\super 132\\nosupersub{}","plainCitation":"132","noteIndex":0},"citationItems":[{"id":65875,"uris":["http://zotero.org/groups/4797619/items/IP9MEGL9"],"itemData":{"id":65875,"type":"webpage","abstract":"Evidence-based recommendations on sacituzumab govetican (Trodelvy) for treating unresectable, triple-negative locally advanced or metastatic breast cancer in adults after 2 or more systemic therapies, at least 1 of which was for advanced disease","language":"eng","note":"publisher: NICE","title":"Sacituzumab govitecan for treating unresectable triple-negative advanced breast cancer after 2 or more therapies | NICE [TA819]","URL":"https://www.nice.org.uk/guidance/ta819","author":[{"family":"NICE","given":""}],"accessed":{"date-parts":[["2022",10,17]]}}}],"schema":"https://github.com/citation-style-language/schema/raw/master/csl-citation.json"} </w:instrText>
      </w:r>
      <w:r w:rsidR="00C62076" w:rsidRPr="00E9364A">
        <w:rPr>
          <w:bCs/>
        </w:rPr>
        <w:fldChar w:fldCharType="separate"/>
      </w:r>
      <w:r w:rsidR="00CA6345" w:rsidRPr="00CA6345">
        <w:rPr>
          <w:rFonts w:cs="Arial"/>
          <w:szCs w:val="24"/>
          <w:vertAlign w:val="superscript"/>
        </w:rPr>
        <w:t>132</w:t>
      </w:r>
      <w:r w:rsidR="00C62076" w:rsidRPr="00E9364A">
        <w:rPr>
          <w:bCs/>
        </w:rPr>
        <w:fldChar w:fldCharType="end"/>
      </w:r>
      <w:r w:rsidR="00B94763">
        <w:rPr>
          <w:rStyle w:val="ui-provider"/>
        </w:rPr>
        <w:t xml:space="preserve">) and </w:t>
      </w:r>
      <w:r w:rsidR="00537EC5">
        <w:rPr>
          <w:rStyle w:val="ui-provider"/>
        </w:rPr>
        <w:t>NICE-</w:t>
      </w:r>
      <w:r w:rsidR="00B94763">
        <w:rPr>
          <w:rStyle w:val="ui-provider"/>
        </w:rPr>
        <w:t>recommended TA</w:t>
      </w:r>
      <w:r w:rsidR="00C62076">
        <w:rPr>
          <w:rStyle w:val="ui-provider"/>
        </w:rPr>
        <w:t>s</w:t>
      </w:r>
      <w:r w:rsidR="00B94763">
        <w:rPr>
          <w:rStyle w:val="ui-provider"/>
        </w:rPr>
        <w:t xml:space="preserve"> for T-DXd in HER2-positive u/mBC (i.e., TA</w:t>
      </w:r>
      <w:r w:rsidR="00C62076">
        <w:rPr>
          <w:rStyle w:val="ui-provider"/>
        </w:rPr>
        <w:t>704</w:t>
      </w:r>
      <w:r w:rsidR="00C62076" w:rsidRPr="0053039A">
        <w:rPr>
          <w:b/>
          <w:bCs/>
          <w:szCs w:val="20"/>
        </w:rPr>
        <w:fldChar w:fldCharType="begin"/>
      </w:r>
      <w:r w:rsidR="00CA6345">
        <w:rPr>
          <w:b/>
          <w:bCs/>
          <w:szCs w:val="20"/>
        </w:rPr>
        <w:instrText xml:space="preserve"> ADDIN ZOTERO_ITEM CSL_CITATION {"citationID":"INvfafY8","properties":{"formattedCitation":"\\super 4\\nosupersub{}","plainCitation":"4","noteIndex":0},"citationItems":[{"id":65878,"uris":["http://zotero.org/groups/4797619/items/ESRZZTT8"],"itemData":{"id":65878,"type":"webpage","abstract":"Evidence-based recommendations on trastuzumab deruxtecan (Enhertu) for treating HER2-positive unresectable or metastatic breast cancer in adults after 2 or more","language":"eng","note":"publisher: NICE","title":"Trastuzumab deruxtecan for treating HER2-positive unresectable or metastatic breast cancer after 2 or more anti-HER2 therapies | NICE [TA704]","URL":"https://www.nice.org.uk/guidance/ta704","author":[{"family":"NICE","given":""}],"accessed":{"date-parts":[["2022",9,29]]}}}],"schema":"https://github.com/citation-style-language/schema/raw/master/csl-citation.json"} </w:instrText>
      </w:r>
      <w:r w:rsidR="00C62076" w:rsidRPr="0053039A">
        <w:rPr>
          <w:b/>
          <w:bCs/>
          <w:szCs w:val="20"/>
        </w:rPr>
        <w:fldChar w:fldCharType="separate"/>
      </w:r>
      <w:r w:rsidR="00FD57F4" w:rsidRPr="00FD57F4">
        <w:rPr>
          <w:rFonts w:cs="Arial"/>
          <w:szCs w:val="24"/>
          <w:vertAlign w:val="superscript"/>
        </w:rPr>
        <w:t>4</w:t>
      </w:r>
      <w:r w:rsidR="00C62076" w:rsidRPr="0053039A">
        <w:rPr>
          <w:b/>
          <w:bCs/>
          <w:szCs w:val="20"/>
        </w:rPr>
        <w:fldChar w:fldCharType="end"/>
      </w:r>
      <w:r w:rsidR="0071650C" w:rsidRPr="003C648C">
        <w:rPr>
          <w:szCs w:val="20"/>
        </w:rPr>
        <w:t>,</w:t>
      </w:r>
      <w:r w:rsidR="00C62076">
        <w:rPr>
          <w:rStyle w:val="ui-provider"/>
        </w:rPr>
        <w:t xml:space="preserve"> TA862</w:t>
      </w:r>
      <w:r w:rsidR="00C62076" w:rsidRPr="00E9364A">
        <w:rPr>
          <w:bCs/>
        </w:rPr>
        <w:fldChar w:fldCharType="begin"/>
      </w:r>
      <w:r w:rsidR="00CA6345">
        <w:rPr>
          <w:b/>
          <w:bCs/>
        </w:rPr>
        <w:instrText xml:space="preserve"> ADDIN ZOTERO_ITEM CSL_CITATION {"citationID":"73CkX4HP","properties":{"formattedCitation":"\\super 5\\nosupersub{}","plainCitation":"5","noteIndex":0},"citationItems":[{"id":66214,"uris":["http://zotero.org/groups/4797619/items/H2PQC2GH"],"itemData":{"id":66214,"type":"webpage","abstract":"Trastuzumab deruxtecan for treating HER2-positive unresectable or metastatic breast cancer after trastuzumab and a taxane [TA862]","language":"eng","note":"publisher: NICE","title":"Trastuzumab deruxtecan for treating HER2-positive unresectable or metastatic breast cancer after 1 or more anti-HER2 therapies | NICE [TA862]","URL":"https://www.nice.org.uk/guidance/indevelopment/gid-ta10804/documents","author":[{"family":"NICE","given":""}],"accessed":{"date-parts":[["2023",2,5]]},"issued":{"date-parts":[["2023",2]]}}}],"schema":"https://github.com/citation-style-language/schema/raw/master/csl-citation.json"} </w:instrText>
      </w:r>
      <w:r w:rsidR="00C62076" w:rsidRPr="00E9364A">
        <w:rPr>
          <w:bCs/>
        </w:rPr>
        <w:fldChar w:fldCharType="separate"/>
      </w:r>
      <w:r w:rsidR="00FD57F4" w:rsidRPr="00FD57F4">
        <w:rPr>
          <w:rFonts w:cs="Arial"/>
          <w:szCs w:val="24"/>
          <w:vertAlign w:val="superscript"/>
        </w:rPr>
        <w:t>5</w:t>
      </w:r>
      <w:r w:rsidR="00C62076" w:rsidRPr="00E9364A">
        <w:rPr>
          <w:bCs/>
        </w:rPr>
        <w:fldChar w:fldCharType="end"/>
      </w:r>
      <w:r w:rsidR="00B94763">
        <w:rPr>
          <w:rStyle w:val="ui-provider"/>
        </w:rPr>
        <w:t>)</w:t>
      </w:r>
      <w:r>
        <w:rPr>
          <w:rStyle w:val="ui-provider"/>
        </w:rPr>
        <w:t>.</w:t>
      </w:r>
      <w:r w:rsidR="00036EA7" w:rsidRPr="00E9364A">
        <w:t xml:space="preserve"> </w:t>
      </w:r>
    </w:p>
    <w:p w14:paraId="0C76F10B" w14:textId="77777777" w:rsidR="00036EA7" w:rsidRPr="00E9364A" w:rsidRDefault="00036EA7" w:rsidP="00036EA7">
      <w:pPr>
        <w:pStyle w:val="Heading3"/>
      </w:pPr>
      <w:bookmarkStart w:id="402" w:name="_Toc127006436"/>
      <w:bookmarkStart w:id="403" w:name="_Toc98924660"/>
      <w:bookmarkStart w:id="404" w:name="_Ref99729265"/>
      <w:bookmarkStart w:id="405" w:name="_Toc127006437"/>
      <w:bookmarkStart w:id="406" w:name="_Toc129350884"/>
      <w:bookmarkEnd w:id="402"/>
      <w:r w:rsidRPr="00E9364A">
        <w:t>Patient population</w:t>
      </w:r>
      <w:bookmarkEnd w:id="403"/>
      <w:bookmarkEnd w:id="404"/>
      <w:bookmarkEnd w:id="405"/>
      <w:bookmarkEnd w:id="406"/>
    </w:p>
    <w:p w14:paraId="4A09FA41" w14:textId="33055180" w:rsidR="00036EA7" w:rsidRPr="00E9364A" w:rsidRDefault="00036EA7" w:rsidP="00036EA7">
      <w:pPr>
        <w:pStyle w:val="Body"/>
      </w:pPr>
      <w:r w:rsidRPr="00E9364A">
        <w:t xml:space="preserve">The cost-effectiveness analysis </w:t>
      </w:r>
      <w:r w:rsidR="00837E45">
        <w:t xml:space="preserve">(CEA) </w:t>
      </w:r>
      <w:r w:rsidRPr="00E9364A">
        <w:t xml:space="preserve">considers </w:t>
      </w:r>
      <w:r w:rsidRPr="00AD3FB6">
        <w:t>adult</w:t>
      </w:r>
      <w:r w:rsidRPr="00E9364A">
        <w:t xml:space="preserve"> patients with HER2</w:t>
      </w:r>
      <w:r w:rsidRPr="00AD3FB6">
        <w:t>-low</w:t>
      </w:r>
      <w:r w:rsidRPr="00E9364A">
        <w:t xml:space="preserve"> u/mBC </w:t>
      </w:r>
      <w:r w:rsidR="00810650">
        <w:t>after</w:t>
      </w:r>
      <w:r w:rsidRPr="00AD3FB6">
        <w:t xml:space="preserve"> </w:t>
      </w:r>
      <w:r w:rsidR="0015198B">
        <w:t>prior chemotherapy in the (neo)adjuvant</w:t>
      </w:r>
      <w:r w:rsidRPr="00AD3FB6">
        <w:t xml:space="preserve"> </w:t>
      </w:r>
      <w:r w:rsidR="0015198B" w:rsidRPr="003C648C">
        <w:t xml:space="preserve">(if recurrence occurs within 6 months) </w:t>
      </w:r>
      <w:r w:rsidR="0015198B">
        <w:t>or</w:t>
      </w:r>
      <w:r w:rsidR="00445800">
        <w:t xml:space="preserve"> metastatic setting</w:t>
      </w:r>
      <w:r w:rsidRPr="00AD3FB6">
        <w:t xml:space="preserve">. </w:t>
      </w:r>
      <w:r w:rsidRPr="00E9364A">
        <w:t>This is in line with the FAS population in the pivotal DESTINY-Breast0</w:t>
      </w:r>
      <w:r w:rsidRPr="00AD3FB6">
        <w:t>4</w:t>
      </w:r>
      <w:r w:rsidRPr="00E9364A">
        <w:t xml:space="preserve"> clinical trial,</w:t>
      </w:r>
      <w:r w:rsidRPr="00AD3FB6">
        <w:fldChar w:fldCharType="begin"/>
      </w:r>
      <w:r w:rsidR="00CA6345">
        <w:instrText xml:space="preserve"> ADDIN ZOTERO_ITEM CSL_CITATION {"citationID":"ahOdllAY","properties":{"formattedCitation":"\\super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AD3FB6">
        <w:fldChar w:fldCharType="separate"/>
      </w:r>
      <w:r w:rsidR="00FD57F4" w:rsidRPr="00FD57F4">
        <w:rPr>
          <w:rFonts w:cs="Arial"/>
          <w:szCs w:val="24"/>
          <w:vertAlign w:val="superscript"/>
        </w:rPr>
        <w:t>7</w:t>
      </w:r>
      <w:r w:rsidRPr="00AD3FB6">
        <w:fldChar w:fldCharType="end"/>
      </w:r>
      <w:r w:rsidRPr="00E9364A">
        <w:t xml:space="preserve"> the final scope issued by NICE,</w:t>
      </w:r>
      <w:r w:rsidRPr="00E9364A">
        <w:fldChar w:fldCharType="begin"/>
      </w:r>
      <w:r w:rsidR="00CA6345">
        <w:instrText xml:space="preserve"> ADDIN ZOTERO_ITEM CSL_CITATION {"citationID":"mypQ5Sq4","properties":{"formattedCitation":"\\super 1\\nosupersub{}","plainCitation":"1","noteIndex":0},"citationItems":[{"id":66383,"uris":["http://zotero.org/groups/4797619/items/Y75R2AJY"],"itemData":{"id":66383,"type":"webpage","language":"eng","note":"publisher: NICE","title":"Final Scope. Trastuzumab deruxtecan for treating HER2-low unresectable or metastatic breast cancer after chemotherapy","URL":"https://www.nice.org.uk/guidance/gid-ta10813/documents/final-scope","author":[{"family":"NICE","given":""}],"accessed":{"date-parts":[["2022",11,29]]},"issued":{"date-parts":[["2023",1,6]]}}}],"schema":"https://github.com/citation-style-language/schema/raw/master/csl-citation.json"} </w:instrText>
      </w:r>
      <w:r w:rsidRPr="00E9364A">
        <w:fldChar w:fldCharType="separate"/>
      </w:r>
      <w:r w:rsidR="00FD57F4" w:rsidRPr="00FD57F4">
        <w:rPr>
          <w:rFonts w:cs="Arial"/>
          <w:szCs w:val="24"/>
          <w:vertAlign w:val="superscript"/>
        </w:rPr>
        <w:t>1</w:t>
      </w:r>
      <w:r w:rsidRPr="00E9364A">
        <w:fldChar w:fldCharType="end"/>
      </w:r>
      <w:r w:rsidRPr="00AD3FB6" w:rsidDel="00431A44">
        <w:t xml:space="preserve"> </w:t>
      </w:r>
      <w:r w:rsidR="00D515DC">
        <w:t>the European licensed indication for T-DXd in HER2-low,</w:t>
      </w:r>
      <w:r w:rsidR="008418B4">
        <w:rPr>
          <w:i/>
          <w:iCs/>
        </w:rPr>
        <w:fldChar w:fldCharType="begin"/>
      </w:r>
      <w:r w:rsidR="00CA6345">
        <w:rPr>
          <w:i/>
          <w:iCs/>
        </w:rPr>
        <w:instrText xml:space="preserve"> ADDIN ZOTERO_ITEM CSL_CITATION {"citationID":"68xtzO46","properties":{"formattedCitation":"\\super 3\\nosupersub{}","plainCitation":"3","noteIndex":0},"citationItems":[{"id":66851,"uris":["http://zotero.org/groups/4797619/items/EUUYPVTM"],"itemData":{"id":66851,"type":"document","title":"EMA Enhertu Summary of Product Characteristics (SmPC)","URL":"https://www.ema.europa.eu/en/documents/product-information/enhertu-epar-product-information_en.pdf","author":[{"family":"European Medicines Agency (EMA)","given":""}],"issued":{"date-parts":[["2023"]]}}}],"schema":"https://github.com/citation-style-language/schema/raw/master/csl-citation.json"} </w:instrText>
      </w:r>
      <w:r w:rsidR="008418B4">
        <w:rPr>
          <w:i/>
          <w:iCs/>
        </w:rPr>
        <w:fldChar w:fldCharType="separate"/>
      </w:r>
      <w:r w:rsidR="00FD57F4" w:rsidRPr="00FD57F4">
        <w:rPr>
          <w:rFonts w:cs="Arial"/>
          <w:szCs w:val="24"/>
          <w:vertAlign w:val="superscript"/>
        </w:rPr>
        <w:t>3</w:t>
      </w:r>
      <w:r w:rsidR="008418B4">
        <w:rPr>
          <w:i/>
          <w:iCs/>
        </w:rPr>
        <w:fldChar w:fldCharType="end"/>
      </w:r>
      <w:r w:rsidR="00D515DC">
        <w:t xml:space="preserve"> </w:t>
      </w:r>
      <w:r w:rsidRPr="00AD3FB6">
        <w:t xml:space="preserve">and the anticipated </w:t>
      </w:r>
      <w:r w:rsidR="00D515DC">
        <w:t xml:space="preserve">UK </w:t>
      </w:r>
      <w:r w:rsidRPr="00AD3FB6">
        <w:t>licensed indication for T-DXd.</w:t>
      </w:r>
      <w:r w:rsidRPr="00AD3FB6">
        <w:fldChar w:fldCharType="begin"/>
      </w:r>
      <w:r w:rsidR="00CA6345">
        <w:instrText xml:space="preserve"> ADDIN ZOTERO_ITEM CSL_CITATION {"citationID":"cwEpohWp","properties":{"formattedCitation":"\\super 164\\nosupersub{}","plainCitation":"164","noteIndex":0},"citationItems":[{"id":66411,"uris":["http://zotero.org/groups/4797619/items/EZK32SBF"],"itemData":{"id":66411,"type":"document","title":"Enhertu - Draft Summary of Product Characteristics (SmPC). Data on File.","author":[{"family":"Daiichi Sankyo Inc.","given":""}],"issued":{"date-parts":[["2022"]]}}}],"schema":"https://github.com/citation-style-language/schema/raw/master/csl-citation.json"} </w:instrText>
      </w:r>
      <w:r w:rsidRPr="00AD3FB6">
        <w:fldChar w:fldCharType="separate"/>
      </w:r>
      <w:r w:rsidR="00CA6345" w:rsidRPr="00CA6345">
        <w:rPr>
          <w:rFonts w:cs="Arial"/>
          <w:szCs w:val="24"/>
          <w:vertAlign w:val="superscript"/>
        </w:rPr>
        <w:t>164</w:t>
      </w:r>
      <w:r w:rsidRPr="00AD3FB6">
        <w:fldChar w:fldCharType="end"/>
      </w:r>
    </w:p>
    <w:p w14:paraId="7BD25F7C" w14:textId="77777777" w:rsidR="00036EA7" w:rsidRPr="00E9364A" w:rsidRDefault="00036EA7" w:rsidP="00036EA7">
      <w:pPr>
        <w:pStyle w:val="Heading3"/>
      </w:pPr>
      <w:bookmarkStart w:id="407" w:name="_Toc98924661"/>
      <w:bookmarkStart w:id="408" w:name="_Toc127006438"/>
      <w:bookmarkStart w:id="409" w:name="_Toc129350885"/>
      <w:r w:rsidRPr="00E9364A">
        <w:t>Model structure</w:t>
      </w:r>
      <w:bookmarkEnd w:id="407"/>
      <w:bookmarkEnd w:id="408"/>
      <w:bookmarkEnd w:id="409"/>
    </w:p>
    <w:p w14:paraId="50A60A03" w14:textId="41C5C267" w:rsidR="00036EA7" w:rsidRPr="00E9364A" w:rsidRDefault="00036EA7" w:rsidP="00036EA7">
      <w:pPr>
        <w:pStyle w:val="Body"/>
        <w:rPr>
          <w:lang w:val="en-US"/>
        </w:rPr>
      </w:pPr>
      <w:r w:rsidRPr="00E9364A">
        <w:t xml:space="preserve">The de novo </w:t>
      </w:r>
      <w:r w:rsidR="00810650">
        <w:t>CEA</w:t>
      </w:r>
      <w:r w:rsidRPr="00E9364A">
        <w:t xml:space="preserve"> was developed in Microsoft Excel</w:t>
      </w:r>
      <w:r w:rsidRPr="00E9364A">
        <w:rPr>
          <w:vertAlign w:val="superscript"/>
        </w:rPr>
        <w:t>®</w:t>
      </w:r>
      <w:r w:rsidRPr="00E9364A">
        <w:t xml:space="preserve"> using an area-under-the-curve, partitioned survival analysis (PartSA) structure in both deterministic and probabilistic (Monte Carlo simulation) frameworks. The model structure has three health states</w:t>
      </w:r>
      <w:r w:rsidRPr="00E9364A">
        <w:rPr>
          <w:i/>
        </w:rPr>
        <w:t>: ‘progression-free’</w:t>
      </w:r>
      <w:r w:rsidRPr="00E9364A">
        <w:t xml:space="preserve">, </w:t>
      </w:r>
      <w:r w:rsidRPr="00E9364A">
        <w:rPr>
          <w:i/>
        </w:rPr>
        <w:t>‘</w:t>
      </w:r>
      <w:r w:rsidRPr="00AD3FB6">
        <w:rPr>
          <w:i/>
        </w:rPr>
        <w:t>post-</w:t>
      </w:r>
      <w:r w:rsidRPr="00E9364A">
        <w:rPr>
          <w:i/>
        </w:rPr>
        <w:t>progression’</w:t>
      </w:r>
      <w:r w:rsidRPr="00E9364A">
        <w:t xml:space="preserve"> and </w:t>
      </w:r>
      <w:r w:rsidRPr="00E9364A">
        <w:rPr>
          <w:i/>
        </w:rPr>
        <w:t>‘death’</w:t>
      </w:r>
      <w:r w:rsidRPr="00E9364A">
        <w:t xml:space="preserve">. This model structure was selected based on the following reasons: </w:t>
      </w:r>
    </w:p>
    <w:p w14:paraId="0CDAF992" w14:textId="2E165E1B" w:rsidR="00036EA7" w:rsidRPr="00E9364A" w:rsidRDefault="00036EA7" w:rsidP="00036EA7">
      <w:pPr>
        <w:pStyle w:val="Body"/>
        <w:numPr>
          <w:ilvl w:val="0"/>
          <w:numId w:val="49"/>
        </w:numPr>
        <w:rPr>
          <w:lang w:val="en-US"/>
        </w:rPr>
      </w:pPr>
      <w:r w:rsidRPr="00E9364A">
        <w:t>This structure is in line with the primary outcome (PFS) and key secondary outcome (OS) in the DESTINY-Breast0</w:t>
      </w:r>
      <w:r w:rsidRPr="00AD3FB6">
        <w:t>4</w:t>
      </w:r>
      <w:r w:rsidRPr="00E9364A">
        <w:t xml:space="preserve"> trial.</w:t>
      </w:r>
      <w:r w:rsidRPr="00AD3FB6">
        <w:fldChar w:fldCharType="begin"/>
      </w:r>
      <w:r w:rsidR="00CA6345">
        <w:instrText xml:space="preserve"> ADDIN ZOTERO_ITEM CSL_CITATION {"citationID":"5egJIMIQ","properties":{"formattedCitation":"\\super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AD3FB6">
        <w:fldChar w:fldCharType="separate"/>
      </w:r>
      <w:r w:rsidR="00FD57F4" w:rsidRPr="00FD57F4">
        <w:rPr>
          <w:rFonts w:cs="Arial"/>
          <w:szCs w:val="24"/>
          <w:vertAlign w:val="superscript"/>
        </w:rPr>
        <w:t>7</w:t>
      </w:r>
      <w:r w:rsidRPr="00AD3FB6">
        <w:fldChar w:fldCharType="end"/>
      </w:r>
    </w:p>
    <w:p w14:paraId="47A51FC5" w14:textId="17B60C60" w:rsidR="00036EA7" w:rsidRPr="00E9364A" w:rsidRDefault="00036EA7" w:rsidP="00036EA7">
      <w:pPr>
        <w:pStyle w:val="Body"/>
        <w:numPr>
          <w:ilvl w:val="0"/>
          <w:numId w:val="49"/>
        </w:numPr>
        <w:rPr>
          <w:lang w:val="en-US"/>
        </w:rPr>
      </w:pPr>
      <w:r w:rsidRPr="00E9364A">
        <w:t xml:space="preserve">Progression-based models are commonly used within oncology cost-effectiveness </w:t>
      </w:r>
      <w:r w:rsidRPr="00AD3FB6">
        <w:t>analyses</w:t>
      </w:r>
      <w:r w:rsidRPr="00E9364A">
        <w:t xml:space="preserve"> because they provide an intuitive application of the outcomes seen in cancer-based trials and accurately reflect the progressive nature of BC. NICE </w:t>
      </w:r>
      <w:r w:rsidR="003232FC">
        <w:t>Decision Support Unit (</w:t>
      </w:r>
      <w:r w:rsidRPr="00E9364A">
        <w:t>DSU</w:t>
      </w:r>
      <w:r w:rsidR="003232FC">
        <w:t>)</w:t>
      </w:r>
      <w:r w:rsidRPr="00E9364A">
        <w:t xml:space="preserve"> confirms their appropriateness based on their intuitive nature and ability to easily communicate outcomes.</w:t>
      </w:r>
      <w:r w:rsidRPr="00E9364A">
        <w:fldChar w:fldCharType="begin"/>
      </w:r>
      <w:r w:rsidR="00CA6345">
        <w:instrText xml:space="preserve"> ADDIN ZOTERO_ITEM CSL_CITATION {"citationID":"uxF5N8Uo","properties":{"formattedCitation":"\\super 165\\nosupersub{}","plainCitation":"165","noteIndex":0},"citationItems":[{"id":66782,"uris":["http://zotero.org/groups/4797619/items/UDZ3KQEZ"],"itemData":{"id":66782,"type":"document","abstract":"Cost-effectiveness analyses informing NICE appraisals use a range of modelling approaches such as decision trees, Markov models and individual sampling models. Most of these have been subject to detailed discussion within the economic evaluation literature. This has not been the case for one approach, partitioned survival analysis, which has been used extensively in the NICE Technology Appraisal (TA) Programme and is now the most commonly used decision modelling approach for appraisals of interventions for advanced or metastatic cancers.\nThe objective of this Technical Support Document (TSD) is to describe and critique partitioned survival analysis when used as a decision modelling tool in order to assist different stakeholders in determining its appropriateness as a basis for informing policy decisions. This TSD provides:\n• A description of the partitioned survival analysis approach and how it differs from more conventional state transition models in terms of structural assumptions and data requirements (Section 2).\n• A review of the use of partitioned survival analysis in recent NICE TAs of cancer treatments (Section 3).\n• A critique of the approach focusing on the implications of the structural assumptions made for extrapolation and quantification of uncertainties (Section 4).\n• The relative merits of partitioned survival analysis and state transition modelling approaches (Section 4).\n• Recommendations for the selection of a modelling approach, documentation of the selected approach, representation of uncertainties relating to extrapolation, and for further methods research (Section 6).\nThe focus of this TSD is the application of partitioned survival analysis in appraisals of cancer treatments as this is where the approach has been used most frequently to date. Nonetheless, the TSD has broader relevance for the application of partitioned survival analysis as a decision modelling approach in other clinical settings.","title":"NICE DSU technical support document 19: partitioned survival analysis for decision modelling in healthcare: a critical review","URL":"https://www.sheffield.ac.uk/nice-dsu/tsds/partitioned-survival-analysis","author":[{"family":"Decision Support Unit","given":""}],"issued":{"date-parts":[["2017",6,2]]}}}],"schema":"https://github.com/citation-style-language/schema/raw/master/csl-citation.json"} </w:instrText>
      </w:r>
      <w:r w:rsidRPr="00E9364A">
        <w:fldChar w:fldCharType="separate"/>
      </w:r>
      <w:r w:rsidR="00CA6345" w:rsidRPr="00CA6345">
        <w:rPr>
          <w:rFonts w:cs="Arial"/>
          <w:szCs w:val="24"/>
          <w:vertAlign w:val="superscript"/>
        </w:rPr>
        <w:t>165</w:t>
      </w:r>
      <w:r w:rsidRPr="00E9364A">
        <w:fldChar w:fldCharType="end"/>
      </w:r>
    </w:p>
    <w:p w14:paraId="24C09838" w14:textId="22CBF28F" w:rsidR="00036EA7" w:rsidRPr="00E9364A" w:rsidRDefault="00036EA7" w:rsidP="00036EA7">
      <w:pPr>
        <w:pStyle w:val="Body"/>
        <w:numPr>
          <w:ilvl w:val="0"/>
          <w:numId w:val="49"/>
        </w:numPr>
        <w:rPr>
          <w:lang w:val="en-US"/>
        </w:rPr>
      </w:pPr>
      <w:r w:rsidRPr="00AD3FB6">
        <w:t xml:space="preserve">The PartSA structure </w:t>
      </w:r>
      <w:r w:rsidRPr="00E9364A">
        <w:t xml:space="preserve">is consistent with that used in previous NICE appraisals in </w:t>
      </w:r>
      <w:r w:rsidRPr="00AD3FB6">
        <w:t xml:space="preserve">u/mBC, </w:t>
      </w:r>
      <w:r w:rsidRPr="00E9364A">
        <w:t>which have been accepted as appropriate for decision making by the respective committees</w:t>
      </w:r>
      <w:r w:rsidRPr="00AD3FB6">
        <w:t>.</w:t>
      </w:r>
      <w:r w:rsidRPr="00AD3FB6">
        <w:fldChar w:fldCharType="begin"/>
      </w:r>
      <w:r w:rsidR="00CA6345">
        <w:instrText xml:space="preserve"> ADDIN ZOTERO_ITEM CSL_CITATION {"citationID":"a9LL5jdw","properties":{"formattedCitation":"\\super 5,131,132\\nosupersub{}","plainCitation":"5,131,132","noteIndex":0},"citationItems":[{"id":66214,"uris":["http://zotero.org/groups/4797619/items/H2PQC2GH"],"itemData":{"id":66214,"type":"webpage","abstract":"Trastuzumab deruxtecan for treating HER2-positive unresectable or metastatic breast cancer after trastuzumab and a taxane [TA862]","language":"eng","note":"publisher: NICE","title":"Trastuzumab deruxtecan for treating HER2-positive unresectable or metastatic breast cancer after 1 or more anti-HER2 therapies | NICE [TA862]","URL":"https://www.nice.org.uk/guidance/indevelopment/gid-ta10804/documents","author":[{"family":"NICE","given":""}],"accessed":{"date-parts":[["2023",2,5]]},"issued":{"date-parts":[["2023",2]]}}},{"id":65884,"uris":["http://zotero.org/groups/4797619/items/GKXW7XYV"],"itemData":{"id":65884,"type":"webpage","abstract":"Evidence-based recommendations on eribulin (Halaven) for treating locally advanced or metastatic breast cancer after 2 or more types of chemotherapy","language":"eng","note":"publisher: NICE","title":"Eribulin for treating locally advanced or metastatic breast cancer after 2 or more chemotherapy regimens | NICE [TA423]","URL":"https://www.nice.org.uk/guidance/ta423","author":[{"family":"NICE","given":""}],"accessed":{"date-parts":[["2022",10,17]]}}},{"id":65875,"uris":["http://zotero.org/groups/4797619/items/IP9MEGL9"],"itemData":{"id":65875,"type":"webpage","abstract":"Evidence-based recommendations on sacituzumab govetican (Trodelvy) for treating unresectable, triple-negative locally advanced or metastatic breast cancer in adults after 2 or more systemic therapies, at least 1 of which was for advanced disease","language":"eng","note":"publisher: NICE","title":"Sacituzumab govitecan for treating unresectable triple-negative advanced breast cancer after 2 or more therapies | NICE [TA819]","URL":"https://www.nice.org.uk/guidance/ta819","author":[{"family":"NICE","given":""}],"accessed":{"date-parts":[["2022",10,17]]}}}],"schema":"https://github.com/citation-style-language/schema/raw/master/csl-citation.json"} </w:instrText>
      </w:r>
      <w:r w:rsidRPr="00AD3FB6">
        <w:fldChar w:fldCharType="separate"/>
      </w:r>
      <w:r w:rsidR="00CA6345" w:rsidRPr="00CA6345">
        <w:rPr>
          <w:rFonts w:cs="Arial"/>
          <w:szCs w:val="24"/>
          <w:vertAlign w:val="superscript"/>
        </w:rPr>
        <w:t>5,131,132</w:t>
      </w:r>
      <w:r w:rsidRPr="00AD3FB6">
        <w:fldChar w:fldCharType="end"/>
      </w:r>
      <w:r w:rsidRPr="00E9364A">
        <w:t xml:space="preserve"> </w:t>
      </w:r>
    </w:p>
    <w:p w14:paraId="0B9C530C" w14:textId="379DFF56" w:rsidR="00036EA7" w:rsidRPr="00E9364A" w:rsidRDefault="00036EA7" w:rsidP="00036EA7">
      <w:pPr>
        <w:pStyle w:val="Body"/>
      </w:pPr>
      <w:r w:rsidRPr="00E9364A">
        <w:t>The model structure and permitted flow of patients is shown in</w:t>
      </w:r>
      <w:r w:rsidRPr="00E9364A">
        <w:rPr>
          <w:b/>
          <w:bCs/>
        </w:rPr>
        <w:t xml:space="preserve"> </w:t>
      </w:r>
      <w:r w:rsidRPr="003C648C">
        <w:rPr>
          <w:b/>
        </w:rPr>
        <w:fldChar w:fldCharType="begin"/>
      </w:r>
      <w:r w:rsidRPr="003C648C">
        <w:rPr>
          <w:b/>
        </w:rPr>
        <w:instrText xml:space="preserve"> REF _Ref96103925 \h  \* MERGEFORMAT </w:instrText>
      </w:r>
      <w:r w:rsidRPr="003C648C">
        <w:rPr>
          <w:b/>
        </w:rPr>
      </w:r>
      <w:r w:rsidRPr="003C648C">
        <w:rPr>
          <w:b/>
        </w:rPr>
        <w:fldChar w:fldCharType="separate"/>
      </w:r>
      <w:r w:rsidR="00145F42" w:rsidRPr="00145F42">
        <w:rPr>
          <w:b/>
        </w:rPr>
        <w:t>Figure 22</w:t>
      </w:r>
      <w:r w:rsidRPr="003C648C">
        <w:rPr>
          <w:b/>
        </w:rPr>
        <w:fldChar w:fldCharType="end"/>
      </w:r>
      <w:r w:rsidRPr="00E9364A">
        <w:t xml:space="preserve">. All patients enter the model in the </w:t>
      </w:r>
      <w:r w:rsidRPr="00E9364A">
        <w:rPr>
          <w:i/>
          <w:iCs/>
        </w:rPr>
        <w:t>‘progression-free’</w:t>
      </w:r>
      <w:r w:rsidRPr="00E9364A">
        <w:t xml:space="preserve"> health state and receive treatment with either T-DXd or </w:t>
      </w:r>
      <w:r w:rsidRPr="00AD3FB6">
        <w:t>TPC</w:t>
      </w:r>
      <w:r w:rsidRPr="00E9364A">
        <w:t xml:space="preserve">, and within this health state patients are at risk of disease progression or death. Patients in the </w:t>
      </w:r>
      <w:r w:rsidRPr="00E9364A">
        <w:rPr>
          <w:i/>
          <w:iCs/>
        </w:rPr>
        <w:t>‘</w:t>
      </w:r>
      <w:r w:rsidRPr="00AD3FB6">
        <w:rPr>
          <w:i/>
        </w:rPr>
        <w:t>post-</w:t>
      </w:r>
      <w:r w:rsidRPr="00E9364A">
        <w:rPr>
          <w:i/>
        </w:rPr>
        <w:t>progression</w:t>
      </w:r>
      <w:r w:rsidRPr="00E9364A">
        <w:t xml:space="preserve">’ health state </w:t>
      </w:r>
      <w:r w:rsidRPr="00AD3FB6">
        <w:t xml:space="preserve">cannot return to the </w:t>
      </w:r>
      <w:r w:rsidRPr="00AD3FB6">
        <w:rPr>
          <w:i/>
          <w:iCs/>
        </w:rPr>
        <w:t xml:space="preserve">‘progression-free’ </w:t>
      </w:r>
      <w:r w:rsidRPr="00AD3FB6">
        <w:t xml:space="preserve">state and </w:t>
      </w:r>
      <w:r w:rsidRPr="00E9364A">
        <w:t xml:space="preserve">are at risk of transitioning to </w:t>
      </w:r>
      <w:r w:rsidRPr="00E9364A">
        <w:rPr>
          <w:i/>
        </w:rPr>
        <w:t>‘death’</w:t>
      </w:r>
      <w:r w:rsidRPr="00E9364A">
        <w:t xml:space="preserve">, which is an absorbing state. </w:t>
      </w:r>
    </w:p>
    <w:p w14:paraId="072A9767" w14:textId="120B162C" w:rsidR="00036EA7" w:rsidRPr="00E9364A" w:rsidRDefault="00036EA7" w:rsidP="00036EA7">
      <w:pPr>
        <w:pStyle w:val="Caption"/>
      </w:pPr>
      <w:bookmarkStart w:id="410" w:name="_Ref96103925"/>
      <w:bookmarkStart w:id="411" w:name="_Toc98924711"/>
      <w:bookmarkStart w:id="412" w:name="_Toc127006639"/>
      <w:bookmarkStart w:id="413" w:name="_Toc129350948"/>
      <w:r w:rsidRPr="00E9364A">
        <w:lastRenderedPageBreak/>
        <w:t xml:space="preserve">Figure </w:t>
      </w:r>
      <w:r w:rsidRPr="00E9364A">
        <w:fldChar w:fldCharType="begin"/>
      </w:r>
      <w:r w:rsidRPr="00E9364A">
        <w:instrText>SEQ Figure \* ARABIC</w:instrText>
      </w:r>
      <w:r w:rsidRPr="00E9364A">
        <w:fldChar w:fldCharType="separate"/>
      </w:r>
      <w:r w:rsidR="00145F42">
        <w:rPr>
          <w:noProof/>
        </w:rPr>
        <w:t>22</w:t>
      </w:r>
      <w:r w:rsidRPr="00E9364A">
        <w:fldChar w:fldCharType="end"/>
      </w:r>
      <w:bookmarkEnd w:id="410"/>
      <w:r w:rsidRPr="00E9364A">
        <w:t>: Model schematic</w:t>
      </w:r>
      <w:bookmarkEnd w:id="411"/>
      <w:bookmarkEnd w:id="412"/>
      <w:bookmarkEnd w:id="413"/>
    </w:p>
    <w:tbl>
      <w:tblPr>
        <w:tblStyle w:val="TableGrid"/>
        <w:tblW w:w="0" w:type="auto"/>
        <w:jc w:val="center"/>
        <w:tblLook w:val="04A0" w:firstRow="1" w:lastRow="0" w:firstColumn="1" w:lastColumn="0" w:noHBand="0" w:noVBand="1"/>
      </w:tblPr>
      <w:tblGrid>
        <w:gridCol w:w="9017"/>
      </w:tblGrid>
      <w:tr w:rsidR="00036EA7" w:rsidRPr="00E9364A" w14:paraId="5E7E536B" w14:textId="77777777">
        <w:trPr>
          <w:trHeight w:val="1828"/>
          <w:jc w:val="center"/>
        </w:trPr>
        <w:tc>
          <w:tcPr>
            <w:tcW w:w="9017" w:type="dxa"/>
          </w:tcPr>
          <w:p w14:paraId="07FF0C0F" w14:textId="77777777" w:rsidR="00036EA7" w:rsidRPr="00E9364A" w:rsidRDefault="00036EA7">
            <w:r w:rsidRPr="00E9364A">
              <w:rPr>
                <w:noProof/>
              </w:rPr>
              <w:drawing>
                <wp:inline distT="0" distB="0" distL="0" distR="0" wp14:anchorId="5CB84EA0" wp14:editId="25AD2ACA">
                  <wp:extent cx="5732145" cy="244983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2449830"/>
                          </a:xfrm>
                          <a:prstGeom prst="rect">
                            <a:avLst/>
                          </a:prstGeom>
                        </pic:spPr>
                      </pic:pic>
                    </a:graphicData>
                  </a:graphic>
                </wp:inline>
              </w:drawing>
            </w:r>
          </w:p>
        </w:tc>
      </w:tr>
    </w:tbl>
    <w:p w14:paraId="2F532403" w14:textId="77777777" w:rsidR="00036EA7" w:rsidRPr="00AD3FB6" w:rsidRDefault="00036EA7" w:rsidP="00036EA7">
      <w:pPr>
        <w:pStyle w:val="Body"/>
        <w:rPr>
          <w:sz w:val="18"/>
          <w:szCs w:val="18"/>
        </w:rPr>
      </w:pPr>
      <w:r w:rsidRPr="00AD3FB6">
        <w:rPr>
          <w:sz w:val="18"/>
          <w:szCs w:val="18"/>
        </w:rPr>
        <w:t>All patients in the model move between the three states: ‘progression-free‘ ‘post-progression‘, and ‘death‘. Arrows indicate the transition possibilities between the health states.</w:t>
      </w:r>
    </w:p>
    <w:p w14:paraId="23994F66" w14:textId="1AD40DB9" w:rsidR="00036EA7" w:rsidRPr="00E9364A" w:rsidRDefault="00036EA7" w:rsidP="00036EA7">
      <w:pPr>
        <w:pStyle w:val="Body"/>
      </w:pPr>
      <w:r w:rsidRPr="00E9364A">
        <w:t>The occupancy of the ‘</w:t>
      </w:r>
      <w:r w:rsidRPr="00E9364A">
        <w:rPr>
          <w:i/>
        </w:rPr>
        <w:t>progression-</w:t>
      </w:r>
      <w:r w:rsidRPr="00E9364A">
        <w:rPr>
          <w:i/>
          <w:iCs/>
        </w:rPr>
        <w:t>free’</w:t>
      </w:r>
      <w:r w:rsidRPr="00E9364A">
        <w:t xml:space="preserve"> state is calculated as the area underneath the PFS curve (informed by patient-level data from DESTINY-Breast0</w:t>
      </w:r>
      <w:r w:rsidRPr="00AD3FB6">
        <w:t>4</w:t>
      </w:r>
      <w:r w:rsidRPr="00E9364A">
        <w:t xml:space="preserve">), while the </w:t>
      </w:r>
      <w:r w:rsidRPr="00E9364A">
        <w:rPr>
          <w:i/>
        </w:rPr>
        <w:t>‘</w:t>
      </w:r>
      <w:r w:rsidRPr="00AD3FB6">
        <w:rPr>
          <w:i/>
        </w:rPr>
        <w:t>post-</w:t>
      </w:r>
      <w:r w:rsidRPr="00E9364A">
        <w:rPr>
          <w:i/>
        </w:rPr>
        <w:t>progression</w:t>
      </w:r>
      <w:r w:rsidRPr="00E9364A">
        <w:t>’ state is calculated as the area between the OS curve (</w:t>
      </w:r>
      <w:r w:rsidRPr="00AD3FB6">
        <w:t>informed by patient-level data from DESTINY-Breast04)</w:t>
      </w:r>
      <w:r w:rsidRPr="00E9364A">
        <w:t xml:space="preserve"> and the PFS curve (</w:t>
      </w:r>
      <w:r w:rsidRPr="003C648C">
        <w:rPr>
          <w:b/>
        </w:rPr>
        <w:fldChar w:fldCharType="begin"/>
      </w:r>
      <w:r w:rsidRPr="003C648C">
        <w:rPr>
          <w:b/>
        </w:rPr>
        <w:instrText xml:space="preserve"> REF _Ref117584462 \h  \* MERGEFORMAT </w:instrText>
      </w:r>
      <w:r w:rsidRPr="003C648C">
        <w:rPr>
          <w:b/>
        </w:rPr>
      </w:r>
      <w:r w:rsidRPr="003C648C">
        <w:rPr>
          <w:b/>
        </w:rPr>
        <w:fldChar w:fldCharType="separate"/>
      </w:r>
      <w:r w:rsidR="00145F42" w:rsidRPr="00145F42">
        <w:rPr>
          <w:b/>
        </w:rPr>
        <w:t>Figure 23</w:t>
      </w:r>
      <w:r w:rsidRPr="003C648C">
        <w:rPr>
          <w:b/>
        </w:rPr>
        <w:fldChar w:fldCharType="end"/>
      </w:r>
      <w:r w:rsidRPr="00E9364A">
        <w:t>). The proportion of patients in each health state at any time point (per cycle) is therefore calculated as follows:</w:t>
      </w:r>
    </w:p>
    <w:p w14:paraId="4B87BA65" w14:textId="77777777" w:rsidR="00036EA7" w:rsidRPr="00E9364A" w:rsidRDefault="00036EA7" w:rsidP="00036EA7">
      <w:pPr>
        <w:pStyle w:val="Body"/>
        <w:numPr>
          <w:ilvl w:val="0"/>
          <w:numId w:val="50"/>
        </w:numPr>
      </w:pPr>
      <w:r w:rsidRPr="00E9364A">
        <w:t>Progression-free = PFS</w:t>
      </w:r>
    </w:p>
    <w:p w14:paraId="31069354" w14:textId="77777777" w:rsidR="00036EA7" w:rsidRPr="00E9364A" w:rsidRDefault="00036EA7" w:rsidP="00036EA7">
      <w:pPr>
        <w:pStyle w:val="Body"/>
        <w:numPr>
          <w:ilvl w:val="0"/>
          <w:numId w:val="50"/>
        </w:numPr>
      </w:pPr>
      <w:r w:rsidRPr="00AD3FB6">
        <w:t>Post-</w:t>
      </w:r>
      <w:r w:rsidRPr="00E9364A">
        <w:t>progression = OS – PFS</w:t>
      </w:r>
    </w:p>
    <w:p w14:paraId="644EC0CD" w14:textId="77777777" w:rsidR="00036EA7" w:rsidRPr="00E9364A" w:rsidRDefault="00036EA7" w:rsidP="00036EA7">
      <w:pPr>
        <w:pStyle w:val="Body"/>
        <w:numPr>
          <w:ilvl w:val="0"/>
          <w:numId w:val="50"/>
        </w:numPr>
      </w:pPr>
      <w:r w:rsidRPr="00E9364A">
        <w:t>Death = 1 – OS</w:t>
      </w:r>
    </w:p>
    <w:p w14:paraId="3C4756A8" w14:textId="5502E79A" w:rsidR="00036EA7" w:rsidRPr="00E9364A" w:rsidRDefault="00036EA7" w:rsidP="00036EA7">
      <w:pPr>
        <w:pStyle w:val="Caption"/>
      </w:pPr>
      <w:bookmarkStart w:id="414" w:name="_Ref117584462"/>
      <w:bookmarkStart w:id="415" w:name="_Toc127006640"/>
      <w:bookmarkStart w:id="416" w:name="_Toc129350949"/>
      <w:r w:rsidRPr="00E9364A">
        <w:t xml:space="preserve">Figure </w:t>
      </w:r>
      <w:r w:rsidRPr="00E9364A">
        <w:fldChar w:fldCharType="begin"/>
      </w:r>
      <w:r w:rsidRPr="00E9364A">
        <w:instrText>SEQ Figure \* ARABIC</w:instrText>
      </w:r>
      <w:r w:rsidRPr="00E9364A">
        <w:fldChar w:fldCharType="separate"/>
      </w:r>
      <w:r w:rsidR="00145F42">
        <w:rPr>
          <w:noProof/>
        </w:rPr>
        <w:t>23</w:t>
      </w:r>
      <w:r w:rsidRPr="00E9364A">
        <w:fldChar w:fldCharType="end"/>
      </w:r>
      <w:bookmarkEnd w:id="414"/>
      <w:r w:rsidRPr="00E9364A">
        <w:t>: Partitioned survival analysis</w:t>
      </w:r>
      <w:bookmarkEnd w:id="415"/>
      <w:bookmarkEnd w:id="416"/>
    </w:p>
    <w:tbl>
      <w:tblPr>
        <w:tblStyle w:val="TableGrid"/>
        <w:tblW w:w="0" w:type="auto"/>
        <w:tblLook w:val="04A0" w:firstRow="1" w:lastRow="0" w:firstColumn="1" w:lastColumn="0" w:noHBand="0" w:noVBand="1"/>
      </w:tblPr>
      <w:tblGrid>
        <w:gridCol w:w="9017"/>
      </w:tblGrid>
      <w:tr w:rsidR="00036EA7" w14:paraId="473D3B58" w14:textId="77777777">
        <w:trPr>
          <w:trHeight w:val="3462"/>
        </w:trPr>
        <w:tc>
          <w:tcPr>
            <w:tcW w:w="9017" w:type="dxa"/>
          </w:tcPr>
          <w:p w14:paraId="17D4513C" w14:textId="77777777" w:rsidR="00036EA7" w:rsidRDefault="00036EA7">
            <w:pPr>
              <w:pStyle w:val="Body"/>
              <w:spacing w:after="0"/>
              <w:jc w:val="center"/>
            </w:pPr>
            <w:r>
              <w:rPr>
                <w:noProof/>
              </w:rPr>
              <w:drawing>
                <wp:inline distT="0" distB="0" distL="0" distR="0" wp14:anchorId="7F4F58FA" wp14:editId="2215679B">
                  <wp:extent cx="4355292" cy="2179838"/>
                  <wp:effectExtent l="0" t="0" r="0" b="0"/>
                  <wp:docPr id="13" name="Picture 13" descr="Graphical user interface&#10;&#10;Description automatically generated">
                    <a:extLst xmlns:a="http://schemas.openxmlformats.org/drawingml/2006/main">
                      <a:ext uri="{FF2B5EF4-FFF2-40B4-BE49-F238E27FC236}">
                        <a16:creationId xmlns:a16="http://schemas.microsoft.com/office/drawing/2014/main" id="{87838A5C-90FF-E60E-5B24-FD04DA9371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a:extLst>
                              <a:ext uri="{FF2B5EF4-FFF2-40B4-BE49-F238E27FC236}">
                                <a16:creationId xmlns:a16="http://schemas.microsoft.com/office/drawing/2014/main" id="{87838A5C-90FF-E60E-5B24-FD04DA937108}"/>
                              </a:ext>
                            </a:extLst>
                          </pic:cNvPr>
                          <pic:cNvPicPr>
                            <a:picLocks noChangeAspect="1"/>
                          </pic:cNvPicPr>
                        </pic:nvPicPr>
                        <pic:blipFill rotWithShape="1">
                          <a:blip r:embed="rId33" cstate="print">
                            <a:extLst>
                              <a:ext uri="{28A0092B-C50C-407E-A947-70E740481C1C}">
                                <a14:useLocalDpi xmlns:a14="http://schemas.microsoft.com/office/drawing/2010/main" val="0"/>
                              </a:ext>
                            </a:extLst>
                          </a:blip>
                          <a:srcRect b="21544"/>
                          <a:stretch/>
                        </pic:blipFill>
                        <pic:spPr bwMode="auto">
                          <a:xfrm>
                            <a:off x="0" y="0"/>
                            <a:ext cx="4364603" cy="2184498"/>
                          </a:xfrm>
                          <a:prstGeom prst="rect">
                            <a:avLst/>
                          </a:prstGeom>
                          <a:ln>
                            <a:noFill/>
                          </a:ln>
                          <a:extLst>
                            <a:ext uri="{53640926-AAD7-44D8-BBD7-CCE9431645EC}">
                              <a14:shadowObscured xmlns:a14="http://schemas.microsoft.com/office/drawing/2010/main"/>
                            </a:ext>
                          </a:extLst>
                        </pic:spPr>
                      </pic:pic>
                    </a:graphicData>
                  </a:graphic>
                </wp:inline>
              </w:drawing>
            </w:r>
          </w:p>
        </w:tc>
      </w:tr>
    </w:tbl>
    <w:p w14:paraId="131A82ED" w14:textId="77777777" w:rsidR="00036EA7" w:rsidRPr="001374E9" w:rsidRDefault="00036EA7" w:rsidP="00036EA7">
      <w:pPr>
        <w:pStyle w:val="Footnotes"/>
      </w:pPr>
      <w:r w:rsidRPr="001374E9">
        <w:t>Abbreviations: OS, overall survival; PFS, progression-free survival</w:t>
      </w:r>
      <w:r>
        <w:t xml:space="preserve">; </w:t>
      </w:r>
      <w:r w:rsidRPr="00FD2A30">
        <w:rPr>
          <w:i/>
        </w:rPr>
        <w:t>S</w:t>
      </w:r>
      <w:r>
        <w:t xml:space="preserve">, survival; </w:t>
      </w:r>
      <w:r w:rsidRPr="00FD2A30">
        <w:rPr>
          <w:i/>
        </w:rPr>
        <w:t>t</w:t>
      </w:r>
      <w:r>
        <w:t>, time</w:t>
      </w:r>
      <w:r w:rsidRPr="001374E9">
        <w:t xml:space="preserve">. </w:t>
      </w:r>
    </w:p>
    <w:p w14:paraId="7B1D7D69" w14:textId="4DA451D4" w:rsidR="00036EA7" w:rsidRPr="00E9364A" w:rsidRDefault="00036EA7" w:rsidP="00036EA7">
      <w:pPr>
        <w:pStyle w:val="Body"/>
      </w:pPr>
      <w:r w:rsidRPr="00FA6480">
        <w:t xml:space="preserve">A time to treatment </w:t>
      </w:r>
      <w:r w:rsidRPr="00E9364A">
        <w:t xml:space="preserve">discontinuation (TTD) curve is used (informed by individual </w:t>
      </w:r>
      <w:r w:rsidR="000132E6">
        <w:t>PLD</w:t>
      </w:r>
      <w:r w:rsidRPr="00E9364A">
        <w:t xml:space="preserve"> from DESTINY-Breast0</w:t>
      </w:r>
      <w:r w:rsidRPr="00AD3FB6">
        <w:t>4</w:t>
      </w:r>
      <w:r w:rsidRPr="00E9364A">
        <w:t>) to calculate the proportion of patients within the ‘</w:t>
      </w:r>
      <w:r w:rsidRPr="00E9364A">
        <w:rPr>
          <w:i/>
        </w:rPr>
        <w:t>progression-free’</w:t>
      </w:r>
      <w:r w:rsidRPr="00E9364A">
        <w:t xml:space="preserve"> health state who are on treatment and is used for drug cost calculations. Details of how the TTD, PFS and OS curves are derived is provided in </w:t>
      </w:r>
      <w:r w:rsidRPr="003C648C">
        <w:rPr>
          <w:b/>
        </w:rPr>
        <w:t xml:space="preserve">Section </w:t>
      </w:r>
      <w:r w:rsidRPr="003C648C">
        <w:rPr>
          <w:b/>
        </w:rPr>
        <w:fldChar w:fldCharType="begin"/>
      </w:r>
      <w:r w:rsidRPr="003C648C">
        <w:rPr>
          <w:b/>
        </w:rPr>
        <w:instrText xml:space="preserve"> REF _Ref99727326 \r \h  \* MERGEFORMAT </w:instrText>
      </w:r>
      <w:r w:rsidRPr="003C648C">
        <w:rPr>
          <w:b/>
        </w:rPr>
      </w:r>
      <w:r w:rsidRPr="003C648C">
        <w:rPr>
          <w:b/>
        </w:rPr>
        <w:fldChar w:fldCharType="separate"/>
      </w:r>
      <w:r w:rsidR="00145F42">
        <w:rPr>
          <w:b/>
        </w:rPr>
        <w:t>B.3.3.2</w:t>
      </w:r>
      <w:r w:rsidRPr="003C648C">
        <w:rPr>
          <w:b/>
        </w:rPr>
        <w:fldChar w:fldCharType="end"/>
      </w:r>
      <w:r w:rsidRPr="00E9364A">
        <w:t xml:space="preserve">. </w:t>
      </w:r>
    </w:p>
    <w:p w14:paraId="356111A4" w14:textId="38159269" w:rsidR="00036EA7" w:rsidRPr="00E9364A" w:rsidRDefault="00036EA7" w:rsidP="00036EA7">
      <w:pPr>
        <w:pStyle w:val="Body"/>
      </w:pPr>
      <w:r w:rsidRPr="00E9364A">
        <w:lastRenderedPageBreak/>
        <w:t>Extrapolated OS curves are adjusted for background general population mortality informed by the 2018-2020 National Life Tables for England and Wales</w:t>
      </w:r>
      <w:r w:rsidRPr="00E9364A">
        <w:fldChar w:fldCharType="begin"/>
      </w:r>
      <w:r w:rsidR="00CA6345">
        <w:instrText xml:space="preserve"> ADDIN ZOTERO_ITEM CSL_CITATION {"citationID":"44EyR9Fy","properties":{"formattedCitation":"\\super 166\\nosupersub{}","plainCitation":"166","noteIndex":0},"citationItems":[{"id":65889,"uris":["http://zotero.org/groups/4797619/items/QIYXYR97"],"itemData":{"id":65889,"type":"webpage","title":"National life tables: England and Wales - Office for National Statistics","URL":"https://www.ons.gov.uk/peoplepopulationandcommunity/birthsdeathsandmarriages/lifeexpectancies/datasets/nationallifetablesenglandandwalesreferencetables/current","accessed":{"date-parts":[["2022",10,25]]}}}],"schema":"https://github.com/citation-style-language/schema/raw/master/csl-citation.json"} </w:instrText>
      </w:r>
      <w:r w:rsidRPr="00E9364A">
        <w:fldChar w:fldCharType="separate"/>
      </w:r>
      <w:r w:rsidR="00CA6345" w:rsidRPr="00CA6345">
        <w:rPr>
          <w:rFonts w:cs="Arial"/>
          <w:szCs w:val="24"/>
          <w:vertAlign w:val="superscript"/>
        </w:rPr>
        <w:t>166</w:t>
      </w:r>
      <w:r w:rsidRPr="00E9364A">
        <w:fldChar w:fldCharType="end"/>
      </w:r>
      <w:r w:rsidRPr="00E9364A">
        <w:t xml:space="preserve"> to ensure that the probability of death per cycle never falls below that of the general population; general population mortality estimates are adjusted using weighted averages of male and female mortality risks to reflect the sex distribution of participants in the DESTINY-Breast04 trial.</w:t>
      </w:r>
      <w:r w:rsidRPr="00E9364A">
        <w:fldChar w:fldCharType="begin"/>
      </w:r>
      <w:r w:rsidR="00CA6345">
        <w:instrText xml:space="preserve"> ADDIN ZOTERO_ITEM CSL_CITATION {"citationID":"aFmkcRXT","properties":{"formattedCitation":"\\super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E9364A">
        <w:fldChar w:fldCharType="separate"/>
      </w:r>
      <w:r w:rsidR="00FD57F4" w:rsidRPr="00FD57F4">
        <w:rPr>
          <w:rFonts w:cs="Arial"/>
          <w:szCs w:val="24"/>
          <w:vertAlign w:val="superscript"/>
        </w:rPr>
        <w:t>7</w:t>
      </w:r>
      <w:r w:rsidRPr="00E9364A">
        <w:fldChar w:fldCharType="end"/>
      </w:r>
      <w:r w:rsidRPr="00E9364A" w:rsidDel="005E5CAC">
        <w:t xml:space="preserve"> </w:t>
      </w:r>
    </w:p>
    <w:p w14:paraId="67EE9B04" w14:textId="77777777" w:rsidR="00036EA7" w:rsidRPr="00E9364A" w:rsidRDefault="00036EA7" w:rsidP="00036EA7">
      <w:pPr>
        <w:pStyle w:val="Heading4"/>
      </w:pPr>
      <w:r w:rsidRPr="00E9364A">
        <w:t>Time horizon and cycle length</w:t>
      </w:r>
    </w:p>
    <w:p w14:paraId="47BDCB82" w14:textId="4D3D7286" w:rsidR="00036EA7" w:rsidRPr="00E9364A" w:rsidRDefault="00036EA7" w:rsidP="00036EA7">
      <w:pPr>
        <w:pStyle w:val="Body"/>
      </w:pPr>
      <w:r w:rsidRPr="00E9364A">
        <w:t xml:space="preserve">The base case </w:t>
      </w:r>
      <w:r w:rsidR="00A66FF4">
        <w:t>CEA</w:t>
      </w:r>
      <w:r w:rsidR="00A66FF4" w:rsidRPr="00E9364A">
        <w:t xml:space="preserve"> </w:t>
      </w:r>
      <w:r w:rsidRPr="00E9364A">
        <w:t xml:space="preserve">adopts a </w:t>
      </w:r>
      <w:r w:rsidR="0041651A">
        <w:t>‘</w:t>
      </w:r>
      <w:r w:rsidRPr="00E9364A">
        <w:t xml:space="preserve">lifetime' horizon of 30 years, which is considered long enough to adequately capture the lifetime of patients in this setting (the mean starting age </w:t>
      </w:r>
      <w:r w:rsidRPr="00AD3FB6">
        <w:t xml:space="preserve">in </w:t>
      </w:r>
      <w:r w:rsidRPr="00E9364A">
        <w:t>the cost-effectiveness analysis is 56.5 years, which is aligned with the baseline characteristics in DESTINY-Breast04).</w:t>
      </w:r>
      <w:r w:rsidRPr="00E9364A">
        <w:fldChar w:fldCharType="begin"/>
      </w:r>
      <w:r w:rsidR="00CA6345">
        <w:instrText xml:space="preserve"> ADDIN ZOTERO_ITEM CSL_CITATION {"citationID":"xEhxxahp","properties":{"formattedCitation":"\\super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E9364A">
        <w:fldChar w:fldCharType="separate"/>
      </w:r>
      <w:r w:rsidR="00FD57F4" w:rsidRPr="00FD57F4">
        <w:rPr>
          <w:rFonts w:cs="Arial"/>
          <w:szCs w:val="24"/>
          <w:vertAlign w:val="superscript"/>
        </w:rPr>
        <w:t>7</w:t>
      </w:r>
      <w:r w:rsidRPr="00E9364A">
        <w:fldChar w:fldCharType="end"/>
      </w:r>
      <w:r w:rsidRPr="00E9364A">
        <w:t xml:space="preserve"> By this time point, using the base-case curve selection outlined in </w:t>
      </w:r>
      <w:r w:rsidRPr="003C648C">
        <w:rPr>
          <w:b/>
        </w:rPr>
        <w:t xml:space="preserve">Section </w:t>
      </w:r>
      <w:r w:rsidRPr="003C648C">
        <w:rPr>
          <w:b/>
          <w:bCs/>
        </w:rPr>
        <w:fldChar w:fldCharType="begin"/>
      </w:r>
      <w:r w:rsidRPr="003C648C">
        <w:rPr>
          <w:b/>
          <w:bCs/>
        </w:rPr>
        <w:instrText xml:space="preserve"> REF _Ref125266134 \n \h </w:instrText>
      </w:r>
      <w:r w:rsidR="00B5708D" w:rsidRPr="00D164C5">
        <w:rPr>
          <w:b/>
        </w:rPr>
        <w:instrText xml:space="preserve"> </w:instrText>
      </w:r>
      <w:r w:rsidR="00B5708D">
        <w:rPr>
          <w:b/>
          <w:bCs/>
        </w:rPr>
        <w:instrText xml:space="preserve">\* MERGEFORMAT </w:instrText>
      </w:r>
      <w:r w:rsidRPr="003C648C">
        <w:rPr>
          <w:b/>
          <w:bCs/>
        </w:rPr>
      </w:r>
      <w:r w:rsidRPr="003C648C">
        <w:rPr>
          <w:b/>
          <w:bCs/>
        </w:rPr>
        <w:fldChar w:fldCharType="separate"/>
      </w:r>
      <w:r w:rsidR="00145F42">
        <w:rPr>
          <w:b/>
          <w:bCs/>
        </w:rPr>
        <w:t>B.3.3.2.1</w:t>
      </w:r>
      <w:r w:rsidRPr="003C648C">
        <w:rPr>
          <w:b/>
          <w:bCs/>
        </w:rPr>
        <w:fldChar w:fldCharType="end"/>
      </w:r>
      <w:r w:rsidRPr="00E9364A">
        <w:t xml:space="preserve">, less than 1% of patients in the T-DXd arm </w:t>
      </w:r>
      <w:r>
        <w:t>or</w:t>
      </w:r>
      <w:r w:rsidRPr="00E9364A">
        <w:t xml:space="preserve"> TPC arm remain alive in the model. A 30-year time horizon is consistent with the time horizon used in the economic model as part of </w:t>
      </w:r>
      <w:r w:rsidR="00D97539">
        <w:t>the</w:t>
      </w:r>
      <w:r w:rsidRPr="00E9364A">
        <w:t xml:space="preserve"> NICE appraisal of T-DXd in HER2+ u/mBC (TA862).</w:t>
      </w:r>
      <w:r w:rsidRPr="00E9364A">
        <w:rPr>
          <w:bCs/>
        </w:rPr>
        <w:fldChar w:fldCharType="begin"/>
      </w:r>
      <w:r w:rsidR="00CA6345">
        <w:rPr>
          <w:b/>
          <w:bCs/>
        </w:rPr>
        <w:instrText xml:space="preserve"> ADDIN ZOTERO_ITEM CSL_CITATION {"citationID":"xY9s2nq9","properties":{"formattedCitation":"\\super 5\\nosupersub{}","plainCitation":"5","noteIndex":0},"citationItems":[{"id":66214,"uris":["http://zotero.org/groups/4797619/items/H2PQC2GH"],"itemData":{"id":66214,"type":"webpage","abstract":"Trastuzumab deruxtecan for treating HER2-positive unresectable or metastatic breast cancer after trastuzumab and a taxane [TA862]","language":"eng","note":"publisher: NICE","title":"Trastuzumab deruxtecan for treating HER2-positive unresectable or metastatic breast cancer after 1 or more anti-HER2 therapies | NICE [TA862]","URL":"https://www.nice.org.uk/guidance/indevelopment/gid-ta10804/documents","author":[{"family":"NICE","given":""}],"accessed":{"date-parts":[["2023",2,5]]},"issued":{"date-parts":[["2023",2]]}}}],"schema":"https://github.com/citation-style-language/schema/raw/master/csl-citation.json"} </w:instrText>
      </w:r>
      <w:r w:rsidRPr="00E9364A">
        <w:rPr>
          <w:bCs/>
        </w:rPr>
        <w:fldChar w:fldCharType="separate"/>
      </w:r>
      <w:r w:rsidR="00FD57F4" w:rsidRPr="00FD57F4">
        <w:rPr>
          <w:rFonts w:cs="Arial"/>
          <w:szCs w:val="24"/>
          <w:vertAlign w:val="superscript"/>
        </w:rPr>
        <w:t>5</w:t>
      </w:r>
      <w:r w:rsidRPr="00E9364A">
        <w:rPr>
          <w:bCs/>
        </w:rPr>
        <w:fldChar w:fldCharType="end"/>
      </w:r>
    </w:p>
    <w:p w14:paraId="57351902" w14:textId="77777777" w:rsidR="00036EA7" w:rsidRPr="00E9364A" w:rsidRDefault="00036EA7" w:rsidP="00036EA7">
      <w:pPr>
        <w:pStyle w:val="Body"/>
      </w:pPr>
      <w:r w:rsidRPr="00E9364A">
        <w:t>A cycle length of 3 weeks is selected to align with the dosing schedule of T-DXd and</w:t>
      </w:r>
      <w:r w:rsidRPr="00E9364A">
        <w:rPr>
          <w:rFonts w:eastAsia="Calibri"/>
        </w:rPr>
        <w:t xml:space="preserve"> is considered short enough to </w:t>
      </w:r>
      <w:r w:rsidRPr="00E9364A">
        <w:t>adequately capture and reflect</w:t>
      </w:r>
      <w:r w:rsidRPr="00E9364A">
        <w:rPr>
          <w:rFonts w:eastAsia="Calibri"/>
        </w:rPr>
        <w:t xml:space="preserve"> relevant changes in patient health status, costs and QoL. The model base case applies a half-cycle correction </w:t>
      </w:r>
      <w:r w:rsidRPr="00E9364A">
        <w:t>to account for uncertainty in the exact timing of transitions within the cycle period.</w:t>
      </w:r>
    </w:p>
    <w:p w14:paraId="2B0D5950" w14:textId="77777777" w:rsidR="00036EA7" w:rsidRPr="00E9364A" w:rsidRDefault="00036EA7" w:rsidP="00036EA7">
      <w:pPr>
        <w:pStyle w:val="Heading4"/>
      </w:pPr>
      <w:r w:rsidRPr="00E9364A">
        <w:t>Discount rate and perspective</w:t>
      </w:r>
    </w:p>
    <w:p w14:paraId="3A282802" w14:textId="11307169" w:rsidR="00036EA7" w:rsidRPr="00E9364A" w:rsidRDefault="00036EA7" w:rsidP="00036EA7">
      <w:pPr>
        <w:pStyle w:val="Body"/>
      </w:pPr>
      <w:r w:rsidRPr="00E9364A">
        <w:t xml:space="preserve">As per the NICE reference case, </w:t>
      </w:r>
      <w:r w:rsidR="00235171">
        <w:t>t</w:t>
      </w:r>
      <w:r w:rsidR="00235171" w:rsidRPr="00E9364A">
        <w:t>he analysis is conducted from the perspective of the NHS and Personal Social Services (PSS) for costs and health outcomes.</w:t>
      </w:r>
      <w:r w:rsidR="00235171" w:rsidRPr="00235171">
        <w:t xml:space="preserve"> </w:t>
      </w:r>
      <w:r w:rsidR="00235171">
        <w:t>A</w:t>
      </w:r>
      <w:r w:rsidR="00235171" w:rsidRPr="00E9364A">
        <w:t>ll health outcomes are measured in QALYs</w:t>
      </w:r>
      <w:r w:rsidR="009D2F22">
        <w:t>,</w:t>
      </w:r>
      <w:r w:rsidR="00235171" w:rsidRPr="00E9364A">
        <w:t xml:space="preserve"> </w:t>
      </w:r>
      <w:r w:rsidR="00235171">
        <w:t xml:space="preserve">and </w:t>
      </w:r>
      <w:r w:rsidRPr="00E9364A">
        <w:t>a 3.5% discount rate per annum is used for QALYs and costs.</w:t>
      </w:r>
      <w:r w:rsidRPr="00E9364A">
        <w:fldChar w:fldCharType="begin"/>
      </w:r>
      <w:r w:rsidR="00CA6345">
        <w:instrText xml:space="preserve"> ADDIN ZOTERO_ITEM CSL_CITATION {"citationID":"9jCt02hX","properties":{"formattedCitation":"\\super 2\\nosupersub{}","plainCitation":"2","noteIndex":0},"citationItems":[{"id":65886,"uris":["http://zotero.org/groups/4797619/items/2LQNV7UR"],"itemData":{"id":65886,"type":"webpage","abstract":"This guide describes the methods and processes, including expected timescales, that NICE follows when carrying out health technology evaluations. The methods and processes are designed to produce robust guidance for the NHS in an open, transparent and timely way, with appropriate contribution from stakeholders. Organisations invited to contribute to health technology evaluation development should read this manual in conjunction with the NICE health technology evaluation topic selection: the manual. All documents are available on the NICE website.","language":"eng","note":"publisher: NICE","title":"NICE health technology evaluations: the manual","title-short":"NICE health technology evaluations","URL":"https://www.nice.org.uk/process/pmg36/chapter/introduction-to-health-technology-evaluation","author":[{"family":"NICE","given":""}],"accessed":{"date-parts":[["2022",10,19]]},"issued":{"date-parts":[["2022",1]]}}}],"schema":"https://github.com/citation-style-language/schema/raw/master/csl-citation.json"} </w:instrText>
      </w:r>
      <w:r w:rsidRPr="00E9364A">
        <w:fldChar w:fldCharType="separate"/>
      </w:r>
      <w:r w:rsidR="00FD57F4" w:rsidRPr="00FD57F4">
        <w:rPr>
          <w:rFonts w:cs="Arial"/>
          <w:szCs w:val="24"/>
          <w:vertAlign w:val="superscript"/>
        </w:rPr>
        <w:t>2</w:t>
      </w:r>
      <w:r w:rsidRPr="00E9364A">
        <w:fldChar w:fldCharType="end"/>
      </w:r>
      <w:r w:rsidRPr="00E9364A">
        <w:t xml:space="preserve"> </w:t>
      </w:r>
    </w:p>
    <w:p w14:paraId="31939551" w14:textId="77777777" w:rsidR="00036EA7" w:rsidRPr="00E9364A" w:rsidRDefault="00036EA7" w:rsidP="00036EA7">
      <w:pPr>
        <w:pStyle w:val="Heading4"/>
      </w:pPr>
      <w:r w:rsidRPr="00E9364A">
        <w:t>Features of the economic analysis</w:t>
      </w:r>
    </w:p>
    <w:p w14:paraId="3EC911AB" w14:textId="288E0221" w:rsidR="004B16C3" w:rsidRDefault="00036EA7" w:rsidP="00036EA7">
      <w:pPr>
        <w:pStyle w:val="Body"/>
      </w:pPr>
      <w:r w:rsidRPr="003C648C">
        <w:rPr>
          <w:b/>
        </w:rPr>
        <w:fldChar w:fldCharType="begin"/>
      </w:r>
      <w:r w:rsidRPr="003C648C">
        <w:rPr>
          <w:b/>
        </w:rPr>
        <w:instrText xml:space="preserve"> REF _Ref99706729 \h  \* MERGEFORMAT </w:instrText>
      </w:r>
      <w:r w:rsidRPr="003C648C">
        <w:rPr>
          <w:b/>
        </w:rPr>
      </w:r>
      <w:r w:rsidRPr="003C648C">
        <w:rPr>
          <w:b/>
        </w:rPr>
        <w:fldChar w:fldCharType="separate"/>
      </w:r>
      <w:r w:rsidR="00145F42" w:rsidRPr="00145F42">
        <w:rPr>
          <w:b/>
        </w:rPr>
        <w:t>Table 33</w:t>
      </w:r>
      <w:r w:rsidRPr="003C648C">
        <w:rPr>
          <w:b/>
        </w:rPr>
        <w:fldChar w:fldCharType="end"/>
      </w:r>
      <w:r w:rsidRPr="00E9364A">
        <w:rPr>
          <w:b/>
          <w:bCs/>
        </w:rPr>
        <w:t xml:space="preserve"> </w:t>
      </w:r>
      <w:r w:rsidRPr="00E9364A">
        <w:t xml:space="preserve">presents the key features of the economic analysis in comparison to previous </w:t>
      </w:r>
      <w:r w:rsidR="00D91FFD">
        <w:t xml:space="preserve">NICE </w:t>
      </w:r>
      <w:r w:rsidRPr="00E9364A">
        <w:t xml:space="preserve">appraisals of either T-DXd or of other technologies appraised for the treatment of mBC after one </w:t>
      </w:r>
      <w:r w:rsidR="00476EE1">
        <w:t xml:space="preserve">or two </w:t>
      </w:r>
      <w:r w:rsidRPr="00E9364A">
        <w:t>line</w:t>
      </w:r>
      <w:r w:rsidR="00476EE1">
        <w:t>s</w:t>
      </w:r>
      <w:r w:rsidRPr="00E9364A">
        <w:t xml:space="preserve"> of chemotherapy</w:t>
      </w:r>
      <w:r w:rsidR="00B146EC">
        <w:t xml:space="preserve"> in the metastatic setting</w:t>
      </w:r>
      <w:r w:rsidRPr="00E9364A">
        <w:t>. These include</w:t>
      </w:r>
      <w:r w:rsidR="004B16C3">
        <w:t>:</w:t>
      </w:r>
    </w:p>
    <w:p w14:paraId="533EBE46" w14:textId="6DB8FED7" w:rsidR="00423331" w:rsidRDefault="00036EA7" w:rsidP="00E91470">
      <w:pPr>
        <w:pStyle w:val="Body"/>
        <w:numPr>
          <w:ilvl w:val="0"/>
          <w:numId w:val="69"/>
        </w:numPr>
      </w:pPr>
      <w:r w:rsidRPr="00E9364A">
        <w:t>TA862</w:t>
      </w:r>
      <w:r w:rsidR="004B16C3">
        <w:t>:</w:t>
      </w:r>
      <w:r w:rsidRPr="00E9364A">
        <w:rPr>
          <w:bCs/>
        </w:rPr>
        <w:fldChar w:fldCharType="begin"/>
      </w:r>
      <w:r w:rsidR="00CA6345">
        <w:rPr>
          <w:b/>
          <w:bCs/>
        </w:rPr>
        <w:instrText xml:space="preserve"> ADDIN ZOTERO_ITEM CSL_CITATION {"citationID":"I8pnYukA","properties":{"formattedCitation":"\\super 5\\nosupersub{}","plainCitation":"5","noteIndex":0},"citationItems":[{"id":66214,"uris":["http://zotero.org/groups/4797619/items/H2PQC2GH"],"itemData":{"id":66214,"type":"webpage","abstract":"Trastuzumab deruxtecan for treating HER2-positive unresectable or metastatic breast cancer after trastuzumab and a taxane [TA862]","language":"eng","note":"publisher: NICE","title":"Trastuzumab deruxtecan for treating HER2-positive unresectable or metastatic breast cancer after 1 or more anti-HER2 therapies | NICE [TA862]","URL":"https://www.nice.org.uk/guidance/indevelopment/gid-ta10804/documents","author":[{"family":"NICE","given":""}],"accessed":{"date-parts":[["2023",2,5]]},"issued":{"date-parts":[["2023",2]]}}}],"schema":"https://github.com/citation-style-language/schema/raw/master/csl-citation.json"} </w:instrText>
      </w:r>
      <w:r w:rsidRPr="00E9364A">
        <w:rPr>
          <w:bCs/>
        </w:rPr>
        <w:fldChar w:fldCharType="separate"/>
      </w:r>
      <w:r w:rsidR="00FD57F4" w:rsidRPr="00FD57F4">
        <w:rPr>
          <w:rFonts w:cs="Arial"/>
          <w:szCs w:val="24"/>
          <w:vertAlign w:val="superscript"/>
        </w:rPr>
        <w:t>5</w:t>
      </w:r>
      <w:r w:rsidRPr="00E9364A">
        <w:rPr>
          <w:bCs/>
        </w:rPr>
        <w:fldChar w:fldCharType="end"/>
      </w:r>
      <w:r w:rsidRPr="00E9364A">
        <w:t xml:space="preserve"> T-DXd in </w:t>
      </w:r>
      <w:r w:rsidR="0005190D">
        <w:t>HER2-positive</w:t>
      </w:r>
      <w:r w:rsidRPr="00E9364A">
        <w:t xml:space="preserve"> u/mBC</w:t>
      </w:r>
      <w:r w:rsidRPr="00E9364A" w:rsidDel="00CC4C5F">
        <w:t xml:space="preserve"> </w:t>
      </w:r>
      <w:r w:rsidRPr="00E9364A">
        <w:t>after trastuzumab and a taxane</w:t>
      </w:r>
      <w:r w:rsidR="00423331">
        <w:t>.</w:t>
      </w:r>
      <w:r w:rsidR="00423331" w:rsidRPr="00E9364A">
        <w:t xml:space="preserve"> </w:t>
      </w:r>
    </w:p>
    <w:p w14:paraId="32EC275A" w14:textId="480D8F14" w:rsidR="004B16C3" w:rsidRDefault="00CF524B" w:rsidP="00E91470">
      <w:pPr>
        <w:pStyle w:val="Body"/>
        <w:numPr>
          <w:ilvl w:val="0"/>
          <w:numId w:val="69"/>
        </w:numPr>
      </w:pPr>
      <w:r>
        <w:t>TA704</w:t>
      </w:r>
      <w:r w:rsidR="00423331">
        <w:t>:</w:t>
      </w:r>
      <w:r w:rsidR="00020E24" w:rsidRPr="0053039A">
        <w:rPr>
          <w:b/>
          <w:bCs/>
          <w:szCs w:val="20"/>
        </w:rPr>
        <w:fldChar w:fldCharType="begin"/>
      </w:r>
      <w:r w:rsidR="00CA6345">
        <w:rPr>
          <w:b/>
          <w:bCs/>
          <w:szCs w:val="20"/>
        </w:rPr>
        <w:instrText xml:space="preserve"> ADDIN ZOTERO_ITEM CSL_CITATION {"citationID":"vLwCwtBv","properties":{"formattedCitation":"\\super 4\\nosupersub{}","plainCitation":"4","noteIndex":0},"citationItems":[{"id":65878,"uris":["http://zotero.org/groups/4797619/items/ESRZZTT8"],"itemData":{"id":65878,"type":"webpage","abstract":"Evidence-based recommendations on trastuzumab deruxtecan (Enhertu) for treating HER2-positive unresectable or metastatic breast cancer in adults after 2 or more","language":"eng","note":"publisher: NICE","title":"Trastuzumab deruxtecan for treating HER2-positive unresectable or metastatic breast cancer after 2 or more anti-HER2 therapies | NICE [TA704]","URL":"https://www.nice.org.uk/guidance/ta704","author":[{"family":"NICE","given":""}],"accessed":{"date-parts":[["2022",9,29]]}}}],"schema":"https://github.com/citation-style-language/schema/raw/master/csl-citation.json"} </w:instrText>
      </w:r>
      <w:r w:rsidR="00020E24" w:rsidRPr="0053039A">
        <w:rPr>
          <w:b/>
          <w:bCs/>
          <w:szCs w:val="20"/>
        </w:rPr>
        <w:fldChar w:fldCharType="separate"/>
      </w:r>
      <w:r w:rsidR="00FD57F4" w:rsidRPr="00FD57F4">
        <w:rPr>
          <w:rFonts w:cs="Arial"/>
          <w:szCs w:val="24"/>
          <w:vertAlign w:val="superscript"/>
        </w:rPr>
        <w:t>4</w:t>
      </w:r>
      <w:r w:rsidR="00020E24" w:rsidRPr="0053039A">
        <w:rPr>
          <w:b/>
          <w:bCs/>
          <w:szCs w:val="20"/>
        </w:rPr>
        <w:fldChar w:fldCharType="end"/>
      </w:r>
      <w:r>
        <w:t xml:space="preserve"> </w:t>
      </w:r>
      <w:r w:rsidR="00B06BAD" w:rsidRPr="00E9364A">
        <w:t>T-DXd in</w:t>
      </w:r>
      <w:r w:rsidR="00B06BAD">
        <w:t xml:space="preserve"> </w:t>
      </w:r>
      <w:r w:rsidR="0005190D">
        <w:t>HER2-positive</w:t>
      </w:r>
      <w:r w:rsidR="00B06BAD" w:rsidRPr="00E9364A">
        <w:t xml:space="preserve"> u/mBC</w:t>
      </w:r>
      <w:r w:rsidR="00B06BAD" w:rsidRPr="00E9364A" w:rsidDel="00CC4C5F">
        <w:t xml:space="preserve"> </w:t>
      </w:r>
      <w:r w:rsidR="00B06BAD" w:rsidRPr="00E9364A">
        <w:t>after</w:t>
      </w:r>
      <w:r w:rsidR="00B06BAD">
        <w:t xml:space="preserve"> two or more </w:t>
      </w:r>
      <w:r w:rsidR="00B06BAD" w:rsidRPr="00274C0C">
        <w:t>anti</w:t>
      </w:r>
      <w:r w:rsidR="00B06BAD" w:rsidRPr="00274C0C">
        <w:noBreakHyphen/>
        <w:t>HER2 therapies</w:t>
      </w:r>
      <w:r w:rsidR="004B16C3">
        <w:t>.</w:t>
      </w:r>
    </w:p>
    <w:p w14:paraId="694F5273" w14:textId="51031C05" w:rsidR="004B16C3" w:rsidRDefault="00036EA7" w:rsidP="00E91470">
      <w:pPr>
        <w:pStyle w:val="Body"/>
        <w:numPr>
          <w:ilvl w:val="0"/>
          <w:numId w:val="69"/>
        </w:numPr>
      </w:pPr>
      <w:r w:rsidRPr="00E9364A">
        <w:t>TA116</w:t>
      </w:r>
      <w:r w:rsidR="004B16C3">
        <w:t>:</w:t>
      </w:r>
      <w:r w:rsidRPr="00E9364A">
        <w:fldChar w:fldCharType="begin"/>
      </w:r>
      <w:r w:rsidR="00CA6345">
        <w:rPr>
          <w:b/>
        </w:rPr>
        <w:instrText xml:space="preserve"> ADDIN ZOTERO_ITEM CSL_CITATION {"citationID":"VnMMHt1a","properties":{"formattedCitation":"\\super 122\\nosupersub{}","plainCitation":"122","noteIndex":0},"citationItems":[{"id":65876,"uris":["http://zotero.org/groups/4797619/items/6S5RPIVP"],"itemData":{"id":65876,"type":"webpage","abstract":"Evidence-based recommendations on gemcitabine for treating metastatic breast cancer in adults","language":"eng","note":"publisher: NICE","title":"Gemcitabine for the treatment of metastatic breast cancer | NICE [TA116]","URL":"https://www.nice.org.uk/guidance/ta116","author":[{"family":"NICE","given":""}],"accessed":{"date-parts":[["2022",10,17]]}}}],"schema":"https://github.com/citation-style-language/schema/raw/master/csl-citation.json"} </w:instrText>
      </w:r>
      <w:r w:rsidRPr="00E9364A">
        <w:fldChar w:fldCharType="separate"/>
      </w:r>
      <w:r w:rsidR="00CA6345" w:rsidRPr="00CA6345">
        <w:rPr>
          <w:rFonts w:cs="Arial"/>
          <w:szCs w:val="24"/>
          <w:vertAlign w:val="superscript"/>
        </w:rPr>
        <w:t>122</w:t>
      </w:r>
      <w:r w:rsidRPr="00E9364A">
        <w:fldChar w:fldCharType="end"/>
      </w:r>
      <w:r w:rsidRPr="00E9364A">
        <w:t xml:space="preserve"> gemcitabine for treating locally advanced or metastatic BC</w:t>
      </w:r>
      <w:r w:rsidR="004B16C3">
        <w:t>.</w:t>
      </w:r>
      <w:r w:rsidR="004B16C3" w:rsidRPr="00E9364A">
        <w:t xml:space="preserve"> </w:t>
      </w:r>
    </w:p>
    <w:p w14:paraId="2948A94D" w14:textId="0A43F255" w:rsidR="004B16C3" w:rsidRDefault="00036EA7" w:rsidP="00E91470">
      <w:pPr>
        <w:pStyle w:val="Body"/>
        <w:numPr>
          <w:ilvl w:val="0"/>
          <w:numId w:val="69"/>
        </w:numPr>
      </w:pPr>
      <w:r w:rsidRPr="00E9364A">
        <w:t>TA423</w:t>
      </w:r>
      <w:r w:rsidR="004B16C3">
        <w:t>:</w:t>
      </w:r>
      <w:r w:rsidRPr="00E9364A">
        <w:fldChar w:fldCharType="begin"/>
      </w:r>
      <w:r w:rsidR="00CA6345">
        <w:rPr>
          <w:b/>
        </w:rPr>
        <w:instrText xml:space="preserve"> ADDIN ZOTERO_ITEM CSL_CITATION {"citationID":"yy9897vB","properties":{"formattedCitation":"\\super 131\\nosupersub{}","plainCitation":"131","noteIndex":0},"citationItems":[{"id":65884,"uris":["http://zotero.org/groups/4797619/items/GKXW7XYV"],"itemData":{"id":65884,"type":"webpage","abstract":"Evidence-based recommendations on eribulin (Halaven) for treating locally advanced or metastatic breast cancer after 2 or more types of chemotherapy","language":"eng","note":"publisher: NICE","title":"Eribulin for treating locally advanced or metastatic breast cancer after 2 or more chemotherapy regimens | NICE [TA423]","URL":"https://www.nice.org.uk/guidance/ta423","author":[{"family":"NICE","given":""}],"accessed":{"date-parts":[["2022",10,17]]}}}],"schema":"https://github.com/citation-style-language/schema/raw/master/csl-citation.json"} </w:instrText>
      </w:r>
      <w:r w:rsidRPr="00E9364A">
        <w:fldChar w:fldCharType="separate"/>
      </w:r>
      <w:r w:rsidR="00CA6345" w:rsidRPr="00CA6345">
        <w:rPr>
          <w:rFonts w:cs="Arial"/>
          <w:szCs w:val="24"/>
          <w:vertAlign w:val="superscript"/>
        </w:rPr>
        <w:t>131</w:t>
      </w:r>
      <w:r w:rsidRPr="00E9364A">
        <w:fldChar w:fldCharType="end"/>
      </w:r>
      <w:r w:rsidRPr="00E9364A">
        <w:t xml:space="preserve"> eribulin for treating locally advanced or metastatic BC after two or more lines of chemotherapy</w:t>
      </w:r>
      <w:r w:rsidR="004B16C3">
        <w:t>.</w:t>
      </w:r>
    </w:p>
    <w:p w14:paraId="69A1D549" w14:textId="348E2EEA" w:rsidR="004B16C3" w:rsidRDefault="00036EA7" w:rsidP="00E91470">
      <w:pPr>
        <w:pStyle w:val="Body"/>
        <w:numPr>
          <w:ilvl w:val="0"/>
          <w:numId w:val="69"/>
        </w:numPr>
      </w:pPr>
      <w:r w:rsidRPr="00E9364A">
        <w:t>TA819</w:t>
      </w:r>
      <w:r w:rsidR="004B16C3">
        <w:t>:</w:t>
      </w:r>
      <w:r w:rsidRPr="00E9364A">
        <w:rPr>
          <w:bCs/>
        </w:rPr>
        <w:fldChar w:fldCharType="begin"/>
      </w:r>
      <w:r w:rsidR="00CA6345">
        <w:rPr>
          <w:b/>
          <w:bCs/>
        </w:rPr>
        <w:instrText xml:space="preserve"> ADDIN ZOTERO_ITEM CSL_CITATION {"citationID":"KQaJWMB0","properties":{"formattedCitation":"\\super 132\\nosupersub{}","plainCitation":"132","noteIndex":0},"citationItems":[{"id":65875,"uris":["http://zotero.org/groups/4797619/items/IP9MEGL9"],"itemData":{"id":65875,"type":"webpage","abstract":"Evidence-based recommendations on sacituzumab govetican (Trodelvy) for treating unresectable, triple-negative locally advanced or metastatic breast cancer in adults after 2 or more systemic therapies, at least 1 of which was for advanced disease","language":"eng","note":"publisher: NICE","title":"Sacituzumab govitecan for treating unresectable triple-negative advanced breast cancer after 2 or more therapies | NICE [TA819]","URL":"https://www.nice.org.uk/guidance/ta819","author":[{"family":"NICE","given":""}],"accessed":{"date-parts":[["2022",10,17]]}}}],"schema":"https://github.com/citation-style-language/schema/raw/master/csl-citation.json"} </w:instrText>
      </w:r>
      <w:r w:rsidRPr="00E9364A">
        <w:rPr>
          <w:bCs/>
        </w:rPr>
        <w:fldChar w:fldCharType="separate"/>
      </w:r>
      <w:r w:rsidR="00CA6345" w:rsidRPr="00CA6345">
        <w:rPr>
          <w:rFonts w:cs="Arial"/>
          <w:szCs w:val="24"/>
          <w:vertAlign w:val="superscript"/>
        </w:rPr>
        <w:t>132</w:t>
      </w:r>
      <w:r w:rsidRPr="00E9364A">
        <w:rPr>
          <w:bCs/>
        </w:rPr>
        <w:fldChar w:fldCharType="end"/>
      </w:r>
      <w:r w:rsidRPr="00E9364A">
        <w:t xml:space="preserve"> </w:t>
      </w:r>
      <w:r w:rsidR="000268CF">
        <w:t>SG</w:t>
      </w:r>
      <w:r w:rsidRPr="00E9364A">
        <w:t xml:space="preserve"> for treating unresectable triple-negative advanced BC after two or more lines of chemotherapy</w:t>
      </w:r>
      <w:r w:rsidR="004B16C3">
        <w:t>.</w:t>
      </w:r>
      <w:r w:rsidR="00F332DC">
        <w:t xml:space="preserve"> </w:t>
      </w:r>
    </w:p>
    <w:p w14:paraId="05D40DEF" w14:textId="3BE7EB5E" w:rsidR="00036EA7" w:rsidRPr="005D58CB" w:rsidRDefault="00036EA7" w:rsidP="00F710CB">
      <w:pPr>
        <w:pStyle w:val="Body"/>
        <w:ind w:left="780"/>
        <w:sectPr w:rsidR="00036EA7" w:rsidRPr="005D58CB" w:rsidSect="00F174DD">
          <w:pgSz w:w="11907" w:h="16840" w:code="9"/>
          <w:pgMar w:top="1440" w:right="1440" w:bottom="1440" w:left="1440" w:header="709" w:footer="709" w:gutter="0"/>
          <w:cols w:space="708"/>
          <w:docGrid w:linePitch="360"/>
        </w:sectPr>
      </w:pPr>
      <w:bookmarkStart w:id="417" w:name="_Ref96104061"/>
    </w:p>
    <w:p w14:paraId="33274492" w14:textId="67B4D49D" w:rsidR="00036EA7" w:rsidRDefault="00036EA7" w:rsidP="00036EA7">
      <w:pPr>
        <w:pStyle w:val="Caption"/>
      </w:pPr>
      <w:bookmarkStart w:id="418" w:name="_Ref99706729"/>
      <w:bookmarkStart w:id="419" w:name="_Toc127006663"/>
      <w:bookmarkStart w:id="420" w:name="_Toc129351008"/>
      <w:r>
        <w:lastRenderedPageBreak/>
        <w:t xml:space="preserve">Table </w:t>
      </w:r>
      <w:r>
        <w:fldChar w:fldCharType="begin"/>
      </w:r>
      <w:r>
        <w:instrText>SEQ Table \* ARABIC</w:instrText>
      </w:r>
      <w:r>
        <w:fldChar w:fldCharType="separate"/>
      </w:r>
      <w:r w:rsidR="00145F42">
        <w:rPr>
          <w:noProof/>
        </w:rPr>
        <w:t>33</w:t>
      </w:r>
      <w:r>
        <w:fldChar w:fldCharType="end"/>
      </w:r>
      <w:bookmarkEnd w:id="418"/>
      <w:r>
        <w:t xml:space="preserve">: </w:t>
      </w:r>
      <w:r w:rsidRPr="003A03C9">
        <w:t>Features of the economic analysis</w:t>
      </w:r>
      <w:bookmarkEnd w:id="419"/>
      <w:bookmarkEnd w:id="420"/>
    </w:p>
    <w:tbl>
      <w:tblPr>
        <w:tblStyle w:val="TableGridLight"/>
        <w:tblW w:w="13462" w:type="dxa"/>
        <w:tblLayout w:type="fixed"/>
        <w:tblCellMar>
          <w:left w:w="28" w:type="dxa"/>
          <w:right w:w="28" w:type="dxa"/>
        </w:tblCellMar>
        <w:tblLook w:val="01E0" w:firstRow="1" w:lastRow="1" w:firstColumn="1" w:lastColumn="1" w:noHBand="0" w:noVBand="0"/>
      </w:tblPr>
      <w:tblGrid>
        <w:gridCol w:w="1555"/>
        <w:gridCol w:w="1559"/>
        <w:gridCol w:w="1559"/>
        <w:gridCol w:w="1559"/>
        <w:gridCol w:w="1559"/>
        <w:gridCol w:w="1559"/>
        <w:gridCol w:w="1560"/>
        <w:gridCol w:w="2552"/>
      </w:tblGrid>
      <w:tr w:rsidR="001526C2" w:rsidRPr="00575E99" w14:paraId="2FD9CFA2" w14:textId="77777777" w:rsidTr="001C3532">
        <w:trPr>
          <w:cnfStyle w:val="100000000000" w:firstRow="1" w:lastRow="0" w:firstColumn="0" w:lastColumn="0" w:oddVBand="0" w:evenVBand="0" w:oddHBand="0" w:evenHBand="0" w:firstRowFirstColumn="0" w:firstRowLastColumn="0" w:lastRowFirstColumn="0" w:lastRowLastColumn="0"/>
          <w:trHeight w:val="20"/>
          <w:tblHeader/>
        </w:trPr>
        <w:tc>
          <w:tcPr>
            <w:tcW w:w="1555" w:type="dxa"/>
            <w:vMerge w:val="restart"/>
            <w:shd w:val="clear" w:color="auto" w:fill="EDEDED" w:themeFill="accent3" w:themeFillTint="33"/>
          </w:tcPr>
          <w:p w14:paraId="0699A743" w14:textId="4DBBC5EA" w:rsidR="00AB213B" w:rsidRPr="0053039A" w:rsidRDefault="00AB213B" w:rsidP="003C648C">
            <w:pPr>
              <w:pStyle w:val="NICETabletext"/>
              <w:keepNext w:val="0"/>
              <w:spacing w:after="0"/>
              <w:contextualSpacing/>
            </w:pPr>
            <w:r>
              <w:t>Factor</w:t>
            </w:r>
          </w:p>
        </w:tc>
        <w:tc>
          <w:tcPr>
            <w:tcW w:w="9355" w:type="dxa"/>
            <w:gridSpan w:val="6"/>
            <w:shd w:val="clear" w:color="auto" w:fill="EDEDED" w:themeFill="accent3" w:themeFillTint="33"/>
            <w:vAlign w:val="center"/>
          </w:tcPr>
          <w:p w14:paraId="65EDCEB8" w14:textId="7F002572" w:rsidR="00AB213B" w:rsidRPr="0053039A" w:rsidRDefault="00AB213B" w:rsidP="003C648C">
            <w:pPr>
              <w:pStyle w:val="NICETabletext"/>
              <w:keepNext w:val="0"/>
              <w:spacing w:after="0"/>
              <w:contextualSpacing/>
              <w:jc w:val="center"/>
              <w:rPr>
                <w:bCs/>
              </w:rPr>
            </w:pPr>
            <w:r w:rsidRPr="00391743">
              <w:t>Previous appraisals</w:t>
            </w:r>
          </w:p>
        </w:tc>
        <w:tc>
          <w:tcPr>
            <w:tcW w:w="2552" w:type="dxa"/>
            <w:shd w:val="clear" w:color="auto" w:fill="EDEDED" w:themeFill="accent3" w:themeFillTint="33"/>
            <w:vAlign w:val="center"/>
          </w:tcPr>
          <w:p w14:paraId="478AB8A1" w14:textId="36C83721" w:rsidR="00AB213B" w:rsidRPr="00391743" w:rsidRDefault="00AB213B" w:rsidP="003C648C">
            <w:pPr>
              <w:pStyle w:val="NICETabletext"/>
              <w:keepNext w:val="0"/>
              <w:spacing w:after="0"/>
              <w:contextualSpacing/>
              <w:jc w:val="center"/>
            </w:pPr>
            <w:r w:rsidRPr="00391743">
              <w:t xml:space="preserve">Current appraisal </w:t>
            </w:r>
            <w:r w:rsidRPr="0053039A">
              <w:rPr>
                <w:szCs w:val="20"/>
              </w:rPr>
              <w:t>(ID3935)</w:t>
            </w:r>
          </w:p>
        </w:tc>
      </w:tr>
      <w:bookmarkEnd w:id="417"/>
      <w:tr w:rsidR="001526C2" w:rsidRPr="00575E99" w14:paraId="2B3529CB" w14:textId="77777777" w:rsidTr="001C3532">
        <w:trPr>
          <w:cnfStyle w:val="100000000000" w:firstRow="1" w:lastRow="0" w:firstColumn="0" w:lastColumn="0" w:oddVBand="0" w:evenVBand="0" w:oddHBand="0" w:evenHBand="0" w:firstRowFirstColumn="0" w:firstRowLastColumn="0" w:lastRowFirstColumn="0" w:lastRowLastColumn="0"/>
          <w:trHeight w:val="20"/>
          <w:tblHeader/>
        </w:trPr>
        <w:tc>
          <w:tcPr>
            <w:tcW w:w="0" w:type="dxa"/>
            <w:vMerge/>
            <w:shd w:val="clear" w:color="auto" w:fill="EDEDED" w:themeFill="accent3" w:themeFillTint="33"/>
          </w:tcPr>
          <w:p w14:paraId="529ACDA3" w14:textId="77777777" w:rsidR="00036EA7" w:rsidRPr="0053039A" w:rsidRDefault="00036EA7" w:rsidP="003C648C">
            <w:pPr>
              <w:pStyle w:val="NICETabletext"/>
              <w:keepNext w:val="0"/>
              <w:spacing w:after="0"/>
              <w:contextualSpacing/>
            </w:pPr>
          </w:p>
        </w:tc>
        <w:tc>
          <w:tcPr>
            <w:tcW w:w="1559" w:type="dxa"/>
            <w:shd w:val="clear" w:color="auto" w:fill="EDEDED" w:themeFill="accent3" w:themeFillTint="33"/>
            <w:vAlign w:val="center"/>
          </w:tcPr>
          <w:p w14:paraId="17CFCD78" w14:textId="47732DA7" w:rsidR="00036EA7" w:rsidRPr="0053039A" w:rsidRDefault="00AB213B" w:rsidP="003C648C">
            <w:pPr>
              <w:pStyle w:val="NICETabletext"/>
              <w:keepNext w:val="0"/>
              <w:spacing w:after="0"/>
              <w:contextualSpacing/>
              <w:jc w:val="center"/>
            </w:pPr>
            <w:r w:rsidRPr="0053039A">
              <w:rPr>
                <w:bCs/>
              </w:rPr>
              <w:t>TA116 (2007)</w:t>
            </w:r>
            <w:r w:rsidRPr="0053039A">
              <w:rPr>
                <w:bCs/>
                <w:szCs w:val="20"/>
              </w:rPr>
              <w:fldChar w:fldCharType="begin"/>
            </w:r>
            <w:r w:rsidR="00CA6345">
              <w:rPr>
                <w:bCs/>
                <w:color w:val="4472C4" w:themeColor="accent1"/>
                <w:szCs w:val="20"/>
              </w:rPr>
              <w:instrText xml:space="preserve"> ADDIN ZOTERO_ITEM CSL_CITATION {"citationID":"C485MrCv","properties":{"formattedCitation":"\\super 122\\nosupersub{}","plainCitation":"122","noteIndex":0},"citationItems":[{"id":65876,"uris":["http://zotero.org/groups/4797619/items/6S5RPIVP"],"itemData":{"id":65876,"type":"webpage","abstract":"Evidence-based recommendations on gemcitabine for treating metastatic breast cancer in adults","language":"eng","note":"publisher: NICE","title":"Gemcitabine for the treatment of metastatic breast cancer | NICE [TA116]","URL":"https://www.nice.org.uk/guidance/ta116","author":[{"family":"NICE","given":""}],"accessed":{"date-parts":[["2022",10,17]]}}}],"schema":"https://github.com/citation-style-language/schema/raw/master/csl-citation.json"} </w:instrText>
            </w:r>
            <w:r w:rsidRPr="0053039A">
              <w:rPr>
                <w:bCs/>
                <w:szCs w:val="20"/>
              </w:rPr>
              <w:fldChar w:fldCharType="separate"/>
            </w:r>
            <w:r w:rsidR="00CA6345" w:rsidRPr="00CA6345">
              <w:rPr>
                <w:rFonts w:cs="Arial"/>
                <w:vertAlign w:val="superscript"/>
              </w:rPr>
              <w:t>122</w:t>
            </w:r>
            <w:r w:rsidRPr="0053039A">
              <w:rPr>
                <w:bCs/>
                <w:szCs w:val="20"/>
              </w:rPr>
              <w:fldChar w:fldCharType="end"/>
            </w:r>
          </w:p>
        </w:tc>
        <w:tc>
          <w:tcPr>
            <w:tcW w:w="1559" w:type="dxa"/>
            <w:shd w:val="clear" w:color="auto" w:fill="EDEDED" w:themeFill="accent3" w:themeFillTint="33"/>
            <w:vAlign w:val="center"/>
          </w:tcPr>
          <w:p w14:paraId="1A0A339C" w14:textId="4FE7DDE9" w:rsidR="00036EA7" w:rsidRPr="0053039A" w:rsidRDefault="00036EA7" w:rsidP="003C648C">
            <w:pPr>
              <w:pStyle w:val="NICETabletext"/>
              <w:keepNext w:val="0"/>
              <w:spacing w:after="0"/>
              <w:contextualSpacing/>
              <w:jc w:val="center"/>
            </w:pPr>
            <w:r w:rsidRPr="0053039A">
              <w:rPr>
                <w:szCs w:val="20"/>
              </w:rPr>
              <w:t>TA423</w:t>
            </w:r>
            <w:r w:rsidRPr="0053039A">
              <w:t xml:space="preserve"> (2016</w:t>
            </w:r>
            <w:r w:rsidR="00AB213B" w:rsidRPr="0053039A">
              <w:rPr>
                <w:bCs/>
              </w:rPr>
              <w:t>)</w:t>
            </w:r>
            <w:r w:rsidR="00AB213B" w:rsidRPr="0053039A">
              <w:rPr>
                <w:bCs/>
                <w:szCs w:val="20"/>
              </w:rPr>
              <w:fldChar w:fldCharType="begin"/>
            </w:r>
            <w:r w:rsidR="00CA6345">
              <w:rPr>
                <w:bCs/>
                <w:szCs w:val="20"/>
              </w:rPr>
              <w:instrText xml:space="preserve"> ADDIN ZOTERO_ITEM CSL_CITATION {"citationID":"S9fmSpaS","properties":{"formattedCitation":"\\super 131\\nosupersub{}","plainCitation":"131","noteIndex":0},"citationItems":[{"id":65884,"uris":["http://zotero.org/groups/4797619/items/GKXW7XYV"],"itemData":{"id":65884,"type":"webpage","abstract":"Evidence-based recommendations on eribulin (Halaven) for treating locally advanced or metastatic breast cancer after 2 or more types of chemotherapy","language":"eng","note":"publisher: NICE","title":"Eribulin for treating locally advanced or metastatic breast cancer after 2 or more chemotherapy regimens | NICE [TA423]","URL":"https://www.nice.org.uk/guidance/ta423","author":[{"family":"NICE","given":""}],"accessed":{"date-parts":[["2022",10,17]]}}}],"schema":"https://github.com/citation-style-language/schema/raw/master/csl-citation.json"} </w:instrText>
            </w:r>
            <w:r w:rsidR="00AB213B" w:rsidRPr="0053039A">
              <w:rPr>
                <w:bCs/>
                <w:szCs w:val="20"/>
              </w:rPr>
              <w:fldChar w:fldCharType="separate"/>
            </w:r>
            <w:r w:rsidR="00CA6345" w:rsidRPr="00CA6345">
              <w:rPr>
                <w:rFonts w:cs="Arial"/>
                <w:vertAlign w:val="superscript"/>
              </w:rPr>
              <w:t>131</w:t>
            </w:r>
            <w:r w:rsidR="00AB213B" w:rsidRPr="0053039A">
              <w:rPr>
                <w:bCs/>
                <w:szCs w:val="20"/>
              </w:rPr>
              <w:fldChar w:fldCharType="end"/>
            </w:r>
          </w:p>
        </w:tc>
        <w:tc>
          <w:tcPr>
            <w:tcW w:w="1559" w:type="dxa"/>
            <w:shd w:val="clear" w:color="auto" w:fill="EDEDED" w:themeFill="accent3" w:themeFillTint="33"/>
            <w:vAlign w:val="center"/>
          </w:tcPr>
          <w:p w14:paraId="146AB84C" w14:textId="08C8F1A3" w:rsidR="00036EA7" w:rsidRPr="0053039A" w:rsidRDefault="00AB213B" w:rsidP="003C648C">
            <w:pPr>
              <w:pStyle w:val="NICETabletext"/>
              <w:keepNext w:val="0"/>
              <w:spacing w:after="0"/>
              <w:contextualSpacing/>
              <w:jc w:val="center"/>
              <w:rPr>
                <w:szCs w:val="20"/>
              </w:rPr>
            </w:pPr>
            <w:r w:rsidRPr="0053039A">
              <w:t>TA704 (2021)</w:t>
            </w:r>
            <w:r w:rsidRPr="00391743">
              <w:rPr>
                <w:szCs w:val="20"/>
              </w:rPr>
              <w:fldChar w:fldCharType="begin"/>
            </w:r>
            <w:r w:rsidR="00CA6345">
              <w:rPr>
                <w:szCs w:val="20"/>
              </w:rPr>
              <w:instrText xml:space="preserve"> ADDIN ZOTERO_ITEM CSL_CITATION {"citationID":"cL3LITiO","properties":{"formattedCitation":"\\super 4\\nosupersub{}","plainCitation":"4","noteIndex":0},"citationItems":[{"id":65878,"uris":["http://zotero.org/groups/4797619/items/ESRZZTT8"],"itemData":{"id":65878,"type":"webpage","abstract":"Evidence-based recommendations on trastuzumab deruxtecan (Enhertu) for treating HER2-positive unresectable or metastatic breast cancer in adults after 2 or more","language":"eng","note":"publisher: NICE","title":"Trastuzumab deruxtecan for treating HER2-positive unresectable or metastatic breast cancer after 2 or more anti-HER2 therapies | NICE [TA704]","URL":"https://www.nice.org.uk/guidance/ta704","author":[{"family":"NICE","given":""}],"accessed":{"date-parts":[["2022",9,29]]}}}],"schema":"https://github.com/citation-style-language/schema/raw/master/csl-citation.json"} </w:instrText>
            </w:r>
            <w:r w:rsidRPr="00391743">
              <w:rPr>
                <w:szCs w:val="20"/>
              </w:rPr>
              <w:fldChar w:fldCharType="separate"/>
            </w:r>
            <w:r w:rsidRPr="00FD57F4">
              <w:rPr>
                <w:rFonts w:cs="Arial"/>
                <w:vertAlign w:val="superscript"/>
              </w:rPr>
              <w:t>4</w:t>
            </w:r>
            <w:r w:rsidRPr="00391743">
              <w:rPr>
                <w:szCs w:val="20"/>
              </w:rPr>
              <w:fldChar w:fldCharType="end"/>
            </w:r>
          </w:p>
        </w:tc>
        <w:tc>
          <w:tcPr>
            <w:tcW w:w="1559" w:type="dxa"/>
            <w:shd w:val="clear" w:color="auto" w:fill="EDEDED" w:themeFill="accent3" w:themeFillTint="33"/>
            <w:vAlign w:val="center"/>
          </w:tcPr>
          <w:p w14:paraId="5D2D002B" w14:textId="7F9BC2F1" w:rsidR="00036EA7" w:rsidRPr="0053039A" w:rsidRDefault="00AB213B" w:rsidP="003C648C">
            <w:pPr>
              <w:pStyle w:val="NICETabletext"/>
              <w:keepNext w:val="0"/>
              <w:spacing w:after="0"/>
              <w:contextualSpacing/>
              <w:jc w:val="center"/>
            </w:pPr>
            <w:r w:rsidRPr="0053039A">
              <w:rPr>
                <w:bCs/>
              </w:rPr>
              <w:t>TA819 (2022)</w:t>
            </w:r>
            <w:r w:rsidRPr="0053039A">
              <w:rPr>
                <w:bCs/>
                <w:szCs w:val="20"/>
              </w:rPr>
              <w:fldChar w:fldCharType="begin"/>
            </w:r>
            <w:r w:rsidR="00CA6345">
              <w:rPr>
                <w:bCs/>
                <w:szCs w:val="20"/>
              </w:rPr>
              <w:instrText xml:space="preserve"> ADDIN ZOTERO_ITEM CSL_CITATION {"citationID":"Brkpyj6v","properties":{"formattedCitation":"\\super 132\\nosupersub{}","plainCitation":"132","noteIndex":0},"citationItems":[{"id":65875,"uris":["http://zotero.org/groups/4797619/items/IP9MEGL9"],"itemData":{"id":65875,"type":"webpage","abstract":"Evidence-based recommendations on sacituzumab govetican (Trodelvy) for treating unresectable, triple-negative locally advanced or metastatic breast cancer in adults after 2 or more systemic therapies, at least 1 of which was for advanced disease","language":"eng","note":"publisher: NICE","title":"Sacituzumab govitecan for treating unresectable triple-negative advanced breast cancer after 2 or more therapies | NICE [TA819]","URL":"https://www.nice.org.uk/guidance/ta819","author":[{"family":"NICE","given":""}],"accessed":{"date-parts":[["2022",10,17]]}}}],"schema":"https://github.com/citation-style-language/schema/raw/master/csl-citation.json"} </w:instrText>
            </w:r>
            <w:r w:rsidRPr="0053039A">
              <w:rPr>
                <w:bCs/>
                <w:szCs w:val="20"/>
              </w:rPr>
              <w:fldChar w:fldCharType="separate"/>
            </w:r>
            <w:r w:rsidR="00CA6345" w:rsidRPr="00CA6345">
              <w:rPr>
                <w:rFonts w:cs="Arial"/>
                <w:vertAlign w:val="superscript"/>
              </w:rPr>
              <w:t>132</w:t>
            </w:r>
            <w:r w:rsidRPr="0053039A">
              <w:rPr>
                <w:bCs/>
                <w:szCs w:val="20"/>
              </w:rPr>
              <w:fldChar w:fldCharType="end"/>
            </w:r>
          </w:p>
        </w:tc>
        <w:tc>
          <w:tcPr>
            <w:tcW w:w="1559" w:type="dxa"/>
            <w:shd w:val="clear" w:color="auto" w:fill="EDEDED" w:themeFill="accent3" w:themeFillTint="33"/>
            <w:vAlign w:val="center"/>
          </w:tcPr>
          <w:p w14:paraId="226C532E" w14:textId="3995CF70" w:rsidR="00036EA7" w:rsidRPr="0053039A" w:rsidRDefault="00AB213B" w:rsidP="003C648C">
            <w:pPr>
              <w:pStyle w:val="NICETabletext"/>
              <w:keepNext w:val="0"/>
              <w:spacing w:after="0"/>
              <w:contextualSpacing/>
              <w:jc w:val="center"/>
            </w:pPr>
            <w:r w:rsidRPr="0053039A">
              <w:rPr>
                <w:bCs/>
              </w:rPr>
              <w:t>TA862 (2023)</w:t>
            </w:r>
            <w:r w:rsidRPr="0053039A">
              <w:rPr>
                <w:bCs/>
                <w:szCs w:val="20"/>
              </w:rPr>
              <w:fldChar w:fldCharType="begin"/>
            </w:r>
            <w:r w:rsidR="00CA6345">
              <w:rPr>
                <w:bCs/>
                <w:szCs w:val="20"/>
              </w:rPr>
              <w:instrText xml:space="preserve"> ADDIN ZOTERO_ITEM CSL_CITATION {"citationID":"fjqKynjZ","properties":{"formattedCitation":"\\super 5\\nosupersub{}","plainCitation":"5","noteIndex":0},"citationItems":[{"id":66214,"uris":["http://zotero.org/groups/4797619/items/H2PQC2GH"],"itemData":{"id":66214,"type":"webpage","abstract":"Trastuzumab deruxtecan for treating HER2-positive unresectable or metastatic breast cancer after trastuzumab and a taxane [TA862]","language":"eng","note":"publisher: NICE","title":"Trastuzumab deruxtecan for treating HER2-positive unresectable or metastatic breast cancer after 1 or more anti-HER2 therapies | NICE [TA862]","URL":"https://www.nice.org.uk/guidance/indevelopment/gid-ta10804/documents","author":[{"family":"NICE","given":""}],"accessed":{"date-parts":[["2023",2,5]]},"issued":{"date-parts":[["2023",2]]}}}],"schema":"https://github.com/citation-style-language/schema/raw/master/csl-citation.json"} </w:instrText>
            </w:r>
            <w:r w:rsidRPr="0053039A">
              <w:rPr>
                <w:bCs/>
                <w:szCs w:val="20"/>
              </w:rPr>
              <w:fldChar w:fldCharType="separate"/>
            </w:r>
            <w:r w:rsidRPr="00FD57F4">
              <w:rPr>
                <w:rFonts w:cs="Arial"/>
                <w:vertAlign w:val="superscript"/>
              </w:rPr>
              <w:t>5</w:t>
            </w:r>
            <w:r w:rsidRPr="0053039A">
              <w:rPr>
                <w:bCs/>
                <w:szCs w:val="20"/>
              </w:rPr>
              <w:fldChar w:fldCharType="end"/>
            </w:r>
          </w:p>
        </w:tc>
        <w:tc>
          <w:tcPr>
            <w:tcW w:w="1560" w:type="dxa"/>
            <w:shd w:val="clear" w:color="auto" w:fill="EDEDED" w:themeFill="accent3" w:themeFillTint="33"/>
            <w:vAlign w:val="center"/>
          </w:tcPr>
          <w:p w14:paraId="30BFD238" w14:textId="77777777" w:rsidR="00036EA7" w:rsidRPr="00391743" w:rsidRDefault="00036EA7" w:rsidP="003C648C">
            <w:pPr>
              <w:pStyle w:val="NICETabletext"/>
              <w:keepNext w:val="0"/>
              <w:spacing w:after="0"/>
              <w:contextualSpacing/>
              <w:jc w:val="center"/>
            </w:pPr>
            <w:r w:rsidRPr="00391743">
              <w:t>Chosen values</w:t>
            </w:r>
          </w:p>
        </w:tc>
        <w:tc>
          <w:tcPr>
            <w:tcW w:w="0" w:type="dxa"/>
            <w:shd w:val="clear" w:color="auto" w:fill="EDEDED" w:themeFill="accent3" w:themeFillTint="33"/>
            <w:vAlign w:val="center"/>
          </w:tcPr>
          <w:p w14:paraId="49F08543" w14:textId="77777777" w:rsidR="00036EA7" w:rsidRPr="00391743" w:rsidRDefault="00036EA7" w:rsidP="003C648C">
            <w:pPr>
              <w:pStyle w:val="NICETabletext"/>
              <w:keepNext w:val="0"/>
              <w:spacing w:after="0"/>
              <w:contextualSpacing/>
              <w:jc w:val="center"/>
            </w:pPr>
            <w:r w:rsidRPr="00391743">
              <w:t>Justification</w:t>
            </w:r>
          </w:p>
        </w:tc>
      </w:tr>
      <w:tr w:rsidR="00036EA7" w:rsidRPr="00575E99" w14:paraId="043DD449" w14:textId="77777777" w:rsidTr="00F710CB">
        <w:trPr>
          <w:trHeight w:val="20"/>
        </w:trPr>
        <w:tc>
          <w:tcPr>
            <w:tcW w:w="1555" w:type="dxa"/>
            <w:shd w:val="clear" w:color="auto" w:fill="F2F2F2" w:themeFill="background1" w:themeFillShade="F2"/>
          </w:tcPr>
          <w:p w14:paraId="31910B0B" w14:textId="77777777" w:rsidR="00036EA7" w:rsidRPr="000911A8" w:rsidRDefault="00036EA7" w:rsidP="003C648C">
            <w:pPr>
              <w:pStyle w:val="NICETabletext"/>
              <w:keepNext w:val="0"/>
              <w:spacing w:after="0"/>
              <w:contextualSpacing/>
            </w:pPr>
            <w:r w:rsidRPr="000911A8">
              <w:t>Model type</w:t>
            </w:r>
          </w:p>
        </w:tc>
        <w:tc>
          <w:tcPr>
            <w:tcW w:w="1559" w:type="dxa"/>
          </w:tcPr>
          <w:p w14:paraId="2461649D" w14:textId="4809BCCD" w:rsidR="00036EA7" w:rsidRPr="005D58CB" w:rsidRDefault="00036EA7" w:rsidP="003C648C">
            <w:pPr>
              <w:pStyle w:val="NICETabletext"/>
              <w:keepNext w:val="0"/>
              <w:spacing w:after="0"/>
              <w:contextualSpacing/>
              <w:jc w:val="center"/>
            </w:pPr>
            <w:r w:rsidRPr="005D58CB">
              <w:t>Markov model</w:t>
            </w:r>
          </w:p>
        </w:tc>
        <w:tc>
          <w:tcPr>
            <w:tcW w:w="1559" w:type="dxa"/>
          </w:tcPr>
          <w:p w14:paraId="475D96AE" w14:textId="60A92CBA" w:rsidR="00036EA7" w:rsidRPr="005D58CB" w:rsidRDefault="00036EA7" w:rsidP="003C648C">
            <w:pPr>
              <w:pStyle w:val="NICETabletext"/>
              <w:keepNext w:val="0"/>
              <w:spacing w:after="0"/>
              <w:contextualSpacing/>
              <w:jc w:val="center"/>
            </w:pPr>
            <w:r w:rsidRPr="005D58CB">
              <w:t>PartSA</w:t>
            </w:r>
          </w:p>
        </w:tc>
        <w:tc>
          <w:tcPr>
            <w:tcW w:w="1559" w:type="dxa"/>
          </w:tcPr>
          <w:p w14:paraId="6C6A5B2A" w14:textId="57A35E5C" w:rsidR="00036EA7" w:rsidRPr="005D58CB" w:rsidRDefault="00036EA7" w:rsidP="003C648C">
            <w:pPr>
              <w:pStyle w:val="NICETabletext"/>
              <w:keepNext w:val="0"/>
              <w:spacing w:after="0"/>
              <w:contextualSpacing/>
              <w:jc w:val="center"/>
            </w:pPr>
            <w:r>
              <w:t>PartSA</w:t>
            </w:r>
          </w:p>
        </w:tc>
        <w:tc>
          <w:tcPr>
            <w:tcW w:w="1559" w:type="dxa"/>
          </w:tcPr>
          <w:p w14:paraId="47383ED0" w14:textId="4742C14F" w:rsidR="00036EA7" w:rsidRPr="005D58CB" w:rsidRDefault="00036EA7" w:rsidP="003C648C">
            <w:pPr>
              <w:pStyle w:val="NICETabletext"/>
              <w:keepNext w:val="0"/>
              <w:spacing w:after="0"/>
              <w:contextualSpacing/>
              <w:jc w:val="center"/>
            </w:pPr>
            <w:r w:rsidRPr="005D58CB">
              <w:t>PartSA</w:t>
            </w:r>
          </w:p>
        </w:tc>
        <w:tc>
          <w:tcPr>
            <w:tcW w:w="1559" w:type="dxa"/>
          </w:tcPr>
          <w:p w14:paraId="53CE8269" w14:textId="0B1E5A9F" w:rsidR="00036EA7" w:rsidRPr="000911A8" w:rsidRDefault="00036EA7" w:rsidP="003C648C">
            <w:pPr>
              <w:pStyle w:val="NICETabletext"/>
              <w:keepNext w:val="0"/>
              <w:spacing w:after="0"/>
              <w:contextualSpacing/>
              <w:jc w:val="center"/>
            </w:pPr>
            <w:r w:rsidRPr="005D58CB">
              <w:t>PartSA</w:t>
            </w:r>
            <w:r w:rsidR="00391743">
              <w:t xml:space="preserve"> </w:t>
            </w:r>
          </w:p>
        </w:tc>
        <w:tc>
          <w:tcPr>
            <w:tcW w:w="1560" w:type="dxa"/>
          </w:tcPr>
          <w:p w14:paraId="346DCF9C" w14:textId="77777777" w:rsidR="00036EA7" w:rsidRPr="000911A8" w:rsidRDefault="00036EA7" w:rsidP="003C648C">
            <w:pPr>
              <w:pStyle w:val="NICETabletext"/>
              <w:keepNext w:val="0"/>
              <w:spacing w:after="0"/>
              <w:contextualSpacing/>
              <w:jc w:val="center"/>
            </w:pPr>
            <w:r w:rsidRPr="000911A8">
              <w:t>PartSA</w:t>
            </w:r>
          </w:p>
        </w:tc>
        <w:tc>
          <w:tcPr>
            <w:tcW w:w="2552" w:type="dxa"/>
          </w:tcPr>
          <w:p w14:paraId="73C268DD" w14:textId="77777777" w:rsidR="00036EA7" w:rsidRPr="000911A8" w:rsidRDefault="00036EA7" w:rsidP="003C648C">
            <w:pPr>
              <w:pStyle w:val="NICETabletext"/>
              <w:keepNext w:val="0"/>
              <w:spacing w:after="0"/>
              <w:contextualSpacing/>
            </w:pPr>
            <w:r w:rsidRPr="000911A8">
              <w:t>This approach is generally consistent with previous models in mBC and other oncology indications.</w:t>
            </w:r>
          </w:p>
        </w:tc>
      </w:tr>
      <w:tr w:rsidR="00036EA7" w:rsidRPr="00575E99" w14:paraId="0340BA49" w14:textId="77777777" w:rsidTr="00F710CB">
        <w:trPr>
          <w:trHeight w:val="20"/>
        </w:trPr>
        <w:tc>
          <w:tcPr>
            <w:tcW w:w="1555" w:type="dxa"/>
            <w:shd w:val="clear" w:color="auto" w:fill="F2F2F2" w:themeFill="background1" w:themeFillShade="F2"/>
          </w:tcPr>
          <w:p w14:paraId="53059A82" w14:textId="77777777" w:rsidR="00036EA7" w:rsidRPr="005D58CB" w:rsidRDefault="00036EA7" w:rsidP="003C648C">
            <w:pPr>
              <w:pStyle w:val="NICETabletext"/>
              <w:keepNext w:val="0"/>
              <w:spacing w:after="0"/>
              <w:contextualSpacing/>
            </w:pPr>
            <w:r w:rsidRPr="005D58CB">
              <w:t>Patient population</w:t>
            </w:r>
          </w:p>
        </w:tc>
        <w:tc>
          <w:tcPr>
            <w:tcW w:w="1559" w:type="dxa"/>
          </w:tcPr>
          <w:p w14:paraId="19054A97" w14:textId="77777777" w:rsidR="00036EA7" w:rsidRPr="005D58CB" w:rsidRDefault="00036EA7" w:rsidP="003C648C">
            <w:pPr>
              <w:pStyle w:val="NICETabletext"/>
              <w:keepNext w:val="0"/>
              <w:spacing w:after="0"/>
              <w:contextualSpacing/>
              <w:jc w:val="center"/>
            </w:pPr>
            <w:r w:rsidRPr="005D58CB">
              <w:t>Adults with locally advanced or metastatic BC previously treated with anthracycline-based therapies</w:t>
            </w:r>
          </w:p>
        </w:tc>
        <w:tc>
          <w:tcPr>
            <w:tcW w:w="1559" w:type="dxa"/>
          </w:tcPr>
          <w:p w14:paraId="7B0B42C4" w14:textId="77777777" w:rsidR="00036EA7" w:rsidRPr="005D58CB" w:rsidRDefault="00036EA7" w:rsidP="003C648C">
            <w:pPr>
              <w:pStyle w:val="NICETabletext"/>
              <w:keepNext w:val="0"/>
              <w:spacing w:after="0"/>
              <w:contextualSpacing/>
              <w:jc w:val="center"/>
            </w:pPr>
            <w:r w:rsidRPr="005D58CB">
              <w:t xml:space="preserve">Adults with locally advanced or metastatic BC after </w:t>
            </w:r>
            <w:r w:rsidRPr="005D58CB">
              <w:rPr>
                <w:rFonts w:ascii="Calibri" w:hAnsi="Calibri" w:cs="Calibri"/>
              </w:rPr>
              <w:t>≥</w:t>
            </w:r>
            <w:r w:rsidRPr="005D58CB">
              <w:t>2 lines of chemotherapy</w:t>
            </w:r>
          </w:p>
        </w:tc>
        <w:tc>
          <w:tcPr>
            <w:tcW w:w="1559" w:type="dxa"/>
          </w:tcPr>
          <w:p w14:paraId="7A0D5714" w14:textId="01761437" w:rsidR="00036EA7" w:rsidRPr="005D58CB" w:rsidRDefault="00036EA7" w:rsidP="003C648C">
            <w:pPr>
              <w:pStyle w:val="NICETabletext"/>
              <w:keepNext w:val="0"/>
              <w:spacing w:after="0"/>
              <w:contextualSpacing/>
              <w:jc w:val="center"/>
            </w:pPr>
            <w:r>
              <w:t xml:space="preserve">Adults with </w:t>
            </w:r>
            <w:r w:rsidR="0005190D">
              <w:t>HER2-positive</w:t>
            </w:r>
            <w:r>
              <w:t xml:space="preserve"> u/mBC after </w:t>
            </w:r>
            <w:r w:rsidRPr="005D58CB">
              <w:rPr>
                <w:rFonts w:ascii="Calibri" w:hAnsi="Calibri" w:cs="Calibri"/>
              </w:rPr>
              <w:t>≥</w:t>
            </w:r>
            <w:r w:rsidRPr="005D58CB">
              <w:t xml:space="preserve">2 </w:t>
            </w:r>
            <w:r>
              <w:t>prior anti-HER2 therapies</w:t>
            </w:r>
          </w:p>
        </w:tc>
        <w:tc>
          <w:tcPr>
            <w:tcW w:w="1559" w:type="dxa"/>
          </w:tcPr>
          <w:p w14:paraId="6CD2A076" w14:textId="08AE03E8" w:rsidR="00036EA7" w:rsidRPr="005D58CB" w:rsidRDefault="00036EA7" w:rsidP="003C648C">
            <w:pPr>
              <w:pStyle w:val="NICETabletext"/>
              <w:keepNext w:val="0"/>
              <w:spacing w:after="0"/>
              <w:contextualSpacing/>
              <w:jc w:val="center"/>
            </w:pPr>
            <w:r w:rsidRPr="005D58CB">
              <w:t xml:space="preserve">Adults with locally advanced or metastatic triple-negative BC after </w:t>
            </w:r>
            <w:r w:rsidRPr="005D58CB">
              <w:rPr>
                <w:rFonts w:ascii="Calibri" w:hAnsi="Calibri" w:cs="Calibri"/>
              </w:rPr>
              <w:t>≥</w:t>
            </w:r>
            <w:r w:rsidRPr="005D58CB">
              <w:t>2 lines of chemotherapy</w:t>
            </w:r>
          </w:p>
        </w:tc>
        <w:tc>
          <w:tcPr>
            <w:tcW w:w="1559" w:type="dxa"/>
          </w:tcPr>
          <w:p w14:paraId="6762B4FE" w14:textId="29F22CFE" w:rsidR="00036EA7" w:rsidRPr="005D58CB" w:rsidRDefault="00036EA7" w:rsidP="003C648C">
            <w:pPr>
              <w:pStyle w:val="NICETabletext"/>
              <w:keepNext w:val="0"/>
              <w:spacing w:after="0"/>
              <w:contextualSpacing/>
              <w:jc w:val="center"/>
            </w:pPr>
            <w:r w:rsidRPr="005D58CB">
              <w:t xml:space="preserve">Adults with </w:t>
            </w:r>
            <w:r w:rsidR="0005190D">
              <w:t>HER2-positive</w:t>
            </w:r>
            <w:r w:rsidRPr="005D58CB">
              <w:t xml:space="preserve"> u/mBC</w:t>
            </w:r>
            <w:r w:rsidRPr="005D58CB" w:rsidDel="00CC4C5F">
              <w:t xml:space="preserve"> </w:t>
            </w:r>
            <w:r w:rsidRPr="005D58CB">
              <w:t>after 1 or more anti-HER2 treatments</w:t>
            </w:r>
          </w:p>
        </w:tc>
        <w:tc>
          <w:tcPr>
            <w:tcW w:w="1560" w:type="dxa"/>
          </w:tcPr>
          <w:p w14:paraId="50C6644A" w14:textId="77777777" w:rsidR="00036EA7" w:rsidRPr="005D58CB" w:rsidRDefault="00036EA7" w:rsidP="003C648C">
            <w:pPr>
              <w:pStyle w:val="NICETabletext"/>
              <w:keepNext w:val="0"/>
              <w:spacing w:after="0"/>
              <w:contextualSpacing/>
              <w:jc w:val="center"/>
            </w:pPr>
            <w:r w:rsidRPr="005D58CB">
              <w:t>Adults with HER2-low u/mBC previously treated with chemotherapy</w:t>
            </w:r>
          </w:p>
        </w:tc>
        <w:tc>
          <w:tcPr>
            <w:tcW w:w="2552" w:type="dxa"/>
          </w:tcPr>
          <w:p w14:paraId="660259ED" w14:textId="38586752" w:rsidR="00036EA7" w:rsidRPr="005D58CB" w:rsidRDefault="00AB213B" w:rsidP="003C648C">
            <w:pPr>
              <w:pStyle w:val="Body"/>
              <w:spacing w:after="0"/>
              <w:contextualSpacing/>
            </w:pPr>
            <w:r>
              <w:t>R</w:t>
            </w:r>
            <w:r w:rsidRPr="005D58CB">
              <w:t>eflects</w:t>
            </w:r>
            <w:r w:rsidRPr="005D58CB" w:rsidDel="001831ED">
              <w:t xml:space="preserve"> </w:t>
            </w:r>
            <w:r>
              <w:t>the FAS population</w:t>
            </w:r>
            <w:r w:rsidRPr="005D58CB">
              <w:t xml:space="preserve"> of the pivotal DESTINY-Breast04 clinical trial</w:t>
            </w:r>
            <w:r w:rsidRPr="005D58CB">
              <w:fldChar w:fldCharType="begin"/>
            </w:r>
            <w:r w:rsidR="00CA6345">
              <w:instrText xml:space="preserve"> ADDIN ZOTERO_ITEM CSL_CITATION {"citationID":"KoQlrlwI","properties":{"formattedCitation":"\\super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5D58CB">
              <w:fldChar w:fldCharType="separate"/>
            </w:r>
            <w:r w:rsidRPr="00FD57F4">
              <w:rPr>
                <w:rFonts w:cs="Arial"/>
                <w:szCs w:val="24"/>
                <w:vertAlign w:val="superscript"/>
              </w:rPr>
              <w:t>7</w:t>
            </w:r>
            <w:r w:rsidRPr="005D58CB">
              <w:fldChar w:fldCharType="end"/>
            </w:r>
            <w:r w:rsidRPr="005D58CB">
              <w:t xml:space="preserve"> and the anticipated licensed indication</w:t>
            </w:r>
            <w:r w:rsidRPr="005D58CB">
              <w:fldChar w:fldCharType="begin"/>
            </w:r>
            <w:r w:rsidR="00CA6345">
              <w:instrText xml:space="preserve"> ADDIN ZOTERO_ITEM CSL_CITATION {"citationID":"cDkLEmKU","properties":{"formattedCitation":"\\super 164\\nosupersub{}","plainCitation":"164","noteIndex":0},"citationItems":[{"id":66411,"uris":["http://zotero.org/groups/4797619/items/EZK32SBF"],"itemData":{"id":66411,"type":"document","title":"Enhertu - Draft Summary of Product Characteristics (SmPC). Data on File.","author":[{"family":"Daiichi Sankyo Inc.","given":""}],"issued":{"date-parts":[["2022"]]}}}],"schema":"https://github.com/citation-style-language/schema/raw/master/csl-citation.json"} </w:instrText>
            </w:r>
            <w:r w:rsidRPr="005D58CB">
              <w:fldChar w:fldCharType="separate"/>
            </w:r>
            <w:r w:rsidR="00CA6345" w:rsidRPr="00CA6345">
              <w:rPr>
                <w:rFonts w:cs="Arial"/>
                <w:szCs w:val="24"/>
                <w:vertAlign w:val="superscript"/>
              </w:rPr>
              <w:t>164</w:t>
            </w:r>
            <w:r w:rsidRPr="005D58CB">
              <w:fldChar w:fldCharType="end"/>
            </w:r>
          </w:p>
        </w:tc>
      </w:tr>
      <w:tr w:rsidR="00036EA7" w:rsidRPr="00575E99" w14:paraId="319BB46A" w14:textId="77777777" w:rsidTr="00F710CB">
        <w:trPr>
          <w:trHeight w:val="20"/>
        </w:trPr>
        <w:tc>
          <w:tcPr>
            <w:tcW w:w="1555" w:type="dxa"/>
            <w:shd w:val="clear" w:color="auto" w:fill="F2F2F2" w:themeFill="background1" w:themeFillShade="F2"/>
          </w:tcPr>
          <w:p w14:paraId="6537262F" w14:textId="40FC23D7" w:rsidR="00036EA7" w:rsidRPr="005D58CB" w:rsidRDefault="00036EA7" w:rsidP="003C648C">
            <w:pPr>
              <w:pStyle w:val="NICETabletext"/>
              <w:keepNext w:val="0"/>
              <w:spacing w:after="0"/>
              <w:contextualSpacing/>
            </w:pPr>
            <w:r w:rsidRPr="005D58CB">
              <w:t>Intervention and comparator</w:t>
            </w:r>
          </w:p>
        </w:tc>
        <w:tc>
          <w:tcPr>
            <w:tcW w:w="1559" w:type="dxa"/>
          </w:tcPr>
          <w:p w14:paraId="0FC0C49A" w14:textId="77777777" w:rsidR="00036EA7" w:rsidRPr="005D58CB" w:rsidRDefault="00036EA7" w:rsidP="00E91470">
            <w:pPr>
              <w:pStyle w:val="NICETabletext"/>
              <w:keepNext w:val="0"/>
              <w:numPr>
                <w:ilvl w:val="0"/>
                <w:numId w:val="51"/>
              </w:numPr>
              <w:spacing w:after="0"/>
              <w:ind w:left="222" w:hanging="222"/>
              <w:contextualSpacing/>
            </w:pPr>
            <w:r w:rsidRPr="005D58CB">
              <w:t>Gemcitabine with paclitaxel</w:t>
            </w:r>
          </w:p>
          <w:p w14:paraId="71430529" w14:textId="77777777" w:rsidR="00036EA7" w:rsidRPr="005D58CB" w:rsidRDefault="00036EA7" w:rsidP="00E91470">
            <w:pPr>
              <w:pStyle w:val="NICETabletext"/>
              <w:keepNext w:val="0"/>
              <w:numPr>
                <w:ilvl w:val="0"/>
                <w:numId w:val="51"/>
              </w:numPr>
              <w:spacing w:after="0"/>
              <w:ind w:left="222" w:hanging="222"/>
              <w:contextualSpacing/>
            </w:pPr>
            <w:r w:rsidRPr="005D58CB">
              <w:t>Licensed taxane-based regimens</w:t>
            </w:r>
          </w:p>
        </w:tc>
        <w:tc>
          <w:tcPr>
            <w:tcW w:w="1559" w:type="dxa"/>
          </w:tcPr>
          <w:p w14:paraId="3329DF18" w14:textId="77777777" w:rsidR="00036EA7" w:rsidRPr="005D58CB" w:rsidRDefault="00036EA7" w:rsidP="00E91470">
            <w:pPr>
              <w:pStyle w:val="NICETabletext"/>
              <w:keepNext w:val="0"/>
              <w:numPr>
                <w:ilvl w:val="0"/>
                <w:numId w:val="51"/>
              </w:numPr>
              <w:spacing w:after="0"/>
              <w:ind w:left="222" w:hanging="222"/>
              <w:contextualSpacing/>
            </w:pPr>
            <w:r w:rsidRPr="005D58CB">
              <w:t>Eribulin</w:t>
            </w:r>
          </w:p>
          <w:p w14:paraId="68607674" w14:textId="77777777" w:rsidR="00036EA7" w:rsidRPr="005D58CB" w:rsidRDefault="00036EA7" w:rsidP="00E91470">
            <w:pPr>
              <w:pStyle w:val="NICETabletext"/>
              <w:keepNext w:val="0"/>
              <w:numPr>
                <w:ilvl w:val="0"/>
                <w:numId w:val="51"/>
              </w:numPr>
              <w:spacing w:after="0"/>
              <w:ind w:left="222" w:hanging="222"/>
              <w:contextualSpacing/>
            </w:pPr>
            <w:r w:rsidRPr="005D58CB">
              <w:t>TPC</w:t>
            </w:r>
          </w:p>
        </w:tc>
        <w:tc>
          <w:tcPr>
            <w:tcW w:w="1559" w:type="dxa"/>
          </w:tcPr>
          <w:p w14:paraId="57AD3F11" w14:textId="77777777" w:rsidR="00036EA7" w:rsidRPr="00D94191" w:rsidRDefault="00036EA7" w:rsidP="00E91470">
            <w:pPr>
              <w:pStyle w:val="NICETabletext"/>
              <w:keepNext w:val="0"/>
              <w:numPr>
                <w:ilvl w:val="0"/>
                <w:numId w:val="51"/>
              </w:numPr>
              <w:spacing w:after="0"/>
              <w:ind w:left="222" w:hanging="222"/>
              <w:contextualSpacing/>
            </w:pPr>
            <w:r>
              <w:rPr>
                <w:lang w:val="en-US"/>
              </w:rPr>
              <w:t>T-</w:t>
            </w:r>
            <w:r w:rsidRPr="00D94191">
              <w:t>DXd</w:t>
            </w:r>
          </w:p>
          <w:p w14:paraId="2C5963D7" w14:textId="77777777" w:rsidR="00036EA7" w:rsidRPr="00D94191" w:rsidRDefault="00036EA7" w:rsidP="00E91470">
            <w:pPr>
              <w:pStyle w:val="NICETabletext"/>
              <w:keepNext w:val="0"/>
              <w:numPr>
                <w:ilvl w:val="0"/>
                <w:numId w:val="51"/>
              </w:numPr>
              <w:spacing w:after="0"/>
              <w:ind w:left="222" w:hanging="222"/>
              <w:contextualSpacing/>
            </w:pPr>
            <w:r w:rsidRPr="00D94191">
              <w:t>Eribulin</w:t>
            </w:r>
          </w:p>
          <w:p w14:paraId="7C5801D3" w14:textId="77777777" w:rsidR="00036EA7" w:rsidRPr="00D94191" w:rsidRDefault="00036EA7" w:rsidP="00E91470">
            <w:pPr>
              <w:pStyle w:val="NICETabletext"/>
              <w:keepNext w:val="0"/>
              <w:numPr>
                <w:ilvl w:val="0"/>
                <w:numId w:val="51"/>
              </w:numPr>
              <w:spacing w:after="0"/>
              <w:ind w:left="222" w:hanging="222"/>
              <w:contextualSpacing/>
            </w:pPr>
            <w:r w:rsidRPr="00D94191">
              <w:t>Capecitabine</w:t>
            </w:r>
          </w:p>
          <w:p w14:paraId="574AE9DF" w14:textId="77777777" w:rsidR="00036EA7" w:rsidRDefault="00036EA7" w:rsidP="00E91470">
            <w:pPr>
              <w:pStyle w:val="NICETabletext"/>
              <w:keepNext w:val="0"/>
              <w:numPr>
                <w:ilvl w:val="0"/>
                <w:numId w:val="51"/>
              </w:numPr>
              <w:spacing w:after="0"/>
              <w:ind w:left="222" w:hanging="222"/>
              <w:contextualSpacing/>
              <w:rPr>
                <w:lang w:val="en-US"/>
              </w:rPr>
            </w:pPr>
            <w:r w:rsidRPr="00D94191">
              <w:t>Vinorelbine</w:t>
            </w:r>
          </w:p>
        </w:tc>
        <w:tc>
          <w:tcPr>
            <w:tcW w:w="1559" w:type="dxa"/>
          </w:tcPr>
          <w:p w14:paraId="6FFAF157" w14:textId="2A5AB826" w:rsidR="00036EA7" w:rsidRDefault="00036EA7" w:rsidP="00E91470">
            <w:pPr>
              <w:pStyle w:val="NICETabletext"/>
              <w:keepNext w:val="0"/>
              <w:numPr>
                <w:ilvl w:val="0"/>
                <w:numId w:val="51"/>
              </w:numPr>
              <w:spacing w:after="0"/>
              <w:ind w:left="222" w:hanging="222"/>
              <w:contextualSpacing/>
            </w:pPr>
            <w:r w:rsidRPr="005D58CB">
              <w:t>SG</w:t>
            </w:r>
          </w:p>
          <w:p w14:paraId="090994F0" w14:textId="77777777" w:rsidR="00036EA7" w:rsidRPr="005D58CB" w:rsidRDefault="00036EA7" w:rsidP="00E91470">
            <w:pPr>
              <w:pStyle w:val="NICETabletext"/>
              <w:keepNext w:val="0"/>
              <w:numPr>
                <w:ilvl w:val="0"/>
                <w:numId w:val="51"/>
              </w:numPr>
              <w:spacing w:after="0"/>
              <w:ind w:left="222" w:hanging="222"/>
              <w:contextualSpacing/>
            </w:pPr>
            <w:r w:rsidRPr="005D58CB">
              <w:t>TPC</w:t>
            </w:r>
          </w:p>
        </w:tc>
        <w:tc>
          <w:tcPr>
            <w:tcW w:w="1559" w:type="dxa"/>
          </w:tcPr>
          <w:p w14:paraId="4FA37841" w14:textId="77777777" w:rsidR="00036EA7" w:rsidRPr="005D58CB" w:rsidRDefault="00036EA7" w:rsidP="00E91470">
            <w:pPr>
              <w:pStyle w:val="NICETabletext"/>
              <w:keepNext w:val="0"/>
              <w:numPr>
                <w:ilvl w:val="0"/>
                <w:numId w:val="51"/>
              </w:numPr>
              <w:spacing w:after="0"/>
              <w:ind w:left="222" w:hanging="222"/>
              <w:contextualSpacing/>
            </w:pPr>
            <w:r w:rsidRPr="005D58CB">
              <w:t>T-DXd</w:t>
            </w:r>
          </w:p>
          <w:p w14:paraId="4D4930E0" w14:textId="77777777" w:rsidR="00036EA7" w:rsidRPr="005D58CB" w:rsidRDefault="00036EA7" w:rsidP="00E91470">
            <w:pPr>
              <w:pStyle w:val="NICETabletext"/>
              <w:keepNext w:val="0"/>
              <w:numPr>
                <w:ilvl w:val="0"/>
                <w:numId w:val="51"/>
              </w:numPr>
              <w:spacing w:after="0"/>
              <w:ind w:left="222" w:hanging="222"/>
              <w:contextualSpacing/>
            </w:pPr>
            <w:r w:rsidRPr="005D58CB">
              <w:t>T-DM1</w:t>
            </w:r>
          </w:p>
        </w:tc>
        <w:tc>
          <w:tcPr>
            <w:tcW w:w="1560" w:type="dxa"/>
          </w:tcPr>
          <w:p w14:paraId="0BE4E45C" w14:textId="77777777" w:rsidR="00036EA7" w:rsidRPr="005D58CB" w:rsidRDefault="00036EA7" w:rsidP="00E91470">
            <w:pPr>
              <w:pStyle w:val="NICETabletext"/>
              <w:keepNext w:val="0"/>
              <w:numPr>
                <w:ilvl w:val="0"/>
                <w:numId w:val="51"/>
              </w:numPr>
              <w:spacing w:after="0"/>
              <w:ind w:left="222" w:hanging="222"/>
              <w:contextualSpacing/>
            </w:pPr>
            <w:r w:rsidRPr="005D58CB">
              <w:t>T-DXd</w:t>
            </w:r>
          </w:p>
          <w:p w14:paraId="67194EDF" w14:textId="77777777" w:rsidR="00036EA7" w:rsidRPr="005D58CB" w:rsidRDefault="00036EA7" w:rsidP="00E91470">
            <w:pPr>
              <w:pStyle w:val="NICETabletext"/>
              <w:keepNext w:val="0"/>
              <w:numPr>
                <w:ilvl w:val="0"/>
                <w:numId w:val="51"/>
              </w:numPr>
              <w:spacing w:after="0"/>
              <w:ind w:left="222" w:hanging="222"/>
              <w:contextualSpacing/>
            </w:pPr>
            <w:r w:rsidRPr="005D58CB">
              <w:t>TPC</w:t>
            </w:r>
          </w:p>
        </w:tc>
        <w:tc>
          <w:tcPr>
            <w:tcW w:w="2552" w:type="dxa"/>
          </w:tcPr>
          <w:p w14:paraId="50F3BCB8" w14:textId="77777777" w:rsidR="00036EA7" w:rsidRPr="005D58CB" w:rsidRDefault="00036EA7" w:rsidP="003C648C">
            <w:pPr>
              <w:pStyle w:val="NICETabletext"/>
              <w:keepNext w:val="0"/>
              <w:spacing w:after="0"/>
              <w:contextualSpacing/>
            </w:pPr>
            <w:r w:rsidRPr="005D58CB">
              <w:t>TPC as a comparator is aligned with TA423 and TA819 and is representative of SoC in the treatment setting.</w:t>
            </w:r>
          </w:p>
        </w:tc>
      </w:tr>
      <w:tr w:rsidR="00036EA7" w:rsidRPr="00575E99" w14:paraId="4AA3E307" w14:textId="77777777" w:rsidTr="00F710CB">
        <w:trPr>
          <w:trHeight w:val="20"/>
        </w:trPr>
        <w:tc>
          <w:tcPr>
            <w:tcW w:w="1555" w:type="dxa"/>
            <w:shd w:val="clear" w:color="auto" w:fill="F2F2F2" w:themeFill="background1" w:themeFillShade="F2"/>
          </w:tcPr>
          <w:p w14:paraId="3D650A9E" w14:textId="77777777" w:rsidR="00036EA7" w:rsidRPr="000911A8" w:rsidRDefault="00036EA7" w:rsidP="003C648C">
            <w:pPr>
              <w:pStyle w:val="NICETabletext"/>
              <w:keepNext w:val="0"/>
              <w:spacing w:after="0"/>
              <w:contextualSpacing/>
            </w:pPr>
            <w:r w:rsidRPr="000911A8">
              <w:t>Perspective</w:t>
            </w:r>
          </w:p>
        </w:tc>
        <w:tc>
          <w:tcPr>
            <w:tcW w:w="1559" w:type="dxa"/>
          </w:tcPr>
          <w:p w14:paraId="68552D82" w14:textId="77777777" w:rsidR="00036EA7" w:rsidRPr="005D58CB" w:rsidRDefault="00036EA7" w:rsidP="003C648C">
            <w:pPr>
              <w:pStyle w:val="NICETabletext"/>
              <w:keepNext w:val="0"/>
              <w:spacing w:after="0"/>
              <w:contextualSpacing/>
              <w:jc w:val="center"/>
            </w:pPr>
            <w:r w:rsidRPr="005D58CB">
              <w:t>NHS and PSS</w:t>
            </w:r>
          </w:p>
        </w:tc>
        <w:tc>
          <w:tcPr>
            <w:tcW w:w="1559" w:type="dxa"/>
          </w:tcPr>
          <w:p w14:paraId="26BFB376" w14:textId="77777777" w:rsidR="00036EA7" w:rsidRPr="005D58CB" w:rsidRDefault="00036EA7" w:rsidP="003C648C">
            <w:pPr>
              <w:pStyle w:val="NICETabletext"/>
              <w:keepNext w:val="0"/>
              <w:spacing w:after="0"/>
              <w:contextualSpacing/>
              <w:jc w:val="center"/>
            </w:pPr>
            <w:r w:rsidRPr="005D58CB">
              <w:t>NHS and PSS</w:t>
            </w:r>
          </w:p>
        </w:tc>
        <w:tc>
          <w:tcPr>
            <w:tcW w:w="1559" w:type="dxa"/>
          </w:tcPr>
          <w:p w14:paraId="23548A8A" w14:textId="77777777" w:rsidR="00036EA7" w:rsidRPr="005D58CB" w:rsidRDefault="00036EA7" w:rsidP="003C648C">
            <w:pPr>
              <w:pStyle w:val="NICETabletext"/>
              <w:keepNext w:val="0"/>
              <w:spacing w:after="0"/>
              <w:contextualSpacing/>
              <w:jc w:val="center"/>
            </w:pPr>
            <w:r>
              <w:t>NHS and PSS</w:t>
            </w:r>
          </w:p>
        </w:tc>
        <w:tc>
          <w:tcPr>
            <w:tcW w:w="1559" w:type="dxa"/>
          </w:tcPr>
          <w:p w14:paraId="7D538D59" w14:textId="2373AC7A" w:rsidR="00036EA7" w:rsidRPr="005D58CB" w:rsidRDefault="00036EA7" w:rsidP="003C648C">
            <w:pPr>
              <w:pStyle w:val="NICETabletext"/>
              <w:keepNext w:val="0"/>
              <w:spacing w:after="0"/>
              <w:contextualSpacing/>
              <w:jc w:val="center"/>
            </w:pPr>
            <w:r w:rsidRPr="005D58CB">
              <w:t>NHS and PSS</w:t>
            </w:r>
          </w:p>
        </w:tc>
        <w:tc>
          <w:tcPr>
            <w:tcW w:w="1559" w:type="dxa"/>
          </w:tcPr>
          <w:p w14:paraId="09627889" w14:textId="77777777" w:rsidR="00036EA7" w:rsidRPr="000911A8" w:rsidRDefault="00036EA7" w:rsidP="003C648C">
            <w:pPr>
              <w:pStyle w:val="NICETabletext"/>
              <w:keepNext w:val="0"/>
              <w:spacing w:after="0"/>
              <w:contextualSpacing/>
              <w:jc w:val="center"/>
            </w:pPr>
            <w:r w:rsidRPr="005D58CB">
              <w:t>NHS and PSS</w:t>
            </w:r>
          </w:p>
        </w:tc>
        <w:tc>
          <w:tcPr>
            <w:tcW w:w="1560" w:type="dxa"/>
          </w:tcPr>
          <w:p w14:paraId="21B6D426" w14:textId="77777777" w:rsidR="00036EA7" w:rsidRPr="000911A8" w:rsidRDefault="00036EA7" w:rsidP="003C648C">
            <w:pPr>
              <w:pStyle w:val="NICETabletext"/>
              <w:keepNext w:val="0"/>
              <w:spacing w:after="0"/>
              <w:contextualSpacing/>
              <w:jc w:val="center"/>
            </w:pPr>
            <w:r w:rsidRPr="000911A8">
              <w:t>NHS and PSS</w:t>
            </w:r>
          </w:p>
        </w:tc>
        <w:tc>
          <w:tcPr>
            <w:tcW w:w="2552" w:type="dxa"/>
          </w:tcPr>
          <w:p w14:paraId="7DF56801" w14:textId="4F8EC517" w:rsidR="00036EA7" w:rsidRPr="000911A8" w:rsidRDefault="00AB213B" w:rsidP="003C648C">
            <w:pPr>
              <w:pStyle w:val="NICETabletext"/>
              <w:keepNext w:val="0"/>
              <w:spacing w:after="0"/>
              <w:contextualSpacing/>
            </w:pPr>
            <w:r w:rsidRPr="000911A8">
              <w:t>As per NICE reference case.</w:t>
            </w:r>
            <w:r w:rsidRPr="000911A8">
              <w:fldChar w:fldCharType="begin"/>
            </w:r>
            <w:r w:rsidR="00CA6345">
              <w:instrText xml:space="preserve"> ADDIN ZOTERO_ITEM CSL_CITATION {"citationID":"q1dYi2y2","properties":{"formattedCitation":"\\super 2\\nosupersub{}","plainCitation":"2","noteIndex":0},"citationItems":[{"id":65886,"uris":["http://zotero.org/groups/4797619/items/2LQNV7UR"],"itemData":{"id":65886,"type":"webpage","abstract":"This guide describes the methods and processes, including expected timescales, that NICE follows when carrying out health technology evaluations. The methods and processes are designed to produce robust guidance for the NHS in an open, transparent and timely way, with appropriate contribution from stakeholders. Organisations invited to contribute to health technology evaluation development should read this manual in conjunction with the NICE health technology evaluation topic selection: the manual. All documents are available on the NICE website.","language":"eng","note":"publisher: NICE","title":"NICE health technology evaluations: the manual","title-short":"NICE health technology evaluations","URL":"https://www.nice.org.uk/process/pmg36/chapter/introduction-to-health-technology-evaluation","author":[{"family":"NICE","given":""}],"accessed":{"date-parts":[["2022",10,19]]},"issued":{"date-parts":[["2022",1]]}}}],"schema":"https://github.com/citation-style-language/schema/raw/master/csl-citation.json"} </w:instrText>
            </w:r>
            <w:r w:rsidRPr="000911A8">
              <w:fldChar w:fldCharType="separate"/>
            </w:r>
            <w:r w:rsidRPr="00FD57F4">
              <w:rPr>
                <w:rFonts w:cs="Arial"/>
                <w:vertAlign w:val="superscript"/>
              </w:rPr>
              <w:t>2</w:t>
            </w:r>
            <w:r w:rsidRPr="000911A8">
              <w:fldChar w:fldCharType="end"/>
            </w:r>
          </w:p>
        </w:tc>
      </w:tr>
      <w:tr w:rsidR="00036EA7" w:rsidRPr="00575E99" w14:paraId="3A5510F8" w14:textId="77777777" w:rsidTr="00F710CB">
        <w:trPr>
          <w:trHeight w:val="20"/>
        </w:trPr>
        <w:tc>
          <w:tcPr>
            <w:tcW w:w="1555" w:type="dxa"/>
            <w:shd w:val="clear" w:color="auto" w:fill="F2F2F2" w:themeFill="background1" w:themeFillShade="F2"/>
          </w:tcPr>
          <w:p w14:paraId="0C495658" w14:textId="77777777" w:rsidR="00036EA7" w:rsidRPr="000911A8" w:rsidRDefault="00036EA7" w:rsidP="003C648C">
            <w:pPr>
              <w:pStyle w:val="NICETabletext"/>
              <w:spacing w:after="0"/>
              <w:contextualSpacing/>
            </w:pPr>
            <w:r w:rsidRPr="000911A8">
              <w:t>Time horizon</w:t>
            </w:r>
          </w:p>
        </w:tc>
        <w:tc>
          <w:tcPr>
            <w:tcW w:w="1559" w:type="dxa"/>
          </w:tcPr>
          <w:p w14:paraId="7482166D" w14:textId="77777777" w:rsidR="00036EA7" w:rsidRPr="005D58CB" w:rsidRDefault="00036EA7" w:rsidP="003C648C">
            <w:pPr>
              <w:pStyle w:val="NICETabletext"/>
              <w:spacing w:after="0"/>
              <w:contextualSpacing/>
              <w:jc w:val="center"/>
            </w:pPr>
            <w:r w:rsidRPr="005D58CB">
              <w:t>3 years</w:t>
            </w:r>
          </w:p>
        </w:tc>
        <w:tc>
          <w:tcPr>
            <w:tcW w:w="1559" w:type="dxa"/>
          </w:tcPr>
          <w:p w14:paraId="3DA35719" w14:textId="77777777" w:rsidR="00036EA7" w:rsidRPr="005D58CB" w:rsidRDefault="00036EA7" w:rsidP="003C648C">
            <w:pPr>
              <w:pStyle w:val="NICETabletext"/>
              <w:spacing w:after="0"/>
              <w:contextualSpacing/>
              <w:jc w:val="center"/>
            </w:pPr>
            <w:r w:rsidRPr="005D58CB">
              <w:t>5 years</w:t>
            </w:r>
          </w:p>
        </w:tc>
        <w:tc>
          <w:tcPr>
            <w:tcW w:w="1559" w:type="dxa"/>
          </w:tcPr>
          <w:p w14:paraId="3E512B88" w14:textId="77777777" w:rsidR="00036EA7" w:rsidRPr="005D58CB" w:rsidRDefault="00036EA7" w:rsidP="003C648C">
            <w:pPr>
              <w:pStyle w:val="NICETabletext"/>
              <w:spacing w:after="0"/>
              <w:contextualSpacing/>
              <w:jc w:val="center"/>
            </w:pPr>
            <w:r>
              <w:t>40 years</w:t>
            </w:r>
          </w:p>
        </w:tc>
        <w:tc>
          <w:tcPr>
            <w:tcW w:w="1559" w:type="dxa"/>
          </w:tcPr>
          <w:p w14:paraId="4AFFC4E4" w14:textId="6EDF2DCF" w:rsidR="00036EA7" w:rsidRPr="005D58CB" w:rsidRDefault="00036EA7" w:rsidP="003C648C">
            <w:pPr>
              <w:pStyle w:val="NICETabletext"/>
              <w:spacing w:after="0"/>
              <w:contextualSpacing/>
              <w:jc w:val="center"/>
            </w:pPr>
            <w:r w:rsidRPr="005D58CB">
              <w:t>10 years</w:t>
            </w:r>
          </w:p>
        </w:tc>
        <w:tc>
          <w:tcPr>
            <w:tcW w:w="1559" w:type="dxa"/>
          </w:tcPr>
          <w:p w14:paraId="5131396A" w14:textId="77777777" w:rsidR="00036EA7" w:rsidRPr="005D58CB" w:rsidRDefault="00036EA7" w:rsidP="003C648C">
            <w:pPr>
              <w:pStyle w:val="NICETabletext"/>
              <w:spacing w:after="0"/>
              <w:contextualSpacing/>
              <w:jc w:val="center"/>
            </w:pPr>
            <w:r w:rsidRPr="005D58CB">
              <w:t>30 years</w:t>
            </w:r>
          </w:p>
        </w:tc>
        <w:tc>
          <w:tcPr>
            <w:tcW w:w="1560" w:type="dxa"/>
          </w:tcPr>
          <w:p w14:paraId="6874887F" w14:textId="77777777" w:rsidR="00036EA7" w:rsidRPr="000911A8" w:rsidRDefault="00036EA7" w:rsidP="003C648C">
            <w:pPr>
              <w:pStyle w:val="NICETabletext"/>
              <w:spacing w:after="0"/>
              <w:contextualSpacing/>
              <w:jc w:val="center"/>
            </w:pPr>
            <w:r w:rsidRPr="005D58CB">
              <w:t>30 years</w:t>
            </w:r>
          </w:p>
        </w:tc>
        <w:tc>
          <w:tcPr>
            <w:tcW w:w="2552" w:type="dxa"/>
          </w:tcPr>
          <w:p w14:paraId="59A56D0A" w14:textId="4CD22B32" w:rsidR="00036EA7" w:rsidRPr="000911A8" w:rsidRDefault="00AB213B" w:rsidP="003C648C">
            <w:pPr>
              <w:pStyle w:val="NICETabletext"/>
              <w:spacing w:after="0"/>
              <w:contextualSpacing/>
            </w:pPr>
            <w:r w:rsidRPr="000911A8">
              <w:t>As per NICE reference case: lifetime horizon for the patient population.</w:t>
            </w:r>
            <w:r w:rsidRPr="000911A8">
              <w:fldChar w:fldCharType="begin"/>
            </w:r>
            <w:r w:rsidR="00CA6345">
              <w:instrText xml:space="preserve"> ADDIN ZOTERO_ITEM CSL_CITATION {"citationID":"hPoMNrz5","properties":{"formattedCitation":"\\super 2\\nosupersub{}","plainCitation":"2","noteIndex":0},"citationItems":[{"id":65886,"uris":["http://zotero.org/groups/4797619/items/2LQNV7UR"],"itemData":{"id":65886,"type":"webpage","abstract":"This guide describes the methods and processes, including expected timescales, that NICE follows when carrying out health technology evaluations. The methods and processes are designed to produce robust guidance for the NHS in an open, transparent and timely way, with appropriate contribution from stakeholders. Organisations invited to contribute to health technology evaluation development should read this manual in conjunction with the NICE health technology evaluation topic selection: the manual. All documents are available on the NICE website.","language":"eng","note":"publisher: NICE","title":"NICE health technology evaluations: the manual","title-short":"NICE health technology evaluations","URL":"https://www.nice.org.uk/process/pmg36/chapter/introduction-to-health-technology-evaluation","author":[{"family":"NICE","given":""}],"accessed":{"date-parts":[["2022",10,19]]},"issued":{"date-parts":[["2022",1]]}}}],"schema":"https://github.com/citation-style-language/schema/raw/master/csl-citation.json"} </w:instrText>
            </w:r>
            <w:r w:rsidRPr="000911A8">
              <w:fldChar w:fldCharType="separate"/>
            </w:r>
            <w:r w:rsidRPr="00FD57F4">
              <w:rPr>
                <w:rFonts w:cs="Arial"/>
                <w:vertAlign w:val="superscript"/>
              </w:rPr>
              <w:t>2</w:t>
            </w:r>
            <w:r w:rsidRPr="000911A8">
              <w:fldChar w:fldCharType="end"/>
            </w:r>
            <w:r w:rsidRPr="005D58CB">
              <w:t xml:space="preserve">  </w:t>
            </w:r>
          </w:p>
        </w:tc>
      </w:tr>
      <w:tr w:rsidR="00036EA7" w:rsidRPr="00575E99" w14:paraId="1B5BEA29" w14:textId="77777777" w:rsidTr="00F710CB">
        <w:trPr>
          <w:trHeight w:val="20"/>
        </w:trPr>
        <w:tc>
          <w:tcPr>
            <w:tcW w:w="1555" w:type="dxa"/>
            <w:shd w:val="clear" w:color="auto" w:fill="F2F2F2" w:themeFill="background1" w:themeFillShade="F2"/>
          </w:tcPr>
          <w:p w14:paraId="6C78C8FE" w14:textId="77777777" w:rsidR="00036EA7" w:rsidRPr="000911A8" w:rsidRDefault="00036EA7" w:rsidP="003C648C">
            <w:pPr>
              <w:pStyle w:val="NICETabletext"/>
              <w:keepNext w:val="0"/>
              <w:spacing w:after="0"/>
              <w:contextualSpacing/>
            </w:pPr>
            <w:r w:rsidRPr="000911A8">
              <w:t>Cycle length</w:t>
            </w:r>
          </w:p>
        </w:tc>
        <w:tc>
          <w:tcPr>
            <w:tcW w:w="1559" w:type="dxa"/>
          </w:tcPr>
          <w:p w14:paraId="70C39C60" w14:textId="77777777" w:rsidR="00036EA7" w:rsidRPr="005D58CB" w:rsidRDefault="00036EA7" w:rsidP="003C648C">
            <w:pPr>
              <w:pStyle w:val="NICETabletext"/>
              <w:keepNext w:val="0"/>
              <w:spacing w:after="0"/>
              <w:contextualSpacing/>
              <w:jc w:val="center"/>
            </w:pPr>
            <w:r w:rsidRPr="005D58CB">
              <w:t>3 weeks</w:t>
            </w:r>
          </w:p>
        </w:tc>
        <w:tc>
          <w:tcPr>
            <w:tcW w:w="1559" w:type="dxa"/>
          </w:tcPr>
          <w:p w14:paraId="1B53027E" w14:textId="77777777" w:rsidR="00036EA7" w:rsidRPr="005D58CB" w:rsidRDefault="00036EA7" w:rsidP="003C648C">
            <w:pPr>
              <w:pStyle w:val="NICETabletext"/>
              <w:keepNext w:val="0"/>
              <w:spacing w:after="0"/>
              <w:contextualSpacing/>
              <w:jc w:val="center"/>
            </w:pPr>
            <w:r w:rsidRPr="005D58CB">
              <w:t>1 month</w:t>
            </w:r>
          </w:p>
        </w:tc>
        <w:tc>
          <w:tcPr>
            <w:tcW w:w="1559" w:type="dxa"/>
          </w:tcPr>
          <w:p w14:paraId="5A9359BD" w14:textId="77777777" w:rsidR="00036EA7" w:rsidRPr="005D58CB" w:rsidRDefault="00036EA7" w:rsidP="003C648C">
            <w:pPr>
              <w:pStyle w:val="NICETabletext"/>
              <w:keepNext w:val="0"/>
              <w:spacing w:after="0"/>
              <w:contextualSpacing/>
              <w:jc w:val="center"/>
            </w:pPr>
            <w:r>
              <w:t>1 week</w:t>
            </w:r>
          </w:p>
        </w:tc>
        <w:tc>
          <w:tcPr>
            <w:tcW w:w="1559" w:type="dxa"/>
          </w:tcPr>
          <w:p w14:paraId="61E689D1" w14:textId="1F5860B6" w:rsidR="00036EA7" w:rsidRPr="005D58CB" w:rsidRDefault="00036EA7" w:rsidP="003C648C">
            <w:pPr>
              <w:pStyle w:val="NICETabletext"/>
              <w:keepNext w:val="0"/>
              <w:spacing w:after="0"/>
              <w:contextualSpacing/>
              <w:jc w:val="center"/>
            </w:pPr>
            <w:r w:rsidRPr="005D58CB">
              <w:t>1 week</w:t>
            </w:r>
          </w:p>
        </w:tc>
        <w:tc>
          <w:tcPr>
            <w:tcW w:w="1559" w:type="dxa"/>
          </w:tcPr>
          <w:p w14:paraId="6441EED1" w14:textId="77777777" w:rsidR="00036EA7" w:rsidRPr="005D58CB" w:rsidRDefault="00036EA7" w:rsidP="003C648C">
            <w:pPr>
              <w:pStyle w:val="NICETabletext"/>
              <w:keepNext w:val="0"/>
              <w:spacing w:after="0"/>
              <w:contextualSpacing/>
              <w:jc w:val="center"/>
            </w:pPr>
            <w:r w:rsidRPr="005D58CB">
              <w:t>1 week</w:t>
            </w:r>
          </w:p>
        </w:tc>
        <w:tc>
          <w:tcPr>
            <w:tcW w:w="1560" w:type="dxa"/>
          </w:tcPr>
          <w:p w14:paraId="5073A43D" w14:textId="77777777" w:rsidR="00036EA7" w:rsidRPr="000911A8" w:rsidRDefault="00036EA7" w:rsidP="003C648C">
            <w:pPr>
              <w:pStyle w:val="NICETabletext"/>
              <w:keepNext w:val="0"/>
              <w:spacing w:after="0"/>
              <w:contextualSpacing/>
              <w:jc w:val="center"/>
            </w:pPr>
            <w:r w:rsidRPr="005D58CB">
              <w:t>3 weeks</w:t>
            </w:r>
          </w:p>
        </w:tc>
        <w:tc>
          <w:tcPr>
            <w:tcW w:w="2552" w:type="dxa"/>
          </w:tcPr>
          <w:p w14:paraId="7F70899B" w14:textId="77777777" w:rsidR="00036EA7" w:rsidRPr="000911A8" w:rsidRDefault="00036EA7" w:rsidP="003C648C">
            <w:pPr>
              <w:pStyle w:val="NICETabletext"/>
              <w:keepNext w:val="0"/>
              <w:spacing w:after="0"/>
              <w:contextualSpacing/>
            </w:pPr>
            <w:r w:rsidRPr="000911A8">
              <w:t xml:space="preserve">Considered </w:t>
            </w:r>
            <w:r w:rsidRPr="005D58CB">
              <w:t xml:space="preserve">appropriate to accurately </w:t>
            </w:r>
            <w:r w:rsidRPr="000911A8">
              <w:t>capture the dosing schedules and changes in health.</w:t>
            </w:r>
          </w:p>
        </w:tc>
      </w:tr>
      <w:tr w:rsidR="00036EA7" w:rsidRPr="00575E99" w14:paraId="36A807BF" w14:textId="77777777" w:rsidTr="00F710CB">
        <w:trPr>
          <w:trHeight w:val="20"/>
        </w:trPr>
        <w:tc>
          <w:tcPr>
            <w:tcW w:w="1555" w:type="dxa"/>
            <w:shd w:val="clear" w:color="auto" w:fill="F2F2F2" w:themeFill="background1" w:themeFillShade="F2"/>
          </w:tcPr>
          <w:p w14:paraId="3032DB45" w14:textId="77777777" w:rsidR="00036EA7" w:rsidRPr="000911A8" w:rsidRDefault="00036EA7" w:rsidP="003C648C">
            <w:pPr>
              <w:pStyle w:val="NICETabletext"/>
              <w:keepNext w:val="0"/>
              <w:spacing w:after="0"/>
              <w:contextualSpacing/>
            </w:pPr>
            <w:r w:rsidRPr="000911A8">
              <w:t>Discount rate</w:t>
            </w:r>
          </w:p>
        </w:tc>
        <w:tc>
          <w:tcPr>
            <w:tcW w:w="1559" w:type="dxa"/>
          </w:tcPr>
          <w:p w14:paraId="2A12BEA2" w14:textId="77777777" w:rsidR="00036EA7" w:rsidRPr="005D58CB" w:rsidRDefault="00036EA7" w:rsidP="003C648C">
            <w:pPr>
              <w:pStyle w:val="NICETabletext"/>
              <w:keepNext w:val="0"/>
              <w:spacing w:after="0"/>
              <w:contextualSpacing/>
              <w:jc w:val="center"/>
            </w:pPr>
            <w:r w:rsidRPr="005D58CB">
              <w:t>3.5% for costs and QALYs</w:t>
            </w:r>
          </w:p>
        </w:tc>
        <w:tc>
          <w:tcPr>
            <w:tcW w:w="1559" w:type="dxa"/>
          </w:tcPr>
          <w:p w14:paraId="2C281B27" w14:textId="77777777" w:rsidR="00036EA7" w:rsidRPr="005D58CB" w:rsidRDefault="00036EA7" w:rsidP="003C648C">
            <w:pPr>
              <w:pStyle w:val="NICETabletext"/>
              <w:keepNext w:val="0"/>
              <w:spacing w:after="0"/>
              <w:contextualSpacing/>
              <w:jc w:val="center"/>
            </w:pPr>
            <w:r w:rsidRPr="005D58CB">
              <w:t>3.5% for costs and QALYs</w:t>
            </w:r>
          </w:p>
        </w:tc>
        <w:tc>
          <w:tcPr>
            <w:tcW w:w="1559" w:type="dxa"/>
          </w:tcPr>
          <w:p w14:paraId="19A679E4" w14:textId="77777777" w:rsidR="00036EA7" w:rsidRPr="005D58CB" w:rsidRDefault="00036EA7" w:rsidP="003C648C">
            <w:pPr>
              <w:pStyle w:val="NICETabletext"/>
              <w:keepNext w:val="0"/>
              <w:spacing w:after="0"/>
              <w:contextualSpacing/>
              <w:jc w:val="center"/>
            </w:pPr>
            <w:r w:rsidRPr="005D58CB">
              <w:t>3.5% for costs and QALYs</w:t>
            </w:r>
          </w:p>
        </w:tc>
        <w:tc>
          <w:tcPr>
            <w:tcW w:w="1559" w:type="dxa"/>
          </w:tcPr>
          <w:p w14:paraId="229EE7B0" w14:textId="22C7D3E7" w:rsidR="00036EA7" w:rsidRPr="005D58CB" w:rsidRDefault="00036EA7" w:rsidP="003C648C">
            <w:pPr>
              <w:pStyle w:val="NICETabletext"/>
              <w:keepNext w:val="0"/>
              <w:spacing w:after="0"/>
              <w:contextualSpacing/>
              <w:jc w:val="center"/>
            </w:pPr>
            <w:r w:rsidRPr="005D58CB">
              <w:t>3.5% for costs and QALYs</w:t>
            </w:r>
          </w:p>
        </w:tc>
        <w:tc>
          <w:tcPr>
            <w:tcW w:w="1559" w:type="dxa"/>
          </w:tcPr>
          <w:p w14:paraId="452B05D5" w14:textId="77777777" w:rsidR="00036EA7" w:rsidRPr="000911A8" w:rsidRDefault="00036EA7" w:rsidP="003C648C">
            <w:pPr>
              <w:pStyle w:val="NICETabletext"/>
              <w:keepNext w:val="0"/>
              <w:spacing w:after="0"/>
              <w:contextualSpacing/>
              <w:jc w:val="center"/>
            </w:pPr>
            <w:r w:rsidRPr="005D58CB">
              <w:t>3.5% for costs and QALYs</w:t>
            </w:r>
          </w:p>
        </w:tc>
        <w:tc>
          <w:tcPr>
            <w:tcW w:w="1560" w:type="dxa"/>
          </w:tcPr>
          <w:p w14:paraId="1E8B8D61" w14:textId="77777777" w:rsidR="00036EA7" w:rsidRPr="000911A8" w:rsidRDefault="00036EA7" w:rsidP="003C648C">
            <w:pPr>
              <w:pStyle w:val="NICETabletext"/>
              <w:keepNext w:val="0"/>
              <w:spacing w:after="0"/>
              <w:contextualSpacing/>
              <w:jc w:val="center"/>
            </w:pPr>
            <w:r w:rsidRPr="000911A8">
              <w:t>3.5% for costs and QALYs</w:t>
            </w:r>
          </w:p>
        </w:tc>
        <w:tc>
          <w:tcPr>
            <w:tcW w:w="2552" w:type="dxa"/>
          </w:tcPr>
          <w:p w14:paraId="6ABB8346" w14:textId="50C56E71" w:rsidR="00036EA7" w:rsidRPr="000911A8" w:rsidRDefault="00AB213B" w:rsidP="003C648C">
            <w:pPr>
              <w:pStyle w:val="NICETabletext"/>
              <w:keepNext w:val="0"/>
              <w:spacing w:after="0"/>
              <w:contextualSpacing/>
            </w:pPr>
            <w:r w:rsidRPr="000911A8">
              <w:t>As per the NICE reference case.</w:t>
            </w:r>
            <w:r w:rsidRPr="000911A8">
              <w:fldChar w:fldCharType="begin"/>
            </w:r>
            <w:r w:rsidR="00CA6345">
              <w:instrText xml:space="preserve"> ADDIN ZOTERO_ITEM CSL_CITATION {"citationID":"ysSv7GUb","properties":{"formattedCitation":"\\super 2\\nosupersub{}","plainCitation":"2","noteIndex":0},"citationItems":[{"id":65886,"uris":["http://zotero.org/groups/4797619/items/2LQNV7UR"],"itemData":{"id":65886,"type":"webpage","abstract":"This guide describes the methods and processes, including expected timescales, that NICE follows when carrying out health technology evaluations. The methods and processes are designed to produce robust guidance for the NHS in an open, transparent and timely way, with appropriate contribution from stakeholders. Organisations invited to contribute to health technology evaluation development should read this manual in conjunction with the NICE health technology evaluation topic selection: the manual. All documents are available on the NICE website.","language":"eng","note":"publisher: NICE","title":"NICE health technology evaluations: the manual","title-short":"NICE health technology evaluations","URL":"https://www.nice.org.uk/process/pmg36/chapter/introduction-to-health-technology-evaluation","author":[{"family":"NICE","given":""}],"accessed":{"date-parts":[["2022",10,19]]},"issued":{"date-parts":[["2022",1]]}}}],"schema":"https://github.com/citation-style-language/schema/raw/master/csl-citation.json"} </w:instrText>
            </w:r>
            <w:r w:rsidRPr="000911A8">
              <w:fldChar w:fldCharType="separate"/>
            </w:r>
            <w:r w:rsidRPr="00FD57F4">
              <w:rPr>
                <w:rFonts w:cs="Arial"/>
                <w:vertAlign w:val="superscript"/>
              </w:rPr>
              <w:t>2</w:t>
            </w:r>
            <w:r w:rsidRPr="000911A8">
              <w:fldChar w:fldCharType="end"/>
            </w:r>
          </w:p>
        </w:tc>
      </w:tr>
      <w:tr w:rsidR="00036EA7" w:rsidRPr="00575E99" w14:paraId="694E7F47" w14:textId="77777777" w:rsidTr="00F710CB">
        <w:trPr>
          <w:trHeight w:val="20"/>
        </w:trPr>
        <w:tc>
          <w:tcPr>
            <w:tcW w:w="1555" w:type="dxa"/>
            <w:shd w:val="clear" w:color="auto" w:fill="F2F2F2" w:themeFill="background1" w:themeFillShade="F2"/>
          </w:tcPr>
          <w:p w14:paraId="673DF2C4" w14:textId="77777777" w:rsidR="00036EA7" w:rsidRPr="000911A8" w:rsidRDefault="00036EA7" w:rsidP="003C648C">
            <w:pPr>
              <w:pStyle w:val="NICETabletext"/>
              <w:keepNext w:val="0"/>
              <w:spacing w:after="0"/>
              <w:contextualSpacing/>
            </w:pPr>
            <w:r w:rsidRPr="000911A8">
              <w:t>Outcome measure</w:t>
            </w:r>
          </w:p>
        </w:tc>
        <w:tc>
          <w:tcPr>
            <w:tcW w:w="1559" w:type="dxa"/>
          </w:tcPr>
          <w:p w14:paraId="4E9734E0" w14:textId="77777777" w:rsidR="00036EA7" w:rsidRPr="005D58CB" w:rsidRDefault="00036EA7" w:rsidP="003C648C">
            <w:pPr>
              <w:pStyle w:val="NICETabletext"/>
              <w:keepNext w:val="0"/>
              <w:spacing w:after="0"/>
              <w:contextualSpacing/>
              <w:jc w:val="center"/>
            </w:pPr>
            <w:r w:rsidRPr="005D58CB">
              <w:t>QALYs</w:t>
            </w:r>
          </w:p>
        </w:tc>
        <w:tc>
          <w:tcPr>
            <w:tcW w:w="1559" w:type="dxa"/>
          </w:tcPr>
          <w:p w14:paraId="19D44FE4" w14:textId="77777777" w:rsidR="00036EA7" w:rsidRPr="005D58CB" w:rsidRDefault="00036EA7" w:rsidP="003C648C">
            <w:pPr>
              <w:pStyle w:val="NICETabletext"/>
              <w:keepNext w:val="0"/>
              <w:spacing w:after="0"/>
              <w:contextualSpacing/>
              <w:jc w:val="center"/>
            </w:pPr>
            <w:r w:rsidRPr="005D58CB">
              <w:t>QALYs</w:t>
            </w:r>
          </w:p>
        </w:tc>
        <w:tc>
          <w:tcPr>
            <w:tcW w:w="1559" w:type="dxa"/>
          </w:tcPr>
          <w:p w14:paraId="0109A17E" w14:textId="77777777" w:rsidR="00036EA7" w:rsidRPr="005D58CB" w:rsidRDefault="00036EA7" w:rsidP="003C648C">
            <w:pPr>
              <w:pStyle w:val="NICETabletext"/>
              <w:keepNext w:val="0"/>
              <w:spacing w:after="0"/>
              <w:contextualSpacing/>
              <w:jc w:val="center"/>
            </w:pPr>
            <w:r w:rsidRPr="005D58CB">
              <w:t>QALYs</w:t>
            </w:r>
          </w:p>
        </w:tc>
        <w:tc>
          <w:tcPr>
            <w:tcW w:w="1559" w:type="dxa"/>
          </w:tcPr>
          <w:p w14:paraId="69851312" w14:textId="652AFDA5" w:rsidR="00036EA7" w:rsidRPr="005D58CB" w:rsidRDefault="00036EA7" w:rsidP="003C648C">
            <w:pPr>
              <w:pStyle w:val="NICETabletext"/>
              <w:keepNext w:val="0"/>
              <w:spacing w:after="0"/>
              <w:contextualSpacing/>
              <w:jc w:val="center"/>
            </w:pPr>
            <w:r w:rsidRPr="005D58CB">
              <w:t>QALYs</w:t>
            </w:r>
          </w:p>
        </w:tc>
        <w:tc>
          <w:tcPr>
            <w:tcW w:w="1559" w:type="dxa"/>
          </w:tcPr>
          <w:p w14:paraId="31399180" w14:textId="77777777" w:rsidR="00036EA7" w:rsidRPr="000911A8" w:rsidRDefault="00036EA7" w:rsidP="003C648C">
            <w:pPr>
              <w:pStyle w:val="NICETabletext"/>
              <w:keepNext w:val="0"/>
              <w:spacing w:after="0"/>
              <w:contextualSpacing/>
              <w:jc w:val="center"/>
            </w:pPr>
            <w:r w:rsidRPr="005D58CB">
              <w:t>QALYs</w:t>
            </w:r>
          </w:p>
        </w:tc>
        <w:tc>
          <w:tcPr>
            <w:tcW w:w="1560" w:type="dxa"/>
          </w:tcPr>
          <w:p w14:paraId="088FB964" w14:textId="77777777" w:rsidR="00036EA7" w:rsidRPr="000911A8" w:rsidRDefault="00036EA7" w:rsidP="003C648C">
            <w:pPr>
              <w:pStyle w:val="NICETabletext"/>
              <w:keepNext w:val="0"/>
              <w:spacing w:after="0"/>
              <w:contextualSpacing/>
              <w:jc w:val="center"/>
            </w:pPr>
            <w:r w:rsidRPr="000911A8">
              <w:t>QALYs</w:t>
            </w:r>
          </w:p>
        </w:tc>
        <w:tc>
          <w:tcPr>
            <w:tcW w:w="2552" w:type="dxa"/>
          </w:tcPr>
          <w:p w14:paraId="0CC7D54C" w14:textId="46147E1A" w:rsidR="00036EA7" w:rsidRPr="000911A8" w:rsidRDefault="00AB213B" w:rsidP="003C648C">
            <w:pPr>
              <w:pStyle w:val="NICETabletext"/>
              <w:keepNext w:val="0"/>
              <w:spacing w:after="0"/>
              <w:contextualSpacing/>
            </w:pPr>
            <w:r w:rsidRPr="000911A8">
              <w:t>As per the NICE reference case.</w:t>
            </w:r>
            <w:r w:rsidRPr="000911A8">
              <w:fldChar w:fldCharType="begin"/>
            </w:r>
            <w:r w:rsidR="00CA6345">
              <w:instrText xml:space="preserve"> ADDIN ZOTERO_ITEM CSL_CITATION {"citationID":"N86trpzD","properties":{"formattedCitation":"\\super 2\\nosupersub{}","plainCitation":"2","noteIndex":0},"citationItems":[{"id":65886,"uris":["http://zotero.org/groups/4797619/items/2LQNV7UR"],"itemData":{"id":65886,"type":"webpage","abstract":"This guide describes the methods and processes, including expected timescales, that NICE follows when carrying out health technology evaluations. The methods and processes are designed to produce robust guidance for the NHS in an open, transparent and timely way, with appropriate contribution from stakeholders. Organisations invited to contribute to health technology evaluation development should read this manual in conjunction with the NICE health technology evaluation topic selection: the manual. All documents are available on the NICE website.","language":"eng","note":"publisher: NICE","title":"NICE health technology evaluations: the manual","title-short":"NICE health technology evaluations","URL":"https://www.nice.org.uk/process/pmg36/chapter/introduction-to-health-technology-evaluation","author":[{"family":"NICE","given":""}],"accessed":{"date-parts":[["2022",10,19]]},"issued":{"date-parts":[["2022",1]]}}}],"schema":"https://github.com/citation-style-language/schema/raw/master/csl-citation.json"} </w:instrText>
            </w:r>
            <w:r w:rsidRPr="000911A8">
              <w:fldChar w:fldCharType="separate"/>
            </w:r>
            <w:r w:rsidRPr="00FD57F4">
              <w:rPr>
                <w:rFonts w:cs="Arial"/>
                <w:vertAlign w:val="superscript"/>
              </w:rPr>
              <w:t>2</w:t>
            </w:r>
            <w:r w:rsidRPr="000911A8">
              <w:fldChar w:fldCharType="end"/>
            </w:r>
          </w:p>
        </w:tc>
      </w:tr>
      <w:tr w:rsidR="00036EA7" w:rsidRPr="00575E99" w14:paraId="34B48F04" w14:textId="77777777" w:rsidTr="00F710CB">
        <w:trPr>
          <w:trHeight w:val="20"/>
        </w:trPr>
        <w:tc>
          <w:tcPr>
            <w:tcW w:w="1555" w:type="dxa"/>
            <w:shd w:val="clear" w:color="auto" w:fill="F2F2F2" w:themeFill="background1" w:themeFillShade="F2"/>
          </w:tcPr>
          <w:p w14:paraId="0375A941" w14:textId="77777777" w:rsidR="00036EA7" w:rsidRPr="000911A8" w:rsidRDefault="00036EA7" w:rsidP="00F710CB">
            <w:pPr>
              <w:pStyle w:val="NICETabletext"/>
              <w:spacing w:after="0"/>
              <w:contextualSpacing/>
            </w:pPr>
            <w:r w:rsidRPr="000911A8">
              <w:lastRenderedPageBreak/>
              <w:t>Source of utilities</w:t>
            </w:r>
          </w:p>
        </w:tc>
        <w:tc>
          <w:tcPr>
            <w:tcW w:w="1559" w:type="dxa"/>
          </w:tcPr>
          <w:p w14:paraId="53EAC9A6" w14:textId="6C05E269" w:rsidR="00036EA7" w:rsidRPr="005D58CB" w:rsidRDefault="00AB213B" w:rsidP="00F710CB">
            <w:pPr>
              <w:pStyle w:val="NICETabletext"/>
              <w:spacing w:after="0"/>
              <w:contextualSpacing/>
              <w:jc w:val="center"/>
              <w:rPr>
                <w:lang w:val="da-DK"/>
              </w:rPr>
            </w:pPr>
            <w:r w:rsidRPr="005D58CB">
              <w:rPr>
                <w:lang w:val="da-DK"/>
              </w:rPr>
              <w:t>Values from Narewska et al 2005</w:t>
            </w:r>
            <w:r w:rsidRPr="005D58CB">
              <w:rPr>
                <w:lang w:val="da-DK"/>
              </w:rPr>
              <w:fldChar w:fldCharType="begin"/>
            </w:r>
            <w:r w:rsidR="00CA6345">
              <w:rPr>
                <w:lang w:val="da-DK"/>
              </w:rPr>
              <w:instrText xml:space="preserve"> ADDIN ZOTERO_ITEM CSL_CITATION {"citationID":"RZi8TWLg","properties":{"formattedCitation":"\\super 167\\nosupersub{}","plainCitation":"167","noteIndex":0},"citationItems":[{"id":66432,"uris":["http://zotero.org/groups/4797619/items/JSZZ5HZM"],"itemData":{"id":66432,"type":"article-journal","container-title":"International Society for Pharmacoeconomics and Outcomes Research","DOI":"10.1016/S1098-3015(10)67287-7","issue":"6","page":"p615-666","title":"PCN49 Health state descriptions for metastatic breast cancer: a qualitative study","volume":"8","author":[{"family":"Narewska","given":"J"},{"family":"Nafees","given":"B"},{"family":"Lloyd","given":"A"},{"family":"Watkins","given":"J"}],"issued":{"date-parts":[["2015",12]]}}}],"schema":"https://github.com/citation-style-language/schema/raw/master/csl-citation.json"} </w:instrText>
            </w:r>
            <w:r w:rsidRPr="005D58CB">
              <w:rPr>
                <w:lang w:val="da-DK"/>
              </w:rPr>
              <w:fldChar w:fldCharType="separate"/>
            </w:r>
            <w:r w:rsidR="00CA6345" w:rsidRPr="00CA6345">
              <w:rPr>
                <w:rFonts w:cs="Arial"/>
                <w:vertAlign w:val="superscript"/>
              </w:rPr>
              <w:t>167</w:t>
            </w:r>
            <w:r w:rsidRPr="005D58CB">
              <w:rPr>
                <w:lang w:val="da-DK"/>
              </w:rPr>
              <w:fldChar w:fldCharType="end"/>
            </w:r>
          </w:p>
        </w:tc>
        <w:tc>
          <w:tcPr>
            <w:tcW w:w="1559" w:type="dxa"/>
          </w:tcPr>
          <w:p w14:paraId="7146D77E" w14:textId="77777777" w:rsidR="00036EA7" w:rsidRPr="000911A8" w:rsidRDefault="00036EA7" w:rsidP="00F710CB">
            <w:pPr>
              <w:pStyle w:val="NICETabletext"/>
              <w:spacing w:after="0"/>
              <w:contextualSpacing/>
              <w:jc w:val="center"/>
            </w:pPr>
            <w:r w:rsidRPr="005D58CB">
              <w:t xml:space="preserve">Values from Study 301 adjusted for response rates (PFS, PD) </w:t>
            </w:r>
          </w:p>
        </w:tc>
        <w:tc>
          <w:tcPr>
            <w:tcW w:w="1559" w:type="dxa"/>
          </w:tcPr>
          <w:p w14:paraId="45C5F615" w14:textId="77777777" w:rsidR="00036EA7" w:rsidRPr="005D58CB" w:rsidRDefault="00036EA7" w:rsidP="00F710CB">
            <w:pPr>
              <w:pStyle w:val="NICETabletext"/>
              <w:spacing w:after="0"/>
              <w:contextualSpacing/>
              <w:jc w:val="center"/>
            </w:pPr>
            <w:r>
              <w:t>Values from TA423 adjusted for response rates (PFS, PD)</w:t>
            </w:r>
          </w:p>
        </w:tc>
        <w:tc>
          <w:tcPr>
            <w:tcW w:w="1559" w:type="dxa"/>
          </w:tcPr>
          <w:p w14:paraId="567E6077" w14:textId="0A7D2C78" w:rsidR="00036EA7" w:rsidRPr="005D58CB" w:rsidRDefault="00036EA7" w:rsidP="00F710CB">
            <w:pPr>
              <w:pStyle w:val="NICETabletext"/>
              <w:spacing w:after="0"/>
              <w:contextualSpacing/>
              <w:jc w:val="center"/>
            </w:pPr>
            <w:r w:rsidRPr="005D58CB">
              <w:t>EORTC-QLQ C30 values from ASCENT trial mapped to EQ-5D-3L</w:t>
            </w:r>
          </w:p>
        </w:tc>
        <w:tc>
          <w:tcPr>
            <w:tcW w:w="1559" w:type="dxa"/>
          </w:tcPr>
          <w:p w14:paraId="49479118" w14:textId="24274E82" w:rsidR="00036EA7" w:rsidRPr="000911A8" w:rsidRDefault="00AB213B" w:rsidP="00F710CB">
            <w:pPr>
              <w:pStyle w:val="NICETabletext"/>
              <w:spacing w:after="0"/>
              <w:contextualSpacing/>
              <w:jc w:val="center"/>
              <w:rPr>
                <w:lang w:val="da-DK"/>
              </w:rPr>
            </w:pPr>
            <w:r w:rsidRPr="000911A8">
              <w:rPr>
                <w:lang w:val="da-DK"/>
              </w:rPr>
              <w:t>DESTINY-Breast03 (PFS)</w:t>
            </w:r>
            <w:r w:rsidRPr="000911A8">
              <w:rPr>
                <w:lang w:val="da-DK"/>
              </w:rPr>
              <w:fldChar w:fldCharType="begin"/>
            </w:r>
            <w:r w:rsidR="00CA6345">
              <w:rPr>
                <w:lang w:val="da-DK"/>
              </w:rPr>
              <w:instrText xml:space="preserve"> ADDIN ZOTERO_ITEM CSL_CITATION {"citationID":"m7gvdDoN","properties":{"formattedCitation":"\\super 168\\nosupersub{}","plainCitation":"168","noteIndex":0},"citationItems":[{"id":66213,"uris":["http://zotero.org/groups/4797619/items/XG759VPL"],"itemData":{"id":66213,"type":"report","abstract":"This study is designed to compare the anti-tumor activity as well as the safety and efficacy of DS-8201a versus T-DM1 in HER2-positive, unresectable and/or metastatic breast cancer subjects previously treated with trastuzumab and taxane.","genre":"Clinical trial registration","note":"submitted: April 13, 2018","number":"NCT03529110","publisher":"clinicaltrials.gov","source":"clinicaltrials.gov","title":"A Phase 3, Multicenter, Randomized, Open-Label, Active-Controlled Study of DS-8201a (Trastuzumab Deruxtecan), an Anti-HER2 Antibody Drug Conjugate (ADC), Versus Ado Trastuzumab Emtansine (T-DM1) for HER2-Positive, Unresectable and/or Metastatic Breast Cancer Subjects Previously Treated With Trastuzumab and Taxane","title-short":"DS-8201a Versus T-DM1 for Human Epidermal Growth Factor Receptor 2 (HER2)-Positive, Unresectable and/or Metastatic Breast Cancer Previously Treated With Trastuzumab and Taxane [DESTINY-Breast03]","URL":"https://clinicaltrials.gov/ct2/show/NCT03529110","author":[{"literal":"Daiichi Sankyo, Inc."}],"contributor":[{"literal":"Daiichi Sankyo Co., Ltd."},{"literal":"AstraZeneca"}],"accessed":{"date-parts":[["2022",11,27]]},"issued":{"date-parts":[["2022",4,1]]}},"locator":"3"}],"schema":"https://github.com/citation-style-language/schema/raw/master/csl-citation.json"} </w:instrText>
            </w:r>
            <w:r w:rsidRPr="000911A8">
              <w:rPr>
                <w:lang w:val="da-DK"/>
              </w:rPr>
              <w:fldChar w:fldCharType="separate"/>
            </w:r>
            <w:r w:rsidR="00CA6345" w:rsidRPr="001D716B">
              <w:rPr>
                <w:rFonts w:cs="Arial"/>
                <w:vertAlign w:val="superscript"/>
                <w:lang w:val="da-DK"/>
              </w:rPr>
              <w:t>168</w:t>
            </w:r>
            <w:r w:rsidRPr="000911A8">
              <w:rPr>
                <w:lang w:val="da-DK"/>
              </w:rPr>
              <w:fldChar w:fldCharType="end"/>
            </w:r>
          </w:p>
          <w:p w14:paraId="599613B8" w14:textId="372DB4AA" w:rsidR="00036EA7" w:rsidRPr="000911A8" w:rsidRDefault="00AB213B" w:rsidP="00F710CB">
            <w:pPr>
              <w:pStyle w:val="NICETabletext"/>
              <w:spacing w:after="0"/>
              <w:contextualSpacing/>
              <w:jc w:val="center"/>
              <w:rPr>
                <w:lang w:val="da-DK"/>
              </w:rPr>
            </w:pPr>
            <w:r w:rsidRPr="000911A8">
              <w:rPr>
                <w:lang w:val="da-DK"/>
              </w:rPr>
              <w:t>Lloyd et al 2006 (PD)</w:t>
            </w:r>
            <w:r w:rsidRPr="000911A8">
              <w:rPr>
                <w:lang w:val="da-DK"/>
              </w:rPr>
              <w:fldChar w:fldCharType="begin"/>
            </w:r>
            <w:r w:rsidR="00CA6345">
              <w:rPr>
                <w:lang w:val="da-DK"/>
              </w:rPr>
              <w:instrText xml:space="preserve"> ADDIN ZOTERO_ITEM CSL_CITATION {"citationID":"ZMOwZIuG","properties":{"formattedCitation":"\\super 169\\nosupersub{}","plainCitation":"169","noteIndex":0},"citationItems":[{"id":65949,"uris":["http://zotero.org/groups/4797619/items/78YMSHI3"],"itemData":{"id":65949,"type":"article-journal","abstract":"The aim of the study was to obtain United Kingdom-based societal preferences for distinct stages of metastatic breast cancer (MBC) and six common toxicities. Health states were developed based on literature review, iterative cycles of interviews and a focus group with clinical experts. They described the burden of progressive, responding and stable disease on treatment; and also febrile neutropenia, stomatitis; diarrhoea/vomiting; fatigue; hand-foot syndrome (grade 3/4 toxicities) and hair loss. One hundred members of the general public rated them using standard gamble to determine health state utility. Data were analysed with a mixed model analysis. The study sample was a good match to the general public of England and Wales by demographics and current quality of life. Stable disease on treatment had a utility value of 0.72, with a corresponding gain of +0.07 following a treatment response and a decline by 0.27 for disease progression. Toxicities lead to declines in utility between 0.10 (diarrhoea/vomiting) and 0.15 (febrile neutropenia). This study underlines the value that society place on the avoidance of disease progression and severe side effects in MBC. This may be the largest preference study in breast cancer designed to survey a representative general public sample.","container-title":"British Journal of Cancer","DOI":"10.1038/sj.bjc.6603326","ISSN":"0007-0920","issue":"6","journalAbbreviation":"Br J Cancer","note":"PMID: 16967055\nPMCID: PMC2360509","page":"683-690","source":"PubMed Central","title":"Health state utilities for metastatic breast cancer","volume":"95","author":[{"family":"Lloyd","given":"A"},{"family":"Nafees","given":"B"},{"family":"Narewska","given":"J"},{"family":"Dewilde","given":"S"},{"family":"Watkins","given":"J"}],"issued":{"date-parts":[["2006",9,18]]}}}],"schema":"https://github.com/citation-style-language/schema/raw/master/csl-citation.json"} </w:instrText>
            </w:r>
            <w:r w:rsidRPr="000911A8">
              <w:rPr>
                <w:lang w:val="da-DK"/>
              </w:rPr>
              <w:fldChar w:fldCharType="separate"/>
            </w:r>
            <w:r w:rsidR="00CA6345" w:rsidRPr="001D716B">
              <w:rPr>
                <w:rFonts w:cs="Arial"/>
                <w:vertAlign w:val="superscript"/>
                <w:lang w:val="da-DK"/>
              </w:rPr>
              <w:t>169</w:t>
            </w:r>
            <w:r w:rsidRPr="000911A8">
              <w:rPr>
                <w:lang w:val="da-DK"/>
              </w:rPr>
              <w:fldChar w:fldCharType="end"/>
            </w:r>
          </w:p>
        </w:tc>
        <w:tc>
          <w:tcPr>
            <w:tcW w:w="1560" w:type="dxa"/>
          </w:tcPr>
          <w:p w14:paraId="6D7F570D" w14:textId="2E5CFE25" w:rsidR="00036EA7" w:rsidRPr="000911A8" w:rsidRDefault="00AB213B" w:rsidP="00F710CB">
            <w:pPr>
              <w:pStyle w:val="NICETabletext"/>
              <w:spacing w:after="0"/>
              <w:contextualSpacing/>
              <w:jc w:val="center"/>
              <w:rPr>
                <w:lang w:val="da-DK"/>
              </w:rPr>
            </w:pPr>
            <w:r w:rsidRPr="000911A8">
              <w:rPr>
                <w:lang w:val="da-DK"/>
              </w:rPr>
              <w:t>DESTINY-Breast0</w:t>
            </w:r>
            <w:r w:rsidRPr="005D58CB">
              <w:rPr>
                <w:lang w:val="da-DK"/>
              </w:rPr>
              <w:t>4</w:t>
            </w:r>
            <w:r w:rsidRPr="000911A8">
              <w:rPr>
                <w:lang w:val="da-DK"/>
              </w:rPr>
              <w:t xml:space="preserve"> (PFS)</w:t>
            </w:r>
            <w:r w:rsidRPr="000911A8">
              <w:rPr>
                <w:lang w:val="da-DK"/>
              </w:rPr>
              <w:fldChar w:fldCharType="begin"/>
            </w:r>
            <w:r w:rsidR="00CA6345">
              <w:rPr>
                <w:lang w:val="da-DK"/>
              </w:rPr>
              <w:instrText xml:space="preserve"> ADDIN ZOTERO_ITEM CSL_CITATION {"citationID":"qtPIANtt","properties":{"formattedCitation":"\\super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911A8">
              <w:rPr>
                <w:lang w:val="da-DK"/>
              </w:rPr>
              <w:fldChar w:fldCharType="separate"/>
            </w:r>
            <w:r w:rsidRPr="003C648C">
              <w:rPr>
                <w:rFonts w:cs="Arial"/>
                <w:vertAlign w:val="superscript"/>
                <w:lang w:val="da-DK"/>
              </w:rPr>
              <w:t>7</w:t>
            </w:r>
            <w:r w:rsidRPr="000911A8">
              <w:rPr>
                <w:lang w:val="da-DK"/>
              </w:rPr>
              <w:fldChar w:fldCharType="end"/>
            </w:r>
          </w:p>
          <w:p w14:paraId="493B8C6D" w14:textId="1CB7FA0A" w:rsidR="00036EA7" w:rsidRPr="000911A8" w:rsidRDefault="00AB213B" w:rsidP="00F710CB">
            <w:pPr>
              <w:pStyle w:val="NICETabletext"/>
              <w:spacing w:after="0"/>
              <w:contextualSpacing/>
              <w:jc w:val="center"/>
              <w:rPr>
                <w:lang w:val="da-DK"/>
              </w:rPr>
            </w:pPr>
            <w:r w:rsidRPr="000911A8">
              <w:rPr>
                <w:lang w:val="da-DK"/>
              </w:rPr>
              <w:t>Lloyd et al 2006 (PD)</w:t>
            </w:r>
            <w:r w:rsidRPr="000911A8">
              <w:rPr>
                <w:lang w:val="da-DK"/>
              </w:rPr>
              <w:fldChar w:fldCharType="begin"/>
            </w:r>
            <w:r w:rsidR="00CA6345">
              <w:rPr>
                <w:lang w:val="da-DK"/>
              </w:rPr>
              <w:instrText xml:space="preserve"> ADDIN ZOTERO_ITEM CSL_CITATION {"citationID":"lXCUhnoN","properties":{"formattedCitation":"\\super 169\\nosupersub{}","plainCitation":"169","noteIndex":0},"citationItems":[{"id":65949,"uris":["http://zotero.org/groups/4797619/items/78YMSHI3"],"itemData":{"id":65949,"type":"article-journal","abstract":"The aim of the study was to obtain United Kingdom-based societal preferences for distinct stages of metastatic breast cancer (MBC) and six common toxicities. Health states were developed based on literature review, iterative cycles of interviews and a focus group with clinical experts. They described the burden of progressive, responding and stable disease on treatment; and also febrile neutropenia, stomatitis; diarrhoea/vomiting; fatigue; hand-foot syndrome (grade 3/4 toxicities) and hair loss. One hundred members of the general public rated them using standard gamble to determine health state utility. Data were analysed with a mixed model analysis. The study sample was a good match to the general public of England and Wales by demographics and current quality of life. Stable disease on treatment had a utility value of 0.72, with a corresponding gain of +0.07 following a treatment response and a decline by 0.27 for disease progression. Toxicities lead to declines in utility between 0.10 (diarrhoea/vomiting) and 0.15 (febrile neutropenia). This study underlines the value that society place on the avoidance of disease progression and severe side effects in MBC. This may be the largest preference study in breast cancer designed to survey a representative general public sample.","container-title":"British Journal of Cancer","DOI":"10.1038/sj.bjc.6603326","ISSN":"0007-0920","issue":"6","journalAbbreviation":"Br J Cancer","note":"PMID: 16967055\nPMCID: PMC2360509","page":"683-690","source":"PubMed Central","title":"Health state utilities for metastatic breast cancer","volume":"95","author":[{"family":"Lloyd","given":"A"},{"family":"Nafees","given":"B"},{"family":"Narewska","given":"J"},{"family":"Dewilde","given":"S"},{"family":"Watkins","given":"J"}],"issued":{"date-parts":[["2006",9,18]]}}}],"schema":"https://github.com/citation-style-language/schema/raw/master/csl-citation.json"} </w:instrText>
            </w:r>
            <w:r w:rsidRPr="000911A8">
              <w:rPr>
                <w:lang w:val="da-DK"/>
              </w:rPr>
              <w:fldChar w:fldCharType="separate"/>
            </w:r>
            <w:r w:rsidR="00CA6345" w:rsidRPr="001D716B">
              <w:rPr>
                <w:rFonts w:cs="Arial"/>
                <w:vertAlign w:val="superscript"/>
                <w:lang w:val="da-DK"/>
              </w:rPr>
              <w:t>169</w:t>
            </w:r>
            <w:r w:rsidRPr="000911A8">
              <w:rPr>
                <w:lang w:val="da-DK"/>
              </w:rPr>
              <w:fldChar w:fldCharType="end"/>
            </w:r>
          </w:p>
        </w:tc>
        <w:tc>
          <w:tcPr>
            <w:tcW w:w="2552" w:type="dxa"/>
          </w:tcPr>
          <w:p w14:paraId="0C87116F" w14:textId="5274A40B" w:rsidR="00036EA7" w:rsidRPr="000911A8" w:rsidRDefault="00AB213B" w:rsidP="00F710CB">
            <w:pPr>
              <w:pStyle w:val="NICETabletext"/>
              <w:spacing w:after="0"/>
              <w:contextualSpacing/>
            </w:pPr>
            <w:r w:rsidRPr="000911A8">
              <w:t>EQ-5D utilities collected from the relevant population within the trial, as per the NICE reference case.</w:t>
            </w:r>
            <w:r w:rsidRPr="000911A8">
              <w:fldChar w:fldCharType="begin"/>
            </w:r>
            <w:r w:rsidR="00CA6345">
              <w:instrText xml:space="preserve"> ADDIN ZOTERO_ITEM CSL_CITATION {"citationID":"IInfInNr","properties":{"formattedCitation":"\\super 2\\nosupersub{}","plainCitation":"2","noteIndex":0},"citationItems":[{"id":65886,"uris":["http://zotero.org/groups/4797619/items/2LQNV7UR"],"itemData":{"id":65886,"type":"webpage","abstract":"This guide describes the methods and processes, including expected timescales, that NICE follows when carrying out health technology evaluations. The methods and processes are designed to produce robust guidance for the NHS in an open, transparent and timely way, with appropriate contribution from stakeholders. Organisations invited to contribute to health technology evaluation development should read this manual in conjunction with the NICE health technology evaluation topic selection: the manual. All documents are available on the NICE website.","language":"eng","note":"publisher: NICE","title":"NICE health technology evaluations: the manual","title-short":"NICE health technology evaluations","URL":"https://www.nice.org.uk/process/pmg36/chapter/introduction-to-health-technology-evaluation","author":[{"family":"NICE","given":""}],"accessed":{"date-parts":[["2022",10,19]]},"issued":{"date-parts":[["2022",1]]}}}],"schema":"https://github.com/citation-style-language/schema/raw/master/csl-citation.json"} </w:instrText>
            </w:r>
            <w:r w:rsidRPr="000911A8">
              <w:fldChar w:fldCharType="separate"/>
            </w:r>
            <w:r w:rsidRPr="00FD57F4">
              <w:rPr>
                <w:rFonts w:cs="Arial"/>
                <w:vertAlign w:val="superscript"/>
              </w:rPr>
              <w:t>2</w:t>
            </w:r>
            <w:r w:rsidRPr="000911A8">
              <w:fldChar w:fldCharType="end"/>
            </w:r>
            <w:r w:rsidRPr="000911A8">
              <w:t xml:space="preserve"> Literature values used for </w:t>
            </w:r>
            <w:r w:rsidRPr="000911A8">
              <w:rPr>
                <w:i/>
                <w:iCs/>
              </w:rPr>
              <w:t xml:space="preserve">‘post-progression’ </w:t>
            </w:r>
            <w:r w:rsidRPr="000911A8">
              <w:t>and scenarios.</w:t>
            </w:r>
          </w:p>
        </w:tc>
      </w:tr>
      <w:tr w:rsidR="00036EA7" w:rsidRPr="000911A8" w14:paraId="1F74DF49" w14:textId="77777777" w:rsidTr="00F710CB">
        <w:trPr>
          <w:trHeight w:val="20"/>
        </w:trPr>
        <w:tc>
          <w:tcPr>
            <w:tcW w:w="1555" w:type="dxa"/>
            <w:shd w:val="clear" w:color="auto" w:fill="F2F2F2" w:themeFill="background1" w:themeFillShade="F2"/>
          </w:tcPr>
          <w:p w14:paraId="0DDF4F11" w14:textId="77777777" w:rsidR="00036EA7" w:rsidRPr="000911A8" w:rsidRDefault="00036EA7" w:rsidP="003C648C">
            <w:pPr>
              <w:pStyle w:val="NICETabletext"/>
              <w:keepNext w:val="0"/>
              <w:spacing w:after="0"/>
              <w:contextualSpacing/>
            </w:pPr>
            <w:r w:rsidRPr="000911A8">
              <w:t>Source of costs</w:t>
            </w:r>
          </w:p>
        </w:tc>
        <w:tc>
          <w:tcPr>
            <w:tcW w:w="1559" w:type="dxa"/>
          </w:tcPr>
          <w:p w14:paraId="4AE90502" w14:textId="77777777" w:rsidR="00036EA7" w:rsidRPr="005D58CB" w:rsidRDefault="00036EA7" w:rsidP="003C648C">
            <w:pPr>
              <w:pStyle w:val="NICETabletext"/>
              <w:keepNext w:val="0"/>
              <w:spacing w:after="0"/>
              <w:contextualSpacing/>
              <w:jc w:val="center"/>
            </w:pPr>
            <w:r w:rsidRPr="005D58CB">
              <w:t>MIMS</w:t>
            </w:r>
          </w:p>
          <w:p w14:paraId="687202A7" w14:textId="77777777" w:rsidR="00036EA7" w:rsidRPr="005D58CB" w:rsidRDefault="00036EA7" w:rsidP="003C648C">
            <w:pPr>
              <w:pStyle w:val="NICETabletext"/>
              <w:keepNext w:val="0"/>
              <w:spacing w:after="0"/>
              <w:contextualSpacing/>
              <w:jc w:val="center"/>
            </w:pPr>
            <w:r w:rsidRPr="005D58CB">
              <w:t>NHS Cost Collection</w:t>
            </w:r>
          </w:p>
          <w:p w14:paraId="78DCB434" w14:textId="77777777" w:rsidR="00036EA7" w:rsidRPr="005D58CB" w:rsidRDefault="00036EA7" w:rsidP="003C648C">
            <w:pPr>
              <w:pStyle w:val="NICETabletext"/>
              <w:keepNext w:val="0"/>
              <w:spacing w:after="0"/>
              <w:contextualSpacing/>
              <w:jc w:val="center"/>
            </w:pPr>
            <w:r w:rsidRPr="005D58CB">
              <w:t>NHS TFR returns</w:t>
            </w:r>
          </w:p>
          <w:p w14:paraId="45FA328A" w14:textId="77777777" w:rsidR="00036EA7" w:rsidRPr="005D58CB" w:rsidRDefault="00036EA7" w:rsidP="003C648C">
            <w:pPr>
              <w:pStyle w:val="NICETabletext"/>
              <w:keepNext w:val="0"/>
              <w:spacing w:after="0"/>
              <w:contextualSpacing/>
              <w:jc w:val="center"/>
            </w:pPr>
            <w:r w:rsidRPr="005D58CB">
              <w:t>National blood bank</w:t>
            </w:r>
          </w:p>
        </w:tc>
        <w:tc>
          <w:tcPr>
            <w:tcW w:w="1559" w:type="dxa"/>
          </w:tcPr>
          <w:p w14:paraId="2A71B785" w14:textId="77777777" w:rsidR="00036EA7" w:rsidRPr="005D58CB" w:rsidRDefault="00036EA7" w:rsidP="003C648C">
            <w:pPr>
              <w:pStyle w:val="NICETabletext"/>
              <w:keepNext w:val="0"/>
              <w:spacing w:after="0"/>
              <w:contextualSpacing/>
              <w:jc w:val="center"/>
            </w:pPr>
            <w:r w:rsidRPr="005D58CB">
              <w:t>eMIT</w:t>
            </w:r>
          </w:p>
          <w:p w14:paraId="679A258F" w14:textId="77777777" w:rsidR="00036EA7" w:rsidRPr="005D58CB" w:rsidRDefault="00036EA7" w:rsidP="003C648C">
            <w:pPr>
              <w:pStyle w:val="NICETabletext"/>
              <w:keepNext w:val="0"/>
              <w:spacing w:after="0"/>
              <w:contextualSpacing/>
              <w:jc w:val="center"/>
            </w:pPr>
            <w:r w:rsidRPr="005D58CB">
              <w:t>MIMS</w:t>
            </w:r>
          </w:p>
          <w:p w14:paraId="1F9FBA4A" w14:textId="77777777" w:rsidR="00036EA7" w:rsidRPr="005D58CB" w:rsidRDefault="00036EA7" w:rsidP="003C648C">
            <w:pPr>
              <w:pStyle w:val="NICETabletext"/>
              <w:keepNext w:val="0"/>
              <w:spacing w:after="0"/>
              <w:contextualSpacing/>
              <w:jc w:val="center"/>
            </w:pPr>
            <w:r w:rsidRPr="005D58CB">
              <w:t>PSSRU</w:t>
            </w:r>
          </w:p>
          <w:p w14:paraId="4DBA6C78" w14:textId="77777777" w:rsidR="00036EA7" w:rsidRPr="000911A8" w:rsidRDefault="00036EA7" w:rsidP="003C648C">
            <w:pPr>
              <w:pStyle w:val="NICETabletext"/>
              <w:keepNext w:val="0"/>
              <w:spacing w:after="0"/>
              <w:contextualSpacing/>
              <w:jc w:val="center"/>
            </w:pPr>
            <w:r w:rsidRPr="005D58CB">
              <w:t>NHS Cost Collection</w:t>
            </w:r>
          </w:p>
        </w:tc>
        <w:tc>
          <w:tcPr>
            <w:tcW w:w="1559" w:type="dxa"/>
          </w:tcPr>
          <w:p w14:paraId="03E00B4B" w14:textId="77777777" w:rsidR="00036EA7" w:rsidRDefault="00036EA7" w:rsidP="003C648C">
            <w:pPr>
              <w:pStyle w:val="NICETabletext"/>
              <w:keepNext w:val="0"/>
              <w:spacing w:after="0"/>
              <w:contextualSpacing/>
              <w:jc w:val="center"/>
            </w:pPr>
            <w:r w:rsidRPr="00695E43">
              <w:t xml:space="preserve">eMIT </w:t>
            </w:r>
          </w:p>
          <w:p w14:paraId="451DEB9A" w14:textId="77777777" w:rsidR="00036EA7" w:rsidRDefault="00036EA7" w:rsidP="003C648C">
            <w:pPr>
              <w:pStyle w:val="NICETabletext"/>
              <w:keepNext w:val="0"/>
              <w:spacing w:after="0"/>
              <w:contextualSpacing/>
              <w:jc w:val="center"/>
            </w:pPr>
            <w:r w:rsidRPr="00695E43">
              <w:t>BNF</w:t>
            </w:r>
          </w:p>
          <w:p w14:paraId="27E444FE" w14:textId="77777777" w:rsidR="00036EA7" w:rsidRDefault="00036EA7" w:rsidP="003C648C">
            <w:pPr>
              <w:pStyle w:val="NICETabletext"/>
              <w:keepNext w:val="0"/>
              <w:spacing w:after="0"/>
              <w:contextualSpacing/>
              <w:jc w:val="center"/>
            </w:pPr>
            <w:r w:rsidRPr="00695E43">
              <w:t xml:space="preserve">PSSRU </w:t>
            </w:r>
          </w:p>
          <w:p w14:paraId="7B379A23" w14:textId="77777777" w:rsidR="00036EA7" w:rsidRDefault="00036EA7" w:rsidP="003C648C">
            <w:pPr>
              <w:pStyle w:val="NICETabletext"/>
              <w:keepNext w:val="0"/>
              <w:spacing w:after="0"/>
              <w:contextualSpacing/>
              <w:jc w:val="center"/>
            </w:pPr>
            <w:r w:rsidRPr="00695E43">
              <w:t xml:space="preserve">NHS </w:t>
            </w:r>
            <w:r>
              <w:t>Cost Collection</w:t>
            </w:r>
          </w:p>
          <w:p w14:paraId="1F213710" w14:textId="77777777" w:rsidR="00036EA7" w:rsidRPr="005D58CB" w:rsidRDefault="00036EA7" w:rsidP="003C648C">
            <w:pPr>
              <w:pStyle w:val="NICETabletext"/>
              <w:keepNext w:val="0"/>
              <w:spacing w:after="0"/>
              <w:contextualSpacing/>
              <w:jc w:val="center"/>
            </w:pPr>
            <w:r w:rsidRPr="00695E43">
              <w:t>NICE</w:t>
            </w:r>
            <w:r>
              <w:t xml:space="preserve"> - </w:t>
            </w:r>
            <w:r w:rsidRPr="00695E43">
              <w:t>Marie Curie report</w:t>
            </w:r>
          </w:p>
        </w:tc>
        <w:tc>
          <w:tcPr>
            <w:tcW w:w="1559" w:type="dxa"/>
          </w:tcPr>
          <w:p w14:paraId="584A2E83" w14:textId="50A670DA" w:rsidR="00036EA7" w:rsidRPr="005D58CB" w:rsidRDefault="00036EA7" w:rsidP="003C648C">
            <w:pPr>
              <w:pStyle w:val="NICETabletext"/>
              <w:keepNext w:val="0"/>
              <w:spacing w:after="0"/>
              <w:contextualSpacing/>
              <w:jc w:val="center"/>
            </w:pPr>
            <w:r w:rsidRPr="005D58CB">
              <w:t>eMIT</w:t>
            </w:r>
          </w:p>
          <w:p w14:paraId="30E73F4B" w14:textId="77777777" w:rsidR="00036EA7" w:rsidRPr="005D58CB" w:rsidRDefault="00036EA7" w:rsidP="003C648C">
            <w:pPr>
              <w:pStyle w:val="NICETabletext"/>
              <w:keepNext w:val="0"/>
              <w:spacing w:after="0"/>
              <w:contextualSpacing/>
              <w:jc w:val="center"/>
            </w:pPr>
            <w:r w:rsidRPr="005D58CB">
              <w:t>BNF</w:t>
            </w:r>
          </w:p>
          <w:p w14:paraId="3273E2B5" w14:textId="77777777" w:rsidR="00036EA7" w:rsidRPr="005D58CB" w:rsidRDefault="00036EA7" w:rsidP="003C648C">
            <w:pPr>
              <w:pStyle w:val="NICETabletext"/>
              <w:keepNext w:val="0"/>
              <w:spacing w:after="0"/>
              <w:contextualSpacing/>
              <w:jc w:val="center"/>
            </w:pPr>
            <w:r w:rsidRPr="005D58CB">
              <w:t>MIMS</w:t>
            </w:r>
          </w:p>
          <w:p w14:paraId="22CD1804" w14:textId="77777777" w:rsidR="00036EA7" w:rsidRPr="005D58CB" w:rsidRDefault="00036EA7" w:rsidP="003C648C">
            <w:pPr>
              <w:pStyle w:val="NICETabletext"/>
              <w:keepNext w:val="0"/>
              <w:spacing w:after="0"/>
              <w:contextualSpacing/>
              <w:jc w:val="center"/>
            </w:pPr>
            <w:r w:rsidRPr="005D58CB">
              <w:t>PSSRU</w:t>
            </w:r>
          </w:p>
          <w:p w14:paraId="311F1843" w14:textId="77777777" w:rsidR="00036EA7" w:rsidRPr="005D58CB" w:rsidRDefault="00036EA7" w:rsidP="003C648C">
            <w:pPr>
              <w:pStyle w:val="NICETabletext"/>
              <w:keepNext w:val="0"/>
              <w:spacing w:after="0"/>
              <w:contextualSpacing/>
              <w:jc w:val="center"/>
            </w:pPr>
            <w:r w:rsidRPr="005D58CB">
              <w:t>NHS Cost Collection</w:t>
            </w:r>
          </w:p>
        </w:tc>
        <w:tc>
          <w:tcPr>
            <w:tcW w:w="1559" w:type="dxa"/>
          </w:tcPr>
          <w:p w14:paraId="2B8E4E81" w14:textId="436E3EBE" w:rsidR="00D17D19" w:rsidRDefault="00D17D19" w:rsidP="005C2CA9">
            <w:pPr>
              <w:pStyle w:val="NICETabletext"/>
              <w:keepNext w:val="0"/>
              <w:spacing w:after="0"/>
              <w:contextualSpacing/>
              <w:jc w:val="center"/>
            </w:pPr>
            <w:r>
              <w:t>eMIT</w:t>
            </w:r>
          </w:p>
          <w:p w14:paraId="10F28EC5" w14:textId="1649E2CB" w:rsidR="00036EA7" w:rsidRPr="000911A8" w:rsidRDefault="00036EA7" w:rsidP="003C648C">
            <w:pPr>
              <w:pStyle w:val="NICETabletext"/>
              <w:keepNext w:val="0"/>
              <w:spacing w:after="0"/>
              <w:contextualSpacing/>
              <w:jc w:val="center"/>
            </w:pPr>
            <w:r w:rsidRPr="005D58CB">
              <w:t>BNF</w:t>
            </w:r>
          </w:p>
          <w:p w14:paraId="445BD988" w14:textId="77777777" w:rsidR="00036EA7" w:rsidRPr="005D58CB" w:rsidRDefault="00036EA7" w:rsidP="003C648C">
            <w:pPr>
              <w:pStyle w:val="NICETabletext"/>
              <w:keepNext w:val="0"/>
              <w:spacing w:after="0"/>
              <w:contextualSpacing/>
              <w:jc w:val="center"/>
            </w:pPr>
            <w:r w:rsidRPr="005D58CB">
              <w:t>PSSRU</w:t>
            </w:r>
          </w:p>
          <w:p w14:paraId="12B51891" w14:textId="77777777" w:rsidR="00036EA7" w:rsidRPr="005D58CB" w:rsidRDefault="00036EA7" w:rsidP="003C648C">
            <w:pPr>
              <w:pStyle w:val="NICETabletext"/>
              <w:keepNext w:val="0"/>
              <w:spacing w:after="0"/>
              <w:contextualSpacing/>
              <w:jc w:val="center"/>
            </w:pPr>
            <w:r w:rsidRPr="005D58CB">
              <w:t>NHS Cost Collection</w:t>
            </w:r>
          </w:p>
        </w:tc>
        <w:tc>
          <w:tcPr>
            <w:tcW w:w="1560" w:type="dxa"/>
          </w:tcPr>
          <w:p w14:paraId="487C2434" w14:textId="77777777" w:rsidR="00036EA7" w:rsidRPr="005D58CB" w:rsidRDefault="00036EA7" w:rsidP="003C648C">
            <w:pPr>
              <w:pStyle w:val="NICETabletext"/>
              <w:keepNext w:val="0"/>
              <w:spacing w:after="0"/>
              <w:contextualSpacing/>
              <w:jc w:val="center"/>
            </w:pPr>
            <w:r w:rsidRPr="005D58CB">
              <w:t>eMIT</w:t>
            </w:r>
          </w:p>
          <w:p w14:paraId="5D85BB33" w14:textId="77777777" w:rsidR="00036EA7" w:rsidRPr="000911A8" w:rsidRDefault="00036EA7" w:rsidP="003C648C">
            <w:pPr>
              <w:pStyle w:val="NICETabletext"/>
              <w:keepNext w:val="0"/>
              <w:spacing w:after="0"/>
              <w:contextualSpacing/>
              <w:jc w:val="center"/>
            </w:pPr>
            <w:r w:rsidRPr="000911A8">
              <w:t>BNF</w:t>
            </w:r>
          </w:p>
          <w:p w14:paraId="6E6B8B56" w14:textId="77777777" w:rsidR="00036EA7" w:rsidRPr="000911A8" w:rsidRDefault="00036EA7" w:rsidP="003C648C">
            <w:pPr>
              <w:pStyle w:val="NICETabletext"/>
              <w:keepNext w:val="0"/>
              <w:spacing w:after="0"/>
              <w:contextualSpacing/>
              <w:jc w:val="center"/>
            </w:pPr>
            <w:r w:rsidRPr="000911A8">
              <w:t>PSSRU</w:t>
            </w:r>
          </w:p>
          <w:p w14:paraId="2ECD4D17" w14:textId="77777777" w:rsidR="00036EA7" w:rsidRPr="000911A8" w:rsidRDefault="00036EA7" w:rsidP="003C648C">
            <w:pPr>
              <w:pStyle w:val="NICETabletext"/>
              <w:keepNext w:val="0"/>
              <w:spacing w:after="0"/>
              <w:contextualSpacing/>
              <w:jc w:val="center"/>
            </w:pPr>
            <w:r w:rsidRPr="000911A8">
              <w:t>NHS Cost Collection</w:t>
            </w:r>
          </w:p>
        </w:tc>
        <w:tc>
          <w:tcPr>
            <w:tcW w:w="2552" w:type="dxa"/>
          </w:tcPr>
          <w:p w14:paraId="15134619" w14:textId="3415C2F0" w:rsidR="00036EA7" w:rsidRPr="000911A8" w:rsidRDefault="00AB213B" w:rsidP="003C648C">
            <w:pPr>
              <w:pStyle w:val="NICETabletext"/>
              <w:keepNext w:val="0"/>
              <w:spacing w:after="0"/>
              <w:contextualSpacing/>
            </w:pPr>
            <w:r w:rsidRPr="000911A8">
              <w:t>As per the NICE reference case.</w:t>
            </w:r>
            <w:r w:rsidRPr="000911A8">
              <w:fldChar w:fldCharType="begin"/>
            </w:r>
            <w:r w:rsidR="00CA6345">
              <w:instrText xml:space="preserve"> ADDIN ZOTERO_ITEM CSL_CITATION {"citationID":"TWZUvP3g","properties":{"formattedCitation":"\\super 2\\nosupersub{}","plainCitation":"2","noteIndex":0},"citationItems":[{"id":65886,"uris":["http://zotero.org/groups/4797619/items/2LQNV7UR"],"itemData":{"id":65886,"type":"webpage","abstract":"This guide describes the methods and processes, including expected timescales, that NICE follows when carrying out health technology evaluations. The methods and processes are designed to produce robust guidance for the NHS in an open, transparent and timely way, with appropriate contribution from stakeholders. Organisations invited to contribute to health technology evaluation development should read this manual in conjunction with the NICE health technology evaluation topic selection: the manual. All documents are available on the NICE website.","language":"eng","note":"publisher: NICE","title":"NICE health technology evaluations: the manual","title-short":"NICE health technology evaluations","URL":"https://www.nice.org.uk/process/pmg36/chapter/introduction-to-health-technology-evaluation","author":[{"family":"NICE","given":""}],"accessed":{"date-parts":[["2022",10,19]]},"issued":{"date-parts":[["2022",1]]}}}],"schema":"https://github.com/citation-style-language/schema/raw/master/csl-citation.json"} </w:instrText>
            </w:r>
            <w:r w:rsidRPr="000911A8">
              <w:fldChar w:fldCharType="separate"/>
            </w:r>
            <w:r w:rsidRPr="00FD57F4">
              <w:rPr>
                <w:rFonts w:cs="Arial"/>
                <w:vertAlign w:val="superscript"/>
              </w:rPr>
              <w:t>2</w:t>
            </w:r>
            <w:r w:rsidRPr="000911A8">
              <w:fldChar w:fldCharType="end"/>
            </w:r>
          </w:p>
        </w:tc>
      </w:tr>
    </w:tbl>
    <w:p w14:paraId="61A6C1D1" w14:textId="3329730A" w:rsidR="00036EA7" w:rsidRPr="005D58CB" w:rsidRDefault="00036EA7" w:rsidP="00036EA7">
      <w:pPr>
        <w:pStyle w:val="NICETabletext"/>
        <w:keepNext w:val="0"/>
        <w:sectPr w:rsidR="00036EA7" w:rsidRPr="005D58CB">
          <w:headerReference w:type="default" r:id="rId34"/>
          <w:footerReference w:type="default" r:id="rId35"/>
          <w:pgSz w:w="16840" w:h="11907" w:orient="landscape" w:code="9"/>
          <w:pgMar w:top="1440" w:right="1440" w:bottom="1440" w:left="1440" w:header="709" w:footer="709" w:gutter="0"/>
          <w:cols w:space="708"/>
          <w:docGrid w:linePitch="360"/>
        </w:sectPr>
      </w:pPr>
      <w:bookmarkStart w:id="421" w:name="_Toc98924662"/>
      <w:bookmarkStart w:id="422" w:name="_Ref124415856"/>
      <w:r w:rsidRPr="000911A8">
        <w:rPr>
          <w:lang w:val="en-US"/>
        </w:rPr>
        <w:t xml:space="preserve">Abbreviations: </w:t>
      </w:r>
      <w:r w:rsidRPr="005D58CB">
        <w:rPr>
          <w:lang w:val="en-US"/>
        </w:rPr>
        <w:t xml:space="preserve">BC, breast cancer; </w:t>
      </w:r>
      <w:r w:rsidRPr="000911A8">
        <w:rPr>
          <w:lang w:val="en-US"/>
        </w:rPr>
        <w:t xml:space="preserve">BNF, British National Formulary; </w:t>
      </w:r>
      <w:r w:rsidRPr="005D58CB">
        <w:rPr>
          <w:lang w:val="en-US"/>
        </w:rPr>
        <w:t xml:space="preserve">eMIT, electronic market information tool; </w:t>
      </w:r>
      <w:r w:rsidRPr="000911A8">
        <w:rPr>
          <w:lang w:val="en-US"/>
        </w:rPr>
        <w:t xml:space="preserve">EQ-5D, EuroQol-5 Dimension; mBC, metastatic breast cancer; NHS, National Health Service; NICE, National Institute for Health and Care Excellence; PartSA, partitioned survival analysis; PD, progressed disease; PFS, progression-free survival; PSS – Personal Social Service; PSSRU, Personal Social Services Research Unit; QALY, quality-adjusted adjusted life-years; </w:t>
      </w:r>
      <w:r w:rsidRPr="005D58CB">
        <w:rPr>
          <w:lang w:val="en-US"/>
        </w:rPr>
        <w:t>SG, sa</w:t>
      </w:r>
      <w:r w:rsidRPr="005D58CB">
        <w:t xml:space="preserve">cituzumab govitecan; </w:t>
      </w:r>
      <w:r w:rsidRPr="005D58CB">
        <w:rPr>
          <w:lang w:val="en-US"/>
        </w:rPr>
        <w:t>T-DXd, t</w:t>
      </w:r>
      <w:r w:rsidRPr="003C648C">
        <w:rPr>
          <w:lang w:val="en-US"/>
        </w:rPr>
        <w:t>rastuzumab deruxtecan</w:t>
      </w:r>
      <w:r w:rsidRPr="005D58CB">
        <w:rPr>
          <w:lang w:val="en-US"/>
        </w:rPr>
        <w:t>; TFR, Trust Financial Returns; TPC, treatment of physician’s choice; u/mBC, unresectable or metastatic breast cancer.</w:t>
      </w:r>
    </w:p>
    <w:p w14:paraId="55666802" w14:textId="77777777" w:rsidR="00036EA7" w:rsidRPr="00AF711B" w:rsidRDefault="00036EA7" w:rsidP="00036EA7">
      <w:pPr>
        <w:pStyle w:val="Heading3"/>
      </w:pPr>
      <w:r>
        <w:lastRenderedPageBreak/>
        <w:t xml:space="preserve"> </w:t>
      </w:r>
      <w:bookmarkStart w:id="423" w:name="_Toc127006439"/>
      <w:bookmarkStart w:id="424" w:name="_Toc129350886"/>
      <w:r w:rsidRPr="00AF711B">
        <w:t>Intervention technology and comparators</w:t>
      </w:r>
      <w:bookmarkEnd w:id="421"/>
      <w:bookmarkEnd w:id="422"/>
      <w:bookmarkEnd w:id="423"/>
      <w:bookmarkEnd w:id="424"/>
    </w:p>
    <w:p w14:paraId="54B102F2" w14:textId="3938C11C" w:rsidR="00036EA7" w:rsidRPr="005D58CB" w:rsidRDefault="00036EA7" w:rsidP="00036EA7">
      <w:pPr>
        <w:pStyle w:val="Body"/>
      </w:pPr>
      <w:r w:rsidRPr="00B51087">
        <w:t xml:space="preserve">The intervention modelled in the analysis is T-DXd, administered </w:t>
      </w:r>
      <w:r w:rsidRPr="005D58CB">
        <w:t>as an intravenous infusion</w:t>
      </w:r>
      <w:r w:rsidRPr="00B51087">
        <w:t xml:space="preserve"> at the </w:t>
      </w:r>
      <w:r w:rsidRPr="005D58CB">
        <w:t xml:space="preserve">recommended </w:t>
      </w:r>
      <w:r w:rsidRPr="00B51087">
        <w:t xml:space="preserve">dose of 5.4 mg/kg once per 21-day cycle. Treatment is administered until disease progression or </w:t>
      </w:r>
      <w:r w:rsidRPr="005D58CB">
        <w:t>unacceptable</w:t>
      </w:r>
      <w:r w:rsidRPr="00B51087">
        <w:t xml:space="preserve"> toxicity, as per the SmPC and dose received in DESTINY-Breast0</w:t>
      </w:r>
      <w:r w:rsidRPr="005D58CB">
        <w:t>4</w:t>
      </w:r>
      <w:r w:rsidRPr="00B51087">
        <w:t xml:space="preserve"> (as outlined </w:t>
      </w:r>
      <w:r w:rsidRPr="00914B98">
        <w:t xml:space="preserve">in </w:t>
      </w:r>
      <w:r w:rsidRPr="003C648C">
        <w:rPr>
          <w:b/>
        </w:rPr>
        <w:t xml:space="preserve">Section </w:t>
      </w:r>
      <w:r w:rsidR="00914B98" w:rsidRPr="003C648C">
        <w:rPr>
          <w:b/>
        </w:rPr>
        <w:fldChar w:fldCharType="begin"/>
      </w:r>
      <w:r w:rsidR="00914B98" w:rsidRPr="003C648C">
        <w:rPr>
          <w:b/>
        </w:rPr>
        <w:instrText xml:space="preserve"> REF _Ref127007482 \r \h  \* MERGEFORMAT </w:instrText>
      </w:r>
      <w:r w:rsidR="00914B98" w:rsidRPr="003C648C">
        <w:rPr>
          <w:b/>
        </w:rPr>
      </w:r>
      <w:r w:rsidR="00914B98" w:rsidRPr="003C648C">
        <w:rPr>
          <w:b/>
        </w:rPr>
        <w:fldChar w:fldCharType="separate"/>
      </w:r>
      <w:r w:rsidR="00145F42">
        <w:rPr>
          <w:b/>
        </w:rPr>
        <w:t>B.2.3.1</w:t>
      </w:r>
      <w:r w:rsidR="00914B98" w:rsidRPr="003C648C">
        <w:rPr>
          <w:b/>
        </w:rPr>
        <w:fldChar w:fldCharType="end"/>
      </w:r>
      <w:r w:rsidRPr="00914B98">
        <w:t>).</w:t>
      </w:r>
      <w:r w:rsidRPr="005D58CB">
        <w:fldChar w:fldCharType="begin"/>
      </w:r>
      <w:r w:rsidR="00CA6345">
        <w:instrText xml:space="preserve"> ADDIN ZOTERO_ITEM CSL_CITATION {"citationID":"X1mQbeV5","properties":{"formattedCitation":"\\super 7,170\\nosupersub{}","plainCitation":"7,170","noteIndex":0},"citationItems":[{"id":65944,"uris":["http://zotero.org/groups/4797619/items/WBVSVVF7"],"itemData":{"id":65944,"type":"document","title":"Clinical Study Report for DS8201-A-U303. Data cut-off date: 11 Jan 2022. Data on File.","author":[{"family":"Daiichi Sankyo Inc.","given":""}],"issued":{"date-parts":[["2022"]]}}},{"id":65888,"uris":["http://zotero.org/groups/4797619/items/E6FJLSVV"],"itemData":{"id":65888,"type":"webpage","title":"Enhertu 100 mg powder for concentrate for solution for infusion - Summary of Product Characteristics (SmPC) - (emc)","URL":"https://www.medicines.org.uk/emc/product/12135/smpc#gref","accessed":{"date-parts":[["2022",10,25]]}}}],"schema":"https://github.com/citation-style-language/schema/raw/master/csl-citation.json"} </w:instrText>
      </w:r>
      <w:r w:rsidRPr="005D58CB">
        <w:fldChar w:fldCharType="separate"/>
      </w:r>
      <w:r w:rsidR="00CA6345" w:rsidRPr="00CA6345">
        <w:rPr>
          <w:rFonts w:cs="Arial"/>
          <w:szCs w:val="24"/>
          <w:vertAlign w:val="superscript"/>
        </w:rPr>
        <w:t>7,170</w:t>
      </w:r>
      <w:r w:rsidRPr="005D58CB">
        <w:fldChar w:fldCharType="end"/>
      </w:r>
      <w:r w:rsidRPr="00B51087">
        <w:t xml:space="preserve"> </w:t>
      </w:r>
      <w:r w:rsidRPr="005D58CB">
        <w:t xml:space="preserve">The </w:t>
      </w:r>
      <w:r w:rsidR="00CB2905">
        <w:t>CEA</w:t>
      </w:r>
      <w:r w:rsidRPr="005D58CB">
        <w:t xml:space="preserve"> includes </w:t>
      </w:r>
      <w:r w:rsidRPr="00B51087">
        <w:t>dose adjustments and modifications as per the DESTINY-Breast0</w:t>
      </w:r>
      <w:r w:rsidRPr="005D58CB">
        <w:t>4</w:t>
      </w:r>
      <w:r w:rsidRPr="00B51087">
        <w:t xml:space="preserve"> trial, which allowed dose adjustments in line with the </w:t>
      </w:r>
      <w:r w:rsidRPr="00C96C8E">
        <w:t>SmPC</w:t>
      </w:r>
      <w:r w:rsidRPr="00C96C8E" w:rsidDel="00D9783F">
        <w:t xml:space="preserve"> </w:t>
      </w:r>
      <w:r w:rsidRPr="00C96C8E">
        <w:t>(se</w:t>
      </w:r>
      <w:r w:rsidRPr="00B51087">
        <w:t xml:space="preserve">e </w:t>
      </w:r>
      <w:r w:rsidRPr="003C648C">
        <w:rPr>
          <w:b/>
        </w:rPr>
        <w:t xml:space="preserve">Section </w:t>
      </w:r>
      <w:r w:rsidRPr="003C648C">
        <w:rPr>
          <w:b/>
        </w:rPr>
        <w:fldChar w:fldCharType="begin"/>
      </w:r>
      <w:r w:rsidRPr="003C648C">
        <w:rPr>
          <w:b/>
        </w:rPr>
        <w:instrText xml:space="preserve"> REF _Ref99727403 \r \h  \* MERGEFORMAT </w:instrText>
      </w:r>
      <w:r w:rsidRPr="003C648C">
        <w:rPr>
          <w:b/>
        </w:rPr>
      </w:r>
      <w:r w:rsidRPr="003C648C">
        <w:rPr>
          <w:b/>
        </w:rPr>
        <w:fldChar w:fldCharType="separate"/>
      </w:r>
      <w:r w:rsidR="00145F42">
        <w:rPr>
          <w:b/>
        </w:rPr>
        <w:t>B.3.5.1</w:t>
      </w:r>
      <w:r w:rsidRPr="003C648C">
        <w:rPr>
          <w:b/>
        </w:rPr>
        <w:fldChar w:fldCharType="end"/>
      </w:r>
      <w:r w:rsidRPr="00B51087">
        <w:t>).</w:t>
      </w:r>
      <w:r w:rsidRPr="005D58CB">
        <w:fldChar w:fldCharType="begin"/>
      </w:r>
      <w:r w:rsidR="00CA6345">
        <w:instrText xml:space="preserve"> ADDIN ZOTERO_ITEM CSL_CITATION {"citationID":"R55L9HLG","properties":{"formattedCitation":"\\super 7,170\\nosupersub{}","plainCitation":"7,170","noteIndex":0},"citationItems":[{"id":65944,"uris":["http://zotero.org/groups/4797619/items/WBVSVVF7"],"itemData":{"id":65944,"type":"document","title":"Clinical Study Report for DS8201-A-U303. Data cut-off date: 11 Jan 2022. Data on File.","author":[{"family":"Daiichi Sankyo Inc.","given":""}],"issued":{"date-parts":[["2022"]]}}},{"id":65888,"uris":["http://zotero.org/groups/4797619/items/E6FJLSVV"],"itemData":{"id":65888,"type":"webpage","title":"Enhertu 100 mg powder for concentrate for solution for infusion - Summary of Product Characteristics (SmPC) - (emc)","URL":"https://www.medicines.org.uk/emc/product/12135/smpc#gref","accessed":{"date-parts":[["2022",10,25]]}}}],"schema":"https://github.com/citation-style-language/schema/raw/master/csl-citation.json"} </w:instrText>
      </w:r>
      <w:r w:rsidRPr="005D58CB">
        <w:fldChar w:fldCharType="separate"/>
      </w:r>
      <w:r w:rsidR="00CA6345" w:rsidRPr="00CA6345">
        <w:rPr>
          <w:rFonts w:cs="Arial"/>
          <w:szCs w:val="24"/>
          <w:vertAlign w:val="superscript"/>
        </w:rPr>
        <w:t>7,170</w:t>
      </w:r>
      <w:r w:rsidRPr="005D58CB">
        <w:fldChar w:fldCharType="end"/>
      </w:r>
      <w:r w:rsidR="00B41019">
        <w:t xml:space="preserve"> </w:t>
      </w:r>
    </w:p>
    <w:p w14:paraId="25CADF2C" w14:textId="4AEF6176" w:rsidR="00036EA7" w:rsidRDefault="00036EA7" w:rsidP="00036EA7">
      <w:pPr>
        <w:spacing w:before="120" w:after="120"/>
      </w:pPr>
      <w:r w:rsidRPr="005D58CB">
        <w:t>The comparator in the model is the TPC arm from DESTINY-Breast04</w:t>
      </w:r>
      <w:r w:rsidR="00971774">
        <w:t>,</w:t>
      </w:r>
      <w:r w:rsidRPr="005D58CB">
        <w:t xml:space="preserve"> which comprises of a basket of single-agent chemotherapies: </w:t>
      </w:r>
    </w:p>
    <w:p w14:paraId="72E06BFB" w14:textId="0EC33672" w:rsidR="00036EA7" w:rsidRDefault="00036EA7" w:rsidP="00E91470">
      <w:pPr>
        <w:pStyle w:val="ListParagraph"/>
        <w:numPr>
          <w:ilvl w:val="0"/>
          <w:numId w:val="52"/>
        </w:numPr>
        <w:spacing w:before="120" w:after="120"/>
      </w:pPr>
      <w:r w:rsidRPr="005D58CB">
        <w:t>eribulin (51%)</w:t>
      </w:r>
    </w:p>
    <w:p w14:paraId="269B6396" w14:textId="77777777" w:rsidR="00036EA7" w:rsidRDefault="00036EA7" w:rsidP="00E91470">
      <w:pPr>
        <w:pStyle w:val="ListParagraph"/>
        <w:numPr>
          <w:ilvl w:val="0"/>
          <w:numId w:val="52"/>
        </w:numPr>
        <w:spacing w:before="120" w:after="120"/>
      </w:pPr>
      <w:r w:rsidRPr="005D58CB">
        <w:t>capecitabine</w:t>
      </w:r>
      <w:r>
        <w:t xml:space="preserve"> (21%)</w:t>
      </w:r>
    </w:p>
    <w:p w14:paraId="32483E72" w14:textId="77777777" w:rsidR="00036EA7" w:rsidRDefault="00036EA7" w:rsidP="00E91470">
      <w:pPr>
        <w:pStyle w:val="ListParagraph"/>
        <w:numPr>
          <w:ilvl w:val="0"/>
          <w:numId w:val="52"/>
        </w:numPr>
        <w:spacing w:before="120" w:after="120"/>
      </w:pPr>
      <w:r w:rsidRPr="005D58CB">
        <w:t>nab-paclitaxel</w:t>
      </w:r>
      <w:r>
        <w:t xml:space="preserve"> (10%)</w:t>
      </w:r>
    </w:p>
    <w:p w14:paraId="189063CC" w14:textId="77777777" w:rsidR="00036EA7" w:rsidRDefault="00036EA7" w:rsidP="00E91470">
      <w:pPr>
        <w:pStyle w:val="ListParagraph"/>
        <w:numPr>
          <w:ilvl w:val="0"/>
          <w:numId w:val="52"/>
        </w:numPr>
        <w:spacing w:before="120" w:after="120"/>
      </w:pPr>
      <w:r w:rsidRPr="005D58CB">
        <w:t>gemcitabine</w:t>
      </w:r>
      <w:r>
        <w:t xml:space="preserve"> (9%)</w:t>
      </w:r>
    </w:p>
    <w:p w14:paraId="76514E6A" w14:textId="77777777" w:rsidR="00036EA7" w:rsidRPr="005D58CB" w:rsidRDefault="00036EA7" w:rsidP="00E91470">
      <w:pPr>
        <w:pStyle w:val="ListParagraph"/>
        <w:numPr>
          <w:ilvl w:val="0"/>
          <w:numId w:val="52"/>
        </w:numPr>
        <w:spacing w:before="120" w:after="120"/>
      </w:pPr>
      <w:r w:rsidRPr="005D58CB">
        <w:t>paclitaxel</w:t>
      </w:r>
      <w:r>
        <w:t xml:space="preserve"> (8%)</w:t>
      </w:r>
    </w:p>
    <w:p w14:paraId="4175B29A" w14:textId="4AA02EEF" w:rsidR="000C6958" w:rsidRDefault="00036EA7" w:rsidP="00036EA7">
      <w:pPr>
        <w:spacing w:before="120" w:after="120"/>
      </w:pPr>
      <w:r w:rsidRPr="005D58CB" w:rsidDel="00870EC8">
        <w:t xml:space="preserve">According </w:t>
      </w:r>
      <w:r w:rsidRPr="005D58CB">
        <w:t>to NICE CG81 guidelines</w:t>
      </w:r>
      <w:r w:rsidRPr="005D58CB">
        <w:fldChar w:fldCharType="begin"/>
      </w:r>
      <w:r w:rsidR="00CA6345">
        <w:instrText xml:space="preserve"> ADDIN ZOTERO_ITEM CSL_CITATION {"citationID":"LSAFpR94","properties":{"formattedCitation":"\\super 35\\nosupersub{}","plainCitation":"35","noteIndex":0},"citationItems":[{"id":65866,"uris":["http://zotero.org/groups/4797619/items/3AESVSNK"],"itemData":{"id":65866,"type":"webpage","abstract":"This guideline covers care and support for people with advanced (stage 4) breast cancer. It aims to help them and their healthcare professionals make shared","language":"eng","note":"publisher: NICE","title":"Advanced breast cancer: diagnosis and treatment | NICE CG81","title-short":"NICE CG81. Recommendations | Advanced breast cancer","URL":"https://www.nice.org.uk/guidance/cg81/chapter/Recommendations","author":[{"family":"NICE","given":""}],"accessed":{"date-parts":[["2022",10,17]]},"issued":{"date-parts":[["2017"]]}}}],"schema":"https://github.com/citation-style-language/schema/raw/master/csl-citation.json"} </w:instrText>
      </w:r>
      <w:r w:rsidRPr="005D58CB">
        <w:fldChar w:fldCharType="separate"/>
      </w:r>
      <w:r w:rsidR="00FD57F4" w:rsidRPr="00FD57F4">
        <w:rPr>
          <w:rFonts w:cs="Arial"/>
          <w:szCs w:val="24"/>
          <w:vertAlign w:val="superscript"/>
        </w:rPr>
        <w:t>35</w:t>
      </w:r>
      <w:r w:rsidRPr="005D58CB">
        <w:fldChar w:fldCharType="end"/>
      </w:r>
      <w:r w:rsidRPr="005D58CB">
        <w:t>, ESMO 2021 guidelines</w:t>
      </w:r>
      <w:r w:rsidRPr="005D58CB">
        <w:fldChar w:fldCharType="begin"/>
      </w:r>
      <w:r w:rsidR="00CA6345">
        <w:instrText xml:space="preserve"> ADDIN ZOTERO_ITEM CSL_CITATION {"citationID":"YYUMLJfr","properties":{"formattedCitation":"\\super 42\\nosupersub{}","plainCitation":"42","noteIndex":0},"citationItems":[{"id":65955,"uris":["http://zotero.org/groups/4797619/items/4KXA6CCG"],"itemData":{"id":65955,"type":"article-journal","container-title":"Annals of Oncology: Official Journal of the European Society for Medical Oncology","DOI":"10.1016/j.annonc.2021.09.019","ISSN":"1569-8041","issue":"12","journalAbbreviation":"Ann Oncol","language":"eng","note":"PMID: 34678411","page":"1475-1495","source":"PubMed","title":"ESMO Clinical Practice Guideline for the diagnosis, staging and treatment of patients with metastatic breast cancer","volume":"32","author":[{"family":"Gennari","given":"A."},{"family":"André","given":"F."},{"family":"Barrios","given":"C. H."},{"family":"Cortés","given":"J."},{"family":"Azambuja","given":"E.","non-dropping-particle":"de"},{"family":"DeMichele","given":"A."},{"family":"Dent","given":"R."},{"family":"Fenlon","given":"D."},{"family":"Gligorov","given":"J."},{"family":"Hurvitz","given":"S. A."},{"family":"Im","given":"S.-A."},{"family":"Krug","given":"D."},{"family":"Kunz","given":"W. G."},{"family":"Loi","given":"S."},{"family":"Penault-Llorca","given":"F."},{"family":"Ricke","given":"J."},{"family":"Robson","given":"M."},{"family":"Rugo","given":"H. S."},{"family":"Saura","given":"C."},{"family":"Schmid","given":"P."},{"family":"Singer","given":"C. F."},{"family":"Spanic","given":"T."},{"family":"Tolaney","given":"S. M."},{"family":"Turner","given":"N. C."},{"family":"Curigliano","given":"G."},{"family":"Loibl","given":"S."},{"family":"Paluch-Shimon","given":"S."},{"family":"Harbeck","given":"N."},{"literal":"ESMO Guidelines Committee. Electronic address: clinicalguidelines@esmo.org"}],"issued":{"date-parts":[["2021",12]]}}}],"schema":"https://github.com/citation-style-language/schema/raw/master/csl-citation.json"} </w:instrText>
      </w:r>
      <w:r w:rsidRPr="005D58CB">
        <w:fldChar w:fldCharType="separate"/>
      </w:r>
      <w:r w:rsidR="00FD57F4" w:rsidRPr="00FD57F4">
        <w:rPr>
          <w:rFonts w:cs="Arial"/>
          <w:szCs w:val="24"/>
          <w:vertAlign w:val="superscript"/>
        </w:rPr>
        <w:t>42</w:t>
      </w:r>
      <w:r w:rsidRPr="005D58CB">
        <w:fldChar w:fldCharType="end"/>
      </w:r>
      <w:r w:rsidRPr="005D58CB">
        <w:t>, and</w:t>
      </w:r>
      <w:r w:rsidRPr="005D58CB" w:rsidDel="00023901">
        <w:t xml:space="preserve"> </w:t>
      </w:r>
      <w:r w:rsidR="00023901">
        <w:t>feedback</w:t>
      </w:r>
      <w:r w:rsidRPr="005D58CB">
        <w:t xml:space="preserve"> from UK</w:t>
      </w:r>
      <w:r w:rsidR="00EF07CE">
        <w:t xml:space="preserve"> clinical experts</w:t>
      </w:r>
      <w:r w:rsidRPr="005D58CB">
        <w:t>,</w:t>
      </w:r>
      <w:r w:rsidR="0007201B" w:rsidRPr="00054570">
        <w:fldChar w:fldCharType="begin"/>
      </w:r>
      <w:r w:rsidR="00CA6345">
        <w:instrText xml:space="preserve"> ADDIN ZOTERO_ITEM CSL_CITATION {"citationID":"eqN4oTZe","properties":{"formattedCitation":"\\super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0007201B" w:rsidRPr="00054570">
        <w:fldChar w:fldCharType="separate"/>
      </w:r>
      <w:r w:rsidR="00CA6345" w:rsidRPr="00CA6345">
        <w:rPr>
          <w:rFonts w:cs="Arial"/>
          <w:szCs w:val="24"/>
          <w:vertAlign w:val="superscript"/>
        </w:rPr>
        <w:t>121</w:t>
      </w:r>
      <w:r w:rsidR="0007201B" w:rsidRPr="00054570">
        <w:fldChar w:fldCharType="end"/>
      </w:r>
      <w:r w:rsidRPr="005D58CB">
        <w:t xml:space="preserve"> a broad range of non-targeted single-agent chemotherapy </w:t>
      </w:r>
      <w:r w:rsidR="009B2BA6">
        <w:t>agents</w:t>
      </w:r>
      <w:r w:rsidR="009B2BA6" w:rsidRPr="005D58CB">
        <w:t xml:space="preserve"> </w:t>
      </w:r>
      <w:r w:rsidRPr="005D58CB">
        <w:t xml:space="preserve">(e.g., capecitabine, eribulin, paclitaxel) are used in the UK for patients with </w:t>
      </w:r>
      <w:r w:rsidR="0007201B">
        <w:t xml:space="preserve">HER2-negative </w:t>
      </w:r>
      <w:r w:rsidRPr="005D58CB">
        <w:t>u/mBC following prior chemotherapy</w:t>
      </w:r>
      <w:r w:rsidR="00C4378A">
        <w:t xml:space="preserve"> </w:t>
      </w:r>
      <w:r w:rsidR="00F430C2">
        <w:t xml:space="preserve">in the </w:t>
      </w:r>
      <w:r w:rsidR="004B0FA7">
        <w:t xml:space="preserve">adjuvant </w:t>
      </w:r>
      <w:r w:rsidR="00C304BF">
        <w:t xml:space="preserve">(if recurrence occurs within 6 months) </w:t>
      </w:r>
      <w:r w:rsidR="004B0FA7">
        <w:t>or</w:t>
      </w:r>
      <w:r w:rsidR="00F430C2">
        <w:t xml:space="preserve"> metastatic setting</w:t>
      </w:r>
      <w:r w:rsidR="00C4378A">
        <w:t xml:space="preserve"> </w:t>
      </w:r>
      <w:r w:rsidRPr="005D58CB">
        <w:t xml:space="preserve">(see </w:t>
      </w:r>
      <w:r w:rsidRPr="00F710CB">
        <w:rPr>
          <w:b/>
          <w:bCs/>
        </w:rPr>
        <w:t>Section B.1.1.1</w:t>
      </w:r>
      <w:r w:rsidRPr="00D466A9">
        <w:t>).</w:t>
      </w:r>
      <w:r w:rsidRPr="005D58CB">
        <w:t xml:space="preserve"> </w:t>
      </w:r>
      <w:r w:rsidR="004A72FB">
        <w:t xml:space="preserve">In addition, </w:t>
      </w:r>
      <w:r w:rsidR="00D754D4">
        <w:t xml:space="preserve">in </w:t>
      </w:r>
      <w:r w:rsidR="004A72FB">
        <w:t>a</w:t>
      </w:r>
      <w:r w:rsidR="00DB33F4">
        <w:t xml:space="preserve"> published systematic review </w:t>
      </w:r>
      <w:r w:rsidR="004A72FB">
        <w:t xml:space="preserve">of RCTs </w:t>
      </w:r>
      <w:r w:rsidR="004F0006">
        <w:t>of single-agent chemotherapies in anthracycline- and taxane-pretreated advanced BC</w:t>
      </w:r>
      <w:r w:rsidR="00D754D4">
        <w:t>,</w:t>
      </w:r>
      <w:r w:rsidR="004F0006">
        <w:t xml:space="preserve"> </w:t>
      </w:r>
      <w:r w:rsidR="004F0006" w:rsidRPr="00945D1F">
        <w:t>no</w:t>
      </w:r>
      <w:r w:rsidR="004F0006">
        <w:t>ne of the included</w:t>
      </w:r>
      <w:r w:rsidR="004F0006" w:rsidRPr="00945D1F">
        <w:t xml:space="preserve"> RCTs demonstrate</w:t>
      </w:r>
      <w:r w:rsidR="004F0006">
        <w:t>d</w:t>
      </w:r>
      <w:r w:rsidR="004F0006" w:rsidRPr="00945D1F">
        <w:t xml:space="preserve"> a significant OS difference between any of the regimens (capecitabine, gemcitabine, vinorelbine, docetaxel, paclitaxel and paclitaxel protein-bound particles)</w:t>
      </w:r>
      <w:r w:rsidR="008674A2">
        <w:t>,</w:t>
      </w:r>
      <w:r w:rsidR="008639CF">
        <w:t xml:space="preserve"> indicating similar efficacy</w:t>
      </w:r>
      <w:r w:rsidR="009E34B8">
        <w:t xml:space="preserve"> </w:t>
      </w:r>
      <w:r w:rsidR="00C02A15">
        <w:t>across single-agent chemotherapies</w:t>
      </w:r>
      <w:r w:rsidR="004F0006" w:rsidRPr="00945D1F">
        <w:t>.</w:t>
      </w:r>
      <w:r w:rsidR="004F0006" w:rsidRPr="00945D1F">
        <w:fldChar w:fldCharType="begin"/>
      </w:r>
      <w:r w:rsidR="00CA6345">
        <w:instrText xml:space="preserve"> ADDIN ZOTERO_ITEM CSL_CITATION {"citationID":"cr7jVgCS","properties":{"formattedCitation":"\\super 118\\nosupersub{}","plainCitation":"118","noteIndex":0},"citationItems":[{"id":66343,"uris":["http://zotero.org/groups/4797619/items/IB6926PV"],"itemData":{"id":66343,"type":"article-journal","abstract":"INTRODUCTION: Currently available evidence does not provide definitive guidance regarding the optimal chemotherapy agents and combinations in anthracycline- and taxane-pretreated advanced breast cancer. We performed a systematic review of controlled clinical trials of the cytotoxic agents currently used for this population in Europe: capecitabine, gemcitabine, vinorelbine, docetaxel, paclitaxel and paclitaxel protein-bound particles.\nMETHOD: A systematic review of randomised (RCT) and non-randomised controlled clinical trials (non-RCTs). The primary outcomes of interest were overall survival (OS) and progression-free survival (PFS); secondary outcomes were duration of response (DR), overall response rate (ORR), adverse events and quality of life (QoL). Six electronic databases and grey literature sources were searched; reference tracking was performed on included publications. A narrative synthesis was conducted: heterogeneity of study design and interventions prevented meta-analysis.\nRESULTS: No randomised controlled trial (RCT) found any significant differences between any of the regimens in terms of OS. In terms of PFS, only gemcitabine plus vinorelbine performed significantly better than its comparator, vinorelbine alone. For secondary outcomes, only capecitabine plus bevacizumab had a significantly better outcome than its comparator, capecitabine alone, in terms of ORR. A low quality non-RCT found that both capecitabine monotherapy and a combination of capecitabine plus vinorelbine were significantly more effective than vinorelbine alone in terms of OS and ORR. Across all trials, median OS for these patients typically remained less than 16 months.\nCONCLUSION: The quantity and quality of the available evidence regarding the efficacy of the particular chemotherapy regimens in patients with advanced breast cancer pretreated with an anthracycline and a taxane is extremely limited. New effective therapies are sorely needed in this population.","container-title":"European Journal of Cancer (Oxford, England: 1990)","DOI":"10.1016/j.ejca.2009.05.035","ISSN":"1879-0852","issue":"16","journalAbbreviation":"Eur J Cancer","language":"eng","note":"PMID: 19615886","page":"2749-2758","source":"PubMed","title":"The clinical efficacy of cytotoxic agents in locally advanced or metastatic breast cancer patients pretreated with an anthracycline and a taxane: a systematic review","title-short":"The clinical efficacy of cytotoxic agents in locally advanced or metastatic breast cancer patients pretreated with an anthracycline and a taxane","volume":"45","author":[{"family":"Jassem","given":"Jacek"},{"family":"Carroll","given":"Christopher"},{"family":"Ward","given":"Sue E."},{"family":"Simpson","given":"Emma"},{"family":"Hind","given":"Daniel"}],"issued":{"date-parts":[["2009",11]]}}}],"schema":"https://github.com/citation-style-language/schema/raw/master/csl-citation.json"} </w:instrText>
      </w:r>
      <w:r w:rsidR="004F0006" w:rsidRPr="00945D1F">
        <w:fldChar w:fldCharType="separate"/>
      </w:r>
      <w:r w:rsidR="00CA6345" w:rsidRPr="00CA6345">
        <w:rPr>
          <w:rFonts w:cs="Arial"/>
          <w:szCs w:val="24"/>
          <w:vertAlign w:val="superscript"/>
        </w:rPr>
        <w:t>118</w:t>
      </w:r>
      <w:r w:rsidR="004F0006" w:rsidRPr="00945D1F">
        <w:fldChar w:fldCharType="end"/>
      </w:r>
      <w:r w:rsidR="004F0006" w:rsidRPr="00945D1F">
        <w:t xml:space="preserve"> </w:t>
      </w:r>
      <w:r w:rsidR="001E5D4C">
        <w:t>In line with this, UK</w:t>
      </w:r>
      <w:r w:rsidR="00DB33F4">
        <w:t xml:space="preserve"> c</w:t>
      </w:r>
      <w:r w:rsidRPr="00C8102D">
        <w:t xml:space="preserve">linical experts confirmed </w:t>
      </w:r>
      <w:r w:rsidR="007E4ACC">
        <w:t xml:space="preserve">that </w:t>
      </w:r>
      <w:r w:rsidR="00DB0959" w:rsidRPr="00054570">
        <w:t>non-targeted</w:t>
      </w:r>
      <w:r w:rsidR="00F567E8">
        <w:t xml:space="preserve"> single-agent</w:t>
      </w:r>
      <w:r w:rsidR="00DB0959" w:rsidRPr="00054570">
        <w:t xml:space="preserve"> chemotherapies </w:t>
      </w:r>
      <w:r w:rsidR="007E4ACC">
        <w:t xml:space="preserve">have </w:t>
      </w:r>
      <w:r w:rsidR="00DB0959">
        <w:t>similar</w:t>
      </w:r>
      <w:r w:rsidR="00DB0959" w:rsidRPr="00054570">
        <w:t xml:space="preserve"> </w:t>
      </w:r>
      <w:r w:rsidR="007E4ACC">
        <w:t xml:space="preserve">efficacy </w:t>
      </w:r>
      <w:r w:rsidR="00C263CC">
        <w:t>in this setting</w:t>
      </w:r>
      <w:r w:rsidR="00A80DB2">
        <w:t xml:space="preserve"> and that</w:t>
      </w:r>
      <w:r w:rsidRPr="00C8102D">
        <w:t xml:space="preserve"> t</w:t>
      </w:r>
      <w:r>
        <w:t>he</w:t>
      </w:r>
      <w:r w:rsidRPr="00C8102D">
        <w:t xml:space="preserve"> </w:t>
      </w:r>
      <w:r w:rsidR="007E4ACC">
        <w:t>TPC</w:t>
      </w:r>
      <w:r w:rsidR="007E4ACC" w:rsidRPr="00C8102D">
        <w:t xml:space="preserve"> </w:t>
      </w:r>
      <w:r w:rsidRPr="00C8102D">
        <w:t xml:space="preserve">arm </w:t>
      </w:r>
      <w:r w:rsidR="00B23834">
        <w:t>of DESTINY-Breast04</w:t>
      </w:r>
      <w:r w:rsidRPr="00C8102D">
        <w:t xml:space="preserve"> is reflective of the range of options used in </w:t>
      </w:r>
      <w:r w:rsidR="007E4ACC">
        <w:t>the UK</w:t>
      </w:r>
      <w:r w:rsidRPr="00C8102D">
        <w:t xml:space="preserve">, where choice of chemotherapy </w:t>
      </w:r>
      <w:r w:rsidR="005E49DC">
        <w:t>agent</w:t>
      </w:r>
      <w:r w:rsidRPr="00C8102D">
        <w:t xml:space="preserve"> is based on clinician preference as well as patient-specific needs and preference.</w:t>
      </w:r>
      <w:r>
        <w:fldChar w:fldCharType="begin"/>
      </w:r>
      <w:r w:rsidR="00CA6345">
        <w:instrText xml:space="preserve"> ADDIN ZOTERO_ITEM CSL_CITATION {"citationID":"x9eh2nX0","properties":{"formattedCitation":"\\super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fldChar w:fldCharType="separate"/>
      </w:r>
      <w:r w:rsidR="00CA6345" w:rsidRPr="00CA6345">
        <w:rPr>
          <w:rFonts w:cs="Arial"/>
          <w:szCs w:val="24"/>
          <w:vertAlign w:val="superscript"/>
        </w:rPr>
        <w:t>121</w:t>
      </w:r>
      <w:r>
        <w:fldChar w:fldCharType="end"/>
      </w:r>
      <w:r>
        <w:t xml:space="preserve"> </w:t>
      </w:r>
      <w:r w:rsidR="000C6958">
        <w:t xml:space="preserve">Therefore, </w:t>
      </w:r>
      <w:r w:rsidR="00AD1FAB">
        <w:t xml:space="preserve">UK </w:t>
      </w:r>
      <w:r w:rsidR="000C6958">
        <w:t>clinical and HEOR experts</w:t>
      </w:r>
      <w:r w:rsidR="00AD1FAB">
        <w:t xml:space="preserve"> (including ex-NICE Committee and EAG members)</w:t>
      </w:r>
      <w:r w:rsidR="000C6958">
        <w:t xml:space="preserve"> agreed that, for decision-making, TPC is the relevant comparator in this appraisal</w:t>
      </w:r>
      <w:r w:rsidR="000C6958" w:rsidDel="00B90ACF">
        <w:t xml:space="preserve"> and that </w:t>
      </w:r>
      <w:r w:rsidR="000C6958">
        <w:t xml:space="preserve">the </w:t>
      </w:r>
      <w:r w:rsidR="000C6958" w:rsidRPr="00054570">
        <w:t xml:space="preserve">comparators listed in the final </w:t>
      </w:r>
      <w:r w:rsidR="00AD1FAB">
        <w:t xml:space="preserve">NICE </w:t>
      </w:r>
      <w:r w:rsidR="000C6958" w:rsidRPr="00054570">
        <w:t>scope</w:t>
      </w:r>
      <w:r w:rsidR="000C6958">
        <w:t xml:space="preserve"> </w:t>
      </w:r>
      <w:r w:rsidR="000C6958" w:rsidRPr="00054570">
        <w:t>are well represented in the TPC arm of DESTINY-Breast04</w:t>
      </w:r>
      <w:r w:rsidR="000C6958">
        <w:t>.</w:t>
      </w:r>
      <w:r w:rsidR="000C6958" w:rsidRPr="00054570">
        <w:fldChar w:fldCharType="begin"/>
      </w:r>
      <w:r w:rsidR="00CA6345">
        <w:instrText xml:space="preserve"> ADDIN ZOTERO_ITEM CSL_CITATION {"citationID":"Cqpkyt0a","properties":{"formattedCitation":"\\super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000C6958" w:rsidRPr="00054570">
        <w:fldChar w:fldCharType="separate"/>
      </w:r>
      <w:r w:rsidR="00CA6345" w:rsidRPr="00CA6345">
        <w:rPr>
          <w:rFonts w:cs="Arial"/>
          <w:szCs w:val="24"/>
          <w:vertAlign w:val="superscript"/>
        </w:rPr>
        <w:t>121</w:t>
      </w:r>
      <w:r w:rsidR="000C6958" w:rsidRPr="00054570">
        <w:fldChar w:fldCharType="end"/>
      </w:r>
      <w:r w:rsidR="000C6958">
        <w:t xml:space="preserve"> </w:t>
      </w:r>
      <w:r w:rsidRPr="005D58CB">
        <w:t>Please refer to</w:t>
      </w:r>
      <w:r w:rsidR="00424787" w:rsidRPr="00424787">
        <w:rPr>
          <w:b/>
        </w:rPr>
        <w:t xml:space="preserve"> </w:t>
      </w:r>
      <w:r w:rsidR="00424787" w:rsidRPr="003C648C">
        <w:rPr>
          <w:b/>
        </w:rPr>
        <w:t xml:space="preserve">Section </w:t>
      </w:r>
      <w:r w:rsidR="00424787">
        <w:rPr>
          <w:b/>
        </w:rPr>
        <w:fldChar w:fldCharType="begin"/>
      </w:r>
      <w:r w:rsidR="00424787">
        <w:rPr>
          <w:b/>
        </w:rPr>
        <w:instrText xml:space="preserve"> REF _Ref126932847 \n \h </w:instrText>
      </w:r>
      <w:r w:rsidR="00424787">
        <w:rPr>
          <w:b/>
        </w:rPr>
      </w:r>
      <w:r w:rsidR="00424787">
        <w:rPr>
          <w:b/>
        </w:rPr>
        <w:fldChar w:fldCharType="separate"/>
      </w:r>
      <w:r w:rsidR="00145F42">
        <w:rPr>
          <w:b/>
        </w:rPr>
        <w:t>B.1.1</w:t>
      </w:r>
      <w:r w:rsidR="00424787">
        <w:rPr>
          <w:b/>
        </w:rPr>
        <w:fldChar w:fldCharType="end"/>
      </w:r>
      <w:r w:rsidR="00914B98">
        <w:t xml:space="preserve"> </w:t>
      </w:r>
      <w:r w:rsidRPr="005D58CB">
        <w:t>for further information.</w:t>
      </w:r>
    </w:p>
    <w:p w14:paraId="525FA264" w14:textId="77777777" w:rsidR="00670187" w:rsidRPr="00B51087" w:rsidRDefault="00670187" w:rsidP="00670187">
      <w:pPr>
        <w:pStyle w:val="Heading2"/>
      </w:pPr>
      <w:bookmarkStart w:id="425" w:name="_Toc98924663"/>
      <w:bookmarkStart w:id="426" w:name="_Toc127006440"/>
      <w:bookmarkStart w:id="427" w:name="_Toc129350887"/>
      <w:r w:rsidRPr="00B51087">
        <w:t>Clinical parameters and variables</w:t>
      </w:r>
      <w:bookmarkEnd w:id="425"/>
      <w:bookmarkEnd w:id="426"/>
      <w:bookmarkEnd w:id="427"/>
    </w:p>
    <w:p w14:paraId="39E5AF92" w14:textId="43274F2A" w:rsidR="00670187" w:rsidRPr="00B51087" w:rsidRDefault="00670187" w:rsidP="00670187">
      <w:pPr>
        <w:pStyle w:val="Body"/>
      </w:pPr>
      <w:r w:rsidRPr="00B51087">
        <w:t xml:space="preserve">The principal source of data used to inform the </w:t>
      </w:r>
      <w:r w:rsidR="00786BED">
        <w:t>CEA</w:t>
      </w:r>
      <w:r w:rsidRPr="00B51087">
        <w:t xml:space="preserve"> is the </w:t>
      </w:r>
      <w:r w:rsidRPr="00CA5B79">
        <w:t>pivotal DESTINY-Breast04 trial</w:t>
      </w:r>
      <w:r w:rsidRPr="00B51087">
        <w:t>.</w:t>
      </w:r>
      <w:r>
        <w:t xml:space="preserve"> </w:t>
      </w:r>
      <w:r w:rsidRPr="00B51087">
        <w:t>These data comprise the key evidence base concerning the use of T-DXd as a treatment for patients with HER2</w:t>
      </w:r>
      <w:r w:rsidRPr="005D58CB">
        <w:t>-low</w:t>
      </w:r>
      <w:r w:rsidRPr="00B51087">
        <w:t xml:space="preserve"> u/mBC </w:t>
      </w:r>
      <w:r w:rsidRPr="005D58CB">
        <w:t>previously treated with chemotherapy</w:t>
      </w:r>
      <w:r w:rsidRPr="00B51087">
        <w:t xml:space="preserve">. </w:t>
      </w:r>
      <w:r>
        <w:t xml:space="preserve">HEOR and clinical experts considered the trial </w:t>
      </w:r>
      <w:r w:rsidR="00115EAC">
        <w:t xml:space="preserve">to be well-deigned and robust, </w:t>
      </w:r>
      <w:r>
        <w:t>and outcomes generalisable to UK practice.</w:t>
      </w:r>
      <w:r w:rsidRPr="00054570">
        <w:fldChar w:fldCharType="begin"/>
      </w:r>
      <w:r w:rsidR="00CA6345">
        <w:instrText xml:space="preserve"> ADDIN ZOTERO_ITEM CSL_CITATION {"citationID":"YXfIX037","properties":{"formattedCitation":"\\super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Pr="00054570">
        <w:fldChar w:fldCharType="separate"/>
      </w:r>
      <w:r w:rsidR="00CA6345" w:rsidRPr="00CA6345">
        <w:rPr>
          <w:rFonts w:cs="Arial"/>
          <w:szCs w:val="24"/>
          <w:vertAlign w:val="superscript"/>
        </w:rPr>
        <w:t>121</w:t>
      </w:r>
      <w:r w:rsidRPr="00054570">
        <w:fldChar w:fldCharType="end"/>
      </w:r>
      <w:r w:rsidRPr="00293ECD">
        <w:t xml:space="preserve"> </w:t>
      </w:r>
      <w:r w:rsidRPr="00B51087">
        <w:t xml:space="preserve">Clinical data for the following inputs/endpoints/events are used to inform the estimation of costs and </w:t>
      </w:r>
      <w:r w:rsidRPr="005D58CB">
        <w:t xml:space="preserve">outcomes </w:t>
      </w:r>
      <w:r w:rsidRPr="00B51087">
        <w:t xml:space="preserve">within the model: </w:t>
      </w:r>
    </w:p>
    <w:p w14:paraId="3B8D3454" w14:textId="626DD88C" w:rsidR="00670187" w:rsidRPr="00B51087" w:rsidRDefault="00670187" w:rsidP="00E91470">
      <w:pPr>
        <w:pStyle w:val="Body"/>
        <w:numPr>
          <w:ilvl w:val="0"/>
          <w:numId w:val="54"/>
        </w:numPr>
      </w:pPr>
      <w:r w:rsidRPr="00B51087">
        <w:t>Baseline characteristics (</w:t>
      </w:r>
      <w:r w:rsidRPr="003C648C">
        <w:rPr>
          <w:b/>
        </w:rPr>
        <w:t xml:space="preserve">Section </w:t>
      </w:r>
      <w:r w:rsidRPr="003C648C">
        <w:rPr>
          <w:b/>
        </w:rPr>
        <w:fldChar w:fldCharType="begin"/>
      </w:r>
      <w:r w:rsidRPr="003C648C">
        <w:rPr>
          <w:b/>
        </w:rPr>
        <w:instrText xml:space="preserve"> REF _Ref99727457 \r \h  \* MERGEFORMAT </w:instrText>
      </w:r>
      <w:r w:rsidRPr="003C648C">
        <w:rPr>
          <w:b/>
        </w:rPr>
      </w:r>
      <w:r w:rsidRPr="003C648C">
        <w:rPr>
          <w:b/>
        </w:rPr>
        <w:fldChar w:fldCharType="separate"/>
      </w:r>
      <w:r w:rsidR="00145F42">
        <w:rPr>
          <w:b/>
        </w:rPr>
        <w:t>B.3.3.1</w:t>
      </w:r>
      <w:r w:rsidRPr="003C648C">
        <w:rPr>
          <w:b/>
        </w:rPr>
        <w:fldChar w:fldCharType="end"/>
      </w:r>
      <w:r w:rsidRPr="00B51087">
        <w:t>)</w:t>
      </w:r>
    </w:p>
    <w:p w14:paraId="331D4E83" w14:textId="0660AC87" w:rsidR="00670187" w:rsidRPr="00B51087" w:rsidRDefault="00670187" w:rsidP="00E91470">
      <w:pPr>
        <w:pStyle w:val="Body"/>
        <w:numPr>
          <w:ilvl w:val="0"/>
          <w:numId w:val="54"/>
        </w:numPr>
      </w:pPr>
      <w:r w:rsidRPr="00B51087">
        <w:t>Efficacy (</w:t>
      </w:r>
      <w:r w:rsidRPr="003C648C">
        <w:rPr>
          <w:b/>
        </w:rPr>
        <w:t xml:space="preserve">Section </w:t>
      </w:r>
      <w:r w:rsidRPr="003C648C">
        <w:rPr>
          <w:b/>
        </w:rPr>
        <w:fldChar w:fldCharType="begin"/>
      </w:r>
      <w:r w:rsidRPr="003C648C">
        <w:rPr>
          <w:b/>
        </w:rPr>
        <w:instrText xml:space="preserve"> REF _Ref99727468 \r \h  \* MERGEFORMAT </w:instrText>
      </w:r>
      <w:r w:rsidRPr="003C648C">
        <w:rPr>
          <w:b/>
        </w:rPr>
      </w:r>
      <w:r w:rsidRPr="003C648C">
        <w:rPr>
          <w:b/>
        </w:rPr>
        <w:fldChar w:fldCharType="separate"/>
      </w:r>
      <w:r w:rsidR="00145F42">
        <w:rPr>
          <w:b/>
        </w:rPr>
        <w:t>B.3.3.2</w:t>
      </w:r>
      <w:r w:rsidRPr="003C648C">
        <w:rPr>
          <w:b/>
        </w:rPr>
        <w:fldChar w:fldCharType="end"/>
      </w:r>
      <w:r w:rsidRPr="00B51087">
        <w:t>)</w:t>
      </w:r>
    </w:p>
    <w:p w14:paraId="0659C2D2" w14:textId="77777777" w:rsidR="00670187" w:rsidRPr="00B51087" w:rsidRDefault="00670187" w:rsidP="00E91470">
      <w:pPr>
        <w:pStyle w:val="Body"/>
        <w:numPr>
          <w:ilvl w:val="1"/>
          <w:numId w:val="54"/>
        </w:numPr>
        <w:spacing w:after="0"/>
      </w:pPr>
      <w:r w:rsidRPr="00B51087">
        <w:t>OS</w:t>
      </w:r>
    </w:p>
    <w:p w14:paraId="3C93B3DA" w14:textId="77777777" w:rsidR="00670187" w:rsidRPr="00B51087" w:rsidRDefault="00670187" w:rsidP="00E91470">
      <w:pPr>
        <w:pStyle w:val="Body"/>
        <w:numPr>
          <w:ilvl w:val="1"/>
          <w:numId w:val="54"/>
        </w:numPr>
        <w:spacing w:after="0"/>
      </w:pPr>
      <w:r w:rsidRPr="00B51087">
        <w:t>PFS</w:t>
      </w:r>
    </w:p>
    <w:p w14:paraId="09678991" w14:textId="77777777" w:rsidR="00670187" w:rsidRPr="00B51087" w:rsidRDefault="00670187" w:rsidP="00E91470">
      <w:pPr>
        <w:pStyle w:val="Body"/>
        <w:numPr>
          <w:ilvl w:val="1"/>
          <w:numId w:val="54"/>
        </w:numPr>
      </w:pPr>
      <w:r w:rsidRPr="00B51087">
        <w:t>TTD</w:t>
      </w:r>
    </w:p>
    <w:p w14:paraId="64152B35" w14:textId="6336CF45" w:rsidR="00670187" w:rsidRDefault="00670187" w:rsidP="00E91470">
      <w:pPr>
        <w:pStyle w:val="Body"/>
        <w:numPr>
          <w:ilvl w:val="0"/>
          <w:numId w:val="54"/>
        </w:numPr>
      </w:pPr>
      <w:r>
        <w:lastRenderedPageBreak/>
        <w:t>Safety (</w:t>
      </w:r>
      <w:r w:rsidRPr="003C648C">
        <w:rPr>
          <w:b/>
        </w:rPr>
        <w:t xml:space="preserve">Section </w:t>
      </w:r>
      <w:r w:rsidRPr="003C648C">
        <w:rPr>
          <w:b/>
        </w:rPr>
        <w:fldChar w:fldCharType="begin"/>
      </w:r>
      <w:r w:rsidRPr="003C648C">
        <w:rPr>
          <w:b/>
        </w:rPr>
        <w:instrText xml:space="preserve"> REF _Ref99727479 \r \h  \* MERGEFORMAT </w:instrText>
      </w:r>
      <w:r w:rsidRPr="003C648C">
        <w:rPr>
          <w:b/>
        </w:rPr>
      </w:r>
      <w:r w:rsidRPr="003C648C">
        <w:rPr>
          <w:b/>
        </w:rPr>
        <w:fldChar w:fldCharType="separate"/>
      </w:r>
      <w:r w:rsidR="00145F42">
        <w:rPr>
          <w:b/>
        </w:rPr>
        <w:t>B.3.3.2.3</w:t>
      </w:r>
      <w:r w:rsidRPr="003C648C">
        <w:rPr>
          <w:b/>
        </w:rPr>
        <w:fldChar w:fldCharType="end"/>
      </w:r>
      <w:r>
        <w:t>)</w:t>
      </w:r>
    </w:p>
    <w:p w14:paraId="1B277E8D" w14:textId="77777777" w:rsidR="00670187" w:rsidRPr="00AF711B" w:rsidRDefault="00670187" w:rsidP="00670187">
      <w:pPr>
        <w:pStyle w:val="Heading3"/>
      </w:pPr>
      <w:bookmarkStart w:id="428" w:name="_Toc98924664"/>
      <w:bookmarkStart w:id="429" w:name="_Ref99727457"/>
      <w:bookmarkStart w:id="430" w:name="_Ref99727949"/>
      <w:bookmarkStart w:id="431" w:name="_Ref99729151"/>
      <w:bookmarkStart w:id="432" w:name="_Ref99729159"/>
      <w:bookmarkStart w:id="433" w:name="_Ref126857025"/>
      <w:bookmarkStart w:id="434" w:name="_Toc127006441"/>
      <w:bookmarkStart w:id="435" w:name="_Toc129350888"/>
      <w:r w:rsidRPr="00AF711B">
        <w:t>Baseline patient characteristics</w:t>
      </w:r>
      <w:bookmarkEnd w:id="428"/>
      <w:bookmarkEnd w:id="429"/>
      <w:bookmarkEnd w:id="430"/>
      <w:bookmarkEnd w:id="431"/>
      <w:bookmarkEnd w:id="432"/>
      <w:bookmarkEnd w:id="433"/>
      <w:bookmarkEnd w:id="434"/>
      <w:bookmarkEnd w:id="435"/>
    </w:p>
    <w:p w14:paraId="552EA915" w14:textId="295FD424" w:rsidR="00670187" w:rsidRDefault="00670187" w:rsidP="00670187">
      <w:pPr>
        <w:pStyle w:val="Body"/>
      </w:pPr>
      <w:r>
        <w:t xml:space="preserve">The baseline patient characteristics used to inform the </w:t>
      </w:r>
      <w:r w:rsidR="00786BED">
        <w:t>CEA</w:t>
      </w:r>
      <w:r>
        <w:t xml:space="preserve"> are presented in </w:t>
      </w:r>
      <w:r w:rsidRPr="003C648C">
        <w:rPr>
          <w:b/>
        </w:rPr>
        <w:fldChar w:fldCharType="begin"/>
      </w:r>
      <w:r w:rsidRPr="003C648C">
        <w:rPr>
          <w:b/>
        </w:rPr>
        <w:instrText xml:space="preserve"> REF _Ref96104090 \h  \* MERGEFORMAT </w:instrText>
      </w:r>
      <w:r w:rsidRPr="003C648C">
        <w:rPr>
          <w:b/>
        </w:rPr>
      </w:r>
      <w:r w:rsidRPr="003C648C">
        <w:rPr>
          <w:b/>
        </w:rPr>
        <w:fldChar w:fldCharType="separate"/>
      </w:r>
      <w:r w:rsidR="00145F42" w:rsidRPr="00145F42">
        <w:rPr>
          <w:b/>
        </w:rPr>
        <w:t>Table 34</w:t>
      </w:r>
      <w:r w:rsidRPr="003C648C">
        <w:rPr>
          <w:b/>
        </w:rPr>
        <w:fldChar w:fldCharType="end"/>
      </w:r>
      <w:r w:rsidRPr="009C2B41">
        <w:t>.</w:t>
      </w:r>
      <w:r>
        <w:t xml:space="preserve"> A more detailed summary of</w:t>
      </w:r>
      <w:r w:rsidDel="00B67074">
        <w:t xml:space="preserve"> </w:t>
      </w:r>
      <w:r>
        <w:t xml:space="preserve">baseline patient demographics is provided </w:t>
      </w:r>
      <w:r w:rsidR="00C8067A">
        <w:t xml:space="preserve">in </w:t>
      </w:r>
      <w:r w:rsidR="007C383A" w:rsidRPr="003C648C">
        <w:rPr>
          <w:b/>
        </w:rPr>
        <w:t xml:space="preserve">Section </w:t>
      </w:r>
      <w:r w:rsidR="00914B98" w:rsidRPr="003C648C">
        <w:rPr>
          <w:b/>
          <w:bCs/>
        </w:rPr>
        <w:fldChar w:fldCharType="begin"/>
      </w:r>
      <w:r w:rsidR="00914B98" w:rsidRPr="003C648C">
        <w:rPr>
          <w:b/>
          <w:bCs/>
        </w:rPr>
        <w:instrText xml:space="preserve"> REF _Ref127007557 \r \h </w:instrText>
      </w:r>
      <w:r w:rsidR="00C8067A">
        <w:rPr>
          <w:b/>
          <w:bCs/>
        </w:rPr>
        <w:instrText xml:space="preserve"> \* MERGEFORMAT </w:instrText>
      </w:r>
      <w:r w:rsidR="00914B98" w:rsidRPr="003C648C">
        <w:rPr>
          <w:b/>
          <w:bCs/>
        </w:rPr>
      </w:r>
      <w:r w:rsidR="00914B98" w:rsidRPr="003C648C">
        <w:rPr>
          <w:b/>
          <w:bCs/>
        </w:rPr>
        <w:fldChar w:fldCharType="separate"/>
      </w:r>
      <w:r w:rsidR="00145F42">
        <w:rPr>
          <w:b/>
          <w:bCs/>
        </w:rPr>
        <w:t>B.2.4.4</w:t>
      </w:r>
      <w:r w:rsidR="00914B98" w:rsidRPr="003C648C">
        <w:rPr>
          <w:b/>
          <w:bCs/>
        </w:rPr>
        <w:fldChar w:fldCharType="end"/>
      </w:r>
      <w:r>
        <w:t xml:space="preserve">. </w:t>
      </w:r>
      <w:r w:rsidRPr="00BF1CDA">
        <w:t>The baseline characteristics were considered generalisable to the UK population by UK clinical experts.</w:t>
      </w:r>
      <w:r w:rsidRPr="00054570">
        <w:fldChar w:fldCharType="begin"/>
      </w:r>
      <w:r w:rsidR="00CA6345">
        <w:instrText xml:space="preserve"> ADDIN ZOTERO_ITEM CSL_CITATION {"citationID":"6EodzhfE","properties":{"formattedCitation":"\\super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Pr="00054570">
        <w:fldChar w:fldCharType="separate"/>
      </w:r>
      <w:r w:rsidR="00CA6345" w:rsidRPr="00CA6345">
        <w:rPr>
          <w:rFonts w:cs="Arial"/>
          <w:szCs w:val="24"/>
          <w:vertAlign w:val="superscript"/>
        </w:rPr>
        <w:t>121</w:t>
      </w:r>
      <w:r w:rsidRPr="00054570">
        <w:fldChar w:fldCharType="end"/>
      </w:r>
      <w:r w:rsidRPr="00293ECD">
        <w:t xml:space="preserve"> </w:t>
      </w:r>
    </w:p>
    <w:p w14:paraId="7A197DDE" w14:textId="2FA19FCC" w:rsidR="00670187" w:rsidRDefault="00670187" w:rsidP="00670187">
      <w:pPr>
        <w:pStyle w:val="Caption"/>
      </w:pPr>
      <w:bookmarkStart w:id="436" w:name="_Ref96104090"/>
      <w:bookmarkStart w:id="437" w:name="_Toc98924743"/>
      <w:bookmarkStart w:id="438" w:name="_Toc129351009"/>
      <w:bookmarkStart w:id="439" w:name="_Toc127006664"/>
      <w:r>
        <w:t xml:space="preserve">Table </w:t>
      </w:r>
      <w:r>
        <w:fldChar w:fldCharType="begin"/>
      </w:r>
      <w:r>
        <w:instrText>SEQ Table \* ARABIC</w:instrText>
      </w:r>
      <w:r>
        <w:fldChar w:fldCharType="separate"/>
      </w:r>
      <w:r w:rsidR="00145F42">
        <w:rPr>
          <w:noProof/>
        </w:rPr>
        <w:t>34</w:t>
      </w:r>
      <w:r>
        <w:fldChar w:fldCharType="end"/>
      </w:r>
      <w:bookmarkEnd w:id="436"/>
      <w:r>
        <w:t xml:space="preserve">: Baseline patients characteristics informing the economic </w:t>
      </w:r>
      <w:bookmarkEnd w:id="437"/>
      <w:r>
        <w:t xml:space="preserve">model </w:t>
      </w:r>
      <w:r w:rsidRPr="00EE409D">
        <w:t>| FAS</w:t>
      </w:r>
      <w:bookmarkEnd w:id="438"/>
      <w:r>
        <w:t xml:space="preserve"> </w:t>
      </w:r>
      <w:bookmarkEnd w:id="439"/>
    </w:p>
    <w:tbl>
      <w:tblPr>
        <w:tblStyle w:val="TableGridLight"/>
        <w:tblW w:w="8926" w:type="dxa"/>
        <w:tblLayout w:type="fixed"/>
        <w:tblLook w:val="04A0" w:firstRow="1" w:lastRow="0" w:firstColumn="1" w:lastColumn="0" w:noHBand="0" w:noVBand="1"/>
      </w:tblPr>
      <w:tblGrid>
        <w:gridCol w:w="2122"/>
        <w:gridCol w:w="1984"/>
        <w:gridCol w:w="1276"/>
        <w:gridCol w:w="3544"/>
      </w:tblGrid>
      <w:tr w:rsidR="00670187" w14:paraId="30ED0196" w14:textId="77777777" w:rsidTr="003C648C">
        <w:trPr>
          <w:cnfStyle w:val="100000000000" w:firstRow="1" w:lastRow="0" w:firstColumn="0" w:lastColumn="0" w:oddVBand="0" w:evenVBand="0" w:oddHBand="0" w:evenHBand="0" w:firstRowFirstColumn="0" w:firstRowLastColumn="0" w:lastRowFirstColumn="0" w:lastRowLastColumn="0"/>
        </w:trPr>
        <w:tc>
          <w:tcPr>
            <w:tcW w:w="0" w:type="dxa"/>
            <w:shd w:val="clear" w:color="auto" w:fill="F2F2F2" w:themeFill="background1" w:themeFillShade="F2"/>
            <w:vAlign w:val="center"/>
          </w:tcPr>
          <w:p w14:paraId="3EFE956D" w14:textId="77777777" w:rsidR="00670187" w:rsidRPr="00A640CD" w:rsidRDefault="00670187" w:rsidP="003C648C">
            <w:pPr>
              <w:pStyle w:val="TableText0"/>
            </w:pPr>
            <w:r w:rsidRPr="003C648C">
              <w:rPr>
                <w:rFonts w:eastAsiaTheme="minorHAnsi"/>
                <w:b w:val="0"/>
                <w:color w:val="auto"/>
              </w:rPr>
              <w:t>Characteristic</w:t>
            </w:r>
          </w:p>
        </w:tc>
        <w:tc>
          <w:tcPr>
            <w:tcW w:w="0" w:type="dxa"/>
            <w:shd w:val="clear" w:color="auto" w:fill="F2F2F2" w:themeFill="background1" w:themeFillShade="F2"/>
            <w:vAlign w:val="center"/>
          </w:tcPr>
          <w:p w14:paraId="47B7401A" w14:textId="77777777" w:rsidR="00670187" w:rsidRPr="00A640CD" w:rsidRDefault="00670187" w:rsidP="003C648C">
            <w:pPr>
              <w:pStyle w:val="TableText0"/>
            </w:pPr>
            <w:r w:rsidRPr="003C648C">
              <w:rPr>
                <w:rFonts w:eastAsiaTheme="minorHAnsi"/>
                <w:b w:val="0"/>
                <w:color w:val="auto"/>
              </w:rPr>
              <w:t>Value</w:t>
            </w:r>
            <w:r>
              <w:rPr>
                <w:bCs/>
              </w:rPr>
              <w:t xml:space="preserve"> (SD)</w:t>
            </w:r>
          </w:p>
        </w:tc>
        <w:tc>
          <w:tcPr>
            <w:tcW w:w="0" w:type="dxa"/>
            <w:shd w:val="clear" w:color="auto" w:fill="F2F2F2" w:themeFill="background1" w:themeFillShade="F2"/>
            <w:vAlign w:val="center"/>
          </w:tcPr>
          <w:p w14:paraId="5C23068D" w14:textId="77777777" w:rsidR="00670187" w:rsidRPr="00A640CD" w:rsidRDefault="00670187" w:rsidP="003C648C">
            <w:pPr>
              <w:pStyle w:val="TableText0"/>
            </w:pPr>
            <w:r w:rsidRPr="003C648C">
              <w:rPr>
                <w:rFonts w:eastAsiaTheme="minorHAnsi"/>
                <w:b w:val="0"/>
                <w:color w:val="auto"/>
              </w:rPr>
              <w:t>Source</w:t>
            </w:r>
          </w:p>
        </w:tc>
        <w:tc>
          <w:tcPr>
            <w:tcW w:w="0" w:type="dxa"/>
            <w:shd w:val="clear" w:color="auto" w:fill="F2F2F2" w:themeFill="background1" w:themeFillShade="F2"/>
            <w:vAlign w:val="center"/>
          </w:tcPr>
          <w:p w14:paraId="46BF38A6" w14:textId="77777777" w:rsidR="00670187" w:rsidRPr="00A640CD" w:rsidRDefault="00670187" w:rsidP="003C648C">
            <w:pPr>
              <w:pStyle w:val="TableText0"/>
            </w:pPr>
            <w:r w:rsidRPr="003C648C">
              <w:rPr>
                <w:rFonts w:eastAsiaTheme="minorHAnsi"/>
                <w:b w:val="0"/>
                <w:color w:val="auto"/>
              </w:rPr>
              <w:t>Use in model</w:t>
            </w:r>
          </w:p>
        </w:tc>
      </w:tr>
      <w:tr w:rsidR="00670187" w:rsidRPr="00B51087" w14:paraId="3A06FBB9" w14:textId="77777777">
        <w:trPr>
          <w:trHeight w:val="523"/>
        </w:trPr>
        <w:tc>
          <w:tcPr>
            <w:tcW w:w="2122" w:type="dxa"/>
            <w:shd w:val="clear" w:color="auto" w:fill="F2F2F2" w:themeFill="background1" w:themeFillShade="F2"/>
            <w:vAlign w:val="center"/>
          </w:tcPr>
          <w:p w14:paraId="0F62A3B3" w14:textId="77777777" w:rsidR="00670187" w:rsidRPr="005D58CB" w:rsidRDefault="00670187">
            <w:pPr>
              <w:pStyle w:val="TableText0"/>
              <w:rPr>
                <w:color w:val="auto"/>
              </w:rPr>
            </w:pPr>
            <w:r w:rsidRPr="005D58CB">
              <w:rPr>
                <w:color w:val="auto"/>
              </w:rPr>
              <w:t>Mean age, years</w:t>
            </w:r>
          </w:p>
        </w:tc>
        <w:tc>
          <w:tcPr>
            <w:tcW w:w="1984" w:type="dxa"/>
            <w:vAlign w:val="center"/>
          </w:tcPr>
          <w:p w14:paraId="562EB316" w14:textId="77777777" w:rsidR="00670187" w:rsidRPr="005D58CB" w:rsidRDefault="00670187">
            <w:pPr>
              <w:pStyle w:val="TableText0"/>
              <w:jc w:val="center"/>
              <w:rPr>
                <w:color w:val="auto"/>
              </w:rPr>
            </w:pPr>
            <w:r w:rsidRPr="005D58CB">
              <w:rPr>
                <w:color w:val="auto"/>
              </w:rPr>
              <w:t>56.50 (10.89)</w:t>
            </w:r>
          </w:p>
        </w:tc>
        <w:tc>
          <w:tcPr>
            <w:tcW w:w="1276" w:type="dxa"/>
            <w:vMerge w:val="restart"/>
            <w:vAlign w:val="center"/>
          </w:tcPr>
          <w:p w14:paraId="58994183" w14:textId="552CF8E0" w:rsidR="00670187" w:rsidRPr="005D58CB" w:rsidRDefault="00670187">
            <w:pPr>
              <w:pStyle w:val="TableText0"/>
              <w:jc w:val="center"/>
              <w:rPr>
                <w:color w:val="auto"/>
              </w:rPr>
            </w:pPr>
            <w:r w:rsidRPr="005D58CB">
              <w:rPr>
                <w:color w:val="auto"/>
              </w:rPr>
              <w:t>DESTINY-Breast04</w:t>
            </w:r>
            <w:r w:rsidRPr="005D58CB">
              <w:rPr>
                <w:color w:val="auto"/>
              </w:rPr>
              <w:fldChar w:fldCharType="begin"/>
            </w:r>
            <w:r w:rsidR="00CA6345">
              <w:rPr>
                <w:color w:val="auto"/>
              </w:rPr>
              <w:instrText xml:space="preserve"> ADDIN ZOTERO_ITEM CSL_CITATION {"citationID":"hYc89cnq","properties":{"formattedCitation":"\\super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5D58CB">
              <w:rPr>
                <w:color w:val="auto"/>
              </w:rPr>
              <w:fldChar w:fldCharType="separate"/>
            </w:r>
            <w:r w:rsidR="00FD57F4" w:rsidRPr="00FD57F4">
              <w:rPr>
                <w:szCs w:val="24"/>
                <w:vertAlign w:val="superscript"/>
              </w:rPr>
              <w:t>7</w:t>
            </w:r>
            <w:r w:rsidRPr="005D58CB">
              <w:rPr>
                <w:color w:val="auto"/>
              </w:rPr>
              <w:fldChar w:fldCharType="end"/>
            </w:r>
          </w:p>
          <w:p w14:paraId="0A73155C" w14:textId="77777777" w:rsidR="00670187" w:rsidRPr="005D58CB" w:rsidRDefault="00670187">
            <w:pPr>
              <w:pStyle w:val="TableText0"/>
              <w:jc w:val="center"/>
              <w:rPr>
                <w:color w:val="auto"/>
              </w:rPr>
            </w:pPr>
          </w:p>
        </w:tc>
        <w:tc>
          <w:tcPr>
            <w:tcW w:w="3544" w:type="dxa"/>
            <w:vMerge w:val="restart"/>
            <w:vAlign w:val="center"/>
          </w:tcPr>
          <w:p w14:paraId="7C072AEF" w14:textId="77777777" w:rsidR="00670187" w:rsidRPr="005D58CB" w:rsidRDefault="00670187">
            <w:pPr>
              <w:pStyle w:val="TableText0"/>
              <w:rPr>
                <w:color w:val="auto"/>
              </w:rPr>
            </w:pPr>
            <w:r w:rsidRPr="00B51087">
              <w:rPr>
                <w:color w:val="auto"/>
              </w:rPr>
              <w:t xml:space="preserve">Used to inform the estimation of background mortality </w:t>
            </w:r>
            <w:r w:rsidRPr="005D58CB">
              <w:rPr>
                <w:color w:val="auto"/>
              </w:rPr>
              <w:t>and measurement of disease severity modifier</w:t>
            </w:r>
            <w:r w:rsidRPr="00B51087">
              <w:rPr>
                <w:color w:val="auto"/>
              </w:rPr>
              <w:t>.</w:t>
            </w:r>
          </w:p>
        </w:tc>
      </w:tr>
      <w:tr w:rsidR="00670187" w:rsidRPr="00B51087" w14:paraId="096B4E75" w14:textId="77777777">
        <w:trPr>
          <w:trHeight w:val="559"/>
        </w:trPr>
        <w:tc>
          <w:tcPr>
            <w:tcW w:w="2122" w:type="dxa"/>
            <w:shd w:val="clear" w:color="auto" w:fill="F2F2F2" w:themeFill="background1" w:themeFillShade="F2"/>
            <w:vAlign w:val="center"/>
          </w:tcPr>
          <w:p w14:paraId="38F3CD70" w14:textId="77777777" w:rsidR="00670187" w:rsidRPr="005D58CB" w:rsidRDefault="00670187">
            <w:pPr>
              <w:pStyle w:val="TableText0"/>
              <w:rPr>
                <w:color w:val="auto"/>
              </w:rPr>
            </w:pPr>
            <w:r w:rsidRPr="005D58CB">
              <w:rPr>
                <w:color w:val="auto"/>
              </w:rPr>
              <w:t>Proportion female, %</w:t>
            </w:r>
          </w:p>
        </w:tc>
        <w:tc>
          <w:tcPr>
            <w:tcW w:w="1984" w:type="dxa"/>
            <w:vAlign w:val="center"/>
          </w:tcPr>
          <w:p w14:paraId="7C1D045F" w14:textId="77777777" w:rsidR="00670187" w:rsidRPr="005D58CB" w:rsidRDefault="00670187">
            <w:pPr>
              <w:pStyle w:val="TableText0"/>
              <w:jc w:val="center"/>
              <w:rPr>
                <w:color w:val="auto"/>
              </w:rPr>
            </w:pPr>
            <w:r w:rsidRPr="005D58CB">
              <w:rPr>
                <w:color w:val="auto"/>
              </w:rPr>
              <w:t>99.60</w:t>
            </w:r>
          </w:p>
        </w:tc>
        <w:tc>
          <w:tcPr>
            <w:tcW w:w="1276" w:type="dxa"/>
            <w:vMerge/>
            <w:vAlign w:val="center"/>
          </w:tcPr>
          <w:p w14:paraId="003DA3AE" w14:textId="77777777" w:rsidR="00670187" w:rsidRPr="005D58CB" w:rsidRDefault="00670187">
            <w:pPr>
              <w:pStyle w:val="TableText0"/>
              <w:rPr>
                <w:color w:val="auto"/>
              </w:rPr>
            </w:pPr>
          </w:p>
        </w:tc>
        <w:tc>
          <w:tcPr>
            <w:tcW w:w="3544" w:type="dxa"/>
            <w:vMerge/>
            <w:vAlign w:val="center"/>
          </w:tcPr>
          <w:p w14:paraId="57BD04BB" w14:textId="77777777" w:rsidR="00670187" w:rsidRPr="005D58CB" w:rsidRDefault="00670187">
            <w:pPr>
              <w:pStyle w:val="TableText0"/>
              <w:rPr>
                <w:color w:val="auto"/>
              </w:rPr>
            </w:pPr>
          </w:p>
        </w:tc>
      </w:tr>
      <w:tr w:rsidR="00670187" w:rsidRPr="00B51087" w14:paraId="5EA3B7BB" w14:textId="77777777">
        <w:trPr>
          <w:trHeight w:val="553"/>
        </w:trPr>
        <w:tc>
          <w:tcPr>
            <w:tcW w:w="2122" w:type="dxa"/>
            <w:shd w:val="clear" w:color="auto" w:fill="F2F2F2" w:themeFill="background1" w:themeFillShade="F2"/>
            <w:vAlign w:val="center"/>
          </w:tcPr>
          <w:p w14:paraId="74AD9C2B" w14:textId="77777777" w:rsidR="00670187" w:rsidRPr="005D58CB" w:rsidRDefault="00670187">
            <w:pPr>
              <w:pStyle w:val="TableText0"/>
              <w:rPr>
                <w:color w:val="auto"/>
              </w:rPr>
            </w:pPr>
            <w:r w:rsidRPr="005D58CB">
              <w:rPr>
                <w:color w:val="auto"/>
              </w:rPr>
              <w:t>Mean weight, kg</w:t>
            </w:r>
          </w:p>
        </w:tc>
        <w:tc>
          <w:tcPr>
            <w:tcW w:w="1984" w:type="dxa"/>
            <w:vAlign w:val="center"/>
          </w:tcPr>
          <w:p w14:paraId="434D0A44" w14:textId="77777777" w:rsidR="00670187" w:rsidRPr="005D58CB" w:rsidRDefault="00670187">
            <w:pPr>
              <w:pStyle w:val="TableText0"/>
              <w:jc w:val="center"/>
              <w:rPr>
                <w:color w:val="auto"/>
              </w:rPr>
            </w:pPr>
            <w:r w:rsidRPr="005D58CB">
              <w:rPr>
                <w:color w:val="auto"/>
              </w:rPr>
              <w:t>63.40 (13.57</w:t>
            </w:r>
            <w:r w:rsidRPr="005D58CB" w:rsidDel="003061DB">
              <w:rPr>
                <w:color w:val="auto"/>
              </w:rPr>
              <w:t>)</w:t>
            </w:r>
          </w:p>
        </w:tc>
        <w:tc>
          <w:tcPr>
            <w:tcW w:w="1276" w:type="dxa"/>
            <w:vMerge/>
            <w:vAlign w:val="center"/>
          </w:tcPr>
          <w:p w14:paraId="7D8FBB3A" w14:textId="77777777" w:rsidR="00670187" w:rsidRPr="005D58CB" w:rsidRDefault="00670187">
            <w:pPr>
              <w:pStyle w:val="TableText0"/>
              <w:rPr>
                <w:color w:val="auto"/>
              </w:rPr>
            </w:pPr>
          </w:p>
        </w:tc>
        <w:tc>
          <w:tcPr>
            <w:tcW w:w="3544" w:type="dxa"/>
            <w:vMerge w:val="restart"/>
            <w:vAlign w:val="center"/>
          </w:tcPr>
          <w:p w14:paraId="0E0E88D3" w14:textId="0D2491DF" w:rsidR="00670187" w:rsidRPr="005D58CB" w:rsidRDefault="00670187">
            <w:pPr>
              <w:pStyle w:val="TableText0"/>
              <w:rPr>
                <w:color w:val="auto"/>
              </w:rPr>
            </w:pPr>
            <w:r w:rsidRPr="00B51087">
              <w:rPr>
                <w:color w:val="auto"/>
              </w:rPr>
              <w:t xml:space="preserve">Used to inform the calculation </w:t>
            </w:r>
            <w:r w:rsidRPr="005D58CB">
              <w:rPr>
                <w:color w:val="auto"/>
              </w:rPr>
              <w:t xml:space="preserve">of drug dosing and subsequently, </w:t>
            </w:r>
            <w:r w:rsidRPr="00B51087">
              <w:rPr>
                <w:color w:val="auto"/>
              </w:rPr>
              <w:t xml:space="preserve">drug costs (those dosed according to weight). </w:t>
            </w:r>
          </w:p>
        </w:tc>
      </w:tr>
      <w:tr w:rsidR="00670187" w:rsidRPr="00B51087" w14:paraId="0E45248D" w14:textId="77777777">
        <w:trPr>
          <w:trHeight w:val="561"/>
        </w:trPr>
        <w:tc>
          <w:tcPr>
            <w:tcW w:w="2122" w:type="dxa"/>
            <w:shd w:val="clear" w:color="auto" w:fill="F2F2F2" w:themeFill="background1" w:themeFillShade="F2"/>
            <w:vAlign w:val="center"/>
          </w:tcPr>
          <w:p w14:paraId="49CC59CC" w14:textId="77777777" w:rsidR="00670187" w:rsidRPr="005D58CB" w:rsidRDefault="00670187">
            <w:pPr>
              <w:pStyle w:val="TableText0"/>
              <w:rPr>
                <w:color w:val="auto"/>
                <w:vertAlign w:val="superscript"/>
              </w:rPr>
            </w:pPr>
            <w:r w:rsidRPr="005D58CB">
              <w:rPr>
                <w:color w:val="auto"/>
              </w:rPr>
              <w:t>Mean body surface area, m</w:t>
            </w:r>
            <w:r w:rsidRPr="005D58CB">
              <w:rPr>
                <w:color w:val="auto"/>
                <w:vertAlign w:val="superscript"/>
              </w:rPr>
              <w:t>2</w:t>
            </w:r>
          </w:p>
        </w:tc>
        <w:tc>
          <w:tcPr>
            <w:tcW w:w="1984" w:type="dxa"/>
            <w:vAlign w:val="center"/>
          </w:tcPr>
          <w:p w14:paraId="3F9DD148" w14:textId="77777777" w:rsidR="00670187" w:rsidRPr="005D58CB" w:rsidRDefault="00670187">
            <w:pPr>
              <w:pStyle w:val="TableText0"/>
              <w:jc w:val="center"/>
              <w:rPr>
                <w:color w:val="auto"/>
              </w:rPr>
            </w:pPr>
            <w:r w:rsidRPr="005D58CB">
              <w:rPr>
                <w:color w:val="auto"/>
              </w:rPr>
              <w:t>1.67 (0.19)</w:t>
            </w:r>
          </w:p>
        </w:tc>
        <w:tc>
          <w:tcPr>
            <w:tcW w:w="1276" w:type="dxa"/>
            <w:vMerge/>
            <w:vAlign w:val="center"/>
          </w:tcPr>
          <w:p w14:paraId="24729FC2" w14:textId="77777777" w:rsidR="00670187" w:rsidRPr="005D58CB" w:rsidRDefault="00670187">
            <w:pPr>
              <w:pStyle w:val="TableText0"/>
              <w:rPr>
                <w:color w:val="auto"/>
              </w:rPr>
            </w:pPr>
          </w:p>
        </w:tc>
        <w:tc>
          <w:tcPr>
            <w:tcW w:w="3544" w:type="dxa"/>
            <w:vMerge/>
            <w:vAlign w:val="center"/>
          </w:tcPr>
          <w:p w14:paraId="5C679ED4" w14:textId="77777777" w:rsidR="00670187" w:rsidRPr="005D58CB" w:rsidRDefault="00670187">
            <w:pPr>
              <w:pStyle w:val="TableText0"/>
              <w:rPr>
                <w:color w:val="auto"/>
              </w:rPr>
            </w:pPr>
          </w:p>
        </w:tc>
      </w:tr>
    </w:tbl>
    <w:p w14:paraId="0D980087" w14:textId="5C5DC1F4" w:rsidR="00670187" w:rsidRPr="00B51087" w:rsidRDefault="00670187" w:rsidP="00670187">
      <w:pPr>
        <w:pStyle w:val="Footnotes"/>
        <w:spacing w:after="0"/>
      </w:pPr>
      <w:r w:rsidRPr="00B51087">
        <w:t xml:space="preserve">Abbreviations: FAS, full analysis set; HRQoL, health-related </w:t>
      </w:r>
      <w:r w:rsidR="005754E8">
        <w:t>quality-of-life</w:t>
      </w:r>
      <w:r w:rsidRPr="00B51087">
        <w:t>; kg, kilograms; SD, standard deviation; T</w:t>
      </w:r>
      <w:r w:rsidRPr="00B51087">
        <w:noBreakHyphen/>
        <w:t>DXd, trastuzumab deruxtecan; TPC, treatment of physician’s choice.</w:t>
      </w:r>
    </w:p>
    <w:p w14:paraId="1B590393" w14:textId="77777777" w:rsidR="00670187" w:rsidRPr="00B51087" w:rsidRDefault="00670187" w:rsidP="00670187">
      <w:pPr>
        <w:pStyle w:val="Heading3"/>
      </w:pPr>
      <w:bookmarkStart w:id="440" w:name="_Toc98924665"/>
      <w:bookmarkStart w:id="441" w:name="_Ref99027078"/>
      <w:bookmarkStart w:id="442" w:name="_Ref99727326"/>
      <w:bookmarkStart w:id="443" w:name="_Ref99727468"/>
      <w:bookmarkStart w:id="444" w:name="_Ref99727962"/>
      <w:bookmarkStart w:id="445" w:name="_Ref99727997"/>
      <w:bookmarkStart w:id="446" w:name="_Ref99729281"/>
      <w:bookmarkStart w:id="447" w:name="_Ref99730843"/>
      <w:bookmarkStart w:id="448" w:name="_Ref99733356"/>
      <w:bookmarkStart w:id="449" w:name="_Ref99733370"/>
      <w:bookmarkStart w:id="450" w:name="_Toc127006442"/>
      <w:bookmarkStart w:id="451" w:name="_Ref127006708"/>
      <w:bookmarkStart w:id="452" w:name="_Toc129350889"/>
      <w:r w:rsidRPr="00B51087">
        <w:t>Efficacy</w:t>
      </w:r>
      <w:bookmarkEnd w:id="440"/>
      <w:bookmarkEnd w:id="441"/>
      <w:bookmarkEnd w:id="442"/>
      <w:bookmarkEnd w:id="443"/>
      <w:bookmarkEnd w:id="444"/>
      <w:bookmarkEnd w:id="445"/>
      <w:bookmarkEnd w:id="446"/>
      <w:bookmarkEnd w:id="447"/>
      <w:bookmarkEnd w:id="448"/>
      <w:bookmarkEnd w:id="449"/>
      <w:bookmarkEnd w:id="450"/>
      <w:bookmarkEnd w:id="451"/>
      <w:bookmarkEnd w:id="452"/>
    </w:p>
    <w:p w14:paraId="40EAF1A6" w14:textId="6D102071" w:rsidR="00670187" w:rsidRPr="00E123F1" w:rsidRDefault="00670187" w:rsidP="00670187">
      <w:pPr>
        <w:pStyle w:val="Body"/>
      </w:pPr>
      <w:r>
        <w:t xml:space="preserve">Due to the specification of a lifetime horizon over </w:t>
      </w:r>
      <w:r w:rsidRPr="00E123F1">
        <w:t>which modelled costs and QALYs are required to be estimated (in line with the NICE reference case),</w:t>
      </w:r>
      <w:r w:rsidRPr="005D58CB">
        <w:fldChar w:fldCharType="begin"/>
      </w:r>
      <w:r w:rsidR="00CA6345">
        <w:instrText xml:space="preserve"> ADDIN ZOTERO_ITEM CSL_CITATION {"citationID":"n8Da4zaW","properties":{"formattedCitation":"\\super 2\\nosupersub{}","plainCitation":"2","noteIndex":0},"citationItems":[{"id":65886,"uris":["http://zotero.org/groups/4797619/items/2LQNV7UR"],"itemData":{"id":65886,"type":"webpage","abstract":"This guide describes the methods and processes, including expected timescales, that NICE follows when carrying out health technology evaluations. The methods and processes are designed to produce robust guidance for the NHS in an open, transparent and timely way, with appropriate contribution from stakeholders. Organisations invited to contribute to health technology evaluation development should read this manual in conjunction with the NICE health technology evaluation topic selection: the manual. All documents are available on the NICE website.","language":"eng","note":"publisher: NICE","title":"NICE health technology evaluations: the manual","title-short":"NICE health technology evaluations","URL":"https://www.nice.org.uk/process/pmg36/chapter/introduction-to-health-technology-evaluation","author":[{"family":"NICE","given":""}],"accessed":{"date-parts":[["2022",10,19]]},"issued":{"date-parts":[["2022",1]]}}}],"schema":"https://github.com/citation-style-language/schema/raw/master/csl-citation.json"} </w:instrText>
      </w:r>
      <w:r w:rsidRPr="005D58CB">
        <w:fldChar w:fldCharType="separate"/>
      </w:r>
      <w:r w:rsidR="00FD57F4" w:rsidRPr="00FD57F4">
        <w:rPr>
          <w:rFonts w:cs="Arial"/>
          <w:szCs w:val="24"/>
          <w:vertAlign w:val="superscript"/>
        </w:rPr>
        <w:t>2</w:t>
      </w:r>
      <w:r w:rsidRPr="005D58CB">
        <w:fldChar w:fldCharType="end"/>
      </w:r>
      <w:r w:rsidRPr="00E123F1">
        <w:t xml:space="preserve"> survival modelling was required to extrapolate outcomes beyond those observed </w:t>
      </w:r>
      <w:r w:rsidR="000219A5">
        <w:t>in</w:t>
      </w:r>
      <w:r w:rsidR="000219A5" w:rsidRPr="00E123F1">
        <w:t xml:space="preserve"> </w:t>
      </w:r>
      <w:r w:rsidRPr="00E123F1">
        <w:t>the DESTINY-Breast0</w:t>
      </w:r>
      <w:r w:rsidRPr="005D58CB">
        <w:t>4</w:t>
      </w:r>
      <w:r w:rsidRPr="00E123F1">
        <w:t xml:space="preserve"> trial. The following </w:t>
      </w:r>
      <w:r w:rsidRPr="00E123F1" w:rsidDel="00174EDC">
        <w:t>section</w:t>
      </w:r>
      <w:r w:rsidRPr="00E123F1">
        <w:t xml:space="preserve"> outlines the approach taken to extrapolate the </w:t>
      </w:r>
      <w:r w:rsidRPr="005D58CB">
        <w:t xml:space="preserve">OS, PFS and TTD </w:t>
      </w:r>
      <w:r w:rsidRPr="00E123F1">
        <w:t>data, which are in line with the best practice guidance set out in the NICE DSU Technical Support Document (TSD) 14.</w:t>
      </w:r>
      <w:r w:rsidRPr="00E123F1">
        <w:fldChar w:fldCharType="begin"/>
      </w:r>
      <w:r w:rsidR="00CA6345">
        <w:instrText xml:space="preserve"> ADDIN ZOTERO_ITEM CSL_CITATION {"citationID":"CYbEeOPK","properties":{"formattedCitation":"\\super 171\\nosupersub{}","plainCitation":"171","noteIndex":0},"citationItems":[{"id":66276,"uris":["http://zotero.org/groups/4797619/items/QYBHYJLM"],"itemData":{"id":66276,"type":"webpage","title":"NICE DSU Technical Support Document 14:  Survival Analysis For Economic Evaluations Alongside Clinical Trials - Extrapolation With Patient-Level Data","URL":"https://www.sheffield.ac.uk/sites/default/files/2022-02/TSD14-Survival-analysis.updated-March-2013.v2.pdf","author":[{"family":"NICE","given":""}],"issued":{"date-parts":[["2013",3]]}}}],"schema":"https://github.com/citation-style-language/schema/raw/master/csl-citation.json"} </w:instrText>
      </w:r>
      <w:r w:rsidRPr="00E123F1">
        <w:fldChar w:fldCharType="separate"/>
      </w:r>
      <w:r w:rsidR="00CA6345" w:rsidRPr="00CA6345">
        <w:rPr>
          <w:rFonts w:cs="Arial"/>
          <w:szCs w:val="24"/>
          <w:vertAlign w:val="superscript"/>
        </w:rPr>
        <w:t>171</w:t>
      </w:r>
      <w:r w:rsidRPr="00E123F1">
        <w:fldChar w:fldCharType="end"/>
      </w:r>
      <w:r w:rsidRPr="00E123F1">
        <w:t xml:space="preserve"> </w:t>
      </w:r>
    </w:p>
    <w:p w14:paraId="10453F94" w14:textId="3C4AB984" w:rsidR="00670187" w:rsidRPr="00E123F1" w:rsidRDefault="00670187" w:rsidP="00E91470">
      <w:pPr>
        <w:pStyle w:val="Body"/>
        <w:numPr>
          <w:ilvl w:val="0"/>
          <w:numId w:val="59"/>
        </w:numPr>
        <w:spacing w:after="0"/>
      </w:pPr>
      <w:r w:rsidRPr="00E123F1">
        <w:t>Data and statistical tests from DESTINY-Breast04</w:t>
      </w:r>
      <w:r w:rsidRPr="00E123F1">
        <w:fldChar w:fldCharType="begin"/>
      </w:r>
      <w:r w:rsidR="00CA6345">
        <w:instrText xml:space="preserve"> ADDIN ZOTERO_ITEM CSL_CITATION {"citationID":"xzGGRjYe","properties":{"formattedCitation":"\\super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E123F1">
        <w:fldChar w:fldCharType="separate"/>
      </w:r>
      <w:r w:rsidR="00FD57F4" w:rsidRPr="00FD57F4">
        <w:rPr>
          <w:rFonts w:cs="Arial"/>
          <w:szCs w:val="24"/>
          <w:vertAlign w:val="superscript"/>
        </w:rPr>
        <w:t>7</w:t>
      </w:r>
      <w:r w:rsidRPr="00E123F1">
        <w:fldChar w:fldCharType="end"/>
      </w:r>
      <w:r w:rsidRPr="00E123F1">
        <w:t xml:space="preserve"> </w:t>
      </w:r>
    </w:p>
    <w:p w14:paraId="4BA4D52D" w14:textId="77777777" w:rsidR="00670187" w:rsidRPr="00EE5DC6" w:rsidRDefault="00670187" w:rsidP="00E91470">
      <w:pPr>
        <w:pStyle w:val="ListParagraph"/>
        <w:numPr>
          <w:ilvl w:val="1"/>
          <w:numId w:val="55"/>
        </w:numPr>
      </w:pPr>
      <w:r w:rsidRPr="00EE5DC6">
        <w:t>Inspection of the Kaplan-Meier (KM) curves</w:t>
      </w:r>
    </w:p>
    <w:p w14:paraId="0D92F2F9" w14:textId="77777777" w:rsidR="00670187" w:rsidRPr="00EE5DC6" w:rsidRDefault="00670187" w:rsidP="00E91470">
      <w:pPr>
        <w:pStyle w:val="ListParagraph"/>
        <w:numPr>
          <w:ilvl w:val="1"/>
          <w:numId w:val="55"/>
        </w:numPr>
      </w:pPr>
      <w:r w:rsidRPr="00EE5DC6">
        <w:t>Inspection of the log-cumulative hazard plots (LCHP)</w:t>
      </w:r>
      <w:r>
        <w:t xml:space="preserve"> </w:t>
      </w:r>
      <w:r w:rsidRPr="00EE5DC6">
        <w:t>to determine potentially suitable approaches to fitting parametric models</w:t>
      </w:r>
    </w:p>
    <w:p w14:paraId="597FE2D8" w14:textId="77777777" w:rsidR="00670187" w:rsidRPr="00EE5DC6" w:rsidRDefault="00670187" w:rsidP="00E91470">
      <w:pPr>
        <w:pStyle w:val="Body"/>
        <w:numPr>
          <w:ilvl w:val="0"/>
          <w:numId w:val="55"/>
        </w:numPr>
      </w:pPr>
      <w:r w:rsidRPr="00EE5DC6">
        <w:t>Inspection of statistical goodness-of-fit scores for fitted models (i.e., the Akaike Information Criterion [AIC] and the Bayesian Information Criterion [BIC])</w:t>
      </w:r>
    </w:p>
    <w:p w14:paraId="1A2E4EA4" w14:textId="77777777" w:rsidR="00670187" w:rsidRPr="00EE5DC6" w:rsidRDefault="00670187" w:rsidP="00E91470">
      <w:pPr>
        <w:pStyle w:val="Body"/>
        <w:numPr>
          <w:ilvl w:val="0"/>
          <w:numId w:val="55"/>
        </w:numPr>
      </w:pPr>
      <w:r w:rsidRPr="00EE5DC6">
        <w:t>Visual inspection of suitable fitting models compared to the KM curves</w:t>
      </w:r>
    </w:p>
    <w:p w14:paraId="7D8B98B4" w14:textId="0937030E" w:rsidR="00670187" w:rsidRPr="002D366F" w:rsidRDefault="00670187" w:rsidP="00E91470">
      <w:pPr>
        <w:pStyle w:val="Body"/>
        <w:numPr>
          <w:ilvl w:val="0"/>
          <w:numId w:val="55"/>
        </w:numPr>
      </w:pPr>
      <w:r w:rsidRPr="00EE5DC6">
        <w:t>Assessment of the plausibility of fitted models after the end of the follow-up period for DESTINY-</w:t>
      </w:r>
      <w:r>
        <w:t>Breast04</w:t>
      </w:r>
      <w:r w:rsidRPr="00EE5DC6">
        <w:t xml:space="preserve"> </w:t>
      </w:r>
      <w:r>
        <w:t xml:space="preserve">via </w:t>
      </w:r>
      <w:r w:rsidRPr="00EE5DC6">
        <w:t xml:space="preserve">clinical </w:t>
      </w:r>
      <w:r>
        <w:t xml:space="preserve">expert </w:t>
      </w:r>
      <w:r w:rsidRPr="00EE5DC6">
        <w:t xml:space="preserve">validation and </w:t>
      </w:r>
      <w:r w:rsidRPr="00966F84">
        <w:t>external data sources</w:t>
      </w:r>
      <w:r>
        <w:t xml:space="preserve"> (</w:t>
      </w:r>
      <w:r w:rsidRPr="001F4E23">
        <w:t xml:space="preserve">see </w:t>
      </w:r>
      <w:r w:rsidRPr="003C648C">
        <w:rPr>
          <w:b/>
        </w:rPr>
        <w:t xml:space="preserve">Section </w:t>
      </w:r>
      <w:r w:rsidRPr="003C648C">
        <w:rPr>
          <w:b/>
          <w:bCs/>
        </w:rPr>
        <w:fldChar w:fldCharType="begin"/>
      </w:r>
      <w:r w:rsidRPr="003C648C">
        <w:rPr>
          <w:b/>
          <w:bCs/>
        </w:rPr>
        <w:instrText xml:space="preserve"> REF _Ref125627780 \r \h </w:instrText>
      </w:r>
      <w:r w:rsidR="008024BC" w:rsidRPr="00D164C5">
        <w:rPr>
          <w:b/>
        </w:rPr>
        <w:instrText xml:space="preserve"> </w:instrText>
      </w:r>
      <w:r w:rsidR="008024BC">
        <w:rPr>
          <w:b/>
          <w:bCs/>
        </w:rPr>
        <w:instrText xml:space="preserve">\* MERGEFORMAT </w:instrText>
      </w:r>
      <w:r w:rsidRPr="003C648C">
        <w:rPr>
          <w:b/>
          <w:bCs/>
        </w:rPr>
      </w:r>
      <w:r w:rsidRPr="003C648C">
        <w:rPr>
          <w:b/>
          <w:bCs/>
        </w:rPr>
        <w:fldChar w:fldCharType="separate"/>
      </w:r>
      <w:r w:rsidR="00145F42">
        <w:rPr>
          <w:b/>
          <w:bCs/>
        </w:rPr>
        <w:t>B.3.14</w:t>
      </w:r>
      <w:r w:rsidRPr="003C648C">
        <w:rPr>
          <w:b/>
          <w:bCs/>
        </w:rPr>
        <w:fldChar w:fldCharType="end"/>
      </w:r>
      <w:r>
        <w:t>).</w:t>
      </w:r>
    </w:p>
    <w:p w14:paraId="6F6E3B42" w14:textId="77777777" w:rsidR="00670187" w:rsidRDefault="00670187" w:rsidP="00670187">
      <w:pPr>
        <w:pStyle w:val="Heading4"/>
      </w:pPr>
      <w:bookmarkStart w:id="453" w:name="_Ref125266134"/>
      <w:r>
        <w:t>Overall survival</w:t>
      </w:r>
      <w:bookmarkEnd w:id="453"/>
    </w:p>
    <w:p w14:paraId="72E43534" w14:textId="141BDAD3" w:rsidR="00670187" w:rsidRDefault="00670187" w:rsidP="00670187">
      <w:pPr>
        <w:pStyle w:val="Body"/>
      </w:pPr>
      <w:r w:rsidRPr="005D58CB">
        <w:t>DESTINY-Breast04</w:t>
      </w:r>
      <w:r>
        <w:t xml:space="preserve"> provides evidence for T-DXd compared with the relevant comparator (TPC) from a </w:t>
      </w:r>
      <w:r w:rsidDel="00A85BA2">
        <w:t>well</w:t>
      </w:r>
      <w:r>
        <w:t>-conducted RCT,</w:t>
      </w:r>
      <w:r w:rsidRPr="007E5E16">
        <w:fldChar w:fldCharType="begin"/>
      </w:r>
      <w:r w:rsidR="00CA6345">
        <w:instrText xml:space="preserve"> ADDIN ZOTERO_ITEM CSL_CITATION {"citationID":"70WC0BQb","properties":{"formattedCitation":"\\super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7E5E16">
        <w:fldChar w:fldCharType="separate"/>
      </w:r>
      <w:r w:rsidR="00FD57F4" w:rsidRPr="00FD57F4">
        <w:rPr>
          <w:rFonts w:cs="Arial"/>
          <w:szCs w:val="24"/>
          <w:vertAlign w:val="superscript"/>
        </w:rPr>
        <w:t>7</w:t>
      </w:r>
      <w:r w:rsidRPr="007E5E16">
        <w:fldChar w:fldCharType="end"/>
      </w:r>
      <w:r w:rsidRPr="007E5E16">
        <w:t xml:space="preserve"> </w:t>
      </w:r>
      <w:r>
        <w:t xml:space="preserve">and </w:t>
      </w:r>
      <w:r w:rsidR="00157B8E">
        <w:t xml:space="preserve">UK </w:t>
      </w:r>
      <w:r>
        <w:t xml:space="preserve">clinicians considered the trial outcomes </w:t>
      </w:r>
      <w:r w:rsidR="00157B8E">
        <w:t xml:space="preserve">to be </w:t>
      </w:r>
      <w:r>
        <w:t>generalisable to UK practice.</w:t>
      </w:r>
      <w:r w:rsidRPr="00054570">
        <w:fldChar w:fldCharType="begin"/>
      </w:r>
      <w:r w:rsidR="00CA6345">
        <w:instrText xml:space="preserve"> ADDIN ZOTERO_ITEM CSL_CITATION {"citationID":"CTwGCO95","properties":{"formattedCitation":"\\super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Pr="00054570">
        <w:fldChar w:fldCharType="separate"/>
      </w:r>
      <w:r w:rsidR="00CA6345" w:rsidRPr="00CA6345">
        <w:rPr>
          <w:rFonts w:cs="Arial"/>
          <w:szCs w:val="24"/>
          <w:vertAlign w:val="superscript"/>
        </w:rPr>
        <w:t>121</w:t>
      </w:r>
      <w:r w:rsidRPr="00054570">
        <w:fldChar w:fldCharType="end"/>
      </w:r>
      <w:r w:rsidRPr="00293ECD">
        <w:t xml:space="preserve"> </w:t>
      </w:r>
    </w:p>
    <w:p w14:paraId="37DA1130" w14:textId="5B0E8FAE" w:rsidR="00670187" w:rsidRPr="005D58CB" w:rsidRDefault="00E65579" w:rsidP="003C648C">
      <w:pPr>
        <w:spacing w:after="100" w:afterAutospacing="1" w:line="240" w:lineRule="auto"/>
      </w:pPr>
      <w:r>
        <w:t>M</w:t>
      </w:r>
      <w:r w:rsidR="00157E08" w:rsidRPr="002629AD">
        <w:t xml:space="preserve">edian </w:t>
      </w:r>
      <w:r w:rsidR="00930F64">
        <w:t>survival</w:t>
      </w:r>
      <w:r w:rsidR="00157E08" w:rsidRPr="002629AD">
        <w:t xml:space="preserve"> follow-up in the FAS population</w:t>
      </w:r>
      <w:r w:rsidR="00157E08">
        <w:t xml:space="preserve"> </w:t>
      </w:r>
      <w:r w:rsidR="00E627B3">
        <w:t>of</w:t>
      </w:r>
      <w:r w:rsidR="00157E08">
        <w:t xml:space="preserve"> </w:t>
      </w:r>
      <w:r w:rsidR="00157E08" w:rsidRPr="007E5E16">
        <w:t>DESTINY-Breast0</w:t>
      </w:r>
      <w:r w:rsidR="00157E08" w:rsidRPr="002629AD">
        <w:t xml:space="preserve">4 was </w:t>
      </w:r>
      <w:r w:rsidR="008A6FA4" w:rsidRPr="00054570">
        <w:t>18.4 months</w:t>
      </w:r>
      <w:r w:rsidR="008A6FA4">
        <w:t>,</w:t>
      </w:r>
      <w:r w:rsidR="008A6FA4">
        <w:fldChar w:fldCharType="begin"/>
      </w:r>
      <w:r w:rsidR="00CA6345">
        <w:instrText xml:space="preserve"> ADDIN ZOTERO_ITEM CSL_CITATION {"citationID":"A3xXCeKt","properties":{"formattedCitation":"\\super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008A6FA4">
        <w:fldChar w:fldCharType="separate"/>
      </w:r>
      <w:r w:rsidR="00FD57F4" w:rsidRPr="00FD57F4">
        <w:rPr>
          <w:rFonts w:cs="Arial"/>
          <w:szCs w:val="24"/>
          <w:vertAlign w:val="superscript"/>
        </w:rPr>
        <w:t>6</w:t>
      </w:r>
      <w:r w:rsidR="008A6FA4">
        <w:fldChar w:fldCharType="end"/>
      </w:r>
      <w:r w:rsidR="00157E08">
        <w:t xml:space="preserve"> </w:t>
      </w:r>
      <w:r w:rsidR="00376868">
        <w:t>during</w:t>
      </w:r>
      <w:r w:rsidR="00157E08">
        <w:t xml:space="preserve"> which </w:t>
      </w:r>
      <w:r w:rsidR="00294FDC" w:rsidRPr="00294FDC">
        <w:rPr>
          <w:color w:val="000000"/>
          <w:highlight w:val="black"/>
        </w:rPr>
        <w:t>xxxxx</w:t>
      </w:r>
      <w:r w:rsidR="00157E08" w:rsidRPr="002629AD">
        <w:t xml:space="preserve"> of patients in the T-DXd arm and </w:t>
      </w:r>
      <w:r w:rsidR="00294FDC" w:rsidRPr="00294FDC">
        <w:rPr>
          <w:color w:val="000000"/>
          <w:highlight w:val="black"/>
        </w:rPr>
        <w:t>xxxxx</w:t>
      </w:r>
      <w:r w:rsidR="00157E08" w:rsidRPr="002629AD">
        <w:t xml:space="preserve"> in the TPC arm</w:t>
      </w:r>
      <w:r w:rsidR="00376868">
        <w:t xml:space="preserve"> had an </w:t>
      </w:r>
      <w:r w:rsidR="003C1714">
        <w:t xml:space="preserve">OS </w:t>
      </w:r>
      <w:r w:rsidR="00376868">
        <w:t>event</w:t>
      </w:r>
      <w:r w:rsidR="00157E08" w:rsidRPr="002629AD">
        <w:t>.</w:t>
      </w:r>
      <w:r w:rsidR="003F0E39">
        <w:fldChar w:fldCharType="begin"/>
      </w:r>
      <w:r w:rsidR="00CA6345">
        <w:instrText xml:space="preserve"> ADDIN ZOTERO_ITEM CSL_CITATION {"citationID":"SgtZMJ5r","properties":{"formattedCitation":"\\super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003F0E39">
        <w:fldChar w:fldCharType="separate"/>
      </w:r>
      <w:r w:rsidR="00FD57F4" w:rsidRPr="00FD57F4">
        <w:rPr>
          <w:rFonts w:cs="Arial"/>
          <w:szCs w:val="24"/>
          <w:vertAlign w:val="superscript"/>
        </w:rPr>
        <w:t>7</w:t>
      </w:r>
      <w:r w:rsidR="003F0E39">
        <w:fldChar w:fldCharType="end"/>
      </w:r>
      <w:r w:rsidR="00157E08">
        <w:t xml:space="preserve"> </w:t>
      </w:r>
      <w:r w:rsidR="00670187" w:rsidRPr="002629AD">
        <w:t>T-DXd was associated with a statistically significant improvement in OS compared with TPC (HR: 0.64; 95% CI: 0.49, 0.84 [p=0.0010] using a stratified Cox</w:t>
      </w:r>
      <w:r w:rsidR="00E81408">
        <w:t>-</w:t>
      </w:r>
      <w:r w:rsidR="00670187" w:rsidRPr="002629AD">
        <w:t xml:space="preserve">proportional </w:t>
      </w:r>
      <w:r w:rsidR="00670187" w:rsidRPr="002629AD">
        <w:lastRenderedPageBreak/>
        <w:t>hazard model</w:t>
      </w:r>
      <w:r w:rsidR="00E627B3">
        <w:t>; FAS</w:t>
      </w:r>
      <w:r w:rsidR="009E71B4">
        <w:t>) with</w:t>
      </w:r>
      <w:r w:rsidR="00DF04BB">
        <w:t xml:space="preserve"> </w:t>
      </w:r>
      <w:r w:rsidR="00DF04BB" w:rsidRPr="002629AD">
        <w:t xml:space="preserve">median OS </w:t>
      </w:r>
      <w:r w:rsidR="009E71B4">
        <w:t>reached in both arms</w:t>
      </w:r>
      <w:r w:rsidR="00DF04BB" w:rsidRPr="002629AD">
        <w:t xml:space="preserve"> </w:t>
      </w:r>
      <w:r w:rsidR="009E71B4">
        <w:t>(</w:t>
      </w:r>
      <w:r w:rsidR="00DF04BB" w:rsidRPr="002629AD">
        <w:t xml:space="preserve">23.4 months </w:t>
      </w:r>
      <w:r w:rsidR="00DF04BB">
        <w:t>vs.</w:t>
      </w:r>
      <w:r w:rsidR="00DF04BB" w:rsidRPr="002629AD">
        <w:t xml:space="preserve"> 16.8 months, respectivel</w:t>
      </w:r>
      <w:r w:rsidR="00DF04BB">
        <w:t>y</w:t>
      </w:r>
      <w:r w:rsidR="00670187" w:rsidRPr="002629AD">
        <w:t>).</w:t>
      </w:r>
      <w:r w:rsidR="00E81408">
        <w:fldChar w:fldCharType="begin"/>
      </w:r>
      <w:r w:rsidR="00CA6345">
        <w:instrText xml:space="preserve"> ADDIN ZOTERO_ITEM CSL_CITATION {"citationID":"oFB1ve9c","properties":{"formattedCitation":"\\super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00E81408">
        <w:fldChar w:fldCharType="separate"/>
      </w:r>
      <w:r w:rsidR="00FD57F4" w:rsidRPr="00FD57F4">
        <w:rPr>
          <w:rFonts w:cs="Arial"/>
          <w:szCs w:val="24"/>
          <w:vertAlign w:val="superscript"/>
        </w:rPr>
        <w:t>6</w:t>
      </w:r>
      <w:r w:rsidR="00E81408">
        <w:fldChar w:fldCharType="end"/>
      </w:r>
      <w:r w:rsidR="00670187">
        <w:t xml:space="preserve"> Given that</w:t>
      </w:r>
      <w:r w:rsidR="00670187" w:rsidRPr="005D58CB">
        <w:t xml:space="preserve"> OS </w:t>
      </w:r>
      <w:r w:rsidR="00670187">
        <w:t xml:space="preserve">data </w:t>
      </w:r>
      <w:r w:rsidR="00670187" w:rsidRPr="005D58CB">
        <w:t>from</w:t>
      </w:r>
      <w:r w:rsidR="00670187" w:rsidRPr="006D6D2C">
        <w:t xml:space="preserve"> </w:t>
      </w:r>
      <w:r w:rsidR="00670187">
        <w:t>DESTINY-Breast0</w:t>
      </w:r>
      <w:r w:rsidR="00670187" w:rsidRPr="005D58CB">
        <w:t xml:space="preserve">4 </w:t>
      </w:r>
      <w:r w:rsidR="00670187">
        <w:t>are considered</w:t>
      </w:r>
      <w:r w:rsidR="00670187" w:rsidRPr="005D58CB">
        <w:t xml:space="preserve"> mature, data were directly extrapolated from </w:t>
      </w:r>
      <w:r w:rsidR="00670187">
        <w:t>observed patient</w:t>
      </w:r>
      <w:r w:rsidR="00E81408">
        <w:t>-</w:t>
      </w:r>
      <w:r w:rsidR="00670187">
        <w:t>level data</w:t>
      </w:r>
      <w:r w:rsidR="00670187" w:rsidRPr="005D58CB">
        <w:t xml:space="preserve"> using parametric survival modelling</w:t>
      </w:r>
      <w:r w:rsidR="00670187">
        <w:t>.</w:t>
      </w:r>
    </w:p>
    <w:p w14:paraId="43D23DAC" w14:textId="4F81D318" w:rsidR="00670187" w:rsidRPr="00CD6055" w:rsidRDefault="00670187" w:rsidP="00670187">
      <w:pPr>
        <w:pStyle w:val="Body"/>
      </w:pPr>
      <w:r w:rsidRPr="005D58CB">
        <w:t xml:space="preserve">To ensure </w:t>
      </w:r>
      <w:r w:rsidRPr="00E26095">
        <w:t>that the model projections d</w:t>
      </w:r>
      <w:r>
        <w:t>o</w:t>
      </w:r>
      <w:r w:rsidRPr="00E26095">
        <w:t xml:space="preserve"> not lead to an estimated hazard of death below that of the age- and sex-adjusted general population, an adjustment </w:t>
      </w:r>
      <w:r>
        <w:t>i</w:t>
      </w:r>
      <w:r w:rsidRPr="00E26095">
        <w:t>s made to the OS project</w:t>
      </w:r>
      <w:r>
        <w:t xml:space="preserve">ions in both arms of the economic model. National life tables from the Office of </w:t>
      </w:r>
      <w:r w:rsidRPr="00CD6055">
        <w:t xml:space="preserve">National Statistics </w:t>
      </w:r>
      <w:r w:rsidR="002D7B09">
        <w:t>(ONS)</w:t>
      </w:r>
      <w:r w:rsidRPr="00CD6055">
        <w:t xml:space="preserve"> were used to populate this adjustment and this ensures that the hazard of death is, at a minimum, that of the general population.</w:t>
      </w:r>
      <w:r w:rsidRPr="00CD6055">
        <w:fldChar w:fldCharType="begin"/>
      </w:r>
      <w:r w:rsidR="00CA6345">
        <w:instrText xml:space="preserve"> ADDIN ZOTERO_ITEM CSL_CITATION {"citationID":"M0G8s2Ad","properties":{"formattedCitation":"\\super 166\\nosupersub{}","plainCitation":"166","noteIndex":0},"citationItems":[{"id":65889,"uris":["http://zotero.org/groups/4797619/items/QIYXYR97"],"itemData":{"id":65889,"type":"webpage","title":"National life tables: England and Wales - Office for National Statistics","URL":"https://www.ons.gov.uk/peoplepopulationandcommunity/birthsdeathsandmarriages/lifeexpectancies/datasets/nationallifetablesenglandandwalesreferencetables/current","accessed":{"date-parts":[["2022",10,25]]}}}],"schema":"https://github.com/citation-style-language/schema/raw/master/csl-citation.json"} </w:instrText>
      </w:r>
      <w:r w:rsidRPr="00CD6055">
        <w:fldChar w:fldCharType="separate"/>
      </w:r>
      <w:r w:rsidR="00CA6345" w:rsidRPr="00CA6345">
        <w:rPr>
          <w:rFonts w:cs="Arial"/>
          <w:szCs w:val="24"/>
          <w:vertAlign w:val="superscript"/>
        </w:rPr>
        <w:t>166</w:t>
      </w:r>
      <w:r w:rsidRPr="00CD6055">
        <w:fldChar w:fldCharType="end"/>
      </w:r>
      <w:r w:rsidRPr="00CD6055" w:rsidDel="00C513B3">
        <w:t xml:space="preserve"> </w:t>
      </w:r>
    </w:p>
    <w:p w14:paraId="7394C427" w14:textId="77777777" w:rsidR="00670187" w:rsidRPr="00CD6055" w:rsidRDefault="00670187" w:rsidP="00670187">
      <w:pPr>
        <w:pStyle w:val="Body"/>
        <w:keepNext/>
        <w:rPr>
          <w:i/>
          <w:iCs/>
        </w:rPr>
      </w:pPr>
      <w:r w:rsidRPr="00CD6055">
        <w:rPr>
          <w:i/>
          <w:iCs/>
        </w:rPr>
        <w:t>Assessment of data from DESTINY-Breast0</w:t>
      </w:r>
      <w:r w:rsidRPr="005D58CB">
        <w:rPr>
          <w:i/>
          <w:iCs/>
        </w:rPr>
        <w:t>4</w:t>
      </w:r>
    </w:p>
    <w:p w14:paraId="2D35EFC0" w14:textId="34884B4F" w:rsidR="00670187" w:rsidRDefault="00670187" w:rsidP="00670187">
      <w:pPr>
        <w:pStyle w:val="Body"/>
      </w:pPr>
      <w:r w:rsidRPr="00CD6055">
        <w:t xml:space="preserve">A summary of the OS data from DESTINY-Breast04 is provided in </w:t>
      </w:r>
      <w:r w:rsidRPr="003C648C">
        <w:rPr>
          <w:b/>
        </w:rPr>
        <w:t xml:space="preserve">Section </w:t>
      </w:r>
      <w:r w:rsidR="007C383A" w:rsidRPr="003C648C">
        <w:rPr>
          <w:b/>
          <w:bCs/>
        </w:rPr>
        <w:fldChar w:fldCharType="begin"/>
      </w:r>
      <w:r w:rsidR="007C383A" w:rsidRPr="003C648C">
        <w:rPr>
          <w:b/>
          <w:bCs/>
        </w:rPr>
        <w:instrText xml:space="preserve"> REF _Ref127007584 \r \h </w:instrText>
      </w:r>
      <w:r w:rsidR="00897D23" w:rsidRPr="00D164C5">
        <w:rPr>
          <w:b/>
        </w:rPr>
        <w:instrText xml:space="preserve"> </w:instrText>
      </w:r>
      <w:r w:rsidR="00897D23">
        <w:rPr>
          <w:b/>
          <w:bCs/>
        </w:rPr>
        <w:instrText xml:space="preserve">\* MERGEFORMAT </w:instrText>
      </w:r>
      <w:r w:rsidR="007C383A" w:rsidRPr="003C648C">
        <w:rPr>
          <w:b/>
          <w:bCs/>
        </w:rPr>
      </w:r>
      <w:r w:rsidR="007C383A" w:rsidRPr="003C648C">
        <w:rPr>
          <w:b/>
          <w:bCs/>
        </w:rPr>
        <w:fldChar w:fldCharType="separate"/>
      </w:r>
      <w:r w:rsidR="00145F42">
        <w:rPr>
          <w:b/>
          <w:bCs/>
        </w:rPr>
        <w:t>B.2.6.1</w:t>
      </w:r>
      <w:r w:rsidR="007C383A" w:rsidRPr="003C648C">
        <w:rPr>
          <w:b/>
          <w:bCs/>
        </w:rPr>
        <w:fldChar w:fldCharType="end"/>
      </w:r>
      <w:r w:rsidRPr="00CD6055">
        <w:t xml:space="preserve"> and </w:t>
      </w:r>
      <w:r w:rsidRPr="003C648C">
        <w:rPr>
          <w:b/>
          <w:bCs/>
        </w:rPr>
        <w:fldChar w:fldCharType="begin"/>
      </w:r>
      <w:r w:rsidRPr="003C648C">
        <w:rPr>
          <w:b/>
          <w:bCs/>
        </w:rPr>
        <w:instrText xml:space="preserve"> REF _Ref126764414 \h </w:instrText>
      </w:r>
      <w:r w:rsidR="00897D23" w:rsidRPr="00D164C5">
        <w:rPr>
          <w:b/>
        </w:rPr>
        <w:instrText xml:space="preserve"> </w:instrText>
      </w:r>
      <w:r w:rsidR="00897D23">
        <w:rPr>
          <w:b/>
          <w:bCs/>
        </w:rPr>
        <w:instrText xml:space="preserve">\* MERGEFORMAT </w:instrText>
      </w:r>
      <w:r w:rsidRPr="003C648C">
        <w:rPr>
          <w:b/>
          <w:bCs/>
        </w:rPr>
      </w:r>
      <w:r w:rsidRPr="003C648C">
        <w:rPr>
          <w:b/>
          <w:bCs/>
        </w:rPr>
        <w:fldChar w:fldCharType="separate"/>
      </w:r>
      <w:r w:rsidR="00145F42" w:rsidRPr="00145F42">
        <w:rPr>
          <w:b/>
          <w:bCs/>
        </w:rPr>
        <w:t xml:space="preserve">Figure </w:t>
      </w:r>
      <w:r w:rsidR="00145F42" w:rsidRPr="00145F42">
        <w:rPr>
          <w:b/>
          <w:bCs/>
          <w:noProof/>
        </w:rPr>
        <w:t>24</w:t>
      </w:r>
      <w:r w:rsidRPr="003C648C">
        <w:rPr>
          <w:b/>
          <w:bCs/>
        </w:rPr>
        <w:fldChar w:fldCharType="end"/>
      </w:r>
      <w:r w:rsidRPr="00CD6055">
        <w:t xml:space="preserve"> below. OS data are </w:t>
      </w:r>
      <w:r w:rsidRPr="005D58CB">
        <w:t>mature with medians reached in both arms</w:t>
      </w:r>
      <w:r w:rsidR="00C44994">
        <w:t>.</w:t>
      </w:r>
      <w:r w:rsidRPr="0081652C">
        <w:fldChar w:fldCharType="begin"/>
      </w:r>
      <w:r w:rsidR="00CA6345">
        <w:instrText xml:space="preserve"> ADDIN ZOTERO_ITEM CSL_CITATION {"citationID":"XgYHxDKl","properties":{"formattedCitation":"\\super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81652C">
        <w:fldChar w:fldCharType="separate"/>
      </w:r>
      <w:r w:rsidR="00FD57F4" w:rsidRPr="00FD57F4">
        <w:rPr>
          <w:rFonts w:cs="Arial"/>
          <w:szCs w:val="24"/>
          <w:vertAlign w:val="superscript"/>
        </w:rPr>
        <w:t>7</w:t>
      </w:r>
      <w:r w:rsidRPr="0081652C">
        <w:fldChar w:fldCharType="end"/>
      </w:r>
      <w:r w:rsidRPr="00CD6055">
        <w:t xml:space="preserve"> Extrapolation of outcomes was </w:t>
      </w:r>
      <w:r w:rsidRPr="005D58CB">
        <w:t>performed</w:t>
      </w:r>
      <w:r w:rsidRPr="00CD6055">
        <w:t xml:space="preserve"> to inform cost-effectiveness estimates </w:t>
      </w:r>
      <w:r w:rsidRPr="005D58CB">
        <w:t>over a lifetime horizon</w:t>
      </w:r>
      <w:r>
        <w:t xml:space="preserve">. </w:t>
      </w:r>
    </w:p>
    <w:p w14:paraId="093B5BAA" w14:textId="7E600728" w:rsidR="00670187" w:rsidRDefault="00670187" w:rsidP="00670187">
      <w:pPr>
        <w:pStyle w:val="Caption"/>
      </w:pPr>
      <w:bookmarkStart w:id="454" w:name="_Ref126764414"/>
      <w:bookmarkStart w:id="455" w:name="_Toc127006641"/>
      <w:bookmarkStart w:id="456" w:name="_Toc129350950"/>
      <w:r>
        <w:t xml:space="preserve">Figure </w:t>
      </w:r>
      <w:fldSimple w:instr=" SEQ Figure \* ARABIC ">
        <w:r w:rsidR="00145F42">
          <w:rPr>
            <w:noProof/>
          </w:rPr>
          <w:t>24</w:t>
        </w:r>
      </w:fldSimple>
      <w:bookmarkEnd w:id="454"/>
      <w:r>
        <w:t>: OS</w:t>
      </w:r>
      <w:r w:rsidRPr="00171943">
        <w:t xml:space="preserve"> KM from DESTINY-Breast0</w:t>
      </w:r>
      <w:r w:rsidRPr="00D94F3B">
        <w:t>4 in the FAS population (T-DXd and TPC)</w:t>
      </w:r>
      <w:bookmarkEnd w:id="455"/>
      <w:bookmarkEnd w:id="45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7"/>
      </w:tblGrid>
      <w:tr w:rsidR="00670187" w14:paraId="1A996DE4" w14:textId="77777777" w:rsidTr="00897D23">
        <w:tc>
          <w:tcPr>
            <w:tcW w:w="9017" w:type="dxa"/>
            <w:tcBorders>
              <w:top w:val="single" w:sz="4" w:space="0" w:color="auto"/>
              <w:left w:val="single" w:sz="4" w:space="0" w:color="auto"/>
              <w:bottom w:val="single" w:sz="4" w:space="0" w:color="auto"/>
              <w:right w:val="single" w:sz="4" w:space="0" w:color="auto"/>
            </w:tcBorders>
          </w:tcPr>
          <w:p w14:paraId="4538441A" w14:textId="77777777" w:rsidR="00670187" w:rsidRDefault="00670187">
            <w:pPr>
              <w:pStyle w:val="Body"/>
              <w:spacing w:after="0"/>
            </w:pPr>
            <w:r w:rsidRPr="00054570">
              <w:rPr>
                <w:b/>
                <w:noProof/>
              </w:rPr>
              <w:drawing>
                <wp:inline distT="0" distB="0" distL="0" distR="0" wp14:anchorId="07809878" wp14:editId="3387C329">
                  <wp:extent cx="5447806" cy="3442335"/>
                  <wp:effectExtent l="0" t="0" r="635" b="5715"/>
                  <wp:docPr id="27" name="Picture 27"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chart, line chart&#10;&#10;Description automatically generated"/>
                          <pic:cNvPicPr/>
                        </pic:nvPicPr>
                        <pic:blipFill rotWithShape="1">
                          <a:blip r:embed="rId26"/>
                          <a:srcRect t="1633"/>
                          <a:stretch/>
                        </pic:blipFill>
                        <pic:spPr bwMode="auto">
                          <a:xfrm>
                            <a:off x="0" y="0"/>
                            <a:ext cx="5451583" cy="3444721"/>
                          </a:xfrm>
                          <a:prstGeom prst="rect">
                            <a:avLst/>
                          </a:prstGeom>
                          <a:ln>
                            <a:noFill/>
                          </a:ln>
                          <a:extLst>
                            <a:ext uri="{53640926-AAD7-44D8-BBD7-CCE9431645EC}">
                              <a14:shadowObscured xmlns:a14="http://schemas.microsoft.com/office/drawing/2010/main"/>
                            </a:ext>
                          </a:extLst>
                        </pic:spPr>
                      </pic:pic>
                    </a:graphicData>
                  </a:graphic>
                </wp:inline>
              </w:drawing>
            </w:r>
          </w:p>
        </w:tc>
      </w:tr>
    </w:tbl>
    <w:p w14:paraId="0B199282" w14:textId="77777777" w:rsidR="00670187" w:rsidRPr="00054570" w:rsidRDefault="00670187" w:rsidP="00670187">
      <w:pPr>
        <w:pStyle w:val="Footnotes"/>
        <w:spacing w:after="0"/>
      </w:pPr>
      <w:r w:rsidRPr="00054570">
        <w:t>Abbreviations: CI, confidence interval; FAS, full analysis set; HR, hazard ratio; OS, overall survival; T</w:t>
      </w:r>
      <w:r>
        <w:t>-</w:t>
      </w:r>
      <w:r w:rsidRPr="00054570">
        <w:t>DXd, trastuzumab deruxtecan; TPC, treatment of physician’s choice.</w:t>
      </w:r>
    </w:p>
    <w:p w14:paraId="6F162E0F" w14:textId="22EADB76" w:rsidR="00670187" w:rsidRPr="00054570" w:rsidRDefault="00670187" w:rsidP="00670187">
      <w:pPr>
        <w:pStyle w:val="Footnotes"/>
        <w:rPr>
          <w:vertAlign w:val="superscript"/>
        </w:rPr>
      </w:pPr>
      <w:r w:rsidRPr="00054570">
        <w:t>Source:  Daiichi Sankyo Inc., 2022 (CSR; Data on File).</w:t>
      </w:r>
      <w:r w:rsidRPr="00054570">
        <w:rPr>
          <w:sz w:val="14"/>
          <w:szCs w:val="14"/>
        </w:rPr>
        <w:fldChar w:fldCharType="begin"/>
      </w:r>
      <w:r w:rsidR="00CA6345">
        <w:instrText xml:space="preserve"> ADDIN ZOTERO_ITEM CSL_CITATION {"citationID":"kaGfcCsL","properties":{"formattedCitation":"\\super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rPr>
          <w:sz w:val="14"/>
          <w:szCs w:val="14"/>
        </w:rPr>
        <w:fldChar w:fldCharType="separate"/>
      </w:r>
      <w:r w:rsidR="00FD57F4" w:rsidRPr="00FD57F4">
        <w:rPr>
          <w:rFonts w:cs="Arial"/>
          <w:szCs w:val="24"/>
          <w:vertAlign w:val="superscript"/>
        </w:rPr>
        <w:t>7</w:t>
      </w:r>
      <w:r w:rsidRPr="00054570">
        <w:rPr>
          <w:sz w:val="14"/>
          <w:szCs w:val="14"/>
        </w:rPr>
        <w:fldChar w:fldCharType="end"/>
      </w:r>
    </w:p>
    <w:p w14:paraId="40F1F56D" w14:textId="3E129851" w:rsidR="00670187" w:rsidRDefault="00670187" w:rsidP="00670187">
      <w:pPr>
        <w:pStyle w:val="Body"/>
      </w:pPr>
      <w:r>
        <w:t xml:space="preserve">Prior to the fitting of parametric models, a </w:t>
      </w:r>
      <w:r w:rsidR="005C3494">
        <w:t>LCHP</w:t>
      </w:r>
      <w:r>
        <w:t xml:space="preserve"> was produced to assess whether the proportional hazards (PH) assumption may hold. </w:t>
      </w:r>
      <w:r w:rsidRPr="002D7EC8">
        <w:rPr>
          <w:b/>
        </w:rPr>
        <w:fldChar w:fldCharType="begin"/>
      </w:r>
      <w:r w:rsidRPr="002D7EC8">
        <w:rPr>
          <w:b/>
        </w:rPr>
        <w:instrText xml:space="preserve"> REF _Ref96104140 \h  \* MERGEFORMAT </w:instrText>
      </w:r>
      <w:r w:rsidRPr="002D7EC8">
        <w:rPr>
          <w:b/>
        </w:rPr>
      </w:r>
      <w:r w:rsidRPr="002D7EC8">
        <w:rPr>
          <w:b/>
        </w:rPr>
        <w:fldChar w:fldCharType="separate"/>
      </w:r>
      <w:r w:rsidR="00145F42" w:rsidRPr="00145F42">
        <w:rPr>
          <w:b/>
        </w:rPr>
        <w:t>Figure 25</w:t>
      </w:r>
      <w:r w:rsidRPr="002D7EC8">
        <w:rPr>
          <w:b/>
        </w:rPr>
        <w:fldChar w:fldCharType="end"/>
      </w:r>
      <w:r>
        <w:t xml:space="preserve"> presents the LCHP based on OS data from DESTINY-Breast</w:t>
      </w:r>
      <w:r w:rsidRPr="005D58CB">
        <w:t>04</w:t>
      </w:r>
      <w:r>
        <w:t xml:space="preserve">. As can be seen from the LCHP, the curves are </w:t>
      </w:r>
      <w:r w:rsidRPr="005D58CB">
        <w:t xml:space="preserve">not </w:t>
      </w:r>
      <w:r>
        <w:t xml:space="preserve">parallel </w:t>
      </w:r>
      <w:r w:rsidRPr="005D58CB">
        <w:t>over time</w:t>
      </w:r>
      <w:r>
        <w:t xml:space="preserve">: converging at the start and diverging </w:t>
      </w:r>
      <w:r w:rsidRPr="005D58CB">
        <w:t>after approximately 5 months. This indicates</w:t>
      </w:r>
      <w:r>
        <w:t xml:space="preserve"> that the ratio of the hazards between the two treatment arms </w:t>
      </w:r>
      <w:r w:rsidRPr="005D58CB">
        <w:t xml:space="preserve">is not </w:t>
      </w:r>
      <w:r>
        <w:t xml:space="preserve">constant </w:t>
      </w:r>
      <w:r w:rsidRPr="005D58CB">
        <w:t xml:space="preserve">and </w:t>
      </w:r>
      <w:r>
        <w:t>there is no clear evidence that the PH assumption holds</w:t>
      </w:r>
      <w:r w:rsidRPr="005D58CB">
        <w:t>.</w:t>
      </w:r>
    </w:p>
    <w:p w14:paraId="1D6139BB" w14:textId="0B84202D" w:rsidR="00670187" w:rsidRPr="00C67C0A" w:rsidRDefault="00670187" w:rsidP="00670187">
      <w:pPr>
        <w:pStyle w:val="Body"/>
        <w:rPr>
          <w:b/>
          <w:strike/>
          <w:szCs w:val="18"/>
        </w:rPr>
      </w:pPr>
      <w:r>
        <w:t xml:space="preserve">Given the assessment that PH </w:t>
      </w:r>
      <w:r w:rsidRPr="005D58CB">
        <w:t xml:space="preserve">for </w:t>
      </w:r>
      <w:r>
        <w:t xml:space="preserve">the OS data </w:t>
      </w:r>
      <w:r w:rsidRPr="005D58CB">
        <w:t xml:space="preserve">is inconclusive and cannot be clearly justified, </w:t>
      </w:r>
      <w:r>
        <w:t xml:space="preserve">the </w:t>
      </w:r>
      <w:r w:rsidRPr="005D58CB">
        <w:t>approach was taken to use independent models. This is in line with recommendations in NICE DSU TSD 14</w:t>
      </w:r>
      <w:r w:rsidRPr="005D58CB">
        <w:fldChar w:fldCharType="begin"/>
      </w:r>
      <w:r w:rsidR="00CA6345">
        <w:instrText xml:space="preserve"> ADDIN ZOTERO_ITEM CSL_CITATION {"citationID":"BTOIp5HM","properties":{"formattedCitation":"\\super 171\\nosupersub{}","plainCitation":"171","noteIndex":0},"citationItems":[{"id":66276,"uris":["http://zotero.org/groups/4797619/items/QYBHYJLM"],"itemData":{"id":66276,"type":"webpage","title":"NICE DSU Technical Support Document 14:  Survival Analysis For Economic Evaluations Alongside Clinical Trials - Extrapolation With Patient-Level Data","URL":"https://www.sheffield.ac.uk/sites/default/files/2022-02/TSD14-Survival-analysis.updated-March-2013.v2.pdf","author":[{"family":"NICE","given":""}],"issued":{"date-parts":[["2013",3]]}}}],"schema":"https://github.com/citation-style-language/schema/raw/master/csl-citation.json"} </w:instrText>
      </w:r>
      <w:r w:rsidRPr="005D58CB">
        <w:fldChar w:fldCharType="separate"/>
      </w:r>
      <w:r w:rsidR="00CA6345" w:rsidRPr="00CA6345">
        <w:rPr>
          <w:rFonts w:cs="Arial"/>
          <w:szCs w:val="24"/>
          <w:vertAlign w:val="superscript"/>
        </w:rPr>
        <w:t>171</w:t>
      </w:r>
      <w:r w:rsidRPr="005D58CB">
        <w:fldChar w:fldCharType="end"/>
      </w:r>
      <w:r w:rsidRPr="005D58CB">
        <w:t xml:space="preserve"> which state that “</w:t>
      </w:r>
      <w:r>
        <w:t>generally, when patient-level data are available, it is unnecessary to rely upon the proportional hazards assumption” and that “</w:t>
      </w:r>
      <w:r w:rsidRPr="005D58CB">
        <w:t xml:space="preserve">PH modelling </w:t>
      </w:r>
      <w:r w:rsidRPr="005D58CB">
        <w:lastRenderedPageBreak/>
        <w:t xml:space="preserve">should only be used if the proportional hazards assumption can be clearly justified using log-cumulative hazard plots, external information and clinical expert opinion”. </w:t>
      </w:r>
      <w:r w:rsidRPr="001D76DB">
        <w:t xml:space="preserve">Mature patient level data for T-DXd and TPC </w:t>
      </w:r>
      <w:r w:rsidRPr="00C67C0A">
        <w:t>from DESTINY-Brea</w:t>
      </w:r>
      <w:r w:rsidR="00D21117">
        <w:t>s</w:t>
      </w:r>
      <w:r w:rsidRPr="00C67C0A">
        <w:t>t04</w:t>
      </w:r>
      <w:r w:rsidRPr="001D76DB">
        <w:t xml:space="preserve"> provide robust evidence to inform long-term extrapolations using independent parametric curves for each treatment arm. Use of independent parametric curves, fitted to mature patient level data, is likely to result in better fitting curves for each treatment arm, compared to the use of dependently fitted models. Given the strong assumption</w:t>
      </w:r>
      <w:r w:rsidR="00DC56A8">
        <w:t>s</w:t>
      </w:r>
      <w:r w:rsidRPr="001D76DB">
        <w:t xml:space="preserve"> required to use dependent curves, which have not been met for OS, UK clinical and </w:t>
      </w:r>
      <w:r w:rsidRPr="005D58CB">
        <w:t xml:space="preserve">HEOR experts </w:t>
      </w:r>
      <w:r w:rsidR="00381927">
        <w:t>advised</w:t>
      </w:r>
      <w:r w:rsidR="00381927" w:rsidRPr="005D58CB">
        <w:t xml:space="preserve"> </w:t>
      </w:r>
      <w:r w:rsidR="00381927">
        <w:t xml:space="preserve">at an advisory board meeting in December 2022 </w:t>
      </w:r>
      <w:r w:rsidRPr="005D58CB">
        <w:t>that the use of independent curves is deemed the most appropriate for informing the cost-effectiveness analysis</w:t>
      </w:r>
      <w:r>
        <w:t>.</w:t>
      </w:r>
      <w:r w:rsidRPr="00054570">
        <w:fldChar w:fldCharType="begin"/>
      </w:r>
      <w:r w:rsidR="00CA6345">
        <w:instrText xml:space="preserve"> ADDIN ZOTERO_ITEM CSL_CITATION {"citationID":"IKNfIN4z","properties":{"formattedCitation":"\\super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Pr="00054570">
        <w:fldChar w:fldCharType="separate"/>
      </w:r>
      <w:r w:rsidR="00CA6345" w:rsidRPr="00CA6345">
        <w:rPr>
          <w:rFonts w:cs="Arial"/>
          <w:szCs w:val="24"/>
          <w:vertAlign w:val="superscript"/>
        </w:rPr>
        <w:t>121</w:t>
      </w:r>
      <w:r w:rsidRPr="00054570">
        <w:fldChar w:fldCharType="end"/>
      </w:r>
      <w:r w:rsidRPr="00293ECD">
        <w:t xml:space="preserve"> </w:t>
      </w:r>
      <w:r w:rsidRPr="00C67C0A" w:rsidDel="00741BF4">
        <w:rPr>
          <w:strike/>
        </w:rPr>
        <w:t xml:space="preserve"> </w:t>
      </w:r>
    </w:p>
    <w:p w14:paraId="35F07A53" w14:textId="53497323" w:rsidR="00670187" w:rsidRPr="005D58CB" w:rsidRDefault="00670187" w:rsidP="00670187">
      <w:pPr>
        <w:pStyle w:val="Caption"/>
      </w:pPr>
      <w:bookmarkStart w:id="457" w:name="_Ref96104140"/>
      <w:bookmarkStart w:id="458" w:name="_Toc98924713"/>
      <w:bookmarkStart w:id="459" w:name="_Toc127006642"/>
      <w:bookmarkStart w:id="460" w:name="_Toc129350951"/>
      <w:r>
        <w:t xml:space="preserve">Figure </w:t>
      </w:r>
      <w:r>
        <w:fldChar w:fldCharType="begin"/>
      </w:r>
      <w:r>
        <w:instrText>SEQ Figure \* ARABIC</w:instrText>
      </w:r>
      <w:r>
        <w:fldChar w:fldCharType="separate"/>
      </w:r>
      <w:r w:rsidR="00145F42">
        <w:rPr>
          <w:noProof/>
        </w:rPr>
        <w:t>25</w:t>
      </w:r>
      <w:r>
        <w:fldChar w:fldCharType="end"/>
      </w:r>
      <w:bookmarkEnd w:id="457"/>
      <w:r>
        <w:t xml:space="preserve">: Log-cumulative hazard plot of OS from </w:t>
      </w:r>
      <w:bookmarkEnd w:id="458"/>
      <w:r>
        <w:t xml:space="preserve">DESTINY-Breast04 </w:t>
      </w:r>
      <w:r w:rsidRPr="005D58CB">
        <w:t>in the FAS population</w:t>
      </w:r>
      <w:bookmarkEnd w:id="459"/>
      <w:bookmarkEnd w:id="460"/>
    </w:p>
    <w:tbl>
      <w:tblPr>
        <w:tblStyle w:val="TableGrid"/>
        <w:tblW w:w="0" w:type="auto"/>
        <w:tblBorders>
          <w:top w:val="single" w:sz="24" w:space="0" w:color="FFFF00"/>
          <w:left w:val="single" w:sz="24" w:space="0" w:color="FFFF00"/>
          <w:bottom w:val="single" w:sz="24" w:space="0" w:color="FFFF00"/>
          <w:right w:val="single" w:sz="24" w:space="0" w:color="FFFF00"/>
          <w:insideH w:val="single" w:sz="24" w:space="0" w:color="FFFF00"/>
          <w:insideV w:val="single" w:sz="24" w:space="0" w:color="FFFF00"/>
        </w:tblBorders>
        <w:tblLook w:val="04A0" w:firstRow="1" w:lastRow="0" w:firstColumn="1" w:lastColumn="0" w:noHBand="0" w:noVBand="1"/>
      </w:tblPr>
      <w:tblGrid>
        <w:gridCol w:w="9017"/>
      </w:tblGrid>
      <w:tr w:rsidR="00670187" w14:paraId="1C3186EF" w14:textId="77777777" w:rsidTr="00114430">
        <w:tc>
          <w:tcPr>
            <w:tcW w:w="9017" w:type="dxa"/>
            <w:tcBorders>
              <w:top w:val="single" w:sz="4" w:space="0" w:color="auto"/>
              <w:left w:val="single" w:sz="4" w:space="0" w:color="auto"/>
              <w:bottom w:val="single" w:sz="4" w:space="0" w:color="auto"/>
              <w:right w:val="single" w:sz="4" w:space="0" w:color="auto"/>
            </w:tcBorders>
            <w:vAlign w:val="center"/>
          </w:tcPr>
          <w:p w14:paraId="65918F40" w14:textId="77777777" w:rsidR="00670187" w:rsidRDefault="00670187">
            <w:pPr>
              <w:jc w:val="center"/>
            </w:pPr>
            <w:r>
              <w:rPr>
                <w:noProof/>
              </w:rPr>
              <w:drawing>
                <wp:inline distT="0" distB="0" distL="0" distR="0" wp14:anchorId="41D3F2E4" wp14:editId="3D6CFCAB">
                  <wp:extent cx="5162550" cy="3028208"/>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191585" cy="3045239"/>
                          </a:xfrm>
                          <a:prstGeom prst="rect">
                            <a:avLst/>
                          </a:prstGeom>
                          <a:noFill/>
                        </pic:spPr>
                      </pic:pic>
                    </a:graphicData>
                  </a:graphic>
                </wp:inline>
              </w:drawing>
            </w:r>
          </w:p>
        </w:tc>
      </w:tr>
    </w:tbl>
    <w:p w14:paraId="33123BE4" w14:textId="77777777" w:rsidR="00670187" w:rsidRPr="00F7620D" w:rsidRDefault="00670187" w:rsidP="00670187">
      <w:pPr>
        <w:pStyle w:val="Footnotes"/>
        <w:spacing w:after="0"/>
      </w:pPr>
      <w:r>
        <w:t>Abbreviations: FAS, full analysis set; LCHP, log-cumulative hazard plot; OS, overall survival.</w:t>
      </w:r>
    </w:p>
    <w:p w14:paraId="5D907517" w14:textId="77777777" w:rsidR="00670187" w:rsidRPr="002250A9" w:rsidRDefault="00670187" w:rsidP="00670187">
      <w:pPr>
        <w:pStyle w:val="Footnotes"/>
        <w:spacing w:after="0"/>
        <w:rPr>
          <w:strike/>
        </w:rPr>
      </w:pPr>
    </w:p>
    <w:p w14:paraId="09E8D657" w14:textId="4486A360" w:rsidR="00670187" w:rsidRPr="003C648C" w:rsidRDefault="00670187" w:rsidP="00670187">
      <w:pPr>
        <w:pStyle w:val="In-textheading"/>
        <w:rPr>
          <w:u w:val="single"/>
        </w:rPr>
      </w:pPr>
      <w:r w:rsidRPr="003C648C">
        <w:rPr>
          <w:u w:val="single"/>
        </w:rPr>
        <w:t>Assessment of the statistical goodness-of-fit scores for fitted models</w:t>
      </w:r>
    </w:p>
    <w:p w14:paraId="4473790F" w14:textId="1E19D6EA" w:rsidR="00670187" w:rsidDel="007C556D" w:rsidRDefault="00670187" w:rsidP="00670187">
      <w:pPr>
        <w:pStyle w:val="Body"/>
      </w:pPr>
      <w:r w:rsidRPr="000544B1">
        <w:t>Independent</w:t>
      </w:r>
      <w:r>
        <w:t xml:space="preserve"> parametric survival models (PSMs) were fitted in R</w:t>
      </w:r>
      <w:r w:rsidRPr="008F4D42">
        <w:rPr>
          <w:vertAlign w:val="superscript"/>
        </w:rPr>
        <w:t>®</w:t>
      </w:r>
      <w:r>
        <w:t xml:space="preserve"> using the ‘</w:t>
      </w:r>
      <w:r w:rsidRPr="00C00E26">
        <w:rPr>
          <w:i/>
          <w:iCs/>
        </w:rPr>
        <w:t>flexsurv</w:t>
      </w:r>
      <w:r>
        <w:t>’ package. Six standard parametric forms discussed in NICE DSU TSD 14</w:t>
      </w:r>
      <w:r>
        <w:fldChar w:fldCharType="begin"/>
      </w:r>
      <w:r w:rsidR="00CA6345">
        <w:instrText xml:space="preserve"> ADDIN ZOTERO_ITEM CSL_CITATION {"citationID":"D79YjBx8","properties":{"formattedCitation":"\\super 171\\nosupersub{}","plainCitation":"171","noteIndex":0},"citationItems":[{"id":66276,"uris":["http://zotero.org/groups/4797619/items/QYBHYJLM"],"itemData":{"id":66276,"type":"webpage","title":"NICE DSU Technical Support Document 14:  Survival Analysis For Economic Evaluations Alongside Clinical Trials - Extrapolation With Patient-Level Data","URL":"https://www.sheffield.ac.uk/sites/default/files/2022-02/TSD14-Survival-analysis.updated-March-2013.v2.pdf","author":[{"family":"NICE","given":""}],"issued":{"date-parts":[["2013",3]]}}}],"schema":"https://github.com/citation-style-language/schema/raw/master/csl-citation.json"} </w:instrText>
      </w:r>
      <w:r>
        <w:fldChar w:fldCharType="separate"/>
      </w:r>
      <w:r w:rsidR="00CA6345" w:rsidRPr="00CA6345">
        <w:rPr>
          <w:rFonts w:cs="Arial"/>
          <w:szCs w:val="24"/>
          <w:vertAlign w:val="superscript"/>
        </w:rPr>
        <w:t>171</w:t>
      </w:r>
      <w:r>
        <w:fldChar w:fldCharType="end"/>
      </w:r>
      <w:r>
        <w:t xml:space="preserve"> were fitted to patient-level survival data from DESTINY-Breast04 to provide long-term extrapolations for the economic model: </w:t>
      </w:r>
    </w:p>
    <w:p w14:paraId="1CF809CC" w14:textId="77777777" w:rsidR="00670187" w:rsidRPr="00572E37" w:rsidDel="007C556D" w:rsidRDefault="00670187" w:rsidP="00E91470">
      <w:pPr>
        <w:pStyle w:val="Body"/>
        <w:numPr>
          <w:ilvl w:val="0"/>
          <w:numId w:val="56"/>
        </w:numPr>
        <w:spacing w:after="0"/>
      </w:pPr>
      <w:r w:rsidRPr="00572E37" w:rsidDel="007C556D">
        <w:t>Exponential</w:t>
      </w:r>
    </w:p>
    <w:p w14:paraId="729C8650" w14:textId="77777777" w:rsidR="00670187" w:rsidRPr="00572E37" w:rsidDel="007C556D" w:rsidRDefault="00670187" w:rsidP="00E91470">
      <w:pPr>
        <w:pStyle w:val="Body"/>
        <w:numPr>
          <w:ilvl w:val="0"/>
          <w:numId w:val="56"/>
        </w:numPr>
        <w:spacing w:after="0"/>
      </w:pPr>
      <w:r w:rsidRPr="00572E37" w:rsidDel="007C556D">
        <w:t>Generalised Gamma</w:t>
      </w:r>
    </w:p>
    <w:p w14:paraId="79D99588" w14:textId="77777777" w:rsidR="00670187" w:rsidRPr="00572E37" w:rsidDel="007C556D" w:rsidRDefault="00670187" w:rsidP="00E91470">
      <w:pPr>
        <w:pStyle w:val="Body"/>
        <w:numPr>
          <w:ilvl w:val="0"/>
          <w:numId w:val="56"/>
        </w:numPr>
        <w:spacing w:after="0"/>
      </w:pPr>
      <w:r w:rsidRPr="00572E37" w:rsidDel="007C556D">
        <w:t>Gompertz</w:t>
      </w:r>
    </w:p>
    <w:p w14:paraId="2B4A86F5" w14:textId="77777777" w:rsidR="00670187" w:rsidRPr="00572E37" w:rsidDel="007C556D" w:rsidRDefault="00670187" w:rsidP="00E91470">
      <w:pPr>
        <w:pStyle w:val="Body"/>
        <w:numPr>
          <w:ilvl w:val="0"/>
          <w:numId w:val="56"/>
        </w:numPr>
        <w:spacing w:after="0"/>
      </w:pPr>
      <w:r w:rsidRPr="00572E37" w:rsidDel="007C556D">
        <w:t>Log-logistic</w:t>
      </w:r>
    </w:p>
    <w:p w14:paraId="652824EA" w14:textId="77777777" w:rsidR="00670187" w:rsidRPr="00572E37" w:rsidDel="007C556D" w:rsidRDefault="00670187" w:rsidP="00E91470">
      <w:pPr>
        <w:pStyle w:val="Body"/>
        <w:numPr>
          <w:ilvl w:val="0"/>
          <w:numId w:val="56"/>
        </w:numPr>
        <w:spacing w:after="0"/>
      </w:pPr>
      <w:r w:rsidRPr="00572E37" w:rsidDel="007C556D">
        <w:t>Log-normal</w:t>
      </w:r>
    </w:p>
    <w:p w14:paraId="501D22E3" w14:textId="77777777" w:rsidR="00670187" w:rsidRPr="00572E37" w:rsidRDefault="00670187" w:rsidP="00E91470">
      <w:pPr>
        <w:pStyle w:val="Body"/>
        <w:numPr>
          <w:ilvl w:val="0"/>
          <w:numId w:val="56"/>
        </w:numPr>
      </w:pPr>
      <w:r w:rsidRPr="00572E37">
        <w:t>Weibull</w:t>
      </w:r>
      <w:r>
        <w:t xml:space="preserve"> </w:t>
      </w:r>
    </w:p>
    <w:p w14:paraId="08D03E4D" w14:textId="03666C83" w:rsidR="00670187" w:rsidRDefault="00670187" w:rsidP="00670187">
      <w:pPr>
        <w:pStyle w:val="Body"/>
      </w:pPr>
      <w:r w:rsidRPr="000D5381">
        <w:rPr>
          <w:rStyle w:val="NICEnormalChar"/>
        </w:rPr>
        <w:t xml:space="preserve">AIC and BIC </w:t>
      </w:r>
      <w:r w:rsidRPr="00376B96">
        <w:rPr>
          <w:rStyle w:val="NICEnormalChar"/>
        </w:rPr>
        <w:t xml:space="preserve">scores provide </w:t>
      </w:r>
      <w:r w:rsidRPr="00376B96">
        <w:t xml:space="preserve">informative statistical tests </w:t>
      </w:r>
      <w:r w:rsidRPr="005D58CB">
        <w:t xml:space="preserve">to </w:t>
      </w:r>
      <w:r w:rsidRPr="00376B96">
        <w:t xml:space="preserve">determine the relative fit of </w:t>
      </w:r>
      <w:r w:rsidRPr="005D58CB">
        <w:t xml:space="preserve">alternative </w:t>
      </w:r>
      <w:r w:rsidRPr="00376B96">
        <w:t>parametric models to the observed data. AIC and BIC scores for the extrapolated OS for DESTINY-Breast</w:t>
      </w:r>
      <w:r w:rsidRPr="005D58CB">
        <w:t>04</w:t>
      </w:r>
      <w:r w:rsidRPr="00376B96">
        <w:t xml:space="preserve"> data are presented in </w:t>
      </w:r>
      <w:r w:rsidRPr="003C648C">
        <w:rPr>
          <w:b/>
          <w:bCs/>
        </w:rPr>
        <w:fldChar w:fldCharType="begin"/>
      </w:r>
      <w:r w:rsidRPr="003C648C">
        <w:rPr>
          <w:b/>
          <w:bCs/>
        </w:rPr>
        <w:instrText xml:space="preserve"> REF _Ref96104219 \h  \* MERGEFORMAT </w:instrText>
      </w:r>
      <w:r w:rsidRPr="003C648C">
        <w:rPr>
          <w:b/>
          <w:bCs/>
        </w:rPr>
      </w:r>
      <w:r w:rsidRPr="003C648C">
        <w:rPr>
          <w:b/>
          <w:bCs/>
        </w:rPr>
        <w:fldChar w:fldCharType="separate"/>
      </w:r>
      <w:r w:rsidR="00145F42" w:rsidRPr="00145F42">
        <w:rPr>
          <w:b/>
          <w:bCs/>
        </w:rPr>
        <w:t xml:space="preserve">Table </w:t>
      </w:r>
      <w:r w:rsidR="00145F42" w:rsidRPr="00145F42">
        <w:rPr>
          <w:b/>
          <w:bCs/>
          <w:noProof/>
        </w:rPr>
        <w:t>35</w:t>
      </w:r>
      <w:r w:rsidRPr="003C648C">
        <w:rPr>
          <w:b/>
          <w:bCs/>
        </w:rPr>
        <w:fldChar w:fldCharType="end"/>
      </w:r>
      <w:r w:rsidRPr="00376B96">
        <w:t xml:space="preserve">. </w:t>
      </w:r>
      <w:r w:rsidRPr="005D58CB">
        <w:t>Lower AIC and BIC scores indicate a better statistical fit to the observed data</w:t>
      </w:r>
      <w:r w:rsidRPr="00376B96">
        <w:t xml:space="preserve">. </w:t>
      </w:r>
    </w:p>
    <w:p w14:paraId="3DF724DB" w14:textId="1DE1A7BA" w:rsidR="00571073" w:rsidRDefault="00226452" w:rsidP="00F710CB">
      <w:r>
        <w:lastRenderedPageBreak/>
        <w:t>F</w:t>
      </w:r>
      <w:r w:rsidR="00CD05ED" w:rsidRPr="005D58CB">
        <w:t>or the TPC</w:t>
      </w:r>
      <w:r w:rsidR="008B15E8">
        <w:t xml:space="preserve"> arm</w:t>
      </w:r>
      <w:r w:rsidR="00670187" w:rsidRPr="00376B96">
        <w:t xml:space="preserve">, the </w:t>
      </w:r>
      <w:r w:rsidR="00670187" w:rsidRPr="005D58CB">
        <w:t>log-logistic</w:t>
      </w:r>
      <w:r w:rsidR="00670187">
        <w:t xml:space="preserve"> parametric</w:t>
      </w:r>
      <w:r w:rsidR="00670187" w:rsidRPr="005D58CB">
        <w:t xml:space="preserve"> curve </w:t>
      </w:r>
      <w:r w:rsidR="00670187" w:rsidRPr="00376B96">
        <w:t>provides the</w:t>
      </w:r>
      <w:r w:rsidR="00670187">
        <w:t xml:space="preserve"> </w:t>
      </w:r>
      <w:r w:rsidR="00670187" w:rsidRPr="00376B96">
        <w:t>overall best fit</w:t>
      </w:r>
      <w:r>
        <w:t xml:space="preserve"> b</w:t>
      </w:r>
      <w:r w:rsidRPr="00376B96">
        <w:t>ased on the goodness-of-fit statistics</w:t>
      </w:r>
      <w:r w:rsidR="008B15E8">
        <w:t xml:space="preserve">. </w:t>
      </w:r>
      <w:r w:rsidR="00670187" w:rsidRPr="005D58CB">
        <w:t>The Weibull provides the second-best statistical fit for AIC</w:t>
      </w:r>
      <w:r w:rsidR="00462EB3">
        <w:t xml:space="preserve"> and</w:t>
      </w:r>
      <w:r w:rsidR="00670187" w:rsidRPr="005D58CB">
        <w:t xml:space="preserve"> BIC</w:t>
      </w:r>
      <w:r w:rsidR="008B15E8">
        <w:t>.</w:t>
      </w:r>
      <w:r w:rsidR="00363A81">
        <w:t xml:space="preserve"> </w:t>
      </w:r>
      <w:r w:rsidR="008B15E8">
        <w:t>T</w:t>
      </w:r>
      <w:r w:rsidR="00462EB3" w:rsidRPr="00090967">
        <w:t>he exponential, Gompertz</w:t>
      </w:r>
      <w:r w:rsidR="00D52B2A">
        <w:t xml:space="preserve">, </w:t>
      </w:r>
      <w:r w:rsidR="00462EB3" w:rsidRPr="00090967">
        <w:t xml:space="preserve">log normal </w:t>
      </w:r>
      <w:r w:rsidR="00D52B2A">
        <w:t xml:space="preserve">and generalised gamma </w:t>
      </w:r>
      <w:r w:rsidR="00462EB3" w:rsidRPr="00090967">
        <w:t xml:space="preserve">curves </w:t>
      </w:r>
      <w:r w:rsidR="009503E5" w:rsidRPr="00286D14">
        <w:t>we</w:t>
      </w:r>
      <w:r w:rsidR="009503E5" w:rsidRPr="00090967">
        <w:t xml:space="preserve">re more than 5 AIC or BIC points from best </w:t>
      </w:r>
      <w:r w:rsidR="009503E5">
        <w:t>fitting curve and</w:t>
      </w:r>
      <w:r w:rsidR="00462EB3" w:rsidRPr="00090967">
        <w:t xml:space="preserve"> </w:t>
      </w:r>
      <w:r w:rsidR="00462EB3" w:rsidRPr="00286D14">
        <w:t xml:space="preserve">considered to have a </w:t>
      </w:r>
      <w:r w:rsidR="00462EB3" w:rsidRPr="00090967">
        <w:t>poor statistical fit</w:t>
      </w:r>
      <w:r w:rsidR="00736E82">
        <w:t xml:space="preserve"> to the KM data</w:t>
      </w:r>
      <w:r w:rsidR="00571073" w:rsidRPr="00090967">
        <w:t>.</w:t>
      </w:r>
      <w:r w:rsidR="00571073" w:rsidRPr="00286D14">
        <w:t xml:space="preserve"> </w:t>
      </w:r>
    </w:p>
    <w:p w14:paraId="4D4DCDB5" w14:textId="75B25897" w:rsidR="00571073" w:rsidRDefault="00923923" w:rsidP="00571073">
      <w:pPr>
        <w:pStyle w:val="Body"/>
      </w:pPr>
      <w:r>
        <w:t xml:space="preserve">For the </w:t>
      </w:r>
      <w:r w:rsidR="00B87E3F" w:rsidRPr="005D58CB">
        <w:t>T-DXd arm</w:t>
      </w:r>
      <w:r w:rsidR="00D05FB6" w:rsidRPr="00376B96">
        <w:t xml:space="preserve">, the </w:t>
      </w:r>
      <w:r w:rsidR="00D05FB6" w:rsidRPr="005D58CB">
        <w:t xml:space="preserve">Gompertz parametric curve </w:t>
      </w:r>
      <w:r w:rsidR="00D05FB6" w:rsidRPr="00376B96">
        <w:t xml:space="preserve">provides the best </w:t>
      </w:r>
      <w:r w:rsidR="0010040D">
        <w:t xml:space="preserve">statistical </w:t>
      </w:r>
      <w:r w:rsidR="00D05FB6" w:rsidRPr="00376B96">
        <w:t>fit</w:t>
      </w:r>
      <w:r w:rsidR="0010040D">
        <w:t xml:space="preserve">. </w:t>
      </w:r>
      <w:r w:rsidR="008B15E8" w:rsidRPr="008B15E8">
        <w:t xml:space="preserve">The </w:t>
      </w:r>
      <w:r w:rsidR="008E5ACD">
        <w:t xml:space="preserve"> Weibull, </w:t>
      </w:r>
      <w:r w:rsidR="005D6FBB">
        <w:t xml:space="preserve">log-logistic and generalised gamma </w:t>
      </w:r>
      <w:r w:rsidR="00054806">
        <w:t xml:space="preserve">curves </w:t>
      </w:r>
      <w:r w:rsidR="005D6FBB">
        <w:t xml:space="preserve">were </w:t>
      </w:r>
      <w:r w:rsidR="00054806">
        <w:t>within 5 AIC or BIC points of the best fitting curve</w:t>
      </w:r>
      <w:r w:rsidR="00AA1E2F">
        <w:t xml:space="preserve"> and could be considered to be </w:t>
      </w:r>
      <w:r w:rsidR="002E5472">
        <w:t xml:space="preserve">a good fit, while the </w:t>
      </w:r>
      <w:r w:rsidR="00462EB3" w:rsidRPr="00286D14">
        <w:t>exponential</w:t>
      </w:r>
      <w:r w:rsidR="00571073">
        <w:t xml:space="preserve"> </w:t>
      </w:r>
      <w:r w:rsidR="00571073" w:rsidRPr="00090967">
        <w:t>and log</w:t>
      </w:r>
      <w:r w:rsidR="00562FC2">
        <w:t>-</w:t>
      </w:r>
      <w:r w:rsidR="00571073" w:rsidRPr="00090967">
        <w:t xml:space="preserve">normal curves </w:t>
      </w:r>
      <w:r w:rsidR="00571073" w:rsidRPr="00286D14">
        <w:t>we</w:t>
      </w:r>
      <w:r w:rsidR="00571073" w:rsidRPr="00090967">
        <w:t>re more than 5 AIC or BIC points from the</w:t>
      </w:r>
      <w:r w:rsidR="000834EC">
        <w:t xml:space="preserve"> best-fitting curve</w:t>
      </w:r>
      <w:r w:rsidR="002E5472" w:rsidRPr="002E5472">
        <w:t xml:space="preserve"> </w:t>
      </w:r>
      <w:r w:rsidR="002E5472">
        <w:t>and</w:t>
      </w:r>
      <w:r w:rsidR="002E5472" w:rsidRPr="00090967">
        <w:t xml:space="preserve"> </w:t>
      </w:r>
      <w:r w:rsidR="002E5472" w:rsidRPr="00286D14">
        <w:t xml:space="preserve">considered to have a </w:t>
      </w:r>
      <w:r w:rsidR="002E5472" w:rsidRPr="00090967">
        <w:t>poor statistical fit</w:t>
      </w:r>
      <w:r w:rsidR="00736E82">
        <w:t xml:space="preserve"> to the KM data</w:t>
      </w:r>
      <w:r w:rsidR="00571073" w:rsidRPr="00090967">
        <w:t>.</w:t>
      </w:r>
      <w:r w:rsidR="00571073" w:rsidRPr="00286D14">
        <w:t xml:space="preserve"> </w:t>
      </w:r>
    </w:p>
    <w:p w14:paraId="3C481438" w14:textId="316C6BAD" w:rsidR="00571073" w:rsidRDefault="00571073" w:rsidP="00F710CB">
      <w:pPr>
        <w:pStyle w:val="Body"/>
      </w:pPr>
      <w:r>
        <w:t xml:space="preserve">Overall, the log-logistic and Weibull curves provided a good statistical fit for both T-DXd and TPC. </w:t>
      </w:r>
    </w:p>
    <w:p w14:paraId="465E5558" w14:textId="04CE568A" w:rsidR="00670187" w:rsidRPr="005D58CB" w:rsidRDefault="00670187" w:rsidP="00670187">
      <w:pPr>
        <w:pStyle w:val="Caption"/>
      </w:pPr>
      <w:bookmarkStart w:id="461" w:name="_Ref96104219"/>
      <w:bookmarkStart w:id="462" w:name="_Toc127006665"/>
      <w:bookmarkStart w:id="463" w:name="_Toc129351010"/>
      <w:bookmarkStart w:id="464" w:name="_Toc98924745"/>
      <w:r w:rsidRPr="00143C3D">
        <w:t xml:space="preserve">Table </w:t>
      </w:r>
      <w:r w:rsidRPr="00143C3D">
        <w:fldChar w:fldCharType="begin"/>
      </w:r>
      <w:r w:rsidRPr="00143C3D">
        <w:instrText>SEQ Table \* ARABIC</w:instrText>
      </w:r>
      <w:r w:rsidRPr="00143C3D">
        <w:fldChar w:fldCharType="separate"/>
      </w:r>
      <w:r w:rsidR="00145F42">
        <w:rPr>
          <w:noProof/>
        </w:rPr>
        <w:t>35</w:t>
      </w:r>
      <w:r w:rsidRPr="00143C3D">
        <w:fldChar w:fldCharType="end"/>
      </w:r>
      <w:bookmarkEnd w:id="461"/>
      <w:r w:rsidRPr="00143C3D">
        <w:t xml:space="preserve">: </w:t>
      </w:r>
      <w:r w:rsidRPr="005D58CB">
        <w:t>Statistical goodness-of-fit scores (OS, independent models) in the FAS population</w:t>
      </w:r>
      <w:bookmarkEnd w:id="462"/>
      <w:bookmarkEnd w:id="463"/>
      <w:r w:rsidRPr="005D58CB">
        <w:t xml:space="preserve">  </w:t>
      </w:r>
      <w:bookmarkEnd w:id="464"/>
    </w:p>
    <w:tbl>
      <w:tblPr>
        <w:tblStyle w:val="TableGridLight"/>
        <w:tblW w:w="8789" w:type="dxa"/>
        <w:tblLayout w:type="fixed"/>
        <w:tblLook w:val="04A0" w:firstRow="1" w:lastRow="0" w:firstColumn="1" w:lastColumn="0" w:noHBand="0" w:noVBand="1"/>
      </w:tblPr>
      <w:tblGrid>
        <w:gridCol w:w="2508"/>
        <w:gridCol w:w="1570"/>
        <w:gridCol w:w="1570"/>
        <w:gridCol w:w="1570"/>
        <w:gridCol w:w="1571"/>
      </w:tblGrid>
      <w:tr w:rsidR="00526B43" w:rsidRPr="00143C3D" w14:paraId="6E4AE7A6" w14:textId="77777777" w:rsidTr="003C648C">
        <w:trPr>
          <w:cnfStyle w:val="100000000000" w:firstRow="1" w:lastRow="0" w:firstColumn="0" w:lastColumn="0" w:oddVBand="0" w:evenVBand="0" w:oddHBand="0" w:evenHBand="0" w:firstRowFirstColumn="0" w:firstRowLastColumn="0" w:lastRowFirstColumn="0" w:lastRowLastColumn="0"/>
          <w:trHeight w:val="277"/>
          <w:tblHeader/>
        </w:trPr>
        <w:tc>
          <w:tcPr>
            <w:tcW w:w="2508" w:type="dxa"/>
            <w:vMerge w:val="restart"/>
          </w:tcPr>
          <w:p w14:paraId="2BFCF5E6" w14:textId="77777777" w:rsidR="00526B43" w:rsidRPr="00143C3D" w:rsidRDefault="00526B43">
            <w:pPr>
              <w:pStyle w:val="NICETableHeader"/>
              <w:rPr>
                <w:rFonts w:cs="Arial"/>
                <w:b/>
                <w:bCs/>
              </w:rPr>
            </w:pPr>
            <w:r w:rsidRPr="00143C3D">
              <w:rPr>
                <w:b/>
              </w:rPr>
              <w:t>Model</w:t>
            </w:r>
          </w:p>
        </w:tc>
        <w:tc>
          <w:tcPr>
            <w:tcW w:w="0" w:type="dxa"/>
            <w:gridSpan w:val="2"/>
          </w:tcPr>
          <w:p w14:paraId="77A23FFC" w14:textId="77777777" w:rsidR="00526B43" w:rsidRPr="00143C3D" w:rsidRDefault="00526B43">
            <w:pPr>
              <w:pStyle w:val="NICETableHeader"/>
              <w:keepNext w:val="0"/>
              <w:jc w:val="center"/>
              <w:rPr>
                <w:rFonts w:cs="Arial"/>
                <w:b/>
                <w:bCs/>
              </w:rPr>
            </w:pPr>
            <w:r w:rsidRPr="005D58CB">
              <w:rPr>
                <w:rFonts w:cs="Arial"/>
                <w:b/>
                <w:bCs/>
              </w:rPr>
              <w:t>TPC</w:t>
            </w:r>
          </w:p>
        </w:tc>
        <w:tc>
          <w:tcPr>
            <w:tcW w:w="3141" w:type="dxa"/>
            <w:gridSpan w:val="2"/>
          </w:tcPr>
          <w:p w14:paraId="384AE03C" w14:textId="77777777" w:rsidR="00526B43" w:rsidRPr="00143C3D" w:rsidRDefault="00526B43">
            <w:pPr>
              <w:pStyle w:val="NICETableHeader"/>
              <w:keepNext w:val="0"/>
              <w:jc w:val="center"/>
              <w:rPr>
                <w:rFonts w:cs="Arial"/>
                <w:b/>
              </w:rPr>
            </w:pPr>
            <w:r w:rsidRPr="00143C3D">
              <w:rPr>
                <w:rFonts w:cs="Arial"/>
                <w:b/>
                <w:bCs/>
              </w:rPr>
              <w:t>T-DXd</w:t>
            </w:r>
          </w:p>
        </w:tc>
      </w:tr>
      <w:tr w:rsidR="00A60A21" w:rsidRPr="00143C3D" w14:paraId="3AE3F361" w14:textId="77777777" w:rsidTr="003C648C">
        <w:trPr>
          <w:cnfStyle w:val="100000000000" w:firstRow="1" w:lastRow="0" w:firstColumn="0" w:lastColumn="0" w:oddVBand="0" w:evenVBand="0" w:oddHBand="0" w:evenHBand="0" w:firstRowFirstColumn="0" w:firstRowLastColumn="0" w:lastRowFirstColumn="0" w:lastRowLastColumn="0"/>
          <w:trHeight w:val="140"/>
          <w:tblHeader/>
        </w:trPr>
        <w:tc>
          <w:tcPr>
            <w:tcW w:w="0" w:type="dxa"/>
            <w:vMerge/>
          </w:tcPr>
          <w:p w14:paraId="4AA5CD4E" w14:textId="77777777" w:rsidR="00526B43" w:rsidRPr="00143C3D" w:rsidRDefault="00526B43">
            <w:pPr>
              <w:pStyle w:val="NICETableHeader"/>
              <w:keepNext w:val="0"/>
              <w:rPr>
                <w:b/>
              </w:rPr>
            </w:pPr>
          </w:p>
        </w:tc>
        <w:tc>
          <w:tcPr>
            <w:tcW w:w="0" w:type="dxa"/>
          </w:tcPr>
          <w:p w14:paraId="55C208DE" w14:textId="77777777" w:rsidR="00526B43" w:rsidRPr="00143C3D" w:rsidRDefault="00526B43">
            <w:pPr>
              <w:pStyle w:val="NICETableHeader"/>
              <w:keepNext w:val="0"/>
              <w:jc w:val="center"/>
              <w:rPr>
                <w:bCs/>
              </w:rPr>
            </w:pPr>
            <w:r w:rsidRPr="00143C3D">
              <w:rPr>
                <w:b/>
              </w:rPr>
              <w:t>AIC</w:t>
            </w:r>
          </w:p>
        </w:tc>
        <w:tc>
          <w:tcPr>
            <w:tcW w:w="0" w:type="dxa"/>
          </w:tcPr>
          <w:p w14:paraId="0FDB1D32" w14:textId="77777777" w:rsidR="00526B43" w:rsidRPr="00143C3D" w:rsidRDefault="00526B43">
            <w:pPr>
              <w:pStyle w:val="NICETableHeader"/>
              <w:keepNext w:val="0"/>
              <w:jc w:val="center"/>
              <w:rPr>
                <w:bCs/>
              </w:rPr>
            </w:pPr>
            <w:r w:rsidRPr="00143C3D">
              <w:rPr>
                <w:b/>
              </w:rPr>
              <w:t>BIC</w:t>
            </w:r>
          </w:p>
        </w:tc>
        <w:tc>
          <w:tcPr>
            <w:tcW w:w="0" w:type="dxa"/>
          </w:tcPr>
          <w:p w14:paraId="4A3142E4" w14:textId="77777777" w:rsidR="00526B43" w:rsidRPr="00143C3D" w:rsidRDefault="00526B43">
            <w:pPr>
              <w:pStyle w:val="NICETableHeader"/>
              <w:keepNext w:val="0"/>
              <w:jc w:val="center"/>
              <w:rPr>
                <w:b/>
                <w:bCs/>
              </w:rPr>
            </w:pPr>
            <w:r w:rsidRPr="00143C3D">
              <w:rPr>
                <w:b/>
                <w:bCs/>
              </w:rPr>
              <w:t>AIC</w:t>
            </w:r>
          </w:p>
        </w:tc>
        <w:tc>
          <w:tcPr>
            <w:tcW w:w="0" w:type="dxa"/>
          </w:tcPr>
          <w:p w14:paraId="5EDFF17A" w14:textId="77777777" w:rsidR="00526B43" w:rsidRPr="00143C3D" w:rsidRDefault="00526B43">
            <w:pPr>
              <w:pStyle w:val="NICETableHeader"/>
              <w:keepNext w:val="0"/>
              <w:jc w:val="center"/>
              <w:rPr>
                <w:b/>
                <w:bCs/>
              </w:rPr>
            </w:pPr>
            <w:r w:rsidRPr="00143C3D">
              <w:rPr>
                <w:b/>
                <w:bCs/>
              </w:rPr>
              <w:t>BIC</w:t>
            </w:r>
          </w:p>
        </w:tc>
      </w:tr>
      <w:tr w:rsidR="00526B43" w:rsidRPr="00143C3D" w14:paraId="67C62F18" w14:textId="77777777" w:rsidTr="003C648C">
        <w:trPr>
          <w:trHeight w:val="277"/>
        </w:trPr>
        <w:tc>
          <w:tcPr>
            <w:tcW w:w="2508" w:type="dxa"/>
          </w:tcPr>
          <w:p w14:paraId="55FCA941" w14:textId="77777777" w:rsidR="00526B43" w:rsidRPr="00143C3D" w:rsidRDefault="00526B43">
            <w:pPr>
              <w:pStyle w:val="NICETabletext"/>
              <w:keepNext w:val="0"/>
              <w:jc w:val="both"/>
              <w:rPr>
                <w:rFonts w:cs="Arial"/>
              </w:rPr>
            </w:pPr>
            <w:r w:rsidRPr="00143C3D">
              <w:rPr>
                <w:rFonts w:cs="Arial"/>
              </w:rPr>
              <w:t>Exponential</w:t>
            </w:r>
          </w:p>
        </w:tc>
        <w:tc>
          <w:tcPr>
            <w:tcW w:w="1570" w:type="dxa"/>
            <w:vAlign w:val="center"/>
          </w:tcPr>
          <w:p w14:paraId="58F5F45C" w14:textId="77777777" w:rsidR="00526B43" w:rsidRPr="005D58CB" w:rsidRDefault="00526B43">
            <w:pPr>
              <w:pStyle w:val="NICETabletext"/>
              <w:keepNext w:val="0"/>
              <w:jc w:val="center"/>
              <w:rPr>
                <w:rFonts w:cs="Arial"/>
                <w:szCs w:val="20"/>
              </w:rPr>
            </w:pPr>
            <w:r w:rsidRPr="005D58CB">
              <w:rPr>
                <w:rFonts w:cs="Arial"/>
                <w:szCs w:val="20"/>
              </w:rPr>
              <w:t>765.60</w:t>
            </w:r>
          </w:p>
        </w:tc>
        <w:tc>
          <w:tcPr>
            <w:tcW w:w="1570" w:type="dxa"/>
            <w:vAlign w:val="center"/>
          </w:tcPr>
          <w:p w14:paraId="6EAC4DC7" w14:textId="77777777" w:rsidR="00526B43" w:rsidRPr="005D58CB" w:rsidRDefault="00526B43">
            <w:pPr>
              <w:pStyle w:val="NICETabletext"/>
              <w:keepNext w:val="0"/>
              <w:jc w:val="center"/>
              <w:rPr>
                <w:rFonts w:cs="Arial"/>
                <w:szCs w:val="20"/>
              </w:rPr>
            </w:pPr>
            <w:r w:rsidRPr="005D58CB">
              <w:rPr>
                <w:rFonts w:cs="Arial"/>
                <w:szCs w:val="20"/>
              </w:rPr>
              <w:t>768.81</w:t>
            </w:r>
          </w:p>
        </w:tc>
        <w:tc>
          <w:tcPr>
            <w:tcW w:w="1570" w:type="dxa"/>
            <w:vAlign w:val="center"/>
          </w:tcPr>
          <w:p w14:paraId="5F9FF40A" w14:textId="77777777" w:rsidR="00526B43" w:rsidRPr="005D58CB" w:rsidRDefault="00526B43">
            <w:pPr>
              <w:pStyle w:val="NICETabletext"/>
              <w:keepNext w:val="0"/>
              <w:jc w:val="center"/>
              <w:rPr>
                <w:rFonts w:cs="Arial"/>
                <w:szCs w:val="20"/>
              </w:rPr>
            </w:pPr>
            <w:r w:rsidRPr="005D58CB">
              <w:rPr>
                <w:rFonts w:cs="Arial"/>
                <w:szCs w:val="20"/>
              </w:rPr>
              <w:t>1389.90</w:t>
            </w:r>
          </w:p>
        </w:tc>
        <w:tc>
          <w:tcPr>
            <w:tcW w:w="1571" w:type="dxa"/>
            <w:vAlign w:val="center"/>
          </w:tcPr>
          <w:p w14:paraId="1662196C" w14:textId="77777777" w:rsidR="00526B43" w:rsidRPr="005D58CB" w:rsidRDefault="00526B43">
            <w:pPr>
              <w:pStyle w:val="NICETabletext"/>
              <w:keepNext w:val="0"/>
              <w:jc w:val="center"/>
              <w:rPr>
                <w:rFonts w:cs="Arial"/>
                <w:szCs w:val="20"/>
              </w:rPr>
            </w:pPr>
            <w:r w:rsidRPr="005D58CB">
              <w:rPr>
                <w:rFonts w:cs="Arial"/>
                <w:szCs w:val="20"/>
              </w:rPr>
              <w:t>1393.83</w:t>
            </w:r>
          </w:p>
        </w:tc>
      </w:tr>
      <w:tr w:rsidR="00526B43" w:rsidRPr="00143C3D" w14:paraId="2B16CBD5" w14:textId="77777777" w:rsidTr="003C648C">
        <w:trPr>
          <w:trHeight w:val="277"/>
        </w:trPr>
        <w:tc>
          <w:tcPr>
            <w:tcW w:w="2508" w:type="dxa"/>
          </w:tcPr>
          <w:p w14:paraId="39099299" w14:textId="77777777" w:rsidR="00526B43" w:rsidRPr="00143C3D" w:rsidRDefault="00526B43">
            <w:pPr>
              <w:pStyle w:val="NICETabletext"/>
              <w:keepNext w:val="0"/>
              <w:jc w:val="both"/>
              <w:rPr>
                <w:rFonts w:cs="Arial"/>
              </w:rPr>
            </w:pPr>
            <w:r w:rsidRPr="00143C3D">
              <w:rPr>
                <w:rFonts w:cs="Arial"/>
              </w:rPr>
              <w:t>Weibull</w:t>
            </w:r>
          </w:p>
        </w:tc>
        <w:tc>
          <w:tcPr>
            <w:tcW w:w="1570" w:type="dxa"/>
            <w:vAlign w:val="center"/>
          </w:tcPr>
          <w:p w14:paraId="3F49BA1E" w14:textId="77777777" w:rsidR="00526B43" w:rsidRPr="005D58CB" w:rsidRDefault="00526B43">
            <w:pPr>
              <w:pStyle w:val="NICETabletext"/>
              <w:keepNext w:val="0"/>
              <w:jc w:val="center"/>
              <w:rPr>
                <w:rFonts w:cs="Arial"/>
                <w:szCs w:val="20"/>
              </w:rPr>
            </w:pPr>
            <w:r w:rsidRPr="005D58CB">
              <w:rPr>
                <w:rFonts w:cs="Arial"/>
                <w:szCs w:val="20"/>
              </w:rPr>
              <w:t>751.16</w:t>
            </w:r>
          </w:p>
        </w:tc>
        <w:tc>
          <w:tcPr>
            <w:tcW w:w="1570" w:type="dxa"/>
            <w:vAlign w:val="center"/>
          </w:tcPr>
          <w:p w14:paraId="0A75F621" w14:textId="77777777" w:rsidR="00526B43" w:rsidRPr="005D58CB" w:rsidRDefault="00526B43">
            <w:pPr>
              <w:pStyle w:val="NICETabletext"/>
              <w:keepNext w:val="0"/>
              <w:jc w:val="center"/>
              <w:rPr>
                <w:rFonts w:cs="Arial"/>
                <w:szCs w:val="20"/>
              </w:rPr>
            </w:pPr>
            <w:r w:rsidRPr="005D58CB">
              <w:rPr>
                <w:rFonts w:cs="Arial"/>
                <w:szCs w:val="20"/>
              </w:rPr>
              <w:t>757.59</w:t>
            </w:r>
          </w:p>
        </w:tc>
        <w:tc>
          <w:tcPr>
            <w:tcW w:w="1570" w:type="dxa"/>
            <w:vAlign w:val="center"/>
          </w:tcPr>
          <w:p w14:paraId="688943A6" w14:textId="77777777" w:rsidR="00526B43" w:rsidRPr="005D58CB" w:rsidRDefault="00526B43">
            <w:pPr>
              <w:pStyle w:val="NICETabletext"/>
              <w:keepNext w:val="0"/>
              <w:jc w:val="center"/>
              <w:rPr>
                <w:rFonts w:cs="Arial"/>
                <w:szCs w:val="20"/>
              </w:rPr>
            </w:pPr>
            <w:r w:rsidRPr="005D58CB">
              <w:rPr>
                <w:rFonts w:cs="Arial"/>
                <w:szCs w:val="20"/>
              </w:rPr>
              <w:t>1366.90</w:t>
            </w:r>
          </w:p>
        </w:tc>
        <w:tc>
          <w:tcPr>
            <w:tcW w:w="1571" w:type="dxa"/>
            <w:vAlign w:val="center"/>
          </w:tcPr>
          <w:p w14:paraId="74F5181C" w14:textId="77777777" w:rsidR="00526B43" w:rsidRPr="005D58CB" w:rsidRDefault="00526B43">
            <w:pPr>
              <w:pStyle w:val="NICETabletext"/>
              <w:keepNext w:val="0"/>
              <w:jc w:val="center"/>
              <w:rPr>
                <w:rFonts w:cs="Arial"/>
                <w:szCs w:val="20"/>
              </w:rPr>
            </w:pPr>
            <w:r w:rsidRPr="005D58CB">
              <w:rPr>
                <w:rFonts w:cs="Arial"/>
                <w:szCs w:val="20"/>
              </w:rPr>
              <w:t>1374.74</w:t>
            </w:r>
          </w:p>
        </w:tc>
      </w:tr>
      <w:tr w:rsidR="00526B43" w:rsidRPr="00143C3D" w14:paraId="36795A4E" w14:textId="77777777" w:rsidTr="003C648C">
        <w:trPr>
          <w:trHeight w:val="277"/>
        </w:trPr>
        <w:tc>
          <w:tcPr>
            <w:tcW w:w="2508" w:type="dxa"/>
          </w:tcPr>
          <w:p w14:paraId="24967C21" w14:textId="77777777" w:rsidR="00526B43" w:rsidRPr="00143C3D" w:rsidRDefault="00526B43">
            <w:pPr>
              <w:pStyle w:val="NICETabletext"/>
              <w:keepNext w:val="0"/>
              <w:jc w:val="both"/>
              <w:rPr>
                <w:rFonts w:cs="Arial"/>
              </w:rPr>
            </w:pPr>
            <w:r w:rsidRPr="00143C3D">
              <w:rPr>
                <w:rFonts w:cs="Arial"/>
              </w:rPr>
              <w:t>Gompertz</w:t>
            </w:r>
          </w:p>
        </w:tc>
        <w:tc>
          <w:tcPr>
            <w:tcW w:w="1570" w:type="dxa"/>
            <w:vAlign w:val="center"/>
          </w:tcPr>
          <w:p w14:paraId="3C24B7FC" w14:textId="77777777" w:rsidR="00526B43" w:rsidRPr="005D58CB" w:rsidRDefault="00526B43">
            <w:pPr>
              <w:pStyle w:val="NICETabletext"/>
              <w:keepNext w:val="0"/>
              <w:jc w:val="center"/>
              <w:rPr>
                <w:rFonts w:cs="Arial"/>
                <w:b/>
                <w:szCs w:val="20"/>
              </w:rPr>
            </w:pPr>
            <w:r w:rsidRPr="005D58CB">
              <w:rPr>
                <w:rFonts w:cs="Arial"/>
                <w:szCs w:val="20"/>
              </w:rPr>
              <w:t>756.20</w:t>
            </w:r>
          </w:p>
        </w:tc>
        <w:tc>
          <w:tcPr>
            <w:tcW w:w="1570" w:type="dxa"/>
            <w:vAlign w:val="center"/>
          </w:tcPr>
          <w:p w14:paraId="67B308A6" w14:textId="77777777" w:rsidR="00526B43" w:rsidRPr="005D58CB" w:rsidRDefault="00526B43">
            <w:pPr>
              <w:pStyle w:val="NICETabletext"/>
              <w:keepNext w:val="0"/>
              <w:jc w:val="center"/>
              <w:rPr>
                <w:rFonts w:cs="Arial"/>
                <w:b/>
                <w:szCs w:val="20"/>
              </w:rPr>
            </w:pPr>
            <w:r w:rsidRPr="005D58CB">
              <w:rPr>
                <w:rFonts w:cs="Arial"/>
                <w:szCs w:val="20"/>
              </w:rPr>
              <w:t>762.63</w:t>
            </w:r>
          </w:p>
        </w:tc>
        <w:tc>
          <w:tcPr>
            <w:tcW w:w="1570" w:type="dxa"/>
            <w:vAlign w:val="center"/>
          </w:tcPr>
          <w:p w14:paraId="258DEC91" w14:textId="0009040E" w:rsidR="00526B43" w:rsidRPr="005D58CB" w:rsidRDefault="00526B43">
            <w:pPr>
              <w:pStyle w:val="NICETabletext"/>
              <w:keepNext w:val="0"/>
              <w:jc w:val="center"/>
              <w:rPr>
                <w:rFonts w:cs="Arial"/>
                <w:b/>
                <w:szCs w:val="20"/>
              </w:rPr>
            </w:pPr>
            <w:r w:rsidRPr="005D58CB">
              <w:rPr>
                <w:rFonts w:cs="Arial"/>
                <w:b/>
                <w:szCs w:val="20"/>
              </w:rPr>
              <w:t>1366.87</w:t>
            </w:r>
          </w:p>
        </w:tc>
        <w:tc>
          <w:tcPr>
            <w:tcW w:w="1571" w:type="dxa"/>
            <w:vAlign w:val="center"/>
          </w:tcPr>
          <w:p w14:paraId="50B942F4" w14:textId="77777777" w:rsidR="00526B43" w:rsidRPr="005D58CB" w:rsidRDefault="00526B43">
            <w:pPr>
              <w:pStyle w:val="NICETabletext"/>
              <w:keepNext w:val="0"/>
              <w:jc w:val="center"/>
              <w:rPr>
                <w:rFonts w:cs="Arial"/>
                <w:b/>
                <w:szCs w:val="20"/>
              </w:rPr>
            </w:pPr>
            <w:r w:rsidRPr="005D58CB">
              <w:rPr>
                <w:rFonts w:cs="Arial"/>
                <w:b/>
                <w:szCs w:val="20"/>
              </w:rPr>
              <w:t>1374.71</w:t>
            </w:r>
          </w:p>
        </w:tc>
      </w:tr>
      <w:tr w:rsidR="00526B43" w:rsidRPr="00143C3D" w14:paraId="532A6E9B" w14:textId="77777777" w:rsidTr="003C648C">
        <w:trPr>
          <w:trHeight w:val="277"/>
        </w:trPr>
        <w:tc>
          <w:tcPr>
            <w:tcW w:w="2508" w:type="dxa"/>
          </w:tcPr>
          <w:p w14:paraId="688A397A" w14:textId="77777777" w:rsidR="00526B43" w:rsidRPr="00143C3D" w:rsidRDefault="00526B43">
            <w:pPr>
              <w:pStyle w:val="NICETabletext"/>
              <w:keepNext w:val="0"/>
              <w:jc w:val="both"/>
              <w:rPr>
                <w:rFonts w:cs="Arial"/>
              </w:rPr>
            </w:pPr>
            <w:r w:rsidRPr="00143C3D">
              <w:rPr>
                <w:rFonts w:cs="Arial"/>
              </w:rPr>
              <w:t>Log-logistic</w:t>
            </w:r>
          </w:p>
        </w:tc>
        <w:tc>
          <w:tcPr>
            <w:tcW w:w="1570" w:type="dxa"/>
            <w:vAlign w:val="center"/>
          </w:tcPr>
          <w:p w14:paraId="19CBE0AE" w14:textId="77777777" w:rsidR="00526B43" w:rsidRPr="005D58CB" w:rsidRDefault="00526B43">
            <w:pPr>
              <w:pStyle w:val="NICETabletext"/>
              <w:keepNext w:val="0"/>
              <w:jc w:val="center"/>
              <w:rPr>
                <w:rFonts w:cs="Arial"/>
                <w:szCs w:val="20"/>
              </w:rPr>
            </w:pPr>
            <w:r w:rsidRPr="005D58CB">
              <w:rPr>
                <w:rFonts w:cs="Arial"/>
                <w:b/>
                <w:szCs w:val="20"/>
              </w:rPr>
              <w:t>751.10</w:t>
            </w:r>
          </w:p>
        </w:tc>
        <w:tc>
          <w:tcPr>
            <w:tcW w:w="1570" w:type="dxa"/>
            <w:vAlign w:val="center"/>
          </w:tcPr>
          <w:p w14:paraId="3D772124" w14:textId="77777777" w:rsidR="00526B43" w:rsidRPr="005D58CB" w:rsidRDefault="00526B43">
            <w:pPr>
              <w:pStyle w:val="NICETabletext"/>
              <w:keepNext w:val="0"/>
              <w:jc w:val="center"/>
              <w:rPr>
                <w:rFonts w:cs="Arial"/>
                <w:szCs w:val="20"/>
              </w:rPr>
            </w:pPr>
            <w:r w:rsidRPr="005D58CB">
              <w:rPr>
                <w:rFonts w:cs="Arial"/>
                <w:b/>
                <w:szCs w:val="20"/>
              </w:rPr>
              <w:t>757.53</w:t>
            </w:r>
          </w:p>
        </w:tc>
        <w:tc>
          <w:tcPr>
            <w:tcW w:w="1570" w:type="dxa"/>
            <w:vAlign w:val="center"/>
          </w:tcPr>
          <w:p w14:paraId="7CE74126" w14:textId="77777777" w:rsidR="00526B43" w:rsidRPr="005D58CB" w:rsidRDefault="00526B43">
            <w:pPr>
              <w:pStyle w:val="NICETabletext"/>
              <w:keepNext w:val="0"/>
              <w:jc w:val="center"/>
              <w:rPr>
                <w:rFonts w:cs="Arial"/>
                <w:szCs w:val="20"/>
              </w:rPr>
            </w:pPr>
            <w:r w:rsidRPr="005D58CB">
              <w:rPr>
                <w:rFonts w:cs="Arial"/>
                <w:szCs w:val="20"/>
              </w:rPr>
              <w:t>1371.38</w:t>
            </w:r>
          </w:p>
        </w:tc>
        <w:tc>
          <w:tcPr>
            <w:tcW w:w="1571" w:type="dxa"/>
            <w:vAlign w:val="center"/>
          </w:tcPr>
          <w:p w14:paraId="4EBB4E08" w14:textId="77777777" w:rsidR="00526B43" w:rsidRPr="005D58CB" w:rsidRDefault="00526B43">
            <w:pPr>
              <w:pStyle w:val="NICETabletext"/>
              <w:keepNext w:val="0"/>
              <w:jc w:val="center"/>
              <w:rPr>
                <w:rFonts w:cs="Arial"/>
                <w:szCs w:val="20"/>
              </w:rPr>
            </w:pPr>
            <w:r w:rsidRPr="005D58CB">
              <w:rPr>
                <w:rFonts w:cs="Arial"/>
                <w:szCs w:val="20"/>
              </w:rPr>
              <w:t>1379.22</w:t>
            </w:r>
          </w:p>
        </w:tc>
      </w:tr>
      <w:tr w:rsidR="00526B43" w:rsidRPr="00143C3D" w14:paraId="2EA41C19" w14:textId="77777777" w:rsidTr="003C648C">
        <w:trPr>
          <w:trHeight w:val="277"/>
        </w:trPr>
        <w:tc>
          <w:tcPr>
            <w:tcW w:w="2508" w:type="dxa"/>
          </w:tcPr>
          <w:p w14:paraId="1DE217CA" w14:textId="77777777" w:rsidR="00526B43" w:rsidRPr="00143C3D" w:rsidRDefault="00526B43">
            <w:pPr>
              <w:pStyle w:val="NICETabletext"/>
              <w:keepNext w:val="0"/>
              <w:jc w:val="both"/>
              <w:rPr>
                <w:rFonts w:cs="Arial"/>
              </w:rPr>
            </w:pPr>
            <w:r w:rsidRPr="00143C3D">
              <w:rPr>
                <w:rFonts w:cs="Arial"/>
              </w:rPr>
              <w:t>Log-normal</w:t>
            </w:r>
          </w:p>
        </w:tc>
        <w:tc>
          <w:tcPr>
            <w:tcW w:w="1570" w:type="dxa"/>
            <w:vAlign w:val="center"/>
          </w:tcPr>
          <w:p w14:paraId="05B764F2" w14:textId="77777777" w:rsidR="00526B43" w:rsidRPr="005D58CB" w:rsidRDefault="00526B43">
            <w:pPr>
              <w:pStyle w:val="NICETabletext"/>
              <w:keepNext w:val="0"/>
              <w:jc w:val="center"/>
              <w:rPr>
                <w:rFonts w:cs="Arial"/>
                <w:szCs w:val="20"/>
              </w:rPr>
            </w:pPr>
            <w:r w:rsidRPr="005D58CB">
              <w:rPr>
                <w:rFonts w:cs="Arial"/>
                <w:szCs w:val="20"/>
              </w:rPr>
              <w:t>759.16</w:t>
            </w:r>
          </w:p>
        </w:tc>
        <w:tc>
          <w:tcPr>
            <w:tcW w:w="1570" w:type="dxa"/>
            <w:vAlign w:val="center"/>
          </w:tcPr>
          <w:p w14:paraId="67A8531B" w14:textId="77777777" w:rsidR="00526B43" w:rsidRPr="005D58CB" w:rsidRDefault="00526B43">
            <w:pPr>
              <w:pStyle w:val="NICETabletext"/>
              <w:keepNext w:val="0"/>
              <w:jc w:val="center"/>
              <w:rPr>
                <w:rFonts w:cs="Arial"/>
                <w:szCs w:val="20"/>
              </w:rPr>
            </w:pPr>
            <w:r w:rsidRPr="005D58CB">
              <w:rPr>
                <w:rFonts w:cs="Arial"/>
                <w:szCs w:val="20"/>
              </w:rPr>
              <w:t>765.59</w:t>
            </w:r>
          </w:p>
        </w:tc>
        <w:tc>
          <w:tcPr>
            <w:tcW w:w="1570" w:type="dxa"/>
            <w:vAlign w:val="center"/>
          </w:tcPr>
          <w:p w14:paraId="0A912D22" w14:textId="77777777" w:rsidR="00526B43" w:rsidRPr="005D58CB" w:rsidRDefault="00526B43">
            <w:pPr>
              <w:pStyle w:val="NICETabletext"/>
              <w:keepNext w:val="0"/>
              <w:jc w:val="center"/>
              <w:rPr>
                <w:rFonts w:cs="Arial"/>
                <w:szCs w:val="20"/>
              </w:rPr>
            </w:pPr>
            <w:r w:rsidRPr="005D58CB">
              <w:rPr>
                <w:rFonts w:cs="Arial"/>
                <w:szCs w:val="20"/>
              </w:rPr>
              <w:t>1390.55</w:t>
            </w:r>
          </w:p>
        </w:tc>
        <w:tc>
          <w:tcPr>
            <w:tcW w:w="1571" w:type="dxa"/>
            <w:vAlign w:val="center"/>
          </w:tcPr>
          <w:p w14:paraId="7E7D196F" w14:textId="77777777" w:rsidR="00526B43" w:rsidRPr="005D58CB" w:rsidRDefault="00526B43">
            <w:pPr>
              <w:pStyle w:val="NICETabletext"/>
              <w:keepNext w:val="0"/>
              <w:jc w:val="center"/>
              <w:rPr>
                <w:rFonts w:cs="Arial"/>
                <w:szCs w:val="20"/>
              </w:rPr>
            </w:pPr>
            <w:r w:rsidRPr="005D58CB">
              <w:rPr>
                <w:rFonts w:cs="Arial"/>
                <w:szCs w:val="20"/>
              </w:rPr>
              <w:t>1398.39</w:t>
            </w:r>
          </w:p>
        </w:tc>
      </w:tr>
      <w:tr w:rsidR="00526B43" w:rsidRPr="00143C3D" w14:paraId="5C099473" w14:textId="77777777" w:rsidTr="003C648C">
        <w:trPr>
          <w:trHeight w:val="277"/>
        </w:trPr>
        <w:tc>
          <w:tcPr>
            <w:tcW w:w="2508" w:type="dxa"/>
          </w:tcPr>
          <w:p w14:paraId="68D6B4A9" w14:textId="77777777" w:rsidR="00526B43" w:rsidRPr="00143C3D" w:rsidRDefault="00526B43">
            <w:pPr>
              <w:pStyle w:val="NICETabletext"/>
              <w:keepNext w:val="0"/>
              <w:jc w:val="both"/>
              <w:rPr>
                <w:rFonts w:cs="Arial"/>
              </w:rPr>
            </w:pPr>
            <w:r w:rsidRPr="00143C3D">
              <w:rPr>
                <w:rFonts w:cs="Arial"/>
              </w:rPr>
              <w:t>Generalised gamma</w:t>
            </w:r>
          </w:p>
        </w:tc>
        <w:tc>
          <w:tcPr>
            <w:tcW w:w="1570" w:type="dxa"/>
            <w:vAlign w:val="center"/>
          </w:tcPr>
          <w:p w14:paraId="0FDD9F79" w14:textId="77777777" w:rsidR="00526B43" w:rsidRPr="005D58CB" w:rsidRDefault="00526B43">
            <w:pPr>
              <w:pStyle w:val="NICETabletext"/>
              <w:keepNext w:val="0"/>
              <w:jc w:val="center"/>
              <w:rPr>
                <w:rFonts w:cs="Arial"/>
                <w:szCs w:val="20"/>
              </w:rPr>
            </w:pPr>
            <w:r w:rsidRPr="005D58CB">
              <w:rPr>
                <w:rFonts w:cs="Arial"/>
                <w:szCs w:val="20"/>
              </w:rPr>
              <w:t>753.01</w:t>
            </w:r>
          </w:p>
        </w:tc>
        <w:tc>
          <w:tcPr>
            <w:tcW w:w="1570" w:type="dxa"/>
            <w:vAlign w:val="center"/>
          </w:tcPr>
          <w:p w14:paraId="443BA3E6" w14:textId="77777777" w:rsidR="00526B43" w:rsidRPr="005D58CB" w:rsidRDefault="00526B43">
            <w:pPr>
              <w:pStyle w:val="NICETabletext"/>
              <w:keepNext w:val="0"/>
              <w:jc w:val="center"/>
              <w:rPr>
                <w:rFonts w:cs="Arial"/>
                <w:szCs w:val="20"/>
              </w:rPr>
            </w:pPr>
            <w:r w:rsidRPr="005D58CB">
              <w:rPr>
                <w:rFonts w:cs="Arial"/>
                <w:szCs w:val="20"/>
              </w:rPr>
              <w:t>762.65</w:t>
            </w:r>
          </w:p>
        </w:tc>
        <w:tc>
          <w:tcPr>
            <w:tcW w:w="1570" w:type="dxa"/>
            <w:vAlign w:val="center"/>
          </w:tcPr>
          <w:p w14:paraId="360F784C" w14:textId="77777777" w:rsidR="00526B43" w:rsidRPr="005D58CB" w:rsidRDefault="00526B43">
            <w:pPr>
              <w:pStyle w:val="NICETabletext"/>
              <w:keepNext w:val="0"/>
              <w:jc w:val="center"/>
              <w:rPr>
                <w:rFonts w:cs="Arial"/>
                <w:szCs w:val="20"/>
              </w:rPr>
            </w:pPr>
            <w:r w:rsidRPr="005D58CB">
              <w:rPr>
                <w:rFonts w:cs="Arial"/>
                <w:szCs w:val="20"/>
              </w:rPr>
              <w:t>1367.59</w:t>
            </w:r>
          </w:p>
        </w:tc>
        <w:tc>
          <w:tcPr>
            <w:tcW w:w="1571" w:type="dxa"/>
            <w:vAlign w:val="center"/>
          </w:tcPr>
          <w:p w14:paraId="0A86DCCC" w14:textId="77777777" w:rsidR="00526B43" w:rsidRPr="005D58CB" w:rsidRDefault="00526B43">
            <w:pPr>
              <w:pStyle w:val="NICETabletext"/>
              <w:keepNext w:val="0"/>
              <w:jc w:val="center"/>
              <w:rPr>
                <w:rFonts w:cs="Arial"/>
                <w:szCs w:val="20"/>
              </w:rPr>
            </w:pPr>
            <w:r w:rsidRPr="005D58CB">
              <w:rPr>
                <w:rFonts w:cs="Arial"/>
                <w:szCs w:val="20"/>
              </w:rPr>
              <w:t>1379.35</w:t>
            </w:r>
          </w:p>
        </w:tc>
      </w:tr>
    </w:tbl>
    <w:p w14:paraId="7690F2CA" w14:textId="77777777" w:rsidR="00670187" w:rsidRPr="00143C3D" w:rsidRDefault="00670187" w:rsidP="00670187">
      <w:pPr>
        <w:pStyle w:val="Footnotes"/>
        <w:spacing w:after="0"/>
        <w:rPr>
          <w:b/>
          <w:bCs/>
        </w:rPr>
      </w:pPr>
      <w:r w:rsidRPr="005D58CB">
        <w:rPr>
          <w:b/>
          <w:bCs/>
        </w:rPr>
        <w:t>Bold indicates best statistical fit.</w:t>
      </w:r>
    </w:p>
    <w:p w14:paraId="31BF289E" w14:textId="77777777" w:rsidR="00670187" w:rsidRDefault="00670187" w:rsidP="00670187">
      <w:pPr>
        <w:pStyle w:val="Footnotes"/>
      </w:pPr>
      <w:r w:rsidRPr="00143C3D">
        <w:t xml:space="preserve">Abbreviations: AIC, Akaike information criterion; BIC, Bayesian information criterion; FAS, full analysis set; OS, overall survival; T-DXd, trastuzumab deruxtecan; TPC, treatment of physician’s choice. </w:t>
      </w:r>
    </w:p>
    <w:p w14:paraId="0D860B58" w14:textId="5D65C6D9" w:rsidR="00670187" w:rsidRPr="003C648C" w:rsidRDefault="00670187" w:rsidP="00670187">
      <w:pPr>
        <w:pStyle w:val="Body"/>
        <w:rPr>
          <w:i/>
          <w:iCs/>
          <w:u w:val="single"/>
        </w:rPr>
      </w:pPr>
      <w:r w:rsidRPr="003C648C">
        <w:rPr>
          <w:i/>
          <w:iCs/>
          <w:u w:val="single"/>
        </w:rPr>
        <w:t>Fitting of parametric models</w:t>
      </w:r>
      <w:r w:rsidR="001A3D7A" w:rsidRPr="003C648C">
        <w:rPr>
          <w:i/>
          <w:iCs/>
          <w:u w:val="single"/>
        </w:rPr>
        <w:t xml:space="preserve"> and visual fit against KM data</w:t>
      </w:r>
    </w:p>
    <w:p w14:paraId="7B77F9F0" w14:textId="7AB97EA7" w:rsidR="00A60A21" w:rsidRDefault="00A60A21" w:rsidP="00A60A21">
      <w:r w:rsidRPr="00C67C0A">
        <w:t xml:space="preserve">Visual assessment of observed </w:t>
      </w:r>
      <w:r w:rsidR="00A53414">
        <w:t xml:space="preserve">KM </w:t>
      </w:r>
      <w:r w:rsidR="000F2D2B">
        <w:t xml:space="preserve">data </w:t>
      </w:r>
      <w:r w:rsidRPr="00C67C0A">
        <w:t xml:space="preserve">versus predicted OS curves </w:t>
      </w:r>
      <w:r w:rsidR="00210DE7">
        <w:t>(</w:t>
      </w:r>
      <w:r w:rsidRPr="00F033C2">
        <w:rPr>
          <w:b/>
          <w:bCs/>
        </w:rPr>
        <w:fldChar w:fldCharType="begin"/>
      </w:r>
      <w:r w:rsidRPr="00F033C2">
        <w:rPr>
          <w:b/>
          <w:bCs/>
        </w:rPr>
        <w:instrText xml:space="preserve"> REF _Ref126831971 \h </w:instrText>
      </w:r>
      <w:r>
        <w:rPr>
          <w:b/>
          <w:bCs/>
        </w:rPr>
        <w:instrText xml:space="preserve"> \* MERGEFORMAT </w:instrText>
      </w:r>
      <w:r w:rsidRPr="00F033C2">
        <w:rPr>
          <w:b/>
          <w:bCs/>
        </w:rPr>
      </w:r>
      <w:r w:rsidRPr="00F033C2">
        <w:rPr>
          <w:b/>
          <w:bCs/>
        </w:rPr>
        <w:fldChar w:fldCharType="separate"/>
      </w:r>
      <w:r w:rsidR="00145F42" w:rsidRPr="00145F42">
        <w:rPr>
          <w:b/>
          <w:bCs/>
        </w:rPr>
        <w:t xml:space="preserve">Figure </w:t>
      </w:r>
      <w:r w:rsidR="00145F42" w:rsidRPr="00145F42">
        <w:rPr>
          <w:b/>
          <w:bCs/>
          <w:noProof/>
        </w:rPr>
        <w:t>26</w:t>
      </w:r>
      <w:r w:rsidRPr="00F033C2">
        <w:rPr>
          <w:b/>
          <w:bCs/>
        </w:rPr>
        <w:fldChar w:fldCharType="end"/>
      </w:r>
      <w:r w:rsidRPr="00F033C2">
        <w:rPr>
          <w:b/>
        </w:rPr>
        <w:t xml:space="preserve"> </w:t>
      </w:r>
      <w:r>
        <w:t xml:space="preserve">and </w:t>
      </w:r>
      <w:r w:rsidRPr="00F033C2">
        <w:rPr>
          <w:b/>
        </w:rPr>
        <w:fldChar w:fldCharType="begin"/>
      </w:r>
      <w:r w:rsidRPr="00F033C2">
        <w:rPr>
          <w:b/>
        </w:rPr>
        <w:instrText xml:space="preserve"> REF _Ref96104158 \h  \* MERGEFORMAT </w:instrText>
      </w:r>
      <w:r w:rsidRPr="00F033C2">
        <w:rPr>
          <w:b/>
        </w:rPr>
      </w:r>
      <w:r w:rsidRPr="00F033C2">
        <w:rPr>
          <w:b/>
        </w:rPr>
        <w:fldChar w:fldCharType="separate"/>
      </w:r>
      <w:r w:rsidR="00145F42" w:rsidRPr="00145F42">
        <w:rPr>
          <w:b/>
        </w:rPr>
        <w:t>Figure 27</w:t>
      </w:r>
      <w:r w:rsidRPr="00F033C2">
        <w:rPr>
          <w:b/>
        </w:rPr>
        <w:fldChar w:fldCharType="end"/>
      </w:r>
      <w:r w:rsidR="00210DE7">
        <w:rPr>
          <w:bCs/>
        </w:rPr>
        <w:t>)</w:t>
      </w:r>
      <w:r w:rsidR="00585BA2">
        <w:rPr>
          <w:bCs/>
        </w:rPr>
        <w:t xml:space="preserve">, </w:t>
      </w:r>
      <w:r>
        <w:t>in addition to</w:t>
      </w:r>
      <w:r w:rsidRPr="00C67C0A">
        <w:t xml:space="preserve"> clinical validation of </w:t>
      </w:r>
      <w:r>
        <w:t xml:space="preserve">long-term </w:t>
      </w:r>
      <w:r w:rsidRPr="00C67C0A">
        <w:t xml:space="preserve">modelled survival </w:t>
      </w:r>
      <w:r w:rsidR="002C5B9F">
        <w:t>(</w:t>
      </w:r>
      <w:r w:rsidR="001576AC" w:rsidRPr="00F033C2">
        <w:rPr>
          <w:b/>
          <w:bCs/>
        </w:rPr>
        <w:fldChar w:fldCharType="begin"/>
      </w:r>
      <w:r w:rsidR="001576AC" w:rsidRPr="00F033C2">
        <w:rPr>
          <w:b/>
          <w:bCs/>
        </w:rPr>
        <w:instrText xml:space="preserve"> REF _Ref129023086 \h </w:instrText>
      </w:r>
      <w:r w:rsidR="001576AC">
        <w:rPr>
          <w:b/>
          <w:bCs/>
        </w:rPr>
        <w:instrText xml:space="preserve"> \* MERGEFORMAT </w:instrText>
      </w:r>
      <w:r w:rsidR="001576AC" w:rsidRPr="00F033C2">
        <w:rPr>
          <w:b/>
          <w:bCs/>
        </w:rPr>
      </w:r>
      <w:r w:rsidR="001576AC" w:rsidRPr="00F033C2">
        <w:rPr>
          <w:b/>
          <w:bCs/>
        </w:rPr>
        <w:fldChar w:fldCharType="separate"/>
      </w:r>
      <w:r w:rsidR="00145F42" w:rsidRPr="00145F42">
        <w:rPr>
          <w:b/>
          <w:bCs/>
        </w:rPr>
        <w:t xml:space="preserve">Figure </w:t>
      </w:r>
      <w:r w:rsidR="00145F42" w:rsidRPr="00145F42">
        <w:rPr>
          <w:b/>
          <w:bCs/>
          <w:noProof/>
        </w:rPr>
        <w:t>28</w:t>
      </w:r>
      <w:r w:rsidR="001576AC" w:rsidRPr="00F033C2">
        <w:rPr>
          <w:b/>
          <w:bCs/>
        </w:rPr>
        <w:fldChar w:fldCharType="end"/>
      </w:r>
      <w:r w:rsidR="0098516C">
        <w:rPr>
          <w:b/>
          <w:bCs/>
        </w:rPr>
        <w:t xml:space="preserve"> </w:t>
      </w:r>
      <w:r w:rsidR="0098516C">
        <w:t>and</w:t>
      </w:r>
      <w:r w:rsidR="001576AC">
        <w:t xml:space="preserve"> </w:t>
      </w:r>
      <w:r w:rsidR="001576AC" w:rsidRPr="00F033C2">
        <w:rPr>
          <w:b/>
          <w:bCs/>
        </w:rPr>
        <w:fldChar w:fldCharType="begin"/>
      </w:r>
      <w:r w:rsidR="001576AC" w:rsidRPr="00F033C2">
        <w:rPr>
          <w:b/>
          <w:bCs/>
        </w:rPr>
        <w:instrText xml:space="preserve"> REF _Ref129022120 \h </w:instrText>
      </w:r>
      <w:r w:rsidR="001576AC">
        <w:rPr>
          <w:b/>
          <w:bCs/>
        </w:rPr>
        <w:instrText xml:space="preserve"> \* MERGEFORMAT </w:instrText>
      </w:r>
      <w:r w:rsidR="001576AC" w:rsidRPr="00F033C2">
        <w:rPr>
          <w:b/>
          <w:bCs/>
        </w:rPr>
      </w:r>
      <w:r w:rsidR="001576AC" w:rsidRPr="00F033C2">
        <w:rPr>
          <w:b/>
          <w:bCs/>
        </w:rPr>
        <w:fldChar w:fldCharType="separate"/>
      </w:r>
      <w:r w:rsidR="00145F42" w:rsidRPr="00145F42">
        <w:rPr>
          <w:b/>
          <w:bCs/>
        </w:rPr>
        <w:t xml:space="preserve">Figure </w:t>
      </w:r>
      <w:r w:rsidR="00145F42" w:rsidRPr="00145F42">
        <w:rPr>
          <w:b/>
          <w:bCs/>
          <w:noProof/>
        </w:rPr>
        <w:t>29</w:t>
      </w:r>
      <w:r w:rsidR="001576AC" w:rsidRPr="00F033C2">
        <w:rPr>
          <w:b/>
          <w:bCs/>
        </w:rPr>
        <w:fldChar w:fldCharType="end"/>
      </w:r>
      <w:r w:rsidR="002C5B9F">
        <w:t xml:space="preserve">) </w:t>
      </w:r>
      <w:r w:rsidR="001576AC">
        <w:t>and</w:t>
      </w:r>
      <w:r w:rsidR="00210DE7">
        <w:t xml:space="preserve"> </w:t>
      </w:r>
      <w:r w:rsidR="00210DE7" w:rsidRPr="00C67C0A">
        <w:t>landmark time points</w:t>
      </w:r>
      <w:r w:rsidR="001576AC">
        <w:t xml:space="preserve"> </w:t>
      </w:r>
      <w:r w:rsidR="00210DE7">
        <w:t>(</w:t>
      </w:r>
      <w:r w:rsidR="004A10D6" w:rsidRPr="00F710CB">
        <w:rPr>
          <w:b/>
          <w:bCs/>
        </w:rPr>
        <w:fldChar w:fldCharType="begin"/>
      </w:r>
      <w:r w:rsidR="004A10D6" w:rsidRPr="00F710CB">
        <w:rPr>
          <w:b/>
          <w:bCs/>
        </w:rPr>
        <w:instrText xml:space="preserve"> REF _Ref129129948 \h </w:instrText>
      </w:r>
      <w:r w:rsidR="004A10D6">
        <w:rPr>
          <w:b/>
          <w:bCs/>
        </w:rPr>
        <w:instrText xml:space="preserve"> \* MERGEFORMAT </w:instrText>
      </w:r>
      <w:r w:rsidR="004A10D6" w:rsidRPr="00F710CB">
        <w:rPr>
          <w:b/>
          <w:bCs/>
        </w:rPr>
      </w:r>
      <w:r w:rsidR="004A10D6" w:rsidRPr="00F710CB">
        <w:rPr>
          <w:b/>
          <w:bCs/>
        </w:rPr>
        <w:fldChar w:fldCharType="separate"/>
      </w:r>
      <w:r w:rsidR="00145F42" w:rsidRPr="00145F42">
        <w:rPr>
          <w:b/>
          <w:bCs/>
        </w:rPr>
        <w:t xml:space="preserve">Table </w:t>
      </w:r>
      <w:r w:rsidR="00145F42" w:rsidRPr="00145F42">
        <w:rPr>
          <w:b/>
          <w:bCs/>
          <w:noProof/>
        </w:rPr>
        <w:t>36</w:t>
      </w:r>
      <w:r w:rsidR="004A10D6" w:rsidRPr="00F710CB">
        <w:rPr>
          <w:b/>
          <w:bCs/>
        </w:rPr>
        <w:fldChar w:fldCharType="end"/>
      </w:r>
      <w:r w:rsidR="00210DE7" w:rsidRPr="00F710CB">
        <w:t>)</w:t>
      </w:r>
      <w:r w:rsidR="00AB714D" w:rsidRPr="009E50F0">
        <w:t xml:space="preserve"> </w:t>
      </w:r>
      <w:r w:rsidRPr="00C67C0A">
        <w:t xml:space="preserve">were used to determine the suitability of the different PSMs. </w:t>
      </w:r>
    </w:p>
    <w:p w14:paraId="168C0A75" w14:textId="3A1E5C2D" w:rsidR="00670187" w:rsidRPr="00671C81" w:rsidRDefault="00670187" w:rsidP="00670187">
      <w:pPr>
        <w:pStyle w:val="Caption"/>
      </w:pPr>
      <w:bookmarkStart w:id="465" w:name="_Ref126831971"/>
      <w:bookmarkStart w:id="466" w:name="_Toc127006643"/>
      <w:bookmarkStart w:id="467" w:name="_Toc129350952"/>
      <w:r w:rsidRPr="00671C81">
        <w:lastRenderedPageBreak/>
        <w:t xml:space="preserve">Figure </w:t>
      </w:r>
      <w:r w:rsidRPr="00671C81">
        <w:fldChar w:fldCharType="begin"/>
      </w:r>
      <w:r w:rsidRPr="00671C81">
        <w:instrText>SEQ Figure \* ARABIC</w:instrText>
      </w:r>
      <w:r w:rsidRPr="00671C81">
        <w:fldChar w:fldCharType="separate"/>
      </w:r>
      <w:r w:rsidR="00145F42">
        <w:rPr>
          <w:noProof/>
        </w:rPr>
        <w:t>26</w:t>
      </w:r>
      <w:r w:rsidRPr="00671C81">
        <w:fldChar w:fldCharType="end"/>
      </w:r>
      <w:bookmarkEnd w:id="465"/>
      <w:r w:rsidRPr="00671C81">
        <w:t xml:space="preserve">: </w:t>
      </w:r>
      <w:r w:rsidRPr="002629AD">
        <w:t>Obs</w:t>
      </w:r>
      <w:r w:rsidR="00E50670">
        <w:t>e</w:t>
      </w:r>
      <w:r w:rsidRPr="002629AD">
        <w:t xml:space="preserve">rved versus predicted </w:t>
      </w:r>
      <w:r w:rsidRPr="00671C81">
        <w:t>OS for TPC</w:t>
      </w:r>
      <w:r w:rsidR="001B4BA4">
        <w:t xml:space="preserve"> over </w:t>
      </w:r>
      <w:r w:rsidR="009A76E8">
        <w:t xml:space="preserve">a </w:t>
      </w:r>
      <w:r w:rsidR="001B4BA4">
        <w:t>3-year time horizon</w:t>
      </w:r>
      <w:r w:rsidRPr="00671C81">
        <w:t xml:space="preserve"> in the FAS population</w:t>
      </w:r>
      <w:bookmarkEnd w:id="466"/>
      <w:bookmarkEnd w:id="467"/>
    </w:p>
    <w:tbl>
      <w:tblPr>
        <w:tblStyle w:val="TableGrid"/>
        <w:tblW w:w="0" w:type="auto"/>
        <w:tblBorders>
          <w:top w:val="single" w:sz="24" w:space="0" w:color="FFFF00"/>
          <w:left w:val="single" w:sz="24" w:space="0" w:color="FFFF00"/>
          <w:bottom w:val="single" w:sz="24" w:space="0" w:color="FFFF00"/>
          <w:right w:val="single" w:sz="24" w:space="0" w:color="FFFF00"/>
          <w:insideH w:val="none" w:sz="0" w:space="0" w:color="auto"/>
          <w:insideV w:val="none" w:sz="0" w:space="0" w:color="auto"/>
        </w:tblBorders>
        <w:tblLook w:val="04A0" w:firstRow="1" w:lastRow="0" w:firstColumn="1" w:lastColumn="0" w:noHBand="0" w:noVBand="1"/>
      </w:tblPr>
      <w:tblGrid>
        <w:gridCol w:w="9017"/>
      </w:tblGrid>
      <w:tr w:rsidR="00670187" w14:paraId="005C8B51" w14:textId="77777777" w:rsidTr="00114430">
        <w:trPr>
          <w:trHeight w:val="3456"/>
        </w:trPr>
        <w:tc>
          <w:tcPr>
            <w:tcW w:w="9017" w:type="dxa"/>
            <w:tcBorders>
              <w:top w:val="single" w:sz="4" w:space="0" w:color="auto"/>
              <w:left w:val="single" w:sz="4" w:space="0" w:color="auto"/>
              <w:bottom w:val="single" w:sz="4" w:space="0" w:color="auto"/>
              <w:right w:val="single" w:sz="4" w:space="0" w:color="auto"/>
            </w:tcBorders>
          </w:tcPr>
          <w:p w14:paraId="1579E540" w14:textId="0C99B632" w:rsidR="00670187" w:rsidRDefault="009C03D7">
            <w:r w:rsidRPr="009C03D7" w:rsidDel="009C03D7">
              <w:rPr>
                <w:noProof/>
              </w:rPr>
              <w:t xml:space="preserve"> </w:t>
            </w:r>
            <w:r w:rsidR="00FB116A" w:rsidRPr="00FB116A">
              <w:rPr>
                <w:noProof/>
              </w:rPr>
              <w:drawing>
                <wp:inline distT="0" distB="0" distL="0" distR="0" wp14:anchorId="26AA49EC" wp14:editId="3AC77B53">
                  <wp:extent cx="5450205" cy="2838203"/>
                  <wp:effectExtent l="0" t="0" r="0" b="63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pic:nvPicPr>
                        <pic:blipFill>
                          <a:blip r:embed="rId30">
                            <a:extLst>
                              <a:ext uri="{28A0092B-C50C-407E-A947-70E740481C1C}">
                                <a14:useLocalDpi xmlns:a14="http://schemas.microsoft.com/office/drawing/2010/main" val="0"/>
                              </a:ext>
                            </a:extLst>
                          </a:blip>
                          <a:stretch>
                            <a:fillRect/>
                          </a:stretch>
                        </pic:blipFill>
                        <pic:spPr>
                          <a:xfrm>
                            <a:off x="0" y="0"/>
                            <a:ext cx="5457810" cy="2842164"/>
                          </a:xfrm>
                          <a:prstGeom prst="rect">
                            <a:avLst/>
                          </a:prstGeom>
                        </pic:spPr>
                      </pic:pic>
                    </a:graphicData>
                  </a:graphic>
                </wp:inline>
              </w:drawing>
            </w:r>
            <w:r w:rsidRPr="009C03D7" w:rsidDel="009C03D7">
              <w:rPr>
                <w:noProof/>
              </w:rPr>
              <w:t xml:space="preserve"> </w:t>
            </w:r>
          </w:p>
        </w:tc>
      </w:tr>
    </w:tbl>
    <w:p w14:paraId="79594557" w14:textId="2A566A4F" w:rsidR="00670187" w:rsidRDefault="00670187" w:rsidP="006D619F">
      <w:pPr>
        <w:pStyle w:val="Footnotes"/>
      </w:pPr>
      <w:r w:rsidRPr="000B4372">
        <w:t>Abbreviations: FAS, full analysis set; KM, Kaplan-Meier; OS, overall survival; TPC, treatment of physician’s choice.</w:t>
      </w:r>
    </w:p>
    <w:p w14:paraId="70C60D2B" w14:textId="7302F80C" w:rsidR="00670187" w:rsidRPr="00671C81" w:rsidRDefault="00670187" w:rsidP="003C648C">
      <w:pPr>
        <w:pStyle w:val="Caption"/>
        <w:spacing w:before="360"/>
      </w:pPr>
      <w:bookmarkStart w:id="468" w:name="_Ref96104158"/>
      <w:bookmarkStart w:id="469" w:name="_Toc98924714"/>
      <w:bookmarkStart w:id="470" w:name="_Toc127006644"/>
      <w:bookmarkStart w:id="471" w:name="_Toc129350953"/>
      <w:r w:rsidRPr="00671C81">
        <w:t xml:space="preserve">Figure </w:t>
      </w:r>
      <w:r w:rsidRPr="00671C81">
        <w:fldChar w:fldCharType="begin"/>
      </w:r>
      <w:r w:rsidRPr="00671C81">
        <w:instrText>SEQ Figure \* ARABIC</w:instrText>
      </w:r>
      <w:r w:rsidRPr="00671C81">
        <w:fldChar w:fldCharType="separate"/>
      </w:r>
      <w:r w:rsidR="00145F42">
        <w:rPr>
          <w:noProof/>
        </w:rPr>
        <w:t>27</w:t>
      </w:r>
      <w:r w:rsidRPr="00671C81">
        <w:fldChar w:fldCharType="end"/>
      </w:r>
      <w:bookmarkEnd w:id="468"/>
      <w:r w:rsidRPr="00671C81">
        <w:t xml:space="preserve">: </w:t>
      </w:r>
      <w:r w:rsidRPr="005D58CB">
        <w:t xml:space="preserve">Observed versus predicted </w:t>
      </w:r>
      <w:r w:rsidRPr="00671C81">
        <w:t>OS for T-DXd</w:t>
      </w:r>
      <w:r w:rsidR="001B4BA4" w:rsidRPr="001B4BA4">
        <w:t xml:space="preserve"> </w:t>
      </w:r>
      <w:r w:rsidR="001B4BA4">
        <w:t xml:space="preserve">over </w:t>
      </w:r>
      <w:r w:rsidR="003E4C45">
        <w:t xml:space="preserve">a </w:t>
      </w:r>
      <w:r w:rsidR="001B4BA4">
        <w:t>3-year time horizon</w:t>
      </w:r>
      <w:r w:rsidRPr="00671C81">
        <w:t xml:space="preserve"> in the FAS population</w:t>
      </w:r>
      <w:bookmarkEnd w:id="469"/>
      <w:bookmarkEnd w:id="470"/>
      <w:bookmarkEnd w:id="471"/>
    </w:p>
    <w:tbl>
      <w:tblPr>
        <w:tblStyle w:val="TableGrid"/>
        <w:tblW w:w="0" w:type="auto"/>
        <w:tblBorders>
          <w:top w:val="single" w:sz="24" w:space="0" w:color="FFFF00"/>
          <w:left w:val="single" w:sz="24" w:space="0" w:color="FFFF00"/>
          <w:bottom w:val="single" w:sz="24" w:space="0" w:color="FFFF00"/>
          <w:right w:val="single" w:sz="24" w:space="0" w:color="FFFF00"/>
          <w:insideH w:val="single" w:sz="24" w:space="0" w:color="FFFF00"/>
          <w:insideV w:val="single" w:sz="24" w:space="0" w:color="FFFF00"/>
        </w:tblBorders>
        <w:tblLook w:val="04A0" w:firstRow="1" w:lastRow="0" w:firstColumn="1" w:lastColumn="0" w:noHBand="0" w:noVBand="1"/>
      </w:tblPr>
      <w:tblGrid>
        <w:gridCol w:w="9017"/>
      </w:tblGrid>
      <w:tr w:rsidR="00670187" w:rsidRPr="00671C81" w14:paraId="4AB6EB6A" w14:textId="77777777" w:rsidTr="00114430">
        <w:trPr>
          <w:trHeight w:val="3456"/>
        </w:trPr>
        <w:tc>
          <w:tcPr>
            <w:tcW w:w="9017" w:type="dxa"/>
            <w:tcBorders>
              <w:top w:val="single" w:sz="4" w:space="0" w:color="auto"/>
              <w:left w:val="single" w:sz="4" w:space="0" w:color="auto"/>
              <w:bottom w:val="single" w:sz="4" w:space="0" w:color="auto"/>
              <w:right w:val="single" w:sz="4" w:space="0" w:color="auto"/>
            </w:tcBorders>
          </w:tcPr>
          <w:p w14:paraId="78F42EDE" w14:textId="0D7AEE72" w:rsidR="00670187" w:rsidRPr="00671C81" w:rsidRDefault="007C7694">
            <w:r>
              <w:rPr>
                <w:noProof/>
              </w:rPr>
              <w:t xml:space="preserve"> </w:t>
            </w:r>
            <w:r w:rsidR="008350B9">
              <w:rPr>
                <w:noProof/>
              </w:rPr>
              <w:drawing>
                <wp:inline distT="0" distB="0" distL="0" distR="0" wp14:anchorId="3F691C8A" wp14:editId="68C3A62B">
                  <wp:extent cx="5450774" cy="3001918"/>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55769" cy="3004669"/>
                          </a:xfrm>
                          <a:prstGeom prst="rect">
                            <a:avLst/>
                          </a:prstGeom>
                          <a:noFill/>
                        </pic:spPr>
                      </pic:pic>
                    </a:graphicData>
                  </a:graphic>
                </wp:inline>
              </w:drawing>
            </w:r>
          </w:p>
        </w:tc>
      </w:tr>
    </w:tbl>
    <w:p w14:paraId="66722995" w14:textId="7EC9F83C" w:rsidR="00670187" w:rsidRPr="00671C81" w:rsidRDefault="00670187" w:rsidP="00670187">
      <w:pPr>
        <w:pStyle w:val="Footnotes"/>
      </w:pPr>
      <w:r w:rsidRPr="00671C81">
        <w:t>Abbreviations: FAS, full analysis set; KM, Kaplan-Meier; OS, overall survival; T-DXd, trastuzumab deruxtecan.</w:t>
      </w:r>
    </w:p>
    <w:p w14:paraId="390D2E32" w14:textId="6D715507" w:rsidR="005E4F9F" w:rsidRDefault="005E4F9F" w:rsidP="005E4F9F">
      <w:r w:rsidRPr="00C75723">
        <w:t xml:space="preserve">Following visual assessment of the KM data and parametric curves for TPC and T-DXd arms, the exponential curves were not considered to be a good visual fit as they fall below the KM data </w:t>
      </w:r>
      <w:r w:rsidR="00572D0B">
        <w:t xml:space="preserve">for over a year </w:t>
      </w:r>
      <w:r w:rsidR="002F5CFE" w:rsidRPr="002F5CFE">
        <w:t>of the observed period in both arms</w:t>
      </w:r>
      <w:r w:rsidR="002F5CFE">
        <w:t>.</w:t>
      </w:r>
      <w:r w:rsidRPr="00C75723">
        <w:t xml:space="preserve"> Similarly, while the log-normal </w:t>
      </w:r>
      <w:r w:rsidR="00F033CB" w:rsidRPr="00C75723">
        <w:t xml:space="preserve">curves for </w:t>
      </w:r>
      <w:r w:rsidRPr="00C75723">
        <w:t xml:space="preserve">TPC and T-DXd curves provide a reasonable visual fit to the KM data until approximately 18 months, </w:t>
      </w:r>
      <w:r w:rsidR="00F033CB" w:rsidRPr="00C75723">
        <w:t>the</w:t>
      </w:r>
      <w:r w:rsidR="006C67C3" w:rsidRPr="00C75723">
        <w:t>y</w:t>
      </w:r>
      <w:r w:rsidRPr="00C75723">
        <w:t xml:space="preserve"> lie above the KM </w:t>
      </w:r>
      <w:r w:rsidR="00A13FD6" w:rsidRPr="00A13FD6">
        <w:t xml:space="preserve">after this point </w:t>
      </w:r>
      <w:r w:rsidR="006C67C3" w:rsidRPr="00C75723">
        <w:t>for both T-DXd and TPC</w:t>
      </w:r>
      <w:r w:rsidRPr="00C75723">
        <w:t xml:space="preserve">. </w:t>
      </w:r>
    </w:p>
    <w:p w14:paraId="0443DCCF" w14:textId="52187BA8" w:rsidR="005E4F9F" w:rsidRPr="00C75723" w:rsidRDefault="005E4F9F" w:rsidP="005E4F9F">
      <w:r w:rsidRPr="00C75723">
        <w:t>The log-logistic, Weibull, generalised gamma and gompertz curves were all considered to provided an acceptable visual fit to the KM data</w:t>
      </w:r>
      <w:r w:rsidR="006C67C3" w:rsidRPr="00C75723">
        <w:t xml:space="preserve"> for both T-DXd and TPC</w:t>
      </w:r>
      <w:r w:rsidRPr="00C75723">
        <w:t>.</w:t>
      </w:r>
    </w:p>
    <w:p w14:paraId="756DDCA8" w14:textId="0BC98D55" w:rsidR="00FC5D60" w:rsidRPr="003C648C" w:rsidRDefault="00FC5D60" w:rsidP="00FC5D60">
      <w:pPr>
        <w:rPr>
          <w:i/>
          <w:u w:val="single"/>
        </w:rPr>
      </w:pPr>
      <w:r w:rsidRPr="003C648C">
        <w:rPr>
          <w:i/>
          <w:u w:val="single"/>
        </w:rPr>
        <w:lastRenderedPageBreak/>
        <w:t>Long-term clinical plausibility</w:t>
      </w:r>
    </w:p>
    <w:p w14:paraId="6C785902" w14:textId="3610CA42" w:rsidR="00670187" w:rsidRDefault="00FD702A" w:rsidP="00670187">
      <w:r w:rsidRPr="00FD702A">
        <w:rPr>
          <w:b/>
          <w:bCs/>
        </w:rPr>
        <w:fldChar w:fldCharType="begin"/>
      </w:r>
      <w:r w:rsidRPr="003C648C">
        <w:rPr>
          <w:b/>
          <w:bCs/>
        </w:rPr>
        <w:instrText xml:space="preserve"> REF _Ref96104290 \h  \* MERGEFORMAT </w:instrText>
      </w:r>
      <w:r w:rsidRPr="00FD702A">
        <w:rPr>
          <w:b/>
          <w:bCs/>
        </w:rPr>
      </w:r>
      <w:r w:rsidRPr="00FD702A">
        <w:rPr>
          <w:b/>
          <w:bCs/>
        </w:rPr>
        <w:fldChar w:fldCharType="separate"/>
      </w:r>
      <w:r w:rsidR="00145F42" w:rsidRPr="00145F42">
        <w:rPr>
          <w:b/>
          <w:bCs/>
        </w:rPr>
        <w:t xml:space="preserve">Figure </w:t>
      </w:r>
      <w:r w:rsidR="00145F42" w:rsidRPr="00145F42">
        <w:rPr>
          <w:b/>
          <w:bCs/>
          <w:noProof/>
        </w:rPr>
        <w:t>30</w:t>
      </w:r>
      <w:r w:rsidRPr="00FD702A">
        <w:rPr>
          <w:b/>
          <w:bCs/>
        </w:rPr>
        <w:fldChar w:fldCharType="end"/>
      </w:r>
      <w:r>
        <w:rPr>
          <w:b/>
          <w:bCs/>
        </w:rPr>
        <w:t xml:space="preserve"> </w:t>
      </w:r>
      <w:r>
        <w:t xml:space="preserve">and </w:t>
      </w:r>
      <w:r w:rsidRPr="003C648C">
        <w:rPr>
          <w:b/>
          <w:bCs/>
        </w:rPr>
        <w:fldChar w:fldCharType="begin"/>
      </w:r>
      <w:r w:rsidRPr="003C648C">
        <w:rPr>
          <w:b/>
          <w:bCs/>
        </w:rPr>
        <w:instrText xml:space="preserve"> REF _Ref129022120 \h </w:instrText>
      </w:r>
      <w:r>
        <w:rPr>
          <w:b/>
          <w:bCs/>
        </w:rPr>
        <w:instrText xml:space="preserve"> \* MERGEFORMAT </w:instrText>
      </w:r>
      <w:r w:rsidRPr="003C648C">
        <w:rPr>
          <w:b/>
          <w:bCs/>
        </w:rPr>
      </w:r>
      <w:r w:rsidRPr="003C648C">
        <w:rPr>
          <w:b/>
          <w:bCs/>
        </w:rPr>
        <w:fldChar w:fldCharType="separate"/>
      </w:r>
      <w:r w:rsidR="00145F42" w:rsidRPr="00145F42">
        <w:rPr>
          <w:b/>
          <w:bCs/>
        </w:rPr>
        <w:t xml:space="preserve">Figure </w:t>
      </w:r>
      <w:r w:rsidR="00145F42" w:rsidRPr="00145F42">
        <w:rPr>
          <w:b/>
          <w:bCs/>
          <w:noProof/>
        </w:rPr>
        <w:t>29</w:t>
      </w:r>
      <w:r w:rsidRPr="003C648C">
        <w:rPr>
          <w:b/>
          <w:bCs/>
        </w:rPr>
        <w:fldChar w:fldCharType="end"/>
      </w:r>
      <w:r>
        <w:t xml:space="preserve"> </w:t>
      </w:r>
      <w:r w:rsidRPr="00143C3D">
        <w:t xml:space="preserve">present the model </w:t>
      </w:r>
      <w:r w:rsidR="000A58A2">
        <w:t>predictions</w:t>
      </w:r>
      <w:r w:rsidR="000A58A2" w:rsidRPr="00143C3D">
        <w:t xml:space="preserve"> </w:t>
      </w:r>
      <w:r w:rsidRPr="00143C3D">
        <w:t xml:space="preserve">for T-DXd and </w:t>
      </w:r>
      <w:r w:rsidRPr="005D58CB">
        <w:t>TPC, respectively,</w:t>
      </w:r>
      <w:r w:rsidRPr="00143C3D">
        <w:t xml:space="preserve"> over a </w:t>
      </w:r>
      <w:r>
        <w:t>25</w:t>
      </w:r>
      <w:r w:rsidRPr="00143C3D">
        <w:t>-year time horizon.</w:t>
      </w:r>
    </w:p>
    <w:p w14:paraId="5E2A70CE" w14:textId="19B1A1A0" w:rsidR="00FD702A" w:rsidRPr="00671C81" w:rsidRDefault="00FD702A" w:rsidP="00FD702A">
      <w:pPr>
        <w:pStyle w:val="Caption"/>
      </w:pPr>
      <w:bookmarkStart w:id="472" w:name="_Ref129023086"/>
      <w:bookmarkStart w:id="473" w:name="_Toc129350954"/>
      <w:r w:rsidRPr="00671C81">
        <w:t xml:space="preserve">Figure </w:t>
      </w:r>
      <w:r w:rsidRPr="00671C81">
        <w:fldChar w:fldCharType="begin"/>
      </w:r>
      <w:r w:rsidRPr="00671C81">
        <w:instrText>SEQ Figure \* ARABIC</w:instrText>
      </w:r>
      <w:r w:rsidRPr="00671C81">
        <w:fldChar w:fldCharType="separate"/>
      </w:r>
      <w:r w:rsidR="00145F42">
        <w:rPr>
          <w:noProof/>
        </w:rPr>
        <w:t>28</w:t>
      </w:r>
      <w:r w:rsidRPr="00671C81">
        <w:fldChar w:fldCharType="end"/>
      </w:r>
      <w:bookmarkEnd w:id="472"/>
      <w:r w:rsidRPr="00671C81">
        <w:t xml:space="preserve">: </w:t>
      </w:r>
      <w:r w:rsidRPr="002629AD">
        <w:t xml:space="preserve">Observed versus predicted </w:t>
      </w:r>
      <w:r w:rsidRPr="00671C81">
        <w:t>OS for TPC in the FAS population</w:t>
      </w:r>
      <w:r w:rsidRPr="00210AF8">
        <w:t xml:space="preserve"> </w:t>
      </w:r>
      <w:r>
        <w:t>over a 25-year time horizon</w:t>
      </w:r>
      <w:r w:rsidRPr="00671C81">
        <w:t xml:space="preserve"> in the FAS population</w:t>
      </w:r>
      <w:bookmarkEnd w:id="473"/>
    </w:p>
    <w:tbl>
      <w:tblPr>
        <w:tblStyle w:val="TableGrid"/>
        <w:tblW w:w="0" w:type="auto"/>
        <w:tblBorders>
          <w:top w:val="single" w:sz="24" w:space="0" w:color="FFFF00"/>
          <w:left w:val="single" w:sz="24" w:space="0" w:color="FFFF00"/>
          <w:bottom w:val="single" w:sz="24" w:space="0" w:color="FFFF00"/>
          <w:right w:val="single" w:sz="24" w:space="0" w:color="FFFF00"/>
          <w:insideH w:val="none" w:sz="0" w:space="0" w:color="auto"/>
          <w:insideV w:val="none" w:sz="0" w:space="0" w:color="auto"/>
        </w:tblBorders>
        <w:tblLook w:val="04A0" w:firstRow="1" w:lastRow="0" w:firstColumn="1" w:lastColumn="0" w:noHBand="0" w:noVBand="1"/>
      </w:tblPr>
      <w:tblGrid>
        <w:gridCol w:w="9017"/>
      </w:tblGrid>
      <w:tr w:rsidR="00FD702A" w14:paraId="4CC4B639" w14:textId="77777777" w:rsidTr="002258CE">
        <w:trPr>
          <w:trHeight w:val="3456"/>
        </w:trPr>
        <w:tc>
          <w:tcPr>
            <w:tcW w:w="9017" w:type="dxa"/>
            <w:tcBorders>
              <w:top w:val="single" w:sz="4" w:space="0" w:color="auto"/>
              <w:left w:val="single" w:sz="4" w:space="0" w:color="auto"/>
              <w:bottom w:val="single" w:sz="4" w:space="0" w:color="auto"/>
              <w:right w:val="single" w:sz="4" w:space="0" w:color="auto"/>
            </w:tcBorders>
          </w:tcPr>
          <w:p w14:paraId="1D36721E" w14:textId="6D04C1A7" w:rsidR="00FD702A" w:rsidRDefault="00027149" w:rsidP="00F033C2">
            <w:r w:rsidRPr="00027149">
              <w:rPr>
                <w:noProof/>
              </w:rPr>
              <w:drawing>
                <wp:inline distT="0" distB="0" distL="0" distR="0" wp14:anchorId="0A2FD974" wp14:editId="73883984">
                  <wp:extent cx="5557520" cy="2802577"/>
                  <wp:effectExtent l="0" t="0" r="508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a:blip r:embed="rId30">
                            <a:extLst>
                              <a:ext uri="{28A0092B-C50C-407E-A947-70E740481C1C}">
                                <a14:useLocalDpi xmlns:a14="http://schemas.microsoft.com/office/drawing/2010/main" val="0"/>
                              </a:ext>
                            </a:extLst>
                          </a:blip>
                          <a:stretch>
                            <a:fillRect/>
                          </a:stretch>
                        </pic:blipFill>
                        <pic:spPr>
                          <a:xfrm>
                            <a:off x="0" y="0"/>
                            <a:ext cx="5560181" cy="2803919"/>
                          </a:xfrm>
                          <a:prstGeom prst="rect">
                            <a:avLst/>
                          </a:prstGeom>
                        </pic:spPr>
                      </pic:pic>
                    </a:graphicData>
                  </a:graphic>
                </wp:inline>
              </w:drawing>
            </w:r>
          </w:p>
        </w:tc>
      </w:tr>
    </w:tbl>
    <w:p w14:paraId="5AEC485C" w14:textId="318F93EE" w:rsidR="00FD702A" w:rsidRDefault="00FD702A" w:rsidP="003C648C">
      <w:pPr>
        <w:pStyle w:val="Footnotes"/>
      </w:pPr>
      <w:r w:rsidRPr="007B3CF2">
        <w:t>Abbreviations: FAS, full analysis set; KM, Kaplan-Meier; OS, overall survival; TPC, treatment of physician’s choice.</w:t>
      </w:r>
    </w:p>
    <w:p w14:paraId="581C8489" w14:textId="509D4E12" w:rsidR="00FD702A" w:rsidRPr="00671C81" w:rsidRDefault="00FD702A" w:rsidP="00FD702A">
      <w:pPr>
        <w:pStyle w:val="Caption"/>
      </w:pPr>
      <w:bookmarkStart w:id="474" w:name="_Ref129022120"/>
      <w:bookmarkStart w:id="475" w:name="_Toc129350955"/>
      <w:r w:rsidRPr="00671C81">
        <w:t xml:space="preserve">Figure </w:t>
      </w:r>
      <w:r w:rsidRPr="00671C81">
        <w:fldChar w:fldCharType="begin"/>
      </w:r>
      <w:r w:rsidRPr="00671C81">
        <w:instrText>SEQ Figure \* ARABIC</w:instrText>
      </w:r>
      <w:r w:rsidRPr="00671C81">
        <w:fldChar w:fldCharType="separate"/>
      </w:r>
      <w:r w:rsidR="00145F42">
        <w:rPr>
          <w:noProof/>
        </w:rPr>
        <w:t>29</w:t>
      </w:r>
      <w:r w:rsidRPr="00671C81">
        <w:fldChar w:fldCharType="end"/>
      </w:r>
      <w:bookmarkEnd w:id="474"/>
      <w:r w:rsidRPr="00671C81">
        <w:t xml:space="preserve">: </w:t>
      </w:r>
      <w:r w:rsidRPr="002629AD">
        <w:t xml:space="preserve">Observed versus predicted </w:t>
      </w:r>
      <w:r w:rsidRPr="00671C81">
        <w:t>OS for T</w:t>
      </w:r>
      <w:r>
        <w:t>-DXd</w:t>
      </w:r>
      <w:r w:rsidRPr="00671C81">
        <w:t xml:space="preserve"> in the FAS population</w:t>
      </w:r>
      <w:r w:rsidRPr="00210AF8">
        <w:t xml:space="preserve"> </w:t>
      </w:r>
      <w:r>
        <w:t>over a 25-year time horizon</w:t>
      </w:r>
      <w:r w:rsidRPr="00671C81">
        <w:t xml:space="preserve"> in the FAS population</w:t>
      </w:r>
      <w:bookmarkEnd w:id="475"/>
    </w:p>
    <w:tbl>
      <w:tblPr>
        <w:tblStyle w:val="TableGrid"/>
        <w:tblW w:w="0" w:type="auto"/>
        <w:tblBorders>
          <w:top w:val="single" w:sz="24" w:space="0" w:color="FFFF00"/>
          <w:left w:val="single" w:sz="24" w:space="0" w:color="FFFF00"/>
          <w:bottom w:val="single" w:sz="24" w:space="0" w:color="FFFF00"/>
          <w:right w:val="single" w:sz="24" w:space="0" w:color="FFFF00"/>
          <w:insideH w:val="none" w:sz="0" w:space="0" w:color="auto"/>
          <w:insideV w:val="none" w:sz="0" w:space="0" w:color="auto"/>
        </w:tblBorders>
        <w:tblLook w:val="04A0" w:firstRow="1" w:lastRow="0" w:firstColumn="1" w:lastColumn="0" w:noHBand="0" w:noVBand="1"/>
      </w:tblPr>
      <w:tblGrid>
        <w:gridCol w:w="9017"/>
      </w:tblGrid>
      <w:tr w:rsidR="00FD702A" w14:paraId="24F79706" w14:textId="77777777" w:rsidTr="002258CE">
        <w:trPr>
          <w:trHeight w:val="3456"/>
        </w:trPr>
        <w:tc>
          <w:tcPr>
            <w:tcW w:w="9017" w:type="dxa"/>
            <w:tcBorders>
              <w:top w:val="single" w:sz="4" w:space="0" w:color="auto"/>
              <w:left w:val="single" w:sz="4" w:space="0" w:color="auto"/>
              <w:bottom w:val="single" w:sz="4" w:space="0" w:color="auto"/>
              <w:right w:val="single" w:sz="4" w:space="0" w:color="auto"/>
            </w:tcBorders>
          </w:tcPr>
          <w:p w14:paraId="59156604" w14:textId="54F07ED6" w:rsidR="00FD702A" w:rsidRDefault="00027149" w:rsidP="00F033C2">
            <w:r w:rsidRPr="00027149">
              <w:rPr>
                <w:noProof/>
              </w:rPr>
              <w:drawing>
                <wp:inline distT="0" distB="0" distL="0" distR="0" wp14:anchorId="0C9A67CB" wp14:editId="1BCB9E38">
                  <wp:extent cx="5545455" cy="2778826"/>
                  <wp:effectExtent l="0" t="0" r="0" b="254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30">
                            <a:extLst>
                              <a:ext uri="{28A0092B-C50C-407E-A947-70E740481C1C}">
                                <a14:useLocalDpi xmlns:a14="http://schemas.microsoft.com/office/drawing/2010/main" val="0"/>
                              </a:ext>
                            </a:extLst>
                          </a:blip>
                          <a:stretch>
                            <a:fillRect/>
                          </a:stretch>
                        </pic:blipFill>
                        <pic:spPr>
                          <a:xfrm>
                            <a:off x="0" y="0"/>
                            <a:ext cx="5548718" cy="2780461"/>
                          </a:xfrm>
                          <a:prstGeom prst="rect">
                            <a:avLst/>
                          </a:prstGeom>
                        </pic:spPr>
                      </pic:pic>
                    </a:graphicData>
                  </a:graphic>
                </wp:inline>
              </w:drawing>
            </w:r>
          </w:p>
        </w:tc>
      </w:tr>
    </w:tbl>
    <w:p w14:paraId="4969866A" w14:textId="77777777" w:rsidR="00FD702A" w:rsidRPr="00E21C06" w:rsidRDefault="00FD702A" w:rsidP="003C648C">
      <w:pPr>
        <w:pStyle w:val="Footnotes"/>
      </w:pPr>
      <w:r w:rsidRPr="007B3CF2">
        <w:t>Abbreviations: FAS, full analysis set; KM, Kaplan-Meier; OS, overall survival; TPC, treatment of physician’s choice.</w:t>
      </w:r>
    </w:p>
    <w:p w14:paraId="24AD2249" w14:textId="1A5E4619" w:rsidR="00FC5D60" w:rsidRPr="00671C81" w:rsidRDefault="00FC5D60" w:rsidP="00FC5D60">
      <w:pPr>
        <w:pStyle w:val="Caption"/>
      </w:pPr>
      <w:bookmarkStart w:id="476" w:name="_Ref129129948"/>
      <w:bookmarkStart w:id="477" w:name="_Toc129351011"/>
      <w:r w:rsidRPr="00671C81">
        <w:lastRenderedPageBreak/>
        <w:t xml:space="preserve">Table </w:t>
      </w:r>
      <w:r w:rsidRPr="00671C81">
        <w:fldChar w:fldCharType="begin"/>
      </w:r>
      <w:r w:rsidRPr="00671C81">
        <w:instrText>SEQ Table \* ARABIC</w:instrText>
      </w:r>
      <w:r w:rsidRPr="00671C81">
        <w:fldChar w:fldCharType="separate"/>
      </w:r>
      <w:r w:rsidR="00145F42">
        <w:rPr>
          <w:noProof/>
        </w:rPr>
        <w:t>36</w:t>
      </w:r>
      <w:r w:rsidRPr="00671C81">
        <w:fldChar w:fldCharType="end"/>
      </w:r>
      <w:bookmarkEnd w:id="476"/>
      <w:r w:rsidRPr="00671C81">
        <w:t>: OS in the FAS population: Predictions by independently fitted distributions in T-DXd and TPC</w:t>
      </w:r>
      <w:bookmarkEnd w:id="477"/>
    </w:p>
    <w:tbl>
      <w:tblPr>
        <w:tblStyle w:val="TableGrid"/>
        <w:tblW w:w="8926" w:type="dxa"/>
        <w:tblLayout w:type="fixed"/>
        <w:tblLook w:val="04A0" w:firstRow="1" w:lastRow="0" w:firstColumn="1" w:lastColumn="0" w:noHBand="0" w:noVBand="1"/>
      </w:tblPr>
      <w:tblGrid>
        <w:gridCol w:w="2122"/>
        <w:gridCol w:w="1275"/>
        <w:gridCol w:w="1276"/>
        <w:gridCol w:w="1418"/>
        <w:gridCol w:w="1417"/>
        <w:gridCol w:w="1418"/>
      </w:tblGrid>
      <w:tr w:rsidR="00FC5D60" w:rsidRPr="00671C81" w14:paraId="1C31AD25" w14:textId="77777777" w:rsidTr="00F033C2">
        <w:trPr>
          <w:trHeight w:val="573"/>
        </w:trPr>
        <w:tc>
          <w:tcPr>
            <w:tcW w:w="2122" w:type="dxa"/>
            <w:shd w:val="clear" w:color="auto" w:fill="E7E6E6" w:themeFill="background2"/>
            <w:vAlign w:val="center"/>
          </w:tcPr>
          <w:p w14:paraId="2109203D" w14:textId="77777777" w:rsidR="00FC5D60" w:rsidRPr="00671C81" w:rsidRDefault="00FC5D60" w:rsidP="00F033C2">
            <w:pPr>
              <w:pStyle w:val="NICETabletext"/>
              <w:rPr>
                <w:b/>
                <w:lang w:eastAsia="en-GB"/>
              </w:rPr>
            </w:pPr>
            <w:r w:rsidRPr="00671C81">
              <w:rPr>
                <w:b/>
                <w:lang w:eastAsia="en-GB"/>
              </w:rPr>
              <w:t>Distribution</w:t>
            </w:r>
          </w:p>
        </w:tc>
        <w:tc>
          <w:tcPr>
            <w:tcW w:w="1275" w:type="dxa"/>
            <w:shd w:val="clear" w:color="auto" w:fill="E7E6E6" w:themeFill="background2"/>
            <w:vAlign w:val="center"/>
          </w:tcPr>
          <w:p w14:paraId="76269634" w14:textId="77777777" w:rsidR="00FC5D60" w:rsidRPr="00671C81" w:rsidRDefault="00FC5D60" w:rsidP="00F033C2">
            <w:pPr>
              <w:pStyle w:val="NICETabletext"/>
              <w:jc w:val="center"/>
              <w:rPr>
                <w:b/>
                <w:lang w:eastAsia="en-GB"/>
              </w:rPr>
            </w:pPr>
            <w:r w:rsidRPr="00671C81">
              <w:rPr>
                <w:b/>
                <w:lang w:eastAsia="en-GB"/>
              </w:rPr>
              <w:t>Median (</w:t>
            </w:r>
            <w:r>
              <w:rPr>
                <w:b/>
                <w:lang w:eastAsia="en-GB"/>
              </w:rPr>
              <w:t>months</w:t>
            </w:r>
            <w:r w:rsidRPr="00671C81">
              <w:rPr>
                <w:b/>
                <w:lang w:eastAsia="en-GB"/>
              </w:rPr>
              <w:t>)*</w:t>
            </w:r>
          </w:p>
        </w:tc>
        <w:tc>
          <w:tcPr>
            <w:tcW w:w="1276" w:type="dxa"/>
            <w:shd w:val="clear" w:color="auto" w:fill="E7E6E6" w:themeFill="background2"/>
            <w:vAlign w:val="center"/>
          </w:tcPr>
          <w:p w14:paraId="415D451F" w14:textId="77777777" w:rsidR="00FC5D60" w:rsidRPr="00671C81" w:rsidRDefault="00FC5D60" w:rsidP="00F033C2">
            <w:pPr>
              <w:pStyle w:val="NICETabletext"/>
              <w:rPr>
                <w:b/>
                <w:lang w:eastAsia="en-GB"/>
              </w:rPr>
            </w:pPr>
            <w:r w:rsidRPr="00671C81">
              <w:rPr>
                <w:b/>
                <w:lang w:eastAsia="en-GB"/>
              </w:rPr>
              <w:t xml:space="preserve">1-Year </w:t>
            </w:r>
            <w:r w:rsidRPr="00671C81">
              <w:rPr>
                <w:b/>
                <w:bCs/>
                <w:lang w:eastAsia="en-GB"/>
              </w:rPr>
              <w:t>OS</w:t>
            </w:r>
          </w:p>
        </w:tc>
        <w:tc>
          <w:tcPr>
            <w:tcW w:w="1418" w:type="dxa"/>
            <w:shd w:val="clear" w:color="auto" w:fill="E7E6E6" w:themeFill="background2"/>
            <w:vAlign w:val="center"/>
          </w:tcPr>
          <w:p w14:paraId="32319665" w14:textId="77777777" w:rsidR="00FC5D60" w:rsidRPr="00671C81" w:rsidRDefault="00FC5D60" w:rsidP="00F033C2">
            <w:pPr>
              <w:pStyle w:val="NICETabletext"/>
              <w:rPr>
                <w:b/>
                <w:lang w:eastAsia="en-GB"/>
              </w:rPr>
            </w:pPr>
            <w:r w:rsidRPr="00671C81">
              <w:rPr>
                <w:b/>
                <w:lang w:eastAsia="en-GB"/>
              </w:rPr>
              <w:t xml:space="preserve">3-Year </w:t>
            </w:r>
            <w:r w:rsidRPr="00671C81">
              <w:rPr>
                <w:b/>
                <w:bCs/>
                <w:lang w:eastAsia="en-GB"/>
              </w:rPr>
              <w:t>OS</w:t>
            </w:r>
          </w:p>
        </w:tc>
        <w:tc>
          <w:tcPr>
            <w:tcW w:w="1417" w:type="dxa"/>
            <w:shd w:val="clear" w:color="auto" w:fill="E7E6E6" w:themeFill="background2"/>
            <w:vAlign w:val="center"/>
          </w:tcPr>
          <w:p w14:paraId="33637C41" w14:textId="77777777" w:rsidR="00FC5D60" w:rsidRPr="00671C81" w:rsidRDefault="00FC5D60" w:rsidP="00F033C2">
            <w:pPr>
              <w:pStyle w:val="NICETabletext"/>
              <w:rPr>
                <w:b/>
                <w:lang w:eastAsia="en-GB"/>
              </w:rPr>
            </w:pPr>
            <w:r w:rsidRPr="00671C81">
              <w:rPr>
                <w:b/>
                <w:lang w:eastAsia="en-GB"/>
              </w:rPr>
              <w:t xml:space="preserve">5-Year </w:t>
            </w:r>
            <w:r w:rsidRPr="00671C81">
              <w:rPr>
                <w:b/>
                <w:bCs/>
                <w:lang w:eastAsia="en-GB"/>
              </w:rPr>
              <w:t>OS</w:t>
            </w:r>
          </w:p>
        </w:tc>
        <w:tc>
          <w:tcPr>
            <w:tcW w:w="1418" w:type="dxa"/>
            <w:shd w:val="clear" w:color="auto" w:fill="E7E6E6" w:themeFill="background2"/>
            <w:vAlign w:val="center"/>
          </w:tcPr>
          <w:p w14:paraId="0AA2A21B" w14:textId="77777777" w:rsidR="00FC5D60" w:rsidRPr="00671C81" w:rsidRDefault="00FC5D60" w:rsidP="00F033C2">
            <w:pPr>
              <w:pStyle w:val="NICETabletext"/>
              <w:rPr>
                <w:b/>
                <w:lang w:eastAsia="en-GB"/>
              </w:rPr>
            </w:pPr>
            <w:r w:rsidRPr="00671C81">
              <w:rPr>
                <w:b/>
                <w:lang w:eastAsia="en-GB"/>
              </w:rPr>
              <w:t xml:space="preserve">10-Year </w:t>
            </w:r>
            <w:r w:rsidRPr="00671C81">
              <w:rPr>
                <w:b/>
                <w:bCs/>
                <w:lang w:eastAsia="en-GB"/>
              </w:rPr>
              <w:t>OS</w:t>
            </w:r>
          </w:p>
        </w:tc>
      </w:tr>
      <w:tr w:rsidR="00FC5D60" w:rsidRPr="00671C81" w14:paraId="084B6938" w14:textId="77777777" w:rsidTr="00F033C2">
        <w:trPr>
          <w:trHeight w:val="183"/>
        </w:trPr>
        <w:tc>
          <w:tcPr>
            <w:tcW w:w="8926" w:type="dxa"/>
            <w:gridSpan w:val="6"/>
            <w:tcBorders>
              <w:right w:val="single" w:sz="4" w:space="0" w:color="auto"/>
            </w:tcBorders>
            <w:shd w:val="clear" w:color="auto" w:fill="F2F2F2" w:themeFill="background1" w:themeFillShade="F2"/>
          </w:tcPr>
          <w:p w14:paraId="38CC14EC" w14:textId="77777777" w:rsidR="00FC5D60" w:rsidRPr="005D58CB" w:rsidRDefault="00FC5D60" w:rsidP="00F033C2">
            <w:pPr>
              <w:pStyle w:val="NICETabletext"/>
              <w:rPr>
                <w:b/>
              </w:rPr>
            </w:pPr>
            <w:r w:rsidRPr="005D58CB">
              <w:rPr>
                <w:b/>
              </w:rPr>
              <w:t>TPC</w:t>
            </w:r>
          </w:p>
        </w:tc>
      </w:tr>
      <w:tr w:rsidR="00FC5D60" w:rsidRPr="00671C81" w14:paraId="51C60F2D" w14:textId="77777777" w:rsidTr="00F033C2">
        <w:trPr>
          <w:trHeight w:val="183"/>
        </w:trPr>
        <w:tc>
          <w:tcPr>
            <w:tcW w:w="2122" w:type="dxa"/>
          </w:tcPr>
          <w:p w14:paraId="501047C2" w14:textId="77777777" w:rsidR="00FC5D60" w:rsidRPr="00671C81" w:rsidRDefault="00FC5D60" w:rsidP="00F033C2">
            <w:pPr>
              <w:pStyle w:val="NICETabletext"/>
              <w:rPr>
                <w:bCs/>
                <w:lang w:eastAsia="en-GB"/>
              </w:rPr>
            </w:pPr>
            <w:r w:rsidRPr="00671C81">
              <w:rPr>
                <w:bCs/>
                <w:lang w:eastAsia="en-GB"/>
              </w:rPr>
              <w:t>Exponential</w:t>
            </w:r>
          </w:p>
        </w:tc>
        <w:tc>
          <w:tcPr>
            <w:tcW w:w="1275" w:type="dxa"/>
            <w:vAlign w:val="center"/>
          </w:tcPr>
          <w:p w14:paraId="1B9DC315" w14:textId="2F47BE0A" w:rsidR="00FC5D60" w:rsidRPr="00294FDC" w:rsidRDefault="00294FDC" w:rsidP="00F033C2">
            <w:pPr>
              <w:pStyle w:val="NICETabletext"/>
              <w:jc w:val="center"/>
              <w:rPr>
                <w:color w:val="000000"/>
                <w:highlight w:val="black"/>
              </w:rPr>
            </w:pPr>
            <w:r w:rsidRPr="00294FDC">
              <w:rPr>
                <w:color w:val="000000"/>
                <w:highlight w:val="black"/>
              </w:rPr>
              <w:t>xxxxx</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E51BBCC" w14:textId="6559E257" w:rsidR="00FC5D60" w:rsidRPr="00294FDC" w:rsidRDefault="00294FDC" w:rsidP="00F033C2">
            <w:pPr>
              <w:pStyle w:val="NICETabletext"/>
              <w:jc w:val="center"/>
              <w:rPr>
                <w:color w:val="000000"/>
                <w:highlight w:val="black"/>
              </w:rPr>
            </w:pPr>
            <w:r w:rsidRPr="00294FDC">
              <w:rPr>
                <w:color w:val="000000"/>
                <w:highlight w:val="black"/>
              </w:rPr>
              <w:t>xxxxxx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709E394E" w14:textId="5A58BC6D" w:rsidR="00FC5D60" w:rsidRPr="00294FDC" w:rsidRDefault="00294FDC" w:rsidP="00F033C2">
            <w:pPr>
              <w:pStyle w:val="NICETabletext"/>
              <w:jc w:val="center"/>
              <w:rPr>
                <w:color w:val="000000"/>
                <w:highlight w:val="black"/>
              </w:rPr>
            </w:pPr>
            <w:r w:rsidRPr="00294FDC">
              <w:rPr>
                <w:color w:val="000000"/>
                <w:highlight w:val="black"/>
              </w:rPr>
              <w:t>xxxxxx</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1094805" w14:textId="03F4DDA7" w:rsidR="00FC5D60" w:rsidRPr="00294FDC" w:rsidRDefault="00294FDC" w:rsidP="00F033C2">
            <w:pPr>
              <w:pStyle w:val="NICETabletext"/>
              <w:jc w:val="center"/>
              <w:rPr>
                <w:color w:val="000000"/>
                <w:highlight w:val="black"/>
              </w:rPr>
            </w:pPr>
            <w:r w:rsidRPr="00294FDC">
              <w:rPr>
                <w:color w:val="000000"/>
                <w:highlight w:val="black"/>
              </w:rPr>
              <w:t>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5C1CA3D5" w14:textId="54F60952" w:rsidR="00FC5D60" w:rsidRPr="00294FDC" w:rsidRDefault="00294FDC" w:rsidP="00F033C2">
            <w:pPr>
              <w:pStyle w:val="NICETabletext"/>
              <w:jc w:val="center"/>
              <w:rPr>
                <w:color w:val="000000"/>
                <w:highlight w:val="black"/>
              </w:rPr>
            </w:pPr>
            <w:r w:rsidRPr="00294FDC">
              <w:rPr>
                <w:color w:val="000000"/>
                <w:highlight w:val="black"/>
              </w:rPr>
              <w:t>xxxxx</w:t>
            </w:r>
          </w:p>
        </w:tc>
      </w:tr>
      <w:tr w:rsidR="00FC5D60" w:rsidRPr="00671C81" w14:paraId="00864354" w14:textId="77777777" w:rsidTr="00F033C2">
        <w:trPr>
          <w:trHeight w:val="183"/>
        </w:trPr>
        <w:tc>
          <w:tcPr>
            <w:tcW w:w="2122" w:type="dxa"/>
          </w:tcPr>
          <w:p w14:paraId="36410CC3" w14:textId="77777777" w:rsidR="00FC5D60" w:rsidRPr="00671C81" w:rsidRDefault="00FC5D60" w:rsidP="00F033C2">
            <w:pPr>
              <w:pStyle w:val="NICETabletext"/>
              <w:rPr>
                <w:bCs/>
                <w:lang w:eastAsia="en-GB"/>
              </w:rPr>
            </w:pPr>
            <w:r w:rsidRPr="00671C81">
              <w:rPr>
                <w:bCs/>
                <w:lang w:eastAsia="en-GB"/>
              </w:rPr>
              <w:t>Weibull</w:t>
            </w:r>
          </w:p>
        </w:tc>
        <w:tc>
          <w:tcPr>
            <w:tcW w:w="1275" w:type="dxa"/>
            <w:vAlign w:val="center"/>
          </w:tcPr>
          <w:p w14:paraId="78935F64" w14:textId="42C5D212" w:rsidR="00FC5D60" w:rsidRPr="00294FDC" w:rsidRDefault="00294FDC" w:rsidP="00F033C2">
            <w:pPr>
              <w:pStyle w:val="NICETabletext"/>
              <w:jc w:val="center"/>
              <w:rPr>
                <w:color w:val="000000"/>
                <w:highlight w:val="black"/>
              </w:rPr>
            </w:pPr>
            <w:r w:rsidRPr="00294FDC">
              <w:rPr>
                <w:color w:val="000000"/>
                <w:highlight w:val="black"/>
              </w:rPr>
              <w:t>xxxxx</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48BF7544" w14:textId="64192D9A" w:rsidR="00FC5D60" w:rsidRPr="00294FDC" w:rsidRDefault="00294FDC" w:rsidP="00F033C2">
            <w:pPr>
              <w:pStyle w:val="NICETabletext"/>
              <w:jc w:val="center"/>
              <w:rPr>
                <w:color w:val="000000"/>
                <w:highlight w:val="black"/>
              </w:rPr>
            </w:pPr>
            <w:r w:rsidRPr="00294FDC">
              <w:rPr>
                <w:color w:val="000000"/>
                <w:highlight w:val="black"/>
              </w:rPr>
              <w:t>xxxxxx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740287F1" w14:textId="0E66130E" w:rsidR="00FC5D60" w:rsidRPr="00294FDC" w:rsidRDefault="00294FDC" w:rsidP="00F033C2">
            <w:pPr>
              <w:pStyle w:val="NICETabletext"/>
              <w:jc w:val="center"/>
              <w:rPr>
                <w:color w:val="000000"/>
                <w:highlight w:val="black"/>
              </w:rPr>
            </w:pPr>
            <w:r w:rsidRPr="00294FDC">
              <w:rPr>
                <w:color w:val="000000"/>
                <w:highlight w:val="black"/>
              </w:rPr>
              <w:t>xxxxxx</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20262B61" w14:textId="7ACDD7C6" w:rsidR="00FC5D60" w:rsidRPr="00294FDC" w:rsidRDefault="00294FDC" w:rsidP="00F033C2">
            <w:pPr>
              <w:pStyle w:val="NICETabletext"/>
              <w:jc w:val="center"/>
              <w:rPr>
                <w:color w:val="000000"/>
                <w:highlight w:val="black"/>
              </w:rPr>
            </w:pPr>
            <w:r w:rsidRPr="00294FDC">
              <w:rPr>
                <w:color w:val="000000"/>
                <w:highlight w:val="black"/>
              </w:rPr>
              <w:t>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735AE168" w14:textId="17DB5E7C" w:rsidR="00FC5D60" w:rsidRPr="00294FDC" w:rsidRDefault="00294FDC" w:rsidP="00F033C2">
            <w:pPr>
              <w:pStyle w:val="NICETabletext"/>
              <w:jc w:val="center"/>
              <w:rPr>
                <w:color w:val="000000"/>
                <w:highlight w:val="black"/>
              </w:rPr>
            </w:pPr>
            <w:r w:rsidRPr="00294FDC">
              <w:rPr>
                <w:color w:val="000000"/>
                <w:highlight w:val="black"/>
              </w:rPr>
              <w:t>xxxxx</w:t>
            </w:r>
          </w:p>
        </w:tc>
      </w:tr>
      <w:tr w:rsidR="00FC5D60" w:rsidRPr="00671C81" w14:paraId="570ECAEA" w14:textId="77777777" w:rsidTr="00F033C2">
        <w:trPr>
          <w:trHeight w:val="183"/>
        </w:trPr>
        <w:tc>
          <w:tcPr>
            <w:tcW w:w="2122" w:type="dxa"/>
            <w:tcBorders>
              <w:bottom w:val="single" w:sz="4" w:space="0" w:color="auto"/>
            </w:tcBorders>
          </w:tcPr>
          <w:p w14:paraId="39D19A66" w14:textId="77777777" w:rsidR="00FC5D60" w:rsidRPr="005D58CB" w:rsidRDefault="00FC5D60" w:rsidP="00F033C2">
            <w:pPr>
              <w:pStyle w:val="NICETabletext"/>
              <w:rPr>
                <w:bCs/>
                <w:lang w:eastAsia="en-GB"/>
              </w:rPr>
            </w:pPr>
            <w:r w:rsidRPr="005D58CB">
              <w:rPr>
                <w:bCs/>
                <w:lang w:eastAsia="en-GB"/>
              </w:rPr>
              <w:t>Gompertz</w:t>
            </w:r>
          </w:p>
        </w:tc>
        <w:tc>
          <w:tcPr>
            <w:tcW w:w="1275" w:type="dxa"/>
            <w:tcBorders>
              <w:bottom w:val="single" w:sz="4" w:space="0" w:color="auto"/>
            </w:tcBorders>
            <w:vAlign w:val="center"/>
          </w:tcPr>
          <w:p w14:paraId="391D0D54" w14:textId="6EF2D844" w:rsidR="00FC5D60" w:rsidRPr="00294FDC" w:rsidRDefault="00294FDC" w:rsidP="00F033C2">
            <w:pPr>
              <w:pStyle w:val="NICETabletext"/>
              <w:jc w:val="center"/>
              <w:rPr>
                <w:color w:val="000000"/>
                <w:highlight w:val="black"/>
              </w:rPr>
            </w:pPr>
            <w:r w:rsidRPr="00294FDC">
              <w:rPr>
                <w:color w:val="000000"/>
                <w:highlight w:val="black"/>
              </w:rPr>
              <w:t>xxxxx</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2A951F64" w14:textId="71F97CC9" w:rsidR="00FC5D60" w:rsidRPr="00294FDC" w:rsidRDefault="00294FDC" w:rsidP="00F033C2">
            <w:pPr>
              <w:pStyle w:val="NICETabletext"/>
              <w:jc w:val="center"/>
              <w:rPr>
                <w:color w:val="000000"/>
                <w:highlight w:val="black"/>
              </w:rPr>
            </w:pPr>
            <w:r w:rsidRPr="00294FDC">
              <w:rPr>
                <w:color w:val="000000"/>
                <w:highlight w:val="black"/>
              </w:rPr>
              <w:t>xxxxxx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35E20AEF" w14:textId="11EA79E8" w:rsidR="00FC5D60" w:rsidRPr="00294FDC" w:rsidRDefault="00294FDC" w:rsidP="00F033C2">
            <w:pPr>
              <w:pStyle w:val="NICETabletext"/>
              <w:jc w:val="center"/>
              <w:rPr>
                <w:color w:val="000000"/>
                <w:highlight w:val="black"/>
              </w:rPr>
            </w:pPr>
            <w:r w:rsidRPr="00294FDC">
              <w:rPr>
                <w:color w:val="000000"/>
                <w:highlight w:val="black"/>
              </w:rPr>
              <w:t>xxxxx</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BCA30DE" w14:textId="79D0C809" w:rsidR="00FC5D60" w:rsidRPr="00294FDC" w:rsidRDefault="00294FDC" w:rsidP="00F033C2">
            <w:pPr>
              <w:pStyle w:val="NICETabletext"/>
              <w:jc w:val="center"/>
              <w:rPr>
                <w:color w:val="000000"/>
                <w:highlight w:val="black"/>
              </w:rPr>
            </w:pPr>
            <w:r w:rsidRPr="00294FDC">
              <w:rPr>
                <w:color w:val="000000"/>
                <w:highlight w:val="black"/>
              </w:rPr>
              <w:t>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56C17769" w14:textId="0E7FAEF8" w:rsidR="00FC5D60" w:rsidRPr="00294FDC" w:rsidRDefault="00294FDC" w:rsidP="00F033C2">
            <w:pPr>
              <w:pStyle w:val="NICETabletext"/>
              <w:jc w:val="center"/>
              <w:rPr>
                <w:color w:val="000000"/>
                <w:highlight w:val="black"/>
              </w:rPr>
            </w:pPr>
            <w:r w:rsidRPr="00294FDC">
              <w:rPr>
                <w:color w:val="000000"/>
                <w:highlight w:val="black"/>
              </w:rPr>
              <w:t>xxxxx</w:t>
            </w:r>
          </w:p>
        </w:tc>
      </w:tr>
      <w:tr w:rsidR="00FC5D60" w:rsidRPr="00671C81" w14:paraId="2AAF5F4F" w14:textId="77777777" w:rsidTr="00F033C2">
        <w:trPr>
          <w:trHeight w:val="183"/>
        </w:trPr>
        <w:tc>
          <w:tcPr>
            <w:tcW w:w="2122" w:type="dxa"/>
            <w:tcBorders>
              <w:top w:val="single" w:sz="4" w:space="0" w:color="auto"/>
              <w:left w:val="single" w:sz="4" w:space="0" w:color="auto"/>
              <w:bottom w:val="single" w:sz="4" w:space="0" w:color="auto"/>
              <w:right w:val="single" w:sz="4" w:space="0" w:color="auto"/>
            </w:tcBorders>
          </w:tcPr>
          <w:p w14:paraId="6D8B4FB1" w14:textId="77777777" w:rsidR="00FC5D60" w:rsidRPr="00671C81" w:rsidRDefault="00FC5D60" w:rsidP="00F033C2">
            <w:pPr>
              <w:pStyle w:val="NICETabletext"/>
              <w:rPr>
                <w:bCs/>
                <w:lang w:eastAsia="en-GB"/>
              </w:rPr>
            </w:pPr>
            <w:r w:rsidRPr="00671C81">
              <w:rPr>
                <w:bCs/>
                <w:lang w:eastAsia="en-GB"/>
              </w:rPr>
              <w:t>Log-logistic</w:t>
            </w:r>
          </w:p>
        </w:tc>
        <w:tc>
          <w:tcPr>
            <w:tcW w:w="1275" w:type="dxa"/>
            <w:tcBorders>
              <w:top w:val="single" w:sz="4" w:space="0" w:color="auto"/>
              <w:left w:val="single" w:sz="4" w:space="0" w:color="auto"/>
              <w:bottom w:val="single" w:sz="4" w:space="0" w:color="auto"/>
              <w:right w:val="single" w:sz="4" w:space="0" w:color="auto"/>
            </w:tcBorders>
            <w:vAlign w:val="center"/>
          </w:tcPr>
          <w:p w14:paraId="147D2D98" w14:textId="5C86E568" w:rsidR="00FC5D60" w:rsidRPr="00294FDC" w:rsidRDefault="00294FDC" w:rsidP="00F033C2">
            <w:pPr>
              <w:pStyle w:val="NICETabletext"/>
              <w:jc w:val="center"/>
              <w:rPr>
                <w:color w:val="000000"/>
                <w:highlight w:val="black"/>
              </w:rPr>
            </w:pPr>
            <w:r w:rsidRPr="00294FDC">
              <w:rPr>
                <w:color w:val="000000"/>
                <w:highlight w:val="black"/>
              </w:rPr>
              <w:t>xxxxx</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214AD01A" w14:textId="45A2DD49" w:rsidR="00FC5D60" w:rsidRPr="00294FDC" w:rsidRDefault="00294FDC" w:rsidP="00F033C2">
            <w:pPr>
              <w:pStyle w:val="NICETabletext"/>
              <w:jc w:val="center"/>
              <w:rPr>
                <w:color w:val="000000"/>
                <w:highlight w:val="black"/>
              </w:rPr>
            </w:pPr>
            <w:r w:rsidRPr="00294FDC">
              <w:rPr>
                <w:color w:val="000000"/>
                <w:highlight w:val="black"/>
              </w:rPr>
              <w:t>xxxxxx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4E1E2B8B" w14:textId="4908537B" w:rsidR="00FC5D60" w:rsidRPr="00294FDC" w:rsidRDefault="00294FDC" w:rsidP="00F033C2">
            <w:pPr>
              <w:pStyle w:val="NICETabletext"/>
              <w:jc w:val="center"/>
              <w:rPr>
                <w:color w:val="000000"/>
                <w:highlight w:val="black"/>
              </w:rPr>
            </w:pPr>
            <w:r w:rsidRPr="00294FDC">
              <w:rPr>
                <w:color w:val="000000"/>
                <w:highlight w:val="black"/>
              </w:rPr>
              <w:t>xxxxxx</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767952E0" w14:textId="0320E350" w:rsidR="00FC5D60" w:rsidRPr="00294FDC" w:rsidRDefault="00294FDC" w:rsidP="00F033C2">
            <w:pPr>
              <w:pStyle w:val="NICETabletext"/>
              <w:jc w:val="center"/>
              <w:rPr>
                <w:color w:val="000000"/>
                <w:highlight w:val="black"/>
              </w:rPr>
            </w:pPr>
            <w:r w:rsidRPr="00294FDC">
              <w:rPr>
                <w:color w:val="000000"/>
                <w:highlight w:val="black"/>
              </w:rPr>
              <w:t>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276D6459" w14:textId="3820F99C" w:rsidR="00FC5D60" w:rsidRPr="00294FDC" w:rsidRDefault="00294FDC" w:rsidP="00F033C2">
            <w:pPr>
              <w:pStyle w:val="NICETabletext"/>
              <w:jc w:val="center"/>
              <w:rPr>
                <w:color w:val="000000"/>
                <w:highlight w:val="black"/>
              </w:rPr>
            </w:pPr>
            <w:r w:rsidRPr="00294FDC">
              <w:rPr>
                <w:color w:val="000000"/>
                <w:highlight w:val="black"/>
              </w:rPr>
              <w:t>xxxxx</w:t>
            </w:r>
          </w:p>
        </w:tc>
      </w:tr>
      <w:tr w:rsidR="00FC5D60" w:rsidRPr="00671C81" w14:paraId="5245ACBD" w14:textId="77777777" w:rsidTr="00F033C2">
        <w:trPr>
          <w:trHeight w:val="183"/>
        </w:trPr>
        <w:tc>
          <w:tcPr>
            <w:tcW w:w="2122" w:type="dxa"/>
            <w:tcBorders>
              <w:top w:val="single" w:sz="4" w:space="0" w:color="auto"/>
              <w:left w:val="single" w:sz="4" w:space="0" w:color="auto"/>
              <w:bottom w:val="single" w:sz="4" w:space="0" w:color="auto"/>
              <w:right w:val="single" w:sz="4" w:space="0" w:color="auto"/>
            </w:tcBorders>
          </w:tcPr>
          <w:p w14:paraId="24E81D49" w14:textId="77777777" w:rsidR="00FC5D60" w:rsidRPr="00671C81" w:rsidRDefault="00FC5D60" w:rsidP="00F033C2">
            <w:pPr>
              <w:pStyle w:val="NICETabletext"/>
              <w:rPr>
                <w:bCs/>
                <w:lang w:eastAsia="en-GB"/>
              </w:rPr>
            </w:pPr>
            <w:r w:rsidRPr="00671C81">
              <w:rPr>
                <w:bCs/>
                <w:lang w:eastAsia="en-GB"/>
              </w:rPr>
              <w:t>Log-normal</w:t>
            </w:r>
          </w:p>
        </w:tc>
        <w:tc>
          <w:tcPr>
            <w:tcW w:w="1275" w:type="dxa"/>
            <w:tcBorders>
              <w:top w:val="single" w:sz="4" w:space="0" w:color="auto"/>
              <w:left w:val="single" w:sz="4" w:space="0" w:color="auto"/>
              <w:bottom w:val="single" w:sz="4" w:space="0" w:color="auto"/>
              <w:right w:val="single" w:sz="4" w:space="0" w:color="auto"/>
            </w:tcBorders>
            <w:vAlign w:val="center"/>
          </w:tcPr>
          <w:p w14:paraId="77B84D36" w14:textId="0498F490" w:rsidR="00FC5D60" w:rsidRPr="00294FDC" w:rsidRDefault="00294FDC" w:rsidP="00F033C2">
            <w:pPr>
              <w:pStyle w:val="NICETabletext"/>
              <w:jc w:val="center"/>
              <w:rPr>
                <w:color w:val="000000"/>
                <w:highlight w:val="black"/>
              </w:rPr>
            </w:pPr>
            <w:r w:rsidRPr="00294FDC">
              <w:rPr>
                <w:color w:val="000000"/>
                <w:highlight w:val="black"/>
              </w:rPr>
              <w:t>xxxxx</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74770CB2" w14:textId="23F3D892" w:rsidR="00FC5D60" w:rsidRPr="00294FDC" w:rsidRDefault="00294FDC" w:rsidP="00F033C2">
            <w:pPr>
              <w:pStyle w:val="NICETabletext"/>
              <w:jc w:val="center"/>
              <w:rPr>
                <w:color w:val="000000"/>
                <w:highlight w:val="black"/>
              </w:rPr>
            </w:pPr>
            <w:r w:rsidRPr="00294FDC">
              <w:rPr>
                <w:color w:val="000000"/>
                <w:highlight w:val="black"/>
              </w:rPr>
              <w:t>xxxxxx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162F0114" w14:textId="0474D486" w:rsidR="00FC5D60" w:rsidRPr="00294FDC" w:rsidRDefault="00294FDC" w:rsidP="00F033C2">
            <w:pPr>
              <w:pStyle w:val="NICETabletext"/>
              <w:jc w:val="center"/>
              <w:rPr>
                <w:color w:val="000000"/>
                <w:highlight w:val="black"/>
              </w:rPr>
            </w:pPr>
            <w:r w:rsidRPr="00294FDC">
              <w:rPr>
                <w:color w:val="000000"/>
                <w:highlight w:val="black"/>
              </w:rPr>
              <w:t>xxxxxx</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24490BD9" w14:textId="3CF8CE16" w:rsidR="00FC5D60" w:rsidRPr="00294FDC" w:rsidRDefault="00294FDC" w:rsidP="00F033C2">
            <w:pPr>
              <w:pStyle w:val="NICETabletext"/>
              <w:jc w:val="center"/>
              <w:rPr>
                <w:color w:val="000000"/>
                <w:highlight w:val="black"/>
              </w:rPr>
            </w:pPr>
            <w:r w:rsidRPr="00294FDC">
              <w:rPr>
                <w:color w:val="000000"/>
                <w:highlight w:val="black"/>
              </w:rPr>
              <w:t>xxxxxx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2158446C" w14:textId="17BB6342" w:rsidR="00FC5D60" w:rsidRPr="00294FDC" w:rsidRDefault="00294FDC" w:rsidP="00F033C2">
            <w:pPr>
              <w:pStyle w:val="NICETabletext"/>
              <w:jc w:val="center"/>
              <w:rPr>
                <w:color w:val="000000"/>
                <w:highlight w:val="black"/>
              </w:rPr>
            </w:pPr>
            <w:r w:rsidRPr="00294FDC">
              <w:rPr>
                <w:color w:val="000000"/>
                <w:highlight w:val="black"/>
              </w:rPr>
              <w:t>xxxxx</w:t>
            </w:r>
          </w:p>
        </w:tc>
      </w:tr>
      <w:tr w:rsidR="00FC5D60" w:rsidRPr="00671C81" w14:paraId="4EC0EC35" w14:textId="77777777" w:rsidTr="00F033C2">
        <w:trPr>
          <w:trHeight w:val="183"/>
        </w:trPr>
        <w:tc>
          <w:tcPr>
            <w:tcW w:w="2122" w:type="dxa"/>
            <w:tcBorders>
              <w:top w:val="single" w:sz="4" w:space="0" w:color="auto"/>
              <w:left w:val="single" w:sz="4" w:space="0" w:color="auto"/>
              <w:bottom w:val="single" w:sz="4" w:space="0" w:color="auto"/>
              <w:right w:val="single" w:sz="4" w:space="0" w:color="auto"/>
            </w:tcBorders>
          </w:tcPr>
          <w:p w14:paraId="5600AFC4" w14:textId="77777777" w:rsidR="00FC5D60" w:rsidRPr="00671C81" w:rsidRDefault="00FC5D60" w:rsidP="00F033C2">
            <w:pPr>
              <w:pStyle w:val="NICETabletext"/>
              <w:rPr>
                <w:bCs/>
                <w:lang w:eastAsia="en-GB"/>
              </w:rPr>
            </w:pPr>
            <w:r w:rsidRPr="00671C81">
              <w:rPr>
                <w:bCs/>
                <w:lang w:eastAsia="en-GB"/>
              </w:rPr>
              <w:t>Generalised gamma</w:t>
            </w:r>
          </w:p>
        </w:tc>
        <w:tc>
          <w:tcPr>
            <w:tcW w:w="1275" w:type="dxa"/>
            <w:tcBorders>
              <w:top w:val="single" w:sz="4" w:space="0" w:color="auto"/>
              <w:left w:val="single" w:sz="4" w:space="0" w:color="auto"/>
              <w:bottom w:val="single" w:sz="4" w:space="0" w:color="auto"/>
              <w:right w:val="single" w:sz="4" w:space="0" w:color="auto"/>
            </w:tcBorders>
            <w:vAlign w:val="center"/>
          </w:tcPr>
          <w:p w14:paraId="7363DBA0" w14:textId="27E2DC8D" w:rsidR="00FC5D60" w:rsidRPr="00294FDC" w:rsidRDefault="00294FDC" w:rsidP="00F033C2">
            <w:pPr>
              <w:pStyle w:val="NICETabletext"/>
              <w:jc w:val="center"/>
              <w:rPr>
                <w:color w:val="000000"/>
                <w:highlight w:val="black"/>
              </w:rPr>
            </w:pPr>
            <w:r w:rsidRPr="00294FDC">
              <w:rPr>
                <w:color w:val="000000"/>
                <w:highlight w:val="black"/>
              </w:rPr>
              <w:t>xxxxx</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8ED78C4" w14:textId="6FB34AD5" w:rsidR="00FC5D60" w:rsidRPr="00294FDC" w:rsidRDefault="00294FDC" w:rsidP="00F033C2">
            <w:pPr>
              <w:pStyle w:val="NICETabletext"/>
              <w:jc w:val="center"/>
              <w:rPr>
                <w:color w:val="000000"/>
                <w:highlight w:val="black"/>
              </w:rPr>
            </w:pPr>
            <w:r w:rsidRPr="00294FDC">
              <w:rPr>
                <w:color w:val="000000"/>
                <w:highlight w:val="black"/>
              </w:rPr>
              <w:t>xxxxxx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293EE9EC" w14:textId="69E37FB9" w:rsidR="00FC5D60" w:rsidRPr="00294FDC" w:rsidRDefault="00294FDC" w:rsidP="00F033C2">
            <w:pPr>
              <w:pStyle w:val="NICETabletext"/>
              <w:jc w:val="center"/>
              <w:rPr>
                <w:color w:val="000000"/>
                <w:highlight w:val="black"/>
              </w:rPr>
            </w:pPr>
            <w:r w:rsidRPr="00294FDC">
              <w:rPr>
                <w:color w:val="000000"/>
                <w:highlight w:val="black"/>
              </w:rPr>
              <w:t>xxxxxx</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6DA0B9BB" w14:textId="5A9D7DE6" w:rsidR="00FC5D60" w:rsidRPr="00294FDC" w:rsidRDefault="00294FDC" w:rsidP="00F033C2">
            <w:pPr>
              <w:pStyle w:val="NICETabletext"/>
              <w:jc w:val="center"/>
              <w:rPr>
                <w:color w:val="000000"/>
                <w:highlight w:val="black"/>
              </w:rPr>
            </w:pPr>
            <w:r w:rsidRPr="00294FDC">
              <w:rPr>
                <w:color w:val="000000"/>
                <w:highlight w:val="black"/>
              </w:rPr>
              <w:t>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4A022136" w14:textId="2F062915" w:rsidR="00FC5D60" w:rsidRPr="00294FDC" w:rsidRDefault="00294FDC" w:rsidP="00F033C2">
            <w:pPr>
              <w:pStyle w:val="NICETabletext"/>
              <w:jc w:val="center"/>
              <w:rPr>
                <w:color w:val="000000"/>
                <w:highlight w:val="black"/>
              </w:rPr>
            </w:pPr>
            <w:r w:rsidRPr="00294FDC">
              <w:rPr>
                <w:color w:val="000000"/>
                <w:highlight w:val="black"/>
              </w:rPr>
              <w:t>xxxxx</w:t>
            </w:r>
          </w:p>
        </w:tc>
      </w:tr>
      <w:tr w:rsidR="00FC5D60" w:rsidRPr="00671C81" w14:paraId="6166BF04" w14:textId="77777777" w:rsidTr="00F033C2">
        <w:trPr>
          <w:trHeight w:val="183"/>
        </w:trPr>
        <w:tc>
          <w:tcPr>
            <w:tcW w:w="8926" w:type="dxa"/>
            <w:gridSpan w:val="6"/>
            <w:tcBorders>
              <w:top w:val="single" w:sz="4" w:space="0" w:color="auto"/>
              <w:right w:val="single" w:sz="4" w:space="0" w:color="auto"/>
            </w:tcBorders>
            <w:shd w:val="clear" w:color="auto" w:fill="EDEDED" w:themeFill="accent3" w:themeFillTint="33"/>
            <w:vAlign w:val="center"/>
          </w:tcPr>
          <w:p w14:paraId="5A32940E" w14:textId="77777777" w:rsidR="00FC5D60" w:rsidRPr="00235A29" w:rsidRDefault="00FC5D60" w:rsidP="00F033C2">
            <w:pPr>
              <w:pStyle w:val="NICETabletext"/>
              <w:rPr>
                <w:highlight w:val="yellow"/>
                <w:u w:val="single"/>
              </w:rPr>
            </w:pPr>
            <w:r w:rsidRPr="00671C81">
              <w:rPr>
                <w:b/>
              </w:rPr>
              <w:t>T-DXd</w:t>
            </w:r>
          </w:p>
        </w:tc>
      </w:tr>
      <w:tr w:rsidR="00FC5D60" w:rsidRPr="00671C81" w14:paraId="1FED458B" w14:textId="77777777" w:rsidTr="00F033C2">
        <w:trPr>
          <w:trHeight w:val="183"/>
        </w:trPr>
        <w:tc>
          <w:tcPr>
            <w:tcW w:w="2122" w:type="dxa"/>
          </w:tcPr>
          <w:p w14:paraId="3DBAE5CE" w14:textId="77777777" w:rsidR="00FC5D60" w:rsidRPr="00671C81" w:rsidRDefault="00FC5D60" w:rsidP="00F033C2">
            <w:pPr>
              <w:pStyle w:val="NICETabletext"/>
              <w:rPr>
                <w:bCs/>
                <w:lang w:eastAsia="en-GB"/>
              </w:rPr>
            </w:pPr>
            <w:r w:rsidRPr="00671C81">
              <w:rPr>
                <w:bCs/>
                <w:lang w:eastAsia="en-GB"/>
              </w:rPr>
              <w:t>Exponential</w:t>
            </w:r>
          </w:p>
        </w:tc>
        <w:tc>
          <w:tcPr>
            <w:tcW w:w="1275" w:type="dxa"/>
            <w:vAlign w:val="center"/>
          </w:tcPr>
          <w:p w14:paraId="460ED226" w14:textId="5A8B3350" w:rsidR="00FC5D60" w:rsidRPr="00294FDC" w:rsidRDefault="00294FDC" w:rsidP="00F033C2">
            <w:pPr>
              <w:pStyle w:val="NICETabletext"/>
              <w:jc w:val="center"/>
              <w:rPr>
                <w:color w:val="000000"/>
                <w:highlight w:val="black"/>
              </w:rPr>
            </w:pPr>
            <w:r w:rsidRPr="00294FDC">
              <w:rPr>
                <w:rFonts w:cs="Arial"/>
                <w:color w:val="000000"/>
                <w:szCs w:val="20"/>
                <w:highlight w:val="black"/>
              </w:rPr>
              <w:t>xxxxx</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41A0CC21" w14:textId="0F24337A" w:rsidR="00FC5D60" w:rsidRPr="00294FDC" w:rsidRDefault="00294FDC" w:rsidP="00F033C2">
            <w:pPr>
              <w:pStyle w:val="NICETabletext"/>
              <w:jc w:val="center"/>
              <w:rPr>
                <w:color w:val="000000"/>
                <w:highlight w:val="black"/>
              </w:rPr>
            </w:pPr>
            <w:r w:rsidRPr="00294FDC">
              <w:rPr>
                <w:color w:val="000000"/>
                <w:highlight w:val="black"/>
              </w:rPr>
              <w:t>xxxxxx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50C3DD09" w14:textId="39AA734E" w:rsidR="00FC5D60" w:rsidRPr="00294FDC" w:rsidRDefault="00294FDC" w:rsidP="00F033C2">
            <w:pPr>
              <w:pStyle w:val="NICETabletext"/>
              <w:jc w:val="center"/>
              <w:rPr>
                <w:color w:val="000000"/>
                <w:highlight w:val="black"/>
              </w:rPr>
            </w:pPr>
            <w:r w:rsidRPr="00294FDC">
              <w:rPr>
                <w:color w:val="000000"/>
                <w:highlight w:val="black"/>
              </w:rPr>
              <w:t>xxxxxx</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5039450" w14:textId="03DE69E2" w:rsidR="00FC5D60" w:rsidRPr="00294FDC" w:rsidRDefault="00294FDC" w:rsidP="00F033C2">
            <w:pPr>
              <w:pStyle w:val="NICETabletext"/>
              <w:jc w:val="center"/>
              <w:rPr>
                <w:color w:val="000000"/>
                <w:highlight w:val="black"/>
              </w:rPr>
            </w:pPr>
            <w:r w:rsidRPr="00294FDC">
              <w:rPr>
                <w:color w:val="000000"/>
                <w:highlight w:val="black"/>
              </w:rPr>
              <w:t>xxxxxx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755D8612" w14:textId="793D577C" w:rsidR="00FC5D60" w:rsidRPr="00294FDC" w:rsidRDefault="00294FDC" w:rsidP="00F033C2">
            <w:pPr>
              <w:pStyle w:val="NICETabletext"/>
              <w:jc w:val="center"/>
              <w:rPr>
                <w:color w:val="000000"/>
                <w:highlight w:val="black"/>
              </w:rPr>
            </w:pPr>
            <w:r w:rsidRPr="00294FDC">
              <w:rPr>
                <w:color w:val="000000"/>
                <w:highlight w:val="black"/>
              </w:rPr>
              <w:t>xxxxx</w:t>
            </w:r>
          </w:p>
        </w:tc>
      </w:tr>
      <w:tr w:rsidR="00FC5D60" w:rsidRPr="00671C81" w14:paraId="244B3AA5" w14:textId="77777777" w:rsidTr="00F033C2">
        <w:trPr>
          <w:trHeight w:val="183"/>
        </w:trPr>
        <w:tc>
          <w:tcPr>
            <w:tcW w:w="2122" w:type="dxa"/>
          </w:tcPr>
          <w:p w14:paraId="6C91B9A3" w14:textId="77777777" w:rsidR="00FC5D60" w:rsidRPr="00671C81" w:rsidRDefault="00FC5D60" w:rsidP="00F033C2">
            <w:pPr>
              <w:pStyle w:val="NICETabletext"/>
              <w:rPr>
                <w:bCs/>
                <w:lang w:eastAsia="en-GB"/>
              </w:rPr>
            </w:pPr>
            <w:r w:rsidRPr="00671C81">
              <w:rPr>
                <w:bCs/>
                <w:lang w:eastAsia="en-GB"/>
              </w:rPr>
              <w:t>Weibull</w:t>
            </w:r>
          </w:p>
        </w:tc>
        <w:tc>
          <w:tcPr>
            <w:tcW w:w="1275" w:type="dxa"/>
            <w:vAlign w:val="center"/>
          </w:tcPr>
          <w:p w14:paraId="2D8BA1BF" w14:textId="0956D5E6" w:rsidR="00FC5D60" w:rsidRPr="00294FDC" w:rsidRDefault="00294FDC" w:rsidP="00F033C2">
            <w:pPr>
              <w:pStyle w:val="NICETabletext"/>
              <w:jc w:val="center"/>
              <w:rPr>
                <w:color w:val="000000"/>
                <w:highlight w:val="black"/>
              </w:rPr>
            </w:pPr>
            <w:r w:rsidRPr="00294FDC">
              <w:rPr>
                <w:rFonts w:cs="Arial"/>
                <w:color w:val="000000"/>
                <w:szCs w:val="20"/>
                <w:highlight w:val="black"/>
              </w:rPr>
              <w:t>xxxxx</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60C8D5DB" w14:textId="54A81B9B" w:rsidR="00FC5D60" w:rsidRPr="00294FDC" w:rsidRDefault="00294FDC" w:rsidP="00F033C2">
            <w:pPr>
              <w:pStyle w:val="NICETabletext"/>
              <w:jc w:val="center"/>
              <w:rPr>
                <w:color w:val="000000"/>
                <w:highlight w:val="black"/>
              </w:rPr>
            </w:pPr>
            <w:r w:rsidRPr="00294FDC">
              <w:rPr>
                <w:color w:val="000000"/>
                <w:highlight w:val="black"/>
              </w:rPr>
              <w:t>xxxxxx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13C1189D" w14:textId="0D98BD62" w:rsidR="00FC5D60" w:rsidRPr="00294FDC" w:rsidRDefault="00294FDC" w:rsidP="00F033C2">
            <w:pPr>
              <w:pStyle w:val="NICETabletext"/>
              <w:jc w:val="center"/>
              <w:rPr>
                <w:color w:val="000000"/>
                <w:highlight w:val="black"/>
              </w:rPr>
            </w:pPr>
            <w:r w:rsidRPr="00294FDC">
              <w:rPr>
                <w:color w:val="000000"/>
                <w:highlight w:val="black"/>
              </w:rPr>
              <w:t>xxxxxx</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71DA01A5" w14:textId="771ED8F6" w:rsidR="00FC5D60" w:rsidRPr="00294FDC" w:rsidRDefault="00294FDC" w:rsidP="00F033C2">
            <w:pPr>
              <w:pStyle w:val="NICETabletext"/>
              <w:jc w:val="center"/>
              <w:rPr>
                <w:color w:val="000000"/>
                <w:highlight w:val="black"/>
              </w:rPr>
            </w:pPr>
            <w:r w:rsidRPr="00294FDC">
              <w:rPr>
                <w:color w:val="000000"/>
                <w:highlight w:val="black"/>
              </w:rPr>
              <w:t>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537E0323" w14:textId="579DF522" w:rsidR="00FC5D60" w:rsidRPr="00294FDC" w:rsidRDefault="00294FDC" w:rsidP="00F033C2">
            <w:pPr>
              <w:pStyle w:val="NICETabletext"/>
              <w:jc w:val="center"/>
              <w:rPr>
                <w:color w:val="000000"/>
                <w:highlight w:val="black"/>
              </w:rPr>
            </w:pPr>
            <w:r w:rsidRPr="00294FDC">
              <w:rPr>
                <w:color w:val="000000"/>
                <w:highlight w:val="black"/>
              </w:rPr>
              <w:t>xxxxx</w:t>
            </w:r>
          </w:p>
        </w:tc>
      </w:tr>
      <w:tr w:rsidR="00FC5D60" w:rsidRPr="00671C81" w14:paraId="7878B60A" w14:textId="77777777" w:rsidTr="00F033C2">
        <w:trPr>
          <w:trHeight w:val="183"/>
        </w:trPr>
        <w:tc>
          <w:tcPr>
            <w:tcW w:w="2122" w:type="dxa"/>
          </w:tcPr>
          <w:p w14:paraId="7515991D" w14:textId="77777777" w:rsidR="00FC5D60" w:rsidRPr="00671C81" w:rsidRDefault="00FC5D60" w:rsidP="00F033C2">
            <w:pPr>
              <w:pStyle w:val="NICETabletext"/>
              <w:rPr>
                <w:bCs/>
                <w:lang w:eastAsia="en-GB"/>
              </w:rPr>
            </w:pPr>
            <w:r w:rsidRPr="002629AD">
              <w:rPr>
                <w:bCs/>
                <w:lang w:eastAsia="en-GB"/>
              </w:rPr>
              <w:t>Gompertz</w:t>
            </w:r>
          </w:p>
        </w:tc>
        <w:tc>
          <w:tcPr>
            <w:tcW w:w="1275" w:type="dxa"/>
            <w:vAlign w:val="center"/>
          </w:tcPr>
          <w:p w14:paraId="589FF12F" w14:textId="4F686517" w:rsidR="00FC5D60" w:rsidRPr="00294FDC" w:rsidRDefault="00294FDC" w:rsidP="00F033C2">
            <w:pPr>
              <w:pStyle w:val="NICETabletext"/>
              <w:jc w:val="center"/>
              <w:rPr>
                <w:color w:val="000000"/>
                <w:highlight w:val="black"/>
              </w:rPr>
            </w:pPr>
            <w:r w:rsidRPr="00294FDC">
              <w:rPr>
                <w:rFonts w:cs="Arial"/>
                <w:color w:val="000000"/>
                <w:szCs w:val="20"/>
                <w:highlight w:val="black"/>
              </w:rPr>
              <w:t>xxxxx</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AF47776" w14:textId="24E3D567" w:rsidR="00FC5D60" w:rsidRPr="00294FDC" w:rsidRDefault="00294FDC" w:rsidP="00F033C2">
            <w:pPr>
              <w:pStyle w:val="NICETabletext"/>
              <w:jc w:val="center"/>
              <w:rPr>
                <w:color w:val="000000"/>
                <w:highlight w:val="black"/>
              </w:rPr>
            </w:pPr>
            <w:r w:rsidRPr="00294FDC">
              <w:rPr>
                <w:color w:val="000000"/>
                <w:highlight w:val="black"/>
              </w:rPr>
              <w:t>xxxxxx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5F97A61C" w14:textId="3AC71523" w:rsidR="00FC5D60" w:rsidRPr="00294FDC" w:rsidRDefault="00294FDC" w:rsidP="00F033C2">
            <w:pPr>
              <w:pStyle w:val="NICETabletext"/>
              <w:jc w:val="center"/>
              <w:rPr>
                <w:color w:val="000000"/>
                <w:highlight w:val="black"/>
              </w:rPr>
            </w:pPr>
            <w:r w:rsidRPr="00294FDC">
              <w:rPr>
                <w:color w:val="000000"/>
                <w:highlight w:val="black"/>
              </w:rPr>
              <w:t>xxxxxx</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57CC5B82" w14:textId="6918B0A8" w:rsidR="00FC5D60" w:rsidRPr="00294FDC" w:rsidRDefault="00294FDC" w:rsidP="00F033C2">
            <w:pPr>
              <w:pStyle w:val="NICETabletext"/>
              <w:jc w:val="center"/>
              <w:rPr>
                <w:color w:val="000000"/>
                <w:highlight w:val="black"/>
              </w:rPr>
            </w:pPr>
            <w:r w:rsidRPr="00294FDC">
              <w:rPr>
                <w:color w:val="000000"/>
                <w:highlight w:val="black"/>
              </w:rPr>
              <w:t>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55DF742D" w14:textId="2E708C71" w:rsidR="00FC5D60" w:rsidRPr="00294FDC" w:rsidRDefault="00294FDC" w:rsidP="00F033C2">
            <w:pPr>
              <w:pStyle w:val="NICETabletext"/>
              <w:jc w:val="center"/>
              <w:rPr>
                <w:color w:val="000000"/>
                <w:highlight w:val="black"/>
              </w:rPr>
            </w:pPr>
            <w:r w:rsidRPr="00294FDC">
              <w:rPr>
                <w:color w:val="000000"/>
                <w:highlight w:val="black"/>
              </w:rPr>
              <w:t>xxxxx</w:t>
            </w:r>
          </w:p>
        </w:tc>
      </w:tr>
      <w:tr w:rsidR="00FC5D60" w:rsidRPr="00671C81" w14:paraId="3AE509B9" w14:textId="77777777" w:rsidTr="00F033C2">
        <w:trPr>
          <w:trHeight w:val="183"/>
        </w:trPr>
        <w:tc>
          <w:tcPr>
            <w:tcW w:w="2122" w:type="dxa"/>
          </w:tcPr>
          <w:p w14:paraId="49EC99B7" w14:textId="77777777" w:rsidR="00FC5D60" w:rsidRPr="00671C81" w:rsidRDefault="00FC5D60" w:rsidP="00F033C2">
            <w:pPr>
              <w:pStyle w:val="NICETabletext"/>
              <w:rPr>
                <w:bCs/>
                <w:lang w:eastAsia="en-GB"/>
              </w:rPr>
            </w:pPr>
            <w:r w:rsidRPr="00671C81">
              <w:rPr>
                <w:bCs/>
                <w:lang w:eastAsia="en-GB"/>
              </w:rPr>
              <w:t>Log-logistic</w:t>
            </w:r>
          </w:p>
        </w:tc>
        <w:tc>
          <w:tcPr>
            <w:tcW w:w="1275" w:type="dxa"/>
            <w:vAlign w:val="center"/>
          </w:tcPr>
          <w:p w14:paraId="14D1D388" w14:textId="615C5CA8" w:rsidR="00FC5D60" w:rsidRPr="00294FDC" w:rsidRDefault="00294FDC" w:rsidP="00F033C2">
            <w:pPr>
              <w:pStyle w:val="NICETabletext"/>
              <w:jc w:val="center"/>
              <w:rPr>
                <w:color w:val="000000"/>
                <w:highlight w:val="black"/>
              </w:rPr>
            </w:pPr>
            <w:r w:rsidRPr="00294FDC">
              <w:rPr>
                <w:rFonts w:cs="Arial"/>
                <w:color w:val="000000"/>
                <w:szCs w:val="20"/>
                <w:highlight w:val="black"/>
              </w:rPr>
              <w:t>xxxxx</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0ACB7E9" w14:textId="62D120FE" w:rsidR="00FC5D60" w:rsidRPr="00294FDC" w:rsidRDefault="00294FDC" w:rsidP="00F033C2">
            <w:pPr>
              <w:pStyle w:val="NICETabletext"/>
              <w:jc w:val="center"/>
              <w:rPr>
                <w:color w:val="000000"/>
                <w:highlight w:val="black"/>
              </w:rPr>
            </w:pPr>
            <w:r w:rsidRPr="00294FDC">
              <w:rPr>
                <w:color w:val="000000"/>
                <w:highlight w:val="black"/>
              </w:rPr>
              <w:t>xxxxxx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0D1845A2" w14:textId="679F7AE0" w:rsidR="00FC5D60" w:rsidRPr="00294FDC" w:rsidRDefault="00294FDC" w:rsidP="00F033C2">
            <w:pPr>
              <w:pStyle w:val="NICETabletext"/>
              <w:jc w:val="center"/>
              <w:rPr>
                <w:color w:val="000000"/>
                <w:highlight w:val="black"/>
              </w:rPr>
            </w:pPr>
            <w:r w:rsidRPr="00294FDC">
              <w:rPr>
                <w:color w:val="000000"/>
                <w:highlight w:val="black"/>
              </w:rPr>
              <w:t>xxxxxx</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7733FF1C" w14:textId="01869157" w:rsidR="00FC5D60" w:rsidRPr="00294FDC" w:rsidRDefault="00294FDC" w:rsidP="00F033C2">
            <w:pPr>
              <w:pStyle w:val="NICETabletext"/>
              <w:jc w:val="center"/>
              <w:rPr>
                <w:color w:val="000000"/>
                <w:highlight w:val="black"/>
              </w:rPr>
            </w:pPr>
            <w:r w:rsidRPr="00294FDC">
              <w:rPr>
                <w:color w:val="000000"/>
                <w:highlight w:val="black"/>
              </w:rPr>
              <w:t>xxxxxx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20CEDC45" w14:textId="021AE310" w:rsidR="00FC5D60" w:rsidRPr="00294FDC" w:rsidRDefault="00294FDC" w:rsidP="00F033C2">
            <w:pPr>
              <w:pStyle w:val="NICETabletext"/>
              <w:jc w:val="center"/>
              <w:rPr>
                <w:color w:val="000000"/>
                <w:highlight w:val="black"/>
              </w:rPr>
            </w:pPr>
            <w:r w:rsidRPr="00294FDC">
              <w:rPr>
                <w:color w:val="000000"/>
                <w:highlight w:val="black"/>
              </w:rPr>
              <w:t>xxxxx</w:t>
            </w:r>
          </w:p>
        </w:tc>
      </w:tr>
      <w:tr w:rsidR="00FC5D60" w:rsidRPr="00671C81" w14:paraId="759B0F7D" w14:textId="77777777" w:rsidTr="00F033C2">
        <w:trPr>
          <w:trHeight w:val="183"/>
        </w:trPr>
        <w:tc>
          <w:tcPr>
            <w:tcW w:w="2122" w:type="dxa"/>
          </w:tcPr>
          <w:p w14:paraId="7FB2E30F" w14:textId="77777777" w:rsidR="00FC5D60" w:rsidRPr="00671C81" w:rsidRDefault="00FC5D60" w:rsidP="00F033C2">
            <w:pPr>
              <w:pStyle w:val="NICETabletext"/>
              <w:rPr>
                <w:bCs/>
                <w:lang w:eastAsia="en-GB"/>
              </w:rPr>
            </w:pPr>
            <w:r w:rsidRPr="00671C81">
              <w:rPr>
                <w:bCs/>
                <w:lang w:eastAsia="en-GB"/>
              </w:rPr>
              <w:t>Log-normal</w:t>
            </w:r>
          </w:p>
        </w:tc>
        <w:tc>
          <w:tcPr>
            <w:tcW w:w="1275" w:type="dxa"/>
            <w:vAlign w:val="center"/>
          </w:tcPr>
          <w:p w14:paraId="0CBDA306" w14:textId="09E7D50A" w:rsidR="00FC5D60" w:rsidRPr="00294FDC" w:rsidRDefault="00294FDC" w:rsidP="00F033C2">
            <w:pPr>
              <w:pStyle w:val="NICETabletext"/>
              <w:jc w:val="center"/>
              <w:rPr>
                <w:color w:val="000000"/>
                <w:highlight w:val="black"/>
              </w:rPr>
            </w:pPr>
            <w:r w:rsidRPr="00294FDC">
              <w:rPr>
                <w:rFonts w:cs="Arial"/>
                <w:color w:val="000000"/>
                <w:szCs w:val="20"/>
                <w:highlight w:val="black"/>
              </w:rPr>
              <w:t>xxxxx</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6223D84C" w14:textId="67ADA9D7" w:rsidR="00FC5D60" w:rsidRPr="00294FDC" w:rsidRDefault="00294FDC" w:rsidP="00F033C2">
            <w:pPr>
              <w:pStyle w:val="NICETabletext"/>
              <w:jc w:val="center"/>
              <w:rPr>
                <w:color w:val="000000"/>
                <w:highlight w:val="black"/>
              </w:rPr>
            </w:pPr>
            <w:r w:rsidRPr="00294FDC">
              <w:rPr>
                <w:color w:val="000000"/>
                <w:highlight w:val="black"/>
              </w:rPr>
              <w:t>xxxxxx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142DC184" w14:textId="5F96AF30" w:rsidR="00FC5D60" w:rsidRPr="00294FDC" w:rsidRDefault="00294FDC" w:rsidP="00F033C2">
            <w:pPr>
              <w:pStyle w:val="NICETabletext"/>
              <w:jc w:val="center"/>
              <w:rPr>
                <w:color w:val="000000"/>
                <w:highlight w:val="black"/>
              </w:rPr>
            </w:pPr>
            <w:r w:rsidRPr="00294FDC">
              <w:rPr>
                <w:color w:val="000000"/>
                <w:highlight w:val="black"/>
              </w:rPr>
              <w:t>xxxxxx</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A6599A1" w14:textId="4A724538" w:rsidR="00FC5D60" w:rsidRPr="00294FDC" w:rsidRDefault="00294FDC" w:rsidP="00F033C2">
            <w:pPr>
              <w:pStyle w:val="NICETabletext"/>
              <w:jc w:val="center"/>
              <w:rPr>
                <w:color w:val="000000"/>
                <w:highlight w:val="black"/>
              </w:rPr>
            </w:pPr>
            <w:r w:rsidRPr="00294FDC">
              <w:rPr>
                <w:color w:val="000000"/>
                <w:highlight w:val="black"/>
              </w:rPr>
              <w:t>xxxxxx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66C38390" w14:textId="6799ADDC" w:rsidR="00FC5D60" w:rsidRPr="00294FDC" w:rsidRDefault="00294FDC" w:rsidP="00F033C2">
            <w:pPr>
              <w:pStyle w:val="NICETabletext"/>
              <w:jc w:val="center"/>
              <w:rPr>
                <w:color w:val="000000"/>
                <w:highlight w:val="black"/>
              </w:rPr>
            </w:pPr>
            <w:r w:rsidRPr="00294FDC">
              <w:rPr>
                <w:color w:val="000000"/>
                <w:highlight w:val="black"/>
              </w:rPr>
              <w:t>xxxxx</w:t>
            </w:r>
          </w:p>
        </w:tc>
      </w:tr>
      <w:tr w:rsidR="00FC5D60" w:rsidRPr="00671C81" w14:paraId="1F31D9FF" w14:textId="77777777" w:rsidTr="00F033C2">
        <w:trPr>
          <w:trHeight w:val="183"/>
        </w:trPr>
        <w:tc>
          <w:tcPr>
            <w:tcW w:w="2122" w:type="dxa"/>
          </w:tcPr>
          <w:p w14:paraId="58AE28FE" w14:textId="77777777" w:rsidR="00FC5D60" w:rsidRPr="00671C81" w:rsidRDefault="00FC5D60" w:rsidP="00F033C2">
            <w:pPr>
              <w:pStyle w:val="NICETabletext"/>
              <w:rPr>
                <w:bCs/>
                <w:lang w:eastAsia="en-GB"/>
              </w:rPr>
            </w:pPr>
            <w:r w:rsidRPr="00671C81">
              <w:rPr>
                <w:bCs/>
                <w:lang w:eastAsia="en-GB"/>
              </w:rPr>
              <w:t>Generalised gamma</w:t>
            </w:r>
          </w:p>
        </w:tc>
        <w:tc>
          <w:tcPr>
            <w:tcW w:w="1275" w:type="dxa"/>
            <w:vAlign w:val="center"/>
          </w:tcPr>
          <w:p w14:paraId="2C677868" w14:textId="2C1094A5" w:rsidR="00FC5D60" w:rsidRPr="00294FDC" w:rsidRDefault="00294FDC" w:rsidP="00F033C2">
            <w:pPr>
              <w:pStyle w:val="NICETabletext"/>
              <w:jc w:val="center"/>
              <w:rPr>
                <w:color w:val="000000"/>
                <w:highlight w:val="black"/>
              </w:rPr>
            </w:pPr>
            <w:r w:rsidRPr="00294FDC">
              <w:rPr>
                <w:rFonts w:cs="Arial"/>
                <w:color w:val="000000"/>
                <w:szCs w:val="20"/>
                <w:highlight w:val="black"/>
              </w:rPr>
              <w:t>xxxxx</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18830959" w14:textId="4B844101" w:rsidR="00FC5D60" w:rsidRPr="00294FDC" w:rsidRDefault="00294FDC" w:rsidP="00F033C2">
            <w:pPr>
              <w:pStyle w:val="NICETabletext"/>
              <w:jc w:val="center"/>
              <w:rPr>
                <w:color w:val="000000"/>
                <w:highlight w:val="black"/>
              </w:rPr>
            </w:pPr>
            <w:r w:rsidRPr="00294FDC">
              <w:rPr>
                <w:color w:val="000000"/>
                <w:highlight w:val="black"/>
              </w:rPr>
              <w:t>xxxxxx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760A4D75" w14:textId="4A7F271D" w:rsidR="00FC5D60" w:rsidRPr="00294FDC" w:rsidRDefault="00294FDC" w:rsidP="00F033C2">
            <w:pPr>
              <w:pStyle w:val="NICETabletext"/>
              <w:jc w:val="center"/>
              <w:rPr>
                <w:color w:val="000000"/>
                <w:highlight w:val="black"/>
              </w:rPr>
            </w:pPr>
            <w:r w:rsidRPr="00294FDC">
              <w:rPr>
                <w:color w:val="000000"/>
                <w:highlight w:val="black"/>
              </w:rPr>
              <w:t>xxxxxx</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44A6F34" w14:textId="75FF2B2E" w:rsidR="00FC5D60" w:rsidRPr="00294FDC" w:rsidRDefault="00294FDC" w:rsidP="00F033C2">
            <w:pPr>
              <w:pStyle w:val="NICETabletext"/>
              <w:jc w:val="center"/>
              <w:rPr>
                <w:color w:val="000000"/>
                <w:highlight w:val="black"/>
              </w:rPr>
            </w:pPr>
            <w:r w:rsidRPr="00294FDC">
              <w:rPr>
                <w:color w:val="000000"/>
                <w:highlight w:val="black"/>
              </w:rPr>
              <w:t>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3698CE5F" w14:textId="00D28B59" w:rsidR="00FC5D60" w:rsidRPr="00294FDC" w:rsidRDefault="00294FDC" w:rsidP="00F033C2">
            <w:pPr>
              <w:pStyle w:val="NICETabletext"/>
              <w:jc w:val="center"/>
              <w:rPr>
                <w:color w:val="000000"/>
                <w:highlight w:val="black"/>
              </w:rPr>
            </w:pPr>
            <w:r w:rsidRPr="00294FDC">
              <w:rPr>
                <w:color w:val="000000"/>
                <w:highlight w:val="black"/>
              </w:rPr>
              <w:t>xxxxx</w:t>
            </w:r>
          </w:p>
        </w:tc>
      </w:tr>
    </w:tbl>
    <w:p w14:paraId="5684CA0D" w14:textId="77777777" w:rsidR="00FC5D60" w:rsidRPr="00671C81" w:rsidRDefault="00FC5D60" w:rsidP="00FC5D60">
      <w:pPr>
        <w:pStyle w:val="Footnotes"/>
        <w:keepNext/>
        <w:spacing w:after="0"/>
        <w:rPr>
          <w:b/>
          <w:bCs/>
        </w:rPr>
      </w:pPr>
      <w:r w:rsidRPr="00671C81">
        <w:t>*Median time in months is estimated after OS has been capped by the general population mortality</w:t>
      </w:r>
      <w:r w:rsidRPr="00671C81">
        <w:rPr>
          <w:b/>
          <w:bCs/>
        </w:rPr>
        <w:t>.</w:t>
      </w:r>
    </w:p>
    <w:p w14:paraId="3F483A53" w14:textId="77777777" w:rsidR="00FC5D60" w:rsidRPr="00D502C6" w:rsidRDefault="00FC5D60" w:rsidP="00FC5D60">
      <w:pPr>
        <w:pStyle w:val="Footnotes"/>
        <w:keepNext/>
        <w:rPr>
          <w:b/>
          <w:bCs/>
        </w:rPr>
      </w:pPr>
      <w:r w:rsidRPr="00671C81">
        <w:t xml:space="preserve">Abbreviations: FAS, full analysis set; OS, overall survival; T-DXd, trastuzumab deruxtecan; TPC, treatment </w:t>
      </w:r>
      <w:r w:rsidRPr="00FD2A30">
        <w:t>of physician’s choice</w:t>
      </w:r>
      <w:r>
        <w:t>.</w:t>
      </w:r>
      <w:r w:rsidRPr="000D2DF0">
        <w:t xml:space="preserve"> </w:t>
      </w:r>
    </w:p>
    <w:p w14:paraId="45706DE6" w14:textId="1EC373B0" w:rsidR="000D2370" w:rsidRDefault="001E3567" w:rsidP="00670187">
      <w:r w:rsidRPr="00871A91">
        <w:t xml:space="preserve">Following feedback from UK clinicians </w:t>
      </w:r>
      <w:r>
        <w:t xml:space="preserve">based on modelled survival at </w:t>
      </w:r>
      <w:r w:rsidRPr="002629AD">
        <w:t>landmark time points</w:t>
      </w:r>
      <w:r>
        <w:t xml:space="preserve">, </w:t>
      </w:r>
      <w:r w:rsidRPr="00871A91">
        <w:t>t</w:t>
      </w:r>
      <w:r w:rsidRPr="005D58CB">
        <w:t>he</w:t>
      </w:r>
      <w:r w:rsidRPr="00871A91">
        <w:t xml:space="preserve"> </w:t>
      </w:r>
      <w:r w:rsidRPr="00C67C0A">
        <w:t>log-logistic, exponential and log-normal</w:t>
      </w:r>
      <w:r w:rsidRPr="00090967">
        <w:t xml:space="preserve"> curves</w:t>
      </w:r>
      <w:r>
        <w:t xml:space="preserve"> </w:t>
      </w:r>
      <w:r w:rsidRPr="005D58CB">
        <w:t xml:space="preserve">were considered </w:t>
      </w:r>
      <w:r w:rsidRPr="00871A91">
        <w:t>the most</w:t>
      </w:r>
      <w:r w:rsidRPr="005D58CB">
        <w:t xml:space="preserve"> </w:t>
      </w:r>
      <w:r w:rsidRPr="00871A91">
        <w:t xml:space="preserve">clinically </w:t>
      </w:r>
      <w:r w:rsidRPr="005D58CB">
        <w:t>plausible</w:t>
      </w:r>
      <w:r w:rsidRPr="00871A91">
        <w:t xml:space="preserve"> to inform </w:t>
      </w:r>
      <w:r>
        <w:t xml:space="preserve">the </w:t>
      </w:r>
      <w:r w:rsidRPr="00871A91">
        <w:t>TPC</w:t>
      </w:r>
      <w:r>
        <w:t xml:space="preserve"> arm</w:t>
      </w:r>
      <w:r w:rsidR="000D2370">
        <w:t>.</w:t>
      </w:r>
      <w:r w:rsidR="007D133F" w:rsidRPr="007D133F">
        <w:t xml:space="preserve"> </w:t>
      </w:r>
      <w:r w:rsidR="007D133F" w:rsidRPr="008057AA">
        <w:t>The</w:t>
      </w:r>
      <w:r w:rsidR="007D133F">
        <w:t xml:space="preserve"> </w:t>
      </w:r>
      <w:r w:rsidR="007D133F" w:rsidRPr="008057AA">
        <w:t>log-logistic</w:t>
      </w:r>
      <w:r w:rsidR="007D133F">
        <w:t>, exponential,</w:t>
      </w:r>
      <w:r w:rsidR="007D133F" w:rsidRPr="008057AA">
        <w:t xml:space="preserve"> and log</w:t>
      </w:r>
      <w:r w:rsidR="007D133F">
        <w:t>-</w:t>
      </w:r>
      <w:r w:rsidR="007D133F" w:rsidRPr="008057AA">
        <w:t>normal</w:t>
      </w:r>
      <w:r w:rsidR="007D133F">
        <w:t xml:space="preserve"> curves estimate</w:t>
      </w:r>
      <w:r w:rsidR="007D133F" w:rsidRPr="008057AA">
        <w:t xml:space="preserve"> 5-year OS of</w:t>
      </w:r>
      <w:r w:rsidR="007D133F">
        <w:t xml:space="preserve"> </w:t>
      </w:r>
      <w:r w:rsidR="00294FDC" w:rsidRPr="00294FDC">
        <w:rPr>
          <w:color w:val="000000"/>
          <w:highlight w:val="black"/>
        </w:rPr>
        <w:t>xxxx</w:t>
      </w:r>
      <w:r w:rsidR="007D133F">
        <w:t xml:space="preserve">, </w:t>
      </w:r>
      <w:r w:rsidR="00294FDC" w:rsidRPr="00294FDC">
        <w:rPr>
          <w:color w:val="000000"/>
          <w:highlight w:val="black"/>
        </w:rPr>
        <w:t>xxxx</w:t>
      </w:r>
      <w:r w:rsidR="007D133F" w:rsidRPr="008057AA">
        <w:t xml:space="preserve">, and </w:t>
      </w:r>
      <w:r w:rsidR="00294FDC" w:rsidRPr="00294FDC">
        <w:rPr>
          <w:color w:val="000000"/>
          <w:highlight w:val="black"/>
        </w:rPr>
        <w:t>xxxxx</w:t>
      </w:r>
      <w:r w:rsidR="007D133F" w:rsidRPr="008057AA">
        <w:t>, respectively, in the TPC arm</w:t>
      </w:r>
      <w:r w:rsidR="00F54CD2">
        <w:t xml:space="preserve">. </w:t>
      </w:r>
      <w:r w:rsidR="00307531" w:rsidRPr="00307531">
        <w:t>The remaining Weibull, generalised gamma and Gompertz curves were not considered to be clinically plausible due to long-term survival estimates being too pessimistic, with 5-year OS estimates</w:t>
      </w:r>
      <w:r w:rsidR="00307531">
        <w:t xml:space="preserve"> of </w:t>
      </w:r>
      <w:r w:rsidR="00294FDC" w:rsidRPr="00294FDC">
        <w:rPr>
          <w:color w:val="000000"/>
          <w:highlight w:val="black"/>
        </w:rPr>
        <w:t>xxxx</w:t>
      </w:r>
      <w:r w:rsidR="00307531" w:rsidRPr="005D58CB">
        <w:t xml:space="preserve">, </w:t>
      </w:r>
      <w:r w:rsidR="00294FDC" w:rsidRPr="00294FDC">
        <w:rPr>
          <w:color w:val="000000"/>
          <w:highlight w:val="black"/>
        </w:rPr>
        <w:t>xxxx</w:t>
      </w:r>
      <w:r w:rsidR="00307531">
        <w:t xml:space="preserve"> and </w:t>
      </w:r>
      <w:r w:rsidR="00294FDC" w:rsidRPr="00294FDC">
        <w:rPr>
          <w:color w:val="000000"/>
          <w:highlight w:val="black"/>
        </w:rPr>
        <w:t>xxxx</w:t>
      </w:r>
      <w:r w:rsidR="00307531">
        <w:t>, respectively.</w:t>
      </w:r>
      <w:r w:rsidR="00307531" w:rsidRPr="00307531">
        <w:t xml:space="preserve"> </w:t>
      </w:r>
      <w:r w:rsidR="00307531">
        <w:t xml:space="preserve">UK clinical experts </w:t>
      </w:r>
      <w:r w:rsidR="009E4363">
        <w:t>determined</w:t>
      </w:r>
      <w:r w:rsidR="00307531">
        <w:t xml:space="preserve"> that these curves were not appropriate as more than 2% of patients are expected to remain alive at 5 years in the TPC arm.</w:t>
      </w:r>
    </w:p>
    <w:p w14:paraId="4FAEA52E" w14:textId="68976CA8" w:rsidR="00670187" w:rsidRDefault="009E4363" w:rsidP="00670187">
      <w:r>
        <w:t xml:space="preserve">For the T-DXd arm, </w:t>
      </w:r>
      <w:r w:rsidR="00B67895">
        <w:t xml:space="preserve">the </w:t>
      </w:r>
      <w:r w:rsidR="001E3567">
        <w:t>log-logistic and exponential were considered the most clinically plausible curve</w:t>
      </w:r>
      <w:r w:rsidR="00805C45">
        <w:t>s</w:t>
      </w:r>
      <w:r w:rsidR="001E3567" w:rsidRPr="00054570">
        <w:fldChar w:fldCharType="begin"/>
      </w:r>
      <w:r w:rsidR="001E3567">
        <w:instrText xml:space="preserve"> ADDIN ZOTERO_ITEM CSL_CITATION {"citationID":"DAJdWRq9","properties":{"formattedCitation":"\\super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001E3567" w:rsidRPr="00054570">
        <w:fldChar w:fldCharType="separate"/>
      </w:r>
      <w:r w:rsidR="001E3567" w:rsidRPr="00CA6345">
        <w:rPr>
          <w:rFonts w:cs="Arial"/>
          <w:szCs w:val="24"/>
          <w:vertAlign w:val="superscript"/>
        </w:rPr>
        <w:t>121</w:t>
      </w:r>
      <w:r w:rsidR="001E3567" w:rsidRPr="00054570">
        <w:fldChar w:fldCharType="end"/>
      </w:r>
      <w:r w:rsidR="001E3567">
        <w:t xml:space="preserve"> </w:t>
      </w:r>
      <w:r w:rsidR="00217B74">
        <w:t xml:space="preserve">with </w:t>
      </w:r>
      <w:r w:rsidR="00217B74" w:rsidRPr="008057AA">
        <w:t>5-year OS</w:t>
      </w:r>
      <w:r w:rsidR="00217B74">
        <w:t xml:space="preserve"> estimates </w:t>
      </w:r>
      <w:r w:rsidR="00217B74" w:rsidRPr="008057AA">
        <w:t>of</w:t>
      </w:r>
      <w:r w:rsidR="00B67895" w:rsidRPr="008057AA">
        <w:t xml:space="preserve"> </w:t>
      </w:r>
      <w:r w:rsidR="00294FDC" w:rsidRPr="00294FDC">
        <w:rPr>
          <w:color w:val="000000"/>
          <w:highlight w:val="black"/>
        </w:rPr>
        <w:t>xxxxx</w:t>
      </w:r>
      <w:r w:rsidR="00C2694D">
        <w:t xml:space="preserve"> and</w:t>
      </w:r>
      <w:r w:rsidR="00B67895">
        <w:t xml:space="preserve"> </w:t>
      </w:r>
      <w:r w:rsidR="00294FDC" w:rsidRPr="00294FDC">
        <w:rPr>
          <w:color w:val="000000"/>
          <w:highlight w:val="black"/>
        </w:rPr>
        <w:t>xxxxx</w:t>
      </w:r>
      <w:r w:rsidR="00B67895">
        <w:t xml:space="preserve"> </w:t>
      </w:r>
      <w:r w:rsidR="00B67895" w:rsidRPr="008057AA">
        <w:t>respectively</w:t>
      </w:r>
      <w:r w:rsidR="00805C45">
        <w:t>.</w:t>
      </w:r>
      <w:r w:rsidR="00B67895" w:rsidRPr="009C38BB">
        <w:t xml:space="preserve"> </w:t>
      </w:r>
      <w:r w:rsidR="00BD22D1" w:rsidRPr="00236F25">
        <w:t xml:space="preserve">Additionally, </w:t>
      </w:r>
      <w:r w:rsidR="00BD22D1">
        <w:t>c</w:t>
      </w:r>
      <w:r w:rsidR="00BD22D1" w:rsidRPr="008E6AF5">
        <w:t>linicians indicated that some patients would be expected to remain alive at 10-years in the T-DXd arm and therefore</w:t>
      </w:r>
      <w:r w:rsidR="00BD22D1">
        <w:t xml:space="preserve"> </w:t>
      </w:r>
      <w:r w:rsidR="00BD22D1" w:rsidRPr="008E6AF5">
        <w:t>considered the Weibull</w:t>
      </w:r>
      <w:r w:rsidR="00BD22D1">
        <w:t>, generalised gamma</w:t>
      </w:r>
      <w:r w:rsidR="00BD22D1" w:rsidRPr="008E6AF5">
        <w:t xml:space="preserve"> and Gompertz parametric curves to be too pessimistic with respect to the T-DXd arm, with 10-year OS estimates </w:t>
      </w:r>
      <w:r w:rsidR="00670187" w:rsidRPr="008E6AF5">
        <w:t xml:space="preserve">of </w:t>
      </w:r>
      <w:r w:rsidR="00294FDC" w:rsidRPr="00294FDC">
        <w:rPr>
          <w:color w:val="000000"/>
          <w:highlight w:val="black"/>
        </w:rPr>
        <w:t>xxxx</w:t>
      </w:r>
      <w:r w:rsidR="009C572B">
        <w:t>,</w:t>
      </w:r>
      <w:r w:rsidR="00625CFC">
        <w:t xml:space="preserve"> </w:t>
      </w:r>
      <w:r w:rsidR="00294FDC" w:rsidRPr="00294FDC">
        <w:rPr>
          <w:color w:val="000000"/>
          <w:highlight w:val="black"/>
        </w:rPr>
        <w:t>xxxx</w:t>
      </w:r>
      <w:r w:rsidR="009C572B">
        <w:t xml:space="preserve"> and </w:t>
      </w:r>
      <w:r w:rsidR="00294FDC" w:rsidRPr="00294FDC">
        <w:rPr>
          <w:color w:val="000000"/>
          <w:highlight w:val="black"/>
        </w:rPr>
        <w:t>xxxx</w:t>
      </w:r>
      <w:r w:rsidR="00625CFC">
        <w:t>, respectively</w:t>
      </w:r>
      <w:r w:rsidR="00FC5077">
        <w:t xml:space="preserve">. </w:t>
      </w:r>
    </w:p>
    <w:p w14:paraId="4BE01D07" w14:textId="77777777" w:rsidR="002F75FE" w:rsidRDefault="00C72294" w:rsidP="00670187">
      <w:pPr>
        <w:pStyle w:val="Body"/>
        <w:rPr>
          <w:i/>
          <w:u w:val="single"/>
        </w:rPr>
      </w:pPr>
      <w:r w:rsidRPr="003C648C">
        <w:rPr>
          <w:i/>
          <w:u w:val="single"/>
        </w:rPr>
        <w:t>Conclusion</w:t>
      </w:r>
    </w:p>
    <w:p w14:paraId="126E8DBC" w14:textId="6DD4DFFB" w:rsidR="00670187" w:rsidRPr="005D58CB" w:rsidRDefault="00670187" w:rsidP="00670187">
      <w:pPr>
        <w:pStyle w:val="Body"/>
      </w:pPr>
      <w:r w:rsidRPr="005D58CB">
        <w:t>Based on the assessments above, the log-logistic distribution</w:t>
      </w:r>
      <w:r w:rsidRPr="00662145">
        <w:t xml:space="preserve"> was considered the most </w:t>
      </w:r>
      <w:r w:rsidRPr="005D58CB">
        <w:t>appropriate</w:t>
      </w:r>
      <w:r w:rsidRPr="00662145">
        <w:t xml:space="preserve"> curve to inform the </w:t>
      </w:r>
      <w:r w:rsidR="00814302">
        <w:t xml:space="preserve">TPC </w:t>
      </w:r>
      <w:r w:rsidRPr="00662145">
        <w:t>base case</w:t>
      </w:r>
      <w:r w:rsidRPr="005D58CB">
        <w:t xml:space="preserve"> </w:t>
      </w:r>
      <w:r w:rsidRPr="00662145">
        <w:t xml:space="preserve">extrapolations </w:t>
      </w:r>
      <w:r w:rsidRPr="005D58CB">
        <w:t>of OS</w:t>
      </w:r>
      <w:r w:rsidR="00814302">
        <w:t>,</w:t>
      </w:r>
      <w:r w:rsidRPr="005D58CB">
        <w:t xml:space="preserve"> reflecting </w:t>
      </w:r>
      <w:r>
        <w:t xml:space="preserve">the best </w:t>
      </w:r>
      <w:r w:rsidRPr="005D58CB">
        <w:t xml:space="preserve">statistical </w:t>
      </w:r>
      <w:r w:rsidR="00F169AA">
        <w:t>and</w:t>
      </w:r>
      <w:r w:rsidRPr="005D58CB">
        <w:t xml:space="preserve"> visual fit to the KM and clinical validity of long-term </w:t>
      </w:r>
      <w:r w:rsidRPr="00662145">
        <w:t xml:space="preserve">modelled survival at </w:t>
      </w:r>
      <w:r w:rsidRPr="005D58CB">
        <w:t>landmark time point</w:t>
      </w:r>
      <w:r>
        <w:t>s</w:t>
      </w:r>
      <w:r w:rsidRPr="005D58CB">
        <w:t>.</w:t>
      </w:r>
      <w:r>
        <w:t xml:space="preserve"> The log-logistic curve was also considered the most appropriate curve for T-DXd based on </w:t>
      </w:r>
      <w:r w:rsidR="00F01710">
        <w:t>the same criteria (</w:t>
      </w:r>
      <w:r>
        <w:t xml:space="preserve">visual fit </w:t>
      </w:r>
      <w:r w:rsidR="002C44F6">
        <w:t xml:space="preserve">to </w:t>
      </w:r>
      <w:r>
        <w:t>the KM</w:t>
      </w:r>
      <w:r w:rsidR="00F01710">
        <w:t xml:space="preserve">, statistical goodness of fit </w:t>
      </w:r>
      <w:r>
        <w:t xml:space="preserve">and </w:t>
      </w:r>
      <w:r w:rsidRPr="002629AD">
        <w:t xml:space="preserve">clinical </w:t>
      </w:r>
      <w:r w:rsidR="00546861">
        <w:t>plausibility</w:t>
      </w:r>
      <w:r w:rsidR="00546861" w:rsidRPr="002629AD">
        <w:t xml:space="preserve"> </w:t>
      </w:r>
      <w:r w:rsidRPr="002629AD">
        <w:t xml:space="preserve">of long-term </w:t>
      </w:r>
      <w:r w:rsidRPr="00662145">
        <w:t xml:space="preserve">modelled survival at </w:t>
      </w:r>
      <w:r w:rsidRPr="002629AD">
        <w:t>landmark time point</w:t>
      </w:r>
      <w:r>
        <w:t>s</w:t>
      </w:r>
      <w:r w:rsidR="00F01710">
        <w:t>)</w:t>
      </w:r>
      <w:r>
        <w:t>.</w:t>
      </w:r>
      <w:r w:rsidR="00E0576A">
        <w:t xml:space="preserve"> </w:t>
      </w:r>
      <w:r>
        <w:t xml:space="preserve">Additionally, the median OS predicted in the model using a log-logistic curve of </w:t>
      </w:r>
      <w:r w:rsidR="00294FDC" w:rsidRPr="00294FDC">
        <w:rPr>
          <w:color w:val="000000"/>
          <w:highlight w:val="black"/>
        </w:rPr>
        <w:t>xxxx</w:t>
      </w:r>
      <w:r>
        <w:t xml:space="preserve"> months and </w:t>
      </w:r>
      <w:r w:rsidR="00294FDC" w:rsidRPr="00294FDC">
        <w:rPr>
          <w:color w:val="000000"/>
          <w:highlight w:val="black"/>
        </w:rPr>
        <w:t>xxxx</w:t>
      </w:r>
      <w:r>
        <w:t xml:space="preserve"> months, for TPC and T-DXd respectively, is similar to the observed median OS in DESTINY-Breast04, of 16.8 months and </w:t>
      </w:r>
      <w:r w:rsidRPr="002629AD">
        <w:t>23.4 months the T</w:t>
      </w:r>
      <w:r>
        <w:t>PC</w:t>
      </w:r>
      <w:r w:rsidRPr="002629AD">
        <w:t xml:space="preserve"> arm and the T</w:t>
      </w:r>
      <w:r>
        <w:t>-DXd</w:t>
      </w:r>
      <w:r w:rsidRPr="002629AD">
        <w:t xml:space="preserve"> arm, respectively.</w:t>
      </w:r>
      <w:r w:rsidR="00873AC7">
        <w:t xml:space="preserve"> </w:t>
      </w:r>
    </w:p>
    <w:p w14:paraId="36401A6C" w14:textId="6009EF64" w:rsidR="00670187" w:rsidRPr="005D58CB" w:rsidRDefault="00670187" w:rsidP="00670187">
      <w:pPr>
        <w:pStyle w:val="Body"/>
      </w:pPr>
      <w:r>
        <w:lastRenderedPageBreak/>
        <w:t>Clinical</w:t>
      </w:r>
      <w:r w:rsidRPr="005D58CB">
        <w:t xml:space="preserve"> and HEOR experts </w:t>
      </w:r>
      <w:r w:rsidR="00E165A0">
        <w:t>concluded</w:t>
      </w:r>
      <w:r w:rsidR="00E165A0" w:rsidRPr="005D58CB">
        <w:t xml:space="preserve"> </w:t>
      </w:r>
      <w:r w:rsidRPr="005D58CB">
        <w:t xml:space="preserve">that the log-logistic curve was </w:t>
      </w:r>
      <w:r w:rsidR="00BC69AE">
        <w:t xml:space="preserve">the most </w:t>
      </w:r>
      <w:r w:rsidRPr="005D58CB">
        <w:t xml:space="preserve">appropriate curve to </w:t>
      </w:r>
      <w:r w:rsidR="00523A0E">
        <w:t>inform</w:t>
      </w:r>
      <w:r w:rsidRPr="005D58CB">
        <w:t xml:space="preserve"> the base case. This conclusion was reached based on </w:t>
      </w:r>
      <w:r w:rsidR="00C72294">
        <w:t>the same criteria: statictical fit, visual fit and long-term clinical</w:t>
      </w:r>
      <w:r w:rsidR="005534DD">
        <w:t xml:space="preserve"> plausibility</w:t>
      </w:r>
      <w:r w:rsidRPr="005D58CB">
        <w:t>.</w:t>
      </w:r>
      <w:r w:rsidR="00814302">
        <w:t xml:space="preserve"> Experts agreed that it was preferable to use the same distribution for both treatment arms for consistency</w:t>
      </w:r>
      <w:r w:rsidR="001214EE">
        <w:t xml:space="preserve"> unless there is a clear </w:t>
      </w:r>
      <w:r w:rsidR="003E3DE3">
        <w:t>clinical rationale to use alternative distributions</w:t>
      </w:r>
      <w:r w:rsidR="00814302">
        <w:t>.</w:t>
      </w:r>
      <w:r w:rsidRPr="005D58CB">
        <w:t xml:space="preserve"> </w:t>
      </w:r>
      <w:r w:rsidR="00805C45">
        <w:t>Alternative extrapolations which provided</w:t>
      </w:r>
      <w:r w:rsidRPr="005D58CB">
        <w:t xml:space="preserve"> </w:t>
      </w:r>
      <w:r w:rsidR="004071B0">
        <w:t xml:space="preserve">plausible </w:t>
      </w:r>
      <w:r w:rsidR="00805C45">
        <w:t>long term estimates of survival (log-normal and exponential)</w:t>
      </w:r>
      <w:r w:rsidRPr="00662145">
        <w:t xml:space="preserve"> were explored in </w:t>
      </w:r>
      <w:r w:rsidR="00805C45">
        <w:t>scenario analyses</w:t>
      </w:r>
      <w:r w:rsidRPr="00662145">
        <w:t xml:space="preserve"> </w:t>
      </w:r>
      <w:r w:rsidRPr="005D58CB">
        <w:t xml:space="preserve">(see Section </w:t>
      </w:r>
      <w:r w:rsidRPr="005D58CB">
        <w:fldChar w:fldCharType="begin"/>
      </w:r>
      <w:r w:rsidRPr="005D58CB">
        <w:instrText xml:space="preserve"> REF _Ref99727872 \r \h </w:instrText>
      </w:r>
      <w:r w:rsidRPr="005D58CB">
        <w:fldChar w:fldCharType="separate"/>
      </w:r>
      <w:r w:rsidR="00145F42">
        <w:t>B.3.11.3</w:t>
      </w:r>
      <w:r w:rsidRPr="005D58CB">
        <w:fldChar w:fldCharType="end"/>
      </w:r>
      <w:r w:rsidRPr="005D58CB">
        <w:t>).</w:t>
      </w:r>
    </w:p>
    <w:p w14:paraId="544272C1" w14:textId="77777777" w:rsidR="00670187" w:rsidRPr="00662145" w:rsidRDefault="00670187" w:rsidP="00670187">
      <w:pPr>
        <w:pStyle w:val="Body"/>
        <w:keepNext/>
        <w:spacing w:before="120"/>
        <w:rPr>
          <w:i/>
          <w:iCs/>
        </w:rPr>
      </w:pPr>
      <w:r w:rsidRPr="00662145">
        <w:rPr>
          <w:i/>
          <w:iCs/>
        </w:rPr>
        <w:t>Summary of base-case model</w:t>
      </w:r>
    </w:p>
    <w:p w14:paraId="143947EF" w14:textId="7CE6A578" w:rsidR="00670187" w:rsidRPr="00662145" w:rsidRDefault="00670187" w:rsidP="00670187">
      <w:pPr>
        <w:pStyle w:val="Body"/>
      </w:pPr>
      <w:r w:rsidRPr="003C648C">
        <w:rPr>
          <w:b/>
          <w:bCs/>
        </w:rPr>
        <w:fldChar w:fldCharType="begin"/>
      </w:r>
      <w:r w:rsidRPr="003C648C">
        <w:rPr>
          <w:b/>
          <w:bCs/>
        </w:rPr>
        <w:instrText xml:space="preserve"> REF _Ref96104290 \h </w:instrText>
      </w:r>
      <w:r w:rsidR="00294697">
        <w:rPr>
          <w:b/>
          <w:bCs/>
        </w:rPr>
        <w:instrText xml:space="preserve"> \* MERGEFORMAT </w:instrText>
      </w:r>
      <w:r w:rsidRPr="003C648C">
        <w:rPr>
          <w:b/>
          <w:bCs/>
        </w:rPr>
      </w:r>
      <w:r w:rsidRPr="003C648C">
        <w:rPr>
          <w:b/>
          <w:bCs/>
        </w:rPr>
        <w:fldChar w:fldCharType="separate"/>
      </w:r>
      <w:r w:rsidR="00145F42" w:rsidRPr="00145F42">
        <w:rPr>
          <w:b/>
          <w:bCs/>
        </w:rPr>
        <w:t xml:space="preserve">Figure </w:t>
      </w:r>
      <w:r w:rsidR="00145F42" w:rsidRPr="00145F42">
        <w:rPr>
          <w:b/>
          <w:bCs/>
          <w:noProof/>
        </w:rPr>
        <w:t>30</w:t>
      </w:r>
      <w:r w:rsidRPr="003C648C">
        <w:rPr>
          <w:b/>
          <w:bCs/>
        </w:rPr>
        <w:fldChar w:fldCharType="end"/>
      </w:r>
      <w:r w:rsidRPr="003C648C">
        <w:rPr>
          <w:b/>
        </w:rPr>
        <w:t xml:space="preserve"> </w:t>
      </w:r>
      <w:r w:rsidRPr="00662145">
        <w:t xml:space="preserve">provides a summary of the base-case extrapolation for OS applied within the model (using the </w:t>
      </w:r>
      <w:r w:rsidRPr="005D58CB">
        <w:t>log-logistic</w:t>
      </w:r>
      <w:r w:rsidRPr="00662145" w:rsidDel="00C65104">
        <w:t xml:space="preserve"> </w:t>
      </w:r>
      <w:r w:rsidRPr="005D58CB">
        <w:t>distribution</w:t>
      </w:r>
      <w:r w:rsidRPr="00662145">
        <w:t xml:space="preserve">). Internal and external validation is presented in </w:t>
      </w:r>
      <w:r w:rsidRPr="005D58CB">
        <w:t xml:space="preserve">Section </w:t>
      </w:r>
      <w:r w:rsidRPr="005D58CB">
        <w:fldChar w:fldCharType="begin"/>
      </w:r>
      <w:r w:rsidRPr="005D58CB">
        <w:instrText xml:space="preserve"> REF _Ref124495944 \n \h  \* MERGEFORMAT </w:instrText>
      </w:r>
      <w:r w:rsidRPr="005D58CB">
        <w:fldChar w:fldCharType="separate"/>
      </w:r>
      <w:r w:rsidR="00145F42">
        <w:t>B.3.14</w:t>
      </w:r>
      <w:r w:rsidRPr="005D58CB">
        <w:fldChar w:fldCharType="end"/>
      </w:r>
      <w:r w:rsidRPr="005D58CB">
        <w:t>.</w:t>
      </w:r>
    </w:p>
    <w:p w14:paraId="74894BED" w14:textId="47B4678B" w:rsidR="00670187" w:rsidRPr="007C1C96" w:rsidRDefault="00670187" w:rsidP="00670187">
      <w:pPr>
        <w:pStyle w:val="Caption"/>
      </w:pPr>
      <w:bookmarkStart w:id="478" w:name="_Ref96104290"/>
      <w:bookmarkStart w:id="479" w:name="_Toc98924716"/>
      <w:bookmarkStart w:id="480" w:name="_Toc127006645"/>
      <w:bookmarkStart w:id="481" w:name="_Toc129350956"/>
      <w:r>
        <w:t xml:space="preserve">Figure </w:t>
      </w:r>
      <w:r>
        <w:fldChar w:fldCharType="begin"/>
      </w:r>
      <w:r>
        <w:instrText>SEQ Figure \* ARABIC</w:instrText>
      </w:r>
      <w:r>
        <w:fldChar w:fldCharType="separate"/>
      </w:r>
      <w:r w:rsidR="00145F42">
        <w:rPr>
          <w:noProof/>
        </w:rPr>
        <w:t>30</w:t>
      </w:r>
      <w:r>
        <w:fldChar w:fldCharType="end"/>
      </w:r>
      <w:bookmarkEnd w:id="478"/>
      <w:r>
        <w:t xml:space="preserve">: Base-case </w:t>
      </w:r>
      <w:r w:rsidRPr="007C1C96">
        <w:t>extrapolations for OS</w:t>
      </w:r>
      <w:r w:rsidRPr="005D58CB">
        <w:t xml:space="preserve"> in the FAS population (log-logistic</w:t>
      </w:r>
      <w:r w:rsidRPr="007C1C96">
        <w:t xml:space="preserve">, T-DXd and </w:t>
      </w:r>
      <w:r w:rsidRPr="005D58CB">
        <w:t>TPC</w:t>
      </w:r>
      <w:r w:rsidRPr="007C1C96">
        <w:t>)</w:t>
      </w:r>
      <w:bookmarkEnd w:id="479"/>
      <w:bookmarkEnd w:id="480"/>
      <w:bookmarkEnd w:id="481"/>
    </w:p>
    <w:tbl>
      <w:tblPr>
        <w:tblStyle w:val="TableGrid"/>
        <w:tblW w:w="9184" w:type="dxa"/>
        <w:tblLook w:val="04A0" w:firstRow="1" w:lastRow="0" w:firstColumn="1" w:lastColumn="0" w:noHBand="0" w:noVBand="1"/>
      </w:tblPr>
      <w:tblGrid>
        <w:gridCol w:w="9190"/>
      </w:tblGrid>
      <w:tr w:rsidR="00670187" w:rsidRPr="007C1C96" w14:paraId="7E420C53" w14:textId="77777777" w:rsidTr="002258CE">
        <w:trPr>
          <w:trHeight w:val="3854"/>
        </w:trPr>
        <w:tc>
          <w:tcPr>
            <w:tcW w:w="9184" w:type="dxa"/>
            <w:tcBorders>
              <w:top w:val="single" w:sz="4" w:space="0" w:color="auto"/>
              <w:left w:val="single" w:sz="4" w:space="0" w:color="auto"/>
              <w:bottom w:val="single" w:sz="4" w:space="0" w:color="auto"/>
              <w:right w:val="single" w:sz="4" w:space="0" w:color="auto"/>
            </w:tcBorders>
          </w:tcPr>
          <w:p w14:paraId="5232B477" w14:textId="04B4E526" w:rsidR="00670187" w:rsidRPr="007C1C96" w:rsidRDefault="00685970">
            <w:pPr>
              <w:pStyle w:val="Footnotes"/>
              <w:spacing w:after="0"/>
            </w:pPr>
            <w:r w:rsidRPr="00685970">
              <w:rPr>
                <w:noProof/>
              </w:rPr>
              <w:drawing>
                <wp:inline distT="0" distB="0" distL="0" distR="0" wp14:anchorId="53954701" wp14:editId="5375EF40">
                  <wp:extent cx="5698861" cy="2648198"/>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30">
                            <a:extLst>
                              <a:ext uri="{28A0092B-C50C-407E-A947-70E740481C1C}">
                                <a14:useLocalDpi xmlns:a14="http://schemas.microsoft.com/office/drawing/2010/main" val="0"/>
                              </a:ext>
                            </a:extLst>
                          </a:blip>
                          <a:stretch>
                            <a:fillRect/>
                          </a:stretch>
                        </pic:blipFill>
                        <pic:spPr>
                          <a:xfrm>
                            <a:off x="0" y="0"/>
                            <a:ext cx="5728905" cy="2662159"/>
                          </a:xfrm>
                          <a:prstGeom prst="rect">
                            <a:avLst/>
                          </a:prstGeom>
                        </pic:spPr>
                      </pic:pic>
                    </a:graphicData>
                  </a:graphic>
                </wp:inline>
              </w:drawing>
            </w:r>
          </w:p>
        </w:tc>
      </w:tr>
    </w:tbl>
    <w:p w14:paraId="46DFB6DA" w14:textId="77777777" w:rsidR="00670187" w:rsidRPr="007C1C96" w:rsidRDefault="00670187" w:rsidP="00670187">
      <w:pPr>
        <w:pStyle w:val="Footnotes"/>
        <w:spacing w:after="0"/>
      </w:pPr>
      <w:r w:rsidRPr="007C1C96">
        <w:t>Abbreviations: KM, Kaplan-Meier; OS, overall survival; T-DXd, trastuzumab deruxtecan; TPC, treatment of physician’s choice.</w:t>
      </w:r>
    </w:p>
    <w:p w14:paraId="0F7695DA" w14:textId="77777777" w:rsidR="00670187" w:rsidRPr="007C1C96" w:rsidRDefault="00670187" w:rsidP="00670187">
      <w:pPr>
        <w:pStyle w:val="Body"/>
      </w:pPr>
    </w:p>
    <w:p w14:paraId="535F78B4" w14:textId="77777777" w:rsidR="00670187" w:rsidRDefault="00670187" w:rsidP="00670187">
      <w:pPr>
        <w:pStyle w:val="Heading4"/>
      </w:pPr>
      <w:bookmarkStart w:id="482" w:name="_Ref126938137"/>
      <w:r>
        <w:t>Progression-free survival</w:t>
      </w:r>
      <w:bookmarkEnd w:id="482"/>
    </w:p>
    <w:p w14:paraId="10A66730" w14:textId="77777777" w:rsidR="00670187" w:rsidRPr="00CF63D6" w:rsidRDefault="00670187" w:rsidP="00670187">
      <w:pPr>
        <w:pStyle w:val="Body"/>
        <w:keepNext/>
        <w:rPr>
          <w:i/>
          <w:iCs/>
        </w:rPr>
      </w:pPr>
      <w:r w:rsidRPr="0019273F">
        <w:rPr>
          <w:i/>
          <w:iCs/>
        </w:rPr>
        <w:t>Assessment of data from DESTINY-</w:t>
      </w:r>
      <w:r w:rsidRPr="00CF63D6">
        <w:rPr>
          <w:i/>
          <w:iCs/>
        </w:rPr>
        <w:t>Breast</w:t>
      </w:r>
      <w:r w:rsidRPr="005D58CB">
        <w:rPr>
          <w:i/>
        </w:rPr>
        <w:t>04</w:t>
      </w:r>
    </w:p>
    <w:p w14:paraId="682A464E" w14:textId="3863422A" w:rsidR="004D637B" w:rsidRPr="005D58CB" w:rsidRDefault="001F1059" w:rsidP="003C648C">
      <w:pPr>
        <w:pStyle w:val="Body"/>
      </w:pPr>
      <w:r>
        <w:t>M</w:t>
      </w:r>
      <w:r w:rsidRPr="002629AD">
        <w:t>edian follow-up in the FAS population</w:t>
      </w:r>
      <w:r>
        <w:t xml:space="preserve"> of </w:t>
      </w:r>
      <w:r w:rsidRPr="007E5E16">
        <w:t>DESTINY-Breast0</w:t>
      </w:r>
      <w:r w:rsidRPr="002629AD">
        <w:t xml:space="preserve">4 was </w:t>
      </w:r>
      <w:r w:rsidR="00294FDC" w:rsidRPr="00294FDC">
        <w:rPr>
          <w:color w:val="000000"/>
          <w:highlight w:val="black"/>
        </w:rPr>
        <w:t>xxxx</w:t>
      </w:r>
      <w:r w:rsidRPr="00054570">
        <w:t xml:space="preserve"> months</w:t>
      </w:r>
      <w:r>
        <w:t>,</w:t>
      </w:r>
      <w:r>
        <w:fldChar w:fldCharType="begin"/>
      </w:r>
      <w:r w:rsidR="00CA6345">
        <w:instrText xml:space="preserve"> ADDIN ZOTERO_ITEM CSL_CITATION {"citationID":"RNrpsnpe","properties":{"formattedCitation":"\\super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Pr="00FD57F4">
        <w:rPr>
          <w:rFonts w:cs="Arial"/>
          <w:szCs w:val="24"/>
          <w:vertAlign w:val="superscript"/>
        </w:rPr>
        <w:t>6</w:t>
      </w:r>
      <w:r>
        <w:fldChar w:fldCharType="end"/>
      </w:r>
      <w:r>
        <w:t xml:space="preserve"> during which </w:t>
      </w:r>
      <w:r w:rsidR="00294FDC" w:rsidRPr="00294FDC">
        <w:rPr>
          <w:color w:val="000000"/>
          <w:highlight w:val="black"/>
        </w:rPr>
        <w:t>xxxxx</w:t>
      </w:r>
      <w:r w:rsidRPr="002629AD">
        <w:t xml:space="preserve"> of patients in the T-DXd arm and </w:t>
      </w:r>
      <w:r w:rsidR="00294FDC" w:rsidRPr="00294FDC">
        <w:rPr>
          <w:color w:val="000000"/>
          <w:highlight w:val="black"/>
        </w:rPr>
        <w:t>xxxxx</w:t>
      </w:r>
      <w:r w:rsidRPr="002629AD">
        <w:t xml:space="preserve"> in the TPC arm</w:t>
      </w:r>
      <w:r>
        <w:t xml:space="preserve"> had a</w:t>
      </w:r>
      <w:r w:rsidR="006410FB">
        <w:t xml:space="preserve"> PFS </w:t>
      </w:r>
      <w:r>
        <w:t>event</w:t>
      </w:r>
      <w:r w:rsidRPr="002629AD">
        <w:t>.</w:t>
      </w:r>
      <w:r>
        <w:fldChar w:fldCharType="begin"/>
      </w:r>
      <w:r w:rsidR="00CA6345">
        <w:instrText xml:space="preserve"> ADDIN ZOTERO_ITEM CSL_CITATION {"citationID":"B1yMK4MB","properties":{"formattedCitation":"\\super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fldChar w:fldCharType="separate"/>
      </w:r>
      <w:r w:rsidRPr="00FD57F4">
        <w:rPr>
          <w:rFonts w:cs="Arial"/>
          <w:szCs w:val="24"/>
          <w:vertAlign w:val="superscript"/>
        </w:rPr>
        <w:t>7</w:t>
      </w:r>
      <w:r>
        <w:fldChar w:fldCharType="end"/>
      </w:r>
      <w:r w:rsidR="005E4E2C">
        <w:t xml:space="preserve"> </w:t>
      </w:r>
      <w:r w:rsidR="00670187" w:rsidRPr="00CF63D6">
        <w:t>T</w:t>
      </w:r>
      <w:r w:rsidR="00670187" w:rsidRPr="00CF63D6">
        <w:noBreakHyphen/>
        <w:t xml:space="preserve">DXd was associated with a statistically significant </w:t>
      </w:r>
      <w:r w:rsidR="00670187" w:rsidRPr="002629AD">
        <w:t xml:space="preserve">improvement in </w:t>
      </w:r>
      <w:r w:rsidR="00670187">
        <w:t>PFS</w:t>
      </w:r>
      <w:r w:rsidR="00670187" w:rsidRPr="002629AD">
        <w:t xml:space="preserve"> </w:t>
      </w:r>
      <w:r w:rsidR="00670187" w:rsidRPr="00CD6055">
        <w:t xml:space="preserve">compared with TPC </w:t>
      </w:r>
      <w:r w:rsidR="00670187" w:rsidRPr="002629AD">
        <w:t xml:space="preserve">in the FAS population </w:t>
      </w:r>
      <w:r w:rsidR="00670187" w:rsidRPr="00CD6055">
        <w:t>(</w:t>
      </w:r>
      <w:r w:rsidR="00670187" w:rsidRPr="002629AD">
        <w:t>HR: 0.</w:t>
      </w:r>
      <w:r w:rsidR="00670187">
        <w:t>50</w:t>
      </w:r>
      <w:r w:rsidR="00670187" w:rsidRPr="002629AD">
        <w:t>; 95% CI: 0.4</w:t>
      </w:r>
      <w:r w:rsidR="00670187">
        <w:t>0</w:t>
      </w:r>
      <w:r w:rsidR="00670187" w:rsidRPr="002629AD">
        <w:t>, 0.</w:t>
      </w:r>
      <w:r w:rsidR="00670187">
        <w:t>63</w:t>
      </w:r>
      <w:r w:rsidR="00670187" w:rsidRPr="002629AD">
        <w:t xml:space="preserve"> [p</w:t>
      </w:r>
      <w:r w:rsidR="00670187">
        <w:t>&lt;0.0001</w:t>
      </w:r>
      <w:r w:rsidR="00670187" w:rsidRPr="002629AD">
        <w:t>] using a stratified Cox proportional hazard model</w:t>
      </w:r>
      <w:r w:rsidR="00670187" w:rsidRPr="00CD6055">
        <w:t>)</w:t>
      </w:r>
      <w:r w:rsidR="00EA7EC4">
        <w:t xml:space="preserve"> with</w:t>
      </w:r>
      <w:r w:rsidR="00EA7EC4" w:rsidRPr="00EA7EC4">
        <w:t xml:space="preserve"> </w:t>
      </w:r>
      <w:r w:rsidR="00EA7EC4" w:rsidRPr="002629AD">
        <w:t>medians reached in both arms (</w:t>
      </w:r>
      <w:r w:rsidR="00EA7EC4">
        <w:t>9.9</w:t>
      </w:r>
      <w:r w:rsidR="00EA7EC4" w:rsidRPr="002629AD">
        <w:t xml:space="preserve"> months vs. </w:t>
      </w:r>
      <w:r w:rsidR="00EA7EC4">
        <w:t>5.1</w:t>
      </w:r>
      <w:r w:rsidR="00EA7EC4" w:rsidRPr="002629AD">
        <w:t xml:space="preserve"> months in the T-DXd and the TPC arms, respectively)</w:t>
      </w:r>
      <w:r w:rsidR="00670187" w:rsidRPr="002629AD">
        <w:t>.</w:t>
      </w:r>
      <w:r w:rsidR="00670187">
        <w:fldChar w:fldCharType="begin"/>
      </w:r>
      <w:r w:rsidR="00CA6345">
        <w:instrText xml:space="preserve"> ADDIN ZOTERO_ITEM CSL_CITATION {"citationID":"qPV8R78G","properties":{"formattedCitation":"\\super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00670187">
        <w:fldChar w:fldCharType="separate"/>
      </w:r>
      <w:r w:rsidR="00FD57F4" w:rsidRPr="00FD57F4">
        <w:rPr>
          <w:rFonts w:cs="Arial"/>
          <w:szCs w:val="24"/>
          <w:vertAlign w:val="superscript"/>
        </w:rPr>
        <w:t>7</w:t>
      </w:r>
      <w:r w:rsidR="00670187">
        <w:fldChar w:fldCharType="end"/>
      </w:r>
      <w:r w:rsidR="00670187" w:rsidRPr="00CD6055">
        <w:t xml:space="preserve"> </w:t>
      </w:r>
      <w:r w:rsidR="00670187" w:rsidRPr="00CF63D6">
        <w:t xml:space="preserve">A summary of the PFS data from DESTINY-Breast04 is provided in </w:t>
      </w:r>
      <w:r w:rsidR="007C383A" w:rsidRPr="003C648C">
        <w:rPr>
          <w:b/>
          <w:bCs/>
        </w:rPr>
        <w:t xml:space="preserve">Section </w:t>
      </w:r>
      <w:r w:rsidR="007C383A" w:rsidRPr="003C648C">
        <w:rPr>
          <w:b/>
          <w:bCs/>
        </w:rPr>
        <w:fldChar w:fldCharType="begin"/>
      </w:r>
      <w:r w:rsidR="007C383A" w:rsidRPr="003C648C">
        <w:rPr>
          <w:b/>
          <w:bCs/>
        </w:rPr>
        <w:instrText xml:space="preserve"> REF _Ref127007664 \r \h </w:instrText>
      </w:r>
      <w:r w:rsidR="00294697" w:rsidRPr="003B1AE1">
        <w:rPr>
          <w:b/>
          <w:bCs/>
        </w:rPr>
        <w:instrText xml:space="preserve"> \* MERGEFORMAT </w:instrText>
      </w:r>
      <w:r w:rsidR="007C383A" w:rsidRPr="003C648C">
        <w:rPr>
          <w:b/>
          <w:bCs/>
        </w:rPr>
      </w:r>
      <w:r w:rsidR="007C383A" w:rsidRPr="003C648C">
        <w:rPr>
          <w:b/>
          <w:bCs/>
        </w:rPr>
        <w:fldChar w:fldCharType="separate"/>
      </w:r>
      <w:r w:rsidR="00145F42">
        <w:rPr>
          <w:b/>
          <w:bCs/>
        </w:rPr>
        <w:t>B.2.6.1</w:t>
      </w:r>
      <w:r w:rsidR="007C383A" w:rsidRPr="003C648C">
        <w:rPr>
          <w:b/>
          <w:bCs/>
        </w:rPr>
        <w:fldChar w:fldCharType="end"/>
      </w:r>
      <w:r w:rsidR="00670187" w:rsidRPr="00CF63D6">
        <w:t xml:space="preserve"> and </w:t>
      </w:r>
      <w:r w:rsidR="00670187" w:rsidRPr="00CF63D6">
        <w:fldChar w:fldCharType="begin"/>
      </w:r>
      <w:r w:rsidR="00670187" w:rsidRPr="00CF63D6">
        <w:instrText xml:space="preserve"> REF _Ref126764466 \h </w:instrText>
      </w:r>
      <w:r w:rsidR="00294697">
        <w:instrText xml:space="preserve"> \* MERGEFORMAT </w:instrText>
      </w:r>
      <w:r w:rsidR="00670187" w:rsidRPr="00CF63D6">
        <w:fldChar w:fldCharType="separate"/>
      </w:r>
      <w:r w:rsidR="00145F42" w:rsidRPr="00145F42">
        <w:rPr>
          <w:b/>
          <w:bCs/>
        </w:rPr>
        <w:t xml:space="preserve">Figure </w:t>
      </w:r>
      <w:r w:rsidR="00145F42" w:rsidRPr="00145F42">
        <w:rPr>
          <w:b/>
          <w:bCs/>
          <w:noProof/>
        </w:rPr>
        <w:t>31</w:t>
      </w:r>
      <w:r w:rsidR="00670187" w:rsidRPr="00CF63D6">
        <w:fldChar w:fldCharType="end"/>
      </w:r>
      <w:r w:rsidR="00670187" w:rsidRPr="00CF63D6">
        <w:t xml:space="preserve"> below.</w:t>
      </w:r>
      <w:r w:rsidR="00670187" w:rsidRPr="00CD6055">
        <w:t xml:space="preserve"> </w:t>
      </w:r>
      <w:r w:rsidR="00092AE4">
        <w:t>Given that</w:t>
      </w:r>
      <w:r w:rsidR="00670187" w:rsidRPr="007A33B1">
        <w:t xml:space="preserve"> </w:t>
      </w:r>
      <w:r w:rsidR="00670187">
        <w:t>PF</w:t>
      </w:r>
      <w:r w:rsidR="00670187" w:rsidRPr="007A33B1">
        <w:t xml:space="preserve">S data from DESTINY-Breast04 are considered mature, </w:t>
      </w:r>
      <w:r w:rsidR="004D637B" w:rsidRPr="005D58CB">
        <w:t xml:space="preserve">data were directly extrapolated from </w:t>
      </w:r>
      <w:r w:rsidR="004D637B">
        <w:t>observed patient level data</w:t>
      </w:r>
      <w:r w:rsidR="004D637B" w:rsidRPr="005D58CB">
        <w:t>, using parametric survival modelling</w:t>
      </w:r>
      <w:r w:rsidR="004D637B">
        <w:t>.</w:t>
      </w:r>
    </w:p>
    <w:p w14:paraId="20BB80CE" w14:textId="44D90F60" w:rsidR="00670187" w:rsidRDefault="00670187" w:rsidP="00670187">
      <w:pPr>
        <w:pStyle w:val="Body"/>
      </w:pPr>
      <w:r w:rsidRPr="00465611">
        <w:t xml:space="preserve">For all analyses within the cost-effectiveness model, </w:t>
      </w:r>
      <w:r w:rsidRPr="00465611" w:rsidDel="00DE5641">
        <w:t xml:space="preserve">the </w:t>
      </w:r>
      <w:r w:rsidRPr="00465611">
        <w:t xml:space="preserve">BICR definition of PFS has been used, which </w:t>
      </w:r>
      <w:r w:rsidR="009842DC">
        <w:t>was</w:t>
      </w:r>
      <w:r w:rsidR="009842DC" w:rsidRPr="00465611">
        <w:t xml:space="preserve"> </w:t>
      </w:r>
      <w:r w:rsidR="004D637B">
        <w:t xml:space="preserve">used for </w:t>
      </w:r>
      <w:r w:rsidRPr="00465611">
        <w:t xml:space="preserve">the primary </w:t>
      </w:r>
      <w:r w:rsidR="004D637B">
        <w:t>and key secondary analyses</w:t>
      </w:r>
      <w:r w:rsidRPr="00465611">
        <w:t xml:space="preserve"> in </w:t>
      </w:r>
      <w:r w:rsidRPr="005D58CB">
        <w:t>DESTINY-Breast04 (</w:t>
      </w:r>
      <w:r w:rsidR="007C383A">
        <w:t xml:space="preserve">Section </w:t>
      </w:r>
      <w:r w:rsidR="007C383A">
        <w:fldChar w:fldCharType="begin"/>
      </w:r>
      <w:r w:rsidR="007C383A">
        <w:instrText xml:space="preserve"> REF _Ref127007664 \r \h </w:instrText>
      </w:r>
      <w:r w:rsidR="007C383A">
        <w:fldChar w:fldCharType="separate"/>
      </w:r>
      <w:r w:rsidR="00145F42">
        <w:t>B.2.6.1</w:t>
      </w:r>
      <w:r w:rsidR="007C383A">
        <w:fldChar w:fldCharType="end"/>
      </w:r>
      <w:r w:rsidRPr="00465611">
        <w:t>).</w:t>
      </w:r>
    </w:p>
    <w:p w14:paraId="544928F0" w14:textId="5299B1F7" w:rsidR="00670187" w:rsidRPr="00465611" w:rsidRDefault="00670187" w:rsidP="00670187">
      <w:pPr>
        <w:pStyle w:val="Caption"/>
      </w:pPr>
      <w:bookmarkStart w:id="483" w:name="_Ref126764466"/>
      <w:bookmarkStart w:id="484" w:name="_Toc127006646"/>
      <w:bookmarkStart w:id="485" w:name="_Toc129350957"/>
      <w:r>
        <w:lastRenderedPageBreak/>
        <w:t xml:space="preserve">Figure </w:t>
      </w:r>
      <w:fldSimple w:instr=" SEQ Figure \* ARABIC ">
        <w:r w:rsidR="00145F42">
          <w:rPr>
            <w:noProof/>
          </w:rPr>
          <w:t>31</w:t>
        </w:r>
      </w:fldSimple>
      <w:bookmarkEnd w:id="483"/>
      <w:r>
        <w:t>: PF</w:t>
      </w:r>
      <w:r w:rsidRPr="003E4D75">
        <w:t xml:space="preserve">S KM from DESTINY-Breast04 in </w:t>
      </w:r>
      <w:r w:rsidRPr="00465611">
        <w:t>the FAS population (T-DXd and TPC)</w:t>
      </w:r>
      <w:bookmarkEnd w:id="484"/>
      <w:bookmarkEnd w:id="48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7"/>
      </w:tblGrid>
      <w:tr w:rsidR="00670187" w:rsidRPr="00465611" w14:paraId="4679E8AB" w14:textId="77777777">
        <w:tc>
          <w:tcPr>
            <w:tcW w:w="9017" w:type="dxa"/>
          </w:tcPr>
          <w:p w14:paraId="15B471AE" w14:textId="77777777" w:rsidR="00670187" w:rsidRPr="00465611" w:rsidRDefault="00670187">
            <w:pPr>
              <w:pStyle w:val="Body"/>
            </w:pPr>
            <w:r w:rsidRPr="00465611">
              <w:rPr>
                <w:noProof/>
              </w:rPr>
              <w:drawing>
                <wp:inline distT="0" distB="0" distL="0" distR="0" wp14:anchorId="55707180" wp14:editId="55BF315C">
                  <wp:extent cx="5691541" cy="3600450"/>
                  <wp:effectExtent l="0" t="0" r="4445" b="0"/>
                  <wp:docPr id="34" name="Picture 34"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line chart&#10;&#10;Description automatically generated"/>
                          <pic:cNvPicPr/>
                        </pic:nvPicPr>
                        <pic:blipFill>
                          <a:blip r:embed="rId24"/>
                          <a:stretch>
                            <a:fillRect/>
                          </a:stretch>
                        </pic:blipFill>
                        <pic:spPr>
                          <a:xfrm>
                            <a:off x="0" y="0"/>
                            <a:ext cx="5694674" cy="3602432"/>
                          </a:xfrm>
                          <a:prstGeom prst="rect">
                            <a:avLst/>
                          </a:prstGeom>
                        </pic:spPr>
                      </pic:pic>
                    </a:graphicData>
                  </a:graphic>
                </wp:inline>
              </w:drawing>
            </w:r>
          </w:p>
        </w:tc>
      </w:tr>
    </w:tbl>
    <w:p w14:paraId="4DDFB466" w14:textId="1ED64504" w:rsidR="00670187" w:rsidRPr="005D58CB" w:rsidRDefault="00670187" w:rsidP="00670187">
      <w:pPr>
        <w:pStyle w:val="Legend"/>
        <w:spacing w:before="0" w:after="360"/>
        <w:rPr>
          <w:color w:val="auto"/>
        </w:rPr>
      </w:pPr>
      <w:r w:rsidRPr="005D58CB">
        <w:rPr>
          <w:color w:val="auto"/>
        </w:rPr>
        <w:t>Abbreviations: BICR; blinded independent central review; CI, confidence interval; FAS, full analysis set; HR, hazard ratio; PFS, progression-free survival; TPC, treatment of physician’s choice; T</w:t>
      </w:r>
      <w:r w:rsidRPr="005D58CB">
        <w:rPr>
          <w:color w:val="auto"/>
        </w:rPr>
        <w:noBreakHyphen/>
        <w:t>DXd, trastuzumab deruxtecan.</w:t>
      </w:r>
      <w:r w:rsidRPr="005D58CB">
        <w:rPr>
          <w:color w:val="auto"/>
        </w:rPr>
        <w:br/>
        <w:t>Source:  Daiichi Sankyo Inc., 2022 (CSR; Data on File).</w:t>
      </w:r>
      <w:r w:rsidRPr="005D58CB">
        <w:rPr>
          <w:color w:val="auto"/>
        </w:rPr>
        <w:fldChar w:fldCharType="begin"/>
      </w:r>
      <w:r w:rsidR="00CA6345">
        <w:rPr>
          <w:color w:val="auto"/>
        </w:rPr>
        <w:instrText xml:space="preserve"> ADDIN ZOTERO_ITEM CSL_CITATION {"citationID":"OqSzbvEe","properties":{"formattedCitation":"\\super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5D58CB">
        <w:rPr>
          <w:color w:val="auto"/>
        </w:rPr>
        <w:fldChar w:fldCharType="separate"/>
      </w:r>
      <w:r w:rsidR="00FD57F4" w:rsidRPr="00FD57F4">
        <w:rPr>
          <w:szCs w:val="24"/>
          <w:vertAlign w:val="superscript"/>
        </w:rPr>
        <w:t>7</w:t>
      </w:r>
      <w:r w:rsidRPr="005D58CB">
        <w:rPr>
          <w:color w:val="auto"/>
        </w:rPr>
        <w:fldChar w:fldCharType="end"/>
      </w:r>
    </w:p>
    <w:p w14:paraId="1A188373" w14:textId="1728E888" w:rsidR="00670187" w:rsidRDefault="00670187" w:rsidP="00670187">
      <w:pPr>
        <w:pStyle w:val="Body"/>
      </w:pPr>
      <w:r w:rsidRPr="00465611">
        <w:t>As with OS data, a LCHP was produced for PFS (</w:t>
      </w:r>
      <w:r w:rsidRPr="003C648C">
        <w:rPr>
          <w:b/>
        </w:rPr>
        <w:fldChar w:fldCharType="begin"/>
      </w:r>
      <w:r w:rsidRPr="003C648C">
        <w:rPr>
          <w:b/>
        </w:rPr>
        <w:instrText xml:space="preserve"> REF _Ref96104393 \h  \* MERGEFORMAT </w:instrText>
      </w:r>
      <w:r w:rsidRPr="003C648C">
        <w:rPr>
          <w:b/>
        </w:rPr>
      </w:r>
      <w:r w:rsidRPr="003C648C">
        <w:rPr>
          <w:b/>
        </w:rPr>
        <w:fldChar w:fldCharType="separate"/>
      </w:r>
      <w:r w:rsidR="00145F42" w:rsidRPr="00145F42">
        <w:rPr>
          <w:b/>
        </w:rPr>
        <w:t>Figure 32</w:t>
      </w:r>
      <w:r w:rsidRPr="003C648C">
        <w:rPr>
          <w:b/>
        </w:rPr>
        <w:fldChar w:fldCharType="end"/>
      </w:r>
      <w:r w:rsidRPr="00465611">
        <w:t>). The LCHP shows that the curves are not</w:t>
      </w:r>
      <w:r w:rsidRPr="005D58CB">
        <w:t xml:space="preserve"> consistently </w:t>
      </w:r>
      <w:r w:rsidRPr="00465611">
        <w:t>parallel over time</w:t>
      </w:r>
      <w:r w:rsidR="00FF3879">
        <w:t>,</w:t>
      </w:r>
      <w:r w:rsidRPr="00465611">
        <w:t xml:space="preserve"> </w:t>
      </w:r>
      <w:r w:rsidRPr="005D58CB">
        <w:t>cross</w:t>
      </w:r>
      <w:r w:rsidR="00F150AB">
        <w:t>ing</w:t>
      </w:r>
      <w:r w:rsidRPr="00465611">
        <w:t xml:space="preserve"> at the start and </w:t>
      </w:r>
      <w:r w:rsidR="00F150AB">
        <w:t>beginning</w:t>
      </w:r>
      <w:r w:rsidRPr="005D58CB">
        <w:t xml:space="preserve"> to converge towards the end</w:t>
      </w:r>
      <w:r w:rsidR="001C25FC">
        <w:t>. This</w:t>
      </w:r>
      <w:r w:rsidRPr="00465611">
        <w:t xml:space="preserve"> </w:t>
      </w:r>
      <w:r w:rsidR="00D079D1">
        <w:t xml:space="preserve">suggests </w:t>
      </w:r>
      <w:r w:rsidR="001C25FC">
        <w:t>that there is</w:t>
      </w:r>
      <w:r w:rsidRPr="00465611">
        <w:t xml:space="preserve"> no clear evidence </w:t>
      </w:r>
      <w:r w:rsidR="00E06DD0">
        <w:t>of a</w:t>
      </w:r>
      <w:r w:rsidRPr="00465611">
        <w:t xml:space="preserve"> constant hazard of progression</w:t>
      </w:r>
      <w:r w:rsidR="00E06DD0">
        <w:t xml:space="preserve"> and</w:t>
      </w:r>
      <w:r w:rsidR="00AC1F64">
        <w:t xml:space="preserve"> </w:t>
      </w:r>
      <w:r w:rsidRPr="00465611">
        <w:t xml:space="preserve">the PH assumption </w:t>
      </w:r>
      <w:r w:rsidR="001D006E">
        <w:t xml:space="preserve">does </w:t>
      </w:r>
      <w:r w:rsidR="007F143D">
        <w:t xml:space="preserve">not </w:t>
      </w:r>
      <w:r w:rsidRPr="00465611">
        <w:t xml:space="preserve">hold </w:t>
      </w:r>
      <w:r w:rsidRPr="005D58CB">
        <w:t xml:space="preserve">for the duration of the data. </w:t>
      </w:r>
    </w:p>
    <w:p w14:paraId="397796D0" w14:textId="5D56F052" w:rsidR="00670187" w:rsidRPr="00286D14" w:rsidRDefault="00670187" w:rsidP="00670187">
      <w:pPr>
        <w:pStyle w:val="Body"/>
        <w:rPr>
          <w:b/>
          <w:strike/>
          <w:szCs w:val="18"/>
        </w:rPr>
      </w:pPr>
      <w:r>
        <w:t xml:space="preserve">Given the assessment that PH </w:t>
      </w:r>
      <w:r w:rsidRPr="005D58CB">
        <w:t xml:space="preserve">for </w:t>
      </w:r>
      <w:r>
        <w:t xml:space="preserve">the PFS data </w:t>
      </w:r>
      <w:r w:rsidRPr="005D58CB">
        <w:t xml:space="preserve">is inconclusive and cannot be clearly justified, </w:t>
      </w:r>
      <w:r>
        <w:t xml:space="preserve">the </w:t>
      </w:r>
      <w:r w:rsidRPr="005D58CB">
        <w:t>approach was taken to use independent models. This is in line with recommendations in NICE DSU TSD 14</w:t>
      </w:r>
      <w:r w:rsidRPr="005D58CB">
        <w:fldChar w:fldCharType="begin"/>
      </w:r>
      <w:r w:rsidR="00CA6345">
        <w:instrText xml:space="preserve"> ADDIN ZOTERO_ITEM CSL_CITATION {"citationID":"2aspcCG9","properties":{"formattedCitation":"\\super 171\\nosupersub{}","plainCitation":"171","noteIndex":0},"citationItems":[{"id":66276,"uris":["http://zotero.org/groups/4797619/items/QYBHYJLM"],"itemData":{"id":66276,"type":"webpage","title":"NICE DSU Technical Support Document 14:  Survival Analysis For Economic Evaluations Alongside Clinical Trials - Extrapolation With Patient-Level Data","URL":"https://www.sheffield.ac.uk/sites/default/files/2022-02/TSD14-Survival-analysis.updated-March-2013.v2.pdf","author":[{"family":"NICE","given":""}],"issued":{"date-parts":[["2013",3]]}}}],"schema":"https://github.com/citation-style-language/schema/raw/master/csl-citation.json"} </w:instrText>
      </w:r>
      <w:r w:rsidRPr="005D58CB">
        <w:fldChar w:fldCharType="separate"/>
      </w:r>
      <w:r w:rsidR="00CA6345" w:rsidRPr="00CA6345">
        <w:rPr>
          <w:rFonts w:cs="Arial"/>
          <w:szCs w:val="24"/>
          <w:vertAlign w:val="superscript"/>
        </w:rPr>
        <w:t>171</w:t>
      </w:r>
      <w:r w:rsidRPr="005D58CB">
        <w:fldChar w:fldCharType="end"/>
      </w:r>
      <w:r w:rsidR="00BB04A4">
        <w:t xml:space="preserve">, as </w:t>
      </w:r>
      <w:r w:rsidR="002E7734">
        <w:t xml:space="preserve">stated in </w:t>
      </w:r>
      <w:r w:rsidR="002E7734" w:rsidRPr="003C648C">
        <w:rPr>
          <w:b/>
          <w:bCs/>
        </w:rPr>
        <w:t xml:space="preserve">Section </w:t>
      </w:r>
      <w:r w:rsidR="00BB04A4" w:rsidRPr="003C648C">
        <w:rPr>
          <w:b/>
          <w:bCs/>
        </w:rPr>
        <w:fldChar w:fldCharType="begin"/>
      </w:r>
      <w:r w:rsidR="00BB04A4" w:rsidRPr="003C648C">
        <w:rPr>
          <w:b/>
          <w:bCs/>
        </w:rPr>
        <w:instrText xml:space="preserve"> REF _Ref125266134 \r \h </w:instrText>
      </w:r>
      <w:r w:rsidR="00BB04A4">
        <w:rPr>
          <w:b/>
          <w:bCs/>
        </w:rPr>
        <w:instrText xml:space="preserve"> \* MERGEFORMAT </w:instrText>
      </w:r>
      <w:r w:rsidR="00BB04A4" w:rsidRPr="003C648C">
        <w:rPr>
          <w:b/>
          <w:bCs/>
        </w:rPr>
      </w:r>
      <w:r w:rsidR="00BB04A4" w:rsidRPr="003C648C">
        <w:rPr>
          <w:b/>
          <w:bCs/>
        </w:rPr>
        <w:fldChar w:fldCharType="separate"/>
      </w:r>
      <w:r w:rsidR="00145F42">
        <w:rPr>
          <w:b/>
          <w:bCs/>
        </w:rPr>
        <w:t>B.3.3.2.1</w:t>
      </w:r>
      <w:r w:rsidR="00BB04A4" w:rsidRPr="003C648C">
        <w:rPr>
          <w:b/>
          <w:bCs/>
        </w:rPr>
        <w:fldChar w:fldCharType="end"/>
      </w:r>
      <w:r w:rsidRPr="005D58CB">
        <w:t xml:space="preserve">. </w:t>
      </w:r>
      <w:r w:rsidRPr="001D76DB">
        <w:t xml:space="preserve">Mature patient level data for T-DXd and TPC </w:t>
      </w:r>
      <w:r>
        <w:t>PF</w:t>
      </w:r>
      <w:r w:rsidRPr="001D76DB">
        <w:t>S</w:t>
      </w:r>
      <w:r w:rsidRPr="00286D14">
        <w:t xml:space="preserve"> from DESTINY-Brea</w:t>
      </w:r>
      <w:r w:rsidR="004A6219">
        <w:t>s</w:t>
      </w:r>
      <w:r w:rsidRPr="00286D14">
        <w:t>t04</w:t>
      </w:r>
      <w:r w:rsidRPr="001D76DB">
        <w:t xml:space="preserve"> provide</w:t>
      </w:r>
      <w:r w:rsidR="004A6219">
        <w:t>s</w:t>
      </w:r>
      <w:r w:rsidRPr="001D76DB">
        <w:t xml:space="preserve"> robust evidence to inform long-term extrapolations using independent parametric curves for each treatment arm. Use of independent parametric curves, fitted to mature patient level data, is likely to result in better fitting curves for each treatment arm, compared to the use of dependently fitted models. Given the strong assumption required to </w:t>
      </w:r>
      <w:r w:rsidR="00F26B0B">
        <w:t xml:space="preserve">justify the </w:t>
      </w:r>
      <w:r w:rsidRPr="001D76DB">
        <w:t xml:space="preserve">use </w:t>
      </w:r>
      <w:r w:rsidR="00F26B0B">
        <w:t>of</w:t>
      </w:r>
      <w:r w:rsidRPr="001D76DB">
        <w:t xml:space="preserve"> dependent curves, which have not been met for </w:t>
      </w:r>
      <w:r>
        <w:t>PF</w:t>
      </w:r>
      <w:r w:rsidRPr="001D76DB">
        <w:t xml:space="preserve">S, UK clinical and </w:t>
      </w:r>
      <w:r w:rsidRPr="005D58CB">
        <w:t>HEOR experts confirmed that the use of independent curves is deemed the most appropriate for informing the cost-effectiveness analysis</w:t>
      </w:r>
      <w:r>
        <w:t xml:space="preserve"> at an advisory board meeting in December 2022.</w:t>
      </w:r>
      <w:r w:rsidRPr="00054570">
        <w:fldChar w:fldCharType="begin"/>
      </w:r>
      <w:r w:rsidR="00CA6345">
        <w:instrText xml:space="preserve"> ADDIN ZOTERO_ITEM CSL_CITATION {"citationID":"ChRxmV33","properties":{"formattedCitation":"\\super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Pr="00054570">
        <w:fldChar w:fldCharType="separate"/>
      </w:r>
      <w:r w:rsidR="00CA6345" w:rsidRPr="00CA6345">
        <w:rPr>
          <w:rFonts w:cs="Arial"/>
          <w:szCs w:val="24"/>
          <w:vertAlign w:val="superscript"/>
        </w:rPr>
        <w:t>121</w:t>
      </w:r>
      <w:r w:rsidRPr="00054570">
        <w:fldChar w:fldCharType="end"/>
      </w:r>
      <w:r w:rsidRPr="00293ECD">
        <w:t xml:space="preserve"> </w:t>
      </w:r>
      <w:r w:rsidRPr="00286D14" w:rsidDel="00741BF4">
        <w:rPr>
          <w:strike/>
        </w:rPr>
        <w:t xml:space="preserve"> </w:t>
      </w:r>
    </w:p>
    <w:p w14:paraId="3BE180B4" w14:textId="6DAD06AC" w:rsidR="00670187" w:rsidRPr="00465611" w:rsidRDefault="00670187" w:rsidP="00670187">
      <w:pPr>
        <w:pStyle w:val="Caption"/>
      </w:pPr>
      <w:bookmarkStart w:id="486" w:name="_Ref96104393"/>
      <w:bookmarkStart w:id="487" w:name="_Toc98924722"/>
      <w:bookmarkStart w:id="488" w:name="_Toc127006647"/>
      <w:bookmarkStart w:id="489" w:name="_Toc129350958"/>
      <w:r w:rsidRPr="00465611">
        <w:lastRenderedPageBreak/>
        <w:t xml:space="preserve">Figure </w:t>
      </w:r>
      <w:r w:rsidRPr="00465611">
        <w:fldChar w:fldCharType="begin"/>
      </w:r>
      <w:r w:rsidRPr="00465611">
        <w:instrText>SEQ Figure \* ARABIC</w:instrText>
      </w:r>
      <w:r w:rsidRPr="00465611">
        <w:fldChar w:fldCharType="separate"/>
      </w:r>
      <w:r w:rsidR="00145F42">
        <w:rPr>
          <w:noProof/>
        </w:rPr>
        <w:t>32</w:t>
      </w:r>
      <w:r w:rsidRPr="00465611">
        <w:fldChar w:fldCharType="end"/>
      </w:r>
      <w:bookmarkEnd w:id="486"/>
      <w:r w:rsidRPr="00465611">
        <w:t>: DESTINY-Breast</w:t>
      </w:r>
      <w:r w:rsidRPr="005D58CB">
        <w:t>04</w:t>
      </w:r>
      <w:r w:rsidRPr="00465611">
        <w:t xml:space="preserve"> – Log-cumulative hazard plot – PFS, FAS population</w:t>
      </w:r>
      <w:bookmarkEnd w:id="487"/>
      <w:bookmarkEnd w:id="488"/>
      <w:bookmarkEnd w:id="489"/>
    </w:p>
    <w:p w14:paraId="55135CBF" w14:textId="77777777" w:rsidR="00670187" w:rsidRPr="00465611" w:rsidRDefault="00670187" w:rsidP="00670187">
      <w:pPr>
        <w:pStyle w:val="Footnotes"/>
        <w:keepNext/>
        <w:spacing w:after="0"/>
        <w:rPr>
          <w:noProof/>
        </w:rPr>
      </w:pPr>
      <w:r w:rsidRPr="00465611">
        <w:rPr>
          <w:noProof/>
        </w:rPr>
        <w:t xml:space="preserve"> </w:t>
      </w:r>
    </w:p>
    <w:tbl>
      <w:tblPr>
        <w:tblStyle w:val="TableGrid"/>
        <w:tblW w:w="0" w:type="auto"/>
        <w:tblBorders>
          <w:top w:val="single" w:sz="24" w:space="0" w:color="FFFF00"/>
          <w:left w:val="single" w:sz="24" w:space="0" w:color="FFFF00"/>
          <w:bottom w:val="single" w:sz="24" w:space="0" w:color="FFFF00"/>
          <w:right w:val="single" w:sz="24" w:space="0" w:color="FFFF00"/>
          <w:insideH w:val="single" w:sz="24" w:space="0" w:color="FFFF00"/>
          <w:insideV w:val="single" w:sz="24" w:space="0" w:color="FFFF00"/>
        </w:tblBorders>
        <w:tblLook w:val="04A0" w:firstRow="1" w:lastRow="0" w:firstColumn="1" w:lastColumn="0" w:noHBand="0" w:noVBand="1"/>
      </w:tblPr>
      <w:tblGrid>
        <w:gridCol w:w="9017"/>
      </w:tblGrid>
      <w:tr w:rsidR="00670187" w:rsidRPr="00465611" w14:paraId="5B66FD50" w14:textId="77777777" w:rsidTr="00B261B6">
        <w:tc>
          <w:tcPr>
            <w:tcW w:w="9017" w:type="dxa"/>
            <w:tcBorders>
              <w:top w:val="single" w:sz="4" w:space="0" w:color="auto"/>
              <w:left w:val="single" w:sz="4" w:space="0" w:color="auto"/>
              <w:bottom w:val="single" w:sz="4" w:space="0" w:color="auto"/>
              <w:right w:val="single" w:sz="4" w:space="0" w:color="auto"/>
            </w:tcBorders>
            <w:vAlign w:val="center"/>
          </w:tcPr>
          <w:p w14:paraId="62D9DFAE" w14:textId="77777777" w:rsidR="00670187" w:rsidRPr="00465611" w:rsidRDefault="00670187">
            <w:pPr>
              <w:pStyle w:val="Footnotes"/>
              <w:keepNext/>
              <w:spacing w:after="0"/>
              <w:jc w:val="center"/>
              <w:rPr>
                <w:noProof/>
              </w:rPr>
            </w:pPr>
            <w:r w:rsidRPr="00465611">
              <w:rPr>
                <w:noProof/>
              </w:rPr>
              <w:drawing>
                <wp:inline distT="0" distB="0" distL="0" distR="0" wp14:anchorId="22D58BE9" wp14:editId="111F9991">
                  <wp:extent cx="5485699" cy="3123211"/>
                  <wp:effectExtent l="0" t="0" r="127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524144" cy="3145099"/>
                          </a:xfrm>
                          <a:prstGeom prst="rect">
                            <a:avLst/>
                          </a:prstGeom>
                          <a:noFill/>
                        </pic:spPr>
                      </pic:pic>
                    </a:graphicData>
                  </a:graphic>
                </wp:inline>
              </w:drawing>
            </w:r>
          </w:p>
        </w:tc>
      </w:tr>
    </w:tbl>
    <w:p w14:paraId="1910BD82" w14:textId="77777777" w:rsidR="00670187" w:rsidRPr="00465611" w:rsidRDefault="00670187" w:rsidP="00670187">
      <w:pPr>
        <w:pStyle w:val="Footnotes"/>
      </w:pPr>
      <w:r w:rsidRPr="00465611">
        <w:t>Abbreviations: FAS, full analysis set; PFS, progression-free survival; T-DXd, trastuzumab deruxtecan; TPC, treatment of physician’s choice.</w:t>
      </w:r>
    </w:p>
    <w:p w14:paraId="3242D6BB" w14:textId="77777777" w:rsidR="00670187" w:rsidRPr="003C648C" w:rsidRDefault="00670187" w:rsidP="00670187">
      <w:pPr>
        <w:pStyle w:val="Body"/>
        <w:keepNext/>
        <w:rPr>
          <w:i/>
          <w:u w:val="single"/>
        </w:rPr>
      </w:pPr>
      <w:r w:rsidRPr="003C648C">
        <w:rPr>
          <w:i/>
          <w:u w:val="single"/>
        </w:rPr>
        <w:t>Assessment of the statistical goodness-of-fit scores for fitted models</w:t>
      </w:r>
    </w:p>
    <w:p w14:paraId="721819D1" w14:textId="2E52A09E" w:rsidR="000F3388" w:rsidRDefault="00670187" w:rsidP="00670187">
      <w:pPr>
        <w:pStyle w:val="Body"/>
      </w:pPr>
      <w:r w:rsidRPr="00465611">
        <w:t>PSMs were fitted in R</w:t>
      </w:r>
      <w:r w:rsidRPr="00465611">
        <w:rPr>
          <w:vertAlign w:val="superscript"/>
        </w:rPr>
        <w:t>®</w:t>
      </w:r>
      <w:r w:rsidRPr="00465611">
        <w:t xml:space="preserve"> using the ‘</w:t>
      </w:r>
      <w:r w:rsidRPr="00465611">
        <w:rPr>
          <w:i/>
          <w:iCs/>
        </w:rPr>
        <w:t>flexsurv</w:t>
      </w:r>
      <w:r w:rsidRPr="00465611">
        <w:t>’ package. As per the OS estimates, six standard parametric forms discussed in NICE DSU TSD 14</w:t>
      </w:r>
      <w:r w:rsidRPr="00465611">
        <w:fldChar w:fldCharType="begin"/>
      </w:r>
      <w:r w:rsidR="00CA6345">
        <w:instrText xml:space="preserve"> ADDIN ZOTERO_ITEM CSL_CITATION {"citationID":"ny42Gcjl","properties":{"formattedCitation":"\\super 171\\nosupersub{}","plainCitation":"171","noteIndex":0},"citationItems":[{"id":66276,"uris":["http://zotero.org/groups/4797619/items/QYBHYJLM"],"itemData":{"id":66276,"type":"webpage","title":"NICE DSU Technical Support Document 14:  Survival Analysis For Economic Evaluations Alongside Clinical Trials - Extrapolation With Patient-Level Data","URL":"https://www.sheffield.ac.uk/sites/default/files/2022-02/TSD14-Survival-analysis.updated-March-2013.v2.pdf","author":[{"family":"NICE","given":""}],"issued":{"date-parts":[["2013",3]]}}}],"schema":"https://github.com/citation-style-language/schema/raw/master/csl-citation.json"} </w:instrText>
      </w:r>
      <w:r w:rsidRPr="00465611">
        <w:fldChar w:fldCharType="separate"/>
      </w:r>
      <w:r w:rsidR="00CA6345" w:rsidRPr="00CA6345">
        <w:rPr>
          <w:rFonts w:cs="Arial"/>
          <w:szCs w:val="24"/>
          <w:vertAlign w:val="superscript"/>
        </w:rPr>
        <w:t>171</w:t>
      </w:r>
      <w:r w:rsidRPr="00465611">
        <w:fldChar w:fldCharType="end"/>
      </w:r>
      <w:r w:rsidRPr="00465611">
        <w:t xml:space="preserve"> were fitted for completeness. AIC and BIC scores for the extrapolated PFS for DESTINY-Breast</w:t>
      </w:r>
      <w:r w:rsidRPr="005D58CB">
        <w:t>04</w:t>
      </w:r>
      <w:r w:rsidRPr="00465611">
        <w:t xml:space="preserve"> data are presented in </w:t>
      </w:r>
      <w:r w:rsidRPr="003C648C">
        <w:rPr>
          <w:b/>
        </w:rPr>
        <w:fldChar w:fldCharType="begin"/>
      </w:r>
      <w:r w:rsidRPr="003C648C">
        <w:rPr>
          <w:b/>
        </w:rPr>
        <w:instrText xml:space="preserve"> REF _Ref96104935 \h  \* MERGEFORMAT </w:instrText>
      </w:r>
      <w:r w:rsidRPr="003C648C">
        <w:rPr>
          <w:b/>
        </w:rPr>
      </w:r>
      <w:r w:rsidRPr="003C648C">
        <w:rPr>
          <w:b/>
        </w:rPr>
        <w:fldChar w:fldCharType="separate"/>
      </w:r>
      <w:r w:rsidR="00145F42" w:rsidRPr="00145F42">
        <w:rPr>
          <w:b/>
        </w:rPr>
        <w:t>Table 37</w:t>
      </w:r>
      <w:r w:rsidRPr="003C648C">
        <w:rPr>
          <w:b/>
        </w:rPr>
        <w:fldChar w:fldCharType="end"/>
      </w:r>
      <w:r w:rsidRPr="00465611">
        <w:t xml:space="preserve">. </w:t>
      </w:r>
    </w:p>
    <w:p w14:paraId="0DA50B70" w14:textId="43202942" w:rsidR="000F3388" w:rsidRDefault="00D93672" w:rsidP="00670187">
      <w:pPr>
        <w:pStyle w:val="Body"/>
      </w:pPr>
      <w:r>
        <w:t>For</w:t>
      </w:r>
      <w:r w:rsidR="00C34080">
        <w:t xml:space="preserve"> the TPC arm</w:t>
      </w:r>
      <w:r w:rsidR="005267E2">
        <w:t xml:space="preserve">, </w:t>
      </w:r>
      <w:r w:rsidR="00670187" w:rsidRPr="00465611">
        <w:t xml:space="preserve">the </w:t>
      </w:r>
      <w:r w:rsidR="003218F9">
        <w:t xml:space="preserve">generalised gamma and </w:t>
      </w:r>
      <w:r w:rsidR="00670187" w:rsidRPr="005D58CB">
        <w:t xml:space="preserve">log-normal </w:t>
      </w:r>
      <w:r w:rsidR="003218F9">
        <w:t>curve</w:t>
      </w:r>
      <w:r w:rsidR="006E5D2B">
        <w:t>s</w:t>
      </w:r>
      <w:r w:rsidR="003218F9">
        <w:t xml:space="preserve"> </w:t>
      </w:r>
      <w:r w:rsidR="00670187" w:rsidRPr="00465611">
        <w:t xml:space="preserve">provide the best </w:t>
      </w:r>
      <w:r w:rsidR="00670187" w:rsidRPr="005D58CB">
        <w:t xml:space="preserve">statistical </w:t>
      </w:r>
      <w:r w:rsidR="00670187" w:rsidRPr="00465611">
        <w:t>fit</w:t>
      </w:r>
      <w:r w:rsidR="003218F9">
        <w:t xml:space="preserve"> </w:t>
      </w:r>
      <w:r w:rsidR="004E5894" w:rsidRPr="004E5894">
        <w:t xml:space="preserve">as they have the lowest AIC </w:t>
      </w:r>
      <w:r w:rsidR="004E5894">
        <w:t>and</w:t>
      </w:r>
      <w:r w:rsidR="004E5894" w:rsidRPr="004E5894">
        <w:t xml:space="preserve"> BIC values</w:t>
      </w:r>
      <w:r w:rsidR="004E5894">
        <w:t xml:space="preserve">, respectively. </w:t>
      </w:r>
      <w:r w:rsidR="004E5894" w:rsidRPr="004E5894">
        <w:t>The log-logistic curve also provides a good statistical fit with the third lowest AIC and BIC</w:t>
      </w:r>
      <w:r w:rsidR="004E5894">
        <w:t>.</w:t>
      </w:r>
      <w:r w:rsidR="004E5894" w:rsidRPr="004E5894">
        <w:t xml:space="preserve"> </w:t>
      </w:r>
      <w:r w:rsidR="004E5894">
        <w:t>T</w:t>
      </w:r>
      <w:r w:rsidR="004E5894" w:rsidRPr="00090967">
        <w:t xml:space="preserve">he exponential, </w:t>
      </w:r>
      <w:r w:rsidR="004E5894">
        <w:t xml:space="preserve">Weibull and </w:t>
      </w:r>
      <w:r w:rsidR="004E5894" w:rsidRPr="00090967">
        <w:t>Gompertz</w:t>
      </w:r>
      <w:r w:rsidR="004E5894">
        <w:t xml:space="preserve"> </w:t>
      </w:r>
      <w:r w:rsidR="004E5894" w:rsidRPr="00090967">
        <w:t xml:space="preserve">curves </w:t>
      </w:r>
      <w:r w:rsidR="00CC7490">
        <w:t xml:space="preserve">were </w:t>
      </w:r>
      <w:r w:rsidR="00227448" w:rsidRPr="00286D14">
        <w:t xml:space="preserve">considered to have a </w:t>
      </w:r>
      <w:r w:rsidR="00227448" w:rsidRPr="00090967">
        <w:t xml:space="preserve">poor statistical fit to the KM data </w:t>
      </w:r>
      <w:r w:rsidR="00227448">
        <w:t>with</w:t>
      </w:r>
      <w:r w:rsidR="004E5894" w:rsidRPr="00090967">
        <w:t xml:space="preserve"> </w:t>
      </w:r>
      <w:r w:rsidR="009923C4">
        <w:t>more</w:t>
      </w:r>
      <w:r w:rsidR="009923C4" w:rsidRPr="00090967">
        <w:t xml:space="preserve"> than </w:t>
      </w:r>
      <w:r w:rsidR="009923C4">
        <w:t>1</w:t>
      </w:r>
      <w:r w:rsidR="009923C4" w:rsidRPr="00090967">
        <w:t xml:space="preserve">5 AIC </w:t>
      </w:r>
      <w:r w:rsidR="009923C4">
        <w:t>and</w:t>
      </w:r>
      <w:r w:rsidR="009923C4" w:rsidRPr="00090967">
        <w:t xml:space="preserve"> BIC points from the </w:t>
      </w:r>
      <w:r w:rsidR="009923C4">
        <w:t>best fitting generalised gamma and log-normal curves</w:t>
      </w:r>
      <w:r w:rsidR="004E5894">
        <w:t>.</w:t>
      </w:r>
    </w:p>
    <w:p w14:paraId="13EE2644" w14:textId="6BDF0E45" w:rsidR="00872B95" w:rsidRPr="00143C3D" w:rsidRDefault="00D734BB" w:rsidP="00872B95">
      <w:pPr>
        <w:pStyle w:val="Body"/>
      </w:pPr>
      <w:r>
        <w:t xml:space="preserve">For the </w:t>
      </w:r>
      <w:r w:rsidR="005B7D58">
        <w:t xml:space="preserve">T-DXd </w:t>
      </w:r>
      <w:r w:rsidR="00872B95">
        <w:t>arm</w:t>
      </w:r>
      <w:r w:rsidR="00872B95" w:rsidRPr="00286D14">
        <w:t xml:space="preserve">, </w:t>
      </w:r>
      <w:r w:rsidR="005B7D58">
        <w:t>as with TPC</w:t>
      </w:r>
      <w:r w:rsidR="00872B95" w:rsidRPr="00286D14">
        <w:t>, t</w:t>
      </w:r>
      <w:r w:rsidR="00872B95" w:rsidRPr="00090967">
        <w:t xml:space="preserve">he </w:t>
      </w:r>
      <w:r w:rsidR="004E5894">
        <w:t xml:space="preserve">generalised gamma and </w:t>
      </w:r>
      <w:r w:rsidR="004E5894" w:rsidRPr="005D58CB">
        <w:t xml:space="preserve">log-normal </w:t>
      </w:r>
      <w:r w:rsidR="004E5894">
        <w:t xml:space="preserve">curves </w:t>
      </w:r>
      <w:r w:rsidR="004E5894" w:rsidRPr="00465611">
        <w:t xml:space="preserve">provide the best </w:t>
      </w:r>
      <w:r w:rsidR="004E5894" w:rsidRPr="005D58CB">
        <w:t xml:space="preserve">statistical </w:t>
      </w:r>
      <w:r w:rsidR="004E5894" w:rsidRPr="00465611">
        <w:t>fit</w:t>
      </w:r>
      <w:r w:rsidR="004E5894">
        <w:t xml:space="preserve"> </w:t>
      </w:r>
      <w:r w:rsidR="004E5894" w:rsidRPr="004E5894">
        <w:t xml:space="preserve">as they have the lowest AIC </w:t>
      </w:r>
      <w:r w:rsidR="004E5894">
        <w:t>and</w:t>
      </w:r>
      <w:r w:rsidR="004E5894" w:rsidRPr="004E5894">
        <w:t xml:space="preserve"> BIC values</w:t>
      </w:r>
      <w:r w:rsidR="004E5894">
        <w:t>, respectively.</w:t>
      </w:r>
      <w:r w:rsidR="005B7D58">
        <w:t xml:space="preserve"> </w:t>
      </w:r>
      <w:r w:rsidR="005267E2" w:rsidRPr="004E5894">
        <w:t>The log-logistic curve also provides a good statistical fit with the third lowest AIC and</w:t>
      </w:r>
      <w:r w:rsidR="00762A2E">
        <w:t xml:space="preserve"> second lowest</w:t>
      </w:r>
      <w:r w:rsidR="005267E2" w:rsidRPr="004E5894">
        <w:t xml:space="preserve"> BIC</w:t>
      </w:r>
      <w:r w:rsidR="005267E2">
        <w:t xml:space="preserve">, and the </w:t>
      </w:r>
      <w:r w:rsidR="00723F97">
        <w:t xml:space="preserve">Weibull </w:t>
      </w:r>
      <w:r w:rsidR="005267E2">
        <w:t xml:space="preserve">also </w:t>
      </w:r>
      <w:r w:rsidR="00723F97">
        <w:t>provides a good fit for the T-DXd arm.</w:t>
      </w:r>
      <w:r w:rsidR="005267E2" w:rsidRPr="005267E2">
        <w:t xml:space="preserve"> </w:t>
      </w:r>
      <w:r w:rsidR="005267E2">
        <w:t xml:space="preserve">The </w:t>
      </w:r>
      <w:r w:rsidR="005267E2" w:rsidRPr="00090967">
        <w:t>exponential</w:t>
      </w:r>
      <w:r w:rsidR="005267E2">
        <w:t xml:space="preserve"> </w:t>
      </w:r>
      <w:r w:rsidR="005267E2" w:rsidRPr="00090967">
        <w:t xml:space="preserve">and </w:t>
      </w:r>
      <w:r w:rsidR="005267E2">
        <w:t>Gompertz</w:t>
      </w:r>
      <w:r w:rsidR="005267E2" w:rsidRPr="00090967">
        <w:t xml:space="preserve"> curves were </w:t>
      </w:r>
      <w:r w:rsidR="005267E2" w:rsidRPr="00286D14">
        <w:t xml:space="preserve">considered to have a </w:t>
      </w:r>
      <w:r w:rsidR="005267E2" w:rsidRPr="00090967">
        <w:t>poor statistical fit to the KM data</w:t>
      </w:r>
      <w:r w:rsidR="005267E2">
        <w:t xml:space="preserve"> as they </w:t>
      </w:r>
      <w:r w:rsidR="005267E2" w:rsidRPr="00286D14">
        <w:t>we</w:t>
      </w:r>
      <w:r w:rsidR="005267E2" w:rsidRPr="00090967">
        <w:t xml:space="preserve">re more than 5 AIC </w:t>
      </w:r>
      <w:r w:rsidR="005267E2">
        <w:t>and</w:t>
      </w:r>
      <w:r w:rsidR="005267E2" w:rsidRPr="00090967">
        <w:t xml:space="preserve"> BIC points from the </w:t>
      </w:r>
      <w:r w:rsidR="00EB716D">
        <w:t xml:space="preserve">best fitting </w:t>
      </w:r>
      <w:r w:rsidR="005267E2">
        <w:t>generalised gamma and log-normal</w:t>
      </w:r>
      <w:r w:rsidR="005267E2" w:rsidRPr="00090967">
        <w:t xml:space="preserve"> curve</w:t>
      </w:r>
      <w:r w:rsidR="00EB716D">
        <w:t xml:space="preserve">s. </w:t>
      </w:r>
    </w:p>
    <w:p w14:paraId="065FA882" w14:textId="152F1C4E" w:rsidR="009D2304" w:rsidRPr="00143C3D" w:rsidRDefault="009D2304" w:rsidP="00872B95">
      <w:pPr>
        <w:pStyle w:val="Body"/>
      </w:pPr>
      <w:r>
        <w:t xml:space="preserve">Overall, </w:t>
      </w:r>
      <w:r w:rsidR="00501215">
        <w:t>the generalised gamma, log</w:t>
      </w:r>
      <w:r w:rsidR="00BB3B04">
        <w:t>-</w:t>
      </w:r>
      <w:r w:rsidR="00501215">
        <w:t>normal</w:t>
      </w:r>
      <w:r w:rsidR="00501215" w:rsidRPr="00090967">
        <w:t xml:space="preserve"> </w:t>
      </w:r>
      <w:r w:rsidR="00501215">
        <w:t xml:space="preserve">and log-logistic curves </w:t>
      </w:r>
      <w:r w:rsidR="00EB716D">
        <w:t xml:space="preserve">all </w:t>
      </w:r>
      <w:r w:rsidR="001664E2">
        <w:t>provided a good statistical fit for both T-DXd and TPC</w:t>
      </w:r>
      <w:r w:rsidR="00331A46" w:rsidRPr="005D58CB">
        <w:t xml:space="preserve"> arms</w:t>
      </w:r>
      <w:r w:rsidR="00331A46" w:rsidRPr="00465611">
        <w:t xml:space="preserve">. </w:t>
      </w:r>
    </w:p>
    <w:p w14:paraId="187BFF7C" w14:textId="67A4BACB" w:rsidR="00670187" w:rsidRPr="005D58CB" w:rsidRDefault="00670187" w:rsidP="00670187">
      <w:pPr>
        <w:pStyle w:val="Caption"/>
      </w:pPr>
      <w:bookmarkStart w:id="490" w:name="_Ref96104935"/>
      <w:bookmarkStart w:id="491" w:name="_Toc98924749"/>
      <w:bookmarkStart w:id="492" w:name="_Toc127006667"/>
      <w:bookmarkStart w:id="493" w:name="_Toc129351012"/>
      <w:r w:rsidRPr="00465611">
        <w:lastRenderedPageBreak/>
        <w:t xml:space="preserve">Table </w:t>
      </w:r>
      <w:r w:rsidRPr="00465611">
        <w:fldChar w:fldCharType="begin"/>
      </w:r>
      <w:r w:rsidRPr="00465611">
        <w:instrText>SEQ Table \* ARABIC</w:instrText>
      </w:r>
      <w:r w:rsidRPr="00465611">
        <w:fldChar w:fldCharType="separate"/>
      </w:r>
      <w:r w:rsidR="00145F42">
        <w:rPr>
          <w:noProof/>
        </w:rPr>
        <w:t>37</w:t>
      </w:r>
      <w:r w:rsidRPr="00465611">
        <w:fldChar w:fldCharType="end"/>
      </w:r>
      <w:bookmarkEnd w:id="490"/>
      <w:r w:rsidRPr="00465611">
        <w:t>: Statistical goodness-of-fit scores (PFS</w:t>
      </w:r>
      <w:bookmarkEnd w:id="491"/>
      <w:r w:rsidRPr="005D58CB">
        <w:t>, independent models</w:t>
      </w:r>
      <w:r w:rsidRPr="00465611">
        <w:t xml:space="preserve">) </w:t>
      </w:r>
      <w:r w:rsidRPr="005D58CB">
        <w:t>in the FAS population</w:t>
      </w:r>
      <w:bookmarkEnd w:id="492"/>
      <w:bookmarkEnd w:id="493"/>
      <w:r w:rsidRPr="005D58CB">
        <w:t xml:space="preserve">  </w:t>
      </w:r>
    </w:p>
    <w:tbl>
      <w:tblPr>
        <w:tblStyle w:val="TableGridLight"/>
        <w:tblW w:w="0" w:type="auto"/>
        <w:tblLayout w:type="fixed"/>
        <w:tblLook w:val="04A0" w:firstRow="1" w:lastRow="0" w:firstColumn="1" w:lastColumn="0" w:noHBand="0" w:noVBand="1"/>
      </w:tblPr>
      <w:tblGrid>
        <w:gridCol w:w="2563"/>
        <w:gridCol w:w="1518"/>
        <w:gridCol w:w="1519"/>
        <w:gridCol w:w="1519"/>
        <w:gridCol w:w="1519"/>
        <w:gridCol w:w="10"/>
      </w:tblGrid>
      <w:tr w:rsidR="00670187" w:rsidRPr="00034B85" w14:paraId="7B7CF35F" w14:textId="77777777" w:rsidTr="003C648C">
        <w:trPr>
          <w:cnfStyle w:val="100000000000" w:firstRow="1" w:lastRow="0" w:firstColumn="0" w:lastColumn="0" w:oddVBand="0" w:evenVBand="0" w:oddHBand="0" w:evenHBand="0" w:firstRowFirstColumn="0" w:firstRowLastColumn="0" w:lastRowFirstColumn="0" w:lastRowLastColumn="0"/>
          <w:trHeight w:val="291"/>
          <w:tblHeader/>
        </w:trPr>
        <w:tc>
          <w:tcPr>
            <w:tcW w:w="2563" w:type="dxa"/>
            <w:vMerge w:val="restart"/>
          </w:tcPr>
          <w:p w14:paraId="6804E4ED" w14:textId="77777777" w:rsidR="00670187" w:rsidRPr="00DB1119" w:rsidRDefault="00670187">
            <w:pPr>
              <w:pStyle w:val="NICETableHeader"/>
              <w:rPr>
                <w:rFonts w:cs="Arial"/>
                <w:b/>
                <w:bCs/>
              </w:rPr>
            </w:pPr>
            <w:r w:rsidRPr="00DB1119">
              <w:rPr>
                <w:b/>
              </w:rPr>
              <w:t>Model</w:t>
            </w:r>
          </w:p>
        </w:tc>
        <w:tc>
          <w:tcPr>
            <w:tcW w:w="0" w:type="dxa"/>
            <w:gridSpan w:val="2"/>
            <w:vAlign w:val="center"/>
          </w:tcPr>
          <w:p w14:paraId="72666A1E" w14:textId="77777777" w:rsidR="00A416C7" w:rsidRPr="00660736" w:rsidRDefault="00A416C7">
            <w:pPr>
              <w:pStyle w:val="NICETableHeader"/>
              <w:jc w:val="center"/>
              <w:rPr>
                <w:rFonts w:cs="Arial"/>
                <w:b/>
              </w:rPr>
            </w:pPr>
            <w:r w:rsidRPr="00156C83">
              <w:rPr>
                <w:rFonts w:cs="Arial"/>
              </w:rPr>
              <w:t>TPC</w:t>
            </w:r>
          </w:p>
        </w:tc>
        <w:tc>
          <w:tcPr>
            <w:tcW w:w="0" w:type="dxa"/>
            <w:gridSpan w:val="3"/>
            <w:vAlign w:val="center"/>
          </w:tcPr>
          <w:p w14:paraId="38DE0DA0" w14:textId="77777777" w:rsidR="00A416C7" w:rsidRPr="00DB1119" w:rsidRDefault="00A416C7">
            <w:pPr>
              <w:pStyle w:val="NICETableHeader"/>
              <w:jc w:val="center"/>
              <w:rPr>
                <w:rFonts w:cs="Arial"/>
                <w:b/>
                <w:bCs/>
              </w:rPr>
            </w:pPr>
            <w:r w:rsidRPr="00DB1119">
              <w:rPr>
                <w:rFonts w:cs="Arial"/>
                <w:b/>
                <w:bCs/>
              </w:rPr>
              <w:t>T-DXd</w:t>
            </w:r>
          </w:p>
        </w:tc>
      </w:tr>
      <w:tr w:rsidR="00670187" w:rsidRPr="00034B85" w14:paraId="5A4BEAB0" w14:textId="77777777" w:rsidTr="003C648C">
        <w:trPr>
          <w:gridAfter w:val="1"/>
          <w:cnfStyle w:val="100000000000" w:firstRow="1" w:lastRow="0" w:firstColumn="0" w:lastColumn="0" w:oddVBand="0" w:evenVBand="0" w:oddHBand="0" w:evenHBand="0" w:firstRowFirstColumn="0" w:firstRowLastColumn="0" w:lastRowFirstColumn="0" w:lastRowLastColumn="0"/>
          <w:wAfter w:w="10" w:type="dxa"/>
          <w:trHeight w:val="147"/>
          <w:tblHeader/>
        </w:trPr>
        <w:tc>
          <w:tcPr>
            <w:tcW w:w="2563" w:type="dxa"/>
            <w:vMerge/>
          </w:tcPr>
          <w:p w14:paraId="039178A1" w14:textId="77777777" w:rsidR="00670187" w:rsidRPr="00DB1119" w:rsidRDefault="00670187">
            <w:pPr>
              <w:pStyle w:val="NICETableHeader"/>
              <w:rPr>
                <w:b/>
              </w:rPr>
            </w:pPr>
          </w:p>
        </w:tc>
        <w:tc>
          <w:tcPr>
            <w:tcW w:w="1518" w:type="dxa"/>
            <w:vAlign w:val="center"/>
          </w:tcPr>
          <w:p w14:paraId="7ECD685D" w14:textId="77777777" w:rsidR="00670187" w:rsidRPr="00DB1119" w:rsidRDefault="00670187">
            <w:pPr>
              <w:pStyle w:val="NICETableHeader"/>
              <w:jc w:val="center"/>
              <w:rPr>
                <w:bCs/>
              </w:rPr>
            </w:pPr>
            <w:r w:rsidRPr="00DB1119">
              <w:rPr>
                <w:b/>
              </w:rPr>
              <w:t>AIC</w:t>
            </w:r>
          </w:p>
        </w:tc>
        <w:tc>
          <w:tcPr>
            <w:tcW w:w="1519" w:type="dxa"/>
            <w:vAlign w:val="center"/>
          </w:tcPr>
          <w:p w14:paraId="2929BA9D" w14:textId="77777777" w:rsidR="00670187" w:rsidRPr="00DB1119" w:rsidRDefault="00670187">
            <w:pPr>
              <w:pStyle w:val="NICETableHeader"/>
              <w:jc w:val="center"/>
              <w:rPr>
                <w:bCs/>
              </w:rPr>
            </w:pPr>
            <w:r w:rsidRPr="00DB1119">
              <w:rPr>
                <w:b/>
              </w:rPr>
              <w:t>BIC</w:t>
            </w:r>
          </w:p>
        </w:tc>
        <w:tc>
          <w:tcPr>
            <w:tcW w:w="1519" w:type="dxa"/>
            <w:vAlign w:val="center"/>
          </w:tcPr>
          <w:p w14:paraId="3ED5056F" w14:textId="77777777" w:rsidR="00670187" w:rsidRPr="00DB1119" w:rsidRDefault="00670187">
            <w:pPr>
              <w:pStyle w:val="NICETableHeader"/>
              <w:jc w:val="center"/>
              <w:rPr>
                <w:b/>
                <w:bCs/>
              </w:rPr>
            </w:pPr>
            <w:r w:rsidRPr="00DB1119">
              <w:rPr>
                <w:b/>
                <w:bCs/>
              </w:rPr>
              <w:t>AIC</w:t>
            </w:r>
          </w:p>
        </w:tc>
        <w:tc>
          <w:tcPr>
            <w:tcW w:w="1519" w:type="dxa"/>
            <w:vAlign w:val="center"/>
          </w:tcPr>
          <w:p w14:paraId="0D3E466C" w14:textId="77777777" w:rsidR="00670187" w:rsidRPr="00DB1119" w:rsidRDefault="00670187">
            <w:pPr>
              <w:pStyle w:val="NICETableHeader"/>
              <w:jc w:val="center"/>
              <w:rPr>
                <w:b/>
                <w:bCs/>
              </w:rPr>
            </w:pPr>
            <w:r w:rsidRPr="00DB1119">
              <w:rPr>
                <w:b/>
                <w:bCs/>
              </w:rPr>
              <w:t>BIC</w:t>
            </w:r>
          </w:p>
        </w:tc>
      </w:tr>
      <w:tr w:rsidR="00670187" w:rsidRPr="00034B85" w14:paraId="7D528482" w14:textId="77777777" w:rsidTr="003C648C">
        <w:trPr>
          <w:gridAfter w:val="1"/>
          <w:wAfter w:w="10" w:type="dxa"/>
          <w:trHeight w:val="351"/>
        </w:trPr>
        <w:tc>
          <w:tcPr>
            <w:tcW w:w="2563" w:type="dxa"/>
            <w:vAlign w:val="center"/>
          </w:tcPr>
          <w:p w14:paraId="2D775B2C" w14:textId="77777777" w:rsidR="00670187" w:rsidRPr="00DB1119" w:rsidRDefault="00670187" w:rsidP="003C648C">
            <w:pPr>
              <w:pStyle w:val="NICETabletext"/>
              <w:jc w:val="center"/>
              <w:rPr>
                <w:rFonts w:cs="Arial"/>
              </w:rPr>
            </w:pPr>
            <w:r w:rsidRPr="00DB1119">
              <w:rPr>
                <w:rFonts w:cs="Arial"/>
              </w:rPr>
              <w:t>Exponential</w:t>
            </w:r>
          </w:p>
        </w:tc>
        <w:tc>
          <w:tcPr>
            <w:tcW w:w="1518" w:type="dxa"/>
            <w:vAlign w:val="center"/>
          </w:tcPr>
          <w:p w14:paraId="56F17CC7" w14:textId="77777777" w:rsidR="00670187" w:rsidRPr="00C67C0A" w:rsidRDefault="00670187">
            <w:pPr>
              <w:pStyle w:val="NICETabletext"/>
              <w:jc w:val="center"/>
              <w:rPr>
                <w:rFonts w:cs="Arial"/>
                <w:szCs w:val="20"/>
              </w:rPr>
            </w:pPr>
            <w:r w:rsidRPr="00C67C0A">
              <w:rPr>
                <w:rFonts w:cs="Arial"/>
                <w:szCs w:val="20"/>
              </w:rPr>
              <w:t>774.26</w:t>
            </w:r>
          </w:p>
        </w:tc>
        <w:tc>
          <w:tcPr>
            <w:tcW w:w="1519" w:type="dxa"/>
            <w:vAlign w:val="center"/>
          </w:tcPr>
          <w:p w14:paraId="094CB750" w14:textId="77777777" w:rsidR="00670187" w:rsidRPr="00C67C0A" w:rsidRDefault="00670187">
            <w:pPr>
              <w:pStyle w:val="NICETabletext"/>
              <w:jc w:val="center"/>
              <w:rPr>
                <w:rFonts w:cs="Arial"/>
                <w:szCs w:val="20"/>
              </w:rPr>
            </w:pPr>
            <w:r w:rsidRPr="00C67C0A">
              <w:rPr>
                <w:rFonts w:cs="Arial"/>
                <w:szCs w:val="20"/>
              </w:rPr>
              <w:t>777.47</w:t>
            </w:r>
          </w:p>
        </w:tc>
        <w:tc>
          <w:tcPr>
            <w:tcW w:w="1519" w:type="dxa"/>
            <w:vAlign w:val="center"/>
          </w:tcPr>
          <w:p w14:paraId="1559ACC6" w14:textId="77777777" w:rsidR="00670187" w:rsidRPr="00C67C0A" w:rsidRDefault="00670187">
            <w:pPr>
              <w:pStyle w:val="NICETabletext"/>
              <w:jc w:val="center"/>
              <w:rPr>
                <w:rFonts w:cs="Arial"/>
                <w:szCs w:val="20"/>
              </w:rPr>
            </w:pPr>
            <w:r w:rsidRPr="00C67C0A">
              <w:rPr>
                <w:rFonts w:cs="Arial"/>
                <w:szCs w:val="20"/>
              </w:rPr>
              <w:t>1793.22</w:t>
            </w:r>
          </w:p>
        </w:tc>
        <w:tc>
          <w:tcPr>
            <w:tcW w:w="1519" w:type="dxa"/>
            <w:vAlign w:val="center"/>
          </w:tcPr>
          <w:p w14:paraId="2C45F209" w14:textId="77777777" w:rsidR="00670187" w:rsidRPr="00C67C0A" w:rsidRDefault="00670187">
            <w:pPr>
              <w:pStyle w:val="NICETabletext"/>
              <w:jc w:val="center"/>
              <w:rPr>
                <w:rFonts w:cs="Arial"/>
                <w:szCs w:val="20"/>
              </w:rPr>
            </w:pPr>
            <w:r w:rsidRPr="00C67C0A">
              <w:rPr>
                <w:rFonts w:cs="Arial"/>
                <w:szCs w:val="20"/>
              </w:rPr>
              <w:t>1797.14</w:t>
            </w:r>
          </w:p>
        </w:tc>
      </w:tr>
      <w:tr w:rsidR="00670187" w:rsidRPr="00034B85" w14:paraId="270D6087" w14:textId="77777777" w:rsidTr="003C648C">
        <w:trPr>
          <w:gridAfter w:val="1"/>
          <w:wAfter w:w="10" w:type="dxa"/>
          <w:trHeight w:val="351"/>
        </w:trPr>
        <w:tc>
          <w:tcPr>
            <w:tcW w:w="2563" w:type="dxa"/>
            <w:vAlign w:val="center"/>
          </w:tcPr>
          <w:p w14:paraId="61B261DD" w14:textId="77777777" w:rsidR="00670187" w:rsidRPr="00DB1119" w:rsidRDefault="00670187" w:rsidP="003C648C">
            <w:pPr>
              <w:pStyle w:val="NICETabletext"/>
              <w:jc w:val="center"/>
              <w:rPr>
                <w:rFonts w:cs="Arial"/>
              </w:rPr>
            </w:pPr>
            <w:r w:rsidRPr="00DB1119">
              <w:rPr>
                <w:rFonts w:cs="Arial"/>
              </w:rPr>
              <w:t>Weibull</w:t>
            </w:r>
          </w:p>
        </w:tc>
        <w:tc>
          <w:tcPr>
            <w:tcW w:w="1518" w:type="dxa"/>
            <w:vAlign w:val="center"/>
          </w:tcPr>
          <w:p w14:paraId="13615832" w14:textId="77777777" w:rsidR="00670187" w:rsidRPr="00C67C0A" w:rsidRDefault="00670187">
            <w:pPr>
              <w:pStyle w:val="NICETabletext"/>
              <w:jc w:val="center"/>
              <w:rPr>
                <w:rFonts w:cs="Arial"/>
                <w:szCs w:val="20"/>
              </w:rPr>
            </w:pPr>
            <w:r w:rsidRPr="00C67C0A">
              <w:rPr>
                <w:rFonts w:cs="Arial"/>
                <w:szCs w:val="20"/>
              </w:rPr>
              <w:t>773.77</w:t>
            </w:r>
          </w:p>
        </w:tc>
        <w:tc>
          <w:tcPr>
            <w:tcW w:w="1519" w:type="dxa"/>
            <w:vAlign w:val="center"/>
          </w:tcPr>
          <w:p w14:paraId="188121C6" w14:textId="77777777" w:rsidR="00670187" w:rsidRPr="00C67C0A" w:rsidRDefault="00670187">
            <w:pPr>
              <w:pStyle w:val="NICETabletext"/>
              <w:jc w:val="center"/>
              <w:rPr>
                <w:rFonts w:cs="Arial"/>
                <w:szCs w:val="20"/>
              </w:rPr>
            </w:pPr>
            <w:r w:rsidRPr="00C67C0A">
              <w:rPr>
                <w:rFonts w:cs="Arial"/>
                <w:szCs w:val="20"/>
              </w:rPr>
              <w:t>780.20</w:t>
            </w:r>
          </w:p>
        </w:tc>
        <w:tc>
          <w:tcPr>
            <w:tcW w:w="1519" w:type="dxa"/>
            <w:vAlign w:val="center"/>
          </w:tcPr>
          <w:p w14:paraId="7976E41E" w14:textId="77777777" w:rsidR="00670187" w:rsidRPr="00C67C0A" w:rsidRDefault="00670187">
            <w:pPr>
              <w:pStyle w:val="NICETabletext"/>
              <w:jc w:val="center"/>
              <w:rPr>
                <w:rFonts w:cs="Arial"/>
                <w:szCs w:val="20"/>
              </w:rPr>
            </w:pPr>
            <w:r w:rsidRPr="00C67C0A">
              <w:rPr>
                <w:rFonts w:cs="Arial"/>
                <w:szCs w:val="20"/>
              </w:rPr>
              <w:t>1784.94</w:t>
            </w:r>
          </w:p>
        </w:tc>
        <w:tc>
          <w:tcPr>
            <w:tcW w:w="1519" w:type="dxa"/>
            <w:vAlign w:val="center"/>
          </w:tcPr>
          <w:p w14:paraId="611A4683" w14:textId="77777777" w:rsidR="00670187" w:rsidRPr="00C67C0A" w:rsidRDefault="00670187">
            <w:pPr>
              <w:pStyle w:val="NICETabletext"/>
              <w:jc w:val="center"/>
              <w:rPr>
                <w:rFonts w:cs="Arial"/>
                <w:szCs w:val="20"/>
              </w:rPr>
            </w:pPr>
            <w:r w:rsidRPr="00C67C0A">
              <w:rPr>
                <w:rFonts w:cs="Arial"/>
                <w:szCs w:val="20"/>
              </w:rPr>
              <w:t>1792.78</w:t>
            </w:r>
          </w:p>
        </w:tc>
      </w:tr>
      <w:tr w:rsidR="00670187" w:rsidRPr="00034B85" w14:paraId="7330DBD5" w14:textId="77777777" w:rsidTr="003C648C">
        <w:trPr>
          <w:gridAfter w:val="1"/>
          <w:wAfter w:w="10" w:type="dxa"/>
          <w:trHeight w:val="351"/>
        </w:trPr>
        <w:tc>
          <w:tcPr>
            <w:tcW w:w="2563" w:type="dxa"/>
            <w:vAlign w:val="center"/>
          </w:tcPr>
          <w:p w14:paraId="473CF2EF" w14:textId="77777777" w:rsidR="00670187" w:rsidRPr="00DB1119" w:rsidRDefault="00670187" w:rsidP="003C648C">
            <w:pPr>
              <w:pStyle w:val="NICETabletext"/>
              <w:jc w:val="center"/>
              <w:rPr>
                <w:rFonts w:cs="Arial"/>
              </w:rPr>
            </w:pPr>
            <w:r w:rsidRPr="00DB1119">
              <w:rPr>
                <w:rFonts w:cs="Arial"/>
              </w:rPr>
              <w:t>Gompertz</w:t>
            </w:r>
          </w:p>
        </w:tc>
        <w:tc>
          <w:tcPr>
            <w:tcW w:w="1518" w:type="dxa"/>
            <w:vAlign w:val="center"/>
          </w:tcPr>
          <w:p w14:paraId="08409724" w14:textId="77777777" w:rsidR="00670187" w:rsidRPr="00C67C0A" w:rsidRDefault="00670187">
            <w:pPr>
              <w:pStyle w:val="NICETabletext"/>
              <w:jc w:val="center"/>
              <w:rPr>
                <w:rFonts w:cs="Arial"/>
                <w:szCs w:val="20"/>
              </w:rPr>
            </w:pPr>
            <w:r w:rsidRPr="00C67C0A">
              <w:rPr>
                <w:rFonts w:cs="Arial"/>
                <w:szCs w:val="20"/>
              </w:rPr>
              <w:t>776.20</w:t>
            </w:r>
          </w:p>
        </w:tc>
        <w:tc>
          <w:tcPr>
            <w:tcW w:w="1519" w:type="dxa"/>
            <w:vAlign w:val="center"/>
          </w:tcPr>
          <w:p w14:paraId="30F2EB2A" w14:textId="77777777" w:rsidR="00670187" w:rsidRPr="00C67C0A" w:rsidRDefault="00670187">
            <w:pPr>
              <w:pStyle w:val="NICETabletext"/>
              <w:jc w:val="center"/>
              <w:rPr>
                <w:rFonts w:cs="Arial"/>
                <w:szCs w:val="20"/>
              </w:rPr>
            </w:pPr>
            <w:r w:rsidRPr="00C67C0A">
              <w:rPr>
                <w:rFonts w:cs="Arial"/>
                <w:szCs w:val="20"/>
              </w:rPr>
              <w:t>782.63</w:t>
            </w:r>
          </w:p>
        </w:tc>
        <w:tc>
          <w:tcPr>
            <w:tcW w:w="1519" w:type="dxa"/>
            <w:vAlign w:val="center"/>
          </w:tcPr>
          <w:p w14:paraId="6089499C" w14:textId="77777777" w:rsidR="00670187" w:rsidRPr="00C67C0A" w:rsidRDefault="00670187">
            <w:pPr>
              <w:pStyle w:val="NICETabletext"/>
              <w:jc w:val="center"/>
              <w:rPr>
                <w:rFonts w:cs="Arial"/>
                <w:szCs w:val="20"/>
              </w:rPr>
            </w:pPr>
            <w:r w:rsidRPr="00C67C0A">
              <w:rPr>
                <w:rFonts w:cs="Arial"/>
                <w:szCs w:val="20"/>
              </w:rPr>
              <w:t>1791.19</w:t>
            </w:r>
          </w:p>
        </w:tc>
        <w:tc>
          <w:tcPr>
            <w:tcW w:w="1519" w:type="dxa"/>
            <w:vAlign w:val="center"/>
          </w:tcPr>
          <w:p w14:paraId="0DD9D6BE" w14:textId="77777777" w:rsidR="00670187" w:rsidRPr="00C67C0A" w:rsidRDefault="00670187">
            <w:pPr>
              <w:pStyle w:val="NICETabletext"/>
              <w:jc w:val="center"/>
              <w:rPr>
                <w:rFonts w:cs="Arial"/>
                <w:szCs w:val="20"/>
              </w:rPr>
            </w:pPr>
            <w:r w:rsidRPr="00C67C0A">
              <w:rPr>
                <w:rFonts w:cs="Arial"/>
                <w:szCs w:val="20"/>
              </w:rPr>
              <w:t>1799.03</w:t>
            </w:r>
          </w:p>
        </w:tc>
      </w:tr>
      <w:tr w:rsidR="00670187" w:rsidRPr="00034B85" w14:paraId="54D6658C" w14:textId="77777777" w:rsidTr="003C648C">
        <w:trPr>
          <w:gridAfter w:val="1"/>
          <w:wAfter w:w="10" w:type="dxa"/>
          <w:trHeight w:val="351"/>
        </w:trPr>
        <w:tc>
          <w:tcPr>
            <w:tcW w:w="2563" w:type="dxa"/>
            <w:vAlign w:val="center"/>
          </w:tcPr>
          <w:p w14:paraId="346E7018" w14:textId="77777777" w:rsidR="00670187" w:rsidRPr="00DB1119" w:rsidRDefault="00670187" w:rsidP="003C648C">
            <w:pPr>
              <w:pStyle w:val="NICETabletext"/>
              <w:jc w:val="center"/>
              <w:rPr>
                <w:rFonts w:cs="Arial"/>
              </w:rPr>
            </w:pPr>
            <w:r w:rsidRPr="00DB1119">
              <w:rPr>
                <w:rFonts w:cs="Arial"/>
              </w:rPr>
              <w:t>Log-logistic</w:t>
            </w:r>
          </w:p>
        </w:tc>
        <w:tc>
          <w:tcPr>
            <w:tcW w:w="1518" w:type="dxa"/>
            <w:vAlign w:val="center"/>
          </w:tcPr>
          <w:p w14:paraId="0BCF09FC" w14:textId="77777777" w:rsidR="00670187" w:rsidRPr="00C67C0A" w:rsidRDefault="00670187">
            <w:pPr>
              <w:pStyle w:val="NICETabletext"/>
              <w:jc w:val="center"/>
              <w:rPr>
                <w:rFonts w:cs="Arial"/>
                <w:szCs w:val="20"/>
              </w:rPr>
            </w:pPr>
            <w:r w:rsidRPr="00C67C0A">
              <w:rPr>
                <w:rFonts w:cs="Arial"/>
                <w:szCs w:val="20"/>
              </w:rPr>
              <w:t>761.91</w:t>
            </w:r>
          </w:p>
        </w:tc>
        <w:tc>
          <w:tcPr>
            <w:tcW w:w="1519" w:type="dxa"/>
            <w:vAlign w:val="center"/>
          </w:tcPr>
          <w:p w14:paraId="20BEC40B" w14:textId="77777777" w:rsidR="00670187" w:rsidRPr="00C67C0A" w:rsidRDefault="00670187">
            <w:pPr>
              <w:pStyle w:val="NICETabletext"/>
              <w:jc w:val="center"/>
              <w:rPr>
                <w:rFonts w:cs="Arial"/>
                <w:szCs w:val="20"/>
              </w:rPr>
            </w:pPr>
            <w:r w:rsidRPr="00C67C0A">
              <w:rPr>
                <w:rFonts w:cs="Arial"/>
                <w:szCs w:val="20"/>
              </w:rPr>
              <w:t>768.34</w:t>
            </w:r>
          </w:p>
        </w:tc>
        <w:tc>
          <w:tcPr>
            <w:tcW w:w="1519" w:type="dxa"/>
            <w:vAlign w:val="center"/>
          </w:tcPr>
          <w:p w14:paraId="5A4EDDE2" w14:textId="77777777" w:rsidR="00670187" w:rsidRPr="00C67C0A" w:rsidRDefault="00670187">
            <w:pPr>
              <w:pStyle w:val="NICETabletext"/>
              <w:jc w:val="center"/>
              <w:rPr>
                <w:rFonts w:cs="Arial"/>
                <w:szCs w:val="20"/>
              </w:rPr>
            </w:pPr>
            <w:r w:rsidRPr="00C67C0A">
              <w:rPr>
                <w:rFonts w:cs="Arial"/>
                <w:szCs w:val="20"/>
              </w:rPr>
              <w:t>1783.60</w:t>
            </w:r>
          </w:p>
        </w:tc>
        <w:tc>
          <w:tcPr>
            <w:tcW w:w="1519" w:type="dxa"/>
            <w:vAlign w:val="center"/>
          </w:tcPr>
          <w:p w14:paraId="1EA31D6A" w14:textId="77777777" w:rsidR="00670187" w:rsidRPr="00C67C0A" w:rsidRDefault="00670187">
            <w:pPr>
              <w:pStyle w:val="NICETabletext"/>
              <w:jc w:val="center"/>
              <w:rPr>
                <w:rFonts w:cs="Arial"/>
                <w:szCs w:val="20"/>
              </w:rPr>
            </w:pPr>
            <w:r w:rsidRPr="00C67C0A">
              <w:rPr>
                <w:rFonts w:cs="Arial"/>
                <w:szCs w:val="20"/>
              </w:rPr>
              <w:t>1791.44</w:t>
            </w:r>
          </w:p>
        </w:tc>
      </w:tr>
      <w:tr w:rsidR="00670187" w:rsidRPr="00034B85" w14:paraId="78C33BF0" w14:textId="77777777" w:rsidTr="003C648C">
        <w:trPr>
          <w:gridAfter w:val="1"/>
          <w:wAfter w:w="10" w:type="dxa"/>
          <w:trHeight w:val="351"/>
        </w:trPr>
        <w:tc>
          <w:tcPr>
            <w:tcW w:w="2563" w:type="dxa"/>
            <w:vAlign w:val="center"/>
          </w:tcPr>
          <w:p w14:paraId="4002956F" w14:textId="77777777" w:rsidR="00670187" w:rsidRPr="00DB1119" w:rsidRDefault="00670187" w:rsidP="003C648C">
            <w:pPr>
              <w:pStyle w:val="NICETabletext"/>
              <w:jc w:val="center"/>
              <w:rPr>
                <w:rFonts w:cs="Arial"/>
              </w:rPr>
            </w:pPr>
            <w:r w:rsidRPr="00DB1119">
              <w:rPr>
                <w:rFonts w:cs="Arial"/>
              </w:rPr>
              <w:t>Log-normal</w:t>
            </w:r>
          </w:p>
        </w:tc>
        <w:tc>
          <w:tcPr>
            <w:tcW w:w="1518" w:type="dxa"/>
            <w:vAlign w:val="center"/>
          </w:tcPr>
          <w:p w14:paraId="3E2B9A8B" w14:textId="77777777" w:rsidR="00670187" w:rsidRPr="00C67C0A" w:rsidRDefault="00670187">
            <w:pPr>
              <w:pStyle w:val="NICETabletext"/>
              <w:jc w:val="center"/>
              <w:rPr>
                <w:rFonts w:cs="Arial"/>
                <w:szCs w:val="20"/>
              </w:rPr>
            </w:pPr>
            <w:r w:rsidRPr="00C67C0A">
              <w:rPr>
                <w:rFonts w:cs="Arial"/>
                <w:szCs w:val="20"/>
              </w:rPr>
              <w:t>755.24</w:t>
            </w:r>
          </w:p>
        </w:tc>
        <w:tc>
          <w:tcPr>
            <w:tcW w:w="1519" w:type="dxa"/>
            <w:vAlign w:val="center"/>
          </w:tcPr>
          <w:p w14:paraId="29D48A75" w14:textId="77777777" w:rsidR="00670187" w:rsidRPr="00C67C0A" w:rsidRDefault="00670187">
            <w:pPr>
              <w:pStyle w:val="NICETabletext"/>
              <w:jc w:val="center"/>
              <w:rPr>
                <w:rFonts w:cs="Arial"/>
                <w:b/>
                <w:szCs w:val="20"/>
              </w:rPr>
            </w:pPr>
            <w:r w:rsidRPr="00C67C0A">
              <w:rPr>
                <w:rFonts w:cs="Arial"/>
                <w:b/>
                <w:szCs w:val="20"/>
              </w:rPr>
              <w:t>761.67</w:t>
            </w:r>
          </w:p>
        </w:tc>
        <w:tc>
          <w:tcPr>
            <w:tcW w:w="1519" w:type="dxa"/>
            <w:vAlign w:val="center"/>
          </w:tcPr>
          <w:p w14:paraId="2DFF2653" w14:textId="77777777" w:rsidR="00670187" w:rsidRPr="00C67C0A" w:rsidRDefault="00670187">
            <w:pPr>
              <w:pStyle w:val="NICETabletext"/>
              <w:jc w:val="center"/>
              <w:rPr>
                <w:rFonts w:cs="Arial"/>
                <w:szCs w:val="20"/>
              </w:rPr>
            </w:pPr>
            <w:r w:rsidRPr="00C67C0A">
              <w:rPr>
                <w:rFonts w:cs="Arial"/>
                <w:szCs w:val="20"/>
              </w:rPr>
              <w:t>1782.50</w:t>
            </w:r>
          </w:p>
        </w:tc>
        <w:tc>
          <w:tcPr>
            <w:tcW w:w="1519" w:type="dxa"/>
            <w:vAlign w:val="center"/>
          </w:tcPr>
          <w:p w14:paraId="306E1213" w14:textId="77777777" w:rsidR="00670187" w:rsidRPr="00C67C0A" w:rsidRDefault="00670187">
            <w:pPr>
              <w:pStyle w:val="NICETabletext"/>
              <w:jc w:val="center"/>
              <w:rPr>
                <w:rFonts w:cs="Arial"/>
                <w:b/>
                <w:szCs w:val="20"/>
              </w:rPr>
            </w:pPr>
            <w:r w:rsidRPr="00C67C0A">
              <w:rPr>
                <w:rFonts w:cs="Arial"/>
                <w:b/>
                <w:szCs w:val="20"/>
              </w:rPr>
              <w:t>1790.35</w:t>
            </w:r>
          </w:p>
        </w:tc>
      </w:tr>
      <w:tr w:rsidR="00670187" w:rsidRPr="00034B85" w14:paraId="7474C406" w14:textId="77777777" w:rsidTr="003C648C">
        <w:trPr>
          <w:gridAfter w:val="1"/>
          <w:wAfter w:w="10" w:type="dxa"/>
          <w:trHeight w:val="351"/>
        </w:trPr>
        <w:tc>
          <w:tcPr>
            <w:tcW w:w="2563" w:type="dxa"/>
            <w:vAlign w:val="center"/>
          </w:tcPr>
          <w:p w14:paraId="74DF638A" w14:textId="77777777" w:rsidR="00670187" w:rsidRPr="00DB1119" w:rsidRDefault="00670187" w:rsidP="003C648C">
            <w:pPr>
              <w:pStyle w:val="NICETabletext"/>
              <w:jc w:val="center"/>
              <w:rPr>
                <w:rFonts w:cs="Arial"/>
              </w:rPr>
            </w:pPr>
            <w:r w:rsidRPr="00DB1119">
              <w:rPr>
                <w:rFonts w:cs="Arial"/>
              </w:rPr>
              <w:t>Generalised gamma</w:t>
            </w:r>
          </w:p>
        </w:tc>
        <w:tc>
          <w:tcPr>
            <w:tcW w:w="1518" w:type="dxa"/>
            <w:vAlign w:val="center"/>
          </w:tcPr>
          <w:p w14:paraId="38FAA0FD" w14:textId="77777777" w:rsidR="00670187" w:rsidRPr="00C67C0A" w:rsidRDefault="00670187">
            <w:pPr>
              <w:pStyle w:val="NICETabletext"/>
              <w:jc w:val="center"/>
              <w:rPr>
                <w:rFonts w:cs="Arial"/>
                <w:b/>
                <w:szCs w:val="20"/>
              </w:rPr>
            </w:pPr>
            <w:r w:rsidRPr="00C67C0A">
              <w:rPr>
                <w:rFonts w:cs="Arial"/>
                <w:b/>
                <w:szCs w:val="20"/>
              </w:rPr>
              <w:t>754.84</w:t>
            </w:r>
          </w:p>
        </w:tc>
        <w:tc>
          <w:tcPr>
            <w:tcW w:w="1519" w:type="dxa"/>
            <w:vAlign w:val="center"/>
          </w:tcPr>
          <w:p w14:paraId="01FEED7E" w14:textId="77777777" w:rsidR="00670187" w:rsidRPr="00C67C0A" w:rsidRDefault="00670187">
            <w:pPr>
              <w:pStyle w:val="NICETabletext"/>
              <w:jc w:val="center"/>
              <w:rPr>
                <w:rFonts w:cs="Arial"/>
                <w:szCs w:val="20"/>
              </w:rPr>
            </w:pPr>
            <w:r w:rsidRPr="00C67C0A">
              <w:rPr>
                <w:rFonts w:cs="Arial"/>
                <w:szCs w:val="20"/>
              </w:rPr>
              <w:t>764.48</w:t>
            </w:r>
          </w:p>
        </w:tc>
        <w:tc>
          <w:tcPr>
            <w:tcW w:w="1519" w:type="dxa"/>
            <w:vAlign w:val="center"/>
          </w:tcPr>
          <w:p w14:paraId="411BE46A" w14:textId="77777777" w:rsidR="00670187" w:rsidRPr="00C67C0A" w:rsidRDefault="00670187">
            <w:pPr>
              <w:pStyle w:val="NICETabletext"/>
              <w:jc w:val="center"/>
              <w:rPr>
                <w:rFonts w:cs="Arial"/>
                <w:b/>
                <w:szCs w:val="20"/>
              </w:rPr>
            </w:pPr>
            <w:r w:rsidRPr="00C67C0A">
              <w:rPr>
                <w:rFonts w:cs="Arial"/>
                <w:b/>
                <w:szCs w:val="20"/>
              </w:rPr>
              <w:t>1781.29</w:t>
            </w:r>
          </w:p>
        </w:tc>
        <w:tc>
          <w:tcPr>
            <w:tcW w:w="1519" w:type="dxa"/>
            <w:vAlign w:val="center"/>
          </w:tcPr>
          <w:p w14:paraId="66167FB6" w14:textId="77777777" w:rsidR="00670187" w:rsidRPr="00C67C0A" w:rsidRDefault="00670187">
            <w:pPr>
              <w:pStyle w:val="NICETabletext"/>
              <w:jc w:val="center"/>
              <w:rPr>
                <w:rFonts w:cs="Arial"/>
                <w:szCs w:val="20"/>
              </w:rPr>
            </w:pPr>
            <w:r w:rsidRPr="00C67C0A">
              <w:rPr>
                <w:rFonts w:cs="Arial"/>
                <w:szCs w:val="20"/>
              </w:rPr>
              <w:t>1793.06</w:t>
            </w:r>
          </w:p>
        </w:tc>
      </w:tr>
    </w:tbl>
    <w:p w14:paraId="3E910853" w14:textId="77777777" w:rsidR="00670187" w:rsidRDefault="00670187" w:rsidP="00670187">
      <w:pPr>
        <w:pStyle w:val="Footnotes"/>
        <w:keepNext/>
        <w:spacing w:after="0"/>
      </w:pPr>
      <w:r w:rsidRPr="00AD3FB6">
        <w:rPr>
          <w:b/>
        </w:rPr>
        <w:t>Bold indicates best statistical fit</w:t>
      </w:r>
      <w:r>
        <w:t xml:space="preserve"> </w:t>
      </w:r>
    </w:p>
    <w:p w14:paraId="5CF93297" w14:textId="77777777" w:rsidR="00670187" w:rsidRPr="006F30AB" w:rsidRDefault="00670187" w:rsidP="00670187">
      <w:pPr>
        <w:pStyle w:val="Footnotes"/>
        <w:keepNext/>
        <w:spacing w:after="240"/>
      </w:pPr>
      <w:r>
        <w:t xml:space="preserve">Abbreviations: AIC, </w:t>
      </w:r>
      <w:r w:rsidRPr="00077FD4">
        <w:t>Akaike information criterion</w:t>
      </w:r>
      <w:r>
        <w:t xml:space="preserve">; BIC, Bayesian information criterion; FAS, full analysis set; PFS, progression-free survival; </w:t>
      </w:r>
      <w:r w:rsidRPr="00AD3FB6">
        <w:t>T-DXd, trastuzumab deruxtecan; TPC, treatment of physician’s choice.</w:t>
      </w:r>
    </w:p>
    <w:p w14:paraId="5F16ADE9" w14:textId="33692047" w:rsidR="00670187" w:rsidRPr="003C648C" w:rsidRDefault="00670187" w:rsidP="00670187">
      <w:pPr>
        <w:pStyle w:val="Body"/>
        <w:keepNext/>
        <w:rPr>
          <w:i/>
          <w:u w:val="single"/>
        </w:rPr>
      </w:pPr>
      <w:r w:rsidRPr="003C648C">
        <w:rPr>
          <w:i/>
          <w:u w:val="single"/>
        </w:rPr>
        <w:t>Fitting of parametric models</w:t>
      </w:r>
      <w:r w:rsidR="00895376" w:rsidRPr="003C648C">
        <w:rPr>
          <w:i/>
          <w:u w:val="single"/>
        </w:rPr>
        <w:t xml:space="preserve"> and visual fit</w:t>
      </w:r>
      <w:r w:rsidR="00D4296A" w:rsidRPr="003C648C">
        <w:rPr>
          <w:i/>
          <w:iCs/>
          <w:u w:val="single"/>
        </w:rPr>
        <w:t xml:space="preserve"> against KM data</w:t>
      </w:r>
    </w:p>
    <w:p w14:paraId="1AB0F3A1" w14:textId="3C549371" w:rsidR="0057339C" w:rsidRDefault="0057339C" w:rsidP="00670187">
      <w:pPr>
        <w:pStyle w:val="Body"/>
      </w:pPr>
      <w:r w:rsidRPr="00C67C0A">
        <w:t>Visual assessment of observed</w:t>
      </w:r>
      <w:r w:rsidR="005A12D7">
        <w:t xml:space="preserve"> KM data</w:t>
      </w:r>
      <w:r w:rsidRPr="00C67C0A">
        <w:t xml:space="preserve"> versus predicted </w:t>
      </w:r>
      <w:r>
        <w:t>PFS</w:t>
      </w:r>
      <w:r w:rsidRPr="00C67C0A">
        <w:t xml:space="preserve"> curves </w:t>
      </w:r>
      <w:r>
        <w:t>(</w:t>
      </w:r>
      <w:r w:rsidRPr="003B1AE1">
        <w:rPr>
          <w:b/>
          <w:bCs/>
        </w:rPr>
        <w:fldChar w:fldCharType="begin"/>
      </w:r>
      <w:r w:rsidRPr="003B1AE1">
        <w:rPr>
          <w:b/>
          <w:bCs/>
        </w:rPr>
        <w:instrText xml:space="preserve"> REF _Ref121152078 \h  \* MERGEFORMAT </w:instrText>
      </w:r>
      <w:r w:rsidRPr="003B1AE1">
        <w:rPr>
          <w:b/>
          <w:bCs/>
        </w:rPr>
      </w:r>
      <w:r w:rsidRPr="003B1AE1">
        <w:rPr>
          <w:b/>
          <w:bCs/>
        </w:rPr>
        <w:fldChar w:fldCharType="separate"/>
      </w:r>
      <w:r w:rsidR="00145F42" w:rsidRPr="00145F42">
        <w:rPr>
          <w:b/>
          <w:bCs/>
        </w:rPr>
        <w:t xml:space="preserve">Figure </w:t>
      </w:r>
      <w:r w:rsidR="00145F42" w:rsidRPr="00145F42">
        <w:rPr>
          <w:b/>
          <w:bCs/>
          <w:noProof/>
        </w:rPr>
        <w:t>33</w:t>
      </w:r>
      <w:r w:rsidRPr="003B1AE1">
        <w:rPr>
          <w:b/>
          <w:bCs/>
        </w:rPr>
        <w:fldChar w:fldCharType="end"/>
      </w:r>
      <w:r w:rsidRPr="003C648C">
        <w:rPr>
          <w:b/>
          <w:bCs/>
        </w:rPr>
        <w:t xml:space="preserve"> </w:t>
      </w:r>
      <w:r>
        <w:t xml:space="preserve">and </w:t>
      </w:r>
      <w:r w:rsidRPr="003C648C">
        <w:rPr>
          <w:b/>
          <w:bCs/>
        </w:rPr>
        <w:fldChar w:fldCharType="begin"/>
      </w:r>
      <w:r w:rsidRPr="003C648C">
        <w:rPr>
          <w:b/>
          <w:bCs/>
        </w:rPr>
        <w:instrText xml:space="preserve"> REF _Ref129037190 \h </w:instrText>
      </w:r>
      <w:r>
        <w:rPr>
          <w:b/>
          <w:bCs/>
        </w:rPr>
        <w:instrText xml:space="preserve"> \* MERGEFORMAT </w:instrText>
      </w:r>
      <w:r w:rsidRPr="003C648C">
        <w:rPr>
          <w:b/>
          <w:bCs/>
        </w:rPr>
      </w:r>
      <w:r w:rsidRPr="003C648C">
        <w:rPr>
          <w:b/>
          <w:bCs/>
        </w:rPr>
        <w:fldChar w:fldCharType="separate"/>
      </w:r>
      <w:r w:rsidR="00145F42" w:rsidRPr="00145F42">
        <w:rPr>
          <w:b/>
          <w:bCs/>
        </w:rPr>
        <w:t xml:space="preserve">Figure </w:t>
      </w:r>
      <w:r w:rsidR="00145F42" w:rsidRPr="00145F42">
        <w:rPr>
          <w:b/>
          <w:bCs/>
          <w:noProof/>
        </w:rPr>
        <w:t>34</w:t>
      </w:r>
      <w:r w:rsidRPr="003C648C">
        <w:rPr>
          <w:b/>
          <w:bCs/>
        </w:rPr>
        <w:fldChar w:fldCharType="end"/>
      </w:r>
      <w:r>
        <w:rPr>
          <w:bCs/>
        </w:rPr>
        <w:t xml:space="preserve">), </w:t>
      </w:r>
      <w:r>
        <w:t>in addition to</w:t>
      </w:r>
      <w:r w:rsidRPr="00C67C0A">
        <w:t xml:space="preserve"> clinical validation of </w:t>
      </w:r>
      <w:r>
        <w:t xml:space="preserve">long-term </w:t>
      </w:r>
      <w:r w:rsidRPr="00C67C0A">
        <w:t xml:space="preserve">modelled survival </w:t>
      </w:r>
      <w:r>
        <w:t>(</w:t>
      </w:r>
      <w:r w:rsidR="00CD0100" w:rsidRPr="003C648C">
        <w:rPr>
          <w:b/>
          <w:bCs/>
        </w:rPr>
        <w:fldChar w:fldCharType="begin"/>
      </w:r>
      <w:r w:rsidR="00CD0100" w:rsidRPr="003C648C">
        <w:rPr>
          <w:b/>
          <w:bCs/>
        </w:rPr>
        <w:instrText xml:space="preserve"> REF _Ref129037195 \h </w:instrText>
      </w:r>
      <w:r w:rsidR="00CD0100">
        <w:rPr>
          <w:b/>
          <w:bCs/>
        </w:rPr>
        <w:instrText xml:space="preserve"> \* MERGEFORMAT </w:instrText>
      </w:r>
      <w:r w:rsidR="00CD0100" w:rsidRPr="003C648C">
        <w:rPr>
          <w:b/>
          <w:bCs/>
        </w:rPr>
      </w:r>
      <w:r w:rsidR="00CD0100" w:rsidRPr="003C648C">
        <w:rPr>
          <w:b/>
          <w:bCs/>
        </w:rPr>
        <w:fldChar w:fldCharType="separate"/>
      </w:r>
      <w:r w:rsidR="00145F42" w:rsidRPr="00145F42">
        <w:rPr>
          <w:b/>
          <w:bCs/>
        </w:rPr>
        <w:t xml:space="preserve">Figure </w:t>
      </w:r>
      <w:r w:rsidR="00145F42" w:rsidRPr="00145F42">
        <w:rPr>
          <w:b/>
          <w:bCs/>
          <w:noProof/>
        </w:rPr>
        <w:t>35</w:t>
      </w:r>
      <w:r w:rsidR="00CD0100" w:rsidRPr="003C648C">
        <w:rPr>
          <w:b/>
          <w:bCs/>
        </w:rPr>
        <w:fldChar w:fldCharType="end"/>
      </w:r>
      <w:r w:rsidR="00CD0100">
        <w:rPr>
          <w:b/>
          <w:bCs/>
        </w:rPr>
        <w:t xml:space="preserve"> </w:t>
      </w:r>
      <w:r w:rsidR="00CD0100">
        <w:t xml:space="preserve">and </w:t>
      </w:r>
      <w:r w:rsidR="00CD0100" w:rsidRPr="003C648C">
        <w:rPr>
          <w:b/>
          <w:bCs/>
        </w:rPr>
        <w:fldChar w:fldCharType="begin"/>
      </w:r>
      <w:r w:rsidR="00CD0100" w:rsidRPr="003C648C">
        <w:rPr>
          <w:b/>
          <w:bCs/>
        </w:rPr>
        <w:instrText xml:space="preserve"> REF _Ref129037197 \h </w:instrText>
      </w:r>
      <w:r w:rsidR="00CD0100">
        <w:rPr>
          <w:b/>
          <w:bCs/>
        </w:rPr>
        <w:instrText xml:space="preserve"> \* MERGEFORMAT </w:instrText>
      </w:r>
      <w:r w:rsidR="00CD0100" w:rsidRPr="003C648C">
        <w:rPr>
          <w:b/>
          <w:bCs/>
        </w:rPr>
      </w:r>
      <w:r w:rsidR="00CD0100" w:rsidRPr="003C648C">
        <w:rPr>
          <w:b/>
          <w:bCs/>
        </w:rPr>
        <w:fldChar w:fldCharType="separate"/>
      </w:r>
      <w:r w:rsidR="00145F42" w:rsidRPr="00145F42">
        <w:rPr>
          <w:b/>
          <w:bCs/>
        </w:rPr>
        <w:t xml:space="preserve">Figure </w:t>
      </w:r>
      <w:r w:rsidR="00145F42" w:rsidRPr="00145F42">
        <w:rPr>
          <w:b/>
          <w:bCs/>
          <w:noProof/>
        </w:rPr>
        <w:t>36</w:t>
      </w:r>
      <w:r w:rsidR="00CD0100" w:rsidRPr="003C648C">
        <w:rPr>
          <w:b/>
          <w:bCs/>
        </w:rPr>
        <w:fldChar w:fldCharType="end"/>
      </w:r>
      <w:r>
        <w:t xml:space="preserve">) and </w:t>
      </w:r>
      <w:r w:rsidRPr="00C67C0A">
        <w:t>landmark time points</w:t>
      </w:r>
      <w:r>
        <w:t xml:space="preserve"> (</w:t>
      </w:r>
      <w:r w:rsidR="00CD0100" w:rsidRPr="003C648C">
        <w:rPr>
          <w:b/>
          <w:bCs/>
        </w:rPr>
        <w:fldChar w:fldCharType="begin"/>
      </w:r>
      <w:r w:rsidR="00CD0100" w:rsidRPr="003C648C">
        <w:rPr>
          <w:b/>
          <w:bCs/>
        </w:rPr>
        <w:instrText xml:space="preserve"> REF _Ref129042246 \h </w:instrText>
      </w:r>
      <w:r w:rsidR="00CD0100">
        <w:rPr>
          <w:b/>
          <w:bCs/>
        </w:rPr>
        <w:instrText xml:space="preserve"> \* MERGEFORMAT </w:instrText>
      </w:r>
      <w:r w:rsidR="00CD0100" w:rsidRPr="003C648C">
        <w:rPr>
          <w:b/>
          <w:bCs/>
        </w:rPr>
      </w:r>
      <w:r w:rsidR="00CD0100" w:rsidRPr="003C648C">
        <w:rPr>
          <w:b/>
          <w:bCs/>
        </w:rPr>
        <w:fldChar w:fldCharType="separate"/>
      </w:r>
      <w:r w:rsidR="00145F42" w:rsidRPr="00145F42">
        <w:rPr>
          <w:b/>
          <w:bCs/>
        </w:rPr>
        <w:t xml:space="preserve">Table </w:t>
      </w:r>
      <w:r w:rsidR="00145F42" w:rsidRPr="00145F42">
        <w:rPr>
          <w:b/>
          <w:bCs/>
          <w:noProof/>
        </w:rPr>
        <w:t>38</w:t>
      </w:r>
      <w:r w:rsidR="00CD0100" w:rsidRPr="003C648C">
        <w:rPr>
          <w:b/>
          <w:bCs/>
        </w:rPr>
        <w:fldChar w:fldCharType="end"/>
      </w:r>
      <w:r w:rsidR="00FC5077">
        <w:rPr>
          <w:b/>
          <w:bCs/>
        </w:rPr>
        <w:t>)</w:t>
      </w:r>
      <w:r w:rsidRPr="00C67C0A">
        <w:t xml:space="preserve"> were used to determine the suitability of the different PSMs</w:t>
      </w:r>
    </w:p>
    <w:p w14:paraId="0CD62730" w14:textId="53EBE07E" w:rsidR="00670187" w:rsidRPr="00044306" w:rsidRDefault="00670187" w:rsidP="00670187">
      <w:pPr>
        <w:pStyle w:val="Caption"/>
      </w:pPr>
      <w:bookmarkStart w:id="494" w:name="_Ref121152078"/>
      <w:bookmarkStart w:id="495" w:name="_Toc127006648"/>
      <w:bookmarkStart w:id="496" w:name="_Toc129350959"/>
      <w:r w:rsidRPr="00044306">
        <w:t xml:space="preserve">Figure </w:t>
      </w:r>
      <w:r>
        <w:fldChar w:fldCharType="begin"/>
      </w:r>
      <w:r w:rsidRPr="00044306">
        <w:instrText xml:space="preserve"> SEQ Figure \* ARABIC </w:instrText>
      </w:r>
      <w:r>
        <w:fldChar w:fldCharType="separate"/>
      </w:r>
      <w:r w:rsidR="00145F42">
        <w:rPr>
          <w:noProof/>
        </w:rPr>
        <w:t>33</w:t>
      </w:r>
      <w:r>
        <w:fldChar w:fldCharType="end"/>
      </w:r>
      <w:bookmarkEnd w:id="494"/>
      <w:r w:rsidRPr="00044306">
        <w:t xml:space="preserve">: </w:t>
      </w:r>
      <w:r w:rsidRPr="00AD3FB6">
        <w:t xml:space="preserve">Observed versus predicted </w:t>
      </w:r>
      <w:r w:rsidRPr="00044306">
        <w:t xml:space="preserve">PFS (TPC) </w:t>
      </w:r>
      <w:r w:rsidRPr="00AD3FB6">
        <w:t>in the FAS population</w:t>
      </w:r>
      <w:bookmarkEnd w:id="495"/>
      <w:r w:rsidR="003E4C45" w:rsidRPr="003E4C45">
        <w:t xml:space="preserve"> </w:t>
      </w:r>
      <w:r w:rsidR="003E4C45">
        <w:t>over a 3-year time horizon</w:t>
      </w:r>
      <w:r w:rsidR="003E4C45" w:rsidRPr="00671C81">
        <w:t xml:space="preserve"> in the FAS population</w:t>
      </w:r>
      <w:bookmarkEnd w:id="496"/>
    </w:p>
    <w:tbl>
      <w:tblPr>
        <w:tblStyle w:val="TableGrid"/>
        <w:tblW w:w="0" w:type="auto"/>
        <w:tblBorders>
          <w:top w:val="single" w:sz="24" w:space="0" w:color="FFFF00"/>
          <w:left w:val="single" w:sz="24" w:space="0" w:color="FFFF00"/>
          <w:bottom w:val="single" w:sz="24" w:space="0" w:color="FFFF00"/>
          <w:right w:val="single" w:sz="24" w:space="0" w:color="FFFF00"/>
          <w:insideH w:val="single" w:sz="24" w:space="0" w:color="FFFF00"/>
          <w:insideV w:val="single" w:sz="24" w:space="0" w:color="FFFF00"/>
        </w:tblBorders>
        <w:tblLook w:val="04A0" w:firstRow="1" w:lastRow="0" w:firstColumn="1" w:lastColumn="0" w:noHBand="0" w:noVBand="1"/>
      </w:tblPr>
      <w:tblGrid>
        <w:gridCol w:w="9017"/>
      </w:tblGrid>
      <w:tr w:rsidR="00670187" w14:paraId="2C9BDC68" w14:textId="77777777" w:rsidTr="00B261B6">
        <w:trPr>
          <w:trHeight w:val="3492"/>
        </w:trPr>
        <w:tc>
          <w:tcPr>
            <w:tcW w:w="9017" w:type="dxa"/>
            <w:tcBorders>
              <w:top w:val="single" w:sz="4" w:space="0" w:color="auto"/>
              <w:left w:val="single" w:sz="4" w:space="0" w:color="auto"/>
              <w:bottom w:val="single" w:sz="4" w:space="0" w:color="auto"/>
              <w:right w:val="single" w:sz="4" w:space="0" w:color="auto"/>
            </w:tcBorders>
            <w:vAlign w:val="center"/>
          </w:tcPr>
          <w:p w14:paraId="0EAA0C05" w14:textId="0CBCF989" w:rsidR="00670187" w:rsidRDefault="00BF35D6">
            <w:pPr>
              <w:pStyle w:val="Body"/>
              <w:spacing w:after="60"/>
              <w:jc w:val="center"/>
              <w:rPr>
                <w:lang w:val="de-DE"/>
              </w:rPr>
            </w:pPr>
            <w:r w:rsidRPr="00BF35D6">
              <w:rPr>
                <w:noProof/>
                <w:lang w:val="de-DE"/>
              </w:rPr>
              <w:drawing>
                <wp:inline distT="0" distB="0" distL="0" distR="0" wp14:anchorId="5B935B4B" wp14:editId="4B2F9E3A">
                  <wp:extent cx="5486400" cy="286512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30">
                            <a:extLst>
                              <a:ext uri="{28A0092B-C50C-407E-A947-70E740481C1C}">
                                <a14:useLocalDpi xmlns:a14="http://schemas.microsoft.com/office/drawing/2010/main" val="0"/>
                              </a:ext>
                            </a:extLst>
                          </a:blip>
                          <a:stretch>
                            <a:fillRect/>
                          </a:stretch>
                        </pic:blipFill>
                        <pic:spPr>
                          <a:xfrm>
                            <a:off x="0" y="0"/>
                            <a:ext cx="5502855" cy="2873713"/>
                          </a:xfrm>
                          <a:prstGeom prst="rect">
                            <a:avLst/>
                          </a:prstGeom>
                        </pic:spPr>
                      </pic:pic>
                    </a:graphicData>
                  </a:graphic>
                </wp:inline>
              </w:drawing>
            </w:r>
            <w:r w:rsidR="00206684" w:rsidRPr="00206684" w:rsidDel="00206684">
              <w:rPr>
                <w:noProof/>
                <w:lang w:val="de-DE"/>
              </w:rPr>
              <w:t xml:space="preserve"> </w:t>
            </w:r>
          </w:p>
        </w:tc>
      </w:tr>
    </w:tbl>
    <w:p w14:paraId="72634B48" w14:textId="3EAC387A" w:rsidR="00670187" w:rsidRPr="00044306" w:rsidRDefault="00670187" w:rsidP="00670187">
      <w:pPr>
        <w:pStyle w:val="Footnotes"/>
        <w:spacing w:after="240"/>
      </w:pPr>
      <w:r w:rsidRPr="00044306">
        <w:t xml:space="preserve">Abbreviations: FAS, full set analysis; KM, Kaplan-Meier; PFS, progression-free survival; </w:t>
      </w:r>
      <w:r w:rsidRPr="001E6BCF">
        <w:rPr>
          <w:rStyle w:val="FootnotesChar"/>
        </w:rPr>
        <w:t>TPC, treatment of physician’s choice</w:t>
      </w:r>
      <w:r w:rsidRPr="00044306">
        <w:t>.</w:t>
      </w:r>
      <w:r w:rsidR="00B51520" w:rsidRPr="00B51520">
        <w:rPr>
          <w:noProof/>
        </w:rPr>
        <w:t xml:space="preserve"> </w:t>
      </w:r>
    </w:p>
    <w:p w14:paraId="03B7AE12" w14:textId="5EF05A95" w:rsidR="00670187" w:rsidRPr="00FC7210" w:rsidRDefault="00670187" w:rsidP="00670187">
      <w:pPr>
        <w:pStyle w:val="Footnotes"/>
      </w:pPr>
    </w:p>
    <w:p w14:paraId="020EDEC1" w14:textId="5466791F" w:rsidR="003E4C45" w:rsidRPr="00C67C0A" w:rsidRDefault="003E4C45" w:rsidP="003E4C45">
      <w:pPr>
        <w:pStyle w:val="Caption"/>
      </w:pPr>
      <w:bookmarkStart w:id="497" w:name="_Ref129037190"/>
      <w:bookmarkStart w:id="498" w:name="_Toc129350960"/>
      <w:r w:rsidRPr="00044306">
        <w:lastRenderedPageBreak/>
        <w:t xml:space="preserve">Figure </w:t>
      </w:r>
      <w:r>
        <w:fldChar w:fldCharType="begin"/>
      </w:r>
      <w:r w:rsidRPr="00044306">
        <w:instrText xml:space="preserve"> SEQ Figure \* ARABIC </w:instrText>
      </w:r>
      <w:r>
        <w:fldChar w:fldCharType="separate"/>
      </w:r>
      <w:r w:rsidR="00145F42">
        <w:rPr>
          <w:noProof/>
        </w:rPr>
        <w:t>34</w:t>
      </w:r>
      <w:r>
        <w:fldChar w:fldCharType="end"/>
      </w:r>
      <w:bookmarkEnd w:id="497"/>
      <w:r w:rsidRPr="00044306">
        <w:t xml:space="preserve">: </w:t>
      </w:r>
      <w:r w:rsidRPr="00C67C0A">
        <w:t xml:space="preserve">Observed versus predicted </w:t>
      </w:r>
      <w:r w:rsidRPr="00D374CE">
        <w:t>PFS (</w:t>
      </w:r>
      <w:r w:rsidR="008A358A">
        <w:t>T-DXd</w:t>
      </w:r>
      <w:r w:rsidRPr="00D374CE">
        <w:t>)</w:t>
      </w:r>
      <w:r w:rsidRPr="00C67C0A">
        <w:t xml:space="preserve"> in the FAS population </w:t>
      </w:r>
      <w:r>
        <w:t xml:space="preserve">over a </w:t>
      </w:r>
      <w:r w:rsidR="00D404B7">
        <w:t>3</w:t>
      </w:r>
      <w:r>
        <w:t>-year time horizon</w:t>
      </w:r>
      <w:r w:rsidRPr="00671C81">
        <w:t xml:space="preserve"> in the FAS population</w:t>
      </w:r>
      <w:bookmarkEnd w:id="498"/>
    </w:p>
    <w:tbl>
      <w:tblPr>
        <w:tblStyle w:val="TableGrid"/>
        <w:tblW w:w="9092" w:type="dxa"/>
        <w:tblBorders>
          <w:top w:val="single" w:sz="24" w:space="0" w:color="FFFF00"/>
          <w:left w:val="single" w:sz="24" w:space="0" w:color="FFFF00"/>
          <w:bottom w:val="single" w:sz="24" w:space="0" w:color="FFFF00"/>
          <w:right w:val="single" w:sz="24" w:space="0" w:color="FFFF00"/>
          <w:insideH w:val="single" w:sz="24" w:space="0" w:color="FFFF00"/>
          <w:insideV w:val="single" w:sz="24" w:space="0" w:color="FFFF00"/>
        </w:tblBorders>
        <w:tblLook w:val="04A0" w:firstRow="1" w:lastRow="0" w:firstColumn="1" w:lastColumn="0" w:noHBand="0" w:noVBand="1"/>
      </w:tblPr>
      <w:tblGrid>
        <w:gridCol w:w="9092"/>
      </w:tblGrid>
      <w:tr w:rsidR="003E4C45" w14:paraId="5FD90A41" w14:textId="77777777" w:rsidTr="00B261B6">
        <w:trPr>
          <w:trHeight w:val="4446"/>
        </w:trPr>
        <w:tc>
          <w:tcPr>
            <w:tcW w:w="9092" w:type="dxa"/>
            <w:tcBorders>
              <w:top w:val="single" w:sz="4" w:space="0" w:color="auto"/>
              <w:left w:val="single" w:sz="4" w:space="0" w:color="auto"/>
              <w:bottom w:val="single" w:sz="4" w:space="0" w:color="auto"/>
              <w:right w:val="single" w:sz="4" w:space="0" w:color="auto"/>
            </w:tcBorders>
            <w:vAlign w:val="center"/>
          </w:tcPr>
          <w:p w14:paraId="0F8441B2" w14:textId="0F455BBD" w:rsidR="003E4C45" w:rsidRDefault="00EE7870">
            <w:pPr>
              <w:jc w:val="center"/>
            </w:pPr>
            <w:r w:rsidRPr="00EE7870">
              <w:rPr>
                <w:noProof/>
              </w:rPr>
              <w:drawing>
                <wp:inline distT="0" distB="0" distL="0" distR="0" wp14:anchorId="233A5072" wp14:editId="67D9D616">
                  <wp:extent cx="5445106" cy="2850078"/>
                  <wp:effectExtent l="0" t="0" r="3810" b="762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a:blip r:embed="rId30">
                            <a:extLst>
                              <a:ext uri="{28A0092B-C50C-407E-A947-70E740481C1C}">
                                <a14:useLocalDpi xmlns:a14="http://schemas.microsoft.com/office/drawing/2010/main" val="0"/>
                              </a:ext>
                            </a:extLst>
                          </a:blip>
                          <a:srcRect t="5208" b="5208"/>
                          <a:stretch>
                            <a:fillRect/>
                          </a:stretch>
                        </pic:blipFill>
                        <pic:spPr bwMode="auto">
                          <a:xfrm>
                            <a:off x="0" y="0"/>
                            <a:ext cx="5449890" cy="2852582"/>
                          </a:xfrm>
                          <a:prstGeom prst="rect">
                            <a:avLst/>
                          </a:prstGeom>
                          <a:ln>
                            <a:noFill/>
                          </a:ln>
                          <a:extLst>
                            <a:ext uri="{53640926-AAD7-44D8-BBD7-CCE9431645EC}">
                              <a14:shadowObscured xmlns:a14="http://schemas.microsoft.com/office/drawing/2010/main"/>
                            </a:ext>
                          </a:extLst>
                        </pic:spPr>
                      </pic:pic>
                    </a:graphicData>
                  </a:graphic>
                </wp:inline>
              </w:drawing>
            </w:r>
            <w:r w:rsidR="003E4C45" w:rsidRPr="0057725D" w:rsidDel="0057725D">
              <w:rPr>
                <w:noProof/>
              </w:rPr>
              <w:t xml:space="preserve"> </w:t>
            </w:r>
          </w:p>
        </w:tc>
      </w:tr>
    </w:tbl>
    <w:p w14:paraId="361DDB2C" w14:textId="5B46E668" w:rsidR="00ED78D4" w:rsidRPr="003B1AE1" w:rsidRDefault="003E4C45" w:rsidP="003B1AE1">
      <w:pPr>
        <w:pStyle w:val="Footnotes"/>
      </w:pPr>
      <w:r w:rsidRPr="00044306">
        <w:t>Abbreviations: FAS, full set analysis; KM, Kaplan-Meier; PFS, progression-free survival; T-DXd, trastuzumab deruxtecan.</w:t>
      </w:r>
    </w:p>
    <w:p w14:paraId="2567CA64" w14:textId="22998209" w:rsidR="0013546B" w:rsidRDefault="000C0DC9" w:rsidP="0013546B">
      <w:pPr>
        <w:pStyle w:val="Body"/>
      </w:pPr>
      <w:r>
        <w:t>For the</w:t>
      </w:r>
      <w:r w:rsidR="00700B6A">
        <w:t xml:space="preserve"> TPC arm</w:t>
      </w:r>
      <w:r w:rsidR="0013546B" w:rsidRPr="00B75FBF">
        <w:t xml:space="preserve">, </w:t>
      </w:r>
      <w:r w:rsidR="0013546B">
        <w:t xml:space="preserve">the Weibull, Gompertz and exponential curves overestimate PFS </w:t>
      </w:r>
      <w:r w:rsidR="00041ED5">
        <w:t>for TPC</w:t>
      </w:r>
      <w:r w:rsidR="0013546B">
        <w:t xml:space="preserve"> in the first year and as such were not considered a good visual fit to the TPC KM data, while the log-logistic, generalised gamma and log-normal provide a good visual fit to the KM data in the TPC arm. </w:t>
      </w:r>
    </w:p>
    <w:p w14:paraId="7E2DBC54" w14:textId="3275C7BF" w:rsidR="0013546B" w:rsidRDefault="0013546B" w:rsidP="0013546B">
      <w:pPr>
        <w:pStyle w:val="Body"/>
      </w:pPr>
      <w:r>
        <w:t xml:space="preserve">For the T-DXd arm, all curves appeared to provide a reasonable visual fit, however the log-logistic and generalised gamma curves in particular appeared to provide the closest visual fit. </w:t>
      </w:r>
    </w:p>
    <w:p w14:paraId="135B36E6" w14:textId="77777777" w:rsidR="00584355" w:rsidRDefault="00584355" w:rsidP="00584355">
      <w:pPr>
        <w:rPr>
          <w:i/>
          <w:u w:val="single"/>
        </w:rPr>
      </w:pPr>
      <w:r w:rsidRPr="00F033C2">
        <w:rPr>
          <w:i/>
          <w:u w:val="single"/>
        </w:rPr>
        <w:t>Long-term clinical plausibility</w:t>
      </w:r>
    </w:p>
    <w:p w14:paraId="76FCC363" w14:textId="2D598778" w:rsidR="00985612" w:rsidRDefault="00807CBB" w:rsidP="00985612">
      <w:r w:rsidRPr="00807CBB">
        <w:rPr>
          <w:b/>
          <w:bCs/>
        </w:rPr>
        <w:fldChar w:fldCharType="begin"/>
      </w:r>
      <w:r w:rsidRPr="00807CBB">
        <w:rPr>
          <w:b/>
          <w:bCs/>
        </w:rPr>
        <w:instrText xml:space="preserve"> REF _Ref129037195 \h </w:instrText>
      </w:r>
      <w:r>
        <w:rPr>
          <w:b/>
          <w:bCs/>
        </w:rPr>
        <w:instrText xml:space="preserve"> \* MERGEFORMAT </w:instrText>
      </w:r>
      <w:r w:rsidRPr="00807CBB">
        <w:rPr>
          <w:b/>
          <w:bCs/>
        </w:rPr>
      </w:r>
      <w:r w:rsidRPr="00807CBB">
        <w:rPr>
          <w:b/>
          <w:bCs/>
        </w:rPr>
        <w:fldChar w:fldCharType="separate"/>
      </w:r>
      <w:r w:rsidR="00145F42" w:rsidRPr="00145F42">
        <w:rPr>
          <w:b/>
          <w:bCs/>
        </w:rPr>
        <w:t xml:space="preserve">Figure </w:t>
      </w:r>
      <w:r w:rsidR="00145F42" w:rsidRPr="00145F42">
        <w:rPr>
          <w:b/>
          <w:bCs/>
          <w:noProof/>
        </w:rPr>
        <w:t>35</w:t>
      </w:r>
      <w:r w:rsidRPr="00807CBB">
        <w:rPr>
          <w:b/>
          <w:bCs/>
        </w:rPr>
        <w:fldChar w:fldCharType="end"/>
      </w:r>
      <w:r w:rsidR="00F06B0F">
        <w:t xml:space="preserve"> and</w:t>
      </w:r>
      <w:r>
        <w:t xml:space="preserve"> </w:t>
      </w:r>
      <w:r w:rsidRPr="00807CBB">
        <w:rPr>
          <w:b/>
          <w:bCs/>
        </w:rPr>
        <w:fldChar w:fldCharType="begin"/>
      </w:r>
      <w:r w:rsidRPr="00807CBB">
        <w:rPr>
          <w:b/>
          <w:bCs/>
        </w:rPr>
        <w:instrText xml:space="preserve"> REF _Ref129037197 \h </w:instrText>
      </w:r>
      <w:r>
        <w:rPr>
          <w:b/>
          <w:bCs/>
        </w:rPr>
        <w:instrText xml:space="preserve"> \* MERGEFORMAT </w:instrText>
      </w:r>
      <w:r w:rsidRPr="00807CBB">
        <w:rPr>
          <w:b/>
          <w:bCs/>
        </w:rPr>
      </w:r>
      <w:r w:rsidRPr="00807CBB">
        <w:rPr>
          <w:b/>
          <w:bCs/>
        </w:rPr>
        <w:fldChar w:fldCharType="separate"/>
      </w:r>
      <w:r w:rsidR="00145F42" w:rsidRPr="00145F42">
        <w:rPr>
          <w:b/>
          <w:bCs/>
        </w:rPr>
        <w:t xml:space="preserve">Figure </w:t>
      </w:r>
      <w:r w:rsidR="00145F42" w:rsidRPr="00145F42">
        <w:rPr>
          <w:b/>
          <w:bCs/>
          <w:noProof/>
        </w:rPr>
        <w:t>36</w:t>
      </w:r>
      <w:r w:rsidRPr="00807CBB">
        <w:rPr>
          <w:b/>
          <w:bCs/>
        </w:rPr>
        <w:fldChar w:fldCharType="end"/>
      </w:r>
      <w:r w:rsidR="00F06B0F">
        <w:t xml:space="preserve"> </w:t>
      </w:r>
      <w:r w:rsidR="00985612" w:rsidRPr="00143C3D">
        <w:t xml:space="preserve">present the model </w:t>
      </w:r>
      <w:r w:rsidR="001A6CA1">
        <w:t>predictions</w:t>
      </w:r>
      <w:r w:rsidR="001A6CA1" w:rsidRPr="00143C3D">
        <w:t xml:space="preserve"> </w:t>
      </w:r>
      <w:r w:rsidR="00985612" w:rsidRPr="00143C3D">
        <w:t xml:space="preserve">for T-DXd and </w:t>
      </w:r>
      <w:r w:rsidR="00985612" w:rsidRPr="005D58CB">
        <w:t>TPC, respectively,</w:t>
      </w:r>
      <w:r w:rsidR="00985612" w:rsidRPr="00143C3D">
        <w:t xml:space="preserve"> over a </w:t>
      </w:r>
      <w:r w:rsidR="00985612">
        <w:t>10</w:t>
      </w:r>
      <w:r w:rsidR="00985612" w:rsidRPr="00143C3D">
        <w:t>-year time horizon.</w:t>
      </w:r>
      <w:r w:rsidR="001A6CA1" w:rsidRPr="001A6CA1">
        <w:t xml:space="preserve"> </w:t>
      </w:r>
      <w:r w:rsidR="00676A94">
        <w:t xml:space="preserve">Given the maturity of the PFS data, </w:t>
      </w:r>
      <w:r w:rsidR="0046370B">
        <w:t xml:space="preserve">the long-term estimates </w:t>
      </w:r>
      <w:r>
        <w:t>presented in</w:t>
      </w:r>
      <w:r w:rsidR="00A169E2">
        <w:t xml:space="preserve"> </w:t>
      </w:r>
      <w:r w:rsidR="00A169E2" w:rsidRPr="00A169E2">
        <w:rPr>
          <w:b/>
          <w:bCs/>
        </w:rPr>
        <w:fldChar w:fldCharType="begin"/>
      </w:r>
      <w:r w:rsidR="00A169E2" w:rsidRPr="00A169E2">
        <w:rPr>
          <w:b/>
          <w:bCs/>
        </w:rPr>
        <w:instrText xml:space="preserve"> REF _Ref129042246 \h </w:instrText>
      </w:r>
      <w:r w:rsidR="00A169E2">
        <w:rPr>
          <w:b/>
          <w:bCs/>
        </w:rPr>
        <w:instrText xml:space="preserve"> \* MERGEFORMAT </w:instrText>
      </w:r>
      <w:r w:rsidR="00A169E2" w:rsidRPr="00A169E2">
        <w:rPr>
          <w:b/>
          <w:bCs/>
        </w:rPr>
      </w:r>
      <w:r w:rsidR="00A169E2" w:rsidRPr="00A169E2">
        <w:rPr>
          <w:b/>
          <w:bCs/>
        </w:rPr>
        <w:fldChar w:fldCharType="separate"/>
      </w:r>
      <w:r w:rsidR="00145F42" w:rsidRPr="00145F42">
        <w:rPr>
          <w:b/>
          <w:bCs/>
        </w:rPr>
        <w:t xml:space="preserve">Table </w:t>
      </w:r>
      <w:r w:rsidR="00145F42" w:rsidRPr="00145F42">
        <w:rPr>
          <w:b/>
          <w:bCs/>
          <w:noProof/>
        </w:rPr>
        <w:t>38</w:t>
      </w:r>
      <w:r w:rsidR="00A169E2" w:rsidRPr="00A169E2">
        <w:rPr>
          <w:b/>
          <w:bCs/>
        </w:rPr>
        <w:fldChar w:fldCharType="end"/>
      </w:r>
      <w:r>
        <w:t xml:space="preserve"> </w:t>
      </w:r>
      <w:r w:rsidR="0046370B">
        <w:t>were relatively similar across curves at all time points</w:t>
      </w:r>
      <w:r w:rsidR="000A58A2">
        <w:t xml:space="preserve">, however </w:t>
      </w:r>
      <w:bookmarkStart w:id="499" w:name="_Hlk129278497"/>
      <w:r w:rsidR="000A58A2" w:rsidRPr="00871A91">
        <w:t xml:space="preserve">feedback from UK clinicians </w:t>
      </w:r>
      <w:r w:rsidR="000A58A2">
        <w:t xml:space="preserve">based on modelled survival at </w:t>
      </w:r>
      <w:r w:rsidR="000A58A2" w:rsidRPr="002629AD">
        <w:t>landmark time points</w:t>
      </w:r>
      <w:r w:rsidR="000A58A2">
        <w:t xml:space="preserve">, </w:t>
      </w:r>
      <w:r w:rsidR="00FE5B22">
        <w:t>was that</w:t>
      </w:r>
      <w:r w:rsidR="000A58A2">
        <w:t xml:space="preserve"> </w:t>
      </w:r>
      <w:r w:rsidR="000A58A2" w:rsidRPr="00871A91">
        <w:t>t</w:t>
      </w:r>
      <w:r w:rsidR="000A58A2" w:rsidRPr="005D58CB">
        <w:t>he</w:t>
      </w:r>
      <w:r w:rsidR="000A58A2" w:rsidRPr="00871A91">
        <w:t xml:space="preserve"> </w:t>
      </w:r>
      <w:r w:rsidR="000A58A2" w:rsidRPr="00C67C0A">
        <w:t xml:space="preserve">log-logistic and </w:t>
      </w:r>
      <w:r w:rsidR="000A58A2">
        <w:t>generalised gamma</w:t>
      </w:r>
      <w:r w:rsidR="000A58A2" w:rsidRPr="00090967">
        <w:t xml:space="preserve"> curves</w:t>
      </w:r>
      <w:r w:rsidR="000A58A2">
        <w:t xml:space="preserve"> </w:t>
      </w:r>
      <w:r w:rsidR="000A58A2" w:rsidRPr="005D58CB">
        <w:t xml:space="preserve">were considered </w:t>
      </w:r>
      <w:r w:rsidR="000A58A2" w:rsidRPr="00871A91">
        <w:t>the most</w:t>
      </w:r>
      <w:r w:rsidR="000A58A2" w:rsidRPr="005D58CB">
        <w:t xml:space="preserve"> </w:t>
      </w:r>
      <w:r w:rsidR="000A58A2" w:rsidRPr="00871A91">
        <w:t xml:space="preserve">clinically </w:t>
      </w:r>
      <w:r w:rsidR="000A58A2" w:rsidRPr="005D58CB">
        <w:t>plausible</w:t>
      </w:r>
      <w:r w:rsidR="000A58A2" w:rsidRPr="00871A91">
        <w:t xml:space="preserve"> to inform </w:t>
      </w:r>
      <w:r w:rsidR="000A58A2">
        <w:t xml:space="preserve">the </w:t>
      </w:r>
      <w:r w:rsidR="000A58A2" w:rsidRPr="00871A91">
        <w:t>TPC</w:t>
      </w:r>
      <w:r w:rsidR="000A58A2">
        <w:t xml:space="preserve"> arm. </w:t>
      </w:r>
      <w:bookmarkEnd w:id="499"/>
    </w:p>
    <w:p w14:paraId="604C73C3" w14:textId="59E097A9" w:rsidR="001B0419" w:rsidRPr="003C648C" w:rsidRDefault="001B0419" w:rsidP="00584355">
      <w:pPr>
        <w:rPr>
          <w:iCs/>
          <w:u w:val="single"/>
        </w:rPr>
      </w:pPr>
    </w:p>
    <w:p w14:paraId="2E605898" w14:textId="174E05F5" w:rsidR="00584355" w:rsidRPr="00546A80" w:rsidRDefault="00584355" w:rsidP="00584355">
      <w:pPr>
        <w:pStyle w:val="Caption"/>
      </w:pPr>
      <w:bookmarkStart w:id="500" w:name="_Ref129042246"/>
      <w:bookmarkStart w:id="501" w:name="_Toc129351013"/>
      <w:bookmarkStart w:id="502" w:name="_Hlk129281486"/>
      <w:r w:rsidRPr="00546A80">
        <w:lastRenderedPageBreak/>
        <w:t xml:space="preserve">Table </w:t>
      </w:r>
      <w:r>
        <w:fldChar w:fldCharType="begin"/>
      </w:r>
      <w:r>
        <w:instrText>SEQ Table \* ARABIC</w:instrText>
      </w:r>
      <w:r>
        <w:fldChar w:fldCharType="separate"/>
      </w:r>
      <w:r w:rsidR="00145F42">
        <w:rPr>
          <w:noProof/>
        </w:rPr>
        <w:t>38</w:t>
      </w:r>
      <w:r>
        <w:fldChar w:fldCharType="end"/>
      </w:r>
      <w:bookmarkEnd w:id="500"/>
      <w:r w:rsidRPr="00546A80">
        <w:t xml:space="preserve">: PFS in the FAS population: Predictions by </w:t>
      </w:r>
      <w:r>
        <w:t>in</w:t>
      </w:r>
      <w:r w:rsidRPr="00546A80">
        <w:t>dependently fitted distributions in T-DXd and TPC</w:t>
      </w:r>
      <w:bookmarkEnd w:id="501"/>
    </w:p>
    <w:tbl>
      <w:tblPr>
        <w:tblStyle w:val="TableGrid"/>
        <w:tblW w:w="8926" w:type="dxa"/>
        <w:tblLayout w:type="fixed"/>
        <w:tblLook w:val="04A0" w:firstRow="1" w:lastRow="0" w:firstColumn="1" w:lastColumn="0" w:noHBand="0" w:noVBand="1"/>
      </w:tblPr>
      <w:tblGrid>
        <w:gridCol w:w="2122"/>
        <w:gridCol w:w="1275"/>
        <w:gridCol w:w="1276"/>
        <w:gridCol w:w="1418"/>
        <w:gridCol w:w="1417"/>
        <w:gridCol w:w="1418"/>
      </w:tblGrid>
      <w:tr w:rsidR="00584355" w:rsidRPr="00E57999" w14:paraId="2AA56142" w14:textId="77777777" w:rsidTr="00F033C2">
        <w:trPr>
          <w:trHeight w:val="573"/>
        </w:trPr>
        <w:tc>
          <w:tcPr>
            <w:tcW w:w="2122" w:type="dxa"/>
            <w:shd w:val="clear" w:color="auto" w:fill="E7E6E6" w:themeFill="background2"/>
            <w:vAlign w:val="center"/>
          </w:tcPr>
          <w:p w14:paraId="413384C1" w14:textId="77777777" w:rsidR="00584355" w:rsidRPr="00CB0422" w:rsidRDefault="00584355" w:rsidP="00F033C2">
            <w:pPr>
              <w:pStyle w:val="NICETabletext"/>
              <w:rPr>
                <w:b/>
                <w:lang w:eastAsia="en-GB"/>
              </w:rPr>
            </w:pPr>
            <w:r w:rsidRPr="00CB0422">
              <w:rPr>
                <w:b/>
                <w:lang w:eastAsia="en-GB"/>
              </w:rPr>
              <w:t>Distribution</w:t>
            </w:r>
          </w:p>
        </w:tc>
        <w:tc>
          <w:tcPr>
            <w:tcW w:w="1275" w:type="dxa"/>
            <w:shd w:val="clear" w:color="auto" w:fill="E7E6E6" w:themeFill="background2"/>
            <w:vAlign w:val="center"/>
          </w:tcPr>
          <w:p w14:paraId="7078A92A" w14:textId="77777777" w:rsidR="00584355" w:rsidRPr="00CB0422" w:rsidRDefault="00584355" w:rsidP="00F033C2">
            <w:pPr>
              <w:pStyle w:val="NICETabletext"/>
              <w:jc w:val="center"/>
              <w:rPr>
                <w:b/>
                <w:lang w:eastAsia="en-GB"/>
              </w:rPr>
            </w:pPr>
            <w:r w:rsidRPr="00CB0422">
              <w:rPr>
                <w:b/>
                <w:lang w:eastAsia="en-GB"/>
              </w:rPr>
              <w:t>Median (</w:t>
            </w:r>
            <w:r>
              <w:rPr>
                <w:b/>
                <w:lang w:eastAsia="en-GB"/>
              </w:rPr>
              <w:t>months</w:t>
            </w:r>
            <w:r w:rsidRPr="00CB0422">
              <w:rPr>
                <w:b/>
                <w:lang w:eastAsia="en-GB"/>
              </w:rPr>
              <w:t>)</w:t>
            </w:r>
            <w:r>
              <w:rPr>
                <w:b/>
                <w:lang w:eastAsia="en-GB"/>
              </w:rPr>
              <w:t>*</w:t>
            </w:r>
          </w:p>
        </w:tc>
        <w:tc>
          <w:tcPr>
            <w:tcW w:w="1276" w:type="dxa"/>
            <w:shd w:val="clear" w:color="auto" w:fill="E7E6E6" w:themeFill="background2"/>
            <w:vAlign w:val="center"/>
          </w:tcPr>
          <w:p w14:paraId="5FFEB448" w14:textId="77777777" w:rsidR="00584355" w:rsidRPr="00CB0422" w:rsidRDefault="00584355" w:rsidP="00F033C2">
            <w:pPr>
              <w:pStyle w:val="NICETabletext"/>
              <w:rPr>
                <w:b/>
                <w:lang w:eastAsia="en-GB"/>
              </w:rPr>
            </w:pPr>
            <w:r w:rsidRPr="00CB0422">
              <w:rPr>
                <w:b/>
                <w:lang w:eastAsia="en-GB"/>
              </w:rPr>
              <w:t xml:space="preserve">1-Year </w:t>
            </w:r>
            <w:r>
              <w:rPr>
                <w:b/>
                <w:bCs/>
                <w:lang w:eastAsia="en-GB"/>
              </w:rPr>
              <w:t>PFS</w:t>
            </w:r>
          </w:p>
        </w:tc>
        <w:tc>
          <w:tcPr>
            <w:tcW w:w="1418" w:type="dxa"/>
            <w:shd w:val="clear" w:color="auto" w:fill="E7E6E6" w:themeFill="background2"/>
            <w:vAlign w:val="center"/>
          </w:tcPr>
          <w:p w14:paraId="49570A18" w14:textId="77777777" w:rsidR="00584355" w:rsidRPr="00CB0422" w:rsidRDefault="00584355" w:rsidP="00F033C2">
            <w:pPr>
              <w:pStyle w:val="NICETabletext"/>
              <w:rPr>
                <w:b/>
                <w:lang w:eastAsia="en-GB"/>
              </w:rPr>
            </w:pPr>
            <w:r w:rsidRPr="00CB0422">
              <w:rPr>
                <w:b/>
                <w:lang w:eastAsia="en-GB"/>
              </w:rPr>
              <w:t xml:space="preserve">3-Year </w:t>
            </w:r>
            <w:r>
              <w:rPr>
                <w:b/>
                <w:bCs/>
                <w:lang w:eastAsia="en-GB"/>
              </w:rPr>
              <w:t>PFS</w:t>
            </w:r>
          </w:p>
        </w:tc>
        <w:tc>
          <w:tcPr>
            <w:tcW w:w="1417" w:type="dxa"/>
            <w:shd w:val="clear" w:color="auto" w:fill="E7E6E6" w:themeFill="background2"/>
            <w:vAlign w:val="center"/>
          </w:tcPr>
          <w:p w14:paraId="2B2B0FB0" w14:textId="77777777" w:rsidR="00584355" w:rsidRPr="00CB0422" w:rsidRDefault="00584355" w:rsidP="00F033C2">
            <w:pPr>
              <w:pStyle w:val="NICETabletext"/>
              <w:rPr>
                <w:b/>
                <w:lang w:eastAsia="en-GB"/>
              </w:rPr>
            </w:pPr>
            <w:r w:rsidRPr="00CB0422">
              <w:rPr>
                <w:b/>
                <w:lang w:eastAsia="en-GB"/>
              </w:rPr>
              <w:t xml:space="preserve">5-Year </w:t>
            </w:r>
            <w:r>
              <w:rPr>
                <w:b/>
                <w:bCs/>
                <w:lang w:eastAsia="en-GB"/>
              </w:rPr>
              <w:t>PFS</w:t>
            </w:r>
          </w:p>
        </w:tc>
        <w:tc>
          <w:tcPr>
            <w:tcW w:w="1418" w:type="dxa"/>
            <w:shd w:val="clear" w:color="auto" w:fill="E7E6E6" w:themeFill="background2"/>
            <w:vAlign w:val="center"/>
          </w:tcPr>
          <w:p w14:paraId="2E05AC07" w14:textId="77777777" w:rsidR="00584355" w:rsidRPr="00CB0422" w:rsidRDefault="00584355" w:rsidP="00F033C2">
            <w:pPr>
              <w:pStyle w:val="NICETabletext"/>
              <w:rPr>
                <w:b/>
                <w:lang w:eastAsia="en-GB"/>
              </w:rPr>
            </w:pPr>
            <w:r w:rsidRPr="00CB0422">
              <w:rPr>
                <w:b/>
                <w:lang w:eastAsia="en-GB"/>
              </w:rPr>
              <w:t xml:space="preserve">10-Year </w:t>
            </w:r>
            <w:r>
              <w:rPr>
                <w:b/>
                <w:bCs/>
                <w:lang w:eastAsia="en-GB"/>
              </w:rPr>
              <w:t>PFS</w:t>
            </w:r>
          </w:p>
        </w:tc>
      </w:tr>
      <w:tr w:rsidR="00584355" w:rsidRPr="00E57999" w14:paraId="464EF176" w14:textId="77777777" w:rsidTr="00F033C2">
        <w:trPr>
          <w:trHeight w:val="183"/>
        </w:trPr>
        <w:tc>
          <w:tcPr>
            <w:tcW w:w="8926" w:type="dxa"/>
            <w:gridSpan w:val="6"/>
            <w:tcBorders>
              <w:right w:val="single" w:sz="4" w:space="0" w:color="auto"/>
            </w:tcBorders>
            <w:shd w:val="clear" w:color="auto" w:fill="F2F2F2" w:themeFill="background1" w:themeFillShade="F2"/>
          </w:tcPr>
          <w:p w14:paraId="2590FD37" w14:textId="77777777" w:rsidR="00584355" w:rsidRPr="00AD3FB6" w:rsidRDefault="00584355" w:rsidP="00F033C2">
            <w:pPr>
              <w:pStyle w:val="NICETabletext"/>
              <w:rPr>
                <w:b/>
              </w:rPr>
            </w:pPr>
            <w:r>
              <w:rPr>
                <w:b/>
                <w:lang w:eastAsia="en-GB"/>
              </w:rPr>
              <w:t>TPC</w:t>
            </w:r>
          </w:p>
        </w:tc>
      </w:tr>
      <w:tr w:rsidR="00584355" w:rsidRPr="00E57999" w14:paraId="6F1E9365" w14:textId="77777777" w:rsidTr="00F033C2">
        <w:trPr>
          <w:trHeight w:val="183"/>
        </w:trPr>
        <w:tc>
          <w:tcPr>
            <w:tcW w:w="2122" w:type="dxa"/>
          </w:tcPr>
          <w:p w14:paraId="5D920479" w14:textId="77777777" w:rsidR="00584355" w:rsidRPr="000B1C52" w:rsidRDefault="00584355" w:rsidP="00F033C2">
            <w:pPr>
              <w:pStyle w:val="NICETabletext"/>
              <w:rPr>
                <w:lang w:eastAsia="en-GB"/>
              </w:rPr>
            </w:pPr>
            <w:r w:rsidRPr="000B1C52">
              <w:rPr>
                <w:lang w:eastAsia="en-GB"/>
              </w:rPr>
              <w:t>Exponential</w:t>
            </w:r>
          </w:p>
        </w:tc>
        <w:tc>
          <w:tcPr>
            <w:tcW w:w="1275" w:type="dxa"/>
            <w:vAlign w:val="center"/>
          </w:tcPr>
          <w:p w14:paraId="45C2702C" w14:textId="147F3002" w:rsidR="00584355" w:rsidRPr="00294FDC" w:rsidRDefault="00294FDC" w:rsidP="00F033C2">
            <w:pPr>
              <w:pStyle w:val="NICETabletext"/>
              <w:jc w:val="center"/>
              <w:rPr>
                <w:color w:val="000000"/>
                <w:highlight w:val="black"/>
              </w:rPr>
            </w:pPr>
            <w:r w:rsidRPr="00294FDC">
              <w:rPr>
                <w:color w:val="000000"/>
                <w:highlight w:val="black"/>
              </w:rPr>
              <w:t>xxxx</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4F561622" w14:textId="2A5F74F8" w:rsidR="00584355" w:rsidRPr="00294FDC" w:rsidRDefault="00294FDC" w:rsidP="00F033C2">
            <w:pPr>
              <w:pStyle w:val="NICETabletext"/>
              <w:jc w:val="center"/>
              <w:rPr>
                <w:color w:val="000000"/>
                <w:highlight w:val="black"/>
              </w:rPr>
            </w:pPr>
            <w:r w:rsidRPr="00294FDC">
              <w:rPr>
                <w:color w:val="000000"/>
                <w:highlight w:val="black"/>
              </w:rPr>
              <w:t>xxxxxx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349C0180" w14:textId="323B8F4F" w:rsidR="00584355" w:rsidRPr="00294FDC" w:rsidRDefault="00294FDC" w:rsidP="00F033C2">
            <w:pPr>
              <w:pStyle w:val="NICETabletext"/>
              <w:jc w:val="center"/>
              <w:rPr>
                <w:color w:val="000000"/>
                <w:highlight w:val="black"/>
              </w:rPr>
            </w:pPr>
            <w:r w:rsidRPr="00294FDC">
              <w:rPr>
                <w:color w:val="000000"/>
                <w:highlight w:val="black"/>
              </w:rPr>
              <w:t>xxxxx</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5FF25B99" w14:textId="34A4586E" w:rsidR="00584355" w:rsidRPr="00294FDC" w:rsidRDefault="00294FDC" w:rsidP="00F033C2">
            <w:pPr>
              <w:pStyle w:val="NICETabletext"/>
              <w:jc w:val="center"/>
              <w:rPr>
                <w:color w:val="000000"/>
                <w:highlight w:val="black"/>
              </w:rPr>
            </w:pPr>
            <w:r w:rsidRPr="00294FDC">
              <w:rPr>
                <w:color w:val="000000"/>
                <w:highlight w:val="black"/>
              </w:rPr>
              <w:t>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6FB0DD16" w14:textId="20F9C894" w:rsidR="00584355" w:rsidRPr="00294FDC" w:rsidRDefault="00294FDC" w:rsidP="00F033C2">
            <w:pPr>
              <w:pStyle w:val="NICETabletext"/>
              <w:jc w:val="center"/>
              <w:rPr>
                <w:color w:val="000000"/>
                <w:highlight w:val="black"/>
              </w:rPr>
            </w:pPr>
            <w:r w:rsidRPr="00294FDC">
              <w:rPr>
                <w:color w:val="000000"/>
                <w:highlight w:val="black"/>
              </w:rPr>
              <w:t>xxxxx</w:t>
            </w:r>
          </w:p>
        </w:tc>
      </w:tr>
      <w:tr w:rsidR="00584355" w:rsidRPr="00E57999" w14:paraId="3103D3AA" w14:textId="77777777" w:rsidTr="00F033C2">
        <w:trPr>
          <w:trHeight w:val="183"/>
        </w:trPr>
        <w:tc>
          <w:tcPr>
            <w:tcW w:w="2122" w:type="dxa"/>
          </w:tcPr>
          <w:p w14:paraId="03097405" w14:textId="77777777" w:rsidR="00584355" w:rsidRPr="000B1C52" w:rsidRDefault="00584355" w:rsidP="00F033C2">
            <w:pPr>
              <w:pStyle w:val="NICETabletext"/>
              <w:rPr>
                <w:lang w:eastAsia="en-GB"/>
              </w:rPr>
            </w:pPr>
            <w:r w:rsidRPr="000B1C52">
              <w:rPr>
                <w:lang w:eastAsia="en-GB"/>
              </w:rPr>
              <w:t>Weibull</w:t>
            </w:r>
          </w:p>
        </w:tc>
        <w:tc>
          <w:tcPr>
            <w:tcW w:w="1275" w:type="dxa"/>
            <w:vAlign w:val="center"/>
          </w:tcPr>
          <w:p w14:paraId="1CB48DB4" w14:textId="2BCDC017" w:rsidR="00584355" w:rsidRPr="00294FDC" w:rsidRDefault="00294FDC" w:rsidP="00F033C2">
            <w:pPr>
              <w:pStyle w:val="NICETabletext"/>
              <w:jc w:val="center"/>
              <w:rPr>
                <w:color w:val="000000"/>
                <w:highlight w:val="black"/>
              </w:rPr>
            </w:pPr>
            <w:r w:rsidRPr="00294FDC">
              <w:rPr>
                <w:color w:val="000000"/>
                <w:highlight w:val="black"/>
              </w:rPr>
              <w:t>xxxx</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5ACFA79" w14:textId="63A28DB8" w:rsidR="00584355" w:rsidRPr="00294FDC" w:rsidRDefault="00294FDC" w:rsidP="00F033C2">
            <w:pPr>
              <w:pStyle w:val="NICETabletext"/>
              <w:jc w:val="center"/>
              <w:rPr>
                <w:color w:val="000000"/>
                <w:highlight w:val="black"/>
              </w:rPr>
            </w:pPr>
            <w:r w:rsidRPr="00294FDC">
              <w:rPr>
                <w:color w:val="000000"/>
                <w:highlight w:val="black"/>
              </w:rPr>
              <w:t>xxxxxx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6811DAC2" w14:textId="695B7373" w:rsidR="00584355" w:rsidRPr="00294FDC" w:rsidRDefault="00294FDC" w:rsidP="00F033C2">
            <w:pPr>
              <w:pStyle w:val="NICETabletext"/>
              <w:jc w:val="center"/>
              <w:rPr>
                <w:color w:val="000000"/>
                <w:highlight w:val="black"/>
              </w:rPr>
            </w:pPr>
            <w:r w:rsidRPr="00294FDC">
              <w:rPr>
                <w:color w:val="000000"/>
                <w:highlight w:val="black"/>
              </w:rPr>
              <w:t>xxxxx</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10022669" w14:textId="79D83D8B" w:rsidR="00584355" w:rsidRPr="00294FDC" w:rsidRDefault="00294FDC" w:rsidP="00F033C2">
            <w:pPr>
              <w:pStyle w:val="NICETabletext"/>
              <w:jc w:val="center"/>
              <w:rPr>
                <w:color w:val="000000"/>
                <w:highlight w:val="black"/>
              </w:rPr>
            </w:pPr>
            <w:r w:rsidRPr="00294FDC">
              <w:rPr>
                <w:color w:val="000000"/>
                <w:highlight w:val="black"/>
              </w:rPr>
              <w:t>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3D884D22" w14:textId="4FC301E0" w:rsidR="00584355" w:rsidRPr="00294FDC" w:rsidRDefault="00294FDC" w:rsidP="00F033C2">
            <w:pPr>
              <w:pStyle w:val="NICETabletext"/>
              <w:jc w:val="center"/>
              <w:rPr>
                <w:color w:val="000000"/>
                <w:highlight w:val="black"/>
              </w:rPr>
            </w:pPr>
            <w:r w:rsidRPr="00294FDC">
              <w:rPr>
                <w:color w:val="000000"/>
                <w:highlight w:val="black"/>
              </w:rPr>
              <w:t>xxxxx</w:t>
            </w:r>
          </w:p>
        </w:tc>
      </w:tr>
      <w:tr w:rsidR="00584355" w:rsidRPr="00E57999" w14:paraId="584A28B8" w14:textId="77777777" w:rsidTr="00F033C2">
        <w:trPr>
          <w:trHeight w:val="183"/>
        </w:trPr>
        <w:tc>
          <w:tcPr>
            <w:tcW w:w="2122" w:type="dxa"/>
          </w:tcPr>
          <w:p w14:paraId="7ADBF114" w14:textId="77777777" w:rsidR="00584355" w:rsidRPr="000B1C52" w:rsidRDefault="00584355" w:rsidP="00F033C2">
            <w:pPr>
              <w:pStyle w:val="NICETabletext"/>
              <w:rPr>
                <w:lang w:eastAsia="en-GB"/>
              </w:rPr>
            </w:pPr>
            <w:r w:rsidRPr="000B1C52">
              <w:rPr>
                <w:lang w:eastAsia="en-GB"/>
              </w:rPr>
              <w:t>Gompertz</w:t>
            </w:r>
          </w:p>
        </w:tc>
        <w:tc>
          <w:tcPr>
            <w:tcW w:w="1275" w:type="dxa"/>
            <w:vAlign w:val="center"/>
          </w:tcPr>
          <w:p w14:paraId="62BC81AD" w14:textId="37562483" w:rsidR="00584355" w:rsidRPr="00294FDC" w:rsidRDefault="00294FDC" w:rsidP="00F033C2">
            <w:pPr>
              <w:pStyle w:val="NICETabletext"/>
              <w:jc w:val="center"/>
              <w:rPr>
                <w:color w:val="000000"/>
                <w:highlight w:val="black"/>
              </w:rPr>
            </w:pPr>
            <w:r w:rsidRPr="00294FDC">
              <w:rPr>
                <w:color w:val="000000"/>
                <w:highlight w:val="black"/>
              </w:rPr>
              <w:t>xxxx</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74C7BBF6" w14:textId="2FE67AAF" w:rsidR="00584355" w:rsidRPr="00294FDC" w:rsidRDefault="00294FDC" w:rsidP="00F033C2">
            <w:pPr>
              <w:pStyle w:val="NICETabletext"/>
              <w:jc w:val="center"/>
              <w:rPr>
                <w:color w:val="000000"/>
                <w:highlight w:val="black"/>
              </w:rPr>
            </w:pPr>
            <w:r w:rsidRPr="00294FDC">
              <w:rPr>
                <w:color w:val="000000"/>
                <w:highlight w:val="black"/>
              </w:rPr>
              <w:t>xxxxxx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2D82BEB6" w14:textId="0F6D6214" w:rsidR="00584355" w:rsidRPr="00294FDC" w:rsidRDefault="00294FDC" w:rsidP="00F033C2">
            <w:pPr>
              <w:pStyle w:val="NICETabletext"/>
              <w:jc w:val="center"/>
              <w:rPr>
                <w:color w:val="000000"/>
                <w:highlight w:val="black"/>
              </w:rPr>
            </w:pPr>
            <w:r w:rsidRPr="00294FDC">
              <w:rPr>
                <w:color w:val="000000"/>
                <w:highlight w:val="black"/>
              </w:rPr>
              <w:t>xxxxx</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BDB06CA" w14:textId="42E08B89" w:rsidR="00584355" w:rsidRPr="00294FDC" w:rsidRDefault="00294FDC" w:rsidP="00F033C2">
            <w:pPr>
              <w:pStyle w:val="NICETabletext"/>
              <w:jc w:val="center"/>
              <w:rPr>
                <w:color w:val="000000"/>
                <w:highlight w:val="black"/>
              </w:rPr>
            </w:pPr>
            <w:r w:rsidRPr="00294FDC">
              <w:rPr>
                <w:color w:val="000000"/>
                <w:highlight w:val="black"/>
              </w:rPr>
              <w:t>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6CA02F79" w14:textId="6B0EF5E4" w:rsidR="00584355" w:rsidRPr="00294FDC" w:rsidRDefault="00294FDC" w:rsidP="00F033C2">
            <w:pPr>
              <w:pStyle w:val="NICETabletext"/>
              <w:jc w:val="center"/>
              <w:rPr>
                <w:color w:val="000000"/>
                <w:highlight w:val="black"/>
              </w:rPr>
            </w:pPr>
            <w:r w:rsidRPr="00294FDC">
              <w:rPr>
                <w:color w:val="000000"/>
                <w:highlight w:val="black"/>
              </w:rPr>
              <w:t>xxxxx</w:t>
            </w:r>
          </w:p>
        </w:tc>
      </w:tr>
      <w:tr w:rsidR="00584355" w:rsidRPr="00E57999" w14:paraId="72D8CFB0" w14:textId="77777777" w:rsidTr="00F033C2">
        <w:trPr>
          <w:trHeight w:val="183"/>
        </w:trPr>
        <w:tc>
          <w:tcPr>
            <w:tcW w:w="2122" w:type="dxa"/>
          </w:tcPr>
          <w:p w14:paraId="30090D1C" w14:textId="77777777" w:rsidR="00584355" w:rsidRPr="000B1C52" w:rsidRDefault="00584355" w:rsidP="00F033C2">
            <w:pPr>
              <w:pStyle w:val="NICETabletext"/>
              <w:rPr>
                <w:lang w:eastAsia="en-GB"/>
              </w:rPr>
            </w:pPr>
            <w:r w:rsidRPr="000B1C52">
              <w:rPr>
                <w:lang w:eastAsia="en-GB"/>
              </w:rPr>
              <w:t>Log-logistic</w:t>
            </w:r>
          </w:p>
        </w:tc>
        <w:tc>
          <w:tcPr>
            <w:tcW w:w="1275" w:type="dxa"/>
            <w:vAlign w:val="center"/>
          </w:tcPr>
          <w:p w14:paraId="6648C515" w14:textId="5C7D6B54" w:rsidR="00584355" w:rsidRPr="00294FDC" w:rsidRDefault="00294FDC" w:rsidP="00F033C2">
            <w:pPr>
              <w:pStyle w:val="NICETabletext"/>
              <w:jc w:val="center"/>
              <w:rPr>
                <w:color w:val="000000"/>
                <w:highlight w:val="black"/>
              </w:rPr>
            </w:pPr>
            <w:r w:rsidRPr="00294FDC">
              <w:rPr>
                <w:color w:val="000000"/>
                <w:highlight w:val="black"/>
              </w:rPr>
              <w:t>xxxx</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10BDB5A3" w14:textId="48FF5EBC" w:rsidR="00584355" w:rsidRPr="00294FDC" w:rsidRDefault="00294FDC" w:rsidP="00F033C2">
            <w:pPr>
              <w:pStyle w:val="NICETabletext"/>
              <w:jc w:val="center"/>
              <w:rPr>
                <w:color w:val="000000"/>
                <w:highlight w:val="black"/>
              </w:rPr>
            </w:pPr>
            <w:r w:rsidRPr="00294FDC">
              <w:rPr>
                <w:color w:val="000000"/>
                <w:highlight w:val="black"/>
              </w:rPr>
              <w:t>xxxxxx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58EDDD1E" w14:textId="0A6530A8" w:rsidR="00584355" w:rsidRPr="00294FDC" w:rsidRDefault="00294FDC" w:rsidP="00F033C2">
            <w:pPr>
              <w:pStyle w:val="NICETabletext"/>
              <w:jc w:val="center"/>
              <w:rPr>
                <w:color w:val="000000"/>
                <w:highlight w:val="black"/>
              </w:rPr>
            </w:pPr>
            <w:r w:rsidRPr="00294FDC">
              <w:rPr>
                <w:color w:val="000000"/>
                <w:highlight w:val="black"/>
              </w:rPr>
              <w:t>xxxxx</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848BCDD" w14:textId="48161998" w:rsidR="00584355" w:rsidRPr="00294FDC" w:rsidRDefault="00294FDC" w:rsidP="00F033C2">
            <w:pPr>
              <w:pStyle w:val="NICETabletext"/>
              <w:jc w:val="center"/>
              <w:rPr>
                <w:color w:val="000000"/>
                <w:highlight w:val="black"/>
              </w:rPr>
            </w:pPr>
            <w:r w:rsidRPr="00294FDC">
              <w:rPr>
                <w:color w:val="000000"/>
                <w:highlight w:val="black"/>
              </w:rPr>
              <w:t>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59823284" w14:textId="4FC3E57E" w:rsidR="00584355" w:rsidRPr="00294FDC" w:rsidRDefault="00294FDC" w:rsidP="00F033C2">
            <w:pPr>
              <w:pStyle w:val="NICETabletext"/>
              <w:jc w:val="center"/>
              <w:rPr>
                <w:color w:val="000000"/>
                <w:highlight w:val="black"/>
              </w:rPr>
            </w:pPr>
            <w:r w:rsidRPr="00294FDC">
              <w:rPr>
                <w:color w:val="000000"/>
                <w:highlight w:val="black"/>
              </w:rPr>
              <w:t>xxxxx</w:t>
            </w:r>
          </w:p>
        </w:tc>
      </w:tr>
      <w:tr w:rsidR="00584355" w:rsidRPr="00E57999" w14:paraId="5CE8AE53" w14:textId="77777777" w:rsidTr="00F033C2">
        <w:trPr>
          <w:trHeight w:val="183"/>
        </w:trPr>
        <w:tc>
          <w:tcPr>
            <w:tcW w:w="2122" w:type="dxa"/>
          </w:tcPr>
          <w:p w14:paraId="02A475B2" w14:textId="77777777" w:rsidR="00584355" w:rsidRPr="00AD3FB6" w:rsidRDefault="00584355" w:rsidP="00F033C2">
            <w:pPr>
              <w:pStyle w:val="NICETabletext"/>
              <w:rPr>
                <w:lang w:eastAsia="en-GB"/>
              </w:rPr>
            </w:pPr>
            <w:r w:rsidRPr="00AD3FB6">
              <w:rPr>
                <w:lang w:eastAsia="en-GB"/>
              </w:rPr>
              <w:t>Log-normal</w:t>
            </w:r>
          </w:p>
        </w:tc>
        <w:tc>
          <w:tcPr>
            <w:tcW w:w="1275" w:type="dxa"/>
            <w:vAlign w:val="center"/>
          </w:tcPr>
          <w:p w14:paraId="7A43F0B9" w14:textId="4A974ED0" w:rsidR="00584355" w:rsidRPr="00294FDC" w:rsidRDefault="00294FDC" w:rsidP="00F033C2">
            <w:pPr>
              <w:pStyle w:val="NICETabletext"/>
              <w:jc w:val="center"/>
              <w:rPr>
                <w:color w:val="000000"/>
                <w:highlight w:val="black"/>
              </w:rPr>
            </w:pPr>
            <w:r w:rsidRPr="00294FDC">
              <w:rPr>
                <w:color w:val="000000"/>
                <w:highlight w:val="black"/>
              </w:rPr>
              <w:t>xxxx</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1B76D8DB" w14:textId="7D2E4E13" w:rsidR="00584355" w:rsidRPr="00294FDC" w:rsidRDefault="00294FDC" w:rsidP="00F033C2">
            <w:pPr>
              <w:pStyle w:val="NICETabletext"/>
              <w:jc w:val="center"/>
              <w:rPr>
                <w:color w:val="000000"/>
                <w:highlight w:val="black"/>
              </w:rPr>
            </w:pPr>
            <w:r w:rsidRPr="00294FDC">
              <w:rPr>
                <w:color w:val="000000"/>
                <w:highlight w:val="black"/>
              </w:rPr>
              <w:t>xxxxxx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396A067A" w14:textId="7375E1F0" w:rsidR="00584355" w:rsidRPr="00294FDC" w:rsidRDefault="00294FDC" w:rsidP="00F033C2">
            <w:pPr>
              <w:pStyle w:val="NICETabletext"/>
              <w:jc w:val="center"/>
              <w:rPr>
                <w:color w:val="000000"/>
                <w:highlight w:val="black"/>
              </w:rPr>
            </w:pPr>
            <w:r w:rsidRPr="00294FDC">
              <w:rPr>
                <w:color w:val="000000"/>
                <w:highlight w:val="black"/>
              </w:rPr>
              <w:t>xxxxx</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38743A6" w14:textId="4B4ED3B3" w:rsidR="00584355" w:rsidRPr="00294FDC" w:rsidRDefault="00294FDC" w:rsidP="00F033C2">
            <w:pPr>
              <w:pStyle w:val="NICETabletext"/>
              <w:jc w:val="center"/>
              <w:rPr>
                <w:color w:val="000000"/>
                <w:highlight w:val="black"/>
              </w:rPr>
            </w:pPr>
            <w:r w:rsidRPr="00294FDC">
              <w:rPr>
                <w:color w:val="000000"/>
                <w:highlight w:val="black"/>
              </w:rPr>
              <w:t>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673AFC29" w14:textId="1C5CD6BA" w:rsidR="00584355" w:rsidRPr="00294FDC" w:rsidRDefault="00294FDC" w:rsidP="00F033C2">
            <w:pPr>
              <w:pStyle w:val="NICETabletext"/>
              <w:jc w:val="center"/>
              <w:rPr>
                <w:color w:val="000000"/>
                <w:highlight w:val="black"/>
              </w:rPr>
            </w:pPr>
            <w:r w:rsidRPr="00294FDC">
              <w:rPr>
                <w:color w:val="000000"/>
                <w:highlight w:val="black"/>
              </w:rPr>
              <w:t>xxxxx</w:t>
            </w:r>
          </w:p>
        </w:tc>
      </w:tr>
      <w:tr w:rsidR="00584355" w:rsidRPr="00E57999" w14:paraId="7BE96D4C" w14:textId="77777777" w:rsidTr="00F033C2">
        <w:trPr>
          <w:trHeight w:val="183"/>
        </w:trPr>
        <w:tc>
          <w:tcPr>
            <w:tcW w:w="2122" w:type="dxa"/>
          </w:tcPr>
          <w:p w14:paraId="65748289" w14:textId="77777777" w:rsidR="00584355" w:rsidRPr="000B1C52" w:rsidRDefault="00584355" w:rsidP="00F033C2">
            <w:pPr>
              <w:pStyle w:val="NICETabletext"/>
              <w:rPr>
                <w:lang w:eastAsia="en-GB"/>
              </w:rPr>
            </w:pPr>
            <w:r w:rsidRPr="000B1C52">
              <w:rPr>
                <w:bCs/>
                <w:lang w:eastAsia="en-GB"/>
              </w:rPr>
              <w:t>Generalised gamma</w:t>
            </w:r>
          </w:p>
        </w:tc>
        <w:tc>
          <w:tcPr>
            <w:tcW w:w="1275" w:type="dxa"/>
            <w:vAlign w:val="center"/>
          </w:tcPr>
          <w:p w14:paraId="41C0C08C" w14:textId="7A6E4946" w:rsidR="00584355" w:rsidRPr="00294FDC" w:rsidRDefault="00294FDC" w:rsidP="00F033C2">
            <w:pPr>
              <w:pStyle w:val="NICETabletext"/>
              <w:jc w:val="center"/>
              <w:rPr>
                <w:color w:val="000000"/>
                <w:highlight w:val="black"/>
              </w:rPr>
            </w:pPr>
            <w:r w:rsidRPr="00294FDC">
              <w:rPr>
                <w:color w:val="000000"/>
                <w:highlight w:val="black"/>
              </w:rPr>
              <w:t>xxxx</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1AA7A197" w14:textId="726FF5E7" w:rsidR="00584355" w:rsidRPr="00294FDC" w:rsidRDefault="00294FDC" w:rsidP="00F033C2">
            <w:pPr>
              <w:pStyle w:val="NICETabletext"/>
              <w:jc w:val="center"/>
              <w:rPr>
                <w:color w:val="000000"/>
                <w:highlight w:val="black"/>
              </w:rPr>
            </w:pPr>
            <w:r w:rsidRPr="00294FDC">
              <w:rPr>
                <w:color w:val="000000"/>
                <w:highlight w:val="black"/>
              </w:rPr>
              <w:t>xxxxxx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2BEED275" w14:textId="59D3B76C" w:rsidR="00584355" w:rsidRPr="00294FDC" w:rsidRDefault="00294FDC" w:rsidP="00F033C2">
            <w:pPr>
              <w:pStyle w:val="NICETabletext"/>
              <w:jc w:val="center"/>
              <w:rPr>
                <w:color w:val="000000"/>
                <w:highlight w:val="black"/>
              </w:rPr>
            </w:pPr>
            <w:r w:rsidRPr="00294FDC">
              <w:rPr>
                <w:color w:val="000000"/>
                <w:highlight w:val="black"/>
              </w:rPr>
              <w:t>xxxxx</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40C999D" w14:textId="22673D27" w:rsidR="00584355" w:rsidRPr="00294FDC" w:rsidRDefault="00294FDC" w:rsidP="00F033C2">
            <w:pPr>
              <w:pStyle w:val="NICETabletext"/>
              <w:jc w:val="center"/>
              <w:rPr>
                <w:color w:val="000000"/>
                <w:highlight w:val="black"/>
              </w:rPr>
            </w:pPr>
            <w:r w:rsidRPr="00294FDC">
              <w:rPr>
                <w:color w:val="000000"/>
                <w:highlight w:val="black"/>
              </w:rPr>
              <w:t>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726DDDF8" w14:textId="743F1A33" w:rsidR="00584355" w:rsidRPr="00294FDC" w:rsidRDefault="00294FDC" w:rsidP="00F033C2">
            <w:pPr>
              <w:pStyle w:val="NICETabletext"/>
              <w:jc w:val="center"/>
              <w:rPr>
                <w:color w:val="000000"/>
                <w:highlight w:val="black"/>
              </w:rPr>
            </w:pPr>
            <w:r w:rsidRPr="00294FDC">
              <w:rPr>
                <w:color w:val="000000"/>
                <w:highlight w:val="black"/>
              </w:rPr>
              <w:t>xxxxx</w:t>
            </w:r>
          </w:p>
        </w:tc>
      </w:tr>
      <w:tr w:rsidR="00584355" w:rsidRPr="00E57999" w14:paraId="05F4F83E" w14:textId="77777777" w:rsidTr="00F033C2">
        <w:trPr>
          <w:trHeight w:val="183"/>
        </w:trPr>
        <w:tc>
          <w:tcPr>
            <w:tcW w:w="8926" w:type="dxa"/>
            <w:gridSpan w:val="6"/>
            <w:tcBorders>
              <w:right w:val="single" w:sz="4" w:space="0" w:color="auto"/>
            </w:tcBorders>
            <w:shd w:val="clear" w:color="auto" w:fill="F2F2F2" w:themeFill="background1" w:themeFillShade="F2"/>
          </w:tcPr>
          <w:p w14:paraId="451306B4" w14:textId="77777777" w:rsidR="00584355" w:rsidRPr="00C532F9" w:rsidRDefault="00584355" w:rsidP="00F033C2">
            <w:pPr>
              <w:pStyle w:val="NICETabletext"/>
              <w:rPr>
                <w:b/>
                <w:lang w:eastAsia="en-GB"/>
              </w:rPr>
            </w:pPr>
            <w:r w:rsidRPr="00C532F9">
              <w:rPr>
                <w:b/>
                <w:lang w:eastAsia="en-GB"/>
              </w:rPr>
              <w:t>T-DXd</w:t>
            </w:r>
          </w:p>
        </w:tc>
      </w:tr>
      <w:tr w:rsidR="00584355" w:rsidRPr="00E57999" w14:paraId="53916D79" w14:textId="77777777" w:rsidTr="00F033C2">
        <w:trPr>
          <w:trHeight w:val="183"/>
        </w:trPr>
        <w:tc>
          <w:tcPr>
            <w:tcW w:w="2122" w:type="dxa"/>
          </w:tcPr>
          <w:p w14:paraId="21E415A0" w14:textId="77777777" w:rsidR="00584355" w:rsidRPr="000B1C52" w:rsidRDefault="00584355" w:rsidP="00F033C2">
            <w:pPr>
              <w:pStyle w:val="NICETabletext"/>
              <w:rPr>
                <w:bCs/>
                <w:lang w:eastAsia="en-GB"/>
              </w:rPr>
            </w:pPr>
            <w:r w:rsidRPr="000B1C52">
              <w:rPr>
                <w:lang w:eastAsia="en-GB"/>
              </w:rPr>
              <w:t>Exponential</w:t>
            </w:r>
          </w:p>
        </w:tc>
        <w:tc>
          <w:tcPr>
            <w:tcW w:w="1275" w:type="dxa"/>
            <w:vAlign w:val="center"/>
          </w:tcPr>
          <w:p w14:paraId="461E7052" w14:textId="4195EE83" w:rsidR="00584355" w:rsidRPr="00294FDC" w:rsidRDefault="00294FDC" w:rsidP="00F033C2">
            <w:pPr>
              <w:pStyle w:val="NICETabletext"/>
              <w:jc w:val="center"/>
              <w:rPr>
                <w:color w:val="000000"/>
                <w:highlight w:val="black"/>
              </w:rPr>
            </w:pPr>
            <w:r w:rsidRPr="00294FDC">
              <w:rPr>
                <w:color w:val="000000"/>
                <w:highlight w:val="black"/>
              </w:rPr>
              <w:t>xxxx</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18C7C16C" w14:textId="086C0837" w:rsidR="00584355" w:rsidRPr="00294FDC" w:rsidRDefault="00294FDC" w:rsidP="00F033C2">
            <w:pPr>
              <w:pStyle w:val="NICETabletext"/>
              <w:jc w:val="center"/>
              <w:rPr>
                <w:color w:val="000000"/>
                <w:highlight w:val="black"/>
              </w:rPr>
            </w:pPr>
            <w:r w:rsidRPr="00294FDC">
              <w:rPr>
                <w:color w:val="000000"/>
                <w:highlight w:val="black"/>
              </w:rPr>
              <w:t>xxxxxx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42541896" w14:textId="65C3FD75" w:rsidR="00584355" w:rsidRPr="00294FDC" w:rsidRDefault="00294FDC" w:rsidP="00F033C2">
            <w:pPr>
              <w:pStyle w:val="NICETabletext"/>
              <w:jc w:val="center"/>
              <w:rPr>
                <w:color w:val="000000"/>
                <w:highlight w:val="black"/>
              </w:rPr>
            </w:pPr>
            <w:r w:rsidRPr="00294FDC">
              <w:rPr>
                <w:color w:val="000000"/>
                <w:highlight w:val="black"/>
              </w:rPr>
              <w:t>xxxxx</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2F400FDB" w14:textId="54E9CEAA" w:rsidR="00584355" w:rsidRPr="00294FDC" w:rsidRDefault="00294FDC" w:rsidP="00F033C2">
            <w:pPr>
              <w:pStyle w:val="NICETabletext"/>
              <w:jc w:val="center"/>
              <w:rPr>
                <w:color w:val="000000"/>
                <w:highlight w:val="black"/>
              </w:rPr>
            </w:pPr>
            <w:r w:rsidRPr="00294FDC">
              <w:rPr>
                <w:color w:val="000000"/>
                <w:highlight w:val="black"/>
              </w:rPr>
              <w:t>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47AD0479" w14:textId="235E0081" w:rsidR="00584355" w:rsidRPr="00294FDC" w:rsidRDefault="00294FDC" w:rsidP="00F033C2">
            <w:pPr>
              <w:pStyle w:val="NICETabletext"/>
              <w:jc w:val="center"/>
              <w:rPr>
                <w:color w:val="000000"/>
                <w:highlight w:val="black"/>
              </w:rPr>
            </w:pPr>
            <w:r w:rsidRPr="00294FDC">
              <w:rPr>
                <w:color w:val="000000"/>
                <w:highlight w:val="black"/>
              </w:rPr>
              <w:t>xxxxx</w:t>
            </w:r>
          </w:p>
        </w:tc>
      </w:tr>
      <w:tr w:rsidR="00584355" w:rsidRPr="00E57999" w14:paraId="11785C87" w14:textId="77777777" w:rsidTr="00F033C2">
        <w:trPr>
          <w:trHeight w:val="183"/>
        </w:trPr>
        <w:tc>
          <w:tcPr>
            <w:tcW w:w="2122" w:type="dxa"/>
          </w:tcPr>
          <w:p w14:paraId="0D219ACB" w14:textId="77777777" w:rsidR="00584355" w:rsidRPr="000B1C52" w:rsidRDefault="00584355" w:rsidP="00F033C2">
            <w:pPr>
              <w:pStyle w:val="NICETabletext"/>
              <w:rPr>
                <w:bCs/>
                <w:lang w:eastAsia="en-GB"/>
              </w:rPr>
            </w:pPr>
            <w:r w:rsidRPr="000B1C52">
              <w:rPr>
                <w:lang w:eastAsia="en-GB"/>
              </w:rPr>
              <w:t>Weibull</w:t>
            </w:r>
          </w:p>
        </w:tc>
        <w:tc>
          <w:tcPr>
            <w:tcW w:w="1275" w:type="dxa"/>
            <w:vAlign w:val="center"/>
          </w:tcPr>
          <w:p w14:paraId="5D3C1D6F" w14:textId="66BFA977" w:rsidR="00584355" w:rsidRPr="00294FDC" w:rsidRDefault="00294FDC" w:rsidP="00F033C2">
            <w:pPr>
              <w:pStyle w:val="NICETabletext"/>
              <w:jc w:val="center"/>
              <w:rPr>
                <w:color w:val="000000"/>
                <w:highlight w:val="black"/>
              </w:rPr>
            </w:pPr>
            <w:r w:rsidRPr="00294FDC">
              <w:rPr>
                <w:color w:val="000000"/>
                <w:highlight w:val="black"/>
              </w:rPr>
              <w:t>xxxxx</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6642144C" w14:textId="4C0467EF" w:rsidR="00584355" w:rsidRPr="00294FDC" w:rsidRDefault="00294FDC" w:rsidP="00F033C2">
            <w:pPr>
              <w:pStyle w:val="NICETabletext"/>
              <w:jc w:val="center"/>
              <w:rPr>
                <w:color w:val="000000"/>
                <w:highlight w:val="black"/>
              </w:rPr>
            </w:pPr>
            <w:r w:rsidRPr="00294FDC">
              <w:rPr>
                <w:color w:val="000000"/>
                <w:highlight w:val="black"/>
              </w:rPr>
              <w:t>xxxxxx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101193CF" w14:textId="010264BB" w:rsidR="00584355" w:rsidRPr="00294FDC" w:rsidRDefault="00294FDC" w:rsidP="00F033C2">
            <w:pPr>
              <w:pStyle w:val="NICETabletext"/>
              <w:jc w:val="center"/>
              <w:rPr>
                <w:color w:val="000000"/>
                <w:highlight w:val="black"/>
              </w:rPr>
            </w:pPr>
            <w:r w:rsidRPr="00294FDC">
              <w:rPr>
                <w:color w:val="000000"/>
                <w:highlight w:val="black"/>
              </w:rPr>
              <w:t>xxxxx</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D602AC5" w14:textId="2F20A62C" w:rsidR="00584355" w:rsidRPr="00294FDC" w:rsidRDefault="00294FDC" w:rsidP="00F033C2">
            <w:pPr>
              <w:pStyle w:val="NICETabletext"/>
              <w:jc w:val="center"/>
              <w:rPr>
                <w:color w:val="000000"/>
                <w:highlight w:val="black"/>
              </w:rPr>
            </w:pPr>
            <w:r w:rsidRPr="00294FDC">
              <w:rPr>
                <w:color w:val="000000"/>
                <w:highlight w:val="black"/>
              </w:rPr>
              <w:t>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3D556E61" w14:textId="47C2E3E1" w:rsidR="00584355" w:rsidRPr="00294FDC" w:rsidRDefault="00294FDC" w:rsidP="00F033C2">
            <w:pPr>
              <w:pStyle w:val="NICETabletext"/>
              <w:jc w:val="center"/>
              <w:rPr>
                <w:color w:val="000000"/>
                <w:highlight w:val="black"/>
              </w:rPr>
            </w:pPr>
            <w:r w:rsidRPr="00294FDC">
              <w:rPr>
                <w:color w:val="000000"/>
                <w:highlight w:val="black"/>
              </w:rPr>
              <w:t>xxxxx</w:t>
            </w:r>
          </w:p>
        </w:tc>
      </w:tr>
      <w:tr w:rsidR="00584355" w:rsidRPr="00E57999" w14:paraId="271DBA83" w14:textId="77777777" w:rsidTr="00F033C2">
        <w:trPr>
          <w:trHeight w:val="183"/>
        </w:trPr>
        <w:tc>
          <w:tcPr>
            <w:tcW w:w="2122" w:type="dxa"/>
          </w:tcPr>
          <w:p w14:paraId="51825FFD" w14:textId="77777777" w:rsidR="00584355" w:rsidRPr="000B1C52" w:rsidRDefault="00584355" w:rsidP="00F033C2">
            <w:pPr>
              <w:pStyle w:val="NICETabletext"/>
              <w:rPr>
                <w:bCs/>
                <w:lang w:eastAsia="en-GB"/>
              </w:rPr>
            </w:pPr>
            <w:r w:rsidRPr="000B1C52">
              <w:rPr>
                <w:lang w:eastAsia="en-GB"/>
              </w:rPr>
              <w:t>Gompertz</w:t>
            </w:r>
          </w:p>
        </w:tc>
        <w:tc>
          <w:tcPr>
            <w:tcW w:w="1275" w:type="dxa"/>
            <w:vAlign w:val="center"/>
          </w:tcPr>
          <w:p w14:paraId="11A9488D" w14:textId="79ADB8C4" w:rsidR="00584355" w:rsidRPr="00294FDC" w:rsidRDefault="00294FDC" w:rsidP="00F033C2">
            <w:pPr>
              <w:pStyle w:val="NICETabletext"/>
              <w:jc w:val="center"/>
              <w:rPr>
                <w:color w:val="000000"/>
                <w:highlight w:val="black"/>
              </w:rPr>
            </w:pPr>
            <w:r w:rsidRPr="00294FDC">
              <w:rPr>
                <w:color w:val="000000"/>
                <w:highlight w:val="black"/>
              </w:rPr>
              <w:t>xxxxx</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26510252" w14:textId="524C0B65" w:rsidR="00584355" w:rsidRPr="00294FDC" w:rsidRDefault="00294FDC" w:rsidP="00F033C2">
            <w:pPr>
              <w:pStyle w:val="NICETabletext"/>
              <w:jc w:val="center"/>
              <w:rPr>
                <w:color w:val="000000"/>
                <w:highlight w:val="black"/>
              </w:rPr>
            </w:pPr>
            <w:r w:rsidRPr="00294FDC">
              <w:rPr>
                <w:color w:val="000000"/>
                <w:highlight w:val="black"/>
              </w:rPr>
              <w:t>xxxxxx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0CD2C701" w14:textId="1330FA73" w:rsidR="00584355" w:rsidRPr="00294FDC" w:rsidRDefault="00294FDC" w:rsidP="00F033C2">
            <w:pPr>
              <w:pStyle w:val="NICETabletext"/>
              <w:jc w:val="center"/>
              <w:rPr>
                <w:color w:val="000000"/>
                <w:highlight w:val="black"/>
              </w:rPr>
            </w:pPr>
            <w:r w:rsidRPr="00294FDC">
              <w:rPr>
                <w:color w:val="000000"/>
                <w:highlight w:val="black"/>
              </w:rPr>
              <w:t>xxxxx</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D292238" w14:textId="2A33E139" w:rsidR="00584355" w:rsidRPr="00294FDC" w:rsidRDefault="00294FDC" w:rsidP="00F033C2">
            <w:pPr>
              <w:pStyle w:val="NICETabletext"/>
              <w:jc w:val="center"/>
              <w:rPr>
                <w:color w:val="000000"/>
                <w:highlight w:val="black"/>
              </w:rPr>
            </w:pPr>
            <w:r w:rsidRPr="00294FDC">
              <w:rPr>
                <w:color w:val="000000"/>
                <w:highlight w:val="black"/>
              </w:rPr>
              <w:t>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7E12824D" w14:textId="69171D64" w:rsidR="00584355" w:rsidRPr="00294FDC" w:rsidRDefault="00294FDC" w:rsidP="00F033C2">
            <w:pPr>
              <w:pStyle w:val="NICETabletext"/>
              <w:jc w:val="center"/>
              <w:rPr>
                <w:color w:val="000000"/>
                <w:highlight w:val="black"/>
              </w:rPr>
            </w:pPr>
            <w:r w:rsidRPr="00294FDC">
              <w:rPr>
                <w:color w:val="000000"/>
                <w:highlight w:val="black"/>
              </w:rPr>
              <w:t>xxxxx</w:t>
            </w:r>
          </w:p>
        </w:tc>
      </w:tr>
      <w:tr w:rsidR="00584355" w:rsidRPr="00E57999" w14:paraId="2DAE8554" w14:textId="77777777" w:rsidTr="00F033C2">
        <w:trPr>
          <w:trHeight w:val="183"/>
        </w:trPr>
        <w:tc>
          <w:tcPr>
            <w:tcW w:w="2122" w:type="dxa"/>
          </w:tcPr>
          <w:p w14:paraId="3A88F4DA" w14:textId="77777777" w:rsidR="00584355" w:rsidRPr="000B1C52" w:rsidRDefault="00584355" w:rsidP="00F033C2">
            <w:pPr>
              <w:pStyle w:val="NICETabletext"/>
              <w:rPr>
                <w:bCs/>
                <w:lang w:eastAsia="en-GB"/>
              </w:rPr>
            </w:pPr>
            <w:r w:rsidRPr="000B1C52">
              <w:rPr>
                <w:lang w:eastAsia="en-GB"/>
              </w:rPr>
              <w:t>Log-logistic</w:t>
            </w:r>
          </w:p>
        </w:tc>
        <w:tc>
          <w:tcPr>
            <w:tcW w:w="1275" w:type="dxa"/>
            <w:vAlign w:val="center"/>
          </w:tcPr>
          <w:p w14:paraId="3326310E" w14:textId="4CE1A206" w:rsidR="00584355" w:rsidRPr="00294FDC" w:rsidRDefault="00294FDC" w:rsidP="00F033C2">
            <w:pPr>
              <w:pStyle w:val="NICETabletext"/>
              <w:jc w:val="center"/>
              <w:rPr>
                <w:color w:val="000000"/>
                <w:highlight w:val="black"/>
              </w:rPr>
            </w:pPr>
            <w:r w:rsidRPr="00294FDC">
              <w:rPr>
                <w:color w:val="000000"/>
                <w:highlight w:val="black"/>
              </w:rPr>
              <w:t>xxxx</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B34A21A" w14:textId="4BDB0622" w:rsidR="00584355" w:rsidRPr="00294FDC" w:rsidRDefault="00294FDC" w:rsidP="00F033C2">
            <w:pPr>
              <w:pStyle w:val="NICETabletext"/>
              <w:jc w:val="center"/>
              <w:rPr>
                <w:color w:val="000000"/>
                <w:highlight w:val="black"/>
              </w:rPr>
            </w:pPr>
            <w:r w:rsidRPr="00294FDC">
              <w:rPr>
                <w:color w:val="000000"/>
                <w:highlight w:val="black"/>
              </w:rPr>
              <w:t>xxxxxx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0D3BAC3F" w14:textId="54A343BA" w:rsidR="00584355" w:rsidRPr="00294FDC" w:rsidRDefault="00294FDC" w:rsidP="00F033C2">
            <w:pPr>
              <w:pStyle w:val="NICETabletext"/>
              <w:jc w:val="center"/>
              <w:rPr>
                <w:color w:val="000000"/>
                <w:highlight w:val="black"/>
              </w:rPr>
            </w:pPr>
            <w:r w:rsidRPr="00294FDC">
              <w:rPr>
                <w:color w:val="000000"/>
                <w:highlight w:val="black"/>
              </w:rPr>
              <w:t>xxxxxx</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54B9679" w14:textId="7CD68B64" w:rsidR="00584355" w:rsidRPr="00294FDC" w:rsidRDefault="00294FDC" w:rsidP="00F033C2">
            <w:pPr>
              <w:pStyle w:val="NICETabletext"/>
              <w:jc w:val="center"/>
              <w:rPr>
                <w:color w:val="000000"/>
                <w:highlight w:val="black"/>
              </w:rPr>
            </w:pPr>
            <w:r w:rsidRPr="00294FDC">
              <w:rPr>
                <w:color w:val="000000"/>
                <w:highlight w:val="black"/>
              </w:rPr>
              <w:t>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7FD87286" w14:textId="3B4FB05C" w:rsidR="00584355" w:rsidRPr="00294FDC" w:rsidRDefault="00294FDC" w:rsidP="00F033C2">
            <w:pPr>
              <w:pStyle w:val="NICETabletext"/>
              <w:jc w:val="center"/>
              <w:rPr>
                <w:color w:val="000000"/>
                <w:highlight w:val="black"/>
              </w:rPr>
            </w:pPr>
            <w:r w:rsidRPr="00294FDC">
              <w:rPr>
                <w:color w:val="000000"/>
                <w:highlight w:val="black"/>
              </w:rPr>
              <w:t>xxxxx</w:t>
            </w:r>
          </w:p>
        </w:tc>
      </w:tr>
      <w:tr w:rsidR="00584355" w:rsidRPr="00E57999" w14:paraId="47C12B7C" w14:textId="77777777" w:rsidTr="00F033C2">
        <w:trPr>
          <w:trHeight w:val="183"/>
        </w:trPr>
        <w:tc>
          <w:tcPr>
            <w:tcW w:w="2122" w:type="dxa"/>
          </w:tcPr>
          <w:p w14:paraId="1B3DAABB" w14:textId="77777777" w:rsidR="00584355" w:rsidRPr="000B1C52" w:rsidRDefault="00584355" w:rsidP="00F033C2">
            <w:pPr>
              <w:pStyle w:val="NICETabletext"/>
              <w:rPr>
                <w:bCs/>
                <w:lang w:eastAsia="en-GB"/>
              </w:rPr>
            </w:pPr>
            <w:r w:rsidRPr="00AD3FB6">
              <w:rPr>
                <w:lang w:eastAsia="en-GB"/>
              </w:rPr>
              <w:t>Log-normal</w:t>
            </w:r>
          </w:p>
        </w:tc>
        <w:tc>
          <w:tcPr>
            <w:tcW w:w="1275" w:type="dxa"/>
            <w:vAlign w:val="center"/>
          </w:tcPr>
          <w:p w14:paraId="27CB78CA" w14:textId="2006D10A" w:rsidR="00584355" w:rsidRPr="00294FDC" w:rsidRDefault="00294FDC" w:rsidP="00F033C2">
            <w:pPr>
              <w:pStyle w:val="NICETabletext"/>
              <w:jc w:val="center"/>
              <w:rPr>
                <w:color w:val="000000"/>
                <w:highlight w:val="black"/>
              </w:rPr>
            </w:pPr>
            <w:r w:rsidRPr="00294FDC">
              <w:rPr>
                <w:color w:val="000000"/>
                <w:highlight w:val="black"/>
              </w:rPr>
              <w:t>xxxx</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43E5A158" w14:textId="27C8DFF7" w:rsidR="00584355" w:rsidRPr="00294FDC" w:rsidRDefault="00294FDC" w:rsidP="00F033C2">
            <w:pPr>
              <w:pStyle w:val="NICETabletext"/>
              <w:jc w:val="center"/>
              <w:rPr>
                <w:color w:val="000000"/>
                <w:highlight w:val="black"/>
              </w:rPr>
            </w:pPr>
            <w:r w:rsidRPr="00294FDC">
              <w:rPr>
                <w:color w:val="000000"/>
                <w:highlight w:val="black"/>
              </w:rPr>
              <w:t>xxxxxx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5B6B7D24" w14:textId="4C0F223B" w:rsidR="00584355" w:rsidRPr="00294FDC" w:rsidRDefault="00294FDC" w:rsidP="00F033C2">
            <w:pPr>
              <w:pStyle w:val="NICETabletext"/>
              <w:jc w:val="center"/>
              <w:rPr>
                <w:color w:val="000000"/>
                <w:highlight w:val="black"/>
              </w:rPr>
            </w:pPr>
            <w:r w:rsidRPr="00294FDC">
              <w:rPr>
                <w:color w:val="000000"/>
                <w:highlight w:val="black"/>
              </w:rPr>
              <w:t>xxxxxx</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5ACB58E" w14:textId="6B88161E" w:rsidR="00584355" w:rsidRPr="00294FDC" w:rsidRDefault="00294FDC" w:rsidP="00F033C2">
            <w:pPr>
              <w:pStyle w:val="NICETabletext"/>
              <w:jc w:val="center"/>
              <w:rPr>
                <w:color w:val="000000"/>
                <w:highlight w:val="black"/>
              </w:rPr>
            </w:pPr>
            <w:r w:rsidRPr="00294FDC">
              <w:rPr>
                <w:color w:val="000000"/>
                <w:highlight w:val="black"/>
              </w:rPr>
              <w:t>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0DBDDC82" w14:textId="5757B778" w:rsidR="00584355" w:rsidRPr="00294FDC" w:rsidRDefault="00294FDC" w:rsidP="00F033C2">
            <w:pPr>
              <w:pStyle w:val="NICETabletext"/>
              <w:jc w:val="center"/>
              <w:rPr>
                <w:color w:val="000000"/>
                <w:highlight w:val="black"/>
              </w:rPr>
            </w:pPr>
            <w:r w:rsidRPr="00294FDC">
              <w:rPr>
                <w:color w:val="000000"/>
                <w:highlight w:val="black"/>
              </w:rPr>
              <w:t>xxxxx</w:t>
            </w:r>
          </w:p>
        </w:tc>
      </w:tr>
      <w:tr w:rsidR="00584355" w:rsidRPr="00E57999" w14:paraId="1E02A2D7" w14:textId="77777777" w:rsidTr="00F033C2">
        <w:trPr>
          <w:trHeight w:val="183"/>
        </w:trPr>
        <w:tc>
          <w:tcPr>
            <w:tcW w:w="2122" w:type="dxa"/>
          </w:tcPr>
          <w:p w14:paraId="58AE2018" w14:textId="77777777" w:rsidR="00584355" w:rsidRPr="000B1C52" w:rsidRDefault="00584355" w:rsidP="00F033C2">
            <w:pPr>
              <w:pStyle w:val="NICETabletext"/>
              <w:rPr>
                <w:bCs/>
                <w:lang w:eastAsia="en-GB"/>
              </w:rPr>
            </w:pPr>
            <w:r w:rsidRPr="000B1C52">
              <w:rPr>
                <w:lang w:eastAsia="en-GB"/>
              </w:rPr>
              <w:t>Generalised gamma</w:t>
            </w:r>
          </w:p>
        </w:tc>
        <w:tc>
          <w:tcPr>
            <w:tcW w:w="1275" w:type="dxa"/>
            <w:vAlign w:val="center"/>
          </w:tcPr>
          <w:p w14:paraId="2B120FB6" w14:textId="6AD10280" w:rsidR="00584355" w:rsidRPr="00294FDC" w:rsidRDefault="00294FDC" w:rsidP="00F033C2">
            <w:pPr>
              <w:pStyle w:val="NICETabletext"/>
              <w:jc w:val="center"/>
              <w:rPr>
                <w:color w:val="000000"/>
                <w:highlight w:val="black"/>
              </w:rPr>
            </w:pPr>
            <w:r w:rsidRPr="00294FDC">
              <w:rPr>
                <w:color w:val="000000"/>
                <w:highlight w:val="black"/>
              </w:rPr>
              <w:t>xxxx</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6EF18E88" w14:textId="6275AA48" w:rsidR="00584355" w:rsidRPr="00294FDC" w:rsidRDefault="00294FDC" w:rsidP="00F033C2">
            <w:pPr>
              <w:pStyle w:val="NICETabletext"/>
              <w:jc w:val="center"/>
              <w:rPr>
                <w:color w:val="000000"/>
                <w:highlight w:val="black"/>
              </w:rPr>
            </w:pPr>
            <w:r w:rsidRPr="00294FDC">
              <w:rPr>
                <w:color w:val="000000"/>
                <w:highlight w:val="black"/>
              </w:rPr>
              <w:t>xxxxxx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43F5FA4E" w14:textId="7CD08067" w:rsidR="00584355" w:rsidRPr="00294FDC" w:rsidRDefault="00294FDC" w:rsidP="00F033C2">
            <w:pPr>
              <w:pStyle w:val="NICETabletext"/>
              <w:jc w:val="center"/>
              <w:rPr>
                <w:color w:val="000000"/>
                <w:highlight w:val="black"/>
              </w:rPr>
            </w:pPr>
            <w:r w:rsidRPr="00294FDC">
              <w:rPr>
                <w:color w:val="000000"/>
                <w:highlight w:val="black"/>
              </w:rPr>
              <w:t>xxxxx</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E9068C3" w14:textId="198F4AE0" w:rsidR="00584355" w:rsidRPr="00294FDC" w:rsidRDefault="00294FDC" w:rsidP="00F033C2">
            <w:pPr>
              <w:pStyle w:val="NICETabletext"/>
              <w:jc w:val="center"/>
              <w:rPr>
                <w:color w:val="000000"/>
                <w:highlight w:val="black"/>
              </w:rPr>
            </w:pPr>
            <w:r w:rsidRPr="00294FDC">
              <w:rPr>
                <w:color w:val="000000"/>
                <w:highlight w:val="black"/>
              </w:rPr>
              <w:t>xxxxx</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150FE64C" w14:textId="6CA70ECD" w:rsidR="00584355" w:rsidRPr="00294FDC" w:rsidRDefault="00294FDC" w:rsidP="00F033C2">
            <w:pPr>
              <w:pStyle w:val="NICETabletext"/>
              <w:jc w:val="center"/>
              <w:rPr>
                <w:color w:val="000000"/>
                <w:highlight w:val="black"/>
              </w:rPr>
            </w:pPr>
            <w:r w:rsidRPr="00294FDC">
              <w:rPr>
                <w:color w:val="000000"/>
                <w:highlight w:val="black"/>
              </w:rPr>
              <w:t>xxxxx</w:t>
            </w:r>
          </w:p>
        </w:tc>
      </w:tr>
    </w:tbl>
    <w:bookmarkEnd w:id="502"/>
    <w:p w14:paraId="662DD28B" w14:textId="77777777" w:rsidR="00584355" w:rsidRPr="00EB3DF6" w:rsidRDefault="00584355" w:rsidP="00584355">
      <w:pPr>
        <w:pStyle w:val="Body"/>
        <w:spacing w:after="0"/>
        <w:rPr>
          <w:rStyle w:val="FootnotesChar"/>
          <w:sz w:val="22"/>
          <w:szCs w:val="22"/>
        </w:rPr>
      </w:pPr>
      <w:r>
        <w:rPr>
          <w:rStyle w:val="FootnotesChar"/>
        </w:rPr>
        <w:t xml:space="preserve">Notes: </w:t>
      </w:r>
      <w:r w:rsidRPr="00EB3DF6">
        <w:rPr>
          <w:rStyle w:val="FootnotesChar"/>
        </w:rPr>
        <w:t xml:space="preserve">*Median time in months is estimated after </w:t>
      </w:r>
      <w:r>
        <w:rPr>
          <w:rStyle w:val="FootnotesChar"/>
        </w:rPr>
        <w:t>PFS</w:t>
      </w:r>
      <w:r w:rsidRPr="00EB3DF6">
        <w:rPr>
          <w:rStyle w:val="FootnotesChar"/>
        </w:rPr>
        <w:t xml:space="preserve"> has been capped by </w:t>
      </w:r>
      <w:r>
        <w:rPr>
          <w:rStyle w:val="FootnotesChar"/>
        </w:rPr>
        <w:t>OS</w:t>
      </w:r>
      <w:r w:rsidRPr="00EB3DF6">
        <w:rPr>
          <w:rStyle w:val="FootnotesChar"/>
        </w:rPr>
        <w:t>.</w:t>
      </w:r>
    </w:p>
    <w:p w14:paraId="5D07F785" w14:textId="06F3006E" w:rsidR="00584355" w:rsidRDefault="00584355" w:rsidP="00584355">
      <w:pPr>
        <w:pStyle w:val="Body"/>
        <w:rPr>
          <w:sz w:val="18"/>
          <w:szCs w:val="18"/>
        </w:rPr>
      </w:pPr>
      <w:r w:rsidRPr="00546A80">
        <w:rPr>
          <w:rStyle w:val="FootnotesChar"/>
        </w:rPr>
        <w:t xml:space="preserve">Abbreviations: </w:t>
      </w:r>
      <w:r>
        <w:rPr>
          <w:rStyle w:val="FootnotesChar"/>
        </w:rPr>
        <w:t xml:space="preserve">FAS, full analysis </w:t>
      </w:r>
      <w:r w:rsidRPr="0018013D">
        <w:rPr>
          <w:rStyle w:val="FootnotesChar"/>
        </w:rPr>
        <w:t xml:space="preserve">set; PFS, progression-free survival; </w:t>
      </w:r>
      <w:r w:rsidRPr="00AD3FB6">
        <w:rPr>
          <w:sz w:val="18"/>
          <w:szCs w:val="18"/>
        </w:rPr>
        <w:t>T-DXd, trastuzumab deruxtecan; TPC, treatment of physician’s choice.</w:t>
      </w:r>
    </w:p>
    <w:p w14:paraId="166DC332" w14:textId="3FB1B88E" w:rsidR="00A96376" w:rsidRPr="00044306" w:rsidRDefault="00A96376" w:rsidP="00A96376">
      <w:pPr>
        <w:pStyle w:val="Caption"/>
      </w:pPr>
      <w:bookmarkStart w:id="503" w:name="_Ref129039928"/>
      <w:bookmarkStart w:id="504" w:name="_Ref129037195"/>
      <w:bookmarkStart w:id="505" w:name="_Toc129350961"/>
      <w:r w:rsidRPr="00044306">
        <w:t>Figure</w:t>
      </w:r>
      <w:bookmarkEnd w:id="503"/>
      <w:r w:rsidRPr="00044306">
        <w:t xml:space="preserve"> </w:t>
      </w:r>
      <w:r>
        <w:fldChar w:fldCharType="begin"/>
      </w:r>
      <w:r w:rsidRPr="00044306">
        <w:instrText xml:space="preserve"> SEQ Figure \* ARABIC </w:instrText>
      </w:r>
      <w:r>
        <w:fldChar w:fldCharType="separate"/>
      </w:r>
      <w:r w:rsidR="00145F42">
        <w:rPr>
          <w:noProof/>
        </w:rPr>
        <w:t>35</w:t>
      </w:r>
      <w:r>
        <w:fldChar w:fldCharType="end"/>
      </w:r>
      <w:bookmarkEnd w:id="504"/>
      <w:r w:rsidRPr="00044306">
        <w:t xml:space="preserve">: </w:t>
      </w:r>
      <w:r w:rsidRPr="00AD3FB6">
        <w:t xml:space="preserve">Observed versus predicted </w:t>
      </w:r>
      <w:r w:rsidRPr="00044306">
        <w:t xml:space="preserve">PFS (TPC) </w:t>
      </w:r>
      <w:r w:rsidRPr="00AD3FB6">
        <w:t>in the FAS population</w:t>
      </w:r>
      <w:r w:rsidRPr="003E4C45">
        <w:t xml:space="preserve"> </w:t>
      </w:r>
      <w:r>
        <w:t>over a 10-year time horizon</w:t>
      </w:r>
      <w:r w:rsidRPr="00671C81">
        <w:t xml:space="preserve"> in the FAS population</w:t>
      </w:r>
      <w:bookmarkEnd w:id="505"/>
    </w:p>
    <w:tbl>
      <w:tblPr>
        <w:tblStyle w:val="TableGrid"/>
        <w:tblW w:w="0" w:type="auto"/>
        <w:tblBorders>
          <w:top w:val="single" w:sz="24" w:space="0" w:color="FFFF00"/>
          <w:left w:val="single" w:sz="24" w:space="0" w:color="FFFF00"/>
          <w:bottom w:val="single" w:sz="24" w:space="0" w:color="FFFF00"/>
          <w:right w:val="single" w:sz="24" w:space="0" w:color="FFFF00"/>
          <w:insideH w:val="single" w:sz="24" w:space="0" w:color="FFFF00"/>
          <w:insideV w:val="single" w:sz="24" w:space="0" w:color="FFFF00"/>
        </w:tblBorders>
        <w:tblLook w:val="04A0" w:firstRow="1" w:lastRow="0" w:firstColumn="1" w:lastColumn="0" w:noHBand="0" w:noVBand="1"/>
      </w:tblPr>
      <w:tblGrid>
        <w:gridCol w:w="9017"/>
      </w:tblGrid>
      <w:tr w:rsidR="00A96376" w14:paraId="16FC9E2E" w14:textId="77777777" w:rsidTr="00B261B6">
        <w:trPr>
          <w:trHeight w:val="3492"/>
        </w:trPr>
        <w:tc>
          <w:tcPr>
            <w:tcW w:w="9017" w:type="dxa"/>
            <w:tcBorders>
              <w:top w:val="single" w:sz="4" w:space="0" w:color="auto"/>
              <w:left w:val="single" w:sz="4" w:space="0" w:color="auto"/>
              <w:bottom w:val="single" w:sz="4" w:space="0" w:color="auto"/>
              <w:right w:val="single" w:sz="4" w:space="0" w:color="auto"/>
            </w:tcBorders>
            <w:vAlign w:val="center"/>
          </w:tcPr>
          <w:p w14:paraId="0BE623EB" w14:textId="77777777" w:rsidR="00A96376" w:rsidRDefault="00A96376" w:rsidP="00F033C2">
            <w:pPr>
              <w:pStyle w:val="Body"/>
              <w:spacing w:after="60"/>
              <w:jc w:val="center"/>
              <w:rPr>
                <w:lang w:val="de-DE"/>
              </w:rPr>
            </w:pPr>
            <w:r w:rsidRPr="00BF35D6">
              <w:rPr>
                <w:noProof/>
                <w:lang w:val="de-DE"/>
              </w:rPr>
              <w:drawing>
                <wp:inline distT="0" distB="0" distL="0" distR="0" wp14:anchorId="4819909C" wp14:editId="62DF33C8">
                  <wp:extent cx="4816938" cy="2814452"/>
                  <wp:effectExtent l="0" t="0" r="3175" b="508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pic:cNvPicPr/>
                        </pic:nvPicPr>
                        <pic:blipFill>
                          <a:blip r:embed="rId30">
                            <a:extLst>
                              <a:ext uri="{28A0092B-C50C-407E-A947-70E740481C1C}">
                                <a14:useLocalDpi xmlns:a14="http://schemas.microsoft.com/office/drawing/2010/main" val="0"/>
                              </a:ext>
                            </a:extLst>
                          </a:blip>
                          <a:stretch>
                            <a:fillRect/>
                          </a:stretch>
                        </pic:blipFill>
                        <pic:spPr>
                          <a:xfrm>
                            <a:off x="0" y="0"/>
                            <a:ext cx="4819354" cy="2815864"/>
                          </a:xfrm>
                          <a:prstGeom prst="rect">
                            <a:avLst/>
                          </a:prstGeom>
                        </pic:spPr>
                      </pic:pic>
                    </a:graphicData>
                  </a:graphic>
                </wp:inline>
              </w:drawing>
            </w:r>
            <w:r w:rsidRPr="00206684" w:rsidDel="00206684">
              <w:rPr>
                <w:noProof/>
                <w:lang w:val="de-DE"/>
              </w:rPr>
              <w:t xml:space="preserve"> </w:t>
            </w:r>
          </w:p>
        </w:tc>
      </w:tr>
    </w:tbl>
    <w:p w14:paraId="744CF9D7" w14:textId="77777777" w:rsidR="00A96376" w:rsidRPr="003E4C45" w:rsidRDefault="00A96376" w:rsidP="00A96376">
      <w:pPr>
        <w:pStyle w:val="Footnotes"/>
        <w:spacing w:after="240"/>
      </w:pPr>
      <w:r w:rsidRPr="00044306">
        <w:t xml:space="preserve">Abbreviations: FAS, full set analysis; KM, Kaplan-Meier; PFS, progression-free survival; </w:t>
      </w:r>
      <w:r w:rsidRPr="001E6BCF">
        <w:rPr>
          <w:rStyle w:val="FootnotesChar"/>
        </w:rPr>
        <w:t>TPC, treatment of physician’s choice</w:t>
      </w:r>
      <w:r w:rsidRPr="00044306">
        <w:t>.</w:t>
      </w:r>
      <w:r w:rsidRPr="00B51520">
        <w:rPr>
          <w:noProof/>
        </w:rPr>
        <w:t xml:space="preserve"> </w:t>
      </w:r>
    </w:p>
    <w:p w14:paraId="5C1982DE" w14:textId="460009F0" w:rsidR="00A96376" w:rsidRPr="00C67C0A" w:rsidRDefault="00A96376" w:rsidP="00A96376">
      <w:pPr>
        <w:pStyle w:val="Caption"/>
      </w:pPr>
      <w:bookmarkStart w:id="506" w:name="_Ref129039933"/>
      <w:bookmarkStart w:id="507" w:name="_Ref129037197"/>
      <w:bookmarkStart w:id="508" w:name="_Toc129350962"/>
      <w:r w:rsidRPr="00044306">
        <w:lastRenderedPageBreak/>
        <w:t>Figure</w:t>
      </w:r>
      <w:bookmarkEnd w:id="506"/>
      <w:r w:rsidRPr="00044306">
        <w:t xml:space="preserve"> </w:t>
      </w:r>
      <w:r>
        <w:fldChar w:fldCharType="begin"/>
      </w:r>
      <w:r w:rsidRPr="00044306">
        <w:instrText xml:space="preserve"> SEQ Figure \* ARABIC </w:instrText>
      </w:r>
      <w:r>
        <w:fldChar w:fldCharType="separate"/>
      </w:r>
      <w:r w:rsidR="00145F42">
        <w:rPr>
          <w:noProof/>
        </w:rPr>
        <w:t>36</w:t>
      </w:r>
      <w:r>
        <w:fldChar w:fldCharType="end"/>
      </w:r>
      <w:bookmarkEnd w:id="507"/>
      <w:r w:rsidRPr="00044306">
        <w:t xml:space="preserve">: </w:t>
      </w:r>
      <w:r w:rsidRPr="00C67C0A">
        <w:t xml:space="preserve">Observed versus predicted </w:t>
      </w:r>
      <w:r w:rsidRPr="00D374CE">
        <w:t>PFS (T-DXd)</w:t>
      </w:r>
      <w:r w:rsidRPr="00C67C0A">
        <w:t xml:space="preserve"> in the FAS population </w:t>
      </w:r>
      <w:r>
        <w:t>over a 10-year time horizon</w:t>
      </w:r>
      <w:r w:rsidRPr="00671C81">
        <w:t xml:space="preserve"> in the FAS population</w:t>
      </w:r>
      <w:bookmarkEnd w:id="508"/>
    </w:p>
    <w:tbl>
      <w:tblPr>
        <w:tblStyle w:val="TableGrid"/>
        <w:tblW w:w="9042" w:type="dxa"/>
        <w:tblBorders>
          <w:top w:val="single" w:sz="24" w:space="0" w:color="FFFF00"/>
          <w:left w:val="single" w:sz="24" w:space="0" w:color="FFFF00"/>
          <w:bottom w:val="single" w:sz="24" w:space="0" w:color="FFFF00"/>
          <w:right w:val="single" w:sz="24" w:space="0" w:color="FFFF00"/>
          <w:insideH w:val="single" w:sz="24" w:space="0" w:color="FFFF00"/>
          <w:insideV w:val="single" w:sz="24" w:space="0" w:color="FFFF00"/>
        </w:tblBorders>
        <w:tblLayout w:type="fixed"/>
        <w:tblLook w:val="04A0" w:firstRow="1" w:lastRow="0" w:firstColumn="1" w:lastColumn="0" w:noHBand="0" w:noVBand="1"/>
      </w:tblPr>
      <w:tblGrid>
        <w:gridCol w:w="9042"/>
      </w:tblGrid>
      <w:tr w:rsidR="00A96376" w14:paraId="791005A7" w14:textId="77777777" w:rsidTr="00B261B6">
        <w:trPr>
          <w:trHeight w:val="4446"/>
        </w:trPr>
        <w:tc>
          <w:tcPr>
            <w:tcW w:w="9042" w:type="dxa"/>
            <w:tcBorders>
              <w:top w:val="single" w:sz="4" w:space="0" w:color="auto"/>
              <w:left w:val="single" w:sz="4" w:space="0" w:color="auto"/>
              <w:bottom w:val="single" w:sz="4" w:space="0" w:color="auto"/>
              <w:right w:val="single" w:sz="4" w:space="0" w:color="auto"/>
            </w:tcBorders>
            <w:vAlign w:val="center"/>
          </w:tcPr>
          <w:p w14:paraId="59BE6AB2" w14:textId="1695B2FC" w:rsidR="00A96376" w:rsidRDefault="00A96376" w:rsidP="00F033C2">
            <w:pPr>
              <w:jc w:val="center"/>
            </w:pPr>
            <w:r w:rsidRPr="0057725D" w:rsidDel="0057725D">
              <w:rPr>
                <w:noProof/>
              </w:rPr>
              <w:t xml:space="preserve"> </w:t>
            </w:r>
            <w:r w:rsidRPr="00EE7870">
              <w:rPr>
                <w:noProof/>
              </w:rPr>
              <w:drawing>
                <wp:inline distT="0" distB="0" distL="0" distR="0" wp14:anchorId="387DBF51" wp14:editId="68B41AB5">
                  <wp:extent cx="4938884" cy="2885704"/>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pic:cNvPicPr/>
                        </pic:nvPicPr>
                        <pic:blipFill>
                          <a:blip r:embed="rId30">
                            <a:extLst>
                              <a:ext uri="{28A0092B-C50C-407E-A947-70E740481C1C}">
                                <a14:useLocalDpi xmlns:a14="http://schemas.microsoft.com/office/drawing/2010/main" val="0"/>
                              </a:ext>
                            </a:extLst>
                          </a:blip>
                          <a:stretch>
                            <a:fillRect/>
                          </a:stretch>
                        </pic:blipFill>
                        <pic:spPr>
                          <a:xfrm>
                            <a:off x="0" y="0"/>
                            <a:ext cx="4949196" cy="2891729"/>
                          </a:xfrm>
                          <a:prstGeom prst="rect">
                            <a:avLst/>
                          </a:prstGeom>
                        </pic:spPr>
                      </pic:pic>
                    </a:graphicData>
                  </a:graphic>
                </wp:inline>
              </w:drawing>
            </w:r>
          </w:p>
        </w:tc>
      </w:tr>
    </w:tbl>
    <w:p w14:paraId="76B5D372" w14:textId="77777777" w:rsidR="00A96376" w:rsidRPr="00D404B7" w:rsidRDefault="00A96376" w:rsidP="00A96376">
      <w:pPr>
        <w:pStyle w:val="Footnotes"/>
      </w:pPr>
      <w:r w:rsidRPr="00044306">
        <w:t>Abbreviations: FAS, full set analysis; KM, Kaplan-Meier; PFS, progression-free survival; T-DXd, trastuzumab deruxtecan.</w:t>
      </w:r>
    </w:p>
    <w:p w14:paraId="4D62F89A" w14:textId="223FFCD2" w:rsidR="00D4296A" w:rsidRPr="003C648C" w:rsidRDefault="00D4296A" w:rsidP="00670187">
      <w:pPr>
        <w:pStyle w:val="Body"/>
        <w:rPr>
          <w:i/>
          <w:iCs/>
          <w:u w:val="single"/>
        </w:rPr>
      </w:pPr>
      <w:r w:rsidRPr="003C648C">
        <w:rPr>
          <w:i/>
          <w:iCs/>
          <w:u w:val="single"/>
        </w:rPr>
        <w:t>Conclusion</w:t>
      </w:r>
    </w:p>
    <w:p w14:paraId="5EE869DC" w14:textId="40478F4E" w:rsidR="00670187" w:rsidRPr="005D58CB" w:rsidRDefault="00670187" w:rsidP="00670187">
      <w:pPr>
        <w:pStyle w:val="Body"/>
      </w:pPr>
      <w:r>
        <w:t xml:space="preserve">Based on the assessments above, the </w:t>
      </w:r>
      <w:r w:rsidRPr="00AD3FB6">
        <w:t xml:space="preserve">log-logistic </w:t>
      </w:r>
      <w:r>
        <w:t xml:space="preserve">distribution was </w:t>
      </w:r>
      <w:r w:rsidRPr="00AD3FB6">
        <w:t xml:space="preserve">considered the most appropriate curve </w:t>
      </w:r>
      <w:r>
        <w:t xml:space="preserve">to inform the base case extrapolations of PFS for </w:t>
      </w:r>
      <w:r w:rsidRPr="00AD3FB6">
        <w:t>TPC</w:t>
      </w:r>
      <w:r>
        <w:t xml:space="preserve"> and T-DXd </w:t>
      </w:r>
      <w:r w:rsidR="00704FC8">
        <w:t>providing a good</w:t>
      </w:r>
      <w:r>
        <w:t xml:space="preserve"> statistical </w:t>
      </w:r>
      <w:r w:rsidR="00704FC8">
        <w:t>and</w:t>
      </w:r>
      <w:r>
        <w:t xml:space="preserve"> visual fit to the KM</w:t>
      </w:r>
      <w:r w:rsidR="00704FC8">
        <w:t>,</w:t>
      </w:r>
      <w:r>
        <w:t xml:space="preserve"> </w:t>
      </w:r>
      <w:r w:rsidR="00437CAE">
        <w:t>as well as</w:t>
      </w:r>
      <w:r w:rsidR="00437CAE" w:rsidRPr="00AD3FB6">
        <w:t xml:space="preserve"> </w:t>
      </w:r>
      <w:r w:rsidRPr="00AD3FB6">
        <w:t>clinical validity of long-term</w:t>
      </w:r>
      <w:r w:rsidR="00704FC8">
        <w:t xml:space="preserve"> </w:t>
      </w:r>
      <w:r w:rsidR="00704FC8" w:rsidRPr="00662145">
        <w:t xml:space="preserve">modelled survival at </w:t>
      </w:r>
      <w:r w:rsidR="00704FC8" w:rsidRPr="005D58CB">
        <w:t>landmark time point</w:t>
      </w:r>
      <w:r w:rsidR="00704FC8">
        <w:t>s</w:t>
      </w:r>
      <w:r w:rsidRPr="00AD3FB6">
        <w:t>. In addition, the use of log-logistic PFS distribution is consistent with the log</w:t>
      </w:r>
      <w:r w:rsidR="00E73EFF">
        <w:t>-</w:t>
      </w:r>
      <w:r w:rsidRPr="00AD3FB6">
        <w:t xml:space="preserve">logistic OS base case distribution (Section </w:t>
      </w:r>
      <w:r w:rsidR="007C383A">
        <w:fldChar w:fldCharType="begin"/>
      </w:r>
      <w:r w:rsidR="007C383A">
        <w:instrText xml:space="preserve"> REF _Ref125266134 \r \h </w:instrText>
      </w:r>
      <w:r w:rsidR="007C383A">
        <w:fldChar w:fldCharType="separate"/>
      </w:r>
      <w:r w:rsidR="00145F42">
        <w:t>B.3.3.2.1</w:t>
      </w:r>
      <w:r w:rsidR="007C383A">
        <w:fldChar w:fldCharType="end"/>
      </w:r>
      <w:r w:rsidRPr="00AD3FB6">
        <w:t xml:space="preserve">). </w:t>
      </w:r>
      <w:r w:rsidR="00A51F55">
        <w:t>Furthermore</w:t>
      </w:r>
      <w:r>
        <w:t xml:space="preserve">, the median PFS predicted in the model using a log-logistic curve of </w:t>
      </w:r>
      <w:r w:rsidR="00294FDC" w:rsidRPr="00294FDC">
        <w:rPr>
          <w:color w:val="000000"/>
          <w:highlight w:val="black"/>
        </w:rPr>
        <w:t>xxxx</w:t>
      </w:r>
      <w:r>
        <w:t xml:space="preserve"> months and </w:t>
      </w:r>
      <w:r w:rsidR="00294FDC" w:rsidRPr="00294FDC">
        <w:rPr>
          <w:color w:val="000000"/>
          <w:highlight w:val="black"/>
        </w:rPr>
        <w:t>xxxx</w:t>
      </w:r>
      <w:r>
        <w:t xml:space="preserve"> months, for TPC and T-DXd respectively, is very similar to the observed median PFS in DESTINY-Breast04, 5.1</w:t>
      </w:r>
      <w:r w:rsidRPr="002629AD">
        <w:t xml:space="preserve"> months </w:t>
      </w:r>
      <w:r>
        <w:t>and 9.9</w:t>
      </w:r>
      <w:r w:rsidRPr="002629AD">
        <w:t xml:space="preserve"> months </w:t>
      </w:r>
      <w:r w:rsidR="00A51F55">
        <w:t xml:space="preserve">for the </w:t>
      </w:r>
      <w:r>
        <w:t xml:space="preserve">TPC and T-DXd </w:t>
      </w:r>
      <w:r w:rsidRPr="002629AD">
        <w:t>arms, respectively</w:t>
      </w:r>
      <w:r w:rsidR="008B365F">
        <w:t xml:space="preserve">, which further supports the selection of the log-logistic </w:t>
      </w:r>
      <w:r w:rsidR="00302C4B">
        <w:t>parametric curve for PFS</w:t>
      </w:r>
      <w:r w:rsidR="00FA09DD">
        <w:t xml:space="preserve"> in the base case.</w:t>
      </w:r>
    </w:p>
    <w:p w14:paraId="15320154" w14:textId="1858D826" w:rsidR="00670187" w:rsidRPr="00AD3FB6" w:rsidRDefault="003B2335" w:rsidP="00670187">
      <w:pPr>
        <w:pStyle w:val="Body"/>
      </w:pPr>
      <w:r>
        <w:t>C</w:t>
      </w:r>
      <w:r w:rsidR="00670187" w:rsidRPr="00AD3FB6">
        <w:t xml:space="preserve">linical and HEOR experts </w:t>
      </w:r>
      <w:r w:rsidR="00A51F55">
        <w:t>concluded</w:t>
      </w:r>
      <w:r w:rsidR="00A51F55" w:rsidRPr="00AD3FB6">
        <w:t xml:space="preserve"> </w:t>
      </w:r>
      <w:r w:rsidR="00670187" w:rsidRPr="00AD3FB6">
        <w:t xml:space="preserve">that the log-logistic curve was </w:t>
      </w:r>
      <w:r w:rsidR="00FD2743">
        <w:t>the most</w:t>
      </w:r>
      <w:r w:rsidR="00FD2743" w:rsidRPr="00AD3FB6">
        <w:t xml:space="preserve"> </w:t>
      </w:r>
      <w:r w:rsidR="00670187" w:rsidRPr="00AD3FB6">
        <w:t>appropriate curve to use in the base case for PFS.</w:t>
      </w:r>
      <w:r w:rsidR="00FD2743" w:rsidRPr="00054570">
        <w:fldChar w:fldCharType="begin"/>
      </w:r>
      <w:r w:rsidR="00CA6345">
        <w:instrText xml:space="preserve"> ADDIN ZOTERO_ITEM CSL_CITATION {"citationID":"GZs34WAs","properties":{"formattedCitation":"\\super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00FD2743" w:rsidRPr="00054570">
        <w:fldChar w:fldCharType="separate"/>
      </w:r>
      <w:r w:rsidR="00CA6345" w:rsidRPr="00CA6345">
        <w:rPr>
          <w:rFonts w:cs="Arial"/>
          <w:szCs w:val="24"/>
          <w:vertAlign w:val="superscript"/>
        </w:rPr>
        <w:t>121</w:t>
      </w:r>
      <w:r w:rsidR="00FD2743" w:rsidRPr="00054570">
        <w:fldChar w:fldCharType="end"/>
      </w:r>
      <w:r w:rsidR="00FD2743">
        <w:t xml:space="preserve"> </w:t>
      </w:r>
      <w:r w:rsidR="00670187" w:rsidRPr="00AD3FB6">
        <w:t xml:space="preserve">This conclusion was reached based on similar criteria as above such as fit to the </w:t>
      </w:r>
      <w:r w:rsidR="00670187">
        <w:t xml:space="preserve">observed DESTINY-Breast04 </w:t>
      </w:r>
      <w:r w:rsidR="00670187" w:rsidRPr="00AD3FB6">
        <w:t>data (statistical and visual), clinical validity of long-term predictions and cur</w:t>
      </w:r>
      <w:r w:rsidR="00670187">
        <w:t>v</w:t>
      </w:r>
      <w:r w:rsidR="00670187" w:rsidRPr="00AD3FB6">
        <w:t>e shape.</w:t>
      </w:r>
      <w:r>
        <w:t xml:space="preserve"> Clinical and HEOR experts also agreed that it would be preferable to fit the same distribution to the observed PFS and OS data from DESTINY-Breast04.</w:t>
      </w:r>
      <w:r w:rsidRPr="00054570">
        <w:fldChar w:fldCharType="begin"/>
      </w:r>
      <w:r w:rsidR="00CA6345">
        <w:instrText xml:space="preserve"> ADDIN ZOTERO_ITEM CSL_CITATION {"citationID":"X06booQR","properties":{"formattedCitation":"\\super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Pr="00054570">
        <w:fldChar w:fldCharType="separate"/>
      </w:r>
      <w:r w:rsidR="00CA6345" w:rsidRPr="00CA6345">
        <w:rPr>
          <w:rFonts w:cs="Arial"/>
          <w:szCs w:val="24"/>
          <w:vertAlign w:val="superscript"/>
        </w:rPr>
        <w:t>121</w:t>
      </w:r>
      <w:r w:rsidRPr="00054570">
        <w:fldChar w:fldCharType="end"/>
      </w:r>
      <w:r w:rsidR="00670187" w:rsidRPr="00AD3FB6">
        <w:t xml:space="preserve"> </w:t>
      </w:r>
      <w:r w:rsidR="00FA09DD">
        <w:t xml:space="preserve">All </w:t>
      </w:r>
      <w:r w:rsidR="00670187" w:rsidRPr="00AD3FB6">
        <w:t>other distributions</w:t>
      </w:r>
      <w:r w:rsidR="00670187" w:rsidRPr="000D5381">
        <w:t xml:space="preserve"> </w:t>
      </w:r>
      <w:r w:rsidR="00670187">
        <w:t>we</w:t>
      </w:r>
      <w:r w:rsidR="00670187" w:rsidRPr="000D5381">
        <w:t xml:space="preserve">re explored in sensitivity analysis </w:t>
      </w:r>
      <w:r w:rsidR="00FA09DD">
        <w:t>given they all provided similar long term estimates for PFS</w:t>
      </w:r>
      <w:r w:rsidR="00670187" w:rsidRPr="000D5381">
        <w:t xml:space="preserve"> </w:t>
      </w:r>
      <w:r w:rsidR="00670187" w:rsidRPr="00AD3FB6">
        <w:t xml:space="preserve">(see Section </w:t>
      </w:r>
      <w:r w:rsidR="00670187" w:rsidRPr="00AD3FB6">
        <w:fldChar w:fldCharType="begin"/>
      </w:r>
      <w:r w:rsidR="00670187" w:rsidRPr="00AD3FB6">
        <w:instrText xml:space="preserve"> REF _Ref99727872 \r \h </w:instrText>
      </w:r>
      <w:r w:rsidR="00670187" w:rsidRPr="00AD3FB6">
        <w:fldChar w:fldCharType="separate"/>
      </w:r>
      <w:r w:rsidR="00145F42">
        <w:t>B.3.11.3</w:t>
      </w:r>
      <w:r w:rsidR="00670187" w:rsidRPr="00AD3FB6">
        <w:fldChar w:fldCharType="end"/>
      </w:r>
      <w:r w:rsidR="00670187" w:rsidRPr="00AD3FB6">
        <w:t>).</w:t>
      </w:r>
    </w:p>
    <w:p w14:paraId="3A69B647" w14:textId="77777777" w:rsidR="00670187" w:rsidRPr="00E67EAF" w:rsidRDefault="00670187" w:rsidP="00670187">
      <w:pPr>
        <w:pStyle w:val="Body"/>
        <w:keepNext/>
        <w:rPr>
          <w:i/>
          <w:iCs/>
        </w:rPr>
      </w:pPr>
      <w:r w:rsidRPr="00E67EAF">
        <w:rPr>
          <w:i/>
          <w:iCs/>
        </w:rPr>
        <w:t>Summary of base-case models</w:t>
      </w:r>
    </w:p>
    <w:p w14:paraId="04829591" w14:textId="1462A9CA" w:rsidR="00670187" w:rsidRPr="007B0534" w:rsidRDefault="00670187" w:rsidP="00670187">
      <w:pPr>
        <w:pStyle w:val="Body"/>
      </w:pPr>
      <w:r w:rsidRPr="003C648C">
        <w:rPr>
          <w:b/>
        </w:rPr>
        <w:fldChar w:fldCharType="begin"/>
      </w:r>
      <w:r w:rsidRPr="003C648C">
        <w:rPr>
          <w:b/>
        </w:rPr>
        <w:instrText xml:space="preserve"> REF _Ref96102877 \h  \* MERGEFORMAT </w:instrText>
      </w:r>
      <w:r w:rsidRPr="003C648C">
        <w:rPr>
          <w:b/>
        </w:rPr>
      </w:r>
      <w:r w:rsidRPr="003C648C">
        <w:rPr>
          <w:b/>
        </w:rPr>
        <w:fldChar w:fldCharType="separate"/>
      </w:r>
      <w:r w:rsidR="00145F42" w:rsidRPr="00145F42">
        <w:rPr>
          <w:b/>
        </w:rPr>
        <w:t>Figure 37</w:t>
      </w:r>
      <w:r w:rsidRPr="003C648C">
        <w:rPr>
          <w:b/>
        </w:rPr>
        <w:fldChar w:fldCharType="end"/>
      </w:r>
      <w:r>
        <w:t xml:space="preserve"> provides a summary of the base-case extrapolation for PFS applied within the model (</w:t>
      </w:r>
      <w:r w:rsidRPr="00AD3FB6">
        <w:t>using a log-logistic distribution</w:t>
      </w:r>
      <w:r>
        <w:t xml:space="preserve">). </w:t>
      </w:r>
      <w:r w:rsidRPr="00AD3FB6">
        <w:t xml:space="preserve">Internal and external validation of the base case curves are presented in Section </w:t>
      </w:r>
      <w:r w:rsidRPr="00AD3FB6">
        <w:fldChar w:fldCharType="begin"/>
      </w:r>
      <w:r w:rsidRPr="00AD3FB6">
        <w:instrText xml:space="preserve"> REF _Ref124495944 \n \h  \* MERGEFORMAT </w:instrText>
      </w:r>
      <w:r w:rsidRPr="00AD3FB6">
        <w:fldChar w:fldCharType="separate"/>
      </w:r>
      <w:r w:rsidR="00145F42">
        <w:t>B.3.14</w:t>
      </w:r>
      <w:r w:rsidRPr="00AD3FB6">
        <w:fldChar w:fldCharType="end"/>
      </w:r>
      <w:r w:rsidRPr="00AD3FB6">
        <w:t>.</w:t>
      </w:r>
    </w:p>
    <w:p w14:paraId="20B09200" w14:textId="1E902C05" w:rsidR="00670187" w:rsidRDefault="00670187" w:rsidP="00670187">
      <w:pPr>
        <w:pStyle w:val="Caption"/>
      </w:pPr>
      <w:bookmarkStart w:id="509" w:name="_Ref96102877"/>
      <w:bookmarkStart w:id="510" w:name="_Toc98924725"/>
      <w:bookmarkStart w:id="511" w:name="_Toc127006650"/>
      <w:bookmarkStart w:id="512" w:name="_Toc129350963"/>
      <w:r>
        <w:lastRenderedPageBreak/>
        <w:t xml:space="preserve">Figure </w:t>
      </w:r>
      <w:r>
        <w:rPr>
          <w:iCs w:val="0"/>
        </w:rPr>
        <w:fldChar w:fldCharType="begin"/>
      </w:r>
      <w:r>
        <w:instrText>SEQ Figure \* ARABIC</w:instrText>
      </w:r>
      <w:r>
        <w:rPr>
          <w:iCs w:val="0"/>
        </w:rPr>
        <w:fldChar w:fldCharType="separate"/>
      </w:r>
      <w:r w:rsidR="00145F42">
        <w:rPr>
          <w:noProof/>
        </w:rPr>
        <w:t>37</w:t>
      </w:r>
      <w:r>
        <w:rPr>
          <w:iCs w:val="0"/>
        </w:rPr>
        <w:fldChar w:fldCharType="end"/>
      </w:r>
      <w:bookmarkEnd w:id="509"/>
      <w:r>
        <w:t xml:space="preserve">: Base-case extrapolations for PFS in the </w:t>
      </w:r>
      <w:r w:rsidRPr="00AD3FB6">
        <w:t xml:space="preserve">FAS population </w:t>
      </w:r>
      <w:r>
        <w:t xml:space="preserve">(log-logistic, T-DXd and </w:t>
      </w:r>
      <w:r w:rsidRPr="00AD3FB6">
        <w:t>TPC</w:t>
      </w:r>
      <w:r>
        <w:t>)</w:t>
      </w:r>
      <w:bookmarkEnd w:id="510"/>
      <w:bookmarkEnd w:id="511"/>
      <w:bookmarkEnd w:id="512"/>
      <w:r w:rsidR="00685970" w:rsidRPr="00685970">
        <w:rPr>
          <w:noProof/>
        </w:rPr>
        <w:t xml:space="preserve"> </w:t>
      </w:r>
    </w:p>
    <w:tbl>
      <w:tblPr>
        <w:tblStyle w:val="TableGrid"/>
        <w:tblW w:w="0" w:type="auto"/>
        <w:tblBorders>
          <w:top w:val="single" w:sz="24" w:space="0" w:color="FFFF00"/>
          <w:left w:val="single" w:sz="24" w:space="0" w:color="FFFF00"/>
          <w:bottom w:val="single" w:sz="24" w:space="0" w:color="FFFF00"/>
          <w:right w:val="single" w:sz="24" w:space="0" w:color="FFFF00"/>
          <w:insideH w:val="single" w:sz="24" w:space="0" w:color="FFFF00"/>
          <w:insideV w:val="single" w:sz="24" w:space="0" w:color="FFFF00"/>
        </w:tblBorders>
        <w:tblLook w:val="04A0" w:firstRow="1" w:lastRow="0" w:firstColumn="1" w:lastColumn="0" w:noHBand="0" w:noVBand="1"/>
      </w:tblPr>
      <w:tblGrid>
        <w:gridCol w:w="9017"/>
      </w:tblGrid>
      <w:tr w:rsidR="00670187" w14:paraId="49B17557" w14:textId="77777777" w:rsidTr="00B261B6">
        <w:trPr>
          <w:trHeight w:val="2168"/>
        </w:trPr>
        <w:tc>
          <w:tcPr>
            <w:tcW w:w="9017" w:type="dxa"/>
            <w:tcBorders>
              <w:top w:val="single" w:sz="4" w:space="0" w:color="auto"/>
              <w:left w:val="single" w:sz="4" w:space="0" w:color="auto"/>
              <w:bottom w:val="single" w:sz="4" w:space="0" w:color="auto"/>
              <w:right w:val="single" w:sz="4" w:space="0" w:color="auto"/>
            </w:tcBorders>
          </w:tcPr>
          <w:p w14:paraId="30DDD7ED" w14:textId="0427F939" w:rsidR="00670187" w:rsidRDefault="00670187">
            <w:r w:rsidRPr="00763878">
              <w:t xml:space="preserve"> </w:t>
            </w:r>
            <w:r w:rsidR="00C71E08">
              <w:rPr>
                <w:noProof/>
              </w:rPr>
              <w:drawing>
                <wp:inline distT="0" distB="0" distL="0" distR="0" wp14:anchorId="1E56AA53" wp14:editId="77268874">
                  <wp:extent cx="5447001" cy="3182587"/>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55120" cy="3187331"/>
                          </a:xfrm>
                          <a:prstGeom prst="rect">
                            <a:avLst/>
                          </a:prstGeom>
                          <a:noFill/>
                        </pic:spPr>
                      </pic:pic>
                    </a:graphicData>
                  </a:graphic>
                </wp:inline>
              </w:drawing>
            </w:r>
          </w:p>
        </w:tc>
      </w:tr>
    </w:tbl>
    <w:p w14:paraId="37EF6711" w14:textId="77777777" w:rsidR="00670187" w:rsidRPr="00546A80" w:rsidRDefault="00670187" w:rsidP="00670187">
      <w:pPr>
        <w:pStyle w:val="Footnotes"/>
      </w:pPr>
      <w:r w:rsidRPr="00546A80">
        <w:t xml:space="preserve">Abbreviations: </w:t>
      </w:r>
      <w:r>
        <w:rPr>
          <w:rStyle w:val="FootnotesChar"/>
        </w:rPr>
        <w:t xml:space="preserve">FAS, full analysis set; </w:t>
      </w:r>
      <w:r w:rsidRPr="00546A80">
        <w:t xml:space="preserve">KM, Kaplan-Meier; PFS, progression-free survival; </w:t>
      </w:r>
      <w:r w:rsidRPr="001E6BCF">
        <w:rPr>
          <w:rStyle w:val="FootnotesChar"/>
        </w:rPr>
        <w:t>TPC, treatment of physician’s choice</w:t>
      </w:r>
      <w:r w:rsidRPr="00546A80">
        <w:t>; T-DXd, trastuzumab deruxtecan.</w:t>
      </w:r>
    </w:p>
    <w:p w14:paraId="7651D68E" w14:textId="77777777" w:rsidR="00670187" w:rsidRDefault="00670187" w:rsidP="00670187">
      <w:pPr>
        <w:pStyle w:val="Heading4"/>
      </w:pPr>
      <w:bookmarkStart w:id="513" w:name="_Toc98924666"/>
      <w:bookmarkStart w:id="514" w:name="_Ref99727479"/>
      <w:bookmarkStart w:id="515" w:name="_Ref99728005"/>
      <w:bookmarkStart w:id="516" w:name="_Ref99728242"/>
      <w:bookmarkStart w:id="517" w:name="_Ref99728632"/>
      <w:bookmarkStart w:id="518" w:name="_Ref99729345"/>
      <w:r>
        <w:t>Time to treatment discontinuation</w:t>
      </w:r>
    </w:p>
    <w:p w14:paraId="3CA10E8E" w14:textId="77777777" w:rsidR="00670187" w:rsidRPr="00E67EAF" w:rsidRDefault="00670187" w:rsidP="00670187">
      <w:pPr>
        <w:pStyle w:val="Body"/>
        <w:keepNext/>
        <w:rPr>
          <w:i/>
          <w:iCs/>
        </w:rPr>
      </w:pPr>
      <w:r w:rsidRPr="00E67EAF">
        <w:rPr>
          <w:i/>
          <w:iCs/>
        </w:rPr>
        <w:t>Assessment of data from DESTINY-</w:t>
      </w:r>
      <w:r>
        <w:rPr>
          <w:i/>
          <w:iCs/>
        </w:rPr>
        <w:t>Breast04</w:t>
      </w:r>
    </w:p>
    <w:p w14:paraId="654880ED" w14:textId="652AF84D" w:rsidR="00B93EC5" w:rsidRDefault="00B93EC5" w:rsidP="003C648C">
      <w:pPr>
        <w:spacing w:before="100" w:beforeAutospacing="1" w:after="100" w:afterAutospacing="1" w:line="240" w:lineRule="auto"/>
      </w:pPr>
      <w:r>
        <w:t>T</w:t>
      </w:r>
      <w:r w:rsidRPr="002629AD">
        <w:t>he median follow-up in the FAS population</w:t>
      </w:r>
      <w:r>
        <w:t xml:space="preserve"> of </w:t>
      </w:r>
      <w:r w:rsidRPr="007E5E16">
        <w:t>DESTINY-Breast0</w:t>
      </w:r>
      <w:r w:rsidRPr="002629AD">
        <w:t xml:space="preserve">4 was </w:t>
      </w:r>
      <w:r w:rsidR="00294FDC" w:rsidRPr="00294FDC">
        <w:rPr>
          <w:color w:val="000000"/>
          <w:highlight w:val="black"/>
        </w:rPr>
        <w:t>xxxx</w:t>
      </w:r>
      <w:r w:rsidRPr="002629AD">
        <w:t xml:space="preserve"> months</w:t>
      </w:r>
      <w:r>
        <w:t xml:space="preserve"> during which </w:t>
      </w:r>
      <w:r w:rsidR="00294FDC" w:rsidRPr="00294FDC">
        <w:rPr>
          <w:color w:val="000000"/>
          <w:highlight w:val="black"/>
        </w:rPr>
        <w:t>xxxxx</w:t>
      </w:r>
      <w:r w:rsidR="008954D7">
        <w:t xml:space="preserve"> and </w:t>
      </w:r>
      <w:r w:rsidR="00294FDC" w:rsidRPr="00294FDC">
        <w:rPr>
          <w:color w:val="000000"/>
          <w:highlight w:val="black"/>
        </w:rPr>
        <w:t>xxxxx</w:t>
      </w:r>
      <w:r w:rsidR="008954D7" w:rsidRPr="008D0B6B">
        <w:t xml:space="preserve"> </w:t>
      </w:r>
      <w:r w:rsidR="008954D7">
        <w:t>of</w:t>
      </w:r>
      <w:r w:rsidR="008954D7" w:rsidRPr="008D0B6B">
        <w:t xml:space="preserve"> </w:t>
      </w:r>
      <w:r w:rsidR="003333B6">
        <w:t>treatment</w:t>
      </w:r>
      <w:r w:rsidR="008954D7" w:rsidRPr="008D0B6B">
        <w:t xml:space="preserve"> </w:t>
      </w:r>
      <w:r w:rsidR="00420E5E">
        <w:t xml:space="preserve">discontinuation </w:t>
      </w:r>
      <w:r w:rsidR="008954D7" w:rsidRPr="008D0B6B">
        <w:t xml:space="preserve">events </w:t>
      </w:r>
      <w:r w:rsidR="008954D7">
        <w:t xml:space="preserve">having occurred in </w:t>
      </w:r>
      <w:r w:rsidR="008954D7" w:rsidRPr="008D0B6B">
        <w:t>TPC</w:t>
      </w:r>
      <w:r w:rsidR="008954D7">
        <w:t xml:space="preserve"> arms and </w:t>
      </w:r>
      <w:r w:rsidR="008954D7" w:rsidRPr="008D0B6B">
        <w:t>T-DXd, respectively</w:t>
      </w:r>
      <w:r w:rsidRPr="002629AD">
        <w:t>.</w:t>
      </w:r>
      <w:r>
        <w:t xml:space="preserve"> Given that</w:t>
      </w:r>
      <w:r w:rsidRPr="005D58CB">
        <w:t xml:space="preserve"> </w:t>
      </w:r>
      <w:r w:rsidR="0060791D">
        <w:t>TTD</w:t>
      </w:r>
      <w:r w:rsidRPr="005D58CB">
        <w:t xml:space="preserve"> </w:t>
      </w:r>
      <w:r>
        <w:t xml:space="preserve">data </w:t>
      </w:r>
      <w:r w:rsidRPr="005D58CB">
        <w:t>from</w:t>
      </w:r>
      <w:r w:rsidRPr="006D6D2C">
        <w:t xml:space="preserve"> </w:t>
      </w:r>
      <w:r>
        <w:t>DESTINY-Breast0</w:t>
      </w:r>
      <w:r w:rsidRPr="005D58CB">
        <w:t xml:space="preserve">4 </w:t>
      </w:r>
      <w:r>
        <w:t>are considered</w:t>
      </w:r>
      <w:r w:rsidRPr="005D58CB">
        <w:t xml:space="preserve"> mature, data were directly extrapolated from </w:t>
      </w:r>
      <w:r>
        <w:t>observed patient level data</w:t>
      </w:r>
      <w:r w:rsidRPr="005D58CB">
        <w:t>, using parametric survival modelling</w:t>
      </w:r>
      <w:r>
        <w:t>.</w:t>
      </w:r>
    </w:p>
    <w:p w14:paraId="09B838ED" w14:textId="567AE6AE" w:rsidR="00670187" w:rsidRDefault="00670187" w:rsidP="00670187">
      <w:pPr>
        <w:pStyle w:val="Body"/>
      </w:pPr>
      <w:r>
        <w:t xml:space="preserve">Median TTD observed in DESTINY-Breast04 was </w:t>
      </w:r>
      <w:r w:rsidR="00294FDC" w:rsidRPr="00294FDC">
        <w:rPr>
          <w:color w:val="000000"/>
          <w:highlight w:val="black"/>
        </w:rPr>
        <w:t>xxx</w:t>
      </w:r>
      <w:r>
        <w:t xml:space="preserve"> months and </w:t>
      </w:r>
      <w:r w:rsidR="00294FDC" w:rsidRPr="00294FDC">
        <w:rPr>
          <w:color w:val="000000"/>
          <w:highlight w:val="black"/>
        </w:rPr>
        <w:t>xxx</w:t>
      </w:r>
      <w:r>
        <w:t xml:space="preserve"> months, in the </w:t>
      </w:r>
      <w:r w:rsidRPr="008D0B6B">
        <w:t>TPC</w:t>
      </w:r>
      <w:r>
        <w:t xml:space="preserve"> and </w:t>
      </w:r>
      <w:r w:rsidRPr="008D0B6B">
        <w:t>T-DXd</w:t>
      </w:r>
      <w:r w:rsidR="0061589A">
        <w:t xml:space="preserve"> arms</w:t>
      </w:r>
      <w:r w:rsidRPr="008D0B6B">
        <w:t>, respectively</w:t>
      </w:r>
      <w:r>
        <w:t xml:space="preserve">. As with PFS and OS, PSMs were also required to inform the estimation of the long-term treatment duration within the economic analysis. Patient-level TTD data are used within the model to determine the drug and administration costs </w:t>
      </w:r>
      <w:r w:rsidRPr="0007115D">
        <w:t>associated with T-</w:t>
      </w:r>
      <w:r w:rsidRPr="00543C78">
        <w:t xml:space="preserve">DXd and TPC. A </w:t>
      </w:r>
      <w:r w:rsidRPr="0007115D">
        <w:t xml:space="preserve">summary of the TTD </w:t>
      </w:r>
      <w:r>
        <w:t xml:space="preserve">KM </w:t>
      </w:r>
      <w:r w:rsidRPr="0007115D">
        <w:t xml:space="preserve">data from the DESTINY-Breast04 is provided below in </w:t>
      </w:r>
      <w:r w:rsidRPr="003C648C">
        <w:rPr>
          <w:b/>
          <w:bCs/>
        </w:rPr>
        <w:fldChar w:fldCharType="begin"/>
      </w:r>
      <w:r w:rsidRPr="003C648C">
        <w:rPr>
          <w:b/>
          <w:bCs/>
        </w:rPr>
        <w:instrText xml:space="preserve"> REF _Ref125452152 \h </w:instrText>
      </w:r>
      <w:r w:rsidR="00294697">
        <w:rPr>
          <w:b/>
          <w:bCs/>
        </w:rPr>
        <w:instrText xml:space="preserve"> \* MERGEFORMAT </w:instrText>
      </w:r>
      <w:r w:rsidRPr="003C648C">
        <w:rPr>
          <w:b/>
          <w:bCs/>
        </w:rPr>
      </w:r>
      <w:r w:rsidRPr="003C648C">
        <w:rPr>
          <w:b/>
          <w:bCs/>
        </w:rPr>
        <w:fldChar w:fldCharType="separate"/>
      </w:r>
      <w:r w:rsidR="00145F42" w:rsidRPr="00145F42">
        <w:rPr>
          <w:b/>
          <w:bCs/>
        </w:rPr>
        <w:t xml:space="preserve">Figure </w:t>
      </w:r>
      <w:r w:rsidR="00145F42" w:rsidRPr="00145F42">
        <w:rPr>
          <w:b/>
          <w:bCs/>
          <w:noProof/>
        </w:rPr>
        <w:t>38</w:t>
      </w:r>
      <w:r w:rsidRPr="003C648C">
        <w:rPr>
          <w:b/>
          <w:bCs/>
        </w:rPr>
        <w:fldChar w:fldCharType="end"/>
      </w:r>
      <w:r>
        <w:t>.</w:t>
      </w:r>
    </w:p>
    <w:p w14:paraId="7B6C9FAE" w14:textId="0B163021" w:rsidR="00670187" w:rsidRDefault="00670187" w:rsidP="00670187">
      <w:pPr>
        <w:pStyle w:val="Caption"/>
      </w:pPr>
      <w:bookmarkStart w:id="519" w:name="_Ref125452152"/>
      <w:bookmarkStart w:id="520" w:name="_Toc127006651"/>
      <w:bookmarkStart w:id="521" w:name="_Toc129350964"/>
      <w:r>
        <w:lastRenderedPageBreak/>
        <w:t xml:space="preserve">Figure </w:t>
      </w:r>
      <w:r>
        <w:fldChar w:fldCharType="begin"/>
      </w:r>
      <w:r>
        <w:instrText>SEQ Figure \* ARABIC</w:instrText>
      </w:r>
      <w:r>
        <w:fldChar w:fldCharType="separate"/>
      </w:r>
      <w:r w:rsidR="00145F42">
        <w:rPr>
          <w:noProof/>
        </w:rPr>
        <w:t>38</w:t>
      </w:r>
      <w:r>
        <w:fldChar w:fldCharType="end"/>
      </w:r>
      <w:bookmarkEnd w:id="519"/>
      <w:r>
        <w:t>: TTD KM from DESTINY-Breast0</w:t>
      </w:r>
      <w:r w:rsidRPr="005D58CB">
        <w:t>4 in the FAS population (T-DXd and TPC)</w:t>
      </w:r>
      <w:bookmarkEnd w:id="520"/>
      <w:bookmarkEnd w:id="521"/>
    </w:p>
    <w:tbl>
      <w:tblPr>
        <w:tblStyle w:val="TableGrid"/>
        <w:tblW w:w="0" w:type="auto"/>
        <w:tblBorders>
          <w:top w:val="single" w:sz="24" w:space="0" w:color="FFFF00"/>
          <w:left w:val="single" w:sz="24" w:space="0" w:color="FFFF00"/>
          <w:bottom w:val="single" w:sz="24" w:space="0" w:color="FFFF00"/>
          <w:right w:val="single" w:sz="24" w:space="0" w:color="FFFF00"/>
          <w:insideH w:val="single" w:sz="24" w:space="0" w:color="FFFF00"/>
          <w:insideV w:val="single" w:sz="24" w:space="0" w:color="FFFF00"/>
        </w:tblBorders>
        <w:tblLook w:val="04A0" w:firstRow="1" w:lastRow="0" w:firstColumn="1" w:lastColumn="0" w:noHBand="0" w:noVBand="1"/>
      </w:tblPr>
      <w:tblGrid>
        <w:gridCol w:w="9017"/>
      </w:tblGrid>
      <w:tr w:rsidR="00670187" w14:paraId="7EE0BCDB" w14:textId="77777777" w:rsidTr="00B261B6">
        <w:tc>
          <w:tcPr>
            <w:tcW w:w="9017" w:type="dxa"/>
            <w:tcBorders>
              <w:top w:val="single" w:sz="4" w:space="0" w:color="auto"/>
              <w:left w:val="single" w:sz="4" w:space="0" w:color="auto"/>
              <w:bottom w:val="single" w:sz="4" w:space="0" w:color="auto"/>
              <w:right w:val="single" w:sz="4" w:space="0" w:color="auto"/>
            </w:tcBorders>
            <w:vAlign w:val="center"/>
          </w:tcPr>
          <w:p w14:paraId="1136D046" w14:textId="77777777" w:rsidR="00670187" w:rsidRDefault="00670187">
            <w:pPr>
              <w:pStyle w:val="Caption"/>
              <w:spacing w:before="0"/>
              <w:jc w:val="center"/>
            </w:pPr>
            <w:r w:rsidRPr="00BB4346">
              <w:rPr>
                <w:noProof/>
              </w:rPr>
              <w:drawing>
                <wp:inline distT="0" distB="0" distL="0" distR="0" wp14:anchorId="2E4411AA" wp14:editId="46B4C655">
                  <wp:extent cx="5665470" cy="2755075"/>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0">
                            <a:extLst>
                              <a:ext uri="{28A0092B-C50C-407E-A947-70E740481C1C}">
                                <a14:useLocalDpi xmlns:a14="http://schemas.microsoft.com/office/drawing/2010/main" val="0"/>
                              </a:ext>
                            </a:extLst>
                          </a:blip>
                          <a:srcRect t="10004" b="10004"/>
                          <a:stretch>
                            <a:fillRect/>
                          </a:stretch>
                        </pic:blipFill>
                        <pic:spPr bwMode="auto">
                          <a:xfrm>
                            <a:off x="0" y="0"/>
                            <a:ext cx="5666778" cy="2755711"/>
                          </a:xfrm>
                          <a:prstGeom prst="rect">
                            <a:avLst/>
                          </a:prstGeom>
                          <a:ln>
                            <a:noFill/>
                          </a:ln>
                          <a:extLst>
                            <a:ext uri="{53640926-AAD7-44D8-BBD7-CCE9431645EC}">
                              <a14:shadowObscured xmlns:a14="http://schemas.microsoft.com/office/drawing/2010/main"/>
                            </a:ext>
                          </a:extLst>
                        </pic:spPr>
                      </pic:pic>
                    </a:graphicData>
                  </a:graphic>
                </wp:inline>
              </w:drawing>
            </w:r>
          </w:p>
        </w:tc>
      </w:tr>
    </w:tbl>
    <w:p w14:paraId="0EBA1CF1" w14:textId="77777777" w:rsidR="00670187" w:rsidRPr="00054570" w:rsidRDefault="00670187" w:rsidP="00670187">
      <w:pPr>
        <w:pStyle w:val="Footnotes"/>
        <w:spacing w:after="0"/>
      </w:pPr>
      <w:r w:rsidRPr="00183242">
        <w:t xml:space="preserve">Abbreviations: </w:t>
      </w:r>
      <w:r w:rsidRPr="00054570">
        <w:t>CI, confidence interval</w:t>
      </w:r>
      <w:r>
        <w:t xml:space="preserve">; </w:t>
      </w:r>
      <w:r w:rsidRPr="007B3CF2">
        <w:t xml:space="preserve">FAS, full analysis set; </w:t>
      </w:r>
      <w:r w:rsidRPr="00054570">
        <w:t xml:space="preserve">HR, hazard ratio; </w:t>
      </w:r>
      <w:r w:rsidRPr="00183242">
        <w:t>KM, Kaplan-Meier; T</w:t>
      </w:r>
      <w:r w:rsidRPr="00183242">
        <w:noBreakHyphen/>
        <w:t>DXd, trastuzumab deruxtecan</w:t>
      </w:r>
      <w:r>
        <w:t xml:space="preserve">; </w:t>
      </w:r>
      <w:r w:rsidRPr="00183242">
        <w:t xml:space="preserve">TTD, time-to-treatment discontinuation; </w:t>
      </w:r>
      <w:r w:rsidRPr="007B3CF2">
        <w:t>TPC, treatment of physician’s choice</w:t>
      </w:r>
      <w:r w:rsidRPr="00183242">
        <w:t>.</w:t>
      </w:r>
      <w:r w:rsidRPr="00351967">
        <w:t xml:space="preserve"> </w:t>
      </w:r>
    </w:p>
    <w:p w14:paraId="14F4F4F0" w14:textId="7B1087B4" w:rsidR="00670187" w:rsidRPr="005D58CB" w:rsidRDefault="00670187" w:rsidP="00670187">
      <w:pPr>
        <w:pStyle w:val="Footnotes"/>
        <w:rPr>
          <w:vertAlign w:val="superscript"/>
        </w:rPr>
      </w:pPr>
      <w:r w:rsidRPr="00054570">
        <w:t>Source:  Daiichi Sankyo Inc., 2022 (CSR; Data on File).</w:t>
      </w:r>
      <w:r w:rsidRPr="00054570">
        <w:rPr>
          <w:sz w:val="14"/>
          <w:szCs w:val="14"/>
        </w:rPr>
        <w:fldChar w:fldCharType="begin"/>
      </w:r>
      <w:r w:rsidR="00CA6345">
        <w:instrText xml:space="preserve"> ADDIN ZOTERO_ITEM CSL_CITATION {"citationID":"GnlnOIVl","properties":{"formattedCitation":"\\super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054570">
        <w:rPr>
          <w:sz w:val="14"/>
          <w:szCs w:val="14"/>
        </w:rPr>
        <w:fldChar w:fldCharType="separate"/>
      </w:r>
      <w:r w:rsidR="00FD57F4" w:rsidRPr="00FD57F4">
        <w:rPr>
          <w:rFonts w:cs="Arial"/>
          <w:szCs w:val="24"/>
          <w:vertAlign w:val="superscript"/>
        </w:rPr>
        <w:t>7</w:t>
      </w:r>
      <w:r w:rsidRPr="00054570">
        <w:rPr>
          <w:sz w:val="14"/>
          <w:szCs w:val="14"/>
        </w:rPr>
        <w:fldChar w:fldCharType="end"/>
      </w:r>
    </w:p>
    <w:p w14:paraId="1465552F" w14:textId="14D9E265" w:rsidR="00670187" w:rsidRDefault="00670187" w:rsidP="00670187">
      <w:pPr>
        <w:pStyle w:val="Body"/>
      </w:pPr>
      <w:r>
        <w:t xml:space="preserve">Similar to PFS and OS, a LCHP was produced </w:t>
      </w:r>
      <w:r w:rsidRPr="0007115D">
        <w:t>for TTD</w:t>
      </w:r>
      <w:r>
        <w:t xml:space="preserve"> (</w:t>
      </w:r>
      <w:r w:rsidRPr="003C648C">
        <w:rPr>
          <w:b/>
          <w:bCs/>
        </w:rPr>
        <w:fldChar w:fldCharType="begin"/>
      </w:r>
      <w:r w:rsidRPr="003C648C">
        <w:rPr>
          <w:b/>
          <w:bCs/>
        </w:rPr>
        <w:instrText xml:space="preserve"> REF _Ref125381864 \h </w:instrText>
      </w:r>
      <w:r w:rsidR="00294697">
        <w:rPr>
          <w:b/>
          <w:bCs/>
        </w:rPr>
        <w:instrText xml:space="preserve"> \* MERGEFORMAT </w:instrText>
      </w:r>
      <w:r w:rsidRPr="003C648C">
        <w:rPr>
          <w:b/>
          <w:bCs/>
        </w:rPr>
      </w:r>
      <w:r w:rsidRPr="003C648C">
        <w:rPr>
          <w:b/>
          <w:bCs/>
        </w:rPr>
        <w:fldChar w:fldCharType="separate"/>
      </w:r>
      <w:r w:rsidR="00145F42" w:rsidRPr="00145F42">
        <w:rPr>
          <w:b/>
          <w:bCs/>
        </w:rPr>
        <w:t xml:space="preserve">Figure </w:t>
      </w:r>
      <w:r w:rsidR="00145F42" w:rsidRPr="00145F42">
        <w:rPr>
          <w:b/>
          <w:bCs/>
          <w:noProof/>
        </w:rPr>
        <w:t>39</w:t>
      </w:r>
      <w:r w:rsidRPr="003C648C">
        <w:rPr>
          <w:b/>
          <w:bCs/>
        </w:rPr>
        <w:fldChar w:fldCharType="end"/>
      </w:r>
      <w:r>
        <w:t>)</w:t>
      </w:r>
      <w:r w:rsidRPr="0007115D">
        <w:t>. The LCHP shows that the curves are not parallel over time</w:t>
      </w:r>
      <w:r w:rsidR="000B585B">
        <w:t xml:space="preserve">, </w:t>
      </w:r>
      <w:r>
        <w:t xml:space="preserve">indicating no clear evidence that the PH assumption holds. Therefore, independent curves were fitted to the DESTINY-Breast04 data to inform TTD for T-DXd and </w:t>
      </w:r>
      <w:r w:rsidRPr="008479F7">
        <w:t>TPC</w:t>
      </w:r>
      <w:r>
        <w:t xml:space="preserve">. Given the maturity of the data </w:t>
      </w:r>
      <w:r w:rsidRPr="008479F7">
        <w:t>(</w:t>
      </w:r>
      <w:r w:rsidR="00294FDC" w:rsidRPr="00294FDC">
        <w:rPr>
          <w:color w:val="000000"/>
          <w:highlight w:val="black"/>
        </w:rPr>
        <w:t>xxxxx</w:t>
      </w:r>
      <w:r w:rsidRPr="00132A1D">
        <w:t xml:space="preserve"> </w:t>
      </w:r>
      <w:r w:rsidRPr="003C648C">
        <w:t xml:space="preserve">and </w:t>
      </w:r>
      <w:r w:rsidR="00294FDC" w:rsidRPr="00294FDC">
        <w:rPr>
          <w:color w:val="000000"/>
          <w:highlight w:val="black"/>
        </w:rPr>
        <w:t>xxxxx</w:t>
      </w:r>
      <w:r w:rsidRPr="001E4721">
        <w:t xml:space="preserve"> </w:t>
      </w:r>
      <w:r w:rsidRPr="008479F7">
        <w:t>events for T-DXd and TPC, respectively</w:t>
      </w:r>
      <w:r>
        <w:t xml:space="preserve">) and likely independence of treatment discontinuation across both treatment arms (i.e., due to different adverse event profiles, or disease progression), independent curves were deemed the most appropriate to inform TTD. </w:t>
      </w:r>
      <w:r w:rsidRPr="008479F7">
        <w:t>The use of independent curves to model TTD also aligns with the clinical and HEOR expert advice received.</w:t>
      </w:r>
      <w:r w:rsidRPr="00054570">
        <w:fldChar w:fldCharType="begin"/>
      </w:r>
      <w:r w:rsidR="00CA6345">
        <w:instrText xml:space="preserve"> ADDIN ZOTERO_ITEM CSL_CITATION {"citationID":"m8Ka49mW","properties":{"formattedCitation":"\\super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Pr="00054570">
        <w:fldChar w:fldCharType="separate"/>
      </w:r>
      <w:r w:rsidR="00CA6345" w:rsidRPr="00CA6345">
        <w:rPr>
          <w:rFonts w:cs="Arial"/>
          <w:szCs w:val="24"/>
          <w:vertAlign w:val="superscript"/>
        </w:rPr>
        <w:t>121</w:t>
      </w:r>
      <w:r w:rsidRPr="00054570">
        <w:fldChar w:fldCharType="end"/>
      </w:r>
      <w:r w:rsidRPr="00293ECD">
        <w:t xml:space="preserve"> </w:t>
      </w:r>
      <w:r w:rsidRPr="008479F7">
        <w:fldChar w:fldCharType="begin"/>
      </w:r>
      <w:r w:rsidR="00CA6345">
        <w:instrText xml:space="preserve"> ADDIN ZOTERO_ITEM CSL_CITATION {"citationID":"UWH8ODvC","properties":{"formattedCitation":"\\super 22\\nosupersub{}","plainCitation":"22","dontUpdate":true,"noteIndex":0},"citationItems":[{"id":66204,"uris":["http://zotero.org/groups/4797619/items/KXU4JISB"],"itemData":{"id":66204,"type":"report","title":"Consultation validation meeting. Validation of clinical inputs, outputs and assumptions of the cost-effectiveness model for trastuzumab deruxtecan in HER2-low u/mBC. Data on File.","author":[{"family":"Daiichi Sankyo Inc.","given":""}],"issued":{"date-parts":[["2022"]]}}}],"schema":"https://github.com/citation-style-language/schema/raw/master/csl-citation.json"} </w:instrText>
      </w:r>
      <w:r w:rsidRPr="008479F7">
        <w:fldChar w:fldCharType="separate"/>
      </w:r>
      <w:r w:rsidRPr="008479F7">
        <w:fldChar w:fldCharType="end"/>
      </w:r>
      <w:r w:rsidRPr="008479F7">
        <w:t xml:space="preserve"> </w:t>
      </w:r>
    </w:p>
    <w:p w14:paraId="0E81B62F" w14:textId="64CF0FA5" w:rsidR="00670187" w:rsidRDefault="00670187" w:rsidP="00670187">
      <w:pPr>
        <w:pStyle w:val="Caption"/>
      </w:pPr>
      <w:bookmarkStart w:id="522" w:name="_Ref125381864"/>
      <w:bookmarkStart w:id="523" w:name="_Toc127006652"/>
      <w:bookmarkStart w:id="524" w:name="_Toc129350965"/>
      <w:r>
        <w:lastRenderedPageBreak/>
        <w:t xml:space="preserve">Figure </w:t>
      </w:r>
      <w:r>
        <w:fldChar w:fldCharType="begin"/>
      </w:r>
      <w:r>
        <w:instrText>SEQ Figure \* ARABIC</w:instrText>
      </w:r>
      <w:r>
        <w:fldChar w:fldCharType="separate"/>
      </w:r>
      <w:r w:rsidR="00145F42">
        <w:rPr>
          <w:noProof/>
        </w:rPr>
        <w:t>39</w:t>
      </w:r>
      <w:r>
        <w:fldChar w:fldCharType="end"/>
      </w:r>
      <w:bookmarkEnd w:id="522"/>
      <w:r>
        <w:t>:</w:t>
      </w:r>
      <w:r w:rsidRPr="00C00F3B">
        <w:t xml:space="preserve"> </w:t>
      </w:r>
      <w:r>
        <w:t>Log-cumulative hazard plot of TTD from DESTINY-Breast04</w:t>
      </w:r>
      <w:bookmarkEnd w:id="523"/>
      <w:bookmarkEnd w:id="524"/>
    </w:p>
    <w:tbl>
      <w:tblPr>
        <w:tblStyle w:val="TableGrid"/>
        <w:tblW w:w="0" w:type="auto"/>
        <w:tblBorders>
          <w:top w:val="single" w:sz="24" w:space="0" w:color="FFFF00"/>
          <w:left w:val="single" w:sz="24" w:space="0" w:color="FFFF00"/>
          <w:bottom w:val="single" w:sz="24" w:space="0" w:color="FFFF00"/>
          <w:right w:val="single" w:sz="24" w:space="0" w:color="FFFF00"/>
          <w:insideH w:val="single" w:sz="24" w:space="0" w:color="FFFF00"/>
          <w:insideV w:val="single" w:sz="24" w:space="0" w:color="FFFF00"/>
        </w:tblBorders>
        <w:tblLook w:val="04A0" w:firstRow="1" w:lastRow="0" w:firstColumn="1" w:lastColumn="0" w:noHBand="0" w:noVBand="1"/>
      </w:tblPr>
      <w:tblGrid>
        <w:gridCol w:w="9017"/>
      </w:tblGrid>
      <w:tr w:rsidR="00670187" w14:paraId="4EA9D690" w14:textId="77777777" w:rsidTr="00B261B6">
        <w:tc>
          <w:tcPr>
            <w:tcW w:w="9017" w:type="dxa"/>
            <w:tcBorders>
              <w:top w:val="single" w:sz="4" w:space="0" w:color="auto"/>
              <w:left w:val="single" w:sz="4" w:space="0" w:color="auto"/>
              <w:bottom w:val="single" w:sz="4" w:space="0" w:color="auto"/>
              <w:right w:val="single" w:sz="4" w:space="0" w:color="auto"/>
            </w:tcBorders>
            <w:vAlign w:val="center"/>
          </w:tcPr>
          <w:p w14:paraId="2136CED7" w14:textId="77777777" w:rsidR="00670187" w:rsidRDefault="00670187">
            <w:pPr>
              <w:pStyle w:val="Caption"/>
              <w:spacing w:before="0"/>
              <w:jc w:val="center"/>
            </w:pPr>
            <w:r>
              <w:rPr>
                <w:noProof/>
              </w:rPr>
              <w:drawing>
                <wp:inline distT="0" distB="0" distL="0" distR="0" wp14:anchorId="6A496BCC" wp14:editId="1207EF92">
                  <wp:extent cx="4648612" cy="3123210"/>
                  <wp:effectExtent l="0" t="0" r="0" b="127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656306" cy="3128379"/>
                          </a:xfrm>
                          <a:prstGeom prst="rect">
                            <a:avLst/>
                          </a:prstGeom>
                          <a:noFill/>
                        </pic:spPr>
                      </pic:pic>
                    </a:graphicData>
                  </a:graphic>
                </wp:inline>
              </w:drawing>
            </w:r>
          </w:p>
        </w:tc>
      </w:tr>
    </w:tbl>
    <w:p w14:paraId="64991E96" w14:textId="77777777" w:rsidR="00670187" w:rsidRPr="00C574C9" w:rsidRDefault="00670187" w:rsidP="00670187">
      <w:pPr>
        <w:pStyle w:val="NICElegend"/>
        <w:spacing w:after="240"/>
      </w:pPr>
      <w:r>
        <w:t xml:space="preserve">Abbreviations: DB04, DESTINY-Breast04; </w:t>
      </w:r>
      <w:r w:rsidRPr="001E6BCF">
        <w:rPr>
          <w:rStyle w:val="FootnotesChar"/>
        </w:rPr>
        <w:t>TPC, treatment of physician’s choice</w:t>
      </w:r>
      <w:r>
        <w:t>; TTD, time-to-treatment discontinuation; T</w:t>
      </w:r>
      <w:r>
        <w:noBreakHyphen/>
        <w:t>DXd, trastuzumab deruxtecan.</w:t>
      </w:r>
    </w:p>
    <w:p w14:paraId="61375D3F" w14:textId="77777777" w:rsidR="00670187" w:rsidRPr="006F6B64" w:rsidRDefault="00670187" w:rsidP="00670187">
      <w:pPr>
        <w:pStyle w:val="Body"/>
        <w:keepNext/>
        <w:rPr>
          <w:i/>
          <w:iCs/>
        </w:rPr>
      </w:pPr>
      <w:r w:rsidRPr="006F6B64">
        <w:rPr>
          <w:i/>
          <w:iCs/>
        </w:rPr>
        <w:t>Assessment of the statistical goodness-of-fit scores for fitted models</w:t>
      </w:r>
    </w:p>
    <w:p w14:paraId="24012449" w14:textId="1639FA85" w:rsidR="00670187" w:rsidRPr="002C118B" w:rsidRDefault="00670187" w:rsidP="00670187">
      <w:pPr>
        <w:pStyle w:val="Body"/>
      </w:pPr>
      <w:r w:rsidRPr="002C118B">
        <w:t>As with PFS and OS, the six standard parametric forms discussed in the NICE DSU TSD 14</w:t>
      </w:r>
      <w:r w:rsidRPr="002C118B">
        <w:fldChar w:fldCharType="begin"/>
      </w:r>
      <w:r w:rsidR="00CA6345">
        <w:instrText xml:space="preserve"> ADDIN ZOTERO_ITEM CSL_CITATION {"citationID":"FjXCK72P","properties":{"formattedCitation":"\\super 171\\nosupersub{}","plainCitation":"171","noteIndex":0},"citationItems":[{"id":66276,"uris":["http://zotero.org/groups/4797619/items/QYBHYJLM"],"itemData":{"id":66276,"type":"webpage","title":"NICE DSU Technical Support Document 14:  Survival Analysis For Economic Evaluations Alongside Clinical Trials - Extrapolation With Patient-Level Data","URL":"https://www.sheffield.ac.uk/sites/default/files/2022-02/TSD14-Survival-analysis.updated-March-2013.v2.pdf","author":[{"family":"NICE","given":""}],"issued":{"date-parts":[["2013",3]]}}}],"schema":"https://github.com/citation-style-language/schema/raw/master/csl-citation.json"} </w:instrText>
      </w:r>
      <w:r w:rsidRPr="002C118B">
        <w:fldChar w:fldCharType="separate"/>
      </w:r>
      <w:r w:rsidR="00CA6345" w:rsidRPr="00CA6345">
        <w:rPr>
          <w:rFonts w:cs="Arial"/>
          <w:szCs w:val="24"/>
          <w:vertAlign w:val="superscript"/>
        </w:rPr>
        <w:t>171</w:t>
      </w:r>
      <w:r w:rsidRPr="002C118B">
        <w:fldChar w:fldCharType="end"/>
      </w:r>
      <w:r w:rsidRPr="002C118B">
        <w:t xml:space="preserve"> were fitted to TTD data from the DESTINY-Breast04 trial for completeness. AIC and BIC scores for the extrapolated TTD curves are presented in </w:t>
      </w:r>
      <w:r w:rsidRPr="003C648C">
        <w:rPr>
          <w:b/>
          <w:bCs/>
        </w:rPr>
        <w:fldChar w:fldCharType="begin"/>
      </w:r>
      <w:r w:rsidRPr="003C648C">
        <w:rPr>
          <w:b/>
          <w:bCs/>
        </w:rPr>
        <w:instrText xml:space="preserve"> REF _Ref125381910 \h </w:instrText>
      </w:r>
      <w:r w:rsidR="00BB06FD" w:rsidRPr="003C648C">
        <w:rPr>
          <w:b/>
          <w:bCs/>
        </w:rPr>
        <w:instrText xml:space="preserve"> \* MERGEFORMAT </w:instrText>
      </w:r>
      <w:r w:rsidRPr="003C648C">
        <w:rPr>
          <w:b/>
          <w:bCs/>
        </w:rPr>
      </w:r>
      <w:r w:rsidRPr="003C648C">
        <w:rPr>
          <w:b/>
          <w:bCs/>
        </w:rPr>
        <w:fldChar w:fldCharType="separate"/>
      </w:r>
      <w:r w:rsidR="00145F42" w:rsidRPr="00145F42">
        <w:rPr>
          <w:b/>
          <w:bCs/>
        </w:rPr>
        <w:t xml:space="preserve">Table </w:t>
      </w:r>
      <w:r w:rsidR="00145F42" w:rsidRPr="00145F42">
        <w:rPr>
          <w:b/>
          <w:bCs/>
          <w:noProof/>
        </w:rPr>
        <w:t>39</w:t>
      </w:r>
      <w:r w:rsidRPr="003C648C">
        <w:rPr>
          <w:b/>
          <w:bCs/>
        </w:rPr>
        <w:fldChar w:fldCharType="end"/>
      </w:r>
      <w:r w:rsidRPr="002C118B">
        <w:t>. Based on the goodness-of-fit statistics, the log-logistic</w:t>
      </w:r>
      <w:r>
        <w:t xml:space="preserve"> and generalised gamma</w:t>
      </w:r>
      <w:r w:rsidRPr="002C118B">
        <w:t xml:space="preserve"> provide the best statistical fit to the DESTINY-Breast04 data as </w:t>
      </w:r>
      <w:r>
        <w:t>they have</w:t>
      </w:r>
      <w:r w:rsidRPr="002C118B">
        <w:t xml:space="preserve"> the lowest AIC and BIC values </w:t>
      </w:r>
      <w:r>
        <w:t>when assessing</w:t>
      </w:r>
      <w:r w:rsidRPr="002C118B">
        <w:t xml:space="preserve"> the T-DXd and TPC arms. </w:t>
      </w:r>
      <w:r w:rsidR="00773CEE">
        <w:t xml:space="preserve">The log-normal TPC parametric curve has a good statistical fit to the observed KM data; however, </w:t>
      </w:r>
      <w:r w:rsidR="002F6315">
        <w:t xml:space="preserve">the log-normal T-DXd parametric curve has a </w:t>
      </w:r>
      <w:r w:rsidR="00266764">
        <w:t>poor</w:t>
      </w:r>
      <w:r w:rsidR="00BD3D53">
        <w:t>er</w:t>
      </w:r>
      <w:r w:rsidR="00266764">
        <w:t xml:space="preserve"> statistical fit to the observed T-DXd KM data</w:t>
      </w:r>
      <w:r w:rsidR="00FD4794">
        <w:t>.</w:t>
      </w:r>
    </w:p>
    <w:p w14:paraId="5AD9DBA9" w14:textId="08B3E8A3" w:rsidR="00670187" w:rsidRPr="00995EAE" w:rsidRDefault="00670187" w:rsidP="00670187">
      <w:pPr>
        <w:pStyle w:val="Caption"/>
      </w:pPr>
      <w:bookmarkStart w:id="525" w:name="_Ref125381910"/>
      <w:bookmarkStart w:id="526" w:name="_Toc127006669"/>
      <w:bookmarkStart w:id="527" w:name="_Toc129351014"/>
      <w:r>
        <w:lastRenderedPageBreak/>
        <w:t xml:space="preserve">Table </w:t>
      </w:r>
      <w:r>
        <w:fldChar w:fldCharType="begin"/>
      </w:r>
      <w:r>
        <w:instrText>SEQ Table \* ARABIC</w:instrText>
      </w:r>
      <w:r>
        <w:fldChar w:fldCharType="separate"/>
      </w:r>
      <w:r w:rsidR="00145F42">
        <w:rPr>
          <w:noProof/>
        </w:rPr>
        <w:t>39</w:t>
      </w:r>
      <w:r>
        <w:fldChar w:fldCharType="end"/>
      </w:r>
      <w:bookmarkEnd w:id="525"/>
      <w:r>
        <w:t xml:space="preserve">: </w:t>
      </w:r>
      <w:r w:rsidRPr="00995EAE">
        <w:t>Statistical goodness-of-fit scores (TTD, independent models) in the FAS population</w:t>
      </w:r>
      <w:bookmarkEnd w:id="526"/>
      <w:bookmarkEnd w:id="527"/>
    </w:p>
    <w:tbl>
      <w:tblPr>
        <w:tblStyle w:val="TableGridLight"/>
        <w:tblW w:w="0" w:type="auto"/>
        <w:tblLayout w:type="fixed"/>
        <w:tblLook w:val="04A0" w:firstRow="1" w:lastRow="0" w:firstColumn="1" w:lastColumn="0" w:noHBand="0" w:noVBand="1"/>
      </w:tblPr>
      <w:tblGrid>
        <w:gridCol w:w="2310"/>
        <w:gridCol w:w="1541"/>
        <w:gridCol w:w="1597"/>
        <w:gridCol w:w="1541"/>
        <w:gridCol w:w="1515"/>
      </w:tblGrid>
      <w:tr w:rsidR="006B484A" w:rsidRPr="00995EAE" w14:paraId="1F8E7265" w14:textId="77777777" w:rsidTr="003C648C">
        <w:trPr>
          <w:cnfStyle w:val="100000000000" w:firstRow="1" w:lastRow="0" w:firstColumn="0" w:lastColumn="0" w:oddVBand="0" w:evenVBand="0" w:oddHBand="0" w:evenHBand="0" w:firstRowFirstColumn="0" w:firstRowLastColumn="0" w:lastRowFirstColumn="0" w:lastRowLastColumn="0"/>
          <w:trHeight w:val="283"/>
          <w:tblHeader/>
        </w:trPr>
        <w:tc>
          <w:tcPr>
            <w:tcW w:w="2310" w:type="dxa"/>
            <w:vMerge w:val="restart"/>
          </w:tcPr>
          <w:p w14:paraId="72CCC5BF" w14:textId="77777777" w:rsidR="006B484A" w:rsidRPr="00995EAE" w:rsidRDefault="006B484A">
            <w:pPr>
              <w:pStyle w:val="NICETableHeader"/>
              <w:rPr>
                <w:rFonts w:cs="Arial"/>
                <w:b/>
                <w:bCs/>
              </w:rPr>
            </w:pPr>
            <w:r w:rsidRPr="00995EAE">
              <w:rPr>
                <w:b/>
              </w:rPr>
              <w:t>Model</w:t>
            </w:r>
          </w:p>
        </w:tc>
        <w:tc>
          <w:tcPr>
            <w:tcW w:w="3138" w:type="dxa"/>
            <w:gridSpan w:val="2"/>
          </w:tcPr>
          <w:p w14:paraId="230A0DAA" w14:textId="77777777" w:rsidR="006B484A" w:rsidRPr="00995EAE" w:rsidRDefault="006B484A">
            <w:pPr>
              <w:pStyle w:val="NICETableHeader"/>
              <w:jc w:val="center"/>
              <w:rPr>
                <w:rFonts w:cs="Arial"/>
                <w:b/>
                <w:bCs/>
              </w:rPr>
            </w:pPr>
            <w:r w:rsidRPr="00995EAE">
              <w:rPr>
                <w:rFonts w:cs="Arial"/>
                <w:b/>
                <w:bCs/>
              </w:rPr>
              <w:t>TPC</w:t>
            </w:r>
          </w:p>
        </w:tc>
        <w:tc>
          <w:tcPr>
            <w:tcW w:w="3056" w:type="dxa"/>
            <w:gridSpan w:val="2"/>
          </w:tcPr>
          <w:p w14:paraId="18E55604" w14:textId="77777777" w:rsidR="006B484A" w:rsidRPr="00995EAE" w:rsidRDefault="006B484A">
            <w:pPr>
              <w:pStyle w:val="NICETableHeader"/>
              <w:jc w:val="center"/>
              <w:rPr>
                <w:rFonts w:cs="Arial"/>
                <w:bCs/>
              </w:rPr>
            </w:pPr>
            <w:r w:rsidRPr="00995EAE">
              <w:rPr>
                <w:rFonts w:cs="Arial"/>
                <w:b/>
                <w:bCs/>
              </w:rPr>
              <w:t>T-DXd</w:t>
            </w:r>
          </w:p>
        </w:tc>
      </w:tr>
      <w:tr w:rsidR="006B484A" w:rsidRPr="00995EAE" w14:paraId="7CC59FCA" w14:textId="77777777" w:rsidTr="003C648C">
        <w:trPr>
          <w:cnfStyle w:val="100000000000" w:firstRow="1" w:lastRow="0" w:firstColumn="0" w:lastColumn="0" w:oddVBand="0" w:evenVBand="0" w:oddHBand="0" w:evenHBand="0" w:firstRowFirstColumn="0" w:firstRowLastColumn="0" w:lastRowFirstColumn="0" w:lastRowLastColumn="0"/>
          <w:trHeight w:val="143"/>
          <w:tblHeader/>
        </w:trPr>
        <w:tc>
          <w:tcPr>
            <w:tcW w:w="2310" w:type="dxa"/>
            <w:vMerge/>
          </w:tcPr>
          <w:p w14:paraId="36C76170" w14:textId="77777777" w:rsidR="006B484A" w:rsidRPr="00995EAE" w:rsidRDefault="006B484A">
            <w:pPr>
              <w:pStyle w:val="NICETableHeader"/>
              <w:rPr>
                <w:b/>
              </w:rPr>
            </w:pPr>
          </w:p>
        </w:tc>
        <w:tc>
          <w:tcPr>
            <w:tcW w:w="1541" w:type="dxa"/>
          </w:tcPr>
          <w:p w14:paraId="19F1C9E0" w14:textId="77777777" w:rsidR="006B484A" w:rsidRPr="00995EAE" w:rsidRDefault="006B484A">
            <w:pPr>
              <w:pStyle w:val="NICETableHeader"/>
              <w:jc w:val="center"/>
              <w:rPr>
                <w:bCs/>
              </w:rPr>
            </w:pPr>
            <w:r w:rsidRPr="00995EAE">
              <w:rPr>
                <w:b/>
              </w:rPr>
              <w:t>AIC</w:t>
            </w:r>
          </w:p>
        </w:tc>
        <w:tc>
          <w:tcPr>
            <w:tcW w:w="1597" w:type="dxa"/>
          </w:tcPr>
          <w:p w14:paraId="6BDA5516" w14:textId="77777777" w:rsidR="006B484A" w:rsidRPr="00995EAE" w:rsidRDefault="006B484A">
            <w:pPr>
              <w:pStyle w:val="NICETableHeader"/>
              <w:jc w:val="center"/>
              <w:rPr>
                <w:bCs/>
              </w:rPr>
            </w:pPr>
            <w:r w:rsidRPr="00995EAE">
              <w:rPr>
                <w:b/>
              </w:rPr>
              <w:t>BIC</w:t>
            </w:r>
          </w:p>
        </w:tc>
        <w:tc>
          <w:tcPr>
            <w:tcW w:w="1541" w:type="dxa"/>
          </w:tcPr>
          <w:p w14:paraId="25A686A4" w14:textId="77777777" w:rsidR="006B484A" w:rsidRPr="00995EAE" w:rsidRDefault="006B484A">
            <w:pPr>
              <w:pStyle w:val="NICETableHeader"/>
              <w:jc w:val="center"/>
              <w:rPr>
                <w:b/>
                <w:bCs/>
              </w:rPr>
            </w:pPr>
            <w:r w:rsidRPr="00995EAE">
              <w:rPr>
                <w:b/>
                <w:bCs/>
              </w:rPr>
              <w:t>AIC</w:t>
            </w:r>
          </w:p>
        </w:tc>
        <w:tc>
          <w:tcPr>
            <w:tcW w:w="1514" w:type="dxa"/>
          </w:tcPr>
          <w:p w14:paraId="0087FB47" w14:textId="77777777" w:rsidR="006B484A" w:rsidRPr="00995EAE" w:rsidRDefault="006B484A">
            <w:pPr>
              <w:pStyle w:val="NICETableHeader"/>
              <w:jc w:val="center"/>
              <w:rPr>
                <w:b/>
                <w:bCs/>
              </w:rPr>
            </w:pPr>
            <w:r w:rsidRPr="00995EAE">
              <w:rPr>
                <w:b/>
                <w:bCs/>
              </w:rPr>
              <w:t>BIC</w:t>
            </w:r>
          </w:p>
        </w:tc>
      </w:tr>
      <w:tr w:rsidR="006B484A" w:rsidRPr="00995EAE" w14:paraId="590B6D0D" w14:textId="77777777" w:rsidTr="003C648C">
        <w:trPr>
          <w:trHeight w:val="326"/>
        </w:trPr>
        <w:tc>
          <w:tcPr>
            <w:tcW w:w="2310" w:type="dxa"/>
            <w:vAlign w:val="center"/>
          </w:tcPr>
          <w:p w14:paraId="4490013E" w14:textId="77777777" w:rsidR="006B484A" w:rsidRPr="00995EAE" w:rsidRDefault="006B484A" w:rsidP="003C648C">
            <w:pPr>
              <w:pStyle w:val="NICETabletext"/>
              <w:rPr>
                <w:rFonts w:cs="Arial"/>
              </w:rPr>
            </w:pPr>
            <w:r w:rsidRPr="00995EAE">
              <w:rPr>
                <w:rFonts w:cs="Arial"/>
              </w:rPr>
              <w:t>Exponential</w:t>
            </w:r>
          </w:p>
        </w:tc>
        <w:tc>
          <w:tcPr>
            <w:tcW w:w="1541" w:type="dxa"/>
            <w:vAlign w:val="center"/>
          </w:tcPr>
          <w:p w14:paraId="638C80E9" w14:textId="77777777" w:rsidR="006B484A" w:rsidRPr="00995EAE" w:rsidRDefault="006B484A" w:rsidP="006B484A">
            <w:pPr>
              <w:pStyle w:val="NICETabletext"/>
              <w:jc w:val="center"/>
              <w:rPr>
                <w:rFonts w:cs="Arial"/>
              </w:rPr>
            </w:pPr>
            <w:r w:rsidRPr="00995EAE">
              <w:rPr>
                <w:rFonts w:cs="Arial"/>
              </w:rPr>
              <w:t>900.68</w:t>
            </w:r>
          </w:p>
        </w:tc>
        <w:tc>
          <w:tcPr>
            <w:tcW w:w="1597" w:type="dxa"/>
            <w:vAlign w:val="center"/>
          </w:tcPr>
          <w:p w14:paraId="203A5F3C" w14:textId="77777777" w:rsidR="006B484A" w:rsidRPr="00995EAE" w:rsidRDefault="006B484A" w:rsidP="006B484A">
            <w:pPr>
              <w:pStyle w:val="NICETabletext"/>
              <w:jc w:val="center"/>
              <w:rPr>
                <w:rFonts w:cs="Arial"/>
              </w:rPr>
            </w:pPr>
            <w:r w:rsidRPr="00995EAE">
              <w:rPr>
                <w:rFonts w:cs="Arial"/>
              </w:rPr>
              <w:t>903.89</w:t>
            </w:r>
          </w:p>
        </w:tc>
        <w:tc>
          <w:tcPr>
            <w:tcW w:w="1541" w:type="dxa"/>
            <w:vAlign w:val="center"/>
          </w:tcPr>
          <w:p w14:paraId="74D98932" w14:textId="77777777" w:rsidR="006B484A" w:rsidRPr="00995EAE" w:rsidRDefault="006B484A" w:rsidP="006B484A">
            <w:pPr>
              <w:pStyle w:val="NICETabletext"/>
              <w:jc w:val="center"/>
              <w:rPr>
                <w:rFonts w:cs="Arial"/>
              </w:rPr>
            </w:pPr>
            <w:r w:rsidRPr="00995EAE">
              <w:rPr>
                <w:rFonts w:cs="Arial"/>
              </w:rPr>
              <w:t>2137.87</w:t>
            </w:r>
          </w:p>
        </w:tc>
        <w:tc>
          <w:tcPr>
            <w:tcW w:w="1514" w:type="dxa"/>
            <w:vAlign w:val="center"/>
          </w:tcPr>
          <w:p w14:paraId="58714A8F" w14:textId="77777777" w:rsidR="006B484A" w:rsidRPr="00995EAE" w:rsidRDefault="006B484A" w:rsidP="006B484A">
            <w:pPr>
              <w:pStyle w:val="NICETabletext"/>
              <w:jc w:val="center"/>
              <w:rPr>
                <w:rFonts w:cs="Arial"/>
              </w:rPr>
            </w:pPr>
            <w:r w:rsidRPr="00995EAE">
              <w:rPr>
                <w:rFonts w:cs="Arial"/>
              </w:rPr>
              <w:t>2141.79</w:t>
            </w:r>
          </w:p>
        </w:tc>
      </w:tr>
      <w:tr w:rsidR="006B484A" w:rsidRPr="00995EAE" w14:paraId="2EF75375" w14:textId="77777777" w:rsidTr="003C648C">
        <w:trPr>
          <w:trHeight w:val="326"/>
        </w:trPr>
        <w:tc>
          <w:tcPr>
            <w:tcW w:w="2310" w:type="dxa"/>
            <w:vAlign w:val="center"/>
          </w:tcPr>
          <w:p w14:paraId="266379CB" w14:textId="77777777" w:rsidR="006B484A" w:rsidRPr="00995EAE" w:rsidRDefault="006B484A" w:rsidP="003C648C">
            <w:pPr>
              <w:pStyle w:val="NICETabletext"/>
              <w:rPr>
                <w:rFonts w:cs="Arial"/>
              </w:rPr>
            </w:pPr>
            <w:r w:rsidRPr="00995EAE">
              <w:rPr>
                <w:rFonts w:cs="Arial"/>
              </w:rPr>
              <w:t>Weibull</w:t>
            </w:r>
          </w:p>
        </w:tc>
        <w:tc>
          <w:tcPr>
            <w:tcW w:w="1541" w:type="dxa"/>
            <w:vAlign w:val="center"/>
          </w:tcPr>
          <w:p w14:paraId="51443411" w14:textId="77777777" w:rsidR="006B484A" w:rsidRPr="00995EAE" w:rsidRDefault="006B484A" w:rsidP="006B484A">
            <w:pPr>
              <w:pStyle w:val="NICETabletext"/>
              <w:jc w:val="center"/>
              <w:rPr>
                <w:rFonts w:cs="Arial"/>
              </w:rPr>
            </w:pPr>
            <w:r w:rsidRPr="00995EAE">
              <w:rPr>
                <w:rFonts w:cs="Arial"/>
              </w:rPr>
              <w:t>893.62</w:t>
            </w:r>
          </w:p>
        </w:tc>
        <w:tc>
          <w:tcPr>
            <w:tcW w:w="1597" w:type="dxa"/>
            <w:vAlign w:val="center"/>
          </w:tcPr>
          <w:p w14:paraId="408E496A" w14:textId="77777777" w:rsidR="006B484A" w:rsidRPr="00995EAE" w:rsidRDefault="006B484A" w:rsidP="006B484A">
            <w:pPr>
              <w:pStyle w:val="NICETabletext"/>
              <w:jc w:val="center"/>
              <w:rPr>
                <w:rFonts w:cs="Arial"/>
              </w:rPr>
            </w:pPr>
            <w:r w:rsidRPr="00995EAE">
              <w:rPr>
                <w:rFonts w:cs="Arial"/>
              </w:rPr>
              <w:t>900.05</w:t>
            </w:r>
          </w:p>
        </w:tc>
        <w:tc>
          <w:tcPr>
            <w:tcW w:w="1541" w:type="dxa"/>
            <w:vAlign w:val="center"/>
          </w:tcPr>
          <w:p w14:paraId="6CFA4EE3" w14:textId="77777777" w:rsidR="006B484A" w:rsidRPr="00995EAE" w:rsidRDefault="006B484A" w:rsidP="006B484A">
            <w:pPr>
              <w:pStyle w:val="NICETabletext"/>
              <w:jc w:val="center"/>
              <w:rPr>
                <w:rFonts w:cs="Arial"/>
              </w:rPr>
            </w:pPr>
            <w:r w:rsidRPr="00995EAE">
              <w:rPr>
                <w:rFonts w:cs="Arial"/>
              </w:rPr>
              <w:t>2115.29</w:t>
            </w:r>
          </w:p>
        </w:tc>
        <w:tc>
          <w:tcPr>
            <w:tcW w:w="1514" w:type="dxa"/>
            <w:vAlign w:val="center"/>
          </w:tcPr>
          <w:p w14:paraId="59B14C0E" w14:textId="77777777" w:rsidR="006B484A" w:rsidRPr="00995EAE" w:rsidRDefault="006B484A" w:rsidP="006B484A">
            <w:pPr>
              <w:pStyle w:val="NICETabletext"/>
              <w:jc w:val="center"/>
              <w:rPr>
                <w:rFonts w:cs="Arial"/>
              </w:rPr>
            </w:pPr>
            <w:r w:rsidRPr="00995EAE">
              <w:rPr>
                <w:rFonts w:cs="Arial"/>
              </w:rPr>
              <w:t>2123.14</w:t>
            </w:r>
          </w:p>
        </w:tc>
      </w:tr>
      <w:tr w:rsidR="006B484A" w:rsidRPr="00995EAE" w14:paraId="4FC24F10" w14:textId="77777777" w:rsidTr="003C648C">
        <w:trPr>
          <w:trHeight w:val="326"/>
        </w:trPr>
        <w:tc>
          <w:tcPr>
            <w:tcW w:w="2310" w:type="dxa"/>
            <w:vAlign w:val="center"/>
          </w:tcPr>
          <w:p w14:paraId="61498167" w14:textId="77777777" w:rsidR="006B484A" w:rsidRPr="00995EAE" w:rsidRDefault="006B484A" w:rsidP="003C648C">
            <w:pPr>
              <w:pStyle w:val="NICETabletext"/>
              <w:rPr>
                <w:rFonts w:cs="Arial"/>
              </w:rPr>
            </w:pPr>
            <w:r w:rsidRPr="00995EAE">
              <w:rPr>
                <w:rFonts w:cs="Arial"/>
              </w:rPr>
              <w:t>Gompertz</w:t>
            </w:r>
          </w:p>
        </w:tc>
        <w:tc>
          <w:tcPr>
            <w:tcW w:w="1541" w:type="dxa"/>
            <w:vAlign w:val="center"/>
          </w:tcPr>
          <w:p w14:paraId="5BF62B5A" w14:textId="77777777" w:rsidR="006B484A" w:rsidRPr="00995EAE" w:rsidRDefault="006B484A" w:rsidP="006B484A">
            <w:pPr>
              <w:pStyle w:val="NICETabletext"/>
              <w:jc w:val="center"/>
              <w:rPr>
                <w:rFonts w:cs="Arial"/>
              </w:rPr>
            </w:pPr>
            <w:r w:rsidRPr="00995EAE">
              <w:rPr>
                <w:rFonts w:cs="Arial"/>
              </w:rPr>
              <w:t>902.68</w:t>
            </w:r>
          </w:p>
        </w:tc>
        <w:tc>
          <w:tcPr>
            <w:tcW w:w="1597" w:type="dxa"/>
            <w:vAlign w:val="center"/>
          </w:tcPr>
          <w:p w14:paraId="0DE9FADC" w14:textId="77777777" w:rsidR="006B484A" w:rsidRPr="00995EAE" w:rsidRDefault="006B484A" w:rsidP="006B484A">
            <w:pPr>
              <w:pStyle w:val="NICETabletext"/>
              <w:jc w:val="center"/>
              <w:rPr>
                <w:rFonts w:cs="Arial"/>
              </w:rPr>
            </w:pPr>
            <w:r w:rsidRPr="00995EAE">
              <w:rPr>
                <w:rFonts w:cs="Arial"/>
              </w:rPr>
              <w:t>909.10</w:t>
            </w:r>
          </w:p>
        </w:tc>
        <w:tc>
          <w:tcPr>
            <w:tcW w:w="1541" w:type="dxa"/>
            <w:vAlign w:val="center"/>
          </w:tcPr>
          <w:p w14:paraId="708AD8AD" w14:textId="77777777" w:rsidR="006B484A" w:rsidRPr="00995EAE" w:rsidRDefault="006B484A" w:rsidP="006B484A">
            <w:pPr>
              <w:pStyle w:val="NICETabletext"/>
              <w:jc w:val="center"/>
              <w:rPr>
                <w:rFonts w:cs="Arial"/>
              </w:rPr>
            </w:pPr>
            <w:r w:rsidRPr="00995EAE">
              <w:rPr>
                <w:rFonts w:cs="Arial"/>
              </w:rPr>
              <w:t>2132.04</w:t>
            </w:r>
          </w:p>
        </w:tc>
        <w:tc>
          <w:tcPr>
            <w:tcW w:w="1514" w:type="dxa"/>
            <w:vAlign w:val="center"/>
          </w:tcPr>
          <w:p w14:paraId="19A74DAD" w14:textId="77777777" w:rsidR="006B484A" w:rsidRPr="00995EAE" w:rsidRDefault="006B484A" w:rsidP="006B484A">
            <w:pPr>
              <w:pStyle w:val="NICETabletext"/>
              <w:jc w:val="center"/>
              <w:rPr>
                <w:rFonts w:cs="Arial"/>
              </w:rPr>
            </w:pPr>
            <w:r w:rsidRPr="00995EAE">
              <w:rPr>
                <w:rFonts w:cs="Arial"/>
              </w:rPr>
              <w:t>2139.88</w:t>
            </w:r>
          </w:p>
        </w:tc>
      </w:tr>
      <w:tr w:rsidR="006B484A" w:rsidRPr="00995EAE" w14:paraId="6F3666BA" w14:textId="77777777" w:rsidTr="003C648C">
        <w:trPr>
          <w:trHeight w:val="326"/>
        </w:trPr>
        <w:tc>
          <w:tcPr>
            <w:tcW w:w="2310" w:type="dxa"/>
            <w:vAlign w:val="center"/>
          </w:tcPr>
          <w:p w14:paraId="6C60077B" w14:textId="77777777" w:rsidR="006B484A" w:rsidRPr="00995EAE" w:rsidRDefault="006B484A" w:rsidP="003C648C">
            <w:pPr>
              <w:pStyle w:val="NICETabletext"/>
              <w:rPr>
                <w:rFonts w:cs="Arial"/>
              </w:rPr>
            </w:pPr>
            <w:r w:rsidRPr="00995EAE">
              <w:rPr>
                <w:rFonts w:cs="Arial"/>
              </w:rPr>
              <w:t>Log-logistic</w:t>
            </w:r>
          </w:p>
        </w:tc>
        <w:tc>
          <w:tcPr>
            <w:tcW w:w="1541" w:type="dxa"/>
            <w:vAlign w:val="center"/>
          </w:tcPr>
          <w:p w14:paraId="3B0BDE63" w14:textId="77777777" w:rsidR="006B484A" w:rsidRPr="00995EAE" w:rsidRDefault="006B484A" w:rsidP="006B484A">
            <w:pPr>
              <w:pStyle w:val="NICETabletext"/>
              <w:jc w:val="center"/>
              <w:rPr>
                <w:rFonts w:cs="Arial"/>
                <w:b/>
              </w:rPr>
            </w:pPr>
            <w:r w:rsidRPr="00995EAE">
              <w:rPr>
                <w:rFonts w:cs="Arial"/>
                <w:b/>
              </w:rPr>
              <w:t>870.59</w:t>
            </w:r>
          </w:p>
        </w:tc>
        <w:tc>
          <w:tcPr>
            <w:tcW w:w="1597" w:type="dxa"/>
            <w:vAlign w:val="center"/>
          </w:tcPr>
          <w:p w14:paraId="515F5A99" w14:textId="77777777" w:rsidR="006B484A" w:rsidRPr="00995EAE" w:rsidRDefault="006B484A" w:rsidP="006B484A">
            <w:pPr>
              <w:pStyle w:val="NICETabletext"/>
              <w:jc w:val="center"/>
              <w:rPr>
                <w:rFonts w:cs="Arial"/>
                <w:b/>
              </w:rPr>
            </w:pPr>
            <w:r w:rsidRPr="00995EAE">
              <w:rPr>
                <w:rFonts w:cs="Arial"/>
                <w:b/>
              </w:rPr>
              <w:t>877.02</w:t>
            </w:r>
          </w:p>
        </w:tc>
        <w:tc>
          <w:tcPr>
            <w:tcW w:w="1541" w:type="dxa"/>
            <w:vAlign w:val="center"/>
          </w:tcPr>
          <w:p w14:paraId="38547A9F" w14:textId="77777777" w:rsidR="006B484A" w:rsidRPr="0082623B" w:rsidRDefault="006B484A" w:rsidP="006B484A">
            <w:pPr>
              <w:pStyle w:val="NICETabletext"/>
              <w:jc w:val="center"/>
              <w:rPr>
                <w:rFonts w:cs="Arial"/>
                <w:bCs/>
              </w:rPr>
            </w:pPr>
            <w:r w:rsidRPr="0082623B">
              <w:rPr>
                <w:rFonts w:cs="Arial"/>
                <w:bCs/>
              </w:rPr>
              <w:t>2108.93</w:t>
            </w:r>
          </w:p>
        </w:tc>
        <w:tc>
          <w:tcPr>
            <w:tcW w:w="1514" w:type="dxa"/>
            <w:vAlign w:val="center"/>
          </w:tcPr>
          <w:p w14:paraId="1BF0E59A" w14:textId="77777777" w:rsidR="006B484A" w:rsidRPr="00995EAE" w:rsidRDefault="006B484A" w:rsidP="006B484A">
            <w:pPr>
              <w:pStyle w:val="NICETabletext"/>
              <w:jc w:val="center"/>
              <w:rPr>
                <w:rFonts w:cs="Arial"/>
                <w:b/>
              </w:rPr>
            </w:pPr>
            <w:r w:rsidRPr="00995EAE">
              <w:rPr>
                <w:rFonts w:cs="Arial"/>
                <w:b/>
              </w:rPr>
              <w:t>2116.77</w:t>
            </w:r>
          </w:p>
        </w:tc>
      </w:tr>
      <w:tr w:rsidR="006B484A" w:rsidRPr="00995EAE" w14:paraId="47066A06" w14:textId="77777777" w:rsidTr="003C648C">
        <w:trPr>
          <w:trHeight w:val="326"/>
        </w:trPr>
        <w:tc>
          <w:tcPr>
            <w:tcW w:w="2310" w:type="dxa"/>
            <w:vAlign w:val="center"/>
          </w:tcPr>
          <w:p w14:paraId="150FD340" w14:textId="77777777" w:rsidR="006B484A" w:rsidRPr="00995EAE" w:rsidRDefault="006B484A" w:rsidP="003C648C">
            <w:pPr>
              <w:pStyle w:val="NICETabletext"/>
              <w:rPr>
                <w:rFonts w:cs="Arial"/>
              </w:rPr>
            </w:pPr>
            <w:r w:rsidRPr="00995EAE">
              <w:rPr>
                <w:rFonts w:cs="Arial"/>
              </w:rPr>
              <w:t>Log-normal</w:t>
            </w:r>
          </w:p>
        </w:tc>
        <w:tc>
          <w:tcPr>
            <w:tcW w:w="1541" w:type="dxa"/>
            <w:vAlign w:val="center"/>
          </w:tcPr>
          <w:p w14:paraId="1B280476" w14:textId="77777777" w:rsidR="006B484A" w:rsidRPr="00995EAE" w:rsidRDefault="006B484A" w:rsidP="006B484A">
            <w:pPr>
              <w:pStyle w:val="NICETabletext"/>
              <w:jc w:val="center"/>
              <w:rPr>
                <w:rFonts w:cs="Arial"/>
              </w:rPr>
            </w:pPr>
            <w:r w:rsidRPr="00995EAE">
              <w:rPr>
                <w:rFonts w:cs="Arial"/>
              </w:rPr>
              <w:t>875.69</w:t>
            </w:r>
          </w:p>
        </w:tc>
        <w:tc>
          <w:tcPr>
            <w:tcW w:w="1597" w:type="dxa"/>
            <w:vAlign w:val="center"/>
          </w:tcPr>
          <w:p w14:paraId="693FDDE9" w14:textId="77777777" w:rsidR="006B484A" w:rsidRPr="00995EAE" w:rsidRDefault="006B484A" w:rsidP="006B484A">
            <w:pPr>
              <w:pStyle w:val="NICETabletext"/>
              <w:jc w:val="center"/>
              <w:rPr>
                <w:rFonts w:cs="Arial"/>
              </w:rPr>
            </w:pPr>
            <w:r w:rsidRPr="00995EAE">
              <w:rPr>
                <w:rFonts w:cs="Arial"/>
              </w:rPr>
              <w:t>882.12</w:t>
            </w:r>
          </w:p>
        </w:tc>
        <w:tc>
          <w:tcPr>
            <w:tcW w:w="1541" w:type="dxa"/>
            <w:vAlign w:val="center"/>
          </w:tcPr>
          <w:p w14:paraId="3FA296ED" w14:textId="77777777" w:rsidR="006B484A" w:rsidRPr="00995EAE" w:rsidRDefault="006B484A" w:rsidP="006B484A">
            <w:pPr>
              <w:pStyle w:val="NICETabletext"/>
              <w:jc w:val="center"/>
              <w:rPr>
                <w:rFonts w:cs="Arial"/>
              </w:rPr>
            </w:pPr>
            <w:r w:rsidRPr="00995EAE">
              <w:rPr>
                <w:rFonts w:cs="Arial"/>
              </w:rPr>
              <w:t>2116.24</w:t>
            </w:r>
          </w:p>
        </w:tc>
        <w:tc>
          <w:tcPr>
            <w:tcW w:w="1514" w:type="dxa"/>
            <w:vAlign w:val="center"/>
          </w:tcPr>
          <w:p w14:paraId="5B84CFCC" w14:textId="77777777" w:rsidR="006B484A" w:rsidRPr="00995EAE" w:rsidRDefault="006B484A" w:rsidP="006B484A">
            <w:pPr>
              <w:pStyle w:val="NICETabletext"/>
              <w:jc w:val="center"/>
              <w:rPr>
                <w:rFonts w:cs="Arial"/>
              </w:rPr>
            </w:pPr>
            <w:r w:rsidRPr="00995EAE">
              <w:rPr>
                <w:rFonts w:cs="Arial"/>
              </w:rPr>
              <w:t>2124.08</w:t>
            </w:r>
          </w:p>
        </w:tc>
      </w:tr>
      <w:tr w:rsidR="006B484A" w:rsidRPr="00995EAE" w14:paraId="5AE7FD47" w14:textId="77777777" w:rsidTr="003C648C">
        <w:trPr>
          <w:trHeight w:val="326"/>
        </w:trPr>
        <w:tc>
          <w:tcPr>
            <w:tcW w:w="2310" w:type="dxa"/>
            <w:vAlign w:val="center"/>
          </w:tcPr>
          <w:p w14:paraId="5C1E4670" w14:textId="77777777" w:rsidR="006B484A" w:rsidRPr="00995EAE" w:rsidRDefault="006B484A" w:rsidP="003C648C">
            <w:pPr>
              <w:pStyle w:val="NICETabletext"/>
              <w:rPr>
                <w:rFonts w:cs="Arial"/>
              </w:rPr>
            </w:pPr>
            <w:r w:rsidRPr="00995EAE">
              <w:rPr>
                <w:rFonts w:cs="Arial"/>
              </w:rPr>
              <w:t>Generalised gamma</w:t>
            </w:r>
          </w:p>
        </w:tc>
        <w:tc>
          <w:tcPr>
            <w:tcW w:w="1541" w:type="dxa"/>
            <w:vAlign w:val="center"/>
          </w:tcPr>
          <w:p w14:paraId="108123DC" w14:textId="77777777" w:rsidR="006B484A" w:rsidRPr="00995EAE" w:rsidRDefault="006B484A" w:rsidP="006B484A">
            <w:pPr>
              <w:pStyle w:val="NICETabletext"/>
              <w:jc w:val="center"/>
              <w:rPr>
                <w:rFonts w:cs="Arial"/>
              </w:rPr>
            </w:pPr>
            <w:r w:rsidRPr="00995EAE">
              <w:rPr>
                <w:rFonts w:cs="Arial"/>
              </w:rPr>
              <w:t>876.46</w:t>
            </w:r>
          </w:p>
        </w:tc>
        <w:tc>
          <w:tcPr>
            <w:tcW w:w="1597" w:type="dxa"/>
            <w:vAlign w:val="center"/>
          </w:tcPr>
          <w:p w14:paraId="45497B59" w14:textId="77777777" w:rsidR="006B484A" w:rsidRPr="00995EAE" w:rsidRDefault="006B484A" w:rsidP="006B484A">
            <w:pPr>
              <w:pStyle w:val="NICETabletext"/>
              <w:jc w:val="center"/>
              <w:rPr>
                <w:rFonts w:cs="Arial"/>
              </w:rPr>
            </w:pPr>
            <w:r w:rsidRPr="00995EAE">
              <w:rPr>
                <w:rFonts w:cs="Arial"/>
              </w:rPr>
              <w:t>886.11</w:t>
            </w:r>
          </w:p>
        </w:tc>
        <w:tc>
          <w:tcPr>
            <w:tcW w:w="1541" w:type="dxa"/>
            <w:vAlign w:val="center"/>
          </w:tcPr>
          <w:p w14:paraId="43C9DA8D" w14:textId="77777777" w:rsidR="006B484A" w:rsidRPr="0082623B" w:rsidRDefault="006B484A" w:rsidP="006B484A">
            <w:pPr>
              <w:pStyle w:val="NICETabletext"/>
              <w:jc w:val="center"/>
              <w:rPr>
                <w:rFonts w:cs="Arial"/>
                <w:b/>
                <w:bCs/>
              </w:rPr>
            </w:pPr>
            <w:r w:rsidRPr="0082623B">
              <w:rPr>
                <w:rFonts w:cs="Arial"/>
                <w:b/>
                <w:bCs/>
              </w:rPr>
              <w:t>2108.90</w:t>
            </w:r>
          </w:p>
        </w:tc>
        <w:tc>
          <w:tcPr>
            <w:tcW w:w="1514" w:type="dxa"/>
            <w:vAlign w:val="center"/>
          </w:tcPr>
          <w:p w14:paraId="31D22B1D" w14:textId="77777777" w:rsidR="006B484A" w:rsidRPr="00995EAE" w:rsidRDefault="006B484A" w:rsidP="006B484A">
            <w:pPr>
              <w:pStyle w:val="NICETabletext"/>
              <w:jc w:val="center"/>
              <w:rPr>
                <w:rFonts w:cs="Arial"/>
              </w:rPr>
            </w:pPr>
            <w:r w:rsidRPr="00995EAE">
              <w:rPr>
                <w:rFonts w:cs="Arial"/>
              </w:rPr>
              <w:t>2120.67</w:t>
            </w:r>
          </w:p>
        </w:tc>
      </w:tr>
    </w:tbl>
    <w:p w14:paraId="10EC77A5" w14:textId="77777777" w:rsidR="00670187" w:rsidRPr="00995EAE" w:rsidRDefault="00670187" w:rsidP="00670187">
      <w:pPr>
        <w:pStyle w:val="Footnotes"/>
        <w:keepNext/>
        <w:spacing w:after="0"/>
      </w:pPr>
      <w:r w:rsidRPr="00995EAE">
        <w:rPr>
          <w:b/>
        </w:rPr>
        <w:t>Bold indicates best statistical fit</w:t>
      </w:r>
      <w:r w:rsidRPr="00995EAE">
        <w:t xml:space="preserve"> </w:t>
      </w:r>
    </w:p>
    <w:p w14:paraId="5AB6A92A" w14:textId="77777777" w:rsidR="00670187" w:rsidRDefault="00670187" w:rsidP="00670187">
      <w:pPr>
        <w:pStyle w:val="Footnotes"/>
        <w:keepNext/>
      </w:pPr>
      <w:r w:rsidRPr="00995EAE">
        <w:t xml:space="preserve">Abbreviations: AIC, Akaike information criterion; BIC, Bayesian </w:t>
      </w:r>
      <w:r>
        <w:t xml:space="preserve">information criterion; </w:t>
      </w:r>
      <w:r w:rsidRPr="001E6BCF">
        <w:rPr>
          <w:rStyle w:val="FootnotesChar"/>
        </w:rPr>
        <w:t>TPC, treatment of physician’s choice</w:t>
      </w:r>
      <w:r>
        <w:t>; TTD, time-to-treatment discontinuation; T-DXd, trastuzumab deruxtecan.</w:t>
      </w:r>
    </w:p>
    <w:p w14:paraId="2C84A140" w14:textId="298ACEFD" w:rsidR="00670187" w:rsidRPr="003C648C" w:rsidRDefault="00670187" w:rsidP="00670187">
      <w:pPr>
        <w:pStyle w:val="Body"/>
        <w:keepNext/>
        <w:rPr>
          <w:i/>
          <w:iCs/>
          <w:u w:val="single"/>
        </w:rPr>
      </w:pPr>
      <w:r w:rsidRPr="003C648C">
        <w:rPr>
          <w:i/>
          <w:iCs/>
          <w:u w:val="single"/>
        </w:rPr>
        <w:t>Fitting of parametric models</w:t>
      </w:r>
      <w:r w:rsidR="00F6486B" w:rsidRPr="003C648C">
        <w:rPr>
          <w:i/>
          <w:iCs/>
          <w:u w:val="single"/>
        </w:rPr>
        <w:t xml:space="preserve"> and visual fit against KM data</w:t>
      </w:r>
    </w:p>
    <w:p w14:paraId="7381EBEC" w14:textId="0B6023A0" w:rsidR="006C2E05" w:rsidRDefault="000A65A4" w:rsidP="00670187">
      <w:pPr>
        <w:pStyle w:val="Body"/>
      </w:pPr>
      <w:r w:rsidRPr="00F0180D">
        <w:t xml:space="preserve">Visual assessment of the extrapolated TTD data </w:t>
      </w:r>
      <w:r w:rsidR="006C2E05">
        <w:t>(</w:t>
      </w:r>
      <w:r w:rsidRPr="009C3FEA">
        <w:rPr>
          <w:b/>
          <w:bCs/>
        </w:rPr>
        <w:fldChar w:fldCharType="begin"/>
      </w:r>
      <w:r w:rsidRPr="009C3FEA">
        <w:rPr>
          <w:b/>
          <w:bCs/>
        </w:rPr>
        <w:instrText xml:space="preserve"> REF _Ref127006705 \h </w:instrText>
      </w:r>
      <w:r>
        <w:rPr>
          <w:b/>
          <w:bCs/>
        </w:rPr>
        <w:instrText xml:space="preserve"> \* MERGEFORMAT </w:instrText>
      </w:r>
      <w:r w:rsidRPr="009C3FEA">
        <w:rPr>
          <w:b/>
          <w:bCs/>
        </w:rPr>
      </w:r>
      <w:r w:rsidRPr="009C3FEA">
        <w:rPr>
          <w:b/>
          <w:bCs/>
        </w:rPr>
        <w:fldChar w:fldCharType="separate"/>
      </w:r>
      <w:r w:rsidR="00145F42" w:rsidRPr="00145F42">
        <w:rPr>
          <w:b/>
          <w:bCs/>
        </w:rPr>
        <w:t xml:space="preserve">Figure </w:t>
      </w:r>
      <w:r w:rsidR="00145F42" w:rsidRPr="00145F42">
        <w:rPr>
          <w:b/>
          <w:bCs/>
          <w:noProof/>
        </w:rPr>
        <w:t>40</w:t>
      </w:r>
      <w:r w:rsidRPr="009C3FEA">
        <w:rPr>
          <w:b/>
          <w:bCs/>
        </w:rPr>
        <w:fldChar w:fldCharType="end"/>
      </w:r>
      <w:r>
        <w:t xml:space="preserve"> </w:t>
      </w:r>
      <w:r w:rsidRPr="008B4FE5">
        <w:t>and</w:t>
      </w:r>
      <w:r>
        <w:t xml:space="preserve"> </w:t>
      </w:r>
      <w:r w:rsidRPr="009C3FEA">
        <w:rPr>
          <w:b/>
          <w:bCs/>
        </w:rPr>
        <w:fldChar w:fldCharType="begin"/>
      </w:r>
      <w:r w:rsidRPr="009C3FEA">
        <w:rPr>
          <w:b/>
          <w:bCs/>
        </w:rPr>
        <w:instrText xml:space="preserve"> REF _Ref127006706 \h </w:instrText>
      </w:r>
      <w:r>
        <w:rPr>
          <w:b/>
          <w:bCs/>
        </w:rPr>
        <w:instrText xml:space="preserve"> \* MERGEFORMAT </w:instrText>
      </w:r>
      <w:r w:rsidRPr="009C3FEA">
        <w:rPr>
          <w:b/>
          <w:bCs/>
        </w:rPr>
      </w:r>
      <w:r w:rsidRPr="009C3FEA">
        <w:rPr>
          <w:b/>
          <w:bCs/>
        </w:rPr>
        <w:fldChar w:fldCharType="separate"/>
      </w:r>
      <w:r w:rsidR="00145F42" w:rsidRPr="00145F42">
        <w:rPr>
          <w:b/>
          <w:bCs/>
        </w:rPr>
        <w:t xml:space="preserve">Figure </w:t>
      </w:r>
      <w:r w:rsidR="00145F42" w:rsidRPr="00145F42">
        <w:rPr>
          <w:b/>
          <w:bCs/>
          <w:noProof/>
        </w:rPr>
        <w:t>41</w:t>
      </w:r>
      <w:r w:rsidRPr="009C3FEA">
        <w:rPr>
          <w:b/>
          <w:bCs/>
        </w:rPr>
        <w:fldChar w:fldCharType="end"/>
      </w:r>
      <w:r w:rsidR="006C2E05">
        <w:t>)</w:t>
      </w:r>
      <w:r w:rsidRPr="00F0180D">
        <w:t xml:space="preserve"> and the long-term estimates of the proportion of patients on treatment </w:t>
      </w:r>
      <w:r w:rsidR="006C2E05">
        <w:t>(</w:t>
      </w:r>
      <w:r w:rsidRPr="009C3FEA">
        <w:rPr>
          <w:b/>
          <w:bCs/>
        </w:rPr>
        <w:fldChar w:fldCharType="begin"/>
      </w:r>
      <w:r w:rsidRPr="009C3FEA">
        <w:rPr>
          <w:b/>
          <w:bCs/>
        </w:rPr>
        <w:instrText xml:space="preserve"> REF _Ref127006707 \h </w:instrText>
      </w:r>
      <w:r>
        <w:rPr>
          <w:b/>
          <w:bCs/>
        </w:rPr>
        <w:instrText xml:space="preserve"> \* MERGEFORMAT </w:instrText>
      </w:r>
      <w:r w:rsidRPr="009C3FEA">
        <w:rPr>
          <w:b/>
          <w:bCs/>
        </w:rPr>
      </w:r>
      <w:r w:rsidRPr="009C3FEA">
        <w:rPr>
          <w:b/>
          <w:bCs/>
        </w:rPr>
        <w:fldChar w:fldCharType="separate"/>
      </w:r>
      <w:r w:rsidR="00145F42" w:rsidRPr="00145F42">
        <w:rPr>
          <w:b/>
          <w:bCs/>
        </w:rPr>
        <w:t xml:space="preserve">Table </w:t>
      </w:r>
      <w:r w:rsidR="00145F42" w:rsidRPr="00145F42">
        <w:rPr>
          <w:b/>
          <w:bCs/>
          <w:noProof/>
        </w:rPr>
        <w:t>40</w:t>
      </w:r>
      <w:r w:rsidRPr="009C3FEA">
        <w:rPr>
          <w:b/>
          <w:bCs/>
        </w:rPr>
        <w:fldChar w:fldCharType="end"/>
      </w:r>
      <w:r w:rsidR="00624719">
        <w:t>)</w:t>
      </w:r>
      <w:r w:rsidRPr="00F0180D">
        <w:t xml:space="preserve"> were used to determine the suitability of the different PSMs.</w:t>
      </w:r>
      <w:r>
        <w:t xml:space="preserve"> </w:t>
      </w:r>
    </w:p>
    <w:p w14:paraId="447E3FB8" w14:textId="7CB7CF43" w:rsidR="00670187" w:rsidRPr="008B4FE5" w:rsidRDefault="00670187" w:rsidP="00670187">
      <w:pPr>
        <w:pStyle w:val="Caption"/>
      </w:pPr>
      <w:bookmarkStart w:id="528" w:name="_Ref127006705"/>
      <w:bookmarkStart w:id="529" w:name="_Toc127006653"/>
      <w:bookmarkStart w:id="530" w:name="_Ref127006704"/>
      <w:bookmarkStart w:id="531" w:name="_Toc129350966"/>
      <w:r w:rsidRPr="008B4FE5">
        <w:t xml:space="preserve">Figure </w:t>
      </w:r>
      <w:fldSimple w:instr=" SEQ Figure \* ARABIC ">
        <w:r w:rsidR="00145F42">
          <w:rPr>
            <w:noProof/>
          </w:rPr>
          <w:t>40</w:t>
        </w:r>
      </w:fldSimple>
      <w:bookmarkEnd w:id="528"/>
      <w:r w:rsidRPr="008B4FE5">
        <w:t>: Observed versus predicted TTD (TPC) in the FAS population over 4 years</w:t>
      </w:r>
      <w:bookmarkEnd w:id="529"/>
      <w:bookmarkEnd w:id="530"/>
      <w:bookmarkEnd w:id="531"/>
    </w:p>
    <w:tbl>
      <w:tblPr>
        <w:tblStyle w:val="TableGrid"/>
        <w:tblW w:w="0" w:type="auto"/>
        <w:tblBorders>
          <w:top w:val="single" w:sz="24" w:space="0" w:color="FFFF00"/>
          <w:left w:val="single" w:sz="24" w:space="0" w:color="FFFF00"/>
          <w:bottom w:val="single" w:sz="24" w:space="0" w:color="FFFF00"/>
          <w:right w:val="single" w:sz="24" w:space="0" w:color="FFFF00"/>
          <w:insideH w:val="single" w:sz="24" w:space="0" w:color="FFFF00"/>
          <w:insideV w:val="single" w:sz="24" w:space="0" w:color="FFFF00"/>
        </w:tblBorders>
        <w:tblLook w:val="04A0" w:firstRow="1" w:lastRow="0" w:firstColumn="1" w:lastColumn="0" w:noHBand="0" w:noVBand="1"/>
      </w:tblPr>
      <w:tblGrid>
        <w:gridCol w:w="8967"/>
      </w:tblGrid>
      <w:tr w:rsidR="00670187" w:rsidRPr="008B4FE5" w14:paraId="73E2D0DE" w14:textId="77777777" w:rsidTr="00046DFE">
        <w:trPr>
          <w:trHeight w:val="2148"/>
        </w:trPr>
        <w:tc>
          <w:tcPr>
            <w:tcW w:w="8967" w:type="dxa"/>
            <w:tcBorders>
              <w:top w:val="single" w:sz="4" w:space="0" w:color="auto"/>
              <w:left w:val="single" w:sz="4" w:space="0" w:color="auto"/>
              <w:bottom w:val="single" w:sz="4" w:space="0" w:color="auto"/>
              <w:right w:val="single" w:sz="4" w:space="0" w:color="auto"/>
            </w:tcBorders>
            <w:vAlign w:val="center"/>
          </w:tcPr>
          <w:p w14:paraId="3A5F44E5" w14:textId="286CAF10" w:rsidR="00670187" w:rsidRPr="008B4FE5" w:rsidRDefault="009F7B7E">
            <w:pPr>
              <w:pStyle w:val="Footnotes"/>
              <w:spacing w:after="0"/>
              <w:jc w:val="center"/>
            </w:pPr>
            <w:r w:rsidRPr="009F7B7E">
              <w:rPr>
                <w:noProof/>
              </w:rPr>
              <w:drawing>
                <wp:inline distT="0" distB="0" distL="0" distR="0" wp14:anchorId="618581C0" wp14:editId="7EB334B0">
                  <wp:extent cx="4837262" cy="2826328"/>
                  <wp:effectExtent l="0" t="0" r="190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30">
                            <a:extLst>
                              <a:ext uri="{28A0092B-C50C-407E-A947-70E740481C1C}">
                                <a14:useLocalDpi xmlns:a14="http://schemas.microsoft.com/office/drawing/2010/main" val="0"/>
                              </a:ext>
                            </a:extLst>
                          </a:blip>
                          <a:stretch>
                            <a:fillRect/>
                          </a:stretch>
                        </pic:blipFill>
                        <pic:spPr>
                          <a:xfrm>
                            <a:off x="0" y="0"/>
                            <a:ext cx="4841442" cy="2828770"/>
                          </a:xfrm>
                          <a:prstGeom prst="rect">
                            <a:avLst/>
                          </a:prstGeom>
                        </pic:spPr>
                      </pic:pic>
                    </a:graphicData>
                  </a:graphic>
                </wp:inline>
              </w:drawing>
            </w:r>
          </w:p>
        </w:tc>
      </w:tr>
    </w:tbl>
    <w:p w14:paraId="5F73C005" w14:textId="4734ADBD" w:rsidR="00670187" w:rsidRDefault="00670187" w:rsidP="00670187">
      <w:pPr>
        <w:pStyle w:val="Legend"/>
      </w:pPr>
      <w:r>
        <w:t xml:space="preserve">Abbreviations: FAS, full set analysis; KM, Kaplan-Meier; </w:t>
      </w:r>
      <w:r w:rsidRPr="001E6BCF">
        <w:rPr>
          <w:rStyle w:val="FootnotesChar"/>
        </w:rPr>
        <w:t>TPC, treatment of physician’s choice</w:t>
      </w:r>
      <w:r>
        <w:t>; TTD, time-to-treatment discontinuation.</w:t>
      </w:r>
      <w:r w:rsidR="00D869BA" w:rsidRPr="00D869BA">
        <w:rPr>
          <w:noProof/>
        </w:rPr>
        <w:t xml:space="preserve"> </w:t>
      </w:r>
    </w:p>
    <w:p w14:paraId="769A64E4" w14:textId="77777777" w:rsidR="00670187" w:rsidRPr="008B4FE5" w:rsidRDefault="00670187" w:rsidP="00670187">
      <w:pPr>
        <w:pStyle w:val="Body"/>
      </w:pPr>
    </w:p>
    <w:p w14:paraId="1C1D804F" w14:textId="051410A6" w:rsidR="00670187" w:rsidRPr="008B4FE5" w:rsidRDefault="00670187" w:rsidP="00670187">
      <w:pPr>
        <w:pStyle w:val="Caption"/>
      </w:pPr>
      <w:bookmarkStart w:id="532" w:name="_Ref127006706"/>
      <w:bookmarkStart w:id="533" w:name="_Toc127006654"/>
      <w:bookmarkStart w:id="534" w:name="_Toc129350967"/>
      <w:r w:rsidRPr="008B4FE5">
        <w:lastRenderedPageBreak/>
        <w:t xml:space="preserve">Figure </w:t>
      </w:r>
      <w:fldSimple w:instr=" SEQ Figure \* ARABIC ">
        <w:r w:rsidR="00145F42">
          <w:rPr>
            <w:noProof/>
          </w:rPr>
          <w:t>41</w:t>
        </w:r>
      </w:fldSimple>
      <w:bookmarkEnd w:id="532"/>
      <w:r w:rsidRPr="008B4FE5">
        <w:t>: Observed versus predicted TTD (T-DXd) in the FAS population over 4 years</w:t>
      </w:r>
      <w:bookmarkEnd w:id="533"/>
      <w:bookmarkEnd w:id="534"/>
    </w:p>
    <w:tbl>
      <w:tblPr>
        <w:tblStyle w:val="TableGrid"/>
        <w:tblW w:w="0" w:type="auto"/>
        <w:tblBorders>
          <w:top w:val="single" w:sz="24" w:space="0" w:color="FFFF00"/>
          <w:left w:val="single" w:sz="24" w:space="0" w:color="FFFF00"/>
          <w:bottom w:val="single" w:sz="24" w:space="0" w:color="FFFF00"/>
          <w:right w:val="single" w:sz="24" w:space="0" w:color="FFFF00"/>
          <w:insideH w:val="single" w:sz="24" w:space="0" w:color="FFFF00"/>
          <w:insideV w:val="single" w:sz="24" w:space="0" w:color="FFFF00"/>
        </w:tblBorders>
        <w:tblLook w:val="04A0" w:firstRow="1" w:lastRow="0" w:firstColumn="1" w:lastColumn="0" w:noHBand="0" w:noVBand="1"/>
      </w:tblPr>
      <w:tblGrid>
        <w:gridCol w:w="9017"/>
      </w:tblGrid>
      <w:tr w:rsidR="00670187" w14:paraId="716B3A4B" w14:textId="77777777" w:rsidTr="00046DFE">
        <w:trPr>
          <w:trHeight w:val="2148"/>
        </w:trPr>
        <w:tc>
          <w:tcPr>
            <w:tcW w:w="9017" w:type="dxa"/>
            <w:tcBorders>
              <w:top w:val="single" w:sz="4" w:space="0" w:color="auto"/>
              <w:left w:val="single" w:sz="4" w:space="0" w:color="auto"/>
              <w:bottom w:val="single" w:sz="4" w:space="0" w:color="auto"/>
              <w:right w:val="single" w:sz="4" w:space="0" w:color="auto"/>
            </w:tcBorders>
            <w:vAlign w:val="center"/>
          </w:tcPr>
          <w:p w14:paraId="32D00561" w14:textId="3A25954B" w:rsidR="00670187" w:rsidRDefault="00A577B8">
            <w:pPr>
              <w:pStyle w:val="Footnotes"/>
              <w:spacing w:after="0"/>
              <w:jc w:val="center"/>
            </w:pPr>
            <w:r w:rsidRPr="00A577B8">
              <w:rPr>
                <w:noProof/>
              </w:rPr>
              <w:drawing>
                <wp:inline distT="0" distB="0" distL="0" distR="0" wp14:anchorId="030187DA" wp14:editId="6AC82A23">
                  <wp:extent cx="4715313" cy="2755075"/>
                  <wp:effectExtent l="0" t="0" r="0" b="762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pic:cNvPicPr/>
                        </pic:nvPicPr>
                        <pic:blipFill>
                          <a:blip r:embed="rId30">
                            <a:extLst>
                              <a:ext uri="{28A0092B-C50C-407E-A947-70E740481C1C}">
                                <a14:useLocalDpi xmlns:a14="http://schemas.microsoft.com/office/drawing/2010/main" val="0"/>
                              </a:ext>
                            </a:extLst>
                          </a:blip>
                          <a:stretch>
                            <a:fillRect/>
                          </a:stretch>
                        </pic:blipFill>
                        <pic:spPr>
                          <a:xfrm>
                            <a:off x="0" y="0"/>
                            <a:ext cx="4718113" cy="2756711"/>
                          </a:xfrm>
                          <a:prstGeom prst="rect">
                            <a:avLst/>
                          </a:prstGeom>
                        </pic:spPr>
                      </pic:pic>
                    </a:graphicData>
                  </a:graphic>
                </wp:inline>
              </w:drawing>
            </w:r>
          </w:p>
        </w:tc>
      </w:tr>
    </w:tbl>
    <w:p w14:paraId="39A84A34" w14:textId="77777777" w:rsidR="00670187" w:rsidRDefault="00670187" w:rsidP="00670187">
      <w:pPr>
        <w:pStyle w:val="Footnotes"/>
      </w:pPr>
      <w:r>
        <w:t>Abbreviations: FAS, full set analysis; KM, Kaplan-Meier; T</w:t>
      </w:r>
      <w:r>
        <w:noBreakHyphen/>
        <w:t>DXd, trastuzumab deruxtecan</w:t>
      </w:r>
      <w:r>
        <w:rPr>
          <w:rStyle w:val="FootnotesChar"/>
        </w:rPr>
        <w:t xml:space="preserve">; </w:t>
      </w:r>
      <w:r>
        <w:t>TTD, time-to-treatment discontinuation.</w:t>
      </w:r>
    </w:p>
    <w:p w14:paraId="57779F3A" w14:textId="0EC4D941" w:rsidR="00074976" w:rsidRPr="005D58CB" w:rsidRDefault="00074976" w:rsidP="00074976">
      <w:pPr>
        <w:pStyle w:val="Body"/>
        <w:spacing w:before="240"/>
      </w:pPr>
      <w:r>
        <w:t>T</w:t>
      </w:r>
      <w:r w:rsidRPr="00F0180D">
        <w:t xml:space="preserve">he log-logistic and generalised gamma </w:t>
      </w:r>
      <w:r>
        <w:t xml:space="preserve">provide a good visual fit to the KM data </w:t>
      </w:r>
      <w:r w:rsidR="006813E8">
        <w:t xml:space="preserve">over the duration of the observed period </w:t>
      </w:r>
      <w:r>
        <w:t xml:space="preserve">in the T-DXd and TPC arms </w:t>
      </w:r>
      <w:r w:rsidR="005859DE">
        <w:t xml:space="preserve">and were therefore </w:t>
      </w:r>
      <w:r w:rsidRPr="00F0180D">
        <w:t>considered the most plausible</w:t>
      </w:r>
      <w:r>
        <w:t xml:space="preserve"> parametric curves</w:t>
      </w:r>
      <w:r w:rsidRPr="00F0180D">
        <w:t xml:space="preserve"> for the base case selection. </w:t>
      </w:r>
    </w:p>
    <w:p w14:paraId="08338995" w14:textId="3EB10836" w:rsidR="00670187" w:rsidRDefault="00670187" w:rsidP="00670187">
      <w:pPr>
        <w:pStyle w:val="Body"/>
        <w:spacing w:before="240"/>
      </w:pPr>
      <w:bookmarkStart w:id="535" w:name="_Ref125381995"/>
      <w:r>
        <w:t xml:space="preserve">The exponential </w:t>
      </w:r>
      <w:r w:rsidR="009D2028">
        <w:t>distribution</w:t>
      </w:r>
      <w:r>
        <w:t xml:space="preserve"> underestimates TTD over the first approximately 9 months in </w:t>
      </w:r>
      <w:r w:rsidR="00EE4809">
        <w:t xml:space="preserve">the </w:t>
      </w:r>
      <w:r>
        <w:t xml:space="preserve">T-DXd arm. The Gompertz and Weibull curves also underestimate TTD in the initial period (approximately 6 months) in the T-DXd arm. The Weibull and Gompertz curves, conversely, overestimated TTD in the TPC arm when visual fit to the KM is assessed. </w:t>
      </w:r>
    </w:p>
    <w:p w14:paraId="5BBA1C8B" w14:textId="2621507B" w:rsidR="00670187" w:rsidRPr="005D58CB" w:rsidRDefault="00670187" w:rsidP="00670187">
      <w:pPr>
        <w:pStyle w:val="Caption"/>
        <w:rPr>
          <w:rFonts w:cs="Arial"/>
          <w:b w:val="0"/>
          <w:i/>
          <w:sz w:val="24"/>
          <w:szCs w:val="24"/>
        </w:rPr>
      </w:pPr>
      <w:bookmarkStart w:id="536" w:name="_Ref127006707"/>
      <w:bookmarkStart w:id="537" w:name="_Toc127006670"/>
      <w:bookmarkStart w:id="538" w:name="_Toc129351015"/>
      <w:r w:rsidRPr="005D58CB">
        <w:t xml:space="preserve">Table </w:t>
      </w:r>
      <w:fldSimple w:instr=" SEQ Table \* ARABIC ">
        <w:r w:rsidR="00145F42">
          <w:rPr>
            <w:noProof/>
          </w:rPr>
          <w:t>40</w:t>
        </w:r>
      </w:fldSimple>
      <w:bookmarkEnd w:id="535"/>
      <w:bookmarkEnd w:id="536"/>
      <w:r w:rsidRPr="005D58CB">
        <w:t>:</w:t>
      </w:r>
      <w:r w:rsidRPr="005D58CB">
        <w:rPr>
          <w:rFonts w:cs="Arial"/>
          <w:b w:val="0"/>
          <w:sz w:val="24"/>
          <w:szCs w:val="24"/>
        </w:rPr>
        <w:t xml:space="preserve"> </w:t>
      </w:r>
      <w:r w:rsidRPr="005D58CB">
        <w:rPr>
          <w:rFonts w:cs="Arial"/>
          <w:sz w:val="24"/>
          <w:szCs w:val="24"/>
        </w:rPr>
        <w:t>TTD in the FAS population: Predictions by independently fitted distributions in TPC</w:t>
      </w:r>
      <w:r>
        <w:rPr>
          <w:rFonts w:cs="Arial"/>
          <w:sz w:val="24"/>
          <w:szCs w:val="24"/>
        </w:rPr>
        <w:t xml:space="preserve"> and T-DXd</w:t>
      </w:r>
      <w:bookmarkEnd w:id="537"/>
      <w:bookmarkEnd w:id="538"/>
    </w:p>
    <w:tbl>
      <w:tblPr>
        <w:tblStyle w:val="TableGrid"/>
        <w:tblW w:w="9104" w:type="dxa"/>
        <w:tblLayout w:type="fixed"/>
        <w:tblLook w:val="04A0" w:firstRow="1" w:lastRow="0" w:firstColumn="1" w:lastColumn="0" w:noHBand="0" w:noVBand="1"/>
      </w:tblPr>
      <w:tblGrid>
        <w:gridCol w:w="2263"/>
        <w:gridCol w:w="1710"/>
        <w:gridCol w:w="1710"/>
        <w:gridCol w:w="1710"/>
        <w:gridCol w:w="1711"/>
      </w:tblGrid>
      <w:tr w:rsidR="00670187" w:rsidRPr="00E57999" w14:paraId="29ED6459" w14:textId="77777777">
        <w:trPr>
          <w:trHeight w:val="623"/>
        </w:trPr>
        <w:tc>
          <w:tcPr>
            <w:tcW w:w="2263" w:type="dxa"/>
            <w:shd w:val="clear" w:color="auto" w:fill="E7E6E6" w:themeFill="background2"/>
            <w:vAlign w:val="center"/>
          </w:tcPr>
          <w:p w14:paraId="0DE5DCF6" w14:textId="77777777" w:rsidR="00670187" w:rsidRPr="006F1FD5" w:rsidRDefault="00670187">
            <w:pPr>
              <w:pStyle w:val="NICETabletext"/>
              <w:rPr>
                <w:b/>
                <w:lang w:eastAsia="en-GB"/>
              </w:rPr>
            </w:pPr>
            <w:r w:rsidRPr="006F1FD5">
              <w:rPr>
                <w:b/>
                <w:lang w:eastAsia="en-GB"/>
              </w:rPr>
              <w:t>Distribution</w:t>
            </w:r>
          </w:p>
        </w:tc>
        <w:tc>
          <w:tcPr>
            <w:tcW w:w="1710" w:type="dxa"/>
            <w:shd w:val="clear" w:color="auto" w:fill="E7E6E6" w:themeFill="background2"/>
            <w:vAlign w:val="center"/>
          </w:tcPr>
          <w:p w14:paraId="465A8263" w14:textId="77777777" w:rsidR="00670187" w:rsidRPr="006F1FD5" w:rsidRDefault="00670187">
            <w:pPr>
              <w:jc w:val="center"/>
              <w:rPr>
                <w:rFonts w:eastAsia="Times New Roman" w:cs="Times New Roman"/>
                <w:b/>
                <w:sz w:val="20"/>
                <w:szCs w:val="24"/>
                <w:lang w:eastAsia="en-GB"/>
              </w:rPr>
            </w:pPr>
            <w:r w:rsidRPr="006F1FD5">
              <w:rPr>
                <w:rFonts w:eastAsia="Times New Roman" w:cs="Times New Roman"/>
                <w:b/>
                <w:sz w:val="20"/>
                <w:szCs w:val="24"/>
                <w:lang w:eastAsia="en-GB"/>
              </w:rPr>
              <w:t xml:space="preserve">Median </w:t>
            </w:r>
            <w:r w:rsidRPr="005D58CB">
              <w:rPr>
                <w:rFonts w:eastAsia="Times New Roman" w:cs="Times New Roman"/>
                <w:b/>
                <w:sz w:val="20"/>
                <w:szCs w:val="24"/>
                <w:lang w:eastAsia="en-GB"/>
              </w:rPr>
              <w:t>(</w:t>
            </w:r>
            <w:r>
              <w:rPr>
                <w:rFonts w:eastAsia="Times New Roman" w:cs="Times New Roman"/>
                <w:b/>
                <w:sz w:val="20"/>
                <w:szCs w:val="24"/>
                <w:lang w:eastAsia="en-GB"/>
              </w:rPr>
              <w:t>months</w:t>
            </w:r>
            <w:r w:rsidRPr="005D58CB">
              <w:rPr>
                <w:rFonts w:eastAsia="Times New Roman" w:cs="Times New Roman"/>
                <w:b/>
                <w:sz w:val="20"/>
                <w:szCs w:val="24"/>
                <w:lang w:eastAsia="en-GB"/>
              </w:rPr>
              <w:t>)</w:t>
            </w:r>
          </w:p>
        </w:tc>
        <w:tc>
          <w:tcPr>
            <w:tcW w:w="1710" w:type="dxa"/>
            <w:shd w:val="clear" w:color="auto" w:fill="E7E6E6" w:themeFill="background2"/>
            <w:vAlign w:val="center"/>
          </w:tcPr>
          <w:p w14:paraId="1948F293" w14:textId="77777777" w:rsidR="00670187" w:rsidRPr="006F1FD5" w:rsidRDefault="00670187">
            <w:pPr>
              <w:jc w:val="center"/>
              <w:rPr>
                <w:rFonts w:eastAsia="Times New Roman" w:cs="Times New Roman"/>
                <w:b/>
                <w:sz w:val="20"/>
                <w:szCs w:val="24"/>
                <w:lang w:eastAsia="en-GB"/>
              </w:rPr>
            </w:pPr>
            <w:r w:rsidRPr="006F1FD5">
              <w:rPr>
                <w:rFonts w:eastAsia="Times New Roman" w:cs="Times New Roman"/>
                <w:b/>
                <w:sz w:val="20"/>
                <w:szCs w:val="24"/>
                <w:lang w:eastAsia="en-GB"/>
              </w:rPr>
              <w:t>1-Year TTD</w:t>
            </w:r>
          </w:p>
        </w:tc>
        <w:tc>
          <w:tcPr>
            <w:tcW w:w="1710" w:type="dxa"/>
            <w:shd w:val="clear" w:color="auto" w:fill="E7E6E6" w:themeFill="background2"/>
            <w:vAlign w:val="center"/>
          </w:tcPr>
          <w:p w14:paraId="1E8EA661" w14:textId="77777777" w:rsidR="00670187" w:rsidRPr="006F1FD5" w:rsidRDefault="00670187">
            <w:pPr>
              <w:jc w:val="center"/>
              <w:rPr>
                <w:rFonts w:eastAsia="Times New Roman" w:cs="Times New Roman"/>
                <w:b/>
                <w:sz w:val="20"/>
                <w:szCs w:val="24"/>
                <w:lang w:eastAsia="en-GB"/>
              </w:rPr>
            </w:pPr>
            <w:r w:rsidRPr="006F1FD5">
              <w:rPr>
                <w:rFonts w:eastAsia="Times New Roman" w:cs="Times New Roman"/>
                <w:b/>
                <w:sz w:val="20"/>
                <w:szCs w:val="24"/>
                <w:lang w:eastAsia="en-GB"/>
              </w:rPr>
              <w:t>2-Year TTD</w:t>
            </w:r>
          </w:p>
        </w:tc>
        <w:tc>
          <w:tcPr>
            <w:tcW w:w="1711" w:type="dxa"/>
            <w:shd w:val="clear" w:color="auto" w:fill="E7E6E6" w:themeFill="background2"/>
            <w:vAlign w:val="center"/>
          </w:tcPr>
          <w:p w14:paraId="61919AD2" w14:textId="77777777" w:rsidR="00670187" w:rsidRPr="006F1FD5" w:rsidRDefault="00670187">
            <w:pPr>
              <w:jc w:val="center"/>
              <w:rPr>
                <w:rFonts w:eastAsia="Times New Roman" w:cs="Times New Roman"/>
                <w:b/>
                <w:sz w:val="20"/>
                <w:szCs w:val="24"/>
                <w:lang w:eastAsia="en-GB"/>
              </w:rPr>
            </w:pPr>
            <w:r w:rsidRPr="006F1FD5">
              <w:rPr>
                <w:rFonts w:eastAsia="Times New Roman" w:cs="Times New Roman"/>
                <w:b/>
                <w:sz w:val="20"/>
                <w:szCs w:val="24"/>
                <w:lang w:eastAsia="en-GB"/>
              </w:rPr>
              <w:t>5-Year TTD</w:t>
            </w:r>
          </w:p>
        </w:tc>
      </w:tr>
      <w:tr w:rsidR="00670187" w:rsidRPr="00E57999" w14:paraId="205044C5" w14:textId="77777777">
        <w:trPr>
          <w:trHeight w:val="212"/>
        </w:trPr>
        <w:tc>
          <w:tcPr>
            <w:tcW w:w="9104" w:type="dxa"/>
            <w:gridSpan w:val="5"/>
            <w:shd w:val="clear" w:color="auto" w:fill="F2F2F2" w:themeFill="background1" w:themeFillShade="F2"/>
          </w:tcPr>
          <w:p w14:paraId="132F800E" w14:textId="77777777" w:rsidR="00670187" w:rsidRPr="006F1FD5" w:rsidRDefault="00670187">
            <w:pPr>
              <w:pStyle w:val="NICETabletext"/>
            </w:pPr>
            <w:r w:rsidRPr="005D58CB">
              <w:rPr>
                <w:b/>
                <w:lang w:eastAsia="en-GB"/>
              </w:rPr>
              <w:t>TPC</w:t>
            </w:r>
          </w:p>
        </w:tc>
      </w:tr>
      <w:tr w:rsidR="00670187" w:rsidRPr="00E57999" w14:paraId="18417266" w14:textId="77777777">
        <w:trPr>
          <w:trHeight w:val="212"/>
        </w:trPr>
        <w:tc>
          <w:tcPr>
            <w:tcW w:w="2263" w:type="dxa"/>
          </w:tcPr>
          <w:p w14:paraId="426B0F6F" w14:textId="77777777" w:rsidR="00670187" w:rsidRPr="007B3CF2" w:rsidRDefault="00670187">
            <w:pPr>
              <w:pStyle w:val="NICETabletext"/>
              <w:rPr>
                <w:bCs/>
                <w:lang w:eastAsia="en-GB"/>
              </w:rPr>
            </w:pPr>
            <w:r w:rsidRPr="007B3CF2">
              <w:rPr>
                <w:bCs/>
                <w:lang w:eastAsia="en-GB"/>
              </w:rPr>
              <w:t>Exponential</w:t>
            </w:r>
          </w:p>
        </w:tc>
        <w:tc>
          <w:tcPr>
            <w:tcW w:w="1710" w:type="dxa"/>
          </w:tcPr>
          <w:p w14:paraId="203BF54F" w14:textId="731662CB" w:rsidR="00670187" w:rsidRPr="00294FDC" w:rsidRDefault="00294FDC">
            <w:pPr>
              <w:jc w:val="center"/>
              <w:rPr>
                <w:rFonts w:cs="Arial"/>
                <w:color w:val="000000"/>
                <w:sz w:val="20"/>
                <w:szCs w:val="20"/>
                <w:highlight w:val="black"/>
              </w:rPr>
            </w:pPr>
            <w:r w:rsidRPr="00294FDC">
              <w:rPr>
                <w:rFonts w:cs="Arial"/>
                <w:color w:val="000000"/>
                <w:sz w:val="20"/>
                <w:szCs w:val="20"/>
                <w:highlight w:val="black"/>
              </w:rPr>
              <w:t>xxxx</w:t>
            </w:r>
          </w:p>
        </w:tc>
        <w:tc>
          <w:tcPr>
            <w:tcW w:w="1710" w:type="dxa"/>
            <w:vAlign w:val="center"/>
          </w:tcPr>
          <w:p w14:paraId="373EA553" w14:textId="6B14007A" w:rsidR="00670187" w:rsidRPr="00294FDC" w:rsidRDefault="00294FDC">
            <w:pPr>
              <w:pStyle w:val="NICETabletext"/>
              <w:jc w:val="center"/>
              <w:rPr>
                <w:color w:val="000000"/>
                <w:highlight w:val="black"/>
              </w:rPr>
            </w:pPr>
            <w:r w:rsidRPr="00294FDC">
              <w:rPr>
                <w:color w:val="000000"/>
                <w:highlight w:val="black"/>
              </w:rPr>
              <w:t>xxxxx</w:t>
            </w:r>
          </w:p>
        </w:tc>
        <w:tc>
          <w:tcPr>
            <w:tcW w:w="1710" w:type="dxa"/>
            <w:vAlign w:val="center"/>
          </w:tcPr>
          <w:p w14:paraId="795941E2" w14:textId="6C55E2E0" w:rsidR="00670187" w:rsidRPr="00294FDC" w:rsidRDefault="00294FDC">
            <w:pPr>
              <w:pStyle w:val="NICETabletext"/>
              <w:jc w:val="center"/>
              <w:rPr>
                <w:color w:val="000000"/>
                <w:highlight w:val="black"/>
              </w:rPr>
            </w:pPr>
            <w:r w:rsidRPr="00294FDC">
              <w:rPr>
                <w:color w:val="000000"/>
                <w:highlight w:val="black"/>
              </w:rPr>
              <w:t>xxxxx</w:t>
            </w:r>
          </w:p>
        </w:tc>
        <w:tc>
          <w:tcPr>
            <w:tcW w:w="1711" w:type="dxa"/>
            <w:vAlign w:val="center"/>
          </w:tcPr>
          <w:p w14:paraId="7041680B" w14:textId="790D27D2" w:rsidR="00670187" w:rsidRPr="00294FDC" w:rsidRDefault="00294FDC">
            <w:pPr>
              <w:pStyle w:val="NICETabletext"/>
              <w:jc w:val="center"/>
              <w:rPr>
                <w:color w:val="000000"/>
                <w:highlight w:val="black"/>
              </w:rPr>
            </w:pPr>
            <w:r w:rsidRPr="00294FDC">
              <w:rPr>
                <w:color w:val="000000"/>
                <w:highlight w:val="black"/>
              </w:rPr>
              <w:t>xxxxx</w:t>
            </w:r>
          </w:p>
        </w:tc>
      </w:tr>
      <w:tr w:rsidR="00670187" w:rsidRPr="00E57999" w14:paraId="4D2F86C8" w14:textId="77777777">
        <w:trPr>
          <w:trHeight w:val="212"/>
        </w:trPr>
        <w:tc>
          <w:tcPr>
            <w:tcW w:w="2263" w:type="dxa"/>
          </w:tcPr>
          <w:p w14:paraId="21CE6509" w14:textId="77777777" w:rsidR="00670187" w:rsidRPr="007B3CF2" w:rsidRDefault="00670187">
            <w:pPr>
              <w:pStyle w:val="NICETabletext"/>
              <w:rPr>
                <w:bCs/>
                <w:lang w:eastAsia="en-GB"/>
              </w:rPr>
            </w:pPr>
            <w:r w:rsidRPr="007B3CF2">
              <w:rPr>
                <w:bCs/>
                <w:lang w:eastAsia="en-GB"/>
              </w:rPr>
              <w:t>Weibull</w:t>
            </w:r>
          </w:p>
        </w:tc>
        <w:tc>
          <w:tcPr>
            <w:tcW w:w="1710" w:type="dxa"/>
          </w:tcPr>
          <w:p w14:paraId="0606C3AB" w14:textId="6DA910EE" w:rsidR="00670187" w:rsidRPr="00294FDC" w:rsidRDefault="00294FDC">
            <w:pPr>
              <w:jc w:val="center"/>
              <w:rPr>
                <w:rFonts w:cs="Arial"/>
                <w:color w:val="000000"/>
                <w:sz w:val="20"/>
                <w:szCs w:val="20"/>
                <w:highlight w:val="black"/>
              </w:rPr>
            </w:pPr>
            <w:r w:rsidRPr="00294FDC">
              <w:rPr>
                <w:rFonts w:cs="Arial"/>
                <w:color w:val="000000"/>
                <w:sz w:val="20"/>
                <w:szCs w:val="20"/>
                <w:highlight w:val="black"/>
              </w:rPr>
              <w:t>xxxx</w:t>
            </w:r>
          </w:p>
        </w:tc>
        <w:tc>
          <w:tcPr>
            <w:tcW w:w="1710" w:type="dxa"/>
            <w:vAlign w:val="center"/>
          </w:tcPr>
          <w:p w14:paraId="4C8D2FD7" w14:textId="0D67570F" w:rsidR="00670187" w:rsidRPr="00294FDC" w:rsidRDefault="00294FDC">
            <w:pPr>
              <w:pStyle w:val="NICETabletext"/>
              <w:jc w:val="center"/>
              <w:rPr>
                <w:color w:val="000000"/>
                <w:highlight w:val="black"/>
              </w:rPr>
            </w:pPr>
            <w:r w:rsidRPr="00294FDC">
              <w:rPr>
                <w:color w:val="000000"/>
                <w:highlight w:val="black"/>
              </w:rPr>
              <w:t>xxxxx</w:t>
            </w:r>
          </w:p>
        </w:tc>
        <w:tc>
          <w:tcPr>
            <w:tcW w:w="1710" w:type="dxa"/>
            <w:vAlign w:val="center"/>
          </w:tcPr>
          <w:p w14:paraId="5F713833" w14:textId="64DC8CC1" w:rsidR="00670187" w:rsidRPr="00294FDC" w:rsidRDefault="00294FDC">
            <w:pPr>
              <w:pStyle w:val="NICETabletext"/>
              <w:jc w:val="center"/>
              <w:rPr>
                <w:color w:val="000000"/>
                <w:highlight w:val="black"/>
              </w:rPr>
            </w:pPr>
            <w:r w:rsidRPr="00294FDC">
              <w:rPr>
                <w:color w:val="000000"/>
                <w:highlight w:val="black"/>
              </w:rPr>
              <w:t>xxxxx</w:t>
            </w:r>
          </w:p>
        </w:tc>
        <w:tc>
          <w:tcPr>
            <w:tcW w:w="1711" w:type="dxa"/>
            <w:vAlign w:val="center"/>
          </w:tcPr>
          <w:p w14:paraId="1585E85A" w14:textId="295D8E8F" w:rsidR="00670187" w:rsidRPr="00294FDC" w:rsidRDefault="00294FDC">
            <w:pPr>
              <w:pStyle w:val="NICETabletext"/>
              <w:jc w:val="center"/>
              <w:rPr>
                <w:color w:val="000000"/>
                <w:highlight w:val="black"/>
              </w:rPr>
            </w:pPr>
            <w:r w:rsidRPr="00294FDC">
              <w:rPr>
                <w:color w:val="000000"/>
                <w:highlight w:val="black"/>
              </w:rPr>
              <w:t>xxxxx</w:t>
            </w:r>
          </w:p>
        </w:tc>
      </w:tr>
      <w:tr w:rsidR="00670187" w:rsidRPr="00E57999" w14:paraId="08EB11DE" w14:textId="77777777">
        <w:trPr>
          <w:trHeight w:val="199"/>
        </w:trPr>
        <w:tc>
          <w:tcPr>
            <w:tcW w:w="2263" w:type="dxa"/>
          </w:tcPr>
          <w:p w14:paraId="33528870" w14:textId="77777777" w:rsidR="00670187" w:rsidRPr="007B3CF2" w:rsidRDefault="00670187">
            <w:pPr>
              <w:pStyle w:val="NICETabletext"/>
              <w:rPr>
                <w:bCs/>
                <w:lang w:eastAsia="en-GB"/>
              </w:rPr>
            </w:pPr>
            <w:r w:rsidRPr="007B3CF2">
              <w:rPr>
                <w:bCs/>
                <w:lang w:eastAsia="en-GB"/>
              </w:rPr>
              <w:t>Gompertz</w:t>
            </w:r>
          </w:p>
        </w:tc>
        <w:tc>
          <w:tcPr>
            <w:tcW w:w="1710" w:type="dxa"/>
          </w:tcPr>
          <w:p w14:paraId="00490C1B" w14:textId="088801AF" w:rsidR="00670187" w:rsidRPr="00294FDC" w:rsidRDefault="00294FDC">
            <w:pPr>
              <w:jc w:val="center"/>
              <w:rPr>
                <w:rFonts w:cs="Arial"/>
                <w:color w:val="000000"/>
                <w:sz w:val="20"/>
                <w:szCs w:val="20"/>
                <w:highlight w:val="black"/>
              </w:rPr>
            </w:pPr>
            <w:r w:rsidRPr="00294FDC">
              <w:rPr>
                <w:rFonts w:cs="Arial"/>
                <w:color w:val="000000"/>
                <w:sz w:val="20"/>
                <w:szCs w:val="20"/>
                <w:highlight w:val="black"/>
              </w:rPr>
              <w:t>xxxx</w:t>
            </w:r>
          </w:p>
        </w:tc>
        <w:tc>
          <w:tcPr>
            <w:tcW w:w="1710" w:type="dxa"/>
            <w:vAlign w:val="center"/>
          </w:tcPr>
          <w:p w14:paraId="0D620C01" w14:textId="196DEBD4" w:rsidR="00670187" w:rsidRPr="00294FDC" w:rsidRDefault="00294FDC">
            <w:pPr>
              <w:pStyle w:val="NICETabletext"/>
              <w:jc w:val="center"/>
              <w:rPr>
                <w:color w:val="000000"/>
                <w:highlight w:val="black"/>
              </w:rPr>
            </w:pPr>
            <w:r w:rsidRPr="00294FDC">
              <w:rPr>
                <w:color w:val="000000"/>
                <w:highlight w:val="black"/>
              </w:rPr>
              <w:t>xxxxx</w:t>
            </w:r>
          </w:p>
        </w:tc>
        <w:tc>
          <w:tcPr>
            <w:tcW w:w="1710" w:type="dxa"/>
            <w:vAlign w:val="center"/>
          </w:tcPr>
          <w:p w14:paraId="05732B94" w14:textId="09C3AD57" w:rsidR="00670187" w:rsidRPr="00294FDC" w:rsidRDefault="00294FDC">
            <w:pPr>
              <w:pStyle w:val="NICETabletext"/>
              <w:jc w:val="center"/>
              <w:rPr>
                <w:color w:val="000000"/>
                <w:highlight w:val="black"/>
              </w:rPr>
            </w:pPr>
            <w:r w:rsidRPr="00294FDC">
              <w:rPr>
                <w:color w:val="000000"/>
                <w:highlight w:val="black"/>
              </w:rPr>
              <w:t>xxxxx</w:t>
            </w:r>
          </w:p>
        </w:tc>
        <w:tc>
          <w:tcPr>
            <w:tcW w:w="1711" w:type="dxa"/>
            <w:vAlign w:val="center"/>
          </w:tcPr>
          <w:p w14:paraId="2E5B8ADD" w14:textId="7CA214F7" w:rsidR="00670187" w:rsidRPr="00294FDC" w:rsidRDefault="00294FDC">
            <w:pPr>
              <w:pStyle w:val="NICETabletext"/>
              <w:jc w:val="center"/>
              <w:rPr>
                <w:color w:val="000000"/>
                <w:highlight w:val="black"/>
              </w:rPr>
            </w:pPr>
            <w:r w:rsidRPr="00294FDC">
              <w:rPr>
                <w:color w:val="000000"/>
                <w:highlight w:val="black"/>
              </w:rPr>
              <w:t>xxxxx</w:t>
            </w:r>
          </w:p>
        </w:tc>
      </w:tr>
      <w:tr w:rsidR="00670187" w:rsidRPr="00E57999" w14:paraId="730C6511" w14:textId="77777777">
        <w:trPr>
          <w:trHeight w:val="212"/>
        </w:trPr>
        <w:tc>
          <w:tcPr>
            <w:tcW w:w="2263" w:type="dxa"/>
          </w:tcPr>
          <w:p w14:paraId="3D192593" w14:textId="77777777" w:rsidR="00670187" w:rsidRPr="003C648C" w:rsidRDefault="00670187">
            <w:pPr>
              <w:pStyle w:val="NICETabletext"/>
              <w:rPr>
                <w:bCs/>
                <w:lang w:eastAsia="en-GB"/>
              </w:rPr>
            </w:pPr>
            <w:r w:rsidRPr="003C648C">
              <w:rPr>
                <w:bCs/>
                <w:lang w:eastAsia="en-GB"/>
              </w:rPr>
              <w:t>Log-logistic</w:t>
            </w:r>
          </w:p>
        </w:tc>
        <w:tc>
          <w:tcPr>
            <w:tcW w:w="1710" w:type="dxa"/>
          </w:tcPr>
          <w:p w14:paraId="08C34D86" w14:textId="5996E4C7" w:rsidR="00670187" w:rsidRPr="00294FDC" w:rsidRDefault="00294FDC">
            <w:pPr>
              <w:jc w:val="center"/>
              <w:rPr>
                <w:rFonts w:cs="Arial"/>
                <w:bCs/>
                <w:color w:val="000000"/>
                <w:sz w:val="20"/>
                <w:szCs w:val="20"/>
                <w:highlight w:val="black"/>
              </w:rPr>
            </w:pPr>
            <w:r w:rsidRPr="00294FDC">
              <w:rPr>
                <w:rFonts w:cs="Arial"/>
                <w:bCs/>
                <w:color w:val="000000"/>
                <w:sz w:val="20"/>
                <w:szCs w:val="20"/>
                <w:highlight w:val="black"/>
              </w:rPr>
              <w:t>xxxx</w:t>
            </w:r>
          </w:p>
        </w:tc>
        <w:tc>
          <w:tcPr>
            <w:tcW w:w="1710" w:type="dxa"/>
            <w:vAlign w:val="center"/>
          </w:tcPr>
          <w:p w14:paraId="4781CE58" w14:textId="2823F2D2" w:rsidR="00670187" w:rsidRPr="00294FDC" w:rsidRDefault="00294FDC">
            <w:pPr>
              <w:pStyle w:val="NICETabletext"/>
              <w:jc w:val="center"/>
              <w:rPr>
                <w:bCs/>
                <w:color w:val="000000"/>
                <w:highlight w:val="black"/>
              </w:rPr>
            </w:pPr>
            <w:r w:rsidRPr="00294FDC">
              <w:rPr>
                <w:bCs/>
                <w:color w:val="000000"/>
                <w:highlight w:val="black"/>
              </w:rPr>
              <w:t>xxxxx</w:t>
            </w:r>
          </w:p>
        </w:tc>
        <w:tc>
          <w:tcPr>
            <w:tcW w:w="1710" w:type="dxa"/>
            <w:vAlign w:val="center"/>
          </w:tcPr>
          <w:p w14:paraId="59D5D671" w14:textId="2629FE7A" w:rsidR="00670187" w:rsidRPr="00294FDC" w:rsidRDefault="00294FDC">
            <w:pPr>
              <w:pStyle w:val="NICETabletext"/>
              <w:jc w:val="center"/>
              <w:rPr>
                <w:bCs/>
                <w:color w:val="000000"/>
                <w:highlight w:val="black"/>
              </w:rPr>
            </w:pPr>
            <w:r w:rsidRPr="00294FDC">
              <w:rPr>
                <w:bCs/>
                <w:color w:val="000000"/>
                <w:highlight w:val="black"/>
              </w:rPr>
              <w:t>xxxxx</w:t>
            </w:r>
          </w:p>
        </w:tc>
        <w:tc>
          <w:tcPr>
            <w:tcW w:w="1711" w:type="dxa"/>
            <w:vAlign w:val="center"/>
          </w:tcPr>
          <w:p w14:paraId="7B908A09" w14:textId="0D34C6D9" w:rsidR="00670187" w:rsidRPr="00294FDC" w:rsidRDefault="00294FDC">
            <w:pPr>
              <w:pStyle w:val="NICETabletext"/>
              <w:jc w:val="center"/>
              <w:rPr>
                <w:bCs/>
                <w:color w:val="000000"/>
                <w:highlight w:val="black"/>
              </w:rPr>
            </w:pPr>
            <w:r w:rsidRPr="00294FDC">
              <w:rPr>
                <w:bCs/>
                <w:color w:val="000000"/>
                <w:highlight w:val="black"/>
              </w:rPr>
              <w:t>xxxxx</w:t>
            </w:r>
          </w:p>
        </w:tc>
      </w:tr>
      <w:tr w:rsidR="00670187" w:rsidRPr="00E57999" w14:paraId="63A1B01E" w14:textId="77777777">
        <w:trPr>
          <w:trHeight w:val="199"/>
        </w:trPr>
        <w:tc>
          <w:tcPr>
            <w:tcW w:w="2263" w:type="dxa"/>
          </w:tcPr>
          <w:p w14:paraId="3D8E294C" w14:textId="77777777" w:rsidR="00670187" w:rsidRPr="007B3CF2" w:rsidRDefault="00670187">
            <w:pPr>
              <w:pStyle w:val="NICETabletext"/>
              <w:rPr>
                <w:bCs/>
                <w:lang w:eastAsia="en-GB"/>
              </w:rPr>
            </w:pPr>
            <w:r w:rsidRPr="007B3CF2">
              <w:rPr>
                <w:bCs/>
                <w:lang w:eastAsia="en-GB"/>
              </w:rPr>
              <w:t>Log-normal</w:t>
            </w:r>
          </w:p>
        </w:tc>
        <w:tc>
          <w:tcPr>
            <w:tcW w:w="1710" w:type="dxa"/>
          </w:tcPr>
          <w:p w14:paraId="11D326A6" w14:textId="3EAA3F6D" w:rsidR="00670187" w:rsidRPr="00294FDC" w:rsidRDefault="00294FDC">
            <w:pPr>
              <w:jc w:val="center"/>
              <w:rPr>
                <w:rFonts w:cs="Arial"/>
                <w:color w:val="000000"/>
                <w:sz w:val="20"/>
                <w:szCs w:val="20"/>
                <w:highlight w:val="black"/>
              </w:rPr>
            </w:pPr>
            <w:r w:rsidRPr="00294FDC">
              <w:rPr>
                <w:rFonts w:cs="Arial"/>
                <w:color w:val="000000"/>
                <w:sz w:val="20"/>
                <w:szCs w:val="20"/>
                <w:highlight w:val="black"/>
              </w:rPr>
              <w:t>xxxx</w:t>
            </w:r>
          </w:p>
        </w:tc>
        <w:tc>
          <w:tcPr>
            <w:tcW w:w="1710" w:type="dxa"/>
            <w:vAlign w:val="center"/>
          </w:tcPr>
          <w:p w14:paraId="6C7E6034" w14:textId="2C0BC4F3" w:rsidR="00670187" w:rsidRPr="00294FDC" w:rsidRDefault="00294FDC">
            <w:pPr>
              <w:pStyle w:val="NICETabletext"/>
              <w:jc w:val="center"/>
              <w:rPr>
                <w:color w:val="000000"/>
                <w:highlight w:val="black"/>
              </w:rPr>
            </w:pPr>
            <w:r w:rsidRPr="00294FDC">
              <w:rPr>
                <w:color w:val="000000"/>
                <w:highlight w:val="black"/>
              </w:rPr>
              <w:t>xxxxx</w:t>
            </w:r>
          </w:p>
        </w:tc>
        <w:tc>
          <w:tcPr>
            <w:tcW w:w="1710" w:type="dxa"/>
            <w:vAlign w:val="center"/>
          </w:tcPr>
          <w:p w14:paraId="473DAA0B" w14:textId="4D5624B1" w:rsidR="00670187" w:rsidRPr="00294FDC" w:rsidRDefault="00294FDC">
            <w:pPr>
              <w:pStyle w:val="NICETabletext"/>
              <w:jc w:val="center"/>
              <w:rPr>
                <w:color w:val="000000"/>
                <w:highlight w:val="black"/>
              </w:rPr>
            </w:pPr>
            <w:r w:rsidRPr="00294FDC">
              <w:rPr>
                <w:color w:val="000000"/>
                <w:highlight w:val="black"/>
              </w:rPr>
              <w:t>xxxxx</w:t>
            </w:r>
          </w:p>
        </w:tc>
        <w:tc>
          <w:tcPr>
            <w:tcW w:w="1711" w:type="dxa"/>
            <w:vAlign w:val="center"/>
          </w:tcPr>
          <w:p w14:paraId="23B14B47" w14:textId="7C7D6A44" w:rsidR="00670187" w:rsidRPr="00294FDC" w:rsidRDefault="00294FDC">
            <w:pPr>
              <w:pStyle w:val="NICETabletext"/>
              <w:jc w:val="center"/>
              <w:rPr>
                <w:color w:val="000000"/>
                <w:highlight w:val="black"/>
              </w:rPr>
            </w:pPr>
            <w:r w:rsidRPr="00294FDC">
              <w:rPr>
                <w:color w:val="000000"/>
                <w:highlight w:val="black"/>
              </w:rPr>
              <w:t>xxxxx</w:t>
            </w:r>
          </w:p>
        </w:tc>
      </w:tr>
      <w:tr w:rsidR="00670187" w:rsidRPr="00E57999" w14:paraId="0BC9242A" w14:textId="77777777">
        <w:trPr>
          <w:trHeight w:val="273"/>
        </w:trPr>
        <w:tc>
          <w:tcPr>
            <w:tcW w:w="2263" w:type="dxa"/>
          </w:tcPr>
          <w:p w14:paraId="4CEE5A1F" w14:textId="77777777" w:rsidR="00670187" w:rsidRPr="007B3CF2" w:rsidRDefault="00670187">
            <w:pPr>
              <w:pStyle w:val="NICETabletext"/>
              <w:rPr>
                <w:bCs/>
                <w:lang w:eastAsia="en-GB"/>
              </w:rPr>
            </w:pPr>
            <w:r w:rsidRPr="007B3CF2">
              <w:rPr>
                <w:bCs/>
                <w:lang w:eastAsia="en-GB"/>
              </w:rPr>
              <w:t>Generalised gamma</w:t>
            </w:r>
          </w:p>
        </w:tc>
        <w:tc>
          <w:tcPr>
            <w:tcW w:w="1710" w:type="dxa"/>
          </w:tcPr>
          <w:p w14:paraId="6F042E53" w14:textId="4EC9C7C9" w:rsidR="00670187" w:rsidRPr="00294FDC" w:rsidRDefault="00294FDC">
            <w:pPr>
              <w:jc w:val="center"/>
              <w:rPr>
                <w:rFonts w:cs="Arial"/>
                <w:color w:val="000000"/>
                <w:sz w:val="20"/>
                <w:szCs w:val="20"/>
                <w:highlight w:val="black"/>
              </w:rPr>
            </w:pPr>
            <w:r w:rsidRPr="00294FDC">
              <w:rPr>
                <w:rFonts w:cs="Arial"/>
                <w:color w:val="000000"/>
                <w:sz w:val="20"/>
                <w:szCs w:val="20"/>
                <w:highlight w:val="black"/>
              </w:rPr>
              <w:t>xxxx</w:t>
            </w:r>
          </w:p>
        </w:tc>
        <w:tc>
          <w:tcPr>
            <w:tcW w:w="1710" w:type="dxa"/>
            <w:vAlign w:val="center"/>
          </w:tcPr>
          <w:p w14:paraId="0E7228E8" w14:textId="2B7E77BA" w:rsidR="00670187" w:rsidRPr="00294FDC" w:rsidRDefault="00294FDC">
            <w:pPr>
              <w:pStyle w:val="NICETabletext"/>
              <w:jc w:val="center"/>
              <w:rPr>
                <w:color w:val="000000"/>
                <w:highlight w:val="black"/>
              </w:rPr>
            </w:pPr>
            <w:r w:rsidRPr="00294FDC">
              <w:rPr>
                <w:color w:val="000000"/>
                <w:highlight w:val="black"/>
              </w:rPr>
              <w:t>xxxxx</w:t>
            </w:r>
          </w:p>
        </w:tc>
        <w:tc>
          <w:tcPr>
            <w:tcW w:w="1710" w:type="dxa"/>
            <w:vAlign w:val="center"/>
          </w:tcPr>
          <w:p w14:paraId="4C97FE68" w14:textId="51C36EF8" w:rsidR="00670187" w:rsidRPr="00294FDC" w:rsidRDefault="00294FDC">
            <w:pPr>
              <w:pStyle w:val="NICETabletext"/>
              <w:jc w:val="center"/>
              <w:rPr>
                <w:color w:val="000000"/>
                <w:highlight w:val="black"/>
              </w:rPr>
            </w:pPr>
            <w:r w:rsidRPr="00294FDC">
              <w:rPr>
                <w:color w:val="000000"/>
                <w:highlight w:val="black"/>
              </w:rPr>
              <w:t>xxxxx</w:t>
            </w:r>
          </w:p>
        </w:tc>
        <w:tc>
          <w:tcPr>
            <w:tcW w:w="1711" w:type="dxa"/>
            <w:vAlign w:val="center"/>
          </w:tcPr>
          <w:p w14:paraId="7E07C979" w14:textId="790CEE1C" w:rsidR="00670187" w:rsidRPr="00294FDC" w:rsidRDefault="00294FDC">
            <w:pPr>
              <w:pStyle w:val="NICETabletext"/>
              <w:jc w:val="center"/>
              <w:rPr>
                <w:color w:val="000000"/>
                <w:highlight w:val="black"/>
              </w:rPr>
            </w:pPr>
            <w:r w:rsidRPr="00294FDC">
              <w:rPr>
                <w:color w:val="000000"/>
                <w:highlight w:val="black"/>
              </w:rPr>
              <w:t>xxxxx</w:t>
            </w:r>
          </w:p>
        </w:tc>
      </w:tr>
      <w:tr w:rsidR="00670187" w:rsidRPr="00E57999" w14:paraId="6246E54F" w14:textId="77777777">
        <w:trPr>
          <w:trHeight w:val="199"/>
        </w:trPr>
        <w:tc>
          <w:tcPr>
            <w:tcW w:w="9104" w:type="dxa"/>
            <w:gridSpan w:val="5"/>
            <w:shd w:val="clear" w:color="auto" w:fill="F2F2F2" w:themeFill="background1" w:themeFillShade="F2"/>
            <w:vAlign w:val="center"/>
          </w:tcPr>
          <w:p w14:paraId="3E7D26D1" w14:textId="77777777" w:rsidR="00670187" w:rsidRPr="005D58CB" w:rsidRDefault="00670187">
            <w:pPr>
              <w:pStyle w:val="NICETabletext"/>
              <w:rPr>
                <w:b/>
                <w:lang w:eastAsia="en-GB"/>
              </w:rPr>
            </w:pPr>
            <w:r>
              <w:rPr>
                <w:b/>
                <w:lang w:eastAsia="en-GB"/>
              </w:rPr>
              <w:t>T-DXd</w:t>
            </w:r>
          </w:p>
        </w:tc>
      </w:tr>
      <w:tr w:rsidR="00670187" w:rsidRPr="00E57999" w14:paraId="0FAA2C1D" w14:textId="77777777">
        <w:trPr>
          <w:trHeight w:val="300"/>
        </w:trPr>
        <w:tc>
          <w:tcPr>
            <w:tcW w:w="2263" w:type="dxa"/>
            <w:shd w:val="clear" w:color="auto" w:fill="auto"/>
          </w:tcPr>
          <w:p w14:paraId="54D7E92E" w14:textId="77777777" w:rsidR="00670187" w:rsidRPr="005D58CB" w:rsidRDefault="00670187">
            <w:pPr>
              <w:pStyle w:val="NICETabletext"/>
              <w:rPr>
                <w:b/>
                <w:lang w:eastAsia="en-GB"/>
              </w:rPr>
            </w:pPr>
            <w:r w:rsidRPr="007B3CF2">
              <w:rPr>
                <w:bCs/>
                <w:lang w:eastAsia="en-GB"/>
              </w:rPr>
              <w:t>Exponential</w:t>
            </w:r>
          </w:p>
        </w:tc>
        <w:tc>
          <w:tcPr>
            <w:tcW w:w="1710" w:type="dxa"/>
            <w:shd w:val="clear" w:color="auto" w:fill="auto"/>
            <w:vAlign w:val="center"/>
          </w:tcPr>
          <w:p w14:paraId="7A196F9C" w14:textId="246A163B" w:rsidR="00670187" w:rsidRPr="00294FDC" w:rsidRDefault="00294FDC">
            <w:pPr>
              <w:pStyle w:val="NICETabletext"/>
              <w:jc w:val="center"/>
              <w:rPr>
                <w:b/>
                <w:color w:val="000000"/>
                <w:highlight w:val="black"/>
                <w:lang w:eastAsia="en-GB"/>
              </w:rPr>
            </w:pPr>
            <w:r w:rsidRPr="00294FDC">
              <w:rPr>
                <w:rFonts w:cs="Arial"/>
                <w:color w:val="000000"/>
                <w:szCs w:val="20"/>
                <w:highlight w:val="black"/>
              </w:rPr>
              <w:t>xxxx</w:t>
            </w:r>
          </w:p>
        </w:tc>
        <w:tc>
          <w:tcPr>
            <w:tcW w:w="1710" w:type="dxa"/>
            <w:shd w:val="clear" w:color="auto" w:fill="auto"/>
            <w:vAlign w:val="center"/>
          </w:tcPr>
          <w:p w14:paraId="3CDBB513" w14:textId="7A8EF4DA" w:rsidR="00670187" w:rsidRPr="00294FDC" w:rsidRDefault="00294FDC">
            <w:pPr>
              <w:pStyle w:val="NICETabletext"/>
              <w:jc w:val="center"/>
              <w:rPr>
                <w:b/>
                <w:color w:val="000000"/>
                <w:highlight w:val="black"/>
                <w:lang w:eastAsia="en-GB"/>
              </w:rPr>
            </w:pPr>
            <w:r w:rsidRPr="00294FDC">
              <w:rPr>
                <w:color w:val="000000"/>
                <w:highlight w:val="black"/>
              </w:rPr>
              <w:t>xxxxxx</w:t>
            </w:r>
          </w:p>
        </w:tc>
        <w:tc>
          <w:tcPr>
            <w:tcW w:w="1710" w:type="dxa"/>
            <w:shd w:val="clear" w:color="auto" w:fill="auto"/>
            <w:vAlign w:val="center"/>
          </w:tcPr>
          <w:p w14:paraId="53BE680D" w14:textId="11C1B5E1" w:rsidR="00670187" w:rsidRPr="00294FDC" w:rsidRDefault="00294FDC">
            <w:pPr>
              <w:pStyle w:val="NICETabletext"/>
              <w:jc w:val="center"/>
              <w:rPr>
                <w:b/>
                <w:color w:val="000000"/>
                <w:highlight w:val="black"/>
                <w:lang w:eastAsia="en-GB"/>
              </w:rPr>
            </w:pPr>
            <w:r w:rsidRPr="00294FDC">
              <w:rPr>
                <w:color w:val="000000"/>
                <w:highlight w:val="black"/>
              </w:rPr>
              <w:t>xxxxxx</w:t>
            </w:r>
          </w:p>
        </w:tc>
        <w:tc>
          <w:tcPr>
            <w:tcW w:w="1711" w:type="dxa"/>
            <w:shd w:val="clear" w:color="auto" w:fill="auto"/>
            <w:vAlign w:val="center"/>
          </w:tcPr>
          <w:p w14:paraId="4AAAA5DF" w14:textId="5C24BBD1" w:rsidR="00670187" w:rsidRPr="00294FDC" w:rsidRDefault="00294FDC">
            <w:pPr>
              <w:pStyle w:val="NICETabletext"/>
              <w:jc w:val="center"/>
              <w:rPr>
                <w:b/>
                <w:color w:val="000000"/>
                <w:highlight w:val="black"/>
                <w:lang w:eastAsia="en-GB"/>
              </w:rPr>
            </w:pPr>
            <w:r w:rsidRPr="00294FDC">
              <w:rPr>
                <w:color w:val="000000"/>
                <w:highlight w:val="black"/>
              </w:rPr>
              <w:t>xxxxx</w:t>
            </w:r>
          </w:p>
        </w:tc>
      </w:tr>
      <w:tr w:rsidR="00670187" w:rsidRPr="00E57999" w14:paraId="30EBD675" w14:textId="77777777">
        <w:trPr>
          <w:trHeight w:val="297"/>
        </w:trPr>
        <w:tc>
          <w:tcPr>
            <w:tcW w:w="2263" w:type="dxa"/>
            <w:shd w:val="clear" w:color="auto" w:fill="auto"/>
          </w:tcPr>
          <w:p w14:paraId="0E6B0EAF" w14:textId="77777777" w:rsidR="00670187" w:rsidRPr="005D58CB" w:rsidRDefault="00670187">
            <w:pPr>
              <w:pStyle w:val="NICETabletext"/>
              <w:rPr>
                <w:b/>
                <w:lang w:eastAsia="en-GB"/>
              </w:rPr>
            </w:pPr>
            <w:r w:rsidRPr="007B3CF2">
              <w:rPr>
                <w:bCs/>
                <w:lang w:eastAsia="en-GB"/>
              </w:rPr>
              <w:t>Weibull</w:t>
            </w:r>
          </w:p>
        </w:tc>
        <w:tc>
          <w:tcPr>
            <w:tcW w:w="1710" w:type="dxa"/>
            <w:shd w:val="clear" w:color="auto" w:fill="auto"/>
            <w:vAlign w:val="center"/>
          </w:tcPr>
          <w:p w14:paraId="3C1F0141" w14:textId="06E1E755" w:rsidR="00670187" w:rsidRPr="00294FDC" w:rsidRDefault="00294FDC">
            <w:pPr>
              <w:pStyle w:val="NICETabletext"/>
              <w:jc w:val="center"/>
              <w:rPr>
                <w:b/>
                <w:color w:val="000000"/>
                <w:highlight w:val="black"/>
                <w:lang w:eastAsia="en-GB"/>
              </w:rPr>
            </w:pPr>
            <w:r w:rsidRPr="00294FDC">
              <w:rPr>
                <w:rFonts w:cs="Arial"/>
                <w:color w:val="000000"/>
                <w:szCs w:val="20"/>
                <w:highlight w:val="black"/>
              </w:rPr>
              <w:t>xxxx</w:t>
            </w:r>
          </w:p>
        </w:tc>
        <w:tc>
          <w:tcPr>
            <w:tcW w:w="1710" w:type="dxa"/>
            <w:shd w:val="clear" w:color="auto" w:fill="auto"/>
            <w:vAlign w:val="center"/>
          </w:tcPr>
          <w:p w14:paraId="0C7FDE80" w14:textId="427F9C9E" w:rsidR="00670187" w:rsidRPr="00294FDC" w:rsidRDefault="00294FDC">
            <w:pPr>
              <w:pStyle w:val="NICETabletext"/>
              <w:jc w:val="center"/>
              <w:rPr>
                <w:b/>
                <w:color w:val="000000"/>
                <w:highlight w:val="black"/>
                <w:lang w:eastAsia="en-GB"/>
              </w:rPr>
            </w:pPr>
            <w:r w:rsidRPr="00294FDC">
              <w:rPr>
                <w:color w:val="000000"/>
                <w:highlight w:val="black"/>
              </w:rPr>
              <w:t>xxxxxx</w:t>
            </w:r>
          </w:p>
        </w:tc>
        <w:tc>
          <w:tcPr>
            <w:tcW w:w="1710" w:type="dxa"/>
            <w:shd w:val="clear" w:color="auto" w:fill="auto"/>
            <w:vAlign w:val="center"/>
          </w:tcPr>
          <w:p w14:paraId="20879DB5" w14:textId="34385788" w:rsidR="00670187" w:rsidRPr="00294FDC" w:rsidRDefault="00294FDC">
            <w:pPr>
              <w:pStyle w:val="NICETabletext"/>
              <w:jc w:val="center"/>
              <w:rPr>
                <w:b/>
                <w:color w:val="000000"/>
                <w:highlight w:val="black"/>
                <w:lang w:eastAsia="en-GB"/>
              </w:rPr>
            </w:pPr>
            <w:r w:rsidRPr="00294FDC">
              <w:rPr>
                <w:color w:val="000000"/>
                <w:highlight w:val="black"/>
              </w:rPr>
              <w:t>xxxxx</w:t>
            </w:r>
          </w:p>
        </w:tc>
        <w:tc>
          <w:tcPr>
            <w:tcW w:w="1711" w:type="dxa"/>
            <w:shd w:val="clear" w:color="auto" w:fill="auto"/>
            <w:vAlign w:val="center"/>
          </w:tcPr>
          <w:p w14:paraId="0DB9EDFE" w14:textId="63FDBC1A" w:rsidR="00670187" w:rsidRPr="00294FDC" w:rsidRDefault="00294FDC">
            <w:pPr>
              <w:pStyle w:val="NICETabletext"/>
              <w:jc w:val="center"/>
              <w:rPr>
                <w:b/>
                <w:color w:val="000000"/>
                <w:highlight w:val="black"/>
                <w:lang w:eastAsia="en-GB"/>
              </w:rPr>
            </w:pPr>
            <w:r w:rsidRPr="00294FDC">
              <w:rPr>
                <w:color w:val="000000"/>
                <w:highlight w:val="black"/>
              </w:rPr>
              <w:t>xxxxx</w:t>
            </w:r>
          </w:p>
        </w:tc>
      </w:tr>
      <w:tr w:rsidR="00670187" w:rsidRPr="00E57999" w14:paraId="632B69E4" w14:textId="77777777">
        <w:trPr>
          <w:trHeight w:val="297"/>
        </w:trPr>
        <w:tc>
          <w:tcPr>
            <w:tcW w:w="2263" w:type="dxa"/>
            <w:shd w:val="clear" w:color="auto" w:fill="auto"/>
          </w:tcPr>
          <w:p w14:paraId="628F0E49" w14:textId="77777777" w:rsidR="00670187" w:rsidRPr="005D58CB" w:rsidRDefault="00670187">
            <w:pPr>
              <w:pStyle w:val="NICETabletext"/>
              <w:rPr>
                <w:b/>
                <w:lang w:eastAsia="en-GB"/>
              </w:rPr>
            </w:pPr>
            <w:r w:rsidRPr="007B3CF2">
              <w:rPr>
                <w:bCs/>
                <w:lang w:eastAsia="en-GB"/>
              </w:rPr>
              <w:t>Gompertz</w:t>
            </w:r>
          </w:p>
        </w:tc>
        <w:tc>
          <w:tcPr>
            <w:tcW w:w="1710" w:type="dxa"/>
            <w:shd w:val="clear" w:color="auto" w:fill="auto"/>
            <w:vAlign w:val="center"/>
          </w:tcPr>
          <w:p w14:paraId="2523E0CF" w14:textId="0B8DC784" w:rsidR="00670187" w:rsidRPr="00294FDC" w:rsidRDefault="00294FDC">
            <w:pPr>
              <w:pStyle w:val="NICETabletext"/>
              <w:jc w:val="center"/>
              <w:rPr>
                <w:b/>
                <w:color w:val="000000"/>
                <w:highlight w:val="black"/>
                <w:lang w:eastAsia="en-GB"/>
              </w:rPr>
            </w:pPr>
            <w:r w:rsidRPr="00294FDC">
              <w:rPr>
                <w:rFonts w:cs="Arial"/>
                <w:color w:val="000000"/>
                <w:szCs w:val="20"/>
                <w:highlight w:val="black"/>
              </w:rPr>
              <w:t>xxxx</w:t>
            </w:r>
          </w:p>
        </w:tc>
        <w:tc>
          <w:tcPr>
            <w:tcW w:w="1710" w:type="dxa"/>
            <w:shd w:val="clear" w:color="auto" w:fill="auto"/>
            <w:vAlign w:val="center"/>
          </w:tcPr>
          <w:p w14:paraId="6C743A51" w14:textId="7FDB3675" w:rsidR="00670187" w:rsidRPr="00294FDC" w:rsidRDefault="00294FDC">
            <w:pPr>
              <w:pStyle w:val="NICETabletext"/>
              <w:jc w:val="center"/>
              <w:rPr>
                <w:b/>
                <w:color w:val="000000"/>
                <w:highlight w:val="black"/>
                <w:lang w:eastAsia="en-GB"/>
              </w:rPr>
            </w:pPr>
            <w:r w:rsidRPr="00294FDC">
              <w:rPr>
                <w:color w:val="000000"/>
                <w:highlight w:val="black"/>
              </w:rPr>
              <w:t>xxxxxx</w:t>
            </w:r>
          </w:p>
        </w:tc>
        <w:tc>
          <w:tcPr>
            <w:tcW w:w="1710" w:type="dxa"/>
            <w:shd w:val="clear" w:color="auto" w:fill="auto"/>
            <w:vAlign w:val="center"/>
          </w:tcPr>
          <w:p w14:paraId="41EE1C74" w14:textId="7FA493EE" w:rsidR="00670187" w:rsidRPr="00294FDC" w:rsidRDefault="00294FDC">
            <w:pPr>
              <w:pStyle w:val="NICETabletext"/>
              <w:jc w:val="center"/>
              <w:rPr>
                <w:b/>
                <w:color w:val="000000"/>
                <w:highlight w:val="black"/>
                <w:lang w:eastAsia="en-GB"/>
              </w:rPr>
            </w:pPr>
            <w:r w:rsidRPr="00294FDC">
              <w:rPr>
                <w:color w:val="000000"/>
                <w:highlight w:val="black"/>
              </w:rPr>
              <w:t>xxxxx</w:t>
            </w:r>
          </w:p>
        </w:tc>
        <w:tc>
          <w:tcPr>
            <w:tcW w:w="1711" w:type="dxa"/>
            <w:shd w:val="clear" w:color="auto" w:fill="auto"/>
            <w:vAlign w:val="center"/>
          </w:tcPr>
          <w:p w14:paraId="66C65EB0" w14:textId="1BA04EFE" w:rsidR="00670187" w:rsidRPr="00294FDC" w:rsidRDefault="00294FDC">
            <w:pPr>
              <w:pStyle w:val="NICETabletext"/>
              <w:jc w:val="center"/>
              <w:rPr>
                <w:b/>
                <w:color w:val="000000"/>
                <w:highlight w:val="black"/>
                <w:lang w:eastAsia="en-GB"/>
              </w:rPr>
            </w:pPr>
            <w:r w:rsidRPr="00294FDC">
              <w:rPr>
                <w:color w:val="000000"/>
                <w:highlight w:val="black"/>
              </w:rPr>
              <w:t>xxxxx</w:t>
            </w:r>
          </w:p>
        </w:tc>
      </w:tr>
      <w:tr w:rsidR="00670187" w:rsidRPr="00E57999" w14:paraId="57356788" w14:textId="77777777">
        <w:trPr>
          <w:trHeight w:val="297"/>
        </w:trPr>
        <w:tc>
          <w:tcPr>
            <w:tcW w:w="2263" w:type="dxa"/>
            <w:shd w:val="clear" w:color="auto" w:fill="auto"/>
          </w:tcPr>
          <w:p w14:paraId="138A3582" w14:textId="77777777" w:rsidR="00670187" w:rsidRPr="003C648C" w:rsidRDefault="00670187">
            <w:pPr>
              <w:pStyle w:val="NICETabletext"/>
              <w:rPr>
                <w:bCs/>
                <w:lang w:eastAsia="en-GB"/>
              </w:rPr>
            </w:pPr>
            <w:r w:rsidRPr="003C648C">
              <w:rPr>
                <w:bCs/>
                <w:lang w:eastAsia="en-GB"/>
              </w:rPr>
              <w:t>Log-logistic</w:t>
            </w:r>
          </w:p>
        </w:tc>
        <w:tc>
          <w:tcPr>
            <w:tcW w:w="1710" w:type="dxa"/>
            <w:shd w:val="clear" w:color="auto" w:fill="auto"/>
            <w:vAlign w:val="center"/>
          </w:tcPr>
          <w:p w14:paraId="3833825C" w14:textId="42D742B9" w:rsidR="00670187" w:rsidRPr="00294FDC" w:rsidRDefault="00294FDC">
            <w:pPr>
              <w:pStyle w:val="NICETabletext"/>
              <w:jc w:val="center"/>
              <w:rPr>
                <w:bCs/>
                <w:color w:val="000000"/>
                <w:highlight w:val="black"/>
                <w:lang w:eastAsia="en-GB"/>
              </w:rPr>
            </w:pPr>
            <w:r w:rsidRPr="00294FDC">
              <w:rPr>
                <w:rFonts w:cs="Arial"/>
                <w:bCs/>
                <w:color w:val="000000"/>
                <w:szCs w:val="20"/>
                <w:highlight w:val="black"/>
              </w:rPr>
              <w:t>xxxx</w:t>
            </w:r>
          </w:p>
        </w:tc>
        <w:tc>
          <w:tcPr>
            <w:tcW w:w="1710" w:type="dxa"/>
            <w:shd w:val="clear" w:color="auto" w:fill="auto"/>
            <w:vAlign w:val="center"/>
          </w:tcPr>
          <w:p w14:paraId="2B1CDDDD" w14:textId="22F91B6E" w:rsidR="00670187" w:rsidRPr="00294FDC" w:rsidRDefault="00294FDC">
            <w:pPr>
              <w:pStyle w:val="NICETabletext"/>
              <w:jc w:val="center"/>
              <w:rPr>
                <w:bCs/>
                <w:color w:val="000000"/>
                <w:highlight w:val="black"/>
                <w:lang w:eastAsia="en-GB"/>
              </w:rPr>
            </w:pPr>
            <w:r w:rsidRPr="00294FDC">
              <w:rPr>
                <w:bCs/>
                <w:color w:val="000000"/>
                <w:highlight w:val="black"/>
              </w:rPr>
              <w:t>xxxxxx</w:t>
            </w:r>
          </w:p>
        </w:tc>
        <w:tc>
          <w:tcPr>
            <w:tcW w:w="1710" w:type="dxa"/>
            <w:shd w:val="clear" w:color="auto" w:fill="auto"/>
            <w:vAlign w:val="center"/>
          </w:tcPr>
          <w:p w14:paraId="0D7823FB" w14:textId="50E5B5F1" w:rsidR="00670187" w:rsidRPr="00294FDC" w:rsidRDefault="00294FDC">
            <w:pPr>
              <w:pStyle w:val="NICETabletext"/>
              <w:jc w:val="center"/>
              <w:rPr>
                <w:bCs/>
                <w:color w:val="000000"/>
                <w:highlight w:val="black"/>
                <w:lang w:eastAsia="en-GB"/>
              </w:rPr>
            </w:pPr>
            <w:r w:rsidRPr="00294FDC">
              <w:rPr>
                <w:bCs/>
                <w:color w:val="000000"/>
                <w:highlight w:val="black"/>
              </w:rPr>
              <w:t>xxxxxx</w:t>
            </w:r>
          </w:p>
        </w:tc>
        <w:tc>
          <w:tcPr>
            <w:tcW w:w="1711" w:type="dxa"/>
            <w:shd w:val="clear" w:color="auto" w:fill="auto"/>
            <w:vAlign w:val="center"/>
          </w:tcPr>
          <w:p w14:paraId="55090C9B" w14:textId="6521764B" w:rsidR="00670187" w:rsidRPr="00294FDC" w:rsidRDefault="00294FDC">
            <w:pPr>
              <w:pStyle w:val="NICETabletext"/>
              <w:jc w:val="center"/>
              <w:rPr>
                <w:bCs/>
                <w:color w:val="000000"/>
                <w:highlight w:val="black"/>
                <w:lang w:eastAsia="en-GB"/>
              </w:rPr>
            </w:pPr>
            <w:r w:rsidRPr="00294FDC">
              <w:rPr>
                <w:bCs/>
                <w:color w:val="000000"/>
                <w:highlight w:val="black"/>
              </w:rPr>
              <w:t>xxxxx</w:t>
            </w:r>
          </w:p>
        </w:tc>
      </w:tr>
      <w:tr w:rsidR="00670187" w:rsidRPr="00E57999" w14:paraId="5C958A32" w14:textId="77777777">
        <w:trPr>
          <w:trHeight w:val="297"/>
        </w:trPr>
        <w:tc>
          <w:tcPr>
            <w:tcW w:w="2263" w:type="dxa"/>
            <w:shd w:val="clear" w:color="auto" w:fill="auto"/>
          </w:tcPr>
          <w:p w14:paraId="36D1A25A" w14:textId="77777777" w:rsidR="00670187" w:rsidRPr="005D58CB" w:rsidRDefault="00670187">
            <w:pPr>
              <w:pStyle w:val="NICETabletext"/>
              <w:rPr>
                <w:b/>
                <w:lang w:eastAsia="en-GB"/>
              </w:rPr>
            </w:pPr>
            <w:r w:rsidRPr="007B3CF2">
              <w:rPr>
                <w:bCs/>
                <w:lang w:eastAsia="en-GB"/>
              </w:rPr>
              <w:t>Log-normal</w:t>
            </w:r>
          </w:p>
        </w:tc>
        <w:tc>
          <w:tcPr>
            <w:tcW w:w="1710" w:type="dxa"/>
            <w:shd w:val="clear" w:color="auto" w:fill="auto"/>
            <w:vAlign w:val="center"/>
          </w:tcPr>
          <w:p w14:paraId="234E1749" w14:textId="2EA07C02" w:rsidR="00670187" w:rsidRPr="00294FDC" w:rsidRDefault="00294FDC">
            <w:pPr>
              <w:pStyle w:val="NICETabletext"/>
              <w:jc w:val="center"/>
              <w:rPr>
                <w:b/>
                <w:color w:val="000000"/>
                <w:highlight w:val="black"/>
                <w:lang w:eastAsia="en-GB"/>
              </w:rPr>
            </w:pPr>
            <w:r w:rsidRPr="00294FDC">
              <w:rPr>
                <w:rFonts w:cs="Arial"/>
                <w:color w:val="000000"/>
                <w:szCs w:val="20"/>
                <w:highlight w:val="black"/>
              </w:rPr>
              <w:t>xxxx</w:t>
            </w:r>
          </w:p>
        </w:tc>
        <w:tc>
          <w:tcPr>
            <w:tcW w:w="1710" w:type="dxa"/>
            <w:shd w:val="clear" w:color="auto" w:fill="auto"/>
            <w:vAlign w:val="center"/>
          </w:tcPr>
          <w:p w14:paraId="05E01507" w14:textId="79802B5E" w:rsidR="00670187" w:rsidRPr="00294FDC" w:rsidRDefault="00294FDC">
            <w:pPr>
              <w:pStyle w:val="NICETabletext"/>
              <w:jc w:val="center"/>
              <w:rPr>
                <w:b/>
                <w:color w:val="000000"/>
                <w:highlight w:val="black"/>
                <w:lang w:eastAsia="en-GB"/>
              </w:rPr>
            </w:pPr>
            <w:r w:rsidRPr="00294FDC">
              <w:rPr>
                <w:color w:val="000000"/>
                <w:highlight w:val="black"/>
              </w:rPr>
              <w:t>xxxxxx</w:t>
            </w:r>
          </w:p>
        </w:tc>
        <w:tc>
          <w:tcPr>
            <w:tcW w:w="1710" w:type="dxa"/>
            <w:shd w:val="clear" w:color="auto" w:fill="auto"/>
            <w:vAlign w:val="center"/>
          </w:tcPr>
          <w:p w14:paraId="0093684A" w14:textId="13C40D60" w:rsidR="00670187" w:rsidRPr="00294FDC" w:rsidRDefault="00294FDC">
            <w:pPr>
              <w:pStyle w:val="NICETabletext"/>
              <w:jc w:val="center"/>
              <w:rPr>
                <w:b/>
                <w:color w:val="000000"/>
                <w:highlight w:val="black"/>
                <w:lang w:eastAsia="en-GB"/>
              </w:rPr>
            </w:pPr>
            <w:r w:rsidRPr="00294FDC">
              <w:rPr>
                <w:color w:val="000000"/>
                <w:highlight w:val="black"/>
              </w:rPr>
              <w:t>xxxxxx</w:t>
            </w:r>
          </w:p>
        </w:tc>
        <w:tc>
          <w:tcPr>
            <w:tcW w:w="1711" w:type="dxa"/>
            <w:shd w:val="clear" w:color="auto" w:fill="auto"/>
            <w:vAlign w:val="center"/>
          </w:tcPr>
          <w:p w14:paraId="3214A1F2" w14:textId="7154837D" w:rsidR="00670187" w:rsidRPr="00294FDC" w:rsidRDefault="00294FDC">
            <w:pPr>
              <w:pStyle w:val="NICETabletext"/>
              <w:jc w:val="center"/>
              <w:rPr>
                <w:b/>
                <w:color w:val="000000"/>
                <w:highlight w:val="black"/>
                <w:lang w:eastAsia="en-GB"/>
              </w:rPr>
            </w:pPr>
            <w:r w:rsidRPr="00294FDC">
              <w:rPr>
                <w:color w:val="000000"/>
                <w:highlight w:val="black"/>
              </w:rPr>
              <w:t>xxxxx</w:t>
            </w:r>
          </w:p>
        </w:tc>
      </w:tr>
      <w:tr w:rsidR="00670187" w:rsidRPr="00E57999" w14:paraId="22289CDC" w14:textId="77777777">
        <w:trPr>
          <w:trHeight w:val="297"/>
        </w:trPr>
        <w:tc>
          <w:tcPr>
            <w:tcW w:w="2263" w:type="dxa"/>
            <w:shd w:val="clear" w:color="auto" w:fill="auto"/>
          </w:tcPr>
          <w:p w14:paraId="6FE377DD" w14:textId="77777777" w:rsidR="00670187" w:rsidRPr="005D58CB" w:rsidRDefault="00670187">
            <w:pPr>
              <w:pStyle w:val="NICETabletext"/>
              <w:rPr>
                <w:b/>
                <w:lang w:eastAsia="en-GB"/>
              </w:rPr>
            </w:pPr>
            <w:r w:rsidRPr="007B3CF2">
              <w:rPr>
                <w:bCs/>
                <w:lang w:eastAsia="en-GB"/>
              </w:rPr>
              <w:t>Generalised gamma</w:t>
            </w:r>
          </w:p>
        </w:tc>
        <w:tc>
          <w:tcPr>
            <w:tcW w:w="1710" w:type="dxa"/>
            <w:shd w:val="clear" w:color="auto" w:fill="auto"/>
            <w:vAlign w:val="center"/>
          </w:tcPr>
          <w:p w14:paraId="047A5DC3" w14:textId="497EF732" w:rsidR="00670187" w:rsidRPr="00294FDC" w:rsidRDefault="00294FDC">
            <w:pPr>
              <w:pStyle w:val="NICETabletext"/>
              <w:jc w:val="center"/>
              <w:rPr>
                <w:b/>
                <w:color w:val="000000"/>
                <w:highlight w:val="black"/>
                <w:lang w:eastAsia="en-GB"/>
              </w:rPr>
            </w:pPr>
            <w:r w:rsidRPr="00294FDC">
              <w:rPr>
                <w:rFonts w:cs="Arial"/>
                <w:color w:val="000000"/>
                <w:szCs w:val="20"/>
                <w:highlight w:val="black"/>
              </w:rPr>
              <w:t>xxxx</w:t>
            </w:r>
          </w:p>
        </w:tc>
        <w:tc>
          <w:tcPr>
            <w:tcW w:w="1710" w:type="dxa"/>
            <w:shd w:val="clear" w:color="auto" w:fill="auto"/>
            <w:vAlign w:val="center"/>
          </w:tcPr>
          <w:p w14:paraId="656BBAB5" w14:textId="330162B7" w:rsidR="00670187" w:rsidRPr="00294FDC" w:rsidRDefault="00294FDC">
            <w:pPr>
              <w:pStyle w:val="NICETabletext"/>
              <w:jc w:val="center"/>
              <w:rPr>
                <w:b/>
                <w:color w:val="000000"/>
                <w:highlight w:val="black"/>
                <w:lang w:eastAsia="en-GB"/>
              </w:rPr>
            </w:pPr>
            <w:r w:rsidRPr="00294FDC">
              <w:rPr>
                <w:color w:val="000000"/>
                <w:highlight w:val="black"/>
              </w:rPr>
              <w:t>xxxxxx</w:t>
            </w:r>
          </w:p>
        </w:tc>
        <w:tc>
          <w:tcPr>
            <w:tcW w:w="1710" w:type="dxa"/>
            <w:shd w:val="clear" w:color="auto" w:fill="auto"/>
            <w:vAlign w:val="center"/>
          </w:tcPr>
          <w:p w14:paraId="70E6ACC9" w14:textId="1F77FF07" w:rsidR="00670187" w:rsidRPr="00294FDC" w:rsidRDefault="00294FDC">
            <w:pPr>
              <w:pStyle w:val="NICETabletext"/>
              <w:jc w:val="center"/>
              <w:rPr>
                <w:b/>
                <w:color w:val="000000"/>
                <w:highlight w:val="black"/>
                <w:lang w:eastAsia="en-GB"/>
              </w:rPr>
            </w:pPr>
            <w:r w:rsidRPr="00294FDC">
              <w:rPr>
                <w:color w:val="000000"/>
                <w:highlight w:val="black"/>
              </w:rPr>
              <w:t>xxxxx</w:t>
            </w:r>
          </w:p>
        </w:tc>
        <w:tc>
          <w:tcPr>
            <w:tcW w:w="1711" w:type="dxa"/>
            <w:shd w:val="clear" w:color="auto" w:fill="auto"/>
            <w:vAlign w:val="center"/>
          </w:tcPr>
          <w:p w14:paraId="5C7F7E99" w14:textId="0A118572" w:rsidR="00670187" w:rsidRPr="00294FDC" w:rsidRDefault="00294FDC">
            <w:pPr>
              <w:pStyle w:val="NICETabletext"/>
              <w:jc w:val="center"/>
              <w:rPr>
                <w:b/>
                <w:color w:val="000000"/>
                <w:highlight w:val="black"/>
                <w:lang w:eastAsia="en-GB"/>
              </w:rPr>
            </w:pPr>
            <w:r w:rsidRPr="00294FDC">
              <w:rPr>
                <w:color w:val="000000"/>
                <w:highlight w:val="black"/>
              </w:rPr>
              <w:t>xxxxx</w:t>
            </w:r>
          </w:p>
        </w:tc>
      </w:tr>
    </w:tbl>
    <w:p w14:paraId="74518825" w14:textId="77777777" w:rsidR="00670187" w:rsidRPr="0007115D" w:rsidRDefault="00670187" w:rsidP="00670187">
      <w:pPr>
        <w:pStyle w:val="Footnotes"/>
      </w:pPr>
      <w:r>
        <w:t xml:space="preserve">Abbreviations: KM, Kaplan-Meier; </w:t>
      </w:r>
      <w:r w:rsidRPr="001E6BCF">
        <w:rPr>
          <w:rStyle w:val="FootnotesChar"/>
        </w:rPr>
        <w:t>TPC, treatment of physician’s choice</w:t>
      </w:r>
      <w:r>
        <w:t>; TTD, time-to-treatment discontinuation; T</w:t>
      </w:r>
      <w:r>
        <w:noBreakHyphen/>
        <w:t>DXd, trastuzumab deruxtecan.</w:t>
      </w:r>
    </w:p>
    <w:p w14:paraId="76E0E87A" w14:textId="6BC0A997" w:rsidR="00670187" w:rsidRPr="0007115D" w:rsidRDefault="00670187" w:rsidP="00670187">
      <w:pPr>
        <w:pStyle w:val="Body"/>
      </w:pPr>
      <w:r w:rsidRPr="0007115D">
        <w:lastRenderedPageBreak/>
        <w:t>In line with the SmPC, patients are treated until progression</w:t>
      </w:r>
      <w:r>
        <w:t xml:space="preserve"> </w:t>
      </w:r>
      <w:r w:rsidRPr="005D58CB">
        <w:t>or unacceptable toxicity</w:t>
      </w:r>
      <w:r>
        <w:t xml:space="preserve">; </w:t>
      </w:r>
      <w:r w:rsidRPr="0007115D">
        <w:t>the majority of patients will discontinue treatment due to progression (as observed in both treatment arms of DESTINY-Breast04)</w:t>
      </w:r>
      <w:r w:rsidR="00EF4886">
        <w:t>;</w:t>
      </w:r>
      <w:r>
        <w:t xml:space="preserve"> h</w:t>
      </w:r>
      <w:r w:rsidRPr="0007115D">
        <w:t>owever</w:t>
      </w:r>
      <w:r>
        <w:t>,</w:t>
      </w:r>
      <w:r w:rsidRPr="0007115D" w:rsidDel="00037E03">
        <w:t xml:space="preserve"> </w:t>
      </w:r>
      <w:r w:rsidRPr="0007115D">
        <w:t>some may discontinue treatment due to other reasons such as unacceptable toxicity</w:t>
      </w:r>
      <w:r>
        <w:t xml:space="preserve"> prior to progression.</w:t>
      </w:r>
      <w:r>
        <w:fldChar w:fldCharType="begin"/>
      </w:r>
      <w:r w:rsidR="00CA6345">
        <w:instrText xml:space="preserve"> ADDIN ZOTERO_ITEM CSL_CITATION {"citationID":"s2mLTccy","properties":{"formattedCitation":"\\super 7,164\\nosupersub{}","plainCitation":"7,164","noteIndex":0},"citationItems":[{"id":65944,"uris":["http://zotero.org/groups/4797619/items/WBVSVVF7"],"itemData":{"id":65944,"type":"document","title":"Clinical Study Report for DS8201-A-U303. Data cut-off date: 11 Jan 2022. Data on File.","author":[{"family":"Daiichi Sankyo Inc.","given":""}],"issued":{"date-parts":[["2022"]]}}},{"id":66411,"uris":["http://zotero.org/groups/4797619/items/EZK32SBF"],"itemData":{"id":66411,"type":"document","title":"Enhertu - Draft Summary of Product Characteristics (SmPC). Data on File.","author":[{"family":"Daiichi Sankyo Inc.","given":""}],"issued":{"date-parts":[["2022"]]}}}],"schema":"https://github.com/citation-style-language/schema/raw/master/csl-citation.json"} </w:instrText>
      </w:r>
      <w:r>
        <w:fldChar w:fldCharType="separate"/>
      </w:r>
      <w:r w:rsidR="00CA6345" w:rsidRPr="00CA6345">
        <w:rPr>
          <w:rFonts w:cs="Arial"/>
          <w:szCs w:val="24"/>
          <w:vertAlign w:val="superscript"/>
        </w:rPr>
        <w:t>7,164</w:t>
      </w:r>
      <w:r>
        <w:fldChar w:fldCharType="end"/>
      </w:r>
      <w:r>
        <w:t xml:space="preserve"> </w:t>
      </w:r>
      <w:r w:rsidRPr="005D58CB">
        <w:t>As such,</w:t>
      </w:r>
      <w:r w:rsidRPr="0007115D">
        <w:t xml:space="preserve"> </w:t>
      </w:r>
      <w:r>
        <w:t xml:space="preserve">the </w:t>
      </w:r>
      <w:r w:rsidRPr="0007115D">
        <w:t>TTD curve should not</w:t>
      </w:r>
      <w:r>
        <w:t xml:space="preserve"> exceed</w:t>
      </w:r>
      <w:r w:rsidRPr="0007115D">
        <w:t xml:space="preserve"> </w:t>
      </w:r>
      <w:r>
        <w:t xml:space="preserve">the </w:t>
      </w:r>
      <w:r w:rsidRPr="0007115D">
        <w:t xml:space="preserve">PFS </w:t>
      </w:r>
      <w:r w:rsidRPr="005D58CB">
        <w:t xml:space="preserve">curve </w:t>
      </w:r>
      <w:r w:rsidRPr="0007115D">
        <w:t>at any time</w:t>
      </w:r>
      <w:r>
        <w:t>, and TTD is capped by PFS in the model. The</w:t>
      </w:r>
      <w:r w:rsidRPr="0007115D">
        <w:t xml:space="preserve"> </w:t>
      </w:r>
      <w:r w:rsidRPr="005D58CB">
        <w:t xml:space="preserve">generalised gamma </w:t>
      </w:r>
      <w:r w:rsidRPr="0007115D">
        <w:t>curve</w:t>
      </w:r>
      <w:r w:rsidRPr="005D58CB">
        <w:t xml:space="preserve"> </w:t>
      </w:r>
      <w:r w:rsidRPr="0007115D">
        <w:t>was selected to inform the model base case</w:t>
      </w:r>
      <w:r w:rsidRPr="005D58CB">
        <w:t xml:space="preserve"> as it provides a good statistical fit and good visual fit to the KM data</w:t>
      </w:r>
      <w:r>
        <w:t xml:space="preserve">. </w:t>
      </w:r>
      <w:r w:rsidRPr="0007115D">
        <w:t xml:space="preserve">In line with </w:t>
      </w:r>
      <w:r w:rsidRPr="005D58CB">
        <w:t xml:space="preserve">NICE DSU </w:t>
      </w:r>
      <w:r w:rsidRPr="0007115D">
        <w:t>guidance</w:t>
      </w:r>
      <w:r>
        <w:rPr>
          <w:highlight w:val="yellow"/>
        </w:rPr>
        <w:fldChar w:fldCharType="begin"/>
      </w:r>
      <w:r w:rsidR="00CA6345">
        <w:rPr>
          <w:highlight w:val="yellow"/>
        </w:rPr>
        <w:instrText xml:space="preserve"> ADDIN ZOTERO_ITEM CSL_CITATION {"citationID":"gas4AFKQ","properties":{"formattedCitation":"\\super 171\\nosupersub{}","plainCitation":"171","noteIndex":0},"citationItems":[{"id":66276,"uris":["http://zotero.org/groups/4797619/items/QYBHYJLM"],"itemData":{"id":66276,"type":"webpage","title":"NICE DSU Technical Support Document 14:  Survival Analysis For Economic Evaluations Alongside Clinical Trials - Extrapolation With Patient-Level Data","URL":"https://www.sheffield.ac.uk/sites/default/files/2022-02/TSD14-Survival-analysis.updated-March-2013.v2.pdf","author":[{"family":"NICE","given":""}],"issued":{"date-parts":[["2013",3]]}}}],"schema":"https://github.com/citation-style-language/schema/raw/master/csl-citation.json"} </w:instrText>
      </w:r>
      <w:r>
        <w:rPr>
          <w:highlight w:val="yellow"/>
        </w:rPr>
        <w:fldChar w:fldCharType="separate"/>
      </w:r>
      <w:r w:rsidR="00CA6345" w:rsidRPr="00CA6345">
        <w:rPr>
          <w:rFonts w:cs="Arial"/>
          <w:szCs w:val="24"/>
          <w:vertAlign w:val="superscript"/>
        </w:rPr>
        <w:t>171</w:t>
      </w:r>
      <w:r>
        <w:rPr>
          <w:highlight w:val="yellow"/>
        </w:rPr>
        <w:fldChar w:fldCharType="end"/>
      </w:r>
      <w:r w:rsidRPr="0007115D">
        <w:t>, the same parametric curves were considered for both treatment arms</w:t>
      </w:r>
      <w:r w:rsidR="00A710E7">
        <w:t>.</w:t>
      </w:r>
      <w:r w:rsidRPr="0007115D">
        <w:t xml:space="preserve"> </w:t>
      </w:r>
    </w:p>
    <w:p w14:paraId="2D438609" w14:textId="77777777" w:rsidR="00670187" w:rsidRPr="0007115D" w:rsidRDefault="00670187" w:rsidP="00670187">
      <w:pPr>
        <w:pStyle w:val="Body"/>
        <w:keepNext/>
        <w:rPr>
          <w:i/>
          <w:iCs/>
        </w:rPr>
      </w:pPr>
      <w:r w:rsidRPr="0007115D">
        <w:rPr>
          <w:i/>
          <w:iCs/>
        </w:rPr>
        <w:t>Summary of base case models</w:t>
      </w:r>
    </w:p>
    <w:p w14:paraId="1279C889" w14:textId="2037D496" w:rsidR="00670187" w:rsidRPr="007B0534" w:rsidRDefault="00670187" w:rsidP="00670187">
      <w:pPr>
        <w:pStyle w:val="Body"/>
      </w:pPr>
      <w:r w:rsidRPr="003C648C">
        <w:rPr>
          <w:b/>
          <w:bCs/>
        </w:rPr>
        <w:fldChar w:fldCharType="begin"/>
      </w:r>
      <w:r w:rsidRPr="003C648C">
        <w:rPr>
          <w:b/>
          <w:bCs/>
        </w:rPr>
        <w:instrText xml:space="preserve"> REF _Ref125381980 \h </w:instrText>
      </w:r>
      <w:r w:rsidR="000F5021">
        <w:rPr>
          <w:b/>
          <w:bCs/>
        </w:rPr>
        <w:instrText xml:space="preserve"> \* MERGEFORMAT </w:instrText>
      </w:r>
      <w:r w:rsidRPr="003C648C">
        <w:rPr>
          <w:b/>
          <w:bCs/>
        </w:rPr>
      </w:r>
      <w:r w:rsidRPr="003C648C">
        <w:rPr>
          <w:b/>
          <w:bCs/>
        </w:rPr>
        <w:fldChar w:fldCharType="separate"/>
      </w:r>
      <w:r w:rsidR="00145F42" w:rsidRPr="00145F42">
        <w:rPr>
          <w:b/>
          <w:bCs/>
        </w:rPr>
        <w:t xml:space="preserve">Figure </w:t>
      </w:r>
      <w:r w:rsidR="00145F42" w:rsidRPr="00145F42">
        <w:rPr>
          <w:b/>
          <w:bCs/>
          <w:noProof/>
        </w:rPr>
        <w:t>42</w:t>
      </w:r>
      <w:r w:rsidRPr="003C648C">
        <w:rPr>
          <w:b/>
          <w:bCs/>
        </w:rPr>
        <w:fldChar w:fldCharType="end"/>
      </w:r>
      <w:r>
        <w:t xml:space="preserve"> </w:t>
      </w:r>
      <w:r w:rsidRPr="0007115D">
        <w:t>provide</w:t>
      </w:r>
      <w:r>
        <w:t>s a summary of the base-case extrapolation for TTD applied within the model (</w:t>
      </w:r>
      <w:r w:rsidRPr="005D58CB">
        <w:t>generalised gamma</w:t>
      </w:r>
      <w:r>
        <w:t xml:space="preserve"> curves considered for both T-DXd and </w:t>
      </w:r>
      <w:r w:rsidRPr="005D58CB">
        <w:t>TPC</w:t>
      </w:r>
      <w:r>
        <w:t xml:space="preserve">). </w:t>
      </w:r>
    </w:p>
    <w:p w14:paraId="650EEB43" w14:textId="78C075FF" w:rsidR="00670187" w:rsidRDefault="00670187" w:rsidP="00670187">
      <w:pPr>
        <w:pStyle w:val="Caption"/>
      </w:pPr>
      <w:bookmarkStart w:id="539" w:name="_Ref125381980"/>
      <w:bookmarkStart w:id="540" w:name="_Toc127006655"/>
      <w:bookmarkStart w:id="541" w:name="_Toc129350968"/>
      <w:r>
        <w:t xml:space="preserve">Figure </w:t>
      </w:r>
      <w:r>
        <w:fldChar w:fldCharType="begin"/>
      </w:r>
      <w:r>
        <w:instrText>SEQ Figure \* ARABIC</w:instrText>
      </w:r>
      <w:r>
        <w:fldChar w:fldCharType="separate"/>
      </w:r>
      <w:r w:rsidR="00145F42">
        <w:rPr>
          <w:noProof/>
        </w:rPr>
        <w:t>42</w:t>
      </w:r>
      <w:r>
        <w:fldChar w:fldCharType="end"/>
      </w:r>
      <w:bookmarkEnd w:id="539"/>
      <w:r>
        <w:t xml:space="preserve">: Base-case extrapolations for TTD in the </w:t>
      </w:r>
      <w:r w:rsidRPr="005D58CB">
        <w:t>FAS population</w:t>
      </w:r>
      <w:r>
        <w:t xml:space="preserve"> (generalised gamma, T-DXd and TPC)</w:t>
      </w:r>
      <w:bookmarkEnd w:id="540"/>
      <w:bookmarkEnd w:id="541"/>
    </w:p>
    <w:tbl>
      <w:tblPr>
        <w:tblStyle w:val="TableGrid"/>
        <w:tblW w:w="0" w:type="auto"/>
        <w:tblBorders>
          <w:top w:val="single" w:sz="24" w:space="0" w:color="FFFF00"/>
          <w:left w:val="single" w:sz="24" w:space="0" w:color="FFFF00"/>
          <w:bottom w:val="single" w:sz="24" w:space="0" w:color="FFFF00"/>
          <w:right w:val="single" w:sz="24" w:space="0" w:color="FFFF00"/>
          <w:insideH w:val="single" w:sz="24" w:space="0" w:color="FFFF00"/>
          <w:insideV w:val="single" w:sz="24" w:space="0" w:color="FFFF00"/>
        </w:tblBorders>
        <w:tblLook w:val="04A0" w:firstRow="1" w:lastRow="0" w:firstColumn="1" w:lastColumn="0" w:noHBand="0" w:noVBand="1"/>
      </w:tblPr>
      <w:tblGrid>
        <w:gridCol w:w="9017"/>
      </w:tblGrid>
      <w:tr w:rsidR="00670187" w14:paraId="0AB9BEA5" w14:textId="77777777" w:rsidTr="00046DFE">
        <w:trPr>
          <w:trHeight w:val="1828"/>
        </w:trPr>
        <w:tc>
          <w:tcPr>
            <w:tcW w:w="9017" w:type="dxa"/>
            <w:tcBorders>
              <w:top w:val="single" w:sz="4" w:space="0" w:color="auto"/>
              <w:left w:val="single" w:sz="4" w:space="0" w:color="auto"/>
              <w:bottom w:val="single" w:sz="4" w:space="0" w:color="auto"/>
              <w:right w:val="single" w:sz="4" w:space="0" w:color="auto"/>
            </w:tcBorders>
            <w:vAlign w:val="center"/>
          </w:tcPr>
          <w:p w14:paraId="08644BB9" w14:textId="5241937C" w:rsidR="00670187" w:rsidRDefault="000D1DF8">
            <w:pPr>
              <w:jc w:val="center"/>
            </w:pPr>
            <w:r w:rsidRPr="000D1DF8">
              <w:rPr>
                <w:noProof/>
              </w:rPr>
              <w:drawing>
                <wp:inline distT="0" distB="0" distL="0" distR="0" wp14:anchorId="20A914F5" wp14:editId="5F6DADC4">
                  <wp:extent cx="4815624" cy="2813685"/>
                  <wp:effectExtent l="0" t="0" r="4445" b="571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30">
                            <a:extLst>
                              <a:ext uri="{28A0092B-C50C-407E-A947-70E740481C1C}">
                                <a14:useLocalDpi xmlns:a14="http://schemas.microsoft.com/office/drawing/2010/main" val="0"/>
                              </a:ext>
                            </a:extLst>
                          </a:blip>
                          <a:stretch>
                            <a:fillRect/>
                          </a:stretch>
                        </pic:blipFill>
                        <pic:spPr>
                          <a:xfrm>
                            <a:off x="0" y="0"/>
                            <a:ext cx="4815624" cy="2813685"/>
                          </a:xfrm>
                          <a:prstGeom prst="rect">
                            <a:avLst/>
                          </a:prstGeom>
                        </pic:spPr>
                      </pic:pic>
                    </a:graphicData>
                  </a:graphic>
                </wp:inline>
              </w:drawing>
            </w:r>
            <w:r w:rsidR="00670187" w:rsidRPr="001842E7">
              <w:t xml:space="preserve"> </w:t>
            </w:r>
          </w:p>
        </w:tc>
      </w:tr>
    </w:tbl>
    <w:p w14:paraId="12D36988" w14:textId="77777777" w:rsidR="00670187" w:rsidRDefault="00670187" w:rsidP="00670187">
      <w:pPr>
        <w:pStyle w:val="Footnotes"/>
      </w:pPr>
      <w:r>
        <w:t xml:space="preserve">Abbreviations: KM, Kaplan-Meier; </w:t>
      </w:r>
      <w:r w:rsidRPr="001E6BCF">
        <w:rPr>
          <w:rStyle w:val="FootnotesChar"/>
        </w:rPr>
        <w:t>TPC, treatment of physician’s choice</w:t>
      </w:r>
      <w:r>
        <w:t>; TTD, time-to-treatment discontinuation; T-DXd, trastuzumab deruxtecan.</w:t>
      </w:r>
    </w:p>
    <w:p w14:paraId="5384329D" w14:textId="77777777" w:rsidR="00670187" w:rsidRPr="008479F7" w:rsidRDefault="00670187" w:rsidP="00670187">
      <w:pPr>
        <w:pStyle w:val="Heading3"/>
      </w:pPr>
      <w:bookmarkStart w:id="542" w:name="_Ref126857316"/>
      <w:bookmarkStart w:id="543" w:name="_Toc127006443"/>
      <w:bookmarkStart w:id="544" w:name="_Toc129350890"/>
      <w:r w:rsidRPr="008479F7">
        <w:t>Safety</w:t>
      </w:r>
      <w:bookmarkEnd w:id="513"/>
      <w:bookmarkEnd w:id="514"/>
      <w:bookmarkEnd w:id="515"/>
      <w:bookmarkEnd w:id="516"/>
      <w:bookmarkEnd w:id="517"/>
      <w:bookmarkEnd w:id="518"/>
      <w:bookmarkEnd w:id="542"/>
      <w:bookmarkEnd w:id="543"/>
      <w:bookmarkEnd w:id="544"/>
    </w:p>
    <w:p w14:paraId="11969152" w14:textId="4D67A978" w:rsidR="00670187" w:rsidRPr="005D58CB" w:rsidRDefault="00670187" w:rsidP="00670187">
      <w:pPr>
        <w:pStyle w:val="Body"/>
      </w:pPr>
      <w:r w:rsidRPr="005D58CB">
        <w:t>TE</w:t>
      </w:r>
      <w:r w:rsidRPr="00AF4568">
        <w:t>AEs that occurred in the DESTINY-Breast0</w:t>
      </w:r>
      <w:r w:rsidRPr="005D58CB">
        <w:t>4</w:t>
      </w:r>
      <w:r w:rsidRPr="00AF4568">
        <w:t xml:space="preserve"> study are reported in Section </w:t>
      </w:r>
      <w:r w:rsidR="007C383A" w:rsidRPr="005115FA">
        <w:fldChar w:fldCharType="begin"/>
      </w:r>
      <w:r w:rsidR="007C383A" w:rsidRPr="007C383A">
        <w:instrText xml:space="preserve"> REF _Ref99727914 \r \h </w:instrText>
      </w:r>
      <w:r w:rsidR="007C383A">
        <w:instrText xml:space="preserve"> \* MERGEFORMAT </w:instrText>
      </w:r>
      <w:r w:rsidR="007C383A" w:rsidRPr="005115FA">
        <w:fldChar w:fldCharType="separate"/>
      </w:r>
      <w:r w:rsidR="00145F42">
        <w:t>B.2.10</w:t>
      </w:r>
      <w:r w:rsidR="007C383A" w:rsidRPr="005115FA">
        <w:fldChar w:fldCharType="end"/>
      </w:r>
      <w:r w:rsidRPr="005115FA">
        <w:t>.</w:t>
      </w:r>
      <w:r w:rsidRPr="00AF4568">
        <w:t xml:space="preserve"> Grade ≥3 AEs with an incidence of </w:t>
      </w:r>
      <w:r w:rsidRPr="005D58CB">
        <w:t xml:space="preserve">≥5% </w:t>
      </w:r>
      <w:r w:rsidRPr="00AF4568">
        <w:t>in either treatment arm of the DESTINY-Breast0</w:t>
      </w:r>
      <w:r w:rsidRPr="005D58CB">
        <w:t>4</w:t>
      </w:r>
      <w:r w:rsidRPr="00AF4568">
        <w:t xml:space="preserve"> trial were included in the economic model. </w:t>
      </w:r>
      <w:r w:rsidRPr="005D58CB">
        <w:t>TEAEs</w:t>
      </w:r>
      <w:r w:rsidRPr="00AF4568">
        <w:t xml:space="preserve"> </w:t>
      </w:r>
      <w:r w:rsidRPr="005D58CB">
        <w:t>that occurred in &lt;5% of the population are not included as they are not expected to materially impact the cost-effectiveness results.</w:t>
      </w:r>
      <w:r w:rsidRPr="00AF4568">
        <w:t xml:space="preserve"> Two AEs of special interest were identified in the DESTINY </w:t>
      </w:r>
      <w:r w:rsidRPr="005D58CB">
        <w:t>tria</w:t>
      </w:r>
      <w:r w:rsidRPr="00AF4568">
        <w:t>l programme</w:t>
      </w:r>
      <w:r>
        <w:t>:</w:t>
      </w:r>
      <w:r w:rsidRPr="00AF4568">
        <w:t xml:space="preserve"> </w:t>
      </w:r>
      <w:r w:rsidR="00527F13" w:rsidRPr="005D58CB">
        <w:t>ILD</w:t>
      </w:r>
      <w:r w:rsidR="00527F13">
        <w:t xml:space="preserve"> and</w:t>
      </w:r>
      <w:r w:rsidR="00527F13" w:rsidRPr="00AF4568">
        <w:t xml:space="preserve"> </w:t>
      </w:r>
      <w:r w:rsidRPr="00AF4568">
        <w:t>LV</w:t>
      </w:r>
      <w:r>
        <w:t xml:space="preserve"> dysfunction</w:t>
      </w:r>
      <w:r w:rsidR="00527F13">
        <w:t>.</w:t>
      </w:r>
      <w:r>
        <w:t xml:space="preserve"> </w:t>
      </w:r>
      <w:r w:rsidRPr="005B10FF">
        <w:t xml:space="preserve">The </w:t>
      </w:r>
      <w:r w:rsidR="003C63EE" w:rsidRPr="005B10FF">
        <w:t>economic</w:t>
      </w:r>
      <w:r w:rsidRPr="005B10FF">
        <w:t xml:space="preserve"> model </w:t>
      </w:r>
      <w:r w:rsidR="00517B36" w:rsidRPr="005B10FF">
        <w:t>accounts for</w:t>
      </w:r>
      <w:r w:rsidRPr="005B10FF">
        <w:t xml:space="preserve"> ILD</w:t>
      </w:r>
      <w:r w:rsidR="007177F3" w:rsidRPr="005B10FF">
        <w:t xml:space="preserve">, which occurred at </w:t>
      </w:r>
      <w:r w:rsidR="005B10FF">
        <w:t>any grade</w:t>
      </w:r>
      <w:r w:rsidR="000A3E62">
        <w:t>,</w:t>
      </w:r>
      <w:r w:rsidR="00EC3FDC" w:rsidRPr="005B10FF">
        <w:t xml:space="preserve"> </w:t>
      </w:r>
      <w:r w:rsidR="000A3E62">
        <w:t>as the</w:t>
      </w:r>
      <w:r w:rsidRPr="005B10FF">
        <w:t xml:space="preserve"> incidence </w:t>
      </w:r>
      <w:r w:rsidR="000A3E62">
        <w:t>was</w:t>
      </w:r>
      <w:r w:rsidRPr="005B10FF">
        <w:t xml:space="preserve"> ≥5%</w:t>
      </w:r>
      <w:r w:rsidR="00B36C5B" w:rsidRPr="005B10FF">
        <w:t xml:space="preserve"> in </w:t>
      </w:r>
      <w:r w:rsidR="000A3E62">
        <w:t xml:space="preserve">either </w:t>
      </w:r>
      <w:r w:rsidR="006C7E01">
        <w:t>treatment</w:t>
      </w:r>
      <w:r w:rsidR="00B36C5B" w:rsidRPr="005B10FF">
        <w:t xml:space="preserve"> arm</w:t>
      </w:r>
      <w:r w:rsidR="00925B13" w:rsidRPr="005B10FF">
        <w:t xml:space="preserve"> </w:t>
      </w:r>
      <w:r w:rsidR="00F50822" w:rsidRPr="005B10FF">
        <w:t>in DESTINY-Breast04</w:t>
      </w:r>
      <w:r w:rsidRPr="005B10FF">
        <w:t xml:space="preserve">. </w:t>
      </w:r>
      <w:r w:rsidR="0007444E" w:rsidRPr="005B10FF">
        <w:t xml:space="preserve">All grades of </w:t>
      </w:r>
      <w:r w:rsidRPr="005B10FF">
        <w:t xml:space="preserve">ILD </w:t>
      </w:r>
      <w:r w:rsidR="0007444E" w:rsidRPr="005B10FF">
        <w:t>were</w:t>
      </w:r>
      <w:r w:rsidRPr="005B10FF">
        <w:t xml:space="preserve"> included in the model regardless of severity. LV dysfunction was not included within the</w:t>
      </w:r>
      <w:r w:rsidR="00F50822" w:rsidRPr="005B10FF">
        <w:t xml:space="preserve"> </w:t>
      </w:r>
      <w:r w:rsidRPr="005B10FF">
        <w:t xml:space="preserve">model as </w:t>
      </w:r>
      <w:r w:rsidR="00535E2F">
        <w:t xml:space="preserve">the incidence of </w:t>
      </w:r>
      <w:r w:rsidRPr="005B10FF">
        <w:t>LV dysfunction</w:t>
      </w:r>
      <w:r w:rsidR="00535E2F">
        <w:t xml:space="preserve">, </w:t>
      </w:r>
      <w:r w:rsidR="00535E2F" w:rsidRPr="005B10FF">
        <w:t xml:space="preserve">which occurred at </w:t>
      </w:r>
      <w:r w:rsidR="00535E2F">
        <w:t>any grade,</w:t>
      </w:r>
      <w:r w:rsidR="00535E2F" w:rsidRPr="005B10FF">
        <w:t xml:space="preserve"> </w:t>
      </w:r>
      <w:r w:rsidR="00535E2F">
        <w:t>was</w:t>
      </w:r>
      <w:r w:rsidR="00F50822" w:rsidRPr="005B10FF">
        <w:t xml:space="preserve"> &lt;5</w:t>
      </w:r>
      <w:r w:rsidRPr="005B10FF">
        <w:t xml:space="preserve">% </w:t>
      </w:r>
      <w:r w:rsidR="006F4CE0" w:rsidRPr="005B10FF">
        <w:t xml:space="preserve">and </w:t>
      </w:r>
      <w:r w:rsidR="00535E2F">
        <w:t xml:space="preserve">therefore </w:t>
      </w:r>
      <w:r w:rsidR="006F4CE0" w:rsidRPr="005B10FF">
        <w:t>did not meet the</w:t>
      </w:r>
      <w:r w:rsidRPr="005B10FF">
        <w:t xml:space="preserve"> threshold for inclusion in the economic evaluation; </w:t>
      </w:r>
      <w:r w:rsidR="00CA6E82">
        <w:t xml:space="preserve">4.6% (n=17) </w:t>
      </w:r>
      <w:r w:rsidRPr="005B10FF">
        <w:t xml:space="preserve">of patients in T-DXd arm </w:t>
      </w:r>
      <w:r w:rsidR="00791E4B" w:rsidRPr="005B10FF">
        <w:t xml:space="preserve">and </w:t>
      </w:r>
      <w:r w:rsidR="00D07A05">
        <w:t>0%</w:t>
      </w:r>
      <w:r w:rsidR="00791E4B" w:rsidRPr="005B10FF">
        <w:t xml:space="preserve"> patients in the TPC arm</w:t>
      </w:r>
      <w:r w:rsidRPr="005B10FF">
        <w:t xml:space="preserve"> experienced LV dysfunction</w:t>
      </w:r>
      <w:r w:rsidR="00163F68">
        <w:t xml:space="preserve"> at any grade, </w:t>
      </w:r>
      <w:r w:rsidR="00163F68" w:rsidRPr="005B10FF">
        <w:t>0.5% (n=2)</w:t>
      </w:r>
      <w:r w:rsidR="00163F68">
        <w:t xml:space="preserve"> </w:t>
      </w:r>
      <w:r w:rsidR="00163F68" w:rsidRPr="005B10FF">
        <w:t xml:space="preserve">of patients in T-DXd arm and </w:t>
      </w:r>
      <w:r w:rsidR="00D07A05">
        <w:t>0%</w:t>
      </w:r>
      <w:r w:rsidR="00163F68" w:rsidRPr="005B10FF">
        <w:t xml:space="preserve"> patients in the TPC arm experienced LV dysfunction</w:t>
      </w:r>
      <w:r w:rsidR="00163F68">
        <w:t xml:space="preserve"> at </w:t>
      </w:r>
      <w:r w:rsidR="00163F68" w:rsidRPr="00AF4568">
        <w:t>Grade ≥3</w:t>
      </w:r>
      <w:r w:rsidR="00163F68">
        <w:t>.</w:t>
      </w:r>
    </w:p>
    <w:p w14:paraId="5851B9EC" w14:textId="31EE0EFA" w:rsidR="00670187" w:rsidRPr="00AF4568" w:rsidRDefault="00670187" w:rsidP="00670187">
      <w:pPr>
        <w:pStyle w:val="Body"/>
      </w:pPr>
      <w:r w:rsidRPr="003C648C">
        <w:rPr>
          <w:b/>
        </w:rPr>
        <w:fldChar w:fldCharType="begin"/>
      </w:r>
      <w:r w:rsidRPr="003C648C">
        <w:rPr>
          <w:b/>
        </w:rPr>
        <w:instrText xml:space="preserve"> REF _Ref96105137 \h  \* MERGEFORMAT </w:instrText>
      </w:r>
      <w:r w:rsidRPr="003C648C">
        <w:rPr>
          <w:b/>
        </w:rPr>
      </w:r>
      <w:r w:rsidRPr="003C648C">
        <w:rPr>
          <w:b/>
        </w:rPr>
        <w:fldChar w:fldCharType="separate"/>
      </w:r>
      <w:r w:rsidR="00145F42" w:rsidRPr="00145F42">
        <w:rPr>
          <w:b/>
        </w:rPr>
        <w:t>Table 41</w:t>
      </w:r>
      <w:r w:rsidRPr="003C648C">
        <w:rPr>
          <w:b/>
        </w:rPr>
        <w:fldChar w:fldCharType="end"/>
      </w:r>
      <w:r w:rsidRPr="003C648C">
        <w:rPr>
          <w:b/>
        </w:rPr>
        <w:t xml:space="preserve"> </w:t>
      </w:r>
      <w:r w:rsidRPr="00AF4568">
        <w:t>presents the AEs from DESTINY-Breast0</w:t>
      </w:r>
      <w:r w:rsidRPr="005D58CB">
        <w:t>4</w:t>
      </w:r>
      <w:r w:rsidRPr="00AF4568">
        <w:t xml:space="preserve"> included within the economic model. </w:t>
      </w:r>
    </w:p>
    <w:p w14:paraId="52568958" w14:textId="776785FF" w:rsidR="00670187" w:rsidRPr="00AF4568" w:rsidRDefault="00670187" w:rsidP="00670187">
      <w:pPr>
        <w:pStyle w:val="Caption"/>
      </w:pPr>
      <w:bookmarkStart w:id="545" w:name="_Ref96105137"/>
      <w:bookmarkStart w:id="546" w:name="_Toc98924751"/>
      <w:bookmarkStart w:id="547" w:name="_Toc127006671"/>
      <w:bookmarkStart w:id="548" w:name="_Toc129351016"/>
      <w:r w:rsidRPr="00AF4568">
        <w:lastRenderedPageBreak/>
        <w:t xml:space="preserve">Table </w:t>
      </w:r>
      <w:r w:rsidRPr="00AF4568">
        <w:fldChar w:fldCharType="begin"/>
      </w:r>
      <w:r w:rsidRPr="00AF4568">
        <w:instrText>SEQ Table \* ARABIC</w:instrText>
      </w:r>
      <w:r w:rsidRPr="00AF4568">
        <w:fldChar w:fldCharType="separate"/>
      </w:r>
      <w:r w:rsidR="00145F42">
        <w:rPr>
          <w:noProof/>
        </w:rPr>
        <w:t>41</w:t>
      </w:r>
      <w:r w:rsidRPr="00AF4568">
        <w:fldChar w:fldCharType="end"/>
      </w:r>
      <w:bookmarkEnd w:id="545"/>
      <w:r w:rsidRPr="00AF4568">
        <w:t>: Adverse event incidence included in the economic model</w:t>
      </w:r>
      <w:bookmarkEnd w:id="546"/>
      <w:bookmarkEnd w:id="547"/>
      <w:bookmarkEnd w:id="548"/>
    </w:p>
    <w:tbl>
      <w:tblPr>
        <w:tblStyle w:val="TableGrid"/>
        <w:tblW w:w="5000" w:type="pct"/>
        <w:tblLook w:val="04A0" w:firstRow="1" w:lastRow="0" w:firstColumn="1" w:lastColumn="0" w:noHBand="0" w:noVBand="1"/>
      </w:tblPr>
      <w:tblGrid>
        <w:gridCol w:w="4675"/>
        <w:gridCol w:w="2171"/>
        <w:gridCol w:w="2171"/>
      </w:tblGrid>
      <w:tr w:rsidR="00670187" w:rsidRPr="00AF4568" w14:paraId="19FA4DEA" w14:textId="77777777">
        <w:tc>
          <w:tcPr>
            <w:tcW w:w="2592" w:type="pct"/>
            <w:shd w:val="clear" w:color="auto" w:fill="D9D9D9" w:themeFill="background1" w:themeFillShade="D9"/>
            <w:vAlign w:val="center"/>
          </w:tcPr>
          <w:p w14:paraId="5CDFE369" w14:textId="77777777" w:rsidR="00670187" w:rsidRPr="00AF4568" w:rsidRDefault="00670187">
            <w:pPr>
              <w:pStyle w:val="NICETableHeader"/>
            </w:pPr>
            <w:r w:rsidRPr="00AF4568">
              <w:t>Adverse event, n (%)</w:t>
            </w:r>
          </w:p>
        </w:tc>
        <w:tc>
          <w:tcPr>
            <w:tcW w:w="1204" w:type="pct"/>
            <w:shd w:val="clear" w:color="auto" w:fill="D9D9D9" w:themeFill="background1" w:themeFillShade="D9"/>
          </w:tcPr>
          <w:p w14:paraId="1424294F" w14:textId="77777777" w:rsidR="00670187" w:rsidRPr="005D58CB" w:rsidRDefault="00670187">
            <w:pPr>
              <w:pStyle w:val="NICETableHeader"/>
              <w:jc w:val="center"/>
            </w:pPr>
            <w:r w:rsidRPr="005D58CB">
              <w:t>T-DXd</w:t>
            </w:r>
          </w:p>
          <w:p w14:paraId="4A518055" w14:textId="77777777" w:rsidR="00670187" w:rsidRPr="005D58CB" w:rsidRDefault="00670187">
            <w:pPr>
              <w:pStyle w:val="NICETableHeader"/>
              <w:jc w:val="center"/>
            </w:pPr>
            <w:r w:rsidRPr="005D58CB">
              <w:t>(n=371)</w:t>
            </w:r>
          </w:p>
        </w:tc>
        <w:tc>
          <w:tcPr>
            <w:tcW w:w="1204" w:type="pct"/>
            <w:shd w:val="clear" w:color="auto" w:fill="D9D9D9" w:themeFill="background1" w:themeFillShade="D9"/>
          </w:tcPr>
          <w:p w14:paraId="33B52568" w14:textId="77777777" w:rsidR="00670187" w:rsidRPr="005D58CB" w:rsidRDefault="00670187">
            <w:pPr>
              <w:pStyle w:val="NICETableHeader"/>
              <w:jc w:val="center"/>
            </w:pPr>
            <w:r w:rsidRPr="005D58CB">
              <w:t>TPC</w:t>
            </w:r>
          </w:p>
          <w:p w14:paraId="4768C92B" w14:textId="77777777" w:rsidR="00670187" w:rsidRPr="005D58CB" w:rsidRDefault="00670187">
            <w:pPr>
              <w:pStyle w:val="NICETableHeader"/>
              <w:jc w:val="center"/>
            </w:pPr>
            <w:r w:rsidRPr="005D58CB">
              <w:t>(n=172)</w:t>
            </w:r>
          </w:p>
        </w:tc>
      </w:tr>
      <w:tr w:rsidR="00670187" w:rsidRPr="00AF4568" w14:paraId="0472DE7E" w14:textId="77777777">
        <w:tc>
          <w:tcPr>
            <w:tcW w:w="2592" w:type="pct"/>
            <w:vAlign w:val="bottom"/>
          </w:tcPr>
          <w:p w14:paraId="328BD4F0" w14:textId="77777777" w:rsidR="00670187" w:rsidRPr="005D58CB" w:rsidRDefault="00670187">
            <w:pPr>
              <w:pStyle w:val="NICETabletext"/>
              <w:rPr>
                <w:rFonts w:cs="Arial"/>
                <w:szCs w:val="20"/>
              </w:rPr>
            </w:pPr>
            <w:r w:rsidRPr="005D58CB">
              <w:rPr>
                <w:rFonts w:cs="Arial"/>
                <w:szCs w:val="20"/>
              </w:rPr>
              <w:t>Interstitial lung disease*</w:t>
            </w:r>
          </w:p>
        </w:tc>
        <w:tc>
          <w:tcPr>
            <w:tcW w:w="1204" w:type="pct"/>
            <w:vAlign w:val="center"/>
          </w:tcPr>
          <w:p w14:paraId="3974C73E" w14:textId="71EDF9A5" w:rsidR="00670187" w:rsidRPr="00294FDC" w:rsidRDefault="00294FDC">
            <w:pPr>
              <w:pStyle w:val="NICETabletext"/>
              <w:jc w:val="center"/>
              <w:rPr>
                <w:color w:val="000000"/>
                <w:highlight w:val="black"/>
              </w:rPr>
            </w:pPr>
            <w:r w:rsidRPr="00294FDC">
              <w:rPr>
                <w:color w:val="000000"/>
                <w:highlight w:val="black"/>
              </w:rPr>
              <w:t>xxxxxx</w:t>
            </w:r>
          </w:p>
        </w:tc>
        <w:tc>
          <w:tcPr>
            <w:tcW w:w="1204" w:type="pct"/>
            <w:vAlign w:val="center"/>
          </w:tcPr>
          <w:p w14:paraId="500C5703" w14:textId="7BA9206D" w:rsidR="00670187" w:rsidRPr="00294FDC" w:rsidRDefault="00294FDC">
            <w:pPr>
              <w:pStyle w:val="NICETabletext"/>
              <w:jc w:val="center"/>
              <w:rPr>
                <w:color w:val="000000"/>
                <w:highlight w:val="black"/>
              </w:rPr>
            </w:pPr>
            <w:r w:rsidRPr="00294FDC">
              <w:rPr>
                <w:color w:val="000000"/>
                <w:highlight w:val="black"/>
              </w:rPr>
              <w:t>xxxxx</w:t>
            </w:r>
          </w:p>
        </w:tc>
      </w:tr>
      <w:tr w:rsidR="00670187" w:rsidRPr="00AF4568" w14:paraId="7F0A6981" w14:textId="77777777">
        <w:tc>
          <w:tcPr>
            <w:tcW w:w="2592" w:type="pct"/>
            <w:vAlign w:val="bottom"/>
          </w:tcPr>
          <w:p w14:paraId="45CE376E" w14:textId="77777777" w:rsidR="00670187" w:rsidRPr="005D58CB" w:rsidRDefault="00670187">
            <w:pPr>
              <w:pStyle w:val="NICETabletext"/>
              <w:rPr>
                <w:rFonts w:cs="Arial"/>
                <w:szCs w:val="20"/>
              </w:rPr>
            </w:pPr>
            <w:r w:rsidRPr="005D58CB">
              <w:rPr>
                <w:rFonts w:cs="Arial"/>
                <w:szCs w:val="20"/>
              </w:rPr>
              <w:t>Anaemia</w:t>
            </w:r>
          </w:p>
        </w:tc>
        <w:tc>
          <w:tcPr>
            <w:tcW w:w="1204" w:type="pct"/>
            <w:vAlign w:val="center"/>
          </w:tcPr>
          <w:p w14:paraId="13313E85" w14:textId="2296B9E9" w:rsidR="00670187" w:rsidRPr="00294FDC" w:rsidRDefault="00294FDC">
            <w:pPr>
              <w:pStyle w:val="NICETabletext"/>
              <w:jc w:val="center"/>
              <w:rPr>
                <w:color w:val="000000"/>
                <w:highlight w:val="black"/>
              </w:rPr>
            </w:pPr>
            <w:r w:rsidRPr="00294FDC">
              <w:rPr>
                <w:color w:val="000000"/>
                <w:highlight w:val="black"/>
              </w:rPr>
              <w:t>xxxxxx</w:t>
            </w:r>
          </w:p>
        </w:tc>
        <w:tc>
          <w:tcPr>
            <w:tcW w:w="1204" w:type="pct"/>
            <w:vAlign w:val="center"/>
          </w:tcPr>
          <w:p w14:paraId="633839B3" w14:textId="058F9D7A" w:rsidR="00670187" w:rsidRPr="00294FDC" w:rsidRDefault="00294FDC">
            <w:pPr>
              <w:pStyle w:val="NICETabletext"/>
              <w:jc w:val="center"/>
              <w:rPr>
                <w:color w:val="000000"/>
                <w:highlight w:val="black"/>
              </w:rPr>
            </w:pPr>
            <w:r w:rsidRPr="00294FDC">
              <w:rPr>
                <w:color w:val="000000"/>
                <w:highlight w:val="black"/>
              </w:rPr>
              <w:t>xxxxx</w:t>
            </w:r>
          </w:p>
        </w:tc>
      </w:tr>
      <w:tr w:rsidR="00670187" w:rsidRPr="00AF4568" w14:paraId="24045694" w14:textId="77777777">
        <w:tc>
          <w:tcPr>
            <w:tcW w:w="2592" w:type="pct"/>
            <w:vAlign w:val="bottom"/>
          </w:tcPr>
          <w:p w14:paraId="4D7E8621" w14:textId="77777777" w:rsidR="00670187" w:rsidRPr="005D58CB" w:rsidRDefault="00670187">
            <w:pPr>
              <w:pStyle w:val="NICETabletext"/>
              <w:rPr>
                <w:rFonts w:cs="Arial"/>
                <w:szCs w:val="20"/>
              </w:rPr>
            </w:pPr>
            <w:r w:rsidRPr="005D58CB">
              <w:rPr>
                <w:rFonts w:cs="Arial"/>
                <w:szCs w:val="20"/>
              </w:rPr>
              <w:t>Neutrophil count decreased</w:t>
            </w:r>
          </w:p>
        </w:tc>
        <w:tc>
          <w:tcPr>
            <w:tcW w:w="1204" w:type="pct"/>
            <w:vAlign w:val="center"/>
          </w:tcPr>
          <w:p w14:paraId="09EC7B08" w14:textId="167F361A" w:rsidR="00670187" w:rsidRPr="00294FDC" w:rsidRDefault="00294FDC">
            <w:pPr>
              <w:pStyle w:val="NICETabletext"/>
              <w:jc w:val="center"/>
              <w:rPr>
                <w:color w:val="000000"/>
                <w:highlight w:val="black"/>
              </w:rPr>
            </w:pPr>
            <w:r w:rsidRPr="00294FDC">
              <w:rPr>
                <w:color w:val="000000"/>
                <w:highlight w:val="black"/>
              </w:rPr>
              <w:t>xxxxx</w:t>
            </w:r>
          </w:p>
        </w:tc>
        <w:tc>
          <w:tcPr>
            <w:tcW w:w="1204" w:type="pct"/>
            <w:vAlign w:val="center"/>
          </w:tcPr>
          <w:p w14:paraId="5038899E" w14:textId="48F0A617" w:rsidR="00670187" w:rsidRPr="00294FDC" w:rsidRDefault="00294FDC">
            <w:pPr>
              <w:pStyle w:val="NICETabletext"/>
              <w:jc w:val="center"/>
              <w:rPr>
                <w:color w:val="000000"/>
                <w:highlight w:val="black"/>
              </w:rPr>
            </w:pPr>
            <w:r w:rsidRPr="00294FDC">
              <w:rPr>
                <w:color w:val="000000"/>
                <w:highlight w:val="black"/>
              </w:rPr>
              <w:t>xxxxxx</w:t>
            </w:r>
          </w:p>
        </w:tc>
      </w:tr>
      <w:tr w:rsidR="00670187" w:rsidRPr="00AF4568" w14:paraId="3357306C" w14:textId="77777777">
        <w:tc>
          <w:tcPr>
            <w:tcW w:w="2592" w:type="pct"/>
            <w:vAlign w:val="bottom"/>
          </w:tcPr>
          <w:p w14:paraId="557A3FFC" w14:textId="77777777" w:rsidR="00670187" w:rsidRPr="005D58CB" w:rsidRDefault="00670187">
            <w:pPr>
              <w:pStyle w:val="NICETabletext"/>
              <w:rPr>
                <w:rFonts w:cs="Arial"/>
                <w:szCs w:val="20"/>
              </w:rPr>
            </w:pPr>
            <w:r w:rsidRPr="005D58CB">
              <w:rPr>
                <w:rFonts w:cs="Arial"/>
                <w:szCs w:val="20"/>
              </w:rPr>
              <w:t>White blood cell count decreased</w:t>
            </w:r>
          </w:p>
        </w:tc>
        <w:tc>
          <w:tcPr>
            <w:tcW w:w="1204" w:type="pct"/>
            <w:vAlign w:val="center"/>
          </w:tcPr>
          <w:p w14:paraId="4DF586AE" w14:textId="26B0EBDA" w:rsidR="00670187" w:rsidRPr="00294FDC" w:rsidRDefault="00294FDC">
            <w:pPr>
              <w:pStyle w:val="NICETabletext"/>
              <w:jc w:val="center"/>
              <w:rPr>
                <w:color w:val="000000"/>
                <w:highlight w:val="black"/>
              </w:rPr>
            </w:pPr>
            <w:r w:rsidRPr="00294FDC">
              <w:rPr>
                <w:color w:val="000000"/>
                <w:highlight w:val="black"/>
              </w:rPr>
              <w:t>xxxxx</w:t>
            </w:r>
          </w:p>
        </w:tc>
        <w:tc>
          <w:tcPr>
            <w:tcW w:w="1204" w:type="pct"/>
            <w:vAlign w:val="center"/>
          </w:tcPr>
          <w:p w14:paraId="5F3C9CC6" w14:textId="0E2A910D" w:rsidR="00670187" w:rsidRPr="00294FDC" w:rsidRDefault="00294FDC">
            <w:pPr>
              <w:pStyle w:val="NICETabletext"/>
              <w:jc w:val="center"/>
              <w:rPr>
                <w:color w:val="000000"/>
                <w:highlight w:val="black"/>
              </w:rPr>
            </w:pPr>
            <w:r w:rsidRPr="00294FDC">
              <w:rPr>
                <w:color w:val="000000"/>
                <w:highlight w:val="black"/>
              </w:rPr>
              <w:t>xxxxxx</w:t>
            </w:r>
          </w:p>
        </w:tc>
      </w:tr>
      <w:tr w:rsidR="00670187" w:rsidRPr="00AF4568" w14:paraId="3B5B0EE3" w14:textId="77777777">
        <w:tc>
          <w:tcPr>
            <w:tcW w:w="2592" w:type="pct"/>
            <w:vAlign w:val="bottom"/>
          </w:tcPr>
          <w:p w14:paraId="32E96691" w14:textId="77777777" w:rsidR="00670187" w:rsidRPr="005D58CB" w:rsidRDefault="00670187">
            <w:pPr>
              <w:pStyle w:val="NICETabletext"/>
              <w:rPr>
                <w:rFonts w:cs="Arial"/>
                <w:szCs w:val="20"/>
              </w:rPr>
            </w:pPr>
            <w:r w:rsidRPr="005D58CB">
              <w:rPr>
                <w:rFonts w:cs="Arial"/>
                <w:szCs w:val="20"/>
              </w:rPr>
              <w:t>Platelet count decreased</w:t>
            </w:r>
          </w:p>
        </w:tc>
        <w:tc>
          <w:tcPr>
            <w:tcW w:w="1204" w:type="pct"/>
            <w:vAlign w:val="center"/>
          </w:tcPr>
          <w:p w14:paraId="3F109F85" w14:textId="57B19B21" w:rsidR="00670187" w:rsidRPr="00294FDC" w:rsidRDefault="00294FDC">
            <w:pPr>
              <w:pStyle w:val="NICETabletext"/>
              <w:jc w:val="center"/>
              <w:rPr>
                <w:color w:val="000000"/>
                <w:highlight w:val="black"/>
              </w:rPr>
            </w:pPr>
            <w:r w:rsidRPr="00294FDC">
              <w:rPr>
                <w:color w:val="000000"/>
                <w:highlight w:val="black"/>
              </w:rPr>
              <w:t>xxxxx</w:t>
            </w:r>
          </w:p>
        </w:tc>
        <w:tc>
          <w:tcPr>
            <w:tcW w:w="1204" w:type="pct"/>
            <w:vAlign w:val="center"/>
          </w:tcPr>
          <w:p w14:paraId="7BC478CB" w14:textId="3533B6D7" w:rsidR="00670187" w:rsidRPr="00294FDC" w:rsidRDefault="00294FDC">
            <w:pPr>
              <w:pStyle w:val="NICETabletext"/>
              <w:jc w:val="center"/>
              <w:rPr>
                <w:color w:val="000000"/>
                <w:highlight w:val="black"/>
              </w:rPr>
            </w:pPr>
            <w:r w:rsidRPr="00294FDC">
              <w:rPr>
                <w:color w:val="000000"/>
                <w:highlight w:val="black"/>
              </w:rPr>
              <w:t>xxxxx</w:t>
            </w:r>
          </w:p>
        </w:tc>
      </w:tr>
      <w:tr w:rsidR="00670187" w:rsidRPr="00AF4568" w14:paraId="3F207129" w14:textId="77777777">
        <w:tc>
          <w:tcPr>
            <w:tcW w:w="2592" w:type="pct"/>
            <w:vAlign w:val="bottom"/>
          </w:tcPr>
          <w:p w14:paraId="2F570025" w14:textId="77777777" w:rsidR="00670187" w:rsidRPr="005D58CB" w:rsidRDefault="00670187">
            <w:pPr>
              <w:pStyle w:val="NICETabletext"/>
              <w:rPr>
                <w:rFonts w:cs="Arial"/>
                <w:szCs w:val="20"/>
              </w:rPr>
            </w:pPr>
            <w:r w:rsidRPr="005D58CB">
              <w:rPr>
                <w:rFonts w:cs="Arial"/>
                <w:szCs w:val="20"/>
              </w:rPr>
              <w:t>Fatigue</w:t>
            </w:r>
          </w:p>
        </w:tc>
        <w:tc>
          <w:tcPr>
            <w:tcW w:w="1204" w:type="pct"/>
            <w:vAlign w:val="center"/>
          </w:tcPr>
          <w:p w14:paraId="37AD5193" w14:textId="68FF9DB8" w:rsidR="00670187" w:rsidRPr="00294FDC" w:rsidRDefault="00294FDC">
            <w:pPr>
              <w:pStyle w:val="NICETabletext"/>
              <w:jc w:val="center"/>
              <w:rPr>
                <w:color w:val="000000"/>
                <w:highlight w:val="black"/>
              </w:rPr>
            </w:pPr>
            <w:r w:rsidRPr="00294FDC">
              <w:rPr>
                <w:color w:val="000000"/>
                <w:highlight w:val="black"/>
              </w:rPr>
              <w:t>xxxxx</w:t>
            </w:r>
          </w:p>
        </w:tc>
        <w:tc>
          <w:tcPr>
            <w:tcW w:w="1204" w:type="pct"/>
            <w:vAlign w:val="center"/>
          </w:tcPr>
          <w:p w14:paraId="0F1F4ED8" w14:textId="49058C5C" w:rsidR="00670187" w:rsidRPr="00294FDC" w:rsidRDefault="00294FDC">
            <w:pPr>
              <w:pStyle w:val="NICETabletext"/>
              <w:jc w:val="center"/>
              <w:rPr>
                <w:color w:val="000000"/>
                <w:highlight w:val="black"/>
              </w:rPr>
            </w:pPr>
            <w:r w:rsidRPr="00294FDC">
              <w:rPr>
                <w:color w:val="000000"/>
                <w:highlight w:val="black"/>
              </w:rPr>
              <w:t>xxxxx</w:t>
            </w:r>
          </w:p>
        </w:tc>
      </w:tr>
      <w:tr w:rsidR="00670187" w:rsidRPr="00AF4568" w14:paraId="0A2303A9" w14:textId="77777777">
        <w:tc>
          <w:tcPr>
            <w:tcW w:w="2592" w:type="pct"/>
            <w:vAlign w:val="bottom"/>
          </w:tcPr>
          <w:p w14:paraId="5AA210AD" w14:textId="77777777" w:rsidR="00670187" w:rsidRPr="005D58CB" w:rsidRDefault="00670187">
            <w:pPr>
              <w:pStyle w:val="NICETabletext"/>
              <w:rPr>
                <w:rFonts w:cs="Arial"/>
                <w:szCs w:val="20"/>
                <w:highlight w:val="green"/>
              </w:rPr>
            </w:pPr>
            <w:r w:rsidRPr="005D58CB">
              <w:rPr>
                <w:rFonts w:cs="Arial"/>
                <w:szCs w:val="20"/>
              </w:rPr>
              <w:t>Increased ALT</w:t>
            </w:r>
          </w:p>
        </w:tc>
        <w:tc>
          <w:tcPr>
            <w:tcW w:w="1204" w:type="pct"/>
            <w:vAlign w:val="center"/>
          </w:tcPr>
          <w:p w14:paraId="1666B470" w14:textId="493A042F" w:rsidR="00670187" w:rsidRPr="00294FDC" w:rsidRDefault="00294FDC">
            <w:pPr>
              <w:pStyle w:val="NICETabletext"/>
              <w:jc w:val="center"/>
              <w:rPr>
                <w:color w:val="000000"/>
                <w:highlight w:val="black"/>
              </w:rPr>
            </w:pPr>
            <w:r w:rsidRPr="00294FDC">
              <w:rPr>
                <w:color w:val="000000"/>
                <w:highlight w:val="black"/>
              </w:rPr>
              <w:t>xxxxx</w:t>
            </w:r>
          </w:p>
        </w:tc>
        <w:tc>
          <w:tcPr>
            <w:tcW w:w="1204" w:type="pct"/>
            <w:vAlign w:val="center"/>
          </w:tcPr>
          <w:p w14:paraId="7D24DC43" w14:textId="366C478A" w:rsidR="00670187" w:rsidRPr="00294FDC" w:rsidRDefault="00294FDC">
            <w:pPr>
              <w:pStyle w:val="NICETabletext"/>
              <w:jc w:val="center"/>
              <w:rPr>
                <w:color w:val="000000"/>
                <w:highlight w:val="black"/>
              </w:rPr>
            </w:pPr>
            <w:r w:rsidRPr="00294FDC">
              <w:rPr>
                <w:color w:val="000000"/>
                <w:highlight w:val="black"/>
              </w:rPr>
              <w:t>xxxxx</w:t>
            </w:r>
          </w:p>
        </w:tc>
      </w:tr>
    </w:tbl>
    <w:p w14:paraId="7C500DAF" w14:textId="589A4903" w:rsidR="00670187" w:rsidRDefault="00670187" w:rsidP="00670187">
      <w:pPr>
        <w:pStyle w:val="Footnotes"/>
        <w:spacing w:after="0"/>
      </w:pPr>
      <w:r w:rsidRPr="00AF4568">
        <w:t>*Interstitial lung disease was included, regardless of severity.</w:t>
      </w:r>
      <w:r w:rsidRPr="002E5B78">
        <w:t xml:space="preserve"> Interstitial lung disease includes events that were adjudicated as </w:t>
      </w:r>
      <w:r>
        <w:t>i</w:t>
      </w:r>
      <w:r w:rsidRPr="002E5B78">
        <w:t xml:space="preserve">nterstitial lung disease and </w:t>
      </w:r>
      <w:r w:rsidR="00894170">
        <w:t>assessed to be</w:t>
      </w:r>
      <w:r w:rsidRPr="002E5B78">
        <w:t xml:space="preserve"> related to </w:t>
      </w:r>
      <w:r w:rsidR="00894170">
        <w:t xml:space="preserve">the </w:t>
      </w:r>
      <w:r w:rsidRPr="002E5B78">
        <w:t xml:space="preserve">use of T-DXd or TPC. </w:t>
      </w:r>
    </w:p>
    <w:p w14:paraId="2629E19F" w14:textId="77777777" w:rsidR="00670187" w:rsidRPr="005D58CB" w:rsidRDefault="00670187" w:rsidP="00670187">
      <w:pPr>
        <w:pStyle w:val="Footnotes"/>
        <w:spacing w:after="0"/>
      </w:pPr>
      <w:r w:rsidRPr="00AF4568">
        <w:t xml:space="preserve">Abbreviations: </w:t>
      </w:r>
      <w:r>
        <w:t>ALT, a</w:t>
      </w:r>
      <w:r w:rsidRPr="004410C7">
        <w:t>lanine transaminase</w:t>
      </w:r>
      <w:r>
        <w:t xml:space="preserve">; </w:t>
      </w:r>
      <w:r w:rsidRPr="00AF4568">
        <w:t>T-DXd, trastuzumab deruxtecan</w:t>
      </w:r>
      <w:r w:rsidRPr="005D58CB">
        <w:t>; TPC, treatment of physician’s choice.</w:t>
      </w:r>
    </w:p>
    <w:p w14:paraId="2FC14BBB" w14:textId="1EEB4788" w:rsidR="00670187" w:rsidRPr="00AF4568" w:rsidRDefault="00670187" w:rsidP="00670187">
      <w:pPr>
        <w:pStyle w:val="Body"/>
      </w:pPr>
      <w:r w:rsidRPr="005D58CB">
        <w:rPr>
          <w:sz w:val="18"/>
          <w:szCs w:val="18"/>
        </w:rPr>
        <w:t>Source: Daiichi Sankyo Inc., 2022 (CSR, Data on File)</w:t>
      </w:r>
      <w:r w:rsidRPr="005D58CB">
        <w:rPr>
          <w:sz w:val="18"/>
          <w:szCs w:val="18"/>
        </w:rPr>
        <w:fldChar w:fldCharType="begin"/>
      </w:r>
      <w:r w:rsidR="00CA6345">
        <w:rPr>
          <w:sz w:val="18"/>
          <w:szCs w:val="18"/>
        </w:rPr>
        <w:instrText xml:space="preserve"> ADDIN ZOTERO_ITEM CSL_CITATION {"citationID":"mXMupjpg","properties":{"formattedCitation":"\\super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5D58CB">
        <w:rPr>
          <w:sz w:val="18"/>
          <w:szCs w:val="18"/>
        </w:rPr>
        <w:fldChar w:fldCharType="separate"/>
      </w:r>
      <w:r w:rsidR="00FD57F4" w:rsidRPr="00FD57F4">
        <w:rPr>
          <w:rFonts w:cs="Arial"/>
          <w:sz w:val="18"/>
          <w:szCs w:val="24"/>
          <w:vertAlign w:val="superscript"/>
        </w:rPr>
        <w:t>7</w:t>
      </w:r>
      <w:r w:rsidRPr="005D58CB">
        <w:rPr>
          <w:sz w:val="18"/>
          <w:szCs w:val="18"/>
        </w:rPr>
        <w:fldChar w:fldCharType="end"/>
      </w:r>
    </w:p>
    <w:bookmarkStart w:id="549" w:name="_Toc124508302"/>
    <w:bookmarkStart w:id="550" w:name="_Toc121247339"/>
    <w:bookmarkStart w:id="551" w:name="_Toc121247480"/>
    <w:bookmarkStart w:id="552" w:name="_Toc124508303"/>
    <w:bookmarkStart w:id="553" w:name="_Toc121247340"/>
    <w:bookmarkStart w:id="554" w:name="_Toc121247481"/>
    <w:bookmarkStart w:id="555" w:name="_Toc124508304"/>
    <w:bookmarkStart w:id="556" w:name="_Ref97040618"/>
    <w:bookmarkStart w:id="557" w:name="_Toc98924752"/>
    <w:bookmarkEnd w:id="549"/>
    <w:bookmarkEnd w:id="550"/>
    <w:bookmarkEnd w:id="551"/>
    <w:bookmarkEnd w:id="552"/>
    <w:bookmarkEnd w:id="553"/>
    <w:bookmarkEnd w:id="554"/>
    <w:bookmarkEnd w:id="555"/>
    <w:p w14:paraId="25831CE7" w14:textId="77777777" w:rsidR="00670187" w:rsidRPr="00AF4568" w:rsidRDefault="00670187" w:rsidP="00670187">
      <w:pPr>
        <w:pStyle w:val="Heading3"/>
      </w:pPr>
      <w:r w:rsidRPr="00AF4568">
        <w:rPr>
          <w:iCs/>
          <w:szCs w:val="18"/>
        </w:rPr>
        <w:fldChar w:fldCharType="begin"/>
      </w:r>
      <w:r w:rsidRPr="00AF4568">
        <w:rPr>
          <w:iCs/>
          <w:szCs w:val="18"/>
        </w:rPr>
        <w:fldChar w:fldCharType="separate"/>
      </w:r>
      <w:r w:rsidRPr="00AF4568">
        <w:rPr>
          <w:iCs/>
          <w:szCs w:val="18"/>
        </w:rPr>
        <w:fldChar w:fldCharType="end"/>
      </w:r>
      <w:bookmarkStart w:id="558" w:name="_Toc121247341"/>
      <w:bookmarkStart w:id="559" w:name="_Toc121247482"/>
      <w:bookmarkStart w:id="560" w:name="_Toc124508305"/>
      <w:bookmarkStart w:id="561" w:name="_Toc121247342"/>
      <w:bookmarkStart w:id="562" w:name="_Toc121247483"/>
      <w:bookmarkStart w:id="563" w:name="_Toc124508306"/>
      <w:bookmarkStart w:id="564" w:name="_Toc98924729"/>
      <w:bookmarkEnd w:id="556"/>
      <w:bookmarkEnd w:id="557"/>
      <w:bookmarkEnd w:id="558"/>
      <w:bookmarkEnd w:id="559"/>
      <w:bookmarkEnd w:id="560"/>
      <w:bookmarkEnd w:id="561"/>
      <w:bookmarkEnd w:id="562"/>
      <w:bookmarkEnd w:id="563"/>
      <w:r w:rsidRPr="00AF4568">
        <w:rPr>
          <w:iCs/>
          <w:szCs w:val="18"/>
        </w:rPr>
        <w:fldChar w:fldCharType="begin"/>
      </w:r>
      <w:r w:rsidRPr="00AF4568">
        <w:rPr>
          <w:iCs/>
          <w:szCs w:val="18"/>
        </w:rPr>
        <w:fldChar w:fldCharType="separate"/>
      </w:r>
      <w:r w:rsidRPr="00AF4568">
        <w:rPr>
          <w:iCs/>
          <w:szCs w:val="18"/>
        </w:rPr>
        <w:fldChar w:fldCharType="end"/>
      </w:r>
      <w:bookmarkStart w:id="565" w:name="_Toc121247343"/>
      <w:bookmarkStart w:id="566" w:name="_Toc121247484"/>
      <w:bookmarkStart w:id="567" w:name="_Toc124508307"/>
      <w:bookmarkStart w:id="568" w:name="_Toc121247344"/>
      <w:bookmarkStart w:id="569" w:name="_Toc121247485"/>
      <w:bookmarkStart w:id="570" w:name="_Toc124508308"/>
      <w:bookmarkStart w:id="571" w:name="_Toc121247345"/>
      <w:bookmarkStart w:id="572" w:name="_Toc121247486"/>
      <w:bookmarkStart w:id="573" w:name="_Toc124508309"/>
      <w:bookmarkStart w:id="574" w:name="_Ref126856964"/>
      <w:bookmarkStart w:id="575" w:name="_Toc127006444"/>
      <w:bookmarkStart w:id="576" w:name="_Toc129350891"/>
      <w:bookmarkEnd w:id="564"/>
      <w:bookmarkEnd w:id="565"/>
      <w:bookmarkEnd w:id="566"/>
      <w:bookmarkEnd w:id="567"/>
      <w:bookmarkEnd w:id="568"/>
      <w:bookmarkEnd w:id="569"/>
      <w:bookmarkEnd w:id="570"/>
      <w:bookmarkEnd w:id="571"/>
      <w:bookmarkEnd w:id="572"/>
      <w:bookmarkEnd w:id="573"/>
      <w:r w:rsidRPr="00AF4568">
        <w:t>Efficacy summary</w:t>
      </w:r>
      <w:bookmarkEnd w:id="574"/>
      <w:bookmarkEnd w:id="575"/>
      <w:bookmarkEnd w:id="576"/>
    </w:p>
    <w:p w14:paraId="31F886D6" w14:textId="2AEEE55F" w:rsidR="00670187" w:rsidRDefault="00670187" w:rsidP="00670187">
      <w:pPr>
        <w:pStyle w:val="Body"/>
      </w:pPr>
      <w:r w:rsidRPr="00AF4568">
        <w:t xml:space="preserve">A summary of the main clinical parameters and variables applied in the economic model is provided in </w:t>
      </w:r>
      <w:r w:rsidRPr="003C648C">
        <w:rPr>
          <w:b/>
          <w:bCs/>
        </w:rPr>
        <w:fldChar w:fldCharType="begin"/>
      </w:r>
      <w:r w:rsidRPr="003C648C">
        <w:rPr>
          <w:b/>
          <w:bCs/>
        </w:rPr>
        <w:instrText xml:space="preserve"> REF _Ref123730324 \h </w:instrText>
      </w:r>
      <w:r w:rsidR="00BB06FD">
        <w:rPr>
          <w:b/>
          <w:bCs/>
        </w:rPr>
        <w:instrText xml:space="preserve"> \* MERGEFORMAT </w:instrText>
      </w:r>
      <w:r w:rsidRPr="003C648C">
        <w:rPr>
          <w:b/>
          <w:bCs/>
        </w:rPr>
      </w:r>
      <w:r w:rsidRPr="003C648C">
        <w:rPr>
          <w:b/>
          <w:bCs/>
        </w:rPr>
        <w:fldChar w:fldCharType="separate"/>
      </w:r>
      <w:r w:rsidR="00145F42" w:rsidRPr="00145F42">
        <w:rPr>
          <w:b/>
          <w:bCs/>
        </w:rPr>
        <w:t xml:space="preserve">Table </w:t>
      </w:r>
      <w:r w:rsidR="00145F42" w:rsidRPr="00145F42">
        <w:rPr>
          <w:b/>
          <w:bCs/>
          <w:noProof/>
        </w:rPr>
        <w:t>42</w:t>
      </w:r>
      <w:r w:rsidRPr="003C648C">
        <w:rPr>
          <w:b/>
          <w:bCs/>
        </w:rPr>
        <w:fldChar w:fldCharType="end"/>
      </w:r>
      <w:r>
        <w:t xml:space="preserve">. The base case survival models (OS, PFS and TTD) used to inform the cost-effectiveness model are provided in </w:t>
      </w:r>
      <w:r w:rsidRPr="003C648C">
        <w:rPr>
          <w:b/>
          <w:bCs/>
        </w:rPr>
        <w:fldChar w:fldCharType="begin"/>
      </w:r>
      <w:r w:rsidRPr="003C648C">
        <w:rPr>
          <w:b/>
          <w:bCs/>
        </w:rPr>
        <w:instrText xml:space="preserve"> REF _Ref126765672 \h </w:instrText>
      </w:r>
      <w:r w:rsidR="000F5021">
        <w:rPr>
          <w:b/>
          <w:bCs/>
        </w:rPr>
        <w:instrText xml:space="preserve"> \* MERGEFORMAT </w:instrText>
      </w:r>
      <w:r w:rsidRPr="003C648C">
        <w:rPr>
          <w:b/>
          <w:bCs/>
        </w:rPr>
      </w:r>
      <w:r w:rsidRPr="003C648C">
        <w:rPr>
          <w:b/>
          <w:bCs/>
        </w:rPr>
        <w:fldChar w:fldCharType="separate"/>
      </w:r>
      <w:r w:rsidR="00145F42" w:rsidRPr="00145F42">
        <w:rPr>
          <w:b/>
          <w:bCs/>
        </w:rPr>
        <w:t xml:space="preserve">Figure </w:t>
      </w:r>
      <w:r w:rsidR="00145F42" w:rsidRPr="00145F42">
        <w:rPr>
          <w:b/>
          <w:bCs/>
          <w:noProof/>
        </w:rPr>
        <w:t>43</w:t>
      </w:r>
      <w:r w:rsidRPr="003C648C">
        <w:rPr>
          <w:b/>
          <w:bCs/>
        </w:rPr>
        <w:fldChar w:fldCharType="end"/>
      </w:r>
      <w:r w:rsidRPr="003C648C">
        <w:rPr>
          <w:b/>
        </w:rPr>
        <w:t xml:space="preserve"> </w:t>
      </w:r>
      <w:r>
        <w:t xml:space="preserve">and </w:t>
      </w:r>
      <w:r w:rsidRPr="003C648C">
        <w:rPr>
          <w:b/>
          <w:bCs/>
        </w:rPr>
        <w:fldChar w:fldCharType="begin"/>
      </w:r>
      <w:r w:rsidRPr="003C648C">
        <w:rPr>
          <w:b/>
          <w:bCs/>
        </w:rPr>
        <w:instrText xml:space="preserve"> REF _Ref126765674 \h </w:instrText>
      </w:r>
      <w:r w:rsidR="000F5021">
        <w:rPr>
          <w:b/>
          <w:bCs/>
        </w:rPr>
        <w:instrText xml:space="preserve"> \* MERGEFORMAT </w:instrText>
      </w:r>
      <w:r w:rsidRPr="003C648C">
        <w:rPr>
          <w:b/>
          <w:bCs/>
        </w:rPr>
      </w:r>
      <w:r w:rsidRPr="003C648C">
        <w:rPr>
          <w:b/>
          <w:bCs/>
        </w:rPr>
        <w:fldChar w:fldCharType="separate"/>
      </w:r>
      <w:r w:rsidR="00145F42" w:rsidRPr="00145F42">
        <w:rPr>
          <w:b/>
          <w:bCs/>
        </w:rPr>
        <w:t xml:space="preserve">Figure </w:t>
      </w:r>
      <w:r w:rsidR="00145F42" w:rsidRPr="00145F42">
        <w:rPr>
          <w:b/>
          <w:bCs/>
          <w:noProof/>
        </w:rPr>
        <w:t>44</w:t>
      </w:r>
      <w:r w:rsidRPr="003C648C">
        <w:rPr>
          <w:b/>
          <w:bCs/>
        </w:rPr>
        <w:fldChar w:fldCharType="end"/>
      </w:r>
      <w:r>
        <w:t xml:space="preserve"> </w:t>
      </w:r>
      <w:r w:rsidRPr="005D58CB">
        <w:t>for T-DXd and TPC, respectively</w:t>
      </w:r>
      <w:r>
        <w:t>.</w:t>
      </w:r>
    </w:p>
    <w:p w14:paraId="26598D12" w14:textId="30D1E2D2" w:rsidR="00670187" w:rsidRDefault="00670187" w:rsidP="00670187">
      <w:pPr>
        <w:pStyle w:val="Caption"/>
      </w:pPr>
      <w:bookmarkStart w:id="577" w:name="_Ref123730324"/>
      <w:bookmarkStart w:id="578" w:name="_Toc127006672"/>
      <w:bookmarkStart w:id="579" w:name="_Toc129351017"/>
      <w:r>
        <w:t xml:space="preserve">Table </w:t>
      </w:r>
      <w:r>
        <w:fldChar w:fldCharType="begin"/>
      </w:r>
      <w:r>
        <w:instrText>SEQ Table \* ARABIC</w:instrText>
      </w:r>
      <w:r>
        <w:fldChar w:fldCharType="separate"/>
      </w:r>
      <w:r w:rsidR="00145F42">
        <w:rPr>
          <w:noProof/>
        </w:rPr>
        <w:t>42</w:t>
      </w:r>
      <w:r>
        <w:fldChar w:fldCharType="end"/>
      </w:r>
      <w:bookmarkEnd w:id="577"/>
      <w:r>
        <w:t>: Summary of clinical model parameters and variables used in economic model base case</w:t>
      </w:r>
      <w:bookmarkEnd w:id="578"/>
      <w:bookmarkEnd w:id="579"/>
    </w:p>
    <w:tbl>
      <w:tblPr>
        <w:tblStyle w:val="TableGridLight"/>
        <w:tblW w:w="0" w:type="auto"/>
        <w:tblLook w:val="04A0" w:firstRow="1" w:lastRow="0" w:firstColumn="1" w:lastColumn="0" w:noHBand="0" w:noVBand="1"/>
      </w:tblPr>
      <w:tblGrid>
        <w:gridCol w:w="1608"/>
        <w:gridCol w:w="3021"/>
        <w:gridCol w:w="3371"/>
        <w:gridCol w:w="1017"/>
      </w:tblGrid>
      <w:tr w:rsidR="00670187" w14:paraId="28A8EA93" w14:textId="77777777" w:rsidTr="00BD08F8">
        <w:trPr>
          <w:cnfStyle w:val="100000000000" w:firstRow="1" w:lastRow="0" w:firstColumn="0" w:lastColumn="0" w:oddVBand="0" w:evenVBand="0" w:oddHBand="0" w:evenHBand="0" w:firstRowFirstColumn="0" w:firstRowLastColumn="0" w:lastRowFirstColumn="0" w:lastRowLastColumn="0"/>
          <w:tblHeader/>
        </w:trPr>
        <w:tc>
          <w:tcPr>
            <w:tcW w:w="0" w:type="auto"/>
            <w:shd w:val="clear" w:color="auto" w:fill="F2F2F2" w:themeFill="background1" w:themeFillShade="F2"/>
          </w:tcPr>
          <w:p w14:paraId="5485B066" w14:textId="77777777" w:rsidR="00670187" w:rsidRPr="00F33058" w:rsidRDefault="00670187">
            <w:pPr>
              <w:pStyle w:val="NICETableHeader"/>
              <w:keepNext w:val="0"/>
              <w:rPr>
                <w:b/>
                <w:bCs/>
              </w:rPr>
            </w:pPr>
            <w:r w:rsidRPr="00F33058">
              <w:rPr>
                <w:b/>
                <w:bCs/>
              </w:rPr>
              <w:t>Parameter</w:t>
            </w:r>
          </w:p>
        </w:tc>
        <w:tc>
          <w:tcPr>
            <w:tcW w:w="0" w:type="auto"/>
            <w:shd w:val="clear" w:color="auto" w:fill="F2F2F2" w:themeFill="background1" w:themeFillShade="F2"/>
          </w:tcPr>
          <w:p w14:paraId="27CD1020" w14:textId="77777777" w:rsidR="00670187" w:rsidRPr="00F33058" w:rsidRDefault="00670187">
            <w:pPr>
              <w:pStyle w:val="NICETableHeader"/>
              <w:keepNext w:val="0"/>
              <w:jc w:val="center"/>
              <w:rPr>
                <w:b/>
                <w:bCs/>
              </w:rPr>
            </w:pPr>
            <w:r w:rsidRPr="00F33058">
              <w:rPr>
                <w:b/>
                <w:bCs/>
              </w:rPr>
              <w:t>Value</w:t>
            </w:r>
          </w:p>
        </w:tc>
        <w:tc>
          <w:tcPr>
            <w:tcW w:w="0" w:type="auto"/>
            <w:shd w:val="clear" w:color="auto" w:fill="F2F2F2" w:themeFill="background1" w:themeFillShade="F2"/>
          </w:tcPr>
          <w:p w14:paraId="00F051A7" w14:textId="77777777" w:rsidR="00670187" w:rsidRPr="00F33058" w:rsidRDefault="00670187">
            <w:pPr>
              <w:pStyle w:val="NICETableHeader"/>
              <w:keepNext w:val="0"/>
              <w:jc w:val="center"/>
              <w:rPr>
                <w:bCs/>
              </w:rPr>
            </w:pPr>
            <w:r w:rsidRPr="00F33058">
              <w:rPr>
                <w:b/>
                <w:bCs/>
              </w:rPr>
              <w:t>Rationale</w:t>
            </w:r>
          </w:p>
        </w:tc>
        <w:tc>
          <w:tcPr>
            <w:tcW w:w="0" w:type="auto"/>
            <w:shd w:val="clear" w:color="auto" w:fill="F2F2F2" w:themeFill="background1" w:themeFillShade="F2"/>
          </w:tcPr>
          <w:p w14:paraId="1E7925B9" w14:textId="77777777" w:rsidR="00670187" w:rsidRPr="00F33058" w:rsidRDefault="00670187">
            <w:pPr>
              <w:pStyle w:val="NICETableHeader"/>
              <w:keepNext w:val="0"/>
              <w:jc w:val="center"/>
              <w:rPr>
                <w:b/>
                <w:bCs/>
              </w:rPr>
            </w:pPr>
            <w:r>
              <w:rPr>
                <w:b/>
                <w:bCs/>
              </w:rPr>
              <w:t>Section</w:t>
            </w:r>
          </w:p>
        </w:tc>
      </w:tr>
      <w:tr w:rsidR="00670187" w14:paraId="63FF69E6" w14:textId="77777777">
        <w:tc>
          <w:tcPr>
            <w:tcW w:w="0" w:type="auto"/>
            <w:shd w:val="clear" w:color="auto" w:fill="F2F2F2" w:themeFill="background1" w:themeFillShade="F2"/>
          </w:tcPr>
          <w:p w14:paraId="733BC980" w14:textId="77777777" w:rsidR="00670187" w:rsidRPr="007709E3" w:rsidRDefault="00670187">
            <w:pPr>
              <w:pStyle w:val="NICETabletext"/>
              <w:keepNext w:val="0"/>
            </w:pPr>
            <w:r w:rsidRPr="007709E3">
              <w:t>Baseline characteristics</w:t>
            </w:r>
          </w:p>
        </w:tc>
        <w:tc>
          <w:tcPr>
            <w:tcW w:w="0" w:type="auto"/>
          </w:tcPr>
          <w:p w14:paraId="57AE2F9E" w14:textId="1FBCEE4D" w:rsidR="00670187" w:rsidRPr="007709E3" w:rsidRDefault="00670187">
            <w:pPr>
              <w:pStyle w:val="NICETabletext"/>
              <w:keepNext w:val="0"/>
              <w:jc w:val="center"/>
            </w:pPr>
            <w:r w:rsidRPr="007709E3">
              <w:t xml:space="preserve">As presented in </w:t>
            </w:r>
            <w:r w:rsidRPr="00243B7F">
              <w:fldChar w:fldCharType="begin"/>
            </w:r>
            <w:r w:rsidRPr="00243B7F">
              <w:instrText xml:space="preserve"> REF _Ref96104090 \h  \* MERGEFORMAT </w:instrText>
            </w:r>
            <w:r w:rsidRPr="00243B7F">
              <w:fldChar w:fldCharType="separate"/>
            </w:r>
            <w:r w:rsidR="00145F42">
              <w:t>Table 34</w:t>
            </w:r>
            <w:r w:rsidRPr="00243B7F">
              <w:fldChar w:fldCharType="end"/>
            </w:r>
            <w:r w:rsidRPr="00243B7F">
              <w:t xml:space="preserve"> informed</w:t>
            </w:r>
            <w:r w:rsidRPr="007709E3">
              <w:t xml:space="preserve"> by DB0</w:t>
            </w:r>
            <w:r w:rsidRPr="005D58CB">
              <w:t>4</w:t>
            </w:r>
          </w:p>
        </w:tc>
        <w:tc>
          <w:tcPr>
            <w:tcW w:w="0" w:type="auto"/>
          </w:tcPr>
          <w:p w14:paraId="5065A939" w14:textId="77777777" w:rsidR="00670187" w:rsidRPr="007709E3" w:rsidRDefault="00670187">
            <w:pPr>
              <w:pStyle w:val="NICETabletext"/>
              <w:keepNext w:val="0"/>
              <w:jc w:val="center"/>
            </w:pPr>
            <w:r w:rsidRPr="007709E3">
              <w:t>Aligned to the observed efficacy in DB0</w:t>
            </w:r>
            <w:r w:rsidRPr="005D58CB">
              <w:t xml:space="preserve">4 </w:t>
            </w:r>
            <w:r w:rsidRPr="007709E3">
              <w:t>and considered generalisable to UK practice</w:t>
            </w:r>
          </w:p>
        </w:tc>
        <w:tc>
          <w:tcPr>
            <w:tcW w:w="0" w:type="auto"/>
          </w:tcPr>
          <w:p w14:paraId="6719CDF7" w14:textId="067CC3A4" w:rsidR="00670187" w:rsidRPr="007709E3" w:rsidRDefault="00670187">
            <w:pPr>
              <w:pStyle w:val="NICETabletext"/>
              <w:keepNext w:val="0"/>
              <w:jc w:val="center"/>
            </w:pPr>
            <w:r w:rsidRPr="007709E3">
              <w:fldChar w:fldCharType="begin"/>
            </w:r>
            <w:r w:rsidRPr="007709E3">
              <w:instrText xml:space="preserve"> REF _Ref99727949 \r \h  \* MERGEFORMAT </w:instrText>
            </w:r>
            <w:r w:rsidRPr="007709E3">
              <w:fldChar w:fldCharType="separate"/>
            </w:r>
            <w:r w:rsidR="00145F42">
              <w:t>B.3.3.1</w:t>
            </w:r>
            <w:r w:rsidRPr="007709E3">
              <w:fldChar w:fldCharType="end"/>
            </w:r>
          </w:p>
        </w:tc>
      </w:tr>
      <w:tr w:rsidR="00670187" w14:paraId="54A37FC5" w14:textId="77777777">
        <w:tc>
          <w:tcPr>
            <w:tcW w:w="0" w:type="auto"/>
            <w:shd w:val="clear" w:color="auto" w:fill="F2F2F2" w:themeFill="background1" w:themeFillShade="F2"/>
          </w:tcPr>
          <w:p w14:paraId="588E8F58" w14:textId="77777777" w:rsidR="00670187" w:rsidRPr="007709E3" w:rsidRDefault="00670187">
            <w:pPr>
              <w:pStyle w:val="NICETabletext"/>
              <w:keepNext w:val="0"/>
            </w:pPr>
            <w:r w:rsidRPr="007709E3">
              <w:t>OS models</w:t>
            </w:r>
          </w:p>
        </w:tc>
        <w:tc>
          <w:tcPr>
            <w:tcW w:w="0" w:type="auto"/>
          </w:tcPr>
          <w:p w14:paraId="701E074C" w14:textId="77777777" w:rsidR="00670187" w:rsidRPr="007709E3" w:rsidRDefault="00670187">
            <w:pPr>
              <w:pStyle w:val="NICETabletext"/>
              <w:keepNext w:val="0"/>
              <w:jc w:val="center"/>
            </w:pPr>
            <w:r w:rsidRPr="005D58CB">
              <w:t xml:space="preserve">Independent log-logistic </w:t>
            </w:r>
            <w:r w:rsidRPr="007709E3">
              <w:t>models</w:t>
            </w:r>
          </w:p>
        </w:tc>
        <w:tc>
          <w:tcPr>
            <w:tcW w:w="0" w:type="auto"/>
          </w:tcPr>
          <w:p w14:paraId="4B0AD0C4" w14:textId="767CB7F8" w:rsidR="00670187" w:rsidRPr="007709E3" w:rsidRDefault="00670187">
            <w:pPr>
              <w:pStyle w:val="NICETabletext"/>
              <w:keepNext w:val="0"/>
              <w:jc w:val="center"/>
            </w:pPr>
            <w:r w:rsidRPr="005D58CB">
              <w:t>Provide</w:t>
            </w:r>
            <w:r>
              <w:t>s</w:t>
            </w:r>
            <w:r w:rsidRPr="005D58CB">
              <w:t xml:space="preserve"> </w:t>
            </w:r>
            <w:r w:rsidR="00630D04" w:rsidRPr="00630D04">
              <w:t xml:space="preserve">the best </w:t>
            </w:r>
            <w:r w:rsidRPr="005D58CB">
              <w:t xml:space="preserve">statistical </w:t>
            </w:r>
            <w:r w:rsidR="00630D04" w:rsidRPr="00630D04">
              <w:t xml:space="preserve">and visual </w:t>
            </w:r>
            <w:r w:rsidRPr="005D58CB">
              <w:t xml:space="preserve">fit to the KM data </w:t>
            </w:r>
            <w:r w:rsidR="00630D04" w:rsidRPr="00630D04">
              <w:t xml:space="preserve">out of the curves </w:t>
            </w:r>
            <w:r w:rsidRPr="005D58CB">
              <w:t xml:space="preserve">considered </w:t>
            </w:r>
            <w:r w:rsidR="00630D04" w:rsidRPr="00630D04">
              <w:t>to have</w:t>
            </w:r>
            <w:r w:rsidRPr="005D58CB">
              <w:t xml:space="preserve"> clinically plausible long-term </w:t>
            </w:r>
            <w:r w:rsidR="00630D04" w:rsidRPr="00630D04">
              <w:t>survival estimates</w:t>
            </w:r>
            <w:r w:rsidRPr="005D58CB">
              <w:t xml:space="preserve"> across both T-DXd and TPC arms</w:t>
            </w:r>
          </w:p>
        </w:tc>
        <w:tc>
          <w:tcPr>
            <w:tcW w:w="0" w:type="auto"/>
          </w:tcPr>
          <w:p w14:paraId="78F7C73E" w14:textId="31324F35" w:rsidR="00670187" w:rsidRPr="007709E3" w:rsidRDefault="00670187">
            <w:pPr>
              <w:pStyle w:val="NICETabletext"/>
              <w:keepNext w:val="0"/>
              <w:jc w:val="center"/>
            </w:pPr>
            <w:r w:rsidRPr="007709E3">
              <w:fldChar w:fldCharType="begin"/>
            </w:r>
            <w:r w:rsidRPr="007709E3">
              <w:instrText xml:space="preserve"> REF _Ref99727962 \r \h  \* MERGEFORMAT </w:instrText>
            </w:r>
            <w:r w:rsidRPr="007709E3">
              <w:fldChar w:fldCharType="separate"/>
            </w:r>
            <w:r w:rsidR="00145F42">
              <w:t>B.3.3.2</w:t>
            </w:r>
            <w:r w:rsidRPr="007709E3">
              <w:fldChar w:fldCharType="end"/>
            </w:r>
          </w:p>
        </w:tc>
      </w:tr>
      <w:tr w:rsidR="00670187" w14:paraId="0965455B" w14:textId="77777777">
        <w:tc>
          <w:tcPr>
            <w:tcW w:w="0" w:type="auto"/>
            <w:shd w:val="clear" w:color="auto" w:fill="F2F2F2" w:themeFill="background1" w:themeFillShade="F2"/>
          </w:tcPr>
          <w:p w14:paraId="1F699849" w14:textId="77777777" w:rsidR="00670187" w:rsidRPr="007709E3" w:rsidRDefault="00670187">
            <w:pPr>
              <w:pStyle w:val="NICETabletext"/>
              <w:keepNext w:val="0"/>
            </w:pPr>
            <w:r w:rsidRPr="007709E3">
              <w:t>PFS models</w:t>
            </w:r>
          </w:p>
        </w:tc>
        <w:tc>
          <w:tcPr>
            <w:tcW w:w="0" w:type="auto"/>
          </w:tcPr>
          <w:p w14:paraId="3103FBB1" w14:textId="77777777" w:rsidR="00670187" w:rsidRPr="007709E3" w:rsidRDefault="00670187">
            <w:pPr>
              <w:pStyle w:val="NICETabletext"/>
              <w:keepNext w:val="0"/>
              <w:jc w:val="center"/>
            </w:pPr>
            <w:r w:rsidRPr="007709E3">
              <w:t xml:space="preserve">Independent </w:t>
            </w:r>
            <w:r w:rsidRPr="005D58CB">
              <w:t xml:space="preserve">log-logistic </w:t>
            </w:r>
            <w:r w:rsidRPr="007709E3">
              <w:t xml:space="preserve">models </w:t>
            </w:r>
          </w:p>
        </w:tc>
        <w:tc>
          <w:tcPr>
            <w:tcW w:w="0" w:type="auto"/>
          </w:tcPr>
          <w:p w14:paraId="00DB809C" w14:textId="6CD4F280" w:rsidR="00670187" w:rsidRPr="007709E3" w:rsidRDefault="00670187">
            <w:pPr>
              <w:pStyle w:val="NICETabletext"/>
              <w:keepNext w:val="0"/>
              <w:jc w:val="center"/>
            </w:pPr>
            <w:r w:rsidRPr="001B023A">
              <w:t>Provides a good visual and statistical fit to the KM data</w:t>
            </w:r>
            <w:r w:rsidR="00630D04" w:rsidRPr="00630D04">
              <w:t>,</w:t>
            </w:r>
            <w:r w:rsidRPr="001B023A">
              <w:t xml:space="preserve"> considered </w:t>
            </w:r>
            <w:r w:rsidR="00630D04" w:rsidRPr="00630D04">
              <w:t>to have</w:t>
            </w:r>
            <w:r w:rsidRPr="001B023A">
              <w:t xml:space="preserve"> clinically plausible long-term </w:t>
            </w:r>
            <w:r w:rsidR="00630D04" w:rsidRPr="00630D04">
              <w:t>survival estimates</w:t>
            </w:r>
            <w:r w:rsidRPr="001B023A">
              <w:t xml:space="preserve"> across both T-DXd and TPC arms</w:t>
            </w:r>
          </w:p>
        </w:tc>
        <w:tc>
          <w:tcPr>
            <w:tcW w:w="0" w:type="auto"/>
          </w:tcPr>
          <w:p w14:paraId="7FE182D6" w14:textId="3BDE440C" w:rsidR="00670187" w:rsidRPr="007709E3" w:rsidRDefault="00670187">
            <w:pPr>
              <w:pStyle w:val="NICETabletext"/>
              <w:keepNext w:val="0"/>
              <w:jc w:val="center"/>
            </w:pPr>
            <w:r w:rsidRPr="007709E3">
              <w:fldChar w:fldCharType="begin"/>
            </w:r>
            <w:r w:rsidRPr="007709E3">
              <w:instrText xml:space="preserve"> REF _Ref99727962 \r \h  \* MERGEFORMAT </w:instrText>
            </w:r>
            <w:r w:rsidRPr="007709E3">
              <w:fldChar w:fldCharType="separate"/>
            </w:r>
            <w:r w:rsidR="00145F42">
              <w:t>B.3.3.2</w:t>
            </w:r>
            <w:r w:rsidRPr="007709E3">
              <w:fldChar w:fldCharType="end"/>
            </w:r>
          </w:p>
        </w:tc>
      </w:tr>
      <w:tr w:rsidR="00670187" w14:paraId="24A34258" w14:textId="77777777">
        <w:tc>
          <w:tcPr>
            <w:tcW w:w="0" w:type="auto"/>
            <w:shd w:val="clear" w:color="auto" w:fill="F2F2F2" w:themeFill="background1" w:themeFillShade="F2"/>
          </w:tcPr>
          <w:p w14:paraId="0D226B95" w14:textId="77777777" w:rsidR="00670187" w:rsidRPr="007709E3" w:rsidRDefault="00670187">
            <w:pPr>
              <w:pStyle w:val="NICETabletext"/>
              <w:keepNext w:val="0"/>
            </w:pPr>
            <w:r w:rsidRPr="007709E3">
              <w:t>TTD models</w:t>
            </w:r>
          </w:p>
        </w:tc>
        <w:tc>
          <w:tcPr>
            <w:tcW w:w="0" w:type="auto"/>
          </w:tcPr>
          <w:p w14:paraId="7C85FD74" w14:textId="77777777" w:rsidR="00670187" w:rsidRPr="007709E3" w:rsidRDefault="00670187">
            <w:pPr>
              <w:pStyle w:val="NICETabletext"/>
              <w:keepNext w:val="0"/>
              <w:jc w:val="center"/>
            </w:pPr>
            <w:r w:rsidRPr="007709E3">
              <w:t xml:space="preserve">Independent </w:t>
            </w:r>
            <w:r w:rsidRPr="005D58CB">
              <w:t xml:space="preserve">generalised gamma </w:t>
            </w:r>
            <w:r w:rsidRPr="007709E3">
              <w:t>models</w:t>
            </w:r>
          </w:p>
        </w:tc>
        <w:tc>
          <w:tcPr>
            <w:tcW w:w="0" w:type="auto"/>
          </w:tcPr>
          <w:p w14:paraId="3B595289" w14:textId="5F616086" w:rsidR="00670187" w:rsidRPr="007709E3" w:rsidRDefault="00670187">
            <w:pPr>
              <w:pStyle w:val="NICETabletext"/>
              <w:keepNext w:val="0"/>
              <w:jc w:val="center"/>
            </w:pPr>
            <w:r w:rsidRPr="002629AD">
              <w:t>Provide</w:t>
            </w:r>
            <w:r>
              <w:t>s</w:t>
            </w:r>
            <w:r w:rsidRPr="002629AD">
              <w:t xml:space="preserve"> a good visual and statistical fit to the </w:t>
            </w:r>
            <w:r w:rsidR="000A3680">
              <w:t xml:space="preserve">mature </w:t>
            </w:r>
            <w:r w:rsidRPr="002629AD">
              <w:t>KM data</w:t>
            </w:r>
            <w:r>
              <w:t>.</w:t>
            </w:r>
          </w:p>
        </w:tc>
        <w:tc>
          <w:tcPr>
            <w:tcW w:w="0" w:type="auto"/>
          </w:tcPr>
          <w:p w14:paraId="6CC0344C" w14:textId="739992FD" w:rsidR="00670187" w:rsidRPr="007709E3" w:rsidRDefault="00670187">
            <w:pPr>
              <w:pStyle w:val="NICETabletext"/>
              <w:keepNext w:val="0"/>
              <w:jc w:val="center"/>
            </w:pPr>
            <w:r w:rsidRPr="007709E3">
              <w:fldChar w:fldCharType="begin"/>
            </w:r>
            <w:r w:rsidRPr="007709E3">
              <w:instrText xml:space="preserve"> REF _Ref99727997 \r \h  \* MERGEFORMAT </w:instrText>
            </w:r>
            <w:r w:rsidRPr="007709E3">
              <w:fldChar w:fldCharType="separate"/>
            </w:r>
            <w:r w:rsidR="00145F42">
              <w:t>B.3.3.2</w:t>
            </w:r>
            <w:r w:rsidRPr="007709E3">
              <w:fldChar w:fldCharType="end"/>
            </w:r>
          </w:p>
        </w:tc>
      </w:tr>
      <w:tr w:rsidR="00670187" w14:paraId="38BACB23" w14:textId="77777777">
        <w:tc>
          <w:tcPr>
            <w:tcW w:w="0" w:type="auto"/>
            <w:shd w:val="clear" w:color="auto" w:fill="F2F2F2" w:themeFill="background1" w:themeFillShade="F2"/>
          </w:tcPr>
          <w:p w14:paraId="2634F1D4" w14:textId="77777777" w:rsidR="00670187" w:rsidRPr="007709E3" w:rsidRDefault="00670187">
            <w:pPr>
              <w:pStyle w:val="NICETabletext"/>
              <w:keepNext w:val="0"/>
            </w:pPr>
            <w:r w:rsidRPr="007709E3">
              <w:t>Adverse events</w:t>
            </w:r>
          </w:p>
        </w:tc>
        <w:tc>
          <w:tcPr>
            <w:tcW w:w="0" w:type="auto"/>
          </w:tcPr>
          <w:p w14:paraId="582E0CE8" w14:textId="080C7140" w:rsidR="00670187" w:rsidRPr="007709E3" w:rsidRDefault="00670187">
            <w:pPr>
              <w:pStyle w:val="NICETabletext"/>
              <w:keepNext w:val="0"/>
              <w:jc w:val="center"/>
            </w:pPr>
            <w:r w:rsidRPr="007709E3">
              <w:t>Grade ≥3 AEs occurring in ≥</w:t>
            </w:r>
            <w:r w:rsidRPr="005D58CB">
              <w:t>5</w:t>
            </w:r>
            <w:r w:rsidRPr="007709E3">
              <w:t>% of patients in either treatment arm</w:t>
            </w:r>
            <w:r>
              <w:t>, in addition to</w:t>
            </w:r>
            <w:r w:rsidRPr="007709E3">
              <w:t xml:space="preserve"> ILD </w:t>
            </w:r>
            <w:r>
              <w:t>(</w:t>
            </w:r>
            <w:r w:rsidRPr="007709E3">
              <w:t>an AE of special interest</w:t>
            </w:r>
            <w:r>
              <w:t>) for which all grades of AE were included</w:t>
            </w:r>
          </w:p>
        </w:tc>
        <w:tc>
          <w:tcPr>
            <w:tcW w:w="0" w:type="auto"/>
          </w:tcPr>
          <w:p w14:paraId="79B217A4" w14:textId="45B61CD4" w:rsidR="00670187" w:rsidRPr="007709E3" w:rsidRDefault="00670187">
            <w:pPr>
              <w:pStyle w:val="NICETabletext"/>
              <w:keepNext w:val="0"/>
              <w:jc w:val="center"/>
            </w:pPr>
            <w:r w:rsidRPr="007709E3">
              <w:t>Considered to reflect the main AEs experienced by patients and those that could impact the economic analysis</w:t>
            </w:r>
          </w:p>
        </w:tc>
        <w:tc>
          <w:tcPr>
            <w:tcW w:w="0" w:type="auto"/>
          </w:tcPr>
          <w:p w14:paraId="4041D5FB" w14:textId="1A0C37ED" w:rsidR="00670187" w:rsidRPr="007709E3" w:rsidRDefault="00670187">
            <w:pPr>
              <w:pStyle w:val="NICETabletext"/>
              <w:keepNext w:val="0"/>
              <w:jc w:val="center"/>
            </w:pPr>
            <w:r w:rsidRPr="007709E3">
              <w:fldChar w:fldCharType="begin"/>
            </w:r>
            <w:r w:rsidRPr="007709E3">
              <w:instrText xml:space="preserve"> REF _Ref99728005 \r \h  \* MERGEFORMAT </w:instrText>
            </w:r>
            <w:r w:rsidRPr="007709E3">
              <w:fldChar w:fldCharType="separate"/>
            </w:r>
            <w:r w:rsidR="00145F42">
              <w:t>B.3.3.2.3</w:t>
            </w:r>
            <w:r w:rsidRPr="007709E3">
              <w:fldChar w:fldCharType="end"/>
            </w:r>
          </w:p>
        </w:tc>
      </w:tr>
    </w:tbl>
    <w:p w14:paraId="710FC618" w14:textId="77777777" w:rsidR="00670187" w:rsidRDefault="00670187" w:rsidP="00670187">
      <w:pPr>
        <w:pStyle w:val="Footnotes"/>
      </w:pPr>
      <w:r>
        <w:t>Abbreviations: AE, adverse event; DB04, DESTINY-Breast04; ILD, interstitial lung disease; KM, Kaplan-Meier; OS, overall survival; PFS, progression-free survival; T-DXd, trastuzumab deruxtecan; TPC – treatment of physician’s choice; TTD, time-to-treatment discontinuation.</w:t>
      </w:r>
    </w:p>
    <w:p w14:paraId="052F7265" w14:textId="38A778F8" w:rsidR="00670187" w:rsidRDefault="00670187" w:rsidP="00670187">
      <w:pPr>
        <w:pStyle w:val="Caption"/>
      </w:pPr>
      <w:bookmarkStart w:id="580" w:name="_Ref124517967"/>
      <w:bookmarkStart w:id="581" w:name="_Ref126765672"/>
      <w:bookmarkStart w:id="582" w:name="_Toc127006656"/>
      <w:bookmarkStart w:id="583" w:name="_Toc129350969"/>
      <w:bookmarkStart w:id="584" w:name="_Ref124429491"/>
      <w:r>
        <w:lastRenderedPageBreak/>
        <w:t xml:space="preserve">Figure </w:t>
      </w:r>
      <w:r>
        <w:fldChar w:fldCharType="begin"/>
      </w:r>
      <w:r>
        <w:instrText>SEQ Figure \* ARABIC</w:instrText>
      </w:r>
      <w:r>
        <w:fldChar w:fldCharType="separate"/>
      </w:r>
      <w:r w:rsidR="00145F42">
        <w:rPr>
          <w:noProof/>
        </w:rPr>
        <w:t>43</w:t>
      </w:r>
      <w:r>
        <w:fldChar w:fldCharType="end"/>
      </w:r>
      <w:bookmarkEnd w:id="580"/>
      <w:bookmarkEnd w:id="581"/>
      <w:r>
        <w:t xml:space="preserve">: Summary of base case* efficacy (OS, PFS and TTD) for T-DXd in the </w:t>
      </w:r>
      <w:r w:rsidRPr="005D58CB">
        <w:t>FAS population</w:t>
      </w:r>
      <w:bookmarkEnd w:id="582"/>
      <w:bookmarkEnd w:id="583"/>
    </w:p>
    <w:tbl>
      <w:tblPr>
        <w:tblStyle w:val="TableGrid"/>
        <w:tblW w:w="0" w:type="auto"/>
        <w:tblLook w:val="04A0" w:firstRow="1" w:lastRow="0" w:firstColumn="1" w:lastColumn="0" w:noHBand="0" w:noVBand="1"/>
      </w:tblPr>
      <w:tblGrid>
        <w:gridCol w:w="9017"/>
      </w:tblGrid>
      <w:tr w:rsidR="00670187" w14:paraId="3D7B4200" w14:textId="77777777" w:rsidTr="00046DFE">
        <w:trPr>
          <w:trHeight w:val="3407"/>
        </w:trPr>
        <w:tc>
          <w:tcPr>
            <w:tcW w:w="9017" w:type="dxa"/>
            <w:tcBorders>
              <w:top w:val="single" w:sz="4" w:space="0" w:color="auto"/>
              <w:left w:val="single" w:sz="4" w:space="0" w:color="auto"/>
              <w:bottom w:val="single" w:sz="4" w:space="0" w:color="auto"/>
              <w:right w:val="single" w:sz="4" w:space="0" w:color="auto"/>
            </w:tcBorders>
          </w:tcPr>
          <w:p w14:paraId="084440EC" w14:textId="038B9C74" w:rsidR="00670187" w:rsidRDefault="008745E0" w:rsidP="00046DFE">
            <w:pPr>
              <w:jc w:val="center"/>
            </w:pPr>
            <w:r w:rsidRPr="008745E0">
              <w:rPr>
                <w:noProof/>
              </w:rPr>
              <w:drawing>
                <wp:inline distT="0" distB="0" distL="0" distR="0" wp14:anchorId="1DFDBA47" wp14:editId="37B0E4F3">
                  <wp:extent cx="4674665" cy="273132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30">
                            <a:extLst>
                              <a:ext uri="{28A0092B-C50C-407E-A947-70E740481C1C}">
                                <a14:useLocalDpi xmlns:a14="http://schemas.microsoft.com/office/drawing/2010/main" val="0"/>
                              </a:ext>
                            </a:extLst>
                          </a:blip>
                          <a:stretch>
                            <a:fillRect/>
                          </a:stretch>
                        </pic:blipFill>
                        <pic:spPr>
                          <a:xfrm>
                            <a:off x="0" y="0"/>
                            <a:ext cx="4683894" cy="2736717"/>
                          </a:xfrm>
                          <a:prstGeom prst="rect">
                            <a:avLst/>
                          </a:prstGeom>
                        </pic:spPr>
                      </pic:pic>
                    </a:graphicData>
                  </a:graphic>
                </wp:inline>
              </w:drawing>
            </w:r>
          </w:p>
        </w:tc>
      </w:tr>
    </w:tbl>
    <w:p w14:paraId="3C9FD08B" w14:textId="77777777" w:rsidR="00670187" w:rsidRDefault="00670187" w:rsidP="00670187">
      <w:pPr>
        <w:pStyle w:val="Footnotes"/>
        <w:spacing w:after="0"/>
      </w:pPr>
      <w:r>
        <w:t xml:space="preserve">*The following distributions are presented for the base case: log-logistic for OS, log-logistic for PFS, and generalised gamma for TTD.  </w:t>
      </w:r>
    </w:p>
    <w:p w14:paraId="5A103677" w14:textId="77777777" w:rsidR="00670187" w:rsidRDefault="00670187" w:rsidP="00670187">
      <w:pPr>
        <w:pStyle w:val="Footnotes"/>
      </w:pPr>
      <w:r>
        <w:t xml:space="preserve">Abbreviations: </w:t>
      </w:r>
      <w:r w:rsidRPr="005D58CB">
        <w:t xml:space="preserve">FAS, full set analysis; </w:t>
      </w:r>
      <w:r>
        <w:t>KM, Kaplan-Meier; OS, overall survival; PFS, progression-free survival; TTD, time-to-treatment discontinuation; T-DXd, trastuzumab deruxtecan.</w:t>
      </w:r>
    </w:p>
    <w:p w14:paraId="3B06687E" w14:textId="2F4F1EBF" w:rsidR="00670187" w:rsidRPr="00C67C0A" w:rsidRDefault="00670187" w:rsidP="00670187">
      <w:pPr>
        <w:pStyle w:val="Caption"/>
      </w:pPr>
      <w:bookmarkStart w:id="585" w:name="_Ref126765674"/>
      <w:bookmarkStart w:id="586" w:name="_Toc127006657"/>
      <w:bookmarkStart w:id="587" w:name="_Toc129350970"/>
      <w:r w:rsidRPr="003F1553">
        <w:t xml:space="preserve">Figure </w:t>
      </w:r>
      <w:fldSimple w:instr=" SEQ Figure \* ARABIC ">
        <w:r w:rsidR="00145F42">
          <w:rPr>
            <w:noProof/>
          </w:rPr>
          <w:t>44</w:t>
        </w:r>
      </w:fldSimple>
      <w:bookmarkEnd w:id="585"/>
      <w:r w:rsidRPr="003F1553">
        <w:t>: Summary of base case efficacy</w:t>
      </w:r>
      <w:r>
        <w:t>*</w:t>
      </w:r>
      <w:r w:rsidRPr="003F1553">
        <w:t xml:space="preserve"> (OS, PFS and TTD) for </w:t>
      </w:r>
      <w:r w:rsidRPr="00C67C0A">
        <w:t>TPC</w:t>
      </w:r>
      <w:r w:rsidRPr="003F1553">
        <w:t xml:space="preserve"> in the </w:t>
      </w:r>
      <w:r w:rsidRPr="00C67C0A">
        <w:t>FAS population</w:t>
      </w:r>
      <w:bookmarkEnd w:id="586"/>
      <w:bookmarkEnd w:id="587"/>
    </w:p>
    <w:tbl>
      <w:tblPr>
        <w:tblStyle w:val="TableGrid"/>
        <w:tblW w:w="0" w:type="auto"/>
        <w:tblInd w:w="-30" w:type="dxa"/>
        <w:tblBorders>
          <w:top w:val="single" w:sz="24" w:space="0" w:color="00B0F0"/>
          <w:left w:val="single" w:sz="24" w:space="0" w:color="00B0F0"/>
          <w:bottom w:val="single" w:sz="24" w:space="0" w:color="00B0F0"/>
          <w:right w:val="single" w:sz="24" w:space="0" w:color="00B0F0"/>
          <w:insideH w:val="single" w:sz="24" w:space="0" w:color="00B0F0"/>
          <w:insideV w:val="single" w:sz="24" w:space="0" w:color="00B0F0"/>
        </w:tblBorders>
        <w:tblLook w:val="04A0" w:firstRow="1" w:lastRow="0" w:firstColumn="1" w:lastColumn="0" w:noHBand="0" w:noVBand="1"/>
      </w:tblPr>
      <w:tblGrid>
        <w:gridCol w:w="8997"/>
      </w:tblGrid>
      <w:tr w:rsidR="00670187" w:rsidRPr="003F1553" w14:paraId="57C6BDFD" w14:textId="77777777" w:rsidTr="00046DFE">
        <w:tc>
          <w:tcPr>
            <w:tcW w:w="8997" w:type="dxa"/>
            <w:tcBorders>
              <w:top w:val="single" w:sz="4" w:space="0" w:color="auto"/>
              <w:left w:val="single" w:sz="4" w:space="0" w:color="auto"/>
              <w:bottom w:val="single" w:sz="4" w:space="0" w:color="auto"/>
              <w:right w:val="single" w:sz="4" w:space="0" w:color="auto"/>
            </w:tcBorders>
          </w:tcPr>
          <w:p w14:paraId="7FE38DE0" w14:textId="538464A9" w:rsidR="00670187" w:rsidRPr="003F1553" w:rsidRDefault="008745E0" w:rsidP="00046DFE">
            <w:pPr>
              <w:jc w:val="center"/>
            </w:pPr>
            <w:r w:rsidRPr="008745E0">
              <w:rPr>
                <w:noProof/>
              </w:rPr>
              <w:drawing>
                <wp:inline distT="0" distB="0" distL="0" distR="0" wp14:anchorId="19168F8C" wp14:editId="6EE5D7D9">
                  <wp:extent cx="4674665" cy="273132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30">
                            <a:extLst>
                              <a:ext uri="{28A0092B-C50C-407E-A947-70E740481C1C}">
                                <a14:useLocalDpi xmlns:a14="http://schemas.microsoft.com/office/drawing/2010/main" val="0"/>
                              </a:ext>
                            </a:extLst>
                          </a:blip>
                          <a:stretch>
                            <a:fillRect/>
                          </a:stretch>
                        </pic:blipFill>
                        <pic:spPr>
                          <a:xfrm>
                            <a:off x="0" y="0"/>
                            <a:ext cx="4677252" cy="2732837"/>
                          </a:xfrm>
                          <a:prstGeom prst="rect">
                            <a:avLst/>
                          </a:prstGeom>
                        </pic:spPr>
                      </pic:pic>
                    </a:graphicData>
                  </a:graphic>
                </wp:inline>
              </w:drawing>
            </w:r>
          </w:p>
        </w:tc>
      </w:tr>
    </w:tbl>
    <w:p w14:paraId="7E73773C" w14:textId="77777777" w:rsidR="00670187" w:rsidRDefault="00670187" w:rsidP="00670187">
      <w:pPr>
        <w:pStyle w:val="Footnotes"/>
        <w:spacing w:after="0"/>
      </w:pPr>
      <w:r>
        <w:t xml:space="preserve">*The following distributions are presented for the base case: log-logistic for OS, log-logistic for PFS, and generalised gamma for TTD.  </w:t>
      </w:r>
    </w:p>
    <w:p w14:paraId="2EB24151" w14:textId="58BBB709" w:rsidR="00670187" w:rsidRDefault="00670187" w:rsidP="00670187">
      <w:pPr>
        <w:pStyle w:val="Footnotes"/>
      </w:pPr>
      <w:r w:rsidRPr="003F1553">
        <w:t xml:space="preserve">Abbreviations: </w:t>
      </w:r>
      <w:r w:rsidRPr="00C67C0A">
        <w:t xml:space="preserve">FAS, full set analysis; </w:t>
      </w:r>
      <w:r w:rsidRPr="003F1553">
        <w:t xml:space="preserve">KM, Kaplan-Meier; OS, overall survival; PFS, progression-free survival; TTD, time-to-treatment discontinuation; </w:t>
      </w:r>
      <w:r w:rsidRPr="00C67C0A">
        <w:t>TPC, treatment of physician’s choice.</w:t>
      </w:r>
    </w:p>
    <w:p w14:paraId="26A08705" w14:textId="4CC1EF59" w:rsidR="00D63E1F" w:rsidRPr="00C67C0A" w:rsidRDefault="00D63E1F" w:rsidP="00D63E1F">
      <w:pPr>
        <w:pStyle w:val="Caption"/>
      </w:pPr>
      <w:bookmarkStart w:id="588" w:name="_Toc129350971"/>
      <w:r w:rsidRPr="003F1553">
        <w:lastRenderedPageBreak/>
        <w:t xml:space="preserve">Figure </w:t>
      </w:r>
      <w:fldSimple w:instr=" SEQ Figure \* ARABIC ">
        <w:r w:rsidR="00145F42">
          <w:rPr>
            <w:noProof/>
          </w:rPr>
          <w:t>45</w:t>
        </w:r>
      </w:fldSimple>
      <w:r w:rsidRPr="003F1553">
        <w:t>: Summary of base case efficacy</w:t>
      </w:r>
      <w:r>
        <w:t>*</w:t>
      </w:r>
      <w:r w:rsidRPr="003F1553">
        <w:t xml:space="preserve"> (OS, PFS and TTD) for </w:t>
      </w:r>
      <w:r w:rsidRPr="00C67C0A">
        <w:t>TPC</w:t>
      </w:r>
      <w:r w:rsidRPr="003F1553">
        <w:t xml:space="preserve"> </w:t>
      </w:r>
      <w:r w:rsidR="006831BF">
        <w:t>and T-DXd</w:t>
      </w:r>
      <w:r w:rsidRPr="003F1553">
        <w:t xml:space="preserve"> in the </w:t>
      </w:r>
      <w:r w:rsidRPr="00C67C0A">
        <w:t>FAS population</w:t>
      </w:r>
      <w:bookmarkEnd w:id="588"/>
    </w:p>
    <w:tbl>
      <w:tblPr>
        <w:tblStyle w:val="TableGrid"/>
        <w:tblW w:w="0" w:type="auto"/>
        <w:tblInd w:w="-30" w:type="dxa"/>
        <w:tblBorders>
          <w:top w:val="single" w:sz="24" w:space="0" w:color="00B0F0"/>
          <w:left w:val="single" w:sz="24" w:space="0" w:color="00B0F0"/>
          <w:bottom w:val="single" w:sz="24" w:space="0" w:color="00B0F0"/>
          <w:right w:val="single" w:sz="24" w:space="0" w:color="00B0F0"/>
          <w:insideH w:val="single" w:sz="24" w:space="0" w:color="00B0F0"/>
          <w:insideV w:val="single" w:sz="24" w:space="0" w:color="00B0F0"/>
        </w:tblBorders>
        <w:tblLook w:val="04A0" w:firstRow="1" w:lastRow="0" w:firstColumn="1" w:lastColumn="0" w:noHBand="0" w:noVBand="1"/>
      </w:tblPr>
      <w:tblGrid>
        <w:gridCol w:w="8997"/>
      </w:tblGrid>
      <w:tr w:rsidR="00D63E1F" w:rsidRPr="003F1553" w14:paraId="03DDBA14" w14:textId="77777777" w:rsidTr="00046DFE">
        <w:tc>
          <w:tcPr>
            <w:tcW w:w="8997" w:type="dxa"/>
            <w:tcBorders>
              <w:top w:val="single" w:sz="4" w:space="0" w:color="auto"/>
              <w:left w:val="single" w:sz="4" w:space="0" w:color="auto"/>
              <w:bottom w:val="single" w:sz="4" w:space="0" w:color="auto"/>
              <w:right w:val="single" w:sz="4" w:space="0" w:color="auto"/>
            </w:tcBorders>
          </w:tcPr>
          <w:p w14:paraId="7768A062" w14:textId="3AFB51EB" w:rsidR="00D63E1F" w:rsidRPr="003F1553" w:rsidRDefault="006831BF" w:rsidP="00046DFE">
            <w:pPr>
              <w:jc w:val="center"/>
            </w:pPr>
            <w:r>
              <w:rPr>
                <w:noProof/>
              </w:rPr>
              <w:drawing>
                <wp:inline distT="0" distB="0" distL="0" distR="0" wp14:anchorId="4C47AB5D" wp14:editId="25071658">
                  <wp:extent cx="5134057" cy="299974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134057" cy="2999740"/>
                          </a:xfrm>
                          <a:prstGeom prst="rect">
                            <a:avLst/>
                          </a:prstGeom>
                          <a:noFill/>
                        </pic:spPr>
                      </pic:pic>
                    </a:graphicData>
                  </a:graphic>
                </wp:inline>
              </w:drawing>
            </w:r>
          </w:p>
        </w:tc>
      </w:tr>
    </w:tbl>
    <w:p w14:paraId="6C384916" w14:textId="77777777" w:rsidR="00D63E1F" w:rsidRDefault="00D63E1F" w:rsidP="00D63E1F">
      <w:pPr>
        <w:pStyle w:val="Footnotes"/>
        <w:spacing w:after="0"/>
      </w:pPr>
      <w:r>
        <w:t xml:space="preserve">*The following distributions are presented for the base case: log-logistic for OS, log-logistic for PFS, and generalised gamma for TTD.  </w:t>
      </w:r>
    </w:p>
    <w:p w14:paraId="66ED38DB" w14:textId="51E36DA7" w:rsidR="00D63E1F" w:rsidRPr="00D63E1F" w:rsidRDefault="00D63E1F" w:rsidP="00D63E1F">
      <w:pPr>
        <w:pStyle w:val="Footnotes"/>
      </w:pPr>
      <w:r w:rsidRPr="003F1553">
        <w:t xml:space="preserve">Abbreviations: </w:t>
      </w:r>
      <w:r w:rsidRPr="00C67C0A">
        <w:t xml:space="preserve">FAS, full set analysis; </w:t>
      </w:r>
      <w:r w:rsidRPr="003F1553">
        <w:t xml:space="preserve">KM, Kaplan-Meier; OS, overall survival; PFS, progression-free survival; TTD, time-to-treatment discontinuation; </w:t>
      </w:r>
      <w:r w:rsidR="0090233F">
        <w:t xml:space="preserve">T-DXd, trastuzumab deruxtecan; </w:t>
      </w:r>
      <w:r w:rsidRPr="00C67C0A">
        <w:t>TPC, treatment of physician’s choice.</w:t>
      </w:r>
    </w:p>
    <w:p w14:paraId="26EA2263" w14:textId="77777777" w:rsidR="00724A2B" w:rsidRPr="00B41CDC" w:rsidRDefault="00724A2B" w:rsidP="00724A2B">
      <w:pPr>
        <w:pStyle w:val="Heading2"/>
      </w:pPr>
      <w:bookmarkStart w:id="589" w:name="_Toc127006445"/>
      <w:bookmarkStart w:id="590" w:name="_Toc129350892"/>
      <w:bookmarkEnd w:id="584"/>
      <w:r w:rsidRPr="00B41CDC">
        <w:t>Measurement and valuation of health effects</w:t>
      </w:r>
      <w:bookmarkEnd w:id="589"/>
      <w:bookmarkEnd w:id="590"/>
    </w:p>
    <w:p w14:paraId="7F360022" w14:textId="77777777" w:rsidR="00724A2B" w:rsidRDefault="00724A2B" w:rsidP="00724A2B">
      <w:pPr>
        <w:pStyle w:val="Heading3"/>
      </w:pPr>
      <w:bookmarkStart w:id="591" w:name="_Toc98924669"/>
      <w:bookmarkStart w:id="592" w:name="_Ref99049393"/>
      <w:bookmarkStart w:id="593" w:name="_Ref99728418"/>
      <w:bookmarkStart w:id="594" w:name="_Ref99728423"/>
      <w:bookmarkStart w:id="595" w:name="_Ref99729296"/>
      <w:bookmarkStart w:id="596" w:name="_Toc127006446"/>
      <w:bookmarkStart w:id="597" w:name="_Ref127007821"/>
      <w:bookmarkStart w:id="598" w:name="_Toc129350893"/>
      <w:bookmarkStart w:id="599" w:name="_Ref101348211"/>
      <w:bookmarkStart w:id="600" w:name="_Ref124862773"/>
      <w:r>
        <w:t>Health-related quality-of-life data from clinical trials</w:t>
      </w:r>
      <w:bookmarkEnd w:id="591"/>
      <w:bookmarkEnd w:id="592"/>
      <w:bookmarkEnd w:id="593"/>
      <w:bookmarkEnd w:id="594"/>
      <w:bookmarkEnd w:id="595"/>
      <w:bookmarkEnd w:id="596"/>
      <w:bookmarkEnd w:id="597"/>
      <w:bookmarkEnd w:id="598"/>
      <w:r>
        <w:t xml:space="preserve"> </w:t>
      </w:r>
      <w:bookmarkEnd w:id="599"/>
      <w:bookmarkEnd w:id="600"/>
    </w:p>
    <w:p w14:paraId="55B02631" w14:textId="15CDF915" w:rsidR="00724A2B" w:rsidRDefault="00724A2B" w:rsidP="00724A2B">
      <w:pPr>
        <w:pStyle w:val="Body"/>
      </w:pPr>
      <w:r>
        <w:t xml:space="preserve">In </w:t>
      </w:r>
      <w:r w:rsidRPr="003F1553">
        <w:t>DESTINY-Breast0</w:t>
      </w:r>
      <w:r w:rsidRPr="00C67C0A">
        <w:t>4</w:t>
      </w:r>
      <w:r w:rsidRPr="003F1553">
        <w:t>, EQ-5D-5L, EORTC QlQ-BR45 and EORTC QLQ-C30 questionnaires were administered to patients to measure HRQoL.</w:t>
      </w:r>
      <w:r>
        <w:fldChar w:fldCharType="begin"/>
      </w:r>
      <w:r w:rsidR="00CA6345">
        <w:instrText xml:space="preserve"> ADDIN ZOTERO_ITEM CSL_CITATION {"citationID":"2KVkGMax","properties":{"formattedCitation":"\\super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fldChar w:fldCharType="separate"/>
      </w:r>
      <w:r w:rsidR="00FD57F4" w:rsidRPr="00FD57F4">
        <w:rPr>
          <w:rFonts w:cs="Arial"/>
          <w:szCs w:val="24"/>
          <w:vertAlign w:val="superscript"/>
        </w:rPr>
        <w:t>7</w:t>
      </w:r>
      <w:r>
        <w:fldChar w:fldCharType="end"/>
      </w:r>
      <w:r w:rsidRPr="003F1553">
        <w:t xml:space="preserve"> </w:t>
      </w:r>
      <w:r w:rsidRPr="00C67C0A">
        <w:t>Questionnaires were completed by patients prior to infusion on Day 1 of Cycle 1, 2 and 3 and then every 2 cycles thereafter until the end of treatment assessments, when there was a further questionnaire.</w:t>
      </w:r>
      <w:r>
        <w:fldChar w:fldCharType="begin"/>
      </w:r>
      <w:r w:rsidR="00CA6345">
        <w:instrText xml:space="preserve"> ADDIN ZOTERO_ITEM CSL_CITATION {"citationID":"dNDP702I","properties":{"formattedCitation":"\\super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fldChar w:fldCharType="separate"/>
      </w:r>
      <w:r w:rsidR="00FD57F4" w:rsidRPr="00FD57F4">
        <w:rPr>
          <w:rFonts w:cs="Arial"/>
          <w:szCs w:val="24"/>
          <w:vertAlign w:val="superscript"/>
        </w:rPr>
        <w:t>7</w:t>
      </w:r>
      <w:r>
        <w:fldChar w:fldCharType="end"/>
      </w:r>
      <w:r w:rsidRPr="003F1553">
        <w:t xml:space="preserve"> Patients were then followed up at the Day 40 (</w:t>
      </w:r>
      <w:r w:rsidRPr="00C67C0A">
        <w:rPr>
          <w:rFonts w:cs="Arial"/>
        </w:rPr>
        <w:t>±</w:t>
      </w:r>
      <w:r w:rsidRPr="003F1553">
        <w:t>7 days) first follow-up assessment (after the last study drug administration) or before initiation of new anti-cancer treatment, whichever occurred first, and then at the first long-term/survival follow-up assessments three months later</w:t>
      </w:r>
      <w:r w:rsidRPr="007E4ED6">
        <w:t>.</w:t>
      </w:r>
      <w:r>
        <w:fldChar w:fldCharType="begin"/>
      </w:r>
      <w:r w:rsidR="00CA6345">
        <w:instrText xml:space="preserve"> ADDIN ZOTERO_ITEM CSL_CITATION {"citationID":"hBkfdcwb","properties":{"formattedCitation":"\\super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fldChar w:fldCharType="separate"/>
      </w:r>
      <w:r w:rsidR="00FD57F4" w:rsidRPr="00FD57F4">
        <w:rPr>
          <w:rFonts w:cs="Arial"/>
          <w:szCs w:val="24"/>
          <w:vertAlign w:val="superscript"/>
        </w:rPr>
        <w:t>7</w:t>
      </w:r>
      <w:r>
        <w:fldChar w:fldCharType="end"/>
      </w:r>
      <w:r>
        <w:t xml:space="preserve"> Patients were required to complete questionnaires before any other study assessments or procedures were performed on the day. </w:t>
      </w:r>
    </w:p>
    <w:p w14:paraId="61B5F9CB" w14:textId="77777777" w:rsidR="00724A2B" w:rsidRPr="005115C0" w:rsidRDefault="00724A2B" w:rsidP="00724A2B">
      <w:pPr>
        <w:pStyle w:val="Heading3"/>
      </w:pPr>
      <w:bookmarkStart w:id="601" w:name="_Toc98924670"/>
      <w:bookmarkStart w:id="602" w:name="_Ref126856819"/>
      <w:bookmarkStart w:id="603" w:name="_Toc127006447"/>
      <w:bookmarkStart w:id="604" w:name="_Toc129350894"/>
      <w:r w:rsidRPr="00C83785">
        <w:t>Mapping</w:t>
      </w:r>
      <w:bookmarkEnd w:id="601"/>
      <w:r w:rsidRPr="00C83785">
        <w:t xml:space="preserve"> of EQ-5D-5L to EQ-5D-3L</w:t>
      </w:r>
      <w:bookmarkEnd w:id="602"/>
      <w:bookmarkEnd w:id="603"/>
      <w:bookmarkEnd w:id="604"/>
    </w:p>
    <w:p w14:paraId="1D3CD257" w14:textId="5D39A0A0" w:rsidR="00724A2B" w:rsidRPr="00E34B03" w:rsidRDefault="00724A2B" w:rsidP="00724A2B">
      <w:pPr>
        <w:pStyle w:val="Body"/>
      </w:pPr>
      <w:r w:rsidRPr="00950AF3">
        <w:t xml:space="preserve">In line with NICE methods guidance, the EQ-5D-5L responses </w:t>
      </w:r>
      <w:r w:rsidR="0000268D">
        <w:t xml:space="preserve">directly collected in </w:t>
      </w:r>
      <w:r w:rsidR="0000268D" w:rsidRPr="00AF4568">
        <w:t>DESTINY-Breast0</w:t>
      </w:r>
      <w:r w:rsidR="0000268D" w:rsidRPr="005D58CB">
        <w:t>4</w:t>
      </w:r>
      <w:r w:rsidRPr="00950AF3">
        <w:t xml:space="preserve"> were mapped to EQ-5D-3L values </w:t>
      </w:r>
      <w:r w:rsidRPr="00C67C0A">
        <w:t>using the mapping algorithm developed by the NICE DSU which utilises the EEPRU dataset.</w:t>
      </w:r>
      <w:r w:rsidRPr="00C67C0A">
        <w:fldChar w:fldCharType="begin"/>
      </w:r>
      <w:r w:rsidR="00CA6345">
        <w:instrText xml:space="preserve"> ADDIN ZOTERO_ITEM CSL_CITATION {"citationID":"AgG0Vnb4","properties":{"formattedCitation":"\\super 2,173\\nosupersub{}","plainCitation":"2,173","noteIndex":0},"citationItems":[{"id":65886,"uris":["http://zotero.org/groups/4797619/items/2LQNV7UR"],"itemData":{"id":65886,"type":"webpage","abstract":"This guide describes the methods and processes, including expected timescales, that NICE follows when carrying out health technology evaluations. The methods and processes are designed to produce robust guidance for the NHS in an open, transparent and timely way, with appropriate contribution from stakeholders. Organisations invited to contribute to health technology evaluation development should read this manual in conjunction with the NICE health technology evaluation topic selection: the manual. All documents are available on the NICE website.","language":"eng","note":"publisher: NICE","title":"NICE health technology evaluations: the manual","title-short":"NICE health technology evaluations","URL":"https://www.nice.org.uk/process/pmg36/chapter/introduction-to-health-technology-evaluation","author":[{"family":"NICE","given":""}],"accessed":{"date-parts":[["2022",10,19]]},"issued":{"date-parts":[["2022",1]]}}},{"id":65947,"uris":["http://zotero.org/groups/4797619/items/9LVGBJ24"],"itemData":{"id":65947,"type":"article-journal","abstract":"EQ-5D is a 5-item questionnaire instrument designed to measure health-related quality of life. It is extremely important, since it is used to measure health benefits in many studies providing evidence for reimbursement decisions by the National Institute for Health and Care Excellence in England and similar policy bodies in other countries. EQ-5D has been redesigned in a more detailed form (EQ-5D-5L), but much existing cost-effectiveness evidence is based on the older version (EQ-5D-3L). Statistical mapping from one version to another is widely used, exploiting data from multi-instrument surveys incorporating both variants. However, little is known about the robustness of data from such multi-instrument surveys. We design a randomized experiment to investigate whether inclusion of both versions at different stages in a single interview gives a reliable picture of the relationship between health measures from the two instruments and embed it in individual interviews from the UK Understanding Society household panel. We find that sequencing of the two versions of EQ-5D within an interview has a significant impact not only on the resulting data but also on the estimated mapping models. We illustrate the non-negligible effects in two real-world cost-effectiveness examples and discuss the implications for future multi-instrument survey design.","container-title":"Health Economics","DOI":"10.1002/hec.4487","ISSN":"1099-1050","issue":"6","language":"en","note":"_eprint: https://onlinelibrary.wiley.com/doi/pdf/10.1002/hec.4487","page":"923-939","source":"Wiley Online Library","title":"Mapping between EQ-5D-3L and EQ-5D-5L: A survey experiment on the validity of multi-instrument data","title-short":"Mapping between EQ-5D-3L and EQ-5D-5L","volume":"31","author":[{"family":"Hernández-Alava","given":"Mónica"},{"family":"Pudney","given":"Stephen"}],"issued":{"date-parts":[["2022"]]}}}],"schema":"https://github.com/citation-style-language/schema/raw/master/csl-citation.json"} </w:instrText>
      </w:r>
      <w:r w:rsidRPr="00C67C0A">
        <w:fldChar w:fldCharType="separate"/>
      </w:r>
      <w:r w:rsidR="00CA6345" w:rsidRPr="00CA6345">
        <w:rPr>
          <w:rFonts w:cs="Arial"/>
          <w:szCs w:val="24"/>
          <w:vertAlign w:val="superscript"/>
        </w:rPr>
        <w:t>2,173</w:t>
      </w:r>
      <w:r w:rsidRPr="00C67C0A">
        <w:fldChar w:fldCharType="end"/>
      </w:r>
    </w:p>
    <w:p w14:paraId="415E152B" w14:textId="44F7CBCA" w:rsidR="00724A2B" w:rsidRPr="00E34B03" w:rsidRDefault="00724A2B" w:rsidP="00724A2B">
      <w:pPr>
        <w:pStyle w:val="Body"/>
      </w:pPr>
      <w:r w:rsidRPr="00E34B03">
        <w:t xml:space="preserve">In total, </w:t>
      </w:r>
      <w:r w:rsidRPr="00C67C0A">
        <w:t xml:space="preserve">4,161 </w:t>
      </w:r>
      <w:r w:rsidRPr="00E34B03">
        <w:t xml:space="preserve">EQ-5D-5L observations were available. Of these, </w:t>
      </w:r>
      <w:r w:rsidR="00294FDC" w:rsidRPr="00294FDC">
        <w:rPr>
          <w:color w:val="000000"/>
          <w:highlight w:val="black"/>
        </w:rPr>
        <w:t>xxxxx</w:t>
      </w:r>
      <w:r w:rsidRPr="00C67C0A">
        <w:t xml:space="preserve"> </w:t>
      </w:r>
      <w:r w:rsidRPr="00E34B03">
        <w:t xml:space="preserve">observations were recorded while progression-free with the remaining </w:t>
      </w:r>
      <w:r w:rsidR="00294FDC" w:rsidRPr="00294FDC">
        <w:rPr>
          <w:color w:val="000000"/>
          <w:highlight w:val="black"/>
        </w:rPr>
        <w:t>xxx</w:t>
      </w:r>
      <w:r w:rsidRPr="00E34B03">
        <w:t xml:space="preserve"> recorded post-progression. A tabulated summary of the EQ-5D-5L mapped to EQ-5D-3L utility values by progression status is provided in </w:t>
      </w:r>
      <w:r w:rsidRPr="003C648C">
        <w:rPr>
          <w:b/>
        </w:rPr>
        <w:fldChar w:fldCharType="begin"/>
      </w:r>
      <w:r w:rsidRPr="003C648C">
        <w:rPr>
          <w:b/>
        </w:rPr>
        <w:instrText xml:space="preserve"> REF _Ref96105171 \h  \* MERGEFORMAT </w:instrText>
      </w:r>
      <w:r w:rsidRPr="003C648C">
        <w:rPr>
          <w:b/>
        </w:rPr>
      </w:r>
      <w:r w:rsidRPr="003C648C">
        <w:rPr>
          <w:b/>
        </w:rPr>
        <w:fldChar w:fldCharType="separate"/>
      </w:r>
      <w:r w:rsidR="00145F42" w:rsidRPr="00145F42">
        <w:rPr>
          <w:b/>
        </w:rPr>
        <w:t>Table 43</w:t>
      </w:r>
      <w:r w:rsidRPr="003C648C">
        <w:rPr>
          <w:b/>
        </w:rPr>
        <w:fldChar w:fldCharType="end"/>
      </w:r>
      <w:r w:rsidRPr="00E34B03">
        <w:t>.</w:t>
      </w:r>
    </w:p>
    <w:p w14:paraId="515EE9FD" w14:textId="2873738E" w:rsidR="00724A2B" w:rsidRPr="005D58CB" w:rsidRDefault="00724A2B" w:rsidP="00724A2B">
      <w:pPr>
        <w:pStyle w:val="Caption"/>
      </w:pPr>
      <w:bookmarkStart w:id="605" w:name="_Ref96105171"/>
      <w:bookmarkStart w:id="606" w:name="_Toc98924753"/>
      <w:bookmarkStart w:id="607" w:name="_Toc127006673"/>
      <w:bookmarkStart w:id="608" w:name="_Toc129351018"/>
      <w:r w:rsidRPr="00A8173D">
        <w:lastRenderedPageBreak/>
        <w:t xml:space="preserve">Table </w:t>
      </w:r>
      <w:r w:rsidRPr="00A8173D">
        <w:fldChar w:fldCharType="begin"/>
      </w:r>
      <w:r w:rsidRPr="00A8173D">
        <w:instrText>SEQ Table \* ARABIC</w:instrText>
      </w:r>
      <w:r w:rsidRPr="00A8173D">
        <w:fldChar w:fldCharType="separate"/>
      </w:r>
      <w:r w:rsidR="00145F42">
        <w:rPr>
          <w:noProof/>
        </w:rPr>
        <w:t>43</w:t>
      </w:r>
      <w:r w:rsidRPr="00A8173D">
        <w:fldChar w:fldCharType="end"/>
      </w:r>
      <w:bookmarkEnd w:id="605"/>
      <w:r w:rsidRPr="00A8173D">
        <w:t xml:space="preserve">: </w:t>
      </w:r>
      <w:r w:rsidRPr="00A03015">
        <w:t>Summary of utility values by progression status</w:t>
      </w:r>
      <w:bookmarkEnd w:id="606"/>
      <w:r w:rsidRPr="00A03015">
        <w:t xml:space="preserve"> in the FAS pop</w:t>
      </w:r>
      <w:r w:rsidR="00945EE2">
        <w:t>ulation</w:t>
      </w:r>
      <w:bookmarkEnd w:id="607"/>
      <w:bookmarkEnd w:id="608"/>
    </w:p>
    <w:tbl>
      <w:tblPr>
        <w:tblStyle w:val="TableGrid"/>
        <w:tblW w:w="8843" w:type="dxa"/>
        <w:tblLook w:val="04A0" w:firstRow="1" w:lastRow="0" w:firstColumn="1" w:lastColumn="0" w:noHBand="0" w:noVBand="1"/>
      </w:tblPr>
      <w:tblGrid>
        <w:gridCol w:w="2947"/>
        <w:gridCol w:w="2948"/>
        <w:gridCol w:w="2948"/>
      </w:tblGrid>
      <w:tr w:rsidR="00724A2B" w:rsidRPr="00A03015" w14:paraId="3EFB11DB" w14:textId="77777777">
        <w:trPr>
          <w:trHeight w:val="263"/>
        </w:trPr>
        <w:tc>
          <w:tcPr>
            <w:tcW w:w="2947" w:type="dxa"/>
            <w:shd w:val="clear" w:color="auto" w:fill="D9D9D9" w:themeFill="background1" w:themeFillShade="D9"/>
          </w:tcPr>
          <w:p w14:paraId="414360CF" w14:textId="77777777" w:rsidR="00724A2B" w:rsidRPr="00A03015" w:rsidRDefault="00724A2B">
            <w:pPr>
              <w:pStyle w:val="NICETableHeader"/>
            </w:pPr>
            <w:r w:rsidRPr="00A03015">
              <w:t>Health state</w:t>
            </w:r>
          </w:p>
        </w:tc>
        <w:tc>
          <w:tcPr>
            <w:tcW w:w="2948" w:type="dxa"/>
            <w:shd w:val="clear" w:color="auto" w:fill="D9D9D9" w:themeFill="background1" w:themeFillShade="D9"/>
          </w:tcPr>
          <w:p w14:paraId="50E5AD21" w14:textId="77777777" w:rsidR="00724A2B" w:rsidRPr="00A03015" w:rsidRDefault="00724A2B">
            <w:pPr>
              <w:pStyle w:val="NICETableHeader"/>
              <w:jc w:val="center"/>
            </w:pPr>
            <w:r w:rsidRPr="00A03015">
              <w:t>Number of observations</w:t>
            </w:r>
          </w:p>
        </w:tc>
        <w:tc>
          <w:tcPr>
            <w:tcW w:w="2948" w:type="dxa"/>
            <w:shd w:val="clear" w:color="auto" w:fill="D9D9D9" w:themeFill="background1" w:themeFillShade="D9"/>
          </w:tcPr>
          <w:p w14:paraId="162FB337" w14:textId="3388BCF7" w:rsidR="00724A2B" w:rsidRPr="00A03015" w:rsidRDefault="00724A2B">
            <w:pPr>
              <w:pStyle w:val="NICETableHeader"/>
              <w:jc w:val="center"/>
            </w:pPr>
            <w:r w:rsidRPr="00A03015">
              <w:t>Mean (S</w:t>
            </w:r>
            <w:r w:rsidR="007C32ED">
              <w:t>D</w:t>
            </w:r>
            <w:r w:rsidRPr="00A03015">
              <w:t>)</w:t>
            </w:r>
          </w:p>
        </w:tc>
      </w:tr>
      <w:tr w:rsidR="00724A2B" w:rsidRPr="00A03015" w14:paraId="0D4D6B4F" w14:textId="77777777">
        <w:trPr>
          <w:trHeight w:val="263"/>
        </w:trPr>
        <w:tc>
          <w:tcPr>
            <w:tcW w:w="2947" w:type="dxa"/>
          </w:tcPr>
          <w:p w14:paraId="40E8E656" w14:textId="77777777" w:rsidR="00724A2B" w:rsidRPr="00A03015" w:rsidRDefault="00724A2B">
            <w:pPr>
              <w:pStyle w:val="NICETabletext"/>
            </w:pPr>
            <w:r w:rsidRPr="00A03015">
              <w:t>Progression-free</w:t>
            </w:r>
          </w:p>
        </w:tc>
        <w:tc>
          <w:tcPr>
            <w:tcW w:w="2948" w:type="dxa"/>
          </w:tcPr>
          <w:p w14:paraId="41D93AAC" w14:textId="6F22A738" w:rsidR="00724A2B" w:rsidRPr="00294FDC" w:rsidRDefault="00294FDC">
            <w:pPr>
              <w:pStyle w:val="NICETabletext"/>
              <w:jc w:val="center"/>
              <w:rPr>
                <w:color w:val="000000"/>
                <w:highlight w:val="black"/>
              </w:rPr>
            </w:pPr>
            <w:r w:rsidRPr="00294FDC">
              <w:rPr>
                <w:color w:val="000000"/>
                <w:highlight w:val="black"/>
              </w:rPr>
              <w:t>xxxxx</w:t>
            </w:r>
          </w:p>
        </w:tc>
        <w:tc>
          <w:tcPr>
            <w:tcW w:w="2948" w:type="dxa"/>
          </w:tcPr>
          <w:p w14:paraId="45ACB2A0" w14:textId="0BF7E55F" w:rsidR="00724A2B" w:rsidRPr="00294FDC" w:rsidRDefault="00294FDC">
            <w:pPr>
              <w:pStyle w:val="NICETabletext"/>
              <w:jc w:val="center"/>
              <w:rPr>
                <w:color w:val="000000"/>
                <w:highlight w:val="black"/>
              </w:rPr>
            </w:pPr>
            <w:r w:rsidRPr="00294FDC">
              <w:rPr>
                <w:color w:val="000000"/>
                <w:highlight w:val="black"/>
              </w:rPr>
              <w:t>xxxxxxxxxxxxx</w:t>
            </w:r>
          </w:p>
        </w:tc>
      </w:tr>
      <w:tr w:rsidR="00724A2B" w:rsidRPr="00A03015" w14:paraId="1A350B79" w14:textId="77777777">
        <w:trPr>
          <w:trHeight w:val="263"/>
        </w:trPr>
        <w:tc>
          <w:tcPr>
            <w:tcW w:w="2947" w:type="dxa"/>
          </w:tcPr>
          <w:p w14:paraId="6E1A7E9A" w14:textId="77777777" w:rsidR="00724A2B" w:rsidRPr="00A03015" w:rsidRDefault="00724A2B">
            <w:pPr>
              <w:pStyle w:val="NICETabletext"/>
            </w:pPr>
            <w:r w:rsidRPr="00A03015">
              <w:t>Post-progression</w:t>
            </w:r>
          </w:p>
        </w:tc>
        <w:tc>
          <w:tcPr>
            <w:tcW w:w="2948" w:type="dxa"/>
          </w:tcPr>
          <w:p w14:paraId="0977D009" w14:textId="3B3FD805" w:rsidR="00724A2B" w:rsidRPr="00294FDC" w:rsidRDefault="00294FDC">
            <w:pPr>
              <w:pStyle w:val="NICETabletext"/>
              <w:jc w:val="center"/>
              <w:rPr>
                <w:color w:val="000000"/>
                <w:highlight w:val="black"/>
              </w:rPr>
            </w:pPr>
            <w:r w:rsidRPr="00294FDC">
              <w:rPr>
                <w:color w:val="000000"/>
                <w:highlight w:val="black"/>
              </w:rPr>
              <w:t>xxx</w:t>
            </w:r>
          </w:p>
        </w:tc>
        <w:tc>
          <w:tcPr>
            <w:tcW w:w="2948" w:type="dxa"/>
          </w:tcPr>
          <w:p w14:paraId="5474A6EF" w14:textId="4037B04D" w:rsidR="00724A2B" w:rsidRPr="00294FDC" w:rsidRDefault="00294FDC">
            <w:pPr>
              <w:pStyle w:val="NICETabletext"/>
              <w:jc w:val="center"/>
              <w:rPr>
                <w:color w:val="000000"/>
                <w:highlight w:val="black"/>
              </w:rPr>
            </w:pPr>
            <w:r w:rsidRPr="00294FDC">
              <w:rPr>
                <w:rFonts w:cs="Arial"/>
                <w:color w:val="000000"/>
                <w:szCs w:val="20"/>
                <w:highlight w:val="black"/>
              </w:rPr>
              <w:t>xxxxxxxxxxxxx</w:t>
            </w:r>
          </w:p>
        </w:tc>
      </w:tr>
    </w:tbl>
    <w:p w14:paraId="0005E2F9" w14:textId="47FD8245" w:rsidR="00724A2B" w:rsidRPr="00A03015" w:rsidRDefault="00724A2B" w:rsidP="00A24DF5">
      <w:pPr>
        <w:pStyle w:val="Legend"/>
        <w:spacing w:before="0"/>
      </w:pPr>
      <w:r>
        <w:t>Abbreviation: FAS, full analysis set; S</w:t>
      </w:r>
      <w:r w:rsidR="006441F0">
        <w:t>D</w:t>
      </w:r>
      <w:r>
        <w:t xml:space="preserve">, standard </w:t>
      </w:r>
      <w:r w:rsidR="006441F0">
        <w:t>deviation.</w:t>
      </w:r>
    </w:p>
    <w:p w14:paraId="7A6E58C3" w14:textId="04B45103" w:rsidR="004B2DB5" w:rsidRPr="004B2DB5" w:rsidRDefault="004B2DB5" w:rsidP="003C648C">
      <w:pPr>
        <w:pStyle w:val="Legend"/>
        <w:spacing w:before="0" w:after="180"/>
      </w:pPr>
      <w:r>
        <w:t>Source:</w:t>
      </w:r>
      <w:r w:rsidR="006441F0">
        <w:t xml:space="preserve"> </w:t>
      </w:r>
      <w:r w:rsidR="006441F0" w:rsidRPr="00054570">
        <w:t>Daiichi Sankyo Inc., 2022 (CSR, Data on File).</w:t>
      </w:r>
      <w:r w:rsidR="006441F0" w:rsidRPr="00054570">
        <w:fldChar w:fldCharType="begin"/>
      </w:r>
      <w:r w:rsidR="00CA6345">
        <w:instrText xml:space="preserve"> ADDIN ZOTERO_ITEM CSL_CITATION {"citationID":"CEPQkVWM","properties":{"formattedCitation":"\\super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006441F0" w:rsidRPr="00054570">
        <w:fldChar w:fldCharType="separate"/>
      </w:r>
      <w:r w:rsidR="00FD57F4" w:rsidRPr="00FD57F4">
        <w:rPr>
          <w:szCs w:val="24"/>
          <w:vertAlign w:val="superscript"/>
        </w:rPr>
        <w:t>7</w:t>
      </w:r>
      <w:r w:rsidR="006441F0" w:rsidRPr="00054570">
        <w:fldChar w:fldCharType="end"/>
      </w:r>
    </w:p>
    <w:p w14:paraId="7CE11EE7" w14:textId="6092D21F" w:rsidR="00724A2B" w:rsidRPr="005D58CB" w:rsidDel="00B42A0A" w:rsidRDefault="005C7BCE" w:rsidP="00724A2B">
      <w:pPr>
        <w:pStyle w:val="Body"/>
      </w:pPr>
      <w:r>
        <w:t>A</w:t>
      </w:r>
      <w:r w:rsidRPr="003A2A71">
        <w:t xml:space="preserve"> linear transformation of 1-</w:t>
      </w:r>
      <w:r>
        <w:t xml:space="preserve"> the </w:t>
      </w:r>
      <w:r w:rsidRPr="003A2A71">
        <w:t xml:space="preserve">utility </w:t>
      </w:r>
      <w:r>
        <w:t xml:space="preserve">scores </w:t>
      </w:r>
      <w:r w:rsidRPr="003A2A71">
        <w:t>was conducted to model utility decrements using a log-normal distribution. This was done as utility values are not typically left-skewed with a higher concentration of values close to 1. By taking a linear transformation, common distributions for right-skewed data could be applied</w:t>
      </w:r>
      <w:r>
        <w:t>.</w:t>
      </w:r>
      <w:r w:rsidRPr="00A03015">
        <w:t xml:space="preserve"> </w:t>
      </w:r>
      <w:r w:rsidR="00724A2B" w:rsidRPr="00A03015">
        <w:t xml:space="preserve">Utility scores </w:t>
      </w:r>
      <w:r w:rsidR="00724A2B" w:rsidRPr="005D58CB">
        <w:t xml:space="preserve">were calculated from DESTINY-Breast04 using a data driven </w:t>
      </w:r>
      <w:r w:rsidR="00B728F3">
        <w:t>generalized linear</w:t>
      </w:r>
      <w:r w:rsidR="00724A2B" w:rsidRPr="005D58CB">
        <w:t xml:space="preserve"> mixed model approach. The mixed models were estimated using restricted maximum likelihood. </w:t>
      </w:r>
      <w:r w:rsidR="00724A2B" w:rsidRPr="00A03015">
        <w:t xml:space="preserve">EQ-5D-5L scores from all available time points, including baseline, were included in </w:t>
      </w:r>
      <w:r w:rsidR="00724A2B" w:rsidRPr="005D58CB">
        <w:t>a mixed model</w:t>
      </w:r>
      <w:r w:rsidR="00724A2B" w:rsidRPr="00A03015" w:rsidDel="007E79F0">
        <w:t xml:space="preserve"> </w:t>
      </w:r>
      <w:r w:rsidR="00724A2B" w:rsidRPr="00A03015">
        <w:t xml:space="preserve">as dependent variables. The mean utility values and associated 95% confidence intervals for the progression-free and post-progression health states for each treatment group </w:t>
      </w:r>
      <w:r w:rsidR="00724A2B" w:rsidRPr="005D58CB">
        <w:t xml:space="preserve">from the best fitting models </w:t>
      </w:r>
      <w:r w:rsidR="00724A2B" w:rsidRPr="00A03015">
        <w:t xml:space="preserve">were derived from the model using least squares means (LSM) </w:t>
      </w:r>
      <w:r w:rsidR="00724A2B" w:rsidRPr="005D58CB">
        <w:t xml:space="preserve">and regression coefficients. </w:t>
      </w:r>
    </w:p>
    <w:p w14:paraId="636B89D0" w14:textId="1153A609" w:rsidR="00724A2B" w:rsidRPr="00A03015" w:rsidRDefault="00724A2B" w:rsidP="00724A2B">
      <w:pPr>
        <w:pStyle w:val="Body"/>
      </w:pPr>
      <w:r w:rsidRPr="00A03015">
        <w:t xml:space="preserve">An overview of the </w:t>
      </w:r>
      <w:r w:rsidRPr="005D58CB">
        <w:t xml:space="preserve">regression coefficients for the final model in the FAS population </w:t>
      </w:r>
      <w:r w:rsidRPr="00A03015">
        <w:t xml:space="preserve">is provided in </w:t>
      </w:r>
      <w:r w:rsidRPr="003C648C">
        <w:rPr>
          <w:b/>
          <w:bCs/>
        </w:rPr>
        <w:fldChar w:fldCharType="begin"/>
      </w:r>
      <w:r w:rsidRPr="003C648C">
        <w:rPr>
          <w:b/>
          <w:bCs/>
        </w:rPr>
        <w:instrText xml:space="preserve"> REF _Ref96105180 \h </w:instrText>
      </w:r>
      <w:r w:rsidR="00BB06FD">
        <w:rPr>
          <w:b/>
          <w:bCs/>
        </w:rPr>
        <w:instrText xml:space="preserve"> \* MERGEFORMAT </w:instrText>
      </w:r>
      <w:r w:rsidRPr="003C648C">
        <w:rPr>
          <w:b/>
          <w:bCs/>
        </w:rPr>
      </w:r>
      <w:r w:rsidRPr="003C648C">
        <w:rPr>
          <w:b/>
          <w:bCs/>
        </w:rPr>
        <w:fldChar w:fldCharType="separate"/>
      </w:r>
      <w:r w:rsidR="00145F42" w:rsidRPr="00145F42">
        <w:rPr>
          <w:b/>
          <w:bCs/>
        </w:rPr>
        <w:t xml:space="preserve">Table </w:t>
      </w:r>
      <w:r w:rsidR="00145F42" w:rsidRPr="00145F42">
        <w:rPr>
          <w:b/>
          <w:bCs/>
          <w:noProof/>
        </w:rPr>
        <w:t>44</w:t>
      </w:r>
      <w:r w:rsidRPr="003C648C">
        <w:rPr>
          <w:b/>
          <w:bCs/>
        </w:rPr>
        <w:fldChar w:fldCharType="end"/>
      </w:r>
      <w:r w:rsidRPr="00A03015">
        <w:t xml:space="preserve">. </w:t>
      </w:r>
      <w:r w:rsidRPr="005D58CB">
        <w:t xml:space="preserve">As a linear transformation was conducted to model utility decrements, negative regression coefficients denote an improvement in </w:t>
      </w:r>
      <w:r w:rsidR="006421C0">
        <w:t>QoL</w:t>
      </w:r>
      <w:r w:rsidRPr="005D58CB">
        <w:t>.</w:t>
      </w:r>
    </w:p>
    <w:p w14:paraId="2F92EEF8" w14:textId="11519904" w:rsidR="00724A2B" w:rsidRPr="00A03015" w:rsidRDefault="00724A2B" w:rsidP="00724A2B">
      <w:pPr>
        <w:pStyle w:val="Caption"/>
      </w:pPr>
      <w:bookmarkStart w:id="609" w:name="_Ref96105180"/>
      <w:bookmarkStart w:id="610" w:name="_Toc98924754"/>
      <w:bookmarkStart w:id="611" w:name="_Toc127006674"/>
      <w:bookmarkStart w:id="612" w:name="_Toc129351019"/>
      <w:r w:rsidRPr="00A03015">
        <w:t xml:space="preserve">Table </w:t>
      </w:r>
      <w:r w:rsidRPr="00A03015">
        <w:fldChar w:fldCharType="begin"/>
      </w:r>
      <w:r w:rsidRPr="00A03015">
        <w:instrText>SEQ Table \* ARABIC</w:instrText>
      </w:r>
      <w:r w:rsidRPr="00A03015">
        <w:fldChar w:fldCharType="separate"/>
      </w:r>
      <w:r w:rsidR="00145F42">
        <w:rPr>
          <w:noProof/>
        </w:rPr>
        <w:t>44</w:t>
      </w:r>
      <w:r w:rsidRPr="00A03015">
        <w:fldChar w:fldCharType="end"/>
      </w:r>
      <w:bookmarkEnd w:id="609"/>
      <w:r w:rsidRPr="00A03015">
        <w:t>: Regression coefficients</w:t>
      </w:r>
      <w:bookmarkEnd w:id="610"/>
      <w:bookmarkEnd w:id="611"/>
      <w:bookmarkEnd w:id="612"/>
    </w:p>
    <w:tbl>
      <w:tblPr>
        <w:tblStyle w:val="TableGrid"/>
        <w:tblW w:w="0" w:type="auto"/>
        <w:tblLayout w:type="fixed"/>
        <w:tblLook w:val="04A0" w:firstRow="1" w:lastRow="0" w:firstColumn="1" w:lastColumn="0" w:noHBand="0" w:noVBand="1"/>
      </w:tblPr>
      <w:tblGrid>
        <w:gridCol w:w="3823"/>
        <w:gridCol w:w="1731"/>
        <w:gridCol w:w="1731"/>
        <w:gridCol w:w="1732"/>
      </w:tblGrid>
      <w:tr w:rsidR="00724A2B" w:rsidRPr="00A03015" w14:paraId="70D684B3" w14:textId="77777777">
        <w:tc>
          <w:tcPr>
            <w:tcW w:w="3823" w:type="dxa"/>
            <w:shd w:val="clear" w:color="auto" w:fill="D9D9D9" w:themeFill="background1" w:themeFillShade="D9"/>
          </w:tcPr>
          <w:p w14:paraId="32E663FB" w14:textId="77777777" w:rsidR="00724A2B" w:rsidRPr="00A03015" w:rsidRDefault="00724A2B">
            <w:pPr>
              <w:pStyle w:val="NICETableHeader"/>
            </w:pPr>
            <w:r w:rsidRPr="00A03015">
              <w:t>Coefficient</w:t>
            </w:r>
          </w:p>
        </w:tc>
        <w:tc>
          <w:tcPr>
            <w:tcW w:w="1731" w:type="dxa"/>
            <w:shd w:val="clear" w:color="auto" w:fill="D9D9D9" w:themeFill="background1" w:themeFillShade="D9"/>
          </w:tcPr>
          <w:p w14:paraId="4B965D63" w14:textId="77777777" w:rsidR="00724A2B" w:rsidRPr="00A03015" w:rsidRDefault="00724A2B">
            <w:pPr>
              <w:pStyle w:val="NICETableHeader"/>
              <w:jc w:val="center"/>
            </w:pPr>
            <w:r w:rsidRPr="00A03015">
              <w:t>Value</w:t>
            </w:r>
          </w:p>
        </w:tc>
        <w:tc>
          <w:tcPr>
            <w:tcW w:w="1731" w:type="dxa"/>
            <w:shd w:val="clear" w:color="auto" w:fill="D9D9D9" w:themeFill="background1" w:themeFillShade="D9"/>
          </w:tcPr>
          <w:p w14:paraId="62898A8F" w14:textId="77777777" w:rsidR="00724A2B" w:rsidRPr="00A03015" w:rsidRDefault="00724A2B">
            <w:pPr>
              <w:pStyle w:val="NICETableHeader"/>
              <w:jc w:val="center"/>
            </w:pPr>
            <w:r w:rsidRPr="00A03015">
              <w:t>95% CI</w:t>
            </w:r>
          </w:p>
        </w:tc>
        <w:tc>
          <w:tcPr>
            <w:tcW w:w="1732" w:type="dxa"/>
            <w:shd w:val="clear" w:color="auto" w:fill="D9D9D9" w:themeFill="background1" w:themeFillShade="D9"/>
          </w:tcPr>
          <w:p w14:paraId="519589DB" w14:textId="77777777" w:rsidR="00724A2B" w:rsidRPr="00A03015" w:rsidRDefault="00724A2B">
            <w:pPr>
              <w:pStyle w:val="NICETableHeader"/>
              <w:jc w:val="center"/>
            </w:pPr>
            <w:r w:rsidRPr="00A03015">
              <w:t>p-value</w:t>
            </w:r>
          </w:p>
        </w:tc>
      </w:tr>
      <w:tr w:rsidR="00724A2B" w:rsidRPr="00A03015" w14:paraId="55D23367" w14:textId="77777777">
        <w:tc>
          <w:tcPr>
            <w:tcW w:w="9017" w:type="dxa"/>
            <w:gridSpan w:val="4"/>
          </w:tcPr>
          <w:p w14:paraId="70ADC7AD" w14:textId="2568D79D" w:rsidR="00724A2B" w:rsidRPr="00A03015" w:rsidRDefault="00724A2B">
            <w:pPr>
              <w:pStyle w:val="NICETabletext"/>
              <w:rPr>
                <w:b/>
                <w:bCs/>
                <w:i/>
                <w:iCs/>
              </w:rPr>
            </w:pPr>
            <w:r>
              <w:rPr>
                <w:b/>
                <w:bCs/>
                <w:i/>
                <w:iCs/>
              </w:rPr>
              <w:t>Final regression model</w:t>
            </w:r>
          </w:p>
        </w:tc>
      </w:tr>
      <w:tr w:rsidR="00724A2B" w:rsidRPr="00A03015" w14:paraId="15D60836" w14:textId="77777777">
        <w:tc>
          <w:tcPr>
            <w:tcW w:w="3823" w:type="dxa"/>
          </w:tcPr>
          <w:p w14:paraId="7C0AE47C" w14:textId="77777777" w:rsidR="00724A2B" w:rsidRPr="005D58CB" w:rsidRDefault="00724A2B">
            <w:pPr>
              <w:pStyle w:val="NICETabletext"/>
            </w:pPr>
            <w:r w:rsidRPr="005D58CB">
              <w:t>Intercept</w:t>
            </w:r>
          </w:p>
        </w:tc>
        <w:tc>
          <w:tcPr>
            <w:tcW w:w="1731" w:type="dxa"/>
            <w:vAlign w:val="center"/>
          </w:tcPr>
          <w:p w14:paraId="48EC62BB" w14:textId="6C9F2A7F" w:rsidR="00724A2B" w:rsidRPr="00294FDC" w:rsidRDefault="00294FDC">
            <w:pPr>
              <w:pStyle w:val="NICETabletext"/>
              <w:jc w:val="center"/>
              <w:rPr>
                <w:color w:val="000000"/>
                <w:highlight w:val="black"/>
              </w:rPr>
            </w:pPr>
            <w:r w:rsidRPr="00294FDC">
              <w:rPr>
                <w:color w:val="000000"/>
                <w:highlight w:val="black"/>
              </w:rPr>
              <w:t>xxxxxx</w:t>
            </w:r>
          </w:p>
        </w:tc>
        <w:tc>
          <w:tcPr>
            <w:tcW w:w="1731" w:type="dxa"/>
            <w:vAlign w:val="center"/>
          </w:tcPr>
          <w:p w14:paraId="2F94792D" w14:textId="55AAB703" w:rsidR="00724A2B" w:rsidRPr="00294FDC" w:rsidRDefault="00294FDC">
            <w:pPr>
              <w:pStyle w:val="NICETabletext"/>
              <w:jc w:val="center"/>
              <w:rPr>
                <w:color w:val="000000"/>
                <w:highlight w:val="black"/>
              </w:rPr>
            </w:pPr>
            <w:r w:rsidRPr="00294FDC">
              <w:rPr>
                <w:color w:val="000000"/>
                <w:highlight w:val="black"/>
              </w:rPr>
              <w:t>xxxxxxxxxxxxxx</w:t>
            </w:r>
          </w:p>
        </w:tc>
        <w:tc>
          <w:tcPr>
            <w:tcW w:w="1732" w:type="dxa"/>
          </w:tcPr>
          <w:p w14:paraId="6DF973A2" w14:textId="3F8B4EF3" w:rsidR="00724A2B" w:rsidRPr="00294FDC" w:rsidRDefault="00294FDC">
            <w:pPr>
              <w:pStyle w:val="NICETabletext"/>
              <w:jc w:val="center"/>
              <w:rPr>
                <w:color w:val="000000"/>
                <w:highlight w:val="black"/>
              </w:rPr>
            </w:pPr>
            <w:r w:rsidRPr="00294FDC">
              <w:rPr>
                <w:color w:val="000000"/>
                <w:highlight w:val="black"/>
              </w:rPr>
              <w:t>x</w:t>
            </w:r>
          </w:p>
        </w:tc>
      </w:tr>
      <w:tr w:rsidR="00724A2B" w:rsidRPr="00A03015" w14:paraId="59D5B4A2" w14:textId="77777777">
        <w:tc>
          <w:tcPr>
            <w:tcW w:w="3823" w:type="dxa"/>
          </w:tcPr>
          <w:p w14:paraId="4F05CAEB" w14:textId="77777777" w:rsidR="00724A2B" w:rsidRPr="005D58CB" w:rsidRDefault="00724A2B">
            <w:pPr>
              <w:pStyle w:val="NICETabletext"/>
            </w:pPr>
            <w:r w:rsidRPr="005D58CB">
              <w:t>Treatment (T-DXd vs. TPC)</w:t>
            </w:r>
          </w:p>
        </w:tc>
        <w:tc>
          <w:tcPr>
            <w:tcW w:w="1731" w:type="dxa"/>
            <w:vAlign w:val="center"/>
          </w:tcPr>
          <w:p w14:paraId="2C468844" w14:textId="3A72A92B" w:rsidR="00724A2B" w:rsidRPr="00294FDC" w:rsidRDefault="00294FDC">
            <w:pPr>
              <w:pStyle w:val="NICETabletext"/>
              <w:jc w:val="center"/>
              <w:rPr>
                <w:color w:val="000000"/>
                <w:highlight w:val="black"/>
              </w:rPr>
            </w:pPr>
            <w:r w:rsidRPr="00294FDC">
              <w:rPr>
                <w:color w:val="000000"/>
                <w:highlight w:val="black"/>
              </w:rPr>
              <w:t>xxxxxx</w:t>
            </w:r>
          </w:p>
        </w:tc>
        <w:tc>
          <w:tcPr>
            <w:tcW w:w="1731" w:type="dxa"/>
            <w:vAlign w:val="center"/>
          </w:tcPr>
          <w:p w14:paraId="28E66BF3" w14:textId="6CFDB3D8" w:rsidR="00724A2B" w:rsidRPr="00294FDC" w:rsidRDefault="00294FDC">
            <w:pPr>
              <w:pStyle w:val="NICETabletext"/>
              <w:jc w:val="center"/>
              <w:rPr>
                <w:color w:val="000000"/>
                <w:highlight w:val="black"/>
              </w:rPr>
            </w:pPr>
            <w:r w:rsidRPr="00294FDC">
              <w:rPr>
                <w:color w:val="000000"/>
                <w:highlight w:val="black"/>
              </w:rPr>
              <w:t>xxxxxxxxxxxxxx</w:t>
            </w:r>
          </w:p>
        </w:tc>
        <w:tc>
          <w:tcPr>
            <w:tcW w:w="1732" w:type="dxa"/>
            <w:vAlign w:val="center"/>
          </w:tcPr>
          <w:p w14:paraId="2AC81B8D" w14:textId="1FFD568D" w:rsidR="00724A2B" w:rsidRPr="00294FDC" w:rsidRDefault="00294FDC">
            <w:pPr>
              <w:pStyle w:val="NICETabletext"/>
              <w:jc w:val="center"/>
              <w:rPr>
                <w:color w:val="000000"/>
                <w:highlight w:val="black"/>
              </w:rPr>
            </w:pPr>
            <w:r w:rsidRPr="00294FDC">
              <w:rPr>
                <w:color w:val="000000"/>
                <w:highlight w:val="black"/>
              </w:rPr>
              <w:t>xxxxxx</w:t>
            </w:r>
          </w:p>
        </w:tc>
      </w:tr>
      <w:tr w:rsidR="00724A2B" w:rsidRPr="00A03015" w14:paraId="7B937076" w14:textId="77777777">
        <w:tc>
          <w:tcPr>
            <w:tcW w:w="3823" w:type="dxa"/>
          </w:tcPr>
          <w:p w14:paraId="767F7E78" w14:textId="01785F69" w:rsidR="00724A2B" w:rsidRPr="005D58CB" w:rsidRDefault="00724A2B">
            <w:pPr>
              <w:pStyle w:val="NICETabletext"/>
            </w:pPr>
            <w:r w:rsidRPr="005D58CB">
              <w:t>ECOG performance status (</w:t>
            </w:r>
            <w:r w:rsidR="00854134">
              <w:t>1</w:t>
            </w:r>
            <w:r w:rsidRPr="005D58CB">
              <w:t xml:space="preserve"> vs. </w:t>
            </w:r>
            <w:r w:rsidR="00854134">
              <w:t>0</w:t>
            </w:r>
            <w:r w:rsidRPr="005D58CB">
              <w:t>)</w:t>
            </w:r>
          </w:p>
        </w:tc>
        <w:tc>
          <w:tcPr>
            <w:tcW w:w="1731" w:type="dxa"/>
            <w:vAlign w:val="center"/>
          </w:tcPr>
          <w:p w14:paraId="1423B6B6" w14:textId="504CA0CA" w:rsidR="00724A2B" w:rsidRPr="00294FDC" w:rsidRDefault="00294FDC">
            <w:pPr>
              <w:pStyle w:val="NICETabletext"/>
              <w:jc w:val="center"/>
              <w:rPr>
                <w:color w:val="000000"/>
                <w:highlight w:val="black"/>
              </w:rPr>
            </w:pPr>
            <w:r w:rsidRPr="00294FDC">
              <w:rPr>
                <w:color w:val="000000"/>
                <w:highlight w:val="black"/>
              </w:rPr>
              <w:t>xxxxx</w:t>
            </w:r>
          </w:p>
        </w:tc>
        <w:tc>
          <w:tcPr>
            <w:tcW w:w="1731" w:type="dxa"/>
            <w:vAlign w:val="center"/>
          </w:tcPr>
          <w:p w14:paraId="392513FF" w14:textId="5DCBA914" w:rsidR="00724A2B" w:rsidRPr="00294FDC" w:rsidRDefault="00294FDC">
            <w:pPr>
              <w:pStyle w:val="NICETabletext"/>
              <w:jc w:val="center"/>
              <w:rPr>
                <w:color w:val="000000"/>
                <w:highlight w:val="black"/>
              </w:rPr>
            </w:pPr>
            <w:r w:rsidRPr="00294FDC">
              <w:rPr>
                <w:color w:val="000000"/>
                <w:highlight w:val="black"/>
              </w:rPr>
              <w:t>xxxxxxxxxxxx</w:t>
            </w:r>
          </w:p>
        </w:tc>
        <w:tc>
          <w:tcPr>
            <w:tcW w:w="1732" w:type="dxa"/>
            <w:vAlign w:val="center"/>
          </w:tcPr>
          <w:p w14:paraId="5E7CFA19" w14:textId="61F78081" w:rsidR="00724A2B" w:rsidRPr="00294FDC" w:rsidRDefault="00294FDC">
            <w:pPr>
              <w:pStyle w:val="NICETabletext"/>
              <w:jc w:val="center"/>
              <w:rPr>
                <w:color w:val="000000"/>
                <w:highlight w:val="black"/>
              </w:rPr>
            </w:pPr>
            <w:r w:rsidRPr="00294FDC">
              <w:rPr>
                <w:color w:val="000000"/>
                <w:highlight w:val="black"/>
              </w:rPr>
              <w:t>xxxxxx</w:t>
            </w:r>
          </w:p>
        </w:tc>
      </w:tr>
      <w:tr w:rsidR="00724A2B" w:rsidRPr="00A03015" w14:paraId="0D58584F" w14:textId="77777777">
        <w:tc>
          <w:tcPr>
            <w:tcW w:w="3823" w:type="dxa"/>
          </w:tcPr>
          <w:p w14:paraId="624E67D6" w14:textId="77777777" w:rsidR="00724A2B" w:rsidRPr="005D58CB" w:rsidRDefault="00724A2B">
            <w:pPr>
              <w:pStyle w:val="NICETabletext"/>
            </w:pPr>
            <w:r w:rsidRPr="005D58CB">
              <w:t>Progression status (progressed vs. progression free)</w:t>
            </w:r>
          </w:p>
        </w:tc>
        <w:tc>
          <w:tcPr>
            <w:tcW w:w="1731" w:type="dxa"/>
            <w:vAlign w:val="center"/>
          </w:tcPr>
          <w:p w14:paraId="74F25814" w14:textId="6479BECA" w:rsidR="00724A2B" w:rsidRPr="00294FDC" w:rsidRDefault="00294FDC">
            <w:pPr>
              <w:pStyle w:val="NICETabletext"/>
              <w:jc w:val="center"/>
              <w:rPr>
                <w:color w:val="000000"/>
                <w:highlight w:val="black"/>
              </w:rPr>
            </w:pPr>
            <w:r w:rsidRPr="00294FDC">
              <w:rPr>
                <w:color w:val="000000"/>
                <w:highlight w:val="black"/>
              </w:rPr>
              <w:t>xxxxx</w:t>
            </w:r>
          </w:p>
        </w:tc>
        <w:tc>
          <w:tcPr>
            <w:tcW w:w="1731" w:type="dxa"/>
            <w:vAlign w:val="center"/>
          </w:tcPr>
          <w:p w14:paraId="1029E138" w14:textId="6A382AB8" w:rsidR="00724A2B" w:rsidRPr="00294FDC" w:rsidRDefault="00294FDC">
            <w:pPr>
              <w:pStyle w:val="NICETabletext"/>
              <w:jc w:val="center"/>
              <w:rPr>
                <w:color w:val="000000"/>
                <w:highlight w:val="black"/>
              </w:rPr>
            </w:pPr>
            <w:r w:rsidRPr="00294FDC">
              <w:rPr>
                <w:color w:val="000000"/>
                <w:highlight w:val="black"/>
              </w:rPr>
              <w:t>xxxxxxxxxxxx</w:t>
            </w:r>
          </w:p>
        </w:tc>
        <w:tc>
          <w:tcPr>
            <w:tcW w:w="1732" w:type="dxa"/>
            <w:vAlign w:val="center"/>
          </w:tcPr>
          <w:p w14:paraId="31B1CED4" w14:textId="2D1E740E" w:rsidR="00724A2B" w:rsidRPr="00294FDC" w:rsidRDefault="00294FDC">
            <w:pPr>
              <w:pStyle w:val="NICETabletext"/>
              <w:jc w:val="center"/>
              <w:rPr>
                <w:color w:val="000000"/>
                <w:highlight w:val="black"/>
              </w:rPr>
            </w:pPr>
            <w:r w:rsidRPr="00294FDC">
              <w:rPr>
                <w:color w:val="000000"/>
                <w:highlight w:val="black"/>
              </w:rPr>
              <w:t>xxxxxx</w:t>
            </w:r>
          </w:p>
        </w:tc>
      </w:tr>
      <w:tr w:rsidR="00724A2B" w:rsidRPr="00A03015" w14:paraId="75BC4444" w14:textId="77777777">
        <w:tc>
          <w:tcPr>
            <w:tcW w:w="3823" w:type="dxa"/>
          </w:tcPr>
          <w:p w14:paraId="11409882" w14:textId="77777777" w:rsidR="00724A2B" w:rsidRPr="005D58CB" w:rsidRDefault="00724A2B">
            <w:pPr>
              <w:pStyle w:val="NICETabletext"/>
            </w:pPr>
            <w:r w:rsidRPr="005D58CB">
              <w:t>Treatment status (off-treatment vs. on-treatment)</w:t>
            </w:r>
          </w:p>
        </w:tc>
        <w:tc>
          <w:tcPr>
            <w:tcW w:w="1731" w:type="dxa"/>
            <w:vAlign w:val="center"/>
          </w:tcPr>
          <w:p w14:paraId="7627637A" w14:textId="1C4551B4" w:rsidR="00724A2B" w:rsidRPr="00294FDC" w:rsidRDefault="00294FDC">
            <w:pPr>
              <w:pStyle w:val="NICETabletext"/>
              <w:jc w:val="center"/>
              <w:rPr>
                <w:color w:val="000000"/>
                <w:highlight w:val="black"/>
              </w:rPr>
            </w:pPr>
            <w:r w:rsidRPr="00294FDC">
              <w:rPr>
                <w:color w:val="000000"/>
                <w:highlight w:val="black"/>
              </w:rPr>
              <w:t>xxxxx</w:t>
            </w:r>
          </w:p>
        </w:tc>
        <w:tc>
          <w:tcPr>
            <w:tcW w:w="1731" w:type="dxa"/>
            <w:vAlign w:val="center"/>
          </w:tcPr>
          <w:p w14:paraId="60203E9F" w14:textId="2BE5D97A" w:rsidR="00724A2B" w:rsidRPr="00294FDC" w:rsidRDefault="00294FDC">
            <w:pPr>
              <w:pStyle w:val="NICETabletext"/>
              <w:jc w:val="center"/>
              <w:rPr>
                <w:color w:val="000000"/>
                <w:highlight w:val="black"/>
              </w:rPr>
            </w:pPr>
            <w:r w:rsidRPr="00294FDC">
              <w:rPr>
                <w:color w:val="000000"/>
                <w:highlight w:val="black"/>
              </w:rPr>
              <w:t>xxxxxxxxxxxx</w:t>
            </w:r>
          </w:p>
        </w:tc>
        <w:tc>
          <w:tcPr>
            <w:tcW w:w="1732" w:type="dxa"/>
            <w:vAlign w:val="center"/>
          </w:tcPr>
          <w:p w14:paraId="500F4AFA" w14:textId="1F4C68EC" w:rsidR="00724A2B" w:rsidRPr="00294FDC" w:rsidRDefault="00294FDC">
            <w:pPr>
              <w:pStyle w:val="NICETabletext"/>
              <w:jc w:val="center"/>
              <w:rPr>
                <w:color w:val="000000"/>
                <w:highlight w:val="black"/>
              </w:rPr>
            </w:pPr>
            <w:r w:rsidRPr="00294FDC">
              <w:rPr>
                <w:color w:val="000000"/>
                <w:highlight w:val="black"/>
              </w:rPr>
              <w:t>xxxxxx</w:t>
            </w:r>
          </w:p>
        </w:tc>
      </w:tr>
    </w:tbl>
    <w:p w14:paraId="5293D0AD" w14:textId="77777777" w:rsidR="00724A2B" w:rsidRPr="005D58CB" w:rsidRDefault="00724A2B" w:rsidP="003C648C">
      <w:pPr>
        <w:pStyle w:val="Footnotes"/>
        <w:keepNext/>
        <w:spacing w:after="0"/>
      </w:pPr>
      <w:r w:rsidRPr="00A03015">
        <w:t xml:space="preserve">Abbreviations: CI, confidence interval; T-DXd, trastuzumab deruxtecan; </w:t>
      </w:r>
      <w:r w:rsidRPr="005D58CB">
        <w:t>TPC, treatment of physician’s choice.</w:t>
      </w:r>
    </w:p>
    <w:p w14:paraId="0BB94CF3" w14:textId="5D3C0660" w:rsidR="00724A2B" w:rsidRPr="005D58CB" w:rsidRDefault="00724A2B" w:rsidP="003C648C">
      <w:pPr>
        <w:pStyle w:val="Body"/>
        <w:keepNext/>
      </w:pPr>
      <w:r w:rsidRPr="005D58CB">
        <w:rPr>
          <w:sz w:val="18"/>
          <w:szCs w:val="18"/>
        </w:rPr>
        <w:t>Source: Daiichi Sankyo Inc., 2022 (Model technical report, Data on File)</w:t>
      </w:r>
      <w:r w:rsidRPr="005D58CB">
        <w:rPr>
          <w:sz w:val="18"/>
          <w:szCs w:val="18"/>
        </w:rPr>
        <w:fldChar w:fldCharType="begin"/>
      </w:r>
      <w:r w:rsidR="00CA6345">
        <w:rPr>
          <w:sz w:val="18"/>
          <w:szCs w:val="18"/>
        </w:rPr>
        <w:instrText xml:space="preserve"> ADDIN ZOTERO_ITEM CSL_CITATION {"citationID":"TKQT8H6D","properties":{"formattedCitation":"\\super 174\\nosupersub{}","plainCitation":"174","noteIndex":0},"citationItems":[{"id":66196,"uris":["http://zotero.org/groups/4797619/items/PWIKBPLZ"],"itemData":{"id":66196,"type":"document","title":"Technical Report for Global Cost-effectiveness and Budget Impact Model for T-DXd in HER2-low Metastatic and/or Unresectable Breast Cancer. Data on File","author":[{"family":"Daiichi Sankyo Inc.","given":""}],"issued":{"date-parts":[["2022",10]]}}}],"schema":"https://github.com/citation-style-language/schema/raw/master/csl-citation.json"} </w:instrText>
      </w:r>
      <w:r w:rsidRPr="005D58CB">
        <w:rPr>
          <w:sz w:val="18"/>
          <w:szCs w:val="18"/>
        </w:rPr>
        <w:fldChar w:fldCharType="separate"/>
      </w:r>
      <w:r w:rsidR="00CA6345" w:rsidRPr="00CA6345">
        <w:rPr>
          <w:rFonts w:cs="Arial"/>
          <w:sz w:val="18"/>
          <w:szCs w:val="24"/>
          <w:vertAlign w:val="superscript"/>
        </w:rPr>
        <w:t>174</w:t>
      </w:r>
      <w:r w:rsidRPr="005D58CB">
        <w:rPr>
          <w:sz w:val="18"/>
          <w:szCs w:val="18"/>
        </w:rPr>
        <w:fldChar w:fldCharType="end"/>
      </w:r>
      <w:r w:rsidRPr="005D58CB">
        <w:rPr>
          <w:sz w:val="18"/>
          <w:szCs w:val="18"/>
        </w:rPr>
        <w:t xml:space="preserve"> </w:t>
      </w:r>
    </w:p>
    <w:p w14:paraId="5EC9C06C" w14:textId="31A3009E" w:rsidR="00724A2B" w:rsidRPr="00A51E45" w:rsidRDefault="00641974" w:rsidP="003C648C">
      <w:pPr>
        <w:pStyle w:val="C-BodyText"/>
      </w:pPr>
      <w:r w:rsidRPr="00471112">
        <w:rPr>
          <w:rFonts w:ascii="Arial" w:eastAsiaTheme="minorHAnsi" w:hAnsi="Arial" w:cstheme="minorBidi"/>
          <w:sz w:val="22"/>
          <w:szCs w:val="22"/>
          <w:lang w:val="en-GB"/>
        </w:rPr>
        <w:t xml:space="preserve">A backwards selection approach was used </w:t>
      </w:r>
      <w:r w:rsidR="000B4F3A" w:rsidRPr="00471112">
        <w:rPr>
          <w:rFonts w:ascii="Arial" w:eastAsiaTheme="minorHAnsi" w:hAnsi="Arial" w:cstheme="minorBidi"/>
          <w:sz w:val="22"/>
          <w:szCs w:val="22"/>
          <w:lang w:val="en-GB"/>
        </w:rPr>
        <w:t>to determine the final model</w:t>
      </w:r>
      <w:r w:rsidR="00A51E45">
        <w:rPr>
          <w:rFonts w:ascii="Arial" w:eastAsiaTheme="minorHAnsi" w:hAnsi="Arial" w:cstheme="minorBidi"/>
          <w:sz w:val="22"/>
          <w:szCs w:val="22"/>
          <w:lang w:val="en-GB"/>
        </w:rPr>
        <w:t>,</w:t>
      </w:r>
      <w:r w:rsidR="00F26C39">
        <w:rPr>
          <w:rFonts w:ascii="Arial" w:eastAsiaTheme="minorHAnsi" w:hAnsi="Arial" w:cstheme="minorBidi"/>
          <w:sz w:val="22"/>
          <w:szCs w:val="22"/>
          <w:lang w:val="en-GB"/>
        </w:rPr>
        <w:t xml:space="preserve"> </w:t>
      </w:r>
      <w:r w:rsidR="006B0225">
        <w:rPr>
          <w:rFonts w:ascii="Arial" w:eastAsiaTheme="minorHAnsi" w:hAnsi="Arial" w:cstheme="minorBidi"/>
          <w:sz w:val="22"/>
          <w:szCs w:val="22"/>
          <w:lang w:val="en-GB"/>
        </w:rPr>
        <w:t xml:space="preserve">using a </w:t>
      </w:r>
      <w:r w:rsidR="00F26C39">
        <w:rPr>
          <w:rFonts w:ascii="Arial" w:eastAsiaTheme="minorHAnsi" w:hAnsi="Arial" w:cstheme="minorBidi"/>
          <w:sz w:val="22"/>
          <w:szCs w:val="22"/>
          <w:lang w:val="en-GB"/>
        </w:rPr>
        <w:t>p-value</w:t>
      </w:r>
      <w:r w:rsidR="006B0225">
        <w:rPr>
          <w:rFonts w:ascii="Arial" w:eastAsiaTheme="minorHAnsi" w:hAnsi="Arial" w:cstheme="minorBidi"/>
          <w:sz w:val="22"/>
          <w:szCs w:val="22"/>
          <w:lang w:val="en-GB"/>
        </w:rPr>
        <w:t xml:space="preserve"> threshold of </w:t>
      </w:r>
      <w:r w:rsidR="00F26C39">
        <w:rPr>
          <w:rFonts w:ascii="Arial" w:eastAsiaTheme="minorHAnsi" w:hAnsi="Arial" w:cstheme="minorBidi"/>
          <w:sz w:val="22"/>
          <w:szCs w:val="22"/>
          <w:lang w:val="en-GB"/>
        </w:rPr>
        <w:t xml:space="preserve">&lt;0.05 </w:t>
      </w:r>
      <w:r w:rsidR="006B0225">
        <w:rPr>
          <w:rFonts w:ascii="Arial" w:eastAsiaTheme="minorHAnsi" w:hAnsi="Arial" w:cstheme="minorBidi"/>
          <w:sz w:val="22"/>
          <w:szCs w:val="22"/>
          <w:lang w:val="en-GB"/>
        </w:rPr>
        <w:t xml:space="preserve">to remove covariates which </w:t>
      </w:r>
      <w:r w:rsidR="00A51E45">
        <w:rPr>
          <w:rFonts w:ascii="Arial" w:eastAsiaTheme="minorHAnsi" w:hAnsi="Arial" w:cstheme="minorBidi"/>
          <w:sz w:val="22"/>
          <w:szCs w:val="22"/>
          <w:lang w:val="en-GB"/>
        </w:rPr>
        <w:t>were</w:t>
      </w:r>
      <w:r w:rsidR="006B0225">
        <w:rPr>
          <w:rFonts w:ascii="Arial" w:eastAsiaTheme="minorHAnsi" w:hAnsi="Arial" w:cstheme="minorBidi"/>
          <w:sz w:val="22"/>
          <w:szCs w:val="22"/>
          <w:lang w:val="en-GB"/>
        </w:rPr>
        <w:t xml:space="preserve"> not statistically significantly </w:t>
      </w:r>
      <w:r w:rsidR="00A51E45">
        <w:rPr>
          <w:rFonts w:ascii="Arial" w:eastAsiaTheme="minorHAnsi" w:hAnsi="Arial" w:cstheme="minorBidi"/>
          <w:sz w:val="22"/>
          <w:szCs w:val="22"/>
          <w:lang w:val="en-GB"/>
        </w:rPr>
        <w:t>associated with utility.</w:t>
      </w:r>
      <w:r w:rsidR="00F26C39">
        <w:rPr>
          <w:rFonts w:ascii="Arial" w:eastAsiaTheme="minorHAnsi" w:hAnsi="Arial" w:cstheme="minorBidi"/>
          <w:sz w:val="22"/>
          <w:szCs w:val="22"/>
          <w:lang w:val="en-GB"/>
        </w:rPr>
        <w:t xml:space="preserve"> Progression</w:t>
      </w:r>
      <w:r w:rsidR="00471112" w:rsidRPr="00471112">
        <w:rPr>
          <w:rFonts w:ascii="Arial" w:eastAsiaTheme="minorHAnsi" w:hAnsi="Arial" w:cstheme="minorBidi"/>
          <w:sz w:val="22"/>
          <w:szCs w:val="22"/>
          <w:lang w:val="en-GB"/>
        </w:rPr>
        <w:t xml:space="preserve">, being off-treatment, and having a baseline ECOG performance status of 1 </w:t>
      </w:r>
      <w:r w:rsidR="00A51E45">
        <w:rPr>
          <w:rFonts w:ascii="Arial" w:eastAsiaTheme="minorHAnsi" w:hAnsi="Arial" w:cstheme="minorBidi"/>
          <w:sz w:val="22"/>
          <w:szCs w:val="22"/>
          <w:lang w:val="en-GB"/>
        </w:rPr>
        <w:t xml:space="preserve">are associated with a statistically </w:t>
      </w:r>
      <w:r w:rsidR="00471112" w:rsidRPr="00471112">
        <w:rPr>
          <w:rFonts w:ascii="Arial" w:eastAsiaTheme="minorHAnsi" w:hAnsi="Arial" w:cstheme="minorBidi"/>
          <w:sz w:val="22"/>
          <w:szCs w:val="22"/>
          <w:lang w:val="en-GB"/>
        </w:rPr>
        <w:t>significant reduc</w:t>
      </w:r>
      <w:r w:rsidR="00A51E45">
        <w:rPr>
          <w:rFonts w:ascii="Arial" w:eastAsiaTheme="minorHAnsi" w:hAnsi="Arial" w:cstheme="minorBidi"/>
          <w:sz w:val="22"/>
          <w:szCs w:val="22"/>
          <w:lang w:val="en-GB"/>
        </w:rPr>
        <w:t>tion in</w:t>
      </w:r>
      <w:r w:rsidR="00471112" w:rsidRPr="00471112">
        <w:rPr>
          <w:rFonts w:ascii="Arial" w:eastAsiaTheme="minorHAnsi" w:hAnsi="Arial" w:cstheme="minorBidi"/>
          <w:sz w:val="22"/>
          <w:szCs w:val="22"/>
          <w:lang w:val="en-GB"/>
        </w:rPr>
        <w:t xml:space="preserve"> utility, whereas T-DXd </w:t>
      </w:r>
      <w:r w:rsidR="00471112">
        <w:rPr>
          <w:rFonts w:ascii="Arial" w:eastAsiaTheme="minorHAnsi" w:hAnsi="Arial" w:cstheme="minorBidi"/>
          <w:sz w:val="22"/>
          <w:szCs w:val="22"/>
          <w:lang w:val="en-GB"/>
        </w:rPr>
        <w:t>is</w:t>
      </w:r>
      <w:r w:rsidR="00471112" w:rsidRPr="00471112">
        <w:rPr>
          <w:rFonts w:ascii="Arial" w:eastAsiaTheme="minorHAnsi" w:hAnsi="Arial" w:cstheme="minorBidi"/>
          <w:sz w:val="22"/>
          <w:szCs w:val="22"/>
          <w:lang w:val="en-GB"/>
        </w:rPr>
        <w:t xml:space="preserve"> associated with a significant increase in utility.</w:t>
      </w:r>
      <w:r w:rsidR="000B4F3A">
        <w:rPr>
          <w:rFonts w:ascii="Arial" w:eastAsiaTheme="minorHAnsi" w:hAnsi="Arial" w:cstheme="minorBidi"/>
          <w:sz w:val="22"/>
          <w:szCs w:val="22"/>
          <w:lang w:val="en-GB"/>
        </w:rPr>
        <w:t xml:space="preserve"> </w:t>
      </w:r>
      <w:r w:rsidR="00724A2B" w:rsidRPr="003C648C">
        <w:rPr>
          <w:rFonts w:ascii="Arial" w:eastAsiaTheme="minorHAnsi" w:hAnsi="Arial" w:cstheme="minorBidi"/>
          <w:b/>
          <w:sz w:val="22"/>
          <w:szCs w:val="22"/>
          <w:lang w:val="en-GB"/>
        </w:rPr>
        <w:fldChar w:fldCharType="begin"/>
      </w:r>
      <w:r w:rsidR="00724A2B" w:rsidRPr="003C648C">
        <w:rPr>
          <w:rFonts w:ascii="Arial" w:eastAsiaTheme="minorHAnsi" w:hAnsi="Arial" w:cstheme="minorBidi"/>
          <w:b/>
          <w:sz w:val="22"/>
          <w:szCs w:val="22"/>
          <w:lang w:val="en-GB"/>
        </w:rPr>
        <w:instrText xml:space="preserve"> REF _Ref96105187 \h </w:instrText>
      </w:r>
      <w:r w:rsidR="00471112" w:rsidRPr="003C648C">
        <w:rPr>
          <w:rFonts w:ascii="Arial" w:eastAsiaTheme="minorHAnsi" w:hAnsi="Arial" w:cstheme="minorBidi"/>
          <w:b/>
          <w:sz w:val="22"/>
          <w:szCs w:val="22"/>
          <w:lang w:val="en-GB"/>
        </w:rPr>
        <w:instrText xml:space="preserve"> \* MERGEFORMAT </w:instrText>
      </w:r>
      <w:r w:rsidR="00724A2B" w:rsidRPr="003C648C">
        <w:rPr>
          <w:rFonts w:ascii="Arial" w:eastAsiaTheme="minorHAnsi" w:hAnsi="Arial" w:cstheme="minorBidi"/>
          <w:b/>
          <w:sz w:val="22"/>
          <w:szCs w:val="22"/>
          <w:lang w:val="en-GB"/>
        </w:rPr>
      </w:r>
      <w:r w:rsidR="00724A2B" w:rsidRPr="003C648C">
        <w:rPr>
          <w:rFonts w:ascii="Arial" w:eastAsiaTheme="minorHAnsi" w:hAnsi="Arial" w:cstheme="minorBidi"/>
          <w:b/>
          <w:sz w:val="22"/>
          <w:szCs w:val="22"/>
          <w:lang w:val="en-GB"/>
        </w:rPr>
        <w:fldChar w:fldCharType="separate"/>
      </w:r>
      <w:r w:rsidR="00145F42" w:rsidRPr="00145F42">
        <w:rPr>
          <w:rFonts w:ascii="Arial" w:eastAsiaTheme="minorHAnsi" w:hAnsi="Arial" w:cstheme="minorBidi"/>
          <w:b/>
          <w:sz w:val="22"/>
          <w:szCs w:val="22"/>
          <w:lang w:val="en-GB"/>
        </w:rPr>
        <w:t>Table 45</w:t>
      </w:r>
      <w:r w:rsidR="00724A2B" w:rsidRPr="003C648C">
        <w:rPr>
          <w:rFonts w:ascii="Arial" w:eastAsiaTheme="minorHAnsi" w:hAnsi="Arial" w:cstheme="minorBidi"/>
          <w:b/>
          <w:sz w:val="22"/>
          <w:szCs w:val="22"/>
          <w:lang w:val="en-GB"/>
        </w:rPr>
        <w:fldChar w:fldCharType="end"/>
      </w:r>
      <w:r w:rsidR="00724A2B" w:rsidRPr="00A51E45">
        <w:rPr>
          <w:rFonts w:ascii="Arial" w:eastAsiaTheme="minorHAnsi" w:hAnsi="Arial" w:cstheme="minorBidi"/>
          <w:sz w:val="22"/>
          <w:szCs w:val="22"/>
          <w:lang w:val="en-GB"/>
        </w:rPr>
        <w:t xml:space="preserve"> presents the resulting cross-walked EQ-5D-3L utility values from the DESTINY-Breast04 study by progression status and treatment arm included in the model, based on the LSM. The LSM is estimated at the mean time point, equal to </w:t>
      </w:r>
      <w:r w:rsidR="00294FDC" w:rsidRPr="00294FDC">
        <w:rPr>
          <w:rFonts w:ascii="Arial" w:eastAsiaTheme="minorHAnsi" w:hAnsi="Arial" w:cstheme="minorBidi"/>
          <w:color w:val="000000"/>
          <w:sz w:val="22"/>
          <w:szCs w:val="22"/>
          <w:highlight w:val="black"/>
          <w:lang w:val="en-GB"/>
        </w:rPr>
        <w:t>xxxxx</w:t>
      </w:r>
      <w:r w:rsidR="00724A2B" w:rsidRPr="003C648C">
        <w:rPr>
          <w:rFonts w:ascii="Arial" w:eastAsiaTheme="minorHAnsi" w:hAnsi="Arial" w:cstheme="minorBidi"/>
          <w:sz w:val="22"/>
          <w:szCs w:val="22"/>
          <w:lang w:val="en-GB"/>
        </w:rPr>
        <w:t xml:space="preserve"> days</w:t>
      </w:r>
      <w:r w:rsidR="00724A2B" w:rsidRPr="00A51E45">
        <w:rPr>
          <w:rFonts w:ascii="Arial" w:eastAsiaTheme="minorHAnsi" w:hAnsi="Arial" w:cstheme="minorBidi"/>
          <w:sz w:val="22"/>
          <w:szCs w:val="22"/>
          <w:lang w:val="en-GB"/>
        </w:rPr>
        <w:t>, and assumes that the distribution between the other variables (ECOG and treatment status) are the values from the DESTINY-Breast04 trial at the mean time point.</w:t>
      </w:r>
    </w:p>
    <w:p w14:paraId="7CE7C746" w14:textId="6F1FC306" w:rsidR="00724A2B" w:rsidRPr="00A03015" w:rsidRDefault="00724A2B" w:rsidP="00724A2B">
      <w:pPr>
        <w:pStyle w:val="Caption"/>
      </w:pPr>
      <w:bookmarkStart w:id="613" w:name="_Ref96105187"/>
      <w:bookmarkStart w:id="614" w:name="_Toc98924755"/>
      <w:bookmarkStart w:id="615" w:name="_Toc127006675"/>
      <w:bookmarkStart w:id="616" w:name="_Toc129351020"/>
      <w:r w:rsidRPr="00A03015">
        <w:lastRenderedPageBreak/>
        <w:t xml:space="preserve">Table </w:t>
      </w:r>
      <w:r w:rsidRPr="00A03015">
        <w:fldChar w:fldCharType="begin"/>
      </w:r>
      <w:r w:rsidRPr="00A03015">
        <w:instrText>SEQ Table \* ARABIC</w:instrText>
      </w:r>
      <w:r w:rsidRPr="00A03015">
        <w:fldChar w:fldCharType="separate"/>
      </w:r>
      <w:r w:rsidR="00145F42">
        <w:rPr>
          <w:noProof/>
        </w:rPr>
        <w:t>45</w:t>
      </w:r>
      <w:r w:rsidRPr="00A03015">
        <w:fldChar w:fldCharType="end"/>
      </w:r>
      <w:bookmarkEnd w:id="613"/>
      <w:r w:rsidRPr="00A03015">
        <w:t xml:space="preserve">: Mapped </w:t>
      </w:r>
      <w:r w:rsidRPr="005D58CB">
        <w:t>UK</w:t>
      </w:r>
      <w:r w:rsidRPr="00A03015">
        <w:t xml:space="preserve"> EQ-5D-3L utility values from DESTINY-Breast04</w:t>
      </w:r>
      <w:bookmarkEnd w:id="614"/>
      <w:r w:rsidRPr="00A03015">
        <w:t xml:space="preserve"> by progression status and treatment arm</w:t>
      </w:r>
      <w:bookmarkEnd w:id="615"/>
      <w:bookmarkEnd w:id="616"/>
    </w:p>
    <w:tbl>
      <w:tblPr>
        <w:tblStyle w:val="TableGrid"/>
        <w:tblW w:w="8889" w:type="dxa"/>
        <w:tblLayout w:type="fixed"/>
        <w:tblLook w:val="04A0" w:firstRow="1" w:lastRow="0" w:firstColumn="1" w:lastColumn="0" w:noHBand="0" w:noVBand="1"/>
      </w:tblPr>
      <w:tblGrid>
        <w:gridCol w:w="3689"/>
        <w:gridCol w:w="984"/>
        <w:gridCol w:w="1559"/>
        <w:gridCol w:w="993"/>
        <w:gridCol w:w="1664"/>
      </w:tblGrid>
      <w:tr w:rsidR="00F6492E" w:rsidRPr="00A03015" w14:paraId="0CCEBF23" w14:textId="77777777" w:rsidTr="00C262CB">
        <w:trPr>
          <w:trHeight w:val="244"/>
        </w:trPr>
        <w:tc>
          <w:tcPr>
            <w:tcW w:w="3689" w:type="dxa"/>
            <w:vMerge w:val="restart"/>
            <w:shd w:val="clear" w:color="auto" w:fill="D9D9D9" w:themeFill="background1" w:themeFillShade="D9"/>
            <w:vAlign w:val="center"/>
          </w:tcPr>
          <w:p w14:paraId="62D4B2AD" w14:textId="77777777" w:rsidR="00724A2B" w:rsidRPr="00A03015" w:rsidRDefault="00724A2B">
            <w:pPr>
              <w:pStyle w:val="NICETableHeader"/>
              <w:jc w:val="center"/>
            </w:pPr>
            <w:r w:rsidRPr="00A03015">
              <w:t>Health state</w:t>
            </w:r>
          </w:p>
        </w:tc>
        <w:tc>
          <w:tcPr>
            <w:tcW w:w="2543" w:type="dxa"/>
            <w:gridSpan w:val="2"/>
            <w:shd w:val="clear" w:color="auto" w:fill="D9D9D9" w:themeFill="background1" w:themeFillShade="D9"/>
            <w:vAlign w:val="center"/>
          </w:tcPr>
          <w:p w14:paraId="14D78692" w14:textId="77777777" w:rsidR="00724A2B" w:rsidRPr="00A03015" w:rsidRDefault="00724A2B">
            <w:pPr>
              <w:pStyle w:val="NICETableHeader"/>
              <w:jc w:val="center"/>
            </w:pPr>
            <w:r w:rsidRPr="00A03015">
              <w:t>T-DXd</w:t>
            </w:r>
          </w:p>
        </w:tc>
        <w:tc>
          <w:tcPr>
            <w:tcW w:w="2657" w:type="dxa"/>
            <w:gridSpan w:val="2"/>
            <w:shd w:val="clear" w:color="auto" w:fill="D9D9D9" w:themeFill="background1" w:themeFillShade="D9"/>
            <w:vAlign w:val="center"/>
          </w:tcPr>
          <w:p w14:paraId="2B523BD9" w14:textId="77777777" w:rsidR="00724A2B" w:rsidRPr="00A03015" w:rsidRDefault="00724A2B">
            <w:pPr>
              <w:pStyle w:val="NICETableHeader"/>
              <w:jc w:val="center"/>
            </w:pPr>
            <w:r w:rsidRPr="00A03015">
              <w:t>TPC</w:t>
            </w:r>
          </w:p>
        </w:tc>
      </w:tr>
      <w:tr w:rsidR="0093563B" w:rsidRPr="00A03015" w14:paraId="1B0F905C" w14:textId="77777777" w:rsidTr="00C262CB">
        <w:trPr>
          <w:trHeight w:val="244"/>
        </w:trPr>
        <w:tc>
          <w:tcPr>
            <w:tcW w:w="3689" w:type="dxa"/>
            <w:vMerge/>
            <w:shd w:val="clear" w:color="auto" w:fill="D9D9D9" w:themeFill="background1" w:themeFillShade="D9"/>
          </w:tcPr>
          <w:p w14:paraId="72876A3E" w14:textId="77777777" w:rsidR="00724A2B" w:rsidRPr="00A03015" w:rsidRDefault="00724A2B">
            <w:pPr>
              <w:pStyle w:val="NICETableHeader"/>
            </w:pPr>
          </w:p>
        </w:tc>
        <w:tc>
          <w:tcPr>
            <w:tcW w:w="984" w:type="dxa"/>
            <w:shd w:val="clear" w:color="auto" w:fill="D9D9D9" w:themeFill="background1" w:themeFillShade="D9"/>
            <w:vAlign w:val="center"/>
          </w:tcPr>
          <w:p w14:paraId="5003C622" w14:textId="77777777" w:rsidR="00724A2B" w:rsidRPr="00A03015" w:rsidRDefault="00724A2B">
            <w:pPr>
              <w:pStyle w:val="NICETableHeader"/>
            </w:pPr>
            <w:r w:rsidRPr="00A03015">
              <w:t>n*</w:t>
            </w:r>
          </w:p>
        </w:tc>
        <w:tc>
          <w:tcPr>
            <w:tcW w:w="1559" w:type="dxa"/>
            <w:shd w:val="clear" w:color="auto" w:fill="D9D9D9" w:themeFill="background1" w:themeFillShade="D9"/>
            <w:vAlign w:val="center"/>
          </w:tcPr>
          <w:p w14:paraId="3BD4D8B3" w14:textId="77777777" w:rsidR="00724A2B" w:rsidRPr="00A03015" w:rsidRDefault="00724A2B">
            <w:pPr>
              <w:pStyle w:val="NICETableHeader"/>
            </w:pPr>
            <w:r w:rsidRPr="00A03015">
              <w:t>LSM (95% CI)</w:t>
            </w:r>
          </w:p>
        </w:tc>
        <w:tc>
          <w:tcPr>
            <w:tcW w:w="993" w:type="dxa"/>
            <w:shd w:val="clear" w:color="auto" w:fill="D9D9D9" w:themeFill="background1" w:themeFillShade="D9"/>
            <w:vAlign w:val="center"/>
          </w:tcPr>
          <w:p w14:paraId="6F8A1667" w14:textId="77777777" w:rsidR="00724A2B" w:rsidRPr="00A03015" w:rsidRDefault="00724A2B">
            <w:pPr>
              <w:pStyle w:val="NICETableHeader"/>
            </w:pPr>
            <w:r w:rsidRPr="00A03015">
              <w:t>n*</w:t>
            </w:r>
          </w:p>
        </w:tc>
        <w:tc>
          <w:tcPr>
            <w:tcW w:w="1664" w:type="dxa"/>
            <w:shd w:val="clear" w:color="auto" w:fill="D9D9D9" w:themeFill="background1" w:themeFillShade="D9"/>
            <w:vAlign w:val="center"/>
          </w:tcPr>
          <w:p w14:paraId="1F8A6348" w14:textId="77777777" w:rsidR="00724A2B" w:rsidRPr="00A03015" w:rsidRDefault="00724A2B">
            <w:pPr>
              <w:pStyle w:val="NICETableHeader"/>
            </w:pPr>
            <w:r w:rsidRPr="00A03015">
              <w:t>LSM (95% CI)</w:t>
            </w:r>
          </w:p>
        </w:tc>
      </w:tr>
      <w:tr w:rsidR="00DE17D9" w:rsidRPr="00A03015" w14:paraId="7C846D54" w14:textId="77777777" w:rsidTr="003C648C">
        <w:trPr>
          <w:trHeight w:val="656"/>
        </w:trPr>
        <w:tc>
          <w:tcPr>
            <w:tcW w:w="3689" w:type="dxa"/>
            <w:vAlign w:val="center"/>
          </w:tcPr>
          <w:p w14:paraId="22FA60F2" w14:textId="4DA164EA" w:rsidR="00D057D9" w:rsidRPr="005D58CB" w:rsidRDefault="00D057D9" w:rsidP="00D057D9">
            <w:pPr>
              <w:pStyle w:val="NICETabletext"/>
            </w:pPr>
            <w:r w:rsidRPr="005D58CB">
              <w:t>Progression-free</w:t>
            </w:r>
          </w:p>
        </w:tc>
        <w:tc>
          <w:tcPr>
            <w:tcW w:w="984" w:type="dxa"/>
            <w:vAlign w:val="center"/>
          </w:tcPr>
          <w:p w14:paraId="7A65EF4A" w14:textId="32ED0602" w:rsidR="00D057D9" w:rsidRPr="00294FDC" w:rsidRDefault="00294FDC" w:rsidP="00D057D9">
            <w:pPr>
              <w:pStyle w:val="NICETabletext"/>
              <w:rPr>
                <w:color w:val="000000"/>
                <w:highlight w:val="black"/>
              </w:rPr>
            </w:pPr>
            <w:r w:rsidRPr="00294FDC">
              <w:rPr>
                <w:color w:val="000000"/>
                <w:highlight w:val="black"/>
              </w:rPr>
              <w:t>xxxxx</w:t>
            </w:r>
          </w:p>
        </w:tc>
        <w:tc>
          <w:tcPr>
            <w:tcW w:w="1559" w:type="dxa"/>
            <w:vAlign w:val="center"/>
          </w:tcPr>
          <w:p w14:paraId="3399DFBF" w14:textId="51F8FFAE" w:rsidR="00D057D9" w:rsidRPr="00294FDC" w:rsidRDefault="00294FDC" w:rsidP="00D057D9">
            <w:pPr>
              <w:pStyle w:val="NICETabletext"/>
              <w:rPr>
                <w:color w:val="000000"/>
                <w:highlight w:val="black"/>
              </w:rPr>
            </w:pPr>
            <w:r w:rsidRPr="00294FDC">
              <w:rPr>
                <w:color w:val="000000"/>
                <w:highlight w:val="black"/>
              </w:rPr>
              <w:t>xxxxxxxxxxxxxxxxxxxxx</w:t>
            </w:r>
          </w:p>
        </w:tc>
        <w:tc>
          <w:tcPr>
            <w:tcW w:w="993" w:type="dxa"/>
            <w:vAlign w:val="center"/>
          </w:tcPr>
          <w:p w14:paraId="31297196" w14:textId="32E48039" w:rsidR="00D057D9" w:rsidRPr="00294FDC" w:rsidRDefault="00294FDC" w:rsidP="00D057D9">
            <w:pPr>
              <w:pStyle w:val="NICETabletext"/>
              <w:rPr>
                <w:color w:val="000000"/>
                <w:highlight w:val="black"/>
              </w:rPr>
            </w:pPr>
            <w:r w:rsidRPr="00294FDC">
              <w:rPr>
                <w:color w:val="000000"/>
                <w:highlight w:val="black"/>
              </w:rPr>
              <w:t>xxx</w:t>
            </w:r>
          </w:p>
        </w:tc>
        <w:tc>
          <w:tcPr>
            <w:tcW w:w="1664" w:type="dxa"/>
            <w:vAlign w:val="center"/>
          </w:tcPr>
          <w:p w14:paraId="1DF7611C" w14:textId="423B137C" w:rsidR="00D057D9" w:rsidRPr="00294FDC" w:rsidRDefault="00294FDC" w:rsidP="00D057D9">
            <w:pPr>
              <w:pStyle w:val="NICETabletext"/>
              <w:rPr>
                <w:color w:val="000000"/>
                <w:highlight w:val="black"/>
              </w:rPr>
            </w:pPr>
            <w:r w:rsidRPr="00294FDC">
              <w:rPr>
                <w:color w:val="000000"/>
                <w:highlight w:val="black"/>
              </w:rPr>
              <w:t>xxxxxxxxxxxxxxxxxxxx</w:t>
            </w:r>
          </w:p>
        </w:tc>
      </w:tr>
      <w:tr w:rsidR="00DE17D9" w:rsidRPr="00A03015" w14:paraId="1769812D" w14:textId="77777777" w:rsidTr="003C648C">
        <w:trPr>
          <w:trHeight w:val="656"/>
        </w:trPr>
        <w:tc>
          <w:tcPr>
            <w:tcW w:w="3689" w:type="dxa"/>
            <w:vAlign w:val="center"/>
          </w:tcPr>
          <w:p w14:paraId="5401FC18" w14:textId="3D015DA1" w:rsidR="00286560" w:rsidRPr="005D58CB" w:rsidRDefault="00286560">
            <w:pPr>
              <w:pStyle w:val="NICETabletext"/>
            </w:pPr>
            <w:r>
              <w:t>Progressed</w:t>
            </w:r>
          </w:p>
        </w:tc>
        <w:tc>
          <w:tcPr>
            <w:tcW w:w="984" w:type="dxa"/>
          </w:tcPr>
          <w:p w14:paraId="6B30FBB5" w14:textId="6C22B972" w:rsidR="00286560" w:rsidRPr="00294FDC" w:rsidRDefault="00294FDC">
            <w:pPr>
              <w:pStyle w:val="NICETabletext"/>
              <w:rPr>
                <w:color w:val="000000"/>
                <w:highlight w:val="black"/>
              </w:rPr>
            </w:pPr>
            <w:r w:rsidRPr="00294FDC">
              <w:rPr>
                <w:color w:val="000000"/>
                <w:highlight w:val="black"/>
              </w:rPr>
              <w:t>xxx</w:t>
            </w:r>
          </w:p>
        </w:tc>
        <w:tc>
          <w:tcPr>
            <w:tcW w:w="1559" w:type="dxa"/>
          </w:tcPr>
          <w:p w14:paraId="51354A89" w14:textId="7A8A3DDA" w:rsidR="00286560" w:rsidRPr="00294FDC" w:rsidRDefault="00294FDC">
            <w:pPr>
              <w:pStyle w:val="NICETabletext"/>
              <w:rPr>
                <w:color w:val="000000"/>
                <w:highlight w:val="black"/>
              </w:rPr>
            </w:pPr>
            <w:r w:rsidRPr="00294FDC">
              <w:rPr>
                <w:color w:val="000000"/>
                <w:highlight w:val="black"/>
              </w:rPr>
              <w:t>xxxxxxxxxxxxxxxxxxxx</w:t>
            </w:r>
          </w:p>
        </w:tc>
        <w:tc>
          <w:tcPr>
            <w:tcW w:w="993" w:type="dxa"/>
          </w:tcPr>
          <w:p w14:paraId="0479464F" w14:textId="0AC1FD91" w:rsidR="00286560" w:rsidRPr="00294FDC" w:rsidRDefault="00294FDC">
            <w:pPr>
              <w:pStyle w:val="NICETabletext"/>
              <w:rPr>
                <w:color w:val="000000"/>
                <w:highlight w:val="black"/>
              </w:rPr>
            </w:pPr>
            <w:r w:rsidRPr="00294FDC">
              <w:rPr>
                <w:color w:val="000000"/>
                <w:highlight w:val="black"/>
              </w:rPr>
              <w:t>xxx</w:t>
            </w:r>
          </w:p>
        </w:tc>
        <w:tc>
          <w:tcPr>
            <w:tcW w:w="1664" w:type="dxa"/>
          </w:tcPr>
          <w:p w14:paraId="3B8B04B0" w14:textId="0020E36C" w:rsidR="00286560" w:rsidRPr="00294FDC" w:rsidRDefault="00294FDC">
            <w:pPr>
              <w:pStyle w:val="NICETabletext"/>
              <w:rPr>
                <w:color w:val="000000"/>
                <w:highlight w:val="black"/>
              </w:rPr>
            </w:pPr>
            <w:r w:rsidRPr="00294FDC">
              <w:rPr>
                <w:color w:val="000000"/>
                <w:highlight w:val="black"/>
              </w:rPr>
              <w:t>xxxxxxxxxxxxxxxxxxxx</w:t>
            </w:r>
          </w:p>
        </w:tc>
      </w:tr>
    </w:tbl>
    <w:p w14:paraId="05211423" w14:textId="77777777" w:rsidR="00724A2B" w:rsidRPr="00A03015" w:rsidRDefault="00724A2B" w:rsidP="00724A2B">
      <w:pPr>
        <w:pStyle w:val="Footnotes"/>
        <w:spacing w:after="0"/>
      </w:pPr>
      <w:r w:rsidRPr="00A03015">
        <w:t>Note: *Number of visits/timepoints with the condition.</w:t>
      </w:r>
    </w:p>
    <w:p w14:paraId="610E3FC8" w14:textId="77777777" w:rsidR="00724A2B" w:rsidRPr="00A03015" w:rsidRDefault="00724A2B" w:rsidP="00724A2B">
      <w:pPr>
        <w:pStyle w:val="Footnotes"/>
        <w:spacing w:after="0"/>
      </w:pPr>
      <w:r w:rsidRPr="00A03015">
        <w:t>Abbreviations: CI, confidence interval; LSM, least square mean; T-DXd, trastuzumab deruxtecan; TPC, treatment of physician’s choice.</w:t>
      </w:r>
    </w:p>
    <w:p w14:paraId="7AB1B6EA" w14:textId="3D3625FC" w:rsidR="00724A2B" w:rsidRPr="005D58CB" w:rsidRDefault="00724A2B" w:rsidP="00724A2B">
      <w:pPr>
        <w:pStyle w:val="Body"/>
      </w:pPr>
      <w:r w:rsidRPr="005D58CB">
        <w:rPr>
          <w:sz w:val="18"/>
          <w:szCs w:val="18"/>
        </w:rPr>
        <w:t>Source: Daiichi Sankyo Inc., 2022 (Model technical report, Data on File)</w:t>
      </w:r>
      <w:r w:rsidRPr="005D58CB">
        <w:rPr>
          <w:sz w:val="18"/>
          <w:szCs w:val="18"/>
        </w:rPr>
        <w:fldChar w:fldCharType="begin"/>
      </w:r>
      <w:r w:rsidR="00CA6345">
        <w:rPr>
          <w:sz w:val="18"/>
          <w:szCs w:val="18"/>
        </w:rPr>
        <w:instrText xml:space="preserve"> ADDIN ZOTERO_ITEM CSL_CITATION {"citationID":"jTVAVCcA","properties":{"formattedCitation":"\\super 174\\nosupersub{}","plainCitation":"174","noteIndex":0},"citationItems":[{"id":66196,"uris":["http://zotero.org/groups/4797619/items/PWIKBPLZ"],"itemData":{"id":66196,"type":"document","title":"Technical Report for Global Cost-effectiveness and Budget Impact Model for T-DXd in HER2-low Metastatic and/or Unresectable Breast Cancer. Data on File","author":[{"family":"Daiichi Sankyo Inc.","given":""}],"issued":{"date-parts":[["2022",10]]}}}],"schema":"https://github.com/citation-style-language/schema/raw/master/csl-citation.json"} </w:instrText>
      </w:r>
      <w:r w:rsidRPr="005D58CB">
        <w:rPr>
          <w:sz w:val="18"/>
          <w:szCs w:val="18"/>
        </w:rPr>
        <w:fldChar w:fldCharType="separate"/>
      </w:r>
      <w:r w:rsidR="00CA6345" w:rsidRPr="00CA6345">
        <w:rPr>
          <w:rFonts w:cs="Arial"/>
          <w:sz w:val="18"/>
          <w:szCs w:val="24"/>
          <w:vertAlign w:val="superscript"/>
        </w:rPr>
        <w:t>174</w:t>
      </w:r>
      <w:r w:rsidRPr="005D58CB">
        <w:rPr>
          <w:sz w:val="18"/>
          <w:szCs w:val="18"/>
        </w:rPr>
        <w:fldChar w:fldCharType="end"/>
      </w:r>
      <w:r w:rsidRPr="005D58CB">
        <w:rPr>
          <w:sz w:val="18"/>
          <w:szCs w:val="18"/>
        </w:rPr>
        <w:t xml:space="preserve"> </w:t>
      </w:r>
    </w:p>
    <w:p w14:paraId="0EC3385B" w14:textId="77777777" w:rsidR="00724A2B" w:rsidRPr="00A03015" w:rsidRDefault="00724A2B" w:rsidP="00724A2B">
      <w:pPr>
        <w:pStyle w:val="Heading3"/>
      </w:pPr>
      <w:bookmarkStart w:id="617" w:name="_Toc98924671"/>
      <w:bookmarkStart w:id="618" w:name="_Ref99728436"/>
      <w:bookmarkStart w:id="619" w:name="_Ref99728440"/>
      <w:bookmarkStart w:id="620" w:name="_Ref99728612"/>
      <w:bookmarkStart w:id="621" w:name="_Ref99729304"/>
      <w:bookmarkStart w:id="622" w:name="_Toc127006448"/>
      <w:bookmarkStart w:id="623" w:name="_Ref127007859"/>
      <w:bookmarkStart w:id="624" w:name="_Toc129350895"/>
      <w:bookmarkStart w:id="625" w:name="_Ref124862784"/>
      <w:r w:rsidRPr="00A03015">
        <w:t>Health-related quality-of-life studies</w:t>
      </w:r>
      <w:bookmarkEnd w:id="617"/>
      <w:bookmarkEnd w:id="618"/>
      <w:bookmarkEnd w:id="619"/>
      <w:bookmarkEnd w:id="620"/>
      <w:bookmarkEnd w:id="621"/>
      <w:bookmarkEnd w:id="622"/>
      <w:bookmarkEnd w:id="623"/>
      <w:bookmarkEnd w:id="624"/>
      <w:r w:rsidRPr="00A03015">
        <w:t xml:space="preserve"> </w:t>
      </w:r>
      <w:bookmarkEnd w:id="625"/>
    </w:p>
    <w:p w14:paraId="7255AC95" w14:textId="6A283089" w:rsidR="00724A2B" w:rsidRPr="00A03015" w:rsidRDefault="00724A2B" w:rsidP="00724A2B">
      <w:pPr>
        <w:pStyle w:val="Body"/>
      </w:pPr>
      <w:r w:rsidRPr="00A03015">
        <w:t xml:space="preserve">An SLR to identify relevant HRQoL studies was conducted. </w:t>
      </w:r>
      <w:r w:rsidRPr="003C648C">
        <w:rPr>
          <w:b/>
        </w:rPr>
        <w:t>Appendix H</w:t>
      </w:r>
      <w:r w:rsidRPr="00A03015">
        <w:t xml:space="preserve"> provides full details of the methods, overview of studies and results of the identified studies, together with the quality assessments. The SLR identified </w:t>
      </w:r>
      <w:r w:rsidRPr="005D58CB">
        <w:t>five</w:t>
      </w:r>
      <w:r w:rsidRPr="00A03015">
        <w:t xml:space="preserve"> utility studies, however, none of the identified studies</w:t>
      </w:r>
      <w:r w:rsidRPr="005D58CB">
        <w:t xml:space="preserve"> </w:t>
      </w:r>
      <w:r w:rsidRPr="00A03015">
        <w:t xml:space="preserve">fully qualified for the preferred NICE reference case </w:t>
      </w:r>
      <w:r w:rsidRPr="005D58CB">
        <w:t>as the HRQoL of patients was not measured using the EQ-5D instrument recommended by NICE</w:t>
      </w:r>
      <w:r w:rsidRPr="00A03015">
        <w:t>.</w:t>
      </w:r>
      <w:r w:rsidRPr="00A03015">
        <w:fldChar w:fldCharType="begin"/>
      </w:r>
      <w:r w:rsidR="00CA6345">
        <w:instrText xml:space="preserve"> ADDIN ZOTERO_ITEM CSL_CITATION {"citationID":"hE7A4Anc","properties":{"formattedCitation":"\\super 2\\nosupersub{}","plainCitation":"2","noteIndex":0},"citationItems":[{"id":65886,"uris":["http://zotero.org/groups/4797619/items/2LQNV7UR"],"itemData":{"id":65886,"type":"webpage","abstract":"This guide describes the methods and processes, including expected timescales, that NICE follows when carrying out health technology evaluations. The methods and processes are designed to produce robust guidance for the NHS in an open, transparent and timely way, with appropriate contribution from stakeholders. Organisations invited to contribute to health technology evaluation development should read this manual in conjunction with the NICE health technology evaluation topic selection: the manual. All documents are available on the NICE website.","language":"eng","note":"publisher: NICE","title":"NICE health technology evaluations: the manual","title-short":"NICE health technology evaluations","URL":"https://www.nice.org.uk/process/pmg36/chapter/introduction-to-health-technology-evaluation","author":[{"family":"NICE","given":""}],"accessed":{"date-parts":[["2022",10,19]]},"issued":{"date-parts":[["2022",1]]}}}],"schema":"https://github.com/citation-style-language/schema/raw/master/csl-citation.json"} </w:instrText>
      </w:r>
      <w:r w:rsidRPr="00A03015">
        <w:fldChar w:fldCharType="separate"/>
      </w:r>
      <w:r w:rsidR="00FD57F4" w:rsidRPr="00FD57F4">
        <w:rPr>
          <w:rFonts w:cs="Arial"/>
          <w:szCs w:val="24"/>
          <w:vertAlign w:val="superscript"/>
        </w:rPr>
        <w:t>2</w:t>
      </w:r>
      <w:r w:rsidRPr="00A03015">
        <w:fldChar w:fldCharType="end"/>
      </w:r>
      <w:r w:rsidRPr="00A03015">
        <w:t xml:space="preserve"> </w:t>
      </w:r>
    </w:p>
    <w:p w14:paraId="5BCAD2CD" w14:textId="3E4F7D36" w:rsidR="00724A2B" w:rsidRPr="00A03015" w:rsidRDefault="00724A2B" w:rsidP="00724A2B">
      <w:pPr>
        <w:pStyle w:val="Body"/>
      </w:pPr>
      <w:r w:rsidRPr="00A03015">
        <w:t>Nevertheless, the majority of studies referred to Lloyd et al, 2006</w:t>
      </w:r>
      <w:r w:rsidRPr="00A03015">
        <w:fldChar w:fldCharType="begin"/>
      </w:r>
      <w:r w:rsidR="00CA6345">
        <w:instrText xml:space="preserve"> ADDIN ZOTERO_ITEM CSL_CITATION {"citationID":"z62xYW5K","properties":{"formattedCitation":"\\super 169\\nosupersub{}","plainCitation":"169","noteIndex":0},"citationItems":[{"id":65949,"uris":["http://zotero.org/groups/4797619/items/78YMSHI3"],"itemData":{"id":65949,"type":"article-journal","abstract":"The aim of the study was to obtain United Kingdom-based societal preferences for distinct stages of metastatic breast cancer (MBC) and six common toxicities. Health states were developed based on literature review, iterative cycles of interviews and a focus group with clinical experts. They described the burden of progressive, responding and stable disease on treatment; and also febrile neutropenia, stomatitis; diarrhoea/vomiting; fatigue; hand-foot syndrome (grade 3/4 toxicities) and hair loss. One hundred members of the general public rated them using standard gamble to determine health state utility. Data were analysed with a mixed model analysis. The study sample was a good match to the general public of England and Wales by demographics and current quality of life. Stable disease on treatment had a utility value of 0.72, with a corresponding gain of +0.07 following a treatment response and a decline by 0.27 for disease progression. Toxicities lead to declines in utility between 0.10 (diarrhoea/vomiting) and 0.15 (febrile neutropenia). This study underlines the value that society place on the avoidance of disease progression and severe side effects in MBC. This may be the largest preference study in breast cancer designed to survey a representative general public sample.","container-title":"British Journal of Cancer","DOI":"10.1038/sj.bjc.6603326","ISSN":"0007-0920","issue":"6","journalAbbreviation":"Br J Cancer","note":"PMID: 16967055\nPMCID: PMC2360509","page":"683-690","source":"PubMed Central","title":"Health state utilities for metastatic breast cancer","volume":"95","author":[{"family":"Lloyd","given":"A"},{"family":"Nafees","given":"B"},{"family":"Narewska","given":"J"},{"family":"Dewilde","given":"S"},{"family":"Watkins","given":"J"}],"issued":{"date-parts":[["2006",9,18]]}}}],"schema":"https://github.com/citation-style-language/schema/raw/master/csl-citation.json"} </w:instrText>
      </w:r>
      <w:r w:rsidRPr="00A03015">
        <w:fldChar w:fldCharType="separate"/>
      </w:r>
      <w:r w:rsidR="00CA6345" w:rsidRPr="00CA6345">
        <w:rPr>
          <w:rFonts w:cs="Arial"/>
          <w:szCs w:val="24"/>
          <w:vertAlign w:val="superscript"/>
        </w:rPr>
        <w:t>169</w:t>
      </w:r>
      <w:r w:rsidRPr="00A03015">
        <w:fldChar w:fldCharType="end"/>
      </w:r>
      <w:r w:rsidRPr="00A03015">
        <w:t xml:space="preserve"> from which the values used in these studies were based on. </w:t>
      </w:r>
      <w:r w:rsidR="008612EC">
        <w:rPr>
          <w:rStyle w:val="ui-provider"/>
        </w:rPr>
        <w:t>This was also the case for the majority of prior NICE appraisals identified as being relevant to this appraisal</w:t>
      </w:r>
      <w:r w:rsidRPr="00A03015">
        <w:t xml:space="preserve"> (see Section </w:t>
      </w:r>
      <w:r w:rsidRPr="00A03015">
        <w:fldChar w:fldCharType="begin"/>
      </w:r>
      <w:r w:rsidRPr="00A03015">
        <w:instrText xml:space="preserve"> REF _Ref99728118 \r \h </w:instrText>
      </w:r>
      <w:r w:rsidRPr="00A03015">
        <w:fldChar w:fldCharType="separate"/>
      </w:r>
      <w:r w:rsidR="00145F42">
        <w:t>B.3.4.3.1</w:t>
      </w:r>
      <w:r w:rsidRPr="00A03015">
        <w:fldChar w:fldCharType="end"/>
      </w:r>
      <w:r w:rsidRPr="00A03015">
        <w:t xml:space="preserve"> below). As such, this study has been included within the model as an option to derive utility estimates. </w:t>
      </w:r>
    </w:p>
    <w:p w14:paraId="0F05FA49" w14:textId="296C2B51" w:rsidR="00724A2B" w:rsidRPr="00A03015" w:rsidRDefault="00724A2B" w:rsidP="00724A2B">
      <w:pPr>
        <w:pStyle w:val="Body"/>
      </w:pPr>
      <w:r w:rsidRPr="00A03015">
        <w:t>Lloyd et al, 2006 is a preference-based study estimating utilities at distinct stages of mBC in the general population.</w:t>
      </w:r>
      <w:r w:rsidRPr="00A03015">
        <w:fldChar w:fldCharType="begin"/>
      </w:r>
      <w:r w:rsidR="00CA6345">
        <w:instrText xml:space="preserve"> ADDIN ZOTERO_ITEM CSL_CITATION {"citationID":"XG3Ml2Nc","properties":{"formattedCitation":"\\super 169\\nosupersub{}","plainCitation":"169","noteIndex":0},"citationItems":[{"id":65949,"uris":["http://zotero.org/groups/4797619/items/78YMSHI3"],"itemData":{"id":65949,"type":"article-journal","abstract":"The aim of the study was to obtain United Kingdom-based societal preferences for distinct stages of metastatic breast cancer (MBC) and six common toxicities. Health states were developed based on literature review, iterative cycles of interviews and a focus group with clinical experts. They described the burden of progressive, responding and stable disease on treatment; and also febrile neutropenia, stomatitis; diarrhoea/vomiting; fatigue; hand-foot syndrome (grade 3/4 toxicities) and hair loss. One hundred members of the general public rated them using standard gamble to determine health state utility. Data were analysed with a mixed model analysis. The study sample was a good match to the general public of England and Wales by demographics and current quality of life. Stable disease on treatment had a utility value of 0.72, with a corresponding gain of +0.07 following a treatment response and a decline by 0.27 for disease progression. Toxicities lead to declines in utility between 0.10 (diarrhoea/vomiting) and 0.15 (febrile neutropenia). This study underlines the value that society place on the avoidance of disease progression and severe side effects in MBC. This may be the largest preference study in breast cancer designed to survey a representative general public sample.","container-title":"British Journal of Cancer","DOI":"10.1038/sj.bjc.6603326","ISSN":"0007-0920","issue":"6","journalAbbreviation":"Br J Cancer","note":"PMID: 16967055\nPMCID: PMC2360509","page":"683-690","source":"PubMed Central","title":"Health state utilities for metastatic breast cancer","volume":"95","author":[{"family":"Lloyd","given":"A"},{"family":"Nafees","given":"B"},{"family":"Narewska","given":"J"},{"family":"Dewilde","given":"S"},{"family":"Watkins","given":"J"}],"issued":{"date-parts":[["2006",9,18]]}}}],"schema":"https://github.com/citation-style-language/schema/raw/master/csl-citation.json"} </w:instrText>
      </w:r>
      <w:r w:rsidRPr="00A03015">
        <w:fldChar w:fldCharType="separate"/>
      </w:r>
      <w:r w:rsidR="00CA6345" w:rsidRPr="00CA6345">
        <w:rPr>
          <w:rFonts w:cs="Arial"/>
          <w:szCs w:val="24"/>
          <w:vertAlign w:val="superscript"/>
        </w:rPr>
        <w:t>169</w:t>
      </w:r>
      <w:r w:rsidRPr="00A03015">
        <w:fldChar w:fldCharType="end"/>
      </w:r>
      <w:r w:rsidRPr="00A03015">
        <w:t xml:space="preserve"> The health state valuations were analysed using a mixed model analysis with random effects which revealed that all disease states and toxicities were independently significant predictors of utility. Using the coefficients of the mixed model the utility values were calculated specifically for the patient population within this submission using the following equation:</w:t>
      </w:r>
    </w:p>
    <w:p w14:paraId="735F8700" w14:textId="77777777" w:rsidR="00724A2B" w:rsidRPr="003A7CC7" w:rsidRDefault="00A056F8" w:rsidP="00724A2B">
      <w:pPr>
        <w:pStyle w:val="NICEnormal"/>
      </w:pPr>
      <m:oMathPara>
        <m:oMath>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(sum of coefficiants)</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(sum of coefficients)</m:t>
                  </m:r>
                </m:sup>
              </m:sSup>
            </m:den>
          </m:f>
        </m:oMath>
      </m:oMathPara>
    </w:p>
    <w:p w14:paraId="32965A58" w14:textId="28EE24E3" w:rsidR="00724A2B" w:rsidRPr="003A7CC7" w:rsidRDefault="00724A2B" w:rsidP="00724A2B">
      <w:pPr>
        <w:pStyle w:val="Body"/>
      </w:pPr>
      <w:r w:rsidRPr="003A7CC7">
        <w:t xml:space="preserve">The coefficients used to calculate the treatment-specific and combined utilities for T-DXd and </w:t>
      </w:r>
      <w:r w:rsidRPr="005D58CB">
        <w:t>TPC</w:t>
      </w:r>
      <w:r w:rsidRPr="003A7CC7">
        <w:t xml:space="preserve"> were age, response rates and progression status based on data from DESTINY-Breast0</w:t>
      </w:r>
      <w:r w:rsidRPr="005D58CB">
        <w:t>4</w:t>
      </w:r>
      <w:r>
        <w:t xml:space="preserve"> (</w:t>
      </w:r>
      <w:r w:rsidRPr="003C648C">
        <w:rPr>
          <w:b/>
          <w:bCs/>
        </w:rPr>
        <w:fldChar w:fldCharType="begin"/>
      </w:r>
      <w:r w:rsidRPr="003C648C">
        <w:rPr>
          <w:b/>
          <w:bCs/>
        </w:rPr>
        <w:instrText xml:space="preserve"> REF _Ref126927309 \h </w:instrText>
      </w:r>
      <w:r w:rsidR="00BB06FD">
        <w:rPr>
          <w:b/>
          <w:bCs/>
        </w:rPr>
        <w:instrText xml:space="preserve"> \* MERGEFORMAT </w:instrText>
      </w:r>
      <w:r w:rsidRPr="003C648C">
        <w:rPr>
          <w:b/>
          <w:bCs/>
        </w:rPr>
      </w:r>
      <w:r w:rsidRPr="003C648C">
        <w:rPr>
          <w:b/>
          <w:bCs/>
        </w:rPr>
        <w:fldChar w:fldCharType="separate"/>
      </w:r>
      <w:r w:rsidR="00145F42" w:rsidRPr="00145F42">
        <w:rPr>
          <w:b/>
          <w:bCs/>
        </w:rPr>
        <w:t xml:space="preserve">Table </w:t>
      </w:r>
      <w:r w:rsidR="00145F42" w:rsidRPr="00145F42">
        <w:rPr>
          <w:b/>
          <w:bCs/>
          <w:noProof/>
        </w:rPr>
        <w:t>46</w:t>
      </w:r>
      <w:r w:rsidRPr="003C648C">
        <w:rPr>
          <w:b/>
          <w:bCs/>
        </w:rPr>
        <w:fldChar w:fldCharType="end"/>
      </w:r>
      <w:r>
        <w:t>)</w:t>
      </w:r>
      <w:r w:rsidRPr="003A7CC7">
        <w:t xml:space="preserve">. </w:t>
      </w:r>
      <w:r>
        <w:t>Values use</w:t>
      </w:r>
      <w:r w:rsidR="00DF0572">
        <w:t>d</w:t>
      </w:r>
      <w:r>
        <w:t xml:space="preserve"> to estimate treatment-specific utilities for T-DXd and TPC, and combined (pooled for T-DXD and TPC) utilities, </w:t>
      </w:r>
      <w:r w:rsidRPr="003A7CC7">
        <w:t>are presented in</w:t>
      </w:r>
      <w:r>
        <w:t xml:space="preserve"> </w:t>
      </w:r>
      <w:r w:rsidRPr="003C648C">
        <w:rPr>
          <w:b/>
          <w:bCs/>
        </w:rPr>
        <w:fldChar w:fldCharType="begin"/>
      </w:r>
      <w:r w:rsidRPr="003C648C">
        <w:rPr>
          <w:b/>
          <w:bCs/>
        </w:rPr>
        <w:instrText xml:space="preserve"> REF _Ref126927604 \h </w:instrText>
      </w:r>
      <w:r w:rsidR="00BB06FD">
        <w:rPr>
          <w:b/>
          <w:bCs/>
        </w:rPr>
        <w:instrText xml:space="preserve"> \* MERGEFORMAT </w:instrText>
      </w:r>
      <w:r w:rsidRPr="003C648C">
        <w:rPr>
          <w:b/>
          <w:bCs/>
        </w:rPr>
      </w:r>
      <w:r w:rsidRPr="003C648C">
        <w:rPr>
          <w:b/>
          <w:bCs/>
        </w:rPr>
        <w:fldChar w:fldCharType="separate"/>
      </w:r>
      <w:r w:rsidR="00145F42" w:rsidRPr="00145F42">
        <w:rPr>
          <w:b/>
          <w:bCs/>
        </w:rPr>
        <w:t xml:space="preserve">Table </w:t>
      </w:r>
      <w:r w:rsidR="00145F42" w:rsidRPr="00145F42">
        <w:rPr>
          <w:b/>
          <w:bCs/>
          <w:noProof/>
        </w:rPr>
        <w:t>47</w:t>
      </w:r>
      <w:r w:rsidRPr="003C648C">
        <w:rPr>
          <w:b/>
          <w:bCs/>
        </w:rPr>
        <w:fldChar w:fldCharType="end"/>
      </w:r>
      <w:r>
        <w:t xml:space="preserve">. </w:t>
      </w:r>
      <w:r w:rsidRPr="003A7CC7">
        <w:t>First, the responder and non-responder utilities were calculated using the coefficients and the equation above. Then the responder and non-responder utilities were weighted by response rates from DESTINY-Breast0</w:t>
      </w:r>
      <w:r w:rsidRPr="005D58CB">
        <w:t>4</w:t>
      </w:r>
      <w:r w:rsidRPr="003A7CC7">
        <w:t xml:space="preserve">. </w:t>
      </w:r>
      <w:r>
        <w:t>The</w:t>
      </w:r>
      <w:r w:rsidRPr="005D58CB">
        <w:t xml:space="preserve"> resulting utilities </w:t>
      </w:r>
      <w:r>
        <w:t xml:space="preserve">estimated </w:t>
      </w:r>
      <w:r w:rsidRPr="005D58CB">
        <w:t xml:space="preserve">are presented in </w:t>
      </w:r>
      <w:r w:rsidRPr="003C648C">
        <w:rPr>
          <w:b/>
          <w:bCs/>
        </w:rPr>
        <w:fldChar w:fldCharType="begin"/>
      </w:r>
      <w:r w:rsidRPr="003C648C">
        <w:rPr>
          <w:b/>
          <w:bCs/>
        </w:rPr>
        <w:instrText xml:space="preserve"> REF _Ref125548842 \h </w:instrText>
      </w:r>
      <w:r w:rsidR="00BB06FD">
        <w:rPr>
          <w:b/>
          <w:bCs/>
        </w:rPr>
        <w:instrText xml:space="preserve"> \* MERGEFORMAT </w:instrText>
      </w:r>
      <w:r w:rsidRPr="003C648C">
        <w:rPr>
          <w:b/>
          <w:bCs/>
        </w:rPr>
      </w:r>
      <w:r w:rsidRPr="003C648C">
        <w:rPr>
          <w:b/>
          <w:bCs/>
        </w:rPr>
        <w:fldChar w:fldCharType="separate"/>
      </w:r>
      <w:r w:rsidR="00145F42" w:rsidRPr="00145F42">
        <w:rPr>
          <w:b/>
          <w:bCs/>
        </w:rPr>
        <w:t xml:space="preserve">Table </w:t>
      </w:r>
      <w:r w:rsidR="00145F42" w:rsidRPr="00145F42">
        <w:rPr>
          <w:b/>
          <w:bCs/>
          <w:noProof/>
        </w:rPr>
        <w:t>48</w:t>
      </w:r>
      <w:r w:rsidRPr="003C648C">
        <w:rPr>
          <w:b/>
          <w:bCs/>
        </w:rPr>
        <w:fldChar w:fldCharType="end"/>
      </w:r>
      <w:r w:rsidRPr="003A7CC7">
        <w:t xml:space="preserve">. This approach is consistent with the preferred approach outlined by the Evidence </w:t>
      </w:r>
      <w:r w:rsidR="00714AD0">
        <w:t xml:space="preserve">Assessment </w:t>
      </w:r>
      <w:r w:rsidRPr="003A7CC7">
        <w:t>Group (E</w:t>
      </w:r>
      <w:r w:rsidR="00714AD0">
        <w:t>A</w:t>
      </w:r>
      <w:r w:rsidRPr="003A7CC7">
        <w:t xml:space="preserve">G) in </w:t>
      </w:r>
      <w:r w:rsidRPr="005D58CB">
        <w:rPr>
          <w:lang w:eastAsia="en-GB"/>
        </w:rPr>
        <w:t>TA423,</w:t>
      </w:r>
      <w:r w:rsidRPr="003A7CC7">
        <w:t xml:space="preserve"> </w:t>
      </w:r>
      <w:r w:rsidRPr="005D58CB">
        <w:t xml:space="preserve">TA704, </w:t>
      </w:r>
      <w:r w:rsidRPr="003A7CC7">
        <w:t xml:space="preserve">and </w:t>
      </w:r>
      <w:r w:rsidRPr="005D58CB">
        <w:t>TA862.</w:t>
      </w:r>
      <w:r w:rsidRPr="005D58CB">
        <w:rPr>
          <w:lang w:eastAsia="en-GB"/>
        </w:rPr>
        <w:fldChar w:fldCharType="begin"/>
      </w:r>
      <w:r w:rsidR="00CA6345">
        <w:rPr>
          <w:lang w:eastAsia="en-GB"/>
        </w:rPr>
        <w:instrText xml:space="preserve"> ADDIN ZOTERO_ITEM CSL_CITATION {"citationID":"BEaBWzp4","properties":{"formattedCitation":"\\super 4,5,131\\nosupersub{}","plainCitation":"4,5,131","noteIndex":0},"citationItems":[{"id":66214,"uris":["http://zotero.org/groups/4797619/items/H2PQC2GH"],"itemData":{"id":66214,"type":"webpage","abstract":"Trastuzumab deruxtecan for treating HER2-positive unresectable or metastatic breast cancer after trastuzumab and a taxane [TA862]","language":"eng","note":"publisher: NICE","title":"Trastuzumab deruxtecan for treating HER2-positive unresectable or metastatic breast cancer after 1 or more anti-HER2 therapies | NICE [TA862]","URL":"https://www.nice.org.uk/guidance/indevelopment/gid-ta10804/documents","author":[{"family":"NICE","given":""}],"accessed":{"date-parts":[["2023",2,5]]},"issued":{"date-parts":[["2023",2]]}}},{"id":65884,"uris":["http://zotero.org/groups/4797619/items/GKXW7XYV"],"itemData":{"id":65884,"type":"webpage","abstract":"Evidence-based recommendations on eribulin (Halaven) for treating locally advanced or metastatic breast cancer after 2 or more types of chemotherapy","language":"eng","note":"publisher: NICE","title":"Eribulin for treating locally advanced or metastatic breast cancer after 2 or more chemotherapy regimens | NICE [TA423]","URL":"https://www.nice.org.uk/guidance/ta423","author":[{"family":"NICE","given":""}],"accessed":{"date-parts":[["2022",10,17]]}}},{"id":65878,"uris":["http://zotero.org/groups/4797619/items/ESRZZTT8"],"itemData":{"id":65878,"type":"webpage","abstract":"Evidence-based recommendations on trastuzumab deruxtecan (Enhertu) for treating HER2-positive unresectable or metastatic breast cancer in adults after 2 or more","language":"eng","note":"publisher: NICE","title":"Trastuzumab deruxtecan for treating HER2-positive unresectable or metastatic breast cancer after 2 or more anti-HER2 therapies | NICE [TA704]","URL":"https://www.nice.org.uk/guidance/ta704","author":[{"family":"NICE","given":""}],"accessed":{"date-parts":[["2022",9,29]]}}}],"schema":"https://github.com/citation-style-language/schema/raw/master/csl-citation.json"} </w:instrText>
      </w:r>
      <w:r w:rsidRPr="005D58CB">
        <w:rPr>
          <w:lang w:eastAsia="en-GB"/>
        </w:rPr>
        <w:fldChar w:fldCharType="separate"/>
      </w:r>
      <w:r w:rsidR="00CA6345" w:rsidRPr="00CA6345">
        <w:rPr>
          <w:rFonts w:cs="Arial"/>
          <w:szCs w:val="24"/>
          <w:vertAlign w:val="superscript"/>
        </w:rPr>
        <w:t>4,5,131</w:t>
      </w:r>
      <w:r w:rsidRPr="005D58CB">
        <w:rPr>
          <w:lang w:eastAsia="en-GB"/>
        </w:rPr>
        <w:fldChar w:fldCharType="end"/>
      </w:r>
    </w:p>
    <w:p w14:paraId="4D14BF7B" w14:textId="72825BBC" w:rsidR="00724A2B" w:rsidRDefault="00724A2B" w:rsidP="00724A2B">
      <w:pPr>
        <w:pStyle w:val="Caption"/>
      </w:pPr>
      <w:bookmarkStart w:id="626" w:name="_Ref126927305"/>
      <w:bookmarkStart w:id="627" w:name="_Ref126927309"/>
      <w:bookmarkStart w:id="628" w:name="_Toc127006676"/>
      <w:bookmarkStart w:id="629" w:name="_Toc129351021"/>
      <w:r>
        <w:lastRenderedPageBreak/>
        <w:t xml:space="preserve">Table </w:t>
      </w:r>
      <w:fldSimple w:instr=" SEQ Table \* ARABIC ">
        <w:r w:rsidR="00145F42">
          <w:rPr>
            <w:noProof/>
          </w:rPr>
          <w:t>46</w:t>
        </w:r>
      </w:fldSimple>
      <w:bookmarkEnd w:id="626"/>
      <w:bookmarkEnd w:id="627"/>
      <w:bookmarkEnd w:id="628"/>
      <w:r>
        <w:t>: DESTINY-Breast04 patient characteristics (ages) and objective response rate</w:t>
      </w:r>
      <w:r>
        <w:fldChar w:fldCharType="begin"/>
      </w:r>
      <w:r w:rsidR="00CA6345">
        <w:instrText xml:space="preserve"> ADDIN ZOTERO_ITEM CSL_CITATION {"citationID":"1KPq2j3v","properties":{"formattedCitation":"\\super 6,7\\nosupersub{}","plainCitation":"6,7","noteIndex":0},"citationItems":[{"id":65944,"uris":["http://zotero.org/groups/4797619/items/WBVSVVF7"],"itemData":{"id":65944,"type":"document","title":"Clinical Study Report for DS8201-A-U303. Data cut-off date: 11 Jan 2022. Data on File.","author":[{"family":"Daiichi Sankyo Inc.","given":""}],"issued":{"date-parts":[["2022"]]}}},{"id":66153,"uris":["http://zotero.org/groups/4797619/items/DIMCLQBB"],"itemData":{"id":66153,"type":"article-journal","container-title":"New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00FD57F4" w:rsidRPr="00FD57F4">
        <w:rPr>
          <w:rFonts w:cs="Arial"/>
          <w:szCs w:val="24"/>
          <w:vertAlign w:val="superscript"/>
        </w:rPr>
        <w:t>6,7</w:t>
      </w:r>
      <w:bookmarkEnd w:id="629"/>
      <w:r>
        <w:fldChar w:fldCharType="end"/>
      </w:r>
    </w:p>
    <w:tbl>
      <w:tblPr>
        <w:tblStyle w:val="TableGrid"/>
        <w:tblW w:w="0" w:type="auto"/>
        <w:tblLook w:val="04A0" w:firstRow="1" w:lastRow="0" w:firstColumn="1" w:lastColumn="0" w:noHBand="0" w:noVBand="1"/>
      </w:tblPr>
      <w:tblGrid>
        <w:gridCol w:w="3005"/>
        <w:gridCol w:w="3006"/>
        <w:gridCol w:w="3006"/>
      </w:tblGrid>
      <w:tr w:rsidR="00724A2B" w14:paraId="73FB24D9" w14:textId="77777777" w:rsidTr="00407D06">
        <w:tc>
          <w:tcPr>
            <w:tcW w:w="3005" w:type="dxa"/>
            <w:shd w:val="clear" w:color="auto" w:fill="D9D9D9" w:themeFill="background1" w:themeFillShade="D9"/>
          </w:tcPr>
          <w:p w14:paraId="30029F89" w14:textId="77777777" w:rsidR="00724A2B" w:rsidRDefault="00724A2B">
            <w:pPr>
              <w:pStyle w:val="NICETableHeader"/>
              <w:jc w:val="center"/>
            </w:pPr>
          </w:p>
        </w:tc>
        <w:tc>
          <w:tcPr>
            <w:tcW w:w="3006" w:type="dxa"/>
            <w:shd w:val="clear" w:color="auto" w:fill="D9D9D9" w:themeFill="background1" w:themeFillShade="D9"/>
          </w:tcPr>
          <w:p w14:paraId="6FAF1A0B" w14:textId="77777777" w:rsidR="00724A2B" w:rsidRDefault="00724A2B">
            <w:pPr>
              <w:pStyle w:val="NICETableHeader"/>
              <w:jc w:val="center"/>
            </w:pPr>
            <w:r w:rsidRPr="005D58CB">
              <w:t xml:space="preserve">T-DXd </w:t>
            </w:r>
          </w:p>
        </w:tc>
        <w:tc>
          <w:tcPr>
            <w:tcW w:w="3006" w:type="dxa"/>
            <w:shd w:val="clear" w:color="auto" w:fill="D9D9D9" w:themeFill="background1" w:themeFillShade="D9"/>
          </w:tcPr>
          <w:p w14:paraId="2B86F895" w14:textId="77777777" w:rsidR="00724A2B" w:rsidRDefault="00724A2B">
            <w:pPr>
              <w:pStyle w:val="NICETableHeader"/>
              <w:jc w:val="center"/>
            </w:pPr>
            <w:r w:rsidRPr="005D58CB">
              <w:t>TPC</w:t>
            </w:r>
          </w:p>
        </w:tc>
      </w:tr>
      <w:tr w:rsidR="00724A2B" w14:paraId="72EB5D11" w14:textId="77777777">
        <w:tc>
          <w:tcPr>
            <w:tcW w:w="3005" w:type="dxa"/>
          </w:tcPr>
          <w:p w14:paraId="04C185EE" w14:textId="77777777" w:rsidR="00724A2B" w:rsidRDefault="00724A2B">
            <w:pPr>
              <w:pStyle w:val="NICETabletext"/>
            </w:pPr>
            <w:r w:rsidRPr="003A7CC7">
              <w:t>Median age (years)</w:t>
            </w:r>
          </w:p>
        </w:tc>
        <w:tc>
          <w:tcPr>
            <w:tcW w:w="3006" w:type="dxa"/>
            <w:vAlign w:val="bottom"/>
          </w:tcPr>
          <w:p w14:paraId="0F3BC0EC" w14:textId="77777777" w:rsidR="00724A2B" w:rsidRDefault="00724A2B">
            <w:pPr>
              <w:pStyle w:val="Body"/>
            </w:pPr>
            <w:r>
              <w:rPr>
                <w:rFonts w:cs="Arial"/>
                <w:color w:val="000000"/>
                <w:sz w:val="20"/>
                <w:szCs w:val="20"/>
              </w:rPr>
              <w:t>57.5</w:t>
            </w:r>
          </w:p>
        </w:tc>
        <w:tc>
          <w:tcPr>
            <w:tcW w:w="3006" w:type="dxa"/>
            <w:vAlign w:val="bottom"/>
          </w:tcPr>
          <w:p w14:paraId="0264DFD3" w14:textId="77777777" w:rsidR="00724A2B" w:rsidRDefault="00724A2B">
            <w:pPr>
              <w:pStyle w:val="Body"/>
            </w:pPr>
            <w:r>
              <w:rPr>
                <w:rFonts w:cs="Arial"/>
                <w:color w:val="000000"/>
                <w:sz w:val="20"/>
                <w:szCs w:val="20"/>
              </w:rPr>
              <w:t>55.9</w:t>
            </w:r>
          </w:p>
        </w:tc>
      </w:tr>
      <w:tr w:rsidR="00724A2B" w14:paraId="59A5A913" w14:textId="77777777">
        <w:tc>
          <w:tcPr>
            <w:tcW w:w="3005" w:type="dxa"/>
          </w:tcPr>
          <w:p w14:paraId="4A5E56F4" w14:textId="77777777" w:rsidR="00724A2B" w:rsidRDefault="00724A2B">
            <w:pPr>
              <w:pStyle w:val="NICETabletext"/>
            </w:pPr>
            <w:r>
              <w:t>Treatment response (ORR)</w:t>
            </w:r>
          </w:p>
        </w:tc>
        <w:tc>
          <w:tcPr>
            <w:tcW w:w="3006" w:type="dxa"/>
            <w:vAlign w:val="bottom"/>
          </w:tcPr>
          <w:p w14:paraId="203AB046" w14:textId="77777777" w:rsidR="00724A2B" w:rsidRDefault="00724A2B">
            <w:pPr>
              <w:pStyle w:val="Body"/>
            </w:pPr>
            <w:r>
              <w:rPr>
                <w:rFonts w:cs="Arial"/>
                <w:color w:val="000000"/>
                <w:sz w:val="20"/>
                <w:szCs w:val="20"/>
              </w:rPr>
              <w:t>52.3%</w:t>
            </w:r>
          </w:p>
        </w:tc>
        <w:tc>
          <w:tcPr>
            <w:tcW w:w="3006" w:type="dxa"/>
            <w:vAlign w:val="bottom"/>
          </w:tcPr>
          <w:p w14:paraId="06893AE9" w14:textId="77777777" w:rsidR="00724A2B" w:rsidRDefault="00724A2B">
            <w:pPr>
              <w:pStyle w:val="Body"/>
            </w:pPr>
            <w:r>
              <w:rPr>
                <w:rFonts w:cs="Arial"/>
                <w:color w:val="000000"/>
                <w:sz w:val="20"/>
                <w:szCs w:val="20"/>
              </w:rPr>
              <w:t>16.3%</w:t>
            </w:r>
          </w:p>
        </w:tc>
      </w:tr>
    </w:tbl>
    <w:p w14:paraId="43543317" w14:textId="77777777" w:rsidR="00724A2B" w:rsidRDefault="00724A2B" w:rsidP="00724A2B">
      <w:pPr>
        <w:pStyle w:val="Footnotes"/>
      </w:pPr>
      <w:r w:rsidRPr="003A7CC7">
        <w:t xml:space="preserve">Abbreviations: </w:t>
      </w:r>
      <w:r>
        <w:t xml:space="preserve">ORR – objective response rate; </w:t>
      </w:r>
      <w:r w:rsidRPr="005D58CB">
        <w:t>T-DXd, trastuzumab deruxtecan; TPC, treatment of physician’s choice.</w:t>
      </w:r>
    </w:p>
    <w:p w14:paraId="1038D67F" w14:textId="1DC6A6AD" w:rsidR="00724A2B" w:rsidRPr="003A7CC7" w:rsidRDefault="00724A2B" w:rsidP="00724A2B">
      <w:pPr>
        <w:pStyle w:val="Caption"/>
      </w:pPr>
      <w:bookmarkStart w:id="630" w:name="_Ref126927604"/>
      <w:bookmarkStart w:id="631" w:name="_Toc127006677"/>
      <w:bookmarkStart w:id="632" w:name="_Toc129351022"/>
      <w:r w:rsidRPr="003A7CC7">
        <w:t xml:space="preserve">Table </w:t>
      </w:r>
      <w:r w:rsidRPr="003A7CC7">
        <w:fldChar w:fldCharType="begin"/>
      </w:r>
      <w:r w:rsidRPr="003A7CC7">
        <w:instrText>SEQ Table \* ARABIC</w:instrText>
      </w:r>
      <w:r w:rsidRPr="003A7CC7">
        <w:fldChar w:fldCharType="separate"/>
      </w:r>
      <w:r w:rsidR="00145F42">
        <w:rPr>
          <w:noProof/>
        </w:rPr>
        <w:t>47</w:t>
      </w:r>
      <w:r w:rsidRPr="003A7CC7">
        <w:fldChar w:fldCharType="end"/>
      </w:r>
      <w:bookmarkEnd w:id="630"/>
      <w:bookmarkEnd w:id="631"/>
      <w:r w:rsidRPr="003A7CC7">
        <w:t xml:space="preserve">: </w:t>
      </w:r>
      <w:r w:rsidRPr="005D58CB">
        <w:t xml:space="preserve">Inputs to derive utilities </w:t>
      </w:r>
      <w:r w:rsidRPr="003A7CC7">
        <w:t>from Lloyd et al.</w:t>
      </w:r>
      <w:r w:rsidRPr="000A2630">
        <w:t xml:space="preserve"> </w:t>
      </w:r>
      <w:r w:rsidRPr="00A03015">
        <w:fldChar w:fldCharType="begin"/>
      </w:r>
      <w:r w:rsidR="00CA6345">
        <w:instrText xml:space="preserve"> ADDIN ZOTERO_ITEM CSL_CITATION {"citationID":"Q6XCVRzG","properties":{"formattedCitation":"\\super 169\\nosupersub{}","plainCitation":"169","noteIndex":0},"citationItems":[{"id":65949,"uris":["http://zotero.org/groups/4797619/items/78YMSHI3"],"itemData":{"id":65949,"type":"article-journal","abstract":"The aim of the study was to obtain United Kingdom-based societal preferences for distinct stages of metastatic breast cancer (MBC) and six common toxicities. Health states were developed based on literature review, iterative cycles of interviews and a focus group with clinical experts. They described the burden of progressive, responding and stable disease on treatment; and also febrile neutropenia, stomatitis; diarrhoea/vomiting; fatigue; hand-foot syndrome (grade 3/4 toxicities) and hair loss. One hundred members of the general public rated them using standard gamble to determine health state utility. Data were analysed with a mixed model analysis. The study sample was a good match to the general public of England and Wales by demographics and current quality of life. Stable disease on treatment had a utility value of 0.72, with a corresponding gain of +0.07 following a treatment response and a decline by 0.27 for disease progression. Toxicities lead to declines in utility between 0.10 (diarrhoea/vomiting) and 0.15 (febrile neutropenia). This study underlines the value that society place on the avoidance of disease progression and severe side effects in MBC. This may be the largest preference study in breast cancer designed to survey a representative general public sample.","container-title":"British Journal of Cancer","DOI":"10.1038/sj.bjc.6603326","ISSN":"0007-0920","issue":"6","journalAbbreviation":"Br J Cancer","note":"PMID: 16967055\nPMCID: PMC2360509","page":"683-690","source":"PubMed Central","title":"Health state utilities for metastatic breast cancer","volume":"95","author":[{"family":"Lloyd","given":"A"},{"family":"Nafees","given":"B"},{"family":"Narewska","given":"J"},{"family":"Dewilde","given":"S"},{"family":"Watkins","given":"J"}],"issued":{"date-parts":[["2006",9,18]]}}}],"schema":"https://github.com/citation-style-language/schema/raw/master/csl-citation.json"} </w:instrText>
      </w:r>
      <w:r w:rsidRPr="00A03015">
        <w:fldChar w:fldCharType="separate"/>
      </w:r>
      <w:r w:rsidR="00CA6345" w:rsidRPr="00CA6345">
        <w:rPr>
          <w:rFonts w:cs="Arial"/>
          <w:szCs w:val="24"/>
          <w:vertAlign w:val="superscript"/>
        </w:rPr>
        <w:t>169</w:t>
      </w:r>
      <w:bookmarkEnd w:id="632"/>
      <w:r w:rsidRPr="00A03015">
        <w:fldChar w:fldCharType="end"/>
      </w:r>
      <w:r w:rsidRPr="00A03015">
        <w:t xml:space="preserve"> </w:t>
      </w:r>
      <w:r w:rsidRPr="003A7CC7">
        <w:t xml:space="preserve"> </w:t>
      </w:r>
    </w:p>
    <w:tbl>
      <w:tblPr>
        <w:tblStyle w:val="TableGrid"/>
        <w:tblW w:w="0" w:type="auto"/>
        <w:tblLayout w:type="fixed"/>
        <w:tblLook w:val="04A0" w:firstRow="1" w:lastRow="0" w:firstColumn="1" w:lastColumn="0" w:noHBand="0" w:noVBand="1"/>
      </w:tblPr>
      <w:tblGrid>
        <w:gridCol w:w="1955"/>
        <w:gridCol w:w="1765"/>
        <w:gridCol w:w="1766"/>
        <w:gridCol w:w="1765"/>
        <w:gridCol w:w="1766"/>
      </w:tblGrid>
      <w:tr w:rsidR="00724A2B" w:rsidRPr="003A7CC7" w14:paraId="28CF9F21" w14:textId="77777777">
        <w:tc>
          <w:tcPr>
            <w:tcW w:w="1955" w:type="dxa"/>
            <w:shd w:val="clear" w:color="auto" w:fill="D9D9D9" w:themeFill="background1" w:themeFillShade="D9"/>
          </w:tcPr>
          <w:p w14:paraId="6F897125" w14:textId="77777777" w:rsidR="00724A2B" w:rsidRPr="003A7CC7" w:rsidRDefault="00724A2B">
            <w:pPr>
              <w:pStyle w:val="NICETableHeader"/>
            </w:pPr>
            <w:r w:rsidRPr="003A7CC7">
              <w:t>Parameter</w:t>
            </w:r>
          </w:p>
        </w:tc>
        <w:tc>
          <w:tcPr>
            <w:tcW w:w="1765" w:type="dxa"/>
            <w:shd w:val="clear" w:color="auto" w:fill="D9D9D9" w:themeFill="background1" w:themeFillShade="D9"/>
          </w:tcPr>
          <w:p w14:paraId="06C67C53" w14:textId="77777777" w:rsidR="00724A2B" w:rsidRPr="003A7CC7" w:rsidRDefault="00724A2B">
            <w:pPr>
              <w:pStyle w:val="NICETableHeader"/>
              <w:jc w:val="center"/>
            </w:pPr>
            <w:r w:rsidRPr="003A7CC7">
              <w:t>Coefficient value</w:t>
            </w:r>
          </w:p>
        </w:tc>
        <w:tc>
          <w:tcPr>
            <w:tcW w:w="1766" w:type="dxa"/>
            <w:shd w:val="clear" w:color="auto" w:fill="D9D9D9" w:themeFill="background1" w:themeFillShade="D9"/>
          </w:tcPr>
          <w:p w14:paraId="079C3494" w14:textId="77777777" w:rsidR="00724A2B" w:rsidRPr="003A7CC7" w:rsidRDefault="00724A2B">
            <w:pPr>
              <w:pStyle w:val="NICETableHeader"/>
              <w:jc w:val="center"/>
            </w:pPr>
            <w:r w:rsidRPr="003A7CC7">
              <w:t>T-DXd multiplier</w:t>
            </w:r>
          </w:p>
        </w:tc>
        <w:tc>
          <w:tcPr>
            <w:tcW w:w="1765" w:type="dxa"/>
            <w:shd w:val="clear" w:color="auto" w:fill="D9D9D9" w:themeFill="background1" w:themeFillShade="D9"/>
          </w:tcPr>
          <w:p w14:paraId="0E99BCA1" w14:textId="77777777" w:rsidR="00724A2B" w:rsidRPr="003A7CC7" w:rsidRDefault="00724A2B">
            <w:pPr>
              <w:pStyle w:val="NICETableHeader"/>
              <w:jc w:val="center"/>
            </w:pPr>
            <w:r w:rsidRPr="005D58CB">
              <w:t xml:space="preserve">TPC </w:t>
            </w:r>
            <w:r w:rsidRPr="003A7CC7">
              <w:t>multiplier</w:t>
            </w:r>
          </w:p>
        </w:tc>
        <w:tc>
          <w:tcPr>
            <w:tcW w:w="1766" w:type="dxa"/>
            <w:shd w:val="clear" w:color="auto" w:fill="D9D9D9" w:themeFill="background1" w:themeFillShade="D9"/>
          </w:tcPr>
          <w:p w14:paraId="3AE61C12" w14:textId="77777777" w:rsidR="00724A2B" w:rsidRPr="003A7CC7" w:rsidRDefault="00724A2B">
            <w:pPr>
              <w:pStyle w:val="NICETableHeader"/>
              <w:jc w:val="center"/>
            </w:pPr>
            <w:r w:rsidRPr="003A7CC7">
              <w:t>Pooled weighted multiplier</w:t>
            </w:r>
          </w:p>
        </w:tc>
      </w:tr>
      <w:tr w:rsidR="00724A2B" w:rsidRPr="003A7CC7" w14:paraId="7DFEE5AA" w14:textId="77777777">
        <w:tc>
          <w:tcPr>
            <w:tcW w:w="1955" w:type="dxa"/>
          </w:tcPr>
          <w:p w14:paraId="40187E7E" w14:textId="77777777" w:rsidR="00724A2B" w:rsidRPr="003A7CC7" w:rsidRDefault="00724A2B">
            <w:pPr>
              <w:pStyle w:val="NICETabletext"/>
            </w:pPr>
            <w:r w:rsidRPr="003A7CC7">
              <w:t>Intercept</w:t>
            </w:r>
          </w:p>
        </w:tc>
        <w:tc>
          <w:tcPr>
            <w:tcW w:w="1765" w:type="dxa"/>
            <w:vAlign w:val="center"/>
          </w:tcPr>
          <w:p w14:paraId="06B988E2" w14:textId="77777777" w:rsidR="00724A2B" w:rsidRPr="003A7CC7" w:rsidRDefault="00724A2B">
            <w:pPr>
              <w:pStyle w:val="NICETabletext"/>
              <w:jc w:val="center"/>
            </w:pPr>
            <w:r w:rsidRPr="003A7CC7">
              <w:t>0.009</w:t>
            </w:r>
          </w:p>
        </w:tc>
        <w:tc>
          <w:tcPr>
            <w:tcW w:w="1766" w:type="dxa"/>
            <w:vAlign w:val="center"/>
          </w:tcPr>
          <w:p w14:paraId="16C5092A" w14:textId="77777777" w:rsidR="00724A2B" w:rsidRPr="005D58CB" w:rsidRDefault="00724A2B">
            <w:pPr>
              <w:pStyle w:val="NICETabletext"/>
              <w:jc w:val="center"/>
            </w:pPr>
            <w:r w:rsidRPr="005D58CB">
              <w:t>0.009</w:t>
            </w:r>
          </w:p>
        </w:tc>
        <w:tc>
          <w:tcPr>
            <w:tcW w:w="1765" w:type="dxa"/>
            <w:vAlign w:val="center"/>
          </w:tcPr>
          <w:p w14:paraId="1FFD598A" w14:textId="77777777" w:rsidR="00724A2B" w:rsidRPr="005D58CB" w:rsidRDefault="00724A2B">
            <w:pPr>
              <w:pStyle w:val="NICETabletext"/>
              <w:jc w:val="center"/>
            </w:pPr>
            <w:r w:rsidRPr="005D58CB">
              <w:t>0.009</w:t>
            </w:r>
          </w:p>
        </w:tc>
        <w:tc>
          <w:tcPr>
            <w:tcW w:w="1766" w:type="dxa"/>
            <w:vAlign w:val="center"/>
          </w:tcPr>
          <w:p w14:paraId="5560CF55" w14:textId="77777777" w:rsidR="00724A2B" w:rsidRPr="005D58CB" w:rsidRDefault="00724A2B">
            <w:pPr>
              <w:pStyle w:val="NICETabletext"/>
              <w:jc w:val="center"/>
            </w:pPr>
            <w:r w:rsidRPr="005D58CB">
              <w:t>0.009</w:t>
            </w:r>
          </w:p>
        </w:tc>
      </w:tr>
      <w:tr w:rsidR="00724A2B" w:rsidRPr="003A7CC7" w14:paraId="460F0C32" w14:textId="77777777">
        <w:tc>
          <w:tcPr>
            <w:tcW w:w="1955" w:type="dxa"/>
          </w:tcPr>
          <w:p w14:paraId="36BD9947" w14:textId="77777777" w:rsidR="00724A2B" w:rsidRPr="003A7CC7" w:rsidRDefault="00724A2B">
            <w:pPr>
              <w:pStyle w:val="NICETabletext"/>
            </w:pPr>
            <w:r w:rsidRPr="003A7CC7">
              <w:t>Median age (years)</w:t>
            </w:r>
          </w:p>
        </w:tc>
        <w:tc>
          <w:tcPr>
            <w:tcW w:w="1765" w:type="dxa"/>
            <w:vAlign w:val="center"/>
          </w:tcPr>
          <w:p w14:paraId="22AE0FA3" w14:textId="77777777" w:rsidR="00724A2B" w:rsidRPr="003A7CC7" w:rsidRDefault="00724A2B">
            <w:pPr>
              <w:pStyle w:val="NICETabletext"/>
              <w:jc w:val="center"/>
            </w:pPr>
            <w:r w:rsidRPr="003A7CC7">
              <w:t>0.024</w:t>
            </w:r>
          </w:p>
        </w:tc>
        <w:tc>
          <w:tcPr>
            <w:tcW w:w="1766" w:type="dxa"/>
            <w:vAlign w:val="center"/>
          </w:tcPr>
          <w:p w14:paraId="0A9AA7B3" w14:textId="77777777" w:rsidR="00724A2B" w:rsidRPr="005D58CB" w:rsidRDefault="00724A2B">
            <w:pPr>
              <w:pStyle w:val="NICETabletext"/>
              <w:jc w:val="center"/>
            </w:pPr>
            <w:r w:rsidRPr="005D58CB">
              <w:t>1.374</w:t>
            </w:r>
          </w:p>
        </w:tc>
        <w:tc>
          <w:tcPr>
            <w:tcW w:w="1765" w:type="dxa"/>
            <w:vAlign w:val="center"/>
          </w:tcPr>
          <w:p w14:paraId="6A203C71" w14:textId="77777777" w:rsidR="00724A2B" w:rsidRPr="005D58CB" w:rsidRDefault="00724A2B">
            <w:pPr>
              <w:pStyle w:val="NICETabletext"/>
              <w:jc w:val="center"/>
            </w:pPr>
            <w:r w:rsidRPr="005D58CB">
              <w:t>1.336</w:t>
            </w:r>
          </w:p>
        </w:tc>
        <w:tc>
          <w:tcPr>
            <w:tcW w:w="1766" w:type="dxa"/>
            <w:vAlign w:val="center"/>
          </w:tcPr>
          <w:p w14:paraId="71BBA0A7" w14:textId="77777777" w:rsidR="00724A2B" w:rsidRPr="005D58CB" w:rsidRDefault="00724A2B">
            <w:pPr>
              <w:pStyle w:val="NICETabletext"/>
              <w:jc w:val="center"/>
            </w:pPr>
            <w:r w:rsidRPr="005D58CB">
              <w:t>1.362</w:t>
            </w:r>
          </w:p>
        </w:tc>
      </w:tr>
      <w:tr w:rsidR="00724A2B" w:rsidRPr="003A7CC7" w14:paraId="58490FF1" w14:textId="77777777">
        <w:tc>
          <w:tcPr>
            <w:tcW w:w="1955" w:type="dxa"/>
          </w:tcPr>
          <w:p w14:paraId="4A53B8CC" w14:textId="77777777" w:rsidR="00724A2B" w:rsidRPr="003A7CC7" w:rsidRDefault="00724A2B">
            <w:pPr>
              <w:pStyle w:val="NICETabletext"/>
            </w:pPr>
            <w:r w:rsidRPr="003A7CC7">
              <w:t>Treatment response (ORR)</w:t>
            </w:r>
          </w:p>
        </w:tc>
        <w:tc>
          <w:tcPr>
            <w:tcW w:w="1765" w:type="dxa"/>
            <w:vAlign w:val="center"/>
          </w:tcPr>
          <w:p w14:paraId="08E553C3" w14:textId="77777777" w:rsidR="00724A2B" w:rsidRPr="003A7CC7" w:rsidRDefault="00724A2B">
            <w:pPr>
              <w:pStyle w:val="NICETabletext"/>
              <w:jc w:val="center"/>
            </w:pPr>
            <w:r w:rsidRPr="003A7CC7">
              <w:t>0.406</w:t>
            </w:r>
          </w:p>
        </w:tc>
        <w:tc>
          <w:tcPr>
            <w:tcW w:w="1766" w:type="dxa"/>
            <w:vAlign w:val="center"/>
          </w:tcPr>
          <w:p w14:paraId="60CB17A9" w14:textId="77777777" w:rsidR="00724A2B" w:rsidRPr="005D58CB" w:rsidRDefault="00724A2B">
            <w:pPr>
              <w:pStyle w:val="NICETabletext"/>
              <w:jc w:val="center"/>
            </w:pPr>
            <w:r w:rsidRPr="005D58CB">
              <w:t>0.213</w:t>
            </w:r>
          </w:p>
        </w:tc>
        <w:tc>
          <w:tcPr>
            <w:tcW w:w="1765" w:type="dxa"/>
            <w:vAlign w:val="center"/>
          </w:tcPr>
          <w:p w14:paraId="6A579498" w14:textId="77777777" w:rsidR="00724A2B" w:rsidRPr="005D58CB" w:rsidRDefault="00724A2B">
            <w:pPr>
              <w:pStyle w:val="NICETabletext"/>
              <w:jc w:val="center"/>
            </w:pPr>
            <w:r w:rsidRPr="005D58CB">
              <w:t>0.066</w:t>
            </w:r>
          </w:p>
        </w:tc>
        <w:tc>
          <w:tcPr>
            <w:tcW w:w="1766" w:type="dxa"/>
            <w:vAlign w:val="center"/>
          </w:tcPr>
          <w:p w14:paraId="3CEC8221" w14:textId="77777777" w:rsidR="00724A2B" w:rsidRPr="005D58CB" w:rsidRDefault="00724A2B">
            <w:pPr>
              <w:pStyle w:val="NICETabletext"/>
              <w:jc w:val="center"/>
            </w:pPr>
            <w:r w:rsidRPr="005D58CB">
              <w:t>0.164</w:t>
            </w:r>
          </w:p>
        </w:tc>
      </w:tr>
      <w:tr w:rsidR="00724A2B" w:rsidRPr="003A7CC7" w14:paraId="7EC62ECC" w14:textId="77777777">
        <w:tc>
          <w:tcPr>
            <w:tcW w:w="1955" w:type="dxa"/>
          </w:tcPr>
          <w:p w14:paraId="05F5763B" w14:textId="77777777" w:rsidR="00724A2B" w:rsidRPr="003A7CC7" w:rsidRDefault="00724A2B">
            <w:pPr>
              <w:pStyle w:val="NICETabletext"/>
            </w:pPr>
            <w:r w:rsidRPr="003A7CC7">
              <w:t>Progression</w:t>
            </w:r>
          </w:p>
        </w:tc>
        <w:tc>
          <w:tcPr>
            <w:tcW w:w="1765" w:type="dxa"/>
            <w:vAlign w:val="center"/>
          </w:tcPr>
          <w:p w14:paraId="34C57B91" w14:textId="77777777" w:rsidR="00724A2B" w:rsidRPr="003A7CC7" w:rsidRDefault="00724A2B">
            <w:pPr>
              <w:pStyle w:val="NICETabletext"/>
              <w:jc w:val="center"/>
            </w:pPr>
            <w:r w:rsidRPr="003A7CC7">
              <w:t>-1.148</w:t>
            </w:r>
          </w:p>
        </w:tc>
        <w:tc>
          <w:tcPr>
            <w:tcW w:w="1766" w:type="dxa"/>
            <w:vAlign w:val="center"/>
          </w:tcPr>
          <w:p w14:paraId="1722441E" w14:textId="77777777" w:rsidR="00724A2B" w:rsidRPr="005D58CB" w:rsidRDefault="00724A2B">
            <w:pPr>
              <w:pStyle w:val="NICETabletext"/>
              <w:jc w:val="center"/>
            </w:pPr>
            <w:r w:rsidRPr="005D58CB">
              <w:t>-1.148</w:t>
            </w:r>
          </w:p>
        </w:tc>
        <w:tc>
          <w:tcPr>
            <w:tcW w:w="1765" w:type="dxa"/>
            <w:vAlign w:val="center"/>
          </w:tcPr>
          <w:p w14:paraId="189BEF98" w14:textId="77777777" w:rsidR="00724A2B" w:rsidRPr="005D58CB" w:rsidRDefault="00724A2B">
            <w:pPr>
              <w:pStyle w:val="NICETabletext"/>
              <w:jc w:val="center"/>
            </w:pPr>
            <w:r w:rsidRPr="005D58CB">
              <w:t>-1.148</w:t>
            </w:r>
          </w:p>
        </w:tc>
        <w:tc>
          <w:tcPr>
            <w:tcW w:w="1766" w:type="dxa"/>
            <w:vAlign w:val="center"/>
          </w:tcPr>
          <w:p w14:paraId="314352A4" w14:textId="77777777" w:rsidR="00724A2B" w:rsidRPr="005D58CB" w:rsidRDefault="00724A2B">
            <w:pPr>
              <w:pStyle w:val="NICETabletext"/>
              <w:jc w:val="center"/>
            </w:pPr>
            <w:r w:rsidRPr="005D58CB">
              <w:t>-1.148</w:t>
            </w:r>
          </w:p>
        </w:tc>
      </w:tr>
    </w:tbl>
    <w:p w14:paraId="13FE446B" w14:textId="77777777" w:rsidR="00724A2B" w:rsidRPr="00FF6075" w:rsidRDefault="00724A2B" w:rsidP="00724A2B">
      <w:pPr>
        <w:pStyle w:val="Footnotes"/>
      </w:pPr>
      <w:r w:rsidRPr="003A7CC7">
        <w:t xml:space="preserve">Abbreviations: </w:t>
      </w:r>
      <w:r>
        <w:t xml:space="preserve">ORR – objective response rate; </w:t>
      </w:r>
      <w:r w:rsidRPr="005D58CB">
        <w:t>T-DXd, trastuzumab deruxtecan; TPC, treatment of physician’s choice.</w:t>
      </w:r>
    </w:p>
    <w:p w14:paraId="1C937D89" w14:textId="081DC90C" w:rsidR="00724A2B" w:rsidRPr="005D58CB" w:rsidRDefault="00724A2B" w:rsidP="00724A2B">
      <w:pPr>
        <w:pStyle w:val="Caption"/>
      </w:pPr>
      <w:bookmarkStart w:id="633" w:name="_Ref125548842"/>
      <w:bookmarkStart w:id="634" w:name="_Toc127006678"/>
      <w:bookmarkStart w:id="635" w:name="_Toc129351023"/>
      <w:r w:rsidRPr="005D58CB">
        <w:t xml:space="preserve">Table </w:t>
      </w:r>
      <w:r w:rsidRPr="005D58CB">
        <w:fldChar w:fldCharType="begin"/>
      </w:r>
      <w:r w:rsidRPr="003A7CC7">
        <w:instrText>SEQ Table \* ARABIC</w:instrText>
      </w:r>
      <w:r w:rsidRPr="005D58CB">
        <w:fldChar w:fldCharType="separate"/>
      </w:r>
      <w:r w:rsidR="00145F42">
        <w:rPr>
          <w:noProof/>
        </w:rPr>
        <w:t>48</w:t>
      </w:r>
      <w:r w:rsidRPr="005D58CB">
        <w:fldChar w:fldCharType="end"/>
      </w:r>
      <w:bookmarkEnd w:id="633"/>
      <w:bookmarkEnd w:id="634"/>
      <w:r w:rsidRPr="005D58CB">
        <w:t xml:space="preserve">: Utilities derived from Lloyd et al. </w:t>
      </w:r>
      <w:r w:rsidRPr="00A03015">
        <w:fldChar w:fldCharType="begin"/>
      </w:r>
      <w:r w:rsidR="00CA6345">
        <w:instrText xml:space="preserve"> ADDIN ZOTERO_ITEM CSL_CITATION {"citationID":"zSvtZO6L","properties":{"formattedCitation":"\\super 169\\nosupersub{}","plainCitation":"169","noteIndex":0},"citationItems":[{"id":65949,"uris":["http://zotero.org/groups/4797619/items/78YMSHI3"],"itemData":{"id":65949,"type":"article-journal","abstract":"The aim of the study was to obtain United Kingdom-based societal preferences for distinct stages of metastatic breast cancer (MBC) and six common toxicities. Health states were developed based on literature review, iterative cycles of interviews and a focus group with clinical experts. They described the burden of progressive, responding and stable disease on treatment; and also febrile neutropenia, stomatitis; diarrhoea/vomiting; fatigue; hand-foot syndrome (grade 3/4 toxicities) and hair loss. One hundred members of the general public rated them using standard gamble to determine health state utility. Data were analysed with a mixed model analysis. The study sample was a good match to the general public of England and Wales by demographics and current quality of life. Stable disease on treatment had a utility value of 0.72, with a corresponding gain of +0.07 following a treatment response and a decline by 0.27 for disease progression. Toxicities lead to declines in utility between 0.10 (diarrhoea/vomiting) and 0.15 (febrile neutropenia). This study underlines the value that society place on the avoidance of disease progression and severe side effects in MBC. This may be the largest preference study in breast cancer designed to survey a representative general public sample.","container-title":"British Journal of Cancer","DOI":"10.1038/sj.bjc.6603326","ISSN":"0007-0920","issue":"6","journalAbbreviation":"Br J Cancer","note":"PMID: 16967055\nPMCID: PMC2360509","page":"683-690","source":"PubMed Central","title":"Health state utilities for metastatic breast cancer","volume":"95","author":[{"family":"Lloyd","given":"A"},{"family":"Nafees","given":"B"},{"family":"Narewska","given":"J"},{"family":"Dewilde","given":"S"},{"family":"Watkins","given":"J"}],"issued":{"date-parts":[["2006",9,18]]}}}],"schema":"https://github.com/citation-style-language/schema/raw/master/csl-citation.json"} </w:instrText>
      </w:r>
      <w:r w:rsidRPr="00A03015">
        <w:fldChar w:fldCharType="separate"/>
      </w:r>
      <w:r w:rsidR="00CA6345" w:rsidRPr="00CA6345">
        <w:rPr>
          <w:rFonts w:cs="Arial"/>
          <w:szCs w:val="24"/>
          <w:vertAlign w:val="superscript"/>
        </w:rPr>
        <w:t>169</w:t>
      </w:r>
      <w:bookmarkEnd w:id="635"/>
      <w:r w:rsidRPr="00A03015">
        <w:fldChar w:fldCharType="end"/>
      </w:r>
    </w:p>
    <w:tbl>
      <w:tblPr>
        <w:tblStyle w:val="TableGrid"/>
        <w:tblW w:w="0" w:type="auto"/>
        <w:tblLayout w:type="fixed"/>
        <w:tblLook w:val="04A0" w:firstRow="1" w:lastRow="0" w:firstColumn="1" w:lastColumn="0" w:noHBand="0" w:noVBand="1"/>
      </w:tblPr>
      <w:tblGrid>
        <w:gridCol w:w="1980"/>
        <w:gridCol w:w="2977"/>
        <w:gridCol w:w="1353"/>
        <w:gridCol w:w="1353"/>
        <w:gridCol w:w="1354"/>
      </w:tblGrid>
      <w:tr w:rsidR="00724A2B" w:rsidRPr="003A7CC7" w14:paraId="1EA61907" w14:textId="77777777">
        <w:tc>
          <w:tcPr>
            <w:tcW w:w="1980" w:type="dxa"/>
            <w:shd w:val="clear" w:color="auto" w:fill="D9D9D9" w:themeFill="background1" w:themeFillShade="D9"/>
          </w:tcPr>
          <w:p w14:paraId="6143C13E" w14:textId="77777777" w:rsidR="00724A2B" w:rsidRPr="005D58CB" w:rsidRDefault="00724A2B">
            <w:pPr>
              <w:pStyle w:val="NICETableHeader"/>
            </w:pPr>
          </w:p>
        </w:tc>
        <w:tc>
          <w:tcPr>
            <w:tcW w:w="7037" w:type="dxa"/>
            <w:gridSpan w:val="4"/>
            <w:shd w:val="clear" w:color="auto" w:fill="D9D9D9" w:themeFill="background1" w:themeFillShade="D9"/>
          </w:tcPr>
          <w:p w14:paraId="7F594482" w14:textId="77777777" w:rsidR="00724A2B" w:rsidRPr="005D58CB" w:rsidRDefault="00724A2B">
            <w:pPr>
              <w:pStyle w:val="NICETableHeader"/>
              <w:jc w:val="center"/>
            </w:pPr>
            <w:r w:rsidRPr="005D58CB">
              <w:t>Utility*</w:t>
            </w:r>
          </w:p>
        </w:tc>
      </w:tr>
      <w:tr w:rsidR="00724A2B" w:rsidRPr="003A7CC7" w14:paraId="3B809BCE" w14:textId="77777777">
        <w:tc>
          <w:tcPr>
            <w:tcW w:w="1980" w:type="dxa"/>
            <w:shd w:val="clear" w:color="auto" w:fill="D9D9D9" w:themeFill="background1" w:themeFillShade="D9"/>
          </w:tcPr>
          <w:p w14:paraId="651AE74D" w14:textId="77777777" w:rsidR="00724A2B" w:rsidRPr="005D58CB" w:rsidRDefault="00724A2B">
            <w:pPr>
              <w:pStyle w:val="NICETableHeader"/>
            </w:pPr>
            <w:r w:rsidRPr="005D58CB">
              <w:t>Parameter</w:t>
            </w:r>
          </w:p>
        </w:tc>
        <w:tc>
          <w:tcPr>
            <w:tcW w:w="2977" w:type="dxa"/>
            <w:shd w:val="clear" w:color="auto" w:fill="D9D9D9" w:themeFill="background1" w:themeFillShade="D9"/>
          </w:tcPr>
          <w:p w14:paraId="542852EF" w14:textId="77777777" w:rsidR="00724A2B" w:rsidRPr="005D58CB" w:rsidRDefault="00724A2B">
            <w:pPr>
              <w:pStyle w:val="NICETableHeader"/>
              <w:jc w:val="center"/>
            </w:pPr>
            <w:r w:rsidRPr="005D58CB">
              <w:t>Response specific utilities</w:t>
            </w:r>
          </w:p>
        </w:tc>
        <w:tc>
          <w:tcPr>
            <w:tcW w:w="1353" w:type="dxa"/>
            <w:shd w:val="clear" w:color="auto" w:fill="D9D9D9" w:themeFill="background1" w:themeFillShade="D9"/>
          </w:tcPr>
          <w:p w14:paraId="2A026C20" w14:textId="77777777" w:rsidR="00724A2B" w:rsidRPr="005D58CB" w:rsidRDefault="00724A2B">
            <w:pPr>
              <w:pStyle w:val="NICETableHeader"/>
              <w:jc w:val="center"/>
            </w:pPr>
            <w:r w:rsidRPr="005D58CB">
              <w:t xml:space="preserve">T-DXd </w:t>
            </w:r>
          </w:p>
        </w:tc>
        <w:tc>
          <w:tcPr>
            <w:tcW w:w="1353" w:type="dxa"/>
            <w:shd w:val="clear" w:color="auto" w:fill="D9D9D9" w:themeFill="background1" w:themeFillShade="D9"/>
          </w:tcPr>
          <w:p w14:paraId="39FABE2C" w14:textId="77777777" w:rsidR="00724A2B" w:rsidRPr="005D58CB" w:rsidRDefault="00724A2B">
            <w:pPr>
              <w:pStyle w:val="NICETableHeader"/>
              <w:jc w:val="center"/>
            </w:pPr>
            <w:r w:rsidRPr="005D58CB">
              <w:t>TPC</w:t>
            </w:r>
          </w:p>
        </w:tc>
        <w:tc>
          <w:tcPr>
            <w:tcW w:w="1354" w:type="dxa"/>
            <w:shd w:val="clear" w:color="auto" w:fill="D9D9D9" w:themeFill="background1" w:themeFillShade="D9"/>
          </w:tcPr>
          <w:p w14:paraId="635E80D0" w14:textId="77777777" w:rsidR="00724A2B" w:rsidRPr="005D58CB" w:rsidRDefault="00724A2B">
            <w:pPr>
              <w:pStyle w:val="NICETableHeader"/>
              <w:jc w:val="center"/>
            </w:pPr>
            <w:r w:rsidRPr="005D58CB">
              <w:t>Pooled</w:t>
            </w:r>
          </w:p>
        </w:tc>
      </w:tr>
      <w:tr w:rsidR="00724A2B" w:rsidRPr="003A7CC7" w14:paraId="4274DFDD" w14:textId="77777777">
        <w:tc>
          <w:tcPr>
            <w:tcW w:w="1980" w:type="dxa"/>
            <w:vAlign w:val="center"/>
          </w:tcPr>
          <w:p w14:paraId="4FE60B6C" w14:textId="77777777" w:rsidR="00724A2B" w:rsidRPr="005D58CB" w:rsidRDefault="00724A2B">
            <w:pPr>
              <w:pStyle w:val="NICETabletext"/>
              <w:rPr>
                <w:b/>
                <w:bCs/>
              </w:rPr>
            </w:pPr>
            <w:r w:rsidRPr="005D58CB">
              <w:rPr>
                <w:b/>
                <w:bCs/>
              </w:rPr>
              <w:t>PF</w:t>
            </w:r>
          </w:p>
        </w:tc>
        <w:tc>
          <w:tcPr>
            <w:tcW w:w="2977" w:type="dxa"/>
            <w:vAlign w:val="center"/>
          </w:tcPr>
          <w:p w14:paraId="4751030E" w14:textId="77777777" w:rsidR="00724A2B" w:rsidRPr="005D58CB" w:rsidRDefault="00724A2B">
            <w:pPr>
              <w:pStyle w:val="NICETabletext"/>
              <w:jc w:val="center"/>
              <w:rPr>
                <w:lang w:val="it-IT"/>
              </w:rPr>
            </w:pPr>
            <w:r w:rsidRPr="005D58CB">
              <w:rPr>
                <w:lang w:val="it-IT"/>
              </w:rPr>
              <w:t>Responder: 0.855</w:t>
            </w:r>
          </w:p>
          <w:p w14:paraId="09EEFB3E" w14:textId="77777777" w:rsidR="00724A2B" w:rsidRPr="005D58CB" w:rsidRDefault="00724A2B">
            <w:pPr>
              <w:pStyle w:val="NICETabletext"/>
              <w:jc w:val="center"/>
              <w:rPr>
                <w:lang w:val="it-IT"/>
              </w:rPr>
            </w:pPr>
            <w:r w:rsidRPr="005D58CB">
              <w:rPr>
                <w:lang w:val="it-IT"/>
              </w:rPr>
              <w:t>Non responder: 0.797</w:t>
            </w:r>
          </w:p>
        </w:tc>
        <w:tc>
          <w:tcPr>
            <w:tcW w:w="1353" w:type="dxa"/>
            <w:vAlign w:val="center"/>
          </w:tcPr>
          <w:p w14:paraId="3029341E" w14:textId="77777777" w:rsidR="00724A2B" w:rsidRPr="005D58CB" w:rsidRDefault="00724A2B">
            <w:pPr>
              <w:pStyle w:val="NICETabletext"/>
              <w:jc w:val="center"/>
              <w:rPr>
                <w:b/>
              </w:rPr>
            </w:pPr>
            <w:r w:rsidRPr="005D58CB">
              <w:rPr>
                <w:b/>
              </w:rPr>
              <w:t>0.831</w:t>
            </w:r>
          </w:p>
        </w:tc>
        <w:tc>
          <w:tcPr>
            <w:tcW w:w="1353" w:type="dxa"/>
            <w:vAlign w:val="center"/>
          </w:tcPr>
          <w:p w14:paraId="37C13E63" w14:textId="77777777" w:rsidR="00724A2B" w:rsidRPr="005D58CB" w:rsidRDefault="00724A2B">
            <w:pPr>
              <w:pStyle w:val="NICETabletext"/>
              <w:jc w:val="center"/>
              <w:rPr>
                <w:b/>
              </w:rPr>
            </w:pPr>
            <w:r w:rsidRPr="005D58CB">
              <w:rPr>
                <w:b/>
              </w:rPr>
              <w:t>0.804</w:t>
            </w:r>
          </w:p>
        </w:tc>
        <w:tc>
          <w:tcPr>
            <w:tcW w:w="1354" w:type="dxa"/>
            <w:vAlign w:val="center"/>
          </w:tcPr>
          <w:p w14:paraId="0B832D7E" w14:textId="77777777" w:rsidR="00724A2B" w:rsidRPr="005D58CB" w:rsidRDefault="00724A2B">
            <w:pPr>
              <w:pStyle w:val="NICETabletext"/>
              <w:jc w:val="center"/>
              <w:rPr>
                <w:b/>
              </w:rPr>
            </w:pPr>
            <w:r w:rsidRPr="005D58CB">
              <w:rPr>
                <w:b/>
              </w:rPr>
              <w:t>0.823</w:t>
            </w:r>
          </w:p>
        </w:tc>
      </w:tr>
      <w:tr w:rsidR="00724A2B" w:rsidRPr="003A7CC7" w14:paraId="774BC76B" w14:textId="77777777">
        <w:tc>
          <w:tcPr>
            <w:tcW w:w="1980" w:type="dxa"/>
            <w:vAlign w:val="center"/>
          </w:tcPr>
          <w:p w14:paraId="18BCF7C1" w14:textId="77777777" w:rsidR="00724A2B" w:rsidRPr="005D58CB" w:rsidRDefault="00724A2B">
            <w:pPr>
              <w:pStyle w:val="NICETabletext"/>
              <w:rPr>
                <w:b/>
                <w:bCs/>
              </w:rPr>
            </w:pPr>
            <w:r w:rsidRPr="005D58CB">
              <w:rPr>
                <w:b/>
                <w:bCs/>
              </w:rPr>
              <w:t>PD</w:t>
            </w:r>
          </w:p>
        </w:tc>
        <w:tc>
          <w:tcPr>
            <w:tcW w:w="2977" w:type="dxa"/>
            <w:vAlign w:val="center"/>
          </w:tcPr>
          <w:p w14:paraId="2479721E" w14:textId="77777777" w:rsidR="00724A2B" w:rsidRPr="005D58CB" w:rsidRDefault="00724A2B">
            <w:pPr>
              <w:pStyle w:val="NICETabletext"/>
              <w:jc w:val="center"/>
            </w:pPr>
            <w:r w:rsidRPr="005D58CB">
              <w:t>Responder: 0.652</w:t>
            </w:r>
          </w:p>
          <w:p w14:paraId="621BBBEB" w14:textId="7A4517D0" w:rsidR="00724A2B" w:rsidRPr="005D58CB" w:rsidRDefault="00724A2B">
            <w:pPr>
              <w:pStyle w:val="NICETabletext"/>
              <w:jc w:val="center"/>
              <w:rPr>
                <w:lang w:val="it-IT"/>
              </w:rPr>
            </w:pPr>
            <w:r w:rsidRPr="005D58CB">
              <w:t>Non responder: 0.555</w:t>
            </w:r>
          </w:p>
        </w:tc>
        <w:tc>
          <w:tcPr>
            <w:tcW w:w="1353" w:type="dxa"/>
            <w:vAlign w:val="center"/>
          </w:tcPr>
          <w:p w14:paraId="5D050A19" w14:textId="77777777" w:rsidR="00724A2B" w:rsidRPr="005D58CB" w:rsidRDefault="00724A2B">
            <w:pPr>
              <w:pStyle w:val="NICETabletext"/>
              <w:jc w:val="center"/>
              <w:rPr>
                <w:b/>
              </w:rPr>
            </w:pPr>
            <w:r w:rsidRPr="005D58CB">
              <w:rPr>
                <w:b/>
              </w:rPr>
              <w:t>0.610</w:t>
            </w:r>
          </w:p>
        </w:tc>
        <w:tc>
          <w:tcPr>
            <w:tcW w:w="1353" w:type="dxa"/>
            <w:vAlign w:val="center"/>
          </w:tcPr>
          <w:p w14:paraId="25615838" w14:textId="77777777" w:rsidR="00724A2B" w:rsidRPr="005D58CB" w:rsidRDefault="00724A2B">
            <w:pPr>
              <w:pStyle w:val="NICETabletext"/>
              <w:jc w:val="center"/>
              <w:rPr>
                <w:b/>
              </w:rPr>
            </w:pPr>
            <w:r w:rsidRPr="005D58CB">
              <w:rPr>
                <w:b/>
              </w:rPr>
              <w:t>0.566</w:t>
            </w:r>
          </w:p>
        </w:tc>
        <w:tc>
          <w:tcPr>
            <w:tcW w:w="1354" w:type="dxa"/>
            <w:vAlign w:val="center"/>
          </w:tcPr>
          <w:p w14:paraId="22822ED8" w14:textId="3B8B7E33" w:rsidR="00724A2B" w:rsidRPr="005D58CB" w:rsidRDefault="00724A2B">
            <w:pPr>
              <w:pStyle w:val="NICETabletext"/>
              <w:jc w:val="center"/>
              <w:rPr>
                <w:b/>
              </w:rPr>
            </w:pPr>
            <w:r w:rsidRPr="005D58CB">
              <w:rPr>
                <w:b/>
              </w:rPr>
              <w:t>0.596</w:t>
            </w:r>
          </w:p>
        </w:tc>
      </w:tr>
    </w:tbl>
    <w:p w14:paraId="312E417E" w14:textId="77777777" w:rsidR="00724A2B" w:rsidRPr="005D58CB" w:rsidRDefault="00724A2B" w:rsidP="00724A2B">
      <w:pPr>
        <w:pStyle w:val="Footnotes"/>
        <w:spacing w:after="0"/>
      </w:pPr>
      <w:r w:rsidRPr="005D58CB">
        <w:t>Note: *Resulting utilities after applying the coefficients to the equation</w:t>
      </w:r>
    </w:p>
    <w:p w14:paraId="56934EB9" w14:textId="77777777" w:rsidR="00724A2B" w:rsidRPr="005D58CB" w:rsidRDefault="00724A2B" w:rsidP="00724A2B">
      <w:pPr>
        <w:pStyle w:val="Footnotes"/>
      </w:pPr>
      <w:r w:rsidRPr="005D58CB">
        <w:t>Abbreviations: PD, progressed disease; PF, progression-free; T-DXd, trastuzumab deruxtecan; TPC, treatment of physician’s choice.</w:t>
      </w:r>
    </w:p>
    <w:p w14:paraId="6C3FE1C7" w14:textId="77777777" w:rsidR="00724A2B" w:rsidRDefault="00724A2B" w:rsidP="00724A2B">
      <w:pPr>
        <w:pStyle w:val="Heading4"/>
      </w:pPr>
      <w:bookmarkStart w:id="636" w:name="_Ref99728118"/>
      <w:r>
        <w:t>Utilities used in previous appraisals</w:t>
      </w:r>
      <w:bookmarkEnd w:id="636"/>
    </w:p>
    <w:p w14:paraId="69C56F93" w14:textId="77777777" w:rsidR="00724A2B" w:rsidRPr="003A7CC7" w:rsidRDefault="00724A2B" w:rsidP="00724A2B">
      <w:pPr>
        <w:pStyle w:val="Body"/>
      </w:pPr>
      <w:r>
        <w:t xml:space="preserve">As well as </w:t>
      </w:r>
      <w:r w:rsidRPr="003A7CC7">
        <w:t xml:space="preserve">consideration of the utilities reported within the literature, utilities reported within prior NICE appraisals </w:t>
      </w:r>
      <w:r w:rsidRPr="005D58CB">
        <w:t xml:space="preserve">that include patients with mBC </w:t>
      </w:r>
      <w:r w:rsidRPr="003A7CC7">
        <w:t xml:space="preserve">were also assessed for appropriateness of inclusion within the economic model. </w:t>
      </w:r>
    </w:p>
    <w:p w14:paraId="565643FA" w14:textId="50910C1C" w:rsidR="00724A2B" w:rsidRPr="003A7CC7" w:rsidRDefault="00724A2B" w:rsidP="00724A2B">
      <w:pPr>
        <w:pStyle w:val="Body"/>
      </w:pPr>
      <w:r w:rsidRPr="005D58CB">
        <w:t>TA862 (T-DXd – second</w:t>
      </w:r>
      <w:r w:rsidRPr="005D58CB" w:rsidDel="00132C28">
        <w:t xml:space="preserve"> line</w:t>
      </w:r>
      <w:r w:rsidRPr="005D58CB">
        <w:t xml:space="preserve"> HER2-positive mBC),</w:t>
      </w:r>
      <w:r w:rsidRPr="005D58CB">
        <w:rPr>
          <w:lang w:eastAsia="en-GB"/>
        </w:rPr>
        <w:fldChar w:fldCharType="begin"/>
      </w:r>
      <w:r w:rsidR="00CA6345">
        <w:rPr>
          <w:lang w:eastAsia="en-GB"/>
        </w:rPr>
        <w:instrText xml:space="preserve"> ADDIN ZOTERO_ITEM CSL_CITATION {"citationID":"Wnb5B8uS","properties":{"formattedCitation":"\\super 5\\nosupersub{}","plainCitation":"5","noteIndex":0},"citationItems":[{"id":66214,"uris":["http://zotero.org/groups/4797619/items/H2PQC2GH"],"itemData":{"id":66214,"type":"webpage","abstract":"Trastuzumab deruxtecan for treating HER2-positive unresectable or metastatic breast cancer after trastuzumab and a taxane [TA862]","language":"eng","note":"publisher: NICE","title":"Trastuzumab deruxtecan for treating HER2-positive unresectable or metastatic breast cancer after 1 or more anti-HER2 therapies | NICE [TA862]","URL":"https://www.nice.org.uk/guidance/indevelopment/gid-ta10804/documents","author":[{"family":"NICE","given":""}],"accessed":{"date-parts":[["2023",2,5]]},"issued":{"date-parts":[["2023",2]]}}}],"schema":"https://github.com/citation-style-language/schema/raw/master/csl-citation.json"} </w:instrText>
      </w:r>
      <w:r w:rsidRPr="005D58CB">
        <w:rPr>
          <w:lang w:eastAsia="en-GB"/>
        </w:rPr>
        <w:fldChar w:fldCharType="separate"/>
      </w:r>
      <w:r w:rsidR="00FD57F4" w:rsidRPr="00FD57F4">
        <w:rPr>
          <w:rFonts w:cs="Arial"/>
          <w:szCs w:val="24"/>
          <w:vertAlign w:val="superscript"/>
        </w:rPr>
        <w:t>5</w:t>
      </w:r>
      <w:r w:rsidRPr="005D58CB">
        <w:rPr>
          <w:lang w:eastAsia="en-GB"/>
        </w:rPr>
        <w:fldChar w:fldCharType="end"/>
      </w:r>
      <w:r w:rsidRPr="005D58CB" w:rsidDel="00A83E45">
        <w:t xml:space="preserve"> </w:t>
      </w:r>
      <w:r w:rsidRPr="005D58CB">
        <w:t>TA423 (eribulin – third</w:t>
      </w:r>
      <w:r w:rsidRPr="005D58CB" w:rsidDel="00132C28">
        <w:t xml:space="preserve"> line</w:t>
      </w:r>
      <w:r w:rsidRPr="005D58CB">
        <w:t xml:space="preserve"> mBC),</w:t>
      </w:r>
      <w:r w:rsidRPr="005D58CB">
        <w:fldChar w:fldCharType="begin"/>
      </w:r>
      <w:r w:rsidR="00CA6345">
        <w:instrText xml:space="preserve"> ADDIN ZOTERO_ITEM CSL_CITATION {"citationID":"YfzVIuvI","properties":{"formattedCitation":"\\super 131\\nosupersub{}","plainCitation":"131","noteIndex":0},"citationItems":[{"id":65884,"uris":["http://zotero.org/groups/4797619/items/GKXW7XYV"],"itemData":{"id":65884,"type":"webpage","abstract":"Evidence-based recommendations on eribulin (Halaven) for treating locally advanced or metastatic breast cancer after 2 or more types of chemotherapy","language":"eng","note":"publisher: NICE","title":"Eribulin for treating locally advanced or metastatic breast cancer after 2 or more chemotherapy regimens | NICE [TA423]","URL":"https://www.nice.org.uk/guidance/ta423","author":[{"family":"NICE","given":""}],"accessed":{"date-parts":[["2022",10,17]]}}}],"schema":"https://github.com/citation-style-language/schema/raw/master/csl-citation.json"} </w:instrText>
      </w:r>
      <w:r w:rsidRPr="005D58CB">
        <w:fldChar w:fldCharType="separate"/>
      </w:r>
      <w:r w:rsidR="00CA6345" w:rsidRPr="00CA6345">
        <w:rPr>
          <w:rFonts w:cs="Arial"/>
          <w:szCs w:val="24"/>
          <w:vertAlign w:val="superscript"/>
        </w:rPr>
        <w:t>131</w:t>
      </w:r>
      <w:r w:rsidRPr="005D58CB">
        <w:fldChar w:fldCharType="end"/>
      </w:r>
      <w:r w:rsidRPr="005D58CB">
        <w:t xml:space="preserve"> </w:t>
      </w:r>
      <w:r w:rsidRPr="003A7CC7">
        <w:t xml:space="preserve">TA509 (pertuzumab – first line </w:t>
      </w:r>
      <w:r w:rsidRPr="005D58CB">
        <w:t>HER2-positive mBC</w:t>
      </w:r>
      <w:r w:rsidRPr="003A7CC7">
        <w:t>)</w:t>
      </w:r>
      <w:r w:rsidRPr="003A7CC7">
        <w:fldChar w:fldCharType="begin"/>
      </w:r>
      <w:r w:rsidR="00CA6345">
        <w:instrText xml:space="preserve"> ADDIN ZOTERO_ITEM CSL_CITATION {"citationID":"kzB5pcst","properties":{"formattedCitation":"\\super 40\\nosupersub{}","plainCitation":"40","noteIndex":0},"citationItems":[{"id":65879,"uris":["http://zotero.org/groups/4797619/items/TIXIRI4S"],"itemData":{"id":65879,"type":"webpage","abstract":"Evidence-based recommendations on pertuzumab (Perjeta) for treating HER2</w:instrText>
      </w:r>
      <w:r w:rsidR="00CA6345">
        <w:rPr>
          <w:rFonts w:ascii="Cambria Math" w:hAnsi="Cambria Math" w:cs="Cambria Math"/>
        </w:rPr>
        <w:instrText>‑</w:instrText>
      </w:r>
      <w:r w:rsidR="00CA6345">
        <w:instrText xml:space="preserve">positive, locally recurrent or metastatic (secondary) breast cancer that has not been","language":"eng","note":"publisher: NICE","title":"Pertuzumab with trastuzumab and docetaxel for treating HER2-positive breast cancer | NICE [TA509]","URL":"https://www.nice.org.uk/guidance/TA509","author":[{"family":"NICE","given":""}],"accessed":{"date-parts":[["2022",9,29]]}}}],"schema":"https://github.com/citation-style-language/schema/raw/master/csl-citation.json"} </w:instrText>
      </w:r>
      <w:r w:rsidRPr="003A7CC7">
        <w:fldChar w:fldCharType="separate"/>
      </w:r>
      <w:r w:rsidR="00FD57F4" w:rsidRPr="00FD57F4">
        <w:rPr>
          <w:rFonts w:cs="Arial"/>
          <w:szCs w:val="24"/>
          <w:vertAlign w:val="superscript"/>
        </w:rPr>
        <w:t>40</w:t>
      </w:r>
      <w:r w:rsidRPr="003A7CC7">
        <w:fldChar w:fldCharType="end"/>
      </w:r>
      <w:r w:rsidRPr="003A7CC7">
        <w:t xml:space="preserve"> and TA458 (T-DM1 – second line </w:t>
      </w:r>
      <w:r w:rsidRPr="005D58CB">
        <w:t>HER2-positive mBC</w:t>
      </w:r>
      <w:r w:rsidRPr="003A7CC7">
        <w:t>)</w:t>
      </w:r>
      <w:r w:rsidRPr="003A7CC7">
        <w:fldChar w:fldCharType="begin"/>
      </w:r>
      <w:r w:rsidR="00CA6345">
        <w:instrText xml:space="preserve"> ADDIN ZOTERO_ITEM CSL_CITATION {"citationID":"oR2XsStw","properties":{"formattedCitation":"\\super 39\\nosupersub{}","plainCitation":"39","noteIndex":0},"citationItems":[{"id":66118,"uris":["http://zotero.org/groups/4797619/items/AHEIFDP5"],"itemData":{"id":66118,"type":"webpage","abstract":"Evidence-based recommendations on trastuzumab emtansine (Kadcyla) for human epidermal growth factor receptor 2 (HER2)</w:instrText>
      </w:r>
      <w:r w:rsidR="00CA6345">
        <w:rPr>
          <w:rFonts w:ascii="Cambria Math" w:hAnsi="Cambria Math" w:cs="Cambria Math"/>
        </w:rPr>
        <w:instrText>‑</w:instrText>
      </w:r>
      <w:r w:rsidR="00CA6345">
        <w:instrText xml:space="preserve">positive, unresectable, locally advanced","language":"eng","note":"publisher: NICE","title":"Trastuzumab emtansine for treating HER2-positive advanced breast cancer after trastuzumab and a taxane | NICE [TA458}","URL":"https://www.nice.org.uk/guidance/ta458","author":[{"family":"NICE","given":""}],"accessed":{"date-parts":[["2022",11,8]]}}}],"schema":"https://github.com/citation-style-language/schema/raw/master/csl-citation.json"} </w:instrText>
      </w:r>
      <w:r w:rsidRPr="003A7CC7">
        <w:fldChar w:fldCharType="separate"/>
      </w:r>
      <w:r w:rsidR="00FD57F4" w:rsidRPr="00FD57F4">
        <w:rPr>
          <w:rFonts w:cs="Arial"/>
          <w:szCs w:val="24"/>
          <w:vertAlign w:val="superscript"/>
        </w:rPr>
        <w:t>39</w:t>
      </w:r>
      <w:r w:rsidRPr="003A7CC7">
        <w:fldChar w:fldCharType="end"/>
      </w:r>
      <w:r w:rsidRPr="005D58CB">
        <w:t xml:space="preserve"> </w:t>
      </w:r>
      <w:r w:rsidRPr="003A7CC7">
        <w:t>implemented utility values based on the Lloyd et al. (2006)</w:t>
      </w:r>
      <w:r w:rsidRPr="003A7CC7" w:rsidDel="00377CC8">
        <w:t xml:space="preserve"> </w:t>
      </w:r>
      <w:r w:rsidRPr="003A7CC7">
        <w:t>regression.</w:t>
      </w:r>
      <w:r w:rsidRPr="003A7CC7">
        <w:fldChar w:fldCharType="begin"/>
      </w:r>
      <w:r w:rsidR="00CA6345">
        <w:instrText xml:space="preserve"> ADDIN ZOTERO_ITEM CSL_CITATION {"citationID":"KAn2JwEt","properties":{"formattedCitation":"\\super 169\\nosupersub{}","plainCitation":"169","noteIndex":0},"citationItems":[{"id":65949,"uris":["http://zotero.org/groups/4797619/items/78YMSHI3"],"itemData":{"id":65949,"type":"article-journal","abstract":"The aim of the study was to obtain United Kingdom-based societal preferences for distinct stages of metastatic breast cancer (MBC) and six common toxicities. Health states were developed based on literature review, iterative cycles of interviews and a focus group with clinical experts. They described the burden of progressive, responding and stable disease on treatment; and also febrile neutropenia, stomatitis; diarrhoea/vomiting; fatigue; hand-foot syndrome (grade 3/4 toxicities) and hair loss. One hundred members of the general public rated them using standard gamble to determine health state utility. Data were analysed with a mixed model analysis. The study sample was a good match to the general public of England and Wales by demographics and current quality of life. Stable disease on treatment had a utility value of 0.72, with a corresponding gain of +0.07 following a treatment response and a decline by 0.27 for disease progression. Toxicities lead to declines in utility between 0.10 (diarrhoea/vomiting) and 0.15 (febrile neutropenia). This study underlines the value that society place on the avoidance of disease progression and severe side effects in MBC. This may be the largest preference study in breast cancer designed to survey a representative general public sample.","container-title":"British Journal of Cancer","DOI":"10.1038/sj.bjc.6603326","ISSN":"0007-0920","issue":"6","journalAbbreviation":"Br J Cancer","note":"PMID: 16967055\nPMCID: PMC2360509","page":"683-690","source":"PubMed Central","title":"Health state utilities for metastatic breast cancer","volume":"95","author":[{"family":"Lloyd","given":"A"},{"family":"Nafees","given":"B"},{"family":"Narewska","given":"J"},{"family":"Dewilde","given":"S"},{"family":"Watkins","given":"J"}],"issued":{"date-parts":[["2006",9,18]]}}}],"schema":"https://github.com/citation-style-language/schema/raw/master/csl-citation.json"} </w:instrText>
      </w:r>
      <w:r w:rsidRPr="003A7CC7">
        <w:fldChar w:fldCharType="separate"/>
      </w:r>
      <w:r w:rsidR="00CA6345" w:rsidRPr="00CA6345">
        <w:rPr>
          <w:rFonts w:cs="Arial"/>
          <w:szCs w:val="24"/>
          <w:vertAlign w:val="superscript"/>
        </w:rPr>
        <w:t>169</w:t>
      </w:r>
      <w:r w:rsidRPr="003A7CC7">
        <w:fldChar w:fldCharType="end"/>
      </w:r>
      <w:r w:rsidRPr="003A7CC7" w:rsidDel="00132C28">
        <w:t xml:space="preserve"> </w:t>
      </w:r>
    </w:p>
    <w:p w14:paraId="467AA509" w14:textId="27BE3DF3" w:rsidR="00724A2B" w:rsidRPr="005D58CB" w:rsidRDefault="00724A2B" w:rsidP="00724A2B">
      <w:pPr>
        <w:pStyle w:val="Body"/>
      </w:pPr>
      <w:r w:rsidRPr="003A7CC7">
        <w:t>In</w:t>
      </w:r>
      <w:r w:rsidRPr="003A7CC7" w:rsidDel="00AD1B01">
        <w:t xml:space="preserve"> </w:t>
      </w:r>
      <w:r w:rsidRPr="003A7CC7">
        <w:t xml:space="preserve">TA423 (eribulin – third line </w:t>
      </w:r>
      <w:r w:rsidRPr="005D58CB">
        <w:t>mBC</w:t>
      </w:r>
      <w:r w:rsidRPr="003A7CC7">
        <w:t>),</w:t>
      </w:r>
      <w:r w:rsidRPr="003A7CC7">
        <w:fldChar w:fldCharType="begin"/>
      </w:r>
      <w:r w:rsidR="00CA6345">
        <w:instrText xml:space="preserve"> ADDIN ZOTERO_ITEM CSL_CITATION {"citationID":"Vf7fzYw9","properties":{"formattedCitation":"\\super 131\\nosupersub{}","plainCitation":"131","noteIndex":0},"citationItems":[{"id":65884,"uris":["http://zotero.org/groups/4797619/items/GKXW7XYV"],"itemData":{"id":65884,"type":"webpage","abstract":"Evidence-based recommendations on eribulin (Halaven) for treating locally advanced or metastatic breast cancer after 2 or more types of chemotherapy","language":"eng","note":"publisher: NICE","title":"Eribulin for treating locally advanced or metastatic breast cancer after 2 or more chemotherapy regimens | NICE [TA423]","URL":"https://www.nice.org.uk/guidance/ta423","author":[{"family":"NICE","given":""}],"accessed":{"date-parts":[["2022",10,17]]}}}],"schema":"https://github.com/citation-style-language/schema/raw/master/csl-citation.json"} </w:instrText>
      </w:r>
      <w:r w:rsidRPr="003A7CC7">
        <w:fldChar w:fldCharType="separate"/>
      </w:r>
      <w:r w:rsidR="00CA6345" w:rsidRPr="00CA6345">
        <w:rPr>
          <w:rFonts w:cs="Arial"/>
          <w:szCs w:val="24"/>
          <w:vertAlign w:val="superscript"/>
        </w:rPr>
        <w:t>131</w:t>
      </w:r>
      <w:r w:rsidRPr="003A7CC7">
        <w:fldChar w:fldCharType="end"/>
      </w:r>
      <w:r w:rsidRPr="003A7CC7">
        <w:t xml:space="preserve"> EQ-5D utilities were derived</w:t>
      </w:r>
      <w:r w:rsidRPr="003A7CC7" w:rsidDel="00AD1B01">
        <w:t xml:space="preserve"> </w:t>
      </w:r>
      <w:r w:rsidRPr="005D58CB">
        <w:t xml:space="preserve">from QLQ-C30 HRQoL data collected in Study 301 using the Crott and Briggs mapping algorithm. For the </w:t>
      </w:r>
      <w:r w:rsidRPr="005D58CB">
        <w:rPr>
          <w:i/>
          <w:iCs/>
        </w:rPr>
        <w:t xml:space="preserve">‘progression-free’ </w:t>
      </w:r>
      <w:r w:rsidRPr="005D58CB">
        <w:t>health state</w:t>
      </w:r>
      <w:r w:rsidRPr="003A7CC7">
        <w:t xml:space="preserve">, the baseline utility (0.704), tumour response utility (0.780) and the incremental utility of response (0.076) were used </w:t>
      </w:r>
      <w:r w:rsidRPr="005D58CB">
        <w:t xml:space="preserve">to calculate the overall utility values for eribulin and TPC (0.706 and 0.701, respectively). For the </w:t>
      </w:r>
      <w:r w:rsidRPr="005D58CB">
        <w:rPr>
          <w:i/>
          <w:iCs/>
        </w:rPr>
        <w:t xml:space="preserve">‘progressed disease’, </w:t>
      </w:r>
      <w:r w:rsidRPr="005D58CB">
        <w:t>utility was also calculated from Study 301 mapped values and assumed to be equal for both treatment arms based on pooled data (0.679)</w:t>
      </w:r>
      <w:r w:rsidRPr="003A7CC7">
        <w:t>. The E</w:t>
      </w:r>
      <w:r w:rsidR="00A52310">
        <w:t>A</w:t>
      </w:r>
      <w:r w:rsidRPr="003A7CC7">
        <w:t xml:space="preserve">G stated that the value used by the company for </w:t>
      </w:r>
      <w:r w:rsidRPr="003A7CC7">
        <w:rPr>
          <w:i/>
          <w:iCs/>
        </w:rPr>
        <w:t>‘progressed disease’</w:t>
      </w:r>
      <w:r w:rsidRPr="003A7CC7">
        <w:t xml:space="preserve"> from Study 301 was unrealistic as it did not represent a large enough reduction in utility after patients experienced disease progression, and instead </w:t>
      </w:r>
      <w:r w:rsidRPr="003A7CC7">
        <w:lastRenderedPageBreak/>
        <w:t>used a value of 0.496 derived from Lloyd et al</w:t>
      </w:r>
      <w:r w:rsidRPr="005D58CB">
        <w:t xml:space="preserve">. (2006). </w:t>
      </w:r>
      <w:r w:rsidRPr="003A7CC7">
        <w:t xml:space="preserve">The committee stated that the </w:t>
      </w:r>
      <w:r w:rsidRPr="005D58CB">
        <w:t xml:space="preserve">most plausible </w:t>
      </w:r>
      <w:r w:rsidRPr="003A7CC7">
        <w:t xml:space="preserve">utility value </w:t>
      </w:r>
      <w:r w:rsidRPr="005D58CB">
        <w:t xml:space="preserve">for the </w:t>
      </w:r>
      <w:r w:rsidRPr="005D58CB">
        <w:rPr>
          <w:i/>
          <w:iCs/>
        </w:rPr>
        <w:t xml:space="preserve">‘progressed disease’ </w:t>
      </w:r>
      <w:r w:rsidRPr="005D58CB">
        <w:t xml:space="preserve">health state </w:t>
      </w:r>
      <w:r w:rsidRPr="003A7CC7">
        <w:t>was likely to be somewhere between the company and E</w:t>
      </w:r>
      <w:r w:rsidR="00A52310">
        <w:t>A</w:t>
      </w:r>
      <w:r w:rsidRPr="003A7CC7">
        <w:t>G estimated values, as clinicians stated that the reduction in utility was likely smaller than suggested by the E</w:t>
      </w:r>
      <w:r w:rsidR="00A52310">
        <w:t>A</w:t>
      </w:r>
      <w:r w:rsidRPr="003A7CC7">
        <w:t xml:space="preserve">G. </w:t>
      </w:r>
    </w:p>
    <w:p w14:paraId="6A1A3497" w14:textId="4F5B644A" w:rsidR="00724A2B" w:rsidRPr="005D58CB" w:rsidRDefault="00724A2B" w:rsidP="00724A2B">
      <w:pPr>
        <w:pStyle w:val="Body"/>
      </w:pPr>
      <w:r w:rsidRPr="003A7CC7">
        <w:t xml:space="preserve">In TA704 (T-DXd – third line </w:t>
      </w:r>
      <w:r w:rsidRPr="005D58CB">
        <w:t>HER2-positive mBC</w:t>
      </w:r>
      <w:r w:rsidRPr="003A7CC7">
        <w:t>),</w:t>
      </w:r>
      <w:r w:rsidRPr="003A7CC7">
        <w:fldChar w:fldCharType="begin"/>
      </w:r>
      <w:r w:rsidR="00CA6345">
        <w:instrText xml:space="preserve"> ADDIN ZOTERO_ITEM CSL_CITATION {"citationID":"abfhYHwr","properties":{"formattedCitation":"\\super 4\\nosupersub{}","plainCitation":"4","noteIndex":0},"citationItems":[{"id":65878,"uris":["http://zotero.org/groups/4797619/items/ESRZZTT8"],"itemData":{"id":65878,"type":"webpage","abstract":"Evidence-based recommendations on trastuzumab deruxtecan (Enhertu) for treating HER2-positive unresectable or metastatic breast cancer in adults after 2 or more","language":"eng","note":"publisher: NICE","title":"Trastuzumab deruxtecan for treating HER2-positive unresectable or metastatic breast cancer after 2 or more anti-HER2 therapies | NICE [TA704]","URL":"https://www.nice.org.uk/guidance/ta704","author":[{"family":"NICE","given":""}],"accessed":{"date-parts":[["2022",9,29]]}}}],"schema":"https://github.com/citation-style-language/schema/raw/master/csl-citation.json"} </w:instrText>
      </w:r>
      <w:r w:rsidRPr="003A7CC7">
        <w:fldChar w:fldCharType="separate"/>
      </w:r>
      <w:r w:rsidR="00FD57F4" w:rsidRPr="00FD57F4">
        <w:rPr>
          <w:rFonts w:cs="Arial"/>
          <w:szCs w:val="24"/>
          <w:vertAlign w:val="superscript"/>
        </w:rPr>
        <w:t>4</w:t>
      </w:r>
      <w:r w:rsidRPr="003A7CC7">
        <w:fldChar w:fldCharType="end"/>
      </w:r>
      <w:r w:rsidRPr="003A7CC7">
        <w:t xml:space="preserve"> the baseline utility value (0.704), tumour response utility (0.780) and the incremental utility of response (0.076) were taken from TA423. </w:t>
      </w:r>
      <w:r w:rsidRPr="003A7CC7">
        <w:rPr>
          <w:i/>
          <w:iCs/>
        </w:rPr>
        <w:t>‘Progression-free, off-treatment’</w:t>
      </w:r>
      <w:r w:rsidRPr="003A7CC7">
        <w:t xml:space="preserve"> used the baseline utility value. For </w:t>
      </w:r>
      <w:r w:rsidRPr="003A7CC7">
        <w:rPr>
          <w:i/>
          <w:iCs/>
        </w:rPr>
        <w:t>‘progression-free, on treatment’</w:t>
      </w:r>
      <w:r w:rsidRPr="003A7CC7">
        <w:t xml:space="preserve">, to calculate treatment-specific utilities, the baseline value, and tumour response utility were used to derive the utilities on treatment incorporating the ORR for each treatment from the DESTINY-Breast01 trial and the literature. For </w:t>
      </w:r>
      <w:r w:rsidRPr="003A7CC7">
        <w:rPr>
          <w:i/>
          <w:iCs/>
        </w:rPr>
        <w:t>‘progressed disease’</w:t>
      </w:r>
      <w:r w:rsidRPr="003A7CC7">
        <w:t xml:space="preserve">, TA704 used the </w:t>
      </w:r>
      <w:r w:rsidRPr="005D58CB">
        <w:t>average</w:t>
      </w:r>
      <w:r w:rsidRPr="003A7CC7">
        <w:t xml:space="preserve"> value from TA423</w:t>
      </w:r>
      <w:r w:rsidRPr="005D58CB">
        <w:t xml:space="preserve"> recommended by the committee (0.588). </w:t>
      </w:r>
    </w:p>
    <w:p w14:paraId="0A607B65" w14:textId="1381E079" w:rsidR="00724A2B" w:rsidRPr="005D58CB" w:rsidRDefault="00724A2B" w:rsidP="00724A2B">
      <w:pPr>
        <w:pStyle w:val="Body"/>
      </w:pPr>
      <w:r w:rsidRPr="005D58CB">
        <w:t>In TA819 (SG – third line triple-negative mBC),</w:t>
      </w:r>
      <w:r w:rsidRPr="005D58CB">
        <w:fldChar w:fldCharType="begin"/>
      </w:r>
      <w:r w:rsidR="00CA6345">
        <w:instrText xml:space="preserve"> ADDIN ZOTERO_ITEM CSL_CITATION {"citationID":"fcVMBuCq","properties":{"formattedCitation":"\\super 132\\nosupersub{}","plainCitation":"132","noteIndex":0},"citationItems":[{"id":65875,"uris":["http://zotero.org/groups/4797619/items/IP9MEGL9"],"itemData":{"id":65875,"type":"webpage","abstract":"Evidence-based recommendations on sacituzumab govetican (Trodelvy) for treating unresectable, triple-negative locally advanced or metastatic breast cancer in adults after 2 or more systemic therapies, at least 1 of which was for advanced disease","language":"eng","note":"publisher: NICE","title":"Sacituzumab govitecan for treating unresectable triple-negative advanced breast cancer after 2 or more therapies | NICE [TA819]","URL":"https://www.nice.org.uk/guidance/ta819","author":[{"family":"NICE","given":""}],"accessed":{"date-parts":[["2022",10,17]]}}}],"schema":"https://github.com/citation-style-language/schema/raw/master/csl-citation.json"} </w:instrText>
      </w:r>
      <w:r w:rsidRPr="005D58CB">
        <w:fldChar w:fldCharType="separate"/>
      </w:r>
      <w:r w:rsidR="00CA6345" w:rsidRPr="00CA6345">
        <w:rPr>
          <w:rFonts w:cs="Arial"/>
          <w:szCs w:val="24"/>
          <w:vertAlign w:val="superscript"/>
        </w:rPr>
        <w:t>132</w:t>
      </w:r>
      <w:r w:rsidRPr="005D58CB">
        <w:fldChar w:fldCharType="end"/>
      </w:r>
      <w:r w:rsidRPr="005D58CB">
        <w:t xml:space="preserve"> the utility scores from the ASCENT trial were analysed using multivariate utility models, which included treatment arm and progression status as predictors. The resulting treatment-specific utility values were used in the company’s base case. The mean predicted utility in the </w:t>
      </w:r>
      <w:r w:rsidRPr="005D58CB">
        <w:rPr>
          <w:i/>
          <w:iCs/>
        </w:rPr>
        <w:t>‘progression-free’</w:t>
      </w:r>
      <w:r w:rsidRPr="005D58CB">
        <w:rPr>
          <w:i/>
        </w:rPr>
        <w:t xml:space="preserve"> </w:t>
      </w:r>
      <w:r w:rsidRPr="005D58CB">
        <w:t xml:space="preserve">health state was 0.710 (95% CI: 0.690, 0.730) and 0.626 (95% CI: 0.601, 0.651) in the SG and TPC arms, respectively. For the </w:t>
      </w:r>
      <w:r w:rsidRPr="005D58CB">
        <w:rPr>
          <w:i/>
          <w:iCs/>
        </w:rPr>
        <w:t>‘progressed disease’</w:t>
      </w:r>
      <w:r w:rsidRPr="005D58CB">
        <w:rPr>
          <w:i/>
        </w:rPr>
        <w:t xml:space="preserve"> </w:t>
      </w:r>
      <w:r w:rsidRPr="005D58CB">
        <w:t xml:space="preserve">health state, the mean predicted utilities were 0.653 (95% CI: 0.631, 0.676) in the SG arm and 0.569 (95% CI: 0.543, 0.596) in the TPC arm. </w:t>
      </w:r>
    </w:p>
    <w:p w14:paraId="326A92CE" w14:textId="2A338E11" w:rsidR="00724A2B" w:rsidRPr="003A7CC7" w:rsidRDefault="00724A2B" w:rsidP="00724A2B">
      <w:pPr>
        <w:pStyle w:val="Body"/>
      </w:pPr>
      <w:r w:rsidRPr="003A7CC7">
        <w:rPr>
          <w:lang w:eastAsia="en-GB"/>
        </w:rPr>
        <w:t xml:space="preserve">In </w:t>
      </w:r>
      <w:r w:rsidRPr="005D58CB">
        <w:t>TA862 (T-DXd – second</w:t>
      </w:r>
      <w:r w:rsidRPr="005D58CB" w:rsidDel="00132C28">
        <w:t xml:space="preserve"> line</w:t>
      </w:r>
      <w:r w:rsidRPr="005D58CB">
        <w:t xml:space="preserve"> HER2-positive mBC)</w:t>
      </w:r>
      <w:r w:rsidRPr="005D58CB">
        <w:rPr>
          <w:lang w:eastAsia="en-GB"/>
        </w:rPr>
        <w:t>,</w:t>
      </w:r>
      <w:r w:rsidRPr="005D58CB">
        <w:rPr>
          <w:lang w:eastAsia="en-GB"/>
        </w:rPr>
        <w:fldChar w:fldCharType="begin"/>
      </w:r>
      <w:r w:rsidR="00CA6345">
        <w:rPr>
          <w:lang w:eastAsia="en-GB"/>
        </w:rPr>
        <w:instrText xml:space="preserve"> ADDIN ZOTERO_ITEM CSL_CITATION {"citationID":"VpphV45D","properties":{"formattedCitation":"\\super 5\\nosupersub{}","plainCitation":"5","noteIndex":0},"citationItems":[{"id":66214,"uris":["http://zotero.org/groups/4797619/items/H2PQC2GH"],"itemData":{"id":66214,"type":"webpage","abstract":"Trastuzumab deruxtecan for treating HER2-positive unresectable or metastatic breast cancer after trastuzumab and a taxane [TA862]","language":"eng","note":"publisher: NICE","title":"Trastuzumab deruxtecan for treating HER2-positive unresectable or metastatic breast cancer after 1 or more anti-HER2 therapies | NICE [TA862]","URL":"https://www.nice.org.uk/guidance/indevelopment/gid-ta10804/documents","author":[{"family":"NICE","given":""}],"accessed":{"date-parts":[["2023",2,5]]},"issued":{"date-parts":[["2023",2]]}}}],"schema":"https://github.com/citation-style-language/schema/raw/master/csl-citation.json"} </w:instrText>
      </w:r>
      <w:r w:rsidRPr="005D58CB">
        <w:rPr>
          <w:lang w:eastAsia="en-GB"/>
        </w:rPr>
        <w:fldChar w:fldCharType="separate"/>
      </w:r>
      <w:r w:rsidR="00FD57F4" w:rsidRPr="00FD57F4">
        <w:rPr>
          <w:rFonts w:cs="Arial"/>
          <w:szCs w:val="24"/>
          <w:vertAlign w:val="superscript"/>
        </w:rPr>
        <w:t>5</w:t>
      </w:r>
      <w:r w:rsidRPr="005D58CB">
        <w:rPr>
          <w:lang w:eastAsia="en-GB"/>
        </w:rPr>
        <w:fldChar w:fldCharType="end"/>
      </w:r>
      <w:r w:rsidRPr="005D58CB">
        <w:rPr>
          <w:lang w:eastAsia="en-GB"/>
        </w:rPr>
        <w:t xml:space="preserve"> the most recent mBC NICE appraisal, the company assigned treatment-specific utilities in the </w:t>
      </w:r>
      <w:r w:rsidRPr="005D58CB">
        <w:rPr>
          <w:i/>
          <w:iCs/>
          <w:lang w:eastAsia="en-GB"/>
        </w:rPr>
        <w:t>‘pre-progression’</w:t>
      </w:r>
      <w:r w:rsidRPr="005D58CB">
        <w:rPr>
          <w:lang w:eastAsia="en-GB"/>
        </w:rPr>
        <w:t xml:space="preserve"> health state derived directly from the </w:t>
      </w:r>
      <w:r w:rsidRPr="005D58CB">
        <w:t>DESTINY-Breast03 trial</w:t>
      </w:r>
      <w:r w:rsidRPr="005D58CB">
        <w:rPr>
          <w:lang w:eastAsia="en-GB"/>
        </w:rPr>
        <w:t>. Treatment-specific utilities in the ‘</w:t>
      </w:r>
      <w:r w:rsidRPr="005D58CB">
        <w:rPr>
          <w:i/>
          <w:iCs/>
          <w:lang w:eastAsia="en-GB"/>
        </w:rPr>
        <w:t>progressed</w:t>
      </w:r>
      <w:r w:rsidRPr="005D58CB">
        <w:rPr>
          <w:lang w:eastAsia="en-GB"/>
        </w:rPr>
        <w:t>’ health state were derived based on the algorithm from Lloyd et al. (2006).</w:t>
      </w:r>
      <w:r w:rsidRPr="005D58CB">
        <w:rPr>
          <w:lang w:eastAsia="en-GB"/>
        </w:rPr>
        <w:fldChar w:fldCharType="begin"/>
      </w:r>
      <w:r w:rsidR="00CA6345">
        <w:rPr>
          <w:lang w:eastAsia="en-GB"/>
        </w:rPr>
        <w:instrText xml:space="preserve"> ADDIN ZOTERO_ITEM CSL_CITATION {"citationID":"bbYpcEFR","properties":{"formattedCitation":"\\super 169\\nosupersub{}","plainCitation":"169","noteIndex":0},"citationItems":[{"id":65949,"uris":["http://zotero.org/groups/4797619/items/78YMSHI3"],"itemData":{"id":65949,"type":"article-journal","abstract":"The aim of the study was to obtain United Kingdom-based societal preferences for distinct stages of metastatic breast cancer (MBC) and six common toxicities. Health states were developed based on literature review, iterative cycles of interviews and a focus group with clinical experts. They described the burden of progressive, responding and stable disease on treatment; and also febrile neutropenia, stomatitis; diarrhoea/vomiting; fatigue; hand-foot syndrome (grade 3/4 toxicities) and hair loss. One hundred members of the general public rated them using standard gamble to determine health state utility. Data were analysed with a mixed model analysis. The study sample was a good match to the general public of England and Wales by demographics and current quality of life. Stable disease on treatment had a utility value of 0.72, with a corresponding gain of +0.07 following a treatment response and a decline by 0.27 for disease progression. Toxicities lead to declines in utility between 0.10 (diarrhoea/vomiting) and 0.15 (febrile neutropenia). This study underlines the value that society place on the avoidance of disease progression and severe side effects in MBC. This may be the largest preference study in breast cancer designed to survey a representative general public sample.","container-title":"British Journal of Cancer","DOI":"10.1038/sj.bjc.6603326","ISSN":"0007-0920","issue":"6","journalAbbreviation":"Br J Cancer","note":"PMID: 16967055\nPMCID: PMC2360509","page":"683-690","source":"PubMed Central","title":"Health state utilities for metastatic breast cancer","volume":"95","author":[{"family":"Lloyd","given":"A"},{"family":"Nafees","given":"B"},{"family":"Narewska","given":"J"},{"family":"Dewilde","given":"S"},{"family":"Watkins","given":"J"}],"issued":{"date-parts":[["2006",9,18]]}}}],"schema":"https://github.com/citation-style-language/schema/raw/master/csl-citation.json"} </w:instrText>
      </w:r>
      <w:r w:rsidRPr="005D58CB">
        <w:rPr>
          <w:lang w:eastAsia="en-GB"/>
        </w:rPr>
        <w:fldChar w:fldCharType="separate"/>
      </w:r>
      <w:r w:rsidR="00CA6345" w:rsidRPr="00CA6345">
        <w:rPr>
          <w:rFonts w:cs="Arial"/>
          <w:szCs w:val="24"/>
          <w:vertAlign w:val="superscript"/>
        </w:rPr>
        <w:t>169</w:t>
      </w:r>
      <w:r w:rsidRPr="005D58CB">
        <w:rPr>
          <w:lang w:eastAsia="en-GB"/>
        </w:rPr>
        <w:fldChar w:fldCharType="end"/>
      </w:r>
      <w:r w:rsidRPr="005D58CB">
        <w:rPr>
          <w:lang w:eastAsia="en-GB"/>
        </w:rPr>
        <w:t xml:space="preserve"> </w:t>
      </w:r>
      <w:r w:rsidRPr="003A7CC7">
        <w:t xml:space="preserve">A summary of the utility values used in previous submissions that were applied in the economic analysis are presented in </w:t>
      </w:r>
      <w:r w:rsidRPr="003C648C">
        <w:rPr>
          <w:b/>
        </w:rPr>
        <w:fldChar w:fldCharType="begin"/>
      </w:r>
      <w:r w:rsidRPr="003C648C">
        <w:rPr>
          <w:b/>
        </w:rPr>
        <w:instrText xml:space="preserve"> REF _Ref97207016 \h  \* MERGEFORMAT </w:instrText>
      </w:r>
      <w:r w:rsidRPr="003C648C">
        <w:rPr>
          <w:b/>
        </w:rPr>
      </w:r>
      <w:r w:rsidRPr="003C648C">
        <w:rPr>
          <w:b/>
        </w:rPr>
        <w:fldChar w:fldCharType="separate"/>
      </w:r>
      <w:r w:rsidR="00145F42" w:rsidRPr="00145F42">
        <w:rPr>
          <w:b/>
        </w:rPr>
        <w:t>Table 49</w:t>
      </w:r>
      <w:r w:rsidRPr="003C648C">
        <w:rPr>
          <w:b/>
        </w:rPr>
        <w:fldChar w:fldCharType="end"/>
      </w:r>
      <w:r w:rsidRPr="003A7CC7">
        <w:t xml:space="preserve">. </w:t>
      </w:r>
    </w:p>
    <w:p w14:paraId="3D8EBCC2" w14:textId="76E58DF1" w:rsidR="00724A2B" w:rsidRPr="00057743" w:rsidRDefault="00724A2B" w:rsidP="00724A2B">
      <w:pPr>
        <w:pStyle w:val="Caption"/>
      </w:pPr>
      <w:bookmarkStart w:id="637" w:name="_Ref97207016"/>
      <w:bookmarkStart w:id="638" w:name="_Toc98924757"/>
      <w:bookmarkStart w:id="639" w:name="_Toc127006679"/>
      <w:bookmarkStart w:id="640" w:name="_Toc129351024"/>
      <w:r>
        <w:t xml:space="preserve">Table </w:t>
      </w:r>
      <w:r>
        <w:fldChar w:fldCharType="begin"/>
      </w:r>
      <w:r>
        <w:instrText>SEQ Table \* ARABIC</w:instrText>
      </w:r>
      <w:r>
        <w:fldChar w:fldCharType="separate"/>
      </w:r>
      <w:r w:rsidR="00145F42">
        <w:rPr>
          <w:noProof/>
        </w:rPr>
        <w:t>49</w:t>
      </w:r>
      <w:r>
        <w:fldChar w:fldCharType="end"/>
      </w:r>
      <w:bookmarkEnd w:id="637"/>
      <w:r>
        <w:t xml:space="preserve">: Summary of utility </w:t>
      </w:r>
      <w:r w:rsidRPr="00057743">
        <w:t xml:space="preserve">values </w:t>
      </w:r>
      <w:r w:rsidRPr="005D58CB">
        <w:t xml:space="preserve">applied </w:t>
      </w:r>
      <w:r w:rsidRPr="00057743">
        <w:t>in previous submissions</w:t>
      </w:r>
      <w:bookmarkEnd w:id="638"/>
      <w:bookmarkEnd w:id="639"/>
      <w:bookmarkEnd w:id="640"/>
    </w:p>
    <w:tbl>
      <w:tblPr>
        <w:tblStyle w:val="TableGrid"/>
        <w:tblW w:w="0" w:type="auto"/>
        <w:tblLayout w:type="fixed"/>
        <w:tblLook w:val="04A0" w:firstRow="1" w:lastRow="0" w:firstColumn="1" w:lastColumn="0" w:noHBand="0" w:noVBand="1"/>
      </w:tblPr>
      <w:tblGrid>
        <w:gridCol w:w="2122"/>
        <w:gridCol w:w="2551"/>
        <w:gridCol w:w="2172"/>
        <w:gridCol w:w="2172"/>
      </w:tblGrid>
      <w:tr w:rsidR="00724A2B" w:rsidRPr="00057743" w14:paraId="1884958F" w14:textId="77777777">
        <w:trPr>
          <w:tblHeader/>
        </w:trPr>
        <w:tc>
          <w:tcPr>
            <w:tcW w:w="2122" w:type="dxa"/>
            <w:shd w:val="clear" w:color="auto" w:fill="D9D9D9" w:themeFill="background1" w:themeFillShade="D9"/>
          </w:tcPr>
          <w:p w14:paraId="27EC22BD" w14:textId="77777777" w:rsidR="00724A2B" w:rsidRPr="00057743" w:rsidRDefault="00724A2B">
            <w:pPr>
              <w:pStyle w:val="NICETableHeader"/>
              <w:keepNext w:val="0"/>
            </w:pPr>
            <w:r w:rsidRPr="00057743">
              <w:t>Submission (treatment line)</w:t>
            </w:r>
          </w:p>
        </w:tc>
        <w:tc>
          <w:tcPr>
            <w:tcW w:w="2551" w:type="dxa"/>
            <w:shd w:val="clear" w:color="auto" w:fill="D9D9D9" w:themeFill="background1" w:themeFillShade="D9"/>
            <w:vAlign w:val="center"/>
          </w:tcPr>
          <w:p w14:paraId="28FD7258" w14:textId="77777777" w:rsidR="00724A2B" w:rsidRPr="00057743" w:rsidRDefault="00724A2B">
            <w:pPr>
              <w:pStyle w:val="NICETableHeader"/>
              <w:keepNext w:val="0"/>
            </w:pPr>
            <w:r w:rsidRPr="00057743">
              <w:t>Treatment</w:t>
            </w:r>
          </w:p>
        </w:tc>
        <w:tc>
          <w:tcPr>
            <w:tcW w:w="2172" w:type="dxa"/>
            <w:shd w:val="clear" w:color="auto" w:fill="D9D9D9" w:themeFill="background1" w:themeFillShade="D9"/>
            <w:vAlign w:val="center"/>
          </w:tcPr>
          <w:p w14:paraId="1E1870F7" w14:textId="77777777" w:rsidR="00724A2B" w:rsidRPr="00057743" w:rsidRDefault="00724A2B">
            <w:pPr>
              <w:pStyle w:val="NICETableHeader"/>
              <w:keepNext w:val="0"/>
              <w:jc w:val="center"/>
            </w:pPr>
            <w:r w:rsidRPr="00057743">
              <w:t>Progression-free</w:t>
            </w:r>
          </w:p>
        </w:tc>
        <w:tc>
          <w:tcPr>
            <w:tcW w:w="2172" w:type="dxa"/>
            <w:shd w:val="clear" w:color="auto" w:fill="D9D9D9" w:themeFill="background1" w:themeFillShade="D9"/>
            <w:vAlign w:val="center"/>
          </w:tcPr>
          <w:p w14:paraId="2AB262C9" w14:textId="77777777" w:rsidR="00724A2B" w:rsidRPr="00057743" w:rsidRDefault="00724A2B">
            <w:pPr>
              <w:pStyle w:val="NICETableHeader"/>
              <w:keepNext w:val="0"/>
              <w:jc w:val="center"/>
            </w:pPr>
            <w:r w:rsidRPr="00057743">
              <w:t>Post-progression</w:t>
            </w:r>
          </w:p>
        </w:tc>
      </w:tr>
      <w:tr w:rsidR="00724A2B" w:rsidRPr="00057743" w14:paraId="334F254B" w14:textId="77777777">
        <w:trPr>
          <w:tblHeader/>
        </w:trPr>
        <w:tc>
          <w:tcPr>
            <w:tcW w:w="2122" w:type="dxa"/>
            <w:vMerge w:val="restart"/>
            <w:vAlign w:val="center"/>
          </w:tcPr>
          <w:p w14:paraId="316A4EF0" w14:textId="35C77CF9" w:rsidR="00724A2B" w:rsidRPr="00057743" w:rsidRDefault="00724A2B">
            <w:pPr>
              <w:pStyle w:val="NICETabletext"/>
              <w:keepNext w:val="0"/>
              <w:rPr>
                <w:szCs w:val="20"/>
              </w:rPr>
            </w:pPr>
            <w:r w:rsidRPr="005D58CB">
              <w:rPr>
                <w:szCs w:val="20"/>
              </w:rPr>
              <w:t>TA423 (3L)</w:t>
            </w:r>
            <w:r w:rsidRPr="00057743">
              <w:rPr>
                <w:szCs w:val="20"/>
              </w:rPr>
              <w:fldChar w:fldCharType="begin"/>
            </w:r>
            <w:r w:rsidR="00CA6345">
              <w:rPr>
                <w:szCs w:val="20"/>
              </w:rPr>
              <w:instrText xml:space="preserve"> ADDIN ZOTERO_ITEM CSL_CITATION {"citationID":"0B1mEKMk","properties":{"formattedCitation":"\\super 131\\nosupersub{}","plainCitation":"131","noteIndex":0},"citationItems":[{"id":65884,"uris":["http://zotero.org/groups/4797619/items/GKXW7XYV"],"itemData":{"id":65884,"type":"webpage","abstract":"Evidence-based recommendations on eribulin (Halaven) for treating locally advanced or metastatic breast cancer after 2 or more types of chemotherapy","language":"eng","note":"publisher: NICE","title":"Eribulin for treating locally advanced or metastatic breast cancer after 2 or more chemotherapy regimens | NICE [TA423]","URL":"https://www.nice.org.uk/guidance/ta423","author":[{"family":"NICE","given":""}],"accessed":{"date-parts":[["2022",10,17]]}}}],"schema":"https://github.com/citation-style-language/schema/raw/master/csl-citation.json"} </w:instrText>
            </w:r>
            <w:r w:rsidRPr="00057743">
              <w:rPr>
                <w:szCs w:val="20"/>
              </w:rPr>
              <w:fldChar w:fldCharType="separate"/>
            </w:r>
            <w:r w:rsidR="00CA6345" w:rsidRPr="00CA6345">
              <w:rPr>
                <w:rFonts w:cs="Arial"/>
                <w:vertAlign w:val="superscript"/>
              </w:rPr>
              <w:t>131</w:t>
            </w:r>
            <w:r w:rsidRPr="00057743">
              <w:rPr>
                <w:szCs w:val="20"/>
              </w:rPr>
              <w:fldChar w:fldCharType="end"/>
            </w:r>
          </w:p>
        </w:tc>
        <w:tc>
          <w:tcPr>
            <w:tcW w:w="2551" w:type="dxa"/>
          </w:tcPr>
          <w:p w14:paraId="56632BAC" w14:textId="77777777" w:rsidR="00724A2B" w:rsidRPr="005D58CB" w:rsidRDefault="00724A2B">
            <w:pPr>
              <w:pStyle w:val="NICETabletext"/>
              <w:keepNext w:val="0"/>
              <w:rPr>
                <w:szCs w:val="20"/>
              </w:rPr>
            </w:pPr>
            <w:r w:rsidRPr="005D58CB">
              <w:rPr>
                <w:szCs w:val="20"/>
              </w:rPr>
              <w:t>Eribulin</w:t>
            </w:r>
          </w:p>
        </w:tc>
        <w:tc>
          <w:tcPr>
            <w:tcW w:w="2172" w:type="dxa"/>
          </w:tcPr>
          <w:p w14:paraId="358F4133" w14:textId="77777777" w:rsidR="00724A2B" w:rsidRPr="005D58CB" w:rsidRDefault="00724A2B">
            <w:pPr>
              <w:pStyle w:val="NICETabletext"/>
              <w:keepNext w:val="0"/>
              <w:jc w:val="center"/>
              <w:rPr>
                <w:szCs w:val="20"/>
              </w:rPr>
            </w:pPr>
            <w:r w:rsidRPr="005D58CB">
              <w:rPr>
                <w:szCs w:val="20"/>
              </w:rPr>
              <w:t>0.706</w:t>
            </w:r>
          </w:p>
        </w:tc>
        <w:tc>
          <w:tcPr>
            <w:tcW w:w="2172" w:type="dxa"/>
            <w:vMerge w:val="restart"/>
          </w:tcPr>
          <w:p w14:paraId="53C50197" w14:textId="77777777" w:rsidR="00724A2B" w:rsidRPr="005D58CB" w:rsidRDefault="00724A2B">
            <w:pPr>
              <w:pStyle w:val="NICETabletext"/>
              <w:keepNext w:val="0"/>
              <w:jc w:val="center"/>
            </w:pPr>
            <w:r w:rsidRPr="005D58CB">
              <w:t>Company: 0.679</w:t>
            </w:r>
          </w:p>
          <w:p w14:paraId="47DAE34F" w14:textId="74262F11" w:rsidR="00724A2B" w:rsidRPr="005D58CB" w:rsidRDefault="00724A2B">
            <w:pPr>
              <w:pStyle w:val="NICETabletext"/>
              <w:keepNext w:val="0"/>
              <w:jc w:val="center"/>
            </w:pPr>
            <w:r w:rsidRPr="005D58CB">
              <w:t>E</w:t>
            </w:r>
            <w:r w:rsidR="00A52310">
              <w:t>A</w:t>
            </w:r>
            <w:r w:rsidRPr="005D58CB">
              <w:t>G: 0.496</w:t>
            </w:r>
          </w:p>
        </w:tc>
      </w:tr>
      <w:tr w:rsidR="00724A2B" w:rsidRPr="00057743" w14:paraId="5AC37A75" w14:textId="77777777">
        <w:trPr>
          <w:tblHeader/>
        </w:trPr>
        <w:tc>
          <w:tcPr>
            <w:tcW w:w="2122" w:type="dxa"/>
            <w:vMerge/>
          </w:tcPr>
          <w:p w14:paraId="7E566EAE" w14:textId="77777777" w:rsidR="00724A2B" w:rsidRPr="00057743" w:rsidRDefault="00724A2B">
            <w:pPr>
              <w:pStyle w:val="NICETabletext"/>
              <w:keepNext w:val="0"/>
              <w:rPr>
                <w:szCs w:val="20"/>
              </w:rPr>
            </w:pPr>
          </w:p>
        </w:tc>
        <w:tc>
          <w:tcPr>
            <w:tcW w:w="2551" w:type="dxa"/>
          </w:tcPr>
          <w:p w14:paraId="54E11181" w14:textId="77777777" w:rsidR="00724A2B" w:rsidRPr="005D58CB" w:rsidRDefault="00724A2B">
            <w:pPr>
              <w:pStyle w:val="NICETabletext"/>
              <w:keepNext w:val="0"/>
              <w:rPr>
                <w:szCs w:val="20"/>
              </w:rPr>
            </w:pPr>
            <w:r w:rsidRPr="005D58CB">
              <w:rPr>
                <w:szCs w:val="20"/>
              </w:rPr>
              <w:t>TPC</w:t>
            </w:r>
          </w:p>
        </w:tc>
        <w:tc>
          <w:tcPr>
            <w:tcW w:w="2172" w:type="dxa"/>
          </w:tcPr>
          <w:p w14:paraId="59696B49" w14:textId="77777777" w:rsidR="00724A2B" w:rsidRPr="005D58CB" w:rsidRDefault="00724A2B">
            <w:pPr>
              <w:pStyle w:val="NICETabletext"/>
              <w:keepNext w:val="0"/>
              <w:jc w:val="center"/>
              <w:rPr>
                <w:szCs w:val="20"/>
              </w:rPr>
            </w:pPr>
            <w:r w:rsidRPr="005D58CB">
              <w:rPr>
                <w:szCs w:val="20"/>
              </w:rPr>
              <w:t>0.701</w:t>
            </w:r>
          </w:p>
        </w:tc>
        <w:tc>
          <w:tcPr>
            <w:tcW w:w="2172" w:type="dxa"/>
            <w:vMerge/>
          </w:tcPr>
          <w:p w14:paraId="3C45BF2A" w14:textId="77777777" w:rsidR="00724A2B" w:rsidRPr="005D58CB" w:rsidRDefault="00724A2B">
            <w:pPr>
              <w:pStyle w:val="NICETabletext"/>
              <w:keepNext w:val="0"/>
              <w:jc w:val="center"/>
            </w:pPr>
          </w:p>
        </w:tc>
      </w:tr>
      <w:tr w:rsidR="00724A2B" w:rsidRPr="00057743" w14:paraId="5D9DBF2D" w14:textId="77777777">
        <w:trPr>
          <w:tblHeader/>
        </w:trPr>
        <w:tc>
          <w:tcPr>
            <w:tcW w:w="2122" w:type="dxa"/>
            <w:vMerge w:val="restart"/>
            <w:vAlign w:val="center"/>
          </w:tcPr>
          <w:p w14:paraId="183DD04B" w14:textId="1B5B4C65" w:rsidR="00724A2B" w:rsidRPr="005D58CB" w:rsidRDefault="00724A2B">
            <w:pPr>
              <w:pStyle w:val="NICETabletext"/>
              <w:keepNext w:val="0"/>
              <w:rPr>
                <w:szCs w:val="20"/>
              </w:rPr>
            </w:pPr>
            <w:r w:rsidRPr="005D58CB">
              <w:rPr>
                <w:szCs w:val="20"/>
              </w:rPr>
              <w:t>TA704 (3L)</w:t>
            </w:r>
            <w:r w:rsidRPr="00057743">
              <w:fldChar w:fldCharType="begin"/>
            </w:r>
            <w:r w:rsidR="00CA6345">
              <w:instrText xml:space="preserve"> ADDIN ZOTERO_ITEM CSL_CITATION {"citationID":"su46PaJ5","properties":{"formattedCitation":"\\super 4\\nosupersub{}","plainCitation":"4","noteIndex":0},"citationItems":[{"id":65878,"uris":["http://zotero.org/groups/4797619/items/ESRZZTT8"],"itemData":{"id":65878,"type":"webpage","abstract":"Evidence-based recommendations on trastuzumab deruxtecan (Enhertu) for treating HER2-positive unresectable or metastatic breast cancer in adults after 2 or more","language":"eng","note":"publisher: NICE","title":"Trastuzumab deruxtecan for treating HER2-positive unresectable or metastatic breast cancer after 2 or more anti-HER2 therapies | NICE [TA704]","URL":"https://www.nice.org.uk/guidance/ta704","author":[{"family":"NICE","given":""}],"accessed":{"date-parts":[["2022",9,29]]}}}],"schema":"https://github.com/citation-style-language/schema/raw/master/csl-citation.json"} </w:instrText>
            </w:r>
            <w:r w:rsidRPr="00057743">
              <w:fldChar w:fldCharType="separate"/>
            </w:r>
            <w:r w:rsidR="00FD57F4" w:rsidRPr="00FD57F4">
              <w:rPr>
                <w:rFonts w:cs="Arial"/>
                <w:vertAlign w:val="superscript"/>
              </w:rPr>
              <w:t>4</w:t>
            </w:r>
            <w:r w:rsidRPr="00057743">
              <w:fldChar w:fldCharType="end"/>
            </w:r>
          </w:p>
        </w:tc>
        <w:tc>
          <w:tcPr>
            <w:tcW w:w="2551" w:type="dxa"/>
          </w:tcPr>
          <w:p w14:paraId="166C9568" w14:textId="77777777" w:rsidR="00724A2B" w:rsidRPr="005D58CB" w:rsidRDefault="00724A2B">
            <w:pPr>
              <w:pStyle w:val="NICETabletext"/>
              <w:keepNext w:val="0"/>
              <w:rPr>
                <w:szCs w:val="20"/>
              </w:rPr>
            </w:pPr>
            <w:r w:rsidRPr="005D58CB">
              <w:rPr>
                <w:szCs w:val="20"/>
              </w:rPr>
              <w:t>T-DXd</w:t>
            </w:r>
          </w:p>
        </w:tc>
        <w:tc>
          <w:tcPr>
            <w:tcW w:w="2172" w:type="dxa"/>
          </w:tcPr>
          <w:p w14:paraId="5EAC672F" w14:textId="77777777" w:rsidR="00724A2B" w:rsidRPr="005D58CB" w:rsidRDefault="00724A2B">
            <w:pPr>
              <w:pStyle w:val="NICETabletext"/>
              <w:keepNext w:val="0"/>
              <w:jc w:val="center"/>
              <w:rPr>
                <w:szCs w:val="20"/>
              </w:rPr>
            </w:pPr>
            <w:r w:rsidRPr="005D58CB">
              <w:rPr>
                <w:szCs w:val="20"/>
              </w:rPr>
              <w:t>0.750</w:t>
            </w:r>
          </w:p>
        </w:tc>
        <w:tc>
          <w:tcPr>
            <w:tcW w:w="2172" w:type="dxa"/>
            <w:vMerge w:val="restart"/>
            <w:vAlign w:val="center"/>
          </w:tcPr>
          <w:p w14:paraId="16FF5CF4" w14:textId="77777777" w:rsidR="00724A2B" w:rsidRPr="005D58CB" w:rsidRDefault="00724A2B">
            <w:pPr>
              <w:pStyle w:val="NICETabletext"/>
              <w:keepNext w:val="0"/>
              <w:jc w:val="center"/>
            </w:pPr>
            <w:r w:rsidRPr="005D58CB">
              <w:t>0.588</w:t>
            </w:r>
          </w:p>
        </w:tc>
      </w:tr>
      <w:tr w:rsidR="00724A2B" w:rsidRPr="00057743" w14:paraId="005C90FA" w14:textId="77777777">
        <w:trPr>
          <w:tblHeader/>
        </w:trPr>
        <w:tc>
          <w:tcPr>
            <w:tcW w:w="2122" w:type="dxa"/>
            <w:vMerge/>
          </w:tcPr>
          <w:p w14:paraId="07BC0694" w14:textId="77777777" w:rsidR="00724A2B" w:rsidRPr="005D58CB" w:rsidRDefault="00724A2B">
            <w:pPr>
              <w:pStyle w:val="NICETabletext"/>
              <w:keepNext w:val="0"/>
              <w:rPr>
                <w:szCs w:val="20"/>
              </w:rPr>
            </w:pPr>
          </w:p>
        </w:tc>
        <w:tc>
          <w:tcPr>
            <w:tcW w:w="2551" w:type="dxa"/>
          </w:tcPr>
          <w:p w14:paraId="53551E73" w14:textId="77777777" w:rsidR="00724A2B" w:rsidRPr="005D58CB" w:rsidRDefault="00724A2B">
            <w:pPr>
              <w:pStyle w:val="NICETabletext"/>
              <w:keepNext w:val="0"/>
              <w:rPr>
                <w:szCs w:val="20"/>
              </w:rPr>
            </w:pPr>
            <w:r w:rsidRPr="005D58CB">
              <w:rPr>
                <w:szCs w:val="20"/>
              </w:rPr>
              <w:t>SoC</w:t>
            </w:r>
          </w:p>
        </w:tc>
        <w:tc>
          <w:tcPr>
            <w:tcW w:w="2172" w:type="dxa"/>
          </w:tcPr>
          <w:p w14:paraId="037E14F2" w14:textId="77777777" w:rsidR="00724A2B" w:rsidRPr="005D58CB" w:rsidRDefault="00724A2B">
            <w:pPr>
              <w:pStyle w:val="NICETabletext"/>
              <w:keepNext w:val="0"/>
              <w:jc w:val="center"/>
              <w:rPr>
                <w:szCs w:val="20"/>
              </w:rPr>
            </w:pPr>
            <w:r w:rsidRPr="005D58CB">
              <w:rPr>
                <w:szCs w:val="20"/>
              </w:rPr>
              <w:t>0.713</w:t>
            </w:r>
          </w:p>
        </w:tc>
        <w:tc>
          <w:tcPr>
            <w:tcW w:w="2172" w:type="dxa"/>
            <w:vMerge/>
          </w:tcPr>
          <w:p w14:paraId="16F6425C" w14:textId="77777777" w:rsidR="00724A2B" w:rsidRPr="005D58CB" w:rsidRDefault="00724A2B">
            <w:pPr>
              <w:pStyle w:val="NICETabletext"/>
              <w:keepNext w:val="0"/>
              <w:jc w:val="center"/>
            </w:pPr>
          </w:p>
        </w:tc>
      </w:tr>
      <w:tr w:rsidR="00724A2B" w:rsidRPr="00057743" w14:paraId="5EB69825" w14:textId="77777777">
        <w:trPr>
          <w:trHeight w:val="144"/>
          <w:tblHeader/>
        </w:trPr>
        <w:tc>
          <w:tcPr>
            <w:tcW w:w="2122" w:type="dxa"/>
            <w:vMerge w:val="restart"/>
            <w:vAlign w:val="center"/>
          </w:tcPr>
          <w:p w14:paraId="7A327A38" w14:textId="77777777" w:rsidR="00724A2B" w:rsidRPr="005D58CB" w:rsidRDefault="00724A2B">
            <w:pPr>
              <w:pStyle w:val="NICETabletext"/>
              <w:keepNext w:val="0"/>
              <w:rPr>
                <w:szCs w:val="20"/>
              </w:rPr>
            </w:pPr>
            <w:r w:rsidRPr="005D58CB">
              <w:rPr>
                <w:szCs w:val="20"/>
              </w:rPr>
              <w:t>TA819 (3L)</w:t>
            </w:r>
            <w:r w:rsidRPr="00057743">
              <w:rPr>
                <w:rFonts w:cs="Arial"/>
                <w:vertAlign w:val="superscript"/>
              </w:rPr>
              <w:t xml:space="preserve"> 9</w:t>
            </w:r>
          </w:p>
        </w:tc>
        <w:tc>
          <w:tcPr>
            <w:tcW w:w="2551" w:type="dxa"/>
          </w:tcPr>
          <w:p w14:paraId="7D87A769" w14:textId="77777777" w:rsidR="00724A2B" w:rsidRPr="005D58CB" w:rsidRDefault="00724A2B">
            <w:pPr>
              <w:pStyle w:val="NICETabletext"/>
              <w:keepNext w:val="0"/>
            </w:pPr>
            <w:r w:rsidRPr="005D58CB">
              <w:t>SG</w:t>
            </w:r>
          </w:p>
        </w:tc>
        <w:tc>
          <w:tcPr>
            <w:tcW w:w="2172" w:type="dxa"/>
          </w:tcPr>
          <w:p w14:paraId="582E531D" w14:textId="77777777" w:rsidR="00724A2B" w:rsidRPr="005D58CB" w:rsidRDefault="00724A2B">
            <w:pPr>
              <w:pStyle w:val="NICETabletext"/>
              <w:keepNext w:val="0"/>
              <w:jc w:val="center"/>
            </w:pPr>
            <w:r w:rsidRPr="005D58CB">
              <w:t>0.710</w:t>
            </w:r>
          </w:p>
        </w:tc>
        <w:tc>
          <w:tcPr>
            <w:tcW w:w="2172" w:type="dxa"/>
          </w:tcPr>
          <w:p w14:paraId="04377600" w14:textId="77777777" w:rsidR="00724A2B" w:rsidRPr="005D58CB" w:rsidRDefault="00724A2B">
            <w:pPr>
              <w:pStyle w:val="NICETabletext"/>
              <w:keepNext w:val="0"/>
              <w:jc w:val="center"/>
            </w:pPr>
            <w:r w:rsidRPr="005D58CB">
              <w:t>0.653</w:t>
            </w:r>
          </w:p>
        </w:tc>
      </w:tr>
      <w:tr w:rsidR="00724A2B" w:rsidRPr="00057743" w14:paraId="25AF7DA0" w14:textId="77777777">
        <w:trPr>
          <w:trHeight w:val="144"/>
          <w:tblHeader/>
        </w:trPr>
        <w:tc>
          <w:tcPr>
            <w:tcW w:w="2122" w:type="dxa"/>
            <w:vMerge/>
          </w:tcPr>
          <w:p w14:paraId="1DF79B7C" w14:textId="77777777" w:rsidR="00724A2B" w:rsidRPr="005D58CB" w:rsidRDefault="00724A2B">
            <w:pPr>
              <w:pStyle w:val="NICETabletext"/>
              <w:keepNext w:val="0"/>
              <w:rPr>
                <w:szCs w:val="20"/>
              </w:rPr>
            </w:pPr>
          </w:p>
        </w:tc>
        <w:tc>
          <w:tcPr>
            <w:tcW w:w="2551" w:type="dxa"/>
          </w:tcPr>
          <w:p w14:paraId="3F14A7EF" w14:textId="77777777" w:rsidR="00724A2B" w:rsidRPr="005D58CB" w:rsidRDefault="00724A2B">
            <w:pPr>
              <w:pStyle w:val="NICETabletext"/>
              <w:keepNext w:val="0"/>
            </w:pPr>
            <w:r w:rsidRPr="005D58CB">
              <w:t>TPC</w:t>
            </w:r>
          </w:p>
        </w:tc>
        <w:tc>
          <w:tcPr>
            <w:tcW w:w="2172" w:type="dxa"/>
          </w:tcPr>
          <w:p w14:paraId="167B4508" w14:textId="77777777" w:rsidR="00724A2B" w:rsidRPr="005D58CB" w:rsidRDefault="00724A2B">
            <w:pPr>
              <w:pStyle w:val="NICETabletext"/>
              <w:keepNext w:val="0"/>
              <w:jc w:val="center"/>
            </w:pPr>
            <w:r w:rsidRPr="005D58CB">
              <w:t>0.626</w:t>
            </w:r>
          </w:p>
        </w:tc>
        <w:tc>
          <w:tcPr>
            <w:tcW w:w="2172" w:type="dxa"/>
          </w:tcPr>
          <w:p w14:paraId="12140925" w14:textId="77777777" w:rsidR="00724A2B" w:rsidRPr="005D58CB" w:rsidRDefault="00724A2B">
            <w:pPr>
              <w:pStyle w:val="NICETabletext"/>
              <w:keepNext w:val="0"/>
              <w:jc w:val="center"/>
            </w:pPr>
            <w:r w:rsidRPr="005D58CB">
              <w:t>0.569</w:t>
            </w:r>
          </w:p>
        </w:tc>
      </w:tr>
      <w:tr w:rsidR="00724A2B" w:rsidRPr="00057743" w14:paraId="38E5B56C" w14:textId="77777777">
        <w:trPr>
          <w:trHeight w:val="144"/>
          <w:tblHeader/>
        </w:trPr>
        <w:tc>
          <w:tcPr>
            <w:tcW w:w="2122" w:type="dxa"/>
            <w:vMerge/>
          </w:tcPr>
          <w:p w14:paraId="58732AE8" w14:textId="77777777" w:rsidR="00724A2B" w:rsidRPr="005D58CB" w:rsidRDefault="00724A2B">
            <w:pPr>
              <w:pStyle w:val="NICETabletext"/>
              <w:keepNext w:val="0"/>
              <w:rPr>
                <w:szCs w:val="20"/>
              </w:rPr>
            </w:pPr>
          </w:p>
        </w:tc>
        <w:tc>
          <w:tcPr>
            <w:tcW w:w="2551" w:type="dxa"/>
          </w:tcPr>
          <w:p w14:paraId="5541E092" w14:textId="77777777" w:rsidR="00724A2B" w:rsidRPr="005D58CB" w:rsidRDefault="00724A2B">
            <w:pPr>
              <w:pStyle w:val="NICETabletext"/>
              <w:keepNext w:val="0"/>
            </w:pPr>
            <w:r w:rsidRPr="005D58CB">
              <w:t>Pooled</w:t>
            </w:r>
          </w:p>
        </w:tc>
        <w:tc>
          <w:tcPr>
            <w:tcW w:w="2172" w:type="dxa"/>
          </w:tcPr>
          <w:p w14:paraId="5B511628" w14:textId="77777777" w:rsidR="00724A2B" w:rsidRPr="005D58CB" w:rsidRDefault="00724A2B">
            <w:pPr>
              <w:pStyle w:val="NICETabletext"/>
              <w:keepNext w:val="0"/>
              <w:jc w:val="center"/>
            </w:pPr>
            <w:r w:rsidRPr="005D58CB">
              <w:t>0.676</w:t>
            </w:r>
          </w:p>
        </w:tc>
        <w:tc>
          <w:tcPr>
            <w:tcW w:w="2172" w:type="dxa"/>
          </w:tcPr>
          <w:p w14:paraId="50CBE38F" w14:textId="77777777" w:rsidR="00724A2B" w:rsidRPr="005D58CB" w:rsidRDefault="00724A2B">
            <w:pPr>
              <w:pStyle w:val="NICETabletext"/>
              <w:keepNext w:val="0"/>
              <w:jc w:val="center"/>
            </w:pPr>
            <w:r w:rsidRPr="005D58CB">
              <w:t>0.619</w:t>
            </w:r>
          </w:p>
        </w:tc>
      </w:tr>
      <w:tr w:rsidR="00724A2B" w:rsidRPr="00057743" w14:paraId="5F8742B5" w14:textId="77777777">
        <w:trPr>
          <w:trHeight w:val="144"/>
          <w:tblHeader/>
        </w:trPr>
        <w:tc>
          <w:tcPr>
            <w:tcW w:w="2122" w:type="dxa"/>
            <w:vMerge w:val="restart"/>
            <w:vAlign w:val="center"/>
          </w:tcPr>
          <w:p w14:paraId="5F6DCD38" w14:textId="015FB994" w:rsidR="00724A2B" w:rsidRPr="005D58CB" w:rsidRDefault="00724A2B">
            <w:pPr>
              <w:pStyle w:val="NICETabletext"/>
              <w:keepNext w:val="0"/>
              <w:rPr>
                <w:szCs w:val="20"/>
              </w:rPr>
            </w:pPr>
            <w:r w:rsidRPr="005D58CB">
              <w:t>TA862</w:t>
            </w:r>
            <w:r w:rsidRPr="005D58CB">
              <w:rPr>
                <w:szCs w:val="20"/>
                <w:lang w:eastAsia="en-GB"/>
              </w:rPr>
              <w:t xml:space="preserve"> (2L)</w:t>
            </w:r>
            <w:r w:rsidRPr="005D58CB">
              <w:rPr>
                <w:szCs w:val="20"/>
                <w:lang w:eastAsia="en-GB"/>
              </w:rPr>
              <w:fldChar w:fldCharType="begin"/>
            </w:r>
            <w:r w:rsidR="00CA6345">
              <w:rPr>
                <w:szCs w:val="20"/>
                <w:lang w:eastAsia="en-GB"/>
              </w:rPr>
              <w:instrText xml:space="preserve"> ADDIN ZOTERO_ITEM CSL_CITATION {"citationID":"AnsnBrRj","properties":{"formattedCitation":"\\super 5\\nosupersub{}","plainCitation":"5","noteIndex":0},"citationItems":[{"id":66214,"uris":["http://zotero.org/groups/4797619/items/H2PQC2GH"],"itemData":{"id":66214,"type":"webpage","abstract":"Trastuzumab deruxtecan for treating HER2-positive unresectable or metastatic breast cancer after trastuzumab and a taxane [TA862]","language":"eng","note":"publisher: NICE","title":"Trastuzumab deruxtecan for treating HER2-positive unresectable or metastatic breast cancer after 1 or more anti-HER2 therapies | NICE [TA862]","URL":"https://www.nice.org.uk/guidance/indevelopment/gid-ta10804/documents","author":[{"family":"NICE","given":""}],"accessed":{"date-parts":[["2023",2,5]]},"issued":{"date-parts":[["2023",2]]}}}],"schema":"https://github.com/citation-style-language/schema/raw/master/csl-citation.json"} </w:instrText>
            </w:r>
            <w:r w:rsidRPr="005D58CB">
              <w:rPr>
                <w:szCs w:val="20"/>
                <w:lang w:eastAsia="en-GB"/>
              </w:rPr>
              <w:fldChar w:fldCharType="separate"/>
            </w:r>
            <w:r w:rsidR="00FD57F4" w:rsidRPr="00FD57F4">
              <w:rPr>
                <w:rFonts w:cs="Arial"/>
                <w:vertAlign w:val="superscript"/>
              </w:rPr>
              <w:t>5</w:t>
            </w:r>
            <w:r w:rsidRPr="005D58CB">
              <w:rPr>
                <w:szCs w:val="20"/>
                <w:lang w:eastAsia="en-GB"/>
              </w:rPr>
              <w:fldChar w:fldCharType="end"/>
            </w:r>
          </w:p>
        </w:tc>
        <w:tc>
          <w:tcPr>
            <w:tcW w:w="2551" w:type="dxa"/>
          </w:tcPr>
          <w:p w14:paraId="1266C725" w14:textId="77777777" w:rsidR="00724A2B" w:rsidRPr="005D58CB" w:rsidRDefault="00724A2B">
            <w:pPr>
              <w:pStyle w:val="NICETabletext"/>
              <w:keepNext w:val="0"/>
            </w:pPr>
            <w:r w:rsidRPr="005D58CB">
              <w:rPr>
                <w:szCs w:val="20"/>
              </w:rPr>
              <w:t>T-DXd</w:t>
            </w:r>
          </w:p>
        </w:tc>
        <w:tc>
          <w:tcPr>
            <w:tcW w:w="2172" w:type="dxa"/>
          </w:tcPr>
          <w:p w14:paraId="0BF29C34" w14:textId="7B7ED997" w:rsidR="00724A2B" w:rsidRPr="00294FDC" w:rsidRDefault="00294FDC">
            <w:pPr>
              <w:pStyle w:val="NICETabletext"/>
              <w:keepNext w:val="0"/>
              <w:jc w:val="center"/>
              <w:rPr>
                <w:color w:val="000000"/>
                <w:highlight w:val="black"/>
              </w:rPr>
            </w:pPr>
            <w:r w:rsidRPr="00294FDC">
              <w:rPr>
                <w:color w:val="000000"/>
                <w:szCs w:val="20"/>
                <w:highlight w:val="black"/>
              </w:rPr>
              <w:t>xxxxx</w:t>
            </w:r>
          </w:p>
        </w:tc>
        <w:tc>
          <w:tcPr>
            <w:tcW w:w="2172" w:type="dxa"/>
          </w:tcPr>
          <w:p w14:paraId="755F2E7C" w14:textId="77777777" w:rsidR="00724A2B" w:rsidRPr="005D58CB" w:rsidRDefault="00724A2B">
            <w:pPr>
              <w:pStyle w:val="NICETabletext"/>
              <w:keepNext w:val="0"/>
              <w:jc w:val="center"/>
            </w:pPr>
            <w:r w:rsidRPr="005D58CB">
              <w:t>0.618</w:t>
            </w:r>
          </w:p>
        </w:tc>
      </w:tr>
      <w:tr w:rsidR="00724A2B" w:rsidRPr="00057743" w14:paraId="5776C24B" w14:textId="77777777">
        <w:trPr>
          <w:trHeight w:val="144"/>
          <w:tblHeader/>
        </w:trPr>
        <w:tc>
          <w:tcPr>
            <w:tcW w:w="2122" w:type="dxa"/>
            <w:vMerge/>
          </w:tcPr>
          <w:p w14:paraId="6316F6BD" w14:textId="77777777" w:rsidR="00724A2B" w:rsidRPr="005D58CB" w:rsidRDefault="00724A2B">
            <w:pPr>
              <w:pStyle w:val="NICETabletext"/>
              <w:keepNext w:val="0"/>
              <w:rPr>
                <w:szCs w:val="20"/>
              </w:rPr>
            </w:pPr>
          </w:p>
        </w:tc>
        <w:tc>
          <w:tcPr>
            <w:tcW w:w="2551" w:type="dxa"/>
          </w:tcPr>
          <w:p w14:paraId="03049A77" w14:textId="77777777" w:rsidR="00724A2B" w:rsidRPr="005D58CB" w:rsidRDefault="00724A2B">
            <w:pPr>
              <w:pStyle w:val="NICETabletext"/>
              <w:keepNext w:val="0"/>
            </w:pPr>
            <w:r w:rsidRPr="005D58CB">
              <w:rPr>
                <w:szCs w:val="20"/>
              </w:rPr>
              <w:t>T-DM1</w:t>
            </w:r>
          </w:p>
        </w:tc>
        <w:tc>
          <w:tcPr>
            <w:tcW w:w="2172" w:type="dxa"/>
          </w:tcPr>
          <w:p w14:paraId="62A666A0" w14:textId="44B0B363" w:rsidR="00724A2B" w:rsidRPr="00294FDC" w:rsidRDefault="00294FDC">
            <w:pPr>
              <w:pStyle w:val="NICETabletext"/>
              <w:keepNext w:val="0"/>
              <w:jc w:val="center"/>
              <w:rPr>
                <w:color w:val="000000"/>
                <w:highlight w:val="black"/>
              </w:rPr>
            </w:pPr>
            <w:r w:rsidRPr="00294FDC">
              <w:rPr>
                <w:color w:val="000000"/>
                <w:szCs w:val="20"/>
                <w:highlight w:val="black"/>
              </w:rPr>
              <w:t>xxxxx</w:t>
            </w:r>
          </w:p>
        </w:tc>
        <w:tc>
          <w:tcPr>
            <w:tcW w:w="2172" w:type="dxa"/>
          </w:tcPr>
          <w:p w14:paraId="24BBE617" w14:textId="77777777" w:rsidR="00724A2B" w:rsidRPr="005D58CB" w:rsidRDefault="00724A2B">
            <w:pPr>
              <w:pStyle w:val="NICETabletext"/>
              <w:keepNext w:val="0"/>
              <w:jc w:val="center"/>
            </w:pPr>
            <w:r w:rsidRPr="005D58CB">
              <w:t>0.574</w:t>
            </w:r>
          </w:p>
        </w:tc>
      </w:tr>
      <w:tr w:rsidR="00724A2B" w:rsidRPr="00057743" w14:paraId="6AA1C682" w14:textId="77777777">
        <w:trPr>
          <w:trHeight w:val="144"/>
          <w:tblHeader/>
        </w:trPr>
        <w:tc>
          <w:tcPr>
            <w:tcW w:w="2122" w:type="dxa"/>
            <w:vMerge/>
          </w:tcPr>
          <w:p w14:paraId="02088B18" w14:textId="77777777" w:rsidR="00724A2B" w:rsidRPr="005D58CB" w:rsidRDefault="00724A2B">
            <w:pPr>
              <w:pStyle w:val="NICETabletext"/>
              <w:keepNext w:val="0"/>
              <w:rPr>
                <w:szCs w:val="20"/>
              </w:rPr>
            </w:pPr>
          </w:p>
        </w:tc>
        <w:tc>
          <w:tcPr>
            <w:tcW w:w="2551" w:type="dxa"/>
          </w:tcPr>
          <w:p w14:paraId="1CCCD503" w14:textId="77777777" w:rsidR="00724A2B" w:rsidRPr="005D58CB" w:rsidRDefault="00724A2B">
            <w:pPr>
              <w:pStyle w:val="NICETabletext"/>
              <w:keepNext w:val="0"/>
            </w:pPr>
            <w:r w:rsidRPr="005D58CB">
              <w:rPr>
                <w:szCs w:val="20"/>
              </w:rPr>
              <w:t>Pooled</w:t>
            </w:r>
          </w:p>
        </w:tc>
        <w:tc>
          <w:tcPr>
            <w:tcW w:w="2172" w:type="dxa"/>
          </w:tcPr>
          <w:p w14:paraId="79149DE5" w14:textId="026AD3BE" w:rsidR="00724A2B" w:rsidRPr="00294FDC" w:rsidRDefault="00294FDC">
            <w:pPr>
              <w:pStyle w:val="NICETabletext"/>
              <w:keepNext w:val="0"/>
              <w:jc w:val="center"/>
              <w:rPr>
                <w:color w:val="000000"/>
                <w:highlight w:val="black"/>
              </w:rPr>
            </w:pPr>
            <w:r w:rsidRPr="00294FDC">
              <w:rPr>
                <w:color w:val="000000"/>
                <w:szCs w:val="20"/>
                <w:highlight w:val="black"/>
              </w:rPr>
              <w:t>xxxxx</w:t>
            </w:r>
          </w:p>
        </w:tc>
        <w:tc>
          <w:tcPr>
            <w:tcW w:w="2172" w:type="dxa"/>
          </w:tcPr>
          <w:p w14:paraId="26FA47D0" w14:textId="77777777" w:rsidR="00724A2B" w:rsidRPr="005D58CB" w:rsidRDefault="00724A2B">
            <w:pPr>
              <w:pStyle w:val="NICETabletext"/>
              <w:keepNext w:val="0"/>
              <w:jc w:val="center"/>
            </w:pPr>
            <w:r w:rsidRPr="005D58CB">
              <w:t>0.596</w:t>
            </w:r>
          </w:p>
        </w:tc>
      </w:tr>
    </w:tbl>
    <w:p w14:paraId="5B496229" w14:textId="329E9955" w:rsidR="00724A2B" w:rsidRPr="00057743" w:rsidRDefault="00724A2B" w:rsidP="00724A2B">
      <w:pPr>
        <w:pStyle w:val="Footnotes"/>
      </w:pPr>
      <w:r w:rsidRPr="00057743">
        <w:t>Abbreviations: 2L, second line; 3L, third line</w:t>
      </w:r>
      <w:r w:rsidRPr="005D58CB">
        <w:t>; E</w:t>
      </w:r>
      <w:r w:rsidR="00A52310">
        <w:t>A</w:t>
      </w:r>
      <w:r w:rsidRPr="005D58CB">
        <w:t xml:space="preserve">G, Evidence </w:t>
      </w:r>
      <w:r w:rsidR="00A52310">
        <w:t>Assessment</w:t>
      </w:r>
      <w:r w:rsidR="00A52310" w:rsidRPr="005D58CB">
        <w:t xml:space="preserve"> </w:t>
      </w:r>
      <w:r w:rsidRPr="005D58CB">
        <w:t>Group; SG</w:t>
      </w:r>
      <w:r w:rsidRPr="005D58CB">
        <w:rPr>
          <w:rFonts w:eastAsia="Times New Roman" w:cs="Times New Roman"/>
          <w:sz w:val="20"/>
          <w:szCs w:val="24"/>
          <w:lang w:val="en-US"/>
        </w:rPr>
        <w:t>, sa</w:t>
      </w:r>
      <w:r w:rsidRPr="005D58CB">
        <w:t>cituzumab govitecan; SoC, standard of care; T-DM1, trastuzumab emtansine; T-DXd, trastuzumab deruxtecan; TPC, treatment of physician’s choice.</w:t>
      </w:r>
    </w:p>
    <w:p w14:paraId="29479F2E" w14:textId="77777777" w:rsidR="00724A2B" w:rsidRPr="00057743" w:rsidRDefault="00724A2B" w:rsidP="00724A2B">
      <w:pPr>
        <w:pStyle w:val="Heading3"/>
      </w:pPr>
      <w:bookmarkStart w:id="641" w:name="_Toc98924672"/>
      <w:bookmarkStart w:id="642" w:name="_Toc127006449"/>
      <w:bookmarkStart w:id="643" w:name="_Toc129350896"/>
      <w:r w:rsidRPr="00057743">
        <w:t>Adverse reactions</w:t>
      </w:r>
      <w:bookmarkEnd w:id="641"/>
      <w:bookmarkEnd w:id="642"/>
      <w:bookmarkEnd w:id="643"/>
    </w:p>
    <w:p w14:paraId="3BB26AD9" w14:textId="33F3B1C3" w:rsidR="00724A2B" w:rsidRPr="00057743" w:rsidRDefault="00724A2B" w:rsidP="00724A2B">
      <w:pPr>
        <w:pStyle w:val="Body"/>
        <w:rPr>
          <w:rFonts w:cs="Arial"/>
          <w:sz w:val="20"/>
          <w:szCs w:val="20"/>
          <w:lang w:eastAsia="en-GB"/>
        </w:rPr>
      </w:pPr>
      <w:bookmarkStart w:id="644" w:name="_Ref96105228"/>
      <w:r w:rsidRPr="005D58CB">
        <w:rPr>
          <w:lang w:eastAsia="en-GB"/>
        </w:rPr>
        <w:t xml:space="preserve">In the base case, disutilities associated with AEs are not applied as it is assumed that the </w:t>
      </w:r>
      <w:r w:rsidRPr="00057743">
        <w:rPr>
          <w:lang w:eastAsia="en-GB"/>
        </w:rPr>
        <w:t>utilities derived from DESTINY-Breast0</w:t>
      </w:r>
      <w:r w:rsidRPr="005D58CB">
        <w:rPr>
          <w:lang w:eastAsia="en-GB"/>
        </w:rPr>
        <w:t>4</w:t>
      </w:r>
      <w:r w:rsidRPr="00057743">
        <w:rPr>
          <w:lang w:eastAsia="en-GB"/>
        </w:rPr>
        <w:t xml:space="preserve"> (see Section </w:t>
      </w:r>
      <w:r w:rsidRPr="00057743">
        <w:rPr>
          <w:lang w:eastAsia="en-GB"/>
        </w:rPr>
        <w:fldChar w:fldCharType="begin"/>
      </w:r>
      <w:r w:rsidRPr="00057743">
        <w:rPr>
          <w:lang w:eastAsia="en-GB"/>
        </w:rPr>
        <w:instrText xml:space="preserve"> REF _Ref99728187 \r \h </w:instrText>
      </w:r>
      <w:r w:rsidRPr="00057743">
        <w:rPr>
          <w:lang w:eastAsia="en-GB"/>
        </w:rPr>
      </w:r>
      <w:r w:rsidRPr="00057743">
        <w:rPr>
          <w:lang w:eastAsia="en-GB"/>
        </w:rPr>
        <w:fldChar w:fldCharType="separate"/>
      </w:r>
      <w:r w:rsidR="00145F42">
        <w:rPr>
          <w:lang w:eastAsia="en-GB"/>
        </w:rPr>
        <w:t>B.3.4.5</w:t>
      </w:r>
      <w:r w:rsidRPr="00057743">
        <w:rPr>
          <w:lang w:eastAsia="en-GB"/>
        </w:rPr>
        <w:fldChar w:fldCharType="end"/>
      </w:r>
      <w:r w:rsidRPr="00057743">
        <w:rPr>
          <w:lang w:eastAsia="en-GB"/>
        </w:rPr>
        <w:t xml:space="preserve">) capture the </w:t>
      </w:r>
      <w:r w:rsidRPr="005D58CB">
        <w:rPr>
          <w:lang w:eastAsia="en-GB"/>
        </w:rPr>
        <w:t xml:space="preserve">QoL </w:t>
      </w:r>
      <w:r w:rsidRPr="00057743">
        <w:rPr>
          <w:lang w:eastAsia="en-GB"/>
        </w:rPr>
        <w:t xml:space="preserve">impact of AEs. The impact of AEs on </w:t>
      </w:r>
      <w:r w:rsidRPr="005D58CB">
        <w:rPr>
          <w:lang w:eastAsia="en-GB"/>
        </w:rPr>
        <w:t xml:space="preserve">patient </w:t>
      </w:r>
      <w:r w:rsidRPr="00057743">
        <w:rPr>
          <w:lang w:eastAsia="en-GB"/>
        </w:rPr>
        <w:t>HRQoL</w:t>
      </w:r>
      <w:r w:rsidRPr="005D58CB">
        <w:rPr>
          <w:lang w:eastAsia="en-GB"/>
        </w:rPr>
        <w:t xml:space="preserve"> </w:t>
      </w:r>
      <w:r>
        <w:rPr>
          <w:lang w:eastAsia="en-GB"/>
        </w:rPr>
        <w:t>is</w:t>
      </w:r>
      <w:r w:rsidRPr="00057743">
        <w:rPr>
          <w:lang w:eastAsia="en-GB"/>
        </w:rPr>
        <w:t xml:space="preserve"> explored in the cost-effectiveness model </w:t>
      </w:r>
      <w:r w:rsidRPr="005D58CB">
        <w:rPr>
          <w:lang w:eastAsia="en-GB"/>
        </w:rPr>
        <w:t xml:space="preserve">as a scenario (see Section </w:t>
      </w:r>
      <w:r w:rsidRPr="005D58CB">
        <w:rPr>
          <w:lang w:eastAsia="en-GB"/>
        </w:rPr>
        <w:fldChar w:fldCharType="begin"/>
      </w:r>
      <w:r w:rsidRPr="005D58CB">
        <w:rPr>
          <w:lang w:eastAsia="en-GB"/>
        </w:rPr>
        <w:instrText xml:space="preserve"> REF _Ref99728219 \r \h </w:instrText>
      </w:r>
      <w:r w:rsidRPr="005D58CB">
        <w:rPr>
          <w:lang w:eastAsia="en-GB"/>
        </w:rPr>
      </w:r>
      <w:r w:rsidRPr="005D58CB">
        <w:rPr>
          <w:lang w:eastAsia="en-GB"/>
        </w:rPr>
        <w:fldChar w:fldCharType="separate"/>
      </w:r>
      <w:r w:rsidR="00145F42">
        <w:rPr>
          <w:lang w:eastAsia="en-GB"/>
        </w:rPr>
        <w:t>B.3.11.3</w:t>
      </w:r>
      <w:r w:rsidRPr="005D58CB">
        <w:rPr>
          <w:lang w:eastAsia="en-GB"/>
        </w:rPr>
        <w:fldChar w:fldCharType="end"/>
      </w:r>
      <w:r w:rsidRPr="005D58CB">
        <w:rPr>
          <w:lang w:eastAsia="en-GB"/>
        </w:rPr>
        <w:t xml:space="preserve">). </w:t>
      </w:r>
    </w:p>
    <w:p w14:paraId="46B9D715" w14:textId="6F411C3A" w:rsidR="00724A2B" w:rsidRPr="00057743" w:rsidRDefault="00724A2B" w:rsidP="00724A2B">
      <w:pPr>
        <w:pStyle w:val="Body"/>
        <w:rPr>
          <w:rFonts w:cs="Arial"/>
          <w:sz w:val="20"/>
          <w:szCs w:val="20"/>
          <w:lang w:eastAsia="en-GB"/>
        </w:rPr>
      </w:pPr>
      <w:r w:rsidRPr="00057743">
        <w:rPr>
          <w:lang w:eastAsia="en-GB"/>
        </w:rPr>
        <w:lastRenderedPageBreak/>
        <w:t xml:space="preserve">The utility </w:t>
      </w:r>
      <w:r w:rsidRPr="005D58CB">
        <w:rPr>
          <w:lang w:eastAsia="en-GB"/>
        </w:rPr>
        <w:t xml:space="preserve">decrements per AE and duration of </w:t>
      </w:r>
      <w:r>
        <w:rPr>
          <w:lang w:eastAsia="en-GB"/>
        </w:rPr>
        <w:t>each</w:t>
      </w:r>
      <w:r w:rsidRPr="005D58CB">
        <w:rPr>
          <w:lang w:eastAsia="en-GB"/>
        </w:rPr>
        <w:t xml:space="preserve"> AE </w:t>
      </w:r>
      <w:r w:rsidRPr="00057743">
        <w:rPr>
          <w:lang w:eastAsia="en-GB"/>
        </w:rPr>
        <w:t xml:space="preserve">were </w:t>
      </w:r>
      <w:r w:rsidRPr="005D58CB">
        <w:rPr>
          <w:lang w:eastAsia="en-GB"/>
        </w:rPr>
        <w:t xml:space="preserve">sourced from published literature </w:t>
      </w:r>
      <w:r w:rsidRPr="00057743">
        <w:rPr>
          <w:lang w:eastAsia="en-GB"/>
        </w:rPr>
        <w:t xml:space="preserve">and are presented in </w:t>
      </w:r>
      <w:r w:rsidRPr="003C648C">
        <w:rPr>
          <w:b/>
          <w:bCs/>
          <w:lang w:eastAsia="en-GB"/>
        </w:rPr>
        <w:fldChar w:fldCharType="begin"/>
      </w:r>
      <w:r w:rsidRPr="003C648C">
        <w:rPr>
          <w:b/>
          <w:bCs/>
          <w:lang w:eastAsia="en-GB"/>
        </w:rPr>
        <w:instrText xml:space="preserve"> REF _Ref97207214 \h </w:instrText>
      </w:r>
      <w:r w:rsidR="00BB06FD">
        <w:rPr>
          <w:b/>
          <w:bCs/>
          <w:lang w:eastAsia="en-GB"/>
        </w:rPr>
        <w:instrText xml:space="preserve"> \* MERGEFORMAT </w:instrText>
      </w:r>
      <w:r w:rsidRPr="003C648C">
        <w:rPr>
          <w:b/>
          <w:bCs/>
          <w:lang w:eastAsia="en-GB"/>
        </w:rPr>
      </w:r>
      <w:r w:rsidRPr="003C648C">
        <w:rPr>
          <w:b/>
          <w:bCs/>
          <w:lang w:eastAsia="en-GB"/>
        </w:rPr>
        <w:fldChar w:fldCharType="separate"/>
      </w:r>
      <w:r w:rsidR="00145F42" w:rsidRPr="00145F42">
        <w:rPr>
          <w:b/>
          <w:bCs/>
        </w:rPr>
        <w:t xml:space="preserve">Table </w:t>
      </w:r>
      <w:r w:rsidR="00145F42" w:rsidRPr="00145F42">
        <w:rPr>
          <w:b/>
          <w:bCs/>
          <w:noProof/>
        </w:rPr>
        <w:t>50</w:t>
      </w:r>
      <w:r w:rsidRPr="003C648C">
        <w:rPr>
          <w:b/>
          <w:bCs/>
          <w:lang w:eastAsia="en-GB"/>
        </w:rPr>
        <w:fldChar w:fldCharType="end"/>
      </w:r>
      <w:r w:rsidRPr="00057743">
        <w:rPr>
          <w:lang w:eastAsia="en-GB"/>
        </w:rPr>
        <w:t xml:space="preserve">. The </w:t>
      </w:r>
      <w:r w:rsidRPr="005D58CB">
        <w:rPr>
          <w:lang w:eastAsia="en-GB"/>
        </w:rPr>
        <w:t xml:space="preserve">incidence </w:t>
      </w:r>
      <w:r w:rsidRPr="00057743">
        <w:rPr>
          <w:lang w:eastAsia="en-GB"/>
        </w:rPr>
        <w:t xml:space="preserve">of AEs in both arms were obtained from DESTINY-Breast04 as outlined in Section </w:t>
      </w:r>
      <w:r w:rsidRPr="00057743">
        <w:rPr>
          <w:lang w:eastAsia="en-GB"/>
        </w:rPr>
        <w:fldChar w:fldCharType="begin"/>
      </w:r>
      <w:r w:rsidRPr="00057743">
        <w:rPr>
          <w:lang w:eastAsia="en-GB"/>
        </w:rPr>
        <w:instrText xml:space="preserve"> REF _Ref99728242 \r \h </w:instrText>
      </w:r>
      <w:r w:rsidRPr="00057743">
        <w:rPr>
          <w:lang w:eastAsia="en-GB"/>
        </w:rPr>
      </w:r>
      <w:r w:rsidRPr="00057743">
        <w:rPr>
          <w:lang w:eastAsia="en-GB"/>
        </w:rPr>
        <w:fldChar w:fldCharType="separate"/>
      </w:r>
      <w:r w:rsidR="00145F42">
        <w:rPr>
          <w:lang w:eastAsia="en-GB"/>
        </w:rPr>
        <w:t>B.3.3.2.3</w:t>
      </w:r>
      <w:r w:rsidRPr="00057743">
        <w:rPr>
          <w:lang w:eastAsia="en-GB"/>
        </w:rPr>
        <w:fldChar w:fldCharType="end"/>
      </w:r>
      <w:r w:rsidRPr="00057743">
        <w:rPr>
          <w:lang w:eastAsia="en-GB"/>
        </w:rPr>
        <w:t>.</w:t>
      </w:r>
    </w:p>
    <w:p w14:paraId="627D08B5" w14:textId="0C77C544" w:rsidR="00724A2B" w:rsidRPr="00057743" w:rsidRDefault="00724A2B" w:rsidP="00724A2B">
      <w:pPr>
        <w:pStyle w:val="Caption"/>
      </w:pPr>
      <w:bookmarkStart w:id="645" w:name="_Ref97207214"/>
      <w:bookmarkStart w:id="646" w:name="_Toc98924758"/>
      <w:bookmarkStart w:id="647" w:name="_Toc127006680"/>
      <w:bookmarkStart w:id="648" w:name="_Toc129351025"/>
      <w:r w:rsidRPr="00057743">
        <w:t xml:space="preserve">Table </w:t>
      </w:r>
      <w:r w:rsidRPr="00057743">
        <w:fldChar w:fldCharType="begin"/>
      </w:r>
      <w:r w:rsidRPr="00057743">
        <w:instrText>SEQ Table \* ARABIC</w:instrText>
      </w:r>
      <w:r w:rsidRPr="00057743">
        <w:fldChar w:fldCharType="separate"/>
      </w:r>
      <w:r w:rsidR="00145F42">
        <w:rPr>
          <w:noProof/>
        </w:rPr>
        <w:t>50</w:t>
      </w:r>
      <w:r w:rsidRPr="00057743">
        <w:fldChar w:fldCharType="end"/>
      </w:r>
      <w:bookmarkEnd w:id="644"/>
      <w:bookmarkEnd w:id="645"/>
      <w:r w:rsidRPr="00057743">
        <w:t>: Disutilities for adverse events</w:t>
      </w:r>
      <w:bookmarkEnd w:id="646"/>
      <w:bookmarkEnd w:id="647"/>
      <w:bookmarkEnd w:id="648"/>
    </w:p>
    <w:tbl>
      <w:tblPr>
        <w:tblStyle w:val="TableGrid"/>
        <w:tblW w:w="4992" w:type="pct"/>
        <w:tblLayout w:type="fixed"/>
        <w:tblLook w:val="04A0" w:firstRow="1" w:lastRow="0" w:firstColumn="1" w:lastColumn="0" w:noHBand="0" w:noVBand="1"/>
      </w:tblPr>
      <w:tblGrid>
        <w:gridCol w:w="2270"/>
        <w:gridCol w:w="1692"/>
        <w:gridCol w:w="1702"/>
        <w:gridCol w:w="1655"/>
        <w:gridCol w:w="1684"/>
      </w:tblGrid>
      <w:tr w:rsidR="00724A2B" w:rsidRPr="00057743" w14:paraId="5DAE395B" w14:textId="77777777" w:rsidTr="003A3F1B">
        <w:trPr>
          <w:trHeight w:val="812"/>
        </w:trPr>
        <w:tc>
          <w:tcPr>
            <w:tcW w:w="1261" w:type="pct"/>
            <w:shd w:val="clear" w:color="auto" w:fill="D9D9D9" w:themeFill="background1" w:themeFillShade="D9"/>
            <w:vAlign w:val="center"/>
          </w:tcPr>
          <w:p w14:paraId="71C3FDEA" w14:textId="77777777" w:rsidR="00724A2B" w:rsidRPr="005D58CB" w:rsidRDefault="00724A2B">
            <w:pPr>
              <w:pStyle w:val="NICETableHeader"/>
              <w:keepNext w:val="0"/>
              <w:spacing w:after="0"/>
              <w:jc w:val="center"/>
              <w:rPr>
                <w:szCs w:val="20"/>
              </w:rPr>
            </w:pPr>
            <w:r w:rsidRPr="008430B1">
              <w:rPr>
                <w:szCs w:val="20"/>
              </w:rPr>
              <w:t>Adverse event</w:t>
            </w:r>
          </w:p>
        </w:tc>
        <w:tc>
          <w:tcPr>
            <w:tcW w:w="940" w:type="pct"/>
            <w:shd w:val="clear" w:color="auto" w:fill="D9D9D9" w:themeFill="background1" w:themeFillShade="D9"/>
            <w:vAlign w:val="center"/>
          </w:tcPr>
          <w:p w14:paraId="06F0E502" w14:textId="77777777" w:rsidR="00724A2B" w:rsidRPr="005D58CB" w:rsidRDefault="00724A2B">
            <w:pPr>
              <w:pStyle w:val="NICETableHeader"/>
              <w:keepNext w:val="0"/>
              <w:spacing w:after="0"/>
              <w:jc w:val="center"/>
              <w:rPr>
                <w:szCs w:val="20"/>
              </w:rPr>
            </w:pPr>
            <w:r w:rsidRPr="005D58CB">
              <w:rPr>
                <w:szCs w:val="20"/>
              </w:rPr>
              <w:t>Utility decrement</w:t>
            </w:r>
          </w:p>
        </w:tc>
        <w:tc>
          <w:tcPr>
            <w:tcW w:w="945" w:type="pct"/>
            <w:shd w:val="clear" w:color="auto" w:fill="D9D9D9" w:themeFill="background1" w:themeFillShade="D9"/>
            <w:vAlign w:val="center"/>
          </w:tcPr>
          <w:p w14:paraId="628E3FE3" w14:textId="77777777" w:rsidR="00724A2B" w:rsidRPr="008430B1" w:rsidRDefault="00724A2B">
            <w:pPr>
              <w:pStyle w:val="NICETableHeader"/>
              <w:keepNext w:val="0"/>
              <w:spacing w:after="0"/>
              <w:jc w:val="center"/>
              <w:rPr>
                <w:szCs w:val="20"/>
              </w:rPr>
            </w:pPr>
            <w:r w:rsidRPr="008430B1">
              <w:rPr>
                <w:szCs w:val="20"/>
              </w:rPr>
              <w:t>Duration (days)</w:t>
            </w:r>
          </w:p>
        </w:tc>
        <w:tc>
          <w:tcPr>
            <w:tcW w:w="919" w:type="pct"/>
            <w:shd w:val="clear" w:color="auto" w:fill="D9D9D9" w:themeFill="background1" w:themeFillShade="D9"/>
            <w:vAlign w:val="center"/>
          </w:tcPr>
          <w:p w14:paraId="0635D038" w14:textId="77777777" w:rsidR="00724A2B" w:rsidRPr="008430B1" w:rsidRDefault="00724A2B">
            <w:pPr>
              <w:pStyle w:val="NICETableHeader"/>
              <w:keepNext w:val="0"/>
              <w:spacing w:after="0"/>
              <w:jc w:val="center"/>
              <w:rPr>
                <w:szCs w:val="20"/>
              </w:rPr>
            </w:pPr>
            <w:r w:rsidRPr="008430B1">
              <w:rPr>
                <w:szCs w:val="20"/>
              </w:rPr>
              <w:t>Source (disutility)</w:t>
            </w:r>
          </w:p>
        </w:tc>
        <w:tc>
          <w:tcPr>
            <w:tcW w:w="935" w:type="pct"/>
            <w:shd w:val="clear" w:color="auto" w:fill="D9D9D9" w:themeFill="background1" w:themeFillShade="D9"/>
            <w:vAlign w:val="center"/>
          </w:tcPr>
          <w:p w14:paraId="5981A545" w14:textId="77777777" w:rsidR="00724A2B" w:rsidRPr="008430B1" w:rsidRDefault="00724A2B">
            <w:pPr>
              <w:pStyle w:val="NICETableHeader"/>
              <w:keepNext w:val="0"/>
              <w:spacing w:after="0"/>
              <w:jc w:val="center"/>
              <w:rPr>
                <w:szCs w:val="20"/>
              </w:rPr>
            </w:pPr>
            <w:r w:rsidRPr="008430B1">
              <w:rPr>
                <w:szCs w:val="20"/>
              </w:rPr>
              <w:t>Source (duration)</w:t>
            </w:r>
          </w:p>
        </w:tc>
      </w:tr>
      <w:tr w:rsidR="00724A2B" w:rsidRPr="00057743" w14:paraId="4DE068A7" w14:textId="77777777">
        <w:trPr>
          <w:trHeight w:val="605"/>
        </w:trPr>
        <w:tc>
          <w:tcPr>
            <w:tcW w:w="1261" w:type="pct"/>
            <w:shd w:val="clear" w:color="auto" w:fill="F2F2F2" w:themeFill="background1" w:themeFillShade="F2"/>
            <w:vAlign w:val="center"/>
          </w:tcPr>
          <w:p w14:paraId="7FDB4A78" w14:textId="77777777" w:rsidR="00724A2B" w:rsidRPr="005D58CB" w:rsidRDefault="00724A2B">
            <w:pPr>
              <w:pStyle w:val="NICETabletext"/>
              <w:keepNext w:val="0"/>
              <w:spacing w:after="0"/>
              <w:rPr>
                <w:szCs w:val="20"/>
              </w:rPr>
            </w:pPr>
            <w:r w:rsidRPr="008430B1">
              <w:rPr>
                <w:szCs w:val="20"/>
              </w:rPr>
              <w:t>Leukopenia</w:t>
            </w:r>
            <w:r w:rsidRPr="005D58CB">
              <w:rPr>
                <w:szCs w:val="20"/>
              </w:rPr>
              <w:t xml:space="preserve"> </w:t>
            </w:r>
          </w:p>
        </w:tc>
        <w:tc>
          <w:tcPr>
            <w:tcW w:w="940" w:type="pct"/>
            <w:vAlign w:val="center"/>
          </w:tcPr>
          <w:p w14:paraId="1AC4EBCF" w14:textId="77777777" w:rsidR="00724A2B" w:rsidRPr="008430B1" w:rsidRDefault="00724A2B">
            <w:pPr>
              <w:pStyle w:val="NICETabletext"/>
              <w:keepNext w:val="0"/>
              <w:spacing w:after="0"/>
              <w:jc w:val="center"/>
              <w:rPr>
                <w:szCs w:val="20"/>
              </w:rPr>
            </w:pPr>
            <w:r w:rsidRPr="008430B1">
              <w:rPr>
                <w:szCs w:val="20"/>
              </w:rPr>
              <w:t>-0.003</w:t>
            </w:r>
          </w:p>
        </w:tc>
        <w:tc>
          <w:tcPr>
            <w:tcW w:w="945" w:type="pct"/>
            <w:vAlign w:val="center"/>
          </w:tcPr>
          <w:p w14:paraId="0F9734C0" w14:textId="77777777" w:rsidR="00724A2B" w:rsidRPr="008430B1" w:rsidRDefault="00724A2B">
            <w:pPr>
              <w:pStyle w:val="NICETabletext"/>
              <w:keepNext w:val="0"/>
              <w:spacing w:after="0"/>
              <w:jc w:val="center"/>
            </w:pPr>
            <w:r w:rsidRPr="008430B1">
              <w:t>42.20</w:t>
            </w:r>
          </w:p>
        </w:tc>
        <w:tc>
          <w:tcPr>
            <w:tcW w:w="919" w:type="pct"/>
            <w:vMerge w:val="restart"/>
            <w:vAlign w:val="center"/>
          </w:tcPr>
          <w:p w14:paraId="36CF6758" w14:textId="055AF1E0" w:rsidR="00724A2B" w:rsidRPr="008430B1" w:rsidRDefault="00724A2B">
            <w:pPr>
              <w:pStyle w:val="NICETabletext"/>
              <w:keepNext w:val="0"/>
              <w:spacing w:after="0"/>
              <w:jc w:val="center"/>
            </w:pPr>
            <w:r w:rsidRPr="008430B1">
              <w:t>Hudgens (2014)</w:t>
            </w:r>
            <w:r w:rsidRPr="008430B1">
              <w:fldChar w:fldCharType="begin"/>
            </w:r>
            <w:r w:rsidR="00CA6345">
              <w:instrText xml:space="preserve"> ADDIN ZOTERO_ITEM CSL_CITATION {"citationID":"TZByy80O","properties":{"formattedCitation":"\\super 175\\nosupersub{}","plainCitation":"175","noteIndex":0},"citationItems":[{"id":66401,"uris":["http://zotero.org/groups/4797619/items/VZDPE5NG"],"itemData":{"id":66401,"type":"article-journal","abstract":"ABSTRACT\nAim: MBC is associated with significant worsening of health-related quality of life (HRQOL). HRQOL levels related to appetite loss, fatigue and physical functioning are significant independent factors associated with survival. Utility values for different stages of MBC and toxicities commonly associated with chemotherapy regimens are useful for health economic assessments. However, there are limited such data derived from clinical trials. Methods: In a phase 3, randomized study (N = 1102), median overall survival with ERI was 15.9 months vs 14.5 months for CAP (HR 0.88; P = 0.056) in MBC patients (pts) previously treated with anthracyclines and taxanes. Our post-hoc analysis used a published regression algorithm to convert the European Organization for Research and Treatment of Cancer questionnaire QLQ-C30 to the European QOL-5 Dimensions (EQ-5D) questionnaire (utility). Mean (SD) utility values were estimated for relevant health states: stable disease, tumor response, disease progression. Independent linear mixed-effects models adjusting for baseline health state predicted dis-utilities for the Grade 3/4 toxicities recorded in ≥2% of pts, and alopecia. Results: Observed mean (SD) baseline MBC utilities for ERI vs CAP were 0.704 (0.228) vs 0.691 (0.238); consistent with published values. Tumor response was associated with utility improvement: ERI vs CAP, 0.780 (0.194) vs 0.783 (0.185). Disease progression led to a detrimental utility change in CAP pts (ERI vs CAP: 0.705 vs 0.651). The following toxicities were associated with statistically significant reductions in utility vs no toxicity: vomiting (0.05 [SE = 0.02]), fatigue/asthenia (0.03 [0.01]) and dyspnea (0.03 [0.01]), all P &lt; 0.001. Alopecia was not associated with decrement in HRQOL. Conclusions: There is limited information on assessing the impact of MBC treatment using EQ-5D utilities. Mapping health state utility from the QLQ-C30, in the absence of EQ-5D data, offers valuable perspective on the reduction in HRQOL associated with disease progression and treatment toxicity. Disclosure: S. Hudgens: Clinical Outcomes Solutions conducted Eisai-sponsored quality of life post hoc analysis through funding by Eisai; A. Briggs: I have received consultancy payments from Eisai; G. Velikova: I have acted as a consultant to Eisai in 2013 advising them on the methodology for QoL analysis. I have prepared and presented one training session in 2013. I was paid for my consultancy time and the travel from Leeds, UK to Chicago, IL, USA; A. Forsythe: Anna Forsythe is an employee of Eisai; S. McCutcheon: Susan McCutcheon is an employee of Eisai. All other authors have declared no conflicts of interest.","container-title":"Abstract Book of the 39th ESMO Congress (ESMO 2014) Madrid, Spain 26 – 30 September 2014","DOI":"10.1093/annonc/mdu341.10","ISSN":"0923-7534","journalAbbreviation":"Annals of Oncology","page":"iv360","title":"1046P - Impact of Treatment with Eribulin (Eri) or Capecitabine (Cap) for Metastatic Breast Cancer (Mbc) on Eq–5D Utility Derived from Eortc Qlq–C30","volume":"25","author":[{"family":"Hudgens","given":"S."},{"family":"Briggs","given":"A."},{"family":"Velikova","given":"G."},{"family":"Forsythe","given":"A."},{"family":"McCutcheon","given":"S."},{"family":"Kind","given":"P."}],"issued":{"date-parts":[["2014",9,1]]}}}],"schema":"https://github.com/citation-style-language/schema/raw/master/csl-citation.json"} </w:instrText>
            </w:r>
            <w:r w:rsidRPr="008430B1">
              <w:fldChar w:fldCharType="separate"/>
            </w:r>
            <w:r w:rsidR="00CA6345" w:rsidRPr="00CA6345">
              <w:rPr>
                <w:rFonts w:cs="Arial"/>
                <w:vertAlign w:val="superscript"/>
              </w:rPr>
              <w:t>175</w:t>
            </w:r>
            <w:r w:rsidRPr="008430B1">
              <w:fldChar w:fldCharType="end"/>
            </w:r>
          </w:p>
        </w:tc>
        <w:tc>
          <w:tcPr>
            <w:tcW w:w="935" w:type="pct"/>
            <w:vMerge w:val="restart"/>
            <w:vAlign w:val="center"/>
          </w:tcPr>
          <w:p w14:paraId="4DBC5A48" w14:textId="73FD629E" w:rsidR="00724A2B" w:rsidRPr="008430B1" w:rsidRDefault="00724A2B">
            <w:pPr>
              <w:pStyle w:val="NICETabletext"/>
              <w:spacing w:after="0"/>
              <w:jc w:val="center"/>
            </w:pPr>
            <w:r w:rsidRPr="008430B1">
              <w:rPr>
                <w:szCs w:val="20"/>
              </w:rPr>
              <w:t>TA704</w:t>
            </w:r>
            <w:r w:rsidRPr="008430B1">
              <w:rPr>
                <w:szCs w:val="20"/>
              </w:rPr>
              <w:fldChar w:fldCharType="begin"/>
            </w:r>
            <w:r w:rsidR="00CA6345">
              <w:rPr>
                <w:szCs w:val="20"/>
              </w:rPr>
              <w:instrText xml:space="preserve"> ADDIN ZOTERO_ITEM CSL_CITATION {"citationID":"6cNxucGB","properties":{"formattedCitation":"\\super 4\\nosupersub{}","plainCitation":"4","noteIndex":0},"citationItems":[{"id":65878,"uris":["http://zotero.org/groups/4797619/items/ESRZZTT8"],"itemData":{"id":65878,"type":"webpage","abstract":"Evidence-based recommendations on trastuzumab deruxtecan (Enhertu) for treating HER2-positive unresectable or metastatic breast cancer in adults after 2 or more","language":"eng","note":"publisher: NICE","title":"Trastuzumab deruxtecan for treating HER2-positive unresectable or metastatic breast cancer after 2 or more anti-HER2 therapies | NICE [TA704]","URL":"https://www.nice.org.uk/guidance/ta704","author":[{"family":"NICE","given":""}],"accessed":{"date-parts":[["2022",9,29]]}}}],"schema":"https://github.com/citation-style-language/schema/raw/master/csl-citation.json"} </w:instrText>
            </w:r>
            <w:r w:rsidRPr="008430B1">
              <w:rPr>
                <w:szCs w:val="20"/>
              </w:rPr>
              <w:fldChar w:fldCharType="separate"/>
            </w:r>
            <w:r w:rsidR="00FD57F4" w:rsidRPr="00FD57F4">
              <w:rPr>
                <w:rFonts w:cs="Arial"/>
                <w:vertAlign w:val="superscript"/>
              </w:rPr>
              <w:t>4</w:t>
            </w:r>
            <w:r w:rsidRPr="008430B1">
              <w:rPr>
                <w:szCs w:val="20"/>
              </w:rPr>
              <w:fldChar w:fldCharType="end"/>
            </w:r>
            <w:r w:rsidRPr="008430B1">
              <w:rPr>
                <w:szCs w:val="20"/>
              </w:rPr>
              <w:t xml:space="preserve"> and </w:t>
            </w:r>
            <w:r w:rsidRPr="005D58CB">
              <w:t>TA862</w:t>
            </w:r>
            <w:r w:rsidRPr="005D58CB">
              <w:rPr>
                <w:szCs w:val="20"/>
                <w:lang w:eastAsia="en-GB"/>
              </w:rPr>
              <w:fldChar w:fldCharType="begin"/>
            </w:r>
            <w:r w:rsidR="00CA6345">
              <w:rPr>
                <w:szCs w:val="20"/>
                <w:lang w:eastAsia="en-GB"/>
              </w:rPr>
              <w:instrText xml:space="preserve"> ADDIN ZOTERO_ITEM CSL_CITATION {"citationID":"4VVECG4K","properties":{"formattedCitation":"\\super 5\\nosupersub{}","plainCitation":"5","noteIndex":0},"citationItems":[{"id":66214,"uris":["http://zotero.org/groups/4797619/items/H2PQC2GH"],"itemData":{"id":66214,"type":"webpage","abstract":"Trastuzumab deruxtecan for treating HER2-positive unresectable or metastatic breast cancer after trastuzumab and a taxane [TA862]","language":"eng","note":"publisher: NICE","title":"Trastuzumab deruxtecan for treating HER2-positive unresectable or metastatic breast cancer after 1 or more anti-HER2 therapies | NICE [TA862]","URL":"https://www.nice.org.uk/guidance/indevelopment/gid-ta10804/documents","author":[{"family":"NICE","given":""}],"accessed":{"date-parts":[["2023",2,5]]},"issued":{"date-parts":[["2023",2]]}}}],"schema":"https://github.com/citation-style-language/schema/raw/master/csl-citation.json"} </w:instrText>
            </w:r>
            <w:r w:rsidRPr="005D58CB">
              <w:rPr>
                <w:szCs w:val="20"/>
                <w:lang w:eastAsia="en-GB"/>
              </w:rPr>
              <w:fldChar w:fldCharType="separate"/>
            </w:r>
            <w:r w:rsidR="00FD57F4" w:rsidRPr="00FD57F4">
              <w:rPr>
                <w:rFonts w:cs="Arial"/>
                <w:vertAlign w:val="superscript"/>
              </w:rPr>
              <w:t>5</w:t>
            </w:r>
            <w:r w:rsidRPr="005D58CB">
              <w:rPr>
                <w:szCs w:val="20"/>
                <w:lang w:eastAsia="en-GB"/>
              </w:rPr>
              <w:fldChar w:fldCharType="end"/>
            </w:r>
          </w:p>
        </w:tc>
      </w:tr>
      <w:tr w:rsidR="00724A2B" w:rsidRPr="002B7B01" w14:paraId="26FDC0C2" w14:textId="77777777">
        <w:trPr>
          <w:trHeight w:val="605"/>
        </w:trPr>
        <w:tc>
          <w:tcPr>
            <w:tcW w:w="1261" w:type="pct"/>
            <w:shd w:val="clear" w:color="auto" w:fill="F2F2F2" w:themeFill="background1" w:themeFillShade="F2"/>
            <w:vAlign w:val="center"/>
          </w:tcPr>
          <w:p w14:paraId="351BA91B" w14:textId="77777777" w:rsidR="00724A2B" w:rsidRPr="005D58CB" w:rsidRDefault="00724A2B">
            <w:pPr>
              <w:pStyle w:val="NICETabletext"/>
              <w:keepNext w:val="0"/>
              <w:spacing w:after="0"/>
              <w:rPr>
                <w:szCs w:val="20"/>
              </w:rPr>
            </w:pPr>
            <w:r w:rsidRPr="008430B1">
              <w:rPr>
                <w:szCs w:val="20"/>
              </w:rPr>
              <w:t>Anaemia</w:t>
            </w:r>
          </w:p>
        </w:tc>
        <w:tc>
          <w:tcPr>
            <w:tcW w:w="940" w:type="pct"/>
            <w:vAlign w:val="center"/>
          </w:tcPr>
          <w:p w14:paraId="013353DE" w14:textId="77777777" w:rsidR="00724A2B" w:rsidRPr="008430B1" w:rsidRDefault="00724A2B">
            <w:pPr>
              <w:pStyle w:val="NICETabletext"/>
              <w:keepNext w:val="0"/>
              <w:spacing w:after="0"/>
              <w:jc w:val="center"/>
              <w:rPr>
                <w:szCs w:val="20"/>
                <w:highlight w:val="cyan"/>
              </w:rPr>
            </w:pPr>
            <w:r w:rsidRPr="008430B1">
              <w:rPr>
                <w:szCs w:val="20"/>
              </w:rPr>
              <w:t>-0.010</w:t>
            </w:r>
          </w:p>
        </w:tc>
        <w:tc>
          <w:tcPr>
            <w:tcW w:w="945" w:type="pct"/>
            <w:vAlign w:val="center"/>
          </w:tcPr>
          <w:p w14:paraId="29252412" w14:textId="77777777" w:rsidR="00724A2B" w:rsidRPr="008430B1" w:rsidRDefault="00724A2B">
            <w:pPr>
              <w:pStyle w:val="NICETabletext"/>
              <w:keepNext w:val="0"/>
              <w:spacing w:after="0"/>
              <w:jc w:val="center"/>
              <w:rPr>
                <w:szCs w:val="20"/>
              </w:rPr>
            </w:pPr>
            <w:r w:rsidRPr="008430B1">
              <w:rPr>
                <w:szCs w:val="20"/>
              </w:rPr>
              <w:t>42.90</w:t>
            </w:r>
          </w:p>
        </w:tc>
        <w:tc>
          <w:tcPr>
            <w:tcW w:w="919" w:type="pct"/>
            <w:vMerge/>
            <w:vAlign w:val="center"/>
          </w:tcPr>
          <w:p w14:paraId="10E597C4" w14:textId="77777777" w:rsidR="00724A2B" w:rsidRPr="005D58CB" w:rsidRDefault="00724A2B">
            <w:pPr>
              <w:pStyle w:val="NICETabletext"/>
              <w:keepNext w:val="0"/>
              <w:spacing w:after="0"/>
              <w:jc w:val="center"/>
              <w:rPr>
                <w:szCs w:val="20"/>
              </w:rPr>
            </w:pPr>
          </w:p>
        </w:tc>
        <w:tc>
          <w:tcPr>
            <w:tcW w:w="935" w:type="pct"/>
            <w:vMerge/>
            <w:vAlign w:val="center"/>
          </w:tcPr>
          <w:p w14:paraId="52FBF549" w14:textId="77777777" w:rsidR="00724A2B" w:rsidRPr="005D58CB" w:rsidRDefault="00724A2B">
            <w:pPr>
              <w:pStyle w:val="NICETabletext"/>
              <w:keepNext w:val="0"/>
              <w:spacing w:after="0"/>
              <w:jc w:val="center"/>
              <w:rPr>
                <w:szCs w:val="20"/>
              </w:rPr>
            </w:pPr>
          </w:p>
        </w:tc>
      </w:tr>
      <w:tr w:rsidR="00724A2B" w:rsidRPr="002B7B01" w14:paraId="7DC3B420" w14:textId="77777777">
        <w:trPr>
          <w:trHeight w:val="605"/>
        </w:trPr>
        <w:tc>
          <w:tcPr>
            <w:tcW w:w="1261" w:type="pct"/>
            <w:shd w:val="clear" w:color="auto" w:fill="F2F2F2" w:themeFill="background1" w:themeFillShade="F2"/>
            <w:vAlign w:val="center"/>
          </w:tcPr>
          <w:p w14:paraId="6FD89C5A" w14:textId="77777777" w:rsidR="00724A2B" w:rsidRPr="005D58CB" w:rsidRDefault="00724A2B">
            <w:pPr>
              <w:pStyle w:val="NICETabletext"/>
              <w:keepNext w:val="0"/>
              <w:spacing w:after="0"/>
              <w:rPr>
                <w:szCs w:val="20"/>
              </w:rPr>
            </w:pPr>
            <w:r w:rsidRPr="008430B1">
              <w:rPr>
                <w:szCs w:val="20"/>
              </w:rPr>
              <w:t>Neutropenia</w:t>
            </w:r>
          </w:p>
        </w:tc>
        <w:tc>
          <w:tcPr>
            <w:tcW w:w="940" w:type="pct"/>
            <w:vAlign w:val="center"/>
          </w:tcPr>
          <w:p w14:paraId="63F32CA4" w14:textId="77777777" w:rsidR="00724A2B" w:rsidRPr="008430B1" w:rsidRDefault="00724A2B">
            <w:pPr>
              <w:pStyle w:val="NICETabletext"/>
              <w:keepNext w:val="0"/>
              <w:spacing w:after="0"/>
              <w:jc w:val="center"/>
              <w:rPr>
                <w:szCs w:val="20"/>
              </w:rPr>
            </w:pPr>
            <w:r w:rsidRPr="008430B1">
              <w:rPr>
                <w:szCs w:val="20"/>
              </w:rPr>
              <w:t>-0.007</w:t>
            </w:r>
          </w:p>
        </w:tc>
        <w:tc>
          <w:tcPr>
            <w:tcW w:w="945" w:type="pct"/>
            <w:vAlign w:val="center"/>
          </w:tcPr>
          <w:p w14:paraId="03048AD7" w14:textId="77777777" w:rsidR="00724A2B" w:rsidRPr="008430B1" w:rsidRDefault="00724A2B">
            <w:pPr>
              <w:pStyle w:val="NICETabletext"/>
              <w:keepNext w:val="0"/>
              <w:spacing w:after="0"/>
              <w:jc w:val="center"/>
              <w:rPr>
                <w:szCs w:val="20"/>
              </w:rPr>
            </w:pPr>
            <w:r w:rsidRPr="008430B1">
              <w:rPr>
                <w:szCs w:val="20"/>
              </w:rPr>
              <w:t>40.10</w:t>
            </w:r>
          </w:p>
        </w:tc>
        <w:tc>
          <w:tcPr>
            <w:tcW w:w="919" w:type="pct"/>
            <w:vMerge/>
            <w:vAlign w:val="center"/>
          </w:tcPr>
          <w:p w14:paraId="604F05DD" w14:textId="77777777" w:rsidR="00724A2B" w:rsidRPr="005D58CB" w:rsidRDefault="00724A2B">
            <w:pPr>
              <w:pStyle w:val="NICETabletext"/>
              <w:keepNext w:val="0"/>
              <w:spacing w:after="0"/>
              <w:jc w:val="center"/>
              <w:rPr>
                <w:szCs w:val="20"/>
              </w:rPr>
            </w:pPr>
          </w:p>
        </w:tc>
        <w:tc>
          <w:tcPr>
            <w:tcW w:w="935" w:type="pct"/>
            <w:vMerge/>
            <w:vAlign w:val="center"/>
          </w:tcPr>
          <w:p w14:paraId="52A0CC1F" w14:textId="77777777" w:rsidR="00724A2B" w:rsidRPr="005D58CB" w:rsidRDefault="00724A2B">
            <w:pPr>
              <w:pStyle w:val="NICETabletext"/>
              <w:keepNext w:val="0"/>
              <w:spacing w:after="0"/>
              <w:jc w:val="center"/>
              <w:rPr>
                <w:szCs w:val="20"/>
              </w:rPr>
            </w:pPr>
          </w:p>
        </w:tc>
      </w:tr>
      <w:tr w:rsidR="00724A2B" w:rsidRPr="002B7B01" w14:paraId="4389E13E" w14:textId="77777777">
        <w:trPr>
          <w:trHeight w:val="605"/>
        </w:trPr>
        <w:tc>
          <w:tcPr>
            <w:tcW w:w="1261" w:type="pct"/>
            <w:shd w:val="clear" w:color="auto" w:fill="F2F2F2" w:themeFill="background1" w:themeFillShade="F2"/>
            <w:vAlign w:val="center"/>
          </w:tcPr>
          <w:p w14:paraId="57E21AEC" w14:textId="77777777" w:rsidR="00724A2B" w:rsidRPr="005D58CB" w:rsidRDefault="00724A2B">
            <w:pPr>
              <w:pStyle w:val="NICETabletext"/>
              <w:keepNext w:val="0"/>
              <w:spacing w:after="0"/>
              <w:rPr>
                <w:szCs w:val="20"/>
              </w:rPr>
            </w:pPr>
            <w:r w:rsidRPr="008430B1">
              <w:rPr>
                <w:szCs w:val="20"/>
              </w:rPr>
              <w:t xml:space="preserve">Thrombocytopenia </w:t>
            </w:r>
          </w:p>
        </w:tc>
        <w:tc>
          <w:tcPr>
            <w:tcW w:w="940" w:type="pct"/>
            <w:vAlign w:val="center"/>
          </w:tcPr>
          <w:p w14:paraId="182FADC6" w14:textId="77777777" w:rsidR="00724A2B" w:rsidRPr="008430B1" w:rsidRDefault="00724A2B">
            <w:pPr>
              <w:pStyle w:val="NICETabletext"/>
              <w:keepNext w:val="0"/>
              <w:spacing w:after="0"/>
              <w:jc w:val="center"/>
              <w:rPr>
                <w:szCs w:val="20"/>
              </w:rPr>
            </w:pPr>
            <w:r w:rsidRPr="008430B1">
              <w:rPr>
                <w:szCs w:val="20"/>
              </w:rPr>
              <w:t>-0.066</w:t>
            </w:r>
          </w:p>
        </w:tc>
        <w:tc>
          <w:tcPr>
            <w:tcW w:w="945" w:type="pct"/>
            <w:vAlign w:val="center"/>
          </w:tcPr>
          <w:p w14:paraId="782A36D4" w14:textId="77777777" w:rsidR="00724A2B" w:rsidRPr="008430B1" w:rsidRDefault="00724A2B">
            <w:pPr>
              <w:pStyle w:val="NICETabletext"/>
              <w:keepNext w:val="0"/>
              <w:spacing w:after="0"/>
              <w:jc w:val="center"/>
              <w:rPr>
                <w:szCs w:val="20"/>
              </w:rPr>
            </w:pPr>
            <w:r w:rsidRPr="008430B1">
              <w:rPr>
                <w:szCs w:val="20"/>
              </w:rPr>
              <w:t>42.20</w:t>
            </w:r>
          </w:p>
        </w:tc>
        <w:tc>
          <w:tcPr>
            <w:tcW w:w="919" w:type="pct"/>
            <w:vAlign w:val="center"/>
          </w:tcPr>
          <w:p w14:paraId="0686622C" w14:textId="1067688C" w:rsidR="00724A2B" w:rsidRPr="005D58CB" w:rsidRDefault="00724A2B">
            <w:pPr>
              <w:pStyle w:val="NICETabletext"/>
              <w:keepNext w:val="0"/>
              <w:spacing w:after="0"/>
              <w:jc w:val="center"/>
              <w:rPr>
                <w:szCs w:val="20"/>
              </w:rPr>
            </w:pPr>
            <w:r w:rsidRPr="005D58CB">
              <w:rPr>
                <w:szCs w:val="20"/>
              </w:rPr>
              <w:t>TA786</w:t>
            </w:r>
            <w:r w:rsidRPr="005D58CB">
              <w:rPr>
                <w:szCs w:val="20"/>
              </w:rPr>
              <w:fldChar w:fldCharType="begin"/>
            </w:r>
            <w:r w:rsidR="00CA6345">
              <w:rPr>
                <w:szCs w:val="20"/>
              </w:rPr>
              <w:instrText xml:space="preserve"> ADDIN ZOTERO_ITEM CSL_CITATION {"citationID":"Sd5aLjI8","properties":{"formattedCitation":"\\super 70\\nosupersub{}","plainCitation":"70","noteIndex":0},"citationItems":[{"id":66197,"uris":["http://zotero.org/groups/4797619/items/IHG3AZAS"],"itemData":{"id":66197,"type":"webpage","abstract":"Evidence-based recommendations on tucatinib (TUKYSA) for HER2-positive locally advanced or metastatic breast cancer in adults after 2 or more anti-HER2 treatment therapies","language":"eng","note":"publisher: NICE","title":"Tucatinib with trastuzumab and capecitabine for treating HER2-positive advanced breast cancer after 2 or more anti-HER2 therapies | NICE [TA786]","URL":"https://www.nice.org.uk/guidance/ta786","author":[{"family":"NICE","given":""}],"accessed":{"date-parts":[["2022",11,29]]}}}],"schema":"https://github.com/citation-style-language/schema/raw/master/csl-citation.json"} </w:instrText>
            </w:r>
            <w:r w:rsidRPr="005D58CB">
              <w:rPr>
                <w:szCs w:val="20"/>
              </w:rPr>
              <w:fldChar w:fldCharType="separate"/>
            </w:r>
            <w:r w:rsidR="00FD57F4" w:rsidRPr="00FD57F4">
              <w:rPr>
                <w:rFonts w:cs="Arial"/>
                <w:vertAlign w:val="superscript"/>
              </w:rPr>
              <w:t>70</w:t>
            </w:r>
            <w:r w:rsidRPr="005D58CB">
              <w:rPr>
                <w:szCs w:val="20"/>
              </w:rPr>
              <w:fldChar w:fldCharType="end"/>
            </w:r>
          </w:p>
        </w:tc>
        <w:tc>
          <w:tcPr>
            <w:tcW w:w="935" w:type="pct"/>
            <w:vAlign w:val="center"/>
          </w:tcPr>
          <w:p w14:paraId="6C70EEE6" w14:textId="3905B751" w:rsidR="00724A2B" w:rsidRPr="005D58CB" w:rsidRDefault="00724A2B">
            <w:pPr>
              <w:pStyle w:val="NICETabletext"/>
              <w:keepNext w:val="0"/>
              <w:spacing w:after="0"/>
              <w:jc w:val="center"/>
              <w:rPr>
                <w:szCs w:val="20"/>
              </w:rPr>
            </w:pPr>
            <w:r w:rsidRPr="005D58CB">
              <w:t>TA862</w:t>
            </w:r>
            <w:r w:rsidRPr="005D58CB">
              <w:rPr>
                <w:szCs w:val="20"/>
                <w:lang w:eastAsia="en-GB"/>
              </w:rPr>
              <w:fldChar w:fldCharType="begin"/>
            </w:r>
            <w:r w:rsidR="00CA6345">
              <w:rPr>
                <w:szCs w:val="20"/>
                <w:lang w:eastAsia="en-GB"/>
              </w:rPr>
              <w:instrText xml:space="preserve"> ADDIN ZOTERO_ITEM CSL_CITATION {"citationID":"JrHiGQ1X","properties":{"formattedCitation":"\\super 5\\nosupersub{}","plainCitation":"5","noteIndex":0},"citationItems":[{"id":66214,"uris":["http://zotero.org/groups/4797619/items/H2PQC2GH"],"itemData":{"id":66214,"type":"webpage","abstract":"Trastuzumab deruxtecan for treating HER2-positive unresectable or metastatic breast cancer after trastuzumab and a taxane [TA862]","language":"eng","note":"publisher: NICE","title":"Trastuzumab deruxtecan for treating HER2-positive unresectable or metastatic breast cancer after 1 or more anti-HER2 therapies | NICE [TA862]","URL":"https://www.nice.org.uk/guidance/indevelopment/gid-ta10804/documents","author":[{"family":"NICE","given":""}],"accessed":{"date-parts":[["2023",2,5]]},"issued":{"date-parts":[["2023",2]]}}}],"schema":"https://github.com/citation-style-language/schema/raw/master/csl-citation.json"} </w:instrText>
            </w:r>
            <w:r w:rsidRPr="005D58CB">
              <w:rPr>
                <w:szCs w:val="20"/>
                <w:lang w:eastAsia="en-GB"/>
              </w:rPr>
              <w:fldChar w:fldCharType="separate"/>
            </w:r>
            <w:r w:rsidR="00FD57F4" w:rsidRPr="00FD57F4">
              <w:rPr>
                <w:rFonts w:cs="Arial"/>
                <w:vertAlign w:val="superscript"/>
              </w:rPr>
              <w:t>5</w:t>
            </w:r>
            <w:r w:rsidRPr="005D58CB">
              <w:rPr>
                <w:szCs w:val="20"/>
                <w:lang w:eastAsia="en-GB"/>
              </w:rPr>
              <w:fldChar w:fldCharType="end"/>
            </w:r>
          </w:p>
        </w:tc>
      </w:tr>
      <w:tr w:rsidR="00724A2B" w:rsidRPr="002B7B01" w14:paraId="16FFF04A" w14:textId="77777777">
        <w:trPr>
          <w:trHeight w:val="605"/>
        </w:trPr>
        <w:tc>
          <w:tcPr>
            <w:tcW w:w="1261" w:type="pct"/>
            <w:shd w:val="clear" w:color="auto" w:fill="F2F2F2" w:themeFill="background1" w:themeFillShade="F2"/>
            <w:vAlign w:val="center"/>
          </w:tcPr>
          <w:p w14:paraId="1B92F2C0" w14:textId="77777777" w:rsidR="00724A2B" w:rsidRPr="005D58CB" w:rsidRDefault="00724A2B">
            <w:pPr>
              <w:pStyle w:val="NICETabletext"/>
              <w:keepNext w:val="0"/>
              <w:spacing w:after="0"/>
              <w:rPr>
                <w:szCs w:val="20"/>
              </w:rPr>
            </w:pPr>
            <w:r w:rsidRPr="008430B1">
              <w:rPr>
                <w:szCs w:val="20"/>
              </w:rPr>
              <w:t>Fatigue</w:t>
            </w:r>
          </w:p>
        </w:tc>
        <w:tc>
          <w:tcPr>
            <w:tcW w:w="940" w:type="pct"/>
            <w:vAlign w:val="center"/>
          </w:tcPr>
          <w:p w14:paraId="6F776073" w14:textId="77777777" w:rsidR="00724A2B" w:rsidRPr="008430B1" w:rsidRDefault="00724A2B">
            <w:pPr>
              <w:pStyle w:val="NICETabletext"/>
              <w:keepNext w:val="0"/>
              <w:spacing w:after="0"/>
              <w:jc w:val="center"/>
              <w:rPr>
                <w:szCs w:val="20"/>
              </w:rPr>
            </w:pPr>
            <w:r w:rsidRPr="008430B1">
              <w:rPr>
                <w:szCs w:val="20"/>
              </w:rPr>
              <w:t>-0.029</w:t>
            </w:r>
          </w:p>
        </w:tc>
        <w:tc>
          <w:tcPr>
            <w:tcW w:w="945" w:type="pct"/>
            <w:vAlign w:val="center"/>
          </w:tcPr>
          <w:p w14:paraId="51BC1E87" w14:textId="77777777" w:rsidR="00724A2B" w:rsidRPr="008430B1" w:rsidRDefault="00724A2B">
            <w:pPr>
              <w:pStyle w:val="NICETabletext"/>
              <w:keepNext w:val="0"/>
              <w:spacing w:after="0"/>
              <w:jc w:val="center"/>
              <w:rPr>
                <w:szCs w:val="20"/>
              </w:rPr>
            </w:pPr>
            <w:r w:rsidRPr="008430B1">
              <w:rPr>
                <w:szCs w:val="20"/>
              </w:rPr>
              <w:t>58.30</w:t>
            </w:r>
          </w:p>
        </w:tc>
        <w:tc>
          <w:tcPr>
            <w:tcW w:w="919" w:type="pct"/>
            <w:vAlign w:val="center"/>
          </w:tcPr>
          <w:p w14:paraId="38EBF989" w14:textId="082BFC1D" w:rsidR="00724A2B" w:rsidRPr="008430B1" w:rsidRDefault="00724A2B">
            <w:pPr>
              <w:pStyle w:val="NICETabletext"/>
              <w:keepNext w:val="0"/>
              <w:spacing w:after="0"/>
              <w:jc w:val="center"/>
              <w:rPr>
                <w:szCs w:val="20"/>
              </w:rPr>
            </w:pPr>
            <w:r w:rsidRPr="008430B1">
              <w:t>Hudgens (2014)</w:t>
            </w:r>
            <w:r w:rsidRPr="008430B1">
              <w:fldChar w:fldCharType="begin"/>
            </w:r>
            <w:r w:rsidR="00CA6345">
              <w:instrText xml:space="preserve"> ADDIN ZOTERO_ITEM CSL_CITATION {"citationID":"QGWISFzE","properties":{"formattedCitation":"\\super 175\\nosupersub{}","plainCitation":"175","noteIndex":0},"citationItems":[{"id":66401,"uris":["http://zotero.org/groups/4797619/items/VZDPE5NG"],"itemData":{"id":66401,"type":"article-journal","abstract":"ABSTRACT\nAim: MBC is associated with significant worsening of health-related quality of life (HRQOL). HRQOL levels related to appetite loss, fatigue and physical functioning are significant independent factors associated with survival. Utility values for different stages of MBC and toxicities commonly associated with chemotherapy regimens are useful for health economic assessments. However, there are limited such data derived from clinical trials. Methods: In a phase 3, randomized study (N = 1102), median overall survival with ERI was 15.9 months vs 14.5 months for CAP (HR 0.88; P = 0.056) in MBC patients (pts) previously treated with anthracyclines and taxanes. Our post-hoc analysis used a published regression algorithm to convert the European Organization for Research and Treatment of Cancer questionnaire QLQ-C30 to the European QOL-5 Dimensions (EQ-5D) questionnaire (utility). Mean (SD) utility values were estimated for relevant health states: stable disease, tumor response, disease progression. Independent linear mixed-effects models adjusting for baseline health state predicted dis-utilities for the Grade 3/4 toxicities recorded in ≥2% of pts, and alopecia. Results: Observed mean (SD) baseline MBC utilities for ERI vs CAP were 0.704 (0.228) vs 0.691 (0.238); consistent with published values. Tumor response was associated with utility improvement: ERI vs CAP, 0.780 (0.194) vs 0.783 (0.185). Disease progression led to a detrimental utility change in CAP pts (ERI vs CAP: 0.705 vs 0.651). The following toxicities were associated with statistically significant reductions in utility vs no toxicity: vomiting (0.05 [SE = 0.02]), fatigue/asthenia (0.03 [0.01]) and dyspnea (0.03 [0.01]), all P &lt; 0.001. Alopecia was not associated with decrement in HRQOL. Conclusions: There is limited information on assessing the impact of MBC treatment using EQ-5D utilities. Mapping health state utility from the QLQ-C30, in the absence of EQ-5D data, offers valuable perspective on the reduction in HRQOL associated with disease progression and treatment toxicity. Disclosure: S. Hudgens: Clinical Outcomes Solutions conducted Eisai-sponsored quality of life post hoc analysis through funding by Eisai; A. Briggs: I have received consultancy payments from Eisai; G. Velikova: I have acted as a consultant to Eisai in 2013 advising them on the methodology for QoL analysis. I have prepared and presented one training session in 2013. I was paid for my consultancy time and the travel from Leeds, UK to Chicago, IL, USA; A. Forsythe: Anna Forsythe is an employee of Eisai; S. McCutcheon: Susan McCutcheon is an employee of Eisai. All other authors have declared no conflicts of interest.","container-title":"Abstract Book of the 39th ESMO Congress (ESMO 2014) Madrid, Spain 26 – 30 September 2014","DOI":"10.1093/annonc/mdu341.10","ISSN":"0923-7534","journalAbbreviation":"Annals of Oncology","page":"iv360","title":"1046P - Impact of Treatment with Eribulin (Eri) or Capecitabine (Cap) for Metastatic Breast Cancer (Mbc) on Eq–5D Utility Derived from Eortc Qlq–C30","volume":"25","author":[{"family":"Hudgens","given":"S."},{"family":"Briggs","given":"A."},{"family":"Velikova","given":"G."},{"family":"Forsythe","given":"A."},{"family":"McCutcheon","given":"S."},{"family":"Kind","given":"P."}],"issued":{"date-parts":[["2014",9,1]]}}}],"schema":"https://github.com/citation-style-language/schema/raw/master/csl-citation.json"} </w:instrText>
            </w:r>
            <w:r w:rsidRPr="008430B1">
              <w:fldChar w:fldCharType="separate"/>
            </w:r>
            <w:r w:rsidR="00CA6345" w:rsidRPr="00CA6345">
              <w:rPr>
                <w:rFonts w:cs="Arial"/>
                <w:vertAlign w:val="superscript"/>
              </w:rPr>
              <w:t>175</w:t>
            </w:r>
            <w:r w:rsidRPr="008430B1">
              <w:fldChar w:fldCharType="end"/>
            </w:r>
          </w:p>
        </w:tc>
        <w:tc>
          <w:tcPr>
            <w:tcW w:w="935" w:type="pct"/>
            <w:vAlign w:val="center"/>
          </w:tcPr>
          <w:p w14:paraId="4FD0C41A" w14:textId="091365B6" w:rsidR="00724A2B" w:rsidRPr="008430B1" w:rsidRDefault="00724A2B">
            <w:pPr>
              <w:pStyle w:val="NICETabletext"/>
              <w:keepNext w:val="0"/>
              <w:spacing w:after="0"/>
              <w:jc w:val="center"/>
              <w:rPr>
                <w:szCs w:val="20"/>
              </w:rPr>
            </w:pPr>
            <w:r w:rsidRPr="008430B1">
              <w:rPr>
                <w:szCs w:val="20"/>
              </w:rPr>
              <w:t>TA704</w:t>
            </w:r>
            <w:r w:rsidRPr="008430B1">
              <w:rPr>
                <w:szCs w:val="20"/>
              </w:rPr>
              <w:fldChar w:fldCharType="begin"/>
            </w:r>
            <w:r w:rsidR="00CA6345">
              <w:rPr>
                <w:szCs w:val="20"/>
              </w:rPr>
              <w:instrText xml:space="preserve"> ADDIN ZOTERO_ITEM CSL_CITATION {"citationID":"ARbXtx5R","properties":{"formattedCitation":"\\super 4\\nosupersub{}","plainCitation":"4","noteIndex":0},"citationItems":[{"id":65878,"uris":["http://zotero.org/groups/4797619/items/ESRZZTT8"],"itemData":{"id":65878,"type":"webpage","abstract":"Evidence-based recommendations on trastuzumab deruxtecan (Enhertu) for treating HER2-positive unresectable or metastatic breast cancer in adults after 2 or more","language":"eng","note":"publisher: NICE","title":"Trastuzumab deruxtecan for treating HER2-positive unresectable or metastatic breast cancer after 2 or more anti-HER2 therapies | NICE [TA704]","URL":"https://www.nice.org.uk/guidance/ta704","author":[{"family":"NICE","given":""}],"accessed":{"date-parts":[["2022",9,29]]}}}],"schema":"https://github.com/citation-style-language/schema/raw/master/csl-citation.json"} </w:instrText>
            </w:r>
            <w:r w:rsidRPr="008430B1">
              <w:rPr>
                <w:szCs w:val="20"/>
              </w:rPr>
              <w:fldChar w:fldCharType="separate"/>
            </w:r>
            <w:r w:rsidR="00FD57F4" w:rsidRPr="00FD57F4">
              <w:rPr>
                <w:rFonts w:cs="Arial"/>
                <w:vertAlign w:val="superscript"/>
              </w:rPr>
              <w:t>4</w:t>
            </w:r>
            <w:r w:rsidRPr="008430B1">
              <w:rPr>
                <w:szCs w:val="20"/>
              </w:rPr>
              <w:fldChar w:fldCharType="end"/>
            </w:r>
            <w:r w:rsidRPr="008430B1">
              <w:rPr>
                <w:szCs w:val="20"/>
              </w:rPr>
              <w:t xml:space="preserve"> and </w:t>
            </w:r>
            <w:r w:rsidRPr="005D58CB">
              <w:t>TA862</w:t>
            </w:r>
            <w:r w:rsidRPr="005D58CB">
              <w:rPr>
                <w:szCs w:val="20"/>
                <w:lang w:eastAsia="en-GB"/>
              </w:rPr>
              <w:fldChar w:fldCharType="begin"/>
            </w:r>
            <w:r w:rsidR="00CA6345">
              <w:rPr>
                <w:szCs w:val="20"/>
                <w:lang w:eastAsia="en-GB"/>
              </w:rPr>
              <w:instrText xml:space="preserve"> ADDIN ZOTERO_ITEM CSL_CITATION {"citationID":"hoqKvTiL","properties":{"formattedCitation":"\\super 5\\nosupersub{}","plainCitation":"5","noteIndex":0},"citationItems":[{"id":66214,"uris":["http://zotero.org/groups/4797619/items/H2PQC2GH"],"itemData":{"id":66214,"type":"webpage","abstract":"Trastuzumab deruxtecan for treating HER2-positive unresectable or metastatic breast cancer after trastuzumab and a taxane [TA862]","language":"eng","note":"publisher: NICE","title":"Trastuzumab deruxtecan for treating HER2-positive unresectable or metastatic breast cancer after 1 or more anti-HER2 therapies | NICE [TA862]","URL":"https://www.nice.org.uk/guidance/indevelopment/gid-ta10804/documents","author":[{"family":"NICE","given":""}],"accessed":{"date-parts":[["2023",2,5]]},"issued":{"date-parts":[["2023",2]]}}}],"schema":"https://github.com/citation-style-language/schema/raw/master/csl-citation.json"} </w:instrText>
            </w:r>
            <w:r w:rsidRPr="005D58CB">
              <w:rPr>
                <w:szCs w:val="20"/>
                <w:lang w:eastAsia="en-GB"/>
              </w:rPr>
              <w:fldChar w:fldCharType="separate"/>
            </w:r>
            <w:r w:rsidR="00FD57F4" w:rsidRPr="00FD57F4">
              <w:rPr>
                <w:rFonts w:cs="Arial"/>
                <w:vertAlign w:val="superscript"/>
              </w:rPr>
              <w:t>5</w:t>
            </w:r>
            <w:r w:rsidRPr="005D58CB">
              <w:rPr>
                <w:szCs w:val="20"/>
                <w:lang w:eastAsia="en-GB"/>
              </w:rPr>
              <w:fldChar w:fldCharType="end"/>
            </w:r>
          </w:p>
        </w:tc>
      </w:tr>
      <w:tr w:rsidR="00724A2B" w:rsidRPr="002B7B01" w14:paraId="21E3C139" w14:textId="77777777">
        <w:trPr>
          <w:trHeight w:val="605"/>
        </w:trPr>
        <w:tc>
          <w:tcPr>
            <w:tcW w:w="1261" w:type="pct"/>
            <w:shd w:val="clear" w:color="auto" w:fill="F2F2F2" w:themeFill="background1" w:themeFillShade="F2"/>
            <w:vAlign w:val="center"/>
          </w:tcPr>
          <w:p w14:paraId="73B20E5D" w14:textId="77777777" w:rsidR="00724A2B" w:rsidRPr="005D58CB" w:rsidRDefault="00724A2B">
            <w:pPr>
              <w:pStyle w:val="NICETabletext"/>
              <w:keepNext w:val="0"/>
              <w:spacing w:after="0"/>
              <w:rPr>
                <w:szCs w:val="20"/>
              </w:rPr>
            </w:pPr>
            <w:r w:rsidRPr="005D58CB">
              <w:rPr>
                <w:szCs w:val="20"/>
              </w:rPr>
              <w:t>ALT increased</w:t>
            </w:r>
          </w:p>
        </w:tc>
        <w:tc>
          <w:tcPr>
            <w:tcW w:w="940" w:type="pct"/>
            <w:vAlign w:val="center"/>
          </w:tcPr>
          <w:p w14:paraId="10DDEA91" w14:textId="77777777" w:rsidR="00724A2B" w:rsidRPr="005D58CB" w:rsidRDefault="00724A2B">
            <w:pPr>
              <w:pStyle w:val="NICETabletext"/>
              <w:keepNext w:val="0"/>
              <w:spacing w:after="0"/>
              <w:jc w:val="center"/>
              <w:rPr>
                <w:szCs w:val="20"/>
              </w:rPr>
            </w:pPr>
            <w:r w:rsidRPr="005D58CB">
              <w:rPr>
                <w:szCs w:val="20"/>
              </w:rPr>
              <w:t>-0.050</w:t>
            </w:r>
          </w:p>
        </w:tc>
        <w:tc>
          <w:tcPr>
            <w:tcW w:w="945" w:type="pct"/>
            <w:vAlign w:val="center"/>
          </w:tcPr>
          <w:p w14:paraId="2C7C7BFE" w14:textId="77777777" w:rsidR="00724A2B" w:rsidRPr="005D58CB" w:rsidRDefault="00724A2B">
            <w:pPr>
              <w:pStyle w:val="NICETabletext"/>
              <w:keepNext w:val="0"/>
              <w:spacing w:after="0"/>
              <w:jc w:val="center"/>
              <w:rPr>
                <w:szCs w:val="20"/>
              </w:rPr>
            </w:pPr>
            <w:r w:rsidRPr="005D58CB">
              <w:rPr>
                <w:szCs w:val="20"/>
              </w:rPr>
              <w:t>14.66</w:t>
            </w:r>
          </w:p>
        </w:tc>
        <w:tc>
          <w:tcPr>
            <w:tcW w:w="1854" w:type="pct"/>
            <w:gridSpan w:val="2"/>
            <w:vAlign w:val="center"/>
          </w:tcPr>
          <w:p w14:paraId="3EAD8568" w14:textId="690810B7" w:rsidR="00724A2B" w:rsidRPr="005D58CB" w:rsidRDefault="00724A2B">
            <w:pPr>
              <w:pStyle w:val="NICETabletext"/>
              <w:keepNext w:val="0"/>
              <w:spacing w:after="0"/>
              <w:jc w:val="center"/>
              <w:rPr>
                <w:szCs w:val="20"/>
              </w:rPr>
            </w:pPr>
            <w:r w:rsidRPr="005D58CB">
              <w:rPr>
                <w:szCs w:val="20"/>
              </w:rPr>
              <w:t>TA654</w:t>
            </w:r>
            <w:r w:rsidRPr="005D58CB">
              <w:rPr>
                <w:szCs w:val="20"/>
              </w:rPr>
              <w:fldChar w:fldCharType="begin"/>
            </w:r>
            <w:r w:rsidR="00CA6345">
              <w:rPr>
                <w:szCs w:val="20"/>
              </w:rPr>
              <w:instrText xml:space="preserve"> ADDIN ZOTERO_ITEM CSL_CITATION {"citationID":"knmkvoFK","properties":{"formattedCitation":"\\super 176\\nosupersub{}","plainCitation":"176","noteIndex":0},"citationItems":[{"id":66443,"uris":["http://zotero.org/groups/4797619/items/PRW83MT6"],"itemData":{"id":66443,"type":"webpage","language":"eng","note":"publisher: NICE","title":"Osimertinib for untreated EGFR-positive non-small-cell lung cancer [TA654]","URL":"https://www.nice.org.uk/guidance/ta654","author":[{"family":"NICE","given":""}],"accessed":{"date-parts":[["2022",10,17]]}}}],"schema":"https://github.com/citation-style-language/schema/raw/master/csl-citation.json"} </w:instrText>
            </w:r>
            <w:r w:rsidRPr="005D58CB">
              <w:rPr>
                <w:szCs w:val="20"/>
              </w:rPr>
              <w:fldChar w:fldCharType="separate"/>
            </w:r>
            <w:r w:rsidR="00CA6345" w:rsidRPr="00CA6345">
              <w:rPr>
                <w:rFonts w:cs="Arial"/>
                <w:vertAlign w:val="superscript"/>
              </w:rPr>
              <w:t>176</w:t>
            </w:r>
            <w:r w:rsidRPr="005D58CB">
              <w:rPr>
                <w:szCs w:val="20"/>
              </w:rPr>
              <w:fldChar w:fldCharType="end"/>
            </w:r>
          </w:p>
        </w:tc>
      </w:tr>
      <w:tr w:rsidR="00724A2B" w:rsidRPr="00CA40CB" w14:paraId="26D30929" w14:textId="77777777">
        <w:trPr>
          <w:trHeight w:val="605"/>
        </w:trPr>
        <w:tc>
          <w:tcPr>
            <w:tcW w:w="1261" w:type="pct"/>
            <w:shd w:val="clear" w:color="auto" w:fill="F2F2F2" w:themeFill="background1" w:themeFillShade="F2"/>
            <w:vAlign w:val="center"/>
          </w:tcPr>
          <w:p w14:paraId="39786466" w14:textId="77777777" w:rsidR="00724A2B" w:rsidRPr="00CA40CB" w:rsidRDefault="00724A2B">
            <w:pPr>
              <w:pStyle w:val="NICETabletext"/>
              <w:keepNext w:val="0"/>
              <w:spacing w:after="0"/>
              <w:rPr>
                <w:szCs w:val="20"/>
              </w:rPr>
            </w:pPr>
            <w:r w:rsidRPr="00CA40CB">
              <w:rPr>
                <w:szCs w:val="20"/>
              </w:rPr>
              <w:t>Interstitial lung disease (any grade)</w:t>
            </w:r>
          </w:p>
        </w:tc>
        <w:tc>
          <w:tcPr>
            <w:tcW w:w="940" w:type="pct"/>
            <w:vAlign w:val="center"/>
          </w:tcPr>
          <w:p w14:paraId="5AB07BD6" w14:textId="77777777" w:rsidR="00724A2B" w:rsidRPr="00CA40CB" w:rsidRDefault="00724A2B">
            <w:pPr>
              <w:pStyle w:val="NICETabletext"/>
              <w:keepNext w:val="0"/>
              <w:spacing w:after="0"/>
              <w:jc w:val="center"/>
              <w:rPr>
                <w:szCs w:val="20"/>
                <w:highlight w:val="cyan"/>
              </w:rPr>
            </w:pPr>
            <w:r w:rsidRPr="00CA40CB">
              <w:rPr>
                <w:szCs w:val="20"/>
              </w:rPr>
              <w:t>-0.170</w:t>
            </w:r>
          </w:p>
        </w:tc>
        <w:tc>
          <w:tcPr>
            <w:tcW w:w="945" w:type="pct"/>
            <w:vAlign w:val="center"/>
          </w:tcPr>
          <w:p w14:paraId="3F8BB854" w14:textId="77777777" w:rsidR="00724A2B" w:rsidRPr="00CA40CB" w:rsidRDefault="00724A2B">
            <w:pPr>
              <w:pStyle w:val="NICETabletext"/>
              <w:keepNext w:val="0"/>
              <w:spacing w:after="0"/>
              <w:jc w:val="center"/>
              <w:rPr>
                <w:szCs w:val="20"/>
              </w:rPr>
            </w:pPr>
            <w:r w:rsidRPr="00CA40CB">
              <w:rPr>
                <w:szCs w:val="20"/>
              </w:rPr>
              <w:t>51.10</w:t>
            </w:r>
          </w:p>
        </w:tc>
        <w:tc>
          <w:tcPr>
            <w:tcW w:w="919" w:type="pct"/>
            <w:vAlign w:val="center"/>
          </w:tcPr>
          <w:p w14:paraId="6E2B4475" w14:textId="1324C5B5" w:rsidR="00724A2B" w:rsidRPr="00CA40CB" w:rsidRDefault="00724A2B">
            <w:pPr>
              <w:pStyle w:val="NICETabletext"/>
              <w:keepNext w:val="0"/>
              <w:spacing w:after="0"/>
              <w:jc w:val="center"/>
              <w:rPr>
                <w:szCs w:val="20"/>
              </w:rPr>
            </w:pPr>
            <w:r w:rsidRPr="008430B1">
              <w:rPr>
                <w:szCs w:val="20"/>
              </w:rPr>
              <w:t>Doyle et al. (2011)</w:t>
            </w:r>
            <w:r w:rsidRPr="008430B1">
              <w:rPr>
                <w:szCs w:val="20"/>
              </w:rPr>
              <w:fldChar w:fldCharType="begin"/>
            </w:r>
            <w:r w:rsidR="00CA6345">
              <w:rPr>
                <w:szCs w:val="20"/>
              </w:rPr>
              <w:instrText xml:space="preserve"> ADDIN ZOTERO_ITEM CSL_CITATION {"citationID":"7TVasfAx","properties":{"formattedCitation":"\\super 177\\nosupersub{}","plainCitation":"177","noteIndex":0},"citationItems":[{"id":66400,"uris":["http://zotero.org/groups/4797619/items/NDW2DYWZ"],"itemData":{"id":66400,"type":"article-journal","abstract":"This study aimed to describe adverse events associated with atrial fibrillation (AF), and the medications used to treat it, and to estimate the importance of these adverse events from the perspective of the condition-naïve general public. Fourteen adverse event health state descriptions associated with paroxysmal/persistent and permanent AF were produced based on EQ-5D survey data, a literature review, and qualitative input from patients and clinicians. Further interviews with clinicians and AF patients confirmed the content of the health states as descriptions appropriate to AF. In total, 127 members of the general public valued the health states in a time trade-off interview and ranking task.","issue":"1","journalAbbreviation":"Br J Cardio","page":"88-93","title":"Public perception of atrial fibrillation and treatment-related adverse events in the UK - The British Journal of Cardiology","volume":"18","author":[{"family":"Doyle","given":"Scott"},{"family":"Lloyd","given":"Andrew"},{"family":"Davis","given":"Mark"}],"issued":{"date-parts":[["2011",4]]}}}],"schema":"https://github.com/citation-style-language/schema/raw/master/csl-citation.json"} </w:instrText>
            </w:r>
            <w:r w:rsidRPr="008430B1">
              <w:rPr>
                <w:szCs w:val="20"/>
              </w:rPr>
              <w:fldChar w:fldCharType="separate"/>
            </w:r>
            <w:r w:rsidR="00CA6345" w:rsidRPr="00CA6345">
              <w:rPr>
                <w:rFonts w:cs="Arial"/>
                <w:vertAlign w:val="superscript"/>
              </w:rPr>
              <w:t>177</w:t>
            </w:r>
            <w:r w:rsidRPr="008430B1">
              <w:rPr>
                <w:szCs w:val="20"/>
              </w:rPr>
              <w:fldChar w:fldCharType="end"/>
            </w:r>
          </w:p>
        </w:tc>
        <w:tc>
          <w:tcPr>
            <w:tcW w:w="935" w:type="pct"/>
            <w:vAlign w:val="center"/>
          </w:tcPr>
          <w:p w14:paraId="0CEE2375" w14:textId="606B5C0D" w:rsidR="00724A2B" w:rsidRPr="00CA40CB" w:rsidRDefault="00724A2B">
            <w:pPr>
              <w:pStyle w:val="NICETabletext"/>
              <w:keepNext w:val="0"/>
              <w:spacing w:after="0"/>
              <w:jc w:val="center"/>
              <w:rPr>
                <w:szCs w:val="20"/>
              </w:rPr>
            </w:pPr>
            <w:r w:rsidRPr="00CA40CB">
              <w:rPr>
                <w:szCs w:val="20"/>
              </w:rPr>
              <w:t>TA704</w:t>
            </w:r>
            <w:r w:rsidRPr="00CA40CB">
              <w:rPr>
                <w:szCs w:val="20"/>
              </w:rPr>
              <w:fldChar w:fldCharType="begin"/>
            </w:r>
            <w:r w:rsidR="00CA6345">
              <w:rPr>
                <w:szCs w:val="20"/>
              </w:rPr>
              <w:instrText xml:space="preserve"> ADDIN ZOTERO_ITEM CSL_CITATION {"citationID":"qFhf9rjA","properties":{"formattedCitation":"\\super 4\\nosupersub{}","plainCitation":"4","noteIndex":0},"citationItems":[{"id":65878,"uris":["http://zotero.org/groups/4797619/items/ESRZZTT8"],"itemData":{"id":65878,"type":"webpage","abstract":"Evidence-based recommendations on trastuzumab deruxtecan (Enhertu) for treating HER2-positive unresectable or metastatic breast cancer in adults after 2 or more","language":"eng","note":"publisher: NICE","title":"Trastuzumab deruxtecan for treating HER2-positive unresectable or metastatic breast cancer after 2 or more anti-HER2 therapies | NICE [TA704]","URL":"https://www.nice.org.uk/guidance/ta704","author":[{"family":"NICE","given":""}],"accessed":{"date-parts":[["2022",9,29]]}}}],"schema":"https://github.com/citation-style-language/schema/raw/master/csl-citation.json"} </w:instrText>
            </w:r>
            <w:r w:rsidRPr="00CA40CB">
              <w:rPr>
                <w:szCs w:val="20"/>
              </w:rPr>
              <w:fldChar w:fldCharType="separate"/>
            </w:r>
            <w:r w:rsidR="00FD57F4" w:rsidRPr="00FD57F4">
              <w:rPr>
                <w:rFonts w:cs="Arial"/>
                <w:vertAlign w:val="superscript"/>
              </w:rPr>
              <w:t>4</w:t>
            </w:r>
            <w:r w:rsidRPr="00CA40CB">
              <w:rPr>
                <w:szCs w:val="20"/>
              </w:rPr>
              <w:fldChar w:fldCharType="end"/>
            </w:r>
            <w:r w:rsidRPr="00CA40CB">
              <w:rPr>
                <w:szCs w:val="20"/>
              </w:rPr>
              <w:t xml:space="preserve"> and </w:t>
            </w:r>
            <w:r w:rsidRPr="00CA40CB">
              <w:t>TA862</w:t>
            </w:r>
            <w:r w:rsidRPr="00CA40CB">
              <w:rPr>
                <w:szCs w:val="20"/>
                <w:lang w:eastAsia="en-GB"/>
              </w:rPr>
              <w:fldChar w:fldCharType="begin"/>
            </w:r>
            <w:r w:rsidR="00CA6345">
              <w:rPr>
                <w:szCs w:val="20"/>
                <w:lang w:eastAsia="en-GB"/>
              </w:rPr>
              <w:instrText xml:space="preserve"> ADDIN ZOTERO_ITEM CSL_CITATION {"citationID":"UwP0hLOd","properties":{"formattedCitation":"\\super 5\\nosupersub{}","plainCitation":"5","noteIndex":0},"citationItems":[{"id":66214,"uris":["http://zotero.org/groups/4797619/items/H2PQC2GH"],"itemData":{"id":66214,"type":"webpage","abstract":"Trastuzumab deruxtecan for treating HER2-positive unresectable or metastatic breast cancer after trastuzumab and a taxane [TA862]","language":"eng","note":"publisher: NICE","title":"Trastuzumab deruxtecan for treating HER2-positive unresectable or metastatic breast cancer after 1 or more anti-HER2 therapies | NICE [TA862]","URL":"https://www.nice.org.uk/guidance/indevelopment/gid-ta10804/documents","author":[{"family":"NICE","given":""}],"accessed":{"date-parts":[["2023",2,5]]},"issued":{"date-parts":[["2023",2]]}}}],"schema":"https://github.com/citation-style-language/schema/raw/master/csl-citation.json"} </w:instrText>
            </w:r>
            <w:r w:rsidRPr="00CA40CB">
              <w:rPr>
                <w:szCs w:val="20"/>
                <w:lang w:eastAsia="en-GB"/>
              </w:rPr>
              <w:fldChar w:fldCharType="separate"/>
            </w:r>
            <w:r w:rsidR="00FD57F4" w:rsidRPr="00FD57F4">
              <w:rPr>
                <w:rFonts w:cs="Arial"/>
                <w:vertAlign w:val="superscript"/>
              </w:rPr>
              <w:t>5</w:t>
            </w:r>
            <w:r w:rsidRPr="00CA40CB">
              <w:rPr>
                <w:szCs w:val="20"/>
                <w:lang w:eastAsia="en-GB"/>
              </w:rPr>
              <w:fldChar w:fldCharType="end"/>
            </w:r>
          </w:p>
        </w:tc>
      </w:tr>
    </w:tbl>
    <w:p w14:paraId="09133294" w14:textId="77777777" w:rsidR="00724A2B" w:rsidRPr="00CA40CB" w:rsidRDefault="00724A2B" w:rsidP="00724A2B">
      <w:pPr>
        <w:pStyle w:val="Footnotes"/>
      </w:pPr>
      <w:r w:rsidRPr="00CA40CB">
        <w:t xml:space="preserve">Abbreviations: </w:t>
      </w:r>
      <w:r w:rsidRPr="00C67C0A">
        <w:t xml:space="preserve">ALT, alanine transaminase. </w:t>
      </w:r>
    </w:p>
    <w:p w14:paraId="40881296" w14:textId="77777777" w:rsidR="00724A2B" w:rsidRPr="00546A80" w:rsidRDefault="00724A2B" w:rsidP="00724A2B">
      <w:pPr>
        <w:pStyle w:val="Heading3"/>
      </w:pPr>
      <w:bookmarkStart w:id="649" w:name="_Toc98924673"/>
      <w:bookmarkStart w:id="650" w:name="_Ref99728187"/>
      <w:bookmarkStart w:id="651" w:name="_Ref126856925"/>
      <w:bookmarkStart w:id="652" w:name="_Toc127006450"/>
      <w:bookmarkStart w:id="653" w:name="_Toc129350897"/>
      <w:r w:rsidRPr="00546A80">
        <w:t>Health-related quality-of-life data used in the cost-effectiveness analysis</w:t>
      </w:r>
      <w:bookmarkEnd w:id="649"/>
      <w:bookmarkEnd w:id="650"/>
      <w:bookmarkEnd w:id="651"/>
      <w:bookmarkEnd w:id="652"/>
      <w:bookmarkEnd w:id="653"/>
    </w:p>
    <w:p w14:paraId="3F3DCE86" w14:textId="7463CAD9" w:rsidR="00724A2B" w:rsidRPr="005D58CB" w:rsidRDefault="00724A2B" w:rsidP="00724A2B">
      <w:pPr>
        <w:pStyle w:val="Body"/>
      </w:pPr>
      <w:r>
        <w:t xml:space="preserve">For the model base case, utilities derived from DESTINY-Breast04 have been used directly to inform treatment-specific values for the </w:t>
      </w:r>
      <w:r w:rsidRPr="00F0340A">
        <w:rPr>
          <w:i/>
          <w:iCs/>
        </w:rPr>
        <w:t>‘</w:t>
      </w:r>
      <w:r w:rsidRPr="00E91298">
        <w:rPr>
          <w:i/>
        </w:rPr>
        <w:t>progression-</w:t>
      </w:r>
      <w:r w:rsidRPr="00E91298">
        <w:rPr>
          <w:i/>
          <w:iCs/>
        </w:rPr>
        <w:t>free’</w:t>
      </w:r>
      <w:r w:rsidRPr="00E91298">
        <w:t xml:space="preserve"> health state (see Section B.3.4.1). The values derived from DESTINY-Breast04 are based directly on the relevant population and treatments </w:t>
      </w:r>
      <w:r w:rsidRPr="005D58CB">
        <w:t>received</w:t>
      </w:r>
      <w:r w:rsidRPr="00E91298">
        <w:t xml:space="preserve">, and measure the health states using EQ-5D-5L </w:t>
      </w:r>
      <w:r w:rsidRPr="005D58CB">
        <w:t>mapped</w:t>
      </w:r>
      <w:r w:rsidRPr="00E91298">
        <w:t xml:space="preserve"> to EQ-5D-3L, which is</w:t>
      </w:r>
      <w:r w:rsidRPr="005D58CB">
        <w:t xml:space="preserve"> in line with the NICE reference case.</w:t>
      </w:r>
      <w:r w:rsidRPr="005D58CB">
        <w:fldChar w:fldCharType="begin"/>
      </w:r>
      <w:r w:rsidR="00CA6345">
        <w:instrText xml:space="preserve"> ADDIN ZOTERO_ITEM CSL_CITATION {"citationID":"wXY72Ohd","properties":{"formattedCitation":"\\super 173\\nosupersub{}","plainCitation":"173","noteIndex":0},"citationItems":[{"id":65947,"uris":["http://zotero.org/groups/4797619/items/9LVGBJ24"],"itemData":{"id":65947,"type":"article-journal","abstract":"EQ-5D is a 5-item questionnaire instrument designed to measure health-related quality of life. It is extremely important, since it is used to measure health benefits in many studies providing evidence for reimbursement decisions by the National Institute for Health and Care Excellence in England and similar policy bodies in other countries. EQ-5D has been redesigned in a more detailed form (EQ-5D-5L), but much existing cost-effectiveness evidence is based on the older version (EQ-5D-3L). Statistical mapping from one version to another is widely used, exploiting data from multi-instrument surveys incorporating both variants. However, little is known about the robustness of data from such multi-instrument surveys. We design a randomized experiment to investigate whether inclusion of both versions at different stages in a single interview gives a reliable picture of the relationship between health measures from the two instruments and embed it in individual interviews from the UK Understanding Society household panel. We find that sequencing of the two versions of EQ-5D within an interview has a significant impact not only on the resulting data but also on the estimated mapping models. We illustrate the non-negligible effects in two real-world cost-effectiveness examples and discuss the implications for future multi-instrument survey design.","container-title":"Health Economics","DOI":"10.1002/hec.4487","ISSN":"1099-1050","issue":"6","language":"en","note":"_eprint: https://onlinelibrary.wiley.com/doi/pdf/10.1002/hec.4487","page":"923-939","source":"Wiley Online Library","title":"Mapping between EQ-5D-3L and EQ-5D-5L: A survey experiment on the validity of multi-instrument data","title-short":"Mapping between EQ-5D-3L and EQ-5D-5L","volume":"31","author":[{"family":"Hernández-Alava","given":"Mónica"},{"family":"Pudney","given":"Stephen"}],"issued":{"date-parts":[["2022"]]}}}],"schema":"https://github.com/citation-style-language/schema/raw/master/csl-citation.json"} </w:instrText>
      </w:r>
      <w:r w:rsidRPr="005D58CB">
        <w:fldChar w:fldCharType="separate"/>
      </w:r>
      <w:r w:rsidR="00CA6345" w:rsidRPr="00CA6345">
        <w:rPr>
          <w:rFonts w:cs="Arial"/>
          <w:szCs w:val="24"/>
          <w:vertAlign w:val="superscript"/>
        </w:rPr>
        <w:t>173</w:t>
      </w:r>
      <w:r w:rsidRPr="005D58CB">
        <w:fldChar w:fldCharType="end"/>
      </w:r>
      <w:r w:rsidRPr="005D58CB">
        <w:t xml:space="preserve"> </w:t>
      </w:r>
    </w:p>
    <w:p w14:paraId="4128AFD7" w14:textId="44D69799" w:rsidR="00724A2B" w:rsidRPr="005D58CB" w:rsidRDefault="00724A2B" w:rsidP="00724A2B">
      <w:pPr>
        <w:pStyle w:val="Body"/>
      </w:pPr>
      <w:r>
        <w:t xml:space="preserve">The clinical experts </w:t>
      </w:r>
      <w:r w:rsidR="007A22E0">
        <w:t xml:space="preserve">consulted during an advisory board meeting in December 2022 </w:t>
      </w:r>
      <w:r>
        <w:t>noted</w:t>
      </w:r>
      <w:r w:rsidRPr="00E91298">
        <w:t xml:space="preserve"> that </w:t>
      </w:r>
      <w:r w:rsidRPr="00040E86">
        <w:t>a difference in pre-progression QoL between patients treated with T-DXd and patients treated with TPC is expected, due to the different adverse event profiles of T-DXd and chemotherapies.</w:t>
      </w:r>
      <w:r w:rsidRPr="00054570">
        <w:fldChar w:fldCharType="begin"/>
      </w:r>
      <w:r w:rsidR="00CA6345">
        <w:instrText xml:space="preserve"> ADDIN ZOTERO_ITEM CSL_CITATION {"citationID":"h6NRta1H","properties":{"formattedCitation":"\\super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Pr="00054570">
        <w:fldChar w:fldCharType="separate"/>
      </w:r>
      <w:r w:rsidR="00CA6345" w:rsidRPr="00CA6345">
        <w:rPr>
          <w:rFonts w:cs="Arial"/>
          <w:szCs w:val="24"/>
          <w:vertAlign w:val="superscript"/>
        </w:rPr>
        <w:t>121</w:t>
      </w:r>
      <w:r w:rsidRPr="00054570">
        <w:fldChar w:fldCharType="end"/>
      </w:r>
      <w:r w:rsidRPr="00293ECD">
        <w:t xml:space="preserve"> </w:t>
      </w:r>
      <w:r>
        <w:t>In DESTINY-Breast04, p</w:t>
      </w:r>
      <w:r w:rsidRPr="001F5A0E">
        <w:t xml:space="preserve">atients treated with T-DXd </w:t>
      </w:r>
      <w:r w:rsidR="00936EC5">
        <w:t>also</w:t>
      </w:r>
      <w:r w:rsidRPr="001F5A0E">
        <w:t xml:space="preserve"> ha</w:t>
      </w:r>
      <w:r>
        <w:t>d</w:t>
      </w:r>
      <w:r w:rsidRPr="001F5A0E">
        <w:t xml:space="preserve"> a better response to treatment</w:t>
      </w:r>
      <w:r>
        <w:t xml:space="preserve"> </w:t>
      </w:r>
      <w:r w:rsidRPr="001F5A0E">
        <w:t>compared to patients treated with TPC,</w:t>
      </w:r>
      <w:r>
        <w:t xml:space="preserve"> as observed in the ORR (52.3% and 16.2% for T-DXd and TPC, respectively),</w:t>
      </w:r>
      <w:r w:rsidRPr="001F5A0E">
        <w:t xml:space="preserve"> which is associated with improved QoL</w:t>
      </w:r>
      <w:r>
        <w:t xml:space="preserve"> and higher pre-progression utilit</w:t>
      </w:r>
      <w:r w:rsidR="004D5523">
        <w:t>y</w:t>
      </w:r>
      <w:r w:rsidRPr="001F5A0E">
        <w:t xml:space="preserve">. </w:t>
      </w:r>
      <w:r w:rsidRPr="00E91298">
        <w:t xml:space="preserve">Trial-based utilities estimated using DESTINY-Breast04 data were considered the most appropriate source of evidence by both clinical and economic experts for the </w:t>
      </w:r>
      <w:r w:rsidRPr="00E91298">
        <w:rPr>
          <w:i/>
          <w:iCs/>
        </w:rPr>
        <w:t>‘</w:t>
      </w:r>
      <w:r w:rsidRPr="00E91298">
        <w:rPr>
          <w:i/>
        </w:rPr>
        <w:t>progression-</w:t>
      </w:r>
      <w:r w:rsidRPr="00E91298">
        <w:rPr>
          <w:i/>
          <w:iCs/>
        </w:rPr>
        <w:t>free’</w:t>
      </w:r>
      <w:r w:rsidRPr="00E91298">
        <w:t xml:space="preserve"> health state in this submission as they are derived directly from a relevant patient population </w:t>
      </w:r>
      <w:r>
        <w:t>with a large observation sample size (n=</w:t>
      </w:r>
      <w:r w:rsidR="00294FDC" w:rsidRPr="00294FDC">
        <w:rPr>
          <w:color w:val="000000"/>
          <w:highlight w:val="black"/>
        </w:rPr>
        <w:t>xxxxx</w:t>
      </w:r>
      <w:r>
        <w:t xml:space="preserve">) </w:t>
      </w:r>
      <w:r w:rsidRPr="00E91298">
        <w:t>using the NICE preferred EQ-5D values.</w:t>
      </w:r>
      <w:r w:rsidRPr="00E91298">
        <w:fldChar w:fldCharType="begin"/>
      </w:r>
      <w:r w:rsidR="00CA6345">
        <w:instrText xml:space="preserve"> ADDIN ZOTERO_ITEM CSL_CITATION {"citationID":"pW8k1j89","properties":{"formattedCitation":"\\super 2\\nosupersub{}","plainCitation":"2","noteIndex":0},"citationItems":[{"id":65886,"uris":["http://zotero.org/groups/4797619/items/2LQNV7UR"],"itemData":{"id":65886,"type":"webpage","abstract":"This guide describes the methods and processes, including expected timescales, that NICE follows when carrying out health technology evaluations. The methods and processes are designed to produce robust guidance for the NHS in an open, transparent and timely way, with appropriate contribution from stakeholders. Organisations invited to contribute to health technology evaluation development should read this manual in conjunction with the NICE health technology evaluation topic selection: the manual. All documents are available on the NICE website.","language":"eng","note":"publisher: NICE","title":"NICE health technology evaluations: the manual","title-short":"NICE health technology evaluations","URL":"https://www.nice.org.uk/process/pmg36/chapter/introduction-to-health-technology-evaluation","author":[{"family":"NICE","given":""}],"accessed":{"date-parts":[["2022",10,19]]},"issued":{"date-parts":[["2022",1]]}}}],"schema":"https://github.com/citation-style-language/schema/raw/master/csl-citation.json"} </w:instrText>
      </w:r>
      <w:r w:rsidRPr="00E91298">
        <w:fldChar w:fldCharType="separate"/>
      </w:r>
      <w:r w:rsidR="00FD57F4" w:rsidRPr="00FD57F4">
        <w:rPr>
          <w:rFonts w:cs="Arial"/>
          <w:szCs w:val="24"/>
          <w:vertAlign w:val="superscript"/>
        </w:rPr>
        <w:t>2</w:t>
      </w:r>
      <w:r w:rsidRPr="00E91298">
        <w:fldChar w:fldCharType="end"/>
      </w:r>
      <w:r w:rsidRPr="00E91298">
        <w:t xml:space="preserve"> </w:t>
      </w:r>
    </w:p>
    <w:p w14:paraId="50EE97AE" w14:textId="6AF10BA5" w:rsidR="00724A2B" w:rsidRPr="00E91298" w:rsidRDefault="00724A2B" w:rsidP="00724A2B">
      <w:pPr>
        <w:pStyle w:val="Body"/>
      </w:pPr>
      <w:r w:rsidRPr="00E91298">
        <w:t>For the ‘</w:t>
      </w:r>
      <w:r w:rsidRPr="00E91298">
        <w:rPr>
          <w:i/>
          <w:iCs/>
        </w:rPr>
        <w:t>post-progression’</w:t>
      </w:r>
      <w:r w:rsidRPr="00E91298">
        <w:t xml:space="preserve"> health state, </w:t>
      </w:r>
      <w:r w:rsidRPr="005D58CB">
        <w:t xml:space="preserve">limited </w:t>
      </w:r>
      <w:r w:rsidRPr="00E91298">
        <w:t>post-progression observations from DESTINY-Breast04 wer</w:t>
      </w:r>
      <w:r w:rsidRPr="003A7A03">
        <w:t xml:space="preserve">e </w:t>
      </w:r>
      <w:r w:rsidRPr="005D58CB">
        <w:t>available (</w:t>
      </w:r>
      <w:r w:rsidRPr="003A7A03">
        <w:t>n=</w:t>
      </w:r>
      <w:r w:rsidR="00294FDC" w:rsidRPr="00294FDC">
        <w:rPr>
          <w:color w:val="000000"/>
          <w:highlight w:val="black"/>
        </w:rPr>
        <w:t>xxx</w:t>
      </w:r>
      <w:r w:rsidRPr="003A7A03">
        <w:t xml:space="preserve">). </w:t>
      </w:r>
      <w:r w:rsidRPr="005D58CB">
        <w:t xml:space="preserve">Experts considered that the post-progression utility values derived from DESTINY-Breast04 were high </w:t>
      </w:r>
      <w:r w:rsidRPr="00E91298">
        <w:t>in comparison to previously accepted ‘</w:t>
      </w:r>
      <w:r w:rsidRPr="00E91298">
        <w:rPr>
          <w:i/>
          <w:iCs/>
        </w:rPr>
        <w:t>progressed disease’</w:t>
      </w:r>
      <w:r w:rsidRPr="00E91298">
        <w:t xml:space="preserve"> utility values within mBC populations (</w:t>
      </w:r>
      <w:r w:rsidRPr="003C648C">
        <w:rPr>
          <w:b/>
          <w:bCs/>
        </w:rPr>
        <w:fldChar w:fldCharType="begin"/>
      </w:r>
      <w:r w:rsidRPr="003C648C">
        <w:rPr>
          <w:b/>
          <w:bCs/>
        </w:rPr>
        <w:instrText xml:space="preserve"> REF _Ref97207016 \h </w:instrText>
      </w:r>
      <w:r w:rsidR="00BB06FD">
        <w:rPr>
          <w:b/>
          <w:bCs/>
        </w:rPr>
        <w:instrText xml:space="preserve"> \* MERGEFORMAT </w:instrText>
      </w:r>
      <w:r w:rsidRPr="003C648C">
        <w:rPr>
          <w:b/>
          <w:bCs/>
        </w:rPr>
      </w:r>
      <w:r w:rsidRPr="003C648C">
        <w:rPr>
          <w:b/>
          <w:bCs/>
        </w:rPr>
        <w:fldChar w:fldCharType="separate"/>
      </w:r>
      <w:r w:rsidR="00145F42" w:rsidRPr="00145F42">
        <w:rPr>
          <w:b/>
          <w:bCs/>
        </w:rPr>
        <w:t xml:space="preserve">Table </w:t>
      </w:r>
      <w:r w:rsidR="00145F42" w:rsidRPr="00145F42">
        <w:rPr>
          <w:b/>
          <w:bCs/>
          <w:noProof/>
        </w:rPr>
        <w:t>49</w:t>
      </w:r>
      <w:r w:rsidRPr="003C648C">
        <w:rPr>
          <w:b/>
          <w:bCs/>
        </w:rPr>
        <w:fldChar w:fldCharType="end"/>
      </w:r>
      <w:r w:rsidRPr="00E91298">
        <w:t>).</w:t>
      </w:r>
      <w:r w:rsidRPr="00054570">
        <w:fldChar w:fldCharType="begin"/>
      </w:r>
      <w:r w:rsidR="00CA6345">
        <w:instrText xml:space="preserve"> ADDIN ZOTERO_ITEM CSL_CITATION {"citationID":"0XgdOF6t","properties":{"formattedCitation":"\\super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Pr="00054570">
        <w:fldChar w:fldCharType="separate"/>
      </w:r>
      <w:r w:rsidR="00CA6345" w:rsidRPr="00CA6345">
        <w:rPr>
          <w:rFonts w:cs="Arial"/>
          <w:szCs w:val="24"/>
          <w:vertAlign w:val="superscript"/>
        </w:rPr>
        <w:t>121</w:t>
      </w:r>
      <w:r w:rsidRPr="00054570">
        <w:fldChar w:fldCharType="end"/>
      </w:r>
      <w:r>
        <w:t xml:space="preserve"> </w:t>
      </w:r>
      <w:r w:rsidRPr="00E91298">
        <w:t xml:space="preserve">Clinical experts also expected </w:t>
      </w:r>
      <w:r w:rsidRPr="005D58CB">
        <w:t xml:space="preserve">a greater reduction in QoL as patients progress than observed in the </w:t>
      </w:r>
      <w:r w:rsidRPr="005D58CB">
        <w:lastRenderedPageBreak/>
        <w:t>trial.</w:t>
      </w:r>
      <w:r w:rsidRPr="00054570">
        <w:fldChar w:fldCharType="begin"/>
      </w:r>
      <w:r w:rsidR="00CA6345">
        <w:instrText xml:space="preserve"> ADDIN ZOTERO_ITEM CSL_CITATION {"citationID":"N3Nfh38Q","properties":{"formattedCitation":"\\super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Pr="00054570">
        <w:fldChar w:fldCharType="separate"/>
      </w:r>
      <w:r w:rsidR="00CA6345" w:rsidRPr="00CA6345">
        <w:rPr>
          <w:rFonts w:cs="Arial"/>
          <w:szCs w:val="24"/>
          <w:vertAlign w:val="superscript"/>
        </w:rPr>
        <w:t>121</w:t>
      </w:r>
      <w:r w:rsidRPr="00054570">
        <w:fldChar w:fldCharType="end"/>
      </w:r>
      <w:r w:rsidRPr="005D58CB">
        <w:t xml:space="preserve"> </w:t>
      </w:r>
      <w:r w:rsidRPr="00E91298">
        <w:t xml:space="preserve">In DESTINY-Breast04, HRQoL questionnaires were completed at the Day 40 first follow-up assessment (after last study drug administration) or before initiation of further treatment (whichever came first), and then at the first long-term/survival follow-up assessment three months later, </w:t>
      </w:r>
      <w:r w:rsidRPr="005D58CB">
        <w:t>which was the last data collection point</w:t>
      </w:r>
      <w:r w:rsidRPr="00E91298">
        <w:t xml:space="preserve">. This means that </w:t>
      </w:r>
      <w:r w:rsidRPr="005D58CB">
        <w:t xml:space="preserve">limited </w:t>
      </w:r>
      <w:r w:rsidRPr="00E91298">
        <w:t xml:space="preserve">long-term HRQoL data for progressed patients </w:t>
      </w:r>
      <w:r w:rsidRPr="005D58CB">
        <w:t xml:space="preserve">were </w:t>
      </w:r>
      <w:r w:rsidRPr="00E91298">
        <w:t xml:space="preserve">collected, which may </w:t>
      </w:r>
      <w:r w:rsidRPr="005D58CB">
        <w:t>contribute to the</w:t>
      </w:r>
      <w:r w:rsidRPr="00E91298">
        <w:t xml:space="preserve"> implausibly high post-progression trial-based utility values. </w:t>
      </w:r>
    </w:p>
    <w:p w14:paraId="6C3DE079" w14:textId="0F64E3D8" w:rsidR="00724A2B" w:rsidRPr="00BE4620" w:rsidRDefault="00724A2B" w:rsidP="00724A2B">
      <w:pPr>
        <w:pStyle w:val="Body"/>
      </w:pPr>
      <w:r w:rsidRPr="00E91298">
        <w:t xml:space="preserve">Therefore, values derived from Lloyd et al, 2006 are used to inform the model base case for the </w:t>
      </w:r>
      <w:r w:rsidRPr="00E91298">
        <w:rPr>
          <w:i/>
          <w:iCs/>
        </w:rPr>
        <w:t>‘post-progression’</w:t>
      </w:r>
      <w:r w:rsidRPr="00E91298">
        <w:t xml:space="preserve"> health state. Treatment-specific post-progression utility values are used to inform the base case as there is an expectation that patients who progress on T-DXd have a better QoL than those who progress on </w:t>
      </w:r>
      <w:r w:rsidRPr="005D58CB">
        <w:t>TPC</w:t>
      </w:r>
      <w:r w:rsidRPr="00E91298">
        <w:t xml:space="preserve"> due to the improved and longer response rates and better disease control (Section</w:t>
      </w:r>
      <w:r w:rsidR="007C383A">
        <w:t xml:space="preserve"> </w:t>
      </w:r>
      <w:r w:rsidR="007C383A">
        <w:fldChar w:fldCharType="begin"/>
      </w:r>
      <w:r w:rsidR="007C383A">
        <w:instrText xml:space="preserve"> REF _Ref127007791 \r \h </w:instrText>
      </w:r>
      <w:r w:rsidR="007C383A">
        <w:fldChar w:fldCharType="separate"/>
      </w:r>
      <w:r w:rsidR="00145F42">
        <w:t>B.2.6.1</w:t>
      </w:r>
      <w:r w:rsidR="007C383A">
        <w:fldChar w:fldCharType="end"/>
      </w:r>
      <w:r w:rsidRPr="00E91298">
        <w:t xml:space="preserve">). </w:t>
      </w:r>
      <w:r>
        <w:t>This is demonstrated in DESTINY-Breast04; higher utility values were observed in the T-DXd arm in patients who experienced disease progression (</w:t>
      </w:r>
      <w:r w:rsidR="00294FDC" w:rsidRPr="00294FDC">
        <w:rPr>
          <w:color w:val="000000"/>
          <w:highlight w:val="black"/>
        </w:rPr>
        <w:t>xxxxx</w:t>
      </w:r>
      <w:r>
        <w:t>) compared to patients treated with TPC (</w:t>
      </w:r>
      <w:r w:rsidR="00294FDC" w:rsidRPr="00294FDC">
        <w:rPr>
          <w:color w:val="000000"/>
          <w:highlight w:val="black"/>
        </w:rPr>
        <w:t>xxxxx</w:t>
      </w:r>
      <w:r>
        <w:t>) (</w:t>
      </w:r>
      <w:r w:rsidRPr="003C648C">
        <w:rPr>
          <w:b/>
          <w:bCs/>
        </w:rPr>
        <w:fldChar w:fldCharType="begin"/>
      </w:r>
      <w:r w:rsidRPr="003C648C">
        <w:rPr>
          <w:b/>
          <w:bCs/>
        </w:rPr>
        <w:instrText xml:space="preserve"> REF _Ref96105187 \h </w:instrText>
      </w:r>
      <w:r w:rsidR="00BB06FD">
        <w:rPr>
          <w:b/>
          <w:bCs/>
        </w:rPr>
        <w:instrText xml:space="preserve"> \* MERGEFORMAT </w:instrText>
      </w:r>
      <w:r w:rsidRPr="003C648C">
        <w:rPr>
          <w:b/>
          <w:bCs/>
        </w:rPr>
      </w:r>
      <w:r w:rsidRPr="003C648C">
        <w:rPr>
          <w:b/>
          <w:bCs/>
        </w:rPr>
        <w:fldChar w:fldCharType="separate"/>
      </w:r>
      <w:r w:rsidR="00145F42" w:rsidRPr="00145F42">
        <w:rPr>
          <w:b/>
          <w:bCs/>
        </w:rPr>
        <w:t xml:space="preserve">Table </w:t>
      </w:r>
      <w:r w:rsidR="00145F42" w:rsidRPr="00145F42">
        <w:rPr>
          <w:b/>
          <w:bCs/>
          <w:noProof/>
        </w:rPr>
        <w:t>45</w:t>
      </w:r>
      <w:r w:rsidRPr="003C648C">
        <w:rPr>
          <w:b/>
          <w:bCs/>
        </w:rPr>
        <w:fldChar w:fldCharType="end"/>
      </w:r>
      <w:r>
        <w:t>). P</w:t>
      </w:r>
      <w:r w:rsidRPr="00E91298">
        <w:t xml:space="preserve">atients </w:t>
      </w:r>
      <w:r>
        <w:t>who experience disease</w:t>
      </w:r>
      <w:r w:rsidRPr="00E91298">
        <w:t xml:space="preserve"> progression </w:t>
      </w:r>
      <w:r>
        <w:t>following treatment with</w:t>
      </w:r>
      <w:r w:rsidRPr="00E91298">
        <w:t xml:space="preserve"> T-</w:t>
      </w:r>
      <w:r w:rsidRPr="00BE4620">
        <w:t xml:space="preserve">DXd will be starting with a ‘higher’ utility upon progression than those patients </w:t>
      </w:r>
      <w:r>
        <w:t>who experience disease progression following treatment with</w:t>
      </w:r>
      <w:r w:rsidRPr="00BE4620">
        <w:t xml:space="preserve"> TPC</w:t>
      </w:r>
      <w:r>
        <w:t>; this is</w:t>
      </w:r>
      <w:r w:rsidRPr="00BE4620">
        <w:t xml:space="preserve"> due to lower tumour burden </w:t>
      </w:r>
      <w:r>
        <w:t xml:space="preserve">in patients treated with T-DXd </w:t>
      </w:r>
      <w:r w:rsidRPr="00BE4620">
        <w:t xml:space="preserve">(see </w:t>
      </w:r>
      <w:r w:rsidRPr="003C648C">
        <w:rPr>
          <w:b/>
          <w:bCs/>
        </w:rPr>
        <w:fldChar w:fldCharType="begin"/>
      </w:r>
      <w:r w:rsidRPr="003C648C">
        <w:rPr>
          <w:b/>
          <w:bCs/>
        </w:rPr>
        <w:instrText xml:space="preserve"> REF _Ref96105187 \h </w:instrText>
      </w:r>
      <w:r w:rsidR="00BB06FD">
        <w:rPr>
          <w:b/>
          <w:bCs/>
        </w:rPr>
        <w:instrText xml:space="preserve"> \* MERGEFORMAT </w:instrText>
      </w:r>
      <w:r w:rsidRPr="003C648C">
        <w:rPr>
          <w:b/>
          <w:bCs/>
        </w:rPr>
      </w:r>
      <w:r w:rsidRPr="003C648C">
        <w:rPr>
          <w:b/>
          <w:bCs/>
        </w:rPr>
        <w:fldChar w:fldCharType="separate"/>
      </w:r>
      <w:r w:rsidR="00145F42" w:rsidRPr="00145F42">
        <w:rPr>
          <w:b/>
          <w:bCs/>
        </w:rPr>
        <w:t xml:space="preserve">Table </w:t>
      </w:r>
      <w:r w:rsidR="00145F42" w:rsidRPr="00145F42">
        <w:rPr>
          <w:b/>
          <w:bCs/>
          <w:noProof/>
        </w:rPr>
        <w:t>45</w:t>
      </w:r>
      <w:r w:rsidRPr="003C648C">
        <w:rPr>
          <w:b/>
          <w:bCs/>
        </w:rPr>
        <w:fldChar w:fldCharType="end"/>
      </w:r>
      <w:r w:rsidRPr="00BE4620">
        <w:t xml:space="preserve">). </w:t>
      </w:r>
      <w:r w:rsidR="00677B0B">
        <w:t xml:space="preserve">The use of treatment-specific </w:t>
      </w:r>
      <w:r w:rsidR="00677B0B" w:rsidRPr="00BE4620">
        <w:rPr>
          <w:i/>
          <w:iCs/>
        </w:rPr>
        <w:t>‘post-progression’</w:t>
      </w:r>
      <w:r w:rsidR="00677B0B" w:rsidRPr="00BE4620">
        <w:t xml:space="preserve"> utility values </w:t>
      </w:r>
      <w:r w:rsidR="00677B0B">
        <w:t>was</w:t>
      </w:r>
      <w:r w:rsidR="00677B0B" w:rsidRPr="00BE4620">
        <w:t xml:space="preserve"> </w:t>
      </w:r>
      <w:r w:rsidR="00677B0B">
        <w:t xml:space="preserve">considered to be </w:t>
      </w:r>
      <w:r w:rsidR="00677B0B" w:rsidRPr="00BE4620">
        <w:t>plausible</w:t>
      </w:r>
      <w:r w:rsidR="00677B0B">
        <w:t xml:space="preserve"> </w:t>
      </w:r>
      <w:r w:rsidR="00677B0B" w:rsidRPr="00BE4620">
        <w:t xml:space="preserve">in </w:t>
      </w:r>
      <w:r w:rsidR="00677B0B">
        <w:t>previous NICE appraisals in u/mBC.</w:t>
      </w:r>
      <w:r w:rsidR="00677B0B">
        <w:fldChar w:fldCharType="begin"/>
      </w:r>
      <w:r w:rsidR="00CA6345">
        <w:instrText xml:space="preserve"> ADDIN ZOTERO_ITEM CSL_CITATION {"citationID":"4e0wqw5Y","properties":{"formattedCitation":"\\super 5, 70,132\\nosupersub{}","plainCitation":"5, 70,132","noteIndex":0},"citationItems":[{"id":66214,"uris":["http://zotero.org/groups/4797619/items/H2PQC2GH"],"itemData":{"id":66214,"type":"webpage","abstract":"Trastuzumab deruxtecan for treating HER2-positive unresectable or metastatic breast cancer after trastuzumab and a taxane [TA862]","language":"eng","note":"publisher: NICE","title":"Trastuzumab deruxtecan for treating HER2-positive unresectable or metastatic breast cancer after 1 or more anti-HER2 therapies | NICE [TA862]","URL":"https://www.nice.org.uk/guidance/indevelopment/gid-ta10804/documents","author":[{"family":"NICE","given":""}],"accessed":{"date-parts":[["2023",2,5]]},"issued":{"date-parts":[["2023",2]]}}},{"id":66197,"uris":["http://zotero.org/groups/4797619/items/IHG3AZAS"],"itemData":{"id":66197,"type":"webpage","abstract":"Evidence-based recommendations on tucatinib (TUKYSA) for HER2-positive locally advanced or metastatic breast cancer in adults after 2 or more anti-HER2 treatment therapies","language":"eng","note":"publisher: NICE","title":"Tucatinib with trastuzumab and capecitabine for treating HER2-positive advanced breast cancer after 2 or more anti-HER2 therapies | NICE [TA786]","URL":"https://www.nice.org.uk/guidance/ta786","author":[{"family":"NICE","given":""}],"accessed":{"date-parts":[["2022",11,29]]}}},{"id":65875,"uris":["http://zotero.org/groups/4797619/items/IP9MEGL9"],"itemData":{"id":65875,"type":"webpage","abstract":"Evidence-based recommendations on sacituzumab govetican (Trodelvy) for treating unresectable, triple-negative locally advanced or metastatic breast cancer in adults after 2 or more systemic therapies, at least 1 of which was for advanced disease","language":"eng","note":"publisher: NICE","title":"Sacituzumab govitecan for treating unresectable triple-negative advanced breast cancer after 2 or more therapies | NICE [TA819]","URL":"https://www.nice.org.uk/guidance/ta819","author":[{"family":"NICE","given":""}],"accessed":{"date-parts":[["2022",10,17]]}}}],"schema":"https://github.com/citation-style-language/schema/raw/master/csl-citation.json"} </w:instrText>
      </w:r>
      <w:r w:rsidR="00677B0B">
        <w:fldChar w:fldCharType="separate"/>
      </w:r>
      <w:r w:rsidR="00CA6345" w:rsidRPr="00CA6345">
        <w:rPr>
          <w:rFonts w:cs="Arial"/>
          <w:szCs w:val="24"/>
          <w:vertAlign w:val="superscript"/>
        </w:rPr>
        <w:t>5, 70,132</w:t>
      </w:r>
      <w:r w:rsidR="00677B0B">
        <w:fldChar w:fldCharType="end"/>
      </w:r>
      <w:r w:rsidR="00677B0B" w:rsidRPr="00BE4620" w:rsidDel="00F376CF">
        <w:rPr>
          <w:lang w:eastAsia="en-GB"/>
        </w:rPr>
        <w:t xml:space="preserve"> </w:t>
      </w:r>
      <w:r w:rsidRPr="00BE4620" w:rsidDel="00F376CF">
        <w:rPr>
          <w:lang w:eastAsia="en-GB"/>
        </w:rPr>
        <w:t xml:space="preserve"> </w:t>
      </w:r>
    </w:p>
    <w:p w14:paraId="1CD9823D" w14:textId="434A74D0" w:rsidR="00724A2B" w:rsidRPr="00BE4620" w:rsidRDefault="00724A2B" w:rsidP="00724A2B">
      <w:pPr>
        <w:pStyle w:val="Body"/>
      </w:pPr>
      <w:r w:rsidRPr="00BE4620">
        <w:t>A scenario analysis considering post-progression utility data derived directly from DESTINY-Breast04 is</w:t>
      </w:r>
      <w:r w:rsidRPr="00BE4620" w:rsidDel="00AB35EF">
        <w:t xml:space="preserve"> </w:t>
      </w:r>
      <w:r w:rsidRPr="00BE4620">
        <w:t>explored, in line with</w:t>
      </w:r>
      <w:r w:rsidRPr="00BE4620" w:rsidDel="00AB35EF">
        <w:t xml:space="preserve"> </w:t>
      </w:r>
      <w:r w:rsidRPr="00BE4620">
        <w:t>the NICE preferred EQ-5D values.</w:t>
      </w:r>
      <w:r w:rsidRPr="00BE4620">
        <w:fldChar w:fldCharType="begin"/>
      </w:r>
      <w:r w:rsidR="00CA6345">
        <w:instrText xml:space="preserve"> ADDIN ZOTERO_ITEM CSL_CITATION {"citationID":"QuVePQEq","properties":{"formattedCitation":"\\super 2\\nosupersub{}","plainCitation":"2","noteIndex":0},"citationItems":[{"id":65886,"uris":["http://zotero.org/groups/4797619/items/2LQNV7UR"],"itemData":{"id":65886,"type":"webpage","abstract":"This guide describes the methods and processes, including expected timescales, that NICE follows when carrying out health technology evaluations. The methods and processes are designed to produce robust guidance for the NHS in an open, transparent and timely way, with appropriate contribution from stakeholders. Organisations invited to contribute to health technology evaluation development should read this manual in conjunction with the NICE health technology evaluation topic selection: the manual. All documents are available on the NICE website.","language":"eng","note":"publisher: NICE","title":"NICE health technology evaluations: the manual","title-short":"NICE health technology evaluations","URL":"https://www.nice.org.uk/process/pmg36/chapter/introduction-to-health-technology-evaluation","author":[{"family":"NICE","given":""}],"accessed":{"date-parts":[["2022",10,19]]},"issued":{"date-parts":[["2022",1]]}}}],"schema":"https://github.com/citation-style-language/schema/raw/master/csl-citation.json"} </w:instrText>
      </w:r>
      <w:r w:rsidRPr="00BE4620">
        <w:fldChar w:fldCharType="separate"/>
      </w:r>
      <w:r w:rsidR="00FD57F4" w:rsidRPr="00FD57F4">
        <w:rPr>
          <w:rFonts w:cs="Arial"/>
          <w:szCs w:val="24"/>
          <w:vertAlign w:val="superscript"/>
        </w:rPr>
        <w:t>2</w:t>
      </w:r>
      <w:r w:rsidRPr="00BE4620">
        <w:fldChar w:fldCharType="end"/>
      </w:r>
      <w:r w:rsidRPr="00BE4620">
        <w:t xml:space="preserve">  </w:t>
      </w:r>
    </w:p>
    <w:p w14:paraId="5F66106F" w14:textId="7A53C46B" w:rsidR="00724A2B" w:rsidRPr="00BE4620" w:rsidRDefault="00724A2B" w:rsidP="00724A2B">
      <w:pPr>
        <w:pStyle w:val="Body"/>
      </w:pPr>
      <w:r w:rsidRPr="003C648C">
        <w:rPr>
          <w:b/>
          <w:bCs/>
        </w:rPr>
        <w:fldChar w:fldCharType="begin"/>
      </w:r>
      <w:r w:rsidRPr="003C648C">
        <w:rPr>
          <w:b/>
          <w:bCs/>
        </w:rPr>
        <w:instrText xml:space="preserve"> REF _Ref96105253 \h </w:instrText>
      </w:r>
      <w:r w:rsidR="00BB06FD">
        <w:rPr>
          <w:b/>
          <w:bCs/>
        </w:rPr>
        <w:instrText xml:space="preserve"> \* MERGEFORMAT </w:instrText>
      </w:r>
      <w:r w:rsidRPr="003C648C">
        <w:rPr>
          <w:b/>
          <w:bCs/>
        </w:rPr>
      </w:r>
      <w:r w:rsidRPr="003C648C">
        <w:rPr>
          <w:b/>
          <w:bCs/>
        </w:rPr>
        <w:fldChar w:fldCharType="separate"/>
      </w:r>
      <w:r w:rsidR="00145F42" w:rsidRPr="00145F42">
        <w:rPr>
          <w:b/>
          <w:bCs/>
        </w:rPr>
        <w:t xml:space="preserve">Table </w:t>
      </w:r>
      <w:r w:rsidR="00145F42" w:rsidRPr="00145F42">
        <w:rPr>
          <w:b/>
          <w:bCs/>
          <w:noProof/>
        </w:rPr>
        <w:t>51</w:t>
      </w:r>
      <w:r w:rsidRPr="003C648C">
        <w:rPr>
          <w:b/>
          <w:bCs/>
        </w:rPr>
        <w:fldChar w:fldCharType="end"/>
      </w:r>
      <w:r w:rsidRPr="00BE4620">
        <w:t xml:space="preserve"> summarises the utility values included within the cost-effectiveness analysis base case and scenarios. </w:t>
      </w:r>
    </w:p>
    <w:p w14:paraId="69916DF4" w14:textId="55E3BEE7" w:rsidR="00724A2B" w:rsidRPr="00BE4620" w:rsidRDefault="00724A2B" w:rsidP="00724A2B">
      <w:pPr>
        <w:pStyle w:val="Caption"/>
      </w:pPr>
      <w:bookmarkStart w:id="654" w:name="_Ref96105253"/>
      <w:bookmarkStart w:id="655" w:name="_Toc98924759"/>
      <w:bookmarkStart w:id="656" w:name="_Toc127006681"/>
      <w:bookmarkStart w:id="657" w:name="_Toc129351026"/>
      <w:r w:rsidRPr="00BE4620">
        <w:t xml:space="preserve">Table </w:t>
      </w:r>
      <w:r w:rsidRPr="00BE4620">
        <w:fldChar w:fldCharType="begin"/>
      </w:r>
      <w:r w:rsidRPr="00BE4620">
        <w:instrText>SEQ Table \* ARABIC</w:instrText>
      </w:r>
      <w:r w:rsidRPr="00BE4620">
        <w:fldChar w:fldCharType="separate"/>
      </w:r>
      <w:r w:rsidR="00145F42">
        <w:rPr>
          <w:noProof/>
        </w:rPr>
        <w:t>51</w:t>
      </w:r>
      <w:r w:rsidRPr="00BE4620">
        <w:fldChar w:fldCharType="end"/>
      </w:r>
      <w:bookmarkEnd w:id="654"/>
      <w:r w:rsidRPr="00BE4620">
        <w:t>: Summary of utility values for cost-effectiveness analysis</w:t>
      </w:r>
      <w:bookmarkEnd w:id="655"/>
      <w:bookmarkEnd w:id="656"/>
      <w:bookmarkEnd w:id="6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78"/>
        <w:gridCol w:w="1666"/>
        <w:gridCol w:w="1666"/>
        <w:gridCol w:w="1674"/>
        <w:gridCol w:w="1933"/>
      </w:tblGrid>
      <w:tr w:rsidR="00724A2B" w:rsidRPr="00BE4620" w14:paraId="684BDDD2" w14:textId="77777777">
        <w:trPr>
          <w:tblHeader/>
        </w:trPr>
        <w:tc>
          <w:tcPr>
            <w:tcW w:w="1152" w:type="pct"/>
            <w:shd w:val="clear" w:color="auto" w:fill="D9D9D9" w:themeFill="background1" w:themeFillShade="D9"/>
          </w:tcPr>
          <w:p w14:paraId="0B341E9B" w14:textId="77777777" w:rsidR="00724A2B" w:rsidRPr="00BE4620" w:rsidRDefault="00724A2B">
            <w:pPr>
              <w:pStyle w:val="NICETableHeader"/>
              <w:keepNext w:val="0"/>
            </w:pPr>
            <w:r w:rsidRPr="00BE4620">
              <w:t>State</w:t>
            </w:r>
          </w:p>
        </w:tc>
        <w:tc>
          <w:tcPr>
            <w:tcW w:w="924" w:type="pct"/>
            <w:shd w:val="clear" w:color="auto" w:fill="D9D9D9" w:themeFill="background1" w:themeFillShade="D9"/>
          </w:tcPr>
          <w:p w14:paraId="6986E88A" w14:textId="77777777" w:rsidR="00724A2B" w:rsidRPr="00BE4620" w:rsidRDefault="00724A2B">
            <w:pPr>
              <w:pStyle w:val="NICETableHeader"/>
              <w:keepNext w:val="0"/>
              <w:jc w:val="center"/>
            </w:pPr>
            <w:r w:rsidRPr="00BE4620">
              <w:t>Utility value: mean (SE)</w:t>
            </w:r>
          </w:p>
        </w:tc>
        <w:tc>
          <w:tcPr>
            <w:tcW w:w="924" w:type="pct"/>
            <w:shd w:val="clear" w:color="auto" w:fill="D9D9D9" w:themeFill="background1" w:themeFillShade="D9"/>
          </w:tcPr>
          <w:p w14:paraId="7793D3DD" w14:textId="77777777" w:rsidR="00724A2B" w:rsidRPr="00BE4620" w:rsidRDefault="00724A2B">
            <w:pPr>
              <w:pStyle w:val="NICETableHeader"/>
              <w:keepNext w:val="0"/>
              <w:jc w:val="center"/>
            </w:pPr>
            <w:r w:rsidRPr="00BE4620">
              <w:t>95% confidence interval</w:t>
            </w:r>
          </w:p>
        </w:tc>
        <w:tc>
          <w:tcPr>
            <w:tcW w:w="928" w:type="pct"/>
            <w:shd w:val="clear" w:color="auto" w:fill="D9D9D9" w:themeFill="background1" w:themeFillShade="D9"/>
          </w:tcPr>
          <w:p w14:paraId="7D33CE67" w14:textId="77777777" w:rsidR="00724A2B" w:rsidRPr="00BE4620" w:rsidRDefault="00724A2B">
            <w:pPr>
              <w:pStyle w:val="NICETableHeader"/>
              <w:keepNext w:val="0"/>
              <w:jc w:val="center"/>
            </w:pPr>
            <w:r w:rsidRPr="00BE4620">
              <w:t>Reference in submission (section and page number)</w:t>
            </w:r>
          </w:p>
        </w:tc>
        <w:tc>
          <w:tcPr>
            <w:tcW w:w="1072" w:type="pct"/>
            <w:shd w:val="clear" w:color="auto" w:fill="D9D9D9" w:themeFill="background1" w:themeFillShade="D9"/>
          </w:tcPr>
          <w:p w14:paraId="47822ED8" w14:textId="77777777" w:rsidR="00724A2B" w:rsidRPr="00BE4620" w:rsidRDefault="00724A2B">
            <w:pPr>
              <w:pStyle w:val="NICETableHeader"/>
              <w:keepNext w:val="0"/>
              <w:jc w:val="center"/>
            </w:pPr>
            <w:r w:rsidRPr="00BE4620">
              <w:t>Justification</w:t>
            </w:r>
          </w:p>
        </w:tc>
      </w:tr>
      <w:tr w:rsidR="00724A2B" w:rsidRPr="00BE4620" w14:paraId="5BD0FBF4" w14:textId="77777777">
        <w:tc>
          <w:tcPr>
            <w:tcW w:w="5000" w:type="pct"/>
            <w:gridSpan w:val="5"/>
            <w:shd w:val="clear" w:color="auto" w:fill="F2F2F2" w:themeFill="background1" w:themeFillShade="F2"/>
          </w:tcPr>
          <w:p w14:paraId="4189BAD3" w14:textId="77777777" w:rsidR="00724A2B" w:rsidRPr="00BE4620" w:rsidRDefault="00724A2B">
            <w:pPr>
              <w:pStyle w:val="NICETabletext"/>
              <w:keepNext w:val="0"/>
              <w:rPr>
                <w:b/>
                <w:bCs/>
                <w:i/>
                <w:iCs/>
                <w:lang w:val="de-DE"/>
              </w:rPr>
            </w:pPr>
            <w:r w:rsidRPr="00BE4620">
              <w:rPr>
                <w:b/>
                <w:bCs/>
                <w:i/>
                <w:iCs/>
                <w:lang w:val="de-DE"/>
              </w:rPr>
              <w:t>Base case</w:t>
            </w:r>
          </w:p>
        </w:tc>
      </w:tr>
      <w:tr w:rsidR="00724A2B" w:rsidRPr="00BE4620" w14:paraId="3AF5EE9D" w14:textId="77777777" w:rsidTr="00046DFE">
        <w:tc>
          <w:tcPr>
            <w:tcW w:w="1152" w:type="pct"/>
          </w:tcPr>
          <w:p w14:paraId="7B5EAE88" w14:textId="77777777" w:rsidR="00724A2B" w:rsidRPr="00BE4620" w:rsidRDefault="00724A2B">
            <w:pPr>
              <w:pStyle w:val="NICETabletext"/>
              <w:keepNext w:val="0"/>
              <w:rPr>
                <w:lang w:val="de-DE"/>
              </w:rPr>
            </w:pPr>
            <w:r w:rsidRPr="00BE4620">
              <w:rPr>
                <w:lang w:val="de-DE"/>
              </w:rPr>
              <w:t xml:space="preserve">Progression-free </w:t>
            </w:r>
          </w:p>
          <w:p w14:paraId="7A5A9103" w14:textId="77777777" w:rsidR="00724A2B" w:rsidRPr="00BE4620" w:rsidRDefault="00724A2B">
            <w:pPr>
              <w:pStyle w:val="NICETabletext"/>
              <w:keepNext w:val="0"/>
              <w:jc w:val="right"/>
              <w:rPr>
                <w:lang w:val="de-DE"/>
              </w:rPr>
            </w:pPr>
            <w:r w:rsidRPr="00BE4620">
              <w:rPr>
                <w:lang w:val="de-DE"/>
              </w:rPr>
              <w:t>T-DXd</w:t>
            </w:r>
          </w:p>
          <w:p w14:paraId="7F7A18CC" w14:textId="6B95F860" w:rsidR="00724A2B" w:rsidRPr="00BE4620" w:rsidRDefault="00724A2B" w:rsidP="003A3F1B">
            <w:pPr>
              <w:pStyle w:val="NICETabletext"/>
              <w:keepNext w:val="0"/>
              <w:jc w:val="right"/>
              <w:rPr>
                <w:b/>
                <w:bCs/>
                <w:lang w:val="de-DE"/>
              </w:rPr>
            </w:pPr>
            <w:r w:rsidRPr="00BE4620">
              <w:rPr>
                <w:lang w:val="de-DE"/>
              </w:rPr>
              <w:t>TPC</w:t>
            </w:r>
          </w:p>
        </w:tc>
        <w:tc>
          <w:tcPr>
            <w:tcW w:w="924" w:type="pct"/>
            <w:vAlign w:val="bottom"/>
          </w:tcPr>
          <w:p w14:paraId="03156A8E" w14:textId="49B34E07" w:rsidR="00724A2B" w:rsidRPr="00BE4620" w:rsidRDefault="00046DFE" w:rsidP="00046DFE">
            <w:pPr>
              <w:pStyle w:val="NICETabletext"/>
              <w:keepNext w:val="0"/>
              <w:jc w:val="center"/>
              <w:rPr>
                <w:highlight w:val="yellow"/>
                <w:u w:val="single"/>
                <w:lang w:val="de-DE"/>
              </w:rPr>
            </w:pPr>
            <w:r w:rsidRPr="00294FDC">
              <w:rPr>
                <w:color w:val="000000"/>
                <w:highlight w:val="black"/>
                <w:lang w:val="de-DE"/>
              </w:rPr>
              <w:t>X</w:t>
            </w:r>
            <w:r w:rsidR="00294FDC" w:rsidRPr="00294FDC">
              <w:rPr>
                <w:color w:val="000000"/>
                <w:highlight w:val="black"/>
                <w:lang w:val="de-DE"/>
              </w:rPr>
              <w:t>xxx</w:t>
            </w:r>
            <w:r>
              <w:rPr>
                <w:color w:val="000000"/>
                <w:highlight w:val="black"/>
                <w:lang w:val="de-DE"/>
              </w:rPr>
              <w:t xml:space="preserve"> </w:t>
            </w:r>
            <w:r w:rsidR="00294FDC" w:rsidRPr="00294FDC">
              <w:rPr>
                <w:color w:val="000000"/>
                <w:highlight w:val="black"/>
                <w:lang w:val="de-DE"/>
              </w:rPr>
              <w:t>xxxx</w:t>
            </w:r>
            <w:r>
              <w:rPr>
                <w:color w:val="000000"/>
                <w:highlight w:val="black"/>
                <w:lang w:val="de-DE"/>
              </w:rPr>
              <w:t xml:space="preserve"> </w:t>
            </w:r>
            <w:r w:rsidR="00294FDC" w:rsidRPr="00294FDC">
              <w:rPr>
                <w:color w:val="000000"/>
                <w:highlight w:val="black"/>
                <w:lang w:val="de-DE"/>
              </w:rPr>
              <w:t>xxxx</w:t>
            </w:r>
            <w:r>
              <w:rPr>
                <w:color w:val="000000"/>
                <w:highlight w:val="black"/>
                <w:lang w:val="de-DE"/>
              </w:rPr>
              <w:t xml:space="preserve"> </w:t>
            </w:r>
            <w:r w:rsidR="00294FDC" w:rsidRPr="00294FDC">
              <w:rPr>
                <w:color w:val="000000"/>
                <w:highlight w:val="black"/>
                <w:lang w:val="de-DE"/>
              </w:rPr>
              <w:t>xxxx</w:t>
            </w:r>
            <w:r>
              <w:rPr>
                <w:color w:val="000000"/>
                <w:highlight w:val="black"/>
                <w:lang w:val="de-DE"/>
              </w:rPr>
              <w:t xml:space="preserve"> </w:t>
            </w:r>
            <w:r w:rsidR="00294FDC" w:rsidRPr="00294FDC">
              <w:rPr>
                <w:color w:val="000000"/>
                <w:highlight w:val="black"/>
                <w:lang w:val="de-DE"/>
              </w:rPr>
              <w:t>xxx</w:t>
            </w:r>
            <w:r>
              <w:rPr>
                <w:color w:val="000000"/>
                <w:highlight w:val="black"/>
                <w:lang w:val="de-DE"/>
              </w:rPr>
              <w:t xml:space="preserve"> </w:t>
            </w:r>
            <w:r w:rsidR="00294FDC" w:rsidRPr="00294FDC">
              <w:rPr>
                <w:color w:val="000000"/>
                <w:highlight w:val="black"/>
                <w:lang w:val="de-DE"/>
              </w:rPr>
              <w:t>xxxxxx</w:t>
            </w:r>
          </w:p>
        </w:tc>
        <w:tc>
          <w:tcPr>
            <w:tcW w:w="924" w:type="pct"/>
            <w:vAlign w:val="bottom"/>
          </w:tcPr>
          <w:p w14:paraId="1EE04168" w14:textId="45473CBE" w:rsidR="00724A2B" w:rsidRPr="00BE4620" w:rsidRDefault="00046DFE" w:rsidP="00046DFE">
            <w:pPr>
              <w:pStyle w:val="NICETabletext"/>
              <w:keepNext w:val="0"/>
              <w:jc w:val="center"/>
              <w:rPr>
                <w:highlight w:val="yellow"/>
                <w:u w:val="single"/>
                <w:lang w:val="de-DE"/>
              </w:rPr>
            </w:pPr>
            <w:r>
              <w:rPr>
                <w:color w:val="000000"/>
                <w:highlight w:val="black"/>
                <w:lang w:val="de-DE"/>
              </w:rPr>
              <w:t xml:space="preserve"> </w:t>
            </w:r>
            <w:r w:rsidR="00294FDC" w:rsidRPr="00294FDC">
              <w:rPr>
                <w:color w:val="000000"/>
                <w:highlight w:val="black"/>
                <w:lang w:val="de-DE"/>
              </w:rPr>
              <w:t>xxxxxxxxxxxxxxxxxxxx</w:t>
            </w:r>
            <w:r w:rsidR="00834C2E">
              <w:rPr>
                <w:color w:val="000000"/>
                <w:highlight w:val="black"/>
                <w:lang w:val="de-DE"/>
              </w:rPr>
              <w:t>xxx</w:t>
            </w:r>
            <w:r w:rsidR="00294FDC" w:rsidRPr="00294FDC">
              <w:rPr>
                <w:color w:val="000000"/>
                <w:highlight w:val="black"/>
                <w:lang w:val="de-DE"/>
              </w:rPr>
              <w:t>xxxxx</w:t>
            </w:r>
          </w:p>
        </w:tc>
        <w:tc>
          <w:tcPr>
            <w:tcW w:w="928" w:type="pct"/>
            <w:vAlign w:val="center"/>
          </w:tcPr>
          <w:p w14:paraId="58999419" w14:textId="605A1707" w:rsidR="00E643B3" w:rsidRPr="00E643B3" w:rsidRDefault="00D6365B" w:rsidP="00E643B3">
            <w:pPr>
              <w:pStyle w:val="NICETabletext"/>
              <w:keepNext w:val="0"/>
              <w:jc w:val="center"/>
            </w:pPr>
            <w:r w:rsidRPr="00E643B3">
              <w:fldChar w:fldCharType="begin"/>
            </w:r>
            <w:r w:rsidRPr="00E643B3">
              <w:instrText xml:space="preserve"> REF _Ref126856819 \n \h  \* MERGEFORMAT </w:instrText>
            </w:r>
            <w:r w:rsidRPr="00E643B3">
              <w:fldChar w:fldCharType="separate"/>
            </w:r>
            <w:r w:rsidR="00145F42">
              <w:t>B.3.4.2</w:t>
            </w:r>
            <w:r w:rsidRPr="00E643B3">
              <w:fldChar w:fldCharType="end"/>
            </w:r>
            <w:r w:rsidR="00244F2E">
              <w:t>,</w:t>
            </w:r>
            <w:r w:rsidR="00E643B3" w:rsidRPr="00E643B3">
              <w:t xml:space="preserve"> </w:t>
            </w:r>
          </w:p>
          <w:p w14:paraId="74770151" w14:textId="3ADBD10D" w:rsidR="00724A2B" w:rsidRPr="00BE4620" w:rsidRDefault="00724A2B" w:rsidP="00E643B3">
            <w:pPr>
              <w:pStyle w:val="NICETabletext"/>
              <w:keepNext w:val="0"/>
              <w:jc w:val="center"/>
              <w:rPr>
                <w:highlight w:val="green"/>
              </w:rPr>
            </w:pPr>
            <w:r w:rsidRPr="003C648C">
              <w:t xml:space="preserve">Page </w:t>
            </w:r>
            <w:r w:rsidR="00E643B3" w:rsidRPr="003C648C">
              <w:t>144</w:t>
            </w:r>
          </w:p>
        </w:tc>
        <w:tc>
          <w:tcPr>
            <w:tcW w:w="1072" w:type="pct"/>
            <w:vAlign w:val="center"/>
          </w:tcPr>
          <w:p w14:paraId="147A82BB" w14:textId="77777777" w:rsidR="00724A2B" w:rsidRPr="00BE4620" w:rsidRDefault="00724A2B">
            <w:pPr>
              <w:pStyle w:val="NICETabletext"/>
              <w:keepNext w:val="0"/>
              <w:jc w:val="center"/>
            </w:pPr>
            <w:r w:rsidRPr="00BE4620">
              <w:t>Derived from DESTINY-Breast04</w:t>
            </w:r>
          </w:p>
        </w:tc>
      </w:tr>
      <w:tr w:rsidR="00724A2B" w:rsidRPr="00BE4620" w14:paraId="53A27EEE" w14:textId="77777777">
        <w:tc>
          <w:tcPr>
            <w:tcW w:w="1152" w:type="pct"/>
          </w:tcPr>
          <w:p w14:paraId="07CFDD19" w14:textId="77777777" w:rsidR="00724A2B" w:rsidRPr="00BE4620" w:rsidRDefault="00724A2B">
            <w:pPr>
              <w:pStyle w:val="NICETabletext"/>
              <w:keepNext w:val="0"/>
            </w:pPr>
            <w:r w:rsidRPr="00BE4620">
              <w:t>Progressed disease</w:t>
            </w:r>
          </w:p>
          <w:p w14:paraId="4C61B650" w14:textId="77777777" w:rsidR="00724A2B" w:rsidRPr="00BE4620" w:rsidRDefault="00724A2B">
            <w:pPr>
              <w:pStyle w:val="NICETabletext"/>
              <w:keepNext w:val="0"/>
              <w:jc w:val="right"/>
            </w:pPr>
            <w:r w:rsidRPr="00BE4620">
              <w:t>T-DXd</w:t>
            </w:r>
          </w:p>
          <w:p w14:paraId="5B9BF7AC" w14:textId="77777777" w:rsidR="00724A2B" w:rsidRPr="00BE4620" w:rsidRDefault="00724A2B">
            <w:pPr>
              <w:pStyle w:val="NICETabletext"/>
              <w:keepNext w:val="0"/>
              <w:jc w:val="right"/>
              <w:rPr>
                <w:b/>
                <w:bCs/>
              </w:rPr>
            </w:pPr>
            <w:r w:rsidRPr="00BE4620">
              <w:t>TPC</w:t>
            </w:r>
          </w:p>
        </w:tc>
        <w:tc>
          <w:tcPr>
            <w:tcW w:w="924" w:type="pct"/>
          </w:tcPr>
          <w:p w14:paraId="09796ECF" w14:textId="77777777" w:rsidR="00724A2B" w:rsidRPr="00BE4620" w:rsidRDefault="00724A2B">
            <w:pPr>
              <w:pStyle w:val="NICETabletext"/>
              <w:keepNext w:val="0"/>
              <w:jc w:val="center"/>
            </w:pPr>
          </w:p>
          <w:p w14:paraId="129CAF34" w14:textId="77777777" w:rsidR="00724A2B" w:rsidRPr="00BE4620" w:rsidRDefault="00724A2B">
            <w:pPr>
              <w:pStyle w:val="NICETabletext"/>
              <w:keepNext w:val="0"/>
              <w:jc w:val="center"/>
            </w:pPr>
            <w:r w:rsidRPr="00BE4620">
              <w:t>0.6101</w:t>
            </w:r>
          </w:p>
          <w:p w14:paraId="1FFA139E" w14:textId="77777777" w:rsidR="00724A2B" w:rsidRPr="00BE4620" w:rsidRDefault="00724A2B">
            <w:pPr>
              <w:pStyle w:val="NICETabletext"/>
              <w:keepNext w:val="0"/>
              <w:jc w:val="center"/>
            </w:pPr>
            <w:r w:rsidRPr="00BE4620">
              <w:t>0.5655</w:t>
            </w:r>
          </w:p>
        </w:tc>
        <w:tc>
          <w:tcPr>
            <w:tcW w:w="924" w:type="pct"/>
            <w:vAlign w:val="center"/>
          </w:tcPr>
          <w:p w14:paraId="57CF50F0" w14:textId="77777777" w:rsidR="00724A2B" w:rsidRPr="00BE4620" w:rsidRDefault="00724A2B">
            <w:pPr>
              <w:pStyle w:val="NICETabletext"/>
              <w:keepNext w:val="0"/>
              <w:jc w:val="center"/>
            </w:pPr>
          </w:p>
        </w:tc>
        <w:tc>
          <w:tcPr>
            <w:tcW w:w="928" w:type="pct"/>
          </w:tcPr>
          <w:p w14:paraId="4760FE66" w14:textId="77777777" w:rsidR="00724A2B" w:rsidRDefault="00724A2B">
            <w:pPr>
              <w:pStyle w:val="NICETabletext"/>
              <w:keepNext w:val="0"/>
              <w:jc w:val="center"/>
              <w:rPr>
                <w:highlight w:val="green"/>
              </w:rPr>
            </w:pPr>
          </w:p>
          <w:p w14:paraId="6F0C6884" w14:textId="55EB7144" w:rsidR="00724A2B" w:rsidRPr="005115FA" w:rsidRDefault="007C383A">
            <w:pPr>
              <w:pStyle w:val="NICETabletext"/>
              <w:keepNext w:val="0"/>
              <w:jc w:val="center"/>
            </w:pPr>
            <w:r w:rsidRPr="005115FA">
              <w:fldChar w:fldCharType="begin"/>
            </w:r>
            <w:r w:rsidRPr="005115FA">
              <w:instrText xml:space="preserve"> REF _Ref127007859 \r \h </w:instrText>
            </w:r>
            <w:r>
              <w:instrText xml:space="preserve"> \* MERGEFORMAT </w:instrText>
            </w:r>
            <w:r w:rsidRPr="005115FA">
              <w:fldChar w:fldCharType="separate"/>
            </w:r>
            <w:r w:rsidR="00145F42">
              <w:t>B.3.4.3</w:t>
            </w:r>
            <w:r w:rsidRPr="005115FA">
              <w:fldChar w:fldCharType="end"/>
            </w:r>
            <w:r w:rsidR="00724A2B" w:rsidRPr="005115FA">
              <w:t>,</w:t>
            </w:r>
          </w:p>
          <w:p w14:paraId="4A128B82" w14:textId="1DEFA961" w:rsidR="00724A2B" w:rsidRPr="00BE4620" w:rsidRDefault="00244F2E">
            <w:pPr>
              <w:pStyle w:val="NICETabletext"/>
              <w:keepNext w:val="0"/>
              <w:jc w:val="center"/>
              <w:rPr>
                <w:highlight w:val="green"/>
              </w:rPr>
            </w:pPr>
            <w:r w:rsidRPr="006D0E13">
              <w:t xml:space="preserve">Page </w:t>
            </w:r>
            <w:r w:rsidRPr="00D6365B">
              <w:t>14</w:t>
            </w:r>
            <w:r>
              <w:t>5</w:t>
            </w:r>
          </w:p>
        </w:tc>
        <w:tc>
          <w:tcPr>
            <w:tcW w:w="1072" w:type="pct"/>
            <w:vAlign w:val="center"/>
          </w:tcPr>
          <w:p w14:paraId="447EE84C" w14:textId="77777777" w:rsidR="00724A2B" w:rsidRPr="00BE4620" w:rsidRDefault="00724A2B">
            <w:pPr>
              <w:pStyle w:val="NICETabletext"/>
              <w:keepNext w:val="0"/>
              <w:jc w:val="center"/>
            </w:pPr>
            <w:r w:rsidRPr="00BE4620">
              <w:t>Previously accepted algorithm from Lloyd et al using DESTINY-Breast04 response data</w:t>
            </w:r>
          </w:p>
        </w:tc>
      </w:tr>
      <w:tr w:rsidR="00724A2B" w:rsidRPr="00BE4620" w14:paraId="52D43EAE" w14:textId="77777777">
        <w:tc>
          <w:tcPr>
            <w:tcW w:w="5000" w:type="pct"/>
            <w:gridSpan w:val="5"/>
            <w:shd w:val="clear" w:color="auto" w:fill="F2F2F2" w:themeFill="background1" w:themeFillShade="F2"/>
            <w:vAlign w:val="center"/>
          </w:tcPr>
          <w:p w14:paraId="1BEC49B4" w14:textId="77777777" w:rsidR="00724A2B" w:rsidRPr="00BE4620" w:rsidRDefault="00724A2B">
            <w:pPr>
              <w:pStyle w:val="NICETabletext"/>
              <w:keepNext w:val="0"/>
              <w:rPr>
                <w:b/>
                <w:i/>
              </w:rPr>
            </w:pPr>
            <w:r w:rsidRPr="00BE4620">
              <w:rPr>
                <w:b/>
                <w:i/>
              </w:rPr>
              <w:t xml:space="preserve">Scenario 1 – progressed-disease utilities derived from DESTINY-Breast04 </w:t>
            </w:r>
          </w:p>
        </w:tc>
      </w:tr>
      <w:tr w:rsidR="00724A2B" w:rsidRPr="00BE4620" w14:paraId="587A2DDB" w14:textId="77777777" w:rsidTr="00834C2E">
        <w:tc>
          <w:tcPr>
            <w:tcW w:w="1152" w:type="pct"/>
          </w:tcPr>
          <w:p w14:paraId="33756D35" w14:textId="77777777" w:rsidR="00724A2B" w:rsidRPr="00BE4620" w:rsidRDefault="00724A2B">
            <w:pPr>
              <w:pStyle w:val="NICETabletext"/>
              <w:keepNext w:val="0"/>
              <w:rPr>
                <w:lang w:val="de-DE"/>
              </w:rPr>
            </w:pPr>
            <w:r w:rsidRPr="00BE4620">
              <w:rPr>
                <w:lang w:val="de-DE"/>
              </w:rPr>
              <w:t xml:space="preserve">Progression-free </w:t>
            </w:r>
          </w:p>
          <w:p w14:paraId="3AEB557C" w14:textId="77777777" w:rsidR="00724A2B" w:rsidRPr="00BE4620" w:rsidRDefault="00724A2B">
            <w:pPr>
              <w:pStyle w:val="NICETabletext"/>
              <w:keepNext w:val="0"/>
              <w:jc w:val="right"/>
              <w:rPr>
                <w:lang w:val="de-DE"/>
              </w:rPr>
            </w:pPr>
            <w:r w:rsidRPr="00BE4620">
              <w:rPr>
                <w:lang w:val="de-DE"/>
              </w:rPr>
              <w:t>T-DXd</w:t>
            </w:r>
          </w:p>
          <w:p w14:paraId="713B379B" w14:textId="77777777" w:rsidR="00724A2B" w:rsidRPr="00BE4620" w:rsidRDefault="00724A2B">
            <w:pPr>
              <w:pStyle w:val="NICETabletext"/>
              <w:keepNext w:val="0"/>
              <w:jc w:val="right"/>
              <w:rPr>
                <w:lang w:val="de-DE"/>
              </w:rPr>
            </w:pPr>
            <w:r w:rsidRPr="00BE4620">
              <w:rPr>
                <w:lang w:val="de-DE"/>
              </w:rPr>
              <w:t>TPC</w:t>
            </w:r>
          </w:p>
        </w:tc>
        <w:tc>
          <w:tcPr>
            <w:tcW w:w="924" w:type="pct"/>
            <w:vAlign w:val="bottom"/>
          </w:tcPr>
          <w:p w14:paraId="32486114" w14:textId="659C8E83" w:rsidR="00724A2B" w:rsidRPr="00BE4620" w:rsidRDefault="00834C2E" w:rsidP="00834C2E">
            <w:pPr>
              <w:pStyle w:val="NICETabletext"/>
              <w:keepNext w:val="0"/>
              <w:jc w:val="center"/>
            </w:pPr>
            <w:r w:rsidRPr="00294FDC">
              <w:rPr>
                <w:color w:val="000000"/>
                <w:highlight w:val="black"/>
                <w:lang w:val="de-DE"/>
              </w:rPr>
              <w:t>xxxxxxxxxxxxxxxxxxxx</w:t>
            </w:r>
            <w:r>
              <w:rPr>
                <w:color w:val="000000"/>
                <w:highlight w:val="black"/>
                <w:lang w:val="de-DE"/>
              </w:rPr>
              <w:t>xxx</w:t>
            </w:r>
            <w:r w:rsidRPr="00294FDC">
              <w:rPr>
                <w:color w:val="000000"/>
                <w:highlight w:val="black"/>
                <w:lang w:val="de-DE"/>
              </w:rPr>
              <w:t>xxxxx</w:t>
            </w:r>
          </w:p>
        </w:tc>
        <w:tc>
          <w:tcPr>
            <w:tcW w:w="924" w:type="pct"/>
            <w:vAlign w:val="bottom"/>
          </w:tcPr>
          <w:p w14:paraId="740095E3" w14:textId="6999A45B" w:rsidR="00724A2B" w:rsidRPr="00BE4620" w:rsidRDefault="00834C2E" w:rsidP="00834C2E">
            <w:pPr>
              <w:pStyle w:val="NICETabletext"/>
              <w:keepNext w:val="0"/>
              <w:jc w:val="center"/>
            </w:pPr>
            <w:r w:rsidRPr="00294FDC">
              <w:rPr>
                <w:color w:val="000000"/>
                <w:highlight w:val="black"/>
                <w:lang w:val="de-DE"/>
              </w:rPr>
              <w:t>xxxxxxxxxxxxxxxxxxxx</w:t>
            </w:r>
            <w:r>
              <w:rPr>
                <w:color w:val="000000"/>
                <w:highlight w:val="black"/>
                <w:lang w:val="de-DE"/>
              </w:rPr>
              <w:t>xxx</w:t>
            </w:r>
            <w:r w:rsidRPr="00294FDC">
              <w:rPr>
                <w:color w:val="000000"/>
                <w:highlight w:val="black"/>
                <w:lang w:val="de-DE"/>
              </w:rPr>
              <w:t>xxxxx</w:t>
            </w:r>
          </w:p>
        </w:tc>
        <w:tc>
          <w:tcPr>
            <w:tcW w:w="928" w:type="pct"/>
            <w:vMerge w:val="restart"/>
            <w:vAlign w:val="center"/>
          </w:tcPr>
          <w:p w14:paraId="55831329" w14:textId="78C5D8D1" w:rsidR="00724A2B" w:rsidRPr="003C648C" w:rsidRDefault="00D6365B">
            <w:pPr>
              <w:pStyle w:val="NICETabletext"/>
              <w:keepNext w:val="0"/>
              <w:jc w:val="center"/>
            </w:pPr>
            <w:r w:rsidRPr="00D6365B">
              <w:fldChar w:fldCharType="begin"/>
            </w:r>
            <w:r w:rsidRPr="00D6365B">
              <w:instrText xml:space="preserve"> REF _Ref126856819 \n \h </w:instrText>
            </w:r>
            <w:r>
              <w:instrText xml:space="preserve"> \* MERGEFORMAT </w:instrText>
            </w:r>
            <w:r w:rsidRPr="00D6365B">
              <w:fldChar w:fldCharType="separate"/>
            </w:r>
            <w:r w:rsidR="00145F42">
              <w:t>B.3.4.2</w:t>
            </w:r>
            <w:r w:rsidRPr="00D6365B">
              <w:fldChar w:fldCharType="end"/>
            </w:r>
            <w:r w:rsidR="00244F2E">
              <w:t>,</w:t>
            </w:r>
          </w:p>
          <w:p w14:paraId="2082E2BD" w14:textId="0A13368F" w:rsidR="00724A2B" w:rsidRPr="00BE4620" w:rsidRDefault="00724A2B">
            <w:pPr>
              <w:pStyle w:val="NICETabletext"/>
              <w:keepNext w:val="0"/>
              <w:jc w:val="center"/>
            </w:pPr>
            <w:r w:rsidRPr="003C648C">
              <w:t xml:space="preserve">Page </w:t>
            </w:r>
            <w:r w:rsidR="00D6365B" w:rsidRPr="00D6365B">
              <w:t>144</w:t>
            </w:r>
          </w:p>
        </w:tc>
        <w:tc>
          <w:tcPr>
            <w:tcW w:w="1072" w:type="pct"/>
            <w:vMerge w:val="restart"/>
            <w:vAlign w:val="center"/>
          </w:tcPr>
          <w:p w14:paraId="58413424" w14:textId="77777777" w:rsidR="00724A2B" w:rsidRPr="00BE4620" w:rsidRDefault="00724A2B">
            <w:pPr>
              <w:pStyle w:val="NICETabletext"/>
              <w:keepNext w:val="0"/>
              <w:jc w:val="center"/>
            </w:pPr>
            <w:r w:rsidRPr="00BE4620">
              <w:t>Explore using alternative progressed-disease utilities derived from DESTINY-Breast04</w:t>
            </w:r>
          </w:p>
        </w:tc>
      </w:tr>
      <w:tr w:rsidR="00834C2E" w:rsidRPr="00BE4620" w14:paraId="17192660" w14:textId="77777777" w:rsidTr="00834C2E">
        <w:tc>
          <w:tcPr>
            <w:tcW w:w="1152" w:type="pct"/>
          </w:tcPr>
          <w:p w14:paraId="623E1029" w14:textId="77777777" w:rsidR="00834C2E" w:rsidRPr="00BE4620" w:rsidRDefault="00834C2E" w:rsidP="00834C2E">
            <w:pPr>
              <w:pStyle w:val="NICETabletext"/>
              <w:keepNext w:val="0"/>
            </w:pPr>
            <w:r w:rsidRPr="00BE4620">
              <w:t>Progressed disease</w:t>
            </w:r>
          </w:p>
          <w:p w14:paraId="01FEDA6D" w14:textId="77777777" w:rsidR="00834C2E" w:rsidRPr="00BE4620" w:rsidRDefault="00834C2E" w:rsidP="00834C2E">
            <w:pPr>
              <w:pStyle w:val="NICETabletext"/>
              <w:keepNext w:val="0"/>
              <w:jc w:val="right"/>
            </w:pPr>
            <w:r w:rsidRPr="00BE4620">
              <w:t>T-DXd</w:t>
            </w:r>
          </w:p>
          <w:p w14:paraId="290E3FCC" w14:textId="77777777" w:rsidR="00834C2E" w:rsidRPr="00BE4620" w:rsidRDefault="00834C2E" w:rsidP="00834C2E">
            <w:pPr>
              <w:pStyle w:val="NICETabletext"/>
              <w:keepNext w:val="0"/>
              <w:jc w:val="right"/>
            </w:pPr>
            <w:r w:rsidRPr="00BE4620">
              <w:t>TPC</w:t>
            </w:r>
          </w:p>
        </w:tc>
        <w:tc>
          <w:tcPr>
            <w:tcW w:w="924" w:type="pct"/>
            <w:vAlign w:val="bottom"/>
          </w:tcPr>
          <w:p w14:paraId="297E700B" w14:textId="6E327574" w:rsidR="00834C2E" w:rsidRPr="00BE4620" w:rsidRDefault="00834C2E" w:rsidP="00834C2E">
            <w:pPr>
              <w:pStyle w:val="NICETabletext"/>
              <w:keepNext w:val="0"/>
              <w:jc w:val="center"/>
              <w:rPr>
                <w:highlight w:val="yellow"/>
                <w:u w:val="single"/>
                <w:lang w:val="de-DE"/>
              </w:rPr>
            </w:pPr>
            <w:r w:rsidRPr="003F1805">
              <w:rPr>
                <w:color w:val="000000"/>
                <w:highlight w:val="black"/>
                <w:lang w:val="de-DE"/>
              </w:rPr>
              <w:t>xxxxxxxxxxxxxxxxxxxxxxxxxxxx</w:t>
            </w:r>
          </w:p>
        </w:tc>
        <w:tc>
          <w:tcPr>
            <w:tcW w:w="924" w:type="pct"/>
            <w:vAlign w:val="bottom"/>
          </w:tcPr>
          <w:p w14:paraId="5012CD1D" w14:textId="07166203" w:rsidR="00834C2E" w:rsidRPr="00BE4620" w:rsidRDefault="00834C2E" w:rsidP="00834C2E">
            <w:pPr>
              <w:pStyle w:val="NICETabletext"/>
              <w:keepNext w:val="0"/>
              <w:jc w:val="center"/>
            </w:pPr>
            <w:r w:rsidRPr="003F1805">
              <w:rPr>
                <w:color w:val="000000"/>
                <w:highlight w:val="black"/>
                <w:lang w:val="de-DE"/>
              </w:rPr>
              <w:t>xxxxxxxxxxxxxxxxxxxxxxxxxxxx</w:t>
            </w:r>
          </w:p>
        </w:tc>
        <w:tc>
          <w:tcPr>
            <w:tcW w:w="928" w:type="pct"/>
            <w:vMerge/>
          </w:tcPr>
          <w:p w14:paraId="7C53AD65" w14:textId="77777777" w:rsidR="00834C2E" w:rsidRPr="00BE4620" w:rsidRDefault="00834C2E" w:rsidP="00834C2E">
            <w:pPr>
              <w:pStyle w:val="NICETabletext"/>
              <w:keepNext w:val="0"/>
              <w:jc w:val="center"/>
            </w:pPr>
          </w:p>
        </w:tc>
        <w:tc>
          <w:tcPr>
            <w:tcW w:w="1072" w:type="pct"/>
            <w:vMerge/>
          </w:tcPr>
          <w:p w14:paraId="312FF00E" w14:textId="77777777" w:rsidR="00834C2E" w:rsidRPr="00BE4620" w:rsidRDefault="00834C2E" w:rsidP="00834C2E">
            <w:pPr>
              <w:pStyle w:val="NICETabletext"/>
              <w:keepNext w:val="0"/>
              <w:jc w:val="center"/>
            </w:pPr>
          </w:p>
        </w:tc>
      </w:tr>
    </w:tbl>
    <w:p w14:paraId="3AE1E9D2" w14:textId="77777777" w:rsidR="00724A2B" w:rsidRPr="00BE4620" w:rsidRDefault="00724A2B" w:rsidP="00724A2B">
      <w:pPr>
        <w:pStyle w:val="Footnotes"/>
        <w:rPr>
          <w:lang w:val="en-US"/>
        </w:rPr>
      </w:pPr>
      <w:r w:rsidRPr="00BE4620">
        <w:rPr>
          <w:lang w:val="en-US"/>
        </w:rPr>
        <w:t>Abbreviations: SE, standard error;</w:t>
      </w:r>
      <w:r w:rsidRPr="00BE4620">
        <w:t xml:space="preserve"> T-DXd, trastuzumab deruxtecan; TPC, treatment of physician’s choice. </w:t>
      </w:r>
    </w:p>
    <w:p w14:paraId="5A7157FA" w14:textId="77777777" w:rsidR="00EC2472" w:rsidRPr="00BE4620" w:rsidRDefault="00EC2472" w:rsidP="00EC2472">
      <w:pPr>
        <w:pStyle w:val="Heading2"/>
      </w:pPr>
      <w:bookmarkStart w:id="658" w:name="_Toc98924674"/>
      <w:bookmarkStart w:id="659" w:name="_Toc127006451"/>
      <w:bookmarkStart w:id="660" w:name="_Toc129350898"/>
      <w:r w:rsidRPr="00BE4620">
        <w:lastRenderedPageBreak/>
        <w:t>Cost and healthcare resource use identification, measurement and valuation</w:t>
      </w:r>
      <w:bookmarkEnd w:id="658"/>
      <w:bookmarkEnd w:id="659"/>
      <w:bookmarkEnd w:id="660"/>
    </w:p>
    <w:p w14:paraId="4948F1F4" w14:textId="77777777" w:rsidR="00EC2472" w:rsidRPr="00BE4620" w:rsidRDefault="00EC2472" w:rsidP="00EC2472">
      <w:pPr>
        <w:pStyle w:val="Body"/>
      </w:pPr>
      <w:r w:rsidRPr="00BE4620">
        <w:t>An SLR was undertaken to identify cost and resource use studies for HER2-negative or HER2</w:t>
      </w:r>
      <w:r w:rsidRPr="00A710D0">
        <w:t xml:space="preserve">-low </w:t>
      </w:r>
      <w:r w:rsidRPr="00BE4620">
        <w:t xml:space="preserve">u/mBC breast cancer </w:t>
      </w:r>
      <w:r w:rsidRPr="00A710D0">
        <w:t>previously treated with chemotherapy</w:t>
      </w:r>
      <w:r w:rsidRPr="00BE4620">
        <w:t xml:space="preserve">. Full details of the SLR methods, identified studies and results are presented in </w:t>
      </w:r>
      <w:r w:rsidRPr="003C648C">
        <w:rPr>
          <w:b/>
        </w:rPr>
        <w:t>Appendix I</w:t>
      </w:r>
      <w:r w:rsidRPr="00BE4620">
        <w:t xml:space="preserve">. </w:t>
      </w:r>
    </w:p>
    <w:p w14:paraId="0E76F935" w14:textId="77777777" w:rsidR="00EC2472" w:rsidRPr="00BE4620" w:rsidRDefault="00EC2472" w:rsidP="00EC2472">
      <w:pPr>
        <w:pStyle w:val="Heading3"/>
      </w:pPr>
      <w:bookmarkStart w:id="661" w:name="_Toc98924675"/>
      <w:bookmarkStart w:id="662" w:name="_Ref99727403"/>
      <w:bookmarkStart w:id="663" w:name="_Toc127006452"/>
      <w:bookmarkStart w:id="664" w:name="_Toc129350899"/>
      <w:r w:rsidRPr="00BE4620">
        <w:t>Intervention and comparators’ costs and resource use</w:t>
      </w:r>
      <w:bookmarkEnd w:id="661"/>
      <w:bookmarkEnd w:id="662"/>
      <w:bookmarkEnd w:id="663"/>
      <w:bookmarkEnd w:id="664"/>
    </w:p>
    <w:p w14:paraId="05431863" w14:textId="77777777" w:rsidR="00EC2472" w:rsidRPr="00BE4620" w:rsidRDefault="00EC2472" w:rsidP="00EC2472">
      <w:pPr>
        <w:pStyle w:val="Heading4"/>
      </w:pPr>
      <w:bookmarkStart w:id="665" w:name="_Ref99729317"/>
      <w:r w:rsidRPr="00BE4620">
        <w:t>Drug acquisition costs</w:t>
      </w:r>
      <w:bookmarkEnd w:id="665"/>
    </w:p>
    <w:p w14:paraId="7A0B2EEE" w14:textId="5DBBA392" w:rsidR="00EC2472" w:rsidRPr="00BE4620" w:rsidRDefault="00EC2472" w:rsidP="00EC2472">
      <w:pPr>
        <w:pStyle w:val="Body"/>
      </w:pPr>
      <w:r w:rsidRPr="00BE4620">
        <w:t>The drug unit costs for each treatment included in the model were sourced from the electronic Market Information Tool (eMIT)</w:t>
      </w:r>
      <w:r w:rsidRPr="00BE4620">
        <w:fldChar w:fldCharType="begin"/>
      </w:r>
      <w:r w:rsidR="00CA6345">
        <w:instrText xml:space="preserve"> ADDIN ZOTERO_ITEM CSL_CITATION {"citationID":"hbrs9Tl8","properties":{"formattedCitation":"\\super 178\\nosupersub{}","plainCitation":"178","noteIndex":0},"citationItems":[{"id":66441,"uris":["http://zotero.org/groups/4797619/items/F9TFWCRM"],"itemData":{"id":66441,"type":"webpage","title":"Drugs and pharmaceutical electronic market information tool - eMIT 2022 [Accessed 24 January 2023]","URL":"https://www.gov.uk/government/publications/drugs-and-pharmaceutical-electronic-market-information-emit","author":[{"family":"Department of Health and Social Care","given":""}],"accessed":{"date-parts":[["2023",1,24]]},"issued":{"date-parts":[["2022"]],"season":"11"}}}],"schema":"https://github.com/citation-style-language/schema/raw/master/csl-citation.json"} </w:instrText>
      </w:r>
      <w:r w:rsidRPr="00BE4620">
        <w:fldChar w:fldCharType="separate"/>
      </w:r>
      <w:r w:rsidR="00CA6345" w:rsidRPr="00CA6345">
        <w:rPr>
          <w:rFonts w:cs="Arial"/>
          <w:szCs w:val="24"/>
          <w:vertAlign w:val="superscript"/>
        </w:rPr>
        <w:t>178</w:t>
      </w:r>
      <w:r w:rsidRPr="00BE4620">
        <w:fldChar w:fldCharType="end"/>
      </w:r>
      <w:r w:rsidRPr="00BE4620">
        <w:t>, where available, or the British National Formulary (BNF)</w:t>
      </w:r>
      <w:r w:rsidRPr="00BE4620">
        <w:fldChar w:fldCharType="begin"/>
      </w:r>
      <w:r w:rsidR="00CA6345">
        <w:instrText xml:space="preserve"> ADDIN ZOTERO_ITEM CSL_CITATION {"citationID":"tX8b1JkG","properties":{"formattedCitation":"\\super 179\\nosupersub{}","plainCitation":"179","noteIndex":0},"citationItems":[{"id":66359,"uris":["http://zotero.org/groups/4797619/items/AQCF65ZR"],"itemData":{"id":66359,"type":"webpage","abstract":"Pricing and pack information for Powder for solution for infusion forms of Trastuzumab deruxtecan","language":"en-GB","title":"Medicinal forms | Trastuzumab deruxtecan | Drugs | BNF content published by NICE","URL":"https://bnf.nice.org.uk/drugs/trastuzumab-deruxtecan/medicinal-forms/","accessed":{"date-parts":[["2023",1,4]]}}}],"schema":"https://github.com/citation-style-language/schema/raw/master/csl-citation.json"} </w:instrText>
      </w:r>
      <w:r w:rsidRPr="00BE4620">
        <w:fldChar w:fldCharType="separate"/>
      </w:r>
      <w:r w:rsidR="00CA6345" w:rsidRPr="00CA6345">
        <w:rPr>
          <w:rFonts w:cs="Arial"/>
          <w:szCs w:val="24"/>
          <w:vertAlign w:val="superscript"/>
        </w:rPr>
        <w:t>179</w:t>
      </w:r>
      <w:r w:rsidRPr="00BE4620">
        <w:fldChar w:fldCharType="end"/>
      </w:r>
      <w:r w:rsidRPr="00BE4620">
        <w:t>, in line with the NICE methods manual,</w:t>
      </w:r>
      <w:r w:rsidRPr="00BE4620">
        <w:fldChar w:fldCharType="begin"/>
      </w:r>
      <w:r w:rsidR="00CA6345">
        <w:instrText xml:space="preserve"> ADDIN ZOTERO_ITEM CSL_CITATION {"citationID":"DX26Zoip","properties":{"formattedCitation":"\\super 2\\nosupersub{}","plainCitation":"2","noteIndex":0},"citationItems":[{"id":65886,"uris":["http://zotero.org/groups/4797619/items/2LQNV7UR"],"itemData":{"id":65886,"type":"webpage","abstract":"This guide describes the methods and processes, including expected timescales, that NICE follows when carrying out health technology evaluations. The methods and processes are designed to produce robust guidance for the NHS in an open, transparent and timely way, with appropriate contribution from stakeholders. Organisations invited to contribute to health technology evaluation development should read this manual in conjunction with the NICE health technology evaluation topic selection: the manual. All documents are available on the NICE website.","language":"eng","note":"publisher: NICE","title":"NICE health technology evaluations: the manual","title-short":"NICE health technology evaluations","URL":"https://www.nice.org.uk/process/pmg36/chapter/introduction-to-health-technology-evaluation","author":[{"family":"NICE","given":""}],"accessed":{"date-parts":[["2022",10,19]]},"issued":{"date-parts":[["2022",1]]}}}],"schema":"https://github.com/citation-style-language/schema/raw/master/csl-citation.json"} </w:instrText>
      </w:r>
      <w:r w:rsidRPr="00BE4620">
        <w:fldChar w:fldCharType="separate"/>
      </w:r>
      <w:r w:rsidR="00FD57F4" w:rsidRPr="00FD57F4">
        <w:rPr>
          <w:rFonts w:cs="Arial"/>
          <w:szCs w:val="24"/>
          <w:vertAlign w:val="superscript"/>
        </w:rPr>
        <w:t>2</w:t>
      </w:r>
      <w:r w:rsidRPr="00BE4620">
        <w:fldChar w:fldCharType="end"/>
      </w:r>
      <w:r w:rsidRPr="00BE4620">
        <w:t xml:space="preserve"> and are presented in </w:t>
      </w:r>
      <w:r w:rsidRPr="003C648C">
        <w:rPr>
          <w:b/>
          <w:bCs/>
        </w:rPr>
        <w:fldChar w:fldCharType="begin"/>
      </w:r>
      <w:r w:rsidRPr="003C648C">
        <w:rPr>
          <w:b/>
          <w:bCs/>
        </w:rPr>
        <w:instrText xml:space="preserve"> REF _Ref96105268 \h </w:instrText>
      </w:r>
      <w:r w:rsidR="00BB06FD">
        <w:rPr>
          <w:b/>
          <w:bCs/>
        </w:rPr>
        <w:instrText xml:space="preserve"> \* MERGEFORMAT </w:instrText>
      </w:r>
      <w:r w:rsidRPr="003C648C">
        <w:rPr>
          <w:b/>
          <w:bCs/>
        </w:rPr>
      </w:r>
      <w:r w:rsidRPr="003C648C">
        <w:rPr>
          <w:b/>
          <w:bCs/>
        </w:rPr>
        <w:fldChar w:fldCharType="separate"/>
      </w:r>
      <w:r w:rsidR="00145F42" w:rsidRPr="00145F42">
        <w:rPr>
          <w:b/>
          <w:bCs/>
        </w:rPr>
        <w:t xml:space="preserve">Table </w:t>
      </w:r>
      <w:r w:rsidR="00145F42" w:rsidRPr="00145F42">
        <w:rPr>
          <w:b/>
          <w:bCs/>
          <w:noProof/>
        </w:rPr>
        <w:t>52</w:t>
      </w:r>
      <w:r w:rsidRPr="003C648C">
        <w:rPr>
          <w:b/>
          <w:bCs/>
        </w:rPr>
        <w:fldChar w:fldCharType="end"/>
      </w:r>
      <w:r w:rsidRPr="00BE4620">
        <w:t xml:space="preserve">. </w:t>
      </w:r>
      <w:r w:rsidR="00A1194D">
        <w:t>A</w:t>
      </w:r>
      <w:r w:rsidRPr="00BE4620">
        <w:t xml:space="preserve"> confidential simple discount Patient Access Scheme (PAS) for T-DXd </w:t>
      </w:r>
      <w:r w:rsidR="00A1194D">
        <w:t xml:space="preserve">is currently operational in the NHS, </w:t>
      </w:r>
      <w:r w:rsidRPr="00BE4620">
        <w:t xml:space="preserve">resulting in a fixed net price of </w:t>
      </w:r>
      <w:r w:rsidR="00E22499" w:rsidRPr="00E22499">
        <w:rPr>
          <w:rStyle w:val="NICECICChar"/>
          <w:rFonts w:eastAsiaTheme="minorHAnsi"/>
          <w:color w:val="000000"/>
          <w:highlight w:val="black"/>
          <w:u w:val="none"/>
        </w:rPr>
        <w:t>XXXXX</w:t>
      </w:r>
      <w:r w:rsidRPr="00BE4620">
        <w:t xml:space="preserve"> per 100mg vial (equivalent to a discount of </w:t>
      </w:r>
      <w:r w:rsidR="00E22499" w:rsidRPr="00E22499">
        <w:rPr>
          <w:rStyle w:val="NICECICChar"/>
          <w:rFonts w:eastAsiaTheme="minorEastAsia"/>
          <w:highlight w:val="black"/>
        </w:rPr>
        <w:t>X</w:t>
      </w:r>
      <w:r w:rsidR="00E22499">
        <w:rPr>
          <w:rStyle w:val="NICECICChar"/>
          <w:rFonts w:eastAsiaTheme="minorEastAsia"/>
          <w:highlight w:val="black"/>
        </w:rPr>
        <w:t>X</w:t>
      </w:r>
      <w:r w:rsidR="00E22499" w:rsidRPr="00E22499">
        <w:rPr>
          <w:rStyle w:val="NICECICChar"/>
          <w:rFonts w:eastAsiaTheme="minorEastAsia"/>
          <w:highlight w:val="black"/>
        </w:rPr>
        <w:t>XXX</w:t>
      </w:r>
      <w:r w:rsidRPr="00BE4620">
        <w:rPr>
          <w:rStyle w:val="NICEnormalChar"/>
        </w:rPr>
        <w:t xml:space="preserve"> to the list price).</w:t>
      </w:r>
      <w:r w:rsidRPr="00BE4620">
        <w:t xml:space="preserve"> A PAS is in in place for </w:t>
      </w:r>
      <w:r w:rsidRPr="00EB7DFA">
        <w:t>e</w:t>
      </w:r>
      <w:r>
        <w:t>ribulin, however as this is commercially confidential it is not</w:t>
      </w:r>
      <w:r w:rsidRPr="00BE4620">
        <w:t xml:space="preserve"> applied within the analysis. </w:t>
      </w:r>
    </w:p>
    <w:p w14:paraId="1A145DAB" w14:textId="629EC963" w:rsidR="00EC2472" w:rsidRPr="00BE4620" w:rsidRDefault="00EC2472" w:rsidP="00EC2472">
      <w:pPr>
        <w:pStyle w:val="Caption"/>
      </w:pPr>
      <w:bookmarkStart w:id="666" w:name="_Ref96105268"/>
      <w:bookmarkStart w:id="667" w:name="_Toc98924760"/>
      <w:bookmarkStart w:id="668" w:name="_Toc127006682"/>
      <w:bookmarkStart w:id="669" w:name="_Toc129351027"/>
      <w:r w:rsidRPr="00BE4620">
        <w:t xml:space="preserve">Table </w:t>
      </w:r>
      <w:r w:rsidRPr="00BE4620">
        <w:fldChar w:fldCharType="begin"/>
      </w:r>
      <w:r w:rsidRPr="00BE4620">
        <w:instrText>SEQ Table \* ARABIC</w:instrText>
      </w:r>
      <w:r w:rsidRPr="00BE4620">
        <w:fldChar w:fldCharType="separate"/>
      </w:r>
      <w:r w:rsidR="00145F42">
        <w:rPr>
          <w:noProof/>
        </w:rPr>
        <w:t>52</w:t>
      </w:r>
      <w:r w:rsidRPr="00BE4620">
        <w:fldChar w:fldCharType="end"/>
      </w:r>
      <w:bookmarkEnd w:id="666"/>
      <w:r w:rsidRPr="00BE4620">
        <w:t>: Unit drug costs</w:t>
      </w:r>
      <w:bookmarkEnd w:id="667"/>
      <w:bookmarkEnd w:id="668"/>
      <w:bookmarkEnd w:id="669"/>
    </w:p>
    <w:tbl>
      <w:tblPr>
        <w:tblStyle w:val="TableGrid"/>
        <w:tblW w:w="0" w:type="auto"/>
        <w:tblLook w:val="04A0" w:firstRow="1" w:lastRow="0" w:firstColumn="1" w:lastColumn="0" w:noHBand="0" w:noVBand="1"/>
      </w:tblPr>
      <w:tblGrid>
        <w:gridCol w:w="1730"/>
        <w:gridCol w:w="1372"/>
        <w:gridCol w:w="1742"/>
        <w:gridCol w:w="977"/>
        <w:gridCol w:w="1976"/>
        <w:gridCol w:w="1220"/>
      </w:tblGrid>
      <w:tr w:rsidR="00EC2472" w:rsidRPr="00BE4620" w14:paraId="22572E3E" w14:textId="77777777">
        <w:tc>
          <w:tcPr>
            <w:tcW w:w="1730" w:type="dxa"/>
            <w:shd w:val="clear" w:color="auto" w:fill="D9D9D9" w:themeFill="background1" w:themeFillShade="D9"/>
          </w:tcPr>
          <w:p w14:paraId="1A5A30AE" w14:textId="77777777" w:rsidR="00EC2472" w:rsidRPr="00BE4620" w:rsidRDefault="00EC2472">
            <w:pPr>
              <w:pStyle w:val="NICETableHeader"/>
            </w:pPr>
            <w:r w:rsidRPr="00BE4620">
              <w:t>Drug</w:t>
            </w:r>
          </w:p>
        </w:tc>
        <w:tc>
          <w:tcPr>
            <w:tcW w:w="1372" w:type="dxa"/>
            <w:shd w:val="clear" w:color="auto" w:fill="D9D9D9" w:themeFill="background1" w:themeFillShade="D9"/>
          </w:tcPr>
          <w:p w14:paraId="110A4899" w14:textId="77777777" w:rsidR="00EC2472" w:rsidRPr="00BE4620" w:rsidRDefault="00EC2472">
            <w:pPr>
              <w:pStyle w:val="NICETableHeader"/>
              <w:jc w:val="center"/>
            </w:pPr>
            <w:r w:rsidRPr="00BE4620">
              <w:t>Formulation</w:t>
            </w:r>
          </w:p>
        </w:tc>
        <w:tc>
          <w:tcPr>
            <w:tcW w:w="1742" w:type="dxa"/>
            <w:shd w:val="clear" w:color="auto" w:fill="D9D9D9" w:themeFill="background1" w:themeFillShade="D9"/>
          </w:tcPr>
          <w:p w14:paraId="528FD0B3" w14:textId="77777777" w:rsidR="00EC2472" w:rsidRPr="00BE4620" w:rsidRDefault="00EC2472">
            <w:pPr>
              <w:pStyle w:val="NICETableHeader"/>
              <w:jc w:val="center"/>
            </w:pPr>
            <w:r w:rsidRPr="00BE4620">
              <w:t>Unit size</w:t>
            </w:r>
          </w:p>
        </w:tc>
        <w:tc>
          <w:tcPr>
            <w:tcW w:w="977" w:type="dxa"/>
            <w:shd w:val="clear" w:color="auto" w:fill="D9D9D9" w:themeFill="background1" w:themeFillShade="D9"/>
          </w:tcPr>
          <w:p w14:paraId="724648ED" w14:textId="77777777" w:rsidR="00EC2472" w:rsidRPr="00BE4620" w:rsidRDefault="00EC2472">
            <w:pPr>
              <w:pStyle w:val="NICETableHeader"/>
              <w:jc w:val="center"/>
            </w:pPr>
            <w:r w:rsidRPr="00BE4620">
              <w:t>Pack size</w:t>
            </w:r>
          </w:p>
        </w:tc>
        <w:tc>
          <w:tcPr>
            <w:tcW w:w="1976" w:type="dxa"/>
            <w:shd w:val="clear" w:color="auto" w:fill="D9D9D9" w:themeFill="background1" w:themeFillShade="D9"/>
          </w:tcPr>
          <w:p w14:paraId="0D68AD81" w14:textId="77777777" w:rsidR="00EC2472" w:rsidRPr="00BE4620" w:rsidRDefault="00EC2472">
            <w:pPr>
              <w:pStyle w:val="NICETableHeader"/>
              <w:jc w:val="center"/>
            </w:pPr>
            <w:r w:rsidRPr="00BE4620">
              <w:t>List price</w:t>
            </w:r>
          </w:p>
          <w:p w14:paraId="03D4D5A7" w14:textId="77777777" w:rsidR="00EC2472" w:rsidRPr="00BE4620" w:rsidRDefault="00EC2472">
            <w:pPr>
              <w:pStyle w:val="NICETableHeader"/>
              <w:jc w:val="center"/>
            </w:pPr>
            <w:r w:rsidRPr="00BE4620">
              <w:t>(with PAS)</w:t>
            </w:r>
          </w:p>
        </w:tc>
        <w:tc>
          <w:tcPr>
            <w:tcW w:w="1220" w:type="dxa"/>
            <w:shd w:val="clear" w:color="auto" w:fill="D9D9D9" w:themeFill="background1" w:themeFillShade="D9"/>
          </w:tcPr>
          <w:p w14:paraId="17152C74" w14:textId="77777777" w:rsidR="00EC2472" w:rsidRPr="00BE4620" w:rsidRDefault="00EC2472">
            <w:pPr>
              <w:pStyle w:val="NICETableHeader"/>
              <w:jc w:val="center"/>
            </w:pPr>
            <w:r w:rsidRPr="00BE4620">
              <w:t>Source</w:t>
            </w:r>
          </w:p>
        </w:tc>
      </w:tr>
      <w:tr w:rsidR="00EC2472" w:rsidRPr="00FB29CC" w14:paraId="1A370FB7" w14:textId="77777777">
        <w:tc>
          <w:tcPr>
            <w:tcW w:w="1730" w:type="dxa"/>
          </w:tcPr>
          <w:p w14:paraId="0595BAAC" w14:textId="77777777" w:rsidR="00EC2472" w:rsidRPr="00FB29CC" w:rsidRDefault="00EC2472">
            <w:pPr>
              <w:pStyle w:val="NICETabletext"/>
            </w:pPr>
            <w:r w:rsidRPr="00FB29CC">
              <w:t>T-DXd</w:t>
            </w:r>
          </w:p>
        </w:tc>
        <w:tc>
          <w:tcPr>
            <w:tcW w:w="1372" w:type="dxa"/>
          </w:tcPr>
          <w:p w14:paraId="5C270A29" w14:textId="77777777" w:rsidR="00EC2472" w:rsidRPr="00FB29CC" w:rsidRDefault="00EC2472">
            <w:pPr>
              <w:pStyle w:val="NICETabletext"/>
              <w:jc w:val="center"/>
            </w:pPr>
            <w:r w:rsidRPr="00FB29CC">
              <w:t>Vial</w:t>
            </w:r>
          </w:p>
        </w:tc>
        <w:tc>
          <w:tcPr>
            <w:tcW w:w="1742" w:type="dxa"/>
          </w:tcPr>
          <w:p w14:paraId="60BDB124" w14:textId="77777777" w:rsidR="00EC2472" w:rsidRPr="00FB29CC" w:rsidRDefault="00EC2472">
            <w:pPr>
              <w:pStyle w:val="NICETabletext"/>
              <w:jc w:val="center"/>
            </w:pPr>
            <w:r w:rsidRPr="00FB29CC">
              <w:t>100mg</w:t>
            </w:r>
          </w:p>
        </w:tc>
        <w:tc>
          <w:tcPr>
            <w:tcW w:w="977" w:type="dxa"/>
          </w:tcPr>
          <w:p w14:paraId="6841A1A5" w14:textId="77777777" w:rsidR="00EC2472" w:rsidRPr="00FB29CC" w:rsidRDefault="00EC2472">
            <w:pPr>
              <w:pStyle w:val="NICETabletext"/>
              <w:jc w:val="center"/>
            </w:pPr>
            <w:r w:rsidRPr="00FB29CC">
              <w:t>1</w:t>
            </w:r>
          </w:p>
        </w:tc>
        <w:tc>
          <w:tcPr>
            <w:tcW w:w="1976" w:type="dxa"/>
          </w:tcPr>
          <w:p w14:paraId="38E3228A" w14:textId="77777777" w:rsidR="00EC2472" w:rsidRPr="00FB29CC" w:rsidRDefault="00EC2472">
            <w:pPr>
              <w:pStyle w:val="NICETabletext"/>
              <w:jc w:val="center"/>
            </w:pPr>
            <w:r w:rsidRPr="00FB29CC">
              <w:t>£1,455.00</w:t>
            </w:r>
          </w:p>
          <w:p w14:paraId="7CB0DBAD" w14:textId="03EFAA69" w:rsidR="00EC2472" w:rsidRPr="00F77ABC" w:rsidRDefault="00F77ABC">
            <w:pPr>
              <w:pStyle w:val="NICETabletext"/>
              <w:jc w:val="center"/>
              <w:rPr>
                <w:color w:val="000000"/>
                <w:highlight w:val="black"/>
              </w:rPr>
            </w:pPr>
            <w:r w:rsidRPr="00F77ABC">
              <w:rPr>
                <w:color w:val="000000"/>
                <w:highlight w:val="black"/>
              </w:rPr>
              <w:t>xxxxxxxxx</w:t>
            </w:r>
          </w:p>
        </w:tc>
        <w:tc>
          <w:tcPr>
            <w:tcW w:w="1220" w:type="dxa"/>
          </w:tcPr>
          <w:p w14:paraId="27E869FE" w14:textId="77777777" w:rsidR="00EC2472" w:rsidRPr="00FB29CC" w:rsidRDefault="00EC2472">
            <w:pPr>
              <w:pStyle w:val="NICETabletext"/>
              <w:jc w:val="center"/>
            </w:pPr>
            <w:r w:rsidRPr="00FB29CC">
              <w:t>BNF 2022</w:t>
            </w:r>
          </w:p>
        </w:tc>
      </w:tr>
      <w:tr w:rsidR="00EC2472" w:rsidRPr="00FB29CC" w14:paraId="0A1BC540" w14:textId="77777777">
        <w:tc>
          <w:tcPr>
            <w:tcW w:w="1730" w:type="dxa"/>
            <w:vMerge w:val="restart"/>
          </w:tcPr>
          <w:p w14:paraId="4D629C2C" w14:textId="77777777" w:rsidR="00EC2472" w:rsidRPr="005D58CB" w:rsidRDefault="00EC2472">
            <w:pPr>
              <w:pStyle w:val="NICETabletext"/>
            </w:pPr>
            <w:r w:rsidRPr="005D58CB">
              <w:t>Capecitabine</w:t>
            </w:r>
          </w:p>
        </w:tc>
        <w:tc>
          <w:tcPr>
            <w:tcW w:w="1372" w:type="dxa"/>
            <w:vMerge w:val="restart"/>
          </w:tcPr>
          <w:p w14:paraId="5B0E22C4" w14:textId="77777777" w:rsidR="00EC2472" w:rsidRPr="005D58CB" w:rsidRDefault="00EC2472">
            <w:pPr>
              <w:pStyle w:val="NICETabletext"/>
              <w:jc w:val="center"/>
            </w:pPr>
            <w:r w:rsidRPr="005D58CB">
              <w:t>Tablet</w:t>
            </w:r>
          </w:p>
        </w:tc>
        <w:tc>
          <w:tcPr>
            <w:tcW w:w="1742" w:type="dxa"/>
          </w:tcPr>
          <w:p w14:paraId="4858B0CA" w14:textId="77777777" w:rsidR="00EC2472" w:rsidRPr="005D58CB" w:rsidRDefault="00EC2472">
            <w:pPr>
              <w:pStyle w:val="NICETabletext"/>
              <w:jc w:val="center"/>
            </w:pPr>
            <w:r w:rsidRPr="005D58CB">
              <w:t>150 mg</w:t>
            </w:r>
          </w:p>
        </w:tc>
        <w:tc>
          <w:tcPr>
            <w:tcW w:w="977" w:type="dxa"/>
          </w:tcPr>
          <w:p w14:paraId="0D830B54" w14:textId="77777777" w:rsidR="00EC2472" w:rsidRPr="005D58CB" w:rsidRDefault="00EC2472">
            <w:pPr>
              <w:pStyle w:val="NICETabletext"/>
              <w:jc w:val="center"/>
            </w:pPr>
            <w:r w:rsidRPr="005D58CB">
              <w:t>60</w:t>
            </w:r>
          </w:p>
        </w:tc>
        <w:tc>
          <w:tcPr>
            <w:tcW w:w="1976" w:type="dxa"/>
          </w:tcPr>
          <w:p w14:paraId="7756561A" w14:textId="77777777" w:rsidR="00EC2472" w:rsidRPr="005D58CB" w:rsidRDefault="00EC2472">
            <w:pPr>
              <w:pStyle w:val="NICETabletext"/>
              <w:jc w:val="center"/>
            </w:pPr>
            <w:r w:rsidRPr="005D58CB">
              <w:t>£6.49</w:t>
            </w:r>
          </w:p>
        </w:tc>
        <w:tc>
          <w:tcPr>
            <w:tcW w:w="1220" w:type="dxa"/>
            <w:vMerge w:val="restart"/>
            <w:vAlign w:val="center"/>
          </w:tcPr>
          <w:p w14:paraId="46321350" w14:textId="77777777" w:rsidR="00EC2472" w:rsidRPr="005D58CB" w:rsidRDefault="00EC2472">
            <w:pPr>
              <w:pStyle w:val="NICETabletext"/>
              <w:jc w:val="center"/>
            </w:pPr>
            <w:r w:rsidRPr="005D58CB">
              <w:t>eMIT 2022</w:t>
            </w:r>
          </w:p>
        </w:tc>
      </w:tr>
      <w:tr w:rsidR="00EC2472" w:rsidRPr="00FB29CC" w14:paraId="6C513CD1" w14:textId="77777777">
        <w:tc>
          <w:tcPr>
            <w:tcW w:w="1730" w:type="dxa"/>
            <w:vMerge/>
          </w:tcPr>
          <w:p w14:paraId="666ACBEA" w14:textId="77777777" w:rsidR="00EC2472" w:rsidRPr="005D58CB" w:rsidRDefault="00EC2472">
            <w:pPr>
              <w:pStyle w:val="NICETabletext"/>
            </w:pPr>
          </w:p>
        </w:tc>
        <w:tc>
          <w:tcPr>
            <w:tcW w:w="1372" w:type="dxa"/>
            <w:vMerge/>
          </w:tcPr>
          <w:p w14:paraId="2A1DBB88" w14:textId="77777777" w:rsidR="00EC2472" w:rsidRPr="005D58CB" w:rsidRDefault="00EC2472">
            <w:pPr>
              <w:pStyle w:val="NICETabletext"/>
              <w:jc w:val="center"/>
            </w:pPr>
          </w:p>
        </w:tc>
        <w:tc>
          <w:tcPr>
            <w:tcW w:w="1742" w:type="dxa"/>
          </w:tcPr>
          <w:p w14:paraId="51B01CFB" w14:textId="77777777" w:rsidR="00EC2472" w:rsidRPr="005D58CB" w:rsidRDefault="00EC2472">
            <w:pPr>
              <w:pStyle w:val="NICETabletext"/>
              <w:jc w:val="center"/>
            </w:pPr>
            <w:r w:rsidRPr="005D58CB">
              <w:t>300 mg</w:t>
            </w:r>
          </w:p>
        </w:tc>
        <w:tc>
          <w:tcPr>
            <w:tcW w:w="977" w:type="dxa"/>
          </w:tcPr>
          <w:p w14:paraId="6C54BB72" w14:textId="77777777" w:rsidR="00EC2472" w:rsidRPr="005D58CB" w:rsidRDefault="00EC2472">
            <w:pPr>
              <w:pStyle w:val="NICETabletext"/>
              <w:jc w:val="center"/>
            </w:pPr>
            <w:r w:rsidRPr="005D58CB">
              <w:t>60</w:t>
            </w:r>
          </w:p>
        </w:tc>
        <w:tc>
          <w:tcPr>
            <w:tcW w:w="1976" w:type="dxa"/>
            <w:vAlign w:val="bottom"/>
          </w:tcPr>
          <w:p w14:paraId="09A804B2" w14:textId="77777777" w:rsidR="00EC2472" w:rsidRPr="005D58CB" w:rsidRDefault="00EC2472">
            <w:pPr>
              <w:pStyle w:val="NICETabletext"/>
              <w:jc w:val="center"/>
            </w:pPr>
            <w:r w:rsidRPr="005D58CB">
              <w:t>£31.17</w:t>
            </w:r>
          </w:p>
        </w:tc>
        <w:tc>
          <w:tcPr>
            <w:tcW w:w="1220" w:type="dxa"/>
            <w:vMerge/>
          </w:tcPr>
          <w:p w14:paraId="0DC8D2F2" w14:textId="77777777" w:rsidR="00EC2472" w:rsidRPr="005D58CB" w:rsidDel="00555229" w:rsidRDefault="00EC2472">
            <w:pPr>
              <w:pStyle w:val="NICETabletext"/>
              <w:jc w:val="center"/>
            </w:pPr>
          </w:p>
        </w:tc>
      </w:tr>
      <w:tr w:rsidR="00EC2472" w:rsidRPr="00FB29CC" w14:paraId="6B727534" w14:textId="77777777">
        <w:tc>
          <w:tcPr>
            <w:tcW w:w="1730" w:type="dxa"/>
            <w:vMerge/>
          </w:tcPr>
          <w:p w14:paraId="039712E5" w14:textId="77777777" w:rsidR="00EC2472" w:rsidRPr="005D58CB" w:rsidRDefault="00EC2472">
            <w:pPr>
              <w:pStyle w:val="NICETabletext"/>
            </w:pPr>
          </w:p>
        </w:tc>
        <w:tc>
          <w:tcPr>
            <w:tcW w:w="1372" w:type="dxa"/>
            <w:vMerge/>
          </w:tcPr>
          <w:p w14:paraId="55BC7D22" w14:textId="77777777" w:rsidR="00EC2472" w:rsidRPr="005D58CB" w:rsidRDefault="00EC2472">
            <w:pPr>
              <w:pStyle w:val="NICETabletext"/>
              <w:jc w:val="center"/>
            </w:pPr>
          </w:p>
        </w:tc>
        <w:tc>
          <w:tcPr>
            <w:tcW w:w="1742" w:type="dxa"/>
          </w:tcPr>
          <w:p w14:paraId="3B19660E" w14:textId="77777777" w:rsidR="00EC2472" w:rsidRPr="005D58CB" w:rsidRDefault="00EC2472">
            <w:pPr>
              <w:pStyle w:val="NICETabletext"/>
              <w:jc w:val="center"/>
            </w:pPr>
            <w:r w:rsidRPr="005D58CB">
              <w:t>500 mg</w:t>
            </w:r>
          </w:p>
        </w:tc>
        <w:tc>
          <w:tcPr>
            <w:tcW w:w="977" w:type="dxa"/>
          </w:tcPr>
          <w:p w14:paraId="586D05B8" w14:textId="77777777" w:rsidR="00EC2472" w:rsidRPr="005D58CB" w:rsidRDefault="00EC2472">
            <w:pPr>
              <w:pStyle w:val="NICETabletext"/>
              <w:jc w:val="center"/>
            </w:pPr>
            <w:r w:rsidRPr="005D58CB">
              <w:t>120</w:t>
            </w:r>
          </w:p>
        </w:tc>
        <w:tc>
          <w:tcPr>
            <w:tcW w:w="1976" w:type="dxa"/>
            <w:vAlign w:val="bottom"/>
          </w:tcPr>
          <w:p w14:paraId="69814D7E" w14:textId="77777777" w:rsidR="00EC2472" w:rsidRPr="005D58CB" w:rsidRDefault="00EC2472">
            <w:pPr>
              <w:pStyle w:val="NICETabletext"/>
              <w:jc w:val="center"/>
            </w:pPr>
            <w:r w:rsidRPr="005D58CB">
              <w:t>£39.23</w:t>
            </w:r>
          </w:p>
        </w:tc>
        <w:tc>
          <w:tcPr>
            <w:tcW w:w="1220" w:type="dxa"/>
            <w:vMerge/>
          </w:tcPr>
          <w:p w14:paraId="2086B8F6" w14:textId="77777777" w:rsidR="00EC2472" w:rsidRPr="005D58CB" w:rsidDel="00555229" w:rsidRDefault="00EC2472">
            <w:pPr>
              <w:pStyle w:val="NICETabletext"/>
              <w:jc w:val="center"/>
            </w:pPr>
          </w:p>
        </w:tc>
      </w:tr>
      <w:tr w:rsidR="00EC2472" w:rsidRPr="00FB29CC" w14:paraId="1474903D" w14:textId="77777777">
        <w:tc>
          <w:tcPr>
            <w:tcW w:w="1730" w:type="dxa"/>
          </w:tcPr>
          <w:p w14:paraId="210742CE" w14:textId="77777777" w:rsidR="00EC2472" w:rsidRPr="005D58CB" w:rsidRDefault="00EC2472">
            <w:pPr>
              <w:pStyle w:val="NICETabletext"/>
            </w:pPr>
            <w:r w:rsidRPr="005D58CB">
              <w:t>Eribulin</w:t>
            </w:r>
          </w:p>
        </w:tc>
        <w:tc>
          <w:tcPr>
            <w:tcW w:w="1372" w:type="dxa"/>
          </w:tcPr>
          <w:p w14:paraId="2E9A9681" w14:textId="77777777" w:rsidR="00EC2472" w:rsidRPr="005D58CB" w:rsidRDefault="00EC2472">
            <w:pPr>
              <w:pStyle w:val="NICETabletext"/>
              <w:jc w:val="center"/>
            </w:pPr>
            <w:r w:rsidRPr="005D58CB">
              <w:t>Vial</w:t>
            </w:r>
          </w:p>
        </w:tc>
        <w:tc>
          <w:tcPr>
            <w:tcW w:w="1742" w:type="dxa"/>
          </w:tcPr>
          <w:p w14:paraId="7B8C9925" w14:textId="77777777" w:rsidR="00EC2472" w:rsidRPr="005D58CB" w:rsidRDefault="00EC2472">
            <w:pPr>
              <w:pStyle w:val="NICETabletext"/>
              <w:jc w:val="center"/>
            </w:pPr>
            <w:r w:rsidRPr="005D58CB">
              <w:t>0.88 mg</w:t>
            </w:r>
          </w:p>
        </w:tc>
        <w:tc>
          <w:tcPr>
            <w:tcW w:w="977" w:type="dxa"/>
          </w:tcPr>
          <w:p w14:paraId="5BDC08D1" w14:textId="77777777" w:rsidR="00EC2472" w:rsidRPr="005D58CB" w:rsidRDefault="00EC2472">
            <w:pPr>
              <w:pStyle w:val="NICETabletext"/>
              <w:jc w:val="center"/>
            </w:pPr>
            <w:r w:rsidRPr="005D58CB">
              <w:t>1</w:t>
            </w:r>
          </w:p>
        </w:tc>
        <w:tc>
          <w:tcPr>
            <w:tcW w:w="1976" w:type="dxa"/>
          </w:tcPr>
          <w:p w14:paraId="234B14D1" w14:textId="77777777" w:rsidR="00EC2472" w:rsidRPr="005D58CB" w:rsidRDefault="00EC2472">
            <w:pPr>
              <w:pStyle w:val="NICETabletext"/>
              <w:jc w:val="center"/>
            </w:pPr>
            <w:r w:rsidRPr="005D58CB">
              <w:t>£361.00</w:t>
            </w:r>
          </w:p>
        </w:tc>
        <w:tc>
          <w:tcPr>
            <w:tcW w:w="1220" w:type="dxa"/>
          </w:tcPr>
          <w:p w14:paraId="126A5611" w14:textId="77777777" w:rsidR="00EC2472" w:rsidRPr="005D58CB" w:rsidRDefault="00EC2472">
            <w:pPr>
              <w:pStyle w:val="NICETabletext"/>
              <w:jc w:val="center"/>
            </w:pPr>
            <w:r w:rsidRPr="005D58CB">
              <w:t>BNF 2022</w:t>
            </w:r>
          </w:p>
        </w:tc>
      </w:tr>
      <w:tr w:rsidR="00EC2472" w:rsidRPr="00FB29CC" w14:paraId="43F48A09" w14:textId="77777777">
        <w:tc>
          <w:tcPr>
            <w:tcW w:w="1730" w:type="dxa"/>
            <w:vMerge w:val="restart"/>
          </w:tcPr>
          <w:p w14:paraId="56CE2144" w14:textId="77777777" w:rsidR="00EC2472" w:rsidRPr="005D58CB" w:rsidRDefault="00EC2472">
            <w:pPr>
              <w:pStyle w:val="NICETabletext"/>
            </w:pPr>
            <w:r w:rsidRPr="005D58CB">
              <w:t>Gemcitabine</w:t>
            </w:r>
          </w:p>
        </w:tc>
        <w:tc>
          <w:tcPr>
            <w:tcW w:w="1372" w:type="dxa"/>
            <w:vMerge w:val="restart"/>
          </w:tcPr>
          <w:p w14:paraId="3CDF14E1" w14:textId="77777777" w:rsidR="00EC2472" w:rsidRPr="005D58CB" w:rsidRDefault="00EC2472">
            <w:pPr>
              <w:pStyle w:val="NICETabletext"/>
              <w:jc w:val="center"/>
            </w:pPr>
            <w:r w:rsidRPr="005D58CB">
              <w:t>Vial</w:t>
            </w:r>
          </w:p>
        </w:tc>
        <w:tc>
          <w:tcPr>
            <w:tcW w:w="1742" w:type="dxa"/>
          </w:tcPr>
          <w:p w14:paraId="5530DA26" w14:textId="77777777" w:rsidR="00EC2472" w:rsidRPr="005D58CB" w:rsidRDefault="00EC2472">
            <w:pPr>
              <w:pStyle w:val="NICETabletext"/>
              <w:jc w:val="center"/>
            </w:pPr>
            <w:r w:rsidRPr="005D58CB">
              <w:t>1000 mg</w:t>
            </w:r>
          </w:p>
        </w:tc>
        <w:tc>
          <w:tcPr>
            <w:tcW w:w="977" w:type="dxa"/>
          </w:tcPr>
          <w:p w14:paraId="4E2DB88C" w14:textId="77777777" w:rsidR="00EC2472" w:rsidRPr="005D58CB" w:rsidRDefault="00EC2472">
            <w:pPr>
              <w:pStyle w:val="NICETabletext"/>
              <w:jc w:val="center"/>
            </w:pPr>
            <w:r w:rsidRPr="005D58CB">
              <w:t>1</w:t>
            </w:r>
          </w:p>
        </w:tc>
        <w:tc>
          <w:tcPr>
            <w:tcW w:w="1976" w:type="dxa"/>
            <w:vAlign w:val="bottom"/>
          </w:tcPr>
          <w:p w14:paraId="4B0DBD68" w14:textId="77777777" w:rsidR="00EC2472" w:rsidRPr="005D58CB" w:rsidRDefault="00EC2472">
            <w:pPr>
              <w:pStyle w:val="NICETabletext"/>
              <w:jc w:val="center"/>
            </w:pPr>
            <w:r w:rsidRPr="005D58CB">
              <w:t>£32.99</w:t>
            </w:r>
          </w:p>
        </w:tc>
        <w:tc>
          <w:tcPr>
            <w:tcW w:w="1220" w:type="dxa"/>
            <w:vMerge w:val="restart"/>
            <w:vAlign w:val="center"/>
          </w:tcPr>
          <w:p w14:paraId="692823DB" w14:textId="77777777" w:rsidR="00EC2472" w:rsidRPr="005D58CB" w:rsidRDefault="00EC2472">
            <w:pPr>
              <w:pStyle w:val="NICETabletext"/>
              <w:jc w:val="center"/>
            </w:pPr>
            <w:r w:rsidRPr="005D58CB">
              <w:t>eMIT 2022</w:t>
            </w:r>
          </w:p>
        </w:tc>
      </w:tr>
      <w:tr w:rsidR="00EC2472" w:rsidRPr="00FB29CC" w14:paraId="7BBE0E17" w14:textId="77777777">
        <w:tc>
          <w:tcPr>
            <w:tcW w:w="1730" w:type="dxa"/>
            <w:vMerge/>
          </w:tcPr>
          <w:p w14:paraId="17605051" w14:textId="77777777" w:rsidR="00EC2472" w:rsidRPr="005D58CB" w:rsidRDefault="00EC2472">
            <w:pPr>
              <w:pStyle w:val="NICETabletext"/>
            </w:pPr>
          </w:p>
        </w:tc>
        <w:tc>
          <w:tcPr>
            <w:tcW w:w="1372" w:type="dxa"/>
            <w:vMerge/>
          </w:tcPr>
          <w:p w14:paraId="64F5ED1E" w14:textId="77777777" w:rsidR="00EC2472" w:rsidRPr="005D58CB" w:rsidRDefault="00EC2472">
            <w:pPr>
              <w:pStyle w:val="NICETabletext"/>
              <w:jc w:val="center"/>
            </w:pPr>
          </w:p>
        </w:tc>
        <w:tc>
          <w:tcPr>
            <w:tcW w:w="1742" w:type="dxa"/>
          </w:tcPr>
          <w:p w14:paraId="499692DB" w14:textId="77777777" w:rsidR="00EC2472" w:rsidRPr="005D58CB" w:rsidRDefault="00EC2472">
            <w:pPr>
              <w:pStyle w:val="NICETabletext"/>
              <w:jc w:val="center"/>
            </w:pPr>
            <w:r w:rsidRPr="005D58CB">
              <w:t>1600 mg</w:t>
            </w:r>
          </w:p>
        </w:tc>
        <w:tc>
          <w:tcPr>
            <w:tcW w:w="977" w:type="dxa"/>
          </w:tcPr>
          <w:p w14:paraId="308CB82C" w14:textId="77777777" w:rsidR="00EC2472" w:rsidRPr="005D58CB" w:rsidRDefault="00EC2472">
            <w:pPr>
              <w:pStyle w:val="NICETabletext"/>
              <w:jc w:val="center"/>
            </w:pPr>
            <w:r w:rsidRPr="005D58CB">
              <w:t>1</w:t>
            </w:r>
          </w:p>
        </w:tc>
        <w:tc>
          <w:tcPr>
            <w:tcW w:w="1976" w:type="dxa"/>
            <w:vAlign w:val="bottom"/>
          </w:tcPr>
          <w:p w14:paraId="218236F2" w14:textId="77777777" w:rsidR="00EC2472" w:rsidRPr="005D58CB" w:rsidRDefault="00EC2472">
            <w:pPr>
              <w:pStyle w:val="NICETabletext"/>
              <w:jc w:val="center"/>
            </w:pPr>
            <w:r w:rsidRPr="005D58CB">
              <w:t>£35.99</w:t>
            </w:r>
          </w:p>
        </w:tc>
        <w:tc>
          <w:tcPr>
            <w:tcW w:w="1220" w:type="dxa"/>
            <w:vMerge/>
            <w:vAlign w:val="center"/>
          </w:tcPr>
          <w:p w14:paraId="1B8295EB" w14:textId="77777777" w:rsidR="00EC2472" w:rsidRPr="005D58CB" w:rsidRDefault="00EC2472">
            <w:pPr>
              <w:pStyle w:val="NICETabletext"/>
              <w:jc w:val="center"/>
            </w:pPr>
          </w:p>
        </w:tc>
      </w:tr>
      <w:tr w:rsidR="00EC2472" w:rsidRPr="00FB29CC" w14:paraId="1F8560E7" w14:textId="77777777">
        <w:tc>
          <w:tcPr>
            <w:tcW w:w="1730" w:type="dxa"/>
            <w:vMerge/>
          </w:tcPr>
          <w:p w14:paraId="452F91A0" w14:textId="77777777" w:rsidR="00EC2472" w:rsidRPr="005D58CB" w:rsidRDefault="00EC2472">
            <w:pPr>
              <w:pStyle w:val="NICETabletext"/>
            </w:pPr>
          </w:p>
        </w:tc>
        <w:tc>
          <w:tcPr>
            <w:tcW w:w="1372" w:type="dxa"/>
            <w:vMerge/>
          </w:tcPr>
          <w:p w14:paraId="4CF277F9" w14:textId="77777777" w:rsidR="00EC2472" w:rsidRPr="005D58CB" w:rsidRDefault="00EC2472">
            <w:pPr>
              <w:pStyle w:val="NICETabletext"/>
              <w:jc w:val="center"/>
            </w:pPr>
          </w:p>
        </w:tc>
        <w:tc>
          <w:tcPr>
            <w:tcW w:w="1742" w:type="dxa"/>
          </w:tcPr>
          <w:p w14:paraId="0CF164ED" w14:textId="77777777" w:rsidR="00EC2472" w:rsidRPr="005D58CB" w:rsidRDefault="00EC2472">
            <w:pPr>
              <w:pStyle w:val="NICETabletext"/>
              <w:jc w:val="center"/>
            </w:pPr>
            <w:r w:rsidRPr="005D58CB">
              <w:t>1800 mg</w:t>
            </w:r>
          </w:p>
        </w:tc>
        <w:tc>
          <w:tcPr>
            <w:tcW w:w="977" w:type="dxa"/>
          </w:tcPr>
          <w:p w14:paraId="23B986EE" w14:textId="77777777" w:rsidR="00EC2472" w:rsidRPr="005D58CB" w:rsidRDefault="00EC2472">
            <w:pPr>
              <w:pStyle w:val="NICETabletext"/>
              <w:jc w:val="center"/>
            </w:pPr>
            <w:r w:rsidRPr="005D58CB">
              <w:t>1</w:t>
            </w:r>
          </w:p>
        </w:tc>
        <w:tc>
          <w:tcPr>
            <w:tcW w:w="1976" w:type="dxa"/>
            <w:vAlign w:val="bottom"/>
          </w:tcPr>
          <w:p w14:paraId="1F7A2018" w14:textId="77777777" w:rsidR="00EC2472" w:rsidRPr="005D58CB" w:rsidRDefault="00EC2472">
            <w:pPr>
              <w:pStyle w:val="NICETabletext"/>
              <w:jc w:val="center"/>
            </w:pPr>
            <w:r w:rsidRPr="005D58CB">
              <w:t>£38.99</w:t>
            </w:r>
          </w:p>
        </w:tc>
        <w:tc>
          <w:tcPr>
            <w:tcW w:w="1220" w:type="dxa"/>
            <w:vMerge/>
            <w:vAlign w:val="center"/>
          </w:tcPr>
          <w:p w14:paraId="2B2E0513" w14:textId="77777777" w:rsidR="00EC2472" w:rsidRPr="005D58CB" w:rsidRDefault="00EC2472">
            <w:pPr>
              <w:pStyle w:val="NICETabletext"/>
              <w:jc w:val="center"/>
            </w:pPr>
          </w:p>
        </w:tc>
      </w:tr>
      <w:tr w:rsidR="00EC2472" w:rsidRPr="00FB29CC" w14:paraId="191284C0" w14:textId="77777777">
        <w:tc>
          <w:tcPr>
            <w:tcW w:w="1730" w:type="dxa"/>
            <w:vMerge/>
          </w:tcPr>
          <w:p w14:paraId="5AE33DD5" w14:textId="77777777" w:rsidR="00EC2472" w:rsidRPr="005D58CB" w:rsidRDefault="00EC2472">
            <w:pPr>
              <w:pStyle w:val="NICETabletext"/>
            </w:pPr>
          </w:p>
        </w:tc>
        <w:tc>
          <w:tcPr>
            <w:tcW w:w="1372" w:type="dxa"/>
            <w:vMerge/>
          </w:tcPr>
          <w:p w14:paraId="5AC7EBE5" w14:textId="77777777" w:rsidR="00EC2472" w:rsidRPr="005D58CB" w:rsidRDefault="00EC2472">
            <w:pPr>
              <w:pStyle w:val="NICETabletext"/>
              <w:jc w:val="center"/>
            </w:pPr>
          </w:p>
        </w:tc>
        <w:tc>
          <w:tcPr>
            <w:tcW w:w="1742" w:type="dxa"/>
          </w:tcPr>
          <w:p w14:paraId="42B19006" w14:textId="77777777" w:rsidR="00EC2472" w:rsidRPr="005D58CB" w:rsidRDefault="00EC2472">
            <w:pPr>
              <w:pStyle w:val="NICETabletext"/>
              <w:jc w:val="center"/>
            </w:pPr>
            <w:r w:rsidRPr="005D58CB">
              <w:t>2000 mg</w:t>
            </w:r>
          </w:p>
        </w:tc>
        <w:tc>
          <w:tcPr>
            <w:tcW w:w="977" w:type="dxa"/>
          </w:tcPr>
          <w:p w14:paraId="30EF1C3C" w14:textId="77777777" w:rsidR="00EC2472" w:rsidRPr="005D58CB" w:rsidRDefault="00EC2472">
            <w:pPr>
              <w:pStyle w:val="NICETabletext"/>
              <w:jc w:val="center"/>
            </w:pPr>
            <w:r w:rsidRPr="005D58CB">
              <w:t>1</w:t>
            </w:r>
          </w:p>
        </w:tc>
        <w:tc>
          <w:tcPr>
            <w:tcW w:w="1976" w:type="dxa"/>
            <w:vAlign w:val="bottom"/>
          </w:tcPr>
          <w:p w14:paraId="601AEC68" w14:textId="77777777" w:rsidR="00EC2472" w:rsidRPr="005D58CB" w:rsidRDefault="00EC2472">
            <w:pPr>
              <w:pStyle w:val="NICETabletext"/>
              <w:jc w:val="center"/>
            </w:pPr>
            <w:r w:rsidRPr="005D58CB">
              <w:t>£42.73</w:t>
            </w:r>
          </w:p>
        </w:tc>
        <w:tc>
          <w:tcPr>
            <w:tcW w:w="1220" w:type="dxa"/>
            <w:vMerge/>
            <w:vAlign w:val="center"/>
          </w:tcPr>
          <w:p w14:paraId="03EC3DFB" w14:textId="77777777" w:rsidR="00EC2472" w:rsidRPr="005D58CB" w:rsidRDefault="00EC2472">
            <w:pPr>
              <w:pStyle w:val="NICETabletext"/>
              <w:jc w:val="center"/>
            </w:pPr>
          </w:p>
        </w:tc>
      </w:tr>
      <w:tr w:rsidR="00EC2472" w:rsidRPr="00FB29CC" w14:paraId="707C6F75" w14:textId="77777777">
        <w:tc>
          <w:tcPr>
            <w:tcW w:w="1730" w:type="dxa"/>
            <w:vMerge/>
          </w:tcPr>
          <w:p w14:paraId="767B86EC" w14:textId="77777777" w:rsidR="00EC2472" w:rsidRPr="005D58CB" w:rsidRDefault="00EC2472">
            <w:pPr>
              <w:pStyle w:val="NICETabletext"/>
            </w:pPr>
          </w:p>
        </w:tc>
        <w:tc>
          <w:tcPr>
            <w:tcW w:w="1372" w:type="dxa"/>
            <w:vMerge/>
          </w:tcPr>
          <w:p w14:paraId="7BF40F61" w14:textId="77777777" w:rsidR="00EC2472" w:rsidRPr="005D58CB" w:rsidRDefault="00EC2472">
            <w:pPr>
              <w:pStyle w:val="NICETabletext"/>
              <w:jc w:val="center"/>
            </w:pPr>
          </w:p>
        </w:tc>
        <w:tc>
          <w:tcPr>
            <w:tcW w:w="1742" w:type="dxa"/>
          </w:tcPr>
          <w:p w14:paraId="5CFF01FC" w14:textId="77777777" w:rsidR="00EC2472" w:rsidRPr="00A710D0" w:rsidRDefault="00EC2472">
            <w:pPr>
              <w:pStyle w:val="NICETabletext"/>
              <w:jc w:val="center"/>
            </w:pPr>
            <w:r w:rsidRPr="00A710D0">
              <w:t>2200 mg</w:t>
            </w:r>
          </w:p>
        </w:tc>
        <w:tc>
          <w:tcPr>
            <w:tcW w:w="977" w:type="dxa"/>
          </w:tcPr>
          <w:p w14:paraId="3DFC033A" w14:textId="77777777" w:rsidR="00EC2472" w:rsidRPr="00A710D0" w:rsidRDefault="00EC2472">
            <w:pPr>
              <w:pStyle w:val="NICETabletext"/>
              <w:jc w:val="center"/>
            </w:pPr>
            <w:r w:rsidRPr="00A710D0">
              <w:t>1</w:t>
            </w:r>
          </w:p>
        </w:tc>
        <w:tc>
          <w:tcPr>
            <w:tcW w:w="1976" w:type="dxa"/>
            <w:vAlign w:val="bottom"/>
          </w:tcPr>
          <w:p w14:paraId="0814AA61" w14:textId="77777777" w:rsidR="00EC2472" w:rsidRPr="00A710D0" w:rsidRDefault="00EC2472">
            <w:pPr>
              <w:pStyle w:val="NICETabletext"/>
              <w:jc w:val="center"/>
            </w:pPr>
            <w:r w:rsidRPr="00A710D0">
              <w:t>£49.50</w:t>
            </w:r>
          </w:p>
        </w:tc>
        <w:tc>
          <w:tcPr>
            <w:tcW w:w="1220" w:type="dxa"/>
            <w:vMerge/>
            <w:vAlign w:val="center"/>
          </w:tcPr>
          <w:p w14:paraId="1BD90AB5" w14:textId="77777777" w:rsidR="00EC2472" w:rsidRPr="005D58CB" w:rsidRDefault="00EC2472">
            <w:pPr>
              <w:pStyle w:val="NICETabletext"/>
              <w:jc w:val="center"/>
            </w:pPr>
          </w:p>
        </w:tc>
      </w:tr>
      <w:tr w:rsidR="00EC2472" w:rsidRPr="00FB29CC" w14:paraId="4B6F67A5" w14:textId="77777777">
        <w:tc>
          <w:tcPr>
            <w:tcW w:w="1730" w:type="dxa"/>
            <w:vMerge w:val="restart"/>
          </w:tcPr>
          <w:p w14:paraId="70CCD410" w14:textId="77777777" w:rsidR="00EC2472" w:rsidRPr="005D58CB" w:rsidRDefault="00EC2472">
            <w:pPr>
              <w:pStyle w:val="NICETabletext"/>
            </w:pPr>
            <w:r w:rsidRPr="005D58CB">
              <w:t>Paclitaxel</w:t>
            </w:r>
          </w:p>
        </w:tc>
        <w:tc>
          <w:tcPr>
            <w:tcW w:w="1372" w:type="dxa"/>
            <w:vMerge w:val="restart"/>
          </w:tcPr>
          <w:p w14:paraId="7CF04DB0" w14:textId="77777777" w:rsidR="00EC2472" w:rsidRPr="005D58CB" w:rsidRDefault="00EC2472">
            <w:pPr>
              <w:pStyle w:val="NICETabletext"/>
              <w:jc w:val="center"/>
            </w:pPr>
            <w:r w:rsidRPr="005D58CB">
              <w:t>Vial</w:t>
            </w:r>
          </w:p>
        </w:tc>
        <w:tc>
          <w:tcPr>
            <w:tcW w:w="1742" w:type="dxa"/>
          </w:tcPr>
          <w:p w14:paraId="29E15E16" w14:textId="77777777" w:rsidR="00EC2472" w:rsidRPr="005D58CB" w:rsidRDefault="00EC2472">
            <w:pPr>
              <w:pStyle w:val="NICETabletext"/>
              <w:jc w:val="center"/>
            </w:pPr>
            <w:r w:rsidRPr="005D58CB">
              <w:t>100 mg</w:t>
            </w:r>
          </w:p>
        </w:tc>
        <w:tc>
          <w:tcPr>
            <w:tcW w:w="977" w:type="dxa"/>
          </w:tcPr>
          <w:p w14:paraId="45E3434A" w14:textId="77777777" w:rsidR="00EC2472" w:rsidRPr="005D58CB" w:rsidRDefault="00EC2472">
            <w:pPr>
              <w:pStyle w:val="NICETabletext"/>
              <w:jc w:val="center"/>
            </w:pPr>
            <w:r w:rsidRPr="005D58CB">
              <w:t>1</w:t>
            </w:r>
          </w:p>
        </w:tc>
        <w:tc>
          <w:tcPr>
            <w:tcW w:w="1976" w:type="dxa"/>
          </w:tcPr>
          <w:p w14:paraId="3A994ACB" w14:textId="77777777" w:rsidR="00EC2472" w:rsidRPr="005D58CB" w:rsidRDefault="00EC2472">
            <w:pPr>
              <w:pStyle w:val="NICETabletext"/>
              <w:jc w:val="center"/>
            </w:pPr>
            <w:r w:rsidRPr="005D58CB">
              <w:t>£12.47</w:t>
            </w:r>
          </w:p>
        </w:tc>
        <w:tc>
          <w:tcPr>
            <w:tcW w:w="1220" w:type="dxa"/>
            <w:vMerge w:val="restart"/>
            <w:vAlign w:val="center"/>
          </w:tcPr>
          <w:p w14:paraId="25D73094" w14:textId="77777777" w:rsidR="00EC2472" w:rsidRPr="005D58CB" w:rsidRDefault="00EC2472">
            <w:pPr>
              <w:pStyle w:val="NICETabletext"/>
              <w:jc w:val="center"/>
            </w:pPr>
            <w:r w:rsidRPr="005D58CB">
              <w:t>eMIT 2022</w:t>
            </w:r>
          </w:p>
        </w:tc>
      </w:tr>
      <w:tr w:rsidR="00EC2472" w:rsidRPr="00FB29CC" w14:paraId="78FFC56D" w14:textId="77777777">
        <w:tc>
          <w:tcPr>
            <w:tcW w:w="1730" w:type="dxa"/>
            <w:vMerge/>
          </w:tcPr>
          <w:p w14:paraId="0BE80288" w14:textId="77777777" w:rsidR="00EC2472" w:rsidRPr="005D58CB" w:rsidRDefault="00EC2472">
            <w:pPr>
              <w:pStyle w:val="NICETabletext"/>
            </w:pPr>
          </w:p>
        </w:tc>
        <w:tc>
          <w:tcPr>
            <w:tcW w:w="1372" w:type="dxa"/>
            <w:vMerge/>
          </w:tcPr>
          <w:p w14:paraId="5EB5C9DC" w14:textId="77777777" w:rsidR="00EC2472" w:rsidRPr="005D58CB" w:rsidRDefault="00EC2472">
            <w:pPr>
              <w:pStyle w:val="NICETabletext"/>
              <w:jc w:val="center"/>
            </w:pPr>
          </w:p>
        </w:tc>
        <w:tc>
          <w:tcPr>
            <w:tcW w:w="1742" w:type="dxa"/>
          </w:tcPr>
          <w:p w14:paraId="7F0DEE6F" w14:textId="77777777" w:rsidR="00EC2472" w:rsidRPr="005D58CB" w:rsidRDefault="00EC2472">
            <w:pPr>
              <w:pStyle w:val="NICETabletext"/>
              <w:jc w:val="center"/>
            </w:pPr>
            <w:r w:rsidRPr="005D58CB">
              <w:t>150 mg</w:t>
            </w:r>
          </w:p>
        </w:tc>
        <w:tc>
          <w:tcPr>
            <w:tcW w:w="977" w:type="dxa"/>
          </w:tcPr>
          <w:p w14:paraId="54811FA5" w14:textId="77777777" w:rsidR="00EC2472" w:rsidRPr="005D58CB" w:rsidRDefault="00EC2472">
            <w:pPr>
              <w:pStyle w:val="NICETabletext"/>
              <w:jc w:val="center"/>
            </w:pPr>
            <w:r w:rsidRPr="005D58CB">
              <w:t>1</w:t>
            </w:r>
          </w:p>
        </w:tc>
        <w:tc>
          <w:tcPr>
            <w:tcW w:w="1976" w:type="dxa"/>
            <w:vAlign w:val="bottom"/>
          </w:tcPr>
          <w:p w14:paraId="78A7D893" w14:textId="77777777" w:rsidR="00EC2472" w:rsidRPr="005D58CB" w:rsidRDefault="00EC2472">
            <w:pPr>
              <w:pStyle w:val="NICETabletext"/>
              <w:jc w:val="center"/>
            </w:pPr>
            <w:r w:rsidRPr="005D58CB">
              <w:t>£14.23</w:t>
            </w:r>
          </w:p>
        </w:tc>
        <w:tc>
          <w:tcPr>
            <w:tcW w:w="1220" w:type="dxa"/>
            <w:vMerge/>
          </w:tcPr>
          <w:p w14:paraId="5A2C8539" w14:textId="77777777" w:rsidR="00EC2472" w:rsidRPr="005D58CB" w:rsidRDefault="00EC2472">
            <w:pPr>
              <w:pStyle w:val="NICETabletext"/>
              <w:jc w:val="center"/>
            </w:pPr>
          </w:p>
        </w:tc>
      </w:tr>
      <w:tr w:rsidR="00EC2472" w:rsidRPr="00FB29CC" w14:paraId="1BB7FF67" w14:textId="77777777">
        <w:tc>
          <w:tcPr>
            <w:tcW w:w="1730" w:type="dxa"/>
            <w:vMerge/>
          </w:tcPr>
          <w:p w14:paraId="0745F21E" w14:textId="77777777" w:rsidR="00EC2472" w:rsidRPr="005D58CB" w:rsidRDefault="00EC2472">
            <w:pPr>
              <w:pStyle w:val="NICETabletext"/>
            </w:pPr>
          </w:p>
        </w:tc>
        <w:tc>
          <w:tcPr>
            <w:tcW w:w="1372" w:type="dxa"/>
            <w:vMerge/>
          </w:tcPr>
          <w:p w14:paraId="216624C5" w14:textId="77777777" w:rsidR="00EC2472" w:rsidRPr="005D58CB" w:rsidRDefault="00EC2472">
            <w:pPr>
              <w:pStyle w:val="NICETabletext"/>
              <w:jc w:val="center"/>
            </w:pPr>
          </w:p>
        </w:tc>
        <w:tc>
          <w:tcPr>
            <w:tcW w:w="1742" w:type="dxa"/>
          </w:tcPr>
          <w:p w14:paraId="669D520F" w14:textId="77777777" w:rsidR="00EC2472" w:rsidRPr="005D58CB" w:rsidRDefault="00EC2472">
            <w:pPr>
              <w:pStyle w:val="NICETabletext"/>
              <w:jc w:val="center"/>
            </w:pPr>
            <w:r w:rsidRPr="005D58CB">
              <w:t>300 mg</w:t>
            </w:r>
          </w:p>
        </w:tc>
        <w:tc>
          <w:tcPr>
            <w:tcW w:w="977" w:type="dxa"/>
          </w:tcPr>
          <w:p w14:paraId="3C620801" w14:textId="77777777" w:rsidR="00EC2472" w:rsidRPr="005D58CB" w:rsidRDefault="00EC2472">
            <w:pPr>
              <w:pStyle w:val="NICETabletext"/>
              <w:jc w:val="center"/>
            </w:pPr>
            <w:r w:rsidRPr="005D58CB">
              <w:t>1</w:t>
            </w:r>
          </w:p>
        </w:tc>
        <w:tc>
          <w:tcPr>
            <w:tcW w:w="1976" w:type="dxa"/>
            <w:vAlign w:val="bottom"/>
          </w:tcPr>
          <w:p w14:paraId="17D9E030" w14:textId="77777777" w:rsidR="00EC2472" w:rsidRPr="005D58CB" w:rsidRDefault="00EC2472">
            <w:pPr>
              <w:pStyle w:val="NICETabletext"/>
              <w:jc w:val="center"/>
            </w:pPr>
            <w:r w:rsidRPr="005D58CB">
              <w:t>£39.81</w:t>
            </w:r>
          </w:p>
        </w:tc>
        <w:tc>
          <w:tcPr>
            <w:tcW w:w="1220" w:type="dxa"/>
            <w:vMerge/>
          </w:tcPr>
          <w:p w14:paraId="1C7A5267" w14:textId="77777777" w:rsidR="00EC2472" w:rsidRPr="005D58CB" w:rsidRDefault="00EC2472">
            <w:pPr>
              <w:pStyle w:val="NICETabletext"/>
              <w:jc w:val="center"/>
            </w:pPr>
          </w:p>
        </w:tc>
      </w:tr>
      <w:tr w:rsidR="00EC2472" w:rsidRPr="00FB29CC" w14:paraId="55D66878" w14:textId="77777777">
        <w:tc>
          <w:tcPr>
            <w:tcW w:w="1730" w:type="dxa"/>
          </w:tcPr>
          <w:p w14:paraId="7CCDDEEB" w14:textId="77777777" w:rsidR="00EC2472" w:rsidRPr="005D58CB" w:rsidRDefault="00EC2472">
            <w:pPr>
              <w:pStyle w:val="NICETabletext"/>
            </w:pPr>
            <w:r w:rsidRPr="005D58CB">
              <w:t>Nab-paclitaxel</w:t>
            </w:r>
          </w:p>
        </w:tc>
        <w:tc>
          <w:tcPr>
            <w:tcW w:w="1372" w:type="dxa"/>
          </w:tcPr>
          <w:p w14:paraId="00EDC8AC" w14:textId="77777777" w:rsidR="00EC2472" w:rsidRPr="005D58CB" w:rsidRDefault="00EC2472">
            <w:pPr>
              <w:pStyle w:val="NICETabletext"/>
              <w:jc w:val="center"/>
            </w:pPr>
            <w:r w:rsidRPr="005D58CB">
              <w:t>Vial</w:t>
            </w:r>
          </w:p>
        </w:tc>
        <w:tc>
          <w:tcPr>
            <w:tcW w:w="1742" w:type="dxa"/>
          </w:tcPr>
          <w:p w14:paraId="3D382628" w14:textId="77777777" w:rsidR="00EC2472" w:rsidRPr="005D58CB" w:rsidRDefault="00EC2472">
            <w:pPr>
              <w:pStyle w:val="NICETabletext"/>
              <w:jc w:val="center"/>
            </w:pPr>
            <w:r w:rsidRPr="005D58CB">
              <w:t>100 mg</w:t>
            </w:r>
          </w:p>
        </w:tc>
        <w:tc>
          <w:tcPr>
            <w:tcW w:w="977" w:type="dxa"/>
          </w:tcPr>
          <w:p w14:paraId="2E1CA4CD" w14:textId="77777777" w:rsidR="00EC2472" w:rsidRPr="005D58CB" w:rsidRDefault="00EC2472">
            <w:pPr>
              <w:pStyle w:val="NICETabletext"/>
              <w:jc w:val="center"/>
            </w:pPr>
            <w:r w:rsidRPr="005D58CB">
              <w:t>1</w:t>
            </w:r>
          </w:p>
        </w:tc>
        <w:tc>
          <w:tcPr>
            <w:tcW w:w="1976" w:type="dxa"/>
          </w:tcPr>
          <w:p w14:paraId="1BEB0A5E" w14:textId="77777777" w:rsidR="00EC2472" w:rsidRPr="005D58CB" w:rsidRDefault="00EC2472">
            <w:pPr>
              <w:pStyle w:val="NICETabletext"/>
              <w:jc w:val="center"/>
            </w:pPr>
            <w:r w:rsidRPr="005D58CB">
              <w:t>£118.36</w:t>
            </w:r>
          </w:p>
        </w:tc>
        <w:tc>
          <w:tcPr>
            <w:tcW w:w="1220" w:type="dxa"/>
          </w:tcPr>
          <w:p w14:paraId="22F96CFA" w14:textId="77777777" w:rsidR="00EC2472" w:rsidRPr="005D58CB" w:rsidRDefault="00EC2472">
            <w:pPr>
              <w:pStyle w:val="NICETabletext"/>
              <w:jc w:val="center"/>
            </w:pPr>
            <w:r w:rsidRPr="005D58CB">
              <w:t>eMIT 2022</w:t>
            </w:r>
          </w:p>
        </w:tc>
      </w:tr>
    </w:tbl>
    <w:p w14:paraId="1D729F88" w14:textId="77777777" w:rsidR="00EC2472" w:rsidRPr="00FB29CC" w:rsidRDefault="00EC2472" w:rsidP="00EC2472">
      <w:pPr>
        <w:pStyle w:val="Footnotes"/>
      </w:pPr>
      <w:r w:rsidRPr="00FB29CC">
        <w:t>Abbreviations: BNF – British National Formulary; eMIT – electronic Market Information Tool; PAS, patient access scheme; T-DXd, trastuzumab deruxtecan.</w:t>
      </w:r>
    </w:p>
    <w:p w14:paraId="515EF960" w14:textId="05F23513" w:rsidR="00EC2472" w:rsidRPr="005D58CB" w:rsidRDefault="00EC2472" w:rsidP="00EC2472">
      <w:pPr>
        <w:pStyle w:val="Body"/>
      </w:pPr>
      <w:r w:rsidRPr="00FB29CC">
        <w:t>The dosing schedule for T-DXd was taken from the proposed posology for T-DXd in this indication and aligned with the dosing schedule used in DESTINY-Breast04. T-DXd is administered at a dose of 5.4 mg/kg once per 21-day cycle.</w:t>
      </w:r>
      <w:r w:rsidRPr="00FB29CC">
        <w:fldChar w:fldCharType="begin"/>
      </w:r>
      <w:r w:rsidR="00CA6345">
        <w:instrText xml:space="preserve"> ADDIN ZOTERO_ITEM CSL_CITATION {"citationID":"RfztNYcu","properties":{"formattedCitation":"\\super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FB29CC">
        <w:fldChar w:fldCharType="separate"/>
      </w:r>
      <w:r w:rsidR="00FD57F4" w:rsidRPr="00FD57F4">
        <w:rPr>
          <w:rFonts w:cs="Arial"/>
          <w:szCs w:val="24"/>
          <w:vertAlign w:val="superscript"/>
        </w:rPr>
        <w:t>7</w:t>
      </w:r>
      <w:r w:rsidRPr="00FB29CC">
        <w:fldChar w:fldCharType="end"/>
      </w:r>
      <w:r w:rsidRPr="005D58CB">
        <w:t xml:space="preserve"> The dosing schedules of  individual agents in the TPC arm in DESTINY-Breast04 </w:t>
      </w:r>
      <w:r>
        <w:t xml:space="preserve">protocol </w:t>
      </w:r>
      <w:r w:rsidRPr="005D58CB">
        <w:t>were aligned with local licenses for each country. For the purposes of the cost-effectiveness modelling, doses of individual TPC agents were taken from the SmPC</w:t>
      </w:r>
      <w:r w:rsidRPr="005D58CB">
        <w:fldChar w:fldCharType="begin"/>
      </w:r>
      <w:r w:rsidR="00CA6345">
        <w:instrText xml:space="preserve"> ADDIN ZOTERO_ITEM CSL_CITATION {"citationID":"HB81Qabm","properties":{"formattedCitation":"\\super 18, 144,180\\uc0\\u8211{}182\\nosupersub{}","plainCitation":"18, 144,180–182","noteIndex":0},"citationItems":[{"id":65852,"uris":["http://zotero.org/groups/4797619/items/AT863AI3"],"itemData":{"id":65852,"type":"webpage","abstract":"Enhertu extended survival in patients with metastatic HER2-low breast cancer longer than standard chemo, a clinical trial showed.","genre":"cgvBlogPost","language":"en","note":"archive_location: nciglobal,ncienterprise","title":"Trastuzumab Deruxtecan for Metastatic HER2-Low Breast Cancer - NCI","URL":"https://www.cancer.gov/news-events/cancer-currents-blog/2022/enhertu-her2-low-breast-cancer","accessed":{"date-parts":[["2022",9,29]]},"issued":{"date-parts":[["2022",7,5]]}}},{"id":66437,"uris":["http://zotero.org/groups/4797619/items/RJVS3G8H"],"itemData":{"id":66437,"type":"webpage","title":"Halaven 0.44 mg/ml solution for injection - Summary of Product Characteristics (SmPC)","URL":"https://www.medicines.org.uk/emc/product/4517","author":[{"family":"emc","given":""}],"accessed":{"date-parts":[["2023",1,24]]},"issued":{"date-parts":[["2023"]],"season":"01"}},"label":"page"},{"id":66440,"uris":["http://zotero.org/groups/4797619/items/34ZDLFNE"],"itemData":{"id":66440,"type":"webpage","title":"Capecitabine 500 mg film-coated tablets - Summary of Product Characteristics (SmPC)","URL":"https://www.medicines.org.uk/emc/product/9939/smpc#gref","author":[{"family":"emc","given":""}],"accessed":{"date-parts":[["2023",1,24]]},"issued":{"date-parts":[["2021"]],"season":"04"}}},{"id":66438,"uris":["http://zotero.org/groups/4797619/items/3VPA67FD"],"itemData":{"id":66438,"type":"webpage","title":"Paclitaxel 6 mg/ml concentrate for solution for infusion - Summary of Product Characteristics (SmPC)","URL":"https://www.medicines.org.uk/emc/product/3891/smpc#gref","author":[{"family":"emc","given":""}],"accessed":{"date-parts":[["2023",1,24]]},"issued":{"date-parts":[["2023"]]}}},{"id":66439,"uris":["http://zotero.org/groups/4797619/items/6PNTVLDN"],"itemData":{"id":66439,"type":"webpage","title":"Abraxane 5 mg/ml powder for dispersion for infusion - Summary of Product Characteristics (SmPC)","URL":"https://www.medicines.org.uk/emc/product/6438/smpc#gref","author":[{"family":"emc","given":""}],"accessed":{"date-parts":[["2023",1,24]]},"issued":{"date-parts":[["2021"]],"season":"10"}}}],"schema":"https://github.com/citation-style-language/schema/raw/master/csl-citation.json"} </w:instrText>
      </w:r>
      <w:r w:rsidRPr="005D58CB">
        <w:fldChar w:fldCharType="separate"/>
      </w:r>
      <w:r w:rsidR="00CA6345" w:rsidRPr="00CA6345">
        <w:rPr>
          <w:rFonts w:cs="Arial"/>
          <w:szCs w:val="24"/>
          <w:vertAlign w:val="superscript"/>
        </w:rPr>
        <w:t>18, 144,180–182</w:t>
      </w:r>
      <w:r w:rsidRPr="005D58CB">
        <w:fldChar w:fldCharType="end"/>
      </w:r>
      <w:r w:rsidRPr="005D58CB">
        <w:t xml:space="preserve"> to accurately reflect the dose patients are expected to receive in the UK</w:t>
      </w:r>
      <w:r w:rsidR="00D4692B">
        <w:t xml:space="preserve">, which is consistent with DESTINY-Breast04 for all drugs except </w:t>
      </w:r>
      <w:r w:rsidR="009611DB">
        <w:t>gemcitabine</w:t>
      </w:r>
      <w:r w:rsidRPr="005D58CB">
        <w:t>.</w:t>
      </w:r>
      <w:r w:rsidR="009D5589">
        <w:fldChar w:fldCharType="begin"/>
      </w:r>
      <w:r w:rsidR="00CA6345">
        <w:instrText xml:space="preserve"> ADDIN ZOTERO_ITEM CSL_CITATION {"citationID":"d4vXsFzl","properties":{"formattedCitation":"\\super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009D5589">
        <w:fldChar w:fldCharType="separate"/>
      </w:r>
      <w:r w:rsidR="00FD57F4" w:rsidRPr="00FD57F4">
        <w:rPr>
          <w:rFonts w:cs="Arial"/>
          <w:szCs w:val="24"/>
          <w:vertAlign w:val="superscript"/>
        </w:rPr>
        <w:t>7</w:t>
      </w:r>
      <w:r w:rsidR="009D5589">
        <w:fldChar w:fldCharType="end"/>
      </w:r>
      <w:r w:rsidRPr="005D58CB">
        <w:t xml:space="preserve"> As </w:t>
      </w:r>
      <w:r>
        <w:t>g</w:t>
      </w:r>
      <w:r w:rsidRPr="005D58CB">
        <w:t xml:space="preserve">emcitabine as a monotherapy is not licensed in the UK, the dose and frequency of administration for </w:t>
      </w:r>
      <w:r>
        <w:t>g</w:t>
      </w:r>
      <w:r w:rsidRPr="005D58CB">
        <w:t xml:space="preserve">emcitabine is aligned with the SmPC for </w:t>
      </w:r>
      <w:r>
        <w:lastRenderedPageBreak/>
        <w:t>g</w:t>
      </w:r>
      <w:r w:rsidRPr="005D58CB">
        <w:t>emcitabine in combination with paclitaxel.</w:t>
      </w:r>
      <w:r w:rsidRPr="005D58CB">
        <w:fldChar w:fldCharType="begin"/>
      </w:r>
      <w:r w:rsidR="00CA6345">
        <w:instrText xml:space="preserve"> ADDIN ZOTERO_ITEM CSL_CITATION {"citationID":"ClgwgyXA","properties":{"formattedCitation":"\\super 183\\nosupersub{}","plainCitation":"183","noteIndex":0},"citationItems":[{"id":66442,"uris":["http://zotero.org/groups/4797619/items/7L9VTEW5"],"itemData":{"id":66442,"type":"webpage","title":"Gemcitabine 10 mg/ml, solution for infusion - Summary of Product Characteristics (SmPC)","URL":"https://www.medicines.org.uk/emc/product/7298/smpc#gref","author":[{"family":"emc","given":""}],"accessed":{"date-parts":[["2023",1,24]]},"issued":{"date-parts":[["2023"]]}},"label":"page"}],"schema":"https://github.com/citation-style-language/schema/raw/master/csl-citation.json"} </w:instrText>
      </w:r>
      <w:r w:rsidRPr="005D58CB">
        <w:fldChar w:fldCharType="separate"/>
      </w:r>
      <w:r w:rsidR="00CA6345" w:rsidRPr="00CA6345">
        <w:rPr>
          <w:rFonts w:cs="Arial"/>
          <w:szCs w:val="24"/>
          <w:vertAlign w:val="superscript"/>
        </w:rPr>
        <w:t>183</w:t>
      </w:r>
      <w:r w:rsidRPr="005D58CB">
        <w:fldChar w:fldCharType="end"/>
      </w:r>
      <w:r w:rsidRPr="00FB29CC">
        <w:t xml:space="preserve"> </w:t>
      </w:r>
      <w:r w:rsidRPr="003C648C">
        <w:rPr>
          <w:b/>
          <w:bCs/>
        </w:rPr>
        <w:fldChar w:fldCharType="begin"/>
      </w:r>
      <w:r w:rsidRPr="003C648C">
        <w:rPr>
          <w:b/>
          <w:bCs/>
        </w:rPr>
        <w:instrText xml:space="preserve"> REF _Ref119918099 \h </w:instrText>
      </w:r>
      <w:r w:rsidR="00BB06FD">
        <w:rPr>
          <w:b/>
          <w:bCs/>
        </w:rPr>
        <w:instrText xml:space="preserve"> \* MERGEFORMAT </w:instrText>
      </w:r>
      <w:r w:rsidRPr="003C648C">
        <w:rPr>
          <w:b/>
          <w:bCs/>
        </w:rPr>
      </w:r>
      <w:r w:rsidRPr="003C648C">
        <w:rPr>
          <w:b/>
          <w:bCs/>
        </w:rPr>
        <w:fldChar w:fldCharType="separate"/>
      </w:r>
      <w:r w:rsidR="00145F42" w:rsidRPr="00145F42">
        <w:rPr>
          <w:b/>
          <w:bCs/>
        </w:rPr>
        <w:t xml:space="preserve">Table </w:t>
      </w:r>
      <w:r w:rsidR="00145F42" w:rsidRPr="00145F42">
        <w:rPr>
          <w:b/>
          <w:bCs/>
          <w:noProof/>
        </w:rPr>
        <w:t>53</w:t>
      </w:r>
      <w:r w:rsidRPr="003C648C">
        <w:rPr>
          <w:b/>
          <w:bCs/>
        </w:rPr>
        <w:fldChar w:fldCharType="end"/>
      </w:r>
      <w:r w:rsidRPr="005D58CB">
        <w:t xml:space="preserve"> provides details of all treatment dosing regimens modelled in the CEM.</w:t>
      </w:r>
    </w:p>
    <w:p w14:paraId="4391B0F7" w14:textId="487B71B5" w:rsidR="00EC2472" w:rsidRPr="005D58CB" w:rsidRDefault="00EC2472" w:rsidP="00EC2472">
      <w:pPr>
        <w:pStyle w:val="Caption"/>
      </w:pPr>
      <w:bookmarkStart w:id="670" w:name="_Ref119918099"/>
      <w:bookmarkStart w:id="671" w:name="_Toc127006683"/>
      <w:bookmarkStart w:id="672" w:name="_Toc129351028"/>
      <w:r w:rsidRPr="005D58CB">
        <w:t xml:space="preserve">Table </w:t>
      </w:r>
      <w:fldSimple w:instr=" SEQ Table \* ARABIC ">
        <w:r w:rsidR="00145F42">
          <w:rPr>
            <w:noProof/>
          </w:rPr>
          <w:t>53</w:t>
        </w:r>
      </w:fldSimple>
      <w:bookmarkEnd w:id="670"/>
      <w:r w:rsidRPr="005D58CB">
        <w:t>: Dose regimens for T-DXd and TPC</w:t>
      </w:r>
      <w:bookmarkEnd w:id="671"/>
      <w:bookmarkEnd w:id="672"/>
    </w:p>
    <w:tbl>
      <w:tblPr>
        <w:tblStyle w:val="Generaltable"/>
        <w:tblW w:w="0" w:type="auto"/>
        <w:tblLayout w:type="fixed"/>
        <w:tblLook w:val="04A0" w:firstRow="1" w:lastRow="0" w:firstColumn="1" w:lastColumn="0" w:noHBand="0" w:noVBand="1"/>
      </w:tblPr>
      <w:tblGrid>
        <w:gridCol w:w="2830"/>
        <w:gridCol w:w="6187"/>
      </w:tblGrid>
      <w:tr w:rsidR="00EC2472" w:rsidRPr="00FE1F6F" w14:paraId="67B68A25" w14:textId="77777777">
        <w:trPr>
          <w:cnfStyle w:val="100000000000" w:firstRow="1" w:lastRow="0" w:firstColumn="0" w:lastColumn="0" w:oddVBand="0" w:evenVBand="0" w:oddHBand="0" w:evenHBand="0" w:firstRowFirstColumn="0" w:firstRowLastColumn="0" w:lastRowFirstColumn="0" w:lastRowLastColumn="0"/>
        </w:trPr>
        <w:tc>
          <w:tcPr>
            <w:tcW w:w="2830" w:type="dxa"/>
          </w:tcPr>
          <w:p w14:paraId="473ECC72" w14:textId="77777777" w:rsidR="00EC2472" w:rsidRPr="005D58CB" w:rsidRDefault="00EC2472">
            <w:pPr>
              <w:pStyle w:val="Body"/>
              <w:keepNext/>
              <w:rPr>
                <w:b/>
                <w:sz w:val="20"/>
                <w:szCs w:val="20"/>
              </w:rPr>
            </w:pPr>
            <w:r w:rsidRPr="005D58CB">
              <w:rPr>
                <w:b/>
                <w:sz w:val="20"/>
                <w:szCs w:val="20"/>
              </w:rPr>
              <w:t>Treatment</w:t>
            </w:r>
          </w:p>
        </w:tc>
        <w:tc>
          <w:tcPr>
            <w:tcW w:w="6187" w:type="dxa"/>
          </w:tcPr>
          <w:p w14:paraId="4F360DA6" w14:textId="77777777" w:rsidR="00EC2472" w:rsidRPr="005D58CB" w:rsidRDefault="00EC2472">
            <w:pPr>
              <w:pStyle w:val="Body"/>
              <w:keepNext/>
              <w:rPr>
                <w:b/>
                <w:sz w:val="20"/>
                <w:szCs w:val="20"/>
              </w:rPr>
            </w:pPr>
            <w:r w:rsidRPr="005D58CB">
              <w:rPr>
                <w:b/>
                <w:sz w:val="20"/>
                <w:szCs w:val="20"/>
              </w:rPr>
              <w:t>Dosing Regimen used in the model</w:t>
            </w:r>
          </w:p>
        </w:tc>
      </w:tr>
      <w:tr w:rsidR="00EC2472" w:rsidRPr="00FE1F6F" w14:paraId="7EB59192" w14:textId="77777777">
        <w:tc>
          <w:tcPr>
            <w:tcW w:w="2830" w:type="dxa"/>
          </w:tcPr>
          <w:p w14:paraId="60DE9C69" w14:textId="77777777" w:rsidR="00EC2472" w:rsidRPr="005D58CB" w:rsidRDefault="00EC2472">
            <w:pPr>
              <w:pStyle w:val="Body"/>
              <w:keepNext/>
              <w:rPr>
                <w:sz w:val="20"/>
                <w:szCs w:val="20"/>
              </w:rPr>
            </w:pPr>
            <w:r w:rsidRPr="005D58CB">
              <w:rPr>
                <w:sz w:val="20"/>
                <w:szCs w:val="20"/>
              </w:rPr>
              <w:t>T-DXd</w:t>
            </w:r>
          </w:p>
        </w:tc>
        <w:tc>
          <w:tcPr>
            <w:tcW w:w="6187" w:type="dxa"/>
          </w:tcPr>
          <w:p w14:paraId="5723425B" w14:textId="77777777" w:rsidR="00EC2472" w:rsidRPr="005D58CB" w:rsidRDefault="00EC2472">
            <w:pPr>
              <w:pStyle w:val="Body"/>
              <w:keepNext/>
              <w:rPr>
                <w:sz w:val="20"/>
                <w:szCs w:val="20"/>
              </w:rPr>
            </w:pPr>
            <w:r w:rsidRPr="005D58CB">
              <w:rPr>
                <w:sz w:val="20"/>
                <w:szCs w:val="20"/>
              </w:rPr>
              <w:t>5.4 mg/kg once per 21-day cycle</w:t>
            </w:r>
          </w:p>
        </w:tc>
      </w:tr>
      <w:tr w:rsidR="00EC2472" w:rsidRPr="00FE1F6F" w14:paraId="72538604" w14:textId="77777777">
        <w:tc>
          <w:tcPr>
            <w:tcW w:w="2830" w:type="dxa"/>
          </w:tcPr>
          <w:p w14:paraId="169E7930" w14:textId="77777777" w:rsidR="00EC2472" w:rsidRPr="005D58CB" w:rsidRDefault="00EC2472">
            <w:pPr>
              <w:pStyle w:val="Body"/>
              <w:keepNext/>
              <w:rPr>
                <w:rFonts w:cs="Arial"/>
                <w:sz w:val="20"/>
                <w:szCs w:val="20"/>
              </w:rPr>
            </w:pPr>
            <w:r w:rsidRPr="005D58CB">
              <w:rPr>
                <w:rFonts w:eastAsia="Times New Roman" w:cs="Arial"/>
                <w:sz w:val="20"/>
                <w:szCs w:val="20"/>
              </w:rPr>
              <w:t xml:space="preserve">Capecitabine </w:t>
            </w:r>
          </w:p>
        </w:tc>
        <w:tc>
          <w:tcPr>
            <w:tcW w:w="6187" w:type="dxa"/>
          </w:tcPr>
          <w:p w14:paraId="589BF6AF" w14:textId="77777777" w:rsidR="00EC2472" w:rsidRPr="005D58CB" w:rsidDel="00EB1066" w:rsidRDefault="00EC2472">
            <w:pPr>
              <w:pStyle w:val="Body"/>
              <w:keepNext/>
              <w:rPr>
                <w:rFonts w:eastAsia="Times New Roman" w:cs="Arial"/>
                <w:sz w:val="20"/>
                <w:szCs w:val="20"/>
              </w:rPr>
            </w:pPr>
            <w:r w:rsidRPr="005D58CB">
              <w:rPr>
                <w:rFonts w:eastAsia="Times New Roman" w:cs="Arial"/>
                <w:sz w:val="20"/>
                <w:szCs w:val="20"/>
              </w:rPr>
              <w:t>1250 mg/m</w:t>
            </w:r>
            <w:r w:rsidRPr="005D58CB">
              <w:rPr>
                <w:rFonts w:eastAsia="Times New Roman" w:cs="Arial"/>
                <w:sz w:val="20"/>
                <w:szCs w:val="20"/>
                <w:vertAlign w:val="superscript"/>
              </w:rPr>
              <w:t>2</w:t>
            </w:r>
            <w:r w:rsidRPr="005D58CB">
              <w:rPr>
                <w:rFonts w:eastAsia="Times New Roman" w:cs="Arial"/>
                <w:sz w:val="20"/>
                <w:szCs w:val="20"/>
              </w:rPr>
              <w:t xml:space="preserve"> PO twice daily on Days 1-14; cycled every 21 days </w:t>
            </w:r>
          </w:p>
        </w:tc>
      </w:tr>
      <w:tr w:rsidR="00EC2472" w:rsidRPr="00FE1F6F" w14:paraId="3FC44A4D" w14:textId="77777777">
        <w:tc>
          <w:tcPr>
            <w:tcW w:w="2830" w:type="dxa"/>
          </w:tcPr>
          <w:p w14:paraId="09493D9E" w14:textId="77777777" w:rsidR="00EC2472" w:rsidRPr="005D58CB" w:rsidRDefault="00EC2472">
            <w:pPr>
              <w:pStyle w:val="Body"/>
              <w:keepNext/>
              <w:rPr>
                <w:rFonts w:cs="Arial"/>
                <w:sz w:val="20"/>
                <w:szCs w:val="20"/>
              </w:rPr>
            </w:pPr>
            <w:r w:rsidRPr="005D58CB">
              <w:rPr>
                <w:rFonts w:eastAsia="Times New Roman" w:cs="Arial"/>
                <w:sz w:val="20"/>
                <w:szCs w:val="20"/>
              </w:rPr>
              <w:t xml:space="preserve">Eribulin </w:t>
            </w:r>
          </w:p>
        </w:tc>
        <w:tc>
          <w:tcPr>
            <w:tcW w:w="6187" w:type="dxa"/>
          </w:tcPr>
          <w:p w14:paraId="59CD9B1B" w14:textId="77777777" w:rsidR="00EC2472" w:rsidRPr="005D58CB" w:rsidRDefault="00EC2472">
            <w:pPr>
              <w:pStyle w:val="Body"/>
              <w:keepNext/>
              <w:rPr>
                <w:rFonts w:eastAsia="Times New Roman" w:cs="Arial"/>
                <w:sz w:val="20"/>
                <w:szCs w:val="20"/>
              </w:rPr>
            </w:pPr>
            <w:r w:rsidRPr="005D58CB">
              <w:rPr>
                <w:rFonts w:eastAsia="Times New Roman" w:cs="Arial"/>
                <w:sz w:val="20"/>
                <w:szCs w:val="20"/>
              </w:rPr>
              <w:t>1.23 mg/m</w:t>
            </w:r>
            <w:r w:rsidRPr="005D58CB">
              <w:rPr>
                <w:rFonts w:eastAsia="Times New Roman" w:cs="Arial"/>
                <w:sz w:val="20"/>
                <w:szCs w:val="20"/>
                <w:vertAlign w:val="superscript"/>
              </w:rPr>
              <w:t>2</w:t>
            </w:r>
            <w:r w:rsidRPr="005D58CB">
              <w:rPr>
                <w:rFonts w:eastAsia="Times New Roman" w:cs="Arial"/>
                <w:sz w:val="20"/>
                <w:szCs w:val="20"/>
              </w:rPr>
              <w:t xml:space="preserve"> IV on Days 1 and 8; cycled every 21 days </w:t>
            </w:r>
          </w:p>
        </w:tc>
      </w:tr>
      <w:tr w:rsidR="00EC2472" w:rsidRPr="00FE1F6F" w14:paraId="140535DD" w14:textId="77777777">
        <w:tc>
          <w:tcPr>
            <w:tcW w:w="2830" w:type="dxa"/>
          </w:tcPr>
          <w:p w14:paraId="68635099" w14:textId="77777777" w:rsidR="00EC2472" w:rsidRPr="005D58CB" w:rsidRDefault="00EC2472">
            <w:pPr>
              <w:pStyle w:val="Body"/>
              <w:keepNext/>
              <w:rPr>
                <w:rFonts w:cs="Arial"/>
                <w:sz w:val="20"/>
                <w:szCs w:val="20"/>
              </w:rPr>
            </w:pPr>
            <w:r w:rsidRPr="005D58CB">
              <w:rPr>
                <w:rFonts w:eastAsia="Times New Roman" w:cs="Arial"/>
                <w:sz w:val="20"/>
                <w:szCs w:val="20"/>
              </w:rPr>
              <w:t xml:space="preserve">Gemcitabine </w:t>
            </w:r>
            <w:r w:rsidRPr="005D58CB">
              <w:rPr>
                <w:rFonts w:eastAsia="Times New Roman" w:cs="Arial"/>
                <w:sz w:val="20"/>
                <w:szCs w:val="20"/>
                <w:vertAlign w:val="superscript"/>
              </w:rPr>
              <w:t>a</w:t>
            </w:r>
          </w:p>
        </w:tc>
        <w:tc>
          <w:tcPr>
            <w:tcW w:w="6187" w:type="dxa"/>
          </w:tcPr>
          <w:p w14:paraId="441C7D71" w14:textId="148F0828" w:rsidR="00EC2472" w:rsidRPr="005D58CB" w:rsidDel="00EB1066" w:rsidRDefault="00EC2472" w:rsidP="00C01CE9">
            <w:pPr>
              <w:keepNext/>
              <w:spacing w:after="22"/>
              <w:rPr>
                <w:rFonts w:eastAsia="Times New Roman" w:cs="Arial"/>
                <w:sz w:val="20"/>
                <w:szCs w:val="20"/>
              </w:rPr>
            </w:pPr>
            <w:r w:rsidRPr="005D58CB">
              <w:rPr>
                <w:rFonts w:eastAsia="Times New Roman" w:cs="Arial"/>
                <w:sz w:val="20"/>
                <w:szCs w:val="20"/>
              </w:rPr>
              <w:t>1250 mg/m</w:t>
            </w:r>
            <w:r w:rsidRPr="005D58CB">
              <w:rPr>
                <w:rFonts w:eastAsia="Times New Roman" w:cs="Arial"/>
                <w:sz w:val="20"/>
                <w:szCs w:val="20"/>
                <w:vertAlign w:val="superscript"/>
              </w:rPr>
              <w:t>2</w:t>
            </w:r>
            <w:r w:rsidRPr="005D58CB">
              <w:rPr>
                <w:rFonts w:eastAsia="Times New Roman" w:cs="Arial"/>
                <w:sz w:val="20"/>
                <w:szCs w:val="20"/>
              </w:rPr>
              <w:t xml:space="preserve"> IV on Days 1 and 8; cycled every 21 days</w:t>
            </w:r>
          </w:p>
        </w:tc>
      </w:tr>
      <w:tr w:rsidR="00EC2472" w:rsidRPr="00FE1F6F" w14:paraId="46F9EFCD" w14:textId="77777777">
        <w:tc>
          <w:tcPr>
            <w:tcW w:w="2830" w:type="dxa"/>
          </w:tcPr>
          <w:p w14:paraId="26F022A6" w14:textId="77777777" w:rsidR="00EC2472" w:rsidRPr="005D58CB" w:rsidRDefault="00EC2472">
            <w:pPr>
              <w:pStyle w:val="Body"/>
              <w:keepNext/>
              <w:rPr>
                <w:rFonts w:cs="Arial"/>
                <w:sz w:val="20"/>
                <w:szCs w:val="20"/>
              </w:rPr>
            </w:pPr>
            <w:r w:rsidRPr="005D58CB">
              <w:rPr>
                <w:rFonts w:eastAsia="Times New Roman" w:cs="Arial"/>
                <w:sz w:val="20"/>
                <w:szCs w:val="20"/>
              </w:rPr>
              <w:t>Paclitaxel</w:t>
            </w:r>
          </w:p>
        </w:tc>
        <w:tc>
          <w:tcPr>
            <w:tcW w:w="6187" w:type="dxa"/>
          </w:tcPr>
          <w:p w14:paraId="656DF918" w14:textId="77777777" w:rsidR="00EC2472" w:rsidRPr="005D58CB" w:rsidDel="00EB1066" w:rsidRDefault="00EC2472">
            <w:pPr>
              <w:pStyle w:val="Body"/>
              <w:keepNext/>
              <w:rPr>
                <w:rFonts w:eastAsia="Times New Roman" w:cs="Arial"/>
                <w:sz w:val="20"/>
                <w:szCs w:val="20"/>
              </w:rPr>
            </w:pPr>
            <w:r w:rsidRPr="005D58CB">
              <w:rPr>
                <w:rFonts w:eastAsia="Times New Roman" w:cs="Arial"/>
                <w:sz w:val="20"/>
                <w:szCs w:val="20"/>
              </w:rPr>
              <w:t>175 mg/m</w:t>
            </w:r>
            <w:r w:rsidRPr="005D58CB">
              <w:rPr>
                <w:rFonts w:eastAsia="Times New Roman" w:cs="Arial"/>
                <w:sz w:val="20"/>
                <w:szCs w:val="20"/>
                <w:vertAlign w:val="superscript"/>
              </w:rPr>
              <w:t>2</w:t>
            </w:r>
            <w:r w:rsidRPr="005D58CB">
              <w:rPr>
                <w:rFonts w:eastAsia="Times New Roman" w:cs="Arial"/>
                <w:sz w:val="20"/>
                <w:szCs w:val="20"/>
              </w:rPr>
              <w:t xml:space="preserve"> IV on Day 1; cycled every 21 days</w:t>
            </w:r>
          </w:p>
        </w:tc>
      </w:tr>
      <w:tr w:rsidR="00EC2472" w:rsidRPr="00FE1F6F" w14:paraId="19044DE8" w14:textId="77777777">
        <w:tc>
          <w:tcPr>
            <w:tcW w:w="2830" w:type="dxa"/>
          </w:tcPr>
          <w:p w14:paraId="7D715C64" w14:textId="77777777" w:rsidR="00EC2472" w:rsidRPr="005D58CB" w:rsidRDefault="00EC2472">
            <w:pPr>
              <w:pStyle w:val="Body"/>
              <w:keepNext/>
              <w:rPr>
                <w:rFonts w:cs="Arial"/>
                <w:sz w:val="20"/>
                <w:szCs w:val="20"/>
              </w:rPr>
            </w:pPr>
            <w:r w:rsidRPr="005D58CB">
              <w:rPr>
                <w:rFonts w:eastAsia="Times New Roman" w:cs="Arial"/>
                <w:sz w:val="20"/>
                <w:szCs w:val="20"/>
              </w:rPr>
              <w:t xml:space="preserve">Nab-paclitaxel </w:t>
            </w:r>
          </w:p>
        </w:tc>
        <w:tc>
          <w:tcPr>
            <w:tcW w:w="6187" w:type="dxa"/>
          </w:tcPr>
          <w:p w14:paraId="00F26F21" w14:textId="77777777" w:rsidR="00EC2472" w:rsidRPr="005D58CB" w:rsidRDefault="00EC2472">
            <w:pPr>
              <w:keepNext/>
              <w:spacing w:after="24"/>
              <w:ind w:left="16"/>
              <w:rPr>
                <w:rFonts w:cs="Arial"/>
                <w:sz w:val="20"/>
                <w:szCs w:val="20"/>
              </w:rPr>
            </w:pPr>
            <w:r w:rsidRPr="005D58CB">
              <w:rPr>
                <w:rFonts w:eastAsia="Times New Roman" w:cs="Arial"/>
                <w:sz w:val="20"/>
                <w:szCs w:val="20"/>
              </w:rPr>
              <w:t>260 mg/m</w:t>
            </w:r>
            <w:r w:rsidRPr="005D58CB">
              <w:rPr>
                <w:rFonts w:eastAsia="Times New Roman" w:cs="Arial"/>
                <w:sz w:val="20"/>
                <w:szCs w:val="20"/>
                <w:vertAlign w:val="superscript"/>
              </w:rPr>
              <w:t>2</w:t>
            </w:r>
            <w:r w:rsidRPr="005D58CB">
              <w:rPr>
                <w:rFonts w:eastAsia="Times New Roman" w:cs="Arial"/>
                <w:sz w:val="20"/>
                <w:szCs w:val="20"/>
              </w:rPr>
              <w:t xml:space="preserve"> IV; cycled every 21 days  </w:t>
            </w:r>
          </w:p>
          <w:p w14:paraId="6F9DEFC5" w14:textId="77777777" w:rsidR="00EC2472" w:rsidRPr="005D58CB" w:rsidDel="00EB1066" w:rsidRDefault="00EC2472">
            <w:pPr>
              <w:keepNext/>
              <w:spacing w:after="24"/>
              <w:ind w:left="16"/>
              <w:rPr>
                <w:rFonts w:eastAsia="Times New Roman" w:cs="Arial"/>
                <w:sz w:val="20"/>
                <w:szCs w:val="20"/>
              </w:rPr>
            </w:pPr>
            <w:r w:rsidRPr="005D58CB">
              <w:rPr>
                <w:rFonts w:eastAsia="Times New Roman" w:cs="Arial"/>
                <w:sz w:val="20"/>
                <w:szCs w:val="20"/>
              </w:rPr>
              <w:t xml:space="preserve"> </w:t>
            </w:r>
          </w:p>
        </w:tc>
      </w:tr>
    </w:tbl>
    <w:p w14:paraId="552D8D87" w14:textId="77777777" w:rsidR="00EC2472" w:rsidRPr="005D58CB" w:rsidRDefault="00EC2472" w:rsidP="00EC2472">
      <w:pPr>
        <w:pStyle w:val="Footnotes"/>
        <w:keepNext/>
        <w:spacing w:after="0"/>
      </w:pPr>
      <w:r w:rsidRPr="005D58CB">
        <w:rPr>
          <w:vertAlign w:val="superscript"/>
        </w:rPr>
        <w:t xml:space="preserve">a </w:t>
      </w:r>
      <w:r w:rsidRPr="005D58CB">
        <w:t>Gemcitabine is only recommended for use in combination with paclitaxel. Therefore, dosing is inconsistent with the UK label, where gemcitabine is used in combination with paclitaxel (175 mg/m2) IV on Day 1, followed by gemcitabine (1250 mg/m2) IV on Days 1 and 8, cycled every 21 days.</w:t>
      </w:r>
    </w:p>
    <w:p w14:paraId="4F9B627D" w14:textId="281E412F" w:rsidR="00EC2472" w:rsidRPr="005D58CB" w:rsidRDefault="00EC2472" w:rsidP="00EC2472">
      <w:pPr>
        <w:pStyle w:val="Footnotes"/>
        <w:keepNext/>
      </w:pPr>
      <w:r w:rsidRPr="005D58CB">
        <w:t>Abbreviations: IV, intravenous, T-DXd, trastuzumab deruxtecan; TPC, treatment of physician’s choice.</w:t>
      </w:r>
      <w:r w:rsidRPr="005D58CB">
        <w:br/>
        <w:t>Sources: Daiichi Sankyo Inc. 2022. (CSR; Data on file)</w:t>
      </w:r>
      <w:r w:rsidRPr="005D58CB">
        <w:fldChar w:fldCharType="begin"/>
      </w:r>
      <w:r w:rsidR="00CA6345">
        <w:instrText xml:space="preserve"> ADDIN ZOTERO_ITEM CSL_CITATION {"citationID":"oOIvMJC5","properties":{"formattedCitation":"\\super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5D58CB">
        <w:fldChar w:fldCharType="separate"/>
      </w:r>
      <w:r w:rsidR="00FD57F4" w:rsidRPr="00FD57F4">
        <w:rPr>
          <w:rFonts w:cs="Arial"/>
          <w:szCs w:val="24"/>
          <w:vertAlign w:val="superscript"/>
        </w:rPr>
        <w:t>7</w:t>
      </w:r>
      <w:r w:rsidRPr="005D58CB">
        <w:fldChar w:fldCharType="end"/>
      </w:r>
    </w:p>
    <w:p w14:paraId="171E2536" w14:textId="7C22A527" w:rsidR="00EC2472" w:rsidRDefault="00EC2472" w:rsidP="00EC2472">
      <w:pPr>
        <w:pStyle w:val="Body"/>
      </w:pPr>
      <w:r>
        <w:t>In DESTINY-Breast04, n</w:t>
      </w:r>
      <w:r w:rsidRPr="005E7DF1">
        <w:t xml:space="preserve">o dose modifications </w:t>
      </w:r>
      <w:r>
        <w:t xml:space="preserve">for T-DXd </w:t>
      </w:r>
      <w:r w:rsidRPr="005E7DF1">
        <w:t>were permitted for Grade 1 and 2 AEs unless specified in the protocol</w:t>
      </w:r>
      <w:r>
        <w:t>.</w:t>
      </w:r>
      <w:r w:rsidRPr="005D58CB">
        <w:fldChar w:fldCharType="begin"/>
      </w:r>
      <w:r w:rsidR="00CA6345">
        <w:instrText xml:space="preserve"> ADDIN ZOTERO_ITEM CSL_CITATION {"citationID":"8u0BO1fB","properties":{"formattedCitation":"\\super 158\\nosupersub{}","plainCitation":"158","noteIndex":0},"citationItems":[{"id":65923,"uris":["http://zotero.org/groups/4797619/items/RHDMDVKK"],"itemData":{"id":65923,"type":"document","title":"Clinical Study Protocol Version 3.0 for DS8201-A-U303. 24 April 2019. Data on File.","author":[{"family":"Daiichi Sankyo Inc.","given":""}],"issued":{"date-parts":[["2019"]]}}}],"schema":"https://github.com/citation-style-language/schema/raw/master/csl-citation.json"} </w:instrText>
      </w:r>
      <w:r w:rsidRPr="005D58CB">
        <w:fldChar w:fldCharType="separate"/>
      </w:r>
      <w:r w:rsidR="00CA6345" w:rsidRPr="00CA6345">
        <w:rPr>
          <w:rFonts w:cs="Arial"/>
          <w:szCs w:val="24"/>
          <w:vertAlign w:val="superscript"/>
        </w:rPr>
        <w:t>158</w:t>
      </w:r>
      <w:r w:rsidRPr="005D58CB">
        <w:fldChar w:fldCharType="end"/>
      </w:r>
      <w:r w:rsidRPr="005D58CB">
        <w:t xml:space="preserve"> </w:t>
      </w:r>
      <w:r>
        <w:t xml:space="preserve">For Grade </w:t>
      </w:r>
      <w:r>
        <w:rPr>
          <w:rFonts w:cs="Arial"/>
        </w:rPr>
        <w:t>≥</w:t>
      </w:r>
      <w:r>
        <w:t xml:space="preserve">3 </w:t>
      </w:r>
      <w:r w:rsidRPr="00337A92">
        <w:t>toxicities</w:t>
      </w:r>
      <w:r w:rsidRPr="005D58CB">
        <w:t>, two dose reductions were permitted for T-DXd, which is in line with the SmPC.</w:t>
      </w:r>
      <w:r w:rsidRPr="005D58CB">
        <w:fldChar w:fldCharType="begin"/>
      </w:r>
      <w:r w:rsidR="00CA6345">
        <w:instrText xml:space="preserve"> ADDIN ZOTERO_ITEM CSL_CITATION {"citationID":"TE17WNNm","properties":{"formattedCitation":"\\super 158\\nosupersub{}","plainCitation":"158","noteIndex":0},"citationItems":[{"id":65923,"uris":["http://zotero.org/groups/4797619/items/RHDMDVKK"],"itemData":{"id":65923,"type":"document","title":"Clinical Study Protocol Version 3.0 for DS8201-A-U303. 24 April 2019. Data on File.","author":[{"family":"Daiichi Sankyo Inc.","given":""}],"issued":{"date-parts":[["2019"]]}}}],"schema":"https://github.com/citation-style-language/schema/raw/master/csl-citation.json"} </w:instrText>
      </w:r>
      <w:r w:rsidRPr="005D58CB">
        <w:fldChar w:fldCharType="separate"/>
      </w:r>
      <w:r w:rsidR="00CA6345" w:rsidRPr="00CA6345">
        <w:rPr>
          <w:rFonts w:cs="Arial"/>
          <w:szCs w:val="24"/>
          <w:vertAlign w:val="superscript"/>
        </w:rPr>
        <w:t>158</w:t>
      </w:r>
      <w:r w:rsidRPr="005D58CB">
        <w:fldChar w:fldCharType="end"/>
      </w:r>
      <w:r w:rsidRPr="005D58CB">
        <w:t xml:space="preserve"> The dose could be reduced to 4.4 mg/kg (Level-1) then further to 3.2 mg/kg if required (Level-2) and finally, withdrawal</w:t>
      </w:r>
      <w:r>
        <w:t xml:space="preserve">. </w:t>
      </w:r>
      <w:r w:rsidRPr="00006CA5">
        <w:t>Once the dose of study treatment ha</w:t>
      </w:r>
      <w:r>
        <w:t>d</w:t>
      </w:r>
      <w:r w:rsidRPr="00006CA5">
        <w:t xml:space="preserve"> been reduced because of toxicity, all subsequent cycles </w:t>
      </w:r>
      <w:r>
        <w:t>were to</w:t>
      </w:r>
      <w:r w:rsidRPr="00006CA5">
        <w:t xml:space="preserve"> be administered at that lower dose level unless further dose reduction </w:t>
      </w:r>
      <w:r>
        <w:t>was</w:t>
      </w:r>
      <w:r w:rsidRPr="00006CA5">
        <w:t xml:space="preserve"> required.</w:t>
      </w:r>
      <w:r>
        <w:t xml:space="preserve"> </w:t>
      </w:r>
      <w:r w:rsidRPr="00006CA5">
        <w:t>If toxicity continue</w:t>
      </w:r>
      <w:r>
        <w:t>d</w:t>
      </w:r>
      <w:r w:rsidRPr="00006CA5">
        <w:t xml:space="preserve"> after</w:t>
      </w:r>
      <w:r w:rsidR="00853E1F">
        <w:t xml:space="preserve"> two</w:t>
      </w:r>
      <w:r w:rsidRPr="00006CA5">
        <w:t xml:space="preserve"> dose reductions, then the subject </w:t>
      </w:r>
      <w:r>
        <w:t>was</w:t>
      </w:r>
      <w:r w:rsidRPr="00006CA5">
        <w:t xml:space="preserve"> withdrawn from study treatment. Study treatment dose increases </w:t>
      </w:r>
      <w:r>
        <w:t>for T-DXd were</w:t>
      </w:r>
      <w:r w:rsidRPr="00006CA5">
        <w:t xml:space="preserve"> not allowed in </w:t>
      </w:r>
      <w:r>
        <w:t>DESTINY-Breast04.</w:t>
      </w:r>
      <w:r>
        <w:fldChar w:fldCharType="begin"/>
      </w:r>
      <w:r w:rsidR="00CA6345">
        <w:instrText xml:space="preserve"> ADDIN ZOTERO_ITEM CSL_CITATION {"citationID":"kRhRd7Zk","properties":{"formattedCitation":"\\super 158\\nosupersub{}","plainCitation":"158","noteIndex":0},"citationItems":[{"id":65923,"uris":["http://zotero.org/groups/4797619/items/RHDMDVKK"],"itemData":{"id":65923,"type":"document","title":"Clinical Study Protocol Version 3.0 for DS8201-A-U303. 24 April 2019. Data on File.","author":[{"family":"Daiichi Sankyo Inc.","given":""}],"issued":{"date-parts":[["2019"]]}}}],"schema":"https://github.com/citation-style-language/schema/raw/master/csl-citation.json"} </w:instrText>
      </w:r>
      <w:r>
        <w:fldChar w:fldCharType="separate"/>
      </w:r>
      <w:r w:rsidR="00CA6345" w:rsidRPr="00CA6345">
        <w:rPr>
          <w:rFonts w:cs="Arial"/>
          <w:szCs w:val="24"/>
          <w:vertAlign w:val="superscript"/>
        </w:rPr>
        <w:t>158</w:t>
      </w:r>
      <w:r>
        <w:fldChar w:fldCharType="end"/>
      </w:r>
      <w:r>
        <w:t xml:space="preserve"> </w:t>
      </w:r>
      <w:r w:rsidRPr="005D58CB">
        <w:t>For TPC, dose adjustments were made in accordance with the label approved in the country of drug administration or the NCCN guidelines.</w:t>
      </w:r>
      <w:r w:rsidRPr="005D58CB">
        <w:fldChar w:fldCharType="begin"/>
      </w:r>
      <w:r w:rsidR="00CA6345">
        <w:instrText xml:space="preserve"> ADDIN ZOTERO_ITEM CSL_CITATION {"citationID":"I7ekNwbb","properties":{"formattedCitation":"\\super 7,158\\nosupersub{}","plainCitation":"7,158","noteIndex":0},"citationItems":[{"id":65944,"uris":["http://zotero.org/groups/4797619/items/WBVSVVF7"],"itemData":{"id":65944,"type":"document","title":"Clinical Study Report for DS8201-A-U303. Data cut-off date: 11 Jan 2022. Data on File.","author":[{"family":"Daiichi Sankyo Inc.","given":""}],"issued":{"date-parts":[["2022"]]}}},{"id":65923,"uris":["http://zotero.org/groups/4797619/items/RHDMDVKK"],"itemData":{"id":65923,"type":"document","title":"Clinical Study Protocol Version 3.0 for DS8201-A-U303. 24 April 2019. Data on File.","author":[{"family":"Daiichi Sankyo Inc.","given":""}],"issued":{"date-parts":[["2019"]]}}}],"schema":"https://github.com/citation-style-language/schema/raw/master/csl-citation.json"} </w:instrText>
      </w:r>
      <w:r w:rsidRPr="005D58CB">
        <w:fldChar w:fldCharType="separate"/>
      </w:r>
      <w:r w:rsidR="00CA6345" w:rsidRPr="00CA6345">
        <w:rPr>
          <w:rFonts w:cs="Arial"/>
          <w:szCs w:val="24"/>
          <w:vertAlign w:val="superscript"/>
        </w:rPr>
        <w:t>7,158</w:t>
      </w:r>
      <w:r w:rsidRPr="005D58CB">
        <w:fldChar w:fldCharType="end"/>
      </w:r>
    </w:p>
    <w:p w14:paraId="7A864D40" w14:textId="5B4678A6" w:rsidR="00EC2472" w:rsidRDefault="00EC2472" w:rsidP="00EC2472">
      <w:pPr>
        <w:pStyle w:val="Body"/>
      </w:pPr>
      <w:r>
        <w:t xml:space="preserve">Therefore, to account for dose reductions, missed doses and treatment interruptions, the RDI from DESTINY-Breast04 is included in the base case; </w:t>
      </w:r>
      <w:r w:rsidR="00294FDC" w:rsidRPr="00294FDC">
        <w:rPr>
          <w:color w:val="000000"/>
          <w:highlight w:val="black"/>
        </w:rPr>
        <w:t>xxxxx</w:t>
      </w:r>
      <w:r>
        <w:t xml:space="preserve"> for T-DXd and </w:t>
      </w:r>
      <w:r w:rsidR="00294FDC" w:rsidRPr="00294FDC">
        <w:rPr>
          <w:color w:val="000000"/>
          <w:highlight w:val="black"/>
        </w:rPr>
        <w:t>xxxxxxxxxxx</w:t>
      </w:r>
      <w:r>
        <w:t xml:space="preserve"> for TPC</w:t>
      </w:r>
      <w:r w:rsidR="00282A1B">
        <w:t xml:space="preserve"> agents</w:t>
      </w:r>
      <w:r>
        <w:t xml:space="preserve">. </w:t>
      </w:r>
      <w:r w:rsidRPr="004C748A">
        <w:t xml:space="preserve">This ensures that the dose intensity and subsequent drug costs in the </w:t>
      </w:r>
      <w:r w:rsidRPr="005D58CB">
        <w:t>model</w:t>
      </w:r>
      <w:r w:rsidRPr="004C748A">
        <w:t xml:space="preserve"> are consistent with the efficacy data used in the model from DESTINY-Breast04.</w:t>
      </w:r>
    </w:p>
    <w:p w14:paraId="0D4E78C7" w14:textId="451DDC30" w:rsidR="00EC2472" w:rsidRDefault="00EC2472" w:rsidP="00EC2472">
      <w:pPr>
        <w:pStyle w:val="Body"/>
      </w:pPr>
      <w:r>
        <w:t xml:space="preserve">Drug </w:t>
      </w:r>
      <w:r w:rsidRPr="005B211D">
        <w:t xml:space="preserve">costs </w:t>
      </w:r>
      <w:r>
        <w:t xml:space="preserve">for </w:t>
      </w:r>
      <w:r w:rsidRPr="005D58CB">
        <w:t xml:space="preserve">treatments administered parenterally were estimated using the average patient body weight </w:t>
      </w:r>
      <w:r>
        <w:t>from DESTINY-Breast04</w:t>
      </w:r>
      <w:r w:rsidRPr="005D58CB">
        <w:t xml:space="preserve"> </w:t>
      </w:r>
      <w:r>
        <w:t xml:space="preserve">for T-DXd, </w:t>
      </w:r>
      <w:r w:rsidRPr="005D58CB">
        <w:t xml:space="preserve">and average body surface area for eribulin, gemcitabine, paclitaxel and nab-paclitaxel. </w:t>
      </w:r>
      <w:r w:rsidRPr="005B211D">
        <w:t xml:space="preserve">Drug costs </w:t>
      </w:r>
      <w:r w:rsidRPr="00626B22">
        <w:t>per cycle</w:t>
      </w:r>
      <w:r w:rsidRPr="005B211D">
        <w:t xml:space="preserve"> were </w:t>
      </w:r>
      <w:r w:rsidRPr="00626B22">
        <w:t xml:space="preserve">calculated through the method of moments approach to calculate the average </w:t>
      </w:r>
      <w:r>
        <w:t>number of vials that would be required per one administration of treatment.</w:t>
      </w:r>
      <w:hyperlink w:anchor="_ENREF_155" w:tooltip="Hatswell, 2016 #197" w:history="1">
        <w:r>
          <w:fldChar w:fldCharType="begin">
            <w:fldData xml:space="preserve">PEVuZE5vdGU+PENpdGU+PEF1dGhvcj5IYXRzd2VsbDwvQXV0aG9yPjxZZWFyPjIwMTY8L1llYXI+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=
</w:fldData>
          </w:fldChar>
        </w:r>
        <w:r>
          <w:instrText xml:space="preserve"> ADDIN EN.CITE </w:instrText>
        </w:r>
        <w:r>
          <w:fldChar w:fldCharType="begin">
            <w:fldData xml:space="preserve">PEVuZE5vdGU+PENpdGU+PEF1dGhvcj5IYXRzd2VsbDwvQXV0aG9yPjxZZWFyPjIwMTY8L1llYXI+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=
</w:fldData>
          </w:fldChar>
        </w:r>
        <w:r>
          <w:instrText xml:space="preserve"> ADDIN EN.CITE.DATA </w:instrText>
        </w:r>
        <w:r>
          <w:fldChar w:fldCharType="end"/>
        </w:r>
        <w:r>
          <w:fldChar w:fldCharType="separate"/>
        </w:r>
        <w:r w:rsidRPr="004838B9">
          <w:rPr>
            <w:noProof/>
            <w:vertAlign w:val="superscript"/>
          </w:rPr>
          <w:t>155</w:t>
        </w:r>
        <w:r>
          <w:fldChar w:fldCharType="end"/>
        </w:r>
      </w:hyperlink>
      <w:r>
        <w:t xml:space="preserve"> The method of moments first </w:t>
      </w:r>
      <w:r w:rsidRPr="005D58CB">
        <w:t xml:space="preserve">derives </w:t>
      </w:r>
      <w:r>
        <w:t xml:space="preserve">a </w:t>
      </w:r>
      <w:r w:rsidRPr="005D58CB">
        <w:t>normal</w:t>
      </w:r>
      <w:r>
        <w:t xml:space="preserve"> distribution for the average </w:t>
      </w:r>
      <w:r w:rsidRPr="005D58CB">
        <w:t>patient weight or body surface area using the mean and standard deviation measured at baseline in DESTINY-Breast04. This is then</w:t>
      </w:r>
      <w:r>
        <w:t xml:space="preserve"> used to predict the proportion of patients </w:t>
      </w:r>
      <w:r w:rsidRPr="005D58CB">
        <w:t xml:space="preserve">within each body weight or surface area range and the </w:t>
      </w:r>
      <w:r>
        <w:t>number of vials required to administer the required dose</w:t>
      </w:r>
      <w:r w:rsidRPr="005D58CB">
        <w:t xml:space="preserve">. </w:t>
      </w:r>
      <w:r>
        <w:t>This method assumes that patients only receive whole vials (i.e., no vial sharing), and thus accounts for drug wastage.</w:t>
      </w:r>
    </w:p>
    <w:p w14:paraId="167C2CC2" w14:textId="5E15F984" w:rsidR="00EC2472" w:rsidRPr="005D58CB" w:rsidRDefault="00EC2472" w:rsidP="00EC2472">
      <w:pPr>
        <w:pStyle w:val="Body"/>
      </w:pPr>
      <w:r w:rsidRPr="005D58CB">
        <w:t>V</w:t>
      </w:r>
      <w:r>
        <w:t>ial sharing is available in some UK centres</w:t>
      </w:r>
      <w:r w:rsidRPr="005D58CB">
        <w:t xml:space="preserve"> and applied in the base case. In the recent approval of T-DXd for treating HER2-positive u/mBC after 1 or more anti-HER2 treatments</w:t>
      </w:r>
      <w:r>
        <w:t xml:space="preserve"> (TA862)</w:t>
      </w:r>
      <w:r w:rsidRPr="005D58CB">
        <w:t>, 50% vial sharing was accepted as plausible</w:t>
      </w:r>
      <w:r>
        <w:t xml:space="preserve"> and t</w:t>
      </w:r>
      <w:r w:rsidRPr="005D58CB">
        <w:t>he NHS England Cancer Drugs Fund clinical lead confirmed that vial sharing</w:t>
      </w:r>
      <w:r>
        <w:t xml:space="preserve"> </w:t>
      </w:r>
      <w:r w:rsidRPr="005D58CB">
        <w:t>is e</w:t>
      </w:r>
      <w:r>
        <w:t>xpected</w:t>
      </w:r>
      <w:r w:rsidRPr="005D58CB">
        <w:t xml:space="preserve"> to occur</w:t>
      </w:r>
      <w:r>
        <w:t xml:space="preserve"> regularly</w:t>
      </w:r>
      <w:r w:rsidRPr="005D58CB">
        <w:t xml:space="preserve"> </w:t>
      </w:r>
      <w:r>
        <w:t>with T-DXd, in at least 50% of cases, due to dose banding.</w:t>
      </w:r>
      <w:r w:rsidRPr="00040E86">
        <w:rPr>
          <w:lang w:eastAsia="en-GB"/>
        </w:rPr>
        <w:fldChar w:fldCharType="begin"/>
      </w:r>
      <w:r w:rsidR="00CA6345">
        <w:rPr>
          <w:lang w:eastAsia="en-GB"/>
        </w:rPr>
        <w:instrText xml:space="preserve"> ADDIN ZOTERO_ITEM CSL_CITATION {"citationID":"lIijGX73","properties":{"formattedCitation":"\\super 5\\nosupersub{}","plainCitation":"5","noteIndex":0},"citationItems":[{"id":66214,"uris":["http://zotero.org/groups/4797619/items/H2PQC2GH"],"itemData":{"id":66214,"type":"webpage","abstract":"Trastuzumab deruxtecan for treating HER2-positive unresectable or metastatic breast cancer after trastuzumab and a taxane [TA862]","language":"eng","note":"publisher: NICE","title":"Trastuzumab deruxtecan for treating HER2-positive unresectable or metastatic breast cancer after 1 or more anti-HER2 therapies | NICE [TA862]","URL":"https://www.nice.org.uk/guidance/indevelopment/gid-ta10804/documents","author":[{"family":"NICE","given":""}],"accessed":{"date-parts":[["2023",2,5]]},"issued":{"date-parts":[["2023",2]]}}}],"schema":"https://github.com/citation-style-language/schema/raw/master/csl-citation.json"} </w:instrText>
      </w:r>
      <w:r w:rsidRPr="00040E86">
        <w:rPr>
          <w:lang w:eastAsia="en-GB"/>
        </w:rPr>
        <w:fldChar w:fldCharType="separate"/>
      </w:r>
      <w:r w:rsidR="00FD57F4" w:rsidRPr="00FD57F4">
        <w:rPr>
          <w:rFonts w:cs="Arial"/>
          <w:szCs w:val="24"/>
          <w:vertAlign w:val="superscript"/>
        </w:rPr>
        <w:t>5</w:t>
      </w:r>
      <w:r w:rsidRPr="00040E86">
        <w:rPr>
          <w:lang w:eastAsia="en-GB"/>
        </w:rPr>
        <w:fldChar w:fldCharType="end"/>
      </w:r>
      <w:r w:rsidDel="00422B40">
        <w:rPr>
          <w:lang w:eastAsia="en-GB"/>
        </w:rPr>
        <w:t xml:space="preserve"> </w:t>
      </w:r>
      <w:r w:rsidRPr="005D58CB">
        <w:t xml:space="preserve">Recommendation </w:t>
      </w:r>
      <w:r>
        <w:t xml:space="preserve">of T-DXd </w:t>
      </w:r>
      <w:r w:rsidRPr="005D58CB">
        <w:t xml:space="preserve">for use in additional </w:t>
      </w:r>
      <w:r w:rsidRPr="005D58CB">
        <w:lastRenderedPageBreak/>
        <w:t>indications</w:t>
      </w:r>
      <w:r>
        <w:t>, such as HER2-low,</w:t>
      </w:r>
      <w:r w:rsidRPr="005D58CB">
        <w:t xml:space="preserve"> would be expected to lead to larger patient numbers being treated with T-DXd in NHS practice and subsequently the number of centres that are able to vial share</w:t>
      </w:r>
      <w:r w:rsidRPr="005D58CB" w:rsidDel="0094181B">
        <w:t xml:space="preserve"> </w:t>
      </w:r>
      <w:r w:rsidRPr="005D58CB">
        <w:t>could increase.</w:t>
      </w:r>
      <w:r>
        <w:t xml:space="preserve"> </w:t>
      </w:r>
      <w:r w:rsidRPr="005D58CB">
        <w:t xml:space="preserve">Therefore, in the </w:t>
      </w:r>
      <w:r w:rsidRPr="0075368D">
        <w:t xml:space="preserve">base case, </w:t>
      </w:r>
      <w:r w:rsidRPr="005D58CB">
        <w:t>75%</w:t>
      </w:r>
      <w:r w:rsidRPr="0075368D">
        <w:t xml:space="preserve"> vial sharing was applied for both treatment arms</w:t>
      </w:r>
      <w:r>
        <w:t xml:space="preserve">. The use of increased vial sharing also supports the NHS </w:t>
      </w:r>
      <w:r w:rsidR="002567A8">
        <w:t>L</w:t>
      </w:r>
      <w:r>
        <w:t>ong</w:t>
      </w:r>
      <w:r w:rsidR="002567A8">
        <w:t xml:space="preserve"> T</w:t>
      </w:r>
      <w:r>
        <w:t xml:space="preserve">erm </w:t>
      </w:r>
      <w:r w:rsidR="002567A8">
        <w:t>P</w:t>
      </w:r>
      <w:r>
        <w:t>lan, which aims to accelerate the production of ‘off the shelf’ licensed pharmaceuticals and the use of compounders to minimise drug wastage.</w:t>
      </w:r>
      <w:r>
        <w:fldChar w:fldCharType="begin"/>
      </w:r>
      <w:r w:rsidR="00CA6345">
        <w:instrText xml:space="preserve"> ADDIN ZOTERO_ITEM CSL_CITATION {"citationID":"FehqGmHe","properties":{"formattedCitation":"\\super 184\\nosupersub{}","plainCitation":"184","noteIndex":0},"citationItems":[{"id":66785,"uris":["http://zotero.org/groups/4797619/items/LCD96XL4"],"itemData":{"id":66785,"type":"article-journal","container-title":"Department of Health and Social Care","language":"en","source":"Zotero","title":"Transforming NHS pharmacy aseptic services in England. A national report for the Department of Health and Social Care by Lord Carter of Coles.","URL":"https://assets.publishing.service.gov.uk/government/uploads/system/uploads/attachment_data/file/931195/aseptic-pharmacy.pdf","issued":{"date-parts":[["2020"]]}}}],"schema":"https://github.com/citation-style-language/schema/raw/master/csl-citation.json"} </w:instrText>
      </w:r>
      <w:r>
        <w:fldChar w:fldCharType="separate"/>
      </w:r>
      <w:r w:rsidR="00CA6345" w:rsidRPr="00CA6345">
        <w:rPr>
          <w:rFonts w:cs="Arial"/>
          <w:szCs w:val="24"/>
          <w:vertAlign w:val="superscript"/>
        </w:rPr>
        <w:t>184</w:t>
      </w:r>
      <w:r>
        <w:fldChar w:fldCharType="end"/>
      </w:r>
      <w:r>
        <w:t xml:space="preserve"> </w:t>
      </w:r>
      <w:r w:rsidRPr="005D58CB">
        <w:t xml:space="preserve">Scenario analysis considering 50% and 100% vial sharing are </w:t>
      </w:r>
      <w:r>
        <w:t xml:space="preserve">presented (Section </w:t>
      </w:r>
      <w:r>
        <w:fldChar w:fldCharType="begin"/>
      </w:r>
      <w:r>
        <w:instrText xml:space="preserve"> REF _Ref126852565 \r \h </w:instrText>
      </w:r>
      <w:r>
        <w:fldChar w:fldCharType="separate"/>
      </w:r>
      <w:r w:rsidR="00145F42">
        <w:t>B.3.11.3</w:t>
      </w:r>
      <w:r>
        <w:fldChar w:fldCharType="end"/>
      </w:r>
      <w:r>
        <w:t>)</w:t>
      </w:r>
      <w:r w:rsidRPr="005D58CB">
        <w:t>.</w:t>
      </w:r>
    </w:p>
    <w:p w14:paraId="34CDC660" w14:textId="77777777" w:rsidR="00EC2472" w:rsidRPr="005D58CB" w:rsidRDefault="00EC2472" w:rsidP="00EC2472">
      <w:pPr>
        <w:pStyle w:val="Body"/>
      </w:pPr>
      <w:r w:rsidRPr="005D58CB">
        <w:t xml:space="preserve">The drug cost per cycle for capecitabine, which is administered orally, was calculated by applying the minimum number of tablets required to administer the required dose based on the average patient body weight in DESTINY-Breast04. </w:t>
      </w:r>
    </w:p>
    <w:p w14:paraId="554017AE" w14:textId="01B0A968" w:rsidR="00EC2472" w:rsidRDefault="00EC2472" w:rsidP="00EC2472">
      <w:pPr>
        <w:pStyle w:val="Body"/>
      </w:pPr>
      <w:r w:rsidRPr="003C648C">
        <w:rPr>
          <w:b/>
          <w:bCs/>
        </w:rPr>
        <w:fldChar w:fldCharType="begin"/>
      </w:r>
      <w:r w:rsidRPr="003C648C">
        <w:rPr>
          <w:b/>
          <w:bCs/>
        </w:rPr>
        <w:instrText xml:space="preserve"> REF _Ref96105285 \h </w:instrText>
      </w:r>
      <w:r w:rsidR="00BB06FD">
        <w:rPr>
          <w:b/>
          <w:bCs/>
        </w:rPr>
        <w:instrText xml:space="preserve"> \* MERGEFORMAT </w:instrText>
      </w:r>
      <w:r w:rsidRPr="003C648C">
        <w:rPr>
          <w:b/>
          <w:bCs/>
        </w:rPr>
      </w:r>
      <w:r w:rsidRPr="003C648C">
        <w:rPr>
          <w:b/>
          <w:bCs/>
        </w:rPr>
        <w:fldChar w:fldCharType="separate"/>
      </w:r>
      <w:r w:rsidR="00145F42" w:rsidRPr="00145F42">
        <w:rPr>
          <w:b/>
          <w:bCs/>
        </w:rPr>
        <w:t xml:space="preserve">Table </w:t>
      </w:r>
      <w:r w:rsidR="00145F42" w:rsidRPr="00145F42">
        <w:rPr>
          <w:b/>
          <w:bCs/>
          <w:noProof/>
        </w:rPr>
        <w:t>54</w:t>
      </w:r>
      <w:r w:rsidRPr="003C648C">
        <w:rPr>
          <w:b/>
          <w:bCs/>
        </w:rPr>
        <w:fldChar w:fldCharType="end"/>
      </w:r>
      <w:r>
        <w:t xml:space="preserve"> presents the dosing schedules, dose intensity and final cost per treatment cycle used in the model base case. The cost per dose is then applied within the model to patients on treatment every 3 weeks as per the administration frequency. </w:t>
      </w:r>
    </w:p>
    <w:p w14:paraId="16D96101" w14:textId="5B28BA48" w:rsidR="00EC2472" w:rsidRDefault="00EC2472" w:rsidP="00EC2472">
      <w:pPr>
        <w:pStyle w:val="Caption"/>
      </w:pPr>
      <w:bookmarkStart w:id="673" w:name="_Ref96105285"/>
      <w:bookmarkStart w:id="674" w:name="_Toc98924761"/>
      <w:bookmarkStart w:id="675" w:name="_Toc127006684"/>
      <w:bookmarkStart w:id="676" w:name="_Toc129351029"/>
      <w:r>
        <w:t xml:space="preserve">Table </w:t>
      </w:r>
      <w:r>
        <w:fldChar w:fldCharType="begin"/>
      </w:r>
      <w:r>
        <w:instrText>SEQ Table \* ARABIC</w:instrText>
      </w:r>
      <w:r>
        <w:fldChar w:fldCharType="separate"/>
      </w:r>
      <w:r w:rsidR="00145F42">
        <w:rPr>
          <w:noProof/>
        </w:rPr>
        <w:t>54</w:t>
      </w:r>
      <w:r>
        <w:fldChar w:fldCharType="end"/>
      </w:r>
      <w:bookmarkEnd w:id="673"/>
      <w:r>
        <w:t>: Dosing schedules and cost per 21-day treatment cycle</w:t>
      </w:r>
      <w:bookmarkEnd w:id="674"/>
      <w:bookmarkEnd w:id="675"/>
      <w:bookmarkEnd w:id="676"/>
    </w:p>
    <w:tbl>
      <w:tblPr>
        <w:tblStyle w:val="TableGrid"/>
        <w:tblW w:w="0" w:type="auto"/>
        <w:tblLayout w:type="fixed"/>
        <w:tblLook w:val="04A0" w:firstRow="1" w:lastRow="0" w:firstColumn="1" w:lastColumn="0" w:noHBand="0" w:noVBand="1"/>
      </w:tblPr>
      <w:tblGrid>
        <w:gridCol w:w="1413"/>
        <w:gridCol w:w="1417"/>
        <w:gridCol w:w="1034"/>
        <w:gridCol w:w="1288"/>
        <w:gridCol w:w="1288"/>
        <w:gridCol w:w="1288"/>
        <w:gridCol w:w="1289"/>
      </w:tblGrid>
      <w:tr w:rsidR="00EC2472" w14:paraId="05363557" w14:textId="77777777">
        <w:tc>
          <w:tcPr>
            <w:tcW w:w="1413" w:type="dxa"/>
            <w:shd w:val="clear" w:color="auto" w:fill="D9D9D9" w:themeFill="background1" w:themeFillShade="D9"/>
          </w:tcPr>
          <w:p w14:paraId="2C6B2155" w14:textId="77777777" w:rsidR="00EC2472" w:rsidRDefault="00EC2472">
            <w:pPr>
              <w:pStyle w:val="NICETableHeader"/>
            </w:pPr>
            <w:r>
              <w:t>Treatment</w:t>
            </w:r>
          </w:p>
        </w:tc>
        <w:tc>
          <w:tcPr>
            <w:tcW w:w="1417" w:type="dxa"/>
            <w:shd w:val="clear" w:color="auto" w:fill="D9D9D9" w:themeFill="background1" w:themeFillShade="D9"/>
          </w:tcPr>
          <w:p w14:paraId="24EA75AC" w14:textId="77777777" w:rsidR="00EC2472" w:rsidRDefault="00EC2472">
            <w:pPr>
              <w:pStyle w:val="NICETableHeader"/>
              <w:jc w:val="center"/>
            </w:pPr>
            <w:r>
              <w:t>Dose</w:t>
            </w:r>
          </w:p>
          <w:p w14:paraId="51B11F60" w14:textId="77777777" w:rsidR="00EC2472" w:rsidRDefault="00EC2472">
            <w:pPr>
              <w:jc w:val="center"/>
            </w:pPr>
          </w:p>
        </w:tc>
        <w:tc>
          <w:tcPr>
            <w:tcW w:w="1034" w:type="dxa"/>
            <w:shd w:val="clear" w:color="auto" w:fill="D9D9D9" w:themeFill="background1" w:themeFillShade="D9"/>
          </w:tcPr>
          <w:p w14:paraId="130D8231" w14:textId="77777777" w:rsidR="00EC2472" w:rsidRPr="005D58CB" w:rsidRDefault="00EC2472">
            <w:pPr>
              <w:pStyle w:val="NICETableHeader"/>
              <w:jc w:val="center"/>
            </w:pPr>
            <w:r w:rsidRPr="005D58CB">
              <w:t>Doses per cycle</w:t>
            </w:r>
          </w:p>
        </w:tc>
        <w:tc>
          <w:tcPr>
            <w:tcW w:w="1288" w:type="dxa"/>
            <w:shd w:val="clear" w:color="auto" w:fill="D9D9D9" w:themeFill="background1" w:themeFillShade="D9"/>
          </w:tcPr>
          <w:p w14:paraId="08483CE3" w14:textId="77777777" w:rsidR="00EC2472" w:rsidRDefault="00EC2472">
            <w:pPr>
              <w:pStyle w:val="NICETableHeader"/>
              <w:jc w:val="center"/>
            </w:pPr>
            <w:r>
              <w:t>Relative dose intensity (RDI)</w:t>
            </w:r>
          </w:p>
        </w:tc>
        <w:tc>
          <w:tcPr>
            <w:tcW w:w="1288" w:type="dxa"/>
            <w:shd w:val="clear" w:color="auto" w:fill="D9D9D9" w:themeFill="background1" w:themeFillShade="D9"/>
          </w:tcPr>
          <w:p w14:paraId="565494F3" w14:textId="77777777" w:rsidR="00EC2472" w:rsidRDefault="00EC2472">
            <w:pPr>
              <w:pStyle w:val="NICETableHeader"/>
              <w:jc w:val="center"/>
            </w:pPr>
            <w:r>
              <w:t>% vial sharing</w:t>
            </w:r>
          </w:p>
        </w:tc>
        <w:tc>
          <w:tcPr>
            <w:tcW w:w="1288" w:type="dxa"/>
            <w:shd w:val="clear" w:color="auto" w:fill="D9D9D9" w:themeFill="background1" w:themeFillShade="D9"/>
          </w:tcPr>
          <w:p w14:paraId="05E308DF" w14:textId="77777777" w:rsidR="00EC2472" w:rsidRPr="00E72574" w:rsidRDefault="00EC2472">
            <w:pPr>
              <w:pStyle w:val="NICETableHeader"/>
              <w:jc w:val="center"/>
              <w:rPr>
                <w:vertAlign w:val="superscript"/>
              </w:rPr>
            </w:pPr>
            <w:r w:rsidRPr="005D58CB">
              <w:t>Cost per cycle</w:t>
            </w:r>
          </w:p>
        </w:tc>
        <w:tc>
          <w:tcPr>
            <w:tcW w:w="1289" w:type="dxa"/>
            <w:shd w:val="clear" w:color="auto" w:fill="D9D9D9" w:themeFill="background1" w:themeFillShade="D9"/>
          </w:tcPr>
          <w:p w14:paraId="71D7F746" w14:textId="77777777" w:rsidR="00EC2472" w:rsidRDefault="00EC2472">
            <w:pPr>
              <w:pStyle w:val="NICETableHeader"/>
              <w:jc w:val="center"/>
            </w:pPr>
            <w:r>
              <w:t>Source (RDI)</w:t>
            </w:r>
          </w:p>
        </w:tc>
      </w:tr>
      <w:tr w:rsidR="00EC2472" w14:paraId="684467B2" w14:textId="77777777">
        <w:tc>
          <w:tcPr>
            <w:tcW w:w="1413" w:type="dxa"/>
          </w:tcPr>
          <w:p w14:paraId="0BA8F64B" w14:textId="77777777" w:rsidR="00EC2472" w:rsidRPr="005D58CB" w:rsidRDefault="00EC2472">
            <w:pPr>
              <w:pStyle w:val="NICETabletext"/>
              <w:rPr>
                <w:rFonts w:cs="Arial"/>
                <w:szCs w:val="20"/>
              </w:rPr>
            </w:pPr>
            <w:r w:rsidRPr="005D58CB">
              <w:rPr>
                <w:rFonts w:cs="Arial"/>
                <w:szCs w:val="20"/>
              </w:rPr>
              <w:t>T-DXd</w:t>
            </w:r>
          </w:p>
        </w:tc>
        <w:tc>
          <w:tcPr>
            <w:tcW w:w="1417" w:type="dxa"/>
          </w:tcPr>
          <w:p w14:paraId="6BFD4AC0" w14:textId="77777777" w:rsidR="00EC2472" w:rsidRPr="005D58CB" w:rsidRDefault="00EC2472">
            <w:pPr>
              <w:pStyle w:val="NICETabletext"/>
              <w:jc w:val="center"/>
              <w:rPr>
                <w:rFonts w:cs="Arial"/>
                <w:szCs w:val="20"/>
              </w:rPr>
            </w:pPr>
            <w:r w:rsidRPr="005D58CB">
              <w:rPr>
                <w:rFonts w:cs="Arial"/>
                <w:szCs w:val="20"/>
              </w:rPr>
              <w:t xml:space="preserve">5.4 mg/kg </w:t>
            </w:r>
          </w:p>
        </w:tc>
        <w:tc>
          <w:tcPr>
            <w:tcW w:w="1034" w:type="dxa"/>
          </w:tcPr>
          <w:p w14:paraId="6F2987BB" w14:textId="77777777" w:rsidR="00EC2472" w:rsidRPr="005D58CB" w:rsidRDefault="00EC2472">
            <w:pPr>
              <w:pStyle w:val="NICETabletext"/>
              <w:jc w:val="center"/>
              <w:rPr>
                <w:rFonts w:cs="Arial"/>
                <w:szCs w:val="20"/>
              </w:rPr>
            </w:pPr>
            <w:r w:rsidRPr="005D58CB">
              <w:rPr>
                <w:rFonts w:cs="Arial"/>
                <w:szCs w:val="20"/>
              </w:rPr>
              <w:t>1</w:t>
            </w:r>
          </w:p>
        </w:tc>
        <w:tc>
          <w:tcPr>
            <w:tcW w:w="1288" w:type="dxa"/>
          </w:tcPr>
          <w:p w14:paraId="27490500" w14:textId="0CBAFA41" w:rsidR="00EC2472" w:rsidRPr="00C67C0A" w:rsidRDefault="00F77ABC">
            <w:pPr>
              <w:pStyle w:val="NICETabletext"/>
              <w:jc w:val="center"/>
              <w:rPr>
                <w:rFonts w:cs="Arial"/>
                <w:szCs w:val="20"/>
                <w:highlight w:val="cyan"/>
                <w:u w:val="single"/>
              </w:rPr>
            </w:pPr>
            <w:r w:rsidRPr="00F77ABC">
              <w:rPr>
                <w:rFonts w:cs="Arial"/>
                <w:color w:val="000000"/>
                <w:szCs w:val="20"/>
                <w:highlight w:val="black"/>
              </w:rPr>
              <w:t>xxxxx</w:t>
            </w:r>
            <w:r w:rsidR="00EC2472" w:rsidRPr="007D2366">
              <w:rPr>
                <w:rFonts w:cs="Arial"/>
                <w:szCs w:val="20"/>
              </w:rPr>
              <w:t>%</w:t>
            </w:r>
            <w:r w:rsidR="00EC2472" w:rsidRPr="003C648C">
              <w:rPr>
                <w:vertAlign w:val="superscript"/>
              </w:rPr>
              <w:t>b</w:t>
            </w:r>
          </w:p>
        </w:tc>
        <w:tc>
          <w:tcPr>
            <w:tcW w:w="1288" w:type="dxa"/>
          </w:tcPr>
          <w:p w14:paraId="3751926A" w14:textId="77777777" w:rsidR="00EC2472" w:rsidRPr="005D58CB" w:rsidRDefault="00EC2472">
            <w:pPr>
              <w:pStyle w:val="NICETabletext"/>
              <w:jc w:val="center"/>
              <w:rPr>
                <w:rFonts w:cs="Arial"/>
                <w:szCs w:val="20"/>
              </w:rPr>
            </w:pPr>
            <w:r w:rsidRPr="005D58CB">
              <w:rPr>
                <w:rFonts w:cs="Arial"/>
                <w:szCs w:val="20"/>
              </w:rPr>
              <w:t>75%</w:t>
            </w:r>
          </w:p>
        </w:tc>
        <w:tc>
          <w:tcPr>
            <w:tcW w:w="1288" w:type="dxa"/>
          </w:tcPr>
          <w:p w14:paraId="4F6AB5F0" w14:textId="55CB019F" w:rsidR="00EC2472" w:rsidRPr="005D58CB" w:rsidRDefault="00F77ABC">
            <w:pPr>
              <w:pStyle w:val="NICETabletext"/>
              <w:jc w:val="center"/>
              <w:rPr>
                <w:rFonts w:cs="Arial"/>
                <w:szCs w:val="20"/>
                <w:highlight w:val="cyan"/>
                <w:u w:val="single"/>
              </w:rPr>
            </w:pPr>
            <w:r w:rsidRPr="00F77ABC">
              <w:rPr>
                <w:rFonts w:cs="Arial"/>
                <w:color w:val="000000"/>
                <w:szCs w:val="20"/>
                <w:highlight w:val="black"/>
              </w:rPr>
              <w:t>xxxxxxxxx</w:t>
            </w:r>
            <w:r w:rsidR="00EC2472">
              <w:rPr>
                <w:rFonts w:cs="Arial"/>
                <w:szCs w:val="20"/>
                <w:vertAlign w:val="superscript"/>
              </w:rPr>
              <w:t>a</w:t>
            </w:r>
          </w:p>
        </w:tc>
        <w:tc>
          <w:tcPr>
            <w:tcW w:w="1289" w:type="dxa"/>
          </w:tcPr>
          <w:p w14:paraId="4BD29253" w14:textId="2EFD3CEC" w:rsidR="00EC2472" w:rsidRDefault="00EC2472">
            <w:pPr>
              <w:pStyle w:val="NICETabletext"/>
              <w:jc w:val="center"/>
            </w:pPr>
            <w:r>
              <w:t>DESTINY-Breast04</w:t>
            </w:r>
            <w:r>
              <w:fldChar w:fldCharType="begin"/>
            </w:r>
            <w:r w:rsidR="00CA6345">
              <w:instrText xml:space="preserve"> ADDIN ZOTERO_ITEM CSL_CITATION {"citationID":"YzjjcV09","properties":{"formattedCitation":"\\super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fldChar w:fldCharType="separate"/>
            </w:r>
            <w:r w:rsidR="00FD57F4" w:rsidRPr="00FD57F4">
              <w:rPr>
                <w:rFonts w:cs="Arial"/>
                <w:vertAlign w:val="superscript"/>
              </w:rPr>
              <w:t>7</w:t>
            </w:r>
            <w:r>
              <w:fldChar w:fldCharType="end"/>
            </w:r>
          </w:p>
        </w:tc>
      </w:tr>
      <w:tr w:rsidR="003740CC" w14:paraId="435C5A5C" w14:textId="77777777">
        <w:tc>
          <w:tcPr>
            <w:tcW w:w="1413" w:type="dxa"/>
          </w:tcPr>
          <w:p w14:paraId="75D53E7B" w14:textId="7D31DCB6" w:rsidR="003740CC" w:rsidRPr="005D58CB" w:rsidRDefault="003740CC" w:rsidP="003740CC">
            <w:pPr>
              <w:pStyle w:val="NICETabletext"/>
              <w:rPr>
                <w:rFonts w:cs="Arial"/>
                <w:szCs w:val="20"/>
              </w:rPr>
            </w:pPr>
            <w:r>
              <w:rPr>
                <w:rFonts w:cs="Arial"/>
                <w:szCs w:val="20"/>
              </w:rPr>
              <w:t>Weighted TPC</w:t>
            </w:r>
          </w:p>
        </w:tc>
        <w:tc>
          <w:tcPr>
            <w:tcW w:w="1417" w:type="dxa"/>
          </w:tcPr>
          <w:p w14:paraId="10CAD9D7" w14:textId="7CED3BC2" w:rsidR="003740CC" w:rsidRPr="005D58CB" w:rsidRDefault="003740CC" w:rsidP="003740CC">
            <w:pPr>
              <w:pStyle w:val="NICETabletext"/>
              <w:jc w:val="center"/>
              <w:rPr>
                <w:rFonts w:cs="Arial"/>
                <w:szCs w:val="20"/>
              </w:rPr>
            </w:pPr>
            <w:r>
              <w:rPr>
                <w:rFonts w:cs="Arial"/>
                <w:szCs w:val="20"/>
              </w:rPr>
              <w:t>-</w:t>
            </w:r>
          </w:p>
        </w:tc>
        <w:tc>
          <w:tcPr>
            <w:tcW w:w="1034" w:type="dxa"/>
          </w:tcPr>
          <w:p w14:paraId="5113C8F9" w14:textId="341A753E" w:rsidR="003740CC" w:rsidRPr="005D58CB" w:rsidRDefault="003740CC" w:rsidP="003740CC">
            <w:pPr>
              <w:pStyle w:val="NICETabletext"/>
              <w:jc w:val="center"/>
              <w:rPr>
                <w:rFonts w:cs="Arial"/>
                <w:szCs w:val="20"/>
              </w:rPr>
            </w:pPr>
            <w:r>
              <w:rPr>
                <w:rFonts w:cs="Arial"/>
                <w:szCs w:val="20"/>
              </w:rPr>
              <w:t>-</w:t>
            </w:r>
          </w:p>
        </w:tc>
        <w:tc>
          <w:tcPr>
            <w:tcW w:w="1288" w:type="dxa"/>
          </w:tcPr>
          <w:p w14:paraId="7F11D750" w14:textId="7610976C" w:rsidR="003740CC" w:rsidRPr="00C67C0A" w:rsidRDefault="003740CC" w:rsidP="003740CC">
            <w:pPr>
              <w:pStyle w:val="NICETabletext"/>
              <w:jc w:val="center"/>
              <w:rPr>
                <w:rFonts w:cs="Arial"/>
                <w:szCs w:val="20"/>
                <w:highlight w:val="cyan"/>
                <w:u w:val="single"/>
              </w:rPr>
            </w:pPr>
            <w:r w:rsidRPr="00C67C0A">
              <w:rPr>
                <w:rFonts w:cs="Arial"/>
                <w:szCs w:val="20"/>
                <w:u w:val="single"/>
              </w:rPr>
              <w:t>-</w:t>
            </w:r>
          </w:p>
        </w:tc>
        <w:tc>
          <w:tcPr>
            <w:tcW w:w="1288" w:type="dxa"/>
          </w:tcPr>
          <w:p w14:paraId="6A7E169D" w14:textId="758E0A82" w:rsidR="003740CC" w:rsidRPr="005D58CB" w:rsidRDefault="003740CC" w:rsidP="003740CC">
            <w:pPr>
              <w:pStyle w:val="NICETabletext"/>
              <w:jc w:val="center"/>
              <w:rPr>
                <w:rFonts w:cs="Arial"/>
                <w:szCs w:val="20"/>
              </w:rPr>
            </w:pPr>
            <w:r>
              <w:rPr>
                <w:rFonts w:cs="Arial"/>
                <w:szCs w:val="20"/>
              </w:rPr>
              <w:t>-</w:t>
            </w:r>
          </w:p>
        </w:tc>
        <w:tc>
          <w:tcPr>
            <w:tcW w:w="1288" w:type="dxa"/>
          </w:tcPr>
          <w:p w14:paraId="02367D4D" w14:textId="35CAAF06" w:rsidR="003740CC" w:rsidRPr="00775447" w:rsidRDefault="003740CC" w:rsidP="003740CC">
            <w:pPr>
              <w:pStyle w:val="NICETabletext"/>
              <w:jc w:val="center"/>
              <w:rPr>
                <w:rFonts w:cs="Arial"/>
                <w:szCs w:val="20"/>
                <w:highlight w:val="cyan"/>
                <w:u w:val="single"/>
              </w:rPr>
            </w:pPr>
            <w:r w:rsidRPr="009D2365">
              <w:rPr>
                <w:rFonts w:cs="Arial"/>
                <w:szCs w:val="20"/>
              </w:rPr>
              <w:t>£987.24</w:t>
            </w:r>
            <w:r w:rsidR="00775447">
              <w:rPr>
                <w:rFonts w:cs="Arial"/>
                <w:szCs w:val="20"/>
                <w:vertAlign w:val="superscript"/>
              </w:rPr>
              <w:t>d</w:t>
            </w:r>
          </w:p>
        </w:tc>
        <w:tc>
          <w:tcPr>
            <w:tcW w:w="1289" w:type="dxa"/>
          </w:tcPr>
          <w:p w14:paraId="7F719489" w14:textId="3A652565" w:rsidR="003740CC" w:rsidRDefault="003740CC" w:rsidP="003740CC">
            <w:pPr>
              <w:pStyle w:val="NICETabletext"/>
              <w:jc w:val="center"/>
            </w:pPr>
            <w:r>
              <w:t>-</w:t>
            </w:r>
          </w:p>
        </w:tc>
      </w:tr>
      <w:tr w:rsidR="003740CC" w14:paraId="60735C2A" w14:textId="77777777">
        <w:tc>
          <w:tcPr>
            <w:tcW w:w="9017" w:type="dxa"/>
            <w:gridSpan w:val="7"/>
          </w:tcPr>
          <w:p w14:paraId="6E30C7F1" w14:textId="696541CD" w:rsidR="003740CC" w:rsidRDefault="003740CC" w:rsidP="003C648C">
            <w:pPr>
              <w:pStyle w:val="NICETabletext"/>
            </w:pPr>
            <w:r>
              <w:t>Components of TPC</w:t>
            </w:r>
          </w:p>
        </w:tc>
      </w:tr>
      <w:tr w:rsidR="00EC2472" w14:paraId="249FFBFF" w14:textId="77777777">
        <w:tc>
          <w:tcPr>
            <w:tcW w:w="1413" w:type="dxa"/>
          </w:tcPr>
          <w:p w14:paraId="234B06EF" w14:textId="0023C348" w:rsidR="00EC2472" w:rsidRPr="005D58CB" w:rsidRDefault="00EC2472">
            <w:pPr>
              <w:pStyle w:val="NICETabletext"/>
              <w:rPr>
                <w:rFonts w:cs="Arial"/>
                <w:szCs w:val="20"/>
              </w:rPr>
            </w:pPr>
            <w:r w:rsidRPr="005D58CB">
              <w:rPr>
                <w:rFonts w:cs="Arial"/>
                <w:szCs w:val="20"/>
              </w:rPr>
              <w:t>Capecitabine</w:t>
            </w:r>
          </w:p>
        </w:tc>
        <w:tc>
          <w:tcPr>
            <w:tcW w:w="1417" w:type="dxa"/>
          </w:tcPr>
          <w:p w14:paraId="1055CE8D" w14:textId="77777777" w:rsidR="00EC2472" w:rsidRPr="005D58CB" w:rsidRDefault="00EC2472">
            <w:pPr>
              <w:pStyle w:val="NICETabletext"/>
              <w:jc w:val="center"/>
              <w:rPr>
                <w:rFonts w:cs="Arial"/>
                <w:szCs w:val="20"/>
              </w:rPr>
            </w:pPr>
            <w:r w:rsidRPr="005D58CB">
              <w:rPr>
                <w:rFonts w:cs="Arial"/>
                <w:szCs w:val="20"/>
              </w:rPr>
              <w:t>1250 mg/kg</w:t>
            </w:r>
          </w:p>
        </w:tc>
        <w:tc>
          <w:tcPr>
            <w:tcW w:w="1034" w:type="dxa"/>
          </w:tcPr>
          <w:p w14:paraId="46E1B4E3" w14:textId="77777777" w:rsidR="00EC2472" w:rsidRPr="005D58CB" w:rsidRDefault="00EC2472">
            <w:pPr>
              <w:pStyle w:val="NICETabletext"/>
              <w:jc w:val="center"/>
              <w:rPr>
                <w:rFonts w:cs="Arial"/>
                <w:szCs w:val="20"/>
              </w:rPr>
            </w:pPr>
            <w:r w:rsidRPr="005D58CB">
              <w:rPr>
                <w:rFonts w:cs="Arial"/>
                <w:szCs w:val="20"/>
              </w:rPr>
              <w:t>28</w:t>
            </w:r>
          </w:p>
        </w:tc>
        <w:tc>
          <w:tcPr>
            <w:tcW w:w="1288" w:type="dxa"/>
          </w:tcPr>
          <w:p w14:paraId="5BE5551C" w14:textId="66F76894" w:rsidR="00EC2472" w:rsidRPr="00C67C0A" w:rsidRDefault="00F77ABC">
            <w:pPr>
              <w:pStyle w:val="NICETabletext"/>
              <w:jc w:val="center"/>
              <w:rPr>
                <w:rFonts w:cs="Arial"/>
                <w:szCs w:val="20"/>
                <w:highlight w:val="cyan"/>
                <w:u w:val="single"/>
              </w:rPr>
            </w:pPr>
            <w:r w:rsidRPr="00F77ABC">
              <w:rPr>
                <w:rFonts w:cs="Arial"/>
                <w:color w:val="000000"/>
                <w:szCs w:val="20"/>
                <w:highlight w:val="black"/>
              </w:rPr>
              <w:t>xxxx</w:t>
            </w:r>
            <w:r w:rsidR="00EC2472" w:rsidRPr="007D2366">
              <w:rPr>
                <w:rFonts w:cs="Arial"/>
                <w:szCs w:val="20"/>
              </w:rPr>
              <w:t>%</w:t>
            </w:r>
            <w:r w:rsidR="00EC2472" w:rsidRPr="003C648C">
              <w:rPr>
                <w:vertAlign w:val="superscript"/>
              </w:rPr>
              <w:t>c</w:t>
            </w:r>
          </w:p>
        </w:tc>
        <w:tc>
          <w:tcPr>
            <w:tcW w:w="1288" w:type="dxa"/>
          </w:tcPr>
          <w:p w14:paraId="07FEFB8D" w14:textId="77777777" w:rsidR="00EC2472" w:rsidRPr="00930A43" w:rsidRDefault="00EC2472">
            <w:pPr>
              <w:pStyle w:val="NICETabletext"/>
              <w:jc w:val="center"/>
              <w:rPr>
                <w:rFonts w:cs="Arial"/>
                <w:szCs w:val="20"/>
              </w:rPr>
            </w:pPr>
            <w:r w:rsidRPr="00930A43">
              <w:rPr>
                <w:rFonts w:cs="Arial"/>
                <w:szCs w:val="20"/>
              </w:rPr>
              <w:t>N/A</w:t>
            </w:r>
          </w:p>
        </w:tc>
        <w:tc>
          <w:tcPr>
            <w:tcW w:w="1288" w:type="dxa"/>
          </w:tcPr>
          <w:p w14:paraId="5C0504AC" w14:textId="77777777" w:rsidR="00EC2472" w:rsidRPr="005D58CB" w:rsidRDefault="00EC2472">
            <w:pPr>
              <w:pStyle w:val="NICETabletext"/>
              <w:jc w:val="center"/>
              <w:rPr>
                <w:rFonts w:cs="Arial"/>
                <w:szCs w:val="20"/>
                <w:highlight w:val="cyan"/>
                <w:u w:val="single"/>
              </w:rPr>
            </w:pPr>
            <w:r w:rsidRPr="005D58CB">
              <w:rPr>
                <w:rFonts w:cs="Arial"/>
                <w:szCs w:val="20"/>
              </w:rPr>
              <w:t>£38.12</w:t>
            </w:r>
          </w:p>
        </w:tc>
        <w:tc>
          <w:tcPr>
            <w:tcW w:w="1289" w:type="dxa"/>
          </w:tcPr>
          <w:p w14:paraId="47911A05" w14:textId="611B63BF" w:rsidR="00EC2472" w:rsidRDefault="003740CC">
            <w:pPr>
              <w:pStyle w:val="NICETabletext"/>
              <w:jc w:val="center"/>
            </w:pPr>
            <w:r>
              <w:t>DESTINY-Breast04</w:t>
            </w:r>
            <w:r>
              <w:fldChar w:fldCharType="begin"/>
            </w:r>
            <w:r w:rsidR="00CA6345">
              <w:instrText xml:space="preserve"> ADDIN ZOTERO_ITEM CSL_CITATION {"citationID":"1ElQwiyW","properties":{"formattedCitation":"\\super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fldChar w:fldCharType="separate"/>
            </w:r>
            <w:r w:rsidR="00FD57F4" w:rsidRPr="00FD57F4">
              <w:rPr>
                <w:rFonts w:cs="Arial"/>
                <w:vertAlign w:val="superscript"/>
              </w:rPr>
              <w:t>7</w:t>
            </w:r>
            <w:r>
              <w:fldChar w:fldCharType="end"/>
            </w:r>
          </w:p>
        </w:tc>
      </w:tr>
      <w:tr w:rsidR="00EC2472" w14:paraId="02183D57" w14:textId="77777777">
        <w:tc>
          <w:tcPr>
            <w:tcW w:w="1413" w:type="dxa"/>
          </w:tcPr>
          <w:p w14:paraId="289338BC" w14:textId="77777777" w:rsidR="00EC2472" w:rsidRPr="005D58CB" w:rsidRDefault="00EC2472">
            <w:pPr>
              <w:pStyle w:val="NICETabletext"/>
              <w:rPr>
                <w:rFonts w:cs="Arial"/>
                <w:szCs w:val="20"/>
              </w:rPr>
            </w:pPr>
            <w:r w:rsidRPr="005D58CB">
              <w:rPr>
                <w:rFonts w:cs="Arial"/>
                <w:szCs w:val="20"/>
              </w:rPr>
              <w:t>Eribulin</w:t>
            </w:r>
          </w:p>
        </w:tc>
        <w:tc>
          <w:tcPr>
            <w:tcW w:w="1417" w:type="dxa"/>
          </w:tcPr>
          <w:p w14:paraId="32F448A2" w14:textId="77777777" w:rsidR="00EC2472" w:rsidRPr="005D58CB" w:rsidRDefault="00EC2472">
            <w:pPr>
              <w:pStyle w:val="NICETabletext"/>
              <w:jc w:val="center"/>
              <w:rPr>
                <w:rFonts w:cs="Arial"/>
                <w:szCs w:val="20"/>
              </w:rPr>
            </w:pPr>
            <w:r w:rsidRPr="005D58CB">
              <w:rPr>
                <w:rFonts w:cs="Arial"/>
                <w:szCs w:val="20"/>
              </w:rPr>
              <w:t>1.23 mg/m</w:t>
            </w:r>
            <w:r w:rsidRPr="005D58CB">
              <w:rPr>
                <w:rFonts w:cs="Arial"/>
                <w:szCs w:val="20"/>
                <w:vertAlign w:val="superscript"/>
              </w:rPr>
              <w:t>2</w:t>
            </w:r>
            <w:r w:rsidRPr="005D58CB">
              <w:rPr>
                <w:rFonts w:cs="Arial"/>
                <w:szCs w:val="20"/>
              </w:rPr>
              <w:t xml:space="preserve"> </w:t>
            </w:r>
          </w:p>
        </w:tc>
        <w:tc>
          <w:tcPr>
            <w:tcW w:w="1034" w:type="dxa"/>
          </w:tcPr>
          <w:p w14:paraId="60933B80" w14:textId="77777777" w:rsidR="00EC2472" w:rsidRPr="005D58CB" w:rsidRDefault="00EC2472">
            <w:pPr>
              <w:pStyle w:val="NICETabletext"/>
              <w:jc w:val="center"/>
              <w:rPr>
                <w:rFonts w:cs="Arial"/>
                <w:szCs w:val="20"/>
              </w:rPr>
            </w:pPr>
            <w:r w:rsidRPr="005D58CB">
              <w:rPr>
                <w:rFonts w:cs="Arial"/>
                <w:szCs w:val="20"/>
              </w:rPr>
              <w:t>2</w:t>
            </w:r>
          </w:p>
        </w:tc>
        <w:tc>
          <w:tcPr>
            <w:tcW w:w="1288" w:type="dxa"/>
          </w:tcPr>
          <w:p w14:paraId="0B5E96BD" w14:textId="4320F146" w:rsidR="00EC2472" w:rsidRPr="00C67C0A" w:rsidRDefault="00F77ABC">
            <w:pPr>
              <w:pStyle w:val="NICETabletext"/>
              <w:jc w:val="center"/>
              <w:rPr>
                <w:rFonts w:cs="Arial"/>
                <w:szCs w:val="20"/>
                <w:highlight w:val="cyan"/>
                <w:u w:val="single"/>
              </w:rPr>
            </w:pPr>
            <w:r w:rsidRPr="00F77ABC">
              <w:rPr>
                <w:rFonts w:cs="Arial"/>
                <w:color w:val="000000"/>
                <w:szCs w:val="20"/>
                <w:highlight w:val="black"/>
              </w:rPr>
              <w:t>xxxx</w:t>
            </w:r>
            <w:r w:rsidR="00EC2472" w:rsidRPr="007D2366">
              <w:rPr>
                <w:rFonts w:cs="Arial"/>
                <w:szCs w:val="20"/>
              </w:rPr>
              <w:t>%</w:t>
            </w:r>
            <w:r w:rsidR="00EC2472" w:rsidRPr="003C648C">
              <w:rPr>
                <w:vertAlign w:val="superscript"/>
              </w:rPr>
              <w:t>c</w:t>
            </w:r>
          </w:p>
        </w:tc>
        <w:tc>
          <w:tcPr>
            <w:tcW w:w="1288" w:type="dxa"/>
          </w:tcPr>
          <w:p w14:paraId="46C98017" w14:textId="77777777" w:rsidR="00EC2472" w:rsidRPr="005D58CB" w:rsidRDefault="00EC2472">
            <w:pPr>
              <w:pStyle w:val="NICETabletext"/>
              <w:jc w:val="center"/>
              <w:rPr>
                <w:rFonts w:cs="Arial"/>
                <w:szCs w:val="20"/>
                <w:highlight w:val="green"/>
              </w:rPr>
            </w:pPr>
            <w:r w:rsidRPr="005D58CB">
              <w:rPr>
                <w:rFonts w:cs="Arial"/>
                <w:szCs w:val="20"/>
              </w:rPr>
              <w:t>75%</w:t>
            </w:r>
          </w:p>
        </w:tc>
        <w:tc>
          <w:tcPr>
            <w:tcW w:w="1288" w:type="dxa"/>
          </w:tcPr>
          <w:p w14:paraId="3B43CB5F" w14:textId="77777777" w:rsidR="00EC2472" w:rsidRPr="005D58CB" w:rsidRDefault="00EC2472">
            <w:pPr>
              <w:pStyle w:val="NICETabletext"/>
              <w:jc w:val="center"/>
              <w:rPr>
                <w:rFonts w:cs="Arial"/>
                <w:szCs w:val="20"/>
                <w:highlight w:val="cyan"/>
                <w:u w:val="single"/>
              </w:rPr>
            </w:pPr>
            <w:r w:rsidRPr="005D58CB">
              <w:rPr>
                <w:rFonts w:cs="Arial"/>
                <w:szCs w:val="20"/>
              </w:rPr>
              <w:t>£1,786.55</w:t>
            </w:r>
          </w:p>
        </w:tc>
        <w:tc>
          <w:tcPr>
            <w:tcW w:w="1289" w:type="dxa"/>
          </w:tcPr>
          <w:p w14:paraId="32DDCD42" w14:textId="1346F5C2" w:rsidR="00EC2472" w:rsidRDefault="003740CC">
            <w:pPr>
              <w:pStyle w:val="NICETabletext"/>
              <w:jc w:val="center"/>
            </w:pPr>
            <w:r>
              <w:t>DESTINY-Breast04</w:t>
            </w:r>
            <w:r>
              <w:fldChar w:fldCharType="begin"/>
            </w:r>
            <w:r w:rsidR="00CA6345">
              <w:instrText xml:space="preserve"> ADDIN ZOTERO_ITEM CSL_CITATION {"citationID":"fsW2jkkU","properties":{"formattedCitation":"\\super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fldChar w:fldCharType="separate"/>
            </w:r>
            <w:r w:rsidR="00FD57F4" w:rsidRPr="00FD57F4">
              <w:rPr>
                <w:rFonts w:cs="Arial"/>
                <w:vertAlign w:val="superscript"/>
              </w:rPr>
              <w:t>7</w:t>
            </w:r>
            <w:r>
              <w:fldChar w:fldCharType="end"/>
            </w:r>
          </w:p>
        </w:tc>
      </w:tr>
      <w:tr w:rsidR="00EC2472" w14:paraId="59E1DDA9" w14:textId="77777777">
        <w:tc>
          <w:tcPr>
            <w:tcW w:w="1413" w:type="dxa"/>
          </w:tcPr>
          <w:p w14:paraId="76F5D658" w14:textId="77777777" w:rsidR="00EC2472" w:rsidRPr="005D58CB" w:rsidRDefault="00EC2472">
            <w:pPr>
              <w:pStyle w:val="NICETabletext"/>
              <w:rPr>
                <w:rFonts w:cs="Arial"/>
                <w:szCs w:val="20"/>
              </w:rPr>
            </w:pPr>
            <w:r w:rsidRPr="005D58CB">
              <w:rPr>
                <w:rFonts w:cs="Arial"/>
                <w:szCs w:val="20"/>
              </w:rPr>
              <w:t>Gemcitabine</w:t>
            </w:r>
          </w:p>
        </w:tc>
        <w:tc>
          <w:tcPr>
            <w:tcW w:w="1417" w:type="dxa"/>
          </w:tcPr>
          <w:p w14:paraId="502CE076" w14:textId="77777777" w:rsidR="00EC2472" w:rsidRPr="005D58CB" w:rsidRDefault="00EC2472">
            <w:pPr>
              <w:pStyle w:val="NICETabletext"/>
              <w:jc w:val="center"/>
              <w:rPr>
                <w:rFonts w:cs="Arial"/>
                <w:szCs w:val="20"/>
              </w:rPr>
            </w:pPr>
            <w:r w:rsidRPr="005D58CB">
              <w:rPr>
                <w:rFonts w:cs="Arial"/>
                <w:szCs w:val="20"/>
              </w:rPr>
              <w:t>1250 mg/m</w:t>
            </w:r>
            <w:r w:rsidRPr="005D58CB">
              <w:rPr>
                <w:rFonts w:cs="Arial"/>
                <w:szCs w:val="20"/>
                <w:vertAlign w:val="superscript"/>
              </w:rPr>
              <w:t>2</w:t>
            </w:r>
          </w:p>
        </w:tc>
        <w:tc>
          <w:tcPr>
            <w:tcW w:w="1034" w:type="dxa"/>
          </w:tcPr>
          <w:p w14:paraId="64ABEE66" w14:textId="77777777" w:rsidR="00EC2472" w:rsidRPr="005D58CB" w:rsidRDefault="00EC2472">
            <w:pPr>
              <w:pStyle w:val="NICETabletext"/>
              <w:jc w:val="center"/>
              <w:rPr>
                <w:rFonts w:cs="Arial"/>
                <w:szCs w:val="20"/>
              </w:rPr>
            </w:pPr>
            <w:r w:rsidRPr="005D58CB">
              <w:rPr>
                <w:rFonts w:cs="Arial"/>
                <w:szCs w:val="20"/>
              </w:rPr>
              <w:t>2</w:t>
            </w:r>
          </w:p>
        </w:tc>
        <w:tc>
          <w:tcPr>
            <w:tcW w:w="1288" w:type="dxa"/>
          </w:tcPr>
          <w:p w14:paraId="32E5AF99" w14:textId="3CFB971F" w:rsidR="00EC2472" w:rsidRPr="00C67C0A" w:rsidRDefault="00F77ABC">
            <w:pPr>
              <w:pStyle w:val="NICETabletext"/>
              <w:jc w:val="center"/>
              <w:rPr>
                <w:rFonts w:cs="Arial"/>
                <w:szCs w:val="20"/>
                <w:highlight w:val="cyan"/>
                <w:u w:val="single"/>
              </w:rPr>
            </w:pPr>
            <w:r w:rsidRPr="00F77ABC">
              <w:rPr>
                <w:rFonts w:cs="Arial"/>
                <w:color w:val="000000"/>
                <w:szCs w:val="20"/>
                <w:highlight w:val="black"/>
              </w:rPr>
              <w:t>xxxxx</w:t>
            </w:r>
            <w:r w:rsidR="00EC2472" w:rsidRPr="007D2366">
              <w:rPr>
                <w:rFonts w:cs="Arial"/>
                <w:szCs w:val="20"/>
              </w:rPr>
              <w:t>%</w:t>
            </w:r>
            <w:r w:rsidR="00EC2472" w:rsidRPr="003C648C">
              <w:rPr>
                <w:vertAlign w:val="superscript"/>
              </w:rPr>
              <w:t>c</w:t>
            </w:r>
          </w:p>
        </w:tc>
        <w:tc>
          <w:tcPr>
            <w:tcW w:w="1288" w:type="dxa"/>
          </w:tcPr>
          <w:p w14:paraId="308E53AE" w14:textId="77777777" w:rsidR="00EC2472" w:rsidRPr="005D58CB" w:rsidRDefault="00EC2472">
            <w:pPr>
              <w:pStyle w:val="NICETabletext"/>
              <w:jc w:val="center"/>
              <w:rPr>
                <w:rFonts w:cs="Arial"/>
                <w:szCs w:val="20"/>
                <w:highlight w:val="green"/>
              </w:rPr>
            </w:pPr>
            <w:r w:rsidRPr="005D58CB">
              <w:rPr>
                <w:rFonts w:cs="Arial"/>
                <w:szCs w:val="20"/>
              </w:rPr>
              <w:t>75%</w:t>
            </w:r>
          </w:p>
        </w:tc>
        <w:tc>
          <w:tcPr>
            <w:tcW w:w="1288" w:type="dxa"/>
          </w:tcPr>
          <w:p w14:paraId="5F2CFE8B" w14:textId="77777777" w:rsidR="00EC2472" w:rsidRPr="005D58CB" w:rsidRDefault="00EC2472">
            <w:pPr>
              <w:jc w:val="center"/>
              <w:rPr>
                <w:rFonts w:cs="Arial"/>
                <w:sz w:val="20"/>
                <w:szCs w:val="20"/>
              </w:rPr>
            </w:pPr>
            <w:r w:rsidRPr="00C67C0A">
              <w:rPr>
                <w:rFonts w:cs="Arial"/>
                <w:sz w:val="20"/>
                <w:szCs w:val="20"/>
              </w:rPr>
              <w:t>£93.58</w:t>
            </w:r>
          </w:p>
          <w:p w14:paraId="5C2E0D82" w14:textId="77777777" w:rsidR="00EC2472" w:rsidRPr="005D58CB" w:rsidRDefault="00EC2472">
            <w:pPr>
              <w:pStyle w:val="NICETabletext"/>
              <w:jc w:val="center"/>
              <w:rPr>
                <w:rFonts w:cs="Arial"/>
                <w:szCs w:val="20"/>
                <w:highlight w:val="cyan"/>
                <w:u w:val="single"/>
              </w:rPr>
            </w:pPr>
          </w:p>
        </w:tc>
        <w:tc>
          <w:tcPr>
            <w:tcW w:w="1289" w:type="dxa"/>
          </w:tcPr>
          <w:p w14:paraId="6DC92D75" w14:textId="2FB24BB2" w:rsidR="00EC2472" w:rsidRDefault="003740CC">
            <w:pPr>
              <w:pStyle w:val="NICETabletext"/>
              <w:jc w:val="center"/>
            </w:pPr>
            <w:r>
              <w:t>DESTINY-Breast04</w:t>
            </w:r>
            <w:r>
              <w:fldChar w:fldCharType="begin"/>
            </w:r>
            <w:r w:rsidR="00CA6345">
              <w:instrText xml:space="preserve"> ADDIN ZOTERO_ITEM CSL_CITATION {"citationID":"6rTP6zbN","properties":{"formattedCitation":"\\super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fldChar w:fldCharType="separate"/>
            </w:r>
            <w:r w:rsidR="00FD57F4" w:rsidRPr="00FD57F4">
              <w:rPr>
                <w:rFonts w:cs="Arial"/>
                <w:vertAlign w:val="superscript"/>
              </w:rPr>
              <w:t>7</w:t>
            </w:r>
            <w:r>
              <w:fldChar w:fldCharType="end"/>
            </w:r>
          </w:p>
        </w:tc>
      </w:tr>
      <w:tr w:rsidR="00EC2472" w14:paraId="7EF3C654" w14:textId="77777777">
        <w:tc>
          <w:tcPr>
            <w:tcW w:w="1413" w:type="dxa"/>
          </w:tcPr>
          <w:p w14:paraId="4901757C" w14:textId="77777777" w:rsidR="00EC2472" w:rsidRPr="005D58CB" w:rsidRDefault="00EC2472">
            <w:pPr>
              <w:pStyle w:val="NICETabletext"/>
              <w:rPr>
                <w:rFonts w:cs="Arial"/>
                <w:szCs w:val="20"/>
              </w:rPr>
            </w:pPr>
            <w:r w:rsidRPr="005D58CB">
              <w:rPr>
                <w:rFonts w:cs="Arial"/>
                <w:szCs w:val="20"/>
              </w:rPr>
              <w:t>Paclitaxel</w:t>
            </w:r>
          </w:p>
        </w:tc>
        <w:tc>
          <w:tcPr>
            <w:tcW w:w="1417" w:type="dxa"/>
          </w:tcPr>
          <w:p w14:paraId="5804EEC3" w14:textId="77777777" w:rsidR="00EC2472" w:rsidRPr="005D58CB" w:rsidRDefault="00EC2472">
            <w:pPr>
              <w:pStyle w:val="NICETabletext"/>
              <w:jc w:val="center"/>
              <w:rPr>
                <w:rFonts w:cs="Arial"/>
                <w:szCs w:val="20"/>
              </w:rPr>
            </w:pPr>
            <w:r w:rsidRPr="005D58CB">
              <w:rPr>
                <w:rFonts w:cs="Arial"/>
                <w:szCs w:val="20"/>
              </w:rPr>
              <w:t>175 mg/m</w:t>
            </w:r>
            <w:r w:rsidRPr="005D58CB">
              <w:rPr>
                <w:rFonts w:cs="Arial"/>
                <w:szCs w:val="20"/>
                <w:vertAlign w:val="superscript"/>
              </w:rPr>
              <w:t>2</w:t>
            </w:r>
          </w:p>
        </w:tc>
        <w:tc>
          <w:tcPr>
            <w:tcW w:w="1034" w:type="dxa"/>
          </w:tcPr>
          <w:p w14:paraId="50488B13" w14:textId="77777777" w:rsidR="00EC2472" w:rsidRPr="005D58CB" w:rsidRDefault="00EC2472">
            <w:pPr>
              <w:pStyle w:val="NICETabletext"/>
              <w:jc w:val="center"/>
              <w:rPr>
                <w:rFonts w:cs="Arial"/>
                <w:szCs w:val="20"/>
              </w:rPr>
            </w:pPr>
            <w:r w:rsidRPr="005D58CB">
              <w:rPr>
                <w:rFonts w:cs="Arial"/>
                <w:szCs w:val="20"/>
              </w:rPr>
              <w:t>1</w:t>
            </w:r>
          </w:p>
        </w:tc>
        <w:tc>
          <w:tcPr>
            <w:tcW w:w="1288" w:type="dxa"/>
          </w:tcPr>
          <w:p w14:paraId="0A0C48BF" w14:textId="51BAAF95" w:rsidR="00EC2472" w:rsidRPr="00C67C0A" w:rsidRDefault="00F77ABC">
            <w:pPr>
              <w:pStyle w:val="NICETabletext"/>
              <w:jc w:val="center"/>
              <w:rPr>
                <w:rFonts w:cs="Arial"/>
                <w:szCs w:val="20"/>
                <w:highlight w:val="cyan"/>
                <w:u w:val="single"/>
              </w:rPr>
            </w:pPr>
            <w:r w:rsidRPr="00F77ABC">
              <w:rPr>
                <w:rFonts w:cs="Arial"/>
                <w:color w:val="000000"/>
                <w:szCs w:val="20"/>
                <w:highlight w:val="black"/>
              </w:rPr>
              <w:t>xxxxx</w:t>
            </w:r>
            <w:r w:rsidR="00EC2472" w:rsidRPr="007D2366">
              <w:rPr>
                <w:rFonts w:cs="Arial"/>
                <w:szCs w:val="20"/>
              </w:rPr>
              <w:t>%</w:t>
            </w:r>
            <w:r w:rsidR="00EC2472" w:rsidRPr="003C648C">
              <w:rPr>
                <w:vertAlign w:val="superscript"/>
              </w:rPr>
              <w:t>c</w:t>
            </w:r>
          </w:p>
        </w:tc>
        <w:tc>
          <w:tcPr>
            <w:tcW w:w="1288" w:type="dxa"/>
          </w:tcPr>
          <w:p w14:paraId="144F8FFF" w14:textId="77777777" w:rsidR="00EC2472" w:rsidRPr="005D58CB" w:rsidRDefault="00EC2472">
            <w:pPr>
              <w:pStyle w:val="NICETabletext"/>
              <w:jc w:val="center"/>
              <w:rPr>
                <w:rFonts w:cs="Arial"/>
                <w:szCs w:val="20"/>
                <w:highlight w:val="green"/>
              </w:rPr>
            </w:pPr>
            <w:r w:rsidRPr="005D58CB">
              <w:rPr>
                <w:rFonts w:cs="Arial"/>
                <w:szCs w:val="20"/>
              </w:rPr>
              <w:t>75%</w:t>
            </w:r>
          </w:p>
        </w:tc>
        <w:tc>
          <w:tcPr>
            <w:tcW w:w="1288" w:type="dxa"/>
          </w:tcPr>
          <w:p w14:paraId="4B53DD7D" w14:textId="77777777" w:rsidR="00EC2472" w:rsidRPr="005D58CB" w:rsidRDefault="00EC2472">
            <w:pPr>
              <w:jc w:val="center"/>
              <w:rPr>
                <w:rFonts w:cs="Arial"/>
                <w:sz w:val="20"/>
                <w:szCs w:val="20"/>
              </w:rPr>
            </w:pPr>
            <w:r w:rsidRPr="005D58CB">
              <w:rPr>
                <w:rFonts w:cs="Arial"/>
                <w:sz w:val="20"/>
                <w:szCs w:val="20"/>
              </w:rPr>
              <w:t>£30.56</w:t>
            </w:r>
          </w:p>
          <w:p w14:paraId="6B64D28F" w14:textId="77777777" w:rsidR="00EC2472" w:rsidRPr="005D58CB" w:rsidRDefault="00EC2472">
            <w:pPr>
              <w:pStyle w:val="NICETabletext"/>
              <w:jc w:val="center"/>
              <w:rPr>
                <w:rFonts w:cs="Arial"/>
                <w:szCs w:val="20"/>
                <w:highlight w:val="cyan"/>
                <w:u w:val="single"/>
              </w:rPr>
            </w:pPr>
          </w:p>
        </w:tc>
        <w:tc>
          <w:tcPr>
            <w:tcW w:w="1289" w:type="dxa"/>
          </w:tcPr>
          <w:p w14:paraId="15EEA319" w14:textId="167D7C4C" w:rsidR="00EC2472" w:rsidRDefault="003740CC">
            <w:pPr>
              <w:pStyle w:val="NICETabletext"/>
              <w:jc w:val="center"/>
            </w:pPr>
            <w:r>
              <w:t>DESTINY-Breast04</w:t>
            </w:r>
            <w:r>
              <w:fldChar w:fldCharType="begin"/>
            </w:r>
            <w:r w:rsidR="00CA6345">
              <w:instrText xml:space="preserve"> ADDIN ZOTERO_ITEM CSL_CITATION {"citationID":"fNVcROJP","properties":{"formattedCitation":"\\super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fldChar w:fldCharType="separate"/>
            </w:r>
            <w:r w:rsidR="00FD57F4" w:rsidRPr="00FD57F4">
              <w:rPr>
                <w:rFonts w:cs="Arial"/>
                <w:vertAlign w:val="superscript"/>
              </w:rPr>
              <w:t>7</w:t>
            </w:r>
            <w:r>
              <w:fldChar w:fldCharType="end"/>
            </w:r>
          </w:p>
        </w:tc>
      </w:tr>
      <w:tr w:rsidR="00EC2472" w14:paraId="02FC17E8" w14:textId="77777777">
        <w:tc>
          <w:tcPr>
            <w:tcW w:w="1413" w:type="dxa"/>
          </w:tcPr>
          <w:p w14:paraId="690C72F5" w14:textId="77777777" w:rsidR="00EC2472" w:rsidRPr="005D58CB" w:rsidRDefault="00EC2472">
            <w:pPr>
              <w:pStyle w:val="NICETabletext"/>
              <w:rPr>
                <w:rFonts w:cs="Arial"/>
                <w:szCs w:val="20"/>
              </w:rPr>
            </w:pPr>
            <w:r w:rsidRPr="005D58CB">
              <w:rPr>
                <w:rFonts w:cs="Arial"/>
                <w:szCs w:val="20"/>
              </w:rPr>
              <w:t>Nab-paclitaxel</w:t>
            </w:r>
          </w:p>
        </w:tc>
        <w:tc>
          <w:tcPr>
            <w:tcW w:w="1417" w:type="dxa"/>
          </w:tcPr>
          <w:p w14:paraId="1DA31751" w14:textId="77777777" w:rsidR="00EC2472" w:rsidRPr="005D58CB" w:rsidRDefault="00EC2472">
            <w:pPr>
              <w:pStyle w:val="NICETabletext"/>
              <w:jc w:val="center"/>
              <w:rPr>
                <w:rFonts w:cs="Arial"/>
                <w:szCs w:val="20"/>
              </w:rPr>
            </w:pPr>
            <w:r w:rsidRPr="005D58CB">
              <w:rPr>
                <w:rFonts w:cs="Arial"/>
                <w:szCs w:val="20"/>
              </w:rPr>
              <w:t>260 mg/m</w:t>
            </w:r>
            <w:r w:rsidRPr="005D58CB">
              <w:rPr>
                <w:rFonts w:cs="Arial"/>
                <w:szCs w:val="20"/>
                <w:vertAlign w:val="superscript"/>
              </w:rPr>
              <w:t>2</w:t>
            </w:r>
          </w:p>
        </w:tc>
        <w:tc>
          <w:tcPr>
            <w:tcW w:w="1034" w:type="dxa"/>
          </w:tcPr>
          <w:p w14:paraId="14C25100" w14:textId="77777777" w:rsidR="00EC2472" w:rsidRPr="005D58CB" w:rsidRDefault="00EC2472">
            <w:pPr>
              <w:pStyle w:val="NICETabletext"/>
              <w:jc w:val="center"/>
              <w:rPr>
                <w:rFonts w:cs="Arial"/>
                <w:szCs w:val="20"/>
              </w:rPr>
            </w:pPr>
            <w:r w:rsidRPr="005D58CB">
              <w:rPr>
                <w:rFonts w:cs="Arial"/>
                <w:szCs w:val="20"/>
              </w:rPr>
              <w:t>1</w:t>
            </w:r>
          </w:p>
        </w:tc>
        <w:tc>
          <w:tcPr>
            <w:tcW w:w="1288" w:type="dxa"/>
          </w:tcPr>
          <w:p w14:paraId="7DAA26EB" w14:textId="417EA3F8" w:rsidR="00EC2472" w:rsidRPr="00C67C0A" w:rsidRDefault="00F77ABC">
            <w:pPr>
              <w:pStyle w:val="NICETabletext"/>
              <w:jc w:val="center"/>
              <w:rPr>
                <w:rFonts w:cs="Arial"/>
                <w:szCs w:val="20"/>
                <w:highlight w:val="cyan"/>
                <w:u w:val="single"/>
              </w:rPr>
            </w:pPr>
            <w:r w:rsidRPr="00F77ABC">
              <w:rPr>
                <w:rFonts w:cs="Arial"/>
                <w:color w:val="000000"/>
                <w:szCs w:val="20"/>
                <w:highlight w:val="black"/>
              </w:rPr>
              <w:t>xxxxx</w:t>
            </w:r>
            <w:r w:rsidR="00EC2472" w:rsidRPr="007D2366">
              <w:rPr>
                <w:rFonts w:cs="Arial"/>
                <w:szCs w:val="20"/>
              </w:rPr>
              <w:t>%</w:t>
            </w:r>
            <w:r w:rsidR="00EC2472" w:rsidRPr="003C648C">
              <w:rPr>
                <w:vertAlign w:val="superscript"/>
              </w:rPr>
              <w:t>c</w:t>
            </w:r>
          </w:p>
        </w:tc>
        <w:tc>
          <w:tcPr>
            <w:tcW w:w="1288" w:type="dxa"/>
          </w:tcPr>
          <w:p w14:paraId="03A3EEE0" w14:textId="77777777" w:rsidR="00EC2472" w:rsidRPr="005D58CB" w:rsidRDefault="00EC2472">
            <w:pPr>
              <w:pStyle w:val="NICETabletext"/>
              <w:jc w:val="center"/>
              <w:rPr>
                <w:rFonts w:cs="Arial"/>
                <w:szCs w:val="20"/>
                <w:highlight w:val="green"/>
              </w:rPr>
            </w:pPr>
            <w:r w:rsidRPr="005D58CB">
              <w:rPr>
                <w:rFonts w:cs="Arial"/>
                <w:szCs w:val="20"/>
              </w:rPr>
              <w:t>75%</w:t>
            </w:r>
          </w:p>
        </w:tc>
        <w:tc>
          <w:tcPr>
            <w:tcW w:w="1288" w:type="dxa"/>
          </w:tcPr>
          <w:p w14:paraId="430FB143" w14:textId="77777777" w:rsidR="00EC2472" w:rsidRPr="005D58CB" w:rsidRDefault="00EC2472">
            <w:pPr>
              <w:jc w:val="center"/>
              <w:rPr>
                <w:rFonts w:cs="Arial"/>
                <w:sz w:val="20"/>
                <w:szCs w:val="20"/>
              </w:rPr>
            </w:pPr>
            <w:r w:rsidRPr="005D58CB">
              <w:rPr>
                <w:rFonts w:cs="Arial"/>
                <w:sz w:val="20"/>
                <w:szCs w:val="20"/>
              </w:rPr>
              <w:t>£529.18</w:t>
            </w:r>
          </w:p>
          <w:p w14:paraId="4C101F6C" w14:textId="77777777" w:rsidR="00EC2472" w:rsidRPr="005D58CB" w:rsidRDefault="00EC2472">
            <w:pPr>
              <w:pStyle w:val="NICETabletext"/>
              <w:jc w:val="center"/>
              <w:rPr>
                <w:rFonts w:cs="Arial"/>
                <w:szCs w:val="20"/>
                <w:highlight w:val="cyan"/>
                <w:u w:val="single"/>
              </w:rPr>
            </w:pPr>
          </w:p>
        </w:tc>
        <w:tc>
          <w:tcPr>
            <w:tcW w:w="1289" w:type="dxa"/>
          </w:tcPr>
          <w:p w14:paraId="21924209" w14:textId="0E6D0FAD" w:rsidR="00EC2472" w:rsidRDefault="003740CC">
            <w:pPr>
              <w:pStyle w:val="NICETabletext"/>
              <w:jc w:val="center"/>
            </w:pPr>
            <w:r>
              <w:t>DESTINY-Breast04</w:t>
            </w:r>
            <w:r>
              <w:fldChar w:fldCharType="begin"/>
            </w:r>
            <w:r w:rsidR="00CA6345">
              <w:instrText xml:space="preserve"> ADDIN ZOTERO_ITEM CSL_CITATION {"citationID":"515DkunY","properties":{"formattedCitation":"\\super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fldChar w:fldCharType="separate"/>
            </w:r>
            <w:r w:rsidR="00FD57F4" w:rsidRPr="00FD57F4">
              <w:rPr>
                <w:rFonts w:cs="Arial"/>
                <w:vertAlign w:val="superscript"/>
              </w:rPr>
              <w:t>7</w:t>
            </w:r>
            <w:r>
              <w:fldChar w:fldCharType="end"/>
            </w:r>
          </w:p>
        </w:tc>
      </w:tr>
    </w:tbl>
    <w:p w14:paraId="6F8F39D8" w14:textId="359C6D3E" w:rsidR="00EC2472" w:rsidRPr="00C70CEE" w:rsidRDefault="00EC2472" w:rsidP="00EC2472">
      <w:pPr>
        <w:pStyle w:val="Body"/>
        <w:rPr>
          <w:sz w:val="18"/>
          <w:szCs w:val="18"/>
        </w:rPr>
      </w:pPr>
      <w:r w:rsidRPr="00560E3D">
        <w:rPr>
          <w:sz w:val="18"/>
          <w:szCs w:val="18"/>
        </w:rPr>
        <w:t>Abbreviations: RDI, Relative dose intensity; T-DXd, trastuzumab deruxtecan</w:t>
      </w:r>
      <w:r>
        <w:rPr>
          <w:sz w:val="18"/>
          <w:szCs w:val="18"/>
        </w:rPr>
        <w:t>; TPC, the physician’s choice</w:t>
      </w:r>
      <w:r w:rsidRPr="00560E3D">
        <w:rPr>
          <w:sz w:val="18"/>
          <w:szCs w:val="18"/>
        </w:rPr>
        <w:t>.</w:t>
      </w:r>
      <w:r w:rsidRPr="00560E3D">
        <w:rPr>
          <w:sz w:val="18"/>
          <w:szCs w:val="18"/>
        </w:rPr>
        <w:br/>
        <w:t xml:space="preserve">Note: </w:t>
      </w:r>
      <w:r w:rsidRPr="00560E3D">
        <w:rPr>
          <w:sz w:val="18"/>
          <w:szCs w:val="18"/>
          <w:vertAlign w:val="superscript"/>
        </w:rPr>
        <w:t xml:space="preserve">a </w:t>
      </w:r>
      <w:r w:rsidRPr="00560E3D">
        <w:rPr>
          <w:sz w:val="18"/>
          <w:szCs w:val="18"/>
        </w:rPr>
        <w:t>Cost per cycle includes the PAS on the list price of T-DXd.</w:t>
      </w:r>
      <w:r w:rsidRPr="00560E3D">
        <w:rPr>
          <w:sz w:val="18"/>
          <w:szCs w:val="18"/>
        </w:rPr>
        <w:br/>
      </w:r>
      <w:r w:rsidRPr="00560E3D">
        <w:rPr>
          <w:sz w:val="18"/>
          <w:szCs w:val="18"/>
          <w:vertAlign w:val="superscript"/>
        </w:rPr>
        <w:t xml:space="preserve">b </w:t>
      </w:r>
      <w:r>
        <w:rPr>
          <w:sz w:val="18"/>
          <w:szCs w:val="18"/>
        </w:rPr>
        <w:t>For T-DXd: r</w:t>
      </w:r>
      <w:r w:rsidRPr="00560E3D">
        <w:rPr>
          <w:sz w:val="18"/>
          <w:szCs w:val="18"/>
        </w:rPr>
        <w:t>elative dose intensity (%)</w:t>
      </w:r>
      <w:r>
        <w:rPr>
          <w:sz w:val="18"/>
          <w:szCs w:val="18"/>
        </w:rPr>
        <w:t xml:space="preserve"> </w:t>
      </w:r>
      <w:r w:rsidRPr="00560E3D">
        <w:rPr>
          <w:sz w:val="18"/>
          <w:szCs w:val="18"/>
        </w:rPr>
        <w:t>=</w:t>
      </w:r>
      <w:r>
        <w:rPr>
          <w:sz w:val="18"/>
          <w:szCs w:val="18"/>
        </w:rPr>
        <w:t xml:space="preserve"> </w:t>
      </w:r>
      <w:r w:rsidRPr="00560E3D">
        <w:rPr>
          <w:sz w:val="18"/>
          <w:szCs w:val="18"/>
        </w:rPr>
        <w:t>dose intensity/planned dose intensity</w:t>
      </w:r>
      <w:r>
        <w:rPr>
          <w:sz w:val="18"/>
          <w:szCs w:val="18"/>
        </w:rPr>
        <w:t xml:space="preserve"> </w:t>
      </w:r>
      <w:r w:rsidRPr="00560E3D">
        <w:rPr>
          <w:sz w:val="18"/>
          <w:szCs w:val="18"/>
        </w:rPr>
        <w:t>×</w:t>
      </w:r>
      <w:r>
        <w:rPr>
          <w:sz w:val="18"/>
          <w:szCs w:val="18"/>
        </w:rPr>
        <w:t xml:space="preserve"> </w:t>
      </w:r>
      <w:r w:rsidRPr="00560E3D">
        <w:rPr>
          <w:sz w:val="18"/>
          <w:szCs w:val="18"/>
        </w:rPr>
        <w:t xml:space="preserve">100, where </w:t>
      </w:r>
      <w:r>
        <w:rPr>
          <w:sz w:val="18"/>
          <w:szCs w:val="18"/>
        </w:rPr>
        <w:t>p</w:t>
      </w:r>
      <w:r>
        <w:rPr>
          <w:rFonts w:cs="Arial"/>
          <w:color w:val="000000"/>
          <w:sz w:val="18"/>
          <w:szCs w:val="18"/>
        </w:rPr>
        <w:t>lanned dose intensity for T-DXd = 5.4 mg/kg / Duration of exposure (day) * cycle length in days * expected number of cycles</w:t>
      </w:r>
      <w:r w:rsidRPr="00560E3D">
        <w:rPr>
          <w:sz w:val="18"/>
          <w:szCs w:val="18"/>
        </w:rPr>
        <w:t>.</w:t>
      </w:r>
      <w:r>
        <w:rPr>
          <w:sz w:val="18"/>
          <w:szCs w:val="18"/>
        </w:rPr>
        <w:t xml:space="preserve"> </w:t>
      </w:r>
      <w:r>
        <w:rPr>
          <w:rFonts w:cs="Arial"/>
          <w:color w:val="000000"/>
          <w:sz w:val="18"/>
          <w:szCs w:val="18"/>
        </w:rPr>
        <w:t>Cycle length is 21 days and number of cycles expected is based on the duration of treatment exposure.</w:t>
      </w:r>
      <w:r w:rsidRPr="00560E3D">
        <w:rPr>
          <w:sz w:val="18"/>
          <w:szCs w:val="18"/>
        </w:rPr>
        <w:t xml:space="preserve"> </w:t>
      </w:r>
      <w:r w:rsidRPr="00560E3D">
        <w:rPr>
          <w:sz w:val="18"/>
          <w:szCs w:val="18"/>
        </w:rPr>
        <w:br/>
      </w:r>
      <w:r w:rsidRPr="00560E3D">
        <w:rPr>
          <w:sz w:val="18"/>
          <w:szCs w:val="18"/>
          <w:vertAlign w:val="superscript"/>
        </w:rPr>
        <w:t xml:space="preserve">c </w:t>
      </w:r>
      <w:r w:rsidRPr="00560E3D">
        <w:rPr>
          <w:sz w:val="18"/>
          <w:szCs w:val="18"/>
        </w:rPr>
        <w:t>For TPC: relative dose intensity (%)</w:t>
      </w:r>
      <w:r>
        <w:rPr>
          <w:sz w:val="18"/>
          <w:szCs w:val="18"/>
        </w:rPr>
        <w:t xml:space="preserve"> </w:t>
      </w:r>
      <w:r w:rsidRPr="00560E3D">
        <w:rPr>
          <w:sz w:val="18"/>
          <w:szCs w:val="18"/>
        </w:rPr>
        <w:t>=</w:t>
      </w:r>
      <w:r>
        <w:rPr>
          <w:sz w:val="18"/>
          <w:szCs w:val="18"/>
        </w:rPr>
        <w:t xml:space="preserve"> </w:t>
      </w:r>
      <w:r w:rsidRPr="00560E3D">
        <w:rPr>
          <w:sz w:val="18"/>
          <w:szCs w:val="18"/>
        </w:rPr>
        <w:t>dose intensity / planned dose intensity ×</w:t>
      </w:r>
      <w:r>
        <w:rPr>
          <w:sz w:val="18"/>
          <w:szCs w:val="18"/>
        </w:rPr>
        <w:t xml:space="preserve"> </w:t>
      </w:r>
      <w:r w:rsidRPr="00560E3D">
        <w:rPr>
          <w:sz w:val="18"/>
          <w:szCs w:val="18"/>
        </w:rPr>
        <w:t>100, where planned dose intensity (units/cycle lengths in weeks)</w:t>
      </w:r>
      <w:r>
        <w:rPr>
          <w:sz w:val="18"/>
          <w:szCs w:val="18"/>
        </w:rPr>
        <w:t xml:space="preserve"> </w:t>
      </w:r>
      <w:r w:rsidRPr="00560E3D">
        <w:rPr>
          <w:sz w:val="18"/>
          <w:szCs w:val="18"/>
        </w:rPr>
        <w:t>= planned cumulative dose (units)/planned duration of exposure (day)/cycle length in days. Due to different cycle durations among the individual TPC treatments, relative dose intensity is not presented for the overall TPC arm.</w:t>
      </w:r>
      <w:r>
        <w:rPr>
          <w:sz w:val="18"/>
          <w:szCs w:val="18"/>
        </w:rPr>
        <w:br/>
      </w:r>
      <w:r w:rsidRPr="00B01F17">
        <w:rPr>
          <w:sz w:val="18"/>
          <w:szCs w:val="18"/>
          <w:vertAlign w:val="superscript"/>
        </w:rPr>
        <w:t xml:space="preserve">d </w:t>
      </w:r>
      <w:r>
        <w:rPr>
          <w:sz w:val="18"/>
          <w:szCs w:val="18"/>
        </w:rPr>
        <w:t xml:space="preserve">TPC cost per cycle is weighted by the distribution of treatments in the TPC arm, presented </w:t>
      </w:r>
      <w:r w:rsidRPr="001D07A5">
        <w:rPr>
          <w:rStyle w:val="FootnotesChar"/>
        </w:rPr>
        <w:t xml:space="preserve">in </w:t>
      </w:r>
      <w:r w:rsidR="007C383A" w:rsidRPr="001D07A5">
        <w:rPr>
          <w:rStyle w:val="FootnotesChar"/>
        </w:rPr>
        <w:fldChar w:fldCharType="begin"/>
      </w:r>
      <w:r w:rsidR="007C383A" w:rsidRPr="001D07A5">
        <w:rPr>
          <w:rStyle w:val="FootnotesChar"/>
        </w:rPr>
        <w:instrText xml:space="preserve"> REF _Ref127007910 \h </w:instrText>
      </w:r>
      <w:r w:rsidR="001D07A5">
        <w:rPr>
          <w:rStyle w:val="FootnotesChar"/>
        </w:rPr>
        <w:instrText xml:space="preserve"> \* MERGEFORMAT </w:instrText>
      </w:r>
      <w:r w:rsidR="007C383A" w:rsidRPr="001D07A5">
        <w:rPr>
          <w:rStyle w:val="FootnotesChar"/>
        </w:rPr>
      </w:r>
      <w:r w:rsidR="007C383A" w:rsidRPr="001D07A5">
        <w:rPr>
          <w:rStyle w:val="FootnotesChar"/>
        </w:rPr>
        <w:fldChar w:fldCharType="separate"/>
      </w:r>
      <w:r w:rsidR="00145F42" w:rsidRPr="00145F42">
        <w:rPr>
          <w:rStyle w:val="FootnotesChar"/>
        </w:rPr>
        <w:t>Table 14: TPC single-agent chemotherapy use | All screened patients (N=184)</w:t>
      </w:r>
      <w:r w:rsidR="007C383A" w:rsidRPr="001D07A5">
        <w:rPr>
          <w:rStyle w:val="FootnotesChar"/>
        </w:rPr>
        <w:fldChar w:fldCharType="end"/>
      </w:r>
      <w:r w:rsidRPr="001D07A5">
        <w:rPr>
          <w:rStyle w:val="FootnotesChar"/>
        </w:rPr>
        <w:t>.</w:t>
      </w:r>
    </w:p>
    <w:p w14:paraId="64AB056F" w14:textId="77777777" w:rsidR="00EC2472" w:rsidRDefault="00EC2472" w:rsidP="00EC2472">
      <w:pPr>
        <w:pStyle w:val="Heading4"/>
      </w:pPr>
      <w:bookmarkStart w:id="677" w:name="_Ref126857278"/>
      <w:r>
        <w:t>Administration costs</w:t>
      </w:r>
      <w:bookmarkEnd w:id="677"/>
    </w:p>
    <w:p w14:paraId="0FFC57CE" w14:textId="77777777" w:rsidR="00EC2472" w:rsidRDefault="00EC2472" w:rsidP="00EC2472">
      <w:pPr>
        <w:pStyle w:val="Body"/>
      </w:pPr>
      <w:bookmarkStart w:id="678" w:name="_Ref95906800"/>
      <w:bookmarkStart w:id="679" w:name="_Toc98924762"/>
      <w:r w:rsidRPr="005D58CB">
        <w:t>T-DXd and all TPC treatments except capecitabine, which is administered as an oral tablet, are administered via intravenous infusion</w:t>
      </w:r>
      <w:r w:rsidRPr="00A8122E">
        <w:t xml:space="preserve">. </w:t>
      </w:r>
      <w:r>
        <w:t>T</w:t>
      </w:r>
      <w:r w:rsidRPr="00831320">
        <w:t xml:space="preserve">he initial dose </w:t>
      </w:r>
      <w:r>
        <w:t>of T-DXd</w:t>
      </w:r>
      <w:r w:rsidRPr="00831320">
        <w:t xml:space="preserve"> should be administered as a 90-minute infusion. If the prior infusion </w:t>
      </w:r>
      <w:r w:rsidRPr="004F1CE6">
        <w:t>is well tolerated, subsequent doses may be administered over 30 minutes</w:t>
      </w:r>
      <w:r w:rsidRPr="002C389C">
        <w:t xml:space="preserve">. </w:t>
      </w:r>
      <w:r>
        <w:t xml:space="preserve">For intravenous treatments in the TPC arm, the SmPC for </w:t>
      </w:r>
      <w:r>
        <w:lastRenderedPageBreak/>
        <w:t xml:space="preserve">each agent was checked for administration guidance and all agents are recommended to be administered over 30 minutes or less. </w:t>
      </w:r>
    </w:p>
    <w:p w14:paraId="5EC14390" w14:textId="2C73AAEB" w:rsidR="00EC2472" w:rsidRPr="005D58CB" w:rsidRDefault="00EC2472" w:rsidP="00EC2472">
      <w:pPr>
        <w:pStyle w:val="Body"/>
      </w:pPr>
      <w:r w:rsidRPr="00831320">
        <w:t xml:space="preserve">The cost per administration for all therapies used in the model </w:t>
      </w:r>
      <w:r w:rsidRPr="005D58CB">
        <w:t xml:space="preserve">were </w:t>
      </w:r>
      <w:r w:rsidRPr="00831320">
        <w:t xml:space="preserve">sourced from the National Schedule of NHS Costs </w:t>
      </w:r>
      <w:r w:rsidRPr="005D58CB">
        <w:t>2020/21.</w:t>
      </w:r>
      <w:r>
        <w:fldChar w:fldCharType="begin"/>
      </w:r>
      <w:r w:rsidR="00CA6345">
        <w:instrText xml:space="preserve"> ADDIN ZOTERO_ITEM CSL_CITATION {"citationID":"Y8cxODax","properties":{"formattedCitation":"\\super 185\\nosupersub{}","plainCitation":"185","noteIndex":0},"citationItems":[{"id":66408,"uris":["http://zotero.org/groups/4797619/items/TQVXWM6Q"],"itemData":{"id":66408,"type":"document","title":"National Cost Collection: National Schedule of NHS costs - Year 2020-21","URL":"https://www.england.nhs.uk/costing-in-the-nhs/national-cost-collection/","author":[{"family":"NHS","given":""}],"issued":{"date-parts":[["2021"]]}}}],"schema":"https://github.com/citation-style-language/schema/raw/master/csl-citation.json"} </w:instrText>
      </w:r>
      <w:r>
        <w:fldChar w:fldCharType="separate"/>
      </w:r>
      <w:r w:rsidR="00CA6345" w:rsidRPr="00CA6345">
        <w:rPr>
          <w:rFonts w:cs="Arial"/>
          <w:szCs w:val="24"/>
          <w:vertAlign w:val="superscript"/>
        </w:rPr>
        <w:t>185</w:t>
      </w:r>
      <w:r>
        <w:fldChar w:fldCharType="end"/>
      </w:r>
      <w:r w:rsidRPr="005D58CB">
        <w:t xml:space="preserve"> </w:t>
      </w:r>
      <w:r w:rsidRPr="00831320">
        <w:t>Healthcare Resource Group (HRG) code</w:t>
      </w:r>
      <w:r w:rsidRPr="005D58CB">
        <w:t xml:space="preserve"> SB12Z: deliver simple parenteral chemotherapy was used for T-DXd and TPC agents delivered intravenously. </w:t>
      </w:r>
      <w:r w:rsidRPr="00A8122E">
        <w:t>This includes an overall time of 30 minutes nurse time and 30 to 60 minutes chair time for the delivery of a complete cycle</w:t>
      </w:r>
      <w:r>
        <w:t>.</w:t>
      </w:r>
      <w:r>
        <w:fldChar w:fldCharType="begin"/>
      </w:r>
      <w:r w:rsidR="00CA6345">
        <w:instrText xml:space="preserve"> ADDIN ZOTERO_ITEM CSL_CITATION {"citationID":"ptjHknOo","properties":{"formattedCitation":"\\super 185\\nosupersub{}","plainCitation":"185","noteIndex":0},"citationItems":[{"id":66408,"uris":["http://zotero.org/groups/4797619/items/TQVXWM6Q"],"itemData":{"id":66408,"type":"document","title":"National Cost Collection: National Schedule of NHS costs - Year 2020-21","URL":"https://www.england.nhs.uk/costing-in-the-nhs/national-cost-collection/","author":[{"family":"NHS","given":""}],"issued":{"date-parts":[["2021"]]}}}],"schema":"https://github.com/citation-style-language/schema/raw/master/csl-citation.json"} </w:instrText>
      </w:r>
      <w:r>
        <w:fldChar w:fldCharType="separate"/>
      </w:r>
      <w:r w:rsidR="00CA6345" w:rsidRPr="00CA6345">
        <w:rPr>
          <w:rFonts w:cs="Arial"/>
          <w:szCs w:val="24"/>
          <w:vertAlign w:val="superscript"/>
        </w:rPr>
        <w:t>185</w:t>
      </w:r>
      <w:r>
        <w:fldChar w:fldCharType="end"/>
      </w:r>
      <w:r>
        <w:t xml:space="preserve"> For </w:t>
      </w:r>
      <w:r w:rsidRPr="005D58CB">
        <w:t xml:space="preserve">capecitabine, </w:t>
      </w:r>
      <w:r w:rsidRPr="00831320">
        <w:t>HRG code</w:t>
      </w:r>
      <w:r w:rsidRPr="005D58CB">
        <w:t xml:space="preserve"> SB11Z: deliver exclusively oral chemotherapy was used. Within each HRG code the</w:t>
      </w:r>
      <w:r>
        <w:t xml:space="preserve"> day-case cost was also applied for the first cycle patients received and the outpatient cost for all subsequent cycles, to reflect potentially greater resource use at the first administration.</w:t>
      </w:r>
      <w:r w:rsidRPr="00A8122E">
        <w:t xml:space="preserve"> </w:t>
      </w:r>
    </w:p>
    <w:p w14:paraId="3749E153" w14:textId="2B4B48E0" w:rsidR="00EC2472" w:rsidRDefault="00EC2472" w:rsidP="00EC2472">
      <w:pPr>
        <w:pStyle w:val="Body"/>
      </w:pPr>
      <w:r w:rsidRPr="00A8122E">
        <w:t xml:space="preserve">The cost per administration is provided in </w:t>
      </w:r>
      <w:r w:rsidRPr="003C648C">
        <w:rPr>
          <w:b/>
          <w:bCs/>
        </w:rPr>
        <w:fldChar w:fldCharType="begin"/>
      </w:r>
      <w:r w:rsidRPr="003C648C">
        <w:rPr>
          <w:b/>
          <w:bCs/>
        </w:rPr>
        <w:instrText xml:space="preserve"> REF _Ref120702075 \h </w:instrText>
      </w:r>
      <w:r w:rsidR="004F7BC0">
        <w:rPr>
          <w:b/>
          <w:bCs/>
        </w:rPr>
        <w:instrText xml:space="preserve"> \* MERGEFORMAT </w:instrText>
      </w:r>
      <w:r w:rsidRPr="003C648C">
        <w:rPr>
          <w:b/>
          <w:bCs/>
        </w:rPr>
      </w:r>
      <w:r w:rsidRPr="003C648C">
        <w:rPr>
          <w:b/>
          <w:bCs/>
        </w:rPr>
        <w:fldChar w:fldCharType="separate"/>
      </w:r>
      <w:r w:rsidR="00145F42" w:rsidRPr="00145F42">
        <w:rPr>
          <w:b/>
          <w:bCs/>
        </w:rPr>
        <w:t xml:space="preserve">Table </w:t>
      </w:r>
      <w:r w:rsidR="00145F42" w:rsidRPr="00145F42">
        <w:rPr>
          <w:b/>
          <w:bCs/>
          <w:noProof/>
        </w:rPr>
        <w:t>55</w:t>
      </w:r>
      <w:r w:rsidRPr="003C648C">
        <w:rPr>
          <w:b/>
          <w:bCs/>
        </w:rPr>
        <w:fldChar w:fldCharType="end"/>
      </w:r>
      <w:r>
        <w:t xml:space="preserve"> </w:t>
      </w:r>
      <w:r w:rsidRPr="00A8122E">
        <w:t xml:space="preserve">and is applied in the model as a single cost per treatment dose to </w:t>
      </w:r>
      <w:r w:rsidRPr="005D58CB">
        <w:t>all treatments.</w:t>
      </w:r>
      <w:bookmarkEnd w:id="678"/>
      <w:bookmarkEnd w:id="679"/>
    </w:p>
    <w:p w14:paraId="28560A37" w14:textId="0E243AD3" w:rsidR="00EC2472" w:rsidRDefault="00EC2472" w:rsidP="00EC2472">
      <w:pPr>
        <w:pStyle w:val="Caption"/>
      </w:pPr>
      <w:bookmarkStart w:id="680" w:name="_Ref120702075"/>
      <w:bookmarkStart w:id="681" w:name="_Toc127006685"/>
      <w:bookmarkStart w:id="682" w:name="_Toc129351030"/>
      <w:r>
        <w:t xml:space="preserve">Table </w:t>
      </w:r>
      <w:r>
        <w:fldChar w:fldCharType="begin"/>
      </w:r>
      <w:r>
        <w:instrText>SEQ Table \* ARABIC</w:instrText>
      </w:r>
      <w:r>
        <w:fldChar w:fldCharType="separate"/>
      </w:r>
      <w:r w:rsidR="00145F42">
        <w:rPr>
          <w:noProof/>
        </w:rPr>
        <w:t>55</w:t>
      </w:r>
      <w:r>
        <w:fldChar w:fldCharType="end"/>
      </w:r>
      <w:bookmarkEnd w:id="680"/>
      <w:r>
        <w:t xml:space="preserve">: </w:t>
      </w:r>
      <w:r w:rsidRPr="000D18E6">
        <w:t>Administration costs</w:t>
      </w:r>
      <w:bookmarkEnd w:id="681"/>
      <w:bookmarkEnd w:id="682"/>
    </w:p>
    <w:tbl>
      <w:tblPr>
        <w:tblStyle w:val="TableGrid"/>
        <w:tblW w:w="0" w:type="auto"/>
        <w:tblLook w:val="04A0" w:firstRow="1" w:lastRow="0" w:firstColumn="1" w:lastColumn="0" w:noHBand="0" w:noVBand="1"/>
      </w:tblPr>
      <w:tblGrid>
        <w:gridCol w:w="1236"/>
        <w:gridCol w:w="1594"/>
        <w:gridCol w:w="1850"/>
        <w:gridCol w:w="1836"/>
        <w:gridCol w:w="2501"/>
      </w:tblGrid>
      <w:tr w:rsidR="00EC2472" w:rsidRPr="00276ACD" w14:paraId="183A7D5E" w14:textId="77777777">
        <w:tc>
          <w:tcPr>
            <w:tcW w:w="0" w:type="auto"/>
            <w:shd w:val="clear" w:color="auto" w:fill="D9D9D9" w:themeFill="background1" w:themeFillShade="D9"/>
          </w:tcPr>
          <w:p w14:paraId="07D2AA63" w14:textId="77777777" w:rsidR="00EC2472" w:rsidRPr="005D58CB" w:rsidRDefault="00EC2472">
            <w:pPr>
              <w:pStyle w:val="NICETableHeader"/>
            </w:pPr>
            <w:r w:rsidRPr="005D58CB">
              <w:t>Method</w:t>
            </w:r>
          </w:p>
        </w:tc>
        <w:tc>
          <w:tcPr>
            <w:tcW w:w="1592" w:type="dxa"/>
            <w:shd w:val="clear" w:color="auto" w:fill="D9D9D9" w:themeFill="background1" w:themeFillShade="D9"/>
          </w:tcPr>
          <w:p w14:paraId="37DF599A" w14:textId="77777777" w:rsidR="00EC2472" w:rsidRPr="005D58CB" w:rsidRDefault="00EC2472">
            <w:pPr>
              <w:pStyle w:val="NICETableHeader"/>
              <w:jc w:val="center"/>
            </w:pPr>
            <w:r w:rsidRPr="005D58CB">
              <w:t>Cost per administration</w:t>
            </w:r>
          </w:p>
          <w:p w14:paraId="0E7D4749" w14:textId="77777777" w:rsidR="00EC2472" w:rsidRPr="005D58CB" w:rsidRDefault="00EC2472">
            <w:pPr>
              <w:pStyle w:val="NICETableHeader"/>
              <w:jc w:val="center"/>
            </w:pPr>
            <w:r w:rsidRPr="005D58CB">
              <w:t>(first cycle)</w:t>
            </w:r>
          </w:p>
        </w:tc>
        <w:tc>
          <w:tcPr>
            <w:tcW w:w="1850" w:type="dxa"/>
            <w:shd w:val="clear" w:color="auto" w:fill="D9D9D9" w:themeFill="background1" w:themeFillShade="D9"/>
          </w:tcPr>
          <w:p w14:paraId="772462EE" w14:textId="77777777" w:rsidR="00EC2472" w:rsidRPr="005D58CB" w:rsidRDefault="00EC2472">
            <w:pPr>
              <w:pStyle w:val="NICETableHeader"/>
              <w:jc w:val="center"/>
            </w:pPr>
            <w:r w:rsidRPr="005D58CB">
              <w:t>Cost per administration</w:t>
            </w:r>
          </w:p>
          <w:p w14:paraId="49F43321" w14:textId="77777777" w:rsidR="00EC2472" w:rsidRPr="005D58CB" w:rsidRDefault="00EC2472">
            <w:pPr>
              <w:pStyle w:val="NICETableHeader"/>
              <w:jc w:val="center"/>
            </w:pPr>
            <w:r w:rsidRPr="005D58CB">
              <w:t>(Subsequent cycles)</w:t>
            </w:r>
          </w:p>
        </w:tc>
        <w:tc>
          <w:tcPr>
            <w:tcW w:w="1836" w:type="dxa"/>
            <w:shd w:val="clear" w:color="auto" w:fill="D9D9D9" w:themeFill="background1" w:themeFillShade="D9"/>
          </w:tcPr>
          <w:p w14:paraId="385A5DC5" w14:textId="77777777" w:rsidR="00EC2472" w:rsidRPr="005D58CB" w:rsidRDefault="00EC2472">
            <w:pPr>
              <w:pStyle w:val="NICETableHeader"/>
              <w:jc w:val="center"/>
            </w:pPr>
            <w:r w:rsidRPr="005D58CB">
              <w:t>Model treatment</w:t>
            </w:r>
          </w:p>
        </w:tc>
        <w:tc>
          <w:tcPr>
            <w:tcW w:w="2501" w:type="dxa"/>
            <w:shd w:val="clear" w:color="auto" w:fill="D9D9D9" w:themeFill="background1" w:themeFillShade="D9"/>
          </w:tcPr>
          <w:p w14:paraId="7DCC0DCD" w14:textId="77777777" w:rsidR="00EC2472" w:rsidRPr="005D58CB" w:rsidRDefault="00EC2472">
            <w:pPr>
              <w:pStyle w:val="NICETableHeader"/>
              <w:jc w:val="center"/>
            </w:pPr>
            <w:r w:rsidRPr="005D58CB">
              <w:t>Source</w:t>
            </w:r>
          </w:p>
        </w:tc>
      </w:tr>
      <w:tr w:rsidR="00EC2472" w:rsidRPr="00276ACD" w14:paraId="23F203C2" w14:textId="77777777">
        <w:tc>
          <w:tcPr>
            <w:tcW w:w="0" w:type="auto"/>
          </w:tcPr>
          <w:p w14:paraId="16E8376C" w14:textId="77777777" w:rsidR="00EC2472" w:rsidRPr="005D58CB" w:rsidRDefault="00EC2472">
            <w:pPr>
              <w:pStyle w:val="NICETabletext"/>
            </w:pPr>
            <w:r w:rsidRPr="005D58CB">
              <w:t>Oral</w:t>
            </w:r>
          </w:p>
        </w:tc>
        <w:tc>
          <w:tcPr>
            <w:tcW w:w="1592" w:type="dxa"/>
          </w:tcPr>
          <w:p w14:paraId="65A2ED85" w14:textId="77777777" w:rsidR="00EC2472" w:rsidRPr="005D58CB" w:rsidRDefault="00EC2472">
            <w:pPr>
              <w:pStyle w:val="NICETabletext"/>
              <w:jc w:val="center"/>
            </w:pPr>
            <w:r w:rsidRPr="005D58CB">
              <w:t>£304.62</w:t>
            </w:r>
          </w:p>
          <w:p w14:paraId="367EE581" w14:textId="77777777" w:rsidR="00EC2472" w:rsidRPr="005D58CB" w:rsidRDefault="00EC2472">
            <w:pPr>
              <w:pStyle w:val="NICETabletext"/>
              <w:jc w:val="center"/>
            </w:pPr>
          </w:p>
        </w:tc>
        <w:tc>
          <w:tcPr>
            <w:tcW w:w="1850" w:type="dxa"/>
          </w:tcPr>
          <w:p w14:paraId="3D3745B4" w14:textId="77777777" w:rsidR="00EC2472" w:rsidRPr="005D58CB" w:rsidRDefault="00EC2472">
            <w:pPr>
              <w:pStyle w:val="NICETabletext"/>
              <w:jc w:val="center"/>
            </w:pPr>
            <w:r w:rsidRPr="005D58CB">
              <w:t>£215.80</w:t>
            </w:r>
          </w:p>
        </w:tc>
        <w:tc>
          <w:tcPr>
            <w:tcW w:w="1836" w:type="dxa"/>
          </w:tcPr>
          <w:p w14:paraId="0C79DAF1" w14:textId="77777777" w:rsidR="00EC2472" w:rsidRPr="005D58CB" w:rsidRDefault="00EC2472">
            <w:pPr>
              <w:pStyle w:val="NICETabletext"/>
              <w:jc w:val="center"/>
            </w:pPr>
            <w:r w:rsidRPr="005D58CB">
              <w:t>Capecitabine</w:t>
            </w:r>
          </w:p>
        </w:tc>
        <w:tc>
          <w:tcPr>
            <w:tcW w:w="2501" w:type="dxa"/>
          </w:tcPr>
          <w:p w14:paraId="39D10D24" w14:textId="1107491D" w:rsidR="00EC2472" w:rsidRPr="005D58CB" w:rsidRDefault="00EC2472">
            <w:pPr>
              <w:pStyle w:val="NICETabletext"/>
              <w:jc w:val="center"/>
            </w:pPr>
            <w:r w:rsidRPr="005D58CB">
              <w:t>NHS Cost Collection 20/21</w:t>
            </w:r>
            <w:r>
              <w:fldChar w:fldCharType="begin"/>
            </w:r>
            <w:r w:rsidR="00CA6345">
              <w:instrText xml:space="preserve"> ADDIN ZOTERO_ITEM CSL_CITATION {"citationID":"YpkAtB4w","properties":{"formattedCitation":"\\super 185\\nosupersub{}","plainCitation":"185","noteIndex":0},"citationItems":[{"id":66408,"uris":["http://zotero.org/groups/4797619/items/TQVXWM6Q"],"itemData":{"id":66408,"type":"document","title":"National Cost Collection: National Schedule of NHS costs - Year 2020-21","URL":"https://www.england.nhs.uk/costing-in-the-nhs/national-cost-collection/","author":[{"family":"NHS","given":""}],"issued":{"date-parts":[["2021"]]}}}],"schema":"https://github.com/citation-style-language/schema/raw/master/csl-citation.json"} </w:instrText>
            </w:r>
            <w:r>
              <w:fldChar w:fldCharType="separate"/>
            </w:r>
            <w:r w:rsidR="00CA6345" w:rsidRPr="00CA6345">
              <w:rPr>
                <w:rFonts w:cs="Arial"/>
                <w:sz w:val="22"/>
                <w:vertAlign w:val="superscript"/>
              </w:rPr>
              <w:t>185</w:t>
            </w:r>
            <w:r>
              <w:fldChar w:fldCharType="end"/>
            </w:r>
            <w:r w:rsidRPr="005D58CB">
              <w:t xml:space="preserve"> – SB11Z – deliver exclusively oral chemotherapy</w:t>
            </w:r>
          </w:p>
        </w:tc>
      </w:tr>
      <w:tr w:rsidR="00EC2472" w:rsidRPr="00276ACD" w14:paraId="52BE2C6C" w14:textId="77777777">
        <w:tc>
          <w:tcPr>
            <w:tcW w:w="0" w:type="auto"/>
          </w:tcPr>
          <w:p w14:paraId="1686EF9D" w14:textId="77777777" w:rsidR="00EC2472" w:rsidRPr="005D58CB" w:rsidRDefault="00EC2472">
            <w:pPr>
              <w:pStyle w:val="NICETabletext"/>
            </w:pPr>
            <w:r w:rsidRPr="005D58CB">
              <w:t xml:space="preserve">Parenteral Simple </w:t>
            </w:r>
          </w:p>
        </w:tc>
        <w:tc>
          <w:tcPr>
            <w:tcW w:w="1592" w:type="dxa"/>
          </w:tcPr>
          <w:p w14:paraId="51A30E1C" w14:textId="77777777" w:rsidR="00EC2472" w:rsidRPr="005D58CB" w:rsidRDefault="00EC2472">
            <w:pPr>
              <w:pStyle w:val="NICETabletext"/>
              <w:jc w:val="center"/>
            </w:pPr>
            <w:r w:rsidRPr="005D58CB">
              <w:t>£381.97</w:t>
            </w:r>
          </w:p>
          <w:p w14:paraId="77612B39" w14:textId="77777777" w:rsidR="00EC2472" w:rsidRPr="005D58CB" w:rsidRDefault="00EC2472">
            <w:pPr>
              <w:pStyle w:val="NICETabletext"/>
              <w:jc w:val="center"/>
            </w:pPr>
          </w:p>
        </w:tc>
        <w:tc>
          <w:tcPr>
            <w:tcW w:w="1850" w:type="dxa"/>
          </w:tcPr>
          <w:p w14:paraId="65C42EDA" w14:textId="77777777" w:rsidR="00EC2472" w:rsidRPr="005D58CB" w:rsidRDefault="00EC2472">
            <w:pPr>
              <w:pStyle w:val="NICETabletext"/>
              <w:jc w:val="center"/>
              <w:rPr>
                <w:lang w:val="pl-PL"/>
              </w:rPr>
            </w:pPr>
            <w:r w:rsidRPr="005D58CB">
              <w:rPr>
                <w:lang w:val="pl-PL"/>
              </w:rPr>
              <w:t>£281.11</w:t>
            </w:r>
          </w:p>
        </w:tc>
        <w:tc>
          <w:tcPr>
            <w:tcW w:w="1836" w:type="dxa"/>
          </w:tcPr>
          <w:p w14:paraId="324658DB" w14:textId="77777777" w:rsidR="00EC2472" w:rsidRPr="005D58CB" w:rsidRDefault="00EC2472">
            <w:pPr>
              <w:pStyle w:val="NICETabletext"/>
              <w:jc w:val="center"/>
              <w:rPr>
                <w:lang w:val="pl-PL"/>
              </w:rPr>
            </w:pPr>
            <w:r w:rsidRPr="005D58CB">
              <w:rPr>
                <w:lang w:val="pl-PL"/>
              </w:rPr>
              <w:t>T-DXd, Eribulin, Gemcitabine, Paclitaxel and Nab-paclitaxel</w:t>
            </w:r>
          </w:p>
        </w:tc>
        <w:tc>
          <w:tcPr>
            <w:tcW w:w="2501" w:type="dxa"/>
          </w:tcPr>
          <w:p w14:paraId="4FCBA678" w14:textId="209BA9DD" w:rsidR="00EC2472" w:rsidRPr="005D58CB" w:rsidRDefault="00EC2472">
            <w:pPr>
              <w:pStyle w:val="NICETabletext"/>
              <w:jc w:val="center"/>
            </w:pPr>
            <w:r w:rsidRPr="005D58CB">
              <w:t>NHS Cost Collection 20/21</w:t>
            </w:r>
            <w:r>
              <w:fldChar w:fldCharType="begin"/>
            </w:r>
            <w:r w:rsidR="00CA6345">
              <w:instrText xml:space="preserve"> ADDIN ZOTERO_ITEM CSL_CITATION {"citationID":"Ar8QEEy8","properties":{"formattedCitation":"\\super 185\\nosupersub{}","plainCitation":"185","noteIndex":0},"citationItems":[{"id":66408,"uris":["http://zotero.org/groups/4797619/items/TQVXWM6Q"],"itemData":{"id":66408,"type":"document","title":"National Cost Collection: National Schedule of NHS costs - Year 2020-21","URL":"https://www.england.nhs.uk/costing-in-the-nhs/national-cost-collection/","author":[{"family":"NHS","given":""}],"issued":{"date-parts":[["2021"]]}}}],"schema":"https://github.com/citation-style-language/schema/raw/master/csl-citation.json"} </w:instrText>
            </w:r>
            <w:r>
              <w:fldChar w:fldCharType="separate"/>
            </w:r>
            <w:r w:rsidR="00CA6345" w:rsidRPr="00CA6345">
              <w:rPr>
                <w:rFonts w:cs="Arial"/>
                <w:sz w:val="22"/>
                <w:vertAlign w:val="superscript"/>
              </w:rPr>
              <w:t>185</w:t>
            </w:r>
            <w:r>
              <w:fldChar w:fldCharType="end"/>
            </w:r>
            <w:r w:rsidRPr="005D58CB">
              <w:t xml:space="preserve"> – SB12Z – deliver simple parenteral chemotherapy</w:t>
            </w:r>
          </w:p>
        </w:tc>
      </w:tr>
    </w:tbl>
    <w:p w14:paraId="64BB1B7A" w14:textId="77777777" w:rsidR="00EC2472" w:rsidRPr="005B211D" w:rsidRDefault="00EC2472" w:rsidP="00EC2472">
      <w:pPr>
        <w:pStyle w:val="Footnotes"/>
      </w:pPr>
      <w:r w:rsidRPr="005B211D">
        <w:t>Abbreviations: National Health Service</w:t>
      </w:r>
      <w:r w:rsidRPr="003336BE">
        <w:t>; T-DXd, trastuzumab deruxtecan.</w:t>
      </w:r>
    </w:p>
    <w:p w14:paraId="7919F4E7" w14:textId="77777777" w:rsidR="00EC2472" w:rsidRPr="00AA1317" w:rsidRDefault="00EC2472" w:rsidP="00EC2472">
      <w:pPr>
        <w:pStyle w:val="Heading3"/>
      </w:pPr>
      <w:bookmarkStart w:id="683" w:name="_Toc98924676"/>
      <w:bookmarkStart w:id="684" w:name="_Ref99729375"/>
      <w:bookmarkStart w:id="685" w:name="_Ref125648315"/>
      <w:bookmarkStart w:id="686" w:name="_Toc127006453"/>
      <w:bookmarkStart w:id="687" w:name="_Toc129350900"/>
      <w:r w:rsidRPr="00AA1317">
        <w:t>Health-state unit costs and resource use</w:t>
      </w:r>
      <w:bookmarkEnd w:id="683"/>
      <w:bookmarkEnd w:id="684"/>
      <w:bookmarkEnd w:id="685"/>
      <w:bookmarkEnd w:id="686"/>
      <w:bookmarkEnd w:id="687"/>
    </w:p>
    <w:p w14:paraId="73D53D19" w14:textId="3F828588" w:rsidR="00EC2472" w:rsidRDefault="00EC2472" w:rsidP="00EC2472">
      <w:pPr>
        <w:pStyle w:val="Body"/>
      </w:pPr>
      <w:r>
        <w:t xml:space="preserve">Health state resource use costs are based on frequencies reported in </w:t>
      </w:r>
      <w:r w:rsidRPr="005D58CB">
        <w:t>TA862</w:t>
      </w:r>
      <w:r>
        <w:fldChar w:fldCharType="begin"/>
      </w:r>
      <w:r w:rsidR="00CA6345">
        <w:instrText xml:space="preserve"> ADDIN ZOTERO_ITEM CSL_CITATION {"citationID":"cvBmBCVO","properties":{"formattedCitation":"\\super 5\\nosupersub{}","plainCitation":"5","noteIndex":0},"citationItems":[{"id":66214,"uris":["http://zotero.org/groups/4797619/items/H2PQC2GH"],"itemData":{"id":66214,"type":"webpage","abstract":"Trastuzumab deruxtecan for treating HER2-positive unresectable or metastatic breast cancer after trastuzumab and a taxane [TA862]","language":"eng","note":"publisher: NICE","title":"Trastuzumab deruxtecan for treating HER2-positive unresectable or metastatic breast cancer after 1 or more anti-HER2 therapies | NICE [TA862]","URL":"https://www.nice.org.uk/guidance/indevelopment/gid-ta10804/documents","author":[{"family":"NICE","given":""}],"accessed":{"date-parts":[["2023",2,5]]},"issued":{"date-parts":[["2023",2]]}}}],"schema":"https://github.com/citation-style-language/schema/raw/master/csl-citation.json"} </w:instrText>
      </w:r>
      <w:r>
        <w:fldChar w:fldCharType="separate"/>
      </w:r>
      <w:r w:rsidR="00FD57F4" w:rsidRPr="00FD57F4">
        <w:rPr>
          <w:rFonts w:cs="Arial"/>
          <w:szCs w:val="24"/>
          <w:vertAlign w:val="superscript"/>
        </w:rPr>
        <w:t>5</w:t>
      </w:r>
      <w:r>
        <w:fldChar w:fldCharType="end"/>
      </w:r>
      <w:r w:rsidRPr="00004119">
        <w:t xml:space="preserve"> </w:t>
      </w:r>
      <w:r>
        <w:t xml:space="preserve">and </w:t>
      </w:r>
      <w:r w:rsidRPr="005D58CB">
        <w:t>TA819</w:t>
      </w:r>
      <w:r>
        <w:fldChar w:fldCharType="begin"/>
      </w:r>
      <w:r w:rsidR="00CA6345">
        <w:instrText xml:space="preserve"> ADDIN ZOTERO_ITEM CSL_CITATION {"citationID":"CaIn32Ph","properties":{"formattedCitation":"\\super 132\\nosupersub{}","plainCitation":"132","noteIndex":0},"citationItems":[{"id":65875,"uris":["http://zotero.org/groups/4797619/items/IP9MEGL9"],"itemData":{"id":65875,"type":"webpage","abstract":"Evidence-based recommendations on sacituzumab govetican (Trodelvy) for treating unresectable, triple-negative locally advanced or metastatic breast cancer in adults after 2 or more systemic therapies, at least 1 of which was for advanced disease","language":"eng","note":"publisher: NICE","title":"Sacituzumab govitecan for treating unresectable triple-negative advanced breast cancer after 2 or more therapies | NICE [TA819]","URL":"https://www.nice.org.uk/guidance/ta819","author":[{"family":"NICE","given":""}],"accessed":{"date-parts":[["2022",10,17]]}}}],"schema":"https://github.com/citation-style-language/schema/raw/master/csl-citation.json"} </w:instrText>
      </w:r>
      <w:r>
        <w:fldChar w:fldCharType="separate"/>
      </w:r>
      <w:r w:rsidR="00CA6345" w:rsidRPr="00CA6345">
        <w:rPr>
          <w:rFonts w:cs="Arial"/>
          <w:szCs w:val="24"/>
          <w:vertAlign w:val="superscript"/>
        </w:rPr>
        <w:t>132</w:t>
      </w:r>
      <w:r>
        <w:fldChar w:fldCharType="end"/>
      </w:r>
      <w:r w:rsidRPr="005D58CB">
        <w:t xml:space="preserve"> which are the two most recent appraisals in mBC</w:t>
      </w:r>
      <w:r w:rsidRPr="00004119">
        <w:t>.</w:t>
      </w:r>
      <w:r>
        <w:fldChar w:fldCharType="begin"/>
      </w:r>
      <w:r w:rsidR="00CA6345">
        <w:instrText xml:space="preserve"> ADDIN ZOTERO_ITEM CSL_CITATION {"citationID":"25LmBfSz","properties":{"formattedCitation":"\\super 5,132\\nosupersub{}","plainCitation":"5,132","noteIndex":0},"citationItems":[{"id":66214,"uris":["http://zotero.org/groups/4797619/items/H2PQC2GH"],"itemData":{"id":66214,"type":"webpage","abstract":"Trastuzumab deruxtecan for treating HER2-positive unresectable or metastatic breast cancer after trastuzumab and a taxane [TA862]","language":"eng","note":"publisher: NICE","title":"Trastuzumab deruxtecan for treating HER2-positive unresectable or metastatic breast cancer after 1 or more anti-HER2 therapies | NICE [TA862]","URL":"https://www.nice.org.uk/guidance/indevelopment/gid-ta10804/documents","author":[{"family":"NICE","given":""}],"accessed":{"date-parts":[["2023",2,5]]},"issued":{"date-parts":[["2023",2]]}}},{"id":65875,"uris":["http://zotero.org/groups/4797619/items/IP9MEGL9"],"itemData":{"id":65875,"type":"webpage","abstract":"Evidence-based recommendations on sacituzumab govetican (Trodelvy) for treating unresectable, triple-negative locally advanced or metastatic breast cancer in adults after 2 or more systemic therapies, at least 1 of which was for advanced disease","language":"eng","note":"publisher: NICE","title":"Sacituzumab govitecan for treating unresectable triple-negative advanced breast cancer after 2 or more therapies | NICE [TA819]","URL":"https://www.nice.org.uk/guidance/ta819","author":[{"family":"NICE","given":""}],"accessed":{"date-parts":[["2022",10,17]]}}}],"schema":"https://github.com/citation-style-language/schema/raw/master/csl-citation.json"} </w:instrText>
      </w:r>
      <w:r>
        <w:fldChar w:fldCharType="separate"/>
      </w:r>
      <w:r w:rsidR="00CA6345" w:rsidRPr="00CA6345">
        <w:rPr>
          <w:rFonts w:cs="Arial"/>
          <w:szCs w:val="24"/>
          <w:vertAlign w:val="superscript"/>
        </w:rPr>
        <w:t>5,132</w:t>
      </w:r>
      <w:r>
        <w:fldChar w:fldCharType="end"/>
      </w:r>
      <w:r>
        <w:t xml:space="preserve"> Health state resource use is split by health state (‘</w:t>
      </w:r>
      <w:r w:rsidRPr="0083598D">
        <w:rPr>
          <w:i/>
        </w:rPr>
        <w:t>progression-</w:t>
      </w:r>
      <w:r w:rsidRPr="0083598D">
        <w:rPr>
          <w:i/>
          <w:iCs/>
        </w:rPr>
        <w:t>free’</w:t>
      </w:r>
      <w:r>
        <w:t xml:space="preserve"> and ‘</w:t>
      </w:r>
      <w:r w:rsidRPr="00546A80">
        <w:rPr>
          <w:i/>
        </w:rPr>
        <w:t>post-</w:t>
      </w:r>
      <w:r w:rsidRPr="0083598D">
        <w:rPr>
          <w:i/>
          <w:iCs/>
        </w:rPr>
        <w:t>progress</w:t>
      </w:r>
      <w:r>
        <w:rPr>
          <w:i/>
          <w:iCs/>
        </w:rPr>
        <w:t>ion</w:t>
      </w:r>
      <w:r w:rsidRPr="0083598D">
        <w:rPr>
          <w:i/>
          <w:iCs/>
        </w:rPr>
        <w:t>’</w:t>
      </w:r>
      <w:r w:rsidRPr="00EA65AA">
        <w:t>)</w:t>
      </w:r>
      <w:r>
        <w:t xml:space="preserve"> and assumes the same resource use across health states and treatment arms</w:t>
      </w:r>
      <w:r w:rsidR="00775447">
        <w:t>, a</w:t>
      </w:r>
      <w:r w:rsidR="00D9398B">
        <w:t>s advised by clinical experts</w:t>
      </w:r>
      <w:r>
        <w:t>.</w:t>
      </w:r>
      <w:r w:rsidR="007641C3">
        <w:fldChar w:fldCharType="begin"/>
      </w:r>
      <w:r w:rsidR="00CA6345">
        <w:instrText xml:space="preserve"> ADDIN ZOTERO_ITEM CSL_CITATION {"citationID":"D3ovMGDK","properties":{"formattedCitation":"\\super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007641C3">
        <w:fldChar w:fldCharType="separate"/>
      </w:r>
      <w:r w:rsidR="00CA6345" w:rsidRPr="00CA6345">
        <w:rPr>
          <w:rFonts w:cs="Arial"/>
          <w:szCs w:val="24"/>
          <w:vertAlign w:val="superscript"/>
        </w:rPr>
        <w:t>121</w:t>
      </w:r>
      <w:r w:rsidR="007641C3">
        <w:fldChar w:fldCharType="end"/>
      </w:r>
      <w:r>
        <w:t xml:space="preserve"> </w:t>
      </w:r>
      <w:r w:rsidRPr="00004119">
        <w:t xml:space="preserve">  </w:t>
      </w:r>
      <w:r>
        <w:t xml:space="preserve"> </w:t>
      </w:r>
    </w:p>
    <w:p w14:paraId="5695D999" w14:textId="455E76BC" w:rsidR="00EC2472" w:rsidRPr="00EC00E8" w:rsidRDefault="00EC2472" w:rsidP="00EC2472">
      <w:pPr>
        <w:rPr>
          <w:i/>
          <w:iCs/>
        </w:rPr>
      </w:pPr>
      <w:r w:rsidRPr="003C648C">
        <w:rPr>
          <w:b/>
          <w:bCs/>
        </w:rPr>
        <w:fldChar w:fldCharType="begin"/>
      </w:r>
      <w:r w:rsidRPr="003C648C">
        <w:rPr>
          <w:b/>
          <w:bCs/>
        </w:rPr>
        <w:instrText xml:space="preserve"> REF _Ref96105347 \h </w:instrText>
      </w:r>
      <w:r w:rsidR="004F7BC0">
        <w:rPr>
          <w:b/>
          <w:bCs/>
        </w:rPr>
        <w:instrText xml:space="preserve"> \* MERGEFORMAT </w:instrText>
      </w:r>
      <w:r w:rsidRPr="003C648C">
        <w:rPr>
          <w:b/>
          <w:bCs/>
        </w:rPr>
      </w:r>
      <w:r w:rsidRPr="003C648C">
        <w:rPr>
          <w:b/>
          <w:bCs/>
        </w:rPr>
        <w:fldChar w:fldCharType="separate"/>
      </w:r>
      <w:r w:rsidR="00145F42" w:rsidRPr="00145F42">
        <w:rPr>
          <w:b/>
          <w:bCs/>
        </w:rPr>
        <w:t xml:space="preserve">Table </w:t>
      </w:r>
      <w:r w:rsidR="00145F42" w:rsidRPr="00145F42">
        <w:rPr>
          <w:b/>
          <w:bCs/>
          <w:noProof/>
        </w:rPr>
        <w:t>56</w:t>
      </w:r>
      <w:r w:rsidRPr="003C648C">
        <w:rPr>
          <w:b/>
          <w:bCs/>
        </w:rPr>
        <w:fldChar w:fldCharType="end"/>
      </w:r>
      <w:r>
        <w:t xml:space="preserve"> presents resource use for monitoring and disease management in </w:t>
      </w:r>
      <w:r w:rsidRPr="00CE10E8">
        <w:t>the</w:t>
      </w:r>
      <w:r w:rsidRPr="00EA65AA">
        <w:rPr>
          <w:i/>
          <w:iCs/>
        </w:rPr>
        <w:t xml:space="preserve"> ‘progression-free’</w:t>
      </w:r>
      <w:r w:rsidRPr="00993ACD">
        <w:t xml:space="preserve"> and </w:t>
      </w:r>
      <w:r w:rsidRPr="00EA65AA">
        <w:rPr>
          <w:i/>
          <w:iCs/>
        </w:rPr>
        <w:t>‘</w:t>
      </w:r>
      <w:r>
        <w:rPr>
          <w:i/>
          <w:iCs/>
        </w:rPr>
        <w:t>post-</w:t>
      </w:r>
      <w:r w:rsidRPr="00EA65AA">
        <w:rPr>
          <w:i/>
          <w:iCs/>
        </w:rPr>
        <w:t>progress</w:t>
      </w:r>
      <w:r>
        <w:rPr>
          <w:i/>
          <w:iCs/>
        </w:rPr>
        <w:t>ion</w:t>
      </w:r>
      <w:r w:rsidRPr="00EA65AA">
        <w:rPr>
          <w:i/>
          <w:iCs/>
        </w:rPr>
        <w:t>’</w:t>
      </w:r>
      <w:r>
        <w:t xml:space="preserve"> health states. Unit costs were sourced from the NHS Cost Collection costs 20</w:t>
      </w:r>
      <w:r w:rsidRPr="005D58CB">
        <w:t>20</w:t>
      </w:r>
      <w:r>
        <w:t>/21</w:t>
      </w:r>
      <w:r>
        <w:fldChar w:fldCharType="begin"/>
      </w:r>
      <w:r w:rsidR="00CA6345">
        <w:instrText xml:space="preserve"> ADDIN ZOTERO_ITEM CSL_CITATION {"citationID":"yVdwyBIy","properties":{"formattedCitation":"\\super 185\\nosupersub{}","plainCitation":"185","noteIndex":0},"citationItems":[{"id":66408,"uris":["http://zotero.org/groups/4797619/items/TQVXWM6Q"],"itemData":{"id":66408,"type":"document","title":"National Cost Collection: National Schedule of NHS costs - Year 2020-21","URL":"https://www.england.nhs.uk/costing-in-the-nhs/national-cost-collection/","author":[{"family":"NHS","given":""}],"issued":{"date-parts":[["2021"]]}}}],"schema":"https://github.com/citation-style-language/schema/raw/master/csl-citation.json"} </w:instrText>
      </w:r>
      <w:r>
        <w:fldChar w:fldCharType="separate"/>
      </w:r>
      <w:r w:rsidR="00CA6345" w:rsidRPr="00CA6345">
        <w:rPr>
          <w:rFonts w:cs="Arial"/>
          <w:szCs w:val="24"/>
          <w:vertAlign w:val="superscript"/>
        </w:rPr>
        <w:t>185</w:t>
      </w:r>
      <w:r>
        <w:fldChar w:fldCharType="end"/>
      </w:r>
      <w:hyperlink w:anchor="_ENREF_157" w:tooltip="NHS, 2021 #204" w:history="1">
        <w:r>
          <w:fldChar w:fldCharType="begin"/>
        </w:r>
        <w:r>
          <w:instrText xml:space="preserve"> ADDIN EN.CITE &lt;EndNote&gt;&lt;Cite&gt;&lt;Author&gt;NHS&lt;/Author&gt;&lt;Year&gt;2021&lt;/Year&gt;&lt;RecNum&gt;204&lt;/RecNum&gt;&lt;DisplayText&gt;&lt;style face="superscript"&gt;157&lt;/style&gt;&lt;/DisplayText&gt;&lt;record&gt;&lt;rec-number&gt;204&lt;/rec-number&gt;&lt;foreign-keys&gt;&lt;key app="EN" db-id="zsraxr2sldvt0herzw7x5028s0efeazsx9r0" timestamp="1649346189"&gt;204&lt;/key&gt;&lt;/foreign-keys&gt;&lt;ref-type name="Journal Article"&gt;17&lt;/ref-type&gt;&lt;contributors&gt;&lt;authors&gt;&lt;author&gt;NHS,&lt;/author&gt;&lt;/authors&gt;&lt;/contributors&gt;&lt;titles&gt;&lt;title&gt;2019/20 National Cost Collection Data Publication&lt;/title&gt;&lt;secondary-title&gt;Available at: https://www.england.nhs.uk/publication/2019-20-national-cost-collection-data-publication/ [last accessed: 07/04/2022]&lt;/secondary-title&gt;&lt;/titles&gt;&lt;periodical&gt;&lt;full-title&gt;Available at: https://www.england.nhs.uk/publication/2019-20-national-cost-collection-data-publication/ [last accessed: 07/04/2022]&lt;/full-title&gt;&lt;/periodical&gt;&lt;dates&gt;&lt;year&gt;2021&lt;/year&gt;&lt;/dates&gt;&lt;urls&gt;&lt;/urls&gt;&lt;/record&gt;&lt;/Cite&gt;&lt;/EndNote&gt;</w:instrText>
        </w:r>
        <w:r>
          <w:fldChar w:fldCharType="separate"/>
        </w:r>
        <w:r>
          <w:fldChar w:fldCharType="end"/>
        </w:r>
      </w:hyperlink>
      <w:r>
        <w:t xml:space="preserve"> and the PSSRU 2021</w:t>
      </w:r>
      <w:r>
        <w:fldChar w:fldCharType="begin"/>
      </w:r>
      <w:r w:rsidR="00CA6345">
        <w:instrText xml:space="preserve"> ADDIN ZOTERO_ITEM CSL_CITATION {"citationID":"b8UZWSHO","properties":{"formattedCitation":"\\super 186\\nosupersub{}","plainCitation":"186","noteIndex":0},"citationItems":[{"id":66296,"uris":["http://zotero.org/groups/4797619/items/ISTM2CGL"],"itemData":{"id":66296,"type":"post-weblog","language":"en-GB","title":"Unit Costs of Health and Social Care 2021 | PSSRU","URL":"https://www.pssru.ac.uk/project-pages/unit-costs/unit-costs-of-health-and-social-care-2021/","accessed":{"date-parts":[["2022",12,6]]}}}],"schema":"https://github.com/citation-style-language/schema/raw/master/csl-citation.json"} </w:instrText>
      </w:r>
      <w:r>
        <w:fldChar w:fldCharType="separate"/>
      </w:r>
      <w:r w:rsidR="00CA6345" w:rsidRPr="00CA6345">
        <w:rPr>
          <w:rFonts w:cs="Arial"/>
          <w:szCs w:val="24"/>
          <w:vertAlign w:val="superscript"/>
        </w:rPr>
        <w:t>186</w:t>
      </w:r>
      <w:r>
        <w:fldChar w:fldCharType="end"/>
      </w:r>
      <w:r>
        <w:t xml:space="preserve"> based on the setting of care</w:t>
      </w:r>
      <w:r w:rsidRPr="005D58CB">
        <w:t>.</w:t>
      </w:r>
      <w:r w:rsidRPr="005D58CB">
        <w:fldChar w:fldCharType="begin"/>
      </w:r>
      <w:r w:rsidR="00CA6345">
        <w:instrText xml:space="preserve"> ADDIN ZOTERO_ITEM CSL_CITATION {"citationID":"2MgeJW3l","properties":{"formattedCitation":"\\super 5\\nosupersub{}","plainCitation":"5","noteIndex":0},"citationItems":[{"id":66214,"uris":["http://zotero.org/groups/4797619/items/H2PQC2GH"],"itemData":{"id":66214,"type":"webpage","abstract":"Trastuzumab deruxtecan for treating HER2-positive unresectable or metastatic breast cancer after trastuzumab and a taxane [TA862]","language":"eng","note":"publisher: NICE","title":"Trastuzumab deruxtecan for treating HER2-positive unresectable or metastatic breast cancer after 1 or more anti-HER2 therapies | NICE [TA862]","URL":"https://www.nice.org.uk/guidance/indevelopment/gid-ta10804/documents","author":[{"family":"NICE","given":""}],"accessed":{"date-parts":[["2023",2,5]]},"issued":{"date-parts":[["2023",2]]}}}],"schema":"https://github.com/citation-style-language/schema/raw/master/csl-citation.json"} </w:instrText>
      </w:r>
      <w:r w:rsidRPr="005D58CB">
        <w:fldChar w:fldCharType="separate"/>
      </w:r>
      <w:r w:rsidR="00FD57F4" w:rsidRPr="00FD57F4">
        <w:rPr>
          <w:rFonts w:cs="Arial"/>
          <w:szCs w:val="24"/>
          <w:vertAlign w:val="superscript"/>
        </w:rPr>
        <w:t>5</w:t>
      </w:r>
      <w:r w:rsidRPr="005D58CB">
        <w:fldChar w:fldCharType="end"/>
      </w:r>
    </w:p>
    <w:p w14:paraId="4DC9A39D" w14:textId="55E0DDA5" w:rsidR="00EC2472" w:rsidRDefault="00EC2472" w:rsidP="00EC2472">
      <w:pPr>
        <w:pStyle w:val="Caption"/>
      </w:pPr>
      <w:bookmarkStart w:id="688" w:name="_Ref96105347"/>
      <w:bookmarkStart w:id="689" w:name="_Toc98924763"/>
      <w:bookmarkStart w:id="690" w:name="_Toc127006686"/>
      <w:bookmarkStart w:id="691" w:name="_Toc129351031"/>
      <w:r>
        <w:lastRenderedPageBreak/>
        <w:t xml:space="preserve">Table </w:t>
      </w:r>
      <w:r>
        <w:fldChar w:fldCharType="begin"/>
      </w:r>
      <w:r>
        <w:instrText>SEQ Table \* ARABIC</w:instrText>
      </w:r>
      <w:r>
        <w:fldChar w:fldCharType="separate"/>
      </w:r>
      <w:r w:rsidR="00145F42">
        <w:rPr>
          <w:noProof/>
        </w:rPr>
        <w:t>56</w:t>
      </w:r>
      <w:r>
        <w:fldChar w:fldCharType="end"/>
      </w:r>
      <w:bookmarkEnd w:id="688"/>
      <w:r>
        <w:t>: Monitoring costs and frequencies</w:t>
      </w:r>
      <w:bookmarkEnd w:id="689"/>
      <w:bookmarkEnd w:id="690"/>
      <w:bookmarkEnd w:id="691"/>
    </w:p>
    <w:tbl>
      <w:tblPr>
        <w:tblStyle w:val="TableGrid"/>
        <w:tblW w:w="9019" w:type="dxa"/>
        <w:tblLayout w:type="fixed"/>
        <w:tblLook w:val="04A0" w:firstRow="1" w:lastRow="0" w:firstColumn="1" w:lastColumn="0" w:noHBand="0" w:noVBand="1"/>
      </w:tblPr>
      <w:tblGrid>
        <w:gridCol w:w="1696"/>
        <w:gridCol w:w="993"/>
        <w:gridCol w:w="992"/>
        <w:gridCol w:w="992"/>
        <w:gridCol w:w="1276"/>
        <w:gridCol w:w="3070"/>
      </w:tblGrid>
      <w:tr w:rsidR="00EC2472" w14:paraId="0F7F1DA0" w14:textId="77777777">
        <w:trPr>
          <w:tblHeader/>
        </w:trPr>
        <w:tc>
          <w:tcPr>
            <w:tcW w:w="1696" w:type="dxa"/>
            <w:vMerge w:val="restart"/>
            <w:shd w:val="clear" w:color="auto" w:fill="D9D9D9" w:themeFill="background1" w:themeFillShade="D9"/>
          </w:tcPr>
          <w:p w14:paraId="4B96A07E" w14:textId="77777777" w:rsidR="00EC2472" w:rsidRDefault="00EC2472">
            <w:pPr>
              <w:pStyle w:val="NICETableHeader"/>
            </w:pPr>
            <w:r>
              <w:t>Resource</w:t>
            </w:r>
          </w:p>
        </w:tc>
        <w:tc>
          <w:tcPr>
            <w:tcW w:w="1985" w:type="dxa"/>
            <w:gridSpan w:val="2"/>
            <w:shd w:val="clear" w:color="auto" w:fill="D9D9D9" w:themeFill="background1" w:themeFillShade="D9"/>
          </w:tcPr>
          <w:p w14:paraId="6C97CF2C" w14:textId="77777777" w:rsidR="00EC2472" w:rsidRDefault="00EC2472">
            <w:pPr>
              <w:pStyle w:val="NICETableHeader"/>
              <w:jc w:val="center"/>
            </w:pPr>
            <w:r>
              <w:t>Frequency (per cycle)</w:t>
            </w:r>
          </w:p>
        </w:tc>
        <w:tc>
          <w:tcPr>
            <w:tcW w:w="992" w:type="dxa"/>
            <w:vMerge w:val="restart"/>
            <w:shd w:val="clear" w:color="auto" w:fill="D9D9D9" w:themeFill="background1" w:themeFillShade="D9"/>
          </w:tcPr>
          <w:p w14:paraId="16F3BD2E" w14:textId="77777777" w:rsidR="00EC2472" w:rsidRDefault="00EC2472">
            <w:pPr>
              <w:pStyle w:val="NICETableHeader"/>
              <w:jc w:val="center"/>
            </w:pPr>
            <w:r>
              <w:t>Unit cost</w:t>
            </w:r>
          </w:p>
        </w:tc>
        <w:tc>
          <w:tcPr>
            <w:tcW w:w="1276" w:type="dxa"/>
            <w:vMerge w:val="restart"/>
            <w:shd w:val="clear" w:color="auto" w:fill="D9D9D9" w:themeFill="background1" w:themeFillShade="D9"/>
          </w:tcPr>
          <w:p w14:paraId="1FAD3A4C" w14:textId="77777777" w:rsidR="00EC2472" w:rsidRDefault="00EC2472">
            <w:pPr>
              <w:pStyle w:val="NICETableHeader"/>
              <w:jc w:val="center"/>
            </w:pPr>
            <w:r>
              <w:t>Frequency source</w:t>
            </w:r>
          </w:p>
        </w:tc>
        <w:tc>
          <w:tcPr>
            <w:tcW w:w="3070" w:type="dxa"/>
            <w:vMerge w:val="restart"/>
            <w:shd w:val="clear" w:color="auto" w:fill="D9D9D9" w:themeFill="background1" w:themeFillShade="D9"/>
          </w:tcPr>
          <w:p w14:paraId="53A22C02" w14:textId="77777777" w:rsidR="00EC2472" w:rsidRDefault="00EC2472">
            <w:pPr>
              <w:pStyle w:val="NICETableHeader"/>
              <w:jc w:val="center"/>
            </w:pPr>
            <w:r>
              <w:t>Cost source</w:t>
            </w:r>
          </w:p>
        </w:tc>
      </w:tr>
      <w:tr w:rsidR="00EC2472" w14:paraId="027E2D61" w14:textId="77777777">
        <w:trPr>
          <w:tblHeader/>
        </w:trPr>
        <w:tc>
          <w:tcPr>
            <w:tcW w:w="1696" w:type="dxa"/>
            <w:vMerge/>
          </w:tcPr>
          <w:p w14:paraId="1AA02EE3" w14:textId="77777777" w:rsidR="00EC2472" w:rsidRDefault="00EC2472"/>
        </w:tc>
        <w:tc>
          <w:tcPr>
            <w:tcW w:w="993" w:type="dxa"/>
            <w:shd w:val="clear" w:color="auto" w:fill="D9D9D9" w:themeFill="background1" w:themeFillShade="D9"/>
          </w:tcPr>
          <w:p w14:paraId="0E3370F1" w14:textId="77777777" w:rsidR="00EC2472" w:rsidRDefault="00EC2472">
            <w:pPr>
              <w:pStyle w:val="NICETableHeader"/>
              <w:jc w:val="center"/>
            </w:pPr>
            <w:r>
              <w:t>PF</w:t>
            </w:r>
          </w:p>
        </w:tc>
        <w:tc>
          <w:tcPr>
            <w:tcW w:w="992" w:type="dxa"/>
            <w:shd w:val="clear" w:color="auto" w:fill="D9D9D9" w:themeFill="background1" w:themeFillShade="D9"/>
          </w:tcPr>
          <w:p w14:paraId="6680830C" w14:textId="77777777" w:rsidR="00EC2472" w:rsidRDefault="00EC2472">
            <w:pPr>
              <w:pStyle w:val="NICETableHeader"/>
              <w:jc w:val="center"/>
            </w:pPr>
            <w:r>
              <w:t>PD</w:t>
            </w:r>
          </w:p>
        </w:tc>
        <w:tc>
          <w:tcPr>
            <w:tcW w:w="992" w:type="dxa"/>
            <w:vMerge/>
          </w:tcPr>
          <w:p w14:paraId="6B3057B8" w14:textId="77777777" w:rsidR="00EC2472" w:rsidRDefault="00EC2472">
            <w:pPr>
              <w:jc w:val="center"/>
            </w:pPr>
          </w:p>
        </w:tc>
        <w:tc>
          <w:tcPr>
            <w:tcW w:w="1276" w:type="dxa"/>
            <w:vMerge/>
          </w:tcPr>
          <w:p w14:paraId="38A2316B" w14:textId="77777777" w:rsidR="00EC2472" w:rsidRDefault="00EC2472">
            <w:pPr>
              <w:jc w:val="center"/>
            </w:pPr>
          </w:p>
        </w:tc>
        <w:tc>
          <w:tcPr>
            <w:tcW w:w="3070" w:type="dxa"/>
            <w:vMerge/>
          </w:tcPr>
          <w:p w14:paraId="414EAE36" w14:textId="77777777" w:rsidR="00EC2472" w:rsidRDefault="00EC2472">
            <w:pPr>
              <w:jc w:val="center"/>
            </w:pPr>
          </w:p>
        </w:tc>
      </w:tr>
      <w:tr w:rsidR="00EC2472" w14:paraId="2DF2C384" w14:textId="77777777">
        <w:tc>
          <w:tcPr>
            <w:tcW w:w="1696" w:type="dxa"/>
            <w:vAlign w:val="center"/>
          </w:tcPr>
          <w:p w14:paraId="3D9F9AF6" w14:textId="77777777" w:rsidR="00EC2472" w:rsidRDefault="00EC2472">
            <w:pPr>
              <w:pStyle w:val="NICETabletext"/>
            </w:pPr>
            <w:r>
              <w:t>GP contact</w:t>
            </w:r>
          </w:p>
        </w:tc>
        <w:tc>
          <w:tcPr>
            <w:tcW w:w="993" w:type="dxa"/>
            <w:vAlign w:val="center"/>
          </w:tcPr>
          <w:p w14:paraId="2F08961A" w14:textId="77777777" w:rsidR="00EC2472" w:rsidRPr="005D58CB" w:rsidRDefault="00EC2472">
            <w:pPr>
              <w:pStyle w:val="NICETabletext"/>
              <w:jc w:val="center"/>
            </w:pPr>
            <w:r w:rsidRPr="005D58CB">
              <w:t>0.69</w:t>
            </w:r>
          </w:p>
        </w:tc>
        <w:tc>
          <w:tcPr>
            <w:tcW w:w="992" w:type="dxa"/>
            <w:vAlign w:val="center"/>
          </w:tcPr>
          <w:p w14:paraId="77733FE7" w14:textId="77777777" w:rsidR="00EC2472" w:rsidRPr="005D58CB" w:rsidRDefault="00EC2472">
            <w:pPr>
              <w:pStyle w:val="NICETabletext"/>
              <w:jc w:val="center"/>
            </w:pPr>
            <w:r w:rsidRPr="005D58CB">
              <w:t>0.69</w:t>
            </w:r>
          </w:p>
        </w:tc>
        <w:tc>
          <w:tcPr>
            <w:tcW w:w="992" w:type="dxa"/>
            <w:vAlign w:val="center"/>
          </w:tcPr>
          <w:p w14:paraId="1B6786AB" w14:textId="77777777" w:rsidR="00EC2472" w:rsidRPr="005D58CB" w:rsidRDefault="00EC2472">
            <w:pPr>
              <w:pStyle w:val="NICETabletext"/>
              <w:jc w:val="center"/>
            </w:pPr>
            <w:r w:rsidRPr="005D58CB">
              <w:t>£39.00</w:t>
            </w:r>
          </w:p>
        </w:tc>
        <w:tc>
          <w:tcPr>
            <w:tcW w:w="1276" w:type="dxa"/>
            <w:vAlign w:val="center"/>
          </w:tcPr>
          <w:p w14:paraId="6DA60A70" w14:textId="7A9A01FC" w:rsidR="00EC2472" w:rsidRPr="005D58CB" w:rsidRDefault="00EC2472">
            <w:pPr>
              <w:pStyle w:val="NICETabletext"/>
              <w:jc w:val="center"/>
            </w:pPr>
            <w:r w:rsidRPr="005D58CB">
              <w:t>TA862</w:t>
            </w:r>
            <w:r w:rsidRPr="005D58CB">
              <w:fldChar w:fldCharType="begin"/>
            </w:r>
            <w:r w:rsidR="00CA6345">
              <w:instrText xml:space="preserve"> ADDIN ZOTERO_ITEM CSL_CITATION {"citationID":"xS2pouF3","properties":{"formattedCitation":"\\super 5\\nosupersub{}","plainCitation":"5","noteIndex":0},"citationItems":[{"id":66214,"uris":["http://zotero.org/groups/4797619/items/H2PQC2GH"],"itemData":{"id":66214,"type":"webpage","abstract":"Trastuzumab deruxtecan for treating HER2-positive unresectable or metastatic breast cancer after trastuzumab and a taxane [TA862]","language":"eng","note":"publisher: NICE","title":"Trastuzumab deruxtecan for treating HER2-positive unresectable or metastatic breast cancer after 1 or more anti-HER2 therapies | NICE [TA862]","URL":"https://www.nice.org.uk/guidance/indevelopment/gid-ta10804/documents","author":[{"family":"NICE","given":""}],"accessed":{"date-parts":[["2023",2,5]]},"issued":{"date-parts":[["2023",2]]}}}],"schema":"https://github.com/citation-style-language/schema/raw/master/csl-citation.json"} </w:instrText>
            </w:r>
            <w:r w:rsidRPr="005D58CB">
              <w:fldChar w:fldCharType="separate"/>
            </w:r>
            <w:r w:rsidR="00FD57F4" w:rsidRPr="00FD57F4">
              <w:rPr>
                <w:rFonts w:cs="Arial"/>
                <w:vertAlign w:val="superscript"/>
              </w:rPr>
              <w:t>5</w:t>
            </w:r>
            <w:r w:rsidRPr="005D58CB">
              <w:fldChar w:fldCharType="end"/>
            </w:r>
          </w:p>
          <w:p w14:paraId="15EB4CFF" w14:textId="25989F4C" w:rsidR="00EC2472" w:rsidRPr="005D58CB" w:rsidRDefault="00EC2472">
            <w:pPr>
              <w:pStyle w:val="NICETabletext"/>
              <w:jc w:val="center"/>
              <w:rPr>
                <w:highlight w:val="green"/>
              </w:rPr>
            </w:pPr>
            <w:r w:rsidRPr="005D58CB">
              <w:t>TA819</w:t>
            </w:r>
            <w:r>
              <w:fldChar w:fldCharType="begin"/>
            </w:r>
            <w:r w:rsidR="00CA6345">
              <w:instrText xml:space="preserve"> ADDIN ZOTERO_ITEM CSL_CITATION {"citationID":"CLW7hRCl","properties":{"formattedCitation":"\\super 132\\nosupersub{}","plainCitation":"132","noteIndex":0},"citationItems":[{"id":65875,"uris":["http://zotero.org/groups/4797619/items/IP9MEGL9"],"itemData":{"id":65875,"type":"webpage","abstract":"Evidence-based recommendations on sacituzumab govetican (Trodelvy) for treating unresectable, triple-negative locally advanced or metastatic breast cancer in adults after 2 or more systemic therapies, at least 1 of which was for advanced disease","language":"eng","note":"publisher: NICE","title":"Sacituzumab govitecan for treating unresectable triple-negative advanced breast cancer after 2 or more therapies | NICE [TA819]","URL":"https://www.nice.org.uk/guidance/ta819","author":[{"family":"NICE","given":""}],"accessed":{"date-parts":[["2022",10,17]]}}}],"schema":"https://github.com/citation-style-language/schema/raw/master/csl-citation.json"} </w:instrText>
            </w:r>
            <w:r>
              <w:fldChar w:fldCharType="separate"/>
            </w:r>
            <w:r w:rsidR="00CA6345" w:rsidRPr="00CA6345">
              <w:rPr>
                <w:rFonts w:cs="Arial"/>
                <w:vertAlign w:val="superscript"/>
              </w:rPr>
              <w:t>132</w:t>
            </w:r>
            <w:r>
              <w:fldChar w:fldCharType="end"/>
            </w:r>
          </w:p>
        </w:tc>
        <w:tc>
          <w:tcPr>
            <w:tcW w:w="3070" w:type="dxa"/>
            <w:vAlign w:val="center"/>
          </w:tcPr>
          <w:p w14:paraId="7EF59219" w14:textId="497D91AD" w:rsidR="00EC2472" w:rsidRDefault="00EC2472">
            <w:pPr>
              <w:pStyle w:val="NICETabletext"/>
              <w:jc w:val="center"/>
            </w:pPr>
            <w:r w:rsidRPr="00553DD4">
              <w:t>PSSRU 2021</w:t>
            </w:r>
            <w:r>
              <w:fldChar w:fldCharType="begin"/>
            </w:r>
            <w:r w:rsidR="00CA6345">
              <w:instrText xml:space="preserve"> ADDIN ZOTERO_ITEM CSL_CITATION {"citationID":"Lzapkweu","properties":{"formattedCitation":"\\super 186\\nosupersub{}","plainCitation":"186","noteIndex":0},"citationItems":[{"id":66296,"uris":["http://zotero.org/groups/4797619/items/ISTM2CGL"],"itemData":{"id":66296,"type":"post-weblog","language":"en-GB","title":"Unit Costs of Health and Social Care 2021 | PSSRU","URL":"https://www.pssru.ac.uk/project-pages/unit-costs/unit-costs-of-health-and-social-care-2021/","accessed":{"date-parts":[["2022",12,6]]}}}],"schema":"https://github.com/citation-style-language/schema/raw/master/csl-citation.json"} </w:instrText>
            </w:r>
            <w:r>
              <w:fldChar w:fldCharType="separate"/>
            </w:r>
            <w:r w:rsidR="00CA6345" w:rsidRPr="00CA6345">
              <w:rPr>
                <w:rFonts w:cs="Arial"/>
                <w:vertAlign w:val="superscript"/>
              </w:rPr>
              <w:t>186</w:t>
            </w:r>
            <w:r>
              <w:fldChar w:fldCharType="end"/>
            </w:r>
            <w:r w:rsidRPr="00553DD4">
              <w:t xml:space="preserve"> - GP Per patient contact lasting 9.22 minutes with qualifications</w:t>
            </w:r>
          </w:p>
        </w:tc>
      </w:tr>
      <w:tr w:rsidR="00EC2472" w14:paraId="434815EB" w14:textId="77777777">
        <w:tc>
          <w:tcPr>
            <w:tcW w:w="1696" w:type="dxa"/>
            <w:vAlign w:val="center"/>
          </w:tcPr>
          <w:p w14:paraId="5543714C" w14:textId="77777777" w:rsidR="00EC2472" w:rsidRDefault="00EC2472">
            <w:pPr>
              <w:pStyle w:val="NICETabletext"/>
            </w:pPr>
            <w:r w:rsidRPr="005D58CB">
              <w:t>Medical oncologist</w:t>
            </w:r>
          </w:p>
        </w:tc>
        <w:tc>
          <w:tcPr>
            <w:tcW w:w="993" w:type="dxa"/>
            <w:vAlign w:val="center"/>
          </w:tcPr>
          <w:p w14:paraId="175E625A" w14:textId="77777777" w:rsidR="00EC2472" w:rsidRPr="005D58CB" w:rsidRDefault="00EC2472">
            <w:pPr>
              <w:pStyle w:val="NICETabletext"/>
              <w:jc w:val="center"/>
            </w:pPr>
            <w:r w:rsidRPr="005D58CB">
              <w:t>0.69</w:t>
            </w:r>
          </w:p>
        </w:tc>
        <w:tc>
          <w:tcPr>
            <w:tcW w:w="992" w:type="dxa"/>
            <w:vAlign w:val="center"/>
          </w:tcPr>
          <w:p w14:paraId="1AEFE632" w14:textId="77777777" w:rsidR="00EC2472" w:rsidRPr="005D58CB" w:rsidRDefault="00EC2472">
            <w:pPr>
              <w:pStyle w:val="NICETabletext"/>
              <w:jc w:val="center"/>
            </w:pPr>
            <w:r w:rsidRPr="005D58CB">
              <w:t>0.69</w:t>
            </w:r>
          </w:p>
        </w:tc>
        <w:tc>
          <w:tcPr>
            <w:tcW w:w="992" w:type="dxa"/>
            <w:vAlign w:val="center"/>
          </w:tcPr>
          <w:p w14:paraId="005EDB4B" w14:textId="77777777" w:rsidR="00EC2472" w:rsidRPr="005D58CB" w:rsidRDefault="00EC2472">
            <w:pPr>
              <w:pStyle w:val="NICETabletext"/>
              <w:jc w:val="center"/>
            </w:pPr>
            <w:r w:rsidRPr="005D58CB">
              <w:t>£225.00</w:t>
            </w:r>
          </w:p>
        </w:tc>
        <w:tc>
          <w:tcPr>
            <w:tcW w:w="1276" w:type="dxa"/>
            <w:vAlign w:val="center"/>
          </w:tcPr>
          <w:p w14:paraId="520F7887" w14:textId="65D84B73" w:rsidR="00EC2472" w:rsidRPr="005D58CB" w:rsidRDefault="00EC2472">
            <w:pPr>
              <w:pStyle w:val="NICETabletext"/>
              <w:jc w:val="center"/>
            </w:pPr>
            <w:r w:rsidRPr="005D58CB">
              <w:t>TA862</w:t>
            </w:r>
            <w:r w:rsidRPr="005D58CB">
              <w:fldChar w:fldCharType="begin"/>
            </w:r>
            <w:r w:rsidR="00CA6345">
              <w:instrText xml:space="preserve"> ADDIN ZOTERO_ITEM CSL_CITATION {"citationID":"D6Vhn6KO","properties":{"formattedCitation":"\\super 5\\nosupersub{}","plainCitation":"5","noteIndex":0},"citationItems":[{"id":66214,"uris":["http://zotero.org/groups/4797619/items/H2PQC2GH"],"itemData":{"id":66214,"type":"webpage","abstract":"Trastuzumab deruxtecan for treating HER2-positive unresectable or metastatic breast cancer after trastuzumab and a taxane [TA862]","language":"eng","note":"publisher: NICE","title":"Trastuzumab deruxtecan for treating HER2-positive unresectable or metastatic breast cancer after 1 or more anti-HER2 therapies | NICE [TA862]","URL":"https://www.nice.org.uk/guidance/indevelopment/gid-ta10804/documents","author":[{"family":"NICE","given":""}],"accessed":{"date-parts":[["2023",2,5]]},"issued":{"date-parts":[["2023",2]]}}}],"schema":"https://github.com/citation-style-language/schema/raw/master/csl-citation.json"} </w:instrText>
            </w:r>
            <w:r w:rsidRPr="005D58CB">
              <w:fldChar w:fldCharType="separate"/>
            </w:r>
            <w:r w:rsidR="00FD57F4" w:rsidRPr="00FD57F4">
              <w:rPr>
                <w:rFonts w:cs="Arial"/>
                <w:vertAlign w:val="superscript"/>
              </w:rPr>
              <w:t>5</w:t>
            </w:r>
            <w:r w:rsidRPr="005D58CB">
              <w:fldChar w:fldCharType="end"/>
            </w:r>
          </w:p>
          <w:p w14:paraId="368FBA4C" w14:textId="46CB05B3" w:rsidR="00EC2472" w:rsidRPr="005D58CB" w:rsidRDefault="00EC2472">
            <w:pPr>
              <w:pStyle w:val="NICETabletext"/>
              <w:jc w:val="center"/>
              <w:rPr>
                <w:highlight w:val="green"/>
              </w:rPr>
            </w:pPr>
            <w:r w:rsidRPr="005D58CB">
              <w:t>TA819</w:t>
            </w:r>
            <w:r>
              <w:fldChar w:fldCharType="begin"/>
            </w:r>
            <w:r w:rsidR="00CA6345">
              <w:instrText xml:space="preserve"> ADDIN ZOTERO_ITEM CSL_CITATION {"citationID":"xW5AOtTz","properties":{"formattedCitation":"\\super 132\\nosupersub{}","plainCitation":"132","noteIndex":0},"citationItems":[{"id":65875,"uris":["http://zotero.org/groups/4797619/items/IP9MEGL9"],"itemData":{"id":65875,"type":"webpage","abstract":"Evidence-based recommendations on sacituzumab govetican (Trodelvy) for treating unresectable, triple-negative locally advanced or metastatic breast cancer in adults after 2 or more systemic therapies, at least 1 of which was for advanced disease","language":"eng","note":"publisher: NICE","title":"Sacituzumab govitecan for treating unresectable triple-negative advanced breast cancer after 2 or more therapies | NICE [TA819]","URL":"https://www.nice.org.uk/guidance/ta819","author":[{"family":"NICE","given":""}],"accessed":{"date-parts":[["2022",10,17]]}}}],"schema":"https://github.com/citation-style-language/schema/raw/master/csl-citation.json"} </w:instrText>
            </w:r>
            <w:r>
              <w:fldChar w:fldCharType="separate"/>
            </w:r>
            <w:r w:rsidR="00CA6345" w:rsidRPr="00CA6345">
              <w:rPr>
                <w:rFonts w:cs="Arial"/>
                <w:vertAlign w:val="superscript"/>
              </w:rPr>
              <w:t>132</w:t>
            </w:r>
            <w:r>
              <w:fldChar w:fldCharType="end"/>
            </w:r>
          </w:p>
        </w:tc>
        <w:tc>
          <w:tcPr>
            <w:tcW w:w="3070" w:type="dxa"/>
            <w:vAlign w:val="center"/>
          </w:tcPr>
          <w:p w14:paraId="42EAC303" w14:textId="286E7941" w:rsidR="00EC2472" w:rsidRPr="005D58CB" w:rsidRDefault="00EC2472">
            <w:pPr>
              <w:pStyle w:val="NICETabletext"/>
              <w:jc w:val="center"/>
            </w:pPr>
            <w:r>
              <w:t xml:space="preserve">NHS Cost Collection </w:t>
            </w:r>
            <w:r w:rsidRPr="005D58CB">
              <w:t>20/21</w:t>
            </w:r>
            <w:r w:rsidRPr="005D58CB">
              <w:fldChar w:fldCharType="begin"/>
            </w:r>
            <w:r w:rsidR="00CA6345">
              <w:instrText xml:space="preserve"> ADDIN ZOTERO_ITEM CSL_CITATION {"citationID":"N0swv08l","properties":{"formattedCitation":"\\super 185\\nosupersub{}","plainCitation":"185","noteIndex":0},"citationItems":[{"id":66408,"uris":["http://zotero.org/groups/4797619/items/TQVXWM6Q"],"itemData":{"id":66408,"type":"document","title":"National Cost Collection: National Schedule of NHS costs - Year 2020-21","URL":"https://www.england.nhs.uk/costing-in-the-nhs/national-cost-collection/","author":[{"family":"NHS","given":""}],"issued":{"date-parts":[["2021"]]}}}],"schema":"https://github.com/citation-style-language/schema/raw/master/csl-citation.json"} </w:instrText>
            </w:r>
            <w:r w:rsidRPr="005D58CB">
              <w:fldChar w:fldCharType="separate"/>
            </w:r>
            <w:r w:rsidR="00CA6345" w:rsidRPr="00CA6345">
              <w:rPr>
                <w:rFonts w:cs="Arial"/>
                <w:vertAlign w:val="superscript"/>
              </w:rPr>
              <w:t>185</w:t>
            </w:r>
            <w:r w:rsidRPr="005D58CB">
              <w:fldChar w:fldCharType="end"/>
            </w:r>
            <w:r w:rsidRPr="005D58CB">
              <w:t xml:space="preserve"> </w:t>
            </w:r>
            <w:r>
              <w:t>– 370 – medical oncologist – consultant led</w:t>
            </w:r>
          </w:p>
        </w:tc>
      </w:tr>
      <w:tr w:rsidR="00EC2472" w14:paraId="240EC936" w14:textId="77777777">
        <w:tc>
          <w:tcPr>
            <w:tcW w:w="1696" w:type="dxa"/>
            <w:vAlign w:val="center"/>
          </w:tcPr>
          <w:p w14:paraId="3F7DAB51" w14:textId="77777777" w:rsidR="00EC2472" w:rsidRDefault="00EC2472">
            <w:pPr>
              <w:pStyle w:val="NICETabletext"/>
            </w:pPr>
            <w:r>
              <w:t>Clinical nurse specialist</w:t>
            </w:r>
          </w:p>
        </w:tc>
        <w:tc>
          <w:tcPr>
            <w:tcW w:w="993" w:type="dxa"/>
            <w:vAlign w:val="center"/>
          </w:tcPr>
          <w:p w14:paraId="53221F30" w14:textId="77777777" w:rsidR="00EC2472" w:rsidRPr="005D58CB" w:rsidRDefault="00EC2472">
            <w:pPr>
              <w:pStyle w:val="NICETabletext"/>
              <w:jc w:val="center"/>
            </w:pPr>
            <w:r w:rsidRPr="005D58CB">
              <w:t>0.69</w:t>
            </w:r>
          </w:p>
        </w:tc>
        <w:tc>
          <w:tcPr>
            <w:tcW w:w="992" w:type="dxa"/>
            <w:vAlign w:val="center"/>
          </w:tcPr>
          <w:p w14:paraId="5F134954" w14:textId="77777777" w:rsidR="00EC2472" w:rsidRPr="005D58CB" w:rsidRDefault="00EC2472">
            <w:pPr>
              <w:pStyle w:val="NICETabletext"/>
              <w:jc w:val="center"/>
            </w:pPr>
            <w:r w:rsidRPr="005D58CB">
              <w:t>0.69</w:t>
            </w:r>
          </w:p>
        </w:tc>
        <w:tc>
          <w:tcPr>
            <w:tcW w:w="992" w:type="dxa"/>
            <w:vAlign w:val="center"/>
          </w:tcPr>
          <w:p w14:paraId="01F11401" w14:textId="77777777" w:rsidR="00EC2472" w:rsidRPr="005D58CB" w:rsidRDefault="00EC2472">
            <w:pPr>
              <w:pStyle w:val="NICETabletext"/>
              <w:jc w:val="center"/>
            </w:pPr>
            <w:r w:rsidRPr="005D58CB">
              <w:t>£85.00</w:t>
            </w:r>
          </w:p>
        </w:tc>
        <w:tc>
          <w:tcPr>
            <w:tcW w:w="1276" w:type="dxa"/>
            <w:vAlign w:val="center"/>
          </w:tcPr>
          <w:p w14:paraId="189920D7" w14:textId="3DDCDE54" w:rsidR="00EC2472" w:rsidRPr="005D58CB" w:rsidRDefault="00EC2472">
            <w:pPr>
              <w:pStyle w:val="NICETabletext"/>
              <w:jc w:val="center"/>
            </w:pPr>
            <w:r w:rsidRPr="005D58CB">
              <w:t>TA862</w:t>
            </w:r>
            <w:r w:rsidRPr="005D58CB">
              <w:fldChar w:fldCharType="begin"/>
            </w:r>
            <w:r w:rsidR="00CA6345">
              <w:instrText xml:space="preserve"> ADDIN ZOTERO_ITEM CSL_CITATION {"citationID":"JuoN2lUf","properties":{"formattedCitation":"\\super 5\\nosupersub{}","plainCitation":"5","noteIndex":0},"citationItems":[{"id":66214,"uris":["http://zotero.org/groups/4797619/items/H2PQC2GH"],"itemData":{"id":66214,"type":"webpage","abstract":"Trastuzumab deruxtecan for treating HER2-positive unresectable or metastatic breast cancer after trastuzumab and a taxane [TA862]","language":"eng","note":"publisher: NICE","title":"Trastuzumab deruxtecan for treating HER2-positive unresectable or metastatic breast cancer after 1 or more anti-HER2 therapies | NICE [TA862]","URL":"https://www.nice.org.uk/guidance/indevelopment/gid-ta10804/documents","author":[{"family":"NICE","given":""}],"accessed":{"date-parts":[["2023",2,5]]},"issued":{"date-parts":[["2023",2]]}}}],"schema":"https://github.com/citation-style-language/schema/raw/master/csl-citation.json"} </w:instrText>
            </w:r>
            <w:r w:rsidRPr="005D58CB">
              <w:fldChar w:fldCharType="separate"/>
            </w:r>
            <w:r w:rsidR="00FD57F4" w:rsidRPr="00FD57F4">
              <w:rPr>
                <w:rFonts w:cs="Arial"/>
                <w:vertAlign w:val="superscript"/>
              </w:rPr>
              <w:t>5</w:t>
            </w:r>
            <w:r w:rsidRPr="005D58CB">
              <w:fldChar w:fldCharType="end"/>
            </w:r>
          </w:p>
          <w:p w14:paraId="458D8D9B" w14:textId="1F883A6F" w:rsidR="00EC2472" w:rsidRPr="005D58CB" w:rsidRDefault="00EC2472">
            <w:pPr>
              <w:pStyle w:val="NICETabletext"/>
              <w:jc w:val="center"/>
              <w:rPr>
                <w:highlight w:val="green"/>
              </w:rPr>
            </w:pPr>
            <w:r w:rsidRPr="005D58CB">
              <w:t>TA819</w:t>
            </w:r>
            <w:r>
              <w:fldChar w:fldCharType="begin"/>
            </w:r>
            <w:r w:rsidR="00CA6345">
              <w:instrText xml:space="preserve"> ADDIN ZOTERO_ITEM CSL_CITATION {"citationID":"XNCa8Lyn","properties":{"formattedCitation":"\\super 132\\nosupersub{}","plainCitation":"132","noteIndex":0},"citationItems":[{"id":65875,"uris":["http://zotero.org/groups/4797619/items/IP9MEGL9"],"itemData":{"id":65875,"type":"webpage","abstract":"Evidence-based recommendations on sacituzumab govetican (Trodelvy) for treating unresectable, triple-negative locally advanced or metastatic breast cancer in adults after 2 or more systemic therapies, at least 1 of which was for advanced disease","language":"eng","note":"publisher: NICE","title":"Sacituzumab govitecan for treating unresectable triple-negative advanced breast cancer after 2 or more therapies | NICE [TA819]","URL":"https://www.nice.org.uk/guidance/ta819","author":[{"family":"NICE","given":""}],"accessed":{"date-parts":[["2022",10,17]]}}}],"schema":"https://github.com/citation-style-language/schema/raw/master/csl-citation.json"} </w:instrText>
            </w:r>
            <w:r>
              <w:fldChar w:fldCharType="separate"/>
            </w:r>
            <w:r w:rsidR="00CA6345" w:rsidRPr="00CA6345">
              <w:rPr>
                <w:rFonts w:cs="Arial"/>
                <w:vertAlign w:val="superscript"/>
              </w:rPr>
              <w:t>132</w:t>
            </w:r>
            <w:r>
              <w:fldChar w:fldCharType="end"/>
            </w:r>
            <w:r w:rsidRPr="005D58CB">
              <w:t xml:space="preserve"> </w:t>
            </w:r>
          </w:p>
        </w:tc>
        <w:tc>
          <w:tcPr>
            <w:tcW w:w="3070" w:type="dxa"/>
            <w:vAlign w:val="center"/>
          </w:tcPr>
          <w:p w14:paraId="627E584F" w14:textId="536C06B1" w:rsidR="00EC2472" w:rsidRPr="005D58CB" w:rsidDel="00B87452" w:rsidRDefault="00EC2472">
            <w:pPr>
              <w:pStyle w:val="NICETabletext"/>
              <w:jc w:val="center"/>
            </w:pPr>
            <w:r w:rsidRPr="005D58CB">
              <w:t>NHS Cost Collection 20/21</w:t>
            </w:r>
            <w:r w:rsidRPr="005D58CB">
              <w:fldChar w:fldCharType="begin"/>
            </w:r>
            <w:r w:rsidR="00CA6345">
              <w:instrText xml:space="preserve"> ADDIN ZOTERO_ITEM CSL_CITATION {"citationID":"RgPG3WIQ","properties":{"formattedCitation":"\\super 185\\nosupersub{}","plainCitation":"185","noteIndex":0},"citationItems":[{"id":66408,"uris":["http://zotero.org/groups/4797619/items/TQVXWM6Q"],"itemData":{"id":66408,"type":"document","title":"National Cost Collection: National Schedule of NHS costs - Year 2020-21","URL":"https://www.england.nhs.uk/costing-in-the-nhs/national-cost-collection/","author":[{"family":"NHS","given":""}],"issued":{"date-parts":[["2021"]]}}}],"schema":"https://github.com/citation-style-language/schema/raw/master/csl-citation.json"} </w:instrText>
            </w:r>
            <w:r w:rsidRPr="005D58CB">
              <w:fldChar w:fldCharType="separate"/>
            </w:r>
            <w:r w:rsidR="00CA6345" w:rsidRPr="00CA6345">
              <w:rPr>
                <w:rFonts w:cs="Arial"/>
                <w:vertAlign w:val="superscript"/>
              </w:rPr>
              <w:t>185</w:t>
            </w:r>
            <w:r w:rsidRPr="005D58CB">
              <w:fldChar w:fldCharType="end"/>
            </w:r>
            <w:r w:rsidRPr="005D58CB">
              <w:t xml:space="preserve"> - N09AF - Specialist Nursing, Breast Care Nursing/Liaison, Adult, Face to face</w:t>
            </w:r>
          </w:p>
        </w:tc>
      </w:tr>
      <w:tr w:rsidR="00EC2472" w14:paraId="791F8316" w14:textId="77777777">
        <w:tc>
          <w:tcPr>
            <w:tcW w:w="1696" w:type="dxa"/>
            <w:vAlign w:val="center"/>
          </w:tcPr>
          <w:p w14:paraId="6649CF6B" w14:textId="77777777" w:rsidR="00EC2472" w:rsidRPr="00B24B96" w:rsidRDefault="00EC2472">
            <w:pPr>
              <w:pStyle w:val="NICETabletext"/>
            </w:pPr>
            <w:r w:rsidRPr="007B3CF2">
              <w:t>CT scan</w:t>
            </w:r>
          </w:p>
        </w:tc>
        <w:tc>
          <w:tcPr>
            <w:tcW w:w="993" w:type="dxa"/>
            <w:vAlign w:val="center"/>
          </w:tcPr>
          <w:p w14:paraId="38A71B8E" w14:textId="77777777" w:rsidR="00EC2472" w:rsidRPr="005D58CB" w:rsidRDefault="00EC2472">
            <w:pPr>
              <w:pStyle w:val="NICETabletext"/>
              <w:jc w:val="center"/>
            </w:pPr>
            <w:r w:rsidRPr="005D58CB">
              <w:t>0.23</w:t>
            </w:r>
          </w:p>
        </w:tc>
        <w:tc>
          <w:tcPr>
            <w:tcW w:w="992" w:type="dxa"/>
            <w:vAlign w:val="center"/>
          </w:tcPr>
          <w:p w14:paraId="7DD8EEB3" w14:textId="77777777" w:rsidR="00EC2472" w:rsidRPr="00DD3F05" w:rsidRDefault="00EC2472">
            <w:pPr>
              <w:pStyle w:val="NICETabletext"/>
              <w:jc w:val="center"/>
            </w:pPr>
            <w:r w:rsidRPr="005D58CB">
              <w:t>0.23</w:t>
            </w:r>
          </w:p>
        </w:tc>
        <w:tc>
          <w:tcPr>
            <w:tcW w:w="992" w:type="dxa"/>
            <w:vAlign w:val="center"/>
          </w:tcPr>
          <w:p w14:paraId="064A3A3F" w14:textId="77777777" w:rsidR="00EC2472" w:rsidRPr="005D58CB" w:rsidRDefault="00EC2472">
            <w:pPr>
              <w:pStyle w:val="NICETabletext"/>
              <w:jc w:val="center"/>
            </w:pPr>
            <w:r w:rsidRPr="005D58CB">
              <w:t>£105.66</w:t>
            </w:r>
          </w:p>
        </w:tc>
        <w:tc>
          <w:tcPr>
            <w:tcW w:w="1276" w:type="dxa"/>
            <w:vAlign w:val="center"/>
          </w:tcPr>
          <w:p w14:paraId="68A9480B" w14:textId="000616BC" w:rsidR="00EC2472" w:rsidRPr="005D58CB" w:rsidRDefault="00EC2472">
            <w:pPr>
              <w:pStyle w:val="NICETabletext"/>
              <w:jc w:val="center"/>
            </w:pPr>
            <w:r w:rsidRPr="005D58CB">
              <w:t>TA862</w:t>
            </w:r>
            <w:r w:rsidRPr="005D58CB">
              <w:fldChar w:fldCharType="begin"/>
            </w:r>
            <w:r w:rsidR="00CA6345">
              <w:instrText xml:space="preserve"> ADDIN ZOTERO_ITEM CSL_CITATION {"citationID":"EWe8wb0n","properties":{"formattedCitation":"\\super 5\\nosupersub{}","plainCitation":"5","noteIndex":0},"citationItems":[{"id":66214,"uris":["http://zotero.org/groups/4797619/items/H2PQC2GH"],"itemData":{"id":66214,"type":"webpage","abstract":"Trastuzumab deruxtecan for treating HER2-positive unresectable or metastatic breast cancer after trastuzumab and a taxane [TA862]","language":"eng","note":"publisher: NICE","title":"Trastuzumab deruxtecan for treating HER2-positive unresectable or metastatic breast cancer after 1 or more anti-HER2 therapies | NICE [TA862]","URL":"https://www.nice.org.uk/guidance/indevelopment/gid-ta10804/documents","author":[{"family":"NICE","given":""}],"accessed":{"date-parts":[["2023",2,5]]},"issued":{"date-parts":[["2023",2]]}}}],"schema":"https://github.com/citation-style-language/schema/raw/master/csl-citation.json"} </w:instrText>
            </w:r>
            <w:r w:rsidRPr="005D58CB">
              <w:fldChar w:fldCharType="separate"/>
            </w:r>
            <w:r w:rsidR="00FD57F4" w:rsidRPr="00FD57F4">
              <w:rPr>
                <w:rFonts w:cs="Arial"/>
                <w:vertAlign w:val="superscript"/>
              </w:rPr>
              <w:t>5</w:t>
            </w:r>
            <w:r w:rsidRPr="005D58CB">
              <w:fldChar w:fldCharType="end"/>
            </w:r>
            <w:r w:rsidRPr="005D58CB">
              <w:t xml:space="preserve"> </w:t>
            </w:r>
          </w:p>
        </w:tc>
        <w:tc>
          <w:tcPr>
            <w:tcW w:w="3070" w:type="dxa"/>
            <w:vAlign w:val="center"/>
          </w:tcPr>
          <w:p w14:paraId="413DC0F0" w14:textId="613F079E" w:rsidR="00EC2472" w:rsidRPr="00EF101E" w:rsidRDefault="00EC2472">
            <w:pPr>
              <w:pStyle w:val="NICETabletext"/>
              <w:jc w:val="center"/>
            </w:pPr>
            <w:r w:rsidRPr="002250A9">
              <w:t xml:space="preserve">NHS Cost Collection </w:t>
            </w:r>
            <w:r w:rsidRPr="005D58CB">
              <w:t>20/21</w:t>
            </w:r>
            <w:r w:rsidRPr="005D58CB">
              <w:fldChar w:fldCharType="begin"/>
            </w:r>
            <w:r w:rsidR="00CA6345">
              <w:instrText xml:space="preserve"> ADDIN ZOTERO_ITEM CSL_CITATION {"citationID":"wqhMLsnm","properties":{"formattedCitation":"\\super 185\\nosupersub{}","plainCitation":"185","noteIndex":0},"citationItems":[{"id":66408,"uris":["http://zotero.org/groups/4797619/items/TQVXWM6Q"],"itemData":{"id":66408,"type":"document","title":"National Cost Collection: National Schedule of NHS costs - Year 2020-21","URL":"https://www.england.nhs.uk/costing-in-the-nhs/national-cost-collection/","author":[{"family":"NHS","given":""}],"issued":{"date-parts":[["2021"]]}}}],"schema":"https://github.com/citation-style-language/schema/raw/master/csl-citation.json"} </w:instrText>
            </w:r>
            <w:r w:rsidRPr="005D58CB">
              <w:fldChar w:fldCharType="separate"/>
            </w:r>
            <w:r w:rsidR="00CA6345" w:rsidRPr="00CA6345">
              <w:rPr>
                <w:rFonts w:cs="Arial"/>
                <w:vertAlign w:val="superscript"/>
              </w:rPr>
              <w:t>185</w:t>
            </w:r>
            <w:r w:rsidRPr="005D58CB">
              <w:fldChar w:fldCharType="end"/>
            </w:r>
            <w:r w:rsidRPr="005D58CB">
              <w:t xml:space="preserve"> </w:t>
            </w:r>
            <w:r w:rsidRPr="002250A9">
              <w:t>- RD20A - Computerised Tomography Scan of One Area, without Contrast, 19 years and over - Outpatient</w:t>
            </w:r>
            <w:r w:rsidRPr="00EF101E" w:rsidDel="00EF101E">
              <w:t xml:space="preserve"> </w:t>
            </w:r>
          </w:p>
        </w:tc>
      </w:tr>
      <w:tr w:rsidR="00EC2472" w14:paraId="26FD38C4" w14:textId="77777777">
        <w:tc>
          <w:tcPr>
            <w:tcW w:w="1696" w:type="dxa"/>
            <w:vAlign w:val="center"/>
          </w:tcPr>
          <w:p w14:paraId="48F4E345" w14:textId="77777777" w:rsidR="00EC2472" w:rsidRPr="00B24B96" w:rsidDel="001975B5" w:rsidRDefault="00EC2472">
            <w:pPr>
              <w:pStyle w:val="NICETabletext"/>
            </w:pPr>
            <w:r w:rsidRPr="00B24B96">
              <w:t>ECHO scan</w:t>
            </w:r>
          </w:p>
        </w:tc>
        <w:tc>
          <w:tcPr>
            <w:tcW w:w="993" w:type="dxa"/>
            <w:vAlign w:val="center"/>
          </w:tcPr>
          <w:p w14:paraId="75BFA6B4" w14:textId="77777777" w:rsidR="00EC2472" w:rsidRPr="005D58CB" w:rsidRDefault="00EC2472">
            <w:pPr>
              <w:pStyle w:val="NICETabletext"/>
              <w:jc w:val="center"/>
            </w:pPr>
            <w:r w:rsidRPr="005D58CB">
              <w:t>0.23</w:t>
            </w:r>
          </w:p>
        </w:tc>
        <w:tc>
          <w:tcPr>
            <w:tcW w:w="992" w:type="dxa"/>
            <w:vAlign w:val="center"/>
          </w:tcPr>
          <w:p w14:paraId="546B4305" w14:textId="77777777" w:rsidR="00EC2472" w:rsidRPr="005D58CB" w:rsidRDefault="00EC2472">
            <w:pPr>
              <w:pStyle w:val="NICETabletext"/>
              <w:jc w:val="center"/>
            </w:pPr>
            <w:r w:rsidRPr="005D58CB">
              <w:t>0.23</w:t>
            </w:r>
          </w:p>
        </w:tc>
        <w:tc>
          <w:tcPr>
            <w:tcW w:w="992" w:type="dxa"/>
            <w:vAlign w:val="center"/>
          </w:tcPr>
          <w:p w14:paraId="31F70BEE" w14:textId="77777777" w:rsidR="00EC2472" w:rsidRPr="005D58CB" w:rsidRDefault="00EC2472">
            <w:pPr>
              <w:pStyle w:val="NICETabletext"/>
              <w:jc w:val="center"/>
            </w:pPr>
            <w:r w:rsidRPr="005D58CB">
              <w:t>£145.53</w:t>
            </w:r>
          </w:p>
        </w:tc>
        <w:tc>
          <w:tcPr>
            <w:tcW w:w="1276" w:type="dxa"/>
            <w:vAlign w:val="center"/>
          </w:tcPr>
          <w:p w14:paraId="6D917FA0" w14:textId="391A3E54" w:rsidR="00EC2472" w:rsidRPr="005D58CB" w:rsidRDefault="00EC2472">
            <w:pPr>
              <w:pStyle w:val="NICETabletext"/>
              <w:jc w:val="center"/>
              <w:rPr>
                <w:lang w:val="fr-FR"/>
              </w:rPr>
            </w:pPr>
            <w:r w:rsidRPr="005D58CB">
              <w:t>TA862</w:t>
            </w:r>
            <w:r w:rsidRPr="005D58CB">
              <w:fldChar w:fldCharType="begin"/>
            </w:r>
            <w:r w:rsidR="00CA6345">
              <w:instrText xml:space="preserve"> ADDIN ZOTERO_ITEM CSL_CITATION {"citationID":"HZXkxQsT","properties":{"formattedCitation":"\\super 5\\nosupersub{}","plainCitation":"5","noteIndex":0},"citationItems":[{"id":66214,"uris":["http://zotero.org/groups/4797619/items/H2PQC2GH"],"itemData":{"id":66214,"type":"webpage","abstract":"Trastuzumab deruxtecan for treating HER2-positive unresectable or metastatic breast cancer after trastuzumab and a taxane [TA862]","language":"eng","note":"publisher: NICE","title":"Trastuzumab deruxtecan for treating HER2-positive unresectable or metastatic breast cancer after 1 or more anti-HER2 therapies | NICE [TA862]","URL":"https://www.nice.org.uk/guidance/indevelopment/gid-ta10804/documents","author":[{"family":"NICE","given":""}],"accessed":{"date-parts":[["2023",2,5]]},"issued":{"date-parts":[["2023",2]]}}}],"schema":"https://github.com/citation-style-language/schema/raw/master/csl-citation.json"} </w:instrText>
            </w:r>
            <w:r w:rsidRPr="005D58CB">
              <w:fldChar w:fldCharType="separate"/>
            </w:r>
            <w:r w:rsidR="00FD57F4" w:rsidRPr="00FD57F4">
              <w:rPr>
                <w:rFonts w:cs="Arial"/>
                <w:vertAlign w:val="superscript"/>
              </w:rPr>
              <w:t>5</w:t>
            </w:r>
            <w:r w:rsidRPr="005D58CB">
              <w:fldChar w:fldCharType="end"/>
            </w:r>
          </w:p>
        </w:tc>
        <w:tc>
          <w:tcPr>
            <w:tcW w:w="3070" w:type="dxa"/>
            <w:vAlign w:val="center"/>
          </w:tcPr>
          <w:p w14:paraId="01DA18FC" w14:textId="766FE500" w:rsidR="00EC2472" w:rsidRPr="005D58CB" w:rsidRDefault="00EC2472">
            <w:pPr>
              <w:pStyle w:val="NICETabletext"/>
              <w:jc w:val="center"/>
            </w:pPr>
            <w:r w:rsidRPr="005D58CB">
              <w:t>NHS Cost Collection 20/21</w:t>
            </w:r>
            <w:r w:rsidRPr="005D58CB">
              <w:fldChar w:fldCharType="begin"/>
            </w:r>
            <w:r w:rsidR="00CA6345">
              <w:instrText xml:space="preserve"> ADDIN ZOTERO_ITEM CSL_CITATION {"citationID":"8VucGP2r","properties":{"formattedCitation":"\\super 185\\nosupersub{}","plainCitation":"185","noteIndex":0},"citationItems":[{"id":66408,"uris":["http://zotero.org/groups/4797619/items/TQVXWM6Q"],"itemData":{"id":66408,"type":"document","title":"National Cost Collection: National Schedule of NHS costs - Year 2020-21","URL":"https://www.england.nhs.uk/costing-in-the-nhs/national-cost-collection/","author":[{"family":"NHS","given":""}],"issued":{"date-parts":[["2021"]]}}}],"schema":"https://github.com/citation-style-language/schema/raw/master/csl-citation.json"} </w:instrText>
            </w:r>
            <w:r w:rsidRPr="005D58CB">
              <w:fldChar w:fldCharType="separate"/>
            </w:r>
            <w:r w:rsidR="00CA6345" w:rsidRPr="00CA6345">
              <w:rPr>
                <w:rFonts w:cs="Arial"/>
                <w:vertAlign w:val="superscript"/>
              </w:rPr>
              <w:t>185</w:t>
            </w:r>
            <w:r w:rsidRPr="005D58CB">
              <w:fldChar w:fldCharType="end"/>
            </w:r>
            <w:r w:rsidRPr="005D58CB">
              <w:t xml:space="preserve"> - RN22Z - Multi-Gated Acquisition (MUGA) Scan</w:t>
            </w:r>
          </w:p>
        </w:tc>
      </w:tr>
      <w:tr w:rsidR="00EC2472" w:rsidRPr="00AE2CE1" w14:paraId="18CF0DA6" w14:textId="77777777">
        <w:tc>
          <w:tcPr>
            <w:tcW w:w="1696" w:type="dxa"/>
          </w:tcPr>
          <w:p w14:paraId="5B777A0A" w14:textId="77777777" w:rsidR="00EC2472" w:rsidRPr="00AE2CE1" w:rsidRDefault="00EC2472">
            <w:pPr>
              <w:pStyle w:val="NICETabletext"/>
              <w:rPr>
                <w:b/>
                <w:bCs/>
              </w:rPr>
            </w:pPr>
            <w:r w:rsidRPr="00AE2CE1">
              <w:rPr>
                <w:b/>
                <w:bCs/>
              </w:rPr>
              <w:t>Total cost</w:t>
            </w:r>
          </w:p>
        </w:tc>
        <w:tc>
          <w:tcPr>
            <w:tcW w:w="993" w:type="dxa"/>
          </w:tcPr>
          <w:p w14:paraId="1191C361" w14:textId="77777777" w:rsidR="00EC2472" w:rsidRPr="00AE2CE1" w:rsidRDefault="00EC2472">
            <w:pPr>
              <w:pStyle w:val="NICETabletext"/>
              <w:jc w:val="center"/>
              <w:rPr>
                <w:b/>
              </w:rPr>
            </w:pPr>
            <w:r w:rsidRPr="00AE2CE1">
              <w:rPr>
                <w:b/>
              </w:rPr>
              <w:t>£298.56</w:t>
            </w:r>
          </w:p>
        </w:tc>
        <w:tc>
          <w:tcPr>
            <w:tcW w:w="992" w:type="dxa"/>
          </w:tcPr>
          <w:p w14:paraId="20010960" w14:textId="77777777" w:rsidR="00EC2472" w:rsidRPr="00AE2CE1" w:rsidRDefault="00EC2472">
            <w:pPr>
              <w:pStyle w:val="NICETabletext"/>
              <w:jc w:val="center"/>
              <w:rPr>
                <w:b/>
              </w:rPr>
            </w:pPr>
            <w:r w:rsidRPr="00AE2CE1">
              <w:rPr>
                <w:b/>
              </w:rPr>
              <w:t>£298.56</w:t>
            </w:r>
          </w:p>
        </w:tc>
        <w:tc>
          <w:tcPr>
            <w:tcW w:w="5338" w:type="dxa"/>
            <w:gridSpan w:val="3"/>
          </w:tcPr>
          <w:p w14:paraId="62D176FF" w14:textId="77777777" w:rsidR="00EC2472" w:rsidRPr="00AE2CE1" w:rsidRDefault="00EC2472">
            <w:pPr>
              <w:pStyle w:val="NICETabletext"/>
            </w:pPr>
            <w:r w:rsidRPr="00AE2CE1">
              <w:t>N/A</w:t>
            </w:r>
          </w:p>
        </w:tc>
      </w:tr>
    </w:tbl>
    <w:p w14:paraId="5A4B5A31" w14:textId="77777777" w:rsidR="00EC2472" w:rsidRPr="00AE2CE1" w:rsidRDefault="00EC2472" w:rsidP="00EC2472">
      <w:pPr>
        <w:pStyle w:val="Footnotes"/>
      </w:pPr>
      <w:r w:rsidRPr="00AE2CE1">
        <w:t>Abbreviations: ECHO, echocardiogram; CT, Computerised Tomography; GP, general practitioner; NHS, National Health Service; PD, progressed disease; PF, progression-free; PSSRU, Personal Social Services Research Unit.</w:t>
      </w:r>
    </w:p>
    <w:p w14:paraId="17CFEF2E" w14:textId="2DFE9366" w:rsidR="00EC2472" w:rsidRPr="00AE2CE1" w:rsidRDefault="00EC2472" w:rsidP="00EC2472">
      <w:pPr>
        <w:pStyle w:val="Heading3"/>
      </w:pPr>
      <w:bookmarkStart w:id="692" w:name="_Toc98924677"/>
      <w:bookmarkStart w:id="693" w:name="_Ref99729355"/>
      <w:bookmarkStart w:id="694" w:name="_Toc127006454"/>
      <w:bookmarkStart w:id="695" w:name="_Toc129350901"/>
      <w:r w:rsidRPr="00AE2CE1">
        <w:t xml:space="preserve">Adverse </w:t>
      </w:r>
      <w:r w:rsidR="00D466A9">
        <w:t>event</w:t>
      </w:r>
      <w:r w:rsidR="00D466A9" w:rsidRPr="00AE2CE1">
        <w:t xml:space="preserve"> </w:t>
      </w:r>
      <w:r w:rsidRPr="00AE2CE1">
        <w:t>unit costs and resource use</w:t>
      </w:r>
      <w:bookmarkEnd w:id="692"/>
      <w:bookmarkEnd w:id="693"/>
      <w:bookmarkEnd w:id="694"/>
      <w:bookmarkEnd w:id="695"/>
    </w:p>
    <w:p w14:paraId="1F178856" w14:textId="50342994" w:rsidR="00EC2472" w:rsidRPr="00AE2CE1" w:rsidRDefault="00EC2472" w:rsidP="00EC2472">
      <w:r w:rsidRPr="00AE2CE1">
        <w:t xml:space="preserve">The unit costs associated with the management of AEs were sourced from the </w:t>
      </w:r>
      <w:r w:rsidRPr="00C67C0A">
        <w:t xml:space="preserve">NHS Cost Collection 2020/21 </w:t>
      </w:r>
      <w:r w:rsidRPr="00AE2CE1">
        <w:t>and PSSRU 2021.</w:t>
      </w:r>
      <w:r w:rsidRPr="00C67C0A">
        <w:rPr>
          <w:bCs/>
        </w:rPr>
        <w:fldChar w:fldCharType="begin"/>
      </w:r>
      <w:r w:rsidR="00CA6345">
        <w:rPr>
          <w:bCs/>
        </w:rPr>
        <w:instrText xml:space="preserve"> ADDIN ZOTERO_ITEM CSL_CITATION {"citationID":"NOo9eFgp","properties":{"formattedCitation":"\\super 185,186\\nosupersub{}","plainCitation":"185,186","noteIndex":0},"citationItems":[{"id":66296,"uris":["http://zotero.org/groups/4797619/items/ISTM2CGL"],"itemData":{"id":66296,"type":"post-weblog","language":"en-GB","title":"Unit Costs of Health and Social Care 2021 | PSSRU","URL":"https://www.pssru.ac.uk/project-pages/unit-costs/unit-costs-of-health-and-social-care-2021/","accessed":{"date-parts":[["2022",12,6]]}}},{"id":66408,"uris":["http://zotero.org/groups/4797619/items/TQVXWM6Q"],"itemData":{"id":66408,"type":"document","title":"National Cost Collection: National Schedule of NHS costs - Year 2020-21","URL":"https://www.england.nhs.uk/costing-in-the-nhs/national-cost-collection/","author":[{"family":"NHS","given":""}],"issued":{"date-parts":[["2021"]]}}}],"schema":"https://github.com/citation-style-language/schema/raw/master/csl-citation.json"} </w:instrText>
      </w:r>
      <w:r w:rsidRPr="00C67C0A">
        <w:rPr>
          <w:bCs/>
        </w:rPr>
        <w:fldChar w:fldCharType="separate"/>
      </w:r>
      <w:r w:rsidR="00CA6345" w:rsidRPr="00CA6345">
        <w:rPr>
          <w:rFonts w:cs="Arial"/>
          <w:szCs w:val="24"/>
          <w:vertAlign w:val="superscript"/>
        </w:rPr>
        <w:t>185,186</w:t>
      </w:r>
      <w:r w:rsidRPr="00C67C0A">
        <w:rPr>
          <w:bCs/>
        </w:rPr>
        <w:fldChar w:fldCharType="end"/>
      </w:r>
      <w:r w:rsidRPr="00AE2CE1">
        <w:t xml:space="preserve"> </w:t>
      </w:r>
      <w:r w:rsidRPr="003C648C">
        <w:rPr>
          <w:b/>
        </w:rPr>
        <w:fldChar w:fldCharType="begin"/>
      </w:r>
      <w:r w:rsidRPr="003C648C">
        <w:rPr>
          <w:b/>
        </w:rPr>
        <w:instrText xml:space="preserve"> REF _Ref96105357 \h </w:instrText>
      </w:r>
      <w:r w:rsidRPr="00AE2CE1">
        <w:rPr>
          <w:b/>
        </w:rPr>
        <w:instrText xml:space="preserve"> \* MERGEFORMAT </w:instrText>
      </w:r>
      <w:r w:rsidRPr="003C648C">
        <w:rPr>
          <w:b/>
        </w:rPr>
      </w:r>
      <w:r w:rsidRPr="003C648C">
        <w:rPr>
          <w:b/>
        </w:rPr>
        <w:fldChar w:fldCharType="separate"/>
      </w:r>
      <w:r w:rsidR="00145F42" w:rsidRPr="00145F42">
        <w:rPr>
          <w:b/>
        </w:rPr>
        <w:t>Table 57</w:t>
      </w:r>
      <w:r w:rsidRPr="003C648C">
        <w:rPr>
          <w:b/>
        </w:rPr>
        <w:fldChar w:fldCharType="end"/>
      </w:r>
      <w:r w:rsidRPr="00AE2CE1">
        <w:t xml:space="preserve"> summarises the costs associated with each adverse event. The unit cost of each adverse event is applied to the incidence rate</w:t>
      </w:r>
      <w:r w:rsidR="004B2418">
        <w:t xml:space="preserve"> of </w:t>
      </w:r>
      <w:r w:rsidR="003B72BE">
        <w:t>each</w:t>
      </w:r>
      <w:r w:rsidR="004B2418">
        <w:t xml:space="preserve"> AE</w:t>
      </w:r>
      <w:r w:rsidRPr="00AE2CE1">
        <w:t xml:space="preserve"> within each treatment </w:t>
      </w:r>
      <w:r w:rsidRPr="00C67C0A">
        <w:t xml:space="preserve">arm </w:t>
      </w:r>
      <w:r w:rsidRPr="00AE2CE1">
        <w:t xml:space="preserve">(as outlined in Section </w:t>
      </w:r>
      <w:r w:rsidRPr="00AE2CE1">
        <w:fldChar w:fldCharType="begin"/>
      </w:r>
      <w:r w:rsidRPr="00AE2CE1">
        <w:instrText xml:space="preserve"> REF _Ref99728632 \r \h </w:instrText>
      </w:r>
      <w:r w:rsidRPr="00AE2CE1">
        <w:rPr>
          <w:b/>
        </w:rPr>
        <w:instrText xml:space="preserve"> \* MERGEFORMAT </w:instrText>
      </w:r>
      <w:r w:rsidRPr="00AE2CE1">
        <w:fldChar w:fldCharType="separate"/>
      </w:r>
      <w:r w:rsidR="00145F42">
        <w:t>B.3.3.2.3</w:t>
      </w:r>
      <w:r w:rsidRPr="00AE2CE1">
        <w:fldChar w:fldCharType="end"/>
      </w:r>
      <w:r w:rsidRPr="00AE2CE1">
        <w:t xml:space="preserve"> and </w:t>
      </w:r>
      <w:r w:rsidRPr="003C648C">
        <w:rPr>
          <w:b/>
        </w:rPr>
        <w:fldChar w:fldCharType="begin"/>
      </w:r>
      <w:r w:rsidRPr="003C648C">
        <w:rPr>
          <w:b/>
        </w:rPr>
        <w:instrText xml:space="preserve"> REF _Ref96105137 \h </w:instrText>
      </w:r>
      <w:r w:rsidRPr="00AE2CE1">
        <w:rPr>
          <w:b/>
        </w:rPr>
        <w:instrText xml:space="preserve"> \* MERGEFORMAT </w:instrText>
      </w:r>
      <w:r w:rsidRPr="003C648C">
        <w:rPr>
          <w:b/>
        </w:rPr>
      </w:r>
      <w:r w:rsidRPr="003C648C">
        <w:rPr>
          <w:b/>
        </w:rPr>
        <w:fldChar w:fldCharType="separate"/>
      </w:r>
      <w:r w:rsidR="00145F42" w:rsidRPr="00145F42">
        <w:rPr>
          <w:b/>
        </w:rPr>
        <w:t>Table 41</w:t>
      </w:r>
      <w:r w:rsidRPr="003C648C">
        <w:rPr>
          <w:b/>
        </w:rPr>
        <w:fldChar w:fldCharType="end"/>
      </w:r>
      <w:r w:rsidRPr="00AE2CE1">
        <w:t>). The total weighted cost per treatment arm was calculated and applied as a one-off cost within the first cycle of the economic model as the greatest proportion of TEAEs in DESTINY-Breast0</w:t>
      </w:r>
      <w:r w:rsidRPr="00C67C0A">
        <w:t>4</w:t>
      </w:r>
      <w:r w:rsidRPr="00AE2CE1">
        <w:t xml:space="preserve"> occurred in the first cycle and subsequently declined through cycles (see Section </w:t>
      </w:r>
      <w:r w:rsidR="007C383A">
        <w:fldChar w:fldCharType="begin"/>
      </w:r>
      <w:r w:rsidR="007C383A">
        <w:instrText xml:space="preserve"> REF _Ref127007952 \n \h </w:instrText>
      </w:r>
      <w:r w:rsidR="007C383A">
        <w:fldChar w:fldCharType="separate"/>
      </w:r>
      <w:r w:rsidR="00145F42">
        <w:t>B.2.10.1</w:t>
      </w:r>
      <w:r w:rsidR="007C383A">
        <w:fldChar w:fldCharType="end"/>
      </w:r>
      <w:r w:rsidRPr="00AE2CE1">
        <w:t xml:space="preserve">). Only AEs of common terminology criteria for AEs (CTCAE) grade </w:t>
      </w:r>
      <w:r w:rsidRPr="00AE2CE1">
        <w:rPr>
          <w:rFonts w:cs="Arial"/>
        </w:rPr>
        <w:t>≥</w:t>
      </w:r>
      <w:r w:rsidRPr="00AE2CE1">
        <w:t xml:space="preserve">3 with </w:t>
      </w:r>
      <w:r w:rsidRPr="00C67C0A">
        <w:t xml:space="preserve">an </w:t>
      </w:r>
      <w:r w:rsidRPr="00AE2CE1">
        <w:t xml:space="preserve">incidence </w:t>
      </w:r>
      <w:r w:rsidRPr="00C67C0A">
        <w:t xml:space="preserve">of </w:t>
      </w:r>
      <w:r w:rsidRPr="00AE2CE1">
        <w:rPr>
          <w:rFonts w:cs="Arial"/>
        </w:rPr>
        <w:t>≥</w:t>
      </w:r>
      <w:r w:rsidRPr="00AE2CE1">
        <w:t xml:space="preserve">5% are included in the model, except for the AE of special interest, ILD, </w:t>
      </w:r>
      <w:r w:rsidRPr="00C67C0A">
        <w:t xml:space="preserve">which was included with an incidence rate of </w:t>
      </w:r>
      <w:r w:rsidRPr="00C67C0A">
        <w:rPr>
          <w:rFonts w:cs="Arial"/>
        </w:rPr>
        <w:t>≥</w:t>
      </w:r>
      <w:r w:rsidRPr="00C67C0A">
        <w:t>5%, regardless of CTCAE grade</w:t>
      </w:r>
      <w:r w:rsidRPr="00AE2CE1">
        <w:t>. It is assumed that all AEs included in the</w:t>
      </w:r>
      <w:r w:rsidRPr="00AE2CE1">
        <w:rPr>
          <w:b/>
        </w:rPr>
        <w:t xml:space="preserve"> </w:t>
      </w:r>
      <w:r w:rsidRPr="00AE2CE1">
        <w:rPr>
          <w:bCs/>
        </w:rPr>
        <w:t>mo</w:t>
      </w:r>
      <w:r w:rsidRPr="00AE2CE1">
        <w:t xml:space="preserve">del lead to hospitalisation as the grade requirement restricts AEs to serious AEs. The total costs associated with the AEs are shown in </w:t>
      </w:r>
      <w:r w:rsidRPr="003C648C">
        <w:rPr>
          <w:b/>
          <w:bCs/>
        </w:rPr>
        <w:fldChar w:fldCharType="begin"/>
      </w:r>
      <w:r w:rsidRPr="003C648C">
        <w:rPr>
          <w:b/>
          <w:bCs/>
        </w:rPr>
        <w:instrText xml:space="preserve"> REF _Ref125372845 \h </w:instrText>
      </w:r>
      <w:r w:rsidR="004F7BC0">
        <w:rPr>
          <w:b/>
          <w:bCs/>
        </w:rPr>
        <w:instrText xml:space="preserve"> \* MERGEFORMAT </w:instrText>
      </w:r>
      <w:r w:rsidRPr="003C648C">
        <w:rPr>
          <w:b/>
          <w:bCs/>
        </w:rPr>
      </w:r>
      <w:r w:rsidRPr="003C648C">
        <w:rPr>
          <w:b/>
          <w:bCs/>
        </w:rPr>
        <w:fldChar w:fldCharType="separate"/>
      </w:r>
      <w:r w:rsidR="00145F42" w:rsidRPr="00145F42">
        <w:rPr>
          <w:b/>
          <w:bCs/>
        </w:rPr>
        <w:t xml:space="preserve">Table </w:t>
      </w:r>
      <w:r w:rsidR="00145F42" w:rsidRPr="00145F42">
        <w:rPr>
          <w:b/>
          <w:bCs/>
          <w:noProof/>
        </w:rPr>
        <w:t>58</w:t>
      </w:r>
      <w:r w:rsidRPr="003C648C">
        <w:rPr>
          <w:b/>
          <w:bCs/>
        </w:rPr>
        <w:fldChar w:fldCharType="end"/>
      </w:r>
      <w:r w:rsidRPr="00AE2CE1">
        <w:t xml:space="preserve">. </w:t>
      </w:r>
    </w:p>
    <w:p w14:paraId="64D60FCD" w14:textId="6FEE06B2" w:rsidR="00EC2472" w:rsidRDefault="00EC2472" w:rsidP="00EC2472">
      <w:pPr>
        <w:pStyle w:val="Caption"/>
      </w:pPr>
      <w:bookmarkStart w:id="696" w:name="_Ref96105357"/>
      <w:bookmarkStart w:id="697" w:name="_Toc98924764"/>
      <w:bookmarkStart w:id="698" w:name="_Toc127006687"/>
      <w:bookmarkStart w:id="699" w:name="_Toc129351032"/>
      <w:r>
        <w:lastRenderedPageBreak/>
        <w:t xml:space="preserve">Table </w:t>
      </w:r>
      <w:r>
        <w:fldChar w:fldCharType="begin"/>
      </w:r>
      <w:r>
        <w:instrText>SEQ Table \* ARABIC</w:instrText>
      </w:r>
      <w:r>
        <w:fldChar w:fldCharType="separate"/>
      </w:r>
      <w:r w:rsidR="00145F42">
        <w:rPr>
          <w:noProof/>
        </w:rPr>
        <w:t>57</w:t>
      </w:r>
      <w:r>
        <w:fldChar w:fldCharType="end"/>
      </w:r>
      <w:bookmarkEnd w:id="696"/>
      <w:r>
        <w:t>: Adverse event costs included in the model</w:t>
      </w:r>
      <w:bookmarkEnd w:id="697"/>
      <w:bookmarkEnd w:id="698"/>
      <w:bookmarkEnd w:id="699"/>
    </w:p>
    <w:tbl>
      <w:tblPr>
        <w:tblStyle w:val="TableGrid"/>
        <w:tblW w:w="0" w:type="auto"/>
        <w:tblLook w:val="04A0" w:firstRow="1" w:lastRow="0" w:firstColumn="1" w:lastColumn="0" w:noHBand="0" w:noVBand="1"/>
      </w:tblPr>
      <w:tblGrid>
        <w:gridCol w:w="2405"/>
        <w:gridCol w:w="1701"/>
        <w:gridCol w:w="4911"/>
      </w:tblGrid>
      <w:tr w:rsidR="00EC2472" w14:paraId="66C5320C" w14:textId="77777777">
        <w:trPr>
          <w:tblHeader/>
        </w:trPr>
        <w:tc>
          <w:tcPr>
            <w:tcW w:w="2405" w:type="dxa"/>
            <w:shd w:val="clear" w:color="auto" w:fill="D9D9D9" w:themeFill="background1" w:themeFillShade="D9"/>
          </w:tcPr>
          <w:p w14:paraId="03290D09" w14:textId="77777777" w:rsidR="00EC2472" w:rsidRDefault="00EC2472">
            <w:pPr>
              <w:pStyle w:val="NICETableHeader"/>
              <w:keepNext w:val="0"/>
              <w:rPr>
                <w:lang w:val="en-US"/>
              </w:rPr>
            </w:pPr>
            <w:r>
              <w:rPr>
                <w:lang w:val="en-US"/>
              </w:rPr>
              <w:t>Adverse event</w:t>
            </w:r>
          </w:p>
        </w:tc>
        <w:tc>
          <w:tcPr>
            <w:tcW w:w="1701" w:type="dxa"/>
            <w:shd w:val="clear" w:color="auto" w:fill="D9D9D9" w:themeFill="background1" w:themeFillShade="D9"/>
          </w:tcPr>
          <w:p w14:paraId="58E5B26A" w14:textId="77777777" w:rsidR="00EC2472" w:rsidRDefault="00EC2472">
            <w:pPr>
              <w:pStyle w:val="NICETableHeader"/>
              <w:keepNext w:val="0"/>
              <w:jc w:val="center"/>
              <w:rPr>
                <w:lang w:val="en-US"/>
              </w:rPr>
            </w:pPr>
            <w:r>
              <w:rPr>
                <w:lang w:val="en-US"/>
              </w:rPr>
              <w:t>Cost per adverse event</w:t>
            </w:r>
          </w:p>
        </w:tc>
        <w:tc>
          <w:tcPr>
            <w:tcW w:w="4911" w:type="dxa"/>
            <w:shd w:val="clear" w:color="auto" w:fill="D9D9D9" w:themeFill="background1" w:themeFillShade="D9"/>
          </w:tcPr>
          <w:p w14:paraId="7EFA636C" w14:textId="77777777" w:rsidR="00EC2472" w:rsidRDefault="00EC2472">
            <w:pPr>
              <w:pStyle w:val="NICETableHeader"/>
              <w:keepNext w:val="0"/>
              <w:jc w:val="center"/>
              <w:rPr>
                <w:lang w:val="en-US"/>
              </w:rPr>
            </w:pPr>
            <w:r>
              <w:rPr>
                <w:lang w:val="en-US"/>
              </w:rPr>
              <w:t>Source</w:t>
            </w:r>
          </w:p>
        </w:tc>
      </w:tr>
      <w:tr w:rsidR="00EC2472" w:rsidRPr="00262AF6" w14:paraId="69BAC6BC" w14:textId="77777777">
        <w:trPr>
          <w:tblHeader/>
        </w:trPr>
        <w:tc>
          <w:tcPr>
            <w:tcW w:w="2405" w:type="dxa"/>
          </w:tcPr>
          <w:p w14:paraId="361DF477" w14:textId="77777777" w:rsidR="00EC2472" w:rsidRPr="00262AF6" w:rsidRDefault="00EC2472">
            <w:pPr>
              <w:pStyle w:val="NICETabletext"/>
              <w:keepNext w:val="0"/>
              <w:rPr>
                <w:szCs w:val="20"/>
              </w:rPr>
            </w:pPr>
            <w:r w:rsidRPr="00262AF6">
              <w:rPr>
                <w:szCs w:val="20"/>
              </w:rPr>
              <w:t>Leukopenia</w:t>
            </w:r>
          </w:p>
        </w:tc>
        <w:tc>
          <w:tcPr>
            <w:tcW w:w="1701" w:type="dxa"/>
          </w:tcPr>
          <w:p w14:paraId="3638479B" w14:textId="77777777" w:rsidR="00EC2472" w:rsidRPr="00C67C0A" w:rsidRDefault="00EC2472">
            <w:pPr>
              <w:pStyle w:val="NICETabletext"/>
              <w:keepNext w:val="0"/>
              <w:jc w:val="center"/>
              <w:rPr>
                <w:szCs w:val="20"/>
              </w:rPr>
            </w:pPr>
            <w:r w:rsidRPr="00C67C0A">
              <w:rPr>
                <w:szCs w:val="20"/>
              </w:rPr>
              <w:t>£761.01</w:t>
            </w:r>
          </w:p>
        </w:tc>
        <w:tc>
          <w:tcPr>
            <w:tcW w:w="4911" w:type="dxa"/>
          </w:tcPr>
          <w:p w14:paraId="281FDF00" w14:textId="77777777" w:rsidR="00EC2472" w:rsidRPr="00262AF6" w:rsidRDefault="00EC2472">
            <w:pPr>
              <w:pStyle w:val="NICETabletext"/>
              <w:keepNext w:val="0"/>
              <w:jc w:val="center"/>
            </w:pPr>
            <w:r w:rsidRPr="00262AF6">
              <w:t xml:space="preserve">NHS Cost Collection 20/21 – NES </w:t>
            </w:r>
            <w:r w:rsidRPr="00C67C0A">
              <w:t xml:space="preserve">– SA35A-E </w:t>
            </w:r>
            <w:r w:rsidRPr="00262AF6">
              <w:t>– Agranulocytosis*</w:t>
            </w:r>
          </w:p>
        </w:tc>
      </w:tr>
      <w:tr w:rsidR="00EC2472" w:rsidRPr="00262AF6" w14:paraId="2BC4ED5F" w14:textId="77777777">
        <w:trPr>
          <w:tblHeader/>
        </w:trPr>
        <w:tc>
          <w:tcPr>
            <w:tcW w:w="2405" w:type="dxa"/>
          </w:tcPr>
          <w:p w14:paraId="3D66FBEE" w14:textId="77777777" w:rsidR="00EC2472" w:rsidRPr="00262AF6" w:rsidRDefault="00EC2472">
            <w:pPr>
              <w:pStyle w:val="NICETabletext"/>
              <w:keepNext w:val="0"/>
              <w:rPr>
                <w:szCs w:val="20"/>
              </w:rPr>
            </w:pPr>
            <w:r w:rsidRPr="00262AF6">
              <w:rPr>
                <w:szCs w:val="20"/>
              </w:rPr>
              <w:t>Anaemia</w:t>
            </w:r>
          </w:p>
        </w:tc>
        <w:tc>
          <w:tcPr>
            <w:tcW w:w="1701" w:type="dxa"/>
          </w:tcPr>
          <w:p w14:paraId="32DBA6F0" w14:textId="77777777" w:rsidR="00EC2472" w:rsidRPr="00C67C0A" w:rsidRDefault="00EC2472">
            <w:pPr>
              <w:pStyle w:val="NICETabletext"/>
              <w:keepNext w:val="0"/>
              <w:jc w:val="center"/>
              <w:rPr>
                <w:szCs w:val="20"/>
              </w:rPr>
            </w:pPr>
            <w:r w:rsidRPr="00C67C0A">
              <w:rPr>
                <w:szCs w:val="20"/>
              </w:rPr>
              <w:t>£735.80</w:t>
            </w:r>
          </w:p>
        </w:tc>
        <w:tc>
          <w:tcPr>
            <w:tcW w:w="4911" w:type="dxa"/>
          </w:tcPr>
          <w:p w14:paraId="2FA017FC" w14:textId="77777777" w:rsidR="00EC2472" w:rsidRPr="00262AF6" w:rsidRDefault="00EC2472">
            <w:pPr>
              <w:pStyle w:val="NICETabletext"/>
              <w:keepNext w:val="0"/>
              <w:jc w:val="center"/>
            </w:pPr>
            <w:r w:rsidRPr="00262AF6">
              <w:t xml:space="preserve">NHS Cost Collection 20/21 – NES </w:t>
            </w:r>
            <w:r w:rsidRPr="00C67C0A">
              <w:t xml:space="preserve">– SA04G-L </w:t>
            </w:r>
            <w:r w:rsidRPr="00262AF6">
              <w:t>– Iron Deficiency Anaemia*</w:t>
            </w:r>
          </w:p>
        </w:tc>
      </w:tr>
      <w:tr w:rsidR="00EC2472" w:rsidRPr="00262AF6" w14:paraId="53974147" w14:textId="77777777">
        <w:trPr>
          <w:tblHeader/>
        </w:trPr>
        <w:tc>
          <w:tcPr>
            <w:tcW w:w="2405" w:type="dxa"/>
          </w:tcPr>
          <w:p w14:paraId="3CD332A6" w14:textId="77777777" w:rsidR="00EC2472" w:rsidRPr="00262AF6" w:rsidRDefault="00EC2472">
            <w:pPr>
              <w:pStyle w:val="NICETabletext"/>
              <w:keepNext w:val="0"/>
              <w:rPr>
                <w:szCs w:val="20"/>
              </w:rPr>
            </w:pPr>
            <w:r w:rsidRPr="00262AF6">
              <w:rPr>
                <w:szCs w:val="20"/>
              </w:rPr>
              <w:t xml:space="preserve">Neutropenia </w:t>
            </w:r>
          </w:p>
        </w:tc>
        <w:tc>
          <w:tcPr>
            <w:tcW w:w="1701" w:type="dxa"/>
          </w:tcPr>
          <w:p w14:paraId="0D4ADBAE" w14:textId="77777777" w:rsidR="00EC2472" w:rsidRPr="00C67C0A" w:rsidRDefault="00EC2472">
            <w:pPr>
              <w:pStyle w:val="NICETabletext"/>
              <w:keepNext w:val="0"/>
              <w:jc w:val="center"/>
              <w:rPr>
                <w:szCs w:val="20"/>
              </w:rPr>
            </w:pPr>
            <w:r w:rsidRPr="00C67C0A">
              <w:rPr>
                <w:szCs w:val="20"/>
              </w:rPr>
              <w:t>£761.01</w:t>
            </w:r>
          </w:p>
        </w:tc>
        <w:tc>
          <w:tcPr>
            <w:tcW w:w="4911" w:type="dxa"/>
          </w:tcPr>
          <w:p w14:paraId="0BDA5FBB" w14:textId="77777777" w:rsidR="00EC2472" w:rsidRPr="00262AF6" w:rsidRDefault="00EC2472">
            <w:pPr>
              <w:pStyle w:val="NICETabletext"/>
              <w:keepNext w:val="0"/>
              <w:jc w:val="center"/>
            </w:pPr>
            <w:r w:rsidRPr="00262AF6">
              <w:t xml:space="preserve">NHS Cost Collection 20/21 – NES </w:t>
            </w:r>
            <w:r w:rsidRPr="00C67C0A">
              <w:t xml:space="preserve">– SA35A-E </w:t>
            </w:r>
            <w:r w:rsidRPr="00262AF6">
              <w:t>– Agranulocytosis*</w:t>
            </w:r>
          </w:p>
        </w:tc>
      </w:tr>
      <w:tr w:rsidR="00EC2472" w:rsidRPr="00262AF6" w14:paraId="00974E27" w14:textId="77777777">
        <w:trPr>
          <w:tblHeader/>
        </w:trPr>
        <w:tc>
          <w:tcPr>
            <w:tcW w:w="2405" w:type="dxa"/>
          </w:tcPr>
          <w:p w14:paraId="6CB03168" w14:textId="77777777" w:rsidR="00EC2472" w:rsidRPr="00262AF6" w:rsidRDefault="00EC2472">
            <w:pPr>
              <w:pStyle w:val="NICETabletext"/>
              <w:keepNext w:val="0"/>
              <w:rPr>
                <w:szCs w:val="20"/>
              </w:rPr>
            </w:pPr>
            <w:r w:rsidRPr="00262AF6">
              <w:rPr>
                <w:szCs w:val="20"/>
              </w:rPr>
              <w:t>Thrombocytopenia</w:t>
            </w:r>
          </w:p>
        </w:tc>
        <w:tc>
          <w:tcPr>
            <w:tcW w:w="1701" w:type="dxa"/>
          </w:tcPr>
          <w:p w14:paraId="3E646335" w14:textId="77777777" w:rsidR="00EC2472" w:rsidRPr="00C67C0A" w:rsidRDefault="00EC2472">
            <w:pPr>
              <w:pStyle w:val="NICETabletext"/>
              <w:keepNext w:val="0"/>
              <w:jc w:val="center"/>
              <w:rPr>
                <w:szCs w:val="20"/>
              </w:rPr>
            </w:pPr>
            <w:r w:rsidRPr="00C67C0A">
              <w:rPr>
                <w:szCs w:val="20"/>
              </w:rPr>
              <w:t>£881.88</w:t>
            </w:r>
          </w:p>
        </w:tc>
        <w:tc>
          <w:tcPr>
            <w:tcW w:w="4911" w:type="dxa"/>
          </w:tcPr>
          <w:p w14:paraId="2C3ECEFB" w14:textId="77777777" w:rsidR="00EC2472" w:rsidRPr="00262AF6" w:rsidRDefault="00EC2472">
            <w:pPr>
              <w:pStyle w:val="NICETabletext"/>
              <w:keepNext w:val="0"/>
              <w:jc w:val="center"/>
            </w:pPr>
            <w:r w:rsidRPr="00262AF6">
              <w:t xml:space="preserve">NHS Cost Collection 20/21 – NES – </w:t>
            </w:r>
            <w:r w:rsidRPr="00C67C0A">
              <w:t xml:space="preserve">SA12G-K </w:t>
            </w:r>
            <w:r w:rsidRPr="00262AF6">
              <w:t>– Thrombocytopenia*</w:t>
            </w:r>
          </w:p>
        </w:tc>
      </w:tr>
      <w:tr w:rsidR="00EC2472" w:rsidRPr="00262AF6" w14:paraId="14BC0559" w14:textId="77777777">
        <w:trPr>
          <w:tblHeader/>
        </w:trPr>
        <w:tc>
          <w:tcPr>
            <w:tcW w:w="2405" w:type="dxa"/>
          </w:tcPr>
          <w:p w14:paraId="479DCEE9" w14:textId="77777777" w:rsidR="00EC2472" w:rsidRPr="00262AF6" w:rsidRDefault="00EC2472">
            <w:pPr>
              <w:pStyle w:val="NICETabletext"/>
              <w:keepNext w:val="0"/>
              <w:rPr>
                <w:szCs w:val="20"/>
              </w:rPr>
            </w:pPr>
            <w:r w:rsidRPr="00262AF6">
              <w:rPr>
                <w:szCs w:val="20"/>
              </w:rPr>
              <w:t>Fatigue</w:t>
            </w:r>
          </w:p>
        </w:tc>
        <w:tc>
          <w:tcPr>
            <w:tcW w:w="1701" w:type="dxa"/>
          </w:tcPr>
          <w:p w14:paraId="0C17A8F3" w14:textId="77777777" w:rsidR="00EC2472" w:rsidRPr="00C67C0A" w:rsidRDefault="00EC2472">
            <w:pPr>
              <w:pStyle w:val="NICETabletext"/>
              <w:keepNext w:val="0"/>
              <w:jc w:val="center"/>
              <w:rPr>
                <w:szCs w:val="20"/>
              </w:rPr>
            </w:pPr>
            <w:r w:rsidRPr="00C67C0A">
              <w:rPr>
                <w:szCs w:val="20"/>
              </w:rPr>
              <w:t>£41.00</w:t>
            </w:r>
          </w:p>
        </w:tc>
        <w:tc>
          <w:tcPr>
            <w:tcW w:w="4911" w:type="dxa"/>
          </w:tcPr>
          <w:p w14:paraId="02B92B3A" w14:textId="5FEB9D00" w:rsidR="00EC2472" w:rsidRPr="00262AF6" w:rsidRDefault="00EC2472">
            <w:pPr>
              <w:pStyle w:val="NICETabletext"/>
              <w:keepNext w:val="0"/>
              <w:jc w:val="center"/>
            </w:pPr>
            <w:r w:rsidRPr="00262AF6">
              <w:t xml:space="preserve">PSSRU 2020 Section 13&amp;14: 1 hour hospital nurse (band 5) visit </w:t>
            </w:r>
            <w:r w:rsidRPr="00C67C0A">
              <w:t>(Assumption from Hardy [2010]</w:t>
            </w:r>
            <w:r w:rsidRPr="00C67C0A">
              <w:fldChar w:fldCharType="begin"/>
            </w:r>
            <w:r w:rsidR="00CA6345">
              <w:instrText xml:space="preserve"> ADDIN ZOTERO_ITEM CSL_CITATION {"citationID":"w1YM8IQI","properties":{"formattedCitation":"\\super 187\\nosupersub{}","plainCitation":"187","noteIndex":0},"citationItems":[{"id":66403,"uris":["http://zotero.org/groups/4797619/items/AHMZVEJX"],"itemData":{"id":66403,"type":"article-journal","abstract":"Abstract Purpose: In advanced cancer, the prevalence of fatigue is high and can be related to treatment or disease. Methylphenidate hydrochloride (MPH) is a central nervous system stimulant that has been used to palliate fatigue. There is no standard dose for MPH when used for this indication; recommended doses range from 5?20?+?mg/d. Method: To identify a dose to test formally in a subsequent n-of-1 trial of fatigue, we recruited patients with advanced cancer and a fatigue score of 4 or more on a 10-point scale. Following a 3-day baseline assessment, each patient titrated MPH at doses ranging from 5?mg/d to 15?mg twice daily at 3-day intervals. In a daily diary, patients recorded measures of fatigue, depression, toxicity, and symptom control. Results: Ten patients provided consent, 9 completed 8 days and 5 received maximum dose at day 15. Three patients were unwilling to increase the dose to maximum levels as they were satisfied with the response at a lower dose. Across all patients, there was a pattern of rapidly improving fatigue and depression scores to day 9 (5?mg twice daily), with minimal improvement thereafter. Conclusion: The results indicate a dose of 5?mg twice daily for the definitive study. There was little correlation between performance status and maximum tolerated dose. No patient withdrew because of toxicity.","container-title":"Journal of Palliative Medicine","DOI":"10.1089/jpm.2010.0185","ISSN":"1096-6218","issue":"10","note":"publisher: Mary Ann Liebert, Inc., publishers","page":"1193-1197","title":"Pilot Study To Determine the Optimal Dose of Methylphenidate for an n-of-1 Trial for Fatigue in Patients with Cancer","volume":"13","author":[{"family":"Hardy","given":"Janet Rea"},{"family":"Carmont","given":"Sue-Ann S."},{"family":"O'Shea","given":"Angela"},{"family":"Vora","given":"Rohan"},{"family":"Schluter","given":"Philip"},{"family":"Nikles","given":"Catherine Jane"},{"family":"Mitchell","given":"Geoffrey Keith"}],"issued":{"date-parts":[["2010",10,1]]}}}],"schema":"https://github.com/citation-style-language/schema/raw/master/csl-citation.json"} </w:instrText>
            </w:r>
            <w:r w:rsidRPr="00C67C0A">
              <w:fldChar w:fldCharType="separate"/>
            </w:r>
            <w:r w:rsidR="00CA6345" w:rsidRPr="00CA6345">
              <w:rPr>
                <w:rFonts w:cs="Arial"/>
                <w:vertAlign w:val="superscript"/>
              </w:rPr>
              <w:t>187</w:t>
            </w:r>
            <w:r w:rsidRPr="00C67C0A">
              <w:fldChar w:fldCharType="end"/>
            </w:r>
            <w:r w:rsidRPr="00C67C0A">
              <w:t>)</w:t>
            </w:r>
          </w:p>
        </w:tc>
      </w:tr>
      <w:tr w:rsidR="00EC2472" w:rsidRPr="00262AF6" w14:paraId="6845B548" w14:textId="77777777">
        <w:trPr>
          <w:tblHeader/>
        </w:trPr>
        <w:tc>
          <w:tcPr>
            <w:tcW w:w="2405" w:type="dxa"/>
          </w:tcPr>
          <w:p w14:paraId="0C25E06F" w14:textId="77777777" w:rsidR="00EC2472" w:rsidRPr="00C67C0A" w:rsidRDefault="00EC2472">
            <w:pPr>
              <w:pStyle w:val="NICETabletext"/>
              <w:keepNext w:val="0"/>
              <w:rPr>
                <w:szCs w:val="20"/>
              </w:rPr>
            </w:pPr>
            <w:r w:rsidRPr="00C67C0A">
              <w:rPr>
                <w:szCs w:val="20"/>
              </w:rPr>
              <w:t>ALT increased</w:t>
            </w:r>
          </w:p>
        </w:tc>
        <w:tc>
          <w:tcPr>
            <w:tcW w:w="1701" w:type="dxa"/>
          </w:tcPr>
          <w:p w14:paraId="241FB62D" w14:textId="77777777" w:rsidR="00EC2472" w:rsidRPr="00C67C0A" w:rsidRDefault="00EC2472">
            <w:pPr>
              <w:pStyle w:val="NICETabletext"/>
              <w:keepNext w:val="0"/>
              <w:jc w:val="center"/>
              <w:rPr>
                <w:szCs w:val="20"/>
              </w:rPr>
            </w:pPr>
            <w:r w:rsidRPr="00C67C0A">
              <w:rPr>
                <w:szCs w:val="20"/>
              </w:rPr>
              <w:t>£745.27</w:t>
            </w:r>
          </w:p>
        </w:tc>
        <w:tc>
          <w:tcPr>
            <w:tcW w:w="4911" w:type="dxa"/>
          </w:tcPr>
          <w:p w14:paraId="6F9CAA7F" w14:textId="77777777" w:rsidR="00EC2472" w:rsidRPr="00C67C0A" w:rsidRDefault="00EC2472">
            <w:pPr>
              <w:pStyle w:val="NICETabletext"/>
              <w:keepNext w:val="0"/>
              <w:jc w:val="center"/>
            </w:pPr>
            <w:r w:rsidRPr="00C67C0A">
              <w:t>NHS Cost Collection 20/21 – NES – GC17A-K – Non-Malignant, Hepatobiliary or Pancreatic Disorders*</w:t>
            </w:r>
          </w:p>
        </w:tc>
      </w:tr>
      <w:tr w:rsidR="00EC2472" w:rsidRPr="00262AF6" w14:paraId="3423BA72" w14:textId="77777777">
        <w:trPr>
          <w:tblHeader/>
        </w:trPr>
        <w:tc>
          <w:tcPr>
            <w:tcW w:w="2405" w:type="dxa"/>
          </w:tcPr>
          <w:p w14:paraId="554881C4" w14:textId="77777777" w:rsidR="00EC2472" w:rsidRPr="00262AF6" w:rsidRDefault="00EC2472">
            <w:pPr>
              <w:pStyle w:val="NICETabletext"/>
              <w:keepNext w:val="0"/>
              <w:rPr>
                <w:szCs w:val="20"/>
                <w:lang w:val="en-US"/>
              </w:rPr>
            </w:pPr>
            <w:r w:rsidRPr="00262AF6">
              <w:rPr>
                <w:szCs w:val="20"/>
              </w:rPr>
              <w:t>Interstitial lung disease (any grade)</w:t>
            </w:r>
          </w:p>
        </w:tc>
        <w:tc>
          <w:tcPr>
            <w:tcW w:w="1701" w:type="dxa"/>
          </w:tcPr>
          <w:p w14:paraId="59A72AA5" w14:textId="77777777" w:rsidR="00EC2472" w:rsidRPr="00C67C0A" w:rsidRDefault="00EC2472">
            <w:pPr>
              <w:pStyle w:val="NICETabletext"/>
              <w:keepNext w:val="0"/>
              <w:jc w:val="center"/>
              <w:rPr>
                <w:szCs w:val="20"/>
              </w:rPr>
            </w:pPr>
            <w:r w:rsidRPr="00C67C0A">
              <w:rPr>
                <w:szCs w:val="20"/>
              </w:rPr>
              <w:t>£782.27</w:t>
            </w:r>
          </w:p>
        </w:tc>
        <w:tc>
          <w:tcPr>
            <w:tcW w:w="4911" w:type="dxa"/>
          </w:tcPr>
          <w:p w14:paraId="7D1BF21A" w14:textId="77777777" w:rsidR="00EC2472" w:rsidRPr="00262AF6" w:rsidRDefault="00EC2472">
            <w:pPr>
              <w:pStyle w:val="NICETabletext"/>
              <w:keepNext w:val="0"/>
              <w:jc w:val="center"/>
            </w:pPr>
            <w:r w:rsidRPr="00262AF6">
              <w:t xml:space="preserve">NHS Cost Collection 20/21 – </w:t>
            </w:r>
            <w:r w:rsidRPr="00C67C0A">
              <w:t xml:space="preserve">NES – DZ11K-V </w:t>
            </w:r>
            <w:r w:rsidRPr="00262AF6">
              <w:t>– Lobar, Atypical or Viral Pneumonia*</w:t>
            </w:r>
          </w:p>
        </w:tc>
      </w:tr>
    </w:tbl>
    <w:p w14:paraId="59B46993" w14:textId="77777777" w:rsidR="00EC2472" w:rsidRPr="0004524A" w:rsidRDefault="00EC2472" w:rsidP="00EC2472">
      <w:pPr>
        <w:pStyle w:val="Caption"/>
        <w:spacing w:before="0"/>
        <w:rPr>
          <w:b w:val="0"/>
          <w:bCs/>
          <w:sz w:val="18"/>
          <w:szCs w:val="14"/>
        </w:rPr>
      </w:pPr>
      <w:bookmarkStart w:id="700" w:name="_Ref96105422"/>
      <w:bookmarkStart w:id="701" w:name="_Toc98924765"/>
      <w:r w:rsidRPr="00262AF6">
        <w:rPr>
          <w:b w:val="0"/>
          <w:bCs/>
          <w:sz w:val="18"/>
          <w:szCs w:val="14"/>
        </w:rPr>
        <w:t xml:space="preserve">Note: *weighted average of costs based on the number of finished consultant episodes and the national </w:t>
      </w:r>
      <w:r w:rsidRPr="0004524A">
        <w:rPr>
          <w:b w:val="0"/>
          <w:bCs/>
          <w:sz w:val="18"/>
          <w:szCs w:val="14"/>
        </w:rPr>
        <w:t>average unit cost associated with each code.</w:t>
      </w:r>
      <w:r w:rsidRPr="0004524A">
        <w:rPr>
          <w:b w:val="0"/>
          <w:bCs/>
          <w:sz w:val="18"/>
          <w:szCs w:val="14"/>
        </w:rPr>
        <w:br/>
        <w:t>Abbreviations: ALT, alanine transaminase; NES, non-elective short stay; NHS, National Health Service.</w:t>
      </w:r>
    </w:p>
    <w:p w14:paraId="79431526" w14:textId="440689DA" w:rsidR="00EC2472" w:rsidRDefault="00EC2472" w:rsidP="00EC2472">
      <w:pPr>
        <w:pStyle w:val="Caption"/>
      </w:pPr>
      <w:bookmarkStart w:id="702" w:name="_Ref125372845"/>
      <w:bookmarkStart w:id="703" w:name="_Toc127006688"/>
      <w:bookmarkStart w:id="704" w:name="_Toc129351033"/>
      <w:r>
        <w:t xml:space="preserve">Table </w:t>
      </w:r>
      <w:r>
        <w:fldChar w:fldCharType="begin"/>
      </w:r>
      <w:r>
        <w:instrText>SEQ Table \* ARABIC</w:instrText>
      </w:r>
      <w:r>
        <w:fldChar w:fldCharType="separate"/>
      </w:r>
      <w:r w:rsidR="00145F42">
        <w:rPr>
          <w:noProof/>
        </w:rPr>
        <w:t>58</w:t>
      </w:r>
      <w:r>
        <w:fldChar w:fldCharType="end"/>
      </w:r>
      <w:bookmarkEnd w:id="700"/>
      <w:bookmarkEnd w:id="702"/>
      <w:r>
        <w:t>: Total adverse event costs</w:t>
      </w:r>
      <w:bookmarkEnd w:id="701"/>
      <w:bookmarkEnd w:id="703"/>
      <w:bookmarkEnd w:id="704"/>
    </w:p>
    <w:tbl>
      <w:tblPr>
        <w:tblStyle w:val="TableGrid"/>
        <w:tblW w:w="0" w:type="auto"/>
        <w:tblLook w:val="04A0" w:firstRow="1" w:lastRow="0" w:firstColumn="1" w:lastColumn="0" w:noHBand="0" w:noVBand="1"/>
      </w:tblPr>
      <w:tblGrid>
        <w:gridCol w:w="4508"/>
        <w:gridCol w:w="4509"/>
      </w:tblGrid>
      <w:tr w:rsidR="00EC2472" w14:paraId="2ECC0309" w14:textId="77777777">
        <w:tc>
          <w:tcPr>
            <w:tcW w:w="4508" w:type="dxa"/>
            <w:shd w:val="clear" w:color="auto" w:fill="D9D9D9" w:themeFill="background1" w:themeFillShade="D9"/>
          </w:tcPr>
          <w:p w14:paraId="1D8F5076" w14:textId="77777777" w:rsidR="00EC2472" w:rsidRDefault="00EC2472">
            <w:pPr>
              <w:pStyle w:val="NICETableHeader"/>
              <w:rPr>
                <w:lang w:val="en-US"/>
              </w:rPr>
            </w:pPr>
            <w:r>
              <w:rPr>
                <w:lang w:val="en-US"/>
              </w:rPr>
              <w:t>Treatment</w:t>
            </w:r>
          </w:p>
        </w:tc>
        <w:tc>
          <w:tcPr>
            <w:tcW w:w="4509" w:type="dxa"/>
            <w:shd w:val="clear" w:color="auto" w:fill="D9D9D9" w:themeFill="background1" w:themeFillShade="D9"/>
          </w:tcPr>
          <w:p w14:paraId="1E0E89DF" w14:textId="77777777" w:rsidR="00EC2472" w:rsidRDefault="00EC2472">
            <w:pPr>
              <w:pStyle w:val="NICETableHeader"/>
              <w:jc w:val="center"/>
              <w:rPr>
                <w:lang w:val="en-US"/>
              </w:rPr>
            </w:pPr>
            <w:r>
              <w:rPr>
                <w:lang w:val="en-US"/>
              </w:rPr>
              <w:t>Total cost</w:t>
            </w:r>
          </w:p>
        </w:tc>
      </w:tr>
      <w:tr w:rsidR="00EC2472" w:rsidRPr="00262AF6" w14:paraId="52693A68" w14:textId="77777777">
        <w:tc>
          <w:tcPr>
            <w:tcW w:w="4508" w:type="dxa"/>
          </w:tcPr>
          <w:p w14:paraId="639D2DA2" w14:textId="77777777" w:rsidR="00EC2472" w:rsidRPr="00262AF6" w:rsidRDefault="00EC2472">
            <w:pPr>
              <w:pStyle w:val="NICETabletext"/>
              <w:rPr>
                <w:lang w:val="en-US"/>
              </w:rPr>
            </w:pPr>
            <w:r w:rsidRPr="00262AF6">
              <w:rPr>
                <w:lang w:val="en-US"/>
              </w:rPr>
              <w:t>T-DXd</w:t>
            </w:r>
          </w:p>
        </w:tc>
        <w:tc>
          <w:tcPr>
            <w:tcW w:w="4509" w:type="dxa"/>
          </w:tcPr>
          <w:p w14:paraId="1FEC96FD" w14:textId="4E00DC91" w:rsidR="00EC2472" w:rsidRPr="00294FDC" w:rsidRDefault="00294FDC">
            <w:pPr>
              <w:pStyle w:val="NICETabletext"/>
              <w:jc w:val="center"/>
              <w:rPr>
                <w:color w:val="000000"/>
                <w:highlight w:val="black"/>
                <w:lang w:val="en-US"/>
              </w:rPr>
            </w:pPr>
            <w:r w:rsidRPr="00294FDC">
              <w:rPr>
                <w:color w:val="000000"/>
                <w:highlight w:val="black"/>
                <w:lang w:val="en-US"/>
              </w:rPr>
              <w:t>xxxxxxx</w:t>
            </w:r>
          </w:p>
        </w:tc>
      </w:tr>
      <w:tr w:rsidR="00EC2472" w:rsidRPr="00262AF6" w14:paraId="1BA2D07B" w14:textId="77777777">
        <w:tc>
          <w:tcPr>
            <w:tcW w:w="4508" w:type="dxa"/>
          </w:tcPr>
          <w:p w14:paraId="29F28119" w14:textId="77777777" w:rsidR="00EC2472" w:rsidRPr="00262AF6" w:rsidRDefault="00EC2472">
            <w:pPr>
              <w:pStyle w:val="NICETabletext"/>
              <w:keepNext w:val="0"/>
              <w:rPr>
                <w:lang w:val="en-US"/>
              </w:rPr>
            </w:pPr>
            <w:r w:rsidRPr="00262AF6">
              <w:rPr>
                <w:lang w:val="en-US"/>
              </w:rPr>
              <w:t>TPC</w:t>
            </w:r>
          </w:p>
        </w:tc>
        <w:tc>
          <w:tcPr>
            <w:tcW w:w="4509" w:type="dxa"/>
          </w:tcPr>
          <w:p w14:paraId="574F6356" w14:textId="1BB8D109" w:rsidR="00EC2472" w:rsidRPr="00294FDC" w:rsidRDefault="00294FDC">
            <w:pPr>
              <w:pStyle w:val="NICETabletext"/>
              <w:jc w:val="center"/>
              <w:rPr>
                <w:color w:val="000000"/>
                <w:highlight w:val="black"/>
                <w:lang w:val="en-US"/>
              </w:rPr>
            </w:pPr>
            <w:r w:rsidRPr="00294FDC">
              <w:rPr>
                <w:color w:val="000000"/>
                <w:highlight w:val="black"/>
                <w:lang w:val="en-US"/>
              </w:rPr>
              <w:t>xxxxxxx</w:t>
            </w:r>
          </w:p>
        </w:tc>
      </w:tr>
    </w:tbl>
    <w:p w14:paraId="5024CA49" w14:textId="77777777" w:rsidR="00EC2472" w:rsidRPr="00C67C0A" w:rsidRDefault="00EC2472" w:rsidP="00EC2472">
      <w:pPr>
        <w:pStyle w:val="NICElegend"/>
      </w:pPr>
      <w:bookmarkStart w:id="705" w:name="_Toc98924678"/>
      <w:r w:rsidRPr="00C67C0A">
        <w:t>Abbreviations: T-DXd, trastuzumab deruxtecan; TPC, treatment of physician’s choice.</w:t>
      </w:r>
    </w:p>
    <w:p w14:paraId="2E7136ED" w14:textId="77777777" w:rsidR="00EC2472" w:rsidRPr="00546A80" w:rsidRDefault="00EC2472" w:rsidP="00EC2472">
      <w:pPr>
        <w:pStyle w:val="Heading3"/>
      </w:pPr>
      <w:bookmarkStart w:id="706" w:name="_Toc127006455"/>
      <w:bookmarkStart w:id="707" w:name="_Toc127006456"/>
      <w:bookmarkStart w:id="708" w:name="_Toc127006457"/>
      <w:bookmarkStart w:id="709" w:name="_Toc127006458"/>
      <w:bookmarkStart w:id="710" w:name="_Toc127006459"/>
      <w:bookmarkStart w:id="711" w:name="_Toc127006460"/>
      <w:bookmarkStart w:id="712" w:name="_Toc127006461"/>
      <w:bookmarkStart w:id="713" w:name="_Toc127006462"/>
      <w:bookmarkStart w:id="714" w:name="_Toc127006548"/>
      <w:bookmarkStart w:id="715" w:name="_Toc127006549"/>
      <w:bookmarkStart w:id="716" w:name="_Toc127006550"/>
      <w:bookmarkStart w:id="717" w:name="_Toc127006551"/>
      <w:bookmarkStart w:id="718" w:name="_Toc127006575"/>
      <w:bookmarkStart w:id="719" w:name="_Toc127006576"/>
      <w:bookmarkStart w:id="720" w:name="_Toc127006577"/>
      <w:bookmarkStart w:id="721" w:name="_Toc127006578"/>
      <w:bookmarkStart w:id="722" w:name="_Toc127006580"/>
      <w:bookmarkStart w:id="723" w:name="_Ref127008743"/>
      <w:bookmarkStart w:id="724" w:name="_Toc129350902"/>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r w:rsidRPr="00546A80">
        <w:t>Miscellaneous unit costs and resource use</w:t>
      </w:r>
      <w:bookmarkEnd w:id="722"/>
      <w:bookmarkEnd w:id="723"/>
      <w:bookmarkEnd w:id="724"/>
    </w:p>
    <w:p w14:paraId="4854E4DC" w14:textId="77777777" w:rsidR="00EC2472" w:rsidRDefault="00EC2472" w:rsidP="00EC2472">
      <w:pPr>
        <w:pStyle w:val="Heading4"/>
      </w:pPr>
      <w:r>
        <w:t>Subsequent treatments</w:t>
      </w:r>
    </w:p>
    <w:p w14:paraId="7BDC9FB0" w14:textId="2CF0297B" w:rsidR="00EC2472" w:rsidRDefault="00EC2472" w:rsidP="00EC2472">
      <w:pPr>
        <w:pStyle w:val="Body"/>
      </w:pPr>
      <w:r w:rsidRPr="007A2208">
        <w:t>Subsequent treatment costs were included in the model as an average cost per patient applied as a one-off cost to patients leaving the ‘</w:t>
      </w:r>
      <w:r w:rsidRPr="007A2208">
        <w:rPr>
          <w:i/>
        </w:rPr>
        <w:t>progression-</w:t>
      </w:r>
      <w:r w:rsidRPr="007A2208">
        <w:rPr>
          <w:i/>
          <w:iCs/>
        </w:rPr>
        <w:t>free’</w:t>
      </w:r>
      <w:r w:rsidRPr="007A2208">
        <w:t xml:space="preserve"> health state. </w:t>
      </w:r>
      <w:r w:rsidRPr="00A07F84">
        <w:t xml:space="preserve">In the base case, the distribution of subsequent treatments is </w:t>
      </w:r>
      <w:r w:rsidR="00614ABE">
        <w:t>consistent</w:t>
      </w:r>
      <w:r w:rsidR="00614ABE" w:rsidRPr="00A07F84">
        <w:t xml:space="preserve"> </w:t>
      </w:r>
      <w:r w:rsidRPr="00A07F84">
        <w:t>with the treatments received in DESTINY-Breast04 in each treatment arm to align modelled costs with efficacy. The cost of subsequent treatments is modelled as a weighted distribution of these treatments, aligning with the methods used in TA862</w:t>
      </w:r>
      <w:r w:rsidR="009020D4">
        <w:t>.</w:t>
      </w:r>
      <w:r w:rsidRPr="00A07F84">
        <w:fldChar w:fldCharType="begin"/>
      </w:r>
      <w:r w:rsidR="00CA6345">
        <w:instrText xml:space="preserve"> ADDIN ZOTERO_ITEM CSL_CITATION {"citationID":"rgmwief5","properties":{"formattedCitation":"\\super 5\\nosupersub{}","plainCitation":"5","noteIndex":0},"citationItems":[{"id":66214,"uris":["http://zotero.org/groups/4797619/items/H2PQC2GH"],"itemData":{"id":66214,"type":"webpage","abstract":"Trastuzumab deruxtecan for treating HER2-positive unresectable or metastatic breast cancer after trastuzumab and a taxane [TA862]","language":"eng","note":"publisher: NICE","title":"Trastuzumab deruxtecan for treating HER2-positive unresectable or metastatic breast cancer after 1 or more anti-HER2 therapies | NICE [TA862]","URL":"https://www.nice.org.uk/guidance/indevelopment/gid-ta10804/documents","author":[{"family":"NICE","given":""}],"accessed":{"date-parts":[["2023",2,5]]},"issued":{"date-parts":[["2023",2]]}}}],"schema":"https://github.com/citation-style-language/schema/raw/master/csl-citation.json"} </w:instrText>
      </w:r>
      <w:r w:rsidRPr="00A07F84">
        <w:fldChar w:fldCharType="separate"/>
      </w:r>
      <w:r w:rsidR="00FD57F4" w:rsidRPr="00FD57F4">
        <w:rPr>
          <w:rFonts w:cs="Arial"/>
          <w:szCs w:val="24"/>
          <w:vertAlign w:val="superscript"/>
        </w:rPr>
        <w:t>5</w:t>
      </w:r>
      <w:r w:rsidRPr="00A07F84">
        <w:fldChar w:fldCharType="end"/>
      </w:r>
      <w:r w:rsidRPr="00A07F84">
        <w:t xml:space="preserve"> </w:t>
      </w:r>
      <w:r w:rsidR="009020D4">
        <w:t xml:space="preserve">The duration </w:t>
      </w:r>
      <w:r w:rsidR="001D22F0">
        <w:t xml:space="preserve">for which </w:t>
      </w:r>
      <w:r w:rsidR="009020D4">
        <w:t>patients are treated for</w:t>
      </w:r>
      <w:r w:rsidR="00675930">
        <w:t>, post-progression,</w:t>
      </w:r>
      <w:r w:rsidR="009020D4">
        <w:t xml:space="preserve"> is the </w:t>
      </w:r>
      <w:r w:rsidR="005D7260">
        <w:t>difference between median PFS2 and median PFS</w:t>
      </w:r>
      <w:r w:rsidR="00675930">
        <w:t xml:space="preserve"> from DESTINY-Breast04</w:t>
      </w:r>
      <w:r w:rsidR="00D94FAA">
        <w:t xml:space="preserve"> which may be considered a proxy for time on next treatment</w:t>
      </w:r>
      <w:r w:rsidR="00675930">
        <w:t>; a weighted</w:t>
      </w:r>
      <w:r w:rsidR="009020D4">
        <w:t xml:space="preserve"> </w:t>
      </w:r>
      <w:r w:rsidR="005D7260">
        <w:t xml:space="preserve">average </w:t>
      </w:r>
      <w:r w:rsidR="000062D9">
        <w:t xml:space="preserve">of </w:t>
      </w:r>
      <w:r w:rsidR="00294FDC" w:rsidRPr="00294FDC">
        <w:rPr>
          <w:color w:val="000000"/>
          <w:highlight w:val="black"/>
        </w:rPr>
        <w:t>xxxx</w:t>
      </w:r>
      <w:r w:rsidR="000062D9">
        <w:t xml:space="preserve"> months </w:t>
      </w:r>
      <w:r w:rsidR="00675930">
        <w:t xml:space="preserve">is calculated using the number of patients in each </w:t>
      </w:r>
      <w:r w:rsidR="009020D4">
        <w:t>treatment arm</w:t>
      </w:r>
      <w:r w:rsidR="005D7260">
        <w:t>.</w:t>
      </w:r>
      <w:r w:rsidR="000F2549">
        <w:fldChar w:fldCharType="begin"/>
      </w:r>
      <w:r w:rsidR="00CA6345">
        <w:instrText xml:space="preserve"> ADDIN ZOTERO_ITEM CSL_CITATION {"citationID":"bemDp3kp","properties":{"formattedCitation":"\\super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000F2549">
        <w:fldChar w:fldCharType="separate"/>
      </w:r>
      <w:r w:rsidR="00FD57F4" w:rsidRPr="00FD57F4">
        <w:rPr>
          <w:rFonts w:cs="Arial"/>
          <w:szCs w:val="24"/>
          <w:vertAlign w:val="superscript"/>
        </w:rPr>
        <w:t>7</w:t>
      </w:r>
      <w:r w:rsidR="000F2549">
        <w:fldChar w:fldCharType="end"/>
      </w:r>
      <w:r w:rsidRPr="007A2208">
        <w:t xml:space="preserve"> </w:t>
      </w:r>
      <w:r w:rsidR="00675930">
        <w:t xml:space="preserve">The duration of subsequent treatment is presented in </w:t>
      </w:r>
      <w:r w:rsidR="000062D9" w:rsidRPr="003C648C">
        <w:rPr>
          <w:b/>
          <w:bCs/>
        </w:rPr>
        <w:fldChar w:fldCharType="begin"/>
      </w:r>
      <w:r w:rsidR="000062D9" w:rsidRPr="003C648C">
        <w:rPr>
          <w:b/>
          <w:bCs/>
        </w:rPr>
        <w:instrText xml:space="preserve"> REF _Ref129000860 \h </w:instrText>
      </w:r>
      <w:r w:rsidR="000062D9">
        <w:rPr>
          <w:b/>
          <w:bCs/>
        </w:rPr>
        <w:instrText xml:space="preserve"> \* MERGEFORMAT </w:instrText>
      </w:r>
      <w:r w:rsidR="000062D9" w:rsidRPr="003C648C">
        <w:rPr>
          <w:b/>
          <w:bCs/>
        </w:rPr>
      </w:r>
      <w:r w:rsidR="000062D9" w:rsidRPr="003C648C">
        <w:rPr>
          <w:b/>
          <w:bCs/>
        </w:rPr>
        <w:fldChar w:fldCharType="separate"/>
      </w:r>
      <w:r w:rsidR="00145F42" w:rsidRPr="00145F42">
        <w:rPr>
          <w:b/>
          <w:bCs/>
        </w:rPr>
        <w:t xml:space="preserve">Table </w:t>
      </w:r>
      <w:r w:rsidR="00145F42" w:rsidRPr="00145F42">
        <w:rPr>
          <w:b/>
          <w:bCs/>
          <w:noProof/>
        </w:rPr>
        <w:t>59</w:t>
      </w:r>
      <w:r w:rsidR="000062D9" w:rsidRPr="003C648C">
        <w:rPr>
          <w:b/>
          <w:bCs/>
        </w:rPr>
        <w:fldChar w:fldCharType="end"/>
      </w:r>
      <w:r w:rsidR="000062D9">
        <w:t>.</w:t>
      </w:r>
    </w:p>
    <w:p w14:paraId="6BBB6E8B" w14:textId="0B3AFDF3" w:rsidR="00A80FB2" w:rsidRDefault="00A80FB2" w:rsidP="003C648C">
      <w:pPr>
        <w:pStyle w:val="Caption"/>
      </w:pPr>
      <w:bookmarkStart w:id="725" w:name="_Ref129000860"/>
      <w:bookmarkStart w:id="726" w:name="_Toc129351034"/>
      <w:r>
        <w:lastRenderedPageBreak/>
        <w:t xml:space="preserve">Table </w:t>
      </w:r>
      <w:fldSimple w:instr=" SEQ Table \* ARABIC ">
        <w:r w:rsidR="00145F42">
          <w:rPr>
            <w:noProof/>
          </w:rPr>
          <w:t>59</w:t>
        </w:r>
      </w:fldSimple>
      <w:bookmarkEnd w:id="725"/>
      <w:r>
        <w:t xml:space="preserve">: Weighted median duration of subsequent treatment </w:t>
      </w:r>
      <w:r w:rsidRPr="00054570">
        <w:t xml:space="preserve">| </w:t>
      </w:r>
      <w:r>
        <w:rPr>
          <w:noProof/>
        </w:rPr>
        <w:t>FAS</w:t>
      </w:r>
      <w:bookmarkEnd w:id="726"/>
    </w:p>
    <w:tbl>
      <w:tblPr>
        <w:tblW w:w="9017" w:type="dxa"/>
        <w:tblLayout w:type="fixed"/>
        <w:tblLook w:val="04A0" w:firstRow="1" w:lastRow="0" w:firstColumn="1" w:lastColumn="0" w:noHBand="0" w:noVBand="1"/>
      </w:tblPr>
      <w:tblGrid>
        <w:gridCol w:w="1502"/>
        <w:gridCol w:w="1503"/>
        <w:gridCol w:w="1503"/>
        <w:gridCol w:w="1503"/>
        <w:gridCol w:w="1503"/>
        <w:gridCol w:w="1503"/>
      </w:tblGrid>
      <w:tr w:rsidR="00A80FB2" w:rsidRPr="00675930" w14:paraId="3914A55D" w14:textId="77777777" w:rsidTr="003C648C">
        <w:trPr>
          <w:trHeight w:val="900"/>
        </w:trPr>
        <w:tc>
          <w:tcPr>
            <w:tcW w:w="1502"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CC2329B" w14:textId="77777777" w:rsidR="00675930" w:rsidRPr="003C648C" w:rsidRDefault="00675930" w:rsidP="003C648C">
            <w:pPr>
              <w:pStyle w:val="Tablebody"/>
              <w:keepNext/>
              <w:rPr>
                <w:b/>
                <w:bCs/>
                <w:lang w:eastAsia="en-GB"/>
              </w:rPr>
            </w:pPr>
            <w:r w:rsidRPr="003C648C">
              <w:rPr>
                <w:b/>
                <w:bCs/>
                <w:lang w:eastAsia="en-GB"/>
              </w:rPr>
              <w:t>Treatment</w:t>
            </w:r>
          </w:p>
        </w:tc>
        <w:tc>
          <w:tcPr>
            <w:tcW w:w="1503" w:type="dxa"/>
            <w:tcBorders>
              <w:top w:val="single" w:sz="4" w:space="0" w:color="auto"/>
              <w:left w:val="nil"/>
              <w:bottom w:val="single" w:sz="4" w:space="0" w:color="auto"/>
              <w:right w:val="single" w:sz="4" w:space="0" w:color="auto"/>
            </w:tcBorders>
            <w:shd w:val="clear" w:color="auto" w:fill="E7E6E6" w:themeFill="background2"/>
            <w:vAlign w:val="center"/>
            <w:hideMark/>
          </w:tcPr>
          <w:p w14:paraId="111C2952" w14:textId="77777777" w:rsidR="00675930" w:rsidRPr="003C648C" w:rsidRDefault="00675930" w:rsidP="003C648C">
            <w:pPr>
              <w:pStyle w:val="Tablebody"/>
              <w:keepNext/>
              <w:rPr>
                <w:b/>
                <w:bCs/>
                <w:lang w:eastAsia="en-GB"/>
              </w:rPr>
            </w:pPr>
            <w:r w:rsidRPr="003C648C">
              <w:rPr>
                <w:b/>
                <w:bCs/>
                <w:lang w:eastAsia="en-GB"/>
              </w:rPr>
              <w:t>n</w:t>
            </w:r>
          </w:p>
        </w:tc>
        <w:tc>
          <w:tcPr>
            <w:tcW w:w="1503" w:type="dxa"/>
            <w:tcBorders>
              <w:top w:val="single" w:sz="4" w:space="0" w:color="auto"/>
              <w:left w:val="nil"/>
              <w:bottom w:val="single" w:sz="4" w:space="0" w:color="auto"/>
              <w:right w:val="single" w:sz="4" w:space="0" w:color="auto"/>
            </w:tcBorders>
            <w:shd w:val="clear" w:color="auto" w:fill="E7E6E6" w:themeFill="background2"/>
            <w:vAlign w:val="center"/>
            <w:hideMark/>
          </w:tcPr>
          <w:p w14:paraId="0069ED6F" w14:textId="2D43ABDC" w:rsidR="00675930" w:rsidRPr="003C648C" w:rsidRDefault="00A80FB2" w:rsidP="003C648C">
            <w:pPr>
              <w:pStyle w:val="Tablebody"/>
              <w:keepNext/>
              <w:rPr>
                <w:b/>
                <w:bCs/>
                <w:lang w:eastAsia="en-GB"/>
              </w:rPr>
            </w:pPr>
            <w:r w:rsidRPr="003C648C">
              <w:rPr>
                <w:b/>
                <w:bCs/>
                <w:lang w:eastAsia="en-GB"/>
              </w:rPr>
              <w:t xml:space="preserve">Median </w:t>
            </w:r>
            <w:r w:rsidR="00675930" w:rsidRPr="003C648C">
              <w:rPr>
                <w:b/>
                <w:bCs/>
                <w:lang w:eastAsia="en-GB"/>
              </w:rPr>
              <w:t>PFS</w:t>
            </w:r>
            <w:r w:rsidRPr="003C648C">
              <w:rPr>
                <w:b/>
                <w:bCs/>
                <w:lang w:eastAsia="en-GB"/>
              </w:rPr>
              <w:t xml:space="preserve"> (months)</w:t>
            </w:r>
          </w:p>
        </w:tc>
        <w:tc>
          <w:tcPr>
            <w:tcW w:w="1503" w:type="dxa"/>
            <w:tcBorders>
              <w:top w:val="single" w:sz="4" w:space="0" w:color="auto"/>
              <w:left w:val="nil"/>
              <w:bottom w:val="single" w:sz="4" w:space="0" w:color="auto"/>
              <w:right w:val="single" w:sz="4" w:space="0" w:color="auto"/>
            </w:tcBorders>
            <w:shd w:val="clear" w:color="auto" w:fill="E7E6E6" w:themeFill="background2"/>
            <w:vAlign w:val="center"/>
            <w:hideMark/>
          </w:tcPr>
          <w:p w14:paraId="7AC6691A" w14:textId="284A3024" w:rsidR="00675930" w:rsidRPr="003C648C" w:rsidRDefault="00A80FB2" w:rsidP="003C648C">
            <w:pPr>
              <w:pStyle w:val="Tablebody"/>
              <w:keepNext/>
              <w:rPr>
                <w:b/>
                <w:bCs/>
                <w:lang w:eastAsia="en-GB"/>
              </w:rPr>
            </w:pPr>
            <w:r w:rsidRPr="003C648C">
              <w:rPr>
                <w:b/>
                <w:bCs/>
                <w:lang w:eastAsia="en-GB"/>
              </w:rPr>
              <w:t xml:space="preserve">Median </w:t>
            </w:r>
            <w:r w:rsidR="00675930" w:rsidRPr="003C648C">
              <w:rPr>
                <w:b/>
                <w:bCs/>
                <w:lang w:eastAsia="en-GB"/>
              </w:rPr>
              <w:t>PFS2</w:t>
            </w:r>
            <w:r w:rsidRPr="003C648C">
              <w:rPr>
                <w:b/>
                <w:bCs/>
                <w:lang w:eastAsia="en-GB"/>
              </w:rPr>
              <w:t xml:space="preserve"> (months)</w:t>
            </w:r>
          </w:p>
        </w:tc>
        <w:tc>
          <w:tcPr>
            <w:tcW w:w="1503" w:type="dxa"/>
            <w:tcBorders>
              <w:top w:val="single" w:sz="4" w:space="0" w:color="auto"/>
              <w:left w:val="nil"/>
              <w:bottom w:val="single" w:sz="4" w:space="0" w:color="auto"/>
              <w:right w:val="single" w:sz="4" w:space="0" w:color="auto"/>
            </w:tcBorders>
            <w:shd w:val="clear" w:color="auto" w:fill="E7E6E6" w:themeFill="background2"/>
            <w:vAlign w:val="center"/>
            <w:hideMark/>
          </w:tcPr>
          <w:p w14:paraId="28BB09FA" w14:textId="11B105DE" w:rsidR="00675930" w:rsidRPr="003C648C" w:rsidRDefault="00675930" w:rsidP="003C648C">
            <w:pPr>
              <w:pStyle w:val="Tablebody"/>
              <w:keepNext/>
              <w:rPr>
                <w:b/>
                <w:bCs/>
                <w:lang w:eastAsia="en-GB"/>
              </w:rPr>
            </w:pPr>
            <w:r w:rsidRPr="003C648C">
              <w:rPr>
                <w:b/>
                <w:bCs/>
                <w:lang w:eastAsia="en-GB"/>
              </w:rPr>
              <w:t>PFS2</w:t>
            </w:r>
            <w:r w:rsidR="00A80FB2" w:rsidRPr="003C648C">
              <w:rPr>
                <w:b/>
                <w:bCs/>
                <w:lang w:eastAsia="en-GB"/>
              </w:rPr>
              <w:t xml:space="preserve"> – </w:t>
            </w:r>
            <w:r w:rsidRPr="003C648C">
              <w:rPr>
                <w:b/>
                <w:bCs/>
                <w:lang w:eastAsia="en-GB"/>
              </w:rPr>
              <w:t>PFS</w:t>
            </w:r>
            <w:r w:rsidR="00A80FB2" w:rsidRPr="003C648C">
              <w:rPr>
                <w:b/>
                <w:bCs/>
                <w:lang w:eastAsia="en-GB"/>
              </w:rPr>
              <w:t xml:space="preserve"> (months)</w:t>
            </w:r>
          </w:p>
        </w:tc>
        <w:tc>
          <w:tcPr>
            <w:tcW w:w="1503" w:type="dxa"/>
            <w:tcBorders>
              <w:top w:val="single" w:sz="4" w:space="0" w:color="auto"/>
              <w:left w:val="nil"/>
              <w:bottom w:val="single" w:sz="4" w:space="0" w:color="auto"/>
              <w:right w:val="single" w:sz="4" w:space="0" w:color="auto"/>
            </w:tcBorders>
            <w:shd w:val="clear" w:color="auto" w:fill="E7E6E6" w:themeFill="background2"/>
            <w:vAlign w:val="center"/>
            <w:hideMark/>
          </w:tcPr>
          <w:p w14:paraId="2A7A8387" w14:textId="035A61F5" w:rsidR="00675930" w:rsidRPr="003C648C" w:rsidRDefault="00675930" w:rsidP="003C648C">
            <w:pPr>
              <w:pStyle w:val="Tablebody"/>
              <w:keepNext/>
              <w:rPr>
                <w:b/>
                <w:bCs/>
                <w:lang w:eastAsia="en-GB"/>
              </w:rPr>
            </w:pPr>
            <w:r w:rsidRPr="003C648C">
              <w:rPr>
                <w:b/>
                <w:bCs/>
                <w:lang w:eastAsia="en-GB"/>
              </w:rPr>
              <w:t xml:space="preserve">Weighted </w:t>
            </w:r>
            <w:r w:rsidR="006B690B" w:rsidRPr="003C648C">
              <w:rPr>
                <w:b/>
                <w:bCs/>
                <w:lang w:eastAsia="en-GB"/>
              </w:rPr>
              <w:t>median</w:t>
            </w:r>
            <w:r w:rsidRPr="003C648C">
              <w:rPr>
                <w:b/>
                <w:bCs/>
                <w:lang w:eastAsia="en-GB"/>
              </w:rPr>
              <w:t xml:space="preserve"> duration of subsequent treatment (PFS2-PFS)</w:t>
            </w:r>
            <w:r w:rsidR="00A80FB2" w:rsidRPr="003C648C">
              <w:rPr>
                <w:b/>
                <w:bCs/>
                <w:lang w:eastAsia="en-GB"/>
              </w:rPr>
              <w:t xml:space="preserve"> (months)</w:t>
            </w:r>
          </w:p>
        </w:tc>
      </w:tr>
      <w:tr w:rsidR="00AB329F" w:rsidRPr="00675930" w14:paraId="0A5940CA" w14:textId="77777777" w:rsidTr="006B690B">
        <w:trPr>
          <w:trHeight w:val="300"/>
        </w:trPr>
        <w:tc>
          <w:tcPr>
            <w:tcW w:w="1502" w:type="dxa"/>
            <w:tcBorders>
              <w:top w:val="nil"/>
              <w:left w:val="single" w:sz="4" w:space="0" w:color="auto"/>
              <w:bottom w:val="single" w:sz="4" w:space="0" w:color="auto"/>
              <w:right w:val="single" w:sz="4" w:space="0" w:color="auto"/>
            </w:tcBorders>
            <w:shd w:val="clear" w:color="auto" w:fill="auto"/>
            <w:noWrap/>
            <w:vAlign w:val="center"/>
            <w:hideMark/>
          </w:tcPr>
          <w:p w14:paraId="6818BA06" w14:textId="77777777" w:rsidR="00675930" w:rsidRPr="00675930" w:rsidRDefault="00675930" w:rsidP="003C648C">
            <w:pPr>
              <w:pStyle w:val="Tablebody"/>
              <w:keepNext/>
              <w:rPr>
                <w:lang w:eastAsia="en-GB"/>
              </w:rPr>
            </w:pPr>
            <w:r w:rsidRPr="00675930">
              <w:rPr>
                <w:lang w:eastAsia="en-GB"/>
              </w:rPr>
              <w:t>T-DXd</w:t>
            </w:r>
          </w:p>
        </w:tc>
        <w:tc>
          <w:tcPr>
            <w:tcW w:w="1503" w:type="dxa"/>
            <w:tcBorders>
              <w:top w:val="nil"/>
              <w:left w:val="nil"/>
              <w:bottom w:val="single" w:sz="4" w:space="0" w:color="auto"/>
              <w:right w:val="single" w:sz="4" w:space="0" w:color="auto"/>
            </w:tcBorders>
            <w:shd w:val="clear" w:color="auto" w:fill="auto"/>
            <w:noWrap/>
            <w:vAlign w:val="center"/>
            <w:hideMark/>
          </w:tcPr>
          <w:p w14:paraId="17A55ED6" w14:textId="77777777" w:rsidR="00675930" w:rsidRPr="00675930" w:rsidRDefault="00675930" w:rsidP="003C648C">
            <w:pPr>
              <w:pStyle w:val="Tablebody"/>
              <w:keepNext/>
              <w:rPr>
                <w:lang w:eastAsia="en-GB"/>
              </w:rPr>
            </w:pPr>
            <w:r w:rsidRPr="00675930">
              <w:rPr>
                <w:lang w:eastAsia="en-GB"/>
              </w:rPr>
              <w:t>371</w:t>
            </w:r>
          </w:p>
        </w:tc>
        <w:tc>
          <w:tcPr>
            <w:tcW w:w="1503" w:type="dxa"/>
            <w:tcBorders>
              <w:top w:val="nil"/>
              <w:left w:val="nil"/>
              <w:bottom w:val="single" w:sz="4" w:space="0" w:color="auto"/>
              <w:right w:val="single" w:sz="4" w:space="0" w:color="auto"/>
            </w:tcBorders>
            <w:shd w:val="clear" w:color="auto" w:fill="auto"/>
            <w:noWrap/>
            <w:vAlign w:val="center"/>
            <w:hideMark/>
          </w:tcPr>
          <w:p w14:paraId="3E33E560" w14:textId="43B09124" w:rsidR="00675930" w:rsidRPr="00294FDC" w:rsidRDefault="00294FDC" w:rsidP="007D2366">
            <w:pPr>
              <w:pStyle w:val="Tablebody"/>
              <w:keepNext/>
              <w:jc w:val="center"/>
              <w:rPr>
                <w:rFonts w:cs="Arial"/>
                <w:color w:val="000000"/>
                <w:highlight w:val="black"/>
                <w:lang w:eastAsia="en-GB"/>
              </w:rPr>
            </w:pPr>
            <w:r w:rsidRPr="00294FDC">
              <w:rPr>
                <w:rFonts w:cs="Arial"/>
                <w:color w:val="000000"/>
                <w:highlight w:val="black"/>
                <w:lang w:eastAsia="en-GB"/>
              </w:rPr>
              <w:t>xxx</w:t>
            </w:r>
          </w:p>
        </w:tc>
        <w:tc>
          <w:tcPr>
            <w:tcW w:w="1503" w:type="dxa"/>
            <w:tcBorders>
              <w:top w:val="nil"/>
              <w:left w:val="nil"/>
              <w:bottom w:val="single" w:sz="4" w:space="0" w:color="auto"/>
              <w:right w:val="single" w:sz="4" w:space="0" w:color="auto"/>
            </w:tcBorders>
            <w:shd w:val="clear" w:color="auto" w:fill="auto"/>
            <w:noWrap/>
            <w:vAlign w:val="center"/>
            <w:hideMark/>
          </w:tcPr>
          <w:p w14:paraId="67F35F1A" w14:textId="57B03127" w:rsidR="00675930" w:rsidRPr="00294FDC" w:rsidRDefault="00294FDC" w:rsidP="007D2366">
            <w:pPr>
              <w:pStyle w:val="Tablebody"/>
              <w:keepNext/>
              <w:jc w:val="center"/>
              <w:rPr>
                <w:color w:val="000000"/>
                <w:highlight w:val="black"/>
                <w:lang w:eastAsia="en-GB"/>
              </w:rPr>
            </w:pPr>
            <w:r w:rsidRPr="00294FDC">
              <w:rPr>
                <w:color w:val="000000"/>
                <w:highlight w:val="black"/>
                <w:lang w:eastAsia="en-GB"/>
              </w:rPr>
              <w:t>xxxx</w:t>
            </w:r>
          </w:p>
        </w:tc>
        <w:tc>
          <w:tcPr>
            <w:tcW w:w="1503" w:type="dxa"/>
            <w:tcBorders>
              <w:top w:val="nil"/>
              <w:left w:val="nil"/>
              <w:bottom w:val="single" w:sz="4" w:space="0" w:color="auto"/>
              <w:right w:val="single" w:sz="4" w:space="0" w:color="auto"/>
            </w:tcBorders>
            <w:shd w:val="clear" w:color="auto" w:fill="auto"/>
            <w:noWrap/>
            <w:vAlign w:val="center"/>
            <w:hideMark/>
          </w:tcPr>
          <w:p w14:paraId="7E94505E" w14:textId="33A1E315" w:rsidR="00675930" w:rsidRPr="00294FDC" w:rsidRDefault="00294FDC" w:rsidP="007D2366">
            <w:pPr>
              <w:pStyle w:val="Tablebody"/>
              <w:keepNext/>
              <w:jc w:val="center"/>
              <w:rPr>
                <w:color w:val="000000"/>
                <w:highlight w:val="black"/>
                <w:lang w:eastAsia="en-GB"/>
              </w:rPr>
            </w:pPr>
            <w:r w:rsidRPr="00294FDC">
              <w:rPr>
                <w:color w:val="000000"/>
                <w:highlight w:val="black"/>
                <w:lang w:eastAsia="en-GB"/>
              </w:rPr>
              <w:t>xxx</w:t>
            </w:r>
          </w:p>
        </w:tc>
        <w:tc>
          <w:tcPr>
            <w:tcW w:w="150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ADC23E1" w14:textId="37F13401" w:rsidR="00675930" w:rsidRPr="00294FDC" w:rsidRDefault="00294FDC" w:rsidP="007D2366">
            <w:pPr>
              <w:pStyle w:val="Tablebody"/>
              <w:keepNext/>
              <w:jc w:val="center"/>
              <w:rPr>
                <w:color w:val="000000"/>
                <w:highlight w:val="black"/>
                <w:lang w:eastAsia="en-GB"/>
              </w:rPr>
            </w:pPr>
            <w:r w:rsidRPr="00294FDC">
              <w:rPr>
                <w:color w:val="000000"/>
                <w:highlight w:val="black"/>
                <w:lang w:eastAsia="en-GB"/>
              </w:rPr>
              <w:t>xxxx</w:t>
            </w:r>
          </w:p>
        </w:tc>
      </w:tr>
      <w:tr w:rsidR="00AB329F" w:rsidRPr="00675930" w14:paraId="404A8D8C" w14:textId="77777777" w:rsidTr="006B690B">
        <w:trPr>
          <w:trHeight w:val="300"/>
        </w:trPr>
        <w:tc>
          <w:tcPr>
            <w:tcW w:w="1502" w:type="dxa"/>
            <w:tcBorders>
              <w:top w:val="nil"/>
              <w:left w:val="single" w:sz="4" w:space="0" w:color="auto"/>
              <w:bottom w:val="single" w:sz="4" w:space="0" w:color="auto"/>
              <w:right w:val="single" w:sz="4" w:space="0" w:color="auto"/>
            </w:tcBorders>
            <w:shd w:val="clear" w:color="auto" w:fill="auto"/>
            <w:noWrap/>
            <w:vAlign w:val="center"/>
            <w:hideMark/>
          </w:tcPr>
          <w:p w14:paraId="1D1734E4" w14:textId="77777777" w:rsidR="00675930" w:rsidRPr="00675930" w:rsidRDefault="00675930" w:rsidP="003C648C">
            <w:pPr>
              <w:pStyle w:val="Tablebody"/>
              <w:keepNext/>
              <w:rPr>
                <w:lang w:eastAsia="en-GB"/>
              </w:rPr>
            </w:pPr>
            <w:r w:rsidRPr="00675930">
              <w:rPr>
                <w:lang w:eastAsia="en-GB"/>
              </w:rPr>
              <w:t>TPC</w:t>
            </w:r>
          </w:p>
        </w:tc>
        <w:tc>
          <w:tcPr>
            <w:tcW w:w="1503" w:type="dxa"/>
            <w:tcBorders>
              <w:top w:val="nil"/>
              <w:left w:val="nil"/>
              <w:bottom w:val="single" w:sz="4" w:space="0" w:color="auto"/>
              <w:right w:val="single" w:sz="4" w:space="0" w:color="auto"/>
            </w:tcBorders>
            <w:shd w:val="clear" w:color="auto" w:fill="auto"/>
            <w:noWrap/>
            <w:vAlign w:val="center"/>
            <w:hideMark/>
          </w:tcPr>
          <w:p w14:paraId="1E54C873" w14:textId="77777777" w:rsidR="00675930" w:rsidRPr="00675930" w:rsidRDefault="00675930" w:rsidP="003C648C">
            <w:pPr>
              <w:pStyle w:val="Tablebody"/>
              <w:keepNext/>
              <w:rPr>
                <w:lang w:eastAsia="en-GB"/>
              </w:rPr>
            </w:pPr>
            <w:r w:rsidRPr="00675930">
              <w:rPr>
                <w:lang w:eastAsia="en-GB"/>
              </w:rPr>
              <w:t>184</w:t>
            </w:r>
          </w:p>
        </w:tc>
        <w:tc>
          <w:tcPr>
            <w:tcW w:w="1503" w:type="dxa"/>
            <w:tcBorders>
              <w:top w:val="nil"/>
              <w:left w:val="nil"/>
              <w:bottom w:val="single" w:sz="4" w:space="0" w:color="auto"/>
              <w:right w:val="single" w:sz="4" w:space="0" w:color="auto"/>
            </w:tcBorders>
            <w:shd w:val="clear" w:color="auto" w:fill="auto"/>
            <w:noWrap/>
            <w:vAlign w:val="center"/>
            <w:hideMark/>
          </w:tcPr>
          <w:p w14:paraId="359AB167" w14:textId="27939C13" w:rsidR="00675930" w:rsidRPr="00294FDC" w:rsidRDefault="00294FDC" w:rsidP="007D2366">
            <w:pPr>
              <w:pStyle w:val="Tablebody"/>
              <w:keepNext/>
              <w:jc w:val="center"/>
              <w:rPr>
                <w:rFonts w:cs="Arial"/>
                <w:color w:val="000000"/>
                <w:highlight w:val="black"/>
                <w:lang w:eastAsia="en-GB"/>
              </w:rPr>
            </w:pPr>
            <w:r w:rsidRPr="00294FDC">
              <w:rPr>
                <w:rFonts w:cs="Arial"/>
                <w:color w:val="000000"/>
                <w:highlight w:val="black"/>
                <w:lang w:eastAsia="en-GB"/>
              </w:rPr>
              <w:t>xxx</w:t>
            </w:r>
          </w:p>
        </w:tc>
        <w:tc>
          <w:tcPr>
            <w:tcW w:w="1503" w:type="dxa"/>
            <w:tcBorders>
              <w:top w:val="nil"/>
              <w:left w:val="nil"/>
              <w:bottom w:val="single" w:sz="4" w:space="0" w:color="auto"/>
              <w:right w:val="single" w:sz="4" w:space="0" w:color="auto"/>
            </w:tcBorders>
            <w:shd w:val="clear" w:color="auto" w:fill="auto"/>
            <w:noWrap/>
            <w:vAlign w:val="center"/>
            <w:hideMark/>
          </w:tcPr>
          <w:p w14:paraId="0A949D27" w14:textId="32C26E92" w:rsidR="00675930" w:rsidRPr="00294FDC" w:rsidRDefault="00294FDC" w:rsidP="007D2366">
            <w:pPr>
              <w:pStyle w:val="Tablebody"/>
              <w:keepNext/>
              <w:jc w:val="center"/>
              <w:rPr>
                <w:color w:val="000000"/>
                <w:highlight w:val="black"/>
                <w:lang w:eastAsia="en-GB"/>
              </w:rPr>
            </w:pPr>
            <w:r w:rsidRPr="00294FDC">
              <w:rPr>
                <w:color w:val="000000"/>
                <w:highlight w:val="black"/>
                <w:lang w:eastAsia="en-GB"/>
              </w:rPr>
              <w:t>xxxx</w:t>
            </w:r>
          </w:p>
        </w:tc>
        <w:tc>
          <w:tcPr>
            <w:tcW w:w="1503" w:type="dxa"/>
            <w:tcBorders>
              <w:top w:val="nil"/>
              <w:left w:val="nil"/>
              <w:bottom w:val="single" w:sz="4" w:space="0" w:color="auto"/>
              <w:right w:val="single" w:sz="4" w:space="0" w:color="auto"/>
            </w:tcBorders>
            <w:shd w:val="clear" w:color="auto" w:fill="auto"/>
            <w:noWrap/>
            <w:vAlign w:val="center"/>
            <w:hideMark/>
          </w:tcPr>
          <w:p w14:paraId="025DA7C1" w14:textId="1524267A" w:rsidR="00675930" w:rsidRPr="00294FDC" w:rsidRDefault="00294FDC" w:rsidP="007D2366">
            <w:pPr>
              <w:pStyle w:val="Tablebody"/>
              <w:keepNext/>
              <w:jc w:val="center"/>
              <w:rPr>
                <w:color w:val="000000"/>
                <w:highlight w:val="black"/>
                <w:lang w:eastAsia="en-GB"/>
              </w:rPr>
            </w:pPr>
            <w:r w:rsidRPr="00294FDC">
              <w:rPr>
                <w:color w:val="000000"/>
                <w:highlight w:val="black"/>
                <w:lang w:eastAsia="en-GB"/>
              </w:rPr>
              <w:t>xxx</w:t>
            </w:r>
          </w:p>
        </w:tc>
        <w:tc>
          <w:tcPr>
            <w:tcW w:w="1503" w:type="dxa"/>
            <w:vMerge/>
            <w:tcBorders>
              <w:top w:val="nil"/>
              <w:left w:val="single" w:sz="4" w:space="0" w:color="auto"/>
              <w:bottom w:val="single" w:sz="4" w:space="0" w:color="auto"/>
              <w:right w:val="single" w:sz="4" w:space="0" w:color="auto"/>
            </w:tcBorders>
            <w:vAlign w:val="center"/>
            <w:hideMark/>
          </w:tcPr>
          <w:p w14:paraId="5DF94EA2" w14:textId="77777777" w:rsidR="00675930" w:rsidRPr="007D2366" w:rsidRDefault="00675930" w:rsidP="003C648C">
            <w:pPr>
              <w:pStyle w:val="Tablebody"/>
              <w:keepNext/>
              <w:rPr>
                <w:highlight w:val="yellow"/>
                <w:u w:val="single"/>
                <w:lang w:eastAsia="en-GB"/>
              </w:rPr>
            </w:pPr>
          </w:p>
        </w:tc>
      </w:tr>
    </w:tbl>
    <w:p w14:paraId="053E13A3" w14:textId="434D2D92" w:rsidR="00675930" w:rsidRPr="007A2208" w:rsidRDefault="00A80FB2" w:rsidP="003C648C">
      <w:pPr>
        <w:pStyle w:val="Footnotes"/>
      </w:pPr>
      <w:r>
        <w:t xml:space="preserve">Abbreviations: </w:t>
      </w:r>
      <w:r w:rsidR="00FC7EFF">
        <w:t xml:space="preserve">FAS – full analysis set; </w:t>
      </w:r>
      <w:r>
        <w:t>PFS – progression-free survival; PFS2</w:t>
      </w:r>
      <w:r w:rsidR="00C92C7B">
        <w:t xml:space="preserve"> – </w:t>
      </w:r>
      <w:r w:rsidR="00FC7EFF">
        <w:t>progression-free survival 2</w:t>
      </w:r>
      <w:r w:rsidR="00BA24BC">
        <w:t>;</w:t>
      </w:r>
      <w:r w:rsidR="000062D9" w:rsidRPr="000062D9">
        <w:t xml:space="preserve"> T-DXd, trastuzumab deruxtecan; TPC, treatment of physician’s choice</w:t>
      </w:r>
      <w:r w:rsidR="00BA24BC">
        <w:t xml:space="preserve"> </w:t>
      </w:r>
      <w:r w:rsidR="00FC7EFF">
        <w:t>.</w:t>
      </w:r>
    </w:p>
    <w:p w14:paraId="59E725FC" w14:textId="4AAD17C5" w:rsidR="00EC2472" w:rsidRPr="007A2208" w:rsidRDefault="00EC2472" w:rsidP="00EC2472">
      <w:pPr>
        <w:pStyle w:val="Body"/>
      </w:pPr>
      <w:r w:rsidRPr="007A2208">
        <w:t xml:space="preserve">Subsequent treatments </w:t>
      </w:r>
      <w:r w:rsidR="00527583">
        <w:t xml:space="preserve">that </w:t>
      </w:r>
      <w:r w:rsidRPr="007A2208">
        <w:t xml:space="preserve">were included </w:t>
      </w:r>
      <w:r w:rsidR="005157F6">
        <w:t>in the model</w:t>
      </w:r>
      <w:r w:rsidR="00527583">
        <w:t xml:space="preserve"> were</w:t>
      </w:r>
      <w:r w:rsidRPr="007A2208">
        <w:t xml:space="preserve"> based on what patients received following progression in DESTINY-Breast04. The c</w:t>
      </w:r>
      <w:r w:rsidRPr="00A07F84">
        <w:t>hemothera</w:t>
      </w:r>
      <w:r w:rsidRPr="007A2208">
        <w:t xml:space="preserve">py agents included in the model were </w:t>
      </w:r>
      <w:r w:rsidRPr="00A07F84">
        <w:t>paclitaxel, capecitabine, gemcitabine, eribulin, vinorelbine, epirubicin and carboplatin. The included endocrine therapies were tamoxifen and fulvestrant.</w:t>
      </w:r>
    </w:p>
    <w:p w14:paraId="13A928EA" w14:textId="27B28BC2" w:rsidR="00EC2472" w:rsidRDefault="00EC2472" w:rsidP="00EC2472">
      <w:pPr>
        <w:pStyle w:val="Body"/>
      </w:pPr>
      <w:r w:rsidRPr="007A2208">
        <w:t xml:space="preserve">In the DESTINY-Breast04 study, </w:t>
      </w:r>
      <w:r w:rsidR="00294FDC" w:rsidRPr="00294FDC">
        <w:rPr>
          <w:color w:val="000000"/>
          <w:highlight w:val="black"/>
        </w:rPr>
        <w:t>xxxxx</w:t>
      </w:r>
      <w:r w:rsidRPr="00A07F84">
        <w:t xml:space="preserve"> and </w:t>
      </w:r>
      <w:r w:rsidR="00294FDC" w:rsidRPr="00294FDC">
        <w:rPr>
          <w:color w:val="000000"/>
          <w:highlight w:val="black"/>
        </w:rPr>
        <w:t>xxxxx</w:t>
      </w:r>
      <w:r w:rsidRPr="00A07F84">
        <w:t xml:space="preserve"> of patients in the T-DXd arm and TPC arms, respectively, received subsequent treatment following disease progression</w:t>
      </w:r>
      <w:r w:rsidRPr="007A2208">
        <w:t>. Therefore, in the model it is assumed these proportions respectively</w:t>
      </w:r>
      <w:r w:rsidRPr="00A07F84">
        <w:t xml:space="preserve"> </w:t>
      </w:r>
      <w:r w:rsidRPr="007A2208">
        <w:t xml:space="preserve">receive subsequent treatment in the base case. </w:t>
      </w:r>
    </w:p>
    <w:p w14:paraId="5B934FDB" w14:textId="5EDCE5A1" w:rsidR="00EC2472" w:rsidRPr="007A2208" w:rsidRDefault="00955CE5" w:rsidP="00EC2472">
      <w:pPr>
        <w:pStyle w:val="Body"/>
      </w:pPr>
      <w:r>
        <w:t xml:space="preserve">A </w:t>
      </w:r>
      <w:r w:rsidR="00EC2472">
        <w:t>s</w:t>
      </w:r>
      <w:r w:rsidR="00EC2472" w:rsidRPr="00BE4620">
        <w:t>cenario analys</w:t>
      </w:r>
      <w:r>
        <w:t>i</w:t>
      </w:r>
      <w:r w:rsidR="00EC2472">
        <w:t>s w</w:t>
      </w:r>
      <w:r>
        <w:t>as</w:t>
      </w:r>
      <w:r w:rsidR="00EC2472">
        <w:t xml:space="preserve"> </w:t>
      </w:r>
      <w:r w:rsidR="000368F6">
        <w:t xml:space="preserve">conducted </w:t>
      </w:r>
      <w:r w:rsidR="00EC2472">
        <w:t xml:space="preserve">to explore the uncertainty associated with subsequent treatment costs. </w:t>
      </w:r>
      <w:r>
        <w:t>A</w:t>
      </w:r>
      <w:r w:rsidR="00EC2472">
        <w:t xml:space="preserve"> scenario</w:t>
      </w:r>
      <w:r w:rsidR="00EC2472" w:rsidRPr="00BE4620">
        <w:t xml:space="preserve"> consider</w:t>
      </w:r>
      <w:r w:rsidR="00EC2472">
        <w:t>ed</w:t>
      </w:r>
      <w:r w:rsidR="00EC2472" w:rsidRPr="00BE4620">
        <w:t xml:space="preserve"> </w:t>
      </w:r>
      <w:r w:rsidR="00EC2472">
        <w:t>the average proportion of patients (</w:t>
      </w:r>
      <w:r w:rsidR="00294FDC" w:rsidRPr="00294FDC">
        <w:rPr>
          <w:color w:val="000000"/>
          <w:highlight w:val="black"/>
        </w:rPr>
        <w:t>xxxxx</w:t>
      </w:r>
      <w:r w:rsidR="00EC2472">
        <w:t xml:space="preserve">) who received subsequent treatment in the FAS population of </w:t>
      </w:r>
      <w:r w:rsidR="00EC2472" w:rsidRPr="00BE4620">
        <w:t>DESTINY-Breast04.</w:t>
      </w:r>
      <w:r w:rsidR="00EC2472" w:rsidRPr="00BE4620">
        <w:fldChar w:fldCharType="begin"/>
      </w:r>
      <w:r w:rsidR="00CA6345">
        <w:instrText xml:space="preserve"> ADDIN ZOTERO_ITEM CSL_CITATION {"citationID":"7QLCzM4O","properties":{"formattedCitation":"\\super 2\\nosupersub{}","plainCitation":"2","noteIndex":0},"citationItems":[{"id":65886,"uris":["http://zotero.org/groups/4797619/items/2LQNV7UR"],"itemData":{"id":65886,"type":"webpage","abstract":"This guide describes the methods and processes, including expected timescales, that NICE follows when carrying out health technology evaluations. The methods and processes are designed to produce robust guidance for the NHS in an open, transparent and timely way, with appropriate contribution from stakeholders. Organisations invited to contribute to health technology evaluation development should read this manual in conjunction with the NICE health technology evaluation topic selection: the manual. All documents are available on the NICE website.","language":"eng","note":"publisher: NICE","title":"NICE health technology evaluations: the manual","title-short":"NICE health technology evaluations","URL":"https://www.nice.org.uk/process/pmg36/chapter/introduction-to-health-technology-evaluation","author":[{"family":"NICE","given":""}],"accessed":{"date-parts":[["2022",10,19]]},"issued":{"date-parts":[["2022",1]]}}}],"schema":"https://github.com/citation-style-language/schema/raw/master/csl-citation.json"} </w:instrText>
      </w:r>
      <w:r w:rsidR="00EC2472" w:rsidRPr="00BE4620">
        <w:fldChar w:fldCharType="separate"/>
      </w:r>
      <w:r w:rsidR="00FD57F4" w:rsidRPr="00FD57F4">
        <w:rPr>
          <w:rFonts w:cs="Arial"/>
          <w:szCs w:val="24"/>
          <w:vertAlign w:val="superscript"/>
        </w:rPr>
        <w:t>2</w:t>
      </w:r>
      <w:r w:rsidR="00EC2472" w:rsidRPr="00BE4620">
        <w:fldChar w:fldCharType="end"/>
      </w:r>
      <w:r w:rsidR="00EC2472" w:rsidRPr="00BE4620">
        <w:t xml:space="preserve"> </w:t>
      </w:r>
    </w:p>
    <w:p w14:paraId="3D6B5CE6" w14:textId="14B99B71" w:rsidR="00EC2472" w:rsidRDefault="0019050B" w:rsidP="00EC2472">
      <w:pPr>
        <w:pStyle w:val="Body"/>
        <w:sectPr w:rsidR="00EC2472" w:rsidSect="00F174DD">
          <w:headerReference w:type="default" r:id="rId36"/>
          <w:footerReference w:type="default" r:id="rId37"/>
          <w:pgSz w:w="11907" w:h="16840" w:code="9"/>
          <w:pgMar w:top="1440" w:right="1440" w:bottom="1440" w:left="1440" w:header="709" w:footer="709" w:gutter="0"/>
          <w:cols w:space="708"/>
          <w:docGrid w:linePitch="360"/>
        </w:sectPr>
      </w:pPr>
      <w:r w:rsidRPr="003C648C">
        <w:rPr>
          <w:b/>
          <w:bCs/>
        </w:rPr>
        <w:fldChar w:fldCharType="begin"/>
      </w:r>
      <w:r w:rsidRPr="003C648C">
        <w:rPr>
          <w:b/>
          <w:bCs/>
        </w:rPr>
        <w:instrText xml:space="preserve"> REF _Ref126857522 \h </w:instrText>
      </w:r>
      <w:r w:rsidR="004F7BC0">
        <w:rPr>
          <w:b/>
          <w:bCs/>
        </w:rPr>
        <w:instrText xml:space="preserve"> \* MERGEFORMAT </w:instrText>
      </w:r>
      <w:r w:rsidRPr="003C648C">
        <w:rPr>
          <w:b/>
          <w:bCs/>
        </w:rPr>
      </w:r>
      <w:r w:rsidRPr="003C648C">
        <w:rPr>
          <w:b/>
          <w:bCs/>
        </w:rPr>
        <w:fldChar w:fldCharType="separate"/>
      </w:r>
      <w:r w:rsidR="00145F42" w:rsidRPr="00145F42">
        <w:rPr>
          <w:b/>
          <w:bCs/>
        </w:rPr>
        <w:t xml:space="preserve">Table </w:t>
      </w:r>
      <w:r w:rsidR="00145F42" w:rsidRPr="00145F42">
        <w:rPr>
          <w:b/>
          <w:bCs/>
          <w:noProof/>
        </w:rPr>
        <w:t>60</w:t>
      </w:r>
      <w:r w:rsidRPr="003C648C">
        <w:rPr>
          <w:b/>
          <w:bCs/>
        </w:rPr>
        <w:fldChar w:fldCharType="end"/>
      </w:r>
      <w:r>
        <w:t xml:space="preserve"> </w:t>
      </w:r>
      <w:r w:rsidR="00EC2472">
        <w:t xml:space="preserve">presents the subsequent treatment distributions and cost per </w:t>
      </w:r>
      <w:r w:rsidR="003C674E">
        <w:t>each</w:t>
      </w:r>
      <w:r w:rsidR="00EC2472">
        <w:t xml:space="preserve"> treatment applied within the economic model base case. Unit costs for the subsequent therapies are provided in </w:t>
      </w:r>
      <w:r w:rsidR="00EC2472" w:rsidRPr="003C648C">
        <w:rPr>
          <w:b/>
        </w:rPr>
        <w:t>Appendix K</w:t>
      </w:r>
      <w:r w:rsidR="00EC2472">
        <w:t xml:space="preserve">. </w:t>
      </w:r>
      <w:r w:rsidRPr="003C648C">
        <w:rPr>
          <w:b/>
          <w:bCs/>
        </w:rPr>
        <w:fldChar w:fldCharType="begin"/>
      </w:r>
      <w:r w:rsidRPr="003C648C">
        <w:rPr>
          <w:b/>
          <w:bCs/>
        </w:rPr>
        <w:instrText xml:space="preserve"> REF _Ref127008664 \h </w:instrText>
      </w:r>
      <w:r w:rsidR="004F7BC0">
        <w:rPr>
          <w:b/>
          <w:bCs/>
        </w:rPr>
        <w:instrText xml:space="preserve"> \* MERGEFORMAT </w:instrText>
      </w:r>
      <w:r w:rsidRPr="003C648C">
        <w:rPr>
          <w:b/>
          <w:bCs/>
        </w:rPr>
      </w:r>
      <w:r w:rsidRPr="003C648C">
        <w:rPr>
          <w:b/>
          <w:bCs/>
        </w:rPr>
        <w:fldChar w:fldCharType="separate"/>
      </w:r>
      <w:r w:rsidR="00145F42" w:rsidRPr="00145F42">
        <w:rPr>
          <w:b/>
          <w:bCs/>
        </w:rPr>
        <w:t xml:space="preserve">Table </w:t>
      </w:r>
      <w:r w:rsidR="00145F42" w:rsidRPr="00145F42">
        <w:rPr>
          <w:b/>
          <w:bCs/>
          <w:noProof/>
        </w:rPr>
        <w:t>61</w:t>
      </w:r>
      <w:r w:rsidRPr="003C648C">
        <w:rPr>
          <w:b/>
          <w:bCs/>
        </w:rPr>
        <w:fldChar w:fldCharType="end"/>
      </w:r>
      <w:r w:rsidRPr="003C648C">
        <w:rPr>
          <w:b/>
        </w:rPr>
        <w:t xml:space="preserve"> </w:t>
      </w:r>
      <w:r w:rsidR="006A20B6">
        <w:t>p</w:t>
      </w:r>
      <w:r w:rsidR="00EC2472">
        <w:t xml:space="preserve">resents the total subsequent therapy cost applied in each treatment arm. </w:t>
      </w:r>
    </w:p>
    <w:p w14:paraId="5AD7C350" w14:textId="39709FF7" w:rsidR="00EC2472" w:rsidRDefault="00EC2472" w:rsidP="00EC2472">
      <w:pPr>
        <w:pStyle w:val="Caption"/>
      </w:pPr>
      <w:bookmarkStart w:id="727" w:name="_Ref126857522"/>
      <w:bookmarkStart w:id="728" w:name="_Ref126940520"/>
      <w:bookmarkStart w:id="729" w:name="_Toc127006689"/>
      <w:bookmarkStart w:id="730" w:name="_Toc129351035"/>
      <w:r>
        <w:lastRenderedPageBreak/>
        <w:t xml:space="preserve">Table </w:t>
      </w:r>
      <w:r>
        <w:fldChar w:fldCharType="begin"/>
      </w:r>
      <w:r>
        <w:instrText>SEQ Table \* ARABIC</w:instrText>
      </w:r>
      <w:r>
        <w:fldChar w:fldCharType="separate"/>
      </w:r>
      <w:r w:rsidR="00145F42">
        <w:rPr>
          <w:noProof/>
        </w:rPr>
        <w:t>60</w:t>
      </w:r>
      <w:r>
        <w:fldChar w:fldCharType="end"/>
      </w:r>
      <w:bookmarkEnd w:id="727"/>
      <w:r>
        <w:t>: Subsequent therapy costs</w:t>
      </w:r>
      <w:bookmarkEnd w:id="728"/>
      <w:bookmarkEnd w:id="729"/>
      <w:bookmarkEnd w:id="730"/>
    </w:p>
    <w:tbl>
      <w:tblPr>
        <w:tblStyle w:val="TableGrid"/>
        <w:tblW w:w="0" w:type="auto"/>
        <w:tblLook w:val="04A0" w:firstRow="1" w:lastRow="0" w:firstColumn="1" w:lastColumn="0" w:noHBand="0" w:noVBand="1"/>
      </w:tblPr>
      <w:tblGrid>
        <w:gridCol w:w="2284"/>
        <w:gridCol w:w="1769"/>
        <w:gridCol w:w="1348"/>
        <w:gridCol w:w="233"/>
        <w:gridCol w:w="1456"/>
        <w:gridCol w:w="2540"/>
        <w:gridCol w:w="3184"/>
      </w:tblGrid>
      <w:tr w:rsidR="00EC2472" w:rsidRPr="002241E3" w14:paraId="31A6FA51" w14:textId="77777777">
        <w:trPr>
          <w:trHeight w:val="193"/>
        </w:trPr>
        <w:tc>
          <w:tcPr>
            <w:tcW w:w="0" w:type="auto"/>
            <w:vMerge w:val="restart"/>
            <w:shd w:val="clear" w:color="auto" w:fill="D9D9D9" w:themeFill="background1" w:themeFillShade="D9"/>
            <w:vAlign w:val="center"/>
          </w:tcPr>
          <w:p w14:paraId="226CB326" w14:textId="77777777" w:rsidR="00EC2472" w:rsidRPr="002241E3" w:rsidRDefault="00EC2472">
            <w:pPr>
              <w:pStyle w:val="NICETableHeader"/>
              <w:keepNext w:val="0"/>
              <w:jc w:val="center"/>
            </w:pPr>
            <w:r w:rsidRPr="002241E3">
              <w:t>Treatment</w:t>
            </w:r>
          </w:p>
        </w:tc>
        <w:tc>
          <w:tcPr>
            <w:tcW w:w="0" w:type="auto"/>
            <w:gridSpan w:val="3"/>
            <w:shd w:val="clear" w:color="auto" w:fill="D9D9D9" w:themeFill="background1" w:themeFillShade="D9"/>
            <w:vAlign w:val="center"/>
          </w:tcPr>
          <w:p w14:paraId="3F217F8A" w14:textId="77777777" w:rsidR="00EC2472" w:rsidRPr="002241E3" w:rsidRDefault="00EC2472">
            <w:pPr>
              <w:pStyle w:val="NICETableHeader"/>
              <w:keepNext w:val="0"/>
              <w:jc w:val="center"/>
            </w:pPr>
            <w:r w:rsidRPr="002241E3">
              <w:t>Distribution over trial period (%)*</w:t>
            </w:r>
          </w:p>
        </w:tc>
        <w:tc>
          <w:tcPr>
            <w:tcW w:w="0" w:type="auto"/>
            <w:vMerge w:val="restart"/>
            <w:shd w:val="clear" w:color="auto" w:fill="D9D9D9" w:themeFill="background1" w:themeFillShade="D9"/>
            <w:vAlign w:val="center"/>
          </w:tcPr>
          <w:p w14:paraId="03269698" w14:textId="77777777" w:rsidR="00EC2472" w:rsidRPr="002241E3" w:rsidRDefault="00EC2472">
            <w:pPr>
              <w:pStyle w:val="NICETableHeader"/>
              <w:keepNext w:val="0"/>
              <w:jc w:val="center"/>
            </w:pPr>
            <w:r w:rsidRPr="002241E3">
              <w:t>Dose</w:t>
            </w:r>
          </w:p>
        </w:tc>
        <w:tc>
          <w:tcPr>
            <w:tcW w:w="0" w:type="auto"/>
            <w:vMerge w:val="restart"/>
            <w:shd w:val="clear" w:color="auto" w:fill="D9D9D9" w:themeFill="background1" w:themeFillShade="D9"/>
            <w:vAlign w:val="center"/>
          </w:tcPr>
          <w:p w14:paraId="7A6C074D" w14:textId="77777777" w:rsidR="00EC2472" w:rsidRPr="002241E3" w:rsidRDefault="00EC2472">
            <w:pPr>
              <w:pStyle w:val="NICETableHeader"/>
              <w:keepNext w:val="0"/>
              <w:jc w:val="center"/>
            </w:pPr>
            <w:r w:rsidRPr="002241E3">
              <w:t>Cost per cycle (3 weeks)</w:t>
            </w:r>
          </w:p>
        </w:tc>
        <w:tc>
          <w:tcPr>
            <w:tcW w:w="0" w:type="auto"/>
            <w:vMerge w:val="restart"/>
            <w:shd w:val="clear" w:color="auto" w:fill="D9D9D9" w:themeFill="background1" w:themeFillShade="D9"/>
            <w:vAlign w:val="center"/>
          </w:tcPr>
          <w:p w14:paraId="1D611D1F" w14:textId="77777777" w:rsidR="00EC2472" w:rsidRPr="002241E3" w:rsidRDefault="00EC2472">
            <w:pPr>
              <w:pStyle w:val="NICETableHeader"/>
              <w:keepNext w:val="0"/>
              <w:jc w:val="center"/>
            </w:pPr>
            <w:r w:rsidRPr="002241E3">
              <w:t>Admin cost per cycle (3 weeks)</w:t>
            </w:r>
          </w:p>
        </w:tc>
      </w:tr>
      <w:tr w:rsidR="00EC2472" w:rsidRPr="002241E3" w14:paraId="45CCBB56" w14:textId="77777777">
        <w:trPr>
          <w:trHeight w:val="193"/>
        </w:trPr>
        <w:tc>
          <w:tcPr>
            <w:tcW w:w="0" w:type="auto"/>
            <w:vMerge/>
            <w:shd w:val="clear" w:color="auto" w:fill="D9D9D9" w:themeFill="background1" w:themeFillShade="D9"/>
            <w:vAlign w:val="center"/>
          </w:tcPr>
          <w:p w14:paraId="6DDDB6E9" w14:textId="77777777" w:rsidR="00EC2472" w:rsidRPr="002241E3" w:rsidRDefault="00EC2472">
            <w:pPr>
              <w:pStyle w:val="NICETableHeader"/>
              <w:keepNext w:val="0"/>
              <w:jc w:val="center"/>
            </w:pPr>
          </w:p>
        </w:tc>
        <w:tc>
          <w:tcPr>
            <w:tcW w:w="0" w:type="auto"/>
            <w:shd w:val="clear" w:color="auto" w:fill="D9D9D9" w:themeFill="background1" w:themeFillShade="D9"/>
            <w:vAlign w:val="center"/>
          </w:tcPr>
          <w:p w14:paraId="6DBEFF67" w14:textId="77777777" w:rsidR="00EC2472" w:rsidRPr="002241E3" w:rsidRDefault="00EC2472">
            <w:pPr>
              <w:pStyle w:val="NICETableHeader"/>
              <w:keepNext w:val="0"/>
              <w:jc w:val="center"/>
            </w:pPr>
            <w:r w:rsidRPr="002241E3">
              <w:t>T-DXd (n=373)</w:t>
            </w:r>
          </w:p>
        </w:tc>
        <w:tc>
          <w:tcPr>
            <w:tcW w:w="0" w:type="auto"/>
            <w:gridSpan w:val="2"/>
            <w:shd w:val="clear" w:color="auto" w:fill="D9D9D9" w:themeFill="background1" w:themeFillShade="D9"/>
            <w:vAlign w:val="center"/>
          </w:tcPr>
          <w:p w14:paraId="53590EDF" w14:textId="77777777" w:rsidR="00EC2472" w:rsidRPr="002241E3" w:rsidRDefault="00EC2472">
            <w:pPr>
              <w:pStyle w:val="NICETableHeader"/>
              <w:keepNext w:val="0"/>
              <w:jc w:val="center"/>
            </w:pPr>
            <w:r w:rsidRPr="002241E3">
              <w:t>TPC (n=184)</w:t>
            </w:r>
          </w:p>
        </w:tc>
        <w:tc>
          <w:tcPr>
            <w:tcW w:w="0" w:type="auto"/>
            <w:vMerge/>
            <w:shd w:val="clear" w:color="auto" w:fill="D9D9D9" w:themeFill="background1" w:themeFillShade="D9"/>
          </w:tcPr>
          <w:p w14:paraId="1A9C75FA" w14:textId="77777777" w:rsidR="00EC2472" w:rsidRPr="002241E3" w:rsidRDefault="00EC2472">
            <w:pPr>
              <w:pStyle w:val="NICETableHeader"/>
              <w:keepNext w:val="0"/>
              <w:jc w:val="center"/>
            </w:pPr>
          </w:p>
        </w:tc>
        <w:tc>
          <w:tcPr>
            <w:tcW w:w="0" w:type="auto"/>
            <w:vMerge/>
            <w:shd w:val="clear" w:color="auto" w:fill="D9D9D9" w:themeFill="background1" w:themeFillShade="D9"/>
          </w:tcPr>
          <w:p w14:paraId="7F66C00C" w14:textId="77777777" w:rsidR="00EC2472" w:rsidRPr="002241E3" w:rsidRDefault="00EC2472">
            <w:pPr>
              <w:pStyle w:val="NICETableHeader"/>
              <w:keepNext w:val="0"/>
              <w:jc w:val="center"/>
            </w:pPr>
          </w:p>
        </w:tc>
        <w:tc>
          <w:tcPr>
            <w:tcW w:w="0" w:type="auto"/>
            <w:vMerge/>
            <w:shd w:val="clear" w:color="auto" w:fill="D9D9D9" w:themeFill="background1" w:themeFillShade="D9"/>
          </w:tcPr>
          <w:p w14:paraId="23E29076" w14:textId="77777777" w:rsidR="00EC2472" w:rsidRPr="002241E3" w:rsidRDefault="00EC2472">
            <w:pPr>
              <w:pStyle w:val="NICETableHeader"/>
              <w:keepNext w:val="0"/>
              <w:jc w:val="center"/>
            </w:pPr>
          </w:p>
        </w:tc>
      </w:tr>
      <w:tr w:rsidR="00EC2472" w:rsidRPr="002241E3" w14:paraId="1E64E583" w14:textId="77777777">
        <w:trPr>
          <w:trHeight w:val="201"/>
        </w:trPr>
        <w:tc>
          <w:tcPr>
            <w:tcW w:w="0" w:type="auto"/>
            <w:vAlign w:val="center"/>
          </w:tcPr>
          <w:p w14:paraId="5A3B9C1F" w14:textId="77777777" w:rsidR="00EC2472" w:rsidRPr="00C67C0A" w:rsidRDefault="00EC2472">
            <w:pPr>
              <w:pStyle w:val="NICETabletext"/>
              <w:keepNext w:val="0"/>
              <w:rPr>
                <w:rFonts w:cs="Arial"/>
                <w:szCs w:val="20"/>
              </w:rPr>
            </w:pPr>
            <w:r w:rsidRPr="00C67C0A">
              <w:rPr>
                <w:rFonts w:cs="Arial"/>
                <w:szCs w:val="20"/>
              </w:rPr>
              <w:t>Subsequent treatments</w:t>
            </w:r>
          </w:p>
        </w:tc>
        <w:tc>
          <w:tcPr>
            <w:tcW w:w="0" w:type="auto"/>
            <w:vAlign w:val="center"/>
          </w:tcPr>
          <w:p w14:paraId="3BE12ED9" w14:textId="60E59E85" w:rsidR="00EC2472" w:rsidRPr="00C67C0A" w:rsidRDefault="00294FDC">
            <w:pPr>
              <w:pStyle w:val="NICETabletext"/>
              <w:jc w:val="center"/>
              <w:rPr>
                <w:rFonts w:cs="Arial"/>
                <w:szCs w:val="20"/>
                <w:highlight w:val="yellow"/>
                <w:u w:val="single"/>
              </w:rPr>
            </w:pPr>
            <w:r w:rsidRPr="00294FDC">
              <w:rPr>
                <w:rFonts w:cs="Arial"/>
                <w:color w:val="000000"/>
                <w:szCs w:val="20"/>
                <w:highlight w:val="black"/>
              </w:rPr>
              <w:t>xxxxxxxxxxxxxx</w:t>
            </w:r>
            <w:r w:rsidR="00EC2472" w:rsidRPr="00F370CA">
              <w:rPr>
                <w:rFonts w:cs="Arial"/>
                <w:szCs w:val="20"/>
              </w:rPr>
              <w:t>)</w:t>
            </w:r>
          </w:p>
        </w:tc>
        <w:tc>
          <w:tcPr>
            <w:tcW w:w="0" w:type="auto"/>
            <w:vAlign w:val="center"/>
          </w:tcPr>
          <w:p w14:paraId="48CF0FA7" w14:textId="5426B1D3" w:rsidR="00EC2472" w:rsidRPr="00C67C0A" w:rsidRDefault="00294FDC">
            <w:pPr>
              <w:pStyle w:val="NICETabletext"/>
              <w:jc w:val="center"/>
              <w:rPr>
                <w:rFonts w:cs="Arial"/>
                <w:szCs w:val="20"/>
                <w:highlight w:val="yellow"/>
                <w:u w:val="single"/>
              </w:rPr>
            </w:pPr>
            <w:r w:rsidRPr="00294FDC">
              <w:rPr>
                <w:rFonts w:cs="Arial"/>
                <w:color w:val="000000"/>
                <w:szCs w:val="20"/>
                <w:highlight w:val="black"/>
              </w:rPr>
              <w:t>xxxxxxxxxx</w:t>
            </w:r>
            <w:r w:rsidR="00EC2472" w:rsidRPr="00F370CA">
              <w:rPr>
                <w:rFonts w:cs="Arial"/>
                <w:szCs w:val="20"/>
              </w:rPr>
              <w:t>)</w:t>
            </w:r>
          </w:p>
        </w:tc>
        <w:tc>
          <w:tcPr>
            <w:tcW w:w="0" w:type="auto"/>
          </w:tcPr>
          <w:p w14:paraId="4A9844D2" w14:textId="77777777" w:rsidR="00EC2472" w:rsidRPr="00C67C0A" w:rsidRDefault="00EC2472">
            <w:pPr>
              <w:pStyle w:val="NICETabletext"/>
              <w:keepNext w:val="0"/>
              <w:jc w:val="center"/>
              <w:rPr>
                <w:rFonts w:cs="Arial"/>
                <w:szCs w:val="20"/>
              </w:rPr>
            </w:pPr>
          </w:p>
        </w:tc>
        <w:tc>
          <w:tcPr>
            <w:tcW w:w="0" w:type="auto"/>
            <w:tcBorders>
              <w:top w:val="single" w:sz="4" w:space="0" w:color="auto"/>
              <w:left w:val="nil"/>
              <w:bottom w:val="single" w:sz="4" w:space="0" w:color="auto"/>
              <w:right w:val="nil"/>
            </w:tcBorders>
            <w:shd w:val="clear" w:color="auto" w:fill="auto"/>
            <w:vAlign w:val="bottom"/>
          </w:tcPr>
          <w:p w14:paraId="4E950D3F" w14:textId="77777777" w:rsidR="00EC2472" w:rsidRPr="00C67C0A" w:rsidRDefault="00EC2472">
            <w:pPr>
              <w:pStyle w:val="NICETabletext"/>
              <w:jc w:val="center"/>
              <w:rPr>
                <w:rFonts w:cs="Arial"/>
                <w:szCs w:val="20"/>
              </w:rPr>
            </w:pPr>
          </w:p>
        </w:tc>
        <w:tc>
          <w:tcPr>
            <w:tcW w:w="0" w:type="auto"/>
            <w:vAlign w:val="bottom"/>
          </w:tcPr>
          <w:p w14:paraId="472A0560" w14:textId="77777777" w:rsidR="00EC2472" w:rsidRPr="00C67C0A" w:rsidRDefault="00EC2472">
            <w:pPr>
              <w:pStyle w:val="NICETabletext"/>
              <w:jc w:val="center"/>
              <w:rPr>
                <w:rFonts w:cs="Arial"/>
                <w:szCs w:val="20"/>
              </w:rPr>
            </w:pPr>
          </w:p>
        </w:tc>
        <w:tc>
          <w:tcPr>
            <w:tcW w:w="0" w:type="auto"/>
          </w:tcPr>
          <w:p w14:paraId="321D0566" w14:textId="77777777" w:rsidR="00EC2472" w:rsidRPr="00C67C0A" w:rsidRDefault="00EC2472">
            <w:pPr>
              <w:pStyle w:val="NICETabletext"/>
              <w:jc w:val="center"/>
              <w:rPr>
                <w:rFonts w:cs="Arial"/>
                <w:szCs w:val="20"/>
              </w:rPr>
            </w:pPr>
          </w:p>
        </w:tc>
      </w:tr>
      <w:tr w:rsidR="00EC2472" w:rsidRPr="002241E3" w14:paraId="7733B1AA" w14:textId="77777777">
        <w:trPr>
          <w:trHeight w:val="113"/>
        </w:trPr>
        <w:tc>
          <w:tcPr>
            <w:tcW w:w="0" w:type="auto"/>
            <w:gridSpan w:val="7"/>
            <w:shd w:val="clear" w:color="auto" w:fill="F2F2F2" w:themeFill="background1" w:themeFillShade="F2"/>
            <w:vAlign w:val="center"/>
          </w:tcPr>
          <w:p w14:paraId="1FC582B2" w14:textId="77777777" w:rsidR="00EC2472" w:rsidRPr="00C67C0A" w:rsidRDefault="00EC2472">
            <w:pPr>
              <w:pStyle w:val="NICETabletext"/>
              <w:rPr>
                <w:rFonts w:cs="Arial"/>
                <w:szCs w:val="20"/>
              </w:rPr>
            </w:pPr>
            <w:r w:rsidRPr="00C67C0A">
              <w:rPr>
                <w:rFonts w:cs="Arial"/>
                <w:szCs w:val="20"/>
              </w:rPr>
              <w:t>Chemotherapy</w:t>
            </w:r>
          </w:p>
        </w:tc>
      </w:tr>
      <w:tr w:rsidR="00EC2472" w:rsidRPr="002241E3" w14:paraId="7B8FA89E" w14:textId="77777777">
        <w:trPr>
          <w:trHeight w:val="297"/>
        </w:trPr>
        <w:tc>
          <w:tcPr>
            <w:tcW w:w="0" w:type="auto"/>
          </w:tcPr>
          <w:p w14:paraId="1533C025" w14:textId="77777777" w:rsidR="00EC2472" w:rsidRPr="00C67C0A" w:rsidRDefault="00EC2472">
            <w:pPr>
              <w:pStyle w:val="NICETabletext"/>
              <w:keepNext w:val="0"/>
              <w:ind w:left="306"/>
              <w:rPr>
                <w:rFonts w:cs="Arial"/>
                <w:szCs w:val="20"/>
              </w:rPr>
            </w:pPr>
            <w:r w:rsidRPr="00C67C0A">
              <w:rPr>
                <w:rFonts w:cs="Arial"/>
                <w:szCs w:val="20"/>
              </w:rPr>
              <w:t>Paclitaxel</w:t>
            </w:r>
          </w:p>
        </w:tc>
        <w:tc>
          <w:tcPr>
            <w:tcW w:w="0" w:type="auto"/>
            <w:vAlign w:val="center"/>
          </w:tcPr>
          <w:p w14:paraId="7D5F08CE" w14:textId="48EB4480" w:rsidR="00EC2472" w:rsidRPr="00C67C0A" w:rsidRDefault="00294FDC">
            <w:pPr>
              <w:pStyle w:val="NICETabletext"/>
              <w:jc w:val="center"/>
              <w:rPr>
                <w:rFonts w:cs="Arial"/>
                <w:szCs w:val="20"/>
                <w:highlight w:val="yellow"/>
                <w:u w:val="single"/>
              </w:rPr>
            </w:pPr>
            <w:r w:rsidRPr="00294FDC">
              <w:rPr>
                <w:rFonts w:cs="Arial"/>
                <w:color w:val="000000"/>
                <w:szCs w:val="20"/>
                <w:highlight w:val="black"/>
              </w:rPr>
              <w:t>xxxxxxxxxxxxx</w:t>
            </w:r>
            <w:r w:rsidR="00EC2472" w:rsidRPr="00F370CA">
              <w:rPr>
                <w:rFonts w:cs="Arial"/>
                <w:szCs w:val="20"/>
              </w:rPr>
              <w:t>)</w:t>
            </w:r>
          </w:p>
        </w:tc>
        <w:tc>
          <w:tcPr>
            <w:tcW w:w="0" w:type="auto"/>
            <w:gridSpan w:val="2"/>
            <w:vAlign w:val="center"/>
          </w:tcPr>
          <w:p w14:paraId="41E1BDF9" w14:textId="5FF7B61A" w:rsidR="00EC2472" w:rsidRPr="00C67C0A" w:rsidRDefault="00294FDC">
            <w:pPr>
              <w:pStyle w:val="NICETabletext"/>
              <w:jc w:val="center"/>
              <w:rPr>
                <w:rFonts w:cs="Arial"/>
                <w:szCs w:val="20"/>
                <w:highlight w:val="yellow"/>
                <w:u w:val="single"/>
              </w:rPr>
            </w:pPr>
            <w:r w:rsidRPr="00294FDC">
              <w:rPr>
                <w:rFonts w:cs="Arial"/>
                <w:color w:val="000000"/>
                <w:szCs w:val="20"/>
                <w:highlight w:val="black"/>
              </w:rPr>
              <w:t>xxxxxxxxxxxx</w:t>
            </w:r>
            <w:r w:rsidR="00EC2472" w:rsidRPr="00F370CA">
              <w:rPr>
                <w:rFonts w:cs="Arial"/>
                <w:szCs w:val="20"/>
              </w:rPr>
              <w:t>)</w:t>
            </w:r>
          </w:p>
        </w:tc>
        <w:tc>
          <w:tcPr>
            <w:tcW w:w="0" w:type="auto"/>
          </w:tcPr>
          <w:p w14:paraId="0C41CC1B" w14:textId="77777777" w:rsidR="00EC2472" w:rsidRPr="00C67C0A" w:rsidRDefault="00EC2472">
            <w:pPr>
              <w:pStyle w:val="NICETabletext"/>
              <w:keepNext w:val="0"/>
              <w:jc w:val="center"/>
              <w:rPr>
                <w:rFonts w:cs="Arial"/>
                <w:szCs w:val="20"/>
              </w:rPr>
            </w:pPr>
            <w:r w:rsidRPr="00C67C0A">
              <w:rPr>
                <w:rFonts w:cs="Arial"/>
                <w:szCs w:val="20"/>
              </w:rPr>
              <w:t>175.0 mg/m</w:t>
            </w:r>
            <w:r w:rsidRPr="00C67C0A">
              <w:rPr>
                <w:rFonts w:cs="Arial"/>
                <w:szCs w:val="20"/>
                <w:vertAlign w:val="superscript"/>
              </w:rPr>
              <w:t>2</w:t>
            </w:r>
          </w:p>
        </w:tc>
        <w:tc>
          <w:tcPr>
            <w:tcW w:w="0" w:type="auto"/>
            <w:tcBorders>
              <w:top w:val="single" w:sz="4" w:space="0" w:color="auto"/>
              <w:left w:val="nil"/>
              <w:bottom w:val="single" w:sz="4" w:space="0" w:color="auto"/>
              <w:right w:val="nil"/>
            </w:tcBorders>
            <w:shd w:val="clear" w:color="auto" w:fill="auto"/>
            <w:vAlign w:val="bottom"/>
          </w:tcPr>
          <w:p w14:paraId="533FE8B2" w14:textId="0C3630C0" w:rsidR="00EC2472" w:rsidRPr="00294FDC" w:rsidRDefault="00294FDC">
            <w:pPr>
              <w:pStyle w:val="NICETabletext"/>
              <w:jc w:val="center"/>
              <w:rPr>
                <w:rFonts w:cs="Arial"/>
                <w:color w:val="000000"/>
                <w:szCs w:val="20"/>
                <w:highlight w:val="black"/>
              </w:rPr>
            </w:pPr>
            <w:r w:rsidRPr="00294FDC">
              <w:rPr>
                <w:rFonts w:cs="Arial"/>
                <w:color w:val="000000"/>
                <w:szCs w:val="20"/>
                <w:highlight w:val="black"/>
              </w:rPr>
              <w:t>xxxxxx</w:t>
            </w:r>
          </w:p>
        </w:tc>
        <w:tc>
          <w:tcPr>
            <w:tcW w:w="0" w:type="auto"/>
            <w:vAlign w:val="bottom"/>
          </w:tcPr>
          <w:p w14:paraId="55CEDA0B" w14:textId="09F85DA9" w:rsidR="00EC2472" w:rsidRPr="00294FDC" w:rsidRDefault="00294FDC">
            <w:pPr>
              <w:pStyle w:val="NICETabletext"/>
              <w:jc w:val="center"/>
              <w:rPr>
                <w:rFonts w:cs="Arial"/>
                <w:color w:val="000000"/>
                <w:szCs w:val="20"/>
                <w:highlight w:val="black"/>
              </w:rPr>
            </w:pPr>
            <w:r w:rsidRPr="00294FDC">
              <w:rPr>
                <w:rFonts w:cs="Arial"/>
                <w:color w:val="000000"/>
                <w:szCs w:val="20"/>
                <w:highlight w:val="black"/>
              </w:rPr>
              <w:t>xxxxxxx</w:t>
            </w:r>
          </w:p>
        </w:tc>
      </w:tr>
      <w:tr w:rsidR="00EC2472" w:rsidRPr="002241E3" w14:paraId="3D78FB53" w14:textId="77777777">
        <w:trPr>
          <w:trHeight w:val="291"/>
        </w:trPr>
        <w:tc>
          <w:tcPr>
            <w:tcW w:w="0" w:type="auto"/>
          </w:tcPr>
          <w:p w14:paraId="5144A052" w14:textId="77777777" w:rsidR="00EC2472" w:rsidRPr="00C67C0A" w:rsidRDefault="00EC2472">
            <w:pPr>
              <w:pStyle w:val="NICETabletext"/>
              <w:keepNext w:val="0"/>
              <w:ind w:left="306"/>
              <w:rPr>
                <w:rFonts w:cs="Arial"/>
                <w:szCs w:val="20"/>
              </w:rPr>
            </w:pPr>
            <w:r w:rsidRPr="00C67C0A">
              <w:rPr>
                <w:rFonts w:cs="Arial"/>
                <w:szCs w:val="20"/>
              </w:rPr>
              <w:t>Capecitabine</w:t>
            </w:r>
          </w:p>
        </w:tc>
        <w:tc>
          <w:tcPr>
            <w:tcW w:w="0" w:type="auto"/>
            <w:vAlign w:val="center"/>
          </w:tcPr>
          <w:p w14:paraId="50C74B6C" w14:textId="2E4D898D" w:rsidR="00EC2472" w:rsidRPr="00C67C0A" w:rsidRDefault="00294FDC">
            <w:pPr>
              <w:pStyle w:val="NICETabletext"/>
              <w:jc w:val="center"/>
              <w:rPr>
                <w:rFonts w:cs="Arial"/>
                <w:szCs w:val="20"/>
                <w:highlight w:val="yellow"/>
                <w:u w:val="single"/>
              </w:rPr>
            </w:pPr>
            <w:r w:rsidRPr="00294FDC">
              <w:rPr>
                <w:rFonts w:cs="Arial"/>
                <w:color w:val="000000"/>
                <w:szCs w:val="20"/>
                <w:highlight w:val="black"/>
              </w:rPr>
              <w:t>xxxxxxxxxxxxx</w:t>
            </w:r>
            <w:r w:rsidR="00EC2472" w:rsidRPr="00F370CA">
              <w:rPr>
                <w:rFonts w:cs="Arial"/>
                <w:szCs w:val="20"/>
              </w:rPr>
              <w:t>)</w:t>
            </w:r>
          </w:p>
        </w:tc>
        <w:tc>
          <w:tcPr>
            <w:tcW w:w="0" w:type="auto"/>
            <w:gridSpan w:val="2"/>
            <w:vAlign w:val="center"/>
          </w:tcPr>
          <w:p w14:paraId="08A53BB7" w14:textId="3D11F8C9" w:rsidR="00EC2472" w:rsidRPr="00C67C0A" w:rsidRDefault="00294FDC">
            <w:pPr>
              <w:pStyle w:val="NICETabletext"/>
              <w:jc w:val="center"/>
              <w:rPr>
                <w:rFonts w:cs="Arial"/>
                <w:szCs w:val="20"/>
                <w:highlight w:val="yellow"/>
                <w:u w:val="single"/>
              </w:rPr>
            </w:pPr>
            <w:r w:rsidRPr="00294FDC">
              <w:rPr>
                <w:rFonts w:cs="Arial"/>
                <w:color w:val="000000"/>
                <w:szCs w:val="20"/>
                <w:highlight w:val="black"/>
              </w:rPr>
              <w:t>xxxxxxxxxxxx</w:t>
            </w:r>
            <w:r w:rsidR="00EC2472" w:rsidRPr="00F370CA">
              <w:rPr>
                <w:rFonts w:cs="Arial"/>
                <w:szCs w:val="20"/>
              </w:rPr>
              <w:t>)</w:t>
            </w:r>
          </w:p>
        </w:tc>
        <w:tc>
          <w:tcPr>
            <w:tcW w:w="0" w:type="auto"/>
          </w:tcPr>
          <w:p w14:paraId="45F087EA" w14:textId="77777777" w:rsidR="00EC2472" w:rsidRPr="00C67C0A" w:rsidRDefault="00EC2472">
            <w:pPr>
              <w:pStyle w:val="NICETabletext"/>
              <w:keepNext w:val="0"/>
              <w:jc w:val="center"/>
              <w:rPr>
                <w:rFonts w:cs="Arial"/>
                <w:szCs w:val="20"/>
              </w:rPr>
            </w:pPr>
            <w:r w:rsidRPr="00C67C0A">
              <w:rPr>
                <w:rFonts w:cs="Arial"/>
                <w:szCs w:val="20"/>
              </w:rPr>
              <w:t>1250.0 mg/m</w:t>
            </w:r>
            <w:r w:rsidRPr="00C67C0A">
              <w:rPr>
                <w:rFonts w:cs="Arial"/>
                <w:szCs w:val="20"/>
                <w:vertAlign w:val="superscript"/>
              </w:rPr>
              <w:t>2</w:t>
            </w:r>
          </w:p>
        </w:tc>
        <w:tc>
          <w:tcPr>
            <w:tcW w:w="0" w:type="auto"/>
            <w:tcBorders>
              <w:top w:val="single" w:sz="4" w:space="0" w:color="auto"/>
              <w:left w:val="nil"/>
              <w:bottom w:val="single" w:sz="4" w:space="0" w:color="auto"/>
              <w:right w:val="nil"/>
            </w:tcBorders>
            <w:shd w:val="clear" w:color="auto" w:fill="auto"/>
            <w:vAlign w:val="bottom"/>
          </w:tcPr>
          <w:p w14:paraId="379AEAD5" w14:textId="3D1AE52B" w:rsidR="00EC2472" w:rsidRPr="00294FDC" w:rsidRDefault="00294FDC">
            <w:pPr>
              <w:pStyle w:val="NICETabletext"/>
              <w:jc w:val="center"/>
              <w:rPr>
                <w:rFonts w:cs="Arial"/>
                <w:color w:val="000000"/>
                <w:szCs w:val="20"/>
                <w:highlight w:val="black"/>
              </w:rPr>
            </w:pPr>
            <w:r w:rsidRPr="00294FDC">
              <w:rPr>
                <w:rFonts w:cs="Arial"/>
                <w:color w:val="000000"/>
                <w:szCs w:val="20"/>
                <w:highlight w:val="black"/>
              </w:rPr>
              <w:t>xxxxxx</w:t>
            </w:r>
          </w:p>
        </w:tc>
        <w:tc>
          <w:tcPr>
            <w:tcW w:w="0" w:type="auto"/>
            <w:vAlign w:val="bottom"/>
          </w:tcPr>
          <w:p w14:paraId="4D2FCA84" w14:textId="7B1EB2D1" w:rsidR="00EC2472" w:rsidRPr="00294FDC" w:rsidRDefault="00294FDC">
            <w:pPr>
              <w:pStyle w:val="NICETabletext"/>
              <w:jc w:val="center"/>
              <w:rPr>
                <w:rFonts w:cs="Arial"/>
                <w:color w:val="000000"/>
                <w:szCs w:val="20"/>
                <w:highlight w:val="black"/>
              </w:rPr>
            </w:pPr>
            <w:r w:rsidRPr="00294FDC">
              <w:rPr>
                <w:rFonts w:cs="Arial"/>
                <w:color w:val="000000"/>
                <w:szCs w:val="20"/>
                <w:highlight w:val="black"/>
              </w:rPr>
              <w:t>xxxxxxx</w:t>
            </w:r>
          </w:p>
        </w:tc>
      </w:tr>
      <w:tr w:rsidR="00EC2472" w:rsidRPr="002241E3" w14:paraId="03A0AD9F" w14:textId="77777777">
        <w:trPr>
          <w:trHeight w:val="297"/>
        </w:trPr>
        <w:tc>
          <w:tcPr>
            <w:tcW w:w="0" w:type="auto"/>
          </w:tcPr>
          <w:p w14:paraId="654E8308" w14:textId="77777777" w:rsidR="00EC2472" w:rsidRPr="00C67C0A" w:rsidRDefault="00EC2472">
            <w:pPr>
              <w:pStyle w:val="NICETabletext"/>
              <w:keepNext w:val="0"/>
              <w:ind w:left="306"/>
              <w:rPr>
                <w:rFonts w:cs="Arial"/>
                <w:szCs w:val="20"/>
              </w:rPr>
            </w:pPr>
            <w:r w:rsidRPr="00C67C0A">
              <w:rPr>
                <w:rFonts w:cs="Arial"/>
                <w:szCs w:val="20"/>
              </w:rPr>
              <w:t>Gemcitabine</w:t>
            </w:r>
          </w:p>
        </w:tc>
        <w:tc>
          <w:tcPr>
            <w:tcW w:w="0" w:type="auto"/>
            <w:vAlign w:val="center"/>
          </w:tcPr>
          <w:p w14:paraId="1005A89E" w14:textId="2F9F1DF6" w:rsidR="00EC2472" w:rsidRPr="00C67C0A" w:rsidRDefault="00294FDC">
            <w:pPr>
              <w:pStyle w:val="NICETabletext"/>
              <w:jc w:val="center"/>
              <w:rPr>
                <w:rFonts w:cs="Arial"/>
                <w:szCs w:val="20"/>
                <w:highlight w:val="yellow"/>
                <w:u w:val="single"/>
              </w:rPr>
            </w:pPr>
            <w:r w:rsidRPr="00294FDC">
              <w:rPr>
                <w:rFonts w:cs="Arial"/>
                <w:color w:val="000000"/>
                <w:szCs w:val="20"/>
                <w:highlight w:val="black"/>
              </w:rPr>
              <w:t>xxxxxxxxxxxxx</w:t>
            </w:r>
            <w:r w:rsidR="00EC2472" w:rsidRPr="00F370CA">
              <w:rPr>
                <w:rFonts w:cs="Arial"/>
                <w:szCs w:val="20"/>
              </w:rPr>
              <w:t>)</w:t>
            </w:r>
          </w:p>
        </w:tc>
        <w:tc>
          <w:tcPr>
            <w:tcW w:w="0" w:type="auto"/>
            <w:gridSpan w:val="2"/>
            <w:vAlign w:val="center"/>
          </w:tcPr>
          <w:p w14:paraId="44227FA7" w14:textId="7581FBBA" w:rsidR="00EC2472" w:rsidRPr="00C67C0A" w:rsidRDefault="00294FDC">
            <w:pPr>
              <w:pStyle w:val="NICETabletext"/>
              <w:jc w:val="center"/>
              <w:rPr>
                <w:rFonts w:cs="Arial"/>
                <w:szCs w:val="20"/>
                <w:highlight w:val="yellow"/>
                <w:u w:val="single"/>
              </w:rPr>
            </w:pPr>
            <w:r w:rsidRPr="00294FDC">
              <w:rPr>
                <w:rFonts w:cs="Arial"/>
                <w:color w:val="000000"/>
                <w:szCs w:val="20"/>
                <w:highlight w:val="black"/>
              </w:rPr>
              <w:t>xxxxxxxxxxxx</w:t>
            </w:r>
            <w:r w:rsidR="00EC2472" w:rsidRPr="00F370CA">
              <w:rPr>
                <w:rFonts w:cs="Arial"/>
                <w:szCs w:val="20"/>
              </w:rPr>
              <w:t>)</w:t>
            </w:r>
          </w:p>
        </w:tc>
        <w:tc>
          <w:tcPr>
            <w:tcW w:w="0" w:type="auto"/>
          </w:tcPr>
          <w:p w14:paraId="7A8803BB" w14:textId="77777777" w:rsidR="00EC2472" w:rsidRPr="00C67C0A" w:rsidRDefault="00EC2472">
            <w:pPr>
              <w:pStyle w:val="NICETabletext"/>
              <w:keepNext w:val="0"/>
              <w:jc w:val="center"/>
              <w:rPr>
                <w:rFonts w:cs="Arial"/>
                <w:szCs w:val="20"/>
              </w:rPr>
            </w:pPr>
            <w:r w:rsidRPr="00C67C0A">
              <w:rPr>
                <w:rFonts w:cs="Arial"/>
                <w:szCs w:val="20"/>
              </w:rPr>
              <w:t>1250.0 mg/m</w:t>
            </w:r>
            <w:r w:rsidRPr="00C67C0A">
              <w:rPr>
                <w:rFonts w:cs="Arial"/>
                <w:szCs w:val="20"/>
                <w:vertAlign w:val="superscript"/>
              </w:rPr>
              <w:t>2</w:t>
            </w:r>
          </w:p>
        </w:tc>
        <w:tc>
          <w:tcPr>
            <w:tcW w:w="0" w:type="auto"/>
            <w:tcBorders>
              <w:top w:val="single" w:sz="4" w:space="0" w:color="auto"/>
              <w:left w:val="nil"/>
              <w:bottom w:val="single" w:sz="4" w:space="0" w:color="auto"/>
              <w:right w:val="nil"/>
            </w:tcBorders>
            <w:shd w:val="clear" w:color="auto" w:fill="auto"/>
            <w:vAlign w:val="bottom"/>
          </w:tcPr>
          <w:p w14:paraId="4F040383" w14:textId="2071B338" w:rsidR="00EC2472" w:rsidRPr="00294FDC" w:rsidRDefault="00294FDC">
            <w:pPr>
              <w:pStyle w:val="NICETabletext"/>
              <w:jc w:val="center"/>
              <w:rPr>
                <w:rFonts w:cs="Arial"/>
                <w:color w:val="000000"/>
                <w:szCs w:val="20"/>
                <w:highlight w:val="black"/>
              </w:rPr>
            </w:pPr>
            <w:r w:rsidRPr="00294FDC">
              <w:rPr>
                <w:rFonts w:cs="Arial"/>
                <w:color w:val="000000"/>
                <w:szCs w:val="20"/>
                <w:highlight w:val="black"/>
              </w:rPr>
              <w:t>xxxxxxx</w:t>
            </w:r>
          </w:p>
        </w:tc>
        <w:tc>
          <w:tcPr>
            <w:tcW w:w="0" w:type="auto"/>
            <w:vAlign w:val="bottom"/>
          </w:tcPr>
          <w:p w14:paraId="680785B0" w14:textId="0C417DBB" w:rsidR="00EC2472" w:rsidRPr="00294FDC" w:rsidRDefault="00294FDC">
            <w:pPr>
              <w:pStyle w:val="NICETabletext"/>
              <w:jc w:val="center"/>
              <w:rPr>
                <w:rFonts w:cs="Arial"/>
                <w:color w:val="000000"/>
                <w:szCs w:val="20"/>
                <w:highlight w:val="black"/>
              </w:rPr>
            </w:pPr>
            <w:r w:rsidRPr="00294FDC">
              <w:rPr>
                <w:rFonts w:cs="Arial"/>
                <w:color w:val="000000"/>
                <w:szCs w:val="20"/>
                <w:highlight w:val="black"/>
              </w:rPr>
              <w:t>xxxxxxx</w:t>
            </w:r>
          </w:p>
        </w:tc>
      </w:tr>
      <w:tr w:rsidR="00EC2472" w:rsidRPr="002241E3" w14:paraId="4E346240" w14:textId="77777777">
        <w:trPr>
          <w:trHeight w:val="297"/>
        </w:trPr>
        <w:tc>
          <w:tcPr>
            <w:tcW w:w="0" w:type="auto"/>
          </w:tcPr>
          <w:p w14:paraId="463169D4" w14:textId="77777777" w:rsidR="00EC2472" w:rsidRPr="00C67C0A" w:rsidRDefault="00EC2472">
            <w:pPr>
              <w:pStyle w:val="NICETabletext"/>
              <w:keepNext w:val="0"/>
              <w:ind w:left="306"/>
              <w:rPr>
                <w:rFonts w:cs="Arial"/>
                <w:szCs w:val="20"/>
              </w:rPr>
            </w:pPr>
            <w:r w:rsidRPr="00C67C0A">
              <w:rPr>
                <w:rFonts w:cs="Arial"/>
                <w:szCs w:val="20"/>
              </w:rPr>
              <w:t>Eribulin</w:t>
            </w:r>
          </w:p>
        </w:tc>
        <w:tc>
          <w:tcPr>
            <w:tcW w:w="0" w:type="auto"/>
            <w:vAlign w:val="center"/>
          </w:tcPr>
          <w:p w14:paraId="70B5C547" w14:textId="3F29124B" w:rsidR="00EC2472" w:rsidRPr="00C67C0A" w:rsidRDefault="00294FDC">
            <w:pPr>
              <w:pStyle w:val="NICETabletext"/>
              <w:jc w:val="center"/>
              <w:rPr>
                <w:rFonts w:cs="Arial"/>
                <w:szCs w:val="20"/>
                <w:highlight w:val="yellow"/>
                <w:u w:val="single"/>
              </w:rPr>
            </w:pPr>
            <w:r w:rsidRPr="00294FDC">
              <w:rPr>
                <w:rFonts w:cs="Arial"/>
                <w:color w:val="000000"/>
                <w:szCs w:val="20"/>
                <w:highlight w:val="black"/>
              </w:rPr>
              <w:t>xxxxxxxxxxxxx</w:t>
            </w:r>
            <w:r w:rsidR="00EC2472" w:rsidRPr="00F370CA">
              <w:rPr>
                <w:rFonts w:cs="Arial"/>
                <w:szCs w:val="20"/>
              </w:rPr>
              <w:t>)</w:t>
            </w:r>
          </w:p>
        </w:tc>
        <w:tc>
          <w:tcPr>
            <w:tcW w:w="0" w:type="auto"/>
            <w:gridSpan w:val="2"/>
            <w:vAlign w:val="center"/>
          </w:tcPr>
          <w:p w14:paraId="085E17C7" w14:textId="16A2FE11" w:rsidR="00EC2472" w:rsidRPr="00C67C0A" w:rsidRDefault="00294FDC">
            <w:pPr>
              <w:pStyle w:val="NICETabletext"/>
              <w:jc w:val="center"/>
              <w:rPr>
                <w:rFonts w:cs="Arial"/>
                <w:szCs w:val="20"/>
                <w:highlight w:val="yellow"/>
                <w:u w:val="single"/>
              </w:rPr>
            </w:pPr>
            <w:r w:rsidRPr="00294FDC">
              <w:rPr>
                <w:rFonts w:cs="Arial"/>
                <w:color w:val="000000"/>
                <w:szCs w:val="20"/>
                <w:highlight w:val="black"/>
              </w:rPr>
              <w:t>xxxxxxxxxxxx</w:t>
            </w:r>
            <w:r w:rsidR="00EC2472" w:rsidRPr="00F370CA">
              <w:rPr>
                <w:rFonts w:cs="Arial"/>
                <w:szCs w:val="20"/>
              </w:rPr>
              <w:t>)</w:t>
            </w:r>
          </w:p>
        </w:tc>
        <w:tc>
          <w:tcPr>
            <w:tcW w:w="0" w:type="auto"/>
          </w:tcPr>
          <w:p w14:paraId="1CC2DED3" w14:textId="77777777" w:rsidR="00EC2472" w:rsidRPr="00C67C0A" w:rsidRDefault="00EC2472">
            <w:pPr>
              <w:pStyle w:val="NICETabletext"/>
              <w:keepNext w:val="0"/>
              <w:jc w:val="center"/>
              <w:rPr>
                <w:rFonts w:cs="Arial"/>
                <w:szCs w:val="20"/>
              </w:rPr>
            </w:pPr>
            <w:r w:rsidRPr="00C67C0A">
              <w:rPr>
                <w:rFonts w:cs="Arial"/>
                <w:szCs w:val="20"/>
              </w:rPr>
              <w:t>1.2 mg/m</w:t>
            </w:r>
            <w:r w:rsidRPr="00C67C0A">
              <w:rPr>
                <w:rFonts w:cs="Arial"/>
                <w:szCs w:val="20"/>
                <w:vertAlign w:val="superscript"/>
              </w:rPr>
              <w:t>2</w:t>
            </w:r>
          </w:p>
        </w:tc>
        <w:tc>
          <w:tcPr>
            <w:tcW w:w="0" w:type="auto"/>
            <w:tcBorders>
              <w:top w:val="single" w:sz="4" w:space="0" w:color="auto"/>
              <w:left w:val="nil"/>
              <w:bottom w:val="single" w:sz="4" w:space="0" w:color="auto"/>
              <w:right w:val="nil"/>
            </w:tcBorders>
            <w:shd w:val="clear" w:color="auto" w:fill="auto"/>
            <w:vAlign w:val="bottom"/>
          </w:tcPr>
          <w:p w14:paraId="7AEAFA99" w14:textId="0930C0CB" w:rsidR="00EC2472" w:rsidRPr="00294FDC" w:rsidRDefault="00294FDC">
            <w:pPr>
              <w:pStyle w:val="NICETabletext"/>
              <w:jc w:val="center"/>
              <w:rPr>
                <w:rFonts w:cs="Arial"/>
                <w:color w:val="000000"/>
                <w:szCs w:val="20"/>
                <w:highlight w:val="black"/>
              </w:rPr>
            </w:pPr>
            <w:r w:rsidRPr="00294FDC">
              <w:rPr>
                <w:rFonts w:cs="Arial"/>
                <w:color w:val="000000"/>
                <w:szCs w:val="20"/>
                <w:highlight w:val="black"/>
              </w:rPr>
              <w:t>xxxxxxxxx</w:t>
            </w:r>
          </w:p>
        </w:tc>
        <w:tc>
          <w:tcPr>
            <w:tcW w:w="0" w:type="auto"/>
            <w:vAlign w:val="bottom"/>
          </w:tcPr>
          <w:p w14:paraId="239CB765" w14:textId="56B0B03F" w:rsidR="00EC2472" w:rsidRPr="00294FDC" w:rsidRDefault="00294FDC">
            <w:pPr>
              <w:pStyle w:val="NICETabletext"/>
              <w:jc w:val="center"/>
              <w:rPr>
                <w:rFonts w:cs="Arial"/>
                <w:color w:val="000000"/>
                <w:szCs w:val="20"/>
                <w:highlight w:val="black"/>
              </w:rPr>
            </w:pPr>
            <w:r w:rsidRPr="00294FDC">
              <w:rPr>
                <w:rFonts w:cs="Arial"/>
                <w:color w:val="000000"/>
                <w:szCs w:val="20"/>
                <w:highlight w:val="black"/>
              </w:rPr>
              <w:t>xxxxxxx</w:t>
            </w:r>
          </w:p>
        </w:tc>
      </w:tr>
      <w:tr w:rsidR="00EC2472" w:rsidRPr="002241E3" w14:paraId="3BBD1D67" w14:textId="77777777">
        <w:trPr>
          <w:trHeight w:val="291"/>
        </w:trPr>
        <w:tc>
          <w:tcPr>
            <w:tcW w:w="0" w:type="auto"/>
          </w:tcPr>
          <w:p w14:paraId="4AAA12CE" w14:textId="77777777" w:rsidR="00EC2472" w:rsidRPr="00C67C0A" w:rsidRDefault="00EC2472">
            <w:pPr>
              <w:pStyle w:val="NICETabletext"/>
              <w:keepNext w:val="0"/>
              <w:ind w:left="306"/>
              <w:rPr>
                <w:rFonts w:cs="Arial"/>
                <w:szCs w:val="20"/>
              </w:rPr>
            </w:pPr>
            <w:r w:rsidRPr="00C67C0A">
              <w:rPr>
                <w:rFonts w:cs="Arial"/>
                <w:szCs w:val="20"/>
              </w:rPr>
              <w:t>Vinorelbine</w:t>
            </w:r>
          </w:p>
        </w:tc>
        <w:tc>
          <w:tcPr>
            <w:tcW w:w="0" w:type="auto"/>
            <w:vAlign w:val="center"/>
          </w:tcPr>
          <w:p w14:paraId="79A055B4" w14:textId="1651C771" w:rsidR="00EC2472" w:rsidRPr="00C67C0A" w:rsidRDefault="00294FDC">
            <w:pPr>
              <w:pStyle w:val="NICETabletext"/>
              <w:jc w:val="center"/>
              <w:rPr>
                <w:rFonts w:cs="Arial"/>
                <w:szCs w:val="20"/>
                <w:highlight w:val="yellow"/>
                <w:u w:val="single"/>
              </w:rPr>
            </w:pPr>
            <w:r w:rsidRPr="00294FDC">
              <w:rPr>
                <w:rFonts w:cs="Arial"/>
                <w:color w:val="000000"/>
                <w:szCs w:val="20"/>
                <w:highlight w:val="black"/>
              </w:rPr>
              <w:t>xxxxxxxxxxxx</w:t>
            </w:r>
            <w:r w:rsidR="00EC2472" w:rsidRPr="00F370CA">
              <w:rPr>
                <w:rFonts w:cs="Arial"/>
                <w:szCs w:val="20"/>
              </w:rPr>
              <w:t>)</w:t>
            </w:r>
          </w:p>
        </w:tc>
        <w:tc>
          <w:tcPr>
            <w:tcW w:w="0" w:type="auto"/>
            <w:gridSpan w:val="2"/>
            <w:vAlign w:val="center"/>
          </w:tcPr>
          <w:p w14:paraId="1704D7AC" w14:textId="05F99072" w:rsidR="00EC2472" w:rsidRPr="00C67C0A" w:rsidRDefault="00294FDC">
            <w:pPr>
              <w:pStyle w:val="NICETabletext"/>
              <w:jc w:val="center"/>
              <w:rPr>
                <w:rFonts w:cs="Arial"/>
                <w:szCs w:val="20"/>
                <w:highlight w:val="yellow"/>
                <w:u w:val="single"/>
              </w:rPr>
            </w:pPr>
            <w:r w:rsidRPr="00294FDC">
              <w:rPr>
                <w:rFonts w:cs="Arial"/>
                <w:color w:val="000000"/>
                <w:szCs w:val="20"/>
                <w:highlight w:val="black"/>
              </w:rPr>
              <w:t>xxxxxxxxxxxx</w:t>
            </w:r>
            <w:r w:rsidR="00EC2472" w:rsidRPr="00F370CA">
              <w:rPr>
                <w:rFonts w:cs="Arial"/>
                <w:szCs w:val="20"/>
              </w:rPr>
              <w:t>)</w:t>
            </w:r>
          </w:p>
        </w:tc>
        <w:tc>
          <w:tcPr>
            <w:tcW w:w="0" w:type="auto"/>
          </w:tcPr>
          <w:p w14:paraId="2FD2AFF0" w14:textId="77777777" w:rsidR="00EC2472" w:rsidRPr="00C67C0A" w:rsidRDefault="00EC2472">
            <w:pPr>
              <w:pStyle w:val="NICETabletext"/>
              <w:keepNext w:val="0"/>
              <w:jc w:val="center"/>
              <w:rPr>
                <w:rFonts w:cs="Arial"/>
                <w:szCs w:val="20"/>
              </w:rPr>
            </w:pPr>
            <w:r w:rsidRPr="00C67C0A">
              <w:rPr>
                <w:rFonts w:cs="Arial"/>
                <w:szCs w:val="20"/>
              </w:rPr>
              <w:t>60.0 mg/m</w:t>
            </w:r>
            <w:r w:rsidRPr="00C67C0A">
              <w:rPr>
                <w:rFonts w:cs="Arial"/>
                <w:szCs w:val="20"/>
                <w:vertAlign w:val="superscript"/>
              </w:rPr>
              <w:t>2</w:t>
            </w:r>
          </w:p>
        </w:tc>
        <w:tc>
          <w:tcPr>
            <w:tcW w:w="0" w:type="auto"/>
            <w:tcBorders>
              <w:top w:val="single" w:sz="4" w:space="0" w:color="auto"/>
              <w:left w:val="nil"/>
              <w:bottom w:val="single" w:sz="4" w:space="0" w:color="auto"/>
              <w:right w:val="nil"/>
            </w:tcBorders>
            <w:shd w:val="clear" w:color="auto" w:fill="auto"/>
            <w:vAlign w:val="bottom"/>
          </w:tcPr>
          <w:p w14:paraId="40B4447B" w14:textId="186F1C16" w:rsidR="00EC2472" w:rsidRPr="00294FDC" w:rsidRDefault="00294FDC">
            <w:pPr>
              <w:pStyle w:val="NICETabletext"/>
              <w:jc w:val="center"/>
              <w:rPr>
                <w:rFonts w:cs="Arial"/>
                <w:color w:val="000000"/>
                <w:szCs w:val="20"/>
                <w:highlight w:val="black"/>
              </w:rPr>
            </w:pPr>
            <w:r w:rsidRPr="00294FDC">
              <w:rPr>
                <w:rFonts w:cs="Arial"/>
                <w:color w:val="000000"/>
                <w:szCs w:val="20"/>
                <w:highlight w:val="black"/>
              </w:rPr>
              <w:t>xxxxxx</w:t>
            </w:r>
          </w:p>
        </w:tc>
        <w:tc>
          <w:tcPr>
            <w:tcW w:w="0" w:type="auto"/>
            <w:vAlign w:val="bottom"/>
          </w:tcPr>
          <w:p w14:paraId="5EB408A9" w14:textId="6E9C9F21" w:rsidR="00EC2472" w:rsidRPr="00294FDC" w:rsidRDefault="00294FDC">
            <w:pPr>
              <w:pStyle w:val="NICETabletext"/>
              <w:jc w:val="center"/>
              <w:rPr>
                <w:rFonts w:cs="Arial"/>
                <w:color w:val="000000"/>
                <w:szCs w:val="20"/>
                <w:highlight w:val="black"/>
              </w:rPr>
            </w:pPr>
            <w:r w:rsidRPr="00294FDC">
              <w:rPr>
                <w:rFonts w:cs="Arial"/>
                <w:color w:val="000000"/>
                <w:szCs w:val="20"/>
                <w:highlight w:val="black"/>
              </w:rPr>
              <w:t>xxxxxxx</w:t>
            </w:r>
          </w:p>
        </w:tc>
      </w:tr>
      <w:tr w:rsidR="00EC2472" w:rsidRPr="002241E3" w14:paraId="49AD0FF2" w14:textId="77777777">
        <w:trPr>
          <w:trHeight w:val="297"/>
        </w:trPr>
        <w:tc>
          <w:tcPr>
            <w:tcW w:w="0" w:type="auto"/>
          </w:tcPr>
          <w:p w14:paraId="611DC25F" w14:textId="77777777" w:rsidR="00EC2472" w:rsidRPr="00C67C0A" w:rsidRDefault="00EC2472">
            <w:pPr>
              <w:pStyle w:val="NICETabletext"/>
              <w:keepNext w:val="0"/>
              <w:ind w:left="306"/>
              <w:rPr>
                <w:rFonts w:cs="Arial"/>
                <w:szCs w:val="20"/>
              </w:rPr>
            </w:pPr>
            <w:r w:rsidRPr="00C67C0A">
              <w:rPr>
                <w:rFonts w:cs="Arial"/>
                <w:szCs w:val="20"/>
              </w:rPr>
              <w:t>Epirubicin</w:t>
            </w:r>
          </w:p>
        </w:tc>
        <w:tc>
          <w:tcPr>
            <w:tcW w:w="0" w:type="auto"/>
            <w:vAlign w:val="center"/>
          </w:tcPr>
          <w:p w14:paraId="4DB69B11" w14:textId="33010BA8" w:rsidR="00EC2472" w:rsidRPr="00C67C0A" w:rsidRDefault="00294FDC">
            <w:pPr>
              <w:pStyle w:val="NICETabletext"/>
              <w:jc w:val="center"/>
              <w:rPr>
                <w:rFonts w:cs="Arial"/>
                <w:szCs w:val="20"/>
                <w:highlight w:val="yellow"/>
                <w:u w:val="single"/>
              </w:rPr>
            </w:pPr>
            <w:r w:rsidRPr="00294FDC">
              <w:rPr>
                <w:rFonts w:cs="Arial"/>
                <w:color w:val="000000"/>
                <w:szCs w:val="20"/>
                <w:highlight w:val="black"/>
              </w:rPr>
              <w:t>xxxxxxxxxxx</w:t>
            </w:r>
            <w:r w:rsidR="00EC2472" w:rsidRPr="00F370CA">
              <w:rPr>
                <w:rFonts w:cs="Arial"/>
                <w:szCs w:val="20"/>
              </w:rPr>
              <w:t>)</w:t>
            </w:r>
          </w:p>
        </w:tc>
        <w:tc>
          <w:tcPr>
            <w:tcW w:w="0" w:type="auto"/>
            <w:gridSpan w:val="2"/>
            <w:vAlign w:val="center"/>
          </w:tcPr>
          <w:p w14:paraId="7167ABDF" w14:textId="20ED438B" w:rsidR="00EC2472" w:rsidRPr="00C67C0A" w:rsidRDefault="00294FDC">
            <w:pPr>
              <w:pStyle w:val="NICETabletext"/>
              <w:jc w:val="center"/>
              <w:rPr>
                <w:rFonts w:cs="Arial"/>
                <w:szCs w:val="20"/>
                <w:highlight w:val="yellow"/>
                <w:u w:val="single"/>
              </w:rPr>
            </w:pPr>
            <w:r w:rsidRPr="00294FDC">
              <w:rPr>
                <w:rFonts w:cs="Arial"/>
                <w:color w:val="000000"/>
                <w:szCs w:val="20"/>
                <w:highlight w:val="black"/>
              </w:rPr>
              <w:t>xxxxxxxxxxx</w:t>
            </w:r>
            <w:r w:rsidR="00EC2472" w:rsidRPr="00F370CA">
              <w:rPr>
                <w:rFonts w:cs="Arial"/>
                <w:szCs w:val="20"/>
              </w:rPr>
              <w:t>)</w:t>
            </w:r>
          </w:p>
        </w:tc>
        <w:tc>
          <w:tcPr>
            <w:tcW w:w="0" w:type="auto"/>
          </w:tcPr>
          <w:p w14:paraId="31397BE7" w14:textId="77777777" w:rsidR="00EC2472" w:rsidRPr="00C67C0A" w:rsidRDefault="00EC2472">
            <w:pPr>
              <w:pStyle w:val="NICETabletext"/>
              <w:keepNext w:val="0"/>
              <w:jc w:val="center"/>
              <w:rPr>
                <w:rFonts w:cs="Arial"/>
                <w:szCs w:val="20"/>
              </w:rPr>
            </w:pPr>
            <w:r w:rsidRPr="00C67C0A">
              <w:rPr>
                <w:rFonts w:cs="Arial"/>
                <w:szCs w:val="20"/>
              </w:rPr>
              <w:t>100.0 mg/m</w:t>
            </w:r>
            <w:r w:rsidRPr="00C67C0A">
              <w:rPr>
                <w:rFonts w:cs="Arial"/>
                <w:szCs w:val="20"/>
                <w:vertAlign w:val="superscript"/>
              </w:rPr>
              <w:t>2</w:t>
            </w:r>
          </w:p>
        </w:tc>
        <w:tc>
          <w:tcPr>
            <w:tcW w:w="0" w:type="auto"/>
            <w:tcBorders>
              <w:top w:val="single" w:sz="4" w:space="0" w:color="auto"/>
              <w:left w:val="nil"/>
              <w:bottom w:val="single" w:sz="4" w:space="0" w:color="auto"/>
              <w:right w:val="nil"/>
            </w:tcBorders>
            <w:shd w:val="clear" w:color="auto" w:fill="auto"/>
            <w:vAlign w:val="bottom"/>
          </w:tcPr>
          <w:p w14:paraId="05532A5C" w14:textId="72FC9EAF" w:rsidR="00EC2472" w:rsidRPr="00294FDC" w:rsidRDefault="00294FDC">
            <w:pPr>
              <w:pStyle w:val="NICETabletext"/>
              <w:jc w:val="center"/>
              <w:rPr>
                <w:rFonts w:cs="Arial"/>
                <w:color w:val="000000"/>
                <w:szCs w:val="20"/>
                <w:highlight w:val="black"/>
              </w:rPr>
            </w:pPr>
            <w:r w:rsidRPr="00294FDC">
              <w:rPr>
                <w:rFonts w:cs="Arial"/>
                <w:color w:val="000000"/>
                <w:szCs w:val="20"/>
                <w:highlight w:val="black"/>
              </w:rPr>
              <w:t>xxxxxx</w:t>
            </w:r>
          </w:p>
        </w:tc>
        <w:tc>
          <w:tcPr>
            <w:tcW w:w="0" w:type="auto"/>
            <w:vAlign w:val="bottom"/>
          </w:tcPr>
          <w:p w14:paraId="628CABF0" w14:textId="76B5FD6A" w:rsidR="00EC2472" w:rsidRPr="00294FDC" w:rsidRDefault="00294FDC">
            <w:pPr>
              <w:pStyle w:val="NICETabletext"/>
              <w:jc w:val="center"/>
              <w:rPr>
                <w:rFonts w:cs="Arial"/>
                <w:color w:val="000000"/>
                <w:szCs w:val="20"/>
                <w:highlight w:val="black"/>
              </w:rPr>
            </w:pPr>
            <w:r w:rsidRPr="00294FDC">
              <w:rPr>
                <w:rFonts w:cs="Arial"/>
                <w:color w:val="000000"/>
                <w:szCs w:val="20"/>
                <w:highlight w:val="black"/>
              </w:rPr>
              <w:t>xxxxxxx</w:t>
            </w:r>
          </w:p>
        </w:tc>
      </w:tr>
      <w:tr w:rsidR="00EC2472" w:rsidRPr="002241E3" w14:paraId="4DC7C84C" w14:textId="77777777">
        <w:trPr>
          <w:trHeight w:val="297"/>
        </w:trPr>
        <w:tc>
          <w:tcPr>
            <w:tcW w:w="0" w:type="auto"/>
          </w:tcPr>
          <w:p w14:paraId="0F499720" w14:textId="77777777" w:rsidR="00EC2472" w:rsidRPr="00C67C0A" w:rsidRDefault="00EC2472">
            <w:pPr>
              <w:pStyle w:val="NICETabletext"/>
              <w:keepNext w:val="0"/>
              <w:ind w:left="306"/>
              <w:rPr>
                <w:rFonts w:cs="Arial"/>
                <w:szCs w:val="20"/>
              </w:rPr>
            </w:pPr>
            <w:r w:rsidRPr="00C67C0A">
              <w:rPr>
                <w:rFonts w:cs="Arial"/>
                <w:szCs w:val="20"/>
              </w:rPr>
              <w:t>Carboplatin</w:t>
            </w:r>
          </w:p>
        </w:tc>
        <w:tc>
          <w:tcPr>
            <w:tcW w:w="0" w:type="auto"/>
            <w:vAlign w:val="center"/>
          </w:tcPr>
          <w:p w14:paraId="153762CC" w14:textId="0DD125A1" w:rsidR="00EC2472" w:rsidRPr="00C67C0A" w:rsidRDefault="00294FDC">
            <w:pPr>
              <w:pStyle w:val="NICETabletext"/>
              <w:jc w:val="center"/>
              <w:rPr>
                <w:rFonts w:cs="Arial"/>
                <w:szCs w:val="20"/>
                <w:highlight w:val="yellow"/>
                <w:u w:val="single"/>
              </w:rPr>
            </w:pPr>
            <w:r w:rsidRPr="00294FDC">
              <w:rPr>
                <w:rFonts w:cs="Arial"/>
                <w:color w:val="000000"/>
                <w:szCs w:val="20"/>
                <w:highlight w:val="black"/>
              </w:rPr>
              <w:t>xxxxxxxxxxxx</w:t>
            </w:r>
            <w:r w:rsidR="00EC2472" w:rsidRPr="00F370CA">
              <w:rPr>
                <w:rFonts w:cs="Arial"/>
                <w:szCs w:val="20"/>
              </w:rPr>
              <w:t>)</w:t>
            </w:r>
          </w:p>
        </w:tc>
        <w:tc>
          <w:tcPr>
            <w:tcW w:w="0" w:type="auto"/>
            <w:gridSpan w:val="2"/>
            <w:vAlign w:val="center"/>
          </w:tcPr>
          <w:p w14:paraId="08D5DA1E" w14:textId="522716B7" w:rsidR="00EC2472" w:rsidRPr="00C67C0A" w:rsidRDefault="00294FDC">
            <w:pPr>
              <w:pStyle w:val="NICETabletext"/>
              <w:jc w:val="center"/>
              <w:rPr>
                <w:rFonts w:cs="Arial"/>
                <w:szCs w:val="20"/>
                <w:highlight w:val="yellow"/>
                <w:u w:val="single"/>
              </w:rPr>
            </w:pPr>
            <w:r w:rsidRPr="00294FDC">
              <w:rPr>
                <w:rFonts w:cs="Arial"/>
                <w:color w:val="000000"/>
                <w:szCs w:val="20"/>
                <w:highlight w:val="black"/>
              </w:rPr>
              <w:t>xxxxxxxxxxxx</w:t>
            </w:r>
            <w:r w:rsidR="00EC2472" w:rsidRPr="00F370CA">
              <w:rPr>
                <w:rFonts w:cs="Arial"/>
                <w:szCs w:val="20"/>
              </w:rPr>
              <w:t>)</w:t>
            </w:r>
          </w:p>
        </w:tc>
        <w:tc>
          <w:tcPr>
            <w:tcW w:w="0" w:type="auto"/>
          </w:tcPr>
          <w:p w14:paraId="0F1D789C" w14:textId="77777777" w:rsidR="00EC2472" w:rsidRPr="00C67C0A" w:rsidRDefault="00EC2472">
            <w:pPr>
              <w:pStyle w:val="NICETabletext"/>
              <w:keepNext w:val="0"/>
              <w:jc w:val="center"/>
              <w:rPr>
                <w:rFonts w:cs="Arial"/>
                <w:szCs w:val="20"/>
              </w:rPr>
            </w:pPr>
            <w:r w:rsidRPr="00C67C0A">
              <w:rPr>
                <w:rFonts w:cs="Arial"/>
                <w:szCs w:val="20"/>
              </w:rPr>
              <w:t>400.0 mg/m</w:t>
            </w:r>
            <w:r w:rsidRPr="00C67C0A">
              <w:rPr>
                <w:rFonts w:cs="Arial"/>
                <w:szCs w:val="20"/>
                <w:vertAlign w:val="superscript"/>
              </w:rPr>
              <w:t>2</w:t>
            </w:r>
          </w:p>
        </w:tc>
        <w:tc>
          <w:tcPr>
            <w:tcW w:w="0" w:type="auto"/>
            <w:tcBorders>
              <w:top w:val="single" w:sz="4" w:space="0" w:color="auto"/>
              <w:left w:val="nil"/>
              <w:bottom w:val="single" w:sz="4" w:space="0" w:color="auto"/>
              <w:right w:val="nil"/>
            </w:tcBorders>
            <w:shd w:val="clear" w:color="auto" w:fill="auto"/>
            <w:vAlign w:val="bottom"/>
          </w:tcPr>
          <w:p w14:paraId="78A8A5A0" w14:textId="56AE8A02" w:rsidR="00EC2472" w:rsidRPr="00294FDC" w:rsidRDefault="00294FDC">
            <w:pPr>
              <w:pStyle w:val="NICETabletext"/>
              <w:jc w:val="center"/>
              <w:rPr>
                <w:rFonts w:cs="Arial"/>
                <w:color w:val="000000"/>
                <w:szCs w:val="20"/>
                <w:highlight w:val="black"/>
              </w:rPr>
            </w:pPr>
            <w:r w:rsidRPr="00294FDC">
              <w:rPr>
                <w:rFonts w:cs="Arial"/>
                <w:color w:val="000000"/>
                <w:szCs w:val="20"/>
                <w:highlight w:val="black"/>
              </w:rPr>
              <w:t>xxxxxx</w:t>
            </w:r>
          </w:p>
        </w:tc>
        <w:tc>
          <w:tcPr>
            <w:tcW w:w="0" w:type="auto"/>
            <w:vAlign w:val="bottom"/>
          </w:tcPr>
          <w:p w14:paraId="78E6EABA" w14:textId="463FB467" w:rsidR="00EC2472" w:rsidRPr="00294FDC" w:rsidRDefault="00294FDC">
            <w:pPr>
              <w:pStyle w:val="NICETabletext"/>
              <w:jc w:val="center"/>
              <w:rPr>
                <w:rFonts w:cs="Arial"/>
                <w:color w:val="000000"/>
                <w:szCs w:val="20"/>
                <w:highlight w:val="black"/>
              </w:rPr>
            </w:pPr>
            <w:r w:rsidRPr="00294FDC">
              <w:rPr>
                <w:rFonts w:cs="Arial"/>
                <w:color w:val="000000"/>
                <w:szCs w:val="20"/>
                <w:highlight w:val="black"/>
              </w:rPr>
              <w:t>xxxxxxx</w:t>
            </w:r>
          </w:p>
        </w:tc>
      </w:tr>
      <w:tr w:rsidR="00EC2472" w:rsidRPr="002241E3" w14:paraId="54AC3C61" w14:textId="77777777">
        <w:trPr>
          <w:trHeight w:val="201"/>
        </w:trPr>
        <w:tc>
          <w:tcPr>
            <w:tcW w:w="0" w:type="auto"/>
            <w:gridSpan w:val="7"/>
            <w:shd w:val="clear" w:color="auto" w:fill="F2F2F2" w:themeFill="background1" w:themeFillShade="F2"/>
            <w:vAlign w:val="center"/>
          </w:tcPr>
          <w:p w14:paraId="045BE6A7" w14:textId="77777777" w:rsidR="00EC2472" w:rsidRPr="00C67C0A" w:rsidRDefault="00EC2472">
            <w:pPr>
              <w:pStyle w:val="NICETabletext"/>
              <w:rPr>
                <w:rFonts w:cs="Arial"/>
                <w:szCs w:val="20"/>
              </w:rPr>
            </w:pPr>
            <w:r w:rsidRPr="00C67C0A">
              <w:rPr>
                <w:rFonts w:cs="Arial"/>
                <w:szCs w:val="20"/>
              </w:rPr>
              <w:t>Endocrine therapy</w:t>
            </w:r>
          </w:p>
        </w:tc>
      </w:tr>
      <w:tr w:rsidR="00EC2472" w:rsidRPr="002241E3" w14:paraId="30C844CE" w14:textId="77777777">
        <w:trPr>
          <w:trHeight w:val="291"/>
        </w:trPr>
        <w:tc>
          <w:tcPr>
            <w:tcW w:w="0" w:type="auto"/>
          </w:tcPr>
          <w:p w14:paraId="6E95396A" w14:textId="77777777" w:rsidR="00EC2472" w:rsidRPr="00C67C0A" w:rsidRDefault="00EC2472">
            <w:pPr>
              <w:pStyle w:val="NICETabletext"/>
              <w:keepNext w:val="0"/>
              <w:ind w:left="306"/>
              <w:rPr>
                <w:rFonts w:cs="Arial"/>
                <w:szCs w:val="20"/>
              </w:rPr>
            </w:pPr>
            <w:r w:rsidRPr="00C67C0A">
              <w:rPr>
                <w:rFonts w:cs="Arial"/>
                <w:szCs w:val="20"/>
              </w:rPr>
              <w:t>Tamoxifen</w:t>
            </w:r>
          </w:p>
        </w:tc>
        <w:tc>
          <w:tcPr>
            <w:tcW w:w="0" w:type="auto"/>
            <w:vAlign w:val="center"/>
          </w:tcPr>
          <w:p w14:paraId="6DC89217" w14:textId="25B95BFB" w:rsidR="00EC2472" w:rsidRPr="00C67C0A" w:rsidRDefault="00294FDC">
            <w:pPr>
              <w:pStyle w:val="NICETabletext"/>
              <w:jc w:val="center"/>
              <w:rPr>
                <w:rFonts w:cs="Arial"/>
                <w:szCs w:val="20"/>
                <w:highlight w:val="yellow"/>
                <w:u w:val="single"/>
              </w:rPr>
            </w:pPr>
            <w:r w:rsidRPr="00294FDC">
              <w:rPr>
                <w:rFonts w:cs="Arial"/>
                <w:color w:val="000000"/>
                <w:szCs w:val="20"/>
                <w:highlight w:val="black"/>
              </w:rPr>
              <w:t>xxxxxxxxxxx</w:t>
            </w:r>
            <w:r w:rsidR="00EC2472" w:rsidRPr="00F370CA">
              <w:rPr>
                <w:rFonts w:cs="Arial"/>
                <w:szCs w:val="20"/>
              </w:rPr>
              <w:t>)</w:t>
            </w:r>
          </w:p>
        </w:tc>
        <w:tc>
          <w:tcPr>
            <w:tcW w:w="0" w:type="auto"/>
            <w:gridSpan w:val="2"/>
            <w:vAlign w:val="center"/>
          </w:tcPr>
          <w:p w14:paraId="42995C7D" w14:textId="54547668" w:rsidR="00EC2472" w:rsidRPr="00C67C0A" w:rsidRDefault="00294FDC">
            <w:pPr>
              <w:pStyle w:val="NICETabletext"/>
              <w:jc w:val="center"/>
              <w:rPr>
                <w:rFonts w:cs="Arial"/>
                <w:szCs w:val="20"/>
                <w:highlight w:val="yellow"/>
                <w:u w:val="single"/>
              </w:rPr>
            </w:pPr>
            <w:r w:rsidRPr="00294FDC">
              <w:rPr>
                <w:rFonts w:cs="Arial"/>
                <w:color w:val="000000"/>
                <w:szCs w:val="20"/>
                <w:highlight w:val="black"/>
              </w:rPr>
              <w:t>xxxxxxxxxxx</w:t>
            </w:r>
            <w:r w:rsidR="00EC2472" w:rsidRPr="00F370CA">
              <w:rPr>
                <w:rFonts w:cs="Arial"/>
                <w:szCs w:val="20"/>
              </w:rPr>
              <w:t>)</w:t>
            </w:r>
          </w:p>
        </w:tc>
        <w:tc>
          <w:tcPr>
            <w:tcW w:w="0" w:type="auto"/>
          </w:tcPr>
          <w:p w14:paraId="107E030D" w14:textId="77777777" w:rsidR="00EC2472" w:rsidRPr="00C67C0A" w:rsidDel="00E7199F" w:rsidRDefault="00EC2472">
            <w:pPr>
              <w:pStyle w:val="NICETabletext"/>
              <w:keepNext w:val="0"/>
              <w:jc w:val="center"/>
              <w:rPr>
                <w:rFonts w:cs="Arial"/>
                <w:szCs w:val="20"/>
              </w:rPr>
            </w:pPr>
            <w:r w:rsidRPr="00C67C0A">
              <w:rPr>
                <w:rFonts w:cs="Arial"/>
                <w:szCs w:val="20"/>
              </w:rPr>
              <w:t>20.0 mg</w:t>
            </w:r>
          </w:p>
          <w:p w14:paraId="4D47C2D1" w14:textId="77777777" w:rsidR="00EC2472" w:rsidRPr="00C67C0A" w:rsidRDefault="00EC2472">
            <w:pPr>
              <w:pStyle w:val="NICETabletext"/>
              <w:keepNext w:val="0"/>
              <w:jc w:val="center"/>
              <w:rPr>
                <w:rFonts w:cs="Arial"/>
                <w:szCs w:val="20"/>
              </w:rPr>
            </w:pPr>
          </w:p>
        </w:tc>
        <w:tc>
          <w:tcPr>
            <w:tcW w:w="0" w:type="auto"/>
            <w:tcBorders>
              <w:top w:val="single" w:sz="4" w:space="0" w:color="auto"/>
              <w:left w:val="nil"/>
              <w:bottom w:val="single" w:sz="4" w:space="0" w:color="auto"/>
              <w:right w:val="nil"/>
            </w:tcBorders>
            <w:shd w:val="clear" w:color="auto" w:fill="auto"/>
            <w:vAlign w:val="center"/>
          </w:tcPr>
          <w:p w14:paraId="5509B580" w14:textId="46E06FC3" w:rsidR="00EC2472" w:rsidRPr="00294FDC" w:rsidRDefault="00294FDC">
            <w:pPr>
              <w:pStyle w:val="NICETabletext"/>
              <w:jc w:val="center"/>
              <w:rPr>
                <w:rFonts w:cs="Arial"/>
                <w:color w:val="000000"/>
                <w:szCs w:val="20"/>
                <w:highlight w:val="black"/>
              </w:rPr>
            </w:pPr>
            <w:r w:rsidRPr="00294FDC">
              <w:rPr>
                <w:rFonts w:cs="Arial"/>
                <w:color w:val="000000"/>
                <w:szCs w:val="20"/>
                <w:highlight w:val="black"/>
              </w:rPr>
              <w:t>xxxxx</w:t>
            </w:r>
          </w:p>
        </w:tc>
        <w:tc>
          <w:tcPr>
            <w:tcW w:w="0" w:type="auto"/>
            <w:vAlign w:val="center"/>
          </w:tcPr>
          <w:p w14:paraId="7084C6B7" w14:textId="6378FC88" w:rsidR="00EC2472" w:rsidRPr="00294FDC" w:rsidRDefault="00294FDC">
            <w:pPr>
              <w:pStyle w:val="NICETabletext"/>
              <w:jc w:val="center"/>
              <w:rPr>
                <w:rFonts w:cs="Arial"/>
                <w:color w:val="000000"/>
                <w:szCs w:val="20"/>
                <w:highlight w:val="black"/>
              </w:rPr>
            </w:pPr>
            <w:r w:rsidRPr="00294FDC">
              <w:rPr>
                <w:rFonts w:cs="Arial"/>
                <w:color w:val="000000"/>
                <w:szCs w:val="20"/>
                <w:highlight w:val="black"/>
              </w:rPr>
              <w:t>xxxxxxxxx</w:t>
            </w:r>
          </w:p>
        </w:tc>
      </w:tr>
      <w:tr w:rsidR="00EC2472" w:rsidRPr="002241E3" w14:paraId="6A0F215E" w14:textId="77777777">
        <w:trPr>
          <w:trHeight w:val="291"/>
        </w:trPr>
        <w:tc>
          <w:tcPr>
            <w:tcW w:w="0" w:type="auto"/>
          </w:tcPr>
          <w:p w14:paraId="0E046316" w14:textId="77777777" w:rsidR="00EC2472" w:rsidRPr="00C67C0A" w:rsidRDefault="00EC2472">
            <w:pPr>
              <w:pStyle w:val="NICETabletext"/>
              <w:keepNext w:val="0"/>
              <w:ind w:left="306"/>
              <w:rPr>
                <w:rFonts w:cs="Arial"/>
                <w:szCs w:val="20"/>
              </w:rPr>
            </w:pPr>
            <w:r w:rsidRPr="00C67C0A">
              <w:rPr>
                <w:rFonts w:cs="Arial"/>
                <w:szCs w:val="20"/>
              </w:rPr>
              <w:t>Fulvestrant</w:t>
            </w:r>
          </w:p>
        </w:tc>
        <w:tc>
          <w:tcPr>
            <w:tcW w:w="0" w:type="auto"/>
            <w:vAlign w:val="center"/>
          </w:tcPr>
          <w:p w14:paraId="595A0B12" w14:textId="5A528FBD" w:rsidR="00EC2472" w:rsidRPr="00C67C0A" w:rsidRDefault="00294FDC">
            <w:pPr>
              <w:pStyle w:val="NICETabletext"/>
              <w:jc w:val="center"/>
              <w:rPr>
                <w:rFonts w:cs="Arial"/>
                <w:szCs w:val="20"/>
                <w:highlight w:val="yellow"/>
                <w:u w:val="single"/>
              </w:rPr>
            </w:pPr>
            <w:r w:rsidRPr="00294FDC">
              <w:rPr>
                <w:rFonts w:cs="Arial"/>
                <w:color w:val="000000"/>
                <w:szCs w:val="20"/>
                <w:highlight w:val="black"/>
              </w:rPr>
              <w:t>xxxxxxxxxxxx</w:t>
            </w:r>
            <w:r w:rsidR="00EC2472" w:rsidRPr="00F370CA">
              <w:rPr>
                <w:rFonts w:cs="Arial"/>
                <w:szCs w:val="20"/>
              </w:rPr>
              <w:t>)</w:t>
            </w:r>
          </w:p>
        </w:tc>
        <w:tc>
          <w:tcPr>
            <w:tcW w:w="0" w:type="auto"/>
            <w:gridSpan w:val="2"/>
            <w:vAlign w:val="center"/>
          </w:tcPr>
          <w:p w14:paraId="6E67A7B3" w14:textId="409F5840" w:rsidR="00EC2472" w:rsidRPr="00C67C0A" w:rsidRDefault="00294FDC">
            <w:pPr>
              <w:pStyle w:val="NICETabletext"/>
              <w:jc w:val="center"/>
              <w:rPr>
                <w:rFonts w:cs="Arial"/>
                <w:szCs w:val="20"/>
                <w:highlight w:val="yellow"/>
                <w:u w:val="single"/>
              </w:rPr>
            </w:pPr>
            <w:r w:rsidRPr="00294FDC">
              <w:rPr>
                <w:rFonts w:cs="Arial"/>
                <w:color w:val="000000"/>
                <w:szCs w:val="20"/>
                <w:highlight w:val="black"/>
              </w:rPr>
              <w:t>xxxxxxxxxxxx</w:t>
            </w:r>
            <w:r w:rsidR="00EC2472" w:rsidRPr="00F370CA">
              <w:rPr>
                <w:rFonts w:cs="Arial"/>
                <w:szCs w:val="20"/>
              </w:rPr>
              <w:t>)</w:t>
            </w:r>
          </w:p>
        </w:tc>
        <w:tc>
          <w:tcPr>
            <w:tcW w:w="0" w:type="auto"/>
          </w:tcPr>
          <w:p w14:paraId="19996907" w14:textId="77777777" w:rsidR="00EC2472" w:rsidRPr="00C67C0A" w:rsidRDefault="00EC2472">
            <w:pPr>
              <w:pStyle w:val="NICETabletext"/>
              <w:keepNext w:val="0"/>
              <w:jc w:val="center"/>
              <w:rPr>
                <w:rFonts w:cs="Arial"/>
                <w:szCs w:val="20"/>
              </w:rPr>
            </w:pPr>
            <w:r w:rsidRPr="00C67C0A">
              <w:rPr>
                <w:rFonts w:cs="Arial"/>
                <w:szCs w:val="20"/>
              </w:rPr>
              <w:t>500.0 mg</w:t>
            </w:r>
          </w:p>
        </w:tc>
        <w:tc>
          <w:tcPr>
            <w:tcW w:w="0" w:type="auto"/>
            <w:tcBorders>
              <w:top w:val="single" w:sz="4" w:space="0" w:color="auto"/>
              <w:left w:val="nil"/>
              <w:bottom w:val="single" w:sz="4" w:space="0" w:color="auto"/>
              <w:right w:val="nil"/>
            </w:tcBorders>
            <w:shd w:val="clear" w:color="auto" w:fill="auto"/>
            <w:vAlign w:val="center"/>
          </w:tcPr>
          <w:p w14:paraId="2D5EF3B5" w14:textId="44F59B9C" w:rsidR="00EC2472" w:rsidRPr="00294FDC" w:rsidRDefault="00294FDC">
            <w:pPr>
              <w:pStyle w:val="NICETabletext"/>
              <w:jc w:val="center"/>
              <w:rPr>
                <w:rFonts w:cs="Arial"/>
                <w:color w:val="000000"/>
                <w:szCs w:val="20"/>
                <w:highlight w:val="black"/>
              </w:rPr>
            </w:pPr>
            <w:r w:rsidRPr="00294FDC">
              <w:rPr>
                <w:rFonts w:cs="Arial"/>
                <w:color w:val="000000"/>
                <w:szCs w:val="20"/>
                <w:highlight w:val="black"/>
              </w:rPr>
              <w:t>xxxxxx</w:t>
            </w:r>
          </w:p>
        </w:tc>
        <w:tc>
          <w:tcPr>
            <w:tcW w:w="0" w:type="auto"/>
            <w:vAlign w:val="center"/>
          </w:tcPr>
          <w:p w14:paraId="2EB82924" w14:textId="726DD7D0" w:rsidR="00EC2472" w:rsidRPr="00294FDC" w:rsidRDefault="00294FDC">
            <w:pPr>
              <w:pStyle w:val="NICETabletext"/>
              <w:jc w:val="center"/>
              <w:rPr>
                <w:rFonts w:cs="Arial"/>
                <w:color w:val="000000"/>
                <w:szCs w:val="20"/>
                <w:highlight w:val="black"/>
              </w:rPr>
            </w:pPr>
            <w:r w:rsidRPr="00294FDC">
              <w:rPr>
                <w:rFonts w:cs="Arial"/>
                <w:color w:val="000000"/>
                <w:szCs w:val="20"/>
                <w:highlight w:val="black"/>
              </w:rPr>
              <w:t>xxxxxxx</w:t>
            </w:r>
          </w:p>
        </w:tc>
      </w:tr>
    </w:tbl>
    <w:p w14:paraId="61800470" w14:textId="77777777" w:rsidR="00EC2472" w:rsidRPr="00C67C0A" w:rsidRDefault="00EC2472" w:rsidP="00EC2472">
      <w:pPr>
        <w:pStyle w:val="NICElegend"/>
      </w:pPr>
      <w:r w:rsidRPr="00C67C0A">
        <w:t>*The proportion of patients on who received individual subsequent treatments exceeds 100% as patients were able to receive multiple lines of therapy or treatments in combination.</w:t>
      </w:r>
    </w:p>
    <w:p w14:paraId="07372F1B" w14:textId="77777777" w:rsidR="00EC2472" w:rsidRPr="00C67C0A" w:rsidRDefault="00EC2472" w:rsidP="00EC2472">
      <w:pPr>
        <w:pStyle w:val="NICElegend"/>
        <w:sectPr w:rsidR="00EC2472" w:rsidRPr="00C67C0A" w:rsidSect="00F174DD">
          <w:headerReference w:type="default" r:id="rId38"/>
          <w:footerReference w:type="default" r:id="rId39"/>
          <w:footnotePr>
            <w:numFmt w:val="lowerLetter"/>
          </w:footnotePr>
          <w:pgSz w:w="16838" w:h="11906" w:orient="landscape"/>
          <w:pgMar w:top="1440" w:right="1440" w:bottom="1440" w:left="1440" w:header="709" w:footer="709" w:gutter="0"/>
          <w:cols w:space="708"/>
          <w:docGrid w:linePitch="360"/>
        </w:sectPr>
      </w:pPr>
      <w:r w:rsidRPr="00C67C0A">
        <w:t>Abbreviations:  T-DXd, trastuzumab deruxtecan; TPC, treatment of physician’s choice.</w:t>
      </w:r>
    </w:p>
    <w:p w14:paraId="6B16E04B" w14:textId="01544915" w:rsidR="00EC2472" w:rsidRDefault="00EC2472" w:rsidP="00EC2472">
      <w:pPr>
        <w:pStyle w:val="Caption"/>
      </w:pPr>
      <w:bookmarkStart w:id="731" w:name="_Ref127008664"/>
      <w:bookmarkStart w:id="732" w:name="_Toc127006690"/>
      <w:bookmarkStart w:id="733" w:name="_Toc129351036"/>
      <w:r>
        <w:lastRenderedPageBreak/>
        <w:t xml:space="preserve">Table </w:t>
      </w:r>
      <w:r>
        <w:fldChar w:fldCharType="begin"/>
      </w:r>
      <w:r>
        <w:instrText>SEQ Table \* ARABIC</w:instrText>
      </w:r>
      <w:r>
        <w:fldChar w:fldCharType="separate"/>
      </w:r>
      <w:r w:rsidR="00145F42">
        <w:rPr>
          <w:noProof/>
        </w:rPr>
        <w:t>61</w:t>
      </w:r>
      <w:r>
        <w:fldChar w:fldCharType="end"/>
      </w:r>
      <w:bookmarkEnd w:id="731"/>
      <w:r>
        <w:t>: Total subsequent therapy costs applied in the model</w:t>
      </w:r>
      <w:bookmarkEnd w:id="732"/>
      <w:bookmarkEnd w:id="733"/>
    </w:p>
    <w:tbl>
      <w:tblPr>
        <w:tblStyle w:val="TableGrid"/>
        <w:tblW w:w="5000" w:type="pct"/>
        <w:tblLook w:val="04A0" w:firstRow="1" w:lastRow="0" w:firstColumn="1" w:lastColumn="0" w:noHBand="0" w:noVBand="1"/>
      </w:tblPr>
      <w:tblGrid>
        <w:gridCol w:w="4155"/>
        <w:gridCol w:w="2317"/>
        <w:gridCol w:w="2544"/>
      </w:tblGrid>
      <w:tr w:rsidR="00EC2472" w14:paraId="47F51730" w14:textId="77777777">
        <w:tc>
          <w:tcPr>
            <w:tcW w:w="2304" w:type="pct"/>
            <w:shd w:val="clear" w:color="auto" w:fill="D9D9D9" w:themeFill="background1" w:themeFillShade="D9"/>
          </w:tcPr>
          <w:p w14:paraId="67A79401" w14:textId="77777777" w:rsidR="00EC2472" w:rsidRPr="009427F8" w:rsidRDefault="00EC2472">
            <w:pPr>
              <w:pStyle w:val="NICETabletext"/>
              <w:rPr>
                <w:b/>
                <w:bCs/>
              </w:rPr>
            </w:pPr>
          </w:p>
        </w:tc>
        <w:tc>
          <w:tcPr>
            <w:tcW w:w="1285" w:type="pct"/>
            <w:shd w:val="clear" w:color="auto" w:fill="D9D9D9" w:themeFill="background1" w:themeFillShade="D9"/>
          </w:tcPr>
          <w:p w14:paraId="22E5E6D2" w14:textId="77777777" w:rsidR="00EC2472" w:rsidRPr="009427F8" w:rsidRDefault="00EC2472">
            <w:pPr>
              <w:pStyle w:val="NICETabletext"/>
              <w:jc w:val="center"/>
              <w:rPr>
                <w:b/>
                <w:bCs/>
              </w:rPr>
            </w:pPr>
            <w:r w:rsidRPr="009427F8">
              <w:rPr>
                <w:b/>
                <w:bCs/>
              </w:rPr>
              <w:t>T-DXd</w:t>
            </w:r>
          </w:p>
        </w:tc>
        <w:tc>
          <w:tcPr>
            <w:tcW w:w="1411" w:type="pct"/>
            <w:shd w:val="clear" w:color="auto" w:fill="D9D9D9" w:themeFill="background1" w:themeFillShade="D9"/>
          </w:tcPr>
          <w:p w14:paraId="68D4D4D0" w14:textId="77777777" w:rsidR="00EC2472" w:rsidRPr="009427F8" w:rsidRDefault="00EC2472">
            <w:pPr>
              <w:pStyle w:val="NICETabletext"/>
              <w:jc w:val="center"/>
              <w:rPr>
                <w:b/>
                <w:bCs/>
              </w:rPr>
            </w:pPr>
            <w:r w:rsidRPr="009427F8">
              <w:rPr>
                <w:b/>
                <w:bCs/>
              </w:rPr>
              <w:t>T</w:t>
            </w:r>
            <w:r>
              <w:rPr>
                <w:b/>
                <w:bCs/>
              </w:rPr>
              <w:t>PC</w:t>
            </w:r>
          </w:p>
        </w:tc>
      </w:tr>
      <w:tr w:rsidR="00EC2472" w14:paraId="422438AF" w14:textId="77777777">
        <w:tc>
          <w:tcPr>
            <w:tcW w:w="2304" w:type="pct"/>
          </w:tcPr>
          <w:p w14:paraId="20876E4C" w14:textId="77777777" w:rsidR="00EC2472" w:rsidRDefault="00EC2472">
            <w:pPr>
              <w:pStyle w:val="NICETabletext"/>
            </w:pPr>
            <w:r>
              <w:t>Total weighted subsequent therapy acquisition cost per cycle</w:t>
            </w:r>
          </w:p>
        </w:tc>
        <w:tc>
          <w:tcPr>
            <w:tcW w:w="1285" w:type="pct"/>
            <w:vAlign w:val="center"/>
          </w:tcPr>
          <w:p w14:paraId="069F15A1" w14:textId="62B5D1C2" w:rsidR="00EC2472" w:rsidRPr="00294FDC" w:rsidRDefault="00294FDC">
            <w:pPr>
              <w:pStyle w:val="NICETabletext"/>
              <w:jc w:val="center"/>
              <w:rPr>
                <w:color w:val="000000"/>
                <w:highlight w:val="black"/>
              </w:rPr>
            </w:pPr>
            <w:r w:rsidRPr="00294FDC">
              <w:rPr>
                <w:color w:val="000000"/>
                <w:highlight w:val="black"/>
              </w:rPr>
              <w:t>xxxxxxx</w:t>
            </w:r>
          </w:p>
        </w:tc>
        <w:tc>
          <w:tcPr>
            <w:tcW w:w="1411" w:type="pct"/>
            <w:vAlign w:val="center"/>
          </w:tcPr>
          <w:p w14:paraId="200D87EC" w14:textId="5EA5FBDF" w:rsidR="00EC2472" w:rsidRPr="00294FDC" w:rsidRDefault="00294FDC">
            <w:pPr>
              <w:pStyle w:val="NICETabletext"/>
              <w:jc w:val="center"/>
              <w:rPr>
                <w:color w:val="000000"/>
                <w:highlight w:val="black"/>
              </w:rPr>
            </w:pPr>
            <w:r w:rsidRPr="00294FDC">
              <w:rPr>
                <w:color w:val="000000"/>
                <w:highlight w:val="black"/>
              </w:rPr>
              <w:t>xxxxxxx</w:t>
            </w:r>
          </w:p>
        </w:tc>
      </w:tr>
      <w:tr w:rsidR="00EC2472" w14:paraId="2FA8D802" w14:textId="77777777">
        <w:tc>
          <w:tcPr>
            <w:tcW w:w="2304" w:type="pct"/>
          </w:tcPr>
          <w:p w14:paraId="029F6426" w14:textId="77777777" w:rsidR="00EC2472" w:rsidRDefault="00EC2472">
            <w:pPr>
              <w:pStyle w:val="NICETabletext"/>
            </w:pPr>
            <w:r>
              <w:t>Total weighted subsequent therapy administration cost per cycle</w:t>
            </w:r>
          </w:p>
        </w:tc>
        <w:tc>
          <w:tcPr>
            <w:tcW w:w="1285" w:type="pct"/>
            <w:vAlign w:val="center"/>
          </w:tcPr>
          <w:p w14:paraId="37D1BFBA" w14:textId="79B2387C" w:rsidR="00EC2472" w:rsidRPr="00294FDC" w:rsidRDefault="00294FDC">
            <w:pPr>
              <w:pStyle w:val="NICETabletext"/>
              <w:jc w:val="center"/>
              <w:rPr>
                <w:color w:val="000000"/>
                <w:highlight w:val="black"/>
              </w:rPr>
            </w:pPr>
            <w:r w:rsidRPr="00294FDC">
              <w:rPr>
                <w:color w:val="000000"/>
                <w:highlight w:val="black"/>
              </w:rPr>
              <w:t>xxxxxxxxx</w:t>
            </w:r>
          </w:p>
        </w:tc>
        <w:tc>
          <w:tcPr>
            <w:tcW w:w="1411" w:type="pct"/>
            <w:vAlign w:val="center"/>
          </w:tcPr>
          <w:p w14:paraId="04B505B6" w14:textId="0B4760C8" w:rsidR="00EC2472" w:rsidRPr="00294FDC" w:rsidRDefault="00294FDC">
            <w:pPr>
              <w:pStyle w:val="NICETabletext"/>
              <w:jc w:val="center"/>
              <w:rPr>
                <w:color w:val="000000"/>
                <w:highlight w:val="black"/>
              </w:rPr>
            </w:pPr>
            <w:r w:rsidRPr="00294FDC">
              <w:rPr>
                <w:color w:val="000000"/>
                <w:highlight w:val="black"/>
              </w:rPr>
              <w:t>xxxxxxxxx</w:t>
            </w:r>
          </w:p>
        </w:tc>
      </w:tr>
      <w:tr w:rsidR="00EC2472" w14:paraId="741B73D7" w14:textId="77777777">
        <w:tc>
          <w:tcPr>
            <w:tcW w:w="2304" w:type="pct"/>
          </w:tcPr>
          <w:p w14:paraId="7B7383BD" w14:textId="77777777" w:rsidR="00EC2472" w:rsidRDefault="00EC2472">
            <w:pPr>
              <w:pStyle w:val="NICETabletext"/>
            </w:pPr>
            <w:r>
              <w:t>Total subsequent therapy cost per progressed patient*</w:t>
            </w:r>
            <w:r>
              <w:rPr>
                <w:color w:val="4472C4" w:themeColor="accent1"/>
              </w:rPr>
              <w:t xml:space="preserve"> </w:t>
            </w:r>
          </w:p>
        </w:tc>
        <w:tc>
          <w:tcPr>
            <w:tcW w:w="1285" w:type="pct"/>
            <w:vAlign w:val="center"/>
          </w:tcPr>
          <w:p w14:paraId="1991E0A6" w14:textId="7A80B77B" w:rsidR="00EC2472" w:rsidRPr="00B101B9" w:rsidRDefault="00EC2472">
            <w:pPr>
              <w:pStyle w:val="NICETabletext"/>
              <w:jc w:val="center"/>
            </w:pPr>
            <w:r w:rsidRPr="002D66C8">
              <w:rPr>
                <w:highlight w:val="black"/>
                <w:u w:val="single"/>
              </w:rPr>
              <w:t>£</w:t>
            </w:r>
            <w:r w:rsidR="00294FDC" w:rsidRPr="00294FDC">
              <w:rPr>
                <w:color w:val="000000"/>
                <w:highlight w:val="black"/>
              </w:rPr>
              <w:t>xxxxxxxxx</w:t>
            </w:r>
          </w:p>
        </w:tc>
        <w:tc>
          <w:tcPr>
            <w:tcW w:w="1411" w:type="pct"/>
            <w:vAlign w:val="center"/>
          </w:tcPr>
          <w:p w14:paraId="0C6404DE" w14:textId="5C2A3D0A" w:rsidR="00EC2472" w:rsidRPr="00B101B9" w:rsidRDefault="00EC2472">
            <w:pPr>
              <w:pStyle w:val="NICETabletext"/>
              <w:jc w:val="center"/>
            </w:pPr>
            <w:r w:rsidRPr="002D66C8">
              <w:rPr>
                <w:highlight w:val="black"/>
                <w:u w:val="single"/>
              </w:rPr>
              <w:t>£</w:t>
            </w:r>
            <w:r w:rsidR="00294FDC" w:rsidRPr="00294FDC">
              <w:rPr>
                <w:color w:val="000000"/>
                <w:highlight w:val="black"/>
              </w:rPr>
              <w:t>xxxxxxxxx</w:t>
            </w:r>
          </w:p>
        </w:tc>
      </w:tr>
      <w:tr w:rsidR="00EC2472" w14:paraId="203585B9" w14:textId="77777777">
        <w:tc>
          <w:tcPr>
            <w:tcW w:w="2304" w:type="pct"/>
          </w:tcPr>
          <w:p w14:paraId="5C37EBFA" w14:textId="77777777" w:rsidR="00EC2472" w:rsidRDefault="00EC2472">
            <w:pPr>
              <w:pStyle w:val="NICETabletext"/>
            </w:pPr>
            <w:r>
              <w:t>Proportion receiving subsequent treatment</w:t>
            </w:r>
          </w:p>
        </w:tc>
        <w:tc>
          <w:tcPr>
            <w:tcW w:w="1285" w:type="pct"/>
            <w:vAlign w:val="center"/>
          </w:tcPr>
          <w:p w14:paraId="6864ACCF" w14:textId="21FA33E5" w:rsidR="00EC2472" w:rsidRPr="00294FDC" w:rsidRDefault="00294FDC">
            <w:pPr>
              <w:pStyle w:val="NICETabletext"/>
              <w:jc w:val="center"/>
              <w:rPr>
                <w:color w:val="000000"/>
                <w:highlight w:val="black"/>
              </w:rPr>
            </w:pPr>
            <w:r w:rsidRPr="00294FDC">
              <w:rPr>
                <w:color w:val="000000"/>
                <w:highlight w:val="black"/>
              </w:rPr>
              <w:t>xxxxx</w:t>
            </w:r>
          </w:p>
        </w:tc>
        <w:tc>
          <w:tcPr>
            <w:tcW w:w="1411" w:type="pct"/>
            <w:vAlign w:val="center"/>
          </w:tcPr>
          <w:p w14:paraId="79467CFA" w14:textId="6B6FA850" w:rsidR="00EC2472" w:rsidRPr="00294FDC" w:rsidRDefault="00294FDC">
            <w:pPr>
              <w:pStyle w:val="NICETabletext"/>
              <w:jc w:val="center"/>
              <w:rPr>
                <w:color w:val="000000"/>
                <w:highlight w:val="black"/>
              </w:rPr>
            </w:pPr>
            <w:r w:rsidRPr="00294FDC">
              <w:rPr>
                <w:color w:val="000000"/>
                <w:highlight w:val="black"/>
              </w:rPr>
              <w:t>xxxxx</w:t>
            </w:r>
          </w:p>
        </w:tc>
      </w:tr>
      <w:tr w:rsidR="00EC2472" w:rsidRPr="006A72E7" w14:paraId="59664A16" w14:textId="77777777">
        <w:tc>
          <w:tcPr>
            <w:tcW w:w="2304" w:type="pct"/>
          </w:tcPr>
          <w:p w14:paraId="4057CA45" w14:textId="77777777" w:rsidR="00EC2472" w:rsidRPr="006A72E7" w:rsidRDefault="00EC2472">
            <w:pPr>
              <w:pStyle w:val="NICETabletext"/>
            </w:pPr>
            <w:r w:rsidRPr="006A72E7">
              <w:t>Total subsequent therapy cost per progressed patient applied in the model*</w:t>
            </w:r>
          </w:p>
        </w:tc>
        <w:tc>
          <w:tcPr>
            <w:tcW w:w="1285" w:type="pct"/>
            <w:vAlign w:val="center"/>
          </w:tcPr>
          <w:p w14:paraId="02F79E86" w14:textId="46C59D8E" w:rsidR="00EC2472" w:rsidRPr="00C67C0A" w:rsidRDefault="00EC2472">
            <w:pPr>
              <w:pStyle w:val="NICETabletext"/>
              <w:jc w:val="center"/>
              <w:rPr>
                <w:highlight w:val="yellow"/>
                <w:u w:val="single"/>
              </w:rPr>
            </w:pPr>
            <w:r w:rsidRPr="002D66C8">
              <w:rPr>
                <w:highlight w:val="black"/>
                <w:u w:val="single"/>
              </w:rPr>
              <w:t>£</w:t>
            </w:r>
            <w:r w:rsidR="00294FDC" w:rsidRPr="00294FDC">
              <w:rPr>
                <w:color w:val="000000"/>
                <w:highlight w:val="black"/>
              </w:rPr>
              <w:t>xxxxxxxxx</w:t>
            </w:r>
          </w:p>
        </w:tc>
        <w:tc>
          <w:tcPr>
            <w:tcW w:w="1411" w:type="pct"/>
            <w:vAlign w:val="center"/>
          </w:tcPr>
          <w:p w14:paraId="70892BE8" w14:textId="21FE77D0" w:rsidR="00EC2472" w:rsidRPr="00294FDC" w:rsidRDefault="00294FDC">
            <w:pPr>
              <w:pStyle w:val="NICETabletext"/>
              <w:jc w:val="center"/>
              <w:rPr>
                <w:color w:val="000000"/>
                <w:highlight w:val="black"/>
              </w:rPr>
            </w:pPr>
            <w:r w:rsidRPr="00294FDC">
              <w:rPr>
                <w:color w:val="000000"/>
                <w:highlight w:val="black"/>
              </w:rPr>
              <w:t>xxxxxxxxxx</w:t>
            </w:r>
          </w:p>
        </w:tc>
      </w:tr>
    </w:tbl>
    <w:p w14:paraId="443500A3" w14:textId="1C2EF31F" w:rsidR="00EC2472" w:rsidRPr="00C67C0A" w:rsidRDefault="00EC2472" w:rsidP="00EC2472">
      <w:pPr>
        <w:pStyle w:val="NICElegend"/>
      </w:pPr>
      <w:r w:rsidRPr="00C67C0A">
        <w:t>*Total subsequent therapy cost assumes that patients are treated for 6 months following progression.</w:t>
      </w:r>
      <w:r>
        <w:br/>
        <w:t xml:space="preserve">Distribution of subsequent treatments is presented in </w:t>
      </w:r>
      <w:r w:rsidRPr="00243B7F">
        <w:fldChar w:fldCharType="begin"/>
      </w:r>
      <w:r w:rsidRPr="00243B7F">
        <w:instrText xml:space="preserve"> REF _Ref126857522 \h </w:instrText>
      </w:r>
      <w:r w:rsidR="001D0284" w:rsidRPr="003C648C">
        <w:instrText xml:space="preserve"> \* MERGEFORMAT </w:instrText>
      </w:r>
      <w:r w:rsidRPr="00243B7F">
        <w:fldChar w:fldCharType="separate"/>
      </w:r>
      <w:r w:rsidR="00145F42">
        <w:t xml:space="preserve">Table </w:t>
      </w:r>
      <w:r w:rsidR="00145F42">
        <w:rPr>
          <w:noProof/>
        </w:rPr>
        <w:t>60</w:t>
      </w:r>
      <w:r w:rsidRPr="00243B7F">
        <w:fldChar w:fldCharType="end"/>
      </w:r>
      <w:r w:rsidR="00243B7F">
        <w:t>.</w:t>
      </w:r>
    </w:p>
    <w:p w14:paraId="40665477" w14:textId="77777777" w:rsidR="00EC2472" w:rsidRPr="00C67C0A" w:rsidRDefault="00EC2472" w:rsidP="00EC2472">
      <w:pPr>
        <w:pStyle w:val="NICElegend"/>
      </w:pPr>
      <w:r w:rsidRPr="00C67C0A">
        <w:t>Abbreviations: T-DXd, trastuzumab deruxtecan; TPC, treatment of physician’s choice.</w:t>
      </w:r>
    </w:p>
    <w:p w14:paraId="30C33E9C" w14:textId="77777777" w:rsidR="00EC2472" w:rsidRDefault="00EC2472" w:rsidP="00EC2472">
      <w:pPr>
        <w:pStyle w:val="Heading4"/>
      </w:pPr>
      <w:bookmarkStart w:id="734" w:name="_Ref127008711"/>
      <w:r>
        <w:t>Terminal care costs</w:t>
      </w:r>
      <w:bookmarkEnd w:id="734"/>
    </w:p>
    <w:p w14:paraId="4D45B74B" w14:textId="77777777" w:rsidR="00EC2472" w:rsidRPr="00FC285F" w:rsidRDefault="00EC2472" w:rsidP="00EC2472">
      <w:pPr>
        <w:pStyle w:val="Body"/>
      </w:pPr>
      <w:r>
        <w:t>A one-off terminal care cost was applied within the economic model to cover costs of supporting patients in a palliative (end-of-life) stage before death. The same cost is applied to all patients in both treatment arms entering the death health state based on the proportion of patients who enter the death health state in each cycle.</w:t>
      </w:r>
      <w:r w:rsidRPr="009D31E5">
        <w:rPr>
          <w:color w:val="4472C4" w:themeColor="accent1"/>
        </w:rPr>
        <w:t xml:space="preserve"> </w:t>
      </w:r>
    </w:p>
    <w:p w14:paraId="0695A32C" w14:textId="1C763411" w:rsidR="00EC2472" w:rsidRDefault="00EC2472" w:rsidP="00EC2472">
      <w:r>
        <w:t>The end-of-life (EOL) cost was based on Round et al (2015).</w:t>
      </w:r>
      <w:hyperlink w:anchor="_ENREF_161" w:tooltip="Round, 2015 #209" w:history="1">
        <w:r>
          <w:fldChar w:fldCharType="begin">
            <w:fldData xml:space="preserve">PEVuZE5vdGU+PENpdGU+PEF1dGhvcj5Sb3VuZDwvQXV0aG9yPjxZZWFyPjIwMTU8L1llYXI+PFJl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</w:fldData>
          </w:fldChar>
        </w:r>
        <w:r>
          <w:instrText xml:space="preserve"> ADDIN EN.CITE </w:instrText>
        </w:r>
        <w:r>
          <w:fldChar w:fldCharType="begin">
            <w:fldData xml:space="preserve">PEVuZE5vdGU+PENpdGU+PEF1dGhvcj5Sb3VuZDwvQXV0aG9yPjxZZWFyPjIwMTU8L1llYXI+PFJl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</w:fldData>
          </w:fldChar>
        </w:r>
        <w:r>
          <w:instrText xml:space="preserve"> ADDIN EN.CITE.DATA </w:instrText>
        </w:r>
        <w:r>
          <w:fldChar w:fldCharType="end"/>
        </w:r>
        <w:r>
          <w:fldChar w:fldCharType="separate"/>
        </w:r>
        <w:r w:rsidRPr="004838B9">
          <w:rPr>
            <w:noProof/>
            <w:vertAlign w:val="superscript"/>
          </w:rPr>
          <w:t>161</w:t>
        </w:r>
        <w:r>
          <w:fldChar w:fldCharType="end"/>
        </w:r>
      </w:hyperlink>
      <w:r>
        <w:t xml:space="preserve"> Round et al was a modelling study estimating the cost of caring for cancer patients at the end of their life. The study reports a mean cost among four cancer types (breast, colorectal, lung and prostate). The total end of life health care cost associated with BC care was reported as £4,346 which was then uplifted to 2021 prices </w:t>
      </w:r>
      <w:r w:rsidRPr="006A72E7">
        <w:t xml:space="preserve">using the </w:t>
      </w:r>
      <w:r w:rsidRPr="00C67C0A">
        <w:t>NHS cost inflation indices (£4,856).</w:t>
      </w:r>
      <w:r w:rsidRPr="00C67C0A">
        <w:fldChar w:fldCharType="begin"/>
      </w:r>
      <w:r w:rsidR="00CA6345">
        <w:instrText xml:space="preserve"> ADDIN ZOTERO_ITEM CSL_CITATION {"citationID":"NdGrUQ7h","properties":{"formattedCitation":"\\super 186\\nosupersub{}","plainCitation":"186","noteIndex":0},"citationItems":[{"id":66296,"uris":["http://zotero.org/groups/4797619/items/ISTM2CGL"],"itemData":{"id":66296,"type":"post-weblog","language":"en-GB","title":"Unit Costs of Health and Social Care 2021 | PSSRU","URL":"https://www.pssru.ac.uk/project-pages/unit-costs/unit-costs-of-health-and-social-care-2021/","accessed":{"date-parts":[["2022",12,6]]}}}],"schema":"https://github.com/citation-style-language/schema/raw/master/csl-citation.json"} </w:instrText>
      </w:r>
      <w:r w:rsidRPr="00C67C0A">
        <w:fldChar w:fldCharType="separate"/>
      </w:r>
      <w:r w:rsidR="00CA6345" w:rsidRPr="00CA6345">
        <w:rPr>
          <w:rFonts w:cs="Arial"/>
          <w:szCs w:val="24"/>
          <w:vertAlign w:val="superscript"/>
        </w:rPr>
        <w:t>186</w:t>
      </w:r>
      <w:r w:rsidRPr="00C67C0A">
        <w:fldChar w:fldCharType="end"/>
      </w:r>
    </w:p>
    <w:p w14:paraId="5D28EFF8" w14:textId="77777777" w:rsidR="00F5281B" w:rsidRPr="00546A80" w:rsidRDefault="00F5281B" w:rsidP="00F5281B">
      <w:pPr>
        <w:pStyle w:val="Heading2"/>
      </w:pPr>
      <w:bookmarkStart w:id="735" w:name="_Ref129302352"/>
      <w:bookmarkStart w:id="736" w:name="_Ref129302379"/>
      <w:bookmarkStart w:id="737" w:name="_Ref129302419"/>
      <w:bookmarkStart w:id="738" w:name="_Toc129350903"/>
      <w:r w:rsidRPr="00D64712">
        <w:t>Severity</w:t>
      </w:r>
      <w:bookmarkEnd w:id="735"/>
      <w:bookmarkEnd w:id="736"/>
      <w:bookmarkEnd w:id="737"/>
      <w:bookmarkEnd w:id="738"/>
    </w:p>
    <w:p w14:paraId="068AEBFE" w14:textId="77777777" w:rsidR="00F5281B" w:rsidRDefault="00F5281B" w:rsidP="00F5281B">
      <w:pPr>
        <w:pStyle w:val="Heading3"/>
      </w:pPr>
      <w:bookmarkStart w:id="739" w:name="_Toc129350904"/>
      <w:r>
        <w:t>Overview</w:t>
      </w:r>
      <w:bookmarkEnd w:id="739"/>
    </w:p>
    <w:p w14:paraId="1A8C1C28" w14:textId="3B569C82" w:rsidR="00F5281B" w:rsidRDefault="00F5281B" w:rsidP="00F5281B">
      <w:pPr>
        <w:spacing w:line="257" w:lineRule="auto"/>
      </w:pPr>
      <w:r w:rsidRPr="00B94BFB">
        <w:t xml:space="preserve">Patients with HER2-low u/mBC </w:t>
      </w:r>
      <w:r w:rsidRPr="009C2D6C">
        <w:t xml:space="preserve">are currently treated according to HER2-negative treatment pathways in the UK, which, after </w:t>
      </w:r>
      <w:r>
        <w:t xml:space="preserve">prior </w:t>
      </w:r>
      <w:r w:rsidRPr="009C2D6C">
        <w:t>chemotherapy</w:t>
      </w:r>
      <w:r>
        <w:t xml:space="preserve"> in the adjuvant or metastatic setting</w:t>
      </w:r>
      <w:r w:rsidRPr="009C2D6C">
        <w:t xml:space="preserve">, </w:t>
      </w:r>
      <w:r>
        <w:t>predominantly</w:t>
      </w:r>
      <w:r w:rsidRPr="009C2D6C">
        <w:t xml:space="preserve"> comprise of further non-targeted single-agent chemotherapies</w:t>
      </w:r>
      <w:r w:rsidRPr="009C2D6C" w:rsidDel="009C2D6C">
        <w:t xml:space="preserve"> </w:t>
      </w:r>
      <w:r>
        <w:t>(</w:t>
      </w:r>
      <w:r w:rsidRPr="00233412">
        <w:t xml:space="preserve">see </w:t>
      </w:r>
      <w:r w:rsidRPr="003C648C">
        <w:rPr>
          <w:b/>
          <w:bCs/>
        </w:rPr>
        <w:t xml:space="preserve">Section </w:t>
      </w:r>
      <w:r w:rsidRPr="003C648C">
        <w:rPr>
          <w:b/>
          <w:bCs/>
        </w:rPr>
        <w:fldChar w:fldCharType="begin"/>
      </w:r>
      <w:r w:rsidRPr="003C648C">
        <w:rPr>
          <w:b/>
          <w:bCs/>
        </w:rPr>
        <w:instrText xml:space="preserve"> REF _Ref89962480 \r \h </w:instrText>
      </w:r>
      <w:r w:rsidRPr="00233412">
        <w:rPr>
          <w:b/>
          <w:bCs/>
        </w:rPr>
        <w:instrText xml:space="preserve"> \* MERGEFORMAT </w:instrText>
      </w:r>
      <w:r w:rsidRPr="003C648C">
        <w:rPr>
          <w:b/>
          <w:bCs/>
        </w:rPr>
      </w:r>
      <w:r w:rsidRPr="003C648C">
        <w:rPr>
          <w:b/>
          <w:bCs/>
        </w:rPr>
        <w:fldChar w:fldCharType="separate"/>
      </w:r>
      <w:r w:rsidR="00145F42">
        <w:rPr>
          <w:b/>
          <w:bCs/>
        </w:rPr>
        <w:t>B.1.3.3</w:t>
      </w:r>
      <w:r w:rsidRPr="003C648C">
        <w:rPr>
          <w:b/>
          <w:bCs/>
        </w:rPr>
        <w:fldChar w:fldCharType="end"/>
      </w:r>
      <w:r>
        <w:t xml:space="preserve"> for more information)</w:t>
      </w:r>
      <w:r w:rsidRPr="00B94BFB">
        <w:t xml:space="preserve">. Non-targeted chemotherapy is associated with </w:t>
      </w:r>
      <w:r w:rsidRPr="00B94BFB">
        <w:rPr>
          <w:rFonts w:eastAsia="Arial" w:cs="Arial"/>
        </w:rPr>
        <w:t xml:space="preserve">poor survival outcomes in HER2-negative/HR-positive u/mBC patients with a median </w:t>
      </w:r>
      <w:r w:rsidRPr="00B94BFB">
        <w:t>PFS of 3.</w:t>
      </w:r>
      <w:r>
        <w:t>6</w:t>
      </w:r>
      <w:r w:rsidRPr="00B94BFB">
        <w:t>–</w:t>
      </w:r>
      <w:r>
        <w:t>4.2</w:t>
      </w:r>
      <w:r w:rsidRPr="00B94BFB">
        <w:t xml:space="preserve"> months and a median OS of 11.5–16.</w:t>
      </w:r>
      <w:r>
        <w:t>1</w:t>
      </w:r>
      <w:r w:rsidRPr="00B94BFB">
        <w:t xml:space="preserve"> months</w:t>
      </w:r>
      <w:r w:rsidRPr="00B94BFB">
        <w:rPr>
          <w:rFonts w:eastAsia="Arial" w:cs="Arial"/>
        </w:rPr>
        <w:t>.</w:t>
      </w:r>
      <w:r w:rsidR="009F0245" w:rsidRPr="009F0245">
        <w:t xml:space="preserve"> </w:t>
      </w:r>
      <w:r w:rsidR="009F0245">
        <w:fldChar w:fldCharType="begin"/>
      </w:r>
      <w:r w:rsidR="009F0245">
        <w:instrText xml:space="preserve"> ADDIN ZOTERO_ITEM CSL_CITATION {"citationID":"YOLXFvES","properties":{"formattedCitation":"\\super 43\\uc0\\u8211{}47\\nosupersub{}","plainCitation":"43–47","noteIndex":0},"citationItems":[{"id":66149,"uris":["http://zotero.org/groups/4797619/items/8M7DF85G"],"itemData":{"id":66149,"type":"article-journal","abstract":"BACKGROUND: Based on data from two multicenter, phase III clinical trials (Studies 301 and 305), eribulin (a microtubule dynamics inhibitor) is indicated in the European Union (EU) for patients with locally advanced or metastatic breast cancer (MBC) after ≥1 prior chemotherapy for advanced disease, including an anthracycline and a taxane in either the adjuvant or metastatic setting. Data from Studies 305 and 301 were pooled to investigate the efficacy of eribulin in various subgroups of patients who matched the EU label, including those with human epidermal growth factor receptor 2 (HER2)-negative and triple-negative disease.\nPATIENTS AND METHODS: In Study 305 (NCT00388726), patients were randomized 2:1 to eribulin mesylate 1.4 mg/m(2) (equivalent to eribulin 1.23 mg/m(2) [expressed as free base]) intravenously on days 1 and 8 every 21 days] or treatment of physician's choice after 2-5 prior chemotherapies (≥2 for advanced disease), including an anthracycline and a taxane (in early/advanced setting). In Study 301 (NCT00337103), patients were randomized 1:1 to eribulin (as above) or capecitabine (1.25 g/m(2) orally twice daily on days 1-14 every 21 days) following ≤3 prior chemotherapies (≤2 for advanced disease), including an anthracycline and a taxane. Efficacy end points were investigated in the intent-to-treat population and subgroups, pooled as discussed above.\nRESULTS: Overall, 1644 patients were included (eribulin: 946; control: 698); baseline characteristics were well matched. Overall survival was significantly longer with eribulin versus control (P &lt; 0.01), as were progression-free survival and clinical benefit rate (both P &lt; 0.05). Significant survival benefits with eribulin versus control were observed in a wide range of patient subgroups, including HER2-negative or triple-negative disease (all P &lt; 0.05).\nCONCLUSION: Our findings underline the survival benefit achieved by eribulin used according to EU label in the overall MBC population and in various subgroups of interest, including patients with HER2-negative and triple-negative disease.","container-title":"Annals of Oncology: Official Journal of the European Society for Medical Oncology","DOI":"10.1093/annonc/mdw203","ISSN":"1569-8041","issue":"8","journalAbbreviation":"Ann Oncol","language":"eng","note":"PMID: 27177860\nPMCID: PMC4959925","page":"1525-1531","source":"PubMed","title":"Pooled analyses of eribulin in metastatic breast cancer patients with at least one prior chemotherapy","volume":"27","author":[{"family":"Pivot","given":"X."},{"family":"Marmé","given":"F."},{"family":"Koenigsberg","given":"R."},{"family":"Guo","given":"M."},{"family":"Berrak","given":"E."},{"family":"Wolfer","given":"A."}],"issued":{"date-parts":[["2016",8]]}}},{"id":66152,"uris":["http://zotero.org/groups/4797619/items/K2TXU8UJ"],"itemData":{"id":66152,"type":"article-journal","abstract":"BACKGROUND: Treatments with survival benefit are greatly needed for women with heavily pretreated metastatic breast cancer. Eribulin mesilate is a non-taxane microtubule dynamics inhibitor with a novel mode of action. We aimed to compare overall survival of heavily pretreated patients receiving eribulin versus currently available treatments.\nMETHODS: In this phase 3 open-label study, women with locally recurrent or metastatic breast cancer were randomly allocated (2:1) to eribulin mesilate (1·4 mg/m(2) administered intravenously during 2-5 min on days 1 and 8 of a 21-day cycle) or treatment of physician's choice (TPC). Patients had received between two and five previous chemotherapy regimens (two or more for advanced disease), including an anthracycline and a taxane, unless contraindicated. Randomisation was stratified by geographical region, previous capecitabine treatment, and human epidermal growth factor receptor 2 status. Patients and investigators were not masked to treatment allocation. The primary endpoint was overall survival in the intention-to-treat population. This study is registered at ClinicalTrials.gov, number NCT00388726.\nFINDINGS: 762 women were randomly allocated to treatment groups (508 eribulin, 254 TPC). Overall survival was significantly improved in women assigned to eribulin (median 13·1 months, 95% CI 11·8-14·3) compared with TPC (10·6 months, 9·3-12·5; hazard ratio 0·81, 95% CI 0·66-0·99; p=0·041). The most common adverse events in both groups were asthenia or fatigue (270 [54%] of 503 patients on eribulin and 98 [40%] of 247 patients on TPC at all grades) and neutropenia (260 [52%] patients receiving eribulin and 73 [30%] of those on TPC at all grades). Peripheral neuropathy was the most common adverse event leading to discontinuation from eribulin, occurring in 24 (5%) of 503 patients.\nINTERPRETATION: Eribulin showed a significant and clinically meaningful improvement in overall survival compared with TPC in women with heavily pretreated metastatic breast cancer. This finding challenges the notion that improved overall survival is an unrealistic expectation during evaluation of new anticancer therapies in the refractory setting.\nFUNDING: Eisai.","container-title":"Lancet (London, England)","DOI":"10.1016/S0140-6736(11)60070-6","ISSN":"1474-547X","issue":"9769","journalAbbreviation":"Lancet","language":"eng","note":"PMID: 21376385","page":"914-923","source":"PubMed","title":"Eribulin monotherapy versus treatment of physician's choice in patients with metastatic breast cancer (EMBRACE): a phase 3 open-label randomised study","title-short":"Eribulin monotherapy versus treatment of physician's choice in patients with metastatic breast cancer (EMBRACE)","volume":"377","author":[{"family":"Cortes","given":"Javier"},{"family":"O'Shaughnessy","given":"Joyce"},{"family":"Loesch","given":"David"},{"family":"Blum","given":"Joanne L."},{"family":"Vahdat","given":"Linda T."},{"family":"Petrakova","given":"Katarina"},{"family":"Chollet","given":"Philippe"},{"family":"Manikas","given":"Alexey"},{"family":"Diéras","given":"Veronique"},{"family":"Delozier","given":"Thierry"},{"family":"Vladimirov","given":"Vladimir"},{"family":"Cardoso","given":"Fatima"},{"family":"Koh","given":"Han"},{"family":"Bougnoux","given":"Philippe"},{"family":"Dutcus","given":"Corina E."},{"family":"Seegobin","given":"Seth"},{"family":"Mir","given":"Denis"},{"family":"Meneses","given":"Nicole"},{"family":"Wanders","given":"Jantien"},{"family":"Twelves","given":"Chris"},{"literal":"EMBRACE (Eisai Metastatic Breast Cancer Study Assessing Physician's Choice Versus E7389) investigators"}],"issued":{"date-parts":[["2011",3,12]]}}},{"id":66151,"uris":["http://zotero.org/groups/4797619/items/RLDAE79H"],"itemData":{"id":66151,"type":"article-journal","abstract":"PURPOSE AND METHODS: Our secondary analyses compared survival with eribulin versus capecitabine in various patient subgroups from a phase 3, open-label, randomized study. Eligible women aged ≥18 years with advanced/metastatic breast cancer and ≤3 prior chemotherapies (≤2 for advanced/metastatic disease), including an anthracycline and taxane, were randomized 1:1 to intravenous eribulin mesylate 1.4 mg/m(2) on days 1 and 8 or twice-daily oral capecitabine 1250 mg/m(2) on days 1-14 (21-day cycles).\nRESULTS: In the intent-to-treat population (eribulin 554 and capecitabine 548), overall survival appeared longer with eribulin than capecitabine in various subgroups, including patients with human epidermal growth factor receptor 2-negative (15.9 versus 13.5 months, respectively), estrogen receptor-negative (14.4 versus 10.5 months, respectively), and triple-negative (14.4 versus 9.4 months, respectively) disease. Progression-free survival was similar between the treatment arms.\nCONCLUSIONS: Patients with advanced/metastatic breast cancer and human epidermal growth factor receptor 2-, estrogen receptor-, or triple-negative disease may gain particular benefit from eribulin as first-, second-, and third-line chemotherapies.\nTRIAL REGISTRATION PRIMARY STUDY: This study reports the subgroup analyses of eribulin versus capecitabine from a phase 3, open-label, randomized study (www.clinicaltrials.gov; ClinicalTrials.gov identifier: NCT00337103).","container-title":"Breast Cancer: Basic and Clinical Research","DOI":"10.4137/BCBCR.S39615","ISSN":"1178-2234","journalAbbreviation":"Breast Cancer (Auckl)","language":"eng","note":"PMID: 27398025\nPMCID: PMC4927108","page":"77-84","source":"PubMed","title":"Subgroup Analyses from a Phase 3, Open-Label, Randomized Study of Eribulin Mesylate Versus Capecitabine in Pretreated Patients with Advanced or Metastatic Breast Cancer","volume":"10","author":[{"family":"Twelves","given":"Chris"},{"family":"Awada","given":"Ahmad"},{"family":"Cortes","given":"Javier"},{"family":"Yelle","given":"Louise"},{"family":"Velikova","given":"Galina"},{"family":"Olivo","given":"Martin S."},{"family":"Song","given":"James"},{"family":"Dutcus","given":"Corina E."},{"family":"Kaufman","given":"Peter A."}],"issued":{"date-parts":[["2016"]]}}},{"id":66150,"uris":["http://zotero.org/groups/4797619/items/FWP3JYLN"],"itemData":{"id":66150,"type":"article-journal","abstract":"This post hoc subgroup analysis of a large phase 3 study compared the efficacy and safety of eribulin versus capecitabine in patients with human epidermal growth factor receptor 2 (HER2)-negative metastatic breast cancer who received second-line treatment. In the phase 3 study, women with advanced/metastatic breast cancer and ≤ 3 prior chemotherapies were randomized 1:1 to eribulin mesilate 1.4 mg/m2 intravenously on days 1 and 8, or twice-daily oral capecitabine 1.25 g/m2 on days 1-14 (21-day cycles). This analysis included 392 patients. Median overall survival was longer in patients receiving eribulin compared with capecitabine (16.1 vs 13.5 months, respectively; HR 0.77, P = 0.026). Median progression-free survival and response rates were similar between arms. Both treatments had manageable safety profiles.","container-title":"Breast Cancer (Tokyo, Japan)","DOI":"10.1007/s12282-017-0826-4","ISSN":"1880-4233","issue":"3","journalAbbreviation":"Breast Cancer","language":"eng","note":"PMID: 29302858\nPMCID: PMC5906517","page":"370-374","source":"PubMed","title":"Subgroup analysis of patients with HER2-negative metastatic breast cancer in the second-line setting from a phase 3, open-label, randomized study of eribulin mesilate versus capecitabine","volume":"25","author":[{"family":"Pivot","given":"Xavier"},{"family":"Im","given":"Seock Ah"},{"family":"Guo","given":"Matthew"},{"family":"Marmé","given":"Frederik"}],"issued":{"date-parts":[["2018",5]]}}},{"id":66278,"uris":["http://zotero.org/groups/4797619/items/L9C8M9U3"],"itemData":{"id":66278,"type":"article-journal","abstract":"BACKGROUND: Use of antiangiogenic agents in treatment of metastatic breast cancer (MBC) remains controversial. We evaluated the efficacy and safety of ramucirumab and eribulin versus eribulin alone as third- to fifth-line therapy in women with advanced breast cancer.\nPATIENTS AND METHODS: In this randomized (1:1), open-label, phase II study, US women aged 18 years or older with 2 to 4 previous chemotherapy regimens for locally recurrent or MBC, previous anthracycline and taxane treatment, and Eastern Cooperative Oncology Group performance status of 0 or 1 received ramucirumab with eribulin or eribulin alone in 21-day cycles (eribulin 1.4 mg/m2 intravenously on days 1 and 8; ramucirumab 10 mg/kg intravenously on day 1). Randomization was stratified according to previous antiangiogenic therapy and triple-negative status. The primary end point was progression-free survival (PFS) in the intention to treat population.\nRESULTS: One hundred forty-one women were randomized to ramucirumab with eribulin (n = 71) or eribulin alone (n = 70). Median PFS for ramucirumab with eribulin was 4.4 months (95% confidence interval [CI], 3.1-6.7) compared with 4.1 months (95% CI, 3.2-5.6) for eribulin (hazard ratio [HR], 0.83; 95% CI, 0.56-1.23; P = .35). Median overall survival in patients who received ramucirumab with eribulin was 13.5 months (95% CI, 10.4-17.9) compared with 11.5 months (95% CI, 9.0-17.3) in patients who received eribulin alone (HR, 0.91; 95% CI, 0.59-1.41; P = .68); objective response rate was 21% (13 of 62 patients) for the combination and 28% (17 of 60 patients) for eribulin alone. No unexpected toxicity was identified for the combination.\nCONCLUSION: Ramucirumab combined with eribulin did not significantly improve PFS in advanced MBC.","container-title":"Clinical Breast Cancer","DOI":"10.1016/j.clbc.2016.07.005","ISSN":"1938-0666","issue":"6","journalAbbreviation":"Clin Breast Cancer","language":"eng","note":"PMID: 27569274","page":"471-479.e1","source":"PubMed","title":"Ramucirumab With Eribulin Versus Eribulin in Locally Recurrent or Metastatic Breast Cancer Previously Treated With Anthracycline and Taxane Therapy: A Multicenter, Randomized, Phase II Study","title-short":"Ramucirumab With Eribulin Versus Eribulin in Locally Recurrent or Metastatic Breast Cancer Previously Treated With Anthracycline and Taxane Therapy","volume":"16","author":[{"family":"Yardley","given":"Denise A."},{"family":"Reeves","given":"James"},{"family":"Dees","given":"E. Claire"},{"family":"Osborne","given":"Cynthia"},{"family":"Paul","given":"Devchand"},{"family":"Ademuyiwa","given":"Foluso"},{"family":"Soliman","given":"Hatem"},{"family":"Guthrie","given":"Troy"},{"family":"Andersen","given":"Jay"},{"family":"Krekow","given":"Lea"},{"family":"Choksi","given":"Janak"},{"family":"Daniel","given":"Brooke"},{"family":"Danso","given":"Michael"},{"family":"Favret","given":"Anne"},{"family":"Oommen","given":"Sanjay"},{"family":"Brufsky","given":"Adam"},{"family":"Bromund","given":"Jane L."},{"family":"Lin","given":"Yong"},{"family":"Ibrahim","given":"Ayman B."},{"family":"Richards","given":"Paul D."}],"issued":{"date-parts":[["2016",12]]}}}],"schema":"https://github.com/citation-style-language/schema/raw/master/csl-citation.json"} </w:instrText>
      </w:r>
      <w:r w:rsidR="009F0245">
        <w:fldChar w:fldCharType="separate"/>
      </w:r>
      <w:r w:rsidR="009F0245" w:rsidRPr="00FD57F4">
        <w:rPr>
          <w:rFonts w:cs="Arial"/>
          <w:szCs w:val="24"/>
          <w:vertAlign w:val="superscript"/>
        </w:rPr>
        <w:t>43–47</w:t>
      </w:r>
      <w:r w:rsidR="009F0245">
        <w:fldChar w:fldCharType="end"/>
      </w:r>
      <w:r w:rsidRPr="00B94BFB">
        <w:rPr>
          <w:rFonts w:eastAsia="Arial" w:cs="Arial"/>
        </w:rPr>
        <w:t xml:space="preserve"> Outcomes are even poorer in HER2-negative/HR-negative u/mBC patients</w:t>
      </w:r>
      <w:r>
        <w:rPr>
          <w:rFonts w:eastAsia="Arial" w:cs="Arial"/>
        </w:rPr>
        <w:t>,</w:t>
      </w:r>
      <w:r w:rsidRPr="00B94BFB">
        <w:rPr>
          <w:rFonts w:eastAsia="Arial" w:cs="Arial"/>
        </w:rPr>
        <w:t xml:space="preserve"> </w:t>
      </w:r>
      <w:r w:rsidRPr="002646F6">
        <w:rPr>
          <w:rFonts w:cs="Arial"/>
        </w:rPr>
        <w:t>where median PF</w:t>
      </w:r>
      <w:r>
        <w:rPr>
          <w:rFonts w:cs="Arial"/>
        </w:rPr>
        <w:t>S</w:t>
      </w:r>
      <w:r w:rsidRPr="002646F6">
        <w:rPr>
          <w:rFonts w:cs="Arial"/>
        </w:rPr>
        <w:t xml:space="preserve"> is </w:t>
      </w:r>
      <w:r w:rsidRPr="00040FAA">
        <w:t>1.7–2.8</w:t>
      </w:r>
      <w:r w:rsidRPr="002646F6">
        <w:rPr>
          <w:rFonts w:cs="Arial"/>
        </w:rPr>
        <w:t xml:space="preserve"> months and m</w:t>
      </w:r>
      <w:r>
        <w:rPr>
          <w:rFonts w:cs="Arial"/>
        </w:rPr>
        <w:t xml:space="preserve">edian </w:t>
      </w:r>
      <w:r w:rsidRPr="002646F6">
        <w:rPr>
          <w:rFonts w:cs="Arial"/>
        </w:rPr>
        <w:t xml:space="preserve">OS </w:t>
      </w:r>
      <w:r>
        <w:rPr>
          <w:rFonts w:cs="Arial"/>
        </w:rPr>
        <w:t xml:space="preserve">is </w:t>
      </w:r>
      <w:r w:rsidRPr="00040FAA">
        <w:t>6.7–</w:t>
      </w:r>
      <w:r>
        <w:t>12.4</w:t>
      </w:r>
      <w:r w:rsidRPr="00040FAA">
        <w:t xml:space="preserve"> </w:t>
      </w:r>
      <w:r w:rsidRPr="002646F6">
        <w:rPr>
          <w:rFonts w:cs="Arial"/>
        </w:rPr>
        <w:t>months.</w:t>
      </w:r>
      <w:r>
        <w:rPr>
          <w:rFonts w:cs="Arial"/>
        </w:rPr>
        <w:fldChar w:fldCharType="begin"/>
      </w:r>
      <w:r>
        <w:rPr>
          <w:rFonts w:cs="Arial"/>
        </w:rPr>
        <w:instrText xml:space="preserve"> ADDIN ZOTERO_ITEM CSL_CITATION {"citationID":"rRHxSDvR","properties":{"formattedCitation":"\\super 43,48\\uc0\\u8211{}50\\nosupersub{}","plainCitation":"43,48–50","noteIndex":0},"citationItems":[{"id":66444,"uris":["http://zotero.org/groups/4797619/items/44JAGUPG"],"itemData":{"id":66444,"type":"article-journal","container-title":"New England Journal of Medicine","DOI":"10.1056/NEJMoa2028485","ISSN":"0028-4793","issue":"16","note":"publisher: Massachusetts Medical Society\n_eprint: https://doi.org/10.1056/NEJMoa2028485\nPMID: 33882206","page":"1529-1541","source":"Taylor and Francis+NEJM","title":"Sacituzumab Govitecan in Metastatic Triple-Negative Breast Cancer","volume":"384","author":[{"family":"Bardia","given":"Aditya"},{"family":"Hurvitz","given":"Sara A."},{"family":"Tolaney","given":"Sara M."},{"family":"Loirat","given":"Delphine"},{"family":"Punie","given":"Kevin"},{"family":"Oliveira","given":"Mafalda"},{"family":"Brufsky","given":"Adam"},{"family":"Sardesai","given":"Sagar D."},{"family":"Kalinsky","given":"Kevin"},{"family":"Zelnak","given":"Amelia B."},{"family":"Weaver","given":"Robert"},{"family":"Traina","given":"Tiffany"},{"family":"Dalenc","given":"Florence"},{"family":"Aftimos","given":"Philippe"},{"family":"Lynce","given":"Filipa"},{"family":"Diab","given":"Sami"},{"family":"Cortés","given":"Javier"},{"family":"O’Shaughnessy","given":"Joyce"},{"family":"Diéras","given":"Véronique"},{"family":"Ferrario","given":"Cristiano"},{"family":"Schmid","given":"Peter"},{"family":"Carey","given":"Lisa A."},{"family":"Gianni","given":"Luca"},{"family":"Piccart","given":"Martine J."},{"family":"Loibl","given":"Sibylle"},{"family":"Goldenberg","given":"David M."},{"family":"Hong","given":"Quan"},{"family":"Olivo","given":"Martin S."},{"family":"Itri","given":"Loretta M."},{"family":"Rugo","given":"Hope S."}],"issued":{"date-parts":[["2021",4,22]]}}},{"id":66149,"uris":["http://zotero.org/groups/4797619/items/8M7DF85G"],"itemData":{"id":66149,"type":"article-journal","abstract":"BACKGROUND: Based on data from two multicenter, phase III clinical trials (Studies 301 and 305), eribulin (a microtubule dynamics inhibitor) is indicated in the European Union (EU) for patients with locally advanced or metastatic breast cancer (MBC) after ≥1 prior chemotherapy for advanced disease, including an anthracycline and a taxane in either the adjuvant or metastatic setting. Data from Studies 305 and 301 were pooled to investigate the efficacy of eribulin in various subgroups of patients who matched the EU label, including those with human epidermal growth factor receptor 2 (HER2)-negative and triple-negative disease.\nPATIENTS AND METHODS: In Study 305 (NCT00388726), patients were randomized 2:1 to eribulin mesylate 1.4 mg/m(2) (equivalent to eribulin 1.23 mg/m(2) [expressed as free base]) intravenously on days 1 and 8 every 21 days] or treatment of physician's choice after 2-5 prior chemotherapies (≥2 for advanced disease), including an anthracycline and a taxane (in early/advanced setting). In Study 301 (NCT00337103), patients were randomized 1:1 to eribulin (as above) or capecitabine (1.25 g/m(2) orally twice daily on days 1-14 every 21 days) following ≤3 prior chemotherapies (≤2 for advanced disease), including an anthracycline and a taxane. Efficacy end points were investigated in the intent-to-treat population and subgroups, pooled as discussed above.\nRESULTS: Overall, 1644 patients were included (eribulin: 946; control: 698); baseline characteristics were well matched. Overall survival was significantly longer with eribulin versus control (P &lt; 0.01), as were progression-free survival and clinical benefit rate (both P &lt; 0.05). Significant survival benefits with eribulin versus control were observed in a wide range of patient subgroups, including HER2-negative or triple-negative disease (all P &lt; 0.05).\nCONCLUSION: Our findings underline the survival benefit achieved by eribulin used according to EU label in the overall MBC population and in various subgroups of interest, including patients with HER2-negative and triple-negative disease.","container-title":"Annals of Oncology: Official Journal of the European Society for Medical Oncology","DOI":"10.1093/annonc/mdw203","ISSN":"1569-8041","issue":"8","journalAbbreviation":"Ann Oncol","language":"eng","note":"PMID: 27177860\nPMCID: PMC4959925","page":"1525-1531","source":"PubMed","title":"Pooled analyses of eribulin in metastatic breast cancer patients with at least one prior chemotherapy","volume":"27","author":[{"family":"Pivot","given":"X."},{"family":"Marmé","given":"F."},{"family":"Koenigsberg","given":"R."},{"family":"Guo","given":"M."},{"family":"Berrak","given":"E."},{"family":"Wolfer","given":"A."}],"issued":{"date-parts":[["2016",8]]}}},{"id":66764,"uris":["http://zotero.org/groups/4797619/items/YX8NEWUE"],"itemData":{"id":66764,"type":"article-journal","container-title":"The Lancet Oncology","DOI":"10.1016/S1470-2045(20)30754-3","ISSN":"1470-2045, 1474-5488","issue":"4","journalAbbreviation":"The Lancet Oncology","language":"English","note":"publisher: Elsevier\nPMID: 33676601","page":"499-511","source":"www.thelancet.com","title":"Pembrolizumab versus investigator-choice chemotherapy for metastatic triple-negative breast cancer (KEYNOTE-119): a randomised, open-label, phase 3 trial","title-short":"Pembrolizumab versus investigator-choice chemotherapy for metastatic triple-negative breast cancer (KEYNOTE-119)","volume":"22","author":[{"family":"Winer","given":"Eric P."},{"family":"Lipatov","given":"Oleg"},{"family":"Im","given":"Seock-Ah"},{"family":"Goncalves","given":"Anthony"},{"family":"Muñoz-Couselo","given":"Eva"},{"family":"Lee","given":"Keun Seok"},{"family":"Schmid","given":"Peter"},{"family":"Tamura","given":"Kenji"},{"family":"Testa","given":"Laura"},{"family":"Witzel","given":"Isabell"},{"family":"Ohtani","given":"Shoichiro"},{"family":"Turner","given":"Nicholas"},{"family":"Zambelli","given":"Stefania"},{"family":"Harbeck","given":"Nadia"},{"family":"Andre","given":"Fabrice"},{"family":"Dent","given":"Rebecca"},{"family":"Zhou","given":"Xuan"},{"family":"Karantza","given":"Vassiliki"},{"family":"Mejia","given":"Jaime"},{"family":"Cortes","given":"Javier"}],"issued":{"date-parts":[["2021",4,1]]}}},{"id":66759,"uris":["http://zotero.org/groups/4797619/items/WRYWKH52"],"itemData":{"id":66759,"type":"article-journal","abstract":"The METRIC study (NCT#0199733) explored a novel antibody–drug conjugate, glembatumumab vedotin (GV), targeting gpNMB that is overexpressed in ~40% of patients with triple-negative breast cancer (TNBC) and associated with poor prognosis. The study was a randomized, open-label, phase 2b study that evaluated progression-free survival (PFS) of GV compared with capecitabine in gpNMB-overexpressing TNBC. Patients who had previously received anthracycline and taxane-based therapy were randomized 2:1 to receive, GV (1.88 mg/kg IV q21 days) or capecitabine (2500 mg/m2 PO daily d1–14 q21 days). The primary endpoint was RECIST 1.1 PFS per independent, blinded central review. In all, 327 patients were randomized to GV (213 treated) or capecitabine (92 treated). Median PFS was 2.9 months for GV vs. 2.8 months for capecitabine. The most common grade ≥3 toxicities for GV were neutropenia, rash, and leukopenia, and for capecitabine were fatigue, diarrhea, and palmar-plantar erythrodysesthesia. The study did not meet the primary endpoint of improved PFS over capecitabine or demonstrate a relative risk/benefit improvement over capecitabine.","container-title":"npj Breast Cancer","DOI":"10.1038/s41523-021-00244-6","ISSN":"2374-4677","issue":"1","language":"en","license":"2021 The Author(s)","note":"number: 1\npublisher: Nature Publishing Group","page":"1-10","source":"www.nature.com","title":"Glembatumumab vedotin for patients with metastatic, gpNMB overexpressing, triple-negative breast cancer (“METRIC”): a randomized multicenter study","title-short":"Glembatumumab vedotin for patients with metastatic, gpNMB overexpressing, triple-negative breast cancer (“METRIC”)","volume":"7","author":[{"family":"Vahdat","given":"Linda T."},{"family":"Schmid","given":"Peter"},{"family":"Forero-Torres","given":"Andres"},{"family":"Blackwell","given":"Kimberly"},{"family":"Telli","given":"Melinda L."},{"family":"Melisko","given":"Michelle"},{"family":"Möbus","given":"Volker"},{"family":"Cortes","given":"Javier"},{"family":"Montero","given":"Alberto J."},{"family":"Ma","given":"Cynthia"},{"family":"Nanda","given":"Rita"},{"family":"Wright","given":"Gail S."},{"family":"He","given":"Yi"},{"family":"Hawthorne","given":"Thomas"},{"family":"Bagley","given":"Rebecca G."},{"family":"Halim","given":"Abdel-Baset"},{"family":"Turner","given":"Christopher D."},{"family":"Yardley","given":"Denise A."}],"issued":{"date-parts":[["2021",5,20]]}}}],"schema":"https://github.com/citation-style-language/schema/raw/master/csl-citation.json"} </w:instrText>
      </w:r>
      <w:r>
        <w:rPr>
          <w:rFonts w:cs="Arial"/>
        </w:rPr>
        <w:fldChar w:fldCharType="separate"/>
      </w:r>
      <w:r w:rsidRPr="00FD57F4">
        <w:rPr>
          <w:rFonts w:cs="Arial"/>
          <w:szCs w:val="24"/>
          <w:vertAlign w:val="superscript"/>
        </w:rPr>
        <w:t>43,48–50</w:t>
      </w:r>
      <w:r>
        <w:rPr>
          <w:rFonts w:cs="Arial"/>
        </w:rPr>
        <w:fldChar w:fldCharType="end"/>
      </w:r>
      <w:r w:rsidDel="00231FDB">
        <w:rPr>
          <w:rFonts w:cs="Arial"/>
        </w:rPr>
        <w:t xml:space="preserve"> </w:t>
      </w:r>
      <w:r w:rsidRPr="00B94BFB">
        <w:rPr>
          <w:rFonts w:eastAsia="Arial" w:cs="Arial"/>
        </w:rPr>
        <w:t>Given the</w:t>
      </w:r>
      <w:r>
        <w:rPr>
          <w:rFonts w:eastAsia="Arial" w:cs="Arial"/>
        </w:rPr>
        <w:t xml:space="preserve"> severity of the condition and the very poor life expectancy using current standard of care, there is a clear unmet</w:t>
      </w:r>
      <w:r w:rsidRPr="00B94BFB">
        <w:rPr>
          <w:rFonts w:eastAsia="Arial" w:cs="Arial"/>
        </w:rPr>
        <w:t xml:space="preserve"> for </w:t>
      </w:r>
      <w:r>
        <w:rPr>
          <w:rFonts w:eastAsia="Arial" w:cs="Arial"/>
        </w:rPr>
        <w:t xml:space="preserve">effective </w:t>
      </w:r>
      <w:r w:rsidRPr="00B94BFB">
        <w:rPr>
          <w:rFonts w:eastAsia="Arial" w:cs="Arial"/>
        </w:rPr>
        <w:t xml:space="preserve">treatments that improve </w:t>
      </w:r>
      <w:r>
        <w:rPr>
          <w:rFonts w:eastAsia="Arial" w:cs="Arial"/>
        </w:rPr>
        <w:t>survival</w:t>
      </w:r>
      <w:r w:rsidRPr="00B94BFB">
        <w:rPr>
          <w:rFonts w:eastAsia="Arial" w:cs="Arial"/>
        </w:rPr>
        <w:t xml:space="preserve"> </w:t>
      </w:r>
      <w:r w:rsidRPr="00B94BFB">
        <w:t>outcomes for patients with HER2-low u/mBC previously treated with chemotherapy</w:t>
      </w:r>
      <w:r>
        <w:t xml:space="preserve"> in the metastatic setting</w:t>
      </w:r>
      <w:r w:rsidRPr="00B94BFB">
        <w:rPr>
          <w:rFonts w:eastAsia="Arial" w:cs="Arial"/>
        </w:rPr>
        <w:t>.</w:t>
      </w:r>
      <w:r>
        <w:fldChar w:fldCharType="begin"/>
      </w:r>
      <w:r w:rsidR="002313E2">
        <w:instrText xml:space="preserve"> ADDIN ZOTERO_ITEM CSL_CITATION {"citationID":"1AGZnFI4","properties":{"formattedCitation":"\\super 43\\uc0\\u8211{}47\\nosupersub{}","plainCitation":"43–47","noteIndex":0},"citationItems":[{"id":66149,"uris":["http://zotero.org/groups/4797619/items/8M7DF85G"],"itemData":{"id":66149,"type":"article-journal","abstract":"BACKGROUND: Based on data from two multicenter, phase III clinical trials (Studies 301 and 305), eribulin (a microtubule dynamics inhibitor) is indicated in the European Union (EU) for patients with locally advanced or metastatic breast cancer (MBC) after ≥1 prior chemotherapy for advanced disease, including an anthracycline and a taxane in either the adjuvant or metastatic setting. Data from Studies 305 and 301 were pooled to investigate the efficacy of eribulin in various subgroups of patients who matched the EU label, including those with human epidermal growth factor receptor 2 (HER2)-negative and triple-negative disease.\nPATIENTS AND METHODS: In Study 305 (NCT00388726), patients were randomized 2:1 to eribulin mesylate 1.4 mg/m(2) (equivalent to eribulin 1.23 mg/m(2) [expressed as free base]) intravenously on days 1 and 8 every 21 days] or treatment of physician's choice after 2-5 prior chemotherapies (≥2 for advanced disease), including an anthracycline and a taxane (in early/advanced setting). In Study 301 (NCT00337103), patients were randomized 1:1 to eribulin (as above) or capecitabine (1.25 g/m(2) orally twice daily on days 1-14 every 21 days) following ≤3 prior chemotherapies (≤2 for advanced disease), including an anthracycline and a taxane. Efficacy end points were investigated in the intent-to-treat population and subgroups, pooled as discussed above.\nRESULTS: Overall, 1644 patients were included (eribulin: 946; control: 698); baseline characteristics were well matched. Overall survival was significantly longer with eribulin versus control (P &lt; 0.01), as were progression-free survival and clinical benefit rate (both P &lt; 0.05). Significant survival benefits with eribulin versus control were observed in a wide range of patient subgroups, including HER2-negative or triple-negative disease (all P &lt; 0.05).\nCONCLUSION: Our findings underline the survival benefit achieved by eribulin used according to EU label in the overall MBC population and in various subgroups of interest, including patients with HER2-negative and triple-negative disease.","container-title":"Annals of Oncology: Official Journal of the European Society for Medical Oncology","DOI":"10.1093/annonc/mdw203","ISSN":"1569-8041","issue":"8","journalAbbreviation":"Ann Oncol","language":"eng","note":"PMID: 27177860\nPMCID: PMC4959925","page":"1525-1531","source":"PubMed","title":"Pooled analyses of eribulin in metastatic breast cancer patients with at least one prior chemotherapy","volume":"27","author":[{"family":"Pivot","given":"X."},{"family":"Marmé","given":"F."},{"family":"Koenigsberg","given":"R."},{"family":"Guo","given":"M."},{"family":"Berrak","given":"E."},{"family":"Wolfer","given":"A."}],"issued":{"date-parts":[["2016",8]]}}},{"id":66152,"uris":["http://zotero.org/groups/4797619/items/K2TXU8UJ"],"itemData":{"id":66152,"type":"article-journal","abstract":"BACKGROUND: Treatments with survival benefit are greatly needed for women with heavily pretreated metastatic breast cancer. Eribulin mesilate is a non-taxane microtubule dynamics inhibitor with a novel mode of action. We aimed to compare overall survival of heavily pretreated patients receiving eribulin versus currently available treatments.\nMETHODS: In this phase 3 open-label study, women with locally recurrent or metastatic breast cancer were randomly allocated (2:1) to eribulin mesilate (1·4 mg/m(2) administered intravenously during 2-5 min on days 1 and 8 of a 21-day cycle) or treatment of physician's choice (TPC). Patients had received between two and five previous chemotherapy regimens (two or more for advanced disease), including an anthracycline and a taxane, unless contraindicated. Randomisation was stratified by geographical region, previous capecitabine treatment, and human epidermal growth factor receptor 2 status. Patients and investigators were not masked to treatment allocation. The primary endpoint was overall survival in the intention-to-treat population. This study is registered at ClinicalTrials.gov, number NCT00388726.\nFINDINGS: 762 women were randomly allocated to treatment groups (508 eribulin, 254 TPC). Overall survival was significantly improved in women assigned to eribulin (median 13·1 months, 95% CI 11·8-14·3) compared with TPC (10·6 months, 9·3-12·5; hazard ratio 0·81, 95% CI 0·66-0·99; p=0·041). The most common adverse events in both groups were asthenia or fatigue (270 [54%] of 503 patients on eribulin and 98 [40%] of 247 patients on TPC at all grades) and neutropenia (260 [52%] patients receiving eribulin and 73 [30%] of those on TPC at all grades). Peripheral neuropathy was the most common adverse event leading to discontinuation from eribulin, occurring in 24 (5%) of 503 patients.\nINTERPRETATION: Eribulin showed a significant and clinically meaningful improvement in overall survival compared with TPC in women with heavily pretreated metastatic breast cancer. This finding challenges the notion that improved overall survival is an unrealistic expectation during evaluation of new anticancer therapies in the refractory setting.\nFUNDING: Eisai.","container-title":"Lancet (London, England)","DOI":"10.1016/S0140-6736(11)60070-6","ISSN":"1474-547X","issue":"9769","journalAbbreviation":"Lancet","language":"eng","note":"PMID: 21376385","page":"914-923","source":"PubMed","title":"Eribulin monotherapy versus treatment of physician's choice in patients with metastatic breast cancer (EMBRACE): a phase 3 open-label randomised study","title-short":"Eribulin monotherapy versus treatment of physician's choice in patients with metastatic breast cancer (EMBRACE)","volume":"377","author":[{"family":"Cortes","given":"Javier"},{"family":"O'Shaughnessy","given":"Joyce"},{"family":"Loesch","given":"David"},{"family":"Blum","given":"Joanne L."},{"family":"Vahdat","given":"Linda T."},{"family":"Petrakova","given":"Katarina"},{"family":"Chollet","given":"Philippe"},{"family":"Manikas","given":"Alexey"},{"family":"Diéras","given":"Veronique"},{"family":"Delozier","given":"Thierry"},{"family":"Vladimirov","given":"Vladimir"},{"family":"Cardoso","given":"Fatima"},{"family":"Koh","given":"Han"},{"family":"Bougnoux","given":"Philippe"},{"family":"Dutcus","given":"Corina E."},{"family":"Seegobin","given":"Seth"},{"family":"Mir","given":"Denis"},{"family":"Meneses","given":"Nicole"},{"family":"Wanders","given":"Jantien"},{"family":"Twelves","given":"Chris"},{"literal":"EMBRACE (Eisai Metastatic Breast Cancer Study Assessing Physician's Choice Versus E7389) investigators"}],"issued":{"date-parts":[["2011",3,12]]}}},{"id":66151,"uris":["http://zotero.org/groups/4797619/items/RLDAE79H"],"itemData":{"id":66151,"type":"article-journal","abstract":"PURPOSE AND METHODS: Our secondary analyses compared survival with eribulin versus capecitabine in various patient subgroups from a phase 3, open-label, randomized study. Eligible women aged ≥18 years with advanced/metastatic breast cancer and ≤3 prior chemotherapies (≤2 for advanced/metastatic disease), including an anthracycline and taxane, were randomized 1:1 to intravenous eribulin mesylate 1.4 mg/m(2) on days 1 and 8 or twice-daily oral capecitabine 1250 mg/m(2) on days 1-14 (21-day cycles).\nRESULTS: In the intent-to-treat population (eribulin 554 and capecitabine 548), overall survival appeared longer with eribulin than capecitabine in various subgroups, including patients with human epidermal growth factor receptor 2-negative (15.9 versus 13.5 months, respectively), estrogen receptor-negative (14.4 versus 10.5 months, respectively), and triple-negative (14.4 versus 9.4 months, respectively) disease. Progression-free survival was similar between the treatment arms.\nCONCLUSIONS: Patients with advanced/metastatic breast cancer and human epidermal growth factor receptor 2-, estrogen receptor-, or triple-negative disease may gain particular benefit from eribulin as first-, second-, and third-line chemotherapies.\nTRIAL REGISTRATION PRIMARY STUDY: This study reports the subgroup analyses of eribulin versus capecitabine from a phase 3, open-label, randomized study (www.clinicaltrials.gov; ClinicalTrials.gov identifier: NCT00337103).","container-title":"Breast Cancer: Basic and Clinical Research","DOI":"10.4137/BCBCR.S39615","ISSN":"1178-2234","journalAbbreviation":"Breast Cancer (Auckl)","language":"eng","note":"PMID: 27398025\nPMCID: PMC4927108","page":"77-84","source":"PubMed","title":"Subgroup Analyses from a Phase 3, Open-Label, Randomized Study of Eribulin Mesylate Versus Capecitabine in Pretreated Patients with Advanced or Metastatic Breast Cancer","volume":"10","author":[{"family":"Twelves","given":"Chris"},{"family":"Awada","given":"Ahmad"},{"family":"Cortes","given":"Javier"},{"family":"Yelle","given":"Louise"},{"family":"Velikova","given":"Galina"},{"family":"Olivo","given":"Martin S."},{"family":"Song","given":"James"},{"family":"Dutcus","given":"Corina E."},{"family":"Kaufman","given":"Peter A."}],"issued":{"date-parts":[["2016"]]}}},{"id":66150,"uris":["http://zotero.org/groups/4797619/items/FWP3JYLN"],"itemData":{"id":66150,"type":"article-journal","abstract":"This post hoc subgroup analysis of a large phase 3 study compared the efficacy and safety of eribulin versus capecitabine in patients with human epidermal growth factor receptor 2 (HER2)-negative metastatic breast cancer who received second-line treatment. In the phase 3 study, women with advanced/metastatic breast cancer and ≤ 3 prior chemotherapies were randomized 1:1 to eribulin mesilate 1.4 mg/m2 intravenously on days 1 and 8, or twice-daily oral capecitabine 1.25 g/m2 on days 1-14 (21-day cycles). This analysis included 392 patients. Median overall survival was longer in patients receiving eribulin compared with capecitabine (16.1 vs 13.5 months, respectively; HR 0.77, P = 0.026). Median progression-free survival and response rates were similar between arms. Both treatments had manageable safety profiles.","container-title":"Breast Cancer (Tokyo, Japan)","DOI":"10.1007/s12282-017-0826-4","ISSN":"1880-4233","issue":"3","journalAbbreviation":"Breast Cancer","language":"eng","note":"PMID: 29302858\nPMCID: PMC5906517","page":"370-374","source":"PubMed","title":"Subgroup analysis of patients with HER2-negative metastatic breast cancer in the second-line setting from a phase 3, open-label, randomized study of eribulin mesilate versus capecitabine","volume":"25","author":[{"family":"Pivot","given":"Xavier"},{"family":"Im","given":"Seock Ah"},{"family":"Guo","given":"Matthew"},{"family":"Marmé","given":"Frederik"}],"issued":{"date-parts":[["2018",5]]}}},{"id":66278,"uris":["http://zotero.org/groups/4797619/items/L9C8M9U3"],"itemData":{"id":66278,"type":"article-journal","abstract":"BACKGROUND: Use of antiangiogenic agents in treatment of metastatic breast cancer (MBC) remains controversial. We evaluated the efficacy and safety of ramucirumab and eribulin versus eribulin alone as third- to fifth-line therapy in women with advanced breast cancer.\nPATIENTS AND METHODS: In this randomized (1:1), open-label, phase II study, US women aged 18 years or older with 2 to 4 previous chemotherapy regimens for locally recurrent or MBC, previous anthracycline and taxane treatment, and Eastern Cooperative Oncology Group performance status of 0 or 1 received ramucirumab with eribulin or eribulin alone in 21-day cycles (eribulin 1.4 mg/m2 intravenously on days 1 and 8; ramucirumab 10 mg/kg intravenously on day 1). Randomization was stratified according to previous antiangiogenic therapy and triple-negative status. The primary end point was progression-free survival (PFS) in the intention to treat population.\nRESULTS: One hundred forty-one women were randomized to ramucirumab with eribulin (n = 71) or eribulin alone (n = 70). Median PFS for ramucirumab with eribulin was 4.4 months (95% confidence interval [CI], 3.1-6.7) compared with 4.1 months (95% CI, 3.2-5.6) for eribulin (hazard ratio [HR], 0.83; 95% CI, 0.56-1.23; P = .35). Median overall survival in patients who received ramucirumab with eribulin was 13.5 months (95% CI, 10.4-17.9) compared with 11.5 months (95% CI, 9.0-17.3) in patients who received eribulin alone (HR, 0.91; 95% CI, 0.59-1.41; P = .68); objective response rate was 21% (13 of 62 patients) for the combination and 28% (17 of 60 patients) for eribulin alone. No unexpected toxicity was identified for the combination.\nCONCLUSION: Ramucirumab combined with eribulin did not significantly improve PFS in advanced MBC.","container-title":"Clinical Breast Cancer","DOI":"10.1016/j.clbc.2016.07.005","ISSN":"1938-0666","issue":"6","journalAbbreviation":"Clin Breast Cancer","language":"eng","note":"PMID: 27569274","page":"471-479.e1","source":"PubMed","title":"Ramucirumab With Eribulin Versus Eribulin in Locally Recurrent or Metastatic Breast Cancer Previously Treated With Anthracycline and Taxane Therapy: A Multicenter, Randomized, Phase II Study","title-short":"Ramucirumab With Eribulin Versus Eribulin in Locally Recurrent or Metastatic Breast Cancer Previously Treated With Anthracycline and Taxane Therapy","volume":"16","author":[{"family":"Yardley","given":"Denise A."},{"family":"Reeves","given":"James"},{"family":"Dees","given":"E. Claire"},{"family":"Osborne","given":"Cynthia"},{"family":"Paul","given":"Devchand"},{"family":"Ademuyiwa","given":"Foluso"},{"family":"Soliman","given":"Hatem"},{"family":"Guthrie","given":"Troy"},{"family":"Andersen","given":"Jay"},{"family":"Krekow","given":"Lea"},{"family":"Choksi","given":"Janak"},{"family":"Daniel","given":"Brooke"},{"family":"Danso","given":"Michael"},{"family":"Favret","given":"Anne"},{"family":"Oommen","given":"Sanjay"},{"family":"Brufsky","given":"Adam"},{"family":"Bromund","given":"Jane L."},{"family":"Lin","given":"Yong"},{"family":"Ibrahim","given":"Ayman B."},{"family":"Richards","given":"Paul D."}],"issued":{"date-parts":[["2016",12]]}}}],"schema":"https://github.com/citation-style-language/schema/raw/master/csl-citation.json"} </w:instrText>
      </w:r>
      <w:r>
        <w:fldChar w:fldCharType="separate"/>
      </w:r>
      <w:r w:rsidRPr="00FD57F4">
        <w:rPr>
          <w:rFonts w:cs="Arial"/>
          <w:szCs w:val="24"/>
          <w:vertAlign w:val="superscript"/>
        </w:rPr>
        <w:t>43–47</w:t>
      </w:r>
      <w:r>
        <w:fldChar w:fldCharType="end"/>
      </w:r>
      <w:r w:rsidRPr="00B94BFB">
        <w:rPr>
          <w:rFonts w:eastAsia="Arial" w:cs="Arial"/>
        </w:rPr>
        <w:t xml:space="preserve"> </w:t>
      </w:r>
      <w:r>
        <w:rPr>
          <w:rFonts w:eastAsia="Arial" w:cs="Arial"/>
        </w:rPr>
        <w:t>A</w:t>
      </w:r>
      <w:r>
        <w:t>s the first HER2-targeted therapy to demonstrate significant efficacy in HER2-low u/mBC,</w:t>
      </w:r>
      <w:r>
        <w:fldChar w:fldCharType="begin"/>
      </w:r>
      <w:r>
        <w:instrText xml:space="preserve"> ADDIN ZOTERO_ITEM CSL_CITATION {"citationID":"E3R2eTg6","properties":{"formattedCitation":"\\super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Pr="00FD57F4">
        <w:rPr>
          <w:rFonts w:cs="Arial"/>
          <w:szCs w:val="24"/>
          <w:vertAlign w:val="superscript"/>
        </w:rPr>
        <w:t>6</w:t>
      </w:r>
      <w:r>
        <w:fldChar w:fldCharType="end"/>
      </w:r>
      <w:r w:rsidRPr="00054570">
        <w:t xml:space="preserve"> </w:t>
      </w:r>
      <w:r>
        <w:t xml:space="preserve">T-DXd addresses this unmet need. </w:t>
      </w:r>
    </w:p>
    <w:p w14:paraId="0C20FCCE" w14:textId="4949AC1B" w:rsidR="00F5281B" w:rsidRDefault="00F5281B" w:rsidP="00F5281B">
      <w:pPr>
        <w:spacing w:line="257" w:lineRule="auto"/>
      </w:pPr>
      <w:r>
        <w:t>Until February 2022, the value of innovation and improved outcomes for severe conditions with poor life expectancy was recognised through the end-of-life (EOL) criteria,</w:t>
      </w:r>
      <w:r>
        <w:fldChar w:fldCharType="begin"/>
      </w:r>
      <w:r w:rsidR="00CA6345">
        <w:instrText xml:space="preserve"> ADDIN ZOTERO_ITEM CSL_CITATION {"citationID":"XIVWQpLV","properties":{"formattedCitation":"\\super 188\\nosupersub{}","plainCitation":"188","noteIndex":0},"citationItems":[{"id":66799,"uris":["http://zotero.org/groups/4797619/items/Q57N8AJW"],"itemData":{"id":66799,"type":"webpage","language":"eng","note":"publisher: NICE","title":"NICE Technology Appraisal Guidance 387: Appraising life-extending, end of life treatments","title-short":"NICE TAG 387","URL":"https://www.nice.org.uk/guidance/gid-tag387/documents/appraising-life-extending-end-of-life-treatments-paper2","author":[{"family":"NICE","given":""}],"accessed":{"date-parts":[["2022",10,17]]},"issued":{"date-parts":[["2009"]]}}}],"schema":"https://github.com/citation-style-language/schema/raw/master/csl-citation.json"} </w:instrText>
      </w:r>
      <w:r>
        <w:fldChar w:fldCharType="separate"/>
      </w:r>
      <w:r w:rsidR="00CA6345" w:rsidRPr="00CA6345">
        <w:rPr>
          <w:rFonts w:cs="Arial"/>
          <w:szCs w:val="24"/>
          <w:vertAlign w:val="superscript"/>
        </w:rPr>
        <w:t>188</w:t>
      </w:r>
      <w:r>
        <w:fldChar w:fldCharType="end"/>
      </w:r>
      <w:r>
        <w:t xml:space="preserve"> and since the NICE methods update in 2022, is recognised through the severity modifier.</w:t>
      </w:r>
      <w:r>
        <w:fldChar w:fldCharType="begin"/>
      </w:r>
      <w:r>
        <w:instrText xml:space="preserve"> ADDIN ZOTERO_ITEM CSL_CITATION {"citationID":"u7ipSeD9","properties":{"formattedCitation":"\\super 2\\nosupersub{}","plainCitation":"2","noteIndex":0},"citationItems":[{"id":65886,"uris":["http://zotero.org/groups/4797619/items/2LQNV7UR"],"itemData":{"id":65886,"type":"webpage","abstract":"This guide describes the methods and processes, including expected timescales, that NICE follows when carrying out health technology evaluations. The methods and processes are designed to produce robust guidance for the NHS in an open, transparent and timely way, with appropriate contribution from stakeholders. Organisations invited to contribute to health technology evaluation development should read this manual in conjunction with the NICE health technology evaluation topic selection: the manual. All documents are available on the NICE website.","language":"eng","note":"publisher: NICE","title":"NICE health technology evaluations: the manual","title-short":"NICE health technology evaluations","URL":"https://www.nice.org.uk/process/pmg36/chapter/introduction-to-health-technology-evaluation","author":[{"family":"NICE","given":""}],"accessed":{"date-parts":[["2022",10,19]]},"issued":{"date-parts":[["2022",1]]}}}],"schema":"https://github.com/citation-style-language/schema/raw/master/csl-citation.json"} </w:instrText>
      </w:r>
      <w:r>
        <w:fldChar w:fldCharType="separate"/>
      </w:r>
      <w:r w:rsidRPr="00FD57F4">
        <w:rPr>
          <w:rFonts w:cs="Arial"/>
          <w:szCs w:val="24"/>
          <w:vertAlign w:val="superscript"/>
        </w:rPr>
        <w:t>2</w:t>
      </w:r>
      <w:r>
        <w:fldChar w:fldCharType="end"/>
      </w:r>
      <w:r>
        <w:t xml:space="preserve"> The applicability </w:t>
      </w:r>
      <w:r w:rsidR="002C5B66">
        <w:t xml:space="preserve">and impact </w:t>
      </w:r>
      <w:r>
        <w:t>of each of these decision modifiers to this appraisal is discussed below.</w:t>
      </w:r>
    </w:p>
    <w:p w14:paraId="688F2F3E" w14:textId="77777777" w:rsidR="00F5281B" w:rsidRDefault="00F5281B" w:rsidP="00F5281B">
      <w:pPr>
        <w:pStyle w:val="Heading3"/>
      </w:pPr>
      <w:bookmarkStart w:id="740" w:name="_Toc129350905"/>
      <w:r>
        <w:lastRenderedPageBreak/>
        <w:t>End-of-life criteria</w:t>
      </w:r>
      <w:bookmarkEnd w:id="740"/>
    </w:p>
    <w:p w14:paraId="58145781" w14:textId="0AB29B9D" w:rsidR="00F5281B" w:rsidRDefault="00F5281B" w:rsidP="00F5281B">
      <w:pPr>
        <w:spacing w:line="257" w:lineRule="auto"/>
      </w:pPr>
      <w:r w:rsidRPr="00C94F6B">
        <w:t>Prior to the 2022 NICE methods update,</w:t>
      </w:r>
      <w:r>
        <w:fldChar w:fldCharType="begin"/>
      </w:r>
      <w:r>
        <w:instrText xml:space="preserve"> ADDIN ZOTERO_ITEM CSL_CITATION {"citationID":"h3DZj7ps","properties":{"formattedCitation":"\\super 2\\nosupersub{}","plainCitation":"2","noteIndex":0},"citationItems":[{"id":65886,"uris":["http://zotero.org/groups/4797619/items/2LQNV7UR"],"itemData":{"id":65886,"type":"webpage","abstract":"This guide describes the methods and processes, including expected timescales, that NICE follows when carrying out health technology evaluations. The methods and processes are designed to produce robust guidance for the NHS in an open, transparent and timely way, with appropriate contribution from stakeholders. Organisations invited to contribute to health technology evaluation development should read this manual in conjunction with the NICE health technology evaluation topic selection: the manual. All documents are available on the NICE website.","language":"eng","note":"publisher: NICE","title":"NICE health technology evaluations: the manual","title-short":"NICE health technology evaluations","URL":"https://www.nice.org.uk/process/pmg36/chapter/introduction-to-health-technology-evaluation","author":[{"family":"NICE","given":""}],"accessed":{"date-parts":[["2022",10,19]]},"issued":{"date-parts":[["2022",1]]}}}],"schema":"https://github.com/citation-style-language/schema/raw/master/csl-citation.json"} </w:instrText>
      </w:r>
      <w:r>
        <w:fldChar w:fldCharType="separate"/>
      </w:r>
      <w:r w:rsidRPr="00FD57F4">
        <w:rPr>
          <w:rFonts w:cs="Arial"/>
          <w:szCs w:val="24"/>
          <w:vertAlign w:val="superscript"/>
        </w:rPr>
        <w:t>2</w:t>
      </w:r>
      <w:r>
        <w:fldChar w:fldCharType="end"/>
      </w:r>
      <w:r w:rsidRPr="00C94F6B">
        <w:t xml:space="preserve"> NICE </w:t>
      </w:r>
      <w:r>
        <w:t xml:space="preserve">Committees considered the following </w:t>
      </w:r>
      <w:r w:rsidRPr="00C94F6B">
        <w:t>decision-</w:t>
      </w:r>
      <w:r>
        <w:t>modifiers, amongst others, when making judgements on the value of new technologies:</w:t>
      </w:r>
      <w:r>
        <w:fldChar w:fldCharType="begin"/>
      </w:r>
      <w:r w:rsidR="00CA6345">
        <w:instrText xml:space="preserve"> ADDIN ZOTERO_ITEM CSL_CITATION {"citationID":"TXVxFsif","properties":{"formattedCitation":"\\super 189\\nosupersub{}","plainCitation":"189","noteIndex":0},"citationItems":[{"id":66798,"uris":["http://zotero.org/groups/4797619/items/UKTQHHCZ"],"itemData":{"id":66798,"type":"webpage","language":"eng","note":"publisher: NICE","title":"NICE Consultation Paper: Value Based Assessment of Health Technologies","URL":"https://www.nice.org.uk/Media/Default/About/what-we-do/NICE-guidance/NICE-technology-appraisals/VBA-TA-Methods-Guide-for-Consultation.pdf","author":[{"family":"NICE","given":""}],"accessed":{"date-parts":[["2022",10,17]]},"issued":{"date-parts":[["2017"]]}}}],"schema":"https://github.com/citation-style-language/schema/raw/master/csl-citation.json"} </w:instrText>
      </w:r>
      <w:r>
        <w:fldChar w:fldCharType="separate"/>
      </w:r>
      <w:r w:rsidR="00CA6345" w:rsidRPr="00CA6345">
        <w:rPr>
          <w:rFonts w:cs="Arial"/>
          <w:szCs w:val="24"/>
          <w:vertAlign w:val="superscript"/>
        </w:rPr>
        <w:t>189</w:t>
      </w:r>
      <w:r>
        <w:fldChar w:fldCharType="end"/>
      </w:r>
    </w:p>
    <w:p w14:paraId="1F6DE4FA" w14:textId="77777777" w:rsidR="00F5281B" w:rsidRDefault="00F5281B" w:rsidP="00F5281B">
      <w:pPr>
        <w:pStyle w:val="ListParagraph"/>
        <w:numPr>
          <w:ilvl w:val="0"/>
          <w:numId w:val="61"/>
        </w:numPr>
        <w:spacing w:line="257" w:lineRule="auto"/>
      </w:pPr>
      <w:r>
        <w:t>The innovative nature of the technology.</w:t>
      </w:r>
    </w:p>
    <w:p w14:paraId="55F620FD" w14:textId="77777777" w:rsidR="00F5281B" w:rsidRDefault="00F5281B" w:rsidP="00F5281B">
      <w:pPr>
        <w:pStyle w:val="ListParagraph"/>
        <w:numPr>
          <w:ilvl w:val="0"/>
          <w:numId w:val="61"/>
        </w:numPr>
        <w:spacing w:line="257" w:lineRule="auto"/>
      </w:pPr>
      <w:r>
        <w:t>Whether the technology meets the EOL criteria.</w:t>
      </w:r>
    </w:p>
    <w:p w14:paraId="5E5C5F67" w14:textId="77777777" w:rsidR="00F5281B" w:rsidRDefault="00F5281B" w:rsidP="00F5281B">
      <w:pPr>
        <w:pStyle w:val="ListParagraph"/>
        <w:numPr>
          <w:ilvl w:val="0"/>
          <w:numId w:val="61"/>
        </w:numPr>
        <w:spacing w:line="257" w:lineRule="auto"/>
      </w:pPr>
      <w:r>
        <w:t>Aspects that relate to non-health objectives of the NHS (e.g., better use of resources)</w:t>
      </w:r>
    </w:p>
    <w:p w14:paraId="18C4D5ED" w14:textId="78457609" w:rsidR="00F5281B" w:rsidRPr="00C94F6B" w:rsidRDefault="00F5281B" w:rsidP="00F5281B">
      <w:pPr>
        <w:spacing w:line="257" w:lineRule="auto"/>
      </w:pPr>
      <w:r>
        <w:t xml:space="preserve">The </w:t>
      </w:r>
      <w:r w:rsidRPr="00C94F6B">
        <w:t xml:space="preserve">EOL </w:t>
      </w:r>
      <w:r>
        <w:t>modifier was introduced to recognise the potential value of technologies that extend life in populations at the end of life, namely</w:t>
      </w:r>
      <w:r w:rsidRPr="00C94F6B">
        <w:t>:</w:t>
      </w:r>
      <w:r>
        <w:fldChar w:fldCharType="begin"/>
      </w:r>
      <w:r w:rsidR="00CA6345">
        <w:instrText xml:space="preserve"> ADDIN ZOTERO_ITEM CSL_CITATION {"citationID":"naIoFbes","properties":{"formattedCitation":"\\super 188\\nosupersub{}","plainCitation":"188","noteIndex":0},"citationItems":[{"id":66799,"uris":["http://zotero.org/groups/4797619/items/Q57N8AJW"],"itemData":{"id":66799,"type":"webpage","language":"eng","note":"publisher: NICE","title":"NICE Technology Appraisal Guidance 387: Appraising life-extending, end of life treatments","title-short":"NICE TAG 387","URL":"https://www.nice.org.uk/guidance/gid-tag387/documents/appraising-life-extending-end-of-life-treatments-paper2","author":[{"family":"NICE","given":""}],"accessed":{"date-parts":[["2022",10,17]]},"issued":{"date-parts":[["2009"]]}}}],"schema":"https://github.com/citation-style-language/schema/raw/master/csl-citation.json"} </w:instrText>
      </w:r>
      <w:r>
        <w:fldChar w:fldCharType="separate"/>
      </w:r>
      <w:r w:rsidR="00CA6345" w:rsidRPr="00CA6345">
        <w:rPr>
          <w:rFonts w:cs="Arial"/>
          <w:szCs w:val="24"/>
          <w:vertAlign w:val="superscript"/>
        </w:rPr>
        <w:t>188</w:t>
      </w:r>
      <w:r>
        <w:fldChar w:fldCharType="end"/>
      </w:r>
    </w:p>
    <w:p w14:paraId="524FA0F7" w14:textId="77777777" w:rsidR="00F5281B" w:rsidRPr="00C94F6B" w:rsidRDefault="00F5281B" w:rsidP="00F5281B">
      <w:pPr>
        <w:pStyle w:val="ListParagraph"/>
        <w:numPr>
          <w:ilvl w:val="0"/>
          <w:numId w:val="60"/>
        </w:numPr>
        <w:spacing w:line="257" w:lineRule="auto"/>
      </w:pPr>
      <w:r w:rsidRPr="00C94F6B">
        <w:t>The treatment is indicated for patients with a short life expectancy, normally less than 24 months.</w:t>
      </w:r>
    </w:p>
    <w:p w14:paraId="53DF0297" w14:textId="77777777" w:rsidR="00F5281B" w:rsidRPr="00C94F6B" w:rsidRDefault="00F5281B" w:rsidP="00F5281B">
      <w:pPr>
        <w:pStyle w:val="ListParagraph"/>
        <w:numPr>
          <w:ilvl w:val="0"/>
          <w:numId w:val="60"/>
        </w:numPr>
        <w:spacing w:line="257" w:lineRule="auto"/>
      </w:pPr>
      <w:r w:rsidRPr="00C94F6B">
        <w:t>There is sufficient evidence to indicate that the treatment offers an extension to life, normally of at least an additional 3 months compared to current NHS treatment.</w:t>
      </w:r>
    </w:p>
    <w:p w14:paraId="2D73330C" w14:textId="6DBE6259" w:rsidR="00F5281B" w:rsidRDefault="00F5281B" w:rsidP="00F5281B">
      <w:pPr>
        <w:spacing w:line="257" w:lineRule="auto"/>
      </w:pPr>
      <w:r w:rsidRPr="00C94F6B">
        <w:t>In practic</w:t>
      </w:r>
      <w:r>
        <w:t>al terms</w:t>
      </w:r>
      <w:r w:rsidRPr="00C94F6B">
        <w:t xml:space="preserve">, this </w:t>
      </w:r>
      <w:r>
        <w:t>weighting</w:t>
      </w:r>
      <w:r w:rsidRPr="00C94F6B">
        <w:t xml:space="preserve"> led to appraisals that met the criteria being assessed against </w:t>
      </w:r>
      <w:r>
        <w:t xml:space="preserve">a Willingness to Pay (WTP) </w:t>
      </w:r>
      <w:r w:rsidRPr="00C94F6B">
        <w:t>threshold of £50,000 per QALY gained</w:t>
      </w:r>
      <w:r>
        <w:t>.</w:t>
      </w:r>
      <w:r>
        <w:fldChar w:fldCharType="begin"/>
      </w:r>
      <w:r w:rsidR="00CA6345">
        <w:instrText xml:space="preserve"> ADDIN ZOTERO_ITEM CSL_CITATION {"citationID":"bSLJWDVN","properties":{"formattedCitation":"\\super 189\\nosupersub{}","plainCitation":"189","noteIndex":0},"citationItems":[{"id":66798,"uris":["http://zotero.org/groups/4797619/items/UKTQHHCZ"],"itemData":{"id":66798,"type":"webpage","language":"eng","note":"publisher: NICE","title":"NICE Consultation Paper: Value Based Assessment of Health Technologies","URL":"https://www.nice.org.uk/Media/Default/About/what-we-do/NICE-guidance/NICE-technology-appraisals/VBA-TA-Methods-Guide-for-Consultation.pdf","author":[{"family":"NICE","given":""}],"accessed":{"date-parts":[["2022",10,17]]},"issued":{"date-parts":[["2017"]]}}}],"schema":"https://github.com/citation-style-language/schema/raw/master/csl-citation.json"} </w:instrText>
      </w:r>
      <w:r>
        <w:fldChar w:fldCharType="separate"/>
      </w:r>
      <w:r w:rsidR="00CA6345" w:rsidRPr="00CA6345">
        <w:rPr>
          <w:rFonts w:cs="Arial"/>
          <w:szCs w:val="24"/>
          <w:vertAlign w:val="superscript"/>
        </w:rPr>
        <w:t>189</w:t>
      </w:r>
      <w:r>
        <w:fldChar w:fldCharType="end"/>
      </w:r>
      <w:r w:rsidRPr="00C94F6B">
        <w:t xml:space="preserve"> </w:t>
      </w:r>
    </w:p>
    <w:p w14:paraId="377A252F" w14:textId="77777777" w:rsidR="00F5281B" w:rsidRDefault="00F5281B" w:rsidP="00F5281B">
      <w:pPr>
        <w:spacing w:line="257" w:lineRule="auto"/>
      </w:pPr>
      <w:r>
        <w:t>T-DXd in HER2-low u/mBC meets the previous NICE EOL criteria:</w:t>
      </w:r>
    </w:p>
    <w:p w14:paraId="63F13D09" w14:textId="77777777" w:rsidR="00F5281B" w:rsidRDefault="00F5281B" w:rsidP="00F5281B">
      <w:pPr>
        <w:pStyle w:val="ListParagraph"/>
        <w:numPr>
          <w:ilvl w:val="0"/>
          <w:numId w:val="62"/>
        </w:numPr>
        <w:spacing w:line="257" w:lineRule="auto"/>
        <w:ind w:left="714" w:hanging="357"/>
        <w:contextualSpacing w:val="0"/>
      </w:pPr>
      <w:r w:rsidRPr="00F70F9F">
        <w:rPr>
          <w:b/>
          <w:bCs/>
        </w:rPr>
        <w:t>T-DXd is for patients with a short life expectancy</w:t>
      </w:r>
      <w:r>
        <w:rPr>
          <w:b/>
          <w:bCs/>
        </w:rPr>
        <w:t xml:space="preserve"> (&lt;</w:t>
      </w:r>
      <w:r w:rsidRPr="00F70F9F">
        <w:rPr>
          <w:b/>
          <w:bCs/>
        </w:rPr>
        <w:t>24 months</w:t>
      </w:r>
      <w:r>
        <w:rPr>
          <w:b/>
          <w:bCs/>
        </w:rPr>
        <w:t>)</w:t>
      </w:r>
      <w:r w:rsidRPr="00F70F9F">
        <w:rPr>
          <w:b/>
          <w:bCs/>
        </w:rPr>
        <w:t>:</w:t>
      </w:r>
      <w:r>
        <w:t xml:space="preserve"> As per the TPC arm in DESTINY-Breast04, median OS with standard of care is just 16.8 months in the FAS population relevant to this appraisal.</w:t>
      </w:r>
      <w:r>
        <w:fldChar w:fldCharType="begin"/>
      </w:r>
      <w:r>
        <w:instrText xml:space="preserve"> ADDIN ZOTERO_ITEM CSL_CITATION {"citationID":"ZXwRLVhR","properties":{"formattedCitation":"\\super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Pr="00FD57F4">
        <w:rPr>
          <w:rFonts w:cs="Arial"/>
          <w:szCs w:val="24"/>
          <w:vertAlign w:val="superscript"/>
        </w:rPr>
        <w:t>6</w:t>
      </w:r>
      <w:r>
        <w:fldChar w:fldCharType="end"/>
      </w:r>
      <w:r>
        <w:t xml:space="preserve"> This is consistent with survival reported in prior studies of single-agent chemotherapies in a similar setting in HER2-negative u/mBC (any HR-status: HR-positive, HR-negative, HR-unspecified), where life expectancy is 6.7–20.7 months.</w:t>
      </w:r>
      <w:r>
        <w:fldChar w:fldCharType="begin"/>
      </w:r>
      <w:r>
        <w:instrText xml:space="preserve"> ADDIN ZOTERO_ITEM CSL_CITATION {"citationID":"xXe4otho","properties":{"formattedCitation":"\\super 43\\uc0\\u8211{}55\\nosupersub{}","plainCitation":"43–55","noteIndex":0},"citationItems":[{"id":66278,"uris":["http://zotero.org/groups/4797619/items/L9C8M9U3"],"itemData":{"id":66278,"type":"article-journal","abstract":"BACKGROUND: Use of antiangiogenic agents in treatment of metastatic breast cancer (MBC) remains controversial. We evaluated the efficacy and safety of ramucirumab and eribulin versus eribulin alone as third- to fifth-line therapy in women with advanced breast cancer.\nPATIENTS AND METHODS: In this randomized (1:1), open-label, phase II study, US women aged 18 years or older with 2 to 4 previous chemotherapy regimens for locally recurrent or MBC, previous anthracycline and taxane treatment, and Eastern Cooperative Oncology Group performance status of 0 or 1 received ramucirumab with eribulin or eribulin alone in 21-day cycles (eribulin 1.4 mg/m2 intravenously on days 1 and 8; ramucirumab 10 mg/kg intravenously on day 1). Randomization was stratified according to previous antiangiogenic therapy and triple-negative status. The primary end point was progression-free survival (PFS) in the intention to treat population.\nRESULTS: One hundred forty-one women were randomized to ramucirumab with eribulin (n = 71) or eribulin alone (n = 70). Median PFS for ramucirumab with eribulin was 4.4 months (95% confidence interval [CI], 3.1-6.7) compared with 4.1 months (95% CI, 3.2-5.6) for eribulin (hazard ratio [HR], 0.83; 95% CI, 0.56-1.23; P = .35). Median overall survival in patients who received ramucirumab with eribulin was 13.5 months (95% CI, 10.4-17.9) compared with 11.5 months (95% CI, 9.0-17.3) in patients who received eribulin alone (HR, 0.91; 95% CI, 0.59-1.41; P = .68); objective response rate was 21% (13 of 62 patients) for the combination and 28% (17 of 60 patients) for eribulin alone. No unexpected toxicity was identified for the combination.\nCONCLUSION: Ramucirumab combined with eribulin did not significantly improve PFS in advanced MBC.","container-title":"Clinical Breast Cancer","DOI":"10.1016/j.clbc.2016.07.005","ISSN":"1938-0666","issue":"6","journalAbbreviation":"Clin Breast Cancer","language":"eng","note":"PMID: 27569274","page":"471-479.e1","source":"PubMed","title":"Ramucirumab With Eribulin Versus Eribulin in Locally Recurrent or Metastatic Breast Cancer Previously Treated With Anthracycline and Taxane Therapy: A Multicenter, Randomized, Phase II Study","title-short":"Ramucirumab With Eribulin Versus Eribulin in Locally Recurrent or Metastatic Breast Cancer Previously Treated With Anthracycline and Taxane Therapy","volume":"16","author":[{"family":"Yardley","given":"Denise A."},{"family":"Reeves","given":"James"},{"family":"Dees","given":"E. Claire"},{"family":"Osborne","given":"Cynthia"},{"family":"Paul","given":"Devchand"},{"family":"Ademuyiwa","given":"Foluso"},{"family":"Soliman","given":"Hatem"},{"family":"Guthrie","given":"Troy"},{"family":"Andersen","given":"Jay"},{"family":"Krekow","given":"Lea"},{"family":"Choksi","given":"Janak"},{"family":"Daniel","given":"Brooke"},{"family":"Danso","given":"Michael"},{"family":"Favret","given":"Anne"},{"family":"Oommen","given":"Sanjay"},{"family":"Brufsky","given":"Adam"},{"family":"Bromund","given":"Jane L."},{"family":"Lin","given":"Yong"},{"family":"Ibrahim","given":"Ayman B."},{"family":"Richards","given":"Paul D."}],"issued":{"date-parts":[["2016",12]]}}},{"id":66146,"uris":["http://zotero.org/groups/4797619/items/CXIIHEH4"],"itemData":{"id":66146,"type":"article-journal","abstract":"PURPOSE: Improving the outcome of patients with HER2-negative metastatic breast cancer experiencing tumour progression following first-line chemotherapy remains an urgent medical need. The purpose of the VicTORia trial was to show superiority of everolimus in combination with vinorelbine versus vinorelbine monotherapy as second-line chemotherapy for patients with advanced HER2 negative breast cancer.\nMETHODS: In this randomised phase II trial, 133 patients were recruited in 32 centres in Germany. Patients were randomised 1:1 to second-line chemotherapy either with vinorelbine plus everolimus (arm1) or vinorelbine alone (arm2). Primary endpoint was progression-free survival (PFS). Secondary endpoints were PFS rate at 6 months, overall survival (OS), overall response rate (ORR) and safety. Baseline PI3 K mutational status was determined in plasma samples.\nRESULTS: Median progression-free survival was not different between arms (arm1 vs. arm2: 4.01 months, 95% CI 2.40-6.09 vs. 4.08, 95% CI 2.80-5.33). PFS rate at 6 months (arm1 vs. arm2: 39.4%, 95% CI 27.6-50.9% vs. 36.6%, 95% CI 24.6-48.6%), median OS (arm1 vs. arm2: 16.3 months, 95% CI 11.4-19.0 vs. 13.8 months, 95% CI 10.2-19.1) and ORR were not different between arms. Most frequent grade 3/4 adverse events were neutropenia (50% vs. 40%), gastrointestinal toxicities (19.1% vs. 6.1%), and infections (19.1% vs. 7.7%). PI3 K mutational status was neither associated with PFS nor with OS.\nCONCLUSION: Although well tolerated, the efficacy of everolimus and vinorelbine combination therapy was not superior to vinorelbine monotherapy. There was no correlation between PI3 K mutational status and efficacy. EudracCT No 2011-001024-38, ClinicalTrials.gov No NCT01520103.","container-title":"Breast Cancer Research and Treatment","DOI":"10.1007/s10549-019-05280-2","ISSN":"1573-7217","issue":"3","journalAbbreviation":"Breast Cancer Res Treat","language":"eng","note":"PMID: 31115844","page":"637-647","source":"PubMed","title":"VicTORia: a randomised phase II study to compare vinorelbine in combination with the mTOR inhibitor everolimus versus vinorelbine monotherapy for second-line chemotherapy in advanced HER2-negative breast cancer","title-short":"VicTORia","volume":"176","author":[{"family":"Decker","given":"Thomas"},{"family":"Marschner","given":"Norbert"},{"family":"Muendlein","given":"Axel"},{"family":"Welt","given":"Anja"},{"family":"Hagen","given":"Volker"},{"family":"Rauh","given":"Jaqueline"},{"family":"Schröder","given":"Helge"},{"family":"Jaehnig","given":"Peter"},{"family":"Potthoff","given":"Karin"},{"family":"Lerchenmüller","given":"Christian"}],"issued":{"date-parts":[["2019",8]]}}},{"id":66766,"uris":["http://zotero.org/groups/4797619/items/9JHDBM4N"],"itemData":{"id":66766,"type":"article-journal","abstract":"Background: Previously, we showed that reintroduction of the same (first-line) chemotherapy at progression could only partially make up for the loss in efficacy as compared to continuously delivered first-line chemotherapy. Here, we report the probability of starting second-line study chemotherapy in the Stop&amp;Go trial, and the progression-free survival (PFS) and overall survival (OS) of patients who received both the first- and second-line treatment in an intermittent versus continuous schedule.Methods: First-line chemotherapy comprised paclitaxel plus bevacizumab, second-line capecitabine or non-pegylated liposomal doxorubicin, given per treatment line as two times four cycles (intermittent) or as eight consecutive cycles (continuous).Results: Of the 420 patients who started first-line treatment within the Stop&amp;Go trial (210:210), a total of 270 patients continued on second-line study treatment (64% of all), which consisted of capecitabine in 201 patients and of non-pegylated liposomal doxorubicin in 69 patients, evenly distributed between the treatment arms. Median PFS was 3.7 versus 5.0 months (HR 1.07; 95% CI: 0.82–1.38) and median OS 10.9 versus 12.4 months (HR 1.27; 95% CI: 0.98–1.66) for intermittent versus continuous second-line chemotherapy. Second-line PFS was positively influenced by prior hormonal therapy for metastatic disease and longer first-line PFS duration, while triple-negative tumor status had a negative influence. Patients with a shorter time to progression (TTP) in first-line (≤10 months) had a higher probability of starting second-line treatment if they received intermittent compared to continuous chemotherapy (OR 1.97; 95% CI: 1.02–3.80).Conclusion: We recommend continuous scheduling of both the first- and second-line chemotherapy for advanced breast cancer.","container-title":"Acta Oncologica","DOI":"10.1080/0284186X.2020.1731923","ISSN":"0284-186X","issue":"6","note":"publisher: Taylor &amp; Francis\n_eprint: https://doi.org/10.1080/0284186X.2020.1731923\nPMID: 32141389","page":"713-722","source":"Taylor and Francis+NEJM","title":"Secondary analyses of the randomized phase III Stop&amp;Go study: efficacy of second-line intermittent versus continuous chemotherapy in HER2-negative advanced breast cancer","title-short":"Secondary analyses of the randomized phase III Stop&amp;Go study","volume":"59","author":[{"family":"Claessens","given":"Anouk K. M."},{"family":"Erdkamp","given":"Frans L. G."},{"family":"Lopez-Yurda","given":"Marta"},{"family":"Bouma","given":"Jeanette M."},{"family":"Rademaker-Lakhai","given":"Jeany M."},{"family":"Honkoop","given":"Aafke H."},{"family":"Graaf","given":"Hiltje","non-dropping-particle":"de"},{"family":"Tjan-Heijnen","given":"Vivianne C. G."},{"family":"Bos","given":"Monique E. M. M."}],"issued":{"date-parts":[["2020",6,2]]}}},{"id":66756,"uris":["http://zotero.org/groups/4797619/items/97GZ44K7"],"itemData":{"id":66756,"type":"article-journal","abstract":"PURPOSE: This phase III study compared the efficacy and safety of bevacizumab combined with standard chemotherapy regimens versus chemotherapy alone as second-line treatment of patients with human epidermal growth factor receptor 2 (HER2) -negative metastatic breast cancer.\nPATIENTS AND METHODS: Patients were randomly assigned 2:1 to chemotherapy + bevacizumab or to chemotherapy + placebo. Before random assignment, investigators chose capecitabine, a taxane (paclitaxel, nab-paclitaxel, or docetaxel), gemcitabine, or vinorelbine. Dosing for bevacizumab or placebo was 15 mg/kg every 3 weeks or 10 mg/kg every 2 weeks, depending on chemotherapy regimen. The primary end point was progression-free survival (PFS). Secondary end points included overall survival, PFS by chemotherapy cohort, objective response rate (ORR), duration of objective response, 1-year survival rate, and safety.\nRESULTS: RIBBON-2 enrolled 684 patients (225, chemotherapy + placebo; 459, chemotherapy + bevacizumab). The combination of bevacizumab with chemotherapy demonstrated a statistically significant benefit. Median PFS increased from 5.1 to 7.2 months (stratified hazard ratio for PFS, 0.78; 95% CI, 0.64 to 0.93; P = .0072). The 10% improvement in ORR between the placebo- and bevacizumab-containing arms (39.5% v 29.6%; P = .0193), although not statistically significant, was consistent with previous trials. There was no statistically significant difference in overall survival. The most common grade ≥ 3 adverse events (AEs) related to bevacizumab treatment were hypertension (9.0%) and proteinuria (3.1%). There was an increased number of AEs leading to study discontinuation in the chemotherapy + bevacizumab arm compared with the chemotherapy + placebo arm (13.3% v 7.2%).\nCONCLUSION: The combination of bevacizumab with commonly used chemotherapies improved PFS in the second-line treatment of patients with HER2-negative metastatic breast cancer, with a safety profile comparable with that in prior phase III studies.","container-title":"Journal of Clinical Oncology: Official Journal of the American Society of Clinical Oncology","DOI":"10.1200/JCO.2010.34.1255","ISSN":"1527-7755","issue":"32","journalAbbreviation":"J Clin Oncol","language":"eng","note":"PMID: 21990397","page":"4286-4293","source":"PubMed","title":"RIBBON-2: a randomized, double-blind, placebo-controlled, phase III trial evaluating the efficacy and safety of bevacizumab in combination with chemotherapy for second-line treatment of human epidermal growth factor receptor 2-negative metastatic breast cancer","title-short":"RIBBON-2","volume":"29","author":[{"family":"Brufsky","given":"Adam M."},{"family":"Hurvitz","given":"Sara"},{"family":"Perez","given":"Edith"},{"family":"Swamy","given":"Raji"},{"family":"Valero","given":"Vicente"},{"family":"O'Neill","given":"Vincent"},{"family":"Rugo","given":"Hope S."}],"issued":{"date-parts":[["2011",11,10]]}}},{"id":66777,"uris":["http://zotero.org/groups/4797619/items/VJ3GUGK2"],"itemData":{"id":66777,"type":"article-journal","abstract":"Background\nWe conducted an open-label, randomized, two-arm multi-center study to assess the efficacy and safety of paclitaxel versus paclitaxel + sorafenib in patients with locally advanced or metastatic HER2-negative breast cancer.\n\nMethods\nPatients were randomly assigned to receive either paclitaxel monotherapy (80 mg/m2) weekly (3 weeks on, 1 week off) plus sorafenib 400 mg orally, twice a day taken continuously throughout 28 day cycles. Sorafenib dose was gradually escalated from a starting dose of 200 mg twice a day. The primary endpoint was progression free survival (PFS).\n\nResults\nA pre-planned efficacy interim analysis was performed on the data of 60 patients, 30 patients in each treatment arm. Median PFS was estimated at 6.6 months (95% CI: 5.1 to 9.0) in patients randomized to single-agent paclitaxel (Arm A) and 5.6 months (95% CI: 3.8 to 6.5) in patients randomized to paclitaxel-sorafenib combination (Arm B) therapy. Contrary to the hypothesis, the treatment effect was statistically significant in favor of paclitaxel monotherapy (hazard ratio 1.80, 95% CI: 1.02 to 3.20; log-rank test P = 0.0409). It was decided to stop the trial early for futility. Median OS was also in favor of Arm A (20.7 months (95% CI: 16.4 to 26.7) versus 12.1 months (95% CI: 5.8 to 20.4) in Arm B. Clinical control was achieved in 28 patients (93.3%) in Arm A and in 21 patients 70.0% in Arm B. Overall response rate was met in 43.3% of patients in Arm A and in 40.0% in Arm B. Toxicities were increased in Arm B with higher rates of diarrhea, nausea, neutropenia, hand-foot skin reaction (HFSR) and anorexia, Grad 3 and 4 toxicities were rare.\n\nConclusions\nIn this pre-planned interim analysis, paclitaxel-sorafenib combination therapy was not found to be superior to paclitaxel monotherapy with regard to the primary end point, progression-free survival. The trial was therefore discontinued early. There was no indication of more favorable outcomes for combination therapy in secondary efficacy end points. As expected, the safety and toxicity profile of the combination therapy was less favorable compared to monotherapy. Overall, this trial did not demonstrate that adding sorafenib to second- or third-line paclitaxel provides any clinical benefit to patients with HER2-negative advanced or metastatic breast cancer. Cautious dosing using a sorafenib ramp up schedule might have contributed to negative results.\n\nTrial registration\nThe study was registered at EudraCT (No 2009–018025-73) and retrospectively registered at Clinical trials.gov on March 17, 2011 (NCT01320111).","container-title":"BMC Cancer","DOI":"10.1186/s12885-017-3492-1","ISSN":"1471-2407","journalAbbreviation":"BMC Cancer","note":"PMID: 28743247\nPMCID: PMC5526236","page":"499","source":"PubMed Central","title":"A randomized phase II study of paclitaxel alone versus paclitaxel plus sorafenib in second- and third-line treatment of patients with HER2-negative metastatic breast cancer (PASO)","volume":"17","author":[{"family":"Decker","given":"Thomas"},{"family":"Overkamp","given":"Friedrich"},{"family":"Rösel","given":"Siegfried"},{"family":"Nusch","given":"Arnd"},{"family":"Göhler","given":"Thomas"},{"family":"Indorf","given":"Martin"},{"family":"Sahlmann","given":"Jörg"},{"family":"Trarbach","given":"Tanja"}],"issued":{"date-parts":[["2017",7,25]]}}},{"id":66774,"uris":["http://zotero.org/groups/4797619/items/2HU3NYWK"],"itemData":{"id":66774,"type":"article-journal","abstract":"Purpose\n\nGlycoprotein NMB (gpNMB), a negative prognostic marker, is overexpressed in multiple tumor types. Glembatumumab vedotin is a gpNMB-specific monoclonal antibody conjugated to the potent cytotoxin monomethyl auristatin E. This phase II study investigated the activity of glembatumumab vedotin in advanced breast cancer by gpNMB expression.\n\nPatients and Methods\n\nPatients (n = 124) with refractory breast cancer that expressed gpNMB in ≥ 5% of epithelial or stromal cells by central immunohistochemistry were stratified by gpNMB expression (tumor, low stromal intensity, high stromal intensity) and were randomly assigned 2:1 to glembatumumab vedotin (n = 83) or investigator's choice (IC) chemotherapy (n = 41). The study was powered to detect overall objective response rate (ORR) in the glembatumumab vedotin arm between 10% (null) and 22.5% (alternative hypothesis) with preplanned investigation of activity by gpNMB distribution and/or intensity (Stratum 1 to Stratum 3).\n\nResults\n\nGlembatumumab vedotin was well tolerated as compared with IC chemotherapy (less hematologic toxicity; more rash, pruritus, neuropathy, and alopecia). ORR was 6% (five of 83) for glembatumumab vedotin versus 7% (three of 41) for IC, without significant intertreatment differences for predefined strata. Secondary end point revealed ORR of 12% (10 of 83) versus 12% (five of 41) overall, and 30% (seven of 23) versus 9% (one of 11) for gpNMB overexpression (≥ 25% of tumor cells). Unplanned analysis showed ORR of 18% (five of 28) versus 0% (0 of 11) in patients with triple-negative breast cancer (TNBC), and 40% (four of 10) versus 0% (zero of six) in gpNMB-overexpressing TNBC.\n\nConclusion\n\nGlembatumumab vedotin is well tolerated in heavily pretreated patients with breast cancer. Although the primary end point in advanced gpNMB-expressing breast cancer was not met for all enrolled patients (median tumor gpNMB expression, 5%), activity may be enhanced in patients with gpNMB-overexpressing tumors and/or TNBC. A pivotal phase II trial (METRIC [Metastatic Triple-Negative Breast Cancer]) is underway.","container-title":"Journal of Clinical Oncology","DOI":"10.1200/JCO.2014.56.2959","ISSN":"0732-183X","issue":"14","journalAbbreviation":"JCO","note":"publisher: Wolters Kluwer","page":"1609-1619","source":"ascopubs.org (Atypon)","title":"EMERGE: A Randomized Phase II Study of the Antibody-Drug Conjugate Glembatumumab Vedotin in Advanced Glycoprotein NMB–Expressing Breast Cancer","title-short":"EMERGE","volume":"33","author":[{"family":"Yardley","given":"Denise A."},{"family":"Weaver","given":"Robert"},{"family":"Melisko","given":"Michelle E."},{"family":"Saleh","given":"Mansoor N."},{"family":"Arena","given":"Francis P."},{"family":"Forero","given":"Andres"},{"family":"Cigler","given":"Tessa"},{"family":"Stopeck","given":"Alison"},{"family":"Citrin","given":"Dennis"},{"family":"Oliff","given":"Ira"},{"family":"Bechhold","given":"Rebecca"},{"family":"Loutfi","given":"Randa"},{"family":"Garcia","given":"Agustin A."},{"family":"Cruickshank","given":"Scott"},{"family":"Crowley","given":"Elizabeth"},{"family":"Green","given":"Jennifer"},{"family":"Hawthorne","given":"Thomas"},{"family":"Yellin","given":"Michael J."},{"family":"Davis","given":"Thomas A."},{"family":"Vahdat","given":"Linda T."}],"issued":{"date-parts":[["2015",5,10]]}}},{"id":66149,"uris":["http://zotero.org/groups/4797619/items/8M7DF85G"],"itemData":{"id":66149,"type":"article-journal","abstract":"BACKGROUND: Based on data from two multicenter, phase III clinical trials (Studies 301 and 305), eribulin (a microtubule dynamics inhibitor) is indicated in the European Union (EU) for patients with locally advanced or metastatic breast cancer (MBC) after ≥1 prior chemotherapy for advanced disease, including an anthracycline and a taxane in either the adjuvant or metastatic setting. Data from Studies 305 and 301 were pooled to investigate the efficacy of eribulin in various subgroups of patients who matched the EU label, including those with human epidermal growth factor receptor 2 (HER2)-negative and triple-negative disease.\nPATIENTS AND METHODS: In Study 305 (NCT00388726), patients were randomized 2:1 to eribulin mesylate 1.4 mg/m(2) (equivalent to eribulin 1.23 mg/m(2) [expressed as free base]) intravenously on days 1 and 8 every 21 days] or treatment of physician's choice after 2-5 prior chemotherapies (≥2 for advanced disease), including an anthracycline and a taxane (in early/advanced setting). In Study 301 (NCT00337103), patients were randomized 1:1 to eribulin (as above) or capecitabine (1.25 g/m(2) orally twice daily on days 1-14 every 21 days) following ≤3 prior chemotherapies (≤2 for advanced disease), including an anthracycline and a taxane. Efficacy end points were investigated in the intent-to-treat population and subgroups, pooled as discussed above.\nRESULTS: Overall, 1644 patients were included (eribulin: 946; control: 698); baseline characteristics were well matched. Overall survival was significantly longer with eribulin versus control (P &lt; 0.01), as were progression-free survival and clinical benefit rate (both P &lt; 0.05). Significant survival benefits with eribulin versus control were observed in a wide range of patient subgroups, including HER2-negative or triple-negative disease (all P &lt; 0.05).\nCONCLUSION: Our findings underline the survival benefit achieved by eribulin used according to EU label in the overall MBC population and in various subgroups of interest, including patients with HER2-negative and triple-negative disease.","container-title":"Annals of Oncology: Official Journal of the European Society for Medical Oncology","DOI":"10.1093/annonc/mdw203","ISSN":"1569-8041","issue":"8","journalAbbreviation":"Ann Oncol","language":"eng","note":"PMID: 27177860\nPMCID: PMC4959925","page":"1525-1531","source":"PubMed","title":"Pooled analyses of eribulin in metastatic breast cancer patients with at least one prior chemotherapy","volume":"27","author":[{"family":"Pivot","given":"X."},{"family":"Marmé","given":"F."},{"family":"Koenigsberg","given":"R."},{"family":"Guo","given":"M."},{"family":"Berrak","given":"E."},{"family":"Wolfer","given":"A."}],"issued":{"date-parts":[["2016",8]]}}},{"id":66150,"uris":["http://zotero.org/groups/4797619/items/FWP3JYLN"],"itemData":{"id":66150,"type":"article-journal","abstract":"This post hoc subgroup analysis of a large phase 3 study compared the efficacy and safety of eribulin versus capecitabine in patients with human epidermal growth factor receptor 2 (HER2)-negative metastatic breast cancer who received second-line treatment. In the phase 3 study, women with advanced/metastatic breast cancer and ≤ 3 prior chemotherapies were randomized 1:1 to eribulin mesilate 1.4 mg/m2 intravenously on days 1 and 8, or twice-daily oral capecitabine 1.25 g/m2 on days 1-14 (21-day cycles). This analysis included 392 patients. Median overall survival was longer in patients receiving eribulin compared with capecitabine (16.1 vs 13.5 months, respectively; HR 0.77, P = 0.026). Median progression-free survival and response rates were similar between arms. Both treatments had manageable safety profiles.","container-title":"Breast Cancer (Tokyo, Japan)","DOI":"10.1007/s12282-017-0826-4","ISSN":"1880-4233","issue":"3","journalAbbreviation":"Breast Cancer","language":"eng","note":"PMID: 29302858\nPMCID: PMC5906517","page":"370-374","source":"PubMed","title":"Subgroup analysis of patients with HER2-negative metastatic breast cancer in the second-line setting from a phase 3, open-label, randomized study of eribulin mesilate versus capecitabine","volume":"25","author":[{"family":"Pivot","given":"Xavier"},{"family":"Im","given":"Seock Ah"},{"family":"Guo","given":"Matthew"},{"family":"Marmé","given":"Frederik"}],"issued":{"date-parts":[["2018",5]]}}},{"id":66151,"uris":["http://zotero.org/groups/4797619/items/RLDAE79H"],"itemData":{"id":66151,"type":"article-journal","abstract":"PURPOSE AND METHODS: Our secondary analyses compared survival with eribulin versus capecitabine in various patient subgroups from a phase 3, open-label, randomized study. Eligible women aged ≥18 years with advanced/metastatic breast cancer and ≤3 prior chemotherapies (≤2 for advanced/metastatic disease), including an anthracycline and taxane, were randomized 1:1 to intravenous eribulin mesylate 1.4 mg/m(2) on days 1 and 8 or twice-daily oral capecitabine 1250 mg/m(2) on days 1-14 (21-day cycles).\nRESULTS: In the intent-to-treat population (eribulin 554 and capecitabine 548), overall survival appeared longer with eribulin than capecitabine in various subgroups, including patients with human epidermal growth factor receptor 2-negative (15.9 versus 13.5 months, respectively), estrogen receptor-negative (14.4 versus 10.5 months, respectively), and triple-negative (14.4 versus 9.4 months, respectively) disease. Progression-free survival was similar between the treatment arms.\nCONCLUSIONS: Patients with advanced/metastatic breast cancer and human epidermal growth factor receptor 2-, estrogen receptor-, or triple-negative disease may gain particular benefit from eribulin as first-, second-, and third-line chemotherapies.\nTRIAL REGISTRATION PRIMARY STUDY: This study reports the subgroup analyses of eribulin versus capecitabine from a phase 3, open-label, randomized study (www.clinicaltrials.gov; ClinicalTrials.gov identifier: NCT00337103).","container-title":"Breast Cancer: Basic and Clinical Research","DOI":"10.4137/BCBCR.S39615","ISSN":"1178-2234","journalAbbreviation":"Breast Cancer (Auckl)","language":"eng","note":"PMID: 27398025\nPMCID: PMC4927108","page":"77-84","source":"PubMed","title":"Subgroup Analyses from a Phase 3, Open-Label, Randomized Study of Eribulin Mesylate Versus Capecitabine in Pretreated Patients with Advanced or Metastatic Breast Cancer","volume":"10","author":[{"family":"Twelves","given":"Chris"},{"family":"Awada","given":"Ahmad"},{"family":"Cortes","given":"Javier"},{"family":"Yelle","given":"Louise"},{"family":"Velikova","given":"Galina"},{"family":"Olivo","given":"Martin S."},{"family":"Song","given":"James"},{"family":"Dutcus","given":"Corina E."},{"family":"Kaufman","given":"Peter A."}],"issued":{"date-parts":[["2016"]]}}},{"id":66152,"uris":["http://zotero.org/groups/4797619/items/K2TXU8UJ"],"itemData":{"id":66152,"type":"article-journal","abstract":"BACKGROUND: Treatments with survival benefit are greatly needed for women with heavily pretreated metastatic breast cancer. Eribulin mesilate is a non-taxane microtubule dynamics inhibitor with a novel mode of action. We aimed to compare overall survival of heavily pretreated patients receiving eribulin versus currently available treatments.\nMETHODS: In this phase 3 open-label study, women with locally recurrent or metastatic breast cancer were randomly allocated (2:1) to eribulin mesilate (1·4 mg/m(2) administered intravenously during 2-5 min on days 1 and 8 of a 21-day cycle) or treatment of physician's choice (TPC). Patients had received between two and five previous chemotherapy regimens (two or more for advanced disease), including an anthracycline and a taxane, unless contraindicated. Randomisation was stratified by geographical region, previous capecitabine treatment, and human epidermal growth factor receptor 2 status. Patients and investigators were not masked to treatment allocation. The primary endpoint was overall survival in the intention-to-treat population. This study is registered at ClinicalTrials.gov, number NCT00388726.\nFINDINGS: 762 women were randomly allocated to treatment groups (508 eribulin, 254 TPC). Overall survival was significantly improved in women assigned to eribulin (median 13·1 months, 95% CI 11·8-14·3) compared with TPC (10·6 months, 9·3-12·5; hazard ratio 0·81, 95% CI 0·66-0·99; p=0·041). The most common adverse events in both groups were asthenia or fatigue (270 [54%] of 503 patients on eribulin and 98 [40%] of 247 patients on TPC at all grades) and neutropenia (260 [52%] patients receiving eribulin and 73 [30%] of those on TPC at all grades). Peripheral neuropathy was the most common adverse event leading to discontinuation from eribulin, occurring in 24 (5%) of 503 patients.\nINTERPRETATION: Eribulin showed a significant and clinically meaningful improvement in overall survival compared with TPC in women with heavily pretreated metastatic breast cancer. This finding challenges the notion that improved overall survival is an unrealistic expectation during evaluation of new anticancer therapies in the refractory setting.\nFUNDING: Eisai.","container-title":"Lancet (London, England)","DOI":"10.1016/S0140-6736(11)60070-6","ISSN":"1474-547X","issue":"9769","journalAbbreviation":"Lancet","language":"eng","note":"PMID: 21376385","page":"914-923","source":"PubMed","title":"Eribulin monotherapy versus treatment of physician's choice in patients with metastatic breast cancer (EMBRACE): a phase 3 open-label randomised study","title-short":"Eribulin monotherapy versus treatment of physician's choice in patients with metastatic breast cancer (EMBRACE)","volume":"377","author":[{"family":"Cortes","given":"Javier"},{"family":"O'Shaughnessy","given":"Joyce"},{"family":"Loesch","given":"David"},{"family":"Blum","given":"Joanne L."},{"family":"Vahdat","given":"Linda T."},{"family":"Petrakova","given":"Katarina"},{"family":"Chollet","given":"Philippe"},{"family":"Manikas","given":"Alexey"},{"family":"Diéras","given":"Veronique"},{"family":"Delozier","given":"Thierry"},{"family":"Vladimirov","given":"Vladimir"},{"family":"Cardoso","given":"Fatima"},{"family":"Koh","given":"Han"},{"family":"Bougnoux","given":"Philippe"},{"family":"Dutcus","given":"Corina E."},{"family":"Seegobin","given":"Seth"},{"family":"Mir","given":"Denis"},{"family":"Meneses","given":"Nicole"},{"family":"Wanders","given":"Jantien"},{"family":"Twelves","given":"Chris"},{"literal":"EMBRACE (Eisai Metastatic Breast Cancer Study Assessing Physician's Choice Versus E7389) investigators"}],"issued":{"date-parts":[["2011",3,12]]}}},{"id":66759,"uris":["http://zotero.org/groups/4797619/items/WRYWKH52"],"itemData":{"id":66759,"type":"article-journal","abstract":"The METRIC study (NCT#0199733) explored a novel antibody–drug conjugate, glembatumumab vedotin (GV), targeting gpNMB that is overexpressed in ~40% of patients with triple-negative breast cancer (TNBC) and associated with poor prognosis. The study was a randomized, open-label, phase 2b study that evaluated progression-free survival (PFS) of GV compared with capecitabine in gpNMB-overexpressing TNBC. Patients who had previously received anthracycline and taxane-based therapy were randomized 2:1 to receive, GV (1.88 mg/kg IV q21 days) or capecitabine (2500 mg/m2 PO daily d1–14 q21 days). The primary endpoint was RECIST 1.1 PFS per independent, blinded central review. In all, 327 patients were randomized to GV (213 treated) or capecitabine (92 treated). Median PFS was 2.9 months for GV vs. 2.8 months for capecitabine. The most common grade ≥3 toxicities for GV were neutropenia, rash, and leukopenia, and for capecitabine were fatigue, diarrhea, and palmar-plantar erythrodysesthesia. The study did not meet the primary endpoint of improved PFS over capecitabine or demonstrate a relative risk/benefit improvement over capecitabine.","container-title":"npj Breast Cancer","DOI":"10.1038/s41523-021-00244-6","ISSN":"2374-4677","issue":"1","language":"en","license":"2021 The Author(s)","note":"number: 1\npublisher: Nature Publishing Group","page":"1-10","source":"www.nature.com","title":"Glembatumumab vedotin for patients with metastatic, gpNMB overexpressing, triple-negative breast cancer (“METRIC”): a randomized multicenter study","title-short":"Glembatumumab vedotin for patients with metastatic, gpNMB overexpressing, triple-negative breast cancer (“METRIC”)","volume":"7","author":[{"family":"Vahdat","given":"Linda T."},{"family":"Schmid","given":"Peter"},{"family":"Forero-Torres","given":"Andres"},{"family":"Blackwell","given":"Kimberly"},{"family":"Telli","given":"Melinda L."},{"family":"Melisko","given":"Michelle"},{"family":"Möbus","given":"Volker"},{"family":"Cortes","given":"Javier"},{"family":"Montero","given":"Alberto J."},{"family":"Ma","given":"Cynthia"},{"family":"Nanda","given":"Rita"},{"family":"Wright","given":"Gail S."},{"family":"He","given":"Yi"},{"family":"Hawthorne","given":"Thomas"},{"family":"Bagley","given":"Rebecca G."},{"family":"Halim","given":"Abdel-Baset"},{"family":"Turner","given":"Christopher D."},{"family":"Yardley","given":"Denise A."}],"issued":{"date-parts":[["2021",5,20]]}}},{"id":66444,"uris":["http://zotero.org/groups/4797619/items/44JAGUPG"],"itemData":{"id":66444,"type":"article-journal","container-title":"New England Journal of Medicine","DOI":"10.1056/NEJMoa2028485","ISSN":"0028-4793","issue":"16","note":"publisher: Massachusetts Medical Society\n_eprint: https://doi.org/10.1056/NEJMoa2028485\nPMID: 33882206","page":"1529-1541","source":"Taylor and Francis+NEJM","title":"Sacituzumab Govitecan in Metastatic Triple-Negative Breast Cancer","volume":"384","author":[{"family":"Bardia","given":"Aditya"},{"family":"Hurvitz","given":"Sara A."},{"family":"Tolaney","given":"Sara M."},{"family":"Loirat","given":"Delphine"},{"family":"Punie","given":"Kevin"},{"family":"Oliveira","given":"Mafalda"},{"family":"Brufsky","given":"Adam"},{"family":"Sardesai","given":"Sagar D."},{"family":"Kalinsky","given":"Kevin"},{"family":"Zelnak","given":"Amelia B."},{"family":"Weaver","given":"Robert"},{"family":"Traina","given":"Tiffany"},{"family":"Dalenc","given":"Florence"},{"family":"Aftimos","given":"Philippe"},{"family":"Lynce","given":"Filipa"},{"family":"Diab","given":"Sami"},{"family":"Cortés","given":"Javier"},{"family":"O’Shaughnessy","given":"Joyce"},{"family":"Diéras","given":"Véronique"},{"family":"Ferrario","given":"Cristiano"},{"family":"Schmid","given":"Peter"},{"family":"Carey","given":"Lisa A."},{"family":"Gianni","given":"Luca"},{"family":"Piccart","given":"Martine J."},{"family":"Loibl","given":"Sibylle"},{"family":"Goldenberg","given":"David M."},{"family":"Hong","given":"Quan"},{"family":"Olivo","given":"Martin S."},{"family":"Itri","given":"Loretta M."},{"family":"Rugo","given":"Hope S."}],"issued":{"date-parts":[["2021",4,22]]}}},{"id":66764,"uris":["http://zotero.org/groups/4797619/items/YX8NEWUE"],"itemData":{"id":66764,"type":"article-journal","container-title":"The Lancet Oncology","DOI":"10.1016/S1470-2045(20)30754-3","ISSN":"1470-2045, 1474-5488","issue":"4","journalAbbreviation":"The Lancet Oncology","language":"English","note":"publisher: Elsevier\nPMID: 33676601","page":"499-511","source":"www.thelancet.com","title":"Pembrolizumab versus investigator-choice chemotherapy for metastatic triple-negative breast cancer (KEYNOTE-119): a randomised, open-label, phase 3 trial","title-short":"Pembrolizumab versus investigator-choice chemotherapy for metastatic triple-negative breast cancer (KEYNOTE-119)","volume":"22","author":[{"family":"Winer","given":"Eric P."},{"family":"Lipatov","given":"Oleg"},{"family":"Im","given":"Seock-Ah"},{"family":"Goncalves","given":"Anthony"},{"family":"Muñoz-Couselo","given":"Eva"},{"family":"Lee","given":"Keun Seok"},{"family":"Schmid","given":"Peter"},{"family":"Tamura","given":"Kenji"},{"family":"Testa","given":"Laura"},{"family":"Witzel","given":"Isabell"},{"family":"Ohtani","given":"Shoichiro"},{"family":"Turner","given":"Nicholas"},{"family":"Zambelli","given":"Stefania"},{"family":"Harbeck","given":"Nadia"},{"family":"Andre","given":"Fabrice"},{"family":"Dent","given":"Rebecca"},{"family":"Zhou","given":"Xuan"},{"family":"Karantza","given":"Vassiliki"},{"family":"Mejia","given":"Jaime"},{"family":"Cortes","given":"Javier"}],"issued":{"date-parts":[["2021",4,1]]}}}],"schema":"https://github.com/citation-style-language/schema/raw/master/csl-citation.json"} </w:instrText>
      </w:r>
      <w:r>
        <w:fldChar w:fldCharType="separate"/>
      </w:r>
      <w:r w:rsidRPr="00FD57F4">
        <w:rPr>
          <w:rFonts w:cs="Arial"/>
          <w:szCs w:val="24"/>
          <w:vertAlign w:val="superscript"/>
        </w:rPr>
        <w:t>43–55</w:t>
      </w:r>
      <w:r>
        <w:fldChar w:fldCharType="end"/>
      </w:r>
    </w:p>
    <w:p w14:paraId="38BF6E9E" w14:textId="77777777" w:rsidR="00F5281B" w:rsidRDefault="00F5281B" w:rsidP="00F5281B">
      <w:pPr>
        <w:pStyle w:val="ListParagraph"/>
        <w:numPr>
          <w:ilvl w:val="0"/>
          <w:numId w:val="62"/>
        </w:numPr>
        <w:spacing w:line="257" w:lineRule="auto"/>
      </w:pPr>
      <w:r w:rsidRPr="00CB7270">
        <w:rPr>
          <w:b/>
          <w:bCs/>
        </w:rPr>
        <w:t xml:space="preserve">T-DXd extends life by over </w:t>
      </w:r>
      <w:r>
        <w:rPr>
          <w:b/>
          <w:bCs/>
        </w:rPr>
        <w:t>3</w:t>
      </w:r>
      <w:r w:rsidRPr="00CB7270">
        <w:rPr>
          <w:b/>
          <w:bCs/>
        </w:rPr>
        <w:t xml:space="preserve"> months compared with current standard of care:</w:t>
      </w:r>
      <w:r>
        <w:t xml:space="preserve"> In the FAS of DESTINY-Breast04, T-DXd statistically significantly extended median OS by 6.6 months versus TPC (median OS: 23.4 vs. 16.8 months; p=0.0010).</w:t>
      </w:r>
      <w:r>
        <w:fldChar w:fldCharType="begin"/>
      </w:r>
      <w:r>
        <w:instrText xml:space="preserve"> ADDIN ZOTERO_ITEM CSL_CITATION {"citationID":"5811myBy","properties":{"formattedCitation":"\\super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Pr="00FD57F4">
        <w:rPr>
          <w:rFonts w:cs="Arial"/>
          <w:szCs w:val="24"/>
          <w:vertAlign w:val="superscript"/>
        </w:rPr>
        <w:t>6</w:t>
      </w:r>
      <w:r>
        <w:fldChar w:fldCharType="end"/>
      </w:r>
      <w:r>
        <w:t xml:space="preserve"> In the HR-positive and HR-negative cohorts, T-DXd increased median OS by 6.4 months and 9.9 months, respectively.</w:t>
      </w:r>
      <w:r>
        <w:fldChar w:fldCharType="begin"/>
      </w:r>
      <w:r>
        <w:instrText xml:space="preserve"> ADDIN ZOTERO_ITEM CSL_CITATION {"citationID":"tdZhDClo","properties":{"formattedCitation":"\\super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fldChar w:fldCharType="separate"/>
      </w:r>
      <w:r w:rsidRPr="00FD57F4">
        <w:rPr>
          <w:rFonts w:cs="Arial"/>
          <w:szCs w:val="24"/>
          <w:vertAlign w:val="superscript"/>
        </w:rPr>
        <w:t>6</w:t>
      </w:r>
      <w:r>
        <w:fldChar w:fldCharType="end"/>
      </w:r>
      <w:r>
        <w:t xml:space="preserve"> </w:t>
      </w:r>
    </w:p>
    <w:p w14:paraId="23036FE7" w14:textId="77777777" w:rsidR="00F5281B" w:rsidRPr="00C94F6B" w:rsidRDefault="00F5281B" w:rsidP="00F5281B">
      <w:pPr>
        <w:spacing w:line="257" w:lineRule="auto"/>
      </w:pPr>
      <w:r>
        <w:t>Therefore, until recently, this appraisal would have been appraised at a £50,000 per QALY gained WTP threshold.</w:t>
      </w:r>
    </w:p>
    <w:p w14:paraId="55E8B5DA" w14:textId="77777777" w:rsidR="00F5281B" w:rsidRDefault="00F5281B" w:rsidP="00F5281B">
      <w:pPr>
        <w:pStyle w:val="Heading3"/>
      </w:pPr>
      <w:bookmarkStart w:id="741" w:name="_Toc129350906"/>
      <w:r>
        <w:t>Severity modifier</w:t>
      </w:r>
      <w:bookmarkEnd w:id="741"/>
    </w:p>
    <w:p w14:paraId="5B954A3B" w14:textId="187F25EC" w:rsidR="00F5281B" w:rsidRPr="00CE666E" w:rsidRDefault="00F5281B" w:rsidP="00F5281B">
      <w:pPr>
        <w:spacing w:line="257" w:lineRule="auto"/>
      </w:pPr>
      <w:r w:rsidRPr="00B94BFB">
        <w:t xml:space="preserve">In line with the NICE </w:t>
      </w:r>
      <w:r>
        <w:t xml:space="preserve">2022 </w:t>
      </w:r>
      <w:r w:rsidRPr="00B94BFB">
        <w:t>methods guide,</w:t>
      </w:r>
      <w:r w:rsidRPr="00B94BFB">
        <w:fldChar w:fldCharType="begin"/>
      </w:r>
      <w:r>
        <w:instrText xml:space="preserve"> ADDIN ZOTERO_ITEM CSL_CITATION {"citationID":"AeFeWOYA","properties":{"formattedCitation":"\\super 2\\nosupersub{}","plainCitation":"2","noteIndex":0},"citationItems":[{"id":65886,"uris":["http://zotero.org/groups/4797619/items/2LQNV7UR"],"itemData":{"id":65886,"type":"webpage","abstract":"This guide describes the methods and processes, including expected timescales, that NICE follows when carrying out health technology evaluations. The methods and processes are designed to produce robust guidance for the NHS in an open, transparent and timely way, with appropriate contribution from stakeholders. Organisations invited to contribute to health technology evaluation development should read this manual in conjunction with the NICE health technology evaluation topic selection: the manual. All documents are available on the NICE website.","language":"eng","note":"publisher: NICE","title":"NICE health technology evaluations: the manual","title-short":"NICE health technology evaluations","URL":"https://www.nice.org.uk/process/pmg36/chapter/introduction-to-health-technology-evaluation","author":[{"family":"NICE","given":""}],"accessed":{"date-parts":[["2022",10,19]]},"issued":{"date-parts":[["2022",1]]}}}],"schema":"https://github.com/citation-style-language/schema/raw/master/csl-citation.json"} </w:instrText>
      </w:r>
      <w:r w:rsidRPr="00B94BFB">
        <w:fldChar w:fldCharType="separate"/>
      </w:r>
      <w:r w:rsidRPr="00FD57F4">
        <w:rPr>
          <w:rFonts w:cs="Arial"/>
          <w:szCs w:val="24"/>
          <w:vertAlign w:val="superscript"/>
        </w:rPr>
        <w:t>2</w:t>
      </w:r>
      <w:r w:rsidRPr="00B94BFB">
        <w:fldChar w:fldCharType="end"/>
      </w:r>
      <w:r>
        <w:t xml:space="preserve"> the absolute and proportional QALY shortfall associated with current standard of care in patients with HER2</w:t>
      </w:r>
      <w:r w:rsidRPr="00B94BFB">
        <w:t>-low</w:t>
      </w:r>
      <w:r>
        <w:t xml:space="preserve"> u/mBC who have previously </w:t>
      </w:r>
      <w:r w:rsidRPr="00B94BFB">
        <w:t>been treated with chemotherapy</w:t>
      </w:r>
      <w:r>
        <w:t xml:space="preserve"> compared with the general population was calculated</w:t>
      </w:r>
      <w:r w:rsidRPr="00B94BFB">
        <w:t xml:space="preserve">. </w:t>
      </w:r>
      <w:r>
        <w:t>Within the new framework, differential QALY weights may be applied if the absolute or proportional shortfalls estimated lie within specified cut-off ranges (</w:t>
      </w:r>
      <w:r w:rsidR="00C01871" w:rsidRPr="00F710CB">
        <w:rPr>
          <w:b/>
          <w:bCs/>
        </w:rPr>
        <w:fldChar w:fldCharType="begin"/>
      </w:r>
      <w:r w:rsidR="00C01871" w:rsidRPr="00F710CB">
        <w:rPr>
          <w:b/>
          <w:bCs/>
        </w:rPr>
        <w:instrText xml:space="preserve"> REF _Ref129302229 \h </w:instrText>
      </w:r>
      <w:r w:rsidR="00C01871">
        <w:rPr>
          <w:b/>
          <w:bCs/>
        </w:rPr>
        <w:instrText xml:space="preserve"> \* MERGEFORMAT </w:instrText>
      </w:r>
      <w:r w:rsidR="00C01871" w:rsidRPr="00F710CB">
        <w:rPr>
          <w:b/>
          <w:bCs/>
        </w:rPr>
      </w:r>
      <w:r w:rsidR="00C01871" w:rsidRPr="00F710CB">
        <w:rPr>
          <w:b/>
          <w:bCs/>
        </w:rPr>
        <w:fldChar w:fldCharType="separate"/>
      </w:r>
      <w:r w:rsidR="00145F42" w:rsidRPr="00145F42">
        <w:rPr>
          <w:b/>
          <w:bCs/>
        </w:rPr>
        <w:t xml:space="preserve">Table </w:t>
      </w:r>
      <w:r w:rsidR="00145F42" w:rsidRPr="00145F42">
        <w:rPr>
          <w:b/>
          <w:bCs/>
          <w:noProof/>
        </w:rPr>
        <w:t>62</w:t>
      </w:r>
      <w:r w:rsidR="00C01871" w:rsidRPr="00F710CB">
        <w:rPr>
          <w:b/>
          <w:bCs/>
        </w:rPr>
        <w:fldChar w:fldCharType="end"/>
      </w:r>
      <w:r>
        <w:t xml:space="preserve">). </w:t>
      </w:r>
    </w:p>
    <w:p w14:paraId="094D91B4" w14:textId="153990A8" w:rsidR="00F5281B" w:rsidRDefault="00F5281B" w:rsidP="00F5281B">
      <w:pPr>
        <w:pStyle w:val="Caption"/>
        <w:tabs>
          <w:tab w:val="left" w:pos="1785"/>
        </w:tabs>
      </w:pPr>
      <w:bookmarkStart w:id="742" w:name="_Ref129302229"/>
      <w:bookmarkStart w:id="743" w:name="_Toc129351037"/>
      <w:r>
        <w:t xml:space="preserve">Table </w:t>
      </w:r>
      <w:r>
        <w:fldChar w:fldCharType="begin"/>
      </w:r>
      <w:r>
        <w:instrText>SEQ Table \* ARABIC</w:instrText>
      </w:r>
      <w:r>
        <w:fldChar w:fldCharType="separate"/>
      </w:r>
      <w:r w:rsidR="00145F42">
        <w:rPr>
          <w:noProof/>
        </w:rPr>
        <w:t>62</w:t>
      </w:r>
      <w:r>
        <w:fldChar w:fldCharType="end"/>
      </w:r>
      <w:bookmarkEnd w:id="742"/>
      <w:r>
        <w:t>: QALY weights referenced within the new NICE manual</w:t>
      </w:r>
      <w:bookmarkEnd w:id="743"/>
    </w:p>
    <w:tbl>
      <w:tblPr>
        <w:tblStyle w:val="TableGridLight"/>
        <w:tblW w:w="5000" w:type="pct"/>
        <w:tblLook w:val="04A0" w:firstRow="1" w:lastRow="0" w:firstColumn="1" w:lastColumn="0" w:noHBand="0" w:noVBand="1"/>
      </w:tblPr>
      <w:tblGrid>
        <w:gridCol w:w="2303"/>
        <w:gridCol w:w="2905"/>
        <w:gridCol w:w="3808"/>
      </w:tblGrid>
      <w:tr w:rsidR="00F5281B" w14:paraId="7F790A18" w14:textId="77777777">
        <w:trPr>
          <w:cnfStyle w:val="100000000000" w:firstRow="1" w:lastRow="0" w:firstColumn="0" w:lastColumn="0" w:oddVBand="0" w:evenVBand="0" w:oddHBand="0" w:evenHBand="0" w:firstRowFirstColumn="0" w:firstRowLastColumn="0" w:lastRowFirstColumn="0" w:lastRowLastColumn="0"/>
        </w:trPr>
        <w:tc>
          <w:tcPr>
            <w:tcW w:w="1277" w:type="pct"/>
            <w:vAlign w:val="center"/>
          </w:tcPr>
          <w:p w14:paraId="7FDB58D0" w14:textId="77777777" w:rsidR="00F5281B" w:rsidRPr="00F64CF1" w:rsidRDefault="00F5281B">
            <w:pPr>
              <w:pStyle w:val="NICETableHeader"/>
              <w:rPr>
                <w:b/>
                <w:bCs/>
              </w:rPr>
            </w:pPr>
            <w:r w:rsidRPr="00F64CF1">
              <w:rPr>
                <w:b/>
                <w:bCs/>
              </w:rPr>
              <w:t>QALY weight</w:t>
            </w:r>
          </w:p>
        </w:tc>
        <w:tc>
          <w:tcPr>
            <w:tcW w:w="1611" w:type="pct"/>
            <w:vAlign w:val="center"/>
          </w:tcPr>
          <w:p w14:paraId="1CEB2D22" w14:textId="77777777" w:rsidR="00F5281B" w:rsidRPr="00F64CF1" w:rsidRDefault="00F5281B">
            <w:pPr>
              <w:pStyle w:val="NICETableHeader"/>
              <w:rPr>
                <w:b/>
                <w:bCs/>
              </w:rPr>
            </w:pPr>
            <w:r w:rsidRPr="00F64CF1">
              <w:rPr>
                <w:b/>
                <w:bCs/>
              </w:rPr>
              <w:t>Absolute shortfall</w:t>
            </w:r>
            <w:r>
              <w:rPr>
                <w:b/>
                <w:bCs/>
              </w:rPr>
              <w:t xml:space="preserve"> (AS)</w:t>
            </w:r>
          </w:p>
        </w:tc>
        <w:tc>
          <w:tcPr>
            <w:tcW w:w="2112" w:type="pct"/>
            <w:vAlign w:val="center"/>
          </w:tcPr>
          <w:p w14:paraId="052F37B7" w14:textId="77777777" w:rsidR="00F5281B" w:rsidRPr="00F64CF1" w:rsidRDefault="00F5281B">
            <w:pPr>
              <w:pStyle w:val="NICETableHeader"/>
              <w:rPr>
                <w:b/>
                <w:bCs/>
              </w:rPr>
            </w:pPr>
            <w:r w:rsidRPr="00F64CF1">
              <w:rPr>
                <w:b/>
                <w:bCs/>
              </w:rPr>
              <w:t>Proportional shortfall</w:t>
            </w:r>
            <w:r>
              <w:rPr>
                <w:b/>
                <w:bCs/>
              </w:rPr>
              <w:t xml:space="preserve"> (PS)</w:t>
            </w:r>
          </w:p>
        </w:tc>
      </w:tr>
      <w:tr w:rsidR="00F5281B" w14:paraId="58150395" w14:textId="77777777">
        <w:tc>
          <w:tcPr>
            <w:tcW w:w="1277" w:type="pct"/>
            <w:vAlign w:val="center"/>
          </w:tcPr>
          <w:p w14:paraId="618537C6" w14:textId="77777777" w:rsidR="00F5281B" w:rsidRDefault="00F5281B">
            <w:pPr>
              <w:pStyle w:val="NICETabletext"/>
            </w:pPr>
            <w:r>
              <w:t xml:space="preserve">1 x </w:t>
            </w:r>
          </w:p>
        </w:tc>
        <w:tc>
          <w:tcPr>
            <w:tcW w:w="1611" w:type="pct"/>
            <w:vAlign w:val="center"/>
          </w:tcPr>
          <w:p w14:paraId="4EB986EA" w14:textId="77777777" w:rsidR="00F5281B" w:rsidRDefault="00F5281B">
            <w:pPr>
              <w:pStyle w:val="NICETabletext"/>
            </w:pPr>
            <w:r>
              <w:t>Less than 12</w:t>
            </w:r>
          </w:p>
        </w:tc>
        <w:tc>
          <w:tcPr>
            <w:tcW w:w="2112" w:type="pct"/>
            <w:vAlign w:val="center"/>
          </w:tcPr>
          <w:p w14:paraId="3E798CA2" w14:textId="77777777" w:rsidR="00F5281B" w:rsidRDefault="00F5281B">
            <w:pPr>
              <w:pStyle w:val="NICETabletext"/>
            </w:pPr>
            <w:r>
              <w:t>Less than 0.85</w:t>
            </w:r>
          </w:p>
        </w:tc>
      </w:tr>
      <w:tr w:rsidR="00F5281B" w14:paraId="638F3826" w14:textId="77777777">
        <w:tc>
          <w:tcPr>
            <w:tcW w:w="1277" w:type="pct"/>
            <w:vAlign w:val="center"/>
          </w:tcPr>
          <w:p w14:paraId="39375813" w14:textId="77777777" w:rsidR="00F5281B" w:rsidRDefault="00F5281B">
            <w:pPr>
              <w:pStyle w:val="NICETabletext"/>
            </w:pPr>
            <w:r>
              <w:t xml:space="preserve">1.2 x </w:t>
            </w:r>
          </w:p>
        </w:tc>
        <w:tc>
          <w:tcPr>
            <w:tcW w:w="1611" w:type="pct"/>
            <w:vAlign w:val="center"/>
          </w:tcPr>
          <w:p w14:paraId="1B3AAECA" w14:textId="77777777" w:rsidR="00F5281B" w:rsidRDefault="00F5281B">
            <w:pPr>
              <w:pStyle w:val="NICETabletext"/>
            </w:pPr>
            <w:r>
              <w:t>12 – 18</w:t>
            </w:r>
          </w:p>
        </w:tc>
        <w:tc>
          <w:tcPr>
            <w:tcW w:w="2112" w:type="pct"/>
            <w:vAlign w:val="center"/>
          </w:tcPr>
          <w:p w14:paraId="355045B6" w14:textId="77777777" w:rsidR="00F5281B" w:rsidRDefault="00F5281B">
            <w:pPr>
              <w:pStyle w:val="NICETabletext"/>
            </w:pPr>
            <w:r>
              <w:t>0.85 – 0.95</w:t>
            </w:r>
          </w:p>
        </w:tc>
      </w:tr>
      <w:tr w:rsidR="00F5281B" w14:paraId="125E9D25" w14:textId="77777777">
        <w:tc>
          <w:tcPr>
            <w:tcW w:w="1277" w:type="pct"/>
            <w:vAlign w:val="center"/>
          </w:tcPr>
          <w:p w14:paraId="0869EC44" w14:textId="77777777" w:rsidR="00F5281B" w:rsidRDefault="00F5281B">
            <w:pPr>
              <w:pStyle w:val="NICETabletext"/>
              <w:keepNext w:val="0"/>
            </w:pPr>
            <w:r>
              <w:t>1.7 x</w:t>
            </w:r>
          </w:p>
        </w:tc>
        <w:tc>
          <w:tcPr>
            <w:tcW w:w="1611" w:type="pct"/>
            <w:vAlign w:val="center"/>
          </w:tcPr>
          <w:p w14:paraId="629993BD" w14:textId="77777777" w:rsidR="00F5281B" w:rsidRDefault="00F5281B">
            <w:pPr>
              <w:pStyle w:val="NICETabletext"/>
            </w:pPr>
            <w:r>
              <w:t>At least 18</w:t>
            </w:r>
          </w:p>
        </w:tc>
        <w:tc>
          <w:tcPr>
            <w:tcW w:w="2112" w:type="pct"/>
            <w:vAlign w:val="center"/>
          </w:tcPr>
          <w:p w14:paraId="38C5ABDA" w14:textId="77777777" w:rsidR="00F5281B" w:rsidRDefault="00F5281B">
            <w:pPr>
              <w:pStyle w:val="NICETabletext"/>
            </w:pPr>
            <w:r>
              <w:t>At least 0.95</w:t>
            </w:r>
          </w:p>
        </w:tc>
      </w:tr>
    </w:tbl>
    <w:p w14:paraId="52BF4AD7" w14:textId="77777777" w:rsidR="00F5281B" w:rsidRDefault="00F5281B" w:rsidP="00F5281B">
      <w:pPr>
        <w:pStyle w:val="Footnotes"/>
        <w:spacing w:after="240"/>
      </w:pPr>
      <w:r>
        <w:t>Abbreviations: QALY, quality-adjusted life-year.</w:t>
      </w:r>
    </w:p>
    <w:p w14:paraId="32343C11" w14:textId="77777777" w:rsidR="006F336D" w:rsidRDefault="006F336D" w:rsidP="00F5281B">
      <w:pPr>
        <w:widowControl w:val="0"/>
        <w:autoSpaceDE w:val="0"/>
        <w:autoSpaceDN w:val="0"/>
        <w:adjustRightInd w:val="0"/>
        <w:spacing w:line="240" w:lineRule="auto"/>
        <w:rPr>
          <w:rFonts w:cs="Arial"/>
        </w:rPr>
      </w:pPr>
    </w:p>
    <w:p w14:paraId="0FA6EF01" w14:textId="287BD8AD" w:rsidR="00F5281B" w:rsidRPr="00357042" w:rsidRDefault="00F5281B" w:rsidP="00F5281B">
      <w:pPr>
        <w:widowControl w:val="0"/>
        <w:autoSpaceDE w:val="0"/>
        <w:autoSpaceDN w:val="0"/>
        <w:adjustRightInd w:val="0"/>
        <w:spacing w:line="240" w:lineRule="auto"/>
        <w:rPr>
          <w:rFonts w:cs="Arial"/>
        </w:rPr>
      </w:pPr>
      <w:r w:rsidRPr="00B94BFB">
        <w:rPr>
          <w:rFonts w:cs="Arial"/>
        </w:rPr>
        <w:lastRenderedPageBreak/>
        <w:t>To estimate the shortfall, the Schneider et al. (2021) estimator tool was used,</w:t>
      </w:r>
      <w:r w:rsidRPr="00B94BFB">
        <w:rPr>
          <w:rFonts w:cs="Arial"/>
        </w:rPr>
        <w:fldChar w:fldCharType="begin"/>
      </w:r>
      <w:r w:rsidR="00CA6345">
        <w:rPr>
          <w:rFonts w:cs="Arial"/>
        </w:rPr>
        <w:instrText xml:space="preserve"> ADDIN ZOTERO_ITEM CSL_CITATION {"citationID":"uA30OMaJ","properties":{"formattedCitation":"\\super 190\\nosupersub{}","plainCitation":"190","noteIndex":0},"citationItems":[{"id":66275,"uris":["http://zotero.org/groups/4797619/items/ULG2EJIB"],"itemData":{"id":66275,"type":"software","title":"QALY Shortfall Calculator","URL":"https://r4scharr.shinyapps.io/shortfall/","author":[{"family":"Schneider","given":"Paul"},{"family":"McNamara","given":"Simon"},{"family":"Love-Koh","given":"James"},{"family":"Doran","given":"Tim"},{"family":"Gutacker","given":"Nils"}],"issued":{"date-parts":[["2021"]]}}}],"schema":"https://github.com/citation-style-language/schema/raw/master/csl-citation.json"} </w:instrText>
      </w:r>
      <w:r w:rsidRPr="00B94BFB">
        <w:rPr>
          <w:rFonts w:cs="Arial"/>
        </w:rPr>
        <w:fldChar w:fldCharType="separate"/>
      </w:r>
      <w:r w:rsidR="00CA6345" w:rsidRPr="00CA6345">
        <w:rPr>
          <w:rFonts w:cs="Arial"/>
          <w:szCs w:val="24"/>
          <w:vertAlign w:val="superscript"/>
        </w:rPr>
        <w:t>190</w:t>
      </w:r>
      <w:r w:rsidRPr="00B94BFB">
        <w:rPr>
          <w:rFonts w:cs="Arial"/>
        </w:rPr>
        <w:fldChar w:fldCharType="end"/>
      </w:r>
      <w:r w:rsidRPr="00B94BFB">
        <w:rPr>
          <w:rFonts w:cs="Arial"/>
        </w:rPr>
        <w:t xml:space="preserve"> which was cited by NICE as a potential option for </w:t>
      </w:r>
      <w:r>
        <w:rPr>
          <w:rFonts w:cs="Arial"/>
        </w:rPr>
        <w:t xml:space="preserve">calculating applicability of a </w:t>
      </w:r>
      <w:r w:rsidRPr="00B94BFB">
        <w:rPr>
          <w:rFonts w:cs="Arial"/>
        </w:rPr>
        <w:t>severity modifier. This tool uses ONS data from England to generate the general population survival with various sources of data to inform utility estimates.</w:t>
      </w:r>
      <w:r w:rsidRPr="00B94BFB">
        <w:rPr>
          <w:rFonts w:cs="Arial"/>
        </w:rPr>
        <w:fldChar w:fldCharType="begin"/>
      </w:r>
      <w:r w:rsidR="00CA6345">
        <w:rPr>
          <w:rFonts w:cs="Arial"/>
        </w:rPr>
        <w:instrText xml:space="preserve"> ADDIN ZOTERO_ITEM CSL_CITATION {"citationID":"DPqh6xPM","properties":{"formattedCitation":"\\super 166\\nosupersub{}","plainCitation":"166","noteIndex":0},"citationItems":[{"id":65889,"uris":["http://zotero.org/groups/4797619/items/QIYXYR97"],"itemData":{"id":65889,"type":"webpage","title":"National life tables: England and Wales - Office for National Statistics","URL":"https://www.ons.gov.uk/peoplepopulationandcommunity/birthsdeathsandmarriages/lifeexpectancies/datasets/nationallifetablesenglandandwalesreferencetables/current","accessed":{"date-parts":[["2022",10,25]]}}}],"schema":"https://github.com/citation-style-language/schema/raw/master/csl-citation.json"} </w:instrText>
      </w:r>
      <w:r w:rsidRPr="00B94BFB">
        <w:rPr>
          <w:rFonts w:cs="Arial"/>
        </w:rPr>
        <w:fldChar w:fldCharType="separate"/>
      </w:r>
      <w:r w:rsidR="00CA6345" w:rsidRPr="00CA6345">
        <w:rPr>
          <w:rFonts w:cs="Arial"/>
          <w:szCs w:val="24"/>
          <w:vertAlign w:val="superscript"/>
        </w:rPr>
        <w:t>166</w:t>
      </w:r>
      <w:r w:rsidRPr="00B94BFB">
        <w:rPr>
          <w:rFonts w:cs="Arial"/>
        </w:rPr>
        <w:fldChar w:fldCharType="end"/>
      </w:r>
      <w:r w:rsidRPr="00B94BFB">
        <w:rPr>
          <w:rFonts w:cs="Arial"/>
        </w:rPr>
        <w:t xml:space="preserve"> Given NICE DSU guidance</w:t>
      </w:r>
      <w:r>
        <w:rPr>
          <w:rFonts w:cs="Arial"/>
        </w:rPr>
        <w:fldChar w:fldCharType="begin"/>
      </w:r>
      <w:r w:rsidR="00CA6345">
        <w:rPr>
          <w:rFonts w:cs="Arial"/>
        </w:rPr>
        <w:instrText xml:space="preserve"> ADDIN ZOTERO_ITEM CSL_CITATION {"citationID":"9QQj0lzA","properties":{"formattedCitation":"\\super 191\\nosupersub{}","plainCitation":"191","noteIndex":0},"citationItems":[{"id":66783,"uris":["http://zotero.org/groups/4797619/items/G3VXB8VN"],"itemData":{"id":66783,"type":"article-journal","container-title":"ScHARR, University of Sheffield","language":"en","source":"Zotero","title":"ESTIMATING EQ-5D BY AGE AND SEX FOR THE UK. Report by the Decision Support Unit.","author":[{"family":"Alava","given":"Mónica Hernández"},{"family":"Pudney","given":"Steve"},{"family":"Wailoo","given":"Allan"}],"issued":{"date-parts":[["2022",1]]}}}],"schema":"https://github.com/citation-style-language/schema/raw/master/csl-citation.json"} </w:instrText>
      </w:r>
      <w:r>
        <w:rPr>
          <w:rFonts w:cs="Arial"/>
        </w:rPr>
        <w:fldChar w:fldCharType="separate"/>
      </w:r>
      <w:r w:rsidR="00CA6345" w:rsidRPr="00CA6345">
        <w:rPr>
          <w:rFonts w:cs="Arial"/>
          <w:szCs w:val="24"/>
          <w:vertAlign w:val="superscript"/>
        </w:rPr>
        <w:t>191</w:t>
      </w:r>
      <w:r>
        <w:rPr>
          <w:rFonts w:cs="Arial"/>
        </w:rPr>
        <w:fldChar w:fldCharType="end"/>
      </w:r>
      <w:r w:rsidRPr="00B94BFB">
        <w:rPr>
          <w:rFonts w:cs="Arial"/>
        </w:rPr>
        <w:t xml:space="preserve"> indicates that </w:t>
      </w:r>
      <w:r>
        <w:rPr>
          <w:rFonts w:cs="Arial"/>
        </w:rPr>
        <w:t>directly collected</w:t>
      </w:r>
      <w:r w:rsidRPr="00B94BFB">
        <w:rPr>
          <w:rFonts w:cs="Arial"/>
        </w:rPr>
        <w:t xml:space="preserve"> EQ-5D-3L</w:t>
      </w:r>
      <w:r>
        <w:rPr>
          <w:rFonts w:cs="Arial"/>
        </w:rPr>
        <w:t xml:space="preserve"> using the </w:t>
      </w:r>
      <w:r>
        <w:t>Health Survey for England</w:t>
      </w:r>
      <w:r>
        <w:rPr>
          <w:rFonts w:cs="Arial"/>
        </w:rPr>
        <w:t xml:space="preserve"> (HSE) 2014 dataset</w:t>
      </w:r>
      <w:r w:rsidRPr="00B94BFB">
        <w:rPr>
          <w:rFonts w:cs="Arial"/>
        </w:rPr>
        <w:t xml:space="preserve"> </w:t>
      </w:r>
      <w:r w:rsidRPr="00357042">
        <w:rPr>
          <w:rFonts w:cs="Arial"/>
        </w:rPr>
        <w:t xml:space="preserve">is a preferred method of capturing utility values, </w:t>
      </w:r>
      <w:r w:rsidRPr="00B94BFB">
        <w:rPr>
          <w:rFonts w:cs="Arial"/>
        </w:rPr>
        <w:t xml:space="preserve">the </w:t>
      </w:r>
      <w:r>
        <w:rPr>
          <w:rFonts w:cs="Arial"/>
        </w:rPr>
        <w:t xml:space="preserve">reference case data source </w:t>
      </w:r>
      <w:r w:rsidRPr="00B94BFB">
        <w:rPr>
          <w:rFonts w:cs="Arial"/>
        </w:rPr>
        <w:t>in the Schneider et al tool</w:t>
      </w:r>
      <w:r>
        <w:rPr>
          <w:rFonts w:cs="Arial"/>
        </w:rPr>
        <w:t xml:space="preserve">, which uses directly collected EQ-5D-3L from the HSE 2014, was </w:t>
      </w:r>
      <w:r w:rsidRPr="00B94BFB">
        <w:rPr>
          <w:rFonts w:cs="Arial"/>
        </w:rPr>
        <w:t xml:space="preserve">considered to represent </w:t>
      </w:r>
      <w:r>
        <w:rPr>
          <w:rFonts w:cs="Arial"/>
        </w:rPr>
        <w:t>the most</w:t>
      </w:r>
      <w:r w:rsidRPr="00B94BFB">
        <w:rPr>
          <w:rFonts w:cs="Arial"/>
        </w:rPr>
        <w:t xml:space="preserve"> recent and robust source</w:t>
      </w:r>
      <w:r>
        <w:rPr>
          <w:rFonts w:cs="Arial"/>
        </w:rPr>
        <w:t xml:space="preserve"> for</w:t>
      </w:r>
      <w:r w:rsidRPr="00B94BFB">
        <w:rPr>
          <w:rFonts w:cs="Arial"/>
        </w:rPr>
        <w:t xml:space="preserve"> the base case QALY shortfall calculations</w:t>
      </w:r>
      <w:r>
        <w:rPr>
          <w:rFonts w:cs="Arial"/>
        </w:rPr>
        <w:t>.</w:t>
      </w:r>
      <w:r w:rsidRPr="00B94BFB">
        <w:rPr>
          <w:rFonts w:cs="Arial"/>
        </w:rPr>
        <w:fldChar w:fldCharType="begin"/>
      </w:r>
      <w:r w:rsidR="00CA6345">
        <w:rPr>
          <w:rFonts w:cs="Arial"/>
        </w:rPr>
        <w:instrText xml:space="preserve"> ADDIN ZOTERO_ITEM CSL_CITATION {"citationID":"4fcF6w4H","properties":{"formattedCitation":"\\super 190\\nosupersub{}","plainCitation":"190","noteIndex":0},"citationItems":[{"id":66275,"uris":["http://zotero.org/groups/4797619/items/ULG2EJIB"],"itemData":{"id":66275,"type":"software","title":"QALY Shortfall Calculator","URL":"https://r4scharr.shinyapps.io/shortfall/","author":[{"family":"Schneider","given":"Paul"},{"family":"McNamara","given":"Simon"},{"family":"Love-Koh","given":"James"},{"family":"Doran","given":"Tim"},{"family":"Gutacker","given":"Nils"}],"issued":{"date-parts":[["2021"]]}}}],"schema":"https://github.com/citation-style-language/schema/raw/master/csl-citation.json"} </w:instrText>
      </w:r>
      <w:r w:rsidRPr="00B94BFB">
        <w:rPr>
          <w:rFonts w:cs="Arial"/>
        </w:rPr>
        <w:fldChar w:fldCharType="separate"/>
      </w:r>
      <w:r w:rsidR="00CA6345" w:rsidRPr="00CA6345">
        <w:rPr>
          <w:rFonts w:cs="Arial"/>
          <w:szCs w:val="24"/>
          <w:vertAlign w:val="superscript"/>
        </w:rPr>
        <w:t>190</w:t>
      </w:r>
      <w:r w:rsidRPr="00B94BFB">
        <w:rPr>
          <w:rFonts w:cs="Arial"/>
        </w:rPr>
        <w:fldChar w:fldCharType="end"/>
      </w:r>
      <w:r w:rsidRPr="00B94BFB">
        <w:rPr>
          <w:rFonts w:cs="Arial"/>
        </w:rPr>
        <w:t xml:space="preserve"> </w:t>
      </w:r>
      <w:r w:rsidRPr="00B94BFB">
        <w:rPr>
          <w:rFonts w:cs="Arial"/>
        </w:rPr>
        <w:fldChar w:fldCharType="begin"/>
      </w:r>
      <w:r>
        <w:rPr>
          <w:rFonts w:cs="Arial"/>
        </w:rPr>
        <w:instrText xml:space="preserve"> ADDIN ZOTERO_ITEM CSL_CITATION {"citationID":"BaQg4aKX","properties":{"formattedCitation":"\\super 19,37\\nosupersub{}","plainCitation":"19,37","dontUpdate":true,"noteIndex":0},"citationItems":[{"id":66276,"uris":["http://zotero.org/groups/4797619/items/QYBHYJLM"],"itemData":{"id":66276,"type":"webpage","title":"NICE DSU Technical Support Document 14:  Survival Analysis For Economic Evaluations Alongside Clinical Trials - Extrapolation With Patient-Level Data","URL":"https://www.sheffield.ac.uk/sites/default/files/2022-02/TSD14-Survival-analysis.updated-March-2013.v2.pdf","author":[{"family":"NICE","given":""}],"issued":{"date-parts":[["2013",3]]}}},{"id":66275,"uris":["http://zotero.org/groups/4797619/items/ULG2EJIB"],"itemData":{"id":66275,"type":"software","title":"QALY Shortfall Calculator","URL":"https://r4scharr.shinyapps.io/shortfall/","author":[{"family":"Schneider","given":"Paul"},{"family":"McNamara","given":"Simon"},{"family":"Love-Koh","given":"James"},{"family":"Doran","given":"Tim"},{"family":"Gutacker","given":"Nils"}],"issued":{"date-parts":[["2021"]]}}}],"schema":"https://github.com/citation-style-language/schema/raw/master/csl-citation.json"} </w:instrText>
      </w:r>
      <w:r w:rsidRPr="00B94BFB">
        <w:rPr>
          <w:rFonts w:cs="Arial"/>
        </w:rPr>
        <w:fldChar w:fldCharType="separate"/>
      </w:r>
      <w:r w:rsidRPr="00B94BFB">
        <w:rPr>
          <w:rFonts w:cs="Arial"/>
        </w:rPr>
        <w:fldChar w:fldCharType="end"/>
      </w:r>
    </w:p>
    <w:p w14:paraId="122BA520" w14:textId="0751AFDA" w:rsidR="00F5281B" w:rsidRPr="004312F0" w:rsidRDefault="00F5281B" w:rsidP="00F5281B">
      <w:pPr>
        <w:pStyle w:val="Body"/>
        <w:rPr>
          <w:rFonts w:cs="Arial"/>
        </w:rPr>
      </w:pPr>
      <w:r>
        <w:t xml:space="preserve">The QALY shortfall was calculated assuming a </w:t>
      </w:r>
      <w:r w:rsidRPr="00B94BFB">
        <w:t xml:space="preserve">mean </w:t>
      </w:r>
      <w:r>
        <w:t xml:space="preserve">cohort age of </w:t>
      </w:r>
      <w:r w:rsidRPr="00B94BFB">
        <w:t>57 years and 100</w:t>
      </w:r>
      <w:r>
        <w:t>% female (as per the DESTINY-Breast0</w:t>
      </w:r>
      <w:r w:rsidRPr="00B94BFB">
        <w:t>4</w:t>
      </w:r>
      <w:r>
        <w:t xml:space="preserve"> study; </w:t>
      </w:r>
      <w:r w:rsidR="00C01871" w:rsidRPr="00F710CB">
        <w:rPr>
          <w:b/>
          <w:bCs/>
        </w:rPr>
        <w:fldChar w:fldCharType="begin"/>
      </w:r>
      <w:r w:rsidR="00C01871" w:rsidRPr="00F710CB">
        <w:rPr>
          <w:b/>
          <w:bCs/>
        </w:rPr>
        <w:instrText xml:space="preserve"> REF _Ref129302253 \h </w:instrText>
      </w:r>
      <w:r w:rsidR="00C01871">
        <w:rPr>
          <w:b/>
          <w:bCs/>
        </w:rPr>
        <w:instrText xml:space="preserve"> \* MERGEFORMAT </w:instrText>
      </w:r>
      <w:r w:rsidR="00C01871" w:rsidRPr="00F710CB">
        <w:rPr>
          <w:b/>
          <w:bCs/>
        </w:rPr>
      </w:r>
      <w:r w:rsidR="00C01871" w:rsidRPr="00F710CB">
        <w:rPr>
          <w:b/>
          <w:bCs/>
        </w:rPr>
        <w:fldChar w:fldCharType="separate"/>
      </w:r>
      <w:r w:rsidR="00145F42" w:rsidRPr="00145F42">
        <w:rPr>
          <w:b/>
          <w:bCs/>
        </w:rPr>
        <w:t xml:space="preserve">Table </w:t>
      </w:r>
      <w:r w:rsidR="00145F42" w:rsidRPr="00145F42">
        <w:rPr>
          <w:b/>
          <w:bCs/>
          <w:noProof/>
        </w:rPr>
        <w:t>63</w:t>
      </w:r>
      <w:r w:rsidR="00C01871" w:rsidRPr="00F710CB">
        <w:rPr>
          <w:b/>
          <w:bCs/>
        </w:rPr>
        <w:fldChar w:fldCharType="end"/>
      </w:r>
      <w:r>
        <w:rPr>
          <w:rFonts w:cs="Arial"/>
        </w:rPr>
        <w:t>)</w:t>
      </w:r>
      <w:r>
        <w:t>. The expected total QALYs for the general population were calculated using the Schneider et al</w:t>
      </w:r>
      <w:r w:rsidRPr="00B94BFB">
        <w:rPr>
          <w:rFonts w:cs="Arial"/>
        </w:rPr>
        <w:fldChar w:fldCharType="begin"/>
      </w:r>
      <w:r w:rsidR="00CA6345">
        <w:rPr>
          <w:rFonts w:cs="Arial"/>
        </w:rPr>
        <w:instrText xml:space="preserve"> ADDIN ZOTERO_ITEM CSL_CITATION {"citationID":"BDp2zkQ1","properties":{"formattedCitation":"\\super 190\\nosupersub{}","plainCitation":"190","noteIndex":0},"citationItems":[{"id":66275,"uris":["http://zotero.org/groups/4797619/items/ULG2EJIB"],"itemData":{"id":66275,"type":"software","title":"QALY Shortfall Calculator","URL":"https://r4scharr.shinyapps.io/shortfall/","author":[{"family":"Schneider","given":"Paul"},{"family":"McNamara","given":"Simon"},{"family":"Love-Koh","given":"James"},{"family":"Doran","given":"Tim"},{"family":"Gutacker","given":"Nils"}],"issued":{"date-parts":[["2021"]]}}}],"schema":"https://github.com/citation-style-language/schema/raw/master/csl-citation.json"} </w:instrText>
      </w:r>
      <w:r w:rsidRPr="00B94BFB">
        <w:rPr>
          <w:rFonts w:cs="Arial"/>
        </w:rPr>
        <w:fldChar w:fldCharType="separate"/>
      </w:r>
      <w:r w:rsidR="00CA6345" w:rsidRPr="00CA6345">
        <w:rPr>
          <w:rFonts w:cs="Arial"/>
          <w:szCs w:val="24"/>
          <w:vertAlign w:val="superscript"/>
        </w:rPr>
        <w:t>190</w:t>
      </w:r>
      <w:r w:rsidRPr="00B94BFB">
        <w:rPr>
          <w:rFonts w:cs="Arial"/>
        </w:rPr>
        <w:fldChar w:fldCharType="end"/>
      </w:r>
      <w:r w:rsidRPr="00B94BFB">
        <w:rPr>
          <w:rFonts w:cs="Arial"/>
        </w:rPr>
        <w:t xml:space="preserve"> </w:t>
      </w:r>
      <w:r>
        <w:t xml:space="preserve">tool reference case for general population utilities </w:t>
      </w:r>
      <w:r w:rsidRPr="00B94BFB">
        <w:t>(</w:t>
      </w:r>
      <w:r w:rsidRPr="005D58CB">
        <w:t xml:space="preserve">MVH value set + HSE 2014 ALDVMM </w:t>
      </w:r>
      <w:r>
        <w:t xml:space="preserve">[Hernandez </w:t>
      </w:r>
      <w:r w:rsidRPr="00B94BFB">
        <w:t>Alava</w:t>
      </w:r>
      <w:r>
        <w:t>,</w:t>
      </w:r>
      <w:r w:rsidRPr="005D58CB">
        <w:t xml:space="preserve"> et al</w:t>
      </w:r>
      <w:r w:rsidRPr="00B94BFB">
        <w:t>.</w:t>
      </w:r>
      <w:r>
        <w:t xml:space="preserve">]; </w:t>
      </w:r>
      <w:r w:rsidR="00C01871" w:rsidRPr="00F710CB">
        <w:rPr>
          <w:b/>
          <w:bCs/>
        </w:rPr>
        <w:fldChar w:fldCharType="begin"/>
      </w:r>
      <w:r w:rsidR="00C01871" w:rsidRPr="00F710CB">
        <w:rPr>
          <w:b/>
          <w:bCs/>
        </w:rPr>
        <w:instrText xml:space="preserve"> REF _Ref129302283 \h </w:instrText>
      </w:r>
      <w:r w:rsidR="00C01871">
        <w:rPr>
          <w:b/>
          <w:bCs/>
        </w:rPr>
        <w:instrText xml:space="preserve"> \* MERGEFORMAT </w:instrText>
      </w:r>
      <w:r w:rsidR="00C01871" w:rsidRPr="00F710CB">
        <w:rPr>
          <w:b/>
          <w:bCs/>
        </w:rPr>
      </w:r>
      <w:r w:rsidR="00C01871" w:rsidRPr="00F710CB">
        <w:rPr>
          <w:b/>
          <w:bCs/>
        </w:rPr>
        <w:fldChar w:fldCharType="separate"/>
      </w:r>
      <w:r w:rsidR="00145F42" w:rsidRPr="00145F42">
        <w:rPr>
          <w:b/>
          <w:bCs/>
        </w:rPr>
        <w:t xml:space="preserve">Table </w:t>
      </w:r>
      <w:r w:rsidR="00145F42" w:rsidRPr="00145F42">
        <w:rPr>
          <w:b/>
          <w:bCs/>
          <w:noProof/>
        </w:rPr>
        <w:t>64</w:t>
      </w:r>
      <w:r w:rsidR="00C01871" w:rsidRPr="00F710CB">
        <w:rPr>
          <w:b/>
          <w:bCs/>
        </w:rPr>
        <w:fldChar w:fldCharType="end"/>
      </w:r>
      <w:r w:rsidRPr="00B94BFB">
        <w:t>).</w:t>
      </w:r>
      <w:r>
        <w:fldChar w:fldCharType="begin"/>
      </w:r>
      <w:r w:rsidR="00CA6345">
        <w:instrText xml:space="preserve"> ADDIN ZOTERO_ITEM CSL_CITATION {"citationID":"8vl0jCf5","properties":{"formattedCitation":"\\super 191\\nosupersub{}","plainCitation":"191","noteIndex":0},"citationItems":[{"id":66783,"uris":["http://zotero.org/groups/4797619/items/G3VXB8VN"],"itemData":{"id":66783,"type":"article-journal","container-title":"ScHARR, University of Sheffield","language":"en","source":"Zotero","title":"ESTIMATING EQ-5D BY AGE AND SEX FOR THE UK. Report by the Decision Support Unit.","author":[{"family":"Alava","given":"Mónica Hernández"},{"family":"Pudney","given":"Steve"},{"family":"Wailoo","given":"Allan"}],"issued":{"date-parts":[["2022",1]]}}}],"schema":"https://github.com/citation-style-language/schema/raw/master/csl-citation.json"} </w:instrText>
      </w:r>
      <w:r>
        <w:fldChar w:fldCharType="separate"/>
      </w:r>
      <w:r w:rsidR="00CA6345" w:rsidRPr="00CA6345">
        <w:rPr>
          <w:rFonts w:cs="Arial"/>
          <w:szCs w:val="24"/>
          <w:vertAlign w:val="superscript"/>
        </w:rPr>
        <w:t>191</w:t>
      </w:r>
      <w:r>
        <w:fldChar w:fldCharType="end"/>
      </w:r>
      <w:r>
        <w:rPr>
          <w:rFonts w:cs="Arial"/>
        </w:rPr>
        <w:t xml:space="preserve"> </w:t>
      </w:r>
      <w:r w:rsidRPr="00B94BFB">
        <w:t>T</w:t>
      </w:r>
      <w:r>
        <w:t>he</w:t>
      </w:r>
      <w:r w:rsidRPr="00CE666E">
        <w:t xml:space="preserve"> total expected QALYs </w:t>
      </w:r>
      <w:r>
        <w:t>for</w:t>
      </w:r>
      <w:r w:rsidRPr="00CE666E">
        <w:t xml:space="preserve"> patients</w:t>
      </w:r>
      <w:r>
        <w:t xml:space="preserve"> with the disease</w:t>
      </w:r>
      <w:r w:rsidRPr="00CE666E">
        <w:t xml:space="preserve"> treated with </w:t>
      </w:r>
      <w:r w:rsidRPr="00B94BFB">
        <w:t>current standard of care</w:t>
      </w:r>
      <w:r>
        <w:t xml:space="preserve"> was based on the modelled </w:t>
      </w:r>
      <w:r w:rsidRPr="00B94BFB">
        <w:t>TPC</w:t>
      </w:r>
      <w:r>
        <w:t xml:space="preserve"> arm of the company base case. T</w:t>
      </w:r>
      <w:r>
        <w:rPr>
          <w:rFonts w:cs="Arial"/>
        </w:rPr>
        <w:t xml:space="preserve">he total expected QALYs in patients with the disease on current standard of care were then compared to the general population QALYs to calculate the absolute and proportional shortfall. </w:t>
      </w:r>
    </w:p>
    <w:p w14:paraId="2F6A7319" w14:textId="4EC893E4" w:rsidR="00F5281B" w:rsidRDefault="00F5281B" w:rsidP="00F5281B">
      <w:pPr>
        <w:pStyle w:val="Caption"/>
      </w:pPr>
      <w:bookmarkStart w:id="744" w:name="_Ref129302253"/>
      <w:bookmarkStart w:id="745" w:name="_Toc129351038"/>
      <w:r>
        <w:t xml:space="preserve">Table </w:t>
      </w:r>
      <w:r>
        <w:fldChar w:fldCharType="begin"/>
      </w:r>
      <w:r>
        <w:instrText>SEQ Table \* ARABIC</w:instrText>
      </w:r>
      <w:r>
        <w:fldChar w:fldCharType="separate"/>
      </w:r>
      <w:r w:rsidR="00145F42">
        <w:rPr>
          <w:noProof/>
        </w:rPr>
        <w:t>63</w:t>
      </w:r>
      <w:r>
        <w:fldChar w:fldCharType="end"/>
      </w:r>
      <w:bookmarkEnd w:id="744"/>
      <w:r>
        <w:t>: Summary features of QALY shortfall analysis | FAS population</w:t>
      </w:r>
      <w:bookmarkEnd w:id="745"/>
    </w:p>
    <w:tbl>
      <w:tblPr>
        <w:tblStyle w:val="Generaltable"/>
        <w:tblW w:w="5000" w:type="pct"/>
        <w:tblLook w:val="04A0" w:firstRow="1" w:lastRow="0" w:firstColumn="1" w:lastColumn="0" w:noHBand="0" w:noVBand="1"/>
      </w:tblPr>
      <w:tblGrid>
        <w:gridCol w:w="1980"/>
        <w:gridCol w:w="2178"/>
        <w:gridCol w:w="4858"/>
      </w:tblGrid>
      <w:tr w:rsidR="00F5281B" w14:paraId="32B5F0AF" w14:textId="77777777">
        <w:trPr>
          <w:cnfStyle w:val="100000000000" w:firstRow="1" w:lastRow="0" w:firstColumn="0" w:lastColumn="0" w:oddVBand="0" w:evenVBand="0" w:oddHBand="0" w:evenHBand="0" w:firstRowFirstColumn="0" w:firstRowLastColumn="0" w:lastRowFirstColumn="0" w:lastRowLastColumn="0"/>
          <w:tblHeader/>
        </w:trPr>
        <w:tc>
          <w:tcPr>
            <w:tcW w:w="1098" w:type="pct"/>
          </w:tcPr>
          <w:p w14:paraId="21CE61F2" w14:textId="77777777" w:rsidR="00F5281B" w:rsidRDefault="00F5281B">
            <w:pPr>
              <w:pStyle w:val="Tableheading"/>
            </w:pPr>
            <w:r>
              <w:t>Factor</w:t>
            </w:r>
          </w:p>
        </w:tc>
        <w:tc>
          <w:tcPr>
            <w:tcW w:w="1208" w:type="pct"/>
          </w:tcPr>
          <w:p w14:paraId="05904EEB" w14:textId="77777777" w:rsidR="00F5281B" w:rsidRDefault="00F5281B">
            <w:pPr>
              <w:pStyle w:val="Tableheading"/>
            </w:pPr>
            <w:r>
              <w:t>Value</w:t>
            </w:r>
          </w:p>
        </w:tc>
        <w:tc>
          <w:tcPr>
            <w:tcW w:w="2694" w:type="pct"/>
          </w:tcPr>
          <w:p w14:paraId="0C304439" w14:textId="77777777" w:rsidR="00F5281B" w:rsidRDefault="00F5281B">
            <w:pPr>
              <w:pStyle w:val="Tableheading"/>
            </w:pPr>
            <w:r>
              <w:t>Reference to section in submission</w:t>
            </w:r>
          </w:p>
        </w:tc>
      </w:tr>
      <w:tr w:rsidR="00F5281B" w14:paraId="7C1F1CB0" w14:textId="77777777">
        <w:tc>
          <w:tcPr>
            <w:tcW w:w="1098" w:type="pct"/>
          </w:tcPr>
          <w:p w14:paraId="08DF4956" w14:textId="77777777" w:rsidR="00F5281B" w:rsidRDefault="00F5281B">
            <w:pPr>
              <w:pStyle w:val="Tablebody"/>
            </w:pPr>
            <w:r>
              <w:t>Sex distribution</w:t>
            </w:r>
          </w:p>
        </w:tc>
        <w:tc>
          <w:tcPr>
            <w:tcW w:w="1208" w:type="pct"/>
          </w:tcPr>
          <w:p w14:paraId="790D20F6" w14:textId="77777777" w:rsidR="00F5281B" w:rsidRDefault="00F5281B">
            <w:pPr>
              <w:pStyle w:val="Tablebody"/>
            </w:pPr>
            <w:r w:rsidRPr="00B94BFB">
              <w:t xml:space="preserve">100% </w:t>
            </w:r>
            <w:r>
              <w:t>female</w:t>
            </w:r>
          </w:p>
        </w:tc>
        <w:tc>
          <w:tcPr>
            <w:tcW w:w="2694" w:type="pct"/>
          </w:tcPr>
          <w:p w14:paraId="07B66A77" w14:textId="7DBD7170" w:rsidR="00F5281B" w:rsidRDefault="00F5281B">
            <w:pPr>
              <w:pStyle w:val="Tablebody"/>
            </w:pPr>
            <w:r>
              <w:t xml:space="preserve">Section </w:t>
            </w:r>
            <w:r>
              <w:fldChar w:fldCharType="begin"/>
            </w:r>
            <w:r>
              <w:instrText xml:space="preserve"> REF _Ref99729151 \r \h </w:instrText>
            </w:r>
            <w:r>
              <w:fldChar w:fldCharType="separate"/>
            </w:r>
            <w:r w:rsidR="00145F42">
              <w:t>B.3.3.1</w:t>
            </w:r>
            <w:r>
              <w:fldChar w:fldCharType="end"/>
            </w:r>
            <w:r>
              <w:t xml:space="preserve"> (</w:t>
            </w:r>
            <w:r w:rsidRPr="00243B7F">
              <w:fldChar w:fldCharType="begin"/>
            </w:r>
            <w:r w:rsidRPr="00243B7F">
              <w:instrText xml:space="preserve"> REF _Ref96104090 \h </w:instrText>
            </w:r>
            <w:r w:rsidRPr="003C648C">
              <w:instrText xml:space="preserve"> \* MERGEFORMAT </w:instrText>
            </w:r>
            <w:r w:rsidRPr="00243B7F">
              <w:fldChar w:fldCharType="separate"/>
            </w:r>
            <w:r w:rsidR="00145F42">
              <w:t xml:space="preserve">Table </w:t>
            </w:r>
            <w:r w:rsidR="00145F42">
              <w:rPr>
                <w:noProof/>
              </w:rPr>
              <w:t>34</w:t>
            </w:r>
            <w:r w:rsidRPr="00243B7F">
              <w:fldChar w:fldCharType="end"/>
            </w:r>
            <w:r w:rsidRPr="00243B7F">
              <w:t>)</w:t>
            </w:r>
          </w:p>
        </w:tc>
      </w:tr>
      <w:tr w:rsidR="00F5281B" w14:paraId="2F719BCF" w14:textId="77777777">
        <w:tc>
          <w:tcPr>
            <w:tcW w:w="1098" w:type="pct"/>
          </w:tcPr>
          <w:p w14:paraId="509C7463" w14:textId="77777777" w:rsidR="00F5281B" w:rsidRDefault="00F5281B">
            <w:pPr>
              <w:pStyle w:val="Tablebody"/>
            </w:pPr>
            <w:r>
              <w:t>Starting age</w:t>
            </w:r>
          </w:p>
        </w:tc>
        <w:tc>
          <w:tcPr>
            <w:tcW w:w="1208" w:type="pct"/>
          </w:tcPr>
          <w:p w14:paraId="1D29DBE6" w14:textId="77777777" w:rsidR="00F5281B" w:rsidRDefault="00F5281B">
            <w:pPr>
              <w:pStyle w:val="Tablebody"/>
            </w:pPr>
            <w:r w:rsidRPr="00B94BFB">
              <w:t xml:space="preserve">57 </w:t>
            </w:r>
            <w:r>
              <w:t>years</w:t>
            </w:r>
          </w:p>
        </w:tc>
        <w:tc>
          <w:tcPr>
            <w:tcW w:w="2694" w:type="pct"/>
          </w:tcPr>
          <w:p w14:paraId="69E5C98A" w14:textId="39A4EAE6" w:rsidR="00F5281B" w:rsidRDefault="00F5281B">
            <w:pPr>
              <w:pStyle w:val="Tablebody"/>
            </w:pPr>
            <w:r>
              <w:t xml:space="preserve">Section </w:t>
            </w:r>
            <w:r>
              <w:fldChar w:fldCharType="begin"/>
            </w:r>
            <w:r>
              <w:instrText xml:space="preserve"> REF _Ref99729159 \r \h </w:instrText>
            </w:r>
            <w:r>
              <w:fldChar w:fldCharType="separate"/>
            </w:r>
            <w:r w:rsidR="00145F42">
              <w:t>B.3.3.1</w:t>
            </w:r>
            <w:r>
              <w:fldChar w:fldCharType="end"/>
            </w:r>
            <w:r>
              <w:t xml:space="preserve"> </w:t>
            </w:r>
            <w:r w:rsidRPr="00243B7F">
              <w:t>(</w:t>
            </w:r>
            <w:r w:rsidRPr="00243B7F">
              <w:rPr>
                <w:highlight w:val="green"/>
              </w:rPr>
              <w:fldChar w:fldCharType="begin"/>
            </w:r>
            <w:r w:rsidRPr="00243B7F">
              <w:instrText xml:space="preserve"> REF _Ref96104090 \h </w:instrText>
            </w:r>
            <w:r w:rsidRPr="003C648C">
              <w:rPr>
                <w:highlight w:val="green"/>
              </w:rPr>
              <w:instrText xml:space="preserve"> \* MERGEFORMAT </w:instrText>
            </w:r>
            <w:r w:rsidRPr="00243B7F">
              <w:rPr>
                <w:highlight w:val="green"/>
              </w:rPr>
            </w:r>
            <w:r w:rsidRPr="00243B7F">
              <w:rPr>
                <w:highlight w:val="green"/>
              </w:rPr>
              <w:fldChar w:fldCharType="separate"/>
            </w:r>
            <w:r w:rsidR="00145F42">
              <w:t xml:space="preserve">Table </w:t>
            </w:r>
            <w:r w:rsidR="00145F42">
              <w:rPr>
                <w:noProof/>
              </w:rPr>
              <w:t>34</w:t>
            </w:r>
            <w:r w:rsidRPr="00243B7F">
              <w:rPr>
                <w:highlight w:val="green"/>
              </w:rPr>
              <w:fldChar w:fldCharType="end"/>
            </w:r>
            <w:r w:rsidRPr="00243B7F">
              <w:t>)</w:t>
            </w:r>
          </w:p>
        </w:tc>
      </w:tr>
    </w:tbl>
    <w:p w14:paraId="34732486" w14:textId="77777777" w:rsidR="00F5281B" w:rsidRDefault="00F5281B" w:rsidP="00F5281B">
      <w:pPr>
        <w:pStyle w:val="Footnotes"/>
      </w:pPr>
      <w:r>
        <w:t>Abbreviations: FAS, full analysis set; QALY, quality-adjusted life-year.</w:t>
      </w:r>
    </w:p>
    <w:p w14:paraId="404CF7BB" w14:textId="29609049" w:rsidR="00F5281B" w:rsidRDefault="00F5281B" w:rsidP="00F5281B">
      <w:pPr>
        <w:pStyle w:val="Body"/>
      </w:pPr>
      <w:r>
        <w:t xml:space="preserve">Based on the above, the absolute QALY shortfall (AS) is </w:t>
      </w:r>
      <w:r w:rsidRPr="001238FE">
        <w:t xml:space="preserve">estimated to be </w:t>
      </w:r>
      <w:r w:rsidR="00294FDC" w:rsidRPr="00294FDC">
        <w:rPr>
          <w:color w:val="000000"/>
          <w:highlight w:val="black"/>
        </w:rPr>
        <w:t>xxxxx</w:t>
      </w:r>
      <w:r>
        <w:t xml:space="preserve"> and the</w:t>
      </w:r>
      <w:r w:rsidRPr="00B94BFB">
        <w:t xml:space="preserve"> </w:t>
      </w:r>
      <w:r w:rsidRPr="001238FE">
        <w:t>proportional</w:t>
      </w:r>
      <w:r>
        <w:t xml:space="preserve"> shortfall (PS) is estimated to be </w:t>
      </w:r>
      <w:r w:rsidR="00294FDC" w:rsidRPr="00294FDC">
        <w:rPr>
          <w:color w:val="000000"/>
          <w:highlight w:val="black"/>
        </w:rPr>
        <w:t>xxxxxx</w:t>
      </w:r>
      <w:r>
        <w:t xml:space="preserve"> (</w:t>
      </w:r>
      <w:r w:rsidR="00C01871" w:rsidRPr="00F710CB">
        <w:rPr>
          <w:b/>
          <w:bCs/>
        </w:rPr>
        <w:fldChar w:fldCharType="begin"/>
      </w:r>
      <w:r w:rsidR="00C01871" w:rsidRPr="00F710CB">
        <w:rPr>
          <w:b/>
          <w:bCs/>
        </w:rPr>
        <w:instrText xml:space="preserve"> REF _Ref129302283 \h </w:instrText>
      </w:r>
      <w:r w:rsidR="00C01871">
        <w:rPr>
          <w:b/>
          <w:bCs/>
        </w:rPr>
        <w:instrText xml:space="preserve"> \* MERGEFORMAT </w:instrText>
      </w:r>
      <w:r w:rsidR="00C01871" w:rsidRPr="00F710CB">
        <w:rPr>
          <w:b/>
          <w:bCs/>
        </w:rPr>
      </w:r>
      <w:r w:rsidR="00C01871" w:rsidRPr="00F710CB">
        <w:rPr>
          <w:b/>
          <w:bCs/>
        </w:rPr>
        <w:fldChar w:fldCharType="separate"/>
      </w:r>
      <w:r w:rsidR="00145F42" w:rsidRPr="00145F42">
        <w:rPr>
          <w:b/>
          <w:bCs/>
        </w:rPr>
        <w:t xml:space="preserve">Table </w:t>
      </w:r>
      <w:r w:rsidR="00145F42" w:rsidRPr="00145F42">
        <w:rPr>
          <w:b/>
          <w:bCs/>
          <w:noProof/>
        </w:rPr>
        <w:t>64</w:t>
      </w:r>
      <w:r w:rsidR="00C01871" w:rsidRPr="00F710CB">
        <w:rPr>
          <w:b/>
          <w:bCs/>
        </w:rPr>
        <w:fldChar w:fldCharType="end"/>
      </w:r>
      <w:r w:rsidRPr="003C648C">
        <w:t>)</w:t>
      </w:r>
      <w:r>
        <w:t>. The results show that this appraisal meets the threshold of a QALY weight of 1.2 for both AS and PS under the current NICE cut-off threshold criteria</w:t>
      </w:r>
      <w:r w:rsidR="00E46808">
        <w:t>.</w:t>
      </w:r>
    </w:p>
    <w:p w14:paraId="63C88C9C" w14:textId="0D9D63D8" w:rsidR="00F5281B" w:rsidRDefault="00F5281B" w:rsidP="00F5281B">
      <w:pPr>
        <w:pStyle w:val="Caption"/>
      </w:pPr>
      <w:bookmarkStart w:id="746" w:name="_Ref129302283"/>
      <w:bookmarkStart w:id="747" w:name="_Toc129351039"/>
      <w:r>
        <w:t xml:space="preserve">Table </w:t>
      </w:r>
      <w:r>
        <w:fldChar w:fldCharType="begin"/>
      </w:r>
      <w:r>
        <w:instrText>SEQ Table \* ARABIC</w:instrText>
      </w:r>
      <w:r>
        <w:fldChar w:fldCharType="separate"/>
      </w:r>
      <w:r w:rsidR="00145F42">
        <w:rPr>
          <w:noProof/>
        </w:rPr>
        <w:t>64</w:t>
      </w:r>
      <w:r>
        <w:fldChar w:fldCharType="end"/>
      </w:r>
      <w:bookmarkEnd w:id="746"/>
      <w:r>
        <w:t>: Results of the QALY shortfall analysis | FAS population</w:t>
      </w:r>
      <w:bookmarkEnd w:id="747"/>
    </w:p>
    <w:tbl>
      <w:tblPr>
        <w:tblStyle w:val="Generaltable"/>
        <w:tblW w:w="5000" w:type="pct"/>
        <w:tblCellMar>
          <w:left w:w="57" w:type="dxa"/>
          <w:right w:w="57" w:type="dxa"/>
        </w:tblCellMar>
        <w:tblLook w:val="04A0" w:firstRow="1" w:lastRow="0" w:firstColumn="1" w:lastColumn="0" w:noHBand="0" w:noVBand="1"/>
      </w:tblPr>
      <w:tblGrid>
        <w:gridCol w:w="2689"/>
        <w:gridCol w:w="1275"/>
        <w:gridCol w:w="1985"/>
        <w:gridCol w:w="2126"/>
        <w:gridCol w:w="941"/>
      </w:tblGrid>
      <w:tr w:rsidR="00F5281B" w14:paraId="3ABCE822" w14:textId="77777777">
        <w:trPr>
          <w:cnfStyle w:val="100000000000" w:firstRow="1" w:lastRow="0" w:firstColumn="0" w:lastColumn="0" w:oddVBand="0" w:evenVBand="0" w:oddHBand="0" w:evenHBand="0" w:firstRowFirstColumn="0" w:firstRowLastColumn="0" w:lastRowFirstColumn="0" w:lastRowLastColumn="0"/>
        </w:trPr>
        <w:tc>
          <w:tcPr>
            <w:tcW w:w="1491" w:type="pct"/>
            <w:shd w:val="clear" w:color="auto" w:fill="F2F2F2" w:themeFill="background1" w:themeFillShade="F2"/>
            <w:vAlign w:val="center"/>
          </w:tcPr>
          <w:p w14:paraId="1FC7280C" w14:textId="77777777" w:rsidR="00F5281B" w:rsidRPr="003C574F" w:rsidRDefault="00F5281B">
            <w:pPr>
              <w:pStyle w:val="Tableheading"/>
              <w:rPr>
                <w:lang w:val="fr-FR"/>
              </w:rPr>
            </w:pPr>
            <w:r>
              <w:rPr>
                <w:lang w:val="fr-FR"/>
              </w:rPr>
              <w:t>G</w:t>
            </w:r>
            <w:r w:rsidRPr="003C574F">
              <w:rPr>
                <w:lang w:val="fr-FR"/>
              </w:rPr>
              <w:t>eneral population QAL</w:t>
            </w:r>
            <w:r>
              <w:rPr>
                <w:lang w:val="fr-FR"/>
              </w:rPr>
              <w:t>Y</w:t>
            </w:r>
            <w:r w:rsidRPr="003C574F">
              <w:rPr>
                <w:lang w:val="fr-FR"/>
              </w:rPr>
              <w:t xml:space="preserve"> source </w:t>
            </w:r>
          </w:p>
        </w:tc>
        <w:tc>
          <w:tcPr>
            <w:tcW w:w="707" w:type="pct"/>
            <w:shd w:val="clear" w:color="auto" w:fill="F2F2F2" w:themeFill="background1" w:themeFillShade="F2"/>
            <w:vAlign w:val="center"/>
          </w:tcPr>
          <w:p w14:paraId="36581300" w14:textId="77777777" w:rsidR="00F5281B" w:rsidRDefault="00F5281B">
            <w:pPr>
              <w:pStyle w:val="Tableheading"/>
            </w:pPr>
            <w:r>
              <w:t>Expected total QALYs for the general population</w:t>
            </w:r>
          </w:p>
        </w:tc>
        <w:tc>
          <w:tcPr>
            <w:tcW w:w="1101" w:type="pct"/>
            <w:shd w:val="clear" w:color="auto" w:fill="F2F2F2" w:themeFill="background1" w:themeFillShade="F2"/>
            <w:vAlign w:val="center"/>
          </w:tcPr>
          <w:p w14:paraId="6BDDBB24" w14:textId="77777777" w:rsidR="00F5281B" w:rsidRDefault="00F5281B">
            <w:pPr>
              <w:pStyle w:val="Tableheading"/>
            </w:pPr>
            <w:r>
              <w:t>Total discounted QALYs that people living with a condition would be expected to have with current treatment*</w:t>
            </w:r>
          </w:p>
        </w:tc>
        <w:tc>
          <w:tcPr>
            <w:tcW w:w="1179" w:type="pct"/>
            <w:shd w:val="clear" w:color="auto" w:fill="F2F2F2" w:themeFill="background1" w:themeFillShade="F2"/>
            <w:vAlign w:val="center"/>
          </w:tcPr>
          <w:p w14:paraId="3461539B" w14:textId="77777777" w:rsidR="00F5281B" w:rsidRDefault="00F5281B">
            <w:pPr>
              <w:pStyle w:val="Tableheading"/>
            </w:pPr>
            <w:r>
              <w:t>QALY shortfall</w:t>
            </w:r>
          </w:p>
        </w:tc>
        <w:tc>
          <w:tcPr>
            <w:tcW w:w="522" w:type="pct"/>
            <w:shd w:val="clear" w:color="auto" w:fill="F2F2F2" w:themeFill="background1" w:themeFillShade="F2"/>
            <w:vAlign w:val="center"/>
          </w:tcPr>
          <w:p w14:paraId="14D14125" w14:textId="77777777" w:rsidR="00F5281B" w:rsidRDefault="00F5281B">
            <w:pPr>
              <w:pStyle w:val="Tableheading"/>
            </w:pPr>
            <w:r>
              <w:t>QALY weight</w:t>
            </w:r>
            <w:r w:rsidRPr="00F62717">
              <w:rPr>
                <w:rFonts w:cs="Arial"/>
                <w:vertAlign w:val="superscript"/>
              </w:rPr>
              <w:t>†</w:t>
            </w:r>
          </w:p>
        </w:tc>
      </w:tr>
      <w:tr w:rsidR="00F5281B" w14:paraId="56C6D726" w14:textId="77777777">
        <w:tc>
          <w:tcPr>
            <w:tcW w:w="1491" w:type="pct"/>
            <w:shd w:val="clear" w:color="auto" w:fill="F2F2F2" w:themeFill="background1" w:themeFillShade="F2"/>
            <w:vAlign w:val="center"/>
          </w:tcPr>
          <w:p w14:paraId="7C2222F6" w14:textId="77777777" w:rsidR="00F5281B" w:rsidRPr="00302213" w:rsidRDefault="00F5281B">
            <w:pPr>
              <w:pStyle w:val="Tablebody"/>
              <w:rPr>
                <w:lang w:val="da-DK"/>
              </w:rPr>
            </w:pPr>
            <w:r w:rsidRPr="00302213">
              <w:rPr>
                <w:b/>
                <w:lang w:val="da-DK"/>
              </w:rPr>
              <w:t>Reference case:</w:t>
            </w:r>
            <w:r w:rsidRPr="00302213">
              <w:rPr>
                <w:lang w:val="da-DK"/>
              </w:rPr>
              <w:t xml:space="preserve"> MVH value set + HSE 2014 ALDVMM [Hernandez Alava M, et al.]</w:t>
            </w:r>
          </w:p>
        </w:tc>
        <w:tc>
          <w:tcPr>
            <w:tcW w:w="707" w:type="pct"/>
            <w:vAlign w:val="center"/>
          </w:tcPr>
          <w:p w14:paraId="44A42390" w14:textId="77777777" w:rsidR="00F5281B" w:rsidRPr="00B94BFB" w:rsidRDefault="00F5281B">
            <w:pPr>
              <w:pStyle w:val="Tablebody"/>
            </w:pPr>
            <w:r>
              <w:t>13.85</w:t>
            </w:r>
          </w:p>
        </w:tc>
        <w:tc>
          <w:tcPr>
            <w:tcW w:w="1101" w:type="pct"/>
            <w:vAlign w:val="center"/>
          </w:tcPr>
          <w:p w14:paraId="67F5303D" w14:textId="30945BD7" w:rsidR="00F5281B" w:rsidRPr="00294FDC" w:rsidRDefault="00294FDC">
            <w:pPr>
              <w:pStyle w:val="Tablebody"/>
              <w:rPr>
                <w:color w:val="000000"/>
                <w:highlight w:val="black"/>
              </w:rPr>
            </w:pPr>
            <w:r w:rsidRPr="00294FDC">
              <w:rPr>
                <w:color w:val="000000"/>
                <w:highlight w:val="black"/>
              </w:rPr>
              <w:t>xxxx</w:t>
            </w:r>
            <w:r w:rsidR="00F5281B" w:rsidRPr="00294FDC">
              <w:rPr>
                <w:color w:val="000000"/>
                <w:highlight w:val="black"/>
              </w:rPr>
              <w:t xml:space="preserve"> </w:t>
            </w:r>
          </w:p>
        </w:tc>
        <w:tc>
          <w:tcPr>
            <w:tcW w:w="1179" w:type="pct"/>
            <w:vAlign w:val="center"/>
          </w:tcPr>
          <w:p w14:paraId="444887B3" w14:textId="3759E848" w:rsidR="00F5281B" w:rsidRDefault="00F5281B">
            <w:pPr>
              <w:pStyle w:val="Tablebody"/>
            </w:pPr>
            <w:r>
              <w:t xml:space="preserve">Absolute: </w:t>
            </w:r>
            <w:r w:rsidR="00294FDC" w:rsidRPr="00294FDC">
              <w:rPr>
                <w:color w:val="000000"/>
                <w:highlight w:val="black"/>
              </w:rPr>
              <w:t>xxxxx</w:t>
            </w:r>
          </w:p>
          <w:p w14:paraId="2D8ABB51" w14:textId="636A20D7" w:rsidR="00F5281B" w:rsidRPr="00E717EE" w:rsidRDefault="00F5281B">
            <w:pPr>
              <w:pStyle w:val="Tablebody"/>
            </w:pPr>
            <w:r>
              <w:t xml:space="preserve">Proportional: </w:t>
            </w:r>
            <w:r w:rsidR="00294FDC" w:rsidRPr="00294FDC">
              <w:rPr>
                <w:color w:val="000000"/>
                <w:highlight w:val="black"/>
              </w:rPr>
              <w:t>xxxxx</w:t>
            </w:r>
            <w:r>
              <w:t>%</w:t>
            </w:r>
          </w:p>
        </w:tc>
        <w:tc>
          <w:tcPr>
            <w:tcW w:w="522" w:type="pct"/>
            <w:vAlign w:val="center"/>
          </w:tcPr>
          <w:p w14:paraId="3E40CB5F" w14:textId="77777777" w:rsidR="00F5281B" w:rsidRDefault="00F5281B">
            <w:pPr>
              <w:pStyle w:val="Tablebody"/>
            </w:pPr>
            <w:r>
              <w:t>1.2x</w:t>
            </w:r>
          </w:p>
        </w:tc>
      </w:tr>
    </w:tbl>
    <w:p w14:paraId="2538AC44" w14:textId="4D981D5A" w:rsidR="00F5281B" w:rsidRPr="00004098" w:rsidRDefault="00F5281B" w:rsidP="00F5281B">
      <w:pPr>
        <w:keepNext/>
        <w:spacing w:after="0"/>
        <w:rPr>
          <w:sz w:val="18"/>
          <w:szCs w:val="18"/>
        </w:rPr>
      </w:pPr>
      <w:r w:rsidRPr="00004098">
        <w:rPr>
          <w:sz w:val="18"/>
          <w:szCs w:val="18"/>
        </w:rPr>
        <w:t>*Based on the total QALYs in the TPC arm of the company economic model base case for this appraisal.</w:t>
      </w:r>
      <w:r>
        <w:rPr>
          <w:sz w:val="18"/>
          <w:szCs w:val="18"/>
        </w:rPr>
        <w:br/>
      </w:r>
      <w:r w:rsidRPr="00F62717">
        <w:rPr>
          <w:rFonts w:cs="Arial"/>
          <w:sz w:val="18"/>
          <w:szCs w:val="18"/>
          <w:vertAlign w:val="superscript"/>
        </w:rPr>
        <w:t>†</w:t>
      </w:r>
      <w:r>
        <w:rPr>
          <w:sz w:val="18"/>
          <w:szCs w:val="18"/>
        </w:rPr>
        <w:t>All calculations based on the tool developed by Schneider et al., 2021.</w:t>
      </w:r>
      <w:r w:rsidRPr="00377DAA">
        <w:rPr>
          <w:rFonts w:cs="Arial"/>
          <w:sz w:val="18"/>
          <w:szCs w:val="18"/>
        </w:rPr>
        <w:fldChar w:fldCharType="begin"/>
      </w:r>
      <w:r w:rsidR="00CA6345">
        <w:rPr>
          <w:rFonts w:cs="Arial"/>
          <w:sz w:val="18"/>
          <w:szCs w:val="18"/>
        </w:rPr>
        <w:instrText xml:space="preserve"> ADDIN ZOTERO_ITEM CSL_CITATION {"citationID":"9T0pEL7M","properties":{"formattedCitation":"\\super 190\\nosupersub{}","plainCitation":"190","noteIndex":0},"citationItems":[{"id":66275,"uris":["http://zotero.org/groups/4797619/items/ULG2EJIB"],"itemData":{"id":66275,"type":"software","title":"QALY Shortfall Calculator","URL":"https://r4scharr.shinyapps.io/shortfall/","author":[{"family":"Schneider","given":"Paul"},{"family":"McNamara","given":"Simon"},{"family":"Love-Koh","given":"James"},{"family":"Doran","given":"Tim"},{"family":"Gutacker","given":"Nils"}],"issued":{"date-parts":[["2021"]]}}}],"schema":"https://github.com/citation-style-language/schema/raw/master/csl-citation.json"} </w:instrText>
      </w:r>
      <w:r w:rsidRPr="00377DAA">
        <w:rPr>
          <w:rFonts w:cs="Arial"/>
          <w:sz w:val="18"/>
          <w:szCs w:val="18"/>
        </w:rPr>
        <w:fldChar w:fldCharType="separate"/>
      </w:r>
      <w:r w:rsidR="00CA6345" w:rsidRPr="00CA6345">
        <w:rPr>
          <w:rFonts w:cs="Arial"/>
          <w:sz w:val="18"/>
          <w:szCs w:val="24"/>
          <w:vertAlign w:val="superscript"/>
        </w:rPr>
        <w:t>190</w:t>
      </w:r>
      <w:r w:rsidRPr="00377DAA">
        <w:rPr>
          <w:rFonts w:cs="Arial"/>
          <w:sz w:val="18"/>
          <w:szCs w:val="18"/>
        </w:rPr>
        <w:fldChar w:fldCharType="end"/>
      </w:r>
    </w:p>
    <w:p w14:paraId="0A356FEB" w14:textId="77777777" w:rsidR="00F5281B" w:rsidDel="00323252" w:rsidRDefault="00F5281B" w:rsidP="00F5281B">
      <w:pPr>
        <w:pStyle w:val="Footnotes"/>
        <w:keepNext/>
      </w:pPr>
      <w:r>
        <w:t xml:space="preserve">Abbreviations: ALDVVM, </w:t>
      </w:r>
      <w:r w:rsidRPr="00DE2CF6">
        <w:t>adjusted limited dependent variable mixture model</w:t>
      </w:r>
      <w:r>
        <w:t>;</w:t>
      </w:r>
      <w:r w:rsidRPr="00DE2CF6">
        <w:t xml:space="preserve"> </w:t>
      </w:r>
      <w:r>
        <w:t xml:space="preserve">HSE, </w:t>
      </w:r>
      <w:r w:rsidRPr="00004098">
        <w:t>Health Survey for England</w:t>
      </w:r>
      <w:r>
        <w:t>; MVH, York Measurement and Valuation of Health; QALY, quality-adjusted life-year.</w:t>
      </w:r>
      <w:r w:rsidRPr="004D5994">
        <w:t xml:space="preserve"> </w:t>
      </w:r>
    </w:p>
    <w:p w14:paraId="3F133B3A" w14:textId="77777777" w:rsidR="00F5281B" w:rsidRPr="00F210CF" w:rsidRDefault="00F5281B" w:rsidP="00573B08">
      <w:pPr>
        <w:pStyle w:val="Heading3"/>
      </w:pPr>
      <w:r w:rsidRPr="00F210CF">
        <w:t xml:space="preserve">Impact of the loss of end-of-life criteria and relevance of an equivalent 1.7x QALY weighting to this appraisal  </w:t>
      </w:r>
    </w:p>
    <w:p w14:paraId="5FD3E407" w14:textId="6394BA77" w:rsidR="00F5281B" w:rsidRDefault="00F5281B" w:rsidP="00F5281B">
      <w:pPr>
        <w:spacing w:before="100" w:after="200" w:line="276" w:lineRule="auto"/>
      </w:pPr>
      <w:r>
        <w:t xml:space="preserve">As outlined, there is a clear unmet need for effective targeted therapies for patients with </w:t>
      </w:r>
      <w:r w:rsidRPr="00B94BFB">
        <w:t xml:space="preserve">HER2-low u/mBC </w:t>
      </w:r>
      <w:r>
        <w:t xml:space="preserve">after prior chemotherapy in the metastatic setting due to the very poor survival outcomes with currently available treatments. In recognition of the poor life </w:t>
      </w:r>
      <w:r>
        <w:lastRenderedPageBreak/>
        <w:t>expectancy of the population, and the innovation and survival benefit of T-DXd demonstrated in DESTINY-Breast04,</w:t>
      </w:r>
      <w:r w:rsidR="00AB0710" w:rsidRPr="00054570">
        <w:fldChar w:fldCharType="begin"/>
      </w:r>
      <w:r w:rsidR="00CA6345">
        <w:instrText xml:space="preserve"> ADDIN ZOTERO_ITEM CSL_CITATION {"citationID":"IIyCt3Vf","properties":{"formattedCitation":"\\super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00AB0710" w:rsidRPr="00054570">
        <w:fldChar w:fldCharType="separate"/>
      </w:r>
      <w:r w:rsidR="00AB0710" w:rsidRPr="00FD57F4">
        <w:rPr>
          <w:rFonts w:cs="Arial"/>
          <w:szCs w:val="24"/>
          <w:vertAlign w:val="superscript"/>
        </w:rPr>
        <w:t>6</w:t>
      </w:r>
      <w:r w:rsidR="00AB0710" w:rsidRPr="00054570">
        <w:fldChar w:fldCharType="end"/>
      </w:r>
      <w:r w:rsidR="00AB0710">
        <w:t xml:space="preserve"> t</w:t>
      </w:r>
      <w:r>
        <w:t xml:space="preserve">his appraisal would robustly meet the EOL criteria that NICE previously considered for Technology Appraisals submitted up until as recently as February 2022.   </w:t>
      </w:r>
    </w:p>
    <w:p w14:paraId="5EDFD714" w14:textId="125D1C74" w:rsidR="00F5281B" w:rsidRDefault="00F5281B" w:rsidP="00F5281B">
      <w:pPr>
        <w:pStyle w:val="Body"/>
      </w:pPr>
      <w:r>
        <w:t>In February 2022,</w:t>
      </w:r>
      <w:r>
        <w:fldChar w:fldCharType="begin"/>
      </w:r>
      <w:r>
        <w:instrText xml:space="preserve"> ADDIN ZOTERO_ITEM CSL_CITATION {"citationID":"L2Zj4D0S","properties":{"formattedCitation":"\\super 2\\nosupersub{}","plainCitation":"2","noteIndex":0},"citationItems":[{"id":65886,"uris":["http://zotero.org/groups/4797619/items/2LQNV7UR"],"itemData":{"id":65886,"type":"webpage","abstract":"This guide describes the methods and processes, including expected timescales, that NICE follows when carrying out health technology evaluations. The methods and processes are designed to produce robust guidance for the NHS in an open, transparent and timely way, with appropriate contribution from stakeholders. Organisations invited to contribute to health technology evaluation development should read this manual in conjunction with the NICE health technology evaluation topic selection: the manual. All documents are available on the NICE website.","language":"eng","note":"publisher: NICE","title":"NICE health technology evaluations: the manual","title-short":"NICE health technology evaluations","URL":"https://www.nice.org.uk/process/pmg36/chapter/introduction-to-health-technology-evaluation","author":[{"family":"NICE","given":""}],"accessed":{"date-parts":[["2022",10,19]]},"issued":{"date-parts":[["2022",1]]}}}],"schema":"https://github.com/citation-style-language/schema/raw/master/csl-citation.json"} </w:instrText>
      </w:r>
      <w:r>
        <w:fldChar w:fldCharType="separate"/>
      </w:r>
      <w:r w:rsidRPr="00FD57F4">
        <w:rPr>
          <w:rFonts w:cs="Arial"/>
          <w:szCs w:val="24"/>
          <w:vertAlign w:val="superscript"/>
        </w:rPr>
        <w:t>2</w:t>
      </w:r>
      <w:r>
        <w:fldChar w:fldCharType="end"/>
      </w:r>
      <w:r w:rsidRPr="00C94F6B">
        <w:t xml:space="preserve"> </w:t>
      </w:r>
      <w:r>
        <w:t>NICE changed the way in which it assessed the value of products for severe conditions. Under the new methodology, additional weight is applied to the QALY gain for technologies used in severe conditions, as determined by QALY shortfall in people with vs. without the condition.</w:t>
      </w:r>
      <w:r>
        <w:fldChar w:fldCharType="begin"/>
      </w:r>
      <w:r>
        <w:instrText xml:space="preserve"> ADDIN ZOTERO_ITEM CSL_CITATION {"citationID":"UzMcuZsH","properties":{"formattedCitation":"\\super 2\\nosupersub{}","plainCitation":"2","noteIndex":0},"citationItems":[{"id":65886,"uris":["http://zotero.org/groups/4797619/items/2LQNV7UR"],"itemData":{"id":65886,"type":"webpage","abstract":"This guide describes the methods and processes, including expected timescales, that NICE follows when carrying out health technology evaluations. The methods and processes are designed to produce robust guidance for the NHS in an open, transparent and timely way, with appropriate contribution from stakeholders. Organisations invited to contribute to health technology evaluation development should read this manual in conjunction with the NICE health technology evaluation topic selection: the manual. All documents are available on the NICE website.","language":"eng","note":"publisher: NICE","title":"NICE health technology evaluations: the manual","title-short":"NICE health technology evaluations","URL":"https://www.nice.org.uk/process/pmg36/chapter/introduction-to-health-technology-evaluation","author":[{"family":"NICE","given":""}],"accessed":{"date-parts":[["2022",10,19]]},"issued":{"date-parts":[["2022",1]]}}}],"schema":"https://github.com/citation-style-language/schema/raw/master/csl-citation.json"} </w:instrText>
      </w:r>
      <w:r>
        <w:fldChar w:fldCharType="separate"/>
      </w:r>
      <w:r w:rsidRPr="00FD57F4">
        <w:rPr>
          <w:rFonts w:cs="Arial"/>
          <w:szCs w:val="24"/>
          <w:vertAlign w:val="superscript"/>
        </w:rPr>
        <w:t>2</w:t>
      </w:r>
      <w:r>
        <w:fldChar w:fldCharType="end"/>
      </w:r>
      <w:r w:rsidRPr="00C94F6B">
        <w:t xml:space="preserve"> </w:t>
      </w:r>
      <w:r>
        <w:t xml:space="preserve">According to the new NICE methodology, this appraisal may not qualify for the 1.7 QALY weight.  Daiichi Sankyo consider that a severity modifier weight of x1.2 does not appropriately reflect the severity of patients with </w:t>
      </w:r>
      <w:r w:rsidRPr="00973E51">
        <w:t>HER2-low u/mBC</w:t>
      </w:r>
      <w:r>
        <w:t xml:space="preserve"> after prior chemotherapy</w:t>
      </w:r>
      <w:r w:rsidR="00D47F52">
        <w:t xml:space="preserve">, a </w:t>
      </w:r>
      <w:r>
        <w:t xml:space="preserve">concern </w:t>
      </w:r>
      <w:r w:rsidR="00D47F52">
        <w:t xml:space="preserve">which </w:t>
      </w:r>
      <w:r>
        <w:t xml:space="preserve">was independently raised by a key stakeholder during the scoping consultation process for this topic. </w:t>
      </w:r>
    </w:p>
    <w:p w14:paraId="4C4B01BE" w14:textId="6EED188F" w:rsidR="00F5281B" w:rsidRDefault="004F09FC" w:rsidP="00F5281B">
      <w:pPr>
        <w:pStyle w:val="Body"/>
      </w:pPr>
      <w:r>
        <w:t>Indeed, t</w:t>
      </w:r>
      <w:r w:rsidR="00F5281B">
        <w:t>he current implementation/cut-off thresholds for the NICE severity modifier mean that very few new technologies will qualify for the x1.7 weighting and the discrete categorisation results in a lack of sensitivity in quantifying severity on a scale given the large interval between cut-off thresholds. To highlight this point</w:t>
      </w:r>
      <w:r w:rsidR="008616D8">
        <w:t xml:space="preserve"> for this appraisal</w:t>
      </w:r>
      <w:r w:rsidR="00F5281B">
        <w:t xml:space="preserve">, based on the starting age and sex distribution from </w:t>
      </w:r>
      <w:r w:rsidR="00F5281B" w:rsidRPr="00A07F84">
        <w:t>DESTINY-Breast04</w:t>
      </w:r>
      <w:r w:rsidR="00F5281B">
        <w:t xml:space="preserve">, if the TPC QALYs were 0.70 a 1.2x weighting would be applicable similar to if the TPC QALYs were 2.06. This large interval in TPC QALYs highlights the limitations in how increasing severity is quantified. The base case </w:t>
      </w:r>
      <w:r w:rsidR="007045DB">
        <w:t xml:space="preserve">total </w:t>
      </w:r>
      <w:r w:rsidR="00F5281B">
        <w:t xml:space="preserve">QALYs for TPC in this appraisal (1.36 QALYs) clearly demonstrate that severity is not appropriately captured with a 1.2x weighting.  </w:t>
      </w:r>
    </w:p>
    <w:p w14:paraId="748EA9F1" w14:textId="7BB41290" w:rsidR="00F5281B" w:rsidRDefault="00F5281B" w:rsidP="00F5281B">
      <w:pPr>
        <w:pStyle w:val="Body"/>
      </w:pPr>
      <w:r>
        <w:t xml:space="preserve">This appraisal highlights a case where the previous EOL criteria would have been robustly met, but under the new framework a commensurate x1.7 severity modifier may not be applicable. This inequity could have a significant impact on access to innovative cancer treatments for UK patients. </w:t>
      </w:r>
    </w:p>
    <w:p w14:paraId="30DB1D1B" w14:textId="33760820" w:rsidR="00F5281B" w:rsidRDefault="00F5281B" w:rsidP="00F5281B">
      <w:pPr>
        <w:pStyle w:val="Body"/>
      </w:pPr>
      <w:r w:rsidRPr="00C67C0A">
        <w:t xml:space="preserve">In order to </w:t>
      </w:r>
      <w:r>
        <w:t xml:space="preserve">capture the full extent of the severity of </w:t>
      </w:r>
      <w:r w:rsidRPr="00B94BFB">
        <w:t>HER2-low u/mBC</w:t>
      </w:r>
      <w:r>
        <w:t xml:space="preserve"> </w:t>
      </w:r>
      <w:r w:rsidR="002E5483">
        <w:t>during this initial phase of implementation, monitoring and review of the severity modifier</w:t>
      </w:r>
      <w:r>
        <w:t xml:space="preserve">, Daiichi Sankyo considers that additional flexibilities in the form of a QALY weight of 1.7 equivalent to the previous EOL should be applied in decision-making. This would </w:t>
      </w:r>
      <w:r w:rsidR="002E5483">
        <w:t xml:space="preserve">more </w:t>
      </w:r>
      <w:r>
        <w:t xml:space="preserve">appropriately reflect the severity of the condition based on the poor survival outcomes in HER2-low u/mBC under current standard of care. </w:t>
      </w:r>
    </w:p>
    <w:p w14:paraId="50A8F9B3" w14:textId="2A3559DC" w:rsidR="00F55C08" w:rsidRPr="00E13ACD" w:rsidRDefault="00F55C08" w:rsidP="00F55C08">
      <w:pPr>
        <w:pStyle w:val="Body"/>
      </w:pPr>
      <w:r w:rsidRPr="00E13ACD">
        <w:rPr>
          <w:rFonts w:cs="Arial"/>
        </w:rPr>
        <w:t xml:space="preserve">Additionally, Daiichi Sankyo would like to reiterate the substantial innovation of T-DXd in this indication. </w:t>
      </w:r>
      <w:r w:rsidR="00105215" w:rsidRPr="00E13ACD">
        <w:rPr>
          <w:rFonts w:cs="Arial"/>
        </w:rPr>
        <w:t>A</w:t>
      </w:r>
      <w:r w:rsidR="00106055" w:rsidRPr="00E13ACD">
        <w:rPr>
          <w:rFonts w:cs="Arial"/>
        </w:rPr>
        <w:t>s highlighted by the Innovation Passport</w:t>
      </w:r>
      <w:r w:rsidR="00687A57">
        <w:rPr>
          <w:rFonts w:cs="Arial"/>
        </w:rPr>
        <w:t>,</w:t>
      </w:r>
      <w:r w:rsidR="00106055" w:rsidRPr="00E13ACD">
        <w:rPr>
          <w:rFonts w:cs="Arial"/>
        </w:rPr>
        <w:t xml:space="preserve"> </w:t>
      </w:r>
      <w:r w:rsidRPr="00E13ACD">
        <w:rPr>
          <w:rFonts w:cs="Arial"/>
        </w:rPr>
        <w:t>T-DXd is an innovative therapy and is the first and only HER2-targeted treatment to show a statistically significant efficacy benefit over non-targeted chemotherapy in patients with HER2-low u/mBC</w:t>
      </w:r>
      <w:r w:rsidR="00021117" w:rsidRPr="00E13ACD">
        <w:rPr>
          <w:rFonts w:cs="Arial"/>
        </w:rPr>
        <w:t xml:space="preserve"> </w:t>
      </w:r>
      <w:r w:rsidR="00DB485A" w:rsidRPr="00E13ACD">
        <w:rPr>
          <w:rFonts w:cs="Arial"/>
        </w:rPr>
        <w:t>providing substantial improvement quality and quantity of life</w:t>
      </w:r>
      <w:r w:rsidR="00AD7975">
        <w:rPr>
          <w:rFonts w:cs="Arial"/>
        </w:rPr>
        <w:t>.</w:t>
      </w:r>
      <w:r w:rsidRPr="00E13ACD">
        <w:rPr>
          <w:rFonts w:cs="Arial"/>
        </w:rPr>
        <w:fldChar w:fldCharType="begin"/>
      </w:r>
      <w:r w:rsidR="002313E2">
        <w:rPr>
          <w:rFonts w:cs="Arial"/>
        </w:rPr>
        <w:instrText xml:space="preserve"> ADDIN ZOTERO_ITEM CSL_CITATION {"citationID":"i7hAWU0w","properties":{"formattedCitation":"\\super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Pr="00E13ACD">
        <w:rPr>
          <w:rFonts w:cs="Arial"/>
        </w:rPr>
        <w:fldChar w:fldCharType="separate"/>
      </w:r>
      <w:r w:rsidR="002313E2" w:rsidRPr="002313E2">
        <w:rPr>
          <w:rFonts w:cs="Arial"/>
          <w:szCs w:val="24"/>
          <w:vertAlign w:val="superscript"/>
        </w:rPr>
        <w:t>6</w:t>
      </w:r>
      <w:r w:rsidRPr="00E13ACD">
        <w:rPr>
          <w:rFonts w:cs="Arial"/>
        </w:rPr>
        <w:fldChar w:fldCharType="end"/>
      </w:r>
      <w:r w:rsidRPr="00E13ACD">
        <w:rPr>
          <w:rFonts w:cs="Arial"/>
        </w:rPr>
        <w:t xml:space="preserve"> </w:t>
      </w:r>
      <w:r w:rsidRPr="00E13ACD">
        <w:t xml:space="preserve">T-DXd is therefore a step-change </w:t>
      </w:r>
      <w:r w:rsidR="009C2D90" w:rsidRPr="00E13ACD">
        <w:t>that</w:t>
      </w:r>
      <w:r w:rsidRPr="00E13ACD">
        <w:t xml:space="preserve"> will transform the care of patients with HER2-low u/mBC. This </w:t>
      </w:r>
      <w:r w:rsidR="00687A57">
        <w:t>was</w:t>
      </w:r>
      <w:r w:rsidRPr="00E13ACD">
        <w:t xml:space="preserve"> reflected </w:t>
      </w:r>
      <w:r w:rsidR="00687A57">
        <w:t>by</w:t>
      </w:r>
      <w:r w:rsidRPr="00E13ACD">
        <w:t xml:space="preserve"> comments from UK clinical experts, who informed Daiichi Sankyo that there is a high demand for T-DXd to be made available in HER2-low u/mBC.</w:t>
      </w:r>
    </w:p>
    <w:p w14:paraId="1D99FDA8" w14:textId="51D050C8" w:rsidR="00F5281B" w:rsidRDefault="00F5281B" w:rsidP="00AE3644">
      <w:pPr>
        <w:pStyle w:val="Body"/>
        <w:rPr>
          <w:b/>
          <w:bCs/>
        </w:rPr>
      </w:pPr>
      <w:r>
        <w:t xml:space="preserve">Cost-effectiveness results in </w:t>
      </w:r>
      <w:r w:rsidRPr="003C648C">
        <w:rPr>
          <w:b/>
          <w:bCs/>
        </w:rPr>
        <w:t xml:space="preserve">Section </w:t>
      </w:r>
      <w:r w:rsidRPr="003C648C">
        <w:rPr>
          <w:b/>
          <w:bCs/>
        </w:rPr>
        <w:fldChar w:fldCharType="begin"/>
      </w:r>
      <w:r w:rsidRPr="003C648C">
        <w:rPr>
          <w:b/>
          <w:bCs/>
        </w:rPr>
        <w:instrText xml:space="preserve"> REF _Ref128409371 \r \h </w:instrText>
      </w:r>
      <w:r>
        <w:rPr>
          <w:b/>
          <w:bCs/>
        </w:rPr>
        <w:instrText xml:space="preserve"> \* MERGEFORMAT </w:instrText>
      </w:r>
      <w:r w:rsidRPr="003C648C">
        <w:rPr>
          <w:b/>
          <w:bCs/>
        </w:rPr>
      </w:r>
      <w:r w:rsidRPr="003C648C">
        <w:rPr>
          <w:b/>
          <w:bCs/>
        </w:rPr>
        <w:fldChar w:fldCharType="separate"/>
      </w:r>
      <w:r w:rsidR="00145F42">
        <w:rPr>
          <w:b/>
          <w:bCs/>
        </w:rPr>
        <w:t>B.3.10</w:t>
      </w:r>
      <w:r w:rsidRPr="003C648C">
        <w:rPr>
          <w:b/>
          <w:bCs/>
        </w:rPr>
        <w:fldChar w:fldCharType="end"/>
      </w:r>
      <w:r>
        <w:t xml:space="preserve"> and </w:t>
      </w:r>
      <w:r w:rsidRPr="003C648C">
        <w:rPr>
          <w:b/>
          <w:bCs/>
        </w:rPr>
        <w:t xml:space="preserve">Section </w:t>
      </w:r>
      <w:r w:rsidRPr="003C648C">
        <w:rPr>
          <w:b/>
          <w:bCs/>
        </w:rPr>
        <w:fldChar w:fldCharType="begin"/>
      </w:r>
      <w:r w:rsidRPr="003C648C">
        <w:rPr>
          <w:b/>
          <w:bCs/>
        </w:rPr>
        <w:instrText xml:space="preserve"> REF _Ref128409391 \r \h </w:instrText>
      </w:r>
      <w:r>
        <w:rPr>
          <w:b/>
          <w:bCs/>
        </w:rPr>
        <w:instrText xml:space="preserve"> \* MERGEFORMAT </w:instrText>
      </w:r>
      <w:r w:rsidRPr="003C648C">
        <w:rPr>
          <w:b/>
          <w:bCs/>
        </w:rPr>
      </w:r>
      <w:r w:rsidRPr="003C648C">
        <w:rPr>
          <w:b/>
          <w:bCs/>
        </w:rPr>
        <w:fldChar w:fldCharType="separate"/>
      </w:r>
      <w:r w:rsidR="00145F42">
        <w:rPr>
          <w:b/>
          <w:bCs/>
        </w:rPr>
        <w:t>B.3.11</w:t>
      </w:r>
      <w:r w:rsidRPr="003C648C">
        <w:rPr>
          <w:b/>
          <w:bCs/>
        </w:rPr>
        <w:fldChar w:fldCharType="end"/>
      </w:r>
      <w:r w:rsidRPr="003C648C">
        <w:rPr>
          <w:b/>
          <w:bCs/>
        </w:rPr>
        <w:t xml:space="preserve"> </w:t>
      </w:r>
      <w:r>
        <w:t>have been presented with no severity modifier applied.</w:t>
      </w:r>
      <w:r w:rsidRPr="00C67C0A">
        <w:t xml:space="preserve"> </w:t>
      </w:r>
      <w:r>
        <w:t xml:space="preserve">Base case and scenario results with 1.2x severity modifier and 1.7x severity modifier applied are presented in </w:t>
      </w:r>
      <w:r w:rsidRPr="00512D1A">
        <w:rPr>
          <w:b/>
          <w:bCs/>
        </w:rPr>
        <w:t>Appendix P</w:t>
      </w:r>
      <w:r>
        <w:rPr>
          <w:b/>
          <w:bCs/>
        </w:rPr>
        <w:t>.</w:t>
      </w:r>
    </w:p>
    <w:p w14:paraId="6B80C5D9" w14:textId="77777777" w:rsidR="00BE6A50" w:rsidRDefault="00BE6A50" w:rsidP="00AE3644">
      <w:pPr>
        <w:pStyle w:val="Body"/>
      </w:pPr>
    </w:p>
    <w:p w14:paraId="4321BE75" w14:textId="77777777" w:rsidR="00183ED4" w:rsidRPr="00F33AE1" w:rsidRDefault="00183ED4" w:rsidP="00183ED4">
      <w:pPr>
        <w:pStyle w:val="Heading2"/>
      </w:pPr>
      <w:bookmarkStart w:id="748" w:name="_Toc98924680"/>
      <w:bookmarkStart w:id="749" w:name="_Toc127006619"/>
      <w:bookmarkStart w:id="750" w:name="_Toc129350907"/>
      <w:r w:rsidRPr="00F33AE1">
        <w:lastRenderedPageBreak/>
        <w:t>Uncertainty</w:t>
      </w:r>
      <w:bookmarkEnd w:id="748"/>
      <w:bookmarkEnd w:id="749"/>
      <w:bookmarkEnd w:id="750"/>
      <w:r w:rsidRPr="00F33AE1">
        <w:t xml:space="preserve"> </w:t>
      </w:r>
    </w:p>
    <w:p w14:paraId="009472D6" w14:textId="34480143" w:rsidR="00183ED4" w:rsidRDefault="00183ED4" w:rsidP="00183ED4">
      <w:pPr>
        <w:pStyle w:val="Body"/>
      </w:pPr>
      <w:r>
        <w:t>In DESTINY-Breast0</w:t>
      </w:r>
      <w:r w:rsidRPr="00B94BFB">
        <w:t>4</w:t>
      </w:r>
      <w:r>
        <w:t>, T-</w:t>
      </w:r>
      <w:r w:rsidRPr="00F33AE1">
        <w:t>DXd demonstrated</w:t>
      </w:r>
      <w:r>
        <w:t xml:space="preserve"> </w:t>
      </w:r>
      <w:r w:rsidRPr="00B94BFB">
        <w:t>substantial, statistically and clinically significant improvements in PFS and OS compared with TPC in the FAS.</w:t>
      </w:r>
      <w:r w:rsidRPr="00B94BFB">
        <w:fldChar w:fldCharType="begin"/>
      </w:r>
      <w:r w:rsidR="00CA6345">
        <w:instrText xml:space="preserve"> ADDIN ZOTERO_ITEM CSL_CITATION {"citationID":"1UciLy52","properties":{"formattedCitation":"\\super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B94BFB">
        <w:fldChar w:fldCharType="separate"/>
      </w:r>
      <w:r w:rsidR="00FD57F4" w:rsidRPr="00FD57F4">
        <w:rPr>
          <w:rFonts w:cs="Arial"/>
          <w:szCs w:val="24"/>
          <w:vertAlign w:val="superscript"/>
        </w:rPr>
        <w:t>7</w:t>
      </w:r>
      <w:r w:rsidRPr="00B94BFB">
        <w:fldChar w:fldCharType="end"/>
      </w:r>
      <w:r w:rsidRPr="00B94BFB">
        <w:t xml:space="preserve"> </w:t>
      </w:r>
      <w:r w:rsidRPr="00B94BFB">
        <w:rPr>
          <w:rFonts w:cs="Arial"/>
        </w:rPr>
        <w:t>T-DXd was associated with significantly longer PFS (9.9 vs. 5.1 months; HR: 0.50; 95% CI: 0.40, 0.63; p&lt;0.001) and OS (23.4 vs. 16.8 months; HR: 0.64, 95% CI: 0.49, 0.84, p=0.001) compared with TPC.</w:t>
      </w:r>
      <w:r w:rsidRPr="00B94BFB">
        <w:fldChar w:fldCharType="begin"/>
      </w:r>
      <w:r w:rsidR="00CA6345">
        <w:instrText xml:space="preserve"> ADDIN ZOTERO_ITEM CSL_CITATION {"citationID":"wGMOiB9q","properties":{"formattedCitation":"\\super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B94BFB">
        <w:fldChar w:fldCharType="separate"/>
      </w:r>
      <w:r w:rsidR="00FD57F4" w:rsidRPr="00FD57F4">
        <w:rPr>
          <w:rFonts w:cs="Arial"/>
          <w:szCs w:val="24"/>
          <w:vertAlign w:val="superscript"/>
        </w:rPr>
        <w:t>7</w:t>
      </w:r>
      <w:r w:rsidRPr="00B94BFB">
        <w:fldChar w:fldCharType="end"/>
      </w:r>
      <w:r w:rsidRPr="00B94BFB">
        <w:t xml:space="preserve"> Results were consistent across subgroups.</w:t>
      </w:r>
      <w:r w:rsidRPr="00B94BFB">
        <w:fldChar w:fldCharType="begin"/>
      </w:r>
      <w:r w:rsidR="00CA6345">
        <w:instrText xml:space="preserve"> ADDIN ZOTERO_ITEM CSL_CITATION {"citationID":"mwMiRk7j","properties":{"formattedCitation":"\\super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B94BFB">
        <w:fldChar w:fldCharType="separate"/>
      </w:r>
      <w:r w:rsidR="00FD57F4" w:rsidRPr="00FD57F4">
        <w:rPr>
          <w:rFonts w:cs="Arial"/>
          <w:szCs w:val="24"/>
          <w:vertAlign w:val="superscript"/>
        </w:rPr>
        <w:t>7</w:t>
      </w:r>
      <w:r w:rsidRPr="00B94BFB">
        <w:fldChar w:fldCharType="end"/>
      </w:r>
    </w:p>
    <w:p w14:paraId="5A063789" w14:textId="2335BA5C" w:rsidR="00183ED4" w:rsidRDefault="00183ED4" w:rsidP="00183ED4">
      <w:pPr>
        <w:pStyle w:val="Body"/>
      </w:pPr>
      <w:r w:rsidRPr="005265E8">
        <w:t xml:space="preserve">The model base case </w:t>
      </w:r>
      <w:r w:rsidRPr="004B2D64">
        <w:t>has been informed by clinical and health economic expert opinion as well as external validation</w:t>
      </w:r>
      <w:r>
        <w:t xml:space="preserve"> (See Section </w:t>
      </w:r>
      <w:r>
        <w:fldChar w:fldCharType="begin"/>
      </w:r>
      <w:r>
        <w:instrText xml:space="preserve"> REF _Ref126770683 \n \h </w:instrText>
      </w:r>
      <w:r>
        <w:fldChar w:fldCharType="separate"/>
      </w:r>
      <w:r w:rsidR="00145F42">
        <w:t>B.3.14</w:t>
      </w:r>
      <w:r>
        <w:fldChar w:fldCharType="end"/>
      </w:r>
      <w:r>
        <w:t>)</w:t>
      </w:r>
      <w:r w:rsidRPr="00DB29BA">
        <w:t>.</w:t>
      </w:r>
      <w:r w:rsidRPr="004B2D64">
        <w:t xml:space="preserve"> </w:t>
      </w:r>
      <w:r w:rsidRPr="004B2D64" w:rsidDel="00043DE6">
        <w:t>Extensive</w:t>
      </w:r>
      <w:r w:rsidRPr="006F315C" w:rsidDel="00043DE6">
        <w:t xml:space="preserve"> </w:t>
      </w:r>
      <w:r w:rsidRPr="006F315C">
        <w:t>sensitivity analyses</w:t>
      </w:r>
      <w:r w:rsidRPr="006F315C" w:rsidDel="00043DE6">
        <w:t xml:space="preserve"> have been performed to test the structural and parameter uncertainty with a summary of </w:t>
      </w:r>
      <w:r w:rsidRPr="006F315C" w:rsidDel="009629CD">
        <w:t>components and</w:t>
      </w:r>
      <w:r w:rsidRPr="006F315C" w:rsidDel="00043DE6">
        <w:t xml:space="preserve"> approaches tested provided in</w:t>
      </w:r>
      <w:r w:rsidRPr="006F315C">
        <w:t xml:space="preserve"> </w:t>
      </w:r>
      <w:r w:rsidRPr="003C648C">
        <w:rPr>
          <w:b/>
          <w:bCs/>
        </w:rPr>
        <w:fldChar w:fldCharType="begin"/>
      </w:r>
      <w:r w:rsidRPr="003C648C">
        <w:rPr>
          <w:b/>
          <w:bCs/>
        </w:rPr>
        <w:instrText xml:space="preserve"> REF _Ref89853148 \h </w:instrText>
      </w:r>
      <w:r w:rsidR="0059606E">
        <w:rPr>
          <w:b/>
          <w:bCs/>
        </w:rPr>
        <w:instrText xml:space="preserve"> \* MERGEFORMAT </w:instrText>
      </w:r>
      <w:r w:rsidRPr="003C648C">
        <w:rPr>
          <w:b/>
          <w:bCs/>
        </w:rPr>
      </w:r>
      <w:r w:rsidRPr="003C648C">
        <w:rPr>
          <w:b/>
          <w:bCs/>
        </w:rPr>
        <w:fldChar w:fldCharType="separate"/>
      </w:r>
      <w:r w:rsidR="00145F42" w:rsidRPr="00145F42">
        <w:rPr>
          <w:b/>
          <w:bCs/>
        </w:rPr>
        <w:t xml:space="preserve">Table </w:t>
      </w:r>
      <w:r w:rsidR="00145F42" w:rsidRPr="00145F42">
        <w:rPr>
          <w:b/>
          <w:bCs/>
          <w:noProof/>
        </w:rPr>
        <w:t>65</w:t>
      </w:r>
      <w:r w:rsidRPr="003C648C">
        <w:rPr>
          <w:b/>
          <w:bCs/>
        </w:rPr>
        <w:fldChar w:fldCharType="end"/>
      </w:r>
      <w:r>
        <w:t xml:space="preserve"> (see Section </w:t>
      </w:r>
      <w:r>
        <w:fldChar w:fldCharType="begin"/>
      </w:r>
      <w:r>
        <w:instrText xml:space="preserve"> REF _Ref99729216 \r \h </w:instrText>
      </w:r>
      <w:r>
        <w:fldChar w:fldCharType="separate"/>
      </w:r>
      <w:r w:rsidR="00145F42">
        <w:t>B.3.11</w:t>
      </w:r>
      <w:r>
        <w:fldChar w:fldCharType="end"/>
      </w:r>
      <w:r>
        <w:t xml:space="preserve"> for results). </w:t>
      </w:r>
      <w:r w:rsidRPr="00B94BFB">
        <w:rPr>
          <w:lang w:val="en-US"/>
        </w:rPr>
        <w:t xml:space="preserve">Scenario analyses have also been explored to explore the impact of uncertainty (Section </w:t>
      </w:r>
      <w:r w:rsidRPr="00B94BFB">
        <w:rPr>
          <w:lang w:val="en-US"/>
        </w:rPr>
        <w:fldChar w:fldCharType="begin"/>
      </w:r>
      <w:r w:rsidRPr="00B94BFB">
        <w:rPr>
          <w:lang w:val="en-US"/>
        </w:rPr>
        <w:instrText xml:space="preserve"> REF _Ref119923275 \n \h </w:instrText>
      </w:r>
      <w:r w:rsidRPr="00B94BFB">
        <w:rPr>
          <w:lang w:val="en-US"/>
        </w:rPr>
      </w:r>
      <w:r w:rsidRPr="00B94BFB">
        <w:rPr>
          <w:lang w:val="en-US"/>
        </w:rPr>
        <w:fldChar w:fldCharType="separate"/>
      </w:r>
      <w:r w:rsidR="00145F42">
        <w:rPr>
          <w:lang w:val="en-US"/>
        </w:rPr>
        <w:t>B.3.11.3</w:t>
      </w:r>
      <w:r w:rsidRPr="00B94BFB">
        <w:rPr>
          <w:lang w:val="en-US"/>
        </w:rPr>
        <w:fldChar w:fldCharType="end"/>
      </w:r>
      <w:r w:rsidRPr="00B94BFB">
        <w:rPr>
          <w:lang w:val="en-US"/>
        </w:rPr>
        <w:t>)</w:t>
      </w:r>
      <w:r>
        <w:rPr>
          <w:lang w:val="en-US"/>
        </w:rPr>
        <w:t>.</w:t>
      </w:r>
      <w:r>
        <w:t xml:space="preserve"> </w:t>
      </w:r>
    </w:p>
    <w:p w14:paraId="3B8D5AAA" w14:textId="24AC68B3" w:rsidR="00183ED4" w:rsidRDefault="00183ED4" w:rsidP="00183ED4">
      <w:pPr>
        <w:pStyle w:val="Caption"/>
      </w:pPr>
      <w:bookmarkStart w:id="751" w:name="_Ref89853148"/>
      <w:bookmarkStart w:id="752" w:name="_Toc127006694"/>
      <w:bookmarkStart w:id="753" w:name="_Toc129351040"/>
      <w:r>
        <w:t xml:space="preserve">Table </w:t>
      </w:r>
      <w:r>
        <w:fldChar w:fldCharType="begin"/>
      </w:r>
      <w:r>
        <w:instrText>SEQ Table \* ARABIC</w:instrText>
      </w:r>
      <w:r>
        <w:fldChar w:fldCharType="separate"/>
      </w:r>
      <w:r w:rsidR="00145F42">
        <w:rPr>
          <w:noProof/>
        </w:rPr>
        <w:t>65</w:t>
      </w:r>
      <w:r>
        <w:fldChar w:fldCharType="end"/>
      </w:r>
      <w:bookmarkEnd w:id="751"/>
      <w:r>
        <w:t>: Summary of variables applied and tested in economic model</w:t>
      </w:r>
      <w:bookmarkEnd w:id="752"/>
      <w:bookmarkEnd w:id="753"/>
    </w:p>
    <w:tbl>
      <w:tblPr>
        <w:tblStyle w:val="TableGrid"/>
        <w:tblW w:w="4867" w:type="pct"/>
        <w:tblLayout w:type="fixed"/>
        <w:tblCellMar>
          <w:left w:w="57" w:type="dxa"/>
          <w:right w:w="57" w:type="dxa"/>
        </w:tblCellMar>
        <w:tblLook w:val="04A0" w:firstRow="1" w:lastRow="0" w:firstColumn="1" w:lastColumn="0" w:noHBand="0" w:noVBand="1"/>
      </w:tblPr>
      <w:tblGrid>
        <w:gridCol w:w="1563"/>
        <w:gridCol w:w="2643"/>
        <w:gridCol w:w="1522"/>
        <w:gridCol w:w="1524"/>
        <w:gridCol w:w="1524"/>
      </w:tblGrid>
      <w:tr w:rsidR="008E0264" w:rsidRPr="00F356F4" w14:paraId="13EC3326" w14:textId="77777777" w:rsidTr="00F710CB">
        <w:trPr>
          <w:tblHeader/>
        </w:trPr>
        <w:tc>
          <w:tcPr>
            <w:tcW w:w="890" w:type="pct"/>
            <w:shd w:val="clear" w:color="auto" w:fill="D9D9D9" w:themeFill="background1" w:themeFillShade="D9"/>
            <w:vAlign w:val="center"/>
          </w:tcPr>
          <w:p w14:paraId="0F2354FE" w14:textId="77777777" w:rsidR="008E0264" w:rsidRPr="00F94F94" w:rsidRDefault="008E0264">
            <w:pPr>
              <w:pStyle w:val="NICETableHeader"/>
              <w:keepNext w:val="0"/>
            </w:pPr>
            <w:r w:rsidRPr="00F94F94">
              <w:t>Component</w:t>
            </w:r>
          </w:p>
        </w:tc>
        <w:tc>
          <w:tcPr>
            <w:tcW w:w="1506" w:type="pct"/>
            <w:shd w:val="clear" w:color="auto" w:fill="D9D9D9" w:themeFill="background1" w:themeFillShade="D9"/>
            <w:vAlign w:val="center"/>
          </w:tcPr>
          <w:p w14:paraId="59805037" w14:textId="77777777" w:rsidR="008E0264" w:rsidRPr="00F94F94" w:rsidRDefault="008E0264">
            <w:pPr>
              <w:pStyle w:val="NICETableHeader"/>
              <w:keepNext w:val="0"/>
            </w:pPr>
            <w:r w:rsidRPr="00F94F94">
              <w:t>Parameter grouping</w:t>
            </w:r>
          </w:p>
        </w:tc>
        <w:tc>
          <w:tcPr>
            <w:tcW w:w="867" w:type="pct"/>
            <w:shd w:val="clear" w:color="auto" w:fill="D9D9D9" w:themeFill="background1" w:themeFillShade="D9"/>
            <w:vAlign w:val="center"/>
          </w:tcPr>
          <w:p w14:paraId="2A9233CF" w14:textId="77777777" w:rsidR="008E0264" w:rsidRPr="00F94F94" w:rsidRDefault="008E0264">
            <w:pPr>
              <w:pStyle w:val="NICETableHeader"/>
              <w:keepNext w:val="0"/>
            </w:pPr>
            <w:r w:rsidRPr="00F94F94">
              <w:t>Tested in OWSA?</w:t>
            </w:r>
          </w:p>
        </w:tc>
        <w:tc>
          <w:tcPr>
            <w:tcW w:w="868" w:type="pct"/>
            <w:shd w:val="clear" w:color="auto" w:fill="D9D9D9" w:themeFill="background1" w:themeFillShade="D9"/>
            <w:vAlign w:val="center"/>
          </w:tcPr>
          <w:p w14:paraId="45DA6045" w14:textId="77777777" w:rsidR="008E0264" w:rsidRPr="00F94F94" w:rsidRDefault="008E0264">
            <w:pPr>
              <w:pStyle w:val="NICETableHeader"/>
              <w:keepNext w:val="0"/>
            </w:pPr>
            <w:r w:rsidRPr="00F94F94">
              <w:t>Tested in PSA?</w:t>
            </w:r>
          </w:p>
        </w:tc>
        <w:tc>
          <w:tcPr>
            <w:tcW w:w="868" w:type="pct"/>
            <w:shd w:val="clear" w:color="auto" w:fill="D9D9D9" w:themeFill="background1" w:themeFillShade="D9"/>
            <w:vAlign w:val="center"/>
          </w:tcPr>
          <w:p w14:paraId="65AC0943" w14:textId="77777777" w:rsidR="008E0264" w:rsidRPr="00F94F94" w:rsidRDefault="008E0264">
            <w:pPr>
              <w:pStyle w:val="NICETableHeader"/>
              <w:keepNext w:val="0"/>
            </w:pPr>
            <w:r w:rsidRPr="00F94F94">
              <w:t>Testing in Scenario analysis?</w:t>
            </w:r>
          </w:p>
        </w:tc>
      </w:tr>
      <w:tr w:rsidR="008E0264" w:rsidRPr="00F356F4" w14:paraId="7E064247" w14:textId="77777777" w:rsidTr="00F710CB">
        <w:tc>
          <w:tcPr>
            <w:tcW w:w="890" w:type="pct"/>
            <w:vMerge w:val="restart"/>
            <w:vAlign w:val="center"/>
          </w:tcPr>
          <w:p w14:paraId="6772EA2E" w14:textId="77777777" w:rsidR="008E0264" w:rsidRPr="00F94F94" w:rsidRDefault="008E0264">
            <w:pPr>
              <w:pStyle w:val="NICETabletext"/>
              <w:keepNext w:val="0"/>
            </w:pPr>
            <w:r w:rsidRPr="00F94F94">
              <w:t>Model settings</w:t>
            </w:r>
          </w:p>
        </w:tc>
        <w:tc>
          <w:tcPr>
            <w:tcW w:w="1506" w:type="pct"/>
            <w:vAlign w:val="center"/>
          </w:tcPr>
          <w:p w14:paraId="3E8EDB73" w14:textId="77777777" w:rsidR="008E0264" w:rsidRPr="00BD7B35" w:rsidRDefault="008E0264">
            <w:pPr>
              <w:pStyle w:val="NICETabletext"/>
              <w:keepNext w:val="0"/>
            </w:pPr>
            <w:r w:rsidRPr="00BD7B35">
              <w:t>Time horizon</w:t>
            </w:r>
          </w:p>
        </w:tc>
        <w:tc>
          <w:tcPr>
            <w:tcW w:w="867" w:type="pct"/>
            <w:vAlign w:val="center"/>
          </w:tcPr>
          <w:p w14:paraId="0985A478" w14:textId="77777777" w:rsidR="008E0264" w:rsidRPr="00BD7B35" w:rsidRDefault="008E0264" w:rsidP="00F710CB">
            <w:pPr>
              <w:pStyle w:val="NICETabletext"/>
              <w:keepNext w:val="0"/>
            </w:pPr>
          </w:p>
        </w:tc>
        <w:tc>
          <w:tcPr>
            <w:tcW w:w="868" w:type="pct"/>
            <w:vAlign w:val="center"/>
          </w:tcPr>
          <w:p w14:paraId="67035354" w14:textId="77777777" w:rsidR="008E0264" w:rsidRPr="00BD7B35" w:rsidRDefault="008E0264" w:rsidP="00F710CB">
            <w:pPr>
              <w:pStyle w:val="NICETabletext"/>
              <w:keepNext w:val="0"/>
            </w:pPr>
          </w:p>
        </w:tc>
        <w:tc>
          <w:tcPr>
            <w:tcW w:w="868" w:type="pct"/>
            <w:vAlign w:val="center"/>
          </w:tcPr>
          <w:p w14:paraId="05A09F27" w14:textId="77777777" w:rsidR="008E0264" w:rsidRPr="00BD7B35" w:rsidRDefault="008E0264" w:rsidP="00F710CB">
            <w:pPr>
              <w:pStyle w:val="NICETabletext"/>
              <w:keepNext w:val="0"/>
              <w:numPr>
                <w:ilvl w:val="0"/>
                <w:numId w:val="53"/>
              </w:numPr>
              <w:rPr>
                <w:rFonts w:eastAsia="Wingdings"/>
              </w:rPr>
            </w:pPr>
          </w:p>
        </w:tc>
      </w:tr>
      <w:tr w:rsidR="008E0264" w:rsidRPr="00F356F4" w14:paraId="2450C43F" w14:textId="77777777" w:rsidTr="00F710CB">
        <w:tc>
          <w:tcPr>
            <w:tcW w:w="890" w:type="pct"/>
            <w:vMerge/>
            <w:vAlign w:val="center"/>
          </w:tcPr>
          <w:p w14:paraId="512996F4" w14:textId="77777777" w:rsidR="008E0264" w:rsidRPr="00F94F94" w:rsidRDefault="008E0264">
            <w:pPr>
              <w:pStyle w:val="NICETabletext"/>
              <w:keepNext w:val="0"/>
            </w:pPr>
          </w:p>
        </w:tc>
        <w:tc>
          <w:tcPr>
            <w:tcW w:w="1506" w:type="pct"/>
            <w:vAlign w:val="center"/>
          </w:tcPr>
          <w:p w14:paraId="4390DD8A" w14:textId="77777777" w:rsidR="008E0264" w:rsidRPr="00BD7B35" w:rsidRDefault="008E0264">
            <w:pPr>
              <w:pStyle w:val="NICETabletext"/>
              <w:keepNext w:val="0"/>
            </w:pPr>
            <w:r w:rsidRPr="00BD7B35">
              <w:t>Cycle length</w:t>
            </w:r>
          </w:p>
        </w:tc>
        <w:tc>
          <w:tcPr>
            <w:tcW w:w="867" w:type="pct"/>
            <w:vAlign w:val="center"/>
          </w:tcPr>
          <w:p w14:paraId="278FDB3D" w14:textId="77777777" w:rsidR="008E0264" w:rsidRPr="00BD7B35" w:rsidRDefault="008E0264">
            <w:pPr>
              <w:pStyle w:val="NICETabletext"/>
              <w:keepNext w:val="0"/>
            </w:pPr>
          </w:p>
        </w:tc>
        <w:tc>
          <w:tcPr>
            <w:tcW w:w="868" w:type="pct"/>
            <w:vAlign w:val="center"/>
          </w:tcPr>
          <w:p w14:paraId="54DA8069" w14:textId="77777777" w:rsidR="008E0264" w:rsidRPr="00BD7B35" w:rsidRDefault="008E0264">
            <w:pPr>
              <w:pStyle w:val="NICETabletext"/>
              <w:keepNext w:val="0"/>
            </w:pPr>
          </w:p>
        </w:tc>
        <w:tc>
          <w:tcPr>
            <w:tcW w:w="868" w:type="pct"/>
            <w:vAlign w:val="center"/>
          </w:tcPr>
          <w:p w14:paraId="5D7D2066" w14:textId="77777777" w:rsidR="008E0264" w:rsidRPr="00BD7B35" w:rsidRDefault="008E0264">
            <w:pPr>
              <w:pStyle w:val="NICETabletext"/>
              <w:keepNext w:val="0"/>
              <w:rPr>
                <w:rFonts w:eastAsia="Wingdings"/>
              </w:rPr>
            </w:pPr>
          </w:p>
        </w:tc>
      </w:tr>
      <w:tr w:rsidR="008E0264" w:rsidRPr="00F356F4" w14:paraId="3A7EA364" w14:textId="77777777" w:rsidTr="00F710CB">
        <w:tc>
          <w:tcPr>
            <w:tcW w:w="890" w:type="pct"/>
            <w:vMerge/>
            <w:vAlign w:val="center"/>
          </w:tcPr>
          <w:p w14:paraId="49855A89" w14:textId="77777777" w:rsidR="008E0264" w:rsidRPr="00F94F94" w:rsidRDefault="008E0264">
            <w:pPr>
              <w:pStyle w:val="NICETabletext"/>
              <w:keepNext w:val="0"/>
            </w:pPr>
          </w:p>
        </w:tc>
        <w:tc>
          <w:tcPr>
            <w:tcW w:w="1506" w:type="pct"/>
            <w:vAlign w:val="center"/>
          </w:tcPr>
          <w:p w14:paraId="1BEF15B6" w14:textId="77777777" w:rsidR="008E0264" w:rsidRPr="00BD7B35" w:rsidRDefault="008E0264">
            <w:pPr>
              <w:pStyle w:val="NICETabletext"/>
              <w:keepNext w:val="0"/>
            </w:pPr>
            <w:r w:rsidRPr="00BD7B35">
              <w:t>Discount rates</w:t>
            </w:r>
          </w:p>
        </w:tc>
        <w:tc>
          <w:tcPr>
            <w:tcW w:w="867" w:type="pct"/>
            <w:vAlign w:val="center"/>
          </w:tcPr>
          <w:p w14:paraId="3E2095B9" w14:textId="77777777" w:rsidR="008E0264" w:rsidRPr="00BD7B35" w:rsidRDefault="008E0264">
            <w:pPr>
              <w:pStyle w:val="NICETabletext"/>
              <w:keepNext w:val="0"/>
            </w:pPr>
          </w:p>
        </w:tc>
        <w:tc>
          <w:tcPr>
            <w:tcW w:w="868" w:type="pct"/>
            <w:vAlign w:val="center"/>
          </w:tcPr>
          <w:p w14:paraId="031CB34D" w14:textId="77777777" w:rsidR="008E0264" w:rsidRPr="00BD7B35" w:rsidRDefault="008E0264">
            <w:pPr>
              <w:pStyle w:val="NICETabletext"/>
              <w:keepNext w:val="0"/>
            </w:pPr>
          </w:p>
        </w:tc>
        <w:tc>
          <w:tcPr>
            <w:tcW w:w="868" w:type="pct"/>
            <w:vAlign w:val="center"/>
          </w:tcPr>
          <w:p w14:paraId="7F174352" w14:textId="77777777" w:rsidR="008E0264" w:rsidRPr="00BD7B35" w:rsidRDefault="008E0264" w:rsidP="00F710CB">
            <w:pPr>
              <w:pStyle w:val="NICETabletext"/>
              <w:keepNext w:val="0"/>
              <w:numPr>
                <w:ilvl w:val="0"/>
                <w:numId w:val="53"/>
              </w:numPr>
              <w:rPr>
                <w:rFonts w:eastAsia="Wingdings"/>
              </w:rPr>
            </w:pPr>
          </w:p>
        </w:tc>
      </w:tr>
      <w:tr w:rsidR="004C761D" w:rsidRPr="00F356F4" w14:paraId="5CF8DE2D" w14:textId="77777777" w:rsidTr="00F710CB">
        <w:tc>
          <w:tcPr>
            <w:tcW w:w="890" w:type="pct"/>
            <w:vMerge w:val="restart"/>
            <w:vAlign w:val="center"/>
          </w:tcPr>
          <w:p w14:paraId="274F14D0" w14:textId="77777777" w:rsidR="008E0264" w:rsidRPr="00F94F94" w:rsidRDefault="008E0264">
            <w:pPr>
              <w:pStyle w:val="NICETabletext"/>
              <w:keepNext w:val="0"/>
            </w:pPr>
            <w:r w:rsidRPr="00F94F94">
              <w:t>Patient characteristics</w:t>
            </w:r>
          </w:p>
        </w:tc>
        <w:tc>
          <w:tcPr>
            <w:tcW w:w="1506" w:type="pct"/>
            <w:vAlign w:val="center"/>
          </w:tcPr>
          <w:p w14:paraId="1FDE2F1B" w14:textId="77777777" w:rsidR="008E0264" w:rsidRPr="00BD7B35" w:rsidRDefault="008E0264">
            <w:pPr>
              <w:pStyle w:val="NICETabletext"/>
              <w:keepNext w:val="0"/>
            </w:pPr>
            <w:r w:rsidRPr="00BD7B35">
              <w:t>Patient age</w:t>
            </w:r>
          </w:p>
        </w:tc>
        <w:tc>
          <w:tcPr>
            <w:tcW w:w="867" w:type="pct"/>
            <w:vAlign w:val="center"/>
          </w:tcPr>
          <w:p w14:paraId="29C1D37C" w14:textId="198A47C5" w:rsidR="008E0264" w:rsidRPr="00BD7B35" w:rsidRDefault="008E0264" w:rsidP="00F710CB">
            <w:pPr>
              <w:pStyle w:val="NICETabletext"/>
              <w:keepNext w:val="0"/>
              <w:numPr>
                <w:ilvl w:val="0"/>
                <w:numId w:val="53"/>
              </w:numPr>
            </w:pPr>
          </w:p>
        </w:tc>
        <w:tc>
          <w:tcPr>
            <w:tcW w:w="868" w:type="pct"/>
            <w:vAlign w:val="center"/>
          </w:tcPr>
          <w:p w14:paraId="0BDB0A20" w14:textId="77777777" w:rsidR="008E0264" w:rsidRPr="00BD7B35" w:rsidRDefault="008E0264" w:rsidP="00F710CB">
            <w:pPr>
              <w:pStyle w:val="NICETabletext"/>
              <w:keepNext w:val="0"/>
              <w:numPr>
                <w:ilvl w:val="0"/>
                <w:numId w:val="53"/>
              </w:numPr>
              <w:rPr>
                <w:rFonts w:eastAsia="Wingdings"/>
              </w:rPr>
            </w:pPr>
          </w:p>
        </w:tc>
        <w:tc>
          <w:tcPr>
            <w:tcW w:w="868" w:type="pct"/>
            <w:vAlign w:val="center"/>
          </w:tcPr>
          <w:p w14:paraId="6D202B70" w14:textId="77777777" w:rsidR="008E0264" w:rsidRPr="00BD7B35" w:rsidRDefault="008E0264">
            <w:pPr>
              <w:pStyle w:val="NICETabletext"/>
              <w:keepNext w:val="0"/>
              <w:rPr>
                <w:rFonts w:eastAsia="Wingdings"/>
              </w:rPr>
            </w:pPr>
          </w:p>
        </w:tc>
      </w:tr>
      <w:tr w:rsidR="004C761D" w:rsidRPr="00F356F4" w14:paraId="5106785C" w14:textId="77777777" w:rsidTr="00F710CB">
        <w:tc>
          <w:tcPr>
            <w:tcW w:w="890" w:type="pct"/>
            <w:vMerge/>
            <w:vAlign w:val="center"/>
          </w:tcPr>
          <w:p w14:paraId="62D9D133" w14:textId="77777777" w:rsidR="008E0264" w:rsidRPr="00F94F94" w:rsidRDefault="008E0264">
            <w:pPr>
              <w:pStyle w:val="NICETabletext"/>
              <w:keepNext w:val="0"/>
            </w:pPr>
          </w:p>
        </w:tc>
        <w:tc>
          <w:tcPr>
            <w:tcW w:w="1506" w:type="pct"/>
            <w:vAlign w:val="center"/>
          </w:tcPr>
          <w:p w14:paraId="593B6D17" w14:textId="77777777" w:rsidR="008E0264" w:rsidRPr="00BD7B35" w:rsidRDefault="008E0264">
            <w:pPr>
              <w:pStyle w:val="NICETabletext"/>
              <w:keepNext w:val="0"/>
            </w:pPr>
            <w:r w:rsidRPr="00BD7B35">
              <w:t>Patient weight</w:t>
            </w:r>
          </w:p>
        </w:tc>
        <w:tc>
          <w:tcPr>
            <w:tcW w:w="867" w:type="pct"/>
            <w:vAlign w:val="center"/>
          </w:tcPr>
          <w:p w14:paraId="57D4E3D8" w14:textId="77777777" w:rsidR="008E0264" w:rsidRPr="00BD7B35" w:rsidRDefault="008E0264" w:rsidP="00F710CB">
            <w:pPr>
              <w:pStyle w:val="NICETabletext"/>
              <w:keepNext w:val="0"/>
              <w:numPr>
                <w:ilvl w:val="0"/>
                <w:numId w:val="53"/>
              </w:numPr>
            </w:pPr>
          </w:p>
        </w:tc>
        <w:tc>
          <w:tcPr>
            <w:tcW w:w="868" w:type="pct"/>
            <w:vAlign w:val="center"/>
          </w:tcPr>
          <w:p w14:paraId="1D35C32B" w14:textId="77777777" w:rsidR="008E0264" w:rsidRPr="00BD7B35" w:rsidRDefault="008E0264" w:rsidP="00F710CB">
            <w:pPr>
              <w:pStyle w:val="NICETabletext"/>
              <w:keepNext w:val="0"/>
              <w:numPr>
                <w:ilvl w:val="0"/>
                <w:numId w:val="53"/>
              </w:numPr>
              <w:rPr>
                <w:rFonts w:eastAsia="Wingdings"/>
              </w:rPr>
            </w:pPr>
          </w:p>
        </w:tc>
        <w:tc>
          <w:tcPr>
            <w:tcW w:w="868" w:type="pct"/>
            <w:vAlign w:val="center"/>
          </w:tcPr>
          <w:p w14:paraId="328CF91A" w14:textId="77777777" w:rsidR="008E0264" w:rsidRPr="00BD7B35" w:rsidRDefault="008E0264">
            <w:pPr>
              <w:pStyle w:val="NICETabletext"/>
              <w:keepNext w:val="0"/>
              <w:rPr>
                <w:rFonts w:eastAsia="Wingdings"/>
              </w:rPr>
            </w:pPr>
          </w:p>
        </w:tc>
      </w:tr>
      <w:tr w:rsidR="004C761D" w:rsidRPr="00F356F4" w14:paraId="36F150C7" w14:textId="77777777" w:rsidTr="00F710CB">
        <w:tc>
          <w:tcPr>
            <w:tcW w:w="890" w:type="pct"/>
            <w:vMerge/>
            <w:vAlign w:val="center"/>
          </w:tcPr>
          <w:p w14:paraId="754B65E0" w14:textId="77777777" w:rsidR="008E0264" w:rsidRPr="00F94F94" w:rsidRDefault="008E0264">
            <w:pPr>
              <w:pStyle w:val="NICETabletext"/>
              <w:keepNext w:val="0"/>
            </w:pPr>
          </w:p>
        </w:tc>
        <w:tc>
          <w:tcPr>
            <w:tcW w:w="1506" w:type="pct"/>
            <w:vAlign w:val="center"/>
          </w:tcPr>
          <w:p w14:paraId="689027FA" w14:textId="77777777" w:rsidR="008E0264" w:rsidRPr="00BD7B35" w:rsidRDefault="008E0264">
            <w:pPr>
              <w:pStyle w:val="NICETabletext"/>
              <w:keepNext w:val="0"/>
            </w:pPr>
            <w:r>
              <w:t>Patient surface area</w:t>
            </w:r>
          </w:p>
        </w:tc>
        <w:tc>
          <w:tcPr>
            <w:tcW w:w="867" w:type="pct"/>
            <w:vAlign w:val="center"/>
          </w:tcPr>
          <w:p w14:paraId="7D5A8758" w14:textId="77777777" w:rsidR="008E0264" w:rsidRPr="00BD7B35" w:rsidRDefault="008E0264">
            <w:pPr>
              <w:pStyle w:val="NICETabletext"/>
              <w:keepNext w:val="0"/>
            </w:pPr>
            <w:r>
              <w:rPr>
                <w:rFonts w:ascii="Wingdings" w:eastAsia="Wingdings" w:hAnsi="Wingdings" w:cs="Wingdings"/>
              </w:rPr>
              <w:t>ü</w:t>
            </w:r>
          </w:p>
        </w:tc>
        <w:tc>
          <w:tcPr>
            <w:tcW w:w="868" w:type="pct"/>
            <w:vAlign w:val="center"/>
          </w:tcPr>
          <w:p w14:paraId="15073FE5" w14:textId="77777777" w:rsidR="008E0264" w:rsidRPr="00BD7B35" w:rsidRDefault="008E0264">
            <w:pPr>
              <w:pStyle w:val="NICETabletext"/>
              <w:keepNext w:val="0"/>
              <w:rPr>
                <w:rFonts w:eastAsia="Wingdings"/>
              </w:rPr>
            </w:pPr>
            <w:r>
              <w:rPr>
                <w:rFonts w:ascii="Wingdings" w:eastAsia="Wingdings" w:hAnsi="Wingdings" w:cs="Wingdings"/>
              </w:rPr>
              <w:t>ü</w:t>
            </w:r>
          </w:p>
        </w:tc>
        <w:tc>
          <w:tcPr>
            <w:tcW w:w="868" w:type="pct"/>
            <w:vAlign w:val="center"/>
          </w:tcPr>
          <w:p w14:paraId="522AF0A8" w14:textId="77777777" w:rsidR="008E0264" w:rsidRPr="00BD7B35" w:rsidRDefault="008E0264">
            <w:pPr>
              <w:pStyle w:val="NICETabletext"/>
              <w:keepNext w:val="0"/>
              <w:rPr>
                <w:rFonts w:eastAsia="Wingdings"/>
              </w:rPr>
            </w:pPr>
          </w:p>
        </w:tc>
      </w:tr>
      <w:tr w:rsidR="008E0264" w:rsidRPr="00F356F4" w14:paraId="2B126C19" w14:textId="77777777" w:rsidTr="00F710CB">
        <w:tc>
          <w:tcPr>
            <w:tcW w:w="890" w:type="pct"/>
            <w:vMerge w:val="restart"/>
            <w:vAlign w:val="center"/>
          </w:tcPr>
          <w:p w14:paraId="67245403" w14:textId="1136E8C4" w:rsidR="008E0264" w:rsidRPr="00F94F94" w:rsidRDefault="008E0264">
            <w:pPr>
              <w:pStyle w:val="NICETabletext"/>
              <w:keepNext w:val="0"/>
            </w:pPr>
            <w:r w:rsidRPr="00F94F94">
              <w:t>Efficacy</w:t>
            </w:r>
          </w:p>
        </w:tc>
        <w:tc>
          <w:tcPr>
            <w:tcW w:w="1506" w:type="pct"/>
            <w:vAlign w:val="center"/>
          </w:tcPr>
          <w:p w14:paraId="77B7F245" w14:textId="77777777" w:rsidR="008E0264" w:rsidRPr="00BD7B35" w:rsidRDefault="008E0264">
            <w:pPr>
              <w:pStyle w:val="NICETabletext"/>
              <w:keepNext w:val="0"/>
            </w:pPr>
            <w:r w:rsidRPr="00BD7B35">
              <w:t>OS</w:t>
            </w:r>
          </w:p>
        </w:tc>
        <w:tc>
          <w:tcPr>
            <w:tcW w:w="867" w:type="pct"/>
            <w:vAlign w:val="center"/>
          </w:tcPr>
          <w:p w14:paraId="66D63295" w14:textId="77777777" w:rsidR="008E0264" w:rsidRPr="00BD7B35" w:rsidRDefault="008E0264">
            <w:pPr>
              <w:pStyle w:val="NICETabletext"/>
              <w:keepNext w:val="0"/>
            </w:pPr>
          </w:p>
        </w:tc>
        <w:tc>
          <w:tcPr>
            <w:tcW w:w="868" w:type="pct"/>
            <w:vAlign w:val="center"/>
          </w:tcPr>
          <w:p w14:paraId="425F5F29" w14:textId="77777777" w:rsidR="008E0264" w:rsidRPr="00BD7B35" w:rsidRDefault="008E0264" w:rsidP="00F710CB">
            <w:pPr>
              <w:pStyle w:val="NICETabletext"/>
              <w:keepNext w:val="0"/>
              <w:numPr>
                <w:ilvl w:val="0"/>
                <w:numId w:val="53"/>
              </w:numPr>
              <w:rPr>
                <w:rFonts w:eastAsia="Wingdings"/>
              </w:rPr>
            </w:pPr>
          </w:p>
        </w:tc>
        <w:tc>
          <w:tcPr>
            <w:tcW w:w="868" w:type="pct"/>
            <w:vAlign w:val="center"/>
          </w:tcPr>
          <w:p w14:paraId="5FD28A59" w14:textId="77777777" w:rsidR="008E0264" w:rsidRPr="00BD7B35" w:rsidRDefault="008E0264" w:rsidP="00F710CB">
            <w:pPr>
              <w:pStyle w:val="NICETabletext"/>
              <w:keepNext w:val="0"/>
              <w:numPr>
                <w:ilvl w:val="0"/>
                <w:numId w:val="53"/>
              </w:numPr>
              <w:rPr>
                <w:rFonts w:eastAsia="Wingdings"/>
              </w:rPr>
            </w:pPr>
          </w:p>
        </w:tc>
      </w:tr>
      <w:tr w:rsidR="008E0264" w:rsidRPr="00F356F4" w14:paraId="6194D430" w14:textId="77777777" w:rsidTr="00F710CB">
        <w:tc>
          <w:tcPr>
            <w:tcW w:w="890" w:type="pct"/>
            <w:vMerge/>
            <w:vAlign w:val="center"/>
          </w:tcPr>
          <w:p w14:paraId="7CC9C6E8" w14:textId="77777777" w:rsidR="008E0264" w:rsidRPr="00F94F94" w:rsidRDefault="008E0264">
            <w:pPr>
              <w:pStyle w:val="NICETabletext"/>
              <w:keepNext w:val="0"/>
            </w:pPr>
          </w:p>
        </w:tc>
        <w:tc>
          <w:tcPr>
            <w:tcW w:w="1506" w:type="pct"/>
            <w:vAlign w:val="center"/>
          </w:tcPr>
          <w:p w14:paraId="63E0AB97" w14:textId="77777777" w:rsidR="008E0264" w:rsidRPr="00BD7B35" w:rsidRDefault="008E0264">
            <w:pPr>
              <w:pStyle w:val="NICETabletext"/>
              <w:keepNext w:val="0"/>
            </w:pPr>
            <w:r w:rsidRPr="00BD7B35">
              <w:t>PFS</w:t>
            </w:r>
          </w:p>
        </w:tc>
        <w:tc>
          <w:tcPr>
            <w:tcW w:w="867" w:type="pct"/>
            <w:vAlign w:val="center"/>
          </w:tcPr>
          <w:p w14:paraId="3D239CB1" w14:textId="77777777" w:rsidR="008E0264" w:rsidRPr="00BD7B35" w:rsidRDefault="008E0264">
            <w:pPr>
              <w:pStyle w:val="NICETabletext"/>
              <w:keepNext w:val="0"/>
            </w:pPr>
          </w:p>
        </w:tc>
        <w:tc>
          <w:tcPr>
            <w:tcW w:w="868" w:type="pct"/>
            <w:vAlign w:val="center"/>
          </w:tcPr>
          <w:p w14:paraId="1A3F0E2A" w14:textId="77777777" w:rsidR="008E0264" w:rsidRPr="00BD7B35" w:rsidRDefault="008E0264" w:rsidP="00F710CB">
            <w:pPr>
              <w:pStyle w:val="NICETabletext"/>
              <w:keepNext w:val="0"/>
              <w:numPr>
                <w:ilvl w:val="0"/>
                <w:numId w:val="53"/>
              </w:numPr>
              <w:rPr>
                <w:rFonts w:eastAsia="Wingdings"/>
              </w:rPr>
            </w:pPr>
          </w:p>
        </w:tc>
        <w:tc>
          <w:tcPr>
            <w:tcW w:w="868" w:type="pct"/>
            <w:vAlign w:val="center"/>
          </w:tcPr>
          <w:p w14:paraId="000F2F43" w14:textId="77777777" w:rsidR="008E0264" w:rsidRPr="00BD7B35" w:rsidRDefault="008E0264" w:rsidP="00F710CB">
            <w:pPr>
              <w:pStyle w:val="NICETabletext"/>
              <w:keepNext w:val="0"/>
              <w:numPr>
                <w:ilvl w:val="0"/>
                <w:numId w:val="53"/>
              </w:numPr>
              <w:rPr>
                <w:rFonts w:eastAsia="Wingdings"/>
              </w:rPr>
            </w:pPr>
          </w:p>
        </w:tc>
      </w:tr>
      <w:tr w:rsidR="008E0264" w:rsidRPr="00F356F4" w14:paraId="7E9EE080" w14:textId="77777777" w:rsidTr="00F710CB">
        <w:tc>
          <w:tcPr>
            <w:tcW w:w="890" w:type="pct"/>
            <w:vMerge/>
            <w:vAlign w:val="center"/>
          </w:tcPr>
          <w:p w14:paraId="259D0DC8" w14:textId="77777777" w:rsidR="008E0264" w:rsidRPr="00F94F94" w:rsidRDefault="008E0264">
            <w:pPr>
              <w:pStyle w:val="NICETabletext"/>
              <w:keepNext w:val="0"/>
            </w:pPr>
          </w:p>
        </w:tc>
        <w:tc>
          <w:tcPr>
            <w:tcW w:w="1506" w:type="pct"/>
            <w:vAlign w:val="center"/>
          </w:tcPr>
          <w:p w14:paraId="152678B1" w14:textId="77777777" w:rsidR="008E0264" w:rsidRPr="00BD7B35" w:rsidRDefault="008E0264">
            <w:pPr>
              <w:pStyle w:val="NICETabletext"/>
              <w:keepNext w:val="0"/>
            </w:pPr>
            <w:r w:rsidRPr="00BD7B35">
              <w:t>TTD</w:t>
            </w:r>
          </w:p>
        </w:tc>
        <w:tc>
          <w:tcPr>
            <w:tcW w:w="867" w:type="pct"/>
            <w:vAlign w:val="center"/>
          </w:tcPr>
          <w:p w14:paraId="7FF0D944" w14:textId="77777777" w:rsidR="008E0264" w:rsidRPr="00BD7B35" w:rsidRDefault="008E0264">
            <w:pPr>
              <w:pStyle w:val="NICETabletext"/>
              <w:keepNext w:val="0"/>
            </w:pPr>
          </w:p>
        </w:tc>
        <w:tc>
          <w:tcPr>
            <w:tcW w:w="868" w:type="pct"/>
            <w:vAlign w:val="center"/>
          </w:tcPr>
          <w:p w14:paraId="55CC0408" w14:textId="77777777" w:rsidR="008E0264" w:rsidRPr="00BD7B35" w:rsidRDefault="008E0264" w:rsidP="00F710CB">
            <w:pPr>
              <w:pStyle w:val="NICETabletext"/>
              <w:keepNext w:val="0"/>
              <w:numPr>
                <w:ilvl w:val="0"/>
                <w:numId w:val="53"/>
              </w:numPr>
              <w:rPr>
                <w:rFonts w:eastAsia="Wingdings"/>
              </w:rPr>
            </w:pPr>
          </w:p>
        </w:tc>
        <w:tc>
          <w:tcPr>
            <w:tcW w:w="868" w:type="pct"/>
            <w:vAlign w:val="center"/>
          </w:tcPr>
          <w:p w14:paraId="0EC38A57" w14:textId="77777777" w:rsidR="008E0264" w:rsidRPr="00BD7B35" w:rsidRDefault="008E0264" w:rsidP="00F710CB">
            <w:pPr>
              <w:pStyle w:val="NICETabletext"/>
              <w:keepNext w:val="0"/>
              <w:rPr>
                <w:rFonts w:eastAsia="Wingdings"/>
              </w:rPr>
            </w:pPr>
          </w:p>
        </w:tc>
      </w:tr>
      <w:tr w:rsidR="008E0264" w:rsidRPr="00F356F4" w14:paraId="69ABFB99" w14:textId="77777777" w:rsidTr="00F710CB">
        <w:tc>
          <w:tcPr>
            <w:tcW w:w="890" w:type="pct"/>
            <w:vAlign w:val="center"/>
          </w:tcPr>
          <w:p w14:paraId="301797D8" w14:textId="77777777" w:rsidR="008E0264" w:rsidRPr="00F94F94" w:rsidRDefault="008E0264">
            <w:pPr>
              <w:pStyle w:val="NICETabletext"/>
              <w:keepNext w:val="0"/>
            </w:pPr>
            <w:r w:rsidRPr="00F94F94">
              <w:t>Safety</w:t>
            </w:r>
          </w:p>
        </w:tc>
        <w:tc>
          <w:tcPr>
            <w:tcW w:w="1506" w:type="pct"/>
            <w:vAlign w:val="center"/>
          </w:tcPr>
          <w:p w14:paraId="1429115D" w14:textId="77777777" w:rsidR="008E0264" w:rsidRPr="00BD7B35" w:rsidRDefault="008E0264">
            <w:pPr>
              <w:pStyle w:val="NICETabletext"/>
              <w:keepNext w:val="0"/>
            </w:pPr>
            <w:r w:rsidRPr="00BD7B35">
              <w:t>AE rates</w:t>
            </w:r>
          </w:p>
        </w:tc>
        <w:tc>
          <w:tcPr>
            <w:tcW w:w="867" w:type="pct"/>
            <w:vAlign w:val="center"/>
          </w:tcPr>
          <w:p w14:paraId="068BD2BD" w14:textId="7DFAB28F" w:rsidR="008E0264" w:rsidRPr="00BD7B35" w:rsidRDefault="008E0264" w:rsidP="00F710CB">
            <w:pPr>
              <w:pStyle w:val="NICETabletext"/>
              <w:keepNext w:val="0"/>
              <w:numPr>
                <w:ilvl w:val="0"/>
                <w:numId w:val="53"/>
              </w:numPr>
              <w:rPr>
                <w:rFonts w:eastAsia="Wingdings"/>
              </w:rPr>
            </w:pPr>
          </w:p>
        </w:tc>
        <w:tc>
          <w:tcPr>
            <w:tcW w:w="868" w:type="pct"/>
            <w:vAlign w:val="center"/>
          </w:tcPr>
          <w:p w14:paraId="3D2047BF" w14:textId="77777777" w:rsidR="008E0264" w:rsidRPr="00BD7B35" w:rsidRDefault="008E0264" w:rsidP="00F710CB">
            <w:pPr>
              <w:pStyle w:val="NICETabletext"/>
              <w:keepNext w:val="0"/>
              <w:numPr>
                <w:ilvl w:val="0"/>
                <w:numId w:val="53"/>
              </w:numPr>
              <w:rPr>
                <w:rFonts w:eastAsia="Wingdings"/>
              </w:rPr>
            </w:pPr>
          </w:p>
        </w:tc>
        <w:tc>
          <w:tcPr>
            <w:tcW w:w="868" w:type="pct"/>
            <w:vAlign w:val="center"/>
          </w:tcPr>
          <w:p w14:paraId="1A6D2EE0" w14:textId="77777777" w:rsidR="008E0264" w:rsidRPr="00BD7B35" w:rsidRDefault="008E0264" w:rsidP="00B07526">
            <w:pPr>
              <w:pStyle w:val="NICETabletext"/>
              <w:keepNext w:val="0"/>
              <w:rPr>
                <w:rFonts w:eastAsia="Wingdings"/>
              </w:rPr>
            </w:pPr>
          </w:p>
        </w:tc>
      </w:tr>
      <w:tr w:rsidR="008E0264" w:rsidRPr="00F356F4" w14:paraId="700DFCDC" w14:textId="77777777" w:rsidTr="00F710CB">
        <w:tc>
          <w:tcPr>
            <w:tcW w:w="890" w:type="pct"/>
            <w:vMerge w:val="restart"/>
            <w:vAlign w:val="center"/>
          </w:tcPr>
          <w:p w14:paraId="05E00D94" w14:textId="77777777" w:rsidR="008E0264" w:rsidRPr="00F94F94" w:rsidRDefault="008E0264">
            <w:pPr>
              <w:pStyle w:val="NICETabletext"/>
              <w:keepNext w:val="0"/>
            </w:pPr>
            <w:r w:rsidRPr="00F94F94">
              <w:t>Utilities</w:t>
            </w:r>
          </w:p>
        </w:tc>
        <w:tc>
          <w:tcPr>
            <w:tcW w:w="1506" w:type="pct"/>
            <w:vAlign w:val="center"/>
          </w:tcPr>
          <w:p w14:paraId="7F7596F1" w14:textId="77777777" w:rsidR="008E0264" w:rsidRPr="00BD7B35" w:rsidRDefault="008E0264">
            <w:pPr>
              <w:pStyle w:val="NICETabletext"/>
              <w:keepNext w:val="0"/>
            </w:pPr>
            <w:r w:rsidRPr="00BD7B35">
              <w:t>Progression-free</w:t>
            </w:r>
          </w:p>
        </w:tc>
        <w:tc>
          <w:tcPr>
            <w:tcW w:w="867" w:type="pct"/>
            <w:vAlign w:val="center"/>
          </w:tcPr>
          <w:p w14:paraId="5D2C93E2" w14:textId="3457F642" w:rsidR="008E0264" w:rsidRPr="00BD7B35" w:rsidRDefault="008E0264" w:rsidP="00F710CB">
            <w:pPr>
              <w:pStyle w:val="NICETabletext"/>
              <w:keepNext w:val="0"/>
              <w:numPr>
                <w:ilvl w:val="0"/>
                <w:numId w:val="53"/>
              </w:numPr>
              <w:rPr>
                <w:rFonts w:eastAsia="Wingdings"/>
              </w:rPr>
            </w:pPr>
          </w:p>
        </w:tc>
        <w:tc>
          <w:tcPr>
            <w:tcW w:w="868" w:type="pct"/>
            <w:vAlign w:val="center"/>
          </w:tcPr>
          <w:p w14:paraId="12323A84" w14:textId="77777777" w:rsidR="008E0264" w:rsidRPr="00BD7B35" w:rsidRDefault="008E0264" w:rsidP="00F710CB">
            <w:pPr>
              <w:pStyle w:val="NICETabletext"/>
              <w:keepNext w:val="0"/>
              <w:numPr>
                <w:ilvl w:val="0"/>
                <w:numId w:val="53"/>
              </w:numPr>
              <w:rPr>
                <w:rFonts w:eastAsia="Wingdings"/>
              </w:rPr>
            </w:pPr>
          </w:p>
        </w:tc>
        <w:tc>
          <w:tcPr>
            <w:tcW w:w="868" w:type="pct"/>
            <w:vAlign w:val="center"/>
          </w:tcPr>
          <w:p w14:paraId="2BFBA5A2" w14:textId="77777777" w:rsidR="008E0264" w:rsidRPr="00BD7B35" w:rsidRDefault="008E0264" w:rsidP="00B07526">
            <w:pPr>
              <w:pStyle w:val="NICETabletext"/>
              <w:keepNext w:val="0"/>
              <w:rPr>
                <w:rFonts w:eastAsia="Wingdings"/>
              </w:rPr>
            </w:pPr>
          </w:p>
        </w:tc>
      </w:tr>
      <w:tr w:rsidR="008E0264" w:rsidRPr="00F356F4" w14:paraId="1FFEE798" w14:textId="77777777" w:rsidTr="00F710CB">
        <w:tc>
          <w:tcPr>
            <w:tcW w:w="890" w:type="pct"/>
            <w:vMerge/>
            <w:vAlign w:val="center"/>
          </w:tcPr>
          <w:p w14:paraId="63AA68EC" w14:textId="77777777" w:rsidR="008E0264" w:rsidRPr="00F94F94" w:rsidRDefault="008E0264">
            <w:pPr>
              <w:pStyle w:val="NICETabletext"/>
              <w:keepNext w:val="0"/>
            </w:pPr>
          </w:p>
        </w:tc>
        <w:tc>
          <w:tcPr>
            <w:tcW w:w="1506" w:type="pct"/>
            <w:vAlign w:val="center"/>
          </w:tcPr>
          <w:p w14:paraId="1B88203F" w14:textId="77777777" w:rsidR="008E0264" w:rsidRPr="00BD7B35" w:rsidRDefault="008E0264">
            <w:pPr>
              <w:pStyle w:val="NICETabletext"/>
              <w:keepNext w:val="0"/>
            </w:pPr>
            <w:r w:rsidRPr="00BD7B35">
              <w:t>Progressed</w:t>
            </w:r>
          </w:p>
        </w:tc>
        <w:tc>
          <w:tcPr>
            <w:tcW w:w="867" w:type="pct"/>
            <w:vAlign w:val="center"/>
          </w:tcPr>
          <w:p w14:paraId="5049C3B0" w14:textId="0CC839DD" w:rsidR="008E0264" w:rsidRPr="00BD7B35" w:rsidRDefault="008E0264" w:rsidP="00F710CB">
            <w:pPr>
              <w:pStyle w:val="NICETabletext"/>
              <w:keepNext w:val="0"/>
              <w:numPr>
                <w:ilvl w:val="0"/>
                <w:numId w:val="53"/>
              </w:numPr>
              <w:rPr>
                <w:rFonts w:eastAsia="Wingdings"/>
              </w:rPr>
            </w:pPr>
          </w:p>
        </w:tc>
        <w:tc>
          <w:tcPr>
            <w:tcW w:w="868" w:type="pct"/>
            <w:vAlign w:val="center"/>
          </w:tcPr>
          <w:p w14:paraId="38E5169F" w14:textId="77777777" w:rsidR="008E0264" w:rsidRPr="00BD7B35" w:rsidRDefault="008E0264" w:rsidP="00F710CB">
            <w:pPr>
              <w:pStyle w:val="NICETabletext"/>
              <w:keepNext w:val="0"/>
              <w:numPr>
                <w:ilvl w:val="0"/>
                <w:numId w:val="53"/>
              </w:numPr>
              <w:rPr>
                <w:rFonts w:eastAsia="Wingdings"/>
              </w:rPr>
            </w:pPr>
          </w:p>
        </w:tc>
        <w:tc>
          <w:tcPr>
            <w:tcW w:w="868" w:type="pct"/>
            <w:vAlign w:val="center"/>
          </w:tcPr>
          <w:p w14:paraId="47A1A9E1" w14:textId="77777777" w:rsidR="008E0264" w:rsidRPr="00BD7B35" w:rsidRDefault="00B07526" w:rsidP="00B07526">
            <w:pPr>
              <w:pStyle w:val="NICETabletext"/>
              <w:keepNext w:val="0"/>
              <w:rPr>
                <w:rFonts w:eastAsia="Wingdings"/>
              </w:rPr>
            </w:pPr>
            <w:r w:rsidDel="00AB5693">
              <w:rPr>
                <w:rFonts w:ascii="Wingdings" w:eastAsia="Wingdings" w:hAnsi="Wingdings" w:cs="Wingdings"/>
              </w:rPr>
              <w:t>ü</w:t>
            </w:r>
          </w:p>
        </w:tc>
      </w:tr>
      <w:tr w:rsidR="008E0264" w:rsidRPr="00F356F4" w14:paraId="56BF3DCE" w14:textId="77777777" w:rsidTr="00F710CB">
        <w:tc>
          <w:tcPr>
            <w:tcW w:w="890" w:type="pct"/>
            <w:vMerge/>
            <w:vAlign w:val="center"/>
          </w:tcPr>
          <w:p w14:paraId="1107774E" w14:textId="77777777" w:rsidR="008E0264" w:rsidRPr="00F94F94" w:rsidRDefault="008E0264">
            <w:pPr>
              <w:pStyle w:val="NICETabletext"/>
              <w:keepNext w:val="0"/>
            </w:pPr>
          </w:p>
        </w:tc>
        <w:tc>
          <w:tcPr>
            <w:tcW w:w="1506" w:type="pct"/>
            <w:vAlign w:val="center"/>
          </w:tcPr>
          <w:p w14:paraId="6678B0F1" w14:textId="77777777" w:rsidR="008E0264" w:rsidRPr="00BD7B35" w:rsidRDefault="008E0264">
            <w:pPr>
              <w:pStyle w:val="NICETabletext"/>
              <w:keepNext w:val="0"/>
            </w:pPr>
            <w:r w:rsidRPr="00BD7B35">
              <w:t>AE disutilities</w:t>
            </w:r>
          </w:p>
        </w:tc>
        <w:tc>
          <w:tcPr>
            <w:tcW w:w="867" w:type="pct"/>
            <w:vAlign w:val="center"/>
          </w:tcPr>
          <w:p w14:paraId="3F2903F0" w14:textId="77777777" w:rsidR="008E0264" w:rsidRPr="00BD7B35" w:rsidRDefault="008E0264">
            <w:pPr>
              <w:pStyle w:val="NICETabletext"/>
              <w:keepNext w:val="0"/>
            </w:pPr>
          </w:p>
        </w:tc>
        <w:tc>
          <w:tcPr>
            <w:tcW w:w="868" w:type="pct"/>
            <w:vAlign w:val="center"/>
          </w:tcPr>
          <w:p w14:paraId="2388E7BB" w14:textId="77777777" w:rsidR="008E0264" w:rsidRPr="00BD7B35" w:rsidRDefault="008E0264">
            <w:pPr>
              <w:pStyle w:val="NICETabletext"/>
              <w:keepNext w:val="0"/>
            </w:pPr>
          </w:p>
        </w:tc>
        <w:tc>
          <w:tcPr>
            <w:tcW w:w="868" w:type="pct"/>
            <w:vAlign w:val="center"/>
          </w:tcPr>
          <w:p w14:paraId="562EA6BB" w14:textId="77777777" w:rsidR="008E0264" w:rsidRPr="00BD7B35" w:rsidRDefault="008E0264" w:rsidP="00F710CB">
            <w:pPr>
              <w:pStyle w:val="NICETabletext"/>
              <w:keepNext w:val="0"/>
              <w:numPr>
                <w:ilvl w:val="0"/>
                <w:numId w:val="53"/>
              </w:numPr>
              <w:rPr>
                <w:rFonts w:eastAsia="Wingdings"/>
              </w:rPr>
            </w:pPr>
          </w:p>
        </w:tc>
      </w:tr>
      <w:tr w:rsidR="008E0264" w:rsidRPr="00F356F4" w14:paraId="2B56FE12" w14:textId="77777777" w:rsidTr="00F710CB">
        <w:tc>
          <w:tcPr>
            <w:tcW w:w="890" w:type="pct"/>
            <w:vMerge w:val="restart"/>
            <w:vAlign w:val="center"/>
          </w:tcPr>
          <w:p w14:paraId="01B2FAEE" w14:textId="77777777" w:rsidR="008E0264" w:rsidRPr="00F94F94" w:rsidRDefault="008E0264">
            <w:pPr>
              <w:pStyle w:val="NICETabletext"/>
              <w:keepNext w:val="0"/>
            </w:pPr>
            <w:r w:rsidRPr="00F94F94">
              <w:t>Costs</w:t>
            </w:r>
          </w:p>
        </w:tc>
        <w:tc>
          <w:tcPr>
            <w:tcW w:w="1506" w:type="pct"/>
            <w:vAlign w:val="center"/>
          </w:tcPr>
          <w:p w14:paraId="4A512FF0" w14:textId="77777777" w:rsidR="008E0264" w:rsidRPr="00BD7B35" w:rsidRDefault="008E0264">
            <w:pPr>
              <w:pStyle w:val="NICETabletext"/>
              <w:keepNext w:val="0"/>
            </w:pPr>
            <w:r w:rsidRPr="00BD7B35">
              <w:t>Drug costs</w:t>
            </w:r>
          </w:p>
        </w:tc>
        <w:tc>
          <w:tcPr>
            <w:tcW w:w="867" w:type="pct"/>
            <w:vAlign w:val="center"/>
          </w:tcPr>
          <w:p w14:paraId="27A8DBDD" w14:textId="77777777" w:rsidR="008E0264" w:rsidRPr="00BD7B35" w:rsidRDefault="008E0264" w:rsidP="00FF2834">
            <w:pPr>
              <w:pStyle w:val="NICETabletext"/>
              <w:keepNext w:val="0"/>
              <w:numPr>
                <w:ilvl w:val="0"/>
                <w:numId w:val="53"/>
              </w:numPr>
              <w:rPr>
                <w:rFonts w:eastAsia="Wingdings"/>
              </w:rPr>
            </w:pPr>
          </w:p>
        </w:tc>
        <w:tc>
          <w:tcPr>
            <w:tcW w:w="868" w:type="pct"/>
            <w:vAlign w:val="center"/>
          </w:tcPr>
          <w:p w14:paraId="14077751" w14:textId="77777777" w:rsidR="008E0264" w:rsidRPr="00BD7B35" w:rsidRDefault="008E0264">
            <w:pPr>
              <w:pStyle w:val="NICETabletext"/>
              <w:keepNext w:val="0"/>
              <w:rPr>
                <w:rFonts w:eastAsia="Wingdings"/>
              </w:rPr>
            </w:pPr>
            <w:r w:rsidRPr="00BD7B35">
              <w:rPr>
                <w:rFonts w:ascii="Wingdings" w:eastAsia="Wingdings" w:hAnsi="Wingdings" w:cs="Wingdings"/>
              </w:rPr>
              <w:t>ü</w:t>
            </w:r>
          </w:p>
        </w:tc>
        <w:tc>
          <w:tcPr>
            <w:tcW w:w="868" w:type="pct"/>
            <w:vAlign w:val="center"/>
          </w:tcPr>
          <w:p w14:paraId="7D792395" w14:textId="77777777" w:rsidR="008E0264" w:rsidRPr="00BD7B35" w:rsidRDefault="008E0264">
            <w:pPr>
              <w:pStyle w:val="NICETabletext"/>
              <w:keepNext w:val="0"/>
              <w:rPr>
                <w:rFonts w:eastAsia="Wingdings"/>
              </w:rPr>
            </w:pPr>
          </w:p>
        </w:tc>
      </w:tr>
      <w:tr w:rsidR="008E0264" w:rsidRPr="00F356F4" w14:paraId="256B47EA" w14:textId="77777777" w:rsidTr="00F710CB">
        <w:tc>
          <w:tcPr>
            <w:tcW w:w="890" w:type="pct"/>
            <w:vMerge/>
            <w:vAlign w:val="center"/>
          </w:tcPr>
          <w:p w14:paraId="435DC497" w14:textId="77777777" w:rsidR="008E0264" w:rsidRPr="00F356F4" w:rsidRDefault="008E0264">
            <w:pPr>
              <w:pStyle w:val="NICETabletext"/>
              <w:keepNext w:val="0"/>
              <w:rPr>
                <w:highlight w:val="green"/>
              </w:rPr>
            </w:pPr>
          </w:p>
        </w:tc>
        <w:tc>
          <w:tcPr>
            <w:tcW w:w="1506" w:type="pct"/>
            <w:vAlign w:val="center"/>
          </w:tcPr>
          <w:p w14:paraId="7F4BBCB4" w14:textId="77777777" w:rsidR="008E0264" w:rsidRPr="00BD7B35" w:rsidRDefault="008E0264">
            <w:pPr>
              <w:pStyle w:val="NICETabletext"/>
              <w:keepNext w:val="0"/>
            </w:pPr>
            <w:r w:rsidRPr="00BD7B35">
              <w:t>Administration costs</w:t>
            </w:r>
          </w:p>
        </w:tc>
        <w:tc>
          <w:tcPr>
            <w:tcW w:w="867" w:type="pct"/>
            <w:vAlign w:val="center"/>
          </w:tcPr>
          <w:p w14:paraId="17933C28" w14:textId="77777777" w:rsidR="008E0264" w:rsidRPr="00BD7B35" w:rsidRDefault="008E0264" w:rsidP="00F710CB">
            <w:pPr>
              <w:pStyle w:val="NICETabletext"/>
              <w:keepNext w:val="0"/>
              <w:numPr>
                <w:ilvl w:val="0"/>
                <w:numId w:val="53"/>
              </w:numPr>
              <w:rPr>
                <w:rFonts w:eastAsia="Wingdings"/>
              </w:rPr>
            </w:pPr>
          </w:p>
        </w:tc>
        <w:tc>
          <w:tcPr>
            <w:tcW w:w="868" w:type="pct"/>
            <w:vAlign w:val="center"/>
          </w:tcPr>
          <w:p w14:paraId="06777A44" w14:textId="77777777" w:rsidR="008E0264" w:rsidRPr="00BD7B35" w:rsidRDefault="008E0264" w:rsidP="00F710CB">
            <w:pPr>
              <w:pStyle w:val="NICETabletext"/>
              <w:keepNext w:val="0"/>
              <w:numPr>
                <w:ilvl w:val="0"/>
                <w:numId w:val="53"/>
              </w:numPr>
              <w:rPr>
                <w:rFonts w:eastAsia="Wingdings"/>
              </w:rPr>
            </w:pPr>
          </w:p>
        </w:tc>
        <w:tc>
          <w:tcPr>
            <w:tcW w:w="868" w:type="pct"/>
            <w:vAlign w:val="center"/>
          </w:tcPr>
          <w:p w14:paraId="309A2ADE" w14:textId="77777777" w:rsidR="008E0264" w:rsidRPr="00BD7B35" w:rsidRDefault="008E0264">
            <w:pPr>
              <w:pStyle w:val="NICETabletext"/>
              <w:keepNext w:val="0"/>
              <w:rPr>
                <w:rFonts w:eastAsia="Wingdings"/>
              </w:rPr>
            </w:pPr>
          </w:p>
        </w:tc>
      </w:tr>
      <w:tr w:rsidR="008E0264" w:rsidRPr="00F356F4" w14:paraId="1C0FD1CB" w14:textId="77777777" w:rsidTr="00F710CB">
        <w:tc>
          <w:tcPr>
            <w:tcW w:w="890" w:type="pct"/>
            <w:vMerge/>
            <w:vAlign w:val="center"/>
          </w:tcPr>
          <w:p w14:paraId="1FB29781" w14:textId="77777777" w:rsidR="008E0264" w:rsidRPr="00F356F4" w:rsidRDefault="008E0264">
            <w:pPr>
              <w:pStyle w:val="NICETabletext"/>
              <w:keepNext w:val="0"/>
              <w:rPr>
                <w:highlight w:val="green"/>
              </w:rPr>
            </w:pPr>
          </w:p>
        </w:tc>
        <w:tc>
          <w:tcPr>
            <w:tcW w:w="1506" w:type="pct"/>
            <w:vAlign w:val="center"/>
          </w:tcPr>
          <w:p w14:paraId="216AEBE2" w14:textId="77777777" w:rsidR="008E0264" w:rsidRPr="00BD7B35" w:rsidRDefault="008E0264">
            <w:pPr>
              <w:pStyle w:val="NICETabletext"/>
              <w:keepNext w:val="0"/>
            </w:pPr>
            <w:r w:rsidRPr="00BD7B35">
              <w:t>Resource use costs</w:t>
            </w:r>
          </w:p>
        </w:tc>
        <w:tc>
          <w:tcPr>
            <w:tcW w:w="867" w:type="pct"/>
            <w:vAlign w:val="center"/>
          </w:tcPr>
          <w:p w14:paraId="1DE80389" w14:textId="77777777" w:rsidR="008E0264" w:rsidRPr="00BD7B35" w:rsidRDefault="008E0264" w:rsidP="00F710CB">
            <w:pPr>
              <w:pStyle w:val="NICETabletext"/>
              <w:keepNext w:val="0"/>
              <w:numPr>
                <w:ilvl w:val="0"/>
                <w:numId w:val="53"/>
              </w:numPr>
              <w:rPr>
                <w:rFonts w:eastAsia="Wingdings"/>
              </w:rPr>
            </w:pPr>
          </w:p>
        </w:tc>
        <w:tc>
          <w:tcPr>
            <w:tcW w:w="868" w:type="pct"/>
            <w:vAlign w:val="center"/>
          </w:tcPr>
          <w:p w14:paraId="68DC6EB7" w14:textId="77777777" w:rsidR="008E0264" w:rsidRPr="00BD7B35" w:rsidRDefault="008E0264" w:rsidP="00F710CB">
            <w:pPr>
              <w:pStyle w:val="NICETabletext"/>
              <w:keepNext w:val="0"/>
              <w:numPr>
                <w:ilvl w:val="0"/>
                <w:numId w:val="53"/>
              </w:numPr>
              <w:rPr>
                <w:rFonts w:eastAsia="Wingdings"/>
              </w:rPr>
            </w:pPr>
          </w:p>
        </w:tc>
        <w:tc>
          <w:tcPr>
            <w:tcW w:w="868" w:type="pct"/>
            <w:vAlign w:val="center"/>
          </w:tcPr>
          <w:p w14:paraId="6B905B6A" w14:textId="77777777" w:rsidR="008E0264" w:rsidRPr="00BD7B35" w:rsidRDefault="008E0264">
            <w:pPr>
              <w:pStyle w:val="NICETabletext"/>
              <w:keepNext w:val="0"/>
              <w:rPr>
                <w:rFonts w:eastAsia="Wingdings"/>
              </w:rPr>
            </w:pPr>
          </w:p>
        </w:tc>
      </w:tr>
      <w:tr w:rsidR="008E0264" w:rsidRPr="00F356F4" w14:paraId="71320420" w14:textId="77777777" w:rsidTr="00F710CB">
        <w:tc>
          <w:tcPr>
            <w:tcW w:w="890" w:type="pct"/>
            <w:vMerge/>
            <w:vAlign w:val="center"/>
          </w:tcPr>
          <w:p w14:paraId="25F01BF5" w14:textId="77777777" w:rsidR="008E0264" w:rsidRPr="00F356F4" w:rsidRDefault="008E0264">
            <w:pPr>
              <w:pStyle w:val="NICETabletext"/>
              <w:keepNext w:val="0"/>
              <w:rPr>
                <w:highlight w:val="green"/>
              </w:rPr>
            </w:pPr>
          </w:p>
        </w:tc>
        <w:tc>
          <w:tcPr>
            <w:tcW w:w="1506" w:type="pct"/>
            <w:vAlign w:val="center"/>
          </w:tcPr>
          <w:p w14:paraId="076D5D39" w14:textId="77777777" w:rsidR="008E0264" w:rsidRPr="00BD7B35" w:rsidRDefault="008E0264">
            <w:pPr>
              <w:pStyle w:val="NICETabletext"/>
              <w:keepNext w:val="0"/>
            </w:pPr>
            <w:r w:rsidRPr="00BD7B35">
              <w:t>AE costs</w:t>
            </w:r>
          </w:p>
        </w:tc>
        <w:tc>
          <w:tcPr>
            <w:tcW w:w="867" w:type="pct"/>
            <w:vAlign w:val="center"/>
          </w:tcPr>
          <w:p w14:paraId="099E17AC" w14:textId="77777777" w:rsidR="008E0264" w:rsidRPr="00BD7B35" w:rsidRDefault="008E0264" w:rsidP="00F710CB">
            <w:pPr>
              <w:pStyle w:val="NICETabletext"/>
              <w:keepNext w:val="0"/>
              <w:numPr>
                <w:ilvl w:val="0"/>
                <w:numId w:val="53"/>
              </w:numPr>
              <w:rPr>
                <w:rFonts w:eastAsia="Wingdings"/>
              </w:rPr>
            </w:pPr>
          </w:p>
        </w:tc>
        <w:tc>
          <w:tcPr>
            <w:tcW w:w="868" w:type="pct"/>
            <w:vAlign w:val="center"/>
          </w:tcPr>
          <w:p w14:paraId="10FECB4C" w14:textId="77777777" w:rsidR="008E0264" w:rsidRPr="00BD7B35" w:rsidRDefault="008E0264" w:rsidP="00F710CB">
            <w:pPr>
              <w:pStyle w:val="NICETabletext"/>
              <w:keepNext w:val="0"/>
              <w:numPr>
                <w:ilvl w:val="0"/>
                <w:numId w:val="53"/>
              </w:numPr>
              <w:rPr>
                <w:rFonts w:eastAsia="Wingdings"/>
              </w:rPr>
            </w:pPr>
          </w:p>
        </w:tc>
        <w:tc>
          <w:tcPr>
            <w:tcW w:w="868" w:type="pct"/>
            <w:vAlign w:val="center"/>
          </w:tcPr>
          <w:p w14:paraId="19C9E3BA" w14:textId="77777777" w:rsidR="008E0264" w:rsidRPr="00BD7B35" w:rsidRDefault="008E0264">
            <w:pPr>
              <w:pStyle w:val="NICETabletext"/>
              <w:keepNext w:val="0"/>
              <w:rPr>
                <w:rFonts w:eastAsia="Wingdings"/>
              </w:rPr>
            </w:pPr>
          </w:p>
        </w:tc>
      </w:tr>
      <w:tr w:rsidR="008E0264" w:rsidRPr="00F356F4" w14:paraId="35582E88" w14:textId="77777777" w:rsidTr="00F710CB">
        <w:tc>
          <w:tcPr>
            <w:tcW w:w="890" w:type="pct"/>
            <w:vMerge/>
            <w:vAlign w:val="center"/>
          </w:tcPr>
          <w:p w14:paraId="26D52A40" w14:textId="77777777" w:rsidR="008E0264" w:rsidRPr="00F356F4" w:rsidRDefault="008E0264">
            <w:pPr>
              <w:pStyle w:val="NICETabletext"/>
              <w:keepNext w:val="0"/>
              <w:rPr>
                <w:highlight w:val="green"/>
              </w:rPr>
            </w:pPr>
          </w:p>
        </w:tc>
        <w:tc>
          <w:tcPr>
            <w:tcW w:w="1506" w:type="pct"/>
            <w:vAlign w:val="center"/>
          </w:tcPr>
          <w:p w14:paraId="5AC29F02" w14:textId="77777777" w:rsidR="008E0264" w:rsidRPr="00BD7B35" w:rsidRDefault="008E0264">
            <w:pPr>
              <w:pStyle w:val="NICETabletext"/>
              <w:keepNext w:val="0"/>
            </w:pPr>
            <w:r w:rsidRPr="00BD7B35">
              <w:t>Subsequent treatment costs</w:t>
            </w:r>
          </w:p>
        </w:tc>
        <w:tc>
          <w:tcPr>
            <w:tcW w:w="867" w:type="pct"/>
            <w:vAlign w:val="center"/>
          </w:tcPr>
          <w:p w14:paraId="775AEDAF" w14:textId="77777777" w:rsidR="008E0264" w:rsidRPr="00BD7B35" w:rsidRDefault="008E0264" w:rsidP="00F710CB">
            <w:pPr>
              <w:pStyle w:val="NICETabletext"/>
              <w:keepNext w:val="0"/>
              <w:numPr>
                <w:ilvl w:val="0"/>
                <w:numId w:val="53"/>
              </w:numPr>
              <w:rPr>
                <w:rFonts w:eastAsia="Wingdings"/>
              </w:rPr>
            </w:pPr>
          </w:p>
        </w:tc>
        <w:tc>
          <w:tcPr>
            <w:tcW w:w="868" w:type="pct"/>
            <w:vAlign w:val="center"/>
          </w:tcPr>
          <w:p w14:paraId="765D4A3B" w14:textId="77777777" w:rsidR="008E0264" w:rsidRPr="00BD7B35" w:rsidRDefault="008E0264" w:rsidP="00F710CB">
            <w:pPr>
              <w:pStyle w:val="NICETabletext"/>
              <w:keepNext w:val="0"/>
              <w:numPr>
                <w:ilvl w:val="0"/>
                <w:numId w:val="53"/>
              </w:numPr>
              <w:rPr>
                <w:rFonts w:eastAsia="Wingdings"/>
              </w:rPr>
            </w:pPr>
          </w:p>
        </w:tc>
        <w:tc>
          <w:tcPr>
            <w:tcW w:w="868" w:type="pct"/>
            <w:vAlign w:val="center"/>
          </w:tcPr>
          <w:p w14:paraId="73F5BCC8" w14:textId="77777777" w:rsidR="008E0264" w:rsidRPr="00BD7B35" w:rsidRDefault="008E0264" w:rsidP="00F710CB">
            <w:pPr>
              <w:pStyle w:val="NICETabletext"/>
              <w:keepNext w:val="0"/>
              <w:rPr>
                <w:rFonts w:eastAsia="Wingdings"/>
              </w:rPr>
            </w:pPr>
            <w:r>
              <w:rPr>
                <w:rFonts w:ascii="Wingdings" w:eastAsia="Wingdings" w:hAnsi="Wingdings" w:cs="Wingdings"/>
              </w:rPr>
              <w:t>ü</w:t>
            </w:r>
          </w:p>
        </w:tc>
      </w:tr>
      <w:tr w:rsidR="008E0264" w14:paraId="31F4D65A" w14:textId="77777777" w:rsidTr="00F710CB">
        <w:tc>
          <w:tcPr>
            <w:tcW w:w="890" w:type="pct"/>
            <w:vMerge/>
            <w:vAlign w:val="center"/>
          </w:tcPr>
          <w:p w14:paraId="12FDE436" w14:textId="77777777" w:rsidR="008E0264" w:rsidRPr="00F356F4" w:rsidRDefault="008E0264">
            <w:pPr>
              <w:pStyle w:val="NICETabletext"/>
              <w:keepNext w:val="0"/>
              <w:rPr>
                <w:highlight w:val="green"/>
              </w:rPr>
            </w:pPr>
          </w:p>
        </w:tc>
        <w:tc>
          <w:tcPr>
            <w:tcW w:w="1506" w:type="pct"/>
            <w:vAlign w:val="center"/>
          </w:tcPr>
          <w:p w14:paraId="3128A610" w14:textId="77777777" w:rsidR="008E0264" w:rsidRPr="00BD7B35" w:rsidRDefault="008E0264">
            <w:pPr>
              <w:pStyle w:val="NICETabletext"/>
              <w:keepNext w:val="0"/>
            </w:pPr>
            <w:r>
              <w:t>Terminal care</w:t>
            </w:r>
            <w:r w:rsidRPr="00BD7B35">
              <w:t xml:space="preserve"> costs</w:t>
            </w:r>
          </w:p>
        </w:tc>
        <w:tc>
          <w:tcPr>
            <w:tcW w:w="867" w:type="pct"/>
            <w:vAlign w:val="center"/>
          </w:tcPr>
          <w:p w14:paraId="7F77815C" w14:textId="77777777" w:rsidR="008E0264" w:rsidRPr="00BD7B35" w:rsidRDefault="008E0264">
            <w:pPr>
              <w:pStyle w:val="NICETabletext"/>
              <w:keepNext w:val="0"/>
              <w:rPr>
                <w:rFonts w:eastAsia="Wingdings"/>
              </w:rPr>
            </w:pPr>
            <w:r w:rsidRPr="00BD7B35">
              <w:rPr>
                <w:rFonts w:ascii="Wingdings" w:eastAsia="Wingdings" w:hAnsi="Wingdings" w:cs="Wingdings"/>
              </w:rPr>
              <w:t>ü</w:t>
            </w:r>
          </w:p>
        </w:tc>
        <w:tc>
          <w:tcPr>
            <w:tcW w:w="868" w:type="pct"/>
            <w:vAlign w:val="center"/>
          </w:tcPr>
          <w:p w14:paraId="26AAA68D" w14:textId="77777777" w:rsidR="008E0264" w:rsidRPr="00BD7B35" w:rsidRDefault="008E0264">
            <w:pPr>
              <w:pStyle w:val="NICETabletext"/>
              <w:keepNext w:val="0"/>
              <w:rPr>
                <w:rFonts w:eastAsia="Wingdings"/>
              </w:rPr>
            </w:pPr>
            <w:r w:rsidRPr="00BD7B35">
              <w:rPr>
                <w:rFonts w:ascii="Wingdings" w:eastAsia="Wingdings" w:hAnsi="Wingdings" w:cs="Wingdings"/>
              </w:rPr>
              <w:t>ü</w:t>
            </w:r>
          </w:p>
        </w:tc>
        <w:tc>
          <w:tcPr>
            <w:tcW w:w="868" w:type="pct"/>
            <w:vAlign w:val="center"/>
          </w:tcPr>
          <w:p w14:paraId="7BC43A13" w14:textId="77777777" w:rsidR="008E0264" w:rsidRPr="00BD7B35" w:rsidRDefault="008E0264">
            <w:pPr>
              <w:pStyle w:val="NICETabletext"/>
              <w:keepNext w:val="0"/>
              <w:rPr>
                <w:rFonts w:eastAsia="Wingdings"/>
              </w:rPr>
            </w:pPr>
          </w:p>
        </w:tc>
      </w:tr>
    </w:tbl>
    <w:p w14:paraId="077D1CAA" w14:textId="77777777" w:rsidR="00183ED4" w:rsidRDefault="00183ED4" w:rsidP="00183ED4">
      <w:pPr>
        <w:pStyle w:val="Footnotes"/>
      </w:pPr>
      <w:r>
        <w:t xml:space="preserve">Abbreviations: </w:t>
      </w:r>
      <w:r w:rsidRPr="00FB2F25">
        <w:t>AE, Adverse event; OS, overall survival; OWSA, one-way sensitivity analysis; PFS, progression-free survival; PSA, probabilistic sensitivity analysis; TTD, time-to-treatment discontinuation</w:t>
      </w:r>
      <w:r>
        <w:t>.</w:t>
      </w:r>
    </w:p>
    <w:p w14:paraId="53CFFFB5" w14:textId="77777777" w:rsidR="00E57171" w:rsidRPr="002D2B67" w:rsidRDefault="00E57171" w:rsidP="00E57171">
      <w:pPr>
        <w:pStyle w:val="Heading2"/>
      </w:pPr>
      <w:bookmarkStart w:id="754" w:name="_Toc98924681"/>
      <w:bookmarkStart w:id="755" w:name="_Toc127006620"/>
      <w:bookmarkStart w:id="756" w:name="_Toc129350908"/>
      <w:r w:rsidRPr="002D2B67">
        <w:t>Managed access proposal</w:t>
      </w:r>
      <w:bookmarkEnd w:id="754"/>
      <w:bookmarkEnd w:id="755"/>
      <w:bookmarkEnd w:id="756"/>
    </w:p>
    <w:p w14:paraId="6D91B22B" w14:textId="788C15A7" w:rsidR="00E57171" w:rsidRDefault="00E57171" w:rsidP="00E57171">
      <w:pPr>
        <w:pStyle w:val="Body"/>
      </w:pPr>
      <w:r w:rsidRPr="00735332">
        <w:t>Daiichi Sankyo consider the Phase III RCT DESTINY-Breast0</w:t>
      </w:r>
      <w:r w:rsidRPr="00A710D0">
        <w:t>4</w:t>
      </w:r>
      <w:r w:rsidRPr="00735332">
        <w:t xml:space="preserve"> (</w:t>
      </w:r>
      <w:r w:rsidRPr="00A710D0">
        <w:t xml:space="preserve">assessing the safety and efficacy of </w:t>
      </w:r>
      <w:r w:rsidRPr="00735332">
        <w:t xml:space="preserve">T-DXd compared with </w:t>
      </w:r>
      <w:r>
        <w:t>TPC</w:t>
      </w:r>
      <w:r w:rsidRPr="00735332">
        <w:t xml:space="preserve"> </w:t>
      </w:r>
      <w:r w:rsidRPr="00A710D0">
        <w:t>in patients with HER2-low u/mBC previously treated with chemotherapy</w:t>
      </w:r>
      <w:r w:rsidRPr="00735332">
        <w:t xml:space="preserve">) to be a suitable basis for </w:t>
      </w:r>
      <w:r w:rsidRPr="00A710D0">
        <w:t xml:space="preserve">a routine commissioning </w:t>
      </w:r>
      <w:r w:rsidR="00114357">
        <w:t>decision</w:t>
      </w:r>
      <w:r w:rsidRPr="00A710D0">
        <w:t xml:space="preserve">. </w:t>
      </w:r>
      <w:r w:rsidR="00A21002">
        <w:t>T</w:t>
      </w:r>
      <w:r w:rsidR="00AE4CAC">
        <w:t>here is no</w:t>
      </w:r>
      <w:r w:rsidR="00A21002">
        <w:t xml:space="preserve"> </w:t>
      </w:r>
      <w:r w:rsidR="00AE4CAC">
        <w:t xml:space="preserve">protocol requirement for </w:t>
      </w:r>
      <w:r w:rsidR="00A21002">
        <w:t xml:space="preserve">further </w:t>
      </w:r>
      <w:r>
        <w:t>analyses</w:t>
      </w:r>
      <w:r w:rsidR="00A21002">
        <w:t>,</w:t>
      </w:r>
      <w:r w:rsidR="00A21002">
        <w:fldChar w:fldCharType="begin"/>
      </w:r>
      <w:r w:rsidR="00CA6345">
        <w:instrText xml:space="preserve"> ADDIN ZOTERO_ITEM CSL_CITATION {"citationID":"HZVS7kxV","properties":{"formattedCitation":"\\super 158\\nosupersub{}","plainCitation":"158","noteIndex":0},"citationItems":[{"id":65923,"uris":["http://zotero.org/groups/4797619/items/RHDMDVKK"],"itemData":{"id":65923,"type":"document","title":"Clinical Study Protocol Version 3.0 for DS8201-A-U303. 24 April 2019. Data on File.","author":[{"family":"Daiichi Sankyo Inc.","given":""}],"issued":{"date-parts":[["2019"]]}}}],"schema":"https://github.com/citation-style-language/schema/raw/master/csl-citation.json"} </w:instrText>
      </w:r>
      <w:r w:rsidR="00A21002">
        <w:fldChar w:fldCharType="separate"/>
      </w:r>
      <w:r w:rsidR="00CA6345" w:rsidRPr="00CA6345">
        <w:rPr>
          <w:rFonts w:cs="Arial"/>
          <w:szCs w:val="24"/>
          <w:vertAlign w:val="superscript"/>
        </w:rPr>
        <w:t>158</w:t>
      </w:r>
      <w:r w:rsidR="00A21002">
        <w:fldChar w:fldCharType="end"/>
      </w:r>
      <w:r>
        <w:t xml:space="preserve"> as </w:t>
      </w:r>
      <w:r w:rsidR="009829D7">
        <w:t>the trial met the primary and all secondary endpoints</w:t>
      </w:r>
      <w:r>
        <w:rPr>
          <w:rFonts w:cs="Arial"/>
        </w:rPr>
        <w:t xml:space="preserve"> (</w:t>
      </w:r>
      <w:r w:rsidRPr="007C383A">
        <w:rPr>
          <w:rFonts w:cs="Arial"/>
        </w:rPr>
        <w:t xml:space="preserve">see </w:t>
      </w:r>
      <w:r w:rsidRPr="005115FA">
        <w:rPr>
          <w:rFonts w:cs="Arial"/>
        </w:rPr>
        <w:t xml:space="preserve">Section </w:t>
      </w:r>
      <w:r w:rsidR="007C383A" w:rsidRPr="005115FA">
        <w:rPr>
          <w:rFonts w:cs="Arial"/>
        </w:rPr>
        <w:fldChar w:fldCharType="begin"/>
      </w:r>
      <w:r w:rsidR="007C383A" w:rsidRPr="005115FA">
        <w:rPr>
          <w:rFonts w:cs="Arial"/>
        </w:rPr>
        <w:instrText xml:space="preserve"> REF _Ref127008012 \n \h </w:instrText>
      </w:r>
      <w:r w:rsidR="007C383A">
        <w:rPr>
          <w:rFonts w:cs="Arial"/>
        </w:rPr>
        <w:instrText xml:space="preserve"> \* MERGEFORMAT </w:instrText>
      </w:r>
      <w:r w:rsidR="007C383A" w:rsidRPr="005115FA">
        <w:rPr>
          <w:rFonts w:cs="Arial"/>
        </w:rPr>
      </w:r>
      <w:r w:rsidR="007C383A" w:rsidRPr="005115FA">
        <w:rPr>
          <w:rFonts w:cs="Arial"/>
        </w:rPr>
        <w:fldChar w:fldCharType="separate"/>
      </w:r>
      <w:r w:rsidR="00145F42">
        <w:rPr>
          <w:rFonts w:cs="Arial"/>
        </w:rPr>
        <w:t>B.2.6.2</w:t>
      </w:r>
      <w:r w:rsidR="007C383A" w:rsidRPr="005115FA">
        <w:rPr>
          <w:rFonts w:cs="Arial"/>
        </w:rPr>
        <w:fldChar w:fldCharType="end"/>
      </w:r>
      <w:r w:rsidR="007C383A">
        <w:rPr>
          <w:rFonts w:cs="Arial"/>
        </w:rPr>
        <w:t xml:space="preserve"> </w:t>
      </w:r>
      <w:r w:rsidRPr="007C383A">
        <w:rPr>
          <w:rFonts w:cs="Arial"/>
        </w:rPr>
        <w:t>for</w:t>
      </w:r>
      <w:r>
        <w:rPr>
          <w:rFonts w:cs="Arial"/>
        </w:rPr>
        <w:t xml:space="preserve"> more details).</w:t>
      </w:r>
      <w:r w:rsidRPr="00B94BFB">
        <w:fldChar w:fldCharType="begin"/>
      </w:r>
      <w:r w:rsidR="00CA6345">
        <w:instrText xml:space="preserve"> ADDIN ZOTERO_ITEM CSL_CITATION {"citationID":"o80Xrby7","properties":{"formattedCitation":"\\super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B94BFB">
        <w:fldChar w:fldCharType="separate"/>
      </w:r>
      <w:r w:rsidR="00FD57F4" w:rsidRPr="00FD57F4">
        <w:rPr>
          <w:rFonts w:cs="Arial"/>
          <w:szCs w:val="24"/>
          <w:vertAlign w:val="superscript"/>
        </w:rPr>
        <w:t>7</w:t>
      </w:r>
      <w:r w:rsidRPr="00B94BFB">
        <w:fldChar w:fldCharType="end"/>
      </w:r>
    </w:p>
    <w:p w14:paraId="147582E3" w14:textId="77777777" w:rsidR="00386DA4" w:rsidRPr="0030264B" w:rsidRDefault="00386DA4" w:rsidP="00386DA4">
      <w:pPr>
        <w:pStyle w:val="Heading2"/>
      </w:pPr>
      <w:bookmarkStart w:id="757" w:name="_Toc127006621"/>
      <w:bookmarkStart w:id="758" w:name="_Toc129350909"/>
      <w:r w:rsidRPr="0030264B">
        <w:lastRenderedPageBreak/>
        <w:t>Summary of base-case analysis inputs and assumptions</w:t>
      </w:r>
      <w:bookmarkEnd w:id="757"/>
      <w:bookmarkEnd w:id="758"/>
    </w:p>
    <w:p w14:paraId="7B2AE8B9" w14:textId="77777777" w:rsidR="00386DA4" w:rsidRDefault="00386DA4" w:rsidP="00386DA4">
      <w:pPr>
        <w:pStyle w:val="Heading3"/>
      </w:pPr>
      <w:bookmarkStart w:id="759" w:name="_Toc98924683"/>
      <w:bookmarkStart w:id="760" w:name="_Toc127006622"/>
      <w:bookmarkStart w:id="761" w:name="_Toc129350910"/>
      <w:r>
        <w:t>Summary of base-case analysis input</w:t>
      </w:r>
      <w:bookmarkEnd w:id="759"/>
      <w:bookmarkEnd w:id="760"/>
      <w:bookmarkEnd w:id="761"/>
    </w:p>
    <w:p w14:paraId="382EEC21" w14:textId="5E66B443" w:rsidR="00386DA4" w:rsidRPr="00B56C91" w:rsidRDefault="00386DA4" w:rsidP="00386DA4">
      <w:pPr>
        <w:pStyle w:val="Body"/>
      </w:pPr>
      <w:bookmarkStart w:id="762" w:name="_Ref97113283"/>
      <w:bookmarkStart w:id="763" w:name="_Toc98924772"/>
      <w:r>
        <w:t xml:space="preserve">In line with the NICE reference case, the analysis was conducted from the NHS and PSS perspective using a lifetime horizon (30 years) and with costs and QALYs discounted at 3.5% (see Section </w:t>
      </w:r>
      <w:r>
        <w:fldChar w:fldCharType="begin"/>
      </w:r>
      <w:r>
        <w:instrText xml:space="preserve"> REF _Ref99729254 \r \h </w:instrText>
      </w:r>
      <w:r>
        <w:fldChar w:fldCharType="separate"/>
      </w:r>
      <w:r w:rsidR="00145F42">
        <w:t>B.3.2</w:t>
      </w:r>
      <w:r>
        <w:fldChar w:fldCharType="end"/>
      </w:r>
      <w:r>
        <w:t xml:space="preserve">). </w:t>
      </w:r>
      <w:r w:rsidRPr="003C648C">
        <w:rPr>
          <w:b/>
          <w:bCs/>
        </w:rPr>
        <w:fldChar w:fldCharType="begin"/>
      </w:r>
      <w:r w:rsidRPr="003C648C">
        <w:rPr>
          <w:b/>
          <w:bCs/>
        </w:rPr>
        <w:instrText xml:space="preserve"> REF _Ref101422448 \h </w:instrText>
      </w:r>
      <w:r w:rsidR="0059606E">
        <w:rPr>
          <w:b/>
          <w:bCs/>
        </w:rPr>
        <w:instrText xml:space="preserve"> \* MERGEFORMAT </w:instrText>
      </w:r>
      <w:r w:rsidRPr="003C648C">
        <w:rPr>
          <w:b/>
          <w:bCs/>
        </w:rPr>
      </w:r>
      <w:r w:rsidRPr="003C648C">
        <w:rPr>
          <w:b/>
          <w:bCs/>
        </w:rPr>
        <w:fldChar w:fldCharType="separate"/>
      </w:r>
      <w:r w:rsidR="00145F42" w:rsidRPr="00145F42">
        <w:rPr>
          <w:b/>
          <w:bCs/>
        </w:rPr>
        <w:t xml:space="preserve">Table </w:t>
      </w:r>
      <w:r w:rsidR="00145F42" w:rsidRPr="00145F42">
        <w:rPr>
          <w:b/>
          <w:bCs/>
          <w:noProof/>
        </w:rPr>
        <w:t>66</w:t>
      </w:r>
      <w:r w:rsidRPr="003C648C">
        <w:rPr>
          <w:b/>
          <w:bCs/>
        </w:rPr>
        <w:fldChar w:fldCharType="end"/>
      </w:r>
      <w:r>
        <w:t xml:space="preserve"> summarises base case variables and ranges used for probabilistic and one-way sensitivity analysis.</w:t>
      </w:r>
    </w:p>
    <w:p w14:paraId="7B258F9E" w14:textId="658D13D2" w:rsidR="00386DA4" w:rsidRDefault="00386DA4" w:rsidP="00386DA4">
      <w:pPr>
        <w:pStyle w:val="Caption"/>
      </w:pPr>
      <w:bookmarkStart w:id="764" w:name="_Ref101422448"/>
      <w:bookmarkStart w:id="765" w:name="_Toc99782157"/>
      <w:bookmarkStart w:id="766" w:name="_Toc127006695"/>
      <w:bookmarkStart w:id="767" w:name="_Toc129351041"/>
      <w:r>
        <w:t xml:space="preserve">Table </w:t>
      </w:r>
      <w:r>
        <w:fldChar w:fldCharType="begin"/>
      </w:r>
      <w:r>
        <w:instrText>SEQ Table \* ARABIC</w:instrText>
      </w:r>
      <w:r>
        <w:fldChar w:fldCharType="separate"/>
      </w:r>
      <w:r w:rsidR="00145F42">
        <w:rPr>
          <w:noProof/>
        </w:rPr>
        <w:t>66</w:t>
      </w:r>
      <w:r>
        <w:fldChar w:fldCharType="end"/>
      </w:r>
      <w:bookmarkEnd w:id="764"/>
      <w:r>
        <w:t>: Summary of base case variables applied in the economic model</w:t>
      </w:r>
      <w:bookmarkEnd w:id="765"/>
      <w:bookmarkEnd w:id="766"/>
      <w:bookmarkEnd w:id="767"/>
    </w:p>
    <w:tbl>
      <w:tblPr>
        <w:tblStyle w:val="Generaltable"/>
        <w:tblW w:w="4905" w:type="pct"/>
        <w:tblLayout w:type="fixed"/>
        <w:tblLook w:val="04A0" w:firstRow="1" w:lastRow="0" w:firstColumn="1" w:lastColumn="0" w:noHBand="0" w:noVBand="1"/>
      </w:tblPr>
      <w:tblGrid>
        <w:gridCol w:w="3539"/>
        <w:gridCol w:w="1985"/>
        <w:gridCol w:w="1985"/>
        <w:gridCol w:w="1336"/>
      </w:tblGrid>
      <w:tr w:rsidR="00386DA4" w14:paraId="735C9CD5" w14:textId="77777777">
        <w:trPr>
          <w:cnfStyle w:val="100000000000" w:firstRow="1" w:lastRow="0" w:firstColumn="0" w:lastColumn="0" w:oddVBand="0" w:evenVBand="0" w:oddHBand="0" w:evenHBand="0" w:firstRowFirstColumn="0" w:firstRowLastColumn="0" w:lastRowFirstColumn="0" w:lastRowLastColumn="0"/>
          <w:tblHeader/>
        </w:trPr>
        <w:tc>
          <w:tcPr>
            <w:tcW w:w="2001" w:type="pct"/>
          </w:tcPr>
          <w:p w14:paraId="6B03943C" w14:textId="77777777" w:rsidR="00386DA4" w:rsidRDefault="00386DA4">
            <w:pPr>
              <w:pStyle w:val="Tableheading"/>
            </w:pPr>
            <w:r>
              <w:t>Variable</w:t>
            </w:r>
          </w:p>
        </w:tc>
        <w:tc>
          <w:tcPr>
            <w:tcW w:w="1122" w:type="pct"/>
          </w:tcPr>
          <w:p w14:paraId="035ABB1C" w14:textId="77777777" w:rsidR="00386DA4" w:rsidRDefault="00386DA4">
            <w:pPr>
              <w:pStyle w:val="Tableheading"/>
            </w:pPr>
            <w:r>
              <w:t>Value (reference to appropriate table or figure in submission)</w:t>
            </w:r>
          </w:p>
        </w:tc>
        <w:tc>
          <w:tcPr>
            <w:tcW w:w="1122" w:type="pct"/>
          </w:tcPr>
          <w:p w14:paraId="4AC8D7A5" w14:textId="77777777" w:rsidR="00386DA4" w:rsidRDefault="00386DA4">
            <w:pPr>
              <w:pStyle w:val="Tableheading"/>
            </w:pPr>
            <w:r>
              <w:t>Measurement of uncertainty and distribution: confidence interval (distribution)</w:t>
            </w:r>
          </w:p>
        </w:tc>
        <w:tc>
          <w:tcPr>
            <w:tcW w:w="755" w:type="pct"/>
          </w:tcPr>
          <w:p w14:paraId="1605B0CE" w14:textId="77777777" w:rsidR="00386DA4" w:rsidRDefault="00386DA4">
            <w:pPr>
              <w:pStyle w:val="Tableheading"/>
            </w:pPr>
            <w:r w:rsidRPr="008F5D6B">
              <w:t>Reference to section in submission</w:t>
            </w:r>
          </w:p>
        </w:tc>
      </w:tr>
      <w:tr w:rsidR="00386DA4" w14:paraId="7CBA5AFA" w14:textId="77777777">
        <w:tc>
          <w:tcPr>
            <w:tcW w:w="5000" w:type="pct"/>
            <w:gridSpan w:val="4"/>
          </w:tcPr>
          <w:p w14:paraId="42F99AF4" w14:textId="77777777" w:rsidR="00386DA4" w:rsidRPr="000941F3" w:rsidRDefault="00386DA4">
            <w:pPr>
              <w:pStyle w:val="Tablebody"/>
              <w:rPr>
                <w:b/>
                <w:bCs/>
                <w:i/>
                <w:iCs/>
              </w:rPr>
            </w:pPr>
            <w:r w:rsidRPr="000941F3">
              <w:rPr>
                <w:b/>
                <w:bCs/>
                <w:i/>
                <w:iCs/>
              </w:rPr>
              <w:t>Patient characteristics</w:t>
            </w:r>
          </w:p>
        </w:tc>
      </w:tr>
      <w:tr w:rsidR="00386DA4" w14:paraId="3BD6BBD9" w14:textId="77777777">
        <w:tc>
          <w:tcPr>
            <w:tcW w:w="2001" w:type="pct"/>
          </w:tcPr>
          <w:p w14:paraId="14412EF2" w14:textId="77777777" w:rsidR="00386DA4" w:rsidRDefault="00386DA4">
            <w:pPr>
              <w:pStyle w:val="Tablebody"/>
            </w:pPr>
            <w:r>
              <w:t>Age</w:t>
            </w:r>
          </w:p>
        </w:tc>
        <w:tc>
          <w:tcPr>
            <w:tcW w:w="1122" w:type="pct"/>
            <w:tcBorders>
              <w:right w:val="single" w:sz="4" w:space="0" w:color="auto"/>
            </w:tcBorders>
          </w:tcPr>
          <w:p w14:paraId="23B2B2C9" w14:textId="77777777" w:rsidR="00386DA4" w:rsidRDefault="00386DA4">
            <w:pPr>
              <w:pStyle w:val="Tablebody"/>
            </w:pPr>
            <w:r>
              <w:t>56.5 years</w:t>
            </w:r>
          </w:p>
        </w:tc>
        <w:tc>
          <w:tcPr>
            <w:tcW w:w="1122" w:type="pct"/>
            <w:vMerge w:val="restart"/>
            <w:tcBorders>
              <w:top w:val="single" w:sz="4" w:space="0" w:color="auto"/>
              <w:left w:val="single" w:sz="4" w:space="0" w:color="auto"/>
              <w:bottom w:val="single" w:sz="4" w:space="0" w:color="auto"/>
              <w:right w:val="single" w:sz="4" w:space="0" w:color="auto"/>
            </w:tcBorders>
          </w:tcPr>
          <w:p w14:paraId="19819DB1" w14:textId="77777777" w:rsidR="00386DA4" w:rsidRDefault="00386DA4">
            <w:pPr>
              <w:pStyle w:val="Tablebody"/>
            </w:pPr>
            <w:r>
              <w:t>Not varied</w:t>
            </w:r>
          </w:p>
          <w:p w14:paraId="1C8B4C85" w14:textId="77777777" w:rsidR="00386DA4" w:rsidRDefault="00386DA4">
            <w:pPr>
              <w:pStyle w:val="Tablebody"/>
            </w:pPr>
          </w:p>
          <w:p w14:paraId="27034D27" w14:textId="77777777" w:rsidR="00386DA4" w:rsidRDefault="00386DA4">
            <w:pPr>
              <w:pStyle w:val="Tablebody"/>
            </w:pPr>
          </w:p>
        </w:tc>
        <w:tc>
          <w:tcPr>
            <w:tcW w:w="755" w:type="pct"/>
            <w:vMerge w:val="restart"/>
            <w:tcBorders>
              <w:left w:val="single" w:sz="4" w:space="0" w:color="auto"/>
            </w:tcBorders>
          </w:tcPr>
          <w:p w14:paraId="44B3ABE8" w14:textId="4744777C" w:rsidR="00386DA4" w:rsidRDefault="00386DA4">
            <w:pPr>
              <w:pStyle w:val="Tablebody"/>
            </w:pPr>
            <w:r>
              <w:t>S</w:t>
            </w:r>
            <w:r w:rsidRPr="000B571A">
              <w:t xml:space="preserve">ection </w:t>
            </w:r>
            <w:r>
              <w:fldChar w:fldCharType="begin"/>
            </w:r>
            <w:r>
              <w:instrText xml:space="preserve"> REF _Ref126857025 \n \h </w:instrText>
            </w:r>
            <w:r>
              <w:fldChar w:fldCharType="separate"/>
            </w:r>
            <w:r w:rsidR="00145F42">
              <w:t>B.3.3.1</w:t>
            </w:r>
            <w:r>
              <w:fldChar w:fldCharType="end"/>
            </w:r>
            <w:r>
              <w:t xml:space="preserve"> </w:t>
            </w:r>
            <w:r>
              <w:fldChar w:fldCharType="begin"/>
            </w:r>
            <w:r>
              <w:instrText xml:space="preserve"> REF _Ref96104090 \h </w:instrText>
            </w:r>
            <w:r>
              <w:fldChar w:fldCharType="separate"/>
            </w:r>
            <w:r w:rsidR="00145F42">
              <w:t xml:space="preserve">Table </w:t>
            </w:r>
            <w:r w:rsidR="00145F42">
              <w:rPr>
                <w:noProof/>
              </w:rPr>
              <w:t>34</w:t>
            </w:r>
            <w:r>
              <w:fldChar w:fldCharType="end"/>
            </w:r>
          </w:p>
        </w:tc>
      </w:tr>
      <w:tr w:rsidR="00386DA4" w14:paraId="11535D4C" w14:textId="77777777">
        <w:tc>
          <w:tcPr>
            <w:tcW w:w="2001" w:type="pct"/>
          </w:tcPr>
          <w:p w14:paraId="37F14222" w14:textId="77777777" w:rsidR="00386DA4" w:rsidRDefault="00386DA4">
            <w:pPr>
              <w:pStyle w:val="Tablebody"/>
            </w:pPr>
            <w:r>
              <w:t>% female</w:t>
            </w:r>
          </w:p>
        </w:tc>
        <w:tc>
          <w:tcPr>
            <w:tcW w:w="1122" w:type="pct"/>
            <w:tcBorders>
              <w:right w:val="single" w:sz="4" w:space="0" w:color="auto"/>
            </w:tcBorders>
          </w:tcPr>
          <w:p w14:paraId="3D82E513" w14:textId="77777777" w:rsidR="00386DA4" w:rsidRDefault="00386DA4">
            <w:pPr>
              <w:pStyle w:val="Tablebody"/>
            </w:pPr>
            <w:r>
              <w:t>99.6%</w:t>
            </w:r>
          </w:p>
        </w:tc>
        <w:tc>
          <w:tcPr>
            <w:tcW w:w="1122" w:type="pct"/>
            <w:vMerge/>
            <w:tcBorders>
              <w:top w:val="single" w:sz="4" w:space="0" w:color="auto"/>
              <w:left w:val="single" w:sz="4" w:space="0" w:color="auto"/>
              <w:bottom w:val="single" w:sz="4" w:space="0" w:color="auto"/>
              <w:right w:val="single" w:sz="4" w:space="0" w:color="auto"/>
            </w:tcBorders>
          </w:tcPr>
          <w:p w14:paraId="619AD1C2" w14:textId="77777777" w:rsidR="00386DA4" w:rsidRDefault="00386DA4">
            <w:pPr>
              <w:pStyle w:val="Tablebody"/>
            </w:pPr>
          </w:p>
        </w:tc>
        <w:tc>
          <w:tcPr>
            <w:tcW w:w="755" w:type="pct"/>
            <w:vMerge/>
            <w:tcBorders>
              <w:left w:val="single" w:sz="4" w:space="0" w:color="auto"/>
            </w:tcBorders>
          </w:tcPr>
          <w:p w14:paraId="0B6DE0BD" w14:textId="77777777" w:rsidR="00386DA4" w:rsidRDefault="00386DA4">
            <w:pPr>
              <w:pStyle w:val="Tablebody"/>
            </w:pPr>
          </w:p>
        </w:tc>
      </w:tr>
      <w:tr w:rsidR="00386DA4" w14:paraId="163A6073" w14:textId="77777777">
        <w:tc>
          <w:tcPr>
            <w:tcW w:w="2001" w:type="pct"/>
          </w:tcPr>
          <w:p w14:paraId="462EEDA6" w14:textId="77777777" w:rsidR="00386DA4" w:rsidRDefault="00386DA4">
            <w:pPr>
              <w:pStyle w:val="Tablebody"/>
            </w:pPr>
            <w:r>
              <w:t>BSA (m</w:t>
            </w:r>
            <w:r w:rsidRPr="007B3CF2">
              <w:rPr>
                <w:vertAlign w:val="superscript"/>
              </w:rPr>
              <w:t>2</w:t>
            </w:r>
            <w:r>
              <w:t>)</w:t>
            </w:r>
          </w:p>
        </w:tc>
        <w:tc>
          <w:tcPr>
            <w:tcW w:w="1122" w:type="pct"/>
            <w:tcBorders>
              <w:right w:val="single" w:sz="4" w:space="0" w:color="auto"/>
            </w:tcBorders>
          </w:tcPr>
          <w:p w14:paraId="115FC642" w14:textId="77777777" w:rsidR="00386DA4" w:rsidRDefault="00386DA4">
            <w:pPr>
              <w:pStyle w:val="Tablebody"/>
            </w:pPr>
            <w:r>
              <w:t>1.67</w:t>
            </w:r>
          </w:p>
        </w:tc>
        <w:tc>
          <w:tcPr>
            <w:tcW w:w="1122" w:type="pct"/>
            <w:vMerge w:val="restart"/>
            <w:tcBorders>
              <w:top w:val="single" w:sz="4" w:space="0" w:color="auto"/>
              <w:left w:val="single" w:sz="4" w:space="0" w:color="auto"/>
              <w:bottom w:val="single" w:sz="4" w:space="0" w:color="auto"/>
              <w:right w:val="single" w:sz="4" w:space="0" w:color="auto"/>
            </w:tcBorders>
          </w:tcPr>
          <w:p w14:paraId="22459A5C" w14:textId="77777777" w:rsidR="00386DA4" w:rsidRDefault="00386DA4">
            <w:pPr>
              <w:pStyle w:val="Tablebody"/>
            </w:pPr>
            <w:r>
              <w:t>Normal</w:t>
            </w:r>
          </w:p>
        </w:tc>
        <w:tc>
          <w:tcPr>
            <w:tcW w:w="755" w:type="pct"/>
            <w:vMerge/>
            <w:tcBorders>
              <w:left w:val="single" w:sz="4" w:space="0" w:color="auto"/>
            </w:tcBorders>
          </w:tcPr>
          <w:p w14:paraId="633F80BB" w14:textId="77777777" w:rsidR="00386DA4" w:rsidRDefault="00386DA4">
            <w:pPr>
              <w:pStyle w:val="Tablebody"/>
            </w:pPr>
          </w:p>
        </w:tc>
      </w:tr>
      <w:tr w:rsidR="00386DA4" w14:paraId="39E86178" w14:textId="77777777">
        <w:tc>
          <w:tcPr>
            <w:tcW w:w="2001" w:type="pct"/>
          </w:tcPr>
          <w:p w14:paraId="5892DF70" w14:textId="77777777" w:rsidR="00386DA4" w:rsidRDefault="00386DA4">
            <w:pPr>
              <w:pStyle w:val="Tablebody"/>
            </w:pPr>
            <w:r>
              <w:t>Weight (kg)</w:t>
            </w:r>
          </w:p>
        </w:tc>
        <w:tc>
          <w:tcPr>
            <w:tcW w:w="1122" w:type="pct"/>
            <w:tcBorders>
              <w:right w:val="single" w:sz="4" w:space="0" w:color="auto"/>
            </w:tcBorders>
          </w:tcPr>
          <w:p w14:paraId="1592A65B" w14:textId="77777777" w:rsidR="00386DA4" w:rsidRDefault="00386DA4">
            <w:pPr>
              <w:pStyle w:val="Tablebody"/>
            </w:pPr>
            <w:r>
              <w:t>63.40</w:t>
            </w:r>
          </w:p>
        </w:tc>
        <w:tc>
          <w:tcPr>
            <w:tcW w:w="1122" w:type="pct"/>
            <w:vMerge/>
            <w:tcBorders>
              <w:top w:val="single" w:sz="4" w:space="0" w:color="auto"/>
              <w:left w:val="single" w:sz="4" w:space="0" w:color="auto"/>
              <w:bottom w:val="single" w:sz="4" w:space="0" w:color="auto"/>
              <w:right w:val="single" w:sz="4" w:space="0" w:color="auto"/>
            </w:tcBorders>
          </w:tcPr>
          <w:p w14:paraId="36049C4B" w14:textId="77777777" w:rsidR="00386DA4" w:rsidRDefault="00386DA4">
            <w:pPr>
              <w:pStyle w:val="Tablebody"/>
            </w:pPr>
          </w:p>
        </w:tc>
        <w:tc>
          <w:tcPr>
            <w:tcW w:w="755" w:type="pct"/>
            <w:vMerge/>
            <w:tcBorders>
              <w:left w:val="single" w:sz="4" w:space="0" w:color="auto"/>
            </w:tcBorders>
          </w:tcPr>
          <w:p w14:paraId="69ECBBAA" w14:textId="77777777" w:rsidR="00386DA4" w:rsidRDefault="00386DA4">
            <w:pPr>
              <w:pStyle w:val="Tablebody"/>
            </w:pPr>
          </w:p>
        </w:tc>
      </w:tr>
      <w:tr w:rsidR="00386DA4" w14:paraId="6CD536F4" w14:textId="77777777">
        <w:tc>
          <w:tcPr>
            <w:tcW w:w="5000" w:type="pct"/>
            <w:gridSpan w:val="4"/>
          </w:tcPr>
          <w:p w14:paraId="22F003F9" w14:textId="77777777" w:rsidR="00386DA4" w:rsidRPr="00B94FCD" w:rsidRDefault="00386DA4">
            <w:pPr>
              <w:pStyle w:val="Tablebody"/>
              <w:rPr>
                <w:b/>
                <w:bCs/>
                <w:i/>
                <w:iCs/>
              </w:rPr>
            </w:pPr>
            <w:r w:rsidRPr="00B94FCD">
              <w:rPr>
                <w:b/>
                <w:bCs/>
                <w:i/>
                <w:iCs/>
              </w:rPr>
              <w:t>Efficacy</w:t>
            </w:r>
          </w:p>
        </w:tc>
      </w:tr>
      <w:tr w:rsidR="00386DA4" w14:paraId="118D6723" w14:textId="77777777">
        <w:tc>
          <w:tcPr>
            <w:tcW w:w="2001" w:type="pct"/>
          </w:tcPr>
          <w:p w14:paraId="4AAA2421" w14:textId="77777777" w:rsidR="00386DA4" w:rsidRPr="00AB307A" w:rsidRDefault="00386DA4">
            <w:pPr>
              <w:pStyle w:val="Tablebody"/>
              <w:rPr>
                <w:lang w:val="fr-FR"/>
              </w:rPr>
            </w:pPr>
            <w:r w:rsidRPr="00AB307A">
              <w:rPr>
                <w:lang w:val="fr-FR"/>
              </w:rPr>
              <w:t>T-DXd/TPC curves - OS</w:t>
            </w:r>
          </w:p>
        </w:tc>
        <w:tc>
          <w:tcPr>
            <w:tcW w:w="1122" w:type="pct"/>
          </w:tcPr>
          <w:p w14:paraId="7C38D8A1" w14:textId="77777777" w:rsidR="00386DA4" w:rsidRPr="002250A9" w:rsidRDefault="00386DA4">
            <w:pPr>
              <w:pStyle w:val="Tablebody"/>
              <w:rPr>
                <w:lang w:val="da-DK"/>
              </w:rPr>
            </w:pPr>
            <w:r>
              <w:rPr>
                <w:lang w:val="da-DK"/>
              </w:rPr>
              <w:t>Log-logistic (indepdent)</w:t>
            </w:r>
          </w:p>
        </w:tc>
        <w:tc>
          <w:tcPr>
            <w:tcW w:w="1122" w:type="pct"/>
            <w:vMerge w:val="restart"/>
          </w:tcPr>
          <w:p w14:paraId="2BDBA61B" w14:textId="77777777" w:rsidR="00386DA4" w:rsidRPr="002250A9" w:rsidRDefault="00386DA4">
            <w:pPr>
              <w:pStyle w:val="Tablebody"/>
              <w:rPr>
                <w:lang w:val="da-DK"/>
              </w:rPr>
            </w:pPr>
            <w:r w:rsidRPr="002250A9">
              <w:rPr>
                <w:lang w:val="da-DK"/>
              </w:rPr>
              <w:t>Multinormal distribution</w:t>
            </w:r>
          </w:p>
        </w:tc>
        <w:tc>
          <w:tcPr>
            <w:tcW w:w="755" w:type="pct"/>
            <w:vMerge w:val="restart"/>
          </w:tcPr>
          <w:p w14:paraId="248018FA" w14:textId="6B282883" w:rsidR="00386DA4" w:rsidRDefault="00386DA4">
            <w:pPr>
              <w:pStyle w:val="Tablebody"/>
            </w:pPr>
            <w:r>
              <w:t xml:space="preserve">Section </w:t>
            </w:r>
            <w:r>
              <w:fldChar w:fldCharType="begin"/>
            </w:r>
            <w:r>
              <w:instrText xml:space="preserve"> REF _Ref126856964 \n \h </w:instrText>
            </w:r>
            <w:r>
              <w:fldChar w:fldCharType="separate"/>
            </w:r>
            <w:r w:rsidR="00145F42">
              <w:t>B.3.3.4</w:t>
            </w:r>
            <w:r>
              <w:fldChar w:fldCharType="end"/>
            </w:r>
          </w:p>
          <w:p w14:paraId="614AE704" w14:textId="39B8006B" w:rsidR="00386DA4" w:rsidRDefault="00386DA4">
            <w:pPr>
              <w:pStyle w:val="Tablebody"/>
            </w:pPr>
            <w:r>
              <w:fldChar w:fldCharType="begin"/>
            </w:r>
            <w:r>
              <w:instrText xml:space="preserve"> REF _Ref123730324 \h </w:instrText>
            </w:r>
            <w:r>
              <w:fldChar w:fldCharType="separate"/>
            </w:r>
            <w:r w:rsidR="00145F42">
              <w:t xml:space="preserve">Table </w:t>
            </w:r>
            <w:r w:rsidR="00145F42">
              <w:rPr>
                <w:noProof/>
              </w:rPr>
              <w:t>42</w:t>
            </w:r>
            <w:r>
              <w:fldChar w:fldCharType="end"/>
            </w:r>
          </w:p>
        </w:tc>
      </w:tr>
      <w:tr w:rsidR="00386DA4" w14:paraId="5DDE954A" w14:textId="77777777">
        <w:tc>
          <w:tcPr>
            <w:tcW w:w="2001" w:type="pct"/>
          </w:tcPr>
          <w:p w14:paraId="78BA65A8" w14:textId="77777777" w:rsidR="00386DA4" w:rsidRPr="00AB307A" w:rsidRDefault="00386DA4">
            <w:pPr>
              <w:pStyle w:val="Tablebody"/>
              <w:rPr>
                <w:lang w:val="fr-FR"/>
              </w:rPr>
            </w:pPr>
            <w:r w:rsidRPr="00AB307A">
              <w:rPr>
                <w:lang w:val="fr-FR"/>
              </w:rPr>
              <w:t>T-DXd/TPC curves - PFS</w:t>
            </w:r>
          </w:p>
        </w:tc>
        <w:tc>
          <w:tcPr>
            <w:tcW w:w="1122" w:type="pct"/>
          </w:tcPr>
          <w:p w14:paraId="21DAC3DC" w14:textId="77777777" w:rsidR="00386DA4" w:rsidRDefault="00386DA4">
            <w:pPr>
              <w:pStyle w:val="Tablebody"/>
            </w:pPr>
            <w:r>
              <w:rPr>
                <w:lang w:val="da-DK"/>
              </w:rPr>
              <w:t>Log-logistic (indepdent)</w:t>
            </w:r>
          </w:p>
        </w:tc>
        <w:tc>
          <w:tcPr>
            <w:tcW w:w="1122" w:type="pct"/>
            <w:vMerge/>
          </w:tcPr>
          <w:p w14:paraId="6098A311" w14:textId="77777777" w:rsidR="00386DA4" w:rsidRDefault="00386DA4">
            <w:pPr>
              <w:pStyle w:val="Tablebody"/>
            </w:pPr>
          </w:p>
        </w:tc>
        <w:tc>
          <w:tcPr>
            <w:tcW w:w="755" w:type="pct"/>
            <w:vMerge/>
          </w:tcPr>
          <w:p w14:paraId="5AB49C57" w14:textId="77777777" w:rsidR="00386DA4" w:rsidRDefault="00386DA4">
            <w:pPr>
              <w:pStyle w:val="Tablebody"/>
            </w:pPr>
          </w:p>
        </w:tc>
      </w:tr>
      <w:tr w:rsidR="00386DA4" w14:paraId="3662DC3F" w14:textId="77777777">
        <w:tc>
          <w:tcPr>
            <w:tcW w:w="2001" w:type="pct"/>
          </w:tcPr>
          <w:p w14:paraId="3F121000" w14:textId="77777777" w:rsidR="00386DA4" w:rsidRPr="00AB307A" w:rsidRDefault="00386DA4">
            <w:pPr>
              <w:pStyle w:val="Tablebody"/>
              <w:rPr>
                <w:lang w:val="fr-FR"/>
              </w:rPr>
            </w:pPr>
            <w:r w:rsidRPr="00AB307A">
              <w:rPr>
                <w:lang w:val="fr-FR"/>
              </w:rPr>
              <w:t>T-DXd/TPC curves - TTD</w:t>
            </w:r>
          </w:p>
        </w:tc>
        <w:tc>
          <w:tcPr>
            <w:tcW w:w="1122" w:type="pct"/>
          </w:tcPr>
          <w:p w14:paraId="32FC9ADB" w14:textId="21593CA3" w:rsidR="00386DA4" w:rsidRDefault="00D72C04">
            <w:pPr>
              <w:pStyle w:val="Tablebody"/>
            </w:pPr>
            <w:r>
              <w:t>G</w:t>
            </w:r>
            <w:r w:rsidR="00386DA4">
              <w:t>eneralised gamma</w:t>
            </w:r>
            <w:r>
              <w:t xml:space="preserve"> (independent)</w:t>
            </w:r>
          </w:p>
        </w:tc>
        <w:tc>
          <w:tcPr>
            <w:tcW w:w="1122" w:type="pct"/>
            <w:vMerge/>
          </w:tcPr>
          <w:p w14:paraId="1FCD88A5" w14:textId="77777777" w:rsidR="00386DA4" w:rsidRDefault="00386DA4">
            <w:pPr>
              <w:pStyle w:val="Tablebody"/>
            </w:pPr>
          </w:p>
        </w:tc>
        <w:tc>
          <w:tcPr>
            <w:tcW w:w="755" w:type="pct"/>
            <w:vMerge/>
          </w:tcPr>
          <w:p w14:paraId="2AFFE78D" w14:textId="77777777" w:rsidR="00386DA4" w:rsidRDefault="00386DA4">
            <w:pPr>
              <w:pStyle w:val="Tablebody"/>
            </w:pPr>
          </w:p>
        </w:tc>
      </w:tr>
      <w:tr w:rsidR="00386DA4" w14:paraId="153CCFC3" w14:textId="77777777">
        <w:tc>
          <w:tcPr>
            <w:tcW w:w="5000" w:type="pct"/>
            <w:gridSpan w:val="4"/>
          </w:tcPr>
          <w:p w14:paraId="09A8366E" w14:textId="77777777" w:rsidR="00386DA4" w:rsidRPr="00986764" w:rsidRDefault="00386DA4">
            <w:pPr>
              <w:pStyle w:val="Tablebody"/>
              <w:rPr>
                <w:b/>
                <w:bCs/>
                <w:i/>
                <w:iCs/>
              </w:rPr>
            </w:pPr>
            <w:r w:rsidRPr="00986764">
              <w:rPr>
                <w:b/>
                <w:bCs/>
                <w:i/>
                <w:iCs/>
              </w:rPr>
              <w:t>Utilities</w:t>
            </w:r>
          </w:p>
        </w:tc>
      </w:tr>
      <w:tr w:rsidR="00386DA4" w14:paraId="05CE4B99" w14:textId="77777777">
        <w:trPr>
          <w:trHeight w:val="507"/>
        </w:trPr>
        <w:tc>
          <w:tcPr>
            <w:tcW w:w="2001" w:type="pct"/>
          </w:tcPr>
          <w:p w14:paraId="58FB2F59" w14:textId="77777777" w:rsidR="00386DA4" w:rsidRPr="00FB22AA" w:rsidRDefault="00386DA4">
            <w:pPr>
              <w:pStyle w:val="Tablebody"/>
              <w:rPr>
                <w:lang w:val="fr-FR"/>
              </w:rPr>
            </w:pPr>
            <w:r w:rsidRPr="00FB22AA">
              <w:rPr>
                <w:lang w:val="fr-FR"/>
              </w:rPr>
              <w:t>DB0</w:t>
            </w:r>
            <w:r>
              <w:rPr>
                <w:lang w:val="fr-FR"/>
              </w:rPr>
              <w:t>4</w:t>
            </w:r>
            <w:r w:rsidRPr="00FB22AA">
              <w:rPr>
                <w:lang w:val="fr-FR"/>
              </w:rPr>
              <w:t xml:space="preserve"> T-DXd PF utility</w:t>
            </w:r>
          </w:p>
        </w:tc>
        <w:tc>
          <w:tcPr>
            <w:tcW w:w="1122" w:type="pct"/>
          </w:tcPr>
          <w:p w14:paraId="37545C6C" w14:textId="7695B9B7" w:rsidR="00386DA4" w:rsidRPr="00294FDC" w:rsidRDefault="00294FDC">
            <w:pPr>
              <w:pStyle w:val="Tablebody"/>
              <w:rPr>
                <w:color w:val="000000"/>
                <w:highlight w:val="black"/>
              </w:rPr>
            </w:pPr>
            <w:r w:rsidRPr="00294FDC">
              <w:rPr>
                <w:color w:val="000000"/>
                <w:highlight w:val="black"/>
              </w:rPr>
              <w:t>xxxxx</w:t>
            </w:r>
          </w:p>
        </w:tc>
        <w:tc>
          <w:tcPr>
            <w:tcW w:w="1122" w:type="pct"/>
          </w:tcPr>
          <w:p w14:paraId="3A6A7513" w14:textId="25468538" w:rsidR="00386DA4" w:rsidRPr="00477CE5" w:rsidRDefault="00386DA4">
            <w:pPr>
              <w:pStyle w:val="Tablebody"/>
              <w:rPr>
                <w:highlight w:val="magenta"/>
              </w:rPr>
            </w:pPr>
            <w:r w:rsidRPr="00094388">
              <w:t xml:space="preserve">SE: </w:t>
            </w:r>
            <w:r w:rsidR="00294FDC" w:rsidRPr="00294FDC">
              <w:rPr>
                <w:color w:val="000000"/>
                <w:highlight w:val="black"/>
              </w:rPr>
              <w:t>xxxxxx</w:t>
            </w:r>
            <w:r w:rsidRPr="00094388">
              <w:t xml:space="preserve"> (Beta)</w:t>
            </w:r>
          </w:p>
          <w:p w14:paraId="211A2B94" w14:textId="77777777" w:rsidR="00386DA4" w:rsidRPr="00477CE5" w:rsidRDefault="00386DA4">
            <w:pPr>
              <w:pStyle w:val="Tablebody"/>
              <w:rPr>
                <w:highlight w:val="magenta"/>
              </w:rPr>
            </w:pPr>
          </w:p>
        </w:tc>
        <w:tc>
          <w:tcPr>
            <w:tcW w:w="755" w:type="pct"/>
            <w:vMerge w:val="restart"/>
          </w:tcPr>
          <w:p w14:paraId="04067FCC" w14:textId="65180668" w:rsidR="00386DA4" w:rsidRDefault="00386DA4">
            <w:pPr>
              <w:pStyle w:val="Tablebody"/>
            </w:pPr>
            <w:r>
              <w:t xml:space="preserve">Section </w:t>
            </w:r>
            <w:r>
              <w:fldChar w:fldCharType="begin"/>
            </w:r>
            <w:r>
              <w:instrText xml:space="preserve"> REF _Ref126856925 \n \h </w:instrText>
            </w:r>
            <w:r>
              <w:fldChar w:fldCharType="separate"/>
            </w:r>
            <w:r w:rsidR="00145F42">
              <w:t>B.3.4.5</w:t>
            </w:r>
            <w:r>
              <w:fldChar w:fldCharType="end"/>
            </w:r>
          </w:p>
          <w:p w14:paraId="08615CFA" w14:textId="7FD9B05C" w:rsidR="00386DA4" w:rsidRDefault="00386DA4">
            <w:pPr>
              <w:pStyle w:val="Tablebody"/>
            </w:pPr>
            <w:r>
              <w:fldChar w:fldCharType="begin"/>
            </w:r>
            <w:r>
              <w:instrText xml:space="preserve"> REF _Ref96105253 \h </w:instrText>
            </w:r>
            <w:r>
              <w:fldChar w:fldCharType="separate"/>
            </w:r>
            <w:r w:rsidR="00145F42" w:rsidRPr="00BE4620">
              <w:t xml:space="preserve">Table </w:t>
            </w:r>
            <w:r w:rsidR="00145F42">
              <w:rPr>
                <w:noProof/>
              </w:rPr>
              <w:t>51</w:t>
            </w:r>
            <w:r>
              <w:fldChar w:fldCharType="end"/>
            </w:r>
          </w:p>
          <w:p w14:paraId="1A388836" w14:textId="77777777" w:rsidR="00386DA4" w:rsidRDefault="00386DA4">
            <w:pPr>
              <w:pStyle w:val="Tablebody"/>
            </w:pPr>
          </w:p>
        </w:tc>
      </w:tr>
      <w:tr w:rsidR="00386DA4" w14:paraId="77B658C7" w14:textId="77777777">
        <w:tc>
          <w:tcPr>
            <w:tcW w:w="2001" w:type="pct"/>
          </w:tcPr>
          <w:p w14:paraId="5636E71A" w14:textId="77777777" w:rsidR="00386DA4" w:rsidRDefault="00386DA4">
            <w:pPr>
              <w:pStyle w:val="Tablebody"/>
            </w:pPr>
            <w:r>
              <w:t>DB04 TPC PF utility</w:t>
            </w:r>
          </w:p>
        </w:tc>
        <w:tc>
          <w:tcPr>
            <w:tcW w:w="1122" w:type="pct"/>
          </w:tcPr>
          <w:p w14:paraId="134CA4F8" w14:textId="26360AC7" w:rsidR="00386DA4" w:rsidRPr="00294FDC" w:rsidRDefault="00294FDC">
            <w:pPr>
              <w:pStyle w:val="Tablebody"/>
              <w:rPr>
                <w:color w:val="000000"/>
                <w:highlight w:val="black"/>
              </w:rPr>
            </w:pPr>
            <w:r w:rsidRPr="00294FDC">
              <w:rPr>
                <w:color w:val="000000"/>
                <w:highlight w:val="black"/>
              </w:rPr>
              <w:t>xxxxx</w:t>
            </w:r>
          </w:p>
        </w:tc>
        <w:tc>
          <w:tcPr>
            <w:tcW w:w="1122" w:type="pct"/>
          </w:tcPr>
          <w:p w14:paraId="7E616D5F" w14:textId="27B14524" w:rsidR="00386DA4" w:rsidRPr="00477CE5" w:rsidRDefault="00386DA4">
            <w:pPr>
              <w:pStyle w:val="Tablebody"/>
              <w:rPr>
                <w:highlight w:val="magenta"/>
              </w:rPr>
            </w:pPr>
            <w:r w:rsidRPr="00094388">
              <w:t xml:space="preserve">SE: </w:t>
            </w:r>
            <w:r w:rsidR="00294FDC" w:rsidRPr="00294FDC">
              <w:rPr>
                <w:color w:val="000000"/>
                <w:highlight w:val="black"/>
              </w:rPr>
              <w:t>xxxxxx</w:t>
            </w:r>
            <w:r w:rsidRPr="002D5E35">
              <w:t xml:space="preserve"> </w:t>
            </w:r>
            <w:r w:rsidRPr="00094388">
              <w:t>(Beta)</w:t>
            </w:r>
          </w:p>
        </w:tc>
        <w:tc>
          <w:tcPr>
            <w:tcW w:w="755" w:type="pct"/>
            <w:vMerge/>
          </w:tcPr>
          <w:p w14:paraId="7AADC6F3" w14:textId="77777777" w:rsidR="00386DA4" w:rsidRDefault="00386DA4">
            <w:pPr>
              <w:pStyle w:val="Tablebody"/>
            </w:pPr>
          </w:p>
        </w:tc>
      </w:tr>
      <w:tr w:rsidR="00386DA4" w14:paraId="24466613" w14:textId="77777777">
        <w:tc>
          <w:tcPr>
            <w:tcW w:w="2001" w:type="pct"/>
          </w:tcPr>
          <w:p w14:paraId="2978B7EA" w14:textId="77777777" w:rsidR="00386DA4" w:rsidRPr="00AB307A" w:rsidRDefault="00386DA4">
            <w:pPr>
              <w:pStyle w:val="NICETabletext"/>
              <w:keepNext w:val="0"/>
              <w:rPr>
                <w:lang w:val="fr-FR"/>
              </w:rPr>
            </w:pPr>
            <w:r>
              <w:rPr>
                <w:lang w:val="fr-FR"/>
              </w:rPr>
              <w:t>Lloyd et al. 2006</w:t>
            </w:r>
            <w:r w:rsidRPr="00FB22AA">
              <w:rPr>
                <w:lang w:val="fr-FR"/>
              </w:rPr>
              <w:t xml:space="preserve"> T-DXd P</w:t>
            </w:r>
            <w:r>
              <w:rPr>
                <w:lang w:val="fr-FR"/>
              </w:rPr>
              <w:t>D</w:t>
            </w:r>
            <w:r w:rsidRPr="00FB22AA">
              <w:rPr>
                <w:lang w:val="fr-FR"/>
              </w:rPr>
              <w:t xml:space="preserve"> utility</w:t>
            </w:r>
          </w:p>
        </w:tc>
        <w:tc>
          <w:tcPr>
            <w:tcW w:w="1122" w:type="pct"/>
          </w:tcPr>
          <w:p w14:paraId="17345BF6" w14:textId="77777777" w:rsidR="00386DA4" w:rsidRPr="007B3CF2" w:rsidRDefault="00386DA4">
            <w:pPr>
              <w:pStyle w:val="NICETabletext"/>
              <w:keepNext w:val="0"/>
            </w:pPr>
            <w:r>
              <w:t>0.610</w:t>
            </w:r>
          </w:p>
        </w:tc>
        <w:tc>
          <w:tcPr>
            <w:tcW w:w="1122" w:type="pct"/>
            <w:vMerge w:val="restart"/>
          </w:tcPr>
          <w:p w14:paraId="4EB89893" w14:textId="77777777" w:rsidR="00386DA4" w:rsidRPr="007B3CF2" w:rsidRDefault="00386DA4">
            <w:pPr>
              <w:pStyle w:val="Tablebody"/>
            </w:pPr>
            <w:r>
              <w:t>Variation: 0.025 (</w:t>
            </w:r>
            <w:r w:rsidRPr="00AB542F">
              <w:t>Beta</w:t>
            </w:r>
            <w:r>
              <w:t>)</w:t>
            </w:r>
          </w:p>
        </w:tc>
        <w:tc>
          <w:tcPr>
            <w:tcW w:w="755" w:type="pct"/>
            <w:vMerge/>
          </w:tcPr>
          <w:p w14:paraId="1AC21FB0" w14:textId="77777777" w:rsidR="00386DA4" w:rsidRDefault="00386DA4">
            <w:pPr>
              <w:pStyle w:val="Tablebody"/>
            </w:pPr>
          </w:p>
        </w:tc>
      </w:tr>
      <w:tr w:rsidR="00386DA4" w:rsidRPr="00C647A3" w14:paraId="5B786C95" w14:textId="77777777">
        <w:tc>
          <w:tcPr>
            <w:tcW w:w="2001" w:type="pct"/>
          </w:tcPr>
          <w:p w14:paraId="3BC6B727" w14:textId="77777777" w:rsidR="00386DA4" w:rsidRPr="000F2783" w:rsidRDefault="00386DA4">
            <w:pPr>
              <w:pStyle w:val="NICETabletext"/>
              <w:keepNext w:val="0"/>
              <w:rPr>
                <w:lang w:val="da-DK"/>
              </w:rPr>
            </w:pPr>
            <w:r w:rsidRPr="007B3CF2">
              <w:rPr>
                <w:lang w:val="da-DK"/>
              </w:rPr>
              <w:t>Lloyd et al. 2006 TPC PD utility</w:t>
            </w:r>
          </w:p>
        </w:tc>
        <w:tc>
          <w:tcPr>
            <w:tcW w:w="1122" w:type="pct"/>
          </w:tcPr>
          <w:p w14:paraId="516D1B40" w14:textId="77777777" w:rsidR="00386DA4" w:rsidRPr="002250A9" w:rsidRDefault="00386DA4">
            <w:pPr>
              <w:pStyle w:val="NICETabletext"/>
              <w:keepNext w:val="0"/>
              <w:rPr>
                <w:lang w:val="da-DK"/>
              </w:rPr>
            </w:pPr>
            <w:r>
              <w:rPr>
                <w:lang w:val="da-DK"/>
              </w:rPr>
              <w:t>0.565</w:t>
            </w:r>
          </w:p>
        </w:tc>
        <w:tc>
          <w:tcPr>
            <w:tcW w:w="1122" w:type="pct"/>
            <w:vMerge/>
          </w:tcPr>
          <w:p w14:paraId="61BB360C" w14:textId="77777777" w:rsidR="00386DA4" w:rsidRPr="002250A9" w:rsidRDefault="00386DA4">
            <w:pPr>
              <w:pStyle w:val="Tablebody"/>
              <w:rPr>
                <w:lang w:val="da-DK"/>
              </w:rPr>
            </w:pPr>
          </w:p>
        </w:tc>
        <w:tc>
          <w:tcPr>
            <w:tcW w:w="755" w:type="pct"/>
            <w:vMerge/>
          </w:tcPr>
          <w:p w14:paraId="6615555B" w14:textId="77777777" w:rsidR="00386DA4" w:rsidRPr="002250A9" w:rsidRDefault="00386DA4">
            <w:pPr>
              <w:pStyle w:val="Tablebody"/>
              <w:rPr>
                <w:lang w:val="da-DK"/>
              </w:rPr>
            </w:pPr>
          </w:p>
        </w:tc>
      </w:tr>
      <w:tr w:rsidR="00386DA4" w14:paraId="7F2C2707" w14:textId="77777777">
        <w:tc>
          <w:tcPr>
            <w:tcW w:w="5000" w:type="pct"/>
            <w:gridSpan w:val="4"/>
          </w:tcPr>
          <w:p w14:paraId="35EA78E1" w14:textId="77777777" w:rsidR="00386DA4" w:rsidRPr="00AD2FB1" w:rsidRDefault="00386DA4">
            <w:pPr>
              <w:pStyle w:val="Tablebody"/>
              <w:keepNext/>
              <w:rPr>
                <w:b/>
                <w:bCs/>
                <w:i/>
                <w:iCs/>
              </w:rPr>
            </w:pPr>
            <w:r w:rsidRPr="00AD2FB1">
              <w:rPr>
                <w:b/>
                <w:bCs/>
                <w:i/>
                <w:iCs/>
              </w:rPr>
              <w:t>Drug costs</w:t>
            </w:r>
          </w:p>
        </w:tc>
      </w:tr>
      <w:tr w:rsidR="005070F2" w14:paraId="40CA4034" w14:textId="77777777" w:rsidTr="005070F2">
        <w:trPr>
          <w:trHeight w:val="673"/>
        </w:trPr>
        <w:tc>
          <w:tcPr>
            <w:tcW w:w="2001" w:type="pct"/>
          </w:tcPr>
          <w:p w14:paraId="5BE228D5" w14:textId="77777777" w:rsidR="005070F2" w:rsidRDefault="005070F2">
            <w:pPr>
              <w:pStyle w:val="NICETabletext"/>
              <w:keepNext w:val="0"/>
            </w:pPr>
            <w:r>
              <w:t>T-DXd - 100 mg (with PAS)</w:t>
            </w:r>
          </w:p>
        </w:tc>
        <w:tc>
          <w:tcPr>
            <w:tcW w:w="1122" w:type="pct"/>
          </w:tcPr>
          <w:p w14:paraId="0E4565CC" w14:textId="71DA7CC1" w:rsidR="005070F2" w:rsidRPr="00924DD8" w:rsidRDefault="005070F2">
            <w:pPr>
              <w:pStyle w:val="NICETabletext"/>
              <w:keepNext w:val="0"/>
              <w:rPr>
                <w:u w:val="single"/>
              </w:rPr>
            </w:pPr>
            <w:r w:rsidDel="00461700">
              <w:t>£1,455.00</w:t>
            </w:r>
            <w:r w:rsidRPr="00AB307A">
              <w:t xml:space="preserve"> </w:t>
            </w:r>
            <w:r w:rsidR="00F77ABC" w:rsidRPr="00F77ABC">
              <w:rPr>
                <w:color w:val="000000"/>
                <w:highlight w:val="black"/>
              </w:rPr>
              <w:t>xxxxxxxxx</w:t>
            </w:r>
          </w:p>
        </w:tc>
        <w:tc>
          <w:tcPr>
            <w:tcW w:w="1122" w:type="pct"/>
            <w:vMerge w:val="restart"/>
          </w:tcPr>
          <w:p w14:paraId="175F0499" w14:textId="77777777" w:rsidR="005070F2" w:rsidRDefault="005070F2">
            <w:pPr>
              <w:pStyle w:val="Tablebody"/>
            </w:pPr>
            <w:r>
              <w:t>Not varied</w:t>
            </w:r>
            <w:r w:rsidDel="00461700">
              <w:t xml:space="preserve"> </w:t>
            </w:r>
          </w:p>
        </w:tc>
        <w:tc>
          <w:tcPr>
            <w:tcW w:w="755" w:type="pct"/>
            <w:vMerge w:val="restart"/>
          </w:tcPr>
          <w:p w14:paraId="334031FB" w14:textId="6BFC12C2" w:rsidR="005070F2" w:rsidRDefault="005070F2">
            <w:pPr>
              <w:pStyle w:val="Tablebody"/>
            </w:pPr>
            <w:r>
              <w:t xml:space="preserve">Section </w:t>
            </w:r>
            <w:r>
              <w:fldChar w:fldCharType="begin"/>
            </w:r>
            <w:r>
              <w:instrText xml:space="preserve"> REF _Ref99729317 \r \h  \* MERGEFORMAT </w:instrText>
            </w:r>
            <w:r>
              <w:fldChar w:fldCharType="separate"/>
            </w:r>
            <w:r>
              <w:t>B.3.5.1.1</w:t>
            </w:r>
            <w:r>
              <w:fldChar w:fldCharType="end"/>
            </w:r>
            <w:r>
              <w:t xml:space="preserve"> </w:t>
            </w:r>
            <w:r>
              <w:fldChar w:fldCharType="begin"/>
            </w:r>
            <w:r>
              <w:instrText xml:space="preserve"> REF _Ref96105268 \h </w:instrText>
            </w:r>
            <w:r>
              <w:fldChar w:fldCharType="separate"/>
            </w:r>
            <w:r w:rsidRPr="00BE4620">
              <w:t xml:space="preserve">Table </w:t>
            </w:r>
            <w:r>
              <w:rPr>
                <w:noProof/>
              </w:rPr>
              <w:t>52</w:t>
            </w:r>
            <w:r>
              <w:fldChar w:fldCharType="end"/>
            </w:r>
          </w:p>
        </w:tc>
      </w:tr>
      <w:tr w:rsidR="005070F2" w14:paraId="3848E234" w14:textId="77777777">
        <w:tc>
          <w:tcPr>
            <w:tcW w:w="2001" w:type="pct"/>
          </w:tcPr>
          <w:p w14:paraId="2A0DD273" w14:textId="77777777" w:rsidR="005070F2" w:rsidRDefault="005070F2">
            <w:pPr>
              <w:pStyle w:val="NICETabletext"/>
              <w:keepNext w:val="0"/>
            </w:pPr>
            <w:r>
              <w:t>Capecitabine - 150 mg</w:t>
            </w:r>
          </w:p>
        </w:tc>
        <w:tc>
          <w:tcPr>
            <w:tcW w:w="1122" w:type="pct"/>
          </w:tcPr>
          <w:p w14:paraId="6F4F4B29" w14:textId="77777777" w:rsidR="005070F2" w:rsidRDefault="005070F2">
            <w:pPr>
              <w:pStyle w:val="NICETabletext"/>
              <w:keepNext w:val="0"/>
            </w:pPr>
            <w:r>
              <w:t>£6.49</w:t>
            </w:r>
          </w:p>
        </w:tc>
        <w:tc>
          <w:tcPr>
            <w:tcW w:w="1122" w:type="pct"/>
            <w:vMerge/>
          </w:tcPr>
          <w:p w14:paraId="50034560" w14:textId="77777777" w:rsidR="005070F2" w:rsidRDefault="005070F2">
            <w:pPr>
              <w:pStyle w:val="Tablebody"/>
            </w:pPr>
          </w:p>
        </w:tc>
        <w:tc>
          <w:tcPr>
            <w:tcW w:w="755" w:type="pct"/>
            <w:vMerge/>
          </w:tcPr>
          <w:p w14:paraId="288959DB" w14:textId="77777777" w:rsidR="005070F2" w:rsidRDefault="005070F2">
            <w:pPr>
              <w:pStyle w:val="Tablebody"/>
            </w:pPr>
          </w:p>
        </w:tc>
      </w:tr>
      <w:tr w:rsidR="005070F2" w14:paraId="4794E823" w14:textId="77777777">
        <w:tc>
          <w:tcPr>
            <w:tcW w:w="2001" w:type="pct"/>
          </w:tcPr>
          <w:p w14:paraId="5F1AAED8" w14:textId="77777777" w:rsidR="005070F2" w:rsidRDefault="005070F2">
            <w:pPr>
              <w:pStyle w:val="NICETabletext"/>
              <w:keepNext w:val="0"/>
            </w:pPr>
            <w:r>
              <w:t>Capecitabine - 300 mg</w:t>
            </w:r>
          </w:p>
        </w:tc>
        <w:tc>
          <w:tcPr>
            <w:tcW w:w="1122" w:type="pct"/>
          </w:tcPr>
          <w:p w14:paraId="1DB27906" w14:textId="77777777" w:rsidR="005070F2" w:rsidRDefault="005070F2">
            <w:pPr>
              <w:pStyle w:val="NICETabletext"/>
              <w:keepNext w:val="0"/>
            </w:pPr>
            <w:r>
              <w:t>£31.17</w:t>
            </w:r>
          </w:p>
        </w:tc>
        <w:tc>
          <w:tcPr>
            <w:tcW w:w="1122" w:type="pct"/>
            <w:vMerge/>
          </w:tcPr>
          <w:p w14:paraId="62D9ABE0" w14:textId="77777777" w:rsidR="005070F2" w:rsidRDefault="005070F2">
            <w:pPr>
              <w:pStyle w:val="Tablebody"/>
            </w:pPr>
          </w:p>
        </w:tc>
        <w:tc>
          <w:tcPr>
            <w:tcW w:w="755" w:type="pct"/>
            <w:vMerge/>
          </w:tcPr>
          <w:p w14:paraId="53A3A244" w14:textId="77777777" w:rsidR="005070F2" w:rsidRDefault="005070F2">
            <w:pPr>
              <w:pStyle w:val="Tablebody"/>
            </w:pPr>
          </w:p>
        </w:tc>
      </w:tr>
      <w:tr w:rsidR="005070F2" w14:paraId="2EB02933" w14:textId="77777777">
        <w:tc>
          <w:tcPr>
            <w:tcW w:w="2001" w:type="pct"/>
          </w:tcPr>
          <w:p w14:paraId="369A73F6" w14:textId="77777777" w:rsidR="005070F2" w:rsidRDefault="005070F2">
            <w:pPr>
              <w:pStyle w:val="NICETabletext"/>
              <w:keepNext w:val="0"/>
            </w:pPr>
            <w:r>
              <w:t>Capecitabine - 500 mg</w:t>
            </w:r>
          </w:p>
        </w:tc>
        <w:tc>
          <w:tcPr>
            <w:tcW w:w="1122" w:type="pct"/>
          </w:tcPr>
          <w:p w14:paraId="5E5F77C3" w14:textId="77777777" w:rsidR="005070F2" w:rsidRDefault="005070F2">
            <w:pPr>
              <w:pStyle w:val="NICETabletext"/>
              <w:keepNext w:val="0"/>
            </w:pPr>
            <w:r>
              <w:t>£39.23</w:t>
            </w:r>
          </w:p>
        </w:tc>
        <w:tc>
          <w:tcPr>
            <w:tcW w:w="1122" w:type="pct"/>
            <w:vMerge/>
          </w:tcPr>
          <w:p w14:paraId="0F82540D" w14:textId="77777777" w:rsidR="005070F2" w:rsidRDefault="005070F2">
            <w:pPr>
              <w:pStyle w:val="Tablebody"/>
            </w:pPr>
          </w:p>
        </w:tc>
        <w:tc>
          <w:tcPr>
            <w:tcW w:w="755" w:type="pct"/>
            <w:vMerge/>
          </w:tcPr>
          <w:p w14:paraId="15DF32E5" w14:textId="77777777" w:rsidR="005070F2" w:rsidRDefault="005070F2">
            <w:pPr>
              <w:pStyle w:val="Tablebody"/>
            </w:pPr>
          </w:p>
        </w:tc>
      </w:tr>
      <w:tr w:rsidR="005070F2" w14:paraId="76CDA94A" w14:textId="77777777">
        <w:tc>
          <w:tcPr>
            <w:tcW w:w="2001" w:type="pct"/>
          </w:tcPr>
          <w:p w14:paraId="3729513C" w14:textId="77777777" w:rsidR="005070F2" w:rsidRDefault="005070F2">
            <w:pPr>
              <w:pStyle w:val="NICETabletext"/>
              <w:keepNext w:val="0"/>
            </w:pPr>
            <w:r>
              <w:t>Eribulin - 0.88 mg</w:t>
            </w:r>
          </w:p>
        </w:tc>
        <w:tc>
          <w:tcPr>
            <w:tcW w:w="1122" w:type="pct"/>
          </w:tcPr>
          <w:p w14:paraId="471E3E1E" w14:textId="77777777" w:rsidR="005070F2" w:rsidRDefault="005070F2">
            <w:pPr>
              <w:pStyle w:val="NICETabletext"/>
              <w:keepNext w:val="0"/>
            </w:pPr>
            <w:r>
              <w:t>£361.00</w:t>
            </w:r>
          </w:p>
        </w:tc>
        <w:tc>
          <w:tcPr>
            <w:tcW w:w="1122" w:type="pct"/>
            <w:vMerge/>
          </w:tcPr>
          <w:p w14:paraId="6E41DE23" w14:textId="77777777" w:rsidR="005070F2" w:rsidRDefault="005070F2">
            <w:pPr>
              <w:pStyle w:val="Tablebody"/>
            </w:pPr>
          </w:p>
        </w:tc>
        <w:tc>
          <w:tcPr>
            <w:tcW w:w="755" w:type="pct"/>
            <w:vMerge/>
          </w:tcPr>
          <w:p w14:paraId="6FF3CB5D" w14:textId="77777777" w:rsidR="005070F2" w:rsidRDefault="005070F2">
            <w:pPr>
              <w:pStyle w:val="Tablebody"/>
            </w:pPr>
          </w:p>
        </w:tc>
      </w:tr>
      <w:tr w:rsidR="005070F2" w14:paraId="1ED00BE9" w14:textId="77777777">
        <w:tc>
          <w:tcPr>
            <w:tcW w:w="2001" w:type="pct"/>
          </w:tcPr>
          <w:p w14:paraId="4AE47B7C" w14:textId="77777777" w:rsidR="005070F2" w:rsidRDefault="005070F2">
            <w:pPr>
              <w:pStyle w:val="NICETabletext"/>
              <w:keepNext w:val="0"/>
            </w:pPr>
            <w:r>
              <w:t>Gemcitabine - 1000 mg</w:t>
            </w:r>
          </w:p>
        </w:tc>
        <w:tc>
          <w:tcPr>
            <w:tcW w:w="1122" w:type="pct"/>
          </w:tcPr>
          <w:p w14:paraId="3A622AC6" w14:textId="77777777" w:rsidR="005070F2" w:rsidRDefault="005070F2">
            <w:pPr>
              <w:pStyle w:val="NICETabletext"/>
              <w:keepNext w:val="0"/>
            </w:pPr>
            <w:r>
              <w:t>£32.99</w:t>
            </w:r>
          </w:p>
        </w:tc>
        <w:tc>
          <w:tcPr>
            <w:tcW w:w="1122" w:type="pct"/>
            <w:vMerge/>
          </w:tcPr>
          <w:p w14:paraId="630FC8E4" w14:textId="77777777" w:rsidR="005070F2" w:rsidRDefault="005070F2">
            <w:pPr>
              <w:pStyle w:val="Tablebody"/>
            </w:pPr>
          </w:p>
        </w:tc>
        <w:tc>
          <w:tcPr>
            <w:tcW w:w="755" w:type="pct"/>
            <w:vMerge/>
          </w:tcPr>
          <w:p w14:paraId="6F9AC04C" w14:textId="77777777" w:rsidR="005070F2" w:rsidRDefault="005070F2">
            <w:pPr>
              <w:pStyle w:val="Tablebody"/>
            </w:pPr>
          </w:p>
        </w:tc>
      </w:tr>
      <w:tr w:rsidR="005070F2" w14:paraId="2E4C7D6A" w14:textId="77777777">
        <w:tc>
          <w:tcPr>
            <w:tcW w:w="2001" w:type="pct"/>
          </w:tcPr>
          <w:p w14:paraId="2E65BD7E" w14:textId="77777777" w:rsidR="005070F2" w:rsidRDefault="005070F2">
            <w:pPr>
              <w:pStyle w:val="NICETabletext"/>
              <w:keepNext w:val="0"/>
            </w:pPr>
            <w:r>
              <w:t>Gemcitabine - 1600 mg</w:t>
            </w:r>
          </w:p>
        </w:tc>
        <w:tc>
          <w:tcPr>
            <w:tcW w:w="1122" w:type="pct"/>
          </w:tcPr>
          <w:p w14:paraId="10234811" w14:textId="77777777" w:rsidR="005070F2" w:rsidRDefault="005070F2">
            <w:pPr>
              <w:pStyle w:val="NICETabletext"/>
              <w:keepNext w:val="0"/>
            </w:pPr>
            <w:r>
              <w:t>£35.99</w:t>
            </w:r>
          </w:p>
        </w:tc>
        <w:tc>
          <w:tcPr>
            <w:tcW w:w="1122" w:type="pct"/>
            <w:vMerge/>
          </w:tcPr>
          <w:p w14:paraId="34907DFB" w14:textId="77777777" w:rsidR="005070F2" w:rsidRDefault="005070F2">
            <w:pPr>
              <w:pStyle w:val="Tablebody"/>
            </w:pPr>
          </w:p>
        </w:tc>
        <w:tc>
          <w:tcPr>
            <w:tcW w:w="755" w:type="pct"/>
            <w:vMerge/>
          </w:tcPr>
          <w:p w14:paraId="263DDCCD" w14:textId="77777777" w:rsidR="005070F2" w:rsidRDefault="005070F2">
            <w:pPr>
              <w:pStyle w:val="Tablebody"/>
            </w:pPr>
          </w:p>
        </w:tc>
      </w:tr>
      <w:tr w:rsidR="005070F2" w14:paraId="2C848231" w14:textId="77777777">
        <w:tc>
          <w:tcPr>
            <w:tcW w:w="2001" w:type="pct"/>
          </w:tcPr>
          <w:p w14:paraId="47741649" w14:textId="77777777" w:rsidR="005070F2" w:rsidRDefault="005070F2">
            <w:pPr>
              <w:pStyle w:val="NICETabletext"/>
              <w:keepNext w:val="0"/>
            </w:pPr>
            <w:r>
              <w:t>Gemcitabine - 1800 mg</w:t>
            </w:r>
          </w:p>
        </w:tc>
        <w:tc>
          <w:tcPr>
            <w:tcW w:w="1122" w:type="pct"/>
          </w:tcPr>
          <w:p w14:paraId="4B87D2FF" w14:textId="77777777" w:rsidR="005070F2" w:rsidDel="00461700" w:rsidRDefault="005070F2">
            <w:pPr>
              <w:pStyle w:val="NICETabletext"/>
              <w:keepNext w:val="0"/>
            </w:pPr>
            <w:r>
              <w:t>£38.99</w:t>
            </w:r>
          </w:p>
        </w:tc>
        <w:tc>
          <w:tcPr>
            <w:tcW w:w="1122" w:type="pct"/>
            <w:vMerge/>
          </w:tcPr>
          <w:p w14:paraId="34B670BB" w14:textId="77777777" w:rsidR="005070F2" w:rsidDel="00461700" w:rsidRDefault="005070F2">
            <w:pPr>
              <w:pStyle w:val="Tablebody"/>
            </w:pPr>
          </w:p>
        </w:tc>
        <w:tc>
          <w:tcPr>
            <w:tcW w:w="755" w:type="pct"/>
            <w:vMerge/>
          </w:tcPr>
          <w:p w14:paraId="560F8595" w14:textId="77777777" w:rsidR="005070F2" w:rsidRDefault="005070F2">
            <w:pPr>
              <w:pStyle w:val="Tablebody"/>
            </w:pPr>
          </w:p>
        </w:tc>
      </w:tr>
      <w:tr w:rsidR="005070F2" w14:paraId="4F00DD93" w14:textId="77777777">
        <w:tc>
          <w:tcPr>
            <w:tcW w:w="2001" w:type="pct"/>
          </w:tcPr>
          <w:p w14:paraId="72835C34" w14:textId="77777777" w:rsidR="005070F2" w:rsidRDefault="005070F2">
            <w:pPr>
              <w:pStyle w:val="NICETabletext"/>
              <w:keepNext w:val="0"/>
            </w:pPr>
            <w:r>
              <w:t>Gemcitabine - 2000 mg</w:t>
            </w:r>
          </w:p>
        </w:tc>
        <w:tc>
          <w:tcPr>
            <w:tcW w:w="1122" w:type="pct"/>
          </w:tcPr>
          <w:p w14:paraId="34751EE4" w14:textId="77777777" w:rsidR="005070F2" w:rsidDel="00461700" w:rsidRDefault="005070F2">
            <w:pPr>
              <w:pStyle w:val="NICETabletext"/>
              <w:keepNext w:val="0"/>
            </w:pPr>
            <w:r>
              <w:t>£42.73</w:t>
            </w:r>
          </w:p>
        </w:tc>
        <w:tc>
          <w:tcPr>
            <w:tcW w:w="1122" w:type="pct"/>
            <w:vMerge/>
          </w:tcPr>
          <w:p w14:paraId="0C2EEF2B" w14:textId="77777777" w:rsidR="005070F2" w:rsidDel="00461700" w:rsidRDefault="005070F2">
            <w:pPr>
              <w:pStyle w:val="Tablebody"/>
            </w:pPr>
          </w:p>
        </w:tc>
        <w:tc>
          <w:tcPr>
            <w:tcW w:w="755" w:type="pct"/>
            <w:vMerge/>
          </w:tcPr>
          <w:p w14:paraId="7F99EC08" w14:textId="77777777" w:rsidR="005070F2" w:rsidRDefault="005070F2">
            <w:pPr>
              <w:pStyle w:val="Tablebody"/>
            </w:pPr>
          </w:p>
        </w:tc>
      </w:tr>
      <w:tr w:rsidR="005070F2" w14:paraId="2B019131" w14:textId="77777777">
        <w:tc>
          <w:tcPr>
            <w:tcW w:w="2001" w:type="pct"/>
          </w:tcPr>
          <w:p w14:paraId="6F41352E" w14:textId="77777777" w:rsidR="005070F2" w:rsidRDefault="005070F2">
            <w:pPr>
              <w:pStyle w:val="NICETabletext"/>
              <w:keepNext w:val="0"/>
            </w:pPr>
            <w:r>
              <w:t>Gemcitabine - 2200 mg</w:t>
            </w:r>
          </w:p>
        </w:tc>
        <w:tc>
          <w:tcPr>
            <w:tcW w:w="1122" w:type="pct"/>
          </w:tcPr>
          <w:p w14:paraId="33A20B51" w14:textId="77777777" w:rsidR="005070F2" w:rsidDel="00461700" w:rsidRDefault="005070F2">
            <w:pPr>
              <w:pStyle w:val="NICETabletext"/>
              <w:keepNext w:val="0"/>
            </w:pPr>
            <w:r>
              <w:t>£49.50</w:t>
            </w:r>
          </w:p>
        </w:tc>
        <w:tc>
          <w:tcPr>
            <w:tcW w:w="1122" w:type="pct"/>
            <w:vMerge/>
          </w:tcPr>
          <w:p w14:paraId="6A98E197" w14:textId="77777777" w:rsidR="005070F2" w:rsidDel="00461700" w:rsidRDefault="005070F2">
            <w:pPr>
              <w:pStyle w:val="Tablebody"/>
            </w:pPr>
          </w:p>
        </w:tc>
        <w:tc>
          <w:tcPr>
            <w:tcW w:w="755" w:type="pct"/>
            <w:vMerge/>
          </w:tcPr>
          <w:p w14:paraId="06133C6B" w14:textId="77777777" w:rsidR="005070F2" w:rsidRDefault="005070F2">
            <w:pPr>
              <w:pStyle w:val="Tablebody"/>
            </w:pPr>
          </w:p>
        </w:tc>
      </w:tr>
      <w:tr w:rsidR="005070F2" w14:paraId="60CFCC66" w14:textId="77777777">
        <w:tc>
          <w:tcPr>
            <w:tcW w:w="2001" w:type="pct"/>
          </w:tcPr>
          <w:p w14:paraId="762BC0BE" w14:textId="77777777" w:rsidR="005070F2" w:rsidRDefault="005070F2">
            <w:pPr>
              <w:pStyle w:val="NICETabletext"/>
              <w:keepNext w:val="0"/>
            </w:pPr>
            <w:r>
              <w:t>Paclitaxel - 100 mg</w:t>
            </w:r>
          </w:p>
        </w:tc>
        <w:tc>
          <w:tcPr>
            <w:tcW w:w="1122" w:type="pct"/>
          </w:tcPr>
          <w:p w14:paraId="078E1EDB" w14:textId="77777777" w:rsidR="005070F2" w:rsidRDefault="005070F2">
            <w:pPr>
              <w:pStyle w:val="NICETabletext"/>
              <w:keepNext w:val="0"/>
            </w:pPr>
            <w:r>
              <w:t>£12.47</w:t>
            </w:r>
          </w:p>
        </w:tc>
        <w:tc>
          <w:tcPr>
            <w:tcW w:w="1122" w:type="pct"/>
            <w:vMerge/>
          </w:tcPr>
          <w:p w14:paraId="72426556" w14:textId="77777777" w:rsidR="005070F2" w:rsidRDefault="005070F2">
            <w:pPr>
              <w:pStyle w:val="Tablebody"/>
            </w:pPr>
          </w:p>
        </w:tc>
        <w:tc>
          <w:tcPr>
            <w:tcW w:w="755" w:type="pct"/>
            <w:vMerge/>
          </w:tcPr>
          <w:p w14:paraId="783693C4" w14:textId="77777777" w:rsidR="005070F2" w:rsidRDefault="005070F2">
            <w:pPr>
              <w:pStyle w:val="Tablebody"/>
            </w:pPr>
          </w:p>
        </w:tc>
      </w:tr>
      <w:tr w:rsidR="005070F2" w14:paraId="7CB0C32B" w14:textId="77777777">
        <w:tc>
          <w:tcPr>
            <w:tcW w:w="2001" w:type="pct"/>
          </w:tcPr>
          <w:p w14:paraId="1EE14B2F" w14:textId="77777777" w:rsidR="005070F2" w:rsidRDefault="005070F2">
            <w:pPr>
              <w:pStyle w:val="NICETabletext"/>
              <w:keepNext w:val="0"/>
            </w:pPr>
            <w:r>
              <w:lastRenderedPageBreak/>
              <w:t>Paclitaxel - 150 mg</w:t>
            </w:r>
          </w:p>
        </w:tc>
        <w:tc>
          <w:tcPr>
            <w:tcW w:w="1122" w:type="pct"/>
          </w:tcPr>
          <w:p w14:paraId="440E13A7" w14:textId="77777777" w:rsidR="005070F2" w:rsidRDefault="005070F2">
            <w:pPr>
              <w:pStyle w:val="NICETabletext"/>
              <w:keepNext w:val="0"/>
            </w:pPr>
            <w:r>
              <w:t>£14.23</w:t>
            </w:r>
          </w:p>
        </w:tc>
        <w:tc>
          <w:tcPr>
            <w:tcW w:w="1122" w:type="pct"/>
            <w:vMerge/>
          </w:tcPr>
          <w:p w14:paraId="6B14D5BE" w14:textId="77777777" w:rsidR="005070F2" w:rsidRDefault="005070F2">
            <w:pPr>
              <w:pStyle w:val="Tablebody"/>
            </w:pPr>
          </w:p>
        </w:tc>
        <w:tc>
          <w:tcPr>
            <w:tcW w:w="755" w:type="pct"/>
            <w:vMerge/>
          </w:tcPr>
          <w:p w14:paraId="1958BF54" w14:textId="77777777" w:rsidR="005070F2" w:rsidRDefault="005070F2">
            <w:pPr>
              <w:pStyle w:val="Tablebody"/>
            </w:pPr>
          </w:p>
        </w:tc>
      </w:tr>
      <w:tr w:rsidR="005070F2" w14:paraId="5B70A0DD" w14:textId="77777777">
        <w:tc>
          <w:tcPr>
            <w:tcW w:w="2001" w:type="pct"/>
          </w:tcPr>
          <w:p w14:paraId="243C37AB" w14:textId="77777777" w:rsidR="005070F2" w:rsidRDefault="005070F2">
            <w:pPr>
              <w:pStyle w:val="NICETabletext"/>
              <w:keepNext w:val="0"/>
            </w:pPr>
            <w:r>
              <w:t>Paclitaxel - 300 mg</w:t>
            </w:r>
          </w:p>
        </w:tc>
        <w:tc>
          <w:tcPr>
            <w:tcW w:w="1122" w:type="pct"/>
          </w:tcPr>
          <w:p w14:paraId="35305617" w14:textId="77777777" w:rsidR="005070F2" w:rsidRDefault="005070F2">
            <w:pPr>
              <w:pStyle w:val="NICETabletext"/>
              <w:keepNext w:val="0"/>
            </w:pPr>
            <w:r>
              <w:t>£39.81</w:t>
            </w:r>
          </w:p>
        </w:tc>
        <w:tc>
          <w:tcPr>
            <w:tcW w:w="1122" w:type="pct"/>
            <w:vMerge/>
          </w:tcPr>
          <w:p w14:paraId="1A638853" w14:textId="77777777" w:rsidR="005070F2" w:rsidRDefault="005070F2">
            <w:pPr>
              <w:pStyle w:val="Tablebody"/>
            </w:pPr>
          </w:p>
        </w:tc>
        <w:tc>
          <w:tcPr>
            <w:tcW w:w="755" w:type="pct"/>
            <w:vMerge/>
          </w:tcPr>
          <w:p w14:paraId="77719511" w14:textId="77777777" w:rsidR="005070F2" w:rsidRDefault="005070F2">
            <w:pPr>
              <w:pStyle w:val="Tablebody"/>
            </w:pPr>
          </w:p>
        </w:tc>
      </w:tr>
      <w:tr w:rsidR="005070F2" w14:paraId="02380E6F" w14:textId="77777777">
        <w:tc>
          <w:tcPr>
            <w:tcW w:w="2001" w:type="pct"/>
          </w:tcPr>
          <w:p w14:paraId="0AD82983" w14:textId="77777777" w:rsidR="005070F2" w:rsidRDefault="005070F2">
            <w:pPr>
              <w:pStyle w:val="NICETabletext"/>
              <w:keepNext w:val="0"/>
            </w:pPr>
            <w:r>
              <w:t xml:space="preserve">Nab-paclitaxel - 100 </w:t>
            </w:r>
            <w:r w:rsidDel="000B0E93">
              <w:t>mg</w:t>
            </w:r>
          </w:p>
        </w:tc>
        <w:tc>
          <w:tcPr>
            <w:tcW w:w="1122" w:type="pct"/>
          </w:tcPr>
          <w:p w14:paraId="21BD374C" w14:textId="77777777" w:rsidR="005070F2" w:rsidRDefault="005070F2">
            <w:pPr>
              <w:pStyle w:val="NICETabletext"/>
              <w:keepNext w:val="0"/>
            </w:pPr>
            <w:r>
              <w:t>£118.36</w:t>
            </w:r>
          </w:p>
        </w:tc>
        <w:tc>
          <w:tcPr>
            <w:tcW w:w="1122" w:type="pct"/>
            <w:vMerge/>
          </w:tcPr>
          <w:p w14:paraId="72FF14A1" w14:textId="77777777" w:rsidR="005070F2" w:rsidRDefault="005070F2">
            <w:pPr>
              <w:pStyle w:val="Tablebody"/>
            </w:pPr>
          </w:p>
        </w:tc>
        <w:tc>
          <w:tcPr>
            <w:tcW w:w="755" w:type="pct"/>
            <w:vMerge/>
          </w:tcPr>
          <w:p w14:paraId="3EC76344" w14:textId="77777777" w:rsidR="005070F2" w:rsidRDefault="005070F2">
            <w:pPr>
              <w:pStyle w:val="Tablebody"/>
            </w:pPr>
          </w:p>
        </w:tc>
      </w:tr>
      <w:tr w:rsidR="00386DA4" w14:paraId="3AEF87BC" w14:textId="77777777">
        <w:tc>
          <w:tcPr>
            <w:tcW w:w="2001" w:type="pct"/>
          </w:tcPr>
          <w:p w14:paraId="3B8E6CED" w14:textId="77777777" w:rsidR="00386DA4" w:rsidRDefault="00386DA4">
            <w:pPr>
              <w:pStyle w:val="Tablebody"/>
            </w:pPr>
            <w:r>
              <w:t>T-DXd - RDI</w:t>
            </w:r>
          </w:p>
        </w:tc>
        <w:tc>
          <w:tcPr>
            <w:tcW w:w="1122" w:type="pct"/>
          </w:tcPr>
          <w:p w14:paraId="61F58735" w14:textId="659BCDF7" w:rsidR="00386DA4" w:rsidRPr="00F77ABC" w:rsidRDefault="00F77ABC">
            <w:pPr>
              <w:pStyle w:val="NICETabletext"/>
              <w:rPr>
                <w:color w:val="000000"/>
                <w:highlight w:val="black"/>
              </w:rPr>
            </w:pPr>
            <w:r w:rsidRPr="00F77ABC">
              <w:rPr>
                <w:color w:val="000000"/>
                <w:highlight w:val="black"/>
              </w:rPr>
              <w:t>xxxxx</w:t>
            </w:r>
          </w:p>
        </w:tc>
        <w:tc>
          <w:tcPr>
            <w:tcW w:w="1122" w:type="pct"/>
            <w:vMerge w:val="restart"/>
          </w:tcPr>
          <w:p w14:paraId="2350D532" w14:textId="77777777" w:rsidR="00386DA4" w:rsidRPr="006E3D3C" w:rsidRDefault="00386DA4">
            <w:pPr>
              <w:pStyle w:val="NICETabletext"/>
            </w:pPr>
            <w:r>
              <w:t>Variation: 0.025 (</w:t>
            </w:r>
            <w:r w:rsidRPr="00AB542F">
              <w:t>Beta</w:t>
            </w:r>
            <w:r>
              <w:t>)</w:t>
            </w:r>
          </w:p>
          <w:p w14:paraId="6F0FA9F1" w14:textId="77777777" w:rsidR="00386DA4" w:rsidRPr="00924DD8" w:rsidRDefault="00386DA4">
            <w:pPr>
              <w:pStyle w:val="NICETabletext"/>
              <w:rPr>
                <w:highlight w:val="cyan"/>
                <w:u w:val="single"/>
              </w:rPr>
            </w:pPr>
          </w:p>
        </w:tc>
        <w:tc>
          <w:tcPr>
            <w:tcW w:w="755" w:type="pct"/>
            <w:vMerge w:val="restart"/>
          </w:tcPr>
          <w:p w14:paraId="46F76708" w14:textId="7BF63BB4" w:rsidR="00386DA4" w:rsidRDefault="00386DA4">
            <w:pPr>
              <w:pStyle w:val="Tablebody"/>
            </w:pPr>
            <w:r>
              <w:t xml:space="preserve">Section </w:t>
            </w:r>
            <w:r>
              <w:fldChar w:fldCharType="begin"/>
            </w:r>
            <w:r>
              <w:instrText xml:space="preserve"> REF _Ref99729317 \r \h  \* MERGEFORMAT </w:instrText>
            </w:r>
            <w:r>
              <w:fldChar w:fldCharType="separate"/>
            </w:r>
            <w:r w:rsidR="00145F42">
              <w:t>B.3.5.1.1</w:t>
            </w:r>
            <w:r>
              <w:fldChar w:fldCharType="end"/>
            </w:r>
            <w:r>
              <w:t xml:space="preserve"> </w:t>
            </w:r>
            <w:r>
              <w:fldChar w:fldCharType="begin"/>
            </w:r>
            <w:r>
              <w:instrText xml:space="preserve"> REF _Ref96105285 \h </w:instrText>
            </w:r>
            <w:r>
              <w:fldChar w:fldCharType="separate"/>
            </w:r>
            <w:r w:rsidR="00145F42">
              <w:t xml:space="preserve">Table </w:t>
            </w:r>
            <w:r w:rsidR="00145F42">
              <w:rPr>
                <w:noProof/>
              </w:rPr>
              <w:t>54</w:t>
            </w:r>
            <w:r>
              <w:fldChar w:fldCharType="end"/>
            </w:r>
          </w:p>
          <w:p w14:paraId="1C3867B7" w14:textId="77777777" w:rsidR="00386DA4" w:rsidRDefault="00386DA4">
            <w:pPr>
              <w:pStyle w:val="Tablebody"/>
            </w:pPr>
          </w:p>
        </w:tc>
      </w:tr>
      <w:tr w:rsidR="00386DA4" w14:paraId="558448D8" w14:textId="77777777">
        <w:tc>
          <w:tcPr>
            <w:tcW w:w="2001" w:type="pct"/>
          </w:tcPr>
          <w:p w14:paraId="1237103D" w14:textId="77777777" w:rsidR="00386DA4" w:rsidRDefault="00386DA4">
            <w:pPr>
              <w:pStyle w:val="Tablebody"/>
            </w:pPr>
            <w:r>
              <w:t>Capecitabine - RDI</w:t>
            </w:r>
          </w:p>
        </w:tc>
        <w:tc>
          <w:tcPr>
            <w:tcW w:w="1122" w:type="pct"/>
          </w:tcPr>
          <w:p w14:paraId="6576BEF0" w14:textId="26C5EDAA" w:rsidR="00386DA4" w:rsidRPr="00F77ABC" w:rsidRDefault="00F77ABC">
            <w:pPr>
              <w:pStyle w:val="NICETabletext"/>
              <w:rPr>
                <w:color w:val="000000"/>
                <w:highlight w:val="black"/>
              </w:rPr>
            </w:pPr>
            <w:r w:rsidRPr="00F77ABC">
              <w:rPr>
                <w:color w:val="000000"/>
                <w:highlight w:val="black"/>
              </w:rPr>
              <w:t>xxxxx</w:t>
            </w:r>
          </w:p>
        </w:tc>
        <w:tc>
          <w:tcPr>
            <w:tcW w:w="1122" w:type="pct"/>
            <w:vMerge/>
          </w:tcPr>
          <w:p w14:paraId="1787E1AB" w14:textId="77777777" w:rsidR="00386DA4" w:rsidRPr="00924DD8" w:rsidRDefault="00386DA4">
            <w:pPr>
              <w:pStyle w:val="NICETabletext"/>
              <w:rPr>
                <w:highlight w:val="cyan"/>
                <w:u w:val="single"/>
              </w:rPr>
            </w:pPr>
          </w:p>
        </w:tc>
        <w:tc>
          <w:tcPr>
            <w:tcW w:w="755" w:type="pct"/>
            <w:vMerge/>
          </w:tcPr>
          <w:p w14:paraId="52E926DA" w14:textId="77777777" w:rsidR="00386DA4" w:rsidRDefault="00386DA4">
            <w:pPr>
              <w:pStyle w:val="Tablebody"/>
            </w:pPr>
          </w:p>
        </w:tc>
      </w:tr>
      <w:tr w:rsidR="00386DA4" w14:paraId="78A1E522" w14:textId="77777777">
        <w:tc>
          <w:tcPr>
            <w:tcW w:w="2001" w:type="pct"/>
          </w:tcPr>
          <w:p w14:paraId="4EEB6387" w14:textId="77777777" w:rsidR="00386DA4" w:rsidRDefault="00386DA4">
            <w:pPr>
              <w:pStyle w:val="Tablebody"/>
            </w:pPr>
            <w:r>
              <w:t>Eribulin - RDI</w:t>
            </w:r>
          </w:p>
        </w:tc>
        <w:tc>
          <w:tcPr>
            <w:tcW w:w="1122" w:type="pct"/>
          </w:tcPr>
          <w:p w14:paraId="375622D0" w14:textId="608CE43B" w:rsidR="00386DA4" w:rsidRPr="00F77ABC" w:rsidDel="00461700" w:rsidRDefault="00F77ABC">
            <w:pPr>
              <w:pStyle w:val="NICETabletext"/>
              <w:rPr>
                <w:color w:val="000000"/>
                <w:highlight w:val="black"/>
              </w:rPr>
            </w:pPr>
            <w:r w:rsidRPr="00F77ABC">
              <w:rPr>
                <w:color w:val="000000"/>
                <w:highlight w:val="black"/>
              </w:rPr>
              <w:t>xxxxx</w:t>
            </w:r>
          </w:p>
        </w:tc>
        <w:tc>
          <w:tcPr>
            <w:tcW w:w="1122" w:type="pct"/>
            <w:vMerge/>
          </w:tcPr>
          <w:p w14:paraId="7E824732" w14:textId="77777777" w:rsidR="00386DA4" w:rsidRPr="00924DD8" w:rsidDel="00461700" w:rsidRDefault="00386DA4">
            <w:pPr>
              <w:pStyle w:val="NICETabletext"/>
              <w:rPr>
                <w:highlight w:val="cyan"/>
                <w:u w:val="single"/>
              </w:rPr>
            </w:pPr>
          </w:p>
        </w:tc>
        <w:tc>
          <w:tcPr>
            <w:tcW w:w="755" w:type="pct"/>
            <w:vMerge/>
          </w:tcPr>
          <w:p w14:paraId="66F24DDC" w14:textId="77777777" w:rsidR="00386DA4" w:rsidRDefault="00386DA4">
            <w:pPr>
              <w:pStyle w:val="Tablebody"/>
            </w:pPr>
          </w:p>
        </w:tc>
      </w:tr>
      <w:tr w:rsidR="00386DA4" w14:paraId="3110E8E6" w14:textId="77777777">
        <w:tc>
          <w:tcPr>
            <w:tcW w:w="2001" w:type="pct"/>
          </w:tcPr>
          <w:p w14:paraId="75E03EFC" w14:textId="77777777" w:rsidR="00386DA4" w:rsidRDefault="00386DA4">
            <w:pPr>
              <w:pStyle w:val="Tablebody"/>
            </w:pPr>
            <w:r>
              <w:t>Gemcitabine - RDI</w:t>
            </w:r>
          </w:p>
        </w:tc>
        <w:tc>
          <w:tcPr>
            <w:tcW w:w="1122" w:type="pct"/>
          </w:tcPr>
          <w:p w14:paraId="36DD50A5" w14:textId="7C8125D0" w:rsidR="00386DA4" w:rsidRPr="00F77ABC" w:rsidDel="00461700" w:rsidRDefault="00F77ABC">
            <w:pPr>
              <w:pStyle w:val="NICETabletext"/>
              <w:rPr>
                <w:color w:val="000000"/>
                <w:highlight w:val="black"/>
              </w:rPr>
            </w:pPr>
            <w:r w:rsidRPr="00F77ABC">
              <w:rPr>
                <w:color w:val="000000"/>
                <w:highlight w:val="black"/>
              </w:rPr>
              <w:t>xxxxxx</w:t>
            </w:r>
          </w:p>
        </w:tc>
        <w:tc>
          <w:tcPr>
            <w:tcW w:w="1122" w:type="pct"/>
            <w:vMerge/>
          </w:tcPr>
          <w:p w14:paraId="636B9099" w14:textId="77777777" w:rsidR="00386DA4" w:rsidRPr="00924DD8" w:rsidDel="00461700" w:rsidRDefault="00386DA4">
            <w:pPr>
              <w:pStyle w:val="NICETabletext"/>
              <w:rPr>
                <w:highlight w:val="cyan"/>
                <w:u w:val="single"/>
              </w:rPr>
            </w:pPr>
          </w:p>
        </w:tc>
        <w:tc>
          <w:tcPr>
            <w:tcW w:w="755" w:type="pct"/>
            <w:vMerge/>
          </w:tcPr>
          <w:p w14:paraId="30972270" w14:textId="77777777" w:rsidR="00386DA4" w:rsidRDefault="00386DA4">
            <w:pPr>
              <w:pStyle w:val="Tablebody"/>
            </w:pPr>
          </w:p>
        </w:tc>
      </w:tr>
      <w:tr w:rsidR="00386DA4" w14:paraId="03E8D264" w14:textId="77777777">
        <w:tc>
          <w:tcPr>
            <w:tcW w:w="2001" w:type="pct"/>
          </w:tcPr>
          <w:p w14:paraId="70C37A98" w14:textId="77777777" w:rsidR="00386DA4" w:rsidRDefault="00386DA4">
            <w:pPr>
              <w:pStyle w:val="Tablebody"/>
            </w:pPr>
            <w:r>
              <w:t>Paclitaxel - RDI</w:t>
            </w:r>
          </w:p>
        </w:tc>
        <w:tc>
          <w:tcPr>
            <w:tcW w:w="1122" w:type="pct"/>
          </w:tcPr>
          <w:p w14:paraId="16431E85" w14:textId="39F3638B" w:rsidR="00386DA4" w:rsidRPr="00F77ABC" w:rsidDel="00461700" w:rsidRDefault="00F77ABC">
            <w:pPr>
              <w:pStyle w:val="NICETabletext"/>
              <w:rPr>
                <w:color w:val="000000"/>
                <w:highlight w:val="black"/>
              </w:rPr>
            </w:pPr>
            <w:r w:rsidRPr="00F77ABC">
              <w:rPr>
                <w:color w:val="000000"/>
                <w:highlight w:val="black"/>
              </w:rPr>
              <w:t>xxxxxx</w:t>
            </w:r>
          </w:p>
        </w:tc>
        <w:tc>
          <w:tcPr>
            <w:tcW w:w="1122" w:type="pct"/>
            <w:vMerge/>
          </w:tcPr>
          <w:p w14:paraId="27F68D30" w14:textId="77777777" w:rsidR="00386DA4" w:rsidRPr="00924DD8" w:rsidDel="00461700" w:rsidRDefault="00386DA4">
            <w:pPr>
              <w:pStyle w:val="NICETabletext"/>
              <w:rPr>
                <w:highlight w:val="cyan"/>
                <w:u w:val="single"/>
              </w:rPr>
            </w:pPr>
          </w:p>
        </w:tc>
        <w:tc>
          <w:tcPr>
            <w:tcW w:w="755" w:type="pct"/>
            <w:vMerge/>
          </w:tcPr>
          <w:p w14:paraId="38933F1B" w14:textId="77777777" w:rsidR="00386DA4" w:rsidRDefault="00386DA4">
            <w:pPr>
              <w:pStyle w:val="Tablebody"/>
            </w:pPr>
          </w:p>
        </w:tc>
      </w:tr>
      <w:tr w:rsidR="00386DA4" w14:paraId="39F99886" w14:textId="77777777">
        <w:tc>
          <w:tcPr>
            <w:tcW w:w="2001" w:type="pct"/>
          </w:tcPr>
          <w:p w14:paraId="15DC092B" w14:textId="77777777" w:rsidR="00386DA4" w:rsidRDefault="00386DA4">
            <w:pPr>
              <w:pStyle w:val="Tablebody"/>
            </w:pPr>
            <w:r>
              <w:t>Nab-paclitaxel – RDI</w:t>
            </w:r>
          </w:p>
        </w:tc>
        <w:tc>
          <w:tcPr>
            <w:tcW w:w="1122" w:type="pct"/>
          </w:tcPr>
          <w:p w14:paraId="35586AFF" w14:textId="03F7CA45" w:rsidR="00386DA4" w:rsidRPr="00F77ABC" w:rsidDel="00461700" w:rsidRDefault="00F77ABC">
            <w:pPr>
              <w:pStyle w:val="NICETabletext"/>
              <w:rPr>
                <w:color w:val="000000"/>
                <w:highlight w:val="black"/>
              </w:rPr>
            </w:pPr>
            <w:r w:rsidRPr="00F77ABC">
              <w:rPr>
                <w:color w:val="000000"/>
                <w:highlight w:val="black"/>
              </w:rPr>
              <w:t>xxxxxx</w:t>
            </w:r>
          </w:p>
        </w:tc>
        <w:tc>
          <w:tcPr>
            <w:tcW w:w="1122" w:type="pct"/>
            <w:vMerge/>
          </w:tcPr>
          <w:p w14:paraId="1C0D9134" w14:textId="77777777" w:rsidR="00386DA4" w:rsidRPr="00924DD8" w:rsidDel="00461700" w:rsidRDefault="00386DA4">
            <w:pPr>
              <w:pStyle w:val="NICETabletext"/>
              <w:rPr>
                <w:highlight w:val="cyan"/>
                <w:u w:val="single"/>
              </w:rPr>
            </w:pPr>
          </w:p>
        </w:tc>
        <w:tc>
          <w:tcPr>
            <w:tcW w:w="755" w:type="pct"/>
            <w:vMerge/>
          </w:tcPr>
          <w:p w14:paraId="4F884631" w14:textId="77777777" w:rsidR="00386DA4" w:rsidRDefault="00386DA4">
            <w:pPr>
              <w:pStyle w:val="Tablebody"/>
            </w:pPr>
          </w:p>
        </w:tc>
      </w:tr>
      <w:tr w:rsidR="00386DA4" w14:paraId="1A699097" w14:textId="77777777">
        <w:tc>
          <w:tcPr>
            <w:tcW w:w="2001" w:type="pct"/>
          </w:tcPr>
          <w:p w14:paraId="375D1489" w14:textId="77777777" w:rsidR="00386DA4" w:rsidRDefault="00386DA4">
            <w:pPr>
              <w:pStyle w:val="Tablebody"/>
            </w:pPr>
            <w:r>
              <w:t>Administration cost – parental infusion – day-case</w:t>
            </w:r>
          </w:p>
        </w:tc>
        <w:tc>
          <w:tcPr>
            <w:tcW w:w="1122" w:type="pct"/>
          </w:tcPr>
          <w:p w14:paraId="08E9AD08" w14:textId="77777777" w:rsidR="00386DA4" w:rsidRDefault="00386DA4">
            <w:pPr>
              <w:pStyle w:val="Tablebody"/>
            </w:pPr>
            <w:r w:rsidRPr="00383C34">
              <w:t>£381.97</w:t>
            </w:r>
          </w:p>
        </w:tc>
        <w:tc>
          <w:tcPr>
            <w:tcW w:w="1122" w:type="pct"/>
            <w:vMerge w:val="restart"/>
          </w:tcPr>
          <w:p w14:paraId="079FB68B" w14:textId="77777777" w:rsidR="00386DA4" w:rsidRDefault="00386DA4">
            <w:pPr>
              <w:pStyle w:val="Tablebody"/>
            </w:pPr>
            <w:r>
              <w:t>Variation: 0.025 (Gamma)</w:t>
            </w:r>
          </w:p>
        </w:tc>
        <w:tc>
          <w:tcPr>
            <w:tcW w:w="755" w:type="pct"/>
            <w:vMerge w:val="restart"/>
          </w:tcPr>
          <w:p w14:paraId="152AB389" w14:textId="081B3CA5" w:rsidR="00386DA4" w:rsidRDefault="00386DA4">
            <w:pPr>
              <w:pStyle w:val="Tablebody"/>
            </w:pPr>
            <w:r>
              <w:t xml:space="preserve">Section </w:t>
            </w:r>
            <w:r>
              <w:fldChar w:fldCharType="begin"/>
            </w:r>
            <w:r>
              <w:instrText xml:space="preserve"> REF _Ref126857278 \n \h </w:instrText>
            </w:r>
            <w:r>
              <w:fldChar w:fldCharType="separate"/>
            </w:r>
            <w:r w:rsidR="00145F42">
              <w:t>B.3.5.1.2</w:t>
            </w:r>
            <w:r>
              <w:fldChar w:fldCharType="end"/>
            </w:r>
          </w:p>
          <w:p w14:paraId="22365BB9" w14:textId="04DADC7D" w:rsidR="00386DA4" w:rsidRDefault="00386DA4">
            <w:pPr>
              <w:pStyle w:val="Tablebody"/>
            </w:pPr>
            <w:r>
              <w:fldChar w:fldCharType="begin"/>
            </w:r>
            <w:r>
              <w:instrText xml:space="preserve"> REF _Ref120702075 \h </w:instrText>
            </w:r>
            <w:r>
              <w:fldChar w:fldCharType="separate"/>
            </w:r>
            <w:r w:rsidR="00145F42">
              <w:t xml:space="preserve">Table </w:t>
            </w:r>
            <w:r w:rsidR="00145F42">
              <w:rPr>
                <w:noProof/>
              </w:rPr>
              <w:t>55</w:t>
            </w:r>
            <w:r>
              <w:fldChar w:fldCharType="end"/>
            </w:r>
          </w:p>
        </w:tc>
      </w:tr>
      <w:tr w:rsidR="00386DA4" w14:paraId="2F3CE4EB" w14:textId="77777777">
        <w:tc>
          <w:tcPr>
            <w:tcW w:w="2001" w:type="pct"/>
          </w:tcPr>
          <w:p w14:paraId="5EDCB62A" w14:textId="77777777" w:rsidR="00386DA4" w:rsidRDefault="00386DA4">
            <w:pPr>
              <w:pStyle w:val="Tablebody"/>
            </w:pPr>
            <w:r>
              <w:t>Administration cost – parental infusion – outpatient</w:t>
            </w:r>
          </w:p>
        </w:tc>
        <w:tc>
          <w:tcPr>
            <w:tcW w:w="1122" w:type="pct"/>
          </w:tcPr>
          <w:p w14:paraId="544543C5" w14:textId="77777777" w:rsidR="00386DA4" w:rsidDel="00461700" w:rsidRDefault="00386DA4">
            <w:pPr>
              <w:pStyle w:val="Tablebody"/>
            </w:pPr>
            <w:r>
              <w:t>£281.11</w:t>
            </w:r>
          </w:p>
        </w:tc>
        <w:tc>
          <w:tcPr>
            <w:tcW w:w="1122" w:type="pct"/>
            <w:vMerge/>
          </w:tcPr>
          <w:p w14:paraId="0045C698" w14:textId="77777777" w:rsidR="00386DA4" w:rsidDel="00461700" w:rsidRDefault="00386DA4">
            <w:pPr>
              <w:pStyle w:val="Tablebody"/>
            </w:pPr>
          </w:p>
        </w:tc>
        <w:tc>
          <w:tcPr>
            <w:tcW w:w="755" w:type="pct"/>
            <w:vMerge/>
          </w:tcPr>
          <w:p w14:paraId="0FE06986" w14:textId="77777777" w:rsidR="00386DA4" w:rsidRDefault="00386DA4">
            <w:pPr>
              <w:pStyle w:val="Tablebody"/>
            </w:pPr>
          </w:p>
        </w:tc>
      </w:tr>
      <w:tr w:rsidR="00386DA4" w14:paraId="6BF88861" w14:textId="77777777">
        <w:tc>
          <w:tcPr>
            <w:tcW w:w="2001" w:type="pct"/>
          </w:tcPr>
          <w:p w14:paraId="4E26C5CC" w14:textId="77777777" w:rsidR="00386DA4" w:rsidRDefault="00386DA4">
            <w:pPr>
              <w:pStyle w:val="Tablebody"/>
            </w:pPr>
            <w:r>
              <w:t>Administration cost – exclusively oral – day-case</w:t>
            </w:r>
          </w:p>
        </w:tc>
        <w:tc>
          <w:tcPr>
            <w:tcW w:w="1122" w:type="pct"/>
          </w:tcPr>
          <w:p w14:paraId="407EF887" w14:textId="77777777" w:rsidR="00386DA4" w:rsidDel="00461700" w:rsidRDefault="00386DA4">
            <w:pPr>
              <w:pStyle w:val="Tablebody"/>
            </w:pPr>
            <w:r w:rsidRPr="00383C34">
              <w:t>£304.62</w:t>
            </w:r>
          </w:p>
        </w:tc>
        <w:tc>
          <w:tcPr>
            <w:tcW w:w="1122" w:type="pct"/>
            <w:vMerge/>
          </w:tcPr>
          <w:p w14:paraId="62112F94" w14:textId="77777777" w:rsidR="00386DA4" w:rsidDel="00461700" w:rsidRDefault="00386DA4">
            <w:pPr>
              <w:pStyle w:val="Tablebody"/>
            </w:pPr>
          </w:p>
        </w:tc>
        <w:tc>
          <w:tcPr>
            <w:tcW w:w="755" w:type="pct"/>
            <w:vMerge/>
          </w:tcPr>
          <w:p w14:paraId="485B271E" w14:textId="77777777" w:rsidR="00386DA4" w:rsidRDefault="00386DA4">
            <w:pPr>
              <w:pStyle w:val="Tablebody"/>
            </w:pPr>
          </w:p>
        </w:tc>
      </w:tr>
      <w:tr w:rsidR="00386DA4" w14:paraId="6366EB2D" w14:textId="77777777">
        <w:tc>
          <w:tcPr>
            <w:tcW w:w="2001" w:type="pct"/>
          </w:tcPr>
          <w:p w14:paraId="3894F351" w14:textId="77777777" w:rsidR="00386DA4" w:rsidRDefault="00386DA4">
            <w:pPr>
              <w:pStyle w:val="Tablebody"/>
            </w:pPr>
            <w:r>
              <w:t>Administration cost – exclusively oral - outpatient</w:t>
            </w:r>
          </w:p>
        </w:tc>
        <w:tc>
          <w:tcPr>
            <w:tcW w:w="1122" w:type="pct"/>
          </w:tcPr>
          <w:p w14:paraId="45472A7D" w14:textId="77777777" w:rsidR="00386DA4" w:rsidRDefault="00386DA4">
            <w:pPr>
              <w:pStyle w:val="Tablebody"/>
            </w:pPr>
            <w:r>
              <w:t>£215.80</w:t>
            </w:r>
          </w:p>
        </w:tc>
        <w:tc>
          <w:tcPr>
            <w:tcW w:w="1122" w:type="pct"/>
            <w:vMerge/>
          </w:tcPr>
          <w:p w14:paraId="5635E2DD" w14:textId="77777777" w:rsidR="00386DA4" w:rsidDel="00461700" w:rsidRDefault="00386DA4">
            <w:pPr>
              <w:pStyle w:val="Tablebody"/>
            </w:pPr>
          </w:p>
        </w:tc>
        <w:tc>
          <w:tcPr>
            <w:tcW w:w="755" w:type="pct"/>
            <w:vMerge/>
          </w:tcPr>
          <w:p w14:paraId="6C4D0FE0" w14:textId="77777777" w:rsidR="00386DA4" w:rsidRDefault="00386DA4">
            <w:pPr>
              <w:pStyle w:val="Tablebody"/>
            </w:pPr>
          </w:p>
        </w:tc>
      </w:tr>
      <w:tr w:rsidR="00386DA4" w14:paraId="37463025" w14:textId="77777777">
        <w:tc>
          <w:tcPr>
            <w:tcW w:w="5000" w:type="pct"/>
            <w:gridSpan w:val="4"/>
          </w:tcPr>
          <w:p w14:paraId="7E58FF47" w14:textId="77777777" w:rsidR="00386DA4" w:rsidRPr="003B47A2" w:rsidRDefault="00386DA4">
            <w:pPr>
              <w:pStyle w:val="Tablebody"/>
              <w:rPr>
                <w:b/>
                <w:bCs/>
                <w:i/>
                <w:iCs/>
              </w:rPr>
            </w:pPr>
            <w:r w:rsidRPr="003B47A2">
              <w:rPr>
                <w:b/>
                <w:bCs/>
                <w:i/>
                <w:iCs/>
              </w:rPr>
              <w:t>Adverse events</w:t>
            </w:r>
          </w:p>
        </w:tc>
      </w:tr>
      <w:tr w:rsidR="00386DA4" w14:paraId="16CA337F" w14:textId="77777777">
        <w:tc>
          <w:tcPr>
            <w:tcW w:w="2001" w:type="pct"/>
          </w:tcPr>
          <w:p w14:paraId="1AB1BDE8" w14:textId="77777777" w:rsidR="00386DA4" w:rsidRDefault="00386DA4">
            <w:pPr>
              <w:pStyle w:val="NICETabletext"/>
              <w:keepNext w:val="0"/>
            </w:pPr>
            <w:r>
              <w:t>T-DXd - Neutrophil count decreased</w:t>
            </w:r>
          </w:p>
        </w:tc>
        <w:tc>
          <w:tcPr>
            <w:tcW w:w="1122" w:type="pct"/>
          </w:tcPr>
          <w:p w14:paraId="2FCF252E" w14:textId="77777777" w:rsidR="00386DA4" w:rsidRDefault="00386DA4">
            <w:pPr>
              <w:pStyle w:val="NICETabletext"/>
              <w:keepNext w:val="0"/>
            </w:pPr>
            <w:r>
              <w:t>8.10%</w:t>
            </w:r>
          </w:p>
        </w:tc>
        <w:tc>
          <w:tcPr>
            <w:tcW w:w="1122" w:type="pct"/>
            <w:vMerge w:val="restart"/>
          </w:tcPr>
          <w:p w14:paraId="38D21C85" w14:textId="77777777" w:rsidR="00386DA4" w:rsidRDefault="00386DA4">
            <w:pPr>
              <w:pStyle w:val="NICETabletext"/>
              <w:keepNext w:val="0"/>
            </w:pPr>
            <w:r>
              <w:t>Variation: 0.025 (Beta)</w:t>
            </w:r>
          </w:p>
          <w:p w14:paraId="6F9CE6BE" w14:textId="77777777" w:rsidR="00386DA4" w:rsidRDefault="00386DA4">
            <w:pPr>
              <w:pStyle w:val="NICETabletext"/>
              <w:keepNext w:val="0"/>
            </w:pPr>
          </w:p>
          <w:p w14:paraId="714CEB5A" w14:textId="77777777" w:rsidR="00386DA4" w:rsidRDefault="00386DA4">
            <w:pPr>
              <w:pStyle w:val="NICETabletext"/>
              <w:keepNext w:val="0"/>
            </w:pPr>
          </w:p>
          <w:p w14:paraId="2EEDBDED" w14:textId="77777777" w:rsidR="00386DA4" w:rsidRDefault="00386DA4">
            <w:pPr>
              <w:pStyle w:val="NICETabletext"/>
              <w:keepNext w:val="0"/>
            </w:pPr>
          </w:p>
          <w:p w14:paraId="719C0C07" w14:textId="77777777" w:rsidR="00386DA4" w:rsidRDefault="00386DA4">
            <w:pPr>
              <w:pStyle w:val="NICETabletext"/>
              <w:keepNext w:val="0"/>
            </w:pPr>
          </w:p>
          <w:p w14:paraId="0A866E12" w14:textId="77777777" w:rsidR="00386DA4" w:rsidRDefault="00386DA4">
            <w:pPr>
              <w:pStyle w:val="NICETabletext"/>
              <w:keepNext w:val="0"/>
            </w:pPr>
          </w:p>
          <w:p w14:paraId="62395006" w14:textId="77777777" w:rsidR="00386DA4" w:rsidRDefault="00386DA4">
            <w:pPr>
              <w:pStyle w:val="NICETabletext"/>
              <w:keepNext w:val="0"/>
            </w:pPr>
          </w:p>
          <w:p w14:paraId="4BBFEBD1" w14:textId="77777777" w:rsidR="00386DA4" w:rsidRDefault="00386DA4">
            <w:pPr>
              <w:pStyle w:val="NICETabletext"/>
              <w:keepNext w:val="0"/>
            </w:pPr>
          </w:p>
          <w:p w14:paraId="1CC69183" w14:textId="77777777" w:rsidR="00386DA4" w:rsidRDefault="00386DA4">
            <w:pPr>
              <w:pStyle w:val="NICETabletext"/>
              <w:keepNext w:val="0"/>
            </w:pPr>
          </w:p>
          <w:p w14:paraId="08C9073D" w14:textId="77777777" w:rsidR="00386DA4" w:rsidRDefault="00386DA4">
            <w:pPr>
              <w:pStyle w:val="NICETabletext"/>
              <w:keepNext w:val="0"/>
            </w:pPr>
          </w:p>
          <w:p w14:paraId="23276EED" w14:textId="77777777" w:rsidR="00386DA4" w:rsidRDefault="00386DA4">
            <w:pPr>
              <w:pStyle w:val="NICETabletext"/>
              <w:keepNext w:val="0"/>
            </w:pPr>
          </w:p>
          <w:p w14:paraId="3AD743AE" w14:textId="77777777" w:rsidR="00386DA4" w:rsidRDefault="00386DA4">
            <w:pPr>
              <w:pStyle w:val="NICETabletext"/>
              <w:keepNext w:val="0"/>
            </w:pPr>
          </w:p>
          <w:p w14:paraId="6F4C2BEC" w14:textId="77777777" w:rsidR="00386DA4" w:rsidRDefault="00386DA4">
            <w:pPr>
              <w:pStyle w:val="NICETabletext"/>
              <w:keepNext w:val="0"/>
            </w:pPr>
          </w:p>
          <w:p w14:paraId="583DE209" w14:textId="77777777" w:rsidR="00386DA4" w:rsidRDefault="00386DA4">
            <w:pPr>
              <w:pStyle w:val="NICETabletext"/>
            </w:pPr>
          </w:p>
        </w:tc>
        <w:tc>
          <w:tcPr>
            <w:tcW w:w="755" w:type="pct"/>
            <w:vMerge w:val="restart"/>
          </w:tcPr>
          <w:p w14:paraId="59156349" w14:textId="28FC9EF5" w:rsidR="00386DA4" w:rsidRDefault="00386DA4">
            <w:pPr>
              <w:pStyle w:val="Tablebody"/>
            </w:pPr>
            <w:r>
              <w:t xml:space="preserve">Section </w:t>
            </w:r>
            <w:r>
              <w:fldChar w:fldCharType="begin"/>
            </w:r>
            <w:r>
              <w:instrText xml:space="preserve"> REF _Ref126857316 \n \h </w:instrText>
            </w:r>
            <w:r>
              <w:fldChar w:fldCharType="separate"/>
            </w:r>
            <w:r w:rsidR="00145F42">
              <w:t>B.3.3.3</w:t>
            </w:r>
            <w:r>
              <w:fldChar w:fldCharType="end"/>
            </w:r>
            <w:r>
              <w:t xml:space="preserve">  </w:t>
            </w:r>
          </w:p>
          <w:p w14:paraId="248ED691" w14:textId="1B25F4C6" w:rsidR="00386DA4" w:rsidRDefault="00386DA4">
            <w:pPr>
              <w:pStyle w:val="Tablebody"/>
            </w:pPr>
            <w:r>
              <w:fldChar w:fldCharType="begin"/>
            </w:r>
            <w:r>
              <w:instrText xml:space="preserve"> REF _Ref96105137 \h </w:instrText>
            </w:r>
            <w:r>
              <w:fldChar w:fldCharType="separate"/>
            </w:r>
            <w:r w:rsidR="00145F42" w:rsidRPr="00AF4568">
              <w:t xml:space="preserve">Table </w:t>
            </w:r>
            <w:r w:rsidR="00145F42">
              <w:rPr>
                <w:noProof/>
              </w:rPr>
              <w:t>41</w:t>
            </w:r>
            <w:r>
              <w:fldChar w:fldCharType="end"/>
            </w:r>
          </w:p>
        </w:tc>
      </w:tr>
      <w:tr w:rsidR="00386DA4" w14:paraId="0F9B15F2" w14:textId="77777777">
        <w:tc>
          <w:tcPr>
            <w:tcW w:w="2001" w:type="pct"/>
          </w:tcPr>
          <w:p w14:paraId="6626592A" w14:textId="77777777" w:rsidR="00386DA4" w:rsidRDefault="00386DA4">
            <w:pPr>
              <w:pStyle w:val="NICETabletext"/>
              <w:keepNext w:val="0"/>
            </w:pPr>
            <w:r w:rsidRPr="0018358C">
              <w:t xml:space="preserve">T-DXd - </w:t>
            </w:r>
            <w:r>
              <w:t>Anaemia</w:t>
            </w:r>
          </w:p>
        </w:tc>
        <w:tc>
          <w:tcPr>
            <w:tcW w:w="1122" w:type="pct"/>
          </w:tcPr>
          <w:p w14:paraId="68378BC7" w14:textId="2A197F13" w:rsidR="00386DA4" w:rsidRPr="00294FDC" w:rsidRDefault="00294FDC">
            <w:pPr>
              <w:pStyle w:val="NICETabletext"/>
              <w:keepNext w:val="0"/>
              <w:rPr>
                <w:color w:val="000000"/>
                <w:highlight w:val="black"/>
              </w:rPr>
            </w:pPr>
            <w:r w:rsidRPr="00294FDC">
              <w:rPr>
                <w:color w:val="000000"/>
                <w:highlight w:val="black"/>
              </w:rPr>
              <w:t>xxxxxx</w:t>
            </w:r>
          </w:p>
        </w:tc>
        <w:tc>
          <w:tcPr>
            <w:tcW w:w="1122" w:type="pct"/>
            <w:vMerge/>
          </w:tcPr>
          <w:p w14:paraId="35FA443C" w14:textId="77777777" w:rsidR="00386DA4" w:rsidRDefault="00386DA4">
            <w:pPr>
              <w:pStyle w:val="NICETabletext"/>
            </w:pPr>
          </w:p>
        </w:tc>
        <w:tc>
          <w:tcPr>
            <w:tcW w:w="755" w:type="pct"/>
            <w:vMerge/>
          </w:tcPr>
          <w:p w14:paraId="5D187DB3" w14:textId="77777777" w:rsidR="00386DA4" w:rsidRDefault="00386DA4">
            <w:pPr>
              <w:pStyle w:val="Tablebody"/>
            </w:pPr>
          </w:p>
        </w:tc>
      </w:tr>
      <w:tr w:rsidR="00386DA4" w14:paraId="37487E6F" w14:textId="77777777">
        <w:tc>
          <w:tcPr>
            <w:tcW w:w="2001" w:type="pct"/>
          </w:tcPr>
          <w:p w14:paraId="4BA59731" w14:textId="77777777" w:rsidR="00386DA4" w:rsidRDefault="00386DA4">
            <w:pPr>
              <w:pStyle w:val="NICETabletext"/>
              <w:keepNext w:val="0"/>
            </w:pPr>
            <w:r>
              <w:t xml:space="preserve">T-DXd - White blood cell count decreased </w:t>
            </w:r>
          </w:p>
        </w:tc>
        <w:tc>
          <w:tcPr>
            <w:tcW w:w="1122" w:type="pct"/>
          </w:tcPr>
          <w:p w14:paraId="2AA60812" w14:textId="64953CC4" w:rsidR="00386DA4" w:rsidRPr="00294FDC" w:rsidRDefault="00294FDC">
            <w:pPr>
              <w:pStyle w:val="NICETabletext"/>
              <w:keepNext w:val="0"/>
              <w:rPr>
                <w:color w:val="000000"/>
                <w:highlight w:val="black"/>
              </w:rPr>
            </w:pPr>
            <w:r w:rsidRPr="00294FDC">
              <w:rPr>
                <w:color w:val="000000"/>
                <w:highlight w:val="black"/>
              </w:rPr>
              <w:t>xxxxx</w:t>
            </w:r>
          </w:p>
        </w:tc>
        <w:tc>
          <w:tcPr>
            <w:tcW w:w="1122" w:type="pct"/>
            <w:vMerge/>
          </w:tcPr>
          <w:p w14:paraId="3E906924" w14:textId="77777777" w:rsidR="00386DA4" w:rsidRDefault="00386DA4">
            <w:pPr>
              <w:pStyle w:val="NICETabletext"/>
            </w:pPr>
          </w:p>
        </w:tc>
        <w:tc>
          <w:tcPr>
            <w:tcW w:w="755" w:type="pct"/>
            <w:vMerge/>
          </w:tcPr>
          <w:p w14:paraId="451E524F" w14:textId="77777777" w:rsidR="00386DA4" w:rsidRDefault="00386DA4">
            <w:pPr>
              <w:pStyle w:val="Tablebody"/>
            </w:pPr>
          </w:p>
        </w:tc>
      </w:tr>
      <w:tr w:rsidR="00386DA4" w14:paraId="3C4ABFCA" w14:textId="77777777">
        <w:tc>
          <w:tcPr>
            <w:tcW w:w="2001" w:type="pct"/>
          </w:tcPr>
          <w:p w14:paraId="73274B14" w14:textId="77777777" w:rsidR="00386DA4" w:rsidRDefault="00386DA4">
            <w:pPr>
              <w:pStyle w:val="NICETabletext"/>
              <w:keepNext w:val="0"/>
            </w:pPr>
            <w:r>
              <w:t>T-DXd - Platelet count decreased</w:t>
            </w:r>
          </w:p>
        </w:tc>
        <w:tc>
          <w:tcPr>
            <w:tcW w:w="1122" w:type="pct"/>
          </w:tcPr>
          <w:p w14:paraId="4578278A" w14:textId="294A7D8C" w:rsidR="00386DA4" w:rsidRPr="00294FDC" w:rsidRDefault="00294FDC">
            <w:pPr>
              <w:pStyle w:val="NICETabletext"/>
              <w:keepNext w:val="0"/>
              <w:rPr>
                <w:color w:val="000000"/>
                <w:highlight w:val="black"/>
              </w:rPr>
            </w:pPr>
            <w:r w:rsidRPr="00294FDC">
              <w:rPr>
                <w:color w:val="000000"/>
                <w:highlight w:val="black"/>
              </w:rPr>
              <w:t>xxxxx</w:t>
            </w:r>
          </w:p>
        </w:tc>
        <w:tc>
          <w:tcPr>
            <w:tcW w:w="1122" w:type="pct"/>
            <w:vMerge/>
          </w:tcPr>
          <w:p w14:paraId="2D91BAEA" w14:textId="77777777" w:rsidR="00386DA4" w:rsidRDefault="00386DA4">
            <w:pPr>
              <w:pStyle w:val="NICETabletext"/>
            </w:pPr>
          </w:p>
        </w:tc>
        <w:tc>
          <w:tcPr>
            <w:tcW w:w="755" w:type="pct"/>
            <w:vMerge/>
          </w:tcPr>
          <w:p w14:paraId="4ABC7E6C" w14:textId="77777777" w:rsidR="00386DA4" w:rsidRDefault="00386DA4">
            <w:pPr>
              <w:pStyle w:val="Tablebody"/>
            </w:pPr>
          </w:p>
        </w:tc>
      </w:tr>
      <w:tr w:rsidR="00386DA4" w14:paraId="7F1C4CAD" w14:textId="77777777">
        <w:tc>
          <w:tcPr>
            <w:tcW w:w="2001" w:type="pct"/>
          </w:tcPr>
          <w:p w14:paraId="1AAC77F6" w14:textId="77777777" w:rsidR="00386DA4" w:rsidRDefault="00386DA4">
            <w:pPr>
              <w:pStyle w:val="NICETabletext"/>
              <w:keepNext w:val="0"/>
            </w:pPr>
            <w:r>
              <w:t>T-DXd - Fatigue</w:t>
            </w:r>
          </w:p>
        </w:tc>
        <w:tc>
          <w:tcPr>
            <w:tcW w:w="1122" w:type="pct"/>
          </w:tcPr>
          <w:p w14:paraId="6582C818" w14:textId="273EDE41" w:rsidR="00386DA4" w:rsidRPr="00294FDC" w:rsidRDefault="00294FDC">
            <w:pPr>
              <w:pStyle w:val="NICETabletext"/>
              <w:keepNext w:val="0"/>
              <w:rPr>
                <w:color w:val="000000"/>
                <w:highlight w:val="black"/>
              </w:rPr>
            </w:pPr>
            <w:r w:rsidRPr="00294FDC">
              <w:rPr>
                <w:color w:val="000000"/>
                <w:highlight w:val="black"/>
              </w:rPr>
              <w:t>xxxxx</w:t>
            </w:r>
          </w:p>
        </w:tc>
        <w:tc>
          <w:tcPr>
            <w:tcW w:w="1122" w:type="pct"/>
            <w:vMerge/>
          </w:tcPr>
          <w:p w14:paraId="6543359B" w14:textId="77777777" w:rsidR="00386DA4" w:rsidRDefault="00386DA4">
            <w:pPr>
              <w:pStyle w:val="NICETabletext"/>
            </w:pPr>
          </w:p>
        </w:tc>
        <w:tc>
          <w:tcPr>
            <w:tcW w:w="755" w:type="pct"/>
            <w:vMerge/>
          </w:tcPr>
          <w:p w14:paraId="5E6C62EF" w14:textId="77777777" w:rsidR="00386DA4" w:rsidRDefault="00386DA4">
            <w:pPr>
              <w:pStyle w:val="Tablebody"/>
            </w:pPr>
          </w:p>
        </w:tc>
      </w:tr>
      <w:tr w:rsidR="00386DA4" w14:paraId="56D10F78" w14:textId="77777777">
        <w:tc>
          <w:tcPr>
            <w:tcW w:w="2001" w:type="pct"/>
          </w:tcPr>
          <w:p w14:paraId="7BB69197" w14:textId="77777777" w:rsidR="00386DA4" w:rsidRDefault="00386DA4">
            <w:pPr>
              <w:pStyle w:val="NICETabletext"/>
              <w:keepNext w:val="0"/>
            </w:pPr>
            <w:r>
              <w:t>T-DXd - Increased ALT</w:t>
            </w:r>
          </w:p>
        </w:tc>
        <w:tc>
          <w:tcPr>
            <w:tcW w:w="1122" w:type="pct"/>
          </w:tcPr>
          <w:p w14:paraId="25FC3ABA" w14:textId="277E2E25" w:rsidR="00386DA4" w:rsidRPr="00294FDC" w:rsidRDefault="00294FDC">
            <w:pPr>
              <w:pStyle w:val="NICETabletext"/>
              <w:keepNext w:val="0"/>
              <w:rPr>
                <w:color w:val="000000"/>
                <w:highlight w:val="black"/>
              </w:rPr>
            </w:pPr>
            <w:r w:rsidRPr="00294FDC">
              <w:rPr>
                <w:color w:val="000000"/>
                <w:highlight w:val="black"/>
              </w:rPr>
              <w:t>xxxxx</w:t>
            </w:r>
          </w:p>
        </w:tc>
        <w:tc>
          <w:tcPr>
            <w:tcW w:w="1122" w:type="pct"/>
            <w:vMerge/>
          </w:tcPr>
          <w:p w14:paraId="5865C890" w14:textId="77777777" w:rsidR="00386DA4" w:rsidRDefault="00386DA4">
            <w:pPr>
              <w:pStyle w:val="NICETabletext"/>
            </w:pPr>
          </w:p>
        </w:tc>
        <w:tc>
          <w:tcPr>
            <w:tcW w:w="755" w:type="pct"/>
            <w:vMerge/>
          </w:tcPr>
          <w:p w14:paraId="53CC11BB" w14:textId="77777777" w:rsidR="00386DA4" w:rsidRDefault="00386DA4">
            <w:pPr>
              <w:pStyle w:val="Tablebody"/>
            </w:pPr>
          </w:p>
        </w:tc>
      </w:tr>
      <w:tr w:rsidR="00386DA4" w14:paraId="653B98F0" w14:textId="77777777">
        <w:tc>
          <w:tcPr>
            <w:tcW w:w="2001" w:type="pct"/>
          </w:tcPr>
          <w:p w14:paraId="2D4B54F2" w14:textId="77777777" w:rsidR="00386DA4" w:rsidRDefault="00386DA4">
            <w:pPr>
              <w:pStyle w:val="NICETabletext"/>
              <w:keepNext w:val="0"/>
            </w:pPr>
            <w:r>
              <w:t>T-DXd - Interstitial lung disease (any grade)</w:t>
            </w:r>
          </w:p>
        </w:tc>
        <w:tc>
          <w:tcPr>
            <w:tcW w:w="1122" w:type="pct"/>
          </w:tcPr>
          <w:p w14:paraId="3E06A666" w14:textId="244013B2" w:rsidR="00386DA4" w:rsidRPr="00294FDC" w:rsidRDefault="00294FDC">
            <w:pPr>
              <w:pStyle w:val="NICETabletext"/>
              <w:keepNext w:val="0"/>
              <w:rPr>
                <w:color w:val="000000"/>
                <w:highlight w:val="black"/>
              </w:rPr>
            </w:pPr>
            <w:r w:rsidRPr="00294FDC">
              <w:rPr>
                <w:color w:val="000000"/>
                <w:highlight w:val="black"/>
              </w:rPr>
              <w:t>xxxxxx</w:t>
            </w:r>
          </w:p>
        </w:tc>
        <w:tc>
          <w:tcPr>
            <w:tcW w:w="1122" w:type="pct"/>
            <w:vMerge/>
          </w:tcPr>
          <w:p w14:paraId="202A72C5" w14:textId="77777777" w:rsidR="00386DA4" w:rsidRDefault="00386DA4">
            <w:pPr>
              <w:pStyle w:val="NICETabletext"/>
            </w:pPr>
          </w:p>
        </w:tc>
        <w:tc>
          <w:tcPr>
            <w:tcW w:w="755" w:type="pct"/>
            <w:vMerge/>
          </w:tcPr>
          <w:p w14:paraId="1781AFA2" w14:textId="77777777" w:rsidR="00386DA4" w:rsidRDefault="00386DA4">
            <w:pPr>
              <w:pStyle w:val="Tablebody"/>
            </w:pPr>
          </w:p>
        </w:tc>
      </w:tr>
      <w:tr w:rsidR="00386DA4" w14:paraId="0A49FE46" w14:textId="77777777">
        <w:tc>
          <w:tcPr>
            <w:tcW w:w="2001" w:type="pct"/>
          </w:tcPr>
          <w:p w14:paraId="3A672D25" w14:textId="77777777" w:rsidR="00386DA4" w:rsidRDefault="00386DA4">
            <w:pPr>
              <w:pStyle w:val="NICETabletext"/>
              <w:keepNext w:val="0"/>
            </w:pPr>
            <w:r>
              <w:t>TPC - Neutrophil count decreased</w:t>
            </w:r>
          </w:p>
        </w:tc>
        <w:tc>
          <w:tcPr>
            <w:tcW w:w="1122" w:type="pct"/>
          </w:tcPr>
          <w:p w14:paraId="233BA4E2" w14:textId="475403EF" w:rsidR="00386DA4" w:rsidRPr="00294FDC" w:rsidRDefault="00294FDC">
            <w:pPr>
              <w:pStyle w:val="NICETabletext"/>
              <w:keepNext w:val="0"/>
              <w:rPr>
                <w:color w:val="000000"/>
                <w:highlight w:val="black"/>
              </w:rPr>
            </w:pPr>
            <w:r w:rsidRPr="00294FDC">
              <w:rPr>
                <w:color w:val="000000"/>
                <w:highlight w:val="black"/>
              </w:rPr>
              <w:t>xxxxxx</w:t>
            </w:r>
          </w:p>
        </w:tc>
        <w:tc>
          <w:tcPr>
            <w:tcW w:w="1122" w:type="pct"/>
            <w:vMerge/>
          </w:tcPr>
          <w:p w14:paraId="42312DAB" w14:textId="77777777" w:rsidR="00386DA4" w:rsidRDefault="00386DA4">
            <w:pPr>
              <w:pStyle w:val="NICETabletext"/>
            </w:pPr>
          </w:p>
        </w:tc>
        <w:tc>
          <w:tcPr>
            <w:tcW w:w="755" w:type="pct"/>
            <w:vMerge/>
          </w:tcPr>
          <w:p w14:paraId="73B1E278" w14:textId="77777777" w:rsidR="00386DA4" w:rsidRDefault="00386DA4">
            <w:pPr>
              <w:pStyle w:val="Tablebody"/>
            </w:pPr>
          </w:p>
        </w:tc>
      </w:tr>
      <w:tr w:rsidR="00386DA4" w14:paraId="21CEB99D" w14:textId="77777777">
        <w:tc>
          <w:tcPr>
            <w:tcW w:w="2001" w:type="pct"/>
          </w:tcPr>
          <w:p w14:paraId="53AC6D77" w14:textId="77777777" w:rsidR="00386DA4" w:rsidRDefault="00386DA4">
            <w:pPr>
              <w:pStyle w:val="NICETabletext"/>
              <w:keepNext w:val="0"/>
            </w:pPr>
            <w:r>
              <w:t xml:space="preserve">TPC </w:t>
            </w:r>
            <w:r w:rsidRPr="0018358C">
              <w:t xml:space="preserve">- </w:t>
            </w:r>
            <w:r>
              <w:t>Anaemia</w:t>
            </w:r>
          </w:p>
        </w:tc>
        <w:tc>
          <w:tcPr>
            <w:tcW w:w="1122" w:type="pct"/>
          </w:tcPr>
          <w:p w14:paraId="18F04440" w14:textId="772C8039" w:rsidR="00386DA4" w:rsidRPr="00294FDC" w:rsidRDefault="00294FDC">
            <w:pPr>
              <w:pStyle w:val="NICETabletext"/>
              <w:keepNext w:val="0"/>
              <w:rPr>
                <w:color w:val="000000"/>
                <w:highlight w:val="black"/>
              </w:rPr>
            </w:pPr>
            <w:r w:rsidRPr="00294FDC">
              <w:rPr>
                <w:color w:val="000000"/>
                <w:highlight w:val="black"/>
              </w:rPr>
              <w:t>xxxxx</w:t>
            </w:r>
          </w:p>
        </w:tc>
        <w:tc>
          <w:tcPr>
            <w:tcW w:w="1122" w:type="pct"/>
            <w:vMerge/>
          </w:tcPr>
          <w:p w14:paraId="547712CE" w14:textId="77777777" w:rsidR="00386DA4" w:rsidRDefault="00386DA4">
            <w:pPr>
              <w:pStyle w:val="NICETabletext"/>
            </w:pPr>
          </w:p>
        </w:tc>
        <w:tc>
          <w:tcPr>
            <w:tcW w:w="755" w:type="pct"/>
            <w:vMerge/>
          </w:tcPr>
          <w:p w14:paraId="77195494" w14:textId="77777777" w:rsidR="00386DA4" w:rsidRDefault="00386DA4">
            <w:pPr>
              <w:pStyle w:val="Tablebody"/>
            </w:pPr>
          </w:p>
        </w:tc>
      </w:tr>
      <w:tr w:rsidR="00386DA4" w14:paraId="4258576D" w14:textId="77777777">
        <w:tc>
          <w:tcPr>
            <w:tcW w:w="2001" w:type="pct"/>
          </w:tcPr>
          <w:p w14:paraId="12B37BA7" w14:textId="77777777" w:rsidR="00386DA4" w:rsidRDefault="00386DA4">
            <w:pPr>
              <w:pStyle w:val="NICETabletext"/>
              <w:keepNext w:val="0"/>
            </w:pPr>
            <w:r>
              <w:t xml:space="preserve">TPC - White blood cell count decreased </w:t>
            </w:r>
          </w:p>
        </w:tc>
        <w:tc>
          <w:tcPr>
            <w:tcW w:w="1122" w:type="pct"/>
          </w:tcPr>
          <w:p w14:paraId="0A9B7151" w14:textId="0F8AEE6E" w:rsidR="00386DA4" w:rsidRPr="00294FDC" w:rsidRDefault="00294FDC">
            <w:pPr>
              <w:pStyle w:val="NICETabletext"/>
              <w:keepNext w:val="0"/>
              <w:rPr>
                <w:color w:val="000000"/>
                <w:highlight w:val="black"/>
              </w:rPr>
            </w:pPr>
            <w:r w:rsidRPr="00294FDC">
              <w:rPr>
                <w:color w:val="000000"/>
                <w:highlight w:val="black"/>
              </w:rPr>
              <w:t>xxxxxx</w:t>
            </w:r>
          </w:p>
        </w:tc>
        <w:tc>
          <w:tcPr>
            <w:tcW w:w="1122" w:type="pct"/>
            <w:vMerge/>
          </w:tcPr>
          <w:p w14:paraId="0856D405" w14:textId="77777777" w:rsidR="00386DA4" w:rsidRDefault="00386DA4">
            <w:pPr>
              <w:pStyle w:val="NICETabletext"/>
            </w:pPr>
          </w:p>
        </w:tc>
        <w:tc>
          <w:tcPr>
            <w:tcW w:w="755" w:type="pct"/>
            <w:vMerge/>
          </w:tcPr>
          <w:p w14:paraId="06108203" w14:textId="77777777" w:rsidR="00386DA4" w:rsidRDefault="00386DA4">
            <w:pPr>
              <w:pStyle w:val="Tablebody"/>
            </w:pPr>
          </w:p>
        </w:tc>
      </w:tr>
      <w:tr w:rsidR="00386DA4" w14:paraId="22EA031F" w14:textId="77777777">
        <w:tc>
          <w:tcPr>
            <w:tcW w:w="2001" w:type="pct"/>
          </w:tcPr>
          <w:p w14:paraId="521EBC20" w14:textId="77777777" w:rsidR="00386DA4" w:rsidRDefault="00386DA4">
            <w:pPr>
              <w:pStyle w:val="NICETabletext"/>
              <w:keepNext w:val="0"/>
            </w:pPr>
            <w:r>
              <w:t>TPC - Platelet count decreased</w:t>
            </w:r>
          </w:p>
        </w:tc>
        <w:tc>
          <w:tcPr>
            <w:tcW w:w="1122" w:type="pct"/>
          </w:tcPr>
          <w:p w14:paraId="0023F511" w14:textId="244E1667" w:rsidR="00386DA4" w:rsidRPr="00294FDC" w:rsidRDefault="00294FDC">
            <w:pPr>
              <w:pStyle w:val="NICETabletext"/>
              <w:keepNext w:val="0"/>
              <w:rPr>
                <w:color w:val="000000"/>
                <w:highlight w:val="black"/>
              </w:rPr>
            </w:pPr>
            <w:r w:rsidRPr="00294FDC">
              <w:rPr>
                <w:color w:val="000000"/>
                <w:highlight w:val="black"/>
              </w:rPr>
              <w:t>xxxxx</w:t>
            </w:r>
          </w:p>
        </w:tc>
        <w:tc>
          <w:tcPr>
            <w:tcW w:w="1122" w:type="pct"/>
            <w:vMerge/>
          </w:tcPr>
          <w:p w14:paraId="7E7D2DB1" w14:textId="77777777" w:rsidR="00386DA4" w:rsidRDefault="00386DA4">
            <w:pPr>
              <w:pStyle w:val="NICETabletext"/>
            </w:pPr>
          </w:p>
        </w:tc>
        <w:tc>
          <w:tcPr>
            <w:tcW w:w="755" w:type="pct"/>
            <w:vMerge/>
          </w:tcPr>
          <w:p w14:paraId="234ED910" w14:textId="77777777" w:rsidR="00386DA4" w:rsidRDefault="00386DA4">
            <w:pPr>
              <w:pStyle w:val="Tablebody"/>
            </w:pPr>
          </w:p>
        </w:tc>
      </w:tr>
      <w:tr w:rsidR="00386DA4" w14:paraId="5A4A4F3E" w14:textId="77777777">
        <w:tc>
          <w:tcPr>
            <w:tcW w:w="2001" w:type="pct"/>
          </w:tcPr>
          <w:p w14:paraId="06867A9B" w14:textId="77777777" w:rsidR="00386DA4" w:rsidRDefault="00386DA4">
            <w:pPr>
              <w:pStyle w:val="NICETabletext"/>
              <w:keepNext w:val="0"/>
            </w:pPr>
            <w:r>
              <w:t>TPC - Fatigue</w:t>
            </w:r>
          </w:p>
        </w:tc>
        <w:tc>
          <w:tcPr>
            <w:tcW w:w="1122" w:type="pct"/>
          </w:tcPr>
          <w:p w14:paraId="701A4494" w14:textId="355987D6" w:rsidR="00386DA4" w:rsidRPr="00294FDC" w:rsidRDefault="00294FDC">
            <w:pPr>
              <w:pStyle w:val="NICETabletext"/>
              <w:keepNext w:val="0"/>
              <w:rPr>
                <w:color w:val="000000"/>
                <w:highlight w:val="black"/>
              </w:rPr>
            </w:pPr>
            <w:r w:rsidRPr="00294FDC">
              <w:rPr>
                <w:color w:val="000000"/>
                <w:highlight w:val="black"/>
              </w:rPr>
              <w:t>xxxxx</w:t>
            </w:r>
          </w:p>
        </w:tc>
        <w:tc>
          <w:tcPr>
            <w:tcW w:w="1122" w:type="pct"/>
            <w:vMerge/>
          </w:tcPr>
          <w:p w14:paraId="3AC5CB6A" w14:textId="77777777" w:rsidR="00386DA4" w:rsidRDefault="00386DA4">
            <w:pPr>
              <w:pStyle w:val="NICETabletext"/>
            </w:pPr>
          </w:p>
        </w:tc>
        <w:tc>
          <w:tcPr>
            <w:tcW w:w="755" w:type="pct"/>
            <w:vMerge/>
          </w:tcPr>
          <w:p w14:paraId="51197FD8" w14:textId="77777777" w:rsidR="00386DA4" w:rsidRDefault="00386DA4">
            <w:pPr>
              <w:pStyle w:val="Tablebody"/>
            </w:pPr>
          </w:p>
        </w:tc>
      </w:tr>
      <w:tr w:rsidR="00386DA4" w14:paraId="25A54D14" w14:textId="77777777">
        <w:tc>
          <w:tcPr>
            <w:tcW w:w="2001" w:type="pct"/>
          </w:tcPr>
          <w:p w14:paraId="6FCEEC31" w14:textId="77777777" w:rsidR="00386DA4" w:rsidRDefault="00386DA4">
            <w:pPr>
              <w:pStyle w:val="NICETabletext"/>
              <w:keepNext w:val="0"/>
            </w:pPr>
            <w:r>
              <w:t>TPC - Increased ALT</w:t>
            </w:r>
          </w:p>
        </w:tc>
        <w:tc>
          <w:tcPr>
            <w:tcW w:w="1122" w:type="pct"/>
          </w:tcPr>
          <w:p w14:paraId="7047F880" w14:textId="57A34273" w:rsidR="00386DA4" w:rsidRPr="00294FDC" w:rsidRDefault="00294FDC">
            <w:pPr>
              <w:pStyle w:val="NICETabletext"/>
              <w:keepNext w:val="0"/>
              <w:rPr>
                <w:color w:val="000000"/>
                <w:highlight w:val="black"/>
              </w:rPr>
            </w:pPr>
            <w:r w:rsidRPr="00294FDC">
              <w:rPr>
                <w:color w:val="000000"/>
                <w:highlight w:val="black"/>
              </w:rPr>
              <w:t>xxxxx</w:t>
            </w:r>
          </w:p>
        </w:tc>
        <w:tc>
          <w:tcPr>
            <w:tcW w:w="1122" w:type="pct"/>
            <w:vMerge/>
          </w:tcPr>
          <w:p w14:paraId="14154B80" w14:textId="77777777" w:rsidR="00386DA4" w:rsidRDefault="00386DA4">
            <w:pPr>
              <w:pStyle w:val="NICETabletext"/>
            </w:pPr>
          </w:p>
        </w:tc>
        <w:tc>
          <w:tcPr>
            <w:tcW w:w="755" w:type="pct"/>
            <w:vMerge/>
          </w:tcPr>
          <w:p w14:paraId="0FFE30DD" w14:textId="77777777" w:rsidR="00386DA4" w:rsidRDefault="00386DA4">
            <w:pPr>
              <w:pStyle w:val="Tablebody"/>
            </w:pPr>
          </w:p>
        </w:tc>
      </w:tr>
      <w:tr w:rsidR="00386DA4" w14:paraId="7D80818D" w14:textId="77777777">
        <w:tc>
          <w:tcPr>
            <w:tcW w:w="2001" w:type="pct"/>
          </w:tcPr>
          <w:p w14:paraId="518AB3FC" w14:textId="77777777" w:rsidR="00386DA4" w:rsidRDefault="00386DA4">
            <w:pPr>
              <w:pStyle w:val="NICETabletext"/>
              <w:keepNext w:val="0"/>
            </w:pPr>
            <w:r>
              <w:t>TPC - Interstitial lung disease (any grade)</w:t>
            </w:r>
          </w:p>
        </w:tc>
        <w:tc>
          <w:tcPr>
            <w:tcW w:w="1122" w:type="pct"/>
          </w:tcPr>
          <w:p w14:paraId="51279B78" w14:textId="03AB3475" w:rsidR="00386DA4" w:rsidRPr="00294FDC" w:rsidRDefault="00294FDC">
            <w:pPr>
              <w:pStyle w:val="NICETabletext"/>
              <w:keepNext w:val="0"/>
              <w:rPr>
                <w:color w:val="000000"/>
                <w:highlight w:val="black"/>
              </w:rPr>
            </w:pPr>
            <w:r w:rsidRPr="00294FDC">
              <w:rPr>
                <w:color w:val="000000"/>
                <w:highlight w:val="black"/>
              </w:rPr>
              <w:t>xxxxx</w:t>
            </w:r>
          </w:p>
        </w:tc>
        <w:tc>
          <w:tcPr>
            <w:tcW w:w="1122" w:type="pct"/>
            <w:vMerge/>
          </w:tcPr>
          <w:p w14:paraId="77842B06" w14:textId="77777777" w:rsidR="00386DA4" w:rsidRDefault="00386DA4">
            <w:pPr>
              <w:pStyle w:val="NICETabletext"/>
              <w:keepNext w:val="0"/>
            </w:pPr>
          </w:p>
        </w:tc>
        <w:tc>
          <w:tcPr>
            <w:tcW w:w="755" w:type="pct"/>
            <w:vMerge/>
          </w:tcPr>
          <w:p w14:paraId="24737C9E" w14:textId="77777777" w:rsidR="00386DA4" w:rsidRDefault="00386DA4">
            <w:pPr>
              <w:pStyle w:val="Tablebody"/>
            </w:pPr>
          </w:p>
        </w:tc>
      </w:tr>
      <w:tr w:rsidR="00386DA4" w14:paraId="2B304B1D" w14:textId="77777777">
        <w:tc>
          <w:tcPr>
            <w:tcW w:w="2001" w:type="pct"/>
          </w:tcPr>
          <w:p w14:paraId="45F6FB5A" w14:textId="77777777" w:rsidR="00386DA4" w:rsidRDefault="00386DA4">
            <w:pPr>
              <w:pStyle w:val="NICETabletext"/>
              <w:keepNext w:val="0"/>
            </w:pPr>
            <w:r>
              <w:t>Neutrophil count decreased – cost</w:t>
            </w:r>
          </w:p>
        </w:tc>
        <w:tc>
          <w:tcPr>
            <w:tcW w:w="1122" w:type="pct"/>
            <w:tcBorders>
              <w:top w:val="single" w:sz="4" w:space="0" w:color="auto"/>
              <w:left w:val="single" w:sz="4" w:space="0" w:color="auto"/>
              <w:bottom w:val="single" w:sz="4" w:space="0" w:color="auto"/>
              <w:right w:val="single" w:sz="4" w:space="0" w:color="auto"/>
            </w:tcBorders>
            <w:shd w:val="clear" w:color="auto" w:fill="auto"/>
            <w:vAlign w:val="bottom"/>
          </w:tcPr>
          <w:p w14:paraId="2F1592B9" w14:textId="77777777" w:rsidR="00386DA4" w:rsidRPr="00873C0B" w:rsidRDefault="00386DA4">
            <w:pPr>
              <w:pStyle w:val="NICETabletext"/>
              <w:keepNext w:val="0"/>
              <w:rPr>
                <w:rFonts w:cs="Arial"/>
                <w:szCs w:val="20"/>
              </w:rPr>
            </w:pPr>
            <w:r w:rsidRPr="007B3CF2">
              <w:rPr>
                <w:rFonts w:cs="Arial"/>
                <w:color w:val="000000"/>
                <w:szCs w:val="20"/>
              </w:rPr>
              <w:t>£761.01</w:t>
            </w:r>
          </w:p>
        </w:tc>
        <w:tc>
          <w:tcPr>
            <w:tcW w:w="1122" w:type="pct"/>
            <w:vMerge w:val="restart"/>
          </w:tcPr>
          <w:p w14:paraId="69AA93AE" w14:textId="77777777" w:rsidR="00386DA4" w:rsidRDefault="00386DA4">
            <w:pPr>
              <w:pStyle w:val="NICETabletext"/>
              <w:keepNext w:val="0"/>
            </w:pPr>
            <w:r>
              <w:t>Variation: 0.025 (Gamma)</w:t>
            </w:r>
          </w:p>
          <w:p w14:paraId="4FF05732" w14:textId="77777777" w:rsidR="00386DA4" w:rsidRDefault="00386DA4">
            <w:pPr>
              <w:pStyle w:val="NICETabletext"/>
              <w:keepNext w:val="0"/>
            </w:pPr>
          </w:p>
          <w:p w14:paraId="524E02F6" w14:textId="77777777" w:rsidR="00386DA4" w:rsidRDefault="00386DA4">
            <w:pPr>
              <w:pStyle w:val="NICETabletext"/>
              <w:keepNext w:val="0"/>
            </w:pPr>
          </w:p>
          <w:p w14:paraId="15D4837E" w14:textId="77777777" w:rsidR="00386DA4" w:rsidRDefault="00386DA4">
            <w:pPr>
              <w:pStyle w:val="NICETabletext"/>
              <w:keepNext w:val="0"/>
            </w:pPr>
          </w:p>
          <w:p w14:paraId="14C53060" w14:textId="77777777" w:rsidR="00386DA4" w:rsidRDefault="00386DA4">
            <w:pPr>
              <w:pStyle w:val="NICETabletext"/>
            </w:pPr>
          </w:p>
        </w:tc>
        <w:tc>
          <w:tcPr>
            <w:tcW w:w="755" w:type="pct"/>
            <w:vMerge w:val="restart"/>
          </w:tcPr>
          <w:p w14:paraId="6BDD7DCE" w14:textId="3484C804" w:rsidR="00386DA4" w:rsidRDefault="00386DA4">
            <w:pPr>
              <w:pStyle w:val="Tablebody"/>
            </w:pPr>
            <w:r>
              <w:t xml:space="preserve">Section </w:t>
            </w:r>
            <w:r>
              <w:fldChar w:fldCharType="begin"/>
            </w:r>
            <w:r>
              <w:instrText xml:space="preserve"> REF _Ref99729355 \r \h  \* MERGEFORMAT </w:instrText>
            </w:r>
            <w:r>
              <w:fldChar w:fldCharType="separate"/>
            </w:r>
            <w:r w:rsidR="00145F42">
              <w:t>B.3.5.3</w:t>
            </w:r>
            <w:r>
              <w:fldChar w:fldCharType="end"/>
            </w:r>
            <w:r>
              <w:t xml:space="preserve"> </w:t>
            </w:r>
            <w:r>
              <w:fldChar w:fldCharType="begin"/>
            </w:r>
            <w:r>
              <w:instrText xml:space="preserve"> REF _Ref96105357 \h </w:instrText>
            </w:r>
            <w:r>
              <w:fldChar w:fldCharType="separate"/>
            </w:r>
            <w:r w:rsidR="00145F42">
              <w:t xml:space="preserve">Table </w:t>
            </w:r>
            <w:r w:rsidR="00145F42">
              <w:rPr>
                <w:noProof/>
              </w:rPr>
              <w:t>57</w:t>
            </w:r>
            <w:r>
              <w:fldChar w:fldCharType="end"/>
            </w:r>
          </w:p>
        </w:tc>
      </w:tr>
      <w:tr w:rsidR="00386DA4" w14:paraId="43B26914" w14:textId="77777777">
        <w:tc>
          <w:tcPr>
            <w:tcW w:w="2001" w:type="pct"/>
          </w:tcPr>
          <w:p w14:paraId="76BE5400" w14:textId="77777777" w:rsidR="00386DA4" w:rsidRDefault="00386DA4">
            <w:pPr>
              <w:pStyle w:val="NICETabletext"/>
              <w:keepNext w:val="0"/>
            </w:pPr>
            <w:r>
              <w:t>Anaemia - cost</w:t>
            </w:r>
          </w:p>
        </w:tc>
        <w:tc>
          <w:tcPr>
            <w:tcW w:w="1122" w:type="pct"/>
            <w:tcBorders>
              <w:top w:val="nil"/>
              <w:left w:val="single" w:sz="4" w:space="0" w:color="auto"/>
              <w:bottom w:val="single" w:sz="4" w:space="0" w:color="auto"/>
              <w:right w:val="single" w:sz="4" w:space="0" w:color="auto"/>
            </w:tcBorders>
            <w:shd w:val="clear" w:color="auto" w:fill="auto"/>
            <w:vAlign w:val="bottom"/>
          </w:tcPr>
          <w:p w14:paraId="7EA9743D" w14:textId="77777777" w:rsidR="00386DA4" w:rsidRPr="00873C0B" w:rsidRDefault="00386DA4">
            <w:pPr>
              <w:pStyle w:val="NICETabletext"/>
              <w:keepNext w:val="0"/>
              <w:rPr>
                <w:rFonts w:cs="Arial"/>
                <w:szCs w:val="20"/>
              </w:rPr>
            </w:pPr>
            <w:r w:rsidRPr="007B3CF2">
              <w:rPr>
                <w:rFonts w:cs="Arial"/>
                <w:color w:val="000000"/>
                <w:szCs w:val="20"/>
              </w:rPr>
              <w:t>£735.80</w:t>
            </w:r>
          </w:p>
        </w:tc>
        <w:tc>
          <w:tcPr>
            <w:tcW w:w="1122" w:type="pct"/>
            <w:vMerge/>
          </w:tcPr>
          <w:p w14:paraId="45DD4C42" w14:textId="77777777" w:rsidR="00386DA4" w:rsidRDefault="00386DA4">
            <w:pPr>
              <w:pStyle w:val="NICETabletext"/>
            </w:pPr>
          </w:p>
        </w:tc>
        <w:tc>
          <w:tcPr>
            <w:tcW w:w="755" w:type="pct"/>
            <w:vMerge/>
          </w:tcPr>
          <w:p w14:paraId="55C362CE" w14:textId="77777777" w:rsidR="00386DA4" w:rsidRDefault="00386DA4">
            <w:pPr>
              <w:pStyle w:val="Tablebody"/>
            </w:pPr>
          </w:p>
        </w:tc>
      </w:tr>
      <w:tr w:rsidR="00386DA4" w14:paraId="2C2FBE8F" w14:textId="77777777">
        <w:tc>
          <w:tcPr>
            <w:tcW w:w="2001" w:type="pct"/>
          </w:tcPr>
          <w:p w14:paraId="2E7601DA" w14:textId="77777777" w:rsidR="00386DA4" w:rsidDel="00C4341E" w:rsidRDefault="00386DA4">
            <w:pPr>
              <w:pStyle w:val="NICETabletext"/>
              <w:keepNext w:val="0"/>
            </w:pPr>
            <w:r>
              <w:t>White blood cell count decreased - cost</w:t>
            </w:r>
          </w:p>
        </w:tc>
        <w:tc>
          <w:tcPr>
            <w:tcW w:w="1122" w:type="pct"/>
            <w:tcBorders>
              <w:top w:val="nil"/>
              <w:left w:val="single" w:sz="4" w:space="0" w:color="auto"/>
              <w:bottom w:val="single" w:sz="4" w:space="0" w:color="auto"/>
              <w:right w:val="single" w:sz="4" w:space="0" w:color="auto"/>
            </w:tcBorders>
            <w:shd w:val="clear" w:color="auto" w:fill="auto"/>
            <w:vAlign w:val="bottom"/>
          </w:tcPr>
          <w:p w14:paraId="0031DD05" w14:textId="77777777" w:rsidR="00386DA4" w:rsidRPr="00873C0B" w:rsidDel="00461700" w:rsidRDefault="00386DA4">
            <w:pPr>
              <w:pStyle w:val="NICETabletext"/>
              <w:keepNext w:val="0"/>
              <w:rPr>
                <w:rFonts w:cs="Arial"/>
                <w:szCs w:val="20"/>
              </w:rPr>
            </w:pPr>
            <w:r w:rsidRPr="007B3CF2">
              <w:rPr>
                <w:rFonts w:cs="Arial"/>
                <w:color w:val="000000"/>
                <w:szCs w:val="20"/>
              </w:rPr>
              <w:t>£761.01</w:t>
            </w:r>
          </w:p>
        </w:tc>
        <w:tc>
          <w:tcPr>
            <w:tcW w:w="1122" w:type="pct"/>
            <w:vMerge/>
          </w:tcPr>
          <w:p w14:paraId="13F8AD9C" w14:textId="77777777" w:rsidR="00386DA4" w:rsidDel="00461700" w:rsidRDefault="00386DA4">
            <w:pPr>
              <w:pStyle w:val="NICETabletext"/>
            </w:pPr>
          </w:p>
        </w:tc>
        <w:tc>
          <w:tcPr>
            <w:tcW w:w="755" w:type="pct"/>
            <w:vMerge/>
          </w:tcPr>
          <w:p w14:paraId="4628F444" w14:textId="77777777" w:rsidR="00386DA4" w:rsidRDefault="00386DA4">
            <w:pPr>
              <w:pStyle w:val="Tablebody"/>
            </w:pPr>
          </w:p>
        </w:tc>
      </w:tr>
      <w:tr w:rsidR="00386DA4" w14:paraId="2C3332C9" w14:textId="77777777">
        <w:tc>
          <w:tcPr>
            <w:tcW w:w="2001" w:type="pct"/>
          </w:tcPr>
          <w:p w14:paraId="3EAE488B" w14:textId="77777777" w:rsidR="00386DA4" w:rsidRDefault="00386DA4">
            <w:pPr>
              <w:pStyle w:val="NICETabletext"/>
              <w:keepNext w:val="0"/>
            </w:pPr>
            <w:r>
              <w:t>Platelet count decreased</w:t>
            </w:r>
            <w:r w:rsidDel="00C4341E">
              <w:t xml:space="preserve"> </w:t>
            </w:r>
            <w:r>
              <w:t>- cost</w:t>
            </w:r>
          </w:p>
        </w:tc>
        <w:tc>
          <w:tcPr>
            <w:tcW w:w="1122" w:type="pct"/>
            <w:tcBorders>
              <w:top w:val="nil"/>
              <w:left w:val="single" w:sz="4" w:space="0" w:color="auto"/>
              <w:bottom w:val="single" w:sz="4" w:space="0" w:color="auto"/>
              <w:right w:val="single" w:sz="4" w:space="0" w:color="auto"/>
            </w:tcBorders>
            <w:shd w:val="clear" w:color="auto" w:fill="auto"/>
            <w:vAlign w:val="bottom"/>
          </w:tcPr>
          <w:p w14:paraId="3F21D91C" w14:textId="77777777" w:rsidR="00386DA4" w:rsidRPr="00873C0B" w:rsidRDefault="00386DA4">
            <w:pPr>
              <w:pStyle w:val="NICETabletext"/>
              <w:keepNext w:val="0"/>
              <w:rPr>
                <w:rFonts w:cs="Arial"/>
                <w:szCs w:val="20"/>
              </w:rPr>
            </w:pPr>
            <w:r w:rsidRPr="007B3CF2">
              <w:rPr>
                <w:rFonts w:cs="Arial"/>
                <w:color w:val="000000"/>
                <w:szCs w:val="20"/>
              </w:rPr>
              <w:t>£881.88</w:t>
            </w:r>
          </w:p>
        </w:tc>
        <w:tc>
          <w:tcPr>
            <w:tcW w:w="1122" w:type="pct"/>
            <w:vMerge/>
          </w:tcPr>
          <w:p w14:paraId="1092CE22" w14:textId="77777777" w:rsidR="00386DA4" w:rsidRDefault="00386DA4">
            <w:pPr>
              <w:pStyle w:val="NICETabletext"/>
            </w:pPr>
          </w:p>
        </w:tc>
        <w:tc>
          <w:tcPr>
            <w:tcW w:w="755" w:type="pct"/>
            <w:vMerge/>
          </w:tcPr>
          <w:p w14:paraId="6AFAA259" w14:textId="77777777" w:rsidR="00386DA4" w:rsidRDefault="00386DA4">
            <w:pPr>
              <w:pStyle w:val="Tablebody"/>
            </w:pPr>
          </w:p>
        </w:tc>
      </w:tr>
      <w:tr w:rsidR="00386DA4" w14:paraId="291F2E8D" w14:textId="77777777">
        <w:tc>
          <w:tcPr>
            <w:tcW w:w="2001" w:type="pct"/>
          </w:tcPr>
          <w:p w14:paraId="433005A3" w14:textId="77777777" w:rsidR="00386DA4" w:rsidRDefault="00386DA4">
            <w:pPr>
              <w:pStyle w:val="NICETabletext"/>
              <w:keepNext w:val="0"/>
            </w:pPr>
            <w:r>
              <w:t>Fatigue - cost</w:t>
            </w:r>
          </w:p>
        </w:tc>
        <w:tc>
          <w:tcPr>
            <w:tcW w:w="1122" w:type="pct"/>
            <w:tcBorders>
              <w:top w:val="nil"/>
              <w:left w:val="single" w:sz="4" w:space="0" w:color="auto"/>
              <w:bottom w:val="single" w:sz="4" w:space="0" w:color="auto"/>
              <w:right w:val="single" w:sz="4" w:space="0" w:color="auto"/>
            </w:tcBorders>
            <w:shd w:val="clear" w:color="auto" w:fill="auto"/>
            <w:vAlign w:val="bottom"/>
          </w:tcPr>
          <w:p w14:paraId="24551608" w14:textId="77777777" w:rsidR="00386DA4" w:rsidRPr="007B3CF2" w:rsidRDefault="00386DA4">
            <w:pPr>
              <w:pStyle w:val="NICETabletext"/>
              <w:keepNext w:val="0"/>
              <w:rPr>
                <w:rFonts w:cs="Arial"/>
                <w:color w:val="000000"/>
                <w:szCs w:val="20"/>
              </w:rPr>
            </w:pPr>
            <w:r w:rsidRPr="007B3CF2">
              <w:rPr>
                <w:rFonts w:cs="Arial"/>
                <w:color w:val="000000"/>
                <w:szCs w:val="20"/>
              </w:rPr>
              <w:t>£41.00</w:t>
            </w:r>
          </w:p>
        </w:tc>
        <w:tc>
          <w:tcPr>
            <w:tcW w:w="1122" w:type="pct"/>
            <w:vMerge/>
          </w:tcPr>
          <w:p w14:paraId="6F3B063F" w14:textId="77777777" w:rsidR="00386DA4" w:rsidRDefault="00386DA4">
            <w:pPr>
              <w:pStyle w:val="NICETabletext"/>
            </w:pPr>
          </w:p>
        </w:tc>
        <w:tc>
          <w:tcPr>
            <w:tcW w:w="755" w:type="pct"/>
            <w:vMerge/>
          </w:tcPr>
          <w:p w14:paraId="466B9AD1" w14:textId="77777777" w:rsidR="00386DA4" w:rsidRDefault="00386DA4">
            <w:pPr>
              <w:pStyle w:val="Tablebody"/>
            </w:pPr>
          </w:p>
        </w:tc>
      </w:tr>
      <w:tr w:rsidR="00386DA4" w14:paraId="21B8FE81" w14:textId="77777777">
        <w:tc>
          <w:tcPr>
            <w:tcW w:w="2001" w:type="pct"/>
          </w:tcPr>
          <w:p w14:paraId="2C499CE8" w14:textId="77777777" w:rsidR="00386DA4" w:rsidRDefault="00386DA4">
            <w:pPr>
              <w:pStyle w:val="NICETabletext"/>
              <w:keepNext w:val="0"/>
            </w:pPr>
            <w:r>
              <w:lastRenderedPageBreak/>
              <w:t>Increased ALT - cost</w:t>
            </w:r>
          </w:p>
        </w:tc>
        <w:tc>
          <w:tcPr>
            <w:tcW w:w="1122" w:type="pct"/>
            <w:tcBorders>
              <w:top w:val="nil"/>
              <w:left w:val="single" w:sz="4" w:space="0" w:color="auto"/>
              <w:bottom w:val="single" w:sz="4" w:space="0" w:color="auto"/>
              <w:right w:val="single" w:sz="4" w:space="0" w:color="auto"/>
            </w:tcBorders>
            <w:shd w:val="clear" w:color="auto" w:fill="auto"/>
            <w:vAlign w:val="bottom"/>
          </w:tcPr>
          <w:p w14:paraId="1F154746" w14:textId="77777777" w:rsidR="00386DA4" w:rsidRPr="007B3CF2" w:rsidRDefault="00386DA4">
            <w:pPr>
              <w:pStyle w:val="NICETabletext"/>
              <w:keepNext w:val="0"/>
              <w:rPr>
                <w:rFonts w:cs="Arial"/>
                <w:color w:val="000000"/>
                <w:szCs w:val="20"/>
              </w:rPr>
            </w:pPr>
            <w:r w:rsidRPr="007B3CF2">
              <w:rPr>
                <w:rFonts w:cs="Arial"/>
                <w:color w:val="000000"/>
                <w:szCs w:val="20"/>
              </w:rPr>
              <w:t>£745.27</w:t>
            </w:r>
          </w:p>
        </w:tc>
        <w:tc>
          <w:tcPr>
            <w:tcW w:w="1122" w:type="pct"/>
            <w:vMerge/>
          </w:tcPr>
          <w:p w14:paraId="0E5C1DDA" w14:textId="77777777" w:rsidR="00386DA4" w:rsidRDefault="00386DA4">
            <w:pPr>
              <w:pStyle w:val="NICETabletext"/>
            </w:pPr>
          </w:p>
        </w:tc>
        <w:tc>
          <w:tcPr>
            <w:tcW w:w="755" w:type="pct"/>
            <w:vMerge/>
          </w:tcPr>
          <w:p w14:paraId="7EF1EA5D" w14:textId="77777777" w:rsidR="00386DA4" w:rsidRDefault="00386DA4">
            <w:pPr>
              <w:pStyle w:val="Tablebody"/>
            </w:pPr>
          </w:p>
        </w:tc>
      </w:tr>
      <w:tr w:rsidR="00386DA4" w14:paraId="66371C57" w14:textId="77777777">
        <w:tc>
          <w:tcPr>
            <w:tcW w:w="2001" w:type="pct"/>
          </w:tcPr>
          <w:p w14:paraId="51085322" w14:textId="77777777" w:rsidR="00386DA4" w:rsidRDefault="00386DA4">
            <w:pPr>
              <w:pStyle w:val="NICETabletext"/>
              <w:keepNext w:val="0"/>
            </w:pPr>
            <w:r>
              <w:t>Interstitial lung disease (any grade) - cost</w:t>
            </w:r>
          </w:p>
        </w:tc>
        <w:tc>
          <w:tcPr>
            <w:tcW w:w="1122" w:type="pct"/>
            <w:tcBorders>
              <w:top w:val="nil"/>
              <w:left w:val="single" w:sz="4" w:space="0" w:color="auto"/>
              <w:bottom w:val="single" w:sz="4" w:space="0" w:color="auto"/>
              <w:right w:val="single" w:sz="4" w:space="0" w:color="auto"/>
            </w:tcBorders>
            <w:shd w:val="clear" w:color="auto" w:fill="auto"/>
            <w:vAlign w:val="bottom"/>
          </w:tcPr>
          <w:p w14:paraId="476A2900" w14:textId="77777777" w:rsidR="00386DA4" w:rsidRPr="007B3CF2" w:rsidRDefault="00386DA4">
            <w:pPr>
              <w:pStyle w:val="NICETabletext"/>
              <w:keepNext w:val="0"/>
              <w:rPr>
                <w:rFonts w:cs="Arial"/>
                <w:color w:val="000000"/>
                <w:szCs w:val="20"/>
              </w:rPr>
            </w:pPr>
            <w:r w:rsidRPr="007B3CF2">
              <w:rPr>
                <w:rFonts w:cs="Arial"/>
                <w:color w:val="000000"/>
                <w:szCs w:val="20"/>
              </w:rPr>
              <w:t>£782.27</w:t>
            </w:r>
          </w:p>
        </w:tc>
        <w:tc>
          <w:tcPr>
            <w:tcW w:w="1122" w:type="pct"/>
            <w:vMerge/>
          </w:tcPr>
          <w:p w14:paraId="4EB3C32F" w14:textId="77777777" w:rsidR="00386DA4" w:rsidRDefault="00386DA4">
            <w:pPr>
              <w:pStyle w:val="NICETabletext"/>
              <w:keepNext w:val="0"/>
            </w:pPr>
          </w:p>
        </w:tc>
        <w:tc>
          <w:tcPr>
            <w:tcW w:w="755" w:type="pct"/>
            <w:vMerge/>
          </w:tcPr>
          <w:p w14:paraId="6153C846" w14:textId="77777777" w:rsidR="00386DA4" w:rsidRDefault="00386DA4">
            <w:pPr>
              <w:pStyle w:val="Tablebody"/>
            </w:pPr>
          </w:p>
        </w:tc>
      </w:tr>
      <w:tr w:rsidR="00386DA4" w14:paraId="21AC68A1" w14:textId="77777777">
        <w:tc>
          <w:tcPr>
            <w:tcW w:w="5000" w:type="pct"/>
            <w:gridSpan w:val="4"/>
          </w:tcPr>
          <w:p w14:paraId="6B47198F" w14:textId="77777777" w:rsidR="00386DA4" w:rsidRPr="00D109B8" w:rsidRDefault="00386DA4">
            <w:pPr>
              <w:pStyle w:val="Tablebody"/>
              <w:rPr>
                <w:b/>
                <w:bCs/>
                <w:i/>
                <w:iCs/>
              </w:rPr>
            </w:pPr>
            <w:r w:rsidRPr="00D109B8">
              <w:rPr>
                <w:b/>
                <w:bCs/>
                <w:i/>
                <w:iCs/>
              </w:rPr>
              <w:t>Resource use</w:t>
            </w:r>
          </w:p>
        </w:tc>
      </w:tr>
      <w:tr w:rsidR="00386DA4" w14:paraId="7364F719" w14:textId="77777777">
        <w:tc>
          <w:tcPr>
            <w:tcW w:w="2001" w:type="pct"/>
          </w:tcPr>
          <w:p w14:paraId="6E36AEB2" w14:textId="77777777" w:rsidR="00386DA4" w:rsidRPr="00506B76" w:rsidRDefault="00386DA4">
            <w:pPr>
              <w:pStyle w:val="NICETabletext"/>
              <w:keepNext w:val="0"/>
              <w:rPr>
                <w:szCs w:val="20"/>
              </w:rPr>
            </w:pPr>
            <w:r w:rsidRPr="00506B76">
              <w:rPr>
                <w:szCs w:val="20"/>
              </w:rPr>
              <w:t xml:space="preserve">RU - PF - GP </w:t>
            </w:r>
            <w:r>
              <w:rPr>
                <w:szCs w:val="20"/>
              </w:rPr>
              <w:t>visit</w:t>
            </w:r>
          </w:p>
        </w:tc>
        <w:tc>
          <w:tcPr>
            <w:tcW w:w="1122" w:type="pct"/>
          </w:tcPr>
          <w:p w14:paraId="42D8C412" w14:textId="77777777" w:rsidR="00386DA4" w:rsidRPr="00502A6D" w:rsidRDefault="00386DA4">
            <w:pPr>
              <w:pStyle w:val="NICETabletext"/>
              <w:keepNext w:val="0"/>
            </w:pPr>
            <w:r w:rsidRPr="00502A6D">
              <w:t>0.69</w:t>
            </w:r>
          </w:p>
        </w:tc>
        <w:tc>
          <w:tcPr>
            <w:tcW w:w="1122" w:type="pct"/>
            <w:vMerge w:val="restart"/>
          </w:tcPr>
          <w:p w14:paraId="10E6C57A" w14:textId="77777777" w:rsidR="00386DA4" w:rsidRPr="00506B76" w:rsidRDefault="00386DA4">
            <w:pPr>
              <w:pStyle w:val="NICETabletext"/>
              <w:keepNext w:val="0"/>
              <w:rPr>
                <w:szCs w:val="20"/>
              </w:rPr>
            </w:pPr>
            <w:r>
              <w:t>Variation: 0.025 (Gamma)</w:t>
            </w:r>
          </w:p>
          <w:p w14:paraId="0032921F" w14:textId="77777777" w:rsidR="00386DA4" w:rsidRPr="00506B76" w:rsidRDefault="00386DA4">
            <w:pPr>
              <w:pStyle w:val="NICETabletext"/>
              <w:keepNext w:val="0"/>
              <w:rPr>
                <w:szCs w:val="20"/>
              </w:rPr>
            </w:pPr>
          </w:p>
          <w:p w14:paraId="2F1C569A" w14:textId="77777777" w:rsidR="00386DA4" w:rsidRPr="00506B76" w:rsidRDefault="00386DA4">
            <w:pPr>
              <w:pStyle w:val="NICETabletext"/>
              <w:keepNext w:val="0"/>
              <w:rPr>
                <w:szCs w:val="20"/>
              </w:rPr>
            </w:pPr>
          </w:p>
          <w:p w14:paraId="6D331348" w14:textId="77777777" w:rsidR="00386DA4" w:rsidRPr="00506B76" w:rsidRDefault="00386DA4">
            <w:pPr>
              <w:pStyle w:val="NICETabletext"/>
              <w:keepNext w:val="0"/>
              <w:rPr>
                <w:szCs w:val="20"/>
              </w:rPr>
            </w:pPr>
          </w:p>
          <w:p w14:paraId="5B77A85E" w14:textId="77777777" w:rsidR="00386DA4" w:rsidRPr="00506B76" w:rsidRDefault="00386DA4">
            <w:pPr>
              <w:pStyle w:val="NICETabletext"/>
              <w:rPr>
                <w:szCs w:val="20"/>
              </w:rPr>
            </w:pPr>
          </w:p>
        </w:tc>
        <w:tc>
          <w:tcPr>
            <w:tcW w:w="755" w:type="pct"/>
            <w:vMerge w:val="restart"/>
          </w:tcPr>
          <w:p w14:paraId="1882F7B1" w14:textId="51E3B6AF" w:rsidR="00386DA4" w:rsidRDefault="00386DA4">
            <w:pPr>
              <w:pStyle w:val="Tablebody"/>
            </w:pPr>
            <w:r>
              <w:fldChar w:fldCharType="begin"/>
            </w:r>
            <w:r>
              <w:instrText xml:space="preserve"> REF _Ref125648315 \n \h </w:instrText>
            </w:r>
            <w:r>
              <w:fldChar w:fldCharType="separate"/>
            </w:r>
            <w:r w:rsidR="00145F42">
              <w:t>B.3.5.2</w:t>
            </w:r>
            <w:r>
              <w:fldChar w:fldCharType="end"/>
            </w:r>
            <w:r>
              <w:t xml:space="preserve"> </w:t>
            </w:r>
            <w:r>
              <w:fldChar w:fldCharType="begin"/>
            </w:r>
            <w:r>
              <w:instrText xml:space="preserve"> REF _Ref96105347 \h </w:instrText>
            </w:r>
            <w:r>
              <w:fldChar w:fldCharType="separate"/>
            </w:r>
            <w:r w:rsidR="00145F42">
              <w:t xml:space="preserve">Table </w:t>
            </w:r>
            <w:r w:rsidR="00145F42">
              <w:rPr>
                <w:noProof/>
              </w:rPr>
              <w:t>56</w:t>
            </w:r>
            <w:r>
              <w:fldChar w:fldCharType="end"/>
            </w:r>
          </w:p>
        </w:tc>
      </w:tr>
      <w:tr w:rsidR="00386DA4" w14:paraId="03851F9E" w14:textId="77777777">
        <w:tc>
          <w:tcPr>
            <w:tcW w:w="2001" w:type="pct"/>
          </w:tcPr>
          <w:p w14:paraId="036863F6" w14:textId="77777777" w:rsidR="00386DA4" w:rsidRPr="00AB307A" w:rsidRDefault="00386DA4">
            <w:pPr>
              <w:pStyle w:val="NICETabletext"/>
              <w:keepNext w:val="0"/>
              <w:rPr>
                <w:szCs w:val="20"/>
                <w:lang w:val="it-IT"/>
              </w:rPr>
            </w:pPr>
            <w:r w:rsidRPr="003D2C59">
              <w:rPr>
                <w:szCs w:val="20"/>
                <w:lang w:val="it-IT"/>
              </w:rPr>
              <w:t>RU - PF - Clinical nurse specialist</w:t>
            </w:r>
          </w:p>
        </w:tc>
        <w:tc>
          <w:tcPr>
            <w:tcW w:w="1122" w:type="pct"/>
          </w:tcPr>
          <w:p w14:paraId="56CF7ACE" w14:textId="77777777" w:rsidR="00386DA4" w:rsidRPr="00502A6D" w:rsidDel="00461700" w:rsidRDefault="00386DA4">
            <w:pPr>
              <w:pStyle w:val="NICETabletext"/>
              <w:keepNext w:val="0"/>
            </w:pPr>
            <w:r w:rsidRPr="00502A6D">
              <w:t>0.69</w:t>
            </w:r>
          </w:p>
        </w:tc>
        <w:tc>
          <w:tcPr>
            <w:tcW w:w="1122" w:type="pct"/>
            <w:vMerge/>
          </w:tcPr>
          <w:p w14:paraId="70A711A4" w14:textId="77777777" w:rsidR="00386DA4" w:rsidRPr="00506B76" w:rsidDel="00461700" w:rsidRDefault="00386DA4">
            <w:pPr>
              <w:pStyle w:val="NICETabletext"/>
              <w:rPr>
                <w:color w:val="000000"/>
                <w:szCs w:val="20"/>
              </w:rPr>
            </w:pPr>
          </w:p>
        </w:tc>
        <w:tc>
          <w:tcPr>
            <w:tcW w:w="755" w:type="pct"/>
            <w:vMerge/>
          </w:tcPr>
          <w:p w14:paraId="545CB47E" w14:textId="77777777" w:rsidR="00386DA4" w:rsidRDefault="00386DA4">
            <w:pPr>
              <w:pStyle w:val="Tablebody"/>
            </w:pPr>
          </w:p>
        </w:tc>
      </w:tr>
      <w:tr w:rsidR="00386DA4" w14:paraId="3C87855A" w14:textId="77777777">
        <w:tc>
          <w:tcPr>
            <w:tcW w:w="2001" w:type="pct"/>
          </w:tcPr>
          <w:p w14:paraId="251A9BB5" w14:textId="77777777" w:rsidR="00386DA4" w:rsidRPr="00506B76" w:rsidRDefault="00386DA4">
            <w:pPr>
              <w:pStyle w:val="NICETabletext"/>
              <w:keepNext w:val="0"/>
              <w:rPr>
                <w:szCs w:val="20"/>
              </w:rPr>
            </w:pPr>
            <w:r w:rsidRPr="00506B76">
              <w:rPr>
                <w:szCs w:val="20"/>
              </w:rPr>
              <w:t>RU - P</w:t>
            </w:r>
            <w:r>
              <w:rPr>
                <w:szCs w:val="20"/>
              </w:rPr>
              <w:t>F</w:t>
            </w:r>
            <w:r w:rsidRPr="00506B76">
              <w:rPr>
                <w:szCs w:val="20"/>
              </w:rPr>
              <w:t xml:space="preserve"> - </w:t>
            </w:r>
            <w:r>
              <w:rPr>
                <w:szCs w:val="20"/>
              </w:rPr>
              <w:t>Medical oncologist</w:t>
            </w:r>
          </w:p>
        </w:tc>
        <w:tc>
          <w:tcPr>
            <w:tcW w:w="1122" w:type="pct"/>
          </w:tcPr>
          <w:p w14:paraId="08D44826" w14:textId="77777777" w:rsidR="00386DA4" w:rsidRPr="00502A6D" w:rsidRDefault="00386DA4">
            <w:pPr>
              <w:pStyle w:val="NICETabletext"/>
              <w:keepNext w:val="0"/>
            </w:pPr>
            <w:r w:rsidRPr="00502A6D">
              <w:t>0.69</w:t>
            </w:r>
          </w:p>
        </w:tc>
        <w:tc>
          <w:tcPr>
            <w:tcW w:w="1122" w:type="pct"/>
            <w:vMerge/>
          </w:tcPr>
          <w:p w14:paraId="52E081AA" w14:textId="77777777" w:rsidR="00386DA4" w:rsidRPr="00506B76" w:rsidRDefault="00386DA4">
            <w:pPr>
              <w:pStyle w:val="NICETabletext"/>
              <w:rPr>
                <w:szCs w:val="20"/>
              </w:rPr>
            </w:pPr>
          </w:p>
        </w:tc>
        <w:tc>
          <w:tcPr>
            <w:tcW w:w="755" w:type="pct"/>
            <w:vMerge/>
          </w:tcPr>
          <w:p w14:paraId="09DB48E1" w14:textId="77777777" w:rsidR="00386DA4" w:rsidRDefault="00386DA4">
            <w:pPr>
              <w:pStyle w:val="Tablebody"/>
            </w:pPr>
          </w:p>
        </w:tc>
      </w:tr>
      <w:tr w:rsidR="00386DA4" w14:paraId="2B774962" w14:textId="77777777">
        <w:tc>
          <w:tcPr>
            <w:tcW w:w="2001" w:type="pct"/>
          </w:tcPr>
          <w:p w14:paraId="3613AE94" w14:textId="77777777" w:rsidR="00386DA4" w:rsidRPr="00506B76" w:rsidRDefault="00386DA4">
            <w:pPr>
              <w:pStyle w:val="NICETabletext"/>
              <w:keepNext w:val="0"/>
              <w:rPr>
                <w:szCs w:val="20"/>
              </w:rPr>
            </w:pPr>
            <w:r w:rsidRPr="00506B76">
              <w:rPr>
                <w:szCs w:val="20"/>
              </w:rPr>
              <w:t xml:space="preserve">RU - PF </w:t>
            </w:r>
            <w:r>
              <w:rPr>
                <w:szCs w:val="20"/>
              </w:rPr>
              <w:t>- ECHO scan</w:t>
            </w:r>
          </w:p>
        </w:tc>
        <w:tc>
          <w:tcPr>
            <w:tcW w:w="1122" w:type="pct"/>
          </w:tcPr>
          <w:p w14:paraId="2C1D3849" w14:textId="77777777" w:rsidR="00386DA4" w:rsidRPr="00502A6D" w:rsidDel="00461700" w:rsidRDefault="00386DA4">
            <w:pPr>
              <w:pStyle w:val="NICETabletext"/>
              <w:keepNext w:val="0"/>
            </w:pPr>
            <w:r w:rsidRPr="00502A6D">
              <w:t>0.23</w:t>
            </w:r>
          </w:p>
        </w:tc>
        <w:tc>
          <w:tcPr>
            <w:tcW w:w="1122" w:type="pct"/>
            <w:vMerge/>
          </w:tcPr>
          <w:p w14:paraId="78051E29" w14:textId="77777777" w:rsidR="00386DA4" w:rsidRPr="00506B76" w:rsidDel="00461700" w:rsidRDefault="00386DA4">
            <w:pPr>
              <w:pStyle w:val="NICETabletext"/>
              <w:rPr>
                <w:color w:val="000000"/>
                <w:szCs w:val="20"/>
              </w:rPr>
            </w:pPr>
          </w:p>
        </w:tc>
        <w:tc>
          <w:tcPr>
            <w:tcW w:w="755" w:type="pct"/>
            <w:vMerge/>
          </w:tcPr>
          <w:p w14:paraId="7762FC55" w14:textId="77777777" w:rsidR="00386DA4" w:rsidRDefault="00386DA4">
            <w:pPr>
              <w:pStyle w:val="Tablebody"/>
            </w:pPr>
          </w:p>
        </w:tc>
      </w:tr>
      <w:tr w:rsidR="00386DA4" w14:paraId="5DF5EC70" w14:textId="77777777">
        <w:tc>
          <w:tcPr>
            <w:tcW w:w="2001" w:type="pct"/>
          </w:tcPr>
          <w:p w14:paraId="1A46FBDC" w14:textId="77777777" w:rsidR="00386DA4" w:rsidRPr="00506B76" w:rsidRDefault="00386DA4">
            <w:pPr>
              <w:pStyle w:val="NICETabletext"/>
              <w:keepNext w:val="0"/>
              <w:rPr>
                <w:szCs w:val="20"/>
              </w:rPr>
            </w:pPr>
            <w:r>
              <w:rPr>
                <w:szCs w:val="20"/>
              </w:rPr>
              <w:t>RU - PF - CT scan</w:t>
            </w:r>
          </w:p>
        </w:tc>
        <w:tc>
          <w:tcPr>
            <w:tcW w:w="1122" w:type="pct"/>
          </w:tcPr>
          <w:p w14:paraId="3038F6CC" w14:textId="77777777" w:rsidR="00386DA4" w:rsidRPr="007B3CF2" w:rsidRDefault="00386DA4">
            <w:pPr>
              <w:pStyle w:val="NICETabletext"/>
              <w:keepNext w:val="0"/>
            </w:pPr>
            <w:r w:rsidRPr="007B3CF2">
              <w:t>0.</w:t>
            </w:r>
            <w:r w:rsidRPr="00502A6D">
              <w:t>23</w:t>
            </w:r>
          </w:p>
        </w:tc>
        <w:tc>
          <w:tcPr>
            <w:tcW w:w="1122" w:type="pct"/>
            <w:vMerge/>
          </w:tcPr>
          <w:p w14:paraId="1460BBB7" w14:textId="77777777" w:rsidR="00386DA4" w:rsidRPr="00506B76" w:rsidRDefault="00386DA4">
            <w:pPr>
              <w:pStyle w:val="NICETabletext"/>
              <w:rPr>
                <w:szCs w:val="20"/>
              </w:rPr>
            </w:pPr>
          </w:p>
        </w:tc>
        <w:tc>
          <w:tcPr>
            <w:tcW w:w="755" w:type="pct"/>
            <w:vMerge/>
          </w:tcPr>
          <w:p w14:paraId="5E0E1985" w14:textId="77777777" w:rsidR="00386DA4" w:rsidRDefault="00386DA4">
            <w:pPr>
              <w:pStyle w:val="Tablebody"/>
            </w:pPr>
          </w:p>
        </w:tc>
      </w:tr>
      <w:tr w:rsidR="00386DA4" w14:paraId="131063F4" w14:textId="77777777">
        <w:tc>
          <w:tcPr>
            <w:tcW w:w="2001" w:type="pct"/>
          </w:tcPr>
          <w:p w14:paraId="3E7C7ED2" w14:textId="77777777" w:rsidR="00386DA4" w:rsidRPr="003D2C59" w:rsidRDefault="00386DA4">
            <w:pPr>
              <w:pStyle w:val="NICETabletext"/>
              <w:keepNext w:val="0"/>
              <w:rPr>
                <w:szCs w:val="20"/>
                <w:lang w:val="it-IT"/>
              </w:rPr>
            </w:pPr>
            <w:r w:rsidRPr="00506B76">
              <w:rPr>
                <w:szCs w:val="20"/>
              </w:rPr>
              <w:t>RU - P</w:t>
            </w:r>
            <w:r>
              <w:rPr>
                <w:szCs w:val="20"/>
              </w:rPr>
              <w:t>D</w:t>
            </w:r>
            <w:r w:rsidRPr="00506B76">
              <w:rPr>
                <w:szCs w:val="20"/>
              </w:rPr>
              <w:t xml:space="preserve"> - GP </w:t>
            </w:r>
            <w:r>
              <w:rPr>
                <w:szCs w:val="20"/>
              </w:rPr>
              <w:t>visit</w:t>
            </w:r>
          </w:p>
        </w:tc>
        <w:tc>
          <w:tcPr>
            <w:tcW w:w="1122" w:type="pct"/>
          </w:tcPr>
          <w:p w14:paraId="491A1AFA" w14:textId="77777777" w:rsidR="00386DA4" w:rsidRPr="00502A6D" w:rsidRDefault="00386DA4">
            <w:pPr>
              <w:pStyle w:val="NICETabletext"/>
              <w:keepNext w:val="0"/>
            </w:pPr>
            <w:r w:rsidRPr="00502A6D">
              <w:t>0.69</w:t>
            </w:r>
          </w:p>
        </w:tc>
        <w:tc>
          <w:tcPr>
            <w:tcW w:w="1122" w:type="pct"/>
            <w:vMerge/>
          </w:tcPr>
          <w:p w14:paraId="0989B6C0" w14:textId="77777777" w:rsidR="00386DA4" w:rsidRPr="00506B76" w:rsidRDefault="00386DA4">
            <w:pPr>
              <w:pStyle w:val="NICETabletext"/>
              <w:rPr>
                <w:szCs w:val="20"/>
              </w:rPr>
            </w:pPr>
          </w:p>
        </w:tc>
        <w:tc>
          <w:tcPr>
            <w:tcW w:w="755" w:type="pct"/>
            <w:vMerge/>
          </w:tcPr>
          <w:p w14:paraId="033493A2" w14:textId="77777777" w:rsidR="00386DA4" w:rsidRDefault="00386DA4">
            <w:pPr>
              <w:pStyle w:val="Tablebody"/>
            </w:pPr>
          </w:p>
        </w:tc>
      </w:tr>
      <w:tr w:rsidR="00386DA4" w14:paraId="4EDD7DA3" w14:textId="77777777">
        <w:tc>
          <w:tcPr>
            <w:tcW w:w="2001" w:type="pct"/>
          </w:tcPr>
          <w:p w14:paraId="76D740A9" w14:textId="77777777" w:rsidR="00386DA4" w:rsidRPr="00AB307A" w:rsidRDefault="00386DA4">
            <w:pPr>
              <w:pStyle w:val="NICETabletext"/>
              <w:keepNext w:val="0"/>
              <w:rPr>
                <w:szCs w:val="20"/>
                <w:lang w:val="it-IT"/>
              </w:rPr>
            </w:pPr>
            <w:r w:rsidRPr="003D2C59">
              <w:rPr>
                <w:szCs w:val="20"/>
                <w:lang w:val="it-IT"/>
              </w:rPr>
              <w:t>RU - P</w:t>
            </w:r>
            <w:r>
              <w:rPr>
                <w:szCs w:val="20"/>
                <w:lang w:val="it-IT"/>
              </w:rPr>
              <w:t>D</w:t>
            </w:r>
            <w:r w:rsidRPr="003D2C59">
              <w:rPr>
                <w:szCs w:val="20"/>
                <w:lang w:val="it-IT"/>
              </w:rPr>
              <w:t xml:space="preserve"> - Clinical nurse specialist</w:t>
            </w:r>
          </w:p>
        </w:tc>
        <w:tc>
          <w:tcPr>
            <w:tcW w:w="1122" w:type="pct"/>
          </w:tcPr>
          <w:p w14:paraId="3AD88D01" w14:textId="77777777" w:rsidR="00386DA4" w:rsidRPr="00502A6D" w:rsidRDefault="00386DA4">
            <w:pPr>
              <w:pStyle w:val="NICETabletext"/>
              <w:keepNext w:val="0"/>
            </w:pPr>
            <w:r w:rsidRPr="00502A6D">
              <w:t>0.69</w:t>
            </w:r>
          </w:p>
        </w:tc>
        <w:tc>
          <w:tcPr>
            <w:tcW w:w="1122" w:type="pct"/>
            <w:vMerge/>
          </w:tcPr>
          <w:p w14:paraId="20A631B6" w14:textId="77777777" w:rsidR="00386DA4" w:rsidRPr="00506B76" w:rsidRDefault="00386DA4">
            <w:pPr>
              <w:pStyle w:val="NICETabletext"/>
              <w:rPr>
                <w:szCs w:val="20"/>
              </w:rPr>
            </w:pPr>
          </w:p>
        </w:tc>
        <w:tc>
          <w:tcPr>
            <w:tcW w:w="755" w:type="pct"/>
            <w:vMerge/>
          </w:tcPr>
          <w:p w14:paraId="22CDDE7F" w14:textId="77777777" w:rsidR="00386DA4" w:rsidRDefault="00386DA4">
            <w:pPr>
              <w:pStyle w:val="Tablebody"/>
            </w:pPr>
          </w:p>
        </w:tc>
      </w:tr>
      <w:tr w:rsidR="00386DA4" w14:paraId="6F1A5E6F" w14:textId="77777777">
        <w:tc>
          <w:tcPr>
            <w:tcW w:w="2001" w:type="pct"/>
          </w:tcPr>
          <w:p w14:paraId="2229A557" w14:textId="77777777" w:rsidR="00386DA4" w:rsidRPr="003D2C59" w:rsidRDefault="00386DA4">
            <w:pPr>
              <w:pStyle w:val="NICETabletext"/>
              <w:keepNext w:val="0"/>
              <w:rPr>
                <w:szCs w:val="20"/>
                <w:lang w:val="it-IT"/>
              </w:rPr>
            </w:pPr>
            <w:r w:rsidRPr="00506B76">
              <w:rPr>
                <w:szCs w:val="20"/>
              </w:rPr>
              <w:t>RU - P</w:t>
            </w:r>
            <w:r>
              <w:rPr>
                <w:szCs w:val="20"/>
              </w:rPr>
              <w:t>D</w:t>
            </w:r>
            <w:r w:rsidRPr="00506B76">
              <w:rPr>
                <w:szCs w:val="20"/>
              </w:rPr>
              <w:t xml:space="preserve"> - </w:t>
            </w:r>
            <w:r>
              <w:rPr>
                <w:szCs w:val="20"/>
              </w:rPr>
              <w:t>Medical oncologist</w:t>
            </w:r>
          </w:p>
        </w:tc>
        <w:tc>
          <w:tcPr>
            <w:tcW w:w="1122" w:type="pct"/>
          </w:tcPr>
          <w:p w14:paraId="32B8CD41" w14:textId="77777777" w:rsidR="00386DA4" w:rsidRPr="00502A6D" w:rsidRDefault="00386DA4">
            <w:pPr>
              <w:pStyle w:val="NICETabletext"/>
              <w:keepNext w:val="0"/>
            </w:pPr>
            <w:r w:rsidRPr="00502A6D">
              <w:t>0.69</w:t>
            </w:r>
          </w:p>
        </w:tc>
        <w:tc>
          <w:tcPr>
            <w:tcW w:w="1122" w:type="pct"/>
            <w:vMerge/>
          </w:tcPr>
          <w:p w14:paraId="76A6F780" w14:textId="77777777" w:rsidR="00386DA4" w:rsidRPr="00506B76" w:rsidRDefault="00386DA4">
            <w:pPr>
              <w:pStyle w:val="NICETabletext"/>
              <w:rPr>
                <w:szCs w:val="20"/>
              </w:rPr>
            </w:pPr>
          </w:p>
        </w:tc>
        <w:tc>
          <w:tcPr>
            <w:tcW w:w="755" w:type="pct"/>
            <w:vMerge/>
          </w:tcPr>
          <w:p w14:paraId="7E71CEE0" w14:textId="77777777" w:rsidR="00386DA4" w:rsidRDefault="00386DA4">
            <w:pPr>
              <w:pStyle w:val="Tablebody"/>
            </w:pPr>
          </w:p>
        </w:tc>
      </w:tr>
      <w:tr w:rsidR="00386DA4" w14:paraId="20A7CE02" w14:textId="77777777">
        <w:tc>
          <w:tcPr>
            <w:tcW w:w="2001" w:type="pct"/>
          </w:tcPr>
          <w:p w14:paraId="61A5BA4A" w14:textId="77777777" w:rsidR="00386DA4" w:rsidRPr="00506B76" w:rsidRDefault="00386DA4">
            <w:pPr>
              <w:pStyle w:val="NICETabletext"/>
              <w:keepNext w:val="0"/>
              <w:rPr>
                <w:szCs w:val="20"/>
              </w:rPr>
            </w:pPr>
            <w:r w:rsidRPr="00506B76">
              <w:rPr>
                <w:szCs w:val="20"/>
              </w:rPr>
              <w:t>RU - P</w:t>
            </w:r>
            <w:r>
              <w:rPr>
                <w:szCs w:val="20"/>
              </w:rPr>
              <w:t>D</w:t>
            </w:r>
            <w:r w:rsidRPr="00506B76">
              <w:rPr>
                <w:szCs w:val="20"/>
              </w:rPr>
              <w:t xml:space="preserve"> </w:t>
            </w:r>
            <w:r>
              <w:rPr>
                <w:szCs w:val="20"/>
              </w:rPr>
              <w:t>-</w:t>
            </w:r>
            <w:r w:rsidRPr="00506B76">
              <w:rPr>
                <w:szCs w:val="20"/>
              </w:rPr>
              <w:t xml:space="preserve"> </w:t>
            </w:r>
            <w:r>
              <w:rPr>
                <w:szCs w:val="20"/>
              </w:rPr>
              <w:t>ECHO scan</w:t>
            </w:r>
          </w:p>
        </w:tc>
        <w:tc>
          <w:tcPr>
            <w:tcW w:w="1122" w:type="pct"/>
          </w:tcPr>
          <w:p w14:paraId="2DE88D5D" w14:textId="77777777" w:rsidR="00386DA4" w:rsidRPr="00502A6D" w:rsidRDefault="00386DA4">
            <w:pPr>
              <w:pStyle w:val="NICETabletext"/>
              <w:keepNext w:val="0"/>
            </w:pPr>
            <w:r w:rsidRPr="00502A6D">
              <w:t>0.23</w:t>
            </w:r>
          </w:p>
        </w:tc>
        <w:tc>
          <w:tcPr>
            <w:tcW w:w="1122" w:type="pct"/>
            <w:vMerge/>
          </w:tcPr>
          <w:p w14:paraId="4D83F284" w14:textId="77777777" w:rsidR="00386DA4" w:rsidRPr="00506B76" w:rsidRDefault="00386DA4">
            <w:pPr>
              <w:pStyle w:val="NICETabletext"/>
              <w:keepNext w:val="0"/>
              <w:rPr>
                <w:szCs w:val="20"/>
              </w:rPr>
            </w:pPr>
          </w:p>
        </w:tc>
        <w:tc>
          <w:tcPr>
            <w:tcW w:w="755" w:type="pct"/>
            <w:vMerge/>
          </w:tcPr>
          <w:p w14:paraId="59FB819A" w14:textId="77777777" w:rsidR="00386DA4" w:rsidRDefault="00386DA4">
            <w:pPr>
              <w:pStyle w:val="Tablebody"/>
            </w:pPr>
          </w:p>
        </w:tc>
      </w:tr>
      <w:tr w:rsidR="00386DA4" w14:paraId="58698A10" w14:textId="77777777">
        <w:tc>
          <w:tcPr>
            <w:tcW w:w="2001" w:type="pct"/>
          </w:tcPr>
          <w:p w14:paraId="6096ED21" w14:textId="77777777" w:rsidR="00386DA4" w:rsidRPr="003D2C59" w:rsidRDefault="00386DA4">
            <w:pPr>
              <w:pStyle w:val="NICETabletext"/>
              <w:keepNext w:val="0"/>
              <w:rPr>
                <w:szCs w:val="20"/>
                <w:lang w:val="it-IT"/>
              </w:rPr>
            </w:pPr>
            <w:r>
              <w:rPr>
                <w:szCs w:val="20"/>
              </w:rPr>
              <w:t>RU - PD - CT scan</w:t>
            </w:r>
          </w:p>
        </w:tc>
        <w:tc>
          <w:tcPr>
            <w:tcW w:w="1122" w:type="pct"/>
          </w:tcPr>
          <w:p w14:paraId="1913F2FE" w14:textId="77777777" w:rsidR="00386DA4" w:rsidRPr="00502A6D" w:rsidRDefault="00386DA4">
            <w:pPr>
              <w:pStyle w:val="NICETabletext"/>
              <w:keepNext w:val="0"/>
            </w:pPr>
            <w:r w:rsidRPr="00502A6D">
              <w:t>0.23</w:t>
            </w:r>
          </w:p>
        </w:tc>
        <w:tc>
          <w:tcPr>
            <w:tcW w:w="1122" w:type="pct"/>
            <w:vMerge/>
          </w:tcPr>
          <w:p w14:paraId="2D5DB23F" w14:textId="77777777" w:rsidR="00386DA4" w:rsidRDefault="00386DA4">
            <w:pPr>
              <w:pStyle w:val="NICETabletext"/>
              <w:keepNext w:val="0"/>
            </w:pPr>
          </w:p>
        </w:tc>
        <w:tc>
          <w:tcPr>
            <w:tcW w:w="755" w:type="pct"/>
            <w:vMerge/>
          </w:tcPr>
          <w:p w14:paraId="7E8BE8A9" w14:textId="77777777" w:rsidR="00386DA4" w:rsidRDefault="00386DA4">
            <w:pPr>
              <w:pStyle w:val="Tablebody"/>
            </w:pPr>
          </w:p>
        </w:tc>
      </w:tr>
      <w:tr w:rsidR="00386DA4" w14:paraId="45F42160" w14:textId="77777777">
        <w:tc>
          <w:tcPr>
            <w:tcW w:w="2001" w:type="pct"/>
          </w:tcPr>
          <w:p w14:paraId="63E26C97" w14:textId="77777777" w:rsidR="00386DA4" w:rsidRPr="00AB307A" w:rsidRDefault="00386DA4">
            <w:pPr>
              <w:pStyle w:val="NICETabletext"/>
              <w:keepNext w:val="0"/>
              <w:rPr>
                <w:szCs w:val="20"/>
              </w:rPr>
            </w:pPr>
            <w:r w:rsidRPr="00AB307A">
              <w:rPr>
                <w:szCs w:val="20"/>
              </w:rPr>
              <w:t xml:space="preserve">RU - </w:t>
            </w:r>
            <w:r>
              <w:rPr>
                <w:szCs w:val="20"/>
              </w:rPr>
              <w:t>unit cost</w:t>
            </w:r>
            <w:r w:rsidRPr="00AB307A">
              <w:rPr>
                <w:szCs w:val="20"/>
              </w:rPr>
              <w:t xml:space="preserve"> – GP visit</w:t>
            </w:r>
          </w:p>
        </w:tc>
        <w:tc>
          <w:tcPr>
            <w:tcW w:w="1122" w:type="pct"/>
          </w:tcPr>
          <w:p w14:paraId="006CC276" w14:textId="77777777" w:rsidR="00386DA4" w:rsidRPr="00674057" w:rsidDel="00461700" w:rsidRDefault="00386DA4">
            <w:pPr>
              <w:pStyle w:val="NICETabletext"/>
              <w:keepNext w:val="0"/>
            </w:pPr>
            <w:r>
              <w:t>£39.00</w:t>
            </w:r>
          </w:p>
        </w:tc>
        <w:tc>
          <w:tcPr>
            <w:tcW w:w="1122" w:type="pct"/>
            <w:vMerge w:val="restart"/>
          </w:tcPr>
          <w:p w14:paraId="676CE808" w14:textId="77777777" w:rsidR="00386DA4" w:rsidRPr="00506B76" w:rsidRDefault="00386DA4">
            <w:pPr>
              <w:pStyle w:val="NICETabletext"/>
              <w:keepNext w:val="0"/>
              <w:rPr>
                <w:szCs w:val="20"/>
              </w:rPr>
            </w:pPr>
            <w:r>
              <w:t>Variation: 0.025 (Gamma)</w:t>
            </w:r>
          </w:p>
          <w:p w14:paraId="580E5977" w14:textId="77777777" w:rsidR="00386DA4" w:rsidRPr="00506B76" w:rsidRDefault="00386DA4">
            <w:pPr>
              <w:pStyle w:val="NICETabletext"/>
              <w:keepNext w:val="0"/>
              <w:rPr>
                <w:szCs w:val="20"/>
              </w:rPr>
            </w:pPr>
          </w:p>
          <w:p w14:paraId="398B1860" w14:textId="77777777" w:rsidR="00386DA4" w:rsidRDefault="00386DA4">
            <w:pPr>
              <w:pStyle w:val="NICETabletext"/>
            </w:pPr>
          </w:p>
        </w:tc>
        <w:tc>
          <w:tcPr>
            <w:tcW w:w="755" w:type="pct"/>
            <w:vMerge/>
          </w:tcPr>
          <w:p w14:paraId="2832F52A" w14:textId="77777777" w:rsidR="00386DA4" w:rsidRDefault="00386DA4">
            <w:pPr>
              <w:pStyle w:val="Tablebody"/>
            </w:pPr>
          </w:p>
        </w:tc>
      </w:tr>
      <w:tr w:rsidR="00386DA4" w14:paraId="59311F0B" w14:textId="77777777">
        <w:tc>
          <w:tcPr>
            <w:tcW w:w="2001" w:type="pct"/>
          </w:tcPr>
          <w:p w14:paraId="41B146E7" w14:textId="77777777" w:rsidR="00386DA4" w:rsidRPr="00506B76" w:rsidRDefault="00386DA4">
            <w:pPr>
              <w:pStyle w:val="NICETabletext"/>
              <w:keepNext w:val="0"/>
              <w:rPr>
                <w:szCs w:val="20"/>
              </w:rPr>
            </w:pPr>
            <w:r w:rsidRPr="00AB307A">
              <w:rPr>
                <w:szCs w:val="20"/>
              </w:rPr>
              <w:t xml:space="preserve">RU - </w:t>
            </w:r>
            <w:r>
              <w:rPr>
                <w:szCs w:val="20"/>
              </w:rPr>
              <w:t>unit cost</w:t>
            </w:r>
            <w:r w:rsidRPr="00AB307A">
              <w:rPr>
                <w:szCs w:val="20"/>
              </w:rPr>
              <w:t xml:space="preserve"> - Clinical nurse specialist</w:t>
            </w:r>
          </w:p>
        </w:tc>
        <w:tc>
          <w:tcPr>
            <w:tcW w:w="1122" w:type="pct"/>
          </w:tcPr>
          <w:p w14:paraId="48F9DC64" w14:textId="77777777" w:rsidR="00386DA4" w:rsidRPr="00674057" w:rsidRDefault="00386DA4">
            <w:pPr>
              <w:pStyle w:val="NICETabletext"/>
              <w:keepNext w:val="0"/>
            </w:pPr>
            <w:r>
              <w:t>£85.00</w:t>
            </w:r>
          </w:p>
        </w:tc>
        <w:tc>
          <w:tcPr>
            <w:tcW w:w="1122" w:type="pct"/>
            <w:vMerge/>
          </w:tcPr>
          <w:p w14:paraId="3488C551" w14:textId="77777777" w:rsidR="00386DA4" w:rsidRPr="00506B76" w:rsidRDefault="00386DA4">
            <w:pPr>
              <w:pStyle w:val="NICETabletext"/>
              <w:rPr>
                <w:szCs w:val="20"/>
              </w:rPr>
            </w:pPr>
          </w:p>
        </w:tc>
        <w:tc>
          <w:tcPr>
            <w:tcW w:w="755" w:type="pct"/>
            <w:vMerge/>
          </w:tcPr>
          <w:p w14:paraId="7E0677DC" w14:textId="77777777" w:rsidR="00386DA4" w:rsidRDefault="00386DA4">
            <w:pPr>
              <w:pStyle w:val="Tablebody"/>
            </w:pPr>
          </w:p>
        </w:tc>
      </w:tr>
      <w:tr w:rsidR="00386DA4" w14:paraId="2CC69613" w14:textId="77777777">
        <w:tc>
          <w:tcPr>
            <w:tcW w:w="2001" w:type="pct"/>
          </w:tcPr>
          <w:p w14:paraId="4C80C708" w14:textId="77777777" w:rsidR="00386DA4" w:rsidRPr="00506B76" w:rsidRDefault="00386DA4">
            <w:pPr>
              <w:pStyle w:val="NICETabletext"/>
              <w:keepNext w:val="0"/>
              <w:rPr>
                <w:szCs w:val="20"/>
              </w:rPr>
            </w:pPr>
            <w:r w:rsidRPr="00506B76">
              <w:rPr>
                <w:szCs w:val="20"/>
              </w:rPr>
              <w:t xml:space="preserve">RU - </w:t>
            </w:r>
            <w:r>
              <w:rPr>
                <w:szCs w:val="20"/>
              </w:rPr>
              <w:t>unit cost</w:t>
            </w:r>
            <w:r w:rsidRPr="00506B76">
              <w:rPr>
                <w:szCs w:val="20"/>
              </w:rPr>
              <w:t xml:space="preserve"> - </w:t>
            </w:r>
            <w:r>
              <w:rPr>
                <w:szCs w:val="20"/>
              </w:rPr>
              <w:t>Medial oncologist</w:t>
            </w:r>
          </w:p>
        </w:tc>
        <w:tc>
          <w:tcPr>
            <w:tcW w:w="1122" w:type="pct"/>
          </w:tcPr>
          <w:p w14:paraId="0360562D" w14:textId="77777777" w:rsidR="00386DA4" w:rsidRPr="00674057" w:rsidRDefault="00386DA4">
            <w:pPr>
              <w:pStyle w:val="NICETabletext"/>
              <w:keepNext w:val="0"/>
            </w:pPr>
            <w:r>
              <w:t>£225.00</w:t>
            </w:r>
          </w:p>
        </w:tc>
        <w:tc>
          <w:tcPr>
            <w:tcW w:w="1122" w:type="pct"/>
            <w:vMerge/>
          </w:tcPr>
          <w:p w14:paraId="21D6AEC7" w14:textId="77777777" w:rsidR="00386DA4" w:rsidRPr="00506B76" w:rsidRDefault="00386DA4">
            <w:pPr>
              <w:pStyle w:val="NICETabletext"/>
              <w:rPr>
                <w:szCs w:val="20"/>
              </w:rPr>
            </w:pPr>
          </w:p>
        </w:tc>
        <w:tc>
          <w:tcPr>
            <w:tcW w:w="755" w:type="pct"/>
            <w:vMerge/>
          </w:tcPr>
          <w:p w14:paraId="43FBC523" w14:textId="77777777" w:rsidR="00386DA4" w:rsidRDefault="00386DA4">
            <w:pPr>
              <w:pStyle w:val="Tablebody"/>
            </w:pPr>
          </w:p>
        </w:tc>
      </w:tr>
      <w:tr w:rsidR="00386DA4" w14:paraId="7A7341DD" w14:textId="77777777">
        <w:tc>
          <w:tcPr>
            <w:tcW w:w="2001" w:type="pct"/>
          </w:tcPr>
          <w:p w14:paraId="59781FE2" w14:textId="77777777" w:rsidR="00386DA4" w:rsidRPr="001E7D6B" w:rsidRDefault="00386DA4">
            <w:pPr>
              <w:pStyle w:val="NICETabletext"/>
              <w:keepNext w:val="0"/>
              <w:rPr>
                <w:szCs w:val="20"/>
              </w:rPr>
            </w:pPr>
            <w:r w:rsidRPr="001E7D6B">
              <w:rPr>
                <w:szCs w:val="20"/>
              </w:rPr>
              <w:t>RU - unit cost - ECHO scan</w:t>
            </w:r>
          </w:p>
        </w:tc>
        <w:tc>
          <w:tcPr>
            <w:tcW w:w="1122" w:type="pct"/>
          </w:tcPr>
          <w:p w14:paraId="706BF7CA" w14:textId="77777777" w:rsidR="00386DA4" w:rsidRPr="001E7D6B" w:rsidRDefault="00386DA4">
            <w:pPr>
              <w:pStyle w:val="NICETabletext"/>
            </w:pPr>
            <w:r w:rsidRPr="001E7D6B">
              <w:t>£</w:t>
            </w:r>
            <w:r w:rsidRPr="007B3CF2">
              <w:t>145.53</w:t>
            </w:r>
          </w:p>
        </w:tc>
        <w:tc>
          <w:tcPr>
            <w:tcW w:w="1122" w:type="pct"/>
            <w:vMerge/>
          </w:tcPr>
          <w:p w14:paraId="790E06A7" w14:textId="77777777" w:rsidR="00386DA4" w:rsidRPr="00506B76" w:rsidRDefault="00386DA4">
            <w:pPr>
              <w:pStyle w:val="NICETabletext"/>
              <w:keepNext w:val="0"/>
              <w:rPr>
                <w:szCs w:val="20"/>
              </w:rPr>
            </w:pPr>
          </w:p>
        </w:tc>
        <w:tc>
          <w:tcPr>
            <w:tcW w:w="755" w:type="pct"/>
            <w:vMerge/>
          </w:tcPr>
          <w:p w14:paraId="2A2221B1" w14:textId="77777777" w:rsidR="00386DA4" w:rsidRDefault="00386DA4">
            <w:pPr>
              <w:pStyle w:val="Tablebody"/>
            </w:pPr>
          </w:p>
        </w:tc>
      </w:tr>
      <w:tr w:rsidR="00386DA4" w14:paraId="7A391DCA" w14:textId="77777777">
        <w:tc>
          <w:tcPr>
            <w:tcW w:w="2001" w:type="pct"/>
          </w:tcPr>
          <w:p w14:paraId="32B2AED3" w14:textId="77777777" w:rsidR="00386DA4" w:rsidRPr="001E7D6B" w:rsidRDefault="00386DA4">
            <w:pPr>
              <w:pStyle w:val="NICETabletext"/>
              <w:keepNext w:val="0"/>
              <w:rPr>
                <w:szCs w:val="20"/>
              </w:rPr>
            </w:pPr>
            <w:r w:rsidRPr="001E7D6B">
              <w:rPr>
                <w:szCs w:val="20"/>
              </w:rPr>
              <w:t>RU - unit cost - CT scan</w:t>
            </w:r>
          </w:p>
        </w:tc>
        <w:tc>
          <w:tcPr>
            <w:tcW w:w="1122" w:type="pct"/>
          </w:tcPr>
          <w:p w14:paraId="0BE9B217" w14:textId="77777777" w:rsidR="00386DA4" w:rsidRPr="001E7D6B" w:rsidDel="00461700" w:rsidRDefault="00386DA4">
            <w:pPr>
              <w:pStyle w:val="NICETabletext"/>
            </w:pPr>
            <w:r w:rsidRPr="001E7D6B">
              <w:t>£</w:t>
            </w:r>
            <w:r w:rsidRPr="007B3CF2">
              <w:t>105.66</w:t>
            </w:r>
          </w:p>
        </w:tc>
        <w:tc>
          <w:tcPr>
            <w:tcW w:w="1122" w:type="pct"/>
            <w:vMerge/>
          </w:tcPr>
          <w:p w14:paraId="1F61E33D" w14:textId="77777777" w:rsidR="00386DA4" w:rsidRPr="00506B76" w:rsidRDefault="00386DA4">
            <w:pPr>
              <w:pStyle w:val="NICETabletext"/>
              <w:keepNext w:val="0"/>
              <w:rPr>
                <w:szCs w:val="20"/>
              </w:rPr>
            </w:pPr>
          </w:p>
        </w:tc>
        <w:tc>
          <w:tcPr>
            <w:tcW w:w="755" w:type="pct"/>
            <w:vMerge/>
          </w:tcPr>
          <w:p w14:paraId="09576E8F" w14:textId="77777777" w:rsidR="00386DA4" w:rsidRDefault="00386DA4">
            <w:pPr>
              <w:pStyle w:val="Tablebody"/>
            </w:pPr>
          </w:p>
        </w:tc>
      </w:tr>
      <w:tr w:rsidR="00386DA4" w14:paraId="2BA7933D" w14:textId="77777777">
        <w:tc>
          <w:tcPr>
            <w:tcW w:w="5000" w:type="pct"/>
            <w:gridSpan w:val="4"/>
          </w:tcPr>
          <w:p w14:paraId="7C38D746" w14:textId="77777777" w:rsidR="00386DA4" w:rsidRPr="00C67C0A" w:rsidRDefault="00386DA4">
            <w:pPr>
              <w:pStyle w:val="Tablebody"/>
              <w:rPr>
                <w:b/>
                <w:bCs/>
                <w:i/>
                <w:iCs/>
              </w:rPr>
            </w:pPr>
            <w:r w:rsidRPr="00C67C0A">
              <w:rPr>
                <w:b/>
                <w:bCs/>
                <w:i/>
                <w:iCs/>
              </w:rPr>
              <w:t>End of life costs</w:t>
            </w:r>
          </w:p>
        </w:tc>
      </w:tr>
      <w:tr w:rsidR="00386DA4" w14:paraId="65954116" w14:textId="77777777">
        <w:tc>
          <w:tcPr>
            <w:tcW w:w="2001" w:type="pct"/>
          </w:tcPr>
          <w:p w14:paraId="56C859E9" w14:textId="77777777" w:rsidR="00386DA4" w:rsidRPr="001E7D6B" w:rsidRDefault="00386DA4">
            <w:pPr>
              <w:pStyle w:val="NICETabletext"/>
              <w:keepNext w:val="0"/>
              <w:rPr>
                <w:szCs w:val="20"/>
              </w:rPr>
            </w:pPr>
            <w:r>
              <w:rPr>
                <w:szCs w:val="20"/>
              </w:rPr>
              <w:t>Terminal care cost</w:t>
            </w:r>
          </w:p>
        </w:tc>
        <w:tc>
          <w:tcPr>
            <w:tcW w:w="1122" w:type="pct"/>
          </w:tcPr>
          <w:p w14:paraId="5F2E15CF" w14:textId="77777777" w:rsidR="00386DA4" w:rsidRPr="001E7D6B" w:rsidRDefault="00386DA4">
            <w:pPr>
              <w:pStyle w:val="NICETabletext"/>
            </w:pPr>
            <w:r w:rsidRPr="005149AD">
              <w:t>£4,856.38</w:t>
            </w:r>
          </w:p>
        </w:tc>
        <w:tc>
          <w:tcPr>
            <w:tcW w:w="1122" w:type="pct"/>
          </w:tcPr>
          <w:p w14:paraId="0607A20F" w14:textId="77777777" w:rsidR="00386DA4" w:rsidRPr="00506B76" w:rsidRDefault="00386DA4">
            <w:pPr>
              <w:pStyle w:val="NICETabletext"/>
              <w:keepNext w:val="0"/>
              <w:rPr>
                <w:szCs w:val="20"/>
              </w:rPr>
            </w:pPr>
            <w:r>
              <w:t>Variation: 0.025 (Gamma)</w:t>
            </w:r>
          </w:p>
        </w:tc>
        <w:tc>
          <w:tcPr>
            <w:tcW w:w="755" w:type="pct"/>
          </w:tcPr>
          <w:p w14:paraId="6DE0D697" w14:textId="79623481" w:rsidR="00386DA4" w:rsidRDefault="00F51071">
            <w:pPr>
              <w:pStyle w:val="Tablebody"/>
            </w:pPr>
            <w:r>
              <w:fldChar w:fldCharType="begin"/>
            </w:r>
            <w:r>
              <w:instrText xml:space="preserve"> REF _Ref127008711 \n \h </w:instrText>
            </w:r>
            <w:r>
              <w:fldChar w:fldCharType="separate"/>
            </w:r>
            <w:r w:rsidR="00145F42">
              <w:t>B.3.5.4.2</w:t>
            </w:r>
            <w:r>
              <w:fldChar w:fldCharType="end"/>
            </w:r>
          </w:p>
        </w:tc>
      </w:tr>
      <w:tr w:rsidR="00386DA4" w14:paraId="4878AE42" w14:textId="77777777">
        <w:tc>
          <w:tcPr>
            <w:tcW w:w="5000" w:type="pct"/>
            <w:gridSpan w:val="4"/>
          </w:tcPr>
          <w:p w14:paraId="29EEC7EE" w14:textId="77777777" w:rsidR="00386DA4" w:rsidRPr="00C41B0A" w:rsidRDefault="00386DA4">
            <w:pPr>
              <w:pStyle w:val="Tablebody"/>
              <w:rPr>
                <w:b/>
                <w:bCs/>
                <w:i/>
                <w:iCs/>
              </w:rPr>
            </w:pPr>
            <w:r w:rsidRPr="00C41B0A">
              <w:rPr>
                <w:b/>
                <w:bCs/>
                <w:i/>
                <w:iCs/>
              </w:rPr>
              <w:t>Subsequent treatment</w:t>
            </w:r>
          </w:p>
        </w:tc>
      </w:tr>
      <w:tr w:rsidR="00386DA4" w14:paraId="1DDDE26B" w14:textId="77777777">
        <w:tc>
          <w:tcPr>
            <w:tcW w:w="2001" w:type="pct"/>
          </w:tcPr>
          <w:p w14:paraId="58C1E7AD" w14:textId="77777777" w:rsidR="00386DA4" w:rsidRPr="00AB307A" w:rsidRDefault="00386DA4">
            <w:pPr>
              <w:pStyle w:val="NICETabletext"/>
              <w:keepNext w:val="0"/>
              <w:rPr>
                <w:lang w:val="fr-FR"/>
              </w:rPr>
            </w:pPr>
            <w:r w:rsidRPr="00AB307A">
              <w:rPr>
                <w:lang w:val="fr-FR"/>
              </w:rPr>
              <w:t>Sub trt – T-DXd - Capecitabine</w:t>
            </w:r>
          </w:p>
        </w:tc>
        <w:tc>
          <w:tcPr>
            <w:tcW w:w="1122" w:type="pct"/>
            <w:tcBorders>
              <w:top w:val="single" w:sz="4" w:space="0" w:color="auto"/>
              <w:left w:val="single" w:sz="4" w:space="0" w:color="auto"/>
              <w:bottom w:val="single" w:sz="4" w:space="0" w:color="auto"/>
              <w:right w:val="single" w:sz="4" w:space="0" w:color="auto"/>
            </w:tcBorders>
            <w:shd w:val="clear" w:color="auto" w:fill="auto"/>
            <w:vAlign w:val="bottom"/>
          </w:tcPr>
          <w:p w14:paraId="21E1BF8D" w14:textId="77777777" w:rsidR="00386DA4" w:rsidRPr="007E3E37" w:rsidRDefault="00386DA4">
            <w:pPr>
              <w:pStyle w:val="NICETabletext"/>
              <w:rPr>
                <w:rFonts w:cs="Arial"/>
                <w:color w:val="000000"/>
                <w:szCs w:val="20"/>
              </w:rPr>
            </w:pPr>
            <w:r w:rsidRPr="00C67C0A">
              <w:rPr>
                <w:rFonts w:cs="Arial"/>
                <w:color w:val="000000"/>
                <w:szCs w:val="20"/>
              </w:rPr>
              <w:t>£6.49</w:t>
            </w:r>
          </w:p>
        </w:tc>
        <w:tc>
          <w:tcPr>
            <w:tcW w:w="1122" w:type="pct"/>
            <w:vMerge w:val="restart"/>
            <w:vAlign w:val="center"/>
          </w:tcPr>
          <w:p w14:paraId="6C7E46AF" w14:textId="77777777" w:rsidR="00386DA4" w:rsidRPr="00506B76" w:rsidRDefault="00386DA4">
            <w:pPr>
              <w:pStyle w:val="NICETabletext"/>
              <w:keepNext w:val="0"/>
              <w:rPr>
                <w:szCs w:val="20"/>
              </w:rPr>
            </w:pPr>
            <w:r>
              <w:t>Variation: 0.025 (Gamma)</w:t>
            </w:r>
          </w:p>
          <w:p w14:paraId="436A85D6" w14:textId="77777777" w:rsidR="00386DA4" w:rsidRDefault="00386DA4">
            <w:pPr>
              <w:pStyle w:val="Tablebody"/>
            </w:pPr>
          </w:p>
        </w:tc>
        <w:tc>
          <w:tcPr>
            <w:tcW w:w="755" w:type="pct"/>
            <w:vMerge w:val="restart"/>
          </w:tcPr>
          <w:p w14:paraId="689D29B2" w14:textId="59D1B69E" w:rsidR="00386DA4" w:rsidRDefault="00386DA4">
            <w:pPr>
              <w:pStyle w:val="Tablebody"/>
            </w:pPr>
            <w:r>
              <w:t xml:space="preserve">Section </w:t>
            </w:r>
            <w:r>
              <w:fldChar w:fldCharType="begin"/>
            </w:r>
            <w:r>
              <w:instrText xml:space="preserve"> REF _Ref99729317 \n \h </w:instrText>
            </w:r>
            <w:r>
              <w:fldChar w:fldCharType="separate"/>
            </w:r>
            <w:r w:rsidR="00145F42">
              <w:t>B.3.5.1.1</w:t>
            </w:r>
            <w:r>
              <w:fldChar w:fldCharType="end"/>
            </w:r>
          </w:p>
          <w:p w14:paraId="70559263" w14:textId="24286C55" w:rsidR="00386DA4" w:rsidRDefault="00386DA4">
            <w:pPr>
              <w:pStyle w:val="Tablebody"/>
            </w:pPr>
            <w:r>
              <w:fldChar w:fldCharType="begin"/>
            </w:r>
            <w:r>
              <w:instrText xml:space="preserve"> REF _Ref96105268 \h </w:instrText>
            </w:r>
            <w:r>
              <w:fldChar w:fldCharType="separate"/>
            </w:r>
            <w:r w:rsidR="00145F42" w:rsidRPr="00BE4620">
              <w:t xml:space="preserve">Table </w:t>
            </w:r>
            <w:r w:rsidR="00145F42">
              <w:rPr>
                <w:noProof/>
              </w:rPr>
              <w:t>52</w:t>
            </w:r>
            <w:r>
              <w:fldChar w:fldCharType="end"/>
            </w:r>
          </w:p>
        </w:tc>
      </w:tr>
      <w:tr w:rsidR="00386DA4" w14:paraId="3F3ABF60" w14:textId="77777777">
        <w:tc>
          <w:tcPr>
            <w:tcW w:w="2001" w:type="pct"/>
          </w:tcPr>
          <w:p w14:paraId="6443DF7C" w14:textId="77777777" w:rsidR="00386DA4" w:rsidRPr="00AB307A" w:rsidRDefault="00386DA4">
            <w:pPr>
              <w:pStyle w:val="NICETabletext"/>
              <w:keepNext w:val="0"/>
              <w:rPr>
                <w:lang w:val="fr-FR"/>
              </w:rPr>
            </w:pPr>
            <w:r w:rsidRPr="00AB307A">
              <w:rPr>
                <w:lang w:val="fr-FR"/>
              </w:rPr>
              <w:t>Sub trt – T-DXd - Eribulin</w:t>
            </w:r>
          </w:p>
        </w:tc>
        <w:tc>
          <w:tcPr>
            <w:tcW w:w="1122" w:type="pct"/>
            <w:tcBorders>
              <w:top w:val="single" w:sz="4" w:space="0" w:color="auto"/>
              <w:left w:val="single" w:sz="4" w:space="0" w:color="auto"/>
              <w:bottom w:val="single" w:sz="4" w:space="0" w:color="auto"/>
              <w:right w:val="single" w:sz="4" w:space="0" w:color="auto"/>
            </w:tcBorders>
            <w:shd w:val="clear" w:color="auto" w:fill="auto"/>
            <w:vAlign w:val="bottom"/>
          </w:tcPr>
          <w:p w14:paraId="1AE1963B" w14:textId="77777777" w:rsidR="00386DA4" w:rsidRPr="007E3E37" w:rsidRDefault="00386DA4">
            <w:pPr>
              <w:pStyle w:val="NICETabletext"/>
              <w:rPr>
                <w:rFonts w:cs="Arial"/>
                <w:color w:val="000000"/>
                <w:szCs w:val="20"/>
              </w:rPr>
            </w:pPr>
            <w:r w:rsidRPr="00C67C0A">
              <w:rPr>
                <w:rFonts w:cs="Arial"/>
                <w:color w:val="000000"/>
                <w:szCs w:val="20"/>
              </w:rPr>
              <w:t>£361.00</w:t>
            </w:r>
          </w:p>
        </w:tc>
        <w:tc>
          <w:tcPr>
            <w:tcW w:w="1122" w:type="pct"/>
            <w:vMerge/>
            <w:vAlign w:val="center"/>
          </w:tcPr>
          <w:p w14:paraId="5B4D046A" w14:textId="77777777" w:rsidR="00386DA4" w:rsidRDefault="00386DA4">
            <w:pPr>
              <w:pStyle w:val="Tablebody"/>
            </w:pPr>
          </w:p>
        </w:tc>
        <w:tc>
          <w:tcPr>
            <w:tcW w:w="755" w:type="pct"/>
            <w:vMerge/>
          </w:tcPr>
          <w:p w14:paraId="34AF2C14" w14:textId="77777777" w:rsidR="00386DA4" w:rsidRDefault="00386DA4">
            <w:pPr>
              <w:pStyle w:val="Tablebody"/>
            </w:pPr>
          </w:p>
        </w:tc>
      </w:tr>
      <w:tr w:rsidR="00386DA4" w14:paraId="4AD54822" w14:textId="77777777">
        <w:tc>
          <w:tcPr>
            <w:tcW w:w="2001" w:type="pct"/>
          </w:tcPr>
          <w:p w14:paraId="4BCCA3FC" w14:textId="77777777" w:rsidR="00386DA4" w:rsidRPr="00AB307A" w:rsidRDefault="00386DA4">
            <w:pPr>
              <w:pStyle w:val="NICETabletext"/>
              <w:keepNext w:val="0"/>
              <w:rPr>
                <w:lang w:val="fr-FR"/>
              </w:rPr>
            </w:pPr>
            <w:r>
              <w:t>Sub trt – T-DXd - Gemcitabine</w:t>
            </w:r>
          </w:p>
        </w:tc>
        <w:tc>
          <w:tcPr>
            <w:tcW w:w="1122" w:type="pct"/>
            <w:tcBorders>
              <w:top w:val="single" w:sz="4" w:space="0" w:color="auto"/>
              <w:left w:val="single" w:sz="4" w:space="0" w:color="auto"/>
              <w:bottom w:val="single" w:sz="4" w:space="0" w:color="auto"/>
              <w:right w:val="single" w:sz="4" w:space="0" w:color="auto"/>
            </w:tcBorders>
            <w:shd w:val="clear" w:color="auto" w:fill="auto"/>
            <w:vAlign w:val="bottom"/>
          </w:tcPr>
          <w:p w14:paraId="04BBD9C9" w14:textId="77777777" w:rsidR="00386DA4" w:rsidRPr="007E3E37" w:rsidRDefault="00386DA4">
            <w:pPr>
              <w:pStyle w:val="NICETabletext"/>
              <w:rPr>
                <w:rFonts w:cs="Arial"/>
                <w:color w:val="000000"/>
                <w:szCs w:val="20"/>
              </w:rPr>
            </w:pPr>
            <w:r w:rsidRPr="00C67C0A">
              <w:rPr>
                <w:rFonts w:cs="Arial"/>
                <w:color w:val="000000"/>
                <w:szCs w:val="20"/>
              </w:rPr>
              <w:t>£32.99</w:t>
            </w:r>
          </w:p>
        </w:tc>
        <w:tc>
          <w:tcPr>
            <w:tcW w:w="1122" w:type="pct"/>
            <w:vMerge/>
            <w:vAlign w:val="center"/>
          </w:tcPr>
          <w:p w14:paraId="359EA254" w14:textId="77777777" w:rsidR="00386DA4" w:rsidRDefault="00386DA4">
            <w:pPr>
              <w:pStyle w:val="Tablebody"/>
            </w:pPr>
          </w:p>
        </w:tc>
        <w:tc>
          <w:tcPr>
            <w:tcW w:w="755" w:type="pct"/>
            <w:vMerge/>
          </w:tcPr>
          <w:p w14:paraId="21C62DBC" w14:textId="77777777" w:rsidR="00386DA4" w:rsidRDefault="00386DA4">
            <w:pPr>
              <w:pStyle w:val="Tablebody"/>
            </w:pPr>
          </w:p>
        </w:tc>
      </w:tr>
      <w:tr w:rsidR="00386DA4" w14:paraId="6D7753E9" w14:textId="77777777">
        <w:tc>
          <w:tcPr>
            <w:tcW w:w="2001" w:type="pct"/>
          </w:tcPr>
          <w:p w14:paraId="733D1B16" w14:textId="77777777" w:rsidR="00386DA4" w:rsidRPr="00AB307A" w:rsidRDefault="00386DA4">
            <w:pPr>
              <w:pStyle w:val="NICETabletext"/>
              <w:keepNext w:val="0"/>
              <w:rPr>
                <w:lang w:val="fr-FR"/>
              </w:rPr>
            </w:pPr>
            <w:r w:rsidRPr="00AB307A">
              <w:rPr>
                <w:lang w:val="fr-FR"/>
              </w:rPr>
              <w:t>Sub trt – T-DXd - Paclitaxel</w:t>
            </w:r>
          </w:p>
        </w:tc>
        <w:tc>
          <w:tcPr>
            <w:tcW w:w="1122" w:type="pct"/>
            <w:tcBorders>
              <w:top w:val="single" w:sz="4" w:space="0" w:color="auto"/>
              <w:left w:val="single" w:sz="4" w:space="0" w:color="auto"/>
              <w:bottom w:val="single" w:sz="4" w:space="0" w:color="auto"/>
              <w:right w:val="single" w:sz="4" w:space="0" w:color="auto"/>
            </w:tcBorders>
            <w:shd w:val="clear" w:color="auto" w:fill="auto"/>
            <w:vAlign w:val="bottom"/>
          </w:tcPr>
          <w:p w14:paraId="0A4519ED" w14:textId="77777777" w:rsidR="00386DA4" w:rsidRPr="007E3E37" w:rsidRDefault="00386DA4">
            <w:pPr>
              <w:pStyle w:val="NICETabletext"/>
              <w:rPr>
                <w:rFonts w:cs="Arial"/>
                <w:color w:val="000000"/>
                <w:szCs w:val="20"/>
              </w:rPr>
            </w:pPr>
            <w:r w:rsidRPr="00C67C0A">
              <w:rPr>
                <w:rFonts w:cs="Arial"/>
                <w:color w:val="000000"/>
                <w:szCs w:val="20"/>
              </w:rPr>
              <w:t>£12.47</w:t>
            </w:r>
          </w:p>
        </w:tc>
        <w:tc>
          <w:tcPr>
            <w:tcW w:w="1122" w:type="pct"/>
            <w:vMerge/>
            <w:vAlign w:val="center"/>
          </w:tcPr>
          <w:p w14:paraId="18004130" w14:textId="77777777" w:rsidR="00386DA4" w:rsidRDefault="00386DA4">
            <w:pPr>
              <w:pStyle w:val="Tablebody"/>
            </w:pPr>
          </w:p>
        </w:tc>
        <w:tc>
          <w:tcPr>
            <w:tcW w:w="755" w:type="pct"/>
            <w:vMerge/>
          </w:tcPr>
          <w:p w14:paraId="5CD188BB" w14:textId="77777777" w:rsidR="00386DA4" w:rsidRDefault="00386DA4">
            <w:pPr>
              <w:pStyle w:val="Tablebody"/>
            </w:pPr>
          </w:p>
        </w:tc>
      </w:tr>
      <w:tr w:rsidR="00386DA4" w14:paraId="2CC92627" w14:textId="77777777">
        <w:tc>
          <w:tcPr>
            <w:tcW w:w="2001" w:type="pct"/>
          </w:tcPr>
          <w:p w14:paraId="15DAF3A7" w14:textId="77777777" w:rsidR="00386DA4" w:rsidRPr="00AB307A" w:rsidRDefault="00386DA4">
            <w:pPr>
              <w:pStyle w:val="NICETabletext"/>
              <w:keepNext w:val="0"/>
              <w:rPr>
                <w:lang w:val="fr-FR"/>
              </w:rPr>
            </w:pPr>
            <w:r w:rsidRPr="00AB307A">
              <w:rPr>
                <w:lang w:val="fr-FR"/>
              </w:rPr>
              <w:t>Sub trt – T-DXd - Vinorelbine</w:t>
            </w:r>
          </w:p>
        </w:tc>
        <w:tc>
          <w:tcPr>
            <w:tcW w:w="1122" w:type="pct"/>
            <w:tcBorders>
              <w:top w:val="single" w:sz="4" w:space="0" w:color="auto"/>
              <w:left w:val="single" w:sz="4" w:space="0" w:color="auto"/>
              <w:bottom w:val="single" w:sz="4" w:space="0" w:color="auto"/>
              <w:right w:val="single" w:sz="4" w:space="0" w:color="auto"/>
            </w:tcBorders>
            <w:shd w:val="clear" w:color="auto" w:fill="auto"/>
            <w:vAlign w:val="bottom"/>
          </w:tcPr>
          <w:p w14:paraId="0BC217A0" w14:textId="77777777" w:rsidR="00386DA4" w:rsidRPr="007E3E37" w:rsidRDefault="00386DA4">
            <w:pPr>
              <w:pStyle w:val="NICETabletext"/>
              <w:rPr>
                <w:rFonts w:cs="Arial"/>
                <w:color w:val="000000"/>
                <w:szCs w:val="20"/>
              </w:rPr>
            </w:pPr>
            <w:r w:rsidRPr="00C67C0A">
              <w:rPr>
                <w:rFonts w:cs="Arial"/>
                <w:color w:val="000000"/>
                <w:szCs w:val="20"/>
              </w:rPr>
              <w:t>£166.13</w:t>
            </w:r>
          </w:p>
        </w:tc>
        <w:tc>
          <w:tcPr>
            <w:tcW w:w="1122" w:type="pct"/>
            <w:vMerge/>
            <w:vAlign w:val="center"/>
          </w:tcPr>
          <w:p w14:paraId="30111351" w14:textId="77777777" w:rsidR="00386DA4" w:rsidRDefault="00386DA4">
            <w:pPr>
              <w:pStyle w:val="Tablebody"/>
            </w:pPr>
          </w:p>
        </w:tc>
        <w:tc>
          <w:tcPr>
            <w:tcW w:w="755" w:type="pct"/>
            <w:vMerge/>
          </w:tcPr>
          <w:p w14:paraId="1A1EDB20" w14:textId="77777777" w:rsidR="00386DA4" w:rsidRDefault="00386DA4">
            <w:pPr>
              <w:pStyle w:val="Tablebody"/>
            </w:pPr>
          </w:p>
        </w:tc>
      </w:tr>
      <w:tr w:rsidR="00386DA4" w14:paraId="71BF000A" w14:textId="77777777">
        <w:tc>
          <w:tcPr>
            <w:tcW w:w="2001" w:type="pct"/>
          </w:tcPr>
          <w:p w14:paraId="3BC9839B" w14:textId="77777777" w:rsidR="00386DA4" w:rsidRPr="00AB307A" w:rsidRDefault="00386DA4">
            <w:pPr>
              <w:pStyle w:val="NICETabletext"/>
              <w:keepNext w:val="0"/>
              <w:rPr>
                <w:lang w:val="fr-FR"/>
              </w:rPr>
            </w:pPr>
            <w:r>
              <w:t>Sub trt – T-DXd – Fulvestrant</w:t>
            </w:r>
          </w:p>
        </w:tc>
        <w:tc>
          <w:tcPr>
            <w:tcW w:w="1122" w:type="pct"/>
            <w:tcBorders>
              <w:top w:val="single" w:sz="4" w:space="0" w:color="auto"/>
              <w:left w:val="single" w:sz="4" w:space="0" w:color="auto"/>
              <w:bottom w:val="single" w:sz="4" w:space="0" w:color="auto"/>
              <w:right w:val="single" w:sz="4" w:space="0" w:color="auto"/>
            </w:tcBorders>
            <w:shd w:val="clear" w:color="auto" w:fill="auto"/>
            <w:vAlign w:val="bottom"/>
          </w:tcPr>
          <w:p w14:paraId="3CCA9831" w14:textId="77777777" w:rsidR="00386DA4" w:rsidRPr="007E3E37" w:rsidRDefault="00386DA4">
            <w:pPr>
              <w:pStyle w:val="NICETabletext"/>
              <w:rPr>
                <w:rFonts w:cs="Arial"/>
                <w:color w:val="000000"/>
                <w:szCs w:val="20"/>
              </w:rPr>
            </w:pPr>
            <w:r w:rsidRPr="00C67C0A">
              <w:rPr>
                <w:rFonts w:cs="Arial"/>
                <w:color w:val="000000"/>
                <w:szCs w:val="20"/>
              </w:rPr>
              <w:t>£80.03</w:t>
            </w:r>
          </w:p>
        </w:tc>
        <w:tc>
          <w:tcPr>
            <w:tcW w:w="1122" w:type="pct"/>
            <w:vMerge/>
            <w:vAlign w:val="center"/>
          </w:tcPr>
          <w:p w14:paraId="433D6332" w14:textId="77777777" w:rsidR="00386DA4" w:rsidRDefault="00386DA4">
            <w:pPr>
              <w:pStyle w:val="Tablebody"/>
            </w:pPr>
          </w:p>
        </w:tc>
        <w:tc>
          <w:tcPr>
            <w:tcW w:w="755" w:type="pct"/>
            <w:vMerge/>
          </w:tcPr>
          <w:p w14:paraId="25135560" w14:textId="77777777" w:rsidR="00386DA4" w:rsidRDefault="00386DA4">
            <w:pPr>
              <w:pStyle w:val="Tablebody"/>
            </w:pPr>
          </w:p>
        </w:tc>
      </w:tr>
      <w:tr w:rsidR="00386DA4" w14:paraId="36E7FCE1" w14:textId="77777777">
        <w:tc>
          <w:tcPr>
            <w:tcW w:w="2001" w:type="pct"/>
          </w:tcPr>
          <w:p w14:paraId="47717A5E" w14:textId="77777777" w:rsidR="00386DA4" w:rsidRPr="009E721D" w:rsidRDefault="00386DA4">
            <w:pPr>
              <w:pStyle w:val="NICETabletext"/>
              <w:keepNext w:val="0"/>
            </w:pPr>
            <w:r>
              <w:t>Sub trt – T-DXd – Epirubicin</w:t>
            </w:r>
          </w:p>
        </w:tc>
        <w:tc>
          <w:tcPr>
            <w:tcW w:w="1122" w:type="pct"/>
            <w:tcBorders>
              <w:top w:val="single" w:sz="4" w:space="0" w:color="auto"/>
              <w:left w:val="single" w:sz="4" w:space="0" w:color="auto"/>
              <w:bottom w:val="single" w:sz="4" w:space="0" w:color="auto"/>
              <w:right w:val="single" w:sz="4" w:space="0" w:color="auto"/>
            </w:tcBorders>
            <w:shd w:val="clear" w:color="auto" w:fill="auto"/>
            <w:vAlign w:val="bottom"/>
          </w:tcPr>
          <w:p w14:paraId="67703001" w14:textId="77777777" w:rsidR="00386DA4" w:rsidRPr="007E3E37" w:rsidRDefault="00386DA4">
            <w:pPr>
              <w:pStyle w:val="NICETabletext"/>
              <w:rPr>
                <w:rFonts w:cs="Arial"/>
                <w:color w:val="000000"/>
                <w:szCs w:val="20"/>
              </w:rPr>
            </w:pPr>
            <w:r w:rsidRPr="00C67C0A">
              <w:rPr>
                <w:rFonts w:cs="Arial"/>
                <w:color w:val="000000"/>
                <w:szCs w:val="20"/>
              </w:rPr>
              <w:t>£11.03</w:t>
            </w:r>
          </w:p>
        </w:tc>
        <w:tc>
          <w:tcPr>
            <w:tcW w:w="1122" w:type="pct"/>
            <w:vMerge/>
            <w:vAlign w:val="center"/>
          </w:tcPr>
          <w:p w14:paraId="55EE779F" w14:textId="77777777" w:rsidR="00386DA4" w:rsidRDefault="00386DA4">
            <w:pPr>
              <w:pStyle w:val="Tablebody"/>
            </w:pPr>
          </w:p>
        </w:tc>
        <w:tc>
          <w:tcPr>
            <w:tcW w:w="755" w:type="pct"/>
            <w:vMerge/>
          </w:tcPr>
          <w:p w14:paraId="386FDFC3" w14:textId="77777777" w:rsidR="00386DA4" w:rsidRDefault="00386DA4">
            <w:pPr>
              <w:pStyle w:val="Tablebody"/>
            </w:pPr>
          </w:p>
        </w:tc>
      </w:tr>
      <w:tr w:rsidR="00386DA4" w14:paraId="4CBC20FD" w14:textId="77777777">
        <w:tc>
          <w:tcPr>
            <w:tcW w:w="2001" w:type="pct"/>
          </w:tcPr>
          <w:p w14:paraId="7CDD10B0" w14:textId="77777777" w:rsidR="00386DA4" w:rsidRPr="00AB307A" w:rsidRDefault="00386DA4">
            <w:pPr>
              <w:pStyle w:val="NICETabletext"/>
              <w:keepNext w:val="0"/>
              <w:rPr>
                <w:lang w:val="fr-FR"/>
              </w:rPr>
            </w:pPr>
            <w:r w:rsidRPr="00AB307A">
              <w:rPr>
                <w:lang w:val="fr-FR"/>
              </w:rPr>
              <w:t>Sub trt – T-DXd – Carboplatin</w:t>
            </w:r>
          </w:p>
        </w:tc>
        <w:tc>
          <w:tcPr>
            <w:tcW w:w="1122" w:type="pct"/>
            <w:tcBorders>
              <w:top w:val="single" w:sz="4" w:space="0" w:color="auto"/>
              <w:left w:val="single" w:sz="4" w:space="0" w:color="auto"/>
              <w:bottom w:val="single" w:sz="4" w:space="0" w:color="auto"/>
              <w:right w:val="single" w:sz="4" w:space="0" w:color="auto"/>
            </w:tcBorders>
            <w:shd w:val="clear" w:color="auto" w:fill="auto"/>
            <w:vAlign w:val="bottom"/>
          </w:tcPr>
          <w:p w14:paraId="47D61EAE" w14:textId="77777777" w:rsidR="00386DA4" w:rsidRPr="007E3E37" w:rsidRDefault="00386DA4">
            <w:pPr>
              <w:pStyle w:val="NICETabletext"/>
              <w:rPr>
                <w:rFonts w:cs="Arial"/>
                <w:color w:val="000000"/>
                <w:szCs w:val="20"/>
              </w:rPr>
            </w:pPr>
            <w:r w:rsidRPr="00C67C0A">
              <w:rPr>
                <w:rFonts w:cs="Arial"/>
                <w:color w:val="000000"/>
                <w:szCs w:val="20"/>
              </w:rPr>
              <w:t>£6.58</w:t>
            </w:r>
          </w:p>
        </w:tc>
        <w:tc>
          <w:tcPr>
            <w:tcW w:w="1122" w:type="pct"/>
            <w:vMerge/>
            <w:vAlign w:val="center"/>
          </w:tcPr>
          <w:p w14:paraId="7C63E508" w14:textId="77777777" w:rsidR="00386DA4" w:rsidRDefault="00386DA4">
            <w:pPr>
              <w:pStyle w:val="Tablebody"/>
            </w:pPr>
          </w:p>
        </w:tc>
        <w:tc>
          <w:tcPr>
            <w:tcW w:w="755" w:type="pct"/>
            <w:vMerge/>
          </w:tcPr>
          <w:p w14:paraId="1F564C5C" w14:textId="77777777" w:rsidR="00386DA4" w:rsidRDefault="00386DA4">
            <w:pPr>
              <w:pStyle w:val="Tablebody"/>
            </w:pPr>
          </w:p>
        </w:tc>
      </w:tr>
      <w:tr w:rsidR="00386DA4" w14:paraId="674023E7" w14:textId="77777777">
        <w:tc>
          <w:tcPr>
            <w:tcW w:w="2001" w:type="pct"/>
          </w:tcPr>
          <w:p w14:paraId="684A7342" w14:textId="77777777" w:rsidR="00386DA4" w:rsidRPr="009E721D" w:rsidRDefault="00386DA4">
            <w:pPr>
              <w:pStyle w:val="NICETabletext"/>
              <w:keepNext w:val="0"/>
            </w:pPr>
            <w:r>
              <w:t>Sub trt – T-DXd – Tamoxifen</w:t>
            </w:r>
          </w:p>
        </w:tc>
        <w:tc>
          <w:tcPr>
            <w:tcW w:w="1122" w:type="pct"/>
            <w:tcBorders>
              <w:top w:val="single" w:sz="4" w:space="0" w:color="auto"/>
              <w:left w:val="single" w:sz="4" w:space="0" w:color="auto"/>
              <w:bottom w:val="single" w:sz="4" w:space="0" w:color="auto"/>
              <w:right w:val="single" w:sz="4" w:space="0" w:color="auto"/>
            </w:tcBorders>
            <w:shd w:val="clear" w:color="auto" w:fill="auto"/>
            <w:vAlign w:val="bottom"/>
          </w:tcPr>
          <w:p w14:paraId="0B3493A8" w14:textId="77777777" w:rsidR="00386DA4" w:rsidRPr="007E3E37" w:rsidRDefault="00386DA4">
            <w:pPr>
              <w:pStyle w:val="NICETabletext"/>
              <w:rPr>
                <w:rFonts w:cs="Arial"/>
                <w:color w:val="000000"/>
                <w:szCs w:val="20"/>
              </w:rPr>
            </w:pPr>
            <w:r w:rsidRPr="00C67C0A">
              <w:rPr>
                <w:rFonts w:cs="Arial"/>
                <w:color w:val="000000"/>
                <w:szCs w:val="20"/>
              </w:rPr>
              <w:t>£3.42</w:t>
            </w:r>
          </w:p>
        </w:tc>
        <w:tc>
          <w:tcPr>
            <w:tcW w:w="1122" w:type="pct"/>
            <w:vMerge/>
            <w:vAlign w:val="center"/>
          </w:tcPr>
          <w:p w14:paraId="7B113DFD" w14:textId="77777777" w:rsidR="00386DA4" w:rsidRDefault="00386DA4">
            <w:pPr>
              <w:pStyle w:val="Tablebody"/>
            </w:pPr>
          </w:p>
        </w:tc>
        <w:tc>
          <w:tcPr>
            <w:tcW w:w="755" w:type="pct"/>
            <w:vMerge/>
          </w:tcPr>
          <w:p w14:paraId="5F840852" w14:textId="77777777" w:rsidR="00386DA4" w:rsidRDefault="00386DA4">
            <w:pPr>
              <w:pStyle w:val="Tablebody"/>
            </w:pPr>
          </w:p>
        </w:tc>
      </w:tr>
      <w:tr w:rsidR="00386DA4" w14:paraId="660BA2BD" w14:textId="77777777">
        <w:tc>
          <w:tcPr>
            <w:tcW w:w="2001" w:type="pct"/>
          </w:tcPr>
          <w:p w14:paraId="22AE4743" w14:textId="77777777" w:rsidR="00386DA4" w:rsidRPr="009E721D" w:rsidRDefault="00386DA4">
            <w:pPr>
              <w:pStyle w:val="NICETabletext"/>
              <w:keepNext w:val="0"/>
            </w:pPr>
            <w:r>
              <w:t>T-DXd - Proportion receiving subsequent treatment</w:t>
            </w:r>
          </w:p>
        </w:tc>
        <w:tc>
          <w:tcPr>
            <w:tcW w:w="1122" w:type="pct"/>
            <w:tcBorders>
              <w:top w:val="single" w:sz="4" w:space="0" w:color="auto"/>
              <w:left w:val="single" w:sz="4" w:space="0" w:color="auto"/>
              <w:bottom w:val="single" w:sz="4" w:space="0" w:color="auto"/>
              <w:right w:val="single" w:sz="4" w:space="0" w:color="auto"/>
            </w:tcBorders>
            <w:shd w:val="clear" w:color="auto" w:fill="auto"/>
            <w:vAlign w:val="bottom"/>
          </w:tcPr>
          <w:p w14:paraId="12F08FDD" w14:textId="06FBB820" w:rsidR="00386DA4" w:rsidRPr="00294FDC" w:rsidRDefault="00294FDC">
            <w:pPr>
              <w:pStyle w:val="NICETabletext"/>
              <w:rPr>
                <w:rFonts w:cs="Arial"/>
                <w:color w:val="000000"/>
                <w:szCs w:val="20"/>
                <w:highlight w:val="black"/>
              </w:rPr>
            </w:pPr>
            <w:r w:rsidRPr="00294FDC">
              <w:rPr>
                <w:rFonts w:cs="Arial"/>
                <w:color w:val="000000"/>
                <w:szCs w:val="20"/>
                <w:highlight w:val="black"/>
              </w:rPr>
              <w:t>xxxxxx</w:t>
            </w:r>
          </w:p>
        </w:tc>
        <w:tc>
          <w:tcPr>
            <w:tcW w:w="1122" w:type="pct"/>
            <w:vMerge w:val="restart"/>
            <w:vAlign w:val="center"/>
          </w:tcPr>
          <w:p w14:paraId="31CBBF71" w14:textId="77777777" w:rsidR="00386DA4" w:rsidRDefault="00386DA4">
            <w:pPr>
              <w:pStyle w:val="Tablebody"/>
            </w:pPr>
            <w:r>
              <w:t>Variation: 0.025 (</w:t>
            </w:r>
            <w:r w:rsidRPr="00AB542F">
              <w:t>Beta</w:t>
            </w:r>
            <w:r>
              <w:t>)</w:t>
            </w:r>
          </w:p>
        </w:tc>
        <w:tc>
          <w:tcPr>
            <w:tcW w:w="755" w:type="pct"/>
            <w:vMerge w:val="restart"/>
          </w:tcPr>
          <w:p w14:paraId="707C27B1" w14:textId="4F7A4092" w:rsidR="00386DA4" w:rsidRDefault="00386DA4">
            <w:pPr>
              <w:pStyle w:val="Tablebody"/>
            </w:pPr>
            <w:r>
              <w:t xml:space="preserve">Section </w:t>
            </w:r>
            <w:r w:rsidR="00BF4AEB">
              <w:fldChar w:fldCharType="begin"/>
            </w:r>
            <w:r w:rsidR="00BF4AEB">
              <w:instrText xml:space="preserve"> REF _Ref127008743 \n \h </w:instrText>
            </w:r>
            <w:r w:rsidR="00BF4AEB">
              <w:fldChar w:fldCharType="separate"/>
            </w:r>
            <w:r w:rsidR="00145F42">
              <w:t>B.3.5.4</w:t>
            </w:r>
            <w:r w:rsidR="00BF4AEB">
              <w:fldChar w:fldCharType="end"/>
            </w:r>
            <w:r w:rsidR="00BF4AEB">
              <w:t xml:space="preserve"> </w:t>
            </w:r>
            <w:r>
              <w:fldChar w:fldCharType="begin"/>
            </w:r>
            <w:r>
              <w:instrText xml:space="preserve"> REF _Ref126857522 \h </w:instrText>
            </w:r>
            <w:r>
              <w:fldChar w:fldCharType="separate"/>
            </w:r>
            <w:r w:rsidR="00145F42">
              <w:t xml:space="preserve">Table </w:t>
            </w:r>
            <w:r w:rsidR="00145F42">
              <w:rPr>
                <w:noProof/>
              </w:rPr>
              <w:t>60</w:t>
            </w:r>
            <w:r>
              <w:fldChar w:fldCharType="end"/>
            </w:r>
          </w:p>
        </w:tc>
      </w:tr>
      <w:tr w:rsidR="00386DA4" w14:paraId="29C8379A" w14:textId="77777777">
        <w:tc>
          <w:tcPr>
            <w:tcW w:w="2001" w:type="pct"/>
          </w:tcPr>
          <w:p w14:paraId="676F2D29" w14:textId="77777777" w:rsidR="00386DA4" w:rsidRPr="009E721D" w:rsidRDefault="00386DA4">
            <w:pPr>
              <w:pStyle w:val="NICETabletext"/>
              <w:keepNext w:val="0"/>
            </w:pPr>
            <w:r>
              <w:t>TPC - Proportion receiving subsequent treatment</w:t>
            </w:r>
          </w:p>
        </w:tc>
        <w:tc>
          <w:tcPr>
            <w:tcW w:w="1122" w:type="pct"/>
            <w:tcBorders>
              <w:top w:val="single" w:sz="4" w:space="0" w:color="auto"/>
              <w:left w:val="single" w:sz="4" w:space="0" w:color="auto"/>
              <w:bottom w:val="single" w:sz="4" w:space="0" w:color="auto"/>
              <w:right w:val="single" w:sz="4" w:space="0" w:color="auto"/>
            </w:tcBorders>
            <w:shd w:val="clear" w:color="auto" w:fill="auto"/>
            <w:vAlign w:val="bottom"/>
          </w:tcPr>
          <w:p w14:paraId="2F246B71" w14:textId="21854BDB" w:rsidR="00386DA4" w:rsidRPr="00294FDC" w:rsidRDefault="00294FDC">
            <w:pPr>
              <w:pStyle w:val="NICETabletext"/>
              <w:rPr>
                <w:rFonts w:cs="Arial"/>
                <w:color w:val="000000"/>
                <w:szCs w:val="20"/>
                <w:highlight w:val="black"/>
              </w:rPr>
            </w:pPr>
            <w:r w:rsidRPr="00294FDC">
              <w:rPr>
                <w:rFonts w:cs="Arial"/>
                <w:color w:val="000000"/>
                <w:szCs w:val="20"/>
                <w:highlight w:val="black"/>
              </w:rPr>
              <w:t>xxxxxx</w:t>
            </w:r>
          </w:p>
        </w:tc>
        <w:tc>
          <w:tcPr>
            <w:tcW w:w="1122" w:type="pct"/>
            <w:vMerge/>
            <w:vAlign w:val="center"/>
          </w:tcPr>
          <w:p w14:paraId="233A96F5" w14:textId="77777777" w:rsidR="00386DA4" w:rsidRDefault="00386DA4">
            <w:pPr>
              <w:pStyle w:val="Tablebody"/>
            </w:pPr>
          </w:p>
        </w:tc>
        <w:tc>
          <w:tcPr>
            <w:tcW w:w="755" w:type="pct"/>
            <w:vMerge/>
          </w:tcPr>
          <w:p w14:paraId="19BE04BB" w14:textId="77777777" w:rsidR="00386DA4" w:rsidRDefault="00386DA4">
            <w:pPr>
              <w:pStyle w:val="Tablebody"/>
            </w:pPr>
          </w:p>
        </w:tc>
      </w:tr>
      <w:tr w:rsidR="00386DA4" w14:paraId="0B735293" w14:textId="77777777">
        <w:tc>
          <w:tcPr>
            <w:tcW w:w="2001" w:type="pct"/>
          </w:tcPr>
          <w:p w14:paraId="0109D53B" w14:textId="77777777" w:rsidR="00386DA4" w:rsidRPr="00AB307A" w:rsidRDefault="00386DA4">
            <w:pPr>
              <w:pStyle w:val="NICETabletext"/>
              <w:keepNext w:val="0"/>
              <w:rPr>
                <w:lang w:val="fr-FR"/>
              </w:rPr>
            </w:pPr>
            <w:r w:rsidRPr="00AB307A">
              <w:rPr>
                <w:lang w:val="fr-FR"/>
              </w:rPr>
              <w:t>Sub trt – T-DXd - Capecitabine</w:t>
            </w:r>
          </w:p>
        </w:tc>
        <w:tc>
          <w:tcPr>
            <w:tcW w:w="1122" w:type="pct"/>
            <w:tcBorders>
              <w:top w:val="single" w:sz="4" w:space="0" w:color="auto"/>
              <w:left w:val="single" w:sz="4" w:space="0" w:color="auto"/>
              <w:bottom w:val="single" w:sz="4" w:space="0" w:color="auto"/>
              <w:right w:val="single" w:sz="4" w:space="0" w:color="auto"/>
            </w:tcBorders>
            <w:shd w:val="clear" w:color="auto" w:fill="auto"/>
            <w:vAlign w:val="bottom"/>
          </w:tcPr>
          <w:p w14:paraId="7145FA71" w14:textId="6D75FDC2" w:rsidR="00386DA4" w:rsidRPr="00294FDC" w:rsidRDefault="00294FDC">
            <w:pPr>
              <w:pStyle w:val="NICETabletext"/>
              <w:rPr>
                <w:color w:val="000000"/>
                <w:highlight w:val="black"/>
              </w:rPr>
            </w:pPr>
            <w:r w:rsidRPr="00294FDC">
              <w:rPr>
                <w:rFonts w:cs="Arial"/>
                <w:color w:val="000000"/>
                <w:szCs w:val="20"/>
                <w:highlight w:val="black"/>
              </w:rPr>
              <w:t>xxxxxx</w:t>
            </w:r>
          </w:p>
        </w:tc>
        <w:tc>
          <w:tcPr>
            <w:tcW w:w="1122" w:type="pct"/>
            <w:vMerge/>
            <w:vAlign w:val="center"/>
          </w:tcPr>
          <w:p w14:paraId="24A5C23B" w14:textId="77777777" w:rsidR="00386DA4" w:rsidRPr="005975EA" w:rsidRDefault="00386DA4">
            <w:pPr>
              <w:pStyle w:val="Tablebody"/>
            </w:pPr>
          </w:p>
        </w:tc>
        <w:tc>
          <w:tcPr>
            <w:tcW w:w="755" w:type="pct"/>
            <w:vMerge/>
          </w:tcPr>
          <w:p w14:paraId="06191626" w14:textId="77777777" w:rsidR="00386DA4" w:rsidRDefault="00386DA4">
            <w:pPr>
              <w:pStyle w:val="Tablebody"/>
            </w:pPr>
          </w:p>
        </w:tc>
      </w:tr>
      <w:tr w:rsidR="00386DA4" w14:paraId="65F65665" w14:textId="77777777">
        <w:tc>
          <w:tcPr>
            <w:tcW w:w="2001" w:type="pct"/>
          </w:tcPr>
          <w:p w14:paraId="62338FAA" w14:textId="77777777" w:rsidR="00386DA4" w:rsidRPr="00AB307A" w:rsidRDefault="00386DA4">
            <w:pPr>
              <w:pStyle w:val="NICETabletext"/>
              <w:keepNext w:val="0"/>
              <w:rPr>
                <w:lang w:val="fr-FR"/>
              </w:rPr>
            </w:pPr>
            <w:r w:rsidRPr="00AB307A">
              <w:rPr>
                <w:lang w:val="fr-FR"/>
              </w:rPr>
              <w:t>Sub trt – T-DXd - Eribulin</w:t>
            </w:r>
          </w:p>
        </w:tc>
        <w:tc>
          <w:tcPr>
            <w:tcW w:w="1122" w:type="pct"/>
            <w:tcBorders>
              <w:top w:val="nil"/>
              <w:left w:val="single" w:sz="4" w:space="0" w:color="auto"/>
              <w:bottom w:val="single" w:sz="4" w:space="0" w:color="auto"/>
              <w:right w:val="single" w:sz="4" w:space="0" w:color="auto"/>
            </w:tcBorders>
            <w:shd w:val="clear" w:color="auto" w:fill="auto"/>
            <w:vAlign w:val="bottom"/>
          </w:tcPr>
          <w:p w14:paraId="6F1B6AC9" w14:textId="0699AA35" w:rsidR="00386DA4" w:rsidRPr="00294FDC" w:rsidRDefault="00294FDC">
            <w:pPr>
              <w:pStyle w:val="NICETabletext"/>
              <w:rPr>
                <w:color w:val="000000"/>
                <w:highlight w:val="black"/>
              </w:rPr>
            </w:pPr>
            <w:r w:rsidRPr="00294FDC">
              <w:rPr>
                <w:rFonts w:cs="Arial"/>
                <w:color w:val="000000"/>
                <w:szCs w:val="20"/>
                <w:highlight w:val="black"/>
              </w:rPr>
              <w:t>xxxxxx</w:t>
            </w:r>
          </w:p>
        </w:tc>
        <w:tc>
          <w:tcPr>
            <w:tcW w:w="1122" w:type="pct"/>
            <w:vMerge/>
          </w:tcPr>
          <w:p w14:paraId="09DC8ECB" w14:textId="77777777" w:rsidR="00386DA4" w:rsidRPr="005975EA" w:rsidRDefault="00386DA4">
            <w:pPr>
              <w:pStyle w:val="NICETabletext"/>
            </w:pPr>
          </w:p>
        </w:tc>
        <w:tc>
          <w:tcPr>
            <w:tcW w:w="755" w:type="pct"/>
            <w:vMerge/>
          </w:tcPr>
          <w:p w14:paraId="6D5EB944" w14:textId="77777777" w:rsidR="00386DA4" w:rsidRDefault="00386DA4">
            <w:pPr>
              <w:pStyle w:val="Tablebody"/>
            </w:pPr>
          </w:p>
        </w:tc>
      </w:tr>
      <w:tr w:rsidR="00386DA4" w14:paraId="564E9327" w14:textId="77777777">
        <w:tc>
          <w:tcPr>
            <w:tcW w:w="2001" w:type="pct"/>
          </w:tcPr>
          <w:p w14:paraId="365D41B9" w14:textId="77777777" w:rsidR="00386DA4" w:rsidRPr="003D2C59" w:rsidRDefault="00386DA4">
            <w:pPr>
              <w:pStyle w:val="NICETabletext"/>
              <w:keepNext w:val="0"/>
              <w:rPr>
                <w:lang w:val="de-DE"/>
              </w:rPr>
            </w:pPr>
            <w:r>
              <w:t>Sub trt – T-DXd - Gemcitabine</w:t>
            </w:r>
          </w:p>
        </w:tc>
        <w:tc>
          <w:tcPr>
            <w:tcW w:w="1122" w:type="pct"/>
            <w:tcBorders>
              <w:top w:val="nil"/>
              <w:left w:val="single" w:sz="4" w:space="0" w:color="auto"/>
              <w:bottom w:val="single" w:sz="4" w:space="0" w:color="auto"/>
              <w:right w:val="single" w:sz="4" w:space="0" w:color="auto"/>
            </w:tcBorders>
            <w:shd w:val="clear" w:color="auto" w:fill="auto"/>
            <w:vAlign w:val="bottom"/>
          </w:tcPr>
          <w:p w14:paraId="32AF38AA" w14:textId="77209D03" w:rsidR="00386DA4" w:rsidRPr="00294FDC" w:rsidRDefault="00294FDC">
            <w:pPr>
              <w:pStyle w:val="NICETabletext"/>
              <w:rPr>
                <w:color w:val="000000"/>
                <w:highlight w:val="black"/>
              </w:rPr>
            </w:pPr>
            <w:r w:rsidRPr="00294FDC">
              <w:rPr>
                <w:rFonts w:cs="Arial"/>
                <w:color w:val="000000"/>
                <w:szCs w:val="20"/>
                <w:highlight w:val="black"/>
              </w:rPr>
              <w:t>xxxxxx</w:t>
            </w:r>
          </w:p>
        </w:tc>
        <w:tc>
          <w:tcPr>
            <w:tcW w:w="1122" w:type="pct"/>
            <w:vMerge/>
          </w:tcPr>
          <w:p w14:paraId="071D9F2A" w14:textId="77777777" w:rsidR="00386DA4" w:rsidRPr="005975EA" w:rsidRDefault="00386DA4">
            <w:pPr>
              <w:pStyle w:val="NICETabletext"/>
            </w:pPr>
          </w:p>
        </w:tc>
        <w:tc>
          <w:tcPr>
            <w:tcW w:w="755" w:type="pct"/>
            <w:vMerge/>
          </w:tcPr>
          <w:p w14:paraId="166FB3BA" w14:textId="77777777" w:rsidR="00386DA4" w:rsidRDefault="00386DA4">
            <w:pPr>
              <w:pStyle w:val="Tablebody"/>
            </w:pPr>
          </w:p>
        </w:tc>
      </w:tr>
      <w:tr w:rsidR="00386DA4" w14:paraId="38A956B9" w14:textId="77777777">
        <w:tc>
          <w:tcPr>
            <w:tcW w:w="2001" w:type="pct"/>
          </w:tcPr>
          <w:p w14:paraId="1F701BEE" w14:textId="77777777" w:rsidR="00386DA4" w:rsidRPr="00AB307A" w:rsidRDefault="00386DA4">
            <w:pPr>
              <w:pStyle w:val="NICETabletext"/>
              <w:keepNext w:val="0"/>
              <w:rPr>
                <w:lang w:val="fr-FR"/>
              </w:rPr>
            </w:pPr>
            <w:r w:rsidRPr="00AB307A">
              <w:rPr>
                <w:lang w:val="fr-FR"/>
              </w:rPr>
              <w:t>Sub trt – T-DXd - Paclitaxel</w:t>
            </w:r>
          </w:p>
        </w:tc>
        <w:tc>
          <w:tcPr>
            <w:tcW w:w="1122" w:type="pct"/>
            <w:tcBorders>
              <w:top w:val="nil"/>
              <w:left w:val="single" w:sz="4" w:space="0" w:color="auto"/>
              <w:bottom w:val="single" w:sz="4" w:space="0" w:color="auto"/>
              <w:right w:val="single" w:sz="4" w:space="0" w:color="auto"/>
            </w:tcBorders>
            <w:shd w:val="clear" w:color="auto" w:fill="auto"/>
            <w:vAlign w:val="bottom"/>
          </w:tcPr>
          <w:p w14:paraId="2AEC4E5B" w14:textId="2A4CA08E" w:rsidR="00386DA4" w:rsidRPr="00294FDC" w:rsidRDefault="00294FDC">
            <w:pPr>
              <w:pStyle w:val="NICETabletext"/>
              <w:rPr>
                <w:color w:val="000000"/>
                <w:highlight w:val="black"/>
              </w:rPr>
            </w:pPr>
            <w:r w:rsidRPr="00294FDC">
              <w:rPr>
                <w:rFonts w:cs="Arial"/>
                <w:color w:val="000000"/>
                <w:szCs w:val="20"/>
                <w:highlight w:val="black"/>
              </w:rPr>
              <w:t>xxxxxx</w:t>
            </w:r>
          </w:p>
        </w:tc>
        <w:tc>
          <w:tcPr>
            <w:tcW w:w="1122" w:type="pct"/>
            <w:vMerge/>
          </w:tcPr>
          <w:p w14:paraId="4686CB2E" w14:textId="77777777" w:rsidR="00386DA4" w:rsidRPr="005975EA" w:rsidRDefault="00386DA4">
            <w:pPr>
              <w:pStyle w:val="NICETabletext"/>
            </w:pPr>
          </w:p>
        </w:tc>
        <w:tc>
          <w:tcPr>
            <w:tcW w:w="755" w:type="pct"/>
            <w:vMerge/>
          </w:tcPr>
          <w:p w14:paraId="3C2D808C" w14:textId="77777777" w:rsidR="00386DA4" w:rsidRDefault="00386DA4">
            <w:pPr>
              <w:pStyle w:val="Tablebody"/>
            </w:pPr>
          </w:p>
        </w:tc>
      </w:tr>
      <w:tr w:rsidR="00386DA4" w14:paraId="53C5E131" w14:textId="77777777">
        <w:tc>
          <w:tcPr>
            <w:tcW w:w="2001" w:type="pct"/>
          </w:tcPr>
          <w:p w14:paraId="5370C535" w14:textId="77777777" w:rsidR="00386DA4" w:rsidRPr="00AB307A" w:rsidRDefault="00386DA4">
            <w:pPr>
              <w:pStyle w:val="NICETabletext"/>
              <w:keepNext w:val="0"/>
              <w:rPr>
                <w:lang w:val="fr-FR"/>
              </w:rPr>
            </w:pPr>
            <w:r w:rsidRPr="00AB307A">
              <w:rPr>
                <w:lang w:val="fr-FR"/>
              </w:rPr>
              <w:t>Sub trt – T-DXd - Vinorelbine</w:t>
            </w:r>
          </w:p>
        </w:tc>
        <w:tc>
          <w:tcPr>
            <w:tcW w:w="1122" w:type="pct"/>
            <w:tcBorders>
              <w:top w:val="nil"/>
              <w:left w:val="single" w:sz="4" w:space="0" w:color="auto"/>
              <w:bottom w:val="single" w:sz="4" w:space="0" w:color="auto"/>
              <w:right w:val="single" w:sz="4" w:space="0" w:color="auto"/>
            </w:tcBorders>
            <w:shd w:val="clear" w:color="auto" w:fill="auto"/>
            <w:vAlign w:val="bottom"/>
          </w:tcPr>
          <w:p w14:paraId="284A5F77" w14:textId="2B601610" w:rsidR="00386DA4" w:rsidRPr="00294FDC" w:rsidRDefault="00294FDC">
            <w:pPr>
              <w:pStyle w:val="NICETabletext"/>
              <w:rPr>
                <w:color w:val="000000"/>
                <w:highlight w:val="black"/>
              </w:rPr>
            </w:pPr>
            <w:r w:rsidRPr="00294FDC">
              <w:rPr>
                <w:rFonts w:cs="Arial"/>
                <w:color w:val="000000"/>
                <w:szCs w:val="20"/>
                <w:highlight w:val="black"/>
              </w:rPr>
              <w:t>xxxxx</w:t>
            </w:r>
          </w:p>
        </w:tc>
        <w:tc>
          <w:tcPr>
            <w:tcW w:w="1122" w:type="pct"/>
            <w:vMerge/>
          </w:tcPr>
          <w:p w14:paraId="483D3092" w14:textId="77777777" w:rsidR="00386DA4" w:rsidRPr="005975EA" w:rsidRDefault="00386DA4">
            <w:pPr>
              <w:pStyle w:val="NICETabletext"/>
            </w:pPr>
          </w:p>
        </w:tc>
        <w:tc>
          <w:tcPr>
            <w:tcW w:w="755" w:type="pct"/>
            <w:vMerge/>
          </w:tcPr>
          <w:p w14:paraId="6E7D30CB" w14:textId="77777777" w:rsidR="00386DA4" w:rsidRDefault="00386DA4">
            <w:pPr>
              <w:pStyle w:val="Tablebody"/>
            </w:pPr>
          </w:p>
        </w:tc>
      </w:tr>
      <w:tr w:rsidR="00386DA4" w14:paraId="3DD02BCA" w14:textId="77777777">
        <w:tc>
          <w:tcPr>
            <w:tcW w:w="2001" w:type="pct"/>
          </w:tcPr>
          <w:p w14:paraId="695D01F8" w14:textId="77777777" w:rsidR="00386DA4" w:rsidDel="009A574C" w:rsidRDefault="00386DA4">
            <w:pPr>
              <w:pStyle w:val="NICETabletext"/>
              <w:keepNext w:val="0"/>
            </w:pPr>
            <w:r>
              <w:lastRenderedPageBreak/>
              <w:t>Sub trt – T-DXd – Fulvestrant</w:t>
            </w:r>
          </w:p>
        </w:tc>
        <w:tc>
          <w:tcPr>
            <w:tcW w:w="1122" w:type="pct"/>
            <w:tcBorders>
              <w:top w:val="nil"/>
              <w:left w:val="single" w:sz="4" w:space="0" w:color="auto"/>
              <w:bottom w:val="single" w:sz="4" w:space="0" w:color="auto"/>
              <w:right w:val="single" w:sz="4" w:space="0" w:color="auto"/>
            </w:tcBorders>
            <w:shd w:val="clear" w:color="auto" w:fill="auto"/>
            <w:vAlign w:val="bottom"/>
          </w:tcPr>
          <w:p w14:paraId="302179E3" w14:textId="17F60CAB" w:rsidR="00386DA4" w:rsidRPr="00294FDC" w:rsidDel="00461700" w:rsidRDefault="00294FDC">
            <w:pPr>
              <w:pStyle w:val="NICETabletext"/>
              <w:rPr>
                <w:color w:val="000000"/>
                <w:highlight w:val="black"/>
              </w:rPr>
            </w:pPr>
            <w:r w:rsidRPr="00294FDC">
              <w:rPr>
                <w:rFonts w:cs="Arial"/>
                <w:color w:val="000000"/>
                <w:szCs w:val="20"/>
                <w:highlight w:val="black"/>
              </w:rPr>
              <w:t>xxxxxx</w:t>
            </w:r>
          </w:p>
        </w:tc>
        <w:tc>
          <w:tcPr>
            <w:tcW w:w="1122" w:type="pct"/>
            <w:vMerge/>
          </w:tcPr>
          <w:p w14:paraId="0F4DB76F" w14:textId="77777777" w:rsidR="00386DA4" w:rsidRPr="005975EA" w:rsidRDefault="00386DA4">
            <w:pPr>
              <w:pStyle w:val="NICETabletext"/>
            </w:pPr>
          </w:p>
        </w:tc>
        <w:tc>
          <w:tcPr>
            <w:tcW w:w="755" w:type="pct"/>
            <w:vMerge/>
          </w:tcPr>
          <w:p w14:paraId="3382D91E" w14:textId="77777777" w:rsidR="00386DA4" w:rsidRDefault="00386DA4">
            <w:pPr>
              <w:pStyle w:val="Tablebody"/>
            </w:pPr>
          </w:p>
        </w:tc>
      </w:tr>
      <w:tr w:rsidR="00386DA4" w14:paraId="2006B74E" w14:textId="77777777">
        <w:tc>
          <w:tcPr>
            <w:tcW w:w="2001" w:type="pct"/>
          </w:tcPr>
          <w:p w14:paraId="762CC0B1" w14:textId="77777777" w:rsidR="00386DA4" w:rsidDel="009A574C" w:rsidRDefault="00386DA4">
            <w:pPr>
              <w:pStyle w:val="NICETabletext"/>
              <w:keepNext w:val="0"/>
            </w:pPr>
            <w:r>
              <w:t>Sub trt – T-DXd – Epirubicin</w:t>
            </w:r>
          </w:p>
        </w:tc>
        <w:tc>
          <w:tcPr>
            <w:tcW w:w="1122" w:type="pct"/>
            <w:tcBorders>
              <w:top w:val="nil"/>
              <w:left w:val="single" w:sz="4" w:space="0" w:color="auto"/>
              <w:bottom w:val="single" w:sz="4" w:space="0" w:color="auto"/>
              <w:right w:val="single" w:sz="4" w:space="0" w:color="auto"/>
            </w:tcBorders>
            <w:shd w:val="clear" w:color="auto" w:fill="auto"/>
            <w:vAlign w:val="bottom"/>
          </w:tcPr>
          <w:p w14:paraId="2DE93E1D" w14:textId="1347F3F0" w:rsidR="00386DA4" w:rsidRPr="00294FDC" w:rsidDel="00461700" w:rsidRDefault="00294FDC">
            <w:pPr>
              <w:pStyle w:val="NICETabletext"/>
              <w:rPr>
                <w:color w:val="000000"/>
                <w:highlight w:val="black"/>
              </w:rPr>
            </w:pPr>
            <w:r w:rsidRPr="00294FDC">
              <w:rPr>
                <w:rFonts w:cs="Arial"/>
                <w:color w:val="000000"/>
                <w:szCs w:val="20"/>
                <w:highlight w:val="black"/>
              </w:rPr>
              <w:t>xxxxx</w:t>
            </w:r>
          </w:p>
        </w:tc>
        <w:tc>
          <w:tcPr>
            <w:tcW w:w="1122" w:type="pct"/>
            <w:vMerge/>
          </w:tcPr>
          <w:p w14:paraId="6800A318" w14:textId="77777777" w:rsidR="00386DA4" w:rsidRPr="005975EA" w:rsidRDefault="00386DA4">
            <w:pPr>
              <w:pStyle w:val="NICETabletext"/>
            </w:pPr>
          </w:p>
        </w:tc>
        <w:tc>
          <w:tcPr>
            <w:tcW w:w="755" w:type="pct"/>
            <w:vMerge/>
          </w:tcPr>
          <w:p w14:paraId="7B7DB146" w14:textId="77777777" w:rsidR="00386DA4" w:rsidRDefault="00386DA4">
            <w:pPr>
              <w:pStyle w:val="Tablebody"/>
            </w:pPr>
          </w:p>
        </w:tc>
      </w:tr>
      <w:tr w:rsidR="00386DA4" w14:paraId="6C21EEA3" w14:textId="77777777">
        <w:tc>
          <w:tcPr>
            <w:tcW w:w="2001" w:type="pct"/>
          </w:tcPr>
          <w:p w14:paraId="3CB2DBF7" w14:textId="77777777" w:rsidR="00386DA4" w:rsidRPr="00AB307A" w:rsidDel="009A574C" w:rsidRDefault="00386DA4">
            <w:pPr>
              <w:pStyle w:val="NICETabletext"/>
              <w:keepNext w:val="0"/>
              <w:rPr>
                <w:lang w:val="fr-FR"/>
              </w:rPr>
            </w:pPr>
            <w:r w:rsidRPr="00AB307A">
              <w:rPr>
                <w:lang w:val="fr-FR"/>
              </w:rPr>
              <w:t>Sub trt – T-DXd – Carboplatin</w:t>
            </w:r>
          </w:p>
        </w:tc>
        <w:tc>
          <w:tcPr>
            <w:tcW w:w="1122" w:type="pct"/>
            <w:tcBorders>
              <w:top w:val="nil"/>
              <w:left w:val="single" w:sz="4" w:space="0" w:color="auto"/>
              <w:bottom w:val="single" w:sz="4" w:space="0" w:color="auto"/>
              <w:right w:val="single" w:sz="4" w:space="0" w:color="auto"/>
            </w:tcBorders>
            <w:shd w:val="clear" w:color="auto" w:fill="auto"/>
            <w:vAlign w:val="bottom"/>
          </w:tcPr>
          <w:p w14:paraId="34AD6826" w14:textId="462B1EF4" w:rsidR="00386DA4" w:rsidRPr="00294FDC" w:rsidDel="00461700" w:rsidRDefault="00294FDC">
            <w:pPr>
              <w:pStyle w:val="NICETabletext"/>
              <w:keepNext w:val="0"/>
              <w:rPr>
                <w:color w:val="000000"/>
                <w:highlight w:val="black"/>
              </w:rPr>
            </w:pPr>
            <w:r w:rsidRPr="00294FDC">
              <w:rPr>
                <w:rFonts w:cs="Arial"/>
                <w:color w:val="000000"/>
                <w:szCs w:val="20"/>
                <w:highlight w:val="black"/>
              </w:rPr>
              <w:t>xxxxx</w:t>
            </w:r>
          </w:p>
        </w:tc>
        <w:tc>
          <w:tcPr>
            <w:tcW w:w="1122" w:type="pct"/>
            <w:vMerge/>
          </w:tcPr>
          <w:p w14:paraId="7B815656" w14:textId="77777777" w:rsidR="00386DA4" w:rsidRPr="005975EA" w:rsidRDefault="00386DA4">
            <w:pPr>
              <w:pStyle w:val="NICETabletext"/>
            </w:pPr>
          </w:p>
        </w:tc>
        <w:tc>
          <w:tcPr>
            <w:tcW w:w="755" w:type="pct"/>
            <w:vMerge/>
          </w:tcPr>
          <w:p w14:paraId="2BDA2DF6" w14:textId="77777777" w:rsidR="00386DA4" w:rsidRDefault="00386DA4">
            <w:pPr>
              <w:pStyle w:val="Tablebody"/>
            </w:pPr>
          </w:p>
        </w:tc>
      </w:tr>
      <w:tr w:rsidR="00386DA4" w14:paraId="37BBD648" w14:textId="77777777">
        <w:tc>
          <w:tcPr>
            <w:tcW w:w="2001" w:type="pct"/>
          </w:tcPr>
          <w:p w14:paraId="6CCCCCDD" w14:textId="77777777" w:rsidR="00386DA4" w:rsidDel="009A574C" w:rsidRDefault="00386DA4">
            <w:pPr>
              <w:pStyle w:val="NICETabletext"/>
              <w:keepNext w:val="0"/>
            </w:pPr>
            <w:r>
              <w:t>Sub trt – T-DXd – Tamoxifen</w:t>
            </w:r>
          </w:p>
        </w:tc>
        <w:tc>
          <w:tcPr>
            <w:tcW w:w="1122" w:type="pct"/>
            <w:tcBorders>
              <w:top w:val="nil"/>
              <w:left w:val="single" w:sz="4" w:space="0" w:color="auto"/>
              <w:bottom w:val="single" w:sz="4" w:space="0" w:color="auto"/>
              <w:right w:val="single" w:sz="4" w:space="0" w:color="auto"/>
            </w:tcBorders>
            <w:shd w:val="clear" w:color="auto" w:fill="auto"/>
            <w:vAlign w:val="bottom"/>
          </w:tcPr>
          <w:p w14:paraId="07DC18A0" w14:textId="1FCF7BDE" w:rsidR="00386DA4" w:rsidRPr="00294FDC" w:rsidDel="00461700" w:rsidRDefault="00294FDC">
            <w:pPr>
              <w:pStyle w:val="NICETabletext"/>
              <w:keepNext w:val="0"/>
              <w:rPr>
                <w:color w:val="000000"/>
                <w:highlight w:val="black"/>
              </w:rPr>
            </w:pPr>
            <w:r w:rsidRPr="00294FDC">
              <w:rPr>
                <w:rFonts w:cs="Arial"/>
                <w:color w:val="000000"/>
                <w:szCs w:val="20"/>
                <w:highlight w:val="black"/>
              </w:rPr>
              <w:t>xxxxx</w:t>
            </w:r>
          </w:p>
        </w:tc>
        <w:tc>
          <w:tcPr>
            <w:tcW w:w="1122" w:type="pct"/>
            <w:vMerge/>
          </w:tcPr>
          <w:p w14:paraId="21A9599D" w14:textId="77777777" w:rsidR="00386DA4" w:rsidRPr="005975EA" w:rsidRDefault="00386DA4">
            <w:pPr>
              <w:pStyle w:val="NICETabletext"/>
            </w:pPr>
          </w:p>
        </w:tc>
        <w:tc>
          <w:tcPr>
            <w:tcW w:w="755" w:type="pct"/>
            <w:vMerge/>
          </w:tcPr>
          <w:p w14:paraId="78DFAB4E" w14:textId="77777777" w:rsidR="00386DA4" w:rsidRDefault="00386DA4">
            <w:pPr>
              <w:pStyle w:val="Tablebody"/>
            </w:pPr>
          </w:p>
        </w:tc>
      </w:tr>
      <w:tr w:rsidR="00386DA4" w14:paraId="7704CCB5" w14:textId="77777777">
        <w:tc>
          <w:tcPr>
            <w:tcW w:w="2001" w:type="pct"/>
          </w:tcPr>
          <w:p w14:paraId="3C18673E" w14:textId="77777777" w:rsidR="00386DA4" w:rsidRPr="003D2C59" w:rsidRDefault="00386DA4">
            <w:pPr>
              <w:pStyle w:val="NICETabletext"/>
              <w:keepNext w:val="0"/>
              <w:rPr>
                <w:lang w:val="de-DE"/>
              </w:rPr>
            </w:pPr>
            <w:r>
              <w:t>Sub trt – TPC - Capecitabine</w:t>
            </w:r>
          </w:p>
        </w:tc>
        <w:tc>
          <w:tcPr>
            <w:tcW w:w="1122" w:type="pct"/>
            <w:tcBorders>
              <w:top w:val="single" w:sz="4" w:space="0" w:color="auto"/>
              <w:left w:val="single" w:sz="4" w:space="0" w:color="auto"/>
              <w:bottom w:val="single" w:sz="4" w:space="0" w:color="auto"/>
              <w:right w:val="single" w:sz="4" w:space="0" w:color="auto"/>
            </w:tcBorders>
            <w:shd w:val="clear" w:color="auto" w:fill="auto"/>
            <w:vAlign w:val="bottom"/>
          </w:tcPr>
          <w:p w14:paraId="0F3D7C42" w14:textId="3D75E3D4" w:rsidR="00386DA4" w:rsidRPr="00294FDC" w:rsidRDefault="00294FDC">
            <w:pPr>
              <w:pStyle w:val="NICETabletext"/>
              <w:keepNext w:val="0"/>
              <w:rPr>
                <w:color w:val="000000"/>
                <w:highlight w:val="black"/>
              </w:rPr>
            </w:pPr>
            <w:r w:rsidRPr="00294FDC">
              <w:rPr>
                <w:rFonts w:cs="Arial"/>
                <w:color w:val="000000"/>
                <w:szCs w:val="20"/>
                <w:highlight w:val="black"/>
              </w:rPr>
              <w:t>xxxxxx</w:t>
            </w:r>
          </w:p>
        </w:tc>
        <w:tc>
          <w:tcPr>
            <w:tcW w:w="1122" w:type="pct"/>
            <w:vMerge/>
            <w:vAlign w:val="center"/>
          </w:tcPr>
          <w:p w14:paraId="44D4B56F" w14:textId="77777777" w:rsidR="00386DA4" w:rsidRPr="005975EA" w:rsidRDefault="00386DA4">
            <w:pPr>
              <w:pStyle w:val="NICETabletext"/>
            </w:pPr>
          </w:p>
        </w:tc>
        <w:tc>
          <w:tcPr>
            <w:tcW w:w="755" w:type="pct"/>
            <w:vMerge/>
          </w:tcPr>
          <w:p w14:paraId="2F414BC7" w14:textId="77777777" w:rsidR="00386DA4" w:rsidRDefault="00386DA4">
            <w:pPr>
              <w:pStyle w:val="Tablebody"/>
            </w:pPr>
          </w:p>
        </w:tc>
      </w:tr>
      <w:tr w:rsidR="00386DA4" w14:paraId="4A847F77" w14:textId="77777777">
        <w:tc>
          <w:tcPr>
            <w:tcW w:w="2001" w:type="pct"/>
          </w:tcPr>
          <w:p w14:paraId="0E2E3D88" w14:textId="77777777" w:rsidR="00386DA4" w:rsidRPr="003D2C59" w:rsidRDefault="00386DA4">
            <w:pPr>
              <w:pStyle w:val="NICETabletext"/>
              <w:keepNext w:val="0"/>
              <w:rPr>
                <w:lang w:val="de-DE"/>
              </w:rPr>
            </w:pPr>
            <w:r>
              <w:t>Sub trt – TPC - Eribulin</w:t>
            </w:r>
          </w:p>
        </w:tc>
        <w:tc>
          <w:tcPr>
            <w:tcW w:w="1122" w:type="pct"/>
            <w:tcBorders>
              <w:top w:val="nil"/>
              <w:left w:val="single" w:sz="4" w:space="0" w:color="auto"/>
              <w:bottom w:val="single" w:sz="4" w:space="0" w:color="auto"/>
              <w:right w:val="single" w:sz="4" w:space="0" w:color="auto"/>
            </w:tcBorders>
            <w:shd w:val="clear" w:color="auto" w:fill="auto"/>
            <w:vAlign w:val="bottom"/>
          </w:tcPr>
          <w:p w14:paraId="1EFB54F6" w14:textId="3F3CD868" w:rsidR="00386DA4" w:rsidRPr="00294FDC" w:rsidRDefault="00294FDC">
            <w:pPr>
              <w:pStyle w:val="NICETabletext"/>
              <w:keepNext w:val="0"/>
              <w:rPr>
                <w:color w:val="000000"/>
                <w:highlight w:val="black"/>
              </w:rPr>
            </w:pPr>
            <w:r w:rsidRPr="00294FDC">
              <w:rPr>
                <w:rFonts w:cs="Arial"/>
                <w:color w:val="000000"/>
                <w:szCs w:val="20"/>
                <w:highlight w:val="black"/>
              </w:rPr>
              <w:t>xxxxxx</w:t>
            </w:r>
          </w:p>
        </w:tc>
        <w:tc>
          <w:tcPr>
            <w:tcW w:w="1122" w:type="pct"/>
            <w:vMerge/>
          </w:tcPr>
          <w:p w14:paraId="2AF730F1" w14:textId="77777777" w:rsidR="00386DA4" w:rsidRPr="005975EA" w:rsidRDefault="00386DA4">
            <w:pPr>
              <w:pStyle w:val="NICETabletext"/>
            </w:pPr>
          </w:p>
        </w:tc>
        <w:tc>
          <w:tcPr>
            <w:tcW w:w="755" w:type="pct"/>
            <w:vMerge/>
          </w:tcPr>
          <w:p w14:paraId="681D63A4" w14:textId="77777777" w:rsidR="00386DA4" w:rsidRDefault="00386DA4">
            <w:pPr>
              <w:pStyle w:val="Tablebody"/>
            </w:pPr>
          </w:p>
        </w:tc>
      </w:tr>
      <w:tr w:rsidR="00386DA4" w14:paraId="1799D94B" w14:textId="77777777">
        <w:tc>
          <w:tcPr>
            <w:tcW w:w="2001" w:type="pct"/>
          </w:tcPr>
          <w:p w14:paraId="581ADFDB" w14:textId="77777777" w:rsidR="00386DA4" w:rsidRPr="003D2C59" w:rsidRDefault="00386DA4">
            <w:pPr>
              <w:pStyle w:val="NICETabletext"/>
              <w:keepNext w:val="0"/>
              <w:rPr>
                <w:lang w:val="de-DE"/>
              </w:rPr>
            </w:pPr>
            <w:r>
              <w:t>Sub trt – TPC - Gemcitabine</w:t>
            </w:r>
          </w:p>
        </w:tc>
        <w:tc>
          <w:tcPr>
            <w:tcW w:w="1122" w:type="pct"/>
            <w:tcBorders>
              <w:top w:val="nil"/>
              <w:left w:val="single" w:sz="4" w:space="0" w:color="auto"/>
              <w:bottom w:val="single" w:sz="4" w:space="0" w:color="auto"/>
              <w:right w:val="single" w:sz="4" w:space="0" w:color="auto"/>
            </w:tcBorders>
            <w:shd w:val="clear" w:color="auto" w:fill="auto"/>
            <w:vAlign w:val="bottom"/>
          </w:tcPr>
          <w:p w14:paraId="1A0AB66B" w14:textId="65C0A0FC" w:rsidR="00386DA4" w:rsidRPr="00294FDC" w:rsidRDefault="00294FDC">
            <w:pPr>
              <w:pStyle w:val="NICETabletext"/>
              <w:keepNext w:val="0"/>
              <w:rPr>
                <w:color w:val="000000"/>
                <w:highlight w:val="black"/>
              </w:rPr>
            </w:pPr>
            <w:r w:rsidRPr="00294FDC">
              <w:rPr>
                <w:rFonts w:cs="Arial"/>
                <w:color w:val="000000"/>
                <w:szCs w:val="20"/>
                <w:highlight w:val="black"/>
              </w:rPr>
              <w:t>xxxxxx</w:t>
            </w:r>
          </w:p>
        </w:tc>
        <w:tc>
          <w:tcPr>
            <w:tcW w:w="1122" w:type="pct"/>
            <w:vMerge/>
          </w:tcPr>
          <w:p w14:paraId="2804E2E4" w14:textId="77777777" w:rsidR="00386DA4" w:rsidRPr="005975EA" w:rsidRDefault="00386DA4">
            <w:pPr>
              <w:pStyle w:val="NICETabletext"/>
            </w:pPr>
          </w:p>
        </w:tc>
        <w:tc>
          <w:tcPr>
            <w:tcW w:w="755" w:type="pct"/>
            <w:vMerge/>
          </w:tcPr>
          <w:p w14:paraId="5E810B42" w14:textId="77777777" w:rsidR="00386DA4" w:rsidRDefault="00386DA4">
            <w:pPr>
              <w:pStyle w:val="Tablebody"/>
            </w:pPr>
          </w:p>
        </w:tc>
      </w:tr>
      <w:tr w:rsidR="00386DA4" w14:paraId="7C328EF0" w14:textId="77777777">
        <w:tc>
          <w:tcPr>
            <w:tcW w:w="2001" w:type="pct"/>
          </w:tcPr>
          <w:p w14:paraId="0431BE75" w14:textId="77777777" w:rsidR="00386DA4" w:rsidRDefault="00386DA4">
            <w:pPr>
              <w:pStyle w:val="NICETabletext"/>
              <w:keepNext w:val="0"/>
            </w:pPr>
            <w:r>
              <w:t>Sub trt – TPC - Paclitaxel</w:t>
            </w:r>
          </w:p>
        </w:tc>
        <w:tc>
          <w:tcPr>
            <w:tcW w:w="1122" w:type="pct"/>
            <w:tcBorders>
              <w:top w:val="nil"/>
              <w:left w:val="single" w:sz="4" w:space="0" w:color="auto"/>
              <w:bottom w:val="single" w:sz="4" w:space="0" w:color="auto"/>
              <w:right w:val="single" w:sz="4" w:space="0" w:color="auto"/>
            </w:tcBorders>
            <w:shd w:val="clear" w:color="auto" w:fill="auto"/>
            <w:vAlign w:val="bottom"/>
          </w:tcPr>
          <w:p w14:paraId="0364486D" w14:textId="7E68DFBF" w:rsidR="00386DA4" w:rsidRPr="00294FDC" w:rsidDel="00461700" w:rsidRDefault="00294FDC">
            <w:pPr>
              <w:pStyle w:val="NICETabletext"/>
              <w:keepNext w:val="0"/>
              <w:rPr>
                <w:color w:val="000000"/>
                <w:highlight w:val="black"/>
              </w:rPr>
            </w:pPr>
            <w:r w:rsidRPr="00294FDC">
              <w:rPr>
                <w:rFonts w:cs="Arial"/>
                <w:color w:val="000000"/>
                <w:szCs w:val="20"/>
                <w:highlight w:val="black"/>
              </w:rPr>
              <w:t>xxxxxx</w:t>
            </w:r>
          </w:p>
        </w:tc>
        <w:tc>
          <w:tcPr>
            <w:tcW w:w="1122" w:type="pct"/>
            <w:vMerge/>
          </w:tcPr>
          <w:p w14:paraId="393B40BC" w14:textId="77777777" w:rsidR="00386DA4" w:rsidRPr="005975EA" w:rsidRDefault="00386DA4">
            <w:pPr>
              <w:pStyle w:val="NICETabletext"/>
            </w:pPr>
          </w:p>
        </w:tc>
        <w:tc>
          <w:tcPr>
            <w:tcW w:w="755" w:type="pct"/>
            <w:vMerge/>
          </w:tcPr>
          <w:p w14:paraId="312F3C8C" w14:textId="77777777" w:rsidR="00386DA4" w:rsidRDefault="00386DA4">
            <w:pPr>
              <w:pStyle w:val="Tablebody"/>
            </w:pPr>
          </w:p>
        </w:tc>
      </w:tr>
      <w:tr w:rsidR="00386DA4" w14:paraId="2F888E19" w14:textId="77777777">
        <w:tc>
          <w:tcPr>
            <w:tcW w:w="2001" w:type="pct"/>
          </w:tcPr>
          <w:p w14:paraId="3AA2835A" w14:textId="77777777" w:rsidR="00386DA4" w:rsidRDefault="00386DA4">
            <w:pPr>
              <w:pStyle w:val="NICETabletext"/>
              <w:keepNext w:val="0"/>
            </w:pPr>
            <w:r>
              <w:t>Sub trt – TPC - Vinorelbine</w:t>
            </w:r>
          </w:p>
        </w:tc>
        <w:tc>
          <w:tcPr>
            <w:tcW w:w="1122" w:type="pct"/>
            <w:tcBorders>
              <w:top w:val="nil"/>
              <w:left w:val="single" w:sz="4" w:space="0" w:color="auto"/>
              <w:bottom w:val="single" w:sz="4" w:space="0" w:color="auto"/>
              <w:right w:val="single" w:sz="4" w:space="0" w:color="auto"/>
            </w:tcBorders>
            <w:shd w:val="clear" w:color="auto" w:fill="auto"/>
            <w:vAlign w:val="bottom"/>
          </w:tcPr>
          <w:p w14:paraId="0795D869" w14:textId="3709B341" w:rsidR="00386DA4" w:rsidRPr="00294FDC" w:rsidDel="00461700" w:rsidRDefault="00294FDC">
            <w:pPr>
              <w:pStyle w:val="NICETabletext"/>
              <w:keepNext w:val="0"/>
              <w:rPr>
                <w:color w:val="000000"/>
                <w:highlight w:val="black"/>
              </w:rPr>
            </w:pPr>
            <w:r w:rsidRPr="00294FDC">
              <w:rPr>
                <w:rFonts w:cs="Arial"/>
                <w:color w:val="000000"/>
                <w:szCs w:val="20"/>
                <w:highlight w:val="black"/>
              </w:rPr>
              <w:t>xxxxxx</w:t>
            </w:r>
          </w:p>
        </w:tc>
        <w:tc>
          <w:tcPr>
            <w:tcW w:w="1122" w:type="pct"/>
            <w:vMerge/>
          </w:tcPr>
          <w:p w14:paraId="1A9BD6EA" w14:textId="77777777" w:rsidR="00386DA4" w:rsidRPr="005975EA" w:rsidRDefault="00386DA4">
            <w:pPr>
              <w:pStyle w:val="NICETabletext"/>
            </w:pPr>
          </w:p>
        </w:tc>
        <w:tc>
          <w:tcPr>
            <w:tcW w:w="755" w:type="pct"/>
            <w:vMerge/>
          </w:tcPr>
          <w:p w14:paraId="67908D45" w14:textId="77777777" w:rsidR="00386DA4" w:rsidRDefault="00386DA4">
            <w:pPr>
              <w:pStyle w:val="Tablebody"/>
            </w:pPr>
          </w:p>
        </w:tc>
      </w:tr>
      <w:tr w:rsidR="00386DA4" w14:paraId="090F7C79" w14:textId="77777777">
        <w:tc>
          <w:tcPr>
            <w:tcW w:w="2001" w:type="pct"/>
          </w:tcPr>
          <w:p w14:paraId="24C01C7E" w14:textId="77777777" w:rsidR="00386DA4" w:rsidRDefault="00386DA4">
            <w:pPr>
              <w:pStyle w:val="NICETabletext"/>
              <w:keepNext w:val="0"/>
            </w:pPr>
            <w:r>
              <w:t>Sub trt – TPC – Fulvestrant</w:t>
            </w:r>
          </w:p>
        </w:tc>
        <w:tc>
          <w:tcPr>
            <w:tcW w:w="1122" w:type="pct"/>
            <w:tcBorders>
              <w:top w:val="nil"/>
              <w:left w:val="single" w:sz="4" w:space="0" w:color="auto"/>
              <w:bottom w:val="single" w:sz="4" w:space="0" w:color="auto"/>
              <w:right w:val="single" w:sz="4" w:space="0" w:color="auto"/>
            </w:tcBorders>
            <w:shd w:val="clear" w:color="auto" w:fill="auto"/>
            <w:vAlign w:val="bottom"/>
          </w:tcPr>
          <w:p w14:paraId="7911C538" w14:textId="3A2B322F" w:rsidR="00386DA4" w:rsidRPr="00294FDC" w:rsidDel="00461700" w:rsidRDefault="00294FDC">
            <w:pPr>
              <w:pStyle w:val="NICETabletext"/>
              <w:keepNext w:val="0"/>
              <w:rPr>
                <w:color w:val="000000"/>
                <w:highlight w:val="black"/>
              </w:rPr>
            </w:pPr>
            <w:r w:rsidRPr="00294FDC">
              <w:rPr>
                <w:rFonts w:cs="Arial"/>
                <w:color w:val="000000"/>
                <w:szCs w:val="20"/>
                <w:highlight w:val="black"/>
              </w:rPr>
              <w:t>xxxxxx</w:t>
            </w:r>
          </w:p>
        </w:tc>
        <w:tc>
          <w:tcPr>
            <w:tcW w:w="1122" w:type="pct"/>
            <w:vMerge/>
          </w:tcPr>
          <w:p w14:paraId="39C7DF11" w14:textId="77777777" w:rsidR="00386DA4" w:rsidRPr="005975EA" w:rsidRDefault="00386DA4">
            <w:pPr>
              <w:pStyle w:val="NICETabletext"/>
            </w:pPr>
          </w:p>
        </w:tc>
        <w:tc>
          <w:tcPr>
            <w:tcW w:w="755" w:type="pct"/>
            <w:vMerge/>
          </w:tcPr>
          <w:p w14:paraId="43C57467" w14:textId="77777777" w:rsidR="00386DA4" w:rsidRDefault="00386DA4">
            <w:pPr>
              <w:pStyle w:val="Tablebody"/>
            </w:pPr>
          </w:p>
        </w:tc>
      </w:tr>
      <w:tr w:rsidR="00386DA4" w14:paraId="02D3A11E" w14:textId="77777777">
        <w:tc>
          <w:tcPr>
            <w:tcW w:w="2001" w:type="pct"/>
          </w:tcPr>
          <w:p w14:paraId="3226D465" w14:textId="77777777" w:rsidR="00386DA4" w:rsidRDefault="00386DA4">
            <w:pPr>
              <w:pStyle w:val="NICETabletext"/>
              <w:keepNext w:val="0"/>
            </w:pPr>
            <w:r>
              <w:t>Sub trt – TPC – Epirubicin</w:t>
            </w:r>
          </w:p>
        </w:tc>
        <w:tc>
          <w:tcPr>
            <w:tcW w:w="1122" w:type="pct"/>
            <w:tcBorders>
              <w:top w:val="nil"/>
              <w:left w:val="single" w:sz="4" w:space="0" w:color="auto"/>
              <w:bottom w:val="single" w:sz="4" w:space="0" w:color="auto"/>
              <w:right w:val="single" w:sz="4" w:space="0" w:color="auto"/>
            </w:tcBorders>
            <w:shd w:val="clear" w:color="auto" w:fill="auto"/>
            <w:vAlign w:val="bottom"/>
          </w:tcPr>
          <w:p w14:paraId="16AF0780" w14:textId="41136FD4" w:rsidR="00386DA4" w:rsidRPr="00294FDC" w:rsidDel="00461700" w:rsidRDefault="00294FDC">
            <w:pPr>
              <w:pStyle w:val="NICETabletext"/>
              <w:keepNext w:val="0"/>
              <w:rPr>
                <w:color w:val="000000"/>
                <w:highlight w:val="black"/>
              </w:rPr>
            </w:pPr>
            <w:r w:rsidRPr="00294FDC">
              <w:rPr>
                <w:rFonts w:cs="Arial"/>
                <w:color w:val="000000"/>
                <w:szCs w:val="20"/>
                <w:highlight w:val="black"/>
              </w:rPr>
              <w:t>xxxxx</w:t>
            </w:r>
          </w:p>
        </w:tc>
        <w:tc>
          <w:tcPr>
            <w:tcW w:w="1122" w:type="pct"/>
            <w:vMerge/>
          </w:tcPr>
          <w:p w14:paraId="53BF870D" w14:textId="77777777" w:rsidR="00386DA4" w:rsidRPr="005975EA" w:rsidRDefault="00386DA4">
            <w:pPr>
              <w:pStyle w:val="NICETabletext"/>
            </w:pPr>
          </w:p>
        </w:tc>
        <w:tc>
          <w:tcPr>
            <w:tcW w:w="755" w:type="pct"/>
            <w:vMerge/>
          </w:tcPr>
          <w:p w14:paraId="75ACD77C" w14:textId="77777777" w:rsidR="00386DA4" w:rsidRDefault="00386DA4">
            <w:pPr>
              <w:pStyle w:val="Tablebody"/>
            </w:pPr>
          </w:p>
        </w:tc>
      </w:tr>
      <w:tr w:rsidR="00386DA4" w14:paraId="12DDB7AB" w14:textId="77777777">
        <w:tc>
          <w:tcPr>
            <w:tcW w:w="2001" w:type="pct"/>
          </w:tcPr>
          <w:p w14:paraId="0BD8B320" w14:textId="77777777" w:rsidR="00386DA4" w:rsidRDefault="00386DA4">
            <w:pPr>
              <w:pStyle w:val="NICETabletext"/>
              <w:keepNext w:val="0"/>
            </w:pPr>
            <w:r>
              <w:t>Sub trt – TPC – Carboplatin</w:t>
            </w:r>
          </w:p>
        </w:tc>
        <w:tc>
          <w:tcPr>
            <w:tcW w:w="1122" w:type="pct"/>
            <w:tcBorders>
              <w:top w:val="nil"/>
              <w:left w:val="single" w:sz="4" w:space="0" w:color="auto"/>
              <w:bottom w:val="single" w:sz="4" w:space="0" w:color="auto"/>
              <w:right w:val="single" w:sz="4" w:space="0" w:color="auto"/>
            </w:tcBorders>
            <w:shd w:val="clear" w:color="auto" w:fill="auto"/>
            <w:vAlign w:val="bottom"/>
          </w:tcPr>
          <w:p w14:paraId="135C8116" w14:textId="5D4B41E0" w:rsidR="00386DA4" w:rsidRPr="00294FDC" w:rsidDel="00461700" w:rsidRDefault="00294FDC">
            <w:pPr>
              <w:pStyle w:val="NICETabletext"/>
              <w:keepNext w:val="0"/>
              <w:rPr>
                <w:color w:val="000000"/>
                <w:highlight w:val="black"/>
              </w:rPr>
            </w:pPr>
            <w:r w:rsidRPr="00294FDC">
              <w:rPr>
                <w:rFonts w:cs="Arial"/>
                <w:color w:val="000000"/>
                <w:szCs w:val="20"/>
                <w:highlight w:val="black"/>
              </w:rPr>
              <w:t>xxxxxx</w:t>
            </w:r>
          </w:p>
        </w:tc>
        <w:tc>
          <w:tcPr>
            <w:tcW w:w="1122" w:type="pct"/>
            <w:vMerge/>
          </w:tcPr>
          <w:p w14:paraId="5ED0E4C6" w14:textId="77777777" w:rsidR="00386DA4" w:rsidRPr="005975EA" w:rsidRDefault="00386DA4">
            <w:pPr>
              <w:pStyle w:val="NICETabletext"/>
            </w:pPr>
          </w:p>
        </w:tc>
        <w:tc>
          <w:tcPr>
            <w:tcW w:w="755" w:type="pct"/>
            <w:vMerge/>
          </w:tcPr>
          <w:p w14:paraId="0EE56EF0" w14:textId="77777777" w:rsidR="00386DA4" w:rsidRDefault="00386DA4">
            <w:pPr>
              <w:pStyle w:val="Tablebody"/>
            </w:pPr>
          </w:p>
        </w:tc>
      </w:tr>
      <w:tr w:rsidR="00386DA4" w14:paraId="46B4C6AA" w14:textId="77777777">
        <w:tc>
          <w:tcPr>
            <w:tcW w:w="2001" w:type="pct"/>
          </w:tcPr>
          <w:p w14:paraId="5EDBE3BA" w14:textId="77777777" w:rsidR="00386DA4" w:rsidRDefault="00386DA4">
            <w:pPr>
              <w:pStyle w:val="NICETabletext"/>
              <w:keepNext w:val="0"/>
            </w:pPr>
            <w:r>
              <w:t>Sub trt – TPC – Tamoxifen</w:t>
            </w:r>
          </w:p>
        </w:tc>
        <w:tc>
          <w:tcPr>
            <w:tcW w:w="1122" w:type="pct"/>
            <w:tcBorders>
              <w:top w:val="nil"/>
              <w:left w:val="single" w:sz="4" w:space="0" w:color="auto"/>
              <w:bottom w:val="single" w:sz="4" w:space="0" w:color="auto"/>
              <w:right w:val="single" w:sz="4" w:space="0" w:color="auto"/>
            </w:tcBorders>
            <w:shd w:val="clear" w:color="auto" w:fill="auto"/>
            <w:vAlign w:val="bottom"/>
          </w:tcPr>
          <w:p w14:paraId="34BC30C9" w14:textId="2D45D363" w:rsidR="00386DA4" w:rsidRPr="00294FDC" w:rsidDel="00461700" w:rsidRDefault="00294FDC">
            <w:pPr>
              <w:pStyle w:val="NICETabletext"/>
              <w:keepNext w:val="0"/>
              <w:rPr>
                <w:color w:val="000000"/>
                <w:highlight w:val="black"/>
              </w:rPr>
            </w:pPr>
            <w:r w:rsidRPr="00294FDC">
              <w:rPr>
                <w:rFonts w:cs="Arial"/>
                <w:color w:val="000000"/>
                <w:szCs w:val="20"/>
                <w:highlight w:val="black"/>
              </w:rPr>
              <w:t>xxxxx</w:t>
            </w:r>
          </w:p>
        </w:tc>
        <w:tc>
          <w:tcPr>
            <w:tcW w:w="1122" w:type="pct"/>
            <w:vMerge/>
          </w:tcPr>
          <w:p w14:paraId="32A85D2C" w14:textId="77777777" w:rsidR="00386DA4" w:rsidRPr="005975EA" w:rsidRDefault="00386DA4">
            <w:pPr>
              <w:pStyle w:val="NICETabletext"/>
            </w:pPr>
          </w:p>
        </w:tc>
        <w:tc>
          <w:tcPr>
            <w:tcW w:w="755" w:type="pct"/>
            <w:vMerge/>
          </w:tcPr>
          <w:p w14:paraId="000B25C6" w14:textId="77777777" w:rsidR="00386DA4" w:rsidRDefault="00386DA4">
            <w:pPr>
              <w:pStyle w:val="Tablebody"/>
            </w:pPr>
          </w:p>
        </w:tc>
      </w:tr>
    </w:tbl>
    <w:p w14:paraId="20364845" w14:textId="77777777" w:rsidR="00386DA4" w:rsidRDefault="00386DA4" w:rsidP="00386DA4">
      <w:pPr>
        <w:pStyle w:val="Footnotes"/>
      </w:pPr>
      <w:r>
        <w:t xml:space="preserve">Abbreviations: BSA, body surface area; CT, computerised tomography; GP, general </w:t>
      </w:r>
      <w:r w:rsidRPr="00D16289">
        <w:t xml:space="preserve">practitioner; </w:t>
      </w:r>
      <w:r>
        <w:t xml:space="preserve">OS, overall survival; PD, progressed disease; PF, progression-free; PFS, progression-free survival; Sub trt, subsequent </w:t>
      </w:r>
      <w:r w:rsidRPr="003D70DE">
        <w:t xml:space="preserve">treatment; </w:t>
      </w:r>
      <w:r w:rsidRPr="00C67C0A">
        <w:t xml:space="preserve">T-DXd, trastuzumab deruxtecan; TPC, treatment of physician’s choice; </w:t>
      </w:r>
      <w:r w:rsidRPr="003D70DE">
        <w:t xml:space="preserve">TTD, time </w:t>
      </w:r>
      <w:r>
        <w:t xml:space="preserve">to treatment discontinuation; RDI, relative dose intensity; RU, resource use. </w:t>
      </w:r>
    </w:p>
    <w:p w14:paraId="5D7F3E61" w14:textId="77777777" w:rsidR="00386DA4" w:rsidRPr="004F5ADC" w:rsidRDefault="00386DA4" w:rsidP="00386DA4">
      <w:pPr>
        <w:pStyle w:val="Heading3"/>
      </w:pPr>
      <w:bookmarkStart w:id="768" w:name="_Toc98924684"/>
      <w:bookmarkStart w:id="769" w:name="_Toc127006623"/>
      <w:bookmarkStart w:id="770" w:name="_Toc129350911"/>
      <w:bookmarkEnd w:id="762"/>
      <w:bookmarkEnd w:id="763"/>
      <w:r w:rsidRPr="004F5ADC">
        <w:t>Assumptions</w:t>
      </w:r>
      <w:bookmarkEnd w:id="768"/>
      <w:bookmarkEnd w:id="769"/>
      <w:bookmarkEnd w:id="770"/>
    </w:p>
    <w:p w14:paraId="7588FBBB" w14:textId="06A61550" w:rsidR="00386DA4" w:rsidRDefault="00386DA4" w:rsidP="00386DA4">
      <w:pPr>
        <w:pStyle w:val="Body"/>
      </w:pPr>
      <w:bookmarkStart w:id="771" w:name="_Ref96105468"/>
      <w:bookmarkStart w:id="772" w:name="_Toc98924773"/>
      <w:r w:rsidRPr="004F5ADC">
        <w:t>Assumptions underlying the base case analysis are summarised in</w:t>
      </w:r>
      <w:r>
        <w:t xml:space="preserve"> </w:t>
      </w:r>
      <w:r w:rsidRPr="003C648C">
        <w:rPr>
          <w:b/>
          <w:bCs/>
        </w:rPr>
        <w:fldChar w:fldCharType="begin"/>
      </w:r>
      <w:r w:rsidRPr="003C648C">
        <w:rPr>
          <w:b/>
          <w:bCs/>
        </w:rPr>
        <w:instrText xml:space="preserve"> REF _Ref101422544 \h </w:instrText>
      </w:r>
      <w:r w:rsidR="0059606E">
        <w:rPr>
          <w:b/>
          <w:bCs/>
        </w:rPr>
        <w:instrText xml:space="preserve"> \* MERGEFORMAT </w:instrText>
      </w:r>
      <w:r w:rsidRPr="003C648C">
        <w:rPr>
          <w:b/>
          <w:bCs/>
        </w:rPr>
      </w:r>
      <w:r w:rsidRPr="003C648C">
        <w:rPr>
          <w:b/>
          <w:bCs/>
        </w:rPr>
        <w:fldChar w:fldCharType="separate"/>
      </w:r>
      <w:r w:rsidR="00145F42" w:rsidRPr="00145F42">
        <w:rPr>
          <w:b/>
          <w:bCs/>
        </w:rPr>
        <w:t xml:space="preserve">Table </w:t>
      </w:r>
      <w:r w:rsidR="00145F42" w:rsidRPr="00145F42">
        <w:rPr>
          <w:b/>
          <w:bCs/>
          <w:noProof/>
        </w:rPr>
        <w:t>67</w:t>
      </w:r>
      <w:r w:rsidRPr="003C648C">
        <w:rPr>
          <w:b/>
          <w:bCs/>
        </w:rPr>
        <w:fldChar w:fldCharType="end"/>
      </w:r>
      <w:r w:rsidRPr="004F5ADC">
        <w:t xml:space="preserve">. The table also outlines a summary of how each assumption was tested in sensitivity or scenario analyses. </w:t>
      </w:r>
    </w:p>
    <w:p w14:paraId="232E35BD" w14:textId="13F2B081" w:rsidR="00386DA4" w:rsidRDefault="00386DA4" w:rsidP="00386DA4">
      <w:pPr>
        <w:pStyle w:val="Caption"/>
      </w:pPr>
      <w:bookmarkStart w:id="773" w:name="_Ref101422544"/>
      <w:bookmarkStart w:id="774" w:name="_Toc99782158"/>
      <w:bookmarkStart w:id="775" w:name="_Toc127006696"/>
      <w:bookmarkStart w:id="776" w:name="_Toc129351042"/>
      <w:r>
        <w:t xml:space="preserve">Table </w:t>
      </w:r>
      <w:r>
        <w:fldChar w:fldCharType="begin"/>
      </w:r>
      <w:r>
        <w:instrText>SEQ Table \* ARABIC</w:instrText>
      </w:r>
      <w:r>
        <w:fldChar w:fldCharType="separate"/>
      </w:r>
      <w:r w:rsidR="00145F42">
        <w:rPr>
          <w:noProof/>
        </w:rPr>
        <w:t>67</w:t>
      </w:r>
      <w:r>
        <w:fldChar w:fldCharType="end"/>
      </w:r>
      <w:bookmarkEnd w:id="773"/>
      <w:r>
        <w:t>: Summary of key model assumptions</w:t>
      </w:r>
      <w:bookmarkEnd w:id="774"/>
      <w:bookmarkEnd w:id="775"/>
      <w:bookmarkEnd w:id="776"/>
    </w:p>
    <w:tbl>
      <w:tblPr>
        <w:tblStyle w:val="TableGrid"/>
        <w:tblW w:w="0" w:type="auto"/>
        <w:tblLook w:val="04A0" w:firstRow="1" w:lastRow="0" w:firstColumn="1" w:lastColumn="0" w:noHBand="0" w:noVBand="1"/>
      </w:tblPr>
      <w:tblGrid>
        <w:gridCol w:w="1374"/>
        <w:gridCol w:w="1598"/>
        <w:gridCol w:w="3713"/>
        <w:gridCol w:w="2331"/>
      </w:tblGrid>
      <w:tr w:rsidR="00386DA4" w14:paraId="28C5C907" w14:textId="77777777" w:rsidTr="0007619E">
        <w:trPr>
          <w:tblHeader/>
        </w:trPr>
        <w:tc>
          <w:tcPr>
            <w:tcW w:w="1374" w:type="dxa"/>
            <w:shd w:val="clear" w:color="auto" w:fill="D9D9D9" w:themeFill="background1" w:themeFillShade="D9"/>
          </w:tcPr>
          <w:p w14:paraId="3ED0506D" w14:textId="77777777" w:rsidR="00386DA4" w:rsidRDefault="00386DA4">
            <w:pPr>
              <w:pStyle w:val="NICETableHeader"/>
              <w:keepNext w:val="0"/>
            </w:pPr>
            <w:r>
              <w:t>Topic</w:t>
            </w:r>
          </w:p>
        </w:tc>
        <w:tc>
          <w:tcPr>
            <w:tcW w:w="1598" w:type="dxa"/>
            <w:shd w:val="clear" w:color="auto" w:fill="D9D9D9" w:themeFill="background1" w:themeFillShade="D9"/>
          </w:tcPr>
          <w:p w14:paraId="58AA4B59" w14:textId="77777777" w:rsidR="00386DA4" w:rsidRDefault="00386DA4">
            <w:pPr>
              <w:pStyle w:val="NICETableHeader"/>
              <w:keepNext w:val="0"/>
            </w:pPr>
            <w:r>
              <w:t>Assumption</w:t>
            </w:r>
          </w:p>
        </w:tc>
        <w:tc>
          <w:tcPr>
            <w:tcW w:w="3713" w:type="dxa"/>
            <w:shd w:val="clear" w:color="auto" w:fill="D9D9D9" w:themeFill="background1" w:themeFillShade="D9"/>
          </w:tcPr>
          <w:p w14:paraId="181988CD" w14:textId="77777777" w:rsidR="00386DA4" w:rsidRDefault="00386DA4">
            <w:pPr>
              <w:pStyle w:val="NICETableHeader"/>
              <w:keepNext w:val="0"/>
            </w:pPr>
            <w:r>
              <w:t>Justification/reason</w:t>
            </w:r>
          </w:p>
        </w:tc>
        <w:tc>
          <w:tcPr>
            <w:tcW w:w="2331" w:type="dxa"/>
            <w:shd w:val="clear" w:color="auto" w:fill="D9D9D9" w:themeFill="background1" w:themeFillShade="D9"/>
          </w:tcPr>
          <w:p w14:paraId="26A1D06E" w14:textId="77777777" w:rsidR="00386DA4" w:rsidRDefault="00386DA4">
            <w:pPr>
              <w:pStyle w:val="NICETableHeader"/>
              <w:keepNext w:val="0"/>
            </w:pPr>
            <w:r>
              <w:t>Sensitivity</w:t>
            </w:r>
          </w:p>
        </w:tc>
      </w:tr>
      <w:tr w:rsidR="00386DA4" w:rsidRPr="00A710D0" w14:paraId="1645E3B8" w14:textId="77777777" w:rsidTr="0007619E">
        <w:tc>
          <w:tcPr>
            <w:tcW w:w="1374" w:type="dxa"/>
          </w:tcPr>
          <w:p w14:paraId="46BDECCE" w14:textId="77777777" w:rsidR="00386DA4" w:rsidRPr="00A710D0" w:rsidRDefault="00386DA4">
            <w:pPr>
              <w:pStyle w:val="NICETabletext"/>
              <w:keepNext w:val="0"/>
            </w:pPr>
            <w:r w:rsidRPr="00A710D0">
              <w:t>Cycle length</w:t>
            </w:r>
          </w:p>
        </w:tc>
        <w:tc>
          <w:tcPr>
            <w:tcW w:w="1598" w:type="dxa"/>
          </w:tcPr>
          <w:p w14:paraId="7F327DD0" w14:textId="77777777" w:rsidR="00386DA4" w:rsidRPr="00A710D0" w:rsidRDefault="00386DA4">
            <w:pPr>
              <w:pStyle w:val="NICETabletext"/>
              <w:keepNext w:val="0"/>
            </w:pPr>
            <w:r w:rsidRPr="00A710D0">
              <w:t>Model cycle length of 3 weeks</w:t>
            </w:r>
          </w:p>
        </w:tc>
        <w:tc>
          <w:tcPr>
            <w:tcW w:w="3713" w:type="dxa"/>
          </w:tcPr>
          <w:p w14:paraId="4F1192BE" w14:textId="77777777" w:rsidR="00386DA4" w:rsidRPr="00A710D0" w:rsidRDefault="00386DA4">
            <w:pPr>
              <w:pStyle w:val="NICETabletext"/>
              <w:keepNext w:val="0"/>
            </w:pPr>
            <w:r w:rsidRPr="00A710D0">
              <w:rPr>
                <w:szCs w:val="20"/>
              </w:rPr>
              <w:t xml:space="preserve">A 3-week cycle length is assumed to be sufficiently short to represent the frequency of clinical events and interventions. Furthermore, 3-weeks is aligned to the dosing schedule of T-DXd, chemotherapy agents within the TPC arm and the multiple subsequent treatments included in the model.  </w:t>
            </w:r>
          </w:p>
        </w:tc>
        <w:tc>
          <w:tcPr>
            <w:tcW w:w="2331" w:type="dxa"/>
          </w:tcPr>
          <w:p w14:paraId="7037585D" w14:textId="77777777" w:rsidR="00386DA4" w:rsidRPr="00A710D0" w:rsidRDefault="00386DA4">
            <w:pPr>
              <w:pStyle w:val="NICETabletext"/>
              <w:keepNext w:val="0"/>
            </w:pPr>
            <w:r w:rsidRPr="00A710D0">
              <w:t>Not tested</w:t>
            </w:r>
          </w:p>
        </w:tc>
      </w:tr>
      <w:tr w:rsidR="00386DA4" w:rsidRPr="00A710D0" w14:paraId="70C2FCF5" w14:textId="77777777" w:rsidTr="0007619E">
        <w:tc>
          <w:tcPr>
            <w:tcW w:w="1374" w:type="dxa"/>
          </w:tcPr>
          <w:p w14:paraId="123DCE1B" w14:textId="77777777" w:rsidR="00386DA4" w:rsidRPr="00A710D0" w:rsidRDefault="00386DA4">
            <w:pPr>
              <w:pStyle w:val="NICETabletext"/>
              <w:keepNext w:val="0"/>
            </w:pPr>
            <w:r w:rsidRPr="00A710D0">
              <w:t>Time horizon</w:t>
            </w:r>
          </w:p>
        </w:tc>
        <w:tc>
          <w:tcPr>
            <w:tcW w:w="1598" w:type="dxa"/>
          </w:tcPr>
          <w:p w14:paraId="6818A77D" w14:textId="77777777" w:rsidR="00386DA4" w:rsidRPr="00A710D0" w:rsidRDefault="00386DA4">
            <w:pPr>
              <w:pStyle w:val="NICETabletext"/>
              <w:keepNext w:val="0"/>
            </w:pPr>
            <w:r w:rsidRPr="00A710D0">
              <w:t>A lifetime horizon of 30 years</w:t>
            </w:r>
          </w:p>
        </w:tc>
        <w:tc>
          <w:tcPr>
            <w:tcW w:w="3713" w:type="dxa"/>
          </w:tcPr>
          <w:p w14:paraId="14DE63C5" w14:textId="77777777" w:rsidR="00386DA4" w:rsidRPr="00A710D0" w:rsidRDefault="00386DA4">
            <w:pPr>
              <w:pStyle w:val="NICETabletext"/>
              <w:keepNext w:val="0"/>
            </w:pPr>
            <w:r w:rsidRPr="00A710D0">
              <w:rPr>
                <w:szCs w:val="20"/>
              </w:rPr>
              <w:t>Reflects the lifetime of patients based on a starting age of 57. Less than 1%</w:t>
            </w:r>
            <w:r w:rsidRPr="00A710D0">
              <w:t xml:space="preserve"> of patients in both arms </w:t>
            </w:r>
            <w:r w:rsidRPr="00A710D0">
              <w:rPr>
                <w:szCs w:val="20"/>
              </w:rPr>
              <w:t>are alive after this time.</w:t>
            </w:r>
          </w:p>
        </w:tc>
        <w:tc>
          <w:tcPr>
            <w:tcW w:w="2331" w:type="dxa"/>
            <w:vAlign w:val="center"/>
          </w:tcPr>
          <w:p w14:paraId="32A62B9F" w14:textId="77777777" w:rsidR="00386DA4" w:rsidRPr="00A710D0" w:rsidDel="00461700" w:rsidRDefault="00386DA4">
            <w:pPr>
              <w:pStyle w:val="NICETabletext"/>
              <w:keepNext w:val="0"/>
              <w:rPr>
                <w:b/>
                <w:bCs/>
                <w:szCs w:val="20"/>
              </w:rPr>
            </w:pPr>
            <w:r w:rsidRPr="00A710D0" w:rsidDel="00461700">
              <w:rPr>
                <w:b/>
                <w:bCs/>
                <w:szCs w:val="20"/>
              </w:rPr>
              <w:t>Scenario analysis</w:t>
            </w:r>
          </w:p>
          <w:p w14:paraId="2BE44F4D" w14:textId="77777777" w:rsidR="00386DA4" w:rsidRPr="00A710D0" w:rsidRDefault="00386DA4">
            <w:pPr>
              <w:pStyle w:val="NICETabletext"/>
              <w:keepNext w:val="0"/>
            </w:pPr>
            <w:r w:rsidRPr="00A710D0" w:rsidDel="00461700">
              <w:rPr>
                <w:szCs w:val="20"/>
              </w:rPr>
              <w:t>The impact of alternative time horizons on the results was tested</w:t>
            </w:r>
          </w:p>
        </w:tc>
      </w:tr>
      <w:tr w:rsidR="00386DA4" w:rsidRPr="00A710D0" w14:paraId="732324C9" w14:textId="77777777" w:rsidTr="0007619E">
        <w:tc>
          <w:tcPr>
            <w:tcW w:w="1374" w:type="dxa"/>
            <w:vMerge w:val="restart"/>
          </w:tcPr>
          <w:p w14:paraId="036F47DB" w14:textId="77777777" w:rsidR="00386DA4" w:rsidRPr="00A710D0" w:rsidRDefault="00386DA4">
            <w:pPr>
              <w:pStyle w:val="NICETabletext"/>
              <w:keepNext w:val="0"/>
            </w:pPr>
            <w:r>
              <w:t>Efficacy</w:t>
            </w:r>
          </w:p>
        </w:tc>
        <w:tc>
          <w:tcPr>
            <w:tcW w:w="1598" w:type="dxa"/>
          </w:tcPr>
          <w:p w14:paraId="5F2451FB" w14:textId="77777777" w:rsidR="00386DA4" w:rsidRPr="00A710D0" w:rsidRDefault="00386DA4">
            <w:pPr>
              <w:pStyle w:val="NICETabletext"/>
              <w:keepNext w:val="0"/>
            </w:pPr>
            <w:r w:rsidRPr="00A710D0">
              <w:t>Independent models are appropriate for OS, PFS and TTD</w:t>
            </w:r>
          </w:p>
        </w:tc>
        <w:tc>
          <w:tcPr>
            <w:tcW w:w="3713" w:type="dxa"/>
          </w:tcPr>
          <w:p w14:paraId="0F69F795" w14:textId="2BDDACF1" w:rsidR="00386DA4" w:rsidRDefault="00386DA4">
            <w:pPr>
              <w:pStyle w:val="NICETabletext"/>
              <w:keepNext w:val="0"/>
              <w:rPr>
                <w:szCs w:val="20"/>
              </w:rPr>
            </w:pPr>
            <w:r w:rsidRPr="00A710D0">
              <w:t>Log-cumulative hazard plots were inconclusive for the proportional hazards assumption</w:t>
            </w:r>
            <w:r>
              <w:t xml:space="preserve"> and could not be clearly justified</w:t>
            </w:r>
            <w:r w:rsidRPr="00A710D0">
              <w:t xml:space="preserve">. Therefore, </w:t>
            </w:r>
            <w:r>
              <w:t>in</w:t>
            </w:r>
            <w:r w:rsidRPr="00A710D0">
              <w:t xml:space="preserve"> </w:t>
            </w:r>
            <w:r>
              <w:t>lin</w:t>
            </w:r>
            <w:r w:rsidRPr="00A710D0">
              <w:t>e</w:t>
            </w:r>
            <w:r>
              <w:t xml:space="preserve"> with </w:t>
            </w:r>
            <w:r w:rsidRPr="005D58CB">
              <w:t>recommendations in NICE DSU TSD 14</w:t>
            </w:r>
            <w:r>
              <w:t xml:space="preserve"> which state that a strong assumption is required to use dependent curves,</w:t>
            </w:r>
            <w:r w:rsidRPr="005D58CB">
              <w:fldChar w:fldCharType="begin"/>
            </w:r>
            <w:r w:rsidR="00CA6345">
              <w:instrText xml:space="preserve"> ADDIN ZOTERO_ITEM CSL_CITATION {"citationID":"BwChZENt","properties":{"formattedCitation":"\\super 171\\nosupersub{}","plainCitation":"171","noteIndex":0},"citationItems":[{"id":66276,"uris":["http://zotero.org/groups/4797619/items/QYBHYJLM"],"itemData":{"id":66276,"type":"webpage","title":"NICE DSU Technical Support Document 14:  Survival Analysis For Economic Evaluations Alongside Clinical Trials - Extrapolation With Patient-Level Data","URL":"https://www.sheffield.ac.uk/sites/default/files/2022-02/TSD14-Survival-analysis.updated-March-2013.v2.pdf","author":[{"family":"NICE","given":""}],"issued":{"date-parts":[["2013",3]]}}}],"schema":"https://github.com/citation-style-language/schema/raw/master/csl-citation.json"} </w:instrText>
            </w:r>
            <w:r w:rsidRPr="005D58CB">
              <w:fldChar w:fldCharType="separate"/>
            </w:r>
            <w:r w:rsidR="00CA6345" w:rsidRPr="00CA6345">
              <w:rPr>
                <w:rFonts w:cs="Arial"/>
                <w:vertAlign w:val="superscript"/>
              </w:rPr>
              <w:t>171</w:t>
            </w:r>
            <w:r w:rsidRPr="005D58CB">
              <w:fldChar w:fldCharType="end"/>
            </w:r>
            <w:r w:rsidRPr="00A710D0">
              <w:t xml:space="preserve"> independent curves</w:t>
            </w:r>
            <w:r>
              <w:t xml:space="preserve"> were selected for the model</w:t>
            </w:r>
            <w:r w:rsidRPr="00A710D0">
              <w:t xml:space="preserve">. </w:t>
            </w:r>
            <w:r>
              <w:t xml:space="preserve">UK HEOR and clinical experts confirmed </w:t>
            </w:r>
            <w:r>
              <w:lastRenderedPageBreak/>
              <w:t xml:space="preserve">that the use of </w:t>
            </w:r>
            <w:r w:rsidRPr="005D58CB">
              <w:t>independent curves is deemed the most appropriate</w:t>
            </w:r>
            <w:r>
              <w:t xml:space="preserve"> approach</w:t>
            </w:r>
            <w:r w:rsidRPr="00A710D0">
              <w:t>.</w:t>
            </w:r>
            <w:r>
              <w:fldChar w:fldCharType="begin"/>
            </w:r>
            <w:r w:rsidR="00CA6345">
              <w:instrText xml:space="preserve"> ADDIN ZOTERO_ITEM CSL_CITATION {"citationID":"uB5NrBPs","properties":{"formattedCitation":"\\super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fldChar w:fldCharType="separate"/>
            </w:r>
            <w:r w:rsidR="00CA6345" w:rsidRPr="00CA6345">
              <w:rPr>
                <w:rFonts w:cs="Arial"/>
                <w:vertAlign w:val="superscript"/>
              </w:rPr>
              <w:t>121</w:t>
            </w:r>
            <w:r>
              <w:fldChar w:fldCharType="end"/>
            </w:r>
          </w:p>
          <w:p w14:paraId="6F4BCA18" w14:textId="77777777" w:rsidR="00386DA4" w:rsidRPr="00A710D0" w:rsidRDefault="00386DA4">
            <w:pPr>
              <w:pStyle w:val="NICETabletext"/>
              <w:keepNext w:val="0"/>
            </w:pPr>
            <w:r w:rsidRPr="00A710D0">
              <w:t>In addition</w:t>
            </w:r>
            <w:r w:rsidRPr="00A710D0">
              <w:rPr>
                <w:szCs w:val="20"/>
              </w:rPr>
              <w:t>, given the availability of patient-level data for each treatment and maturity of the data, the reliance on the proportional hazard assumption was considered unnecessary and therefore, independent models were considered more appropriate.</w:t>
            </w:r>
          </w:p>
        </w:tc>
        <w:tc>
          <w:tcPr>
            <w:tcW w:w="2331" w:type="dxa"/>
          </w:tcPr>
          <w:p w14:paraId="4994F90C" w14:textId="77777777" w:rsidR="00386DA4" w:rsidRPr="00A710D0" w:rsidRDefault="00386DA4">
            <w:pPr>
              <w:pStyle w:val="NICETabletext"/>
              <w:keepNext w:val="0"/>
              <w:rPr>
                <w:b/>
                <w:bCs/>
              </w:rPr>
            </w:pPr>
            <w:r w:rsidRPr="00A710D0" w:rsidDel="00461700">
              <w:lastRenderedPageBreak/>
              <w:t xml:space="preserve">NA </w:t>
            </w:r>
          </w:p>
        </w:tc>
      </w:tr>
      <w:tr w:rsidR="00386DA4" w:rsidRPr="00A710D0" w14:paraId="358052CC" w14:textId="77777777" w:rsidTr="0007619E">
        <w:tc>
          <w:tcPr>
            <w:tcW w:w="1374" w:type="dxa"/>
            <w:vMerge/>
          </w:tcPr>
          <w:p w14:paraId="264734A6" w14:textId="77777777" w:rsidR="00386DA4" w:rsidRPr="00A710D0" w:rsidRDefault="00386DA4">
            <w:pPr>
              <w:pStyle w:val="NICETabletext"/>
              <w:keepNext w:val="0"/>
            </w:pPr>
          </w:p>
        </w:tc>
        <w:tc>
          <w:tcPr>
            <w:tcW w:w="1598" w:type="dxa"/>
          </w:tcPr>
          <w:p w14:paraId="14BB8113" w14:textId="77777777" w:rsidR="00386DA4" w:rsidRPr="00A710D0" w:rsidRDefault="00386DA4">
            <w:pPr>
              <w:pStyle w:val="NICETabletext"/>
              <w:keepNext w:val="0"/>
            </w:pPr>
            <w:r w:rsidRPr="00A710D0" w:rsidDel="00461700">
              <w:rPr>
                <w:szCs w:val="20"/>
              </w:rPr>
              <w:t>Identification of the most appropriate survival curves describing OS, PFS and TTD</w:t>
            </w:r>
          </w:p>
        </w:tc>
        <w:tc>
          <w:tcPr>
            <w:tcW w:w="3713" w:type="dxa"/>
          </w:tcPr>
          <w:p w14:paraId="7853754A" w14:textId="6B6C74FE" w:rsidR="00386DA4" w:rsidRPr="00A710D0" w:rsidRDefault="00386DA4">
            <w:pPr>
              <w:pStyle w:val="NICETabletext"/>
              <w:keepNext w:val="0"/>
            </w:pPr>
            <w:r w:rsidRPr="00A710D0" w:rsidDel="00461700">
              <w:rPr>
                <w:szCs w:val="20"/>
              </w:rPr>
              <w:t>Extensive analyses have been undertaken to identify appropriate survival curves describing the long-term efficacy of each treatment, with reference to the guidance from the NICE DSU.</w:t>
            </w:r>
            <w:r w:rsidRPr="005D58CB">
              <w:fldChar w:fldCharType="begin"/>
            </w:r>
            <w:r w:rsidR="00CA6345">
              <w:instrText xml:space="preserve"> ADDIN ZOTERO_ITEM CSL_CITATION {"citationID":"Afz0Wyej","properties":{"formattedCitation":"\\super 171\\nosupersub{}","plainCitation":"171","noteIndex":0},"citationItems":[{"id":66276,"uris":["http://zotero.org/groups/4797619/items/QYBHYJLM"],"itemData":{"id":66276,"type":"webpage","title":"NICE DSU Technical Support Document 14:  Survival Analysis For Economic Evaluations Alongside Clinical Trials - Extrapolation With Patient-Level Data","URL":"https://www.sheffield.ac.uk/sites/default/files/2022-02/TSD14-Survival-analysis.updated-March-2013.v2.pdf","author":[{"family":"NICE","given":""}],"issued":{"date-parts":[["2013",3]]}}}],"schema":"https://github.com/citation-style-language/schema/raw/master/csl-citation.json"} </w:instrText>
            </w:r>
            <w:r w:rsidRPr="005D58CB">
              <w:fldChar w:fldCharType="separate"/>
            </w:r>
            <w:r w:rsidR="00CA6345" w:rsidRPr="00CA6345">
              <w:rPr>
                <w:rFonts w:cs="Arial"/>
                <w:vertAlign w:val="superscript"/>
              </w:rPr>
              <w:t>171</w:t>
            </w:r>
            <w:r w:rsidRPr="005D58CB">
              <w:fldChar w:fldCharType="end"/>
            </w:r>
            <w:r w:rsidRPr="00542E85" w:rsidDel="00461700">
              <w:rPr>
                <w:szCs w:val="20"/>
              </w:rPr>
              <w:t xml:space="preserve"> The approach and identified survival extrapolations have been validated by </w:t>
            </w:r>
            <w:r>
              <w:rPr>
                <w:szCs w:val="20"/>
              </w:rPr>
              <w:t xml:space="preserve">UK HEOR and </w:t>
            </w:r>
            <w:r w:rsidRPr="00542E85" w:rsidDel="00461700">
              <w:rPr>
                <w:szCs w:val="20"/>
              </w:rPr>
              <w:t>clinical experts</w:t>
            </w:r>
            <w:r w:rsidR="005E7D87">
              <w:rPr>
                <w:szCs w:val="20"/>
              </w:rPr>
              <w:t>.</w:t>
            </w:r>
          </w:p>
        </w:tc>
        <w:tc>
          <w:tcPr>
            <w:tcW w:w="2331" w:type="dxa"/>
          </w:tcPr>
          <w:p w14:paraId="34C78B59" w14:textId="77777777" w:rsidR="00386DA4" w:rsidRPr="00A710D0" w:rsidDel="00461700" w:rsidRDefault="00386DA4">
            <w:pPr>
              <w:pStyle w:val="NICETabletext"/>
              <w:keepNext w:val="0"/>
              <w:rPr>
                <w:b/>
                <w:bCs/>
              </w:rPr>
            </w:pPr>
            <w:r w:rsidRPr="00A710D0" w:rsidDel="00461700">
              <w:rPr>
                <w:b/>
                <w:bCs/>
              </w:rPr>
              <w:t>Scenario Analysis</w:t>
            </w:r>
          </w:p>
          <w:p w14:paraId="6639ABB9" w14:textId="77777777" w:rsidR="00386DA4" w:rsidRPr="00A710D0" w:rsidDel="00461700" w:rsidRDefault="00386DA4">
            <w:pPr>
              <w:pStyle w:val="NICETabletext"/>
              <w:keepNext w:val="0"/>
              <w:rPr>
                <w:szCs w:val="20"/>
              </w:rPr>
            </w:pPr>
            <w:r w:rsidRPr="00A710D0" w:rsidDel="00461700">
              <w:rPr>
                <w:szCs w:val="20"/>
              </w:rPr>
              <w:t>Evaluation of clinically plausible alternative extrapolations</w:t>
            </w:r>
          </w:p>
          <w:p w14:paraId="4D7DC29B" w14:textId="77777777" w:rsidR="00386DA4" w:rsidRPr="00A710D0" w:rsidDel="00461700" w:rsidRDefault="00386DA4">
            <w:pPr>
              <w:pStyle w:val="NICETabletext"/>
              <w:keepNext w:val="0"/>
            </w:pPr>
          </w:p>
          <w:p w14:paraId="6C9F8B73" w14:textId="77777777" w:rsidR="00386DA4" w:rsidRPr="00A710D0" w:rsidDel="00461700" w:rsidRDefault="00386DA4">
            <w:pPr>
              <w:pStyle w:val="NICETabletext"/>
              <w:keepNext w:val="0"/>
              <w:rPr>
                <w:b/>
                <w:bCs/>
              </w:rPr>
            </w:pPr>
            <w:r w:rsidRPr="00A710D0" w:rsidDel="00461700">
              <w:rPr>
                <w:b/>
                <w:bCs/>
              </w:rPr>
              <w:t>PSA</w:t>
            </w:r>
          </w:p>
          <w:p w14:paraId="3FB59E22" w14:textId="77777777" w:rsidR="00386DA4" w:rsidRPr="00A710D0" w:rsidRDefault="00386DA4">
            <w:pPr>
              <w:pStyle w:val="NICETabletext"/>
              <w:keepNext w:val="0"/>
            </w:pPr>
            <w:r w:rsidRPr="00A710D0" w:rsidDel="00461700">
              <w:t>Variation of base case distribution parameters via variance co-variance matrix</w:t>
            </w:r>
          </w:p>
        </w:tc>
      </w:tr>
      <w:tr w:rsidR="00386DA4" w:rsidRPr="00A710D0" w14:paraId="75D14696" w14:textId="77777777" w:rsidTr="0007619E">
        <w:tc>
          <w:tcPr>
            <w:tcW w:w="1374" w:type="dxa"/>
            <w:vMerge w:val="restart"/>
          </w:tcPr>
          <w:p w14:paraId="16F52AC9" w14:textId="77777777" w:rsidR="00386DA4" w:rsidRPr="00A710D0" w:rsidRDefault="00386DA4">
            <w:pPr>
              <w:pStyle w:val="NICETabletext"/>
              <w:keepNext w:val="0"/>
            </w:pPr>
            <w:r w:rsidRPr="00A710D0">
              <w:t>Utilities</w:t>
            </w:r>
          </w:p>
        </w:tc>
        <w:tc>
          <w:tcPr>
            <w:tcW w:w="1598" w:type="dxa"/>
          </w:tcPr>
          <w:p w14:paraId="56773038" w14:textId="77777777" w:rsidR="00386DA4" w:rsidRPr="00A710D0" w:rsidRDefault="00386DA4">
            <w:pPr>
              <w:pStyle w:val="NICETabletext"/>
              <w:keepNext w:val="0"/>
              <w:rPr>
                <w:szCs w:val="20"/>
              </w:rPr>
            </w:pPr>
            <w:r w:rsidRPr="00A710D0">
              <w:rPr>
                <w:szCs w:val="20"/>
              </w:rPr>
              <w:t>Utility values were assumed to differ by treatment arm and health state.</w:t>
            </w:r>
          </w:p>
        </w:tc>
        <w:tc>
          <w:tcPr>
            <w:tcW w:w="3713" w:type="dxa"/>
          </w:tcPr>
          <w:p w14:paraId="3581ADF5" w14:textId="52A6F080" w:rsidR="00386DA4" w:rsidRPr="00A710D0" w:rsidRDefault="00386DA4">
            <w:pPr>
              <w:pStyle w:val="NICETabletext"/>
              <w:keepNext w:val="0"/>
              <w:rPr>
                <w:szCs w:val="20"/>
              </w:rPr>
            </w:pPr>
            <w:r w:rsidRPr="00A710D0">
              <w:rPr>
                <w:szCs w:val="20"/>
              </w:rPr>
              <w:t xml:space="preserve">Direct EQ-5D data collected within DESTINY-Breast04 show a difference between treatment arms in utilities in both </w:t>
            </w:r>
            <w:r w:rsidRPr="00A710D0">
              <w:rPr>
                <w:i/>
                <w:iCs/>
                <w:szCs w:val="20"/>
              </w:rPr>
              <w:t>‘progression-free’</w:t>
            </w:r>
            <w:r w:rsidRPr="00A710D0">
              <w:rPr>
                <w:szCs w:val="20"/>
              </w:rPr>
              <w:t xml:space="preserve"> and </w:t>
            </w:r>
            <w:r w:rsidRPr="00A710D0">
              <w:rPr>
                <w:i/>
                <w:iCs/>
                <w:szCs w:val="20"/>
              </w:rPr>
              <w:t>‘post-progression’</w:t>
            </w:r>
            <w:r w:rsidRPr="00A710D0">
              <w:rPr>
                <w:szCs w:val="20"/>
              </w:rPr>
              <w:t xml:space="preserve"> health states. This may be due to the improved and longer response rates with T-DXd leading to better disease control and lower tumour burden</w:t>
            </w:r>
            <w:r w:rsidR="00671F3F">
              <w:rPr>
                <w:szCs w:val="20"/>
              </w:rPr>
              <w:t>.</w:t>
            </w:r>
            <w:r>
              <w:rPr>
                <w:szCs w:val="20"/>
              </w:rPr>
              <w:t xml:space="preserve"> </w:t>
            </w:r>
            <w:r w:rsidRPr="00A710D0">
              <w:rPr>
                <w:szCs w:val="20"/>
              </w:rPr>
              <w:t xml:space="preserve"> </w:t>
            </w:r>
          </w:p>
          <w:p w14:paraId="0182261C" w14:textId="77777777" w:rsidR="00386DA4" w:rsidRDefault="00386DA4">
            <w:pPr>
              <w:pStyle w:val="NICETabletext"/>
              <w:keepNext w:val="0"/>
              <w:rPr>
                <w:szCs w:val="20"/>
              </w:rPr>
            </w:pPr>
            <w:r w:rsidRPr="00A710D0">
              <w:rPr>
                <w:szCs w:val="20"/>
              </w:rPr>
              <w:t>Based on the response rates with T-DXd and TPC, utility values are expected to be greater for T-DXd which is demonstrated by the observed direct evidence from DESTINY-Breast04. Patients on T-DXd are expected to have greater utility when progressing due to lower tumour burden which follows into the progression health state. Similar assumptions have been made in prior appraisals.</w:t>
            </w:r>
          </w:p>
          <w:p w14:paraId="2B7CC51B" w14:textId="0D2785B3" w:rsidR="00386DA4" w:rsidRPr="00A710D0" w:rsidRDefault="00D83052">
            <w:pPr>
              <w:pStyle w:val="NICETabletext"/>
              <w:keepNext w:val="0"/>
              <w:rPr>
                <w:szCs w:val="20"/>
              </w:rPr>
            </w:pPr>
            <w:r>
              <w:rPr>
                <w:szCs w:val="20"/>
              </w:rPr>
              <w:t xml:space="preserve">The different safety profiles across the trial arms also support differences in utilities. </w:t>
            </w:r>
            <w:r w:rsidRPr="00A710D0">
              <w:rPr>
                <w:szCs w:val="20"/>
              </w:rPr>
              <w:t xml:space="preserve"> </w:t>
            </w:r>
          </w:p>
        </w:tc>
        <w:tc>
          <w:tcPr>
            <w:tcW w:w="2331" w:type="dxa"/>
            <w:vMerge w:val="restart"/>
          </w:tcPr>
          <w:p w14:paraId="6CA269E8" w14:textId="77777777" w:rsidR="00386DA4" w:rsidRPr="00A710D0" w:rsidRDefault="00386DA4">
            <w:pPr>
              <w:pStyle w:val="NICETabletext"/>
              <w:keepNext w:val="0"/>
              <w:rPr>
                <w:b/>
                <w:bCs/>
              </w:rPr>
            </w:pPr>
            <w:r w:rsidRPr="00A710D0">
              <w:rPr>
                <w:b/>
                <w:bCs/>
              </w:rPr>
              <w:t>Scenario Analysis</w:t>
            </w:r>
          </w:p>
          <w:p w14:paraId="2DC5E5F7" w14:textId="77777777" w:rsidR="00386DA4" w:rsidRPr="00A710D0" w:rsidRDefault="00386DA4">
            <w:pPr>
              <w:pStyle w:val="NICETabletext"/>
              <w:keepNext w:val="0"/>
              <w:rPr>
                <w:szCs w:val="20"/>
              </w:rPr>
            </w:pPr>
            <w:r w:rsidRPr="00A710D0">
              <w:rPr>
                <w:szCs w:val="20"/>
              </w:rPr>
              <w:t>Use of alternative progressed-disease utility values, sourced from DESTINY-Breast04</w:t>
            </w:r>
          </w:p>
          <w:p w14:paraId="1C13F1CD" w14:textId="77777777" w:rsidR="00386DA4" w:rsidRPr="00A710D0" w:rsidRDefault="00386DA4">
            <w:pPr>
              <w:pStyle w:val="NICETabletext"/>
              <w:keepNext w:val="0"/>
              <w:rPr>
                <w:szCs w:val="20"/>
              </w:rPr>
            </w:pPr>
          </w:p>
          <w:p w14:paraId="442FFA5F" w14:textId="77777777" w:rsidR="00386DA4" w:rsidRPr="00A710D0" w:rsidRDefault="00386DA4">
            <w:pPr>
              <w:pStyle w:val="NICETabletext"/>
              <w:keepNext w:val="0"/>
              <w:rPr>
                <w:szCs w:val="20"/>
              </w:rPr>
            </w:pPr>
            <w:r w:rsidRPr="00A710D0">
              <w:rPr>
                <w:b/>
                <w:bCs/>
              </w:rPr>
              <w:t>OWSA, PSA</w:t>
            </w:r>
          </w:p>
          <w:p w14:paraId="7FA4F17D" w14:textId="77777777" w:rsidR="00386DA4" w:rsidRPr="00A710D0" w:rsidRDefault="00386DA4">
            <w:pPr>
              <w:pStyle w:val="NICETabletext"/>
              <w:keepNext w:val="0"/>
              <w:rPr>
                <w:szCs w:val="20"/>
              </w:rPr>
            </w:pPr>
            <w:r w:rsidRPr="00A710D0">
              <w:rPr>
                <w:szCs w:val="20"/>
              </w:rPr>
              <w:t xml:space="preserve">Variation of utility value through </w:t>
            </w:r>
            <w:r>
              <w:rPr>
                <w:szCs w:val="20"/>
              </w:rPr>
              <w:t xml:space="preserve">the SE and </w:t>
            </w:r>
            <w:r w:rsidRPr="00A710D0">
              <w:rPr>
                <w:szCs w:val="20"/>
              </w:rPr>
              <w:t>confidence intervals</w:t>
            </w:r>
          </w:p>
        </w:tc>
      </w:tr>
      <w:tr w:rsidR="00386DA4" w:rsidRPr="00A710D0" w14:paraId="27F205D9" w14:textId="77777777" w:rsidTr="0007619E">
        <w:tc>
          <w:tcPr>
            <w:tcW w:w="1374" w:type="dxa"/>
            <w:vMerge/>
          </w:tcPr>
          <w:p w14:paraId="788DE432" w14:textId="77777777" w:rsidR="00386DA4" w:rsidRPr="00A710D0" w:rsidRDefault="00386DA4">
            <w:pPr>
              <w:pStyle w:val="NICETabletext"/>
              <w:keepNext w:val="0"/>
            </w:pPr>
          </w:p>
        </w:tc>
        <w:tc>
          <w:tcPr>
            <w:tcW w:w="1598" w:type="dxa"/>
          </w:tcPr>
          <w:p w14:paraId="76784E2B" w14:textId="77777777" w:rsidR="00386DA4" w:rsidRPr="00A710D0" w:rsidRDefault="00386DA4">
            <w:pPr>
              <w:pStyle w:val="NICETabletext"/>
              <w:keepNext w:val="0"/>
              <w:rPr>
                <w:szCs w:val="20"/>
              </w:rPr>
            </w:pPr>
            <w:r w:rsidRPr="00A710D0">
              <w:rPr>
                <w:szCs w:val="20"/>
              </w:rPr>
              <w:t xml:space="preserve">Post-progression utilities were </w:t>
            </w:r>
            <w:r w:rsidRPr="00A710D0">
              <w:t>derived from Lloyd et al, 2006.</w:t>
            </w:r>
          </w:p>
        </w:tc>
        <w:tc>
          <w:tcPr>
            <w:tcW w:w="3713" w:type="dxa"/>
          </w:tcPr>
          <w:p w14:paraId="005BB924" w14:textId="622A9124" w:rsidR="00386DA4" w:rsidRPr="00A710D0" w:rsidRDefault="00386DA4">
            <w:pPr>
              <w:pStyle w:val="NICETabletext"/>
              <w:keepNext w:val="0"/>
              <w:rPr>
                <w:szCs w:val="20"/>
              </w:rPr>
            </w:pPr>
            <w:r w:rsidRPr="00A710D0">
              <w:t>Limited long-term QoL data were collected post-progression in DESTINY-Breast04. The utility values derived from the trial were higher than would be expected in clinical practice</w:t>
            </w:r>
            <w:r>
              <w:t xml:space="preserve"> as suggested by UK clinical experts and based on previously accepted utilities within mBC populations</w:t>
            </w:r>
            <w:r w:rsidRPr="00A710D0">
              <w:t>.</w:t>
            </w:r>
            <w:r>
              <w:fldChar w:fldCharType="begin"/>
            </w:r>
            <w:r w:rsidR="00CA6345">
              <w:instrText xml:space="preserve"> ADDIN ZOTERO_ITEM CSL_CITATION {"citationID":"mrMmpN1E","properties":{"formattedCitation":"\\super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fldChar w:fldCharType="separate"/>
            </w:r>
            <w:r w:rsidR="00CA6345" w:rsidRPr="00CA6345">
              <w:rPr>
                <w:rFonts w:cs="Arial"/>
                <w:vertAlign w:val="superscript"/>
              </w:rPr>
              <w:t>121</w:t>
            </w:r>
            <w:r>
              <w:fldChar w:fldCharType="end"/>
            </w:r>
            <w:r w:rsidRPr="00A710D0">
              <w:t xml:space="preserve"> </w:t>
            </w:r>
            <w:r w:rsidR="00F23A88">
              <w:t>Prior breast cancer appraisals including</w:t>
            </w:r>
            <w:r w:rsidRPr="00A710D0">
              <w:t xml:space="preserve"> TA862 (T-DXd second line in HER2-positive</w:t>
            </w:r>
            <w:r>
              <w:t xml:space="preserve"> u/mBC</w:t>
            </w:r>
            <w:r w:rsidRPr="00A710D0">
              <w:t>)</w:t>
            </w:r>
            <w:r w:rsidRPr="00A710D0">
              <w:rPr>
                <w:lang w:eastAsia="en-GB"/>
              </w:rPr>
              <w:fldChar w:fldCharType="begin"/>
            </w:r>
            <w:r w:rsidR="00CA6345">
              <w:rPr>
                <w:lang w:eastAsia="en-GB"/>
              </w:rPr>
              <w:instrText xml:space="preserve"> ADDIN ZOTERO_ITEM CSL_CITATION {"citationID":"g8rVW6hT","properties":{"formattedCitation":"\\super 5\\nosupersub{}","plainCitation":"5","noteIndex":0},"citationItems":[{"id":66214,"uris":["http://zotero.org/groups/4797619/items/H2PQC2GH"],"itemData":{"id":66214,"type":"webpage","abstract":"Trastuzumab deruxtecan for treating HER2-positive unresectable or metastatic breast cancer after trastuzumab and a taxane [TA862]","language":"eng","note":"publisher: NICE","title":"Trastuzumab deruxtecan for treating HER2-positive unresectable or metastatic breast cancer after 1 or more anti-HER2 therapies | NICE [TA862]","URL":"https://www.nice.org.uk/guidance/indevelopment/gid-ta10804/documents","author":[{"family":"NICE","given":""}],"accessed":{"date-parts":[["2023",2,5]]},"issued":{"date-parts":[["2023",2]]}}}],"schema":"https://github.com/citation-style-language/schema/raw/master/csl-citation.json"} </w:instrText>
            </w:r>
            <w:r w:rsidRPr="00A710D0">
              <w:rPr>
                <w:lang w:eastAsia="en-GB"/>
              </w:rPr>
              <w:fldChar w:fldCharType="separate"/>
            </w:r>
            <w:r w:rsidR="00FD57F4" w:rsidRPr="00FD57F4">
              <w:rPr>
                <w:rFonts w:cs="Arial"/>
                <w:vertAlign w:val="superscript"/>
              </w:rPr>
              <w:t>5</w:t>
            </w:r>
            <w:r w:rsidRPr="00A710D0">
              <w:rPr>
                <w:lang w:eastAsia="en-GB"/>
              </w:rPr>
              <w:fldChar w:fldCharType="end"/>
            </w:r>
            <w:r w:rsidRPr="00A710D0" w:rsidDel="00A83E45">
              <w:t xml:space="preserve"> and </w:t>
            </w:r>
            <w:r w:rsidRPr="00A710D0">
              <w:t>TA423 (eribulin</w:t>
            </w:r>
            <w:r>
              <w:t xml:space="preserve"> </w:t>
            </w:r>
            <w:r w:rsidRPr="005D58CB">
              <w:t>third</w:t>
            </w:r>
            <w:r w:rsidRPr="005D58CB" w:rsidDel="00132C28">
              <w:t xml:space="preserve"> line</w:t>
            </w:r>
            <w:r w:rsidRPr="005D58CB">
              <w:t xml:space="preserve"> HER2-positive mBC</w:t>
            </w:r>
            <w:r w:rsidRPr="00A710D0" w:rsidDel="00CA19C1">
              <w:t>)</w:t>
            </w:r>
            <w:r w:rsidRPr="007A2208">
              <w:fldChar w:fldCharType="begin"/>
            </w:r>
            <w:r w:rsidR="00CA6345">
              <w:instrText xml:space="preserve"> ADDIN ZOTERO_ITEM CSL_CITATION {"citationID":"EBPY5F2L","properties":{"formattedCitation":"\\super 131\\nosupersub{}","plainCitation":"131","noteIndex":0},"citationItems":[{"id":65884,"uris":["http://zotero.org/groups/4797619/items/GKXW7XYV"],"itemData":{"id":65884,"type":"webpage","abstract":"Evidence-based recommendations on eribulin (Halaven) for treating locally advanced or metastatic breast cancer after 2 or more types of chemotherapy","language":"eng","note":"publisher: NICE","title":"Eribulin for treating locally advanced or metastatic breast cancer after 2 or more chemotherapy regimens | NICE [TA423]","URL":"https://www.nice.org.uk/guidance/ta423","author":[{"family":"NICE","given":""}],"accessed":{"date-parts":[["2022",10,17]]}}}],"schema":"https://github.com/citation-style-language/schema/raw/master/csl-citation.json"} </w:instrText>
            </w:r>
            <w:r w:rsidRPr="007A2208">
              <w:fldChar w:fldCharType="separate"/>
            </w:r>
            <w:r w:rsidR="00CA6345" w:rsidRPr="00CA6345">
              <w:rPr>
                <w:rFonts w:cs="Arial"/>
                <w:vertAlign w:val="superscript"/>
              </w:rPr>
              <w:t>131</w:t>
            </w:r>
            <w:r w:rsidRPr="007A2208">
              <w:fldChar w:fldCharType="end"/>
            </w:r>
            <w:r w:rsidRPr="00A710D0">
              <w:t xml:space="preserve"> also implemented </w:t>
            </w:r>
            <w:r>
              <w:t xml:space="preserve">PD </w:t>
            </w:r>
            <w:r w:rsidRPr="00A710D0">
              <w:t xml:space="preserve">utility </w:t>
            </w:r>
            <w:r w:rsidRPr="00A710D0">
              <w:lastRenderedPageBreak/>
              <w:t>values based on the Lloyd et al. (2006)</w:t>
            </w:r>
            <w:r w:rsidRPr="00A710D0" w:rsidDel="00377CC8">
              <w:t xml:space="preserve"> </w:t>
            </w:r>
            <w:r w:rsidRPr="00A710D0">
              <w:t>regression.</w:t>
            </w:r>
          </w:p>
        </w:tc>
        <w:tc>
          <w:tcPr>
            <w:tcW w:w="2331" w:type="dxa"/>
            <w:vMerge/>
          </w:tcPr>
          <w:p w14:paraId="59DA54BF" w14:textId="77777777" w:rsidR="00386DA4" w:rsidRPr="00A710D0" w:rsidRDefault="00386DA4">
            <w:pPr>
              <w:pStyle w:val="NICETabletext"/>
              <w:keepNext w:val="0"/>
              <w:rPr>
                <w:b/>
                <w:bCs/>
              </w:rPr>
            </w:pPr>
          </w:p>
        </w:tc>
      </w:tr>
      <w:tr w:rsidR="00386DA4" w:rsidRPr="00A710D0" w14:paraId="3E6EE0C2" w14:textId="77777777" w:rsidTr="0007619E">
        <w:tc>
          <w:tcPr>
            <w:tcW w:w="1374" w:type="dxa"/>
          </w:tcPr>
          <w:p w14:paraId="0AD70B42" w14:textId="77777777" w:rsidR="00386DA4" w:rsidRPr="00A710D0" w:rsidRDefault="00386DA4">
            <w:pPr>
              <w:pStyle w:val="NICETabletext"/>
              <w:keepNext w:val="0"/>
            </w:pPr>
            <w:r w:rsidRPr="00A710D0">
              <w:t>Vial sharing</w:t>
            </w:r>
          </w:p>
        </w:tc>
        <w:tc>
          <w:tcPr>
            <w:tcW w:w="1598" w:type="dxa"/>
          </w:tcPr>
          <w:p w14:paraId="76D7AA01" w14:textId="77777777" w:rsidR="00386DA4" w:rsidRPr="00A710D0" w:rsidRDefault="00386DA4">
            <w:pPr>
              <w:pStyle w:val="NICETabletext"/>
              <w:keepNext w:val="0"/>
              <w:rPr>
                <w:szCs w:val="20"/>
              </w:rPr>
            </w:pPr>
            <w:r w:rsidRPr="00A710D0">
              <w:rPr>
                <w:szCs w:val="20"/>
              </w:rPr>
              <w:t>75% of centres vial share and therefore have no wastage</w:t>
            </w:r>
          </w:p>
        </w:tc>
        <w:tc>
          <w:tcPr>
            <w:tcW w:w="3713" w:type="dxa"/>
          </w:tcPr>
          <w:p w14:paraId="4AA1F00F" w14:textId="5B10649F" w:rsidR="00386DA4" w:rsidRPr="00A710D0" w:rsidRDefault="00386DA4">
            <w:pPr>
              <w:pStyle w:val="NICETabletext"/>
              <w:keepNext w:val="0"/>
              <w:rPr>
                <w:szCs w:val="20"/>
              </w:rPr>
            </w:pPr>
            <w:r>
              <w:rPr>
                <w:szCs w:val="20"/>
              </w:rPr>
              <w:t xml:space="preserve">In TA862 (a recent approval of T-DXd in </w:t>
            </w:r>
            <w:r w:rsidRPr="00A710D0">
              <w:t>HER2-positive</w:t>
            </w:r>
            <w:r>
              <w:t xml:space="preserve"> u/mBC</w:t>
            </w:r>
            <w:r>
              <w:rPr>
                <w:szCs w:val="20"/>
              </w:rPr>
              <w:t>),</w:t>
            </w:r>
            <w:r w:rsidRPr="00A710D0">
              <w:rPr>
                <w:szCs w:val="20"/>
              </w:rPr>
              <w:t xml:space="preserve"> </w:t>
            </w:r>
            <w:r>
              <w:rPr>
                <w:szCs w:val="20"/>
              </w:rPr>
              <w:t xml:space="preserve">50% vial sharing </w:t>
            </w:r>
            <w:r w:rsidR="009B66E0">
              <w:rPr>
                <w:szCs w:val="20"/>
              </w:rPr>
              <w:t>was</w:t>
            </w:r>
            <w:r>
              <w:rPr>
                <w:szCs w:val="20"/>
              </w:rPr>
              <w:t xml:space="preserve"> </w:t>
            </w:r>
            <w:r w:rsidRPr="00A710D0">
              <w:rPr>
                <w:szCs w:val="20"/>
              </w:rPr>
              <w:t>a</w:t>
            </w:r>
            <w:r>
              <w:rPr>
                <w:szCs w:val="20"/>
              </w:rPr>
              <w:t>ccept</w:t>
            </w:r>
            <w:r w:rsidRPr="00A710D0">
              <w:rPr>
                <w:szCs w:val="20"/>
              </w:rPr>
              <w:t xml:space="preserve">ed </w:t>
            </w:r>
            <w:r>
              <w:rPr>
                <w:szCs w:val="20"/>
              </w:rPr>
              <w:t>by the committee</w:t>
            </w:r>
            <w:r w:rsidRPr="00A710D0">
              <w:rPr>
                <w:szCs w:val="20"/>
              </w:rPr>
              <w:t>.</w:t>
            </w:r>
            <w:r w:rsidRPr="00A710D0">
              <w:rPr>
                <w:lang w:eastAsia="en-GB"/>
              </w:rPr>
              <w:fldChar w:fldCharType="begin"/>
            </w:r>
            <w:r w:rsidR="00CA6345">
              <w:rPr>
                <w:lang w:eastAsia="en-GB"/>
              </w:rPr>
              <w:instrText xml:space="preserve"> ADDIN ZOTERO_ITEM CSL_CITATION {"citationID":"0U2sBbHz","properties":{"formattedCitation":"\\super 5\\nosupersub{}","plainCitation":"5","noteIndex":0},"citationItems":[{"id":66214,"uris":["http://zotero.org/groups/4797619/items/H2PQC2GH"],"itemData":{"id":66214,"type":"webpage","abstract":"Trastuzumab deruxtecan for treating HER2-positive unresectable or metastatic breast cancer after trastuzumab and a taxane [TA862]","language":"eng","note":"publisher: NICE","title":"Trastuzumab deruxtecan for treating HER2-positive unresectable or metastatic breast cancer after 1 or more anti-HER2 therapies | NICE [TA862]","URL":"https://www.nice.org.uk/guidance/indevelopment/gid-ta10804/documents","author":[{"family":"NICE","given":""}],"accessed":{"date-parts":[["2023",2,5]]},"issued":{"date-parts":[["2023",2]]}}}],"schema":"https://github.com/citation-style-language/schema/raw/master/csl-citation.json"} </w:instrText>
            </w:r>
            <w:r w:rsidRPr="00A710D0">
              <w:rPr>
                <w:lang w:eastAsia="en-GB"/>
              </w:rPr>
              <w:fldChar w:fldCharType="separate"/>
            </w:r>
            <w:r w:rsidR="00FD57F4" w:rsidRPr="00FD57F4">
              <w:rPr>
                <w:rFonts w:cs="Arial"/>
                <w:vertAlign w:val="superscript"/>
              </w:rPr>
              <w:t>5</w:t>
            </w:r>
            <w:r w:rsidRPr="00A710D0">
              <w:rPr>
                <w:lang w:eastAsia="en-GB"/>
              </w:rPr>
              <w:fldChar w:fldCharType="end"/>
            </w:r>
            <w:r>
              <w:rPr>
                <w:szCs w:val="20"/>
              </w:rPr>
              <w:t xml:space="preserve"> The approval of T-DXd in additional indications would lead to </w:t>
            </w:r>
            <w:r w:rsidR="00A9549F">
              <w:rPr>
                <w:szCs w:val="20"/>
              </w:rPr>
              <w:t xml:space="preserve">a </w:t>
            </w:r>
            <w:r w:rsidRPr="00A710D0">
              <w:t xml:space="preserve">larger patient population </w:t>
            </w:r>
            <w:r>
              <w:t xml:space="preserve">and </w:t>
            </w:r>
            <w:r w:rsidR="00CA54E1">
              <w:t xml:space="preserve">an </w:t>
            </w:r>
            <w:r>
              <w:t>increased</w:t>
            </w:r>
            <w:r w:rsidRPr="00A710D0">
              <w:t xml:space="preserve"> number of centres that </w:t>
            </w:r>
            <w:r w:rsidR="00A9549F">
              <w:t>would be able to</w:t>
            </w:r>
            <w:r w:rsidRPr="00A710D0">
              <w:t xml:space="preserve"> vial shar</w:t>
            </w:r>
            <w:r w:rsidR="00344320">
              <w:t xml:space="preserve">e. This would </w:t>
            </w:r>
            <w:r w:rsidR="00E3715D">
              <w:t xml:space="preserve">also </w:t>
            </w:r>
            <w:r>
              <w:t xml:space="preserve">support </w:t>
            </w:r>
            <w:r w:rsidR="00CA54E1">
              <w:t xml:space="preserve">the </w:t>
            </w:r>
            <w:r>
              <w:t xml:space="preserve">NHS </w:t>
            </w:r>
            <w:r w:rsidR="002567A8">
              <w:t>L</w:t>
            </w:r>
            <w:r>
              <w:t>ong</w:t>
            </w:r>
            <w:r w:rsidR="002567A8">
              <w:t xml:space="preserve"> T</w:t>
            </w:r>
            <w:r>
              <w:t xml:space="preserve">erm </w:t>
            </w:r>
            <w:r w:rsidR="002567A8">
              <w:t>P</w:t>
            </w:r>
            <w:r>
              <w:t>lan</w:t>
            </w:r>
            <w:r w:rsidR="0007619E">
              <w:t>, which aims to accelerate the production of ‘off the shelf’ licensed pharmaceuticals and the use of compounders to minimise drug wastage</w:t>
            </w:r>
            <w:r>
              <w:t>.</w:t>
            </w:r>
            <w:r>
              <w:fldChar w:fldCharType="begin"/>
            </w:r>
            <w:r w:rsidR="00CA6345">
              <w:instrText xml:space="preserve"> ADDIN ZOTERO_ITEM CSL_CITATION {"citationID":"eC2pOLNN","properties":{"formattedCitation":"\\super 184\\nosupersub{}","plainCitation":"184","noteIndex":0},"citationItems":[{"id":66785,"uris":["http://zotero.org/groups/4797619/items/LCD96XL4"],"itemData":{"id":66785,"type":"article-journal","container-title":"Department of Health and Social Care","language":"en","source":"Zotero","title":"Transforming NHS pharmacy aseptic services in England. A national report for the Department of Health and Social Care by Lord Carter of Coles.","URL":"https://assets.publishing.service.gov.uk/government/uploads/system/uploads/attachment_data/file/931195/aseptic-pharmacy.pdf","issued":{"date-parts":[["2020"]]}}}],"schema":"https://github.com/citation-style-language/schema/raw/master/csl-citation.json"} </w:instrText>
            </w:r>
            <w:r>
              <w:fldChar w:fldCharType="separate"/>
            </w:r>
            <w:r w:rsidR="00CA6345" w:rsidRPr="00CA6345">
              <w:rPr>
                <w:rFonts w:cs="Arial"/>
                <w:vertAlign w:val="superscript"/>
              </w:rPr>
              <w:t>184</w:t>
            </w:r>
            <w:r>
              <w:fldChar w:fldCharType="end"/>
            </w:r>
            <w:r w:rsidRPr="00A710D0">
              <w:rPr>
                <w:szCs w:val="20"/>
              </w:rPr>
              <w:t xml:space="preserve"> </w:t>
            </w:r>
            <w:r w:rsidRPr="00A710D0">
              <w:t>Therefore, in the base case, 75% vial sharing was applied for both treatment arms</w:t>
            </w:r>
            <w:r>
              <w:t xml:space="preserve"> for treatment</w:t>
            </w:r>
            <w:r w:rsidR="00CA54E1">
              <w:t>s</w:t>
            </w:r>
            <w:r>
              <w:t xml:space="preserve"> administered intravenously</w:t>
            </w:r>
            <w:r w:rsidRPr="00A710D0">
              <w:t>.</w:t>
            </w:r>
          </w:p>
        </w:tc>
        <w:tc>
          <w:tcPr>
            <w:tcW w:w="2331" w:type="dxa"/>
          </w:tcPr>
          <w:p w14:paraId="4183477D" w14:textId="77777777" w:rsidR="00386DA4" w:rsidRPr="00A710D0" w:rsidRDefault="00386DA4">
            <w:pPr>
              <w:pStyle w:val="NICETabletext"/>
              <w:keepNext w:val="0"/>
              <w:rPr>
                <w:b/>
                <w:szCs w:val="20"/>
              </w:rPr>
            </w:pPr>
            <w:r w:rsidRPr="00A710D0">
              <w:rPr>
                <w:b/>
                <w:szCs w:val="20"/>
              </w:rPr>
              <w:t>Scenario analysis</w:t>
            </w:r>
          </w:p>
          <w:p w14:paraId="645A70A8" w14:textId="77777777" w:rsidR="00386DA4" w:rsidRPr="00A710D0" w:rsidRDefault="00386DA4">
            <w:pPr>
              <w:pStyle w:val="NICETabletext"/>
              <w:keepNext w:val="0"/>
              <w:rPr>
                <w:szCs w:val="20"/>
              </w:rPr>
            </w:pPr>
            <w:r w:rsidRPr="00A710D0">
              <w:rPr>
                <w:szCs w:val="20"/>
              </w:rPr>
              <w:t xml:space="preserve">50% and 100% vial sharing tested in scenario analysis. </w:t>
            </w:r>
          </w:p>
          <w:p w14:paraId="7CA0CC99" w14:textId="77777777" w:rsidR="00386DA4" w:rsidRPr="00A710D0" w:rsidRDefault="00386DA4">
            <w:pPr>
              <w:pStyle w:val="NICETabletext"/>
              <w:keepNext w:val="0"/>
              <w:rPr>
                <w:b/>
                <w:bCs/>
              </w:rPr>
            </w:pPr>
          </w:p>
          <w:p w14:paraId="3FD5F52E" w14:textId="77777777" w:rsidR="00386DA4" w:rsidRPr="00A710D0" w:rsidRDefault="00386DA4">
            <w:pPr>
              <w:pStyle w:val="NICETabletext"/>
              <w:keepNext w:val="0"/>
              <w:rPr>
                <w:b/>
                <w:bCs/>
              </w:rPr>
            </w:pPr>
            <w:r w:rsidRPr="00A710D0">
              <w:rPr>
                <w:b/>
                <w:bCs/>
              </w:rPr>
              <w:t>OWSA, PSA</w:t>
            </w:r>
          </w:p>
          <w:p w14:paraId="0E2BB942" w14:textId="77777777" w:rsidR="00386DA4" w:rsidRPr="00A710D0" w:rsidRDefault="00386DA4">
            <w:pPr>
              <w:pStyle w:val="NICETabletext"/>
              <w:keepNext w:val="0"/>
              <w:rPr>
                <w:szCs w:val="20"/>
              </w:rPr>
            </w:pPr>
            <w:r w:rsidRPr="00A710D0">
              <w:rPr>
                <w:szCs w:val="20"/>
              </w:rPr>
              <w:t>OWSA and assuming a beta distribution.</w:t>
            </w:r>
          </w:p>
        </w:tc>
      </w:tr>
      <w:tr w:rsidR="00386DA4" w:rsidRPr="00A710D0" w14:paraId="5DA564E0" w14:textId="77777777" w:rsidTr="0007619E">
        <w:tc>
          <w:tcPr>
            <w:tcW w:w="1374" w:type="dxa"/>
            <w:vMerge w:val="restart"/>
          </w:tcPr>
          <w:p w14:paraId="3EB14CC4" w14:textId="77777777" w:rsidR="00386DA4" w:rsidRPr="00A710D0" w:rsidRDefault="00386DA4">
            <w:pPr>
              <w:pStyle w:val="NICETabletext"/>
              <w:keepNext w:val="0"/>
            </w:pPr>
            <w:r w:rsidRPr="00A710D0">
              <w:t>Subsequent treatments</w:t>
            </w:r>
          </w:p>
        </w:tc>
        <w:tc>
          <w:tcPr>
            <w:tcW w:w="1598" w:type="dxa"/>
          </w:tcPr>
          <w:p w14:paraId="32DAD053" w14:textId="4FCE73B5" w:rsidR="00386DA4" w:rsidRPr="00A710D0" w:rsidRDefault="00294FDC">
            <w:pPr>
              <w:pStyle w:val="NICETabletext"/>
              <w:keepNext w:val="0"/>
              <w:rPr>
                <w:szCs w:val="20"/>
              </w:rPr>
            </w:pPr>
            <w:r w:rsidRPr="00294FDC">
              <w:rPr>
                <w:color w:val="000000"/>
                <w:szCs w:val="20"/>
                <w:highlight w:val="black"/>
              </w:rPr>
              <w:t>xxxxx</w:t>
            </w:r>
            <w:r w:rsidR="00386DA4" w:rsidRPr="00A710D0">
              <w:rPr>
                <w:szCs w:val="20"/>
              </w:rPr>
              <w:t xml:space="preserve"> and </w:t>
            </w:r>
            <w:r w:rsidRPr="00294FDC">
              <w:rPr>
                <w:color w:val="000000"/>
                <w:szCs w:val="20"/>
                <w:highlight w:val="black"/>
              </w:rPr>
              <w:t>xxxxx</w:t>
            </w:r>
            <w:r w:rsidR="00386DA4" w:rsidRPr="00A710D0">
              <w:rPr>
                <w:szCs w:val="20"/>
              </w:rPr>
              <w:t xml:space="preserve"> of patients in the T-DXd and TPC arms, respectively, who progress will receive subsequent treatments</w:t>
            </w:r>
          </w:p>
        </w:tc>
        <w:tc>
          <w:tcPr>
            <w:tcW w:w="3713" w:type="dxa"/>
          </w:tcPr>
          <w:p w14:paraId="0F76C0D2" w14:textId="6F963811" w:rsidR="00386DA4" w:rsidRPr="00A710D0" w:rsidRDefault="00386DA4">
            <w:pPr>
              <w:pStyle w:val="NICETabletext"/>
              <w:keepNext w:val="0"/>
              <w:rPr>
                <w:szCs w:val="20"/>
              </w:rPr>
            </w:pPr>
            <w:r>
              <w:rPr>
                <w:szCs w:val="20"/>
              </w:rPr>
              <w:t>The proportion of patients who receive subsequent treatment are derived from</w:t>
            </w:r>
            <w:r w:rsidRPr="00A710D0">
              <w:rPr>
                <w:szCs w:val="20"/>
              </w:rPr>
              <w:t xml:space="preserve"> observed data from DESTINY-Breast04.</w:t>
            </w:r>
            <w:r>
              <w:rPr>
                <w:szCs w:val="20"/>
              </w:rPr>
              <w:t xml:space="preserve"> </w:t>
            </w:r>
            <w:r w:rsidRPr="00C67C0A">
              <w:rPr>
                <w:szCs w:val="20"/>
              </w:rPr>
              <w:t>PFS data in DESTINY-Breast04 are mature, as</w:t>
            </w:r>
            <w:r>
              <w:rPr>
                <w:szCs w:val="20"/>
              </w:rPr>
              <w:t xml:space="preserve"> </w:t>
            </w:r>
            <w:r w:rsidR="00294FDC" w:rsidRPr="00294FDC">
              <w:rPr>
                <w:color w:val="000000"/>
                <w:szCs w:val="20"/>
                <w:highlight w:val="black"/>
              </w:rPr>
              <w:t>xxx</w:t>
            </w:r>
            <w:r w:rsidRPr="00C67C0A">
              <w:rPr>
                <w:szCs w:val="20"/>
              </w:rPr>
              <w:t xml:space="preserve"> patients (</w:t>
            </w:r>
            <w:r w:rsidR="00294FDC" w:rsidRPr="00294FDC">
              <w:rPr>
                <w:color w:val="000000"/>
                <w:szCs w:val="20"/>
                <w:highlight w:val="black"/>
              </w:rPr>
              <w:t>xxxxx</w:t>
            </w:r>
            <w:r w:rsidRPr="00C67C0A">
              <w:rPr>
                <w:szCs w:val="20"/>
              </w:rPr>
              <w:t xml:space="preserve">) and </w:t>
            </w:r>
            <w:r w:rsidR="00294FDC" w:rsidRPr="00294FDC">
              <w:rPr>
                <w:color w:val="000000"/>
                <w:szCs w:val="20"/>
                <w:highlight w:val="black"/>
              </w:rPr>
              <w:t>xxx</w:t>
            </w:r>
            <w:r w:rsidRPr="00EC533D">
              <w:rPr>
                <w:szCs w:val="20"/>
              </w:rPr>
              <w:t xml:space="preserve"> </w:t>
            </w:r>
            <w:r w:rsidRPr="00C67C0A">
              <w:rPr>
                <w:szCs w:val="20"/>
              </w:rPr>
              <w:t>patients (</w:t>
            </w:r>
            <w:r w:rsidR="00294FDC" w:rsidRPr="00294FDC">
              <w:rPr>
                <w:color w:val="000000"/>
                <w:szCs w:val="20"/>
                <w:highlight w:val="black"/>
              </w:rPr>
              <w:t>xxxxx</w:t>
            </w:r>
            <w:r w:rsidRPr="00C67C0A">
              <w:rPr>
                <w:szCs w:val="20"/>
              </w:rPr>
              <w:t>) had a progression event as assessed by BICR in the FAS population at data cut-off in the T-DXd and TPC cohorts, respectively</w:t>
            </w:r>
            <w:r>
              <w:rPr>
                <w:szCs w:val="20"/>
              </w:rPr>
              <w:t>.</w:t>
            </w:r>
            <w:r w:rsidRPr="00B94BFB">
              <w:fldChar w:fldCharType="begin"/>
            </w:r>
            <w:r w:rsidR="00CA6345">
              <w:instrText xml:space="preserve"> ADDIN ZOTERO_ITEM CSL_CITATION {"citationID":"Czl2VHnJ","properties":{"formattedCitation":"\\super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B94BFB">
              <w:fldChar w:fldCharType="separate"/>
            </w:r>
            <w:r w:rsidR="00FD57F4" w:rsidRPr="00FD57F4">
              <w:rPr>
                <w:rFonts w:cs="Arial"/>
                <w:vertAlign w:val="superscript"/>
              </w:rPr>
              <w:t>7</w:t>
            </w:r>
            <w:r w:rsidRPr="00B94BFB">
              <w:fldChar w:fldCharType="end"/>
            </w:r>
          </w:p>
        </w:tc>
        <w:tc>
          <w:tcPr>
            <w:tcW w:w="2331" w:type="dxa"/>
          </w:tcPr>
          <w:p w14:paraId="59CFE266" w14:textId="77777777" w:rsidR="00386DA4" w:rsidRPr="00A710D0" w:rsidRDefault="00386DA4">
            <w:pPr>
              <w:pStyle w:val="NICETabletext"/>
              <w:keepNext w:val="0"/>
              <w:rPr>
                <w:b/>
                <w:szCs w:val="20"/>
              </w:rPr>
            </w:pPr>
            <w:r w:rsidRPr="00A710D0">
              <w:rPr>
                <w:b/>
                <w:szCs w:val="20"/>
              </w:rPr>
              <w:t>Scenario analysis</w:t>
            </w:r>
          </w:p>
          <w:p w14:paraId="6DB6CD14" w14:textId="08778A26" w:rsidR="00386DA4" w:rsidRPr="00A710D0" w:rsidRDefault="00386DA4">
            <w:pPr>
              <w:pStyle w:val="NICETabletext"/>
              <w:keepNext w:val="0"/>
              <w:rPr>
                <w:szCs w:val="20"/>
              </w:rPr>
            </w:pPr>
            <w:r>
              <w:rPr>
                <w:szCs w:val="20"/>
              </w:rPr>
              <w:t>Alternative proportion of patients</w:t>
            </w:r>
            <w:r w:rsidR="00BA200A">
              <w:rPr>
                <w:szCs w:val="20"/>
              </w:rPr>
              <w:t xml:space="preserve"> </w:t>
            </w:r>
            <w:r>
              <w:rPr>
                <w:szCs w:val="20"/>
              </w:rPr>
              <w:t>received subsequent treatment (</w:t>
            </w:r>
            <w:r w:rsidR="00294FDC" w:rsidRPr="00294FDC">
              <w:rPr>
                <w:color w:val="000000"/>
                <w:szCs w:val="20"/>
                <w:highlight w:val="black"/>
              </w:rPr>
              <w:t>xxxxx</w:t>
            </w:r>
            <w:r>
              <w:rPr>
                <w:szCs w:val="20"/>
              </w:rPr>
              <w:t>) which is equalised across the T-DXd and TPC arms</w:t>
            </w:r>
            <w:r w:rsidR="00C3219F">
              <w:rPr>
                <w:szCs w:val="20"/>
              </w:rPr>
              <w:t xml:space="preserve"> based on pooled data from </w:t>
            </w:r>
            <w:r w:rsidR="00C3219F" w:rsidRPr="00C67C0A">
              <w:rPr>
                <w:szCs w:val="20"/>
              </w:rPr>
              <w:t>DESTINY-Breast04</w:t>
            </w:r>
          </w:p>
          <w:p w14:paraId="18E67C97" w14:textId="77777777" w:rsidR="00386DA4" w:rsidRDefault="00386DA4">
            <w:pPr>
              <w:pStyle w:val="NICETabletext"/>
              <w:keepNext w:val="0"/>
              <w:rPr>
                <w:b/>
                <w:bCs/>
              </w:rPr>
            </w:pPr>
          </w:p>
          <w:p w14:paraId="5D467E4D" w14:textId="77777777" w:rsidR="00386DA4" w:rsidRPr="00A710D0" w:rsidRDefault="00386DA4">
            <w:pPr>
              <w:pStyle w:val="NICETabletext"/>
              <w:keepNext w:val="0"/>
              <w:rPr>
                <w:szCs w:val="20"/>
              </w:rPr>
            </w:pPr>
            <w:r w:rsidRPr="00A710D0">
              <w:rPr>
                <w:b/>
                <w:bCs/>
              </w:rPr>
              <w:t>OWSA and PSA</w:t>
            </w:r>
          </w:p>
          <w:p w14:paraId="74683AD1" w14:textId="77777777" w:rsidR="00386DA4" w:rsidRPr="00A710D0" w:rsidRDefault="00386DA4">
            <w:pPr>
              <w:pStyle w:val="NICETabletext"/>
              <w:keepNext w:val="0"/>
              <w:rPr>
                <w:szCs w:val="20"/>
              </w:rPr>
            </w:pPr>
            <w:r w:rsidRPr="00A710D0">
              <w:rPr>
                <w:szCs w:val="20"/>
              </w:rPr>
              <w:t>Varied across confidence interval and assuming a beta distribution</w:t>
            </w:r>
          </w:p>
        </w:tc>
      </w:tr>
      <w:tr w:rsidR="00386DA4" w:rsidRPr="00A710D0" w14:paraId="1AAF7AED" w14:textId="77777777" w:rsidTr="0007619E">
        <w:tc>
          <w:tcPr>
            <w:tcW w:w="1374" w:type="dxa"/>
            <w:vMerge/>
          </w:tcPr>
          <w:p w14:paraId="2D1BD671" w14:textId="77777777" w:rsidR="00386DA4" w:rsidRPr="00A710D0" w:rsidRDefault="00386DA4">
            <w:pPr>
              <w:pStyle w:val="NICETabletext"/>
              <w:keepNext w:val="0"/>
            </w:pPr>
          </w:p>
        </w:tc>
        <w:tc>
          <w:tcPr>
            <w:tcW w:w="1598" w:type="dxa"/>
          </w:tcPr>
          <w:p w14:paraId="1FFE8A90" w14:textId="70E245C5" w:rsidR="00386DA4" w:rsidRPr="00A710D0" w:rsidRDefault="00E45876">
            <w:pPr>
              <w:pStyle w:val="NICETabletext"/>
              <w:keepNext w:val="0"/>
              <w:rPr>
                <w:szCs w:val="20"/>
              </w:rPr>
            </w:pPr>
            <w:r>
              <w:rPr>
                <w:szCs w:val="20"/>
              </w:rPr>
              <w:t>Cost of subsequent treatment based on d</w:t>
            </w:r>
            <w:r w:rsidR="00386DA4" w:rsidRPr="00A710D0">
              <w:rPr>
                <w:szCs w:val="20"/>
              </w:rPr>
              <w:t>istribution of specific subsequent treatments from DESTINY-Breast04</w:t>
            </w:r>
          </w:p>
        </w:tc>
        <w:tc>
          <w:tcPr>
            <w:tcW w:w="3713" w:type="dxa"/>
          </w:tcPr>
          <w:p w14:paraId="0316842B" w14:textId="53C66028" w:rsidR="00386DA4" w:rsidRPr="00A710D0" w:rsidRDefault="00386DA4">
            <w:pPr>
              <w:pStyle w:val="NICETabletext"/>
              <w:keepNext w:val="0"/>
              <w:rPr>
                <w:szCs w:val="20"/>
              </w:rPr>
            </w:pPr>
            <w:r>
              <w:rPr>
                <w:szCs w:val="20"/>
              </w:rPr>
              <w:t>The distribution</w:t>
            </w:r>
            <w:r w:rsidRPr="00A710D0">
              <w:rPr>
                <w:szCs w:val="20"/>
              </w:rPr>
              <w:t xml:space="preserve"> of subsequent treatments </w:t>
            </w:r>
            <w:r>
              <w:rPr>
                <w:szCs w:val="20"/>
              </w:rPr>
              <w:t xml:space="preserve">in the model is based on </w:t>
            </w:r>
            <w:r w:rsidRPr="00A710D0">
              <w:rPr>
                <w:szCs w:val="20"/>
              </w:rPr>
              <w:t xml:space="preserve">DESTINY-Breast04 </w:t>
            </w:r>
            <w:r>
              <w:rPr>
                <w:szCs w:val="20"/>
              </w:rPr>
              <w:t xml:space="preserve">data as the </w:t>
            </w:r>
            <w:r w:rsidRPr="00A710D0">
              <w:rPr>
                <w:szCs w:val="20"/>
              </w:rPr>
              <w:t>trial was considered generalisable to UK practice</w:t>
            </w:r>
            <w:r>
              <w:rPr>
                <w:szCs w:val="20"/>
              </w:rPr>
              <w:t>.</w:t>
            </w:r>
            <w:r w:rsidR="00E45876">
              <w:rPr>
                <w:szCs w:val="20"/>
              </w:rPr>
              <w:t xml:space="preserve"> This aligns efficacy and costs. </w:t>
            </w:r>
          </w:p>
        </w:tc>
        <w:tc>
          <w:tcPr>
            <w:tcW w:w="2331" w:type="dxa"/>
          </w:tcPr>
          <w:p w14:paraId="11D90E89" w14:textId="77777777" w:rsidR="00386DA4" w:rsidRPr="00A710D0" w:rsidRDefault="00386DA4">
            <w:pPr>
              <w:pStyle w:val="NICETabletext"/>
              <w:keepNext w:val="0"/>
              <w:rPr>
                <w:b/>
                <w:bCs/>
              </w:rPr>
            </w:pPr>
            <w:r w:rsidRPr="00A710D0">
              <w:rPr>
                <w:b/>
                <w:bCs/>
              </w:rPr>
              <w:t>OWSA and PSA</w:t>
            </w:r>
          </w:p>
          <w:p w14:paraId="4F0F57FE" w14:textId="339B8F94" w:rsidR="00386DA4" w:rsidRPr="00A710D0" w:rsidRDefault="00386DA4">
            <w:pPr>
              <w:pStyle w:val="NICETabletext"/>
              <w:keepNext w:val="0"/>
              <w:rPr>
                <w:b/>
                <w:bCs/>
              </w:rPr>
            </w:pPr>
            <w:r w:rsidRPr="00A710D0">
              <w:rPr>
                <w:szCs w:val="20"/>
              </w:rPr>
              <w:t>The proportion of patients on specific subsequent treatments is varied across confidence interval</w:t>
            </w:r>
            <w:r w:rsidR="00F2077D">
              <w:rPr>
                <w:szCs w:val="20"/>
              </w:rPr>
              <w:t>s</w:t>
            </w:r>
            <w:r w:rsidRPr="00A710D0">
              <w:rPr>
                <w:szCs w:val="20"/>
              </w:rPr>
              <w:t xml:space="preserve"> assuming a Dirichlet distribution</w:t>
            </w:r>
          </w:p>
        </w:tc>
      </w:tr>
    </w:tbl>
    <w:p w14:paraId="590B8CCB" w14:textId="71DFE1BA" w:rsidR="00386DA4" w:rsidRPr="00A710D0" w:rsidRDefault="00386DA4" w:rsidP="00386DA4">
      <w:pPr>
        <w:pStyle w:val="Footnotes"/>
        <w:sectPr w:rsidR="00386DA4" w:rsidRPr="00A710D0">
          <w:headerReference w:type="default" r:id="rId40"/>
          <w:footerReference w:type="default" r:id="rId41"/>
          <w:footnotePr>
            <w:numFmt w:val="lowerLetter"/>
          </w:footnotePr>
          <w:pgSz w:w="11906" w:h="16838"/>
          <w:pgMar w:top="1440" w:right="1440" w:bottom="1440" w:left="1440" w:header="708" w:footer="708" w:gutter="0"/>
          <w:cols w:space="708"/>
          <w:docGrid w:linePitch="360"/>
        </w:sectPr>
      </w:pPr>
      <w:r w:rsidRPr="00A710D0">
        <w:t xml:space="preserve">Abbreviations: </w:t>
      </w:r>
      <w:r>
        <w:t>AE, adverse event; DSU, Decision Support Unit; NHS, National Health Service;</w:t>
      </w:r>
      <w:r w:rsidRPr="00A710D0">
        <w:t xml:space="preserve"> OS, overall survival; OWSA, one-way sensitivity analysis; PFS, progression-free survival; PSA, probabilistic sensitivity analysis; </w:t>
      </w:r>
      <w:r>
        <w:t xml:space="preserve">QoL, </w:t>
      </w:r>
      <w:r w:rsidR="005754E8">
        <w:t>quality-of-life</w:t>
      </w:r>
      <w:r>
        <w:t>;</w:t>
      </w:r>
      <w:r w:rsidRPr="00A710D0">
        <w:t xml:space="preserve"> T-DXd, trastuzumab deruxtecan; TPC, treatment of physician’s choice; TTD, time to treatment discontinuation.</w:t>
      </w:r>
    </w:p>
    <w:p w14:paraId="40E1348E" w14:textId="34A2A557" w:rsidR="002C3C41" w:rsidRDefault="002C3C41" w:rsidP="002C3C41">
      <w:pPr>
        <w:pStyle w:val="Heading2"/>
      </w:pPr>
      <w:bookmarkStart w:id="777" w:name="_Toc98924685"/>
      <w:bookmarkStart w:id="778" w:name="_Ref99092362"/>
      <w:bookmarkStart w:id="779" w:name="_Ref99733096"/>
      <w:bookmarkStart w:id="780" w:name="_Toc127006624"/>
      <w:bookmarkStart w:id="781" w:name="_Toc129350912"/>
      <w:bookmarkStart w:id="782" w:name="_Ref128409371"/>
      <w:bookmarkStart w:id="783" w:name="_Ref128662009"/>
      <w:bookmarkEnd w:id="771"/>
      <w:bookmarkEnd w:id="772"/>
      <w:r>
        <w:lastRenderedPageBreak/>
        <w:t>Base-case results</w:t>
      </w:r>
      <w:bookmarkEnd w:id="777"/>
      <w:bookmarkEnd w:id="778"/>
      <w:bookmarkEnd w:id="779"/>
      <w:bookmarkEnd w:id="780"/>
      <w:bookmarkEnd w:id="781"/>
      <w:r>
        <w:t xml:space="preserve"> </w:t>
      </w:r>
      <w:bookmarkEnd w:id="782"/>
      <w:bookmarkEnd w:id="783"/>
    </w:p>
    <w:p w14:paraId="67D69E12" w14:textId="45338F13" w:rsidR="00DD14C2" w:rsidRPr="00DD14C2" w:rsidRDefault="00DD14C2" w:rsidP="003C648C">
      <w:pPr>
        <w:pStyle w:val="Body"/>
      </w:pPr>
      <w:r w:rsidRPr="00373F0B">
        <w:t xml:space="preserve">As discussed in </w:t>
      </w:r>
      <w:r w:rsidRPr="00951431">
        <w:rPr>
          <w:b/>
          <w:bCs/>
        </w:rPr>
        <w:t xml:space="preserve">Section </w:t>
      </w:r>
      <w:r w:rsidR="00C01871">
        <w:rPr>
          <w:b/>
          <w:bCs/>
        </w:rPr>
        <w:fldChar w:fldCharType="begin"/>
      </w:r>
      <w:r w:rsidR="00C01871">
        <w:rPr>
          <w:b/>
          <w:bCs/>
        </w:rPr>
        <w:instrText xml:space="preserve"> REF _Ref129302352 \n \h </w:instrText>
      </w:r>
      <w:r w:rsidR="00C01871">
        <w:rPr>
          <w:b/>
          <w:bCs/>
        </w:rPr>
      </w:r>
      <w:r w:rsidR="00C01871">
        <w:rPr>
          <w:b/>
          <w:bCs/>
        </w:rPr>
        <w:fldChar w:fldCharType="separate"/>
      </w:r>
      <w:r w:rsidR="00145F42">
        <w:rPr>
          <w:b/>
          <w:bCs/>
        </w:rPr>
        <w:t>B.3.6</w:t>
      </w:r>
      <w:r w:rsidR="00C01871">
        <w:rPr>
          <w:b/>
          <w:bCs/>
        </w:rPr>
        <w:fldChar w:fldCharType="end"/>
      </w:r>
      <w:r w:rsidRPr="00373F0B">
        <w:t xml:space="preserve">, </w:t>
      </w:r>
      <w:r w:rsidR="007F6BBA" w:rsidRPr="007F6BBA">
        <w:t>according to NICE’s threshold criteria, this appraisal meets the 1.2x severity modifier</w:t>
      </w:r>
      <w:r w:rsidR="00375072">
        <w:t xml:space="preserve">. </w:t>
      </w:r>
      <w:r w:rsidR="00124606">
        <w:t xml:space="preserve">Daiichi </w:t>
      </w:r>
      <w:r w:rsidR="005A458E">
        <w:t>considers</w:t>
      </w:r>
      <w:r>
        <w:t xml:space="preserve"> that </w:t>
      </w:r>
      <w:r w:rsidR="005760CF">
        <w:t>additional flexibilit</w:t>
      </w:r>
      <w:r w:rsidR="0010333F">
        <w:t>y</w:t>
      </w:r>
      <w:r w:rsidR="005760CF">
        <w:t xml:space="preserve"> </w:t>
      </w:r>
      <w:r w:rsidR="00D43321">
        <w:t xml:space="preserve">in the form of a QALY weight of 1.7 equivalent to the previous EOL </w:t>
      </w:r>
      <w:r w:rsidR="00FF4AD7">
        <w:t xml:space="preserve">should be </w:t>
      </w:r>
      <w:r w:rsidR="005F3EFD">
        <w:t xml:space="preserve">applied in decision making </w:t>
      </w:r>
      <w:r w:rsidR="001D716B">
        <w:t xml:space="preserve">to reflect the severity of the condition </w:t>
      </w:r>
      <w:r w:rsidR="004F593F">
        <w:t>in the context</w:t>
      </w:r>
      <w:r>
        <w:t xml:space="preserve"> that th</w:t>
      </w:r>
      <w:r w:rsidR="00FC225C">
        <w:t>is</w:t>
      </w:r>
      <w:r>
        <w:t xml:space="preserve"> appraisal would</w:t>
      </w:r>
      <w:r w:rsidR="00DD0270">
        <w:t xml:space="preserve"> ha</w:t>
      </w:r>
      <w:r>
        <w:t xml:space="preserve">ve qualified for the EOL criteria prior to the NICE methods update in February 2022. </w:t>
      </w:r>
      <w:r w:rsidR="001D716B">
        <w:t>A</w:t>
      </w:r>
      <w:r>
        <w:t>ll results presented in</w:t>
      </w:r>
      <w:r w:rsidR="00FC225C">
        <w:t xml:space="preserve"> </w:t>
      </w:r>
      <w:r w:rsidR="00FC225C" w:rsidRPr="003C648C">
        <w:rPr>
          <w:b/>
          <w:bCs/>
        </w:rPr>
        <w:t>Section</w:t>
      </w:r>
      <w:r w:rsidRPr="003C648C">
        <w:rPr>
          <w:b/>
          <w:bCs/>
        </w:rPr>
        <w:t xml:space="preserve"> </w:t>
      </w:r>
      <w:r w:rsidR="00FC225C" w:rsidRPr="003C648C">
        <w:rPr>
          <w:b/>
          <w:bCs/>
        </w:rPr>
        <w:fldChar w:fldCharType="begin"/>
      </w:r>
      <w:r w:rsidR="00FC225C" w:rsidRPr="003C648C">
        <w:rPr>
          <w:b/>
          <w:bCs/>
        </w:rPr>
        <w:instrText xml:space="preserve"> REF _Ref128662009 \r \h </w:instrText>
      </w:r>
      <w:r w:rsidR="00FC225C">
        <w:rPr>
          <w:b/>
          <w:bCs/>
        </w:rPr>
        <w:instrText xml:space="preserve"> \* MERGEFORMAT </w:instrText>
      </w:r>
      <w:r w:rsidR="00FC225C" w:rsidRPr="003C648C">
        <w:rPr>
          <w:b/>
          <w:bCs/>
        </w:rPr>
      </w:r>
      <w:r w:rsidR="00FC225C" w:rsidRPr="003C648C">
        <w:rPr>
          <w:b/>
          <w:bCs/>
        </w:rPr>
        <w:fldChar w:fldCharType="separate"/>
      </w:r>
      <w:r w:rsidR="00145F42">
        <w:rPr>
          <w:b/>
          <w:bCs/>
        </w:rPr>
        <w:t>B.3.10</w:t>
      </w:r>
      <w:r w:rsidR="00FC225C" w:rsidRPr="003C648C">
        <w:rPr>
          <w:b/>
          <w:bCs/>
        </w:rPr>
        <w:fldChar w:fldCharType="end"/>
      </w:r>
      <w:r w:rsidR="00FC225C">
        <w:t xml:space="preserve"> </w:t>
      </w:r>
      <w:r>
        <w:t xml:space="preserve">are presented with no modifier applied. Results with the 1.2x and 1.7x modifier are presented in </w:t>
      </w:r>
      <w:r w:rsidRPr="00951431">
        <w:rPr>
          <w:b/>
          <w:bCs/>
        </w:rPr>
        <w:t xml:space="preserve">Appendix </w:t>
      </w:r>
      <w:r w:rsidR="00F06AB7">
        <w:rPr>
          <w:b/>
          <w:bCs/>
        </w:rPr>
        <w:t>P</w:t>
      </w:r>
      <w:r>
        <w:t xml:space="preserve">. </w:t>
      </w:r>
    </w:p>
    <w:p w14:paraId="1AAA04FA" w14:textId="77777777" w:rsidR="002C3C41" w:rsidRDefault="002C3C41" w:rsidP="002C3C41">
      <w:pPr>
        <w:pStyle w:val="Heading3"/>
      </w:pPr>
      <w:bookmarkStart w:id="784" w:name="_Toc98924686"/>
      <w:bookmarkStart w:id="785" w:name="_Toc127006625"/>
      <w:bookmarkStart w:id="786" w:name="_Toc129350913"/>
      <w:r>
        <w:t>Base-case incremental cost-effectiveness analysis results</w:t>
      </w:r>
      <w:bookmarkEnd w:id="784"/>
      <w:bookmarkEnd w:id="785"/>
      <w:bookmarkEnd w:id="786"/>
    </w:p>
    <w:p w14:paraId="078DB90D" w14:textId="6818DBAE" w:rsidR="002C3C41" w:rsidRDefault="002C3C41" w:rsidP="002C3C41">
      <w:pPr>
        <w:pStyle w:val="Body"/>
      </w:pPr>
      <w:r>
        <w:t>The base case deterministic cost-</w:t>
      </w:r>
      <w:r w:rsidRPr="00373F0B">
        <w:t xml:space="preserve">effectiveness results for T-DXd </w:t>
      </w:r>
      <w:r w:rsidR="00A36612" w:rsidRPr="00373F0B">
        <w:t>(at the PAS price)</w:t>
      </w:r>
      <w:r w:rsidRPr="00373F0B">
        <w:t xml:space="preserve"> vs. </w:t>
      </w:r>
      <w:r w:rsidRPr="00C67C0A">
        <w:t>TPC</w:t>
      </w:r>
      <w:r w:rsidRPr="00373F0B">
        <w:t xml:space="preserve"> in the FAS are presented in </w:t>
      </w:r>
      <w:r w:rsidRPr="003C648C">
        <w:rPr>
          <w:b/>
          <w:bCs/>
        </w:rPr>
        <w:fldChar w:fldCharType="begin"/>
      </w:r>
      <w:r w:rsidRPr="003C648C">
        <w:rPr>
          <w:b/>
          <w:bCs/>
        </w:rPr>
        <w:instrText xml:space="preserve"> REF _Ref97121906 \h  \* MERGEFORMAT </w:instrText>
      </w:r>
      <w:r w:rsidRPr="003C648C">
        <w:rPr>
          <w:b/>
          <w:bCs/>
        </w:rPr>
      </w:r>
      <w:r w:rsidRPr="003C648C">
        <w:rPr>
          <w:b/>
          <w:bCs/>
        </w:rPr>
        <w:fldChar w:fldCharType="separate"/>
      </w:r>
      <w:r w:rsidR="00145F42" w:rsidRPr="00145F42">
        <w:rPr>
          <w:b/>
          <w:bCs/>
        </w:rPr>
        <w:t xml:space="preserve">Table </w:t>
      </w:r>
      <w:r w:rsidR="00145F42" w:rsidRPr="00145F42">
        <w:rPr>
          <w:b/>
          <w:bCs/>
          <w:noProof/>
        </w:rPr>
        <w:t>68</w:t>
      </w:r>
      <w:r w:rsidRPr="003C648C">
        <w:rPr>
          <w:b/>
          <w:bCs/>
        </w:rPr>
        <w:fldChar w:fldCharType="end"/>
      </w:r>
      <w:r w:rsidRPr="00373F0B">
        <w:t xml:space="preserve">. The results demonstrate that, compared with </w:t>
      </w:r>
      <w:r w:rsidRPr="00C67C0A">
        <w:t>TPC</w:t>
      </w:r>
      <w:r w:rsidRPr="00373F0B">
        <w:t>, T-DXd</w:t>
      </w:r>
      <w:r w:rsidR="00030DA6">
        <w:t xml:space="preserve"> </w:t>
      </w:r>
      <w:r w:rsidRPr="00373F0B">
        <w:t>is associated with LY and</w:t>
      </w:r>
      <w:r>
        <w:t xml:space="preserve"> unadjusted</w:t>
      </w:r>
      <w:r w:rsidRPr="00373F0B">
        <w:t xml:space="preserve"> QALY gains of </w:t>
      </w:r>
      <w:r w:rsidR="00F77ABC" w:rsidRPr="00F77ABC">
        <w:rPr>
          <w:color w:val="000000"/>
          <w:highlight w:val="black"/>
        </w:rPr>
        <w:t>xxxx</w:t>
      </w:r>
      <w:r w:rsidRPr="00373F0B">
        <w:t xml:space="preserve"> and </w:t>
      </w:r>
      <w:r w:rsidR="00F77ABC" w:rsidRPr="00F77ABC">
        <w:rPr>
          <w:color w:val="000000"/>
          <w:highlight w:val="black"/>
        </w:rPr>
        <w:t>xxxx</w:t>
      </w:r>
      <w:r w:rsidRPr="00373F0B">
        <w:t xml:space="preserve">, respectively. This suggests a substantial improvement in survival and </w:t>
      </w:r>
      <w:r w:rsidR="00987921">
        <w:t>QoL</w:t>
      </w:r>
      <w:r w:rsidRPr="00373F0B">
        <w:t xml:space="preserve"> in the </w:t>
      </w:r>
      <w:r w:rsidRPr="00C67C0A">
        <w:t>u/</w:t>
      </w:r>
      <w:r w:rsidRPr="00373F0B">
        <w:t xml:space="preserve">mBC setting. This benefit is associated with incremental costs of </w:t>
      </w:r>
      <w:r w:rsidR="00F77ABC" w:rsidRPr="00F77ABC">
        <w:rPr>
          <w:color w:val="000000"/>
          <w:highlight w:val="black"/>
        </w:rPr>
        <w:t>xxxxxx</w:t>
      </w:r>
      <w:r w:rsidR="00523A23" w:rsidRPr="00373F0B">
        <w:t xml:space="preserve"> </w:t>
      </w:r>
      <w:r w:rsidRPr="00373F0B">
        <w:t xml:space="preserve">per patient over a lifetime </w:t>
      </w:r>
      <w:r w:rsidR="00C32762">
        <w:t>resulting in</w:t>
      </w:r>
      <w:r w:rsidRPr="00373F0B">
        <w:t xml:space="preserve"> an ICER of </w:t>
      </w:r>
      <w:r w:rsidR="00F77ABC" w:rsidRPr="00F77ABC">
        <w:rPr>
          <w:color w:val="000000"/>
          <w:highlight w:val="black"/>
        </w:rPr>
        <w:t>xxxxxxx</w:t>
      </w:r>
      <w:r w:rsidRPr="00373F0B">
        <w:t xml:space="preserve">. </w:t>
      </w:r>
      <w:bookmarkStart w:id="787" w:name="_Hlk129291721"/>
      <w:r w:rsidR="00391A96" w:rsidRPr="00E339E9">
        <w:t xml:space="preserve">The base case results for disaggregated costs </w:t>
      </w:r>
      <w:r w:rsidR="00391A96">
        <w:t>by treatment arm</w:t>
      </w:r>
      <w:r w:rsidR="00391A96" w:rsidRPr="00E339E9">
        <w:t xml:space="preserve"> are </w:t>
      </w:r>
      <w:r w:rsidR="00391A96">
        <w:t xml:space="preserve">presented in </w:t>
      </w:r>
      <w:r w:rsidR="00391A96" w:rsidRPr="003C648C">
        <w:rPr>
          <w:b/>
          <w:bCs/>
        </w:rPr>
        <w:t>Table</w:t>
      </w:r>
      <w:r w:rsidR="0098272B">
        <w:rPr>
          <w:b/>
          <w:bCs/>
        </w:rPr>
        <w:t>s 56</w:t>
      </w:r>
      <w:r w:rsidR="00C95768">
        <w:rPr>
          <w:b/>
          <w:bCs/>
        </w:rPr>
        <w:t>–</w:t>
      </w:r>
      <w:r w:rsidR="0098272B">
        <w:rPr>
          <w:b/>
          <w:bCs/>
        </w:rPr>
        <w:t>58</w:t>
      </w:r>
      <w:r w:rsidR="00391A96">
        <w:t xml:space="preserve"> in </w:t>
      </w:r>
      <w:r w:rsidR="00391A96" w:rsidRPr="003C648C">
        <w:rPr>
          <w:b/>
          <w:bCs/>
        </w:rPr>
        <w:t xml:space="preserve">Appendix </w:t>
      </w:r>
      <w:r w:rsidR="00391A96">
        <w:rPr>
          <w:b/>
          <w:bCs/>
        </w:rPr>
        <w:t>J</w:t>
      </w:r>
      <w:r w:rsidR="00743F16">
        <w:rPr>
          <w:b/>
          <w:bCs/>
        </w:rPr>
        <w:t>.</w:t>
      </w:r>
      <w:bookmarkEnd w:id="787"/>
      <w:r w:rsidR="0014219C">
        <w:rPr>
          <w:b/>
          <w:bCs/>
        </w:rPr>
        <w:t xml:space="preserve"> </w:t>
      </w:r>
      <w:r w:rsidRPr="003C648C">
        <w:rPr>
          <w:b/>
          <w:bCs/>
        </w:rPr>
        <w:fldChar w:fldCharType="begin"/>
      </w:r>
      <w:r w:rsidRPr="003C648C">
        <w:rPr>
          <w:b/>
          <w:bCs/>
        </w:rPr>
        <w:instrText xml:space="preserve"> REF _Ref98924881 \h  \* MERGEFORMAT </w:instrText>
      </w:r>
      <w:r w:rsidRPr="003C648C">
        <w:rPr>
          <w:b/>
          <w:bCs/>
        </w:rPr>
      </w:r>
      <w:r w:rsidRPr="003C648C">
        <w:rPr>
          <w:b/>
          <w:bCs/>
        </w:rPr>
        <w:fldChar w:fldCharType="separate"/>
      </w:r>
      <w:r w:rsidR="00145F42" w:rsidRPr="00145F42">
        <w:rPr>
          <w:b/>
          <w:bCs/>
        </w:rPr>
        <w:t xml:space="preserve">Table </w:t>
      </w:r>
      <w:r w:rsidR="00145F42" w:rsidRPr="00145F42">
        <w:rPr>
          <w:b/>
          <w:bCs/>
          <w:noProof/>
        </w:rPr>
        <w:t>69</w:t>
      </w:r>
      <w:r w:rsidRPr="003C648C">
        <w:rPr>
          <w:b/>
          <w:bCs/>
        </w:rPr>
        <w:fldChar w:fldCharType="end"/>
      </w:r>
      <w:r w:rsidRPr="00373F0B">
        <w:t xml:space="preserve"> presents the net-health benefit (NHB) at the £30,000/QALY WTP threshold. </w:t>
      </w:r>
      <w:r w:rsidR="00F50AC6" w:rsidRPr="00373F0B">
        <w:t xml:space="preserve">Results demonstrate that at a WTP threshold of £30,000/QALY when </w:t>
      </w:r>
      <w:r w:rsidR="005D01CD">
        <w:t>no</w:t>
      </w:r>
      <w:r w:rsidR="00F50AC6">
        <w:t xml:space="preserve"> </w:t>
      </w:r>
      <w:r w:rsidR="00F50AC6" w:rsidRPr="00373F0B">
        <w:t>severity modifier</w:t>
      </w:r>
      <w:r w:rsidR="005D01CD">
        <w:t xml:space="preserve"> is applied</w:t>
      </w:r>
      <w:r w:rsidR="00F50AC6" w:rsidRPr="00373F0B">
        <w:t xml:space="preserve">, the NHB is </w:t>
      </w:r>
      <w:r w:rsidR="00F77ABC" w:rsidRPr="00F77ABC">
        <w:rPr>
          <w:color w:val="000000"/>
          <w:highlight w:val="black"/>
        </w:rPr>
        <w:t>xxxxxxxxxxxxxx</w:t>
      </w:r>
      <w:r w:rsidR="00F50AC6" w:rsidRPr="00373F0B">
        <w:t xml:space="preserve">.  </w:t>
      </w:r>
    </w:p>
    <w:p w14:paraId="15AF704A" w14:textId="5B080876" w:rsidR="0035195F" w:rsidRPr="00373F0B" w:rsidRDefault="0035195F" w:rsidP="002C3C41">
      <w:pPr>
        <w:pStyle w:val="Body"/>
      </w:pPr>
      <w:r w:rsidRPr="007D6A0B">
        <w:t>With the 1.</w:t>
      </w:r>
      <w:r w:rsidRPr="003C648C">
        <w:t>2</w:t>
      </w:r>
      <w:r w:rsidRPr="007D6A0B">
        <w:t>x severity modifier applied, T-DXd</w:t>
      </w:r>
      <w:r w:rsidR="00030DA6">
        <w:t xml:space="preserve"> </w:t>
      </w:r>
      <w:r w:rsidR="00030DA6" w:rsidRPr="00373F0B">
        <w:t>(at the PAS price)</w:t>
      </w:r>
      <w:r w:rsidRPr="007D6A0B">
        <w:t xml:space="preserve"> is associated with LY and adjusted QALY gains of </w:t>
      </w:r>
      <w:r w:rsidR="00F77ABC" w:rsidRPr="00F77ABC">
        <w:rPr>
          <w:color w:val="000000"/>
          <w:highlight w:val="black"/>
        </w:rPr>
        <w:t>xxxx</w:t>
      </w:r>
      <w:r w:rsidRPr="007D6A0B">
        <w:t xml:space="preserve"> and </w:t>
      </w:r>
      <w:r w:rsidR="00F77ABC" w:rsidRPr="00F77ABC">
        <w:rPr>
          <w:color w:val="000000"/>
          <w:highlight w:val="black"/>
        </w:rPr>
        <w:t>xxxx</w:t>
      </w:r>
      <w:r w:rsidRPr="007D6A0B">
        <w:t xml:space="preserve">, respectively, resulting in an ICER of </w:t>
      </w:r>
      <w:r w:rsidR="00F77ABC" w:rsidRPr="00F77ABC">
        <w:rPr>
          <w:color w:val="000000"/>
          <w:highlight w:val="black"/>
        </w:rPr>
        <w:t>xxxxxxx</w:t>
      </w:r>
      <w:r w:rsidRPr="00F710CB">
        <w:t xml:space="preserve"> </w:t>
      </w:r>
      <w:r w:rsidRPr="003C648C">
        <w:t>(</w:t>
      </w:r>
      <w:r w:rsidRPr="003C648C">
        <w:rPr>
          <w:b/>
        </w:rPr>
        <w:t xml:space="preserve">Appendix </w:t>
      </w:r>
      <w:r w:rsidR="00F06AB7">
        <w:rPr>
          <w:b/>
        </w:rPr>
        <w:t>P</w:t>
      </w:r>
      <w:r w:rsidRPr="003C648C">
        <w:t>). With the 1.7x severity modifier applied, T-DXd</w:t>
      </w:r>
      <w:r w:rsidR="00030DA6">
        <w:t xml:space="preserve"> </w:t>
      </w:r>
      <w:r w:rsidR="00030DA6" w:rsidRPr="00373F0B">
        <w:t>(at the PAS price)</w:t>
      </w:r>
      <w:r w:rsidRPr="003C648C">
        <w:t xml:space="preserve"> is associated with LY and adjusted QALY gains of </w:t>
      </w:r>
      <w:r w:rsidR="00F77ABC" w:rsidRPr="00F77ABC">
        <w:rPr>
          <w:color w:val="000000"/>
          <w:highlight w:val="black"/>
        </w:rPr>
        <w:t>xxxx</w:t>
      </w:r>
      <w:r w:rsidRPr="003C648C">
        <w:t xml:space="preserve"> and </w:t>
      </w:r>
      <w:r w:rsidR="00F77ABC" w:rsidRPr="00F77ABC">
        <w:rPr>
          <w:color w:val="000000"/>
          <w:highlight w:val="black"/>
        </w:rPr>
        <w:t>xxxx</w:t>
      </w:r>
      <w:r w:rsidRPr="003C648C">
        <w:t xml:space="preserve">, respectively, resulting in an ICER of </w:t>
      </w:r>
      <w:r w:rsidR="00F77ABC" w:rsidRPr="00F77ABC">
        <w:rPr>
          <w:color w:val="000000"/>
          <w:highlight w:val="black"/>
        </w:rPr>
        <w:t>xxxxxxx</w:t>
      </w:r>
      <w:r w:rsidRPr="00F710CB">
        <w:t xml:space="preserve"> </w:t>
      </w:r>
      <w:r w:rsidRPr="003C648C">
        <w:t>(</w:t>
      </w:r>
      <w:r w:rsidRPr="003C648C">
        <w:rPr>
          <w:b/>
        </w:rPr>
        <w:t xml:space="preserve">Appendix </w:t>
      </w:r>
      <w:r w:rsidR="00F06AB7">
        <w:rPr>
          <w:b/>
        </w:rPr>
        <w:t>P</w:t>
      </w:r>
      <w:r w:rsidRPr="003C648C">
        <w:t>).</w:t>
      </w:r>
      <w:r>
        <w:rPr>
          <w:u w:val="single"/>
        </w:rPr>
        <w:t xml:space="preserve"> </w:t>
      </w:r>
    </w:p>
    <w:p w14:paraId="30C99D84" w14:textId="5C4C4E65" w:rsidR="002C3C41" w:rsidRPr="00373F0B" w:rsidRDefault="002C3C41" w:rsidP="002C3C41">
      <w:pPr>
        <w:pStyle w:val="Caption"/>
      </w:pPr>
      <w:bookmarkStart w:id="788" w:name="_Ref97121906"/>
      <w:bookmarkStart w:id="789" w:name="_Toc98924774"/>
      <w:bookmarkStart w:id="790" w:name="_Toc127006697"/>
      <w:bookmarkStart w:id="791" w:name="_Toc129351043"/>
      <w:r w:rsidRPr="00373F0B">
        <w:t xml:space="preserve">Table </w:t>
      </w:r>
      <w:r w:rsidRPr="00373F0B">
        <w:fldChar w:fldCharType="begin"/>
      </w:r>
      <w:r w:rsidRPr="00373F0B">
        <w:instrText>SEQ Table \* ARABIC</w:instrText>
      </w:r>
      <w:r w:rsidRPr="00373F0B">
        <w:fldChar w:fldCharType="separate"/>
      </w:r>
      <w:r w:rsidR="00145F42">
        <w:rPr>
          <w:noProof/>
        </w:rPr>
        <w:t>68</w:t>
      </w:r>
      <w:r w:rsidRPr="00373F0B">
        <w:fldChar w:fldCharType="end"/>
      </w:r>
      <w:bookmarkEnd w:id="788"/>
      <w:r w:rsidRPr="00373F0B">
        <w:t>: Base</w:t>
      </w:r>
      <w:r>
        <w:t xml:space="preserve"> </w:t>
      </w:r>
      <w:r w:rsidRPr="00373F0B">
        <w:t xml:space="preserve">case </w:t>
      </w:r>
      <w:r w:rsidR="00AE6B69">
        <w:t>deterministic</w:t>
      </w:r>
      <w:r w:rsidRPr="00373F0B">
        <w:t xml:space="preserve"> results</w:t>
      </w:r>
      <w:bookmarkEnd w:id="789"/>
      <w:r w:rsidRPr="00373F0B">
        <w:t xml:space="preserve"> </w:t>
      </w:r>
      <w:r w:rsidR="00A52CC1">
        <w:t xml:space="preserve">in </w:t>
      </w:r>
      <w:r>
        <w:t>the FAS population</w:t>
      </w:r>
      <w:bookmarkEnd w:id="790"/>
      <w:r w:rsidR="00C51353">
        <w:t xml:space="preserve"> </w:t>
      </w:r>
      <w:r w:rsidR="00C51353" w:rsidRPr="007D6A0B">
        <w:t>(</w:t>
      </w:r>
      <w:r w:rsidR="00A52CC1">
        <w:t xml:space="preserve">T-DXd PAS price; </w:t>
      </w:r>
      <w:r w:rsidR="00C51353" w:rsidRPr="007D6A0B">
        <w:t>no severity modifier)</w:t>
      </w:r>
      <w:bookmarkEnd w:id="791"/>
    </w:p>
    <w:tbl>
      <w:tblPr>
        <w:tblStyle w:val="Generaltable"/>
        <w:tblW w:w="5000" w:type="pct"/>
        <w:tblLayout w:type="fixed"/>
        <w:tblLook w:val="04A0" w:firstRow="1" w:lastRow="0" w:firstColumn="1" w:lastColumn="0" w:noHBand="0" w:noVBand="1"/>
      </w:tblPr>
      <w:tblGrid>
        <w:gridCol w:w="1743"/>
        <w:gridCol w:w="1743"/>
        <w:gridCol w:w="1743"/>
        <w:gridCol w:w="1743"/>
        <w:gridCol w:w="1744"/>
        <w:gridCol w:w="1744"/>
        <w:gridCol w:w="1744"/>
        <w:gridCol w:w="1744"/>
      </w:tblGrid>
      <w:tr w:rsidR="002C3C41" w:rsidRPr="0040273F" w14:paraId="59EB6313" w14:textId="77777777" w:rsidTr="003C648C">
        <w:trPr>
          <w:cnfStyle w:val="100000000000" w:firstRow="1" w:lastRow="0" w:firstColumn="0" w:lastColumn="0" w:oddVBand="0" w:evenVBand="0" w:oddHBand="0" w:evenHBand="0" w:firstRowFirstColumn="0" w:firstRowLastColumn="0" w:lastRowFirstColumn="0" w:lastRowLastColumn="0"/>
        </w:trPr>
        <w:tc>
          <w:tcPr>
            <w:tcW w:w="625" w:type="pct"/>
          </w:tcPr>
          <w:p w14:paraId="41AC8B79" w14:textId="77777777" w:rsidR="002C3C41" w:rsidRPr="00373F0B" w:rsidRDefault="002C3C41">
            <w:pPr>
              <w:pStyle w:val="Tableheading"/>
            </w:pPr>
            <w:r w:rsidRPr="00373F0B">
              <w:t>Technologies</w:t>
            </w:r>
          </w:p>
        </w:tc>
        <w:tc>
          <w:tcPr>
            <w:tcW w:w="625" w:type="pct"/>
          </w:tcPr>
          <w:p w14:paraId="136F757B" w14:textId="77777777" w:rsidR="002C3C41" w:rsidRPr="00373F0B" w:rsidRDefault="002C3C41">
            <w:pPr>
              <w:pStyle w:val="Tableheading"/>
            </w:pPr>
            <w:r w:rsidRPr="00373F0B">
              <w:t>Total costs (£)</w:t>
            </w:r>
          </w:p>
        </w:tc>
        <w:tc>
          <w:tcPr>
            <w:tcW w:w="625" w:type="pct"/>
          </w:tcPr>
          <w:p w14:paraId="35FA9EF7" w14:textId="77777777" w:rsidR="002C3C41" w:rsidRPr="00373F0B" w:rsidRDefault="002C3C41">
            <w:pPr>
              <w:pStyle w:val="Tableheading"/>
            </w:pPr>
            <w:r w:rsidRPr="00373F0B">
              <w:t>Total LYG</w:t>
            </w:r>
          </w:p>
        </w:tc>
        <w:tc>
          <w:tcPr>
            <w:tcW w:w="625" w:type="pct"/>
          </w:tcPr>
          <w:p w14:paraId="6AB134CE" w14:textId="77777777" w:rsidR="002C3C41" w:rsidRPr="00373F0B" w:rsidRDefault="002C3C41">
            <w:pPr>
              <w:pStyle w:val="Tableheading"/>
            </w:pPr>
            <w:r w:rsidRPr="00373F0B">
              <w:t>Total QALYs</w:t>
            </w:r>
          </w:p>
        </w:tc>
        <w:tc>
          <w:tcPr>
            <w:tcW w:w="625" w:type="pct"/>
          </w:tcPr>
          <w:p w14:paraId="2B43C331" w14:textId="77777777" w:rsidR="002C3C41" w:rsidRPr="00373F0B" w:rsidRDefault="002C3C41">
            <w:pPr>
              <w:pStyle w:val="Tableheading"/>
            </w:pPr>
            <w:r w:rsidRPr="00373F0B">
              <w:t>Incremental costs (£)</w:t>
            </w:r>
          </w:p>
        </w:tc>
        <w:tc>
          <w:tcPr>
            <w:tcW w:w="625" w:type="pct"/>
          </w:tcPr>
          <w:p w14:paraId="61A3E80B" w14:textId="77777777" w:rsidR="002C3C41" w:rsidRPr="00373F0B" w:rsidRDefault="002C3C41">
            <w:pPr>
              <w:pStyle w:val="Tableheading"/>
            </w:pPr>
            <w:r w:rsidRPr="00373F0B">
              <w:t>Incremental LYG</w:t>
            </w:r>
          </w:p>
        </w:tc>
        <w:tc>
          <w:tcPr>
            <w:tcW w:w="625" w:type="pct"/>
          </w:tcPr>
          <w:p w14:paraId="6809E581" w14:textId="1C592FFC" w:rsidR="002C3C41" w:rsidRPr="007D6A0B" w:rsidRDefault="002C3C41">
            <w:pPr>
              <w:pStyle w:val="Tableheading"/>
            </w:pPr>
            <w:r w:rsidRPr="007D6A0B">
              <w:t>Incremental QALYs</w:t>
            </w:r>
          </w:p>
        </w:tc>
        <w:tc>
          <w:tcPr>
            <w:tcW w:w="625" w:type="pct"/>
          </w:tcPr>
          <w:p w14:paraId="19A13E9A" w14:textId="749325DE" w:rsidR="002C3C41" w:rsidRPr="007D6A0B" w:rsidRDefault="002C3C41">
            <w:pPr>
              <w:pStyle w:val="Tableheading"/>
              <w:rPr>
                <w:lang w:val="fr-FR"/>
              </w:rPr>
            </w:pPr>
            <w:r w:rsidRPr="006831BF">
              <w:rPr>
                <w:b w:val="0"/>
                <w:lang w:val="fr-FR"/>
              </w:rPr>
              <w:t>ICER</w:t>
            </w:r>
          </w:p>
        </w:tc>
      </w:tr>
      <w:tr w:rsidR="00CF5FAC" w:rsidRPr="00373F0B" w14:paraId="37C117CE" w14:textId="77777777" w:rsidTr="003C648C">
        <w:tc>
          <w:tcPr>
            <w:tcW w:w="625" w:type="pct"/>
            <w:tcBorders>
              <w:bottom w:val="single" w:sz="4" w:space="0" w:color="auto"/>
            </w:tcBorders>
          </w:tcPr>
          <w:p w14:paraId="3644B488" w14:textId="77777777" w:rsidR="00CF5FAC" w:rsidRPr="00373F0B" w:rsidRDefault="00CF5FAC" w:rsidP="00CF5FAC">
            <w:pPr>
              <w:pStyle w:val="Tablebody"/>
            </w:pPr>
            <w:r w:rsidRPr="00373F0B">
              <w:t>TPC</w:t>
            </w:r>
          </w:p>
        </w:tc>
        <w:tc>
          <w:tcPr>
            <w:tcW w:w="625" w:type="pct"/>
            <w:tcBorders>
              <w:bottom w:val="single" w:sz="4" w:space="0" w:color="auto"/>
            </w:tcBorders>
          </w:tcPr>
          <w:p w14:paraId="04CE9D14" w14:textId="5E40AEEE" w:rsidR="00CF5FAC" w:rsidRPr="00F77ABC" w:rsidRDefault="00F77ABC" w:rsidP="00CF5FAC">
            <w:pPr>
              <w:pStyle w:val="NICETabletext"/>
              <w:rPr>
                <w:color w:val="000000"/>
                <w:highlight w:val="black"/>
              </w:rPr>
            </w:pPr>
            <w:r w:rsidRPr="00F77ABC">
              <w:rPr>
                <w:color w:val="000000"/>
                <w:highlight w:val="black"/>
              </w:rPr>
              <w:t>xxxxxxx</w:t>
            </w:r>
          </w:p>
        </w:tc>
        <w:tc>
          <w:tcPr>
            <w:tcW w:w="625" w:type="pct"/>
            <w:tcBorders>
              <w:bottom w:val="single" w:sz="4" w:space="0" w:color="auto"/>
            </w:tcBorders>
          </w:tcPr>
          <w:p w14:paraId="056CA950" w14:textId="4629A421" w:rsidR="00CF5FAC" w:rsidRPr="00F77ABC" w:rsidRDefault="00F77ABC" w:rsidP="00CF5FAC">
            <w:pPr>
              <w:pStyle w:val="NICETabletext"/>
              <w:rPr>
                <w:color w:val="000000"/>
                <w:highlight w:val="black"/>
              </w:rPr>
            </w:pPr>
            <w:r w:rsidRPr="00F77ABC">
              <w:rPr>
                <w:color w:val="000000"/>
                <w:highlight w:val="black"/>
              </w:rPr>
              <w:t>xxxx</w:t>
            </w:r>
          </w:p>
        </w:tc>
        <w:tc>
          <w:tcPr>
            <w:tcW w:w="625" w:type="pct"/>
            <w:tcBorders>
              <w:bottom w:val="single" w:sz="4" w:space="0" w:color="auto"/>
            </w:tcBorders>
          </w:tcPr>
          <w:p w14:paraId="34A81983" w14:textId="48767810" w:rsidR="00CF5FAC" w:rsidRPr="00F77ABC" w:rsidRDefault="00F77ABC" w:rsidP="00CF5FAC">
            <w:pPr>
              <w:pStyle w:val="NICETabletext"/>
              <w:rPr>
                <w:color w:val="000000"/>
                <w:highlight w:val="black"/>
              </w:rPr>
            </w:pPr>
            <w:r w:rsidRPr="00F77ABC">
              <w:rPr>
                <w:color w:val="000000"/>
                <w:highlight w:val="black"/>
              </w:rPr>
              <w:t>xxxx</w:t>
            </w:r>
          </w:p>
        </w:tc>
        <w:tc>
          <w:tcPr>
            <w:tcW w:w="625" w:type="pct"/>
            <w:tcBorders>
              <w:bottom w:val="single" w:sz="4" w:space="0" w:color="auto"/>
            </w:tcBorders>
          </w:tcPr>
          <w:p w14:paraId="2FE779F4" w14:textId="0B29161B" w:rsidR="00CF5FAC" w:rsidRPr="00CF5FAC" w:rsidRDefault="00CF5FAC" w:rsidP="00CF5FAC">
            <w:pPr>
              <w:pStyle w:val="NICETabletext"/>
            </w:pPr>
            <w:r w:rsidRPr="00CF5FAC">
              <w:t>-</w:t>
            </w:r>
          </w:p>
        </w:tc>
        <w:tc>
          <w:tcPr>
            <w:tcW w:w="625" w:type="pct"/>
            <w:tcBorders>
              <w:bottom w:val="single" w:sz="4" w:space="0" w:color="auto"/>
            </w:tcBorders>
          </w:tcPr>
          <w:p w14:paraId="5E3E446E" w14:textId="4241CA66" w:rsidR="00CF5FAC" w:rsidRPr="00CF5FAC" w:rsidRDefault="00CF5FAC" w:rsidP="00CF5FAC">
            <w:pPr>
              <w:pStyle w:val="NICETabletext"/>
            </w:pPr>
            <w:r w:rsidRPr="00CF5FAC">
              <w:t>-</w:t>
            </w:r>
          </w:p>
        </w:tc>
        <w:tc>
          <w:tcPr>
            <w:tcW w:w="625" w:type="pct"/>
            <w:tcBorders>
              <w:bottom w:val="single" w:sz="4" w:space="0" w:color="auto"/>
            </w:tcBorders>
          </w:tcPr>
          <w:p w14:paraId="15D4120C" w14:textId="70FE748F" w:rsidR="00CF5FAC" w:rsidRPr="00CF5FAC" w:rsidRDefault="00CF5FAC" w:rsidP="00CF5FAC">
            <w:pPr>
              <w:pStyle w:val="NICETabletext"/>
            </w:pPr>
            <w:r w:rsidRPr="00CF5FAC">
              <w:t>-</w:t>
            </w:r>
          </w:p>
        </w:tc>
        <w:tc>
          <w:tcPr>
            <w:tcW w:w="625" w:type="pct"/>
            <w:tcBorders>
              <w:bottom w:val="single" w:sz="4" w:space="0" w:color="auto"/>
            </w:tcBorders>
          </w:tcPr>
          <w:p w14:paraId="03C500EC" w14:textId="6CCA730E" w:rsidR="00CF5FAC" w:rsidRPr="003C648C" w:rsidRDefault="00CF5FAC" w:rsidP="00CF5FAC">
            <w:pPr>
              <w:pStyle w:val="NICETabletext"/>
            </w:pPr>
            <w:r w:rsidRPr="00CF5FAC">
              <w:t>-</w:t>
            </w:r>
          </w:p>
        </w:tc>
      </w:tr>
      <w:tr w:rsidR="00CF5FAC" w:rsidRPr="00373F0B" w14:paraId="0F94B64A" w14:textId="77777777" w:rsidTr="003C648C">
        <w:tc>
          <w:tcPr>
            <w:tcW w:w="625" w:type="pct"/>
            <w:tcBorders>
              <w:bottom w:val="single" w:sz="4" w:space="0" w:color="auto"/>
            </w:tcBorders>
          </w:tcPr>
          <w:p w14:paraId="05BB0AEA" w14:textId="77777777" w:rsidR="00CF5FAC" w:rsidRPr="00373F0B" w:rsidRDefault="00CF5FAC" w:rsidP="00CF5FAC">
            <w:pPr>
              <w:pStyle w:val="Tablebody"/>
            </w:pPr>
            <w:r w:rsidRPr="00373F0B">
              <w:t>T-DXd</w:t>
            </w:r>
          </w:p>
        </w:tc>
        <w:tc>
          <w:tcPr>
            <w:tcW w:w="625" w:type="pct"/>
            <w:tcBorders>
              <w:bottom w:val="single" w:sz="4" w:space="0" w:color="auto"/>
            </w:tcBorders>
          </w:tcPr>
          <w:p w14:paraId="739E54A6" w14:textId="16FC2F76" w:rsidR="00CF5FAC" w:rsidRPr="00F77ABC" w:rsidRDefault="00F77ABC" w:rsidP="00CF5FAC">
            <w:pPr>
              <w:pStyle w:val="NICETabletext"/>
              <w:rPr>
                <w:color w:val="000000"/>
                <w:highlight w:val="black"/>
              </w:rPr>
            </w:pPr>
            <w:r w:rsidRPr="00F77ABC">
              <w:rPr>
                <w:color w:val="000000"/>
                <w:highlight w:val="black"/>
              </w:rPr>
              <w:t>xxxxxxx</w:t>
            </w:r>
          </w:p>
        </w:tc>
        <w:tc>
          <w:tcPr>
            <w:tcW w:w="625" w:type="pct"/>
            <w:tcBorders>
              <w:bottom w:val="single" w:sz="4" w:space="0" w:color="auto"/>
            </w:tcBorders>
          </w:tcPr>
          <w:p w14:paraId="1C225380" w14:textId="47CA4FF2" w:rsidR="00CF5FAC" w:rsidRPr="00F77ABC" w:rsidRDefault="00F77ABC" w:rsidP="00CF5FAC">
            <w:pPr>
              <w:pStyle w:val="NICETabletext"/>
              <w:rPr>
                <w:color w:val="000000"/>
                <w:highlight w:val="black"/>
              </w:rPr>
            </w:pPr>
            <w:r w:rsidRPr="00F77ABC">
              <w:rPr>
                <w:color w:val="000000"/>
                <w:highlight w:val="black"/>
              </w:rPr>
              <w:t>xxxx</w:t>
            </w:r>
          </w:p>
        </w:tc>
        <w:tc>
          <w:tcPr>
            <w:tcW w:w="625" w:type="pct"/>
            <w:tcBorders>
              <w:bottom w:val="single" w:sz="4" w:space="0" w:color="auto"/>
            </w:tcBorders>
          </w:tcPr>
          <w:p w14:paraId="6BEA1E41" w14:textId="70C815CD" w:rsidR="00CF5FAC" w:rsidRPr="00F77ABC" w:rsidRDefault="00F77ABC" w:rsidP="00CF5FAC">
            <w:pPr>
              <w:pStyle w:val="NICETabletext"/>
              <w:rPr>
                <w:color w:val="000000"/>
                <w:highlight w:val="black"/>
              </w:rPr>
            </w:pPr>
            <w:r w:rsidRPr="00F77ABC">
              <w:rPr>
                <w:color w:val="000000"/>
                <w:highlight w:val="black"/>
              </w:rPr>
              <w:t>xxxx</w:t>
            </w:r>
          </w:p>
        </w:tc>
        <w:tc>
          <w:tcPr>
            <w:tcW w:w="625" w:type="pct"/>
            <w:tcBorders>
              <w:bottom w:val="single" w:sz="4" w:space="0" w:color="auto"/>
            </w:tcBorders>
          </w:tcPr>
          <w:p w14:paraId="0F978BC4" w14:textId="64ECAADF" w:rsidR="00CF5FAC" w:rsidRPr="00F77ABC" w:rsidRDefault="00F77ABC" w:rsidP="00CF5FAC">
            <w:pPr>
              <w:pStyle w:val="NICETabletext"/>
              <w:rPr>
                <w:color w:val="000000"/>
                <w:highlight w:val="black"/>
              </w:rPr>
            </w:pPr>
            <w:r w:rsidRPr="00F77ABC">
              <w:rPr>
                <w:color w:val="000000"/>
                <w:highlight w:val="black"/>
              </w:rPr>
              <w:t>xxxxxxx</w:t>
            </w:r>
          </w:p>
        </w:tc>
        <w:tc>
          <w:tcPr>
            <w:tcW w:w="625" w:type="pct"/>
            <w:tcBorders>
              <w:bottom w:val="single" w:sz="4" w:space="0" w:color="auto"/>
            </w:tcBorders>
          </w:tcPr>
          <w:p w14:paraId="43D9A443" w14:textId="29502960" w:rsidR="00CF5FAC" w:rsidRPr="00F77ABC" w:rsidRDefault="00F77ABC" w:rsidP="00CF5FAC">
            <w:pPr>
              <w:pStyle w:val="NICETabletext"/>
              <w:rPr>
                <w:color w:val="000000"/>
                <w:highlight w:val="black"/>
              </w:rPr>
            </w:pPr>
            <w:r w:rsidRPr="00F77ABC">
              <w:rPr>
                <w:color w:val="000000"/>
                <w:highlight w:val="black"/>
              </w:rPr>
              <w:t>xxxx</w:t>
            </w:r>
          </w:p>
        </w:tc>
        <w:tc>
          <w:tcPr>
            <w:tcW w:w="625" w:type="pct"/>
            <w:tcBorders>
              <w:bottom w:val="single" w:sz="4" w:space="0" w:color="auto"/>
            </w:tcBorders>
          </w:tcPr>
          <w:p w14:paraId="0F7F71D0" w14:textId="2F5ED260" w:rsidR="00CF5FAC" w:rsidRPr="00F77ABC" w:rsidRDefault="00F77ABC" w:rsidP="00CF5FAC">
            <w:pPr>
              <w:pStyle w:val="NICETabletext"/>
              <w:rPr>
                <w:color w:val="000000"/>
                <w:highlight w:val="black"/>
              </w:rPr>
            </w:pPr>
            <w:r w:rsidRPr="00F77ABC">
              <w:rPr>
                <w:color w:val="000000"/>
                <w:highlight w:val="black"/>
              </w:rPr>
              <w:t>xxxx</w:t>
            </w:r>
          </w:p>
        </w:tc>
        <w:tc>
          <w:tcPr>
            <w:tcW w:w="625" w:type="pct"/>
            <w:tcBorders>
              <w:bottom w:val="single" w:sz="4" w:space="0" w:color="auto"/>
            </w:tcBorders>
          </w:tcPr>
          <w:p w14:paraId="273DF961" w14:textId="5EA02C98" w:rsidR="00CF5FAC" w:rsidRPr="00F77ABC" w:rsidRDefault="00F77ABC" w:rsidP="00CF5FAC">
            <w:pPr>
              <w:pStyle w:val="NICETabletext"/>
              <w:rPr>
                <w:color w:val="000000"/>
                <w:highlight w:val="black"/>
              </w:rPr>
            </w:pPr>
            <w:r w:rsidRPr="00F77ABC">
              <w:rPr>
                <w:color w:val="000000"/>
                <w:highlight w:val="black"/>
              </w:rPr>
              <w:t>xxxxxxx</w:t>
            </w:r>
          </w:p>
        </w:tc>
      </w:tr>
    </w:tbl>
    <w:p w14:paraId="5721E343" w14:textId="5A43A1CC" w:rsidR="002C3C41" w:rsidRPr="00373F0B" w:rsidRDefault="002C3C41" w:rsidP="002C3C41">
      <w:pPr>
        <w:pStyle w:val="Footnotes"/>
      </w:pPr>
      <w:r w:rsidRPr="00373F0B">
        <w:t xml:space="preserve">Abbreviations: ICER, incremental cost-effectiveness ratio; LYG, life years gained; PAS, patient access scheme; QALYs, quality-adjusted life years; </w:t>
      </w:r>
      <w:r w:rsidRPr="00C67C0A">
        <w:t>T-DXd, trastuzumab deruxtecan; TPC, treatment of physician’s choice.</w:t>
      </w:r>
    </w:p>
    <w:p w14:paraId="4A186BE3" w14:textId="7AB19B58" w:rsidR="002C3C41" w:rsidRPr="00373F0B" w:rsidRDefault="002C3C41" w:rsidP="003664EB">
      <w:pPr>
        <w:pStyle w:val="Caption"/>
      </w:pPr>
      <w:bookmarkStart w:id="792" w:name="_Ref98924881"/>
      <w:bookmarkStart w:id="793" w:name="_Toc98924775"/>
      <w:bookmarkStart w:id="794" w:name="_Toc127006698"/>
      <w:bookmarkStart w:id="795" w:name="_Toc129351044"/>
      <w:r w:rsidRPr="00373F0B">
        <w:lastRenderedPageBreak/>
        <w:t xml:space="preserve">Table </w:t>
      </w:r>
      <w:r w:rsidRPr="00373F0B">
        <w:fldChar w:fldCharType="begin"/>
      </w:r>
      <w:r w:rsidRPr="00373F0B">
        <w:instrText>SEQ Table \* ARABIC</w:instrText>
      </w:r>
      <w:r w:rsidRPr="00373F0B">
        <w:fldChar w:fldCharType="separate"/>
      </w:r>
      <w:r w:rsidR="00145F42">
        <w:rPr>
          <w:noProof/>
        </w:rPr>
        <w:t>69</w:t>
      </w:r>
      <w:r w:rsidRPr="00373F0B">
        <w:fldChar w:fldCharType="end"/>
      </w:r>
      <w:bookmarkEnd w:id="792"/>
      <w:r w:rsidRPr="00373F0B">
        <w:t>: Net health benefit</w:t>
      </w:r>
      <w:bookmarkEnd w:id="793"/>
      <w:r w:rsidRPr="00373F0B">
        <w:t xml:space="preserve"> (</w:t>
      </w:r>
      <w:r w:rsidR="00030DA6" w:rsidRPr="00373F0B">
        <w:t>at the PAS price</w:t>
      </w:r>
      <w:r w:rsidR="001D3ADC">
        <w:t>, no severity modifier</w:t>
      </w:r>
      <w:r w:rsidRPr="00373F0B">
        <w:t>)</w:t>
      </w:r>
      <w:bookmarkEnd w:id="794"/>
      <w:bookmarkEnd w:id="795"/>
    </w:p>
    <w:tbl>
      <w:tblPr>
        <w:tblStyle w:val="Generaltable"/>
        <w:tblW w:w="4986" w:type="pct"/>
        <w:tblLayout w:type="fixed"/>
        <w:tblLook w:val="04A0" w:firstRow="1" w:lastRow="0" w:firstColumn="1" w:lastColumn="0" w:noHBand="0" w:noVBand="1"/>
      </w:tblPr>
      <w:tblGrid>
        <w:gridCol w:w="2565"/>
        <w:gridCol w:w="2270"/>
        <w:gridCol w:w="2270"/>
        <w:gridCol w:w="2270"/>
        <w:gridCol w:w="2270"/>
        <w:gridCol w:w="2264"/>
      </w:tblGrid>
      <w:tr w:rsidR="004F29A2" w:rsidRPr="00373F0B" w14:paraId="6C6AB2A1" w14:textId="77777777" w:rsidTr="00F710CB">
        <w:trPr>
          <w:cnfStyle w:val="100000000000" w:firstRow="1" w:lastRow="0" w:firstColumn="0" w:lastColumn="0" w:oddVBand="0" w:evenVBand="0" w:oddHBand="0" w:evenHBand="0" w:firstRowFirstColumn="0" w:firstRowLastColumn="0" w:lastRowFirstColumn="0" w:lastRowLastColumn="0"/>
          <w:trHeight w:val="570"/>
        </w:trPr>
        <w:tc>
          <w:tcPr>
            <w:tcW w:w="0" w:type="pct"/>
            <w:vAlign w:val="center"/>
          </w:tcPr>
          <w:p w14:paraId="25EFC88C" w14:textId="77777777" w:rsidR="004F29A2" w:rsidRPr="00373F0B" w:rsidRDefault="004F29A2" w:rsidP="003664EB">
            <w:pPr>
              <w:pStyle w:val="Tableheading"/>
              <w:keepNext/>
            </w:pPr>
            <w:r w:rsidRPr="00373F0B">
              <w:t>Technologies</w:t>
            </w:r>
          </w:p>
        </w:tc>
        <w:tc>
          <w:tcPr>
            <w:tcW w:w="0" w:type="pct"/>
            <w:vAlign w:val="center"/>
          </w:tcPr>
          <w:p w14:paraId="7AED579B" w14:textId="77777777" w:rsidR="004F29A2" w:rsidRPr="00373F0B" w:rsidRDefault="004F29A2" w:rsidP="003664EB">
            <w:pPr>
              <w:pStyle w:val="Tableheading"/>
              <w:keepNext/>
            </w:pPr>
            <w:r w:rsidRPr="00373F0B">
              <w:t>Total costs (£)</w:t>
            </w:r>
          </w:p>
        </w:tc>
        <w:tc>
          <w:tcPr>
            <w:tcW w:w="0" w:type="pct"/>
            <w:vAlign w:val="center"/>
          </w:tcPr>
          <w:p w14:paraId="7E46D0B6" w14:textId="77777777" w:rsidR="004F29A2" w:rsidRPr="00373F0B" w:rsidRDefault="004F29A2" w:rsidP="003664EB">
            <w:pPr>
              <w:pStyle w:val="Tableheading"/>
              <w:keepNext/>
            </w:pPr>
            <w:r w:rsidRPr="00373F0B">
              <w:t>Total QALYs</w:t>
            </w:r>
          </w:p>
        </w:tc>
        <w:tc>
          <w:tcPr>
            <w:tcW w:w="0" w:type="pct"/>
            <w:vAlign w:val="center"/>
          </w:tcPr>
          <w:p w14:paraId="7DC1DC9C" w14:textId="77777777" w:rsidR="004F29A2" w:rsidRPr="00373F0B" w:rsidRDefault="004F29A2" w:rsidP="00F710CB">
            <w:pPr>
              <w:pStyle w:val="Tableheading"/>
              <w:keepNext/>
            </w:pPr>
            <w:r w:rsidRPr="00373F0B">
              <w:t>Incremental costs (£)</w:t>
            </w:r>
          </w:p>
        </w:tc>
        <w:tc>
          <w:tcPr>
            <w:tcW w:w="0" w:type="pct"/>
            <w:vAlign w:val="center"/>
          </w:tcPr>
          <w:p w14:paraId="11394EAD" w14:textId="4886BDB9" w:rsidR="004F29A2" w:rsidRPr="00373F0B" w:rsidRDefault="004F29A2" w:rsidP="003664EB">
            <w:pPr>
              <w:pStyle w:val="Tableheading"/>
              <w:keepNext/>
            </w:pPr>
            <w:r w:rsidRPr="00373F0B">
              <w:t>Incremental QALYs</w:t>
            </w:r>
          </w:p>
        </w:tc>
        <w:tc>
          <w:tcPr>
            <w:tcW w:w="0" w:type="pct"/>
            <w:vAlign w:val="center"/>
          </w:tcPr>
          <w:p w14:paraId="0A68AABC" w14:textId="79CDF6B5" w:rsidR="004F29A2" w:rsidRPr="00373F0B" w:rsidRDefault="004F29A2" w:rsidP="008C702B">
            <w:pPr>
              <w:pStyle w:val="Tableheading"/>
              <w:keepNext/>
            </w:pPr>
            <w:r w:rsidRPr="00373F0B">
              <w:t>NHB at £30,000</w:t>
            </w:r>
            <w:r w:rsidR="00524A7A">
              <w:t xml:space="preserve"> WTP threshold</w:t>
            </w:r>
          </w:p>
        </w:tc>
      </w:tr>
      <w:tr w:rsidR="004F29A2" w:rsidRPr="00373F0B" w14:paraId="322A4AC4" w14:textId="77777777" w:rsidTr="003C648C">
        <w:trPr>
          <w:trHeight w:val="315"/>
        </w:trPr>
        <w:tc>
          <w:tcPr>
            <w:tcW w:w="922" w:type="pct"/>
          </w:tcPr>
          <w:p w14:paraId="5453BD81" w14:textId="77777777" w:rsidR="004F29A2" w:rsidRPr="00373F0B" w:rsidRDefault="004F29A2" w:rsidP="00311D2A">
            <w:pPr>
              <w:pStyle w:val="Tablebody"/>
              <w:keepNext/>
            </w:pPr>
            <w:r w:rsidRPr="00373F0B">
              <w:t>TPC</w:t>
            </w:r>
          </w:p>
        </w:tc>
        <w:tc>
          <w:tcPr>
            <w:tcW w:w="816" w:type="pct"/>
          </w:tcPr>
          <w:p w14:paraId="2B99D0CF" w14:textId="248EF2CF" w:rsidR="004F29A2" w:rsidRPr="00F77ABC" w:rsidRDefault="00F77ABC" w:rsidP="00311D2A">
            <w:pPr>
              <w:pStyle w:val="NICETabletext"/>
              <w:rPr>
                <w:color w:val="000000"/>
                <w:highlight w:val="black"/>
              </w:rPr>
            </w:pPr>
            <w:r w:rsidRPr="00F77ABC">
              <w:rPr>
                <w:color w:val="000000"/>
                <w:highlight w:val="black"/>
              </w:rPr>
              <w:t>xxxxxxx</w:t>
            </w:r>
          </w:p>
        </w:tc>
        <w:tc>
          <w:tcPr>
            <w:tcW w:w="816" w:type="pct"/>
          </w:tcPr>
          <w:p w14:paraId="46EC71F6" w14:textId="44274289" w:rsidR="004F29A2" w:rsidRPr="00F77ABC" w:rsidRDefault="00F77ABC" w:rsidP="00311D2A">
            <w:pPr>
              <w:pStyle w:val="NICETabletext"/>
              <w:rPr>
                <w:color w:val="000000"/>
                <w:highlight w:val="black"/>
              </w:rPr>
            </w:pPr>
            <w:r w:rsidRPr="00F77ABC">
              <w:rPr>
                <w:color w:val="000000"/>
                <w:highlight w:val="black"/>
              </w:rPr>
              <w:t>xxxx</w:t>
            </w:r>
          </w:p>
        </w:tc>
        <w:tc>
          <w:tcPr>
            <w:tcW w:w="816" w:type="pct"/>
          </w:tcPr>
          <w:p w14:paraId="77DCBF42" w14:textId="77777777" w:rsidR="004F29A2" w:rsidRPr="0023754D" w:rsidRDefault="004F29A2" w:rsidP="00311D2A">
            <w:pPr>
              <w:pStyle w:val="NICETabletext"/>
            </w:pPr>
            <w:r w:rsidRPr="0023754D">
              <w:t>-</w:t>
            </w:r>
          </w:p>
        </w:tc>
        <w:tc>
          <w:tcPr>
            <w:tcW w:w="816" w:type="pct"/>
          </w:tcPr>
          <w:p w14:paraId="6AA23F75" w14:textId="77777777" w:rsidR="004F29A2" w:rsidRPr="0023754D" w:rsidRDefault="004F29A2" w:rsidP="00311D2A">
            <w:pPr>
              <w:pStyle w:val="NICETabletext"/>
            </w:pPr>
            <w:r w:rsidRPr="0023754D">
              <w:t>-</w:t>
            </w:r>
          </w:p>
        </w:tc>
        <w:tc>
          <w:tcPr>
            <w:tcW w:w="814" w:type="pct"/>
          </w:tcPr>
          <w:p w14:paraId="00C8CB42" w14:textId="77777777" w:rsidR="004F29A2" w:rsidRPr="0023754D" w:rsidRDefault="004F29A2" w:rsidP="00311D2A">
            <w:pPr>
              <w:pStyle w:val="NICETabletext"/>
            </w:pPr>
            <w:r w:rsidRPr="0023754D">
              <w:t>-</w:t>
            </w:r>
          </w:p>
        </w:tc>
      </w:tr>
      <w:tr w:rsidR="004F29A2" w:rsidRPr="00373F0B" w14:paraId="4247A290" w14:textId="77777777" w:rsidTr="003C648C">
        <w:trPr>
          <w:trHeight w:val="300"/>
        </w:trPr>
        <w:tc>
          <w:tcPr>
            <w:tcW w:w="922" w:type="pct"/>
          </w:tcPr>
          <w:p w14:paraId="1B8305FE" w14:textId="77777777" w:rsidR="004F29A2" w:rsidRPr="00373F0B" w:rsidRDefault="004F29A2" w:rsidP="00AE76B7">
            <w:pPr>
              <w:pStyle w:val="Tablebody"/>
              <w:keepNext/>
            </w:pPr>
            <w:r w:rsidRPr="00373F0B">
              <w:t>T-DXd</w:t>
            </w:r>
          </w:p>
        </w:tc>
        <w:tc>
          <w:tcPr>
            <w:tcW w:w="816" w:type="pct"/>
          </w:tcPr>
          <w:p w14:paraId="0C899683" w14:textId="25A4D374" w:rsidR="004F29A2" w:rsidRPr="00F77ABC" w:rsidRDefault="00F77ABC" w:rsidP="00AE76B7">
            <w:pPr>
              <w:pStyle w:val="NICETabletext"/>
              <w:rPr>
                <w:color w:val="000000"/>
                <w:highlight w:val="black"/>
              </w:rPr>
            </w:pPr>
            <w:r w:rsidRPr="00F77ABC">
              <w:rPr>
                <w:color w:val="000000"/>
                <w:highlight w:val="black"/>
              </w:rPr>
              <w:t>xxxxxxx</w:t>
            </w:r>
          </w:p>
        </w:tc>
        <w:tc>
          <w:tcPr>
            <w:tcW w:w="816" w:type="pct"/>
          </w:tcPr>
          <w:p w14:paraId="155FE863" w14:textId="17890943" w:rsidR="004F29A2" w:rsidRPr="00F77ABC" w:rsidRDefault="00F77ABC" w:rsidP="00AE76B7">
            <w:pPr>
              <w:pStyle w:val="NICETabletext"/>
              <w:rPr>
                <w:color w:val="000000"/>
                <w:highlight w:val="black"/>
              </w:rPr>
            </w:pPr>
            <w:r w:rsidRPr="00F77ABC">
              <w:rPr>
                <w:color w:val="000000"/>
                <w:highlight w:val="black"/>
              </w:rPr>
              <w:t>xxxx</w:t>
            </w:r>
          </w:p>
        </w:tc>
        <w:tc>
          <w:tcPr>
            <w:tcW w:w="816" w:type="pct"/>
          </w:tcPr>
          <w:p w14:paraId="1B62D00F" w14:textId="3282BD87" w:rsidR="004F29A2" w:rsidRPr="00F77ABC" w:rsidRDefault="00F77ABC" w:rsidP="00AE76B7">
            <w:pPr>
              <w:pStyle w:val="NICETabletext"/>
              <w:rPr>
                <w:color w:val="000000"/>
                <w:highlight w:val="black"/>
              </w:rPr>
            </w:pPr>
            <w:r w:rsidRPr="00F77ABC">
              <w:rPr>
                <w:color w:val="000000"/>
                <w:highlight w:val="black"/>
              </w:rPr>
              <w:t>xxxxxxx</w:t>
            </w:r>
          </w:p>
        </w:tc>
        <w:tc>
          <w:tcPr>
            <w:tcW w:w="816" w:type="pct"/>
          </w:tcPr>
          <w:p w14:paraId="38D4801E" w14:textId="0CA003B7" w:rsidR="004F29A2" w:rsidRPr="00F77ABC" w:rsidRDefault="00F77ABC" w:rsidP="00AE76B7">
            <w:pPr>
              <w:pStyle w:val="NICETabletext"/>
              <w:rPr>
                <w:color w:val="000000"/>
                <w:highlight w:val="black"/>
              </w:rPr>
            </w:pPr>
            <w:r w:rsidRPr="00F77ABC">
              <w:rPr>
                <w:color w:val="000000"/>
                <w:highlight w:val="black"/>
              </w:rPr>
              <w:t>xxxx</w:t>
            </w:r>
          </w:p>
        </w:tc>
        <w:tc>
          <w:tcPr>
            <w:tcW w:w="814" w:type="pct"/>
          </w:tcPr>
          <w:p w14:paraId="01DACF19" w14:textId="34387DB2" w:rsidR="004F29A2" w:rsidRPr="00F77ABC" w:rsidRDefault="00F77ABC" w:rsidP="00AE76B7">
            <w:pPr>
              <w:pStyle w:val="NICETabletext"/>
              <w:rPr>
                <w:color w:val="000000"/>
                <w:highlight w:val="black"/>
              </w:rPr>
            </w:pPr>
            <w:r w:rsidRPr="00F77ABC">
              <w:rPr>
                <w:color w:val="000000"/>
                <w:highlight w:val="black"/>
              </w:rPr>
              <w:t>xxxxx</w:t>
            </w:r>
          </w:p>
        </w:tc>
      </w:tr>
    </w:tbl>
    <w:p w14:paraId="513435CC" w14:textId="3C98FF0F" w:rsidR="002C3C41" w:rsidRDefault="002C3C41" w:rsidP="003664EB">
      <w:pPr>
        <w:pStyle w:val="Footnotes"/>
        <w:keepNext/>
        <w:sectPr w:rsidR="002C3C41">
          <w:headerReference w:type="default" r:id="rId42"/>
          <w:footerReference w:type="default" r:id="rId43"/>
          <w:footnotePr>
            <w:numFmt w:val="lowerLetter"/>
          </w:footnotePr>
          <w:pgSz w:w="16838" w:h="11906" w:orient="landscape"/>
          <w:pgMar w:top="1440" w:right="1440" w:bottom="1440" w:left="1440" w:header="709" w:footer="709" w:gutter="0"/>
          <w:cols w:space="708"/>
          <w:docGrid w:linePitch="360"/>
        </w:sectPr>
      </w:pPr>
      <w:bookmarkStart w:id="796" w:name="_Ref126958096"/>
      <w:r w:rsidRPr="00373F0B">
        <w:t>Abbreviations: ICER, incremental cost-effectiveness ratio; LYG, life years gained; NHB, net health benefit; PAS, patient access scheme; QALYs, quality-adjusted life years</w:t>
      </w:r>
      <w:r w:rsidRPr="00C67C0A">
        <w:t>; T-DXd, trastuzumab deruxtecan; TPC, treatment of physician’s choice</w:t>
      </w:r>
      <w:r w:rsidR="00524A7A">
        <w:t>; WTP, willingness-to-pay</w:t>
      </w:r>
      <w:r w:rsidRPr="00C67C0A">
        <w:t>.</w:t>
      </w:r>
      <w:r w:rsidRPr="00907E93">
        <w:rPr>
          <w:rFonts w:ascii="Segoe UI" w:eastAsia="Times New Roman" w:hAnsi="Segoe UI" w:cs="Segoe UI"/>
          <w:sz w:val="21"/>
          <w:szCs w:val="21"/>
          <w:lang w:eastAsia="en-GB"/>
        </w:rPr>
        <w:t> </w:t>
      </w:r>
    </w:p>
    <w:p w14:paraId="75D2F1AF" w14:textId="77777777" w:rsidR="00CC6733" w:rsidRPr="00F30F45" w:rsidRDefault="00CC6733" w:rsidP="00CC6733">
      <w:pPr>
        <w:pStyle w:val="Heading2"/>
      </w:pPr>
      <w:bookmarkStart w:id="797" w:name="_Toc129001173"/>
      <w:bookmarkStart w:id="798" w:name="_Toc129040113"/>
      <w:bookmarkStart w:id="799" w:name="_Toc129052398"/>
      <w:bookmarkStart w:id="800" w:name="_Toc129053199"/>
      <w:bookmarkStart w:id="801" w:name="_Toc129001226"/>
      <w:bookmarkStart w:id="802" w:name="_Toc129040166"/>
      <w:bookmarkStart w:id="803" w:name="_Toc129052451"/>
      <w:bookmarkStart w:id="804" w:name="_Toc129053252"/>
      <w:bookmarkStart w:id="805" w:name="_Toc129001227"/>
      <w:bookmarkStart w:id="806" w:name="_Toc129040167"/>
      <w:bookmarkStart w:id="807" w:name="_Toc129052452"/>
      <w:bookmarkStart w:id="808" w:name="_Toc129053253"/>
      <w:bookmarkStart w:id="809" w:name="_Toc98924687"/>
      <w:bookmarkStart w:id="810" w:name="_Ref99727632"/>
      <w:bookmarkStart w:id="811" w:name="_Ref99727655"/>
      <w:bookmarkStart w:id="812" w:name="_Ref99729216"/>
      <w:bookmarkStart w:id="813" w:name="_Toc127006626"/>
      <w:bookmarkStart w:id="814" w:name="_Ref128409391"/>
      <w:bookmarkStart w:id="815" w:name="_Toc129350914"/>
      <w:bookmarkEnd w:id="796"/>
      <w:bookmarkEnd w:id="797"/>
      <w:bookmarkEnd w:id="798"/>
      <w:bookmarkEnd w:id="799"/>
      <w:bookmarkEnd w:id="800"/>
      <w:bookmarkEnd w:id="801"/>
      <w:bookmarkEnd w:id="802"/>
      <w:bookmarkEnd w:id="803"/>
      <w:bookmarkEnd w:id="804"/>
      <w:bookmarkEnd w:id="805"/>
      <w:bookmarkEnd w:id="806"/>
      <w:bookmarkEnd w:id="807"/>
      <w:bookmarkEnd w:id="808"/>
      <w:r w:rsidRPr="00F30F45">
        <w:lastRenderedPageBreak/>
        <w:t>Exploring uncertainty</w:t>
      </w:r>
      <w:bookmarkEnd w:id="809"/>
      <w:bookmarkEnd w:id="810"/>
      <w:bookmarkEnd w:id="811"/>
      <w:bookmarkEnd w:id="812"/>
      <w:bookmarkEnd w:id="813"/>
      <w:bookmarkEnd w:id="814"/>
      <w:bookmarkEnd w:id="815"/>
    </w:p>
    <w:p w14:paraId="388EBD56" w14:textId="77777777" w:rsidR="00CC6733" w:rsidRDefault="00CC6733" w:rsidP="00CC6733">
      <w:pPr>
        <w:pStyle w:val="Heading3"/>
      </w:pPr>
      <w:bookmarkStart w:id="816" w:name="_Toc98924688"/>
      <w:bookmarkStart w:id="817" w:name="_Toc127006627"/>
      <w:bookmarkStart w:id="818" w:name="_Toc129350915"/>
      <w:r>
        <w:t>Probabilistic sensitivity analysis</w:t>
      </w:r>
      <w:bookmarkEnd w:id="816"/>
      <w:bookmarkEnd w:id="817"/>
      <w:bookmarkEnd w:id="818"/>
    </w:p>
    <w:p w14:paraId="57026255" w14:textId="51FEA3C6" w:rsidR="00CC6733" w:rsidRDefault="00CC6733" w:rsidP="00CC6733">
      <w:pPr>
        <w:pStyle w:val="Body"/>
      </w:pPr>
      <w:r>
        <w:t xml:space="preserve">Joint parameter uncertainty was explored through probabilistic sensitivity analysis (PSA) where all parameters are assigned probability distributions and varied jointly (see </w:t>
      </w:r>
      <w:r w:rsidRPr="003C648C">
        <w:rPr>
          <w:b/>
        </w:rPr>
        <w:fldChar w:fldCharType="begin"/>
      </w:r>
      <w:r w:rsidRPr="003C648C">
        <w:rPr>
          <w:b/>
        </w:rPr>
        <w:instrText xml:space="preserve"> REF _Ref101422448 \h  \* MERGEFORMAT </w:instrText>
      </w:r>
      <w:r w:rsidRPr="003C648C">
        <w:rPr>
          <w:b/>
        </w:rPr>
      </w:r>
      <w:r w:rsidRPr="003C648C">
        <w:rPr>
          <w:b/>
        </w:rPr>
        <w:fldChar w:fldCharType="separate"/>
      </w:r>
      <w:r w:rsidR="00145F42" w:rsidRPr="00145F42">
        <w:rPr>
          <w:b/>
        </w:rPr>
        <w:t>Table 66</w:t>
      </w:r>
      <w:r w:rsidRPr="003C648C">
        <w:rPr>
          <w:b/>
        </w:rPr>
        <w:fldChar w:fldCharType="end"/>
      </w:r>
      <w:r w:rsidRPr="00F30F45">
        <w:t>).</w:t>
      </w:r>
      <w:r>
        <w:t xml:space="preserve"> PSA was run for </w:t>
      </w:r>
      <w:r w:rsidR="000A186A">
        <w:t>5</w:t>
      </w:r>
      <w:r>
        <w:t xml:space="preserve">,000 iterations, by which point, results had stabilised and therefore considered reliable to explore the uncertainty. </w:t>
      </w:r>
    </w:p>
    <w:p w14:paraId="11834BC5" w14:textId="0173C59B" w:rsidR="00CC6733" w:rsidRPr="005929B0" w:rsidRDefault="00CC6733" w:rsidP="00CC6733">
      <w:pPr>
        <w:pStyle w:val="Body"/>
      </w:pPr>
      <w:r>
        <w:t xml:space="preserve">The mean results from </w:t>
      </w:r>
      <w:r w:rsidRPr="005929B0">
        <w:t xml:space="preserve">the probabilistic analysis are presented in </w:t>
      </w:r>
      <w:r w:rsidRPr="003C648C">
        <w:rPr>
          <w:b/>
        </w:rPr>
        <w:fldChar w:fldCharType="begin"/>
      </w:r>
      <w:r w:rsidRPr="003C648C">
        <w:rPr>
          <w:b/>
        </w:rPr>
        <w:instrText xml:space="preserve"> REF _Ref96105515 \h  \* MERGEFORMAT </w:instrText>
      </w:r>
      <w:r w:rsidRPr="003C648C">
        <w:rPr>
          <w:b/>
        </w:rPr>
      </w:r>
      <w:r w:rsidRPr="003C648C">
        <w:rPr>
          <w:b/>
        </w:rPr>
        <w:fldChar w:fldCharType="separate"/>
      </w:r>
      <w:r w:rsidR="00145F42" w:rsidRPr="00145F42">
        <w:rPr>
          <w:b/>
        </w:rPr>
        <w:t>Table 70</w:t>
      </w:r>
      <w:r w:rsidRPr="003C648C">
        <w:rPr>
          <w:b/>
        </w:rPr>
        <w:fldChar w:fldCharType="end"/>
      </w:r>
      <w:r w:rsidRPr="005929B0">
        <w:t xml:space="preserve"> and the </w:t>
      </w:r>
      <w:r w:rsidR="00225351">
        <w:t>incremental</w:t>
      </w:r>
      <w:r w:rsidRPr="005929B0">
        <w:t xml:space="preserve"> cost-effectiveness plane (CE-plane) in </w:t>
      </w:r>
      <w:r w:rsidRPr="003C648C">
        <w:rPr>
          <w:b/>
        </w:rPr>
        <w:fldChar w:fldCharType="begin"/>
      </w:r>
      <w:r w:rsidRPr="003C648C">
        <w:rPr>
          <w:b/>
        </w:rPr>
        <w:instrText xml:space="preserve"> REF _Ref96104728 \h  \* MERGEFORMAT </w:instrText>
      </w:r>
      <w:r w:rsidRPr="003C648C">
        <w:rPr>
          <w:b/>
        </w:rPr>
      </w:r>
      <w:r w:rsidRPr="003C648C">
        <w:rPr>
          <w:b/>
        </w:rPr>
        <w:fldChar w:fldCharType="separate"/>
      </w:r>
      <w:r w:rsidR="00145F42" w:rsidRPr="00145F42">
        <w:rPr>
          <w:b/>
        </w:rPr>
        <w:t>Figure 46</w:t>
      </w:r>
      <w:r w:rsidRPr="003C648C">
        <w:rPr>
          <w:b/>
        </w:rPr>
        <w:fldChar w:fldCharType="end"/>
      </w:r>
      <w:r w:rsidRPr="005929B0">
        <w:t xml:space="preserve">. The probabilistic results show consistency with the deterministic analysis providing a mean QALY gain of </w:t>
      </w:r>
      <w:r w:rsidR="00F77ABC" w:rsidRPr="00F77ABC">
        <w:rPr>
          <w:color w:val="000000"/>
          <w:highlight w:val="black"/>
        </w:rPr>
        <w:t>xxxx</w:t>
      </w:r>
      <w:r w:rsidR="00C67A14">
        <w:t xml:space="preserve"> </w:t>
      </w:r>
      <w:r w:rsidR="00C67A14" w:rsidRPr="005929B0">
        <w:t xml:space="preserve">at an incremental cost of </w:t>
      </w:r>
      <w:r w:rsidR="00F77ABC" w:rsidRPr="00F77ABC">
        <w:rPr>
          <w:color w:val="000000"/>
          <w:highlight w:val="black"/>
        </w:rPr>
        <w:t>xxxxxxx</w:t>
      </w:r>
      <w:r w:rsidR="00C67A14" w:rsidRPr="005929B0">
        <w:t xml:space="preserve">, resulting in a probabilistic ICER of </w:t>
      </w:r>
      <w:r w:rsidR="00F77ABC" w:rsidRPr="00F77ABC">
        <w:rPr>
          <w:color w:val="000000"/>
          <w:highlight w:val="black"/>
        </w:rPr>
        <w:t>xxxxxxx</w:t>
      </w:r>
      <w:r w:rsidR="00C67A14" w:rsidRPr="005929B0">
        <w:t>.</w:t>
      </w:r>
      <w:r w:rsidRPr="005929B0">
        <w:t xml:space="preserve"> </w:t>
      </w:r>
      <w:r w:rsidR="00D54C99">
        <w:t>All</w:t>
      </w:r>
      <w:r w:rsidR="004B0255">
        <w:t xml:space="preserve"> </w:t>
      </w:r>
      <w:r w:rsidRPr="005929B0">
        <w:t>iterations</w:t>
      </w:r>
      <w:r>
        <w:t xml:space="preserve"> </w:t>
      </w:r>
      <w:r w:rsidRPr="005929B0">
        <w:t xml:space="preserve">in the CE-plane </w:t>
      </w:r>
      <w:r w:rsidR="001D64C3">
        <w:t>were</w:t>
      </w:r>
      <w:r w:rsidR="001D64C3" w:rsidRPr="008F7CEE">
        <w:t xml:space="preserve"> </w:t>
      </w:r>
      <w:r w:rsidRPr="008F7CEE">
        <w:t>within the North-East quadrant</w:t>
      </w:r>
      <w:r w:rsidRPr="005929B0">
        <w:t xml:space="preserve"> demonstrating a positive QALY gain and confirming the clinical benefit of T-DXd vs.</w:t>
      </w:r>
      <w:r w:rsidRPr="00C67C0A">
        <w:t xml:space="preserve"> TPC </w:t>
      </w:r>
      <w:r w:rsidRPr="005929B0">
        <w:t>when parameter uncertainty is evaluated.</w:t>
      </w:r>
    </w:p>
    <w:p w14:paraId="74FE85D3" w14:textId="17D037E0" w:rsidR="00CC6733" w:rsidRPr="005929B0" w:rsidRDefault="00CC6733" w:rsidP="00CC6733">
      <w:pPr>
        <w:pStyle w:val="Caption"/>
      </w:pPr>
      <w:bookmarkStart w:id="819" w:name="_Ref96105515"/>
      <w:bookmarkStart w:id="820" w:name="_Toc98924778"/>
      <w:bookmarkStart w:id="821" w:name="_Toc127006700"/>
      <w:bookmarkStart w:id="822" w:name="_Toc129351045"/>
      <w:r w:rsidRPr="005929B0">
        <w:t xml:space="preserve">Table </w:t>
      </w:r>
      <w:r w:rsidRPr="005929B0">
        <w:fldChar w:fldCharType="begin"/>
      </w:r>
      <w:r w:rsidRPr="005929B0">
        <w:instrText>SEQ Table \* ARABIC</w:instrText>
      </w:r>
      <w:r w:rsidRPr="005929B0">
        <w:fldChar w:fldCharType="separate"/>
      </w:r>
      <w:r w:rsidR="00145F42">
        <w:rPr>
          <w:noProof/>
        </w:rPr>
        <w:t>70</w:t>
      </w:r>
      <w:r w:rsidRPr="005929B0">
        <w:fldChar w:fldCharType="end"/>
      </w:r>
      <w:bookmarkEnd w:id="819"/>
      <w:r w:rsidRPr="005929B0">
        <w:t>: Mean PSA results</w:t>
      </w:r>
      <w:bookmarkEnd w:id="820"/>
      <w:r w:rsidRPr="005929B0">
        <w:t xml:space="preserve"> (</w:t>
      </w:r>
      <w:r w:rsidR="00070766" w:rsidRPr="00070766">
        <w:t>at the PAS price</w:t>
      </w:r>
      <w:r w:rsidR="00C867F7">
        <w:t>, no severity modifier applied</w:t>
      </w:r>
      <w:bookmarkEnd w:id="821"/>
      <w:r w:rsidRPr="005929B0">
        <w:t>)</w:t>
      </w:r>
      <w:r w:rsidR="00C679B6">
        <w:t>*</w:t>
      </w:r>
      <w:bookmarkEnd w:id="82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9"/>
        <w:gridCol w:w="1059"/>
        <w:gridCol w:w="1059"/>
        <w:gridCol w:w="1058"/>
        <w:gridCol w:w="1058"/>
        <w:gridCol w:w="1058"/>
        <w:gridCol w:w="1058"/>
        <w:gridCol w:w="1287"/>
      </w:tblGrid>
      <w:tr w:rsidR="00F6492E" w:rsidRPr="005929B0" w14:paraId="7FABE260" w14:textId="77777777" w:rsidTr="00F710CB">
        <w:tc>
          <w:tcPr>
            <w:tcW w:w="764" w:type="pct"/>
            <w:vMerge w:val="restart"/>
            <w:shd w:val="clear" w:color="auto" w:fill="D9D9D9" w:themeFill="background1" w:themeFillShade="D9"/>
          </w:tcPr>
          <w:p w14:paraId="6360F7DF" w14:textId="77777777" w:rsidR="00CC6733" w:rsidRPr="005929B0" w:rsidRDefault="00CC6733">
            <w:pPr>
              <w:pStyle w:val="NICETableHeader"/>
            </w:pPr>
            <w:r w:rsidRPr="005929B0">
              <w:t>Technologies</w:t>
            </w:r>
          </w:p>
        </w:tc>
        <w:tc>
          <w:tcPr>
            <w:tcW w:w="1761" w:type="pct"/>
            <w:gridSpan w:val="3"/>
            <w:shd w:val="clear" w:color="auto" w:fill="D9D9D9" w:themeFill="background1" w:themeFillShade="D9"/>
          </w:tcPr>
          <w:p w14:paraId="1A12088C" w14:textId="77777777" w:rsidR="00CC6733" w:rsidRPr="005929B0" w:rsidRDefault="00CC6733">
            <w:pPr>
              <w:pStyle w:val="NICETableHeader"/>
            </w:pPr>
            <w:r w:rsidRPr="005929B0">
              <w:t>Total</w:t>
            </w:r>
          </w:p>
        </w:tc>
        <w:tc>
          <w:tcPr>
            <w:tcW w:w="1761" w:type="pct"/>
            <w:gridSpan w:val="3"/>
            <w:shd w:val="clear" w:color="auto" w:fill="D9D9D9" w:themeFill="background1" w:themeFillShade="D9"/>
          </w:tcPr>
          <w:p w14:paraId="40DE90DE" w14:textId="77777777" w:rsidR="00CC6733" w:rsidRPr="005929B0" w:rsidRDefault="00CC6733">
            <w:pPr>
              <w:pStyle w:val="NICETableHeader"/>
            </w:pPr>
            <w:r w:rsidRPr="005929B0">
              <w:t>Incremental</w:t>
            </w:r>
          </w:p>
        </w:tc>
        <w:tc>
          <w:tcPr>
            <w:tcW w:w="714" w:type="pct"/>
            <w:vMerge w:val="restart"/>
            <w:shd w:val="clear" w:color="auto" w:fill="D9D9D9" w:themeFill="background1" w:themeFillShade="D9"/>
          </w:tcPr>
          <w:p w14:paraId="35685C5B" w14:textId="77777777" w:rsidR="00CC6733" w:rsidRPr="005929B0" w:rsidRDefault="00CC6733">
            <w:pPr>
              <w:pStyle w:val="NICETableHeader"/>
            </w:pPr>
            <w:r w:rsidRPr="005929B0">
              <w:t>ICER (£/QALY)</w:t>
            </w:r>
          </w:p>
        </w:tc>
      </w:tr>
      <w:tr w:rsidR="0033184B" w:rsidRPr="005929B0" w14:paraId="7E10C767" w14:textId="77777777" w:rsidTr="004628A0">
        <w:tc>
          <w:tcPr>
            <w:tcW w:w="764" w:type="pct"/>
            <w:vMerge/>
            <w:shd w:val="clear" w:color="auto" w:fill="D9D9D9" w:themeFill="background1" w:themeFillShade="D9"/>
          </w:tcPr>
          <w:p w14:paraId="00187C7B" w14:textId="77777777" w:rsidR="00CC6733" w:rsidRPr="005929B0" w:rsidRDefault="00CC6733">
            <w:pPr>
              <w:pStyle w:val="NICETableHeader"/>
            </w:pPr>
          </w:p>
        </w:tc>
        <w:tc>
          <w:tcPr>
            <w:tcW w:w="587" w:type="pct"/>
            <w:shd w:val="clear" w:color="auto" w:fill="D9D9D9" w:themeFill="background1" w:themeFillShade="D9"/>
          </w:tcPr>
          <w:p w14:paraId="466C3B0C" w14:textId="77777777" w:rsidR="00CC6733" w:rsidRPr="005929B0" w:rsidRDefault="00CC6733">
            <w:pPr>
              <w:pStyle w:val="NICETableHeader"/>
            </w:pPr>
            <w:r w:rsidRPr="005929B0">
              <w:t>Costs (£)</w:t>
            </w:r>
          </w:p>
        </w:tc>
        <w:tc>
          <w:tcPr>
            <w:tcW w:w="587" w:type="pct"/>
            <w:shd w:val="clear" w:color="auto" w:fill="D9D9D9" w:themeFill="background1" w:themeFillShade="D9"/>
          </w:tcPr>
          <w:p w14:paraId="41221653" w14:textId="77777777" w:rsidR="00CC6733" w:rsidRPr="005929B0" w:rsidRDefault="00CC6733">
            <w:pPr>
              <w:pStyle w:val="NICETableHeader"/>
            </w:pPr>
            <w:r w:rsidRPr="005929B0">
              <w:t>LYG</w:t>
            </w:r>
          </w:p>
        </w:tc>
        <w:tc>
          <w:tcPr>
            <w:tcW w:w="587" w:type="pct"/>
            <w:shd w:val="clear" w:color="auto" w:fill="D9D9D9" w:themeFill="background1" w:themeFillShade="D9"/>
          </w:tcPr>
          <w:p w14:paraId="53BF42E5" w14:textId="77777777" w:rsidR="00CC6733" w:rsidRPr="005929B0" w:rsidRDefault="00CC6733">
            <w:pPr>
              <w:pStyle w:val="NICETableHeader"/>
            </w:pPr>
            <w:r w:rsidRPr="005929B0">
              <w:t>QALYs</w:t>
            </w:r>
          </w:p>
        </w:tc>
        <w:tc>
          <w:tcPr>
            <w:tcW w:w="587" w:type="pct"/>
            <w:shd w:val="clear" w:color="auto" w:fill="D9D9D9" w:themeFill="background1" w:themeFillShade="D9"/>
          </w:tcPr>
          <w:p w14:paraId="6B7635BD" w14:textId="77777777" w:rsidR="00CC6733" w:rsidRPr="005929B0" w:rsidRDefault="00CC6733">
            <w:pPr>
              <w:pStyle w:val="NICETableHeader"/>
            </w:pPr>
            <w:r w:rsidRPr="005929B0">
              <w:t>Costs (£)</w:t>
            </w:r>
          </w:p>
        </w:tc>
        <w:tc>
          <w:tcPr>
            <w:tcW w:w="587" w:type="pct"/>
            <w:shd w:val="clear" w:color="auto" w:fill="D9D9D9" w:themeFill="background1" w:themeFillShade="D9"/>
          </w:tcPr>
          <w:p w14:paraId="30F878BD" w14:textId="77777777" w:rsidR="00CC6733" w:rsidRPr="005929B0" w:rsidRDefault="00CC6733">
            <w:pPr>
              <w:pStyle w:val="NICETableHeader"/>
            </w:pPr>
            <w:r w:rsidRPr="005929B0">
              <w:t>LYG</w:t>
            </w:r>
          </w:p>
        </w:tc>
        <w:tc>
          <w:tcPr>
            <w:tcW w:w="587" w:type="pct"/>
            <w:shd w:val="clear" w:color="auto" w:fill="D9D9D9" w:themeFill="background1" w:themeFillShade="D9"/>
          </w:tcPr>
          <w:p w14:paraId="473CC5D9" w14:textId="6E09B641" w:rsidR="00CC6733" w:rsidRPr="005929B0" w:rsidRDefault="00CC6733">
            <w:pPr>
              <w:pStyle w:val="NICETableHeader"/>
            </w:pPr>
            <w:r w:rsidRPr="005929B0">
              <w:t>QALYs</w:t>
            </w:r>
          </w:p>
        </w:tc>
        <w:tc>
          <w:tcPr>
            <w:tcW w:w="714" w:type="pct"/>
            <w:vMerge/>
            <w:shd w:val="clear" w:color="auto" w:fill="D9D9D9" w:themeFill="background1" w:themeFillShade="D9"/>
          </w:tcPr>
          <w:p w14:paraId="017EF1D9" w14:textId="77777777" w:rsidR="00CC6733" w:rsidRPr="005929B0" w:rsidRDefault="00CC6733">
            <w:pPr>
              <w:pStyle w:val="NICETableHeader"/>
            </w:pPr>
          </w:p>
        </w:tc>
      </w:tr>
      <w:tr w:rsidR="00EC69F9" w:rsidRPr="005929B0" w14:paraId="210211C9" w14:textId="77777777" w:rsidTr="00F710CB">
        <w:tc>
          <w:tcPr>
            <w:tcW w:w="764" w:type="pct"/>
          </w:tcPr>
          <w:p w14:paraId="64BEB5C0" w14:textId="77777777" w:rsidR="00EC69F9" w:rsidRPr="005929B0" w:rsidRDefault="00EC69F9" w:rsidP="00EC69F9">
            <w:pPr>
              <w:pStyle w:val="NICETabletext"/>
            </w:pPr>
            <w:r w:rsidRPr="00C67C0A">
              <w:t>TPC</w:t>
            </w:r>
          </w:p>
        </w:tc>
        <w:tc>
          <w:tcPr>
            <w:tcW w:w="587" w:type="pct"/>
            <w:shd w:val="clear" w:color="auto" w:fill="auto"/>
            <w:vAlign w:val="center"/>
          </w:tcPr>
          <w:p w14:paraId="034F6B62" w14:textId="60DCD7CC" w:rsidR="00EC69F9" w:rsidRPr="00F77ABC" w:rsidRDefault="00F77ABC" w:rsidP="00EC69F9">
            <w:pPr>
              <w:pStyle w:val="NICETabletext"/>
              <w:rPr>
                <w:rFonts w:cs="Arial"/>
                <w:color w:val="000000"/>
                <w:szCs w:val="20"/>
                <w:highlight w:val="black"/>
              </w:rPr>
            </w:pPr>
            <w:r w:rsidRPr="00F77ABC">
              <w:rPr>
                <w:rFonts w:cs="Arial"/>
                <w:color w:val="000000"/>
                <w:szCs w:val="20"/>
                <w:highlight w:val="black"/>
              </w:rPr>
              <w:t>xxxxxxx</w:t>
            </w:r>
          </w:p>
        </w:tc>
        <w:tc>
          <w:tcPr>
            <w:tcW w:w="587" w:type="pct"/>
            <w:shd w:val="clear" w:color="auto" w:fill="auto"/>
            <w:vAlign w:val="bottom"/>
          </w:tcPr>
          <w:p w14:paraId="18D73FE8" w14:textId="717F55D4" w:rsidR="00EC69F9" w:rsidRPr="00F77ABC" w:rsidRDefault="00F77ABC" w:rsidP="00EC69F9">
            <w:pPr>
              <w:pStyle w:val="NICETabletext"/>
              <w:rPr>
                <w:rFonts w:cs="Arial"/>
                <w:color w:val="000000"/>
                <w:szCs w:val="20"/>
                <w:highlight w:val="black"/>
              </w:rPr>
            </w:pPr>
            <w:r w:rsidRPr="00F77ABC">
              <w:rPr>
                <w:rFonts w:cs="Arial"/>
                <w:color w:val="000000"/>
                <w:szCs w:val="20"/>
                <w:highlight w:val="black"/>
              </w:rPr>
              <w:t>xxxx</w:t>
            </w:r>
          </w:p>
        </w:tc>
        <w:tc>
          <w:tcPr>
            <w:tcW w:w="587" w:type="pct"/>
            <w:shd w:val="clear" w:color="auto" w:fill="auto"/>
            <w:vAlign w:val="bottom"/>
          </w:tcPr>
          <w:p w14:paraId="14BB6EB1" w14:textId="2793F810" w:rsidR="00EC69F9" w:rsidRPr="00F77ABC" w:rsidRDefault="00F77ABC" w:rsidP="00EC69F9">
            <w:pPr>
              <w:pStyle w:val="NICETabletext"/>
              <w:rPr>
                <w:rFonts w:cs="Arial"/>
                <w:color w:val="000000"/>
                <w:szCs w:val="20"/>
                <w:highlight w:val="black"/>
              </w:rPr>
            </w:pPr>
            <w:r w:rsidRPr="00F77ABC">
              <w:rPr>
                <w:rFonts w:cs="Arial"/>
                <w:color w:val="000000"/>
                <w:szCs w:val="20"/>
                <w:highlight w:val="black"/>
              </w:rPr>
              <w:t>xxxx</w:t>
            </w:r>
          </w:p>
        </w:tc>
        <w:tc>
          <w:tcPr>
            <w:tcW w:w="587" w:type="pct"/>
            <w:shd w:val="clear" w:color="auto" w:fill="auto"/>
            <w:vAlign w:val="bottom"/>
          </w:tcPr>
          <w:p w14:paraId="75924ABF" w14:textId="7C8F5F69" w:rsidR="00EC69F9" w:rsidRPr="00035BD3" w:rsidRDefault="00EC69F9" w:rsidP="003C648C">
            <w:pPr>
              <w:pStyle w:val="NICETabletext"/>
              <w:jc w:val="center"/>
              <w:rPr>
                <w:rFonts w:cs="Arial"/>
                <w:szCs w:val="20"/>
              </w:rPr>
            </w:pPr>
            <w:r w:rsidRPr="003C648C">
              <w:rPr>
                <w:rFonts w:cs="Arial"/>
                <w:color w:val="000000"/>
                <w:szCs w:val="20"/>
              </w:rPr>
              <w:t>-</w:t>
            </w:r>
          </w:p>
        </w:tc>
        <w:tc>
          <w:tcPr>
            <w:tcW w:w="587" w:type="pct"/>
            <w:shd w:val="clear" w:color="auto" w:fill="auto"/>
            <w:vAlign w:val="bottom"/>
          </w:tcPr>
          <w:p w14:paraId="084A8869" w14:textId="234C3562" w:rsidR="00EC69F9" w:rsidRPr="00035BD3" w:rsidRDefault="00EC69F9" w:rsidP="003C648C">
            <w:pPr>
              <w:pStyle w:val="NICETabletext"/>
              <w:jc w:val="center"/>
              <w:rPr>
                <w:rFonts w:cs="Arial"/>
                <w:szCs w:val="20"/>
              </w:rPr>
            </w:pPr>
            <w:r w:rsidRPr="003C648C">
              <w:rPr>
                <w:rFonts w:cs="Arial"/>
                <w:color w:val="000000"/>
                <w:szCs w:val="20"/>
              </w:rPr>
              <w:t>-</w:t>
            </w:r>
          </w:p>
        </w:tc>
        <w:tc>
          <w:tcPr>
            <w:tcW w:w="587" w:type="pct"/>
            <w:shd w:val="clear" w:color="auto" w:fill="auto"/>
            <w:vAlign w:val="bottom"/>
          </w:tcPr>
          <w:p w14:paraId="2E5FE3E9" w14:textId="3DA8BC5B" w:rsidR="00EC69F9" w:rsidRPr="00035BD3" w:rsidRDefault="00EC69F9" w:rsidP="003C648C">
            <w:pPr>
              <w:pStyle w:val="NICETabletext"/>
              <w:jc w:val="center"/>
              <w:rPr>
                <w:rFonts w:cs="Arial"/>
                <w:szCs w:val="20"/>
              </w:rPr>
            </w:pPr>
            <w:r w:rsidRPr="003C648C">
              <w:rPr>
                <w:rFonts w:cs="Arial"/>
                <w:color w:val="000000"/>
                <w:szCs w:val="20"/>
              </w:rPr>
              <w:t>-</w:t>
            </w:r>
          </w:p>
        </w:tc>
        <w:tc>
          <w:tcPr>
            <w:tcW w:w="714" w:type="pct"/>
            <w:shd w:val="clear" w:color="auto" w:fill="auto"/>
            <w:vAlign w:val="bottom"/>
          </w:tcPr>
          <w:p w14:paraId="2FB72B3A" w14:textId="0D4EBB0A" w:rsidR="00EC69F9" w:rsidRPr="00035BD3" w:rsidRDefault="00EC69F9" w:rsidP="003C648C">
            <w:pPr>
              <w:pStyle w:val="NICETabletext"/>
              <w:jc w:val="center"/>
              <w:rPr>
                <w:rFonts w:cs="Arial"/>
                <w:szCs w:val="20"/>
              </w:rPr>
            </w:pPr>
            <w:r w:rsidRPr="003C648C">
              <w:rPr>
                <w:rFonts w:cs="Arial"/>
                <w:color w:val="000000"/>
                <w:szCs w:val="20"/>
              </w:rPr>
              <w:t>-</w:t>
            </w:r>
          </w:p>
        </w:tc>
      </w:tr>
      <w:tr w:rsidR="00EC69F9" w:rsidRPr="005929B0" w14:paraId="2EC84F8C" w14:textId="77777777" w:rsidTr="00F710CB">
        <w:tc>
          <w:tcPr>
            <w:tcW w:w="764" w:type="pct"/>
          </w:tcPr>
          <w:p w14:paraId="67710AF5" w14:textId="77777777" w:rsidR="00EC69F9" w:rsidRPr="005929B0" w:rsidRDefault="00EC69F9" w:rsidP="00EC69F9">
            <w:pPr>
              <w:pStyle w:val="NICETabletext"/>
            </w:pPr>
            <w:r w:rsidRPr="005929B0">
              <w:t>T-DXd</w:t>
            </w:r>
          </w:p>
        </w:tc>
        <w:tc>
          <w:tcPr>
            <w:tcW w:w="587" w:type="pct"/>
            <w:shd w:val="clear" w:color="auto" w:fill="auto"/>
            <w:vAlign w:val="center"/>
          </w:tcPr>
          <w:p w14:paraId="76BE4905" w14:textId="0A3BAB45" w:rsidR="00EC69F9" w:rsidRPr="00F77ABC" w:rsidRDefault="00F77ABC" w:rsidP="00EC69F9">
            <w:pPr>
              <w:pStyle w:val="NICETabletext"/>
              <w:rPr>
                <w:rFonts w:cs="Arial"/>
                <w:color w:val="000000"/>
                <w:szCs w:val="20"/>
                <w:highlight w:val="black"/>
              </w:rPr>
            </w:pPr>
            <w:r w:rsidRPr="00F77ABC">
              <w:rPr>
                <w:rFonts w:cs="Arial"/>
                <w:color w:val="000000"/>
                <w:szCs w:val="20"/>
                <w:highlight w:val="black"/>
              </w:rPr>
              <w:t>xxxxxxx</w:t>
            </w:r>
          </w:p>
        </w:tc>
        <w:tc>
          <w:tcPr>
            <w:tcW w:w="587" w:type="pct"/>
            <w:shd w:val="clear" w:color="auto" w:fill="auto"/>
            <w:vAlign w:val="bottom"/>
          </w:tcPr>
          <w:p w14:paraId="7D0433DB" w14:textId="084B5439" w:rsidR="00EC69F9" w:rsidRPr="00F77ABC" w:rsidRDefault="00F77ABC" w:rsidP="00EC69F9">
            <w:pPr>
              <w:pStyle w:val="NICETabletext"/>
              <w:rPr>
                <w:rFonts w:cs="Arial"/>
                <w:color w:val="000000"/>
                <w:szCs w:val="20"/>
                <w:highlight w:val="black"/>
              </w:rPr>
            </w:pPr>
            <w:r w:rsidRPr="00F77ABC">
              <w:rPr>
                <w:rFonts w:cs="Arial"/>
                <w:color w:val="000000"/>
                <w:szCs w:val="20"/>
                <w:highlight w:val="black"/>
              </w:rPr>
              <w:t>xxxx</w:t>
            </w:r>
          </w:p>
        </w:tc>
        <w:tc>
          <w:tcPr>
            <w:tcW w:w="587" w:type="pct"/>
            <w:shd w:val="clear" w:color="auto" w:fill="auto"/>
            <w:vAlign w:val="bottom"/>
          </w:tcPr>
          <w:p w14:paraId="25466041" w14:textId="6813B51F" w:rsidR="00EC69F9" w:rsidRPr="00F77ABC" w:rsidRDefault="00F77ABC" w:rsidP="00EC69F9">
            <w:pPr>
              <w:pStyle w:val="NICETabletext"/>
              <w:rPr>
                <w:rFonts w:cs="Arial"/>
                <w:color w:val="000000"/>
                <w:szCs w:val="20"/>
                <w:highlight w:val="black"/>
              </w:rPr>
            </w:pPr>
            <w:r w:rsidRPr="00F77ABC">
              <w:rPr>
                <w:rFonts w:cs="Arial"/>
                <w:color w:val="000000"/>
                <w:szCs w:val="20"/>
                <w:highlight w:val="black"/>
              </w:rPr>
              <w:t>xxxx</w:t>
            </w:r>
          </w:p>
        </w:tc>
        <w:tc>
          <w:tcPr>
            <w:tcW w:w="587" w:type="pct"/>
            <w:shd w:val="clear" w:color="auto" w:fill="auto"/>
            <w:vAlign w:val="bottom"/>
          </w:tcPr>
          <w:p w14:paraId="17E775A8" w14:textId="58B6333C" w:rsidR="00EC69F9" w:rsidRPr="00F77ABC" w:rsidRDefault="00F77ABC" w:rsidP="00EC69F9">
            <w:pPr>
              <w:pStyle w:val="NICETabletext"/>
              <w:rPr>
                <w:rFonts w:cs="Arial"/>
                <w:color w:val="000000"/>
                <w:szCs w:val="20"/>
                <w:highlight w:val="black"/>
              </w:rPr>
            </w:pPr>
            <w:r w:rsidRPr="00F77ABC">
              <w:rPr>
                <w:rFonts w:cs="Arial"/>
                <w:color w:val="000000"/>
                <w:szCs w:val="20"/>
                <w:highlight w:val="black"/>
              </w:rPr>
              <w:t>xxxxxxx</w:t>
            </w:r>
          </w:p>
        </w:tc>
        <w:tc>
          <w:tcPr>
            <w:tcW w:w="587" w:type="pct"/>
            <w:shd w:val="clear" w:color="auto" w:fill="auto"/>
            <w:vAlign w:val="bottom"/>
          </w:tcPr>
          <w:p w14:paraId="259971EB" w14:textId="6C1A3230" w:rsidR="00EC69F9" w:rsidRPr="00F77ABC" w:rsidRDefault="00F77ABC" w:rsidP="00EC69F9">
            <w:pPr>
              <w:pStyle w:val="NICETabletext"/>
              <w:rPr>
                <w:rFonts w:cs="Arial"/>
                <w:color w:val="000000"/>
                <w:szCs w:val="20"/>
                <w:highlight w:val="black"/>
              </w:rPr>
            </w:pPr>
            <w:r w:rsidRPr="00F77ABC">
              <w:rPr>
                <w:rFonts w:cs="Arial"/>
                <w:color w:val="000000"/>
                <w:szCs w:val="20"/>
                <w:highlight w:val="black"/>
              </w:rPr>
              <w:t>xxxx</w:t>
            </w:r>
          </w:p>
        </w:tc>
        <w:tc>
          <w:tcPr>
            <w:tcW w:w="587" w:type="pct"/>
            <w:shd w:val="clear" w:color="auto" w:fill="auto"/>
            <w:vAlign w:val="bottom"/>
          </w:tcPr>
          <w:p w14:paraId="0AB40D94" w14:textId="758A3C57" w:rsidR="00EC69F9" w:rsidRPr="00F77ABC" w:rsidRDefault="00F77ABC" w:rsidP="00EC69F9">
            <w:pPr>
              <w:pStyle w:val="NICETabletext"/>
              <w:rPr>
                <w:rFonts w:cs="Arial"/>
                <w:color w:val="000000"/>
                <w:szCs w:val="20"/>
                <w:highlight w:val="black"/>
              </w:rPr>
            </w:pPr>
            <w:r w:rsidRPr="00F77ABC">
              <w:rPr>
                <w:rFonts w:cs="Arial"/>
                <w:color w:val="000000"/>
                <w:szCs w:val="20"/>
                <w:highlight w:val="black"/>
              </w:rPr>
              <w:t>xxxx</w:t>
            </w:r>
          </w:p>
        </w:tc>
        <w:tc>
          <w:tcPr>
            <w:tcW w:w="714" w:type="pct"/>
            <w:shd w:val="clear" w:color="auto" w:fill="auto"/>
            <w:vAlign w:val="bottom"/>
          </w:tcPr>
          <w:p w14:paraId="3879AC00" w14:textId="6BD2231F" w:rsidR="00EC69F9" w:rsidRPr="00F77ABC" w:rsidRDefault="00F77ABC" w:rsidP="00EC69F9">
            <w:pPr>
              <w:pStyle w:val="NICETabletext"/>
              <w:rPr>
                <w:rFonts w:cs="Arial"/>
                <w:color w:val="000000"/>
                <w:szCs w:val="20"/>
                <w:highlight w:val="black"/>
              </w:rPr>
            </w:pPr>
            <w:r w:rsidRPr="00F77ABC">
              <w:rPr>
                <w:rFonts w:cs="Arial"/>
                <w:color w:val="000000"/>
                <w:szCs w:val="20"/>
                <w:highlight w:val="black"/>
              </w:rPr>
              <w:t>xxxxxxx</w:t>
            </w:r>
          </w:p>
        </w:tc>
      </w:tr>
    </w:tbl>
    <w:p w14:paraId="5293B68A" w14:textId="231168BA" w:rsidR="00C679B6" w:rsidRDefault="00C679B6" w:rsidP="00C679B6">
      <w:pPr>
        <w:pStyle w:val="Footnotes"/>
        <w:spacing w:after="0"/>
      </w:pPr>
      <w:r>
        <w:t>*</w:t>
      </w:r>
      <w:r w:rsidR="006A3579">
        <w:t>20% v</w:t>
      </w:r>
      <w:r>
        <w:t xml:space="preserve">ariation applied in the </w:t>
      </w:r>
      <w:r w:rsidR="00954FA6">
        <w:t>PSA</w:t>
      </w:r>
      <w:r>
        <w:t>, in the absence of SE or CIs.</w:t>
      </w:r>
    </w:p>
    <w:p w14:paraId="55A075A4" w14:textId="033BA20A" w:rsidR="00CC6733" w:rsidRPr="00C67C0A" w:rsidRDefault="00CC6733" w:rsidP="00CC6733">
      <w:pPr>
        <w:pStyle w:val="Footnotes"/>
      </w:pPr>
      <w:r w:rsidRPr="005929B0">
        <w:t>Abbreviations: ICER, incremental cost-effectiveness ratio; LYG, life years gained; PAS, patient-access scheme; PSA, probabilistic sensitivity analysis; QALYs, quality-adjusted life years</w:t>
      </w:r>
      <w:r w:rsidRPr="00C67C0A">
        <w:t>; T-DXd, trastuzumab deruxtecan; TPC, treatment of physician’s choice.</w:t>
      </w:r>
    </w:p>
    <w:p w14:paraId="07CDEEDF" w14:textId="6249F715" w:rsidR="00CC6733" w:rsidRPr="005929B0" w:rsidRDefault="00CC6733" w:rsidP="00CC6733">
      <w:pPr>
        <w:pStyle w:val="Caption"/>
      </w:pPr>
      <w:bookmarkStart w:id="823" w:name="_Ref96104728"/>
      <w:bookmarkStart w:id="824" w:name="_Toc98924730"/>
      <w:bookmarkStart w:id="825" w:name="_Toc127006658"/>
      <w:bookmarkStart w:id="826" w:name="_Toc129350972"/>
      <w:r w:rsidRPr="005929B0">
        <w:t xml:space="preserve">Figure </w:t>
      </w:r>
      <w:r w:rsidRPr="005929B0">
        <w:fldChar w:fldCharType="begin"/>
      </w:r>
      <w:r w:rsidRPr="005929B0">
        <w:instrText>SEQ Figure \* ARABIC</w:instrText>
      </w:r>
      <w:r w:rsidRPr="005929B0">
        <w:fldChar w:fldCharType="separate"/>
      </w:r>
      <w:r w:rsidR="00145F42">
        <w:rPr>
          <w:noProof/>
        </w:rPr>
        <w:t>46</w:t>
      </w:r>
      <w:r w:rsidRPr="005929B0">
        <w:fldChar w:fldCharType="end"/>
      </w:r>
      <w:bookmarkEnd w:id="823"/>
      <w:r w:rsidRPr="005929B0">
        <w:t>: Cost-effectiveness plane – T-DXd</w:t>
      </w:r>
      <w:r w:rsidR="00070766">
        <w:t xml:space="preserve"> </w:t>
      </w:r>
      <w:r w:rsidR="00070766" w:rsidRPr="00373F0B">
        <w:t>(at the PAS price)</w:t>
      </w:r>
      <w:r w:rsidRPr="005929B0">
        <w:t xml:space="preserve"> vs. </w:t>
      </w:r>
      <w:bookmarkEnd w:id="824"/>
      <w:r w:rsidRPr="005929B0">
        <w:t>TPC</w:t>
      </w:r>
      <w:bookmarkEnd w:id="825"/>
      <w:r w:rsidR="00357818">
        <w:t xml:space="preserve"> (no severity modifier applied</w:t>
      </w:r>
      <w:r w:rsidR="0036383D">
        <w:t>)</w:t>
      </w:r>
      <w:r w:rsidR="00954FA6">
        <w:t>*</w:t>
      </w:r>
      <w:bookmarkEnd w:id="826"/>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006"/>
      </w:tblGrid>
      <w:tr w:rsidR="00CC6733" w14:paraId="0E05393C" w14:textId="77777777" w:rsidTr="00C75D0B">
        <w:tc>
          <w:tcPr>
            <w:tcW w:w="8936" w:type="dxa"/>
          </w:tcPr>
          <w:p w14:paraId="02518FC5" w14:textId="4B04E7DB" w:rsidR="00CC6733" w:rsidRDefault="009635C9">
            <w:r>
              <w:rPr>
                <w:noProof/>
              </w:rPr>
              <w:drawing>
                <wp:inline distT="0" distB="0" distL="0" distR="0" wp14:anchorId="0DC28F9F" wp14:editId="7D21098D">
                  <wp:extent cx="5578650" cy="248572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578650" cy="2485725"/>
                          </a:xfrm>
                          <a:prstGeom prst="rect">
                            <a:avLst/>
                          </a:prstGeom>
                          <a:noFill/>
                        </pic:spPr>
                      </pic:pic>
                    </a:graphicData>
                  </a:graphic>
                </wp:inline>
              </w:drawing>
            </w:r>
          </w:p>
        </w:tc>
      </w:tr>
    </w:tbl>
    <w:p w14:paraId="6B6449E9" w14:textId="2B5C1936" w:rsidR="00C679B6" w:rsidRDefault="00C679B6" w:rsidP="00C679B6">
      <w:pPr>
        <w:pStyle w:val="Footnotes"/>
        <w:spacing w:after="0"/>
      </w:pPr>
      <w:r>
        <w:t>*</w:t>
      </w:r>
      <w:r w:rsidR="006A3579">
        <w:t>20% v</w:t>
      </w:r>
      <w:r>
        <w:t xml:space="preserve">ariation applied in the </w:t>
      </w:r>
      <w:r w:rsidR="00954FA6">
        <w:t>P</w:t>
      </w:r>
      <w:r>
        <w:t>SA, in the absence of SE or CIs</w:t>
      </w:r>
      <w:r w:rsidR="006A3579">
        <w:t>.</w:t>
      </w:r>
    </w:p>
    <w:p w14:paraId="79715CE8" w14:textId="0B8FA8A2" w:rsidR="00CC6733" w:rsidRPr="005929B0" w:rsidRDefault="00CC6733" w:rsidP="00CC6733">
      <w:pPr>
        <w:pStyle w:val="Footnotes"/>
      </w:pPr>
      <w:r w:rsidRPr="005929B0">
        <w:t xml:space="preserve">Abbreviations: PSA, probabilistic sensitivity analysis; QALY, quality-adjusted life-year; </w:t>
      </w:r>
      <w:r w:rsidRPr="00C67C0A">
        <w:t>T-DXd, trastuzumab deruxtecan; TPC, treatment of physician’s choice</w:t>
      </w:r>
      <w:r w:rsidRPr="005929B0">
        <w:t>.</w:t>
      </w:r>
    </w:p>
    <w:p w14:paraId="0D062446" w14:textId="203CFA5D" w:rsidR="00CC6733" w:rsidRPr="005929B0" w:rsidRDefault="00CC6733" w:rsidP="00CC6733">
      <w:pPr>
        <w:pStyle w:val="Body"/>
      </w:pPr>
      <w:r w:rsidRPr="003C648C">
        <w:rPr>
          <w:b/>
          <w:bCs/>
        </w:rPr>
        <w:fldChar w:fldCharType="begin"/>
      </w:r>
      <w:r w:rsidRPr="003C648C">
        <w:rPr>
          <w:b/>
          <w:bCs/>
        </w:rPr>
        <w:instrText xml:space="preserve"> REF _Ref96104751 \h </w:instrText>
      </w:r>
      <w:r w:rsidR="00581597">
        <w:rPr>
          <w:b/>
          <w:bCs/>
        </w:rPr>
        <w:instrText xml:space="preserve"> \* MERGEFORMAT </w:instrText>
      </w:r>
      <w:r w:rsidRPr="003C648C">
        <w:rPr>
          <w:b/>
          <w:bCs/>
        </w:rPr>
      </w:r>
      <w:r w:rsidRPr="003C648C">
        <w:rPr>
          <w:b/>
          <w:bCs/>
        </w:rPr>
        <w:fldChar w:fldCharType="separate"/>
      </w:r>
      <w:r w:rsidR="00145F42" w:rsidRPr="00145F42">
        <w:rPr>
          <w:b/>
          <w:bCs/>
        </w:rPr>
        <w:t xml:space="preserve">Figure </w:t>
      </w:r>
      <w:r w:rsidR="00145F42" w:rsidRPr="00145F42">
        <w:rPr>
          <w:b/>
          <w:bCs/>
          <w:noProof/>
        </w:rPr>
        <w:t>47</w:t>
      </w:r>
      <w:r w:rsidRPr="003C648C">
        <w:rPr>
          <w:b/>
          <w:bCs/>
        </w:rPr>
        <w:fldChar w:fldCharType="end"/>
      </w:r>
      <w:r w:rsidRPr="005929B0">
        <w:t xml:space="preserve"> presents the cost-effectiveness acceptability curve for T-DXd vs. T</w:t>
      </w:r>
      <w:r w:rsidRPr="00C67C0A">
        <w:t>PC</w:t>
      </w:r>
      <w:r w:rsidRPr="005929B0">
        <w:t xml:space="preserve">. At a WTP threshold of £30,000/QALY the probability that T-DXd is </w:t>
      </w:r>
      <w:r>
        <w:t>a</w:t>
      </w:r>
      <w:r w:rsidRPr="005929B0">
        <w:t xml:space="preserve"> cost-effective treatment option is </w:t>
      </w:r>
      <w:r w:rsidR="00C75D0B" w:rsidRPr="00C75D0B">
        <w:rPr>
          <w:rStyle w:val="NICECICChar"/>
          <w:rFonts w:eastAsiaTheme="minorHAnsi"/>
          <w:highlight w:val="black"/>
        </w:rPr>
        <w:t>XXXX</w:t>
      </w:r>
      <w:r w:rsidR="003F489E" w:rsidRPr="00F710CB">
        <w:t xml:space="preserve"> and at a WTP threshold of £50,000/QALY gained the probability that T-DXd is a cost-effective treatment option is</w:t>
      </w:r>
      <w:r w:rsidR="00E104E2">
        <w:t xml:space="preserve"> </w:t>
      </w:r>
      <w:r w:rsidR="00F77ABC" w:rsidRPr="00F77ABC">
        <w:rPr>
          <w:color w:val="000000"/>
          <w:highlight w:val="black"/>
        </w:rPr>
        <w:t>xxxx</w:t>
      </w:r>
      <w:r w:rsidR="009F0034">
        <w:rPr>
          <w:color w:val="000000"/>
          <w:highlight w:val="black"/>
        </w:rPr>
        <w:t>X</w:t>
      </w:r>
      <w:r w:rsidR="00F77ABC" w:rsidRPr="00F77ABC">
        <w:rPr>
          <w:color w:val="000000"/>
          <w:highlight w:val="black"/>
        </w:rPr>
        <w:t>x</w:t>
      </w:r>
      <w:r w:rsidRPr="005929B0">
        <w:t>.</w:t>
      </w:r>
    </w:p>
    <w:p w14:paraId="3FAA4BCD" w14:textId="3073DD11" w:rsidR="00CC6733" w:rsidRPr="00926417" w:rsidRDefault="00CC6733" w:rsidP="00CC6733">
      <w:pPr>
        <w:pStyle w:val="Caption"/>
      </w:pPr>
      <w:bookmarkStart w:id="827" w:name="_Ref96104751"/>
      <w:bookmarkStart w:id="828" w:name="_Toc98924731"/>
      <w:bookmarkStart w:id="829" w:name="_Toc127006659"/>
      <w:bookmarkStart w:id="830" w:name="_Toc129350973"/>
      <w:r>
        <w:lastRenderedPageBreak/>
        <w:t xml:space="preserve">Figure </w:t>
      </w:r>
      <w:r>
        <w:fldChar w:fldCharType="begin"/>
      </w:r>
      <w:r>
        <w:instrText>SEQ Figure \* ARABIC</w:instrText>
      </w:r>
      <w:r>
        <w:fldChar w:fldCharType="separate"/>
      </w:r>
      <w:r w:rsidR="00145F42">
        <w:rPr>
          <w:noProof/>
        </w:rPr>
        <w:t>47</w:t>
      </w:r>
      <w:r>
        <w:fldChar w:fldCharType="end"/>
      </w:r>
      <w:bookmarkEnd w:id="827"/>
      <w:r>
        <w:t>: Cost-effective acceptability curve</w:t>
      </w:r>
      <w:bookmarkEnd w:id="828"/>
      <w:r>
        <w:t xml:space="preserve"> – T-DXd</w:t>
      </w:r>
      <w:r w:rsidR="00250EF4">
        <w:t xml:space="preserve"> (</w:t>
      </w:r>
      <w:r w:rsidR="00250EF4" w:rsidRPr="00070766">
        <w:t>at the PAS price</w:t>
      </w:r>
      <w:r w:rsidR="00250EF4">
        <w:t>)</w:t>
      </w:r>
      <w:r>
        <w:t xml:space="preserve"> vs. TPC</w:t>
      </w:r>
      <w:bookmarkEnd w:id="829"/>
      <w:r w:rsidR="00BB29DC">
        <w:t xml:space="preserve"> (no severity modifier)</w:t>
      </w:r>
      <w:r w:rsidR="006A3579">
        <w:t>*</w:t>
      </w:r>
      <w:bookmarkEnd w:id="830"/>
      <w:r>
        <w:t xml:space="preserve"> </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016"/>
      </w:tblGrid>
      <w:tr w:rsidR="00CC6733" w14:paraId="19C9FCF9" w14:textId="77777777" w:rsidTr="00C75D0B">
        <w:tc>
          <w:tcPr>
            <w:tcW w:w="8936" w:type="dxa"/>
          </w:tcPr>
          <w:p w14:paraId="032ABE0F" w14:textId="3B6AAE17" w:rsidR="00CC6733" w:rsidRDefault="005E71E6">
            <w:r w:rsidRPr="005E71E6">
              <w:rPr>
                <w:noProof/>
              </w:rPr>
              <w:drawing>
                <wp:inline distT="0" distB="0" distL="0" distR="0" wp14:anchorId="73969384" wp14:editId="5ED08E6F">
                  <wp:extent cx="5731510" cy="2553836"/>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44">
                            <a:extLst>
                              <a:ext uri="{28A0092B-C50C-407E-A947-70E740481C1C}">
                                <a14:useLocalDpi xmlns:a14="http://schemas.microsoft.com/office/drawing/2010/main" val="0"/>
                              </a:ext>
                            </a:extLst>
                          </a:blip>
                          <a:stretch>
                            <a:fillRect/>
                          </a:stretch>
                        </pic:blipFill>
                        <pic:spPr>
                          <a:xfrm>
                            <a:off x="0" y="0"/>
                            <a:ext cx="5731510" cy="2553836"/>
                          </a:xfrm>
                          <a:prstGeom prst="rect">
                            <a:avLst/>
                          </a:prstGeom>
                        </pic:spPr>
                      </pic:pic>
                    </a:graphicData>
                  </a:graphic>
                </wp:inline>
              </w:drawing>
            </w:r>
          </w:p>
        </w:tc>
      </w:tr>
    </w:tbl>
    <w:p w14:paraId="42DD19FC" w14:textId="77777777" w:rsidR="006A3579" w:rsidRDefault="006A3579" w:rsidP="006A3579">
      <w:pPr>
        <w:pStyle w:val="Footnotes"/>
        <w:spacing w:after="0"/>
      </w:pPr>
      <w:r>
        <w:t>*20% variation applied in the PSA, in the absence of SE or CIs.</w:t>
      </w:r>
    </w:p>
    <w:p w14:paraId="74FAA6C9" w14:textId="33D691BA" w:rsidR="00CC6733" w:rsidRPr="00926417" w:rsidRDefault="00CC6733" w:rsidP="00CC6733">
      <w:pPr>
        <w:pStyle w:val="Footnotes"/>
      </w:pPr>
      <w:r>
        <w:t xml:space="preserve">Abbreviations: PAS, </w:t>
      </w:r>
      <w:r w:rsidRPr="00131A36">
        <w:t>patient-access scheme</w:t>
      </w:r>
      <w:r>
        <w:t xml:space="preserve">; QALY, quality-adjusted life years; </w:t>
      </w:r>
      <w:r w:rsidRPr="00C67C0A">
        <w:t>T-DXd, trastuzumab deruxtecan</w:t>
      </w:r>
      <w:r>
        <w:t xml:space="preserve">; TPC, treatment of physician’s choice. </w:t>
      </w:r>
    </w:p>
    <w:p w14:paraId="4EDD650E" w14:textId="77777777" w:rsidR="00CC6733" w:rsidRDefault="00CC6733" w:rsidP="00823C2B">
      <w:pPr>
        <w:pStyle w:val="Heading3"/>
      </w:pPr>
      <w:bookmarkStart w:id="831" w:name="_Toc98924689"/>
      <w:bookmarkStart w:id="832" w:name="_Toc127006628"/>
      <w:bookmarkStart w:id="833" w:name="_Toc129350916"/>
      <w:r>
        <w:t>Deterministic sensitivity analysis</w:t>
      </w:r>
      <w:bookmarkEnd w:id="831"/>
      <w:bookmarkEnd w:id="832"/>
      <w:bookmarkEnd w:id="833"/>
    </w:p>
    <w:p w14:paraId="1E7AA3A1" w14:textId="1F167224" w:rsidR="00CC6733" w:rsidRDefault="00CC6733" w:rsidP="00CC6733">
      <w:pPr>
        <w:pStyle w:val="Body"/>
        <w:rPr>
          <w:lang w:val="en-US"/>
        </w:rPr>
      </w:pPr>
      <w:r>
        <w:rPr>
          <w:lang w:val="en-US"/>
        </w:rPr>
        <w:t xml:space="preserve">One-way sensitivity analysis (OWSA) was conducted to test the impact of individual parameters when their values are set to the lower and upper limits of the confidence intervals (presented in </w:t>
      </w:r>
      <w:r w:rsidRPr="003C648C">
        <w:rPr>
          <w:b/>
          <w:bCs/>
          <w:lang w:val="en-US"/>
        </w:rPr>
        <w:fldChar w:fldCharType="begin"/>
      </w:r>
      <w:r w:rsidRPr="003C648C">
        <w:rPr>
          <w:b/>
          <w:bCs/>
          <w:lang w:val="en-US"/>
        </w:rPr>
        <w:instrText xml:space="preserve"> REF _Ref101422448 \h </w:instrText>
      </w:r>
      <w:r w:rsidR="0059606E">
        <w:rPr>
          <w:b/>
          <w:bCs/>
          <w:lang w:val="en-US"/>
        </w:rPr>
        <w:instrText xml:space="preserve"> \* MERGEFORMAT </w:instrText>
      </w:r>
      <w:r w:rsidRPr="003C648C">
        <w:rPr>
          <w:b/>
          <w:bCs/>
          <w:lang w:val="en-US"/>
        </w:rPr>
      </w:r>
      <w:r w:rsidRPr="003C648C">
        <w:rPr>
          <w:b/>
          <w:bCs/>
          <w:lang w:val="en-US"/>
        </w:rPr>
        <w:fldChar w:fldCharType="separate"/>
      </w:r>
      <w:r w:rsidR="00145F42" w:rsidRPr="00145F42">
        <w:rPr>
          <w:b/>
          <w:bCs/>
        </w:rPr>
        <w:t xml:space="preserve">Table </w:t>
      </w:r>
      <w:r w:rsidR="00145F42" w:rsidRPr="00145F42">
        <w:rPr>
          <w:b/>
          <w:bCs/>
          <w:noProof/>
        </w:rPr>
        <w:t>66</w:t>
      </w:r>
      <w:r w:rsidRPr="003C648C">
        <w:rPr>
          <w:b/>
          <w:bCs/>
          <w:lang w:val="en-US"/>
        </w:rPr>
        <w:fldChar w:fldCharType="end"/>
      </w:r>
      <w:r>
        <w:rPr>
          <w:lang w:val="en-US"/>
        </w:rPr>
        <w:t xml:space="preserve">) while all other parameters are maintained at the base case setting. </w:t>
      </w:r>
      <w:r w:rsidRPr="003C648C">
        <w:rPr>
          <w:b/>
          <w:bCs/>
          <w:lang w:val="en-US"/>
        </w:rPr>
        <w:fldChar w:fldCharType="begin"/>
      </w:r>
      <w:r w:rsidRPr="003C648C">
        <w:rPr>
          <w:b/>
          <w:bCs/>
          <w:lang w:val="en-US"/>
        </w:rPr>
        <w:instrText xml:space="preserve"> REF _Ref97123640 \h </w:instrText>
      </w:r>
      <w:r w:rsidR="0059606E">
        <w:rPr>
          <w:b/>
          <w:bCs/>
          <w:lang w:val="en-US"/>
        </w:rPr>
        <w:instrText xml:space="preserve"> \* MERGEFORMAT </w:instrText>
      </w:r>
      <w:r w:rsidRPr="003C648C">
        <w:rPr>
          <w:b/>
          <w:bCs/>
          <w:lang w:val="en-US"/>
        </w:rPr>
      </w:r>
      <w:r w:rsidRPr="003C648C">
        <w:rPr>
          <w:b/>
          <w:bCs/>
          <w:lang w:val="en-US"/>
        </w:rPr>
        <w:fldChar w:fldCharType="separate"/>
      </w:r>
      <w:r w:rsidR="00145F42" w:rsidRPr="00145F42">
        <w:rPr>
          <w:b/>
          <w:bCs/>
        </w:rPr>
        <w:t xml:space="preserve">Table </w:t>
      </w:r>
      <w:r w:rsidR="00145F42" w:rsidRPr="00145F42">
        <w:rPr>
          <w:b/>
          <w:bCs/>
          <w:noProof/>
        </w:rPr>
        <w:t>71</w:t>
      </w:r>
      <w:r w:rsidRPr="003C648C">
        <w:rPr>
          <w:b/>
          <w:bCs/>
          <w:lang w:val="en-US"/>
        </w:rPr>
        <w:fldChar w:fldCharType="end"/>
      </w:r>
      <w:r>
        <w:rPr>
          <w:lang w:val="en-US"/>
        </w:rPr>
        <w:t xml:space="preserve"> and </w:t>
      </w:r>
      <w:r w:rsidRPr="003C648C">
        <w:rPr>
          <w:b/>
          <w:bCs/>
          <w:lang w:val="en-US"/>
        </w:rPr>
        <w:fldChar w:fldCharType="begin"/>
      </w:r>
      <w:r w:rsidRPr="003C648C">
        <w:rPr>
          <w:b/>
          <w:bCs/>
          <w:lang w:val="en-US"/>
        </w:rPr>
        <w:instrText xml:space="preserve"> REF _Ref96104761 \h </w:instrText>
      </w:r>
      <w:r w:rsidR="0059606E">
        <w:rPr>
          <w:b/>
          <w:bCs/>
          <w:lang w:val="en-US"/>
        </w:rPr>
        <w:instrText xml:space="preserve"> \* MERGEFORMAT </w:instrText>
      </w:r>
      <w:r w:rsidRPr="003C648C">
        <w:rPr>
          <w:b/>
          <w:bCs/>
          <w:lang w:val="en-US"/>
        </w:rPr>
      </w:r>
      <w:r w:rsidRPr="003C648C">
        <w:rPr>
          <w:b/>
          <w:bCs/>
          <w:lang w:val="en-US"/>
        </w:rPr>
        <w:fldChar w:fldCharType="separate"/>
      </w:r>
      <w:r w:rsidR="00145F42" w:rsidRPr="00145F42">
        <w:rPr>
          <w:b/>
          <w:bCs/>
        </w:rPr>
        <w:t xml:space="preserve">Figure </w:t>
      </w:r>
      <w:r w:rsidR="00145F42" w:rsidRPr="00145F42">
        <w:rPr>
          <w:b/>
          <w:bCs/>
          <w:noProof/>
        </w:rPr>
        <w:t>48</w:t>
      </w:r>
      <w:r w:rsidRPr="003C648C">
        <w:rPr>
          <w:b/>
          <w:bCs/>
          <w:lang w:val="en-US"/>
        </w:rPr>
        <w:fldChar w:fldCharType="end"/>
      </w:r>
      <w:r w:rsidRPr="003C648C">
        <w:rPr>
          <w:b/>
          <w:lang w:val="en-US"/>
        </w:rPr>
        <w:t xml:space="preserve"> </w:t>
      </w:r>
      <w:r>
        <w:rPr>
          <w:lang w:val="en-US"/>
        </w:rPr>
        <w:t>present the ICERs and the tornado plot showing the 10 parameters which had the largest impact on the ICER.</w:t>
      </w:r>
    </w:p>
    <w:p w14:paraId="61E40D49" w14:textId="066E212C" w:rsidR="00CC6733" w:rsidRDefault="0042329B" w:rsidP="00CC6733">
      <w:pPr>
        <w:pStyle w:val="Body"/>
        <w:rPr>
          <w:lang w:val="en-US"/>
        </w:rPr>
      </w:pPr>
      <w:r w:rsidRPr="0042329B">
        <w:rPr>
          <w:lang w:val="en-US"/>
        </w:rPr>
        <w:t xml:space="preserve">Variation of the </w:t>
      </w:r>
      <w:r w:rsidR="00CB1B96">
        <w:rPr>
          <w:lang w:val="en-US"/>
        </w:rPr>
        <w:t>average weight of patients had the largest impact on the ICER followed by the RDI of T-DXd</w:t>
      </w:r>
      <w:r w:rsidR="00CC6733">
        <w:rPr>
          <w:lang w:val="en-US"/>
        </w:rPr>
        <w:t xml:space="preserve">. Other parameters had a </w:t>
      </w:r>
      <w:r w:rsidR="00E80421">
        <w:rPr>
          <w:lang w:val="en-US"/>
        </w:rPr>
        <w:t xml:space="preserve">lower </w:t>
      </w:r>
      <w:r w:rsidR="00CC6733">
        <w:rPr>
          <w:lang w:val="en-US"/>
        </w:rPr>
        <w:t xml:space="preserve">impact on the ICER when varied between their upper and lower bounds. </w:t>
      </w:r>
    </w:p>
    <w:p w14:paraId="04DE9366" w14:textId="0C7A5E71" w:rsidR="00CC6733" w:rsidRDefault="00CC6733" w:rsidP="00CC6733">
      <w:pPr>
        <w:pStyle w:val="Caption"/>
      </w:pPr>
      <w:bookmarkStart w:id="834" w:name="_Ref97123640"/>
      <w:bookmarkStart w:id="835" w:name="_Toc98924779"/>
      <w:bookmarkStart w:id="836" w:name="_Toc127006701"/>
      <w:bookmarkStart w:id="837" w:name="_Toc129351046"/>
      <w:r>
        <w:t xml:space="preserve">Table </w:t>
      </w:r>
      <w:r>
        <w:fldChar w:fldCharType="begin"/>
      </w:r>
      <w:r>
        <w:instrText>SEQ Table \* ARABIC</w:instrText>
      </w:r>
      <w:r>
        <w:fldChar w:fldCharType="separate"/>
      </w:r>
      <w:r w:rsidR="00145F42">
        <w:rPr>
          <w:noProof/>
        </w:rPr>
        <w:t>71</w:t>
      </w:r>
      <w:r>
        <w:fldChar w:fldCharType="end"/>
      </w:r>
      <w:bookmarkEnd w:id="834"/>
      <w:r>
        <w:t>: OWSA results</w:t>
      </w:r>
      <w:bookmarkEnd w:id="835"/>
      <w:r>
        <w:t xml:space="preserve"> (</w:t>
      </w:r>
      <w:r w:rsidR="001E1F73" w:rsidRPr="001E1F73">
        <w:t xml:space="preserve">T-DXd </w:t>
      </w:r>
      <w:r w:rsidR="007B4216">
        <w:t>[</w:t>
      </w:r>
      <w:r w:rsidR="001E1F73" w:rsidRPr="001E1F73">
        <w:t>at the PAS price</w:t>
      </w:r>
      <w:r w:rsidR="007B4216">
        <w:t>]</w:t>
      </w:r>
      <w:r w:rsidR="001E1F73" w:rsidRPr="001E1F73">
        <w:t xml:space="preserve"> vs. TPC</w:t>
      </w:r>
      <w:r w:rsidR="00123CFE">
        <w:t>, no severity modifier applied</w:t>
      </w:r>
      <w:r>
        <w:t>)</w:t>
      </w:r>
      <w:bookmarkEnd w:id="836"/>
      <w:r w:rsidR="00E97494">
        <w:t>*</w:t>
      </w:r>
      <w:bookmarkEnd w:id="837"/>
    </w:p>
    <w:tbl>
      <w:tblPr>
        <w:tblStyle w:val="TableGrid"/>
        <w:tblW w:w="5000" w:type="pct"/>
        <w:tblLayout w:type="fixed"/>
        <w:tblLook w:val="04A0" w:firstRow="1" w:lastRow="0" w:firstColumn="1" w:lastColumn="0" w:noHBand="0" w:noVBand="1"/>
      </w:tblPr>
      <w:tblGrid>
        <w:gridCol w:w="5382"/>
        <w:gridCol w:w="1818"/>
        <w:gridCol w:w="1816"/>
      </w:tblGrid>
      <w:tr w:rsidR="00CC6733" w14:paraId="64CB99EC" w14:textId="77777777" w:rsidTr="00F710CB">
        <w:tc>
          <w:tcPr>
            <w:tcW w:w="2985" w:type="pct"/>
            <w:shd w:val="clear" w:color="auto" w:fill="D9D9D9" w:themeFill="background1" w:themeFillShade="D9"/>
          </w:tcPr>
          <w:p w14:paraId="69C9566A" w14:textId="77777777" w:rsidR="00CC6733" w:rsidRDefault="00CC6733">
            <w:pPr>
              <w:pStyle w:val="NICETableHeader"/>
            </w:pPr>
            <w:r>
              <w:t>Parameter</w:t>
            </w:r>
          </w:p>
        </w:tc>
        <w:tc>
          <w:tcPr>
            <w:tcW w:w="1008" w:type="pct"/>
            <w:shd w:val="clear" w:color="auto" w:fill="D9D9D9" w:themeFill="background1" w:themeFillShade="D9"/>
          </w:tcPr>
          <w:p w14:paraId="6C0520B5" w14:textId="286B8914" w:rsidR="00CC6733" w:rsidRDefault="00CC6733" w:rsidP="00F710CB">
            <w:pPr>
              <w:pStyle w:val="NICETableHeader"/>
              <w:jc w:val="center"/>
            </w:pPr>
            <w:r>
              <w:t>ICER at lower bound</w:t>
            </w:r>
          </w:p>
        </w:tc>
        <w:tc>
          <w:tcPr>
            <w:tcW w:w="1008" w:type="pct"/>
            <w:shd w:val="clear" w:color="auto" w:fill="D9D9D9" w:themeFill="background1" w:themeFillShade="D9"/>
          </w:tcPr>
          <w:p w14:paraId="1BC4B7CB" w14:textId="33D3489B" w:rsidR="00CC6733" w:rsidRDefault="00CC6733" w:rsidP="00F710CB">
            <w:pPr>
              <w:pStyle w:val="NICETableHeader"/>
              <w:jc w:val="center"/>
            </w:pPr>
            <w:r>
              <w:t>ICER at upper bound</w:t>
            </w:r>
          </w:p>
        </w:tc>
      </w:tr>
      <w:tr w:rsidR="00CE5ABB" w14:paraId="76B9A8A0" w14:textId="77777777" w:rsidTr="00F710CB">
        <w:tc>
          <w:tcPr>
            <w:tcW w:w="2985" w:type="pct"/>
          </w:tcPr>
          <w:p w14:paraId="71DCCEE5" w14:textId="0433082D" w:rsidR="00CE5ABB" w:rsidRPr="003C648C" w:rsidRDefault="00CE5ABB" w:rsidP="00CE5ABB">
            <w:pPr>
              <w:pStyle w:val="NICETabletext"/>
              <w:rPr>
                <w:rFonts w:cs="Arial"/>
                <w:szCs w:val="20"/>
                <w:lang w:val="da-DK"/>
              </w:rPr>
            </w:pPr>
            <w:r w:rsidRPr="00491774">
              <w:t>Average weight (kg)</w:t>
            </w:r>
          </w:p>
        </w:tc>
        <w:tc>
          <w:tcPr>
            <w:tcW w:w="1008" w:type="pct"/>
            <w:vAlign w:val="center"/>
          </w:tcPr>
          <w:p w14:paraId="3EFA1111" w14:textId="066BE083" w:rsidR="00CE5ABB" w:rsidRPr="00F77ABC" w:rsidRDefault="00F77ABC" w:rsidP="00CE5ABB">
            <w:pPr>
              <w:pStyle w:val="NICETabletext"/>
              <w:jc w:val="center"/>
              <w:rPr>
                <w:rFonts w:cs="Arial"/>
                <w:color w:val="000000"/>
                <w:szCs w:val="20"/>
                <w:highlight w:val="black"/>
              </w:rPr>
            </w:pPr>
            <w:r w:rsidRPr="00F77ABC">
              <w:rPr>
                <w:rFonts w:cs="Arial"/>
                <w:color w:val="000000"/>
                <w:szCs w:val="20"/>
                <w:highlight w:val="black"/>
              </w:rPr>
              <w:t>xxxxxxx</w:t>
            </w:r>
          </w:p>
        </w:tc>
        <w:tc>
          <w:tcPr>
            <w:tcW w:w="1008" w:type="pct"/>
            <w:vAlign w:val="center"/>
          </w:tcPr>
          <w:p w14:paraId="1A6D85FB" w14:textId="11AA3CE9" w:rsidR="00CE5ABB" w:rsidRPr="00F77ABC" w:rsidRDefault="00F77ABC" w:rsidP="00CE5ABB">
            <w:pPr>
              <w:pStyle w:val="NICETabletext"/>
              <w:jc w:val="center"/>
              <w:rPr>
                <w:rFonts w:cs="Arial"/>
                <w:color w:val="000000"/>
                <w:szCs w:val="20"/>
                <w:highlight w:val="black"/>
              </w:rPr>
            </w:pPr>
            <w:r w:rsidRPr="00F77ABC">
              <w:rPr>
                <w:rFonts w:cs="Arial"/>
                <w:color w:val="000000"/>
                <w:szCs w:val="20"/>
                <w:highlight w:val="black"/>
              </w:rPr>
              <w:t>xxxxxxx</w:t>
            </w:r>
          </w:p>
        </w:tc>
      </w:tr>
      <w:tr w:rsidR="00CE5ABB" w14:paraId="7640EFE0" w14:textId="77777777" w:rsidTr="00F710CB">
        <w:tc>
          <w:tcPr>
            <w:tcW w:w="2985" w:type="pct"/>
          </w:tcPr>
          <w:p w14:paraId="4B86F60A" w14:textId="4AF9D3E7" w:rsidR="00CE5ABB" w:rsidRPr="00073539" w:rsidRDefault="00CE5ABB" w:rsidP="00CE5ABB">
            <w:pPr>
              <w:pStyle w:val="NICETabletext"/>
              <w:rPr>
                <w:rFonts w:cs="Arial"/>
                <w:szCs w:val="20"/>
              </w:rPr>
            </w:pPr>
            <w:r w:rsidRPr="00491774">
              <w:t>Relative dose intensity -Trastuzumab deruxtecan - 100</w:t>
            </w:r>
          </w:p>
        </w:tc>
        <w:tc>
          <w:tcPr>
            <w:tcW w:w="1008" w:type="pct"/>
            <w:vAlign w:val="center"/>
          </w:tcPr>
          <w:p w14:paraId="1399B77A" w14:textId="5FF49FD8" w:rsidR="00CE5ABB" w:rsidRPr="00F77ABC" w:rsidRDefault="00F77ABC" w:rsidP="00CE5ABB">
            <w:pPr>
              <w:pStyle w:val="NICETabletext"/>
              <w:jc w:val="center"/>
              <w:rPr>
                <w:rFonts w:cs="Arial"/>
                <w:color w:val="000000"/>
                <w:szCs w:val="20"/>
                <w:highlight w:val="black"/>
              </w:rPr>
            </w:pPr>
            <w:r w:rsidRPr="00F77ABC">
              <w:rPr>
                <w:rFonts w:cs="Arial"/>
                <w:color w:val="000000"/>
                <w:szCs w:val="20"/>
                <w:highlight w:val="black"/>
              </w:rPr>
              <w:t>xxxxxxx</w:t>
            </w:r>
          </w:p>
        </w:tc>
        <w:tc>
          <w:tcPr>
            <w:tcW w:w="1008" w:type="pct"/>
            <w:vAlign w:val="center"/>
          </w:tcPr>
          <w:p w14:paraId="0B206EA2" w14:textId="43244D8B" w:rsidR="00CE5ABB" w:rsidRPr="00F77ABC" w:rsidRDefault="00F77ABC" w:rsidP="00CE5ABB">
            <w:pPr>
              <w:pStyle w:val="NICETabletext"/>
              <w:jc w:val="center"/>
              <w:rPr>
                <w:rFonts w:cs="Arial"/>
                <w:color w:val="000000"/>
                <w:szCs w:val="20"/>
                <w:highlight w:val="black"/>
              </w:rPr>
            </w:pPr>
            <w:r w:rsidRPr="00F77ABC">
              <w:rPr>
                <w:rFonts w:cs="Arial"/>
                <w:color w:val="000000"/>
                <w:szCs w:val="20"/>
                <w:highlight w:val="black"/>
              </w:rPr>
              <w:t>xxxxxxx</w:t>
            </w:r>
          </w:p>
        </w:tc>
      </w:tr>
      <w:tr w:rsidR="00CE5ABB" w14:paraId="38C54336" w14:textId="77777777" w:rsidTr="00F710CB">
        <w:tc>
          <w:tcPr>
            <w:tcW w:w="2985" w:type="pct"/>
          </w:tcPr>
          <w:p w14:paraId="343F58F7" w14:textId="3A3D93CE" w:rsidR="00CE5ABB" w:rsidRPr="00073539" w:rsidRDefault="00CE5ABB" w:rsidP="00CE5ABB">
            <w:pPr>
              <w:pStyle w:val="NICETabletext"/>
              <w:rPr>
                <w:rFonts w:cs="Arial"/>
                <w:szCs w:val="20"/>
              </w:rPr>
            </w:pPr>
            <w:r w:rsidRPr="00491774">
              <w:t>Utilities - Progressed - Physician's choice</w:t>
            </w:r>
          </w:p>
        </w:tc>
        <w:tc>
          <w:tcPr>
            <w:tcW w:w="1008" w:type="pct"/>
            <w:vAlign w:val="center"/>
          </w:tcPr>
          <w:p w14:paraId="7D44C77B" w14:textId="6C80AB8D" w:rsidR="00CE5ABB" w:rsidRPr="00F77ABC" w:rsidRDefault="00F77ABC" w:rsidP="00CE5ABB">
            <w:pPr>
              <w:pStyle w:val="NICETabletext"/>
              <w:jc w:val="center"/>
              <w:rPr>
                <w:rFonts w:cs="Arial"/>
                <w:color w:val="000000"/>
                <w:szCs w:val="20"/>
                <w:highlight w:val="black"/>
              </w:rPr>
            </w:pPr>
            <w:r w:rsidRPr="00F77ABC">
              <w:rPr>
                <w:rFonts w:cs="Arial"/>
                <w:color w:val="000000"/>
                <w:szCs w:val="20"/>
                <w:highlight w:val="black"/>
              </w:rPr>
              <w:t>xxxxxxx</w:t>
            </w:r>
          </w:p>
        </w:tc>
        <w:tc>
          <w:tcPr>
            <w:tcW w:w="1008" w:type="pct"/>
            <w:vAlign w:val="center"/>
          </w:tcPr>
          <w:p w14:paraId="52A5AC06" w14:textId="49B47E1B" w:rsidR="00CE5ABB" w:rsidRPr="00F77ABC" w:rsidRDefault="00F77ABC" w:rsidP="00CE5ABB">
            <w:pPr>
              <w:pStyle w:val="NICETabletext"/>
              <w:jc w:val="center"/>
              <w:rPr>
                <w:rFonts w:cs="Arial"/>
                <w:color w:val="000000"/>
                <w:szCs w:val="20"/>
                <w:highlight w:val="black"/>
              </w:rPr>
            </w:pPr>
            <w:r w:rsidRPr="00F77ABC">
              <w:rPr>
                <w:rFonts w:cs="Arial"/>
                <w:color w:val="000000"/>
                <w:szCs w:val="20"/>
                <w:highlight w:val="black"/>
              </w:rPr>
              <w:t>xxxxxxx</w:t>
            </w:r>
          </w:p>
        </w:tc>
      </w:tr>
      <w:tr w:rsidR="00CE5ABB" w14:paraId="4BF12C35" w14:textId="77777777" w:rsidTr="00F710CB">
        <w:tc>
          <w:tcPr>
            <w:tcW w:w="2985" w:type="pct"/>
          </w:tcPr>
          <w:p w14:paraId="02B05114" w14:textId="613B5FEA" w:rsidR="00CE5ABB" w:rsidRPr="00073539" w:rsidRDefault="00CE5ABB" w:rsidP="00CE5ABB">
            <w:pPr>
              <w:pStyle w:val="NICETabletext"/>
              <w:rPr>
                <w:rFonts w:cs="Arial"/>
                <w:szCs w:val="20"/>
              </w:rPr>
            </w:pPr>
            <w:r w:rsidRPr="00491774">
              <w:t>Utilities - Progressed - Trastuzumab deruxtecan</w:t>
            </w:r>
          </w:p>
        </w:tc>
        <w:tc>
          <w:tcPr>
            <w:tcW w:w="1008" w:type="pct"/>
            <w:vAlign w:val="center"/>
          </w:tcPr>
          <w:p w14:paraId="4123134E" w14:textId="1473EBF0" w:rsidR="00CE5ABB" w:rsidRPr="00F77ABC" w:rsidRDefault="00F77ABC" w:rsidP="00CE5ABB">
            <w:pPr>
              <w:pStyle w:val="NICETabletext"/>
              <w:jc w:val="center"/>
              <w:rPr>
                <w:rFonts w:cs="Arial"/>
                <w:color w:val="000000"/>
                <w:szCs w:val="20"/>
                <w:highlight w:val="black"/>
              </w:rPr>
            </w:pPr>
            <w:r w:rsidRPr="00F77ABC">
              <w:rPr>
                <w:rFonts w:cs="Arial"/>
                <w:color w:val="000000"/>
                <w:szCs w:val="20"/>
                <w:highlight w:val="black"/>
              </w:rPr>
              <w:t>xxxxxxx</w:t>
            </w:r>
          </w:p>
        </w:tc>
        <w:tc>
          <w:tcPr>
            <w:tcW w:w="1008" w:type="pct"/>
            <w:vAlign w:val="center"/>
          </w:tcPr>
          <w:p w14:paraId="79A8632A" w14:textId="2C6A7DC0" w:rsidR="00CE5ABB" w:rsidRPr="00F77ABC" w:rsidRDefault="00F77ABC" w:rsidP="00CE5ABB">
            <w:pPr>
              <w:pStyle w:val="NICETabletext"/>
              <w:jc w:val="center"/>
              <w:rPr>
                <w:rFonts w:cs="Arial"/>
                <w:color w:val="000000"/>
                <w:szCs w:val="20"/>
                <w:highlight w:val="black"/>
              </w:rPr>
            </w:pPr>
            <w:r w:rsidRPr="00F77ABC">
              <w:rPr>
                <w:rFonts w:cs="Arial"/>
                <w:color w:val="000000"/>
                <w:szCs w:val="20"/>
                <w:highlight w:val="black"/>
              </w:rPr>
              <w:t>xxxxxxx</w:t>
            </w:r>
          </w:p>
        </w:tc>
      </w:tr>
      <w:tr w:rsidR="00CE5ABB" w14:paraId="21CD8E97" w14:textId="77777777" w:rsidTr="00F710CB">
        <w:tc>
          <w:tcPr>
            <w:tcW w:w="2985" w:type="pct"/>
          </w:tcPr>
          <w:p w14:paraId="7E39C118" w14:textId="738316C2" w:rsidR="00CE5ABB" w:rsidRPr="00073539" w:rsidRDefault="00CE5ABB" w:rsidP="00CE5ABB">
            <w:pPr>
              <w:pStyle w:val="NICETabletext"/>
              <w:rPr>
                <w:rFonts w:cs="Arial"/>
                <w:szCs w:val="20"/>
              </w:rPr>
            </w:pPr>
            <w:r w:rsidRPr="00491774">
              <w:t>Utilities - Progression-free - Trastuzumab deruxtecan</w:t>
            </w:r>
          </w:p>
        </w:tc>
        <w:tc>
          <w:tcPr>
            <w:tcW w:w="1008" w:type="pct"/>
            <w:vAlign w:val="center"/>
          </w:tcPr>
          <w:p w14:paraId="08B1BFBE" w14:textId="680EF709" w:rsidR="00CE5ABB" w:rsidRPr="00F77ABC" w:rsidRDefault="00F77ABC" w:rsidP="00CE5ABB">
            <w:pPr>
              <w:pStyle w:val="NICETabletext"/>
              <w:jc w:val="center"/>
              <w:rPr>
                <w:rFonts w:cs="Arial"/>
                <w:color w:val="000000"/>
                <w:szCs w:val="20"/>
                <w:highlight w:val="black"/>
              </w:rPr>
            </w:pPr>
            <w:r w:rsidRPr="00F77ABC">
              <w:rPr>
                <w:rFonts w:cs="Arial"/>
                <w:color w:val="000000"/>
                <w:szCs w:val="20"/>
                <w:highlight w:val="black"/>
              </w:rPr>
              <w:t>xxxxxxx</w:t>
            </w:r>
          </w:p>
        </w:tc>
        <w:tc>
          <w:tcPr>
            <w:tcW w:w="1008" w:type="pct"/>
            <w:vAlign w:val="center"/>
          </w:tcPr>
          <w:p w14:paraId="26157F9E" w14:textId="1467D407" w:rsidR="00CE5ABB" w:rsidRPr="00F77ABC" w:rsidRDefault="00F77ABC" w:rsidP="00CE5ABB">
            <w:pPr>
              <w:pStyle w:val="NICETabletext"/>
              <w:jc w:val="center"/>
              <w:rPr>
                <w:rFonts w:cs="Arial"/>
                <w:color w:val="000000"/>
                <w:szCs w:val="20"/>
                <w:highlight w:val="black"/>
              </w:rPr>
            </w:pPr>
            <w:r w:rsidRPr="00F77ABC">
              <w:rPr>
                <w:rFonts w:cs="Arial"/>
                <w:color w:val="000000"/>
                <w:szCs w:val="20"/>
                <w:highlight w:val="black"/>
              </w:rPr>
              <w:t>xxxxxxx</w:t>
            </w:r>
          </w:p>
        </w:tc>
      </w:tr>
      <w:tr w:rsidR="00CE5ABB" w14:paraId="0904666B" w14:textId="77777777" w:rsidTr="00F710CB">
        <w:tc>
          <w:tcPr>
            <w:tcW w:w="2985" w:type="pct"/>
          </w:tcPr>
          <w:p w14:paraId="65E4078D" w14:textId="0B864B3F" w:rsidR="00CE5ABB" w:rsidRPr="00073539" w:rsidRDefault="00CE5ABB" w:rsidP="00CE5ABB">
            <w:pPr>
              <w:pStyle w:val="NICETabletext"/>
              <w:rPr>
                <w:rFonts w:cs="Arial"/>
                <w:szCs w:val="20"/>
              </w:rPr>
            </w:pPr>
            <w:r w:rsidRPr="00491774">
              <w:t>Utilities - Progression-free - Physician's choice</w:t>
            </w:r>
          </w:p>
        </w:tc>
        <w:tc>
          <w:tcPr>
            <w:tcW w:w="1008" w:type="pct"/>
            <w:vAlign w:val="center"/>
          </w:tcPr>
          <w:p w14:paraId="78029E1C" w14:textId="5378DB45" w:rsidR="00CE5ABB" w:rsidRPr="00F77ABC" w:rsidRDefault="00F77ABC" w:rsidP="00CE5ABB">
            <w:pPr>
              <w:pStyle w:val="NICETabletext"/>
              <w:jc w:val="center"/>
              <w:rPr>
                <w:rFonts w:cs="Arial"/>
                <w:color w:val="000000"/>
                <w:szCs w:val="20"/>
                <w:highlight w:val="black"/>
              </w:rPr>
            </w:pPr>
            <w:r w:rsidRPr="00F77ABC">
              <w:rPr>
                <w:rFonts w:cs="Arial"/>
                <w:color w:val="000000"/>
                <w:szCs w:val="20"/>
                <w:highlight w:val="black"/>
              </w:rPr>
              <w:t>xxxxxxx</w:t>
            </w:r>
          </w:p>
        </w:tc>
        <w:tc>
          <w:tcPr>
            <w:tcW w:w="1008" w:type="pct"/>
            <w:vAlign w:val="center"/>
          </w:tcPr>
          <w:p w14:paraId="17789BF9" w14:textId="0F349797" w:rsidR="00CE5ABB" w:rsidRPr="00F77ABC" w:rsidRDefault="00F77ABC" w:rsidP="00CE5ABB">
            <w:pPr>
              <w:pStyle w:val="NICETabletext"/>
              <w:jc w:val="center"/>
              <w:rPr>
                <w:rFonts w:cs="Arial"/>
                <w:color w:val="000000"/>
                <w:szCs w:val="20"/>
                <w:highlight w:val="black"/>
              </w:rPr>
            </w:pPr>
            <w:r w:rsidRPr="00F77ABC">
              <w:rPr>
                <w:rFonts w:cs="Arial"/>
                <w:color w:val="000000"/>
                <w:szCs w:val="20"/>
                <w:highlight w:val="black"/>
              </w:rPr>
              <w:t>xxxxxxx</w:t>
            </w:r>
          </w:p>
        </w:tc>
      </w:tr>
      <w:tr w:rsidR="00CE5ABB" w14:paraId="32F4E8C2" w14:textId="77777777" w:rsidTr="00F710CB">
        <w:tc>
          <w:tcPr>
            <w:tcW w:w="2985" w:type="pct"/>
          </w:tcPr>
          <w:p w14:paraId="08D9CAE0" w14:textId="7B4BCEBD" w:rsidR="00CE5ABB" w:rsidRPr="00073539" w:rsidRDefault="00CE5ABB" w:rsidP="00CE5ABB">
            <w:pPr>
              <w:pStyle w:val="NICETabletext"/>
              <w:rPr>
                <w:rFonts w:cs="Arial"/>
                <w:szCs w:val="20"/>
              </w:rPr>
            </w:pPr>
            <w:r w:rsidRPr="00491774">
              <w:t>Average body surface (m</w:t>
            </w:r>
            <w:r w:rsidRPr="00F710CB">
              <w:rPr>
                <w:vertAlign w:val="superscript"/>
              </w:rPr>
              <w:t>2</w:t>
            </w:r>
            <w:r w:rsidRPr="00491774">
              <w:t>)</w:t>
            </w:r>
          </w:p>
        </w:tc>
        <w:tc>
          <w:tcPr>
            <w:tcW w:w="1008" w:type="pct"/>
            <w:vAlign w:val="center"/>
          </w:tcPr>
          <w:p w14:paraId="2648A91A" w14:textId="23BF0F72" w:rsidR="00CE5ABB" w:rsidRPr="00F77ABC" w:rsidRDefault="00F77ABC" w:rsidP="00CE5ABB">
            <w:pPr>
              <w:pStyle w:val="NICETabletext"/>
              <w:jc w:val="center"/>
              <w:rPr>
                <w:rFonts w:cs="Arial"/>
                <w:color w:val="000000"/>
                <w:szCs w:val="20"/>
                <w:highlight w:val="black"/>
              </w:rPr>
            </w:pPr>
            <w:r w:rsidRPr="00F77ABC">
              <w:rPr>
                <w:rFonts w:cs="Arial"/>
                <w:color w:val="000000"/>
                <w:szCs w:val="20"/>
                <w:highlight w:val="black"/>
              </w:rPr>
              <w:t>xxxxxxx</w:t>
            </w:r>
          </w:p>
        </w:tc>
        <w:tc>
          <w:tcPr>
            <w:tcW w:w="1008" w:type="pct"/>
            <w:vAlign w:val="center"/>
          </w:tcPr>
          <w:p w14:paraId="4C8C06FD" w14:textId="36412C64" w:rsidR="00CE5ABB" w:rsidRPr="00F77ABC" w:rsidRDefault="00F77ABC" w:rsidP="00CE5ABB">
            <w:pPr>
              <w:pStyle w:val="NICETabletext"/>
              <w:jc w:val="center"/>
              <w:rPr>
                <w:rFonts w:cs="Arial"/>
                <w:color w:val="000000"/>
                <w:szCs w:val="20"/>
                <w:highlight w:val="black"/>
              </w:rPr>
            </w:pPr>
            <w:r w:rsidRPr="00F77ABC">
              <w:rPr>
                <w:rFonts w:cs="Arial"/>
                <w:color w:val="000000"/>
                <w:szCs w:val="20"/>
                <w:highlight w:val="black"/>
              </w:rPr>
              <w:t>xxxxxxx</w:t>
            </w:r>
          </w:p>
        </w:tc>
      </w:tr>
      <w:tr w:rsidR="00CE5ABB" w14:paraId="442FD80A" w14:textId="77777777" w:rsidTr="00F710CB">
        <w:tc>
          <w:tcPr>
            <w:tcW w:w="2985" w:type="pct"/>
          </w:tcPr>
          <w:p w14:paraId="789233F0" w14:textId="1A126FEE" w:rsidR="00CE5ABB" w:rsidRPr="00073539" w:rsidRDefault="00CE5ABB" w:rsidP="00CE5ABB">
            <w:pPr>
              <w:pStyle w:val="NICETabletext"/>
              <w:rPr>
                <w:rFonts w:cs="Arial"/>
                <w:szCs w:val="20"/>
              </w:rPr>
            </w:pPr>
            <w:r w:rsidRPr="00491774">
              <w:t>Drug cost - Eribulin - 0.88</w:t>
            </w:r>
          </w:p>
        </w:tc>
        <w:tc>
          <w:tcPr>
            <w:tcW w:w="1008" w:type="pct"/>
            <w:vAlign w:val="center"/>
          </w:tcPr>
          <w:p w14:paraId="1BDF79BF" w14:textId="1E2329BF" w:rsidR="00CE5ABB" w:rsidRPr="00F77ABC" w:rsidRDefault="00F77ABC" w:rsidP="00CE5ABB">
            <w:pPr>
              <w:pStyle w:val="NICETabletext"/>
              <w:jc w:val="center"/>
              <w:rPr>
                <w:rFonts w:cs="Arial"/>
                <w:color w:val="000000"/>
                <w:szCs w:val="20"/>
                <w:highlight w:val="black"/>
              </w:rPr>
            </w:pPr>
            <w:r w:rsidRPr="00F77ABC">
              <w:rPr>
                <w:rFonts w:cs="Arial"/>
                <w:color w:val="000000"/>
                <w:szCs w:val="20"/>
                <w:highlight w:val="black"/>
              </w:rPr>
              <w:t>xxxxxxx</w:t>
            </w:r>
          </w:p>
        </w:tc>
        <w:tc>
          <w:tcPr>
            <w:tcW w:w="1008" w:type="pct"/>
            <w:vAlign w:val="center"/>
          </w:tcPr>
          <w:p w14:paraId="674E5C17" w14:textId="54D4C192" w:rsidR="00CE5ABB" w:rsidRPr="00F77ABC" w:rsidRDefault="00F77ABC" w:rsidP="00CE5ABB">
            <w:pPr>
              <w:pStyle w:val="NICETabletext"/>
              <w:jc w:val="center"/>
              <w:rPr>
                <w:rFonts w:cs="Arial"/>
                <w:color w:val="000000"/>
                <w:szCs w:val="20"/>
                <w:highlight w:val="black"/>
              </w:rPr>
            </w:pPr>
            <w:r w:rsidRPr="00F77ABC">
              <w:rPr>
                <w:rFonts w:cs="Arial"/>
                <w:color w:val="000000"/>
                <w:szCs w:val="20"/>
                <w:highlight w:val="black"/>
              </w:rPr>
              <w:t>xxxxxxx</w:t>
            </w:r>
          </w:p>
        </w:tc>
      </w:tr>
      <w:tr w:rsidR="00CE5ABB" w14:paraId="4EB11915" w14:textId="77777777" w:rsidTr="00F710CB">
        <w:tc>
          <w:tcPr>
            <w:tcW w:w="2985" w:type="pct"/>
          </w:tcPr>
          <w:p w14:paraId="7A7FD0DF" w14:textId="4AA3250B" w:rsidR="00CE5ABB" w:rsidRPr="00073539" w:rsidRDefault="00CE5ABB" w:rsidP="00CE5ABB">
            <w:pPr>
              <w:pStyle w:val="NICETabletext"/>
              <w:rPr>
                <w:rFonts w:cs="Arial"/>
                <w:szCs w:val="20"/>
              </w:rPr>
            </w:pPr>
            <w:r w:rsidRPr="00491774">
              <w:t>Administration costs - Trastuzumab deruxtecan</w:t>
            </w:r>
          </w:p>
        </w:tc>
        <w:tc>
          <w:tcPr>
            <w:tcW w:w="1008" w:type="pct"/>
            <w:vAlign w:val="center"/>
          </w:tcPr>
          <w:p w14:paraId="147CE1AB" w14:textId="4E773BCD" w:rsidR="00CE5ABB" w:rsidRPr="00F77ABC" w:rsidRDefault="00F77ABC" w:rsidP="00CE5ABB">
            <w:pPr>
              <w:pStyle w:val="NICETabletext"/>
              <w:jc w:val="center"/>
              <w:rPr>
                <w:rFonts w:cs="Arial"/>
                <w:color w:val="000000"/>
                <w:szCs w:val="20"/>
                <w:highlight w:val="black"/>
              </w:rPr>
            </w:pPr>
            <w:r w:rsidRPr="00F77ABC">
              <w:rPr>
                <w:rFonts w:cs="Arial"/>
                <w:color w:val="000000"/>
                <w:szCs w:val="20"/>
                <w:highlight w:val="black"/>
              </w:rPr>
              <w:t>xxxxxxx</w:t>
            </w:r>
          </w:p>
        </w:tc>
        <w:tc>
          <w:tcPr>
            <w:tcW w:w="1008" w:type="pct"/>
            <w:vAlign w:val="center"/>
          </w:tcPr>
          <w:p w14:paraId="15EA0AE8" w14:textId="1A40A621" w:rsidR="00CE5ABB" w:rsidRPr="00F77ABC" w:rsidRDefault="00F77ABC" w:rsidP="00CE5ABB">
            <w:pPr>
              <w:pStyle w:val="NICETabletext"/>
              <w:jc w:val="center"/>
              <w:rPr>
                <w:rFonts w:cs="Arial"/>
                <w:color w:val="000000"/>
                <w:szCs w:val="20"/>
                <w:highlight w:val="black"/>
              </w:rPr>
            </w:pPr>
            <w:r w:rsidRPr="00F77ABC">
              <w:rPr>
                <w:rFonts w:cs="Arial"/>
                <w:color w:val="000000"/>
                <w:szCs w:val="20"/>
                <w:highlight w:val="black"/>
              </w:rPr>
              <w:t>xxxxxxx</w:t>
            </w:r>
          </w:p>
        </w:tc>
      </w:tr>
      <w:tr w:rsidR="00CE5ABB" w14:paraId="2DDFD1C3" w14:textId="77777777" w:rsidTr="00F710CB">
        <w:tc>
          <w:tcPr>
            <w:tcW w:w="2985" w:type="pct"/>
          </w:tcPr>
          <w:p w14:paraId="7B1C1A4F" w14:textId="4B7FD59F" w:rsidR="00CE5ABB" w:rsidRPr="00073539" w:rsidRDefault="00CE5ABB" w:rsidP="00CE5ABB">
            <w:pPr>
              <w:pStyle w:val="NICETabletext"/>
              <w:rPr>
                <w:rFonts w:cs="Arial"/>
                <w:szCs w:val="20"/>
              </w:rPr>
            </w:pPr>
            <w:r w:rsidRPr="00491774">
              <w:t xml:space="preserve">Health state cost - Progression-free - Total </w:t>
            </w:r>
          </w:p>
        </w:tc>
        <w:tc>
          <w:tcPr>
            <w:tcW w:w="1008" w:type="pct"/>
            <w:vAlign w:val="center"/>
          </w:tcPr>
          <w:p w14:paraId="002A472F" w14:textId="43C86633" w:rsidR="00CE5ABB" w:rsidRPr="00F77ABC" w:rsidRDefault="00F77ABC" w:rsidP="00CE5ABB">
            <w:pPr>
              <w:pStyle w:val="NICETabletext"/>
              <w:jc w:val="center"/>
              <w:rPr>
                <w:rFonts w:cs="Arial"/>
                <w:color w:val="000000"/>
                <w:szCs w:val="20"/>
                <w:highlight w:val="black"/>
              </w:rPr>
            </w:pPr>
            <w:r w:rsidRPr="00F77ABC">
              <w:rPr>
                <w:rFonts w:cs="Arial"/>
                <w:color w:val="000000"/>
                <w:szCs w:val="20"/>
                <w:highlight w:val="black"/>
              </w:rPr>
              <w:t>xxxxxxx</w:t>
            </w:r>
          </w:p>
        </w:tc>
        <w:tc>
          <w:tcPr>
            <w:tcW w:w="1008" w:type="pct"/>
            <w:vAlign w:val="center"/>
          </w:tcPr>
          <w:p w14:paraId="70F97A90" w14:textId="41F5232D" w:rsidR="00CE5ABB" w:rsidRPr="00F77ABC" w:rsidRDefault="00F77ABC" w:rsidP="00CE5ABB">
            <w:pPr>
              <w:pStyle w:val="NICETabletext"/>
              <w:jc w:val="center"/>
              <w:rPr>
                <w:rFonts w:cs="Arial"/>
                <w:color w:val="000000"/>
                <w:szCs w:val="20"/>
                <w:highlight w:val="black"/>
              </w:rPr>
            </w:pPr>
            <w:r w:rsidRPr="00F77ABC">
              <w:rPr>
                <w:rFonts w:cs="Arial"/>
                <w:color w:val="000000"/>
                <w:szCs w:val="20"/>
                <w:highlight w:val="black"/>
              </w:rPr>
              <w:t>xxxxxxx</w:t>
            </w:r>
          </w:p>
        </w:tc>
      </w:tr>
    </w:tbl>
    <w:p w14:paraId="40271CD2" w14:textId="2DD568D9" w:rsidR="00D22A1E" w:rsidRDefault="00E97494" w:rsidP="00D22A1E">
      <w:pPr>
        <w:pStyle w:val="Footnotes"/>
        <w:spacing w:after="0"/>
      </w:pPr>
      <w:r>
        <w:t>*</w:t>
      </w:r>
      <w:r w:rsidR="00807DB8">
        <w:t>10% v</w:t>
      </w:r>
      <w:r w:rsidR="00706079">
        <w:t>ariation applied in the OWSA, in the absence of SE or CIs</w:t>
      </w:r>
      <w:r w:rsidR="00807DB8">
        <w:t>.</w:t>
      </w:r>
    </w:p>
    <w:p w14:paraId="3DF5389B" w14:textId="79F17BCB" w:rsidR="00E97494" w:rsidRDefault="00E97494" w:rsidP="00E97494">
      <w:pPr>
        <w:pStyle w:val="Footnotes"/>
      </w:pPr>
      <w:r>
        <w:t>Abbreviations: ICER, incremental cost-effectiveness ratio; kg – kilograms; OWSA, one-way sensitivity analysis; PAS, patient-access scheme; TPC, treatment of physician’s choice.</w:t>
      </w:r>
    </w:p>
    <w:p w14:paraId="7044D2C8" w14:textId="1897870D" w:rsidR="00CC6733" w:rsidRPr="00131A36" w:rsidRDefault="00CC6733" w:rsidP="00CC6733">
      <w:pPr>
        <w:pStyle w:val="Caption"/>
      </w:pPr>
      <w:bookmarkStart w:id="838" w:name="_Ref96104761"/>
      <w:bookmarkStart w:id="839" w:name="_Toc98924732"/>
      <w:bookmarkStart w:id="840" w:name="_Toc127006660"/>
      <w:bookmarkStart w:id="841" w:name="_Toc129350974"/>
      <w:r w:rsidRPr="00131A36">
        <w:lastRenderedPageBreak/>
        <w:t xml:space="preserve">Figure </w:t>
      </w:r>
      <w:r w:rsidRPr="00131A36">
        <w:fldChar w:fldCharType="begin"/>
      </w:r>
      <w:r w:rsidRPr="00131A36">
        <w:instrText>SEQ Figure \* ARABIC</w:instrText>
      </w:r>
      <w:r w:rsidRPr="00131A36">
        <w:fldChar w:fldCharType="separate"/>
      </w:r>
      <w:r w:rsidR="00145F42">
        <w:rPr>
          <w:noProof/>
        </w:rPr>
        <w:t>48</w:t>
      </w:r>
      <w:r w:rsidRPr="00131A36">
        <w:fldChar w:fldCharType="end"/>
      </w:r>
      <w:bookmarkEnd w:id="838"/>
      <w:r w:rsidRPr="00131A36">
        <w:t>: Tornado plot showing OWSA results on the ICER</w:t>
      </w:r>
      <w:bookmarkEnd w:id="839"/>
      <w:r w:rsidRPr="00131A36">
        <w:t xml:space="preserve"> (</w:t>
      </w:r>
      <w:r w:rsidR="00CE5ABB" w:rsidRPr="001E1F73">
        <w:t xml:space="preserve">T-DXd </w:t>
      </w:r>
      <w:r w:rsidR="00CE5ABB">
        <w:t>[</w:t>
      </w:r>
      <w:r w:rsidR="00CE5ABB" w:rsidRPr="001E1F73">
        <w:t>at the PAS price</w:t>
      </w:r>
      <w:r w:rsidR="00CE5ABB">
        <w:t>]</w:t>
      </w:r>
      <w:r w:rsidR="00CE5ABB" w:rsidRPr="001E1F73">
        <w:t xml:space="preserve"> vs. TPC</w:t>
      </w:r>
      <w:r w:rsidR="00CE5ABB" w:rsidRPr="001E1F73" w:rsidDel="001E1F73">
        <w:t xml:space="preserve"> </w:t>
      </w:r>
      <w:r w:rsidR="00CE5ABB">
        <w:t>, no severity modifier applied</w:t>
      </w:r>
      <w:bookmarkEnd w:id="840"/>
      <w:r w:rsidRPr="00131A36">
        <w:t>)</w:t>
      </w:r>
      <w:r w:rsidR="00706079">
        <w:t>*</w:t>
      </w:r>
      <w:bookmarkEnd w:id="841"/>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016"/>
      </w:tblGrid>
      <w:tr w:rsidR="00CC6733" w14:paraId="7C904779" w14:textId="77777777" w:rsidTr="00C75D0B">
        <w:tc>
          <w:tcPr>
            <w:tcW w:w="8936" w:type="dxa"/>
          </w:tcPr>
          <w:p w14:paraId="1B573B72" w14:textId="65A1B75D" w:rsidR="00CC6733" w:rsidRDefault="00E97494" w:rsidP="003C648C">
            <w:pPr>
              <w:keepNext/>
            </w:pPr>
            <w:r>
              <w:rPr>
                <w:noProof/>
              </w:rPr>
              <w:drawing>
                <wp:inline distT="0" distB="0" distL="0" distR="0" wp14:anchorId="668F94B9" wp14:editId="69A02A2A">
                  <wp:extent cx="5638800" cy="2683277"/>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44">
                            <a:extLst>
                              <a:ext uri="{28A0092B-C50C-407E-A947-70E740481C1C}">
                                <a14:useLocalDpi xmlns:a14="http://schemas.microsoft.com/office/drawing/2010/main" val="0"/>
                              </a:ext>
                            </a:extLst>
                          </a:blip>
                          <a:srcRect l="4692" r="4692"/>
                          <a:stretch>
                            <a:fillRect/>
                          </a:stretch>
                        </pic:blipFill>
                        <pic:spPr bwMode="auto">
                          <a:xfrm>
                            <a:off x="0" y="0"/>
                            <a:ext cx="5670570" cy="269839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FB9D00F" w14:textId="0502FE9E" w:rsidR="00706079" w:rsidRDefault="00706079" w:rsidP="00706079">
      <w:pPr>
        <w:pStyle w:val="Footnotes"/>
        <w:spacing w:after="0"/>
      </w:pPr>
      <w:r>
        <w:t>*</w:t>
      </w:r>
      <w:r w:rsidR="00807DB8">
        <w:t>10% v</w:t>
      </w:r>
      <w:r>
        <w:t>ariation applied in the OWSA, in the absence of SE or CIs.</w:t>
      </w:r>
    </w:p>
    <w:p w14:paraId="17B37F56" w14:textId="77777777" w:rsidR="00E97494" w:rsidRDefault="00E97494" w:rsidP="00E97494">
      <w:pPr>
        <w:pStyle w:val="Footnotes"/>
      </w:pPr>
      <w:r>
        <w:t>Abbreviations: ICER, incremental cost-effectiveness ratio; kg – kilograms; OWSA, one-way sensitivity analysis; PAS, patient-access scheme; TPC, treatment of physician’s choice.</w:t>
      </w:r>
    </w:p>
    <w:p w14:paraId="5CA5CC4C" w14:textId="77777777" w:rsidR="00CC6733" w:rsidRPr="00131A36" w:rsidRDefault="00CC6733" w:rsidP="00CC6733">
      <w:pPr>
        <w:pStyle w:val="Heading3"/>
      </w:pPr>
      <w:bookmarkStart w:id="842" w:name="_Toc129287002"/>
      <w:bookmarkStart w:id="843" w:name="_Toc129301605"/>
      <w:bookmarkStart w:id="844" w:name="_Toc129040171"/>
      <w:bookmarkStart w:id="845" w:name="_Toc129052456"/>
      <w:bookmarkStart w:id="846" w:name="_Toc129053257"/>
      <w:bookmarkStart w:id="847" w:name="_Toc98924690"/>
      <w:bookmarkStart w:id="848" w:name="_Ref99727820"/>
      <w:bookmarkStart w:id="849" w:name="_Ref99727872"/>
      <w:bookmarkStart w:id="850" w:name="_Ref99727892"/>
      <w:bookmarkStart w:id="851" w:name="_Ref99728219"/>
      <w:bookmarkStart w:id="852" w:name="_Ref99729119"/>
      <w:bookmarkStart w:id="853" w:name="_Ref99729196"/>
      <w:bookmarkStart w:id="854" w:name="_Ref119923275"/>
      <w:bookmarkStart w:id="855" w:name="_Ref126852565"/>
      <w:bookmarkStart w:id="856" w:name="_Toc127006629"/>
      <w:bookmarkStart w:id="857" w:name="_Toc129350917"/>
      <w:bookmarkEnd w:id="842"/>
      <w:bookmarkEnd w:id="843"/>
      <w:bookmarkEnd w:id="844"/>
      <w:bookmarkEnd w:id="845"/>
      <w:bookmarkEnd w:id="846"/>
      <w:r w:rsidRPr="00131A36">
        <w:t>Scenario analysis</w:t>
      </w:r>
      <w:bookmarkEnd w:id="847"/>
      <w:bookmarkEnd w:id="848"/>
      <w:bookmarkEnd w:id="849"/>
      <w:bookmarkEnd w:id="850"/>
      <w:bookmarkEnd w:id="851"/>
      <w:bookmarkEnd w:id="852"/>
      <w:bookmarkEnd w:id="853"/>
      <w:bookmarkEnd w:id="854"/>
      <w:bookmarkEnd w:id="855"/>
      <w:bookmarkEnd w:id="856"/>
      <w:bookmarkEnd w:id="857"/>
    </w:p>
    <w:p w14:paraId="168D24EE" w14:textId="33FE6A04" w:rsidR="00FB3129" w:rsidRPr="00131A36" w:rsidRDefault="00CC6733" w:rsidP="00CC6733">
      <w:pPr>
        <w:pStyle w:val="Body"/>
        <w:sectPr w:rsidR="00FB3129" w:rsidRPr="00131A36">
          <w:footnotePr>
            <w:numFmt w:val="lowerLetter"/>
          </w:footnotePr>
          <w:pgSz w:w="11906" w:h="16838"/>
          <w:pgMar w:top="1440" w:right="1440" w:bottom="1440" w:left="1440" w:header="708" w:footer="708" w:gutter="0"/>
          <w:cols w:space="708"/>
          <w:docGrid w:linePitch="360"/>
        </w:sectPr>
      </w:pPr>
      <w:r>
        <w:t>S</w:t>
      </w:r>
      <w:r w:rsidRPr="00131A36">
        <w:t>cenario</w:t>
      </w:r>
      <w:r w:rsidRPr="00131A36">
        <w:rPr>
          <w:lang w:val="en-US"/>
        </w:rPr>
        <w:t xml:space="preserve"> analyses were performed in order to test key structural and inputs assumptions</w:t>
      </w:r>
      <w:r w:rsidRPr="00131A36">
        <w:t xml:space="preserve">. </w:t>
      </w:r>
      <w:r w:rsidR="00D55512">
        <w:t xml:space="preserve">A </w:t>
      </w:r>
      <w:r w:rsidR="002C2EFF" w:rsidRPr="002C2EFF">
        <w:t>PSA</w:t>
      </w:r>
      <w:r w:rsidR="00D55512">
        <w:t xml:space="preserve"> was r</w:t>
      </w:r>
      <w:r w:rsidR="00A77412">
        <w:t>u</w:t>
      </w:r>
      <w:r w:rsidR="00D55512">
        <w:t>n for all scenarios</w:t>
      </w:r>
      <w:r w:rsidR="002C2EFF" w:rsidRPr="002C2EFF">
        <w:t xml:space="preserve"> where all parameters are assigned probability distributions and varied jointly </w:t>
      </w:r>
      <w:r w:rsidR="00C15730">
        <w:t>under a given scenario</w:t>
      </w:r>
      <w:r w:rsidR="00930E3B">
        <w:t>. The results of probabilistic scenario analyses are presented in</w:t>
      </w:r>
      <w:r w:rsidR="002C2EFF" w:rsidRPr="002C2EFF">
        <w:t xml:space="preserve"> </w:t>
      </w:r>
      <w:r w:rsidR="00BF6519" w:rsidRPr="003C648C">
        <w:rPr>
          <w:b/>
          <w:bCs/>
        </w:rPr>
        <w:fldChar w:fldCharType="begin"/>
      </w:r>
      <w:r w:rsidR="00BF6519" w:rsidRPr="003C648C">
        <w:rPr>
          <w:b/>
          <w:bCs/>
        </w:rPr>
        <w:instrText xml:space="preserve"> REF _Ref129018846 \h </w:instrText>
      </w:r>
      <w:r w:rsidR="00BF6519">
        <w:rPr>
          <w:b/>
          <w:bCs/>
        </w:rPr>
        <w:instrText xml:space="preserve"> \* MERGEFORMAT </w:instrText>
      </w:r>
      <w:r w:rsidR="00BF6519" w:rsidRPr="003C648C">
        <w:rPr>
          <w:b/>
          <w:bCs/>
        </w:rPr>
      </w:r>
      <w:r w:rsidR="00BF6519" w:rsidRPr="003C648C">
        <w:rPr>
          <w:b/>
          <w:bCs/>
        </w:rPr>
        <w:fldChar w:fldCharType="separate"/>
      </w:r>
      <w:r w:rsidR="00145F42" w:rsidRPr="00145F42">
        <w:rPr>
          <w:b/>
          <w:bCs/>
        </w:rPr>
        <w:t xml:space="preserve">Table </w:t>
      </w:r>
      <w:r w:rsidR="00145F42" w:rsidRPr="00145F42">
        <w:rPr>
          <w:b/>
          <w:bCs/>
          <w:noProof/>
        </w:rPr>
        <w:t>72</w:t>
      </w:r>
      <w:r w:rsidR="00BF6519" w:rsidRPr="003C648C">
        <w:rPr>
          <w:b/>
          <w:bCs/>
        </w:rPr>
        <w:fldChar w:fldCharType="end"/>
      </w:r>
      <w:r w:rsidR="00930E3B">
        <w:t>,</w:t>
      </w:r>
      <w:r w:rsidR="00A77412">
        <w:t xml:space="preserve"> </w:t>
      </w:r>
      <w:r w:rsidR="00A77412" w:rsidRPr="00131A36">
        <w:t>together within the cost-effectiveness plane (</w:t>
      </w:r>
      <w:r w:rsidR="00A77412" w:rsidRPr="003C648C">
        <w:rPr>
          <w:b/>
          <w:bCs/>
        </w:rPr>
        <w:fldChar w:fldCharType="begin"/>
      </w:r>
      <w:r w:rsidR="00A77412" w:rsidRPr="003C648C">
        <w:rPr>
          <w:b/>
          <w:bCs/>
        </w:rPr>
        <w:instrText xml:space="preserve"> REF _Ref94619048 \h </w:instrText>
      </w:r>
      <w:r w:rsidR="00A77412">
        <w:rPr>
          <w:b/>
          <w:bCs/>
        </w:rPr>
        <w:instrText xml:space="preserve"> \* MERGEFORMAT </w:instrText>
      </w:r>
      <w:r w:rsidR="00A77412" w:rsidRPr="003C648C">
        <w:rPr>
          <w:b/>
          <w:bCs/>
        </w:rPr>
      </w:r>
      <w:r w:rsidR="00A77412" w:rsidRPr="003C648C">
        <w:rPr>
          <w:b/>
          <w:bCs/>
        </w:rPr>
        <w:fldChar w:fldCharType="separate"/>
      </w:r>
      <w:r w:rsidR="00145F42" w:rsidRPr="00145F42">
        <w:rPr>
          <w:b/>
          <w:bCs/>
        </w:rPr>
        <w:t xml:space="preserve">Figure </w:t>
      </w:r>
      <w:r w:rsidR="00145F42" w:rsidRPr="00145F42">
        <w:rPr>
          <w:b/>
          <w:bCs/>
          <w:noProof/>
        </w:rPr>
        <w:t>49</w:t>
      </w:r>
      <w:r w:rsidR="00A77412" w:rsidRPr="003C648C">
        <w:rPr>
          <w:b/>
          <w:bCs/>
        </w:rPr>
        <w:fldChar w:fldCharType="end"/>
      </w:r>
      <w:r w:rsidR="00A77412" w:rsidRPr="00131A36">
        <w:t>)</w:t>
      </w:r>
      <w:r w:rsidR="002C2EFF" w:rsidRPr="002C2EFF">
        <w:t>. PSA</w:t>
      </w:r>
      <w:r w:rsidR="00C15730">
        <w:t>s for all scenarios were</w:t>
      </w:r>
      <w:r w:rsidR="002C2EFF" w:rsidRPr="002C2EFF">
        <w:t xml:space="preserve"> run for 1,000 iterations</w:t>
      </w:r>
      <w:r w:rsidR="00BF3CD7">
        <w:t>.</w:t>
      </w:r>
      <w:r w:rsidR="0084028C">
        <w:t xml:space="preserve"> </w:t>
      </w:r>
      <w:r w:rsidR="00ED3548">
        <w:t>The largest deviations from the base case ICER came from using log-normal distribution to extrapolate overall survival over the lifetime horizon of the economic model.</w:t>
      </w:r>
    </w:p>
    <w:p w14:paraId="01F62724" w14:textId="6A7F0D7A" w:rsidR="00586275" w:rsidRDefault="00586275" w:rsidP="00F710CB">
      <w:pPr>
        <w:pStyle w:val="Footnotes"/>
        <w:spacing w:after="0"/>
      </w:pPr>
      <w:bookmarkStart w:id="858" w:name="_Ref129018846"/>
      <w:bookmarkStart w:id="859" w:name="_Toc129351047"/>
      <w:r w:rsidRPr="004C239E">
        <w:rPr>
          <w:b/>
          <w:sz w:val="22"/>
        </w:rPr>
        <w:lastRenderedPageBreak/>
        <w:t xml:space="preserve">Table </w:t>
      </w:r>
      <w:r w:rsidRPr="00F710CB">
        <w:rPr>
          <w:b/>
          <w:sz w:val="22"/>
        </w:rPr>
        <w:fldChar w:fldCharType="begin"/>
      </w:r>
      <w:r w:rsidRPr="004C239E">
        <w:rPr>
          <w:b/>
          <w:sz w:val="22"/>
        </w:rPr>
        <w:instrText xml:space="preserve"> SEQ Table \* ARABIC </w:instrText>
      </w:r>
      <w:r w:rsidRPr="00F710CB">
        <w:rPr>
          <w:b/>
          <w:sz w:val="22"/>
        </w:rPr>
        <w:fldChar w:fldCharType="separate"/>
      </w:r>
      <w:r w:rsidR="00145F42">
        <w:rPr>
          <w:b/>
          <w:noProof/>
          <w:sz w:val="22"/>
        </w:rPr>
        <w:t>72</w:t>
      </w:r>
      <w:r w:rsidRPr="00F710CB">
        <w:rPr>
          <w:b/>
          <w:sz w:val="22"/>
        </w:rPr>
        <w:fldChar w:fldCharType="end"/>
      </w:r>
      <w:bookmarkEnd w:id="858"/>
      <w:r w:rsidRPr="004C239E">
        <w:rPr>
          <w:b/>
          <w:sz w:val="22"/>
        </w:rPr>
        <w:t>: Scenario analysis (probabilistic results</w:t>
      </w:r>
      <w:r w:rsidR="00AB1C77">
        <w:rPr>
          <w:b/>
          <w:sz w:val="22"/>
        </w:rPr>
        <w:t xml:space="preserve"> </w:t>
      </w:r>
      <w:r w:rsidR="008A68A5">
        <w:rPr>
          <w:b/>
          <w:sz w:val="22"/>
        </w:rPr>
        <w:t xml:space="preserve">– </w:t>
      </w:r>
      <w:r w:rsidR="008A68A5" w:rsidRPr="008A68A5">
        <w:rPr>
          <w:b/>
          <w:sz w:val="22"/>
        </w:rPr>
        <w:t xml:space="preserve"> </w:t>
      </w:r>
      <w:r w:rsidR="008A68A5">
        <w:rPr>
          <w:b/>
          <w:sz w:val="22"/>
        </w:rPr>
        <w:t>T-DXd [</w:t>
      </w:r>
      <w:r w:rsidR="008A68A5" w:rsidRPr="008A68A5">
        <w:rPr>
          <w:b/>
          <w:sz w:val="22"/>
        </w:rPr>
        <w:t>at the PAS price</w:t>
      </w:r>
      <w:r w:rsidR="008A68A5">
        <w:rPr>
          <w:b/>
          <w:sz w:val="22"/>
        </w:rPr>
        <w:t>] vs. TPC</w:t>
      </w:r>
      <w:r w:rsidRPr="004C239E">
        <w:rPr>
          <w:b/>
          <w:sz w:val="22"/>
        </w:rPr>
        <w:t>, no severity modifier applied)</w:t>
      </w:r>
      <w:bookmarkEnd w:id="859"/>
      <w:r w:rsidR="00930E3B" w:rsidRPr="004C239E" w:rsidDel="00930E3B">
        <w:rPr>
          <w:b/>
          <w:sz w:val="22"/>
        </w:rPr>
        <w:t xml:space="preserve"> </w:t>
      </w:r>
    </w:p>
    <w:tbl>
      <w:tblPr>
        <w:tblStyle w:val="EVDCLL1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992"/>
        <w:gridCol w:w="2126"/>
        <w:gridCol w:w="4111"/>
        <w:gridCol w:w="1390"/>
        <w:gridCol w:w="1391"/>
        <w:gridCol w:w="1391"/>
      </w:tblGrid>
      <w:tr w:rsidR="00B16949" w:rsidRPr="005079BE" w14:paraId="3F21D075" w14:textId="77777777" w:rsidTr="00433676">
        <w:trPr>
          <w:trHeight w:val="647"/>
          <w:tblHeader/>
        </w:trPr>
        <w:tc>
          <w:tcPr>
            <w:tcW w:w="2547" w:type="dxa"/>
            <w:shd w:val="clear" w:color="auto" w:fill="D9D9D9" w:themeFill="background1" w:themeFillShade="D9"/>
            <w:vAlign w:val="center"/>
          </w:tcPr>
          <w:p w14:paraId="25FE1B13" w14:textId="77777777" w:rsidR="005079BE" w:rsidRPr="005079BE" w:rsidRDefault="005079BE" w:rsidP="00F710CB">
            <w:pPr>
              <w:shd w:val="clear" w:color="auto" w:fill="D9D9D9" w:themeFill="background1" w:themeFillShade="D9"/>
              <w:tabs>
                <w:tab w:val="left" w:pos="2041"/>
              </w:tabs>
              <w:spacing w:after="60"/>
              <w:jc w:val="center"/>
              <w:rPr>
                <w:b/>
                <w:sz w:val="20"/>
                <w:szCs w:val="20"/>
              </w:rPr>
            </w:pPr>
            <w:r w:rsidRPr="005079BE">
              <w:rPr>
                <w:b/>
                <w:sz w:val="20"/>
                <w:szCs w:val="20"/>
              </w:rPr>
              <w:t>Parameter</w:t>
            </w:r>
          </w:p>
        </w:tc>
        <w:tc>
          <w:tcPr>
            <w:tcW w:w="992" w:type="dxa"/>
            <w:shd w:val="clear" w:color="auto" w:fill="D9D9D9" w:themeFill="background1" w:themeFillShade="D9"/>
            <w:vAlign w:val="center"/>
          </w:tcPr>
          <w:p w14:paraId="20616113" w14:textId="77777777" w:rsidR="005079BE" w:rsidRPr="005079BE" w:rsidRDefault="005079BE" w:rsidP="00F710CB">
            <w:pPr>
              <w:shd w:val="clear" w:color="auto" w:fill="D9D9D9" w:themeFill="background1" w:themeFillShade="D9"/>
              <w:tabs>
                <w:tab w:val="left" w:pos="2041"/>
              </w:tabs>
              <w:spacing w:after="60"/>
              <w:jc w:val="center"/>
              <w:rPr>
                <w:b/>
                <w:sz w:val="20"/>
                <w:szCs w:val="20"/>
              </w:rPr>
            </w:pPr>
            <w:r w:rsidRPr="005079BE">
              <w:rPr>
                <w:b/>
                <w:sz w:val="20"/>
                <w:szCs w:val="20"/>
              </w:rPr>
              <w:t>Scenario number</w:t>
            </w:r>
          </w:p>
        </w:tc>
        <w:tc>
          <w:tcPr>
            <w:tcW w:w="2126" w:type="dxa"/>
            <w:shd w:val="clear" w:color="auto" w:fill="D9D9D9" w:themeFill="background1" w:themeFillShade="D9"/>
            <w:vAlign w:val="center"/>
          </w:tcPr>
          <w:p w14:paraId="52D5E015" w14:textId="77777777" w:rsidR="005079BE" w:rsidRPr="005079BE" w:rsidRDefault="005079BE" w:rsidP="00F710CB">
            <w:pPr>
              <w:shd w:val="clear" w:color="auto" w:fill="D9D9D9" w:themeFill="background1" w:themeFillShade="D9"/>
              <w:tabs>
                <w:tab w:val="left" w:pos="2041"/>
              </w:tabs>
              <w:spacing w:after="60"/>
              <w:jc w:val="center"/>
              <w:rPr>
                <w:b/>
                <w:sz w:val="20"/>
                <w:szCs w:val="20"/>
              </w:rPr>
            </w:pPr>
            <w:r w:rsidRPr="005079BE">
              <w:rPr>
                <w:b/>
                <w:sz w:val="20"/>
                <w:szCs w:val="20"/>
              </w:rPr>
              <w:t>Base case</w:t>
            </w:r>
          </w:p>
        </w:tc>
        <w:tc>
          <w:tcPr>
            <w:tcW w:w="4111" w:type="dxa"/>
            <w:shd w:val="clear" w:color="auto" w:fill="D9D9D9" w:themeFill="background1" w:themeFillShade="D9"/>
            <w:vAlign w:val="center"/>
          </w:tcPr>
          <w:p w14:paraId="720258B9" w14:textId="77777777" w:rsidR="005079BE" w:rsidRPr="005079BE" w:rsidRDefault="005079BE" w:rsidP="00F710CB">
            <w:pPr>
              <w:shd w:val="clear" w:color="auto" w:fill="D9D9D9" w:themeFill="background1" w:themeFillShade="D9"/>
              <w:tabs>
                <w:tab w:val="left" w:pos="2041"/>
              </w:tabs>
              <w:spacing w:after="60"/>
              <w:jc w:val="center"/>
              <w:rPr>
                <w:b/>
                <w:sz w:val="20"/>
                <w:szCs w:val="20"/>
              </w:rPr>
            </w:pPr>
            <w:r w:rsidRPr="005079BE">
              <w:rPr>
                <w:b/>
                <w:sz w:val="20"/>
                <w:szCs w:val="20"/>
              </w:rPr>
              <w:t>Scenario</w:t>
            </w:r>
          </w:p>
        </w:tc>
        <w:tc>
          <w:tcPr>
            <w:tcW w:w="1390" w:type="dxa"/>
            <w:shd w:val="clear" w:color="auto" w:fill="D9D9D9" w:themeFill="background1" w:themeFillShade="D9"/>
            <w:vAlign w:val="center"/>
          </w:tcPr>
          <w:p w14:paraId="5F129BE7" w14:textId="77777777" w:rsidR="005079BE" w:rsidRPr="005079BE" w:rsidRDefault="005079BE" w:rsidP="00F710CB">
            <w:pPr>
              <w:shd w:val="clear" w:color="auto" w:fill="D9D9D9" w:themeFill="background1" w:themeFillShade="D9"/>
              <w:tabs>
                <w:tab w:val="left" w:pos="2041"/>
              </w:tabs>
              <w:spacing w:after="60"/>
              <w:jc w:val="center"/>
              <w:rPr>
                <w:b/>
                <w:sz w:val="20"/>
                <w:szCs w:val="20"/>
              </w:rPr>
            </w:pPr>
            <w:r w:rsidRPr="005079BE">
              <w:rPr>
                <w:b/>
                <w:sz w:val="20"/>
                <w:szCs w:val="20"/>
              </w:rPr>
              <w:t>Incremental costs</w:t>
            </w:r>
          </w:p>
        </w:tc>
        <w:tc>
          <w:tcPr>
            <w:tcW w:w="1391" w:type="dxa"/>
            <w:shd w:val="clear" w:color="auto" w:fill="D9D9D9" w:themeFill="background1" w:themeFillShade="D9"/>
            <w:vAlign w:val="center"/>
          </w:tcPr>
          <w:p w14:paraId="67F3DFEE" w14:textId="77777777" w:rsidR="005079BE" w:rsidRPr="005079BE" w:rsidRDefault="005079BE" w:rsidP="00F710CB">
            <w:pPr>
              <w:shd w:val="clear" w:color="auto" w:fill="D9D9D9" w:themeFill="background1" w:themeFillShade="D9"/>
              <w:tabs>
                <w:tab w:val="left" w:pos="2041"/>
              </w:tabs>
              <w:spacing w:after="60"/>
              <w:jc w:val="center"/>
              <w:rPr>
                <w:b/>
                <w:sz w:val="20"/>
                <w:szCs w:val="20"/>
              </w:rPr>
            </w:pPr>
            <w:r w:rsidRPr="005079BE">
              <w:rPr>
                <w:b/>
                <w:sz w:val="20"/>
                <w:szCs w:val="20"/>
              </w:rPr>
              <w:t>Incremental QALYs</w:t>
            </w:r>
          </w:p>
        </w:tc>
        <w:tc>
          <w:tcPr>
            <w:tcW w:w="1391" w:type="dxa"/>
            <w:shd w:val="clear" w:color="auto" w:fill="D9D9D9" w:themeFill="background1" w:themeFillShade="D9"/>
            <w:vAlign w:val="center"/>
          </w:tcPr>
          <w:p w14:paraId="11E2A6B3" w14:textId="77777777" w:rsidR="005079BE" w:rsidRPr="005079BE" w:rsidRDefault="005079BE" w:rsidP="00F710CB">
            <w:pPr>
              <w:shd w:val="clear" w:color="auto" w:fill="D9D9D9" w:themeFill="background1" w:themeFillShade="D9"/>
              <w:tabs>
                <w:tab w:val="left" w:pos="2041"/>
              </w:tabs>
              <w:spacing w:after="60"/>
              <w:jc w:val="center"/>
              <w:rPr>
                <w:b/>
                <w:sz w:val="20"/>
                <w:szCs w:val="20"/>
              </w:rPr>
            </w:pPr>
            <w:r w:rsidRPr="005079BE">
              <w:rPr>
                <w:b/>
                <w:sz w:val="20"/>
                <w:szCs w:val="20"/>
              </w:rPr>
              <w:t>ICER</w:t>
            </w:r>
          </w:p>
        </w:tc>
      </w:tr>
      <w:tr w:rsidR="00E84B56" w:rsidRPr="005079BE" w14:paraId="12D84F7D" w14:textId="77777777" w:rsidTr="00A029C2">
        <w:trPr>
          <w:trHeight w:val="292"/>
          <w:tblHeader/>
        </w:trPr>
        <w:tc>
          <w:tcPr>
            <w:tcW w:w="9776" w:type="dxa"/>
            <w:gridSpan w:val="4"/>
            <w:shd w:val="clear" w:color="auto" w:fill="FFFFFF" w:themeFill="background1"/>
          </w:tcPr>
          <w:p w14:paraId="0F46F186" w14:textId="77777777" w:rsidR="005079BE" w:rsidRPr="005079BE" w:rsidRDefault="005079BE" w:rsidP="005079BE">
            <w:pPr>
              <w:spacing w:after="60"/>
              <w:rPr>
                <w:b/>
                <w:bCs/>
                <w:sz w:val="20"/>
                <w:szCs w:val="20"/>
              </w:rPr>
            </w:pPr>
            <w:r w:rsidRPr="005079BE">
              <w:rPr>
                <w:b/>
                <w:bCs/>
                <w:sz w:val="20"/>
                <w:szCs w:val="20"/>
              </w:rPr>
              <w:t>Base case probabilistic results</w:t>
            </w:r>
          </w:p>
        </w:tc>
        <w:tc>
          <w:tcPr>
            <w:tcW w:w="1390" w:type="dxa"/>
            <w:shd w:val="clear" w:color="auto" w:fill="FFFFFF" w:themeFill="background1"/>
            <w:vAlign w:val="center"/>
          </w:tcPr>
          <w:p w14:paraId="2FAC4D11" w14:textId="37ECDA52" w:rsidR="005079BE" w:rsidRPr="00F77ABC" w:rsidRDefault="00F77ABC" w:rsidP="00E52BC1">
            <w:pPr>
              <w:keepNext/>
              <w:spacing w:after="60"/>
              <w:jc w:val="center"/>
              <w:rPr>
                <w:color w:val="000000"/>
                <w:sz w:val="20"/>
                <w:szCs w:val="20"/>
                <w:highlight w:val="black"/>
              </w:rPr>
            </w:pPr>
            <w:r w:rsidRPr="00F77ABC">
              <w:rPr>
                <w:color w:val="000000"/>
                <w:sz w:val="20"/>
                <w:szCs w:val="20"/>
                <w:highlight w:val="black"/>
              </w:rPr>
              <w:t>xxxxxxx</w:t>
            </w:r>
          </w:p>
        </w:tc>
        <w:tc>
          <w:tcPr>
            <w:tcW w:w="1391" w:type="dxa"/>
            <w:shd w:val="clear" w:color="auto" w:fill="FFFFFF" w:themeFill="background1"/>
            <w:vAlign w:val="center"/>
          </w:tcPr>
          <w:p w14:paraId="00153F2D" w14:textId="1AC94E82" w:rsidR="005079BE" w:rsidRPr="00F77ABC" w:rsidRDefault="00F77ABC" w:rsidP="00E52BC1">
            <w:pPr>
              <w:keepNext/>
              <w:spacing w:after="60"/>
              <w:jc w:val="center"/>
              <w:rPr>
                <w:color w:val="000000"/>
                <w:sz w:val="20"/>
                <w:szCs w:val="20"/>
                <w:highlight w:val="black"/>
              </w:rPr>
            </w:pPr>
            <w:r w:rsidRPr="00F77ABC">
              <w:rPr>
                <w:color w:val="000000"/>
                <w:sz w:val="20"/>
                <w:szCs w:val="20"/>
                <w:highlight w:val="black"/>
              </w:rPr>
              <w:t>xxxx</w:t>
            </w:r>
          </w:p>
        </w:tc>
        <w:tc>
          <w:tcPr>
            <w:tcW w:w="1391" w:type="dxa"/>
            <w:shd w:val="clear" w:color="auto" w:fill="FFFFFF" w:themeFill="background1"/>
            <w:vAlign w:val="center"/>
          </w:tcPr>
          <w:p w14:paraId="4A254517" w14:textId="1602F70C" w:rsidR="005079BE" w:rsidRPr="00F77ABC" w:rsidRDefault="00F77ABC" w:rsidP="00E52BC1">
            <w:pPr>
              <w:keepNext/>
              <w:spacing w:after="60"/>
              <w:jc w:val="center"/>
              <w:rPr>
                <w:color w:val="000000"/>
                <w:sz w:val="20"/>
                <w:szCs w:val="20"/>
                <w:highlight w:val="black"/>
              </w:rPr>
            </w:pPr>
            <w:r w:rsidRPr="00F77ABC">
              <w:rPr>
                <w:color w:val="000000"/>
                <w:sz w:val="20"/>
                <w:szCs w:val="20"/>
                <w:highlight w:val="black"/>
              </w:rPr>
              <w:t>xxxxxxx</w:t>
            </w:r>
          </w:p>
        </w:tc>
      </w:tr>
      <w:tr w:rsidR="00E84B56" w:rsidRPr="005079BE" w14:paraId="4476DC47" w14:textId="77777777" w:rsidTr="00433676">
        <w:trPr>
          <w:trHeight w:val="292"/>
        </w:trPr>
        <w:tc>
          <w:tcPr>
            <w:tcW w:w="2547" w:type="dxa"/>
            <w:vMerge w:val="restart"/>
            <w:vAlign w:val="center"/>
          </w:tcPr>
          <w:p w14:paraId="0F6E1E25" w14:textId="77777777" w:rsidR="005079BE" w:rsidRPr="005079BE" w:rsidRDefault="005079BE" w:rsidP="005079BE">
            <w:pPr>
              <w:spacing w:after="60"/>
              <w:rPr>
                <w:sz w:val="20"/>
                <w:szCs w:val="20"/>
              </w:rPr>
            </w:pPr>
            <w:r w:rsidRPr="005079BE">
              <w:rPr>
                <w:sz w:val="20"/>
                <w:szCs w:val="20"/>
              </w:rPr>
              <w:t>Discount rate</w:t>
            </w:r>
          </w:p>
        </w:tc>
        <w:tc>
          <w:tcPr>
            <w:tcW w:w="992" w:type="dxa"/>
            <w:vAlign w:val="center"/>
          </w:tcPr>
          <w:p w14:paraId="0E87199B" w14:textId="1DDCC19F" w:rsidR="005079BE" w:rsidRPr="005079BE" w:rsidRDefault="005079BE" w:rsidP="00957358">
            <w:pPr>
              <w:spacing w:after="60"/>
              <w:rPr>
                <w:sz w:val="20"/>
                <w:szCs w:val="20"/>
              </w:rPr>
            </w:pPr>
            <w:r w:rsidRPr="005079BE">
              <w:rPr>
                <w:sz w:val="20"/>
                <w:szCs w:val="20"/>
              </w:rPr>
              <w:t>1</w:t>
            </w:r>
          </w:p>
        </w:tc>
        <w:tc>
          <w:tcPr>
            <w:tcW w:w="2126" w:type="dxa"/>
            <w:vMerge w:val="restart"/>
            <w:vAlign w:val="center"/>
          </w:tcPr>
          <w:p w14:paraId="6FEE1092" w14:textId="38FCB5EC" w:rsidR="005079BE" w:rsidRPr="005079BE" w:rsidRDefault="005079BE" w:rsidP="005079BE">
            <w:pPr>
              <w:spacing w:after="60"/>
              <w:rPr>
                <w:sz w:val="20"/>
                <w:szCs w:val="20"/>
              </w:rPr>
            </w:pPr>
            <w:r w:rsidRPr="005079BE">
              <w:rPr>
                <w:sz w:val="20"/>
                <w:szCs w:val="20"/>
              </w:rPr>
              <w:t>Discount rates - Costs: 3.5%, outcomes: 3.5%</w:t>
            </w:r>
          </w:p>
        </w:tc>
        <w:tc>
          <w:tcPr>
            <w:tcW w:w="4111" w:type="dxa"/>
            <w:vAlign w:val="center"/>
          </w:tcPr>
          <w:p w14:paraId="1AFE92E6" w14:textId="51DBEB4F" w:rsidR="005079BE" w:rsidRPr="005079BE" w:rsidRDefault="005079BE" w:rsidP="005079BE">
            <w:pPr>
              <w:spacing w:after="60"/>
              <w:rPr>
                <w:sz w:val="20"/>
                <w:szCs w:val="20"/>
              </w:rPr>
            </w:pPr>
            <w:r w:rsidRPr="005079BE">
              <w:rPr>
                <w:sz w:val="20"/>
                <w:szCs w:val="20"/>
              </w:rPr>
              <w:t>Discount rates - costs: 0%, outcomes: 0%</w:t>
            </w:r>
          </w:p>
        </w:tc>
        <w:tc>
          <w:tcPr>
            <w:tcW w:w="1390" w:type="dxa"/>
            <w:vAlign w:val="center"/>
          </w:tcPr>
          <w:p w14:paraId="33563DB9" w14:textId="59DCDFB0" w:rsidR="005079BE" w:rsidRPr="00F77ABC" w:rsidRDefault="00F77ABC" w:rsidP="00E52BC1">
            <w:pPr>
              <w:jc w:val="center"/>
              <w:rPr>
                <w:color w:val="000000"/>
                <w:sz w:val="20"/>
                <w:szCs w:val="20"/>
                <w:highlight w:val="black"/>
              </w:rPr>
            </w:pPr>
            <w:r w:rsidRPr="00F77ABC">
              <w:rPr>
                <w:color w:val="000000"/>
                <w:sz w:val="20"/>
                <w:szCs w:val="20"/>
                <w:highlight w:val="black"/>
              </w:rPr>
              <w:t>xxxxxxx</w:t>
            </w:r>
          </w:p>
        </w:tc>
        <w:tc>
          <w:tcPr>
            <w:tcW w:w="1391" w:type="dxa"/>
            <w:vAlign w:val="center"/>
          </w:tcPr>
          <w:p w14:paraId="0E8AB694" w14:textId="4A9833D8" w:rsidR="005079BE" w:rsidRPr="00F77ABC" w:rsidRDefault="00F77ABC" w:rsidP="00E52BC1">
            <w:pPr>
              <w:jc w:val="center"/>
              <w:rPr>
                <w:color w:val="000000"/>
                <w:sz w:val="20"/>
                <w:szCs w:val="20"/>
                <w:highlight w:val="black"/>
              </w:rPr>
            </w:pPr>
            <w:r w:rsidRPr="00F77ABC">
              <w:rPr>
                <w:color w:val="000000"/>
                <w:sz w:val="20"/>
                <w:szCs w:val="20"/>
                <w:highlight w:val="black"/>
              </w:rPr>
              <w:t>xxxx</w:t>
            </w:r>
          </w:p>
        </w:tc>
        <w:tc>
          <w:tcPr>
            <w:tcW w:w="1391" w:type="dxa"/>
            <w:vAlign w:val="center"/>
          </w:tcPr>
          <w:p w14:paraId="7A8B1378" w14:textId="2E337D68" w:rsidR="005079BE" w:rsidRPr="00F77ABC" w:rsidRDefault="00F77ABC" w:rsidP="00E52BC1">
            <w:pPr>
              <w:jc w:val="center"/>
              <w:rPr>
                <w:color w:val="000000"/>
                <w:sz w:val="20"/>
                <w:szCs w:val="20"/>
                <w:highlight w:val="black"/>
              </w:rPr>
            </w:pPr>
            <w:r w:rsidRPr="00F77ABC">
              <w:rPr>
                <w:color w:val="000000"/>
                <w:sz w:val="20"/>
                <w:szCs w:val="20"/>
                <w:highlight w:val="black"/>
              </w:rPr>
              <w:t>xxxxxxx</w:t>
            </w:r>
          </w:p>
        </w:tc>
      </w:tr>
      <w:tr w:rsidR="00E84B56" w:rsidRPr="005079BE" w14:paraId="7FCBD832" w14:textId="77777777" w:rsidTr="00433676">
        <w:trPr>
          <w:trHeight w:val="145"/>
        </w:trPr>
        <w:tc>
          <w:tcPr>
            <w:tcW w:w="2547" w:type="dxa"/>
            <w:vMerge/>
            <w:vAlign w:val="center"/>
          </w:tcPr>
          <w:p w14:paraId="1EED6909" w14:textId="77777777" w:rsidR="005079BE" w:rsidRPr="005079BE" w:rsidRDefault="005079BE" w:rsidP="005079BE">
            <w:pPr>
              <w:spacing w:after="60"/>
              <w:rPr>
                <w:sz w:val="20"/>
                <w:szCs w:val="20"/>
              </w:rPr>
            </w:pPr>
          </w:p>
        </w:tc>
        <w:tc>
          <w:tcPr>
            <w:tcW w:w="992" w:type="dxa"/>
            <w:vAlign w:val="center"/>
          </w:tcPr>
          <w:p w14:paraId="14E33E90" w14:textId="7CDF27F6" w:rsidR="005079BE" w:rsidRPr="005079BE" w:rsidRDefault="005079BE" w:rsidP="00957358">
            <w:pPr>
              <w:spacing w:after="60"/>
              <w:rPr>
                <w:sz w:val="20"/>
                <w:szCs w:val="20"/>
              </w:rPr>
            </w:pPr>
            <w:r w:rsidRPr="005079BE">
              <w:rPr>
                <w:sz w:val="20"/>
                <w:szCs w:val="20"/>
              </w:rPr>
              <w:t>2</w:t>
            </w:r>
          </w:p>
        </w:tc>
        <w:tc>
          <w:tcPr>
            <w:tcW w:w="2126" w:type="dxa"/>
            <w:vMerge/>
            <w:vAlign w:val="center"/>
          </w:tcPr>
          <w:p w14:paraId="6CE3C7F1" w14:textId="77777777" w:rsidR="005079BE" w:rsidRPr="005079BE" w:rsidRDefault="005079BE" w:rsidP="005079BE">
            <w:pPr>
              <w:spacing w:after="60"/>
              <w:rPr>
                <w:sz w:val="20"/>
                <w:szCs w:val="20"/>
              </w:rPr>
            </w:pPr>
          </w:p>
        </w:tc>
        <w:tc>
          <w:tcPr>
            <w:tcW w:w="4111" w:type="dxa"/>
            <w:vAlign w:val="center"/>
          </w:tcPr>
          <w:p w14:paraId="797A5A24" w14:textId="180D08A6" w:rsidR="005079BE" w:rsidRPr="005079BE" w:rsidRDefault="005079BE" w:rsidP="005079BE">
            <w:pPr>
              <w:spacing w:after="60"/>
              <w:rPr>
                <w:sz w:val="20"/>
                <w:szCs w:val="20"/>
              </w:rPr>
            </w:pPr>
            <w:r w:rsidRPr="005079BE">
              <w:rPr>
                <w:sz w:val="20"/>
                <w:szCs w:val="20"/>
              </w:rPr>
              <w:t>Discount rates - costs: 1.5%, outcomes: 1.5%</w:t>
            </w:r>
          </w:p>
        </w:tc>
        <w:tc>
          <w:tcPr>
            <w:tcW w:w="1390" w:type="dxa"/>
            <w:vAlign w:val="center"/>
          </w:tcPr>
          <w:p w14:paraId="65E0FF00" w14:textId="3622860B" w:rsidR="005079BE" w:rsidRPr="00F77ABC" w:rsidRDefault="00F77ABC" w:rsidP="00E52BC1">
            <w:pPr>
              <w:jc w:val="center"/>
              <w:rPr>
                <w:color w:val="000000"/>
                <w:sz w:val="20"/>
                <w:szCs w:val="20"/>
                <w:highlight w:val="black"/>
              </w:rPr>
            </w:pPr>
            <w:r w:rsidRPr="00F77ABC">
              <w:rPr>
                <w:color w:val="000000"/>
                <w:sz w:val="20"/>
                <w:szCs w:val="20"/>
                <w:highlight w:val="black"/>
              </w:rPr>
              <w:t>xxxxxxx</w:t>
            </w:r>
          </w:p>
        </w:tc>
        <w:tc>
          <w:tcPr>
            <w:tcW w:w="1391" w:type="dxa"/>
            <w:vAlign w:val="center"/>
          </w:tcPr>
          <w:p w14:paraId="03A3A0CF" w14:textId="0CB64F0A" w:rsidR="005079BE" w:rsidRPr="00F77ABC" w:rsidRDefault="00F77ABC" w:rsidP="00E52BC1">
            <w:pPr>
              <w:jc w:val="center"/>
              <w:rPr>
                <w:color w:val="000000"/>
                <w:sz w:val="20"/>
                <w:szCs w:val="20"/>
                <w:highlight w:val="black"/>
              </w:rPr>
            </w:pPr>
            <w:r w:rsidRPr="00F77ABC">
              <w:rPr>
                <w:color w:val="000000"/>
                <w:sz w:val="20"/>
                <w:szCs w:val="20"/>
                <w:highlight w:val="black"/>
              </w:rPr>
              <w:t>xxxx</w:t>
            </w:r>
          </w:p>
        </w:tc>
        <w:tc>
          <w:tcPr>
            <w:tcW w:w="1391" w:type="dxa"/>
            <w:vAlign w:val="center"/>
          </w:tcPr>
          <w:p w14:paraId="375CD7B4" w14:textId="11E33396" w:rsidR="005079BE" w:rsidRPr="00F77ABC" w:rsidRDefault="00F77ABC" w:rsidP="00E52BC1">
            <w:pPr>
              <w:jc w:val="center"/>
              <w:rPr>
                <w:color w:val="000000"/>
                <w:sz w:val="20"/>
                <w:szCs w:val="20"/>
                <w:highlight w:val="black"/>
              </w:rPr>
            </w:pPr>
            <w:r w:rsidRPr="00F77ABC">
              <w:rPr>
                <w:color w:val="000000"/>
                <w:sz w:val="20"/>
                <w:szCs w:val="20"/>
                <w:highlight w:val="black"/>
              </w:rPr>
              <w:t>xxxxxxx</w:t>
            </w:r>
          </w:p>
        </w:tc>
      </w:tr>
      <w:tr w:rsidR="00E84B56" w:rsidRPr="005079BE" w14:paraId="6BAE75E8" w14:textId="77777777" w:rsidTr="00433676">
        <w:trPr>
          <w:trHeight w:val="145"/>
        </w:trPr>
        <w:tc>
          <w:tcPr>
            <w:tcW w:w="2547" w:type="dxa"/>
            <w:vMerge/>
            <w:vAlign w:val="center"/>
          </w:tcPr>
          <w:p w14:paraId="4A320520" w14:textId="77777777" w:rsidR="005079BE" w:rsidRPr="005079BE" w:rsidRDefault="005079BE" w:rsidP="005079BE">
            <w:pPr>
              <w:spacing w:after="60"/>
              <w:rPr>
                <w:sz w:val="20"/>
                <w:szCs w:val="20"/>
              </w:rPr>
            </w:pPr>
          </w:p>
        </w:tc>
        <w:tc>
          <w:tcPr>
            <w:tcW w:w="992" w:type="dxa"/>
            <w:vAlign w:val="center"/>
          </w:tcPr>
          <w:p w14:paraId="7BFB8C57" w14:textId="47117A95" w:rsidR="005079BE" w:rsidRPr="005079BE" w:rsidRDefault="005079BE" w:rsidP="00957358">
            <w:pPr>
              <w:spacing w:after="60"/>
              <w:rPr>
                <w:sz w:val="20"/>
                <w:szCs w:val="20"/>
              </w:rPr>
            </w:pPr>
            <w:r w:rsidRPr="005079BE">
              <w:rPr>
                <w:sz w:val="20"/>
                <w:szCs w:val="20"/>
              </w:rPr>
              <w:t>3</w:t>
            </w:r>
          </w:p>
        </w:tc>
        <w:tc>
          <w:tcPr>
            <w:tcW w:w="2126" w:type="dxa"/>
            <w:vMerge/>
            <w:vAlign w:val="center"/>
          </w:tcPr>
          <w:p w14:paraId="7C43DF23" w14:textId="04987B67" w:rsidR="005079BE" w:rsidRPr="005079BE" w:rsidRDefault="005079BE" w:rsidP="005079BE">
            <w:pPr>
              <w:spacing w:after="60"/>
              <w:rPr>
                <w:sz w:val="20"/>
                <w:szCs w:val="20"/>
              </w:rPr>
            </w:pPr>
          </w:p>
        </w:tc>
        <w:tc>
          <w:tcPr>
            <w:tcW w:w="4111" w:type="dxa"/>
            <w:vAlign w:val="center"/>
          </w:tcPr>
          <w:p w14:paraId="52D43388" w14:textId="68C2C6A7" w:rsidR="005079BE" w:rsidRPr="005079BE" w:rsidRDefault="005079BE" w:rsidP="005079BE">
            <w:pPr>
              <w:spacing w:after="60"/>
              <w:rPr>
                <w:sz w:val="20"/>
                <w:szCs w:val="20"/>
              </w:rPr>
            </w:pPr>
            <w:r w:rsidRPr="005079BE">
              <w:rPr>
                <w:sz w:val="20"/>
                <w:szCs w:val="20"/>
              </w:rPr>
              <w:t>Discount rates - costs: 6%, outcomes: 6%</w:t>
            </w:r>
          </w:p>
        </w:tc>
        <w:tc>
          <w:tcPr>
            <w:tcW w:w="1390" w:type="dxa"/>
            <w:vAlign w:val="center"/>
          </w:tcPr>
          <w:p w14:paraId="31C9BEF3" w14:textId="03D6E999" w:rsidR="005079BE" w:rsidRPr="00F77ABC" w:rsidRDefault="00F77ABC" w:rsidP="00E52BC1">
            <w:pPr>
              <w:jc w:val="center"/>
              <w:rPr>
                <w:color w:val="000000"/>
                <w:sz w:val="20"/>
                <w:szCs w:val="20"/>
                <w:highlight w:val="black"/>
              </w:rPr>
            </w:pPr>
            <w:r w:rsidRPr="00F77ABC">
              <w:rPr>
                <w:color w:val="000000"/>
                <w:sz w:val="20"/>
                <w:szCs w:val="20"/>
                <w:highlight w:val="black"/>
              </w:rPr>
              <w:t>xxxxxxx</w:t>
            </w:r>
          </w:p>
        </w:tc>
        <w:tc>
          <w:tcPr>
            <w:tcW w:w="1391" w:type="dxa"/>
            <w:vAlign w:val="center"/>
          </w:tcPr>
          <w:p w14:paraId="23AF4240" w14:textId="4688B509" w:rsidR="005079BE" w:rsidRPr="00F77ABC" w:rsidRDefault="00F77ABC" w:rsidP="00E52BC1">
            <w:pPr>
              <w:jc w:val="center"/>
              <w:rPr>
                <w:color w:val="000000"/>
                <w:sz w:val="20"/>
                <w:szCs w:val="20"/>
                <w:highlight w:val="black"/>
              </w:rPr>
            </w:pPr>
            <w:r w:rsidRPr="00F77ABC">
              <w:rPr>
                <w:color w:val="000000"/>
                <w:sz w:val="20"/>
                <w:szCs w:val="20"/>
                <w:highlight w:val="black"/>
              </w:rPr>
              <w:t>xxxx</w:t>
            </w:r>
          </w:p>
        </w:tc>
        <w:tc>
          <w:tcPr>
            <w:tcW w:w="1391" w:type="dxa"/>
            <w:vAlign w:val="center"/>
          </w:tcPr>
          <w:p w14:paraId="158D6027" w14:textId="6283C1B5" w:rsidR="005079BE" w:rsidRPr="00F77ABC" w:rsidRDefault="00F77ABC" w:rsidP="00E52BC1">
            <w:pPr>
              <w:jc w:val="center"/>
              <w:rPr>
                <w:color w:val="000000"/>
                <w:sz w:val="20"/>
                <w:szCs w:val="20"/>
                <w:highlight w:val="black"/>
              </w:rPr>
            </w:pPr>
            <w:r w:rsidRPr="00F77ABC">
              <w:rPr>
                <w:color w:val="000000"/>
                <w:sz w:val="20"/>
                <w:szCs w:val="20"/>
                <w:highlight w:val="black"/>
              </w:rPr>
              <w:t>xxxxxxx</w:t>
            </w:r>
          </w:p>
        </w:tc>
      </w:tr>
      <w:tr w:rsidR="00E84B56" w:rsidRPr="005079BE" w14:paraId="2F4E039E" w14:textId="77777777" w:rsidTr="00433676">
        <w:trPr>
          <w:trHeight w:val="292"/>
        </w:trPr>
        <w:tc>
          <w:tcPr>
            <w:tcW w:w="2547" w:type="dxa"/>
            <w:vAlign w:val="center"/>
          </w:tcPr>
          <w:p w14:paraId="1EEE38E6" w14:textId="77777777" w:rsidR="005079BE" w:rsidRPr="005079BE" w:rsidRDefault="005079BE" w:rsidP="005079BE">
            <w:pPr>
              <w:spacing w:after="60"/>
              <w:rPr>
                <w:sz w:val="20"/>
                <w:szCs w:val="20"/>
              </w:rPr>
            </w:pPr>
            <w:r w:rsidRPr="005079BE">
              <w:rPr>
                <w:sz w:val="20"/>
                <w:szCs w:val="20"/>
              </w:rPr>
              <w:t>Time horizon</w:t>
            </w:r>
          </w:p>
        </w:tc>
        <w:tc>
          <w:tcPr>
            <w:tcW w:w="992" w:type="dxa"/>
            <w:vAlign w:val="center"/>
          </w:tcPr>
          <w:p w14:paraId="34098D85" w14:textId="134BE344" w:rsidR="005079BE" w:rsidRPr="005079BE" w:rsidRDefault="005079BE" w:rsidP="00957358">
            <w:pPr>
              <w:spacing w:after="60"/>
              <w:rPr>
                <w:sz w:val="20"/>
                <w:szCs w:val="20"/>
              </w:rPr>
            </w:pPr>
            <w:r w:rsidRPr="005079BE">
              <w:rPr>
                <w:sz w:val="20"/>
                <w:szCs w:val="20"/>
              </w:rPr>
              <w:t>4</w:t>
            </w:r>
          </w:p>
        </w:tc>
        <w:tc>
          <w:tcPr>
            <w:tcW w:w="2126" w:type="dxa"/>
            <w:vAlign w:val="center"/>
          </w:tcPr>
          <w:p w14:paraId="6D870978" w14:textId="615A5F13" w:rsidR="005079BE" w:rsidRPr="005079BE" w:rsidRDefault="005079BE" w:rsidP="005079BE">
            <w:pPr>
              <w:spacing w:after="60"/>
              <w:rPr>
                <w:sz w:val="20"/>
                <w:szCs w:val="20"/>
              </w:rPr>
            </w:pPr>
            <w:r w:rsidRPr="005079BE">
              <w:rPr>
                <w:sz w:val="20"/>
                <w:szCs w:val="20"/>
              </w:rPr>
              <w:t>30 years</w:t>
            </w:r>
          </w:p>
        </w:tc>
        <w:tc>
          <w:tcPr>
            <w:tcW w:w="4111" w:type="dxa"/>
            <w:vAlign w:val="center"/>
          </w:tcPr>
          <w:p w14:paraId="70833ED8" w14:textId="62FE3EA8" w:rsidR="005079BE" w:rsidRPr="005079BE" w:rsidRDefault="005079BE" w:rsidP="005079BE">
            <w:pPr>
              <w:spacing w:after="60"/>
              <w:rPr>
                <w:sz w:val="20"/>
                <w:szCs w:val="20"/>
              </w:rPr>
            </w:pPr>
            <w:r w:rsidRPr="005079BE">
              <w:rPr>
                <w:sz w:val="20"/>
                <w:szCs w:val="20"/>
              </w:rPr>
              <w:t>20 years</w:t>
            </w:r>
          </w:p>
        </w:tc>
        <w:tc>
          <w:tcPr>
            <w:tcW w:w="1390" w:type="dxa"/>
            <w:vAlign w:val="center"/>
          </w:tcPr>
          <w:p w14:paraId="760EE737" w14:textId="08463799" w:rsidR="005079BE" w:rsidRPr="00F77ABC" w:rsidRDefault="00F77ABC" w:rsidP="00E52BC1">
            <w:pPr>
              <w:jc w:val="center"/>
              <w:rPr>
                <w:color w:val="000000"/>
                <w:sz w:val="20"/>
                <w:szCs w:val="20"/>
                <w:highlight w:val="black"/>
              </w:rPr>
            </w:pPr>
            <w:r w:rsidRPr="00F77ABC">
              <w:rPr>
                <w:color w:val="000000"/>
                <w:sz w:val="20"/>
                <w:szCs w:val="20"/>
                <w:highlight w:val="black"/>
              </w:rPr>
              <w:t>xxxxxxx</w:t>
            </w:r>
          </w:p>
        </w:tc>
        <w:tc>
          <w:tcPr>
            <w:tcW w:w="1391" w:type="dxa"/>
            <w:vAlign w:val="center"/>
          </w:tcPr>
          <w:p w14:paraId="34C927D6" w14:textId="1F973DA4" w:rsidR="005079BE" w:rsidRPr="00F77ABC" w:rsidRDefault="00F77ABC" w:rsidP="00E52BC1">
            <w:pPr>
              <w:jc w:val="center"/>
              <w:rPr>
                <w:color w:val="000000"/>
                <w:sz w:val="20"/>
                <w:szCs w:val="20"/>
                <w:highlight w:val="black"/>
              </w:rPr>
            </w:pPr>
            <w:r w:rsidRPr="00F77ABC">
              <w:rPr>
                <w:color w:val="000000"/>
                <w:sz w:val="20"/>
                <w:szCs w:val="20"/>
                <w:highlight w:val="black"/>
              </w:rPr>
              <w:t>xxxx</w:t>
            </w:r>
          </w:p>
        </w:tc>
        <w:tc>
          <w:tcPr>
            <w:tcW w:w="1391" w:type="dxa"/>
            <w:vAlign w:val="center"/>
          </w:tcPr>
          <w:p w14:paraId="240A0427" w14:textId="7B52BF14" w:rsidR="005079BE" w:rsidRPr="00F77ABC" w:rsidRDefault="00F77ABC" w:rsidP="00E52BC1">
            <w:pPr>
              <w:jc w:val="center"/>
              <w:rPr>
                <w:color w:val="000000"/>
                <w:sz w:val="20"/>
                <w:szCs w:val="20"/>
                <w:highlight w:val="black"/>
              </w:rPr>
            </w:pPr>
            <w:r w:rsidRPr="00F77ABC">
              <w:rPr>
                <w:color w:val="000000"/>
                <w:sz w:val="20"/>
                <w:szCs w:val="20"/>
                <w:highlight w:val="black"/>
              </w:rPr>
              <w:t>xxxxxxx</w:t>
            </w:r>
          </w:p>
        </w:tc>
      </w:tr>
      <w:tr w:rsidR="00E84B56" w:rsidRPr="005079BE" w14:paraId="6464568D" w14:textId="77777777" w:rsidTr="00433676">
        <w:trPr>
          <w:trHeight w:val="292"/>
        </w:trPr>
        <w:tc>
          <w:tcPr>
            <w:tcW w:w="2547" w:type="dxa"/>
            <w:vAlign w:val="center"/>
          </w:tcPr>
          <w:p w14:paraId="5EED87C2" w14:textId="77777777" w:rsidR="005079BE" w:rsidRPr="005079BE" w:rsidRDefault="005079BE" w:rsidP="005079BE">
            <w:pPr>
              <w:spacing w:after="60"/>
              <w:rPr>
                <w:sz w:val="20"/>
                <w:szCs w:val="20"/>
              </w:rPr>
            </w:pPr>
            <w:r w:rsidRPr="005079BE">
              <w:rPr>
                <w:sz w:val="20"/>
                <w:szCs w:val="20"/>
              </w:rPr>
              <w:t>Half cycle correction</w:t>
            </w:r>
          </w:p>
        </w:tc>
        <w:tc>
          <w:tcPr>
            <w:tcW w:w="992" w:type="dxa"/>
            <w:vAlign w:val="center"/>
          </w:tcPr>
          <w:p w14:paraId="597E02A1" w14:textId="4EB69C4E" w:rsidR="005079BE" w:rsidRPr="005079BE" w:rsidRDefault="005079BE" w:rsidP="00957358">
            <w:pPr>
              <w:spacing w:after="60"/>
              <w:rPr>
                <w:sz w:val="20"/>
                <w:szCs w:val="20"/>
              </w:rPr>
            </w:pPr>
            <w:r w:rsidRPr="005079BE">
              <w:rPr>
                <w:sz w:val="20"/>
                <w:szCs w:val="20"/>
              </w:rPr>
              <w:t>5</w:t>
            </w:r>
          </w:p>
        </w:tc>
        <w:tc>
          <w:tcPr>
            <w:tcW w:w="2126" w:type="dxa"/>
            <w:vAlign w:val="center"/>
          </w:tcPr>
          <w:p w14:paraId="5237BC92" w14:textId="4E973E0B" w:rsidR="005079BE" w:rsidRPr="005079BE" w:rsidRDefault="005079BE" w:rsidP="005079BE">
            <w:pPr>
              <w:spacing w:after="60"/>
              <w:rPr>
                <w:sz w:val="20"/>
                <w:szCs w:val="20"/>
              </w:rPr>
            </w:pPr>
            <w:r w:rsidRPr="005079BE">
              <w:rPr>
                <w:sz w:val="20"/>
                <w:szCs w:val="20"/>
              </w:rPr>
              <w:t xml:space="preserve">Applied </w:t>
            </w:r>
          </w:p>
        </w:tc>
        <w:tc>
          <w:tcPr>
            <w:tcW w:w="4111" w:type="dxa"/>
            <w:vAlign w:val="center"/>
          </w:tcPr>
          <w:p w14:paraId="3F49FDF6" w14:textId="1B340071" w:rsidR="005079BE" w:rsidRPr="005079BE" w:rsidRDefault="005079BE" w:rsidP="005079BE">
            <w:pPr>
              <w:spacing w:after="60"/>
              <w:rPr>
                <w:sz w:val="20"/>
                <w:szCs w:val="20"/>
              </w:rPr>
            </w:pPr>
            <w:r w:rsidRPr="005079BE">
              <w:rPr>
                <w:sz w:val="20"/>
                <w:szCs w:val="20"/>
              </w:rPr>
              <w:t>Not applied</w:t>
            </w:r>
          </w:p>
        </w:tc>
        <w:tc>
          <w:tcPr>
            <w:tcW w:w="1390" w:type="dxa"/>
            <w:vAlign w:val="center"/>
          </w:tcPr>
          <w:p w14:paraId="14A0A6CE" w14:textId="3BC36757" w:rsidR="005079BE" w:rsidRPr="00F77ABC" w:rsidRDefault="00F77ABC" w:rsidP="00E52BC1">
            <w:pPr>
              <w:jc w:val="center"/>
              <w:rPr>
                <w:color w:val="000000"/>
                <w:sz w:val="20"/>
                <w:szCs w:val="20"/>
                <w:highlight w:val="black"/>
              </w:rPr>
            </w:pPr>
            <w:r w:rsidRPr="00F77ABC">
              <w:rPr>
                <w:color w:val="000000"/>
                <w:sz w:val="20"/>
                <w:szCs w:val="20"/>
                <w:highlight w:val="black"/>
              </w:rPr>
              <w:t>xxxxxxx</w:t>
            </w:r>
          </w:p>
        </w:tc>
        <w:tc>
          <w:tcPr>
            <w:tcW w:w="1391" w:type="dxa"/>
            <w:vAlign w:val="center"/>
          </w:tcPr>
          <w:p w14:paraId="722BD78B" w14:textId="54A851D5" w:rsidR="005079BE" w:rsidRPr="00F77ABC" w:rsidRDefault="00F77ABC" w:rsidP="00E52BC1">
            <w:pPr>
              <w:jc w:val="center"/>
              <w:rPr>
                <w:color w:val="000000"/>
                <w:sz w:val="20"/>
                <w:szCs w:val="20"/>
                <w:highlight w:val="black"/>
              </w:rPr>
            </w:pPr>
            <w:r w:rsidRPr="00F77ABC">
              <w:rPr>
                <w:color w:val="000000"/>
                <w:sz w:val="20"/>
                <w:szCs w:val="20"/>
                <w:highlight w:val="black"/>
              </w:rPr>
              <w:t>xxxx</w:t>
            </w:r>
          </w:p>
        </w:tc>
        <w:tc>
          <w:tcPr>
            <w:tcW w:w="1391" w:type="dxa"/>
            <w:vAlign w:val="center"/>
          </w:tcPr>
          <w:p w14:paraId="16F8DDDE" w14:textId="4E3D1578" w:rsidR="005079BE" w:rsidRPr="00F77ABC" w:rsidRDefault="00F77ABC" w:rsidP="00E52BC1">
            <w:pPr>
              <w:jc w:val="center"/>
              <w:rPr>
                <w:color w:val="000000"/>
                <w:sz w:val="20"/>
                <w:szCs w:val="20"/>
                <w:highlight w:val="black"/>
              </w:rPr>
            </w:pPr>
            <w:r w:rsidRPr="00F77ABC">
              <w:rPr>
                <w:color w:val="000000"/>
                <w:sz w:val="20"/>
                <w:szCs w:val="20"/>
                <w:highlight w:val="black"/>
              </w:rPr>
              <w:t>xxxxxxx</w:t>
            </w:r>
          </w:p>
        </w:tc>
      </w:tr>
      <w:tr w:rsidR="00E84B56" w:rsidRPr="005079BE" w14:paraId="32F2570B" w14:textId="77777777" w:rsidTr="00433676">
        <w:trPr>
          <w:trHeight w:val="145"/>
        </w:trPr>
        <w:tc>
          <w:tcPr>
            <w:tcW w:w="2547" w:type="dxa"/>
            <w:vAlign w:val="center"/>
          </w:tcPr>
          <w:p w14:paraId="7859554E" w14:textId="77777777" w:rsidR="005079BE" w:rsidRPr="005079BE" w:rsidRDefault="005079BE" w:rsidP="005079BE">
            <w:pPr>
              <w:spacing w:after="60"/>
              <w:rPr>
                <w:sz w:val="20"/>
                <w:szCs w:val="20"/>
              </w:rPr>
            </w:pPr>
            <w:r w:rsidRPr="005079BE">
              <w:rPr>
                <w:sz w:val="20"/>
                <w:szCs w:val="20"/>
              </w:rPr>
              <w:t>Subsequent treatment</w:t>
            </w:r>
          </w:p>
        </w:tc>
        <w:tc>
          <w:tcPr>
            <w:tcW w:w="992" w:type="dxa"/>
            <w:vAlign w:val="center"/>
          </w:tcPr>
          <w:p w14:paraId="162A9BBB" w14:textId="3501BDBA" w:rsidR="005079BE" w:rsidRPr="005079BE" w:rsidRDefault="005079BE" w:rsidP="00957358">
            <w:pPr>
              <w:spacing w:after="60"/>
              <w:rPr>
                <w:sz w:val="20"/>
                <w:szCs w:val="20"/>
              </w:rPr>
            </w:pPr>
            <w:r w:rsidRPr="005079BE">
              <w:rPr>
                <w:sz w:val="20"/>
                <w:szCs w:val="20"/>
              </w:rPr>
              <w:t>6</w:t>
            </w:r>
          </w:p>
        </w:tc>
        <w:tc>
          <w:tcPr>
            <w:tcW w:w="2126" w:type="dxa"/>
            <w:vAlign w:val="center"/>
          </w:tcPr>
          <w:p w14:paraId="7BA51B4A" w14:textId="56B8731B" w:rsidR="005079BE" w:rsidRPr="005079BE" w:rsidRDefault="00586766" w:rsidP="005079BE">
            <w:pPr>
              <w:spacing w:after="60"/>
              <w:rPr>
                <w:sz w:val="20"/>
                <w:szCs w:val="20"/>
              </w:rPr>
            </w:pPr>
            <w:r w:rsidRPr="00F710CB">
              <w:rPr>
                <w:sz w:val="20"/>
                <w:szCs w:val="20"/>
              </w:rPr>
              <w:t>Trial treatment-specific proportions on subsequent treatment</w:t>
            </w:r>
          </w:p>
        </w:tc>
        <w:tc>
          <w:tcPr>
            <w:tcW w:w="4111" w:type="dxa"/>
            <w:vAlign w:val="center"/>
          </w:tcPr>
          <w:p w14:paraId="0814D53B" w14:textId="03DD8406" w:rsidR="005079BE" w:rsidRPr="005079BE" w:rsidRDefault="00586766" w:rsidP="005079BE">
            <w:pPr>
              <w:spacing w:after="60"/>
              <w:rPr>
                <w:sz w:val="20"/>
                <w:szCs w:val="20"/>
              </w:rPr>
            </w:pPr>
            <w:r w:rsidRPr="00F710CB">
              <w:rPr>
                <w:sz w:val="20"/>
                <w:szCs w:val="20"/>
              </w:rPr>
              <w:t>Trial pooled, weighted proportions on subsequent treatment</w:t>
            </w:r>
          </w:p>
        </w:tc>
        <w:tc>
          <w:tcPr>
            <w:tcW w:w="1390" w:type="dxa"/>
            <w:vAlign w:val="center"/>
          </w:tcPr>
          <w:p w14:paraId="2244E8EA" w14:textId="385D0968" w:rsidR="005079BE" w:rsidRPr="00F77ABC" w:rsidRDefault="00F77ABC" w:rsidP="00E52BC1">
            <w:pPr>
              <w:jc w:val="center"/>
              <w:rPr>
                <w:color w:val="000000"/>
                <w:sz w:val="20"/>
                <w:szCs w:val="20"/>
                <w:highlight w:val="black"/>
              </w:rPr>
            </w:pPr>
            <w:r w:rsidRPr="00F77ABC">
              <w:rPr>
                <w:color w:val="000000"/>
                <w:sz w:val="20"/>
                <w:szCs w:val="20"/>
                <w:highlight w:val="black"/>
              </w:rPr>
              <w:t>xxxxxxx</w:t>
            </w:r>
          </w:p>
        </w:tc>
        <w:tc>
          <w:tcPr>
            <w:tcW w:w="1391" w:type="dxa"/>
            <w:vAlign w:val="center"/>
          </w:tcPr>
          <w:p w14:paraId="48A8207D" w14:textId="515F8F11" w:rsidR="005079BE" w:rsidRPr="00F77ABC" w:rsidRDefault="00F77ABC" w:rsidP="00E52BC1">
            <w:pPr>
              <w:jc w:val="center"/>
              <w:rPr>
                <w:color w:val="000000"/>
                <w:sz w:val="20"/>
                <w:szCs w:val="20"/>
                <w:highlight w:val="black"/>
              </w:rPr>
            </w:pPr>
            <w:r w:rsidRPr="00F77ABC">
              <w:rPr>
                <w:color w:val="000000"/>
                <w:sz w:val="20"/>
                <w:szCs w:val="20"/>
                <w:highlight w:val="black"/>
              </w:rPr>
              <w:t>xxxx</w:t>
            </w:r>
          </w:p>
        </w:tc>
        <w:tc>
          <w:tcPr>
            <w:tcW w:w="1391" w:type="dxa"/>
            <w:vAlign w:val="center"/>
          </w:tcPr>
          <w:p w14:paraId="74F34030" w14:textId="5BD0CFB3" w:rsidR="005079BE" w:rsidRPr="00F77ABC" w:rsidRDefault="00F77ABC" w:rsidP="00E52BC1">
            <w:pPr>
              <w:jc w:val="center"/>
              <w:rPr>
                <w:color w:val="000000"/>
                <w:sz w:val="20"/>
                <w:szCs w:val="20"/>
                <w:highlight w:val="black"/>
              </w:rPr>
            </w:pPr>
            <w:r w:rsidRPr="00F77ABC">
              <w:rPr>
                <w:color w:val="000000"/>
                <w:sz w:val="20"/>
                <w:szCs w:val="20"/>
                <w:highlight w:val="black"/>
              </w:rPr>
              <w:t>xxxxxxx</w:t>
            </w:r>
          </w:p>
        </w:tc>
      </w:tr>
      <w:tr w:rsidR="00E84B56" w:rsidRPr="005079BE" w14:paraId="0BDE5C3B" w14:textId="77777777" w:rsidTr="00433676">
        <w:trPr>
          <w:trHeight w:val="292"/>
        </w:trPr>
        <w:tc>
          <w:tcPr>
            <w:tcW w:w="2547" w:type="dxa"/>
            <w:vAlign w:val="center"/>
          </w:tcPr>
          <w:p w14:paraId="1602002A" w14:textId="641E82DD" w:rsidR="005079BE" w:rsidRPr="005079BE" w:rsidRDefault="005079BE" w:rsidP="005079BE">
            <w:pPr>
              <w:spacing w:after="60"/>
              <w:rPr>
                <w:sz w:val="20"/>
                <w:szCs w:val="20"/>
              </w:rPr>
            </w:pPr>
            <w:r w:rsidRPr="005079BE">
              <w:rPr>
                <w:sz w:val="20"/>
                <w:szCs w:val="20"/>
              </w:rPr>
              <w:t>AE disutilities</w:t>
            </w:r>
          </w:p>
        </w:tc>
        <w:tc>
          <w:tcPr>
            <w:tcW w:w="992" w:type="dxa"/>
            <w:vAlign w:val="center"/>
          </w:tcPr>
          <w:p w14:paraId="65CD0374" w14:textId="1CA999D8" w:rsidR="005079BE" w:rsidRPr="005079BE" w:rsidRDefault="005079BE" w:rsidP="00957358">
            <w:pPr>
              <w:spacing w:after="60"/>
              <w:rPr>
                <w:sz w:val="20"/>
                <w:szCs w:val="20"/>
              </w:rPr>
            </w:pPr>
            <w:r w:rsidRPr="005079BE">
              <w:rPr>
                <w:sz w:val="20"/>
                <w:szCs w:val="20"/>
              </w:rPr>
              <w:t>7</w:t>
            </w:r>
          </w:p>
        </w:tc>
        <w:tc>
          <w:tcPr>
            <w:tcW w:w="2126" w:type="dxa"/>
            <w:vAlign w:val="center"/>
          </w:tcPr>
          <w:p w14:paraId="050A5BD3" w14:textId="7AC913A3" w:rsidR="005079BE" w:rsidRPr="005079BE" w:rsidRDefault="005079BE" w:rsidP="005079BE">
            <w:pPr>
              <w:spacing w:after="60"/>
              <w:rPr>
                <w:sz w:val="20"/>
                <w:szCs w:val="20"/>
              </w:rPr>
            </w:pPr>
            <w:r w:rsidRPr="005079BE">
              <w:rPr>
                <w:sz w:val="20"/>
                <w:szCs w:val="20"/>
              </w:rPr>
              <w:t xml:space="preserve">AE disutilities </w:t>
            </w:r>
            <w:r w:rsidR="006D0E57">
              <w:rPr>
                <w:sz w:val="20"/>
                <w:szCs w:val="20"/>
              </w:rPr>
              <w:t>excluded</w:t>
            </w:r>
          </w:p>
        </w:tc>
        <w:tc>
          <w:tcPr>
            <w:tcW w:w="4111" w:type="dxa"/>
            <w:vAlign w:val="center"/>
          </w:tcPr>
          <w:p w14:paraId="79716998" w14:textId="0B004EE6" w:rsidR="005079BE" w:rsidRPr="005079BE" w:rsidRDefault="005079BE" w:rsidP="005079BE">
            <w:pPr>
              <w:spacing w:after="60"/>
              <w:rPr>
                <w:sz w:val="20"/>
                <w:szCs w:val="20"/>
              </w:rPr>
            </w:pPr>
            <w:r w:rsidRPr="005079BE">
              <w:rPr>
                <w:sz w:val="20"/>
                <w:szCs w:val="20"/>
              </w:rPr>
              <w:t>AE disutilities included</w:t>
            </w:r>
          </w:p>
        </w:tc>
        <w:tc>
          <w:tcPr>
            <w:tcW w:w="1390" w:type="dxa"/>
            <w:vAlign w:val="center"/>
          </w:tcPr>
          <w:p w14:paraId="0EECD20D" w14:textId="0EE1E26F" w:rsidR="005079BE" w:rsidRPr="00F77ABC" w:rsidRDefault="00F77ABC" w:rsidP="00E52BC1">
            <w:pPr>
              <w:jc w:val="center"/>
              <w:rPr>
                <w:color w:val="000000"/>
                <w:sz w:val="20"/>
                <w:szCs w:val="20"/>
                <w:highlight w:val="black"/>
              </w:rPr>
            </w:pPr>
            <w:r w:rsidRPr="00F77ABC">
              <w:rPr>
                <w:color w:val="000000"/>
                <w:sz w:val="20"/>
                <w:szCs w:val="20"/>
                <w:highlight w:val="black"/>
              </w:rPr>
              <w:t>xxxxxxx</w:t>
            </w:r>
          </w:p>
        </w:tc>
        <w:tc>
          <w:tcPr>
            <w:tcW w:w="1391" w:type="dxa"/>
            <w:vAlign w:val="center"/>
          </w:tcPr>
          <w:p w14:paraId="2E42EA81" w14:textId="60835EB2" w:rsidR="005079BE" w:rsidRPr="00F77ABC" w:rsidRDefault="00F77ABC" w:rsidP="00E52BC1">
            <w:pPr>
              <w:jc w:val="center"/>
              <w:rPr>
                <w:color w:val="000000"/>
                <w:sz w:val="20"/>
                <w:szCs w:val="20"/>
                <w:highlight w:val="black"/>
              </w:rPr>
            </w:pPr>
            <w:r w:rsidRPr="00F77ABC">
              <w:rPr>
                <w:color w:val="000000"/>
                <w:sz w:val="20"/>
                <w:szCs w:val="20"/>
                <w:highlight w:val="black"/>
              </w:rPr>
              <w:t>xxxx</w:t>
            </w:r>
          </w:p>
        </w:tc>
        <w:tc>
          <w:tcPr>
            <w:tcW w:w="1391" w:type="dxa"/>
            <w:vAlign w:val="center"/>
          </w:tcPr>
          <w:p w14:paraId="582B3007" w14:textId="3D82D02C" w:rsidR="005079BE" w:rsidRPr="00F77ABC" w:rsidRDefault="00F77ABC" w:rsidP="00E52BC1">
            <w:pPr>
              <w:jc w:val="center"/>
              <w:rPr>
                <w:color w:val="000000"/>
                <w:sz w:val="20"/>
                <w:szCs w:val="20"/>
                <w:highlight w:val="black"/>
              </w:rPr>
            </w:pPr>
            <w:r w:rsidRPr="00F77ABC">
              <w:rPr>
                <w:color w:val="000000"/>
                <w:sz w:val="20"/>
                <w:szCs w:val="20"/>
                <w:highlight w:val="black"/>
              </w:rPr>
              <w:t>xxxxxxx</w:t>
            </w:r>
          </w:p>
        </w:tc>
      </w:tr>
      <w:tr w:rsidR="00E84B56" w:rsidRPr="005079BE" w14:paraId="06CE7917" w14:textId="77777777" w:rsidTr="00433676">
        <w:trPr>
          <w:trHeight w:val="292"/>
        </w:trPr>
        <w:tc>
          <w:tcPr>
            <w:tcW w:w="2547" w:type="dxa"/>
            <w:vMerge w:val="restart"/>
            <w:vAlign w:val="center"/>
          </w:tcPr>
          <w:p w14:paraId="6C84F52F" w14:textId="77777777" w:rsidR="005079BE" w:rsidRPr="005079BE" w:rsidRDefault="005079BE" w:rsidP="005079BE">
            <w:pPr>
              <w:spacing w:after="60"/>
              <w:rPr>
                <w:sz w:val="20"/>
                <w:szCs w:val="20"/>
              </w:rPr>
            </w:pPr>
            <w:r w:rsidRPr="005079BE">
              <w:rPr>
                <w:sz w:val="20"/>
                <w:szCs w:val="20"/>
              </w:rPr>
              <w:t>Vial sharing</w:t>
            </w:r>
          </w:p>
        </w:tc>
        <w:tc>
          <w:tcPr>
            <w:tcW w:w="992" w:type="dxa"/>
            <w:vAlign w:val="center"/>
          </w:tcPr>
          <w:p w14:paraId="43BEFD4A" w14:textId="25DF7964" w:rsidR="005079BE" w:rsidRPr="005079BE" w:rsidRDefault="005079BE" w:rsidP="00957358">
            <w:pPr>
              <w:spacing w:after="60"/>
              <w:rPr>
                <w:sz w:val="20"/>
                <w:szCs w:val="20"/>
              </w:rPr>
            </w:pPr>
            <w:r w:rsidRPr="005079BE">
              <w:rPr>
                <w:sz w:val="20"/>
                <w:szCs w:val="20"/>
              </w:rPr>
              <w:t>8</w:t>
            </w:r>
          </w:p>
        </w:tc>
        <w:tc>
          <w:tcPr>
            <w:tcW w:w="2126" w:type="dxa"/>
            <w:vMerge w:val="restart"/>
            <w:vAlign w:val="center"/>
          </w:tcPr>
          <w:p w14:paraId="1107EB68" w14:textId="0940AEC6" w:rsidR="005079BE" w:rsidRPr="005079BE" w:rsidRDefault="005079BE" w:rsidP="005079BE">
            <w:pPr>
              <w:spacing w:after="60"/>
              <w:rPr>
                <w:sz w:val="20"/>
                <w:szCs w:val="20"/>
              </w:rPr>
            </w:pPr>
            <w:r w:rsidRPr="005079BE">
              <w:rPr>
                <w:sz w:val="20"/>
                <w:szCs w:val="20"/>
              </w:rPr>
              <w:t>Vial sharing 75%</w:t>
            </w:r>
          </w:p>
        </w:tc>
        <w:tc>
          <w:tcPr>
            <w:tcW w:w="4111" w:type="dxa"/>
            <w:vAlign w:val="center"/>
          </w:tcPr>
          <w:p w14:paraId="77DEC15B" w14:textId="117D9350" w:rsidR="005079BE" w:rsidRPr="005079BE" w:rsidRDefault="005079BE" w:rsidP="005079BE">
            <w:pPr>
              <w:spacing w:after="60"/>
              <w:rPr>
                <w:sz w:val="20"/>
                <w:szCs w:val="20"/>
              </w:rPr>
            </w:pPr>
            <w:r w:rsidRPr="005079BE">
              <w:rPr>
                <w:sz w:val="20"/>
                <w:szCs w:val="20"/>
              </w:rPr>
              <w:t>Vial sharing 50%</w:t>
            </w:r>
          </w:p>
        </w:tc>
        <w:tc>
          <w:tcPr>
            <w:tcW w:w="1390" w:type="dxa"/>
            <w:vAlign w:val="center"/>
          </w:tcPr>
          <w:p w14:paraId="37ACB253" w14:textId="61C0DEE9" w:rsidR="005079BE" w:rsidRPr="00F77ABC" w:rsidRDefault="00F77ABC" w:rsidP="00E52BC1">
            <w:pPr>
              <w:jc w:val="center"/>
              <w:rPr>
                <w:color w:val="000000"/>
                <w:sz w:val="20"/>
                <w:szCs w:val="20"/>
                <w:highlight w:val="black"/>
              </w:rPr>
            </w:pPr>
            <w:r w:rsidRPr="00F77ABC">
              <w:rPr>
                <w:color w:val="000000"/>
                <w:sz w:val="20"/>
                <w:szCs w:val="20"/>
                <w:highlight w:val="black"/>
              </w:rPr>
              <w:t>xxxxxxx</w:t>
            </w:r>
          </w:p>
        </w:tc>
        <w:tc>
          <w:tcPr>
            <w:tcW w:w="1391" w:type="dxa"/>
            <w:vAlign w:val="center"/>
          </w:tcPr>
          <w:p w14:paraId="7741F423" w14:textId="5C558125" w:rsidR="005079BE" w:rsidRPr="00F77ABC" w:rsidRDefault="00F77ABC" w:rsidP="00E52BC1">
            <w:pPr>
              <w:jc w:val="center"/>
              <w:rPr>
                <w:color w:val="000000"/>
                <w:sz w:val="20"/>
                <w:szCs w:val="20"/>
                <w:highlight w:val="black"/>
              </w:rPr>
            </w:pPr>
            <w:r w:rsidRPr="00F77ABC">
              <w:rPr>
                <w:color w:val="000000"/>
                <w:sz w:val="20"/>
                <w:szCs w:val="20"/>
                <w:highlight w:val="black"/>
              </w:rPr>
              <w:t>xxxx</w:t>
            </w:r>
          </w:p>
        </w:tc>
        <w:tc>
          <w:tcPr>
            <w:tcW w:w="1391" w:type="dxa"/>
            <w:vAlign w:val="center"/>
          </w:tcPr>
          <w:p w14:paraId="383FE8B0" w14:textId="0AD00E12" w:rsidR="005079BE" w:rsidRPr="00F77ABC" w:rsidRDefault="00F77ABC" w:rsidP="00E52BC1">
            <w:pPr>
              <w:jc w:val="center"/>
              <w:rPr>
                <w:color w:val="000000"/>
                <w:sz w:val="20"/>
                <w:szCs w:val="20"/>
                <w:highlight w:val="black"/>
              </w:rPr>
            </w:pPr>
            <w:r w:rsidRPr="00F77ABC">
              <w:rPr>
                <w:color w:val="000000"/>
                <w:sz w:val="20"/>
                <w:szCs w:val="20"/>
                <w:highlight w:val="black"/>
              </w:rPr>
              <w:t>xxxxxxx</w:t>
            </w:r>
          </w:p>
        </w:tc>
      </w:tr>
      <w:tr w:rsidR="00E84B56" w:rsidRPr="005079BE" w14:paraId="20812A08" w14:textId="77777777" w:rsidTr="00433676">
        <w:trPr>
          <w:trHeight w:val="292"/>
        </w:trPr>
        <w:tc>
          <w:tcPr>
            <w:tcW w:w="2547" w:type="dxa"/>
            <w:vMerge/>
            <w:vAlign w:val="center"/>
          </w:tcPr>
          <w:p w14:paraId="3A080FF8" w14:textId="77777777" w:rsidR="005079BE" w:rsidRPr="005079BE" w:rsidRDefault="005079BE" w:rsidP="005079BE">
            <w:pPr>
              <w:spacing w:after="60"/>
              <w:rPr>
                <w:sz w:val="20"/>
                <w:szCs w:val="20"/>
              </w:rPr>
            </w:pPr>
          </w:p>
        </w:tc>
        <w:tc>
          <w:tcPr>
            <w:tcW w:w="992" w:type="dxa"/>
            <w:vAlign w:val="center"/>
          </w:tcPr>
          <w:p w14:paraId="625961CD" w14:textId="19890C14" w:rsidR="005079BE" w:rsidRPr="005079BE" w:rsidRDefault="005079BE" w:rsidP="00957358">
            <w:pPr>
              <w:spacing w:after="60"/>
              <w:rPr>
                <w:sz w:val="20"/>
                <w:szCs w:val="20"/>
              </w:rPr>
            </w:pPr>
            <w:r w:rsidRPr="005079BE">
              <w:rPr>
                <w:sz w:val="20"/>
                <w:szCs w:val="20"/>
              </w:rPr>
              <w:t>9</w:t>
            </w:r>
          </w:p>
        </w:tc>
        <w:tc>
          <w:tcPr>
            <w:tcW w:w="2126" w:type="dxa"/>
            <w:vMerge/>
            <w:vAlign w:val="center"/>
          </w:tcPr>
          <w:p w14:paraId="1A09E4F8" w14:textId="77777777" w:rsidR="005079BE" w:rsidRPr="005079BE" w:rsidRDefault="005079BE" w:rsidP="005079BE">
            <w:pPr>
              <w:spacing w:after="60"/>
              <w:rPr>
                <w:sz w:val="20"/>
                <w:szCs w:val="20"/>
              </w:rPr>
            </w:pPr>
          </w:p>
        </w:tc>
        <w:tc>
          <w:tcPr>
            <w:tcW w:w="4111" w:type="dxa"/>
            <w:vAlign w:val="center"/>
          </w:tcPr>
          <w:p w14:paraId="08A1BC5D" w14:textId="39A10E98" w:rsidR="005079BE" w:rsidRPr="005079BE" w:rsidRDefault="005079BE" w:rsidP="005079BE">
            <w:pPr>
              <w:spacing w:after="60"/>
              <w:rPr>
                <w:sz w:val="20"/>
                <w:szCs w:val="20"/>
              </w:rPr>
            </w:pPr>
            <w:r w:rsidRPr="005079BE">
              <w:rPr>
                <w:sz w:val="20"/>
                <w:szCs w:val="20"/>
              </w:rPr>
              <w:t>Vial sharing 100%</w:t>
            </w:r>
          </w:p>
        </w:tc>
        <w:tc>
          <w:tcPr>
            <w:tcW w:w="1390" w:type="dxa"/>
            <w:vAlign w:val="center"/>
          </w:tcPr>
          <w:p w14:paraId="3FC3ED17" w14:textId="4599932C" w:rsidR="005079BE" w:rsidRPr="00F77ABC" w:rsidRDefault="00F77ABC" w:rsidP="00E52BC1">
            <w:pPr>
              <w:jc w:val="center"/>
              <w:rPr>
                <w:color w:val="000000"/>
                <w:sz w:val="20"/>
                <w:szCs w:val="20"/>
                <w:highlight w:val="black"/>
              </w:rPr>
            </w:pPr>
            <w:r w:rsidRPr="00F77ABC">
              <w:rPr>
                <w:color w:val="000000"/>
                <w:sz w:val="20"/>
                <w:szCs w:val="20"/>
                <w:highlight w:val="black"/>
              </w:rPr>
              <w:t>xxxxxxx</w:t>
            </w:r>
          </w:p>
        </w:tc>
        <w:tc>
          <w:tcPr>
            <w:tcW w:w="1391" w:type="dxa"/>
            <w:vAlign w:val="center"/>
          </w:tcPr>
          <w:p w14:paraId="5A6B52C3" w14:textId="08D5E00D" w:rsidR="005079BE" w:rsidRPr="00F77ABC" w:rsidRDefault="00F77ABC" w:rsidP="00E52BC1">
            <w:pPr>
              <w:jc w:val="center"/>
              <w:rPr>
                <w:color w:val="000000"/>
                <w:sz w:val="20"/>
                <w:szCs w:val="20"/>
                <w:highlight w:val="black"/>
              </w:rPr>
            </w:pPr>
            <w:r w:rsidRPr="00F77ABC">
              <w:rPr>
                <w:color w:val="000000"/>
                <w:sz w:val="20"/>
                <w:szCs w:val="20"/>
                <w:highlight w:val="black"/>
              </w:rPr>
              <w:t>xxxx</w:t>
            </w:r>
          </w:p>
        </w:tc>
        <w:tc>
          <w:tcPr>
            <w:tcW w:w="1391" w:type="dxa"/>
            <w:vAlign w:val="center"/>
          </w:tcPr>
          <w:p w14:paraId="6252E0A6" w14:textId="12FE5CB4" w:rsidR="005079BE" w:rsidRPr="00F77ABC" w:rsidRDefault="00F77ABC" w:rsidP="00E52BC1">
            <w:pPr>
              <w:jc w:val="center"/>
              <w:rPr>
                <w:color w:val="000000"/>
                <w:sz w:val="20"/>
                <w:szCs w:val="20"/>
                <w:highlight w:val="black"/>
              </w:rPr>
            </w:pPr>
            <w:r w:rsidRPr="00F77ABC">
              <w:rPr>
                <w:color w:val="000000"/>
                <w:sz w:val="20"/>
                <w:szCs w:val="20"/>
                <w:highlight w:val="black"/>
              </w:rPr>
              <w:t>xxxxxxx</w:t>
            </w:r>
          </w:p>
        </w:tc>
      </w:tr>
      <w:tr w:rsidR="00E84B56" w:rsidRPr="005079BE" w14:paraId="0C16BAD6" w14:textId="77777777" w:rsidTr="00433676">
        <w:trPr>
          <w:trHeight w:val="292"/>
        </w:trPr>
        <w:tc>
          <w:tcPr>
            <w:tcW w:w="2547" w:type="dxa"/>
            <w:vAlign w:val="center"/>
          </w:tcPr>
          <w:p w14:paraId="163633B3" w14:textId="77777777" w:rsidR="005079BE" w:rsidRPr="005079BE" w:rsidRDefault="005079BE" w:rsidP="005079BE">
            <w:pPr>
              <w:spacing w:after="60"/>
              <w:rPr>
                <w:sz w:val="20"/>
                <w:szCs w:val="20"/>
              </w:rPr>
            </w:pPr>
            <w:r w:rsidRPr="005079BE">
              <w:rPr>
                <w:sz w:val="20"/>
                <w:szCs w:val="20"/>
              </w:rPr>
              <w:t>Utilities</w:t>
            </w:r>
          </w:p>
        </w:tc>
        <w:tc>
          <w:tcPr>
            <w:tcW w:w="992" w:type="dxa"/>
            <w:vAlign w:val="center"/>
          </w:tcPr>
          <w:p w14:paraId="386A15BF" w14:textId="72B9A0F3" w:rsidR="005079BE" w:rsidRPr="005079BE" w:rsidRDefault="005079BE" w:rsidP="00957358">
            <w:pPr>
              <w:spacing w:after="60"/>
              <w:rPr>
                <w:sz w:val="20"/>
                <w:szCs w:val="20"/>
              </w:rPr>
            </w:pPr>
            <w:r w:rsidRPr="005079BE">
              <w:rPr>
                <w:sz w:val="20"/>
                <w:szCs w:val="20"/>
              </w:rPr>
              <w:t>10</w:t>
            </w:r>
          </w:p>
        </w:tc>
        <w:tc>
          <w:tcPr>
            <w:tcW w:w="2126" w:type="dxa"/>
            <w:vAlign w:val="center"/>
          </w:tcPr>
          <w:p w14:paraId="58D1114F" w14:textId="56609245" w:rsidR="005079BE" w:rsidRPr="005079BE" w:rsidRDefault="005079BE" w:rsidP="005079BE">
            <w:pPr>
              <w:spacing w:after="60"/>
              <w:rPr>
                <w:sz w:val="20"/>
                <w:szCs w:val="20"/>
              </w:rPr>
            </w:pPr>
            <w:r w:rsidRPr="005079BE">
              <w:rPr>
                <w:sz w:val="20"/>
                <w:szCs w:val="20"/>
              </w:rPr>
              <w:t>Progressed disease utilities sourced from Lloyd et al. 2006</w:t>
            </w:r>
          </w:p>
        </w:tc>
        <w:tc>
          <w:tcPr>
            <w:tcW w:w="4111" w:type="dxa"/>
            <w:vAlign w:val="center"/>
          </w:tcPr>
          <w:p w14:paraId="6791E421" w14:textId="51D854FB" w:rsidR="005079BE" w:rsidRPr="005079BE" w:rsidRDefault="005079BE" w:rsidP="005079BE">
            <w:pPr>
              <w:spacing w:after="60"/>
              <w:rPr>
                <w:sz w:val="20"/>
                <w:szCs w:val="20"/>
              </w:rPr>
            </w:pPr>
            <w:r w:rsidRPr="005079BE">
              <w:rPr>
                <w:sz w:val="20"/>
                <w:szCs w:val="20"/>
              </w:rPr>
              <w:t>Progressed disease utilities sourced from DESTINY-Breast04 trial.</w:t>
            </w:r>
          </w:p>
        </w:tc>
        <w:tc>
          <w:tcPr>
            <w:tcW w:w="1390" w:type="dxa"/>
            <w:vAlign w:val="center"/>
          </w:tcPr>
          <w:p w14:paraId="62E9BD6C" w14:textId="325D5E5C" w:rsidR="005079BE" w:rsidRPr="00F77ABC" w:rsidRDefault="00F77ABC" w:rsidP="00E52BC1">
            <w:pPr>
              <w:jc w:val="center"/>
              <w:rPr>
                <w:color w:val="000000"/>
                <w:sz w:val="20"/>
                <w:szCs w:val="20"/>
                <w:highlight w:val="black"/>
              </w:rPr>
            </w:pPr>
            <w:r w:rsidRPr="00F77ABC">
              <w:rPr>
                <w:color w:val="000000"/>
                <w:sz w:val="20"/>
                <w:szCs w:val="20"/>
                <w:highlight w:val="black"/>
              </w:rPr>
              <w:t>xxxxxxx</w:t>
            </w:r>
          </w:p>
        </w:tc>
        <w:tc>
          <w:tcPr>
            <w:tcW w:w="1391" w:type="dxa"/>
            <w:vAlign w:val="center"/>
          </w:tcPr>
          <w:p w14:paraId="3C14C69B" w14:textId="7FB14ECA" w:rsidR="005079BE" w:rsidRPr="00F77ABC" w:rsidRDefault="00F77ABC" w:rsidP="00E52BC1">
            <w:pPr>
              <w:jc w:val="center"/>
              <w:rPr>
                <w:color w:val="000000"/>
                <w:sz w:val="20"/>
                <w:szCs w:val="20"/>
                <w:highlight w:val="black"/>
              </w:rPr>
            </w:pPr>
            <w:r w:rsidRPr="00F77ABC">
              <w:rPr>
                <w:color w:val="000000"/>
                <w:sz w:val="20"/>
                <w:szCs w:val="20"/>
                <w:highlight w:val="black"/>
              </w:rPr>
              <w:t>xxxx</w:t>
            </w:r>
          </w:p>
        </w:tc>
        <w:tc>
          <w:tcPr>
            <w:tcW w:w="1391" w:type="dxa"/>
            <w:vAlign w:val="center"/>
          </w:tcPr>
          <w:p w14:paraId="0413F125" w14:textId="40FC9A34" w:rsidR="005079BE" w:rsidRPr="00F77ABC" w:rsidRDefault="00F77ABC" w:rsidP="00E52BC1">
            <w:pPr>
              <w:jc w:val="center"/>
              <w:rPr>
                <w:color w:val="000000"/>
                <w:sz w:val="20"/>
                <w:szCs w:val="20"/>
                <w:highlight w:val="black"/>
              </w:rPr>
            </w:pPr>
            <w:r w:rsidRPr="00F77ABC">
              <w:rPr>
                <w:color w:val="000000"/>
                <w:sz w:val="20"/>
                <w:szCs w:val="20"/>
                <w:highlight w:val="black"/>
              </w:rPr>
              <w:t>xxxxxxx</w:t>
            </w:r>
          </w:p>
        </w:tc>
      </w:tr>
      <w:tr w:rsidR="00E84B56" w:rsidRPr="005079BE" w14:paraId="6B65A14F" w14:textId="77777777" w:rsidTr="00433676">
        <w:trPr>
          <w:trHeight w:val="292"/>
        </w:trPr>
        <w:tc>
          <w:tcPr>
            <w:tcW w:w="2547" w:type="dxa"/>
            <w:vMerge w:val="restart"/>
            <w:vAlign w:val="center"/>
          </w:tcPr>
          <w:p w14:paraId="5F0A6587" w14:textId="3A0F9B36" w:rsidR="005079BE" w:rsidRPr="005079BE" w:rsidRDefault="00B47096" w:rsidP="005079BE">
            <w:pPr>
              <w:spacing w:after="60"/>
              <w:rPr>
                <w:sz w:val="20"/>
                <w:szCs w:val="20"/>
              </w:rPr>
            </w:pPr>
            <w:r w:rsidRPr="00E72C84">
              <w:rPr>
                <w:sz w:val="20"/>
                <w:szCs w:val="20"/>
              </w:rPr>
              <w:t>OS extrapolations</w:t>
            </w:r>
            <w:r>
              <w:rPr>
                <w:sz w:val="20"/>
                <w:szCs w:val="20"/>
              </w:rPr>
              <w:t xml:space="preserve"> </w:t>
            </w:r>
            <w:r w:rsidR="00957358">
              <w:rPr>
                <w:sz w:val="20"/>
                <w:szCs w:val="20"/>
              </w:rPr>
              <w:br/>
            </w:r>
            <w:r>
              <w:rPr>
                <w:sz w:val="20"/>
                <w:szCs w:val="20"/>
              </w:rPr>
              <w:t>(applied to T-DXd and TPC)</w:t>
            </w:r>
          </w:p>
        </w:tc>
        <w:tc>
          <w:tcPr>
            <w:tcW w:w="992" w:type="dxa"/>
            <w:vAlign w:val="center"/>
          </w:tcPr>
          <w:p w14:paraId="2CE5D851" w14:textId="7340FAF2" w:rsidR="005079BE" w:rsidRPr="005079BE" w:rsidRDefault="005079BE" w:rsidP="00957358">
            <w:pPr>
              <w:spacing w:after="60"/>
              <w:rPr>
                <w:sz w:val="20"/>
                <w:szCs w:val="20"/>
              </w:rPr>
            </w:pPr>
            <w:r w:rsidRPr="005079BE">
              <w:rPr>
                <w:sz w:val="20"/>
                <w:szCs w:val="20"/>
              </w:rPr>
              <w:t>11</w:t>
            </w:r>
          </w:p>
        </w:tc>
        <w:tc>
          <w:tcPr>
            <w:tcW w:w="2126" w:type="dxa"/>
            <w:vMerge w:val="restart"/>
            <w:vAlign w:val="center"/>
          </w:tcPr>
          <w:p w14:paraId="08A860F7" w14:textId="1EE806FC" w:rsidR="005079BE" w:rsidRPr="005079BE" w:rsidRDefault="005079BE" w:rsidP="005079BE">
            <w:pPr>
              <w:spacing w:after="60"/>
              <w:rPr>
                <w:sz w:val="20"/>
                <w:szCs w:val="20"/>
              </w:rPr>
            </w:pPr>
            <w:r w:rsidRPr="005079BE">
              <w:rPr>
                <w:sz w:val="20"/>
                <w:szCs w:val="20"/>
              </w:rPr>
              <w:t>Log-logistic</w:t>
            </w:r>
          </w:p>
        </w:tc>
        <w:tc>
          <w:tcPr>
            <w:tcW w:w="4111" w:type="dxa"/>
            <w:vAlign w:val="center"/>
          </w:tcPr>
          <w:p w14:paraId="3E9C866C" w14:textId="4660A8C5" w:rsidR="005079BE" w:rsidRPr="005079BE" w:rsidRDefault="005079BE" w:rsidP="005079BE">
            <w:pPr>
              <w:spacing w:after="60"/>
              <w:rPr>
                <w:sz w:val="20"/>
                <w:szCs w:val="20"/>
              </w:rPr>
            </w:pPr>
            <w:r w:rsidRPr="005079BE">
              <w:rPr>
                <w:sz w:val="20"/>
                <w:szCs w:val="20"/>
              </w:rPr>
              <w:t>Exponential</w:t>
            </w:r>
          </w:p>
        </w:tc>
        <w:tc>
          <w:tcPr>
            <w:tcW w:w="1390" w:type="dxa"/>
            <w:vAlign w:val="center"/>
          </w:tcPr>
          <w:p w14:paraId="15DDBAE6" w14:textId="6DD0610A" w:rsidR="005079BE" w:rsidRPr="00F77ABC" w:rsidRDefault="00F77ABC" w:rsidP="00E52BC1">
            <w:pPr>
              <w:jc w:val="center"/>
              <w:rPr>
                <w:color w:val="000000"/>
                <w:sz w:val="20"/>
                <w:szCs w:val="20"/>
                <w:highlight w:val="black"/>
              </w:rPr>
            </w:pPr>
            <w:r w:rsidRPr="00F77ABC">
              <w:rPr>
                <w:color w:val="000000"/>
                <w:sz w:val="20"/>
                <w:szCs w:val="20"/>
                <w:highlight w:val="black"/>
              </w:rPr>
              <w:t>xxxxxxx</w:t>
            </w:r>
          </w:p>
        </w:tc>
        <w:tc>
          <w:tcPr>
            <w:tcW w:w="1391" w:type="dxa"/>
            <w:vAlign w:val="center"/>
          </w:tcPr>
          <w:p w14:paraId="7657BEFA" w14:textId="04FD157F" w:rsidR="005079BE" w:rsidRPr="00F77ABC" w:rsidRDefault="00F77ABC" w:rsidP="00E52BC1">
            <w:pPr>
              <w:jc w:val="center"/>
              <w:rPr>
                <w:color w:val="000000"/>
                <w:sz w:val="20"/>
                <w:szCs w:val="20"/>
                <w:highlight w:val="black"/>
              </w:rPr>
            </w:pPr>
            <w:r w:rsidRPr="00F77ABC">
              <w:rPr>
                <w:color w:val="000000"/>
                <w:sz w:val="20"/>
                <w:szCs w:val="20"/>
                <w:highlight w:val="black"/>
              </w:rPr>
              <w:t>xxxx</w:t>
            </w:r>
          </w:p>
        </w:tc>
        <w:tc>
          <w:tcPr>
            <w:tcW w:w="1391" w:type="dxa"/>
            <w:vAlign w:val="center"/>
          </w:tcPr>
          <w:p w14:paraId="1F466A38" w14:textId="19DD4220" w:rsidR="005079BE" w:rsidRPr="00F77ABC" w:rsidRDefault="00F77ABC" w:rsidP="00E52BC1">
            <w:pPr>
              <w:jc w:val="center"/>
              <w:rPr>
                <w:color w:val="000000"/>
                <w:sz w:val="20"/>
                <w:szCs w:val="20"/>
                <w:highlight w:val="black"/>
              </w:rPr>
            </w:pPr>
            <w:r w:rsidRPr="00F77ABC">
              <w:rPr>
                <w:color w:val="000000"/>
                <w:sz w:val="20"/>
                <w:szCs w:val="20"/>
                <w:highlight w:val="black"/>
              </w:rPr>
              <w:t>xxxxxxx</w:t>
            </w:r>
          </w:p>
        </w:tc>
      </w:tr>
      <w:tr w:rsidR="00E84B56" w:rsidRPr="005079BE" w14:paraId="1260F4A7" w14:textId="77777777" w:rsidTr="00433676">
        <w:trPr>
          <w:trHeight w:val="292"/>
        </w:trPr>
        <w:tc>
          <w:tcPr>
            <w:tcW w:w="2547" w:type="dxa"/>
            <w:vMerge/>
            <w:vAlign w:val="center"/>
          </w:tcPr>
          <w:p w14:paraId="70693727" w14:textId="77777777" w:rsidR="005079BE" w:rsidRPr="005079BE" w:rsidRDefault="005079BE" w:rsidP="005079BE">
            <w:pPr>
              <w:spacing w:after="60"/>
              <w:rPr>
                <w:sz w:val="20"/>
                <w:szCs w:val="20"/>
              </w:rPr>
            </w:pPr>
          </w:p>
        </w:tc>
        <w:tc>
          <w:tcPr>
            <w:tcW w:w="992" w:type="dxa"/>
            <w:vAlign w:val="center"/>
          </w:tcPr>
          <w:p w14:paraId="0F75CAC2" w14:textId="03C24BA0" w:rsidR="005079BE" w:rsidRPr="005079BE" w:rsidRDefault="005079BE" w:rsidP="00957358">
            <w:pPr>
              <w:spacing w:after="60"/>
              <w:rPr>
                <w:sz w:val="20"/>
                <w:szCs w:val="20"/>
              </w:rPr>
            </w:pPr>
            <w:r w:rsidRPr="005079BE">
              <w:rPr>
                <w:sz w:val="20"/>
                <w:szCs w:val="20"/>
              </w:rPr>
              <w:t>1</w:t>
            </w:r>
            <w:r w:rsidR="00586766">
              <w:rPr>
                <w:sz w:val="20"/>
                <w:szCs w:val="20"/>
              </w:rPr>
              <w:t>2</w:t>
            </w:r>
          </w:p>
        </w:tc>
        <w:tc>
          <w:tcPr>
            <w:tcW w:w="2126" w:type="dxa"/>
            <w:vMerge/>
            <w:vAlign w:val="center"/>
          </w:tcPr>
          <w:p w14:paraId="34F0240F" w14:textId="174A7F18" w:rsidR="005079BE" w:rsidRPr="005079BE" w:rsidRDefault="005079BE" w:rsidP="005079BE">
            <w:pPr>
              <w:spacing w:after="60"/>
              <w:rPr>
                <w:sz w:val="20"/>
                <w:szCs w:val="20"/>
              </w:rPr>
            </w:pPr>
          </w:p>
        </w:tc>
        <w:tc>
          <w:tcPr>
            <w:tcW w:w="4111" w:type="dxa"/>
            <w:vAlign w:val="center"/>
          </w:tcPr>
          <w:p w14:paraId="7BA41409" w14:textId="1FFA6861" w:rsidR="005079BE" w:rsidRPr="005079BE" w:rsidRDefault="005079BE" w:rsidP="005079BE">
            <w:pPr>
              <w:spacing w:after="60"/>
              <w:rPr>
                <w:sz w:val="20"/>
                <w:szCs w:val="20"/>
              </w:rPr>
            </w:pPr>
            <w:r w:rsidRPr="005079BE">
              <w:rPr>
                <w:sz w:val="20"/>
                <w:szCs w:val="20"/>
              </w:rPr>
              <w:t>Log-normal</w:t>
            </w:r>
          </w:p>
        </w:tc>
        <w:tc>
          <w:tcPr>
            <w:tcW w:w="1390" w:type="dxa"/>
            <w:vAlign w:val="center"/>
          </w:tcPr>
          <w:p w14:paraId="60A18D23" w14:textId="6ED2B676" w:rsidR="005079BE" w:rsidRPr="00F77ABC" w:rsidRDefault="00F77ABC" w:rsidP="00E52BC1">
            <w:pPr>
              <w:jc w:val="center"/>
              <w:rPr>
                <w:color w:val="000000"/>
                <w:sz w:val="20"/>
                <w:szCs w:val="20"/>
                <w:highlight w:val="black"/>
              </w:rPr>
            </w:pPr>
            <w:r w:rsidRPr="00F77ABC">
              <w:rPr>
                <w:color w:val="000000"/>
                <w:sz w:val="20"/>
                <w:szCs w:val="20"/>
                <w:highlight w:val="black"/>
              </w:rPr>
              <w:t>xxxxxxx</w:t>
            </w:r>
          </w:p>
        </w:tc>
        <w:tc>
          <w:tcPr>
            <w:tcW w:w="1391" w:type="dxa"/>
            <w:vAlign w:val="center"/>
          </w:tcPr>
          <w:p w14:paraId="30B058E6" w14:textId="5E96D8F6" w:rsidR="005079BE" w:rsidRPr="00F77ABC" w:rsidRDefault="00F77ABC" w:rsidP="00E52BC1">
            <w:pPr>
              <w:jc w:val="center"/>
              <w:rPr>
                <w:color w:val="000000"/>
                <w:sz w:val="20"/>
                <w:szCs w:val="20"/>
                <w:highlight w:val="black"/>
              </w:rPr>
            </w:pPr>
            <w:r w:rsidRPr="00F77ABC">
              <w:rPr>
                <w:color w:val="000000"/>
                <w:sz w:val="20"/>
                <w:szCs w:val="20"/>
                <w:highlight w:val="black"/>
              </w:rPr>
              <w:t>xxxx</w:t>
            </w:r>
          </w:p>
        </w:tc>
        <w:tc>
          <w:tcPr>
            <w:tcW w:w="1391" w:type="dxa"/>
            <w:vAlign w:val="center"/>
          </w:tcPr>
          <w:p w14:paraId="784F3995" w14:textId="281EAB74" w:rsidR="005079BE" w:rsidRPr="00F77ABC" w:rsidRDefault="00F77ABC" w:rsidP="00E52BC1">
            <w:pPr>
              <w:jc w:val="center"/>
              <w:rPr>
                <w:color w:val="000000"/>
                <w:sz w:val="20"/>
                <w:szCs w:val="20"/>
                <w:highlight w:val="black"/>
              </w:rPr>
            </w:pPr>
            <w:r w:rsidRPr="00F77ABC">
              <w:rPr>
                <w:color w:val="000000"/>
                <w:sz w:val="20"/>
                <w:szCs w:val="20"/>
                <w:highlight w:val="black"/>
              </w:rPr>
              <w:t>xxxxxxx</w:t>
            </w:r>
          </w:p>
        </w:tc>
      </w:tr>
      <w:tr w:rsidR="00E84B56" w:rsidRPr="005079BE" w14:paraId="39806529" w14:textId="77777777" w:rsidTr="00433676">
        <w:trPr>
          <w:trHeight w:val="292"/>
        </w:trPr>
        <w:tc>
          <w:tcPr>
            <w:tcW w:w="2547" w:type="dxa"/>
            <w:vMerge w:val="restart"/>
            <w:vAlign w:val="center"/>
          </w:tcPr>
          <w:p w14:paraId="07D8ADA4" w14:textId="4FDBE6E8" w:rsidR="005079BE" w:rsidRPr="005079BE" w:rsidRDefault="00B47096" w:rsidP="005079BE">
            <w:pPr>
              <w:spacing w:after="60"/>
              <w:rPr>
                <w:sz w:val="20"/>
                <w:szCs w:val="20"/>
              </w:rPr>
            </w:pPr>
            <w:bookmarkStart w:id="860" w:name="_Hlk129281872"/>
            <w:r w:rsidRPr="00E72C84">
              <w:rPr>
                <w:sz w:val="20"/>
                <w:szCs w:val="20"/>
              </w:rPr>
              <w:t>PFS extrapolations</w:t>
            </w:r>
            <w:r>
              <w:rPr>
                <w:sz w:val="20"/>
                <w:szCs w:val="20"/>
              </w:rPr>
              <w:t xml:space="preserve"> </w:t>
            </w:r>
            <w:r w:rsidR="00957358">
              <w:rPr>
                <w:sz w:val="20"/>
                <w:szCs w:val="20"/>
              </w:rPr>
              <w:br/>
            </w:r>
            <w:r>
              <w:rPr>
                <w:sz w:val="20"/>
                <w:szCs w:val="20"/>
              </w:rPr>
              <w:t>(applied to T-DXd and TPC)</w:t>
            </w:r>
          </w:p>
        </w:tc>
        <w:tc>
          <w:tcPr>
            <w:tcW w:w="992" w:type="dxa"/>
            <w:vAlign w:val="center"/>
          </w:tcPr>
          <w:p w14:paraId="1E8A0E60" w14:textId="42362B72" w:rsidR="005079BE" w:rsidRPr="005079BE" w:rsidRDefault="005079BE" w:rsidP="00957358">
            <w:pPr>
              <w:spacing w:after="60"/>
              <w:rPr>
                <w:sz w:val="20"/>
                <w:szCs w:val="20"/>
              </w:rPr>
            </w:pPr>
            <w:r w:rsidRPr="005079BE">
              <w:rPr>
                <w:sz w:val="20"/>
                <w:szCs w:val="20"/>
              </w:rPr>
              <w:t>1</w:t>
            </w:r>
            <w:r w:rsidR="00586766">
              <w:rPr>
                <w:sz w:val="20"/>
                <w:szCs w:val="20"/>
              </w:rPr>
              <w:t>3</w:t>
            </w:r>
          </w:p>
        </w:tc>
        <w:tc>
          <w:tcPr>
            <w:tcW w:w="2126" w:type="dxa"/>
            <w:vMerge w:val="restart"/>
            <w:vAlign w:val="center"/>
          </w:tcPr>
          <w:p w14:paraId="31562948" w14:textId="332D9419" w:rsidR="005079BE" w:rsidRPr="005079BE" w:rsidRDefault="00B47096" w:rsidP="005079BE">
            <w:pPr>
              <w:spacing w:after="60"/>
              <w:rPr>
                <w:sz w:val="20"/>
                <w:szCs w:val="20"/>
              </w:rPr>
            </w:pPr>
            <w:r w:rsidRPr="00E72C84">
              <w:rPr>
                <w:sz w:val="20"/>
                <w:szCs w:val="20"/>
              </w:rPr>
              <w:t>Log-logistic</w:t>
            </w:r>
          </w:p>
        </w:tc>
        <w:tc>
          <w:tcPr>
            <w:tcW w:w="4111" w:type="dxa"/>
            <w:vAlign w:val="center"/>
          </w:tcPr>
          <w:p w14:paraId="517A6FAB" w14:textId="223A3613" w:rsidR="005079BE" w:rsidRPr="005079BE" w:rsidRDefault="005079BE" w:rsidP="005079BE">
            <w:pPr>
              <w:spacing w:after="60"/>
              <w:rPr>
                <w:sz w:val="20"/>
                <w:szCs w:val="20"/>
              </w:rPr>
            </w:pPr>
            <w:r w:rsidRPr="005079BE">
              <w:rPr>
                <w:sz w:val="20"/>
                <w:szCs w:val="20"/>
              </w:rPr>
              <w:t>Exponential</w:t>
            </w:r>
          </w:p>
        </w:tc>
        <w:tc>
          <w:tcPr>
            <w:tcW w:w="1390" w:type="dxa"/>
            <w:vAlign w:val="center"/>
          </w:tcPr>
          <w:p w14:paraId="611ADC05" w14:textId="2729F010" w:rsidR="005079BE" w:rsidRPr="00F77ABC" w:rsidRDefault="00F77ABC" w:rsidP="00E52BC1">
            <w:pPr>
              <w:jc w:val="center"/>
              <w:rPr>
                <w:color w:val="000000"/>
                <w:sz w:val="20"/>
                <w:szCs w:val="20"/>
                <w:highlight w:val="black"/>
              </w:rPr>
            </w:pPr>
            <w:r w:rsidRPr="00F77ABC">
              <w:rPr>
                <w:color w:val="000000"/>
                <w:sz w:val="20"/>
                <w:szCs w:val="20"/>
                <w:highlight w:val="black"/>
              </w:rPr>
              <w:t>xxxxxxx</w:t>
            </w:r>
          </w:p>
        </w:tc>
        <w:tc>
          <w:tcPr>
            <w:tcW w:w="1391" w:type="dxa"/>
            <w:vAlign w:val="center"/>
          </w:tcPr>
          <w:p w14:paraId="5E77910B" w14:textId="7489C07D" w:rsidR="005079BE" w:rsidRPr="00F77ABC" w:rsidRDefault="00F77ABC" w:rsidP="00E52BC1">
            <w:pPr>
              <w:jc w:val="center"/>
              <w:rPr>
                <w:color w:val="000000"/>
                <w:sz w:val="20"/>
                <w:szCs w:val="20"/>
                <w:highlight w:val="black"/>
              </w:rPr>
            </w:pPr>
            <w:r w:rsidRPr="00F77ABC">
              <w:rPr>
                <w:color w:val="000000"/>
                <w:sz w:val="20"/>
                <w:szCs w:val="20"/>
                <w:highlight w:val="black"/>
              </w:rPr>
              <w:t>xxxx</w:t>
            </w:r>
          </w:p>
        </w:tc>
        <w:tc>
          <w:tcPr>
            <w:tcW w:w="1391" w:type="dxa"/>
            <w:vAlign w:val="center"/>
          </w:tcPr>
          <w:p w14:paraId="2C043C0C" w14:textId="1F211EAD" w:rsidR="005079BE" w:rsidRPr="00F77ABC" w:rsidRDefault="00F77ABC" w:rsidP="00E52BC1">
            <w:pPr>
              <w:jc w:val="center"/>
              <w:rPr>
                <w:color w:val="000000"/>
                <w:sz w:val="20"/>
                <w:szCs w:val="20"/>
                <w:highlight w:val="black"/>
              </w:rPr>
            </w:pPr>
            <w:r w:rsidRPr="00F77ABC">
              <w:rPr>
                <w:color w:val="000000"/>
                <w:sz w:val="20"/>
                <w:szCs w:val="20"/>
                <w:highlight w:val="black"/>
              </w:rPr>
              <w:t>xxxxxxx</w:t>
            </w:r>
          </w:p>
        </w:tc>
      </w:tr>
      <w:tr w:rsidR="00E84B56" w:rsidRPr="005079BE" w14:paraId="49C46DD3" w14:textId="77777777" w:rsidTr="00433676">
        <w:trPr>
          <w:trHeight w:val="145"/>
        </w:trPr>
        <w:tc>
          <w:tcPr>
            <w:tcW w:w="2547" w:type="dxa"/>
            <w:vMerge/>
            <w:vAlign w:val="center"/>
          </w:tcPr>
          <w:p w14:paraId="0DB5B6B5" w14:textId="77777777" w:rsidR="005079BE" w:rsidRPr="005079BE" w:rsidRDefault="005079BE" w:rsidP="005079BE">
            <w:pPr>
              <w:spacing w:after="60"/>
              <w:rPr>
                <w:sz w:val="20"/>
                <w:szCs w:val="20"/>
              </w:rPr>
            </w:pPr>
          </w:p>
        </w:tc>
        <w:tc>
          <w:tcPr>
            <w:tcW w:w="992" w:type="dxa"/>
            <w:vAlign w:val="center"/>
          </w:tcPr>
          <w:p w14:paraId="0F2EE4F2" w14:textId="76975B32" w:rsidR="005079BE" w:rsidRPr="005079BE" w:rsidRDefault="005079BE" w:rsidP="00957358">
            <w:pPr>
              <w:spacing w:after="60"/>
              <w:rPr>
                <w:sz w:val="20"/>
                <w:szCs w:val="20"/>
              </w:rPr>
            </w:pPr>
            <w:r w:rsidRPr="005079BE">
              <w:rPr>
                <w:sz w:val="20"/>
                <w:szCs w:val="20"/>
              </w:rPr>
              <w:t>1</w:t>
            </w:r>
            <w:r w:rsidR="00586766">
              <w:rPr>
                <w:sz w:val="20"/>
                <w:szCs w:val="20"/>
              </w:rPr>
              <w:t>4</w:t>
            </w:r>
          </w:p>
        </w:tc>
        <w:tc>
          <w:tcPr>
            <w:tcW w:w="2126" w:type="dxa"/>
            <w:vMerge/>
            <w:vAlign w:val="center"/>
          </w:tcPr>
          <w:p w14:paraId="1511CB51" w14:textId="65BEF302" w:rsidR="005079BE" w:rsidRPr="005079BE" w:rsidRDefault="005079BE" w:rsidP="005079BE">
            <w:pPr>
              <w:spacing w:after="60"/>
              <w:rPr>
                <w:sz w:val="20"/>
                <w:szCs w:val="20"/>
              </w:rPr>
            </w:pPr>
          </w:p>
        </w:tc>
        <w:tc>
          <w:tcPr>
            <w:tcW w:w="4111" w:type="dxa"/>
            <w:vAlign w:val="center"/>
          </w:tcPr>
          <w:p w14:paraId="66B1AD21" w14:textId="697D749B" w:rsidR="005079BE" w:rsidRPr="005079BE" w:rsidRDefault="005079BE" w:rsidP="005079BE">
            <w:pPr>
              <w:spacing w:after="60"/>
              <w:rPr>
                <w:sz w:val="20"/>
                <w:szCs w:val="20"/>
              </w:rPr>
            </w:pPr>
            <w:r w:rsidRPr="005079BE">
              <w:rPr>
                <w:sz w:val="20"/>
                <w:szCs w:val="20"/>
              </w:rPr>
              <w:t>Weibull</w:t>
            </w:r>
          </w:p>
        </w:tc>
        <w:tc>
          <w:tcPr>
            <w:tcW w:w="1390" w:type="dxa"/>
            <w:vAlign w:val="center"/>
          </w:tcPr>
          <w:p w14:paraId="494BA880" w14:textId="7E325FD7" w:rsidR="005079BE" w:rsidRPr="00F77ABC" w:rsidRDefault="00F77ABC" w:rsidP="00E52BC1">
            <w:pPr>
              <w:jc w:val="center"/>
              <w:rPr>
                <w:color w:val="000000"/>
                <w:sz w:val="20"/>
                <w:szCs w:val="20"/>
                <w:highlight w:val="black"/>
              </w:rPr>
            </w:pPr>
            <w:r w:rsidRPr="00F77ABC">
              <w:rPr>
                <w:color w:val="000000"/>
                <w:sz w:val="20"/>
                <w:szCs w:val="20"/>
                <w:highlight w:val="black"/>
              </w:rPr>
              <w:t>xxxxxxx</w:t>
            </w:r>
          </w:p>
        </w:tc>
        <w:tc>
          <w:tcPr>
            <w:tcW w:w="1391" w:type="dxa"/>
            <w:vAlign w:val="center"/>
          </w:tcPr>
          <w:p w14:paraId="768C0459" w14:textId="584BEE72" w:rsidR="005079BE" w:rsidRPr="00F77ABC" w:rsidRDefault="00F77ABC" w:rsidP="00E52BC1">
            <w:pPr>
              <w:jc w:val="center"/>
              <w:rPr>
                <w:color w:val="000000"/>
                <w:sz w:val="20"/>
                <w:szCs w:val="20"/>
                <w:highlight w:val="black"/>
              </w:rPr>
            </w:pPr>
            <w:r w:rsidRPr="00F77ABC">
              <w:rPr>
                <w:color w:val="000000"/>
                <w:sz w:val="20"/>
                <w:szCs w:val="20"/>
                <w:highlight w:val="black"/>
              </w:rPr>
              <w:t>xxxx</w:t>
            </w:r>
          </w:p>
        </w:tc>
        <w:tc>
          <w:tcPr>
            <w:tcW w:w="1391" w:type="dxa"/>
            <w:vAlign w:val="center"/>
          </w:tcPr>
          <w:p w14:paraId="748FBFF7" w14:textId="5E171A01" w:rsidR="005079BE" w:rsidRPr="00F77ABC" w:rsidRDefault="00F77ABC" w:rsidP="00E52BC1">
            <w:pPr>
              <w:jc w:val="center"/>
              <w:rPr>
                <w:color w:val="000000"/>
                <w:sz w:val="20"/>
                <w:szCs w:val="20"/>
                <w:highlight w:val="black"/>
              </w:rPr>
            </w:pPr>
            <w:r w:rsidRPr="00F77ABC">
              <w:rPr>
                <w:color w:val="000000"/>
                <w:sz w:val="20"/>
                <w:szCs w:val="20"/>
                <w:highlight w:val="black"/>
              </w:rPr>
              <w:t>xxxxxxx</w:t>
            </w:r>
          </w:p>
        </w:tc>
      </w:tr>
      <w:tr w:rsidR="00E84B56" w:rsidRPr="005079BE" w14:paraId="51ABA73E" w14:textId="77777777" w:rsidTr="00433676">
        <w:trPr>
          <w:trHeight w:val="145"/>
        </w:trPr>
        <w:tc>
          <w:tcPr>
            <w:tcW w:w="2547" w:type="dxa"/>
            <w:vMerge/>
            <w:vAlign w:val="center"/>
          </w:tcPr>
          <w:p w14:paraId="0FB624AD" w14:textId="77777777" w:rsidR="005079BE" w:rsidRPr="005079BE" w:rsidRDefault="005079BE" w:rsidP="005079BE">
            <w:pPr>
              <w:spacing w:after="60"/>
              <w:rPr>
                <w:sz w:val="20"/>
                <w:szCs w:val="20"/>
              </w:rPr>
            </w:pPr>
          </w:p>
        </w:tc>
        <w:tc>
          <w:tcPr>
            <w:tcW w:w="992" w:type="dxa"/>
            <w:vAlign w:val="center"/>
          </w:tcPr>
          <w:p w14:paraId="59A9BF56" w14:textId="27927E62" w:rsidR="005079BE" w:rsidRPr="005079BE" w:rsidRDefault="005079BE" w:rsidP="00957358">
            <w:pPr>
              <w:spacing w:after="60"/>
              <w:rPr>
                <w:sz w:val="20"/>
                <w:szCs w:val="20"/>
              </w:rPr>
            </w:pPr>
            <w:r w:rsidRPr="005079BE">
              <w:rPr>
                <w:sz w:val="20"/>
                <w:szCs w:val="20"/>
              </w:rPr>
              <w:t>1</w:t>
            </w:r>
            <w:r w:rsidR="00586766">
              <w:rPr>
                <w:sz w:val="20"/>
                <w:szCs w:val="20"/>
              </w:rPr>
              <w:t>5</w:t>
            </w:r>
          </w:p>
        </w:tc>
        <w:tc>
          <w:tcPr>
            <w:tcW w:w="2126" w:type="dxa"/>
            <w:vMerge/>
            <w:vAlign w:val="center"/>
          </w:tcPr>
          <w:p w14:paraId="601E32D0" w14:textId="553D8271" w:rsidR="005079BE" w:rsidRPr="005079BE" w:rsidRDefault="005079BE" w:rsidP="005079BE">
            <w:pPr>
              <w:spacing w:after="60"/>
              <w:rPr>
                <w:sz w:val="20"/>
                <w:szCs w:val="20"/>
              </w:rPr>
            </w:pPr>
          </w:p>
        </w:tc>
        <w:tc>
          <w:tcPr>
            <w:tcW w:w="4111" w:type="dxa"/>
            <w:vAlign w:val="center"/>
          </w:tcPr>
          <w:p w14:paraId="019036F9" w14:textId="33C21A7E" w:rsidR="005079BE" w:rsidRPr="005079BE" w:rsidRDefault="005079BE" w:rsidP="005079BE">
            <w:pPr>
              <w:spacing w:after="60"/>
              <w:rPr>
                <w:sz w:val="20"/>
                <w:szCs w:val="20"/>
              </w:rPr>
            </w:pPr>
            <w:r w:rsidRPr="005079BE">
              <w:rPr>
                <w:sz w:val="20"/>
                <w:szCs w:val="20"/>
              </w:rPr>
              <w:t>Gompertz</w:t>
            </w:r>
          </w:p>
        </w:tc>
        <w:tc>
          <w:tcPr>
            <w:tcW w:w="1390" w:type="dxa"/>
            <w:vAlign w:val="center"/>
          </w:tcPr>
          <w:p w14:paraId="1499A708" w14:textId="324279A2" w:rsidR="005079BE" w:rsidRPr="00F77ABC" w:rsidRDefault="00F77ABC" w:rsidP="00E52BC1">
            <w:pPr>
              <w:jc w:val="center"/>
              <w:rPr>
                <w:color w:val="000000"/>
                <w:sz w:val="20"/>
                <w:szCs w:val="20"/>
                <w:highlight w:val="black"/>
              </w:rPr>
            </w:pPr>
            <w:r w:rsidRPr="00F77ABC">
              <w:rPr>
                <w:color w:val="000000"/>
                <w:sz w:val="20"/>
                <w:szCs w:val="20"/>
                <w:highlight w:val="black"/>
              </w:rPr>
              <w:t>xxxxxxx</w:t>
            </w:r>
          </w:p>
        </w:tc>
        <w:tc>
          <w:tcPr>
            <w:tcW w:w="1391" w:type="dxa"/>
            <w:vAlign w:val="center"/>
          </w:tcPr>
          <w:p w14:paraId="65A996B3" w14:textId="46946AE4" w:rsidR="005079BE" w:rsidRPr="00F77ABC" w:rsidRDefault="00F77ABC" w:rsidP="00E52BC1">
            <w:pPr>
              <w:jc w:val="center"/>
              <w:rPr>
                <w:color w:val="000000"/>
                <w:sz w:val="20"/>
                <w:szCs w:val="20"/>
                <w:highlight w:val="black"/>
              </w:rPr>
            </w:pPr>
            <w:r w:rsidRPr="00F77ABC">
              <w:rPr>
                <w:color w:val="000000"/>
                <w:sz w:val="20"/>
                <w:szCs w:val="20"/>
                <w:highlight w:val="black"/>
              </w:rPr>
              <w:t>xxxx</w:t>
            </w:r>
          </w:p>
        </w:tc>
        <w:tc>
          <w:tcPr>
            <w:tcW w:w="1391" w:type="dxa"/>
            <w:vAlign w:val="center"/>
          </w:tcPr>
          <w:p w14:paraId="36075098" w14:textId="0B3701CB" w:rsidR="005079BE" w:rsidRPr="00F77ABC" w:rsidRDefault="00F77ABC" w:rsidP="00E52BC1">
            <w:pPr>
              <w:jc w:val="center"/>
              <w:rPr>
                <w:color w:val="000000"/>
                <w:sz w:val="20"/>
                <w:szCs w:val="20"/>
                <w:highlight w:val="black"/>
              </w:rPr>
            </w:pPr>
            <w:r w:rsidRPr="00F77ABC">
              <w:rPr>
                <w:color w:val="000000"/>
                <w:sz w:val="20"/>
                <w:szCs w:val="20"/>
                <w:highlight w:val="black"/>
              </w:rPr>
              <w:t>xxxxxxx</w:t>
            </w:r>
          </w:p>
        </w:tc>
      </w:tr>
      <w:tr w:rsidR="00E84B56" w:rsidRPr="005079BE" w14:paraId="10172F58" w14:textId="77777777" w:rsidTr="00433676">
        <w:trPr>
          <w:trHeight w:val="145"/>
        </w:trPr>
        <w:tc>
          <w:tcPr>
            <w:tcW w:w="2547" w:type="dxa"/>
            <w:vMerge/>
            <w:vAlign w:val="center"/>
          </w:tcPr>
          <w:p w14:paraId="413BCF10" w14:textId="77777777" w:rsidR="005079BE" w:rsidRPr="005079BE" w:rsidRDefault="005079BE" w:rsidP="005079BE">
            <w:pPr>
              <w:spacing w:after="60"/>
              <w:rPr>
                <w:sz w:val="20"/>
                <w:szCs w:val="20"/>
              </w:rPr>
            </w:pPr>
          </w:p>
        </w:tc>
        <w:tc>
          <w:tcPr>
            <w:tcW w:w="992" w:type="dxa"/>
            <w:vAlign w:val="center"/>
          </w:tcPr>
          <w:p w14:paraId="2E8374FA" w14:textId="3A073AC3" w:rsidR="005079BE" w:rsidRPr="005079BE" w:rsidRDefault="005079BE" w:rsidP="00957358">
            <w:pPr>
              <w:spacing w:after="60"/>
              <w:rPr>
                <w:sz w:val="20"/>
                <w:szCs w:val="20"/>
              </w:rPr>
            </w:pPr>
            <w:r w:rsidRPr="005079BE">
              <w:rPr>
                <w:sz w:val="20"/>
                <w:szCs w:val="20"/>
              </w:rPr>
              <w:t>1</w:t>
            </w:r>
            <w:r w:rsidR="00586766">
              <w:rPr>
                <w:sz w:val="20"/>
                <w:szCs w:val="20"/>
              </w:rPr>
              <w:t>6</w:t>
            </w:r>
          </w:p>
        </w:tc>
        <w:tc>
          <w:tcPr>
            <w:tcW w:w="2126" w:type="dxa"/>
            <w:vMerge/>
            <w:vAlign w:val="center"/>
          </w:tcPr>
          <w:p w14:paraId="042B5E56" w14:textId="020B7174" w:rsidR="005079BE" w:rsidRPr="005079BE" w:rsidRDefault="005079BE" w:rsidP="005079BE">
            <w:pPr>
              <w:spacing w:after="60"/>
              <w:rPr>
                <w:sz w:val="20"/>
                <w:szCs w:val="20"/>
              </w:rPr>
            </w:pPr>
          </w:p>
        </w:tc>
        <w:tc>
          <w:tcPr>
            <w:tcW w:w="4111" w:type="dxa"/>
            <w:vAlign w:val="center"/>
          </w:tcPr>
          <w:p w14:paraId="0ECEAF9C" w14:textId="0C0C19EE" w:rsidR="005079BE" w:rsidRPr="005079BE" w:rsidRDefault="005079BE" w:rsidP="005079BE">
            <w:pPr>
              <w:spacing w:after="60"/>
              <w:rPr>
                <w:sz w:val="20"/>
                <w:szCs w:val="20"/>
              </w:rPr>
            </w:pPr>
            <w:r w:rsidRPr="005079BE">
              <w:rPr>
                <w:sz w:val="20"/>
                <w:szCs w:val="20"/>
              </w:rPr>
              <w:t>Log-normal</w:t>
            </w:r>
          </w:p>
        </w:tc>
        <w:tc>
          <w:tcPr>
            <w:tcW w:w="1390" w:type="dxa"/>
            <w:vAlign w:val="center"/>
          </w:tcPr>
          <w:p w14:paraId="2A33A726" w14:textId="09A823FC" w:rsidR="005079BE" w:rsidRPr="00F77ABC" w:rsidRDefault="00F77ABC" w:rsidP="00E52BC1">
            <w:pPr>
              <w:jc w:val="center"/>
              <w:rPr>
                <w:color w:val="000000"/>
                <w:sz w:val="20"/>
                <w:szCs w:val="20"/>
                <w:highlight w:val="black"/>
              </w:rPr>
            </w:pPr>
            <w:r w:rsidRPr="00F77ABC">
              <w:rPr>
                <w:color w:val="000000"/>
                <w:sz w:val="20"/>
                <w:szCs w:val="20"/>
                <w:highlight w:val="black"/>
              </w:rPr>
              <w:t>xxxxxxx</w:t>
            </w:r>
          </w:p>
        </w:tc>
        <w:tc>
          <w:tcPr>
            <w:tcW w:w="1391" w:type="dxa"/>
            <w:vAlign w:val="center"/>
          </w:tcPr>
          <w:p w14:paraId="1AA02E7B" w14:textId="4FD5D79B" w:rsidR="005079BE" w:rsidRPr="00F77ABC" w:rsidRDefault="00F77ABC" w:rsidP="00E52BC1">
            <w:pPr>
              <w:jc w:val="center"/>
              <w:rPr>
                <w:color w:val="000000"/>
                <w:sz w:val="20"/>
                <w:szCs w:val="20"/>
                <w:highlight w:val="black"/>
              </w:rPr>
            </w:pPr>
            <w:r w:rsidRPr="00F77ABC">
              <w:rPr>
                <w:color w:val="000000"/>
                <w:sz w:val="20"/>
                <w:szCs w:val="20"/>
                <w:highlight w:val="black"/>
              </w:rPr>
              <w:t>xxxx</w:t>
            </w:r>
          </w:p>
        </w:tc>
        <w:tc>
          <w:tcPr>
            <w:tcW w:w="1391" w:type="dxa"/>
            <w:vAlign w:val="center"/>
          </w:tcPr>
          <w:p w14:paraId="0E23D7B7" w14:textId="4CB7B498" w:rsidR="005079BE" w:rsidRPr="00F77ABC" w:rsidRDefault="00F77ABC" w:rsidP="00E52BC1">
            <w:pPr>
              <w:jc w:val="center"/>
              <w:rPr>
                <w:color w:val="000000"/>
                <w:sz w:val="20"/>
                <w:szCs w:val="20"/>
                <w:highlight w:val="black"/>
              </w:rPr>
            </w:pPr>
            <w:r w:rsidRPr="00F77ABC">
              <w:rPr>
                <w:color w:val="000000"/>
                <w:sz w:val="20"/>
                <w:szCs w:val="20"/>
                <w:highlight w:val="black"/>
              </w:rPr>
              <w:t>xxxxxxx</w:t>
            </w:r>
          </w:p>
        </w:tc>
      </w:tr>
      <w:tr w:rsidR="00E84B56" w:rsidRPr="005079BE" w14:paraId="10536DEC" w14:textId="77777777" w:rsidTr="00433676">
        <w:trPr>
          <w:trHeight w:val="313"/>
        </w:trPr>
        <w:tc>
          <w:tcPr>
            <w:tcW w:w="2547" w:type="dxa"/>
            <w:vMerge/>
            <w:vAlign w:val="center"/>
          </w:tcPr>
          <w:p w14:paraId="64800EB8" w14:textId="77777777" w:rsidR="005079BE" w:rsidRPr="005079BE" w:rsidRDefault="005079BE" w:rsidP="005079BE">
            <w:pPr>
              <w:spacing w:after="60"/>
              <w:rPr>
                <w:sz w:val="20"/>
                <w:szCs w:val="20"/>
              </w:rPr>
            </w:pPr>
          </w:p>
        </w:tc>
        <w:tc>
          <w:tcPr>
            <w:tcW w:w="992" w:type="dxa"/>
            <w:vAlign w:val="center"/>
          </w:tcPr>
          <w:p w14:paraId="1FC19B30" w14:textId="4266176B" w:rsidR="005079BE" w:rsidRPr="005079BE" w:rsidRDefault="00586766" w:rsidP="00957358">
            <w:pPr>
              <w:spacing w:after="60"/>
              <w:rPr>
                <w:sz w:val="20"/>
                <w:szCs w:val="20"/>
              </w:rPr>
            </w:pPr>
            <w:r>
              <w:rPr>
                <w:sz w:val="20"/>
                <w:szCs w:val="20"/>
              </w:rPr>
              <w:t>17</w:t>
            </w:r>
          </w:p>
        </w:tc>
        <w:tc>
          <w:tcPr>
            <w:tcW w:w="2126" w:type="dxa"/>
            <w:vMerge/>
            <w:vAlign w:val="center"/>
          </w:tcPr>
          <w:p w14:paraId="616B3AF4" w14:textId="32E47C9B" w:rsidR="005079BE" w:rsidRPr="005079BE" w:rsidRDefault="005079BE" w:rsidP="005079BE">
            <w:pPr>
              <w:spacing w:after="60"/>
              <w:rPr>
                <w:sz w:val="20"/>
                <w:szCs w:val="20"/>
              </w:rPr>
            </w:pPr>
          </w:p>
        </w:tc>
        <w:tc>
          <w:tcPr>
            <w:tcW w:w="4111" w:type="dxa"/>
            <w:vAlign w:val="center"/>
          </w:tcPr>
          <w:p w14:paraId="69C19D85" w14:textId="028D1D74" w:rsidR="005079BE" w:rsidRPr="005079BE" w:rsidRDefault="005079BE" w:rsidP="005079BE">
            <w:pPr>
              <w:spacing w:after="60"/>
              <w:rPr>
                <w:sz w:val="20"/>
                <w:szCs w:val="20"/>
              </w:rPr>
            </w:pPr>
            <w:r w:rsidRPr="005079BE">
              <w:rPr>
                <w:sz w:val="20"/>
                <w:szCs w:val="20"/>
              </w:rPr>
              <w:t>Generalised gamma</w:t>
            </w:r>
          </w:p>
        </w:tc>
        <w:tc>
          <w:tcPr>
            <w:tcW w:w="1390" w:type="dxa"/>
            <w:vAlign w:val="center"/>
          </w:tcPr>
          <w:p w14:paraId="43C4F353" w14:textId="6820EC77" w:rsidR="005079BE" w:rsidRPr="00F77ABC" w:rsidRDefault="00F77ABC" w:rsidP="00E52BC1">
            <w:pPr>
              <w:jc w:val="center"/>
              <w:rPr>
                <w:color w:val="000000"/>
                <w:sz w:val="20"/>
                <w:szCs w:val="20"/>
                <w:highlight w:val="black"/>
              </w:rPr>
            </w:pPr>
            <w:r w:rsidRPr="00F77ABC">
              <w:rPr>
                <w:color w:val="000000"/>
                <w:sz w:val="20"/>
                <w:szCs w:val="20"/>
                <w:highlight w:val="black"/>
              </w:rPr>
              <w:t>xxxxxxx</w:t>
            </w:r>
          </w:p>
        </w:tc>
        <w:tc>
          <w:tcPr>
            <w:tcW w:w="1391" w:type="dxa"/>
            <w:vAlign w:val="center"/>
          </w:tcPr>
          <w:p w14:paraId="75B7823A" w14:textId="2A9CFCAC" w:rsidR="005079BE" w:rsidRPr="00F77ABC" w:rsidRDefault="00F77ABC" w:rsidP="00E52BC1">
            <w:pPr>
              <w:jc w:val="center"/>
              <w:rPr>
                <w:color w:val="000000"/>
                <w:sz w:val="20"/>
                <w:szCs w:val="20"/>
                <w:highlight w:val="black"/>
              </w:rPr>
            </w:pPr>
            <w:r w:rsidRPr="00F77ABC">
              <w:rPr>
                <w:color w:val="000000"/>
                <w:sz w:val="20"/>
                <w:szCs w:val="20"/>
                <w:highlight w:val="black"/>
              </w:rPr>
              <w:t>xxxx</w:t>
            </w:r>
          </w:p>
        </w:tc>
        <w:tc>
          <w:tcPr>
            <w:tcW w:w="1391" w:type="dxa"/>
            <w:vAlign w:val="center"/>
          </w:tcPr>
          <w:p w14:paraId="1C0BEB6D" w14:textId="130CBF61" w:rsidR="005079BE" w:rsidRPr="00F77ABC" w:rsidRDefault="00F77ABC" w:rsidP="00E52BC1">
            <w:pPr>
              <w:jc w:val="center"/>
              <w:rPr>
                <w:color w:val="000000"/>
                <w:sz w:val="20"/>
                <w:szCs w:val="20"/>
                <w:highlight w:val="black"/>
              </w:rPr>
            </w:pPr>
            <w:r w:rsidRPr="00F77ABC">
              <w:rPr>
                <w:color w:val="000000"/>
                <w:sz w:val="20"/>
                <w:szCs w:val="20"/>
                <w:highlight w:val="black"/>
              </w:rPr>
              <w:t>xxxxxxx</w:t>
            </w:r>
          </w:p>
        </w:tc>
      </w:tr>
      <w:bookmarkEnd w:id="860"/>
      <w:tr w:rsidR="00E84B56" w:rsidRPr="005079BE" w14:paraId="686C54D8" w14:textId="77777777" w:rsidTr="00433676">
        <w:trPr>
          <w:trHeight w:val="282"/>
        </w:trPr>
        <w:tc>
          <w:tcPr>
            <w:tcW w:w="2547" w:type="dxa"/>
            <w:vMerge w:val="restart"/>
            <w:vAlign w:val="center"/>
          </w:tcPr>
          <w:p w14:paraId="6BACA87C" w14:textId="35E2DE88" w:rsidR="005079BE" w:rsidRPr="005079BE" w:rsidRDefault="00930E3B" w:rsidP="00F710CB">
            <w:pPr>
              <w:keepNext/>
              <w:spacing w:after="60"/>
              <w:rPr>
                <w:sz w:val="20"/>
                <w:szCs w:val="20"/>
              </w:rPr>
            </w:pPr>
            <w:r w:rsidRPr="00E72C84">
              <w:rPr>
                <w:sz w:val="20"/>
                <w:szCs w:val="20"/>
              </w:rPr>
              <w:t>OS and PFS extrapolations</w:t>
            </w:r>
            <w:r w:rsidR="00957358">
              <w:rPr>
                <w:sz w:val="20"/>
                <w:szCs w:val="20"/>
              </w:rPr>
              <w:t xml:space="preserve"> </w:t>
            </w:r>
            <w:r w:rsidR="00957358">
              <w:rPr>
                <w:sz w:val="20"/>
                <w:szCs w:val="20"/>
              </w:rPr>
              <w:br/>
              <w:t>(applied to T-DXd and TPC)</w:t>
            </w:r>
          </w:p>
        </w:tc>
        <w:tc>
          <w:tcPr>
            <w:tcW w:w="992" w:type="dxa"/>
            <w:vAlign w:val="center"/>
          </w:tcPr>
          <w:p w14:paraId="59C88E43" w14:textId="5B7FCE5D" w:rsidR="005079BE" w:rsidRPr="005079BE" w:rsidRDefault="00586766" w:rsidP="00F710CB">
            <w:pPr>
              <w:keepNext/>
              <w:spacing w:after="60"/>
              <w:rPr>
                <w:sz w:val="20"/>
                <w:szCs w:val="20"/>
              </w:rPr>
            </w:pPr>
            <w:r>
              <w:rPr>
                <w:sz w:val="20"/>
                <w:szCs w:val="20"/>
              </w:rPr>
              <w:t>18</w:t>
            </w:r>
          </w:p>
        </w:tc>
        <w:tc>
          <w:tcPr>
            <w:tcW w:w="2126" w:type="dxa"/>
            <w:vMerge w:val="restart"/>
            <w:vAlign w:val="center"/>
          </w:tcPr>
          <w:p w14:paraId="7E068BDC" w14:textId="2FD63568" w:rsidR="005079BE" w:rsidRPr="003C648C" w:rsidRDefault="005079BE" w:rsidP="00F710CB">
            <w:pPr>
              <w:keepNext/>
              <w:spacing w:after="60"/>
              <w:rPr>
                <w:sz w:val="20"/>
                <w:szCs w:val="20"/>
                <w:lang w:val="da-DK"/>
              </w:rPr>
            </w:pPr>
            <w:r w:rsidRPr="003C648C">
              <w:rPr>
                <w:sz w:val="20"/>
                <w:szCs w:val="20"/>
                <w:lang w:val="da-DK"/>
              </w:rPr>
              <w:t>OS: log-logistic</w:t>
            </w:r>
          </w:p>
          <w:p w14:paraId="5C3069DC" w14:textId="3FD1F4A6" w:rsidR="005079BE" w:rsidRPr="003C648C" w:rsidRDefault="005079BE" w:rsidP="00F710CB">
            <w:pPr>
              <w:keepNext/>
              <w:spacing w:after="60"/>
              <w:rPr>
                <w:sz w:val="20"/>
                <w:szCs w:val="20"/>
                <w:lang w:val="da-DK"/>
              </w:rPr>
            </w:pPr>
            <w:r w:rsidRPr="003C648C">
              <w:rPr>
                <w:sz w:val="20"/>
                <w:szCs w:val="20"/>
                <w:lang w:val="da-DK"/>
              </w:rPr>
              <w:t>PFS: log-logistic</w:t>
            </w:r>
          </w:p>
        </w:tc>
        <w:tc>
          <w:tcPr>
            <w:tcW w:w="4111" w:type="dxa"/>
            <w:vAlign w:val="center"/>
          </w:tcPr>
          <w:p w14:paraId="485A0F56" w14:textId="77777777" w:rsidR="005079BE" w:rsidRPr="00FC4907" w:rsidRDefault="005079BE" w:rsidP="00F710CB">
            <w:pPr>
              <w:keepNext/>
              <w:spacing w:after="60"/>
              <w:rPr>
                <w:sz w:val="20"/>
                <w:szCs w:val="20"/>
                <w:lang w:val="pt-PT"/>
              </w:rPr>
            </w:pPr>
            <w:r w:rsidRPr="005079BE">
              <w:rPr>
                <w:sz w:val="20"/>
                <w:szCs w:val="20"/>
              </w:rPr>
              <w:t>OS: Exponential</w:t>
            </w:r>
          </w:p>
          <w:p w14:paraId="420B3E18" w14:textId="74A35C0B" w:rsidR="005079BE" w:rsidRPr="00FC4907" w:rsidRDefault="005079BE" w:rsidP="00F710CB">
            <w:pPr>
              <w:keepNext/>
              <w:spacing w:after="60"/>
              <w:rPr>
                <w:sz w:val="20"/>
                <w:szCs w:val="20"/>
              </w:rPr>
            </w:pPr>
            <w:r w:rsidRPr="00FC4907">
              <w:rPr>
                <w:sz w:val="20"/>
                <w:szCs w:val="20"/>
                <w:lang w:val="pt-PT"/>
              </w:rPr>
              <w:t>PFS: Exponential</w:t>
            </w:r>
          </w:p>
        </w:tc>
        <w:tc>
          <w:tcPr>
            <w:tcW w:w="1390" w:type="dxa"/>
            <w:vAlign w:val="center"/>
          </w:tcPr>
          <w:p w14:paraId="4459EF1E" w14:textId="5F922EC9" w:rsidR="005079BE" w:rsidRPr="00F77ABC" w:rsidRDefault="00F77ABC" w:rsidP="00F710CB">
            <w:pPr>
              <w:keepNext/>
              <w:jc w:val="center"/>
              <w:rPr>
                <w:color w:val="000000"/>
                <w:sz w:val="20"/>
                <w:szCs w:val="20"/>
                <w:highlight w:val="black"/>
              </w:rPr>
            </w:pPr>
            <w:r w:rsidRPr="00F77ABC">
              <w:rPr>
                <w:color w:val="000000"/>
                <w:sz w:val="20"/>
                <w:szCs w:val="20"/>
                <w:highlight w:val="black"/>
              </w:rPr>
              <w:t>xxxxxxx</w:t>
            </w:r>
          </w:p>
        </w:tc>
        <w:tc>
          <w:tcPr>
            <w:tcW w:w="1391" w:type="dxa"/>
            <w:vAlign w:val="center"/>
          </w:tcPr>
          <w:p w14:paraId="493727EA" w14:textId="268ECEF8" w:rsidR="005079BE" w:rsidRPr="00F77ABC" w:rsidRDefault="00F77ABC" w:rsidP="00F710CB">
            <w:pPr>
              <w:keepNext/>
              <w:jc w:val="center"/>
              <w:rPr>
                <w:color w:val="000000"/>
                <w:sz w:val="20"/>
                <w:szCs w:val="20"/>
                <w:highlight w:val="black"/>
              </w:rPr>
            </w:pPr>
            <w:r w:rsidRPr="00F77ABC">
              <w:rPr>
                <w:color w:val="000000"/>
                <w:sz w:val="20"/>
                <w:szCs w:val="20"/>
                <w:highlight w:val="black"/>
              </w:rPr>
              <w:t>xxxx</w:t>
            </w:r>
          </w:p>
        </w:tc>
        <w:tc>
          <w:tcPr>
            <w:tcW w:w="1391" w:type="dxa"/>
            <w:vAlign w:val="center"/>
          </w:tcPr>
          <w:p w14:paraId="640329ED" w14:textId="4CB35223" w:rsidR="005079BE" w:rsidRPr="00F77ABC" w:rsidRDefault="00F77ABC" w:rsidP="00F710CB">
            <w:pPr>
              <w:keepNext/>
              <w:jc w:val="center"/>
              <w:rPr>
                <w:color w:val="000000"/>
                <w:sz w:val="20"/>
                <w:szCs w:val="20"/>
                <w:highlight w:val="black"/>
              </w:rPr>
            </w:pPr>
            <w:r w:rsidRPr="00F77ABC">
              <w:rPr>
                <w:color w:val="000000"/>
                <w:sz w:val="20"/>
                <w:szCs w:val="20"/>
                <w:highlight w:val="black"/>
              </w:rPr>
              <w:t>xxxxxxx</w:t>
            </w:r>
          </w:p>
        </w:tc>
      </w:tr>
      <w:tr w:rsidR="00E84B56" w:rsidRPr="005079BE" w14:paraId="4925BC35" w14:textId="77777777" w:rsidTr="00433676">
        <w:trPr>
          <w:trHeight w:val="106"/>
        </w:trPr>
        <w:tc>
          <w:tcPr>
            <w:tcW w:w="2547" w:type="dxa"/>
            <w:vMerge/>
            <w:vAlign w:val="center"/>
          </w:tcPr>
          <w:p w14:paraId="26617B51" w14:textId="77777777" w:rsidR="005079BE" w:rsidRPr="005079BE" w:rsidRDefault="005079BE" w:rsidP="00F710CB">
            <w:pPr>
              <w:keepNext/>
              <w:spacing w:after="60"/>
              <w:rPr>
                <w:sz w:val="20"/>
                <w:szCs w:val="20"/>
              </w:rPr>
            </w:pPr>
          </w:p>
        </w:tc>
        <w:tc>
          <w:tcPr>
            <w:tcW w:w="992" w:type="dxa"/>
            <w:vAlign w:val="center"/>
          </w:tcPr>
          <w:p w14:paraId="04C493B1" w14:textId="511CA026" w:rsidR="005079BE" w:rsidRPr="005079BE" w:rsidRDefault="00586766" w:rsidP="00F710CB">
            <w:pPr>
              <w:keepNext/>
              <w:spacing w:after="60"/>
              <w:rPr>
                <w:sz w:val="20"/>
                <w:szCs w:val="20"/>
              </w:rPr>
            </w:pPr>
            <w:r>
              <w:rPr>
                <w:sz w:val="20"/>
                <w:szCs w:val="20"/>
              </w:rPr>
              <w:t>19</w:t>
            </w:r>
          </w:p>
        </w:tc>
        <w:tc>
          <w:tcPr>
            <w:tcW w:w="2126" w:type="dxa"/>
            <w:vMerge/>
            <w:vAlign w:val="center"/>
          </w:tcPr>
          <w:p w14:paraId="0462A8CC" w14:textId="2F573E67" w:rsidR="005079BE" w:rsidRPr="005079BE" w:rsidRDefault="005079BE" w:rsidP="00F710CB">
            <w:pPr>
              <w:keepNext/>
              <w:spacing w:after="60"/>
              <w:rPr>
                <w:sz w:val="20"/>
                <w:szCs w:val="20"/>
              </w:rPr>
            </w:pPr>
          </w:p>
        </w:tc>
        <w:tc>
          <w:tcPr>
            <w:tcW w:w="4111" w:type="dxa"/>
            <w:vAlign w:val="center"/>
          </w:tcPr>
          <w:p w14:paraId="57F25620" w14:textId="77777777" w:rsidR="005079BE" w:rsidRPr="003C648C" w:rsidRDefault="005079BE" w:rsidP="00F710CB">
            <w:pPr>
              <w:keepNext/>
              <w:spacing w:after="60"/>
              <w:rPr>
                <w:sz w:val="20"/>
                <w:szCs w:val="20"/>
                <w:lang w:val="da-DK"/>
              </w:rPr>
            </w:pPr>
            <w:r w:rsidRPr="003C648C">
              <w:rPr>
                <w:sz w:val="20"/>
                <w:szCs w:val="20"/>
                <w:lang w:val="da-DK"/>
              </w:rPr>
              <w:t>OS: Log-normal</w:t>
            </w:r>
          </w:p>
          <w:p w14:paraId="06DEF66D" w14:textId="4101C717" w:rsidR="005079BE" w:rsidRPr="00FC4907" w:rsidRDefault="005079BE" w:rsidP="00F710CB">
            <w:pPr>
              <w:keepNext/>
              <w:spacing w:after="60"/>
              <w:rPr>
                <w:sz w:val="20"/>
                <w:szCs w:val="20"/>
                <w:lang w:val="pt-PT"/>
              </w:rPr>
            </w:pPr>
            <w:r w:rsidRPr="003C648C">
              <w:rPr>
                <w:sz w:val="20"/>
                <w:szCs w:val="20"/>
                <w:lang w:val="da-DK"/>
              </w:rPr>
              <w:t>PFS: Log-normal</w:t>
            </w:r>
          </w:p>
        </w:tc>
        <w:tc>
          <w:tcPr>
            <w:tcW w:w="1390" w:type="dxa"/>
            <w:vAlign w:val="center"/>
          </w:tcPr>
          <w:p w14:paraId="32A05D2F" w14:textId="6B46AB7F" w:rsidR="005079BE" w:rsidRPr="00F77ABC" w:rsidRDefault="00F77ABC" w:rsidP="00F710CB">
            <w:pPr>
              <w:keepNext/>
              <w:jc w:val="center"/>
              <w:rPr>
                <w:color w:val="000000"/>
                <w:sz w:val="20"/>
                <w:szCs w:val="20"/>
                <w:highlight w:val="black"/>
              </w:rPr>
            </w:pPr>
            <w:r w:rsidRPr="00F77ABC">
              <w:rPr>
                <w:color w:val="000000"/>
                <w:sz w:val="20"/>
                <w:szCs w:val="20"/>
                <w:highlight w:val="black"/>
              </w:rPr>
              <w:t>xxxxxxx</w:t>
            </w:r>
          </w:p>
        </w:tc>
        <w:tc>
          <w:tcPr>
            <w:tcW w:w="1391" w:type="dxa"/>
            <w:vAlign w:val="center"/>
          </w:tcPr>
          <w:p w14:paraId="4D23A6A5" w14:textId="3007649E" w:rsidR="005079BE" w:rsidRPr="00F77ABC" w:rsidRDefault="00F77ABC" w:rsidP="00F710CB">
            <w:pPr>
              <w:keepNext/>
              <w:jc w:val="center"/>
              <w:rPr>
                <w:color w:val="000000"/>
                <w:sz w:val="20"/>
                <w:szCs w:val="20"/>
                <w:highlight w:val="black"/>
              </w:rPr>
            </w:pPr>
            <w:r w:rsidRPr="00F77ABC">
              <w:rPr>
                <w:color w:val="000000"/>
                <w:sz w:val="20"/>
                <w:szCs w:val="20"/>
                <w:highlight w:val="black"/>
              </w:rPr>
              <w:t>xxxx</w:t>
            </w:r>
          </w:p>
        </w:tc>
        <w:tc>
          <w:tcPr>
            <w:tcW w:w="1391" w:type="dxa"/>
            <w:vAlign w:val="center"/>
          </w:tcPr>
          <w:p w14:paraId="6BBCE839" w14:textId="260A12BF" w:rsidR="005079BE" w:rsidRPr="00F77ABC" w:rsidRDefault="00F77ABC" w:rsidP="00F710CB">
            <w:pPr>
              <w:keepNext/>
              <w:jc w:val="center"/>
              <w:rPr>
                <w:color w:val="000000"/>
                <w:sz w:val="20"/>
                <w:szCs w:val="20"/>
                <w:highlight w:val="black"/>
              </w:rPr>
            </w:pPr>
            <w:r w:rsidRPr="00F77ABC">
              <w:rPr>
                <w:color w:val="000000"/>
                <w:sz w:val="20"/>
                <w:szCs w:val="20"/>
                <w:highlight w:val="black"/>
              </w:rPr>
              <w:t>xxxxxxx</w:t>
            </w:r>
          </w:p>
        </w:tc>
      </w:tr>
    </w:tbl>
    <w:p w14:paraId="20C66B32" w14:textId="77777777" w:rsidR="00D35C8C" w:rsidRDefault="00D35C8C" w:rsidP="00D35C8C">
      <w:pPr>
        <w:pStyle w:val="Footnotes"/>
        <w:spacing w:after="0"/>
      </w:pPr>
      <w:r>
        <w:t>*20% variation applied in the PSA, in the absence of SE or CIs.</w:t>
      </w:r>
    </w:p>
    <w:p w14:paraId="683D787B" w14:textId="5CF38518" w:rsidR="00FB3129" w:rsidRDefault="00454A3D" w:rsidP="00CC6733">
      <w:pPr>
        <w:pStyle w:val="Footnotes"/>
        <w:sectPr w:rsidR="00FB3129" w:rsidSect="003C648C">
          <w:footnotePr>
            <w:numFmt w:val="lowerLetter"/>
          </w:footnotePr>
          <w:pgSz w:w="16838" w:h="11906" w:orient="landscape"/>
          <w:pgMar w:top="1440" w:right="1440" w:bottom="1440" w:left="1440" w:header="709" w:footer="709" w:gutter="0"/>
          <w:cols w:space="708"/>
          <w:docGrid w:linePitch="360"/>
        </w:sectPr>
      </w:pPr>
      <w:r>
        <w:t>Abbreviations: AE</w:t>
      </w:r>
      <w:r w:rsidR="00433676">
        <w:t>,</w:t>
      </w:r>
      <w:r>
        <w:t xml:space="preserve"> adverse event; ICER, </w:t>
      </w:r>
      <w:r w:rsidRPr="00131A36">
        <w:t>incremental cost-effectiveness ratio; OS, overall survival; PFS, progression-free survival; QALYs, quality adjusted life-years</w:t>
      </w:r>
    </w:p>
    <w:p w14:paraId="3B698716" w14:textId="19AB628B" w:rsidR="00CC6733" w:rsidRPr="00131A36" w:rsidRDefault="00CC6733" w:rsidP="00CC6733">
      <w:pPr>
        <w:pStyle w:val="Caption"/>
      </w:pPr>
      <w:bookmarkStart w:id="861" w:name="_Ref94619048"/>
      <w:bookmarkStart w:id="862" w:name="_Toc98924733"/>
      <w:bookmarkStart w:id="863" w:name="_Toc127006661"/>
      <w:bookmarkStart w:id="864" w:name="_Toc129350975"/>
      <w:r w:rsidRPr="00131A36">
        <w:lastRenderedPageBreak/>
        <w:t xml:space="preserve">Figure </w:t>
      </w:r>
      <w:r w:rsidRPr="00131A36">
        <w:fldChar w:fldCharType="begin"/>
      </w:r>
      <w:r w:rsidRPr="00131A36">
        <w:instrText>SEQ Figure \* ARABIC</w:instrText>
      </w:r>
      <w:r w:rsidRPr="00131A36">
        <w:fldChar w:fldCharType="separate"/>
      </w:r>
      <w:r w:rsidR="00145F42">
        <w:rPr>
          <w:noProof/>
        </w:rPr>
        <w:t>49</w:t>
      </w:r>
      <w:r w:rsidRPr="00131A36">
        <w:fldChar w:fldCharType="end"/>
      </w:r>
      <w:bookmarkEnd w:id="861"/>
      <w:r w:rsidRPr="00131A36">
        <w:t>: Cost-effectiveness plane for the scenario analysis</w:t>
      </w:r>
      <w:bookmarkEnd w:id="862"/>
      <w:r w:rsidRPr="00131A36">
        <w:t xml:space="preserve"> (</w:t>
      </w:r>
      <w:r w:rsidR="000B7D88">
        <w:t>probabilistic</w:t>
      </w:r>
      <w:r w:rsidR="00901D4C">
        <w:t xml:space="preserve"> results, </w:t>
      </w:r>
      <w:r w:rsidRPr="00131A36">
        <w:t>based on results with PAS</w:t>
      </w:r>
      <w:r w:rsidR="00120AC7">
        <w:t>, no severity modifier applied</w:t>
      </w:r>
      <w:r w:rsidRPr="00131A36">
        <w:t>)</w:t>
      </w:r>
      <w:bookmarkEnd w:id="863"/>
      <w:bookmarkEnd w:id="864"/>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016"/>
      </w:tblGrid>
      <w:tr w:rsidR="00CC6733" w14:paraId="1EE597D8" w14:textId="77777777" w:rsidTr="00C75D0B">
        <w:tc>
          <w:tcPr>
            <w:tcW w:w="8936" w:type="dxa"/>
          </w:tcPr>
          <w:p w14:paraId="5A703D1E" w14:textId="7AC0CDC8" w:rsidR="00CC6733" w:rsidRDefault="005912E7" w:rsidP="00C75D0B">
            <w:r>
              <w:rPr>
                <w:noProof/>
              </w:rPr>
              <w:drawing>
                <wp:inline distT="0" distB="0" distL="0" distR="0" wp14:anchorId="284D66E4" wp14:editId="3E778828">
                  <wp:extent cx="5631180" cy="3800104"/>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4">
                            <a:extLst>
                              <a:ext uri="{28A0092B-C50C-407E-A947-70E740481C1C}">
                                <a14:useLocalDpi xmlns:a14="http://schemas.microsoft.com/office/drawing/2010/main" val="0"/>
                              </a:ext>
                            </a:extLst>
                          </a:blip>
                          <a:srcRect l="15209" r="15209"/>
                          <a:stretch>
                            <a:fillRect/>
                          </a:stretch>
                        </pic:blipFill>
                        <pic:spPr bwMode="auto">
                          <a:xfrm>
                            <a:off x="0" y="0"/>
                            <a:ext cx="5649407" cy="3812404"/>
                          </a:xfrm>
                          <a:prstGeom prst="rect">
                            <a:avLst/>
                          </a:prstGeom>
                          <a:ln>
                            <a:noFill/>
                          </a:ln>
                          <a:extLst>
                            <a:ext uri="{53640926-AAD7-44D8-BBD7-CCE9431645EC}">
                              <a14:shadowObscured xmlns:a14="http://schemas.microsoft.com/office/drawing/2010/main"/>
                            </a:ext>
                          </a:extLst>
                        </pic:spPr>
                      </pic:pic>
                    </a:graphicData>
                  </a:graphic>
                </wp:inline>
              </w:drawing>
            </w:r>
          </w:p>
        </w:tc>
      </w:tr>
    </w:tbl>
    <w:p w14:paraId="1B61B2D1" w14:textId="77777777" w:rsidR="000B4921" w:rsidRDefault="000B4921" w:rsidP="000B4921">
      <w:pPr>
        <w:pStyle w:val="Footnotes"/>
        <w:spacing w:after="0"/>
      </w:pPr>
      <w:r>
        <w:t>*20% variation applied in the PSA, in the absence of SE or CIs.</w:t>
      </w:r>
    </w:p>
    <w:p w14:paraId="68FEFB2E" w14:textId="21123ECF" w:rsidR="00CC6733" w:rsidRPr="00131A36" w:rsidRDefault="00CC6733" w:rsidP="00CC6733">
      <w:pPr>
        <w:pStyle w:val="Footnotes"/>
      </w:pPr>
      <w:r w:rsidRPr="00131A36">
        <w:t xml:space="preserve">Abbreviations: </w:t>
      </w:r>
      <w:r w:rsidR="00964A08">
        <w:t>CEP, cost-effectiveness plane;</w:t>
      </w:r>
      <w:r w:rsidRPr="00131A36">
        <w:t xml:space="preserve"> </w:t>
      </w:r>
      <w:r>
        <w:t xml:space="preserve">ICER, incremental cost-effectiveness ratio; </w:t>
      </w:r>
      <w:r w:rsidRPr="00131A36">
        <w:t xml:space="preserve">PAS, patient-access scheme; </w:t>
      </w:r>
      <w:r w:rsidR="00C41288">
        <w:t xml:space="preserve">PSA, probabilistic sensitivity analysis; </w:t>
      </w:r>
      <w:r w:rsidRPr="00131A36">
        <w:t xml:space="preserve">QALYs, quality-adjusted life-years; </w:t>
      </w:r>
      <w:r w:rsidRPr="00C67C0A">
        <w:t>T-DXd, trastuzumab deruxtecan</w:t>
      </w:r>
      <w:r>
        <w:t xml:space="preserve">; TPC, treatment of physician’s choice; </w:t>
      </w:r>
      <w:r w:rsidRPr="00131A36">
        <w:t>WTP, willingness-to-pay.</w:t>
      </w:r>
    </w:p>
    <w:p w14:paraId="3E0AE04E" w14:textId="77777777" w:rsidR="00B64677" w:rsidRPr="00131A36" w:rsidRDefault="00B64677" w:rsidP="00B64677">
      <w:pPr>
        <w:pStyle w:val="Heading2"/>
      </w:pPr>
      <w:bookmarkStart w:id="865" w:name="_Toc129287004"/>
      <w:bookmarkStart w:id="866" w:name="_Toc129301607"/>
      <w:bookmarkStart w:id="867" w:name="_Toc129287046"/>
      <w:bookmarkStart w:id="868" w:name="_Toc129301649"/>
      <w:bookmarkStart w:id="869" w:name="_Toc129287047"/>
      <w:bookmarkStart w:id="870" w:name="_Toc129301650"/>
      <w:bookmarkStart w:id="871" w:name="_Toc98924691"/>
      <w:bookmarkStart w:id="872" w:name="_Toc127006630"/>
      <w:bookmarkStart w:id="873" w:name="_Toc129350918"/>
      <w:bookmarkEnd w:id="865"/>
      <w:bookmarkEnd w:id="866"/>
      <w:bookmarkEnd w:id="867"/>
      <w:bookmarkEnd w:id="868"/>
      <w:bookmarkEnd w:id="869"/>
      <w:bookmarkEnd w:id="870"/>
      <w:r w:rsidRPr="00131A36">
        <w:t>Subgroup analysis</w:t>
      </w:r>
      <w:bookmarkEnd w:id="871"/>
      <w:bookmarkEnd w:id="872"/>
      <w:bookmarkEnd w:id="873"/>
    </w:p>
    <w:p w14:paraId="424BEAED" w14:textId="19736DD2" w:rsidR="00B64677" w:rsidRPr="00131A36" w:rsidRDefault="00B64677" w:rsidP="00B64677">
      <w:pPr>
        <w:pStyle w:val="Body"/>
      </w:pPr>
      <w:r w:rsidRPr="00131A36">
        <w:t xml:space="preserve">A consistent treatment effect was observed </w:t>
      </w:r>
      <w:r w:rsidRPr="00C67C0A">
        <w:t>across</w:t>
      </w:r>
      <w:r w:rsidRPr="00131A36">
        <w:t xml:space="preserve"> all </w:t>
      </w:r>
      <w:r w:rsidRPr="00C67C0A">
        <w:t xml:space="preserve">pre-specified </w:t>
      </w:r>
      <w:r w:rsidRPr="00131A36">
        <w:t xml:space="preserve">subgroups </w:t>
      </w:r>
      <w:r w:rsidRPr="00C67C0A">
        <w:t>in</w:t>
      </w:r>
      <w:r w:rsidRPr="00131A36">
        <w:t xml:space="preserve"> DESTINY-Breast0</w:t>
      </w:r>
      <w:r w:rsidRPr="00C67C0A">
        <w:t>4.</w:t>
      </w:r>
      <w:r w:rsidRPr="00AD3FB6">
        <w:fldChar w:fldCharType="begin"/>
      </w:r>
      <w:r w:rsidR="00CA6345">
        <w:instrText xml:space="preserve"> ADDIN ZOTERO_ITEM CSL_CITATION {"citationID":"3lwQ3By6","properties":{"formattedCitation":"\\super 7\\nosupersub{}","plainCitation":"7","noteIndex":0},"citationItems":[{"id":65944,"uris":["http://zotero.org/groups/4797619/items/WBVSVVF7"],"itemData":{"id":65944,"type":"document","title":"Clinical Study Report for DS8201-A-U303. Data cut-off date: 11 Jan 2022. Data on File.","author":[{"family":"Daiichi Sankyo Inc.","given":""}],"issued":{"date-parts":[["2022"]]}}}],"schema":"https://github.com/citation-style-language/schema/raw/master/csl-citation.json"} </w:instrText>
      </w:r>
      <w:r w:rsidRPr="00AD3FB6">
        <w:fldChar w:fldCharType="separate"/>
      </w:r>
      <w:r w:rsidR="00FD57F4" w:rsidRPr="00FD57F4">
        <w:rPr>
          <w:rFonts w:cs="Arial"/>
          <w:szCs w:val="24"/>
          <w:vertAlign w:val="superscript"/>
        </w:rPr>
        <w:t>7</w:t>
      </w:r>
      <w:r w:rsidRPr="00AD3FB6">
        <w:fldChar w:fldCharType="end"/>
      </w:r>
      <w:r>
        <w:t xml:space="preserve"> </w:t>
      </w:r>
      <w:r w:rsidRPr="00C67C0A">
        <w:t>T</w:t>
      </w:r>
      <w:r w:rsidRPr="00131A36">
        <w:t>herefore</w:t>
      </w:r>
      <w:r w:rsidRPr="00C67C0A">
        <w:t>,</w:t>
      </w:r>
      <w:r w:rsidRPr="00131A36">
        <w:t xml:space="preserve"> subgroup analyses were not considered relevant for the economic analysis</w:t>
      </w:r>
      <w:r w:rsidRPr="00C67C0A">
        <w:t xml:space="preserve">. Daiichi Sankyo consider this appraisal should be based on the DESTINY-Breast04 FAS which includes the full </w:t>
      </w:r>
      <w:r w:rsidR="00100032">
        <w:t xml:space="preserve">anticipated </w:t>
      </w:r>
      <w:r w:rsidRPr="00C67C0A">
        <w:t>licen</w:t>
      </w:r>
      <w:r w:rsidR="007723A5">
        <w:t>s</w:t>
      </w:r>
      <w:r w:rsidRPr="00C67C0A">
        <w:t>ed population.</w:t>
      </w:r>
    </w:p>
    <w:p w14:paraId="70F87D71" w14:textId="77777777" w:rsidR="00B64677" w:rsidRDefault="00B64677" w:rsidP="002C3C41">
      <w:pPr>
        <w:rPr>
          <w:rFonts w:eastAsia="Times New Roman" w:cs="Arial"/>
          <w:sz w:val="18"/>
          <w:szCs w:val="18"/>
          <w:lang w:eastAsia="en-GB"/>
        </w:rPr>
      </w:pPr>
    </w:p>
    <w:p w14:paraId="07F15F00" w14:textId="7CEEEEA9" w:rsidR="009C39DD" w:rsidRPr="00131A36" w:rsidRDefault="009C39DD" w:rsidP="009C39DD">
      <w:pPr>
        <w:pStyle w:val="Heading2"/>
      </w:pPr>
      <w:bookmarkStart w:id="874" w:name="_Toc98924692"/>
      <w:bookmarkStart w:id="875" w:name="_Toc127006631"/>
      <w:bookmarkStart w:id="876" w:name="_Toc129350919"/>
      <w:r w:rsidRPr="00131A36">
        <w:t>Benefits not captured in the QALY calculation</w:t>
      </w:r>
      <w:bookmarkEnd w:id="874"/>
      <w:bookmarkEnd w:id="875"/>
      <w:bookmarkEnd w:id="876"/>
    </w:p>
    <w:p w14:paraId="51D63BB8" w14:textId="2C26FA61" w:rsidR="009C39DD" w:rsidRPr="007B3CF2" w:rsidRDefault="009C39DD" w:rsidP="009C39DD">
      <w:pPr>
        <w:rPr>
          <w:color w:val="4472C4" w:themeColor="accent1"/>
        </w:rPr>
      </w:pPr>
      <w:r w:rsidRPr="00C67C0A">
        <w:t>U</w:t>
      </w:r>
      <w:r>
        <w:t>nresectable or metastatic</w:t>
      </w:r>
      <w:r w:rsidRPr="00131A36">
        <w:t xml:space="preserve"> </w:t>
      </w:r>
      <w:r>
        <w:t xml:space="preserve">BC has a considerable impact on patients’ </w:t>
      </w:r>
      <w:r w:rsidR="006421C0">
        <w:t>QoL</w:t>
      </w:r>
      <w:r>
        <w:t xml:space="preserve"> and their ability to conduct usual activities</w:t>
      </w:r>
      <w:r w:rsidRPr="00C67C0A">
        <w:t xml:space="preserve"> </w:t>
      </w:r>
      <w:r w:rsidRPr="007C383A">
        <w:t>(</w:t>
      </w:r>
      <w:r w:rsidRPr="005115FA">
        <w:t>Section</w:t>
      </w:r>
      <w:r w:rsidRPr="005115FA" w:rsidDel="005E6BC0">
        <w:t xml:space="preserve"> </w:t>
      </w:r>
      <w:r w:rsidR="007C383A" w:rsidRPr="005115FA">
        <w:fldChar w:fldCharType="begin"/>
      </w:r>
      <w:r w:rsidR="007C383A" w:rsidRPr="005115FA">
        <w:instrText xml:space="preserve"> REF _Ref97122887 \n \h </w:instrText>
      </w:r>
      <w:r w:rsidR="007C383A">
        <w:instrText xml:space="preserve"> \* MERGEFORMAT </w:instrText>
      </w:r>
      <w:r w:rsidR="007C383A" w:rsidRPr="005115FA">
        <w:fldChar w:fldCharType="separate"/>
      </w:r>
      <w:r w:rsidR="00145F42">
        <w:t>B.1.3.2.2</w:t>
      </w:r>
      <w:r w:rsidR="007C383A" w:rsidRPr="005115FA">
        <w:fldChar w:fldCharType="end"/>
      </w:r>
      <w:r w:rsidRPr="005115FA">
        <w:t>)</w:t>
      </w:r>
      <w:r w:rsidRPr="005115FA">
        <w:rPr>
          <w:rFonts w:cs="Arial"/>
        </w:rPr>
        <w:t>.</w:t>
      </w:r>
      <w:r w:rsidRPr="007C383A">
        <w:rPr>
          <w:rFonts w:cs="Arial"/>
        </w:rPr>
        <w:t xml:space="preserve"> The majority</w:t>
      </w:r>
      <w:r w:rsidRPr="00D3216F">
        <w:rPr>
          <w:rFonts w:cs="Arial"/>
        </w:rPr>
        <w:t xml:space="preserve"> of patients diagnosed with </w:t>
      </w:r>
      <w:r w:rsidRPr="00C67C0A">
        <w:rPr>
          <w:rFonts w:cs="Arial"/>
        </w:rPr>
        <w:t>u/</w:t>
      </w:r>
      <w:r w:rsidRPr="00D3216F">
        <w:rPr>
          <w:rFonts w:cs="Arial"/>
        </w:rPr>
        <w:t xml:space="preserve">mBC </w:t>
      </w:r>
      <w:r w:rsidRPr="00D3216F">
        <w:rPr>
          <w:rStyle w:val="NICEnormalChar"/>
          <w:rFonts w:cs="Arial"/>
        </w:rPr>
        <w:t xml:space="preserve">are of working age with the impact of disease and effects of treatment </w:t>
      </w:r>
      <w:r w:rsidRPr="00D3216F">
        <w:rPr>
          <w:rFonts w:cs="Arial"/>
        </w:rPr>
        <w:t>having substantial consequences on productivity and ability to work.</w:t>
      </w:r>
      <w:r w:rsidRPr="00131A36">
        <w:rPr>
          <w:rFonts w:cs="Arial"/>
        </w:rPr>
        <w:t xml:space="preserve"> </w:t>
      </w:r>
      <w:r w:rsidRPr="00C67C0A">
        <w:t xml:space="preserve">A </w:t>
      </w:r>
      <w:r w:rsidRPr="00D3216F">
        <w:t xml:space="preserve">recent </w:t>
      </w:r>
      <w:r w:rsidRPr="00C67C0A">
        <w:t>UK study</w:t>
      </w:r>
      <w:r w:rsidRPr="00D3216F">
        <w:rPr>
          <w:rFonts w:cs="Arial"/>
        </w:rPr>
        <w:t xml:space="preserve"> investigating the relationship between disease and treatment stage found that metastatic patients had lower employment rates in comparison to early BC after surgery or adjuvant therapy (27.5% vs 50.6% or 50.9%, respectively).</w:t>
      </w:r>
      <w:r w:rsidRPr="00D3216F">
        <w:rPr>
          <w:rStyle w:val="NICEnormalChar"/>
          <w:rFonts w:cs="Arial"/>
        </w:rPr>
        <w:fldChar w:fldCharType="begin"/>
      </w:r>
      <w:r w:rsidR="00CA6345">
        <w:rPr>
          <w:rStyle w:val="NICEnormalChar"/>
          <w:rFonts w:cs="Arial"/>
        </w:rPr>
        <w:instrText xml:space="preserve"> ADDIN ZOTERO_ITEM CSL_CITATION {"citationID":"xms2l1ju","properties":{"formattedCitation":"\\super 28\\nosupersub{}","plainCitation":"28","noteIndex":0},"citationItems":[{"id":66113,"uris":["http://zotero.org/groups/4797619/items/RHJ4MR8W"],"itemData":{"id":66113,"type":"article-journal","abstract":"The impact of different disease stages and treatment for human epidermal growth factor 2 positive (HER2-positive) breast cancer (BC) on work productivity and health-related quality of life (HRQoL) is poorly understood.","container-title":"Health and Quality of Life Outcomes","DOI":"10.1186/s12955-020-01603-w","ISSN":"1477-7525","issue":"1","journalAbbreviation":"Health and Quality of Life Outcomes","page":"353","source":"BioMed Central","title":"Health-related quality of life and work productivity in UK patients with HER2-positive breast cancer: a cross-sectional study evaluating the relationships between disease and treatment stage","title-short":"Health-related quality of life and work productivity in UK patients with HER2-positive breast cancer","volume":"18","author":[{"family":"Verrill","given":"Mark"},{"family":"Wardley","given":"Andrew M."},{"family":"Retzler","given":"Jenny"},{"family":"Smith","given":"Adam B."},{"family":"Bottomley","given":"Catherine"},{"family":"Ní Dhochartaigh","given":"Sorcha"},{"family":"Tran","given":"Irwin"},{"family":"Leslie","given":"Iain"},{"family":"Schmid","given":"Peter"}],"issued":{"date-parts":[["2020",11,2]]}}}],"schema":"https://github.com/citation-style-language/schema/raw/master/csl-citation.json"} </w:instrText>
      </w:r>
      <w:r w:rsidRPr="00D3216F">
        <w:rPr>
          <w:rStyle w:val="NICEnormalChar"/>
          <w:rFonts w:cs="Arial"/>
        </w:rPr>
        <w:fldChar w:fldCharType="separate"/>
      </w:r>
      <w:r w:rsidR="00FD57F4" w:rsidRPr="00FD57F4">
        <w:rPr>
          <w:rFonts w:cs="Arial"/>
          <w:szCs w:val="24"/>
          <w:vertAlign w:val="superscript"/>
        </w:rPr>
        <w:t>28</w:t>
      </w:r>
      <w:r w:rsidRPr="00D3216F">
        <w:rPr>
          <w:rStyle w:val="NICEnormalChar"/>
          <w:rFonts w:cs="Arial"/>
        </w:rPr>
        <w:fldChar w:fldCharType="end"/>
      </w:r>
      <w:r w:rsidRPr="00D3216F">
        <w:rPr>
          <w:rStyle w:val="NICEnormalChar"/>
          <w:rFonts w:cs="Arial"/>
        </w:rPr>
        <w:t xml:space="preserve"> </w:t>
      </w:r>
      <w:r w:rsidRPr="00D3216F">
        <w:rPr>
          <w:rFonts w:cs="Arial"/>
        </w:rPr>
        <w:t>The study also found that metastatic patients most often reported not being able to attend work and that poor HRQoL was significantly associated with high work impairm</w:t>
      </w:r>
      <w:r w:rsidRPr="00D3216F">
        <w:rPr>
          <w:rStyle w:val="NICEnormalChar"/>
          <w:rFonts w:cs="Arial"/>
        </w:rPr>
        <w:t>ent (p&lt;0.001). The results of this study support the premise that being able to delay or prevent the metastatic recurrence of BC, for example by extending the time patients are in remission, has wider benefits in terms of patient productivity.</w:t>
      </w:r>
      <w:r w:rsidRPr="00637396">
        <w:t xml:space="preserve"> </w:t>
      </w:r>
      <w:r w:rsidRPr="00637396">
        <w:rPr>
          <w:rStyle w:val="NICEnormalChar"/>
          <w:rFonts w:cs="Arial"/>
        </w:rPr>
        <w:t xml:space="preserve">Although the EQ-5D has a ‘Usual activities’ domain which refers to elements such as work, family activities or leisure activities, the questionnaire is unable to detect the more subtle </w:t>
      </w:r>
      <w:r w:rsidRPr="00637396">
        <w:rPr>
          <w:rStyle w:val="NICEnormalChar"/>
          <w:rFonts w:cs="Arial"/>
        </w:rPr>
        <w:lastRenderedPageBreak/>
        <w:t>differences in HRQoL which may impact a patients’ ability to attend work and productivity when at work.</w:t>
      </w:r>
      <w:r w:rsidRPr="00D3216F">
        <w:rPr>
          <w:rStyle w:val="NICEnormalChar"/>
          <w:rFonts w:cs="Arial"/>
        </w:rPr>
        <w:t xml:space="preserve"> Th</w:t>
      </w:r>
      <w:r>
        <w:rPr>
          <w:rStyle w:val="NICEnormalChar"/>
          <w:rFonts w:cs="Arial"/>
        </w:rPr>
        <w:t>ese productivity changes and</w:t>
      </w:r>
      <w:r w:rsidRPr="00D3216F">
        <w:rPr>
          <w:rStyle w:val="NICEnormalChar"/>
          <w:rFonts w:cs="Arial"/>
        </w:rPr>
        <w:t xml:space="preserve"> wider societal impact</w:t>
      </w:r>
      <w:r>
        <w:rPr>
          <w:rStyle w:val="NICEnormalChar"/>
          <w:rFonts w:cs="Arial"/>
        </w:rPr>
        <w:t>s</w:t>
      </w:r>
      <w:r w:rsidRPr="00D3216F">
        <w:rPr>
          <w:rStyle w:val="NICEnormalChar"/>
          <w:rFonts w:cs="Arial"/>
        </w:rPr>
        <w:t xml:space="preserve"> </w:t>
      </w:r>
      <w:r>
        <w:rPr>
          <w:rStyle w:val="NICEnormalChar"/>
          <w:rFonts w:cs="Arial"/>
        </w:rPr>
        <w:t xml:space="preserve">of BC are not captured in the </w:t>
      </w:r>
      <w:r w:rsidRPr="00D3216F">
        <w:rPr>
          <w:rStyle w:val="NICEnormalChar"/>
          <w:rFonts w:cs="Arial"/>
        </w:rPr>
        <w:t xml:space="preserve">current EQ-5D-5L framework. </w:t>
      </w:r>
    </w:p>
    <w:p w14:paraId="22BDEEF1" w14:textId="7809FE2A" w:rsidR="009C39DD" w:rsidRDefault="009C39DD" w:rsidP="009C39DD">
      <w:r w:rsidRPr="00BB0B35">
        <w:rPr>
          <w:rFonts w:cs="Arial"/>
        </w:rPr>
        <w:t xml:space="preserve">Caregivers of patients with </w:t>
      </w:r>
      <w:r w:rsidRPr="006F26B6">
        <w:rPr>
          <w:rFonts w:cs="Arial"/>
        </w:rPr>
        <w:t>u/</w:t>
      </w:r>
      <w:r>
        <w:rPr>
          <w:rFonts w:cs="Arial"/>
        </w:rPr>
        <w:t xml:space="preserve">mBC </w:t>
      </w:r>
      <w:r w:rsidRPr="00BB0B35">
        <w:rPr>
          <w:rFonts w:cs="Arial"/>
        </w:rPr>
        <w:t>are also</w:t>
      </w:r>
      <w:r>
        <w:t xml:space="preserve"> impacted by the disease which is not captured within the QALY calculation. A</w:t>
      </w:r>
      <w:r w:rsidRPr="00DA7380">
        <w:t xml:space="preserve">s a consequence of the psychological and economic strain associated with caring for someone with the disease, caregivers may overlook their </w:t>
      </w:r>
      <w:r w:rsidRPr="007C383A">
        <w:t xml:space="preserve">own needs, resulting in decreased wellbeing and an increase in symptoms of stress (see </w:t>
      </w:r>
      <w:r w:rsidRPr="005115FA">
        <w:t>Section</w:t>
      </w:r>
      <w:r w:rsidRPr="005115FA" w:rsidDel="005E6BC0">
        <w:t xml:space="preserve"> </w:t>
      </w:r>
      <w:r w:rsidR="007C383A" w:rsidRPr="005115FA">
        <w:fldChar w:fldCharType="begin"/>
      </w:r>
      <w:r w:rsidR="007C383A" w:rsidRPr="005115FA">
        <w:instrText xml:space="preserve"> REF _Ref127008085 \n \h </w:instrText>
      </w:r>
      <w:r w:rsidR="007C383A">
        <w:instrText xml:space="preserve"> \* MERGEFORMAT </w:instrText>
      </w:r>
      <w:r w:rsidR="007C383A" w:rsidRPr="005115FA">
        <w:fldChar w:fldCharType="separate"/>
      </w:r>
      <w:r w:rsidR="00145F42">
        <w:t>B.1.3.2.5</w:t>
      </w:r>
      <w:r w:rsidR="007C383A" w:rsidRPr="005115FA">
        <w:fldChar w:fldCharType="end"/>
      </w:r>
      <w:r w:rsidRPr="007C383A">
        <w:t>).</w:t>
      </w:r>
      <w:r w:rsidRPr="007C383A">
        <w:fldChar w:fldCharType="begin"/>
      </w:r>
      <w:r w:rsidR="00CA6345">
        <w:instrText xml:space="preserve"> ADDIN ZOTERO_ITEM CSL_CITATION {"citationID":"8dN7NEDi","properties":{"formattedCitation":"\\super 109\\nosupersub{}","plainCitation":"109","noteIndex":0},"citationItems":[{"id":65894,"uris":["http://zotero.org/groups/4797619/items/MJE7K35V"],"itemData":{"id":65894,"type":"article-journal","abstract":"Approximately 0.5 million people worldwide die from metastatic breast cancer (mBC) every year. This manuscript provides an overview on the status of mBC in several regions of the world, highlighting the gaps in care, resources, and support available for patients with mBC. Primary research was conducted in 2015 and 2016, comprising four global qualitative and quantitative surveys of approximately 15,000 individuals in 34 countries. Secondary research was conducted using literature reviews of peer-reviewed publications, patient survey reports, and media or online articles. There have been modest improvements in mBC outcomes over the past decade. Patients are not provided with adequate information about mBC. There is a need for open discussion with patients and caregivers about realistic goals; however, physicians are not trained in communicating with patients about their disease. Maintaining patients' quality of life is a crucial goal; however, this has not improved, and in some cases, may have declined in the past decade. Public awareness and understanding of mBC is limited, with damaging consequences for patients and caregivers. Issues affecting employment remain relevant to patients with mBC and their caregivers. Globally, mBC is associated with a substantial economic burden. Relationships with caregivers are crucial to patients with mBC, and caregiver support needs are often overlooked. A strong and united global effort among healthcare professionals, including clinicians, oncologists, pharmaceutical manufacturers, payers, and policy makers, and with advocates, families, and patients, is necessary to improve the outcome and quality of life for patients with mBC.","container-title":"Breast (Edinburgh, Scotland)","DOI":"10.1016/j.breast.2018.03.002","ISSN":"1532-3080","journalAbbreviation":"Breast","language":"eng","note":"PMID: 29679849","page":"131-138","source":"PubMed","title":"Global analysis of advanced/metastatic breast cancer: Decade report (2005-2015)","title-short":"Global analysis of advanced/metastatic breast cancer","volume":"39","author":[{"family":"Cardoso","given":"Fatima"},{"family":"Spence","given":"Danielle"},{"family":"Mertz","given":"Shirley"},{"family":"Corneliussen-James","given":"Dian"},{"family":"Sabelko","given":"Kimberly"},{"family":"Gralow","given":"Julie"},{"family":"Cardoso","given":"Maria-João"},{"family":"Peccatori","given":"Fedro"},{"family":"Paonessa","given":"Diego"},{"family":"Benares","given":"Ann"},{"family":"Sakurai","given":"Naomi"},{"family":"Beishon","given":"Marc"},{"family":"Barker","given":"Sarah-Jane"},{"family":"Mayer","given":"Musa"}],"issued":{"date-parts":[["2018",6]]}}}],"schema":"https://github.com/citation-style-language/schema/raw/master/csl-citation.json"} </w:instrText>
      </w:r>
      <w:r w:rsidRPr="007C383A">
        <w:fldChar w:fldCharType="separate"/>
      </w:r>
      <w:r w:rsidR="00CA6345" w:rsidRPr="00CA6345">
        <w:rPr>
          <w:rFonts w:cs="Arial"/>
          <w:szCs w:val="24"/>
          <w:vertAlign w:val="superscript"/>
        </w:rPr>
        <w:t>109</w:t>
      </w:r>
      <w:r w:rsidRPr="007C383A">
        <w:fldChar w:fldCharType="end"/>
      </w:r>
      <w:r w:rsidRPr="007C383A">
        <w:t xml:space="preserve"> Caring for a patient with mBC can also impact a caregiver’s work, leading to financial strain and increased indirect economic costs.</w:t>
      </w:r>
      <w:r w:rsidRPr="007C383A">
        <w:fldChar w:fldCharType="begin"/>
      </w:r>
      <w:r w:rsidR="00CA6345">
        <w:instrText xml:space="preserve"> ADDIN ZOTERO_ITEM CSL_CITATION {"citationID":"3HvlXCiu","properties":{"formattedCitation":"\\super 109\\nosupersub{}","plainCitation":"109","noteIndex":0},"citationItems":[{"id":65894,"uris":["http://zotero.org/groups/4797619/items/MJE7K35V"],"itemData":{"id":65894,"type":"article-journal","abstract":"Approximately 0.5 million people worldwide die from metastatic breast cancer (mBC) every year. This manuscript provides an overview on the status of mBC in several regions of the world, highlighting the gaps in care, resources, and support available for patients with mBC. Primary research was conducted in 2015 and 2016, comprising four global qualitative and quantitative surveys of approximately 15,000 individuals in 34 countries. Secondary research was conducted using literature reviews of peer-reviewed publications, patient survey reports, and media or online articles. There have been modest improvements in mBC outcomes over the past decade. Patients are not provided with adequate information about mBC. There is a need for open discussion with patients and caregivers about realistic goals; however, physicians are not trained in communicating with patients about their disease. Maintaining patients' quality of life is a crucial goal; however, this has not improved, and in some cases, may have declined in the past decade. Public awareness and understanding of mBC is limited, with damaging consequences for patients and caregivers. Issues affecting employment remain relevant to patients with mBC and their caregivers. Globally, mBC is associated with a substantial economic burden. Relationships with caregivers are crucial to patients with mBC, and caregiver support needs are often overlooked. A strong and united global effort among healthcare professionals, including clinicians, oncologists, pharmaceutical manufacturers, payers, and policy makers, and with advocates, families, and patients, is necessary to improve the outcome and quality of life for patients with mBC.","container-title":"Breast (Edinburgh, Scotland)","DOI":"10.1016/j.breast.2018.03.002","ISSN":"1532-3080","journalAbbreviation":"Breast","language":"eng","note":"PMID: 29679849","page":"131-138","source":"PubMed","title":"Global analysis of advanced/metastatic breast cancer: Decade report (2005-2015)","title-short":"Global analysis of advanced/metastatic breast cancer","volume":"39","author":[{"family":"Cardoso","given":"Fatima"},{"family":"Spence","given":"Danielle"},{"family":"Mertz","given":"Shirley"},{"family":"Corneliussen-James","given":"Dian"},{"family":"Sabelko","given":"Kimberly"},{"family":"Gralow","given":"Julie"},{"family":"Cardoso","given":"Maria-João"},{"family":"Peccatori","given":"Fedro"},{"family":"Paonessa","given":"Diego"},{"family":"Benares","given":"Ann"},{"family":"Sakurai","given":"Naomi"},{"family":"Beishon","given":"Marc"},{"family":"Barker","given":"Sarah-Jane"},{"family":"Mayer","given":"Musa"}],"issued":{"date-parts":[["2018",6]]}}}],"schema":"https://github.com/citation-style-language/schema/raw/master/csl-citation.json"} </w:instrText>
      </w:r>
      <w:r w:rsidRPr="007C383A">
        <w:fldChar w:fldCharType="separate"/>
      </w:r>
      <w:r w:rsidR="00CA6345" w:rsidRPr="00CA6345">
        <w:rPr>
          <w:rFonts w:cs="Arial"/>
          <w:szCs w:val="24"/>
          <w:vertAlign w:val="superscript"/>
        </w:rPr>
        <w:t>109</w:t>
      </w:r>
      <w:r w:rsidRPr="007C383A">
        <w:fldChar w:fldCharType="end"/>
      </w:r>
      <w:r w:rsidRPr="007C383A">
        <w:t xml:space="preserve"> A treatment that allows patients</w:t>
      </w:r>
      <w:r>
        <w:t xml:space="preserve"> to lead a near normal life for longer by improving response rates and reducing progression rates will therefore substantially improve caregiver and patient </w:t>
      </w:r>
      <w:r w:rsidR="00987921">
        <w:t>QoL</w:t>
      </w:r>
      <w:r>
        <w:t xml:space="preserve"> and productivity.</w:t>
      </w:r>
    </w:p>
    <w:p w14:paraId="6B845902" w14:textId="6F0EBFB8" w:rsidR="009C39DD" w:rsidRPr="00B4336F" w:rsidRDefault="009C39DD" w:rsidP="009C39DD">
      <w:pPr>
        <w:pStyle w:val="Body"/>
      </w:pPr>
      <w:r>
        <w:t xml:space="preserve">Whilst there has been a significant improvement in outcomes for patients with HER2-positive u/mBC since the introduction of </w:t>
      </w:r>
      <w:r w:rsidR="008D6128">
        <w:t xml:space="preserve">effective </w:t>
      </w:r>
      <w:r>
        <w:t>HER2-targeted therapies, there remains a large unmet need for effective</w:t>
      </w:r>
      <w:r w:rsidR="00247B79">
        <w:t>, novel</w:t>
      </w:r>
      <w:r>
        <w:t xml:space="preserve"> treatment options for patients with HER2-negative u/mBC</w:t>
      </w:r>
      <w:r w:rsidR="00EC0A50">
        <w:t xml:space="preserve">, including those expressing </w:t>
      </w:r>
      <w:r w:rsidR="008D6128">
        <w:t>lower levels of HER2</w:t>
      </w:r>
      <w:r>
        <w:t xml:space="preserve">. </w:t>
      </w:r>
      <w:r w:rsidRPr="002646F6">
        <w:t>Following exhaustion of</w:t>
      </w:r>
      <w:r w:rsidRPr="002646F6" w:rsidDel="0034772C">
        <w:t xml:space="preserve"> </w:t>
      </w:r>
      <w:r w:rsidRPr="002646F6">
        <w:t>targeted options such as ET/</w:t>
      </w:r>
      <w:r w:rsidR="00E66BFA">
        <w:t>CDK4/6i</w:t>
      </w:r>
      <w:r w:rsidRPr="002646F6">
        <w:t>s (HER2-negative/HR-positive) at earl</w:t>
      </w:r>
      <w:r w:rsidR="00B93A93">
        <w:t>ier</w:t>
      </w:r>
      <w:r w:rsidRPr="002646F6">
        <w:t xml:space="preserve"> lines, the only option for the majority of patients with HER2-negative u/mBC are </w:t>
      </w:r>
      <w:r w:rsidR="00C068E3">
        <w:t xml:space="preserve">sequential lines of </w:t>
      </w:r>
      <w:r w:rsidRPr="002646F6">
        <w:t>non-targeted</w:t>
      </w:r>
      <w:r w:rsidR="00A65DB0">
        <w:t xml:space="preserve">, single-agent </w:t>
      </w:r>
      <w:r w:rsidRPr="002646F6">
        <w:t>chemotherapies</w:t>
      </w:r>
      <w:r>
        <w:t>.</w:t>
      </w:r>
      <w:r w:rsidR="00433A61" w:rsidRPr="002646F6">
        <w:rPr>
          <w:rFonts w:cs="Arial"/>
        </w:rPr>
        <w:fldChar w:fldCharType="begin"/>
      </w:r>
      <w:r w:rsidR="00CA6345">
        <w:rPr>
          <w:rFonts w:cs="Arial"/>
        </w:rPr>
        <w:instrText xml:space="preserve"> ADDIN ZOTERO_ITEM CSL_CITATION {"citationID":"OmKp0EJx","properties":{"formattedCitation":"\\super 35,42\\nosupersub{}","plainCitation":"35,42","noteIndex":0},"citationItems":[{"id":65955,"uris":["http://zotero.org/groups/4797619/items/4KXA6CCG"],"itemData":{"id":65955,"type":"article-journal","container-title":"Annals of Oncology: Official Journal of the European Society for Medical Oncology","DOI":"10.1016/j.annonc.2021.09.019","ISSN":"1569-8041","issue":"12","journalAbbreviation":"Ann Oncol","language":"eng","note":"PMID: 34678411","page":"1475-1495","source":"PubMed","title":"ESMO Clinical Practice Guideline for the diagnosis, staging and treatment of patients with metastatic breast cancer","volume":"32","author":[{"family":"Gennari","given":"A."},{"family":"André","given":"F."},{"family":"Barrios","given":"C. H."},{"family":"Cortés","given":"J."},{"family":"Azambuja","given":"E.","non-dropping-particle":"de"},{"family":"DeMichele","given":"A."},{"family":"Dent","given":"R."},{"family":"Fenlon","given":"D."},{"family":"Gligorov","given":"J."},{"family":"Hurvitz","given":"S. A."},{"family":"Im","given":"S.-A."},{"family":"Krug","given":"D."},{"family":"Kunz","given":"W. G."},{"family":"Loi","given":"S."},{"family":"Penault-Llorca","given":"F."},{"family":"Ricke","given":"J."},{"family":"Robson","given":"M."},{"family":"Rugo","given":"H. S."},{"family":"Saura","given":"C."},{"family":"Schmid","given":"P."},{"family":"Singer","given":"C. F."},{"family":"Spanic","given":"T."},{"family":"Tolaney","given":"S. M."},{"family":"Turner","given":"N. C."},{"family":"Curigliano","given":"G."},{"family":"Loibl","given":"S."},{"family":"Paluch-Shimon","given":"S."},{"family":"Harbeck","given":"N."},{"literal":"ESMO Guidelines Committee. Electronic address: clinicalguidelines@esmo.org"}],"issued":{"date-parts":[["2021",12]]}}},{"id":65866,"uris":["http://zotero.org/groups/4797619/items/3AESVSNK"],"itemData":{"id":65866,"type":"webpage","abstract":"This guideline covers care and support for people with advanced (stage 4) breast cancer. It aims to help them and their healthcare professionals make shared","language":"eng","note":"publisher: NICE","title":"Advanced breast cancer: diagnosis and treatment | NICE CG81","title-short":"NICE CG81. Recommendations | Advanced breast cancer","URL":"https://www.nice.org.uk/guidance/cg81/chapter/Recommendations","author":[{"family":"NICE","given":""}],"accessed":{"date-parts":[["2022",10,17]]},"issued":{"date-parts":[["2017"]]}}}],"schema":"https://github.com/citation-style-language/schema/raw/master/csl-citation.json"} </w:instrText>
      </w:r>
      <w:r w:rsidR="00433A61" w:rsidRPr="002646F6">
        <w:rPr>
          <w:rFonts w:cs="Arial"/>
        </w:rPr>
        <w:fldChar w:fldCharType="separate"/>
      </w:r>
      <w:r w:rsidR="00FD57F4" w:rsidRPr="00FD57F4">
        <w:rPr>
          <w:rFonts w:cs="Arial"/>
          <w:szCs w:val="24"/>
          <w:vertAlign w:val="superscript"/>
        </w:rPr>
        <w:t>35,42</w:t>
      </w:r>
      <w:r w:rsidR="00433A61" w:rsidRPr="002646F6">
        <w:rPr>
          <w:rFonts w:cs="Arial"/>
        </w:rPr>
        <w:fldChar w:fldCharType="end"/>
      </w:r>
      <w:r>
        <w:t xml:space="preserve"> </w:t>
      </w:r>
      <w:r w:rsidRPr="00C43C55">
        <w:t xml:space="preserve">These non-targeted chemotherapies are associated with poor </w:t>
      </w:r>
      <w:r w:rsidRPr="007C383A">
        <w:t xml:space="preserve">outcomes </w:t>
      </w:r>
      <w:r w:rsidRPr="005115FA">
        <w:t xml:space="preserve">(Section </w:t>
      </w:r>
      <w:r w:rsidR="007C383A" w:rsidRPr="005115FA">
        <w:fldChar w:fldCharType="begin"/>
      </w:r>
      <w:r w:rsidR="007C383A" w:rsidRPr="005115FA">
        <w:instrText xml:space="preserve"> REF _Ref126933423 \n \h </w:instrText>
      </w:r>
      <w:r w:rsidR="007C383A">
        <w:instrText xml:space="preserve"> \* MERGEFORMAT </w:instrText>
      </w:r>
      <w:r w:rsidR="007C383A" w:rsidRPr="005115FA">
        <w:fldChar w:fldCharType="separate"/>
      </w:r>
      <w:r w:rsidR="00145F42">
        <w:t>B.1.3.4</w:t>
      </w:r>
      <w:r w:rsidR="007C383A" w:rsidRPr="005115FA">
        <w:fldChar w:fldCharType="end"/>
      </w:r>
      <w:r w:rsidRPr="005115FA">
        <w:t>).</w:t>
      </w:r>
      <w:r>
        <w:fldChar w:fldCharType="begin"/>
      </w:r>
      <w:r w:rsidR="00CA6345">
        <w:instrText xml:space="preserve"> ADDIN ZOTERO_ITEM CSL_CITATION {"citationID":"xbhdq9hc","properties":{"formattedCitation":"\\super 43\\uc0\\u8211{}47\\nosupersub{}","plainCitation":"43–47","noteIndex":0},"citationItems":[{"id":66149,"uris":["http://zotero.org/groups/4797619/items/8M7DF85G"],"itemData":{"id":66149,"type":"article-journal","abstract":"BACKGROUND: Based on data from two multicenter, phase III clinical trials (Studies 301 and 305), eribulin (a microtubule dynamics inhibitor) is indicated in the European Union (EU) for patients with locally advanced or metastatic breast cancer (MBC) after ≥1 prior chemotherapy for advanced disease, including an anthracycline and a taxane in either the adjuvant or metastatic setting. Data from Studies 305 and 301 were pooled to investigate the efficacy of eribulin in various subgroups of patients who matched the EU label, including those with human epidermal growth factor receptor 2 (HER2)-negative and triple-negative disease.\nPATIENTS AND METHODS: In Study 305 (NCT00388726), patients were randomized 2:1 to eribulin mesylate 1.4 mg/m(2) (equivalent to eribulin 1.23 mg/m(2) [expressed as free base]) intravenously on days 1 and 8 every 21 days] or treatment of physician's choice after 2-5 prior chemotherapies (≥2 for advanced disease), including an anthracycline and a taxane (in early/advanced setting). In Study 301 (NCT00337103), patients were randomized 1:1 to eribulin (as above) or capecitabine (1.25 g/m(2) orally twice daily on days 1-14 every 21 days) following ≤3 prior chemotherapies (≤2 for advanced disease), including an anthracycline and a taxane. Efficacy end points were investigated in the intent-to-treat population and subgroups, pooled as discussed above.\nRESULTS: Overall, 1644 patients were included (eribulin: 946; control: 698); baseline characteristics were well matched. Overall survival was significantly longer with eribulin versus control (P &lt; 0.01), as were progression-free survival and clinical benefit rate (both P &lt; 0.05). Significant survival benefits with eribulin versus control were observed in a wide range of patient subgroups, including HER2-negative or triple-negative disease (all P &lt; 0.05).\nCONCLUSION: Our findings underline the survival benefit achieved by eribulin used according to EU label in the overall MBC population and in various subgroups of interest, including patients with HER2-negative and triple-negative disease.","container-title":"Annals of Oncology: Official Journal of the European Society for Medical Oncology","DOI":"10.1093/annonc/mdw203","ISSN":"1569-8041","issue":"8","journalAbbreviation":"Ann Oncol","language":"eng","note":"PMID: 27177860\nPMCID: PMC4959925","page":"1525-1531","source":"PubMed","title":"Pooled analyses of eribulin in metastatic breast cancer patients with at least one prior chemotherapy","volume":"27","author":[{"family":"Pivot","given":"X."},{"family":"Marmé","given":"F."},{"family":"Koenigsberg","given":"R."},{"family":"Guo","given":"M."},{"family":"Berrak","given":"E."},{"family":"Wolfer","given":"A."}],"issued":{"date-parts":[["2016",8]]}}},{"id":66152,"uris":["http://zotero.org/groups/4797619/items/K2TXU8UJ"],"itemData":{"id":66152,"type":"article-journal","abstract":"BACKGROUND: Treatments with survival benefit are greatly needed for women with heavily pretreated metastatic breast cancer. Eribulin mesilate is a non-taxane microtubule dynamics inhibitor with a novel mode of action. We aimed to compare overall survival of heavily pretreated patients receiving eribulin versus currently available treatments.\nMETHODS: In this phase 3 open-label study, women with locally recurrent or metastatic breast cancer were randomly allocated (2:1) to eribulin mesilate (1·4 mg/m(2) administered intravenously during 2-5 min on days 1 and 8 of a 21-day cycle) or treatment of physician's choice (TPC). Patients had received between two and five previous chemotherapy regimens (two or more for advanced disease), including an anthracycline and a taxane, unless contraindicated. Randomisation was stratified by geographical region, previous capecitabine treatment, and human epidermal growth factor receptor 2 status. Patients and investigators were not masked to treatment allocation. The primary endpoint was overall survival in the intention-to-treat population. This study is registered at ClinicalTrials.gov, number NCT00388726.\nFINDINGS: 762 women were randomly allocated to treatment groups (508 eribulin, 254 TPC). Overall survival was significantly improved in women assigned to eribulin (median 13·1 months, 95% CI 11·8-14·3) compared with TPC (10·6 months, 9·3-12·5; hazard ratio 0·81, 95% CI 0·66-0·99; p=0·041). The most common adverse events in both groups were asthenia or fatigue (270 [54%] of 503 patients on eribulin and 98 [40%] of 247 patients on TPC at all grades) and neutropenia (260 [52%] patients receiving eribulin and 73 [30%] of those on TPC at all grades). Peripheral neuropathy was the most common adverse event leading to discontinuation from eribulin, occurring in 24 (5%) of 503 patients.\nINTERPRETATION: Eribulin showed a significant and clinically meaningful improvement in overall survival compared with TPC in women with heavily pretreated metastatic breast cancer. This finding challenges the notion that improved overall survival is an unrealistic expectation during evaluation of new anticancer therapies in the refractory setting.\nFUNDING: Eisai.","container-title":"Lancet (London, England)","DOI":"10.1016/S0140-6736(11)60070-6","ISSN":"1474-547X","issue":"9769","journalAbbreviation":"Lancet","language":"eng","note":"PMID: 21376385","page":"914-923","source":"PubMed","title":"Eribulin monotherapy versus treatment of physician's choice in patients with metastatic breast cancer (EMBRACE): a phase 3 open-label randomised study","title-short":"Eribulin monotherapy versus treatment of physician's choice in patients with metastatic breast cancer (EMBRACE)","volume":"377","author":[{"family":"Cortes","given":"Javier"},{"family":"O'Shaughnessy","given":"Joyce"},{"family":"Loesch","given":"David"},{"family":"Blum","given":"Joanne L."},{"family":"Vahdat","given":"Linda T."},{"family":"Petrakova","given":"Katarina"},{"family":"Chollet","given":"Philippe"},{"family":"Manikas","given":"Alexey"},{"family":"Diéras","given":"Veronique"},{"family":"Delozier","given":"Thierry"},{"family":"Vladimirov","given":"Vladimir"},{"family":"Cardoso","given":"Fatima"},{"family":"Koh","given":"Han"},{"family":"Bougnoux","given":"Philippe"},{"family":"Dutcus","given":"Corina E."},{"family":"Seegobin","given":"Seth"},{"family":"Mir","given":"Denis"},{"family":"Meneses","given":"Nicole"},{"family":"Wanders","given":"Jantien"},{"family":"Twelves","given":"Chris"},{"literal":"EMBRACE (Eisai Metastatic Breast Cancer Study Assessing Physician's Choice Versus E7389) investigators"}],"issued":{"date-parts":[["2011",3,12]]}}},{"id":66151,"uris":["http://zotero.org/groups/4797619/items/RLDAE79H"],"itemData":{"id":66151,"type":"article-journal","abstract":"PURPOSE AND METHODS: Our secondary analyses compared survival with eribulin versus capecitabine in various patient subgroups from a phase 3, open-label, randomized study. Eligible women aged ≥18 years with advanced/metastatic breast cancer and ≤3 prior chemotherapies (≤2 for advanced/metastatic disease), including an anthracycline and taxane, were randomized 1:1 to intravenous eribulin mesylate 1.4 mg/m(2) on days 1 and 8 or twice-daily oral capecitabine 1250 mg/m(2) on days 1-14 (21-day cycles).\nRESULTS: In the intent-to-treat population (eribulin 554 and capecitabine 548), overall survival appeared longer with eribulin than capecitabine in various subgroups, including patients with human epidermal growth factor receptor 2-negative (15.9 versus 13.5 months, respectively), estrogen receptor-negative (14.4 versus 10.5 months, respectively), and triple-negative (14.4 versus 9.4 months, respectively) disease. Progression-free survival was similar between the treatment arms.\nCONCLUSIONS: Patients with advanced/metastatic breast cancer and human epidermal growth factor receptor 2-, estrogen receptor-, or triple-negative disease may gain particular benefit from eribulin as first-, second-, and third-line chemotherapies.\nTRIAL REGISTRATION PRIMARY STUDY: This study reports the subgroup analyses of eribulin versus capecitabine from a phase 3, open-label, randomized study (www.clinicaltrials.gov; ClinicalTrials.gov identifier: NCT00337103).","container-title":"Breast Cancer: Basic and Clinical Research","DOI":"10.4137/BCBCR.S39615","ISSN":"1178-2234","journalAbbreviation":"Breast Cancer (Auckl)","language":"eng","note":"PMID: 27398025\nPMCID: PMC4927108","page":"77-84","source":"PubMed","title":"Subgroup Analyses from a Phase 3, Open-Label, Randomized Study of Eribulin Mesylate Versus Capecitabine in Pretreated Patients with Advanced or Metastatic Breast Cancer","volume":"10","author":[{"family":"Twelves","given":"Chris"},{"family":"Awada","given":"Ahmad"},{"family":"Cortes","given":"Javier"},{"family":"Yelle","given":"Louise"},{"family":"Velikova","given":"Galina"},{"family":"Olivo","given":"Martin S."},{"family":"Song","given":"James"},{"family":"Dutcus","given":"Corina E."},{"family":"Kaufman","given":"Peter A."}],"issued":{"date-parts":[["2016"]]}}},{"id":66150,"uris":["http://zotero.org/groups/4797619/items/FWP3JYLN"],"itemData":{"id":66150,"type":"article-journal","abstract":"This post hoc subgroup analysis of a large phase 3 study compared the efficacy and safety of eribulin versus capecitabine in patients with human epidermal growth factor receptor 2 (HER2)-negative metastatic breast cancer who received second-line treatment. In the phase 3 study, women with advanced/metastatic breast cancer and ≤ 3 prior chemotherapies were randomized 1:1 to eribulin mesilate 1.4 mg/m2 intravenously on days 1 and 8, or twice-daily oral capecitabine 1.25 g/m2 on days 1-14 (21-day cycles). This analysis included 392 patients. Median overall survival was longer in patients receiving eribulin compared with capecitabine (16.1 vs 13.5 months, respectively; HR 0.77, P = 0.026). Median progression-free survival and response rates were similar between arms. Both treatments had manageable safety profiles.","container-title":"Breast Cancer (Tokyo, Japan)","DOI":"10.1007/s12282-017-0826-4","ISSN":"1880-4233","issue":"3","journalAbbreviation":"Breast Cancer","language":"eng","note":"PMID: 29302858\nPMCID: PMC5906517","page":"370-374","source":"PubMed","title":"Subgroup analysis of patients with HER2-negative metastatic breast cancer in the second-line setting from a phase 3, open-label, randomized study of eribulin mesilate versus capecitabine","volume":"25","author":[{"family":"Pivot","given":"Xavier"},{"family":"Im","given":"Seock Ah"},{"family":"Guo","given":"Matthew"},{"family":"Marmé","given":"Frederik"}],"issued":{"date-parts":[["2018",5]]}}},{"id":66278,"uris":["http://zotero.org/groups/4797619/items/L9C8M9U3"],"itemData":{"id":66278,"type":"article-journal","abstract":"BACKGROUND: Use of antiangiogenic agents in treatment of metastatic breast cancer (MBC) remains controversial. We evaluated the efficacy and safety of ramucirumab and eribulin versus eribulin alone as third- to fifth-line therapy in women with advanced breast cancer.\nPATIENTS AND METHODS: In this randomized (1:1), open-label, phase II study, US women aged 18 years or older with 2 to 4 previous chemotherapy regimens for locally recurrent or MBC, previous anthracycline and taxane treatment, and Eastern Cooperative Oncology Group performance status of 0 or 1 received ramucirumab with eribulin or eribulin alone in 21-day cycles (eribulin 1.4 mg/m2 intravenously on days 1 and 8; ramucirumab 10 mg/kg intravenously on day 1). Randomization was stratified according to previous antiangiogenic therapy and triple-negative status. The primary end point was progression-free survival (PFS) in the intention to treat population.\nRESULTS: One hundred forty-one women were randomized to ramucirumab with eribulin (n = 71) or eribulin alone (n = 70). Median PFS for ramucirumab with eribulin was 4.4 months (95% confidence interval [CI], 3.1-6.7) compared with 4.1 months (95% CI, 3.2-5.6) for eribulin (hazard ratio [HR], 0.83; 95% CI, 0.56-1.23; P = .35). Median overall survival in patients who received ramucirumab with eribulin was 13.5 months (95% CI, 10.4-17.9) compared with 11.5 months (95% CI, 9.0-17.3) in patients who received eribulin alone (HR, 0.91; 95% CI, 0.59-1.41; P = .68); objective response rate was 21% (13 of 62 patients) for the combination and 28% (17 of 60 patients) for eribulin alone. No unexpected toxicity was identified for the combination.\nCONCLUSION: Ramucirumab combined with eribulin did not significantly improve PFS in advanced MBC.","container-title":"Clinical Breast Cancer","DOI":"10.1016/j.clbc.2016.07.005","ISSN":"1938-0666","issue":"6","journalAbbreviation":"Clin Breast Cancer","language":"eng","note":"PMID: 27569274","page":"471-479.e1","source":"PubMed","title":"Ramucirumab With Eribulin Versus Eribulin in Locally Recurrent or Metastatic Breast Cancer Previously Treated With Anthracycline and Taxane Therapy: A Multicenter, Randomized, Phase II Study","title-short":"Ramucirumab With Eribulin Versus Eribulin in Locally Recurrent or Metastatic Breast Cancer Previously Treated With Anthracycline and Taxane Therapy","volume":"16","author":[{"family":"Yardley","given":"Denise A."},{"family":"Reeves","given":"James"},{"family":"Dees","given":"E. Claire"},{"family":"Osborne","given":"Cynthia"},{"family":"Paul","given":"Devchand"},{"family":"Ademuyiwa","given":"Foluso"},{"family":"Soliman","given":"Hatem"},{"family":"Guthrie","given":"Troy"},{"family":"Andersen","given":"Jay"},{"family":"Krekow","given":"Lea"},{"family":"Choksi","given":"Janak"},{"family":"Daniel","given":"Brooke"},{"family":"Danso","given":"Michael"},{"family":"Favret","given":"Anne"},{"family":"Oommen","given":"Sanjay"},{"family":"Brufsky","given":"Adam"},{"family":"Bromund","given":"Jane L."},{"family":"Lin","given":"Yong"},{"family":"Ibrahim","given":"Ayman B."},{"family":"Richards","given":"Paul D."}],"issued":{"date-parts":[["2016",12]]}}}],"schema":"https://github.com/citation-style-language/schema/raw/master/csl-citation.json"} </w:instrText>
      </w:r>
      <w:r>
        <w:fldChar w:fldCharType="separate"/>
      </w:r>
      <w:r w:rsidR="00FD57F4" w:rsidRPr="00FD57F4">
        <w:rPr>
          <w:rFonts w:cs="Arial"/>
          <w:szCs w:val="24"/>
          <w:vertAlign w:val="superscript"/>
        </w:rPr>
        <w:t>43–47</w:t>
      </w:r>
      <w:r>
        <w:fldChar w:fldCharType="end"/>
      </w:r>
      <w:r w:rsidRPr="002646F6">
        <w:t xml:space="preserve"> </w:t>
      </w:r>
      <w:r w:rsidRPr="00B4336F">
        <w:t xml:space="preserve">Treatments shown to increase </w:t>
      </w:r>
      <w:r w:rsidR="00E369F6">
        <w:t xml:space="preserve">OS and </w:t>
      </w:r>
      <w:r w:rsidRPr="00B4336F">
        <w:t>PFS are highly valued by patients with incurable breast cancer, but where possible, should provide efficacy without the high levels of toxicity imposed by chemotherapy.</w:t>
      </w:r>
      <w:r w:rsidRPr="00B4336F">
        <w:fldChar w:fldCharType="begin"/>
      </w:r>
      <w:r w:rsidR="00CA6345">
        <w:instrText xml:space="preserve"> ADDIN ZOTERO_ITEM CSL_CITATION {"citationID":"mbDosLyF","properties":{"formattedCitation":"\\super 192,193\\nosupersub{}","plainCitation":"192,193","noteIndex":0},"citationItems":[{"id":65846,"uris":["http://zotero.org/groups/4797619/items/HWAT9NY2"],"itemData":{"id":65846,"type":"webpage","title":"What is breast cancer? | Cancer Research UK","URL":"https://www.cancerresearchuk.org/about-cancer/breast-cancer/about","accessed":{"date-parts":[["2022",10,3]]}}},{"id":66392,"uris":["http://zotero.org/groups/4797619/items/LR47MYZA"],"itemData":{"id":66392,"type":"article-journal","abstract":"Background. Value assessments and treatment decision making typically focus on clinical endpoints, especially overall survival (OS). However, OS data are not always available, and surrogate markers may also have some value to patients. This study sought to estimate preferences for progression-free survival (PFS) relative to OS in metastatic breast cancer (mBC) among a diverse set of stakeholders-patients, oncologists, and oncology nurses-and estimate the value patients and providers place on other attributes of treatment. Methods. Utilizing a combined conjoint analysis and discrete choice experiment approach, we conducted an online prospective survey of mBC patients and oncology care providers who treat mBC patients across the United States. Results. A total of 299 mBC patients, 100 oncologists, and 99 oncology nurses completed the survey. Virtually all patients preferred health state sequences with contiguous periods of PFS, compared with approximately 85% and 75% of nurses and oncologists, respectively. On average, longer OS was significantly (P &lt; 0.01) preferred by the majority (75%) patients, but only 15% of nurses preferred longer OS, and OS did not significantly affect oncologists' preferred health state. However, in the context of a treatment decision, whether a treatment offered continuous periods of stable disease holding OS constant significantly affected nurses' treatment choices. Patients and providers alike valued reductions in adverse event risk and evidence from high-quality randomized controlled clinical trials. Conclusions. The strong preference for observed PFS suggests more research is warranted to better understand the reasons for PFS having positive value to patients. The results also suggest a range of endpoints in clinical trials may have importance to patients.","container-title":"MDM policy &amp; practice","DOI":"10.1177/2381468319855386","ISSN":"2381-4683","issue":"1","journalAbbreviation":"MDM Policy Pract","language":"eng","note":"PMID: 31259249\nPMCID: PMC6589981","page":"2381468319855386","source":"PubMed","title":"The Value of Progression-Free Survival in Metastatic Breast Cancer: Results From a Survey of Patients and Providers","title-short":"The Value of Progression-Free Survival in Metastatic Breast Cancer","volume":"4","author":[{"family":"MacEwan","given":"Joanna P."},{"family":"Doctor","given":"Jason"},{"family":"Mulligan","given":"Karen"},{"family":"May","given":"Suepattra G."},{"family":"Batt","given":"Katharine"},{"family":"Zacker","given":"Christopher"},{"family":"Lakdawalla","given":"Darius"},{"family":"Goldman","given":"Dana"}],"issued":{"date-parts":[["2019"]]}}}],"schema":"https://github.com/citation-style-language/schema/raw/master/csl-citation.json"} </w:instrText>
      </w:r>
      <w:r w:rsidRPr="00B4336F">
        <w:fldChar w:fldCharType="separate"/>
      </w:r>
      <w:r w:rsidR="00CA6345" w:rsidRPr="00CA6345">
        <w:rPr>
          <w:rFonts w:cs="Arial"/>
          <w:szCs w:val="24"/>
          <w:vertAlign w:val="superscript"/>
        </w:rPr>
        <w:t>192,193</w:t>
      </w:r>
      <w:r w:rsidRPr="00B4336F">
        <w:fldChar w:fldCharType="end"/>
      </w:r>
      <w:r>
        <w:t xml:space="preserve"> A subset of HER2-negative u/mBC patients </w:t>
      </w:r>
      <w:r w:rsidR="00F136B7">
        <w:t>may be categorised as</w:t>
      </w:r>
      <w:r>
        <w:t xml:space="preserve"> HER2-low, for which previous HER2 targeted therapies have been ineffective.</w:t>
      </w:r>
      <w:r>
        <w:fldChar w:fldCharType="begin"/>
      </w:r>
      <w:r w:rsidR="00CA6345">
        <w:instrText xml:space="preserve"> ADDIN ZOTERO_ITEM CSL_CITATION {"citationID":"ledwjs69","properties":{"formattedCitation":"\\super 57\\nosupersub{}","plainCitation":"57","noteIndex":0},"citationItems":[{"id":66281,"uris":["http://zotero.org/groups/4797619/items/3BD9235C"],"itemData":{"id":66281,"type":"article-journal","abstract":"PURPOSE: Adjuvant trastuzumab reduces invasive breast cancer (IBC) recurrence and risk for death in patients with HER2-amplified or overexpressing IBC. A subset of patients in the landmark trastuzumab adjuvant trials who originally tested HER2-positive but were HER2-negative by central HER2 testing appeared to possibly benefit from trastuzumab. The objective for the NSABP B-47 trial was to determine whether the addition of trastuzumab to adjuvant chemotherapy (CRx) would improve invasive disease-free survival (IDFS) in patients with HER2-negative breast cancer.\nPATIENTS AND METHODS: A total of 3,270 women with high-risk primary IBC were randomly assigned to CRx with or without 1 year of trastuzumab. Eligibility criteria included immunohistochemistry (IHC) score 1+ or 2+ with fluorescence in situ hybridization ratio (FISH) &lt; 2.0 or, if ratio was not performed, HER2 gene copy number &lt; 4.0. CRx was either docetaxel plus cyclophosphamide or doxorubicin and cyclophosphamide followed by weekly paclitaxel for 12 weeks.\nRESULTS: At a median follow-up of 46 months, the addition of trastuzumab to CRx did not improve IDFS (5-year IDFS: 89.8% with CRx plus trastuzumab [CRxT] v 89.2% with CRx alone; hazard ratio [HR], 0.98; 95% CI, 0.76 to 1.25; P = .85). These findings did not differ by level of HER2 IHC expression, lymph node involvement, or hormone-receptor status. For distant recurrence-free interval, 5-year estimates were 92.7% with CRxT compared with 93.6% for CRx alone (HR, 1.10; 95% CI, 0.81 to 1.50; P = .55) and for overall survival (OS) were 94.8% with CRxT and 96.3% in CRx alone (HR, 1.33; 95% CI, 0.90 to 1.95; P = .15). There were no unexpected toxicities from the addition of trastuzumab to CRx.\nCONCLUSION: The addition of trastuzumab to CRx did not improve IDFS, distant recurrence-free interval, or OS in women with non-HER2-overexpressing IBC. Trastuzumab does not benefit women without IHC 3+ or FISH ratio-amplified breast cancer.","container-title":"Journal of Clinical Oncology: Official Journal of the American Society of Clinical Oncology","DOI":"10.1200/JCO.19.01455","ISSN":"1527-7755","issue":"5","journalAbbreviation":"J Clin Oncol","language":"eng","note":"PMID: 31821109\nPMCID: PMC7007289","page":"444-453","source":"PubMed","title":"NSABP B-47/NRG Oncology Phase III Randomized Trial Comparing Adjuvant Chemotherapy With or Without Trastuzumab in High-Risk Invasive Breast Cancer Negative for HER2 by FISH and With IHC 1+ or 2","volume":"38","author":[{"family":"Fehrenbacher","given":"Louis"},{"family":"Cecchini","given":"Reena S."},{"family":"Geyer","given":"Charles E."},{"family":"Rastogi","given":"Priya"},{"family":"Costantino","given":"Joseph P."},{"family":"Atkins","given":"James N."},{"family":"Crown","given":"John P."},{"family":"Polikoff","given":"Jonathan"},{"family":"Boileau","given":"Jean-Francois"},{"family":"Provencher","given":"Louise"},{"family":"Stokoe","given":"Christopher"},{"family":"Moore","given":"Timothy D."},{"family":"Robidoux","given":"André"},{"family":"Flynn","given":"Patrick J."},{"family":"Borges","given":"Virginia F."},{"family":"Albain","given":"Kathy S."},{"family":"Swain","given":"Sandra M."},{"family":"Paik","given":"Soonmyung"},{"family":"Mamounas","given":"Eleftherios P."},{"family":"Wolmark","given":"Norman"}],"issued":{"date-parts":[["2020",2,10]]}}}],"schema":"https://github.com/citation-style-language/schema/raw/master/csl-citation.json"} </w:instrText>
      </w:r>
      <w:r>
        <w:fldChar w:fldCharType="separate"/>
      </w:r>
      <w:r w:rsidR="00FD57F4" w:rsidRPr="00FD57F4">
        <w:rPr>
          <w:rFonts w:cs="Arial"/>
          <w:szCs w:val="24"/>
          <w:vertAlign w:val="superscript"/>
        </w:rPr>
        <w:t>57</w:t>
      </w:r>
      <w:r>
        <w:fldChar w:fldCharType="end"/>
      </w:r>
      <w:r w:rsidRPr="00B4336F" w:rsidDel="0074573D">
        <w:t xml:space="preserve"> </w:t>
      </w:r>
      <w:r w:rsidRPr="00B4336F">
        <w:t xml:space="preserve">T-DXd offers the first </w:t>
      </w:r>
      <w:r>
        <w:t>HER2</w:t>
      </w:r>
      <w:r w:rsidR="00D55AE3">
        <w:t>-</w:t>
      </w:r>
      <w:r w:rsidRPr="00B4336F">
        <w:t xml:space="preserve">targeted treatment </w:t>
      </w:r>
      <w:r>
        <w:t>to demonstrate efficacy</w:t>
      </w:r>
      <w:r w:rsidRPr="00B4336F">
        <w:t xml:space="preserve"> </w:t>
      </w:r>
      <w:r>
        <w:t>in</w:t>
      </w:r>
      <w:r w:rsidRPr="00B4336F">
        <w:t xml:space="preserve"> </w:t>
      </w:r>
      <w:r w:rsidR="00F136B7">
        <w:t>a</w:t>
      </w:r>
      <w:r w:rsidR="00F136B7" w:rsidRPr="00B4336F">
        <w:t xml:space="preserve"> </w:t>
      </w:r>
      <w:r w:rsidRPr="00B4336F">
        <w:t>HER2-low population, representing a shift in the</w:t>
      </w:r>
      <w:r>
        <w:t xml:space="preserve"> classification and treatment</w:t>
      </w:r>
      <w:r w:rsidRPr="00B4336F">
        <w:t xml:space="preserve"> paradigm of BC.</w:t>
      </w:r>
    </w:p>
    <w:p w14:paraId="4F578A2D" w14:textId="06F4F8AE" w:rsidR="009C39DD" w:rsidRDefault="009C39DD" w:rsidP="009C39DD">
      <w:r>
        <w:t>DESTINY-Breast0</w:t>
      </w:r>
      <w:r w:rsidRPr="00B4336F">
        <w:t>4</w:t>
      </w:r>
      <w:r>
        <w:t xml:space="preserve"> demonstrates that T-DXd significantly improves response rates, PFS and OS </w:t>
      </w:r>
      <w:r w:rsidRPr="00B4336F">
        <w:t>in patients with HER2-low u/mBC</w:t>
      </w:r>
      <w:r>
        <w:t xml:space="preserve">, </w:t>
      </w:r>
      <w:r w:rsidR="008A091B">
        <w:t xml:space="preserve">whilst </w:t>
      </w:r>
      <w:r w:rsidR="00294FDC" w:rsidRPr="00294FDC">
        <w:rPr>
          <w:color w:val="000000"/>
          <w:highlight w:val="black"/>
        </w:rPr>
        <w:t>xxxxxxxxxxxxxxxxxxxxx</w:t>
      </w:r>
      <w:r w:rsidR="008A091B">
        <w:t xml:space="preserve">, </w:t>
      </w:r>
      <w:r>
        <w:t xml:space="preserve">which may </w:t>
      </w:r>
      <w:r w:rsidRPr="00B4336F">
        <w:t xml:space="preserve">allow more patients to perform their usual activities </w:t>
      </w:r>
      <w:r w:rsidR="00F136B7">
        <w:t>for longer</w:t>
      </w:r>
      <w:r w:rsidRPr="00B4336F">
        <w:t xml:space="preserve"> including the ability to work.</w:t>
      </w:r>
      <w:r w:rsidR="00FB2B06" w:rsidRPr="00B4336F">
        <w:fldChar w:fldCharType="begin"/>
      </w:r>
      <w:r w:rsidR="00CA6345">
        <w:instrText xml:space="preserve"> ADDIN ZOTERO_ITEM CSL_CITATION {"citationID":"5hEvSVvD","properties":{"formattedCitation":"\\super 7,140\\nosupersub{}","plainCitation":"7,140","noteIndex":0},"citationItems":[{"id":65944,"uris":["http://zotero.org/groups/4797619/items/WBVSVVF7"],"itemData":{"id":65944,"type":"document","title":"Clinical Study Report for DS8201-A-U303. Data cut-off date: 11 Jan 2022. Data on File.","author":[{"family":"Daiichi Sankyo Inc.","given":""}],"issued":{"date-parts":[["2022"]]}}},{"id":66138,"uris":["http://zotero.org/groups/4797619/items/7DECRJ2U"],"itemData":{"id":66138,"type":"document","title":"Trastuzumab deruxtecan (T-DXd) vs treatment of physician's choice in patients with HER2-low unresectable and/or metastatic breast cancer: Results of DESTINY-Breast04, a randomized, phase 3 study. Presented at ASCO 2022 Annual Meeting.","author":[{"family":"Modi","given":"Shanu"},{"family":"Jacot","given":"William"},{"family":"Yamashita","given":"Toshinari"},{"family":"Sohn","given":"Joohyuk"},{"family":"Vidal","given":"Maria"},{"family":"Tokunaga","given":"Eriko"},{"family":"Tsurutani","given":"Junji"},{"family":"Ueno","given":"Naoto T."},{"family":"Chae","given":"Yee Soo"},{"family":"Lee","given":"Keun Seok"},{"family":"Niikura","given":"Naoki"},{"family":"Park","given":"Yeon Hee"},{"family":"Wang","given":"Xiaojia"},{"family":"Xu","given":"Binghe"},{"family":"Gambhire","given":"Dhiraj"},{"family":"Yung","given":"Lotus"},{"family":"Meinhardt","given":"Gerold"},{"family":"Wang","given":"Yibin"},{"family":"Harbeck","given":"Nadia"},{"family":"Cameron","given":"David"}],"issued":{"date-parts":[["2022",6,5]]}}}],"schema":"https://github.com/citation-style-language/schema/raw/master/csl-citation.json"} </w:instrText>
      </w:r>
      <w:r w:rsidR="00FB2B06" w:rsidRPr="00B4336F">
        <w:fldChar w:fldCharType="separate"/>
      </w:r>
      <w:r w:rsidR="00CA6345" w:rsidRPr="00CA6345">
        <w:rPr>
          <w:rFonts w:cs="Arial"/>
          <w:szCs w:val="24"/>
          <w:vertAlign w:val="superscript"/>
        </w:rPr>
        <w:t>7,140</w:t>
      </w:r>
      <w:r w:rsidR="00FB2B06" w:rsidRPr="00B4336F">
        <w:fldChar w:fldCharType="end"/>
      </w:r>
      <w:r w:rsidRPr="00B4336F">
        <w:t xml:space="preserve"> As such, T-DXd not only greatly improves patients overall QALYs (see Section </w:t>
      </w:r>
      <w:r w:rsidRPr="007B3CF2">
        <w:fldChar w:fldCharType="begin"/>
      </w:r>
      <w:r w:rsidRPr="007B3CF2">
        <w:instrText xml:space="preserve"> REF _Ref99733096 \r \h  \* MERGEFORMAT </w:instrText>
      </w:r>
      <w:r w:rsidRPr="007B3CF2">
        <w:fldChar w:fldCharType="separate"/>
      </w:r>
      <w:r w:rsidR="00145F42">
        <w:t>B.3.10</w:t>
      </w:r>
      <w:r w:rsidRPr="007B3CF2">
        <w:fldChar w:fldCharType="end"/>
      </w:r>
      <w:r>
        <w:t xml:space="preserve">) but can also have a substantial benefit in terms of societal gains and economic production. </w:t>
      </w:r>
    </w:p>
    <w:p w14:paraId="2A461057" w14:textId="72725B7E" w:rsidR="009C39DD" w:rsidRDefault="009C39DD" w:rsidP="002C3C41">
      <w:pPr>
        <w:rPr>
          <w:rFonts w:eastAsia="Times New Roman" w:cs="Arial"/>
          <w:sz w:val="18"/>
          <w:szCs w:val="18"/>
          <w:lang w:eastAsia="en-GB"/>
        </w:rPr>
      </w:pPr>
      <w:r>
        <w:t xml:space="preserve">T-DXd is an innovative treatment based on its potential to make a significant and substantial impact on health-related benefits, representing a step-change </w:t>
      </w:r>
      <w:r w:rsidRPr="00C67C0A">
        <w:t>in the treatment paradigm for patients with HER2-low u/mBC.</w:t>
      </w:r>
      <w:r>
        <w:t xml:space="preserve"> </w:t>
      </w:r>
      <w:r w:rsidRPr="00C67C0A">
        <w:t>In recognition of its innovation, T-DXd was awarded an Innovation Passport designation by the UK Medicines and Healthcare Regulatory Agency in May 2022.</w:t>
      </w:r>
      <w:r>
        <w:t xml:space="preserve"> </w:t>
      </w:r>
      <w:r w:rsidR="00FF081B">
        <w:t>The clinical development of T-DXd represents an important innovation in the treatment of HER2-low u/mBC, which is uncaptured by the severity modifier (</w:t>
      </w:r>
      <w:r w:rsidR="00FF081B" w:rsidRPr="00F710CB">
        <w:rPr>
          <w:b/>
          <w:bCs/>
        </w:rPr>
        <w:t xml:space="preserve">Section </w:t>
      </w:r>
      <w:r w:rsidR="00C01871" w:rsidRPr="00F710CB">
        <w:rPr>
          <w:b/>
          <w:bCs/>
        </w:rPr>
        <w:fldChar w:fldCharType="begin"/>
      </w:r>
      <w:r w:rsidR="00C01871" w:rsidRPr="00F710CB">
        <w:rPr>
          <w:b/>
          <w:bCs/>
        </w:rPr>
        <w:instrText xml:space="preserve"> REF _Ref129302379 \n \h </w:instrText>
      </w:r>
      <w:r w:rsidR="00C01871">
        <w:rPr>
          <w:b/>
          <w:bCs/>
        </w:rPr>
        <w:instrText xml:space="preserve"> \* MERGEFORMAT </w:instrText>
      </w:r>
      <w:r w:rsidR="00C01871" w:rsidRPr="00F710CB">
        <w:rPr>
          <w:b/>
          <w:bCs/>
        </w:rPr>
      </w:r>
      <w:r w:rsidR="00C01871" w:rsidRPr="00F710CB">
        <w:rPr>
          <w:b/>
          <w:bCs/>
        </w:rPr>
        <w:fldChar w:fldCharType="separate"/>
      </w:r>
      <w:r w:rsidR="00145F42">
        <w:rPr>
          <w:b/>
          <w:bCs/>
        </w:rPr>
        <w:t>B.3.6</w:t>
      </w:r>
      <w:r w:rsidR="00C01871" w:rsidRPr="00F710CB">
        <w:rPr>
          <w:b/>
          <w:bCs/>
        </w:rPr>
        <w:fldChar w:fldCharType="end"/>
      </w:r>
      <w:r w:rsidR="00FF081B">
        <w:t>).</w:t>
      </w:r>
      <w:r w:rsidR="00FF081B" w:rsidDel="004D244F">
        <w:t xml:space="preserve"> </w:t>
      </w:r>
    </w:p>
    <w:p w14:paraId="5CEDAB20" w14:textId="77777777" w:rsidR="00D177E0" w:rsidRPr="0077381B" w:rsidRDefault="00D177E0" w:rsidP="00D177E0">
      <w:pPr>
        <w:pStyle w:val="Heading2"/>
      </w:pPr>
      <w:bookmarkStart w:id="877" w:name="_Toc98924693"/>
      <w:bookmarkStart w:id="878" w:name="_Ref124495944"/>
      <w:bookmarkStart w:id="879" w:name="_Ref125627780"/>
      <w:bookmarkStart w:id="880" w:name="_Ref126770683"/>
      <w:bookmarkStart w:id="881" w:name="_Toc127006632"/>
      <w:bookmarkStart w:id="882" w:name="_Toc129350920"/>
      <w:r w:rsidRPr="0077381B">
        <w:t>Validation</w:t>
      </w:r>
      <w:bookmarkEnd w:id="877"/>
      <w:bookmarkEnd w:id="878"/>
      <w:bookmarkEnd w:id="879"/>
      <w:bookmarkEnd w:id="880"/>
      <w:bookmarkEnd w:id="881"/>
      <w:bookmarkEnd w:id="882"/>
    </w:p>
    <w:p w14:paraId="24CADC71" w14:textId="77777777" w:rsidR="00D177E0" w:rsidRDefault="00D177E0" w:rsidP="00D177E0">
      <w:pPr>
        <w:pStyle w:val="Heading3"/>
      </w:pPr>
      <w:bookmarkStart w:id="883" w:name="_Toc127006633"/>
      <w:bookmarkStart w:id="884" w:name="_Toc129350921"/>
      <w:bookmarkStart w:id="885" w:name="_Toc98924694"/>
      <w:r>
        <w:t>Independent technical cost-effectiveness model QC</w:t>
      </w:r>
      <w:bookmarkEnd w:id="883"/>
      <w:bookmarkEnd w:id="884"/>
    </w:p>
    <w:p w14:paraId="1577B185" w14:textId="04085FC2" w:rsidR="00D177E0" w:rsidRDefault="00D177E0" w:rsidP="00D177E0">
      <w:pPr>
        <w:pStyle w:val="NICEnormal"/>
      </w:pPr>
      <w:r w:rsidRPr="0085386B">
        <w:t>The cost-effectiveness model was quality assured by a senior health economist not involved in the model build who reviewed the model for coding errors, inconsistencies, and plausibility of inputs</w:t>
      </w:r>
      <w:r>
        <w:t xml:space="preserve"> and outputs</w:t>
      </w:r>
      <w:r w:rsidRPr="0085386B">
        <w:t>. The model was also subject to stress testing of extreme scenarios to test for technical modelling errors and plausibility of results</w:t>
      </w:r>
      <w:r>
        <w:t>.</w:t>
      </w:r>
    </w:p>
    <w:p w14:paraId="2BE20652" w14:textId="77777777" w:rsidR="00D177E0" w:rsidRDefault="00D177E0" w:rsidP="00D177E0">
      <w:pPr>
        <w:pStyle w:val="Heading3"/>
      </w:pPr>
      <w:bookmarkStart w:id="886" w:name="_Toc127006634"/>
      <w:bookmarkStart w:id="887" w:name="_Toc129350922"/>
      <w:r>
        <w:lastRenderedPageBreak/>
        <w:t>Expert validation of cost-effectiveness analysis</w:t>
      </w:r>
      <w:bookmarkEnd w:id="885"/>
      <w:bookmarkEnd w:id="886"/>
      <w:bookmarkEnd w:id="887"/>
    </w:p>
    <w:p w14:paraId="19194AD0" w14:textId="7126ACD7" w:rsidR="00D177E0" w:rsidRPr="0085386B" w:rsidRDefault="00D177E0" w:rsidP="00D177E0">
      <w:pPr>
        <w:pStyle w:val="NICEnormal"/>
        <w:rPr>
          <w:szCs w:val="20"/>
        </w:rPr>
      </w:pPr>
      <w:r w:rsidRPr="0085386B">
        <w:rPr>
          <w:szCs w:val="20"/>
        </w:rPr>
        <w:t xml:space="preserve">Clinical </w:t>
      </w:r>
      <w:r w:rsidR="00664B16">
        <w:rPr>
          <w:szCs w:val="20"/>
        </w:rPr>
        <w:t xml:space="preserve">and HEOR </w:t>
      </w:r>
      <w:r w:rsidRPr="0085386B">
        <w:rPr>
          <w:szCs w:val="20"/>
        </w:rPr>
        <w:t xml:space="preserve">validation was sought for the cost-effectiveness analysis consisting of a UK expert </w:t>
      </w:r>
      <w:r w:rsidR="00664B16">
        <w:rPr>
          <w:szCs w:val="20"/>
        </w:rPr>
        <w:t>advisory board</w:t>
      </w:r>
      <w:r w:rsidRPr="0085386B">
        <w:rPr>
          <w:szCs w:val="20"/>
        </w:rPr>
        <w:t xml:space="preserve"> meeting.</w:t>
      </w:r>
    </w:p>
    <w:p w14:paraId="7A57CAED" w14:textId="73C19B94" w:rsidR="00D177E0" w:rsidRPr="0085386B" w:rsidRDefault="00D177E0" w:rsidP="00D177E0">
      <w:pPr>
        <w:pStyle w:val="NICEnormal"/>
        <w:rPr>
          <w:szCs w:val="20"/>
        </w:rPr>
      </w:pPr>
      <w:r w:rsidRPr="0085386B">
        <w:rPr>
          <w:szCs w:val="20"/>
        </w:rPr>
        <w:t xml:space="preserve">The UK </w:t>
      </w:r>
      <w:r w:rsidR="00664B16">
        <w:rPr>
          <w:szCs w:val="20"/>
        </w:rPr>
        <w:t>advisory board</w:t>
      </w:r>
      <w:r w:rsidR="00664B16" w:rsidRPr="0085386B">
        <w:rPr>
          <w:szCs w:val="20"/>
        </w:rPr>
        <w:t xml:space="preserve"> </w:t>
      </w:r>
      <w:r w:rsidRPr="0085386B">
        <w:rPr>
          <w:szCs w:val="20"/>
        </w:rPr>
        <w:t xml:space="preserve">meeting was held in </w:t>
      </w:r>
      <w:r w:rsidRPr="00C67C0A">
        <w:rPr>
          <w:szCs w:val="20"/>
        </w:rPr>
        <w:t>December</w:t>
      </w:r>
      <w:r w:rsidRPr="0085386B">
        <w:rPr>
          <w:szCs w:val="20"/>
        </w:rPr>
        <w:t xml:space="preserve"> 2022 and consisted of </w:t>
      </w:r>
      <w:r w:rsidRPr="00C67C0A">
        <w:rPr>
          <w:szCs w:val="20"/>
        </w:rPr>
        <w:t xml:space="preserve">three </w:t>
      </w:r>
      <w:r w:rsidRPr="0085386B">
        <w:rPr>
          <w:szCs w:val="20"/>
        </w:rPr>
        <w:t xml:space="preserve">clinical experts and two HEOR experts. The </w:t>
      </w:r>
      <w:r w:rsidRPr="00C67C0A">
        <w:rPr>
          <w:szCs w:val="20"/>
        </w:rPr>
        <w:t>three</w:t>
      </w:r>
      <w:r w:rsidRPr="0085386B">
        <w:rPr>
          <w:szCs w:val="20"/>
        </w:rPr>
        <w:t xml:space="preserve"> clinical experts were leading breast cancer medical oncologists from different centres in the UK and provided clinical input into the modelling assumptions and outputs. The two</w:t>
      </w:r>
      <w:r w:rsidRPr="0085386B" w:rsidDel="009E7061">
        <w:rPr>
          <w:szCs w:val="20"/>
        </w:rPr>
        <w:t xml:space="preserve"> </w:t>
      </w:r>
      <w:r w:rsidRPr="0085386B">
        <w:rPr>
          <w:szCs w:val="20"/>
        </w:rPr>
        <w:t>HEOR experts were from UK universities with relevant and vast experience in health economics methods</w:t>
      </w:r>
      <w:r>
        <w:rPr>
          <w:szCs w:val="20"/>
        </w:rPr>
        <w:t xml:space="preserve"> and </w:t>
      </w:r>
      <w:r w:rsidRPr="00C67C0A">
        <w:rPr>
          <w:szCs w:val="20"/>
        </w:rPr>
        <w:t>health technology appraisals</w:t>
      </w:r>
      <w:r w:rsidRPr="0085386B">
        <w:rPr>
          <w:szCs w:val="20"/>
        </w:rPr>
        <w:t xml:space="preserve">. Both were past NICE committee members and provided input and validation of health economic methodology applied in the economic modelling given the available data. </w:t>
      </w:r>
    </w:p>
    <w:p w14:paraId="1510DD3D" w14:textId="77777777" w:rsidR="00D177E0" w:rsidRPr="0085386B" w:rsidRDefault="00D177E0" w:rsidP="00D177E0">
      <w:pPr>
        <w:pStyle w:val="NICEnormal"/>
        <w:rPr>
          <w:szCs w:val="20"/>
        </w:rPr>
      </w:pPr>
      <w:r w:rsidRPr="0085386B">
        <w:rPr>
          <w:szCs w:val="20"/>
        </w:rPr>
        <w:t>The following key aspects were discussed and validated:</w:t>
      </w:r>
    </w:p>
    <w:p w14:paraId="43041971" w14:textId="77777777" w:rsidR="00D177E0" w:rsidRPr="00C67C0A" w:rsidRDefault="00D177E0" w:rsidP="00E91470">
      <w:pPr>
        <w:pStyle w:val="NICEnormal"/>
        <w:numPr>
          <w:ilvl w:val="0"/>
          <w:numId w:val="57"/>
        </w:numPr>
        <w:rPr>
          <w:szCs w:val="20"/>
        </w:rPr>
      </w:pPr>
      <w:r w:rsidRPr="0085386B">
        <w:rPr>
          <w:szCs w:val="20"/>
        </w:rPr>
        <w:t>DESTINY-</w:t>
      </w:r>
      <w:r>
        <w:rPr>
          <w:szCs w:val="20"/>
        </w:rPr>
        <w:t>Breast04</w:t>
      </w:r>
      <w:r w:rsidRPr="0085386B">
        <w:rPr>
          <w:szCs w:val="20"/>
        </w:rPr>
        <w:t xml:space="preserve"> trial generalisability</w:t>
      </w:r>
      <w:r>
        <w:rPr>
          <w:szCs w:val="20"/>
        </w:rPr>
        <w:t xml:space="preserve"> </w:t>
      </w:r>
      <w:r w:rsidRPr="00C67C0A">
        <w:rPr>
          <w:szCs w:val="20"/>
        </w:rPr>
        <w:t>to UK clinical practice</w:t>
      </w:r>
    </w:p>
    <w:p w14:paraId="0F50EB4E" w14:textId="77777777" w:rsidR="00D177E0" w:rsidRPr="00C67C0A" w:rsidRDefault="00D177E0" w:rsidP="00E91470">
      <w:pPr>
        <w:pStyle w:val="NICEnormal"/>
        <w:numPr>
          <w:ilvl w:val="0"/>
          <w:numId w:val="57"/>
        </w:numPr>
        <w:rPr>
          <w:szCs w:val="20"/>
        </w:rPr>
      </w:pPr>
      <w:r w:rsidRPr="00C67C0A">
        <w:rPr>
          <w:szCs w:val="20"/>
        </w:rPr>
        <w:t xml:space="preserve">DESTINY-Breast04 efficacy and safety </w:t>
      </w:r>
    </w:p>
    <w:p w14:paraId="2E5FCE5A" w14:textId="77777777" w:rsidR="00D177E0" w:rsidRPr="00C67C0A" w:rsidRDefault="00D177E0" w:rsidP="00E91470">
      <w:pPr>
        <w:pStyle w:val="NICEnormal"/>
        <w:numPr>
          <w:ilvl w:val="0"/>
          <w:numId w:val="57"/>
        </w:numPr>
        <w:rPr>
          <w:szCs w:val="20"/>
        </w:rPr>
      </w:pPr>
      <w:r w:rsidRPr="0085386B">
        <w:rPr>
          <w:szCs w:val="20"/>
        </w:rPr>
        <w:t>UK treatment pathway</w:t>
      </w:r>
      <w:r>
        <w:rPr>
          <w:szCs w:val="20"/>
        </w:rPr>
        <w:t xml:space="preserve"> </w:t>
      </w:r>
      <w:r w:rsidRPr="00C67C0A">
        <w:rPr>
          <w:szCs w:val="20"/>
        </w:rPr>
        <w:t>and positioning of T-DXd</w:t>
      </w:r>
    </w:p>
    <w:p w14:paraId="2C7C2352" w14:textId="77777777" w:rsidR="00D177E0" w:rsidRPr="00C67C0A" w:rsidRDefault="00D177E0" w:rsidP="00E91470">
      <w:pPr>
        <w:pStyle w:val="NICEnormal"/>
        <w:numPr>
          <w:ilvl w:val="0"/>
          <w:numId w:val="57"/>
        </w:numPr>
        <w:rPr>
          <w:szCs w:val="20"/>
        </w:rPr>
      </w:pPr>
      <w:r>
        <w:rPr>
          <w:szCs w:val="20"/>
        </w:rPr>
        <w:t>Generalisability</w:t>
      </w:r>
      <w:r w:rsidRPr="00C67C0A">
        <w:rPr>
          <w:szCs w:val="20"/>
        </w:rPr>
        <w:t xml:space="preserve"> of </w:t>
      </w:r>
      <w:r>
        <w:rPr>
          <w:szCs w:val="20"/>
        </w:rPr>
        <w:t xml:space="preserve">the </w:t>
      </w:r>
      <w:r w:rsidRPr="00C67C0A">
        <w:rPr>
          <w:szCs w:val="20"/>
        </w:rPr>
        <w:t>comparator</w:t>
      </w:r>
      <w:r>
        <w:rPr>
          <w:szCs w:val="20"/>
        </w:rPr>
        <w:t xml:space="preserve"> treatment arm</w:t>
      </w:r>
      <w:r w:rsidRPr="00C67C0A">
        <w:rPr>
          <w:szCs w:val="20"/>
        </w:rPr>
        <w:t xml:space="preserve"> </w:t>
      </w:r>
      <w:r>
        <w:rPr>
          <w:szCs w:val="20"/>
        </w:rPr>
        <w:t xml:space="preserve">(TPC) </w:t>
      </w:r>
      <w:r w:rsidRPr="00C67C0A">
        <w:rPr>
          <w:szCs w:val="20"/>
        </w:rPr>
        <w:t>in DESTINY-Breast04</w:t>
      </w:r>
      <w:r>
        <w:rPr>
          <w:szCs w:val="20"/>
        </w:rPr>
        <w:t xml:space="preserve"> to UK clinical practice</w:t>
      </w:r>
    </w:p>
    <w:p w14:paraId="3163C55A" w14:textId="77777777" w:rsidR="00D177E0" w:rsidRPr="0085386B" w:rsidRDefault="00D177E0" w:rsidP="00E91470">
      <w:pPr>
        <w:pStyle w:val="NICEnormal"/>
        <w:numPr>
          <w:ilvl w:val="0"/>
          <w:numId w:val="57"/>
        </w:numPr>
        <w:rPr>
          <w:szCs w:val="20"/>
        </w:rPr>
      </w:pPr>
      <w:r w:rsidRPr="0085386B">
        <w:rPr>
          <w:szCs w:val="20"/>
        </w:rPr>
        <w:t>The model structure and appropriateness to the decision problem</w:t>
      </w:r>
    </w:p>
    <w:p w14:paraId="5B96C8E3" w14:textId="77777777" w:rsidR="00D177E0" w:rsidRPr="0085386B" w:rsidRDefault="00D177E0" w:rsidP="00E91470">
      <w:pPr>
        <w:pStyle w:val="NICEnormal"/>
        <w:numPr>
          <w:ilvl w:val="0"/>
          <w:numId w:val="57"/>
        </w:numPr>
        <w:rPr>
          <w:szCs w:val="20"/>
        </w:rPr>
      </w:pPr>
      <w:r>
        <w:rPr>
          <w:szCs w:val="20"/>
        </w:rPr>
        <w:t>Survival methods and e</w:t>
      </w:r>
      <w:r w:rsidRPr="0085386B">
        <w:rPr>
          <w:szCs w:val="20"/>
        </w:rPr>
        <w:t xml:space="preserve">xtrapolation of </w:t>
      </w:r>
      <w:r>
        <w:rPr>
          <w:szCs w:val="20"/>
        </w:rPr>
        <w:t xml:space="preserve">OS and PFS </w:t>
      </w:r>
      <w:r w:rsidRPr="0085386B">
        <w:rPr>
          <w:szCs w:val="20"/>
        </w:rPr>
        <w:t>beyond the observed period</w:t>
      </w:r>
    </w:p>
    <w:p w14:paraId="42A59956" w14:textId="276D3FC8" w:rsidR="00D177E0" w:rsidRPr="0085386B" w:rsidRDefault="00D177E0" w:rsidP="00E91470">
      <w:pPr>
        <w:pStyle w:val="NICEnormal"/>
        <w:numPr>
          <w:ilvl w:val="0"/>
          <w:numId w:val="57"/>
        </w:numPr>
        <w:rPr>
          <w:szCs w:val="20"/>
        </w:rPr>
      </w:pPr>
      <w:r w:rsidRPr="0085386B">
        <w:rPr>
          <w:szCs w:val="20"/>
        </w:rPr>
        <w:t xml:space="preserve">Validity of model inputs </w:t>
      </w:r>
      <w:r>
        <w:rPr>
          <w:szCs w:val="20"/>
        </w:rPr>
        <w:t xml:space="preserve">including utilities, </w:t>
      </w:r>
      <w:r w:rsidRPr="0085386B">
        <w:rPr>
          <w:szCs w:val="20"/>
        </w:rPr>
        <w:t>cost</w:t>
      </w:r>
      <w:r w:rsidR="00D511DD">
        <w:rPr>
          <w:szCs w:val="20"/>
        </w:rPr>
        <w:t>s</w:t>
      </w:r>
      <w:r w:rsidRPr="0085386B">
        <w:rPr>
          <w:szCs w:val="20"/>
        </w:rPr>
        <w:t xml:space="preserve"> and </w:t>
      </w:r>
      <w:r>
        <w:rPr>
          <w:szCs w:val="20"/>
        </w:rPr>
        <w:t>resource use</w:t>
      </w:r>
      <w:r w:rsidRPr="0085386B">
        <w:rPr>
          <w:szCs w:val="20"/>
        </w:rPr>
        <w:t xml:space="preserve"> </w:t>
      </w:r>
    </w:p>
    <w:p w14:paraId="65F84F28" w14:textId="2AC89FCD" w:rsidR="00D177E0" w:rsidRPr="0085386B" w:rsidRDefault="00D177E0" w:rsidP="00E91470">
      <w:pPr>
        <w:pStyle w:val="NICEnormal"/>
        <w:numPr>
          <w:ilvl w:val="0"/>
          <w:numId w:val="57"/>
        </w:numPr>
        <w:rPr>
          <w:szCs w:val="20"/>
        </w:rPr>
      </w:pPr>
      <w:r w:rsidRPr="0085386B">
        <w:rPr>
          <w:szCs w:val="20"/>
        </w:rPr>
        <w:t xml:space="preserve">Subsequent treatment </w:t>
      </w:r>
    </w:p>
    <w:p w14:paraId="0201A659" w14:textId="77777777" w:rsidR="00D177E0" w:rsidRPr="0085386B" w:rsidRDefault="00D177E0" w:rsidP="00D177E0">
      <w:pPr>
        <w:pStyle w:val="NICEnormal"/>
        <w:rPr>
          <w:szCs w:val="20"/>
        </w:rPr>
      </w:pPr>
      <w:r w:rsidRPr="0085386B">
        <w:rPr>
          <w:szCs w:val="20"/>
        </w:rPr>
        <w:t xml:space="preserve">Feedback from the clinical validation meeting </w:t>
      </w:r>
      <w:r>
        <w:rPr>
          <w:szCs w:val="20"/>
        </w:rPr>
        <w:t>has</w:t>
      </w:r>
      <w:r w:rsidRPr="0085386B">
        <w:rPr>
          <w:szCs w:val="20"/>
        </w:rPr>
        <w:t xml:space="preserve"> been used throughout the dossier and referenced where appropriate. </w:t>
      </w:r>
    </w:p>
    <w:p w14:paraId="14575EA1" w14:textId="77777777" w:rsidR="00D177E0" w:rsidRDefault="00D177E0" w:rsidP="00D177E0">
      <w:pPr>
        <w:pStyle w:val="Heading3"/>
      </w:pPr>
      <w:bookmarkStart w:id="888" w:name="_Toc98924695"/>
      <w:bookmarkStart w:id="889" w:name="_Ref99733311"/>
      <w:bookmarkStart w:id="890" w:name="_Toc127006635"/>
      <w:bookmarkStart w:id="891" w:name="_Toc129350923"/>
      <w:r>
        <w:t>Internal validation</w:t>
      </w:r>
      <w:bookmarkEnd w:id="888"/>
      <w:bookmarkEnd w:id="889"/>
      <w:bookmarkEnd w:id="890"/>
      <w:bookmarkEnd w:id="891"/>
    </w:p>
    <w:p w14:paraId="76D6061A" w14:textId="77777777" w:rsidR="00D177E0" w:rsidRPr="0085386B" w:rsidRDefault="00D177E0" w:rsidP="00D177E0">
      <w:pPr>
        <w:pStyle w:val="NICEnormal"/>
      </w:pPr>
      <w:r w:rsidRPr="0085386B">
        <w:t>PFS, OS and TTD Kaplan-Meier data from DESTINY-</w:t>
      </w:r>
      <w:r>
        <w:t>Breast04</w:t>
      </w:r>
      <w:r w:rsidRPr="0085386B">
        <w:t xml:space="preserve"> trial were compared with the PFS, OS and TTD outputs from the model (see </w:t>
      </w:r>
      <w:r w:rsidRPr="003C648C">
        <w:rPr>
          <w:b/>
        </w:rPr>
        <w:t>Appendix J</w:t>
      </w:r>
      <w:r w:rsidRPr="0085386B">
        <w:t xml:space="preserve">). </w:t>
      </w:r>
    </w:p>
    <w:p w14:paraId="0BB50C75" w14:textId="77777777" w:rsidR="00D177E0" w:rsidRDefault="00D177E0" w:rsidP="00D177E0">
      <w:pPr>
        <w:pStyle w:val="NICEnormal"/>
      </w:pPr>
      <w:r w:rsidRPr="0085386B">
        <w:t xml:space="preserve">For both T-DXd and </w:t>
      </w:r>
      <w:r w:rsidRPr="00C67C0A">
        <w:t>TPC</w:t>
      </w:r>
      <w:r w:rsidRPr="0085386B">
        <w:t xml:space="preserve">, the model survival projections </w:t>
      </w:r>
      <w:r>
        <w:t>are</w:t>
      </w:r>
      <w:r w:rsidRPr="0085386B">
        <w:t xml:space="preserve"> </w:t>
      </w:r>
      <w:r>
        <w:t>consistent</w:t>
      </w:r>
      <w:r w:rsidRPr="0085386B">
        <w:t xml:space="preserve"> with the observed trial data for all outcomes</w:t>
      </w:r>
      <w:r>
        <w:t xml:space="preserve"> (</w:t>
      </w:r>
      <w:r w:rsidRPr="0085386B">
        <w:t>OS, PFS and TTD</w:t>
      </w:r>
      <w:r>
        <w:t>)</w:t>
      </w:r>
      <w:r w:rsidRPr="0085386B">
        <w:t xml:space="preserve">.  </w:t>
      </w:r>
    </w:p>
    <w:p w14:paraId="3BABA578" w14:textId="4695DD2E" w:rsidR="00D177E0" w:rsidRDefault="00D177E0" w:rsidP="00D177E0">
      <w:pPr>
        <w:pStyle w:val="Heading3"/>
      </w:pPr>
      <w:bookmarkStart w:id="892" w:name="_Toc127006636"/>
      <w:bookmarkStart w:id="893" w:name="_Toc129350924"/>
      <w:r>
        <w:t>External v</w:t>
      </w:r>
      <w:r w:rsidRPr="0077381B">
        <w:t>alidation</w:t>
      </w:r>
      <w:bookmarkEnd w:id="892"/>
      <w:bookmarkEnd w:id="893"/>
    </w:p>
    <w:p w14:paraId="20CA3D48" w14:textId="77777777" w:rsidR="00ED45CF" w:rsidRDefault="00D177E0" w:rsidP="00D177E0">
      <w:pPr>
        <w:pStyle w:val="Body"/>
      </w:pPr>
      <w:r>
        <w:t xml:space="preserve">The economic analysis conducted as part of this appraisal is, to the company’s knowledge, the first cost effectiveness analysis in HER2-low u/mBC specifically. This means that it is not possible to compare the </w:t>
      </w:r>
      <w:r w:rsidR="00956983">
        <w:t xml:space="preserve">parameters and </w:t>
      </w:r>
      <w:r>
        <w:t>outputs of this model with other economic analyses relevant to this appraisal.</w:t>
      </w:r>
      <w:r w:rsidRPr="00C67C0A">
        <w:t xml:space="preserve"> </w:t>
      </w:r>
      <w:bookmarkStart w:id="894" w:name="_Ref126954887"/>
    </w:p>
    <w:p w14:paraId="5E1EFE5F" w14:textId="5E2B63BE" w:rsidR="00611410" w:rsidRPr="00F710CB" w:rsidRDefault="00956983" w:rsidP="00D177E0">
      <w:pPr>
        <w:pStyle w:val="Body"/>
      </w:pPr>
      <w:r>
        <w:rPr>
          <w:rFonts w:eastAsia="Times New Roman" w:cs="Arial"/>
        </w:rPr>
        <w:t xml:space="preserve">The validity </w:t>
      </w:r>
      <w:r w:rsidR="005B4093">
        <w:rPr>
          <w:rFonts w:eastAsia="Times New Roman" w:cs="Arial"/>
        </w:rPr>
        <w:t xml:space="preserve">of the chosen comparator (TPC) for this appraisal was </w:t>
      </w:r>
      <w:r w:rsidR="002871F4">
        <w:rPr>
          <w:rFonts w:eastAsia="Times New Roman" w:cs="Arial"/>
        </w:rPr>
        <w:t>confirmed by UK clinical experts external to the company</w:t>
      </w:r>
      <w:r w:rsidR="00961CAA">
        <w:rPr>
          <w:rFonts w:eastAsia="Times New Roman" w:cs="Arial"/>
        </w:rPr>
        <w:t>, who confirmed that</w:t>
      </w:r>
      <w:r w:rsidR="00961CAA" w:rsidRPr="002C591F">
        <w:t xml:space="preserve"> the TPC arm is reflective of</w:t>
      </w:r>
      <w:r w:rsidR="00685894">
        <w:t>,</w:t>
      </w:r>
      <w:r w:rsidR="00961CAA">
        <w:t xml:space="preserve"> and generalisable to</w:t>
      </w:r>
      <w:r w:rsidR="00685894">
        <w:t>,</w:t>
      </w:r>
      <w:r w:rsidR="00961CAA" w:rsidRPr="002C591F">
        <w:t xml:space="preserve"> UK clinical practice</w:t>
      </w:r>
      <w:r w:rsidR="00697158">
        <w:t xml:space="preserve"> in the target population</w:t>
      </w:r>
      <w:r w:rsidR="00961CAA">
        <w:t xml:space="preserve"> </w:t>
      </w:r>
      <w:r w:rsidR="00961CAA">
        <w:rPr>
          <w:rFonts w:eastAsia="Times New Roman" w:cs="Arial"/>
        </w:rPr>
        <w:t xml:space="preserve">(see </w:t>
      </w:r>
      <w:r w:rsidR="00961CAA" w:rsidRPr="00E25DA0">
        <w:rPr>
          <w:rFonts w:eastAsia="Times New Roman" w:cs="Arial"/>
          <w:b/>
          <w:bCs/>
        </w:rPr>
        <w:t xml:space="preserve">Section </w:t>
      </w:r>
      <w:r w:rsidR="008F7DFF">
        <w:rPr>
          <w:rFonts w:eastAsia="Times New Roman" w:cs="Arial"/>
          <w:b/>
          <w:bCs/>
        </w:rPr>
        <w:fldChar w:fldCharType="begin"/>
      </w:r>
      <w:r w:rsidR="008F7DFF">
        <w:rPr>
          <w:rFonts w:eastAsia="Times New Roman" w:cs="Arial"/>
          <w:b/>
          <w:bCs/>
        </w:rPr>
        <w:instrText xml:space="preserve"> REF _Ref128653718 \r \h </w:instrText>
      </w:r>
      <w:r w:rsidR="008F7DFF">
        <w:rPr>
          <w:rFonts w:eastAsia="Times New Roman" w:cs="Arial"/>
          <w:b/>
          <w:bCs/>
        </w:rPr>
      </w:r>
      <w:r w:rsidR="008F7DFF">
        <w:rPr>
          <w:rFonts w:eastAsia="Times New Roman" w:cs="Arial"/>
          <w:b/>
          <w:bCs/>
        </w:rPr>
        <w:fldChar w:fldCharType="separate"/>
      </w:r>
      <w:r w:rsidR="00145F42">
        <w:rPr>
          <w:rFonts w:eastAsia="Times New Roman" w:cs="Arial"/>
          <w:b/>
          <w:bCs/>
        </w:rPr>
        <w:t>B.1.3.6.1</w:t>
      </w:r>
      <w:r w:rsidR="008F7DFF">
        <w:rPr>
          <w:rFonts w:eastAsia="Times New Roman" w:cs="Arial"/>
          <w:b/>
          <w:bCs/>
        </w:rPr>
        <w:fldChar w:fldCharType="end"/>
      </w:r>
      <w:r w:rsidR="00961CAA">
        <w:rPr>
          <w:rFonts w:eastAsia="Times New Roman" w:cs="Arial"/>
        </w:rPr>
        <w:t>)</w:t>
      </w:r>
      <w:r w:rsidR="00961CAA" w:rsidRPr="002C591F">
        <w:t>.</w:t>
      </w:r>
      <w:r w:rsidR="00961CAA">
        <w:fldChar w:fldCharType="begin"/>
      </w:r>
      <w:r w:rsidR="00CA6345">
        <w:instrText xml:space="preserve"> ADDIN ZOTERO_ITEM CSL_CITATION {"citationID":"6aslsDqp","properties":{"formattedCitation":"\\super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00961CAA">
        <w:fldChar w:fldCharType="separate"/>
      </w:r>
      <w:r w:rsidR="00CA6345" w:rsidRPr="00CA6345">
        <w:rPr>
          <w:rFonts w:cs="Arial"/>
          <w:szCs w:val="24"/>
          <w:vertAlign w:val="superscript"/>
        </w:rPr>
        <w:t>121</w:t>
      </w:r>
      <w:r w:rsidR="00961CAA">
        <w:fldChar w:fldCharType="end"/>
      </w:r>
      <w:r w:rsidR="00503E32">
        <w:t xml:space="preserve"> </w:t>
      </w:r>
      <w:r w:rsidR="00C94691">
        <w:t>The</w:t>
      </w:r>
      <w:r w:rsidR="00503E32">
        <w:t xml:space="preserve"> </w:t>
      </w:r>
      <w:r w:rsidR="00615D83">
        <w:t xml:space="preserve">similar </w:t>
      </w:r>
      <w:r w:rsidR="00503E32" w:rsidRPr="00054570">
        <w:t>efficacy</w:t>
      </w:r>
      <w:r w:rsidR="00503E32">
        <w:t xml:space="preserve"> across</w:t>
      </w:r>
      <w:r w:rsidR="00503E32" w:rsidRPr="00054570">
        <w:t xml:space="preserve"> individual </w:t>
      </w:r>
      <w:r w:rsidR="00503E32">
        <w:t xml:space="preserve">non-targeted chemotherapy agents included within TPC </w:t>
      </w:r>
      <w:r w:rsidR="00615D83">
        <w:t xml:space="preserve">was </w:t>
      </w:r>
      <w:r w:rsidR="00685894">
        <w:t>confirmed</w:t>
      </w:r>
      <w:r w:rsidR="00615D83">
        <w:t xml:space="preserve"> </w:t>
      </w:r>
      <w:r w:rsidR="00503E32">
        <w:t>by UK clinical experts as well as</w:t>
      </w:r>
      <w:r w:rsidR="00685894">
        <w:t xml:space="preserve"> in</w:t>
      </w:r>
      <w:r w:rsidR="00503E32">
        <w:t xml:space="preserve"> a published systematic review of RCTs for single-agent chemotherapies used in Europe.</w:t>
      </w:r>
      <w:r w:rsidR="00503E32">
        <w:fldChar w:fldCharType="begin"/>
      </w:r>
      <w:r w:rsidR="00CA6345">
        <w:instrText xml:space="preserve"> ADDIN ZOTERO_ITEM CSL_CITATION {"citationID":"Ma18Z93m","properties":{"formattedCitation":"\\super 118\\nosupersub{}","plainCitation":"118","noteIndex":0},"citationItems":[{"id":66343,"uris":["http://zotero.org/groups/4797619/items/IB6926PV"],"itemData":{"id":66343,"type":"article-journal","abstract":"INTRODUCTION: Currently available evidence does not provide definitive guidance regarding the optimal chemotherapy agents and combinations in anthracycline- and taxane-pretreated advanced breast cancer. We performed a systematic review of controlled clinical trials of the cytotoxic agents currently used for this population in Europe: capecitabine, gemcitabine, vinorelbine, docetaxel, paclitaxel and paclitaxel protein-bound particles.\nMETHOD: A systematic review of randomised (RCT) and non-randomised controlled clinical trials (non-RCTs). The primary outcomes of interest were overall survival (OS) and progression-free survival (PFS); secondary outcomes were duration of response (DR), overall response rate (ORR), adverse events and quality of life (QoL). Six electronic databases and grey literature sources were searched; reference tracking was performed on included publications. A narrative synthesis was conducted: heterogeneity of study design and interventions prevented meta-analysis.\nRESULTS: No randomised controlled trial (RCT) found any significant differences between any of the regimens in terms of OS. In terms of PFS, only gemcitabine plus vinorelbine performed significantly better than its comparator, vinorelbine alone. For secondary outcomes, only capecitabine plus bevacizumab had a significantly better outcome than its comparator, capecitabine alone, in terms of ORR. A low quality non-RCT found that both capecitabine monotherapy and a combination of capecitabine plus vinorelbine were significantly more effective than vinorelbine alone in terms of OS and ORR. Across all trials, median OS for these patients typically remained less than 16 months.\nCONCLUSION: The quantity and quality of the available evidence regarding the efficacy of the particular chemotherapy regimens in patients with advanced breast cancer pretreated with an anthracycline and a taxane is extremely limited. New effective therapies are sorely needed in this population.","container-title":"European Journal of Cancer (Oxford, England: 1990)","DOI":"10.1016/j.ejca.2009.05.035","ISSN":"1879-0852","issue":"16","journalAbbreviation":"Eur J Cancer","language":"eng","note":"PMID: 19615886","page":"2749-2758","source":"PubMed","title":"The clinical efficacy of cytotoxic agents in locally advanced or metastatic breast cancer patients pretreated with an anthracycline and a taxane: a systematic review","title-short":"The clinical efficacy of cytotoxic agents in locally advanced or metastatic breast cancer patients pretreated with an anthracycline and a taxane","volume":"45","author":[{"family":"Jassem","given":"Jacek"},{"family":"Carroll","given":"Christopher"},{"family":"Ward","given":"Sue E."},{"family":"Simpson","given":"Emma"},{"family":"Hind","given":"Daniel"}],"issued":{"date-parts":[["2009",11]]}}}],"schema":"https://github.com/citation-style-language/schema/raw/master/csl-citation.json"} </w:instrText>
      </w:r>
      <w:r w:rsidR="00503E32">
        <w:fldChar w:fldCharType="separate"/>
      </w:r>
      <w:r w:rsidR="00CA6345" w:rsidRPr="00CA6345">
        <w:rPr>
          <w:rFonts w:cs="Arial"/>
          <w:szCs w:val="24"/>
          <w:vertAlign w:val="superscript"/>
        </w:rPr>
        <w:t>118</w:t>
      </w:r>
      <w:r w:rsidR="00503E32">
        <w:fldChar w:fldCharType="end"/>
      </w:r>
      <w:r w:rsidR="00ED45CF" w:rsidRPr="00ED45CF">
        <w:t xml:space="preserve"> </w:t>
      </w:r>
      <w:r w:rsidR="00ED45CF">
        <w:t>T</w:t>
      </w:r>
      <w:r w:rsidR="00ED45CF" w:rsidRPr="00054570">
        <w:t xml:space="preserve">he comparators listed in the NICE final </w:t>
      </w:r>
      <w:r w:rsidR="00ED45CF" w:rsidRPr="00054570">
        <w:lastRenderedPageBreak/>
        <w:t>scope</w:t>
      </w:r>
      <w:r w:rsidR="00ED45CF" w:rsidRPr="00054570">
        <w:fldChar w:fldCharType="begin"/>
      </w:r>
      <w:r w:rsidR="00CA6345">
        <w:instrText xml:space="preserve"> ADDIN ZOTERO_ITEM CSL_CITATION {"citationID":"JWPJzQsz","properties":{"formattedCitation":"\\super 1\\nosupersub{}","plainCitation":"1","noteIndex":0},"citationItems":[{"id":66383,"uris":["http://zotero.org/groups/4797619/items/Y75R2AJY"],"itemData":{"id":66383,"type":"webpage","language":"eng","note":"publisher: NICE","title":"Final Scope. Trastuzumab deruxtecan for treating HER2-low unresectable or metastatic breast cancer after chemotherapy","URL":"https://www.nice.org.uk/guidance/gid-ta10813/documents/final-scope","author":[{"family":"NICE","given":""}],"accessed":{"date-parts":[["2022",11,29]]},"issued":{"date-parts":[["2023",1,6]]}}}],"schema":"https://github.com/citation-style-language/schema/raw/master/csl-citation.json"} </w:instrText>
      </w:r>
      <w:r w:rsidR="00ED45CF" w:rsidRPr="00054570">
        <w:fldChar w:fldCharType="separate"/>
      </w:r>
      <w:r w:rsidR="00ED45CF" w:rsidRPr="00FD57F4">
        <w:rPr>
          <w:rFonts w:cs="Arial"/>
          <w:szCs w:val="24"/>
          <w:vertAlign w:val="superscript"/>
        </w:rPr>
        <w:t>1</w:t>
      </w:r>
      <w:r w:rsidR="00ED45CF" w:rsidRPr="00054570">
        <w:fldChar w:fldCharType="end"/>
      </w:r>
      <w:r w:rsidR="00ED45CF" w:rsidRPr="00054570">
        <w:t xml:space="preserve"> are well represented in the TPC arm of DESTINY-Breast04</w:t>
      </w:r>
      <w:r w:rsidR="002C0838">
        <w:t>,</w:t>
      </w:r>
      <w:r w:rsidR="00ED45CF">
        <w:t xml:space="preserve"> and clinical and HEOR experts agreed that, for decision-making, TPC is the relevant comparator in this appraisal.</w:t>
      </w:r>
      <w:r w:rsidR="00ED45CF" w:rsidRPr="00054570">
        <w:fldChar w:fldCharType="begin"/>
      </w:r>
      <w:r w:rsidR="00CA6345">
        <w:instrText xml:space="preserve"> ADDIN ZOTERO_ITEM CSL_CITATION {"citationID":"ZkpkftZe","properties":{"formattedCitation":"\\super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00ED45CF" w:rsidRPr="00054570">
        <w:fldChar w:fldCharType="separate"/>
      </w:r>
      <w:r w:rsidR="00CA6345" w:rsidRPr="00CA6345">
        <w:rPr>
          <w:rFonts w:cs="Arial"/>
          <w:szCs w:val="24"/>
          <w:vertAlign w:val="superscript"/>
        </w:rPr>
        <w:t>121</w:t>
      </w:r>
      <w:r w:rsidR="00ED45CF" w:rsidRPr="00054570">
        <w:fldChar w:fldCharType="end"/>
      </w:r>
      <w:r w:rsidR="00ED45CF">
        <w:t xml:space="preserve"> </w:t>
      </w:r>
    </w:p>
    <w:p w14:paraId="4FB333C6" w14:textId="0BAFF164" w:rsidR="00CC0A8D" w:rsidRDefault="004F05B3" w:rsidP="00D177E0">
      <w:pPr>
        <w:pStyle w:val="Body"/>
      </w:pPr>
      <w:r>
        <w:t>The validity of</w:t>
      </w:r>
      <w:r w:rsidR="000F3658">
        <w:t xml:space="preserve"> </w:t>
      </w:r>
      <w:r>
        <w:t xml:space="preserve">the modelled outcomes may be inferred by </w:t>
      </w:r>
      <w:r w:rsidR="00B91DC5">
        <w:t>comparing</w:t>
      </w:r>
      <w:r>
        <w:t xml:space="preserve"> the observed </w:t>
      </w:r>
      <w:r w:rsidRPr="00C67C0A">
        <w:t xml:space="preserve">DESTINY-Breast04 </w:t>
      </w:r>
      <w:r>
        <w:t xml:space="preserve">data against previous studies and thereafter comparing results with the modelled outcomes. </w:t>
      </w:r>
      <w:r w:rsidR="000F17E5">
        <w:t>Aside from DESTINY-Breast04,</w:t>
      </w:r>
      <w:r w:rsidR="000F17E5" w:rsidRPr="00054570">
        <w:t xml:space="preserve"> there are </w:t>
      </w:r>
      <w:r w:rsidR="000F17E5">
        <w:t>no</w:t>
      </w:r>
      <w:r w:rsidR="000F17E5" w:rsidRPr="00054570">
        <w:t xml:space="preserve"> prior studies </w:t>
      </w:r>
      <w:r w:rsidR="000F17E5">
        <w:t xml:space="preserve">powered to evaluate efficacy </w:t>
      </w:r>
      <w:r w:rsidR="000F17E5" w:rsidRPr="00054570">
        <w:t xml:space="preserve">in </w:t>
      </w:r>
      <w:r w:rsidR="000F17E5">
        <w:t xml:space="preserve">a </w:t>
      </w:r>
      <w:r w:rsidR="000F17E5" w:rsidRPr="00054570">
        <w:t xml:space="preserve">HER2-low u/mBC </w:t>
      </w:r>
      <w:r w:rsidR="000F17E5">
        <w:t xml:space="preserve">population </w:t>
      </w:r>
      <w:r w:rsidR="000F17E5" w:rsidRPr="00054570">
        <w:t>specifically</w:t>
      </w:r>
      <w:r w:rsidR="000F17E5">
        <w:t xml:space="preserve">, so the external validity of DESTINY-Breast04 may be assessed by comparing the TPC arm to previous studies in a similar setting. </w:t>
      </w:r>
      <w:r w:rsidR="00D177E0">
        <w:t xml:space="preserve">Median PFS and OS results </w:t>
      </w:r>
      <w:r w:rsidR="00872D1D">
        <w:t>in</w:t>
      </w:r>
      <w:r w:rsidR="00D177E0">
        <w:t xml:space="preserve"> the TPC arm of DESTINY-Breast04 are </w:t>
      </w:r>
      <w:r w:rsidR="00D1142E">
        <w:t>comparable</w:t>
      </w:r>
      <w:r w:rsidR="00D66B12">
        <w:t xml:space="preserve"> with</w:t>
      </w:r>
      <w:r w:rsidR="00D177E0">
        <w:t xml:space="preserve"> outcomes </w:t>
      </w:r>
      <w:r w:rsidR="00D1142E">
        <w:t>of</w:t>
      </w:r>
      <w:r w:rsidR="004978E6">
        <w:t xml:space="preserve"> </w:t>
      </w:r>
      <w:r w:rsidR="00CE7775">
        <w:t>studies</w:t>
      </w:r>
      <w:r w:rsidR="004978E6">
        <w:t xml:space="preserve"> </w:t>
      </w:r>
      <w:r w:rsidR="00D1142E">
        <w:t>in HER2-negative u/mBC</w:t>
      </w:r>
      <w:r w:rsidR="004978E6">
        <w:t xml:space="preserve"> </w:t>
      </w:r>
      <w:r w:rsidR="00326068">
        <w:t>including</w:t>
      </w:r>
      <w:r w:rsidR="004978E6">
        <w:t xml:space="preserve"> </w:t>
      </w:r>
      <w:r w:rsidR="00D177E0">
        <w:t>single-agent chemotherapies (</w:t>
      </w:r>
      <w:r w:rsidR="00D177E0" w:rsidRPr="005115FA">
        <w:rPr>
          <w:b/>
          <w:bCs/>
        </w:rPr>
        <w:t xml:space="preserve">Section </w:t>
      </w:r>
      <w:r w:rsidR="007C383A" w:rsidRPr="005115FA">
        <w:rPr>
          <w:b/>
          <w:bCs/>
        </w:rPr>
        <w:fldChar w:fldCharType="begin"/>
      </w:r>
      <w:r w:rsidR="007C383A" w:rsidRPr="005115FA">
        <w:rPr>
          <w:b/>
          <w:bCs/>
        </w:rPr>
        <w:instrText xml:space="preserve"> REF _Ref127008141 \n \h </w:instrText>
      </w:r>
      <w:r w:rsidR="007C383A">
        <w:rPr>
          <w:b/>
          <w:bCs/>
        </w:rPr>
        <w:instrText xml:space="preserve"> \* MERGEFORMAT </w:instrText>
      </w:r>
      <w:r w:rsidR="007C383A" w:rsidRPr="005115FA">
        <w:rPr>
          <w:b/>
          <w:bCs/>
        </w:rPr>
      </w:r>
      <w:r w:rsidR="007C383A" w:rsidRPr="005115FA">
        <w:rPr>
          <w:b/>
          <w:bCs/>
        </w:rPr>
        <w:fldChar w:fldCharType="separate"/>
      </w:r>
      <w:r w:rsidR="00145F42">
        <w:rPr>
          <w:b/>
          <w:bCs/>
        </w:rPr>
        <w:t>B.2.12.1</w:t>
      </w:r>
      <w:r w:rsidR="007C383A" w:rsidRPr="005115FA">
        <w:rPr>
          <w:b/>
          <w:bCs/>
        </w:rPr>
        <w:fldChar w:fldCharType="end"/>
      </w:r>
      <w:r w:rsidR="007C383A">
        <w:rPr>
          <w:b/>
          <w:bCs/>
        </w:rPr>
        <w:t xml:space="preserve"> </w:t>
      </w:r>
      <w:r w:rsidR="00D177E0" w:rsidRPr="007C383A">
        <w:t>and</w:t>
      </w:r>
      <w:r w:rsidR="00D177E0">
        <w:t xml:space="preserve"> </w:t>
      </w:r>
      <w:r w:rsidR="007C383A" w:rsidRPr="003C648C">
        <w:rPr>
          <w:b/>
          <w:bCs/>
        </w:rPr>
        <w:fldChar w:fldCharType="begin"/>
      </w:r>
      <w:r w:rsidR="007C383A" w:rsidRPr="003C648C">
        <w:rPr>
          <w:b/>
          <w:bCs/>
        </w:rPr>
        <w:instrText xml:space="preserve"> REF _Ref126923702 \h </w:instrText>
      </w:r>
      <w:r w:rsidR="00F1388F">
        <w:rPr>
          <w:b/>
          <w:bCs/>
        </w:rPr>
        <w:instrText xml:space="preserve"> \* MERGEFORMAT </w:instrText>
      </w:r>
      <w:r w:rsidR="007C383A" w:rsidRPr="003C648C">
        <w:rPr>
          <w:b/>
          <w:bCs/>
        </w:rPr>
      </w:r>
      <w:r w:rsidR="007C383A" w:rsidRPr="003C648C">
        <w:rPr>
          <w:b/>
          <w:bCs/>
        </w:rPr>
        <w:fldChar w:fldCharType="separate"/>
      </w:r>
      <w:r w:rsidR="00145F42" w:rsidRPr="00145F42">
        <w:rPr>
          <w:b/>
          <w:bCs/>
        </w:rPr>
        <w:t xml:space="preserve">Table </w:t>
      </w:r>
      <w:r w:rsidR="00145F42" w:rsidRPr="00145F42">
        <w:rPr>
          <w:b/>
          <w:bCs/>
          <w:noProof/>
        </w:rPr>
        <w:t>30</w:t>
      </w:r>
      <w:r w:rsidR="007C383A" w:rsidRPr="003C648C">
        <w:rPr>
          <w:b/>
          <w:bCs/>
        </w:rPr>
        <w:fldChar w:fldCharType="end"/>
      </w:r>
      <w:r w:rsidR="00D177E0" w:rsidRPr="00D2373D">
        <w:t>)</w:t>
      </w:r>
      <w:r w:rsidR="00D177E0">
        <w:t>,</w:t>
      </w:r>
      <w:r w:rsidR="00D177E0" w:rsidRPr="00D2373D">
        <w:t xml:space="preserve"> demonstrating </w:t>
      </w:r>
      <w:r w:rsidR="00D177E0">
        <w:t xml:space="preserve">that DESTINY-Breast04 is consistent with </w:t>
      </w:r>
      <w:r w:rsidR="00652BF0">
        <w:t xml:space="preserve">these </w:t>
      </w:r>
      <w:r w:rsidR="00D177E0">
        <w:t xml:space="preserve">studies. </w:t>
      </w:r>
    </w:p>
    <w:p w14:paraId="338AA445" w14:textId="69783705" w:rsidR="00D177E0" w:rsidRDefault="00D177E0" w:rsidP="00D177E0">
      <w:pPr>
        <w:pStyle w:val="Body"/>
      </w:pPr>
      <w:r>
        <w:t>Given that mature OS and PFS data from DESTINY-Breast04 were used in the economic analyses, and the modelled outcomes are very similar to the observed data (</w:t>
      </w:r>
      <w:r w:rsidRPr="00A8614C">
        <w:rPr>
          <w:b/>
          <w:bCs/>
        </w:rPr>
        <w:fldChar w:fldCharType="begin"/>
      </w:r>
      <w:r w:rsidRPr="00A8614C">
        <w:rPr>
          <w:b/>
          <w:bCs/>
        </w:rPr>
        <w:instrText xml:space="preserve"> REF _Ref126954905 \h </w:instrText>
      </w:r>
      <w:r>
        <w:rPr>
          <w:b/>
          <w:bCs/>
        </w:rPr>
        <w:instrText xml:space="preserve"> \* MERGEFORMAT </w:instrText>
      </w:r>
      <w:r w:rsidRPr="00A8614C">
        <w:rPr>
          <w:b/>
          <w:bCs/>
        </w:rPr>
      </w:r>
      <w:r w:rsidRPr="00A8614C">
        <w:rPr>
          <w:b/>
          <w:bCs/>
        </w:rPr>
        <w:fldChar w:fldCharType="separate"/>
      </w:r>
      <w:r w:rsidR="00145F42" w:rsidRPr="00145F42">
        <w:rPr>
          <w:b/>
          <w:bCs/>
        </w:rPr>
        <w:t xml:space="preserve">Table </w:t>
      </w:r>
      <w:r w:rsidR="00145F42" w:rsidRPr="00145F42">
        <w:rPr>
          <w:b/>
          <w:bCs/>
          <w:noProof/>
        </w:rPr>
        <w:t>73</w:t>
      </w:r>
      <w:r w:rsidRPr="00A8614C">
        <w:rPr>
          <w:b/>
          <w:bCs/>
        </w:rPr>
        <w:fldChar w:fldCharType="end"/>
      </w:r>
      <w:r>
        <w:t xml:space="preserve">), it can be inferred that the modelled outcomes for TPC are likely to be robust and valid. While it is not possible to compare T-DXd outcomes to previous trials as there have been no previous trials for T-DXd in HER2-low u/mBC, </w:t>
      </w:r>
      <w:r w:rsidR="00027927">
        <w:t xml:space="preserve">data are mature and </w:t>
      </w:r>
      <w:r>
        <w:t>the modelled survival outcomes align well with the observed DESTINY-Breast04 survival outcomes (</w:t>
      </w:r>
      <w:r w:rsidRPr="00A8614C">
        <w:rPr>
          <w:b/>
          <w:bCs/>
        </w:rPr>
        <w:fldChar w:fldCharType="begin"/>
      </w:r>
      <w:r w:rsidRPr="00A8614C">
        <w:rPr>
          <w:b/>
          <w:bCs/>
        </w:rPr>
        <w:instrText xml:space="preserve"> REF _Ref126954905 \h </w:instrText>
      </w:r>
      <w:r>
        <w:rPr>
          <w:b/>
          <w:bCs/>
        </w:rPr>
        <w:instrText xml:space="preserve"> \* MERGEFORMAT </w:instrText>
      </w:r>
      <w:r w:rsidRPr="00A8614C">
        <w:rPr>
          <w:b/>
          <w:bCs/>
        </w:rPr>
      </w:r>
      <w:r w:rsidRPr="00A8614C">
        <w:rPr>
          <w:b/>
          <w:bCs/>
        </w:rPr>
        <w:fldChar w:fldCharType="separate"/>
      </w:r>
      <w:r w:rsidR="00145F42" w:rsidRPr="00145F42">
        <w:rPr>
          <w:b/>
          <w:bCs/>
        </w:rPr>
        <w:t xml:space="preserve">Table </w:t>
      </w:r>
      <w:r w:rsidR="00145F42" w:rsidRPr="00145F42">
        <w:rPr>
          <w:b/>
          <w:bCs/>
          <w:noProof/>
        </w:rPr>
        <w:t>73</w:t>
      </w:r>
      <w:r w:rsidRPr="00A8614C">
        <w:rPr>
          <w:b/>
          <w:bCs/>
        </w:rPr>
        <w:fldChar w:fldCharType="end"/>
      </w:r>
      <w:r>
        <w:t>).</w:t>
      </w:r>
    </w:p>
    <w:p w14:paraId="68CCB000" w14:textId="47E6087E" w:rsidR="00D177E0" w:rsidRDefault="00D177E0" w:rsidP="00D177E0">
      <w:pPr>
        <w:pStyle w:val="Caption"/>
      </w:pPr>
      <w:bookmarkStart w:id="895" w:name="_Ref126954905"/>
      <w:bookmarkStart w:id="896" w:name="_Toc127006703"/>
      <w:bookmarkStart w:id="897" w:name="_Toc129351048"/>
      <w:r>
        <w:t xml:space="preserve">Table </w:t>
      </w:r>
      <w:fldSimple w:instr=" SEQ Table \* ARABIC ">
        <w:r w:rsidR="00145F42">
          <w:rPr>
            <w:noProof/>
          </w:rPr>
          <w:t>73</w:t>
        </w:r>
      </w:fldSimple>
      <w:bookmarkEnd w:id="894"/>
      <w:bookmarkEnd w:id="895"/>
      <w:r>
        <w:t>: Internal and external validation for modelled OS and PFS | TPC</w:t>
      </w:r>
      <w:bookmarkEnd w:id="896"/>
      <w:bookmarkEnd w:id="897"/>
    </w:p>
    <w:tbl>
      <w:tblPr>
        <w:tblStyle w:val="Generaltable"/>
        <w:tblW w:w="8876" w:type="dxa"/>
        <w:tblCellMar>
          <w:left w:w="57" w:type="dxa"/>
          <w:right w:w="57" w:type="dxa"/>
        </w:tblCellMar>
        <w:tblLook w:val="04A0" w:firstRow="1" w:lastRow="0" w:firstColumn="1" w:lastColumn="0" w:noHBand="0" w:noVBand="1"/>
      </w:tblPr>
      <w:tblGrid>
        <w:gridCol w:w="3726"/>
        <w:gridCol w:w="1266"/>
        <w:gridCol w:w="1251"/>
        <w:gridCol w:w="1251"/>
        <w:gridCol w:w="1382"/>
      </w:tblGrid>
      <w:tr w:rsidR="00D177E0" w14:paraId="50B957CF" w14:textId="77777777">
        <w:trPr>
          <w:cnfStyle w:val="100000000000" w:firstRow="1" w:lastRow="0" w:firstColumn="0" w:lastColumn="0" w:oddVBand="0" w:evenVBand="0" w:oddHBand="0" w:evenHBand="0" w:firstRowFirstColumn="0" w:firstRowLastColumn="0" w:lastRowFirstColumn="0" w:lastRowLastColumn="0"/>
        </w:trPr>
        <w:tc>
          <w:tcPr>
            <w:tcW w:w="3726" w:type="dxa"/>
            <w:vAlign w:val="center"/>
          </w:tcPr>
          <w:p w14:paraId="0F88CE0A" w14:textId="77777777" w:rsidR="00D177E0" w:rsidRPr="00ED3CFE" w:rsidRDefault="00D177E0">
            <w:pPr>
              <w:pStyle w:val="Body"/>
              <w:spacing w:after="0"/>
              <w:rPr>
                <w:b/>
                <w:bCs/>
                <w:sz w:val="20"/>
                <w:szCs w:val="20"/>
              </w:rPr>
            </w:pPr>
            <w:r w:rsidRPr="00ED3CFE">
              <w:rPr>
                <w:b/>
                <w:bCs/>
                <w:sz w:val="20"/>
                <w:szCs w:val="20"/>
              </w:rPr>
              <w:t>Study</w:t>
            </w:r>
          </w:p>
        </w:tc>
        <w:tc>
          <w:tcPr>
            <w:tcW w:w="1266" w:type="dxa"/>
            <w:vAlign w:val="center"/>
          </w:tcPr>
          <w:p w14:paraId="0E55078A" w14:textId="77777777" w:rsidR="00D177E0" w:rsidRDefault="00D177E0">
            <w:pPr>
              <w:pStyle w:val="Body"/>
              <w:spacing w:after="0"/>
              <w:rPr>
                <w:b/>
                <w:bCs/>
                <w:sz w:val="20"/>
                <w:szCs w:val="20"/>
              </w:rPr>
            </w:pPr>
            <w:r>
              <w:rPr>
                <w:b/>
                <w:bCs/>
                <w:sz w:val="20"/>
                <w:szCs w:val="20"/>
              </w:rPr>
              <w:t>Treatment</w:t>
            </w:r>
          </w:p>
        </w:tc>
        <w:tc>
          <w:tcPr>
            <w:tcW w:w="1251" w:type="dxa"/>
            <w:vAlign w:val="center"/>
          </w:tcPr>
          <w:p w14:paraId="6F0EEB8F" w14:textId="77777777" w:rsidR="00D177E0" w:rsidRPr="00ED3CFE" w:rsidRDefault="00D177E0">
            <w:pPr>
              <w:pStyle w:val="Body"/>
              <w:spacing w:after="0"/>
              <w:rPr>
                <w:b/>
                <w:bCs/>
                <w:sz w:val="20"/>
                <w:szCs w:val="20"/>
              </w:rPr>
            </w:pPr>
            <w:r w:rsidRPr="00ED3CFE">
              <w:rPr>
                <w:b/>
                <w:bCs/>
                <w:sz w:val="20"/>
                <w:szCs w:val="20"/>
              </w:rPr>
              <w:t>Median PFS (months)</w:t>
            </w:r>
          </w:p>
        </w:tc>
        <w:tc>
          <w:tcPr>
            <w:tcW w:w="1251" w:type="dxa"/>
            <w:vAlign w:val="center"/>
          </w:tcPr>
          <w:p w14:paraId="2A6FB028" w14:textId="77777777" w:rsidR="00D177E0" w:rsidRPr="00ED3CFE" w:rsidRDefault="00D177E0">
            <w:pPr>
              <w:pStyle w:val="Body"/>
              <w:spacing w:after="0"/>
              <w:rPr>
                <w:b/>
                <w:bCs/>
                <w:sz w:val="20"/>
                <w:szCs w:val="20"/>
              </w:rPr>
            </w:pPr>
            <w:r w:rsidRPr="00ED3CFE">
              <w:rPr>
                <w:b/>
                <w:bCs/>
                <w:sz w:val="20"/>
                <w:szCs w:val="20"/>
              </w:rPr>
              <w:t>Median OS (months)</w:t>
            </w:r>
          </w:p>
        </w:tc>
        <w:tc>
          <w:tcPr>
            <w:tcW w:w="1382" w:type="dxa"/>
            <w:vAlign w:val="center"/>
          </w:tcPr>
          <w:p w14:paraId="19C5B4E4" w14:textId="77777777" w:rsidR="00D177E0" w:rsidRDefault="00D177E0">
            <w:pPr>
              <w:pStyle w:val="Body"/>
              <w:spacing w:after="0"/>
              <w:rPr>
                <w:b/>
                <w:bCs/>
                <w:sz w:val="20"/>
                <w:szCs w:val="20"/>
              </w:rPr>
            </w:pPr>
            <w:r>
              <w:rPr>
                <w:b/>
                <w:bCs/>
                <w:sz w:val="20"/>
                <w:szCs w:val="20"/>
              </w:rPr>
              <w:t>Source</w:t>
            </w:r>
          </w:p>
        </w:tc>
      </w:tr>
      <w:tr w:rsidR="00D177E0" w14:paraId="2A934E32" w14:textId="77777777">
        <w:tc>
          <w:tcPr>
            <w:tcW w:w="3726" w:type="dxa"/>
            <w:vAlign w:val="center"/>
          </w:tcPr>
          <w:p w14:paraId="716A76E3" w14:textId="77777777" w:rsidR="00D177E0" w:rsidRPr="00ED3CFE" w:rsidRDefault="00D177E0">
            <w:pPr>
              <w:pStyle w:val="Body"/>
              <w:spacing w:after="0"/>
              <w:rPr>
                <w:sz w:val="20"/>
                <w:szCs w:val="20"/>
              </w:rPr>
            </w:pPr>
            <w:r>
              <w:rPr>
                <w:sz w:val="20"/>
                <w:szCs w:val="20"/>
              </w:rPr>
              <w:t>Economic model (based on DESTINY-Breast04 FAS)</w:t>
            </w:r>
          </w:p>
        </w:tc>
        <w:tc>
          <w:tcPr>
            <w:tcW w:w="1266" w:type="dxa"/>
            <w:vAlign w:val="center"/>
          </w:tcPr>
          <w:p w14:paraId="1C5FE8BD" w14:textId="77777777" w:rsidR="00D177E0" w:rsidRDefault="00D177E0">
            <w:pPr>
              <w:pStyle w:val="Body"/>
              <w:tabs>
                <w:tab w:val="center" w:pos="1050"/>
              </w:tabs>
              <w:spacing w:after="0"/>
              <w:rPr>
                <w:sz w:val="20"/>
                <w:szCs w:val="20"/>
              </w:rPr>
            </w:pPr>
            <w:r>
              <w:rPr>
                <w:sz w:val="20"/>
                <w:szCs w:val="20"/>
              </w:rPr>
              <w:t>TPC</w:t>
            </w:r>
          </w:p>
        </w:tc>
        <w:tc>
          <w:tcPr>
            <w:tcW w:w="1251" w:type="dxa"/>
            <w:vAlign w:val="center"/>
          </w:tcPr>
          <w:p w14:paraId="26706152" w14:textId="11FBE407" w:rsidR="00D177E0" w:rsidRPr="00294FDC" w:rsidRDefault="00294FDC">
            <w:pPr>
              <w:pStyle w:val="Body"/>
              <w:tabs>
                <w:tab w:val="center" w:pos="1050"/>
              </w:tabs>
              <w:spacing w:after="0"/>
              <w:rPr>
                <w:color w:val="000000"/>
                <w:sz w:val="20"/>
                <w:szCs w:val="20"/>
                <w:highlight w:val="black"/>
              </w:rPr>
            </w:pPr>
            <w:r w:rsidRPr="00294FDC">
              <w:rPr>
                <w:color w:val="000000"/>
                <w:sz w:val="20"/>
                <w:szCs w:val="20"/>
                <w:highlight w:val="black"/>
              </w:rPr>
              <w:t>xxxx</w:t>
            </w:r>
          </w:p>
        </w:tc>
        <w:tc>
          <w:tcPr>
            <w:tcW w:w="1251" w:type="dxa"/>
            <w:vAlign w:val="center"/>
          </w:tcPr>
          <w:p w14:paraId="40524548" w14:textId="2D66C151" w:rsidR="00D177E0" w:rsidRPr="00294FDC" w:rsidRDefault="00294FDC">
            <w:pPr>
              <w:pStyle w:val="Body"/>
              <w:tabs>
                <w:tab w:val="center" w:pos="1050"/>
              </w:tabs>
              <w:spacing w:after="0"/>
              <w:rPr>
                <w:color w:val="000000"/>
                <w:sz w:val="20"/>
                <w:szCs w:val="20"/>
                <w:highlight w:val="black"/>
              </w:rPr>
            </w:pPr>
            <w:r w:rsidRPr="00294FDC">
              <w:rPr>
                <w:color w:val="000000"/>
                <w:sz w:val="20"/>
                <w:szCs w:val="20"/>
                <w:highlight w:val="black"/>
              </w:rPr>
              <w:t>xxxxx</w:t>
            </w:r>
          </w:p>
        </w:tc>
        <w:tc>
          <w:tcPr>
            <w:tcW w:w="1382" w:type="dxa"/>
            <w:vAlign w:val="center"/>
          </w:tcPr>
          <w:p w14:paraId="2F38A15E" w14:textId="0FC7604E" w:rsidR="00D177E0" w:rsidRDefault="00D177E0">
            <w:pPr>
              <w:pStyle w:val="Body"/>
              <w:spacing w:after="0"/>
              <w:rPr>
                <w:sz w:val="20"/>
                <w:szCs w:val="20"/>
              </w:rPr>
            </w:pPr>
            <w:r>
              <w:rPr>
                <w:sz w:val="20"/>
                <w:szCs w:val="20"/>
              </w:rPr>
              <w:t xml:space="preserve">Section </w:t>
            </w:r>
            <w:r>
              <w:rPr>
                <w:sz w:val="20"/>
                <w:szCs w:val="20"/>
              </w:rPr>
              <w:fldChar w:fldCharType="begin"/>
            </w:r>
            <w:r>
              <w:rPr>
                <w:sz w:val="20"/>
                <w:szCs w:val="20"/>
              </w:rPr>
              <w:instrText xml:space="preserve"> REF _Ref127006708 \n \h </w:instrText>
            </w:r>
            <w:r>
              <w:rPr>
                <w:sz w:val="20"/>
                <w:szCs w:val="20"/>
              </w:rPr>
            </w:r>
            <w:r>
              <w:rPr>
                <w:sz w:val="20"/>
                <w:szCs w:val="20"/>
              </w:rPr>
              <w:fldChar w:fldCharType="separate"/>
            </w:r>
            <w:r w:rsidR="00145F42">
              <w:rPr>
                <w:sz w:val="20"/>
                <w:szCs w:val="20"/>
              </w:rPr>
              <w:t>B.3.3.2</w:t>
            </w:r>
            <w:r>
              <w:rPr>
                <w:sz w:val="20"/>
                <w:szCs w:val="20"/>
              </w:rPr>
              <w:fldChar w:fldCharType="end"/>
            </w:r>
          </w:p>
        </w:tc>
      </w:tr>
      <w:tr w:rsidR="00D177E0" w14:paraId="447F5DE0" w14:textId="77777777">
        <w:tc>
          <w:tcPr>
            <w:tcW w:w="3726" w:type="dxa"/>
            <w:shd w:val="clear" w:color="auto" w:fill="auto"/>
            <w:vAlign w:val="center"/>
          </w:tcPr>
          <w:p w14:paraId="702B8CBB" w14:textId="77777777" w:rsidR="00D177E0" w:rsidRDefault="00D177E0">
            <w:pPr>
              <w:pStyle w:val="Body"/>
              <w:spacing w:after="0"/>
              <w:rPr>
                <w:sz w:val="20"/>
                <w:szCs w:val="20"/>
              </w:rPr>
            </w:pPr>
            <w:r>
              <w:rPr>
                <w:sz w:val="20"/>
                <w:szCs w:val="20"/>
              </w:rPr>
              <w:t>DESTINY-Breast04 FAS (observed)</w:t>
            </w:r>
          </w:p>
        </w:tc>
        <w:tc>
          <w:tcPr>
            <w:tcW w:w="1266" w:type="dxa"/>
            <w:shd w:val="clear" w:color="auto" w:fill="auto"/>
            <w:vAlign w:val="center"/>
          </w:tcPr>
          <w:p w14:paraId="51C2E774" w14:textId="77777777" w:rsidR="00D177E0" w:rsidRDefault="00D177E0">
            <w:pPr>
              <w:pStyle w:val="Body"/>
              <w:tabs>
                <w:tab w:val="center" w:pos="1050"/>
              </w:tabs>
              <w:spacing w:after="0"/>
              <w:rPr>
                <w:sz w:val="20"/>
                <w:szCs w:val="20"/>
              </w:rPr>
            </w:pPr>
            <w:r>
              <w:rPr>
                <w:sz w:val="20"/>
                <w:szCs w:val="20"/>
              </w:rPr>
              <w:t>TPC</w:t>
            </w:r>
          </w:p>
        </w:tc>
        <w:tc>
          <w:tcPr>
            <w:tcW w:w="1251" w:type="dxa"/>
            <w:vAlign w:val="center"/>
          </w:tcPr>
          <w:p w14:paraId="3D36415B" w14:textId="77777777" w:rsidR="00D177E0" w:rsidRPr="0034770C" w:rsidRDefault="00D177E0">
            <w:pPr>
              <w:pStyle w:val="Body"/>
              <w:tabs>
                <w:tab w:val="center" w:pos="1050"/>
              </w:tabs>
              <w:spacing w:after="0"/>
              <w:rPr>
                <w:sz w:val="20"/>
                <w:szCs w:val="20"/>
              </w:rPr>
            </w:pPr>
            <w:r w:rsidRPr="0034770C">
              <w:rPr>
                <w:sz w:val="20"/>
                <w:szCs w:val="20"/>
              </w:rPr>
              <w:t>5.1</w:t>
            </w:r>
          </w:p>
        </w:tc>
        <w:tc>
          <w:tcPr>
            <w:tcW w:w="1251" w:type="dxa"/>
            <w:shd w:val="clear" w:color="auto" w:fill="auto"/>
            <w:vAlign w:val="center"/>
          </w:tcPr>
          <w:p w14:paraId="65760F55" w14:textId="77777777" w:rsidR="00D177E0" w:rsidRPr="0034770C" w:rsidRDefault="00D177E0">
            <w:pPr>
              <w:pStyle w:val="Body"/>
              <w:tabs>
                <w:tab w:val="center" w:pos="1050"/>
              </w:tabs>
              <w:spacing w:after="0"/>
              <w:rPr>
                <w:sz w:val="20"/>
                <w:szCs w:val="20"/>
              </w:rPr>
            </w:pPr>
            <w:r w:rsidRPr="0034770C">
              <w:rPr>
                <w:sz w:val="20"/>
                <w:szCs w:val="20"/>
              </w:rPr>
              <w:t xml:space="preserve">16.8 </w:t>
            </w:r>
          </w:p>
        </w:tc>
        <w:tc>
          <w:tcPr>
            <w:tcW w:w="1382" w:type="dxa"/>
            <w:shd w:val="clear" w:color="auto" w:fill="auto"/>
            <w:vAlign w:val="center"/>
          </w:tcPr>
          <w:p w14:paraId="7D371075" w14:textId="77777777" w:rsidR="00D177E0" w:rsidRDefault="00D177E0">
            <w:pPr>
              <w:pStyle w:val="Body"/>
              <w:spacing w:after="0"/>
              <w:rPr>
                <w:sz w:val="20"/>
                <w:szCs w:val="20"/>
              </w:rPr>
            </w:pPr>
            <w:r>
              <w:rPr>
                <w:sz w:val="20"/>
                <w:szCs w:val="20"/>
              </w:rPr>
              <w:t>Modi 2022</w:t>
            </w:r>
          </w:p>
        </w:tc>
      </w:tr>
      <w:tr w:rsidR="00D177E0" w14:paraId="52F68CA7" w14:textId="77777777">
        <w:tc>
          <w:tcPr>
            <w:tcW w:w="3726" w:type="dxa"/>
            <w:shd w:val="clear" w:color="auto" w:fill="auto"/>
            <w:vAlign w:val="center"/>
          </w:tcPr>
          <w:p w14:paraId="65414080" w14:textId="77777777" w:rsidR="00D177E0" w:rsidRDefault="00D177E0">
            <w:pPr>
              <w:pStyle w:val="Body"/>
              <w:spacing w:after="0"/>
              <w:rPr>
                <w:sz w:val="20"/>
                <w:szCs w:val="20"/>
              </w:rPr>
            </w:pPr>
            <w:r>
              <w:rPr>
                <w:sz w:val="20"/>
                <w:szCs w:val="20"/>
              </w:rPr>
              <w:t>Economic model (based on DESTINY-Breast04 FAS)</w:t>
            </w:r>
          </w:p>
        </w:tc>
        <w:tc>
          <w:tcPr>
            <w:tcW w:w="1266" w:type="dxa"/>
            <w:shd w:val="clear" w:color="auto" w:fill="auto"/>
            <w:vAlign w:val="center"/>
          </w:tcPr>
          <w:p w14:paraId="13545E72" w14:textId="77777777" w:rsidR="00D177E0" w:rsidRDefault="00D177E0">
            <w:pPr>
              <w:pStyle w:val="Body"/>
              <w:tabs>
                <w:tab w:val="center" w:pos="1050"/>
              </w:tabs>
              <w:spacing w:after="0"/>
              <w:rPr>
                <w:sz w:val="20"/>
                <w:szCs w:val="20"/>
              </w:rPr>
            </w:pPr>
            <w:r>
              <w:rPr>
                <w:sz w:val="20"/>
                <w:szCs w:val="20"/>
              </w:rPr>
              <w:t>T-DXd</w:t>
            </w:r>
          </w:p>
        </w:tc>
        <w:tc>
          <w:tcPr>
            <w:tcW w:w="1251" w:type="dxa"/>
            <w:vAlign w:val="center"/>
          </w:tcPr>
          <w:p w14:paraId="26B7FD21" w14:textId="2576E755" w:rsidR="00D177E0" w:rsidRPr="00294FDC" w:rsidRDefault="00294FDC">
            <w:pPr>
              <w:pStyle w:val="Body"/>
              <w:tabs>
                <w:tab w:val="center" w:pos="1050"/>
              </w:tabs>
              <w:spacing w:after="0"/>
              <w:rPr>
                <w:color w:val="000000"/>
                <w:sz w:val="20"/>
                <w:szCs w:val="20"/>
                <w:highlight w:val="black"/>
              </w:rPr>
            </w:pPr>
            <w:r w:rsidRPr="00294FDC">
              <w:rPr>
                <w:color w:val="000000"/>
                <w:sz w:val="20"/>
                <w:szCs w:val="20"/>
                <w:highlight w:val="black"/>
              </w:rPr>
              <w:t>xxxx</w:t>
            </w:r>
          </w:p>
        </w:tc>
        <w:tc>
          <w:tcPr>
            <w:tcW w:w="1251" w:type="dxa"/>
            <w:shd w:val="clear" w:color="auto" w:fill="auto"/>
            <w:vAlign w:val="center"/>
          </w:tcPr>
          <w:p w14:paraId="7B7699ED" w14:textId="47AA6F0A" w:rsidR="00D177E0" w:rsidRPr="00294FDC" w:rsidRDefault="00294FDC">
            <w:pPr>
              <w:pStyle w:val="Body"/>
              <w:tabs>
                <w:tab w:val="center" w:pos="1050"/>
              </w:tabs>
              <w:spacing w:after="0"/>
              <w:rPr>
                <w:color w:val="000000"/>
                <w:sz w:val="20"/>
                <w:szCs w:val="20"/>
                <w:highlight w:val="black"/>
              </w:rPr>
            </w:pPr>
            <w:r w:rsidRPr="00294FDC">
              <w:rPr>
                <w:color w:val="000000"/>
                <w:sz w:val="20"/>
                <w:szCs w:val="20"/>
                <w:highlight w:val="black"/>
              </w:rPr>
              <w:t>xxxx</w:t>
            </w:r>
          </w:p>
        </w:tc>
        <w:tc>
          <w:tcPr>
            <w:tcW w:w="1382" w:type="dxa"/>
            <w:shd w:val="clear" w:color="auto" w:fill="auto"/>
            <w:vAlign w:val="center"/>
          </w:tcPr>
          <w:p w14:paraId="0FFC091E" w14:textId="4985B8D1" w:rsidR="00D177E0" w:rsidRDefault="00D177E0">
            <w:pPr>
              <w:pStyle w:val="Body"/>
              <w:spacing w:after="0"/>
              <w:rPr>
                <w:sz w:val="20"/>
                <w:szCs w:val="20"/>
              </w:rPr>
            </w:pPr>
            <w:r>
              <w:rPr>
                <w:sz w:val="20"/>
                <w:szCs w:val="20"/>
              </w:rPr>
              <w:t xml:space="preserve">Section </w:t>
            </w:r>
            <w:r>
              <w:rPr>
                <w:sz w:val="20"/>
                <w:szCs w:val="20"/>
              </w:rPr>
              <w:fldChar w:fldCharType="begin"/>
            </w:r>
            <w:r>
              <w:rPr>
                <w:sz w:val="20"/>
                <w:szCs w:val="20"/>
              </w:rPr>
              <w:instrText xml:space="preserve"> REF _Ref127006708 \n \h </w:instrText>
            </w:r>
            <w:r>
              <w:rPr>
                <w:sz w:val="20"/>
                <w:szCs w:val="20"/>
              </w:rPr>
            </w:r>
            <w:r>
              <w:rPr>
                <w:sz w:val="20"/>
                <w:szCs w:val="20"/>
              </w:rPr>
              <w:fldChar w:fldCharType="separate"/>
            </w:r>
            <w:r w:rsidR="00145F42">
              <w:rPr>
                <w:sz w:val="20"/>
                <w:szCs w:val="20"/>
              </w:rPr>
              <w:t>B.3.3.2</w:t>
            </w:r>
            <w:r>
              <w:rPr>
                <w:sz w:val="20"/>
                <w:szCs w:val="20"/>
              </w:rPr>
              <w:fldChar w:fldCharType="end"/>
            </w:r>
          </w:p>
        </w:tc>
      </w:tr>
      <w:tr w:rsidR="00D177E0" w14:paraId="16C7DCA4" w14:textId="77777777">
        <w:tc>
          <w:tcPr>
            <w:tcW w:w="3726" w:type="dxa"/>
            <w:shd w:val="clear" w:color="auto" w:fill="auto"/>
            <w:vAlign w:val="center"/>
          </w:tcPr>
          <w:p w14:paraId="577ECAD1" w14:textId="77777777" w:rsidR="00D177E0" w:rsidRDefault="00D177E0">
            <w:pPr>
              <w:pStyle w:val="Body"/>
              <w:spacing w:after="0"/>
              <w:rPr>
                <w:sz w:val="20"/>
                <w:szCs w:val="20"/>
              </w:rPr>
            </w:pPr>
            <w:r>
              <w:rPr>
                <w:sz w:val="20"/>
                <w:szCs w:val="20"/>
              </w:rPr>
              <w:t>DESTINY-Breast04 FAS (observed)</w:t>
            </w:r>
          </w:p>
        </w:tc>
        <w:tc>
          <w:tcPr>
            <w:tcW w:w="1266" w:type="dxa"/>
            <w:shd w:val="clear" w:color="auto" w:fill="auto"/>
            <w:vAlign w:val="center"/>
          </w:tcPr>
          <w:p w14:paraId="3637A033" w14:textId="77777777" w:rsidR="00D177E0" w:rsidRDefault="00D177E0">
            <w:pPr>
              <w:pStyle w:val="Body"/>
              <w:tabs>
                <w:tab w:val="center" w:pos="1050"/>
              </w:tabs>
              <w:spacing w:after="0"/>
              <w:rPr>
                <w:sz w:val="20"/>
                <w:szCs w:val="20"/>
              </w:rPr>
            </w:pPr>
            <w:r>
              <w:rPr>
                <w:sz w:val="20"/>
                <w:szCs w:val="20"/>
              </w:rPr>
              <w:t>T-DXd</w:t>
            </w:r>
          </w:p>
        </w:tc>
        <w:tc>
          <w:tcPr>
            <w:tcW w:w="1251" w:type="dxa"/>
            <w:vAlign w:val="center"/>
          </w:tcPr>
          <w:p w14:paraId="0F098A10" w14:textId="77777777" w:rsidR="00D177E0" w:rsidRPr="0034770C" w:rsidRDefault="00D177E0">
            <w:pPr>
              <w:pStyle w:val="Body"/>
              <w:tabs>
                <w:tab w:val="center" w:pos="1050"/>
              </w:tabs>
              <w:spacing w:after="0"/>
              <w:rPr>
                <w:sz w:val="20"/>
                <w:szCs w:val="20"/>
              </w:rPr>
            </w:pPr>
            <w:r>
              <w:rPr>
                <w:sz w:val="20"/>
                <w:szCs w:val="20"/>
              </w:rPr>
              <w:t>9.9</w:t>
            </w:r>
          </w:p>
        </w:tc>
        <w:tc>
          <w:tcPr>
            <w:tcW w:w="1251" w:type="dxa"/>
            <w:shd w:val="clear" w:color="auto" w:fill="auto"/>
            <w:vAlign w:val="center"/>
          </w:tcPr>
          <w:p w14:paraId="7C0250DD" w14:textId="2E42FED8" w:rsidR="00D177E0" w:rsidRPr="0034770C" w:rsidRDefault="00D177E0">
            <w:pPr>
              <w:pStyle w:val="Body"/>
              <w:tabs>
                <w:tab w:val="center" w:pos="1050"/>
              </w:tabs>
              <w:spacing w:after="0"/>
              <w:rPr>
                <w:sz w:val="20"/>
                <w:szCs w:val="20"/>
              </w:rPr>
            </w:pPr>
            <w:r>
              <w:rPr>
                <w:sz w:val="20"/>
                <w:szCs w:val="20"/>
              </w:rPr>
              <w:t>23.</w:t>
            </w:r>
            <w:r w:rsidR="008F7DFF">
              <w:rPr>
                <w:sz w:val="20"/>
                <w:szCs w:val="20"/>
              </w:rPr>
              <w:t>4</w:t>
            </w:r>
          </w:p>
        </w:tc>
        <w:tc>
          <w:tcPr>
            <w:tcW w:w="1382" w:type="dxa"/>
            <w:shd w:val="clear" w:color="auto" w:fill="auto"/>
            <w:vAlign w:val="center"/>
          </w:tcPr>
          <w:p w14:paraId="7FE5324E" w14:textId="15385CB9" w:rsidR="00D177E0" w:rsidRDefault="00D177E0">
            <w:pPr>
              <w:pStyle w:val="Body"/>
              <w:spacing w:after="0"/>
              <w:rPr>
                <w:sz w:val="20"/>
                <w:szCs w:val="20"/>
              </w:rPr>
            </w:pPr>
            <w:r>
              <w:rPr>
                <w:sz w:val="20"/>
                <w:szCs w:val="20"/>
              </w:rPr>
              <w:t>Modi 2022</w:t>
            </w:r>
          </w:p>
        </w:tc>
      </w:tr>
    </w:tbl>
    <w:p w14:paraId="0C682E43" w14:textId="77777777" w:rsidR="00D177E0" w:rsidRPr="00C67C0A" w:rsidRDefault="00D177E0" w:rsidP="00D177E0">
      <w:pPr>
        <w:pStyle w:val="Body"/>
        <w:rPr>
          <w:sz w:val="16"/>
          <w:szCs w:val="16"/>
        </w:rPr>
      </w:pPr>
      <w:r w:rsidRPr="00C67C0A">
        <w:rPr>
          <w:sz w:val="16"/>
          <w:szCs w:val="16"/>
        </w:rPr>
        <w:t xml:space="preserve">Abbreviations: </w:t>
      </w:r>
      <w:r>
        <w:rPr>
          <w:sz w:val="16"/>
          <w:szCs w:val="16"/>
        </w:rPr>
        <w:t xml:space="preserve">FAS, full analysis set; </w:t>
      </w:r>
      <w:r w:rsidRPr="00C67C0A">
        <w:rPr>
          <w:sz w:val="16"/>
          <w:szCs w:val="16"/>
        </w:rPr>
        <w:t>OS, overall survival; PFS, progression-free survival; TPC, treatment of physician’s choice</w:t>
      </w:r>
    </w:p>
    <w:p w14:paraId="50C75E12" w14:textId="61EF3718" w:rsidR="00D177E0" w:rsidRDefault="00D177E0" w:rsidP="008552C4">
      <w:pPr>
        <w:pStyle w:val="Body"/>
        <w:rPr>
          <w:lang w:eastAsia="en-GB"/>
        </w:rPr>
      </w:pPr>
      <w:r>
        <w:t>The external validity of the economic analysis was further confirmed by UK clinical and HEOR experts at an advisory board in December 2022.</w:t>
      </w:r>
      <w:r w:rsidRPr="00054570">
        <w:fldChar w:fldCharType="begin"/>
      </w:r>
      <w:r w:rsidR="00CA6345">
        <w:instrText xml:space="preserve"> ADDIN ZOTERO_ITEM CSL_CITATION {"citationID":"Xp3fuOK3","properties":{"formattedCitation":"\\super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Pr="00054570">
        <w:fldChar w:fldCharType="separate"/>
      </w:r>
      <w:r w:rsidR="00CA6345" w:rsidRPr="00CA6345">
        <w:rPr>
          <w:rFonts w:cs="Arial"/>
          <w:szCs w:val="24"/>
          <w:vertAlign w:val="superscript"/>
        </w:rPr>
        <w:t>121</w:t>
      </w:r>
      <w:r w:rsidRPr="00054570">
        <w:fldChar w:fldCharType="end"/>
      </w:r>
      <w:r>
        <w:t xml:space="preserve"> Clinical and HEOR experts (including ex-NICE committee and EAG members) agreed that the model structure is robust and appropriate for decision making. In addition, clinical experts generally considered the modelled clinical inputs and outputs to be clinically plausible.</w:t>
      </w:r>
      <w:r w:rsidRPr="00054570">
        <w:fldChar w:fldCharType="begin"/>
      </w:r>
      <w:r w:rsidR="00CA6345">
        <w:instrText xml:space="preserve"> ADDIN ZOTERO_ITEM CSL_CITATION {"citationID":"9HU8if3k","properties":{"formattedCitation":"\\super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Pr="00054570">
        <w:fldChar w:fldCharType="separate"/>
      </w:r>
      <w:r w:rsidR="00CA6345" w:rsidRPr="00CA6345">
        <w:rPr>
          <w:rFonts w:cs="Arial"/>
          <w:szCs w:val="24"/>
          <w:vertAlign w:val="superscript"/>
        </w:rPr>
        <w:t>121</w:t>
      </w:r>
      <w:r w:rsidRPr="00054570">
        <w:fldChar w:fldCharType="end"/>
      </w:r>
      <w:r>
        <w:t xml:space="preserve"> This provides confidence that the economic model is robust and appropriate for decision-making.</w:t>
      </w:r>
    </w:p>
    <w:p w14:paraId="0B70ACD6" w14:textId="77777777" w:rsidR="00534A32" w:rsidRPr="0077381B" w:rsidRDefault="00534A32" w:rsidP="00534A32">
      <w:pPr>
        <w:pStyle w:val="Heading2"/>
      </w:pPr>
      <w:bookmarkStart w:id="898" w:name="_Toc98924697"/>
      <w:bookmarkStart w:id="899" w:name="_Toc127006637"/>
      <w:bookmarkStart w:id="900" w:name="_Toc129350925"/>
      <w:r w:rsidRPr="0077381B">
        <w:t>Interpretation and conclusions of economic evidence</w:t>
      </w:r>
      <w:bookmarkEnd w:id="898"/>
      <w:bookmarkEnd w:id="899"/>
      <w:bookmarkEnd w:id="900"/>
      <w:r w:rsidRPr="0077381B">
        <w:t xml:space="preserve"> </w:t>
      </w:r>
    </w:p>
    <w:p w14:paraId="75DF06A7" w14:textId="714AB339" w:rsidR="00FD5EC5" w:rsidRDefault="00534A32" w:rsidP="003C648C">
      <w:r w:rsidRPr="00C67C0A">
        <w:t xml:space="preserve">Evidence for this submission comes from the pivotal, </w:t>
      </w:r>
      <w:r w:rsidR="00474982">
        <w:t>P</w:t>
      </w:r>
      <w:r w:rsidR="00474982" w:rsidRPr="00C67C0A">
        <w:t xml:space="preserve">hase </w:t>
      </w:r>
      <w:r w:rsidRPr="00C67C0A">
        <w:t xml:space="preserve">III, multicentre, open-label, randomised, active-controlled DESTINY-Breast04 trial assessing the efficacy and safety of T-DXd vs. TPC in patients with HER2-low u/mBC after treatment with one or two lines of chemotherapy in the </w:t>
      </w:r>
      <w:r w:rsidR="003C340C">
        <w:t xml:space="preserve">(neo)adjuvant </w:t>
      </w:r>
      <w:r w:rsidR="00C304BF" w:rsidRPr="003C648C">
        <w:t xml:space="preserve">(if recurrence occurs within 6 months) </w:t>
      </w:r>
      <w:r w:rsidR="003C340C">
        <w:t>or</w:t>
      </w:r>
      <w:r w:rsidRPr="00C67C0A">
        <w:t xml:space="preserve"> metastatic setting.</w:t>
      </w:r>
      <w:r w:rsidRPr="00C9400D">
        <w:rPr>
          <w:b/>
          <w:bCs/>
        </w:rPr>
        <w:fldChar w:fldCharType="begin"/>
      </w:r>
      <w:r w:rsidR="00CA6345">
        <w:rPr>
          <w:b/>
          <w:bCs/>
        </w:rPr>
        <w:instrText xml:space="preserve"> ADDIN ZOTERO_ITEM CSL_CITATION {"citationID":"VVJFf13X","properties":{"formattedCitation":"\\super 6,7\\nosupersub{}","plainCitation":"6,7","noteIndex":0},"citationItems":[{"id":65944,"uris":["http://zotero.org/groups/4797619/items/WBVSVVF7"],"itemData":{"id":65944,"type":"document","title":"Clinical Study Report for DS8201-A-U303. Data cut-off date: 11 Jan 2022. Data on File.","author":[{"family":"Daiichi Sankyo Inc.","given":""}],"issued":{"date-parts":[["2022"]]}}},{"id":66153,"uris":["http://zotero.org/groups/4797619/items/DIMCLQBB"],"itemData":{"id":66153,"type":"article-journal","container-title":"New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Pr="00C9400D">
        <w:rPr>
          <w:b/>
          <w:bCs/>
        </w:rPr>
        <w:fldChar w:fldCharType="separate"/>
      </w:r>
      <w:r w:rsidR="00FD57F4" w:rsidRPr="00FD57F4">
        <w:rPr>
          <w:rFonts w:cs="Arial"/>
          <w:szCs w:val="24"/>
          <w:vertAlign w:val="superscript"/>
        </w:rPr>
        <w:t>6,7</w:t>
      </w:r>
      <w:r w:rsidRPr="00C9400D">
        <w:rPr>
          <w:b/>
          <w:bCs/>
        </w:rPr>
        <w:fldChar w:fldCharType="end"/>
      </w:r>
      <w:r>
        <w:rPr>
          <w:b/>
          <w:bCs/>
        </w:rPr>
        <w:t xml:space="preserve"> </w:t>
      </w:r>
      <w:r w:rsidRPr="00C67C0A">
        <w:t>UK clinical and HEOR experts confirmed the trial is well designed, robust and provides evidence that is generalisable to the UK.</w:t>
      </w:r>
      <w:r w:rsidRPr="00054570">
        <w:fldChar w:fldCharType="begin"/>
      </w:r>
      <w:r w:rsidR="00CA6345">
        <w:instrText xml:space="preserve"> ADDIN ZOTERO_ITEM CSL_CITATION {"citationID":"HXFAgl4W","properties":{"formattedCitation":"\\super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Pr="00054570">
        <w:fldChar w:fldCharType="separate"/>
      </w:r>
      <w:r w:rsidR="00CA6345" w:rsidRPr="00CA6345">
        <w:rPr>
          <w:rFonts w:cs="Arial"/>
          <w:szCs w:val="24"/>
          <w:vertAlign w:val="superscript"/>
        </w:rPr>
        <w:t>121</w:t>
      </w:r>
      <w:r w:rsidRPr="00054570">
        <w:fldChar w:fldCharType="end"/>
      </w:r>
      <w:r w:rsidRPr="00BF1CDA">
        <w:t xml:space="preserve"> </w:t>
      </w:r>
      <w:r w:rsidR="00FD5EC5">
        <w:t>Published UK biomarker data</w:t>
      </w:r>
      <w:r w:rsidR="00FD5EC5">
        <w:fldChar w:fldCharType="begin"/>
      </w:r>
      <w:r w:rsidR="00CA6345">
        <w:instrText xml:space="preserve"> ADDIN ZOTERO_ITEM CSL_CITATION {"citationID":"PCI1JCH8","properties":{"formattedCitation":"\\super 56\\nosupersub{}","plainCitation":"56","noteIndex":0},"citationItems":[{"id":65940,"uris":["http://zotero.org/groups/4797619/items/7UYVWR36"],"itemData":{"id":65940,"type":"article-journal","container-title":"The Journal of Pathology: Clinical Research","DOI":"10.1002/cjp2.173","ISSN":"2056-4538, 2056-4538","issue":"3","journalAbbreviation":"J Pathol Clin Res","language":"en","page":"227-227","source":"DOI.org (Crossref)","title":"Breast cancer biomarkers in clinical testing: analysis of a UK NEQAS ICC &amp; ISH database containing results from 199 300 patients","title-short":"‘Breast cancer biomarkers in clinical testing","volume":"6","author":[{"family":"Dodson","given":"Andrew"},{"family":"Parry","given":"Suzanne"},{"family":"Ibrahim","given":"Merdol"},{"family":"Bartlett","given":"John M. S."},{"family":"Pinder","given":"Sarah E."},{"family":"Dowsett","given":"Mitch"},{"family":"Miller","given":"Keith"}],"issued":{"date-parts":[["2020",7]]}}}],"schema":"https://github.com/citation-style-language/schema/raw/master/csl-citation.json"} </w:instrText>
      </w:r>
      <w:r w:rsidR="00FD5EC5">
        <w:fldChar w:fldCharType="separate"/>
      </w:r>
      <w:r w:rsidR="00FD57F4" w:rsidRPr="00FD57F4">
        <w:rPr>
          <w:rFonts w:cs="Arial"/>
          <w:szCs w:val="24"/>
          <w:vertAlign w:val="superscript"/>
        </w:rPr>
        <w:t>56</w:t>
      </w:r>
      <w:r w:rsidR="00FD5EC5">
        <w:fldChar w:fldCharType="end"/>
      </w:r>
      <w:r w:rsidR="00FD5EC5">
        <w:t xml:space="preserve"> and UK clinical expert insights confirm that the distribution of HR-positive and HR-negative patients in DESTINY-Breast04 is aligned to UK clinical practice</w:t>
      </w:r>
      <w:r w:rsidR="00077084">
        <w:t xml:space="preserve"> </w:t>
      </w:r>
      <w:r w:rsidR="009D355A">
        <w:t>supporting</w:t>
      </w:r>
      <w:r w:rsidR="00077084">
        <w:t xml:space="preserve"> the </w:t>
      </w:r>
      <w:r w:rsidR="0024578E">
        <w:t>appropriateness</w:t>
      </w:r>
      <w:r w:rsidR="006169E1">
        <w:t xml:space="preserve"> of the FAS</w:t>
      </w:r>
      <w:r w:rsidR="00FD5EC5">
        <w:t>.</w:t>
      </w:r>
      <w:r w:rsidR="003E7E8B" w:rsidRPr="003C648C">
        <w:rPr>
          <w:rFonts w:cs="Arial"/>
          <w:vertAlign w:val="superscript"/>
        </w:rPr>
        <w:t>120</w:t>
      </w:r>
      <w:r w:rsidR="00FD5EC5" w:rsidRPr="00BD22F5">
        <w:fldChar w:fldCharType="begin"/>
      </w:r>
      <w:r w:rsidR="00CA6345">
        <w:instrText xml:space="preserve"> ADDIN ZOTERO_ITEM CSL_CITATION {"citationID":"J04vbcIi","properties":{"formattedCitation":"\\super 119\\nosupersub{}","plainCitation":"119","dontUpdate":true,"noteIndex":0},"citationItems":[{"id":66356,"uris":["http://zotero.org/groups/4797619/items/N6DNXLEP"],"itemData":{"id":66356,"type":"document","title":"T-DXd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00FD5EC5" w:rsidRPr="00BD22F5">
        <w:fldChar w:fldCharType="separate"/>
      </w:r>
      <w:r w:rsidR="00FD5EC5" w:rsidRPr="00BD22F5">
        <w:fldChar w:fldCharType="end"/>
      </w:r>
      <w:r w:rsidR="00FD5EC5" w:rsidRPr="000B5E90">
        <w:t xml:space="preserve"> </w:t>
      </w:r>
      <w:r w:rsidR="00FD5EC5">
        <w:t>Clinical and HEOR experts agreed that, for decision-making, TPC is the relevant comparator in this appraisal</w:t>
      </w:r>
      <w:r w:rsidR="00FD5EC5" w:rsidDel="00B90ACF">
        <w:t xml:space="preserve"> </w:t>
      </w:r>
      <w:r w:rsidR="00921835">
        <w:t>as it</w:t>
      </w:r>
      <w:r w:rsidR="00FD5EC5" w:rsidDel="00B90ACF">
        <w:t xml:space="preserve"> </w:t>
      </w:r>
      <w:r w:rsidR="003A319F" w:rsidRPr="00C67C0A">
        <w:t>reflects how patients are currently treated in this setting</w:t>
      </w:r>
      <w:r w:rsidR="00FD5EC5" w:rsidDel="00B90ACF">
        <w:t xml:space="preserve"> and that </w:t>
      </w:r>
      <w:r w:rsidR="00FD5EC5">
        <w:t xml:space="preserve">the </w:t>
      </w:r>
      <w:r w:rsidR="00FD5EC5" w:rsidRPr="00054570">
        <w:t>comparators listed in the NICE final scope</w:t>
      </w:r>
      <w:r w:rsidR="000E0572" w:rsidRPr="00E9364A">
        <w:fldChar w:fldCharType="begin"/>
      </w:r>
      <w:r w:rsidR="00CA6345">
        <w:instrText xml:space="preserve"> ADDIN ZOTERO_ITEM CSL_CITATION {"citationID":"ZNTrIce9","properties":{"formattedCitation":"\\super 1\\nosupersub{}","plainCitation":"1","noteIndex":0},"citationItems":[{"id":66383,"uris":["http://zotero.org/groups/4797619/items/Y75R2AJY"],"itemData":{"id":66383,"type":"webpage","language":"eng","note":"publisher: NICE","title":"Final Scope. Trastuzumab deruxtecan for treating HER2-low unresectable or metastatic breast cancer after chemotherapy","URL":"https://www.nice.org.uk/guidance/gid-ta10813/documents/final-scope","author":[{"family":"NICE","given":""}],"accessed":{"date-parts":[["2022",11,29]]},"issued":{"date-parts":[["2023",1,6]]}}}],"schema":"https://github.com/citation-style-language/schema/raw/master/csl-citation.json"} </w:instrText>
      </w:r>
      <w:r w:rsidR="000E0572" w:rsidRPr="00E9364A">
        <w:fldChar w:fldCharType="separate"/>
      </w:r>
      <w:r w:rsidR="00FD57F4" w:rsidRPr="00FD57F4">
        <w:rPr>
          <w:rFonts w:cs="Arial"/>
          <w:szCs w:val="24"/>
          <w:vertAlign w:val="superscript"/>
        </w:rPr>
        <w:t>1</w:t>
      </w:r>
      <w:r w:rsidR="000E0572" w:rsidRPr="00E9364A">
        <w:fldChar w:fldCharType="end"/>
      </w:r>
      <w:r w:rsidR="00FD5EC5">
        <w:t xml:space="preserve"> </w:t>
      </w:r>
      <w:r w:rsidR="00FD5EC5" w:rsidRPr="00054570">
        <w:t>are well represented in the TPC arm of DESTINY-Breast04</w:t>
      </w:r>
      <w:r w:rsidR="00FD5EC5">
        <w:t>.</w:t>
      </w:r>
      <w:r w:rsidR="00FD5EC5" w:rsidRPr="00054570">
        <w:fldChar w:fldCharType="begin"/>
      </w:r>
      <w:r w:rsidR="00CA6345">
        <w:instrText xml:space="preserve"> ADDIN ZOTERO_ITEM CSL_CITATION {"citationID":"br6l7ruQ","properties":{"formattedCitation":"\\super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00FD5EC5" w:rsidRPr="00054570">
        <w:fldChar w:fldCharType="separate"/>
      </w:r>
      <w:r w:rsidR="00CA6345" w:rsidRPr="00CA6345">
        <w:rPr>
          <w:rFonts w:cs="Arial"/>
          <w:szCs w:val="24"/>
          <w:vertAlign w:val="superscript"/>
        </w:rPr>
        <w:t>121</w:t>
      </w:r>
      <w:r w:rsidR="00FD5EC5" w:rsidRPr="00054570">
        <w:fldChar w:fldCharType="end"/>
      </w:r>
      <w:r w:rsidR="006A48F0">
        <w:t xml:space="preserve"> As such, Daiichi Sankyo consider evidence from </w:t>
      </w:r>
      <w:r w:rsidR="006A48F0" w:rsidRPr="00054570">
        <w:t>DESTINY-Breast04</w:t>
      </w:r>
      <w:r w:rsidR="006A48F0">
        <w:t xml:space="preserve"> </w:t>
      </w:r>
      <w:r w:rsidR="0066297D">
        <w:t>in the FAS population to</w:t>
      </w:r>
      <w:r w:rsidR="006A48F0">
        <w:t xml:space="preserve"> be highly relevant to the decision problem.</w:t>
      </w:r>
    </w:p>
    <w:p w14:paraId="167AA0ED" w14:textId="670C8C13" w:rsidR="004C7766" w:rsidRPr="00C67C0A" w:rsidRDefault="00E665CF" w:rsidP="00534A32">
      <w:pPr>
        <w:pStyle w:val="NICEnormal"/>
      </w:pPr>
      <w:r w:rsidRPr="00054570">
        <w:lastRenderedPageBreak/>
        <w:t>DESTINY-Breast04 is the first ever head-to-head Phase III trial to show a significant benefit of HER2-targeted treatment in HER2-low u/mBC</w:t>
      </w:r>
      <w:r>
        <w:t xml:space="preserve"> after </w:t>
      </w:r>
      <w:r w:rsidRPr="00054570">
        <w:t>one or two lines of chemotherapy in the recurrent or metastatic setting</w:t>
      </w:r>
      <w:r>
        <w:t xml:space="preserve"> compared with non-targeted chemotherapy</w:t>
      </w:r>
      <w:r w:rsidRPr="00054570">
        <w:t>.</w:t>
      </w:r>
      <w:r w:rsidRPr="00054570">
        <w:fldChar w:fldCharType="begin"/>
      </w:r>
      <w:r w:rsidR="00CA6345">
        <w:instrText xml:space="preserve"> ADDIN ZOTERO_ITEM CSL_CITATION {"citationID":"Hk5sTn5a","properties":{"formattedCitation":"\\super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Pr="00054570">
        <w:fldChar w:fldCharType="separate"/>
      </w:r>
      <w:r w:rsidR="00FD57F4" w:rsidRPr="00FD57F4">
        <w:rPr>
          <w:rFonts w:cs="Arial"/>
          <w:szCs w:val="24"/>
          <w:vertAlign w:val="superscript"/>
        </w:rPr>
        <w:t>6</w:t>
      </w:r>
      <w:r w:rsidRPr="00054570">
        <w:fldChar w:fldCharType="end"/>
      </w:r>
      <w:r w:rsidRPr="00054570">
        <w:t xml:space="preserve"> </w:t>
      </w:r>
      <w:r w:rsidR="0061510C">
        <w:t xml:space="preserve">In </w:t>
      </w:r>
      <w:r w:rsidR="0061510C" w:rsidRPr="00054570">
        <w:t>DESTINY-Breast04, T</w:t>
      </w:r>
      <w:r w:rsidR="0061510C" w:rsidRPr="00054570">
        <w:noBreakHyphen/>
        <w:t>DXd demonstrated statistically significant superiority compared with TPC for the primary endpoint of PFS by BICR in the HR</w:t>
      </w:r>
      <w:r w:rsidR="0061510C">
        <w:t>-positive</w:t>
      </w:r>
      <w:r w:rsidR="0061510C" w:rsidRPr="00054570">
        <w:t xml:space="preserve"> cohort (median PFS: 10.1 vs 5.4 months; HR: 0.51; p&lt;0.001).</w:t>
      </w:r>
      <w:r w:rsidR="0061510C">
        <w:fldChar w:fldCharType="begin"/>
      </w:r>
      <w:r w:rsidR="00CA6345">
        <w:instrText xml:space="preserve"> ADDIN ZOTERO_ITEM CSL_CITATION {"citationID":"2fxs3Roh","properties":{"formattedCitation":"\\super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0061510C">
        <w:fldChar w:fldCharType="separate"/>
      </w:r>
      <w:r w:rsidR="00FD57F4" w:rsidRPr="00FD57F4">
        <w:rPr>
          <w:rFonts w:cs="Arial"/>
          <w:szCs w:val="24"/>
          <w:vertAlign w:val="superscript"/>
        </w:rPr>
        <w:t>6</w:t>
      </w:r>
      <w:r w:rsidR="0061510C">
        <w:fldChar w:fldCharType="end"/>
      </w:r>
      <w:r w:rsidR="0061510C" w:rsidRPr="00054570">
        <w:t xml:space="preserve"> T</w:t>
      </w:r>
      <w:r w:rsidR="0061510C" w:rsidRPr="00054570">
        <w:noBreakHyphen/>
        <w:t xml:space="preserve">DXd was also associated with statistically significant improvements over TPC </w:t>
      </w:r>
      <w:r w:rsidR="0061510C">
        <w:t>for all</w:t>
      </w:r>
      <w:r w:rsidR="0061510C" w:rsidRPr="00054570">
        <w:t xml:space="preserve"> secondary efficacy endpoints</w:t>
      </w:r>
      <w:r w:rsidR="0061510C">
        <w:t xml:space="preserve">: </w:t>
      </w:r>
      <w:r w:rsidR="0061510C" w:rsidRPr="00054570">
        <w:t>PFS by BICR in the FAS (</w:t>
      </w:r>
      <w:r w:rsidR="0061510C">
        <w:t>median PFS: 9.9 months vs. 5.1 months; HR: 0.50; p&lt;0.001)</w:t>
      </w:r>
      <w:r w:rsidR="0061510C" w:rsidRPr="00054570">
        <w:t>, OS in the HR</w:t>
      </w:r>
      <w:r w:rsidR="0061510C">
        <w:t>-positive</w:t>
      </w:r>
      <w:r w:rsidR="0061510C" w:rsidRPr="00054570">
        <w:t xml:space="preserve"> cohort </w:t>
      </w:r>
      <w:r w:rsidR="0061510C">
        <w:t>(median OS: 23.9 months vs. 17.5 months; HR: 0.64; p=0.003)</w:t>
      </w:r>
      <w:r w:rsidR="00AD40EC">
        <w:t>,</w:t>
      </w:r>
      <w:r w:rsidR="0061510C">
        <w:t xml:space="preserve"> </w:t>
      </w:r>
      <w:r w:rsidR="0061510C" w:rsidRPr="00054570">
        <w:t xml:space="preserve">and OS in the FAS </w:t>
      </w:r>
      <w:r w:rsidR="0061510C">
        <w:t>(median OS: 23.4 months vs.16.8 months; HR: 0.64; p=0.001).</w:t>
      </w:r>
      <w:r w:rsidR="0061510C">
        <w:fldChar w:fldCharType="begin"/>
      </w:r>
      <w:r w:rsidR="00CA6345">
        <w:instrText xml:space="preserve"> ADDIN ZOTERO_ITEM CSL_CITATION {"citationID":"wKxlSRnh","properties":{"formattedCitation":"\\super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0061510C">
        <w:fldChar w:fldCharType="separate"/>
      </w:r>
      <w:r w:rsidR="00FD57F4" w:rsidRPr="00FD57F4">
        <w:rPr>
          <w:rFonts w:cs="Arial"/>
          <w:szCs w:val="24"/>
          <w:vertAlign w:val="superscript"/>
        </w:rPr>
        <w:t>6</w:t>
      </w:r>
      <w:r w:rsidR="0061510C">
        <w:fldChar w:fldCharType="end"/>
      </w:r>
      <w:r w:rsidR="00BC7B4E">
        <w:t xml:space="preserve"> The e</w:t>
      </w:r>
      <w:r w:rsidR="00534A32">
        <w:t xml:space="preserve">fficacy of T-DXd was confirmed through multiple clinically meaningful endpoints, including all those listed </w:t>
      </w:r>
      <w:r w:rsidR="00534A32" w:rsidRPr="00054570">
        <w:t>in the final scope</w:t>
      </w:r>
      <w:r w:rsidR="00534A32">
        <w:t>,</w:t>
      </w:r>
      <w:r w:rsidR="000E0572" w:rsidRPr="00E9364A">
        <w:fldChar w:fldCharType="begin"/>
      </w:r>
      <w:r w:rsidR="00CA6345">
        <w:instrText xml:space="preserve"> ADDIN ZOTERO_ITEM CSL_CITATION {"citationID":"k3n4czZH","properties":{"formattedCitation":"\\super 1\\nosupersub{}","plainCitation":"1","noteIndex":0},"citationItems":[{"id":66383,"uris":["http://zotero.org/groups/4797619/items/Y75R2AJY"],"itemData":{"id":66383,"type":"webpage","language":"eng","note":"publisher: NICE","title":"Final Scope. Trastuzumab deruxtecan for treating HER2-low unresectable or metastatic breast cancer after chemotherapy","URL":"https://www.nice.org.uk/guidance/gid-ta10813/documents/final-scope","author":[{"family":"NICE","given":""}],"accessed":{"date-parts":[["2022",11,29]]},"issued":{"date-parts":[["2023",1,6]]}}}],"schema":"https://github.com/citation-style-language/schema/raw/master/csl-citation.json"} </w:instrText>
      </w:r>
      <w:r w:rsidR="000E0572" w:rsidRPr="00E9364A">
        <w:fldChar w:fldCharType="separate"/>
      </w:r>
      <w:r w:rsidR="00FD57F4" w:rsidRPr="00FD57F4">
        <w:rPr>
          <w:rFonts w:cs="Arial"/>
          <w:szCs w:val="24"/>
          <w:vertAlign w:val="superscript"/>
        </w:rPr>
        <w:t>1</w:t>
      </w:r>
      <w:r w:rsidR="000E0572" w:rsidRPr="00E9364A">
        <w:fldChar w:fldCharType="end"/>
      </w:r>
      <w:r w:rsidR="00534A32">
        <w:t xml:space="preserve"> </w:t>
      </w:r>
      <w:r w:rsidR="00534A32" w:rsidRPr="00054570">
        <w:t>cover</w:t>
      </w:r>
      <w:r w:rsidR="00534A32">
        <w:t>ing</w:t>
      </w:r>
      <w:r w:rsidR="00534A32" w:rsidRPr="00054570">
        <w:t xml:space="preserve"> the most important outcomes in oncology.</w:t>
      </w:r>
      <w:r w:rsidR="000E0572">
        <w:fldChar w:fldCharType="begin"/>
      </w:r>
      <w:r w:rsidR="00CA6345">
        <w:instrText xml:space="preserve"> ADDIN ZOTERO_ITEM CSL_CITATION {"citationID":"bZJWywf3","properties":{"formattedCitation":"\\super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000E0572">
        <w:fldChar w:fldCharType="separate"/>
      </w:r>
      <w:r w:rsidR="00FD57F4" w:rsidRPr="00FD57F4">
        <w:rPr>
          <w:rFonts w:cs="Arial"/>
          <w:szCs w:val="24"/>
          <w:vertAlign w:val="superscript"/>
        </w:rPr>
        <w:t>6</w:t>
      </w:r>
      <w:r w:rsidR="000E0572">
        <w:fldChar w:fldCharType="end"/>
      </w:r>
    </w:p>
    <w:p w14:paraId="38A05091" w14:textId="23256D0D" w:rsidR="00534A32" w:rsidRPr="00B7029B" w:rsidRDefault="00534A32" w:rsidP="006F08DC">
      <w:pPr>
        <w:pStyle w:val="NICEnormal"/>
      </w:pPr>
      <w:r w:rsidRPr="00C67C0A">
        <w:t xml:space="preserve">The economic analysis has been conducted in the FAS </w:t>
      </w:r>
      <w:r>
        <w:t xml:space="preserve">population </w:t>
      </w:r>
      <w:r w:rsidRPr="00C67C0A">
        <w:t>to reflect the</w:t>
      </w:r>
      <w:r w:rsidR="00100032">
        <w:t xml:space="preserve"> anticipated</w:t>
      </w:r>
      <w:r w:rsidRPr="00C67C0A">
        <w:t xml:space="preserve"> </w:t>
      </w:r>
      <w:r w:rsidR="00D54778">
        <w:t>licensed population</w:t>
      </w:r>
      <w:r w:rsidRPr="00C67C0A">
        <w:t xml:space="preserve">. </w:t>
      </w:r>
      <w:r w:rsidRPr="00B7029B">
        <w:t xml:space="preserve">The analysis is </w:t>
      </w:r>
      <w:r>
        <w:t>performed within</w:t>
      </w:r>
      <w:r w:rsidRPr="00B7029B">
        <w:t xml:space="preserve"> a </w:t>
      </w:r>
      <w:r w:rsidRPr="00550FA1">
        <w:rPr>
          <w:i/>
          <w:iCs/>
        </w:rPr>
        <w:t>de novo</w:t>
      </w:r>
      <w:r w:rsidRPr="00B7029B">
        <w:t xml:space="preserve"> economic model with a structure designed to reflect </w:t>
      </w:r>
      <w:r>
        <w:t xml:space="preserve">the natural history </w:t>
      </w:r>
      <w:r w:rsidRPr="00C67C0A">
        <w:t>of HER2-low u/mBC</w:t>
      </w:r>
      <w:r w:rsidRPr="00B7029B">
        <w:t xml:space="preserve">. The model structure is consistent with prior breast cancer appraisals and </w:t>
      </w:r>
      <w:r>
        <w:t>brings</w:t>
      </w:r>
      <w:r w:rsidRPr="00B7029B">
        <w:t xml:space="preserve"> together the most relevant clinical efficacy and safety data. </w:t>
      </w:r>
    </w:p>
    <w:p w14:paraId="6F751D41" w14:textId="44AF3964" w:rsidR="00C46871" w:rsidRPr="00C46871" w:rsidRDefault="00534A32" w:rsidP="006F08DC">
      <w:pPr>
        <w:pStyle w:val="NICEnormal"/>
        <w:rPr>
          <w:color w:val="000000" w:themeColor="text1"/>
        </w:rPr>
      </w:pPr>
      <w:r w:rsidRPr="00C46871">
        <w:rPr>
          <w:color w:val="000000" w:themeColor="text1"/>
        </w:rPr>
        <w:t>In line with the NICE manual,</w:t>
      </w:r>
      <w:r w:rsidRPr="00C46871">
        <w:rPr>
          <w:color w:val="000000" w:themeColor="text1"/>
        </w:rPr>
        <w:fldChar w:fldCharType="begin"/>
      </w:r>
      <w:r w:rsidR="00CA6345" w:rsidRPr="00C46871">
        <w:rPr>
          <w:color w:val="000000" w:themeColor="text1"/>
        </w:rPr>
        <w:instrText xml:space="preserve"> ADDIN ZOTERO_ITEM CSL_CITATION {"citationID":"gqPznERn","properties":{"formattedCitation":"\\super 2\\nosupersub{}","plainCitation":"2","noteIndex":0},"citationItems":[{"id":65886,"uris":["http://zotero.org/groups/4797619/items/2LQNV7UR"],"itemData":{"id":65886,"type":"webpage","abstract":"This guide describes the methods and processes, including expected timescales, that NICE follows when carrying out health technology evaluations. The methods and processes are designed to produce robust guidance for the NHS in an open, transparent and timely way, with appropriate contribution from stakeholders. Organisations invited to contribute to health technology evaluation development should read this manual in conjunction with the NICE health technology evaluation topic selection: the manual. All documents are available on the NICE website.","language":"eng","note":"publisher: NICE","title":"NICE health technology evaluations: the manual","title-short":"NICE health technology evaluations","URL":"https://www.nice.org.uk/process/pmg36/chapter/introduction-to-health-technology-evaluation","author":[{"family":"NICE","given":""}],"accessed":{"date-parts":[["2022",10,19]]},"issued":{"date-parts":[["2022",1]]}}}],"schema":"https://github.com/citation-style-language/schema/raw/master/csl-citation.json"} </w:instrText>
      </w:r>
      <w:r w:rsidRPr="00C46871">
        <w:rPr>
          <w:color w:val="000000" w:themeColor="text1"/>
        </w:rPr>
        <w:fldChar w:fldCharType="separate"/>
      </w:r>
      <w:r w:rsidR="00FD57F4" w:rsidRPr="00C46871">
        <w:rPr>
          <w:rFonts w:cs="Arial"/>
          <w:color w:val="000000" w:themeColor="text1"/>
          <w:szCs w:val="24"/>
          <w:vertAlign w:val="superscript"/>
        </w:rPr>
        <w:t>2</w:t>
      </w:r>
      <w:r w:rsidRPr="00C46871">
        <w:rPr>
          <w:color w:val="000000" w:themeColor="text1"/>
        </w:rPr>
        <w:fldChar w:fldCharType="end"/>
      </w:r>
      <w:r w:rsidRPr="00C46871">
        <w:rPr>
          <w:color w:val="000000" w:themeColor="text1"/>
        </w:rPr>
        <w:t xml:space="preserve"> the severity of the </w:t>
      </w:r>
      <w:r w:rsidRPr="00C46871">
        <w:rPr>
          <w:rFonts w:cs="Arial"/>
          <w:color w:val="000000" w:themeColor="text1"/>
        </w:rPr>
        <w:t xml:space="preserve">condition was assessed by calculating the absolute and proportional QALY shortfall associated with </w:t>
      </w:r>
      <w:r w:rsidR="00A06B32" w:rsidRPr="00C46871">
        <w:rPr>
          <w:rFonts w:cs="Arial"/>
          <w:color w:val="000000" w:themeColor="text1"/>
        </w:rPr>
        <w:t xml:space="preserve">standard of care </w:t>
      </w:r>
      <w:r w:rsidRPr="00C46871">
        <w:rPr>
          <w:rFonts w:cs="Arial"/>
          <w:color w:val="000000" w:themeColor="text1"/>
        </w:rPr>
        <w:t>in HER2-low u/mBC</w:t>
      </w:r>
      <w:r w:rsidRPr="00C46871" w:rsidDel="006D4D00">
        <w:rPr>
          <w:rFonts w:cs="Arial"/>
          <w:color w:val="000000" w:themeColor="text1"/>
        </w:rPr>
        <w:t xml:space="preserve"> </w:t>
      </w:r>
      <w:r w:rsidR="00F15BA4" w:rsidRPr="00C46871">
        <w:rPr>
          <w:rFonts w:cs="Arial"/>
          <w:color w:val="000000" w:themeColor="text1"/>
        </w:rPr>
        <w:t xml:space="preserve">compared with </w:t>
      </w:r>
      <w:r w:rsidRPr="00C46871">
        <w:rPr>
          <w:rFonts w:cs="Arial"/>
          <w:color w:val="000000" w:themeColor="text1"/>
        </w:rPr>
        <w:t>the general population. Daiichi Sankyo acknowledge that</w:t>
      </w:r>
      <w:r w:rsidR="00511FFB" w:rsidRPr="00C46871">
        <w:rPr>
          <w:rFonts w:cs="Arial"/>
          <w:color w:val="000000" w:themeColor="text1"/>
        </w:rPr>
        <w:t xml:space="preserve"> using the </w:t>
      </w:r>
      <w:r w:rsidR="00292E4B" w:rsidRPr="00C46871">
        <w:rPr>
          <w:rFonts w:cs="Arial"/>
          <w:color w:val="000000" w:themeColor="text1"/>
        </w:rPr>
        <w:t xml:space="preserve">current </w:t>
      </w:r>
      <w:r w:rsidR="00511FFB" w:rsidRPr="00C46871">
        <w:rPr>
          <w:rFonts w:cs="Arial"/>
          <w:color w:val="000000" w:themeColor="text1"/>
        </w:rPr>
        <w:t xml:space="preserve">NICE criteria, based on the QALY shortfall calculations outlined in </w:t>
      </w:r>
      <w:r w:rsidR="00511FFB" w:rsidRPr="00C46871">
        <w:rPr>
          <w:rFonts w:cs="Arial"/>
          <w:b/>
          <w:color w:val="000000" w:themeColor="text1"/>
        </w:rPr>
        <w:t xml:space="preserve">Section </w:t>
      </w:r>
      <w:r w:rsidR="00C01871" w:rsidRPr="00C46871">
        <w:rPr>
          <w:rFonts w:cs="Arial"/>
          <w:b/>
          <w:color w:val="000000" w:themeColor="text1"/>
        </w:rPr>
        <w:fldChar w:fldCharType="begin"/>
      </w:r>
      <w:r w:rsidR="00C01871" w:rsidRPr="00C46871">
        <w:rPr>
          <w:rFonts w:cs="Arial"/>
          <w:b/>
          <w:color w:val="000000" w:themeColor="text1"/>
        </w:rPr>
        <w:instrText xml:space="preserve"> REF _Ref129302419 \n \h  \* MERGEFORMAT </w:instrText>
      </w:r>
      <w:r w:rsidR="00C01871" w:rsidRPr="00C46871">
        <w:rPr>
          <w:rFonts w:cs="Arial"/>
          <w:b/>
          <w:color w:val="000000" w:themeColor="text1"/>
        </w:rPr>
      </w:r>
      <w:r w:rsidR="00C01871" w:rsidRPr="00C46871">
        <w:rPr>
          <w:rFonts w:cs="Arial"/>
          <w:b/>
          <w:color w:val="000000" w:themeColor="text1"/>
        </w:rPr>
        <w:fldChar w:fldCharType="separate"/>
      </w:r>
      <w:r w:rsidR="00145F42">
        <w:rPr>
          <w:rFonts w:cs="Arial"/>
          <w:b/>
          <w:color w:val="000000" w:themeColor="text1"/>
        </w:rPr>
        <w:t>B.3.6</w:t>
      </w:r>
      <w:r w:rsidR="00C01871" w:rsidRPr="00C46871">
        <w:rPr>
          <w:rFonts w:cs="Arial"/>
          <w:b/>
          <w:color w:val="000000" w:themeColor="text1"/>
        </w:rPr>
        <w:fldChar w:fldCharType="end"/>
      </w:r>
      <w:r w:rsidR="00A544A5" w:rsidRPr="00C46871">
        <w:rPr>
          <w:rFonts w:cs="Arial"/>
          <w:color w:val="000000" w:themeColor="text1"/>
        </w:rPr>
        <w:t>,</w:t>
      </w:r>
      <w:r w:rsidRPr="00C46871">
        <w:rPr>
          <w:rFonts w:cs="Arial"/>
          <w:color w:val="000000" w:themeColor="text1"/>
        </w:rPr>
        <w:t xml:space="preserve"> a QALY weighting of 1.2</w:t>
      </w:r>
      <w:r w:rsidR="00B82DC4" w:rsidRPr="00C46871">
        <w:rPr>
          <w:rFonts w:cs="Arial"/>
          <w:color w:val="000000" w:themeColor="text1"/>
        </w:rPr>
        <w:t>x</w:t>
      </w:r>
      <w:r w:rsidRPr="00C46871">
        <w:rPr>
          <w:rFonts w:cs="Arial"/>
          <w:color w:val="000000" w:themeColor="text1"/>
        </w:rPr>
        <w:t xml:space="preserve"> is </w:t>
      </w:r>
      <w:r w:rsidR="005220CE" w:rsidRPr="00C46871">
        <w:rPr>
          <w:rFonts w:cs="Arial"/>
          <w:color w:val="000000" w:themeColor="text1"/>
        </w:rPr>
        <w:t>met</w:t>
      </w:r>
      <w:r w:rsidR="00F177DD" w:rsidRPr="00C46871">
        <w:rPr>
          <w:rFonts w:cs="Arial"/>
          <w:color w:val="000000" w:themeColor="text1"/>
        </w:rPr>
        <w:t xml:space="preserve">. </w:t>
      </w:r>
      <w:r w:rsidR="00E528D1" w:rsidRPr="00C46871">
        <w:rPr>
          <w:rFonts w:cs="Arial"/>
          <w:color w:val="000000" w:themeColor="text1"/>
        </w:rPr>
        <w:t xml:space="preserve">That said, </w:t>
      </w:r>
      <w:r w:rsidR="00453CEA" w:rsidRPr="00C46871">
        <w:rPr>
          <w:rFonts w:cs="Arial"/>
          <w:color w:val="000000" w:themeColor="text1"/>
        </w:rPr>
        <w:t>it should be</w:t>
      </w:r>
      <w:r w:rsidRPr="00C46871">
        <w:rPr>
          <w:rFonts w:cs="Arial"/>
          <w:color w:val="000000" w:themeColor="text1"/>
        </w:rPr>
        <w:t xml:space="preserve"> highlight</w:t>
      </w:r>
      <w:r w:rsidR="00453CEA" w:rsidRPr="00C46871">
        <w:rPr>
          <w:rFonts w:cs="Arial"/>
          <w:color w:val="000000" w:themeColor="text1"/>
        </w:rPr>
        <w:t>ed</w:t>
      </w:r>
      <w:r w:rsidRPr="00C46871">
        <w:rPr>
          <w:rFonts w:cs="Arial"/>
          <w:color w:val="000000" w:themeColor="text1"/>
        </w:rPr>
        <w:t xml:space="preserve"> that T-DXd</w:t>
      </w:r>
      <w:r w:rsidR="00E528D1" w:rsidRPr="00C46871">
        <w:rPr>
          <w:rFonts w:cs="Arial"/>
          <w:color w:val="000000" w:themeColor="text1"/>
        </w:rPr>
        <w:t xml:space="preserve"> </w:t>
      </w:r>
      <w:r w:rsidRPr="00C46871">
        <w:rPr>
          <w:rFonts w:cs="Arial"/>
          <w:color w:val="000000" w:themeColor="text1"/>
        </w:rPr>
        <w:t xml:space="preserve">would </w:t>
      </w:r>
      <w:r w:rsidR="00E528D1" w:rsidRPr="00C46871">
        <w:rPr>
          <w:rFonts w:cs="Arial"/>
          <w:color w:val="000000" w:themeColor="text1"/>
        </w:rPr>
        <w:t>have robustly met</w:t>
      </w:r>
      <w:r w:rsidRPr="00C46871">
        <w:rPr>
          <w:rFonts w:cs="Arial"/>
          <w:color w:val="000000" w:themeColor="text1"/>
        </w:rPr>
        <w:t xml:space="preserve"> the previous </w:t>
      </w:r>
      <w:r w:rsidR="00E62224" w:rsidRPr="00C46871">
        <w:rPr>
          <w:rFonts w:cs="Arial"/>
          <w:color w:val="000000" w:themeColor="text1"/>
        </w:rPr>
        <w:t xml:space="preserve">NICE </w:t>
      </w:r>
      <w:r w:rsidRPr="00C46871">
        <w:rPr>
          <w:rFonts w:cs="Arial"/>
          <w:color w:val="000000" w:themeColor="text1"/>
        </w:rPr>
        <w:t>EOL criteria in this indication and</w:t>
      </w:r>
      <w:r w:rsidRPr="00C46871">
        <w:rPr>
          <w:color w:val="000000" w:themeColor="text1"/>
        </w:rPr>
        <w:t xml:space="preserve"> would therefore have been appraised </w:t>
      </w:r>
      <w:r w:rsidR="0069711E" w:rsidRPr="00C46871">
        <w:rPr>
          <w:color w:val="000000" w:themeColor="text1"/>
        </w:rPr>
        <w:t xml:space="preserve">at </w:t>
      </w:r>
      <w:r w:rsidRPr="00C46871">
        <w:rPr>
          <w:color w:val="000000" w:themeColor="text1"/>
        </w:rPr>
        <w:t>a £50,000 per QALY gained ICER threshold</w:t>
      </w:r>
      <w:r w:rsidR="00936A1C" w:rsidRPr="00C46871">
        <w:rPr>
          <w:color w:val="000000" w:themeColor="text1"/>
        </w:rPr>
        <w:t xml:space="preserve"> and</w:t>
      </w:r>
      <w:r w:rsidR="00553C67" w:rsidRPr="00C46871">
        <w:rPr>
          <w:rFonts w:cs="Arial"/>
          <w:color w:val="000000" w:themeColor="text1"/>
        </w:rPr>
        <w:t xml:space="preserve"> </w:t>
      </w:r>
      <w:r w:rsidR="00453CEA" w:rsidRPr="00C46871">
        <w:rPr>
          <w:rFonts w:cs="Arial"/>
          <w:color w:val="000000" w:themeColor="text1"/>
        </w:rPr>
        <w:t>thus</w:t>
      </w:r>
      <w:r w:rsidR="00553C67" w:rsidRPr="00C46871">
        <w:rPr>
          <w:rFonts w:cs="Arial"/>
          <w:color w:val="000000" w:themeColor="text1"/>
        </w:rPr>
        <w:t xml:space="preserve"> </w:t>
      </w:r>
      <w:r w:rsidR="00553C67" w:rsidRPr="00C46871">
        <w:rPr>
          <w:color w:val="000000" w:themeColor="text1"/>
        </w:rPr>
        <w:t>t</w:t>
      </w:r>
      <w:r w:rsidRPr="00C46871">
        <w:rPr>
          <w:color w:val="000000" w:themeColor="text1"/>
        </w:rPr>
        <w:t xml:space="preserve">he </w:t>
      </w:r>
      <w:r w:rsidR="00E528D1" w:rsidRPr="00C46871">
        <w:rPr>
          <w:color w:val="000000" w:themeColor="text1"/>
        </w:rPr>
        <w:t xml:space="preserve">current </w:t>
      </w:r>
      <w:r w:rsidR="006B0B44" w:rsidRPr="00C46871">
        <w:rPr>
          <w:color w:val="000000" w:themeColor="text1"/>
        </w:rPr>
        <w:t>QALY shortfall</w:t>
      </w:r>
      <w:r w:rsidRPr="00C46871">
        <w:rPr>
          <w:color w:val="000000" w:themeColor="text1"/>
        </w:rPr>
        <w:t xml:space="preserve"> </w:t>
      </w:r>
      <w:r w:rsidR="001C4C59" w:rsidRPr="00C46871">
        <w:rPr>
          <w:color w:val="000000" w:themeColor="text1"/>
        </w:rPr>
        <w:t>methodology</w:t>
      </w:r>
      <w:r w:rsidR="00E528D1" w:rsidRPr="00C46871">
        <w:rPr>
          <w:color w:val="000000" w:themeColor="text1"/>
        </w:rPr>
        <w:t xml:space="preserve"> and cut-off threhsolds</w:t>
      </w:r>
      <w:r w:rsidR="001C4C59" w:rsidRPr="00C46871">
        <w:rPr>
          <w:color w:val="000000" w:themeColor="text1"/>
        </w:rPr>
        <w:t xml:space="preserve"> </w:t>
      </w:r>
      <w:r w:rsidRPr="00C46871">
        <w:rPr>
          <w:color w:val="000000" w:themeColor="text1"/>
        </w:rPr>
        <w:t xml:space="preserve">fails to </w:t>
      </w:r>
      <w:r w:rsidR="00AD4B01" w:rsidRPr="00C46871">
        <w:rPr>
          <w:color w:val="000000" w:themeColor="text1"/>
        </w:rPr>
        <w:t xml:space="preserve">adequately </w:t>
      </w:r>
      <w:r w:rsidRPr="00C46871">
        <w:rPr>
          <w:color w:val="000000" w:themeColor="text1"/>
        </w:rPr>
        <w:t>capture</w:t>
      </w:r>
      <w:r w:rsidR="00AD4B01" w:rsidRPr="00C46871">
        <w:rPr>
          <w:color w:val="000000" w:themeColor="text1"/>
        </w:rPr>
        <w:t xml:space="preserve"> the </w:t>
      </w:r>
      <w:r w:rsidR="00204DE1" w:rsidRPr="00C46871">
        <w:rPr>
          <w:color w:val="000000" w:themeColor="text1"/>
        </w:rPr>
        <w:t xml:space="preserve">extent of </w:t>
      </w:r>
      <w:r w:rsidR="0081464C" w:rsidRPr="00C46871">
        <w:rPr>
          <w:color w:val="000000" w:themeColor="text1"/>
        </w:rPr>
        <w:t xml:space="preserve">disease </w:t>
      </w:r>
      <w:r w:rsidR="00AD4B01" w:rsidRPr="00C46871">
        <w:rPr>
          <w:color w:val="000000" w:themeColor="text1"/>
        </w:rPr>
        <w:t xml:space="preserve">severity </w:t>
      </w:r>
      <w:r w:rsidR="0022262C" w:rsidRPr="00C46871">
        <w:rPr>
          <w:color w:val="000000" w:themeColor="text1"/>
        </w:rPr>
        <w:t>in</w:t>
      </w:r>
      <w:r w:rsidR="00AD4B01" w:rsidRPr="00C46871">
        <w:rPr>
          <w:color w:val="000000" w:themeColor="text1"/>
        </w:rPr>
        <w:t xml:space="preserve"> th</w:t>
      </w:r>
      <w:r w:rsidR="00E04C3E" w:rsidRPr="00C46871">
        <w:rPr>
          <w:color w:val="000000" w:themeColor="text1"/>
        </w:rPr>
        <w:t>is</w:t>
      </w:r>
      <w:r w:rsidR="00AD4B01" w:rsidRPr="00C46871">
        <w:rPr>
          <w:color w:val="000000" w:themeColor="text1"/>
        </w:rPr>
        <w:t xml:space="preserve"> condition</w:t>
      </w:r>
      <w:r w:rsidR="00453CEA" w:rsidRPr="00C46871">
        <w:rPr>
          <w:color w:val="000000" w:themeColor="text1"/>
        </w:rPr>
        <w:t xml:space="preserve"> to a similar level</w:t>
      </w:r>
      <w:r w:rsidR="00E04C3E" w:rsidRPr="00C46871">
        <w:rPr>
          <w:color w:val="000000" w:themeColor="text1"/>
        </w:rPr>
        <w:t xml:space="preserve">. </w:t>
      </w:r>
    </w:p>
    <w:p w14:paraId="793F9573" w14:textId="7A25DC9E" w:rsidR="00534A32" w:rsidRPr="00C46871" w:rsidRDefault="00534A32" w:rsidP="006F08DC">
      <w:pPr>
        <w:pStyle w:val="NICEnormal"/>
        <w:rPr>
          <w:color w:val="000000" w:themeColor="text1"/>
        </w:rPr>
      </w:pPr>
      <w:r w:rsidRPr="00C46871">
        <w:rPr>
          <w:color w:val="000000" w:themeColor="text1"/>
        </w:rPr>
        <w:t>HER2-low u/mBC is a severe, terminal condition, associated with rapid disease progression and substantial physical and mental burden.</w:t>
      </w:r>
      <w:r w:rsidRPr="00C46871">
        <w:rPr>
          <w:color w:val="000000" w:themeColor="text1"/>
        </w:rPr>
        <w:fldChar w:fldCharType="begin"/>
      </w:r>
      <w:r w:rsidR="00CA6345" w:rsidRPr="00C46871">
        <w:rPr>
          <w:color w:val="000000" w:themeColor="text1"/>
        </w:rPr>
        <w:instrText xml:space="preserve"> ADDIN ZOTERO_ITEM CSL_CITATION {"citationID":"hAkcywsz","properties":{"formattedCitation":"\\super 27, 29,83\\nosupersub{}","plainCitation":"27, 29,83","noteIndex":0},"citationItems":[{"id":65906,"uris":["http://zotero.org/groups/4797619/items/7P42XIN7"],"itemData":{"id":65906,"type":"article-journal","abstract":"The clinical progression patterns of metastatic breast cancer (MBC) are heterogeneous; patients experience acute and stable phases at different time points. The acute phase consists of rapid progressive symptomatic changes, whereas in the stable phase, patients have relatively low symptom burden. Therefore, personalized interdisciplinary care is essential. The optimal palliative or supportive care in MBC is to provide comprehensive care that is individually prioritized to the patient's disease status. The purpose of this review is to provide a practical guide for oncologists to understand the priorities for supportive care for patients with MBC in the two phases. We note that for better decision making in patient care, performance status should be broadened to consider not only physical status but also psychosocial needs and cognitive condition. We summarize the clinical importance of physical symptom control, psychosocial support, physical activity, nutrition support, and advance care planning. For optimal care, we present palliative or supportive care checklists according to the disease progression phase, combining the limited evidence with expert input. In the acute phase, close monitoring of the patient's status and symptom management take priority. In the stable phase, the focus can shift to maintenance or improvement of physical strength and emotional condition. Finally, we discuss future directions and unmet needs in providing the best supportive care for patients with MBC.","container-title":"JCO oncology practice","DOI":"10.1200/OP.20.00622","ISSN":"2688-1535","issue":"4","journalAbbreviation":"JCO Oncol Pract","language":"eng","note":"PMID: 33492987\nPMCID: PMC8258141","page":"177-183","source":"PubMed","title":"Optimal Supportive Care for Patients With Metastatic Breast Cancer According to Their Disease Progression Phase","volume":"17","author":[{"family":"Kida","given":"Kumiko"},{"family":"Olver","given":"Ian"},{"family":"Yennu","given":"Sriram"},{"family":"Tripathy","given":"Debu"},{"family":"Ueno","given":"Naoto T."}],"issued":{"date-parts":[["2021",4]]}}},{"id":65899,"uris":["http://zotero.org/groups/4797619/items/725ZVB2J"],"itemData":{"id":65899,"type":"article-journal","abstract":"BACKGROUND: Physical symptom burden and psychologic symptoms are highly prevalent in women with breast cancer. The Distress Thermometer and Problem List (DT&amp;PL) is commonly used in oncology clinics to screen for distress and its accompanying Physical Problem List (PPL) identifies pertinent physical symptoms.\nOBJECTIVE: We sought to identify physical symptoms found on the PPL and evaluate whether they are associated with psychologic symptoms in women with breast cancer.\nMETHODS: Patients (n=125) with breast cancer (Stage 0-IV) completed the DT&amp;PL and the Hospital Anxiety and Depression Scale. They reported bother from any of 22 PPL items on the DT&amp;PL. PPL items were assessed for their associations with distress, Hospital Anxiety and Depression Scale-anxiety, and Hospital Anxiety and Depression Scale-depression. The total number of PPL items endorsed per patient was evaluated for associations with psychologic outcomes, controlling for relevant demographic factors.\nRESULTS: Most physical problems were associated with depression (n = 13, 87%), and anxiety (n = 8, 53%), but fewer were associated with distress (n = 4, 27%). In multivariate analyses, a higher total number of problems was associated with younger age (p = 0.03) and more depressive symptoms (p &lt; 0.001).\nCONCLUSION: Physical symptom burden detected by the DT&amp;PL co-occurs with depression most commonly and to a lesser extent anxiety and distress in women with breast cancer. Depression is associated with more types of physical symptoms and a total number of physical symptoms. The endorsement of multiple PPL items on the DT&amp;PL should prompt an evaluation for depression. Similarly, depression should prompt the evaluation and treatment of physical symptom burden.","container-title":"Psychosomatics","DOI":"10.1016/j.psym.2018.01.005","ISSN":"1545-7206","issue":"5","journalAbbreviation":"Psychosomatics","language":"eng","note":"PMID: 29525522\nPMCID: PMC6067989","page":"464-471","source":"PubMed","title":"Physical Symptom Burden and Its Association With Distress, Anxiety, and Depression in Breast Cancer","volume":"59","author":[{"family":"McFarland","given":"Daniel C."},{"family":"Shaffer","given":"Kelly M."},{"family":"Tiersten","given":"Amy"},{"family":"Holland","given":"Jimmie"}],"issued":{"date-parts":[["2018",10]]}}},{"id":65898,"uris":["http://zotero.org/groups/4797619/items/Q2XRFZMQ"],"itemData":{"id":65898,"type":"article-journal","abstract":"BACKGROUND: Young adults with cancer experience disruptions in their normal developmental trajectories and commonly experience psychologic distress related to their diagnoses. Young women with metastatic breast cancer (MBC) are at particular risk of adverse mental health outcomes.\nOBJECTIVE: We sought to determine the prevalence of and factors associated with anxiety and depression symptoms in young women with newly diagnosed de novo MBC.\nMETHODS: A total of 54 women with newly diagnosed de novo MBC were identified from an ongoing, prospective, multicenter cohort of women diagnosed with breast cancer at age &lt;40. Depression and anxiety symptoms were assessed using the Hospital Anxiety and Depression Scale (HADS). Items assessing socio-demographics, physical symptom burden, social support, and disease and treatment history, with complementary medical record review, were used to assess variables potentially associated with anxiety and depression symptoms.\nRESULTS: Mean HADS Depression score was 4.4 (standard deviation = 3.7) and mean HADS Anxiety score was 7.9 (standard deviation = 5.0). Eleven (20%) women scored ≥8 on the HADS Depression subscale, the suggested threshold for depression/anxiety screening, and 24 (44%) women scored ≥8 on the HADS Anxiety subscale. In a multivariable model of anxiety, higher physical symptom scores (odds ratio = 4.41, p = 0.005) was significantly associated with higher anxiety scores. None of the other variables improved the model fit.\nCONCLUSION: In this study, a considerable proportion of young women with newly diagnosed MBC experienced anxiety symptoms, although depression was less common. Future strategies focused on distress reduction in young MBC patients should focus on physical symptom management as well as anxiety identification and management.","container-title":"Psychosomatics","DOI":"10.1016/j.psym.2018.01.007","ISSN":"1545-7206","issue":"3","journalAbbreviation":"Psychosomatics","language":"eng","note":"PMID: 29525523\nPMCID: PMC5935568","page":"251-258","source":"PubMed","title":"Anxiety and Depression in Young Women With Metastatic Breast Cancer: A Cross-Sectional Study","title-short":"Anxiety and Depression in Young Women With Metastatic Breast Cancer","volume":"59","author":[{"family":"Park","given":"Eliza M."},{"family":"Gelber","given":"Shari"},{"family":"Rosenberg","given":"Shoshana M."},{"family":"Seah","given":"Davinia S. E."},{"family":"Schapira","given":"Lidia"},{"family":"Come","given":"Steven E."},{"family":"Partridge","given":"Ann H."}],"issued":{"date-parts":[["2018",6]]}}}],"schema":"https://github.com/citation-style-language/schema/raw/master/csl-citation.json"} </w:instrText>
      </w:r>
      <w:r w:rsidRPr="00C46871">
        <w:rPr>
          <w:color w:val="000000" w:themeColor="text1"/>
        </w:rPr>
        <w:fldChar w:fldCharType="separate"/>
      </w:r>
      <w:r w:rsidR="00CA6345" w:rsidRPr="00C46871">
        <w:rPr>
          <w:rFonts w:cs="Arial"/>
          <w:color w:val="000000" w:themeColor="text1"/>
          <w:szCs w:val="24"/>
          <w:vertAlign w:val="superscript"/>
        </w:rPr>
        <w:t>27, 29,83</w:t>
      </w:r>
      <w:r w:rsidRPr="00C46871">
        <w:rPr>
          <w:color w:val="000000" w:themeColor="text1"/>
        </w:rPr>
        <w:fldChar w:fldCharType="end"/>
      </w:r>
      <w:r w:rsidRPr="00C46871">
        <w:rPr>
          <w:color w:val="000000" w:themeColor="text1"/>
        </w:rPr>
        <w:t xml:space="preserve"> There are currently no effective, targeted treatment options for patients with HER2-low</w:t>
      </w:r>
      <w:r w:rsidR="00567C9D" w:rsidRPr="00C46871">
        <w:rPr>
          <w:color w:val="000000" w:themeColor="text1"/>
        </w:rPr>
        <w:t>/</w:t>
      </w:r>
      <w:r w:rsidRPr="00C46871">
        <w:rPr>
          <w:color w:val="000000" w:themeColor="text1"/>
        </w:rPr>
        <w:t xml:space="preserve">HR-positive u/mBC </w:t>
      </w:r>
      <w:r w:rsidR="00425702" w:rsidRPr="00C46871">
        <w:rPr>
          <w:color w:val="000000" w:themeColor="text1"/>
        </w:rPr>
        <w:t xml:space="preserve">after prior chemotherapy </w:t>
      </w:r>
      <w:r w:rsidRPr="00C46871">
        <w:rPr>
          <w:color w:val="000000" w:themeColor="text1"/>
        </w:rPr>
        <w:t>and effective treatment options in HER2-low</w:t>
      </w:r>
      <w:r w:rsidR="00567C9D" w:rsidRPr="00C46871">
        <w:rPr>
          <w:color w:val="000000" w:themeColor="text1"/>
        </w:rPr>
        <w:t>/</w:t>
      </w:r>
      <w:r w:rsidRPr="00C46871">
        <w:rPr>
          <w:color w:val="000000" w:themeColor="text1"/>
        </w:rPr>
        <w:t>HR-negative u/mBC are limited.</w:t>
      </w:r>
      <w:r w:rsidRPr="00C46871">
        <w:rPr>
          <w:color w:val="000000" w:themeColor="text1"/>
        </w:rPr>
        <w:fldChar w:fldCharType="begin"/>
      </w:r>
      <w:r w:rsidR="00CA6345" w:rsidRPr="00C46871">
        <w:rPr>
          <w:color w:val="000000" w:themeColor="text1"/>
        </w:rPr>
        <w:instrText xml:space="preserve"> ADDIN ZOTERO_ITEM CSL_CITATION {"citationID":"JXfIovsr","properties":{"formattedCitation":"\\super 73\\nosupersub{}","plainCitation":"73","noteIndex":0},"citationItems":[{"id":66427,"uris":["http://zotero.org/groups/4797619/items/KMLD9YZX"],"itemData":{"id":66427,"type":"article-journal","abstract":"BACKGROUND: We evaluated the influence of HER2 gene amplification, as determined by fluorescence in situ hybridization (FISH), on clinical outcomes (objective response rates, time to disease progression, and overall survival time) in women with metastatic breast cancer treated with trastuzumab in 3 clinical trials. Breast cancer tissue specimens were evaluated using a direct labeled, dual-probe FISH assay.\nMATERIALS AND METHODS: Specimens with a HER2:CEP17 ratio of &gt; or = 2:0 were considered positive for gene amplification. All specimens had previously demonstrated overexpression of HER2 protein at the 2+ or 3+ level by immunohistochemistry using the Clinical Trials Assay. Response rate, time to disease progression, and survival times were then compared between the FISH-positive and FISH-negative cohorts in each of the 3 clinical trials.\nRESULTS: Informative FISH results were obtained in 765 (96%) of the 799 patients enrolled in the 3 clinical trials. Overall, 596 (78%) were FISH-positive and 169 (22%) were FISH-negative. The proportion of FISH-positive patients was comparable in all 3 trials. Clinical benefit from trastuzumab therapy appeared to be restricted to patients with FISH-positive metastatic breast cancer. In each clinical trial, the cohort of FISH-positive patients had higher overall response rates and longer durations of survival compared with FISH-negative patients.\nCONCLUSION: These data indicate that assessment of HER2 amplification by FISH is the preferred method to select patients for trastuzumab therapy.","container-title":"Clinical Breast Cancer","DOI":"10.3816/CBC.2005.n.026","ISSN":"1526-8209","issue":"3","journalAbbreviation":"Clin Breast Cancer","language":"eng","note":"PMID: 16137435","page":"240-246","source":"PubMed","title":"Evaluation of clinical outcomes according to HER2 detection by fluorescence in situ hybridization in women with metastatic breast cancer treated with trastuzumab","volume":"6","author":[{"family":"Mass","given":"Robert D."},{"family":"Press","given":"Michael F."},{"family":"Anderson","given":"Steven"},{"family":"Cobleigh","given":"Melody A."},{"family":"Vogel","given":"Charles L."},{"family":"Dybdal","given":"Noël"},{"family":"Leiberman","given":"Grazyna"},{"family":"Slamon","given":"Dennis J."}],"issued":{"date-parts":[["2005",8]]}}}],"schema":"https://github.com/citation-style-language/schema/raw/master/csl-citation.json"} </w:instrText>
      </w:r>
      <w:r w:rsidRPr="00C46871">
        <w:rPr>
          <w:color w:val="000000" w:themeColor="text1"/>
        </w:rPr>
        <w:fldChar w:fldCharType="separate"/>
      </w:r>
      <w:r w:rsidR="00FD57F4" w:rsidRPr="00C46871">
        <w:rPr>
          <w:rFonts w:cs="Arial"/>
          <w:color w:val="000000" w:themeColor="text1"/>
          <w:szCs w:val="24"/>
          <w:vertAlign w:val="superscript"/>
        </w:rPr>
        <w:t>73</w:t>
      </w:r>
      <w:r w:rsidRPr="00C46871">
        <w:rPr>
          <w:color w:val="000000" w:themeColor="text1"/>
        </w:rPr>
        <w:fldChar w:fldCharType="end"/>
      </w:r>
      <w:r w:rsidRPr="00C46871">
        <w:rPr>
          <w:color w:val="000000" w:themeColor="text1"/>
        </w:rPr>
        <w:t xml:space="preserve"> Non-targeted chemotherapies are associated with poor outcomes; in patients currently classified as HER2-negative/HR-positive u/mBC, non-targeted chemotherapy is associated with median PFS of 3.6–4.2 months and median OS of 11.5–16.1 months.</w:t>
      </w:r>
      <w:r w:rsidRPr="00C46871">
        <w:rPr>
          <w:color w:val="000000" w:themeColor="text1"/>
        </w:rPr>
        <w:fldChar w:fldCharType="begin"/>
      </w:r>
      <w:r w:rsidR="00CA6345" w:rsidRPr="00C46871">
        <w:rPr>
          <w:color w:val="000000" w:themeColor="text1"/>
        </w:rPr>
        <w:instrText xml:space="preserve"> ADDIN ZOTERO_ITEM CSL_CITATION {"citationID":"CsSQtQLr","properties":{"formattedCitation":"\\super 43\\uc0\\u8211{}47\\nosupersub{}","plainCitation":"43–47","noteIndex":0},"citationItems":[{"id":66149,"uris":["http://zotero.org/groups/4797619/items/8M7DF85G"],"itemData":{"id":66149,"type":"article-journal","abstract":"BACKGROUND: Based on data from two multicenter, phase III clinical trials (Studies 301 and 305), eribulin (a microtubule dynamics inhibitor) is indicated in the European Union (EU) for patients with locally advanced or metastatic breast cancer (MBC) after ≥1 prior chemotherapy for advanced disease, including an anthracycline and a taxane in either the adjuvant or metastatic setting. Data from Studies 305 and 301 were pooled to investigate the efficacy of eribulin in various subgroups of patients who matched the EU label, including those with human epidermal growth factor receptor 2 (HER2)-negative and triple-negative disease.\nPATIENTS AND METHODS: In Study 305 (NCT00388726), patients were randomized 2:1 to eribulin mesylate 1.4 mg/m(2) (equivalent to eribulin 1.23 mg/m(2) [expressed as free base]) intravenously on days 1 and 8 every 21 days] or treatment of physician's choice after 2-5 prior chemotherapies (≥2 for advanced disease), including an anthracycline and a taxane (in early/advanced setting). In Study 301 (NCT00337103), patients were randomized 1:1 to eribulin (as above) or capecitabine (1.25 g/m(2) orally twice daily on days 1-14 every 21 days) following ≤3 prior chemotherapies (≤2 for advanced disease), including an anthracycline and a taxane. Efficacy end points were investigated in the intent-to-treat population and subgroups, pooled as discussed above.\nRESULTS: Overall, 1644 patients were included (eribulin: 946; control: 698); baseline characteristics were well matched. Overall survival was significantly longer with eribulin versus control (P &lt; 0.01), as were progression-free survival and clinical benefit rate (both P &lt; 0.05). Significant survival benefits with eribulin versus control were observed in a wide range of patient subgroups, including HER2-negative or triple-negative disease (all P &lt; 0.05).\nCONCLUSION: Our findings underline the survival benefit achieved by eribulin used according to EU label in the overall MBC population and in various subgroups of interest, including patients with HER2-negative and triple-negative disease.","container-title":"Annals of Oncology: Official Journal of the European Society for Medical Oncology","DOI":"10.1093/annonc/mdw203","ISSN":"1569-8041","issue":"8","journalAbbreviation":"Ann Oncol","language":"eng","note":"PMID: 27177860\nPMCID: PMC4959925","page":"1525-1531","source":"PubMed","title":"Pooled analyses of eribulin in metastatic breast cancer patients with at least one prior chemotherapy","volume":"27","author":[{"family":"Pivot","given":"X."},{"family":"Marmé","given":"F."},{"family":"Koenigsberg","given":"R."},{"family":"Guo","given":"M."},{"family":"Berrak","given":"E."},{"family":"Wolfer","given":"A."}],"issued":{"date-parts":[["2016",8]]}}},{"id":66152,"uris":["http://zotero.org/groups/4797619/items/K2TXU8UJ"],"itemData":{"id":66152,"type":"article-journal","abstract":"BACKGROUND: Treatments with survival benefit are greatly needed for women with heavily pretreated metastatic breast cancer. Eribulin mesilate is a non-taxane microtubule dynamics inhibitor with a novel mode of action. We aimed to compare overall survival of heavily pretreated patients receiving eribulin versus currently available treatments.\nMETHODS: In this phase 3 open-label study, women with locally recurrent or metastatic breast cancer were randomly allocated (2:1) to eribulin mesilate (1·4 mg/m(2) administered intravenously during 2-5 min on days 1 and 8 of a 21-day cycle) or treatment of physician's choice (TPC). Patients had received between two and five previous chemotherapy regimens (two or more for advanced disease), including an anthracycline and a taxane, unless contraindicated. Randomisation was stratified by geographical region, previous capecitabine treatment, and human epidermal growth factor receptor 2 status. Patients and investigators were not masked to treatment allocation. The primary endpoint was overall survival in the intention-to-treat population. This study is registered at ClinicalTrials.gov, number NCT00388726.\nFINDINGS: 762 women were randomly allocated to treatment groups (508 eribulin, 254 TPC). Overall survival was significantly improved in women assigned to eribulin (median 13·1 months, 95% CI 11·8-14·3) compared with TPC (10·6 months, 9·3-12·5; hazard ratio 0·81, 95% CI 0·66-0·99; p=0·041). The most common adverse events in both groups were asthenia or fatigue (270 [54%] of 503 patients on eribulin and 98 [40%] of 247 patients on TPC at all grades) and neutropenia (260 [52%] patients receiving eribulin and 73 [30%] of those on TPC at all grades). Peripheral neuropathy was the most common adverse event leading to discontinuation from eribulin, occurring in 24 (5%) of 503 patients.\nINTERPRETATION: Eribulin showed a significant and clinically meaningful improvement in overall survival compared with TPC in women with heavily pretreated metastatic breast cancer. This finding challenges the notion that improved overall survival is an unrealistic expectation during evaluation of new anticancer therapies in the refractory setting.\nFUNDING: Eisai.","container-title":"Lancet (London, England)","DOI":"10.1016/S0140-6736(11)60070-6","ISSN":"1474-547X","issue":"9769","journalAbbreviation":"Lancet","language":"eng","note":"PMID: 21376385","page":"914-923","source":"PubMed","title":"Eribulin monotherapy versus treatment of physician's choice in patients with metastatic breast cancer (EMBRACE): a phase 3 open-label randomised study","title-short":"Eribulin monotherapy versus treatment of physician's choice in patients with metastatic breast cancer (EMBRACE)","volume":"377","author":[{"family":"Cortes","given":"Javier"},{"family":"O'Shaughnessy","given":"Joyce"},{"family":"Loesch","given":"David"},{"family":"Blum","given":"Joanne L."},{"family":"Vahdat","given":"Linda T."},{"family":"Petrakova","given":"Katarina"},{"family":"Chollet","given":"Philippe"},{"family":"Manikas","given":"Alexey"},{"family":"Diéras","given":"Veronique"},{"family":"Delozier","given":"Thierry"},{"family":"Vladimirov","given":"Vladimir"},{"family":"Cardoso","given":"Fatima"},{"family":"Koh","given":"Han"},{"family":"Bougnoux","given":"Philippe"},{"family":"Dutcus","given":"Corina E."},{"family":"Seegobin","given":"Seth"},{"family":"Mir","given":"Denis"},{"family":"Meneses","given":"Nicole"},{"family":"Wanders","given":"Jantien"},{"family":"Twelves","given":"Chris"},{"literal":"EMBRACE (Eisai Metastatic Breast Cancer Study Assessing Physician's Choice Versus E7389) investigators"}],"issued":{"date-parts":[["2011",3,12]]}}},{"id":66151,"uris":["http://zotero.org/groups/4797619/items/RLDAE79H"],"itemData":{"id":66151,"type":"article-journal","abstract":"PURPOSE AND METHODS: Our secondary analyses compared survival with eribulin versus capecitabine in various patient subgroups from a phase 3, open-label, randomized study. Eligible women aged ≥18 years with advanced/metastatic breast cancer and ≤3 prior chemotherapies (≤2 for advanced/metastatic disease), including an anthracycline and taxane, were randomized 1:1 to intravenous eribulin mesylate 1.4 mg/m(2) on days 1 and 8 or twice-daily oral capecitabine 1250 mg/m(2) on days 1-14 (21-day cycles).\nRESULTS: In the intent-to-treat population (eribulin 554 and capecitabine 548), overall survival appeared longer with eribulin than capecitabine in various subgroups, including patients with human epidermal growth factor receptor 2-negative (15.9 versus 13.5 months, respectively), estrogen receptor-negative (14.4 versus 10.5 months, respectively), and triple-negative (14.4 versus 9.4 months, respectively) disease. Progression-free survival was similar between the treatment arms.\nCONCLUSIONS: Patients with advanced/metastatic breast cancer and human epidermal growth factor receptor 2-, estrogen receptor-, or triple-negative disease may gain particular benefit from eribulin as first-, second-, and third-line chemotherapies.\nTRIAL REGISTRATION PRIMARY STUDY: This study reports the subgroup analyses of eribulin versus capecitabine from a phase 3, open-label, randomized study (www.clinicaltrials.gov; ClinicalTrials.gov identifier: NCT00337103).","container-title":"Breast Cancer: Basic and Clinical Research","DOI":"10.4137/BCBCR.S39615","ISSN":"1178-2234","journalAbbreviation":"Breast Cancer (Auckl)","language":"eng","note":"PMID: 27398025\nPMCID: PMC4927108","page":"77-84","source":"PubMed","title":"Subgroup Analyses from a Phase 3, Open-Label, Randomized Study of Eribulin Mesylate Versus Capecitabine in Pretreated Patients with Advanced or Metastatic Breast Cancer","volume":"10","author":[{"family":"Twelves","given":"Chris"},{"family":"Awada","given":"Ahmad"},{"family":"Cortes","given":"Javier"},{"family":"Yelle","given":"Louise"},{"family":"Velikova","given":"Galina"},{"family":"Olivo","given":"Martin S."},{"family":"Song","given":"James"},{"family":"Dutcus","given":"Corina E."},{"family":"Kaufman","given":"Peter A."}],"issued":{"date-parts":[["2016"]]}}},{"id":66150,"uris":["http://zotero.org/groups/4797619/items/FWP3JYLN"],"itemData":{"id":66150,"type":"article-journal","abstract":"This post hoc subgroup analysis of a large phase 3 study compared the efficacy and safety of eribulin versus capecitabine in patients with human epidermal growth factor receptor 2 (HER2)-negative metastatic breast cancer who received second-line treatment. In the phase 3 study, women with advanced/metastatic breast cancer and ≤ 3 prior chemotherapies were randomized 1:1 to eribulin mesilate 1.4 mg/m2 intravenously on days 1 and 8, or twice-daily oral capecitabine 1.25 g/m2 on days 1-14 (21-day cycles). This analysis included 392 patients. Median overall survival was longer in patients receiving eribulin compared with capecitabine (16.1 vs 13.5 months, respectively; HR 0.77, P = 0.026). Median progression-free survival and response rates were similar between arms. Both treatments had manageable safety profiles.","container-title":"Breast Cancer (Tokyo, Japan)","DOI":"10.1007/s12282-017-0826-4","ISSN":"1880-4233","issue":"3","journalAbbreviation":"Breast Cancer","language":"eng","note":"PMID: 29302858\nPMCID: PMC5906517","page":"370-374","source":"PubMed","title":"Subgroup analysis of patients with HER2-negative metastatic breast cancer in the second-line setting from a phase 3, open-label, randomized study of eribulin mesilate versus capecitabine","volume":"25","author":[{"family":"Pivot","given":"Xavier"},{"family":"Im","given":"Seock Ah"},{"family":"Guo","given":"Matthew"},{"family":"Marmé","given":"Frederik"}],"issued":{"date-parts":[["2018",5]]}}},{"id":66278,"uris":["http://zotero.org/groups/4797619/items/L9C8M9U3"],"itemData":{"id":66278,"type":"article-journal","abstract":"BACKGROUND: Use of antiangiogenic agents in treatment of metastatic breast cancer (MBC) remains controversial. We evaluated the efficacy and safety of ramucirumab and eribulin versus eribulin alone as third- to fifth-line therapy in women with advanced breast cancer.\nPATIENTS AND METHODS: In this randomized (1:1), open-label, phase II study, US women aged 18 years or older with 2 to 4 previous chemotherapy regimens for locally recurrent or MBC, previous anthracycline and taxane treatment, and Eastern Cooperative Oncology Group performance status of 0 or 1 received ramucirumab with eribulin or eribulin alone in 21-day cycles (eribulin 1.4 mg/m2 intravenously on days 1 and 8; ramucirumab 10 mg/kg intravenously on day 1). Randomization was stratified according to previous antiangiogenic therapy and triple-negative status. The primary end point was progression-free survival (PFS) in the intention to treat population.\nRESULTS: One hundred forty-one women were randomized to ramucirumab with eribulin (n = 71) or eribulin alone (n = 70). Median PFS for ramucirumab with eribulin was 4.4 months (95% confidence interval [CI], 3.1-6.7) compared with 4.1 months (95% CI, 3.2-5.6) for eribulin (hazard ratio [HR], 0.83; 95% CI, 0.56-1.23; P = .35). Median overall survival in patients who received ramucirumab with eribulin was 13.5 months (95% CI, 10.4-17.9) compared with 11.5 months (95% CI, 9.0-17.3) in patients who received eribulin alone (HR, 0.91; 95% CI, 0.59-1.41; P = .68); objective response rate was 21% (13 of 62 patients) for the combination and 28% (17 of 60 patients) for eribulin alone. No unexpected toxicity was identified for the combination.\nCONCLUSION: Ramucirumab combined with eribulin did not significantly improve PFS in advanced MBC.","container-title":"Clinical Breast Cancer","DOI":"10.1016/j.clbc.2016.07.005","ISSN":"1938-0666","issue":"6","journalAbbreviation":"Clin Breast Cancer","language":"eng","note":"PMID: 27569274","page":"471-479.e1","source":"PubMed","title":"Ramucirumab With Eribulin Versus Eribulin in Locally Recurrent or Metastatic Breast Cancer Previously Treated With Anthracycline and Taxane Therapy: A Multicenter, Randomized, Phase II Study","title-short":"Ramucirumab With Eribulin Versus Eribulin in Locally Recurrent or Metastatic Breast Cancer Previously Treated With Anthracycline and Taxane Therapy","volume":"16","author":[{"family":"Yardley","given":"Denise A."},{"family":"Reeves","given":"James"},{"family":"Dees","given":"E. Claire"},{"family":"Osborne","given":"Cynthia"},{"family":"Paul","given":"Devchand"},{"family":"Ademuyiwa","given":"Foluso"},{"family":"Soliman","given":"Hatem"},{"family":"Guthrie","given":"Troy"},{"family":"Andersen","given":"Jay"},{"family":"Krekow","given":"Lea"},{"family":"Choksi","given":"Janak"},{"family":"Daniel","given":"Brooke"},{"family":"Danso","given":"Michael"},{"family":"Favret","given":"Anne"},{"family":"Oommen","given":"Sanjay"},{"family":"Brufsky","given":"Adam"},{"family":"Bromund","given":"Jane L."},{"family":"Lin","given":"Yong"},{"family":"Ibrahim","given":"Ayman B."},{"family":"Richards","given":"Paul D."}],"issued":{"date-parts":[["2016",12]]}}}],"schema":"https://github.com/citation-style-language/schema/raw/master/csl-citation.json"} </w:instrText>
      </w:r>
      <w:r w:rsidRPr="00C46871">
        <w:rPr>
          <w:color w:val="000000" w:themeColor="text1"/>
        </w:rPr>
        <w:fldChar w:fldCharType="separate"/>
      </w:r>
      <w:r w:rsidR="00FD57F4" w:rsidRPr="00C46871">
        <w:rPr>
          <w:rFonts w:cs="Arial"/>
          <w:color w:val="000000" w:themeColor="text1"/>
          <w:szCs w:val="24"/>
          <w:vertAlign w:val="superscript"/>
        </w:rPr>
        <w:t>43–47</w:t>
      </w:r>
      <w:r w:rsidRPr="00C46871">
        <w:rPr>
          <w:color w:val="000000" w:themeColor="text1"/>
        </w:rPr>
        <w:fldChar w:fldCharType="end"/>
      </w:r>
      <w:r w:rsidRPr="00C46871">
        <w:rPr>
          <w:color w:val="000000" w:themeColor="text1"/>
        </w:rPr>
        <w:t xml:space="preserve"> </w:t>
      </w:r>
      <w:r w:rsidR="003025A0" w:rsidRPr="00C46871">
        <w:rPr>
          <w:rFonts w:eastAsia="Arial" w:cs="Arial"/>
          <w:color w:val="000000" w:themeColor="text1"/>
        </w:rPr>
        <w:t xml:space="preserve">Outcomes are even poorer in HER2-negative/HR-negative u/mBC patients, </w:t>
      </w:r>
      <w:r w:rsidR="003025A0" w:rsidRPr="00C46871">
        <w:rPr>
          <w:rFonts w:cs="Arial"/>
          <w:color w:val="000000" w:themeColor="text1"/>
        </w:rPr>
        <w:t xml:space="preserve">where median PFS is </w:t>
      </w:r>
      <w:r w:rsidR="003025A0" w:rsidRPr="00C46871">
        <w:rPr>
          <w:color w:val="000000" w:themeColor="text1"/>
        </w:rPr>
        <w:t>1.7–2.8</w:t>
      </w:r>
      <w:r w:rsidR="003025A0" w:rsidRPr="00C46871">
        <w:rPr>
          <w:rFonts w:cs="Arial"/>
          <w:color w:val="000000" w:themeColor="text1"/>
        </w:rPr>
        <w:t xml:space="preserve"> months and median OS is </w:t>
      </w:r>
      <w:r w:rsidR="003025A0" w:rsidRPr="00C46871">
        <w:rPr>
          <w:color w:val="000000" w:themeColor="text1"/>
        </w:rPr>
        <w:t xml:space="preserve">6.7–12.4 </w:t>
      </w:r>
      <w:r w:rsidR="003025A0" w:rsidRPr="00C46871">
        <w:rPr>
          <w:rFonts w:cs="Arial"/>
          <w:color w:val="000000" w:themeColor="text1"/>
        </w:rPr>
        <w:t>months.</w:t>
      </w:r>
      <w:r w:rsidR="003025A0" w:rsidRPr="00C46871">
        <w:rPr>
          <w:rFonts w:cs="Arial"/>
          <w:color w:val="000000" w:themeColor="text1"/>
        </w:rPr>
        <w:fldChar w:fldCharType="begin"/>
      </w:r>
      <w:r w:rsidR="00CA6345" w:rsidRPr="00C46871">
        <w:rPr>
          <w:rFonts w:cs="Arial"/>
          <w:color w:val="000000" w:themeColor="text1"/>
        </w:rPr>
        <w:instrText xml:space="preserve"> ADDIN ZOTERO_ITEM CSL_CITATION {"citationID":"RzTc8ym4","properties":{"formattedCitation":"\\super 43,48\\uc0\\u8211{}50\\nosupersub{}","plainCitation":"43,48–50","noteIndex":0},"citationItems":[{"id":66444,"uris":["http://zotero.org/groups/4797619/items/44JAGUPG"],"itemData":{"id":66444,"type":"article-journal","container-title":"New England Journal of Medicine","DOI":"10.1056/NEJMoa2028485","ISSN":"0028-4793","issue":"16","note":"publisher: Massachusetts Medical Society\n_eprint: https://doi.org/10.1056/NEJMoa2028485\nPMID: 33882206","page":"1529-1541","source":"Taylor and Francis+NEJM","title":"Sacituzumab Govitecan in Metastatic Triple-Negative Breast Cancer","volume":"384","author":[{"family":"Bardia","given":"Aditya"},{"family":"Hurvitz","given":"Sara A."},{"family":"Tolaney","given":"Sara M."},{"family":"Loirat","given":"Delphine"},{"family":"Punie","given":"Kevin"},{"family":"Oliveira","given":"Mafalda"},{"family":"Brufsky","given":"Adam"},{"family":"Sardesai","given":"Sagar D."},{"family":"Kalinsky","given":"Kevin"},{"family":"Zelnak","given":"Amelia B."},{"family":"Weaver","given":"Robert"},{"family":"Traina","given":"Tiffany"},{"family":"Dalenc","given":"Florence"},{"family":"Aftimos","given":"Philippe"},{"family":"Lynce","given":"Filipa"},{"family":"Diab","given":"Sami"},{"family":"Cortés","given":"Javier"},{"family":"O’Shaughnessy","given":"Joyce"},{"family":"Diéras","given":"Véronique"},{"family":"Ferrario","given":"Cristiano"},{"family":"Schmid","given":"Peter"},{"family":"Carey","given":"Lisa A."},{"family":"Gianni","given":"Luca"},{"family":"Piccart","given":"Martine J."},{"family":"Loibl","given":"Sibylle"},{"family":"Goldenberg","given":"David M."},{"family":"Hong","given":"Quan"},{"family":"Olivo","given":"Martin S."},{"family":"Itri","given":"Loretta M."},{"family":"Rugo","given":"Hope S."}],"issued":{"date-parts":[["2021",4,22]]}}},{"id":66149,"uris":["http://zotero.org/groups/4797619/items/8M7DF85G"],"itemData":{"id":66149,"type":"article-journal","abstract":"BACKGROUND: Based on data from two multicenter, phase III clinical trials (Studies 301 and 305), eribulin (a microtubule dynamics inhibitor) is indicated in the European Union (EU) for patients with locally advanced or metastatic breast cancer (MBC) after ≥1 prior chemotherapy for advanced disease, including an anthracycline and a taxane in either the adjuvant or metastatic setting. Data from Studies 305 and 301 were pooled to investigate the efficacy of eribulin in various subgroups of patients who matched the EU label, including those with human epidermal growth factor receptor 2 (HER2)-negative and triple-negative disease.\nPATIENTS AND METHODS: In Study 305 (NCT00388726), patients were randomized 2:1 to eribulin mesylate 1.4 mg/m(2) (equivalent to eribulin 1.23 mg/m(2) [expressed as free base]) intravenously on days 1 and 8 every 21 days] or treatment of physician's choice after 2-5 prior chemotherapies (≥2 for advanced disease), including an anthracycline and a taxane (in early/advanced setting). In Study 301 (NCT00337103), patients were randomized 1:1 to eribulin (as above) or capecitabine (1.25 g/m(2) orally twice daily on days 1-14 every 21 days) following ≤3 prior chemotherapies (≤2 for advanced disease), including an anthracycline and a taxane. Efficacy end points were investigated in the intent-to-treat population and subgroups, pooled as discussed above.\nRESULTS: Overall, 1644 patients were included (eribulin: 946; control: 698); baseline characteristics were well matched. Overall survival was significantly longer with eribulin versus control (P &lt; 0.01), as were progression-free survival and clinical benefit rate (both P &lt; 0.05). Significant survival benefits with eribulin versus control were observed in a wide range of patient subgroups, including HER2-negative or triple-negative disease (all P &lt; 0.05).\nCONCLUSION: Our findings underline the survival benefit achieved by eribulin used according to EU label in the overall MBC population and in various subgroups of interest, including patients with HER2-negative and triple-negative disease.","container-title":"Annals of Oncology: Official Journal of the European Society for Medical Oncology","DOI":"10.1093/annonc/mdw203","ISSN":"1569-8041","issue":"8","journalAbbreviation":"Ann Oncol","language":"eng","note":"PMID: 27177860\nPMCID: PMC4959925","page":"1525-1531","source":"PubMed","title":"Pooled analyses of eribulin in metastatic breast cancer patients with at least one prior chemotherapy","volume":"27","author":[{"family":"Pivot","given":"X."},{"family":"Marmé","given":"F."},{"family":"Koenigsberg","given":"R."},{"family":"Guo","given":"M."},{"family":"Berrak","given":"E."},{"family":"Wolfer","given":"A."}],"issued":{"date-parts":[["2016",8]]}}},{"id":66764,"uris":["http://zotero.org/groups/4797619/items/YX8NEWUE"],"itemData":{"id":66764,"type":"article-journal","container-title":"The Lancet Oncology","DOI":"10.1016/S1470-2045(20)30754-3","ISSN":"1470-2045, 1474-5488","issue":"4","journalAbbreviation":"The Lancet Oncology","language":"English","note":"publisher: Elsevier\nPMID: 33676601","page":"499-511","source":"www.thelancet.com","title":"Pembrolizumab versus investigator-choice chemotherapy for metastatic triple-negative breast cancer (KEYNOTE-119): a randomised, open-label, phase 3 trial","title-short":"Pembrolizumab versus investigator-choice chemotherapy for metastatic triple-negative breast cancer (KEYNOTE-119)","volume":"22","author":[{"family":"Winer","given":"Eric P."},{"family":"Lipatov","given":"Oleg"},{"family":"Im","given":"Seock-Ah"},{"family":"Goncalves","given":"Anthony"},{"family":"Muñoz-Couselo","given":"Eva"},{"family":"Lee","given":"Keun Seok"},{"family":"Schmid","given":"Peter"},{"family":"Tamura","given":"Kenji"},{"family":"Testa","given":"Laura"},{"family":"Witzel","given":"Isabell"},{"family":"Ohtani","given":"Shoichiro"},{"family":"Turner","given":"Nicholas"},{"family":"Zambelli","given":"Stefania"},{"family":"Harbeck","given":"Nadia"},{"family":"Andre","given":"Fabrice"},{"family":"Dent","given":"Rebecca"},{"family":"Zhou","given":"Xuan"},{"family":"Karantza","given":"Vassiliki"},{"family":"Mejia","given":"Jaime"},{"family":"Cortes","given":"Javier"}],"issued":{"date-parts":[["2021",4,1]]}}},{"id":66759,"uris":["http://zotero.org/groups/4797619/items/WRYWKH52"],"itemData":{"id":66759,"type":"article-journal","abstract":"The METRIC study (NCT#0199733) explored a novel antibody–drug conjugate, glembatumumab vedotin (GV), targeting gpNMB that is overexpressed in ~40% of patients with triple-negative breast cancer (TNBC) and associated with poor prognosis. The study was a randomized, open-label, phase 2b study that evaluated progression-free survival (PFS) of GV compared with capecitabine in gpNMB-overexpressing TNBC. Patients who had previously received anthracycline and taxane-based therapy were randomized 2:1 to receive, GV (1.88 mg/kg IV q21 days) or capecitabine (2500 mg/m2 PO daily d1–14 q21 days). The primary endpoint was RECIST 1.1 PFS per independent, blinded central review. In all, 327 patients were randomized to GV (213 treated) or capecitabine (92 treated). Median PFS was 2.9 months for GV vs. 2.8 months for capecitabine. The most common grade ≥3 toxicities for GV were neutropenia, rash, and leukopenia, and for capecitabine were fatigue, diarrhea, and palmar-plantar erythrodysesthesia. The study did not meet the primary endpoint of improved PFS over capecitabine or demonstrate a relative risk/benefit improvement over capecitabine.","container-title":"npj Breast Cancer","DOI":"10.1038/s41523-021-00244-6","ISSN":"2374-4677","issue":"1","language":"en","license":"2021 The Author(s)","note":"number: 1\npublisher: Nature Publishing Group","page":"1-10","source":"www.nature.com","title":"Glembatumumab vedotin for patients with metastatic, gpNMB overexpressing, triple-negative breast cancer (“METRIC”): a randomized multicenter study","title-short":"Glembatumumab vedotin for patients with metastatic, gpNMB overexpressing, triple-negative breast cancer (“METRIC”)","volume":"7","author":[{"family":"Vahdat","given":"Linda T."},{"family":"Schmid","given":"Peter"},{"family":"Forero-Torres","given":"Andres"},{"family":"Blackwell","given":"Kimberly"},{"family":"Telli","given":"Melinda L."},{"family":"Melisko","given":"Michelle"},{"family":"Möbus","given":"Volker"},{"family":"Cortes","given":"Javier"},{"family":"Montero","given":"Alberto J."},{"family":"Ma","given":"Cynthia"},{"family":"Nanda","given":"Rita"},{"family":"Wright","given":"Gail S."},{"family":"He","given":"Yi"},{"family":"Hawthorne","given":"Thomas"},{"family":"Bagley","given":"Rebecca G."},{"family":"Halim","given":"Abdel-Baset"},{"family":"Turner","given":"Christopher D."},{"family":"Yardley","given":"Denise A."}],"issued":{"date-parts":[["2021",5,20]]}}}],"schema":"https://github.com/citation-style-language/schema/raw/master/csl-citation.json"} </w:instrText>
      </w:r>
      <w:r w:rsidR="003025A0" w:rsidRPr="00C46871">
        <w:rPr>
          <w:rFonts w:cs="Arial"/>
          <w:color w:val="000000" w:themeColor="text1"/>
        </w:rPr>
        <w:fldChar w:fldCharType="separate"/>
      </w:r>
      <w:r w:rsidR="00FD57F4" w:rsidRPr="00C46871">
        <w:rPr>
          <w:rFonts w:cs="Arial"/>
          <w:color w:val="000000" w:themeColor="text1"/>
          <w:szCs w:val="24"/>
          <w:vertAlign w:val="superscript"/>
        </w:rPr>
        <w:t>43,48–50</w:t>
      </w:r>
      <w:r w:rsidR="003025A0" w:rsidRPr="00C46871">
        <w:rPr>
          <w:rFonts w:cs="Arial"/>
          <w:color w:val="000000" w:themeColor="text1"/>
        </w:rPr>
        <w:fldChar w:fldCharType="end"/>
      </w:r>
      <w:r w:rsidR="003025A0" w:rsidRPr="00C46871">
        <w:rPr>
          <w:rFonts w:cs="Arial"/>
          <w:color w:val="000000" w:themeColor="text1"/>
        </w:rPr>
        <w:t xml:space="preserve"> </w:t>
      </w:r>
      <w:r w:rsidR="00C46871" w:rsidRPr="00C46871">
        <w:rPr>
          <w:rFonts w:cs="Arial"/>
          <w:color w:val="000000" w:themeColor="text1"/>
        </w:rPr>
        <w:t xml:space="preserve">Accordingly, </w:t>
      </w:r>
      <w:r w:rsidRPr="00C46871">
        <w:rPr>
          <w:color w:val="000000" w:themeColor="text1"/>
        </w:rPr>
        <w:t xml:space="preserve">Daiichi Sankyo consider that </w:t>
      </w:r>
      <w:r w:rsidR="00B914AF" w:rsidRPr="00C46871">
        <w:rPr>
          <w:color w:val="000000" w:themeColor="text1"/>
        </w:rPr>
        <w:t xml:space="preserve">greater flexibility in the form of </w:t>
      </w:r>
      <w:r w:rsidRPr="00C46871">
        <w:rPr>
          <w:color w:val="000000" w:themeColor="text1"/>
        </w:rPr>
        <w:t xml:space="preserve">a </w:t>
      </w:r>
      <w:r w:rsidR="00C46871" w:rsidRPr="00C46871">
        <w:rPr>
          <w:color w:val="000000" w:themeColor="text1"/>
        </w:rPr>
        <w:t>x1.7</w:t>
      </w:r>
      <w:r w:rsidR="00286E80" w:rsidRPr="00C46871">
        <w:rPr>
          <w:color w:val="000000" w:themeColor="text1"/>
        </w:rPr>
        <w:t xml:space="preserve"> </w:t>
      </w:r>
      <w:r w:rsidR="009E2DA8" w:rsidRPr="00C46871">
        <w:rPr>
          <w:color w:val="000000" w:themeColor="text1"/>
        </w:rPr>
        <w:t>severity modifier</w:t>
      </w:r>
      <w:r w:rsidRPr="00C46871">
        <w:rPr>
          <w:color w:val="000000" w:themeColor="text1"/>
        </w:rPr>
        <w:t>, commensurate with</w:t>
      </w:r>
      <w:r w:rsidR="00F730DC" w:rsidRPr="00C46871">
        <w:rPr>
          <w:color w:val="000000" w:themeColor="text1"/>
        </w:rPr>
        <w:t xml:space="preserve"> </w:t>
      </w:r>
      <w:r w:rsidRPr="00C46871">
        <w:rPr>
          <w:color w:val="000000" w:themeColor="text1"/>
        </w:rPr>
        <w:t xml:space="preserve">the previous EOL </w:t>
      </w:r>
      <w:r w:rsidR="00AC190A" w:rsidRPr="00C46871">
        <w:rPr>
          <w:color w:val="000000" w:themeColor="text1"/>
        </w:rPr>
        <w:t>weighting</w:t>
      </w:r>
      <w:r w:rsidRPr="00C46871">
        <w:rPr>
          <w:color w:val="000000" w:themeColor="text1"/>
        </w:rPr>
        <w:t>, should be applied for decision-making in this appraisal.</w:t>
      </w:r>
    </w:p>
    <w:p w14:paraId="2BF230DA" w14:textId="5FF5E582" w:rsidR="008456EF" w:rsidRPr="00E13ACD" w:rsidRDefault="008456EF" w:rsidP="008456EF">
      <w:pPr>
        <w:pStyle w:val="Body"/>
      </w:pPr>
      <w:r w:rsidRPr="00E13ACD">
        <w:rPr>
          <w:rFonts w:cs="Arial"/>
        </w:rPr>
        <w:t xml:space="preserve">Additionally, </w:t>
      </w:r>
      <w:r w:rsidR="00AC560C" w:rsidRPr="00E13ACD">
        <w:rPr>
          <w:rFonts w:cs="Arial"/>
        </w:rPr>
        <w:t xml:space="preserve">Daiichi Sankyo would like to reiterate </w:t>
      </w:r>
      <w:r w:rsidRPr="00E13ACD">
        <w:rPr>
          <w:rFonts w:cs="Arial"/>
        </w:rPr>
        <w:t>the substantial innovation of T-DXd in this indication</w:t>
      </w:r>
      <w:r w:rsidR="00AC560C" w:rsidRPr="00E13ACD">
        <w:rPr>
          <w:rFonts w:cs="Arial"/>
        </w:rPr>
        <w:t>. As</w:t>
      </w:r>
      <w:r w:rsidRPr="00E13ACD">
        <w:rPr>
          <w:rFonts w:cs="Arial"/>
        </w:rPr>
        <w:t xml:space="preserve"> highlighted by the Innovation Passport</w:t>
      </w:r>
      <w:r w:rsidR="00AC560C">
        <w:rPr>
          <w:rFonts w:cs="Arial"/>
        </w:rPr>
        <w:t>,</w:t>
      </w:r>
      <w:r w:rsidR="00AC560C" w:rsidRPr="00E13ACD">
        <w:rPr>
          <w:rFonts w:cs="Arial"/>
        </w:rPr>
        <w:t xml:space="preserve"> T-DXd is an innovative therapy </w:t>
      </w:r>
      <w:r w:rsidRPr="00E13ACD">
        <w:rPr>
          <w:rFonts w:cs="Arial"/>
        </w:rPr>
        <w:t>and is the first and only HER2-targeted treatment to show a statistically significant efficacy benefit over non-targeted chemotherapy in patients with HER2-low u/mBC</w:t>
      </w:r>
      <w:r w:rsidR="00AC560C" w:rsidRPr="00E13ACD">
        <w:rPr>
          <w:rFonts w:cs="Arial"/>
        </w:rPr>
        <w:t xml:space="preserve"> providing substantial improvement quality and quantity of life</w:t>
      </w:r>
      <w:r>
        <w:rPr>
          <w:rFonts w:cs="Arial"/>
        </w:rPr>
        <w:t>.</w:t>
      </w:r>
      <w:r w:rsidRPr="00E13ACD">
        <w:rPr>
          <w:rFonts w:cs="Arial"/>
        </w:rPr>
        <w:fldChar w:fldCharType="begin"/>
      </w:r>
      <w:r w:rsidR="002313E2">
        <w:rPr>
          <w:rFonts w:cs="Arial"/>
        </w:rPr>
        <w:instrText xml:space="preserve"> ADDIN ZOTERO_ITEM CSL_CITATION {"citationID":"UU6xoLnb","properties":{"formattedCitation":"\\super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Pr="00E13ACD">
        <w:rPr>
          <w:rFonts w:cs="Arial"/>
        </w:rPr>
        <w:fldChar w:fldCharType="separate"/>
      </w:r>
      <w:r w:rsidR="002313E2" w:rsidRPr="002313E2">
        <w:rPr>
          <w:rFonts w:cs="Arial"/>
          <w:szCs w:val="24"/>
          <w:vertAlign w:val="superscript"/>
        </w:rPr>
        <w:t>6</w:t>
      </w:r>
      <w:r w:rsidRPr="00E13ACD">
        <w:rPr>
          <w:rFonts w:cs="Arial"/>
        </w:rPr>
        <w:fldChar w:fldCharType="end"/>
      </w:r>
      <w:r w:rsidRPr="00E13ACD">
        <w:rPr>
          <w:rFonts w:cs="Arial"/>
        </w:rPr>
        <w:t xml:space="preserve"> </w:t>
      </w:r>
      <w:r w:rsidR="00AC560C" w:rsidRPr="00E13ACD">
        <w:t xml:space="preserve">T-DXd is therefore a step-change that will transform the care of patients with HER2-low u/mBC. </w:t>
      </w:r>
      <w:r w:rsidRPr="00E13ACD">
        <w:t xml:space="preserve">This </w:t>
      </w:r>
      <w:r w:rsidR="00AC560C">
        <w:t>was</w:t>
      </w:r>
      <w:r w:rsidRPr="00E13ACD">
        <w:t xml:space="preserve"> reflected </w:t>
      </w:r>
      <w:r w:rsidR="00AC560C">
        <w:t>by</w:t>
      </w:r>
      <w:r w:rsidRPr="00E13ACD">
        <w:t xml:space="preserve"> comments from UK clinical experts, who informed Daiichi Sankyo that there is a high demand for T-DXd to be made available in HER2-low u/mBC.</w:t>
      </w:r>
    </w:p>
    <w:p w14:paraId="6D6F770A" w14:textId="5F4CC1D0" w:rsidR="00BC7060" w:rsidRDefault="00996FF8" w:rsidP="00391FE2">
      <w:pPr>
        <w:pStyle w:val="NICEnormal"/>
      </w:pPr>
      <w:r>
        <w:t>Cost-effectiveness</w:t>
      </w:r>
      <w:r w:rsidR="00F177DD">
        <w:t xml:space="preserve"> results </w:t>
      </w:r>
      <w:r w:rsidR="00224127">
        <w:t>in this document</w:t>
      </w:r>
      <w:r w:rsidR="00F177DD">
        <w:t xml:space="preserve"> are presented with no modifier applied. Results with the 1.2x and 1.7x modifier are presented in </w:t>
      </w:r>
      <w:r w:rsidR="00F177DD" w:rsidRPr="00951431">
        <w:rPr>
          <w:b/>
          <w:bCs/>
        </w:rPr>
        <w:t>Appendix P</w:t>
      </w:r>
      <w:r w:rsidR="00F177DD">
        <w:t xml:space="preserve">. </w:t>
      </w:r>
      <w:r w:rsidR="00534A32">
        <w:t xml:space="preserve">Base case results </w:t>
      </w:r>
      <w:r w:rsidR="00534A32">
        <w:lastRenderedPageBreak/>
        <w:t>demonstrate that T-DXd</w:t>
      </w:r>
      <w:r w:rsidR="00A57C1C">
        <w:t xml:space="preserve"> (</w:t>
      </w:r>
      <w:r w:rsidR="00A57C1C" w:rsidRPr="00070766">
        <w:t>at the PAS price</w:t>
      </w:r>
      <w:r w:rsidR="00A57C1C">
        <w:t>)</w:t>
      </w:r>
      <w:r w:rsidR="00534A32">
        <w:t xml:space="preserve"> is associated with a QALY gain of </w:t>
      </w:r>
      <w:r w:rsidR="00C75D0B" w:rsidRPr="00C75D0B">
        <w:rPr>
          <w:highlight w:val="black"/>
        </w:rPr>
        <w:t>XXX</w:t>
      </w:r>
      <w:r w:rsidR="00C75D0B">
        <w:t xml:space="preserve"> </w:t>
      </w:r>
      <w:r w:rsidR="00534A32">
        <w:t xml:space="preserve">at an incremental cost of </w:t>
      </w:r>
      <w:r w:rsidR="00C75D0B" w:rsidRPr="00C75D0B">
        <w:rPr>
          <w:highlight w:val="black"/>
        </w:rPr>
        <w:t>XXXXX</w:t>
      </w:r>
      <w:r w:rsidR="00534A32">
        <w:t xml:space="preserve">, resulting in an ICER of </w:t>
      </w:r>
      <w:r w:rsidR="00C75D0B" w:rsidRPr="00C75D0B">
        <w:rPr>
          <w:highlight w:val="black"/>
        </w:rPr>
        <w:t>XXXXX</w:t>
      </w:r>
      <w:r w:rsidR="00534A32">
        <w:t xml:space="preserve"> vs TPC in the FAS population</w:t>
      </w:r>
      <w:r w:rsidR="003D4866">
        <w:t>.</w:t>
      </w:r>
      <w:r w:rsidR="00534A32">
        <w:t xml:space="preserve"> </w:t>
      </w:r>
      <w:r w:rsidR="003D4866" w:rsidRPr="007D6A0B">
        <w:t>With the 1.</w:t>
      </w:r>
      <w:r w:rsidR="003D4866" w:rsidRPr="003C648C">
        <w:t>2</w:t>
      </w:r>
      <w:r w:rsidR="003D4866" w:rsidRPr="007D6A0B">
        <w:t xml:space="preserve">x </w:t>
      </w:r>
      <w:r w:rsidR="00391FE2">
        <w:t xml:space="preserve">and 1.7x </w:t>
      </w:r>
      <w:r w:rsidR="003D4866" w:rsidRPr="007D6A0B">
        <w:t xml:space="preserve">severity modifier applied, </w:t>
      </w:r>
      <w:r w:rsidR="003D4866">
        <w:t xml:space="preserve">the </w:t>
      </w:r>
      <w:r w:rsidR="003D4866" w:rsidRPr="007D6A0B">
        <w:t xml:space="preserve">ICER </w:t>
      </w:r>
      <w:r w:rsidR="003D4866">
        <w:t>is</w:t>
      </w:r>
      <w:r w:rsidR="003D4866" w:rsidRPr="007D6A0B">
        <w:t xml:space="preserve"> </w:t>
      </w:r>
      <w:r w:rsidR="00F77ABC" w:rsidRPr="00F77ABC">
        <w:rPr>
          <w:color w:val="000000"/>
          <w:highlight w:val="black"/>
        </w:rPr>
        <w:t>xxxxx</w:t>
      </w:r>
      <w:r w:rsidR="003D4866" w:rsidRPr="003C648C">
        <w:t xml:space="preserve"> </w:t>
      </w:r>
      <w:r w:rsidR="00391FE2">
        <w:t>and</w:t>
      </w:r>
      <w:r w:rsidR="003D4866" w:rsidRPr="003C648C">
        <w:t xml:space="preserve"> </w:t>
      </w:r>
      <w:r w:rsidR="00F77ABC" w:rsidRPr="00F77ABC">
        <w:rPr>
          <w:color w:val="000000"/>
          <w:highlight w:val="black"/>
        </w:rPr>
        <w:t>xxxxxxx</w:t>
      </w:r>
      <w:r w:rsidR="00391FE2">
        <w:t xml:space="preserve">, respectively </w:t>
      </w:r>
      <w:r w:rsidR="003D4866" w:rsidRPr="003C648C">
        <w:t>(</w:t>
      </w:r>
      <w:r w:rsidR="003D4866" w:rsidRPr="003C648C">
        <w:rPr>
          <w:b/>
        </w:rPr>
        <w:t xml:space="preserve">Appendix </w:t>
      </w:r>
      <w:r w:rsidR="00E5567E">
        <w:rPr>
          <w:b/>
        </w:rPr>
        <w:t>P</w:t>
      </w:r>
      <w:r w:rsidR="003D4866" w:rsidRPr="003C648C">
        <w:t>).</w:t>
      </w:r>
      <w:r w:rsidR="003D4866">
        <w:t xml:space="preserve"> </w:t>
      </w:r>
      <w:r w:rsidR="00534A32">
        <w:t>This demonstrates that T-DXd</w:t>
      </w:r>
      <w:r w:rsidR="00A57C1C">
        <w:t xml:space="preserve"> (</w:t>
      </w:r>
      <w:r w:rsidR="00A57C1C" w:rsidRPr="00070766">
        <w:t>at the PAS price</w:t>
      </w:r>
      <w:r w:rsidR="00A57C1C">
        <w:t>)</w:t>
      </w:r>
      <w:r w:rsidR="00534A32">
        <w:t xml:space="preserve"> is a cost-effective use of NHS resources</w:t>
      </w:r>
      <w:r w:rsidR="007D750A">
        <w:t xml:space="preserve">, at a WTP </w:t>
      </w:r>
      <w:r w:rsidR="007D750A" w:rsidRPr="00C94F6B">
        <w:t>threshold of £50,000 per QALY gained</w:t>
      </w:r>
      <w:r w:rsidR="007D750A">
        <w:t xml:space="preserve">, </w:t>
      </w:r>
      <w:r w:rsidR="00534A32">
        <w:t xml:space="preserve">given the unmet need in the population of interest, the severity of the condition, and the innovation of T-DXd as the first and only EMA-approved </w:t>
      </w:r>
      <w:r w:rsidR="00534A32" w:rsidRPr="002646F6">
        <w:rPr>
          <w:rFonts w:cs="Arial"/>
        </w:rPr>
        <w:t>HER2-targeted treatment to show efficacy in HER2-low u/mBC</w:t>
      </w:r>
      <w:r w:rsidR="00534A32">
        <w:rPr>
          <w:rFonts w:cs="Arial"/>
        </w:rPr>
        <w:t>.</w:t>
      </w:r>
    </w:p>
    <w:p w14:paraId="42750891" w14:textId="59596D06" w:rsidR="00534A32" w:rsidRDefault="00534A32" w:rsidP="00534A32">
      <w:pPr>
        <w:pStyle w:val="NICEnormal"/>
      </w:pPr>
      <w:r w:rsidRPr="007F42C8">
        <w:t>In line with the guidance from the NICE methods manual,</w:t>
      </w:r>
      <w:r>
        <w:fldChar w:fldCharType="begin"/>
      </w:r>
      <w:r w:rsidR="00CA6345">
        <w:instrText xml:space="preserve"> ADDIN ZOTERO_ITEM CSL_CITATION {"citationID":"CBmaErdk","properties":{"formattedCitation":"\\super 2\\nosupersub{}","plainCitation":"2","noteIndex":0},"citationItems":[{"id":65886,"uris":["http://zotero.org/groups/4797619/items/2LQNV7UR"],"itemData":{"id":65886,"type":"webpage","abstract":"This guide describes the methods and processes, including expected timescales, that NICE follows when carrying out health technology evaluations. The methods and processes are designed to produce robust guidance for the NHS in an open, transparent and timely way, with appropriate contribution from stakeholders. Organisations invited to contribute to health technology evaluation development should read this manual in conjunction with the NICE health technology evaluation topic selection: the manual. All documents are available on the NICE website.","language":"eng","note":"publisher: NICE","title":"NICE health technology evaluations: the manual","title-short":"NICE health technology evaluations","URL":"https://www.nice.org.uk/process/pmg36/chapter/introduction-to-health-technology-evaluation","author":[{"family":"NICE","given":""}],"accessed":{"date-parts":[["2022",10,19]]},"issued":{"date-parts":[["2022",1]]}}}],"schema":"https://github.com/citation-style-language/schema/raw/master/csl-citation.json"} </w:instrText>
      </w:r>
      <w:r>
        <w:fldChar w:fldCharType="separate"/>
      </w:r>
      <w:r w:rsidR="00FD57F4" w:rsidRPr="00FD57F4">
        <w:rPr>
          <w:rFonts w:cs="Arial"/>
          <w:szCs w:val="24"/>
          <w:vertAlign w:val="superscript"/>
        </w:rPr>
        <w:t>2</w:t>
      </w:r>
      <w:r>
        <w:fldChar w:fldCharType="end"/>
      </w:r>
      <w:r w:rsidRPr="007F42C8">
        <w:t xml:space="preserve"> both structural and parameter uncertainty </w:t>
      </w:r>
      <w:r>
        <w:t>has</w:t>
      </w:r>
      <w:r w:rsidRPr="007F42C8">
        <w:t xml:space="preserve"> been extensively explored. The</w:t>
      </w:r>
      <w:r w:rsidRPr="001F7B5D">
        <w:t xml:space="preserve"> robustness of base case results was assessed </w:t>
      </w:r>
      <w:r>
        <w:t>via</w:t>
      </w:r>
      <w:r w:rsidRPr="001F7B5D">
        <w:t xml:space="preserve"> comprehensive </w:t>
      </w:r>
      <w:r>
        <w:t xml:space="preserve">probabilistic, </w:t>
      </w:r>
      <w:r w:rsidRPr="001F7B5D">
        <w:t xml:space="preserve">deterministic, </w:t>
      </w:r>
      <w:r>
        <w:t xml:space="preserve">and </w:t>
      </w:r>
      <w:r w:rsidRPr="001F7B5D">
        <w:t>scenario analyses with results demonstrating the stability of base case with a high level of certainty</w:t>
      </w:r>
      <w:r>
        <w:t>:</w:t>
      </w:r>
    </w:p>
    <w:p w14:paraId="1ED6794C" w14:textId="3C9D17F3" w:rsidR="00534A32" w:rsidRDefault="00534A32" w:rsidP="00E91470">
      <w:pPr>
        <w:pStyle w:val="NICEnormal"/>
        <w:numPr>
          <w:ilvl w:val="0"/>
          <w:numId w:val="58"/>
        </w:numPr>
      </w:pPr>
      <w:r w:rsidRPr="001F7B5D">
        <w:t xml:space="preserve">PSA was </w:t>
      </w:r>
      <w:r>
        <w:t>performed</w:t>
      </w:r>
      <w:r w:rsidRPr="001F7B5D">
        <w:t xml:space="preserve"> to explore joint parameter uncertainty</w:t>
      </w:r>
      <w:r>
        <w:t>. T</w:t>
      </w:r>
      <w:r w:rsidRPr="001F7B5D">
        <w:t>he probabilistic results</w:t>
      </w:r>
      <w:r>
        <w:t xml:space="preserve"> are consistent with the deterministic results with a probabilistic QALY gain of </w:t>
      </w:r>
      <w:r w:rsidR="00F77ABC" w:rsidRPr="00F77ABC">
        <w:rPr>
          <w:color w:val="000000"/>
          <w:highlight w:val="black"/>
        </w:rPr>
        <w:t>xxxx</w:t>
      </w:r>
      <w:r>
        <w:t xml:space="preserve"> and ICER of </w:t>
      </w:r>
      <w:r w:rsidR="00F77ABC" w:rsidRPr="00F77ABC">
        <w:rPr>
          <w:color w:val="000000"/>
          <w:highlight w:val="black"/>
        </w:rPr>
        <w:t>xxxxxxx</w:t>
      </w:r>
      <w:r w:rsidR="005432BB" w:rsidRPr="00AD7975">
        <w:t xml:space="preserve">, </w:t>
      </w:r>
      <w:r w:rsidR="005432BB">
        <w:t xml:space="preserve">with no </w:t>
      </w:r>
      <w:r w:rsidR="005141E9">
        <w:t xml:space="preserve">severity </w:t>
      </w:r>
      <w:r w:rsidR="005432BB">
        <w:t>modifier applied</w:t>
      </w:r>
      <w:r>
        <w:t>.</w:t>
      </w:r>
      <w:r w:rsidR="000E081C">
        <w:t xml:space="preserve"> R</w:t>
      </w:r>
      <w:r w:rsidR="00C469B1">
        <w:t xml:space="preserve">esults </w:t>
      </w:r>
      <w:r w:rsidR="00A2488D">
        <w:t xml:space="preserve">demonstrate the robustness </w:t>
      </w:r>
      <w:r w:rsidR="00DF6695">
        <w:t xml:space="preserve">of the base case when evaluating </w:t>
      </w:r>
      <w:r w:rsidR="00C80887">
        <w:t>joint parameter uncertainty</w:t>
      </w:r>
      <w:r w:rsidR="001828AA">
        <w:t>.</w:t>
      </w:r>
      <w:r>
        <w:t xml:space="preserve"> T-DXd</w:t>
      </w:r>
      <w:r w:rsidR="007C0E1A">
        <w:t xml:space="preserve"> (</w:t>
      </w:r>
      <w:r w:rsidR="007C0E1A" w:rsidRPr="00070766">
        <w:t>at the PAS price</w:t>
      </w:r>
      <w:r w:rsidR="007C0E1A">
        <w:t>)</w:t>
      </w:r>
      <w:r>
        <w:t xml:space="preserve"> has a </w:t>
      </w:r>
      <w:r w:rsidR="00C75D0B" w:rsidRPr="00C75D0B">
        <w:rPr>
          <w:highlight w:val="black"/>
        </w:rPr>
        <w:t>XXX</w:t>
      </w:r>
      <w:r w:rsidR="00C75D0B">
        <w:t xml:space="preserve"> </w:t>
      </w:r>
      <w:r w:rsidR="00DB4697">
        <w:t xml:space="preserve">and </w:t>
      </w:r>
      <w:r w:rsidR="00F77ABC" w:rsidRPr="00F77ABC">
        <w:rPr>
          <w:color w:val="000000"/>
          <w:highlight w:val="black"/>
        </w:rPr>
        <w:t>xxxxxx</w:t>
      </w:r>
      <w:r w:rsidR="00B6777F">
        <w:t xml:space="preserve"> </w:t>
      </w:r>
      <w:r w:rsidRPr="00CD3AFC">
        <w:t>probability</w:t>
      </w:r>
      <w:r>
        <w:t xml:space="preserve"> of being a cost-effective use of NHS resources</w:t>
      </w:r>
      <w:r w:rsidR="007D750A">
        <w:t xml:space="preserve"> at a WTP </w:t>
      </w:r>
      <w:r w:rsidR="007D750A" w:rsidRPr="00C94F6B">
        <w:t>threshold of £</w:t>
      </w:r>
      <w:r w:rsidR="007D750A">
        <w:t>3</w:t>
      </w:r>
      <w:r w:rsidR="007D750A" w:rsidRPr="00C94F6B">
        <w:t>0,000</w:t>
      </w:r>
      <w:r w:rsidR="0057590B">
        <w:t>/QALY</w:t>
      </w:r>
      <w:r w:rsidR="007D750A" w:rsidRPr="00C94F6B">
        <w:t xml:space="preserve"> </w:t>
      </w:r>
      <w:r w:rsidR="00DB4697">
        <w:t>and £50,000</w:t>
      </w:r>
      <w:r w:rsidR="0057590B">
        <w:t>/</w:t>
      </w:r>
      <w:r w:rsidR="007D750A" w:rsidRPr="00C94F6B">
        <w:t>QALY gained</w:t>
      </w:r>
      <w:r w:rsidR="00DB4697">
        <w:t>, respectively</w:t>
      </w:r>
      <w:r>
        <w:t xml:space="preserve">.   </w:t>
      </w:r>
    </w:p>
    <w:p w14:paraId="24F80B30" w14:textId="1F3400E7" w:rsidR="00534A32" w:rsidRDefault="00534A32" w:rsidP="00E91470">
      <w:pPr>
        <w:pStyle w:val="NICEnormal"/>
        <w:numPr>
          <w:ilvl w:val="0"/>
          <w:numId w:val="58"/>
        </w:numPr>
      </w:pPr>
      <w:r>
        <w:t xml:space="preserve">Parameter uncertainty was evaluated through OWSA. The analysis shows that the cost-effectiveness results were mostly sensitive to </w:t>
      </w:r>
      <w:r w:rsidR="007D750A">
        <w:t>the</w:t>
      </w:r>
      <w:r>
        <w:t xml:space="preserve"> </w:t>
      </w:r>
      <w:r w:rsidR="007D750A">
        <w:rPr>
          <w:lang w:val="en-US"/>
        </w:rPr>
        <w:t>patients</w:t>
      </w:r>
      <w:r w:rsidR="005141E9">
        <w:rPr>
          <w:lang w:val="en-US"/>
        </w:rPr>
        <w:t>’</w:t>
      </w:r>
      <w:r w:rsidR="007D750A">
        <w:rPr>
          <w:lang w:val="en-US"/>
        </w:rPr>
        <w:t xml:space="preserve"> weight and the RDI of T-DXd.</w:t>
      </w:r>
      <w:r>
        <w:t xml:space="preserve"> Other</w:t>
      </w:r>
      <w:r w:rsidRPr="002C3712">
        <w:t xml:space="preserve"> parameters</w:t>
      </w:r>
      <w:r>
        <w:t xml:space="preserve"> had a </w:t>
      </w:r>
      <w:r w:rsidR="005141E9">
        <w:t xml:space="preserve">lower </w:t>
      </w:r>
      <w:r>
        <w:t xml:space="preserve">impact on the ICER when varied </w:t>
      </w:r>
      <w:r>
        <w:rPr>
          <w:lang w:val="en-US"/>
        </w:rPr>
        <w:t>between their upper and lower bounds</w:t>
      </w:r>
      <w:r>
        <w:t>, with all results consistently showing that T-DXd</w:t>
      </w:r>
      <w:r w:rsidR="00652392">
        <w:t xml:space="preserve"> (</w:t>
      </w:r>
      <w:r w:rsidR="00652392" w:rsidRPr="00070766">
        <w:t>at the PAS price</w:t>
      </w:r>
      <w:r w:rsidR="00652392">
        <w:t>)</w:t>
      </w:r>
      <w:r>
        <w:t xml:space="preserve"> is a </w:t>
      </w:r>
      <w:r w:rsidRPr="00E32C05">
        <w:t>cost-effective</w:t>
      </w:r>
      <w:r>
        <w:t xml:space="preserve"> use of NHS resources</w:t>
      </w:r>
      <w:r w:rsidR="007D750A" w:rsidRPr="007D750A">
        <w:t xml:space="preserve"> </w:t>
      </w:r>
      <w:r w:rsidR="004D0AA5">
        <w:t xml:space="preserve">AAA </w:t>
      </w:r>
      <w:r w:rsidR="007D750A">
        <w:t xml:space="preserve">at a WTP </w:t>
      </w:r>
      <w:r w:rsidR="007D750A" w:rsidRPr="00C94F6B">
        <w:t>threshold of £</w:t>
      </w:r>
      <w:r w:rsidR="007D750A">
        <w:t>5</w:t>
      </w:r>
      <w:r w:rsidR="007D750A" w:rsidRPr="00C94F6B">
        <w:t>0,000 per QALY gained</w:t>
      </w:r>
      <w:r>
        <w:t xml:space="preserve">. </w:t>
      </w:r>
    </w:p>
    <w:p w14:paraId="5AD1FB37" w14:textId="4ED50835" w:rsidR="00534A32" w:rsidRDefault="00534A32" w:rsidP="00E91470">
      <w:pPr>
        <w:pStyle w:val="NICEnormal"/>
        <w:numPr>
          <w:ilvl w:val="0"/>
          <w:numId w:val="58"/>
        </w:numPr>
      </w:pPr>
      <w:r>
        <w:t xml:space="preserve">A range of </w:t>
      </w:r>
      <w:r w:rsidR="00560127">
        <w:t>probabilistic</w:t>
      </w:r>
      <w:r>
        <w:t xml:space="preserve"> scenario analyses were performed to evaluate key model assumptions and alternative choices of inputs to test the robustness of the base case results. </w:t>
      </w:r>
      <w:r w:rsidR="00CE5FB4">
        <w:t>The model was most sensitive to the choice of survival distribution</w:t>
      </w:r>
      <w:r w:rsidR="00BB3E88">
        <w:t>.</w:t>
      </w:r>
    </w:p>
    <w:p w14:paraId="449F5176" w14:textId="1308203A" w:rsidR="00534A32" w:rsidRDefault="00534A32" w:rsidP="00534A32">
      <w:pPr>
        <w:pStyle w:val="NICEnormal"/>
      </w:pPr>
      <w:r>
        <w:t>A</w:t>
      </w:r>
      <w:r w:rsidRPr="00B7029B">
        <w:t xml:space="preserve"> strength of the analysis</w:t>
      </w:r>
      <w:r>
        <w:t xml:space="preserve"> is that key </w:t>
      </w:r>
      <w:r w:rsidRPr="00B7029B">
        <w:t xml:space="preserve">inputs for the economic model </w:t>
      </w:r>
      <w:r>
        <w:t>are taken from</w:t>
      </w:r>
      <w:r w:rsidRPr="00B7029B">
        <w:t xml:space="preserve"> </w:t>
      </w:r>
      <w:r>
        <w:t xml:space="preserve">DESTINY-Breast04 which provides a </w:t>
      </w:r>
      <w:r w:rsidRPr="00B7029B">
        <w:t xml:space="preserve">head-to-head comparison </w:t>
      </w:r>
      <w:r>
        <w:t xml:space="preserve">between the relevant intervention and </w:t>
      </w:r>
      <w:r w:rsidRPr="00B7029B">
        <w:t xml:space="preserve">comparator </w:t>
      </w:r>
      <w:r w:rsidR="00FF7873">
        <w:t>in the appropriate population</w:t>
      </w:r>
      <w:r w:rsidRPr="00B7029B">
        <w:t xml:space="preserve"> </w:t>
      </w:r>
      <w:r>
        <w:t>for this appraisal.</w:t>
      </w:r>
    </w:p>
    <w:p w14:paraId="2F04E599" w14:textId="04E5EDA5" w:rsidR="00534A32" w:rsidRPr="00C67C0A" w:rsidRDefault="00534A32" w:rsidP="003C648C">
      <w:pPr>
        <w:widowControl w:val="0"/>
        <w:autoSpaceDE w:val="0"/>
        <w:autoSpaceDN w:val="0"/>
        <w:adjustRightInd w:val="0"/>
        <w:spacing w:line="240" w:lineRule="auto"/>
      </w:pPr>
      <w:r w:rsidRPr="00B7029B">
        <w:t xml:space="preserve">The </w:t>
      </w:r>
      <w:r>
        <w:t>key</w:t>
      </w:r>
      <w:r w:rsidRPr="00B7029B">
        <w:t xml:space="preserve"> limitation </w:t>
      </w:r>
      <w:r>
        <w:t>of the economic analysis</w:t>
      </w:r>
      <w:r w:rsidRPr="00B7029B">
        <w:t xml:space="preserve"> </w:t>
      </w:r>
      <w:r>
        <w:t xml:space="preserve">is that although </w:t>
      </w:r>
      <w:r w:rsidRPr="00C67C0A">
        <w:t xml:space="preserve">HER2-low is clinically recognised as a new category of BC in recent </w:t>
      </w:r>
      <w:r w:rsidR="007B2A21">
        <w:t xml:space="preserve">AAA </w:t>
      </w:r>
      <w:r w:rsidRPr="00C67C0A">
        <w:t>ESMO,</w:t>
      </w:r>
      <w:r w:rsidR="00D01CEB">
        <w:rPr>
          <w:rFonts w:ascii="Times New Roman" w:hAnsi="Times New Roman" w:cs="Times New Roman"/>
          <w:sz w:val="24"/>
          <w:szCs w:val="24"/>
          <w:vertAlign w:val="superscript"/>
        </w:rPr>
        <w:t>42</w:t>
      </w:r>
      <w:r w:rsidR="00560127">
        <w:rPr>
          <w:rFonts w:ascii="Times New Roman" w:hAnsi="Times New Roman" w:cs="Times New Roman"/>
          <w:sz w:val="24"/>
          <w:szCs w:val="24"/>
          <w:vertAlign w:val="superscript"/>
        </w:rPr>
        <w:t xml:space="preserve"> </w:t>
      </w:r>
      <w:r w:rsidRPr="00C67C0A">
        <w:fldChar w:fldCharType="begin"/>
      </w:r>
      <w:r w:rsidR="00CA6345">
        <w:instrText xml:space="preserve"> ADDIN ZOTERO_ITEM CSL_CITATION {"citationID":"H9aFZTc6","properties":{"formattedCitation":"\\super 41\\nosupersub{}","plainCitation":"41","dontUpdate":true,"noteIndex":0},"citationItems":[{"id":65955,"uris":["http://zotero.org/groups/4797619/items/4KXA6CCG"],"itemData":{"id":65955,"type":"article-journal","container-title":"Annals of Oncology: Official Journal of the European Society for Medical Oncology","DOI":"10.1016/j.annonc.2021.09.019","ISSN":"1569-8041","issue":"12","journalAbbreviation":"Ann Oncol","language":"eng","note":"PMID: 34678411","page":"1475-1495","source":"PubMed","title":"ESMO Clinical Practice Guideline for the diagnosis, staging and treatment of patients with metastatic breast cancer","volume":"32","author":[{"family":"Gennari","given":"A."},{"family":"André","given":"F."},{"family":"Barrios","given":"C. H."},{"family":"Cortés","given":"J."},{"family":"Azambuja","given":"E.","non-dropping-particle":"de"},{"family":"DeMichele","given":"A."},{"family":"Dent","given":"R."},{"family":"Fenlon","given":"D."},{"family":"Gligorov","given":"J."},{"family":"Hurvitz","given":"S. A."},{"family":"Im","given":"S.-A."},{"family":"Krug","given":"D."},{"family":"Kunz","given":"W. G."},{"family":"Loi","given":"S."},{"family":"Penault-Llorca","given":"F."},{"family":"Ricke","given":"J."},{"family":"Robson","given":"M."},{"family":"Rugo","given":"H. S."},{"family":"Saura","given":"C."},{"family":"Schmid","given":"P."},{"family":"Singer","given":"C. F."},{"family":"Spanic","given":"T."},{"family":"Tolaney","given":"S. M."},{"family":"Turner","given":"N. C."},{"family":"Curigliano","given":"G."},{"family":"Loibl","given":"S."},{"family":"Paluch-Shimon","given":"S."},{"family":"Harbeck","given":"N."},{"literal":"ESMO Guidelines Committee. Electronic address: clinicalguidelines@esmo.org"}],"issued":{"date-parts":[["2021",12]]}}}],"schema":"https://github.com/citation-style-language/schema/raw/master/csl-citation.json"} </w:instrText>
      </w:r>
      <w:r w:rsidRPr="00C67C0A">
        <w:fldChar w:fldCharType="separate"/>
      </w:r>
      <w:r w:rsidRPr="00C67C0A">
        <w:fldChar w:fldCharType="end"/>
      </w:r>
      <w:r w:rsidRPr="00C67C0A">
        <w:t>ASCO,</w:t>
      </w:r>
      <w:r w:rsidRPr="00C67C0A">
        <w:fldChar w:fldCharType="begin"/>
      </w:r>
      <w:r w:rsidR="00CA6345">
        <w:instrText xml:space="preserve"> ADDIN ZOTERO_ITEM CSL_CITATION {"citationID":"4L1gy05u","properties":{"formattedCitation":"\\super 71\\nosupersub{}","plainCitation":"71","noteIndex":0},"citationItems":[{"id":66147,"uris":["http://zotero.org/groups/4797619/items/YTHABEAP"],"itemData":{"id":66147,"type":"article-journal","abstract":"ASCO Rapid Recommendations Updates highlight revisions to select ASCO guideline recommendations as a response to the emergence of new and practice-changing data. The rapid updates are supported by an evidence review and follow the guideline development processes outlined in the ASCO Guideline Methodology Manual. The goal of these articles is to disseminate updated recommendations, in a timely manner, to better inform health practitioners and the public on the best available cancer care options.","archive_location":"world","container-title":"Journal of Clinical Oncology","DOI":"10.1200/JCO.22.01533","language":"EN","license":"© 2022 by American Society of Clinical Oncology","note":"publisher: Wolters Kluwer Health","source":"ascopubs.org","title":"Chemotherapy and Targeted Therapy for Human Epidermal Growth Factor Receptor 2–Negative Metastatic Breast Cancer That Is Either Endocrine-Pretreated or Hormone Receptor–Negative: ASCO Guideline Rapid Recommendation Update","title-short":"Chemotherapy and Targeted Therapy for Human Epidermal Growth Factor Receptor 2–Negative Metastatic Breast Cancer That Is Either Endocrine-Pretreated or Hormone Receptor–Negative","URL":"https://ascopubs.org/doi/pdf/10.1200/JCO.22.01533?role=tab)","author":[{"family":"Moy","given":"Beverly"},{"family":"Rumble","given":"R. Bryan"},{"family":"Carey","given":"Lisa A."},{"family":"Panel","given":"for the Chemotherapy and Targeted Therapy for HER2-Negative Metastatic Breast Cancer that is Either Endocrine-Pretreated or Hormone Receptor–Negative Expert"}],"accessed":{"date-parts":[["2022",11,16]]},"issued":{"date-parts":[["2022",8,4]]}}}],"schema":"https://github.com/citation-style-language/schema/raw/master/csl-citation.json"} </w:instrText>
      </w:r>
      <w:r w:rsidRPr="00C67C0A">
        <w:fldChar w:fldCharType="separate"/>
      </w:r>
      <w:r w:rsidR="00FD241B" w:rsidRPr="00FD241B">
        <w:rPr>
          <w:rFonts w:cs="Arial"/>
          <w:szCs w:val="24"/>
          <w:vertAlign w:val="superscript"/>
        </w:rPr>
        <w:t>71</w:t>
      </w:r>
      <w:r w:rsidRPr="00C67C0A">
        <w:fldChar w:fldCharType="end"/>
      </w:r>
      <w:r w:rsidRPr="00C67C0A">
        <w:t xml:space="preserve"> and NCCN clinical guidelines,</w:t>
      </w:r>
      <w:r w:rsidRPr="00C67C0A">
        <w:fldChar w:fldCharType="begin"/>
      </w:r>
      <w:r w:rsidR="00CA6345">
        <w:instrText xml:space="preserve"> ADDIN ZOTERO_ITEM CSL_CITATION {"citationID":"c7XpZ3Dm","properties":{"formattedCitation":"\\super 72\\nosupersub{}","plainCitation":"72","noteIndex":0},"citationItems":[{"id":65859,"uris":["http://zotero.org/groups/4797619/items/73ARJN9L"],"itemData":{"id":65859,"type":"article-journal","language":"EN","note":"publisher: National Comprehensive Cancer Network","title":"NCCN Clinical Practice Guidelines in Oncology, Breast Cancer. Version 4.2022.","URL":"https://www.nccn.org/patients/guidelines/cancers.aspx","author":[{"family":"Gradishar","given":"William J."},{"family":"Moran","given":"Meena S."},{"family":"Abraham","given":"Jame"},{"family":"Aft","given":"Rebecca"},{"family":"Agnese","given":"Doreen"},{"family":"Allison","given":"Kimberly H."},{"family":"Anderson","given":"Bethany"},{"family":"Burstein","given":"Harold J."},{"family":"Chew","given":"Helen"},{"family":"Dang","given":"Chau"},{"family":"Elias","given":"Anthony D."},{"family":"Giordano","given":"Sharon H."},{"family":"Goetz","given":"Matthew P."},{"family":"Goldstein","given":"Lori J."},{"family":"Hurvitz","given":"Sara A."},{"family":"Isakoff","given":"Steven J."},{"family":"Jankowitz","given":"Rachel C."},{"family":"Javid","given":"Sara H."},{"family":"Krishnamurthy","given":"Jairam"},{"family":"Leitch","given":"Marilyn"},{"family":"Lyons","given":"Janice"},{"family":"Mortimer","given":"Joanne"},{"family":"Patel","given":"Sameer A."},{"family":"Pierce","given":"Lori J."},{"family":"Rosenberger","given":"Laura H."},{"family":"Rugo","given":"Hope S."},{"family":"Sitapati","given":"Amy"},{"family":"Smith","given":"Karen Lisa"},{"family":"Smith","given":"Mary Lou"},{"family":"Soliman","given":"Hatem"},{"family":"Stringer-Reasor","given":"Erica M."},{"family":"Telli","given":"Melinda L."},{"family":"Ward","given":"John H."},{"family":"Wisinski","given":"Kari B."},{"family":"Young","given":"Jessica S."},{"family":"Berardi","given":"Ryan"},{"family":"Kumar","given":"Rashmi"}],"accessed":{"date-parts":[["2022",11,3]]},"issued":{"date-parts":[["2022",6,21]]}}}],"schema":"https://github.com/citation-style-language/schema/raw/master/csl-citation.json"} </w:instrText>
      </w:r>
      <w:r w:rsidRPr="00C67C0A">
        <w:fldChar w:fldCharType="separate"/>
      </w:r>
      <w:r w:rsidR="00DB2BCC" w:rsidRPr="00DB2BCC">
        <w:rPr>
          <w:rFonts w:cs="Arial"/>
          <w:szCs w:val="24"/>
          <w:vertAlign w:val="superscript"/>
        </w:rPr>
        <w:t>72</w:t>
      </w:r>
      <w:r w:rsidRPr="00C67C0A">
        <w:fldChar w:fldCharType="end"/>
      </w:r>
      <w:r w:rsidRPr="00C67C0A">
        <w:t xml:space="preserve"> these patients are currently treated according to HER2-negative treatment pathways. Therefore, there is limited published data available to compare and validate the model inputs and outputs for the specific population of interest. However, extensive clinical and HEOR validation was sought to alleviate areas of uncertainty. </w:t>
      </w:r>
      <w:r>
        <w:t>For example,</w:t>
      </w:r>
      <w:r w:rsidRPr="00B7029B">
        <w:t xml:space="preserve"> </w:t>
      </w:r>
      <w:r>
        <w:t xml:space="preserve">a range of plausible survival extrapolations </w:t>
      </w:r>
      <w:r w:rsidRPr="00B7029B">
        <w:t xml:space="preserve">have been </w:t>
      </w:r>
      <w:r>
        <w:t xml:space="preserve">explored and outcomes quantified. </w:t>
      </w:r>
    </w:p>
    <w:p w14:paraId="42CA4517" w14:textId="00AC8EAE" w:rsidR="005E2976" w:rsidRPr="009F0B97" w:rsidRDefault="00534A32" w:rsidP="009F0B97">
      <w:pPr>
        <w:pStyle w:val="Body"/>
        <w:rPr>
          <w:rFonts w:cs="Arial"/>
        </w:rPr>
      </w:pPr>
      <w:r w:rsidRPr="00054570">
        <w:t>DESTINY-Breast04</w:t>
      </w:r>
      <w:r>
        <w:t xml:space="preserve"> </w:t>
      </w:r>
      <w:r w:rsidR="00C07BF1">
        <w:t>established</w:t>
      </w:r>
      <w:r>
        <w:t xml:space="preserve"> T-DXd as the first HER2 targeted therapy to </w:t>
      </w:r>
      <w:r w:rsidR="00A15667">
        <w:t xml:space="preserve">demonstrate </w:t>
      </w:r>
      <w:r w:rsidR="00596D36">
        <w:t>a statistically</w:t>
      </w:r>
      <w:r w:rsidR="00A15667">
        <w:t xml:space="preserve"> </w:t>
      </w:r>
      <w:r>
        <w:t>significant efficacy benefit in HER2-low u/mBC</w:t>
      </w:r>
      <w:r w:rsidR="00886A0E">
        <w:t xml:space="preserve"> </w:t>
      </w:r>
      <w:r w:rsidR="000F7C0A">
        <w:t xml:space="preserve">after </w:t>
      </w:r>
      <w:r w:rsidR="000F7C0A" w:rsidRPr="00054570">
        <w:t>one or two lines of chemotherapy in the</w:t>
      </w:r>
      <w:r w:rsidR="00EF5156">
        <w:t xml:space="preserve"> (neo)adjuvant (if recurrence occurs within 6 months)</w:t>
      </w:r>
      <w:r w:rsidR="00EF5156" w:rsidRPr="00054570">
        <w:t xml:space="preserve"> or</w:t>
      </w:r>
      <w:r w:rsidR="00332DED">
        <w:t xml:space="preserve"> </w:t>
      </w:r>
      <w:r w:rsidR="000F7C0A" w:rsidRPr="00054570">
        <w:t>metastatic setting</w:t>
      </w:r>
      <w:r w:rsidR="000F7C0A">
        <w:t xml:space="preserve"> compared with non-targeted chemotherapy</w:t>
      </w:r>
      <w:r w:rsidR="000F7C0A" w:rsidRPr="00054570">
        <w:t xml:space="preserve"> </w:t>
      </w:r>
      <w:r w:rsidR="00886A0E">
        <w:t xml:space="preserve">via a </w:t>
      </w:r>
      <w:r w:rsidR="00886A0E" w:rsidRPr="00054570">
        <w:t>head-to-head Phase III tria</w:t>
      </w:r>
      <w:r w:rsidR="00C07BF1">
        <w:t>l</w:t>
      </w:r>
      <w:r w:rsidR="000F7C0A">
        <w:t>.</w:t>
      </w:r>
      <w:r w:rsidR="000F7C0A" w:rsidRPr="00054570">
        <w:fldChar w:fldCharType="begin"/>
      </w:r>
      <w:r w:rsidR="00CA6345">
        <w:instrText xml:space="preserve"> ADDIN ZOTERO_ITEM CSL_CITATION {"citationID":"iVxNZ7hh","properties":{"formattedCitation":"\\super 6\\nosupersub{}","plainCitation":"6","noteIndex":0},"citationItems":[{"id":66153,"uris":["http://zotero.org/groups/4797619/items/DIMCLQBB"],"itemData":{"id":66153,"type":"article-journal","container-title":"New England Journal of Medicine","DOI":"10.1056/NEJMoa2203690","ISSN":"0028-4793","issue":"1","note":"publisher: Massachusetts Medical Society\n_eprint: https://doi.org/10.1056/NEJMoa2203690\nPMID: 35665782","page":"9-20","source":"Taylor and Francis+NEJM","title":"Trastuzumab Deruxtecan in Previously Treated HER2-Low Advanced Breast Cancer","volume":"387","author":[{"family":"Modi","given":"Shanu"},{"family":"Jacot","given":"William"},{"family":"Yamashita","given":"Toshinari"},{"family":"Sohn","given":"Joohyuk"},{"family":"Vidal","given":"Maria"},{"family":"Tokunaga","given":"Eriko"},{"family":"Tsurutani","given":"Junji"},{"family":"Ueno","given":"Naoto T."},{"family":"Prat","given":"Aleix"},{"family":"Chae","given":"Yee Soo"},{"family":"Lee","given":"Keun Seok"},{"family":"Niikura","given":"Naoki"},{"family":"Park","given":"Yeon Hee"},{"family":"Xu","given":"Binghe"},{"family":"Wang","given":"Xiaojia"},{"family":"Gil-Gil","given":"Miguel"},{"family":"Li","given":"Wei"},{"family":"Pierga","given":"Jean-Yves"},{"family":"Im","given":"Seock-Ah"},{"family":"Moore","given":"Halle C.F."},{"family":"Rugo","given":"Hope S."},{"family":"Yerushalmi","given":"Rinat"},{"family":"Zagouri","given":"Flora"},{"family":"Gombos","given":"Andrea"},{"family":"Kim","given":"Sung-Bae"},{"family":"Liu","given":"Qiang"},{"family":"Luo","given":"Ting"},{"family":"Saura","given":"Cristina"},{"family":"Schmid","given":"Peter"},{"family":"Sun","given":"Tao"},{"family":"Gambhire","given":"Dhiraj"},{"family":"Yung","given":"Lotus"},{"family":"Wang","given":"Yibin"},{"family":"Singh","given":"Jasmeet"},{"family":"Vitazka","given":"Patrik"},{"family":"Meinhardt","given":"Gerold"},{"family":"Harbeck","given":"Nadia"},{"family":"Cameron","given":"David A."}],"issued":{"date-parts":[["2022",7,7]]}}}],"schema":"https://github.com/citation-style-language/schema/raw/master/csl-citation.json"} </w:instrText>
      </w:r>
      <w:r w:rsidR="000F7C0A" w:rsidRPr="00054570">
        <w:fldChar w:fldCharType="separate"/>
      </w:r>
      <w:r w:rsidR="00961768" w:rsidRPr="00961768">
        <w:rPr>
          <w:rFonts w:cs="Arial"/>
          <w:szCs w:val="24"/>
          <w:vertAlign w:val="superscript"/>
        </w:rPr>
        <w:t>6</w:t>
      </w:r>
      <w:r w:rsidR="000F7C0A" w:rsidRPr="00054570">
        <w:fldChar w:fldCharType="end"/>
      </w:r>
      <w:r w:rsidR="00596D36">
        <w:t xml:space="preserve"> The</w:t>
      </w:r>
      <w:r w:rsidR="00596D36" w:rsidRPr="00054570">
        <w:t xml:space="preserve"> unprecedented efficacy </w:t>
      </w:r>
      <w:r w:rsidR="00596D36">
        <w:t xml:space="preserve">demonstrated in </w:t>
      </w:r>
      <w:r w:rsidR="00596D36" w:rsidRPr="00054570">
        <w:t>DESTINY-Breast04</w:t>
      </w:r>
      <w:r w:rsidR="00596D36">
        <w:t xml:space="preserve"> has led to T-DXd becoming the first HER2-targeted therapy to receive regulatory approval in </w:t>
      </w:r>
      <w:r w:rsidR="00CD6117">
        <w:t>Europe</w:t>
      </w:r>
      <w:r w:rsidR="00596D36">
        <w:t xml:space="preserve"> in HER2-low u/mBC</w:t>
      </w:r>
      <w:r w:rsidR="00CD6117">
        <w:rPr>
          <w:i/>
          <w:iCs/>
        </w:rPr>
        <w:fldChar w:fldCharType="begin"/>
      </w:r>
      <w:r w:rsidR="00CA6345">
        <w:rPr>
          <w:i/>
          <w:iCs/>
        </w:rPr>
        <w:instrText xml:space="preserve"> ADDIN ZOTERO_ITEM CSL_CITATION {"citationID":"Y354TO5R","properties":{"formattedCitation":"\\super 3\\nosupersub{}","plainCitation":"3","noteIndex":0},"citationItems":[{"id":66851,"uris":["http://zotero.org/groups/4797619/items/EUUYPVTM"],"itemData":{"id":66851,"type":"document","title":"EMA Enhertu Summary of Product Characteristics (SmPC)","URL":"https://www.ema.europa.eu/en/documents/product-information/enhertu-epar-product-information_en.pdf","author":[{"family":"European Medicines Agency (EMA)","given":""}],"issued":{"date-parts":[["2023"]]}}}],"schema":"https://github.com/citation-style-language/schema/raw/master/csl-citation.json"} </w:instrText>
      </w:r>
      <w:r w:rsidR="00CD6117">
        <w:rPr>
          <w:i/>
          <w:iCs/>
        </w:rPr>
        <w:fldChar w:fldCharType="separate"/>
      </w:r>
      <w:r w:rsidR="001C2CEE" w:rsidRPr="001C2CEE">
        <w:rPr>
          <w:rFonts w:cs="Arial"/>
          <w:szCs w:val="24"/>
          <w:vertAlign w:val="superscript"/>
        </w:rPr>
        <w:t>3</w:t>
      </w:r>
      <w:r w:rsidR="00CD6117">
        <w:rPr>
          <w:i/>
          <w:iCs/>
        </w:rPr>
        <w:fldChar w:fldCharType="end"/>
      </w:r>
      <w:r w:rsidR="00CD6117">
        <w:t xml:space="preserve"> (UK regulatory approval expected </w:t>
      </w:r>
      <w:r w:rsidR="00F77ABC" w:rsidRPr="00F77ABC">
        <w:rPr>
          <w:color w:val="000000"/>
          <w:highlight w:val="black"/>
        </w:rPr>
        <w:t>xxxxxxxxxxx</w:t>
      </w:r>
      <w:r w:rsidR="00CD6117">
        <w:t>)</w:t>
      </w:r>
      <w:r>
        <w:t>, representing</w:t>
      </w:r>
      <w:r w:rsidRPr="00054570">
        <w:t xml:space="preserve"> a step-change in the treatment </w:t>
      </w:r>
      <w:r>
        <w:t>paradigm and supporting a</w:t>
      </w:r>
      <w:r w:rsidRPr="00054570">
        <w:t xml:space="preserve"> need for clinical pathway</w:t>
      </w:r>
      <w:r>
        <w:t>s</w:t>
      </w:r>
      <w:r w:rsidRPr="00054570">
        <w:t xml:space="preserve"> to </w:t>
      </w:r>
      <w:r>
        <w:t xml:space="preserve">further </w:t>
      </w:r>
      <w:r w:rsidR="00D34FDF">
        <w:t>categorise</w:t>
      </w:r>
      <w:r w:rsidR="00D34FDF" w:rsidRPr="00054570">
        <w:t xml:space="preserve"> </w:t>
      </w:r>
      <w:r w:rsidRPr="00054570">
        <w:t>HER2 status</w:t>
      </w:r>
      <w:r>
        <w:t xml:space="preserve">. </w:t>
      </w:r>
      <w:r w:rsidRPr="00054570">
        <w:t xml:space="preserve">In light of the suboptimal survival outcomes in HER2-negative u/mBC, </w:t>
      </w:r>
      <w:r>
        <w:t>T-</w:t>
      </w:r>
      <w:r w:rsidRPr="00054570">
        <w:t>DXd offer</w:t>
      </w:r>
      <w:r>
        <w:t>s</w:t>
      </w:r>
      <w:r w:rsidRPr="00054570">
        <w:t xml:space="preserve"> hope of extended life and </w:t>
      </w:r>
      <w:r w:rsidR="006421C0">
        <w:t>QoL</w:t>
      </w:r>
      <w:r w:rsidRPr="00054570">
        <w:t xml:space="preserve"> fo</w:t>
      </w:r>
      <w:r>
        <w:t>r</w:t>
      </w:r>
      <w:r w:rsidRPr="00054570">
        <w:t xml:space="preserve"> patients, carers, and families</w:t>
      </w:r>
      <w:r>
        <w:t xml:space="preserve"> in a setting where there is a </w:t>
      </w:r>
      <w:r>
        <w:lastRenderedPageBreak/>
        <w:t xml:space="preserve">substantial unmet need. </w:t>
      </w:r>
      <w:r w:rsidR="002A6805" w:rsidRPr="00054570">
        <w:t xml:space="preserve">UK clinical experts confirmed that there is </w:t>
      </w:r>
      <w:r w:rsidR="002A6805">
        <w:t xml:space="preserve">an unmet need for better </w:t>
      </w:r>
      <w:r w:rsidR="001A227C">
        <w:t xml:space="preserve">patient </w:t>
      </w:r>
      <w:r w:rsidR="002A6805">
        <w:t>outcomes in this setting</w:t>
      </w:r>
      <w:r w:rsidR="002A6805" w:rsidRPr="00054570">
        <w:t>.</w:t>
      </w:r>
      <w:r w:rsidR="002A6805" w:rsidRPr="00054570">
        <w:fldChar w:fldCharType="begin"/>
      </w:r>
      <w:r w:rsidR="00CA6345">
        <w:instrText xml:space="preserve"> ADDIN ZOTERO_ITEM CSL_CITATION {"citationID":"HazZJZhm","properties":{"formattedCitation":"\\super 121\\nosupersub{}","plainCitation":"121","noteIndex":0},"citationItems":[{"id":66356,"uris":["http://zotero.org/groups/4797619/items/N6DNXLEP"],"itemData":{"id":66356,"type":"document","title":"T-DXd in HER2-low u/mBC. UK advisory board meeting report. Data on File.","author":[{"family":"Daiichi Sankyo Inc.","given":""}],"issued":{"date-parts":[["2022",12]]}}}],"schema":"https://github.com/citation-style-language/schema/raw/master/csl-citation.json"} </w:instrText>
      </w:r>
      <w:r w:rsidR="002A6805" w:rsidRPr="00054570">
        <w:fldChar w:fldCharType="separate"/>
      </w:r>
      <w:r w:rsidR="00CA6345" w:rsidRPr="00CA6345">
        <w:rPr>
          <w:rFonts w:cs="Arial"/>
          <w:szCs w:val="24"/>
          <w:vertAlign w:val="superscript"/>
        </w:rPr>
        <w:t>121</w:t>
      </w:r>
      <w:r w:rsidR="002A6805" w:rsidRPr="00054570">
        <w:fldChar w:fldCharType="end"/>
      </w:r>
      <w:r w:rsidR="002A6805" w:rsidRPr="00293ECD">
        <w:t xml:space="preserve"> </w:t>
      </w:r>
      <w:r>
        <w:t xml:space="preserve">T-DXd </w:t>
      </w:r>
      <w:r w:rsidR="006F4C39">
        <w:t xml:space="preserve">clearly </w:t>
      </w:r>
      <w:r>
        <w:t xml:space="preserve">addresses this </w:t>
      </w:r>
      <w:r w:rsidR="006F4C39">
        <w:t xml:space="preserve">unmet need </w:t>
      </w:r>
      <w:r>
        <w:t xml:space="preserve">by demonstrating significant improvements across clinically meaningful endpoints while providing a manageable safety profile and maintaining quality-of life compared with current standard of care. </w:t>
      </w:r>
      <w:r w:rsidR="009F0B97" w:rsidRPr="000B4DA3">
        <w:rPr>
          <w:rFonts w:cs="Arial"/>
        </w:rPr>
        <w:t>When a severity modifier equivalent to the previous EOL weighting is applied, T-DXd is a cost-effective use of NHS resources.   </w:t>
      </w:r>
      <w:r w:rsidR="005E2976">
        <w:br w:type="page"/>
      </w:r>
    </w:p>
    <w:p w14:paraId="59DAFB7C" w14:textId="77777777" w:rsidR="005E2976" w:rsidRDefault="005E2976" w:rsidP="005A1EE2">
      <w:pPr>
        <w:pStyle w:val="Heading1"/>
        <w:spacing w:line="240" w:lineRule="auto"/>
      </w:pPr>
      <w:bookmarkStart w:id="901" w:name="_Toc129350926"/>
      <w:r>
        <w:lastRenderedPageBreak/>
        <w:t>References</w:t>
      </w:r>
      <w:bookmarkEnd w:id="901"/>
    </w:p>
    <w:p w14:paraId="1584BE38" w14:textId="77777777" w:rsidR="002313E2" w:rsidRPr="007B326B" w:rsidRDefault="004E2C26" w:rsidP="007B326B">
      <w:pPr>
        <w:pStyle w:val="Bibliography"/>
        <w:spacing w:line="240" w:lineRule="auto"/>
        <w:rPr>
          <w:rFonts w:cs="Arial"/>
          <w:sz w:val="20"/>
          <w:szCs w:val="20"/>
        </w:rPr>
      </w:pPr>
      <w:r w:rsidRPr="007B326B">
        <w:rPr>
          <w:rFonts w:cs="Arial"/>
          <w:sz w:val="20"/>
          <w:szCs w:val="20"/>
        </w:rPr>
        <w:fldChar w:fldCharType="begin"/>
      </w:r>
      <w:r w:rsidR="002313E2" w:rsidRPr="007B326B">
        <w:rPr>
          <w:rFonts w:cs="Arial"/>
          <w:sz w:val="20"/>
          <w:szCs w:val="20"/>
        </w:rPr>
        <w:instrText xml:space="preserve"> ADDIN ZOTERO_BIBL {"uncited":[],"omitted":[],"custom":[]} CSL_BIBLIOGRAPHY </w:instrText>
      </w:r>
      <w:r w:rsidRPr="007B326B">
        <w:rPr>
          <w:rFonts w:cs="Arial"/>
          <w:sz w:val="20"/>
          <w:szCs w:val="20"/>
        </w:rPr>
        <w:fldChar w:fldCharType="separate"/>
      </w:r>
      <w:r w:rsidR="002313E2" w:rsidRPr="007B326B">
        <w:rPr>
          <w:rFonts w:cs="Arial"/>
          <w:sz w:val="20"/>
          <w:szCs w:val="20"/>
        </w:rPr>
        <w:t>1.</w:t>
      </w:r>
      <w:r w:rsidR="002313E2" w:rsidRPr="007B326B">
        <w:rPr>
          <w:rFonts w:cs="Arial"/>
          <w:sz w:val="20"/>
          <w:szCs w:val="20"/>
        </w:rPr>
        <w:tab/>
        <w:t>NICE. Final Scope. Trastuzumab deruxtecan for treating HER2-low unresectable or metastatic breast cancer after chemotherapy. 2023. at &lt;https://www.nice.org.uk/guidance/gid-ta10813/documents/final-scope&gt;</w:t>
      </w:r>
    </w:p>
    <w:p w14:paraId="20821821" w14:textId="77777777" w:rsidR="002313E2" w:rsidRPr="007B326B" w:rsidRDefault="002313E2" w:rsidP="007B326B">
      <w:pPr>
        <w:pStyle w:val="Bibliography"/>
        <w:spacing w:line="240" w:lineRule="auto"/>
        <w:rPr>
          <w:rFonts w:cs="Arial"/>
          <w:sz w:val="20"/>
          <w:szCs w:val="20"/>
        </w:rPr>
      </w:pPr>
      <w:r w:rsidRPr="007B326B">
        <w:rPr>
          <w:rFonts w:cs="Arial"/>
          <w:sz w:val="20"/>
          <w:szCs w:val="20"/>
        </w:rPr>
        <w:t>2.</w:t>
      </w:r>
      <w:r w:rsidRPr="007B326B">
        <w:rPr>
          <w:rFonts w:cs="Arial"/>
          <w:sz w:val="20"/>
          <w:szCs w:val="20"/>
        </w:rPr>
        <w:tab/>
        <w:t>NICE. NICE health technology evaluations: the manual. 2022. at &lt;https://www.nice.org.uk/process/pmg36/chapter/introduction-to-health-technology-evaluation&gt;</w:t>
      </w:r>
    </w:p>
    <w:p w14:paraId="39E45CCA" w14:textId="77777777" w:rsidR="002313E2" w:rsidRPr="007B326B" w:rsidRDefault="002313E2" w:rsidP="007B326B">
      <w:pPr>
        <w:pStyle w:val="Bibliography"/>
        <w:spacing w:line="240" w:lineRule="auto"/>
        <w:rPr>
          <w:rFonts w:cs="Arial"/>
          <w:sz w:val="20"/>
          <w:szCs w:val="20"/>
        </w:rPr>
      </w:pPr>
      <w:r w:rsidRPr="007B326B">
        <w:rPr>
          <w:rFonts w:cs="Arial"/>
          <w:sz w:val="20"/>
          <w:szCs w:val="20"/>
        </w:rPr>
        <w:t>3.</w:t>
      </w:r>
      <w:r w:rsidRPr="007B326B">
        <w:rPr>
          <w:rFonts w:cs="Arial"/>
          <w:sz w:val="20"/>
          <w:szCs w:val="20"/>
        </w:rPr>
        <w:tab/>
        <w:t>European Medicines Agency (EMA). EMA Enhertu Summary of Product Characteristics (SmPC). 2023. at &lt;https://www.ema.europa.eu/en/documents/product-information/enhertu-epar-product-information_en.pdf&gt;</w:t>
      </w:r>
    </w:p>
    <w:p w14:paraId="08C89112" w14:textId="77777777" w:rsidR="002313E2" w:rsidRPr="007B326B" w:rsidRDefault="002313E2" w:rsidP="007B326B">
      <w:pPr>
        <w:pStyle w:val="Bibliography"/>
        <w:spacing w:line="240" w:lineRule="auto"/>
        <w:rPr>
          <w:rFonts w:cs="Arial"/>
          <w:sz w:val="20"/>
          <w:szCs w:val="20"/>
        </w:rPr>
      </w:pPr>
      <w:r w:rsidRPr="007B326B">
        <w:rPr>
          <w:rFonts w:cs="Arial"/>
          <w:sz w:val="20"/>
          <w:szCs w:val="20"/>
        </w:rPr>
        <w:t>4.</w:t>
      </w:r>
      <w:r w:rsidRPr="007B326B">
        <w:rPr>
          <w:rFonts w:cs="Arial"/>
          <w:sz w:val="20"/>
          <w:szCs w:val="20"/>
        </w:rPr>
        <w:tab/>
        <w:t>NICE. Trastuzumab deruxtecan for treating HER2-positive unresectable or metastatic breast cancer after 2 or more anti-HER2 therapies | NICE [TA704]. at &lt;https://www.nice.org.uk/guidance/ta704&gt;</w:t>
      </w:r>
    </w:p>
    <w:p w14:paraId="1172114B" w14:textId="77777777" w:rsidR="002313E2" w:rsidRPr="007B326B" w:rsidRDefault="002313E2" w:rsidP="007B326B">
      <w:pPr>
        <w:pStyle w:val="Bibliography"/>
        <w:spacing w:line="240" w:lineRule="auto"/>
        <w:rPr>
          <w:rFonts w:cs="Arial"/>
          <w:sz w:val="20"/>
          <w:szCs w:val="20"/>
        </w:rPr>
      </w:pPr>
      <w:r w:rsidRPr="007B326B">
        <w:rPr>
          <w:rFonts w:cs="Arial"/>
          <w:sz w:val="20"/>
          <w:szCs w:val="20"/>
        </w:rPr>
        <w:t>5.</w:t>
      </w:r>
      <w:r w:rsidRPr="007B326B">
        <w:rPr>
          <w:rFonts w:cs="Arial"/>
          <w:sz w:val="20"/>
          <w:szCs w:val="20"/>
        </w:rPr>
        <w:tab/>
        <w:t>NICE. Trastuzumab deruxtecan for treating HER2-positive unresectable or metastatic breast cancer after 1 or more anti-HER2 therapies | NICE [TA862]. 2023. at &lt;https://www.nice.org.uk/guidance/indevelopment/gid-ta10804/documents&gt;</w:t>
      </w:r>
    </w:p>
    <w:p w14:paraId="600E3519" w14:textId="77777777" w:rsidR="002313E2" w:rsidRPr="007B326B" w:rsidRDefault="002313E2" w:rsidP="007B326B">
      <w:pPr>
        <w:pStyle w:val="Bibliography"/>
        <w:spacing w:line="240" w:lineRule="auto"/>
        <w:rPr>
          <w:rFonts w:cs="Arial"/>
          <w:sz w:val="20"/>
          <w:szCs w:val="20"/>
        </w:rPr>
      </w:pPr>
      <w:r w:rsidRPr="007B326B">
        <w:rPr>
          <w:rFonts w:cs="Arial"/>
          <w:sz w:val="20"/>
          <w:szCs w:val="20"/>
        </w:rPr>
        <w:t>6.</w:t>
      </w:r>
      <w:r w:rsidRPr="007B326B">
        <w:rPr>
          <w:rFonts w:cs="Arial"/>
          <w:sz w:val="20"/>
          <w:szCs w:val="20"/>
        </w:rPr>
        <w:tab/>
        <w:t xml:space="preserve">Modi S, Jacot W, Yamashita T, </w:t>
      </w:r>
      <w:r w:rsidRPr="007B326B">
        <w:rPr>
          <w:rFonts w:cs="Arial"/>
          <w:i/>
          <w:iCs/>
          <w:sz w:val="20"/>
          <w:szCs w:val="20"/>
        </w:rPr>
        <w:t>et al.</w:t>
      </w:r>
      <w:r w:rsidRPr="007B326B">
        <w:rPr>
          <w:rFonts w:cs="Arial"/>
          <w:sz w:val="20"/>
          <w:szCs w:val="20"/>
        </w:rPr>
        <w:t xml:space="preserve"> Trastuzumab Deruxtecan in Previously Treated HER2-Low Advanced Breast Cancer. </w:t>
      </w:r>
      <w:r w:rsidRPr="007B326B">
        <w:rPr>
          <w:rFonts w:cs="Arial"/>
          <w:i/>
          <w:iCs/>
          <w:sz w:val="20"/>
          <w:szCs w:val="20"/>
        </w:rPr>
        <w:t>New England Journal of Medicine</w:t>
      </w:r>
      <w:r w:rsidRPr="007B326B">
        <w:rPr>
          <w:rFonts w:cs="Arial"/>
          <w:sz w:val="20"/>
          <w:szCs w:val="20"/>
        </w:rPr>
        <w:t xml:space="preserve"> 2022. 387: 9–20.</w:t>
      </w:r>
    </w:p>
    <w:p w14:paraId="1C17EB88" w14:textId="77777777" w:rsidR="002313E2" w:rsidRPr="007B326B" w:rsidRDefault="002313E2" w:rsidP="007B326B">
      <w:pPr>
        <w:pStyle w:val="Bibliography"/>
        <w:spacing w:line="240" w:lineRule="auto"/>
        <w:rPr>
          <w:rFonts w:cs="Arial"/>
          <w:sz w:val="20"/>
          <w:szCs w:val="20"/>
        </w:rPr>
      </w:pPr>
      <w:r w:rsidRPr="007B326B">
        <w:rPr>
          <w:rFonts w:cs="Arial"/>
          <w:sz w:val="20"/>
          <w:szCs w:val="20"/>
        </w:rPr>
        <w:t>7.</w:t>
      </w:r>
      <w:r w:rsidRPr="007B326B">
        <w:rPr>
          <w:rFonts w:cs="Arial"/>
          <w:sz w:val="20"/>
          <w:szCs w:val="20"/>
        </w:rPr>
        <w:tab/>
        <w:t>Daiichi Sankyo Inc. Clinical Study Report for DS8201-A-U303. Data cut-off date: 11 Jan 2022. Data on File. 2022.</w:t>
      </w:r>
    </w:p>
    <w:p w14:paraId="5CB38603" w14:textId="77777777" w:rsidR="002313E2" w:rsidRPr="007B326B" w:rsidRDefault="002313E2" w:rsidP="007B326B">
      <w:pPr>
        <w:pStyle w:val="Bibliography"/>
        <w:spacing w:line="240" w:lineRule="auto"/>
        <w:rPr>
          <w:rFonts w:cs="Arial"/>
          <w:sz w:val="20"/>
          <w:szCs w:val="20"/>
        </w:rPr>
      </w:pPr>
      <w:r w:rsidRPr="007B326B">
        <w:rPr>
          <w:rFonts w:cs="Arial"/>
          <w:sz w:val="20"/>
          <w:szCs w:val="20"/>
        </w:rPr>
        <w:t>8.</w:t>
      </w:r>
      <w:r w:rsidRPr="007B326B">
        <w:rPr>
          <w:rFonts w:cs="Arial"/>
          <w:sz w:val="20"/>
          <w:szCs w:val="20"/>
        </w:rPr>
        <w:tab/>
        <w:t>European Medicines Agency (EMA). Enhertu European Public Assessment Report (EPAR) Type II Variation. Procedure no. EMEA/H/C/005124/II/0022. Version 2.0. 15 December 2022. 2022. at &lt;https://www.ema.europa.eu/documents/variation-report/enhertu-h-c-005124-ii-0022-epar-assessment-report-variation_en.pdf&gt;</w:t>
      </w:r>
    </w:p>
    <w:p w14:paraId="6E291779" w14:textId="77777777" w:rsidR="002313E2" w:rsidRPr="007B326B" w:rsidRDefault="002313E2" w:rsidP="007B326B">
      <w:pPr>
        <w:pStyle w:val="Bibliography"/>
        <w:spacing w:line="240" w:lineRule="auto"/>
        <w:rPr>
          <w:rFonts w:cs="Arial"/>
          <w:sz w:val="20"/>
          <w:szCs w:val="20"/>
        </w:rPr>
      </w:pPr>
      <w:r w:rsidRPr="007B326B">
        <w:rPr>
          <w:rFonts w:cs="Arial"/>
          <w:sz w:val="20"/>
          <w:szCs w:val="20"/>
        </w:rPr>
        <w:t>9.</w:t>
      </w:r>
      <w:r w:rsidRPr="007B326B">
        <w:rPr>
          <w:rFonts w:cs="Arial"/>
          <w:sz w:val="20"/>
          <w:szCs w:val="20"/>
        </w:rPr>
        <w:tab/>
        <w:t xml:space="preserve">Yver A, Agatsuma T &amp; Soria J-C. The art of innovation: clinical development of trastuzumab deruxtecan and redefining how antibody-drug conjugates target HER2-positive cancers. </w:t>
      </w:r>
      <w:r w:rsidRPr="007B326B">
        <w:rPr>
          <w:rFonts w:cs="Arial"/>
          <w:i/>
          <w:iCs/>
          <w:sz w:val="20"/>
          <w:szCs w:val="20"/>
        </w:rPr>
        <w:t>Ann Oncol</w:t>
      </w:r>
      <w:r w:rsidRPr="007B326B">
        <w:rPr>
          <w:rFonts w:cs="Arial"/>
          <w:sz w:val="20"/>
          <w:szCs w:val="20"/>
        </w:rPr>
        <w:t xml:space="preserve"> 2020. 31: 430–434.</w:t>
      </w:r>
    </w:p>
    <w:p w14:paraId="39767CDC"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10.</w:t>
      </w:r>
      <w:r w:rsidRPr="007B326B">
        <w:rPr>
          <w:rFonts w:cs="Arial"/>
          <w:sz w:val="20"/>
          <w:szCs w:val="20"/>
        </w:rPr>
        <w:tab/>
        <w:t xml:space="preserve">Ogitani Y, Aida T, Hagihara K, </w:t>
      </w:r>
      <w:r w:rsidRPr="007B326B">
        <w:rPr>
          <w:rFonts w:cs="Arial"/>
          <w:i/>
          <w:iCs/>
          <w:sz w:val="20"/>
          <w:szCs w:val="20"/>
        </w:rPr>
        <w:t>et al.</w:t>
      </w:r>
      <w:r w:rsidRPr="007B326B">
        <w:rPr>
          <w:rFonts w:cs="Arial"/>
          <w:sz w:val="20"/>
          <w:szCs w:val="20"/>
        </w:rPr>
        <w:t xml:space="preserve"> DS-8201a, A Novel HER2-Targeting ADC with a Novel DNA Topoisomerase I Inhibitor, Demonstrates a Promising Antitumor Efficacy with Differentiation from T-DM1. </w:t>
      </w:r>
      <w:r w:rsidRPr="007B326B">
        <w:rPr>
          <w:rFonts w:cs="Arial"/>
          <w:i/>
          <w:iCs/>
          <w:sz w:val="20"/>
          <w:szCs w:val="20"/>
        </w:rPr>
        <w:t>Clin Cancer Res</w:t>
      </w:r>
      <w:r w:rsidRPr="007B326B">
        <w:rPr>
          <w:rFonts w:cs="Arial"/>
          <w:sz w:val="20"/>
          <w:szCs w:val="20"/>
        </w:rPr>
        <w:t xml:space="preserve"> 2016. 22: 5097–5108.</w:t>
      </w:r>
    </w:p>
    <w:p w14:paraId="11A0E029"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11.</w:t>
      </w:r>
      <w:r w:rsidRPr="007B326B">
        <w:rPr>
          <w:rFonts w:cs="Arial"/>
          <w:sz w:val="20"/>
          <w:szCs w:val="20"/>
        </w:rPr>
        <w:tab/>
        <w:t xml:space="preserve">Nakada T, Sugihara K, Jikoh T, </w:t>
      </w:r>
      <w:r w:rsidRPr="007B326B">
        <w:rPr>
          <w:rFonts w:cs="Arial"/>
          <w:i/>
          <w:iCs/>
          <w:sz w:val="20"/>
          <w:szCs w:val="20"/>
        </w:rPr>
        <w:t>et al.</w:t>
      </w:r>
      <w:r w:rsidRPr="007B326B">
        <w:rPr>
          <w:rFonts w:cs="Arial"/>
          <w:sz w:val="20"/>
          <w:szCs w:val="20"/>
        </w:rPr>
        <w:t xml:space="preserve"> The Latest Research and Development into the Antibody-Drug Conjugate, [fam-] Trastuzumab Deruxtecan (DS-8201a), for HER2 Cancer Therapy. </w:t>
      </w:r>
      <w:r w:rsidRPr="007B326B">
        <w:rPr>
          <w:rFonts w:cs="Arial"/>
          <w:i/>
          <w:iCs/>
          <w:sz w:val="20"/>
          <w:szCs w:val="20"/>
        </w:rPr>
        <w:t>Chem Pharm Bull (Tokyo)</w:t>
      </w:r>
      <w:r w:rsidRPr="007B326B">
        <w:rPr>
          <w:rFonts w:cs="Arial"/>
          <w:sz w:val="20"/>
          <w:szCs w:val="20"/>
        </w:rPr>
        <w:t xml:space="preserve"> 2019. 67: 173–185.</w:t>
      </w:r>
    </w:p>
    <w:p w14:paraId="63C44F5F"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12.</w:t>
      </w:r>
      <w:r w:rsidRPr="007B326B">
        <w:rPr>
          <w:rFonts w:cs="Arial"/>
          <w:sz w:val="20"/>
          <w:szCs w:val="20"/>
        </w:rPr>
        <w:tab/>
        <w:t xml:space="preserve">Nagai Y, Oitate M, Shiozawa H, </w:t>
      </w:r>
      <w:r w:rsidRPr="007B326B">
        <w:rPr>
          <w:rFonts w:cs="Arial"/>
          <w:i/>
          <w:iCs/>
          <w:sz w:val="20"/>
          <w:szCs w:val="20"/>
        </w:rPr>
        <w:t>et al.</w:t>
      </w:r>
      <w:r w:rsidRPr="007B326B">
        <w:rPr>
          <w:rFonts w:cs="Arial"/>
          <w:sz w:val="20"/>
          <w:szCs w:val="20"/>
        </w:rPr>
        <w:t xml:space="preserve"> Comprehensive preclinical pharmacokinetic evaluations of trastuzumab deruxtecan (DS-8201a), a HER2-targeting antibody-drug conjugate, in cynomolgus monkeys. </w:t>
      </w:r>
      <w:r w:rsidRPr="007B326B">
        <w:rPr>
          <w:rFonts w:cs="Arial"/>
          <w:i/>
          <w:iCs/>
          <w:sz w:val="20"/>
          <w:szCs w:val="20"/>
        </w:rPr>
        <w:t>Xenobiotica</w:t>
      </w:r>
      <w:r w:rsidRPr="007B326B">
        <w:rPr>
          <w:rFonts w:cs="Arial"/>
          <w:sz w:val="20"/>
          <w:szCs w:val="20"/>
        </w:rPr>
        <w:t xml:space="preserve"> 2019. 49: 1086–1096.</w:t>
      </w:r>
    </w:p>
    <w:p w14:paraId="7D25DE7A"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13.</w:t>
      </w:r>
      <w:r w:rsidRPr="007B326B">
        <w:rPr>
          <w:rFonts w:cs="Arial"/>
          <w:sz w:val="20"/>
          <w:szCs w:val="20"/>
        </w:rPr>
        <w:tab/>
        <w:t xml:space="preserve">Shiose Y, Ochi Y, Kuga H, </w:t>
      </w:r>
      <w:r w:rsidRPr="007B326B">
        <w:rPr>
          <w:rFonts w:cs="Arial"/>
          <w:i/>
          <w:iCs/>
          <w:sz w:val="20"/>
          <w:szCs w:val="20"/>
        </w:rPr>
        <w:t>et al.</w:t>
      </w:r>
      <w:r w:rsidRPr="007B326B">
        <w:rPr>
          <w:rFonts w:cs="Arial"/>
          <w:sz w:val="20"/>
          <w:szCs w:val="20"/>
        </w:rPr>
        <w:t xml:space="preserve"> Relationship between drug release of DE-310, macromolecular prodrug of DX-8951f, and cathepsins activity in several tumors. </w:t>
      </w:r>
      <w:r w:rsidRPr="007B326B">
        <w:rPr>
          <w:rFonts w:cs="Arial"/>
          <w:i/>
          <w:iCs/>
          <w:sz w:val="20"/>
          <w:szCs w:val="20"/>
        </w:rPr>
        <w:t>Biol Pharm Bull</w:t>
      </w:r>
      <w:r w:rsidRPr="007B326B">
        <w:rPr>
          <w:rFonts w:cs="Arial"/>
          <w:sz w:val="20"/>
          <w:szCs w:val="20"/>
        </w:rPr>
        <w:t xml:space="preserve"> 2007. 30: 2365–2370.</w:t>
      </w:r>
    </w:p>
    <w:p w14:paraId="30D4EEE6"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14.</w:t>
      </w:r>
      <w:r w:rsidRPr="007B326B">
        <w:rPr>
          <w:rFonts w:cs="Arial"/>
          <w:sz w:val="20"/>
          <w:szCs w:val="20"/>
        </w:rPr>
        <w:tab/>
        <w:t xml:space="preserve">Ogitani Y, Hagihara K, Oitate M, </w:t>
      </w:r>
      <w:r w:rsidRPr="007B326B">
        <w:rPr>
          <w:rFonts w:cs="Arial"/>
          <w:i/>
          <w:iCs/>
          <w:sz w:val="20"/>
          <w:szCs w:val="20"/>
        </w:rPr>
        <w:t>et al.</w:t>
      </w:r>
      <w:r w:rsidRPr="007B326B">
        <w:rPr>
          <w:rFonts w:cs="Arial"/>
          <w:sz w:val="20"/>
          <w:szCs w:val="20"/>
        </w:rPr>
        <w:t xml:space="preserve"> Bystander killing effect of DS-8201a, a novel anti-human epidermal growth factor receptor 2 antibody-drug conjugate, in tumors with human epidermal growth factor receptor 2 heterogeneity. </w:t>
      </w:r>
      <w:r w:rsidRPr="007B326B">
        <w:rPr>
          <w:rFonts w:cs="Arial"/>
          <w:i/>
          <w:iCs/>
          <w:sz w:val="20"/>
          <w:szCs w:val="20"/>
        </w:rPr>
        <w:t>Cancer Sci</w:t>
      </w:r>
      <w:r w:rsidRPr="007B326B">
        <w:rPr>
          <w:rFonts w:cs="Arial"/>
          <w:sz w:val="20"/>
          <w:szCs w:val="20"/>
        </w:rPr>
        <w:t xml:space="preserve"> 2016. 107: 1039–1046.</w:t>
      </w:r>
    </w:p>
    <w:p w14:paraId="73DDBBB4"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15.</w:t>
      </w:r>
      <w:r w:rsidRPr="007B326B">
        <w:rPr>
          <w:rFonts w:cs="Arial"/>
          <w:sz w:val="20"/>
          <w:szCs w:val="20"/>
        </w:rPr>
        <w:tab/>
        <w:t xml:space="preserve">Nakada T, Masuda T, Naito H, </w:t>
      </w:r>
      <w:r w:rsidRPr="007B326B">
        <w:rPr>
          <w:rFonts w:cs="Arial"/>
          <w:i/>
          <w:iCs/>
          <w:sz w:val="20"/>
          <w:szCs w:val="20"/>
        </w:rPr>
        <w:t>et al.</w:t>
      </w:r>
      <w:r w:rsidRPr="007B326B">
        <w:rPr>
          <w:rFonts w:cs="Arial"/>
          <w:sz w:val="20"/>
          <w:szCs w:val="20"/>
        </w:rPr>
        <w:t xml:space="preserve"> Novel antibody drug conjugates containing exatecan derivative-based cytotoxic payloads. </w:t>
      </w:r>
      <w:r w:rsidRPr="007B326B">
        <w:rPr>
          <w:rFonts w:cs="Arial"/>
          <w:i/>
          <w:iCs/>
          <w:sz w:val="20"/>
          <w:szCs w:val="20"/>
        </w:rPr>
        <w:t>Bioorg Med Chem Lett</w:t>
      </w:r>
      <w:r w:rsidRPr="007B326B">
        <w:rPr>
          <w:rFonts w:cs="Arial"/>
          <w:sz w:val="20"/>
          <w:szCs w:val="20"/>
        </w:rPr>
        <w:t xml:space="preserve"> 2016. 26: 1542–1545.</w:t>
      </w:r>
    </w:p>
    <w:p w14:paraId="1C76D38A"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16.</w:t>
      </w:r>
      <w:r w:rsidRPr="007B326B">
        <w:rPr>
          <w:rFonts w:cs="Arial"/>
          <w:sz w:val="20"/>
          <w:szCs w:val="20"/>
        </w:rPr>
        <w:tab/>
        <w:t xml:space="preserve">Aggarwal N &amp; Sloane BF. Cathepsin B: multiple roles in cancer. </w:t>
      </w:r>
      <w:r w:rsidRPr="007B326B">
        <w:rPr>
          <w:rFonts w:cs="Arial"/>
          <w:i/>
          <w:iCs/>
          <w:sz w:val="20"/>
          <w:szCs w:val="20"/>
        </w:rPr>
        <w:t>Proteomics Clin Appl</w:t>
      </w:r>
      <w:r w:rsidRPr="007B326B">
        <w:rPr>
          <w:rFonts w:cs="Arial"/>
          <w:sz w:val="20"/>
          <w:szCs w:val="20"/>
        </w:rPr>
        <w:t xml:space="preserve"> 2014. 8: 427–437.</w:t>
      </w:r>
    </w:p>
    <w:p w14:paraId="159E2562"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17.</w:t>
      </w:r>
      <w:r w:rsidRPr="007B326B">
        <w:rPr>
          <w:rFonts w:cs="Arial"/>
          <w:sz w:val="20"/>
          <w:szCs w:val="20"/>
        </w:rPr>
        <w:tab/>
        <w:t xml:space="preserve">Niedergethmann M, Wostbrock B, Sturm JW, </w:t>
      </w:r>
      <w:r w:rsidRPr="007B326B">
        <w:rPr>
          <w:rFonts w:cs="Arial"/>
          <w:i/>
          <w:iCs/>
          <w:sz w:val="20"/>
          <w:szCs w:val="20"/>
        </w:rPr>
        <w:t>et al.</w:t>
      </w:r>
      <w:r w:rsidRPr="007B326B">
        <w:rPr>
          <w:rFonts w:cs="Arial"/>
          <w:sz w:val="20"/>
          <w:szCs w:val="20"/>
        </w:rPr>
        <w:t xml:space="preserve"> Prognostic impact of cysteine proteases cathepsin B and cathepsin L in pancreatic adenocarcinoma. </w:t>
      </w:r>
      <w:r w:rsidRPr="007B326B">
        <w:rPr>
          <w:rFonts w:cs="Arial"/>
          <w:i/>
          <w:iCs/>
          <w:sz w:val="20"/>
          <w:szCs w:val="20"/>
        </w:rPr>
        <w:t>Pancreas</w:t>
      </w:r>
      <w:r w:rsidRPr="007B326B">
        <w:rPr>
          <w:rFonts w:cs="Arial"/>
          <w:sz w:val="20"/>
          <w:szCs w:val="20"/>
        </w:rPr>
        <w:t xml:space="preserve"> 2004. 29: 204–211.</w:t>
      </w:r>
    </w:p>
    <w:p w14:paraId="6F0CE8AE"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18.</w:t>
      </w:r>
      <w:r w:rsidRPr="007B326B">
        <w:rPr>
          <w:rFonts w:cs="Arial"/>
          <w:sz w:val="20"/>
          <w:szCs w:val="20"/>
        </w:rPr>
        <w:tab/>
        <w:t>Trastuzumab Deruxtecan for Metastatic HER2-Low Breast Cancer - NCI. 2022. at &lt;https://www.cancer.gov/news-events/cancer-currents-blog/2022/enhertu-her2-low-breast-cancer&gt;</w:t>
      </w:r>
    </w:p>
    <w:p w14:paraId="5D47515F"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19.</w:t>
      </w:r>
      <w:r w:rsidRPr="007B326B">
        <w:rPr>
          <w:rFonts w:cs="Arial"/>
          <w:sz w:val="20"/>
          <w:szCs w:val="20"/>
        </w:rPr>
        <w:tab/>
        <w:t xml:space="preserve">Rakha EA, Tan PH, Quinn C, </w:t>
      </w:r>
      <w:r w:rsidRPr="007B326B">
        <w:rPr>
          <w:rFonts w:cs="Arial"/>
          <w:i/>
          <w:iCs/>
          <w:sz w:val="20"/>
          <w:szCs w:val="20"/>
        </w:rPr>
        <w:t>et al.</w:t>
      </w:r>
      <w:r w:rsidRPr="007B326B">
        <w:rPr>
          <w:rFonts w:cs="Arial"/>
          <w:sz w:val="20"/>
          <w:szCs w:val="20"/>
        </w:rPr>
        <w:t xml:space="preserve"> UK recommendations for HER2 assessment in breast cancer: an update. </w:t>
      </w:r>
      <w:r w:rsidRPr="007B326B">
        <w:rPr>
          <w:rFonts w:cs="Arial"/>
          <w:i/>
          <w:iCs/>
          <w:sz w:val="20"/>
          <w:szCs w:val="20"/>
        </w:rPr>
        <w:t>J Clin Pathol</w:t>
      </w:r>
      <w:r w:rsidRPr="007B326B">
        <w:rPr>
          <w:rFonts w:cs="Arial"/>
          <w:sz w:val="20"/>
          <w:szCs w:val="20"/>
        </w:rPr>
        <w:t xml:space="preserve"> 2022. jcp-2022-208632. doi:10.1136/jcp-2022-208632</w:t>
      </w:r>
    </w:p>
    <w:p w14:paraId="14099496" w14:textId="77777777" w:rsidR="002313E2" w:rsidRPr="007B326B" w:rsidRDefault="002313E2" w:rsidP="007B326B">
      <w:pPr>
        <w:pStyle w:val="Bibliography"/>
        <w:spacing w:line="240" w:lineRule="auto"/>
        <w:rPr>
          <w:rFonts w:cs="Arial"/>
          <w:sz w:val="20"/>
          <w:szCs w:val="20"/>
        </w:rPr>
      </w:pPr>
      <w:r w:rsidRPr="007B326B">
        <w:rPr>
          <w:rFonts w:cs="Arial"/>
          <w:sz w:val="20"/>
          <w:szCs w:val="20"/>
        </w:rPr>
        <w:t>20.</w:t>
      </w:r>
      <w:r w:rsidRPr="007B326B">
        <w:rPr>
          <w:rFonts w:cs="Arial"/>
          <w:sz w:val="20"/>
          <w:szCs w:val="20"/>
        </w:rPr>
        <w:tab/>
        <w:t xml:space="preserve">Modi S. Trastuzumab deruxtecan in previously treated HER2-positive metastatic breast cancer: Plain language summary of the DESTINY-Breast01 study. </w:t>
      </w:r>
      <w:r w:rsidRPr="007B326B">
        <w:rPr>
          <w:rFonts w:cs="Arial"/>
          <w:i/>
          <w:iCs/>
          <w:sz w:val="20"/>
          <w:szCs w:val="20"/>
        </w:rPr>
        <w:t>Future Oncol</w:t>
      </w:r>
      <w:r w:rsidRPr="007B326B">
        <w:rPr>
          <w:rFonts w:cs="Arial"/>
          <w:sz w:val="20"/>
          <w:szCs w:val="20"/>
        </w:rPr>
        <w:t xml:space="preserve"> 2021. 17: 3415–3423.</w:t>
      </w:r>
    </w:p>
    <w:p w14:paraId="4E96079F" w14:textId="77777777" w:rsidR="002313E2" w:rsidRPr="007B326B" w:rsidRDefault="002313E2" w:rsidP="007B326B">
      <w:pPr>
        <w:pStyle w:val="Bibliography"/>
        <w:spacing w:line="240" w:lineRule="auto"/>
        <w:rPr>
          <w:rFonts w:cs="Arial"/>
          <w:sz w:val="20"/>
          <w:szCs w:val="20"/>
        </w:rPr>
      </w:pPr>
      <w:r w:rsidRPr="007B326B">
        <w:rPr>
          <w:rFonts w:cs="Arial"/>
          <w:sz w:val="20"/>
          <w:szCs w:val="20"/>
        </w:rPr>
        <w:t>21.</w:t>
      </w:r>
      <w:r w:rsidRPr="007B326B">
        <w:rPr>
          <w:rFonts w:cs="Arial"/>
          <w:sz w:val="20"/>
          <w:szCs w:val="20"/>
        </w:rPr>
        <w:tab/>
        <w:t>CancerData. at &lt;https://www.cancerdata.nhs.uk/incidence_and_mortality&gt;</w:t>
      </w:r>
    </w:p>
    <w:p w14:paraId="6CAF4363" w14:textId="77777777" w:rsidR="002313E2" w:rsidRPr="007B326B" w:rsidRDefault="002313E2" w:rsidP="007B326B">
      <w:pPr>
        <w:pStyle w:val="Bibliography"/>
        <w:spacing w:line="240" w:lineRule="auto"/>
        <w:rPr>
          <w:rFonts w:cs="Arial"/>
          <w:sz w:val="20"/>
          <w:szCs w:val="20"/>
        </w:rPr>
      </w:pPr>
      <w:r w:rsidRPr="007B326B">
        <w:rPr>
          <w:rFonts w:cs="Arial"/>
          <w:sz w:val="20"/>
          <w:szCs w:val="20"/>
        </w:rPr>
        <w:t>22.</w:t>
      </w:r>
      <w:r w:rsidRPr="007B326B">
        <w:rPr>
          <w:rFonts w:cs="Arial"/>
          <w:sz w:val="20"/>
          <w:szCs w:val="20"/>
        </w:rPr>
        <w:tab/>
        <w:t xml:space="preserve">Cancer Registration Statistics, England 2019. </w:t>
      </w:r>
      <w:r w:rsidRPr="007B326B">
        <w:rPr>
          <w:rFonts w:cs="Arial"/>
          <w:i/>
          <w:iCs/>
          <w:sz w:val="20"/>
          <w:szCs w:val="20"/>
        </w:rPr>
        <w:t>NHS Digital</w:t>
      </w:r>
      <w:r w:rsidRPr="007B326B">
        <w:rPr>
          <w:rFonts w:cs="Arial"/>
          <w:sz w:val="20"/>
          <w:szCs w:val="20"/>
        </w:rPr>
        <w:t xml:space="preserve"> at &lt;https://digital.nhs.uk/data-and-information/publications/statistical/cancer-registration-statistics/england-2019&gt;</w:t>
      </w:r>
    </w:p>
    <w:p w14:paraId="1AB92AFF" w14:textId="77777777" w:rsidR="002313E2" w:rsidRPr="007B326B" w:rsidRDefault="002313E2" w:rsidP="007B326B">
      <w:pPr>
        <w:pStyle w:val="Bibliography"/>
        <w:spacing w:line="240" w:lineRule="auto"/>
        <w:rPr>
          <w:rFonts w:cs="Arial"/>
          <w:sz w:val="20"/>
          <w:szCs w:val="20"/>
        </w:rPr>
      </w:pPr>
      <w:r w:rsidRPr="007B326B">
        <w:rPr>
          <w:rFonts w:cs="Arial"/>
          <w:sz w:val="20"/>
          <w:szCs w:val="20"/>
        </w:rPr>
        <w:t>23.</w:t>
      </w:r>
      <w:r w:rsidRPr="007B326B">
        <w:rPr>
          <w:rFonts w:cs="Arial"/>
          <w:sz w:val="20"/>
          <w:szCs w:val="20"/>
        </w:rPr>
        <w:tab/>
        <w:t>NICE. Early and locally advanced breast cancer: diagnosis and management | NICE [NG101]. at &lt;https://www.nice.org.uk/guidance/ng101&gt;</w:t>
      </w:r>
    </w:p>
    <w:p w14:paraId="4CB34031" w14:textId="77777777" w:rsidR="002313E2" w:rsidRPr="007B326B" w:rsidRDefault="002313E2" w:rsidP="007B326B">
      <w:pPr>
        <w:pStyle w:val="Bibliography"/>
        <w:spacing w:line="240" w:lineRule="auto"/>
        <w:rPr>
          <w:rFonts w:cs="Arial"/>
          <w:sz w:val="20"/>
          <w:szCs w:val="20"/>
        </w:rPr>
      </w:pPr>
      <w:r w:rsidRPr="007B326B">
        <w:rPr>
          <w:rFonts w:cs="Arial"/>
          <w:sz w:val="20"/>
          <w:szCs w:val="20"/>
        </w:rPr>
        <w:lastRenderedPageBreak/>
        <w:t>24.</w:t>
      </w:r>
      <w:r w:rsidRPr="007B326B">
        <w:rPr>
          <w:rFonts w:cs="Arial"/>
          <w:sz w:val="20"/>
          <w:szCs w:val="20"/>
        </w:rPr>
        <w:tab/>
        <w:t xml:space="preserve">Cancer survival in England for patients diagnosed between 2014 and 2018, and followed up until 2019. </w:t>
      </w:r>
      <w:r w:rsidRPr="007B326B">
        <w:rPr>
          <w:rFonts w:cs="Arial"/>
          <w:i/>
          <w:iCs/>
          <w:sz w:val="20"/>
          <w:szCs w:val="20"/>
        </w:rPr>
        <w:t>GOV.UK</w:t>
      </w:r>
      <w:r w:rsidRPr="007B326B">
        <w:rPr>
          <w:rFonts w:cs="Arial"/>
          <w:sz w:val="20"/>
          <w:szCs w:val="20"/>
        </w:rPr>
        <w:t xml:space="preserve"> at &lt;https://www.gov.uk/government/statistics/cancer-survival-in-england-for-patients-diagnosed-between-2014-and-2018-and-followed-up-until-2019&gt;</w:t>
      </w:r>
    </w:p>
    <w:p w14:paraId="13B2838D" w14:textId="77777777" w:rsidR="002313E2" w:rsidRPr="007B326B" w:rsidRDefault="002313E2" w:rsidP="007B326B">
      <w:pPr>
        <w:pStyle w:val="Bibliography"/>
        <w:spacing w:line="240" w:lineRule="auto"/>
        <w:rPr>
          <w:rFonts w:cs="Arial"/>
          <w:sz w:val="20"/>
          <w:szCs w:val="20"/>
        </w:rPr>
      </w:pPr>
      <w:r w:rsidRPr="007B326B">
        <w:rPr>
          <w:rFonts w:cs="Arial"/>
          <w:sz w:val="20"/>
          <w:szCs w:val="20"/>
        </w:rPr>
        <w:t>25.</w:t>
      </w:r>
      <w:r w:rsidRPr="007B326B">
        <w:rPr>
          <w:rFonts w:cs="Arial"/>
          <w:sz w:val="20"/>
          <w:szCs w:val="20"/>
        </w:rPr>
        <w:tab/>
        <w:t xml:space="preserve">Irvin W, Muss HB &amp; Mayer DK. Symptom Management in Metastatic Breast Cancer. </w:t>
      </w:r>
      <w:r w:rsidRPr="007B326B">
        <w:rPr>
          <w:rFonts w:cs="Arial"/>
          <w:i/>
          <w:iCs/>
          <w:sz w:val="20"/>
          <w:szCs w:val="20"/>
        </w:rPr>
        <w:t>Oncologist</w:t>
      </w:r>
      <w:r w:rsidRPr="007B326B">
        <w:rPr>
          <w:rFonts w:cs="Arial"/>
          <w:sz w:val="20"/>
          <w:szCs w:val="20"/>
        </w:rPr>
        <w:t xml:space="preserve"> 2011. 16: 1203–1214.</w:t>
      </w:r>
    </w:p>
    <w:p w14:paraId="426D7357" w14:textId="77777777" w:rsidR="002313E2" w:rsidRPr="007B326B" w:rsidRDefault="002313E2" w:rsidP="007B326B">
      <w:pPr>
        <w:pStyle w:val="Bibliography"/>
        <w:spacing w:line="240" w:lineRule="auto"/>
        <w:rPr>
          <w:rFonts w:cs="Arial"/>
          <w:sz w:val="20"/>
          <w:szCs w:val="20"/>
        </w:rPr>
      </w:pPr>
      <w:r w:rsidRPr="007B326B">
        <w:rPr>
          <w:rFonts w:cs="Arial"/>
          <w:sz w:val="20"/>
          <w:szCs w:val="20"/>
        </w:rPr>
        <w:t>26.</w:t>
      </w:r>
      <w:r w:rsidRPr="007B326B">
        <w:rPr>
          <w:rFonts w:cs="Arial"/>
          <w:sz w:val="20"/>
          <w:szCs w:val="20"/>
        </w:rPr>
        <w:tab/>
        <w:t>Symptoms of secondary breast cancer | Cancer Research UK. at &lt;https://www.cancerresearchuk.org/about-cancer/breast-cancer/secondary/symptoms&gt;</w:t>
      </w:r>
    </w:p>
    <w:p w14:paraId="7BEEB681" w14:textId="77777777" w:rsidR="002313E2" w:rsidRPr="007B326B" w:rsidRDefault="002313E2" w:rsidP="007B326B">
      <w:pPr>
        <w:pStyle w:val="Bibliography"/>
        <w:spacing w:line="240" w:lineRule="auto"/>
        <w:rPr>
          <w:rFonts w:cs="Arial"/>
          <w:sz w:val="20"/>
          <w:szCs w:val="20"/>
        </w:rPr>
      </w:pPr>
      <w:r w:rsidRPr="007B326B">
        <w:rPr>
          <w:rFonts w:cs="Arial"/>
          <w:sz w:val="20"/>
          <w:szCs w:val="20"/>
        </w:rPr>
        <w:t>27.</w:t>
      </w:r>
      <w:r w:rsidRPr="007B326B">
        <w:rPr>
          <w:rFonts w:cs="Arial"/>
          <w:sz w:val="20"/>
          <w:szCs w:val="20"/>
        </w:rPr>
        <w:tab/>
        <w:t xml:space="preserve">McFarland DC, Shaffer KM, Tiersten A, </w:t>
      </w:r>
      <w:r w:rsidRPr="007B326B">
        <w:rPr>
          <w:rFonts w:cs="Arial"/>
          <w:i/>
          <w:iCs/>
          <w:sz w:val="20"/>
          <w:szCs w:val="20"/>
        </w:rPr>
        <w:t>et al.</w:t>
      </w:r>
      <w:r w:rsidRPr="007B326B">
        <w:rPr>
          <w:rFonts w:cs="Arial"/>
          <w:sz w:val="20"/>
          <w:szCs w:val="20"/>
        </w:rPr>
        <w:t xml:space="preserve"> Physical Symptom Burden and Its Association With Distress, Anxiety, and Depression in Breast Cancer. </w:t>
      </w:r>
      <w:r w:rsidRPr="007B326B">
        <w:rPr>
          <w:rFonts w:cs="Arial"/>
          <w:i/>
          <w:iCs/>
          <w:sz w:val="20"/>
          <w:szCs w:val="20"/>
        </w:rPr>
        <w:t>Psychosomatics</w:t>
      </w:r>
      <w:r w:rsidRPr="007B326B">
        <w:rPr>
          <w:rFonts w:cs="Arial"/>
          <w:sz w:val="20"/>
          <w:szCs w:val="20"/>
        </w:rPr>
        <w:t xml:space="preserve"> 2018. 59: 464–471.</w:t>
      </w:r>
    </w:p>
    <w:p w14:paraId="0FDC7445" w14:textId="77777777" w:rsidR="002313E2" w:rsidRPr="007B326B" w:rsidRDefault="002313E2" w:rsidP="007B326B">
      <w:pPr>
        <w:pStyle w:val="Bibliography"/>
        <w:spacing w:line="240" w:lineRule="auto"/>
        <w:rPr>
          <w:rFonts w:cs="Arial"/>
          <w:sz w:val="20"/>
          <w:szCs w:val="20"/>
        </w:rPr>
      </w:pPr>
      <w:r w:rsidRPr="007B326B">
        <w:rPr>
          <w:rFonts w:cs="Arial"/>
          <w:sz w:val="20"/>
          <w:szCs w:val="20"/>
        </w:rPr>
        <w:t>28.</w:t>
      </w:r>
      <w:r w:rsidRPr="007B326B">
        <w:rPr>
          <w:rFonts w:cs="Arial"/>
          <w:sz w:val="20"/>
          <w:szCs w:val="20"/>
        </w:rPr>
        <w:tab/>
        <w:t xml:space="preserve">Verrill M, Wardley AM, Retzler J, </w:t>
      </w:r>
      <w:r w:rsidRPr="007B326B">
        <w:rPr>
          <w:rFonts w:cs="Arial"/>
          <w:i/>
          <w:iCs/>
          <w:sz w:val="20"/>
          <w:szCs w:val="20"/>
        </w:rPr>
        <w:t>et al.</w:t>
      </w:r>
      <w:r w:rsidRPr="007B326B">
        <w:rPr>
          <w:rFonts w:cs="Arial"/>
          <w:sz w:val="20"/>
          <w:szCs w:val="20"/>
        </w:rPr>
        <w:t xml:space="preserve"> Health-related quality of life and work productivity in UK patients with HER2-positive breast cancer: a cross-sectional study evaluating the relationships between disease and treatment stage. </w:t>
      </w:r>
      <w:r w:rsidRPr="007B326B">
        <w:rPr>
          <w:rFonts w:cs="Arial"/>
          <w:i/>
          <w:iCs/>
          <w:sz w:val="20"/>
          <w:szCs w:val="20"/>
        </w:rPr>
        <w:t>Health and Quality of Life Outcomes</w:t>
      </w:r>
      <w:r w:rsidRPr="007B326B">
        <w:rPr>
          <w:rFonts w:cs="Arial"/>
          <w:sz w:val="20"/>
          <w:szCs w:val="20"/>
        </w:rPr>
        <w:t xml:space="preserve"> 2020. 18: 353.</w:t>
      </w:r>
    </w:p>
    <w:p w14:paraId="176522DB" w14:textId="77777777" w:rsidR="002313E2" w:rsidRPr="007B326B" w:rsidRDefault="002313E2" w:rsidP="007B326B">
      <w:pPr>
        <w:pStyle w:val="Bibliography"/>
        <w:spacing w:line="240" w:lineRule="auto"/>
        <w:rPr>
          <w:rFonts w:cs="Arial"/>
          <w:sz w:val="20"/>
          <w:szCs w:val="20"/>
        </w:rPr>
      </w:pPr>
      <w:r w:rsidRPr="007B326B">
        <w:rPr>
          <w:rFonts w:cs="Arial"/>
          <w:sz w:val="20"/>
          <w:szCs w:val="20"/>
        </w:rPr>
        <w:t>29.</w:t>
      </w:r>
      <w:r w:rsidRPr="007B326B">
        <w:rPr>
          <w:rFonts w:cs="Arial"/>
          <w:sz w:val="20"/>
          <w:szCs w:val="20"/>
        </w:rPr>
        <w:tab/>
        <w:t xml:space="preserve">Park EM, Gelber S, Rosenberg SM, </w:t>
      </w:r>
      <w:r w:rsidRPr="007B326B">
        <w:rPr>
          <w:rFonts w:cs="Arial"/>
          <w:i/>
          <w:iCs/>
          <w:sz w:val="20"/>
          <w:szCs w:val="20"/>
        </w:rPr>
        <w:t>et al.</w:t>
      </w:r>
      <w:r w:rsidRPr="007B326B">
        <w:rPr>
          <w:rFonts w:cs="Arial"/>
          <w:sz w:val="20"/>
          <w:szCs w:val="20"/>
        </w:rPr>
        <w:t xml:space="preserve"> Anxiety and Depression in Young Women With Metastatic Breast Cancer: A Cross-Sectional Study. </w:t>
      </w:r>
      <w:r w:rsidRPr="007B326B">
        <w:rPr>
          <w:rFonts w:cs="Arial"/>
          <w:i/>
          <w:iCs/>
          <w:sz w:val="20"/>
          <w:szCs w:val="20"/>
        </w:rPr>
        <w:t>Psychosomatics</w:t>
      </w:r>
      <w:r w:rsidRPr="007B326B">
        <w:rPr>
          <w:rFonts w:cs="Arial"/>
          <w:sz w:val="20"/>
          <w:szCs w:val="20"/>
        </w:rPr>
        <w:t xml:space="preserve"> 2018. 59: 251–258.</w:t>
      </w:r>
    </w:p>
    <w:p w14:paraId="1DF6F058" w14:textId="77777777" w:rsidR="002313E2" w:rsidRPr="007B326B" w:rsidRDefault="002313E2" w:rsidP="007B326B">
      <w:pPr>
        <w:pStyle w:val="Bibliography"/>
        <w:spacing w:line="240" w:lineRule="auto"/>
        <w:rPr>
          <w:rFonts w:cs="Arial"/>
          <w:sz w:val="20"/>
          <w:szCs w:val="20"/>
        </w:rPr>
      </w:pPr>
      <w:r w:rsidRPr="007B326B">
        <w:rPr>
          <w:rFonts w:cs="Arial"/>
          <w:sz w:val="20"/>
          <w:szCs w:val="20"/>
        </w:rPr>
        <w:t>30.</w:t>
      </w:r>
      <w:r w:rsidRPr="007B326B">
        <w:rPr>
          <w:rFonts w:cs="Arial"/>
          <w:sz w:val="20"/>
          <w:szCs w:val="20"/>
        </w:rPr>
        <w:tab/>
        <w:t xml:space="preserve">Hall PS, Hamilton P, Hulme CT, </w:t>
      </w:r>
      <w:r w:rsidRPr="007B326B">
        <w:rPr>
          <w:rFonts w:cs="Arial"/>
          <w:i/>
          <w:iCs/>
          <w:sz w:val="20"/>
          <w:szCs w:val="20"/>
        </w:rPr>
        <w:t>et al.</w:t>
      </w:r>
      <w:r w:rsidRPr="007B326B">
        <w:rPr>
          <w:rFonts w:cs="Arial"/>
          <w:sz w:val="20"/>
          <w:szCs w:val="20"/>
        </w:rPr>
        <w:t xml:space="preserve"> Costs of cancer care for use in economic evaluation: a UK analysis of patient-level routine health system data. </w:t>
      </w:r>
      <w:r w:rsidRPr="007B326B">
        <w:rPr>
          <w:rFonts w:cs="Arial"/>
          <w:i/>
          <w:iCs/>
          <w:sz w:val="20"/>
          <w:szCs w:val="20"/>
        </w:rPr>
        <w:t>Br J Cancer</w:t>
      </w:r>
      <w:r w:rsidRPr="007B326B">
        <w:rPr>
          <w:rFonts w:cs="Arial"/>
          <w:sz w:val="20"/>
          <w:szCs w:val="20"/>
        </w:rPr>
        <w:t xml:space="preserve"> 2015. 112: 948–956.</w:t>
      </w:r>
    </w:p>
    <w:p w14:paraId="256F3012" w14:textId="77777777" w:rsidR="002313E2" w:rsidRPr="007B326B" w:rsidRDefault="002313E2" w:rsidP="007B326B">
      <w:pPr>
        <w:pStyle w:val="Bibliography"/>
        <w:spacing w:line="240" w:lineRule="auto"/>
        <w:rPr>
          <w:rFonts w:cs="Arial"/>
          <w:sz w:val="20"/>
          <w:szCs w:val="20"/>
        </w:rPr>
      </w:pPr>
      <w:r w:rsidRPr="007B326B">
        <w:rPr>
          <w:rFonts w:cs="Arial"/>
          <w:sz w:val="20"/>
          <w:szCs w:val="20"/>
        </w:rPr>
        <w:t>31.</w:t>
      </w:r>
      <w:r w:rsidRPr="007B326B">
        <w:rPr>
          <w:rFonts w:cs="Arial"/>
          <w:sz w:val="20"/>
          <w:szCs w:val="20"/>
        </w:rPr>
        <w:tab/>
        <w:t xml:space="preserve">Sun L, Legood R, Dos-Santos-Silva I, </w:t>
      </w:r>
      <w:r w:rsidRPr="007B326B">
        <w:rPr>
          <w:rFonts w:cs="Arial"/>
          <w:i/>
          <w:iCs/>
          <w:sz w:val="20"/>
          <w:szCs w:val="20"/>
        </w:rPr>
        <w:t>et al.</w:t>
      </w:r>
      <w:r w:rsidRPr="007B326B">
        <w:rPr>
          <w:rFonts w:cs="Arial"/>
          <w:sz w:val="20"/>
          <w:szCs w:val="20"/>
        </w:rPr>
        <w:t xml:space="preserve"> Global treatment costs of breast cancer by stage: A systematic review. </w:t>
      </w:r>
      <w:r w:rsidRPr="007B326B">
        <w:rPr>
          <w:rFonts w:cs="Arial"/>
          <w:i/>
          <w:iCs/>
          <w:sz w:val="20"/>
          <w:szCs w:val="20"/>
        </w:rPr>
        <w:t>PLoS One</w:t>
      </w:r>
      <w:r w:rsidRPr="007B326B">
        <w:rPr>
          <w:rFonts w:cs="Arial"/>
          <w:sz w:val="20"/>
          <w:szCs w:val="20"/>
        </w:rPr>
        <w:t xml:space="preserve"> 2018. 13: e0207993.</w:t>
      </w:r>
    </w:p>
    <w:p w14:paraId="3593DCAF" w14:textId="77777777" w:rsidR="002313E2" w:rsidRPr="007B326B" w:rsidRDefault="002313E2" w:rsidP="007B326B">
      <w:pPr>
        <w:pStyle w:val="Bibliography"/>
        <w:spacing w:line="240" w:lineRule="auto"/>
        <w:rPr>
          <w:rFonts w:cs="Arial"/>
          <w:sz w:val="20"/>
          <w:szCs w:val="20"/>
        </w:rPr>
      </w:pPr>
      <w:r w:rsidRPr="007B326B">
        <w:rPr>
          <w:rFonts w:cs="Arial"/>
          <w:sz w:val="20"/>
          <w:szCs w:val="20"/>
        </w:rPr>
        <w:t>32.</w:t>
      </w:r>
      <w:r w:rsidRPr="007B326B">
        <w:rPr>
          <w:rFonts w:cs="Arial"/>
          <w:sz w:val="20"/>
          <w:szCs w:val="20"/>
        </w:rPr>
        <w:tab/>
        <w:t xml:space="preserve">Secondary breast cancer treatments. </w:t>
      </w:r>
      <w:r w:rsidRPr="007B326B">
        <w:rPr>
          <w:rFonts w:cs="Arial"/>
          <w:i/>
          <w:iCs/>
          <w:sz w:val="20"/>
          <w:szCs w:val="20"/>
        </w:rPr>
        <w:t>Breast Cancer Now</w:t>
      </w:r>
      <w:r w:rsidRPr="007B326B">
        <w:rPr>
          <w:rFonts w:cs="Arial"/>
          <w:sz w:val="20"/>
          <w:szCs w:val="20"/>
        </w:rPr>
        <w:t xml:space="preserve"> 2015. at &lt;https://breastcancernow.org/information-support/facing-breast-cancer/secondary-metastatic-breast-cancer/secondary-breast-cancer-treatment&gt;</w:t>
      </w:r>
    </w:p>
    <w:p w14:paraId="0485FD9E" w14:textId="77777777" w:rsidR="002313E2" w:rsidRPr="007B326B" w:rsidRDefault="002313E2" w:rsidP="007B326B">
      <w:pPr>
        <w:pStyle w:val="Bibliography"/>
        <w:spacing w:line="240" w:lineRule="auto"/>
        <w:rPr>
          <w:rFonts w:cs="Arial"/>
          <w:sz w:val="20"/>
          <w:szCs w:val="20"/>
        </w:rPr>
      </w:pPr>
      <w:r w:rsidRPr="007B326B">
        <w:rPr>
          <w:rFonts w:cs="Arial"/>
          <w:sz w:val="20"/>
          <w:szCs w:val="20"/>
        </w:rPr>
        <w:t>33.</w:t>
      </w:r>
      <w:r w:rsidRPr="007B326B">
        <w:rPr>
          <w:rFonts w:cs="Arial"/>
          <w:sz w:val="20"/>
          <w:szCs w:val="20"/>
        </w:rPr>
        <w:tab/>
        <w:t xml:space="preserve">Breast Cancer - Metastatic - Types of Treatment. </w:t>
      </w:r>
      <w:r w:rsidRPr="007B326B">
        <w:rPr>
          <w:rFonts w:cs="Arial"/>
          <w:i/>
          <w:iCs/>
          <w:sz w:val="20"/>
          <w:szCs w:val="20"/>
        </w:rPr>
        <w:t>Cancer.Net</w:t>
      </w:r>
      <w:r w:rsidRPr="007B326B">
        <w:rPr>
          <w:rFonts w:cs="Arial"/>
          <w:sz w:val="20"/>
          <w:szCs w:val="20"/>
        </w:rPr>
        <w:t xml:space="preserve"> 2017. at &lt;https://www.cancer.net/cancer-types/breast-cancer-metastatic/types-treatment&gt;</w:t>
      </w:r>
    </w:p>
    <w:p w14:paraId="235F5A49" w14:textId="77777777" w:rsidR="002313E2" w:rsidRPr="007B326B" w:rsidRDefault="002313E2" w:rsidP="007B326B">
      <w:pPr>
        <w:pStyle w:val="Bibliography"/>
        <w:spacing w:line="240" w:lineRule="auto"/>
        <w:rPr>
          <w:rFonts w:cs="Arial"/>
          <w:sz w:val="20"/>
          <w:szCs w:val="20"/>
        </w:rPr>
      </w:pPr>
      <w:r w:rsidRPr="007B326B">
        <w:rPr>
          <w:rFonts w:cs="Arial"/>
          <w:sz w:val="20"/>
          <w:szCs w:val="20"/>
        </w:rPr>
        <w:t>34.</w:t>
      </w:r>
      <w:r w:rsidRPr="007B326B">
        <w:rPr>
          <w:rFonts w:cs="Arial"/>
          <w:sz w:val="20"/>
          <w:szCs w:val="20"/>
        </w:rPr>
        <w:tab/>
        <w:t xml:space="preserve">Slamon D, Clark G, Wong S, </w:t>
      </w:r>
      <w:r w:rsidRPr="007B326B">
        <w:rPr>
          <w:rFonts w:cs="Arial"/>
          <w:i/>
          <w:iCs/>
          <w:sz w:val="20"/>
          <w:szCs w:val="20"/>
        </w:rPr>
        <w:t>et al.</w:t>
      </w:r>
      <w:r w:rsidRPr="007B326B">
        <w:rPr>
          <w:rFonts w:cs="Arial"/>
          <w:sz w:val="20"/>
          <w:szCs w:val="20"/>
        </w:rPr>
        <w:t xml:space="preserve"> Slamon DJ, Clark GM, Wong SG, Levin WJ, Ullrich A, McGuire WLHuman breast cancer: correlation of relapse and survival with amplification of the HER-2/neu oncogene. Science (Wash DC) 235: 177-182. </w:t>
      </w:r>
      <w:r w:rsidRPr="007B326B">
        <w:rPr>
          <w:rFonts w:cs="Arial"/>
          <w:i/>
          <w:iCs/>
          <w:sz w:val="20"/>
          <w:szCs w:val="20"/>
        </w:rPr>
        <w:t>Science (New York, NY)</w:t>
      </w:r>
      <w:r w:rsidRPr="007B326B">
        <w:rPr>
          <w:rFonts w:cs="Arial"/>
          <w:sz w:val="20"/>
          <w:szCs w:val="20"/>
        </w:rPr>
        <w:t xml:space="preserve"> 1987. 235: 177–82.</w:t>
      </w:r>
    </w:p>
    <w:p w14:paraId="1C176BBA" w14:textId="77777777" w:rsidR="002313E2" w:rsidRPr="007B326B" w:rsidRDefault="002313E2" w:rsidP="007B326B">
      <w:pPr>
        <w:pStyle w:val="Bibliography"/>
        <w:spacing w:line="240" w:lineRule="auto"/>
        <w:rPr>
          <w:rFonts w:cs="Arial"/>
          <w:sz w:val="20"/>
          <w:szCs w:val="20"/>
        </w:rPr>
      </w:pPr>
      <w:r w:rsidRPr="007B326B">
        <w:rPr>
          <w:rFonts w:cs="Arial"/>
          <w:sz w:val="20"/>
          <w:szCs w:val="20"/>
        </w:rPr>
        <w:t>35.</w:t>
      </w:r>
      <w:r w:rsidRPr="007B326B">
        <w:rPr>
          <w:rFonts w:cs="Arial"/>
          <w:sz w:val="20"/>
          <w:szCs w:val="20"/>
        </w:rPr>
        <w:tab/>
        <w:t>NICE. Advanced breast cancer: diagnosis and treatment | NICE CG81. 2017. at &lt;https://www.nice.org.uk/guidance/cg81/chapter/Recommendations&gt;</w:t>
      </w:r>
    </w:p>
    <w:p w14:paraId="498C83CE" w14:textId="77777777" w:rsidR="002313E2" w:rsidRPr="007B326B" w:rsidRDefault="002313E2" w:rsidP="007B326B">
      <w:pPr>
        <w:pStyle w:val="Bibliography"/>
        <w:spacing w:line="240" w:lineRule="auto"/>
        <w:rPr>
          <w:rFonts w:cs="Arial"/>
          <w:sz w:val="20"/>
          <w:szCs w:val="20"/>
        </w:rPr>
      </w:pPr>
      <w:r w:rsidRPr="007B326B">
        <w:rPr>
          <w:rFonts w:cs="Arial"/>
          <w:sz w:val="20"/>
          <w:szCs w:val="20"/>
        </w:rPr>
        <w:t>36.</w:t>
      </w:r>
      <w:r w:rsidRPr="007B326B">
        <w:rPr>
          <w:rFonts w:cs="Arial"/>
          <w:sz w:val="20"/>
          <w:szCs w:val="20"/>
        </w:rPr>
        <w:tab/>
        <w:t>Invasive breast cancer | Cancer Research UK. at &lt;https://www.cancerresearchuk.org/about-cancer/breast-cancer/stages-types-grades/types/invasive-breast-cancer&gt;</w:t>
      </w:r>
    </w:p>
    <w:p w14:paraId="2EA94962" w14:textId="77777777" w:rsidR="002313E2" w:rsidRPr="007B326B" w:rsidRDefault="002313E2" w:rsidP="007B326B">
      <w:pPr>
        <w:pStyle w:val="Bibliography"/>
        <w:spacing w:line="240" w:lineRule="auto"/>
        <w:rPr>
          <w:rFonts w:cs="Arial"/>
          <w:sz w:val="20"/>
          <w:szCs w:val="20"/>
        </w:rPr>
      </w:pPr>
      <w:r w:rsidRPr="007B326B">
        <w:rPr>
          <w:rFonts w:cs="Arial"/>
          <w:sz w:val="20"/>
          <w:szCs w:val="20"/>
        </w:rPr>
        <w:t>37.</w:t>
      </w:r>
      <w:r w:rsidRPr="007B326B">
        <w:rPr>
          <w:rFonts w:cs="Arial"/>
          <w:sz w:val="20"/>
          <w:szCs w:val="20"/>
        </w:rPr>
        <w:tab/>
        <w:t xml:space="preserve">Pernas S &amp; Tolaney SM. HER2-positive breast cancer: new therapeutic frontiers and overcoming resistance. </w:t>
      </w:r>
      <w:r w:rsidRPr="007B326B">
        <w:rPr>
          <w:rFonts w:cs="Arial"/>
          <w:i/>
          <w:iCs/>
          <w:sz w:val="20"/>
          <w:szCs w:val="20"/>
        </w:rPr>
        <w:t>Ther Adv Med Oncol</w:t>
      </w:r>
      <w:r w:rsidRPr="007B326B">
        <w:rPr>
          <w:rFonts w:cs="Arial"/>
          <w:sz w:val="20"/>
          <w:szCs w:val="20"/>
        </w:rPr>
        <w:t xml:space="preserve"> 2019. 11: 1758835919833519.</w:t>
      </w:r>
    </w:p>
    <w:p w14:paraId="2F70FC62" w14:textId="77777777" w:rsidR="002313E2" w:rsidRPr="007B326B" w:rsidRDefault="002313E2" w:rsidP="007B326B">
      <w:pPr>
        <w:pStyle w:val="Bibliography"/>
        <w:spacing w:line="240" w:lineRule="auto"/>
        <w:rPr>
          <w:rFonts w:cs="Arial"/>
          <w:sz w:val="20"/>
          <w:szCs w:val="20"/>
        </w:rPr>
      </w:pPr>
      <w:r w:rsidRPr="007B326B">
        <w:rPr>
          <w:rFonts w:cs="Arial"/>
          <w:sz w:val="20"/>
          <w:szCs w:val="20"/>
        </w:rPr>
        <w:t>38.</w:t>
      </w:r>
      <w:r w:rsidRPr="007B326B">
        <w:rPr>
          <w:rFonts w:cs="Arial"/>
          <w:sz w:val="20"/>
          <w:szCs w:val="20"/>
        </w:rPr>
        <w:tab/>
        <w:t xml:space="preserve">Miglietta F, Griguolo G, Bottosso M, </w:t>
      </w:r>
      <w:r w:rsidRPr="007B326B">
        <w:rPr>
          <w:rFonts w:cs="Arial"/>
          <w:i/>
          <w:iCs/>
          <w:sz w:val="20"/>
          <w:szCs w:val="20"/>
        </w:rPr>
        <w:t>et al.</w:t>
      </w:r>
      <w:r w:rsidRPr="007B326B">
        <w:rPr>
          <w:rFonts w:cs="Arial"/>
          <w:sz w:val="20"/>
          <w:szCs w:val="20"/>
        </w:rPr>
        <w:t xml:space="preserve"> Evolution of HER2-low expression from primary to recurrent breast cancer. </w:t>
      </w:r>
      <w:r w:rsidRPr="007B326B">
        <w:rPr>
          <w:rFonts w:cs="Arial"/>
          <w:i/>
          <w:iCs/>
          <w:sz w:val="20"/>
          <w:szCs w:val="20"/>
        </w:rPr>
        <w:t>npj Breast Cancer</w:t>
      </w:r>
      <w:r w:rsidRPr="007B326B">
        <w:rPr>
          <w:rFonts w:cs="Arial"/>
          <w:sz w:val="20"/>
          <w:szCs w:val="20"/>
        </w:rPr>
        <w:t xml:space="preserve"> 2021. 7: 1–8.</w:t>
      </w:r>
    </w:p>
    <w:p w14:paraId="1C8F15E5" w14:textId="77777777" w:rsidR="002313E2" w:rsidRPr="007B326B" w:rsidRDefault="002313E2" w:rsidP="007B326B">
      <w:pPr>
        <w:pStyle w:val="Bibliography"/>
        <w:spacing w:line="240" w:lineRule="auto"/>
        <w:rPr>
          <w:rFonts w:cs="Arial"/>
          <w:sz w:val="20"/>
          <w:szCs w:val="20"/>
        </w:rPr>
      </w:pPr>
      <w:r w:rsidRPr="007B326B">
        <w:rPr>
          <w:rFonts w:cs="Arial"/>
          <w:sz w:val="20"/>
          <w:szCs w:val="20"/>
        </w:rPr>
        <w:t>39.</w:t>
      </w:r>
      <w:r w:rsidRPr="007B326B">
        <w:rPr>
          <w:rFonts w:cs="Arial"/>
          <w:sz w:val="20"/>
          <w:szCs w:val="20"/>
        </w:rPr>
        <w:tab/>
        <w:t>NICE. Trastuzumab emtansine for treating HER2-positive advanced breast cancer after trastuzumab and a taxane | NICE [TA458}. at &lt;https://www.nice.org.uk/guidance/ta458&gt;</w:t>
      </w:r>
    </w:p>
    <w:p w14:paraId="3847A0F3" w14:textId="77777777" w:rsidR="002313E2" w:rsidRPr="007B326B" w:rsidRDefault="002313E2" w:rsidP="007B326B">
      <w:pPr>
        <w:pStyle w:val="Bibliography"/>
        <w:spacing w:line="240" w:lineRule="auto"/>
        <w:rPr>
          <w:rFonts w:cs="Arial"/>
          <w:sz w:val="20"/>
          <w:szCs w:val="20"/>
        </w:rPr>
      </w:pPr>
      <w:r w:rsidRPr="007B326B">
        <w:rPr>
          <w:rFonts w:cs="Arial"/>
          <w:sz w:val="20"/>
          <w:szCs w:val="20"/>
        </w:rPr>
        <w:t>40.</w:t>
      </w:r>
      <w:r w:rsidRPr="007B326B">
        <w:rPr>
          <w:rFonts w:cs="Arial"/>
          <w:sz w:val="20"/>
          <w:szCs w:val="20"/>
        </w:rPr>
        <w:tab/>
        <w:t>NICE. Pertuzumab with trastuzumab and docetaxel for treating HER2-positive breast cancer | NICE [TA509]. at &lt;https://www.nice.org.uk/guidance/TA509&gt;</w:t>
      </w:r>
    </w:p>
    <w:p w14:paraId="2EF64AF1" w14:textId="77777777" w:rsidR="002313E2" w:rsidRPr="007B326B" w:rsidRDefault="002313E2" w:rsidP="007B326B">
      <w:pPr>
        <w:pStyle w:val="Bibliography"/>
        <w:spacing w:line="240" w:lineRule="auto"/>
        <w:rPr>
          <w:rFonts w:cs="Arial"/>
          <w:sz w:val="20"/>
          <w:szCs w:val="20"/>
        </w:rPr>
      </w:pPr>
      <w:r w:rsidRPr="007B326B">
        <w:rPr>
          <w:rFonts w:cs="Arial"/>
          <w:sz w:val="20"/>
          <w:szCs w:val="20"/>
        </w:rPr>
        <w:t>41.</w:t>
      </w:r>
      <w:r w:rsidRPr="007B326B">
        <w:rPr>
          <w:rFonts w:cs="Arial"/>
          <w:sz w:val="20"/>
          <w:szCs w:val="20"/>
        </w:rPr>
        <w:tab/>
        <w:t xml:space="preserve">Goutsouliak K, Veeraraghavan J, Sethunath V, </w:t>
      </w:r>
      <w:r w:rsidRPr="007B326B">
        <w:rPr>
          <w:rFonts w:cs="Arial"/>
          <w:i/>
          <w:iCs/>
          <w:sz w:val="20"/>
          <w:szCs w:val="20"/>
        </w:rPr>
        <w:t>et al.</w:t>
      </w:r>
      <w:r w:rsidRPr="007B326B">
        <w:rPr>
          <w:rFonts w:cs="Arial"/>
          <w:sz w:val="20"/>
          <w:szCs w:val="20"/>
        </w:rPr>
        <w:t xml:space="preserve"> Towards personalized treatment for early stage HER2-positive breast cancer. </w:t>
      </w:r>
      <w:r w:rsidRPr="007B326B">
        <w:rPr>
          <w:rFonts w:cs="Arial"/>
          <w:i/>
          <w:iCs/>
          <w:sz w:val="20"/>
          <w:szCs w:val="20"/>
        </w:rPr>
        <w:t>Nat Rev Clin Oncol</w:t>
      </w:r>
      <w:r w:rsidRPr="007B326B">
        <w:rPr>
          <w:rFonts w:cs="Arial"/>
          <w:sz w:val="20"/>
          <w:szCs w:val="20"/>
        </w:rPr>
        <w:t xml:space="preserve"> 2020. 17: 233–250.</w:t>
      </w:r>
    </w:p>
    <w:p w14:paraId="39A5D006" w14:textId="77777777" w:rsidR="002313E2" w:rsidRPr="007B326B" w:rsidRDefault="002313E2" w:rsidP="007B326B">
      <w:pPr>
        <w:pStyle w:val="Bibliography"/>
        <w:spacing w:line="240" w:lineRule="auto"/>
        <w:rPr>
          <w:rFonts w:cs="Arial"/>
          <w:sz w:val="20"/>
          <w:szCs w:val="20"/>
        </w:rPr>
      </w:pPr>
      <w:r w:rsidRPr="007B326B">
        <w:rPr>
          <w:rFonts w:cs="Arial"/>
          <w:sz w:val="20"/>
          <w:szCs w:val="20"/>
        </w:rPr>
        <w:t>42.</w:t>
      </w:r>
      <w:r w:rsidRPr="007B326B">
        <w:rPr>
          <w:rFonts w:cs="Arial"/>
          <w:sz w:val="20"/>
          <w:szCs w:val="20"/>
        </w:rPr>
        <w:tab/>
        <w:t xml:space="preserve">Gennari A, André F, Barrios CH, </w:t>
      </w:r>
      <w:r w:rsidRPr="007B326B">
        <w:rPr>
          <w:rFonts w:cs="Arial"/>
          <w:i/>
          <w:iCs/>
          <w:sz w:val="20"/>
          <w:szCs w:val="20"/>
        </w:rPr>
        <w:t>et al.</w:t>
      </w:r>
      <w:r w:rsidRPr="007B326B">
        <w:rPr>
          <w:rFonts w:cs="Arial"/>
          <w:sz w:val="20"/>
          <w:szCs w:val="20"/>
        </w:rPr>
        <w:t xml:space="preserve"> ESMO Clinical Practice Guideline for the diagnosis, staging and treatment of patients with metastatic breast cancer. </w:t>
      </w:r>
      <w:r w:rsidRPr="007B326B">
        <w:rPr>
          <w:rFonts w:cs="Arial"/>
          <w:i/>
          <w:iCs/>
          <w:sz w:val="20"/>
          <w:szCs w:val="20"/>
        </w:rPr>
        <w:t>Ann Oncol</w:t>
      </w:r>
      <w:r w:rsidRPr="007B326B">
        <w:rPr>
          <w:rFonts w:cs="Arial"/>
          <w:sz w:val="20"/>
          <w:szCs w:val="20"/>
        </w:rPr>
        <w:t xml:space="preserve"> 2021. 32: 1475–1495.</w:t>
      </w:r>
    </w:p>
    <w:p w14:paraId="292A532B" w14:textId="77777777" w:rsidR="002313E2" w:rsidRPr="007B326B" w:rsidRDefault="002313E2" w:rsidP="007B326B">
      <w:pPr>
        <w:pStyle w:val="Bibliography"/>
        <w:spacing w:line="240" w:lineRule="auto"/>
        <w:rPr>
          <w:rFonts w:cs="Arial"/>
          <w:sz w:val="20"/>
          <w:szCs w:val="20"/>
        </w:rPr>
      </w:pPr>
      <w:r w:rsidRPr="007B326B">
        <w:rPr>
          <w:rFonts w:cs="Arial"/>
          <w:sz w:val="20"/>
          <w:szCs w:val="20"/>
        </w:rPr>
        <w:t>43.</w:t>
      </w:r>
      <w:r w:rsidRPr="007B326B">
        <w:rPr>
          <w:rFonts w:cs="Arial"/>
          <w:sz w:val="20"/>
          <w:szCs w:val="20"/>
        </w:rPr>
        <w:tab/>
        <w:t xml:space="preserve">Pivot X, Marmé F, Koenigsberg R, </w:t>
      </w:r>
      <w:r w:rsidRPr="007B326B">
        <w:rPr>
          <w:rFonts w:cs="Arial"/>
          <w:i/>
          <w:iCs/>
          <w:sz w:val="20"/>
          <w:szCs w:val="20"/>
        </w:rPr>
        <w:t>et al.</w:t>
      </w:r>
      <w:r w:rsidRPr="007B326B">
        <w:rPr>
          <w:rFonts w:cs="Arial"/>
          <w:sz w:val="20"/>
          <w:szCs w:val="20"/>
        </w:rPr>
        <w:t xml:space="preserve"> Pooled analyses of eribulin in metastatic breast cancer patients with at least one prior chemotherapy. </w:t>
      </w:r>
      <w:r w:rsidRPr="007B326B">
        <w:rPr>
          <w:rFonts w:cs="Arial"/>
          <w:i/>
          <w:iCs/>
          <w:sz w:val="20"/>
          <w:szCs w:val="20"/>
        </w:rPr>
        <w:t>Ann Oncol</w:t>
      </w:r>
      <w:r w:rsidRPr="007B326B">
        <w:rPr>
          <w:rFonts w:cs="Arial"/>
          <w:sz w:val="20"/>
          <w:szCs w:val="20"/>
        </w:rPr>
        <w:t xml:space="preserve"> 2016. 27: 1525–1531.</w:t>
      </w:r>
    </w:p>
    <w:p w14:paraId="57C55C0E" w14:textId="77777777" w:rsidR="002313E2" w:rsidRPr="007B326B" w:rsidRDefault="002313E2" w:rsidP="007B326B">
      <w:pPr>
        <w:pStyle w:val="Bibliography"/>
        <w:spacing w:line="240" w:lineRule="auto"/>
        <w:rPr>
          <w:rFonts w:cs="Arial"/>
          <w:sz w:val="20"/>
          <w:szCs w:val="20"/>
        </w:rPr>
      </w:pPr>
      <w:r w:rsidRPr="007B326B">
        <w:rPr>
          <w:rFonts w:cs="Arial"/>
          <w:sz w:val="20"/>
          <w:szCs w:val="20"/>
        </w:rPr>
        <w:t>44.</w:t>
      </w:r>
      <w:r w:rsidRPr="007B326B">
        <w:rPr>
          <w:rFonts w:cs="Arial"/>
          <w:sz w:val="20"/>
          <w:szCs w:val="20"/>
        </w:rPr>
        <w:tab/>
        <w:t xml:space="preserve">Cortes J, O’Shaughnessy J, Loesch D, </w:t>
      </w:r>
      <w:r w:rsidRPr="007B326B">
        <w:rPr>
          <w:rFonts w:cs="Arial"/>
          <w:i/>
          <w:iCs/>
          <w:sz w:val="20"/>
          <w:szCs w:val="20"/>
        </w:rPr>
        <w:t>et al.</w:t>
      </w:r>
      <w:r w:rsidRPr="007B326B">
        <w:rPr>
          <w:rFonts w:cs="Arial"/>
          <w:sz w:val="20"/>
          <w:szCs w:val="20"/>
        </w:rPr>
        <w:t xml:space="preserve"> Eribulin monotherapy versus treatment of physician’s choice in patients with metastatic breast cancer (EMBRACE): a phase 3 open-label randomised study. </w:t>
      </w:r>
      <w:r w:rsidRPr="007B326B">
        <w:rPr>
          <w:rFonts w:cs="Arial"/>
          <w:i/>
          <w:iCs/>
          <w:sz w:val="20"/>
          <w:szCs w:val="20"/>
        </w:rPr>
        <w:t>Lancet</w:t>
      </w:r>
      <w:r w:rsidRPr="007B326B">
        <w:rPr>
          <w:rFonts w:cs="Arial"/>
          <w:sz w:val="20"/>
          <w:szCs w:val="20"/>
        </w:rPr>
        <w:t xml:space="preserve"> 2011. 377: 914–923.</w:t>
      </w:r>
    </w:p>
    <w:p w14:paraId="49697135" w14:textId="77777777" w:rsidR="002313E2" w:rsidRPr="007B326B" w:rsidRDefault="002313E2" w:rsidP="007B326B">
      <w:pPr>
        <w:pStyle w:val="Bibliography"/>
        <w:spacing w:line="240" w:lineRule="auto"/>
        <w:rPr>
          <w:rFonts w:cs="Arial"/>
          <w:sz w:val="20"/>
          <w:szCs w:val="20"/>
        </w:rPr>
      </w:pPr>
      <w:r w:rsidRPr="007B326B">
        <w:rPr>
          <w:rFonts w:cs="Arial"/>
          <w:sz w:val="20"/>
          <w:szCs w:val="20"/>
        </w:rPr>
        <w:t>45.</w:t>
      </w:r>
      <w:r w:rsidRPr="007B326B">
        <w:rPr>
          <w:rFonts w:cs="Arial"/>
          <w:sz w:val="20"/>
          <w:szCs w:val="20"/>
        </w:rPr>
        <w:tab/>
        <w:t xml:space="preserve">Twelves C, Awada A, Cortes J, </w:t>
      </w:r>
      <w:r w:rsidRPr="007B326B">
        <w:rPr>
          <w:rFonts w:cs="Arial"/>
          <w:i/>
          <w:iCs/>
          <w:sz w:val="20"/>
          <w:szCs w:val="20"/>
        </w:rPr>
        <w:t>et al.</w:t>
      </w:r>
      <w:r w:rsidRPr="007B326B">
        <w:rPr>
          <w:rFonts w:cs="Arial"/>
          <w:sz w:val="20"/>
          <w:szCs w:val="20"/>
        </w:rPr>
        <w:t xml:space="preserve"> Subgroup Analyses from a Phase 3, Open-Label, Randomized Study of Eribulin Mesylate Versus Capecitabine in Pretreated Patients with Advanced or Metastatic Breast Cancer. </w:t>
      </w:r>
      <w:r w:rsidRPr="007B326B">
        <w:rPr>
          <w:rFonts w:cs="Arial"/>
          <w:i/>
          <w:iCs/>
          <w:sz w:val="20"/>
          <w:szCs w:val="20"/>
        </w:rPr>
        <w:t>Breast Cancer (Auckl)</w:t>
      </w:r>
      <w:r w:rsidRPr="007B326B">
        <w:rPr>
          <w:rFonts w:cs="Arial"/>
          <w:sz w:val="20"/>
          <w:szCs w:val="20"/>
        </w:rPr>
        <w:t xml:space="preserve"> 2016. 10: 77–84.</w:t>
      </w:r>
    </w:p>
    <w:p w14:paraId="6D28DC36" w14:textId="77777777" w:rsidR="002313E2" w:rsidRPr="007B326B" w:rsidRDefault="002313E2" w:rsidP="007B326B">
      <w:pPr>
        <w:pStyle w:val="Bibliography"/>
        <w:spacing w:line="240" w:lineRule="auto"/>
        <w:rPr>
          <w:rFonts w:cs="Arial"/>
          <w:sz w:val="20"/>
          <w:szCs w:val="20"/>
        </w:rPr>
      </w:pPr>
      <w:r w:rsidRPr="007B326B">
        <w:rPr>
          <w:rFonts w:cs="Arial"/>
          <w:sz w:val="20"/>
          <w:szCs w:val="20"/>
        </w:rPr>
        <w:t>46.</w:t>
      </w:r>
      <w:r w:rsidRPr="007B326B">
        <w:rPr>
          <w:rFonts w:cs="Arial"/>
          <w:sz w:val="20"/>
          <w:szCs w:val="20"/>
        </w:rPr>
        <w:tab/>
        <w:t xml:space="preserve">Pivot X, Im SA, Guo M, </w:t>
      </w:r>
      <w:r w:rsidRPr="007B326B">
        <w:rPr>
          <w:rFonts w:cs="Arial"/>
          <w:i/>
          <w:iCs/>
          <w:sz w:val="20"/>
          <w:szCs w:val="20"/>
        </w:rPr>
        <w:t>et al.</w:t>
      </w:r>
      <w:r w:rsidRPr="007B326B">
        <w:rPr>
          <w:rFonts w:cs="Arial"/>
          <w:sz w:val="20"/>
          <w:szCs w:val="20"/>
        </w:rPr>
        <w:t xml:space="preserve"> Subgroup analysis of patients with HER2-negative metastatic breast cancer in the second-line setting from a phase 3, open-label, randomized study of eribulin mesilate versus capecitabine. </w:t>
      </w:r>
      <w:r w:rsidRPr="007B326B">
        <w:rPr>
          <w:rFonts w:cs="Arial"/>
          <w:i/>
          <w:iCs/>
          <w:sz w:val="20"/>
          <w:szCs w:val="20"/>
        </w:rPr>
        <w:t>Breast Cancer</w:t>
      </w:r>
      <w:r w:rsidRPr="007B326B">
        <w:rPr>
          <w:rFonts w:cs="Arial"/>
          <w:sz w:val="20"/>
          <w:szCs w:val="20"/>
        </w:rPr>
        <w:t xml:space="preserve"> 2018. 25: 370–374.</w:t>
      </w:r>
    </w:p>
    <w:p w14:paraId="5394FB47" w14:textId="77777777" w:rsidR="002313E2" w:rsidRPr="007B326B" w:rsidRDefault="002313E2" w:rsidP="007B326B">
      <w:pPr>
        <w:pStyle w:val="Bibliography"/>
        <w:spacing w:line="240" w:lineRule="auto"/>
        <w:rPr>
          <w:rFonts w:cs="Arial"/>
          <w:sz w:val="20"/>
          <w:szCs w:val="20"/>
        </w:rPr>
      </w:pPr>
      <w:r w:rsidRPr="007B326B">
        <w:rPr>
          <w:rFonts w:cs="Arial"/>
          <w:sz w:val="20"/>
          <w:szCs w:val="20"/>
        </w:rPr>
        <w:t>47.</w:t>
      </w:r>
      <w:r w:rsidRPr="007B326B">
        <w:rPr>
          <w:rFonts w:cs="Arial"/>
          <w:sz w:val="20"/>
          <w:szCs w:val="20"/>
        </w:rPr>
        <w:tab/>
        <w:t xml:space="preserve">Yardley DA, Reeves J, Dees EC, </w:t>
      </w:r>
      <w:r w:rsidRPr="007B326B">
        <w:rPr>
          <w:rFonts w:cs="Arial"/>
          <w:i/>
          <w:iCs/>
          <w:sz w:val="20"/>
          <w:szCs w:val="20"/>
        </w:rPr>
        <w:t>et al.</w:t>
      </w:r>
      <w:r w:rsidRPr="007B326B">
        <w:rPr>
          <w:rFonts w:cs="Arial"/>
          <w:sz w:val="20"/>
          <w:szCs w:val="20"/>
        </w:rPr>
        <w:t xml:space="preserve"> Ramucirumab With Eribulin Versus Eribulin in Locally Recurrent or Metastatic Breast Cancer Previously Treated With Anthracycline and Taxane Therapy: A Multicenter, Randomized, Phase II Study. </w:t>
      </w:r>
      <w:r w:rsidRPr="007B326B">
        <w:rPr>
          <w:rFonts w:cs="Arial"/>
          <w:i/>
          <w:iCs/>
          <w:sz w:val="20"/>
          <w:szCs w:val="20"/>
        </w:rPr>
        <w:t>Clin Breast Cancer</w:t>
      </w:r>
      <w:r w:rsidRPr="007B326B">
        <w:rPr>
          <w:rFonts w:cs="Arial"/>
          <w:sz w:val="20"/>
          <w:szCs w:val="20"/>
        </w:rPr>
        <w:t xml:space="preserve"> 2016. 16: 471-479.e1.</w:t>
      </w:r>
    </w:p>
    <w:p w14:paraId="1578AFC8" w14:textId="77777777" w:rsidR="002313E2" w:rsidRPr="007B326B" w:rsidRDefault="002313E2" w:rsidP="007B326B">
      <w:pPr>
        <w:pStyle w:val="Bibliography"/>
        <w:spacing w:line="240" w:lineRule="auto"/>
        <w:rPr>
          <w:rFonts w:cs="Arial"/>
          <w:sz w:val="20"/>
          <w:szCs w:val="20"/>
        </w:rPr>
      </w:pPr>
      <w:r w:rsidRPr="007B326B">
        <w:rPr>
          <w:rFonts w:cs="Arial"/>
          <w:sz w:val="20"/>
          <w:szCs w:val="20"/>
        </w:rPr>
        <w:t>48.</w:t>
      </w:r>
      <w:r w:rsidRPr="007B326B">
        <w:rPr>
          <w:rFonts w:cs="Arial"/>
          <w:sz w:val="20"/>
          <w:szCs w:val="20"/>
        </w:rPr>
        <w:tab/>
        <w:t xml:space="preserve">Bardia A, Hurvitz SA, Tolaney SM, </w:t>
      </w:r>
      <w:r w:rsidRPr="007B326B">
        <w:rPr>
          <w:rFonts w:cs="Arial"/>
          <w:i/>
          <w:iCs/>
          <w:sz w:val="20"/>
          <w:szCs w:val="20"/>
        </w:rPr>
        <w:t>et al.</w:t>
      </w:r>
      <w:r w:rsidRPr="007B326B">
        <w:rPr>
          <w:rFonts w:cs="Arial"/>
          <w:sz w:val="20"/>
          <w:szCs w:val="20"/>
        </w:rPr>
        <w:t xml:space="preserve"> Sacituzumab Govitecan in Metastatic Triple-Negative Breast Cancer. </w:t>
      </w:r>
      <w:r w:rsidRPr="007B326B">
        <w:rPr>
          <w:rFonts w:cs="Arial"/>
          <w:i/>
          <w:iCs/>
          <w:sz w:val="20"/>
          <w:szCs w:val="20"/>
        </w:rPr>
        <w:t>New England Journal of Medicine</w:t>
      </w:r>
      <w:r w:rsidRPr="007B326B">
        <w:rPr>
          <w:rFonts w:cs="Arial"/>
          <w:sz w:val="20"/>
          <w:szCs w:val="20"/>
        </w:rPr>
        <w:t xml:space="preserve"> 2021. 384: 1529–1541.</w:t>
      </w:r>
    </w:p>
    <w:p w14:paraId="51FC4F17" w14:textId="77777777" w:rsidR="002313E2" w:rsidRPr="007B326B" w:rsidRDefault="002313E2" w:rsidP="007B326B">
      <w:pPr>
        <w:pStyle w:val="Bibliography"/>
        <w:spacing w:line="240" w:lineRule="auto"/>
        <w:rPr>
          <w:rFonts w:cs="Arial"/>
          <w:sz w:val="20"/>
          <w:szCs w:val="20"/>
        </w:rPr>
      </w:pPr>
      <w:r w:rsidRPr="007B326B">
        <w:rPr>
          <w:rFonts w:cs="Arial"/>
          <w:sz w:val="20"/>
          <w:szCs w:val="20"/>
        </w:rPr>
        <w:lastRenderedPageBreak/>
        <w:t>49.</w:t>
      </w:r>
      <w:r w:rsidRPr="007B326B">
        <w:rPr>
          <w:rFonts w:cs="Arial"/>
          <w:sz w:val="20"/>
          <w:szCs w:val="20"/>
        </w:rPr>
        <w:tab/>
        <w:t xml:space="preserve">Winer EP, Lipatov O, Im S-A, </w:t>
      </w:r>
      <w:r w:rsidRPr="007B326B">
        <w:rPr>
          <w:rFonts w:cs="Arial"/>
          <w:i/>
          <w:iCs/>
          <w:sz w:val="20"/>
          <w:szCs w:val="20"/>
        </w:rPr>
        <w:t>et al.</w:t>
      </w:r>
      <w:r w:rsidRPr="007B326B">
        <w:rPr>
          <w:rFonts w:cs="Arial"/>
          <w:sz w:val="20"/>
          <w:szCs w:val="20"/>
        </w:rPr>
        <w:t xml:space="preserve"> Pembrolizumab versus investigator-choice chemotherapy for metastatic triple-negative breast cancer (KEYNOTE-119): a randomised, open-label, phase 3 trial. </w:t>
      </w:r>
      <w:r w:rsidRPr="007B326B">
        <w:rPr>
          <w:rFonts w:cs="Arial"/>
          <w:i/>
          <w:iCs/>
          <w:sz w:val="20"/>
          <w:szCs w:val="20"/>
        </w:rPr>
        <w:t>The Lancet Oncology</w:t>
      </w:r>
      <w:r w:rsidRPr="007B326B">
        <w:rPr>
          <w:rFonts w:cs="Arial"/>
          <w:sz w:val="20"/>
          <w:szCs w:val="20"/>
        </w:rPr>
        <w:t xml:space="preserve"> 2021. 22: 499–511.</w:t>
      </w:r>
    </w:p>
    <w:p w14:paraId="5773117A" w14:textId="77777777" w:rsidR="002313E2" w:rsidRPr="007B326B" w:rsidRDefault="002313E2" w:rsidP="007B326B">
      <w:pPr>
        <w:pStyle w:val="Bibliography"/>
        <w:spacing w:line="240" w:lineRule="auto"/>
        <w:rPr>
          <w:rFonts w:cs="Arial"/>
          <w:sz w:val="20"/>
          <w:szCs w:val="20"/>
        </w:rPr>
      </w:pPr>
      <w:r w:rsidRPr="007B326B">
        <w:rPr>
          <w:rFonts w:cs="Arial"/>
          <w:sz w:val="20"/>
          <w:szCs w:val="20"/>
        </w:rPr>
        <w:t>50.</w:t>
      </w:r>
      <w:r w:rsidRPr="007B326B">
        <w:rPr>
          <w:rFonts w:cs="Arial"/>
          <w:sz w:val="20"/>
          <w:szCs w:val="20"/>
        </w:rPr>
        <w:tab/>
        <w:t xml:space="preserve">Vahdat LT, Schmid P, Forero-Torres A, </w:t>
      </w:r>
      <w:r w:rsidRPr="007B326B">
        <w:rPr>
          <w:rFonts w:cs="Arial"/>
          <w:i/>
          <w:iCs/>
          <w:sz w:val="20"/>
          <w:szCs w:val="20"/>
        </w:rPr>
        <w:t>et al.</w:t>
      </w:r>
      <w:r w:rsidRPr="007B326B">
        <w:rPr>
          <w:rFonts w:cs="Arial"/>
          <w:sz w:val="20"/>
          <w:szCs w:val="20"/>
        </w:rPr>
        <w:t xml:space="preserve"> Glembatumumab vedotin for patients with metastatic, gpNMB overexpressing, triple-negative breast cancer (“METRIC”): a randomized multicenter study. </w:t>
      </w:r>
      <w:r w:rsidRPr="007B326B">
        <w:rPr>
          <w:rFonts w:cs="Arial"/>
          <w:i/>
          <w:iCs/>
          <w:sz w:val="20"/>
          <w:szCs w:val="20"/>
        </w:rPr>
        <w:t>npj Breast Cancer</w:t>
      </w:r>
      <w:r w:rsidRPr="007B326B">
        <w:rPr>
          <w:rFonts w:cs="Arial"/>
          <w:sz w:val="20"/>
          <w:szCs w:val="20"/>
        </w:rPr>
        <w:t xml:space="preserve"> 2021. 7: 1–10.</w:t>
      </w:r>
    </w:p>
    <w:p w14:paraId="74725347" w14:textId="77777777" w:rsidR="002313E2" w:rsidRPr="007B326B" w:rsidRDefault="002313E2" w:rsidP="007B326B">
      <w:pPr>
        <w:pStyle w:val="Bibliography"/>
        <w:spacing w:line="240" w:lineRule="auto"/>
        <w:rPr>
          <w:rFonts w:cs="Arial"/>
          <w:sz w:val="20"/>
          <w:szCs w:val="20"/>
        </w:rPr>
      </w:pPr>
      <w:r w:rsidRPr="007B326B">
        <w:rPr>
          <w:rFonts w:cs="Arial"/>
          <w:sz w:val="20"/>
          <w:szCs w:val="20"/>
        </w:rPr>
        <w:t>51.</w:t>
      </w:r>
      <w:r w:rsidRPr="007B326B">
        <w:rPr>
          <w:rFonts w:cs="Arial"/>
          <w:sz w:val="20"/>
          <w:szCs w:val="20"/>
        </w:rPr>
        <w:tab/>
        <w:t xml:space="preserve">Decker T, Marschner N, Muendlein A, </w:t>
      </w:r>
      <w:r w:rsidRPr="007B326B">
        <w:rPr>
          <w:rFonts w:cs="Arial"/>
          <w:i/>
          <w:iCs/>
          <w:sz w:val="20"/>
          <w:szCs w:val="20"/>
        </w:rPr>
        <w:t>et al.</w:t>
      </w:r>
      <w:r w:rsidRPr="007B326B">
        <w:rPr>
          <w:rFonts w:cs="Arial"/>
          <w:sz w:val="20"/>
          <w:szCs w:val="20"/>
        </w:rPr>
        <w:t xml:space="preserve"> VicTORia: a randomised phase II study to compare vinorelbine in combination with the mTOR inhibitor everolimus versus vinorelbine monotherapy for second-line chemotherapy in advanced HER2-negative breast cancer. </w:t>
      </w:r>
      <w:r w:rsidRPr="007B326B">
        <w:rPr>
          <w:rFonts w:cs="Arial"/>
          <w:i/>
          <w:iCs/>
          <w:sz w:val="20"/>
          <w:szCs w:val="20"/>
        </w:rPr>
        <w:t>Breast Cancer Res Treat</w:t>
      </w:r>
      <w:r w:rsidRPr="007B326B">
        <w:rPr>
          <w:rFonts w:cs="Arial"/>
          <w:sz w:val="20"/>
          <w:szCs w:val="20"/>
        </w:rPr>
        <w:t xml:space="preserve"> 2019. 176: 637–647.</w:t>
      </w:r>
    </w:p>
    <w:p w14:paraId="60F1C274" w14:textId="77777777" w:rsidR="002313E2" w:rsidRPr="007B326B" w:rsidRDefault="002313E2" w:rsidP="007B326B">
      <w:pPr>
        <w:pStyle w:val="Bibliography"/>
        <w:spacing w:line="240" w:lineRule="auto"/>
        <w:rPr>
          <w:rFonts w:cs="Arial"/>
          <w:sz w:val="20"/>
          <w:szCs w:val="20"/>
        </w:rPr>
      </w:pPr>
      <w:r w:rsidRPr="007B326B">
        <w:rPr>
          <w:rFonts w:cs="Arial"/>
          <w:sz w:val="20"/>
          <w:szCs w:val="20"/>
        </w:rPr>
        <w:t>52.</w:t>
      </w:r>
      <w:r w:rsidRPr="007B326B">
        <w:rPr>
          <w:rFonts w:cs="Arial"/>
          <w:sz w:val="20"/>
          <w:szCs w:val="20"/>
        </w:rPr>
        <w:tab/>
        <w:t xml:space="preserve">Claessens AKM, Erdkamp FLG, Lopez-Yurda M, </w:t>
      </w:r>
      <w:r w:rsidRPr="007B326B">
        <w:rPr>
          <w:rFonts w:cs="Arial"/>
          <w:i/>
          <w:iCs/>
          <w:sz w:val="20"/>
          <w:szCs w:val="20"/>
        </w:rPr>
        <w:t>et al.</w:t>
      </w:r>
      <w:r w:rsidRPr="007B326B">
        <w:rPr>
          <w:rFonts w:cs="Arial"/>
          <w:sz w:val="20"/>
          <w:szCs w:val="20"/>
        </w:rPr>
        <w:t xml:space="preserve"> Secondary analyses of the randomized phase III Stop&amp;Go study: efficacy of second-line intermittent versus continuous chemotherapy in HER2-negative advanced breast cancer. </w:t>
      </w:r>
      <w:r w:rsidRPr="007B326B">
        <w:rPr>
          <w:rFonts w:cs="Arial"/>
          <w:i/>
          <w:iCs/>
          <w:sz w:val="20"/>
          <w:szCs w:val="20"/>
        </w:rPr>
        <w:t>Acta Oncologica</w:t>
      </w:r>
      <w:r w:rsidRPr="007B326B">
        <w:rPr>
          <w:rFonts w:cs="Arial"/>
          <w:sz w:val="20"/>
          <w:szCs w:val="20"/>
        </w:rPr>
        <w:t xml:space="preserve"> 2020. 59: 713–722.</w:t>
      </w:r>
    </w:p>
    <w:p w14:paraId="35BDB921" w14:textId="77777777" w:rsidR="002313E2" w:rsidRPr="007B326B" w:rsidRDefault="002313E2" w:rsidP="007B326B">
      <w:pPr>
        <w:pStyle w:val="Bibliography"/>
        <w:spacing w:line="240" w:lineRule="auto"/>
        <w:rPr>
          <w:rFonts w:cs="Arial"/>
          <w:sz w:val="20"/>
          <w:szCs w:val="20"/>
        </w:rPr>
      </w:pPr>
      <w:r w:rsidRPr="007B326B">
        <w:rPr>
          <w:rFonts w:cs="Arial"/>
          <w:sz w:val="20"/>
          <w:szCs w:val="20"/>
        </w:rPr>
        <w:t>53.</w:t>
      </w:r>
      <w:r w:rsidRPr="007B326B">
        <w:rPr>
          <w:rFonts w:cs="Arial"/>
          <w:sz w:val="20"/>
          <w:szCs w:val="20"/>
        </w:rPr>
        <w:tab/>
        <w:t xml:space="preserve">Brufsky AM, Hurvitz S, Perez E, </w:t>
      </w:r>
      <w:r w:rsidRPr="007B326B">
        <w:rPr>
          <w:rFonts w:cs="Arial"/>
          <w:i/>
          <w:iCs/>
          <w:sz w:val="20"/>
          <w:szCs w:val="20"/>
        </w:rPr>
        <w:t>et al.</w:t>
      </w:r>
      <w:r w:rsidRPr="007B326B">
        <w:rPr>
          <w:rFonts w:cs="Arial"/>
          <w:sz w:val="20"/>
          <w:szCs w:val="20"/>
        </w:rPr>
        <w:t xml:space="preserve"> RIBBON-2: a randomized, double-blind, placebo-controlled, phase III trial evaluating the efficacy and safety of bevacizumab in combination with chemotherapy for second-line treatment of human epidermal growth factor receptor 2-negative metastatic breast cancer. </w:t>
      </w:r>
      <w:r w:rsidRPr="007B326B">
        <w:rPr>
          <w:rFonts w:cs="Arial"/>
          <w:i/>
          <w:iCs/>
          <w:sz w:val="20"/>
          <w:szCs w:val="20"/>
        </w:rPr>
        <w:t>J Clin Oncol</w:t>
      </w:r>
      <w:r w:rsidRPr="007B326B">
        <w:rPr>
          <w:rFonts w:cs="Arial"/>
          <w:sz w:val="20"/>
          <w:szCs w:val="20"/>
        </w:rPr>
        <w:t xml:space="preserve"> 2011. 29: 4286–4293.</w:t>
      </w:r>
    </w:p>
    <w:p w14:paraId="4A73EA6C" w14:textId="77777777" w:rsidR="002313E2" w:rsidRPr="007B326B" w:rsidRDefault="002313E2" w:rsidP="007B326B">
      <w:pPr>
        <w:pStyle w:val="Bibliography"/>
        <w:spacing w:line="240" w:lineRule="auto"/>
        <w:rPr>
          <w:rFonts w:cs="Arial"/>
          <w:sz w:val="20"/>
          <w:szCs w:val="20"/>
        </w:rPr>
      </w:pPr>
      <w:r w:rsidRPr="007B326B">
        <w:rPr>
          <w:rFonts w:cs="Arial"/>
          <w:sz w:val="20"/>
          <w:szCs w:val="20"/>
        </w:rPr>
        <w:t>54.</w:t>
      </w:r>
      <w:r w:rsidRPr="007B326B">
        <w:rPr>
          <w:rFonts w:cs="Arial"/>
          <w:sz w:val="20"/>
          <w:szCs w:val="20"/>
        </w:rPr>
        <w:tab/>
        <w:t xml:space="preserve">Decker T, Overkamp F, Rösel S, </w:t>
      </w:r>
      <w:r w:rsidRPr="007B326B">
        <w:rPr>
          <w:rFonts w:cs="Arial"/>
          <w:i/>
          <w:iCs/>
          <w:sz w:val="20"/>
          <w:szCs w:val="20"/>
        </w:rPr>
        <w:t>et al.</w:t>
      </w:r>
      <w:r w:rsidRPr="007B326B">
        <w:rPr>
          <w:rFonts w:cs="Arial"/>
          <w:sz w:val="20"/>
          <w:szCs w:val="20"/>
        </w:rPr>
        <w:t xml:space="preserve"> A randomized phase II study of paclitaxel alone versus paclitaxel plus sorafenib in second- and third-line treatment of patients with HER2-negative metastatic breast cancer (PASO). </w:t>
      </w:r>
      <w:r w:rsidRPr="007B326B">
        <w:rPr>
          <w:rFonts w:cs="Arial"/>
          <w:i/>
          <w:iCs/>
          <w:sz w:val="20"/>
          <w:szCs w:val="20"/>
        </w:rPr>
        <w:t>BMC Cancer</w:t>
      </w:r>
      <w:r w:rsidRPr="007B326B">
        <w:rPr>
          <w:rFonts w:cs="Arial"/>
          <w:sz w:val="20"/>
          <w:szCs w:val="20"/>
        </w:rPr>
        <w:t xml:space="preserve"> 2017. 17: 499.</w:t>
      </w:r>
    </w:p>
    <w:p w14:paraId="5BF51D5B" w14:textId="77777777" w:rsidR="002313E2" w:rsidRPr="007B326B" w:rsidRDefault="002313E2" w:rsidP="007B326B">
      <w:pPr>
        <w:pStyle w:val="Bibliography"/>
        <w:spacing w:line="240" w:lineRule="auto"/>
        <w:rPr>
          <w:rFonts w:cs="Arial"/>
          <w:sz w:val="20"/>
          <w:szCs w:val="20"/>
        </w:rPr>
      </w:pPr>
      <w:r w:rsidRPr="007B326B">
        <w:rPr>
          <w:rFonts w:cs="Arial"/>
          <w:sz w:val="20"/>
          <w:szCs w:val="20"/>
        </w:rPr>
        <w:t>55.</w:t>
      </w:r>
      <w:r w:rsidRPr="007B326B">
        <w:rPr>
          <w:rFonts w:cs="Arial"/>
          <w:sz w:val="20"/>
          <w:szCs w:val="20"/>
        </w:rPr>
        <w:tab/>
        <w:t xml:space="preserve">Yardley DA, Weaver R, Melisko ME, </w:t>
      </w:r>
      <w:r w:rsidRPr="007B326B">
        <w:rPr>
          <w:rFonts w:cs="Arial"/>
          <w:i/>
          <w:iCs/>
          <w:sz w:val="20"/>
          <w:szCs w:val="20"/>
        </w:rPr>
        <w:t>et al.</w:t>
      </w:r>
      <w:r w:rsidRPr="007B326B">
        <w:rPr>
          <w:rFonts w:cs="Arial"/>
          <w:sz w:val="20"/>
          <w:szCs w:val="20"/>
        </w:rPr>
        <w:t xml:space="preserve"> EMERGE: A Randomized Phase II Study of the Antibody-Drug Conjugate Glembatumumab Vedotin in Advanced Glycoprotein NMB–Expressing Breast Cancer. </w:t>
      </w:r>
      <w:r w:rsidRPr="007B326B">
        <w:rPr>
          <w:rFonts w:cs="Arial"/>
          <w:i/>
          <w:iCs/>
          <w:sz w:val="20"/>
          <w:szCs w:val="20"/>
        </w:rPr>
        <w:t>JCO</w:t>
      </w:r>
      <w:r w:rsidRPr="007B326B">
        <w:rPr>
          <w:rFonts w:cs="Arial"/>
          <w:sz w:val="20"/>
          <w:szCs w:val="20"/>
        </w:rPr>
        <w:t xml:space="preserve"> 2015. 33: 1609–1619.</w:t>
      </w:r>
    </w:p>
    <w:p w14:paraId="65740A04" w14:textId="77777777" w:rsidR="002313E2" w:rsidRPr="007B326B" w:rsidRDefault="002313E2" w:rsidP="007B326B">
      <w:pPr>
        <w:pStyle w:val="Bibliography"/>
        <w:spacing w:line="240" w:lineRule="auto"/>
        <w:rPr>
          <w:rFonts w:cs="Arial"/>
          <w:sz w:val="20"/>
          <w:szCs w:val="20"/>
        </w:rPr>
      </w:pPr>
      <w:r w:rsidRPr="007B326B">
        <w:rPr>
          <w:rFonts w:cs="Arial"/>
          <w:sz w:val="20"/>
          <w:szCs w:val="20"/>
        </w:rPr>
        <w:t>56.</w:t>
      </w:r>
      <w:r w:rsidRPr="007B326B">
        <w:rPr>
          <w:rFonts w:cs="Arial"/>
          <w:sz w:val="20"/>
          <w:szCs w:val="20"/>
        </w:rPr>
        <w:tab/>
        <w:t xml:space="preserve">Dodson A, Parry S, Ibrahim M, </w:t>
      </w:r>
      <w:r w:rsidRPr="007B326B">
        <w:rPr>
          <w:rFonts w:cs="Arial"/>
          <w:i/>
          <w:iCs/>
          <w:sz w:val="20"/>
          <w:szCs w:val="20"/>
        </w:rPr>
        <w:t>et al.</w:t>
      </w:r>
      <w:r w:rsidRPr="007B326B">
        <w:rPr>
          <w:rFonts w:cs="Arial"/>
          <w:sz w:val="20"/>
          <w:szCs w:val="20"/>
        </w:rPr>
        <w:t xml:space="preserve"> Breast cancer biomarkers in clinical testing: analysis of a UK NEQAS ICC &amp; ISH database containing results from 199 300 patients. </w:t>
      </w:r>
      <w:r w:rsidRPr="007B326B">
        <w:rPr>
          <w:rFonts w:cs="Arial"/>
          <w:i/>
          <w:iCs/>
          <w:sz w:val="20"/>
          <w:szCs w:val="20"/>
        </w:rPr>
        <w:t>J Pathol Clin Res</w:t>
      </w:r>
      <w:r w:rsidRPr="007B326B">
        <w:rPr>
          <w:rFonts w:cs="Arial"/>
          <w:sz w:val="20"/>
          <w:szCs w:val="20"/>
        </w:rPr>
        <w:t xml:space="preserve"> 2020. 6: 227–227.</w:t>
      </w:r>
    </w:p>
    <w:p w14:paraId="2FB1331D" w14:textId="77777777" w:rsidR="002313E2" w:rsidRPr="007B326B" w:rsidRDefault="002313E2" w:rsidP="007B326B">
      <w:pPr>
        <w:pStyle w:val="Bibliography"/>
        <w:spacing w:line="240" w:lineRule="auto"/>
        <w:rPr>
          <w:rFonts w:cs="Arial"/>
          <w:sz w:val="20"/>
          <w:szCs w:val="20"/>
        </w:rPr>
      </w:pPr>
      <w:r w:rsidRPr="007B326B">
        <w:rPr>
          <w:rFonts w:cs="Arial"/>
          <w:sz w:val="20"/>
          <w:szCs w:val="20"/>
        </w:rPr>
        <w:t>57.</w:t>
      </w:r>
      <w:r w:rsidRPr="007B326B">
        <w:rPr>
          <w:rFonts w:cs="Arial"/>
          <w:sz w:val="20"/>
          <w:szCs w:val="20"/>
        </w:rPr>
        <w:tab/>
        <w:t xml:space="preserve">Fehrenbacher L, Cecchini RS, Geyer CE, </w:t>
      </w:r>
      <w:r w:rsidRPr="007B326B">
        <w:rPr>
          <w:rFonts w:cs="Arial"/>
          <w:i/>
          <w:iCs/>
          <w:sz w:val="20"/>
          <w:szCs w:val="20"/>
        </w:rPr>
        <w:t>et al.</w:t>
      </w:r>
      <w:r w:rsidRPr="007B326B">
        <w:rPr>
          <w:rFonts w:cs="Arial"/>
          <w:sz w:val="20"/>
          <w:szCs w:val="20"/>
        </w:rPr>
        <w:t xml:space="preserve"> NSABP B-47/NRG Oncology Phase III Randomized Trial Comparing Adjuvant Chemotherapy With or Without Trastuzumab in High-Risk Invasive Breast Cancer Negative for HER2 by FISH and With IHC 1+ or 2. </w:t>
      </w:r>
      <w:r w:rsidRPr="007B326B">
        <w:rPr>
          <w:rFonts w:cs="Arial"/>
          <w:i/>
          <w:iCs/>
          <w:sz w:val="20"/>
          <w:szCs w:val="20"/>
        </w:rPr>
        <w:t>J Clin Oncol</w:t>
      </w:r>
      <w:r w:rsidRPr="007B326B">
        <w:rPr>
          <w:rFonts w:cs="Arial"/>
          <w:sz w:val="20"/>
          <w:szCs w:val="20"/>
        </w:rPr>
        <w:t xml:space="preserve"> 2020. 38: 444–453.</w:t>
      </w:r>
    </w:p>
    <w:p w14:paraId="3C02BC72" w14:textId="77777777" w:rsidR="002313E2" w:rsidRPr="007B326B" w:rsidRDefault="002313E2" w:rsidP="007B326B">
      <w:pPr>
        <w:pStyle w:val="Bibliography"/>
        <w:spacing w:line="240" w:lineRule="auto"/>
        <w:rPr>
          <w:rFonts w:cs="Arial"/>
          <w:sz w:val="20"/>
          <w:szCs w:val="20"/>
        </w:rPr>
      </w:pPr>
      <w:r w:rsidRPr="007B326B">
        <w:rPr>
          <w:rFonts w:cs="Arial"/>
          <w:sz w:val="20"/>
          <w:szCs w:val="20"/>
        </w:rPr>
        <w:t>58.</w:t>
      </w:r>
      <w:r w:rsidRPr="007B326B">
        <w:rPr>
          <w:rFonts w:cs="Arial"/>
          <w:sz w:val="20"/>
          <w:szCs w:val="20"/>
        </w:rPr>
        <w:tab/>
        <w:t xml:space="preserve">Gianni L, Lladó A, Bianchi G, </w:t>
      </w:r>
      <w:r w:rsidRPr="007B326B">
        <w:rPr>
          <w:rFonts w:cs="Arial"/>
          <w:i/>
          <w:iCs/>
          <w:sz w:val="20"/>
          <w:szCs w:val="20"/>
        </w:rPr>
        <w:t>et al.</w:t>
      </w:r>
      <w:r w:rsidRPr="007B326B">
        <w:rPr>
          <w:rFonts w:cs="Arial"/>
          <w:sz w:val="20"/>
          <w:szCs w:val="20"/>
        </w:rPr>
        <w:t xml:space="preserve"> Open-Label, Phase II, Multicenter, Randomized Study of the Efficacy and Safety of Two Dose Levels of Pertuzumab, a Human Epidermal Growth Factor Receptor 2 Dimerization Inhibitor, in Patients With Human Epidermal Growth Factor Receptor 2–Negative Metastatic Breast Cancer. </w:t>
      </w:r>
      <w:r w:rsidRPr="007B326B">
        <w:rPr>
          <w:rFonts w:cs="Arial"/>
          <w:i/>
          <w:iCs/>
          <w:sz w:val="20"/>
          <w:szCs w:val="20"/>
        </w:rPr>
        <w:t>J Clin Oncol</w:t>
      </w:r>
      <w:r w:rsidRPr="007B326B">
        <w:rPr>
          <w:rFonts w:cs="Arial"/>
          <w:sz w:val="20"/>
          <w:szCs w:val="20"/>
        </w:rPr>
        <w:t xml:space="preserve"> 2010. 28: 1131–1137.</w:t>
      </w:r>
    </w:p>
    <w:p w14:paraId="5004443E" w14:textId="77777777" w:rsidR="002313E2" w:rsidRPr="007B326B" w:rsidRDefault="002313E2" w:rsidP="007B326B">
      <w:pPr>
        <w:pStyle w:val="Bibliography"/>
        <w:spacing w:line="240" w:lineRule="auto"/>
        <w:rPr>
          <w:rFonts w:cs="Arial"/>
          <w:sz w:val="20"/>
          <w:szCs w:val="20"/>
        </w:rPr>
      </w:pPr>
      <w:r w:rsidRPr="007B326B">
        <w:rPr>
          <w:rFonts w:cs="Arial"/>
          <w:sz w:val="20"/>
          <w:szCs w:val="20"/>
        </w:rPr>
        <w:t>59.</w:t>
      </w:r>
      <w:r w:rsidRPr="007B326B">
        <w:rPr>
          <w:rFonts w:cs="Arial"/>
          <w:sz w:val="20"/>
          <w:szCs w:val="20"/>
        </w:rPr>
        <w:tab/>
        <w:t xml:space="preserve">Cancer registration statistics: England 2018 final release. </w:t>
      </w:r>
      <w:r w:rsidRPr="007B326B">
        <w:rPr>
          <w:rFonts w:cs="Arial"/>
          <w:i/>
          <w:iCs/>
          <w:sz w:val="20"/>
          <w:szCs w:val="20"/>
        </w:rPr>
        <w:t>GOV.UK</w:t>
      </w:r>
      <w:r w:rsidRPr="007B326B">
        <w:rPr>
          <w:rFonts w:cs="Arial"/>
          <w:sz w:val="20"/>
          <w:szCs w:val="20"/>
        </w:rPr>
        <w:t xml:space="preserve"> at &lt;https://www.gov.uk/government/statistics/cancer-registration-statistics-england-2018-final-release&gt;</w:t>
      </w:r>
    </w:p>
    <w:p w14:paraId="4EBAEEC4" w14:textId="77777777" w:rsidR="002313E2" w:rsidRPr="007B326B" w:rsidRDefault="002313E2" w:rsidP="007B326B">
      <w:pPr>
        <w:pStyle w:val="Bibliography"/>
        <w:spacing w:line="240" w:lineRule="auto"/>
        <w:rPr>
          <w:rFonts w:cs="Arial"/>
          <w:sz w:val="20"/>
          <w:szCs w:val="20"/>
        </w:rPr>
      </w:pPr>
      <w:r w:rsidRPr="007B326B">
        <w:rPr>
          <w:rFonts w:cs="Arial"/>
          <w:sz w:val="20"/>
          <w:szCs w:val="20"/>
        </w:rPr>
        <w:t>60.</w:t>
      </w:r>
      <w:r w:rsidRPr="007B326B">
        <w:rPr>
          <w:rFonts w:cs="Arial"/>
          <w:sz w:val="20"/>
          <w:szCs w:val="20"/>
        </w:rPr>
        <w:tab/>
        <w:t xml:space="preserve">Sun Y-S, Zhao Z, Yang Z-N, </w:t>
      </w:r>
      <w:r w:rsidRPr="007B326B">
        <w:rPr>
          <w:rFonts w:cs="Arial"/>
          <w:i/>
          <w:iCs/>
          <w:sz w:val="20"/>
          <w:szCs w:val="20"/>
        </w:rPr>
        <w:t>et al.</w:t>
      </w:r>
      <w:r w:rsidRPr="007B326B">
        <w:rPr>
          <w:rFonts w:cs="Arial"/>
          <w:sz w:val="20"/>
          <w:szCs w:val="20"/>
        </w:rPr>
        <w:t xml:space="preserve"> Risk Factors and Preventions of Breast Cancer. </w:t>
      </w:r>
      <w:r w:rsidRPr="007B326B">
        <w:rPr>
          <w:rFonts w:cs="Arial"/>
          <w:i/>
          <w:iCs/>
          <w:sz w:val="20"/>
          <w:szCs w:val="20"/>
        </w:rPr>
        <w:t>Int J Biol Sci</w:t>
      </w:r>
      <w:r w:rsidRPr="007B326B">
        <w:rPr>
          <w:rFonts w:cs="Arial"/>
          <w:sz w:val="20"/>
          <w:szCs w:val="20"/>
        </w:rPr>
        <w:t xml:space="preserve"> 2017. 13: 1387–1397.</w:t>
      </w:r>
    </w:p>
    <w:p w14:paraId="7466B2C9" w14:textId="77777777" w:rsidR="002313E2" w:rsidRPr="007B326B" w:rsidRDefault="002313E2" w:rsidP="007B326B">
      <w:pPr>
        <w:pStyle w:val="Bibliography"/>
        <w:spacing w:line="240" w:lineRule="auto"/>
        <w:rPr>
          <w:rFonts w:cs="Arial"/>
          <w:sz w:val="20"/>
          <w:szCs w:val="20"/>
        </w:rPr>
      </w:pPr>
      <w:r w:rsidRPr="007B326B">
        <w:rPr>
          <w:rFonts w:cs="Arial"/>
          <w:sz w:val="20"/>
          <w:szCs w:val="20"/>
        </w:rPr>
        <w:t>61.</w:t>
      </w:r>
      <w:r w:rsidRPr="007B326B">
        <w:rPr>
          <w:rFonts w:cs="Arial"/>
          <w:sz w:val="20"/>
          <w:szCs w:val="20"/>
        </w:rPr>
        <w:tab/>
        <w:t>Stages of Breast Cancer | Understand Breast Cancer Staging. at &lt;https://www.cancer.org/cancer/breast-cancer/understanding-a-breast-cancer-diagnosis/stages-of-breast-cancer.html&gt;</w:t>
      </w:r>
    </w:p>
    <w:p w14:paraId="22E5C434" w14:textId="77777777" w:rsidR="002313E2" w:rsidRPr="007B326B" w:rsidRDefault="002313E2" w:rsidP="007B326B">
      <w:pPr>
        <w:pStyle w:val="Bibliography"/>
        <w:spacing w:line="240" w:lineRule="auto"/>
        <w:rPr>
          <w:rFonts w:cs="Arial"/>
          <w:sz w:val="20"/>
          <w:szCs w:val="20"/>
        </w:rPr>
      </w:pPr>
      <w:r w:rsidRPr="007B326B">
        <w:rPr>
          <w:rFonts w:cs="Arial"/>
          <w:sz w:val="20"/>
          <w:szCs w:val="20"/>
        </w:rPr>
        <w:t>62.</w:t>
      </w:r>
      <w:r w:rsidRPr="007B326B">
        <w:rPr>
          <w:rFonts w:cs="Arial"/>
          <w:sz w:val="20"/>
          <w:szCs w:val="20"/>
        </w:rPr>
        <w:tab/>
        <w:t>Number stages of breast cancer | Cancer Research UK. at &lt;https://www.cancerresearchuk.org/about-cancer/breast-cancer/stages-types-grades/number-stages&gt;</w:t>
      </w:r>
    </w:p>
    <w:p w14:paraId="63A4CA0B" w14:textId="77777777" w:rsidR="002313E2" w:rsidRPr="007B326B" w:rsidRDefault="002313E2" w:rsidP="007B326B">
      <w:pPr>
        <w:pStyle w:val="Bibliography"/>
        <w:spacing w:line="240" w:lineRule="auto"/>
        <w:rPr>
          <w:rFonts w:cs="Arial"/>
          <w:sz w:val="20"/>
          <w:szCs w:val="20"/>
        </w:rPr>
      </w:pPr>
      <w:r w:rsidRPr="007B326B">
        <w:rPr>
          <w:rFonts w:cs="Arial"/>
          <w:sz w:val="20"/>
          <w:szCs w:val="20"/>
        </w:rPr>
        <w:t>63.</w:t>
      </w:r>
      <w:r w:rsidRPr="007B326B">
        <w:rPr>
          <w:rFonts w:cs="Arial"/>
          <w:sz w:val="20"/>
          <w:szCs w:val="20"/>
        </w:rPr>
        <w:tab/>
        <w:t xml:space="preserve">Johns LE, Coleman DA, Swerdlow AJ, </w:t>
      </w:r>
      <w:r w:rsidRPr="007B326B">
        <w:rPr>
          <w:rFonts w:cs="Arial"/>
          <w:i/>
          <w:iCs/>
          <w:sz w:val="20"/>
          <w:szCs w:val="20"/>
        </w:rPr>
        <w:t>et al.</w:t>
      </w:r>
      <w:r w:rsidRPr="007B326B">
        <w:rPr>
          <w:rFonts w:cs="Arial"/>
          <w:sz w:val="20"/>
          <w:szCs w:val="20"/>
        </w:rPr>
        <w:t xml:space="preserve"> Effect of population breast screening on breast cancer mortality up to 2005 in England and Wales: an individual-level cohort study. </w:t>
      </w:r>
      <w:r w:rsidRPr="007B326B">
        <w:rPr>
          <w:rFonts w:cs="Arial"/>
          <w:i/>
          <w:iCs/>
          <w:sz w:val="20"/>
          <w:szCs w:val="20"/>
        </w:rPr>
        <w:t>Br J Cancer</w:t>
      </w:r>
      <w:r w:rsidRPr="007B326B">
        <w:rPr>
          <w:rFonts w:cs="Arial"/>
          <w:sz w:val="20"/>
          <w:szCs w:val="20"/>
        </w:rPr>
        <w:t xml:space="preserve"> 2017. 116: 246–252.</w:t>
      </w:r>
    </w:p>
    <w:p w14:paraId="43E7E8F4" w14:textId="77777777" w:rsidR="002313E2" w:rsidRPr="007B326B" w:rsidRDefault="002313E2" w:rsidP="007B326B">
      <w:pPr>
        <w:pStyle w:val="Bibliography"/>
        <w:spacing w:line="240" w:lineRule="auto"/>
        <w:rPr>
          <w:rFonts w:cs="Arial"/>
          <w:sz w:val="20"/>
          <w:szCs w:val="20"/>
        </w:rPr>
      </w:pPr>
      <w:r w:rsidRPr="007B326B">
        <w:rPr>
          <w:rFonts w:cs="Arial"/>
          <w:sz w:val="20"/>
          <w:szCs w:val="20"/>
        </w:rPr>
        <w:t>64.</w:t>
      </w:r>
      <w:r w:rsidRPr="007B326B">
        <w:rPr>
          <w:rFonts w:cs="Arial"/>
          <w:sz w:val="20"/>
          <w:szCs w:val="20"/>
        </w:rPr>
        <w:tab/>
        <w:t xml:space="preserve">Rakha EA, Pinder SE, Bartlett JMS, </w:t>
      </w:r>
      <w:r w:rsidRPr="007B326B">
        <w:rPr>
          <w:rFonts w:cs="Arial"/>
          <w:i/>
          <w:iCs/>
          <w:sz w:val="20"/>
          <w:szCs w:val="20"/>
        </w:rPr>
        <w:t>et al.</w:t>
      </w:r>
      <w:r w:rsidRPr="007B326B">
        <w:rPr>
          <w:rFonts w:cs="Arial"/>
          <w:sz w:val="20"/>
          <w:szCs w:val="20"/>
        </w:rPr>
        <w:t xml:space="preserve"> Updated UK Recommendations for HER2 assessment in breast cancer. </w:t>
      </w:r>
      <w:r w:rsidRPr="007B326B">
        <w:rPr>
          <w:rFonts w:cs="Arial"/>
          <w:i/>
          <w:iCs/>
          <w:sz w:val="20"/>
          <w:szCs w:val="20"/>
        </w:rPr>
        <w:t>J Clin Pathol</w:t>
      </w:r>
      <w:r w:rsidRPr="007B326B">
        <w:rPr>
          <w:rFonts w:cs="Arial"/>
          <w:sz w:val="20"/>
          <w:szCs w:val="20"/>
        </w:rPr>
        <w:t xml:space="preserve"> 2015. 68: 93–99.</w:t>
      </w:r>
    </w:p>
    <w:p w14:paraId="32E0B421" w14:textId="77777777" w:rsidR="002313E2" w:rsidRPr="007B326B" w:rsidRDefault="002313E2" w:rsidP="007B326B">
      <w:pPr>
        <w:pStyle w:val="Bibliography"/>
        <w:spacing w:line="240" w:lineRule="auto"/>
        <w:rPr>
          <w:rFonts w:cs="Arial"/>
          <w:sz w:val="20"/>
          <w:szCs w:val="20"/>
        </w:rPr>
      </w:pPr>
      <w:r w:rsidRPr="007B326B">
        <w:rPr>
          <w:rFonts w:cs="Arial"/>
          <w:sz w:val="20"/>
          <w:szCs w:val="20"/>
        </w:rPr>
        <w:t>65.</w:t>
      </w:r>
      <w:r w:rsidRPr="007B326B">
        <w:rPr>
          <w:rFonts w:cs="Arial"/>
          <w:sz w:val="20"/>
          <w:szCs w:val="20"/>
        </w:rPr>
        <w:tab/>
        <w:t xml:space="preserve">Swain SM, Baselga J, Kim S-B, </w:t>
      </w:r>
      <w:r w:rsidRPr="007B326B">
        <w:rPr>
          <w:rFonts w:cs="Arial"/>
          <w:i/>
          <w:iCs/>
          <w:sz w:val="20"/>
          <w:szCs w:val="20"/>
        </w:rPr>
        <w:t>et al.</w:t>
      </w:r>
      <w:r w:rsidRPr="007B326B">
        <w:rPr>
          <w:rFonts w:cs="Arial"/>
          <w:sz w:val="20"/>
          <w:szCs w:val="20"/>
        </w:rPr>
        <w:t xml:space="preserve"> Pertuzumab, trastuzumab, and docetaxel in HER2-positive metastatic breast cancer. </w:t>
      </w:r>
      <w:r w:rsidRPr="007B326B">
        <w:rPr>
          <w:rFonts w:cs="Arial"/>
          <w:i/>
          <w:iCs/>
          <w:sz w:val="20"/>
          <w:szCs w:val="20"/>
        </w:rPr>
        <w:t>N Engl J Med</w:t>
      </w:r>
      <w:r w:rsidRPr="007B326B">
        <w:rPr>
          <w:rFonts w:cs="Arial"/>
          <w:sz w:val="20"/>
          <w:szCs w:val="20"/>
        </w:rPr>
        <w:t xml:space="preserve"> 2015. 372: 724–734.</w:t>
      </w:r>
    </w:p>
    <w:p w14:paraId="716B2782" w14:textId="77777777" w:rsidR="002313E2" w:rsidRPr="007B326B" w:rsidRDefault="002313E2" w:rsidP="007B326B">
      <w:pPr>
        <w:pStyle w:val="Bibliography"/>
        <w:spacing w:line="240" w:lineRule="auto"/>
        <w:rPr>
          <w:rFonts w:cs="Arial"/>
          <w:sz w:val="20"/>
          <w:szCs w:val="20"/>
        </w:rPr>
      </w:pPr>
      <w:r w:rsidRPr="007B326B">
        <w:rPr>
          <w:rFonts w:cs="Arial"/>
          <w:sz w:val="20"/>
          <w:szCs w:val="20"/>
        </w:rPr>
        <w:t>66.</w:t>
      </w:r>
      <w:r w:rsidRPr="007B326B">
        <w:rPr>
          <w:rFonts w:cs="Arial"/>
          <w:sz w:val="20"/>
          <w:szCs w:val="20"/>
        </w:rPr>
        <w:tab/>
        <w:t xml:space="preserve">Diéras V, Miles D, Verma S, </w:t>
      </w:r>
      <w:r w:rsidRPr="007B326B">
        <w:rPr>
          <w:rFonts w:cs="Arial"/>
          <w:i/>
          <w:iCs/>
          <w:sz w:val="20"/>
          <w:szCs w:val="20"/>
        </w:rPr>
        <w:t>et al.</w:t>
      </w:r>
      <w:r w:rsidRPr="007B326B">
        <w:rPr>
          <w:rFonts w:cs="Arial"/>
          <w:sz w:val="20"/>
          <w:szCs w:val="20"/>
        </w:rPr>
        <w:t xml:space="preserve"> Trastuzumab emtansine versus capecitabine plus lapatinib in patients with previously treated HER2-positive advanced breast cancer (EMILIA): a descriptive analysis of final overall survival results from a randomised, open-label, phase 3 trial. </w:t>
      </w:r>
      <w:r w:rsidRPr="007B326B">
        <w:rPr>
          <w:rFonts w:cs="Arial"/>
          <w:i/>
          <w:iCs/>
          <w:sz w:val="20"/>
          <w:szCs w:val="20"/>
        </w:rPr>
        <w:t>Lancet Oncol</w:t>
      </w:r>
      <w:r w:rsidRPr="007B326B">
        <w:rPr>
          <w:rFonts w:cs="Arial"/>
          <w:sz w:val="20"/>
          <w:szCs w:val="20"/>
        </w:rPr>
        <w:t xml:space="preserve"> 2017. 18: 732–742.</w:t>
      </w:r>
    </w:p>
    <w:p w14:paraId="36D7980B" w14:textId="77777777" w:rsidR="002313E2" w:rsidRPr="007B326B" w:rsidRDefault="002313E2" w:rsidP="007B326B">
      <w:pPr>
        <w:pStyle w:val="Bibliography"/>
        <w:spacing w:line="240" w:lineRule="auto"/>
        <w:rPr>
          <w:rFonts w:cs="Arial"/>
          <w:sz w:val="20"/>
          <w:szCs w:val="20"/>
        </w:rPr>
      </w:pPr>
      <w:r w:rsidRPr="007B326B">
        <w:rPr>
          <w:rFonts w:cs="Arial"/>
          <w:sz w:val="20"/>
          <w:szCs w:val="20"/>
        </w:rPr>
        <w:t>67.</w:t>
      </w:r>
      <w:r w:rsidRPr="007B326B">
        <w:rPr>
          <w:rFonts w:cs="Arial"/>
          <w:sz w:val="20"/>
          <w:szCs w:val="20"/>
        </w:rPr>
        <w:tab/>
        <w:t xml:space="preserve">Verma S, Miles D, Gianni L, </w:t>
      </w:r>
      <w:r w:rsidRPr="007B326B">
        <w:rPr>
          <w:rFonts w:cs="Arial"/>
          <w:i/>
          <w:iCs/>
          <w:sz w:val="20"/>
          <w:szCs w:val="20"/>
        </w:rPr>
        <w:t>et al.</w:t>
      </w:r>
      <w:r w:rsidRPr="007B326B">
        <w:rPr>
          <w:rFonts w:cs="Arial"/>
          <w:sz w:val="20"/>
          <w:szCs w:val="20"/>
        </w:rPr>
        <w:t xml:space="preserve"> Trastuzumab Emtansine for HER2-Positive Advanced Breast Cancer. </w:t>
      </w:r>
      <w:r w:rsidRPr="007B326B">
        <w:rPr>
          <w:rFonts w:cs="Arial"/>
          <w:i/>
          <w:iCs/>
          <w:sz w:val="20"/>
          <w:szCs w:val="20"/>
        </w:rPr>
        <w:t>New England Journal of Medicine</w:t>
      </w:r>
      <w:r w:rsidRPr="007B326B">
        <w:rPr>
          <w:rFonts w:cs="Arial"/>
          <w:sz w:val="20"/>
          <w:szCs w:val="20"/>
        </w:rPr>
        <w:t xml:space="preserve"> 2012. 367: 1783–1791.</w:t>
      </w:r>
    </w:p>
    <w:p w14:paraId="07F0B48B" w14:textId="77777777" w:rsidR="002313E2" w:rsidRPr="007B326B" w:rsidRDefault="002313E2" w:rsidP="007B326B">
      <w:pPr>
        <w:pStyle w:val="Bibliography"/>
        <w:spacing w:line="240" w:lineRule="auto"/>
        <w:rPr>
          <w:rFonts w:cs="Arial"/>
          <w:sz w:val="20"/>
          <w:szCs w:val="20"/>
        </w:rPr>
      </w:pPr>
      <w:r w:rsidRPr="007B326B">
        <w:rPr>
          <w:rFonts w:cs="Arial"/>
          <w:sz w:val="20"/>
          <w:szCs w:val="20"/>
        </w:rPr>
        <w:t>68.</w:t>
      </w:r>
      <w:r w:rsidRPr="007B326B">
        <w:rPr>
          <w:rFonts w:cs="Arial"/>
          <w:sz w:val="20"/>
          <w:szCs w:val="20"/>
        </w:rPr>
        <w:tab/>
        <w:t xml:space="preserve">Cortés J, Kim S-B, Chung W-P, </w:t>
      </w:r>
      <w:r w:rsidRPr="007B326B">
        <w:rPr>
          <w:rFonts w:cs="Arial"/>
          <w:i/>
          <w:iCs/>
          <w:sz w:val="20"/>
          <w:szCs w:val="20"/>
        </w:rPr>
        <w:t>et al.</w:t>
      </w:r>
      <w:r w:rsidRPr="007B326B">
        <w:rPr>
          <w:rFonts w:cs="Arial"/>
          <w:sz w:val="20"/>
          <w:szCs w:val="20"/>
        </w:rPr>
        <w:t xml:space="preserve"> Trastuzumab Deruxtecan versus Trastuzumab Emtansine for Breast Cancer. </w:t>
      </w:r>
      <w:r w:rsidRPr="007B326B">
        <w:rPr>
          <w:rFonts w:cs="Arial"/>
          <w:i/>
          <w:iCs/>
          <w:sz w:val="20"/>
          <w:szCs w:val="20"/>
        </w:rPr>
        <w:t>N Engl J Med</w:t>
      </w:r>
      <w:r w:rsidRPr="007B326B">
        <w:rPr>
          <w:rFonts w:cs="Arial"/>
          <w:sz w:val="20"/>
          <w:szCs w:val="20"/>
        </w:rPr>
        <w:t xml:space="preserve"> 2022. 386: 1143–1154.</w:t>
      </w:r>
    </w:p>
    <w:p w14:paraId="384AE41B" w14:textId="77777777" w:rsidR="002313E2" w:rsidRPr="007B326B" w:rsidRDefault="002313E2" w:rsidP="007B326B">
      <w:pPr>
        <w:pStyle w:val="Bibliography"/>
        <w:spacing w:line="240" w:lineRule="auto"/>
        <w:rPr>
          <w:rFonts w:cs="Arial"/>
          <w:sz w:val="20"/>
          <w:szCs w:val="20"/>
        </w:rPr>
      </w:pPr>
      <w:r w:rsidRPr="007B326B">
        <w:rPr>
          <w:rFonts w:cs="Arial"/>
          <w:sz w:val="20"/>
          <w:szCs w:val="20"/>
        </w:rPr>
        <w:lastRenderedPageBreak/>
        <w:t>69.</w:t>
      </w:r>
      <w:r w:rsidRPr="007B326B">
        <w:rPr>
          <w:rFonts w:cs="Arial"/>
          <w:sz w:val="20"/>
          <w:szCs w:val="20"/>
        </w:rPr>
        <w:tab/>
        <w:t xml:space="preserve">Hurvitz S, Hegg R, Chung W, </w:t>
      </w:r>
      <w:r w:rsidRPr="007B326B">
        <w:rPr>
          <w:rFonts w:cs="Arial"/>
          <w:i/>
          <w:iCs/>
          <w:sz w:val="20"/>
          <w:szCs w:val="20"/>
        </w:rPr>
        <w:t>et al.</w:t>
      </w:r>
      <w:r w:rsidRPr="007B326B">
        <w:rPr>
          <w:rFonts w:cs="Arial"/>
          <w:sz w:val="20"/>
          <w:szCs w:val="20"/>
        </w:rPr>
        <w:t xml:space="preserve"> GS2-02: Trastuzumab deruxtecan versus trastuzumab emtansine in patients with HER2-positive metastatic breast cancer: Updated results of the randomized, phase 3 study DESTINY-Breast03. Presented at the San Antonio Breast Cancer Symposium (SABCS). 2022.</w:t>
      </w:r>
    </w:p>
    <w:p w14:paraId="2C1DAEB6" w14:textId="77777777" w:rsidR="002313E2" w:rsidRPr="007B326B" w:rsidRDefault="002313E2" w:rsidP="007B326B">
      <w:pPr>
        <w:pStyle w:val="Bibliography"/>
        <w:spacing w:line="240" w:lineRule="auto"/>
        <w:rPr>
          <w:rFonts w:cs="Arial"/>
          <w:sz w:val="20"/>
          <w:szCs w:val="20"/>
        </w:rPr>
      </w:pPr>
      <w:r w:rsidRPr="007B326B">
        <w:rPr>
          <w:rFonts w:cs="Arial"/>
          <w:sz w:val="20"/>
          <w:szCs w:val="20"/>
        </w:rPr>
        <w:t>70.</w:t>
      </w:r>
      <w:r w:rsidRPr="007B326B">
        <w:rPr>
          <w:rFonts w:cs="Arial"/>
          <w:sz w:val="20"/>
          <w:szCs w:val="20"/>
        </w:rPr>
        <w:tab/>
        <w:t>NICE. Tucatinib with trastuzumab and capecitabine for treating HER2-positive advanced breast cancer after 2 or more anti-HER2 therapies | NICE [TA786]. at &lt;https://www.nice.org.uk/guidance/ta786&gt;</w:t>
      </w:r>
    </w:p>
    <w:p w14:paraId="09C439DD" w14:textId="77777777" w:rsidR="002313E2" w:rsidRPr="007B326B" w:rsidRDefault="002313E2" w:rsidP="007B326B">
      <w:pPr>
        <w:pStyle w:val="Bibliography"/>
        <w:spacing w:line="240" w:lineRule="auto"/>
        <w:rPr>
          <w:rFonts w:cs="Arial"/>
          <w:sz w:val="20"/>
          <w:szCs w:val="20"/>
        </w:rPr>
      </w:pPr>
      <w:r w:rsidRPr="007B326B">
        <w:rPr>
          <w:rFonts w:cs="Arial"/>
          <w:sz w:val="20"/>
          <w:szCs w:val="20"/>
        </w:rPr>
        <w:t>71.</w:t>
      </w:r>
      <w:r w:rsidRPr="007B326B">
        <w:rPr>
          <w:rFonts w:cs="Arial"/>
          <w:sz w:val="20"/>
          <w:szCs w:val="20"/>
        </w:rPr>
        <w:tab/>
        <w:t xml:space="preserve">Moy B, Rumble RB, Carey LA, </w:t>
      </w:r>
      <w:r w:rsidRPr="007B326B">
        <w:rPr>
          <w:rFonts w:cs="Arial"/>
          <w:i/>
          <w:iCs/>
          <w:sz w:val="20"/>
          <w:szCs w:val="20"/>
        </w:rPr>
        <w:t>et al.</w:t>
      </w:r>
      <w:r w:rsidRPr="007B326B">
        <w:rPr>
          <w:rFonts w:cs="Arial"/>
          <w:sz w:val="20"/>
          <w:szCs w:val="20"/>
        </w:rPr>
        <w:t xml:space="preserve"> Chemotherapy and Targeted Therapy for Human Epidermal Growth Factor Receptor 2–Negative Metastatic Breast Cancer That Is Either Endocrine-Pretreated or Hormone Receptor–Negative: ASCO Guideline Rapid Recommendation Update. </w:t>
      </w:r>
      <w:r w:rsidRPr="007B326B">
        <w:rPr>
          <w:rFonts w:cs="Arial"/>
          <w:i/>
          <w:iCs/>
          <w:sz w:val="20"/>
          <w:szCs w:val="20"/>
        </w:rPr>
        <w:t>Journal of Clinical Oncology</w:t>
      </w:r>
      <w:r w:rsidRPr="007B326B">
        <w:rPr>
          <w:rFonts w:cs="Arial"/>
          <w:sz w:val="20"/>
          <w:szCs w:val="20"/>
        </w:rPr>
        <w:t xml:space="preserve"> 2022. doi:10.1200/JCO.22.01533</w:t>
      </w:r>
    </w:p>
    <w:p w14:paraId="47EC7A2C" w14:textId="77777777" w:rsidR="002313E2" w:rsidRPr="007B326B" w:rsidRDefault="002313E2" w:rsidP="007B326B">
      <w:pPr>
        <w:pStyle w:val="Bibliography"/>
        <w:spacing w:line="240" w:lineRule="auto"/>
        <w:rPr>
          <w:rFonts w:cs="Arial"/>
          <w:sz w:val="20"/>
          <w:szCs w:val="20"/>
        </w:rPr>
      </w:pPr>
      <w:r w:rsidRPr="007B326B">
        <w:rPr>
          <w:rFonts w:cs="Arial"/>
          <w:sz w:val="20"/>
          <w:szCs w:val="20"/>
        </w:rPr>
        <w:t>72.</w:t>
      </w:r>
      <w:r w:rsidRPr="007B326B">
        <w:rPr>
          <w:rFonts w:cs="Arial"/>
          <w:sz w:val="20"/>
          <w:szCs w:val="20"/>
        </w:rPr>
        <w:tab/>
        <w:t xml:space="preserve">Gradishar WJ, Moran MS, Abraham J, </w:t>
      </w:r>
      <w:r w:rsidRPr="007B326B">
        <w:rPr>
          <w:rFonts w:cs="Arial"/>
          <w:i/>
          <w:iCs/>
          <w:sz w:val="20"/>
          <w:szCs w:val="20"/>
        </w:rPr>
        <w:t>et al.</w:t>
      </w:r>
      <w:r w:rsidRPr="007B326B">
        <w:rPr>
          <w:rFonts w:cs="Arial"/>
          <w:sz w:val="20"/>
          <w:szCs w:val="20"/>
        </w:rPr>
        <w:t xml:space="preserve"> NCCN Clinical Practice Guidelines in Oncology, Breast Cancer. Version 4.2022. 2022. at &lt;https://www.nccn.org/patients/guidelines/cancers.aspx&gt;</w:t>
      </w:r>
    </w:p>
    <w:p w14:paraId="5617CE3D" w14:textId="77777777" w:rsidR="002313E2" w:rsidRPr="007B326B" w:rsidRDefault="002313E2" w:rsidP="007B326B">
      <w:pPr>
        <w:pStyle w:val="Bibliography"/>
        <w:spacing w:line="240" w:lineRule="auto"/>
        <w:rPr>
          <w:rFonts w:cs="Arial"/>
          <w:sz w:val="20"/>
          <w:szCs w:val="20"/>
        </w:rPr>
      </w:pPr>
      <w:r w:rsidRPr="007B326B">
        <w:rPr>
          <w:rFonts w:cs="Arial"/>
          <w:sz w:val="20"/>
          <w:szCs w:val="20"/>
        </w:rPr>
        <w:t>73.</w:t>
      </w:r>
      <w:r w:rsidRPr="007B326B">
        <w:rPr>
          <w:rFonts w:cs="Arial"/>
          <w:sz w:val="20"/>
          <w:szCs w:val="20"/>
        </w:rPr>
        <w:tab/>
        <w:t xml:space="preserve">Mass RD, Press MF, Anderson S, </w:t>
      </w:r>
      <w:r w:rsidRPr="007B326B">
        <w:rPr>
          <w:rFonts w:cs="Arial"/>
          <w:i/>
          <w:iCs/>
          <w:sz w:val="20"/>
          <w:szCs w:val="20"/>
        </w:rPr>
        <w:t>et al.</w:t>
      </w:r>
      <w:r w:rsidRPr="007B326B">
        <w:rPr>
          <w:rFonts w:cs="Arial"/>
          <w:sz w:val="20"/>
          <w:szCs w:val="20"/>
        </w:rPr>
        <w:t xml:space="preserve"> Evaluation of clinical outcomes according to HER2 detection by fluorescence in situ hybridization in women with metastatic breast cancer treated with trastuzumab. </w:t>
      </w:r>
      <w:r w:rsidRPr="007B326B">
        <w:rPr>
          <w:rFonts w:cs="Arial"/>
          <w:i/>
          <w:iCs/>
          <w:sz w:val="20"/>
          <w:szCs w:val="20"/>
        </w:rPr>
        <w:t>Clin Breast Cancer</w:t>
      </w:r>
      <w:r w:rsidRPr="007B326B">
        <w:rPr>
          <w:rFonts w:cs="Arial"/>
          <w:sz w:val="20"/>
          <w:szCs w:val="20"/>
        </w:rPr>
        <w:t xml:space="preserve"> 2005. 6: 240–246.</w:t>
      </w:r>
    </w:p>
    <w:p w14:paraId="6A4FD558" w14:textId="77777777" w:rsidR="002313E2" w:rsidRPr="007B326B" w:rsidRDefault="002313E2" w:rsidP="007B326B">
      <w:pPr>
        <w:pStyle w:val="Bibliography"/>
        <w:spacing w:line="240" w:lineRule="auto"/>
        <w:rPr>
          <w:rFonts w:cs="Arial"/>
          <w:sz w:val="20"/>
          <w:szCs w:val="20"/>
        </w:rPr>
      </w:pPr>
      <w:r w:rsidRPr="007B326B">
        <w:rPr>
          <w:rFonts w:cs="Arial"/>
          <w:sz w:val="20"/>
          <w:szCs w:val="20"/>
        </w:rPr>
        <w:t>74.</w:t>
      </w:r>
      <w:r w:rsidRPr="007B326B">
        <w:rPr>
          <w:rFonts w:cs="Arial"/>
          <w:sz w:val="20"/>
          <w:szCs w:val="20"/>
        </w:rPr>
        <w:tab/>
        <w:t>Early Diagnosis. at &lt;https://crukcancerintelligence.shinyapps.io/EarlyDiagnosis/&gt;</w:t>
      </w:r>
    </w:p>
    <w:p w14:paraId="13B89359" w14:textId="77777777" w:rsidR="002313E2" w:rsidRPr="007B326B" w:rsidRDefault="002313E2" w:rsidP="007B326B">
      <w:pPr>
        <w:pStyle w:val="Bibliography"/>
        <w:spacing w:line="240" w:lineRule="auto"/>
        <w:rPr>
          <w:rFonts w:cs="Arial"/>
          <w:sz w:val="20"/>
          <w:szCs w:val="20"/>
        </w:rPr>
      </w:pPr>
      <w:r w:rsidRPr="007B326B">
        <w:rPr>
          <w:rFonts w:cs="Arial"/>
          <w:sz w:val="20"/>
          <w:szCs w:val="20"/>
        </w:rPr>
        <w:t>75.</w:t>
      </w:r>
      <w:r w:rsidRPr="007B326B">
        <w:rPr>
          <w:rFonts w:cs="Arial"/>
          <w:sz w:val="20"/>
          <w:szCs w:val="20"/>
        </w:rPr>
        <w:tab/>
        <w:t xml:space="preserve">Salvo EM, Ramirez AO, Cueto J, </w:t>
      </w:r>
      <w:r w:rsidRPr="007B326B">
        <w:rPr>
          <w:rFonts w:cs="Arial"/>
          <w:i/>
          <w:iCs/>
          <w:sz w:val="20"/>
          <w:szCs w:val="20"/>
        </w:rPr>
        <w:t>et al.</w:t>
      </w:r>
      <w:r w:rsidRPr="007B326B">
        <w:rPr>
          <w:rFonts w:cs="Arial"/>
          <w:sz w:val="20"/>
          <w:szCs w:val="20"/>
        </w:rPr>
        <w:t xml:space="preserve"> Risk of recurrence among patients with HR-positive, HER2-negative, early breast cancer receiving adjuvant endocrine therapy: A systematic review and meta-analysis. </w:t>
      </w:r>
      <w:r w:rsidRPr="007B326B">
        <w:rPr>
          <w:rFonts w:cs="Arial"/>
          <w:i/>
          <w:iCs/>
          <w:sz w:val="20"/>
          <w:szCs w:val="20"/>
        </w:rPr>
        <w:t>Breast</w:t>
      </w:r>
      <w:r w:rsidRPr="007B326B">
        <w:rPr>
          <w:rFonts w:cs="Arial"/>
          <w:sz w:val="20"/>
          <w:szCs w:val="20"/>
        </w:rPr>
        <w:t xml:space="preserve"> 2021. 57: 5–17.</w:t>
      </w:r>
    </w:p>
    <w:p w14:paraId="2AF972E8" w14:textId="77777777" w:rsidR="002313E2" w:rsidRPr="007B326B" w:rsidRDefault="002313E2" w:rsidP="007B326B">
      <w:pPr>
        <w:pStyle w:val="Bibliography"/>
        <w:spacing w:line="240" w:lineRule="auto"/>
        <w:rPr>
          <w:rFonts w:cs="Arial"/>
          <w:sz w:val="20"/>
          <w:szCs w:val="20"/>
        </w:rPr>
      </w:pPr>
      <w:r w:rsidRPr="007B326B">
        <w:rPr>
          <w:rFonts w:cs="Arial"/>
          <w:sz w:val="20"/>
          <w:szCs w:val="20"/>
        </w:rPr>
        <w:t>76.</w:t>
      </w:r>
      <w:r w:rsidRPr="007B326B">
        <w:rPr>
          <w:rFonts w:cs="Arial"/>
          <w:sz w:val="20"/>
          <w:szCs w:val="20"/>
        </w:rPr>
        <w:tab/>
        <w:t xml:space="preserve">O’Shaughnessy J, Schwartzberg L, Danso MA, </w:t>
      </w:r>
      <w:r w:rsidRPr="007B326B">
        <w:rPr>
          <w:rFonts w:cs="Arial"/>
          <w:i/>
          <w:iCs/>
          <w:sz w:val="20"/>
          <w:szCs w:val="20"/>
        </w:rPr>
        <w:t>et al.</w:t>
      </w:r>
      <w:r w:rsidRPr="007B326B">
        <w:rPr>
          <w:rFonts w:cs="Arial"/>
          <w:sz w:val="20"/>
          <w:szCs w:val="20"/>
        </w:rPr>
        <w:t xml:space="preserve"> Phase III study of iniparib plus gemcitabine and carboplatin versus gemcitabine and carboplatin in patients with metastatic triple-negative breast cancer. </w:t>
      </w:r>
      <w:r w:rsidRPr="007B326B">
        <w:rPr>
          <w:rFonts w:cs="Arial"/>
          <w:i/>
          <w:iCs/>
          <w:sz w:val="20"/>
          <w:szCs w:val="20"/>
        </w:rPr>
        <w:t>J Clin Oncol</w:t>
      </w:r>
      <w:r w:rsidRPr="007B326B">
        <w:rPr>
          <w:rFonts w:cs="Arial"/>
          <w:sz w:val="20"/>
          <w:szCs w:val="20"/>
        </w:rPr>
        <w:t xml:space="preserve"> 2014. 32: 3840–3847.</w:t>
      </w:r>
    </w:p>
    <w:p w14:paraId="3EBA0340" w14:textId="77777777" w:rsidR="002313E2" w:rsidRPr="007B326B" w:rsidRDefault="002313E2" w:rsidP="007B326B">
      <w:pPr>
        <w:pStyle w:val="Bibliography"/>
        <w:spacing w:line="240" w:lineRule="auto"/>
        <w:rPr>
          <w:rFonts w:cs="Arial"/>
          <w:sz w:val="20"/>
          <w:szCs w:val="20"/>
        </w:rPr>
      </w:pPr>
      <w:r w:rsidRPr="007B326B">
        <w:rPr>
          <w:rFonts w:cs="Arial"/>
          <w:sz w:val="20"/>
          <w:szCs w:val="20"/>
        </w:rPr>
        <w:t>77.</w:t>
      </w:r>
      <w:r w:rsidRPr="007B326B">
        <w:rPr>
          <w:rFonts w:cs="Arial"/>
          <w:sz w:val="20"/>
          <w:szCs w:val="20"/>
        </w:rPr>
        <w:tab/>
        <w:t xml:space="preserve">Twelves C, Cheeseman S, Sopwith W, </w:t>
      </w:r>
      <w:r w:rsidRPr="007B326B">
        <w:rPr>
          <w:rFonts w:cs="Arial"/>
          <w:i/>
          <w:iCs/>
          <w:sz w:val="20"/>
          <w:szCs w:val="20"/>
        </w:rPr>
        <w:t>et al.</w:t>
      </w:r>
      <w:r w:rsidRPr="007B326B">
        <w:rPr>
          <w:rFonts w:cs="Arial"/>
          <w:sz w:val="20"/>
          <w:szCs w:val="20"/>
        </w:rPr>
        <w:t xml:space="preserve"> Systemic treatment of hormone receptor positive, human epidermal growth factor 2 negative metastatic breast cancer: retrospective analysis from Leeds Cancer Centre. </w:t>
      </w:r>
      <w:r w:rsidRPr="007B326B">
        <w:rPr>
          <w:rFonts w:cs="Arial"/>
          <w:i/>
          <w:iCs/>
          <w:sz w:val="20"/>
          <w:szCs w:val="20"/>
        </w:rPr>
        <w:t>BMC Cancer</w:t>
      </w:r>
      <w:r w:rsidRPr="007B326B">
        <w:rPr>
          <w:rFonts w:cs="Arial"/>
          <w:sz w:val="20"/>
          <w:szCs w:val="20"/>
        </w:rPr>
        <w:t xml:space="preserve"> 2020. 20: 53.</w:t>
      </w:r>
    </w:p>
    <w:p w14:paraId="011B8758" w14:textId="77777777" w:rsidR="002313E2" w:rsidRPr="007B326B" w:rsidRDefault="002313E2" w:rsidP="007B326B">
      <w:pPr>
        <w:pStyle w:val="Bibliography"/>
        <w:spacing w:line="240" w:lineRule="auto"/>
        <w:rPr>
          <w:rFonts w:cs="Arial"/>
          <w:sz w:val="20"/>
          <w:szCs w:val="20"/>
        </w:rPr>
      </w:pPr>
      <w:r w:rsidRPr="007B326B">
        <w:rPr>
          <w:rFonts w:cs="Arial"/>
          <w:sz w:val="20"/>
          <w:szCs w:val="20"/>
        </w:rPr>
        <w:t>78.</w:t>
      </w:r>
      <w:r w:rsidRPr="007B326B">
        <w:rPr>
          <w:rFonts w:cs="Arial"/>
          <w:sz w:val="20"/>
          <w:szCs w:val="20"/>
        </w:rPr>
        <w:tab/>
        <w:t>Tests to diagnose breast cancer | Cancer Research UK. at &lt;https://www.cancerresearchuk.org/about-cancer/breast-cancer/getting-diagnosed/tests-diagnose&gt;</w:t>
      </w:r>
    </w:p>
    <w:p w14:paraId="1823ED53" w14:textId="77777777" w:rsidR="002313E2" w:rsidRPr="007B326B" w:rsidRDefault="002313E2" w:rsidP="007B326B">
      <w:pPr>
        <w:pStyle w:val="Bibliography"/>
        <w:spacing w:line="240" w:lineRule="auto"/>
        <w:rPr>
          <w:rFonts w:cs="Arial"/>
          <w:sz w:val="20"/>
          <w:szCs w:val="20"/>
        </w:rPr>
      </w:pPr>
      <w:r w:rsidRPr="007B326B">
        <w:rPr>
          <w:rFonts w:cs="Arial"/>
          <w:sz w:val="20"/>
          <w:szCs w:val="20"/>
        </w:rPr>
        <w:t>79.</w:t>
      </w:r>
      <w:r w:rsidRPr="007B326B">
        <w:rPr>
          <w:rFonts w:cs="Arial"/>
          <w:sz w:val="20"/>
          <w:szCs w:val="20"/>
        </w:rPr>
        <w:tab/>
        <w:t xml:space="preserve">Breast Cancer Staging. </w:t>
      </w:r>
      <w:r w:rsidRPr="007B326B">
        <w:rPr>
          <w:rFonts w:cs="Arial"/>
          <w:i/>
          <w:iCs/>
          <w:sz w:val="20"/>
          <w:szCs w:val="20"/>
        </w:rPr>
        <w:t>Susan G. Komen®</w:t>
      </w:r>
      <w:r w:rsidRPr="007B326B">
        <w:rPr>
          <w:rFonts w:cs="Arial"/>
          <w:sz w:val="20"/>
          <w:szCs w:val="20"/>
        </w:rPr>
        <w:t xml:space="preserve"> at &lt;https://www.komen.org/breast-cancer/diagnosis/stages-staging/&gt;</w:t>
      </w:r>
    </w:p>
    <w:p w14:paraId="35543F07" w14:textId="77777777" w:rsidR="002313E2" w:rsidRPr="007B326B" w:rsidRDefault="002313E2" w:rsidP="007B326B">
      <w:pPr>
        <w:pStyle w:val="Bibliography"/>
        <w:spacing w:line="240" w:lineRule="auto"/>
        <w:rPr>
          <w:rFonts w:cs="Arial"/>
          <w:sz w:val="20"/>
          <w:szCs w:val="20"/>
        </w:rPr>
      </w:pPr>
      <w:r w:rsidRPr="007B326B">
        <w:rPr>
          <w:rFonts w:cs="Arial"/>
          <w:sz w:val="20"/>
          <w:szCs w:val="20"/>
        </w:rPr>
        <w:t>80.</w:t>
      </w:r>
      <w:r w:rsidRPr="007B326B">
        <w:rPr>
          <w:rFonts w:cs="Arial"/>
          <w:sz w:val="20"/>
          <w:szCs w:val="20"/>
        </w:rPr>
        <w:tab/>
        <w:t xml:space="preserve">Breast Cancer Staging. </w:t>
      </w:r>
      <w:r w:rsidRPr="007B326B">
        <w:rPr>
          <w:rFonts w:cs="Arial"/>
          <w:i/>
          <w:iCs/>
          <w:sz w:val="20"/>
          <w:szCs w:val="20"/>
        </w:rPr>
        <w:t>ACS</w:t>
      </w:r>
      <w:r w:rsidRPr="007B326B">
        <w:rPr>
          <w:rFonts w:cs="Arial"/>
          <w:sz w:val="20"/>
          <w:szCs w:val="20"/>
        </w:rPr>
        <w:t xml:space="preserve"> at &lt;https://www.facs.org/for-patients/home-skills-for-patients/breast-cancer-surgery/breast-cancer-types/breast-cancer-staging/&gt;</w:t>
      </w:r>
    </w:p>
    <w:p w14:paraId="7C02C585" w14:textId="77777777" w:rsidR="002313E2" w:rsidRPr="007B326B" w:rsidRDefault="002313E2" w:rsidP="007B326B">
      <w:pPr>
        <w:pStyle w:val="Bibliography"/>
        <w:spacing w:line="240" w:lineRule="auto"/>
        <w:rPr>
          <w:rFonts w:cs="Arial"/>
          <w:sz w:val="20"/>
          <w:szCs w:val="20"/>
        </w:rPr>
      </w:pPr>
      <w:r w:rsidRPr="007B326B">
        <w:rPr>
          <w:rFonts w:cs="Arial"/>
          <w:sz w:val="20"/>
          <w:szCs w:val="20"/>
        </w:rPr>
        <w:t>81.</w:t>
      </w:r>
      <w:r w:rsidRPr="007B326B">
        <w:rPr>
          <w:rFonts w:cs="Arial"/>
          <w:sz w:val="20"/>
          <w:szCs w:val="20"/>
        </w:rPr>
        <w:tab/>
        <w:t>Tests on your breast cancer cells | Cancer research UK. at &lt;https://www.cancerresearchuk.org/about-cancer/breast-cancer/getting-diagnosed/tests-diagnose/hormone-receptor-testing-breast-cancer&gt;</w:t>
      </w:r>
    </w:p>
    <w:p w14:paraId="11607CF0" w14:textId="77777777" w:rsidR="002313E2" w:rsidRPr="007B326B" w:rsidRDefault="002313E2" w:rsidP="007B326B">
      <w:pPr>
        <w:pStyle w:val="Bibliography"/>
        <w:spacing w:line="240" w:lineRule="auto"/>
        <w:rPr>
          <w:rFonts w:cs="Arial"/>
          <w:sz w:val="20"/>
          <w:szCs w:val="20"/>
        </w:rPr>
      </w:pPr>
      <w:r w:rsidRPr="007B326B">
        <w:rPr>
          <w:rFonts w:cs="Arial"/>
          <w:sz w:val="20"/>
          <w:szCs w:val="20"/>
        </w:rPr>
        <w:t>82.</w:t>
      </w:r>
      <w:r w:rsidRPr="007B326B">
        <w:rPr>
          <w:rFonts w:cs="Arial"/>
          <w:sz w:val="20"/>
          <w:szCs w:val="20"/>
        </w:rPr>
        <w:tab/>
        <w:t xml:space="preserve">Eiger D, Agostinetto E, Saúde-Conde R, </w:t>
      </w:r>
      <w:r w:rsidRPr="007B326B">
        <w:rPr>
          <w:rFonts w:cs="Arial"/>
          <w:i/>
          <w:iCs/>
          <w:sz w:val="20"/>
          <w:szCs w:val="20"/>
        </w:rPr>
        <w:t>et al.</w:t>
      </w:r>
      <w:r w:rsidRPr="007B326B">
        <w:rPr>
          <w:rFonts w:cs="Arial"/>
          <w:sz w:val="20"/>
          <w:szCs w:val="20"/>
        </w:rPr>
        <w:t xml:space="preserve"> The Exciting New Field of HER2-Low Breast Cancer Treatment. </w:t>
      </w:r>
      <w:r w:rsidRPr="007B326B">
        <w:rPr>
          <w:rFonts w:cs="Arial"/>
          <w:i/>
          <w:iCs/>
          <w:sz w:val="20"/>
          <w:szCs w:val="20"/>
        </w:rPr>
        <w:t>Cancers (Basel)</w:t>
      </w:r>
      <w:r w:rsidRPr="007B326B">
        <w:rPr>
          <w:rFonts w:cs="Arial"/>
          <w:sz w:val="20"/>
          <w:szCs w:val="20"/>
        </w:rPr>
        <w:t xml:space="preserve"> 2021. 13: 1015.</w:t>
      </w:r>
    </w:p>
    <w:p w14:paraId="3DA5B790" w14:textId="77777777" w:rsidR="002313E2" w:rsidRPr="007B326B" w:rsidRDefault="002313E2" w:rsidP="007B326B">
      <w:pPr>
        <w:pStyle w:val="Bibliography"/>
        <w:spacing w:line="240" w:lineRule="auto"/>
        <w:rPr>
          <w:rFonts w:cs="Arial"/>
          <w:sz w:val="20"/>
          <w:szCs w:val="20"/>
        </w:rPr>
      </w:pPr>
      <w:r w:rsidRPr="007B326B">
        <w:rPr>
          <w:rFonts w:cs="Arial"/>
          <w:sz w:val="20"/>
          <w:szCs w:val="20"/>
        </w:rPr>
        <w:t>83.</w:t>
      </w:r>
      <w:r w:rsidRPr="007B326B">
        <w:rPr>
          <w:rFonts w:cs="Arial"/>
          <w:sz w:val="20"/>
          <w:szCs w:val="20"/>
        </w:rPr>
        <w:tab/>
        <w:t xml:space="preserve">Kida K, Olver I, Yennu S, </w:t>
      </w:r>
      <w:r w:rsidRPr="007B326B">
        <w:rPr>
          <w:rFonts w:cs="Arial"/>
          <w:i/>
          <w:iCs/>
          <w:sz w:val="20"/>
          <w:szCs w:val="20"/>
        </w:rPr>
        <w:t>et al.</w:t>
      </w:r>
      <w:r w:rsidRPr="007B326B">
        <w:rPr>
          <w:rFonts w:cs="Arial"/>
          <w:sz w:val="20"/>
          <w:szCs w:val="20"/>
        </w:rPr>
        <w:t xml:space="preserve"> Optimal Supportive Care for Patients With Metastatic Breast Cancer According to Their Disease Progression Phase. </w:t>
      </w:r>
      <w:r w:rsidRPr="007B326B">
        <w:rPr>
          <w:rFonts w:cs="Arial"/>
          <w:i/>
          <w:iCs/>
          <w:sz w:val="20"/>
          <w:szCs w:val="20"/>
        </w:rPr>
        <w:t>JCO Oncol Pract</w:t>
      </w:r>
      <w:r w:rsidRPr="007B326B">
        <w:rPr>
          <w:rFonts w:cs="Arial"/>
          <w:sz w:val="20"/>
          <w:szCs w:val="20"/>
        </w:rPr>
        <w:t xml:space="preserve"> 2021. 17: 177–183.</w:t>
      </w:r>
    </w:p>
    <w:p w14:paraId="197FE7E1" w14:textId="77777777" w:rsidR="002313E2" w:rsidRPr="007B326B" w:rsidRDefault="002313E2" w:rsidP="007B326B">
      <w:pPr>
        <w:pStyle w:val="Bibliography"/>
        <w:spacing w:line="240" w:lineRule="auto"/>
        <w:rPr>
          <w:rFonts w:cs="Arial"/>
          <w:sz w:val="20"/>
          <w:szCs w:val="20"/>
        </w:rPr>
      </w:pPr>
      <w:r w:rsidRPr="007B326B">
        <w:rPr>
          <w:rFonts w:cs="Arial"/>
          <w:sz w:val="20"/>
          <w:szCs w:val="20"/>
        </w:rPr>
        <w:t>84.</w:t>
      </w:r>
      <w:r w:rsidRPr="007B326B">
        <w:rPr>
          <w:rFonts w:cs="Arial"/>
          <w:sz w:val="20"/>
          <w:szCs w:val="20"/>
        </w:rPr>
        <w:tab/>
        <w:t>Breast cancer symptoms | Cancer Research UK. at &lt;https://www.cancerresearchuk.org/about-cancer/breast-cancer/symptoms&gt;</w:t>
      </w:r>
    </w:p>
    <w:p w14:paraId="5AEF7109" w14:textId="77777777" w:rsidR="002313E2" w:rsidRPr="007B326B" w:rsidRDefault="002313E2" w:rsidP="007B326B">
      <w:pPr>
        <w:pStyle w:val="Bibliography"/>
        <w:spacing w:line="240" w:lineRule="auto"/>
        <w:rPr>
          <w:rFonts w:cs="Arial"/>
          <w:sz w:val="20"/>
          <w:szCs w:val="20"/>
        </w:rPr>
      </w:pPr>
      <w:r w:rsidRPr="007B326B">
        <w:rPr>
          <w:rFonts w:cs="Arial"/>
          <w:sz w:val="20"/>
          <w:szCs w:val="20"/>
        </w:rPr>
        <w:t>85.</w:t>
      </w:r>
      <w:r w:rsidRPr="007B326B">
        <w:rPr>
          <w:rFonts w:cs="Arial"/>
          <w:sz w:val="20"/>
          <w:szCs w:val="20"/>
        </w:rPr>
        <w:tab/>
        <w:t xml:space="preserve">Kolben T, Bardenhewer M, Kolben TM, </w:t>
      </w:r>
      <w:r w:rsidRPr="007B326B">
        <w:rPr>
          <w:rFonts w:cs="Arial"/>
          <w:i/>
          <w:iCs/>
          <w:sz w:val="20"/>
          <w:szCs w:val="20"/>
        </w:rPr>
        <w:t>et al.</w:t>
      </w:r>
      <w:r w:rsidRPr="007B326B">
        <w:rPr>
          <w:rFonts w:cs="Arial"/>
          <w:sz w:val="20"/>
          <w:szCs w:val="20"/>
        </w:rPr>
        <w:t xml:space="preserve"> Metastatic Breast Cancer: Is There a Differential Therapy Efficacy between Visceral and Non-Visceral Metastatic Breast Cancer? </w:t>
      </w:r>
      <w:r w:rsidRPr="007B326B">
        <w:rPr>
          <w:rFonts w:cs="Arial"/>
          <w:i/>
          <w:iCs/>
          <w:sz w:val="20"/>
          <w:szCs w:val="20"/>
        </w:rPr>
        <w:t>BRC</w:t>
      </w:r>
      <w:r w:rsidRPr="007B326B">
        <w:rPr>
          <w:rFonts w:cs="Arial"/>
          <w:sz w:val="20"/>
          <w:szCs w:val="20"/>
        </w:rPr>
        <w:t xml:space="preserve"> 2020. 15: 527–533.</w:t>
      </w:r>
    </w:p>
    <w:p w14:paraId="2ED05F5B" w14:textId="77777777" w:rsidR="002313E2" w:rsidRPr="007B326B" w:rsidRDefault="002313E2" w:rsidP="007B326B">
      <w:pPr>
        <w:pStyle w:val="Bibliography"/>
        <w:spacing w:line="240" w:lineRule="auto"/>
        <w:rPr>
          <w:rFonts w:cs="Arial"/>
          <w:sz w:val="20"/>
          <w:szCs w:val="20"/>
        </w:rPr>
      </w:pPr>
      <w:r w:rsidRPr="007B326B">
        <w:rPr>
          <w:rFonts w:cs="Arial"/>
          <w:sz w:val="20"/>
          <w:szCs w:val="20"/>
        </w:rPr>
        <w:t>86.</w:t>
      </w:r>
      <w:r w:rsidRPr="007B326B">
        <w:rPr>
          <w:rFonts w:cs="Arial"/>
          <w:sz w:val="20"/>
          <w:szCs w:val="20"/>
        </w:rPr>
        <w:tab/>
        <w:t xml:space="preserve">D’hondt R, Spoormans I, Neyens N, </w:t>
      </w:r>
      <w:r w:rsidRPr="007B326B">
        <w:rPr>
          <w:rFonts w:cs="Arial"/>
          <w:i/>
          <w:iCs/>
          <w:sz w:val="20"/>
          <w:szCs w:val="20"/>
        </w:rPr>
        <w:t>et al.</w:t>
      </w:r>
      <w:r w:rsidRPr="007B326B">
        <w:rPr>
          <w:rFonts w:cs="Arial"/>
          <w:sz w:val="20"/>
          <w:szCs w:val="20"/>
        </w:rPr>
        <w:t xml:space="preserve"> Survival of patients with metastatic breast cancer: a single-centre experience. </w:t>
      </w:r>
      <w:r w:rsidRPr="007B326B">
        <w:rPr>
          <w:rFonts w:cs="Arial"/>
          <w:i/>
          <w:iCs/>
          <w:sz w:val="20"/>
          <w:szCs w:val="20"/>
        </w:rPr>
        <w:t>Acta Clin Belg</w:t>
      </w:r>
      <w:r w:rsidRPr="007B326B">
        <w:rPr>
          <w:rFonts w:cs="Arial"/>
          <w:sz w:val="20"/>
          <w:szCs w:val="20"/>
        </w:rPr>
        <w:t xml:space="preserve"> 2014. 69: 194–199.</w:t>
      </w:r>
    </w:p>
    <w:p w14:paraId="0AE6EDEB" w14:textId="77777777" w:rsidR="002313E2" w:rsidRPr="007B326B" w:rsidRDefault="002313E2" w:rsidP="007B326B">
      <w:pPr>
        <w:pStyle w:val="Bibliography"/>
        <w:spacing w:line="240" w:lineRule="auto"/>
        <w:rPr>
          <w:rFonts w:cs="Arial"/>
          <w:sz w:val="20"/>
          <w:szCs w:val="20"/>
        </w:rPr>
      </w:pPr>
      <w:r w:rsidRPr="007B326B">
        <w:rPr>
          <w:rFonts w:cs="Arial"/>
          <w:sz w:val="20"/>
          <w:szCs w:val="20"/>
        </w:rPr>
        <w:t>87.</w:t>
      </w:r>
      <w:r w:rsidRPr="007B326B">
        <w:rPr>
          <w:rFonts w:cs="Arial"/>
          <w:sz w:val="20"/>
          <w:szCs w:val="20"/>
        </w:rPr>
        <w:tab/>
        <w:t>Spinal cord compression | Coping Physically | Cancer Research UK. at &lt;https://www.cancerresearchuk.org/about-cancer/coping/physically/spinal-cord-compression/about&gt;</w:t>
      </w:r>
    </w:p>
    <w:p w14:paraId="58420B43" w14:textId="77777777" w:rsidR="002313E2" w:rsidRPr="007B326B" w:rsidRDefault="002313E2" w:rsidP="007B326B">
      <w:pPr>
        <w:pStyle w:val="Bibliography"/>
        <w:spacing w:line="240" w:lineRule="auto"/>
        <w:rPr>
          <w:rFonts w:cs="Arial"/>
          <w:sz w:val="20"/>
          <w:szCs w:val="20"/>
        </w:rPr>
      </w:pPr>
      <w:r w:rsidRPr="007B326B">
        <w:rPr>
          <w:rFonts w:cs="Arial"/>
          <w:sz w:val="20"/>
          <w:szCs w:val="20"/>
        </w:rPr>
        <w:t>88.</w:t>
      </w:r>
      <w:r w:rsidRPr="007B326B">
        <w:rPr>
          <w:rFonts w:cs="Arial"/>
          <w:sz w:val="20"/>
          <w:szCs w:val="20"/>
        </w:rPr>
        <w:tab/>
        <w:t>Brasó</w:t>
      </w:r>
      <w:r w:rsidRPr="007B326B">
        <w:rPr>
          <w:rFonts w:ascii="Cambria Math" w:hAnsi="Cambria Math" w:cs="Cambria Math"/>
          <w:sz w:val="20"/>
          <w:szCs w:val="20"/>
        </w:rPr>
        <w:t>‐</w:t>
      </w:r>
      <w:r w:rsidRPr="007B326B">
        <w:rPr>
          <w:rFonts w:cs="Arial"/>
          <w:sz w:val="20"/>
          <w:szCs w:val="20"/>
        </w:rPr>
        <w:t xml:space="preserve">Maristany F, Paré L, Chic N, </w:t>
      </w:r>
      <w:r w:rsidRPr="007B326B">
        <w:rPr>
          <w:rFonts w:cs="Arial"/>
          <w:i/>
          <w:iCs/>
          <w:sz w:val="20"/>
          <w:szCs w:val="20"/>
        </w:rPr>
        <w:t>et al.</w:t>
      </w:r>
      <w:r w:rsidRPr="007B326B">
        <w:rPr>
          <w:rFonts w:cs="Arial"/>
          <w:sz w:val="20"/>
          <w:szCs w:val="20"/>
        </w:rPr>
        <w:t xml:space="preserve"> Gene expression profiles of breast cancer metastasis according to organ site. </w:t>
      </w:r>
      <w:r w:rsidRPr="007B326B">
        <w:rPr>
          <w:rFonts w:cs="Arial"/>
          <w:i/>
          <w:iCs/>
          <w:sz w:val="20"/>
          <w:szCs w:val="20"/>
        </w:rPr>
        <w:t>Mol Oncol</w:t>
      </w:r>
      <w:r w:rsidRPr="007B326B">
        <w:rPr>
          <w:rFonts w:cs="Arial"/>
          <w:sz w:val="20"/>
          <w:szCs w:val="20"/>
        </w:rPr>
        <w:t xml:space="preserve"> 2022. 16: 69–87.</w:t>
      </w:r>
    </w:p>
    <w:p w14:paraId="78B700B3" w14:textId="77777777" w:rsidR="002313E2" w:rsidRPr="007B326B" w:rsidRDefault="002313E2" w:rsidP="007B326B">
      <w:pPr>
        <w:pStyle w:val="Bibliography"/>
        <w:spacing w:line="240" w:lineRule="auto"/>
        <w:rPr>
          <w:rFonts w:cs="Arial"/>
          <w:sz w:val="20"/>
          <w:szCs w:val="20"/>
        </w:rPr>
      </w:pPr>
      <w:r w:rsidRPr="007B326B">
        <w:rPr>
          <w:rFonts w:cs="Arial"/>
          <w:sz w:val="20"/>
          <w:szCs w:val="20"/>
        </w:rPr>
        <w:t>89.</w:t>
      </w:r>
      <w:r w:rsidRPr="007B326B">
        <w:rPr>
          <w:rFonts w:cs="Arial"/>
          <w:sz w:val="20"/>
          <w:szCs w:val="20"/>
        </w:rPr>
        <w:tab/>
        <w:t xml:space="preserve">Diamond JR, Finlayson CA &amp; Borges VF. Hepatic complications of breast cancer. </w:t>
      </w:r>
      <w:r w:rsidRPr="007B326B">
        <w:rPr>
          <w:rFonts w:cs="Arial"/>
          <w:i/>
          <w:iCs/>
          <w:sz w:val="20"/>
          <w:szCs w:val="20"/>
        </w:rPr>
        <w:t>Lancet Oncol</w:t>
      </w:r>
      <w:r w:rsidRPr="007B326B">
        <w:rPr>
          <w:rFonts w:cs="Arial"/>
          <w:sz w:val="20"/>
          <w:szCs w:val="20"/>
        </w:rPr>
        <w:t xml:space="preserve"> 2009. 10: 615–621.</w:t>
      </w:r>
    </w:p>
    <w:p w14:paraId="1FA2BA6E" w14:textId="77777777" w:rsidR="002313E2" w:rsidRPr="007B326B" w:rsidRDefault="002313E2" w:rsidP="007B326B">
      <w:pPr>
        <w:pStyle w:val="Bibliography"/>
        <w:spacing w:line="240" w:lineRule="auto"/>
        <w:rPr>
          <w:rFonts w:cs="Arial"/>
          <w:sz w:val="20"/>
          <w:szCs w:val="20"/>
        </w:rPr>
      </w:pPr>
      <w:r w:rsidRPr="007B326B">
        <w:rPr>
          <w:rFonts w:cs="Arial"/>
          <w:sz w:val="20"/>
          <w:szCs w:val="20"/>
        </w:rPr>
        <w:t>90.</w:t>
      </w:r>
      <w:r w:rsidRPr="007B326B">
        <w:rPr>
          <w:rFonts w:cs="Arial"/>
          <w:sz w:val="20"/>
          <w:szCs w:val="20"/>
        </w:rPr>
        <w:tab/>
        <w:t xml:space="preserve">Zhao H-Y, Gong Y, Ye F-G, </w:t>
      </w:r>
      <w:r w:rsidRPr="007B326B">
        <w:rPr>
          <w:rFonts w:cs="Arial"/>
          <w:i/>
          <w:iCs/>
          <w:sz w:val="20"/>
          <w:szCs w:val="20"/>
        </w:rPr>
        <w:t>et al.</w:t>
      </w:r>
      <w:r w:rsidRPr="007B326B">
        <w:rPr>
          <w:rFonts w:cs="Arial"/>
          <w:sz w:val="20"/>
          <w:szCs w:val="20"/>
        </w:rPr>
        <w:t xml:space="preserve"> Incidence and prognostic factors of patients with synchronous liver metastases upon initial diagnosis of breast cancer: a population-based study. </w:t>
      </w:r>
      <w:r w:rsidRPr="007B326B">
        <w:rPr>
          <w:rFonts w:cs="Arial"/>
          <w:i/>
          <w:iCs/>
          <w:sz w:val="20"/>
          <w:szCs w:val="20"/>
        </w:rPr>
        <w:t>Cancer Manag Res</w:t>
      </w:r>
      <w:r w:rsidRPr="007B326B">
        <w:rPr>
          <w:rFonts w:cs="Arial"/>
          <w:sz w:val="20"/>
          <w:szCs w:val="20"/>
        </w:rPr>
        <w:t xml:space="preserve"> 2018. 10: 5937–5950.</w:t>
      </w:r>
    </w:p>
    <w:p w14:paraId="40D6DAEA" w14:textId="77777777" w:rsidR="002313E2" w:rsidRPr="007B326B" w:rsidRDefault="002313E2" w:rsidP="007B326B">
      <w:pPr>
        <w:pStyle w:val="Bibliography"/>
        <w:spacing w:line="240" w:lineRule="auto"/>
        <w:rPr>
          <w:rFonts w:cs="Arial"/>
          <w:sz w:val="20"/>
          <w:szCs w:val="20"/>
        </w:rPr>
      </w:pPr>
      <w:r w:rsidRPr="007B326B">
        <w:rPr>
          <w:rFonts w:cs="Arial"/>
          <w:sz w:val="20"/>
          <w:szCs w:val="20"/>
        </w:rPr>
        <w:t>91.</w:t>
      </w:r>
      <w:r w:rsidRPr="007B326B">
        <w:rPr>
          <w:rFonts w:cs="Arial"/>
          <w:sz w:val="20"/>
          <w:szCs w:val="20"/>
        </w:rPr>
        <w:tab/>
        <w:t xml:space="preserve">Lin NU, Bellon JR &amp; Winer EP. CNS metastases in breast cancer. </w:t>
      </w:r>
      <w:r w:rsidRPr="007B326B">
        <w:rPr>
          <w:rFonts w:cs="Arial"/>
          <w:i/>
          <w:iCs/>
          <w:sz w:val="20"/>
          <w:szCs w:val="20"/>
        </w:rPr>
        <w:t>J Clin Oncol</w:t>
      </w:r>
      <w:r w:rsidRPr="007B326B">
        <w:rPr>
          <w:rFonts w:cs="Arial"/>
          <w:sz w:val="20"/>
          <w:szCs w:val="20"/>
        </w:rPr>
        <w:t xml:space="preserve"> 2004. 22: 3608–3617.</w:t>
      </w:r>
    </w:p>
    <w:p w14:paraId="0D990B64" w14:textId="77777777" w:rsidR="002313E2" w:rsidRPr="007B326B" w:rsidRDefault="002313E2" w:rsidP="007B326B">
      <w:pPr>
        <w:pStyle w:val="Bibliography"/>
        <w:spacing w:line="240" w:lineRule="auto"/>
        <w:rPr>
          <w:rFonts w:cs="Arial"/>
          <w:sz w:val="20"/>
          <w:szCs w:val="20"/>
        </w:rPr>
      </w:pPr>
      <w:r w:rsidRPr="007B326B">
        <w:rPr>
          <w:rFonts w:cs="Arial"/>
          <w:sz w:val="20"/>
          <w:szCs w:val="20"/>
        </w:rPr>
        <w:t>92.</w:t>
      </w:r>
      <w:r w:rsidRPr="007B326B">
        <w:rPr>
          <w:rFonts w:cs="Arial"/>
          <w:sz w:val="20"/>
          <w:szCs w:val="20"/>
        </w:rPr>
        <w:tab/>
        <w:t xml:space="preserve">Leone JP &amp; Leone BA. Breast cancer brain metastases: the last frontier. </w:t>
      </w:r>
      <w:r w:rsidRPr="007B326B">
        <w:rPr>
          <w:rFonts w:cs="Arial"/>
          <w:i/>
          <w:iCs/>
          <w:sz w:val="20"/>
          <w:szCs w:val="20"/>
        </w:rPr>
        <w:t>Experimental Hematology &amp; Oncology</w:t>
      </w:r>
      <w:r w:rsidRPr="007B326B">
        <w:rPr>
          <w:rFonts w:cs="Arial"/>
          <w:sz w:val="20"/>
          <w:szCs w:val="20"/>
        </w:rPr>
        <w:t xml:space="preserve"> 2015. 4: 33.</w:t>
      </w:r>
    </w:p>
    <w:p w14:paraId="4356C0A3" w14:textId="77777777" w:rsidR="002313E2" w:rsidRPr="007B326B" w:rsidRDefault="002313E2" w:rsidP="007B326B">
      <w:pPr>
        <w:pStyle w:val="Bibliography"/>
        <w:spacing w:line="240" w:lineRule="auto"/>
        <w:rPr>
          <w:rFonts w:cs="Arial"/>
          <w:sz w:val="20"/>
          <w:szCs w:val="20"/>
        </w:rPr>
      </w:pPr>
      <w:r w:rsidRPr="007B326B">
        <w:rPr>
          <w:rFonts w:cs="Arial"/>
          <w:sz w:val="20"/>
          <w:szCs w:val="20"/>
        </w:rPr>
        <w:lastRenderedPageBreak/>
        <w:t>93.</w:t>
      </w:r>
      <w:r w:rsidRPr="007B326B">
        <w:rPr>
          <w:rFonts w:cs="Arial"/>
          <w:sz w:val="20"/>
          <w:szCs w:val="20"/>
        </w:rPr>
        <w:tab/>
        <w:t xml:space="preserve">Global Burden of Disease Cancer Collaboration. Global, Regional, and National Cancer Incidence, Mortality, Years of Life Lost, Years Lived With Disability, and Disability-Adjusted Life-Years for 29 Cancer Groups, 1990 to 2017: A Systematic Analysis for the Global Burden of Disease Study. </w:t>
      </w:r>
      <w:r w:rsidRPr="007B326B">
        <w:rPr>
          <w:rFonts w:cs="Arial"/>
          <w:i/>
          <w:iCs/>
          <w:sz w:val="20"/>
          <w:szCs w:val="20"/>
        </w:rPr>
        <w:t>JAMA Oncology</w:t>
      </w:r>
      <w:r w:rsidRPr="007B326B">
        <w:rPr>
          <w:rFonts w:cs="Arial"/>
          <w:sz w:val="20"/>
          <w:szCs w:val="20"/>
        </w:rPr>
        <w:t xml:space="preserve"> 2019. 5: 1749–1768.</w:t>
      </w:r>
    </w:p>
    <w:p w14:paraId="722907BA" w14:textId="77777777" w:rsidR="002313E2" w:rsidRPr="007B326B" w:rsidRDefault="002313E2" w:rsidP="007B326B">
      <w:pPr>
        <w:pStyle w:val="Bibliography"/>
        <w:spacing w:line="240" w:lineRule="auto"/>
        <w:rPr>
          <w:rFonts w:cs="Arial"/>
          <w:sz w:val="20"/>
          <w:szCs w:val="20"/>
        </w:rPr>
      </w:pPr>
      <w:r w:rsidRPr="007B326B">
        <w:rPr>
          <w:rFonts w:cs="Arial"/>
          <w:sz w:val="20"/>
          <w:szCs w:val="20"/>
        </w:rPr>
        <w:t>94.</w:t>
      </w:r>
      <w:r w:rsidRPr="007B326B">
        <w:rPr>
          <w:rFonts w:cs="Arial"/>
          <w:sz w:val="20"/>
          <w:szCs w:val="20"/>
        </w:rPr>
        <w:tab/>
        <w:t xml:space="preserve">Ara R &amp; Brazier JE. Using health state utility values from the general population to approximate baselines in decision analytic models when condition-specific data are not available. </w:t>
      </w:r>
      <w:r w:rsidRPr="007B326B">
        <w:rPr>
          <w:rFonts w:cs="Arial"/>
          <w:i/>
          <w:iCs/>
          <w:sz w:val="20"/>
          <w:szCs w:val="20"/>
        </w:rPr>
        <w:t>Value Health</w:t>
      </w:r>
      <w:r w:rsidRPr="007B326B">
        <w:rPr>
          <w:rFonts w:cs="Arial"/>
          <w:sz w:val="20"/>
          <w:szCs w:val="20"/>
        </w:rPr>
        <w:t xml:space="preserve"> 2011. 14: 539–545.</w:t>
      </w:r>
    </w:p>
    <w:p w14:paraId="2B1A5498" w14:textId="77777777" w:rsidR="002313E2" w:rsidRPr="007B326B" w:rsidRDefault="002313E2" w:rsidP="007B326B">
      <w:pPr>
        <w:pStyle w:val="Bibliography"/>
        <w:spacing w:line="240" w:lineRule="auto"/>
        <w:rPr>
          <w:rFonts w:cs="Arial"/>
          <w:sz w:val="20"/>
          <w:szCs w:val="20"/>
        </w:rPr>
      </w:pPr>
      <w:r w:rsidRPr="007B326B">
        <w:rPr>
          <w:rFonts w:cs="Arial"/>
          <w:sz w:val="20"/>
          <w:szCs w:val="20"/>
        </w:rPr>
        <w:t>95.</w:t>
      </w:r>
      <w:r w:rsidRPr="007B326B">
        <w:rPr>
          <w:rFonts w:cs="Arial"/>
          <w:sz w:val="20"/>
          <w:szCs w:val="20"/>
        </w:rPr>
        <w:tab/>
        <w:t xml:space="preserve">Kwan ML, Ergas IJ, Somkin CP, </w:t>
      </w:r>
      <w:r w:rsidRPr="007B326B">
        <w:rPr>
          <w:rFonts w:cs="Arial"/>
          <w:i/>
          <w:iCs/>
          <w:sz w:val="20"/>
          <w:szCs w:val="20"/>
        </w:rPr>
        <w:t>et al.</w:t>
      </w:r>
      <w:r w:rsidRPr="007B326B">
        <w:rPr>
          <w:rFonts w:cs="Arial"/>
          <w:sz w:val="20"/>
          <w:szCs w:val="20"/>
        </w:rPr>
        <w:t xml:space="preserve"> Quality of Life among Women Recently Diagnosed with Invasive Breast Cancer: The Pathways Study. </w:t>
      </w:r>
      <w:r w:rsidRPr="007B326B">
        <w:rPr>
          <w:rFonts w:cs="Arial"/>
          <w:i/>
          <w:iCs/>
          <w:sz w:val="20"/>
          <w:szCs w:val="20"/>
        </w:rPr>
        <w:t>Breast Cancer Res Treat</w:t>
      </w:r>
      <w:r w:rsidRPr="007B326B">
        <w:rPr>
          <w:rFonts w:cs="Arial"/>
          <w:sz w:val="20"/>
          <w:szCs w:val="20"/>
        </w:rPr>
        <w:t xml:space="preserve"> 2010. 123: 507–524.</w:t>
      </w:r>
    </w:p>
    <w:p w14:paraId="2C2C25F5" w14:textId="77777777" w:rsidR="002313E2" w:rsidRPr="007B326B" w:rsidRDefault="002313E2" w:rsidP="007B326B">
      <w:pPr>
        <w:pStyle w:val="Bibliography"/>
        <w:spacing w:line="240" w:lineRule="auto"/>
        <w:rPr>
          <w:rFonts w:cs="Arial"/>
          <w:sz w:val="20"/>
          <w:szCs w:val="20"/>
        </w:rPr>
      </w:pPr>
      <w:r w:rsidRPr="007B326B">
        <w:rPr>
          <w:rFonts w:cs="Arial"/>
          <w:sz w:val="20"/>
          <w:szCs w:val="20"/>
        </w:rPr>
        <w:t>96.</w:t>
      </w:r>
      <w:r w:rsidRPr="007B326B">
        <w:rPr>
          <w:rFonts w:cs="Arial"/>
          <w:sz w:val="20"/>
          <w:szCs w:val="20"/>
        </w:rPr>
        <w:tab/>
        <w:t xml:space="preserve">Walker MS, Hasan M, Yim YM, </w:t>
      </w:r>
      <w:r w:rsidRPr="007B326B">
        <w:rPr>
          <w:rFonts w:cs="Arial"/>
          <w:i/>
          <w:iCs/>
          <w:sz w:val="20"/>
          <w:szCs w:val="20"/>
        </w:rPr>
        <w:t>et al.</w:t>
      </w:r>
      <w:r w:rsidRPr="007B326B">
        <w:rPr>
          <w:rFonts w:cs="Arial"/>
          <w:sz w:val="20"/>
          <w:szCs w:val="20"/>
        </w:rPr>
        <w:t xml:space="preserve"> Retrospective study of the effect of disease progression on patient reported outcomes in HER-2 negative metastatic breast cancer patients. </w:t>
      </w:r>
      <w:r w:rsidRPr="007B326B">
        <w:rPr>
          <w:rFonts w:cs="Arial"/>
          <w:i/>
          <w:iCs/>
          <w:sz w:val="20"/>
          <w:szCs w:val="20"/>
        </w:rPr>
        <w:t>Health Qual Life Outcomes</w:t>
      </w:r>
      <w:r w:rsidRPr="007B326B">
        <w:rPr>
          <w:rFonts w:cs="Arial"/>
          <w:sz w:val="20"/>
          <w:szCs w:val="20"/>
        </w:rPr>
        <w:t xml:space="preserve"> 2011. 9: 46.</w:t>
      </w:r>
    </w:p>
    <w:p w14:paraId="34B90092" w14:textId="77777777" w:rsidR="002313E2" w:rsidRPr="007B326B" w:rsidRDefault="002313E2" w:rsidP="007B326B">
      <w:pPr>
        <w:pStyle w:val="Bibliography"/>
        <w:spacing w:line="240" w:lineRule="auto"/>
        <w:rPr>
          <w:rFonts w:cs="Arial"/>
          <w:sz w:val="20"/>
          <w:szCs w:val="20"/>
        </w:rPr>
      </w:pPr>
      <w:r w:rsidRPr="007B326B">
        <w:rPr>
          <w:rFonts w:cs="Arial"/>
          <w:sz w:val="20"/>
          <w:szCs w:val="20"/>
        </w:rPr>
        <w:t>97.</w:t>
      </w:r>
      <w:r w:rsidRPr="007B326B">
        <w:rPr>
          <w:rFonts w:cs="Arial"/>
          <w:sz w:val="20"/>
          <w:szCs w:val="20"/>
        </w:rPr>
        <w:tab/>
        <w:t xml:space="preserve">von Moos R, Body J-J, Egerdie B, </w:t>
      </w:r>
      <w:r w:rsidRPr="007B326B">
        <w:rPr>
          <w:rFonts w:cs="Arial"/>
          <w:i/>
          <w:iCs/>
          <w:sz w:val="20"/>
          <w:szCs w:val="20"/>
        </w:rPr>
        <w:t>et al.</w:t>
      </w:r>
      <w:r w:rsidRPr="007B326B">
        <w:rPr>
          <w:rFonts w:cs="Arial"/>
          <w:sz w:val="20"/>
          <w:szCs w:val="20"/>
        </w:rPr>
        <w:t xml:space="preserve"> Pain and analgesic use associated with skeletal-related events in patients with advanced cancer and bone metastases. </w:t>
      </w:r>
      <w:r w:rsidRPr="007B326B">
        <w:rPr>
          <w:rFonts w:cs="Arial"/>
          <w:i/>
          <w:iCs/>
          <w:sz w:val="20"/>
          <w:szCs w:val="20"/>
        </w:rPr>
        <w:t>Support Care Cancer</w:t>
      </w:r>
      <w:r w:rsidRPr="007B326B">
        <w:rPr>
          <w:rFonts w:cs="Arial"/>
          <w:sz w:val="20"/>
          <w:szCs w:val="20"/>
        </w:rPr>
        <w:t xml:space="preserve"> 2016. 24: 1327–1337.</w:t>
      </w:r>
    </w:p>
    <w:p w14:paraId="3857AF57" w14:textId="77777777" w:rsidR="002313E2" w:rsidRPr="007B326B" w:rsidRDefault="002313E2" w:rsidP="007B326B">
      <w:pPr>
        <w:pStyle w:val="Bibliography"/>
        <w:spacing w:line="240" w:lineRule="auto"/>
        <w:rPr>
          <w:rFonts w:cs="Arial"/>
          <w:sz w:val="20"/>
          <w:szCs w:val="20"/>
        </w:rPr>
      </w:pPr>
      <w:r w:rsidRPr="007B326B">
        <w:rPr>
          <w:rFonts w:cs="Arial"/>
          <w:sz w:val="20"/>
          <w:szCs w:val="20"/>
        </w:rPr>
        <w:t>98.</w:t>
      </w:r>
      <w:r w:rsidRPr="007B326B">
        <w:rPr>
          <w:rFonts w:cs="Arial"/>
          <w:sz w:val="20"/>
          <w:szCs w:val="20"/>
        </w:rPr>
        <w:tab/>
        <w:t xml:space="preserve">Reed E, Simmonds P, Haviland J, </w:t>
      </w:r>
      <w:r w:rsidRPr="007B326B">
        <w:rPr>
          <w:rFonts w:cs="Arial"/>
          <w:i/>
          <w:iCs/>
          <w:sz w:val="20"/>
          <w:szCs w:val="20"/>
        </w:rPr>
        <w:t>et al.</w:t>
      </w:r>
      <w:r w:rsidRPr="007B326B">
        <w:rPr>
          <w:rFonts w:cs="Arial"/>
          <w:sz w:val="20"/>
          <w:szCs w:val="20"/>
        </w:rPr>
        <w:t xml:space="preserve"> Quality of life and experience of care in women with metastatic breast cancer: a cross-sectional survey. </w:t>
      </w:r>
      <w:r w:rsidRPr="007B326B">
        <w:rPr>
          <w:rFonts w:cs="Arial"/>
          <w:i/>
          <w:iCs/>
          <w:sz w:val="20"/>
          <w:szCs w:val="20"/>
        </w:rPr>
        <w:t>J Pain Symptom Manage</w:t>
      </w:r>
      <w:r w:rsidRPr="007B326B">
        <w:rPr>
          <w:rFonts w:cs="Arial"/>
          <w:sz w:val="20"/>
          <w:szCs w:val="20"/>
        </w:rPr>
        <w:t xml:space="preserve"> 2012. 43: 747–758.</w:t>
      </w:r>
    </w:p>
    <w:p w14:paraId="16EE6F54" w14:textId="77777777" w:rsidR="002313E2" w:rsidRPr="007B326B" w:rsidRDefault="002313E2" w:rsidP="007B326B">
      <w:pPr>
        <w:pStyle w:val="Bibliography"/>
        <w:spacing w:line="240" w:lineRule="auto"/>
        <w:rPr>
          <w:rFonts w:cs="Arial"/>
          <w:sz w:val="20"/>
          <w:szCs w:val="20"/>
        </w:rPr>
      </w:pPr>
      <w:r w:rsidRPr="007B326B">
        <w:rPr>
          <w:rFonts w:cs="Arial"/>
          <w:sz w:val="20"/>
          <w:szCs w:val="20"/>
        </w:rPr>
        <w:t>99.</w:t>
      </w:r>
      <w:r w:rsidRPr="007B326B">
        <w:rPr>
          <w:rFonts w:cs="Arial"/>
          <w:sz w:val="20"/>
          <w:szCs w:val="20"/>
        </w:rPr>
        <w:tab/>
        <w:t xml:space="preserve">Wood R, Mitra D, de Courcy J, </w:t>
      </w:r>
      <w:r w:rsidRPr="007B326B">
        <w:rPr>
          <w:rFonts w:cs="Arial"/>
          <w:i/>
          <w:iCs/>
          <w:sz w:val="20"/>
          <w:szCs w:val="20"/>
        </w:rPr>
        <w:t>et al.</w:t>
      </w:r>
      <w:r w:rsidRPr="007B326B">
        <w:rPr>
          <w:rFonts w:cs="Arial"/>
          <w:sz w:val="20"/>
          <w:szCs w:val="20"/>
        </w:rPr>
        <w:t xml:space="preserve"> Patient-reported Quality of Life and Treatment Satisfaction in Patients With HR+/HER2- Advanced/Metastatic Breast Cancer. </w:t>
      </w:r>
      <w:r w:rsidRPr="007B326B">
        <w:rPr>
          <w:rFonts w:cs="Arial"/>
          <w:i/>
          <w:iCs/>
          <w:sz w:val="20"/>
          <w:szCs w:val="20"/>
        </w:rPr>
        <w:t>Clin Ther</w:t>
      </w:r>
      <w:r w:rsidRPr="007B326B">
        <w:rPr>
          <w:rFonts w:cs="Arial"/>
          <w:sz w:val="20"/>
          <w:szCs w:val="20"/>
        </w:rPr>
        <w:t xml:space="preserve"> 2017. 39: 1719–1728.</w:t>
      </w:r>
    </w:p>
    <w:p w14:paraId="5431B15F"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100.</w:t>
      </w:r>
      <w:r w:rsidRPr="007B326B">
        <w:rPr>
          <w:rFonts w:cs="Arial"/>
          <w:sz w:val="20"/>
          <w:szCs w:val="20"/>
        </w:rPr>
        <w:tab/>
        <w:t xml:space="preserve">Sullivan CW, Leutwyler H, Dunn LB, </w:t>
      </w:r>
      <w:r w:rsidRPr="007B326B">
        <w:rPr>
          <w:rFonts w:cs="Arial"/>
          <w:i/>
          <w:iCs/>
          <w:sz w:val="20"/>
          <w:szCs w:val="20"/>
        </w:rPr>
        <w:t>et al.</w:t>
      </w:r>
      <w:r w:rsidRPr="007B326B">
        <w:rPr>
          <w:rFonts w:cs="Arial"/>
          <w:sz w:val="20"/>
          <w:szCs w:val="20"/>
        </w:rPr>
        <w:t xml:space="preserve"> STABILITY OF SYMPTOM CLUSTERS IN PATIENTS WITH BREAST CANCER RECEIVING CHEMOTHERAPY. </w:t>
      </w:r>
      <w:r w:rsidRPr="007B326B">
        <w:rPr>
          <w:rFonts w:cs="Arial"/>
          <w:i/>
          <w:iCs/>
          <w:sz w:val="20"/>
          <w:szCs w:val="20"/>
        </w:rPr>
        <w:t>J Pain Symptom Manage</w:t>
      </w:r>
      <w:r w:rsidRPr="007B326B">
        <w:rPr>
          <w:rFonts w:cs="Arial"/>
          <w:sz w:val="20"/>
          <w:szCs w:val="20"/>
        </w:rPr>
        <w:t xml:space="preserve"> 2018. 55: 39–55.</w:t>
      </w:r>
    </w:p>
    <w:p w14:paraId="116E6AC6"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101.</w:t>
      </w:r>
      <w:r w:rsidRPr="007B326B">
        <w:rPr>
          <w:rFonts w:cs="Arial"/>
          <w:sz w:val="20"/>
          <w:szCs w:val="20"/>
        </w:rPr>
        <w:tab/>
        <w:t xml:space="preserve">Carreira H, Williams R, Dempsey H, </w:t>
      </w:r>
      <w:r w:rsidRPr="007B326B">
        <w:rPr>
          <w:rFonts w:cs="Arial"/>
          <w:i/>
          <w:iCs/>
          <w:sz w:val="20"/>
          <w:szCs w:val="20"/>
        </w:rPr>
        <w:t>et al.</w:t>
      </w:r>
      <w:r w:rsidRPr="007B326B">
        <w:rPr>
          <w:rFonts w:cs="Arial"/>
          <w:sz w:val="20"/>
          <w:szCs w:val="20"/>
        </w:rPr>
        <w:t xml:space="preserve"> Quality of life and mental health in breast cancer survivors compared with non-cancer controls: a study of patient-reported outcomes in the United Kingdom. </w:t>
      </w:r>
      <w:r w:rsidRPr="007B326B">
        <w:rPr>
          <w:rFonts w:cs="Arial"/>
          <w:i/>
          <w:iCs/>
          <w:sz w:val="20"/>
          <w:szCs w:val="20"/>
        </w:rPr>
        <w:t>J Cancer Surviv</w:t>
      </w:r>
      <w:r w:rsidRPr="007B326B">
        <w:rPr>
          <w:rFonts w:cs="Arial"/>
          <w:sz w:val="20"/>
          <w:szCs w:val="20"/>
        </w:rPr>
        <w:t xml:space="preserve"> 2021. 15: 564–575.</w:t>
      </w:r>
    </w:p>
    <w:p w14:paraId="5402D890"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102.</w:t>
      </w:r>
      <w:r w:rsidRPr="007B326B">
        <w:rPr>
          <w:rFonts w:cs="Arial"/>
          <w:sz w:val="20"/>
          <w:szCs w:val="20"/>
        </w:rPr>
        <w:tab/>
        <w:t xml:space="preserve">Adamowicz K &amp; Baczkowska-Waliszewska Z. Quality of life during chemotherapy, hormonotherapy or antiHER2 therapy of patients with advanced, metastatic breast cancer in clinical practice. </w:t>
      </w:r>
      <w:r w:rsidRPr="007B326B">
        <w:rPr>
          <w:rFonts w:cs="Arial"/>
          <w:i/>
          <w:iCs/>
          <w:sz w:val="20"/>
          <w:szCs w:val="20"/>
        </w:rPr>
        <w:t>Health Qual Life Outcomes</w:t>
      </w:r>
      <w:r w:rsidRPr="007B326B">
        <w:rPr>
          <w:rFonts w:cs="Arial"/>
          <w:sz w:val="20"/>
          <w:szCs w:val="20"/>
        </w:rPr>
        <w:t xml:space="preserve"> 2020. 18: 134.</w:t>
      </w:r>
    </w:p>
    <w:p w14:paraId="0C3AF3B8"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103.</w:t>
      </w:r>
      <w:r w:rsidRPr="007B326B">
        <w:rPr>
          <w:rFonts w:cs="Arial"/>
          <w:sz w:val="20"/>
          <w:szCs w:val="20"/>
        </w:rPr>
        <w:tab/>
        <w:t xml:space="preserve">Gupta S, Zhang J &amp; Jerusalem G. The association of chemotherapy versus hormonal therapy and health outcomes among patients with hormone receptor-positive, HER2-negative metastatic breast cancer: experience from the patient perspective. </w:t>
      </w:r>
      <w:r w:rsidRPr="007B326B">
        <w:rPr>
          <w:rFonts w:cs="Arial"/>
          <w:i/>
          <w:iCs/>
          <w:sz w:val="20"/>
          <w:szCs w:val="20"/>
        </w:rPr>
        <w:t>Expert Rev Pharmacoecon Outcomes Res</w:t>
      </w:r>
      <w:r w:rsidRPr="007B326B">
        <w:rPr>
          <w:rFonts w:cs="Arial"/>
          <w:sz w:val="20"/>
          <w:szCs w:val="20"/>
        </w:rPr>
        <w:t xml:space="preserve"> 2014. 14: 929–940.</w:t>
      </w:r>
    </w:p>
    <w:p w14:paraId="4CA4806E"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104.</w:t>
      </w:r>
      <w:r w:rsidRPr="007B326B">
        <w:rPr>
          <w:rFonts w:cs="Arial"/>
          <w:sz w:val="20"/>
          <w:szCs w:val="20"/>
        </w:rPr>
        <w:tab/>
        <w:t xml:space="preserve">Shin JA, El-Jawahri A, Parkes A, </w:t>
      </w:r>
      <w:r w:rsidRPr="007B326B">
        <w:rPr>
          <w:rFonts w:cs="Arial"/>
          <w:i/>
          <w:iCs/>
          <w:sz w:val="20"/>
          <w:szCs w:val="20"/>
        </w:rPr>
        <w:t>et al.</w:t>
      </w:r>
      <w:r w:rsidRPr="007B326B">
        <w:rPr>
          <w:rFonts w:cs="Arial"/>
          <w:sz w:val="20"/>
          <w:szCs w:val="20"/>
        </w:rPr>
        <w:t xml:space="preserve"> Quality of Life, Mood, and Prognostic Understanding in Patients with Metastatic Breast Cancer. </w:t>
      </w:r>
      <w:r w:rsidRPr="007B326B">
        <w:rPr>
          <w:rFonts w:cs="Arial"/>
          <w:i/>
          <w:iCs/>
          <w:sz w:val="20"/>
          <w:szCs w:val="20"/>
        </w:rPr>
        <w:t>J Palliat Med</w:t>
      </w:r>
      <w:r w:rsidRPr="007B326B">
        <w:rPr>
          <w:rFonts w:cs="Arial"/>
          <w:sz w:val="20"/>
          <w:szCs w:val="20"/>
        </w:rPr>
        <w:t xml:space="preserve"> 2016. 19: 863–869.</w:t>
      </w:r>
    </w:p>
    <w:p w14:paraId="5DDFEAB4"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105.</w:t>
      </w:r>
      <w:r w:rsidRPr="007B326B">
        <w:rPr>
          <w:rFonts w:cs="Arial"/>
          <w:sz w:val="20"/>
          <w:szCs w:val="20"/>
        </w:rPr>
        <w:tab/>
        <w:t xml:space="preserve">Laudicella M, Walsh B, Burns E, </w:t>
      </w:r>
      <w:r w:rsidRPr="007B326B">
        <w:rPr>
          <w:rFonts w:cs="Arial"/>
          <w:i/>
          <w:iCs/>
          <w:sz w:val="20"/>
          <w:szCs w:val="20"/>
        </w:rPr>
        <w:t>et al.</w:t>
      </w:r>
      <w:r w:rsidRPr="007B326B">
        <w:rPr>
          <w:rFonts w:cs="Arial"/>
          <w:sz w:val="20"/>
          <w:szCs w:val="20"/>
        </w:rPr>
        <w:t xml:space="preserve"> Cost of care for cancer patients in England: evidence from population-based patient-level data. </w:t>
      </w:r>
      <w:r w:rsidRPr="007B326B">
        <w:rPr>
          <w:rFonts w:cs="Arial"/>
          <w:i/>
          <w:iCs/>
          <w:sz w:val="20"/>
          <w:szCs w:val="20"/>
        </w:rPr>
        <w:t>Br J Cancer</w:t>
      </w:r>
      <w:r w:rsidRPr="007B326B">
        <w:rPr>
          <w:rFonts w:cs="Arial"/>
          <w:sz w:val="20"/>
          <w:szCs w:val="20"/>
        </w:rPr>
        <w:t xml:space="preserve"> 2016. 114: 1286–1292.</w:t>
      </w:r>
    </w:p>
    <w:p w14:paraId="723BE70F"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106.</w:t>
      </w:r>
      <w:r w:rsidRPr="007B326B">
        <w:rPr>
          <w:rFonts w:cs="Arial"/>
          <w:sz w:val="20"/>
          <w:szCs w:val="20"/>
        </w:rPr>
        <w:tab/>
        <w:t xml:space="preserve">Mahtani R, Oestreicher N, Lalla D, </w:t>
      </w:r>
      <w:r w:rsidRPr="007B326B">
        <w:rPr>
          <w:rFonts w:cs="Arial"/>
          <w:i/>
          <w:iCs/>
          <w:sz w:val="20"/>
          <w:szCs w:val="20"/>
        </w:rPr>
        <w:t>et al.</w:t>
      </w:r>
      <w:r w:rsidRPr="007B326B">
        <w:rPr>
          <w:rFonts w:cs="Arial"/>
          <w:sz w:val="20"/>
          <w:szCs w:val="20"/>
        </w:rPr>
        <w:t xml:space="preserve"> Health Care Resource Utilization and Costs for Metastatic Breast Cancer Patients Newly Treated with Human Epidermal Growth Factor Receptor 2 (HER2)-Targeted Agents. </w:t>
      </w:r>
      <w:r w:rsidRPr="007B326B">
        <w:rPr>
          <w:rFonts w:cs="Arial"/>
          <w:i/>
          <w:iCs/>
          <w:sz w:val="20"/>
          <w:szCs w:val="20"/>
        </w:rPr>
        <w:t>Clin Breast Cancer</w:t>
      </w:r>
      <w:r w:rsidRPr="007B326B">
        <w:rPr>
          <w:rFonts w:cs="Arial"/>
          <w:sz w:val="20"/>
          <w:szCs w:val="20"/>
        </w:rPr>
        <w:t xml:space="preserve"> 2022. 22: e488–e496.</w:t>
      </w:r>
    </w:p>
    <w:p w14:paraId="7F1C2B53"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107.</w:t>
      </w:r>
      <w:r w:rsidRPr="007B326B">
        <w:rPr>
          <w:rFonts w:cs="Arial"/>
          <w:sz w:val="20"/>
          <w:szCs w:val="20"/>
        </w:rPr>
        <w:tab/>
        <w:t xml:space="preserve">Brezden-Masley C, Fathers KE, Coombes ME, </w:t>
      </w:r>
      <w:r w:rsidRPr="007B326B">
        <w:rPr>
          <w:rFonts w:cs="Arial"/>
          <w:i/>
          <w:iCs/>
          <w:sz w:val="20"/>
          <w:szCs w:val="20"/>
        </w:rPr>
        <w:t>et al.</w:t>
      </w:r>
      <w:r w:rsidRPr="007B326B">
        <w:rPr>
          <w:rFonts w:cs="Arial"/>
          <w:sz w:val="20"/>
          <w:szCs w:val="20"/>
        </w:rPr>
        <w:t xml:space="preserve"> A population-based comparison of treatment, resource utilization, and costs by cancer stage for Ontario patients with HER2-positive breast cancer. </w:t>
      </w:r>
      <w:r w:rsidRPr="007B326B">
        <w:rPr>
          <w:rFonts w:cs="Arial"/>
          <w:i/>
          <w:iCs/>
          <w:sz w:val="20"/>
          <w:szCs w:val="20"/>
        </w:rPr>
        <w:t>Breast Cancer Res Treat</w:t>
      </w:r>
      <w:r w:rsidRPr="007B326B">
        <w:rPr>
          <w:rFonts w:cs="Arial"/>
          <w:sz w:val="20"/>
          <w:szCs w:val="20"/>
        </w:rPr>
        <w:t xml:space="preserve"> 2021. 185: 807–815.</w:t>
      </w:r>
    </w:p>
    <w:p w14:paraId="76B6F92C"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108.</w:t>
      </w:r>
      <w:r w:rsidRPr="007B326B">
        <w:rPr>
          <w:rFonts w:cs="Arial"/>
          <w:sz w:val="20"/>
          <w:szCs w:val="20"/>
        </w:rPr>
        <w:tab/>
        <w:t xml:space="preserve">Bermejo de las Heras B, Cortes Ramon y Cajal J, Galve Calvo E, </w:t>
      </w:r>
      <w:r w:rsidRPr="007B326B">
        <w:rPr>
          <w:rFonts w:cs="Arial"/>
          <w:i/>
          <w:iCs/>
          <w:sz w:val="20"/>
          <w:szCs w:val="20"/>
        </w:rPr>
        <w:t>et al.</w:t>
      </w:r>
      <w:r w:rsidRPr="007B326B">
        <w:rPr>
          <w:rFonts w:cs="Arial"/>
          <w:sz w:val="20"/>
          <w:szCs w:val="20"/>
        </w:rPr>
        <w:t xml:space="preserve"> The economic burden of metastatic breast cancer in Spain. </w:t>
      </w:r>
      <w:r w:rsidRPr="007B326B">
        <w:rPr>
          <w:rFonts w:cs="Arial"/>
          <w:i/>
          <w:iCs/>
          <w:sz w:val="20"/>
          <w:szCs w:val="20"/>
        </w:rPr>
        <w:t>Eur J Hosp Pharm</w:t>
      </w:r>
      <w:r w:rsidRPr="007B326B">
        <w:rPr>
          <w:rFonts w:cs="Arial"/>
          <w:sz w:val="20"/>
          <w:szCs w:val="20"/>
        </w:rPr>
        <w:t xml:space="preserve"> 2020. 27: 19–24.</w:t>
      </w:r>
    </w:p>
    <w:p w14:paraId="64820E15"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109.</w:t>
      </w:r>
      <w:r w:rsidRPr="007B326B">
        <w:rPr>
          <w:rFonts w:cs="Arial"/>
          <w:sz w:val="20"/>
          <w:szCs w:val="20"/>
        </w:rPr>
        <w:tab/>
        <w:t xml:space="preserve">Cardoso F, Spence D, Mertz S, </w:t>
      </w:r>
      <w:r w:rsidRPr="007B326B">
        <w:rPr>
          <w:rFonts w:cs="Arial"/>
          <w:i/>
          <w:iCs/>
          <w:sz w:val="20"/>
          <w:szCs w:val="20"/>
        </w:rPr>
        <w:t>et al.</w:t>
      </w:r>
      <w:r w:rsidRPr="007B326B">
        <w:rPr>
          <w:rFonts w:cs="Arial"/>
          <w:sz w:val="20"/>
          <w:szCs w:val="20"/>
        </w:rPr>
        <w:t xml:space="preserve"> Global analysis of advanced/metastatic breast cancer: Decade report (2005-2015). </w:t>
      </w:r>
      <w:r w:rsidRPr="007B326B">
        <w:rPr>
          <w:rFonts w:cs="Arial"/>
          <w:i/>
          <w:iCs/>
          <w:sz w:val="20"/>
          <w:szCs w:val="20"/>
        </w:rPr>
        <w:t>Breast</w:t>
      </w:r>
      <w:r w:rsidRPr="007B326B">
        <w:rPr>
          <w:rFonts w:cs="Arial"/>
          <w:sz w:val="20"/>
          <w:szCs w:val="20"/>
        </w:rPr>
        <w:t xml:space="preserve"> 2018. 39: 131–138.</w:t>
      </w:r>
    </w:p>
    <w:p w14:paraId="6C633AA1"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110.</w:t>
      </w:r>
      <w:r w:rsidRPr="007B326B">
        <w:rPr>
          <w:rFonts w:cs="Arial"/>
          <w:sz w:val="20"/>
          <w:szCs w:val="20"/>
        </w:rPr>
        <w:tab/>
        <w:t xml:space="preserve">Grunfeld E, Coyle D, Whelan T, </w:t>
      </w:r>
      <w:r w:rsidRPr="007B326B">
        <w:rPr>
          <w:rFonts w:cs="Arial"/>
          <w:i/>
          <w:iCs/>
          <w:sz w:val="20"/>
          <w:szCs w:val="20"/>
        </w:rPr>
        <w:t>et al.</w:t>
      </w:r>
      <w:r w:rsidRPr="007B326B">
        <w:rPr>
          <w:rFonts w:cs="Arial"/>
          <w:sz w:val="20"/>
          <w:szCs w:val="20"/>
        </w:rPr>
        <w:t xml:space="preserve"> Family caregiver burden: results of a longitudinal study of breast cancer patients and their principal caregivers. </w:t>
      </w:r>
      <w:r w:rsidRPr="007B326B">
        <w:rPr>
          <w:rFonts w:cs="Arial"/>
          <w:i/>
          <w:iCs/>
          <w:sz w:val="20"/>
          <w:szCs w:val="20"/>
        </w:rPr>
        <w:t>CMAJ</w:t>
      </w:r>
      <w:r w:rsidRPr="007B326B">
        <w:rPr>
          <w:rFonts w:cs="Arial"/>
          <w:sz w:val="20"/>
          <w:szCs w:val="20"/>
        </w:rPr>
        <w:t xml:space="preserve"> 2004. 170: 1795–1801.</w:t>
      </w:r>
    </w:p>
    <w:p w14:paraId="35CD2E1F"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111.</w:t>
      </w:r>
      <w:r w:rsidRPr="007B326B">
        <w:rPr>
          <w:rFonts w:cs="Arial"/>
          <w:sz w:val="20"/>
          <w:szCs w:val="20"/>
        </w:rPr>
        <w:tab/>
        <w:t xml:space="preserve">Mayer M, Sampayo I, Dickson R, </w:t>
      </w:r>
      <w:r w:rsidRPr="007B326B">
        <w:rPr>
          <w:rFonts w:cs="Arial"/>
          <w:i/>
          <w:iCs/>
          <w:sz w:val="20"/>
          <w:szCs w:val="20"/>
        </w:rPr>
        <w:t>et al.</w:t>
      </w:r>
      <w:r w:rsidRPr="007B326B">
        <w:rPr>
          <w:rFonts w:cs="Arial"/>
          <w:sz w:val="20"/>
          <w:szCs w:val="20"/>
        </w:rPr>
        <w:t xml:space="preserve"> Abstract P1-11-06: The experience of caregivers of women with metastatic breast cancer: Insights from the Make Your Dialogue Count survey. </w:t>
      </w:r>
      <w:r w:rsidRPr="007B326B">
        <w:rPr>
          <w:rFonts w:cs="Arial"/>
          <w:i/>
          <w:iCs/>
          <w:sz w:val="20"/>
          <w:szCs w:val="20"/>
        </w:rPr>
        <w:t>Cancer Research</w:t>
      </w:r>
      <w:r w:rsidRPr="007B326B">
        <w:rPr>
          <w:rFonts w:cs="Arial"/>
          <w:sz w:val="20"/>
          <w:szCs w:val="20"/>
        </w:rPr>
        <w:t xml:space="preserve"> 2016. 76: P1-11.</w:t>
      </w:r>
    </w:p>
    <w:p w14:paraId="1B6F2A04"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112.</w:t>
      </w:r>
      <w:r w:rsidRPr="007B326B">
        <w:rPr>
          <w:rFonts w:cs="Arial"/>
          <w:sz w:val="20"/>
          <w:szCs w:val="20"/>
        </w:rPr>
        <w:tab/>
        <w:t xml:space="preserve">Wilcken N, Zdenkowski N, White M, </w:t>
      </w:r>
      <w:r w:rsidRPr="007B326B">
        <w:rPr>
          <w:rFonts w:cs="Arial"/>
          <w:i/>
          <w:iCs/>
          <w:sz w:val="20"/>
          <w:szCs w:val="20"/>
        </w:rPr>
        <w:t>et al.</w:t>
      </w:r>
      <w:r w:rsidRPr="007B326B">
        <w:rPr>
          <w:rFonts w:cs="Arial"/>
          <w:sz w:val="20"/>
          <w:szCs w:val="20"/>
        </w:rPr>
        <w:t xml:space="preserve"> Systemic treatment of HER2-positive metastatic breast cancer: a systematic review. </w:t>
      </w:r>
      <w:r w:rsidRPr="007B326B">
        <w:rPr>
          <w:rFonts w:cs="Arial"/>
          <w:i/>
          <w:iCs/>
          <w:sz w:val="20"/>
          <w:szCs w:val="20"/>
        </w:rPr>
        <w:t>Asia Pac J Clin Oncol</w:t>
      </w:r>
      <w:r w:rsidRPr="007B326B">
        <w:rPr>
          <w:rFonts w:cs="Arial"/>
          <w:sz w:val="20"/>
          <w:szCs w:val="20"/>
        </w:rPr>
        <w:t xml:space="preserve"> 2014. 10 Suppl S4: 1–14.</w:t>
      </w:r>
    </w:p>
    <w:p w14:paraId="12AB8B43"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113.</w:t>
      </w:r>
      <w:r w:rsidRPr="007B326B">
        <w:rPr>
          <w:rFonts w:cs="Arial"/>
          <w:sz w:val="20"/>
          <w:szCs w:val="20"/>
        </w:rPr>
        <w:tab/>
        <w:t xml:space="preserve">Dawood S, Broglio K, Buzdar AU, </w:t>
      </w:r>
      <w:r w:rsidRPr="007B326B">
        <w:rPr>
          <w:rFonts w:cs="Arial"/>
          <w:i/>
          <w:iCs/>
          <w:sz w:val="20"/>
          <w:szCs w:val="20"/>
        </w:rPr>
        <w:t>et al.</w:t>
      </w:r>
      <w:r w:rsidRPr="007B326B">
        <w:rPr>
          <w:rFonts w:cs="Arial"/>
          <w:sz w:val="20"/>
          <w:szCs w:val="20"/>
        </w:rPr>
        <w:t xml:space="preserve"> Prognosis of women with metastatic breast cancer by HER2 status and trastuzumab treatment: an institutional-based review. </w:t>
      </w:r>
      <w:r w:rsidRPr="007B326B">
        <w:rPr>
          <w:rFonts w:cs="Arial"/>
          <w:i/>
          <w:iCs/>
          <w:sz w:val="20"/>
          <w:szCs w:val="20"/>
        </w:rPr>
        <w:t>J Clin Oncol</w:t>
      </w:r>
      <w:r w:rsidRPr="007B326B">
        <w:rPr>
          <w:rFonts w:cs="Arial"/>
          <w:sz w:val="20"/>
          <w:szCs w:val="20"/>
        </w:rPr>
        <w:t xml:space="preserve"> 2010. 28: 92–98.</w:t>
      </w:r>
    </w:p>
    <w:p w14:paraId="5A0A3878"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114.</w:t>
      </w:r>
      <w:r w:rsidRPr="007B326B">
        <w:rPr>
          <w:rFonts w:cs="Arial"/>
          <w:sz w:val="20"/>
          <w:szCs w:val="20"/>
        </w:rPr>
        <w:tab/>
        <w:t xml:space="preserve">Hoffmann-La Roche. </w:t>
      </w:r>
      <w:r w:rsidRPr="007B326B">
        <w:rPr>
          <w:rFonts w:cs="Arial"/>
          <w:i/>
          <w:iCs/>
          <w:sz w:val="20"/>
          <w:szCs w:val="20"/>
        </w:rPr>
        <w:t>A Randomized, Multicenter, Phase III Open-label Study of the Efficacy and Safety of Trastuzumab MCC-DM1 vs. Capecitabine + Lapatinib in Patients With HER2-</w:t>
      </w:r>
      <w:r w:rsidRPr="007B326B">
        <w:rPr>
          <w:rFonts w:cs="Arial"/>
          <w:i/>
          <w:iCs/>
          <w:sz w:val="20"/>
          <w:szCs w:val="20"/>
        </w:rPr>
        <w:lastRenderedPageBreak/>
        <w:t>Positive Locally Advanced or Metastatic Breast Cancer Who Have Received Prior Trastuzumab-Based Therapy</w:t>
      </w:r>
      <w:r w:rsidRPr="007B326B">
        <w:rPr>
          <w:rFonts w:cs="Arial"/>
          <w:sz w:val="20"/>
          <w:szCs w:val="20"/>
        </w:rPr>
        <w:t>. (clinicaltrials.gov, 2016). at &lt;https://clinicaltrials.gov/ct2/show/NCT00829166&gt;</w:t>
      </w:r>
    </w:p>
    <w:p w14:paraId="55253719"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115.</w:t>
      </w:r>
      <w:r w:rsidRPr="007B326B">
        <w:rPr>
          <w:rFonts w:cs="Arial"/>
          <w:sz w:val="20"/>
          <w:szCs w:val="20"/>
        </w:rPr>
        <w:tab/>
        <w:t xml:space="preserve">Saura C, Modi S, Krop I, </w:t>
      </w:r>
      <w:r w:rsidRPr="007B326B">
        <w:rPr>
          <w:rFonts w:cs="Arial"/>
          <w:i/>
          <w:iCs/>
          <w:sz w:val="20"/>
          <w:szCs w:val="20"/>
        </w:rPr>
        <w:t>et al.</w:t>
      </w:r>
      <w:r w:rsidRPr="007B326B">
        <w:rPr>
          <w:rFonts w:cs="Arial"/>
          <w:sz w:val="20"/>
          <w:szCs w:val="20"/>
        </w:rPr>
        <w:t xml:space="preserve"> Poster 279P: Trastuzumab Deruxtecan (T-DXd) in Patients with HER2-Positive Metastatic Breast Cancer: Updated Survival Results from a Phase 2 Trial (DESTINY-Breast01). in (2021). at &lt;https://oncologypro.esmo.org/meeting-resources/esmo-congress-2021/trastuzumab-deruxtecan-t-dxd-in-patients-with-her2-positive-metastatic-breast-cancer-mbc-updated-survival-results-from-a-phase-ii-trial-desti&gt;</w:t>
      </w:r>
    </w:p>
    <w:p w14:paraId="0FBF9C51"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116.</w:t>
      </w:r>
      <w:r w:rsidRPr="007B326B">
        <w:rPr>
          <w:rFonts w:cs="Arial"/>
          <w:sz w:val="20"/>
          <w:szCs w:val="20"/>
        </w:rPr>
        <w:tab/>
        <w:t xml:space="preserve">Krop I, Park Y, Kim S-B, </w:t>
      </w:r>
      <w:r w:rsidRPr="007B326B">
        <w:rPr>
          <w:rFonts w:cs="Arial"/>
          <w:i/>
          <w:iCs/>
          <w:sz w:val="20"/>
          <w:szCs w:val="20"/>
        </w:rPr>
        <w:t>et al.</w:t>
      </w:r>
      <w:r w:rsidRPr="007B326B">
        <w:rPr>
          <w:rFonts w:cs="Arial"/>
          <w:sz w:val="20"/>
          <w:szCs w:val="20"/>
        </w:rPr>
        <w:t xml:space="preserve"> GS2-01: Trastuzumab deruxtecan vs physician’s choice in patients with HER2+ unresectable and/or metastatic breast cancer previously treated with trastuzumab emtansine: primary results of the randomised, phase 2 study DESTINY-Breast02. Presented at San Antonio Breast Cancer Symposium (SABCS). 2022.</w:t>
      </w:r>
    </w:p>
    <w:p w14:paraId="44DC87EC"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117.</w:t>
      </w:r>
      <w:r w:rsidRPr="007B326B">
        <w:rPr>
          <w:rFonts w:cs="Arial"/>
          <w:sz w:val="20"/>
          <w:szCs w:val="20"/>
        </w:rPr>
        <w:tab/>
        <w:t xml:space="preserve">Martínez-Sáez O &amp; Prat A. Current and Future Management of HER2-Positive Metastatic Breast Cancer. </w:t>
      </w:r>
      <w:r w:rsidRPr="007B326B">
        <w:rPr>
          <w:rFonts w:cs="Arial"/>
          <w:i/>
          <w:iCs/>
          <w:sz w:val="20"/>
          <w:szCs w:val="20"/>
        </w:rPr>
        <w:t>JCO Oncology Practice</w:t>
      </w:r>
      <w:r w:rsidRPr="007B326B">
        <w:rPr>
          <w:rFonts w:cs="Arial"/>
          <w:sz w:val="20"/>
          <w:szCs w:val="20"/>
        </w:rPr>
        <w:t xml:space="preserve"> 2021. 17: 594–604.</w:t>
      </w:r>
    </w:p>
    <w:p w14:paraId="5B5740EC"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118.</w:t>
      </w:r>
      <w:r w:rsidRPr="007B326B">
        <w:rPr>
          <w:rFonts w:cs="Arial"/>
          <w:sz w:val="20"/>
          <w:szCs w:val="20"/>
        </w:rPr>
        <w:tab/>
        <w:t xml:space="preserve">Jassem J, Carroll C, Ward SE, </w:t>
      </w:r>
      <w:r w:rsidRPr="007B326B">
        <w:rPr>
          <w:rFonts w:cs="Arial"/>
          <w:i/>
          <w:iCs/>
          <w:sz w:val="20"/>
          <w:szCs w:val="20"/>
        </w:rPr>
        <w:t>et al.</w:t>
      </w:r>
      <w:r w:rsidRPr="007B326B">
        <w:rPr>
          <w:rFonts w:cs="Arial"/>
          <w:sz w:val="20"/>
          <w:szCs w:val="20"/>
        </w:rPr>
        <w:t xml:space="preserve"> The clinical efficacy of cytotoxic agents in locally advanced or metastatic breast cancer patients pretreated with an anthracycline and a taxane: a systematic review. </w:t>
      </w:r>
      <w:r w:rsidRPr="007B326B">
        <w:rPr>
          <w:rFonts w:cs="Arial"/>
          <w:i/>
          <w:iCs/>
          <w:sz w:val="20"/>
          <w:szCs w:val="20"/>
        </w:rPr>
        <w:t>Eur J Cancer</w:t>
      </w:r>
      <w:r w:rsidRPr="007B326B">
        <w:rPr>
          <w:rFonts w:cs="Arial"/>
          <w:sz w:val="20"/>
          <w:szCs w:val="20"/>
        </w:rPr>
        <w:t xml:space="preserve"> 2009. 45: 2749–2758.</w:t>
      </w:r>
    </w:p>
    <w:p w14:paraId="3D6295EB"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119.</w:t>
      </w:r>
      <w:r w:rsidRPr="007B326B">
        <w:rPr>
          <w:rFonts w:cs="Arial"/>
          <w:sz w:val="20"/>
          <w:szCs w:val="20"/>
        </w:rPr>
        <w:tab/>
        <w:t xml:space="preserve">Tovey SM, Brown S, Doughty JC, </w:t>
      </w:r>
      <w:r w:rsidRPr="007B326B">
        <w:rPr>
          <w:rFonts w:cs="Arial"/>
          <w:i/>
          <w:iCs/>
          <w:sz w:val="20"/>
          <w:szCs w:val="20"/>
        </w:rPr>
        <w:t>et al.</w:t>
      </w:r>
      <w:r w:rsidRPr="007B326B">
        <w:rPr>
          <w:rFonts w:cs="Arial"/>
          <w:sz w:val="20"/>
          <w:szCs w:val="20"/>
        </w:rPr>
        <w:t xml:space="preserve"> Poor survival outcomes in HER2-positive breast cancer patients with low-grade, node-negative tumours. </w:t>
      </w:r>
      <w:r w:rsidRPr="007B326B">
        <w:rPr>
          <w:rFonts w:cs="Arial"/>
          <w:i/>
          <w:iCs/>
          <w:sz w:val="20"/>
          <w:szCs w:val="20"/>
        </w:rPr>
        <w:t>Br J Cancer</w:t>
      </w:r>
      <w:r w:rsidRPr="007B326B">
        <w:rPr>
          <w:rFonts w:cs="Arial"/>
          <w:sz w:val="20"/>
          <w:szCs w:val="20"/>
        </w:rPr>
        <w:t xml:space="preserve"> 2009. 100: 680–683.</w:t>
      </w:r>
    </w:p>
    <w:p w14:paraId="0A1E3FB3"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120.</w:t>
      </w:r>
      <w:r w:rsidRPr="007B326B">
        <w:rPr>
          <w:rFonts w:cs="Arial"/>
          <w:sz w:val="20"/>
          <w:szCs w:val="20"/>
        </w:rPr>
        <w:tab/>
        <w:t xml:space="preserve">Cooke T, Reeves J, Lanigan A, </w:t>
      </w:r>
      <w:r w:rsidRPr="007B326B">
        <w:rPr>
          <w:rFonts w:cs="Arial"/>
          <w:i/>
          <w:iCs/>
          <w:sz w:val="20"/>
          <w:szCs w:val="20"/>
        </w:rPr>
        <w:t>et al.</w:t>
      </w:r>
      <w:r w:rsidRPr="007B326B">
        <w:rPr>
          <w:rFonts w:cs="Arial"/>
          <w:sz w:val="20"/>
          <w:szCs w:val="20"/>
        </w:rPr>
        <w:t xml:space="preserve"> HER2 as a prognostic and predictive marker for breast cancer. </w:t>
      </w:r>
      <w:r w:rsidRPr="007B326B">
        <w:rPr>
          <w:rFonts w:cs="Arial"/>
          <w:i/>
          <w:iCs/>
          <w:sz w:val="20"/>
          <w:szCs w:val="20"/>
        </w:rPr>
        <w:t>Ann Oncol</w:t>
      </w:r>
      <w:r w:rsidRPr="007B326B">
        <w:rPr>
          <w:rFonts w:cs="Arial"/>
          <w:sz w:val="20"/>
          <w:szCs w:val="20"/>
        </w:rPr>
        <w:t xml:space="preserve"> 2001. 12 Suppl 1: S23-28.</w:t>
      </w:r>
    </w:p>
    <w:p w14:paraId="457E7C03"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121.</w:t>
      </w:r>
      <w:r w:rsidRPr="007B326B">
        <w:rPr>
          <w:rFonts w:cs="Arial"/>
          <w:sz w:val="20"/>
          <w:szCs w:val="20"/>
        </w:rPr>
        <w:tab/>
        <w:t>Daiichi Sankyo Inc. T-DXd in HER2-low u/mBC. UK advisory board meeting report. Data on File. 2022.</w:t>
      </w:r>
    </w:p>
    <w:p w14:paraId="20684B98"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122.</w:t>
      </w:r>
      <w:r w:rsidRPr="007B326B">
        <w:rPr>
          <w:rFonts w:cs="Arial"/>
          <w:sz w:val="20"/>
          <w:szCs w:val="20"/>
        </w:rPr>
        <w:tab/>
        <w:t>NICE. Gemcitabine for the treatment of metastatic breast cancer | NICE [TA116]. at &lt;https://www.nice.org.uk/guidance/ta116&gt;</w:t>
      </w:r>
    </w:p>
    <w:p w14:paraId="5C28CB27"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123.</w:t>
      </w:r>
      <w:r w:rsidRPr="007B326B">
        <w:rPr>
          <w:rFonts w:cs="Arial"/>
          <w:sz w:val="20"/>
          <w:szCs w:val="20"/>
        </w:rPr>
        <w:tab/>
        <w:t>NICE. Palbociclib with an aromatase inhibitor for previously untreated, hormone receptor-positive, HER2-negative, locally advanced or metastatic breast cancer | NICE [TA495]. at &lt;https://www.nice.org.uk/guidance/ta495&gt;</w:t>
      </w:r>
    </w:p>
    <w:p w14:paraId="24067534"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124.</w:t>
      </w:r>
      <w:r w:rsidRPr="007B326B">
        <w:rPr>
          <w:rFonts w:cs="Arial"/>
          <w:sz w:val="20"/>
          <w:szCs w:val="20"/>
        </w:rPr>
        <w:tab/>
        <w:t>NICE. Ribociclib with an aromatase inhibitor for previously untreated, hormone receptor-positive, HER2-negative, locally advanced or metastatic breast cancer | NICE [TA496]. at &lt;https://www.nice.org.uk/guidance/ta496&gt;</w:t>
      </w:r>
    </w:p>
    <w:p w14:paraId="26CB2428"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125.</w:t>
      </w:r>
      <w:r w:rsidRPr="007B326B">
        <w:rPr>
          <w:rFonts w:cs="Arial"/>
          <w:sz w:val="20"/>
          <w:szCs w:val="20"/>
        </w:rPr>
        <w:tab/>
        <w:t>NICE. Abemaciclib with an aromatase inhibitor for previously untreated, hormone receptor-positive, HER2-negative, locally advanced or metastatic breast cancer | NICE [TA563]. at &lt;https://www.nice.org.uk/guidance/ta563&gt;</w:t>
      </w:r>
    </w:p>
    <w:p w14:paraId="5A36EB52"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126.</w:t>
      </w:r>
      <w:r w:rsidRPr="007B326B">
        <w:rPr>
          <w:rFonts w:cs="Arial"/>
          <w:sz w:val="20"/>
          <w:szCs w:val="20"/>
        </w:rPr>
        <w:tab/>
        <w:t>NICE. Everolimus with exemestane for treating advanced breast cancer after endocrine therapy | NICE [TA421]. at &lt;https://www.nice.org.uk/guidance/ta421&gt;</w:t>
      </w:r>
    </w:p>
    <w:p w14:paraId="07EE8BFF"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127.</w:t>
      </w:r>
      <w:r w:rsidRPr="007B326B">
        <w:rPr>
          <w:rFonts w:cs="Arial"/>
          <w:sz w:val="20"/>
          <w:szCs w:val="20"/>
        </w:rPr>
        <w:tab/>
        <w:t>NICE. Palbociclib with fulvestrant for treating hormone receptor-positive, HER2-negative advanced breast cancer after endocrine therapy | NICE [TA836]. 2022. at &lt;https://www.nice.org.uk/guidance/ta836&gt;</w:t>
      </w:r>
    </w:p>
    <w:p w14:paraId="657D7BFE"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128.</w:t>
      </w:r>
      <w:r w:rsidRPr="007B326B">
        <w:rPr>
          <w:rFonts w:cs="Arial"/>
          <w:sz w:val="20"/>
          <w:szCs w:val="20"/>
        </w:rPr>
        <w:tab/>
        <w:t>NICE. Ribociclib with fulvestrant for treating hormone receptor-positive, HER2-negative advanced breast cancer after endocrine therapy | NICE [TA687]. at &lt;https://www.nice.org.uk/guidance/ta687&gt;</w:t>
      </w:r>
    </w:p>
    <w:p w14:paraId="1A0AAE9F"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129.</w:t>
      </w:r>
      <w:r w:rsidRPr="007B326B">
        <w:rPr>
          <w:rFonts w:cs="Arial"/>
          <w:sz w:val="20"/>
          <w:szCs w:val="20"/>
        </w:rPr>
        <w:tab/>
        <w:t>NICE. Abemaciclib with fulvestrant for treating hormone receptor-positive, HER2-negative advanced breast cancer after endocrine therapy | NICE [TA725]. at &lt;https://www.nice.org.uk/guidance/ta725&gt;</w:t>
      </w:r>
    </w:p>
    <w:p w14:paraId="26D9BA18"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130.</w:t>
      </w:r>
      <w:r w:rsidRPr="007B326B">
        <w:rPr>
          <w:rFonts w:cs="Arial"/>
          <w:sz w:val="20"/>
          <w:szCs w:val="20"/>
        </w:rPr>
        <w:tab/>
        <w:t>NICE. Alpelisib with fulvestrant for treating hormone receptor-positive, HER2-negative, PIK3CA-mutated advanced breast cancer | NICE [TA816]. at &lt;https://www.nice.org.uk/guidance/ta816&gt;</w:t>
      </w:r>
    </w:p>
    <w:p w14:paraId="09C4E444"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131.</w:t>
      </w:r>
      <w:r w:rsidRPr="007B326B">
        <w:rPr>
          <w:rFonts w:cs="Arial"/>
          <w:sz w:val="20"/>
          <w:szCs w:val="20"/>
        </w:rPr>
        <w:tab/>
        <w:t>NICE. Eribulin for treating locally advanced or metastatic breast cancer after 2 or more chemotherapy regimens | NICE [TA423]. at &lt;https://www.nice.org.uk/guidance/ta423&gt;</w:t>
      </w:r>
    </w:p>
    <w:p w14:paraId="6175CB5C"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132.</w:t>
      </w:r>
      <w:r w:rsidRPr="007B326B">
        <w:rPr>
          <w:rFonts w:cs="Arial"/>
          <w:sz w:val="20"/>
          <w:szCs w:val="20"/>
        </w:rPr>
        <w:tab/>
        <w:t>NICE. Sacituzumab govitecan for treating unresectable triple-negative advanced breast cancer after 2 or more therapies | NICE [TA819]. at &lt;https://www.nice.org.uk/guidance/ta819&gt;</w:t>
      </w:r>
    </w:p>
    <w:p w14:paraId="7F076D46"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133.</w:t>
      </w:r>
      <w:r w:rsidRPr="007B326B">
        <w:rPr>
          <w:rFonts w:cs="Arial"/>
          <w:sz w:val="20"/>
          <w:szCs w:val="20"/>
        </w:rPr>
        <w:tab/>
        <w:t>NICE. Atezolizumab with nab-paclitaxel for untreated PD-L1-positive, locally advanced or metastatic, triple-negative breast cancer | NICE [TA639]. at &lt;https://www.nice.org.uk/guidance/ta639&gt;</w:t>
      </w:r>
    </w:p>
    <w:p w14:paraId="5AF80300"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134.</w:t>
      </w:r>
      <w:r w:rsidRPr="007B326B">
        <w:rPr>
          <w:rFonts w:cs="Arial"/>
          <w:sz w:val="20"/>
          <w:szCs w:val="20"/>
        </w:rPr>
        <w:tab/>
        <w:t>NICE. Pembrolizumab plus chemotherapy for untreated, triple-negative, locally recurrent unresectable or metastatic breast cancer | NICE [TA801]. at &lt;https://www.nice.org.uk/guidance/ta801&gt;</w:t>
      </w:r>
    </w:p>
    <w:p w14:paraId="7797F87B"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135.</w:t>
      </w:r>
      <w:r w:rsidRPr="007B326B">
        <w:rPr>
          <w:rFonts w:cs="Arial"/>
          <w:sz w:val="20"/>
          <w:szCs w:val="20"/>
        </w:rPr>
        <w:tab/>
        <w:t>Surveillance decision | Evidence | Advanced breast cancer: diagnosis and treatment | Guidance | NICE. at &lt;https://www.nice.org.uk/guidance/cg81/resources/2023-surveillance-of-early-and-locally-advanced-breast-cancer-diagnosis-and-management-nice-guideline-ng101-and-</w:t>
      </w:r>
      <w:r w:rsidRPr="007B326B">
        <w:rPr>
          <w:rFonts w:cs="Arial"/>
          <w:sz w:val="20"/>
          <w:szCs w:val="20"/>
        </w:rPr>
        <w:lastRenderedPageBreak/>
        <w:t>advanced-breast-cancer-diagnosis-and-treatment-nice-guideline-cg81-11321031709/chapter/Surveillance-decision?tab=evidence&gt;</w:t>
      </w:r>
    </w:p>
    <w:p w14:paraId="1C246C97"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136.</w:t>
      </w:r>
      <w:r w:rsidRPr="007B326B">
        <w:rPr>
          <w:rFonts w:cs="Arial"/>
          <w:sz w:val="20"/>
          <w:szCs w:val="20"/>
        </w:rPr>
        <w:tab/>
        <w:t>Daiichi Sankyo Inc. LiveInsighter Breast Cancer patient data. 2022.</w:t>
      </w:r>
    </w:p>
    <w:p w14:paraId="3C669188"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137.</w:t>
      </w:r>
      <w:r w:rsidRPr="007B326B">
        <w:rPr>
          <w:rFonts w:cs="Arial"/>
          <w:sz w:val="20"/>
          <w:szCs w:val="20"/>
        </w:rPr>
        <w:tab/>
        <w:t xml:space="preserve">NHS England 2019. </w:t>
      </w:r>
      <w:r w:rsidRPr="007B326B">
        <w:rPr>
          <w:rFonts w:cs="Arial"/>
          <w:i/>
          <w:iCs/>
          <w:sz w:val="20"/>
          <w:szCs w:val="20"/>
        </w:rPr>
        <w:t>NHS Long Term Plan</w:t>
      </w:r>
      <w:r w:rsidRPr="007B326B">
        <w:rPr>
          <w:rFonts w:cs="Arial"/>
          <w:sz w:val="20"/>
          <w:szCs w:val="20"/>
        </w:rPr>
        <w:t>. at &lt;https://www.longtermplan.nhs.uk/online-version/chapter-3-further-progress-on-care-quality-and-outcomes/better-care-for-major-health-conditions/cancer/.&gt;</w:t>
      </w:r>
    </w:p>
    <w:p w14:paraId="45E9DC7B"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138.</w:t>
      </w:r>
      <w:r w:rsidRPr="007B326B">
        <w:rPr>
          <w:rFonts w:cs="Arial"/>
          <w:sz w:val="20"/>
          <w:szCs w:val="20"/>
        </w:rPr>
        <w:tab/>
        <w:t xml:space="preserve">FDA Approves First Targeted Therapy for HER2-Low Breast Cancer. </w:t>
      </w:r>
      <w:r w:rsidRPr="007B326B">
        <w:rPr>
          <w:rFonts w:cs="Arial"/>
          <w:i/>
          <w:iCs/>
          <w:sz w:val="20"/>
          <w:szCs w:val="20"/>
        </w:rPr>
        <w:t>The ASCO Post</w:t>
      </w:r>
      <w:r w:rsidRPr="007B326B">
        <w:rPr>
          <w:rFonts w:cs="Arial"/>
          <w:sz w:val="20"/>
          <w:szCs w:val="20"/>
        </w:rPr>
        <w:t xml:space="preserve"> 2022. at &lt;https://ascopost.com/issues/september-10-2022/fda-approves-first-targeted-therapy-for-her2-low-breast-cancer/&gt;</w:t>
      </w:r>
    </w:p>
    <w:p w14:paraId="37BC3EDD"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139.</w:t>
      </w:r>
      <w:r w:rsidRPr="007B326B">
        <w:rPr>
          <w:rFonts w:cs="Arial"/>
          <w:sz w:val="20"/>
          <w:szCs w:val="20"/>
        </w:rPr>
        <w:tab/>
        <w:t>US Food and Drug Administration. HIGHLIGHTS OF PRESCRIBING INFORMATION - ENHERTU. 2022. at &lt;https://www.accessdata.fda.gov/drugsatfda_docs/label/2022/761139s021lbl.pdf&gt;</w:t>
      </w:r>
    </w:p>
    <w:p w14:paraId="4BC47881"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140.</w:t>
      </w:r>
      <w:r w:rsidRPr="007B326B">
        <w:rPr>
          <w:rFonts w:cs="Arial"/>
          <w:sz w:val="20"/>
          <w:szCs w:val="20"/>
        </w:rPr>
        <w:tab/>
        <w:t xml:space="preserve">Modi S, Jacot W, Yamashita T, </w:t>
      </w:r>
      <w:r w:rsidRPr="007B326B">
        <w:rPr>
          <w:rFonts w:cs="Arial"/>
          <w:i/>
          <w:iCs/>
          <w:sz w:val="20"/>
          <w:szCs w:val="20"/>
        </w:rPr>
        <w:t>et al.</w:t>
      </w:r>
      <w:r w:rsidRPr="007B326B">
        <w:rPr>
          <w:rFonts w:cs="Arial"/>
          <w:sz w:val="20"/>
          <w:szCs w:val="20"/>
        </w:rPr>
        <w:t xml:space="preserve"> Trastuzumab deruxtecan (T-DXd) vs treatment of physician’s choice in patients with HER2-low unresectable and/or metastatic breast cancer: Results of DESTINY-Breast04, a randomized, phase 3 study. Presented at ASCO 2022 Annual Meeting. 2022.</w:t>
      </w:r>
    </w:p>
    <w:p w14:paraId="4B4FCCFF"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141.</w:t>
      </w:r>
      <w:r w:rsidRPr="007B326B">
        <w:rPr>
          <w:rFonts w:cs="Arial"/>
          <w:sz w:val="20"/>
          <w:szCs w:val="20"/>
        </w:rPr>
        <w:tab/>
        <w:t>Daiichi Sankyo Inc. Breast Cancer Treatment Landscape. Data on File. 2022.</w:t>
      </w:r>
    </w:p>
    <w:p w14:paraId="4F782E33"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142.</w:t>
      </w:r>
      <w:r w:rsidRPr="007B326B">
        <w:rPr>
          <w:rFonts w:cs="Arial"/>
          <w:sz w:val="20"/>
          <w:szCs w:val="20"/>
        </w:rPr>
        <w:tab/>
        <w:t xml:space="preserve">Talbot DC, Moiseyenko V, Van Belle S, </w:t>
      </w:r>
      <w:r w:rsidRPr="007B326B">
        <w:rPr>
          <w:rFonts w:cs="Arial"/>
          <w:i/>
          <w:iCs/>
          <w:sz w:val="20"/>
          <w:szCs w:val="20"/>
        </w:rPr>
        <w:t>et al.</w:t>
      </w:r>
      <w:r w:rsidRPr="007B326B">
        <w:rPr>
          <w:rFonts w:cs="Arial"/>
          <w:sz w:val="20"/>
          <w:szCs w:val="20"/>
        </w:rPr>
        <w:t xml:space="preserve"> Randomised, phase II trial comparing oral capecitabine (Xeloda) with paclitaxel in patients with metastatic/advanced breast cancer pretreated with anthracyclines. </w:t>
      </w:r>
      <w:r w:rsidRPr="007B326B">
        <w:rPr>
          <w:rFonts w:cs="Arial"/>
          <w:i/>
          <w:iCs/>
          <w:sz w:val="20"/>
          <w:szCs w:val="20"/>
        </w:rPr>
        <w:t>Br J Cancer</w:t>
      </w:r>
      <w:r w:rsidRPr="007B326B">
        <w:rPr>
          <w:rFonts w:cs="Arial"/>
          <w:sz w:val="20"/>
          <w:szCs w:val="20"/>
        </w:rPr>
        <w:t xml:space="preserve"> 2002. 86: 1367–1372.</w:t>
      </w:r>
    </w:p>
    <w:p w14:paraId="50913304"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143.</w:t>
      </w:r>
      <w:r w:rsidRPr="007B326B">
        <w:rPr>
          <w:rFonts w:cs="Arial"/>
          <w:sz w:val="20"/>
          <w:szCs w:val="20"/>
        </w:rPr>
        <w:tab/>
        <w:t xml:space="preserve">Andreopoulou E &amp; Sparano JA. Chemotherapy in Patients with Anthracycline- and Taxane-Pretreated Metastatic Breast Cancer: An Overview. </w:t>
      </w:r>
      <w:r w:rsidRPr="007B326B">
        <w:rPr>
          <w:rFonts w:cs="Arial"/>
          <w:i/>
          <w:iCs/>
          <w:sz w:val="20"/>
          <w:szCs w:val="20"/>
        </w:rPr>
        <w:t>Curr Breast Cancer Rep</w:t>
      </w:r>
      <w:r w:rsidRPr="007B326B">
        <w:rPr>
          <w:rFonts w:cs="Arial"/>
          <w:sz w:val="20"/>
          <w:szCs w:val="20"/>
        </w:rPr>
        <w:t xml:space="preserve"> 2013. 5: 42–50.</w:t>
      </w:r>
    </w:p>
    <w:p w14:paraId="6D5F0E25"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144.</w:t>
      </w:r>
      <w:r w:rsidRPr="007B326B">
        <w:rPr>
          <w:rFonts w:cs="Arial"/>
          <w:sz w:val="20"/>
          <w:szCs w:val="20"/>
        </w:rPr>
        <w:tab/>
        <w:t>emc. Halaven 0.44 mg/ml solution for injection - Summary of Product Characteristics (SmPC). 2023. at &lt;https://www.medicines.org.uk/emc/product/4517&gt;</w:t>
      </w:r>
    </w:p>
    <w:p w14:paraId="72AE9EA5"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145.</w:t>
      </w:r>
      <w:r w:rsidRPr="007B326B">
        <w:rPr>
          <w:rFonts w:cs="Arial"/>
          <w:sz w:val="20"/>
          <w:szCs w:val="20"/>
        </w:rPr>
        <w:tab/>
        <w:t xml:space="preserve">Ispos HealthCare, 2018. </w:t>
      </w:r>
      <w:r w:rsidRPr="007B326B">
        <w:rPr>
          <w:rFonts w:cs="Arial"/>
          <w:i/>
          <w:iCs/>
          <w:sz w:val="20"/>
          <w:szCs w:val="20"/>
        </w:rPr>
        <w:t>Most commonly prescribed agents for hormone receptor-positive, HER2-negative metastatic breast cancer by region. Report created for Daiichi Sankyo Inc. Provider-entered patient data Jan-Dec 2017.</w:t>
      </w:r>
    </w:p>
    <w:p w14:paraId="30090DDD"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146.</w:t>
      </w:r>
      <w:r w:rsidRPr="007B326B">
        <w:rPr>
          <w:rFonts w:cs="Arial"/>
          <w:sz w:val="20"/>
          <w:szCs w:val="20"/>
        </w:rPr>
        <w:tab/>
        <w:t xml:space="preserve">Dodson A, Parry S, Ibrahim M, </w:t>
      </w:r>
      <w:r w:rsidRPr="007B326B">
        <w:rPr>
          <w:rFonts w:cs="Arial"/>
          <w:i/>
          <w:iCs/>
          <w:sz w:val="20"/>
          <w:szCs w:val="20"/>
        </w:rPr>
        <w:t>et al.</w:t>
      </w:r>
      <w:r w:rsidRPr="007B326B">
        <w:rPr>
          <w:rFonts w:cs="Arial"/>
          <w:sz w:val="20"/>
          <w:szCs w:val="20"/>
        </w:rPr>
        <w:t xml:space="preserve"> Breast cancer biomarkers in clinical testing: analysis of a UK national external quality assessment scheme for immunocytochemistry and in situ hybridisation database containing results from 199 300 patients. </w:t>
      </w:r>
      <w:r w:rsidRPr="007B326B">
        <w:rPr>
          <w:rFonts w:cs="Arial"/>
          <w:i/>
          <w:iCs/>
          <w:sz w:val="20"/>
          <w:szCs w:val="20"/>
        </w:rPr>
        <w:t>J Pathol Clin Res</w:t>
      </w:r>
      <w:r w:rsidRPr="007B326B">
        <w:rPr>
          <w:rFonts w:cs="Arial"/>
          <w:sz w:val="20"/>
          <w:szCs w:val="20"/>
        </w:rPr>
        <w:t xml:space="preserve"> 2018. 4: 262–273.</w:t>
      </w:r>
    </w:p>
    <w:p w14:paraId="66659CBE"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147.</w:t>
      </w:r>
      <w:r w:rsidRPr="007B326B">
        <w:rPr>
          <w:rFonts w:cs="Arial"/>
          <w:sz w:val="20"/>
          <w:szCs w:val="20"/>
        </w:rPr>
        <w:tab/>
        <w:t>Daiichi Sankyo Inc. Estima: Feasibility of performing an indirect treatment comparison between ENHERTU® and TRODELVY® in a hormone-receptor negative and HER2-low population. Data on file. 2023.</w:t>
      </w:r>
    </w:p>
    <w:p w14:paraId="633B0D79"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148.</w:t>
      </w:r>
      <w:r w:rsidRPr="007B326B">
        <w:rPr>
          <w:rFonts w:cs="Arial"/>
          <w:sz w:val="20"/>
          <w:szCs w:val="20"/>
        </w:rPr>
        <w:tab/>
        <w:t>Daiichi Sankyo Inc. ASc Academics: A feasibility assessment of indirect treatment comparisons with T-DXd in HER2-low unresectable and/or metastatic breast cancer. 2022.</w:t>
      </w:r>
    </w:p>
    <w:p w14:paraId="6B80BCBC"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149.</w:t>
      </w:r>
      <w:r w:rsidRPr="007B326B">
        <w:rPr>
          <w:rFonts w:cs="Arial"/>
          <w:sz w:val="20"/>
          <w:szCs w:val="20"/>
        </w:rPr>
        <w:tab/>
        <w:t>Daiichi Sankyo Inc. DESTINY-Breast04: Post hoc analyses on relative use of TPC agents by line of therapy. Data on File. 2023.</w:t>
      </w:r>
    </w:p>
    <w:p w14:paraId="44D57A13"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150.</w:t>
      </w:r>
      <w:r w:rsidRPr="007B326B">
        <w:rPr>
          <w:rFonts w:cs="Arial"/>
          <w:sz w:val="20"/>
          <w:szCs w:val="20"/>
        </w:rPr>
        <w:tab/>
        <w:t>Daiichi Sankyo Inc. DESTINY-Breast04: Post hoc analyses on efficacy of individual TPC agents. Data on File. 2023.</w:t>
      </w:r>
    </w:p>
    <w:p w14:paraId="4CB8F575"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151.</w:t>
      </w:r>
      <w:r w:rsidRPr="007B326B">
        <w:rPr>
          <w:rFonts w:cs="Arial"/>
          <w:sz w:val="20"/>
          <w:szCs w:val="20"/>
        </w:rPr>
        <w:tab/>
        <w:t xml:space="preserve">Ueno S, Jacot W, Yamashita T, </w:t>
      </w:r>
      <w:r w:rsidRPr="007B326B">
        <w:rPr>
          <w:rFonts w:cs="Arial"/>
          <w:i/>
          <w:iCs/>
          <w:sz w:val="20"/>
          <w:szCs w:val="20"/>
        </w:rPr>
        <w:t>et al.</w:t>
      </w:r>
      <w:r w:rsidRPr="007B326B">
        <w:rPr>
          <w:rFonts w:cs="Arial"/>
          <w:sz w:val="20"/>
          <w:szCs w:val="20"/>
        </w:rPr>
        <w:t xml:space="preserve"> Patient-Reported Outcomes (PROs) From DESTINY-Breast04  a Randomized Phase 3 Study of Trastuzumab Deruxtecan (T-DXd) vs Treatment of Physician’s Choice (TPC) in Patients With HER2-Low  Metastatic Breast Cancer. Presented at ESMO Congress, September 2022. 2022.</w:t>
      </w:r>
    </w:p>
    <w:p w14:paraId="6EAD5913"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152.</w:t>
      </w:r>
      <w:r w:rsidRPr="007B326B">
        <w:rPr>
          <w:rFonts w:cs="Arial"/>
          <w:sz w:val="20"/>
          <w:szCs w:val="20"/>
        </w:rPr>
        <w:tab/>
        <w:t>Daiichi Sankyo Inc. FAS PRO tables and figures. Data on File.</w:t>
      </w:r>
    </w:p>
    <w:p w14:paraId="0B3F2A5D"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153.</w:t>
      </w:r>
      <w:r w:rsidRPr="007B326B">
        <w:rPr>
          <w:rFonts w:cs="Arial"/>
          <w:sz w:val="20"/>
          <w:szCs w:val="20"/>
        </w:rPr>
        <w:tab/>
        <w:t>Daiichi Sankyo Inc. Statistical Analysis Plan Version 2.0 for DS8201-A-U303. 04 January 2022. Data on File. 2022.</w:t>
      </w:r>
    </w:p>
    <w:p w14:paraId="1148DA06"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154.</w:t>
      </w:r>
      <w:r w:rsidRPr="007B326B">
        <w:rPr>
          <w:rFonts w:cs="Arial"/>
          <w:sz w:val="20"/>
          <w:szCs w:val="20"/>
        </w:rPr>
        <w:tab/>
        <w:t>Hurvitz S. Poster 168P: Sacituzumab Govitecan Efficacy in Patients with Metastatic Triple-Negative Breast Cancer by HER2 Immunohistochemistry Status: Findings from the Phase 3 ASCENT Study. Poster Presented at the European Society for Medical Oncology Breast Cancer Congress – May 3-5, 2022. 2022.</w:t>
      </w:r>
    </w:p>
    <w:p w14:paraId="32E0E069"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155.</w:t>
      </w:r>
      <w:r w:rsidRPr="007B326B">
        <w:rPr>
          <w:rFonts w:cs="Arial"/>
          <w:sz w:val="20"/>
          <w:szCs w:val="20"/>
        </w:rPr>
        <w:tab/>
        <w:t xml:space="preserve">Powell CA, Modi S, Iwata H, </w:t>
      </w:r>
      <w:r w:rsidRPr="007B326B">
        <w:rPr>
          <w:rFonts w:cs="Arial"/>
          <w:i/>
          <w:iCs/>
          <w:sz w:val="20"/>
          <w:szCs w:val="20"/>
        </w:rPr>
        <w:t>et al.</w:t>
      </w:r>
      <w:r w:rsidRPr="007B326B">
        <w:rPr>
          <w:rFonts w:cs="Arial"/>
          <w:sz w:val="20"/>
          <w:szCs w:val="20"/>
        </w:rPr>
        <w:t xml:space="preserve"> Pooled analysis of drug-related interstitial lung disease and/or pneumonitis in nine trastuzumab deruxtecan monotherapy studies</w:t>
      </w:r>
      <w:r w:rsidRPr="007B326B">
        <w:rPr>
          <w:rFonts w:ascii="Segoe UI Symbol" w:hAnsi="Segoe UI Symbol" w:cs="Segoe UI Symbol"/>
          <w:sz w:val="20"/>
          <w:szCs w:val="20"/>
        </w:rPr>
        <w:t>☆</w:t>
      </w:r>
      <w:r w:rsidRPr="007B326B">
        <w:rPr>
          <w:rFonts w:cs="Arial"/>
          <w:sz w:val="20"/>
          <w:szCs w:val="20"/>
        </w:rPr>
        <w:t xml:space="preserve">. </w:t>
      </w:r>
      <w:r w:rsidRPr="007B326B">
        <w:rPr>
          <w:rFonts w:cs="Arial"/>
          <w:i/>
          <w:iCs/>
          <w:sz w:val="20"/>
          <w:szCs w:val="20"/>
        </w:rPr>
        <w:t>ESMO Open</w:t>
      </w:r>
      <w:r w:rsidRPr="007B326B">
        <w:rPr>
          <w:rFonts w:cs="Arial"/>
          <w:sz w:val="20"/>
          <w:szCs w:val="20"/>
        </w:rPr>
        <w:t xml:space="preserve"> 2022. 7:</w:t>
      </w:r>
    </w:p>
    <w:p w14:paraId="780DF9E0"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156.</w:t>
      </w:r>
      <w:r w:rsidRPr="007B326B">
        <w:rPr>
          <w:rFonts w:cs="Arial"/>
          <w:sz w:val="20"/>
          <w:szCs w:val="20"/>
        </w:rPr>
        <w:tab/>
        <w:t xml:space="preserve">Barrios CH, Liu M-C, Lee SC, </w:t>
      </w:r>
      <w:r w:rsidRPr="007B326B">
        <w:rPr>
          <w:rFonts w:cs="Arial"/>
          <w:i/>
          <w:iCs/>
          <w:sz w:val="20"/>
          <w:szCs w:val="20"/>
        </w:rPr>
        <w:t>et al.</w:t>
      </w:r>
      <w:r w:rsidRPr="007B326B">
        <w:rPr>
          <w:rFonts w:cs="Arial"/>
          <w:sz w:val="20"/>
          <w:szCs w:val="20"/>
        </w:rPr>
        <w:t xml:space="preserve"> Phase III randomized trial of sunitinib versus capecitabine in patients with previously treated HER2-negative advanced breast cancer. </w:t>
      </w:r>
      <w:r w:rsidRPr="007B326B">
        <w:rPr>
          <w:rFonts w:cs="Arial"/>
          <w:i/>
          <w:iCs/>
          <w:sz w:val="20"/>
          <w:szCs w:val="20"/>
        </w:rPr>
        <w:t>Breast Cancer Res Treat</w:t>
      </w:r>
      <w:r w:rsidRPr="007B326B">
        <w:rPr>
          <w:rFonts w:cs="Arial"/>
          <w:sz w:val="20"/>
          <w:szCs w:val="20"/>
        </w:rPr>
        <w:t xml:space="preserve"> 2010. 121: 121–131.</w:t>
      </w:r>
    </w:p>
    <w:p w14:paraId="4B380F7E"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157.</w:t>
      </w:r>
      <w:r w:rsidRPr="007B326B">
        <w:rPr>
          <w:rFonts w:cs="Arial"/>
          <w:sz w:val="20"/>
          <w:szCs w:val="20"/>
        </w:rPr>
        <w:tab/>
        <w:t xml:space="preserve">Park IH, Im S-A, Jung KH, </w:t>
      </w:r>
      <w:r w:rsidRPr="007B326B">
        <w:rPr>
          <w:rFonts w:cs="Arial"/>
          <w:i/>
          <w:iCs/>
          <w:sz w:val="20"/>
          <w:szCs w:val="20"/>
        </w:rPr>
        <w:t>et al.</w:t>
      </w:r>
      <w:r w:rsidRPr="007B326B">
        <w:rPr>
          <w:rFonts w:cs="Arial"/>
          <w:sz w:val="20"/>
          <w:szCs w:val="20"/>
        </w:rPr>
        <w:t xml:space="preserve"> Randomized Open Label Phase III Trial of Irinotecan Plus Capecitabine versus Capecitabine Monotherapy in Patients with Metastatic Breast Cancer Previously Treated with Anthracycline and Taxane: PROCEED Trial (KCSG BR 11-01). </w:t>
      </w:r>
      <w:r w:rsidRPr="007B326B">
        <w:rPr>
          <w:rFonts w:cs="Arial"/>
          <w:i/>
          <w:iCs/>
          <w:sz w:val="20"/>
          <w:szCs w:val="20"/>
        </w:rPr>
        <w:t>Cancer Res Treat</w:t>
      </w:r>
      <w:r w:rsidRPr="007B326B">
        <w:rPr>
          <w:rFonts w:cs="Arial"/>
          <w:sz w:val="20"/>
          <w:szCs w:val="20"/>
        </w:rPr>
        <w:t xml:space="preserve"> 2019. 51: 43–52.</w:t>
      </w:r>
    </w:p>
    <w:p w14:paraId="40B73E33" w14:textId="77777777" w:rsidR="002313E2" w:rsidRPr="007B326B" w:rsidRDefault="002313E2" w:rsidP="007B326B">
      <w:pPr>
        <w:pStyle w:val="Bibliography"/>
        <w:spacing w:line="240" w:lineRule="auto"/>
        <w:rPr>
          <w:rFonts w:cs="Arial"/>
          <w:sz w:val="20"/>
          <w:szCs w:val="20"/>
        </w:rPr>
      </w:pPr>
      <w:r w:rsidRPr="007B326B">
        <w:rPr>
          <w:rFonts w:cs="Arial"/>
          <w:sz w:val="20"/>
          <w:szCs w:val="20"/>
        </w:rPr>
        <w:lastRenderedPageBreak/>
        <w:t>158.</w:t>
      </w:r>
      <w:r w:rsidRPr="007B326B">
        <w:rPr>
          <w:rFonts w:cs="Arial"/>
          <w:sz w:val="20"/>
          <w:szCs w:val="20"/>
        </w:rPr>
        <w:tab/>
        <w:t>Daiichi Sankyo Inc. Clinical Study Protocol Version 3.0 for DS8201-A-U303. 24 April 2019. Data on File. 2019.</w:t>
      </w:r>
    </w:p>
    <w:p w14:paraId="50D9F3CE"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159.</w:t>
      </w:r>
      <w:r w:rsidRPr="007B326B">
        <w:rPr>
          <w:rFonts w:cs="Arial"/>
          <w:sz w:val="20"/>
          <w:szCs w:val="20"/>
        </w:rPr>
        <w:tab/>
        <w:t xml:space="preserve">Burris HA, Rugo HS, Vukelja SJ, </w:t>
      </w:r>
      <w:r w:rsidRPr="007B326B">
        <w:rPr>
          <w:rFonts w:cs="Arial"/>
          <w:i/>
          <w:iCs/>
          <w:sz w:val="20"/>
          <w:szCs w:val="20"/>
        </w:rPr>
        <w:t>et al.</w:t>
      </w:r>
      <w:r w:rsidRPr="007B326B">
        <w:rPr>
          <w:rFonts w:cs="Arial"/>
          <w:sz w:val="20"/>
          <w:szCs w:val="20"/>
        </w:rPr>
        <w:t xml:space="preserve"> Phase II study of the antibody drug conjugate trastuzumab-DM1 for the treatment of human epidermal growth factor receptor 2 (HER2)-positive breast cancer after prior HER2-directed therapy. </w:t>
      </w:r>
      <w:r w:rsidRPr="007B326B">
        <w:rPr>
          <w:rFonts w:cs="Arial"/>
          <w:i/>
          <w:iCs/>
          <w:sz w:val="20"/>
          <w:szCs w:val="20"/>
        </w:rPr>
        <w:t>J Clin Oncol</w:t>
      </w:r>
      <w:r w:rsidRPr="007B326B">
        <w:rPr>
          <w:rFonts w:cs="Arial"/>
          <w:sz w:val="20"/>
          <w:szCs w:val="20"/>
        </w:rPr>
        <w:t xml:space="preserve"> 2011. 29: 398–405.</w:t>
      </w:r>
    </w:p>
    <w:p w14:paraId="546B1866"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160.</w:t>
      </w:r>
      <w:r w:rsidRPr="007B326B">
        <w:rPr>
          <w:rFonts w:cs="Arial"/>
          <w:sz w:val="20"/>
          <w:szCs w:val="20"/>
        </w:rPr>
        <w:tab/>
        <w:t xml:space="preserve">Modi S, Saura C, Yamashita T, </w:t>
      </w:r>
      <w:r w:rsidRPr="007B326B">
        <w:rPr>
          <w:rFonts w:cs="Arial"/>
          <w:i/>
          <w:iCs/>
          <w:sz w:val="20"/>
          <w:szCs w:val="20"/>
        </w:rPr>
        <w:t>et al.</w:t>
      </w:r>
      <w:r w:rsidRPr="007B326B">
        <w:rPr>
          <w:rFonts w:cs="Arial"/>
          <w:sz w:val="20"/>
          <w:szCs w:val="20"/>
        </w:rPr>
        <w:t xml:space="preserve"> Trastuzumab Deruxtecan in Previously Treated HER2-Positive Breast Cancer. </w:t>
      </w:r>
      <w:r w:rsidRPr="007B326B">
        <w:rPr>
          <w:rFonts w:cs="Arial"/>
          <w:i/>
          <w:iCs/>
          <w:sz w:val="20"/>
          <w:szCs w:val="20"/>
        </w:rPr>
        <w:t>New England Journal of Medicine</w:t>
      </w:r>
      <w:r w:rsidRPr="007B326B">
        <w:rPr>
          <w:rFonts w:cs="Arial"/>
          <w:sz w:val="20"/>
          <w:szCs w:val="20"/>
        </w:rPr>
        <w:t xml:space="preserve"> 2020. 382: 610–621.</w:t>
      </w:r>
    </w:p>
    <w:p w14:paraId="2B93F6D8"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161.</w:t>
      </w:r>
      <w:r w:rsidRPr="007B326B">
        <w:rPr>
          <w:rFonts w:cs="Arial"/>
          <w:sz w:val="20"/>
          <w:szCs w:val="20"/>
        </w:rPr>
        <w:tab/>
        <w:t>Daiichi Sankyo Inc. Economic Systematic Literature Review Report for DS-8201a on the Treatment of HER2-low Metastatic and/or Unresectable Breast Cancer. Data on File. 2022.</w:t>
      </w:r>
    </w:p>
    <w:p w14:paraId="6671849F"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162.</w:t>
      </w:r>
      <w:r w:rsidRPr="007B326B">
        <w:rPr>
          <w:rFonts w:cs="Arial"/>
          <w:sz w:val="20"/>
          <w:szCs w:val="20"/>
        </w:rPr>
        <w:tab/>
        <w:t xml:space="preserve">Tremblay G, Majethia U, Breeze JL, </w:t>
      </w:r>
      <w:r w:rsidRPr="007B326B">
        <w:rPr>
          <w:rFonts w:cs="Arial"/>
          <w:i/>
          <w:iCs/>
          <w:sz w:val="20"/>
          <w:szCs w:val="20"/>
        </w:rPr>
        <w:t>et al.</w:t>
      </w:r>
      <w:r w:rsidRPr="007B326B">
        <w:rPr>
          <w:rFonts w:cs="Arial"/>
          <w:sz w:val="20"/>
          <w:szCs w:val="20"/>
        </w:rPr>
        <w:t xml:space="preserve"> Economic evaluation of eribulin as second-line treatment for metastatic breast cancer in South Korea. </w:t>
      </w:r>
      <w:r w:rsidRPr="007B326B">
        <w:rPr>
          <w:rFonts w:cs="Arial"/>
          <w:i/>
          <w:iCs/>
          <w:sz w:val="20"/>
          <w:szCs w:val="20"/>
        </w:rPr>
        <w:t>Clinicoecon Outcomes Res</w:t>
      </w:r>
      <w:r w:rsidRPr="007B326B">
        <w:rPr>
          <w:rFonts w:cs="Arial"/>
          <w:sz w:val="20"/>
          <w:szCs w:val="20"/>
        </w:rPr>
        <w:t xml:space="preserve"> 2016. 8: 485–493.</w:t>
      </w:r>
    </w:p>
    <w:p w14:paraId="2BF9C4E5"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163.</w:t>
      </w:r>
      <w:r w:rsidRPr="007B326B">
        <w:rPr>
          <w:rFonts w:cs="Arial"/>
          <w:sz w:val="20"/>
          <w:szCs w:val="20"/>
        </w:rPr>
        <w:tab/>
        <w:t xml:space="preserve">Majethia U, Tremblay G, Kontoudis I, </w:t>
      </w:r>
      <w:r w:rsidRPr="007B326B">
        <w:rPr>
          <w:rFonts w:cs="Arial"/>
          <w:i/>
          <w:iCs/>
          <w:sz w:val="20"/>
          <w:szCs w:val="20"/>
        </w:rPr>
        <w:t>et al.</w:t>
      </w:r>
      <w:r w:rsidRPr="007B326B">
        <w:rPr>
          <w:rFonts w:cs="Arial"/>
          <w:sz w:val="20"/>
          <w:szCs w:val="20"/>
        </w:rPr>
        <w:t xml:space="preserve"> PCN78. Cost Effectiveness Analysis of Eribulin Mesylate as a Treatment for Metastatic Breast Cancer In Spain: Management in the Later Lines of Therapy. </w:t>
      </w:r>
      <w:r w:rsidRPr="007B326B">
        <w:rPr>
          <w:rFonts w:cs="Arial"/>
          <w:i/>
          <w:iCs/>
          <w:sz w:val="20"/>
          <w:szCs w:val="20"/>
        </w:rPr>
        <w:t>Value in Health</w:t>
      </w:r>
      <w:r w:rsidRPr="007B326B">
        <w:rPr>
          <w:rFonts w:cs="Arial"/>
          <w:sz w:val="20"/>
          <w:szCs w:val="20"/>
        </w:rPr>
        <w:t xml:space="preserve"> 2015. 18: A203.</w:t>
      </w:r>
    </w:p>
    <w:p w14:paraId="280345B5"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164.</w:t>
      </w:r>
      <w:r w:rsidRPr="007B326B">
        <w:rPr>
          <w:rFonts w:cs="Arial"/>
          <w:sz w:val="20"/>
          <w:szCs w:val="20"/>
        </w:rPr>
        <w:tab/>
        <w:t>Daiichi Sankyo Inc. Enhertu - Draft Summary of Product Characteristics (SmPC). Data on File. 2022.</w:t>
      </w:r>
    </w:p>
    <w:p w14:paraId="2095F34B"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165.</w:t>
      </w:r>
      <w:r w:rsidRPr="007B326B">
        <w:rPr>
          <w:rFonts w:cs="Arial"/>
          <w:sz w:val="20"/>
          <w:szCs w:val="20"/>
        </w:rPr>
        <w:tab/>
        <w:t>Decision Support Unit. NICE DSU technical support document 19: partitioned survival analysis for decision modelling in healthcare: a critical review. 2017. at &lt;https://www.sheffield.ac.uk/nice-dsu/tsds/partitioned-survival-analysis&gt;</w:t>
      </w:r>
    </w:p>
    <w:p w14:paraId="33A3431D"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166.</w:t>
      </w:r>
      <w:r w:rsidRPr="007B326B">
        <w:rPr>
          <w:rFonts w:cs="Arial"/>
          <w:sz w:val="20"/>
          <w:szCs w:val="20"/>
        </w:rPr>
        <w:tab/>
        <w:t>National life tables: England and Wales - Office for National Statistics. at &lt;https://www.ons.gov.uk/peoplepopulationandcommunity/birthsdeathsandmarriages/lifeexpectancies/datasets/nationallifetablesenglandandwalesreferencetables/current&gt;</w:t>
      </w:r>
    </w:p>
    <w:p w14:paraId="19527239"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167.</w:t>
      </w:r>
      <w:r w:rsidRPr="007B326B">
        <w:rPr>
          <w:rFonts w:cs="Arial"/>
          <w:sz w:val="20"/>
          <w:szCs w:val="20"/>
        </w:rPr>
        <w:tab/>
        <w:t xml:space="preserve">Narewska J, Nafees B, Lloyd A, </w:t>
      </w:r>
      <w:r w:rsidRPr="007B326B">
        <w:rPr>
          <w:rFonts w:cs="Arial"/>
          <w:i/>
          <w:iCs/>
          <w:sz w:val="20"/>
          <w:szCs w:val="20"/>
        </w:rPr>
        <w:t>et al.</w:t>
      </w:r>
      <w:r w:rsidRPr="007B326B">
        <w:rPr>
          <w:rFonts w:cs="Arial"/>
          <w:sz w:val="20"/>
          <w:szCs w:val="20"/>
        </w:rPr>
        <w:t xml:space="preserve"> PCN49 Health state descriptions for metastatic breast cancer: a qualitative study. </w:t>
      </w:r>
      <w:r w:rsidRPr="007B326B">
        <w:rPr>
          <w:rFonts w:cs="Arial"/>
          <w:i/>
          <w:iCs/>
          <w:sz w:val="20"/>
          <w:szCs w:val="20"/>
        </w:rPr>
        <w:t>International Society for Pharmacoeconomics and Outcomes Research</w:t>
      </w:r>
      <w:r w:rsidRPr="007B326B">
        <w:rPr>
          <w:rFonts w:cs="Arial"/>
          <w:sz w:val="20"/>
          <w:szCs w:val="20"/>
        </w:rPr>
        <w:t xml:space="preserve"> 2015. 8: p615-666.</w:t>
      </w:r>
    </w:p>
    <w:p w14:paraId="0AF4C183"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168.</w:t>
      </w:r>
      <w:r w:rsidRPr="007B326B">
        <w:rPr>
          <w:rFonts w:cs="Arial"/>
          <w:sz w:val="20"/>
          <w:szCs w:val="20"/>
        </w:rPr>
        <w:tab/>
        <w:t xml:space="preserve">Daiichi Sankyo, Inc. </w:t>
      </w:r>
      <w:r w:rsidRPr="007B326B">
        <w:rPr>
          <w:rFonts w:cs="Arial"/>
          <w:i/>
          <w:iCs/>
          <w:sz w:val="20"/>
          <w:szCs w:val="20"/>
        </w:rPr>
        <w:t>A Phase 3, Multicenter, Randomized, Open-Label, Active-Controlled Study of DS-8201a (Trastuzumab Deruxtecan), an Anti-HER2 Antibody Drug Conjugate (ADC), Versus Ado Trastuzumab Emtansine (T-DM1) for HER2-Positive, Unresectable and/or Metastatic Breast Cancer Subjects Previously Treated With Trastuzumab and Taxane</w:t>
      </w:r>
      <w:r w:rsidRPr="007B326B">
        <w:rPr>
          <w:rFonts w:cs="Arial"/>
          <w:sz w:val="20"/>
          <w:szCs w:val="20"/>
        </w:rPr>
        <w:t>. (clinicaltrials.gov, 2022). at &lt;https://clinicaltrials.gov/ct2/show/NCT03529110&gt;</w:t>
      </w:r>
    </w:p>
    <w:p w14:paraId="6AB07908"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169.</w:t>
      </w:r>
      <w:r w:rsidRPr="007B326B">
        <w:rPr>
          <w:rFonts w:cs="Arial"/>
          <w:sz w:val="20"/>
          <w:szCs w:val="20"/>
        </w:rPr>
        <w:tab/>
        <w:t xml:space="preserve">Lloyd A, Nafees B, Narewska J, </w:t>
      </w:r>
      <w:r w:rsidRPr="007B326B">
        <w:rPr>
          <w:rFonts w:cs="Arial"/>
          <w:i/>
          <w:iCs/>
          <w:sz w:val="20"/>
          <w:szCs w:val="20"/>
        </w:rPr>
        <w:t>et al.</w:t>
      </w:r>
      <w:r w:rsidRPr="007B326B">
        <w:rPr>
          <w:rFonts w:cs="Arial"/>
          <w:sz w:val="20"/>
          <w:szCs w:val="20"/>
        </w:rPr>
        <w:t xml:space="preserve"> Health state utilities for metastatic breast cancer. </w:t>
      </w:r>
      <w:r w:rsidRPr="007B326B">
        <w:rPr>
          <w:rFonts w:cs="Arial"/>
          <w:i/>
          <w:iCs/>
          <w:sz w:val="20"/>
          <w:szCs w:val="20"/>
        </w:rPr>
        <w:t>Br J Cancer</w:t>
      </w:r>
      <w:r w:rsidRPr="007B326B">
        <w:rPr>
          <w:rFonts w:cs="Arial"/>
          <w:sz w:val="20"/>
          <w:szCs w:val="20"/>
        </w:rPr>
        <w:t xml:space="preserve"> 2006. 95: 683–690.</w:t>
      </w:r>
    </w:p>
    <w:p w14:paraId="0F201BD3"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170.</w:t>
      </w:r>
      <w:r w:rsidRPr="007B326B">
        <w:rPr>
          <w:rFonts w:cs="Arial"/>
          <w:sz w:val="20"/>
          <w:szCs w:val="20"/>
        </w:rPr>
        <w:tab/>
        <w:t>Enhertu 100 mg powder for concentrate for solution for infusion - Summary of Product Characteristics (SmPC) - (emc). at &lt;https://www.medicines.org.uk/emc/product/12135/smpc#gref&gt;</w:t>
      </w:r>
    </w:p>
    <w:p w14:paraId="5DD8210D"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171.</w:t>
      </w:r>
      <w:r w:rsidRPr="007B326B">
        <w:rPr>
          <w:rFonts w:cs="Arial"/>
          <w:sz w:val="20"/>
          <w:szCs w:val="20"/>
        </w:rPr>
        <w:tab/>
        <w:t>NICE. NICE DSU Technical Support Document 14:  Survival Analysis For Economic Evaluations Alongside Clinical Trials - Extrapolation With Patient-Level Data. 2013. at &lt;https://www.sheffield.ac.uk/sites/default/files/2022-02/TSD14-Survival-analysis.updated-March-2013.v2.pdf&gt;</w:t>
      </w:r>
    </w:p>
    <w:p w14:paraId="4778E0CA"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172.</w:t>
      </w:r>
      <w:r w:rsidRPr="007B326B">
        <w:rPr>
          <w:rFonts w:cs="Arial"/>
          <w:sz w:val="20"/>
          <w:szCs w:val="20"/>
        </w:rPr>
        <w:tab/>
        <w:t xml:space="preserve">Daiichi Sankyo Inc. </w:t>
      </w:r>
      <w:r w:rsidRPr="007B326B">
        <w:rPr>
          <w:rFonts w:cs="Arial"/>
          <w:i/>
          <w:iCs/>
          <w:sz w:val="20"/>
          <w:szCs w:val="20"/>
        </w:rPr>
        <w:t>Consultation validation meeting. Validation of clinical inputs, outputs and assumptions of the cost-effectiveness model for trastuzumab deruxtecan in HER2-low u/mBC. Data on File.</w:t>
      </w:r>
      <w:r w:rsidRPr="007B326B">
        <w:rPr>
          <w:rFonts w:cs="Arial"/>
          <w:sz w:val="20"/>
          <w:szCs w:val="20"/>
        </w:rPr>
        <w:t xml:space="preserve"> (2022).</w:t>
      </w:r>
    </w:p>
    <w:p w14:paraId="035482E6"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173.</w:t>
      </w:r>
      <w:r w:rsidRPr="007B326B">
        <w:rPr>
          <w:rFonts w:cs="Arial"/>
          <w:sz w:val="20"/>
          <w:szCs w:val="20"/>
        </w:rPr>
        <w:tab/>
        <w:t xml:space="preserve">Hernández-Alava M &amp; Pudney S. Mapping between EQ-5D-3L and EQ-5D-5L: A survey experiment on the validity of multi-instrument data. </w:t>
      </w:r>
      <w:r w:rsidRPr="007B326B">
        <w:rPr>
          <w:rFonts w:cs="Arial"/>
          <w:i/>
          <w:iCs/>
          <w:sz w:val="20"/>
          <w:szCs w:val="20"/>
        </w:rPr>
        <w:t>Health Economics</w:t>
      </w:r>
      <w:r w:rsidRPr="007B326B">
        <w:rPr>
          <w:rFonts w:cs="Arial"/>
          <w:sz w:val="20"/>
          <w:szCs w:val="20"/>
        </w:rPr>
        <w:t xml:space="preserve"> 2022. 31: 923–939.</w:t>
      </w:r>
    </w:p>
    <w:p w14:paraId="5C2E590A"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174.</w:t>
      </w:r>
      <w:r w:rsidRPr="007B326B">
        <w:rPr>
          <w:rFonts w:cs="Arial"/>
          <w:sz w:val="20"/>
          <w:szCs w:val="20"/>
        </w:rPr>
        <w:tab/>
        <w:t>Daiichi Sankyo Inc. Technical Report for Global Cost-effectiveness and Budget Impact Model for T-DXd in HER2-low Metastatic and/or Unresectable Breast Cancer. Data on File. 2022.</w:t>
      </w:r>
    </w:p>
    <w:p w14:paraId="791ACA45"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175.</w:t>
      </w:r>
      <w:r w:rsidRPr="007B326B">
        <w:rPr>
          <w:rFonts w:cs="Arial"/>
          <w:sz w:val="20"/>
          <w:szCs w:val="20"/>
        </w:rPr>
        <w:tab/>
        <w:t xml:space="preserve">Hudgens S, Briggs A, Velikova G, </w:t>
      </w:r>
      <w:r w:rsidRPr="007B326B">
        <w:rPr>
          <w:rFonts w:cs="Arial"/>
          <w:i/>
          <w:iCs/>
          <w:sz w:val="20"/>
          <w:szCs w:val="20"/>
        </w:rPr>
        <w:t>et al.</w:t>
      </w:r>
      <w:r w:rsidRPr="007B326B">
        <w:rPr>
          <w:rFonts w:cs="Arial"/>
          <w:sz w:val="20"/>
          <w:szCs w:val="20"/>
        </w:rPr>
        <w:t xml:space="preserve"> 1046P - Impact of Treatment with Eribulin (Eri) or Capecitabine (Cap) for Metastatic Breast Cancer (Mbc) on Eq–5D Utility Derived from Eortc Qlq–C30. </w:t>
      </w:r>
      <w:r w:rsidRPr="007B326B">
        <w:rPr>
          <w:rFonts w:cs="Arial"/>
          <w:i/>
          <w:iCs/>
          <w:sz w:val="20"/>
          <w:szCs w:val="20"/>
        </w:rPr>
        <w:t>Annals of Oncology</w:t>
      </w:r>
      <w:r w:rsidRPr="007B326B">
        <w:rPr>
          <w:rFonts w:cs="Arial"/>
          <w:sz w:val="20"/>
          <w:szCs w:val="20"/>
        </w:rPr>
        <w:t xml:space="preserve"> 2014. 25: iv360.</w:t>
      </w:r>
    </w:p>
    <w:p w14:paraId="13CEB0A8"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176.</w:t>
      </w:r>
      <w:r w:rsidRPr="007B326B">
        <w:rPr>
          <w:rFonts w:cs="Arial"/>
          <w:sz w:val="20"/>
          <w:szCs w:val="20"/>
        </w:rPr>
        <w:tab/>
        <w:t>NICE. Osimertinib for untreated EGFR-positive non-small-cell lung cancer [TA654]. at &lt;https://www.nice.org.uk/guidance/ta654&gt;</w:t>
      </w:r>
    </w:p>
    <w:p w14:paraId="7B5BCC9C"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177.</w:t>
      </w:r>
      <w:r w:rsidRPr="007B326B">
        <w:rPr>
          <w:rFonts w:cs="Arial"/>
          <w:sz w:val="20"/>
          <w:szCs w:val="20"/>
        </w:rPr>
        <w:tab/>
        <w:t xml:space="preserve">Doyle S, Lloyd A &amp; Davis M. Public perception of atrial fibrillation and treatment-related adverse events in the UK - The British Journal of Cardiology. </w:t>
      </w:r>
      <w:r w:rsidRPr="007B326B">
        <w:rPr>
          <w:rFonts w:cs="Arial"/>
          <w:i/>
          <w:iCs/>
          <w:sz w:val="20"/>
          <w:szCs w:val="20"/>
        </w:rPr>
        <w:t>Br J Cardio</w:t>
      </w:r>
      <w:r w:rsidRPr="007B326B">
        <w:rPr>
          <w:rFonts w:cs="Arial"/>
          <w:sz w:val="20"/>
          <w:szCs w:val="20"/>
        </w:rPr>
        <w:t xml:space="preserve"> 2011. 18: 88–93.</w:t>
      </w:r>
    </w:p>
    <w:p w14:paraId="0BC563A0"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178.</w:t>
      </w:r>
      <w:r w:rsidRPr="007B326B">
        <w:rPr>
          <w:rFonts w:cs="Arial"/>
          <w:sz w:val="20"/>
          <w:szCs w:val="20"/>
        </w:rPr>
        <w:tab/>
        <w:t>Department of Health and Social Care. Drugs and pharmaceutical electronic market information tool - eMIT 2022 [Accessed 24 January 2023]. 2022. at &lt;https://www.gov.uk/government/publications/drugs-and-pharmaceutical-electronic-market-information-emit&gt;</w:t>
      </w:r>
    </w:p>
    <w:p w14:paraId="2E8BBAC8"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179.</w:t>
      </w:r>
      <w:r w:rsidRPr="007B326B">
        <w:rPr>
          <w:rFonts w:cs="Arial"/>
          <w:sz w:val="20"/>
          <w:szCs w:val="20"/>
        </w:rPr>
        <w:tab/>
        <w:t>Medicinal forms | Trastuzumab deruxtecan | Drugs | BNF content published by NICE. at &lt;https://bnf.nice.org.uk/drugs/trastuzumab-deruxtecan/medicinal-forms/&gt;</w:t>
      </w:r>
    </w:p>
    <w:p w14:paraId="41895356" w14:textId="77777777" w:rsidR="002313E2" w:rsidRPr="007B326B" w:rsidRDefault="002313E2" w:rsidP="007B326B">
      <w:pPr>
        <w:pStyle w:val="Bibliography"/>
        <w:spacing w:line="240" w:lineRule="auto"/>
        <w:rPr>
          <w:rFonts w:cs="Arial"/>
          <w:sz w:val="20"/>
          <w:szCs w:val="20"/>
        </w:rPr>
      </w:pPr>
      <w:r w:rsidRPr="007B326B">
        <w:rPr>
          <w:rFonts w:cs="Arial"/>
          <w:sz w:val="20"/>
          <w:szCs w:val="20"/>
        </w:rPr>
        <w:lastRenderedPageBreak/>
        <w:t>180.</w:t>
      </w:r>
      <w:r w:rsidRPr="007B326B">
        <w:rPr>
          <w:rFonts w:cs="Arial"/>
          <w:sz w:val="20"/>
          <w:szCs w:val="20"/>
        </w:rPr>
        <w:tab/>
        <w:t>emc. Capecitabine 500 mg film-coated tablets - Summary of Product Characteristics (SmPC). 2021. at &lt;https://www.medicines.org.uk/emc/product/9939/smpc#gref&gt;</w:t>
      </w:r>
    </w:p>
    <w:p w14:paraId="4C4EEB6C"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181.</w:t>
      </w:r>
      <w:r w:rsidRPr="007B326B">
        <w:rPr>
          <w:rFonts w:cs="Arial"/>
          <w:sz w:val="20"/>
          <w:szCs w:val="20"/>
        </w:rPr>
        <w:tab/>
        <w:t>emc. Paclitaxel 6 mg/ml concentrate for solution for infusion - Summary of Product Characteristics (SmPC). 2023. at &lt;https://www.medicines.org.uk/emc/product/3891/smpc#gref&gt;</w:t>
      </w:r>
    </w:p>
    <w:p w14:paraId="0AAA7EA1"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182.</w:t>
      </w:r>
      <w:r w:rsidRPr="007B326B">
        <w:rPr>
          <w:rFonts w:cs="Arial"/>
          <w:sz w:val="20"/>
          <w:szCs w:val="20"/>
        </w:rPr>
        <w:tab/>
        <w:t>emc. Abraxane 5 mg/ml powder for dispersion for infusion - Summary of Product Characteristics (SmPC). 2021. at &lt;https://www.medicines.org.uk/emc/product/6438/smpc#gref&gt;</w:t>
      </w:r>
    </w:p>
    <w:p w14:paraId="49C8ABA6"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183.</w:t>
      </w:r>
      <w:r w:rsidRPr="007B326B">
        <w:rPr>
          <w:rFonts w:cs="Arial"/>
          <w:sz w:val="20"/>
          <w:szCs w:val="20"/>
        </w:rPr>
        <w:tab/>
        <w:t>emc. Gemcitabine 10 mg/ml, solution for infusion - Summary of Product Characteristics (SmPC). 2023. at &lt;https://www.medicines.org.uk/emc/product/7298/smpc#gref&gt;</w:t>
      </w:r>
    </w:p>
    <w:p w14:paraId="326DCBE2"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184.</w:t>
      </w:r>
      <w:r w:rsidRPr="007B326B">
        <w:rPr>
          <w:rFonts w:cs="Arial"/>
          <w:sz w:val="20"/>
          <w:szCs w:val="20"/>
        </w:rPr>
        <w:tab/>
        <w:t xml:space="preserve">Transforming NHS pharmacy aseptic services in England. A national report for the Department of Health and Social Care by Lord Carter of Coles. </w:t>
      </w:r>
      <w:r w:rsidRPr="007B326B">
        <w:rPr>
          <w:rFonts w:cs="Arial"/>
          <w:i/>
          <w:iCs/>
          <w:sz w:val="20"/>
          <w:szCs w:val="20"/>
        </w:rPr>
        <w:t>Department of Health and Social Care</w:t>
      </w:r>
      <w:r w:rsidRPr="007B326B">
        <w:rPr>
          <w:rFonts w:cs="Arial"/>
          <w:sz w:val="20"/>
          <w:szCs w:val="20"/>
        </w:rPr>
        <w:t xml:space="preserve"> 2020. at &lt;https://assets.publishing.service.gov.uk/government/uploads/system/uploads/attachment_data/file/931195/aseptic-pharmacy.pdf&gt;</w:t>
      </w:r>
    </w:p>
    <w:p w14:paraId="39336901"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185.</w:t>
      </w:r>
      <w:r w:rsidRPr="007B326B">
        <w:rPr>
          <w:rFonts w:cs="Arial"/>
          <w:sz w:val="20"/>
          <w:szCs w:val="20"/>
        </w:rPr>
        <w:tab/>
        <w:t>NHS. National Cost Collection: National Schedule of NHS costs - Year 2020-21. 2021. at &lt;https://www.england.nhs.uk/costing-in-the-nhs/national-cost-collection/&gt;</w:t>
      </w:r>
    </w:p>
    <w:p w14:paraId="04502548"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186.</w:t>
      </w:r>
      <w:r w:rsidRPr="007B326B">
        <w:rPr>
          <w:rFonts w:cs="Arial"/>
          <w:sz w:val="20"/>
          <w:szCs w:val="20"/>
        </w:rPr>
        <w:tab/>
        <w:t>Unit Costs of Health and Social Care 2021 | PSSRU. at &lt;https://www.pssru.ac.uk/project-pages/unit-costs/unit-costs-of-health-and-social-care-2021/&gt;</w:t>
      </w:r>
    </w:p>
    <w:p w14:paraId="11B2ED70"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187.</w:t>
      </w:r>
      <w:r w:rsidRPr="007B326B">
        <w:rPr>
          <w:rFonts w:cs="Arial"/>
          <w:sz w:val="20"/>
          <w:szCs w:val="20"/>
        </w:rPr>
        <w:tab/>
        <w:t xml:space="preserve">Hardy JR, Carmont S-AS, O’Shea A, </w:t>
      </w:r>
      <w:r w:rsidRPr="007B326B">
        <w:rPr>
          <w:rFonts w:cs="Arial"/>
          <w:i/>
          <w:iCs/>
          <w:sz w:val="20"/>
          <w:szCs w:val="20"/>
        </w:rPr>
        <w:t>et al.</w:t>
      </w:r>
      <w:r w:rsidRPr="007B326B">
        <w:rPr>
          <w:rFonts w:cs="Arial"/>
          <w:sz w:val="20"/>
          <w:szCs w:val="20"/>
        </w:rPr>
        <w:t xml:space="preserve"> Pilot Study To Determine the Optimal Dose of Methylphenidate for an n-of-1 Trial for Fatigue in Patients with Cancer. </w:t>
      </w:r>
      <w:r w:rsidRPr="007B326B">
        <w:rPr>
          <w:rFonts w:cs="Arial"/>
          <w:i/>
          <w:iCs/>
          <w:sz w:val="20"/>
          <w:szCs w:val="20"/>
        </w:rPr>
        <w:t>Journal of Palliative Medicine</w:t>
      </w:r>
      <w:r w:rsidRPr="007B326B">
        <w:rPr>
          <w:rFonts w:cs="Arial"/>
          <w:sz w:val="20"/>
          <w:szCs w:val="20"/>
        </w:rPr>
        <w:t xml:space="preserve"> 2010. 13: 1193–1197.</w:t>
      </w:r>
    </w:p>
    <w:p w14:paraId="184B9098"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188.</w:t>
      </w:r>
      <w:r w:rsidRPr="007B326B">
        <w:rPr>
          <w:rFonts w:cs="Arial"/>
          <w:sz w:val="20"/>
          <w:szCs w:val="20"/>
        </w:rPr>
        <w:tab/>
        <w:t>NICE. NICE Technology Appraisal Guidance 387: Appraising life-extending, end of life treatments. 2009. at &lt;https://www.nice.org.uk/guidance/gid-tag387/documents/appraising-life-extending-end-of-life-treatments-paper2&gt;</w:t>
      </w:r>
    </w:p>
    <w:p w14:paraId="25F6E5D2"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189.</w:t>
      </w:r>
      <w:r w:rsidRPr="007B326B">
        <w:rPr>
          <w:rFonts w:cs="Arial"/>
          <w:sz w:val="20"/>
          <w:szCs w:val="20"/>
        </w:rPr>
        <w:tab/>
        <w:t>NICE. NICE Consultation Paper: Value Based Assessment of Health Technologies. 2017. at &lt;https://www.nice.org.uk/Media/Default/About/what-we-do/NICE-guidance/NICE-technology-appraisals/VBA-TA-Methods-Guide-for-Consultation.pdf&gt;</w:t>
      </w:r>
    </w:p>
    <w:p w14:paraId="0BDB7186"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190.</w:t>
      </w:r>
      <w:r w:rsidRPr="007B326B">
        <w:rPr>
          <w:rFonts w:cs="Arial"/>
          <w:sz w:val="20"/>
          <w:szCs w:val="20"/>
        </w:rPr>
        <w:tab/>
        <w:t xml:space="preserve">Schneider P, McNamara S, Love-Koh J, </w:t>
      </w:r>
      <w:r w:rsidRPr="007B326B">
        <w:rPr>
          <w:rFonts w:cs="Arial"/>
          <w:i/>
          <w:iCs/>
          <w:sz w:val="20"/>
          <w:szCs w:val="20"/>
        </w:rPr>
        <w:t>et al.</w:t>
      </w:r>
      <w:r w:rsidRPr="007B326B">
        <w:rPr>
          <w:rFonts w:cs="Arial"/>
          <w:sz w:val="20"/>
          <w:szCs w:val="20"/>
        </w:rPr>
        <w:t xml:space="preserve"> QALY Shortfall Calculator. 2021. at &lt;https://r4scharr.shinyapps.io/shortfall/&gt;</w:t>
      </w:r>
    </w:p>
    <w:p w14:paraId="7C9ED90C"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191.</w:t>
      </w:r>
      <w:r w:rsidRPr="007B326B">
        <w:rPr>
          <w:rFonts w:cs="Arial"/>
          <w:sz w:val="20"/>
          <w:szCs w:val="20"/>
        </w:rPr>
        <w:tab/>
        <w:t xml:space="preserve">Alava MH, Pudney S &amp; Wailoo A. ESTIMATING EQ-5D BY AGE AND SEX FOR THE UK. Report by the Decision Support Unit. </w:t>
      </w:r>
      <w:r w:rsidRPr="007B326B">
        <w:rPr>
          <w:rFonts w:cs="Arial"/>
          <w:i/>
          <w:iCs/>
          <w:sz w:val="20"/>
          <w:szCs w:val="20"/>
        </w:rPr>
        <w:t>ScHARR, University of Sheffield</w:t>
      </w:r>
      <w:r w:rsidRPr="007B326B">
        <w:rPr>
          <w:rFonts w:cs="Arial"/>
          <w:sz w:val="20"/>
          <w:szCs w:val="20"/>
        </w:rPr>
        <w:t xml:space="preserve"> 2022.</w:t>
      </w:r>
    </w:p>
    <w:p w14:paraId="74F9AA7A" w14:textId="77777777" w:rsidR="002313E2" w:rsidRPr="007B326B" w:rsidRDefault="002313E2" w:rsidP="007B326B">
      <w:pPr>
        <w:pStyle w:val="Bibliography"/>
        <w:spacing w:line="240" w:lineRule="auto"/>
        <w:rPr>
          <w:rFonts w:cs="Arial"/>
          <w:sz w:val="20"/>
          <w:szCs w:val="20"/>
        </w:rPr>
      </w:pPr>
      <w:r w:rsidRPr="007B326B">
        <w:rPr>
          <w:rFonts w:cs="Arial"/>
          <w:sz w:val="20"/>
          <w:szCs w:val="20"/>
        </w:rPr>
        <w:t>192.</w:t>
      </w:r>
      <w:r w:rsidRPr="007B326B">
        <w:rPr>
          <w:rFonts w:cs="Arial"/>
          <w:sz w:val="20"/>
          <w:szCs w:val="20"/>
        </w:rPr>
        <w:tab/>
        <w:t>What is breast cancer? | Cancer Research UK. at &lt;https://www.cancerresearchuk.org/about-cancer/breast-cancer/about&gt;</w:t>
      </w:r>
    </w:p>
    <w:p w14:paraId="290DF3BF" w14:textId="1FFEEC5D" w:rsidR="002313E2" w:rsidRPr="007B326B" w:rsidRDefault="002313E2" w:rsidP="007B326B">
      <w:pPr>
        <w:pStyle w:val="Bibliography"/>
        <w:spacing w:line="240" w:lineRule="auto"/>
        <w:rPr>
          <w:rFonts w:cs="Arial"/>
          <w:sz w:val="20"/>
          <w:szCs w:val="20"/>
        </w:rPr>
      </w:pPr>
      <w:r w:rsidRPr="007B326B">
        <w:rPr>
          <w:rFonts w:cs="Arial"/>
          <w:sz w:val="20"/>
          <w:szCs w:val="20"/>
        </w:rPr>
        <w:t>193.</w:t>
      </w:r>
      <w:r w:rsidRPr="007B326B">
        <w:rPr>
          <w:rFonts w:cs="Arial"/>
          <w:sz w:val="20"/>
          <w:szCs w:val="20"/>
        </w:rPr>
        <w:tab/>
        <w:t xml:space="preserve">MacEwan JP, Doctor J, Mulligan </w:t>
      </w:r>
      <w:r w:rsidR="00C02A3D">
        <w:rPr>
          <w:rFonts w:cs="Arial"/>
          <w:sz w:val="20"/>
          <w:szCs w:val="20"/>
        </w:rPr>
        <w:t>A</w:t>
      </w:r>
      <w:r w:rsidR="004D0AA5">
        <w:rPr>
          <w:rFonts w:cs="Arial"/>
          <w:sz w:val="20"/>
          <w:szCs w:val="20"/>
        </w:rPr>
        <w:t>A</w:t>
      </w:r>
      <w:r w:rsidR="004420C5">
        <w:rPr>
          <w:rFonts w:cs="Arial"/>
          <w:sz w:val="20"/>
          <w:szCs w:val="20"/>
        </w:rPr>
        <w:t>A</w:t>
      </w:r>
      <w:r w:rsidR="004420C5">
        <w:rPr>
          <w:rFonts w:cs="Arial"/>
          <w:sz w:val="20"/>
          <w:szCs w:val="20"/>
        </w:rPr>
        <w:tab/>
      </w:r>
      <w:r w:rsidRPr="007B326B">
        <w:rPr>
          <w:rFonts w:cs="Arial"/>
          <w:sz w:val="20"/>
          <w:szCs w:val="20"/>
        </w:rPr>
        <w:t xml:space="preserve">K, </w:t>
      </w:r>
      <w:r w:rsidRPr="007B326B">
        <w:rPr>
          <w:rFonts w:cs="Arial"/>
          <w:i/>
          <w:iCs/>
          <w:sz w:val="20"/>
          <w:szCs w:val="20"/>
        </w:rPr>
        <w:t>et al.</w:t>
      </w:r>
      <w:r w:rsidRPr="007B326B">
        <w:rPr>
          <w:rFonts w:cs="Arial"/>
          <w:sz w:val="20"/>
          <w:szCs w:val="20"/>
        </w:rPr>
        <w:t xml:space="preserve"> The Value of Progression-Free Survival in Metastatic Breast Cancer: Results From a Survey of Patients and Providers. </w:t>
      </w:r>
      <w:r w:rsidRPr="007B326B">
        <w:rPr>
          <w:rFonts w:cs="Arial"/>
          <w:i/>
          <w:iCs/>
          <w:sz w:val="20"/>
          <w:szCs w:val="20"/>
        </w:rPr>
        <w:t>MDM Policy Pract</w:t>
      </w:r>
      <w:r w:rsidRPr="007B326B">
        <w:rPr>
          <w:rFonts w:cs="Arial"/>
          <w:sz w:val="20"/>
          <w:szCs w:val="20"/>
        </w:rPr>
        <w:t xml:space="preserve"> 2019. 4: 2381468319855386.</w:t>
      </w:r>
    </w:p>
    <w:p w14:paraId="22864A34" w14:textId="73FEDF31" w:rsidR="00391830" w:rsidRDefault="004E2C26" w:rsidP="007B326B">
      <w:pPr>
        <w:spacing w:after="0" w:line="240" w:lineRule="auto"/>
        <w:rPr>
          <w:rFonts w:cs="Arial"/>
          <w:sz w:val="20"/>
          <w:szCs w:val="20"/>
        </w:rPr>
      </w:pPr>
      <w:r w:rsidRPr="007B326B">
        <w:rPr>
          <w:rFonts w:cs="Arial"/>
          <w:sz w:val="20"/>
          <w:szCs w:val="20"/>
        </w:rPr>
        <w:fldChar w:fldCharType="end"/>
      </w:r>
    </w:p>
    <w:p w14:paraId="59F06EFB" w14:textId="77777777" w:rsidR="004420C5" w:rsidRDefault="004420C5" w:rsidP="007B326B">
      <w:pPr>
        <w:spacing w:after="0" w:line="240" w:lineRule="auto"/>
        <w:rPr>
          <w:rFonts w:cs="Arial"/>
          <w:sz w:val="20"/>
          <w:szCs w:val="20"/>
        </w:rPr>
      </w:pPr>
    </w:p>
    <w:p w14:paraId="1BD32A65" w14:textId="443E9925" w:rsidR="004420C5" w:rsidRPr="007B326B" w:rsidRDefault="004420C5" w:rsidP="007B326B">
      <w:pPr>
        <w:spacing w:after="0" w:line="240" w:lineRule="auto"/>
        <w:rPr>
          <w:rFonts w:cs="Arial"/>
          <w:sz w:val="20"/>
          <w:szCs w:val="20"/>
        </w:rPr>
      </w:pPr>
      <w:r>
        <w:rPr>
          <w:rFonts w:cs="Arial"/>
          <w:sz w:val="20"/>
          <w:szCs w:val="20"/>
        </w:rPr>
        <w:t>Angus Angus Angus (A</w:t>
      </w:r>
      <w:r w:rsidR="004D0AA5">
        <w:rPr>
          <w:rFonts w:cs="Arial"/>
          <w:sz w:val="20"/>
          <w:szCs w:val="20"/>
        </w:rPr>
        <w:t>A</w:t>
      </w:r>
      <w:r>
        <w:rPr>
          <w:rFonts w:cs="Arial"/>
          <w:sz w:val="20"/>
          <w:szCs w:val="20"/>
        </w:rPr>
        <w:t>A)</w:t>
      </w:r>
    </w:p>
    <w:sectPr w:rsidR="004420C5" w:rsidRPr="007B326B">
      <w:footerReference w:type="default" r:id="rId45"/>
      <w:footnotePr>
        <w:numFmt w:val="lowerLetter"/>
      </w:foot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80C4BE" w14:textId="77777777" w:rsidR="00177D8E" w:rsidRDefault="00177D8E" w:rsidP="00F01BAF">
      <w:pPr>
        <w:spacing w:after="0" w:line="240" w:lineRule="auto"/>
      </w:pPr>
      <w:r>
        <w:separator/>
      </w:r>
    </w:p>
    <w:p w14:paraId="200861ED" w14:textId="77777777" w:rsidR="00177D8E" w:rsidRDefault="00177D8E"/>
  </w:endnote>
  <w:endnote w:type="continuationSeparator" w:id="0">
    <w:p w14:paraId="5A60AD4C" w14:textId="77777777" w:rsidR="00177D8E" w:rsidRDefault="00177D8E" w:rsidP="00F01BAF">
      <w:pPr>
        <w:spacing w:after="0" w:line="240" w:lineRule="auto"/>
      </w:pPr>
      <w:r>
        <w:continuationSeparator/>
      </w:r>
    </w:p>
    <w:p w14:paraId="49E511F4" w14:textId="77777777" w:rsidR="00177D8E" w:rsidRDefault="00177D8E"/>
  </w:endnote>
  <w:endnote w:type="continuationNotice" w:id="1">
    <w:p w14:paraId="229242BB" w14:textId="77777777" w:rsidR="00177D8E" w:rsidRDefault="00177D8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TimesNewRoman">
    <w:altName w:val="Yu Gothic"/>
    <w:panose1 w:val="00000000000000000000"/>
    <w:charset w:val="80"/>
    <w:family w:val="auto"/>
    <w:notTrueType/>
    <w:pitch w:val="default"/>
    <w:sig w:usb0="00000003" w:usb1="08070000" w:usb2="00000010" w:usb3="00000000" w:csb0="0002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1C7CE8" w14:textId="2AAD5C6B" w:rsidR="00F7181E" w:rsidRPr="00A9539A" w:rsidRDefault="00F7181E" w:rsidP="00A257BB">
    <w:pPr>
      <w:pStyle w:val="Footer"/>
      <w:spacing w:after="60"/>
    </w:pPr>
    <w:r>
      <w:t xml:space="preserve">Company evidence submission </w:t>
    </w:r>
    <w:r w:rsidRPr="00A9539A">
      <w:t xml:space="preserve">for </w:t>
    </w:r>
    <w:bookmarkStart w:id="8" w:name="_Hlk119071611"/>
    <w:r w:rsidRPr="00A9539A">
      <w:t>trastuzumab deruxtecan for treating HER2</w:t>
    </w:r>
    <w:r w:rsidRPr="00A9539A">
      <w:noBreakHyphen/>
    </w:r>
    <w:r w:rsidR="00DD0569" w:rsidRPr="00A9539A">
      <w:t>low</w:t>
    </w:r>
    <w:r w:rsidRPr="00A9539A">
      <w:t xml:space="preserve"> </w:t>
    </w:r>
    <w:r w:rsidR="00283196" w:rsidRPr="00A9539A">
      <w:t>metastatic or unresectable breast cancer after chemotherapy [ID3935]</w:t>
    </w:r>
    <w:bookmarkEnd w:id="8"/>
    <w:r w:rsidRPr="00A9539A">
      <w:t xml:space="preserve"> </w:t>
    </w:r>
  </w:p>
  <w:p w14:paraId="04F0AF72" w14:textId="0B0BE44C" w:rsidR="00F7181E" w:rsidRPr="00377E95" w:rsidRDefault="00F7181E">
    <w:pPr>
      <w:pStyle w:val="Footer"/>
    </w:pPr>
    <w:r>
      <w:t xml:space="preserve">© </w:t>
    </w:r>
    <w:r w:rsidR="00A02EE2">
      <w:t>Daiichi</w:t>
    </w:r>
    <w:r w:rsidR="00FE12E4">
      <w:t xml:space="preserve"> </w:t>
    </w:r>
    <w:r w:rsidR="00A02EE2">
      <w:t>Sankyo</w:t>
    </w:r>
    <w:r>
      <w:t xml:space="preserve"> (2022). All rights reserved.</w:t>
    </w:r>
    <w:r w:rsidRPr="00377E95">
      <w:ptab w:relativeTo="margin" w:alignment="right" w:leader="none"/>
    </w:r>
    <w:r w:rsidRPr="00377E95">
      <w:rPr>
        <w:rStyle w:val="PageNumber"/>
        <w:sz w:val="22"/>
      </w:rPr>
      <w:t xml:space="preserve">Page </w:t>
    </w:r>
    <w:r w:rsidRPr="00377E95">
      <w:rPr>
        <w:rStyle w:val="PageNumber"/>
        <w:sz w:val="22"/>
      </w:rPr>
      <w:fldChar w:fldCharType="begin"/>
    </w:r>
    <w:r w:rsidRPr="00377E95">
      <w:rPr>
        <w:rStyle w:val="PageNumber"/>
        <w:sz w:val="22"/>
      </w:rPr>
      <w:instrText xml:space="preserve"> PAGE </w:instrText>
    </w:r>
    <w:r w:rsidRPr="00377E95">
      <w:rPr>
        <w:rStyle w:val="PageNumber"/>
        <w:sz w:val="22"/>
      </w:rPr>
      <w:fldChar w:fldCharType="separate"/>
    </w:r>
    <w:r w:rsidRPr="00377E95">
      <w:rPr>
        <w:rStyle w:val="PageNumber"/>
        <w:sz w:val="22"/>
      </w:rPr>
      <w:t>1</w:t>
    </w:r>
    <w:r w:rsidRPr="00377E95">
      <w:rPr>
        <w:rStyle w:val="PageNumber"/>
        <w:sz w:val="22"/>
      </w:rPr>
      <w:fldChar w:fldCharType="end"/>
    </w:r>
    <w:r w:rsidRPr="00377E95">
      <w:rPr>
        <w:rStyle w:val="PageNumber"/>
        <w:sz w:val="22"/>
      </w:rPr>
      <w:t xml:space="preserve"> of </w:t>
    </w:r>
    <w:r w:rsidRPr="00377E95">
      <w:rPr>
        <w:rStyle w:val="PageNumber"/>
        <w:sz w:val="22"/>
      </w:rPr>
      <w:fldChar w:fldCharType="begin"/>
    </w:r>
    <w:r w:rsidRPr="00377E95">
      <w:rPr>
        <w:rStyle w:val="PageNumber"/>
        <w:sz w:val="22"/>
      </w:rPr>
      <w:instrText xml:space="preserve"> NUMPAGES </w:instrText>
    </w:r>
    <w:r w:rsidRPr="00377E95">
      <w:rPr>
        <w:rStyle w:val="PageNumber"/>
        <w:sz w:val="22"/>
      </w:rPr>
      <w:fldChar w:fldCharType="separate"/>
    </w:r>
    <w:r w:rsidRPr="00377E95">
      <w:rPr>
        <w:rStyle w:val="PageNumber"/>
        <w:sz w:val="22"/>
      </w:rPr>
      <w:t>18</w:t>
    </w:r>
    <w:r w:rsidRPr="00377E95">
      <w:rPr>
        <w:rStyle w:val="PageNumber"/>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056EED" w14:textId="77777777" w:rsidR="000B148D" w:rsidRDefault="000B148D" w:rsidP="00A257BB">
    <w:pPr>
      <w:pStyle w:val="Footer"/>
      <w:spacing w:after="60"/>
    </w:pPr>
  </w:p>
  <w:p w14:paraId="567D6BD6" w14:textId="77777777" w:rsidR="000B148D" w:rsidRPr="00A72D3A" w:rsidRDefault="000B148D" w:rsidP="00A257BB">
    <w:pPr>
      <w:pStyle w:val="Footer"/>
      <w:spacing w:after="60"/>
    </w:pPr>
    <w:r>
      <w:t xml:space="preserve">Company evidence </w:t>
    </w:r>
    <w:r w:rsidRPr="00A72D3A">
      <w:t>submission for trastuzumab deruxtecan for treating HER2</w:t>
    </w:r>
    <w:r w:rsidRPr="00A72D3A">
      <w:noBreakHyphen/>
      <w:t>low metastatic or unresectable breast cancer after chemotherapy [ID3935]</w:t>
    </w:r>
  </w:p>
  <w:p w14:paraId="249EE69B" w14:textId="77777777" w:rsidR="000B148D" w:rsidRPr="00377E95" w:rsidRDefault="000B148D">
    <w:pPr>
      <w:pStyle w:val="Footer"/>
    </w:pPr>
    <w:r>
      <w:t>© Daiichi Sankyo (2022). All rights reserved.</w:t>
    </w:r>
    <w:r w:rsidRPr="00377E95">
      <w:ptab w:relativeTo="margin" w:alignment="right" w:leader="none"/>
    </w:r>
    <w:r w:rsidRPr="00377E95">
      <w:rPr>
        <w:rStyle w:val="PageNumber"/>
        <w:sz w:val="22"/>
      </w:rPr>
      <w:t xml:space="preserve">Page </w:t>
    </w:r>
    <w:r w:rsidRPr="00377E95">
      <w:rPr>
        <w:rStyle w:val="PageNumber"/>
        <w:sz w:val="22"/>
      </w:rPr>
      <w:fldChar w:fldCharType="begin"/>
    </w:r>
    <w:r w:rsidRPr="00377E95">
      <w:rPr>
        <w:rStyle w:val="PageNumber"/>
        <w:sz w:val="22"/>
      </w:rPr>
      <w:instrText xml:space="preserve"> PAGE </w:instrText>
    </w:r>
    <w:r w:rsidRPr="00377E95">
      <w:rPr>
        <w:rStyle w:val="PageNumber"/>
        <w:sz w:val="22"/>
      </w:rPr>
      <w:fldChar w:fldCharType="separate"/>
    </w:r>
    <w:r w:rsidRPr="00377E95">
      <w:rPr>
        <w:rStyle w:val="PageNumber"/>
        <w:sz w:val="22"/>
      </w:rPr>
      <w:t>1</w:t>
    </w:r>
    <w:r w:rsidRPr="00377E95">
      <w:rPr>
        <w:rStyle w:val="PageNumber"/>
        <w:sz w:val="22"/>
      </w:rPr>
      <w:fldChar w:fldCharType="end"/>
    </w:r>
    <w:r w:rsidRPr="00377E95">
      <w:rPr>
        <w:rStyle w:val="PageNumber"/>
        <w:sz w:val="22"/>
      </w:rPr>
      <w:t xml:space="preserve"> of </w:t>
    </w:r>
    <w:r w:rsidRPr="00377E95">
      <w:rPr>
        <w:rStyle w:val="PageNumber"/>
        <w:sz w:val="22"/>
      </w:rPr>
      <w:fldChar w:fldCharType="begin"/>
    </w:r>
    <w:r w:rsidRPr="00377E95">
      <w:rPr>
        <w:rStyle w:val="PageNumber"/>
        <w:sz w:val="22"/>
      </w:rPr>
      <w:instrText xml:space="preserve"> NUMPAGES </w:instrText>
    </w:r>
    <w:r w:rsidRPr="00377E95">
      <w:rPr>
        <w:rStyle w:val="PageNumber"/>
        <w:sz w:val="22"/>
      </w:rPr>
      <w:fldChar w:fldCharType="separate"/>
    </w:r>
    <w:r w:rsidRPr="00377E95">
      <w:rPr>
        <w:rStyle w:val="PageNumber"/>
        <w:sz w:val="22"/>
      </w:rPr>
      <w:t>18</w:t>
    </w:r>
    <w:r w:rsidRPr="00377E95">
      <w:rPr>
        <w:rStyle w:val="PageNumber"/>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701A80" w14:textId="77777777" w:rsidR="00C57194" w:rsidRDefault="00C57194" w:rsidP="00A257BB">
    <w:pPr>
      <w:pStyle w:val="Footer"/>
      <w:spacing w:after="60"/>
    </w:pPr>
    <w:r>
      <w:t xml:space="preserve">Company evidence submission for </w:t>
    </w:r>
    <w:r w:rsidRPr="00FD2A30">
      <w:t>trastuzumab deruxtecan for treating HER2</w:t>
    </w:r>
    <w:r w:rsidRPr="00FD2A30">
      <w:noBreakHyphen/>
      <w:t xml:space="preserve">low unresectable or metastatic breast cancer </w:t>
    </w:r>
  </w:p>
  <w:p w14:paraId="56B57518" w14:textId="77777777" w:rsidR="00C57194" w:rsidRPr="00377E95" w:rsidRDefault="00C57194">
    <w:pPr>
      <w:pStyle w:val="Footer"/>
    </w:pPr>
    <w:r>
      <w:t>© Daiichi Sankyo (2022). All rights reserved.</w:t>
    </w:r>
    <w:r w:rsidRPr="00377E95">
      <w:ptab w:relativeTo="margin" w:alignment="right" w:leader="none"/>
    </w:r>
    <w:r w:rsidRPr="00377E95">
      <w:rPr>
        <w:rStyle w:val="PageNumber"/>
        <w:sz w:val="22"/>
      </w:rPr>
      <w:t xml:space="preserve">Page </w:t>
    </w:r>
    <w:r w:rsidRPr="00377E95">
      <w:rPr>
        <w:rStyle w:val="PageNumber"/>
        <w:sz w:val="22"/>
      </w:rPr>
      <w:fldChar w:fldCharType="begin"/>
    </w:r>
    <w:r w:rsidRPr="00377E95">
      <w:rPr>
        <w:rStyle w:val="PageNumber"/>
        <w:sz w:val="22"/>
      </w:rPr>
      <w:instrText xml:space="preserve"> PAGE </w:instrText>
    </w:r>
    <w:r w:rsidRPr="00377E95">
      <w:rPr>
        <w:rStyle w:val="PageNumber"/>
        <w:sz w:val="22"/>
      </w:rPr>
      <w:fldChar w:fldCharType="separate"/>
    </w:r>
    <w:r w:rsidRPr="00377E95">
      <w:rPr>
        <w:rStyle w:val="PageNumber"/>
        <w:sz w:val="22"/>
      </w:rPr>
      <w:t>1</w:t>
    </w:r>
    <w:r w:rsidRPr="00377E95">
      <w:rPr>
        <w:rStyle w:val="PageNumber"/>
        <w:sz w:val="22"/>
      </w:rPr>
      <w:fldChar w:fldCharType="end"/>
    </w:r>
    <w:r w:rsidRPr="00377E95">
      <w:rPr>
        <w:rStyle w:val="PageNumber"/>
        <w:sz w:val="22"/>
      </w:rPr>
      <w:t xml:space="preserve"> of </w:t>
    </w:r>
    <w:r w:rsidRPr="00377E95">
      <w:rPr>
        <w:rStyle w:val="PageNumber"/>
        <w:sz w:val="22"/>
      </w:rPr>
      <w:fldChar w:fldCharType="begin"/>
    </w:r>
    <w:r w:rsidRPr="00377E95">
      <w:rPr>
        <w:rStyle w:val="PageNumber"/>
        <w:sz w:val="22"/>
      </w:rPr>
      <w:instrText xml:space="preserve"> NUMPAGES </w:instrText>
    </w:r>
    <w:r w:rsidRPr="00377E95">
      <w:rPr>
        <w:rStyle w:val="PageNumber"/>
        <w:sz w:val="22"/>
      </w:rPr>
      <w:fldChar w:fldCharType="separate"/>
    </w:r>
    <w:r w:rsidRPr="00377E95">
      <w:rPr>
        <w:rStyle w:val="PageNumber"/>
        <w:sz w:val="22"/>
      </w:rPr>
      <w:t>18</w:t>
    </w:r>
    <w:r w:rsidRPr="00377E95">
      <w:rPr>
        <w:rStyle w:val="PageNumber"/>
        <w:sz w:val="22"/>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C412A5" w14:textId="77777777" w:rsidR="00036EA7" w:rsidRDefault="00036EA7" w:rsidP="00A257BB">
    <w:pPr>
      <w:pStyle w:val="Footer"/>
      <w:spacing w:after="60"/>
    </w:pPr>
    <w:r>
      <w:t xml:space="preserve">Company evidence submission for </w:t>
    </w:r>
    <w:r w:rsidRPr="00FD2A30">
      <w:t>trastuzumab deruxtecan for treating HER2</w:t>
    </w:r>
    <w:r w:rsidRPr="00FD2A30">
      <w:noBreakHyphen/>
      <w:t xml:space="preserve">low unresectable or metastatic breast cancer </w:t>
    </w:r>
  </w:p>
  <w:p w14:paraId="770C1310" w14:textId="77777777" w:rsidR="00036EA7" w:rsidRPr="00377E95" w:rsidRDefault="00036EA7">
    <w:pPr>
      <w:pStyle w:val="Footer"/>
    </w:pPr>
    <w:r>
      <w:t>© Daiichi Sankyo (2022). All rights reserved.</w:t>
    </w:r>
    <w:r w:rsidRPr="00377E95">
      <w:ptab w:relativeTo="margin" w:alignment="right" w:leader="none"/>
    </w:r>
    <w:r w:rsidRPr="00377E95">
      <w:rPr>
        <w:rStyle w:val="PageNumber"/>
        <w:sz w:val="22"/>
      </w:rPr>
      <w:t xml:space="preserve">Page </w:t>
    </w:r>
    <w:r w:rsidRPr="00377E95">
      <w:rPr>
        <w:rStyle w:val="PageNumber"/>
        <w:sz w:val="22"/>
      </w:rPr>
      <w:fldChar w:fldCharType="begin"/>
    </w:r>
    <w:r w:rsidRPr="00377E95">
      <w:rPr>
        <w:rStyle w:val="PageNumber"/>
        <w:sz w:val="22"/>
      </w:rPr>
      <w:instrText xml:space="preserve"> PAGE </w:instrText>
    </w:r>
    <w:r w:rsidRPr="00377E95">
      <w:rPr>
        <w:rStyle w:val="PageNumber"/>
        <w:sz w:val="22"/>
      </w:rPr>
      <w:fldChar w:fldCharType="separate"/>
    </w:r>
    <w:r w:rsidRPr="00377E95">
      <w:rPr>
        <w:rStyle w:val="PageNumber"/>
        <w:sz w:val="22"/>
      </w:rPr>
      <w:t>1</w:t>
    </w:r>
    <w:r w:rsidRPr="00377E95">
      <w:rPr>
        <w:rStyle w:val="PageNumber"/>
        <w:sz w:val="22"/>
      </w:rPr>
      <w:fldChar w:fldCharType="end"/>
    </w:r>
    <w:r w:rsidRPr="00377E95">
      <w:rPr>
        <w:rStyle w:val="PageNumber"/>
        <w:sz w:val="22"/>
      </w:rPr>
      <w:t xml:space="preserve"> of </w:t>
    </w:r>
    <w:r w:rsidRPr="00377E95">
      <w:rPr>
        <w:rStyle w:val="PageNumber"/>
        <w:sz w:val="22"/>
      </w:rPr>
      <w:fldChar w:fldCharType="begin"/>
    </w:r>
    <w:r w:rsidRPr="00377E95">
      <w:rPr>
        <w:rStyle w:val="PageNumber"/>
        <w:sz w:val="22"/>
      </w:rPr>
      <w:instrText xml:space="preserve"> NUMPAGES </w:instrText>
    </w:r>
    <w:r w:rsidRPr="00377E95">
      <w:rPr>
        <w:rStyle w:val="PageNumber"/>
        <w:sz w:val="22"/>
      </w:rPr>
      <w:fldChar w:fldCharType="separate"/>
    </w:r>
    <w:r w:rsidRPr="00377E95">
      <w:rPr>
        <w:rStyle w:val="PageNumber"/>
        <w:sz w:val="22"/>
      </w:rPr>
      <w:t>18</w:t>
    </w:r>
    <w:r w:rsidRPr="00377E95">
      <w:rPr>
        <w:rStyle w:val="PageNumber"/>
        <w:sz w:val="22"/>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53B443" w14:textId="77777777" w:rsidR="00EC2472" w:rsidRDefault="00EC2472">
    <w:pPr>
      <w:pStyle w:val="Footer"/>
    </w:pPr>
    <w:r>
      <w:t xml:space="preserve">Company evidence submission for </w:t>
    </w:r>
    <w:r w:rsidRPr="00FD2A30">
      <w:t>trastuzumab deruxtecan for treating HER2</w:t>
    </w:r>
    <w:r w:rsidRPr="00FD2A30">
      <w:noBreakHyphen/>
      <w:t xml:space="preserve">low unresectable or metastatic breast cancer </w:t>
    </w:r>
  </w:p>
  <w:p w14:paraId="73373CC9" w14:textId="77777777" w:rsidR="00EC2472" w:rsidRDefault="00EC2472">
    <w:pPr>
      <w:pStyle w:val="Footer"/>
    </w:pPr>
    <w:r>
      <w:t>© Daiichi Sankyo (2022). All rights reserved.</w:t>
    </w:r>
    <w:r w:rsidRPr="00377E95">
      <w:ptab w:relativeTo="margin" w:alignment="right" w:leader="none"/>
    </w:r>
    <w:r w:rsidRPr="00377E95">
      <w:rPr>
        <w:rStyle w:val="PageNumber"/>
        <w:sz w:val="22"/>
      </w:rPr>
      <w:t xml:space="preserve">Page </w:t>
    </w:r>
    <w:r w:rsidRPr="00377E95">
      <w:rPr>
        <w:rStyle w:val="PageNumber"/>
        <w:sz w:val="22"/>
      </w:rPr>
      <w:fldChar w:fldCharType="begin"/>
    </w:r>
    <w:r w:rsidRPr="00377E95">
      <w:rPr>
        <w:rStyle w:val="PageNumber"/>
        <w:sz w:val="22"/>
      </w:rPr>
      <w:instrText xml:space="preserve"> PAGE </w:instrText>
    </w:r>
    <w:r w:rsidRPr="00377E95">
      <w:rPr>
        <w:rStyle w:val="PageNumber"/>
        <w:sz w:val="22"/>
      </w:rPr>
      <w:fldChar w:fldCharType="separate"/>
    </w:r>
    <w:r w:rsidRPr="00377E95">
      <w:rPr>
        <w:rStyle w:val="PageNumber"/>
        <w:sz w:val="22"/>
      </w:rPr>
      <w:t>1</w:t>
    </w:r>
    <w:r w:rsidRPr="00377E95">
      <w:rPr>
        <w:rStyle w:val="PageNumber"/>
        <w:sz w:val="22"/>
      </w:rPr>
      <w:fldChar w:fldCharType="end"/>
    </w:r>
    <w:r w:rsidRPr="00377E95">
      <w:rPr>
        <w:rStyle w:val="PageNumber"/>
        <w:sz w:val="22"/>
      </w:rPr>
      <w:t xml:space="preserve"> of </w:t>
    </w:r>
    <w:r w:rsidRPr="00377E95">
      <w:rPr>
        <w:rStyle w:val="PageNumber"/>
        <w:sz w:val="22"/>
      </w:rPr>
      <w:fldChar w:fldCharType="begin"/>
    </w:r>
    <w:r w:rsidRPr="00377E95">
      <w:rPr>
        <w:rStyle w:val="PageNumber"/>
        <w:sz w:val="22"/>
      </w:rPr>
      <w:instrText xml:space="preserve"> NUMPAGES </w:instrText>
    </w:r>
    <w:r w:rsidRPr="00377E95">
      <w:rPr>
        <w:rStyle w:val="PageNumber"/>
        <w:sz w:val="22"/>
      </w:rPr>
      <w:fldChar w:fldCharType="separate"/>
    </w:r>
    <w:r w:rsidRPr="00377E95">
      <w:rPr>
        <w:rStyle w:val="PageNumber"/>
        <w:sz w:val="22"/>
      </w:rPr>
      <w:t>18</w:t>
    </w:r>
    <w:r w:rsidRPr="00377E95">
      <w:rPr>
        <w:rStyle w:val="PageNumber"/>
        <w:sz w:val="22"/>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4DB1F2" w14:textId="77777777" w:rsidR="00EC2472" w:rsidRDefault="00EC2472" w:rsidP="00A257BB">
    <w:pPr>
      <w:pStyle w:val="Footer"/>
      <w:spacing w:after="60"/>
    </w:pPr>
    <w:r>
      <w:t xml:space="preserve">Company evidence submission for </w:t>
    </w:r>
    <w:r w:rsidRPr="00FD2A30">
      <w:t>trastuzumab deruxtecan for treating HER2</w:t>
    </w:r>
    <w:r w:rsidRPr="00FD2A30">
      <w:noBreakHyphen/>
      <w:t xml:space="preserve">low unresectable or metastatic breast cancer </w:t>
    </w:r>
  </w:p>
  <w:p w14:paraId="67B0764A" w14:textId="77777777" w:rsidR="00EC2472" w:rsidRDefault="00EC2472">
    <w:pPr>
      <w:pStyle w:val="Footer"/>
    </w:pPr>
    <w:r>
      <w:t>© Daiichi Sankyo (2022). All rights reserved.</w:t>
    </w:r>
    <w:r w:rsidRPr="00377E95">
      <w:ptab w:relativeTo="margin" w:alignment="right" w:leader="none"/>
    </w:r>
    <w:r w:rsidRPr="00377E95">
      <w:rPr>
        <w:rStyle w:val="PageNumber"/>
        <w:sz w:val="22"/>
      </w:rPr>
      <w:t xml:space="preserve">Page </w:t>
    </w:r>
    <w:r w:rsidRPr="00377E95">
      <w:rPr>
        <w:rStyle w:val="PageNumber"/>
        <w:sz w:val="22"/>
      </w:rPr>
      <w:fldChar w:fldCharType="begin"/>
    </w:r>
    <w:r w:rsidRPr="00377E95">
      <w:rPr>
        <w:rStyle w:val="PageNumber"/>
        <w:sz w:val="22"/>
      </w:rPr>
      <w:instrText xml:space="preserve"> PAGE </w:instrText>
    </w:r>
    <w:r w:rsidRPr="00377E95">
      <w:rPr>
        <w:rStyle w:val="PageNumber"/>
        <w:sz w:val="22"/>
      </w:rPr>
      <w:fldChar w:fldCharType="separate"/>
    </w:r>
    <w:r w:rsidRPr="00377E95">
      <w:rPr>
        <w:rStyle w:val="PageNumber"/>
        <w:sz w:val="22"/>
      </w:rPr>
      <w:t>1</w:t>
    </w:r>
    <w:r w:rsidRPr="00377E95">
      <w:rPr>
        <w:rStyle w:val="PageNumber"/>
        <w:sz w:val="22"/>
      </w:rPr>
      <w:fldChar w:fldCharType="end"/>
    </w:r>
    <w:r w:rsidRPr="00377E95">
      <w:rPr>
        <w:rStyle w:val="PageNumber"/>
        <w:sz w:val="22"/>
      </w:rPr>
      <w:t xml:space="preserve"> of </w:t>
    </w:r>
    <w:r w:rsidRPr="00377E95">
      <w:rPr>
        <w:rStyle w:val="PageNumber"/>
        <w:sz w:val="22"/>
      </w:rPr>
      <w:fldChar w:fldCharType="begin"/>
    </w:r>
    <w:r w:rsidRPr="00377E95">
      <w:rPr>
        <w:rStyle w:val="PageNumber"/>
        <w:sz w:val="22"/>
      </w:rPr>
      <w:instrText xml:space="preserve"> NUMPAGES </w:instrText>
    </w:r>
    <w:r w:rsidRPr="00377E95">
      <w:rPr>
        <w:rStyle w:val="PageNumber"/>
        <w:sz w:val="22"/>
      </w:rPr>
      <w:fldChar w:fldCharType="separate"/>
    </w:r>
    <w:r w:rsidRPr="00377E95">
      <w:rPr>
        <w:rStyle w:val="PageNumber"/>
        <w:sz w:val="22"/>
      </w:rPr>
      <w:t>18</w:t>
    </w:r>
    <w:r w:rsidRPr="00377E95">
      <w:rPr>
        <w:rStyle w:val="PageNumber"/>
        <w:sz w:val="22"/>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FBDC7A" w14:textId="77777777" w:rsidR="00EB6A14" w:rsidRDefault="00EB6A14" w:rsidP="003C648C">
    <w:pPr>
      <w:pStyle w:val="Footer"/>
    </w:pPr>
    <w:r>
      <w:t xml:space="preserve">Company evidence submission for </w:t>
    </w:r>
    <w:r w:rsidRPr="00FD2A30">
      <w:t>trastuzumab deruxtecan for treating HER2</w:t>
    </w:r>
    <w:r w:rsidRPr="00FD2A30">
      <w:noBreakHyphen/>
      <w:t xml:space="preserve">low unresectable or metastatic breast cancer </w:t>
    </w:r>
  </w:p>
  <w:p w14:paraId="32144FA4" w14:textId="77777777" w:rsidR="00E0576A" w:rsidRDefault="00EB6A14">
    <w:pPr>
      <w:pStyle w:val="Footer"/>
    </w:pPr>
    <w:r>
      <w:t>© Daiichi Sankyo (2022). All rights reserved.</w:t>
    </w:r>
    <w:r w:rsidRPr="00377E95">
      <w:ptab w:relativeTo="margin" w:alignment="right" w:leader="none"/>
    </w:r>
    <w:r w:rsidRPr="00377E95">
      <w:rPr>
        <w:rStyle w:val="PageNumber"/>
        <w:sz w:val="22"/>
      </w:rPr>
      <w:t xml:space="preserve">Page </w:t>
    </w:r>
    <w:r w:rsidRPr="00377E95">
      <w:rPr>
        <w:rStyle w:val="PageNumber"/>
        <w:sz w:val="22"/>
      </w:rPr>
      <w:fldChar w:fldCharType="begin"/>
    </w:r>
    <w:r w:rsidRPr="00377E95">
      <w:rPr>
        <w:rStyle w:val="PageNumber"/>
        <w:sz w:val="22"/>
      </w:rPr>
      <w:instrText xml:space="preserve"> PAGE </w:instrText>
    </w:r>
    <w:r w:rsidRPr="00377E95">
      <w:rPr>
        <w:rStyle w:val="PageNumber"/>
        <w:sz w:val="22"/>
      </w:rPr>
      <w:fldChar w:fldCharType="separate"/>
    </w:r>
    <w:r w:rsidRPr="00377E95">
      <w:rPr>
        <w:rStyle w:val="PageNumber"/>
        <w:sz w:val="22"/>
      </w:rPr>
      <w:t>1</w:t>
    </w:r>
    <w:r w:rsidRPr="00377E95">
      <w:rPr>
        <w:rStyle w:val="PageNumber"/>
        <w:sz w:val="22"/>
      </w:rPr>
      <w:fldChar w:fldCharType="end"/>
    </w:r>
    <w:r w:rsidRPr="00377E95">
      <w:rPr>
        <w:rStyle w:val="PageNumber"/>
        <w:sz w:val="22"/>
      </w:rPr>
      <w:t xml:space="preserve"> of </w:t>
    </w:r>
    <w:r w:rsidRPr="00377E95">
      <w:rPr>
        <w:rStyle w:val="PageNumber"/>
        <w:sz w:val="22"/>
      </w:rPr>
      <w:fldChar w:fldCharType="begin"/>
    </w:r>
    <w:r w:rsidRPr="00377E95">
      <w:rPr>
        <w:rStyle w:val="PageNumber"/>
        <w:sz w:val="22"/>
      </w:rPr>
      <w:instrText xml:space="preserve"> NUMPAGES </w:instrText>
    </w:r>
    <w:r w:rsidRPr="00377E95">
      <w:rPr>
        <w:rStyle w:val="PageNumber"/>
        <w:sz w:val="22"/>
      </w:rPr>
      <w:fldChar w:fldCharType="separate"/>
    </w:r>
    <w:r w:rsidRPr="00377E95">
      <w:rPr>
        <w:rStyle w:val="PageNumber"/>
        <w:sz w:val="22"/>
      </w:rPr>
      <w:t>18</w:t>
    </w:r>
    <w:r w:rsidRPr="00377E95">
      <w:rPr>
        <w:rStyle w:val="PageNumber"/>
        <w:sz w:val="22"/>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C802A7" w14:textId="77777777" w:rsidR="00EB6A14" w:rsidRDefault="00EB6A14" w:rsidP="00A257BB">
    <w:pPr>
      <w:pStyle w:val="Footer"/>
      <w:spacing w:after="60"/>
    </w:pPr>
    <w:r>
      <w:t xml:space="preserve">Company evidence submission for </w:t>
    </w:r>
    <w:r w:rsidRPr="00FD2A30">
      <w:t>trastuzumab deruxtecan for treating HER2</w:t>
    </w:r>
    <w:r w:rsidRPr="00FD2A30">
      <w:noBreakHyphen/>
      <w:t xml:space="preserve">low unresectable or metastatic breast cancer </w:t>
    </w:r>
  </w:p>
  <w:p w14:paraId="0C19FA8F" w14:textId="77777777" w:rsidR="00E0576A" w:rsidRDefault="00EB6A14">
    <w:pPr>
      <w:pStyle w:val="Footer"/>
    </w:pPr>
    <w:r>
      <w:t>© Daiichi Sankyo (2022). All rights reserved.</w:t>
    </w:r>
    <w:r w:rsidRPr="00377E95">
      <w:ptab w:relativeTo="margin" w:alignment="right" w:leader="none"/>
    </w:r>
    <w:r w:rsidRPr="00377E95">
      <w:rPr>
        <w:rStyle w:val="PageNumber"/>
        <w:sz w:val="22"/>
      </w:rPr>
      <w:t xml:space="preserve">Page </w:t>
    </w:r>
    <w:r w:rsidRPr="00377E95">
      <w:rPr>
        <w:rStyle w:val="PageNumber"/>
        <w:sz w:val="22"/>
      </w:rPr>
      <w:fldChar w:fldCharType="begin"/>
    </w:r>
    <w:r w:rsidRPr="00377E95">
      <w:rPr>
        <w:rStyle w:val="PageNumber"/>
        <w:sz w:val="22"/>
      </w:rPr>
      <w:instrText xml:space="preserve"> PAGE </w:instrText>
    </w:r>
    <w:r w:rsidRPr="00377E95">
      <w:rPr>
        <w:rStyle w:val="PageNumber"/>
        <w:sz w:val="22"/>
      </w:rPr>
      <w:fldChar w:fldCharType="separate"/>
    </w:r>
    <w:r w:rsidRPr="00377E95">
      <w:rPr>
        <w:rStyle w:val="PageNumber"/>
        <w:sz w:val="22"/>
      </w:rPr>
      <w:t>1</w:t>
    </w:r>
    <w:r w:rsidRPr="00377E95">
      <w:rPr>
        <w:rStyle w:val="PageNumber"/>
        <w:sz w:val="22"/>
      </w:rPr>
      <w:fldChar w:fldCharType="end"/>
    </w:r>
    <w:r w:rsidRPr="00377E95">
      <w:rPr>
        <w:rStyle w:val="PageNumber"/>
        <w:sz w:val="22"/>
      </w:rPr>
      <w:t xml:space="preserve"> of </w:t>
    </w:r>
    <w:r w:rsidRPr="00377E95">
      <w:rPr>
        <w:rStyle w:val="PageNumber"/>
        <w:sz w:val="22"/>
      </w:rPr>
      <w:fldChar w:fldCharType="begin"/>
    </w:r>
    <w:r w:rsidRPr="00377E95">
      <w:rPr>
        <w:rStyle w:val="PageNumber"/>
        <w:sz w:val="22"/>
      </w:rPr>
      <w:instrText xml:space="preserve"> NUMPAGES </w:instrText>
    </w:r>
    <w:r w:rsidRPr="00377E95">
      <w:rPr>
        <w:rStyle w:val="PageNumber"/>
        <w:sz w:val="22"/>
      </w:rPr>
      <w:fldChar w:fldCharType="separate"/>
    </w:r>
    <w:r w:rsidRPr="00377E95">
      <w:rPr>
        <w:rStyle w:val="PageNumber"/>
        <w:sz w:val="22"/>
      </w:rPr>
      <w:t>18</w:t>
    </w:r>
    <w:r w:rsidRPr="00377E95">
      <w:rPr>
        <w:rStyle w:val="PageNumber"/>
        <w:sz w:val="22"/>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8CBDF5" w14:textId="77777777" w:rsidR="00DF77A8" w:rsidRDefault="00DF77A8" w:rsidP="00A257BB">
    <w:pPr>
      <w:pStyle w:val="Footer"/>
      <w:spacing w:after="60"/>
    </w:pPr>
    <w:r>
      <w:t xml:space="preserve">Company evidence submission for </w:t>
    </w:r>
    <w:r w:rsidRPr="00FD2A30">
      <w:t>trastuzumab deruxtecan for treating HER2</w:t>
    </w:r>
    <w:r w:rsidRPr="00FD2A30">
      <w:noBreakHyphen/>
      <w:t xml:space="preserve">low unresectable or metastatic breast cancer </w:t>
    </w:r>
  </w:p>
  <w:p w14:paraId="0B60191A" w14:textId="77777777" w:rsidR="00DF77A8" w:rsidRPr="00377E95" w:rsidRDefault="00DF77A8">
    <w:pPr>
      <w:pStyle w:val="Footer"/>
    </w:pPr>
    <w:r>
      <w:t>© Daiichi Sankyo (2022). All rights reserved.</w:t>
    </w:r>
    <w:r w:rsidRPr="00377E95">
      <w:ptab w:relativeTo="margin" w:alignment="right" w:leader="none"/>
    </w:r>
    <w:r w:rsidRPr="00377E95">
      <w:rPr>
        <w:rStyle w:val="PageNumber"/>
        <w:sz w:val="22"/>
      </w:rPr>
      <w:t xml:space="preserve">Page </w:t>
    </w:r>
    <w:r w:rsidRPr="00377E95">
      <w:rPr>
        <w:rStyle w:val="PageNumber"/>
        <w:sz w:val="22"/>
      </w:rPr>
      <w:fldChar w:fldCharType="begin"/>
    </w:r>
    <w:r w:rsidRPr="00377E95">
      <w:rPr>
        <w:rStyle w:val="PageNumber"/>
        <w:sz w:val="22"/>
      </w:rPr>
      <w:instrText xml:space="preserve"> PAGE </w:instrText>
    </w:r>
    <w:r w:rsidRPr="00377E95">
      <w:rPr>
        <w:rStyle w:val="PageNumber"/>
        <w:sz w:val="22"/>
      </w:rPr>
      <w:fldChar w:fldCharType="separate"/>
    </w:r>
    <w:r w:rsidRPr="00377E95">
      <w:rPr>
        <w:rStyle w:val="PageNumber"/>
        <w:sz w:val="22"/>
      </w:rPr>
      <w:t>1</w:t>
    </w:r>
    <w:r w:rsidRPr="00377E95">
      <w:rPr>
        <w:rStyle w:val="PageNumber"/>
        <w:sz w:val="22"/>
      </w:rPr>
      <w:fldChar w:fldCharType="end"/>
    </w:r>
    <w:r w:rsidRPr="00377E95">
      <w:rPr>
        <w:rStyle w:val="PageNumber"/>
        <w:sz w:val="22"/>
      </w:rPr>
      <w:t xml:space="preserve"> of </w:t>
    </w:r>
    <w:r w:rsidRPr="00377E95">
      <w:rPr>
        <w:rStyle w:val="PageNumber"/>
        <w:sz w:val="22"/>
      </w:rPr>
      <w:fldChar w:fldCharType="begin"/>
    </w:r>
    <w:r w:rsidRPr="00377E95">
      <w:rPr>
        <w:rStyle w:val="PageNumber"/>
        <w:sz w:val="22"/>
      </w:rPr>
      <w:instrText xml:space="preserve"> NUMPAGES </w:instrText>
    </w:r>
    <w:r w:rsidRPr="00377E95">
      <w:rPr>
        <w:rStyle w:val="PageNumber"/>
        <w:sz w:val="22"/>
      </w:rPr>
      <w:fldChar w:fldCharType="separate"/>
    </w:r>
    <w:r w:rsidRPr="00377E95">
      <w:rPr>
        <w:rStyle w:val="PageNumber"/>
        <w:sz w:val="22"/>
      </w:rPr>
      <w:t>18</w:t>
    </w:r>
    <w:r w:rsidRPr="00377E95">
      <w:rPr>
        <w:rStyle w:val="PageNumber"/>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37A30E" w14:textId="77777777" w:rsidR="00177D8E" w:rsidRDefault="00177D8E" w:rsidP="00F01BAF">
      <w:pPr>
        <w:spacing w:after="0" w:line="240" w:lineRule="auto"/>
      </w:pPr>
      <w:r>
        <w:separator/>
      </w:r>
    </w:p>
  </w:footnote>
  <w:footnote w:type="continuationSeparator" w:id="0">
    <w:p w14:paraId="7A34ECF2" w14:textId="77777777" w:rsidR="00177D8E" w:rsidRDefault="00177D8E" w:rsidP="00F01BAF">
      <w:pPr>
        <w:spacing w:after="0" w:line="240" w:lineRule="auto"/>
      </w:pPr>
      <w:r>
        <w:continuationSeparator/>
      </w:r>
    </w:p>
    <w:p w14:paraId="5B72F361" w14:textId="77777777" w:rsidR="00177D8E" w:rsidRDefault="00177D8E"/>
  </w:footnote>
  <w:footnote w:type="continuationNotice" w:id="1">
    <w:p w14:paraId="7BD858E2" w14:textId="77777777" w:rsidR="00177D8E" w:rsidRDefault="00177D8E">
      <w:pPr>
        <w:spacing w:after="0" w:line="240" w:lineRule="auto"/>
      </w:pPr>
    </w:p>
  </w:footnote>
  <w:footnote w:id="2">
    <w:p w14:paraId="24137243" w14:textId="2CD0CA45" w:rsidR="00BC31E9" w:rsidRDefault="00BC31E9" w:rsidP="00B609F3">
      <w:pPr>
        <w:pStyle w:val="FootnoteText"/>
        <w:spacing w:after="0"/>
        <w:contextualSpacing/>
      </w:pPr>
      <w:r w:rsidRPr="002612F7">
        <w:rPr>
          <w:rStyle w:val="FootnoteReference"/>
        </w:rPr>
        <w:footnoteRef/>
      </w:r>
      <w:r>
        <w:t xml:space="preserve"> Functional Assessment of Cancer Therapy – Breast </w:t>
      </w:r>
    </w:p>
  </w:footnote>
  <w:footnote w:id="3">
    <w:p w14:paraId="619D18C3" w14:textId="533D02C4" w:rsidR="00661253" w:rsidRDefault="00BC31E9" w:rsidP="00B609F3">
      <w:pPr>
        <w:pStyle w:val="FootnoteText"/>
        <w:spacing w:after="0"/>
        <w:contextualSpacing/>
      </w:pPr>
      <w:r w:rsidRPr="002612F7">
        <w:rPr>
          <w:rStyle w:val="FootnoteReference"/>
        </w:rPr>
        <w:footnoteRef/>
      </w:r>
      <w:r>
        <w:t xml:space="preserve"> </w:t>
      </w:r>
      <w:r w:rsidR="00661253">
        <w:t>Functional Assessment of Cancer Therapy – General</w:t>
      </w:r>
    </w:p>
  </w:footnote>
  <w:footnote w:id="4">
    <w:p w14:paraId="45E0B8AE" w14:textId="615BFD04" w:rsidR="00661253" w:rsidRDefault="00661253" w:rsidP="00B609F3">
      <w:pPr>
        <w:pStyle w:val="FootnoteText"/>
        <w:spacing w:after="0"/>
        <w:contextualSpacing/>
      </w:pPr>
      <w:r w:rsidRPr="002612F7">
        <w:rPr>
          <w:rStyle w:val="FootnoteReference"/>
        </w:rPr>
        <w:footnoteRef/>
      </w:r>
      <w:r>
        <w:t xml:space="preserve"> EuroQol-5 Dimensions-5 Level </w:t>
      </w:r>
    </w:p>
  </w:footnote>
  <w:footnote w:id="5">
    <w:p w14:paraId="166ED511" w14:textId="4689F9AB" w:rsidR="00661253" w:rsidRDefault="00661253" w:rsidP="00B609F3">
      <w:pPr>
        <w:pStyle w:val="FootnoteText"/>
        <w:spacing w:after="0"/>
        <w:contextualSpacing/>
      </w:pPr>
      <w:r w:rsidRPr="002612F7">
        <w:rPr>
          <w:rStyle w:val="FootnoteReference"/>
        </w:rPr>
        <w:footnoteRef/>
      </w:r>
      <w:r>
        <w:t xml:space="preserve"> </w:t>
      </w:r>
      <w:r w:rsidR="00B2787D">
        <w:t xml:space="preserve">Work Productivity and Activity Impairment </w:t>
      </w:r>
    </w:p>
  </w:footnote>
  <w:footnote w:id="6">
    <w:p w14:paraId="618AEC8B" w14:textId="77777777" w:rsidR="00C46F01" w:rsidRDefault="00C46F01" w:rsidP="00B609F3">
      <w:pPr>
        <w:pStyle w:val="FootnoteText"/>
        <w:spacing w:after="0"/>
        <w:contextualSpacing/>
      </w:pPr>
      <w:r w:rsidRPr="002612F7">
        <w:rPr>
          <w:rStyle w:val="FootnoteReference"/>
        </w:rPr>
        <w:footnoteRef/>
      </w:r>
      <w:r>
        <w:t xml:space="preserve"> Defined as </w:t>
      </w:r>
      <w:r w:rsidRPr="003E002E">
        <w:t>fractures, the need for radiation to the bone to control pain or tumour burden, spinal cord compression, or bone surgery</w:t>
      </w:r>
    </w:p>
  </w:footnote>
  <w:footnote w:id="7">
    <w:p w14:paraId="29A1829D" w14:textId="77777777" w:rsidR="00C46F01" w:rsidRDefault="00C46F01" w:rsidP="00B609F3">
      <w:pPr>
        <w:pStyle w:val="FootnoteText"/>
        <w:spacing w:after="0"/>
        <w:contextualSpacing/>
      </w:pPr>
      <w:r w:rsidRPr="002612F7">
        <w:rPr>
          <w:rStyle w:val="FootnoteReference"/>
        </w:rPr>
        <w:footnoteRef/>
      </w:r>
      <w:r>
        <w:t xml:space="preserve"> A clinically meaningful worsening in pain was a ≥2-point increase from baseline in pain scores according to the </w:t>
      </w:r>
      <w:r w:rsidRPr="001210D2">
        <w:t>Brief Pain Inventory Short Form (BPI-SF)</w:t>
      </w:r>
      <w:r>
        <w:t>.</w:t>
      </w:r>
    </w:p>
  </w:footnote>
  <w:footnote w:id="8">
    <w:p w14:paraId="0A7680C8" w14:textId="558D8361" w:rsidR="001F3665" w:rsidRDefault="001F3665" w:rsidP="001F3665">
      <w:pPr>
        <w:pStyle w:val="FootnoteText"/>
      </w:pPr>
      <w:r w:rsidRPr="002612F7">
        <w:rPr>
          <w:rStyle w:val="FootnoteReference"/>
        </w:rPr>
        <w:footnoteRef/>
      </w:r>
      <w:r>
        <w:t xml:space="preserve"> Unlike</w:t>
      </w:r>
      <w:r w:rsidRPr="00D30D35">
        <w:t xml:space="preserve"> BC generally, </w:t>
      </w:r>
      <w:r w:rsidR="0005190D">
        <w:t>HER2-positive</w:t>
      </w:r>
      <w:r w:rsidRPr="00D30D35">
        <w:t xml:space="preserve"> BC is more common in younger women</w:t>
      </w:r>
      <w:r>
        <w:t xml:space="preserve"> (defined as those aged &lt;56 years) than older women (defined as those aged ≥56 years).</w:t>
      </w:r>
      <w:r w:rsidR="00E20057">
        <w:t xml:space="preserve"> </w:t>
      </w:r>
    </w:p>
  </w:footnote>
  <w:footnote w:id="9">
    <w:p w14:paraId="41FA10AF" w14:textId="77777777" w:rsidR="00057A9B" w:rsidRDefault="00057A9B" w:rsidP="00057A9B">
      <w:pPr>
        <w:pStyle w:val="FootnoteText"/>
      </w:pPr>
      <w:r w:rsidRPr="002612F7">
        <w:rPr>
          <w:rStyle w:val="FootnoteReference"/>
        </w:rPr>
        <w:footnoteRef/>
      </w:r>
      <w:r>
        <w:t xml:space="preserve"> As the TPC agent was declared for each patient prior to randomisation, it was possible to exclude patients that would’ve been assigned to second-line eribulin from both arms. </w:t>
      </w:r>
    </w:p>
  </w:footnote>
  <w:footnote w:id="10">
    <w:p w14:paraId="0BC47F7A" w14:textId="77777777" w:rsidR="000B148D" w:rsidRPr="00C16730" w:rsidRDefault="000B148D" w:rsidP="000B148D">
      <w:pPr>
        <w:pStyle w:val="FootnoteText"/>
      </w:pPr>
      <w:r w:rsidRPr="002612F7">
        <w:rPr>
          <w:rStyle w:val="FootnoteReference"/>
        </w:rPr>
        <w:footnoteRef/>
      </w:r>
      <w:r w:rsidRPr="009546A9">
        <w:rPr>
          <w:color w:val="0070C0"/>
        </w:rPr>
        <w:t xml:space="preserve"> </w:t>
      </w:r>
      <w:r w:rsidRPr="00C16730">
        <w:t>If recurrence occurred within 6 months of (neo)adjuvant chemotherapy, (neo)adjuvant therapy was counted as 1 line of chemotherapy in the advanced disease setting. Patients with 0 and 3 prior lines of chemotherapy represent protocol deviations.</w:t>
      </w:r>
    </w:p>
  </w:footnote>
  <w:footnote w:id="11">
    <w:p w14:paraId="0C5B30A2" w14:textId="77777777" w:rsidR="000B148D" w:rsidRDefault="000B148D" w:rsidP="000B148D">
      <w:pPr>
        <w:pStyle w:val="FootnoteText"/>
      </w:pPr>
      <w:r w:rsidRPr="002612F7">
        <w:rPr>
          <w:rStyle w:val="FootnoteReference"/>
        </w:rPr>
        <w:footnoteRef/>
      </w:r>
      <w:r>
        <w:t xml:space="preserve"> </w:t>
      </w:r>
      <w:r w:rsidRPr="00054570">
        <w:t>One subject in the T-DXd arm who had a confirmed best overall response of complete or partial response had a baseline scan done after randomisation but before the first dose and thus was considered a non-responder in the calculation of confirmed ORR</w:t>
      </w:r>
    </w:p>
  </w:footnote>
  <w:footnote w:id="12">
    <w:p w14:paraId="21656B01" w14:textId="77777777" w:rsidR="000B148D" w:rsidRPr="00011BE1" w:rsidRDefault="000B148D" w:rsidP="000B148D">
      <w:pPr>
        <w:pStyle w:val="FootnoteText"/>
        <w:spacing w:after="0"/>
        <w:rPr>
          <w:sz w:val="14"/>
          <w:szCs w:val="18"/>
          <w:u w:val="single"/>
        </w:rPr>
      </w:pPr>
      <w:r w:rsidRPr="002612F7">
        <w:rPr>
          <w:rStyle w:val="FootnoteReference"/>
        </w:rPr>
        <w:footnoteRef/>
      </w:r>
      <w:r w:rsidRPr="00011BE1">
        <w:t xml:space="preserve"> </w:t>
      </w:r>
      <w:r>
        <w:t>The s</w:t>
      </w:r>
      <w:r w:rsidRPr="00011BE1">
        <w:t>tarting dose w</w:t>
      </w:r>
      <w:r>
        <w:t>as</w:t>
      </w:r>
      <w:r w:rsidRPr="00011BE1">
        <w:t xml:space="preserve"> 5.4 mg/kg for T</w:t>
      </w:r>
      <w:r w:rsidRPr="00011BE1">
        <w:noBreakHyphen/>
        <w:t>DXd. Two dose reductions were permitted for each treatment arm in the event of toxicity, with withdrawal from study drug if toxicity continued after two dose reductions. Increases in study drug were not permitted.</w:t>
      </w:r>
    </w:p>
  </w:footnote>
  <w:footnote w:id="13">
    <w:p w14:paraId="4AC6C906" w14:textId="77777777" w:rsidR="000B148D" w:rsidRPr="004B1AF9" w:rsidRDefault="000B148D" w:rsidP="000B148D">
      <w:pPr>
        <w:pStyle w:val="FootnoteText"/>
        <w:spacing w:after="0"/>
        <w:rPr>
          <w:szCs w:val="16"/>
        </w:rPr>
      </w:pPr>
      <w:r w:rsidRPr="002612F7">
        <w:rPr>
          <w:rStyle w:val="FootnoteReference"/>
        </w:rPr>
        <w:footnoteRef/>
      </w:r>
      <w:r w:rsidRPr="00011BE1">
        <w:t xml:space="preserve"> </w:t>
      </w:r>
      <w:r>
        <w:rPr>
          <w:szCs w:val="16"/>
        </w:rPr>
        <w:t>RDI for T-DXd was calculated using an a</w:t>
      </w:r>
      <w:r w:rsidRPr="0050702F">
        <w:rPr>
          <w:szCs w:val="16"/>
        </w:rPr>
        <w:t xml:space="preserve">mended </w:t>
      </w:r>
      <w:r>
        <w:rPr>
          <w:szCs w:val="16"/>
        </w:rPr>
        <w:t>methodology to that stated in the CSR: RDI</w:t>
      </w:r>
      <w:r w:rsidRPr="0050702F">
        <w:rPr>
          <w:szCs w:val="16"/>
        </w:rPr>
        <w:t xml:space="preserve"> (%) = Dose Intensity/Planned Dose Intensity</w:t>
      </w:r>
      <w:r>
        <w:rPr>
          <w:szCs w:val="16"/>
        </w:rPr>
        <w:t xml:space="preserve"> </w:t>
      </w:r>
      <w:r w:rsidRPr="00054570">
        <w:rPr>
          <w:rFonts w:cs="Arial"/>
          <w:sz w:val="18"/>
          <w:szCs w:val="18"/>
        </w:rPr>
        <w:t>×</w:t>
      </w:r>
      <w:r>
        <w:rPr>
          <w:rFonts w:cs="Arial"/>
          <w:sz w:val="18"/>
          <w:szCs w:val="18"/>
        </w:rPr>
        <w:t xml:space="preserve"> </w:t>
      </w:r>
      <w:r w:rsidRPr="0050702F">
        <w:rPr>
          <w:szCs w:val="16"/>
        </w:rPr>
        <w:t xml:space="preserve">100, where Planned Dose Intensity for T-DXd = 5.4 mg/kg / Duration of exposure (day) </w:t>
      </w:r>
      <w:r w:rsidRPr="00054570">
        <w:rPr>
          <w:rFonts w:cs="Arial"/>
          <w:sz w:val="18"/>
          <w:szCs w:val="18"/>
        </w:rPr>
        <w:t>×</w:t>
      </w:r>
      <w:r w:rsidRPr="0050702F">
        <w:rPr>
          <w:szCs w:val="16"/>
        </w:rPr>
        <w:t xml:space="preserve"> cycle length in days </w:t>
      </w:r>
      <w:r w:rsidRPr="00054570">
        <w:rPr>
          <w:rFonts w:cs="Arial"/>
          <w:sz w:val="18"/>
          <w:szCs w:val="18"/>
        </w:rPr>
        <w:t>×</w:t>
      </w:r>
      <w:r w:rsidRPr="0050702F">
        <w:rPr>
          <w:szCs w:val="16"/>
        </w:rPr>
        <w:t xml:space="preserve"> expected number of cycles, where cycle length is 21 days for T-DXd and number of cycles expected is based on the duration of treatment exposure</w:t>
      </w:r>
      <w:r w:rsidRPr="00011BE1">
        <w:t xml:space="preserve">. </w:t>
      </w:r>
    </w:p>
  </w:footnote>
  <w:footnote w:id="14">
    <w:p w14:paraId="471AC5D8" w14:textId="77777777" w:rsidR="000B148D" w:rsidRPr="007F6002" w:rsidRDefault="000B148D" w:rsidP="000B148D">
      <w:pPr>
        <w:pStyle w:val="FootnoteText"/>
        <w:rPr>
          <w:szCs w:val="16"/>
        </w:rPr>
      </w:pPr>
      <w:r w:rsidRPr="002612F7">
        <w:rPr>
          <w:rStyle w:val="FootnoteReference"/>
        </w:rPr>
        <w:footnoteRef/>
      </w:r>
      <w:r>
        <w:t xml:space="preserve"> </w:t>
      </w:r>
      <w:r w:rsidRPr="0025519B">
        <w:rPr>
          <w:szCs w:val="16"/>
        </w:rPr>
        <w:t xml:space="preserve">RDI for TPC was calculated </w:t>
      </w:r>
      <w:r>
        <w:rPr>
          <w:szCs w:val="16"/>
        </w:rPr>
        <w:t>as per the CSR:</w:t>
      </w:r>
      <w:r w:rsidRPr="0025519B">
        <w:rPr>
          <w:szCs w:val="16"/>
        </w:rPr>
        <w:t xml:space="preserve"> </w:t>
      </w:r>
      <w:r>
        <w:t>RDI (%) = dose intensity / planned dose intensity ×100, where planned dose intensity (units/cycle lengths in weeks) = planned cumulative dose (units)/planned duration of exposure (day)/cycle length in day. Due to different cycle durations among the individual TPC treatments, relative dose intensity is not presented for the overall TPC arm.</w:t>
      </w:r>
    </w:p>
  </w:footnote>
  <w:footnote w:id="15">
    <w:p w14:paraId="6924C110" w14:textId="77777777" w:rsidR="000B148D" w:rsidRDefault="000B148D" w:rsidP="000B148D">
      <w:pPr>
        <w:pStyle w:val="FootnoteText"/>
      </w:pPr>
      <w:r w:rsidRPr="002612F7">
        <w:rPr>
          <w:rStyle w:val="FootnoteReference"/>
        </w:rPr>
        <w:footnoteRef/>
      </w:r>
      <w:r>
        <w:t xml:space="preserve"> Two dose reductions were permitted for each treatment arm in the event of toxicity, with withdrawal from study drug if toxicity continued after two dose reductions.</w:t>
      </w:r>
    </w:p>
  </w:footnote>
  <w:footnote w:id="16">
    <w:p w14:paraId="420F7B99" w14:textId="77777777" w:rsidR="000B148D" w:rsidRDefault="000B148D" w:rsidP="000B148D">
      <w:pPr>
        <w:pStyle w:val="FootnoteText"/>
      </w:pPr>
      <w:r w:rsidRPr="002612F7">
        <w:rPr>
          <w:rStyle w:val="FootnoteReference"/>
        </w:rPr>
        <w:footnoteRef/>
      </w:r>
      <w:r w:rsidRPr="001F64B9">
        <w:t xml:space="preserve"> Doses could be interrupted for ≤28 days from the planned date of administration. If a subject was assessed as requiring a dose delay ≥28 days (≥49 days from last infusion date) the subject was permanently discontinued from study treatment and followed for survival.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3477A8" w14:textId="77777777" w:rsidR="00036EA7" w:rsidRDefault="00036E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A18A2E" w14:textId="77777777" w:rsidR="00EC2472" w:rsidRDefault="00EC247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094FC2" w14:textId="77777777" w:rsidR="00EC2472" w:rsidRDefault="00EC247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1CBFA9" w14:textId="77777777" w:rsidR="00E0576A" w:rsidRDefault="00E0576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6032E5" w14:textId="77777777" w:rsidR="00E0576A" w:rsidRDefault="00E057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16D42DD8"/>
    <w:lvl w:ilvl="0">
      <w:start w:val="1"/>
      <w:numFmt w:val="bullet"/>
      <w:pStyle w:val="ListBullet"/>
      <w:lvlText w:val=""/>
      <w:lvlJc w:val="left"/>
      <w:pPr>
        <w:tabs>
          <w:tab w:val="num" w:pos="360"/>
        </w:tabs>
        <w:ind w:left="360" w:hanging="360"/>
      </w:pPr>
      <w:rPr>
        <w:rFonts w:ascii="Segoe UI" w:hAnsi="Segoe UI" w:hint="default"/>
      </w:rPr>
    </w:lvl>
  </w:abstractNum>
  <w:abstractNum w:abstractNumId="1" w15:restartNumberingAfterBreak="0">
    <w:nsid w:val="01054A52"/>
    <w:multiLevelType w:val="hybridMultilevel"/>
    <w:tmpl w:val="CFBAC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3247EA"/>
    <w:multiLevelType w:val="multilevel"/>
    <w:tmpl w:val="A8D6A330"/>
    <w:lvl w:ilvl="0">
      <w:start w:val="1"/>
      <w:numFmt w:val="bullet"/>
      <w:lvlText w:val=""/>
      <w:lvlJc w:val="left"/>
      <w:pPr>
        <w:ind w:left="227" w:hanging="170"/>
      </w:pPr>
      <w:rPr>
        <w:rFonts w:ascii="Symbol" w:hAnsi="Symbol" w:hint="default"/>
      </w:rPr>
    </w:lvl>
    <w:lvl w:ilvl="1">
      <w:start w:val="1"/>
      <w:numFmt w:val="bullet"/>
      <w:lvlText w:val="o"/>
      <w:lvlJc w:val="left"/>
      <w:pPr>
        <w:tabs>
          <w:tab w:val="num" w:pos="397"/>
        </w:tabs>
        <w:ind w:left="397" w:hanging="170"/>
      </w:pPr>
      <w:rPr>
        <w:rFonts w:ascii="Segoe UI Emoji" w:hAnsi="Segoe UI Emoji" w:hint="default"/>
      </w:rPr>
    </w:lvl>
    <w:lvl w:ilvl="2">
      <w:start w:val="1"/>
      <w:numFmt w:val="bullet"/>
      <w:lvlText w:val=""/>
      <w:lvlJc w:val="left"/>
      <w:pPr>
        <w:ind w:left="757" w:hanging="360"/>
      </w:pPr>
      <w:rPr>
        <w:rFonts w:ascii="Wingdings" w:hAnsi="Wingdings" w:hint="default"/>
      </w:rPr>
    </w:lvl>
    <w:lvl w:ilvl="3">
      <w:start w:val="1"/>
      <w:numFmt w:val="bullet"/>
      <w:lvlText w:val=""/>
      <w:lvlJc w:val="left"/>
      <w:pPr>
        <w:tabs>
          <w:tab w:val="num" w:pos="794"/>
        </w:tabs>
        <w:ind w:left="794" w:hanging="170"/>
      </w:pPr>
      <w:rPr>
        <w:rFonts w:ascii="Symbol" w:hAnsi="Symbol" w:hint="default"/>
      </w:rPr>
    </w:lvl>
    <w:lvl w:ilvl="4">
      <w:start w:val="1"/>
      <w:numFmt w:val="bullet"/>
      <w:lvlText w:val="o"/>
      <w:lvlJc w:val="left"/>
      <w:pPr>
        <w:tabs>
          <w:tab w:val="num" w:pos="1361"/>
        </w:tabs>
        <w:ind w:left="1361" w:hanging="227"/>
      </w:pPr>
      <w:rPr>
        <w:rFonts w:ascii="Symbol" w:hAnsi="Symbol" w:hint="default"/>
      </w:rPr>
    </w:lvl>
    <w:lvl w:ilvl="5">
      <w:start w:val="1"/>
      <w:numFmt w:val="bullet"/>
      <w:lvlText w:val=""/>
      <w:lvlJc w:val="left"/>
      <w:pPr>
        <w:tabs>
          <w:tab w:val="num" w:pos="1588"/>
        </w:tabs>
        <w:ind w:left="1588" w:hanging="170"/>
      </w:pPr>
      <w:rPr>
        <w:rFonts w:ascii="TimesNewRoman" w:hAnsi="TimesNewRoman" w:hint="default"/>
      </w:rPr>
    </w:lvl>
    <w:lvl w:ilvl="6">
      <w:start w:val="1"/>
      <w:numFmt w:val="bullet"/>
      <w:lvlText w:val=""/>
      <w:lvlJc w:val="left"/>
      <w:pPr>
        <w:tabs>
          <w:tab w:val="num" w:pos="1871"/>
        </w:tabs>
        <w:ind w:left="1928" w:hanging="284"/>
      </w:pPr>
      <w:rPr>
        <w:rFonts w:ascii="Segoe UI" w:hAnsi="Segoe UI" w:hint="default"/>
      </w:rPr>
    </w:lvl>
    <w:lvl w:ilvl="7">
      <w:start w:val="1"/>
      <w:numFmt w:val="bullet"/>
      <w:lvlText w:val="o"/>
      <w:lvlJc w:val="left"/>
      <w:pPr>
        <w:tabs>
          <w:tab w:val="num" w:pos="2155"/>
        </w:tabs>
        <w:ind w:left="2268" w:hanging="340"/>
      </w:pPr>
      <w:rPr>
        <w:rFonts w:ascii="Segoe UI Emoji" w:hAnsi="Segoe UI Emoji" w:hint="default"/>
      </w:rPr>
    </w:lvl>
    <w:lvl w:ilvl="8">
      <w:start w:val="1"/>
      <w:numFmt w:val="bullet"/>
      <w:lvlText w:val=""/>
      <w:lvlJc w:val="left"/>
      <w:pPr>
        <w:ind w:left="2495" w:hanging="284"/>
      </w:pPr>
      <w:rPr>
        <w:rFonts w:ascii="TimesNewRoman" w:hAnsi="TimesNewRoman" w:hint="default"/>
      </w:rPr>
    </w:lvl>
  </w:abstractNum>
  <w:abstractNum w:abstractNumId="3" w15:restartNumberingAfterBreak="0">
    <w:nsid w:val="03B27A3A"/>
    <w:multiLevelType w:val="multilevel"/>
    <w:tmpl w:val="D4AC8288"/>
    <w:lvl w:ilvl="0">
      <w:start w:val="1"/>
      <w:numFmt w:val="decimal"/>
      <w:pStyle w:val="Heading1"/>
      <w:lvlText w:val="B.%1"/>
      <w:lvlJc w:val="left"/>
      <w:pPr>
        <w:tabs>
          <w:tab w:val="num" w:pos="851"/>
        </w:tabs>
        <w:ind w:left="0" w:firstLine="0"/>
      </w:pPr>
      <w:rPr>
        <w:rFonts w:hint="default"/>
      </w:rPr>
    </w:lvl>
    <w:lvl w:ilvl="1">
      <w:start w:val="1"/>
      <w:numFmt w:val="decimal"/>
      <w:pStyle w:val="Heading2"/>
      <w:lvlText w:val="B.%1.%2"/>
      <w:lvlJc w:val="left"/>
      <w:pPr>
        <w:tabs>
          <w:tab w:val="num" w:pos="1077"/>
        </w:tabs>
        <w:ind w:left="0" w:firstLine="0"/>
      </w:pPr>
      <w:rPr>
        <w:rFonts w:hint="default"/>
      </w:rPr>
    </w:lvl>
    <w:lvl w:ilvl="2">
      <w:start w:val="1"/>
      <w:numFmt w:val="decimal"/>
      <w:pStyle w:val="Heading3"/>
      <w:lvlText w:val="B.%1.%2.%3"/>
      <w:lvlJc w:val="left"/>
      <w:pPr>
        <w:tabs>
          <w:tab w:val="num" w:pos="1134"/>
        </w:tabs>
        <w:ind w:left="0" w:firstLine="0"/>
      </w:pPr>
      <w:rPr>
        <w:rFonts w:hint="default"/>
      </w:rPr>
    </w:lvl>
    <w:lvl w:ilvl="3">
      <w:start w:val="1"/>
      <w:numFmt w:val="decimal"/>
      <w:pStyle w:val="Heading4"/>
      <w:lvlText w:val="B.%1.%2.%3.%4"/>
      <w:lvlJc w:val="left"/>
      <w:pPr>
        <w:tabs>
          <w:tab w:val="num" w:pos="1276"/>
        </w:tabs>
        <w:ind w:left="0" w:firstLine="0"/>
      </w:pPr>
      <w:rPr>
        <w:rFonts w:hint="default"/>
      </w:rPr>
    </w:lvl>
    <w:lvl w:ilvl="4">
      <w:start w:val="1"/>
      <w:numFmt w:val="decimal"/>
      <w:pStyle w:val="Heading5"/>
      <w:lvlText w:val="B.%1.%2.%3.%4.%5"/>
      <w:lvlJc w:val="left"/>
      <w:pPr>
        <w:ind w:left="0" w:firstLine="0"/>
      </w:pPr>
      <w:rPr>
        <w:rFonts w:hint="default"/>
        <w:i/>
        <w:iCs w:val="0"/>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 w15:restartNumberingAfterBreak="0">
    <w:nsid w:val="04821F45"/>
    <w:multiLevelType w:val="multilevel"/>
    <w:tmpl w:val="A8D6A330"/>
    <w:lvl w:ilvl="0">
      <w:start w:val="1"/>
      <w:numFmt w:val="bullet"/>
      <w:lvlText w:val=""/>
      <w:lvlJc w:val="left"/>
      <w:pPr>
        <w:ind w:left="227" w:hanging="170"/>
      </w:pPr>
      <w:rPr>
        <w:rFonts w:ascii="Symbol" w:hAnsi="Symbol" w:hint="default"/>
      </w:rPr>
    </w:lvl>
    <w:lvl w:ilvl="1">
      <w:start w:val="1"/>
      <w:numFmt w:val="bullet"/>
      <w:lvlText w:val="o"/>
      <w:lvlJc w:val="left"/>
      <w:pPr>
        <w:tabs>
          <w:tab w:val="num" w:pos="397"/>
        </w:tabs>
        <w:ind w:left="397" w:hanging="170"/>
      </w:pPr>
      <w:rPr>
        <w:rFonts w:ascii="Segoe UI Emoji" w:hAnsi="Segoe UI Emoji" w:hint="default"/>
      </w:rPr>
    </w:lvl>
    <w:lvl w:ilvl="2">
      <w:start w:val="1"/>
      <w:numFmt w:val="bullet"/>
      <w:lvlText w:val=""/>
      <w:lvlJc w:val="left"/>
      <w:pPr>
        <w:ind w:left="757" w:hanging="360"/>
      </w:pPr>
      <w:rPr>
        <w:rFonts w:ascii="Wingdings" w:hAnsi="Wingdings" w:hint="default"/>
      </w:rPr>
    </w:lvl>
    <w:lvl w:ilvl="3">
      <w:start w:val="1"/>
      <w:numFmt w:val="bullet"/>
      <w:lvlText w:val=""/>
      <w:lvlJc w:val="left"/>
      <w:pPr>
        <w:tabs>
          <w:tab w:val="num" w:pos="794"/>
        </w:tabs>
        <w:ind w:left="794" w:hanging="170"/>
      </w:pPr>
      <w:rPr>
        <w:rFonts w:ascii="Symbol" w:hAnsi="Symbol" w:hint="default"/>
      </w:rPr>
    </w:lvl>
    <w:lvl w:ilvl="4">
      <w:start w:val="1"/>
      <w:numFmt w:val="bullet"/>
      <w:lvlText w:val="o"/>
      <w:lvlJc w:val="left"/>
      <w:pPr>
        <w:tabs>
          <w:tab w:val="num" w:pos="1361"/>
        </w:tabs>
        <w:ind w:left="1361" w:hanging="227"/>
      </w:pPr>
      <w:rPr>
        <w:rFonts w:ascii="Symbol" w:hAnsi="Symbol" w:hint="default"/>
      </w:rPr>
    </w:lvl>
    <w:lvl w:ilvl="5">
      <w:start w:val="1"/>
      <w:numFmt w:val="bullet"/>
      <w:lvlText w:val=""/>
      <w:lvlJc w:val="left"/>
      <w:pPr>
        <w:tabs>
          <w:tab w:val="num" w:pos="1588"/>
        </w:tabs>
        <w:ind w:left="1588" w:hanging="170"/>
      </w:pPr>
      <w:rPr>
        <w:rFonts w:ascii="TimesNewRoman" w:hAnsi="TimesNewRoman" w:hint="default"/>
      </w:rPr>
    </w:lvl>
    <w:lvl w:ilvl="6">
      <w:start w:val="1"/>
      <w:numFmt w:val="bullet"/>
      <w:lvlText w:val=""/>
      <w:lvlJc w:val="left"/>
      <w:pPr>
        <w:tabs>
          <w:tab w:val="num" w:pos="1871"/>
        </w:tabs>
        <w:ind w:left="1928" w:hanging="284"/>
      </w:pPr>
      <w:rPr>
        <w:rFonts w:ascii="Segoe UI" w:hAnsi="Segoe UI" w:hint="default"/>
      </w:rPr>
    </w:lvl>
    <w:lvl w:ilvl="7">
      <w:start w:val="1"/>
      <w:numFmt w:val="bullet"/>
      <w:lvlText w:val="o"/>
      <w:lvlJc w:val="left"/>
      <w:pPr>
        <w:tabs>
          <w:tab w:val="num" w:pos="2155"/>
        </w:tabs>
        <w:ind w:left="2268" w:hanging="340"/>
      </w:pPr>
      <w:rPr>
        <w:rFonts w:ascii="Segoe UI Emoji" w:hAnsi="Segoe UI Emoji" w:hint="default"/>
      </w:rPr>
    </w:lvl>
    <w:lvl w:ilvl="8">
      <w:start w:val="1"/>
      <w:numFmt w:val="bullet"/>
      <w:lvlText w:val=""/>
      <w:lvlJc w:val="left"/>
      <w:pPr>
        <w:ind w:left="2495" w:hanging="284"/>
      </w:pPr>
      <w:rPr>
        <w:rFonts w:ascii="TimesNewRoman" w:hAnsi="TimesNewRoman" w:hint="default"/>
      </w:rPr>
    </w:lvl>
  </w:abstractNum>
  <w:abstractNum w:abstractNumId="5" w15:restartNumberingAfterBreak="0">
    <w:nsid w:val="063543CA"/>
    <w:multiLevelType w:val="hybridMultilevel"/>
    <w:tmpl w:val="9054808C"/>
    <w:styleLink w:val="Tablebulletlist"/>
    <w:lvl w:ilvl="0" w:tplc="775EBA9A">
      <w:start w:val="1"/>
      <w:numFmt w:val="bullet"/>
      <w:pStyle w:val="Tablebullet1"/>
      <w:lvlText w:val=""/>
      <w:lvlJc w:val="left"/>
      <w:pPr>
        <w:ind w:left="227" w:hanging="227"/>
      </w:pPr>
      <w:rPr>
        <w:rFonts w:ascii="Symbol" w:hAnsi="Symbol" w:hint="default"/>
      </w:rPr>
    </w:lvl>
    <w:lvl w:ilvl="1" w:tplc="28BE8750">
      <w:start w:val="1"/>
      <w:numFmt w:val="bullet"/>
      <w:pStyle w:val="Tablebullet2"/>
      <w:lvlText w:val=""/>
      <w:lvlJc w:val="left"/>
      <w:pPr>
        <w:ind w:left="454" w:hanging="227"/>
      </w:pPr>
      <w:rPr>
        <w:rFonts w:ascii="Symbol" w:hAnsi="Symbol" w:hint="default"/>
        <w:color w:val="auto"/>
      </w:rPr>
    </w:lvl>
    <w:lvl w:ilvl="2" w:tplc="88082DDA">
      <w:start w:val="1"/>
      <w:numFmt w:val="bullet"/>
      <w:pStyle w:val="Tablebullet3"/>
      <w:lvlText w:val=""/>
      <w:lvlJc w:val="left"/>
      <w:pPr>
        <w:ind w:left="681" w:hanging="227"/>
      </w:pPr>
      <w:rPr>
        <w:rFonts w:ascii="Symbol" w:hAnsi="Symbol" w:hint="default"/>
        <w:color w:val="auto"/>
      </w:rPr>
    </w:lvl>
    <w:lvl w:ilvl="3" w:tplc="4C98ED8A">
      <w:start w:val="1"/>
      <w:numFmt w:val="bullet"/>
      <w:lvlText w:val=""/>
      <w:lvlJc w:val="left"/>
      <w:pPr>
        <w:ind w:left="908" w:hanging="227"/>
      </w:pPr>
      <w:rPr>
        <w:rFonts w:ascii="Symbol" w:hAnsi="Symbol" w:hint="default"/>
      </w:rPr>
    </w:lvl>
    <w:lvl w:ilvl="4" w:tplc="58506196">
      <w:start w:val="1"/>
      <w:numFmt w:val="lowerLetter"/>
      <w:lvlText w:val="(%5)"/>
      <w:lvlJc w:val="left"/>
      <w:pPr>
        <w:ind w:left="1135" w:hanging="227"/>
      </w:pPr>
      <w:rPr>
        <w:rFonts w:hint="default"/>
      </w:rPr>
    </w:lvl>
    <w:lvl w:ilvl="5" w:tplc="4C5E441C">
      <w:start w:val="1"/>
      <w:numFmt w:val="lowerRoman"/>
      <w:lvlText w:val="(%6)"/>
      <w:lvlJc w:val="left"/>
      <w:pPr>
        <w:ind w:left="1362" w:hanging="227"/>
      </w:pPr>
      <w:rPr>
        <w:rFonts w:hint="default"/>
      </w:rPr>
    </w:lvl>
    <w:lvl w:ilvl="6" w:tplc="725CC388">
      <w:start w:val="1"/>
      <w:numFmt w:val="decimal"/>
      <w:lvlText w:val="%7."/>
      <w:lvlJc w:val="left"/>
      <w:pPr>
        <w:ind w:left="1589" w:hanging="227"/>
      </w:pPr>
      <w:rPr>
        <w:rFonts w:hint="default"/>
      </w:rPr>
    </w:lvl>
    <w:lvl w:ilvl="7" w:tplc="CC264260">
      <w:start w:val="1"/>
      <w:numFmt w:val="lowerLetter"/>
      <w:lvlText w:val="%8."/>
      <w:lvlJc w:val="left"/>
      <w:pPr>
        <w:ind w:left="1816" w:hanging="227"/>
      </w:pPr>
      <w:rPr>
        <w:rFonts w:hint="default"/>
      </w:rPr>
    </w:lvl>
    <w:lvl w:ilvl="8" w:tplc="BD608338">
      <w:start w:val="1"/>
      <w:numFmt w:val="lowerRoman"/>
      <w:lvlText w:val="%9."/>
      <w:lvlJc w:val="left"/>
      <w:pPr>
        <w:ind w:left="2043" w:hanging="227"/>
      </w:pPr>
      <w:rPr>
        <w:rFonts w:hint="default"/>
      </w:rPr>
    </w:lvl>
  </w:abstractNum>
  <w:abstractNum w:abstractNumId="6" w15:restartNumberingAfterBreak="0">
    <w:nsid w:val="065651A5"/>
    <w:multiLevelType w:val="multilevel"/>
    <w:tmpl w:val="A8D6A330"/>
    <w:lvl w:ilvl="0">
      <w:start w:val="1"/>
      <w:numFmt w:val="bullet"/>
      <w:lvlText w:val=""/>
      <w:lvlJc w:val="left"/>
      <w:pPr>
        <w:ind w:left="227" w:hanging="170"/>
      </w:pPr>
      <w:rPr>
        <w:rFonts w:ascii="Symbol" w:hAnsi="Symbol" w:hint="default"/>
      </w:rPr>
    </w:lvl>
    <w:lvl w:ilvl="1">
      <w:start w:val="1"/>
      <w:numFmt w:val="bullet"/>
      <w:lvlText w:val="o"/>
      <w:lvlJc w:val="left"/>
      <w:pPr>
        <w:tabs>
          <w:tab w:val="num" w:pos="397"/>
        </w:tabs>
        <w:ind w:left="397" w:hanging="170"/>
      </w:pPr>
      <w:rPr>
        <w:rFonts w:ascii="Segoe UI Emoji" w:hAnsi="Segoe UI Emoji" w:hint="default"/>
      </w:rPr>
    </w:lvl>
    <w:lvl w:ilvl="2">
      <w:start w:val="1"/>
      <w:numFmt w:val="bullet"/>
      <w:lvlText w:val=""/>
      <w:lvlJc w:val="left"/>
      <w:pPr>
        <w:ind w:left="757" w:hanging="360"/>
      </w:pPr>
      <w:rPr>
        <w:rFonts w:ascii="Wingdings" w:hAnsi="Wingdings" w:hint="default"/>
      </w:rPr>
    </w:lvl>
    <w:lvl w:ilvl="3">
      <w:start w:val="1"/>
      <w:numFmt w:val="bullet"/>
      <w:lvlText w:val=""/>
      <w:lvlJc w:val="left"/>
      <w:pPr>
        <w:tabs>
          <w:tab w:val="num" w:pos="794"/>
        </w:tabs>
        <w:ind w:left="794" w:hanging="170"/>
      </w:pPr>
      <w:rPr>
        <w:rFonts w:ascii="Symbol" w:hAnsi="Symbol" w:hint="default"/>
      </w:rPr>
    </w:lvl>
    <w:lvl w:ilvl="4">
      <w:start w:val="1"/>
      <w:numFmt w:val="bullet"/>
      <w:lvlText w:val="o"/>
      <w:lvlJc w:val="left"/>
      <w:pPr>
        <w:tabs>
          <w:tab w:val="num" w:pos="1361"/>
        </w:tabs>
        <w:ind w:left="1361" w:hanging="227"/>
      </w:pPr>
      <w:rPr>
        <w:rFonts w:ascii="Symbol" w:hAnsi="Symbol" w:hint="default"/>
      </w:rPr>
    </w:lvl>
    <w:lvl w:ilvl="5">
      <w:start w:val="1"/>
      <w:numFmt w:val="bullet"/>
      <w:lvlText w:val=""/>
      <w:lvlJc w:val="left"/>
      <w:pPr>
        <w:tabs>
          <w:tab w:val="num" w:pos="1588"/>
        </w:tabs>
        <w:ind w:left="1588" w:hanging="170"/>
      </w:pPr>
      <w:rPr>
        <w:rFonts w:ascii="TimesNewRoman" w:hAnsi="TimesNewRoman" w:hint="default"/>
      </w:rPr>
    </w:lvl>
    <w:lvl w:ilvl="6">
      <w:start w:val="1"/>
      <w:numFmt w:val="bullet"/>
      <w:lvlText w:val=""/>
      <w:lvlJc w:val="left"/>
      <w:pPr>
        <w:tabs>
          <w:tab w:val="num" w:pos="1871"/>
        </w:tabs>
        <w:ind w:left="1928" w:hanging="284"/>
      </w:pPr>
      <w:rPr>
        <w:rFonts w:ascii="Segoe UI" w:hAnsi="Segoe UI" w:hint="default"/>
      </w:rPr>
    </w:lvl>
    <w:lvl w:ilvl="7">
      <w:start w:val="1"/>
      <w:numFmt w:val="bullet"/>
      <w:lvlText w:val="o"/>
      <w:lvlJc w:val="left"/>
      <w:pPr>
        <w:tabs>
          <w:tab w:val="num" w:pos="2155"/>
        </w:tabs>
        <w:ind w:left="2268" w:hanging="340"/>
      </w:pPr>
      <w:rPr>
        <w:rFonts w:ascii="Segoe UI Emoji" w:hAnsi="Segoe UI Emoji" w:hint="default"/>
      </w:rPr>
    </w:lvl>
    <w:lvl w:ilvl="8">
      <w:start w:val="1"/>
      <w:numFmt w:val="bullet"/>
      <w:lvlText w:val=""/>
      <w:lvlJc w:val="left"/>
      <w:pPr>
        <w:ind w:left="2495" w:hanging="284"/>
      </w:pPr>
      <w:rPr>
        <w:rFonts w:ascii="TimesNewRoman" w:hAnsi="TimesNewRoman" w:hint="default"/>
      </w:rPr>
    </w:lvl>
  </w:abstractNum>
  <w:abstractNum w:abstractNumId="7" w15:restartNumberingAfterBreak="0">
    <w:nsid w:val="073A62C6"/>
    <w:multiLevelType w:val="hybridMultilevel"/>
    <w:tmpl w:val="047EB9AE"/>
    <w:lvl w:ilvl="0" w:tplc="DEAE7A1E">
      <w:start w:val="1"/>
      <w:numFmt w:val="bullet"/>
      <w:lvlText w:val=""/>
      <w:lvlJc w:val="left"/>
      <w:pPr>
        <w:ind w:left="720" w:hanging="360"/>
      </w:pPr>
      <w:rPr>
        <w:rFonts w:ascii="Symbol" w:hAnsi="Symbol"/>
      </w:rPr>
    </w:lvl>
    <w:lvl w:ilvl="1" w:tplc="748C860E">
      <w:start w:val="1"/>
      <w:numFmt w:val="bullet"/>
      <w:lvlText w:val=""/>
      <w:lvlJc w:val="left"/>
      <w:pPr>
        <w:ind w:left="720" w:hanging="360"/>
      </w:pPr>
      <w:rPr>
        <w:rFonts w:ascii="Symbol" w:hAnsi="Symbol"/>
      </w:rPr>
    </w:lvl>
    <w:lvl w:ilvl="2" w:tplc="64EAC174">
      <w:start w:val="1"/>
      <w:numFmt w:val="bullet"/>
      <w:lvlText w:val=""/>
      <w:lvlJc w:val="left"/>
      <w:pPr>
        <w:ind w:left="720" w:hanging="360"/>
      </w:pPr>
      <w:rPr>
        <w:rFonts w:ascii="Symbol" w:hAnsi="Symbol"/>
      </w:rPr>
    </w:lvl>
    <w:lvl w:ilvl="3" w:tplc="121AC922">
      <w:start w:val="1"/>
      <w:numFmt w:val="bullet"/>
      <w:lvlText w:val=""/>
      <w:lvlJc w:val="left"/>
      <w:pPr>
        <w:ind w:left="720" w:hanging="360"/>
      </w:pPr>
      <w:rPr>
        <w:rFonts w:ascii="Symbol" w:hAnsi="Symbol"/>
      </w:rPr>
    </w:lvl>
    <w:lvl w:ilvl="4" w:tplc="971C9460">
      <w:start w:val="1"/>
      <w:numFmt w:val="bullet"/>
      <w:lvlText w:val=""/>
      <w:lvlJc w:val="left"/>
      <w:pPr>
        <w:ind w:left="720" w:hanging="360"/>
      </w:pPr>
      <w:rPr>
        <w:rFonts w:ascii="Symbol" w:hAnsi="Symbol"/>
      </w:rPr>
    </w:lvl>
    <w:lvl w:ilvl="5" w:tplc="904A1210">
      <w:start w:val="1"/>
      <w:numFmt w:val="bullet"/>
      <w:lvlText w:val=""/>
      <w:lvlJc w:val="left"/>
      <w:pPr>
        <w:ind w:left="720" w:hanging="360"/>
      </w:pPr>
      <w:rPr>
        <w:rFonts w:ascii="Symbol" w:hAnsi="Symbol"/>
      </w:rPr>
    </w:lvl>
    <w:lvl w:ilvl="6" w:tplc="43FA2DCA">
      <w:start w:val="1"/>
      <w:numFmt w:val="bullet"/>
      <w:lvlText w:val=""/>
      <w:lvlJc w:val="left"/>
      <w:pPr>
        <w:ind w:left="720" w:hanging="360"/>
      </w:pPr>
      <w:rPr>
        <w:rFonts w:ascii="Symbol" w:hAnsi="Symbol"/>
      </w:rPr>
    </w:lvl>
    <w:lvl w:ilvl="7" w:tplc="FDFC3E5A">
      <w:start w:val="1"/>
      <w:numFmt w:val="bullet"/>
      <w:lvlText w:val=""/>
      <w:lvlJc w:val="left"/>
      <w:pPr>
        <w:ind w:left="720" w:hanging="360"/>
      </w:pPr>
      <w:rPr>
        <w:rFonts w:ascii="Symbol" w:hAnsi="Symbol"/>
      </w:rPr>
    </w:lvl>
    <w:lvl w:ilvl="8" w:tplc="50CAE8B2">
      <w:start w:val="1"/>
      <w:numFmt w:val="bullet"/>
      <w:lvlText w:val=""/>
      <w:lvlJc w:val="left"/>
      <w:pPr>
        <w:ind w:left="720" w:hanging="360"/>
      </w:pPr>
      <w:rPr>
        <w:rFonts w:ascii="Symbol" w:hAnsi="Symbol"/>
      </w:rPr>
    </w:lvl>
  </w:abstractNum>
  <w:abstractNum w:abstractNumId="8" w15:restartNumberingAfterBreak="0">
    <w:nsid w:val="0DA06AC9"/>
    <w:multiLevelType w:val="hybridMultilevel"/>
    <w:tmpl w:val="FCC01C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FCD4CF5"/>
    <w:multiLevelType w:val="multilevel"/>
    <w:tmpl w:val="A8D6A330"/>
    <w:lvl w:ilvl="0">
      <w:start w:val="1"/>
      <w:numFmt w:val="bullet"/>
      <w:lvlText w:val=""/>
      <w:lvlJc w:val="left"/>
      <w:pPr>
        <w:ind w:left="227" w:hanging="170"/>
      </w:pPr>
      <w:rPr>
        <w:rFonts w:ascii="Symbol" w:hAnsi="Symbol" w:hint="default"/>
      </w:rPr>
    </w:lvl>
    <w:lvl w:ilvl="1">
      <w:start w:val="1"/>
      <w:numFmt w:val="bullet"/>
      <w:lvlText w:val="o"/>
      <w:lvlJc w:val="left"/>
      <w:pPr>
        <w:tabs>
          <w:tab w:val="num" w:pos="397"/>
        </w:tabs>
        <w:ind w:left="397" w:hanging="170"/>
      </w:pPr>
      <w:rPr>
        <w:rFonts w:ascii="Segoe UI Emoji" w:hAnsi="Segoe UI Emoji" w:hint="default"/>
      </w:rPr>
    </w:lvl>
    <w:lvl w:ilvl="2">
      <w:start w:val="1"/>
      <w:numFmt w:val="bullet"/>
      <w:lvlText w:val=""/>
      <w:lvlJc w:val="left"/>
      <w:pPr>
        <w:ind w:left="757" w:hanging="360"/>
      </w:pPr>
      <w:rPr>
        <w:rFonts w:ascii="Wingdings" w:hAnsi="Wingdings" w:hint="default"/>
      </w:rPr>
    </w:lvl>
    <w:lvl w:ilvl="3">
      <w:start w:val="1"/>
      <w:numFmt w:val="bullet"/>
      <w:lvlText w:val=""/>
      <w:lvlJc w:val="left"/>
      <w:pPr>
        <w:tabs>
          <w:tab w:val="num" w:pos="794"/>
        </w:tabs>
        <w:ind w:left="794" w:hanging="170"/>
      </w:pPr>
      <w:rPr>
        <w:rFonts w:ascii="Symbol" w:hAnsi="Symbol" w:hint="default"/>
      </w:rPr>
    </w:lvl>
    <w:lvl w:ilvl="4">
      <w:start w:val="1"/>
      <w:numFmt w:val="bullet"/>
      <w:lvlText w:val="o"/>
      <w:lvlJc w:val="left"/>
      <w:pPr>
        <w:tabs>
          <w:tab w:val="num" w:pos="1361"/>
        </w:tabs>
        <w:ind w:left="1361" w:hanging="227"/>
      </w:pPr>
      <w:rPr>
        <w:rFonts w:ascii="Symbol" w:hAnsi="Symbol" w:hint="default"/>
      </w:rPr>
    </w:lvl>
    <w:lvl w:ilvl="5">
      <w:start w:val="1"/>
      <w:numFmt w:val="bullet"/>
      <w:lvlText w:val=""/>
      <w:lvlJc w:val="left"/>
      <w:pPr>
        <w:tabs>
          <w:tab w:val="num" w:pos="1588"/>
        </w:tabs>
        <w:ind w:left="1588" w:hanging="170"/>
      </w:pPr>
      <w:rPr>
        <w:rFonts w:ascii="TimesNewRoman" w:hAnsi="TimesNewRoman" w:hint="default"/>
      </w:rPr>
    </w:lvl>
    <w:lvl w:ilvl="6">
      <w:start w:val="1"/>
      <w:numFmt w:val="bullet"/>
      <w:lvlText w:val=""/>
      <w:lvlJc w:val="left"/>
      <w:pPr>
        <w:tabs>
          <w:tab w:val="num" w:pos="1871"/>
        </w:tabs>
        <w:ind w:left="1928" w:hanging="284"/>
      </w:pPr>
      <w:rPr>
        <w:rFonts w:ascii="Segoe UI" w:hAnsi="Segoe UI" w:hint="default"/>
      </w:rPr>
    </w:lvl>
    <w:lvl w:ilvl="7">
      <w:start w:val="1"/>
      <w:numFmt w:val="bullet"/>
      <w:lvlText w:val="o"/>
      <w:lvlJc w:val="left"/>
      <w:pPr>
        <w:tabs>
          <w:tab w:val="num" w:pos="2155"/>
        </w:tabs>
        <w:ind w:left="2268" w:hanging="340"/>
      </w:pPr>
      <w:rPr>
        <w:rFonts w:ascii="Segoe UI Emoji" w:hAnsi="Segoe UI Emoji" w:hint="default"/>
      </w:rPr>
    </w:lvl>
    <w:lvl w:ilvl="8">
      <w:start w:val="1"/>
      <w:numFmt w:val="bullet"/>
      <w:lvlText w:val=""/>
      <w:lvlJc w:val="left"/>
      <w:pPr>
        <w:ind w:left="2495" w:hanging="284"/>
      </w:pPr>
      <w:rPr>
        <w:rFonts w:ascii="TimesNewRoman" w:hAnsi="TimesNewRoman" w:hint="default"/>
      </w:rPr>
    </w:lvl>
  </w:abstractNum>
  <w:abstractNum w:abstractNumId="10" w15:restartNumberingAfterBreak="0">
    <w:nsid w:val="1001165D"/>
    <w:multiLevelType w:val="multilevel"/>
    <w:tmpl w:val="C3FE955C"/>
    <w:styleLink w:val="EODBullets"/>
    <w:lvl w:ilvl="0">
      <w:start w:val="1"/>
      <w:numFmt w:val="bullet"/>
      <w:lvlText w:val=""/>
      <w:lvlJc w:val="left"/>
      <w:pPr>
        <w:tabs>
          <w:tab w:val="num" w:pos="357"/>
        </w:tabs>
        <w:ind w:left="360" w:hanging="360"/>
      </w:pPr>
      <w:rPr>
        <w:rFonts w:ascii="Symbol" w:hAnsi="Symbol" w:hint="default"/>
        <w:color w:val="8496B0" w:themeColor="text2" w:themeTint="99"/>
      </w:rPr>
    </w:lvl>
    <w:lvl w:ilvl="1">
      <w:start w:val="1"/>
      <w:numFmt w:val="bullet"/>
      <w:lvlText w:val=""/>
      <w:lvlJc w:val="left"/>
      <w:pPr>
        <w:tabs>
          <w:tab w:val="num" w:pos="720"/>
        </w:tabs>
        <w:ind w:left="720" w:hanging="360"/>
      </w:pPr>
      <w:rPr>
        <w:rFonts w:ascii="Symbol" w:hAnsi="Symbol" w:hint="default"/>
        <w:color w:val="8496B0" w:themeColor="text2" w:themeTint="99"/>
      </w:rPr>
    </w:lvl>
    <w:lvl w:ilvl="2">
      <w:start w:val="1"/>
      <w:numFmt w:val="bullet"/>
      <w:lvlText w:val="○"/>
      <w:lvlJc w:val="left"/>
      <w:pPr>
        <w:tabs>
          <w:tab w:val="num" w:pos="1077"/>
        </w:tabs>
        <w:ind w:left="1080" w:hanging="360"/>
      </w:pPr>
      <w:rPr>
        <w:rFonts w:ascii="Calibri" w:hAnsi="Calibri" w:hint="default"/>
        <w:color w:val="8496B0" w:themeColor="text2" w:themeTint="99"/>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04A1A8A"/>
    <w:multiLevelType w:val="hybridMultilevel"/>
    <w:tmpl w:val="87F2CBD0"/>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12" w15:restartNumberingAfterBreak="0">
    <w:nsid w:val="11A1062B"/>
    <w:multiLevelType w:val="hybridMultilevel"/>
    <w:tmpl w:val="BFEA0A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3CC2F19"/>
    <w:multiLevelType w:val="hybridMultilevel"/>
    <w:tmpl w:val="421EDA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4E126DE"/>
    <w:multiLevelType w:val="multilevel"/>
    <w:tmpl w:val="A8D6A330"/>
    <w:lvl w:ilvl="0">
      <w:start w:val="1"/>
      <w:numFmt w:val="bullet"/>
      <w:lvlText w:val=""/>
      <w:lvlJc w:val="left"/>
      <w:pPr>
        <w:ind w:left="227" w:hanging="170"/>
      </w:pPr>
      <w:rPr>
        <w:rFonts w:ascii="Symbol" w:hAnsi="Symbol" w:hint="default"/>
      </w:rPr>
    </w:lvl>
    <w:lvl w:ilvl="1">
      <w:start w:val="1"/>
      <w:numFmt w:val="bullet"/>
      <w:lvlText w:val="o"/>
      <w:lvlJc w:val="left"/>
      <w:pPr>
        <w:tabs>
          <w:tab w:val="num" w:pos="397"/>
        </w:tabs>
        <w:ind w:left="397" w:hanging="170"/>
      </w:pPr>
      <w:rPr>
        <w:rFonts w:ascii="Segoe UI Emoji" w:hAnsi="Segoe UI Emoji" w:hint="default"/>
      </w:rPr>
    </w:lvl>
    <w:lvl w:ilvl="2">
      <w:start w:val="1"/>
      <w:numFmt w:val="bullet"/>
      <w:lvlText w:val=""/>
      <w:lvlJc w:val="left"/>
      <w:pPr>
        <w:ind w:left="757" w:hanging="360"/>
      </w:pPr>
      <w:rPr>
        <w:rFonts w:ascii="Wingdings" w:hAnsi="Wingdings" w:hint="default"/>
      </w:rPr>
    </w:lvl>
    <w:lvl w:ilvl="3">
      <w:start w:val="1"/>
      <w:numFmt w:val="bullet"/>
      <w:lvlText w:val=""/>
      <w:lvlJc w:val="left"/>
      <w:pPr>
        <w:tabs>
          <w:tab w:val="num" w:pos="794"/>
        </w:tabs>
        <w:ind w:left="794" w:hanging="170"/>
      </w:pPr>
      <w:rPr>
        <w:rFonts w:ascii="Symbol" w:hAnsi="Symbol" w:hint="default"/>
      </w:rPr>
    </w:lvl>
    <w:lvl w:ilvl="4">
      <w:start w:val="1"/>
      <w:numFmt w:val="bullet"/>
      <w:lvlText w:val="o"/>
      <w:lvlJc w:val="left"/>
      <w:pPr>
        <w:tabs>
          <w:tab w:val="num" w:pos="1361"/>
        </w:tabs>
        <w:ind w:left="1361" w:hanging="227"/>
      </w:pPr>
      <w:rPr>
        <w:rFonts w:ascii="Symbol" w:hAnsi="Symbol" w:hint="default"/>
      </w:rPr>
    </w:lvl>
    <w:lvl w:ilvl="5">
      <w:start w:val="1"/>
      <w:numFmt w:val="bullet"/>
      <w:lvlText w:val=""/>
      <w:lvlJc w:val="left"/>
      <w:pPr>
        <w:tabs>
          <w:tab w:val="num" w:pos="1588"/>
        </w:tabs>
        <w:ind w:left="1588" w:hanging="170"/>
      </w:pPr>
      <w:rPr>
        <w:rFonts w:ascii="TimesNewRoman" w:hAnsi="TimesNewRoman" w:hint="default"/>
      </w:rPr>
    </w:lvl>
    <w:lvl w:ilvl="6">
      <w:start w:val="1"/>
      <w:numFmt w:val="bullet"/>
      <w:lvlText w:val=""/>
      <w:lvlJc w:val="left"/>
      <w:pPr>
        <w:tabs>
          <w:tab w:val="num" w:pos="1871"/>
        </w:tabs>
        <w:ind w:left="1928" w:hanging="284"/>
      </w:pPr>
      <w:rPr>
        <w:rFonts w:ascii="Segoe UI" w:hAnsi="Segoe UI" w:hint="default"/>
      </w:rPr>
    </w:lvl>
    <w:lvl w:ilvl="7">
      <w:start w:val="1"/>
      <w:numFmt w:val="bullet"/>
      <w:lvlText w:val="o"/>
      <w:lvlJc w:val="left"/>
      <w:pPr>
        <w:tabs>
          <w:tab w:val="num" w:pos="2155"/>
        </w:tabs>
        <w:ind w:left="2268" w:hanging="340"/>
      </w:pPr>
      <w:rPr>
        <w:rFonts w:ascii="Segoe UI Emoji" w:hAnsi="Segoe UI Emoji" w:hint="default"/>
      </w:rPr>
    </w:lvl>
    <w:lvl w:ilvl="8">
      <w:start w:val="1"/>
      <w:numFmt w:val="bullet"/>
      <w:lvlText w:val=""/>
      <w:lvlJc w:val="left"/>
      <w:pPr>
        <w:ind w:left="2495" w:hanging="284"/>
      </w:pPr>
      <w:rPr>
        <w:rFonts w:ascii="TimesNewRoman" w:hAnsi="TimesNewRoman" w:hint="default"/>
      </w:rPr>
    </w:lvl>
  </w:abstractNum>
  <w:abstractNum w:abstractNumId="15" w15:restartNumberingAfterBreak="0">
    <w:nsid w:val="17EE4572"/>
    <w:multiLevelType w:val="multilevel"/>
    <w:tmpl w:val="BD7CE28C"/>
    <w:lvl w:ilvl="0">
      <w:start w:val="1"/>
      <w:numFmt w:val="decimal"/>
      <w:lvlText w:val="%1."/>
      <w:lvlJc w:val="left"/>
      <w:pPr>
        <w:ind w:left="-1749" w:hanging="170"/>
      </w:pPr>
      <w:rPr>
        <w:rFonts w:hint="default"/>
      </w:rPr>
    </w:lvl>
    <w:lvl w:ilvl="1">
      <w:start w:val="1"/>
      <w:numFmt w:val="bullet"/>
      <w:lvlText w:val="o"/>
      <w:lvlJc w:val="left"/>
      <w:pPr>
        <w:tabs>
          <w:tab w:val="num" w:pos="-1579"/>
        </w:tabs>
        <w:ind w:left="-1579" w:hanging="170"/>
      </w:pPr>
      <w:rPr>
        <w:rFonts w:ascii="Segoe UI Emoji" w:hAnsi="Segoe UI Emoji" w:hint="default"/>
      </w:rPr>
    </w:lvl>
    <w:lvl w:ilvl="2">
      <w:start w:val="1"/>
      <w:numFmt w:val="bullet"/>
      <w:lvlText w:val=""/>
      <w:lvlJc w:val="left"/>
      <w:pPr>
        <w:ind w:left="-1219" w:hanging="360"/>
      </w:pPr>
      <w:rPr>
        <w:rFonts w:ascii="Wingdings" w:hAnsi="Wingdings" w:hint="default"/>
      </w:rPr>
    </w:lvl>
    <w:lvl w:ilvl="3">
      <w:start w:val="1"/>
      <w:numFmt w:val="bullet"/>
      <w:lvlText w:val=""/>
      <w:lvlJc w:val="left"/>
      <w:pPr>
        <w:tabs>
          <w:tab w:val="num" w:pos="-1182"/>
        </w:tabs>
        <w:ind w:left="-1182" w:hanging="170"/>
      </w:pPr>
      <w:rPr>
        <w:rFonts w:ascii="Symbol" w:hAnsi="Symbol" w:hint="default"/>
      </w:rPr>
    </w:lvl>
    <w:lvl w:ilvl="4">
      <w:start w:val="1"/>
      <w:numFmt w:val="bullet"/>
      <w:lvlText w:val="o"/>
      <w:lvlJc w:val="left"/>
      <w:pPr>
        <w:tabs>
          <w:tab w:val="num" w:pos="-615"/>
        </w:tabs>
        <w:ind w:left="-615" w:hanging="227"/>
      </w:pPr>
      <w:rPr>
        <w:rFonts w:ascii="Symbol" w:hAnsi="Symbol" w:hint="default"/>
      </w:rPr>
    </w:lvl>
    <w:lvl w:ilvl="5">
      <w:start w:val="1"/>
      <w:numFmt w:val="bullet"/>
      <w:lvlText w:val=""/>
      <w:lvlJc w:val="left"/>
      <w:pPr>
        <w:tabs>
          <w:tab w:val="num" w:pos="-388"/>
        </w:tabs>
        <w:ind w:left="-388" w:hanging="170"/>
      </w:pPr>
      <w:rPr>
        <w:rFonts w:ascii="TimesNewRoman" w:hAnsi="TimesNewRoman" w:hint="default"/>
      </w:rPr>
    </w:lvl>
    <w:lvl w:ilvl="6">
      <w:start w:val="1"/>
      <w:numFmt w:val="bullet"/>
      <w:lvlText w:val=""/>
      <w:lvlJc w:val="left"/>
      <w:pPr>
        <w:tabs>
          <w:tab w:val="num" w:pos="-105"/>
        </w:tabs>
        <w:ind w:left="-48" w:hanging="284"/>
      </w:pPr>
      <w:rPr>
        <w:rFonts w:ascii="Segoe UI" w:hAnsi="Segoe UI" w:hint="default"/>
      </w:rPr>
    </w:lvl>
    <w:lvl w:ilvl="7">
      <w:start w:val="1"/>
      <w:numFmt w:val="bullet"/>
      <w:lvlText w:val="o"/>
      <w:lvlJc w:val="left"/>
      <w:pPr>
        <w:tabs>
          <w:tab w:val="num" w:pos="179"/>
        </w:tabs>
        <w:ind w:left="292" w:hanging="340"/>
      </w:pPr>
      <w:rPr>
        <w:rFonts w:ascii="Segoe UI Emoji" w:hAnsi="Segoe UI Emoji" w:hint="default"/>
      </w:rPr>
    </w:lvl>
    <w:lvl w:ilvl="8">
      <w:start w:val="1"/>
      <w:numFmt w:val="decimal"/>
      <w:lvlText w:val="%9."/>
      <w:lvlJc w:val="left"/>
      <w:pPr>
        <w:ind w:left="595" w:hanging="360"/>
      </w:pPr>
    </w:lvl>
  </w:abstractNum>
  <w:abstractNum w:abstractNumId="16" w15:restartNumberingAfterBreak="0">
    <w:nsid w:val="18FC427E"/>
    <w:multiLevelType w:val="multilevel"/>
    <w:tmpl w:val="A8D6A330"/>
    <w:lvl w:ilvl="0">
      <w:start w:val="1"/>
      <w:numFmt w:val="bullet"/>
      <w:lvlText w:val=""/>
      <w:lvlJc w:val="left"/>
      <w:pPr>
        <w:ind w:left="227" w:hanging="170"/>
      </w:pPr>
      <w:rPr>
        <w:rFonts w:ascii="Symbol" w:hAnsi="Symbol" w:hint="default"/>
      </w:rPr>
    </w:lvl>
    <w:lvl w:ilvl="1">
      <w:start w:val="1"/>
      <w:numFmt w:val="bullet"/>
      <w:lvlText w:val="o"/>
      <w:lvlJc w:val="left"/>
      <w:pPr>
        <w:tabs>
          <w:tab w:val="num" w:pos="397"/>
        </w:tabs>
        <w:ind w:left="397" w:hanging="170"/>
      </w:pPr>
      <w:rPr>
        <w:rFonts w:ascii="Segoe UI Emoji" w:hAnsi="Segoe UI Emoji" w:hint="default"/>
      </w:rPr>
    </w:lvl>
    <w:lvl w:ilvl="2">
      <w:start w:val="1"/>
      <w:numFmt w:val="bullet"/>
      <w:lvlText w:val=""/>
      <w:lvlJc w:val="left"/>
      <w:pPr>
        <w:ind w:left="757" w:hanging="360"/>
      </w:pPr>
      <w:rPr>
        <w:rFonts w:ascii="Wingdings" w:hAnsi="Wingdings" w:hint="default"/>
      </w:rPr>
    </w:lvl>
    <w:lvl w:ilvl="3">
      <w:start w:val="1"/>
      <w:numFmt w:val="bullet"/>
      <w:lvlText w:val=""/>
      <w:lvlJc w:val="left"/>
      <w:pPr>
        <w:tabs>
          <w:tab w:val="num" w:pos="794"/>
        </w:tabs>
        <w:ind w:left="794" w:hanging="170"/>
      </w:pPr>
      <w:rPr>
        <w:rFonts w:ascii="Symbol" w:hAnsi="Symbol" w:hint="default"/>
      </w:rPr>
    </w:lvl>
    <w:lvl w:ilvl="4">
      <w:start w:val="1"/>
      <w:numFmt w:val="bullet"/>
      <w:lvlText w:val="o"/>
      <w:lvlJc w:val="left"/>
      <w:pPr>
        <w:tabs>
          <w:tab w:val="num" w:pos="1361"/>
        </w:tabs>
        <w:ind w:left="1361" w:hanging="227"/>
      </w:pPr>
      <w:rPr>
        <w:rFonts w:ascii="Symbol" w:hAnsi="Symbol" w:hint="default"/>
      </w:rPr>
    </w:lvl>
    <w:lvl w:ilvl="5">
      <w:start w:val="1"/>
      <w:numFmt w:val="bullet"/>
      <w:lvlText w:val=""/>
      <w:lvlJc w:val="left"/>
      <w:pPr>
        <w:tabs>
          <w:tab w:val="num" w:pos="1588"/>
        </w:tabs>
        <w:ind w:left="1588" w:hanging="170"/>
      </w:pPr>
      <w:rPr>
        <w:rFonts w:ascii="TimesNewRoman" w:hAnsi="TimesNewRoman" w:hint="default"/>
      </w:rPr>
    </w:lvl>
    <w:lvl w:ilvl="6">
      <w:start w:val="1"/>
      <w:numFmt w:val="bullet"/>
      <w:lvlText w:val=""/>
      <w:lvlJc w:val="left"/>
      <w:pPr>
        <w:tabs>
          <w:tab w:val="num" w:pos="1871"/>
        </w:tabs>
        <w:ind w:left="1928" w:hanging="284"/>
      </w:pPr>
      <w:rPr>
        <w:rFonts w:ascii="Segoe UI" w:hAnsi="Segoe UI" w:hint="default"/>
      </w:rPr>
    </w:lvl>
    <w:lvl w:ilvl="7">
      <w:start w:val="1"/>
      <w:numFmt w:val="bullet"/>
      <w:lvlText w:val="o"/>
      <w:lvlJc w:val="left"/>
      <w:pPr>
        <w:tabs>
          <w:tab w:val="num" w:pos="2155"/>
        </w:tabs>
        <w:ind w:left="2268" w:hanging="340"/>
      </w:pPr>
      <w:rPr>
        <w:rFonts w:ascii="Segoe UI Emoji" w:hAnsi="Segoe UI Emoji" w:hint="default"/>
      </w:rPr>
    </w:lvl>
    <w:lvl w:ilvl="8">
      <w:start w:val="1"/>
      <w:numFmt w:val="bullet"/>
      <w:lvlText w:val=""/>
      <w:lvlJc w:val="left"/>
      <w:pPr>
        <w:ind w:left="2495" w:hanging="284"/>
      </w:pPr>
      <w:rPr>
        <w:rFonts w:ascii="TimesNewRoman" w:hAnsi="TimesNewRoman" w:hint="default"/>
      </w:rPr>
    </w:lvl>
  </w:abstractNum>
  <w:abstractNum w:abstractNumId="17" w15:restartNumberingAfterBreak="0">
    <w:nsid w:val="1A8B72D2"/>
    <w:multiLevelType w:val="multilevel"/>
    <w:tmpl w:val="A8D6A330"/>
    <w:lvl w:ilvl="0">
      <w:start w:val="1"/>
      <w:numFmt w:val="bullet"/>
      <w:lvlText w:val=""/>
      <w:lvlJc w:val="left"/>
      <w:pPr>
        <w:ind w:left="227" w:hanging="170"/>
      </w:pPr>
      <w:rPr>
        <w:rFonts w:ascii="Symbol" w:hAnsi="Symbol" w:hint="default"/>
      </w:rPr>
    </w:lvl>
    <w:lvl w:ilvl="1">
      <w:start w:val="1"/>
      <w:numFmt w:val="bullet"/>
      <w:lvlText w:val="o"/>
      <w:lvlJc w:val="left"/>
      <w:pPr>
        <w:tabs>
          <w:tab w:val="num" w:pos="397"/>
        </w:tabs>
        <w:ind w:left="397" w:hanging="170"/>
      </w:pPr>
      <w:rPr>
        <w:rFonts w:ascii="Segoe UI Emoji" w:hAnsi="Segoe UI Emoji" w:hint="default"/>
      </w:rPr>
    </w:lvl>
    <w:lvl w:ilvl="2">
      <w:start w:val="1"/>
      <w:numFmt w:val="bullet"/>
      <w:lvlText w:val=""/>
      <w:lvlJc w:val="left"/>
      <w:pPr>
        <w:ind w:left="757" w:hanging="360"/>
      </w:pPr>
      <w:rPr>
        <w:rFonts w:ascii="Wingdings" w:hAnsi="Wingdings" w:hint="default"/>
      </w:rPr>
    </w:lvl>
    <w:lvl w:ilvl="3">
      <w:start w:val="1"/>
      <w:numFmt w:val="bullet"/>
      <w:lvlText w:val=""/>
      <w:lvlJc w:val="left"/>
      <w:pPr>
        <w:tabs>
          <w:tab w:val="num" w:pos="794"/>
        </w:tabs>
        <w:ind w:left="794" w:hanging="170"/>
      </w:pPr>
      <w:rPr>
        <w:rFonts w:ascii="Symbol" w:hAnsi="Symbol" w:hint="default"/>
      </w:rPr>
    </w:lvl>
    <w:lvl w:ilvl="4">
      <w:start w:val="1"/>
      <w:numFmt w:val="bullet"/>
      <w:lvlText w:val="o"/>
      <w:lvlJc w:val="left"/>
      <w:pPr>
        <w:tabs>
          <w:tab w:val="num" w:pos="1361"/>
        </w:tabs>
        <w:ind w:left="1361" w:hanging="227"/>
      </w:pPr>
      <w:rPr>
        <w:rFonts w:ascii="Symbol" w:hAnsi="Symbol" w:hint="default"/>
      </w:rPr>
    </w:lvl>
    <w:lvl w:ilvl="5">
      <w:start w:val="1"/>
      <w:numFmt w:val="bullet"/>
      <w:lvlText w:val=""/>
      <w:lvlJc w:val="left"/>
      <w:pPr>
        <w:tabs>
          <w:tab w:val="num" w:pos="1588"/>
        </w:tabs>
        <w:ind w:left="1588" w:hanging="170"/>
      </w:pPr>
      <w:rPr>
        <w:rFonts w:ascii="TimesNewRoman" w:hAnsi="TimesNewRoman" w:hint="default"/>
      </w:rPr>
    </w:lvl>
    <w:lvl w:ilvl="6">
      <w:start w:val="1"/>
      <w:numFmt w:val="bullet"/>
      <w:lvlText w:val=""/>
      <w:lvlJc w:val="left"/>
      <w:pPr>
        <w:tabs>
          <w:tab w:val="num" w:pos="1871"/>
        </w:tabs>
        <w:ind w:left="1928" w:hanging="284"/>
      </w:pPr>
      <w:rPr>
        <w:rFonts w:ascii="Segoe UI" w:hAnsi="Segoe UI" w:hint="default"/>
      </w:rPr>
    </w:lvl>
    <w:lvl w:ilvl="7">
      <w:start w:val="1"/>
      <w:numFmt w:val="bullet"/>
      <w:lvlText w:val="o"/>
      <w:lvlJc w:val="left"/>
      <w:pPr>
        <w:tabs>
          <w:tab w:val="num" w:pos="2155"/>
        </w:tabs>
        <w:ind w:left="2268" w:hanging="340"/>
      </w:pPr>
      <w:rPr>
        <w:rFonts w:ascii="Segoe UI Emoji" w:hAnsi="Segoe UI Emoji" w:hint="default"/>
      </w:rPr>
    </w:lvl>
    <w:lvl w:ilvl="8">
      <w:start w:val="1"/>
      <w:numFmt w:val="bullet"/>
      <w:lvlText w:val=""/>
      <w:lvlJc w:val="left"/>
      <w:pPr>
        <w:ind w:left="2495" w:hanging="284"/>
      </w:pPr>
      <w:rPr>
        <w:rFonts w:ascii="TimesNewRoman" w:hAnsi="TimesNewRoman" w:hint="default"/>
      </w:rPr>
    </w:lvl>
  </w:abstractNum>
  <w:abstractNum w:abstractNumId="18" w15:restartNumberingAfterBreak="0">
    <w:nsid w:val="1B111332"/>
    <w:multiLevelType w:val="multilevel"/>
    <w:tmpl w:val="A8D6A330"/>
    <w:lvl w:ilvl="0">
      <w:start w:val="1"/>
      <w:numFmt w:val="bullet"/>
      <w:lvlText w:val=""/>
      <w:lvlJc w:val="left"/>
      <w:pPr>
        <w:ind w:left="227" w:hanging="170"/>
      </w:pPr>
      <w:rPr>
        <w:rFonts w:ascii="Symbol" w:hAnsi="Symbol" w:hint="default"/>
      </w:rPr>
    </w:lvl>
    <w:lvl w:ilvl="1">
      <w:start w:val="1"/>
      <w:numFmt w:val="bullet"/>
      <w:lvlText w:val="o"/>
      <w:lvlJc w:val="left"/>
      <w:pPr>
        <w:tabs>
          <w:tab w:val="num" w:pos="397"/>
        </w:tabs>
        <w:ind w:left="397" w:hanging="170"/>
      </w:pPr>
      <w:rPr>
        <w:rFonts w:ascii="Segoe UI Emoji" w:hAnsi="Segoe UI Emoji" w:hint="default"/>
      </w:rPr>
    </w:lvl>
    <w:lvl w:ilvl="2">
      <w:start w:val="1"/>
      <w:numFmt w:val="bullet"/>
      <w:lvlText w:val=""/>
      <w:lvlJc w:val="left"/>
      <w:pPr>
        <w:ind w:left="757" w:hanging="360"/>
      </w:pPr>
      <w:rPr>
        <w:rFonts w:ascii="Wingdings" w:hAnsi="Wingdings" w:hint="default"/>
      </w:rPr>
    </w:lvl>
    <w:lvl w:ilvl="3">
      <w:start w:val="1"/>
      <w:numFmt w:val="bullet"/>
      <w:lvlText w:val=""/>
      <w:lvlJc w:val="left"/>
      <w:pPr>
        <w:tabs>
          <w:tab w:val="num" w:pos="794"/>
        </w:tabs>
        <w:ind w:left="794" w:hanging="170"/>
      </w:pPr>
      <w:rPr>
        <w:rFonts w:ascii="Symbol" w:hAnsi="Symbol" w:hint="default"/>
      </w:rPr>
    </w:lvl>
    <w:lvl w:ilvl="4">
      <w:start w:val="1"/>
      <w:numFmt w:val="bullet"/>
      <w:lvlText w:val="o"/>
      <w:lvlJc w:val="left"/>
      <w:pPr>
        <w:tabs>
          <w:tab w:val="num" w:pos="1361"/>
        </w:tabs>
        <w:ind w:left="1361" w:hanging="227"/>
      </w:pPr>
      <w:rPr>
        <w:rFonts w:ascii="Symbol" w:hAnsi="Symbol" w:hint="default"/>
      </w:rPr>
    </w:lvl>
    <w:lvl w:ilvl="5">
      <w:start w:val="1"/>
      <w:numFmt w:val="bullet"/>
      <w:lvlText w:val=""/>
      <w:lvlJc w:val="left"/>
      <w:pPr>
        <w:tabs>
          <w:tab w:val="num" w:pos="1588"/>
        </w:tabs>
        <w:ind w:left="1588" w:hanging="170"/>
      </w:pPr>
      <w:rPr>
        <w:rFonts w:ascii="TimesNewRoman" w:hAnsi="TimesNewRoman" w:hint="default"/>
      </w:rPr>
    </w:lvl>
    <w:lvl w:ilvl="6">
      <w:start w:val="1"/>
      <w:numFmt w:val="bullet"/>
      <w:lvlText w:val=""/>
      <w:lvlJc w:val="left"/>
      <w:pPr>
        <w:tabs>
          <w:tab w:val="num" w:pos="1871"/>
        </w:tabs>
        <w:ind w:left="1928" w:hanging="284"/>
      </w:pPr>
      <w:rPr>
        <w:rFonts w:ascii="Segoe UI" w:hAnsi="Segoe UI" w:hint="default"/>
      </w:rPr>
    </w:lvl>
    <w:lvl w:ilvl="7">
      <w:start w:val="1"/>
      <w:numFmt w:val="bullet"/>
      <w:lvlText w:val="o"/>
      <w:lvlJc w:val="left"/>
      <w:pPr>
        <w:tabs>
          <w:tab w:val="num" w:pos="2155"/>
        </w:tabs>
        <w:ind w:left="2268" w:hanging="340"/>
      </w:pPr>
      <w:rPr>
        <w:rFonts w:ascii="Segoe UI Emoji" w:hAnsi="Segoe UI Emoji" w:hint="default"/>
      </w:rPr>
    </w:lvl>
    <w:lvl w:ilvl="8">
      <w:start w:val="1"/>
      <w:numFmt w:val="bullet"/>
      <w:lvlText w:val=""/>
      <w:lvlJc w:val="left"/>
      <w:pPr>
        <w:ind w:left="2495" w:hanging="284"/>
      </w:pPr>
      <w:rPr>
        <w:rFonts w:ascii="TimesNewRoman" w:hAnsi="TimesNewRoman" w:hint="default"/>
      </w:rPr>
    </w:lvl>
  </w:abstractNum>
  <w:abstractNum w:abstractNumId="19" w15:restartNumberingAfterBreak="0">
    <w:nsid w:val="1DD9426E"/>
    <w:multiLevelType w:val="hybridMultilevel"/>
    <w:tmpl w:val="94C251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2C22BA8"/>
    <w:multiLevelType w:val="hybridMultilevel"/>
    <w:tmpl w:val="191A4934"/>
    <w:lvl w:ilvl="0" w:tplc="E7C28008">
      <w:start w:val="4"/>
      <w:numFmt w:val="bullet"/>
      <w:pStyle w:val="Bulletindent1last"/>
      <w:lvlText w:val=""/>
      <w:lvlJc w:val="left"/>
      <w:pPr>
        <w:tabs>
          <w:tab w:val="num" w:pos="1418"/>
        </w:tabs>
        <w:ind w:left="1418" w:hanging="284"/>
      </w:pPr>
      <w:rPr>
        <w:rFonts w:ascii="Segoe UI" w:hAnsi="Segoe UI" w:hint="default"/>
        <w:color w:val="auto"/>
        <w:sz w:val="24"/>
        <w:szCs w:val="24"/>
      </w:rPr>
    </w:lvl>
    <w:lvl w:ilvl="1" w:tplc="08090003" w:tentative="1">
      <w:start w:val="1"/>
      <w:numFmt w:val="bullet"/>
      <w:lvlText w:val="o"/>
      <w:lvlJc w:val="left"/>
      <w:pPr>
        <w:tabs>
          <w:tab w:val="num" w:pos="1440"/>
        </w:tabs>
        <w:ind w:left="1440" w:hanging="360"/>
      </w:pPr>
      <w:rPr>
        <w:rFonts w:ascii="Segoe UI Emoji" w:hAnsi="Segoe UI Emoji" w:cs="Segoe UI Emoji" w:hint="default"/>
      </w:rPr>
    </w:lvl>
    <w:lvl w:ilvl="2" w:tplc="08090005" w:tentative="1">
      <w:start w:val="1"/>
      <w:numFmt w:val="bullet"/>
      <w:lvlText w:val=""/>
      <w:lvlJc w:val="left"/>
      <w:pPr>
        <w:tabs>
          <w:tab w:val="num" w:pos="2160"/>
        </w:tabs>
        <w:ind w:left="2160" w:hanging="360"/>
      </w:pPr>
      <w:rPr>
        <w:rFonts w:ascii="TimesNewRoman" w:hAnsi="TimesNewRoman" w:hint="default"/>
      </w:rPr>
    </w:lvl>
    <w:lvl w:ilvl="3" w:tplc="08090001" w:tentative="1">
      <w:start w:val="1"/>
      <w:numFmt w:val="bullet"/>
      <w:lvlText w:val=""/>
      <w:lvlJc w:val="left"/>
      <w:pPr>
        <w:tabs>
          <w:tab w:val="num" w:pos="2880"/>
        </w:tabs>
        <w:ind w:left="2880" w:hanging="360"/>
      </w:pPr>
      <w:rPr>
        <w:rFonts w:ascii="Segoe UI" w:hAnsi="Segoe UI" w:hint="default"/>
      </w:rPr>
    </w:lvl>
    <w:lvl w:ilvl="4" w:tplc="08090003" w:tentative="1">
      <w:start w:val="1"/>
      <w:numFmt w:val="bullet"/>
      <w:lvlText w:val="o"/>
      <w:lvlJc w:val="left"/>
      <w:pPr>
        <w:tabs>
          <w:tab w:val="num" w:pos="3600"/>
        </w:tabs>
        <w:ind w:left="3600" w:hanging="360"/>
      </w:pPr>
      <w:rPr>
        <w:rFonts w:ascii="Segoe UI Emoji" w:hAnsi="Segoe UI Emoji" w:cs="Segoe UI Emoji" w:hint="default"/>
      </w:rPr>
    </w:lvl>
    <w:lvl w:ilvl="5" w:tplc="08090005" w:tentative="1">
      <w:start w:val="1"/>
      <w:numFmt w:val="bullet"/>
      <w:lvlText w:val=""/>
      <w:lvlJc w:val="left"/>
      <w:pPr>
        <w:tabs>
          <w:tab w:val="num" w:pos="4320"/>
        </w:tabs>
        <w:ind w:left="4320" w:hanging="360"/>
      </w:pPr>
      <w:rPr>
        <w:rFonts w:ascii="TimesNewRoman" w:hAnsi="TimesNewRoman" w:hint="default"/>
      </w:rPr>
    </w:lvl>
    <w:lvl w:ilvl="6" w:tplc="08090001" w:tentative="1">
      <w:start w:val="1"/>
      <w:numFmt w:val="bullet"/>
      <w:lvlText w:val=""/>
      <w:lvlJc w:val="left"/>
      <w:pPr>
        <w:tabs>
          <w:tab w:val="num" w:pos="5040"/>
        </w:tabs>
        <w:ind w:left="5040" w:hanging="360"/>
      </w:pPr>
      <w:rPr>
        <w:rFonts w:ascii="Segoe UI" w:hAnsi="Segoe UI" w:hint="default"/>
      </w:rPr>
    </w:lvl>
    <w:lvl w:ilvl="7" w:tplc="08090003" w:tentative="1">
      <w:start w:val="1"/>
      <w:numFmt w:val="bullet"/>
      <w:lvlText w:val="o"/>
      <w:lvlJc w:val="left"/>
      <w:pPr>
        <w:tabs>
          <w:tab w:val="num" w:pos="5760"/>
        </w:tabs>
        <w:ind w:left="5760" w:hanging="360"/>
      </w:pPr>
      <w:rPr>
        <w:rFonts w:ascii="Segoe UI Emoji" w:hAnsi="Segoe UI Emoji" w:cs="Segoe UI Emoji" w:hint="default"/>
      </w:rPr>
    </w:lvl>
    <w:lvl w:ilvl="8" w:tplc="08090005" w:tentative="1">
      <w:start w:val="1"/>
      <w:numFmt w:val="bullet"/>
      <w:lvlText w:val=""/>
      <w:lvlJc w:val="left"/>
      <w:pPr>
        <w:tabs>
          <w:tab w:val="num" w:pos="6480"/>
        </w:tabs>
        <w:ind w:left="6480" w:hanging="360"/>
      </w:pPr>
      <w:rPr>
        <w:rFonts w:ascii="TimesNewRoman" w:hAnsi="TimesNewRoman" w:hint="default"/>
      </w:rPr>
    </w:lvl>
  </w:abstractNum>
  <w:abstractNum w:abstractNumId="21" w15:restartNumberingAfterBreak="0">
    <w:nsid w:val="245C240F"/>
    <w:multiLevelType w:val="hybridMultilevel"/>
    <w:tmpl w:val="EC840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65711E"/>
    <w:multiLevelType w:val="hybridMultilevel"/>
    <w:tmpl w:val="94F6165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25695B31"/>
    <w:multiLevelType w:val="hybridMultilevel"/>
    <w:tmpl w:val="73FC09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6E6777D"/>
    <w:multiLevelType w:val="hybridMultilevel"/>
    <w:tmpl w:val="83B8CD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9EE3DFB"/>
    <w:multiLevelType w:val="hybridMultilevel"/>
    <w:tmpl w:val="26ECB7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B087A1C"/>
    <w:multiLevelType w:val="multilevel"/>
    <w:tmpl w:val="A8D6A330"/>
    <w:lvl w:ilvl="0">
      <w:start w:val="1"/>
      <w:numFmt w:val="bullet"/>
      <w:lvlText w:val=""/>
      <w:lvlJc w:val="left"/>
      <w:pPr>
        <w:ind w:left="227" w:hanging="170"/>
      </w:pPr>
      <w:rPr>
        <w:rFonts w:ascii="Symbol" w:hAnsi="Symbol" w:hint="default"/>
      </w:rPr>
    </w:lvl>
    <w:lvl w:ilvl="1">
      <w:start w:val="1"/>
      <w:numFmt w:val="bullet"/>
      <w:lvlText w:val="o"/>
      <w:lvlJc w:val="left"/>
      <w:pPr>
        <w:tabs>
          <w:tab w:val="num" w:pos="397"/>
        </w:tabs>
        <w:ind w:left="397" w:hanging="170"/>
      </w:pPr>
      <w:rPr>
        <w:rFonts w:ascii="Segoe UI Emoji" w:hAnsi="Segoe UI Emoji" w:hint="default"/>
      </w:rPr>
    </w:lvl>
    <w:lvl w:ilvl="2">
      <w:start w:val="1"/>
      <w:numFmt w:val="bullet"/>
      <w:lvlText w:val=""/>
      <w:lvlJc w:val="left"/>
      <w:pPr>
        <w:ind w:left="757" w:hanging="360"/>
      </w:pPr>
      <w:rPr>
        <w:rFonts w:ascii="Wingdings" w:hAnsi="Wingdings" w:hint="default"/>
      </w:rPr>
    </w:lvl>
    <w:lvl w:ilvl="3">
      <w:start w:val="1"/>
      <w:numFmt w:val="bullet"/>
      <w:lvlText w:val=""/>
      <w:lvlJc w:val="left"/>
      <w:pPr>
        <w:tabs>
          <w:tab w:val="num" w:pos="794"/>
        </w:tabs>
        <w:ind w:left="794" w:hanging="170"/>
      </w:pPr>
      <w:rPr>
        <w:rFonts w:ascii="Symbol" w:hAnsi="Symbol" w:hint="default"/>
      </w:rPr>
    </w:lvl>
    <w:lvl w:ilvl="4">
      <w:start w:val="1"/>
      <w:numFmt w:val="bullet"/>
      <w:lvlText w:val="o"/>
      <w:lvlJc w:val="left"/>
      <w:pPr>
        <w:tabs>
          <w:tab w:val="num" w:pos="1361"/>
        </w:tabs>
        <w:ind w:left="1361" w:hanging="227"/>
      </w:pPr>
      <w:rPr>
        <w:rFonts w:ascii="Symbol" w:hAnsi="Symbol" w:hint="default"/>
      </w:rPr>
    </w:lvl>
    <w:lvl w:ilvl="5">
      <w:start w:val="1"/>
      <w:numFmt w:val="bullet"/>
      <w:lvlText w:val=""/>
      <w:lvlJc w:val="left"/>
      <w:pPr>
        <w:tabs>
          <w:tab w:val="num" w:pos="1588"/>
        </w:tabs>
        <w:ind w:left="1588" w:hanging="170"/>
      </w:pPr>
      <w:rPr>
        <w:rFonts w:ascii="TimesNewRoman" w:hAnsi="TimesNewRoman" w:hint="default"/>
      </w:rPr>
    </w:lvl>
    <w:lvl w:ilvl="6">
      <w:start w:val="1"/>
      <w:numFmt w:val="bullet"/>
      <w:lvlText w:val=""/>
      <w:lvlJc w:val="left"/>
      <w:pPr>
        <w:tabs>
          <w:tab w:val="num" w:pos="1871"/>
        </w:tabs>
        <w:ind w:left="1928" w:hanging="284"/>
      </w:pPr>
      <w:rPr>
        <w:rFonts w:ascii="Segoe UI" w:hAnsi="Segoe UI" w:hint="default"/>
      </w:rPr>
    </w:lvl>
    <w:lvl w:ilvl="7">
      <w:start w:val="1"/>
      <w:numFmt w:val="bullet"/>
      <w:lvlText w:val="o"/>
      <w:lvlJc w:val="left"/>
      <w:pPr>
        <w:tabs>
          <w:tab w:val="num" w:pos="2155"/>
        </w:tabs>
        <w:ind w:left="2268" w:hanging="340"/>
      </w:pPr>
      <w:rPr>
        <w:rFonts w:ascii="Segoe UI Emoji" w:hAnsi="Segoe UI Emoji" w:hint="default"/>
      </w:rPr>
    </w:lvl>
    <w:lvl w:ilvl="8">
      <w:start w:val="1"/>
      <w:numFmt w:val="bullet"/>
      <w:lvlText w:val=""/>
      <w:lvlJc w:val="left"/>
      <w:pPr>
        <w:ind w:left="2495" w:hanging="284"/>
      </w:pPr>
      <w:rPr>
        <w:rFonts w:ascii="TimesNewRoman" w:hAnsi="TimesNewRoman" w:hint="default"/>
      </w:rPr>
    </w:lvl>
  </w:abstractNum>
  <w:abstractNum w:abstractNumId="27" w15:restartNumberingAfterBreak="0">
    <w:nsid w:val="31BF3872"/>
    <w:multiLevelType w:val="hybridMultilevel"/>
    <w:tmpl w:val="6A18AF48"/>
    <w:lvl w:ilvl="0" w:tplc="05700BAE">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5455ACC"/>
    <w:multiLevelType w:val="multilevel"/>
    <w:tmpl w:val="A8D6A330"/>
    <w:lvl w:ilvl="0">
      <w:start w:val="1"/>
      <w:numFmt w:val="bullet"/>
      <w:lvlText w:val=""/>
      <w:lvlJc w:val="left"/>
      <w:pPr>
        <w:ind w:left="227" w:hanging="170"/>
      </w:pPr>
      <w:rPr>
        <w:rFonts w:ascii="Symbol" w:hAnsi="Symbol" w:hint="default"/>
      </w:rPr>
    </w:lvl>
    <w:lvl w:ilvl="1">
      <w:start w:val="1"/>
      <w:numFmt w:val="bullet"/>
      <w:lvlText w:val="o"/>
      <w:lvlJc w:val="left"/>
      <w:pPr>
        <w:tabs>
          <w:tab w:val="num" w:pos="397"/>
        </w:tabs>
        <w:ind w:left="397" w:hanging="170"/>
      </w:pPr>
      <w:rPr>
        <w:rFonts w:ascii="Segoe UI Emoji" w:hAnsi="Segoe UI Emoji" w:hint="default"/>
      </w:rPr>
    </w:lvl>
    <w:lvl w:ilvl="2">
      <w:start w:val="1"/>
      <w:numFmt w:val="bullet"/>
      <w:lvlText w:val=""/>
      <w:lvlJc w:val="left"/>
      <w:pPr>
        <w:ind w:left="757" w:hanging="360"/>
      </w:pPr>
      <w:rPr>
        <w:rFonts w:ascii="Wingdings" w:hAnsi="Wingdings" w:hint="default"/>
      </w:rPr>
    </w:lvl>
    <w:lvl w:ilvl="3">
      <w:start w:val="1"/>
      <w:numFmt w:val="bullet"/>
      <w:lvlText w:val=""/>
      <w:lvlJc w:val="left"/>
      <w:pPr>
        <w:tabs>
          <w:tab w:val="num" w:pos="794"/>
        </w:tabs>
        <w:ind w:left="794" w:hanging="170"/>
      </w:pPr>
      <w:rPr>
        <w:rFonts w:ascii="Symbol" w:hAnsi="Symbol" w:hint="default"/>
      </w:rPr>
    </w:lvl>
    <w:lvl w:ilvl="4">
      <w:start w:val="1"/>
      <w:numFmt w:val="bullet"/>
      <w:lvlText w:val="o"/>
      <w:lvlJc w:val="left"/>
      <w:pPr>
        <w:tabs>
          <w:tab w:val="num" w:pos="1361"/>
        </w:tabs>
        <w:ind w:left="1361" w:hanging="227"/>
      </w:pPr>
      <w:rPr>
        <w:rFonts w:ascii="Symbol" w:hAnsi="Symbol" w:hint="default"/>
      </w:rPr>
    </w:lvl>
    <w:lvl w:ilvl="5">
      <w:start w:val="1"/>
      <w:numFmt w:val="bullet"/>
      <w:lvlText w:val=""/>
      <w:lvlJc w:val="left"/>
      <w:pPr>
        <w:tabs>
          <w:tab w:val="num" w:pos="1588"/>
        </w:tabs>
        <w:ind w:left="1588" w:hanging="170"/>
      </w:pPr>
      <w:rPr>
        <w:rFonts w:ascii="TimesNewRoman" w:hAnsi="TimesNewRoman" w:hint="default"/>
      </w:rPr>
    </w:lvl>
    <w:lvl w:ilvl="6">
      <w:start w:val="1"/>
      <w:numFmt w:val="bullet"/>
      <w:lvlText w:val=""/>
      <w:lvlJc w:val="left"/>
      <w:pPr>
        <w:tabs>
          <w:tab w:val="num" w:pos="1871"/>
        </w:tabs>
        <w:ind w:left="1928" w:hanging="284"/>
      </w:pPr>
      <w:rPr>
        <w:rFonts w:ascii="Segoe UI" w:hAnsi="Segoe UI" w:hint="default"/>
      </w:rPr>
    </w:lvl>
    <w:lvl w:ilvl="7">
      <w:start w:val="1"/>
      <w:numFmt w:val="bullet"/>
      <w:lvlText w:val="o"/>
      <w:lvlJc w:val="left"/>
      <w:pPr>
        <w:tabs>
          <w:tab w:val="num" w:pos="2155"/>
        </w:tabs>
        <w:ind w:left="2268" w:hanging="340"/>
      </w:pPr>
      <w:rPr>
        <w:rFonts w:ascii="Segoe UI Emoji" w:hAnsi="Segoe UI Emoji" w:hint="default"/>
      </w:rPr>
    </w:lvl>
    <w:lvl w:ilvl="8">
      <w:start w:val="1"/>
      <w:numFmt w:val="bullet"/>
      <w:lvlText w:val=""/>
      <w:lvlJc w:val="left"/>
      <w:pPr>
        <w:ind w:left="2495" w:hanging="284"/>
      </w:pPr>
      <w:rPr>
        <w:rFonts w:ascii="TimesNewRoman" w:hAnsi="TimesNewRoman" w:hint="default"/>
      </w:rPr>
    </w:lvl>
  </w:abstractNum>
  <w:abstractNum w:abstractNumId="29" w15:restartNumberingAfterBreak="0">
    <w:nsid w:val="35B63F16"/>
    <w:multiLevelType w:val="hybridMultilevel"/>
    <w:tmpl w:val="EE0CC8AE"/>
    <w:lvl w:ilvl="0" w:tplc="6BD67A3A">
      <w:start w:val="1"/>
      <w:numFmt w:val="bullet"/>
      <w:lvlText w:val=""/>
      <w:lvlJc w:val="left"/>
      <w:pPr>
        <w:ind w:left="720" w:hanging="360"/>
      </w:pPr>
      <w:rPr>
        <w:rFonts w:ascii="Symbol" w:hAnsi="Symbol"/>
      </w:rPr>
    </w:lvl>
    <w:lvl w:ilvl="1" w:tplc="956CC8A8">
      <w:start w:val="1"/>
      <w:numFmt w:val="bullet"/>
      <w:lvlText w:val=""/>
      <w:lvlJc w:val="left"/>
      <w:pPr>
        <w:ind w:left="720" w:hanging="360"/>
      </w:pPr>
      <w:rPr>
        <w:rFonts w:ascii="Symbol" w:hAnsi="Symbol"/>
      </w:rPr>
    </w:lvl>
    <w:lvl w:ilvl="2" w:tplc="8370C08A">
      <w:start w:val="1"/>
      <w:numFmt w:val="bullet"/>
      <w:lvlText w:val=""/>
      <w:lvlJc w:val="left"/>
      <w:pPr>
        <w:ind w:left="720" w:hanging="360"/>
      </w:pPr>
      <w:rPr>
        <w:rFonts w:ascii="Symbol" w:hAnsi="Symbol"/>
      </w:rPr>
    </w:lvl>
    <w:lvl w:ilvl="3" w:tplc="E18C37C6">
      <w:start w:val="1"/>
      <w:numFmt w:val="bullet"/>
      <w:lvlText w:val=""/>
      <w:lvlJc w:val="left"/>
      <w:pPr>
        <w:ind w:left="720" w:hanging="360"/>
      </w:pPr>
      <w:rPr>
        <w:rFonts w:ascii="Symbol" w:hAnsi="Symbol"/>
      </w:rPr>
    </w:lvl>
    <w:lvl w:ilvl="4" w:tplc="1D8E59C8">
      <w:start w:val="1"/>
      <w:numFmt w:val="bullet"/>
      <w:lvlText w:val=""/>
      <w:lvlJc w:val="left"/>
      <w:pPr>
        <w:ind w:left="720" w:hanging="360"/>
      </w:pPr>
      <w:rPr>
        <w:rFonts w:ascii="Symbol" w:hAnsi="Symbol"/>
      </w:rPr>
    </w:lvl>
    <w:lvl w:ilvl="5" w:tplc="BD283E54">
      <w:start w:val="1"/>
      <w:numFmt w:val="bullet"/>
      <w:lvlText w:val=""/>
      <w:lvlJc w:val="left"/>
      <w:pPr>
        <w:ind w:left="720" w:hanging="360"/>
      </w:pPr>
      <w:rPr>
        <w:rFonts w:ascii="Symbol" w:hAnsi="Symbol"/>
      </w:rPr>
    </w:lvl>
    <w:lvl w:ilvl="6" w:tplc="69A2E152">
      <w:start w:val="1"/>
      <w:numFmt w:val="bullet"/>
      <w:lvlText w:val=""/>
      <w:lvlJc w:val="left"/>
      <w:pPr>
        <w:ind w:left="720" w:hanging="360"/>
      </w:pPr>
      <w:rPr>
        <w:rFonts w:ascii="Symbol" w:hAnsi="Symbol"/>
      </w:rPr>
    </w:lvl>
    <w:lvl w:ilvl="7" w:tplc="825436C6">
      <w:start w:val="1"/>
      <w:numFmt w:val="bullet"/>
      <w:lvlText w:val=""/>
      <w:lvlJc w:val="left"/>
      <w:pPr>
        <w:ind w:left="720" w:hanging="360"/>
      </w:pPr>
      <w:rPr>
        <w:rFonts w:ascii="Symbol" w:hAnsi="Symbol"/>
      </w:rPr>
    </w:lvl>
    <w:lvl w:ilvl="8" w:tplc="D6FAD428">
      <w:start w:val="1"/>
      <w:numFmt w:val="bullet"/>
      <w:lvlText w:val=""/>
      <w:lvlJc w:val="left"/>
      <w:pPr>
        <w:ind w:left="720" w:hanging="360"/>
      </w:pPr>
      <w:rPr>
        <w:rFonts w:ascii="Symbol" w:hAnsi="Symbol"/>
      </w:rPr>
    </w:lvl>
  </w:abstractNum>
  <w:abstractNum w:abstractNumId="30" w15:restartNumberingAfterBreak="0">
    <w:nsid w:val="36592C04"/>
    <w:multiLevelType w:val="multilevel"/>
    <w:tmpl w:val="A8D6A330"/>
    <w:lvl w:ilvl="0">
      <w:start w:val="1"/>
      <w:numFmt w:val="bullet"/>
      <w:lvlText w:val=""/>
      <w:lvlJc w:val="left"/>
      <w:pPr>
        <w:ind w:left="227" w:hanging="170"/>
      </w:pPr>
      <w:rPr>
        <w:rFonts w:ascii="Symbol" w:hAnsi="Symbol" w:hint="default"/>
      </w:rPr>
    </w:lvl>
    <w:lvl w:ilvl="1">
      <w:start w:val="1"/>
      <w:numFmt w:val="bullet"/>
      <w:lvlText w:val="o"/>
      <w:lvlJc w:val="left"/>
      <w:pPr>
        <w:tabs>
          <w:tab w:val="num" w:pos="397"/>
        </w:tabs>
        <w:ind w:left="397" w:hanging="170"/>
      </w:pPr>
      <w:rPr>
        <w:rFonts w:ascii="Segoe UI Emoji" w:hAnsi="Segoe UI Emoji" w:hint="default"/>
      </w:rPr>
    </w:lvl>
    <w:lvl w:ilvl="2">
      <w:start w:val="1"/>
      <w:numFmt w:val="bullet"/>
      <w:lvlText w:val=""/>
      <w:lvlJc w:val="left"/>
      <w:pPr>
        <w:ind w:left="757" w:hanging="360"/>
      </w:pPr>
      <w:rPr>
        <w:rFonts w:ascii="Wingdings" w:hAnsi="Wingdings" w:hint="default"/>
      </w:rPr>
    </w:lvl>
    <w:lvl w:ilvl="3">
      <w:start w:val="1"/>
      <w:numFmt w:val="bullet"/>
      <w:lvlText w:val=""/>
      <w:lvlJc w:val="left"/>
      <w:pPr>
        <w:tabs>
          <w:tab w:val="num" w:pos="794"/>
        </w:tabs>
        <w:ind w:left="794" w:hanging="170"/>
      </w:pPr>
      <w:rPr>
        <w:rFonts w:ascii="Symbol" w:hAnsi="Symbol" w:hint="default"/>
      </w:rPr>
    </w:lvl>
    <w:lvl w:ilvl="4">
      <w:start w:val="1"/>
      <w:numFmt w:val="bullet"/>
      <w:lvlText w:val="o"/>
      <w:lvlJc w:val="left"/>
      <w:pPr>
        <w:tabs>
          <w:tab w:val="num" w:pos="1361"/>
        </w:tabs>
        <w:ind w:left="1361" w:hanging="227"/>
      </w:pPr>
      <w:rPr>
        <w:rFonts w:ascii="Symbol" w:hAnsi="Symbol" w:hint="default"/>
      </w:rPr>
    </w:lvl>
    <w:lvl w:ilvl="5">
      <w:start w:val="1"/>
      <w:numFmt w:val="bullet"/>
      <w:lvlText w:val=""/>
      <w:lvlJc w:val="left"/>
      <w:pPr>
        <w:tabs>
          <w:tab w:val="num" w:pos="1588"/>
        </w:tabs>
        <w:ind w:left="1588" w:hanging="170"/>
      </w:pPr>
      <w:rPr>
        <w:rFonts w:ascii="TimesNewRoman" w:hAnsi="TimesNewRoman" w:hint="default"/>
      </w:rPr>
    </w:lvl>
    <w:lvl w:ilvl="6">
      <w:start w:val="1"/>
      <w:numFmt w:val="bullet"/>
      <w:lvlText w:val=""/>
      <w:lvlJc w:val="left"/>
      <w:pPr>
        <w:tabs>
          <w:tab w:val="num" w:pos="1871"/>
        </w:tabs>
        <w:ind w:left="1928" w:hanging="284"/>
      </w:pPr>
      <w:rPr>
        <w:rFonts w:ascii="Segoe UI" w:hAnsi="Segoe UI" w:hint="default"/>
      </w:rPr>
    </w:lvl>
    <w:lvl w:ilvl="7">
      <w:start w:val="1"/>
      <w:numFmt w:val="bullet"/>
      <w:lvlText w:val="o"/>
      <w:lvlJc w:val="left"/>
      <w:pPr>
        <w:tabs>
          <w:tab w:val="num" w:pos="2155"/>
        </w:tabs>
        <w:ind w:left="2268" w:hanging="340"/>
      </w:pPr>
      <w:rPr>
        <w:rFonts w:ascii="Segoe UI Emoji" w:hAnsi="Segoe UI Emoji" w:hint="default"/>
      </w:rPr>
    </w:lvl>
    <w:lvl w:ilvl="8">
      <w:start w:val="1"/>
      <w:numFmt w:val="bullet"/>
      <w:lvlText w:val=""/>
      <w:lvlJc w:val="left"/>
      <w:pPr>
        <w:ind w:left="2495" w:hanging="284"/>
      </w:pPr>
      <w:rPr>
        <w:rFonts w:ascii="TimesNewRoman" w:hAnsi="TimesNewRoman" w:hint="default"/>
      </w:rPr>
    </w:lvl>
  </w:abstractNum>
  <w:abstractNum w:abstractNumId="31" w15:restartNumberingAfterBreak="0">
    <w:nsid w:val="36CD181A"/>
    <w:multiLevelType w:val="hybridMultilevel"/>
    <w:tmpl w:val="87E84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7044420"/>
    <w:multiLevelType w:val="hybridMultilevel"/>
    <w:tmpl w:val="EC8406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7586AED"/>
    <w:multiLevelType w:val="hybridMultilevel"/>
    <w:tmpl w:val="C756BD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9647386"/>
    <w:multiLevelType w:val="hybridMultilevel"/>
    <w:tmpl w:val="5328787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3B3E69D1"/>
    <w:multiLevelType w:val="hybridMultilevel"/>
    <w:tmpl w:val="9C5CF3C2"/>
    <w:lvl w:ilvl="0" w:tplc="08090001">
      <w:start w:val="1"/>
      <w:numFmt w:val="bullet"/>
      <w:lvlText w:val=""/>
      <w:lvlJc w:val="left"/>
      <w:pPr>
        <w:ind w:left="1012" w:hanging="360"/>
      </w:pPr>
      <w:rPr>
        <w:rFonts w:ascii="Symbol" w:hAnsi="Symbol" w:hint="default"/>
      </w:rPr>
    </w:lvl>
    <w:lvl w:ilvl="1" w:tplc="08090003" w:tentative="1">
      <w:start w:val="1"/>
      <w:numFmt w:val="bullet"/>
      <w:lvlText w:val="o"/>
      <w:lvlJc w:val="left"/>
      <w:pPr>
        <w:ind w:left="1732" w:hanging="360"/>
      </w:pPr>
      <w:rPr>
        <w:rFonts w:ascii="Courier New" w:hAnsi="Courier New" w:cs="Courier New" w:hint="default"/>
      </w:rPr>
    </w:lvl>
    <w:lvl w:ilvl="2" w:tplc="08090005" w:tentative="1">
      <w:start w:val="1"/>
      <w:numFmt w:val="bullet"/>
      <w:lvlText w:val=""/>
      <w:lvlJc w:val="left"/>
      <w:pPr>
        <w:ind w:left="2452" w:hanging="360"/>
      </w:pPr>
      <w:rPr>
        <w:rFonts w:ascii="Wingdings" w:hAnsi="Wingdings" w:hint="default"/>
      </w:rPr>
    </w:lvl>
    <w:lvl w:ilvl="3" w:tplc="08090001" w:tentative="1">
      <w:start w:val="1"/>
      <w:numFmt w:val="bullet"/>
      <w:lvlText w:val=""/>
      <w:lvlJc w:val="left"/>
      <w:pPr>
        <w:ind w:left="3172" w:hanging="360"/>
      </w:pPr>
      <w:rPr>
        <w:rFonts w:ascii="Symbol" w:hAnsi="Symbol" w:hint="default"/>
      </w:rPr>
    </w:lvl>
    <w:lvl w:ilvl="4" w:tplc="08090003" w:tentative="1">
      <w:start w:val="1"/>
      <w:numFmt w:val="bullet"/>
      <w:lvlText w:val="o"/>
      <w:lvlJc w:val="left"/>
      <w:pPr>
        <w:ind w:left="3892" w:hanging="360"/>
      </w:pPr>
      <w:rPr>
        <w:rFonts w:ascii="Courier New" w:hAnsi="Courier New" w:cs="Courier New" w:hint="default"/>
      </w:rPr>
    </w:lvl>
    <w:lvl w:ilvl="5" w:tplc="08090005" w:tentative="1">
      <w:start w:val="1"/>
      <w:numFmt w:val="bullet"/>
      <w:lvlText w:val=""/>
      <w:lvlJc w:val="left"/>
      <w:pPr>
        <w:ind w:left="4612" w:hanging="360"/>
      </w:pPr>
      <w:rPr>
        <w:rFonts w:ascii="Wingdings" w:hAnsi="Wingdings" w:hint="default"/>
      </w:rPr>
    </w:lvl>
    <w:lvl w:ilvl="6" w:tplc="08090001" w:tentative="1">
      <w:start w:val="1"/>
      <w:numFmt w:val="bullet"/>
      <w:lvlText w:val=""/>
      <w:lvlJc w:val="left"/>
      <w:pPr>
        <w:ind w:left="5332" w:hanging="360"/>
      </w:pPr>
      <w:rPr>
        <w:rFonts w:ascii="Symbol" w:hAnsi="Symbol" w:hint="default"/>
      </w:rPr>
    </w:lvl>
    <w:lvl w:ilvl="7" w:tplc="08090003" w:tentative="1">
      <w:start w:val="1"/>
      <w:numFmt w:val="bullet"/>
      <w:lvlText w:val="o"/>
      <w:lvlJc w:val="left"/>
      <w:pPr>
        <w:ind w:left="6052" w:hanging="360"/>
      </w:pPr>
      <w:rPr>
        <w:rFonts w:ascii="Courier New" w:hAnsi="Courier New" w:cs="Courier New" w:hint="default"/>
      </w:rPr>
    </w:lvl>
    <w:lvl w:ilvl="8" w:tplc="08090005" w:tentative="1">
      <w:start w:val="1"/>
      <w:numFmt w:val="bullet"/>
      <w:lvlText w:val=""/>
      <w:lvlJc w:val="left"/>
      <w:pPr>
        <w:ind w:left="6772" w:hanging="360"/>
      </w:pPr>
      <w:rPr>
        <w:rFonts w:ascii="Wingdings" w:hAnsi="Wingdings" w:hint="default"/>
      </w:rPr>
    </w:lvl>
  </w:abstractNum>
  <w:abstractNum w:abstractNumId="36" w15:restartNumberingAfterBreak="0">
    <w:nsid w:val="3DE958D2"/>
    <w:multiLevelType w:val="hybridMultilevel"/>
    <w:tmpl w:val="5F106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3E12727C"/>
    <w:multiLevelType w:val="multilevel"/>
    <w:tmpl w:val="A8D6A330"/>
    <w:lvl w:ilvl="0">
      <w:start w:val="1"/>
      <w:numFmt w:val="bullet"/>
      <w:lvlText w:val=""/>
      <w:lvlJc w:val="left"/>
      <w:pPr>
        <w:ind w:left="227" w:hanging="170"/>
      </w:pPr>
      <w:rPr>
        <w:rFonts w:ascii="Symbol" w:hAnsi="Symbol" w:hint="default"/>
      </w:rPr>
    </w:lvl>
    <w:lvl w:ilvl="1">
      <w:start w:val="1"/>
      <w:numFmt w:val="bullet"/>
      <w:lvlText w:val="o"/>
      <w:lvlJc w:val="left"/>
      <w:pPr>
        <w:tabs>
          <w:tab w:val="num" w:pos="397"/>
        </w:tabs>
        <w:ind w:left="397" w:hanging="170"/>
      </w:pPr>
      <w:rPr>
        <w:rFonts w:ascii="Segoe UI Emoji" w:hAnsi="Segoe UI Emoji" w:hint="default"/>
      </w:rPr>
    </w:lvl>
    <w:lvl w:ilvl="2">
      <w:start w:val="1"/>
      <w:numFmt w:val="bullet"/>
      <w:lvlText w:val=""/>
      <w:lvlJc w:val="left"/>
      <w:pPr>
        <w:ind w:left="757" w:hanging="360"/>
      </w:pPr>
      <w:rPr>
        <w:rFonts w:ascii="Wingdings" w:hAnsi="Wingdings" w:hint="default"/>
      </w:rPr>
    </w:lvl>
    <w:lvl w:ilvl="3">
      <w:start w:val="1"/>
      <w:numFmt w:val="bullet"/>
      <w:lvlText w:val=""/>
      <w:lvlJc w:val="left"/>
      <w:pPr>
        <w:tabs>
          <w:tab w:val="num" w:pos="794"/>
        </w:tabs>
        <w:ind w:left="794" w:hanging="170"/>
      </w:pPr>
      <w:rPr>
        <w:rFonts w:ascii="Symbol" w:hAnsi="Symbol" w:hint="default"/>
      </w:rPr>
    </w:lvl>
    <w:lvl w:ilvl="4">
      <w:start w:val="1"/>
      <w:numFmt w:val="bullet"/>
      <w:lvlText w:val="o"/>
      <w:lvlJc w:val="left"/>
      <w:pPr>
        <w:tabs>
          <w:tab w:val="num" w:pos="1361"/>
        </w:tabs>
        <w:ind w:left="1361" w:hanging="227"/>
      </w:pPr>
      <w:rPr>
        <w:rFonts w:ascii="Symbol" w:hAnsi="Symbol" w:hint="default"/>
      </w:rPr>
    </w:lvl>
    <w:lvl w:ilvl="5">
      <w:start w:val="1"/>
      <w:numFmt w:val="bullet"/>
      <w:lvlText w:val=""/>
      <w:lvlJc w:val="left"/>
      <w:pPr>
        <w:tabs>
          <w:tab w:val="num" w:pos="1588"/>
        </w:tabs>
        <w:ind w:left="1588" w:hanging="170"/>
      </w:pPr>
      <w:rPr>
        <w:rFonts w:ascii="TimesNewRoman" w:hAnsi="TimesNewRoman" w:hint="default"/>
      </w:rPr>
    </w:lvl>
    <w:lvl w:ilvl="6">
      <w:start w:val="1"/>
      <w:numFmt w:val="bullet"/>
      <w:lvlText w:val=""/>
      <w:lvlJc w:val="left"/>
      <w:pPr>
        <w:tabs>
          <w:tab w:val="num" w:pos="1871"/>
        </w:tabs>
        <w:ind w:left="1928" w:hanging="284"/>
      </w:pPr>
      <w:rPr>
        <w:rFonts w:ascii="Segoe UI" w:hAnsi="Segoe UI" w:hint="default"/>
      </w:rPr>
    </w:lvl>
    <w:lvl w:ilvl="7">
      <w:start w:val="1"/>
      <w:numFmt w:val="bullet"/>
      <w:lvlText w:val="o"/>
      <w:lvlJc w:val="left"/>
      <w:pPr>
        <w:tabs>
          <w:tab w:val="num" w:pos="2155"/>
        </w:tabs>
        <w:ind w:left="2268" w:hanging="340"/>
      </w:pPr>
      <w:rPr>
        <w:rFonts w:ascii="Segoe UI Emoji" w:hAnsi="Segoe UI Emoji" w:hint="default"/>
      </w:rPr>
    </w:lvl>
    <w:lvl w:ilvl="8">
      <w:start w:val="1"/>
      <w:numFmt w:val="bullet"/>
      <w:lvlText w:val=""/>
      <w:lvlJc w:val="left"/>
      <w:pPr>
        <w:ind w:left="2495" w:hanging="284"/>
      </w:pPr>
      <w:rPr>
        <w:rFonts w:ascii="TimesNewRoman" w:hAnsi="TimesNewRoman" w:hint="default"/>
      </w:rPr>
    </w:lvl>
  </w:abstractNum>
  <w:abstractNum w:abstractNumId="38" w15:restartNumberingAfterBreak="0">
    <w:nsid w:val="3E5C183D"/>
    <w:multiLevelType w:val="hybridMultilevel"/>
    <w:tmpl w:val="16D2B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3FE90B75"/>
    <w:multiLevelType w:val="hybridMultilevel"/>
    <w:tmpl w:val="5666FD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1D01AD3"/>
    <w:multiLevelType w:val="hybridMultilevel"/>
    <w:tmpl w:val="960A7F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431A7650"/>
    <w:multiLevelType w:val="multilevel"/>
    <w:tmpl w:val="A8D6A330"/>
    <w:lvl w:ilvl="0">
      <w:start w:val="1"/>
      <w:numFmt w:val="bullet"/>
      <w:lvlText w:val=""/>
      <w:lvlJc w:val="left"/>
      <w:pPr>
        <w:ind w:left="227" w:hanging="170"/>
      </w:pPr>
      <w:rPr>
        <w:rFonts w:ascii="Symbol" w:hAnsi="Symbol" w:hint="default"/>
      </w:rPr>
    </w:lvl>
    <w:lvl w:ilvl="1">
      <w:start w:val="1"/>
      <w:numFmt w:val="bullet"/>
      <w:lvlText w:val="o"/>
      <w:lvlJc w:val="left"/>
      <w:pPr>
        <w:tabs>
          <w:tab w:val="num" w:pos="397"/>
        </w:tabs>
        <w:ind w:left="397" w:hanging="170"/>
      </w:pPr>
      <w:rPr>
        <w:rFonts w:ascii="Segoe UI Emoji" w:hAnsi="Segoe UI Emoji" w:hint="default"/>
      </w:rPr>
    </w:lvl>
    <w:lvl w:ilvl="2">
      <w:start w:val="1"/>
      <w:numFmt w:val="bullet"/>
      <w:lvlText w:val=""/>
      <w:lvlJc w:val="left"/>
      <w:pPr>
        <w:ind w:left="757" w:hanging="360"/>
      </w:pPr>
      <w:rPr>
        <w:rFonts w:ascii="Wingdings" w:hAnsi="Wingdings" w:hint="default"/>
      </w:rPr>
    </w:lvl>
    <w:lvl w:ilvl="3">
      <w:start w:val="1"/>
      <w:numFmt w:val="bullet"/>
      <w:lvlText w:val=""/>
      <w:lvlJc w:val="left"/>
      <w:pPr>
        <w:tabs>
          <w:tab w:val="num" w:pos="794"/>
        </w:tabs>
        <w:ind w:left="794" w:hanging="170"/>
      </w:pPr>
      <w:rPr>
        <w:rFonts w:ascii="Symbol" w:hAnsi="Symbol" w:hint="default"/>
      </w:rPr>
    </w:lvl>
    <w:lvl w:ilvl="4">
      <w:start w:val="1"/>
      <w:numFmt w:val="bullet"/>
      <w:lvlText w:val="o"/>
      <w:lvlJc w:val="left"/>
      <w:pPr>
        <w:tabs>
          <w:tab w:val="num" w:pos="1361"/>
        </w:tabs>
        <w:ind w:left="1361" w:hanging="227"/>
      </w:pPr>
      <w:rPr>
        <w:rFonts w:ascii="Symbol" w:hAnsi="Symbol" w:hint="default"/>
      </w:rPr>
    </w:lvl>
    <w:lvl w:ilvl="5">
      <w:start w:val="1"/>
      <w:numFmt w:val="bullet"/>
      <w:lvlText w:val=""/>
      <w:lvlJc w:val="left"/>
      <w:pPr>
        <w:tabs>
          <w:tab w:val="num" w:pos="1588"/>
        </w:tabs>
        <w:ind w:left="1588" w:hanging="170"/>
      </w:pPr>
      <w:rPr>
        <w:rFonts w:ascii="TimesNewRoman" w:hAnsi="TimesNewRoman" w:hint="default"/>
      </w:rPr>
    </w:lvl>
    <w:lvl w:ilvl="6">
      <w:start w:val="1"/>
      <w:numFmt w:val="bullet"/>
      <w:lvlText w:val=""/>
      <w:lvlJc w:val="left"/>
      <w:pPr>
        <w:tabs>
          <w:tab w:val="num" w:pos="1871"/>
        </w:tabs>
        <w:ind w:left="1928" w:hanging="284"/>
      </w:pPr>
      <w:rPr>
        <w:rFonts w:ascii="Segoe UI" w:hAnsi="Segoe UI" w:hint="default"/>
      </w:rPr>
    </w:lvl>
    <w:lvl w:ilvl="7">
      <w:start w:val="1"/>
      <w:numFmt w:val="bullet"/>
      <w:lvlText w:val="o"/>
      <w:lvlJc w:val="left"/>
      <w:pPr>
        <w:tabs>
          <w:tab w:val="num" w:pos="2155"/>
        </w:tabs>
        <w:ind w:left="2268" w:hanging="340"/>
      </w:pPr>
      <w:rPr>
        <w:rFonts w:ascii="Segoe UI Emoji" w:hAnsi="Segoe UI Emoji" w:hint="default"/>
      </w:rPr>
    </w:lvl>
    <w:lvl w:ilvl="8">
      <w:start w:val="1"/>
      <w:numFmt w:val="bullet"/>
      <w:lvlText w:val=""/>
      <w:lvlJc w:val="left"/>
      <w:pPr>
        <w:ind w:left="2495" w:hanging="284"/>
      </w:pPr>
      <w:rPr>
        <w:rFonts w:ascii="TimesNewRoman" w:hAnsi="TimesNewRoman" w:hint="default"/>
      </w:rPr>
    </w:lvl>
  </w:abstractNum>
  <w:abstractNum w:abstractNumId="42" w15:restartNumberingAfterBreak="0">
    <w:nsid w:val="4339264E"/>
    <w:multiLevelType w:val="hybridMultilevel"/>
    <w:tmpl w:val="5EFEB3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3AE3CFE"/>
    <w:multiLevelType w:val="hybridMultilevel"/>
    <w:tmpl w:val="95741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441B7135"/>
    <w:multiLevelType w:val="multilevel"/>
    <w:tmpl w:val="65E8D622"/>
    <w:lvl w:ilvl="0">
      <w:start w:val="1"/>
      <w:numFmt w:val="bullet"/>
      <w:lvlText w:val=""/>
      <w:lvlJc w:val="left"/>
      <w:pPr>
        <w:tabs>
          <w:tab w:val="num" w:pos="1418"/>
        </w:tabs>
        <w:ind w:left="1418" w:hanging="284"/>
      </w:pPr>
      <w:rPr>
        <w:rFonts w:ascii="Symbol" w:hAnsi="Symbol" w:hint="default"/>
        <w:color w:val="auto"/>
      </w:rPr>
    </w:lvl>
    <w:lvl w:ilvl="1">
      <w:start w:val="1"/>
      <w:numFmt w:val="bullet"/>
      <w:pStyle w:val="Bulletindent2"/>
      <w:lvlText w:val=""/>
      <w:lvlJc w:val="left"/>
      <w:pPr>
        <w:tabs>
          <w:tab w:val="num" w:pos="1701"/>
        </w:tabs>
        <w:ind w:left="1701" w:hanging="283"/>
      </w:pPr>
      <w:rPr>
        <w:rFonts w:ascii="Symbol" w:hAnsi="Symbol" w:hint="default"/>
      </w:rPr>
    </w:lvl>
    <w:lvl w:ilvl="2">
      <w:start w:val="1"/>
      <w:numFmt w:val="decimal"/>
      <w:lvlText w:val="%3.%1.%2"/>
      <w:lvlJc w:val="left"/>
      <w:pPr>
        <w:tabs>
          <w:tab w:val="num" w:pos="1968"/>
        </w:tabs>
        <w:ind w:left="1968" w:hanging="964"/>
      </w:pPr>
      <w:rPr>
        <w:rFonts w:hint="default"/>
      </w:rPr>
    </w:lvl>
    <w:lvl w:ilvl="3">
      <w:start w:val="1"/>
      <w:numFmt w:val="decimal"/>
      <w:lvlText w:val="%1.%2.%3.%4"/>
      <w:lvlJc w:val="left"/>
      <w:pPr>
        <w:tabs>
          <w:tab w:val="num" w:pos="1968"/>
        </w:tabs>
        <w:ind w:left="1968" w:hanging="964"/>
      </w:pPr>
      <w:rPr>
        <w:rFonts w:hint="default"/>
      </w:rPr>
    </w:lvl>
    <w:lvl w:ilvl="4">
      <w:start w:val="1"/>
      <w:numFmt w:val="decimal"/>
      <w:lvlText w:val="%1.%2.%3.%4.%5."/>
      <w:lvlJc w:val="left"/>
      <w:pPr>
        <w:tabs>
          <w:tab w:val="num" w:pos="5324"/>
        </w:tabs>
        <w:ind w:left="3236" w:hanging="792"/>
      </w:pPr>
      <w:rPr>
        <w:rFonts w:hint="default"/>
      </w:rPr>
    </w:lvl>
    <w:lvl w:ilvl="5">
      <w:start w:val="1"/>
      <w:numFmt w:val="decimal"/>
      <w:lvlText w:val="%1.%2.%3.%4.%5.%6."/>
      <w:lvlJc w:val="left"/>
      <w:pPr>
        <w:tabs>
          <w:tab w:val="num" w:pos="6404"/>
        </w:tabs>
        <w:ind w:left="3740" w:hanging="936"/>
      </w:pPr>
      <w:rPr>
        <w:rFonts w:hint="default"/>
      </w:rPr>
    </w:lvl>
    <w:lvl w:ilvl="6">
      <w:start w:val="1"/>
      <w:numFmt w:val="decimal"/>
      <w:lvlText w:val="%1.%2.%3.%4.%5.%6.%7."/>
      <w:lvlJc w:val="left"/>
      <w:pPr>
        <w:tabs>
          <w:tab w:val="num" w:pos="7484"/>
        </w:tabs>
        <w:ind w:left="4244" w:hanging="1080"/>
      </w:pPr>
      <w:rPr>
        <w:rFonts w:hint="default"/>
      </w:rPr>
    </w:lvl>
    <w:lvl w:ilvl="7">
      <w:start w:val="1"/>
      <w:numFmt w:val="decimal"/>
      <w:lvlText w:val="%1.%2.%3.%4.%5.%6.%7.%8."/>
      <w:lvlJc w:val="left"/>
      <w:pPr>
        <w:tabs>
          <w:tab w:val="num" w:pos="8204"/>
        </w:tabs>
        <w:ind w:left="4748" w:hanging="1224"/>
      </w:pPr>
      <w:rPr>
        <w:rFonts w:hint="default"/>
      </w:rPr>
    </w:lvl>
    <w:lvl w:ilvl="8">
      <w:start w:val="1"/>
      <w:numFmt w:val="decimal"/>
      <w:lvlText w:val="%1.%2.%3.%4.%5.%6.%7.%8.%9."/>
      <w:lvlJc w:val="left"/>
      <w:pPr>
        <w:tabs>
          <w:tab w:val="num" w:pos="9284"/>
        </w:tabs>
        <w:ind w:left="5324" w:hanging="1440"/>
      </w:pPr>
      <w:rPr>
        <w:rFonts w:hint="default"/>
      </w:rPr>
    </w:lvl>
  </w:abstractNum>
  <w:abstractNum w:abstractNumId="45" w15:restartNumberingAfterBreak="0">
    <w:nsid w:val="45EF33A4"/>
    <w:multiLevelType w:val="hybridMultilevel"/>
    <w:tmpl w:val="D0BA05A2"/>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46" w15:restartNumberingAfterBreak="0">
    <w:nsid w:val="47A410BF"/>
    <w:multiLevelType w:val="hybridMultilevel"/>
    <w:tmpl w:val="4BE8777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7" w15:restartNumberingAfterBreak="0">
    <w:nsid w:val="495B7948"/>
    <w:multiLevelType w:val="hybridMultilevel"/>
    <w:tmpl w:val="A66CEF72"/>
    <w:lvl w:ilvl="0" w:tplc="825C65C8">
      <w:start w:val="1"/>
      <w:numFmt w:val="bullet"/>
      <w:pStyle w:val="TableTextBullet"/>
      <w:lvlText w:val=""/>
      <w:lvlJc w:val="left"/>
      <w:pPr>
        <w:ind w:left="360" w:hanging="360"/>
      </w:pPr>
      <w:rPr>
        <w:rFonts w:ascii="Wingdings" w:hAnsi="Wingdings" w:hint="default"/>
        <w:color w:val="002060"/>
      </w:rPr>
    </w:lvl>
    <w:lvl w:ilvl="1" w:tplc="C75EE262">
      <w:start w:val="1"/>
      <w:numFmt w:val="bullet"/>
      <w:lvlText w:val="-"/>
      <w:lvlJc w:val="left"/>
      <w:pPr>
        <w:ind w:left="502" w:hanging="360"/>
      </w:pPr>
      <w:rPr>
        <w:rFonts w:ascii="Courier New" w:hAnsi="Courier New" w:hint="default"/>
        <w:color w:val="002060"/>
      </w:rPr>
    </w:lvl>
    <w:lvl w:ilvl="2" w:tplc="C7F0EF3A">
      <w:start w:val="1"/>
      <w:numFmt w:val="bullet"/>
      <w:lvlText w:val="-"/>
      <w:lvlJc w:val="left"/>
      <w:pPr>
        <w:ind w:left="644" w:hanging="360"/>
      </w:pPr>
      <w:rPr>
        <w:rFonts w:ascii="Courier New" w:hAnsi="Courier New" w:hint="default"/>
        <w:color w:val="002060"/>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4AF96EFC"/>
    <w:multiLevelType w:val="multilevel"/>
    <w:tmpl w:val="A8D6A330"/>
    <w:lvl w:ilvl="0">
      <w:start w:val="1"/>
      <w:numFmt w:val="bullet"/>
      <w:lvlText w:val=""/>
      <w:lvlJc w:val="left"/>
      <w:pPr>
        <w:ind w:left="227" w:hanging="170"/>
      </w:pPr>
      <w:rPr>
        <w:rFonts w:ascii="Symbol" w:hAnsi="Symbol" w:hint="default"/>
      </w:rPr>
    </w:lvl>
    <w:lvl w:ilvl="1">
      <w:start w:val="1"/>
      <w:numFmt w:val="bullet"/>
      <w:lvlText w:val="o"/>
      <w:lvlJc w:val="left"/>
      <w:pPr>
        <w:tabs>
          <w:tab w:val="num" w:pos="397"/>
        </w:tabs>
        <w:ind w:left="397" w:hanging="170"/>
      </w:pPr>
      <w:rPr>
        <w:rFonts w:ascii="Segoe UI Emoji" w:hAnsi="Segoe UI Emoji" w:hint="default"/>
      </w:rPr>
    </w:lvl>
    <w:lvl w:ilvl="2">
      <w:start w:val="1"/>
      <w:numFmt w:val="bullet"/>
      <w:lvlText w:val=""/>
      <w:lvlJc w:val="left"/>
      <w:pPr>
        <w:ind w:left="757" w:hanging="360"/>
      </w:pPr>
      <w:rPr>
        <w:rFonts w:ascii="Wingdings" w:hAnsi="Wingdings" w:hint="default"/>
      </w:rPr>
    </w:lvl>
    <w:lvl w:ilvl="3">
      <w:start w:val="1"/>
      <w:numFmt w:val="bullet"/>
      <w:lvlText w:val=""/>
      <w:lvlJc w:val="left"/>
      <w:pPr>
        <w:tabs>
          <w:tab w:val="num" w:pos="794"/>
        </w:tabs>
        <w:ind w:left="794" w:hanging="170"/>
      </w:pPr>
      <w:rPr>
        <w:rFonts w:ascii="Symbol" w:hAnsi="Symbol" w:hint="default"/>
      </w:rPr>
    </w:lvl>
    <w:lvl w:ilvl="4">
      <w:start w:val="1"/>
      <w:numFmt w:val="bullet"/>
      <w:lvlText w:val="o"/>
      <w:lvlJc w:val="left"/>
      <w:pPr>
        <w:tabs>
          <w:tab w:val="num" w:pos="1361"/>
        </w:tabs>
        <w:ind w:left="1361" w:hanging="227"/>
      </w:pPr>
      <w:rPr>
        <w:rFonts w:ascii="Symbol" w:hAnsi="Symbol" w:hint="default"/>
      </w:rPr>
    </w:lvl>
    <w:lvl w:ilvl="5">
      <w:start w:val="1"/>
      <w:numFmt w:val="bullet"/>
      <w:lvlText w:val=""/>
      <w:lvlJc w:val="left"/>
      <w:pPr>
        <w:tabs>
          <w:tab w:val="num" w:pos="1588"/>
        </w:tabs>
        <w:ind w:left="1588" w:hanging="170"/>
      </w:pPr>
      <w:rPr>
        <w:rFonts w:ascii="TimesNewRoman" w:hAnsi="TimesNewRoman" w:hint="default"/>
      </w:rPr>
    </w:lvl>
    <w:lvl w:ilvl="6">
      <w:start w:val="1"/>
      <w:numFmt w:val="bullet"/>
      <w:lvlText w:val=""/>
      <w:lvlJc w:val="left"/>
      <w:pPr>
        <w:tabs>
          <w:tab w:val="num" w:pos="1871"/>
        </w:tabs>
        <w:ind w:left="1928" w:hanging="284"/>
      </w:pPr>
      <w:rPr>
        <w:rFonts w:ascii="Segoe UI" w:hAnsi="Segoe UI" w:hint="default"/>
      </w:rPr>
    </w:lvl>
    <w:lvl w:ilvl="7">
      <w:start w:val="1"/>
      <w:numFmt w:val="bullet"/>
      <w:lvlText w:val="o"/>
      <w:lvlJc w:val="left"/>
      <w:pPr>
        <w:tabs>
          <w:tab w:val="num" w:pos="2155"/>
        </w:tabs>
        <w:ind w:left="2268" w:hanging="340"/>
      </w:pPr>
      <w:rPr>
        <w:rFonts w:ascii="Segoe UI Emoji" w:hAnsi="Segoe UI Emoji" w:hint="default"/>
      </w:rPr>
    </w:lvl>
    <w:lvl w:ilvl="8">
      <w:start w:val="1"/>
      <w:numFmt w:val="bullet"/>
      <w:lvlText w:val=""/>
      <w:lvlJc w:val="left"/>
      <w:pPr>
        <w:ind w:left="2495" w:hanging="284"/>
      </w:pPr>
      <w:rPr>
        <w:rFonts w:ascii="TimesNewRoman" w:hAnsi="TimesNewRoman" w:hint="default"/>
      </w:rPr>
    </w:lvl>
  </w:abstractNum>
  <w:abstractNum w:abstractNumId="49" w15:restartNumberingAfterBreak="0">
    <w:nsid w:val="4AF97B22"/>
    <w:multiLevelType w:val="hybridMultilevel"/>
    <w:tmpl w:val="27DEF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D8C2B7D"/>
    <w:multiLevelType w:val="multilevel"/>
    <w:tmpl w:val="A8D6A330"/>
    <w:lvl w:ilvl="0">
      <w:start w:val="1"/>
      <w:numFmt w:val="bullet"/>
      <w:lvlText w:val=""/>
      <w:lvlJc w:val="left"/>
      <w:pPr>
        <w:ind w:left="227" w:hanging="170"/>
      </w:pPr>
      <w:rPr>
        <w:rFonts w:ascii="Symbol" w:hAnsi="Symbol" w:hint="default"/>
      </w:rPr>
    </w:lvl>
    <w:lvl w:ilvl="1">
      <w:start w:val="1"/>
      <w:numFmt w:val="bullet"/>
      <w:lvlText w:val="o"/>
      <w:lvlJc w:val="left"/>
      <w:pPr>
        <w:tabs>
          <w:tab w:val="num" w:pos="397"/>
        </w:tabs>
        <w:ind w:left="397" w:hanging="170"/>
      </w:pPr>
      <w:rPr>
        <w:rFonts w:ascii="Segoe UI Emoji" w:hAnsi="Segoe UI Emoji" w:hint="default"/>
      </w:rPr>
    </w:lvl>
    <w:lvl w:ilvl="2">
      <w:start w:val="1"/>
      <w:numFmt w:val="bullet"/>
      <w:lvlText w:val=""/>
      <w:lvlJc w:val="left"/>
      <w:pPr>
        <w:ind w:left="757" w:hanging="360"/>
      </w:pPr>
      <w:rPr>
        <w:rFonts w:ascii="Wingdings" w:hAnsi="Wingdings" w:hint="default"/>
      </w:rPr>
    </w:lvl>
    <w:lvl w:ilvl="3">
      <w:start w:val="1"/>
      <w:numFmt w:val="bullet"/>
      <w:lvlText w:val=""/>
      <w:lvlJc w:val="left"/>
      <w:pPr>
        <w:tabs>
          <w:tab w:val="num" w:pos="794"/>
        </w:tabs>
        <w:ind w:left="794" w:hanging="170"/>
      </w:pPr>
      <w:rPr>
        <w:rFonts w:ascii="Symbol" w:hAnsi="Symbol" w:hint="default"/>
      </w:rPr>
    </w:lvl>
    <w:lvl w:ilvl="4">
      <w:start w:val="1"/>
      <w:numFmt w:val="bullet"/>
      <w:lvlText w:val="o"/>
      <w:lvlJc w:val="left"/>
      <w:pPr>
        <w:tabs>
          <w:tab w:val="num" w:pos="1361"/>
        </w:tabs>
        <w:ind w:left="1361" w:hanging="227"/>
      </w:pPr>
      <w:rPr>
        <w:rFonts w:ascii="Symbol" w:hAnsi="Symbol" w:hint="default"/>
      </w:rPr>
    </w:lvl>
    <w:lvl w:ilvl="5">
      <w:start w:val="1"/>
      <w:numFmt w:val="bullet"/>
      <w:lvlText w:val=""/>
      <w:lvlJc w:val="left"/>
      <w:pPr>
        <w:tabs>
          <w:tab w:val="num" w:pos="1588"/>
        </w:tabs>
        <w:ind w:left="1588" w:hanging="170"/>
      </w:pPr>
      <w:rPr>
        <w:rFonts w:ascii="TimesNewRoman" w:hAnsi="TimesNewRoman" w:hint="default"/>
      </w:rPr>
    </w:lvl>
    <w:lvl w:ilvl="6">
      <w:start w:val="1"/>
      <w:numFmt w:val="bullet"/>
      <w:lvlText w:val=""/>
      <w:lvlJc w:val="left"/>
      <w:pPr>
        <w:tabs>
          <w:tab w:val="num" w:pos="1871"/>
        </w:tabs>
        <w:ind w:left="1928" w:hanging="284"/>
      </w:pPr>
      <w:rPr>
        <w:rFonts w:ascii="Segoe UI" w:hAnsi="Segoe UI" w:hint="default"/>
      </w:rPr>
    </w:lvl>
    <w:lvl w:ilvl="7">
      <w:start w:val="1"/>
      <w:numFmt w:val="bullet"/>
      <w:lvlText w:val="o"/>
      <w:lvlJc w:val="left"/>
      <w:pPr>
        <w:tabs>
          <w:tab w:val="num" w:pos="2155"/>
        </w:tabs>
        <w:ind w:left="2268" w:hanging="340"/>
      </w:pPr>
      <w:rPr>
        <w:rFonts w:ascii="Segoe UI Emoji" w:hAnsi="Segoe UI Emoji" w:hint="default"/>
      </w:rPr>
    </w:lvl>
    <w:lvl w:ilvl="8">
      <w:start w:val="1"/>
      <w:numFmt w:val="bullet"/>
      <w:lvlText w:val=""/>
      <w:lvlJc w:val="left"/>
      <w:pPr>
        <w:ind w:left="2495" w:hanging="284"/>
      </w:pPr>
      <w:rPr>
        <w:rFonts w:ascii="TimesNewRoman" w:hAnsi="TimesNewRoman" w:hint="default"/>
      </w:rPr>
    </w:lvl>
  </w:abstractNum>
  <w:abstractNum w:abstractNumId="51" w15:restartNumberingAfterBreak="0">
    <w:nsid w:val="4FAC32CC"/>
    <w:multiLevelType w:val="multilevel"/>
    <w:tmpl w:val="A8D6A330"/>
    <w:lvl w:ilvl="0">
      <w:start w:val="1"/>
      <w:numFmt w:val="bullet"/>
      <w:lvlText w:val=""/>
      <w:lvlJc w:val="left"/>
      <w:pPr>
        <w:ind w:left="227" w:hanging="170"/>
      </w:pPr>
      <w:rPr>
        <w:rFonts w:ascii="Symbol" w:hAnsi="Symbol" w:hint="default"/>
      </w:rPr>
    </w:lvl>
    <w:lvl w:ilvl="1">
      <w:start w:val="1"/>
      <w:numFmt w:val="bullet"/>
      <w:lvlText w:val="o"/>
      <w:lvlJc w:val="left"/>
      <w:pPr>
        <w:tabs>
          <w:tab w:val="num" w:pos="397"/>
        </w:tabs>
        <w:ind w:left="397" w:hanging="170"/>
      </w:pPr>
      <w:rPr>
        <w:rFonts w:ascii="Segoe UI Emoji" w:hAnsi="Segoe UI Emoji" w:hint="default"/>
      </w:rPr>
    </w:lvl>
    <w:lvl w:ilvl="2">
      <w:start w:val="1"/>
      <w:numFmt w:val="bullet"/>
      <w:lvlText w:val=""/>
      <w:lvlJc w:val="left"/>
      <w:pPr>
        <w:ind w:left="757" w:hanging="360"/>
      </w:pPr>
      <w:rPr>
        <w:rFonts w:ascii="Wingdings" w:hAnsi="Wingdings" w:hint="default"/>
      </w:rPr>
    </w:lvl>
    <w:lvl w:ilvl="3">
      <w:start w:val="1"/>
      <w:numFmt w:val="bullet"/>
      <w:lvlText w:val=""/>
      <w:lvlJc w:val="left"/>
      <w:pPr>
        <w:tabs>
          <w:tab w:val="num" w:pos="794"/>
        </w:tabs>
        <w:ind w:left="794" w:hanging="170"/>
      </w:pPr>
      <w:rPr>
        <w:rFonts w:ascii="Symbol" w:hAnsi="Symbol" w:hint="default"/>
      </w:rPr>
    </w:lvl>
    <w:lvl w:ilvl="4">
      <w:start w:val="1"/>
      <w:numFmt w:val="bullet"/>
      <w:lvlText w:val="o"/>
      <w:lvlJc w:val="left"/>
      <w:pPr>
        <w:tabs>
          <w:tab w:val="num" w:pos="1361"/>
        </w:tabs>
        <w:ind w:left="1361" w:hanging="227"/>
      </w:pPr>
      <w:rPr>
        <w:rFonts w:ascii="Symbol" w:hAnsi="Symbol" w:hint="default"/>
      </w:rPr>
    </w:lvl>
    <w:lvl w:ilvl="5">
      <w:start w:val="1"/>
      <w:numFmt w:val="bullet"/>
      <w:lvlText w:val=""/>
      <w:lvlJc w:val="left"/>
      <w:pPr>
        <w:tabs>
          <w:tab w:val="num" w:pos="1588"/>
        </w:tabs>
        <w:ind w:left="1588" w:hanging="170"/>
      </w:pPr>
      <w:rPr>
        <w:rFonts w:ascii="TimesNewRoman" w:hAnsi="TimesNewRoman" w:hint="default"/>
      </w:rPr>
    </w:lvl>
    <w:lvl w:ilvl="6">
      <w:start w:val="1"/>
      <w:numFmt w:val="bullet"/>
      <w:lvlText w:val=""/>
      <w:lvlJc w:val="left"/>
      <w:pPr>
        <w:tabs>
          <w:tab w:val="num" w:pos="1871"/>
        </w:tabs>
        <w:ind w:left="1928" w:hanging="284"/>
      </w:pPr>
      <w:rPr>
        <w:rFonts w:ascii="Segoe UI" w:hAnsi="Segoe UI" w:hint="default"/>
      </w:rPr>
    </w:lvl>
    <w:lvl w:ilvl="7">
      <w:start w:val="1"/>
      <w:numFmt w:val="bullet"/>
      <w:lvlText w:val="o"/>
      <w:lvlJc w:val="left"/>
      <w:pPr>
        <w:tabs>
          <w:tab w:val="num" w:pos="2155"/>
        </w:tabs>
        <w:ind w:left="2268" w:hanging="340"/>
      </w:pPr>
      <w:rPr>
        <w:rFonts w:ascii="Segoe UI Emoji" w:hAnsi="Segoe UI Emoji" w:hint="default"/>
      </w:rPr>
    </w:lvl>
    <w:lvl w:ilvl="8">
      <w:start w:val="1"/>
      <w:numFmt w:val="bullet"/>
      <w:lvlText w:val=""/>
      <w:lvlJc w:val="left"/>
      <w:pPr>
        <w:ind w:left="2495" w:hanging="284"/>
      </w:pPr>
      <w:rPr>
        <w:rFonts w:ascii="TimesNewRoman" w:hAnsi="TimesNewRoman" w:hint="default"/>
      </w:rPr>
    </w:lvl>
  </w:abstractNum>
  <w:abstractNum w:abstractNumId="52" w15:restartNumberingAfterBreak="0">
    <w:nsid w:val="50D424D6"/>
    <w:multiLevelType w:val="hybridMultilevel"/>
    <w:tmpl w:val="F2B006F4"/>
    <w:lvl w:ilvl="0" w:tplc="0D54925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543E198B"/>
    <w:multiLevelType w:val="hybridMultilevel"/>
    <w:tmpl w:val="D362D6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70B0427"/>
    <w:multiLevelType w:val="hybridMultilevel"/>
    <w:tmpl w:val="0B90CE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5BEF270F"/>
    <w:multiLevelType w:val="hybridMultilevel"/>
    <w:tmpl w:val="32368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628667A3"/>
    <w:multiLevelType w:val="hybridMultilevel"/>
    <w:tmpl w:val="63BC7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63C5474A"/>
    <w:multiLevelType w:val="hybridMultilevel"/>
    <w:tmpl w:val="58FE5F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64682526"/>
    <w:multiLevelType w:val="hybridMultilevel"/>
    <w:tmpl w:val="3BF81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64D80074"/>
    <w:multiLevelType w:val="multilevel"/>
    <w:tmpl w:val="A8D6A330"/>
    <w:lvl w:ilvl="0">
      <w:start w:val="1"/>
      <w:numFmt w:val="bullet"/>
      <w:lvlText w:val=""/>
      <w:lvlJc w:val="left"/>
      <w:pPr>
        <w:ind w:left="227" w:hanging="170"/>
      </w:pPr>
      <w:rPr>
        <w:rFonts w:ascii="Symbol" w:hAnsi="Symbol" w:hint="default"/>
      </w:rPr>
    </w:lvl>
    <w:lvl w:ilvl="1">
      <w:start w:val="1"/>
      <w:numFmt w:val="bullet"/>
      <w:lvlText w:val="o"/>
      <w:lvlJc w:val="left"/>
      <w:pPr>
        <w:tabs>
          <w:tab w:val="num" w:pos="397"/>
        </w:tabs>
        <w:ind w:left="397" w:hanging="170"/>
      </w:pPr>
      <w:rPr>
        <w:rFonts w:ascii="Segoe UI Emoji" w:hAnsi="Segoe UI Emoji" w:hint="default"/>
      </w:rPr>
    </w:lvl>
    <w:lvl w:ilvl="2">
      <w:start w:val="1"/>
      <w:numFmt w:val="bullet"/>
      <w:lvlText w:val=""/>
      <w:lvlJc w:val="left"/>
      <w:pPr>
        <w:ind w:left="757" w:hanging="360"/>
      </w:pPr>
      <w:rPr>
        <w:rFonts w:ascii="Wingdings" w:hAnsi="Wingdings" w:hint="default"/>
      </w:rPr>
    </w:lvl>
    <w:lvl w:ilvl="3">
      <w:start w:val="1"/>
      <w:numFmt w:val="bullet"/>
      <w:lvlText w:val=""/>
      <w:lvlJc w:val="left"/>
      <w:pPr>
        <w:tabs>
          <w:tab w:val="num" w:pos="794"/>
        </w:tabs>
        <w:ind w:left="794" w:hanging="170"/>
      </w:pPr>
      <w:rPr>
        <w:rFonts w:ascii="Symbol" w:hAnsi="Symbol" w:hint="default"/>
      </w:rPr>
    </w:lvl>
    <w:lvl w:ilvl="4">
      <w:start w:val="1"/>
      <w:numFmt w:val="bullet"/>
      <w:lvlText w:val="o"/>
      <w:lvlJc w:val="left"/>
      <w:pPr>
        <w:tabs>
          <w:tab w:val="num" w:pos="1361"/>
        </w:tabs>
        <w:ind w:left="1361" w:hanging="227"/>
      </w:pPr>
      <w:rPr>
        <w:rFonts w:ascii="Symbol" w:hAnsi="Symbol" w:hint="default"/>
      </w:rPr>
    </w:lvl>
    <w:lvl w:ilvl="5">
      <w:start w:val="1"/>
      <w:numFmt w:val="bullet"/>
      <w:lvlText w:val=""/>
      <w:lvlJc w:val="left"/>
      <w:pPr>
        <w:tabs>
          <w:tab w:val="num" w:pos="1588"/>
        </w:tabs>
        <w:ind w:left="1588" w:hanging="170"/>
      </w:pPr>
      <w:rPr>
        <w:rFonts w:ascii="TimesNewRoman" w:hAnsi="TimesNewRoman" w:hint="default"/>
      </w:rPr>
    </w:lvl>
    <w:lvl w:ilvl="6">
      <w:start w:val="1"/>
      <w:numFmt w:val="bullet"/>
      <w:lvlText w:val=""/>
      <w:lvlJc w:val="left"/>
      <w:pPr>
        <w:tabs>
          <w:tab w:val="num" w:pos="1871"/>
        </w:tabs>
        <w:ind w:left="1928" w:hanging="284"/>
      </w:pPr>
      <w:rPr>
        <w:rFonts w:ascii="Segoe UI" w:hAnsi="Segoe UI" w:hint="default"/>
      </w:rPr>
    </w:lvl>
    <w:lvl w:ilvl="7">
      <w:start w:val="1"/>
      <w:numFmt w:val="bullet"/>
      <w:lvlText w:val="o"/>
      <w:lvlJc w:val="left"/>
      <w:pPr>
        <w:tabs>
          <w:tab w:val="num" w:pos="2155"/>
        </w:tabs>
        <w:ind w:left="2268" w:hanging="340"/>
      </w:pPr>
      <w:rPr>
        <w:rFonts w:ascii="Segoe UI Emoji" w:hAnsi="Segoe UI Emoji" w:hint="default"/>
      </w:rPr>
    </w:lvl>
    <w:lvl w:ilvl="8">
      <w:start w:val="1"/>
      <w:numFmt w:val="bullet"/>
      <w:lvlText w:val=""/>
      <w:lvlJc w:val="left"/>
      <w:pPr>
        <w:ind w:left="2495" w:hanging="284"/>
      </w:pPr>
      <w:rPr>
        <w:rFonts w:ascii="TimesNewRoman" w:hAnsi="TimesNewRoman" w:hint="default"/>
      </w:rPr>
    </w:lvl>
  </w:abstractNum>
  <w:abstractNum w:abstractNumId="60" w15:restartNumberingAfterBreak="0">
    <w:nsid w:val="68A600C6"/>
    <w:multiLevelType w:val="hybridMultilevel"/>
    <w:tmpl w:val="C722164C"/>
    <w:lvl w:ilvl="0" w:tplc="A8A40AF4">
      <w:start w:val="1"/>
      <w:numFmt w:val="bullet"/>
      <w:lvlText w:val=""/>
      <w:lvlJc w:val="left"/>
      <w:pPr>
        <w:ind w:left="720" w:hanging="360"/>
      </w:pPr>
      <w:rPr>
        <w:rFonts w:ascii="Symbol" w:hAnsi="Symbol"/>
      </w:rPr>
    </w:lvl>
    <w:lvl w:ilvl="1" w:tplc="B2F63DB4">
      <w:start w:val="1"/>
      <w:numFmt w:val="bullet"/>
      <w:lvlText w:val=""/>
      <w:lvlJc w:val="left"/>
      <w:pPr>
        <w:ind w:left="720" w:hanging="360"/>
      </w:pPr>
      <w:rPr>
        <w:rFonts w:ascii="Symbol" w:hAnsi="Symbol"/>
      </w:rPr>
    </w:lvl>
    <w:lvl w:ilvl="2" w:tplc="76FE7FA2">
      <w:start w:val="1"/>
      <w:numFmt w:val="bullet"/>
      <w:lvlText w:val=""/>
      <w:lvlJc w:val="left"/>
      <w:pPr>
        <w:ind w:left="720" w:hanging="360"/>
      </w:pPr>
      <w:rPr>
        <w:rFonts w:ascii="Symbol" w:hAnsi="Symbol"/>
      </w:rPr>
    </w:lvl>
    <w:lvl w:ilvl="3" w:tplc="D1C066C4">
      <w:start w:val="1"/>
      <w:numFmt w:val="bullet"/>
      <w:lvlText w:val=""/>
      <w:lvlJc w:val="left"/>
      <w:pPr>
        <w:ind w:left="720" w:hanging="360"/>
      </w:pPr>
      <w:rPr>
        <w:rFonts w:ascii="Symbol" w:hAnsi="Symbol"/>
      </w:rPr>
    </w:lvl>
    <w:lvl w:ilvl="4" w:tplc="C2D87148">
      <w:start w:val="1"/>
      <w:numFmt w:val="bullet"/>
      <w:lvlText w:val=""/>
      <w:lvlJc w:val="left"/>
      <w:pPr>
        <w:ind w:left="720" w:hanging="360"/>
      </w:pPr>
      <w:rPr>
        <w:rFonts w:ascii="Symbol" w:hAnsi="Symbol"/>
      </w:rPr>
    </w:lvl>
    <w:lvl w:ilvl="5" w:tplc="7A825FB8">
      <w:start w:val="1"/>
      <w:numFmt w:val="bullet"/>
      <w:lvlText w:val=""/>
      <w:lvlJc w:val="left"/>
      <w:pPr>
        <w:ind w:left="720" w:hanging="360"/>
      </w:pPr>
      <w:rPr>
        <w:rFonts w:ascii="Symbol" w:hAnsi="Symbol"/>
      </w:rPr>
    </w:lvl>
    <w:lvl w:ilvl="6" w:tplc="8C74D748">
      <w:start w:val="1"/>
      <w:numFmt w:val="bullet"/>
      <w:lvlText w:val=""/>
      <w:lvlJc w:val="left"/>
      <w:pPr>
        <w:ind w:left="720" w:hanging="360"/>
      </w:pPr>
      <w:rPr>
        <w:rFonts w:ascii="Symbol" w:hAnsi="Symbol"/>
      </w:rPr>
    </w:lvl>
    <w:lvl w:ilvl="7" w:tplc="78967460">
      <w:start w:val="1"/>
      <w:numFmt w:val="bullet"/>
      <w:lvlText w:val=""/>
      <w:lvlJc w:val="left"/>
      <w:pPr>
        <w:ind w:left="720" w:hanging="360"/>
      </w:pPr>
      <w:rPr>
        <w:rFonts w:ascii="Symbol" w:hAnsi="Symbol"/>
      </w:rPr>
    </w:lvl>
    <w:lvl w:ilvl="8" w:tplc="0ABAD548">
      <w:start w:val="1"/>
      <w:numFmt w:val="bullet"/>
      <w:lvlText w:val=""/>
      <w:lvlJc w:val="left"/>
      <w:pPr>
        <w:ind w:left="720" w:hanging="360"/>
      </w:pPr>
      <w:rPr>
        <w:rFonts w:ascii="Symbol" w:hAnsi="Symbol"/>
      </w:rPr>
    </w:lvl>
  </w:abstractNum>
  <w:abstractNum w:abstractNumId="61" w15:restartNumberingAfterBreak="0">
    <w:nsid w:val="69FF2C15"/>
    <w:multiLevelType w:val="hybridMultilevel"/>
    <w:tmpl w:val="9EB87B48"/>
    <w:lvl w:ilvl="0" w:tplc="0809000D">
      <w:start w:val="1"/>
      <w:numFmt w:val="bullet"/>
      <w:lvlText w:val=""/>
      <w:lvlJc w:val="left"/>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6A4C23F8"/>
    <w:multiLevelType w:val="multilevel"/>
    <w:tmpl w:val="A8D6A330"/>
    <w:lvl w:ilvl="0">
      <w:start w:val="1"/>
      <w:numFmt w:val="bullet"/>
      <w:lvlText w:val=""/>
      <w:lvlJc w:val="left"/>
      <w:pPr>
        <w:ind w:left="227" w:hanging="170"/>
      </w:pPr>
      <w:rPr>
        <w:rFonts w:ascii="Symbol" w:hAnsi="Symbol" w:hint="default"/>
      </w:rPr>
    </w:lvl>
    <w:lvl w:ilvl="1">
      <w:start w:val="1"/>
      <w:numFmt w:val="bullet"/>
      <w:lvlText w:val="o"/>
      <w:lvlJc w:val="left"/>
      <w:pPr>
        <w:tabs>
          <w:tab w:val="num" w:pos="397"/>
        </w:tabs>
        <w:ind w:left="397" w:hanging="170"/>
      </w:pPr>
      <w:rPr>
        <w:rFonts w:ascii="Segoe UI Emoji" w:hAnsi="Segoe UI Emoji" w:hint="default"/>
      </w:rPr>
    </w:lvl>
    <w:lvl w:ilvl="2">
      <w:start w:val="1"/>
      <w:numFmt w:val="bullet"/>
      <w:lvlText w:val=""/>
      <w:lvlJc w:val="left"/>
      <w:pPr>
        <w:ind w:left="757" w:hanging="360"/>
      </w:pPr>
      <w:rPr>
        <w:rFonts w:ascii="Wingdings" w:hAnsi="Wingdings" w:hint="default"/>
      </w:rPr>
    </w:lvl>
    <w:lvl w:ilvl="3">
      <w:start w:val="1"/>
      <w:numFmt w:val="bullet"/>
      <w:lvlText w:val=""/>
      <w:lvlJc w:val="left"/>
      <w:pPr>
        <w:tabs>
          <w:tab w:val="num" w:pos="794"/>
        </w:tabs>
        <w:ind w:left="794" w:hanging="170"/>
      </w:pPr>
      <w:rPr>
        <w:rFonts w:ascii="Symbol" w:hAnsi="Symbol" w:hint="default"/>
      </w:rPr>
    </w:lvl>
    <w:lvl w:ilvl="4">
      <w:start w:val="1"/>
      <w:numFmt w:val="bullet"/>
      <w:lvlText w:val="o"/>
      <w:lvlJc w:val="left"/>
      <w:pPr>
        <w:tabs>
          <w:tab w:val="num" w:pos="1361"/>
        </w:tabs>
        <w:ind w:left="1361" w:hanging="227"/>
      </w:pPr>
      <w:rPr>
        <w:rFonts w:ascii="Symbol" w:hAnsi="Symbol" w:hint="default"/>
      </w:rPr>
    </w:lvl>
    <w:lvl w:ilvl="5">
      <w:start w:val="1"/>
      <w:numFmt w:val="bullet"/>
      <w:lvlText w:val=""/>
      <w:lvlJc w:val="left"/>
      <w:pPr>
        <w:tabs>
          <w:tab w:val="num" w:pos="1588"/>
        </w:tabs>
        <w:ind w:left="1588" w:hanging="170"/>
      </w:pPr>
      <w:rPr>
        <w:rFonts w:ascii="TimesNewRoman" w:hAnsi="TimesNewRoman" w:hint="default"/>
      </w:rPr>
    </w:lvl>
    <w:lvl w:ilvl="6">
      <w:start w:val="1"/>
      <w:numFmt w:val="bullet"/>
      <w:lvlText w:val=""/>
      <w:lvlJc w:val="left"/>
      <w:pPr>
        <w:tabs>
          <w:tab w:val="num" w:pos="1871"/>
        </w:tabs>
        <w:ind w:left="1928" w:hanging="284"/>
      </w:pPr>
      <w:rPr>
        <w:rFonts w:ascii="Segoe UI" w:hAnsi="Segoe UI" w:hint="default"/>
      </w:rPr>
    </w:lvl>
    <w:lvl w:ilvl="7">
      <w:start w:val="1"/>
      <w:numFmt w:val="bullet"/>
      <w:lvlText w:val="o"/>
      <w:lvlJc w:val="left"/>
      <w:pPr>
        <w:tabs>
          <w:tab w:val="num" w:pos="2155"/>
        </w:tabs>
        <w:ind w:left="2268" w:hanging="340"/>
      </w:pPr>
      <w:rPr>
        <w:rFonts w:ascii="Segoe UI Emoji" w:hAnsi="Segoe UI Emoji" w:hint="default"/>
      </w:rPr>
    </w:lvl>
    <w:lvl w:ilvl="8">
      <w:start w:val="1"/>
      <w:numFmt w:val="bullet"/>
      <w:lvlText w:val=""/>
      <w:lvlJc w:val="left"/>
      <w:pPr>
        <w:ind w:left="2495" w:hanging="284"/>
      </w:pPr>
      <w:rPr>
        <w:rFonts w:ascii="TimesNewRoman" w:hAnsi="TimesNewRoman" w:hint="default"/>
      </w:rPr>
    </w:lvl>
  </w:abstractNum>
  <w:abstractNum w:abstractNumId="63" w15:restartNumberingAfterBreak="0">
    <w:nsid w:val="6E0E5A82"/>
    <w:multiLevelType w:val="multilevel"/>
    <w:tmpl w:val="A8D6A330"/>
    <w:lvl w:ilvl="0">
      <w:start w:val="1"/>
      <w:numFmt w:val="bullet"/>
      <w:lvlText w:val=""/>
      <w:lvlJc w:val="left"/>
      <w:pPr>
        <w:ind w:left="227" w:hanging="170"/>
      </w:pPr>
      <w:rPr>
        <w:rFonts w:ascii="Symbol" w:hAnsi="Symbol" w:hint="default"/>
      </w:rPr>
    </w:lvl>
    <w:lvl w:ilvl="1">
      <w:start w:val="1"/>
      <w:numFmt w:val="bullet"/>
      <w:lvlText w:val="o"/>
      <w:lvlJc w:val="left"/>
      <w:pPr>
        <w:tabs>
          <w:tab w:val="num" w:pos="397"/>
        </w:tabs>
        <w:ind w:left="397" w:hanging="170"/>
      </w:pPr>
      <w:rPr>
        <w:rFonts w:ascii="Segoe UI Emoji" w:hAnsi="Segoe UI Emoji" w:hint="default"/>
      </w:rPr>
    </w:lvl>
    <w:lvl w:ilvl="2">
      <w:start w:val="1"/>
      <w:numFmt w:val="bullet"/>
      <w:lvlText w:val=""/>
      <w:lvlJc w:val="left"/>
      <w:pPr>
        <w:ind w:left="757" w:hanging="360"/>
      </w:pPr>
      <w:rPr>
        <w:rFonts w:ascii="Wingdings" w:hAnsi="Wingdings" w:hint="default"/>
      </w:rPr>
    </w:lvl>
    <w:lvl w:ilvl="3">
      <w:start w:val="1"/>
      <w:numFmt w:val="bullet"/>
      <w:lvlText w:val=""/>
      <w:lvlJc w:val="left"/>
      <w:pPr>
        <w:tabs>
          <w:tab w:val="num" w:pos="794"/>
        </w:tabs>
        <w:ind w:left="794" w:hanging="170"/>
      </w:pPr>
      <w:rPr>
        <w:rFonts w:ascii="Symbol" w:hAnsi="Symbol" w:hint="default"/>
      </w:rPr>
    </w:lvl>
    <w:lvl w:ilvl="4">
      <w:start w:val="1"/>
      <w:numFmt w:val="bullet"/>
      <w:lvlText w:val="o"/>
      <w:lvlJc w:val="left"/>
      <w:pPr>
        <w:tabs>
          <w:tab w:val="num" w:pos="1361"/>
        </w:tabs>
        <w:ind w:left="1361" w:hanging="227"/>
      </w:pPr>
      <w:rPr>
        <w:rFonts w:ascii="Symbol" w:hAnsi="Symbol" w:hint="default"/>
      </w:rPr>
    </w:lvl>
    <w:lvl w:ilvl="5">
      <w:start w:val="1"/>
      <w:numFmt w:val="bullet"/>
      <w:lvlText w:val=""/>
      <w:lvlJc w:val="left"/>
      <w:pPr>
        <w:tabs>
          <w:tab w:val="num" w:pos="1588"/>
        </w:tabs>
        <w:ind w:left="1588" w:hanging="170"/>
      </w:pPr>
      <w:rPr>
        <w:rFonts w:ascii="TimesNewRoman" w:hAnsi="TimesNewRoman" w:hint="default"/>
      </w:rPr>
    </w:lvl>
    <w:lvl w:ilvl="6">
      <w:start w:val="1"/>
      <w:numFmt w:val="bullet"/>
      <w:lvlText w:val=""/>
      <w:lvlJc w:val="left"/>
      <w:pPr>
        <w:tabs>
          <w:tab w:val="num" w:pos="1871"/>
        </w:tabs>
        <w:ind w:left="1928" w:hanging="284"/>
      </w:pPr>
      <w:rPr>
        <w:rFonts w:ascii="Segoe UI" w:hAnsi="Segoe UI" w:hint="default"/>
      </w:rPr>
    </w:lvl>
    <w:lvl w:ilvl="7">
      <w:start w:val="1"/>
      <w:numFmt w:val="bullet"/>
      <w:lvlText w:val="o"/>
      <w:lvlJc w:val="left"/>
      <w:pPr>
        <w:tabs>
          <w:tab w:val="num" w:pos="2155"/>
        </w:tabs>
        <w:ind w:left="2268" w:hanging="340"/>
      </w:pPr>
      <w:rPr>
        <w:rFonts w:ascii="Segoe UI Emoji" w:hAnsi="Segoe UI Emoji" w:hint="default"/>
      </w:rPr>
    </w:lvl>
    <w:lvl w:ilvl="8">
      <w:start w:val="1"/>
      <w:numFmt w:val="bullet"/>
      <w:lvlText w:val=""/>
      <w:lvlJc w:val="left"/>
      <w:pPr>
        <w:ind w:left="2495" w:hanging="284"/>
      </w:pPr>
      <w:rPr>
        <w:rFonts w:ascii="TimesNewRoman" w:hAnsi="TimesNewRoman" w:hint="default"/>
      </w:rPr>
    </w:lvl>
  </w:abstractNum>
  <w:abstractNum w:abstractNumId="64" w15:restartNumberingAfterBreak="0">
    <w:nsid w:val="738500FF"/>
    <w:multiLevelType w:val="multilevel"/>
    <w:tmpl w:val="A8D6A330"/>
    <w:lvl w:ilvl="0">
      <w:start w:val="1"/>
      <w:numFmt w:val="bullet"/>
      <w:lvlText w:val=""/>
      <w:lvlJc w:val="left"/>
      <w:pPr>
        <w:ind w:left="227" w:hanging="170"/>
      </w:pPr>
      <w:rPr>
        <w:rFonts w:ascii="Symbol" w:hAnsi="Symbol" w:hint="default"/>
      </w:rPr>
    </w:lvl>
    <w:lvl w:ilvl="1">
      <w:start w:val="1"/>
      <w:numFmt w:val="bullet"/>
      <w:lvlText w:val="o"/>
      <w:lvlJc w:val="left"/>
      <w:pPr>
        <w:tabs>
          <w:tab w:val="num" w:pos="397"/>
        </w:tabs>
        <w:ind w:left="397" w:hanging="170"/>
      </w:pPr>
      <w:rPr>
        <w:rFonts w:ascii="Segoe UI Emoji" w:hAnsi="Segoe UI Emoji" w:hint="default"/>
      </w:rPr>
    </w:lvl>
    <w:lvl w:ilvl="2">
      <w:start w:val="1"/>
      <w:numFmt w:val="bullet"/>
      <w:lvlText w:val=""/>
      <w:lvlJc w:val="left"/>
      <w:pPr>
        <w:ind w:left="757" w:hanging="360"/>
      </w:pPr>
      <w:rPr>
        <w:rFonts w:ascii="Wingdings" w:hAnsi="Wingdings" w:hint="default"/>
      </w:rPr>
    </w:lvl>
    <w:lvl w:ilvl="3">
      <w:start w:val="1"/>
      <w:numFmt w:val="bullet"/>
      <w:lvlText w:val=""/>
      <w:lvlJc w:val="left"/>
      <w:pPr>
        <w:tabs>
          <w:tab w:val="num" w:pos="794"/>
        </w:tabs>
        <w:ind w:left="794" w:hanging="170"/>
      </w:pPr>
      <w:rPr>
        <w:rFonts w:ascii="Symbol" w:hAnsi="Symbol" w:hint="default"/>
      </w:rPr>
    </w:lvl>
    <w:lvl w:ilvl="4">
      <w:start w:val="1"/>
      <w:numFmt w:val="bullet"/>
      <w:lvlText w:val="o"/>
      <w:lvlJc w:val="left"/>
      <w:pPr>
        <w:tabs>
          <w:tab w:val="num" w:pos="1361"/>
        </w:tabs>
        <w:ind w:left="1361" w:hanging="227"/>
      </w:pPr>
      <w:rPr>
        <w:rFonts w:ascii="Symbol" w:hAnsi="Symbol" w:hint="default"/>
      </w:rPr>
    </w:lvl>
    <w:lvl w:ilvl="5">
      <w:start w:val="1"/>
      <w:numFmt w:val="bullet"/>
      <w:lvlText w:val=""/>
      <w:lvlJc w:val="left"/>
      <w:pPr>
        <w:tabs>
          <w:tab w:val="num" w:pos="1588"/>
        </w:tabs>
        <w:ind w:left="1588" w:hanging="170"/>
      </w:pPr>
      <w:rPr>
        <w:rFonts w:ascii="TimesNewRoman" w:hAnsi="TimesNewRoman" w:hint="default"/>
      </w:rPr>
    </w:lvl>
    <w:lvl w:ilvl="6">
      <w:start w:val="1"/>
      <w:numFmt w:val="bullet"/>
      <w:lvlText w:val=""/>
      <w:lvlJc w:val="left"/>
      <w:pPr>
        <w:tabs>
          <w:tab w:val="num" w:pos="1871"/>
        </w:tabs>
        <w:ind w:left="1928" w:hanging="284"/>
      </w:pPr>
      <w:rPr>
        <w:rFonts w:ascii="Segoe UI" w:hAnsi="Segoe UI" w:hint="default"/>
      </w:rPr>
    </w:lvl>
    <w:lvl w:ilvl="7">
      <w:start w:val="1"/>
      <w:numFmt w:val="bullet"/>
      <w:lvlText w:val="o"/>
      <w:lvlJc w:val="left"/>
      <w:pPr>
        <w:tabs>
          <w:tab w:val="num" w:pos="2155"/>
        </w:tabs>
        <w:ind w:left="2268" w:hanging="340"/>
      </w:pPr>
      <w:rPr>
        <w:rFonts w:ascii="Segoe UI Emoji" w:hAnsi="Segoe UI Emoji" w:hint="default"/>
      </w:rPr>
    </w:lvl>
    <w:lvl w:ilvl="8">
      <w:start w:val="1"/>
      <w:numFmt w:val="bullet"/>
      <w:lvlText w:val=""/>
      <w:lvlJc w:val="left"/>
      <w:pPr>
        <w:ind w:left="2495" w:hanging="284"/>
      </w:pPr>
      <w:rPr>
        <w:rFonts w:ascii="TimesNewRoman" w:hAnsi="TimesNewRoman" w:hint="default"/>
      </w:rPr>
    </w:lvl>
  </w:abstractNum>
  <w:abstractNum w:abstractNumId="65" w15:restartNumberingAfterBreak="0">
    <w:nsid w:val="73BF3700"/>
    <w:multiLevelType w:val="hybridMultilevel"/>
    <w:tmpl w:val="84F8B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756C12CC"/>
    <w:multiLevelType w:val="multilevel"/>
    <w:tmpl w:val="E462114E"/>
    <w:lvl w:ilvl="0">
      <w:start w:val="3"/>
      <w:numFmt w:val="upperLetter"/>
      <w:pStyle w:val="Appendix1heading"/>
      <w:lvlText w:val="Appendix %1"/>
      <w:lvlJc w:val="left"/>
      <w:pPr>
        <w:ind w:left="357" w:hanging="357"/>
      </w:pPr>
      <w:rPr>
        <w:rFonts w:hint="default"/>
      </w:rPr>
    </w:lvl>
    <w:lvl w:ilvl="1">
      <w:start w:val="1"/>
      <w:numFmt w:val="decimal"/>
      <w:pStyle w:val="Appendix2heading"/>
      <w:lvlText w:val="%1.%2"/>
      <w:lvlJc w:val="left"/>
      <w:pPr>
        <w:ind w:left="964" w:hanging="964"/>
      </w:pPr>
      <w:rPr>
        <w:rFonts w:hint="default"/>
      </w:rPr>
    </w:lvl>
    <w:lvl w:ilvl="2">
      <w:start w:val="1"/>
      <w:numFmt w:val="decimal"/>
      <w:pStyle w:val="Appendix3heading"/>
      <w:lvlText w:val="%1.%2.%3"/>
      <w:lvlJc w:val="left"/>
      <w:pPr>
        <w:ind w:left="1021" w:hanging="1021"/>
      </w:pPr>
      <w:rPr>
        <w:rFonts w:hint="default"/>
      </w:rPr>
    </w:lvl>
    <w:lvl w:ilvl="3">
      <w:start w:val="1"/>
      <w:numFmt w:val="decimal"/>
      <w:pStyle w:val="Appendix4heading"/>
      <w:lvlText w:val="%1.%2.%3.%4"/>
      <w:lvlJc w:val="left"/>
      <w:pPr>
        <w:ind w:left="1247" w:hanging="1247"/>
      </w:pPr>
      <w:rPr>
        <w:rFonts w:hint="default"/>
      </w:rPr>
    </w:lvl>
    <w:lvl w:ilvl="4">
      <w:start w:val="1"/>
      <w:numFmt w:val="decimal"/>
      <w:lvlText w:val="%1.%2.%3.%4.%5"/>
      <w:lvlJc w:val="left"/>
      <w:pPr>
        <w:ind w:left="1871" w:hanging="1871"/>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67" w15:restartNumberingAfterBreak="0">
    <w:nsid w:val="77566C35"/>
    <w:multiLevelType w:val="hybridMultilevel"/>
    <w:tmpl w:val="01B82B64"/>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68" w15:restartNumberingAfterBreak="0">
    <w:nsid w:val="787B648B"/>
    <w:multiLevelType w:val="multilevel"/>
    <w:tmpl w:val="1FBE0914"/>
    <w:lvl w:ilvl="0">
      <w:start w:val="1"/>
      <w:numFmt w:val="decimal"/>
      <w:pStyle w:val="NICEHeading1"/>
      <w:lvlText w:val="B.%1."/>
      <w:lvlJc w:val="left"/>
      <w:pPr>
        <w:ind w:left="360" w:hanging="360"/>
      </w:pPr>
      <w:rPr>
        <w:rFonts w:hint="default"/>
      </w:rPr>
    </w:lvl>
    <w:lvl w:ilvl="1">
      <w:start w:val="1"/>
      <w:numFmt w:val="decimal"/>
      <w:pStyle w:val="NICEHeader2"/>
      <w:lvlText w:val="B.%1.%2."/>
      <w:lvlJc w:val="left"/>
      <w:pPr>
        <w:ind w:left="792" w:hanging="792"/>
      </w:pPr>
      <w:rPr>
        <w:rFonts w:hint="default"/>
      </w:rPr>
    </w:lvl>
    <w:lvl w:ilvl="2">
      <w:start w:val="1"/>
      <w:numFmt w:val="decimal"/>
      <w:pStyle w:val="NICEHeader3"/>
      <w:lvlText w:val="B.%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7B345821"/>
    <w:multiLevelType w:val="multilevel"/>
    <w:tmpl w:val="A8D6A330"/>
    <w:lvl w:ilvl="0">
      <w:start w:val="1"/>
      <w:numFmt w:val="bullet"/>
      <w:lvlText w:val=""/>
      <w:lvlJc w:val="left"/>
      <w:pPr>
        <w:ind w:left="227" w:hanging="170"/>
      </w:pPr>
      <w:rPr>
        <w:rFonts w:ascii="Symbol" w:hAnsi="Symbol" w:hint="default"/>
      </w:rPr>
    </w:lvl>
    <w:lvl w:ilvl="1">
      <w:start w:val="1"/>
      <w:numFmt w:val="bullet"/>
      <w:lvlText w:val="o"/>
      <w:lvlJc w:val="left"/>
      <w:pPr>
        <w:tabs>
          <w:tab w:val="num" w:pos="397"/>
        </w:tabs>
        <w:ind w:left="397" w:hanging="170"/>
      </w:pPr>
      <w:rPr>
        <w:rFonts w:ascii="Segoe UI Emoji" w:hAnsi="Segoe UI Emoji" w:hint="default"/>
      </w:rPr>
    </w:lvl>
    <w:lvl w:ilvl="2">
      <w:start w:val="1"/>
      <w:numFmt w:val="bullet"/>
      <w:lvlText w:val=""/>
      <w:lvlJc w:val="left"/>
      <w:pPr>
        <w:ind w:left="757" w:hanging="360"/>
      </w:pPr>
      <w:rPr>
        <w:rFonts w:ascii="Wingdings" w:hAnsi="Wingdings" w:hint="default"/>
      </w:rPr>
    </w:lvl>
    <w:lvl w:ilvl="3">
      <w:start w:val="1"/>
      <w:numFmt w:val="bullet"/>
      <w:lvlText w:val=""/>
      <w:lvlJc w:val="left"/>
      <w:pPr>
        <w:tabs>
          <w:tab w:val="num" w:pos="794"/>
        </w:tabs>
        <w:ind w:left="794" w:hanging="170"/>
      </w:pPr>
      <w:rPr>
        <w:rFonts w:ascii="Symbol" w:hAnsi="Symbol" w:hint="default"/>
      </w:rPr>
    </w:lvl>
    <w:lvl w:ilvl="4">
      <w:start w:val="1"/>
      <w:numFmt w:val="bullet"/>
      <w:lvlText w:val="o"/>
      <w:lvlJc w:val="left"/>
      <w:pPr>
        <w:tabs>
          <w:tab w:val="num" w:pos="1361"/>
        </w:tabs>
        <w:ind w:left="1361" w:hanging="227"/>
      </w:pPr>
      <w:rPr>
        <w:rFonts w:ascii="Symbol" w:hAnsi="Symbol" w:hint="default"/>
      </w:rPr>
    </w:lvl>
    <w:lvl w:ilvl="5">
      <w:start w:val="1"/>
      <w:numFmt w:val="bullet"/>
      <w:lvlText w:val=""/>
      <w:lvlJc w:val="left"/>
      <w:pPr>
        <w:tabs>
          <w:tab w:val="num" w:pos="1588"/>
        </w:tabs>
        <w:ind w:left="1588" w:hanging="170"/>
      </w:pPr>
      <w:rPr>
        <w:rFonts w:ascii="TimesNewRoman" w:hAnsi="TimesNewRoman" w:hint="default"/>
      </w:rPr>
    </w:lvl>
    <w:lvl w:ilvl="6">
      <w:start w:val="1"/>
      <w:numFmt w:val="bullet"/>
      <w:lvlText w:val=""/>
      <w:lvlJc w:val="left"/>
      <w:pPr>
        <w:tabs>
          <w:tab w:val="num" w:pos="1871"/>
        </w:tabs>
        <w:ind w:left="1928" w:hanging="284"/>
      </w:pPr>
      <w:rPr>
        <w:rFonts w:ascii="Segoe UI" w:hAnsi="Segoe UI" w:hint="default"/>
      </w:rPr>
    </w:lvl>
    <w:lvl w:ilvl="7">
      <w:start w:val="1"/>
      <w:numFmt w:val="bullet"/>
      <w:lvlText w:val="o"/>
      <w:lvlJc w:val="left"/>
      <w:pPr>
        <w:tabs>
          <w:tab w:val="num" w:pos="2155"/>
        </w:tabs>
        <w:ind w:left="2268" w:hanging="340"/>
      </w:pPr>
      <w:rPr>
        <w:rFonts w:ascii="Segoe UI Emoji" w:hAnsi="Segoe UI Emoji" w:hint="default"/>
      </w:rPr>
    </w:lvl>
    <w:lvl w:ilvl="8">
      <w:start w:val="1"/>
      <w:numFmt w:val="bullet"/>
      <w:lvlText w:val=""/>
      <w:lvlJc w:val="left"/>
      <w:pPr>
        <w:ind w:left="2495" w:hanging="284"/>
      </w:pPr>
      <w:rPr>
        <w:rFonts w:ascii="TimesNewRoman" w:hAnsi="TimesNewRoman" w:hint="default"/>
      </w:rPr>
    </w:lvl>
  </w:abstractNum>
  <w:abstractNum w:abstractNumId="70" w15:restartNumberingAfterBreak="0">
    <w:nsid w:val="7C092DB8"/>
    <w:multiLevelType w:val="multilevel"/>
    <w:tmpl w:val="A8D6A330"/>
    <w:lvl w:ilvl="0">
      <w:start w:val="1"/>
      <w:numFmt w:val="bullet"/>
      <w:lvlText w:val=""/>
      <w:lvlJc w:val="left"/>
      <w:pPr>
        <w:ind w:left="227" w:hanging="170"/>
      </w:pPr>
      <w:rPr>
        <w:rFonts w:ascii="Symbol" w:hAnsi="Symbol" w:hint="default"/>
      </w:rPr>
    </w:lvl>
    <w:lvl w:ilvl="1">
      <w:start w:val="1"/>
      <w:numFmt w:val="bullet"/>
      <w:lvlText w:val="o"/>
      <w:lvlJc w:val="left"/>
      <w:pPr>
        <w:tabs>
          <w:tab w:val="num" w:pos="397"/>
        </w:tabs>
        <w:ind w:left="397" w:hanging="170"/>
      </w:pPr>
      <w:rPr>
        <w:rFonts w:ascii="Segoe UI Emoji" w:hAnsi="Segoe UI Emoji" w:hint="default"/>
      </w:rPr>
    </w:lvl>
    <w:lvl w:ilvl="2">
      <w:start w:val="1"/>
      <w:numFmt w:val="bullet"/>
      <w:lvlText w:val=""/>
      <w:lvlJc w:val="left"/>
      <w:pPr>
        <w:ind w:left="757" w:hanging="360"/>
      </w:pPr>
      <w:rPr>
        <w:rFonts w:ascii="Wingdings" w:hAnsi="Wingdings" w:hint="default"/>
      </w:rPr>
    </w:lvl>
    <w:lvl w:ilvl="3">
      <w:start w:val="1"/>
      <w:numFmt w:val="bullet"/>
      <w:lvlText w:val=""/>
      <w:lvlJc w:val="left"/>
      <w:pPr>
        <w:tabs>
          <w:tab w:val="num" w:pos="794"/>
        </w:tabs>
        <w:ind w:left="794" w:hanging="170"/>
      </w:pPr>
      <w:rPr>
        <w:rFonts w:ascii="Symbol" w:hAnsi="Symbol" w:hint="default"/>
      </w:rPr>
    </w:lvl>
    <w:lvl w:ilvl="4">
      <w:start w:val="1"/>
      <w:numFmt w:val="bullet"/>
      <w:lvlText w:val="o"/>
      <w:lvlJc w:val="left"/>
      <w:pPr>
        <w:tabs>
          <w:tab w:val="num" w:pos="1361"/>
        </w:tabs>
        <w:ind w:left="1361" w:hanging="227"/>
      </w:pPr>
      <w:rPr>
        <w:rFonts w:ascii="Symbol" w:hAnsi="Symbol" w:hint="default"/>
      </w:rPr>
    </w:lvl>
    <w:lvl w:ilvl="5">
      <w:start w:val="1"/>
      <w:numFmt w:val="bullet"/>
      <w:lvlText w:val=""/>
      <w:lvlJc w:val="left"/>
      <w:pPr>
        <w:tabs>
          <w:tab w:val="num" w:pos="1588"/>
        </w:tabs>
        <w:ind w:left="1588" w:hanging="170"/>
      </w:pPr>
      <w:rPr>
        <w:rFonts w:ascii="TimesNewRoman" w:hAnsi="TimesNewRoman" w:hint="default"/>
      </w:rPr>
    </w:lvl>
    <w:lvl w:ilvl="6">
      <w:start w:val="1"/>
      <w:numFmt w:val="bullet"/>
      <w:lvlText w:val=""/>
      <w:lvlJc w:val="left"/>
      <w:pPr>
        <w:tabs>
          <w:tab w:val="num" w:pos="1871"/>
        </w:tabs>
        <w:ind w:left="1928" w:hanging="284"/>
      </w:pPr>
      <w:rPr>
        <w:rFonts w:ascii="Segoe UI" w:hAnsi="Segoe UI" w:hint="default"/>
      </w:rPr>
    </w:lvl>
    <w:lvl w:ilvl="7">
      <w:start w:val="1"/>
      <w:numFmt w:val="bullet"/>
      <w:lvlText w:val="o"/>
      <w:lvlJc w:val="left"/>
      <w:pPr>
        <w:tabs>
          <w:tab w:val="num" w:pos="2155"/>
        </w:tabs>
        <w:ind w:left="2268" w:hanging="340"/>
      </w:pPr>
      <w:rPr>
        <w:rFonts w:ascii="Segoe UI Emoji" w:hAnsi="Segoe UI Emoji" w:hint="default"/>
      </w:rPr>
    </w:lvl>
    <w:lvl w:ilvl="8">
      <w:start w:val="1"/>
      <w:numFmt w:val="bullet"/>
      <w:lvlText w:val=""/>
      <w:lvlJc w:val="left"/>
      <w:pPr>
        <w:ind w:left="2495" w:hanging="284"/>
      </w:pPr>
      <w:rPr>
        <w:rFonts w:ascii="TimesNewRoman" w:hAnsi="TimesNewRoman" w:hint="default"/>
      </w:rPr>
    </w:lvl>
  </w:abstractNum>
  <w:abstractNum w:abstractNumId="71" w15:restartNumberingAfterBreak="0">
    <w:nsid w:val="7D2A134A"/>
    <w:multiLevelType w:val="multilevel"/>
    <w:tmpl w:val="DA00D124"/>
    <w:styleLink w:val="FieconNumberList"/>
    <w:lvl w:ilvl="0">
      <w:start w:val="1"/>
      <w:numFmt w:val="decimal"/>
      <w:pStyle w:val="ListNumber"/>
      <w:lvlText w:val="%1)"/>
      <w:lvlJc w:val="left"/>
      <w:pPr>
        <w:tabs>
          <w:tab w:val="num" w:pos="567"/>
        </w:tabs>
        <w:ind w:left="567" w:hanging="283"/>
      </w:pPr>
      <w:rPr>
        <w:rFonts w:hint="default"/>
      </w:rPr>
    </w:lvl>
    <w:lvl w:ilvl="1">
      <w:start w:val="1"/>
      <w:numFmt w:val="lowerLetter"/>
      <w:pStyle w:val="ListNumber2"/>
      <w:lvlText w:val="%2)"/>
      <w:lvlJc w:val="left"/>
      <w:pPr>
        <w:tabs>
          <w:tab w:val="num" w:pos="851"/>
        </w:tabs>
        <w:ind w:left="851" w:hanging="284"/>
      </w:pPr>
      <w:rPr>
        <w:rFonts w:hint="default"/>
      </w:rPr>
    </w:lvl>
    <w:lvl w:ilvl="2">
      <w:start w:val="1"/>
      <w:numFmt w:val="lowerRoman"/>
      <w:pStyle w:val="ListNumber3"/>
      <w:lvlText w:val="%3)"/>
      <w:lvlJc w:val="left"/>
      <w:pPr>
        <w:tabs>
          <w:tab w:val="num" w:pos="1134"/>
        </w:tabs>
        <w:ind w:left="1134"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2136437211">
    <w:abstractNumId w:val="0"/>
  </w:num>
  <w:num w:numId="2" w16cid:durableId="345862234">
    <w:abstractNumId w:val="66"/>
  </w:num>
  <w:num w:numId="3" w16cid:durableId="1807116211">
    <w:abstractNumId w:val="50"/>
  </w:num>
  <w:num w:numId="4" w16cid:durableId="1430733770">
    <w:abstractNumId w:val="3"/>
  </w:num>
  <w:num w:numId="5" w16cid:durableId="2099399676">
    <w:abstractNumId w:val="20"/>
  </w:num>
  <w:num w:numId="6" w16cid:durableId="583422349">
    <w:abstractNumId w:val="16"/>
  </w:num>
  <w:num w:numId="7" w16cid:durableId="430663424">
    <w:abstractNumId w:val="1"/>
  </w:num>
  <w:num w:numId="8" w16cid:durableId="1929802649">
    <w:abstractNumId w:val="69"/>
  </w:num>
  <w:num w:numId="9" w16cid:durableId="1956405989">
    <w:abstractNumId w:val="64"/>
  </w:num>
  <w:num w:numId="10" w16cid:durableId="1426609326">
    <w:abstractNumId w:val="2"/>
  </w:num>
  <w:num w:numId="11" w16cid:durableId="1730156264">
    <w:abstractNumId w:val="6"/>
  </w:num>
  <w:num w:numId="12" w16cid:durableId="829978794">
    <w:abstractNumId w:val="18"/>
  </w:num>
  <w:num w:numId="13" w16cid:durableId="20134724">
    <w:abstractNumId w:val="4"/>
  </w:num>
  <w:num w:numId="14" w16cid:durableId="784151716">
    <w:abstractNumId w:val="48"/>
  </w:num>
  <w:num w:numId="15" w16cid:durableId="2113356653">
    <w:abstractNumId w:val="70"/>
  </w:num>
  <w:num w:numId="16" w16cid:durableId="12653117">
    <w:abstractNumId w:val="5"/>
  </w:num>
  <w:num w:numId="17" w16cid:durableId="406466358">
    <w:abstractNumId w:val="9"/>
  </w:num>
  <w:num w:numId="18" w16cid:durableId="1237738899">
    <w:abstractNumId w:val="51"/>
  </w:num>
  <w:num w:numId="19" w16cid:durableId="1986081287">
    <w:abstractNumId w:val="17"/>
  </w:num>
  <w:num w:numId="20" w16cid:durableId="232668854">
    <w:abstractNumId w:val="41"/>
  </w:num>
  <w:num w:numId="21" w16cid:durableId="1767145194">
    <w:abstractNumId w:val="63"/>
  </w:num>
  <w:num w:numId="22" w16cid:durableId="443580332">
    <w:abstractNumId w:val="59"/>
  </w:num>
  <w:num w:numId="23" w16cid:durableId="427309017">
    <w:abstractNumId w:val="14"/>
  </w:num>
  <w:num w:numId="24" w16cid:durableId="533344463">
    <w:abstractNumId w:val="30"/>
  </w:num>
  <w:num w:numId="25" w16cid:durableId="1670676063">
    <w:abstractNumId w:val="37"/>
  </w:num>
  <w:num w:numId="26" w16cid:durableId="835535428">
    <w:abstractNumId w:val="26"/>
  </w:num>
  <w:num w:numId="27" w16cid:durableId="1035234573">
    <w:abstractNumId w:val="62"/>
  </w:num>
  <w:num w:numId="28" w16cid:durableId="127212048">
    <w:abstractNumId w:val="28"/>
  </w:num>
  <w:num w:numId="29" w16cid:durableId="263000054">
    <w:abstractNumId w:val="68"/>
  </w:num>
  <w:num w:numId="30" w16cid:durableId="343938939">
    <w:abstractNumId w:val="47"/>
  </w:num>
  <w:num w:numId="31" w16cid:durableId="851914904">
    <w:abstractNumId w:val="43"/>
  </w:num>
  <w:num w:numId="32" w16cid:durableId="1026253922">
    <w:abstractNumId w:val="19"/>
  </w:num>
  <w:num w:numId="33" w16cid:durableId="992368337">
    <w:abstractNumId w:val="57"/>
  </w:num>
  <w:num w:numId="34" w16cid:durableId="913662713">
    <w:abstractNumId w:val="55"/>
  </w:num>
  <w:num w:numId="35" w16cid:durableId="1880702333">
    <w:abstractNumId w:val="23"/>
  </w:num>
  <w:num w:numId="36" w16cid:durableId="68235385">
    <w:abstractNumId w:val="45"/>
  </w:num>
  <w:num w:numId="37" w16cid:durableId="1028025952">
    <w:abstractNumId w:val="22"/>
  </w:num>
  <w:num w:numId="38" w16cid:durableId="1748769199">
    <w:abstractNumId w:val="11"/>
  </w:num>
  <w:num w:numId="39" w16cid:durableId="1753431330">
    <w:abstractNumId w:val="15"/>
  </w:num>
  <w:num w:numId="40" w16cid:durableId="131679566">
    <w:abstractNumId w:val="35"/>
  </w:num>
  <w:num w:numId="41" w16cid:durableId="615597603">
    <w:abstractNumId w:val="71"/>
  </w:num>
  <w:num w:numId="42" w16cid:durableId="1919437192">
    <w:abstractNumId w:val="10"/>
  </w:num>
  <w:num w:numId="43" w16cid:durableId="537280869">
    <w:abstractNumId w:val="42"/>
  </w:num>
  <w:num w:numId="44" w16cid:durableId="848760966">
    <w:abstractNumId w:val="12"/>
  </w:num>
  <w:num w:numId="45" w16cid:durableId="1428967512">
    <w:abstractNumId w:val="58"/>
  </w:num>
  <w:num w:numId="46" w16cid:durableId="1610576924">
    <w:abstractNumId w:val="44"/>
  </w:num>
  <w:num w:numId="47" w16cid:durableId="1590430838">
    <w:abstractNumId w:val="25"/>
  </w:num>
  <w:num w:numId="48" w16cid:durableId="1078988486">
    <w:abstractNumId w:val="33"/>
  </w:num>
  <w:num w:numId="49" w16cid:durableId="726299704">
    <w:abstractNumId w:val="49"/>
  </w:num>
  <w:num w:numId="50" w16cid:durableId="1298293413">
    <w:abstractNumId w:val="56"/>
  </w:num>
  <w:num w:numId="51" w16cid:durableId="1397359936">
    <w:abstractNumId w:val="46"/>
  </w:num>
  <w:num w:numId="52" w16cid:durableId="2146504408">
    <w:abstractNumId w:val="13"/>
  </w:num>
  <w:num w:numId="53" w16cid:durableId="1697804915">
    <w:abstractNumId w:val="61"/>
  </w:num>
  <w:num w:numId="54" w16cid:durableId="1810390707">
    <w:abstractNumId w:val="8"/>
  </w:num>
  <w:num w:numId="55" w16cid:durableId="822745244">
    <w:abstractNumId w:val="27"/>
  </w:num>
  <w:num w:numId="56" w16cid:durableId="1596403085">
    <w:abstractNumId w:val="34"/>
  </w:num>
  <w:num w:numId="57" w16cid:durableId="1268807298">
    <w:abstractNumId w:val="53"/>
  </w:num>
  <w:num w:numId="58" w16cid:durableId="218060607">
    <w:abstractNumId w:val="31"/>
  </w:num>
  <w:num w:numId="59" w16cid:durableId="1023827451">
    <w:abstractNumId w:val="52"/>
  </w:num>
  <w:num w:numId="60" w16cid:durableId="134027530">
    <w:abstractNumId w:val="39"/>
  </w:num>
  <w:num w:numId="61" w16cid:durableId="1325816369">
    <w:abstractNumId w:val="24"/>
  </w:num>
  <w:num w:numId="62" w16cid:durableId="1177840763">
    <w:abstractNumId w:val="65"/>
  </w:num>
  <w:num w:numId="63" w16cid:durableId="1775901288">
    <w:abstractNumId w:val="21"/>
  </w:num>
  <w:num w:numId="64" w16cid:durableId="869296469">
    <w:abstractNumId w:val="32"/>
  </w:num>
  <w:num w:numId="65" w16cid:durableId="1511484643">
    <w:abstractNumId w:val="38"/>
  </w:num>
  <w:num w:numId="66" w16cid:durableId="1496145024">
    <w:abstractNumId w:val="60"/>
  </w:num>
  <w:num w:numId="67" w16cid:durableId="983511299">
    <w:abstractNumId w:val="29"/>
  </w:num>
  <w:num w:numId="68" w16cid:durableId="1728675674">
    <w:abstractNumId w:val="7"/>
  </w:num>
  <w:num w:numId="69" w16cid:durableId="1439981537">
    <w:abstractNumId w:val="67"/>
  </w:num>
  <w:num w:numId="70" w16cid:durableId="1548637539">
    <w:abstractNumId w:val="40"/>
  </w:num>
  <w:num w:numId="71" w16cid:durableId="1488477525">
    <w:abstractNumId w:val="54"/>
  </w:num>
  <w:num w:numId="72" w16cid:durableId="1130704101">
    <w:abstractNumId w:val="36"/>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hideSpellingErrors/>
  <w:hideGrammatical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numFmt w:val="lowerLette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RT LONG_LIVE&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sraxr2sldvt0herzw7x5028s0efeazsx9r0&quot;&gt;DSI_NICE_T-DXd_breast_cancer_2022-03-14&lt;record-ids&gt;&lt;item&gt;1&lt;/item&gt;&lt;item&gt;2&lt;/item&gt;&lt;item&gt;9&lt;/item&gt;&lt;item&gt;10&lt;/item&gt;&lt;item&gt;11&lt;/item&gt;&lt;item&gt;12&lt;/item&gt;&lt;item&gt;13&lt;/item&gt;&lt;item&gt;16&lt;/item&gt;&lt;item&gt;18&lt;/item&gt;&lt;item&gt;19&lt;/item&gt;&lt;item&gt;20&lt;/item&gt;&lt;item&gt;23&lt;/item&gt;&lt;item&gt;24&lt;/item&gt;&lt;item&gt;26&lt;/item&gt;&lt;item&gt;28&lt;/item&gt;&lt;item&gt;33&lt;/item&gt;&lt;item&gt;34&lt;/item&gt;&lt;item&gt;36&lt;/item&gt;&lt;item&gt;38&lt;/item&gt;&lt;item&gt;39&lt;/item&gt;&lt;item&gt;40&lt;/item&gt;&lt;item&gt;41&lt;/item&gt;&lt;item&gt;42&lt;/item&gt;&lt;item&gt;44&lt;/item&gt;&lt;item&gt;45&lt;/item&gt;&lt;item&gt;46&lt;/item&gt;&lt;item&gt;47&lt;/item&gt;&lt;item&gt;48&lt;/item&gt;&lt;item&gt;49&lt;/item&gt;&lt;item&gt;50&lt;/item&gt;&lt;item&gt;51&lt;/item&gt;&lt;item&gt;52&lt;/item&gt;&lt;item&gt;53&lt;/item&gt;&lt;item&gt;54&lt;/item&gt;&lt;item&gt;55&lt;/item&gt;&lt;item&gt;56&lt;/item&gt;&lt;item&gt;58&lt;/item&gt;&lt;item&gt;59&lt;/item&gt;&lt;item&gt;60&lt;/item&gt;&lt;item&gt;61&lt;/item&gt;&lt;item&gt;67&lt;/item&gt;&lt;item&gt;68&lt;/item&gt;&lt;item&gt;70&lt;/item&gt;&lt;item&gt;72&lt;/item&gt;&lt;item&gt;73&lt;/item&gt;&lt;item&gt;74&lt;/item&gt;&lt;item&gt;78&lt;/item&gt;&lt;item&gt;79&lt;/item&gt;&lt;item&gt;80&lt;/item&gt;&lt;item&gt;81&lt;/item&gt;&lt;item&gt;82&lt;/item&gt;&lt;item&gt;83&lt;/item&gt;&lt;item&gt;84&lt;/item&gt;&lt;item&gt;85&lt;/item&gt;&lt;item&gt;86&lt;/item&gt;&lt;item&gt;87&lt;/item&gt;&lt;item&gt;89&lt;/item&gt;&lt;item&gt;90&lt;/item&gt;&lt;item&gt;91&lt;/item&gt;&lt;item&gt;93&lt;/item&gt;&lt;item&gt;95&lt;/item&gt;&lt;item&gt;96&lt;/item&gt;&lt;item&gt;97&lt;/item&gt;&lt;item&gt;99&lt;/item&gt;&lt;item&gt;100&lt;/item&gt;&lt;item&gt;101&lt;/item&gt;&lt;item&gt;102&lt;/item&gt;&lt;item&gt;103&lt;/item&gt;&lt;item&gt;105&lt;/item&gt;&lt;item&gt;106&lt;/item&gt;&lt;item&gt;107&lt;/item&gt;&lt;item&gt;109&lt;/item&gt;&lt;item&gt;110&lt;/item&gt;&lt;item&gt;111&lt;/item&gt;&lt;item&gt;113&lt;/item&gt;&lt;item&gt;116&lt;/item&gt;&lt;item&gt;117&lt;/item&gt;&lt;item&gt;118&lt;/item&gt;&lt;item&gt;119&lt;/item&gt;&lt;item&gt;120&lt;/item&gt;&lt;item&gt;121&lt;/item&gt;&lt;item&gt;122&lt;/item&gt;&lt;item&gt;123&lt;/item&gt;&lt;item&gt;124&lt;/item&gt;&lt;item&gt;125&lt;/item&gt;&lt;item&gt;126&lt;/item&gt;&lt;item&gt;127&lt;/item&gt;&lt;item&gt;131&lt;/item&gt;&lt;item&gt;132&lt;/item&gt;&lt;item&gt;133&lt;/item&gt;&lt;item&gt;134&lt;/item&gt;&lt;item&gt;135&lt;/item&gt;&lt;item&gt;137&lt;/item&gt;&lt;item&gt;140&lt;/item&gt;&lt;item&gt;141&lt;/item&gt;&lt;item&gt;145&lt;/item&gt;&lt;item&gt;146&lt;/item&gt;&lt;item&gt;147&lt;/item&gt;&lt;item&gt;148&lt;/item&gt;&lt;item&gt;149&lt;/item&gt;&lt;item&gt;150&lt;/item&gt;&lt;item&gt;151&lt;/item&gt;&lt;item&gt;152&lt;/item&gt;&lt;item&gt;154&lt;/item&gt;&lt;item&gt;155&lt;/item&gt;&lt;item&gt;156&lt;/item&gt;&lt;item&gt;157&lt;/item&gt;&lt;item&gt;158&lt;/item&gt;&lt;item&gt;159&lt;/item&gt;&lt;item&gt;160&lt;/item&gt;&lt;item&gt;161&lt;/item&gt;&lt;item&gt;162&lt;/item&gt;&lt;item&gt;163&lt;/item&gt;&lt;item&gt;164&lt;/item&gt;&lt;item&gt;165&lt;/item&gt;&lt;item&gt;166&lt;/item&gt;&lt;item&gt;167&lt;/item&gt;&lt;item&gt;168&lt;/item&gt;&lt;item&gt;169&lt;/item&gt;&lt;item&gt;170&lt;/item&gt;&lt;item&gt;171&lt;/item&gt;&lt;item&gt;172&lt;/item&gt;&lt;item&gt;173&lt;/item&gt;&lt;item&gt;174&lt;/item&gt;&lt;item&gt;175&lt;/item&gt;&lt;item&gt;176&lt;/item&gt;&lt;item&gt;177&lt;/item&gt;&lt;item&gt;178&lt;/item&gt;&lt;item&gt;179&lt;/item&gt;&lt;item&gt;180&lt;/item&gt;&lt;item&gt;181&lt;/item&gt;&lt;item&gt;182&lt;/item&gt;&lt;item&gt;183&lt;/item&gt;&lt;item&gt;184&lt;/item&gt;&lt;item&gt;185&lt;/item&gt;&lt;item&gt;187&lt;/item&gt;&lt;item&gt;188&lt;/item&gt;&lt;item&gt;189&lt;/item&gt;&lt;item&gt;190&lt;/item&gt;&lt;item&gt;191&lt;/item&gt;&lt;item&gt;192&lt;/item&gt;&lt;item&gt;193&lt;/item&gt;&lt;item&gt;194&lt;/item&gt;&lt;item&gt;195&lt;/item&gt;&lt;item&gt;196&lt;/item&gt;&lt;item&gt;197&lt;/item&gt;&lt;item&gt;198&lt;/item&gt;&lt;item&gt;199&lt;/item&gt;&lt;item&gt;200&lt;/item&gt;&lt;item&gt;201&lt;/item&gt;&lt;item&gt;204&lt;/item&gt;&lt;item&gt;205&lt;/item&gt;&lt;item&gt;206&lt;/item&gt;&lt;item&gt;207&lt;/item&gt;&lt;item&gt;209&lt;/item&gt;&lt;item&gt;211&lt;/item&gt;&lt;item&gt;212&lt;/item&gt;&lt;item&gt;213&lt;/item&gt;&lt;item&gt;216&lt;/item&gt;&lt;item&gt;217&lt;/item&gt;&lt;item&gt;219&lt;/item&gt;&lt;item&gt;220&lt;/item&gt;&lt;item&gt;222&lt;/item&gt;&lt;item&gt;234&lt;/item&gt;&lt;item&gt;235&lt;/item&gt;&lt;item&gt;236&lt;/item&gt;&lt;/record-ids&gt;&lt;/item&gt;&lt;/Libraries&gt;"/>
  </w:docVars>
  <w:rsids>
    <w:rsidRoot w:val="00AA636C"/>
    <w:rsid w:val="000000E3"/>
    <w:rsid w:val="00000252"/>
    <w:rsid w:val="0000025E"/>
    <w:rsid w:val="000002EE"/>
    <w:rsid w:val="00000302"/>
    <w:rsid w:val="000003A5"/>
    <w:rsid w:val="000005B9"/>
    <w:rsid w:val="000005BB"/>
    <w:rsid w:val="00000608"/>
    <w:rsid w:val="00000622"/>
    <w:rsid w:val="00000783"/>
    <w:rsid w:val="000007A5"/>
    <w:rsid w:val="000007C4"/>
    <w:rsid w:val="000007D3"/>
    <w:rsid w:val="000007E8"/>
    <w:rsid w:val="00000895"/>
    <w:rsid w:val="000008EF"/>
    <w:rsid w:val="0000093C"/>
    <w:rsid w:val="00000A21"/>
    <w:rsid w:val="00000A4A"/>
    <w:rsid w:val="00000C4E"/>
    <w:rsid w:val="00000C65"/>
    <w:rsid w:val="00000C7D"/>
    <w:rsid w:val="00000DEA"/>
    <w:rsid w:val="00000E8D"/>
    <w:rsid w:val="00000F43"/>
    <w:rsid w:val="00000F8A"/>
    <w:rsid w:val="00001002"/>
    <w:rsid w:val="0000104B"/>
    <w:rsid w:val="0000105B"/>
    <w:rsid w:val="00001077"/>
    <w:rsid w:val="000010BC"/>
    <w:rsid w:val="000011B0"/>
    <w:rsid w:val="00001267"/>
    <w:rsid w:val="000012CD"/>
    <w:rsid w:val="00001359"/>
    <w:rsid w:val="0000142F"/>
    <w:rsid w:val="0000144A"/>
    <w:rsid w:val="000014A8"/>
    <w:rsid w:val="00001516"/>
    <w:rsid w:val="00001588"/>
    <w:rsid w:val="000015AE"/>
    <w:rsid w:val="000016ED"/>
    <w:rsid w:val="00001709"/>
    <w:rsid w:val="00001710"/>
    <w:rsid w:val="0000185F"/>
    <w:rsid w:val="00001868"/>
    <w:rsid w:val="00001892"/>
    <w:rsid w:val="0000196C"/>
    <w:rsid w:val="000019B3"/>
    <w:rsid w:val="000019CC"/>
    <w:rsid w:val="00001C16"/>
    <w:rsid w:val="00001C24"/>
    <w:rsid w:val="00001D23"/>
    <w:rsid w:val="00001DC6"/>
    <w:rsid w:val="00001E41"/>
    <w:rsid w:val="00001E4B"/>
    <w:rsid w:val="0000204C"/>
    <w:rsid w:val="000020AE"/>
    <w:rsid w:val="000020AF"/>
    <w:rsid w:val="000020B0"/>
    <w:rsid w:val="000020C4"/>
    <w:rsid w:val="000020FD"/>
    <w:rsid w:val="000022C0"/>
    <w:rsid w:val="000022D8"/>
    <w:rsid w:val="00002327"/>
    <w:rsid w:val="000023E3"/>
    <w:rsid w:val="000024E3"/>
    <w:rsid w:val="000024F1"/>
    <w:rsid w:val="00002565"/>
    <w:rsid w:val="000025E4"/>
    <w:rsid w:val="00002650"/>
    <w:rsid w:val="0000268D"/>
    <w:rsid w:val="00002781"/>
    <w:rsid w:val="0000286C"/>
    <w:rsid w:val="000028DB"/>
    <w:rsid w:val="00002923"/>
    <w:rsid w:val="00002969"/>
    <w:rsid w:val="00002AF5"/>
    <w:rsid w:val="00002B34"/>
    <w:rsid w:val="00002C81"/>
    <w:rsid w:val="00002D35"/>
    <w:rsid w:val="00002DD5"/>
    <w:rsid w:val="00003048"/>
    <w:rsid w:val="0000308F"/>
    <w:rsid w:val="000031BE"/>
    <w:rsid w:val="000033E3"/>
    <w:rsid w:val="00003427"/>
    <w:rsid w:val="00003462"/>
    <w:rsid w:val="000034F0"/>
    <w:rsid w:val="00003554"/>
    <w:rsid w:val="000035C2"/>
    <w:rsid w:val="00003627"/>
    <w:rsid w:val="000036FE"/>
    <w:rsid w:val="000039E7"/>
    <w:rsid w:val="00003C7E"/>
    <w:rsid w:val="00003F29"/>
    <w:rsid w:val="00003F46"/>
    <w:rsid w:val="00003FE1"/>
    <w:rsid w:val="0000402B"/>
    <w:rsid w:val="00004040"/>
    <w:rsid w:val="00004107"/>
    <w:rsid w:val="000041F9"/>
    <w:rsid w:val="000042BC"/>
    <w:rsid w:val="000043DF"/>
    <w:rsid w:val="000043EB"/>
    <w:rsid w:val="00004486"/>
    <w:rsid w:val="0000481D"/>
    <w:rsid w:val="00004872"/>
    <w:rsid w:val="00004875"/>
    <w:rsid w:val="00004A77"/>
    <w:rsid w:val="00004AC1"/>
    <w:rsid w:val="00004B56"/>
    <w:rsid w:val="00004CCF"/>
    <w:rsid w:val="00004CD4"/>
    <w:rsid w:val="00004D0E"/>
    <w:rsid w:val="00004EAE"/>
    <w:rsid w:val="00004ECA"/>
    <w:rsid w:val="00004FCC"/>
    <w:rsid w:val="00005183"/>
    <w:rsid w:val="000052A7"/>
    <w:rsid w:val="000052F3"/>
    <w:rsid w:val="000052F8"/>
    <w:rsid w:val="000054D4"/>
    <w:rsid w:val="00005611"/>
    <w:rsid w:val="00005710"/>
    <w:rsid w:val="00005717"/>
    <w:rsid w:val="00005780"/>
    <w:rsid w:val="000058D1"/>
    <w:rsid w:val="000058EB"/>
    <w:rsid w:val="0000590D"/>
    <w:rsid w:val="000059EA"/>
    <w:rsid w:val="00005ADA"/>
    <w:rsid w:val="00005AE5"/>
    <w:rsid w:val="00005AED"/>
    <w:rsid w:val="00005B40"/>
    <w:rsid w:val="00005C38"/>
    <w:rsid w:val="00005C49"/>
    <w:rsid w:val="00005C65"/>
    <w:rsid w:val="00005D3D"/>
    <w:rsid w:val="00005F8F"/>
    <w:rsid w:val="00006033"/>
    <w:rsid w:val="00006145"/>
    <w:rsid w:val="000061D3"/>
    <w:rsid w:val="00006223"/>
    <w:rsid w:val="00006289"/>
    <w:rsid w:val="000062D9"/>
    <w:rsid w:val="00006309"/>
    <w:rsid w:val="00006326"/>
    <w:rsid w:val="000063B1"/>
    <w:rsid w:val="00006634"/>
    <w:rsid w:val="00006713"/>
    <w:rsid w:val="00006762"/>
    <w:rsid w:val="000067EE"/>
    <w:rsid w:val="00006A87"/>
    <w:rsid w:val="00006B14"/>
    <w:rsid w:val="00006B9B"/>
    <w:rsid w:val="00006C11"/>
    <w:rsid w:val="00006D60"/>
    <w:rsid w:val="00006DD5"/>
    <w:rsid w:val="00006E9E"/>
    <w:rsid w:val="00006EB7"/>
    <w:rsid w:val="00007078"/>
    <w:rsid w:val="000070E9"/>
    <w:rsid w:val="00007183"/>
    <w:rsid w:val="00007237"/>
    <w:rsid w:val="00007301"/>
    <w:rsid w:val="0000730A"/>
    <w:rsid w:val="00007339"/>
    <w:rsid w:val="000074A9"/>
    <w:rsid w:val="00007538"/>
    <w:rsid w:val="0000759C"/>
    <w:rsid w:val="000075FB"/>
    <w:rsid w:val="0000771B"/>
    <w:rsid w:val="000077CB"/>
    <w:rsid w:val="000078BA"/>
    <w:rsid w:val="00007963"/>
    <w:rsid w:val="00007ABC"/>
    <w:rsid w:val="00007DB0"/>
    <w:rsid w:val="00007E27"/>
    <w:rsid w:val="00007ED5"/>
    <w:rsid w:val="00007EDC"/>
    <w:rsid w:val="00007F28"/>
    <w:rsid w:val="00007F87"/>
    <w:rsid w:val="000100DA"/>
    <w:rsid w:val="000101F5"/>
    <w:rsid w:val="00010256"/>
    <w:rsid w:val="00010334"/>
    <w:rsid w:val="00010351"/>
    <w:rsid w:val="0001035A"/>
    <w:rsid w:val="0001053C"/>
    <w:rsid w:val="00010ACF"/>
    <w:rsid w:val="00010B19"/>
    <w:rsid w:val="00010CC7"/>
    <w:rsid w:val="00010E66"/>
    <w:rsid w:val="00010F14"/>
    <w:rsid w:val="00010F5C"/>
    <w:rsid w:val="00011047"/>
    <w:rsid w:val="00011171"/>
    <w:rsid w:val="00011232"/>
    <w:rsid w:val="00011292"/>
    <w:rsid w:val="000112FB"/>
    <w:rsid w:val="00011309"/>
    <w:rsid w:val="0001132E"/>
    <w:rsid w:val="00011493"/>
    <w:rsid w:val="00011499"/>
    <w:rsid w:val="000114B8"/>
    <w:rsid w:val="0001159D"/>
    <w:rsid w:val="0001164E"/>
    <w:rsid w:val="000116E2"/>
    <w:rsid w:val="00011763"/>
    <w:rsid w:val="000117D4"/>
    <w:rsid w:val="000117DA"/>
    <w:rsid w:val="000118AF"/>
    <w:rsid w:val="000118EC"/>
    <w:rsid w:val="00011996"/>
    <w:rsid w:val="00011A5B"/>
    <w:rsid w:val="00011AE0"/>
    <w:rsid w:val="00011B3F"/>
    <w:rsid w:val="00011B78"/>
    <w:rsid w:val="00011B93"/>
    <w:rsid w:val="00011BAD"/>
    <w:rsid w:val="00011BB6"/>
    <w:rsid w:val="00011C58"/>
    <w:rsid w:val="00011D60"/>
    <w:rsid w:val="00011D87"/>
    <w:rsid w:val="00011DD8"/>
    <w:rsid w:val="00011ED3"/>
    <w:rsid w:val="00011EDD"/>
    <w:rsid w:val="00011F37"/>
    <w:rsid w:val="0001203D"/>
    <w:rsid w:val="00012091"/>
    <w:rsid w:val="000120A6"/>
    <w:rsid w:val="000120F7"/>
    <w:rsid w:val="0001210F"/>
    <w:rsid w:val="000121F0"/>
    <w:rsid w:val="00012250"/>
    <w:rsid w:val="00012400"/>
    <w:rsid w:val="00012412"/>
    <w:rsid w:val="00012485"/>
    <w:rsid w:val="000124C8"/>
    <w:rsid w:val="000125CD"/>
    <w:rsid w:val="00012791"/>
    <w:rsid w:val="00012846"/>
    <w:rsid w:val="0001285B"/>
    <w:rsid w:val="000128D4"/>
    <w:rsid w:val="000128D9"/>
    <w:rsid w:val="00012939"/>
    <w:rsid w:val="00012987"/>
    <w:rsid w:val="000129B7"/>
    <w:rsid w:val="00012A58"/>
    <w:rsid w:val="00012B25"/>
    <w:rsid w:val="00012B76"/>
    <w:rsid w:val="00012B93"/>
    <w:rsid w:val="00012BED"/>
    <w:rsid w:val="00012CB4"/>
    <w:rsid w:val="00012E16"/>
    <w:rsid w:val="00012E1C"/>
    <w:rsid w:val="00012E7D"/>
    <w:rsid w:val="00012ED8"/>
    <w:rsid w:val="000130C0"/>
    <w:rsid w:val="00013198"/>
    <w:rsid w:val="000131EE"/>
    <w:rsid w:val="0001328A"/>
    <w:rsid w:val="000132E6"/>
    <w:rsid w:val="0001349A"/>
    <w:rsid w:val="00013563"/>
    <w:rsid w:val="000135A8"/>
    <w:rsid w:val="000135A9"/>
    <w:rsid w:val="00013664"/>
    <w:rsid w:val="00013786"/>
    <w:rsid w:val="000137DA"/>
    <w:rsid w:val="00013969"/>
    <w:rsid w:val="000139DB"/>
    <w:rsid w:val="00013BDB"/>
    <w:rsid w:val="00013C23"/>
    <w:rsid w:val="00013D0F"/>
    <w:rsid w:val="00013D83"/>
    <w:rsid w:val="00013E32"/>
    <w:rsid w:val="00013E48"/>
    <w:rsid w:val="00013EF4"/>
    <w:rsid w:val="00013F0E"/>
    <w:rsid w:val="00014153"/>
    <w:rsid w:val="0001418B"/>
    <w:rsid w:val="000141F3"/>
    <w:rsid w:val="000144B9"/>
    <w:rsid w:val="0001455E"/>
    <w:rsid w:val="000145A9"/>
    <w:rsid w:val="0001462A"/>
    <w:rsid w:val="000146AA"/>
    <w:rsid w:val="00014706"/>
    <w:rsid w:val="00014747"/>
    <w:rsid w:val="000147A8"/>
    <w:rsid w:val="000147E4"/>
    <w:rsid w:val="0001498B"/>
    <w:rsid w:val="000149F2"/>
    <w:rsid w:val="00014AEE"/>
    <w:rsid w:val="00014B12"/>
    <w:rsid w:val="00014B75"/>
    <w:rsid w:val="00014C54"/>
    <w:rsid w:val="00014EAD"/>
    <w:rsid w:val="00014ED4"/>
    <w:rsid w:val="00014F7B"/>
    <w:rsid w:val="000150B7"/>
    <w:rsid w:val="00015158"/>
    <w:rsid w:val="000151EA"/>
    <w:rsid w:val="00015247"/>
    <w:rsid w:val="000152A0"/>
    <w:rsid w:val="00015416"/>
    <w:rsid w:val="00015587"/>
    <w:rsid w:val="0001561D"/>
    <w:rsid w:val="00015679"/>
    <w:rsid w:val="000156D0"/>
    <w:rsid w:val="0001574A"/>
    <w:rsid w:val="0001598B"/>
    <w:rsid w:val="00015A6E"/>
    <w:rsid w:val="00015AA8"/>
    <w:rsid w:val="00015D7B"/>
    <w:rsid w:val="00015E50"/>
    <w:rsid w:val="000160D6"/>
    <w:rsid w:val="000161E3"/>
    <w:rsid w:val="00016208"/>
    <w:rsid w:val="0001627F"/>
    <w:rsid w:val="0001658C"/>
    <w:rsid w:val="000165D3"/>
    <w:rsid w:val="00016631"/>
    <w:rsid w:val="0001668F"/>
    <w:rsid w:val="0001673C"/>
    <w:rsid w:val="00016761"/>
    <w:rsid w:val="0001679C"/>
    <w:rsid w:val="0001695E"/>
    <w:rsid w:val="00016A9D"/>
    <w:rsid w:val="00016B1B"/>
    <w:rsid w:val="00016B3C"/>
    <w:rsid w:val="00016B42"/>
    <w:rsid w:val="00016CBA"/>
    <w:rsid w:val="00016CFD"/>
    <w:rsid w:val="00016D3F"/>
    <w:rsid w:val="00016D78"/>
    <w:rsid w:val="00016E54"/>
    <w:rsid w:val="00016E7B"/>
    <w:rsid w:val="00016EBE"/>
    <w:rsid w:val="00016EC0"/>
    <w:rsid w:val="00016EF0"/>
    <w:rsid w:val="00016F6B"/>
    <w:rsid w:val="00016F9A"/>
    <w:rsid w:val="000170F2"/>
    <w:rsid w:val="0001724C"/>
    <w:rsid w:val="000172A8"/>
    <w:rsid w:val="000172B3"/>
    <w:rsid w:val="00017355"/>
    <w:rsid w:val="000174F8"/>
    <w:rsid w:val="00017590"/>
    <w:rsid w:val="000176E2"/>
    <w:rsid w:val="00017705"/>
    <w:rsid w:val="00017737"/>
    <w:rsid w:val="000177A0"/>
    <w:rsid w:val="000177D2"/>
    <w:rsid w:val="000177E3"/>
    <w:rsid w:val="000178B8"/>
    <w:rsid w:val="00017B44"/>
    <w:rsid w:val="00017DB1"/>
    <w:rsid w:val="00017E64"/>
    <w:rsid w:val="00020082"/>
    <w:rsid w:val="00020141"/>
    <w:rsid w:val="00020162"/>
    <w:rsid w:val="0002029C"/>
    <w:rsid w:val="000202B8"/>
    <w:rsid w:val="000204D2"/>
    <w:rsid w:val="000204F7"/>
    <w:rsid w:val="00020653"/>
    <w:rsid w:val="00020798"/>
    <w:rsid w:val="000207CE"/>
    <w:rsid w:val="000209D7"/>
    <w:rsid w:val="00020A51"/>
    <w:rsid w:val="00020AC5"/>
    <w:rsid w:val="00020B69"/>
    <w:rsid w:val="00020BE6"/>
    <w:rsid w:val="00020C49"/>
    <w:rsid w:val="00020CBD"/>
    <w:rsid w:val="00020CC3"/>
    <w:rsid w:val="00020D16"/>
    <w:rsid w:val="00020DFC"/>
    <w:rsid w:val="00020E24"/>
    <w:rsid w:val="0002102E"/>
    <w:rsid w:val="00021117"/>
    <w:rsid w:val="00021142"/>
    <w:rsid w:val="0002121F"/>
    <w:rsid w:val="00021265"/>
    <w:rsid w:val="000212A8"/>
    <w:rsid w:val="000212BF"/>
    <w:rsid w:val="00021393"/>
    <w:rsid w:val="00021501"/>
    <w:rsid w:val="000215D4"/>
    <w:rsid w:val="00021851"/>
    <w:rsid w:val="00021908"/>
    <w:rsid w:val="00021926"/>
    <w:rsid w:val="000219A5"/>
    <w:rsid w:val="000219AB"/>
    <w:rsid w:val="00021A8F"/>
    <w:rsid w:val="00021B52"/>
    <w:rsid w:val="00021B70"/>
    <w:rsid w:val="00021BAE"/>
    <w:rsid w:val="00021C01"/>
    <w:rsid w:val="00021C4C"/>
    <w:rsid w:val="00021CA6"/>
    <w:rsid w:val="00021CB4"/>
    <w:rsid w:val="00021D22"/>
    <w:rsid w:val="00021D60"/>
    <w:rsid w:val="00021E9F"/>
    <w:rsid w:val="00021F00"/>
    <w:rsid w:val="000220AE"/>
    <w:rsid w:val="000220CD"/>
    <w:rsid w:val="000221AC"/>
    <w:rsid w:val="000222F9"/>
    <w:rsid w:val="000223AB"/>
    <w:rsid w:val="00022494"/>
    <w:rsid w:val="000224CA"/>
    <w:rsid w:val="000224D6"/>
    <w:rsid w:val="00022663"/>
    <w:rsid w:val="0002269D"/>
    <w:rsid w:val="0002273C"/>
    <w:rsid w:val="000227B1"/>
    <w:rsid w:val="00022851"/>
    <w:rsid w:val="000228F8"/>
    <w:rsid w:val="0002298A"/>
    <w:rsid w:val="00022A53"/>
    <w:rsid w:val="00022A71"/>
    <w:rsid w:val="00022A7C"/>
    <w:rsid w:val="00022B4C"/>
    <w:rsid w:val="00022BA1"/>
    <w:rsid w:val="00022BB9"/>
    <w:rsid w:val="00022D0D"/>
    <w:rsid w:val="00022D75"/>
    <w:rsid w:val="00022ED7"/>
    <w:rsid w:val="00022F34"/>
    <w:rsid w:val="00022FDE"/>
    <w:rsid w:val="000230E6"/>
    <w:rsid w:val="00023242"/>
    <w:rsid w:val="0002328B"/>
    <w:rsid w:val="000232CD"/>
    <w:rsid w:val="0002340E"/>
    <w:rsid w:val="0002351E"/>
    <w:rsid w:val="00023557"/>
    <w:rsid w:val="00023572"/>
    <w:rsid w:val="000235A2"/>
    <w:rsid w:val="00023621"/>
    <w:rsid w:val="00023667"/>
    <w:rsid w:val="00023791"/>
    <w:rsid w:val="00023832"/>
    <w:rsid w:val="00023855"/>
    <w:rsid w:val="00023856"/>
    <w:rsid w:val="0002387F"/>
    <w:rsid w:val="000238F5"/>
    <w:rsid w:val="00023901"/>
    <w:rsid w:val="00023969"/>
    <w:rsid w:val="0002397C"/>
    <w:rsid w:val="00023980"/>
    <w:rsid w:val="00023A1A"/>
    <w:rsid w:val="00023B22"/>
    <w:rsid w:val="00023B67"/>
    <w:rsid w:val="00023B93"/>
    <w:rsid w:val="00023D53"/>
    <w:rsid w:val="00023D64"/>
    <w:rsid w:val="00023DBB"/>
    <w:rsid w:val="00023F9D"/>
    <w:rsid w:val="000240F5"/>
    <w:rsid w:val="0002411C"/>
    <w:rsid w:val="0002414E"/>
    <w:rsid w:val="00024350"/>
    <w:rsid w:val="0002435F"/>
    <w:rsid w:val="00024557"/>
    <w:rsid w:val="000245C3"/>
    <w:rsid w:val="00024603"/>
    <w:rsid w:val="00024647"/>
    <w:rsid w:val="0002465F"/>
    <w:rsid w:val="000246DC"/>
    <w:rsid w:val="000246E1"/>
    <w:rsid w:val="0002472A"/>
    <w:rsid w:val="0002478E"/>
    <w:rsid w:val="000247CF"/>
    <w:rsid w:val="0002485B"/>
    <w:rsid w:val="000248D8"/>
    <w:rsid w:val="000248EF"/>
    <w:rsid w:val="00024909"/>
    <w:rsid w:val="0002491B"/>
    <w:rsid w:val="0002492B"/>
    <w:rsid w:val="000249AA"/>
    <w:rsid w:val="000249AB"/>
    <w:rsid w:val="000249DB"/>
    <w:rsid w:val="00024A33"/>
    <w:rsid w:val="00024AFA"/>
    <w:rsid w:val="00024B5B"/>
    <w:rsid w:val="00024C5F"/>
    <w:rsid w:val="00024C95"/>
    <w:rsid w:val="00024CCE"/>
    <w:rsid w:val="00024D27"/>
    <w:rsid w:val="00024DCE"/>
    <w:rsid w:val="00024E44"/>
    <w:rsid w:val="00024EED"/>
    <w:rsid w:val="00024FF4"/>
    <w:rsid w:val="0002509A"/>
    <w:rsid w:val="0002516F"/>
    <w:rsid w:val="000251AE"/>
    <w:rsid w:val="000252B9"/>
    <w:rsid w:val="000252ED"/>
    <w:rsid w:val="00025345"/>
    <w:rsid w:val="00025383"/>
    <w:rsid w:val="000253AF"/>
    <w:rsid w:val="000253DF"/>
    <w:rsid w:val="00025459"/>
    <w:rsid w:val="000254B2"/>
    <w:rsid w:val="000254D0"/>
    <w:rsid w:val="000254E2"/>
    <w:rsid w:val="00025685"/>
    <w:rsid w:val="00025732"/>
    <w:rsid w:val="00025767"/>
    <w:rsid w:val="00025770"/>
    <w:rsid w:val="0002577B"/>
    <w:rsid w:val="00025794"/>
    <w:rsid w:val="000258BB"/>
    <w:rsid w:val="00025927"/>
    <w:rsid w:val="000259E0"/>
    <w:rsid w:val="00025AB8"/>
    <w:rsid w:val="00025BC7"/>
    <w:rsid w:val="00025C07"/>
    <w:rsid w:val="00025C0D"/>
    <w:rsid w:val="00025E3E"/>
    <w:rsid w:val="00026038"/>
    <w:rsid w:val="000260C2"/>
    <w:rsid w:val="00026326"/>
    <w:rsid w:val="0002638F"/>
    <w:rsid w:val="000264F0"/>
    <w:rsid w:val="00026544"/>
    <w:rsid w:val="000266EF"/>
    <w:rsid w:val="00026796"/>
    <w:rsid w:val="000268CF"/>
    <w:rsid w:val="000268E5"/>
    <w:rsid w:val="00026907"/>
    <w:rsid w:val="00026A32"/>
    <w:rsid w:val="00026A49"/>
    <w:rsid w:val="00026AEC"/>
    <w:rsid w:val="00026B23"/>
    <w:rsid w:val="00026CF2"/>
    <w:rsid w:val="00026D14"/>
    <w:rsid w:val="00026D82"/>
    <w:rsid w:val="00026DA6"/>
    <w:rsid w:val="00026FC8"/>
    <w:rsid w:val="0002705B"/>
    <w:rsid w:val="0002708F"/>
    <w:rsid w:val="00027149"/>
    <w:rsid w:val="00027167"/>
    <w:rsid w:val="0002718B"/>
    <w:rsid w:val="00027256"/>
    <w:rsid w:val="00027368"/>
    <w:rsid w:val="00027452"/>
    <w:rsid w:val="00027542"/>
    <w:rsid w:val="00027591"/>
    <w:rsid w:val="00027765"/>
    <w:rsid w:val="000277A1"/>
    <w:rsid w:val="00027801"/>
    <w:rsid w:val="0002782D"/>
    <w:rsid w:val="000278A4"/>
    <w:rsid w:val="00027927"/>
    <w:rsid w:val="000279DA"/>
    <w:rsid w:val="000279E6"/>
    <w:rsid w:val="00027B0F"/>
    <w:rsid w:val="00027C02"/>
    <w:rsid w:val="00027DAD"/>
    <w:rsid w:val="00027DD2"/>
    <w:rsid w:val="00027F03"/>
    <w:rsid w:val="00027FEB"/>
    <w:rsid w:val="00030030"/>
    <w:rsid w:val="00030059"/>
    <w:rsid w:val="00030086"/>
    <w:rsid w:val="0003008C"/>
    <w:rsid w:val="000300AF"/>
    <w:rsid w:val="000300B3"/>
    <w:rsid w:val="000301F6"/>
    <w:rsid w:val="00030436"/>
    <w:rsid w:val="00030575"/>
    <w:rsid w:val="00030858"/>
    <w:rsid w:val="00030985"/>
    <w:rsid w:val="000309A0"/>
    <w:rsid w:val="000309F1"/>
    <w:rsid w:val="00030CA9"/>
    <w:rsid w:val="00030D5B"/>
    <w:rsid w:val="00030DA6"/>
    <w:rsid w:val="00030E3D"/>
    <w:rsid w:val="00030E57"/>
    <w:rsid w:val="00030F3F"/>
    <w:rsid w:val="00030F69"/>
    <w:rsid w:val="00030F92"/>
    <w:rsid w:val="0003107D"/>
    <w:rsid w:val="000311E8"/>
    <w:rsid w:val="00031207"/>
    <w:rsid w:val="00031242"/>
    <w:rsid w:val="00031317"/>
    <w:rsid w:val="00031326"/>
    <w:rsid w:val="0003147A"/>
    <w:rsid w:val="00031480"/>
    <w:rsid w:val="000314EC"/>
    <w:rsid w:val="00031599"/>
    <w:rsid w:val="000315C9"/>
    <w:rsid w:val="00031612"/>
    <w:rsid w:val="00031614"/>
    <w:rsid w:val="0003161D"/>
    <w:rsid w:val="0003176E"/>
    <w:rsid w:val="000317EF"/>
    <w:rsid w:val="0003189D"/>
    <w:rsid w:val="00031931"/>
    <w:rsid w:val="00031962"/>
    <w:rsid w:val="00031A21"/>
    <w:rsid w:val="00031A9D"/>
    <w:rsid w:val="00031BF0"/>
    <w:rsid w:val="00031CA5"/>
    <w:rsid w:val="00031DB4"/>
    <w:rsid w:val="00031DFA"/>
    <w:rsid w:val="00031ED3"/>
    <w:rsid w:val="00031F35"/>
    <w:rsid w:val="00032015"/>
    <w:rsid w:val="00032028"/>
    <w:rsid w:val="00032112"/>
    <w:rsid w:val="00032183"/>
    <w:rsid w:val="0003224F"/>
    <w:rsid w:val="00032317"/>
    <w:rsid w:val="00032362"/>
    <w:rsid w:val="00032411"/>
    <w:rsid w:val="00032414"/>
    <w:rsid w:val="00032475"/>
    <w:rsid w:val="0003248D"/>
    <w:rsid w:val="000325D1"/>
    <w:rsid w:val="00032690"/>
    <w:rsid w:val="0003273A"/>
    <w:rsid w:val="00032959"/>
    <w:rsid w:val="0003295E"/>
    <w:rsid w:val="00032A0A"/>
    <w:rsid w:val="00032AF9"/>
    <w:rsid w:val="00032B49"/>
    <w:rsid w:val="00032BDC"/>
    <w:rsid w:val="00032C95"/>
    <w:rsid w:val="00032CB9"/>
    <w:rsid w:val="00032DBA"/>
    <w:rsid w:val="00032DF4"/>
    <w:rsid w:val="00032F41"/>
    <w:rsid w:val="00032F94"/>
    <w:rsid w:val="0003305C"/>
    <w:rsid w:val="0003307B"/>
    <w:rsid w:val="00033094"/>
    <w:rsid w:val="0003309E"/>
    <w:rsid w:val="00033266"/>
    <w:rsid w:val="000332E2"/>
    <w:rsid w:val="0003331C"/>
    <w:rsid w:val="0003336F"/>
    <w:rsid w:val="00033586"/>
    <w:rsid w:val="0003359D"/>
    <w:rsid w:val="000336D8"/>
    <w:rsid w:val="0003374B"/>
    <w:rsid w:val="000337C3"/>
    <w:rsid w:val="00033868"/>
    <w:rsid w:val="0003396C"/>
    <w:rsid w:val="00033AA3"/>
    <w:rsid w:val="00033B3B"/>
    <w:rsid w:val="00033C0C"/>
    <w:rsid w:val="00033C86"/>
    <w:rsid w:val="00033D9D"/>
    <w:rsid w:val="00033E39"/>
    <w:rsid w:val="00033FEF"/>
    <w:rsid w:val="0003410A"/>
    <w:rsid w:val="00034130"/>
    <w:rsid w:val="000342F3"/>
    <w:rsid w:val="000343E4"/>
    <w:rsid w:val="0003443A"/>
    <w:rsid w:val="00034526"/>
    <w:rsid w:val="00034551"/>
    <w:rsid w:val="000346D8"/>
    <w:rsid w:val="00034706"/>
    <w:rsid w:val="00034745"/>
    <w:rsid w:val="000347C7"/>
    <w:rsid w:val="00034969"/>
    <w:rsid w:val="000349AD"/>
    <w:rsid w:val="000349FE"/>
    <w:rsid w:val="00034A1E"/>
    <w:rsid w:val="00034B29"/>
    <w:rsid w:val="00034BFA"/>
    <w:rsid w:val="00034DC5"/>
    <w:rsid w:val="00034E95"/>
    <w:rsid w:val="00034EC3"/>
    <w:rsid w:val="00034EEA"/>
    <w:rsid w:val="00034F49"/>
    <w:rsid w:val="00034F82"/>
    <w:rsid w:val="00035036"/>
    <w:rsid w:val="0003503D"/>
    <w:rsid w:val="00035043"/>
    <w:rsid w:val="000350C9"/>
    <w:rsid w:val="00035129"/>
    <w:rsid w:val="0003514B"/>
    <w:rsid w:val="00035525"/>
    <w:rsid w:val="0003557C"/>
    <w:rsid w:val="00035605"/>
    <w:rsid w:val="0003562C"/>
    <w:rsid w:val="00035776"/>
    <w:rsid w:val="000357DB"/>
    <w:rsid w:val="00035808"/>
    <w:rsid w:val="00035852"/>
    <w:rsid w:val="00035907"/>
    <w:rsid w:val="0003597C"/>
    <w:rsid w:val="0003599E"/>
    <w:rsid w:val="00035BB8"/>
    <w:rsid w:val="00035BD3"/>
    <w:rsid w:val="00035CF9"/>
    <w:rsid w:val="00035DCE"/>
    <w:rsid w:val="00035E82"/>
    <w:rsid w:val="00035FE8"/>
    <w:rsid w:val="00036067"/>
    <w:rsid w:val="0003608B"/>
    <w:rsid w:val="000360A5"/>
    <w:rsid w:val="000360E1"/>
    <w:rsid w:val="0003620D"/>
    <w:rsid w:val="000362DB"/>
    <w:rsid w:val="000363F5"/>
    <w:rsid w:val="000365FD"/>
    <w:rsid w:val="000366D0"/>
    <w:rsid w:val="000367D0"/>
    <w:rsid w:val="0003681A"/>
    <w:rsid w:val="00036827"/>
    <w:rsid w:val="000368F6"/>
    <w:rsid w:val="00036941"/>
    <w:rsid w:val="000369A3"/>
    <w:rsid w:val="00036ABD"/>
    <w:rsid w:val="00036B23"/>
    <w:rsid w:val="00036BC2"/>
    <w:rsid w:val="00036C6D"/>
    <w:rsid w:val="00036CFF"/>
    <w:rsid w:val="00036DE9"/>
    <w:rsid w:val="00036EA7"/>
    <w:rsid w:val="00036EAE"/>
    <w:rsid w:val="00036F11"/>
    <w:rsid w:val="00036FBF"/>
    <w:rsid w:val="0003701D"/>
    <w:rsid w:val="000371C5"/>
    <w:rsid w:val="000371CB"/>
    <w:rsid w:val="000372E3"/>
    <w:rsid w:val="000372EC"/>
    <w:rsid w:val="00037317"/>
    <w:rsid w:val="00037346"/>
    <w:rsid w:val="00037464"/>
    <w:rsid w:val="0003770F"/>
    <w:rsid w:val="000377A0"/>
    <w:rsid w:val="000377C9"/>
    <w:rsid w:val="00037A0A"/>
    <w:rsid w:val="00037ACA"/>
    <w:rsid w:val="00037ADE"/>
    <w:rsid w:val="00037B83"/>
    <w:rsid w:val="00037CD2"/>
    <w:rsid w:val="00037D57"/>
    <w:rsid w:val="00037DC4"/>
    <w:rsid w:val="00037E03"/>
    <w:rsid w:val="00037E68"/>
    <w:rsid w:val="00037F43"/>
    <w:rsid w:val="00037F4A"/>
    <w:rsid w:val="00037F94"/>
    <w:rsid w:val="000400E8"/>
    <w:rsid w:val="00040107"/>
    <w:rsid w:val="000401DC"/>
    <w:rsid w:val="0004034C"/>
    <w:rsid w:val="00040487"/>
    <w:rsid w:val="00040586"/>
    <w:rsid w:val="000405AF"/>
    <w:rsid w:val="00040776"/>
    <w:rsid w:val="000407FF"/>
    <w:rsid w:val="0004082F"/>
    <w:rsid w:val="0004086D"/>
    <w:rsid w:val="000408C3"/>
    <w:rsid w:val="000409D4"/>
    <w:rsid w:val="00040CF4"/>
    <w:rsid w:val="00040D2F"/>
    <w:rsid w:val="00040E5A"/>
    <w:rsid w:val="00040E9E"/>
    <w:rsid w:val="00040EC5"/>
    <w:rsid w:val="00040FAA"/>
    <w:rsid w:val="00041065"/>
    <w:rsid w:val="00041126"/>
    <w:rsid w:val="0004116E"/>
    <w:rsid w:val="000412E2"/>
    <w:rsid w:val="0004139F"/>
    <w:rsid w:val="000413F2"/>
    <w:rsid w:val="0004141F"/>
    <w:rsid w:val="0004142D"/>
    <w:rsid w:val="00041433"/>
    <w:rsid w:val="000415BE"/>
    <w:rsid w:val="000415C6"/>
    <w:rsid w:val="000416E3"/>
    <w:rsid w:val="000416E5"/>
    <w:rsid w:val="0004170F"/>
    <w:rsid w:val="0004182F"/>
    <w:rsid w:val="00041847"/>
    <w:rsid w:val="0004198C"/>
    <w:rsid w:val="0004198E"/>
    <w:rsid w:val="000419CE"/>
    <w:rsid w:val="00041A87"/>
    <w:rsid w:val="00041AA9"/>
    <w:rsid w:val="00041C56"/>
    <w:rsid w:val="00041C65"/>
    <w:rsid w:val="00041C85"/>
    <w:rsid w:val="00041ED5"/>
    <w:rsid w:val="00041F3E"/>
    <w:rsid w:val="00041FE1"/>
    <w:rsid w:val="00041FF5"/>
    <w:rsid w:val="000420FE"/>
    <w:rsid w:val="0004210E"/>
    <w:rsid w:val="000421FC"/>
    <w:rsid w:val="00042352"/>
    <w:rsid w:val="0004238A"/>
    <w:rsid w:val="00042476"/>
    <w:rsid w:val="000424C3"/>
    <w:rsid w:val="000424FA"/>
    <w:rsid w:val="0004251E"/>
    <w:rsid w:val="00042541"/>
    <w:rsid w:val="00042663"/>
    <w:rsid w:val="0004272F"/>
    <w:rsid w:val="000427A4"/>
    <w:rsid w:val="000428AA"/>
    <w:rsid w:val="00042966"/>
    <w:rsid w:val="00042984"/>
    <w:rsid w:val="00042B1C"/>
    <w:rsid w:val="00042BDC"/>
    <w:rsid w:val="00042D40"/>
    <w:rsid w:val="00042D5F"/>
    <w:rsid w:val="00042DEB"/>
    <w:rsid w:val="00042EFA"/>
    <w:rsid w:val="00042F95"/>
    <w:rsid w:val="000431D3"/>
    <w:rsid w:val="000432AB"/>
    <w:rsid w:val="0004332F"/>
    <w:rsid w:val="000434C8"/>
    <w:rsid w:val="0004351C"/>
    <w:rsid w:val="0004365B"/>
    <w:rsid w:val="0004366D"/>
    <w:rsid w:val="000436E7"/>
    <w:rsid w:val="00043727"/>
    <w:rsid w:val="00043839"/>
    <w:rsid w:val="00043840"/>
    <w:rsid w:val="0004385A"/>
    <w:rsid w:val="00043896"/>
    <w:rsid w:val="000439E1"/>
    <w:rsid w:val="00043B13"/>
    <w:rsid w:val="00043C10"/>
    <w:rsid w:val="00043C57"/>
    <w:rsid w:val="00043C5E"/>
    <w:rsid w:val="00043CC7"/>
    <w:rsid w:val="00043CE5"/>
    <w:rsid w:val="00043D2D"/>
    <w:rsid w:val="00043E04"/>
    <w:rsid w:val="00043E3B"/>
    <w:rsid w:val="00043EB1"/>
    <w:rsid w:val="00043EDD"/>
    <w:rsid w:val="00043F3B"/>
    <w:rsid w:val="00044177"/>
    <w:rsid w:val="00044245"/>
    <w:rsid w:val="00044273"/>
    <w:rsid w:val="00044420"/>
    <w:rsid w:val="0004458B"/>
    <w:rsid w:val="000445C4"/>
    <w:rsid w:val="000445E4"/>
    <w:rsid w:val="0004464D"/>
    <w:rsid w:val="0004466A"/>
    <w:rsid w:val="000446ED"/>
    <w:rsid w:val="0004475A"/>
    <w:rsid w:val="00044804"/>
    <w:rsid w:val="00044858"/>
    <w:rsid w:val="00044936"/>
    <w:rsid w:val="00044A5B"/>
    <w:rsid w:val="00044B02"/>
    <w:rsid w:val="00044BB8"/>
    <w:rsid w:val="00044F25"/>
    <w:rsid w:val="0004512F"/>
    <w:rsid w:val="0004535A"/>
    <w:rsid w:val="0004543A"/>
    <w:rsid w:val="00045683"/>
    <w:rsid w:val="000456C6"/>
    <w:rsid w:val="0004584D"/>
    <w:rsid w:val="000458E5"/>
    <w:rsid w:val="0004591D"/>
    <w:rsid w:val="00045961"/>
    <w:rsid w:val="00045A80"/>
    <w:rsid w:val="00045AC0"/>
    <w:rsid w:val="00045C3F"/>
    <w:rsid w:val="00045CB7"/>
    <w:rsid w:val="00045CD5"/>
    <w:rsid w:val="00045D9A"/>
    <w:rsid w:val="00045F43"/>
    <w:rsid w:val="000460A6"/>
    <w:rsid w:val="000460CE"/>
    <w:rsid w:val="00046293"/>
    <w:rsid w:val="000463AB"/>
    <w:rsid w:val="00046466"/>
    <w:rsid w:val="000464EB"/>
    <w:rsid w:val="00046585"/>
    <w:rsid w:val="000466D9"/>
    <w:rsid w:val="0004671C"/>
    <w:rsid w:val="000467C8"/>
    <w:rsid w:val="0004686C"/>
    <w:rsid w:val="000468B4"/>
    <w:rsid w:val="000469C7"/>
    <w:rsid w:val="000469D4"/>
    <w:rsid w:val="000469EB"/>
    <w:rsid w:val="00046AD5"/>
    <w:rsid w:val="00046AFE"/>
    <w:rsid w:val="00046B6F"/>
    <w:rsid w:val="00046BB9"/>
    <w:rsid w:val="00046BD2"/>
    <w:rsid w:val="00046D4E"/>
    <w:rsid w:val="00046DFE"/>
    <w:rsid w:val="00046E91"/>
    <w:rsid w:val="00046EA2"/>
    <w:rsid w:val="00046EB1"/>
    <w:rsid w:val="00046EF3"/>
    <w:rsid w:val="00046F21"/>
    <w:rsid w:val="00046F35"/>
    <w:rsid w:val="00047011"/>
    <w:rsid w:val="000470A0"/>
    <w:rsid w:val="00047136"/>
    <w:rsid w:val="000471A1"/>
    <w:rsid w:val="000472AE"/>
    <w:rsid w:val="0004747B"/>
    <w:rsid w:val="000474C3"/>
    <w:rsid w:val="0004768D"/>
    <w:rsid w:val="000476C6"/>
    <w:rsid w:val="0004778A"/>
    <w:rsid w:val="00047833"/>
    <w:rsid w:val="0004789B"/>
    <w:rsid w:val="00047938"/>
    <w:rsid w:val="00047BCE"/>
    <w:rsid w:val="00047BFF"/>
    <w:rsid w:val="00047C87"/>
    <w:rsid w:val="00047C8A"/>
    <w:rsid w:val="00047CA4"/>
    <w:rsid w:val="00047CD7"/>
    <w:rsid w:val="00047D45"/>
    <w:rsid w:val="00047D4F"/>
    <w:rsid w:val="00047D57"/>
    <w:rsid w:val="00047D8B"/>
    <w:rsid w:val="00047DBF"/>
    <w:rsid w:val="00047EB3"/>
    <w:rsid w:val="00047F7A"/>
    <w:rsid w:val="00047F8E"/>
    <w:rsid w:val="000500CF"/>
    <w:rsid w:val="00050266"/>
    <w:rsid w:val="00050374"/>
    <w:rsid w:val="00050433"/>
    <w:rsid w:val="00050843"/>
    <w:rsid w:val="0005091B"/>
    <w:rsid w:val="0005096A"/>
    <w:rsid w:val="00050A19"/>
    <w:rsid w:val="00050BD1"/>
    <w:rsid w:val="00050C3A"/>
    <w:rsid w:val="00050CE7"/>
    <w:rsid w:val="00050D59"/>
    <w:rsid w:val="00050D5F"/>
    <w:rsid w:val="00050E45"/>
    <w:rsid w:val="00050F87"/>
    <w:rsid w:val="00050FC8"/>
    <w:rsid w:val="00051057"/>
    <w:rsid w:val="000511F3"/>
    <w:rsid w:val="00051302"/>
    <w:rsid w:val="000513E7"/>
    <w:rsid w:val="0005161F"/>
    <w:rsid w:val="000516BC"/>
    <w:rsid w:val="0005174B"/>
    <w:rsid w:val="00051762"/>
    <w:rsid w:val="000518D4"/>
    <w:rsid w:val="0005190D"/>
    <w:rsid w:val="00051938"/>
    <w:rsid w:val="0005196D"/>
    <w:rsid w:val="000519C0"/>
    <w:rsid w:val="00051ADA"/>
    <w:rsid w:val="00051CBA"/>
    <w:rsid w:val="00051D85"/>
    <w:rsid w:val="00051E82"/>
    <w:rsid w:val="00051F22"/>
    <w:rsid w:val="00051F43"/>
    <w:rsid w:val="00051F94"/>
    <w:rsid w:val="00051FD3"/>
    <w:rsid w:val="00051FEA"/>
    <w:rsid w:val="000520A8"/>
    <w:rsid w:val="00052239"/>
    <w:rsid w:val="00052251"/>
    <w:rsid w:val="0005225C"/>
    <w:rsid w:val="000522B2"/>
    <w:rsid w:val="00052314"/>
    <w:rsid w:val="0005233C"/>
    <w:rsid w:val="00052424"/>
    <w:rsid w:val="00052513"/>
    <w:rsid w:val="00052530"/>
    <w:rsid w:val="0005257C"/>
    <w:rsid w:val="000526C6"/>
    <w:rsid w:val="000526D8"/>
    <w:rsid w:val="000527B3"/>
    <w:rsid w:val="00052801"/>
    <w:rsid w:val="0005288E"/>
    <w:rsid w:val="00052ADE"/>
    <w:rsid w:val="00052C7C"/>
    <w:rsid w:val="00052D43"/>
    <w:rsid w:val="00052D44"/>
    <w:rsid w:val="00052FFB"/>
    <w:rsid w:val="00053022"/>
    <w:rsid w:val="0005304B"/>
    <w:rsid w:val="0005312F"/>
    <w:rsid w:val="00053164"/>
    <w:rsid w:val="000531B0"/>
    <w:rsid w:val="000532EA"/>
    <w:rsid w:val="000532F6"/>
    <w:rsid w:val="000536F2"/>
    <w:rsid w:val="00053775"/>
    <w:rsid w:val="00053805"/>
    <w:rsid w:val="0005382B"/>
    <w:rsid w:val="000539B2"/>
    <w:rsid w:val="000539DF"/>
    <w:rsid w:val="00053A87"/>
    <w:rsid w:val="00053C7F"/>
    <w:rsid w:val="00053D1C"/>
    <w:rsid w:val="00053D64"/>
    <w:rsid w:val="00053D80"/>
    <w:rsid w:val="00053E42"/>
    <w:rsid w:val="0005404C"/>
    <w:rsid w:val="00054101"/>
    <w:rsid w:val="00054394"/>
    <w:rsid w:val="0005445F"/>
    <w:rsid w:val="00054570"/>
    <w:rsid w:val="00054605"/>
    <w:rsid w:val="00054660"/>
    <w:rsid w:val="000546AF"/>
    <w:rsid w:val="00054763"/>
    <w:rsid w:val="000547CA"/>
    <w:rsid w:val="00054806"/>
    <w:rsid w:val="00054866"/>
    <w:rsid w:val="0005498A"/>
    <w:rsid w:val="00054A92"/>
    <w:rsid w:val="00054B5A"/>
    <w:rsid w:val="00054B5D"/>
    <w:rsid w:val="00054BEC"/>
    <w:rsid w:val="00054EA0"/>
    <w:rsid w:val="00054F26"/>
    <w:rsid w:val="00054F9D"/>
    <w:rsid w:val="00055071"/>
    <w:rsid w:val="0005508C"/>
    <w:rsid w:val="00055135"/>
    <w:rsid w:val="0005519D"/>
    <w:rsid w:val="000552B9"/>
    <w:rsid w:val="000552EC"/>
    <w:rsid w:val="00055486"/>
    <w:rsid w:val="000554E0"/>
    <w:rsid w:val="00055529"/>
    <w:rsid w:val="00055572"/>
    <w:rsid w:val="000555AF"/>
    <w:rsid w:val="0005560C"/>
    <w:rsid w:val="00055695"/>
    <w:rsid w:val="00055708"/>
    <w:rsid w:val="00055795"/>
    <w:rsid w:val="0005580C"/>
    <w:rsid w:val="000558CF"/>
    <w:rsid w:val="00055951"/>
    <w:rsid w:val="0005597A"/>
    <w:rsid w:val="00055AA5"/>
    <w:rsid w:val="00055B8F"/>
    <w:rsid w:val="00055BFE"/>
    <w:rsid w:val="00055C4E"/>
    <w:rsid w:val="00055D5B"/>
    <w:rsid w:val="00055EBA"/>
    <w:rsid w:val="00055FE8"/>
    <w:rsid w:val="00056045"/>
    <w:rsid w:val="00056112"/>
    <w:rsid w:val="0005617D"/>
    <w:rsid w:val="00056221"/>
    <w:rsid w:val="000563FE"/>
    <w:rsid w:val="00056515"/>
    <w:rsid w:val="000568D7"/>
    <w:rsid w:val="0005691C"/>
    <w:rsid w:val="0005699A"/>
    <w:rsid w:val="00056AC5"/>
    <w:rsid w:val="00056AE7"/>
    <w:rsid w:val="00056BB3"/>
    <w:rsid w:val="00056C4D"/>
    <w:rsid w:val="00056CDF"/>
    <w:rsid w:val="00056D04"/>
    <w:rsid w:val="00056DB0"/>
    <w:rsid w:val="00056DC8"/>
    <w:rsid w:val="00056DDD"/>
    <w:rsid w:val="00056DE4"/>
    <w:rsid w:val="00056E0F"/>
    <w:rsid w:val="00056E22"/>
    <w:rsid w:val="00056E56"/>
    <w:rsid w:val="00056EB2"/>
    <w:rsid w:val="00056F5A"/>
    <w:rsid w:val="00056F67"/>
    <w:rsid w:val="00056F78"/>
    <w:rsid w:val="00057243"/>
    <w:rsid w:val="0005728C"/>
    <w:rsid w:val="00057457"/>
    <w:rsid w:val="000574AF"/>
    <w:rsid w:val="00057699"/>
    <w:rsid w:val="0005775C"/>
    <w:rsid w:val="00057A44"/>
    <w:rsid w:val="00057A9B"/>
    <w:rsid w:val="00057B84"/>
    <w:rsid w:val="00057D67"/>
    <w:rsid w:val="00057D9D"/>
    <w:rsid w:val="00057E5A"/>
    <w:rsid w:val="00057F22"/>
    <w:rsid w:val="00057F98"/>
    <w:rsid w:val="00060176"/>
    <w:rsid w:val="00060224"/>
    <w:rsid w:val="000602AD"/>
    <w:rsid w:val="000603D9"/>
    <w:rsid w:val="0006059F"/>
    <w:rsid w:val="0006064D"/>
    <w:rsid w:val="00060671"/>
    <w:rsid w:val="0006068C"/>
    <w:rsid w:val="000607D8"/>
    <w:rsid w:val="0006098E"/>
    <w:rsid w:val="000609E7"/>
    <w:rsid w:val="00060B06"/>
    <w:rsid w:val="00060B5C"/>
    <w:rsid w:val="00060B7E"/>
    <w:rsid w:val="00060CDA"/>
    <w:rsid w:val="00060E61"/>
    <w:rsid w:val="00060EF5"/>
    <w:rsid w:val="00061083"/>
    <w:rsid w:val="0006114C"/>
    <w:rsid w:val="000611B1"/>
    <w:rsid w:val="000611B4"/>
    <w:rsid w:val="000611DC"/>
    <w:rsid w:val="00061324"/>
    <w:rsid w:val="000614D0"/>
    <w:rsid w:val="00061723"/>
    <w:rsid w:val="000617D0"/>
    <w:rsid w:val="00061880"/>
    <w:rsid w:val="00061A7A"/>
    <w:rsid w:val="00061B29"/>
    <w:rsid w:val="00061DE4"/>
    <w:rsid w:val="00061E08"/>
    <w:rsid w:val="00061EDF"/>
    <w:rsid w:val="00061F35"/>
    <w:rsid w:val="0006204B"/>
    <w:rsid w:val="0006208C"/>
    <w:rsid w:val="000620E5"/>
    <w:rsid w:val="0006214E"/>
    <w:rsid w:val="000621E6"/>
    <w:rsid w:val="00062239"/>
    <w:rsid w:val="00062265"/>
    <w:rsid w:val="00062463"/>
    <w:rsid w:val="000624A0"/>
    <w:rsid w:val="00062508"/>
    <w:rsid w:val="0006258B"/>
    <w:rsid w:val="00062622"/>
    <w:rsid w:val="000626BD"/>
    <w:rsid w:val="00062700"/>
    <w:rsid w:val="00062712"/>
    <w:rsid w:val="000627AD"/>
    <w:rsid w:val="000627CC"/>
    <w:rsid w:val="0006283C"/>
    <w:rsid w:val="00062893"/>
    <w:rsid w:val="0006289A"/>
    <w:rsid w:val="000628BC"/>
    <w:rsid w:val="00062982"/>
    <w:rsid w:val="00062A18"/>
    <w:rsid w:val="00062AEA"/>
    <w:rsid w:val="00062B33"/>
    <w:rsid w:val="00062B38"/>
    <w:rsid w:val="00062B94"/>
    <w:rsid w:val="00062BD9"/>
    <w:rsid w:val="00062C00"/>
    <w:rsid w:val="00062C6F"/>
    <w:rsid w:val="00062EE0"/>
    <w:rsid w:val="00063004"/>
    <w:rsid w:val="000630ED"/>
    <w:rsid w:val="00063186"/>
    <w:rsid w:val="0006326F"/>
    <w:rsid w:val="00063368"/>
    <w:rsid w:val="00063401"/>
    <w:rsid w:val="0006342B"/>
    <w:rsid w:val="00063432"/>
    <w:rsid w:val="000634F3"/>
    <w:rsid w:val="0006351B"/>
    <w:rsid w:val="00063536"/>
    <w:rsid w:val="0006355E"/>
    <w:rsid w:val="00063590"/>
    <w:rsid w:val="00063636"/>
    <w:rsid w:val="0006374B"/>
    <w:rsid w:val="000638AD"/>
    <w:rsid w:val="000638AE"/>
    <w:rsid w:val="000638E4"/>
    <w:rsid w:val="00063A2F"/>
    <w:rsid w:val="00063A41"/>
    <w:rsid w:val="00063AA7"/>
    <w:rsid w:val="00063B70"/>
    <w:rsid w:val="00063BB8"/>
    <w:rsid w:val="00063D2D"/>
    <w:rsid w:val="00063D6F"/>
    <w:rsid w:val="00063DBD"/>
    <w:rsid w:val="00063E56"/>
    <w:rsid w:val="00063F7D"/>
    <w:rsid w:val="00064062"/>
    <w:rsid w:val="000640B5"/>
    <w:rsid w:val="0006420C"/>
    <w:rsid w:val="00064233"/>
    <w:rsid w:val="0006423D"/>
    <w:rsid w:val="00064518"/>
    <w:rsid w:val="000645E3"/>
    <w:rsid w:val="00064608"/>
    <w:rsid w:val="0006488D"/>
    <w:rsid w:val="000648B3"/>
    <w:rsid w:val="00064980"/>
    <w:rsid w:val="00064B63"/>
    <w:rsid w:val="00064B71"/>
    <w:rsid w:val="00064B7F"/>
    <w:rsid w:val="00064BE2"/>
    <w:rsid w:val="00064CC3"/>
    <w:rsid w:val="00064CC4"/>
    <w:rsid w:val="00064D3D"/>
    <w:rsid w:val="00064E27"/>
    <w:rsid w:val="00064E36"/>
    <w:rsid w:val="00064EAC"/>
    <w:rsid w:val="00064EF2"/>
    <w:rsid w:val="00064F8C"/>
    <w:rsid w:val="00064FA0"/>
    <w:rsid w:val="000651AC"/>
    <w:rsid w:val="000651B6"/>
    <w:rsid w:val="000653C3"/>
    <w:rsid w:val="00065574"/>
    <w:rsid w:val="00065609"/>
    <w:rsid w:val="0006574D"/>
    <w:rsid w:val="000657F9"/>
    <w:rsid w:val="00065865"/>
    <w:rsid w:val="000658E3"/>
    <w:rsid w:val="00065901"/>
    <w:rsid w:val="00065A15"/>
    <w:rsid w:val="00065B24"/>
    <w:rsid w:val="00065B63"/>
    <w:rsid w:val="00065B71"/>
    <w:rsid w:val="00065C0F"/>
    <w:rsid w:val="00065DDA"/>
    <w:rsid w:val="00065E3B"/>
    <w:rsid w:val="00065E48"/>
    <w:rsid w:val="00065EAB"/>
    <w:rsid w:val="00065EB4"/>
    <w:rsid w:val="00065EC5"/>
    <w:rsid w:val="00065F20"/>
    <w:rsid w:val="00065F6B"/>
    <w:rsid w:val="0006611F"/>
    <w:rsid w:val="000661B9"/>
    <w:rsid w:val="0006622D"/>
    <w:rsid w:val="000662D1"/>
    <w:rsid w:val="0006645F"/>
    <w:rsid w:val="000664D8"/>
    <w:rsid w:val="00066813"/>
    <w:rsid w:val="00066894"/>
    <w:rsid w:val="000668F9"/>
    <w:rsid w:val="0006691C"/>
    <w:rsid w:val="000669A3"/>
    <w:rsid w:val="00066A20"/>
    <w:rsid w:val="00066A22"/>
    <w:rsid w:val="00066A63"/>
    <w:rsid w:val="00066B00"/>
    <w:rsid w:val="00066CA6"/>
    <w:rsid w:val="00066CDC"/>
    <w:rsid w:val="00066D92"/>
    <w:rsid w:val="00066EAF"/>
    <w:rsid w:val="00067096"/>
    <w:rsid w:val="0006722A"/>
    <w:rsid w:val="0006722E"/>
    <w:rsid w:val="0006723C"/>
    <w:rsid w:val="0006724D"/>
    <w:rsid w:val="0006728B"/>
    <w:rsid w:val="0006733E"/>
    <w:rsid w:val="0006733F"/>
    <w:rsid w:val="00067353"/>
    <w:rsid w:val="000673CD"/>
    <w:rsid w:val="00067461"/>
    <w:rsid w:val="0006749D"/>
    <w:rsid w:val="00067502"/>
    <w:rsid w:val="0006750C"/>
    <w:rsid w:val="00067623"/>
    <w:rsid w:val="000676D3"/>
    <w:rsid w:val="00067751"/>
    <w:rsid w:val="00067801"/>
    <w:rsid w:val="000678B8"/>
    <w:rsid w:val="000678C9"/>
    <w:rsid w:val="00067901"/>
    <w:rsid w:val="00067988"/>
    <w:rsid w:val="000679CF"/>
    <w:rsid w:val="00067A48"/>
    <w:rsid w:val="00067B26"/>
    <w:rsid w:val="00067C1A"/>
    <w:rsid w:val="00067D84"/>
    <w:rsid w:val="00067F2E"/>
    <w:rsid w:val="00067F59"/>
    <w:rsid w:val="00067FCF"/>
    <w:rsid w:val="0007000F"/>
    <w:rsid w:val="00070172"/>
    <w:rsid w:val="00070176"/>
    <w:rsid w:val="000701F7"/>
    <w:rsid w:val="00070201"/>
    <w:rsid w:val="0007020C"/>
    <w:rsid w:val="00070317"/>
    <w:rsid w:val="000703C4"/>
    <w:rsid w:val="000706AB"/>
    <w:rsid w:val="000706BC"/>
    <w:rsid w:val="000706CE"/>
    <w:rsid w:val="00070766"/>
    <w:rsid w:val="000707A5"/>
    <w:rsid w:val="0007086B"/>
    <w:rsid w:val="0007091A"/>
    <w:rsid w:val="000709DB"/>
    <w:rsid w:val="00070A32"/>
    <w:rsid w:val="00070A8E"/>
    <w:rsid w:val="00070AE5"/>
    <w:rsid w:val="00070BA0"/>
    <w:rsid w:val="00070C00"/>
    <w:rsid w:val="00070CAE"/>
    <w:rsid w:val="00070DC8"/>
    <w:rsid w:val="00070E62"/>
    <w:rsid w:val="00070E97"/>
    <w:rsid w:val="00070F89"/>
    <w:rsid w:val="0007120A"/>
    <w:rsid w:val="000712A7"/>
    <w:rsid w:val="00071338"/>
    <w:rsid w:val="00071457"/>
    <w:rsid w:val="00071590"/>
    <w:rsid w:val="000715B5"/>
    <w:rsid w:val="00071728"/>
    <w:rsid w:val="00071739"/>
    <w:rsid w:val="00071824"/>
    <w:rsid w:val="00071941"/>
    <w:rsid w:val="000719AD"/>
    <w:rsid w:val="00071A0F"/>
    <w:rsid w:val="00071A12"/>
    <w:rsid w:val="00071B73"/>
    <w:rsid w:val="00071BC2"/>
    <w:rsid w:val="00071C38"/>
    <w:rsid w:val="00071CFF"/>
    <w:rsid w:val="00071D0E"/>
    <w:rsid w:val="00071F38"/>
    <w:rsid w:val="0007201B"/>
    <w:rsid w:val="0007202D"/>
    <w:rsid w:val="00072060"/>
    <w:rsid w:val="000720FC"/>
    <w:rsid w:val="0007215D"/>
    <w:rsid w:val="0007226B"/>
    <w:rsid w:val="000722BD"/>
    <w:rsid w:val="0007231C"/>
    <w:rsid w:val="00072357"/>
    <w:rsid w:val="00072391"/>
    <w:rsid w:val="0007241A"/>
    <w:rsid w:val="00072492"/>
    <w:rsid w:val="0007251C"/>
    <w:rsid w:val="00072532"/>
    <w:rsid w:val="00072674"/>
    <w:rsid w:val="00072675"/>
    <w:rsid w:val="000729B4"/>
    <w:rsid w:val="00072A21"/>
    <w:rsid w:val="00072A4C"/>
    <w:rsid w:val="00072AB6"/>
    <w:rsid w:val="00072AF5"/>
    <w:rsid w:val="00072B2C"/>
    <w:rsid w:val="00072B8C"/>
    <w:rsid w:val="00072C8D"/>
    <w:rsid w:val="00072D2B"/>
    <w:rsid w:val="00072D99"/>
    <w:rsid w:val="00072DD0"/>
    <w:rsid w:val="00072F4E"/>
    <w:rsid w:val="00072F77"/>
    <w:rsid w:val="00073241"/>
    <w:rsid w:val="00073255"/>
    <w:rsid w:val="00073292"/>
    <w:rsid w:val="000732A8"/>
    <w:rsid w:val="000732E6"/>
    <w:rsid w:val="0007338D"/>
    <w:rsid w:val="0007339C"/>
    <w:rsid w:val="00073539"/>
    <w:rsid w:val="00073773"/>
    <w:rsid w:val="00073775"/>
    <w:rsid w:val="000738AB"/>
    <w:rsid w:val="00073A1B"/>
    <w:rsid w:val="00073AA9"/>
    <w:rsid w:val="00073ABB"/>
    <w:rsid w:val="00073DF4"/>
    <w:rsid w:val="00073E06"/>
    <w:rsid w:val="00073EEA"/>
    <w:rsid w:val="00074017"/>
    <w:rsid w:val="0007401D"/>
    <w:rsid w:val="00074045"/>
    <w:rsid w:val="0007409B"/>
    <w:rsid w:val="000740A9"/>
    <w:rsid w:val="000741F4"/>
    <w:rsid w:val="00074423"/>
    <w:rsid w:val="0007444E"/>
    <w:rsid w:val="000744A3"/>
    <w:rsid w:val="00074565"/>
    <w:rsid w:val="000745FF"/>
    <w:rsid w:val="0007476C"/>
    <w:rsid w:val="0007490A"/>
    <w:rsid w:val="00074922"/>
    <w:rsid w:val="0007493E"/>
    <w:rsid w:val="00074976"/>
    <w:rsid w:val="00074B2F"/>
    <w:rsid w:val="00074B39"/>
    <w:rsid w:val="00074B79"/>
    <w:rsid w:val="00074CF2"/>
    <w:rsid w:val="00074D58"/>
    <w:rsid w:val="00074E18"/>
    <w:rsid w:val="00074EFE"/>
    <w:rsid w:val="00074F26"/>
    <w:rsid w:val="00074F49"/>
    <w:rsid w:val="00074F81"/>
    <w:rsid w:val="00074FE6"/>
    <w:rsid w:val="000752C5"/>
    <w:rsid w:val="0007536B"/>
    <w:rsid w:val="0007536F"/>
    <w:rsid w:val="0007548D"/>
    <w:rsid w:val="00075579"/>
    <w:rsid w:val="00075580"/>
    <w:rsid w:val="000755E4"/>
    <w:rsid w:val="000756E9"/>
    <w:rsid w:val="00075779"/>
    <w:rsid w:val="000757AE"/>
    <w:rsid w:val="000757F2"/>
    <w:rsid w:val="0007585A"/>
    <w:rsid w:val="00075862"/>
    <w:rsid w:val="00075A10"/>
    <w:rsid w:val="00075A1C"/>
    <w:rsid w:val="00075A80"/>
    <w:rsid w:val="00075A86"/>
    <w:rsid w:val="00075B8C"/>
    <w:rsid w:val="00075BFE"/>
    <w:rsid w:val="00075C75"/>
    <w:rsid w:val="00075E64"/>
    <w:rsid w:val="00075F93"/>
    <w:rsid w:val="0007600C"/>
    <w:rsid w:val="0007619E"/>
    <w:rsid w:val="000763B9"/>
    <w:rsid w:val="000765AD"/>
    <w:rsid w:val="000766AB"/>
    <w:rsid w:val="00076771"/>
    <w:rsid w:val="000767B7"/>
    <w:rsid w:val="000767E8"/>
    <w:rsid w:val="000768BF"/>
    <w:rsid w:val="0007694A"/>
    <w:rsid w:val="00076B03"/>
    <w:rsid w:val="00076BA2"/>
    <w:rsid w:val="00076C9A"/>
    <w:rsid w:val="00076CF1"/>
    <w:rsid w:val="00076D7F"/>
    <w:rsid w:val="00076DF5"/>
    <w:rsid w:val="00076E28"/>
    <w:rsid w:val="00077084"/>
    <w:rsid w:val="000773C1"/>
    <w:rsid w:val="000773D3"/>
    <w:rsid w:val="00077441"/>
    <w:rsid w:val="00077707"/>
    <w:rsid w:val="00077947"/>
    <w:rsid w:val="0007796E"/>
    <w:rsid w:val="00077A10"/>
    <w:rsid w:val="00077B4E"/>
    <w:rsid w:val="00077D41"/>
    <w:rsid w:val="00077D68"/>
    <w:rsid w:val="00077D80"/>
    <w:rsid w:val="00080077"/>
    <w:rsid w:val="0008025C"/>
    <w:rsid w:val="000802A1"/>
    <w:rsid w:val="0008047E"/>
    <w:rsid w:val="00080494"/>
    <w:rsid w:val="00080620"/>
    <w:rsid w:val="0008070D"/>
    <w:rsid w:val="0008083C"/>
    <w:rsid w:val="000808DB"/>
    <w:rsid w:val="000808DF"/>
    <w:rsid w:val="000808ED"/>
    <w:rsid w:val="000808F9"/>
    <w:rsid w:val="0008091F"/>
    <w:rsid w:val="00080937"/>
    <w:rsid w:val="000809A8"/>
    <w:rsid w:val="00080A5D"/>
    <w:rsid w:val="00080AB4"/>
    <w:rsid w:val="00080B4C"/>
    <w:rsid w:val="00080B8F"/>
    <w:rsid w:val="00080BDA"/>
    <w:rsid w:val="00080C6A"/>
    <w:rsid w:val="00080CFC"/>
    <w:rsid w:val="00080DA5"/>
    <w:rsid w:val="00080DB2"/>
    <w:rsid w:val="00080FA0"/>
    <w:rsid w:val="000810B2"/>
    <w:rsid w:val="00081163"/>
    <w:rsid w:val="0008148A"/>
    <w:rsid w:val="0008149F"/>
    <w:rsid w:val="000814BF"/>
    <w:rsid w:val="000814EB"/>
    <w:rsid w:val="0008160E"/>
    <w:rsid w:val="00081639"/>
    <w:rsid w:val="000816BB"/>
    <w:rsid w:val="0008175F"/>
    <w:rsid w:val="000818DA"/>
    <w:rsid w:val="000819CF"/>
    <w:rsid w:val="00081A6D"/>
    <w:rsid w:val="00081BD8"/>
    <w:rsid w:val="00081C50"/>
    <w:rsid w:val="00081CD3"/>
    <w:rsid w:val="00081DC1"/>
    <w:rsid w:val="00081DFA"/>
    <w:rsid w:val="00082085"/>
    <w:rsid w:val="0008209E"/>
    <w:rsid w:val="00082183"/>
    <w:rsid w:val="00082284"/>
    <w:rsid w:val="000823B3"/>
    <w:rsid w:val="000823F0"/>
    <w:rsid w:val="000825BC"/>
    <w:rsid w:val="000826BD"/>
    <w:rsid w:val="00082768"/>
    <w:rsid w:val="00082786"/>
    <w:rsid w:val="000827A0"/>
    <w:rsid w:val="000829BF"/>
    <w:rsid w:val="00082BCB"/>
    <w:rsid w:val="00082CFC"/>
    <w:rsid w:val="00082D3F"/>
    <w:rsid w:val="00082F1D"/>
    <w:rsid w:val="00082F4A"/>
    <w:rsid w:val="00082F5F"/>
    <w:rsid w:val="00082FA7"/>
    <w:rsid w:val="00083045"/>
    <w:rsid w:val="00083092"/>
    <w:rsid w:val="0008320F"/>
    <w:rsid w:val="00083270"/>
    <w:rsid w:val="000832AB"/>
    <w:rsid w:val="000832F3"/>
    <w:rsid w:val="00083311"/>
    <w:rsid w:val="0008336E"/>
    <w:rsid w:val="000834DE"/>
    <w:rsid w:val="000834EC"/>
    <w:rsid w:val="000836D6"/>
    <w:rsid w:val="000837B8"/>
    <w:rsid w:val="000838C8"/>
    <w:rsid w:val="000839CE"/>
    <w:rsid w:val="00083B45"/>
    <w:rsid w:val="00083BB8"/>
    <w:rsid w:val="00083C06"/>
    <w:rsid w:val="00083D33"/>
    <w:rsid w:val="00083D39"/>
    <w:rsid w:val="00083DA6"/>
    <w:rsid w:val="00083EC7"/>
    <w:rsid w:val="00083F25"/>
    <w:rsid w:val="00084030"/>
    <w:rsid w:val="00084081"/>
    <w:rsid w:val="000841D1"/>
    <w:rsid w:val="00084276"/>
    <w:rsid w:val="00084357"/>
    <w:rsid w:val="00084520"/>
    <w:rsid w:val="0008458A"/>
    <w:rsid w:val="0008467E"/>
    <w:rsid w:val="000847DD"/>
    <w:rsid w:val="000848D8"/>
    <w:rsid w:val="000848DA"/>
    <w:rsid w:val="000848F3"/>
    <w:rsid w:val="00084920"/>
    <w:rsid w:val="00084929"/>
    <w:rsid w:val="000849D6"/>
    <w:rsid w:val="00084AA2"/>
    <w:rsid w:val="00084B29"/>
    <w:rsid w:val="00084BE5"/>
    <w:rsid w:val="00084D58"/>
    <w:rsid w:val="00084DEE"/>
    <w:rsid w:val="00084E64"/>
    <w:rsid w:val="00085071"/>
    <w:rsid w:val="00085108"/>
    <w:rsid w:val="00085180"/>
    <w:rsid w:val="000851AA"/>
    <w:rsid w:val="00085251"/>
    <w:rsid w:val="000852CD"/>
    <w:rsid w:val="000852CF"/>
    <w:rsid w:val="000854BD"/>
    <w:rsid w:val="000855BB"/>
    <w:rsid w:val="000855E4"/>
    <w:rsid w:val="00085787"/>
    <w:rsid w:val="00085847"/>
    <w:rsid w:val="00085912"/>
    <w:rsid w:val="00085983"/>
    <w:rsid w:val="000859EC"/>
    <w:rsid w:val="00085C67"/>
    <w:rsid w:val="00085D95"/>
    <w:rsid w:val="00085F02"/>
    <w:rsid w:val="00086034"/>
    <w:rsid w:val="000860FF"/>
    <w:rsid w:val="0008610D"/>
    <w:rsid w:val="00086113"/>
    <w:rsid w:val="0008615A"/>
    <w:rsid w:val="000861B6"/>
    <w:rsid w:val="000861E3"/>
    <w:rsid w:val="000862B1"/>
    <w:rsid w:val="000863D7"/>
    <w:rsid w:val="00086414"/>
    <w:rsid w:val="00086433"/>
    <w:rsid w:val="0008645D"/>
    <w:rsid w:val="000864A2"/>
    <w:rsid w:val="000865C9"/>
    <w:rsid w:val="00086614"/>
    <w:rsid w:val="000866BB"/>
    <w:rsid w:val="00086729"/>
    <w:rsid w:val="00086828"/>
    <w:rsid w:val="0008683A"/>
    <w:rsid w:val="000868B8"/>
    <w:rsid w:val="000869D2"/>
    <w:rsid w:val="000869FB"/>
    <w:rsid w:val="00086A4F"/>
    <w:rsid w:val="00086B2E"/>
    <w:rsid w:val="00086C54"/>
    <w:rsid w:val="00086C5C"/>
    <w:rsid w:val="00086C7C"/>
    <w:rsid w:val="00086DC2"/>
    <w:rsid w:val="00086DE3"/>
    <w:rsid w:val="00086E54"/>
    <w:rsid w:val="00086EBC"/>
    <w:rsid w:val="00086ED8"/>
    <w:rsid w:val="00086F4B"/>
    <w:rsid w:val="0008725D"/>
    <w:rsid w:val="000872F9"/>
    <w:rsid w:val="000874E7"/>
    <w:rsid w:val="00087516"/>
    <w:rsid w:val="00087568"/>
    <w:rsid w:val="00087573"/>
    <w:rsid w:val="000875EA"/>
    <w:rsid w:val="000876C9"/>
    <w:rsid w:val="000877DA"/>
    <w:rsid w:val="000877F8"/>
    <w:rsid w:val="00087831"/>
    <w:rsid w:val="000878F2"/>
    <w:rsid w:val="000879DF"/>
    <w:rsid w:val="00087A53"/>
    <w:rsid w:val="00087C70"/>
    <w:rsid w:val="00087D14"/>
    <w:rsid w:val="00087D51"/>
    <w:rsid w:val="00087E23"/>
    <w:rsid w:val="00087E93"/>
    <w:rsid w:val="00090120"/>
    <w:rsid w:val="000901FD"/>
    <w:rsid w:val="00090212"/>
    <w:rsid w:val="00090262"/>
    <w:rsid w:val="00090285"/>
    <w:rsid w:val="000902EA"/>
    <w:rsid w:val="000903BD"/>
    <w:rsid w:val="00090432"/>
    <w:rsid w:val="0009044E"/>
    <w:rsid w:val="0009046A"/>
    <w:rsid w:val="000905A2"/>
    <w:rsid w:val="00090683"/>
    <w:rsid w:val="0009068F"/>
    <w:rsid w:val="000906FD"/>
    <w:rsid w:val="00090743"/>
    <w:rsid w:val="000907A0"/>
    <w:rsid w:val="000907E5"/>
    <w:rsid w:val="00090851"/>
    <w:rsid w:val="0009089E"/>
    <w:rsid w:val="000908D5"/>
    <w:rsid w:val="00090954"/>
    <w:rsid w:val="00090967"/>
    <w:rsid w:val="00090A0B"/>
    <w:rsid w:val="00090A1E"/>
    <w:rsid w:val="00090A26"/>
    <w:rsid w:val="00090B7A"/>
    <w:rsid w:val="00090B9D"/>
    <w:rsid w:val="00090CEF"/>
    <w:rsid w:val="00090D75"/>
    <w:rsid w:val="00090DBE"/>
    <w:rsid w:val="00090DC2"/>
    <w:rsid w:val="00090DC5"/>
    <w:rsid w:val="00090DEA"/>
    <w:rsid w:val="00090E0A"/>
    <w:rsid w:val="00090E40"/>
    <w:rsid w:val="00091105"/>
    <w:rsid w:val="000912D8"/>
    <w:rsid w:val="00091375"/>
    <w:rsid w:val="000913DD"/>
    <w:rsid w:val="00091410"/>
    <w:rsid w:val="00091436"/>
    <w:rsid w:val="00091777"/>
    <w:rsid w:val="0009177B"/>
    <w:rsid w:val="000917CD"/>
    <w:rsid w:val="000917F2"/>
    <w:rsid w:val="00091852"/>
    <w:rsid w:val="00091884"/>
    <w:rsid w:val="000918F7"/>
    <w:rsid w:val="000919DC"/>
    <w:rsid w:val="00091A09"/>
    <w:rsid w:val="00091A54"/>
    <w:rsid w:val="00091A5C"/>
    <w:rsid w:val="00091ADC"/>
    <w:rsid w:val="00091BF8"/>
    <w:rsid w:val="00091C88"/>
    <w:rsid w:val="00091C8C"/>
    <w:rsid w:val="00091C9B"/>
    <w:rsid w:val="00091CE2"/>
    <w:rsid w:val="00091CFA"/>
    <w:rsid w:val="00091D4D"/>
    <w:rsid w:val="00091DAB"/>
    <w:rsid w:val="00091F3A"/>
    <w:rsid w:val="00091FBE"/>
    <w:rsid w:val="00091FC5"/>
    <w:rsid w:val="0009210B"/>
    <w:rsid w:val="000922BF"/>
    <w:rsid w:val="0009230F"/>
    <w:rsid w:val="0009239A"/>
    <w:rsid w:val="000925A1"/>
    <w:rsid w:val="000926F5"/>
    <w:rsid w:val="00092771"/>
    <w:rsid w:val="000927AA"/>
    <w:rsid w:val="0009281C"/>
    <w:rsid w:val="00092947"/>
    <w:rsid w:val="00092AE4"/>
    <w:rsid w:val="00092AF3"/>
    <w:rsid w:val="00092B4A"/>
    <w:rsid w:val="00092BAC"/>
    <w:rsid w:val="00092C4C"/>
    <w:rsid w:val="00092D2D"/>
    <w:rsid w:val="00092D6A"/>
    <w:rsid w:val="00092D71"/>
    <w:rsid w:val="00092FC2"/>
    <w:rsid w:val="00093014"/>
    <w:rsid w:val="0009304A"/>
    <w:rsid w:val="00093050"/>
    <w:rsid w:val="0009309F"/>
    <w:rsid w:val="000930AE"/>
    <w:rsid w:val="00093128"/>
    <w:rsid w:val="000931C9"/>
    <w:rsid w:val="00093282"/>
    <w:rsid w:val="00093444"/>
    <w:rsid w:val="0009387E"/>
    <w:rsid w:val="000938DD"/>
    <w:rsid w:val="00093B81"/>
    <w:rsid w:val="00093BFC"/>
    <w:rsid w:val="00093CA5"/>
    <w:rsid w:val="00093CEC"/>
    <w:rsid w:val="00093E77"/>
    <w:rsid w:val="00093EC2"/>
    <w:rsid w:val="00094050"/>
    <w:rsid w:val="0009407A"/>
    <w:rsid w:val="00094161"/>
    <w:rsid w:val="0009430D"/>
    <w:rsid w:val="00094315"/>
    <w:rsid w:val="0009431E"/>
    <w:rsid w:val="000945CB"/>
    <w:rsid w:val="000947DC"/>
    <w:rsid w:val="00094811"/>
    <w:rsid w:val="0009496D"/>
    <w:rsid w:val="000949A5"/>
    <w:rsid w:val="00094A05"/>
    <w:rsid w:val="00094BA6"/>
    <w:rsid w:val="00094BF7"/>
    <w:rsid w:val="00094C33"/>
    <w:rsid w:val="00094C5E"/>
    <w:rsid w:val="00094D75"/>
    <w:rsid w:val="00094D92"/>
    <w:rsid w:val="00094EF5"/>
    <w:rsid w:val="00094EFC"/>
    <w:rsid w:val="00094F0A"/>
    <w:rsid w:val="00094F43"/>
    <w:rsid w:val="00094F8E"/>
    <w:rsid w:val="00094FEF"/>
    <w:rsid w:val="0009515C"/>
    <w:rsid w:val="0009548E"/>
    <w:rsid w:val="000954A9"/>
    <w:rsid w:val="000954CA"/>
    <w:rsid w:val="00095519"/>
    <w:rsid w:val="0009571F"/>
    <w:rsid w:val="00095787"/>
    <w:rsid w:val="000957C0"/>
    <w:rsid w:val="000957E8"/>
    <w:rsid w:val="00095830"/>
    <w:rsid w:val="000959AB"/>
    <w:rsid w:val="000959C7"/>
    <w:rsid w:val="00095AEA"/>
    <w:rsid w:val="00095B7B"/>
    <w:rsid w:val="00095C2B"/>
    <w:rsid w:val="00095CC5"/>
    <w:rsid w:val="00095D0D"/>
    <w:rsid w:val="00095DC7"/>
    <w:rsid w:val="00095EE9"/>
    <w:rsid w:val="00095F4E"/>
    <w:rsid w:val="00095FB2"/>
    <w:rsid w:val="00095FB8"/>
    <w:rsid w:val="00095FC6"/>
    <w:rsid w:val="00096082"/>
    <w:rsid w:val="00096174"/>
    <w:rsid w:val="00096176"/>
    <w:rsid w:val="000961DE"/>
    <w:rsid w:val="000961FB"/>
    <w:rsid w:val="0009632C"/>
    <w:rsid w:val="00096526"/>
    <w:rsid w:val="00096598"/>
    <w:rsid w:val="000965B0"/>
    <w:rsid w:val="0009669E"/>
    <w:rsid w:val="00096733"/>
    <w:rsid w:val="0009677C"/>
    <w:rsid w:val="00096940"/>
    <w:rsid w:val="00096AD0"/>
    <w:rsid w:val="00096C35"/>
    <w:rsid w:val="00096E16"/>
    <w:rsid w:val="00096E18"/>
    <w:rsid w:val="00096E7F"/>
    <w:rsid w:val="00096EC0"/>
    <w:rsid w:val="00096ED0"/>
    <w:rsid w:val="00096F11"/>
    <w:rsid w:val="00096F67"/>
    <w:rsid w:val="00097296"/>
    <w:rsid w:val="000972B2"/>
    <w:rsid w:val="0009743C"/>
    <w:rsid w:val="000974D9"/>
    <w:rsid w:val="00097543"/>
    <w:rsid w:val="00097551"/>
    <w:rsid w:val="0009759D"/>
    <w:rsid w:val="000976E7"/>
    <w:rsid w:val="00097793"/>
    <w:rsid w:val="000977C8"/>
    <w:rsid w:val="000977CE"/>
    <w:rsid w:val="00097858"/>
    <w:rsid w:val="000978EE"/>
    <w:rsid w:val="0009790E"/>
    <w:rsid w:val="00097916"/>
    <w:rsid w:val="00097953"/>
    <w:rsid w:val="00097A10"/>
    <w:rsid w:val="00097C6B"/>
    <w:rsid w:val="00097D74"/>
    <w:rsid w:val="00097F6F"/>
    <w:rsid w:val="000A0039"/>
    <w:rsid w:val="000A0099"/>
    <w:rsid w:val="000A01B2"/>
    <w:rsid w:val="000A020B"/>
    <w:rsid w:val="000A0210"/>
    <w:rsid w:val="000A0222"/>
    <w:rsid w:val="000A0284"/>
    <w:rsid w:val="000A032C"/>
    <w:rsid w:val="000A037B"/>
    <w:rsid w:val="000A0390"/>
    <w:rsid w:val="000A040B"/>
    <w:rsid w:val="000A040C"/>
    <w:rsid w:val="000A050A"/>
    <w:rsid w:val="000A062F"/>
    <w:rsid w:val="000A0688"/>
    <w:rsid w:val="000A0A0B"/>
    <w:rsid w:val="000A0A45"/>
    <w:rsid w:val="000A0B44"/>
    <w:rsid w:val="000A0BA5"/>
    <w:rsid w:val="000A0BB2"/>
    <w:rsid w:val="000A0CD4"/>
    <w:rsid w:val="000A0CF6"/>
    <w:rsid w:val="000A0D97"/>
    <w:rsid w:val="000A0E97"/>
    <w:rsid w:val="000A0FCC"/>
    <w:rsid w:val="000A108E"/>
    <w:rsid w:val="000A11B9"/>
    <w:rsid w:val="000A11CB"/>
    <w:rsid w:val="000A121A"/>
    <w:rsid w:val="000A12F9"/>
    <w:rsid w:val="000A1312"/>
    <w:rsid w:val="000A1399"/>
    <w:rsid w:val="000A14F0"/>
    <w:rsid w:val="000A156F"/>
    <w:rsid w:val="000A15B0"/>
    <w:rsid w:val="000A173C"/>
    <w:rsid w:val="000A186A"/>
    <w:rsid w:val="000A1904"/>
    <w:rsid w:val="000A192D"/>
    <w:rsid w:val="000A1950"/>
    <w:rsid w:val="000A1985"/>
    <w:rsid w:val="000A19AB"/>
    <w:rsid w:val="000A1B9F"/>
    <w:rsid w:val="000A1C51"/>
    <w:rsid w:val="000A1CA3"/>
    <w:rsid w:val="000A1D90"/>
    <w:rsid w:val="000A1DC9"/>
    <w:rsid w:val="000A1E81"/>
    <w:rsid w:val="000A1F01"/>
    <w:rsid w:val="000A1F05"/>
    <w:rsid w:val="000A1F8F"/>
    <w:rsid w:val="000A1F9F"/>
    <w:rsid w:val="000A1FD6"/>
    <w:rsid w:val="000A209B"/>
    <w:rsid w:val="000A2200"/>
    <w:rsid w:val="000A2233"/>
    <w:rsid w:val="000A227F"/>
    <w:rsid w:val="000A2289"/>
    <w:rsid w:val="000A2399"/>
    <w:rsid w:val="000A242D"/>
    <w:rsid w:val="000A2491"/>
    <w:rsid w:val="000A2523"/>
    <w:rsid w:val="000A254E"/>
    <w:rsid w:val="000A257C"/>
    <w:rsid w:val="000A2584"/>
    <w:rsid w:val="000A25AD"/>
    <w:rsid w:val="000A2689"/>
    <w:rsid w:val="000A26BC"/>
    <w:rsid w:val="000A2831"/>
    <w:rsid w:val="000A2A08"/>
    <w:rsid w:val="000A2A34"/>
    <w:rsid w:val="000A2AC7"/>
    <w:rsid w:val="000A2AE4"/>
    <w:rsid w:val="000A2B8B"/>
    <w:rsid w:val="000A2CBC"/>
    <w:rsid w:val="000A2E76"/>
    <w:rsid w:val="000A2EB3"/>
    <w:rsid w:val="000A2F43"/>
    <w:rsid w:val="000A2F55"/>
    <w:rsid w:val="000A3185"/>
    <w:rsid w:val="000A323B"/>
    <w:rsid w:val="000A32AF"/>
    <w:rsid w:val="000A3321"/>
    <w:rsid w:val="000A3371"/>
    <w:rsid w:val="000A3553"/>
    <w:rsid w:val="000A3680"/>
    <w:rsid w:val="000A3744"/>
    <w:rsid w:val="000A378B"/>
    <w:rsid w:val="000A3874"/>
    <w:rsid w:val="000A39E0"/>
    <w:rsid w:val="000A3A1C"/>
    <w:rsid w:val="000A3B50"/>
    <w:rsid w:val="000A3BBC"/>
    <w:rsid w:val="000A3C19"/>
    <w:rsid w:val="000A3D79"/>
    <w:rsid w:val="000A3DE9"/>
    <w:rsid w:val="000A3E62"/>
    <w:rsid w:val="000A4033"/>
    <w:rsid w:val="000A406B"/>
    <w:rsid w:val="000A40DA"/>
    <w:rsid w:val="000A4110"/>
    <w:rsid w:val="000A4202"/>
    <w:rsid w:val="000A420E"/>
    <w:rsid w:val="000A439E"/>
    <w:rsid w:val="000A449A"/>
    <w:rsid w:val="000A44F6"/>
    <w:rsid w:val="000A45A4"/>
    <w:rsid w:val="000A45D3"/>
    <w:rsid w:val="000A45D9"/>
    <w:rsid w:val="000A4617"/>
    <w:rsid w:val="000A476F"/>
    <w:rsid w:val="000A482C"/>
    <w:rsid w:val="000A484A"/>
    <w:rsid w:val="000A4BBC"/>
    <w:rsid w:val="000A4C58"/>
    <w:rsid w:val="000A4C9F"/>
    <w:rsid w:val="000A4CFA"/>
    <w:rsid w:val="000A4E1D"/>
    <w:rsid w:val="000A4EE9"/>
    <w:rsid w:val="000A4FED"/>
    <w:rsid w:val="000A4FFE"/>
    <w:rsid w:val="000A50A1"/>
    <w:rsid w:val="000A5244"/>
    <w:rsid w:val="000A5512"/>
    <w:rsid w:val="000A5521"/>
    <w:rsid w:val="000A55DF"/>
    <w:rsid w:val="000A567E"/>
    <w:rsid w:val="000A58A2"/>
    <w:rsid w:val="000A5950"/>
    <w:rsid w:val="000A5A62"/>
    <w:rsid w:val="000A5A76"/>
    <w:rsid w:val="000A5B3B"/>
    <w:rsid w:val="000A5B5F"/>
    <w:rsid w:val="000A5CC9"/>
    <w:rsid w:val="000A5D87"/>
    <w:rsid w:val="000A5DA1"/>
    <w:rsid w:val="000A5DED"/>
    <w:rsid w:val="000A5E97"/>
    <w:rsid w:val="000A61FA"/>
    <w:rsid w:val="000A627A"/>
    <w:rsid w:val="000A6298"/>
    <w:rsid w:val="000A62DC"/>
    <w:rsid w:val="000A6394"/>
    <w:rsid w:val="000A63CC"/>
    <w:rsid w:val="000A63ED"/>
    <w:rsid w:val="000A64AC"/>
    <w:rsid w:val="000A6525"/>
    <w:rsid w:val="000A657A"/>
    <w:rsid w:val="000A65A4"/>
    <w:rsid w:val="000A667B"/>
    <w:rsid w:val="000A6717"/>
    <w:rsid w:val="000A674D"/>
    <w:rsid w:val="000A67D2"/>
    <w:rsid w:val="000A688C"/>
    <w:rsid w:val="000A6935"/>
    <w:rsid w:val="000A6AAA"/>
    <w:rsid w:val="000A6C8B"/>
    <w:rsid w:val="000A6CD0"/>
    <w:rsid w:val="000A6F74"/>
    <w:rsid w:val="000A6FF6"/>
    <w:rsid w:val="000A7300"/>
    <w:rsid w:val="000A7389"/>
    <w:rsid w:val="000A74FC"/>
    <w:rsid w:val="000A75E5"/>
    <w:rsid w:val="000A7610"/>
    <w:rsid w:val="000A7787"/>
    <w:rsid w:val="000A77A9"/>
    <w:rsid w:val="000A7837"/>
    <w:rsid w:val="000A7AEA"/>
    <w:rsid w:val="000A7BA9"/>
    <w:rsid w:val="000A7C1C"/>
    <w:rsid w:val="000A7C37"/>
    <w:rsid w:val="000A7C8E"/>
    <w:rsid w:val="000A7CAE"/>
    <w:rsid w:val="000A7CD9"/>
    <w:rsid w:val="000A7DDF"/>
    <w:rsid w:val="000A7E24"/>
    <w:rsid w:val="000A7EBF"/>
    <w:rsid w:val="000A7F6D"/>
    <w:rsid w:val="000A7FD0"/>
    <w:rsid w:val="000B010F"/>
    <w:rsid w:val="000B0239"/>
    <w:rsid w:val="000B0372"/>
    <w:rsid w:val="000B0425"/>
    <w:rsid w:val="000B06A6"/>
    <w:rsid w:val="000B07B7"/>
    <w:rsid w:val="000B08BD"/>
    <w:rsid w:val="000B092F"/>
    <w:rsid w:val="000B0A54"/>
    <w:rsid w:val="000B0B51"/>
    <w:rsid w:val="000B0D7F"/>
    <w:rsid w:val="000B0E07"/>
    <w:rsid w:val="000B0E1B"/>
    <w:rsid w:val="000B0E78"/>
    <w:rsid w:val="000B0E9A"/>
    <w:rsid w:val="000B0F06"/>
    <w:rsid w:val="000B10F0"/>
    <w:rsid w:val="000B12B1"/>
    <w:rsid w:val="000B12B2"/>
    <w:rsid w:val="000B1305"/>
    <w:rsid w:val="000B1364"/>
    <w:rsid w:val="000B148D"/>
    <w:rsid w:val="000B14EE"/>
    <w:rsid w:val="000B170A"/>
    <w:rsid w:val="000B172A"/>
    <w:rsid w:val="000B1A30"/>
    <w:rsid w:val="000B1A9A"/>
    <w:rsid w:val="000B1AFD"/>
    <w:rsid w:val="000B1BF0"/>
    <w:rsid w:val="000B1C70"/>
    <w:rsid w:val="000B1CA2"/>
    <w:rsid w:val="000B1E2E"/>
    <w:rsid w:val="000B1EC1"/>
    <w:rsid w:val="000B1EDF"/>
    <w:rsid w:val="000B1F52"/>
    <w:rsid w:val="000B1F5C"/>
    <w:rsid w:val="000B1F72"/>
    <w:rsid w:val="000B1F76"/>
    <w:rsid w:val="000B1FC1"/>
    <w:rsid w:val="000B1FC6"/>
    <w:rsid w:val="000B2267"/>
    <w:rsid w:val="000B22E7"/>
    <w:rsid w:val="000B239B"/>
    <w:rsid w:val="000B23E0"/>
    <w:rsid w:val="000B2455"/>
    <w:rsid w:val="000B27FF"/>
    <w:rsid w:val="000B2807"/>
    <w:rsid w:val="000B29C8"/>
    <w:rsid w:val="000B2A1E"/>
    <w:rsid w:val="000B2AA9"/>
    <w:rsid w:val="000B2B17"/>
    <w:rsid w:val="000B2B19"/>
    <w:rsid w:val="000B2B72"/>
    <w:rsid w:val="000B2C64"/>
    <w:rsid w:val="000B2CF3"/>
    <w:rsid w:val="000B2CF8"/>
    <w:rsid w:val="000B2D3E"/>
    <w:rsid w:val="000B2D4C"/>
    <w:rsid w:val="000B2E68"/>
    <w:rsid w:val="000B2FD3"/>
    <w:rsid w:val="000B304F"/>
    <w:rsid w:val="000B31F2"/>
    <w:rsid w:val="000B3228"/>
    <w:rsid w:val="000B327D"/>
    <w:rsid w:val="000B3310"/>
    <w:rsid w:val="000B3453"/>
    <w:rsid w:val="000B371F"/>
    <w:rsid w:val="000B376C"/>
    <w:rsid w:val="000B38A1"/>
    <w:rsid w:val="000B391F"/>
    <w:rsid w:val="000B3921"/>
    <w:rsid w:val="000B39B5"/>
    <w:rsid w:val="000B3BAD"/>
    <w:rsid w:val="000B3BF2"/>
    <w:rsid w:val="000B3CE5"/>
    <w:rsid w:val="000B3E50"/>
    <w:rsid w:val="000B3ECC"/>
    <w:rsid w:val="000B3F7B"/>
    <w:rsid w:val="000B3F8D"/>
    <w:rsid w:val="000B4052"/>
    <w:rsid w:val="000B4129"/>
    <w:rsid w:val="000B41E8"/>
    <w:rsid w:val="000B4253"/>
    <w:rsid w:val="000B432C"/>
    <w:rsid w:val="000B4372"/>
    <w:rsid w:val="000B45A9"/>
    <w:rsid w:val="000B482A"/>
    <w:rsid w:val="000B4921"/>
    <w:rsid w:val="000B4976"/>
    <w:rsid w:val="000B4A63"/>
    <w:rsid w:val="000B4BC6"/>
    <w:rsid w:val="000B4C34"/>
    <w:rsid w:val="000B4D8C"/>
    <w:rsid w:val="000B4E57"/>
    <w:rsid w:val="000B4E77"/>
    <w:rsid w:val="000B4F19"/>
    <w:rsid w:val="000B4F3A"/>
    <w:rsid w:val="000B50D7"/>
    <w:rsid w:val="000B50E3"/>
    <w:rsid w:val="000B50FA"/>
    <w:rsid w:val="000B5325"/>
    <w:rsid w:val="000B5428"/>
    <w:rsid w:val="000B548B"/>
    <w:rsid w:val="000B5497"/>
    <w:rsid w:val="000B5513"/>
    <w:rsid w:val="000B556E"/>
    <w:rsid w:val="000B55AB"/>
    <w:rsid w:val="000B5615"/>
    <w:rsid w:val="000B5723"/>
    <w:rsid w:val="000B575A"/>
    <w:rsid w:val="000B57F1"/>
    <w:rsid w:val="000B5829"/>
    <w:rsid w:val="000B585B"/>
    <w:rsid w:val="000B592A"/>
    <w:rsid w:val="000B59C8"/>
    <w:rsid w:val="000B5A5F"/>
    <w:rsid w:val="000B5AAD"/>
    <w:rsid w:val="000B5C10"/>
    <w:rsid w:val="000B5CA7"/>
    <w:rsid w:val="000B5DB8"/>
    <w:rsid w:val="000B5E90"/>
    <w:rsid w:val="000B5E9C"/>
    <w:rsid w:val="000B5FE0"/>
    <w:rsid w:val="000B60BB"/>
    <w:rsid w:val="000B6173"/>
    <w:rsid w:val="000B619E"/>
    <w:rsid w:val="000B6318"/>
    <w:rsid w:val="000B6368"/>
    <w:rsid w:val="000B63ED"/>
    <w:rsid w:val="000B64ED"/>
    <w:rsid w:val="000B6559"/>
    <w:rsid w:val="000B6598"/>
    <w:rsid w:val="000B6857"/>
    <w:rsid w:val="000B6864"/>
    <w:rsid w:val="000B6884"/>
    <w:rsid w:val="000B68A3"/>
    <w:rsid w:val="000B69F3"/>
    <w:rsid w:val="000B6A84"/>
    <w:rsid w:val="000B6AAF"/>
    <w:rsid w:val="000B6AE4"/>
    <w:rsid w:val="000B6BE8"/>
    <w:rsid w:val="000B6C47"/>
    <w:rsid w:val="000B6ECE"/>
    <w:rsid w:val="000B6ED8"/>
    <w:rsid w:val="000B6F96"/>
    <w:rsid w:val="000B7013"/>
    <w:rsid w:val="000B727D"/>
    <w:rsid w:val="000B72AA"/>
    <w:rsid w:val="000B7405"/>
    <w:rsid w:val="000B7414"/>
    <w:rsid w:val="000B74F7"/>
    <w:rsid w:val="000B758E"/>
    <w:rsid w:val="000B773B"/>
    <w:rsid w:val="000B7873"/>
    <w:rsid w:val="000B79DE"/>
    <w:rsid w:val="000B7A8D"/>
    <w:rsid w:val="000B7BA1"/>
    <w:rsid w:val="000B7C1B"/>
    <w:rsid w:val="000B7C89"/>
    <w:rsid w:val="000B7D88"/>
    <w:rsid w:val="000B7E66"/>
    <w:rsid w:val="000B7EF5"/>
    <w:rsid w:val="000C00D9"/>
    <w:rsid w:val="000C0104"/>
    <w:rsid w:val="000C024A"/>
    <w:rsid w:val="000C030D"/>
    <w:rsid w:val="000C033C"/>
    <w:rsid w:val="000C0533"/>
    <w:rsid w:val="000C0570"/>
    <w:rsid w:val="000C05E4"/>
    <w:rsid w:val="000C0663"/>
    <w:rsid w:val="000C066D"/>
    <w:rsid w:val="000C0686"/>
    <w:rsid w:val="000C06A9"/>
    <w:rsid w:val="000C071F"/>
    <w:rsid w:val="000C0791"/>
    <w:rsid w:val="000C07C0"/>
    <w:rsid w:val="000C0839"/>
    <w:rsid w:val="000C08E6"/>
    <w:rsid w:val="000C0920"/>
    <w:rsid w:val="000C0952"/>
    <w:rsid w:val="000C095E"/>
    <w:rsid w:val="000C0A6E"/>
    <w:rsid w:val="000C0A7D"/>
    <w:rsid w:val="000C0B1A"/>
    <w:rsid w:val="000C0BAD"/>
    <w:rsid w:val="000C0C0E"/>
    <w:rsid w:val="000C0DC9"/>
    <w:rsid w:val="000C0E1E"/>
    <w:rsid w:val="000C0EBD"/>
    <w:rsid w:val="000C0ECF"/>
    <w:rsid w:val="000C11B1"/>
    <w:rsid w:val="000C11EE"/>
    <w:rsid w:val="000C1236"/>
    <w:rsid w:val="000C1276"/>
    <w:rsid w:val="000C138A"/>
    <w:rsid w:val="000C1442"/>
    <w:rsid w:val="000C155C"/>
    <w:rsid w:val="000C15A8"/>
    <w:rsid w:val="000C16F9"/>
    <w:rsid w:val="000C1702"/>
    <w:rsid w:val="000C17D0"/>
    <w:rsid w:val="000C19AE"/>
    <w:rsid w:val="000C1ABF"/>
    <w:rsid w:val="000C1B04"/>
    <w:rsid w:val="000C1B23"/>
    <w:rsid w:val="000C1BDC"/>
    <w:rsid w:val="000C1BEA"/>
    <w:rsid w:val="000C1D07"/>
    <w:rsid w:val="000C1D13"/>
    <w:rsid w:val="000C1D1E"/>
    <w:rsid w:val="000C1D6D"/>
    <w:rsid w:val="000C1DAC"/>
    <w:rsid w:val="000C1DCC"/>
    <w:rsid w:val="000C1F22"/>
    <w:rsid w:val="000C1F99"/>
    <w:rsid w:val="000C1FDD"/>
    <w:rsid w:val="000C212C"/>
    <w:rsid w:val="000C213B"/>
    <w:rsid w:val="000C2149"/>
    <w:rsid w:val="000C217B"/>
    <w:rsid w:val="000C21AE"/>
    <w:rsid w:val="000C21B9"/>
    <w:rsid w:val="000C21E6"/>
    <w:rsid w:val="000C2236"/>
    <w:rsid w:val="000C22A5"/>
    <w:rsid w:val="000C2318"/>
    <w:rsid w:val="000C2455"/>
    <w:rsid w:val="000C2555"/>
    <w:rsid w:val="000C25E4"/>
    <w:rsid w:val="000C26C2"/>
    <w:rsid w:val="000C2762"/>
    <w:rsid w:val="000C2766"/>
    <w:rsid w:val="000C28F5"/>
    <w:rsid w:val="000C2909"/>
    <w:rsid w:val="000C2A94"/>
    <w:rsid w:val="000C2A99"/>
    <w:rsid w:val="000C2AA2"/>
    <w:rsid w:val="000C2AAC"/>
    <w:rsid w:val="000C2ABC"/>
    <w:rsid w:val="000C2B73"/>
    <w:rsid w:val="000C2BA0"/>
    <w:rsid w:val="000C2C43"/>
    <w:rsid w:val="000C2D89"/>
    <w:rsid w:val="000C2FA3"/>
    <w:rsid w:val="000C31A1"/>
    <w:rsid w:val="000C326B"/>
    <w:rsid w:val="000C32E8"/>
    <w:rsid w:val="000C3359"/>
    <w:rsid w:val="000C34D5"/>
    <w:rsid w:val="000C371A"/>
    <w:rsid w:val="000C3779"/>
    <w:rsid w:val="000C38E3"/>
    <w:rsid w:val="000C38FD"/>
    <w:rsid w:val="000C3A41"/>
    <w:rsid w:val="000C3ABE"/>
    <w:rsid w:val="000C3B0C"/>
    <w:rsid w:val="000C3B29"/>
    <w:rsid w:val="000C3CCE"/>
    <w:rsid w:val="000C3D6C"/>
    <w:rsid w:val="000C3DBD"/>
    <w:rsid w:val="000C3E02"/>
    <w:rsid w:val="000C3ED6"/>
    <w:rsid w:val="000C40FD"/>
    <w:rsid w:val="000C42AA"/>
    <w:rsid w:val="000C42AB"/>
    <w:rsid w:val="000C4363"/>
    <w:rsid w:val="000C4678"/>
    <w:rsid w:val="000C47BE"/>
    <w:rsid w:val="000C48D3"/>
    <w:rsid w:val="000C48E8"/>
    <w:rsid w:val="000C48F8"/>
    <w:rsid w:val="000C49E0"/>
    <w:rsid w:val="000C4A56"/>
    <w:rsid w:val="000C4B60"/>
    <w:rsid w:val="000C4B79"/>
    <w:rsid w:val="000C4BE9"/>
    <w:rsid w:val="000C4C10"/>
    <w:rsid w:val="000C4C6E"/>
    <w:rsid w:val="000C51AE"/>
    <w:rsid w:val="000C51BB"/>
    <w:rsid w:val="000C53A9"/>
    <w:rsid w:val="000C55E6"/>
    <w:rsid w:val="000C5805"/>
    <w:rsid w:val="000C5856"/>
    <w:rsid w:val="000C58B3"/>
    <w:rsid w:val="000C58E7"/>
    <w:rsid w:val="000C58F3"/>
    <w:rsid w:val="000C5944"/>
    <w:rsid w:val="000C595C"/>
    <w:rsid w:val="000C59F4"/>
    <w:rsid w:val="000C5AD3"/>
    <w:rsid w:val="000C5B02"/>
    <w:rsid w:val="000C5BB6"/>
    <w:rsid w:val="000C5C0B"/>
    <w:rsid w:val="000C5C22"/>
    <w:rsid w:val="000C5C80"/>
    <w:rsid w:val="000C5CC1"/>
    <w:rsid w:val="000C5D97"/>
    <w:rsid w:val="000C5E86"/>
    <w:rsid w:val="000C5F58"/>
    <w:rsid w:val="000C5FD1"/>
    <w:rsid w:val="000C5FE0"/>
    <w:rsid w:val="000C601E"/>
    <w:rsid w:val="000C618A"/>
    <w:rsid w:val="000C61AC"/>
    <w:rsid w:val="000C6260"/>
    <w:rsid w:val="000C6272"/>
    <w:rsid w:val="000C6345"/>
    <w:rsid w:val="000C6418"/>
    <w:rsid w:val="000C6618"/>
    <w:rsid w:val="000C6724"/>
    <w:rsid w:val="000C6765"/>
    <w:rsid w:val="000C67B8"/>
    <w:rsid w:val="000C684E"/>
    <w:rsid w:val="000C6958"/>
    <w:rsid w:val="000C6A37"/>
    <w:rsid w:val="000C6B00"/>
    <w:rsid w:val="000C6B67"/>
    <w:rsid w:val="000C6B9A"/>
    <w:rsid w:val="000C6C14"/>
    <w:rsid w:val="000C6C63"/>
    <w:rsid w:val="000C6CA0"/>
    <w:rsid w:val="000C6D02"/>
    <w:rsid w:val="000C6DCC"/>
    <w:rsid w:val="000C6E6B"/>
    <w:rsid w:val="000C6F0E"/>
    <w:rsid w:val="000C6F81"/>
    <w:rsid w:val="000C7037"/>
    <w:rsid w:val="000C70C3"/>
    <w:rsid w:val="000C7127"/>
    <w:rsid w:val="000C716B"/>
    <w:rsid w:val="000C7409"/>
    <w:rsid w:val="000C7431"/>
    <w:rsid w:val="000C74FE"/>
    <w:rsid w:val="000C75A6"/>
    <w:rsid w:val="000C75C7"/>
    <w:rsid w:val="000C7625"/>
    <w:rsid w:val="000C765B"/>
    <w:rsid w:val="000C7736"/>
    <w:rsid w:val="000C7748"/>
    <w:rsid w:val="000C779C"/>
    <w:rsid w:val="000C77C6"/>
    <w:rsid w:val="000C78E6"/>
    <w:rsid w:val="000C791F"/>
    <w:rsid w:val="000C796F"/>
    <w:rsid w:val="000C7975"/>
    <w:rsid w:val="000C7A1B"/>
    <w:rsid w:val="000C7A50"/>
    <w:rsid w:val="000C7A74"/>
    <w:rsid w:val="000C7A9B"/>
    <w:rsid w:val="000C7AF0"/>
    <w:rsid w:val="000C7C09"/>
    <w:rsid w:val="000C7C12"/>
    <w:rsid w:val="000C7D73"/>
    <w:rsid w:val="000C7DB1"/>
    <w:rsid w:val="000C7E17"/>
    <w:rsid w:val="000C7E4E"/>
    <w:rsid w:val="000C7E5D"/>
    <w:rsid w:val="000C7F24"/>
    <w:rsid w:val="000C7FAF"/>
    <w:rsid w:val="000D0016"/>
    <w:rsid w:val="000D0056"/>
    <w:rsid w:val="000D0063"/>
    <w:rsid w:val="000D00C2"/>
    <w:rsid w:val="000D0135"/>
    <w:rsid w:val="000D019F"/>
    <w:rsid w:val="000D01FA"/>
    <w:rsid w:val="000D0291"/>
    <w:rsid w:val="000D02DF"/>
    <w:rsid w:val="000D038B"/>
    <w:rsid w:val="000D03E1"/>
    <w:rsid w:val="000D05D3"/>
    <w:rsid w:val="000D0601"/>
    <w:rsid w:val="000D069D"/>
    <w:rsid w:val="000D06DC"/>
    <w:rsid w:val="000D06F0"/>
    <w:rsid w:val="000D071C"/>
    <w:rsid w:val="000D081C"/>
    <w:rsid w:val="000D0BC2"/>
    <w:rsid w:val="000D0CB3"/>
    <w:rsid w:val="000D0CE0"/>
    <w:rsid w:val="000D0D5A"/>
    <w:rsid w:val="000D0E44"/>
    <w:rsid w:val="000D0F1F"/>
    <w:rsid w:val="000D0F6F"/>
    <w:rsid w:val="000D1025"/>
    <w:rsid w:val="000D103A"/>
    <w:rsid w:val="000D118A"/>
    <w:rsid w:val="000D1264"/>
    <w:rsid w:val="000D12A2"/>
    <w:rsid w:val="000D1349"/>
    <w:rsid w:val="000D134F"/>
    <w:rsid w:val="000D1399"/>
    <w:rsid w:val="000D13A4"/>
    <w:rsid w:val="000D1408"/>
    <w:rsid w:val="000D16F5"/>
    <w:rsid w:val="000D179F"/>
    <w:rsid w:val="000D1833"/>
    <w:rsid w:val="000D1855"/>
    <w:rsid w:val="000D1903"/>
    <w:rsid w:val="000D193F"/>
    <w:rsid w:val="000D19DB"/>
    <w:rsid w:val="000D19ED"/>
    <w:rsid w:val="000D1A61"/>
    <w:rsid w:val="000D1A9E"/>
    <w:rsid w:val="000D1C10"/>
    <w:rsid w:val="000D1C2C"/>
    <w:rsid w:val="000D1C36"/>
    <w:rsid w:val="000D1D23"/>
    <w:rsid w:val="000D1DF8"/>
    <w:rsid w:val="000D1E18"/>
    <w:rsid w:val="000D1E19"/>
    <w:rsid w:val="000D1FF2"/>
    <w:rsid w:val="000D207D"/>
    <w:rsid w:val="000D20CD"/>
    <w:rsid w:val="000D2145"/>
    <w:rsid w:val="000D221C"/>
    <w:rsid w:val="000D2370"/>
    <w:rsid w:val="000D244F"/>
    <w:rsid w:val="000D24F9"/>
    <w:rsid w:val="000D2562"/>
    <w:rsid w:val="000D2594"/>
    <w:rsid w:val="000D2668"/>
    <w:rsid w:val="000D26B6"/>
    <w:rsid w:val="000D2772"/>
    <w:rsid w:val="000D278A"/>
    <w:rsid w:val="000D27D0"/>
    <w:rsid w:val="000D28A3"/>
    <w:rsid w:val="000D2983"/>
    <w:rsid w:val="000D2A82"/>
    <w:rsid w:val="000D2C6D"/>
    <w:rsid w:val="000D2C6F"/>
    <w:rsid w:val="000D2CB8"/>
    <w:rsid w:val="000D2CE3"/>
    <w:rsid w:val="000D2D3A"/>
    <w:rsid w:val="000D2F13"/>
    <w:rsid w:val="000D2F3B"/>
    <w:rsid w:val="000D2FA9"/>
    <w:rsid w:val="000D3022"/>
    <w:rsid w:val="000D3058"/>
    <w:rsid w:val="000D31B7"/>
    <w:rsid w:val="000D3216"/>
    <w:rsid w:val="000D32A7"/>
    <w:rsid w:val="000D32F8"/>
    <w:rsid w:val="000D343C"/>
    <w:rsid w:val="000D3466"/>
    <w:rsid w:val="000D3541"/>
    <w:rsid w:val="000D35B2"/>
    <w:rsid w:val="000D3785"/>
    <w:rsid w:val="000D378B"/>
    <w:rsid w:val="000D3995"/>
    <w:rsid w:val="000D3A95"/>
    <w:rsid w:val="000D3B52"/>
    <w:rsid w:val="000D3B80"/>
    <w:rsid w:val="000D3CC9"/>
    <w:rsid w:val="000D3CFE"/>
    <w:rsid w:val="000D3D00"/>
    <w:rsid w:val="000D3D3C"/>
    <w:rsid w:val="000D3E90"/>
    <w:rsid w:val="000D3F35"/>
    <w:rsid w:val="000D3F3A"/>
    <w:rsid w:val="000D3F9C"/>
    <w:rsid w:val="000D4063"/>
    <w:rsid w:val="000D40BF"/>
    <w:rsid w:val="000D40E8"/>
    <w:rsid w:val="000D4110"/>
    <w:rsid w:val="000D4258"/>
    <w:rsid w:val="000D4326"/>
    <w:rsid w:val="000D4356"/>
    <w:rsid w:val="000D4445"/>
    <w:rsid w:val="000D447E"/>
    <w:rsid w:val="000D45A9"/>
    <w:rsid w:val="000D45AE"/>
    <w:rsid w:val="000D45EF"/>
    <w:rsid w:val="000D4638"/>
    <w:rsid w:val="000D4654"/>
    <w:rsid w:val="000D47F0"/>
    <w:rsid w:val="000D4974"/>
    <w:rsid w:val="000D4B5C"/>
    <w:rsid w:val="000D4BC6"/>
    <w:rsid w:val="000D4CD5"/>
    <w:rsid w:val="000D4DDE"/>
    <w:rsid w:val="000D4E0F"/>
    <w:rsid w:val="000D4E40"/>
    <w:rsid w:val="000D4E94"/>
    <w:rsid w:val="000D4EC2"/>
    <w:rsid w:val="000D4F71"/>
    <w:rsid w:val="000D5014"/>
    <w:rsid w:val="000D5087"/>
    <w:rsid w:val="000D5089"/>
    <w:rsid w:val="000D50C7"/>
    <w:rsid w:val="000D5204"/>
    <w:rsid w:val="000D5246"/>
    <w:rsid w:val="000D52C6"/>
    <w:rsid w:val="000D536E"/>
    <w:rsid w:val="000D53A4"/>
    <w:rsid w:val="000D5409"/>
    <w:rsid w:val="000D5544"/>
    <w:rsid w:val="000D557D"/>
    <w:rsid w:val="000D5588"/>
    <w:rsid w:val="000D55C7"/>
    <w:rsid w:val="000D55E5"/>
    <w:rsid w:val="000D566B"/>
    <w:rsid w:val="000D574F"/>
    <w:rsid w:val="000D5995"/>
    <w:rsid w:val="000D5A2B"/>
    <w:rsid w:val="000D5BD2"/>
    <w:rsid w:val="000D5D77"/>
    <w:rsid w:val="000D5E3C"/>
    <w:rsid w:val="000D629A"/>
    <w:rsid w:val="000D6344"/>
    <w:rsid w:val="000D6422"/>
    <w:rsid w:val="000D6609"/>
    <w:rsid w:val="000D6794"/>
    <w:rsid w:val="000D686B"/>
    <w:rsid w:val="000D6871"/>
    <w:rsid w:val="000D690D"/>
    <w:rsid w:val="000D691E"/>
    <w:rsid w:val="000D6A81"/>
    <w:rsid w:val="000D6B87"/>
    <w:rsid w:val="000D6C48"/>
    <w:rsid w:val="000D6C66"/>
    <w:rsid w:val="000D6CBB"/>
    <w:rsid w:val="000D6EC7"/>
    <w:rsid w:val="000D6EDE"/>
    <w:rsid w:val="000D6F05"/>
    <w:rsid w:val="000D6F39"/>
    <w:rsid w:val="000D705D"/>
    <w:rsid w:val="000D7105"/>
    <w:rsid w:val="000D73BD"/>
    <w:rsid w:val="000D743A"/>
    <w:rsid w:val="000D759C"/>
    <w:rsid w:val="000D761A"/>
    <w:rsid w:val="000D768D"/>
    <w:rsid w:val="000D771D"/>
    <w:rsid w:val="000D77E8"/>
    <w:rsid w:val="000D7948"/>
    <w:rsid w:val="000D7B65"/>
    <w:rsid w:val="000D7B87"/>
    <w:rsid w:val="000D7C5C"/>
    <w:rsid w:val="000D7D03"/>
    <w:rsid w:val="000D7DDB"/>
    <w:rsid w:val="000D7E4A"/>
    <w:rsid w:val="000D7F1D"/>
    <w:rsid w:val="000D7F65"/>
    <w:rsid w:val="000D7FAD"/>
    <w:rsid w:val="000E0048"/>
    <w:rsid w:val="000E0211"/>
    <w:rsid w:val="000E03E5"/>
    <w:rsid w:val="000E040E"/>
    <w:rsid w:val="000E0572"/>
    <w:rsid w:val="000E0587"/>
    <w:rsid w:val="000E065A"/>
    <w:rsid w:val="000E068E"/>
    <w:rsid w:val="000E06B0"/>
    <w:rsid w:val="000E0716"/>
    <w:rsid w:val="000E0732"/>
    <w:rsid w:val="000E081C"/>
    <w:rsid w:val="000E0867"/>
    <w:rsid w:val="000E0893"/>
    <w:rsid w:val="000E096A"/>
    <w:rsid w:val="000E09E6"/>
    <w:rsid w:val="000E0A5F"/>
    <w:rsid w:val="000E0AAF"/>
    <w:rsid w:val="000E0AF3"/>
    <w:rsid w:val="000E0CA5"/>
    <w:rsid w:val="000E0F6C"/>
    <w:rsid w:val="000E0FEA"/>
    <w:rsid w:val="000E118C"/>
    <w:rsid w:val="000E126B"/>
    <w:rsid w:val="000E1302"/>
    <w:rsid w:val="000E1348"/>
    <w:rsid w:val="000E1401"/>
    <w:rsid w:val="000E1421"/>
    <w:rsid w:val="000E1463"/>
    <w:rsid w:val="000E14EC"/>
    <w:rsid w:val="000E1533"/>
    <w:rsid w:val="000E1579"/>
    <w:rsid w:val="000E1635"/>
    <w:rsid w:val="000E1640"/>
    <w:rsid w:val="000E165A"/>
    <w:rsid w:val="000E168B"/>
    <w:rsid w:val="000E16CD"/>
    <w:rsid w:val="000E1751"/>
    <w:rsid w:val="000E17AC"/>
    <w:rsid w:val="000E1837"/>
    <w:rsid w:val="000E185F"/>
    <w:rsid w:val="000E19A5"/>
    <w:rsid w:val="000E19B9"/>
    <w:rsid w:val="000E19E7"/>
    <w:rsid w:val="000E1AD0"/>
    <w:rsid w:val="000E1B0D"/>
    <w:rsid w:val="000E1B3A"/>
    <w:rsid w:val="000E1BEE"/>
    <w:rsid w:val="000E1C3C"/>
    <w:rsid w:val="000E1F7E"/>
    <w:rsid w:val="000E1F8C"/>
    <w:rsid w:val="000E2009"/>
    <w:rsid w:val="000E2023"/>
    <w:rsid w:val="000E20D3"/>
    <w:rsid w:val="000E2144"/>
    <w:rsid w:val="000E21CD"/>
    <w:rsid w:val="000E22B5"/>
    <w:rsid w:val="000E231D"/>
    <w:rsid w:val="000E23F9"/>
    <w:rsid w:val="000E23FA"/>
    <w:rsid w:val="000E25A5"/>
    <w:rsid w:val="000E2605"/>
    <w:rsid w:val="000E2752"/>
    <w:rsid w:val="000E2791"/>
    <w:rsid w:val="000E28BE"/>
    <w:rsid w:val="000E28F2"/>
    <w:rsid w:val="000E2904"/>
    <w:rsid w:val="000E2917"/>
    <w:rsid w:val="000E2ABA"/>
    <w:rsid w:val="000E2D16"/>
    <w:rsid w:val="000E2E53"/>
    <w:rsid w:val="000E2E6F"/>
    <w:rsid w:val="000E2E90"/>
    <w:rsid w:val="000E2F3F"/>
    <w:rsid w:val="000E3026"/>
    <w:rsid w:val="000E3083"/>
    <w:rsid w:val="000E32BC"/>
    <w:rsid w:val="000E32C1"/>
    <w:rsid w:val="000E33FC"/>
    <w:rsid w:val="000E357C"/>
    <w:rsid w:val="000E364F"/>
    <w:rsid w:val="000E3663"/>
    <w:rsid w:val="000E378F"/>
    <w:rsid w:val="000E386A"/>
    <w:rsid w:val="000E3878"/>
    <w:rsid w:val="000E3979"/>
    <w:rsid w:val="000E3A90"/>
    <w:rsid w:val="000E3C0C"/>
    <w:rsid w:val="000E3C39"/>
    <w:rsid w:val="000E3C41"/>
    <w:rsid w:val="000E3E03"/>
    <w:rsid w:val="000E3EE4"/>
    <w:rsid w:val="000E428D"/>
    <w:rsid w:val="000E42AF"/>
    <w:rsid w:val="000E4361"/>
    <w:rsid w:val="000E4439"/>
    <w:rsid w:val="000E4722"/>
    <w:rsid w:val="000E475C"/>
    <w:rsid w:val="000E4773"/>
    <w:rsid w:val="000E48BD"/>
    <w:rsid w:val="000E49B6"/>
    <w:rsid w:val="000E4A54"/>
    <w:rsid w:val="000E4AC9"/>
    <w:rsid w:val="000E4B24"/>
    <w:rsid w:val="000E4B7F"/>
    <w:rsid w:val="000E4BDE"/>
    <w:rsid w:val="000E4D0F"/>
    <w:rsid w:val="000E4DEF"/>
    <w:rsid w:val="000E4DFC"/>
    <w:rsid w:val="000E4FAE"/>
    <w:rsid w:val="000E4FBE"/>
    <w:rsid w:val="000E4FE3"/>
    <w:rsid w:val="000E4FF3"/>
    <w:rsid w:val="000E5154"/>
    <w:rsid w:val="000E5460"/>
    <w:rsid w:val="000E549B"/>
    <w:rsid w:val="000E5573"/>
    <w:rsid w:val="000E5578"/>
    <w:rsid w:val="000E55A3"/>
    <w:rsid w:val="000E55D6"/>
    <w:rsid w:val="000E55FE"/>
    <w:rsid w:val="000E59B7"/>
    <w:rsid w:val="000E59CB"/>
    <w:rsid w:val="000E5A60"/>
    <w:rsid w:val="000E5AA8"/>
    <w:rsid w:val="000E5B7A"/>
    <w:rsid w:val="000E5BF3"/>
    <w:rsid w:val="000E5DE3"/>
    <w:rsid w:val="000E5F0C"/>
    <w:rsid w:val="000E5F4F"/>
    <w:rsid w:val="000E6368"/>
    <w:rsid w:val="000E6388"/>
    <w:rsid w:val="000E63BC"/>
    <w:rsid w:val="000E648B"/>
    <w:rsid w:val="000E66F2"/>
    <w:rsid w:val="000E6823"/>
    <w:rsid w:val="000E6863"/>
    <w:rsid w:val="000E6A87"/>
    <w:rsid w:val="000E6AD0"/>
    <w:rsid w:val="000E6AFA"/>
    <w:rsid w:val="000E6AFE"/>
    <w:rsid w:val="000E6B9C"/>
    <w:rsid w:val="000E6C55"/>
    <w:rsid w:val="000E6DE9"/>
    <w:rsid w:val="000E6E13"/>
    <w:rsid w:val="000E6E33"/>
    <w:rsid w:val="000E6EBA"/>
    <w:rsid w:val="000E6F46"/>
    <w:rsid w:val="000E7042"/>
    <w:rsid w:val="000E70D5"/>
    <w:rsid w:val="000E7198"/>
    <w:rsid w:val="000E739B"/>
    <w:rsid w:val="000E7492"/>
    <w:rsid w:val="000E7655"/>
    <w:rsid w:val="000E76E3"/>
    <w:rsid w:val="000E773B"/>
    <w:rsid w:val="000E774A"/>
    <w:rsid w:val="000E77B1"/>
    <w:rsid w:val="000E77B2"/>
    <w:rsid w:val="000E79E2"/>
    <w:rsid w:val="000E7B93"/>
    <w:rsid w:val="000E7DC4"/>
    <w:rsid w:val="000E7DFD"/>
    <w:rsid w:val="000E7E20"/>
    <w:rsid w:val="000E7F54"/>
    <w:rsid w:val="000E7F99"/>
    <w:rsid w:val="000F00C0"/>
    <w:rsid w:val="000F01B1"/>
    <w:rsid w:val="000F02DD"/>
    <w:rsid w:val="000F0326"/>
    <w:rsid w:val="000F03AE"/>
    <w:rsid w:val="000F0628"/>
    <w:rsid w:val="000F076C"/>
    <w:rsid w:val="000F0867"/>
    <w:rsid w:val="000F0870"/>
    <w:rsid w:val="000F0A4E"/>
    <w:rsid w:val="000F0AA8"/>
    <w:rsid w:val="000F0AEA"/>
    <w:rsid w:val="000F0CB1"/>
    <w:rsid w:val="000F0CD8"/>
    <w:rsid w:val="000F0D17"/>
    <w:rsid w:val="000F0D3E"/>
    <w:rsid w:val="000F0F63"/>
    <w:rsid w:val="000F1119"/>
    <w:rsid w:val="000F1130"/>
    <w:rsid w:val="000F1173"/>
    <w:rsid w:val="000F1274"/>
    <w:rsid w:val="000F130B"/>
    <w:rsid w:val="000F149A"/>
    <w:rsid w:val="000F1579"/>
    <w:rsid w:val="000F1663"/>
    <w:rsid w:val="000F173B"/>
    <w:rsid w:val="000F17DA"/>
    <w:rsid w:val="000F17E5"/>
    <w:rsid w:val="000F1825"/>
    <w:rsid w:val="000F1941"/>
    <w:rsid w:val="000F1A31"/>
    <w:rsid w:val="000F1A64"/>
    <w:rsid w:val="000F1A94"/>
    <w:rsid w:val="000F1AA9"/>
    <w:rsid w:val="000F1AE7"/>
    <w:rsid w:val="000F1B90"/>
    <w:rsid w:val="000F1C11"/>
    <w:rsid w:val="000F1C56"/>
    <w:rsid w:val="000F1D0E"/>
    <w:rsid w:val="000F1DAD"/>
    <w:rsid w:val="000F1F88"/>
    <w:rsid w:val="000F201E"/>
    <w:rsid w:val="000F2053"/>
    <w:rsid w:val="000F2151"/>
    <w:rsid w:val="000F2352"/>
    <w:rsid w:val="000F23DA"/>
    <w:rsid w:val="000F2425"/>
    <w:rsid w:val="000F2549"/>
    <w:rsid w:val="000F2658"/>
    <w:rsid w:val="000F2666"/>
    <w:rsid w:val="000F266E"/>
    <w:rsid w:val="000F2783"/>
    <w:rsid w:val="000F2797"/>
    <w:rsid w:val="000F280C"/>
    <w:rsid w:val="000F281E"/>
    <w:rsid w:val="000F2998"/>
    <w:rsid w:val="000F29B1"/>
    <w:rsid w:val="000F2AA0"/>
    <w:rsid w:val="000F2AEB"/>
    <w:rsid w:val="000F2B77"/>
    <w:rsid w:val="000F2D2B"/>
    <w:rsid w:val="000F2D43"/>
    <w:rsid w:val="000F2DFB"/>
    <w:rsid w:val="000F2E83"/>
    <w:rsid w:val="000F2F08"/>
    <w:rsid w:val="000F313F"/>
    <w:rsid w:val="000F322A"/>
    <w:rsid w:val="000F323A"/>
    <w:rsid w:val="000F32B1"/>
    <w:rsid w:val="000F32B8"/>
    <w:rsid w:val="000F3388"/>
    <w:rsid w:val="000F347F"/>
    <w:rsid w:val="000F34D2"/>
    <w:rsid w:val="000F3658"/>
    <w:rsid w:val="000F367D"/>
    <w:rsid w:val="000F382D"/>
    <w:rsid w:val="000F38CA"/>
    <w:rsid w:val="000F399E"/>
    <w:rsid w:val="000F3A48"/>
    <w:rsid w:val="000F3B09"/>
    <w:rsid w:val="000F3B97"/>
    <w:rsid w:val="000F3BA6"/>
    <w:rsid w:val="000F3C13"/>
    <w:rsid w:val="000F3D0A"/>
    <w:rsid w:val="000F3D8A"/>
    <w:rsid w:val="000F3E32"/>
    <w:rsid w:val="000F3E36"/>
    <w:rsid w:val="000F3E73"/>
    <w:rsid w:val="000F3EE2"/>
    <w:rsid w:val="000F3F47"/>
    <w:rsid w:val="000F4144"/>
    <w:rsid w:val="000F4290"/>
    <w:rsid w:val="000F42FD"/>
    <w:rsid w:val="000F434D"/>
    <w:rsid w:val="000F4364"/>
    <w:rsid w:val="000F4392"/>
    <w:rsid w:val="000F445C"/>
    <w:rsid w:val="000F4471"/>
    <w:rsid w:val="000F4479"/>
    <w:rsid w:val="000F4500"/>
    <w:rsid w:val="000F4552"/>
    <w:rsid w:val="000F4564"/>
    <w:rsid w:val="000F45AC"/>
    <w:rsid w:val="000F4776"/>
    <w:rsid w:val="000F47E3"/>
    <w:rsid w:val="000F4805"/>
    <w:rsid w:val="000F49C3"/>
    <w:rsid w:val="000F4A62"/>
    <w:rsid w:val="000F4CE3"/>
    <w:rsid w:val="000F4E15"/>
    <w:rsid w:val="000F4E1C"/>
    <w:rsid w:val="000F4F34"/>
    <w:rsid w:val="000F4FD8"/>
    <w:rsid w:val="000F5021"/>
    <w:rsid w:val="000F50CD"/>
    <w:rsid w:val="000F5254"/>
    <w:rsid w:val="000F52BD"/>
    <w:rsid w:val="000F52D2"/>
    <w:rsid w:val="000F534F"/>
    <w:rsid w:val="000F5400"/>
    <w:rsid w:val="000F548A"/>
    <w:rsid w:val="000F5570"/>
    <w:rsid w:val="000F55A9"/>
    <w:rsid w:val="000F569A"/>
    <w:rsid w:val="000F5793"/>
    <w:rsid w:val="000F5798"/>
    <w:rsid w:val="000F57ED"/>
    <w:rsid w:val="000F5841"/>
    <w:rsid w:val="000F58C4"/>
    <w:rsid w:val="000F58D9"/>
    <w:rsid w:val="000F58E1"/>
    <w:rsid w:val="000F590B"/>
    <w:rsid w:val="000F594A"/>
    <w:rsid w:val="000F5A3B"/>
    <w:rsid w:val="000F5A8E"/>
    <w:rsid w:val="000F5B0D"/>
    <w:rsid w:val="000F5B2A"/>
    <w:rsid w:val="000F5BB7"/>
    <w:rsid w:val="000F5BC3"/>
    <w:rsid w:val="000F5BE3"/>
    <w:rsid w:val="000F5D38"/>
    <w:rsid w:val="000F5DE1"/>
    <w:rsid w:val="000F6008"/>
    <w:rsid w:val="000F615D"/>
    <w:rsid w:val="000F6160"/>
    <w:rsid w:val="000F61CB"/>
    <w:rsid w:val="000F6252"/>
    <w:rsid w:val="000F63E7"/>
    <w:rsid w:val="000F675D"/>
    <w:rsid w:val="000F6A93"/>
    <w:rsid w:val="000F6BDA"/>
    <w:rsid w:val="000F6CA7"/>
    <w:rsid w:val="000F6D02"/>
    <w:rsid w:val="000F6E17"/>
    <w:rsid w:val="000F6ED6"/>
    <w:rsid w:val="000F6F57"/>
    <w:rsid w:val="000F6F71"/>
    <w:rsid w:val="000F6FFE"/>
    <w:rsid w:val="000F715E"/>
    <w:rsid w:val="000F718C"/>
    <w:rsid w:val="000F71EE"/>
    <w:rsid w:val="000F7369"/>
    <w:rsid w:val="000F7423"/>
    <w:rsid w:val="000F748E"/>
    <w:rsid w:val="000F752D"/>
    <w:rsid w:val="000F7548"/>
    <w:rsid w:val="000F759F"/>
    <w:rsid w:val="000F7635"/>
    <w:rsid w:val="000F76CB"/>
    <w:rsid w:val="000F771D"/>
    <w:rsid w:val="000F77CC"/>
    <w:rsid w:val="000F79BE"/>
    <w:rsid w:val="000F7A7A"/>
    <w:rsid w:val="000F7B09"/>
    <w:rsid w:val="000F7BD6"/>
    <w:rsid w:val="000F7C0A"/>
    <w:rsid w:val="000F7C42"/>
    <w:rsid w:val="000F7C87"/>
    <w:rsid w:val="000F7DE2"/>
    <w:rsid w:val="000F7E1E"/>
    <w:rsid w:val="000F7E36"/>
    <w:rsid w:val="000F7F5E"/>
    <w:rsid w:val="000F7FD1"/>
    <w:rsid w:val="000F7FF5"/>
    <w:rsid w:val="00100032"/>
    <w:rsid w:val="00100039"/>
    <w:rsid w:val="001000C7"/>
    <w:rsid w:val="001000ED"/>
    <w:rsid w:val="00100150"/>
    <w:rsid w:val="0010017C"/>
    <w:rsid w:val="0010021A"/>
    <w:rsid w:val="00100397"/>
    <w:rsid w:val="001003F3"/>
    <w:rsid w:val="0010040D"/>
    <w:rsid w:val="00100417"/>
    <w:rsid w:val="00100445"/>
    <w:rsid w:val="001005D5"/>
    <w:rsid w:val="001005E5"/>
    <w:rsid w:val="001005F3"/>
    <w:rsid w:val="001006C0"/>
    <w:rsid w:val="00100738"/>
    <w:rsid w:val="00100850"/>
    <w:rsid w:val="001009A8"/>
    <w:rsid w:val="00100A4F"/>
    <w:rsid w:val="00100A6C"/>
    <w:rsid w:val="00100A83"/>
    <w:rsid w:val="00100AC6"/>
    <w:rsid w:val="00100B14"/>
    <w:rsid w:val="00100BC8"/>
    <w:rsid w:val="00100C31"/>
    <w:rsid w:val="00100C7A"/>
    <w:rsid w:val="00100D23"/>
    <w:rsid w:val="00100D58"/>
    <w:rsid w:val="00100E2A"/>
    <w:rsid w:val="00100FD9"/>
    <w:rsid w:val="00100FEB"/>
    <w:rsid w:val="00100FEC"/>
    <w:rsid w:val="00101082"/>
    <w:rsid w:val="0010112C"/>
    <w:rsid w:val="00101171"/>
    <w:rsid w:val="00101256"/>
    <w:rsid w:val="00101381"/>
    <w:rsid w:val="001013E3"/>
    <w:rsid w:val="001014EB"/>
    <w:rsid w:val="0010150C"/>
    <w:rsid w:val="0010151C"/>
    <w:rsid w:val="001015BB"/>
    <w:rsid w:val="001015CD"/>
    <w:rsid w:val="00101645"/>
    <w:rsid w:val="00101767"/>
    <w:rsid w:val="001017DC"/>
    <w:rsid w:val="00101914"/>
    <w:rsid w:val="001019DF"/>
    <w:rsid w:val="00101AF4"/>
    <w:rsid w:val="00101D07"/>
    <w:rsid w:val="00101D92"/>
    <w:rsid w:val="00101EA1"/>
    <w:rsid w:val="00101EE0"/>
    <w:rsid w:val="00101F2D"/>
    <w:rsid w:val="00101F90"/>
    <w:rsid w:val="0010202D"/>
    <w:rsid w:val="00102082"/>
    <w:rsid w:val="001020A2"/>
    <w:rsid w:val="001020E4"/>
    <w:rsid w:val="0010214B"/>
    <w:rsid w:val="001021FE"/>
    <w:rsid w:val="0010221A"/>
    <w:rsid w:val="00102287"/>
    <w:rsid w:val="00102337"/>
    <w:rsid w:val="00102434"/>
    <w:rsid w:val="001026D4"/>
    <w:rsid w:val="00102714"/>
    <w:rsid w:val="001027F4"/>
    <w:rsid w:val="00102818"/>
    <w:rsid w:val="00102822"/>
    <w:rsid w:val="001028F7"/>
    <w:rsid w:val="00102A46"/>
    <w:rsid w:val="00102A6E"/>
    <w:rsid w:val="00102A72"/>
    <w:rsid w:val="00102A77"/>
    <w:rsid w:val="00102BF1"/>
    <w:rsid w:val="00102C2B"/>
    <w:rsid w:val="00102D4C"/>
    <w:rsid w:val="00102DD3"/>
    <w:rsid w:val="00102DF1"/>
    <w:rsid w:val="00102E2F"/>
    <w:rsid w:val="00102EE0"/>
    <w:rsid w:val="00102EF5"/>
    <w:rsid w:val="00102F78"/>
    <w:rsid w:val="0010301A"/>
    <w:rsid w:val="001030C0"/>
    <w:rsid w:val="0010314C"/>
    <w:rsid w:val="001031CA"/>
    <w:rsid w:val="0010325A"/>
    <w:rsid w:val="00103325"/>
    <w:rsid w:val="00103335"/>
    <w:rsid w:val="0010333F"/>
    <w:rsid w:val="00103345"/>
    <w:rsid w:val="00103365"/>
    <w:rsid w:val="00103379"/>
    <w:rsid w:val="0010345F"/>
    <w:rsid w:val="00103478"/>
    <w:rsid w:val="00103617"/>
    <w:rsid w:val="00103722"/>
    <w:rsid w:val="001037B3"/>
    <w:rsid w:val="001037D3"/>
    <w:rsid w:val="00103848"/>
    <w:rsid w:val="0010389A"/>
    <w:rsid w:val="001039A0"/>
    <w:rsid w:val="001039B2"/>
    <w:rsid w:val="00103A7B"/>
    <w:rsid w:val="00103B99"/>
    <w:rsid w:val="00103CEB"/>
    <w:rsid w:val="00103D80"/>
    <w:rsid w:val="00103DEE"/>
    <w:rsid w:val="00103E70"/>
    <w:rsid w:val="00103F22"/>
    <w:rsid w:val="00103FAE"/>
    <w:rsid w:val="001040E6"/>
    <w:rsid w:val="00104200"/>
    <w:rsid w:val="00104254"/>
    <w:rsid w:val="00104275"/>
    <w:rsid w:val="00104342"/>
    <w:rsid w:val="001045FC"/>
    <w:rsid w:val="0010461E"/>
    <w:rsid w:val="001046E1"/>
    <w:rsid w:val="001047FF"/>
    <w:rsid w:val="00104A79"/>
    <w:rsid w:val="00104B44"/>
    <w:rsid w:val="00104CEE"/>
    <w:rsid w:val="00104D7A"/>
    <w:rsid w:val="00104E79"/>
    <w:rsid w:val="00104EAF"/>
    <w:rsid w:val="001050A1"/>
    <w:rsid w:val="001050CD"/>
    <w:rsid w:val="0010512E"/>
    <w:rsid w:val="001051C9"/>
    <w:rsid w:val="00105215"/>
    <w:rsid w:val="0010525F"/>
    <w:rsid w:val="0010528A"/>
    <w:rsid w:val="001052B3"/>
    <w:rsid w:val="00105335"/>
    <w:rsid w:val="00105386"/>
    <w:rsid w:val="001053AE"/>
    <w:rsid w:val="00105427"/>
    <w:rsid w:val="0010545B"/>
    <w:rsid w:val="0010545E"/>
    <w:rsid w:val="001054F7"/>
    <w:rsid w:val="001055C0"/>
    <w:rsid w:val="001056D3"/>
    <w:rsid w:val="001056D6"/>
    <w:rsid w:val="00105786"/>
    <w:rsid w:val="001058BD"/>
    <w:rsid w:val="00105A3F"/>
    <w:rsid w:val="00105AD1"/>
    <w:rsid w:val="00105B98"/>
    <w:rsid w:val="00105CD3"/>
    <w:rsid w:val="00105E8D"/>
    <w:rsid w:val="00105EF3"/>
    <w:rsid w:val="00106055"/>
    <w:rsid w:val="00106167"/>
    <w:rsid w:val="001063C9"/>
    <w:rsid w:val="001063E4"/>
    <w:rsid w:val="001064DC"/>
    <w:rsid w:val="0010654E"/>
    <w:rsid w:val="001067E6"/>
    <w:rsid w:val="001068AB"/>
    <w:rsid w:val="001068BF"/>
    <w:rsid w:val="00106945"/>
    <w:rsid w:val="001069DC"/>
    <w:rsid w:val="00106A71"/>
    <w:rsid w:val="00106A82"/>
    <w:rsid w:val="00106AB9"/>
    <w:rsid w:val="00106B8E"/>
    <w:rsid w:val="00106B9E"/>
    <w:rsid w:val="00106C93"/>
    <w:rsid w:val="00106D81"/>
    <w:rsid w:val="00106D84"/>
    <w:rsid w:val="00106E40"/>
    <w:rsid w:val="00106EB5"/>
    <w:rsid w:val="00106EE8"/>
    <w:rsid w:val="00106FDF"/>
    <w:rsid w:val="00107069"/>
    <w:rsid w:val="001070DC"/>
    <w:rsid w:val="00107168"/>
    <w:rsid w:val="00107325"/>
    <w:rsid w:val="001076DC"/>
    <w:rsid w:val="001077EE"/>
    <w:rsid w:val="00107880"/>
    <w:rsid w:val="001079CC"/>
    <w:rsid w:val="00107A3B"/>
    <w:rsid w:val="00107A77"/>
    <w:rsid w:val="00107B3D"/>
    <w:rsid w:val="00107B71"/>
    <w:rsid w:val="00107C36"/>
    <w:rsid w:val="00107CF2"/>
    <w:rsid w:val="00107D0E"/>
    <w:rsid w:val="00107EFB"/>
    <w:rsid w:val="00107FD7"/>
    <w:rsid w:val="00110060"/>
    <w:rsid w:val="001100B3"/>
    <w:rsid w:val="00110129"/>
    <w:rsid w:val="00110149"/>
    <w:rsid w:val="001101AE"/>
    <w:rsid w:val="00110281"/>
    <w:rsid w:val="00110394"/>
    <w:rsid w:val="001103D9"/>
    <w:rsid w:val="00110406"/>
    <w:rsid w:val="0011042F"/>
    <w:rsid w:val="00110468"/>
    <w:rsid w:val="0011049B"/>
    <w:rsid w:val="001104C5"/>
    <w:rsid w:val="0011051B"/>
    <w:rsid w:val="00110585"/>
    <w:rsid w:val="00110589"/>
    <w:rsid w:val="00110592"/>
    <w:rsid w:val="001105A1"/>
    <w:rsid w:val="001105EC"/>
    <w:rsid w:val="0011060A"/>
    <w:rsid w:val="00110691"/>
    <w:rsid w:val="00110726"/>
    <w:rsid w:val="00110790"/>
    <w:rsid w:val="001107D1"/>
    <w:rsid w:val="00110952"/>
    <w:rsid w:val="00110AE1"/>
    <w:rsid w:val="00110B1A"/>
    <w:rsid w:val="00110C0A"/>
    <w:rsid w:val="00110C25"/>
    <w:rsid w:val="00110C2D"/>
    <w:rsid w:val="00110C34"/>
    <w:rsid w:val="00110C86"/>
    <w:rsid w:val="00110CF0"/>
    <w:rsid w:val="00110D6A"/>
    <w:rsid w:val="00110D6D"/>
    <w:rsid w:val="00110EC3"/>
    <w:rsid w:val="0011104B"/>
    <w:rsid w:val="00111094"/>
    <w:rsid w:val="001110EC"/>
    <w:rsid w:val="0011124A"/>
    <w:rsid w:val="0011124E"/>
    <w:rsid w:val="00111281"/>
    <w:rsid w:val="0011128D"/>
    <w:rsid w:val="00111367"/>
    <w:rsid w:val="001113B0"/>
    <w:rsid w:val="0011155C"/>
    <w:rsid w:val="001115B4"/>
    <w:rsid w:val="0011161D"/>
    <w:rsid w:val="00111707"/>
    <w:rsid w:val="00111989"/>
    <w:rsid w:val="00111A3E"/>
    <w:rsid w:val="00111A4D"/>
    <w:rsid w:val="00111AF5"/>
    <w:rsid w:val="00111AFB"/>
    <w:rsid w:val="00111B71"/>
    <w:rsid w:val="00111B88"/>
    <w:rsid w:val="00111C8B"/>
    <w:rsid w:val="00111CCB"/>
    <w:rsid w:val="00111D48"/>
    <w:rsid w:val="00111DA4"/>
    <w:rsid w:val="00111EB9"/>
    <w:rsid w:val="00111F20"/>
    <w:rsid w:val="00112165"/>
    <w:rsid w:val="00112193"/>
    <w:rsid w:val="001121FF"/>
    <w:rsid w:val="00112232"/>
    <w:rsid w:val="00112259"/>
    <w:rsid w:val="00112316"/>
    <w:rsid w:val="00112355"/>
    <w:rsid w:val="00112428"/>
    <w:rsid w:val="00112459"/>
    <w:rsid w:val="001124D5"/>
    <w:rsid w:val="00112780"/>
    <w:rsid w:val="001127C9"/>
    <w:rsid w:val="00112835"/>
    <w:rsid w:val="00112858"/>
    <w:rsid w:val="0011290A"/>
    <w:rsid w:val="00112976"/>
    <w:rsid w:val="001129C0"/>
    <w:rsid w:val="00112A79"/>
    <w:rsid w:val="00112A9C"/>
    <w:rsid w:val="00112C01"/>
    <w:rsid w:val="00112C2E"/>
    <w:rsid w:val="00112CE3"/>
    <w:rsid w:val="00112E1C"/>
    <w:rsid w:val="00112F13"/>
    <w:rsid w:val="00113020"/>
    <w:rsid w:val="0011304F"/>
    <w:rsid w:val="00113057"/>
    <w:rsid w:val="00113061"/>
    <w:rsid w:val="001132D4"/>
    <w:rsid w:val="00113380"/>
    <w:rsid w:val="001133AB"/>
    <w:rsid w:val="0011348A"/>
    <w:rsid w:val="00113547"/>
    <w:rsid w:val="00113592"/>
    <w:rsid w:val="001136C0"/>
    <w:rsid w:val="00113872"/>
    <w:rsid w:val="00113899"/>
    <w:rsid w:val="001139CB"/>
    <w:rsid w:val="001139FD"/>
    <w:rsid w:val="00113B73"/>
    <w:rsid w:val="00113C67"/>
    <w:rsid w:val="00113CF5"/>
    <w:rsid w:val="00113D24"/>
    <w:rsid w:val="00113FA9"/>
    <w:rsid w:val="00114024"/>
    <w:rsid w:val="00114060"/>
    <w:rsid w:val="001141E0"/>
    <w:rsid w:val="00114208"/>
    <w:rsid w:val="0011424B"/>
    <w:rsid w:val="00114357"/>
    <w:rsid w:val="0011435D"/>
    <w:rsid w:val="0011435F"/>
    <w:rsid w:val="00114430"/>
    <w:rsid w:val="001144F0"/>
    <w:rsid w:val="0011455A"/>
    <w:rsid w:val="001145D8"/>
    <w:rsid w:val="001146A4"/>
    <w:rsid w:val="0011479C"/>
    <w:rsid w:val="0011498C"/>
    <w:rsid w:val="001149BD"/>
    <w:rsid w:val="00114A11"/>
    <w:rsid w:val="00114A31"/>
    <w:rsid w:val="00114BFF"/>
    <w:rsid w:val="00114C18"/>
    <w:rsid w:val="00114C99"/>
    <w:rsid w:val="00114E0C"/>
    <w:rsid w:val="00114E59"/>
    <w:rsid w:val="00114E8C"/>
    <w:rsid w:val="00115178"/>
    <w:rsid w:val="001152BD"/>
    <w:rsid w:val="0011534A"/>
    <w:rsid w:val="00115388"/>
    <w:rsid w:val="00115399"/>
    <w:rsid w:val="00115462"/>
    <w:rsid w:val="001154D0"/>
    <w:rsid w:val="001154EF"/>
    <w:rsid w:val="001155AD"/>
    <w:rsid w:val="00115657"/>
    <w:rsid w:val="001156B2"/>
    <w:rsid w:val="001156D9"/>
    <w:rsid w:val="001156DF"/>
    <w:rsid w:val="0011570F"/>
    <w:rsid w:val="00115716"/>
    <w:rsid w:val="00115720"/>
    <w:rsid w:val="00115746"/>
    <w:rsid w:val="00115747"/>
    <w:rsid w:val="00115785"/>
    <w:rsid w:val="00115829"/>
    <w:rsid w:val="0011591B"/>
    <w:rsid w:val="001159ED"/>
    <w:rsid w:val="00115B53"/>
    <w:rsid w:val="00115C34"/>
    <w:rsid w:val="00115C6E"/>
    <w:rsid w:val="00115D37"/>
    <w:rsid w:val="00115E71"/>
    <w:rsid w:val="00115E91"/>
    <w:rsid w:val="00115EAC"/>
    <w:rsid w:val="00115F5B"/>
    <w:rsid w:val="00115F7C"/>
    <w:rsid w:val="00115FAC"/>
    <w:rsid w:val="00115FFC"/>
    <w:rsid w:val="001161B6"/>
    <w:rsid w:val="00116241"/>
    <w:rsid w:val="00116273"/>
    <w:rsid w:val="0011627B"/>
    <w:rsid w:val="0011632E"/>
    <w:rsid w:val="0011635E"/>
    <w:rsid w:val="00116579"/>
    <w:rsid w:val="00116583"/>
    <w:rsid w:val="00116590"/>
    <w:rsid w:val="0011669A"/>
    <w:rsid w:val="001167FA"/>
    <w:rsid w:val="001168EC"/>
    <w:rsid w:val="0011690F"/>
    <w:rsid w:val="00116A3D"/>
    <w:rsid w:val="00116A6F"/>
    <w:rsid w:val="00116C56"/>
    <w:rsid w:val="00116C93"/>
    <w:rsid w:val="00116CA3"/>
    <w:rsid w:val="00116CA8"/>
    <w:rsid w:val="00116D94"/>
    <w:rsid w:val="00116DEA"/>
    <w:rsid w:val="00116E3B"/>
    <w:rsid w:val="00116EFA"/>
    <w:rsid w:val="00116FEC"/>
    <w:rsid w:val="0011716C"/>
    <w:rsid w:val="001172AC"/>
    <w:rsid w:val="001172E7"/>
    <w:rsid w:val="0011740E"/>
    <w:rsid w:val="00117585"/>
    <w:rsid w:val="00117590"/>
    <w:rsid w:val="00117747"/>
    <w:rsid w:val="001179F3"/>
    <w:rsid w:val="00117A56"/>
    <w:rsid w:val="00117B07"/>
    <w:rsid w:val="00117B61"/>
    <w:rsid w:val="00117C44"/>
    <w:rsid w:val="00117C81"/>
    <w:rsid w:val="00117D5B"/>
    <w:rsid w:val="00117E8E"/>
    <w:rsid w:val="00117EC1"/>
    <w:rsid w:val="00117FA2"/>
    <w:rsid w:val="0012006A"/>
    <w:rsid w:val="00120085"/>
    <w:rsid w:val="00120123"/>
    <w:rsid w:val="00120306"/>
    <w:rsid w:val="001203CA"/>
    <w:rsid w:val="0012054F"/>
    <w:rsid w:val="001206A0"/>
    <w:rsid w:val="00120746"/>
    <w:rsid w:val="00120827"/>
    <w:rsid w:val="0012089B"/>
    <w:rsid w:val="00120A5A"/>
    <w:rsid w:val="00120A98"/>
    <w:rsid w:val="00120AC7"/>
    <w:rsid w:val="00120AF5"/>
    <w:rsid w:val="00120B5E"/>
    <w:rsid w:val="00120BF3"/>
    <w:rsid w:val="00120C96"/>
    <w:rsid w:val="00120CA9"/>
    <w:rsid w:val="00120CD5"/>
    <w:rsid w:val="00120DCD"/>
    <w:rsid w:val="00120E00"/>
    <w:rsid w:val="00120EE0"/>
    <w:rsid w:val="00120F57"/>
    <w:rsid w:val="00120F96"/>
    <w:rsid w:val="00120FB4"/>
    <w:rsid w:val="00120FE0"/>
    <w:rsid w:val="001210C0"/>
    <w:rsid w:val="001210D2"/>
    <w:rsid w:val="00121258"/>
    <w:rsid w:val="00121340"/>
    <w:rsid w:val="00121387"/>
    <w:rsid w:val="001213A1"/>
    <w:rsid w:val="0012143C"/>
    <w:rsid w:val="00121480"/>
    <w:rsid w:val="001214EE"/>
    <w:rsid w:val="001215A3"/>
    <w:rsid w:val="001216D3"/>
    <w:rsid w:val="0012176A"/>
    <w:rsid w:val="0012176E"/>
    <w:rsid w:val="00121814"/>
    <w:rsid w:val="0012193B"/>
    <w:rsid w:val="00121A9E"/>
    <w:rsid w:val="00121AD8"/>
    <w:rsid w:val="00121DB3"/>
    <w:rsid w:val="00121E4B"/>
    <w:rsid w:val="00121E81"/>
    <w:rsid w:val="00121F5A"/>
    <w:rsid w:val="00121F65"/>
    <w:rsid w:val="00121F8D"/>
    <w:rsid w:val="00121FE7"/>
    <w:rsid w:val="00122059"/>
    <w:rsid w:val="00122087"/>
    <w:rsid w:val="001221A6"/>
    <w:rsid w:val="001221F8"/>
    <w:rsid w:val="00122368"/>
    <w:rsid w:val="00122457"/>
    <w:rsid w:val="0012258B"/>
    <w:rsid w:val="001226A1"/>
    <w:rsid w:val="001226BB"/>
    <w:rsid w:val="0012278C"/>
    <w:rsid w:val="001228DB"/>
    <w:rsid w:val="00122941"/>
    <w:rsid w:val="00122ACC"/>
    <w:rsid w:val="00122B51"/>
    <w:rsid w:val="00122D8A"/>
    <w:rsid w:val="00122E04"/>
    <w:rsid w:val="00122E75"/>
    <w:rsid w:val="0012304D"/>
    <w:rsid w:val="00123103"/>
    <w:rsid w:val="00123121"/>
    <w:rsid w:val="0012313F"/>
    <w:rsid w:val="00123175"/>
    <w:rsid w:val="0012325B"/>
    <w:rsid w:val="00123362"/>
    <w:rsid w:val="00123369"/>
    <w:rsid w:val="00123419"/>
    <w:rsid w:val="0012358D"/>
    <w:rsid w:val="0012359E"/>
    <w:rsid w:val="001236A4"/>
    <w:rsid w:val="001236C7"/>
    <w:rsid w:val="001236CE"/>
    <w:rsid w:val="001236F1"/>
    <w:rsid w:val="001236F9"/>
    <w:rsid w:val="0012384A"/>
    <w:rsid w:val="0012393F"/>
    <w:rsid w:val="00123948"/>
    <w:rsid w:val="00123970"/>
    <w:rsid w:val="001239E2"/>
    <w:rsid w:val="00123A13"/>
    <w:rsid w:val="00123BF0"/>
    <w:rsid w:val="00123C08"/>
    <w:rsid w:val="00123C6D"/>
    <w:rsid w:val="00123C86"/>
    <w:rsid w:val="00123CFE"/>
    <w:rsid w:val="00123D17"/>
    <w:rsid w:val="00123EF1"/>
    <w:rsid w:val="00123F08"/>
    <w:rsid w:val="00123F39"/>
    <w:rsid w:val="00123FBF"/>
    <w:rsid w:val="00124142"/>
    <w:rsid w:val="0012416C"/>
    <w:rsid w:val="001241CB"/>
    <w:rsid w:val="00124299"/>
    <w:rsid w:val="00124317"/>
    <w:rsid w:val="001243C0"/>
    <w:rsid w:val="0012453F"/>
    <w:rsid w:val="001245FF"/>
    <w:rsid w:val="00124606"/>
    <w:rsid w:val="00124654"/>
    <w:rsid w:val="00124663"/>
    <w:rsid w:val="00124680"/>
    <w:rsid w:val="00124695"/>
    <w:rsid w:val="0012472E"/>
    <w:rsid w:val="0012483A"/>
    <w:rsid w:val="00124844"/>
    <w:rsid w:val="0012487B"/>
    <w:rsid w:val="001248C2"/>
    <w:rsid w:val="001249C1"/>
    <w:rsid w:val="00124B19"/>
    <w:rsid w:val="00124B4F"/>
    <w:rsid w:val="00124B81"/>
    <w:rsid w:val="00124BBE"/>
    <w:rsid w:val="00124BCE"/>
    <w:rsid w:val="00124C66"/>
    <w:rsid w:val="00124CBB"/>
    <w:rsid w:val="00124D15"/>
    <w:rsid w:val="00124D7C"/>
    <w:rsid w:val="00124D7E"/>
    <w:rsid w:val="00124E21"/>
    <w:rsid w:val="00124EA5"/>
    <w:rsid w:val="00124EE2"/>
    <w:rsid w:val="00124F2B"/>
    <w:rsid w:val="00124FED"/>
    <w:rsid w:val="0012502B"/>
    <w:rsid w:val="0012511C"/>
    <w:rsid w:val="00125136"/>
    <w:rsid w:val="0012516F"/>
    <w:rsid w:val="001251FA"/>
    <w:rsid w:val="00125277"/>
    <w:rsid w:val="0012531C"/>
    <w:rsid w:val="001253A3"/>
    <w:rsid w:val="001253AB"/>
    <w:rsid w:val="00125488"/>
    <w:rsid w:val="001254A0"/>
    <w:rsid w:val="001254A5"/>
    <w:rsid w:val="00125557"/>
    <w:rsid w:val="001255A1"/>
    <w:rsid w:val="00125802"/>
    <w:rsid w:val="00125806"/>
    <w:rsid w:val="00125832"/>
    <w:rsid w:val="00125A14"/>
    <w:rsid w:val="00125B6F"/>
    <w:rsid w:val="00125C25"/>
    <w:rsid w:val="00125C38"/>
    <w:rsid w:val="00125C86"/>
    <w:rsid w:val="00125CC0"/>
    <w:rsid w:val="00125CD6"/>
    <w:rsid w:val="00125DB8"/>
    <w:rsid w:val="00125DD5"/>
    <w:rsid w:val="00125E38"/>
    <w:rsid w:val="00125E7B"/>
    <w:rsid w:val="00126023"/>
    <w:rsid w:val="001260CD"/>
    <w:rsid w:val="0012615B"/>
    <w:rsid w:val="00126261"/>
    <w:rsid w:val="00126377"/>
    <w:rsid w:val="00126462"/>
    <w:rsid w:val="00126502"/>
    <w:rsid w:val="001265D4"/>
    <w:rsid w:val="001266FF"/>
    <w:rsid w:val="001267A9"/>
    <w:rsid w:val="0012687C"/>
    <w:rsid w:val="00126AA3"/>
    <w:rsid w:val="00126AA6"/>
    <w:rsid w:val="00126D0D"/>
    <w:rsid w:val="00126ED0"/>
    <w:rsid w:val="00127147"/>
    <w:rsid w:val="00127157"/>
    <w:rsid w:val="00127429"/>
    <w:rsid w:val="00127444"/>
    <w:rsid w:val="00127594"/>
    <w:rsid w:val="0012761F"/>
    <w:rsid w:val="00127648"/>
    <w:rsid w:val="00127697"/>
    <w:rsid w:val="00127700"/>
    <w:rsid w:val="0012781D"/>
    <w:rsid w:val="001278EF"/>
    <w:rsid w:val="00127C25"/>
    <w:rsid w:val="00127CB3"/>
    <w:rsid w:val="00127EBF"/>
    <w:rsid w:val="00127F9E"/>
    <w:rsid w:val="00127FA5"/>
    <w:rsid w:val="001301F9"/>
    <w:rsid w:val="00130297"/>
    <w:rsid w:val="001303FF"/>
    <w:rsid w:val="00130419"/>
    <w:rsid w:val="001304A0"/>
    <w:rsid w:val="0013057B"/>
    <w:rsid w:val="00130607"/>
    <w:rsid w:val="0013064F"/>
    <w:rsid w:val="0013068D"/>
    <w:rsid w:val="00130770"/>
    <w:rsid w:val="001307B4"/>
    <w:rsid w:val="001307DF"/>
    <w:rsid w:val="0013084F"/>
    <w:rsid w:val="00130887"/>
    <w:rsid w:val="0013094B"/>
    <w:rsid w:val="00130A16"/>
    <w:rsid w:val="00130AC6"/>
    <w:rsid w:val="00130AF2"/>
    <w:rsid w:val="00130B13"/>
    <w:rsid w:val="00130B26"/>
    <w:rsid w:val="00130BE9"/>
    <w:rsid w:val="00130C40"/>
    <w:rsid w:val="00130C89"/>
    <w:rsid w:val="00130E5C"/>
    <w:rsid w:val="00130EAD"/>
    <w:rsid w:val="00130EE5"/>
    <w:rsid w:val="00130F95"/>
    <w:rsid w:val="001310CA"/>
    <w:rsid w:val="00131173"/>
    <w:rsid w:val="001311FA"/>
    <w:rsid w:val="00131221"/>
    <w:rsid w:val="00131417"/>
    <w:rsid w:val="001315CB"/>
    <w:rsid w:val="001316A4"/>
    <w:rsid w:val="0013180E"/>
    <w:rsid w:val="00131863"/>
    <w:rsid w:val="001318EF"/>
    <w:rsid w:val="001319A6"/>
    <w:rsid w:val="00131A34"/>
    <w:rsid w:val="00131AE4"/>
    <w:rsid w:val="00131B7B"/>
    <w:rsid w:val="00131CA1"/>
    <w:rsid w:val="00131F94"/>
    <w:rsid w:val="00131F95"/>
    <w:rsid w:val="00131FC5"/>
    <w:rsid w:val="00131FD6"/>
    <w:rsid w:val="00132096"/>
    <w:rsid w:val="00132302"/>
    <w:rsid w:val="0013237F"/>
    <w:rsid w:val="0013238B"/>
    <w:rsid w:val="00132501"/>
    <w:rsid w:val="00132518"/>
    <w:rsid w:val="00132534"/>
    <w:rsid w:val="001325C8"/>
    <w:rsid w:val="00132685"/>
    <w:rsid w:val="0013271B"/>
    <w:rsid w:val="00132921"/>
    <w:rsid w:val="0013298B"/>
    <w:rsid w:val="001329FD"/>
    <w:rsid w:val="00132A1D"/>
    <w:rsid w:val="00132A48"/>
    <w:rsid w:val="00132A9D"/>
    <w:rsid w:val="00132AFB"/>
    <w:rsid w:val="00132B0F"/>
    <w:rsid w:val="00132B45"/>
    <w:rsid w:val="00132C1C"/>
    <w:rsid w:val="00132C53"/>
    <w:rsid w:val="00132D5B"/>
    <w:rsid w:val="00132D93"/>
    <w:rsid w:val="00132DB1"/>
    <w:rsid w:val="00132DB9"/>
    <w:rsid w:val="00132E3F"/>
    <w:rsid w:val="00132E43"/>
    <w:rsid w:val="00132E54"/>
    <w:rsid w:val="00132F85"/>
    <w:rsid w:val="00132F8D"/>
    <w:rsid w:val="00132F98"/>
    <w:rsid w:val="00133189"/>
    <w:rsid w:val="00133276"/>
    <w:rsid w:val="00133426"/>
    <w:rsid w:val="0013347D"/>
    <w:rsid w:val="001334D5"/>
    <w:rsid w:val="00133556"/>
    <w:rsid w:val="00133580"/>
    <w:rsid w:val="00133584"/>
    <w:rsid w:val="00133608"/>
    <w:rsid w:val="00133654"/>
    <w:rsid w:val="0013384F"/>
    <w:rsid w:val="001338A6"/>
    <w:rsid w:val="00133B10"/>
    <w:rsid w:val="00133B43"/>
    <w:rsid w:val="00133B67"/>
    <w:rsid w:val="00133BEA"/>
    <w:rsid w:val="00133E0E"/>
    <w:rsid w:val="00133F2A"/>
    <w:rsid w:val="00133F72"/>
    <w:rsid w:val="001340B4"/>
    <w:rsid w:val="00134553"/>
    <w:rsid w:val="001347E2"/>
    <w:rsid w:val="001347FA"/>
    <w:rsid w:val="00134837"/>
    <w:rsid w:val="0013488A"/>
    <w:rsid w:val="001349CD"/>
    <w:rsid w:val="001349F9"/>
    <w:rsid w:val="00134B42"/>
    <w:rsid w:val="00134B59"/>
    <w:rsid w:val="00134C18"/>
    <w:rsid w:val="00134C72"/>
    <w:rsid w:val="00134C7D"/>
    <w:rsid w:val="00134C7E"/>
    <w:rsid w:val="00134C85"/>
    <w:rsid w:val="00134CE2"/>
    <w:rsid w:val="00134E59"/>
    <w:rsid w:val="0013511A"/>
    <w:rsid w:val="00135399"/>
    <w:rsid w:val="0013546B"/>
    <w:rsid w:val="0013561E"/>
    <w:rsid w:val="0013571F"/>
    <w:rsid w:val="00135800"/>
    <w:rsid w:val="001358A8"/>
    <w:rsid w:val="00135913"/>
    <w:rsid w:val="001359B2"/>
    <w:rsid w:val="00135A60"/>
    <w:rsid w:val="00135B4F"/>
    <w:rsid w:val="00135BFC"/>
    <w:rsid w:val="00135CC7"/>
    <w:rsid w:val="00135D6C"/>
    <w:rsid w:val="00135D99"/>
    <w:rsid w:val="00135DE3"/>
    <w:rsid w:val="00135EAA"/>
    <w:rsid w:val="00135EC3"/>
    <w:rsid w:val="00135FD8"/>
    <w:rsid w:val="00136054"/>
    <w:rsid w:val="0013606F"/>
    <w:rsid w:val="001360B0"/>
    <w:rsid w:val="001360D6"/>
    <w:rsid w:val="00136192"/>
    <w:rsid w:val="00136257"/>
    <w:rsid w:val="0013634A"/>
    <w:rsid w:val="001363A8"/>
    <w:rsid w:val="00136479"/>
    <w:rsid w:val="001364AB"/>
    <w:rsid w:val="0013674F"/>
    <w:rsid w:val="001367A4"/>
    <w:rsid w:val="001367DE"/>
    <w:rsid w:val="00136877"/>
    <w:rsid w:val="001368C7"/>
    <w:rsid w:val="00136C01"/>
    <w:rsid w:val="00136E46"/>
    <w:rsid w:val="00136EF2"/>
    <w:rsid w:val="00136F9F"/>
    <w:rsid w:val="0013717E"/>
    <w:rsid w:val="00137268"/>
    <w:rsid w:val="001372D1"/>
    <w:rsid w:val="0013739E"/>
    <w:rsid w:val="0013752F"/>
    <w:rsid w:val="00137557"/>
    <w:rsid w:val="0013757B"/>
    <w:rsid w:val="001375A9"/>
    <w:rsid w:val="001376CA"/>
    <w:rsid w:val="00137729"/>
    <w:rsid w:val="001377D8"/>
    <w:rsid w:val="0013782A"/>
    <w:rsid w:val="00137847"/>
    <w:rsid w:val="00137851"/>
    <w:rsid w:val="00137963"/>
    <w:rsid w:val="00137A2D"/>
    <w:rsid w:val="00137B41"/>
    <w:rsid w:val="00137BDA"/>
    <w:rsid w:val="00137CA5"/>
    <w:rsid w:val="00137E50"/>
    <w:rsid w:val="00137E5E"/>
    <w:rsid w:val="00137E9E"/>
    <w:rsid w:val="0014001D"/>
    <w:rsid w:val="001400D3"/>
    <w:rsid w:val="0014016D"/>
    <w:rsid w:val="00140181"/>
    <w:rsid w:val="00140305"/>
    <w:rsid w:val="00140398"/>
    <w:rsid w:val="0014050F"/>
    <w:rsid w:val="001408D7"/>
    <w:rsid w:val="00140950"/>
    <w:rsid w:val="00140977"/>
    <w:rsid w:val="00140A1C"/>
    <w:rsid w:val="00140B01"/>
    <w:rsid w:val="00140B39"/>
    <w:rsid w:val="00140BB5"/>
    <w:rsid w:val="00140DA3"/>
    <w:rsid w:val="00140DC2"/>
    <w:rsid w:val="00140FD3"/>
    <w:rsid w:val="0014104F"/>
    <w:rsid w:val="001411EF"/>
    <w:rsid w:val="00141230"/>
    <w:rsid w:val="00141343"/>
    <w:rsid w:val="00141380"/>
    <w:rsid w:val="001413AC"/>
    <w:rsid w:val="00141522"/>
    <w:rsid w:val="001416BB"/>
    <w:rsid w:val="00141937"/>
    <w:rsid w:val="001419DB"/>
    <w:rsid w:val="00141A7B"/>
    <w:rsid w:val="00141AC1"/>
    <w:rsid w:val="00141B03"/>
    <w:rsid w:val="00141F7E"/>
    <w:rsid w:val="0014219C"/>
    <w:rsid w:val="001421BC"/>
    <w:rsid w:val="001421DF"/>
    <w:rsid w:val="0014226C"/>
    <w:rsid w:val="001422AD"/>
    <w:rsid w:val="0014236F"/>
    <w:rsid w:val="00142445"/>
    <w:rsid w:val="0014247D"/>
    <w:rsid w:val="001425A9"/>
    <w:rsid w:val="001425CD"/>
    <w:rsid w:val="001425D3"/>
    <w:rsid w:val="001427BD"/>
    <w:rsid w:val="001428DA"/>
    <w:rsid w:val="001428DE"/>
    <w:rsid w:val="00142AE3"/>
    <w:rsid w:val="00142AF4"/>
    <w:rsid w:val="00142CB0"/>
    <w:rsid w:val="00142E16"/>
    <w:rsid w:val="00142E51"/>
    <w:rsid w:val="00142EA1"/>
    <w:rsid w:val="001430CF"/>
    <w:rsid w:val="0014311A"/>
    <w:rsid w:val="0014316D"/>
    <w:rsid w:val="00143176"/>
    <w:rsid w:val="001431AB"/>
    <w:rsid w:val="0014321A"/>
    <w:rsid w:val="0014325D"/>
    <w:rsid w:val="001432B3"/>
    <w:rsid w:val="001432D6"/>
    <w:rsid w:val="0014334F"/>
    <w:rsid w:val="001433E5"/>
    <w:rsid w:val="001433E9"/>
    <w:rsid w:val="001434A1"/>
    <w:rsid w:val="001434BF"/>
    <w:rsid w:val="001434DC"/>
    <w:rsid w:val="0014354C"/>
    <w:rsid w:val="00143685"/>
    <w:rsid w:val="001436D5"/>
    <w:rsid w:val="00143713"/>
    <w:rsid w:val="001437A9"/>
    <w:rsid w:val="0014382B"/>
    <w:rsid w:val="001439A1"/>
    <w:rsid w:val="001439F2"/>
    <w:rsid w:val="00143B78"/>
    <w:rsid w:val="00143CB2"/>
    <w:rsid w:val="00143D24"/>
    <w:rsid w:val="00143DA4"/>
    <w:rsid w:val="00143E15"/>
    <w:rsid w:val="00143EEA"/>
    <w:rsid w:val="00143F86"/>
    <w:rsid w:val="00143F94"/>
    <w:rsid w:val="00143FBF"/>
    <w:rsid w:val="001442C5"/>
    <w:rsid w:val="00144335"/>
    <w:rsid w:val="001443EE"/>
    <w:rsid w:val="001444BD"/>
    <w:rsid w:val="00144632"/>
    <w:rsid w:val="00144634"/>
    <w:rsid w:val="00144664"/>
    <w:rsid w:val="001446DE"/>
    <w:rsid w:val="00144755"/>
    <w:rsid w:val="001447DD"/>
    <w:rsid w:val="001448CA"/>
    <w:rsid w:val="00144933"/>
    <w:rsid w:val="0014495E"/>
    <w:rsid w:val="0014496F"/>
    <w:rsid w:val="00144A11"/>
    <w:rsid w:val="00144A35"/>
    <w:rsid w:val="00144A48"/>
    <w:rsid w:val="00144B32"/>
    <w:rsid w:val="00144BE0"/>
    <w:rsid w:val="00144C6B"/>
    <w:rsid w:val="00144CCF"/>
    <w:rsid w:val="00144E04"/>
    <w:rsid w:val="00144EC8"/>
    <w:rsid w:val="00144FB0"/>
    <w:rsid w:val="00144FC0"/>
    <w:rsid w:val="001450BE"/>
    <w:rsid w:val="001450F5"/>
    <w:rsid w:val="00145173"/>
    <w:rsid w:val="00145471"/>
    <w:rsid w:val="00145502"/>
    <w:rsid w:val="00145545"/>
    <w:rsid w:val="001455E4"/>
    <w:rsid w:val="00145632"/>
    <w:rsid w:val="001456BE"/>
    <w:rsid w:val="001456C0"/>
    <w:rsid w:val="0014576F"/>
    <w:rsid w:val="00145833"/>
    <w:rsid w:val="001458A2"/>
    <w:rsid w:val="00145999"/>
    <w:rsid w:val="00145A3A"/>
    <w:rsid w:val="00145AD4"/>
    <w:rsid w:val="00145B72"/>
    <w:rsid w:val="00145CCD"/>
    <w:rsid w:val="00145D4B"/>
    <w:rsid w:val="00145D64"/>
    <w:rsid w:val="00145F42"/>
    <w:rsid w:val="00146197"/>
    <w:rsid w:val="001464F5"/>
    <w:rsid w:val="0014657C"/>
    <w:rsid w:val="00146637"/>
    <w:rsid w:val="001466A2"/>
    <w:rsid w:val="001466D5"/>
    <w:rsid w:val="00146769"/>
    <w:rsid w:val="001467C8"/>
    <w:rsid w:val="001468FF"/>
    <w:rsid w:val="00146985"/>
    <w:rsid w:val="001469B2"/>
    <w:rsid w:val="001469E0"/>
    <w:rsid w:val="00146A20"/>
    <w:rsid w:val="00146A36"/>
    <w:rsid w:val="00146AC9"/>
    <w:rsid w:val="00146B3A"/>
    <w:rsid w:val="00146B59"/>
    <w:rsid w:val="00146BF7"/>
    <w:rsid w:val="00146C50"/>
    <w:rsid w:val="00146CAA"/>
    <w:rsid w:val="00146D7A"/>
    <w:rsid w:val="00146E0A"/>
    <w:rsid w:val="00146E29"/>
    <w:rsid w:val="00146EB8"/>
    <w:rsid w:val="00146EE9"/>
    <w:rsid w:val="00146F81"/>
    <w:rsid w:val="00147023"/>
    <w:rsid w:val="00147036"/>
    <w:rsid w:val="0014705A"/>
    <w:rsid w:val="00147091"/>
    <w:rsid w:val="001470FC"/>
    <w:rsid w:val="00147167"/>
    <w:rsid w:val="001471A5"/>
    <w:rsid w:val="001471FF"/>
    <w:rsid w:val="00147255"/>
    <w:rsid w:val="0014732F"/>
    <w:rsid w:val="00147365"/>
    <w:rsid w:val="001473B9"/>
    <w:rsid w:val="00147424"/>
    <w:rsid w:val="0014749B"/>
    <w:rsid w:val="0014749D"/>
    <w:rsid w:val="001474AD"/>
    <w:rsid w:val="001474BF"/>
    <w:rsid w:val="001474D8"/>
    <w:rsid w:val="001474DA"/>
    <w:rsid w:val="001477FF"/>
    <w:rsid w:val="00147948"/>
    <w:rsid w:val="00147A53"/>
    <w:rsid w:val="00147A91"/>
    <w:rsid w:val="00147ABF"/>
    <w:rsid w:val="00147AF1"/>
    <w:rsid w:val="00147B28"/>
    <w:rsid w:val="00147B50"/>
    <w:rsid w:val="00147C56"/>
    <w:rsid w:val="00147C82"/>
    <w:rsid w:val="00147D97"/>
    <w:rsid w:val="00147E60"/>
    <w:rsid w:val="001500BC"/>
    <w:rsid w:val="001500BF"/>
    <w:rsid w:val="0015027E"/>
    <w:rsid w:val="00150305"/>
    <w:rsid w:val="0015039F"/>
    <w:rsid w:val="001503A8"/>
    <w:rsid w:val="00150443"/>
    <w:rsid w:val="00150527"/>
    <w:rsid w:val="001505D7"/>
    <w:rsid w:val="001505E9"/>
    <w:rsid w:val="00150682"/>
    <w:rsid w:val="001506C3"/>
    <w:rsid w:val="0015077D"/>
    <w:rsid w:val="001507AA"/>
    <w:rsid w:val="0015082B"/>
    <w:rsid w:val="001508F7"/>
    <w:rsid w:val="00150908"/>
    <w:rsid w:val="001509D4"/>
    <w:rsid w:val="00150A36"/>
    <w:rsid w:val="00150B9F"/>
    <w:rsid w:val="00150BE7"/>
    <w:rsid w:val="00150BFE"/>
    <w:rsid w:val="00150C02"/>
    <w:rsid w:val="00150C2D"/>
    <w:rsid w:val="00150CED"/>
    <w:rsid w:val="00150CFA"/>
    <w:rsid w:val="00150D45"/>
    <w:rsid w:val="00150E04"/>
    <w:rsid w:val="00150F58"/>
    <w:rsid w:val="0015102F"/>
    <w:rsid w:val="00151124"/>
    <w:rsid w:val="00151591"/>
    <w:rsid w:val="00151606"/>
    <w:rsid w:val="0015168E"/>
    <w:rsid w:val="00151699"/>
    <w:rsid w:val="00151723"/>
    <w:rsid w:val="001518C7"/>
    <w:rsid w:val="0015195F"/>
    <w:rsid w:val="0015198B"/>
    <w:rsid w:val="001519C7"/>
    <w:rsid w:val="00151AD7"/>
    <w:rsid w:val="00151B93"/>
    <w:rsid w:val="00151C03"/>
    <w:rsid w:val="00151C6F"/>
    <w:rsid w:val="00151DF4"/>
    <w:rsid w:val="00151E41"/>
    <w:rsid w:val="00151ED6"/>
    <w:rsid w:val="00151F10"/>
    <w:rsid w:val="00152016"/>
    <w:rsid w:val="00152115"/>
    <w:rsid w:val="00152301"/>
    <w:rsid w:val="0015231B"/>
    <w:rsid w:val="001523D9"/>
    <w:rsid w:val="001523EE"/>
    <w:rsid w:val="00152474"/>
    <w:rsid w:val="001526C2"/>
    <w:rsid w:val="001526CE"/>
    <w:rsid w:val="00152710"/>
    <w:rsid w:val="00152741"/>
    <w:rsid w:val="001527CA"/>
    <w:rsid w:val="001528E0"/>
    <w:rsid w:val="00152A02"/>
    <w:rsid w:val="00152A61"/>
    <w:rsid w:val="00152B6C"/>
    <w:rsid w:val="00152C66"/>
    <w:rsid w:val="00152CE9"/>
    <w:rsid w:val="00152E09"/>
    <w:rsid w:val="00152E38"/>
    <w:rsid w:val="00152E57"/>
    <w:rsid w:val="00152F24"/>
    <w:rsid w:val="00152F5A"/>
    <w:rsid w:val="00152F71"/>
    <w:rsid w:val="00153368"/>
    <w:rsid w:val="0015336D"/>
    <w:rsid w:val="00153423"/>
    <w:rsid w:val="0015354F"/>
    <w:rsid w:val="001535A1"/>
    <w:rsid w:val="001535F0"/>
    <w:rsid w:val="001538AE"/>
    <w:rsid w:val="00153929"/>
    <w:rsid w:val="00153937"/>
    <w:rsid w:val="00153AF2"/>
    <w:rsid w:val="00153B44"/>
    <w:rsid w:val="00153B92"/>
    <w:rsid w:val="00153BD3"/>
    <w:rsid w:val="00153CA6"/>
    <w:rsid w:val="00153CC5"/>
    <w:rsid w:val="00153DDC"/>
    <w:rsid w:val="00153E12"/>
    <w:rsid w:val="00153E63"/>
    <w:rsid w:val="00153F0D"/>
    <w:rsid w:val="00153F12"/>
    <w:rsid w:val="00153FF0"/>
    <w:rsid w:val="0015407D"/>
    <w:rsid w:val="001540AC"/>
    <w:rsid w:val="0015416B"/>
    <w:rsid w:val="00154178"/>
    <w:rsid w:val="00154197"/>
    <w:rsid w:val="00154292"/>
    <w:rsid w:val="001542BA"/>
    <w:rsid w:val="00154338"/>
    <w:rsid w:val="001543E8"/>
    <w:rsid w:val="0015443D"/>
    <w:rsid w:val="00154468"/>
    <w:rsid w:val="001545BC"/>
    <w:rsid w:val="0015461B"/>
    <w:rsid w:val="001546C9"/>
    <w:rsid w:val="00154746"/>
    <w:rsid w:val="001548C9"/>
    <w:rsid w:val="0015492A"/>
    <w:rsid w:val="00154A27"/>
    <w:rsid w:val="00154AEA"/>
    <w:rsid w:val="00154B66"/>
    <w:rsid w:val="00154D25"/>
    <w:rsid w:val="00154DEF"/>
    <w:rsid w:val="00154F59"/>
    <w:rsid w:val="00154FB2"/>
    <w:rsid w:val="00154FBF"/>
    <w:rsid w:val="001550C2"/>
    <w:rsid w:val="001550ED"/>
    <w:rsid w:val="00155349"/>
    <w:rsid w:val="00155680"/>
    <w:rsid w:val="0015584F"/>
    <w:rsid w:val="001558DB"/>
    <w:rsid w:val="001559A5"/>
    <w:rsid w:val="001559D6"/>
    <w:rsid w:val="00155A45"/>
    <w:rsid w:val="00155BD8"/>
    <w:rsid w:val="00155BE5"/>
    <w:rsid w:val="00155CAF"/>
    <w:rsid w:val="00155D46"/>
    <w:rsid w:val="00155D89"/>
    <w:rsid w:val="00155E63"/>
    <w:rsid w:val="00155E69"/>
    <w:rsid w:val="00155EDA"/>
    <w:rsid w:val="00155FE1"/>
    <w:rsid w:val="0015605B"/>
    <w:rsid w:val="00156083"/>
    <w:rsid w:val="001560BF"/>
    <w:rsid w:val="001560F1"/>
    <w:rsid w:val="0015621E"/>
    <w:rsid w:val="00156236"/>
    <w:rsid w:val="00156274"/>
    <w:rsid w:val="001562F0"/>
    <w:rsid w:val="0015636C"/>
    <w:rsid w:val="001563B1"/>
    <w:rsid w:val="001564DC"/>
    <w:rsid w:val="001564F9"/>
    <w:rsid w:val="001565A4"/>
    <w:rsid w:val="0015661D"/>
    <w:rsid w:val="001566A2"/>
    <w:rsid w:val="001566F2"/>
    <w:rsid w:val="001567AF"/>
    <w:rsid w:val="00156819"/>
    <w:rsid w:val="0015687F"/>
    <w:rsid w:val="00156920"/>
    <w:rsid w:val="0015699E"/>
    <w:rsid w:val="001569B3"/>
    <w:rsid w:val="00156A5E"/>
    <w:rsid w:val="00156A8F"/>
    <w:rsid w:val="00156B0A"/>
    <w:rsid w:val="00156C2D"/>
    <w:rsid w:val="00156C83"/>
    <w:rsid w:val="00156CBD"/>
    <w:rsid w:val="00156DC6"/>
    <w:rsid w:val="00156EF6"/>
    <w:rsid w:val="00156F68"/>
    <w:rsid w:val="00156F75"/>
    <w:rsid w:val="00156FB8"/>
    <w:rsid w:val="00156FDF"/>
    <w:rsid w:val="00157077"/>
    <w:rsid w:val="001570E0"/>
    <w:rsid w:val="0015717E"/>
    <w:rsid w:val="001572B9"/>
    <w:rsid w:val="00157482"/>
    <w:rsid w:val="001574C0"/>
    <w:rsid w:val="001574CD"/>
    <w:rsid w:val="00157626"/>
    <w:rsid w:val="0015763F"/>
    <w:rsid w:val="001576AC"/>
    <w:rsid w:val="001577C8"/>
    <w:rsid w:val="001577ED"/>
    <w:rsid w:val="0015785C"/>
    <w:rsid w:val="00157888"/>
    <w:rsid w:val="001579AB"/>
    <w:rsid w:val="00157A40"/>
    <w:rsid w:val="00157AB9"/>
    <w:rsid w:val="00157B64"/>
    <w:rsid w:val="00157B8C"/>
    <w:rsid w:val="00157B8E"/>
    <w:rsid w:val="00157C60"/>
    <w:rsid w:val="00157CB5"/>
    <w:rsid w:val="00157E08"/>
    <w:rsid w:val="00157F65"/>
    <w:rsid w:val="00157FCE"/>
    <w:rsid w:val="001600BB"/>
    <w:rsid w:val="00160107"/>
    <w:rsid w:val="00160119"/>
    <w:rsid w:val="00160135"/>
    <w:rsid w:val="0016014B"/>
    <w:rsid w:val="001601C9"/>
    <w:rsid w:val="001602E8"/>
    <w:rsid w:val="00160378"/>
    <w:rsid w:val="001603AC"/>
    <w:rsid w:val="001603D4"/>
    <w:rsid w:val="0016042E"/>
    <w:rsid w:val="0016064D"/>
    <w:rsid w:val="0016066D"/>
    <w:rsid w:val="001606E4"/>
    <w:rsid w:val="001606E8"/>
    <w:rsid w:val="001606FB"/>
    <w:rsid w:val="00160703"/>
    <w:rsid w:val="00160770"/>
    <w:rsid w:val="001607C4"/>
    <w:rsid w:val="0016084E"/>
    <w:rsid w:val="001608C4"/>
    <w:rsid w:val="00160A4D"/>
    <w:rsid w:val="00160A92"/>
    <w:rsid w:val="00160C22"/>
    <w:rsid w:val="00160D55"/>
    <w:rsid w:val="00160D5A"/>
    <w:rsid w:val="00160D9D"/>
    <w:rsid w:val="00160DAD"/>
    <w:rsid w:val="00160DD8"/>
    <w:rsid w:val="00160EE1"/>
    <w:rsid w:val="00160F24"/>
    <w:rsid w:val="00161198"/>
    <w:rsid w:val="00161236"/>
    <w:rsid w:val="00161246"/>
    <w:rsid w:val="001613A5"/>
    <w:rsid w:val="001613BE"/>
    <w:rsid w:val="001613E0"/>
    <w:rsid w:val="00161511"/>
    <w:rsid w:val="00161533"/>
    <w:rsid w:val="00161603"/>
    <w:rsid w:val="0016161C"/>
    <w:rsid w:val="001616BA"/>
    <w:rsid w:val="001619F0"/>
    <w:rsid w:val="00161B08"/>
    <w:rsid w:val="00161B4B"/>
    <w:rsid w:val="00161B78"/>
    <w:rsid w:val="00161C33"/>
    <w:rsid w:val="00161C97"/>
    <w:rsid w:val="00161C9C"/>
    <w:rsid w:val="00161CF9"/>
    <w:rsid w:val="00161DD7"/>
    <w:rsid w:val="00161E32"/>
    <w:rsid w:val="00161EF9"/>
    <w:rsid w:val="00161F71"/>
    <w:rsid w:val="001620AE"/>
    <w:rsid w:val="001620B9"/>
    <w:rsid w:val="001620BE"/>
    <w:rsid w:val="001620DD"/>
    <w:rsid w:val="00162162"/>
    <w:rsid w:val="00162282"/>
    <w:rsid w:val="00162285"/>
    <w:rsid w:val="001622D8"/>
    <w:rsid w:val="001622FB"/>
    <w:rsid w:val="001623FC"/>
    <w:rsid w:val="001624C3"/>
    <w:rsid w:val="001624DE"/>
    <w:rsid w:val="00162545"/>
    <w:rsid w:val="00162548"/>
    <w:rsid w:val="0016256C"/>
    <w:rsid w:val="00162570"/>
    <w:rsid w:val="0016258B"/>
    <w:rsid w:val="001625B4"/>
    <w:rsid w:val="0016269A"/>
    <w:rsid w:val="00162708"/>
    <w:rsid w:val="0016270F"/>
    <w:rsid w:val="00162713"/>
    <w:rsid w:val="00162796"/>
    <w:rsid w:val="00162809"/>
    <w:rsid w:val="001628A9"/>
    <w:rsid w:val="00162A2A"/>
    <w:rsid w:val="00162AEF"/>
    <w:rsid w:val="00162B66"/>
    <w:rsid w:val="00162B9E"/>
    <w:rsid w:val="00162C7B"/>
    <w:rsid w:val="00162D57"/>
    <w:rsid w:val="00162D5A"/>
    <w:rsid w:val="00162DE8"/>
    <w:rsid w:val="00162F0E"/>
    <w:rsid w:val="001631B6"/>
    <w:rsid w:val="00163262"/>
    <w:rsid w:val="00163460"/>
    <w:rsid w:val="001634B0"/>
    <w:rsid w:val="001634D5"/>
    <w:rsid w:val="001635E7"/>
    <w:rsid w:val="00163682"/>
    <w:rsid w:val="001636A6"/>
    <w:rsid w:val="00163744"/>
    <w:rsid w:val="001638D2"/>
    <w:rsid w:val="001638D4"/>
    <w:rsid w:val="00163951"/>
    <w:rsid w:val="0016399B"/>
    <w:rsid w:val="001639B3"/>
    <w:rsid w:val="00163A4F"/>
    <w:rsid w:val="00163B26"/>
    <w:rsid w:val="00163B98"/>
    <w:rsid w:val="00163C14"/>
    <w:rsid w:val="00163C8F"/>
    <w:rsid w:val="00163D46"/>
    <w:rsid w:val="00163F68"/>
    <w:rsid w:val="00163FA1"/>
    <w:rsid w:val="00163FDE"/>
    <w:rsid w:val="0016402A"/>
    <w:rsid w:val="0016408B"/>
    <w:rsid w:val="0016408E"/>
    <w:rsid w:val="00164105"/>
    <w:rsid w:val="0016417C"/>
    <w:rsid w:val="00164367"/>
    <w:rsid w:val="001643E8"/>
    <w:rsid w:val="00164490"/>
    <w:rsid w:val="00164506"/>
    <w:rsid w:val="00164597"/>
    <w:rsid w:val="001646DD"/>
    <w:rsid w:val="0016473E"/>
    <w:rsid w:val="00164752"/>
    <w:rsid w:val="00164769"/>
    <w:rsid w:val="00164964"/>
    <w:rsid w:val="0016496B"/>
    <w:rsid w:val="001649D9"/>
    <w:rsid w:val="00164A11"/>
    <w:rsid w:val="00164B0E"/>
    <w:rsid w:val="00164BA1"/>
    <w:rsid w:val="00164BAA"/>
    <w:rsid w:val="00164BEF"/>
    <w:rsid w:val="00164C3B"/>
    <w:rsid w:val="00164D41"/>
    <w:rsid w:val="00164EAE"/>
    <w:rsid w:val="0016502A"/>
    <w:rsid w:val="001650D4"/>
    <w:rsid w:val="0016513B"/>
    <w:rsid w:val="00165181"/>
    <w:rsid w:val="00165259"/>
    <w:rsid w:val="00165286"/>
    <w:rsid w:val="001652A8"/>
    <w:rsid w:val="001652D3"/>
    <w:rsid w:val="00165359"/>
    <w:rsid w:val="00165389"/>
    <w:rsid w:val="001653F6"/>
    <w:rsid w:val="0016545D"/>
    <w:rsid w:val="0016547E"/>
    <w:rsid w:val="001654D8"/>
    <w:rsid w:val="00165742"/>
    <w:rsid w:val="0016574F"/>
    <w:rsid w:val="0016580B"/>
    <w:rsid w:val="001658EC"/>
    <w:rsid w:val="00165918"/>
    <w:rsid w:val="00165AA3"/>
    <w:rsid w:val="00165C1C"/>
    <w:rsid w:val="00165E0A"/>
    <w:rsid w:val="00165E47"/>
    <w:rsid w:val="001660A0"/>
    <w:rsid w:val="00166114"/>
    <w:rsid w:val="00166141"/>
    <w:rsid w:val="001661AA"/>
    <w:rsid w:val="00166230"/>
    <w:rsid w:val="0016633D"/>
    <w:rsid w:val="00166405"/>
    <w:rsid w:val="00166439"/>
    <w:rsid w:val="0016646A"/>
    <w:rsid w:val="00166488"/>
    <w:rsid w:val="001664E2"/>
    <w:rsid w:val="0016660C"/>
    <w:rsid w:val="00166644"/>
    <w:rsid w:val="0016666A"/>
    <w:rsid w:val="001666B9"/>
    <w:rsid w:val="001668E4"/>
    <w:rsid w:val="00166B5B"/>
    <w:rsid w:val="00166C97"/>
    <w:rsid w:val="00166D7F"/>
    <w:rsid w:val="00166EE0"/>
    <w:rsid w:val="00166F31"/>
    <w:rsid w:val="00166FBC"/>
    <w:rsid w:val="0016703F"/>
    <w:rsid w:val="001670E0"/>
    <w:rsid w:val="001671D8"/>
    <w:rsid w:val="0016722A"/>
    <w:rsid w:val="0016732A"/>
    <w:rsid w:val="0016733E"/>
    <w:rsid w:val="00167342"/>
    <w:rsid w:val="001674B4"/>
    <w:rsid w:val="00167510"/>
    <w:rsid w:val="00167537"/>
    <w:rsid w:val="00167566"/>
    <w:rsid w:val="00167625"/>
    <w:rsid w:val="0016766B"/>
    <w:rsid w:val="001676EC"/>
    <w:rsid w:val="0016782D"/>
    <w:rsid w:val="0016784D"/>
    <w:rsid w:val="00167894"/>
    <w:rsid w:val="0016789F"/>
    <w:rsid w:val="001678FA"/>
    <w:rsid w:val="00167928"/>
    <w:rsid w:val="00167A7C"/>
    <w:rsid w:val="00167AAC"/>
    <w:rsid w:val="00167B64"/>
    <w:rsid w:val="00167BC5"/>
    <w:rsid w:val="00167D28"/>
    <w:rsid w:val="00167DED"/>
    <w:rsid w:val="00167E15"/>
    <w:rsid w:val="0017007B"/>
    <w:rsid w:val="001700C1"/>
    <w:rsid w:val="00170148"/>
    <w:rsid w:val="001701CF"/>
    <w:rsid w:val="00170396"/>
    <w:rsid w:val="00170409"/>
    <w:rsid w:val="0017046E"/>
    <w:rsid w:val="00170488"/>
    <w:rsid w:val="001705EB"/>
    <w:rsid w:val="0017079F"/>
    <w:rsid w:val="00170924"/>
    <w:rsid w:val="00170984"/>
    <w:rsid w:val="001709FE"/>
    <w:rsid w:val="00170A6A"/>
    <w:rsid w:val="00170C0C"/>
    <w:rsid w:val="00170C53"/>
    <w:rsid w:val="00170C97"/>
    <w:rsid w:val="00170CEC"/>
    <w:rsid w:val="00170D57"/>
    <w:rsid w:val="00170D9B"/>
    <w:rsid w:val="00170DA3"/>
    <w:rsid w:val="00170DD8"/>
    <w:rsid w:val="00170ECA"/>
    <w:rsid w:val="00170F6B"/>
    <w:rsid w:val="00171230"/>
    <w:rsid w:val="001712CF"/>
    <w:rsid w:val="00171315"/>
    <w:rsid w:val="0017138D"/>
    <w:rsid w:val="00171391"/>
    <w:rsid w:val="001713C1"/>
    <w:rsid w:val="001714EC"/>
    <w:rsid w:val="0017159D"/>
    <w:rsid w:val="001716AF"/>
    <w:rsid w:val="0017170C"/>
    <w:rsid w:val="00171777"/>
    <w:rsid w:val="001717EC"/>
    <w:rsid w:val="001717F2"/>
    <w:rsid w:val="00171835"/>
    <w:rsid w:val="00171A8A"/>
    <w:rsid w:val="00171AD3"/>
    <w:rsid w:val="00171B94"/>
    <w:rsid w:val="00171CDC"/>
    <w:rsid w:val="00171D1C"/>
    <w:rsid w:val="00171F11"/>
    <w:rsid w:val="0017200A"/>
    <w:rsid w:val="00172151"/>
    <w:rsid w:val="001721AA"/>
    <w:rsid w:val="00172309"/>
    <w:rsid w:val="0017231E"/>
    <w:rsid w:val="00172396"/>
    <w:rsid w:val="001723A7"/>
    <w:rsid w:val="00172422"/>
    <w:rsid w:val="00172450"/>
    <w:rsid w:val="0017246F"/>
    <w:rsid w:val="00172539"/>
    <w:rsid w:val="00172541"/>
    <w:rsid w:val="00172555"/>
    <w:rsid w:val="001725B6"/>
    <w:rsid w:val="001725EC"/>
    <w:rsid w:val="00172647"/>
    <w:rsid w:val="00172819"/>
    <w:rsid w:val="0017289F"/>
    <w:rsid w:val="001728E8"/>
    <w:rsid w:val="00172910"/>
    <w:rsid w:val="00172A17"/>
    <w:rsid w:val="00172BF6"/>
    <w:rsid w:val="00172D82"/>
    <w:rsid w:val="00172D99"/>
    <w:rsid w:val="00172DB1"/>
    <w:rsid w:val="00172EF7"/>
    <w:rsid w:val="00172F08"/>
    <w:rsid w:val="001732E5"/>
    <w:rsid w:val="00173448"/>
    <w:rsid w:val="00173461"/>
    <w:rsid w:val="00173473"/>
    <w:rsid w:val="001734DB"/>
    <w:rsid w:val="00173546"/>
    <w:rsid w:val="00173591"/>
    <w:rsid w:val="001735B8"/>
    <w:rsid w:val="001736F2"/>
    <w:rsid w:val="001736F5"/>
    <w:rsid w:val="001737B7"/>
    <w:rsid w:val="00173937"/>
    <w:rsid w:val="00173964"/>
    <w:rsid w:val="0017399A"/>
    <w:rsid w:val="00173A82"/>
    <w:rsid w:val="00173AF2"/>
    <w:rsid w:val="00173AF9"/>
    <w:rsid w:val="00173BC8"/>
    <w:rsid w:val="00173C92"/>
    <w:rsid w:val="00173CC4"/>
    <w:rsid w:val="00173D6A"/>
    <w:rsid w:val="00173D6E"/>
    <w:rsid w:val="00173DBD"/>
    <w:rsid w:val="00173E9B"/>
    <w:rsid w:val="00173EB3"/>
    <w:rsid w:val="00173FAB"/>
    <w:rsid w:val="001742F6"/>
    <w:rsid w:val="0017433D"/>
    <w:rsid w:val="001743C3"/>
    <w:rsid w:val="001745BA"/>
    <w:rsid w:val="00174640"/>
    <w:rsid w:val="00174668"/>
    <w:rsid w:val="001746B6"/>
    <w:rsid w:val="001746C4"/>
    <w:rsid w:val="00174717"/>
    <w:rsid w:val="00174753"/>
    <w:rsid w:val="00174A6E"/>
    <w:rsid w:val="00174B3C"/>
    <w:rsid w:val="00174C2D"/>
    <w:rsid w:val="00174C61"/>
    <w:rsid w:val="00174D0C"/>
    <w:rsid w:val="00174D7F"/>
    <w:rsid w:val="00174DDA"/>
    <w:rsid w:val="00174E45"/>
    <w:rsid w:val="00174E51"/>
    <w:rsid w:val="00174F9E"/>
    <w:rsid w:val="0017506A"/>
    <w:rsid w:val="00175091"/>
    <w:rsid w:val="00175121"/>
    <w:rsid w:val="00175175"/>
    <w:rsid w:val="0017517C"/>
    <w:rsid w:val="00175197"/>
    <w:rsid w:val="001751DD"/>
    <w:rsid w:val="00175334"/>
    <w:rsid w:val="001755E0"/>
    <w:rsid w:val="0017580D"/>
    <w:rsid w:val="00175819"/>
    <w:rsid w:val="00175888"/>
    <w:rsid w:val="00175897"/>
    <w:rsid w:val="00175B18"/>
    <w:rsid w:val="00175C79"/>
    <w:rsid w:val="00175CE2"/>
    <w:rsid w:val="00175D72"/>
    <w:rsid w:val="00175F47"/>
    <w:rsid w:val="00175F98"/>
    <w:rsid w:val="00176025"/>
    <w:rsid w:val="00176187"/>
    <w:rsid w:val="001762AF"/>
    <w:rsid w:val="001762B7"/>
    <w:rsid w:val="001762DF"/>
    <w:rsid w:val="00176418"/>
    <w:rsid w:val="001764C8"/>
    <w:rsid w:val="001764F9"/>
    <w:rsid w:val="001764FC"/>
    <w:rsid w:val="00176573"/>
    <w:rsid w:val="0017657F"/>
    <w:rsid w:val="00176691"/>
    <w:rsid w:val="001766F0"/>
    <w:rsid w:val="001767DE"/>
    <w:rsid w:val="00176816"/>
    <w:rsid w:val="0017681C"/>
    <w:rsid w:val="001768E2"/>
    <w:rsid w:val="001768F4"/>
    <w:rsid w:val="00176917"/>
    <w:rsid w:val="0017691C"/>
    <w:rsid w:val="00176924"/>
    <w:rsid w:val="00176B93"/>
    <w:rsid w:val="00176BAF"/>
    <w:rsid w:val="00176BBE"/>
    <w:rsid w:val="00176BF0"/>
    <w:rsid w:val="00176BF3"/>
    <w:rsid w:val="00176BF8"/>
    <w:rsid w:val="00176BFF"/>
    <w:rsid w:val="00176D30"/>
    <w:rsid w:val="00176D4F"/>
    <w:rsid w:val="00176DAE"/>
    <w:rsid w:val="00176E3A"/>
    <w:rsid w:val="00176E54"/>
    <w:rsid w:val="00176E9A"/>
    <w:rsid w:val="0017709F"/>
    <w:rsid w:val="0017712E"/>
    <w:rsid w:val="00177294"/>
    <w:rsid w:val="001772EB"/>
    <w:rsid w:val="0017736F"/>
    <w:rsid w:val="00177412"/>
    <w:rsid w:val="001774CC"/>
    <w:rsid w:val="001775E6"/>
    <w:rsid w:val="001775EB"/>
    <w:rsid w:val="00177794"/>
    <w:rsid w:val="001778A1"/>
    <w:rsid w:val="00177B1A"/>
    <w:rsid w:val="00177B38"/>
    <w:rsid w:val="00177CCC"/>
    <w:rsid w:val="00177D77"/>
    <w:rsid w:val="00177D8E"/>
    <w:rsid w:val="00177E35"/>
    <w:rsid w:val="00177E78"/>
    <w:rsid w:val="00177FE3"/>
    <w:rsid w:val="001800BF"/>
    <w:rsid w:val="0018010A"/>
    <w:rsid w:val="00180118"/>
    <w:rsid w:val="00180138"/>
    <w:rsid w:val="001801E3"/>
    <w:rsid w:val="001802C8"/>
    <w:rsid w:val="001803A4"/>
    <w:rsid w:val="001803B6"/>
    <w:rsid w:val="00180474"/>
    <w:rsid w:val="0018057C"/>
    <w:rsid w:val="001805C7"/>
    <w:rsid w:val="001805DC"/>
    <w:rsid w:val="001806F0"/>
    <w:rsid w:val="00180736"/>
    <w:rsid w:val="00180921"/>
    <w:rsid w:val="001809B2"/>
    <w:rsid w:val="00180ACE"/>
    <w:rsid w:val="00180B16"/>
    <w:rsid w:val="00180C89"/>
    <w:rsid w:val="00180CBE"/>
    <w:rsid w:val="00180CD9"/>
    <w:rsid w:val="00180CEB"/>
    <w:rsid w:val="00180E60"/>
    <w:rsid w:val="00180F5D"/>
    <w:rsid w:val="00181040"/>
    <w:rsid w:val="001810DE"/>
    <w:rsid w:val="0018118C"/>
    <w:rsid w:val="00181309"/>
    <w:rsid w:val="001815B0"/>
    <w:rsid w:val="001815C3"/>
    <w:rsid w:val="001815CE"/>
    <w:rsid w:val="0018163A"/>
    <w:rsid w:val="001817C8"/>
    <w:rsid w:val="001817D4"/>
    <w:rsid w:val="001818DE"/>
    <w:rsid w:val="00181B9E"/>
    <w:rsid w:val="00181C41"/>
    <w:rsid w:val="00181E60"/>
    <w:rsid w:val="00181FCA"/>
    <w:rsid w:val="00181FF4"/>
    <w:rsid w:val="00182013"/>
    <w:rsid w:val="0018205B"/>
    <w:rsid w:val="00182060"/>
    <w:rsid w:val="0018209F"/>
    <w:rsid w:val="00182194"/>
    <w:rsid w:val="0018223E"/>
    <w:rsid w:val="00182277"/>
    <w:rsid w:val="001822FA"/>
    <w:rsid w:val="00182337"/>
    <w:rsid w:val="001823C7"/>
    <w:rsid w:val="00182655"/>
    <w:rsid w:val="0018266D"/>
    <w:rsid w:val="00182767"/>
    <w:rsid w:val="00182818"/>
    <w:rsid w:val="001828AA"/>
    <w:rsid w:val="001828BF"/>
    <w:rsid w:val="00182930"/>
    <w:rsid w:val="001829D0"/>
    <w:rsid w:val="00182A06"/>
    <w:rsid w:val="00182A95"/>
    <w:rsid w:val="00182ADC"/>
    <w:rsid w:val="00182B02"/>
    <w:rsid w:val="00182B16"/>
    <w:rsid w:val="00182B1C"/>
    <w:rsid w:val="00182B55"/>
    <w:rsid w:val="00182BB0"/>
    <w:rsid w:val="00182C40"/>
    <w:rsid w:val="00182D6E"/>
    <w:rsid w:val="00182D97"/>
    <w:rsid w:val="00182DC8"/>
    <w:rsid w:val="0018312F"/>
    <w:rsid w:val="001831ED"/>
    <w:rsid w:val="00183291"/>
    <w:rsid w:val="00183375"/>
    <w:rsid w:val="001833EB"/>
    <w:rsid w:val="00183460"/>
    <w:rsid w:val="0018358F"/>
    <w:rsid w:val="00183602"/>
    <w:rsid w:val="001838E3"/>
    <w:rsid w:val="0018392B"/>
    <w:rsid w:val="0018398C"/>
    <w:rsid w:val="00183A12"/>
    <w:rsid w:val="00183A5A"/>
    <w:rsid w:val="00183AA1"/>
    <w:rsid w:val="00183B96"/>
    <w:rsid w:val="00183CA9"/>
    <w:rsid w:val="00183E67"/>
    <w:rsid w:val="00183ED4"/>
    <w:rsid w:val="00183FB2"/>
    <w:rsid w:val="0018407B"/>
    <w:rsid w:val="00184196"/>
    <w:rsid w:val="001841B5"/>
    <w:rsid w:val="001842CE"/>
    <w:rsid w:val="0018432C"/>
    <w:rsid w:val="00184376"/>
    <w:rsid w:val="001844ED"/>
    <w:rsid w:val="001844F3"/>
    <w:rsid w:val="00184722"/>
    <w:rsid w:val="001848C8"/>
    <w:rsid w:val="00184A30"/>
    <w:rsid w:val="00184D07"/>
    <w:rsid w:val="00184F56"/>
    <w:rsid w:val="00184FB3"/>
    <w:rsid w:val="00185118"/>
    <w:rsid w:val="0018518B"/>
    <w:rsid w:val="00185264"/>
    <w:rsid w:val="00185306"/>
    <w:rsid w:val="00185385"/>
    <w:rsid w:val="00185399"/>
    <w:rsid w:val="001853E5"/>
    <w:rsid w:val="001853FB"/>
    <w:rsid w:val="001854FC"/>
    <w:rsid w:val="00185534"/>
    <w:rsid w:val="00185543"/>
    <w:rsid w:val="001855A8"/>
    <w:rsid w:val="00185785"/>
    <w:rsid w:val="00185858"/>
    <w:rsid w:val="001858D3"/>
    <w:rsid w:val="001859C5"/>
    <w:rsid w:val="00185ACE"/>
    <w:rsid w:val="00185B69"/>
    <w:rsid w:val="00185B9D"/>
    <w:rsid w:val="00185C42"/>
    <w:rsid w:val="00185C4D"/>
    <w:rsid w:val="00185D0B"/>
    <w:rsid w:val="00185DE2"/>
    <w:rsid w:val="00185E5C"/>
    <w:rsid w:val="00185EAD"/>
    <w:rsid w:val="00185F45"/>
    <w:rsid w:val="00185F59"/>
    <w:rsid w:val="00185F69"/>
    <w:rsid w:val="00186037"/>
    <w:rsid w:val="0018607A"/>
    <w:rsid w:val="001861C5"/>
    <w:rsid w:val="0018626B"/>
    <w:rsid w:val="00186289"/>
    <w:rsid w:val="001862C8"/>
    <w:rsid w:val="00186374"/>
    <w:rsid w:val="001864D7"/>
    <w:rsid w:val="001865C8"/>
    <w:rsid w:val="00186614"/>
    <w:rsid w:val="00186634"/>
    <w:rsid w:val="00186659"/>
    <w:rsid w:val="0018672F"/>
    <w:rsid w:val="0018676C"/>
    <w:rsid w:val="00186772"/>
    <w:rsid w:val="001868C2"/>
    <w:rsid w:val="00186A45"/>
    <w:rsid w:val="00186ACA"/>
    <w:rsid w:val="00186BAB"/>
    <w:rsid w:val="00186C05"/>
    <w:rsid w:val="00186C99"/>
    <w:rsid w:val="00186CB9"/>
    <w:rsid w:val="00186CC8"/>
    <w:rsid w:val="00186E01"/>
    <w:rsid w:val="00186FCD"/>
    <w:rsid w:val="001871B2"/>
    <w:rsid w:val="001873F4"/>
    <w:rsid w:val="0018742A"/>
    <w:rsid w:val="0018746F"/>
    <w:rsid w:val="00187483"/>
    <w:rsid w:val="001874B9"/>
    <w:rsid w:val="0018753D"/>
    <w:rsid w:val="00187541"/>
    <w:rsid w:val="00187594"/>
    <w:rsid w:val="0018769C"/>
    <w:rsid w:val="001876AE"/>
    <w:rsid w:val="001876F5"/>
    <w:rsid w:val="0018773C"/>
    <w:rsid w:val="0018774F"/>
    <w:rsid w:val="00187770"/>
    <w:rsid w:val="00187881"/>
    <w:rsid w:val="0018796D"/>
    <w:rsid w:val="00187B7E"/>
    <w:rsid w:val="00187CA0"/>
    <w:rsid w:val="00187D73"/>
    <w:rsid w:val="00187D7E"/>
    <w:rsid w:val="00187E56"/>
    <w:rsid w:val="00187FCA"/>
    <w:rsid w:val="0019008F"/>
    <w:rsid w:val="00190266"/>
    <w:rsid w:val="001902A5"/>
    <w:rsid w:val="0019030D"/>
    <w:rsid w:val="00190377"/>
    <w:rsid w:val="001903A5"/>
    <w:rsid w:val="001903BE"/>
    <w:rsid w:val="0019050B"/>
    <w:rsid w:val="00190618"/>
    <w:rsid w:val="00190632"/>
    <w:rsid w:val="001907EC"/>
    <w:rsid w:val="00190847"/>
    <w:rsid w:val="001908E0"/>
    <w:rsid w:val="001909B7"/>
    <w:rsid w:val="00190B02"/>
    <w:rsid w:val="00190F43"/>
    <w:rsid w:val="00190FDD"/>
    <w:rsid w:val="00191085"/>
    <w:rsid w:val="00191210"/>
    <w:rsid w:val="0019126B"/>
    <w:rsid w:val="00191310"/>
    <w:rsid w:val="001913B1"/>
    <w:rsid w:val="001913C6"/>
    <w:rsid w:val="001913D5"/>
    <w:rsid w:val="0019146E"/>
    <w:rsid w:val="001914CB"/>
    <w:rsid w:val="00191500"/>
    <w:rsid w:val="001916DC"/>
    <w:rsid w:val="0019172D"/>
    <w:rsid w:val="0019181C"/>
    <w:rsid w:val="0019191F"/>
    <w:rsid w:val="0019198A"/>
    <w:rsid w:val="001919EC"/>
    <w:rsid w:val="00191A69"/>
    <w:rsid w:val="00191AAD"/>
    <w:rsid w:val="00191ADE"/>
    <w:rsid w:val="00191C33"/>
    <w:rsid w:val="001920CD"/>
    <w:rsid w:val="0019218B"/>
    <w:rsid w:val="00192224"/>
    <w:rsid w:val="00192389"/>
    <w:rsid w:val="00192434"/>
    <w:rsid w:val="001926C6"/>
    <w:rsid w:val="001926D0"/>
    <w:rsid w:val="001926F8"/>
    <w:rsid w:val="0019273F"/>
    <w:rsid w:val="00192789"/>
    <w:rsid w:val="00192793"/>
    <w:rsid w:val="001927D3"/>
    <w:rsid w:val="00192902"/>
    <w:rsid w:val="00192A52"/>
    <w:rsid w:val="00192A5B"/>
    <w:rsid w:val="00192B40"/>
    <w:rsid w:val="00192B79"/>
    <w:rsid w:val="00192F53"/>
    <w:rsid w:val="001930BB"/>
    <w:rsid w:val="001930D5"/>
    <w:rsid w:val="00193110"/>
    <w:rsid w:val="00193162"/>
    <w:rsid w:val="0019339C"/>
    <w:rsid w:val="00193447"/>
    <w:rsid w:val="0019353B"/>
    <w:rsid w:val="00193644"/>
    <w:rsid w:val="00193667"/>
    <w:rsid w:val="001936E1"/>
    <w:rsid w:val="00193837"/>
    <w:rsid w:val="00193877"/>
    <w:rsid w:val="00193BAE"/>
    <w:rsid w:val="00193BB7"/>
    <w:rsid w:val="00193C9D"/>
    <w:rsid w:val="00193E1B"/>
    <w:rsid w:val="00193F4A"/>
    <w:rsid w:val="00194034"/>
    <w:rsid w:val="00194107"/>
    <w:rsid w:val="0019414B"/>
    <w:rsid w:val="00194246"/>
    <w:rsid w:val="001942F1"/>
    <w:rsid w:val="0019475D"/>
    <w:rsid w:val="001947B8"/>
    <w:rsid w:val="00194941"/>
    <w:rsid w:val="00194995"/>
    <w:rsid w:val="001949ED"/>
    <w:rsid w:val="001949F5"/>
    <w:rsid w:val="00194A13"/>
    <w:rsid w:val="00194AFB"/>
    <w:rsid w:val="00194BDA"/>
    <w:rsid w:val="00194C5B"/>
    <w:rsid w:val="00194D28"/>
    <w:rsid w:val="00194EF5"/>
    <w:rsid w:val="00194F9E"/>
    <w:rsid w:val="00194FA4"/>
    <w:rsid w:val="001950A8"/>
    <w:rsid w:val="00195101"/>
    <w:rsid w:val="001951BB"/>
    <w:rsid w:val="0019529B"/>
    <w:rsid w:val="00195347"/>
    <w:rsid w:val="001953AC"/>
    <w:rsid w:val="00195449"/>
    <w:rsid w:val="0019553D"/>
    <w:rsid w:val="001955A3"/>
    <w:rsid w:val="00195607"/>
    <w:rsid w:val="00195612"/>
    <w:rsid w:val="0019578F"/>
    <w:rsid w:val="001957BA"/>
    <w:rsid w:val="001957FC"/>
    <w:rsid w:val="001958A5"/>
    <w:rsid w:val="001958E2"/>
    <w:rsid w:val="0019593E"/>
    <w:rsid w:val="00195A3B"/>
    <w:rsid w:val="00195B06"/>
    <w:rsid w:val="00195C95"/>
    <w:rsid w:val="00195D01"/>
    <w:rsid w:val="00195DF6"/>
    <w:rsid w:val="00195E6E"/>
    <w:rsid w:val="00195EB0"/>
    <w:rsid w:val="00195F17"/>
    <w:rsid w:val="0019607E"/>
    <w:rsid w:val="00196408"/>
    <w:rsid w:val="0019648A"/>
    <w:rsid w:val="0019656C"/>
    <w:rsid w:val="001966A2"/>
    <w:rsid w:val="001966FA"/>
    <w:rsid w:val="00196745"/>
    <w:rsid w:val="001967B4"/>
    <w:rsid w:val="001968A0"/>
    <w:rsid w:val="001968FC"/>
    <w:rsid w:val="001969A0"/>
    <w:rsid w:val="001969DA"/>
    <w:rsid w:val="00196A3D"/>
    <w:rsid w:val="00196B9A"/>
    <w:rsid w:val="00196BD2"/>
    <w:rsid w:val="00196C11"/>
    <w:rsid w:val="00196D03"/>
    <w:rsid w:val="00196D37"/>
    <w:rsid w:val="00196D6F"/>
    <w:rsid w:val="00196EA7"/>
    <w:rsid w:val="00196F70"/>
    <w:rsid w:val="00197095"/>
    <w:rsid w:val="001970B6"/>
    <w:rsid w:val="001970B9"/>
    <w:rsid w:val="001970C9"/>
    <w:rsid w:val="0019719B"/>
    <w:rsid w:val="00197256"/>
    <w:rsid w:val="00197393"/>
    <w:rsid w:val="001973DC"/>
    <w:rsid w:val="001973EA"/>
    <w:rsid w:val="001975A0"/>
    <w:rsid w:val="00197602"/>
    <w:rsid w:val="00197663"/>
    <w:rsid w:val="0019770A"/>
    <w:rsid w:val="00197792"/>
    <w:rsid w:val="001977E7"/>
    <w:rsid w:val="001978E8"/>
    <w:rsid w:val="001979C1"/>
    <w:rsid w:val="00197B13"/>
    <w:rsid w:val="00197D5D"/>
    <w:rsid w:val="00197DF5"/>
    <w:rsid w:val="00197DFD"/>
    <w:rsid w:val="00197E22"/>
    <w:rsid w:val="00197E3B"/>
    <w:rsid w:val="00197E4D"/>
    <w:rsid w:val="00197EC1"/>
    <w:rsid w:val="001A0034"/>
    <w:rsid w:val="001A00C5"/>
    <w:rsid w:val="001A0309"/>
    <w:rsid w:val="001A036B"/>
    <w:rsid w:val="001A041C"/>
    <w:rsid w:val="001A0477"/>
    <w:rsid w:val="001A04E9"/>
    <w:rsid w:val="001A0528"/>
    <w:rsid w:val="001A0583"/>
    <w:rsid w:val="001A05D6"/>
    <w:rsid w:val="001A065F"/>
    <w:rsid w:val="001A0989"/>
    <w:rsid w:val="001A0A3A"/>
    <w:rsid w:val="001A0ACE"/>
    <w:rsid w:val="001A0C7D"/>
    <w:rsid w:val="001A0CA4"/>
    <w:rsid w:val="001A0DD0"/>
    <w:rsid w:val="001A0DD8"/>
    <w:rsid w:val="001A0DE3"/>
    <w:rsid w:val="001A0E54"/>
    <w:rsid w:val="001A0EB5"/>
    <w:rsid w:val="001A0F79"/>
    <w:rsid w:val="001A1056"/>
    <w:rsid w:val="001A1148"/>
    <w:rsid w:val="001A1197"/>
    <w:rsid w:val="001A121D"/>
    <w:rsid w:val="001A1281"/>
    <w:rsid w:val="001A1283"/>
    <w:rsid w:val="001A129A"/>
    <w:rsid w:val="001A12B8"/>
    <w:rsid w:val="001A12F4"/>
    <w:rsid w:val="001A13FF"/>
    <w:rsid w:val="001A1804"/>
    <w:rsid w:val="001A1A2D"/>
    <w:rsid w:val="001A1A93"/>
    <w:rsid w:val="001A1B32"/>
    <w:rsid w:val="001A1B78"/>
    <w:rsid w:val="001A1B85"/>
    <w:rsid w:val="001A1BC7"/>
    <w:rsid w:val="001A1C81"/>
    <w:rsid w:val="001A1D64"/>
    <w:rsid w:val="001A1D65"/>
    <w:rsid w:val="001A1D96"/>
    <w:rsid w:val="001A1DBE"/>
    <w:rsid w:val="001A1E56"/>
    <w:rsid w:val="001A1E6A"/>
    <w:rsid w:val="001A1EBF"/>
    <w:rsid w:val="001A1FA2"/>
    <w:rsid w:val="001A20A1"/>
    <w:rsid w:val="001A20A2"/>
    <w:rsid w:val="001A21FC"/>
    <w:rsid w:val="001A227C"/>
    <w:rsid w:val="001A22CA"/>
    <w:rsid w:val="001A2567"/>
    <w:rsid w:val="001A26C2"/>
    <w:rsid w:val="001A2784"/>
    <w:rsid w:val="001A2996"/>
    <w:rsid w:val="001A2AA6"/>
    <w:rsid w:val="001A2B19"/>
    <w:rsid w:val="001A2C06"/>
    <w:rsid w:val="001A2C12"/>
    <w:rsid w:val="001A2CF0"/>
    <w:rsid w:val="001A2EDC"/>
    <w:rsid w:val="001A2F6B"/>
    <w:rsid w:val="001A2F71"/>
    <w:rsid w:val="001A2FA3"/>
    <w:rsid w:val="001A2FDE"/>
    <w:rsid w:val="001A30B5"/>
    <w:rsid w:val="001A31E5"/>
    <w:rsid w:val="001A32C1"/>
    <w:rsid w:val="001A32F3"/>
    <w:rsid w:val="001A3365"/>
    <w:rsid w:val="001A337A"/>
    <w:rsid w:val="001A3544"/>
    <w:rsid w:val="001A359C"/>
    <w:rsid w:val="001A3672"/>
    <w:rsid w:val="001A36E0"/>
    <w:rsid w:val="001A3718"/>
    <w:rsid w:val="001A37A8"/>
    <w:rsid w:val="001A37C2"/>
    <w:rsid w:val="001A37EE"/>
    <w:rsid w:val="001A3810"/>
    <w:rsid w:val="001A3814"/>
    <w:rsid w:val="001A395D"/>
    <w:rsid w:val="001A3A8B"/>
    <w:rsid w:val="001A3B8F"/>
    <w:rsid w:val="001A3CC5"/>
    <w:rsid w:val="001A3CE9"/>
    <w:rsid w:val="001A3D7A"/>
    <w:rsid w:val="001A3DE2"/>
    <w:rsid w:val="001A3E05"/>
    <w:rsid w:val="001A3E5F"/>
    <w:rsid w:val="001A3E78"/>
    <w:rsid w:val="001A3E89"/>
    <w:rsid w:val="001A3EC7"/>
    <w:rsid w:val="001A3F89"/>
    <w:rsid w:val="001A4092"/>
    <w:rsid w:val="001A416B"/>
    <w:rsid w:val="001A425F"/>
    <w:rsid w:val="001A42AF"/>
    <w:rsid w:val="001A42F3"/>
    <w:rsid w:val="001A4502"/>
    <w:rsid w:val="001A4545"/>
    <w:rsid w:val="001A4580"/>
    <w:rsid w:val="001A46AF"/>
    <w:rsid w:val="001A46CA"/>
    <w:rsid w:val="001A46F6"/>
    <w:rsid w:val="001A4748"/>
    <w:rsid w:val="001A4797"/>
    <w:rsid w:val="001A4919"/>
    <w:rsid w:val="001A491C"/>
    <w:rsid w:val="001A4928"/>
    <w:rsid w:val="001A49F5"/>
    <w:rsid w:val="001A4A21"/>
    <w:rsid w:val="001A4D5C"/>
    <w:rsid w:val="001A5021"/>
    <w:rsid w:val="001A5055"/>
    <w:rsid w:val="001A50D8"/>
    <w:rsid w:val="001A50E5"/>
    <w:rsid w:val="001A51D1"/>
    <w:rsid w:val="001A52AA"/>
    <w:rsid w:val="001A534B"/>
    <w:rsid w:val="001A54A1"/>
    <w:rsid w:val="001A5551"/>
    <w:rsid w:val="001A557F"/>
    <w:rsid w:val="001A562E"/>
    <w:rsid w:val="001A567F"/>
    <w:rsid w:val="001A5754"/>
    <w:rsid w:val="001A5847"/>
    <w:rsid w:val="001A5A8E"/>
    <w:rsid w:val="001A5A9B"/>
    <w:rsid w:val="001A5A9F"/>
    <w:rsid w:val="001A5ADD"/>
    <w:rsid w:val="001A5B16"/>
    <w:rsid w:val="001A5C97"/>
    <w:rsid w:val="001A5CA3"/>
    <w:rsid w:val="001A5DA0"/>
    <w:rsid w:val="001A5F19"/>
    <w:rsid w:val="001A5F1A"/>
    <w:rsid w:val="001A5FCB"/>
    <w:rsid w:val="001A604B"/>
    <w:rsid w:val="001A60EC"/>
    <w:rsid w:val="001A6497"/>
    <w:rsid w:val="001A64F7"/>
    <w:rsid w:val="001A6527"/>
    <w:rsid w:val="001A657D"/>
    <w:rsid w:val="001A657F"/>
    <w:rsid w:val="001A659A"/>
    <w:rsid w:val="001A65C4"/>
    <w:rsid w:val="001A661C"/>
    <w:rsid w:val="001A66D3"/>
    <w:rsid w:val="001A66ED"/>
    <w:rsid w:val="001A68EB"/>
    <w:rsid w:val="001A698D"/>
    <w:rsid w:val="001A6A00"/>
    <w:rsid w:val="001A6A27"/>
    <w:rsid w:val="001A6A63"/>
    <w:rsid w:val="001A6BF7"/>
    <w:rsid w:val="001A6CA1"/>
    <w:rsid w:val="001A6D19"/>
    <w:rsid w:val="001A6D3E"/>
    <w:rsid w:val="001A6D73"/>
    <w:rsid w:val="001A6DC3"/>
    <w:rsid w:val="001A6DCC"/>
    <w:rsid w:val="001A6DF2"/>
    <w:rsid w:val="001A6EC8"/>
    <w:rsid w:val="001A7047"/>
    <w:rsid w:val="001A71DC"/>
    <w:rsid w:val="001A7252"/>
    <w:rsid w:val="001A72CA"/>
    <w:rsid w:val="001A7354"/>
    <w:rsid w:val="001A73E6"/>
    <w:rsid w:val="001A748B"/>
    <w:rsid w:val="001A751E"/>
    <w:rsid w:val="001A752B"/>
    <w:rsid w:val="001A754D"/>
    <w:rsid w:val="001A758F"/>
    <w:rsid w:val="001A767C"/>
    <w:rsid w:val="001A7705"/>
    <w:rsid w:val="001A77A1"/>
    <w:rsid w:val="001A7BD6"/>
    <w:rsid w:val="001A7BFD"/>
    <w:rsid w:val="001A7C42"/>
    <w:rsid w:val="001A7C45"/>
    <w:rsid w:val="001A7D17"/>
    <w:rsid w:val="001A7D3A"/>
    <w:rsid w:val="001A7D64"/>
    <w:rsid w:val="001A7DA1"/>
    <w:rsid w:val="001A7E04"/>
    <w:rsid w:val="001A7E31"/>
    <w:rsid w:val="001A7E3D"/>
    <w:rsid w:val="001A7F60"/>
    <w:rsid w:val="001A7F9C"/>
    <w:rsid w:val="001B007E"/>
    <w:rsid w:val="001B0125"/>
    <w:rsid w:val="001B0154"/>
    <w:rsid w:val="001B01A2"/>
    <w:rsid w:val="001B0318"/>
    <w:rsid w:val="001B035B"/>
    <w:rsid w:val="001B039C"/>
    <w:rsid w:val="001B0419"/>
    <w:rsid w:val="001B041B"/>
    <w:rsid w:val="001B0460"/>
    <w:rsid w:val="001B050C"/>
    <w:rsid w:val="001B0546"/>
    <w:rsid w:val="001B05FF"/>
    <w:rsid w:val="001B06D0"/>
    <w:rsid w:val="001B0839"/>
    <w:rsid w:val="001B088D"/>
    <w:rsid w:val="001B090A"/>
    <w:rsid w:val="001B0A8E"/>
    <w:rsid w:val="001B0BEF"/>
    <w:rsid w:val="001B0C28"/>
    <w:rsid w:val="001B0D3C"/>
    <w:rsid w:val="001B0DBE"/>
    <w:rsid w:val="001B0EA9"/>
    <w:rsid w:val="001B0F5B"/>
    <w:rsid w:val="001B105A"/>
    <w:rsid w:val="001B1065"/>
    <w:rsid w:val="001B1124"/>
    <w:rsid w:val="001B11AE"/>
    <w:rsid w:val="001B11ED"/>
    <w:rsid w:val="001B1304"/>
    <w:rsid w:val="001B1343"/>
    <w:rsid w:val="001B13C0"/>
    <w:rsid w:val="001B14A3"/>
    <w:rsid w:val="001B1560"/>
    <w:rsid w:val="001B164F"/>
    <w:rsid w:val="001B16D8"/>
    <w:rsid w:val="001B17CA"/>
    <w:rsid w:val="001B1A6E"/>
    <w:rsid w:val="001B1A82"/>
    <w:rsid w:val="001B1ABB"/>
    <w:rsid w:val="001B1C42"/>
    <w:rsid w:val="001B1C74"/>
    <w:rsid w:val="001B1D5C"/>
    <w:rsid w:val="001B1FFC"/>
    <w:rsid w:val="001B203E"/>
    <w:rsid w:val="001B204F"/>
    <w:rsid w:val="001B211C"/>
    <w:rsid w:val="001B223C"/>
    <w:rsid w:val="001B2272"/>
    <w:rsid w:val="001B237F"/>
    <w:rsid w:val="001B249C"/>
    <w:rsid w:val="001B24CB"/>
    <w:rsid w:val="001B24D1"/>
    <w:rsid w:val="001B25F7"/>
    <w:rsid w:val="001B25FF"/>
    <w:rsid w:val="001B26C0"/>
    <w:rsid w:val="001B2807"/>
    <w:rsid w:val="001B290D"/>
    <w:rsid w:val="001B2A5D"/>
    <w:rsid w:val="001B2A7C"/>
    <w:rsid w:val="001B2B8F"/>
    <w:rsid w:val="001B2BAF"/>
    <w:rsid w:val="001B2C86"/>
    <w:rsid w:val="001B2D04"/>
    <w:rsid w:val="001B2E56"/>
    <w:rsid w:val="001B2E57"/>
    <w:rsid w:val="001B2EA5"/>
    <w:rsid w:val="001B2EEF"/>
    <w:rsid w:val="001B2F7D"/>
    <w:rsid w:val="001B307B"/>
    <w:rsid w:val="001B31B5"/>
    <w:rsid w:val="001B3306"/>
    <w:rsid w:val="001B33A9"/>
    <w:rsid w:val="001B33B0"/>
    <w:rsid w:val="001B33D7"/>
    <w:rsid w:val="001B33FE"/>
    <w:rsid w:val="001B3513"/>
    <w:rsid w:val="001B366B"/>
    <w:rsid w:val="001B36D4"/>
    <w:rsid w:val="001B3709"/>
    <w:rsid w:val="001B3727"/>
    <w:rsid w:val="001B381F"/>
    <w:rsid w:val="001B38D8"/>
    <w:rsid w:val="001B3974"/>
    <w:rsid w:val="001B3B03"/>
    <w:rsid w:val="001B3B2B"/>
    <w:rsid w:val="001B3B36"/>
    <w:rsid w:val="001B3F7F"/>
    <w:rsid w:val="001B3F90"/>
    <w:rsid w:val="001B40F9"/>
    <w:rsid w:val="001B428A"/>
    <w:rsid w:val="001B43C1"/>
    <w:rsid w:val="001B4466"/>
    <w:rsid w:val="001B44B1"/>
    <w:rsid w:val="001B44CF"/>
    <w:rsid w:val="001B45D7"/>
    <w:rsid w:val="001B4651"/>
    <w:rsid w:val="001B46F6"/>
    <w:rsid w:val="001B4746"/>
    <w:rsid w:val="001B4859"/>
    <w:rsid w:val="001B4A3C"/>
    <w:rsid w:val="001B4A90"/>
    <w:rsid w:val="001B4B2B"/>
    <w:rsid w:val="001B4B77"/>
    <w:rsid w:val="001B4BA4"/>
    <w:rsid w:val="001B4D4D"/>
    <w:rsid w:val="001B4DB7"/>
    <w:rsid w:val="001B4DE4"/>
    <w:rsid w:val="001B4E13"/>
    <w:rsid w:val="001B4E5C"/>
    <w:rsid w:val="001B4E7D"/>
    <w:rsid w:val="001B4F0A"/>
    <w:rsid w:val="001B502E"/>
    <w:rsid w:val="001B518C"/>
    <w:rsid w:val="001B51CA"/>
    <w:rsid w:val="001B538B"/>
    <w:rsid w:val="001B53EA"/>
    <w:rsid w:val="001B53F9"/>
    <w:rsid w:val="001B5467"/>
    <w:rsid w:val="001B546B"/>
    <w:rsid w:val="001B54F2"/>
    <w:rsid w:val="001B5582"/>
    <w:rsid w:val="001B5681"/>
    <w:rsid w:val="001B57A8"/>
    <w:rsid w:val="001B57FC"/>
    <w:rsid w:val="001B581F"/>
    <w:rsid w:val="001B582F"/>
    <w:rsid w:val="001B5894"/>
    <w:rsid w:val="001B58A3"/>
    <w:rsid w:val="001B58A4"/>
    <w:rsid w:val="001B59A4"/>
    <w:rsid w:val="001B5A02"/>
    <w:rsid w:val="001B5A58"/>
    <w:rsid w:val="001B5A91"/>
    <w:rsid w:val="001B5AF1"/>
    <w:rsid w:val="001B5AF6"/>
    <w:rsid w:val="001B5B70"/>
    <w:rsid w:val="001B5BD0"/>
    <w:rsid w:val="001B5C40"/>
    <w:rsid w:val="001B5F4A"/>
    <w:rsid w:val="001B60EA"/>
    <w:rsid w:val="001B60EE"/>
    <w:rsid w:val="001B60FD"/>
    <w:rsid w:val="001B60FE"/>
    <w:rsid w:val="001B60FF"/>
    <w:rsid w:val="001B610B"/>
    <w:rsid w:val="001B61DB"/>
    <w:rsid w:val="001B6260"/>
    <w:rsid w:val="001B62A4"/>
    <w:rsid w:val="001B6358"/>
    <w:rsid w:val="001B6388"/>
    <w:rsid w:val="001B638C"/>
    <w:rsid w:val="001B66C6"/>
    <w:rsid w:val="001B6750"/>
    <w:rsid w:val="001B677D"/>
    <w:rsid w:val="001B67A1"/>
    <w:rsid w:val="001B6888"/>
    <w:rsid w:val="001B68C5"/>
    <w:rsid w:val="001B6A4F"/>
    <w:rsid w:val="001B6A7E"/>
    <w:rsid w:val="001B6B70"/>
    <w:rsid w:val="001B6E3E"/>
    <w:rsid w:val="001B6FF0"/>
    <w:rsid w:val="001B7160"/>
    <w:rsid w:val="001B717B"/>
    <w:rsid w:val="001B71FF"/>
    <w:rsid w:val="001B7209"/>
    <w:rsid w:val="001B72F4"/>
    <w:rsid w:val="001B7308"/>
    <w:rsid w:val="001B761B"/>
    <w:rsid w:val="001B7642"/>
    <w:rsid w:val="001B76D7"/>
    <w:rsid w:val="001B772F"/>
    <w:rsid w:val="001B77F3"/>
    <w:rsid w:val="001B7883"/>
    <w:rsid w:val="001B7AA5"/>
    <w:rsid w:val="001B7AB0"/>
    <w:rsid w:val="001B7B15"/>
    <w:rsid w:val="001B7BD5"/>
    <w:rsid w:val="001B7BEB"/>
    <w:rsid w:val="001B7C5D"/>
    <w:rsid w:val="001B7C6C"/>
    <w:rsid w:val="001B7ED7"/>
    <w:rsid w:val="001B7F1A"/>
    <w:rsid w:val="001B7FAC"/>
    <w:rsid w:val="001B7FC9"/>
    <w:rsid w:val="001C009D"/>
    <w:rsid w:val="001C0224"/>
    <w:rsid w:val="001C0286"/>
    <w:rsid w:val="001C034E"/>
    <w:rsid w:val="001C042F"/>
    <w:rsid w:val="001C04C7"/>
    <w:rsid w:val="001C05CE"/>
    <w:rsid w:val="001C06FA"/>
    <w:rsid w:val="001C0742"/>
    <w:rsid w:val="001C0754"/>
    <w:rsid w:val="001C0794"/>
    <w:rsid w:val="001C0844"/>
    <w:rsid w:val="001C085D"/>
    <w:rsid w:val="001C097B"/>
    <w:rsid w:val="001C0995"/>
    <w:rsid w:val="001C0B4F"/>
    <w:rsid w:val="001C0D5A"/>
    <w:rsid w:val="001C0DD0"/>
    <w:rsid w:val="001C0F40"/>
    <w:rsid w:val="001C1250"/>
    <w:rsid w:val="001C1293"/>
    <w:rsid w:val="001C135E"/>
    <w:rsid w:val="001C1365"/>
    <w:rsid w:val="001C1382"/>
    <w:rsid w:val="001C14BF"/>
    <w:rsid w:val="001C14C6"/>
    <w:rsid w:val="001C15E6"/>
    <w:rsid w:val="001C1609"/>
    <w:rsid w:val="001C162B"/>
    <w:rsid w:val="001C163C"/>
    <w:rsid w:val="001C16DB"/>
    <w:rsid w:val="001C17E0"/>
    <w:rsid w:val="001C193E"/>
    <w:rsid w:val="001C1946"/>
    <w:rsid w:val="001C1B99"/>
    <w:rsid w:val="001C1BA3"/>
    <w:rsid w:val="001C1E2C"/>
    <w:rsid w:val="001C1E61"/>
    <w:rsid w:val="001C1FE6"/>
    <w:rsid w:val="001C208C"/>
    <w:rsid w:val="001C20B3"/>
    <w:rsid w:val="001C2115"/>
    <w:rsid w:val="001C2143"/>
    <w:rsid w:val="001C2190"/>
    <w:rsid w:val="001C21CE"/>
    <w:rsid w:val="001C229D"/>
    <w:rsid w:val="001C22E4"/>
    <w:rsid w:val="001C24B2"/>
    <w:rsid w:val="001C254A"/>
    <w:rsid w:val="001C254B"/>
    <w:rsid w:val="001C2589"/>
    <w:rsid w:val="001C25AD"/>
    <w:rsid w:val="001C25FC"/>
    <w:rsid w:val="001C26D0"/>
    <w:rsid w:val="001C2780"/>
    <w:rsid w:val="001C27D8"/>
    <w:rsid w:val="001C2A4A"/>
    <w:rsid w:val="001C2AD9"/>
    <w:rsid w:val="001C2B9A"/>
    <w:rsid w:val="001C2C32"/>
    <w:rsid w:val="001C2C3C"/>
    <w:rsid w:val="001C2CBA"/>
    <w:rsid w:val="001C2CEE"/>
    <w:rsid w:val="001C2D3D"/>
    <w:rsid w:val="001C2E66"/>
    <w:rsid w:val="001C2F29"/>
    <w:rsid w:val="001C2F39"/>
    <w:rsid w:val="001C2F88"/>
    <w:rsid w:val="001C2FA7"/>
    <w:rsid w:val="001C2FD9"/>
    <w:rsid w:val="001C2FE1"/>
    <w:rsid w:val="001C314C"/>
    <w:rsid w:val="001C31E3"/>
    <w:rsid w:val="001C32AD"/>
    <w:rsid w:val="001C33F1"/>
    <w:rsid w:val="001C3410"/>
    <w:rsid w:val="001C34F1"/>
    <w:rsid w:val="001C3532"/>
    <w:rsid w:val="001C3632"/>
    <w:rsid w:val="001C37B1"/>
    <w:rsid w:val="001C3840"/>
    <w:rsid w:val="001C38D7"/>
    <w:rsid w:val="001C3A68"/>
    <w:rsid w:val="001C3ADC"/>
    <w:rsid w:val="001C3B61"/>
    <w:rsid w:val="001C3C4A"/>
    <w:rsid w:val="001C3EC5"/>
    <w:rsid w:val="001C3F1E"/>
    <w:rsid w:val="001C3FDE"/>
    <w:rsid w:val="001C4033"/>
    <w:rsid w:val="001C4126"/>
    <w:rsid w:val="001C42C1"/>
    <w:rsid w:val="001C42E1"/>
    <w:rsid w:val="001C42E5"/>
    <w:rsid w:val="001C433D"/>
    <w:rsid w:val="001C438F"/>
    <w:rsid w:val="001C444A"/>
    <w:rsid w:val="001C4461"/>
    <w:rsid w:val="001C47B2"/>
    <w:rsid w:val="001C4A80"/>
    <w:rsid w:val="001C4A9F"/>
    <w:rsid w:val="001C4AF9"/>
    <w:rsid w:val="001C4B7E"/>
    <w:rsid w:val="001C4B81"/>
    <w:rsid w:val="001C4B92"/>
    <w:rsid w:val="001C4C21"/>
    <w:rsid w:val="001C4C59"/>
    <w:rsid w:val="001C4CA6"/>
    <w:rsid w:val="001C4CBD"/>
    <w:rsid w:val="001C4D22"/>
    <w:rsid w:val="001C4D28"/>
    <w:rsid w:val="001C4D7F"/>
    <w:rsid w:val="001C4D83"/>
    <w:rsid w:val="001C4DC0"/>
    <w:rsid w:val="001C4F32"/>
    <w:rsid w:val="001C4F55"/>
    <w:rsid w:val="001C4FAB"/>
    <w:rsid w:val="001C51A5"/>
    <w:rsid w:val="001C51E5"/>
    <w:rsid w:val="001C527F"/>
    <w:rsid w:val="001C529A"/>
    <w:rsid w:val="001C5351"/>
    <w:rsid w:val="001C53D2"/>
    <w:rsid w:val="001C540E"/>
    <w:rsid w:val="001C557F"/>
    <w:rsid w:val="001C5583"/>
    <w:rsid w:val="001C569A"/>
    <w:rsid w:val="001C56C9"/>
    <w:rsid w:val="001C576A"/>
    <w:rsid w:val="001C57A9"/>
    <w:rsid w:val="001C589A"/>
    <w:rsid w:val="001C59AE"/>
    <w:rsid w:val="001C5A05"/>
    <w:rsid w:val="001C5B47"/>
    <w:rsid w:val="001C5CB6"/>
    <w:rsid w:val="001C5D69"/>
    <w:rsid w:val="001C5E0D"/>
    <w:rsid w:val="001C5E1B"/>
    <w:rsid w:val="001C5F01"/>
    <w:rsid w:val="001C5F49"/>
    <w:rsid w:val="001C5FA8"/>
    <w:rsid w:val="001C61D8"/>
    <w:rsid w:val="001C63A1"/>
    <w:rsid w:val="001C6407"/>
    <w:rsid w:val="001C6638"/>
    <w:rsid w:val="001C6644"/>
    <w:rsid w:val="001C668E"/>
    <w:rsid w:val="001C6852"/>
    <w:rsid w:val="001C6885"/>
    <w:rsid w:val="001C68A5"/>
    <w:rsid w:val="001C69BD"/>
    <w:rsid w:val="001C6B47"/>
    <w:rsid w:val="001C6C72"/>
    <w:rsid w:val="001C6D28"/>
    <w:rsid w:val="001C6E7D"/>
    <w:rsid w:val="001C6EBC"/>
    <w:rsid w:val="001C6EED"/>
    <w:rsid w:val="001C6EF0"/>
    <w:rsid w:val="001C6EF5"/>
    <w:rsid w:val="001C6FA9"/>
    <w:rsid w:val="001C7075"/>
    <w:rsid w:val="001C71FD"/>
    <w:rsid w:val="001C722B"/>
    <w:rsid w:val="001C7265"/>
    <w:rsid w:val="001C7333"/>
    <w:rsid w:val="001C7343"/>
    <w:rsid w:val="001C7365"/>
    <w:rsid w:val="001C73BC"/>
    <w:rsid w:val="001C7499"/>
    <w:rsid w:val="001C7500"/>
    <w:rsid w:val="001C752C"/>
    <w:rsid w:val="001C75BE"/>
    <w:rsid w:val="001C76E0"/>
    <w:rsid w:val="001C7762"/>
    <w:rsid w:val="001C77F5"/>
    <w:rsid w:val="001C78CF"/>
    <w:rsid w:val="001C793A"/>
    <w:rsid w:val="001C7968"/>
    <w:rsid w:val="001C79DC"/>
    <w:rsid w:val="001C7C78"/>
    <w:rsid w:val="001C7DEF"/>
    <w:rsid w:val="001C7E58"/>
    <w:rsid w:val="001D000E"/>
    <w:rsid w:val="001D0025"/>
    <w:rsid w:val="001D006E"/>
    <w:rsid w:val="001D0164"/>
    <w:rsid w:val="001D0284"/>
    <w:rsid w:val="001D02D8"/>
    <w:rsid w:val="001D031D"/>
    <w:rsid w:val="001D0389"/>
    <w:rsid w:val="001D03E6"/>
    <w:rsid w:val="001D0465"/>
    <w:rsid w:val="001D0553"/>
    <w:rsid w:val="001D0580"/>
    <w:rsid w:val="001D059E"/>
    <w:rsid w:val="001D05E7"/>
    <w:rsid w:val="001D066A"/>
    <w:rsid w:val="001D0787"/>
    <w:rsid w:val="001D0794"/>
    <w:rsid w:val="001D07A5"/>
    <w:rsid w:val="001D0B07"/>
    <w:rsid w:val="001D0B0E"/>
    <w:rsid w:val="001D0D1A"/>
    <w:rsid w:val="001D0D22"/>
    <w:rsid w:val="001D0D30"/>
    <w:rsid w:val="001D0D59"/>
    <w:rsid w:val="001D0D5C"/>
    <w:rsid w:val="001D0DA4"/>
    <w:rsid w:val="001D0E47"/>
    <w:rsid w:val="001D0E9C"/>
    <w:rsid w:val="001D1131"/>
    <w:rsid w:val="001D1258"/>
    <w:rsid w:val="001D129E"/>
    <w:rsid w:val="001D12AA"/>
    <w:rsid w:val="001D12E6"/>
    <w:rsid w:val="001D13D6"/>
    <w:rsid w:val="001D14D2"/>
    <w:rsid w:val="001D15AF"/>
    <w:rsid w:val="001D175C"/>
    <w:rsid w:val="001D17AB"/>
    <w:rsid w:val="001D1A53"/>
    <w:rsid w:val="001D1A99"/>
    <w:rsid w:val="001D1AF8"/>
    <w:rsid w:val="001D1B66"/>
    <w:rsid w:val="001D1BFB"/>
    <w:rsid w:val="001D1BFC"/>
    <w:rsid w:val="001D1C44"/>
    <w:rsid w:val="001D1CE4"/>
    <w:rsid w:val="001D1D7A"/>
    <w:rsid w:val="001D1E58"/>
    <w:rsid w:val="001D1F04"/>
    <w:rsid w:val="001D1F6C"/>
    <w:rsid w:val="001D1F7F"/>
    <w:rsid w:val="001D206D"/>
    <w:rsid w:val="001D206E"/>
    <w:rsid w:val="001D20C4"/>
    <w:rsid w:val="001D2162"/>
    <w:rsid w:val="001D229A"/>
    <w:rsid w:val="001D22F0"/>
    <w:rsid w:val="001D2533"/>
    <w:rsid w:val="001D2659"/>
    <w:rsid w:val="001D2669"/>
    <w:rsid w:val="001D2735"/>
    <w:rsid w:val="001D2809"/>
    <w:rsid w:val="001D2822"/>
    <w:rsid w:val="001D2876"/>
    <w:rsid w:val="001D297C"/>
    <w:rsid w:val="001D2A2E"/>
    <w:rsid w:val="001D2A3F"/>
    <w:rsid w:val="001D2B4D"/>
    <w:rsid w:val="001D2B5D"/>
    <w:rsid w:val="001D2BED"/>
    <w:rsid w:val="001D2C11"/>
    <w:rsid w:val="001D2CCD"/>
    <w:rsid w:val="001D2E8C"/>
    <w:rsid w:val="001D2EE1"/>
    <w:rsid w:val="001D2EF1"/>
    <w:rsid w:val="001D2F0C"/>
    <w:rsid w:val="001D2F48"/>
    <w:rsid w:val="001D2F58"/>
    <w:rsid w:val="001D2F97"/>
    <w:rsid w:val="001D2FB7"/>
    <w:rsid w:val="001D3120"/>
    <w:rsid w:val="001D314C"/>
    <w:rsid w:val="001D32AD"/>
    <w:rsid w:val="001D3316"/>
    <w:rsid w:val="001D3354"/>
    <w:rsid w:val="001D3358"/>
    <w:rsid w:val="001D3394"/>
    <w:rsid w:val="001D33C3"/>
    <w:rsid w:val="001D33EF"/>
    <w:rsid w:val="001D3410"/>
    <w:rsid w:val="001D358D"/>
    <w:rsid w:val="001D362A"/>
    <w:rsid w:val="001D3783"/>
    <w:rsid w:val="001D37F3"/>
    <w:rsid w:val="001D381C"/>
    <w:rsid w:val="001D3937"/>
    <w:rsid w:val="001D39C1"/>
    <w:rsid w:val="001D3ADC"/>
    <w:rsid w:val="001D3AFA"/>
    <w:rsid w:val="001D3B33"/>
    <w:rsid w:val="001D3B5B"/>
    <w:rsid w:val="001D3BD0"/>
    <w:rsid w:val="001D3BF0"/>
    <w:rsid w:val="001D3C74"/>
    <w:rsid w:val="001D3CF4"/>
    <w:rsid w:val="001D40DA"/>
    <w:rsid w:val="001D41F2"/>
    <w:rsid w:val="001D42C3"/>
    <w:rsid w:val="001D42D3"/>
    <w:rsid w:val="001D43AB"/>
    <w:rsid w:val="001D43EB"/>
    <w:rsid w:val="001D4408"/>
    <w:rsid w:val="001D4427"/>
    <w:rsid w:val="001D4434"/>
    <w:rsid w:val="001D44C8"/>
    <w:rsid w:val="001D45B5"/>
    <w:rsid w:val="001D45C1"/>
    <w:rsid w:val="001D45CC"/>
    <w:rsid w:val="001D45FD"/>
    <w:rsid w:val="001D466B"/>
    <w:rsid w:val="001D4745"/>
    <w:rsid w:val="001D47A0"/>
    <w:rsid w:val="001D49A5"/>
    <w:rsid w:val="001D49EE"/>
    <w:rsid w:val="001D4A74"/>
    <w:rsid w:val="001D4A7A"/>
    <w:rsid w:val="001D4B89"/>
    <w:rsid w:val="001D4C38"/>
    <w:rsid w:val="001D4D9E"/>
    <w:rsid w:val="001D4DD8"/>
    <w:rsid w:val="001D4E2C"/>
    <w:rsid w:val="001D4E76"/>
    <w:rsid w:val="001D4F11"/>
    <w:rsid w:val="001D4F27"/>
    <w:rsid w:val="001D4F97"/>
    <w:rsid w:val="001D501F"/>
    <w:rsid w:val="001D509A"/>
    <w:rsid w:val="001D50D8"/>
    <w:rsid w:val="001D5117"/>
    <w:rsid w:val="001D512C"/>
    <w:rsid w:val="001D5339"/>
    <w:rsid w:val="001D5403"/>
    <w:rsid w:val="001D543D"/>
    <w:rsid w:val="001D54D6"/>
    <w:rsid w:val="001D550E"/>
    <w:rsid w:val="001D5522"/>
    <w:rsid w:val="001D554A"/>
    <w:rsid w:val="001D5736"/>
    <w:rsid w:val="001D57C9"/>
    <w:rsid w:val="001D57E6"/>
    <w:rsid w:val="001D5853"/>
    <w:rsid w:val="001D58CB"/>
    <w:rsid w:val="001D593D"/>
    <w:rsid w:val="001D598E"/>
    <w:rsid w:val="001D59B5"/>
    <w:rsid w:val="001D59F6"/>
    <w:rsid w:val="001D5A9E"/>
    <w:rsid w:val="001D5AEF"/>
    <w:rsid w:val="001D5B1E"/>
    <w:rsid w:val="001D5BB6"/>
    <w:rsid w:val="001D5DBB"/>
    <w:rsid w:val="001D5E73"/>
    <w:rsid w:val="001D5E8B"/>
    <w:rsid w:val="001D5EB5"/>
    <w:rsid w:val="001D5F6F"/>
    <w:rsid w:val="001D605B"/>
    <w:rsid w:val="001D6143"/>
    <w:rsid w:val="001D6149"/>
    <w:rsid w:val="001D6161"/>
    <w:rsid w:val="001D62AF"/>
    <w:rsid w:val="001D62EB"/>
    <w:rsid w:val="001D636A"/>
    <w:rsid w:val="001D639A"/>
    <w:rsid w:val="001D64C3"/>
    <w:rsid w:val="001D6500"/>
    <w:rsid w:val="001D6580"/>
    <w:rsid w:val="001D661D"/>
    <w:rsid w:val="001D6620"/>
    <w:rsid w:val="001D66FA"/>
    <w:rsid w:val="001D6734"/>
    <w:rsid w:val="001D684B"/>
    <w:rsid w:val="001D68D5"/>
    <w:rsid w:val="001D698D"/>
    <w:rsid w:val="001D6A5B"/>
    <w:rsid w:val="001D6B4B"/>
    <w:rsid w:val="001D6B5A"/>
    <w:rsid w:val="001D6C71"/>
    <w:rsid w:val="001D6CC2"/>
    <w:rsid w:val="001D6D0A"/>
    <w:rsid w:val="001D6D99"/>
    <w:rsid w:val="001D6E5D"/>
    <w:rsid w:val="001D6E7C"/>
    <w:rsid w:val="001D6F33"/>
    <w:rsid w:val="001D6F48"/>
    <w:rsid w:val="001D708D"/>
    <w:rsid w:val="001D7114"/>
    <w:rsid w:val="001D7130"/>
    <w:rsid w:val="001D7152"/>
    <w:rsid w:val="001D716B"/>
    <w:rsid w:val="001D717C"/>
    <w:rsid w:val="001D719D"/>
    <w:rsid w:val="001D7273"/>
    <w:rsid w:val="001D73C0"/>
    <w:rsid w:val="001D743C"/>
    <w:rsid w:val="001D7601"/>
    <w:rsid w:val="001D76E4"/>
    <w:rsid w:val="001D76F2"/>
    <w:rsid w:val="001D7A55"/>
    <w:rsid w:val="001D7AFC"/>
    <w:rsid w:val="001D7C7E"/>
    <w:rsid w:val="001D7CED"/>
    <w:rsid w:val="001D7D72"/>
    <w:rsid w:val="001D7D85"/>
    <w:rsid w:val="001D7E96"/>
    <w:rsid w:val="001E004A"/>
    <w:rsid w:val="001E00C5"/>
    <w:rsid w:val="001E00D2"/>
    <w:rsid w:val="001E0212"/>
    <w:rsid w:val="001E02BF"/>
    <w:rsid w:val="001E0372"/>
    <w:rsid w:val="001E03BB"/>
    <w:rsid w:val="001E03ED"/>
    <w:rsid w:val="001E0595"/>
    <w:rsid w:val="001E05D7"/>
    <w:rsid w:val="001E0703"/>
    <w:rsid w:val="001E0728"/>
    <w:rsid w:val="001E073E"/>
    <w:rsid w:val="001E07F6"/>
    <w:rsid w:val="001E084C"/>
    <w:rsid w:val="001E0876"/>
    <w:rsid w:val="001E093A"/>
    <w:rsid w:val="001E09CB"/>
    <w:rsid w:val="001E0A8A"/>
    <w:rsid w:val="001E0B14"/>
    <w:rsid w:val="001E0B5C"/>
    <w:rsid w:val="001E0DB9"/>
    <w:rsid w:val="001E0E87"/>
    <w:rsid w:val="001E0EA9"/>
    <w:rsid w:val="001E0F1E"/>
    <w:rsid w:val="001E10A7"/>
    <w:rsid w:val="001E1145"/>
    <w:rsid w:val="001E1164"/>
    <w:rsid w:val="001E124B"/>
    <w:rsid w:val="001E12CF"/>
    <w:rsid w:val="001E1302"/>
    <w:rsid w:val="001E131A"/>
    <w:rsid w:val="001E1355"/>
    <w:rsid w:val="001E13E4"/>
    <w:rsid w:val="001E155D"/>
    <w:rsid w:val="001E1616"/>
    <w:rsid w:val="001E163E"/>
    <w:rsid w:val="001E1688"/>
    <w:rsid w:val="001E16AE"/>
    <w:rsid w:val="001E17F9"/>
    <w:rsid w:val="001E1835"/>
    <w:rsid w:val="001E19B3"/>
    <w:rsid w:val="001E1C96"/>
    <w:rsid w:val="001E1E35"/>
    <w:rsid w:val="001E1E5B"/>
    <w:rsid w:val="001E1EBF"/>
    <w:rsid w:val="001E1EF0"/>
    <w:rsid w:val="001E1EF2"/>
    <w:rsid w:val="001E1F73"/>
    <w:rsid w:val="001E2169"/>
    <w:rsid w:val="001E2197"/>
    <w:rsid w:val="001E21A0"/>
    <w:rsid w:val="001E21A1"/>
    <w:rsid w:val="001E23DF"/>
    <w:rsid w:val="001E2624"/>
    <w:rsid w:val="001E2747"/>
    <w:rsid w:val="001E28F2"/>
    <w:rsid w:val="001E29B1"/>
    <w:rsid w:val="001E2B02"/>
    <w:rsid w:val="001E2C64"/>
    <w:rsid w:val="001E2CE3"/>
    <w:rsid w:val="001E2D55"/>
    <w:rsid w:val="001E2D92"/>
    <w:rsid w:val="001E2E39"/>
    <w:rsid w:val="001E2E85"/>
    <w:rsid w:val="001E2F2D"/>
    <w:rsid w:val="001E3018"/>
    <w:rsid w:val="001E3090"/>
    <w:rsid w:val="001E3144"/>
    <w:rsid w:val="001E3567"/>
    <w:rsid w:val="001E371E"/>
    <w:rsid w:val="001E375A"/>
    <w:rsid w:val="001E377F"/>
    <w:rsid w:val="001E37CC"/>
    <w:rsid w:val="001E38E9"/>
    <w:rsid w:val="001E398B"/>
    <w:rsid w:val="001E39A1"/>
    <w:rsid w:val="001E3A62"/>
    <w:rsid w:val="001E3A6A"/>
    <w:rsid w:val="001E3A96"/>
    <w:rsid w:val="001E3AFD"/>
    <w:rsid w:val="001E3B23"/>
    <w:rsid w:val="001E3B62"/>
    <w:rsid w:val="001E3C2C"/>
    <w:rsid w:val="001E3C2F"/>
    <w:rsid w:val="001E3CED"/>
    <w:rsid w:val="001E3E69"/>
    <w:rsid w:val="001E3E6A"/>
    <w:rsid w:val="001E3E6C"/>
    <w:rsid w:val="001E3ED4"/>
    <w:rsid w:val="001E3EEE"/>
    <w:rsid w:val="001E3EF0"/>
    <w:rsid w:val="001E4127"/>
    <w:rsid w:val="001E41C3"/>
    <w:rsid w:val="001E430F"/>
    <w:rsid w:val="001E4527"/>
    <w:rsid w:val="001E4721"/>
    <w:rsid w:val="001E47D8"/>
    <w:rsid w:val="001E47D9"/>
    <w:rsid w:val="001E4AC2"/>
    <w:rsid w:val="001E4B7A"/>
    <w:rsid w:val="001E4BB2"/>
    <w:rsid w:val="001E4C6C"/>
    <w:rsid w:val="001E4EE4"/>
    <w:rsid w:val="001E4EF0"/>
    <w:rsid w:val="001E4F49"/>
    <w:rsid w:val="001E4F93"/>
    <w:rsid w:val="001E4FD7"/>
    <w:rsid w:val="001E50FF"/>
    <w:rsid w:val="001E53DE"/>
    <w:rsid w:val="001E55F0"/>
    <w:rsid w:val="001E57FC"/>
    <w:rsid w:val="001E583B"/>
    <w:rsid w:val="001E5844"/>
    <w:rsid w:val="001E5864"/>
    <w:rsid w:val="001E59A4"/>
    <w:rsid w:val="001E5B1C"/>
    <w:rsid w:val="001E5B64"/>
    <w:rsid w:val="001E5BA3"/>
    <w:rsid w:val="001E5BBF"/>
    <w:rsid w:val="001E5C79"/>
    <w:rsid w:val="001E5D2C"/>
    <w:rsid w:val="001E5D4C"/>
    <w:rsid w:val="001E5D7C"/>
    <w:rsid w:val="001E5D90"/>
    <w:rsid w:val="001E5DC1"/>
    <w:rsid w:val="001E5DE5"/>
    <w:rsid w:val="001E5EDF"/>
    <w:rsid w:val="001E5F65"/>
    <w:rsid w:val="001E5F73"/>
    <w:rsid w:val="001E5FEC"/>
    <w:rsid w:val="001E6015"/>
    <w:rsid w:val="001E605A"/>
    <w:rsid w:val="001E6068"/>
    <w:rsid w:val="001E60AE"/>
    <w:rsid w:val="001E6182"/>
    <w:rsid w:val="001E61AA"/>
    <w:rsid w:val="001E61D9"/>
    <w:rsid w:val="001E61E6"/>
    <w:rsid w:val="001E6242"/>
    <w:rsid w:val="001E63E4"/>
    <w:rsid w:val="001E6630"/>
    <w:rsid w:val="001E66DA"/>
    <w:rsid w:val="001E67F9"/>
    <w:rsid w:val="001E687E"/>
    <w:rsid w:val="001E6916"/>
    <w:rsid w:val="001E6919"/>
    <w:rsid w:val="001E6A39"/>
    <w:rsid w:val="001E6A9C"/>
    <w:rsid w:val="001E6C23"/>
    <w:rsid w:val="001E6D03"/>
    <w:rsid w:val="001E6D33"/>
    <w:rsid w:val="001E6D90"/>
    <w:rsid w:val="001E6DBE"/>
    <w:rsid w:val="001E6DFE"/>
    <w:rsid w:val="001E6E4E"/>
    <w:rsid w:val="001E6E65"/>
    <w:rsid w:val="001E6E81"/>
    <w:rsid w:val="001E6EFA"/>
    <w:rsid w:val="001E6F62"/>
    <w:rsid w:val="001E6FA8"/>
    <w:rsid w:val="001E6FFC"/>
    <w:rsid w:val="001E70DD"/>
    <w:rsid w:val="001E7364"/>
    <w:rsid w:val="001E7366"/>
    <w:rsid w:val="001E73E5"/>
    <w:rsid w:val="001E73E7"/>
    <w:rsid w:val="001E7598"/>
    <w:rsid w:val="001E7655"/>
    <w:rsid w:val="001E78AB"/>
    <w:rsid w:val="001E7917"/>
    <w:rsid w:val="001E79DA"/>
    <w:rsid w:val="001E7B7B"/>
    <w:rsid w:val="001E7B94"/>
    <w:rsid w:val="001E7D9D"/>
    <w:rsid w:val="001E7DC9"/>
    <w:rsid w:val="001F0035"/>
    <w:rsid w:val="001F0096"/>
    <w:rsid w:val="001F00AB"/>
    <w:rsid w:val="001F0105"/>
    <w:rsid w:val="001F0113"/>
    <w:rsid w:val="001F01A4"/>
    <w:rsid w:val="001F02BF"/>
    <w:rsid w:val="001F05BE"/>
    <w:rsid w:val="001F060B"/>
    <w:rsid w:val="001F06C2"/>
    <w:rsid w:val="001F07DD"/>
    <w:rsid w:val="001F088D"/>
    <w:rsid w:val="001F09B4"/>
    <w:rsid w:val="001F0AB4"/>
    <w:rsid w:val="001F0AD3"/>
    <w:rsid w:val="001F0B3B"/>
    <w:rsid w:val="001F0BAB"/>
    <w:rsid w:val="001F0C3C"/>
    <w:rsid w:val="001F0CCC"/>
    <w:rsid w:val="001F0CF1"/>
    <w:rsid w:val="001F0D12"/>
    <w:rsid w:val="001F0D15"/>
    <w:rsid w:val="001F0DFA"/>
    <w:rsid w:val="001F0E9F"/>
    <w:rsid w:val="001F0EAF"/>
    <w:rsid w:val="001F0F6C"/>
    <w:rsid w:val="001F0FC8"/>
    <w:rsid w:val="001F0FE0"/>
    <w:rsid w:val="001F1059"/>
    <w:rsid w:val="001F10B9"/>
    <w:rsid w:val="001F11C8"/>
    <w:rsid w:val="001F130D"/>
    <w:rsid w:val="001F144C"/>
    <w:rsid w:val="001F1510"/>
    <w:rsid w:val="001F15B0"/>
    <w:rsid w:val="001F169C"/>
    <w:rsid w:val="001F16A3"/>
    <w:rsid w:val="001F16F1"/>
    <w:rsid w:val="001F1772"/>
    <w:rsid w:val="001F1796"/>
    <w:rsid w:val="001F179A"/>
    <w:rsid w:val="001F1817"/>
    <w:rsid w:val="001F18D9"/>
    <w:rsid w:val="001F1975"/>
    <w:rsid w:val="001F1993"/>
    <w:rsid w:val="001F19F6"/>
    <w:rsid w:val="001F1A88"/>
    <w:rsid w:val="001F1C86"/>
    <w:rsid w:val="001F1CDD"/>
    <w:rsid w:val="001F1E83"/>
    <w:rsid w:val="001F1F3A"/>
    <w:rsid w:val="001F1FB8"/>
    <w:rsid w:val="001F2132"/>
    <w:rsid w:val="001F2170"/>
    <w:rsid w:val="001F2346"/>
    <w:rsid w:val="001F234F"/>
    <w:rsid w:val="001F237C"/>
    <w:rsid w:val="001F23A9"/>
    <w:rsid w:val="001F23E3"/>
    <w:rsid w:val="001F242C"/>
    <w:rsid w:val="001F24E2"/>
    <w:rsid w:val="001F2500"/>
    <w:rsid w:val="001F2530"/>
    <w:rsid w:val="001F253B"/>
    <w:rsid w:val="001F26F0"/>
    <w:rsid w:val="001F27BF"/>
    <w:rsid w:val="001F27F8"/>
    <w:rsid w:val="001F29D5"/>
    <w:rsid w:val="001F2A3E"/>
    <w:rsid w:val="001F2A49"/>
    <w:rsid w:val="001F2B64"/>
    <w:rsid w:val="001F2BB1"/>
    <w:rsid w:val="001F2C49"/>
    <w:rsid w:val="001F2C6F"/>
    <w:rsid w:val="001F2C9A"/>
    <w:rsid w:val="001F2CD0"/>
    <w:rsid w:val="001F2D4B"/>
    <w:rsid w:val="001F2DE5"/>
    <w:rsid w:val="001F2E01"/>
    <w:rsid w:val="001F2E15"/>
    <w:rsid w:val="001F2E8E"/>
    <w:rsid w:val="001F2EB9"/>
    <w:rsid w:val="001F2F68"/>
    <w:rsid w:val="001F305F"/>
    <w:rsid w:val="001F31A0"/>
    <w:rsid w:val="001F31AA"/>
    <w:rsid w:val="001F31B1"/>
    <w:rsid w:val="001F31C0"/>
    <w:rsid w:val="001F31F3"/>
    <w:rsid w:val="001F32BC"/>
    <w:rsid w:val="001F32D5"/>
    <w:rsid w:val="001F3362"/>
    <w:rsid w:val="001F341D"/>
    <w:rsid w:val="001F34B3"/>
    <w:rsid w:val="001F35D8"/>
    <w:rsid w:val="001F3665"/>
    <w:rsid w:val="001F366C"/>
    <w:rsid w:val="001F3693"/>
    <w:rsid w:val="001F378D"/>
    <w:rsid w:val="001F38F0"/>
    <w:rsid w:val="001F39DA"/>
    <w:rsid w:val="001F39FE"/>
    <w:rsid w:val="001F3A60"/>
    <w:rsid w:val="001F3A62"/>
    <w:rsid w:val="001F3A6A"/>
    <w:rsid w:val="001F3B05"/>
    <w:rsid w:val="001F3B3A"/>
    <w:rsid w:val="001F3B51"/>
    <w:rsid w:val="001F3C2D"/>
    <w:rsid w:val="001F3CD1"/>
    <w:rsid w:val="001F3CD4"/>
    <w:rsid w:val="001F3D5C"/>
    <w:rsid w:val="001F3DF8"/>
    <w:rsid w:val="001F3E7D"/>
    <w:rsid w:val="001F3EFF"/>
    <w:rsid w:val="001F3F97"/>
    <w:rsid w:val="001F40E7"/>
    <w:rsid w:val="001F41CB"/>
    <w:rsid w:val="001F41E3"/>
    <w:rsid w:val="001F41E9"/>
    <w:rsid w:val="001F421C"/>
    <w:rsid w:val="001F4232"/>
    <w:rsid w:val="001F4243"/>
    <w:rsid w:val="001F4253"/>
    <w:rsid w:val="001F4278"/>
    <w:rsid w:val="001F4297"/>
    <w:rsid w:val="001F42E0"/>
    <w:rsid w:val="001F439C"/>
    <w:rsid w:val="001F43D0"/>
    <w:rsid w:val="001F43DA"/>
    <w:rsid w:val="001F43FE"/>
    <w:rsid w:val="001F4418"/>
    <w:rsid w:val="001F4533"/>
    <w:rsid w:val="001F45DB"/>
    <w:rsid w:val="001F45F4"/>
    <w:rsid w:val="001F4681"/>
    <w:rsid w:val="001F46CF"/>
    <w:rsid w:val="001F4773"/>
    <w:rsid w:val="001F478C"/>
    <w:rsid w:val="001F4797"/>
    <w:rsid w:val="001F47B0"/>
    <w:rsid w:val="001F489E"/>
    <w:rsid w:val="001F49E7"/>
    <w:rsid w:val="001F4B95"/>
    <w:rsid w:val="001F4BB2"/>
    <w:rsid w:val="001F4C1B"/>
    <w:rsid w:val="001F4D48"/>
    <w:rsid w:val="001F4DE2"/>
    <w:rsid w:val="001F4E24"/>
    <w:rsid w:val="001F4E83"/>
    <w:rsid w:val="001F4F4D"/>
    <w:rsid w:val="001F5005"/>
    <w:rsid w:val="001F50BE"/>
    <w:rsid w:val="001F5391"/>
    <w:rsid w:val="001F5572"/>
    <w:rsid w:val="001F557A"/>
    <w:rsid w:val="001F570F"/>
    <w:rsid w:val="001F580D"/>
    <w:rsid w:val="001F5952"/>
    <w:rsid w:val="001F5A37"/>
    <w:rsid w:val="001F5AA9"/>
    <w:rsid w:val="001F5AC1"/>
    <w:rsid w:val="001F5ACB"/>
    <w:rsid w:val="001F5AFF"/>
    <w:rsid w:val="001F5C05"/>
    <w:rsid w:val="001F5C3E"/>
    <w:rsid w:val="001F5D2F"/>
    <w:rsid w:val="001F5F43"/>
    <w:rsid w:val="001F5F4D"/>
    <w:rsid w:val="001F5F51"/>
    <w:rsid w:val="001F6019"/>
    <w:rsid w:val="001F601E"/>
    <w:rsid w:val="001F60CA"/>
    <w:rsid w:val="001F6226"/>
    <w:rsid w:val="001F6270"/>
    <w:rsid w:val="001F6352"/>
    <w:rsid w:val="001F63CD"/>
    <w:rsid w:val="001F63D9"/>
    <w:rsid w:val="001F6584"/>
    <w:rsid w:val="001F6680"/>
    <w:rsid w:val="001F6685"/>
    <w:rsid w:val="001F689F"/>
    <w:rsid w:val="001F6902"/>
    <w:rsid w:val="001F6911"/>
    <w:rsid w:val="001F6A2B"/>
    <w:rsid w:val="001F6A49"/>
    <w:rsid w:val="001F6BA9"/>
    <w:rsid w:val="001F6CB0"/>
    <w:rsid w:val="001F6CF7"/>
    <w:rsid w:val="001F6DC8"/>
    <w:rsid w:val="001F6E87"/>
    <w:rsid w:val="001F6EA5"/>
    <w:rsid w:val="001F6ED7"/>
    <w:rsid w:val="001F6F82"/>
    <w:rsid w:val="001F70F2"/>
    <w:rsid w:val="001F7178"/>
    <w:rsid w:val="001F723A"/>
    <w:rsid w:val="001F72E4"/>
    <w:rsid w:val="001F72E6"/>
    <w:rsid w:val="001F730E"/>
    <w:rsid w:val="001F732C"/>
    <w:rsid w:val="001F7336"/>
    <w:rsid w:val="001F7407"/>
    <w:rsid w:val="001F7546"/>
    <w:rsid w:val="001F75E8"/>
    <w:rsid w:val="001F766D"/>
    <w:rsid w:val="001F76AE"/>
    <w:rsid w:val="001F76D7"/>
    <w:rsid w:val="001F775E"/>
    <w:rsid w:val="001F77D0"/>
    <w:rsid w:val="001F77F7"/>
    <w:rsid w:val="001F780D"/>
    <w:rsid w:val="001F7839"/>
    <w:rsid w:val="001F78A0"/>
    <w:rsid w:val="001F7920"/>
    <w:rsid w:val="001F79A8"/>
    <w:rsid w:val="001F79BE"/>
    <w:rsid w:val="001F7A75"/>
    <w:rsid w:val="001F7DA5"/>
    <w:rsid w:val="002000C7"/>
    <w:rsid w:val="00200202"/>
    <w:rsid w:val="0020022C"/>
    <w:rsid w:val="002002B0"/>
    <w:rsid w:val="002002E7"/>
    <w:rsid w:val="0020033D"/>
    <w:rsid w:val="002003AB"/>
    <w:rsid w:val="002003B1"/>
    <w:rsid w:val="00200475"/>
    <w:rsid w:val="00200501"/>
    <w:rsid w:val="00200627"/>
    <w:rsid w:val="00200700"/>
    <w:rsid w:val="00200756"/>
    <w:rsid w:val="0020086A"/>
    <w:rsid w:val="0020087F"/>
    <w:rsid w:val="0020088E"/>
    <w:rsid w:val="002009CB"/>
    <w:rsid w:val="002009E1"/>
    <w:rsid w:val="00200CC7"/>
    <w:rsid w:val="00200D02"/>
    <w:rsid w:val="00200D21"/>
    <w:rsid w:val="00200D37"/>
    <w:rsid w:val="00200DEC"/>
    <w:rsid w:val="00200E82"/>
    <w:rsid w:val="00200EC6"/>
    <w:rsid w:val="00200F22"/>
    <w:rsid w:val="00200FB0"/>
    <w:rsid w:val="00200FE6"/>
    <w:rsid w:val="00201034"/>
    <w:rsid w:val="002010D1"/>
    <w:rsid w:val="0020129C"/>
    <w:rsid w:val="00201300"/>
    <w:rsid w:val="00201338"/>
    <w:rsid w:val="00201545"/>
    <w:rsid w:val="00201646"/>
    <w:rsid w:val="002016C3"/>
    <w:rsid w:val="002016E3"/>
    <w:rsid w:val="002017B1"/>
    <w:rsid w:val="002017B9"/>
    <w:rsid w:val="00201885"/>
    <w:rsid w:val="00201976"/>
    <w:rsid w:val="00201B0C"/>
    <w:rsid w:val="00201BB8"/>
    <w:rsid w:val="00201BD3"/>
    <w:rsid w:val="00201DC5"/>
    <w:rsid w:val="00201E46"/>
    <w:rsid w:val="00201FFC"/>
    <w:rsid w:val="0020203D"/>
    <w:rsid w:val="002020A7"/>
    <w:rsid w:val="002020AA"/>
    <w:rsid w:val="0020214A"/>
    <w:rsid w:val="0020217F"/>
    <w:rsid w:val="002021F4"/>
    <w:rsid w:val="0020221A"/>
    <w:rsid w:val="0020221B"/>
    <w:rsid w:val="002023D9"/>
    <w:rsid w:val="00202490"/>
    <w:rsid w:val="00202509"/>
    <w:rsid w:val="00202545"/>
    <w:rsid w:val="0020255A"/>
    <w:rsid w:val="00202572"/>
    <w:rsid w:val="00202629"/>
    <w:rsid w:val="00202742"/>
    <w:rsid w:val="0020285E"/>
    <w:rsid w:val="0020290D"/>
    <w:rsid w:val="0020298D"/>
    <w:rsid w:val="002029C5"/>
    <w:rsid w:val="002029CB"/>
    <w:rsid w:val="00202BE8"/>
    <w:rsid w:val="00202CCC"/>
    <w:rsid w:val="00202DF8"/>
    <w:rsid w:val="00202E77"/>
    <w:rsid w:val="00202EAF"/>
    <w:rsid w:val="00202EBB"/>
    <w:rsid w:val="0020318B"/>
    <w:rsid w:val="002031C0"/>
    <w:rsid w:val="00203215"/>
    <w:rsid w:val="00203384"/>
    <w:rsid w:val="002033CE"/>
    <w:rsid w:val="002034C2"/>
    <w:rsid w:val="002034EC"/>
    <w:rsid w:val="0020351E"/>
    <w:rsid w:val="002035E9"/>
    <w:rsid w:val="00203606"/>
    <w:rsid w:val="0020378B"/>
    <w:rsid w:val="00203822"/>
    <w:rsid w:val="002038A9"/>
    <w:rsid w:val="00203940"/>
    <w:rsid w:val="00203950"/>
    <w:rsid w:val="00203A48"/>
    <w:rsid w:val="00203AE9"/>
    <w:rsid w:val="00203B08"/>
    <w:rsid w:val="00203B78"/>
    <w:rsid w:val="00203C88"/>
    <w:rsid w:val="00203CA0"/>
    <w:rsid w:val="00203CAD"/>
    <w:rsid w:val="00203CD7"/>
    <w:rsid w:val="00203CF4"/>
    <w:rsid w:val="00203D0F"/>
    <w:rsid w:val="00203D47"/>
    <w:rsid w:val="00203D9B"/>
    <w:rsid w:val="00203E18"/>
    <w:rsid w:val="00203E5C"/>
    <w:rsid w:val="00203E9B"/>
    <w:rsid w:val="00203F9E"/>
    <w:rsid w:val="0020401B"/>
    <w:rsid w:val="00204050"/>
    <w:rsid w:val="00204074"/>
    <w:rsid w:val="002040C2"/>
    <w:rsid w:val="002042AF"/>
    <w:rsid w:val="00204377"/>
    <w:rsid w:val="00204398"/>
    <w:rsid w:val="00204493"/>
    <w:rsid w:val="002044BA"/>
    <w:rsid w:val="0020456E"/>
    <w:rsid w:val="0020458B"/>
    <w:rsid w:val="00204617"/>
    <w:rsid w:val="00204695"/>
    <w:rsid w:val="00204706"/>
    <w:rsid w:val="00204ADE"/>
    <w:rsid w:val="00204B9A"/>
    <w:rsid w:val="00204BF5"/>
    <w:rsid w:val="00204C4C"/>
    <w:rsid w:val="00204C76"/>
    <w:rsid w:val="00204DD4"/>
    <w:rsid w:val="00204DE1"/>
    <w:rsid w:val="00204EC9"/>
    <w:rsid w:val="00205065"/>
    <w:rsid w:val="00205094"/>
    <w:rsid w:val="0020513E"/>
    <w:rsid w:val="0020514A"/>
    <w:rsid w:val="0020518E"/>
    <w:rsid w:val="002051E6"/>
    <w:rsid w:val="00205404"/>
    <w:rsid w:val="002054D6"/>
    <w:rsid w:val="0020550E"/>
    <w:rsid w:val="0020565F"/>
    <w:rsid w:val="002057B9"/>
    <w:rsid w:val="00205861"/>
    <w:rsid w:val="00205923"/>
    <w:rsid w:val="00205943"/>
    <w:rsid w:val="0020594C"/>
    <w:rsid w:val="00205BB8"/>
    <w:rsid w:val="00205BE9"/>
    <w:rsid w:val="00205DB5"/>
    <w:rsid w:val="00205ED0"/>
    <w:rsid w:val="00205F27"/>
    <w:rsid w:val="00205FA1"/>
    <w:rsid w:val="0020608F"/>
    <w:rsid w:val="002060AD"/>
    <w:rsid w:val="00206391"/>
    <w:rsid w:val="00206509"/>
    <w:rsid w:val="00206684"/>
    <w:rsid w:val="002066EE"/>
    <w:rsid w:val="002068DB"/>
    <w:rsid w:val="0020691A"/>
    <w:rsid w:val="0020692A"/>
    <w:rsid w:val="00206946"/>
    <w:rsid w:val="00206A64"/>
    <w:rsid w:val="00206AC2"/>
    <w:rsid w:val="00206C65"/>
    <w:rsid w:val="00206DDE"/>
    <w:rsid w:val="00206E07"/>
    <w:rsid w:val="00206E84"/>
    <w:rsid w:val="00206EC6"/>
    <w:rsid w:val="00206EE8"/>
    <w:rsid w:val="00207064"/>
    <w:rsid w:val="002070EA"/>
    <w:rsid w:val="0020725C"/>
    <w:rsid w:val="00207481"/>
    <w:rsid w:val="00207621"/>
    <w:rsid w:val="00207652"/>
    <w:rsid w:val="002076E5"/>
    <w:rsid w:val="00207702"/>
    <w:rsid w:val="002077E0"/>
    <w:rsid w:val="00207865"/>
    <w:rsid w:val="002079A9"/>
    <w:rsid w:val="00207AE1"/>
    <w:rsid w:val="00207B87"/>
    <w:rsid w:val="00207C6B"/>
    <w:rsid w:val="00207CF6"/>
    <w:rsid w:val="00207E2C"/>
    <w:rsid w:val="00207EE2"/>
    <w:rsid w:val="00207EE4"/>
    <w:rsid w:val="002100F2"/>
    <w:rsid w:val="00210148"/>
    <w:rsid w:val="002103D2"/>
    <w:rsid w:val="002104D3"/>
    <w:rsid w:val="00210556"/>
    <w:rsid w:val="0021061F"/>
    <w:rsid w:val="00210740"/>
    <w:rsid w:val="00210758"/>
    <w:rsid w:val="002107AB"/>
    <w:rsid w:val="002108ED"/>
    <w:rsid w:val="00210900"/>
    <w:rsid w:val="00210909"/>
    <w:rsid w:val="0021093B"/>
    <w:rsid w:val="0021095A"/>
    <w:rsid w:val="002109C7"/>
    <w:rsid w:val="00210A48"/>
    <w:rsid w:val="00210A6F"/>
    <w:rsid w:val="00210ABE"/>
    <w:rsid w:val="00210AF8"/>
    <w:rsid w:val="00210BFA"/>
    <w:rsid w:val="00210D68"/>
    <w:rsid w:val="00210DE7"/>
    <w:rsid w:val="00210EEA"/>
    <w:rsid w:val="00211252"/>
    <w:rsid w:val="002112EF"/>
    <w:rsid w:val="0021143D"/>
    <w:rsid w:val="00211670"/>
    <w:rsid w:val="00211683"/>
    <w:rsid w:val="002116BA"/>
    <w:rsid w:val="002119D6"/>
    <w:rsid w:val="002119F3"/>
    <w:rsid w:val="00211A7E"/>
    <w:rsid w:val="00211BB1"/>
    <w:rsid w:val="00211BB5"/>
    <w:rsid w:val="00211C0E"/>
    <w:rsid w:val="00211CAF"/>
    <w:rsid w:val="00211DCF"/>
    <w:rsid w:val="00211E43"/>
    <w:rsid w:val="00211E53"/>
    <w:rsid w:val="00211EB7"/>
    <w:rsid w:val="00212061"/>
    <w:rsid w:val="002120D4"/>
    <w:rsid w:val="00212212"/>
    <w:rsid w:val="0021238E"/>
    <w:rsid w:val="00212413"/>
    <w:rsid w:val="00212436"/>
    <w:rsid w:val="0021244B"/>
    <w:rsid w:val="002124E9"/>
    <w:rsid w:val="002124F7"/>
    <w:rsid w:val="00212578"/>
    <w:rsid w:val="00212585"/>
    <w:rsid w:val="00212659"/>
    <w:rsid w:val="002127F5"/>
    <w:rsid w:val="00212807"/>
    <w:rsid w:val="0021284C"/>
    <w:rsid w:val="00212912"/>
    <w:rsid w:val="00212962"/>
    <w:rsid w:val="00212987"/>
    <w:rsid w:val="002129CD"/>
    <w:rsid w:val="00212A1A"/>
    <w:rsid w:val="00212AF3"/>
    <w:rsid w:val="00212AFC"/>
    <w:rsid w:val="00212BC0"/>
    <w:rsid w:val="00212C16"/>
    <w:rsid w:val="00212C37"/>
    <w:rsid w:val="00212C99"/>
    <w:rsid w:val="00212D9D"/>
    <w:rsid w:val="00212E43"/>
    <w:rsid w:val="00212E84"/>
    <w:rsid w:val="00212EB6"/>
    <w:rsid w:val="00212F2B"/>
    <w:rsid w:val="00212F44"/>
    <w:rsid w:val="00213007"/>
    <w:rsid w:val="00213034"/>
    <w:rsid w:val="00213039"/>
    <w:rsid w:val="002131AC"/>
    <w:rsid w:val="0021322F"/>
    <w:rsid w:val="00213352"/>
    <w:rsid w:val="002133B8"/>
    <w:rsid w:val="00213469"/>
    <w:rsid w:val="002134A4"/>
    <w:rsid w:val="002134E6"/>
    <w:rsid w:val="002134F9"/>
    <w:rsid w:val="002135D2"/>
    <w:rsid w:val="00213811"/>
    <w:rsid w:val="00213834"/>
    <w:rsid w:val="002138BC"/>
    <w:rsid w:val="002138EB"/>
    <w:rsid w:val="00213A4E"/>
    <w:rsid w:val="00213AE8"/>
    <w:rsid w:val="00213AF7"/>
    <w:rsid w:val="00213D04"/>
    <w:rsid w:val="00213F33"/>
    <w:rsid w:val="0021403A"/>
    <w:rsid w:val="00214094"/>
    <w:rsid w:val="00214334"/>
    <w:rsid w:val="0021434A"/>
    <w:rsid w:val="00214395"/>
    <w:rsid w:val="002143F8"/>
    <w:rsid w:val="00214411"/>
    <w:rsid w:val="00214469"/>
    <w:rsid w:val="00214487"/>
    <w:rsid w:val="00214521"/>
    <w:rsid w:val="0021457B"/>
    <w:rsid w:val="002145FC"/>
    <w:rsid w:val="00214653"/>
    <w:rsid w:val="0021479D"/>
    <w:rsid w:val="00214838"/>
    <w:rsid w:val="0021483D"/>
    <w:rsid w:val="00214940"/>
    <w:rsid w:val="0021498C"/>
    <w:rsid w:val="002149D7"/>
    <w:rsid w:val="00214B47"/>
    <w:rsid w:val="00214B75"/>
    <w:rsid w:val="00214C0D"/>
    <w:rsid w:val="00214C2C"/>
    <w:rsid w:val="00214D0E"/>
    <w:rsid w:val="00214D3E"/>
    <w:rsid w:val="00214D57"/>
    <w:rsid w:val="00214D91"/>
    <w:rsid w:val="00214EC6"/>
    <w:rsid w:val="00214F15"/>
    <w:rsid w:val="00214F38"/>
    <w:rsid w:val="00215103"/>
    <w:rsid w:val="00215117"/>
    <w:rsid w:val="0021519E"/>
    <w:rsid w:val="00215364"/>
    <w:rsid w:val="002154CC"/>
    <w:rsid w:val="0021553D"/>
    <w:rsid w:val="00215640"/>
    <w:rsid w:val="002156A7"/>
    <w:rsid w:val="0021573D"/>
    <w:rsid w:val="00215882"/>
    <w:rsid w:val="002158BD"/>
    <w:rsid w:val="0021592E"/>
    <w:rsid w:val="00215ABC"/>
    <w:rsid w:val="00215C34"/>
    <w:rsid w:val="00215CA9"/>
    <w:rsid w:val="00215D0C"/>
    <w:rsid w:val="00215DDB"/>
    <w:rsid w:val="00215DFB"/>
    <w:rsid w:val="00215E2D"/>
    <w:rsid w:val="00215EC9"/>
    <w:rsid w:val="0021623A"/>
    <w:rsid w:val="00216376"/>
    <w:rsid w:val="002163EA"/>
    <w:rsid w:val="00216418"/>
    <w:rsid w:val="002164E2"/>
    <w:rsid w:val="0021657F"/>
    <w:rsid w:val="00216613"/>
    <w:rsid w:val="00216742"/>
    <w:rsid w:val="00216778"/>
    <w:rsid w:val="002167B4"/>
    <w:rsid w:val="00216968"/>
    <w:rsid w:val="002169AF"/>
    <w:rsid w:val="002169C6"/>
    <w:rsid w:val="00216A03"/>
    <w:rsid w:val="00216B3A"/>
    <w:rsid w:val="00216B99"/>
    <w:rsid w:val="00216BC9"/>
    <w:rsid w:val="00216BD4"/>
    <w:rsid w:val="00216C00"/>
    <w:rsid w:val="00216CDC"/>
    <w:rsid w:val="00216D95"/>
    <w:rsid w:val="00216F0C"/>
    <w:rsid w:val="00216F41"/>
    <w:rsid w:val="00216F71"/>
    <w:rsid w:val="002170B1"/>
    <w:rsid w:val="0021710C"/>
    <w:rsid w:val="00217323"/>
    <w:rsid w:val="00217352"/>
    <w:rsid w:val="00217423"/>
    <w:rsid w:val="00217428"/>
    <w:rsid w:val="00217444"/>
    <w:rsid w:val="00217450"/>
    <w:rsid w:val="00217529"/>
    <w:rsid w:val="0021756F"/>
    <w:rsid w:val="00217612"/>
    <w:rsid w:val="00217651"/>
    <w:rsid w:val="00217735"/>
    <w:rsid w:val="0021774E"/>
    <w:rsid w:val="00217761"/>
    <w:rsid w:val="0021785E"/>
    <w:rsid w:val="002179D1"/>
    <w:rsid w:val="002179D9"/>
    <w:rsid w:val="00217B74"/>
    <w:rsid w:val="00217C52"/>
    <w:rsid w:val="00217C5B"/>
    <w:rsid w:val="00217C64"/>
    <w:rsid w:val="00217CB2"/>
    <w:rsid w:val="00217CBC"/>
    <w:rsid w:val="00217DBB"/>
    <w:rsid w:val="00217DC9"/>
    <w:rsid w:val="002200AE"/>
    <w:rsid w:val="002200EA"/>
    <w:rsid w:val="00220104"/>
    <w:rsid w:val="0022018C"/>
    <w:rsid w:val="00220352"/>
    <w:rsid w:val="00220446"/>
    <w:rsid w:val="0022057D"/>
    <w:rsid w:val="00220603"/>
    <w:rsid w:val="00220616"/>
    <w:rsid w:val="00220630"/>
    <w:rsid w:val="002206A5"/>
    <w:rsid w:val="002206D3"/>
    <w:rsid w:val="002206EC"/>
    <w:rsid w:val="0022070E"/>
    <w:rsid w:val="0022074F"/>
    <w:rsid w:val="002209ED"/>
    <w:rsid w:val="00220BC7"/>
    <w:rsid w:val="00220C26"/>
    <w:rsid w:val="00220CBF"/>
    <w:rsid w:val="00220EA3"/>
    <w:rsid w:val="00221047"/>
    <w:rsid w:val="0022107B"/>
    <w:rsid w:val="0022109F"/>
    <w:rsid w:val="002210DB"/>
    <w:rsid w:val="0022121C"/>
    <w:rsid w:val="00221227"/>
    <w:rsid w:val="00221247"/>
    <w:rsid w:val="002212D9"/>
    <w:rsid w:val="002212F8"/>
    <w:rsid w:val="0022132B"/>
    <w:rsid w:val="002214EB"/>
    <w:rsid w:val="002215D9"/>
    <w:rsid w:val="002215E2"/>
    <w:rsid w:val="002216AD"/>
    <w:rsid w:val="002216B3"/>
    <w:rsid w:val="0022188A"/>
    <w:rsid w:val="0022196B"/>
    <w:rsid w:val="00221A15"/>
    <w:rsid w:val="00221A95"/>
    <w:rsid w:val="00221BC8"/>
    <w:rsid w:val="00221BC9"/>
    <w:rsid w:val="00221C00"/>
    <w:rsid w:val="00221DC8"/>
    <w:rsid w:val="00221E8A"/>
    <w:rsid w:val="00221EF1"/>
    <w:rsid w:val="0022204A"/>
    <w:rsid w:val="002222D3"/>
    <w:rsid w:val="00222315"/>
    <w:rsid w:val="0022242D"/>
    <w:rsid w:val="00222513"/>
    <w:rsid w:val="00222516"/>
    <w:rsid w:val="0022262C"/>
    <w:rsid w:val="002226A9"/>
    <w:rsid w:val="002226FA"/>
    <w:rsid w:val="002227EC"/>
    <w:rsid w:val="002227F3"/>
    <w:rsid w:val="0022284E"/>
    <w:rsid w:val="00222893"/>
    <w:rsid w:val="002228C6"/>
    <w:rsid w:val="00222B1E"/>
    <w:rsid w:val="00222B65"/>
    <w:rsid w:val="00222C50"/>
    <w:rsid w:val="00222C53"/>
    <w:rsid w:val="00222E7E"/>
    <w:rsid w:val="00222E86"/>
    <w:rsid w:val="00223081"/>
    <w:rsid w:val="002230B3"/>
    <w:rsid w:val="002230B4"/>
    <w:rsid w:val="002231A0"/>
    <w:rsid w:val="002235FE"/>
    <w:rsid w:val="0022364E"/>
    <w:rsid w:val="00223690"/>
    <w:rsid w:val="00223967"/>
    <w:rsid w:val="00223AEF"/>
    <w:rsid w:val="00223D0C"/>
    <w:rsid w:val="00223D28"/>
    <w:rsid w:val="00223E01"/>
    <w:rsid w:val="002240F5"/>
    <w:rsid w:val="0022410A"/>
    <w:rsid w:val="00224127"/>
    <w:rsid w:val="00224140"/>
    <w:rsid w:val="0022425A"/>
    <w:rsid w:val="002243C7"/>
    <w:rsid w:val="002244D3"/>
    <w:rsid w:val="00224610"/>
    <w:rsid w:val="002246B8"/>
    <w:rsid w:val="002246CB"/>
    <w:rsid w:val="002247CE"/>
    <w:rsid w:val="00224A16"/>
    <w:rsid w:val="00224BEA"/>
    <w:rsid w:val="00224D36"/>
    <w:rsid w:val="00224D41"/>
    <w:rsid w:val="00224DBC"/>
    <w:rsid w:val="00224DC7"/>
    <w:rsid w:val="00224DDE"/>
    <w:rsid w:val="00224F05"/>
    <w:rsid w:val="00224F14"/>
    <w:rsid w:val="00224FFD"/>
    <w:rsid w:val="0022505A"/>
    <w:rsid w:val="0022505E"/>
    <w:rsid w:val="00225082"/>
    <w:rsid w:val="00225129"/>
    <w:rsid w:val="00225157"/>
    <w:rsid w:val="002251A9"/>
    <w:rsid w:val="00225351"/>
    <w:rsid w:val="00225360"/>
    <w:rsid w:val="002255B2"/>
    <w:rsid w:val="0022569A"/>
    <w:rsid w:val="002258CE"/>
    <w:rsid w:val="0022594A"/>
    <w:rsid w:val="00225960"/>
    <w:rsid w:val="002259E9"/>
    <w:rsid w:val="00225BC8"/>
    <w:rsid w:val="00225BCF"/>
    <w:rsid w:val="00225BF1"/>
    <w:rsid w:val="00225C0A"/>
    <w:rsid w:val="00225D52"/>
    <w:rsid w:val="00225E69"/>
    <w:rsid w:val="00226173"/>
    <w:rsid w:val="00226299"/>
    <w:rsid w:val="002262D5"/>
    <w:rsid w:val="00226393"/>
    <w:rsid w:val="00226452"/>
    <w:rsid w:val="002265A6"/>
    <w:rsid w:val="00226850"/>
    <w:rsid w:val="002268E3"/>
    <w:rsid w:val="00226A13"/>
    <w:rsid w:val="00226ABF"/>
    <w:rsid w:val="00226B1F"/>
    <w:rsid w:val="00226CCB"/>
    <w:rsid w:val="00226D5A"/>
    <w:rsid w:val="00226E06"/>
    <w:rsid w:val="00226EAC"/>
    <w:rsid w:val="00226F20"/>
    <w:rsid w:val="00226F70"/>
    <w:rsid w:val="00226F7D"/>
    <w:rsid w:val="00226F8E"/>
    <w:rsid w:val="00226FAD"/>
    <w:rsid w:val="002270B9"/>
    <w:rsid w:val="00227209"/>
    <w:rsid w:val="002272DA"/>
    <w:rsid w:val="00227344"/>
    <w:rsid w:val="002273B2"/>
    <w:rsid w:val="00227448"/>
    <w:rsid w:val="00227528"/>
    <w:rsid w:val="00227534"/>
    <w:rsid w:val="00227546"/>
    <w:rsid w:val="00227671"/>
    <w:rsid w:val="0022777B"/>
    <w:rsid w:val="002277B5"/>
    <w:rsid w:val="002277CD"/>
    <w:rsid w:val="002277EC"/>
    <w:rsid w:val="002279F0"/>
    <w:rsid w:val="00227AFE"/>
    <w:rsid w:val="00227BA3"/>
    <w:rsid w:val="00227C4E"/>
    <w:rsid w:val="00227CB3"/>
    <w:rsid w:val="00227E81"/>
    <w:rsid w:val="00227EBF"/>
    <w:rsid w:val="00230028"/>
    <w:rsid w:val="00230060"/>
    <w:rsid w:val="002300A6"/>
    <w:rsid w:val="0023018B"/>
    <w:rsid w:val="002301B0"/>
    <w:rsid w:val="002301E4"/>
    <w:rsid w:val="002302A9"/>
    <w:rsid w:val="00230463"/>
    <w:rsid w:val="002305AB"/>
    <w:rsid w:val="0023062D"/>
    <w:rsid w:val="00230655"/>
    <w:rsid w:val="00230722"/>
    <w:rsid w:val="002308FC"/>
    <w:rsid w:val="0023092C"/>
    <w:rsid w:val="002309CE"/>
    <w:rsid w:val="002309FA"/>
    <w:rsid w:val="00230A60"/>
    <w:rsid w:val="00230A62"/>
    <w:rsid w:val="00230B4A"/>
    <w:rsid w:val="00230B4F"/>
    <w:rsid w:val="00230B73"/>
    <w:rsid w:val="00230C89"/>
    <w:rsid w:val="00230ED5"/>
    <w:rsid w:val="00230EDE"/>
    <w:rsid w:val="00230F51"/>
    <w:rsid w:val="00230F97"/>
    <w:rsid w:val="0023104C"/>
    <w:rsid w:val="00231108"/>
    <w:rsid w:val="00231111"/>
    <w:rsid w:val="00231113"/>
    <w:rsid w:val="002311A8"/>
    <w:rsid w:val="002311DC"/>
    <w:rsid w:val="00231304"/>
    <w:rsid w:val="002313E2"/>
    <w:rsid w:val="002314D4"/>
    <w:rsid w:val="00231660"/>
    <w:rsid w:val="00231694"/>
    <w:rsid w:val="002316FA"/>
    <w:rsid w:val="002318C5"/>
    <w:rsid w:val="00231942"/>
    <w:rsid w:val="00231B28"/>
    <w:rsid w:val="00231B47"/>
    <w:rsid w:val="00231B76"/>
    <w:rsid w:val="00231CEA"/>
    <w:rsid w:val="00231D6A"/>
    <w:rsid w:val="00231E72"/>
    <w:rsid w:val="00231E8D"/>
    <w:rsid w:val="00231ECC"/>
    <w:rsid w:val="00231F99"/>
    <w:rsid w:val="00231FDB"/>
    <w:rsid w:val="002320D4"/>
    <w:rsid w:val="0023214F"/>
    <w:rsid w:val="002321A0"/>
    <w:rsid w:val="00232209"/>
    <w:rsid w:val="002322CA"/>
    <w:rsid w:val="002322E4"/>
    <w:rsid w:val="002323A7"/>
    <w:rsid w:val="0023247E"/>
    <w:rsid w:val="002324D8"/>
    <w:rsid w:val="00232551"/>
    <w:rsid w:val="002325C4"/>
    <w:rsid w:val="0023260C"/>
    <w:rsid w:val="00232659"/>
    <w:rsid w:val="00232709"/>
    <w:rsid w:val="00232833"/>
    <w:rsid w:val="0023289A"/>
    <w:rsid w:val="002329E2"/>
    <w:rsid w:val="00232A82"/>
    <w:rsid w:val="00232AEE"/>
    <w:rsid w:val="00232B37"/>
    <w:rsid w:val="00232D54"/>
    <w:rsid w:val="00232D8A"/>
    <w:rsid w:val="00232EC7"/>
    <w:rsid w:val="0023324D"/>
    <w:rsid w:val="002332D2"/>
    <w:rsid w:val="002333EA"/>
    <w:rsid w:val="00233412"/>
    <w:rsid w:val="0023353D"/>
    <w:rsid w:val="00233557"/>
    <w:rsid w:val="0023367A"/>
    <w:rsid w:val="002338C0"/>
    <w:rsid w:val="0023391A"/>
    <w:rsid w:val="00233995"/>
    <w:rsid w:val="002339A4"/>
    <w:rsid w:val="00233A02"/>
    <w:rsid w:val="00233A11"/>
    <w:rsid w:val="00233AB3"/>
    <w:rsid w:val="00233ABD"/>
    <w:rsid w:val="00233C6E"/>
    <w:rsid w:val="00233CAF"/>
    <w:rsid w:val="00233E97"/>
    <w:rsid w:val="00233ED3"/>
    <w:rsid w:val="00233F88"/>
    <w:rsid w:val="00233FB2"/>
    <w:rsid w:val="002341E3"/>
    <w:rsid w:val="0023428C"/>
    <w:rsid w:val="002342A8"/>
    <w:rsid w:val="002342E0"/>
    <w:rsid w:val="00234499"/>
    <w:rsid w:val="0023454B"/>
    <w:rsid w:val="0023458A"/>
    <w:rsid w:val="00234752"/>
    <w:rsid w:val="00234850"/>
    <w:rsid w:val="0023499B"/>
    <w:rsid w:val="002349B0"/>
    <w:rsid w:val="002349BE"/>
    <w:rsid w:val="002349DA"/>
    <w:rsid w:val="002349F2"/>
    <w:rsid w:val="00234A07"/>
    <w:rsid w:val="00234BB8"/>
    <w:rsid w:val="00234C27"/>
    <w:rsid w:val="00234D1D"/>
    <w:rsid w:val="00234E5C"/>
    <w:rsid w:val="00234EE1"/>
    <w:rsid w:val="00234EF0"/>
    <w:rsid w:val="00234F05"/>
    <w:rsid w:val="0023506A"/>
    <w:rsid w:val="00235171"/>
    <w:rsid w:val="002351EA"/>
    <w:rsid w:val="0023528F"/>
    <w:rsid w:val="002352F8"/>
    <w:rsid w:val="0023551D"/>
    <w:rsid w:val="00235558"/>
    <w:rsid w:val="0023556F"/>
    <w:rsid w:val="002355CD"/>
    <w:rsid w:val="00235700"/>
    <w:rsid w:val="002357AF"/>
    <w:rsid w:val="00235854"/>
    <w:rsid w:val="00235A16"/>
    <w:rsid w:val="00235BC4"/>
    <w:rsid w:val="00235C32"/>
    <w:rsid w:val="00235C5F"/>
    <w:rsid w:val="00235DAC"/>
    <w:rsid w:val="00235E23"/>
    <w:rsid w:val="0023603D"/>
    <w:rsid w:val="0023605E"/>
    <w:rsid w:val="002362EC"/>
    <w:rsid w:val="00236351"/>
    <w:rsid w:val="0023644A"/>
    <w:rsid w:val="0023644B"/>
    <w:rsid w:val="002364D4"/>
    <w:rsid w:val="0023650C"/>
    <w:rsid w:val="00236568"/>
    <w:rsid w:val="002365CF"/>
    <w:rsid w:val="002365DF"/>
    <w:rsid w:val="00236687"/>
    <w:rsid w:val="0023669B"/>
    <w:rsid w:val="002366D3"/>
    <w:rsid w:val="00236729"/>
    <w:rsid w:val="00236775"/>
    <w:rsid w:val="00236909"/>
    <w:rsid w:val="00236B3E"/>
    <w:rsid w:val="00236C1C"/>
    <w:rsid w:val="00236CDE"/>
    <w:rsid w:val="00236E86"/>
    <w:rsid w:val="00236F25"/>
    <w:rsid w:val="00236FF0"/>
    <w:rsid w:val="00237007"/>
    <w:rsid w:val="00237047"/>
    <w:rsid w:val="0023722B"/>
    <w:rsid w:val="00237272"/>
    <w:rsid w:val="0023728A"/>
    <w:rsid w:val="002372CC"/>
    <w:rsid w:val="002372E0"/>
    <w:rsid w:val="00237324"/>
    <w:rsid w:val="0023733E"/>
    <w:rsid w:val="00237366"/>
    <w:rsid w:val="002374C5"/>
    <w:rsid w:val="002375D8"/>
    <w:rsid w:val="0023768B"/>
    <w:rsid w:val="00237722"/>
    <w:rsid w:val="002377CD"/>
    <w:rsid w:val="00237811"/>
    <w:rsid w:val="0023784B"/>
    <w:rsid w:val="002378B7"/>
    <w:rsid w:val="002378C9"/>
    <w:rsid w:val="002378E4"/>
    <w:rsid w:val="002379C1"/>
    <w:rsid w:val="00237A19"/>
    <w:rsid w:val="00237B23"/>
    <w:rsid w:val="00237BFE"/>
    <w:rsid w:val="00240010"/>
    <w:rsid w:val="002400E4"/>
    <w:rsid w:val="002404DC"/>
    <w:rsid w:val="002404E9"/>
    <w:rsid w:val="0024076E"/>
    <w:rsid w:val="002408F1"/>
    <w:rsid w:val="002409F9"/>
    <w:rsid w:val="00240AF5"/>
    <w:rsid w:val="00240B1E"/>
    <w:rsid w:val="00240B7D"/>
    <w:rsid w:val="00240BC6"/>
    <w:rsid w:val="00240D55"/>
    <w:rsid w:val="00240DA6"/>
    <w:rsid w:val="00240DDA"/>
    <w:rsid w:val="00240E69"/>
    <w:rsid w:val="00240E92"/>
    <w:rsid w:val="00240F7B"/>
    <w:rsid w:val="00240F95"/>
    <w:rsid w:val="00240FC3"/>
    <w:rsid w:val="00241087"/>
    <w:rsid w:val="00241124"/>
    <w:rsid w:val="002415E9"/>
    <w:rsid w:val="00241661"/>
    <w:rsid w:val="00241811"/>
    <w:rsid w:val="002418BA"/>
    <w:rsid w:val="002418EA"/>
    <w:rsid w:val="00241A68"/>
    <w:rsid w:val="00241A6E"/>
    <w:rsid w:val="00241A7A"/>
    <w:rsid w:val="00241B19"/>
    <w:rsid w:val="00241B58"/>
    <w:rsid w:val="00241C1A"/>
    <w:rsid w:val="00241C68"/>
    <w:rsid w:val="00241D10"/>
    <w:rsid w:val="00241E16"/>
    <w:rsid w:val="00241E76"/>
    <w:rsid w:val="00241E78"/>
    <w:rsid w:val="00241EA5"/>
    <w:rsid w:val="00241FCE"/>
    <w:rsid w:val="00242093"/>
    <w:rsid w:val="002420C7"/>
    <w:rsid w:val="002420D7"/>
    <w:rsid w:val="002423F1"/>
    <w:rsid w:val="00242447"/>
    <w:rsid w:val="002426F0"/>
    <w:rsid w:val="0024273A"/>
    <w:rsid w:val="00242810"/>
    <w:rsid w:val="002428A1"/>
    <w:rsid w:val="002428A7"/>
    <w:rsid w:val="002429C3"/>
    <w:rsid w:val="00242B01"/>
    <w:rsid w:val="00242BA0"/>
    <w:rsid w:val="00242BD2"/>
    <w:rsid w:val="00242CF6"/>
    <w:rsid w:val="00242D29"/>
    <w:rsid w:val="00242D6F"/>
    <w:rsid w:val="00242E2E"/>
    <w:rsid w:val="00242F55"/>
    <w:rsid w:val="00243027"/>
    <w:rsid w:val="00243123"/>
    <w:rsid w:val="002432E0"/>
    <w:rsid w:val="002433D3"/>
    <w:rsid w:val="002433D4"/>
    <w:rsid w:val="00243412"/>
    <w:rsid w:val="00243485"/>
    <w:rsid w:val="002434F6"/>
    <w:rsid w:val="00243576"/>
    <w:rsid w:val="0024361A"/>
    <w:rsid w:val="002436AD"/>
    <w:rsid w:val="002437A7"/>
    <w:rsid w:val="002437E5"/>
    <w:rsid w:val="00243A9E"/>
    <w:rsid w:val="00243B22"/>
    <w:rsid w:val="00243B7F"/>
    <w:rsid w:val="00243BA8"/>
    <w:rsid w:val="00243BC3"/>
    <w:rsid w:val="00243BE9"/>
    <w:rsid w:val="00243D85"/>
    <w:rsid w:val="00243E09"/>
    <w:rsid w:val="00243E50"/>
    <w:rsid w:val="00243F0A"/>
    <w:rsid w:val="002440BA"/>
    <w:rsid w:val="00244125"/>
    <w:rsid w:val="00244184"/>
    <w:rsid w:val="0024419B"/>
    <w:rsid w:val="002441AD"/>
    <w:rsid w:val="00244271"/>
    <w:rsid w:val="00244272"/>
    <w:rsid w:val="002442C9"/>
    <w:rsid w:val="002443F1"/>
    <w:rsid w:val="00244467"/>
    <w:rsid w:val="0024446A"/>
    <w:rsid w:val="00244523"/>
    <w:rsid w:val="002446F7"/>
    <w:rsid w:val="0024478D"/>
    <w:rsid w:val="0024479F"/>
    <w:rsid w:val="002447B5"/>
    <w:rsid w:val="0024481C"/>
    <w:rsid w:val="0024490B"/>
    <w:rsid w:val="00244A0C"/>
    <w:rsid w:val="00244A9E"/>
    <w:rsid w:val="00244AFD"/>
    <w:rsid w:val="00244B35"/>
    <w:rsid w:val="00244B55"/>
    <w:rsid w:val="00244C42"/>
    <w:rsid w:val="00244DAD"/>
    <w:rsid w:val="00244E74"/>
    <w:rsid w:val="00244EFC"/>
    <w:rsid w:val="00244F2E"/>
    <w:rsid w:val="00244F59"/>
    <w:rsid w:val="00244FAD"/>
    <w:rsid w:val="0024500F"/>
    <w:rsid w:val="002450D6"/>
    <w:rsid w:val="00245192"/>
    <w:rsid w:val="0024529F"/>
    <w:rsid w:val="002452FB"/>
    <w:rsid w:val="00245484"/>
    <w:rsid w:val="0024552F"/>
    <w:rsid w:val="002456C9"/>
    <w:rsid w:val="002456F5"/>
    <w:rsid w:val="00245751"/>
    <w:rsid w:val="0024578E"/>
    <w:rsid w:val="002457D7"/>
    <w:rsid w:val="00245881"/>
    <w:rsid w:val="002458CE"/>
    <w:rsid w:val="00245941"/>
    <w:rsid w:val="00245942"/>
    <w:rsid w:val="00245945"/>
    <w:rsid w:val="002459AC"/>
    <w:rsid w:val="002459DF"/>
    <w:rsid w:val="00245AA9"/>
    <w:rsid w:val="00245BE8"/>
    <w:rsid w:val="00245BF5"/>
    <w:rsid w:val="00245DB4"/>
    <w:rsid w:val="00245E8F"/>
    <w:rsid w:val="00245F91"/>
    <w:rsid w:val="00245F97"/>
    <w:rsid w:val="00245FC5"/>
    <w:rsid w:val="00246016"/>
    <w:rsid w:val="00246289"/>
    <w:rsid w:val="0024628F"/>
    <w:rsid w:val="00246291"/>
    <w:rsid w:val="002462B7"/>
    <w:rsid w:val="0024639D"/>
    <w:rsid w:val="0024652C"/>
    <w:rsid w:val="00246550"/>
    <w:rsid w:val="00246571"/>
    <w:rsid w:val="002465C8"/>
    <w:rsid w:val="002465FA"/>
    <w:rsid w:val="002466D3"/>
    <w:rsid w:val="002466EC"/>
    <w:rsid w:val="002467E4"/>
    <w:rsid w:val="00246887"/>
    <w:rsid w:val="002468C0"/>
    <w:rsid w:val="0024690C"/>
    <w:rsid w:val="00246980"/>
    <w:rsid w:val="00246A55"/>
    <w:rsid w:val="00246A5F"/>
    <w:rsid w:val="00246AD7"/>
    <w:rsid w:val="00246B4D"/>
    <w:rsid w:val="00246C6A"/>
    <w:rsid w:val="00246C87"/>
    <w:rsid w:val="00246CB1"/>
    <w:rsid w:val="00246DC5"/>
    <w:rsid w:val="00246E74"/>
    <w:rsid w:val="00246ED1"/>
    <w:rsid w:val="00246FDF"/>
    <w:rsid w:val="0024717B"/>
    <w:rsid w:val="0024718C"/>
    <w:rsid w:val="00247230"/>
    <w:rsid w:val="0024744F"/>
    <w:rsid w:val="002474C1"/>
    <w:rsid w:val="002474C2"/>
    <w:rsid w:val="002475D3"/>
    <w:rsid w:val="00247643"/>
    <w:rsid w:val="00247688"/>
    <w:rsid w:val="0024776B"/>
    <w:rsid w:val="0024777C"/>
    <w:rsid w:val="002477CF"/>
    <w:rsid w:val="0024781B"/>
    <w:rsid w:val="00247904"/>
    <w:rsid w:val="0024795C"/>
    <w:rsid w:val="00247B79"/>
    <w:rsid w:val="00247C1C"/>
    <w:rsid w:val="00247C5C"/>
    <w:rsid w:val="00247D36"/>
    <w:rsid w:val="00247E50"/>
    <w:rsid w:val="00247E6A"/>
    <w:rsid w:val="00250039"/>
    <w:rsid w:val="00250052"/>
    <w:rsid w:val="002500A3"/>
    <w:rsid w:val="0025019C"/>
    <w:rsid w:val="00250206"/>
    <w:rsid w:val="002502AE"/>
    <w:rsid w:val="002502AF"/>
    <w:rsid w:val="002502BB"/>
    <w:rsid w:val="002502F6"/>
    <w:rsid w:val="00250407"/>
    <w:rsid w:val="00250572"/>
    <w:rsid w:val="00250597"/>
    <w:rsid w:val="002505A8"/>
    <w:rsid w:val="002506BD"/>
    <w:rsid w:val="002507F3"/>
    <w:rsid w:val="002508F3"/>
    <w:rsid w:val="00250995"/>
    <w:rsid w:val="00250B39"/>
    <w:rsid w:val="00250B40"/>
    <w:rsid w:val="00250B8F"/>
    <w:rsid w:val="00250C58"/>
    <w:rsid w:val="00250C71"/>
    <w:rsid w:val="00250CA3"/>
    <w:rsid w:val="00250CA4"/>
    <w:rsid w:val="00250D74"/>
    <w:rsid w:val="00250D8A"/>
    <w:rsid w:val="00250D9A"/>
    <w:rsid w:val="00250DAC"/>
    <w:rsid w:val="00250DF2"/>
    <w:rsid w:val="00250ED6"/>
    <w:rsid w:val="00250EF4"/>
    <w:rsid w:val="002510D2"/>
    <w:rsid w:val="00251131"/>
    <w:rsid w:val="0025125E"/>
    <w:rsid w:val="002512C2"/>
    <w:rsid w:val="00251309"/>
    <w:rsid w:val="00251446"/>
    <w:rsid w:val="002514A2"/>
    <w:rsid w:val="00251519"/>
    <w:rsid w:val="0025184D"/>
    <w:rsid w:val="002518E4"/>
    <w:rsid w:val="00251922"/>
    <w:rsid w:val="002519B8"/>
    <w:rsid w:val="002519D4"/>
    <w:rsid w:val="00251A19"/>
    <w:rsid w:val="00251AE2"/>
    <w:rsid w:val="00251D02"/>
    <w:rsid w:val="00251DE2"/>
    <w:rsid w:val="00251E12"/>
    <w:rsid w:val="00251E25"/>
    <w:rsid w:val="00251E75"/>
    <w:rsid w:val="00251FE4"/>
    <w:rsid w:val="00251FFA"/>
    <w:rsid w:val="0025200E"/>
    <w:rsid w:val="00252028"/>
    <w:rsid w:val="0025227F"/>
    <w:rsid w:val="00252386"/>
    <w:rsid w:val="00252416"/>
    <w:rsid w:val="002524FB"/>
    <w:rsid w:val="0025256A"/>
    <w:rsid w:val="0025256E"/>
    <w:rsid w:val="00252570"/>
    <w:rsid w:val="00252604"/>
    <w:rsid w:val="0025273C"/>
    <w:rsid w:val="00252831"/>
    <w:rsid w:val="00252858"/>
    <w:rsid w:val="00252B6D"/>
    <w:rsid w:val="00252C08"/>
    <w:rsid w:val="00252C79"/>
    <w:rsid w:val="00252C8D"/>
    <w:rsid w:val="00252C9B"/>
    <w:rsid w:val="00252CBE"/>
    <w:rsid w:val="00252DB7"/>
    <w:rsid w:val="002530F6"/>
    <w:rsid w:val="00253217"/>
    <w:rsid w:val="002532D8"/>
    <w:rsid w:val="0025330D"/>
    <w:rsid w:val="00253393"/>
    <w:rsid w:val="00253596"/>
    <w:rsid w:val="0025359C"/>
    <w:rsid w:val="00253635"/>
    <w:rsid w:val="002536B0"/>
    <w:rsid w:val="0025395D"/>
    <w:rsid w:val="002539E3"/>
    <w:rsid w:val="00253A69"/>
    <w:rsid w:val="00253A8F"/>
    <w:rsid w:val="00253B94"/>
    <w:rsid w:val="00253D0A"/>
    <w:rsid w:val="00253FCD"/>
    <w:rsid w:val="00254010"/>
    <w:rsid w:val="002540BF"/>
    <w:rsid w:val="0025410F"/>
    <w:rsid w:val="002541D2"/>
    <w:rsid w:val="002542F0"/>
    <w:rsid w:val="002543CA"/>
    <w:rsid w:val="0025445F"/>
    <w:rsid w:val="00254500"/>
    <w:rsid w:val="00254537"/>
    <w:rsid w:val="00254554"/>
    <w:rsid w:val="00254573"/>
    <w:rsid w:val="002545DE"/>
    <w:rsid w:val="00254664"/>
    <w:rsid w:val="00254673"/>
    <w:rsid w:val="002546E7"/>
    <w:rsid w:val="002547A9"/>
    <w:rsid w:val="00254953"/>
    <w:rsid w:val="0025495B"/>
    <w:rsid w:val="00254A8A"/>
    <w:rsid w:val="00254ADD"/>
    <w:rsid w:val="00254E18"/>
    <w:rsid w:val="00254E33"/>
    <w:rsid w:val="00254E7C"/>
    <w:rsid w:val="00254E9D"/>
    <w:rsid w:val="00254F34"/>
    <w:rsid w:val="00254F47"/>
    <w:rsid w:val="00254F6A"/>
    <w:rsid w:val="00254F90"/>
    <w:rsid w:val="002550C2"/>
    <w:rsid w:val="002550DD"/>
    <w:rsid w:val="00255104"/>
    <w:rsid w:val="00255157"/>
    <w:rsid w:val="002551CC"/>
    <w:rsid w:val="00255239"/>
    <w:rsid w:val="002552DD"/>
    <w:rsid w:val="0025539E"/>
    <w:rsid w:val="002553E4"/>
    <w:rsid w:val="002554C7"/>
    <w:rsid w:val="00255788"/>
    <w:rsid w:val="002558B0"/>
    <w:rsid w:val="002558E2"/>
    <w:rsid w:val="002559B1"/>
    <w:rsid w:val="002559D6"/>
    <w:rsid w:val="00255B01"/>
    <w:rsid w:val="00255C70"/>
    <w:rsid w:val="00255CD8"/>
    <w:rsid w:val="00255E49"/>
    <w:rsid w:val="00255EBE"/>
    <w:rsid w:val="00255FFD"/>
    <w:rsid w:val="00256172"/>
    <w:rsid w:val="002561E0"/>
    <w:rsid w:val="0025626C"/>
    <w:rsid w:val="0025627A"/>
    <w:rsid w:val="0025629B"/>
    <w:rsid w:val="002562EF"/>
    <w:rsid w:val="002563A2"/>
    <w:rsid w:val="0025641C"/>
    <w:rsid w:val="002564DC"/>
    <w:rsid w:val="002564E2"/>
    <w:rsid w:val="002566F8"/>
    <w:rsid w:val="002567A8"/>
    <w:rsid w:val="00256892"/>
    <w:rsid w:val="00256920"/>
    <w:rsid w:val="00256944"/>
    <w:rsid w:val="00256948"/>
    <w:rsid w:val="00256958"/>
    <w:rsid w:val="0025695D"/>
    <w:rsid w:val="002569AF"/>
    <w:rsid w:val="002569FC"/>
    <w:rsid w:val="00256A5E"/>
    <w:rsid w:val="00256B34"/>
    <w:rsid w:val="00256B5C"/>
    <w:rsid w:val="00256D39"/>
    <w:rsid w:val="00256E40"/>
    <w:rsid w:val="00256E62"/>
    <w:rsid w:val="00257009"/>
    <w:rsid w:val="00257012"/>
    <w:rsid w:val="002571F7"/>
    <w:rsid w:val="00257343"/>
    <w:rsid w:val="00257418"/>
    <w:rsid w:val="00257521"/>
    <w:rsid w:val="0025753C"/>
    <w:rsid w:val="002575F4"/>
    <w:rsid w:val="002576AF"/>
    <w:rsid w:val="00257789"/>
    <w:rsid w:val="002577EF"/>
    <w:rsid w:val="00257833"/>
    <w:rsid w:val="00257877"/>
    <w:rsid w:val="00257996"/>
    <w:rsid w:val="00257A5C"/>
    <w:rsid w:val="00257C23"/>
    <w:rsid w:val="00257C73"/>
    <w:rsid w:val="00257DDF"/>
    <w:rsid w:val="00257E7F"/>
    <w:rsid w:val="00257F36"/>
    <w:rsid w:val="00257F7C"/>
    <w:rsid w:val="002601F6"/>
    <w:rsid w:val="0026039A"/>
    <w:rsid w:val="00260416"/>
    <w:rsid w:val="00260450"/>
    <w:rsid w:val="002604A7"/>
    <w:rsid w:val="002605C8"/>
    <w:rsid w:val="00260646"/>
    <w:rsid w:val="0026081C"/>
    <w:rsid w:val="0026086C"/>
    <w:rsid w:val="00260887"/>
    <w:rsid w:val="00260BC6"/>
    <w:rsid w:val="00260C1D"/>
    <w:rsid w:val="00260C57"/>
    <w:rsid w:val="00260D61"/>
    <w:rsid w:val="00260D88"/>
    <w:rsid w:val="00260E55"/>
    <w:rsid w:val="00260E93"/>
    <w:rsid w:val="00260F96"/>
    <w:rsid w:val="002611BE"/>
    <w:rsid w:val="002612F7"/>
    <w:rsid w:val="0026141B"/>
    <w:rsid w:val="002614EE"/>
    <w:rsid w:val="00261548"/>
    <w:rsid w:val="002615F8"/>
    <w:rsid w:val="0026168B"/>
    <w:rsid w:val="00261731"/>
    <w:rsid w:val="0026175F"/>
    <w:rsid w:val="0026176B"/>
    <w:rsid w:val="002617E9"/>
    <w:rsid w:val="0026180B"/>
    <w:rsid w:val="002618CC"/>
    <w:rsid w:val="00261AC8"/>
    <w:rsid w:val="00261B7B"/>
    <w:rsid w:val="00261DB1"/>
    <w:rsid w:val="00261DF5"/>
    <w:rsid w:val="00261FF1"/>
    <w:rsid w:val="00262023"/>
    <w:rsid w:val="0026206F"/>
    <w:rsid w:val="002620DC"/>
    <w:rsid w:val="00262244"/>
    <w:rsid w:val="00262291"/>
    <w:rsid w:val="002622BD"/>
    <w:rsid w:val="00262304"/>
    <w:rsid w:val="00262319"/>
    <w:rsid w:val="002626A1"/>
    <w:rsid w:val="00262729"/>
    <w:rsid w:val="0026275D"/>
    <w:rsid w:val="00262AE6"/>
    <w:rsid w:val="00262BEE"/>
    <w:rsid w:val="00262C31"/>
    <w:rsid w:val="00262DC3"/>
    <w:rsid w:val="00262EB9"/>
    <w:rsid w:val="00262F32"/>
    <w:rsid w:val="00262F95"/>
    <w:rsid w:val="00262FB2"/>
    <w:rsid w:val="0026302A"/>
    <w:rsid w:val="0026322D"/>
    <w:rsid w:val="0026324D"/>
    <w:rsid w:val="002632A4"/>
    <w:rsid w:val="002632D5"/>
    <w:rsid w:val="002633F4"/>
    <w:rsid w:val="0026340D"/>
    <w:rsid w:val="002635CD"/>
    <w:rsid w:val="00263634"/>
    <w:rsid w:val="00263740"/>
    <w:rsid w:val="00263811"/>
    <w:rsid w:val="0026388A"/>
    <w:rsid w:val="002638EB"/>
    <w:rsid w:val="00263923"/>
    <w:rsid w:val="00263963"/>
    <w:rsid w:val="00263CB2"/>
    <w:rsid w:val="00263CD0"/>
    <w:rsid w:val="00263E10"/>
    <w:rsid w:val="00263E1E"/>
    <w:rsid w:val="00263E7B"/>
    <w:rsid w:val="00263F1B"/>
    <w:rsid w:val="00263F37"/>
    <w:rsid w:val="00263F5B"/>
    <w:rsid w:val="00263FC0"/>
    <w:rsid w:val="00264004"/>
    <w:rsid w:val="00264018"/>
    <w:rsid w:val="00264058"/>
    <w:rsid w:val="00264143"/>
    <w:rsid w:val="00264464"/>
    <w:rsid w:val="002644F3"/>
    <w:rsid w:val="00264569"/>
    <w:rsid w:val="002645DA"/>
    <w:rsid w:val="00264628"/>
    <w:rsid w:val="002646AE"/>
    <w:rsid w:val="002646F6"/>
    <w:rsid w:val="002647A7"/>
    <w:rsid w:val="002647B9"/>
    <w:rsid w:val="002647EB"/>
    <w:rsid w:val="0026484D"/>
    <w:rsid w:val="00264855"/>
    <w:rsid w:val="00264A6D"/>
    <w:rsid w:val="00264ABB"/>
    <w:rsid w:val="00264ADC"/>
    <w:rsid w:val="00264B96"/>
    <w:rsid w:val="00264D86"/>
    <w:rsid w:val="00264DC6"/>
    <w:rsid w:val="00264EA3"/>
    <w:rsid w:val="00264F0B"/>
    <w:rsid w:val="00264F1F"/>
    <w:rsid w:val="0026500A"/>
    <w:rsid w:val="00265037"/>
    <w:rsid w:val="00265054"/>
    <w:rsid w:val="002650C2"/>
    <w:rsid w:val="002650C7"/>
    <w:rsid w:val="002650E1"/>
    <w:rsid w:val="002651C6"/>
    <w:rsid w:val="0026524D"/>
    <w:rsid w:val="0026524E"/>
    <w:rsid w:val="0026531F"/>
    <w:rsid w:val="00265417"/>
    <w:rsid w:val="00265490"/>
    <w:rsid w:val="00265537"/>
    <w:rsid w:val="00265571"/>
    <w:rsid w:val="002655CC"/>
    <w:rsid w:val="002655FE"/>
    <w:rsid w:val="00265620"/>
    <w:rsid w:val="00265635"/>
    <w:rsid w:val="0026563C"/>
    <w:rsid w:val="002656E5"/>
    <w:rsid w:val="002657B5"/>
    <w:rsid w:val="00265830"/>
    <w:rsid w:val="002658A1"/>
    <w:rsid w:val="00265B6B"/>
    <w:rsid w:val="00265D11"/>
    <w:rsid w:val="00265E32"/>
    <w:rsid w:val="0026610C"/>
    <w:rsid w:val="0026614F"/>
    <w:rsid w:val="0026615C"/>
    <w:rsid w:val="002661AB"/>
    <w:rsid w:val="00266306"/>
    <w:rsid w:val="002663CB"/>
    <w:rsid w:val="0026652B"/>
    <w:rsid w:val="00266643"/>
    <w:rsid w:val="002666C6"/>
    <w:rsid w:val="00266747"/>
    <w:rsid w:val="00266764"/>
    <w:rsid w:val="00266861"/>
    <w:rsid w:val="00266A6B"/>
    <w:rsid w:val="00266ABD"/>
    <w:rsid w:val="00266C14"/>
    <w:rsid w:val="00266D5F"/>
    <w:rsid w:val="00266E81"/>
    <w:rsid w:val="00266EED"/>
    <w:rsid w:val="00266FF0"/>
    <w:rsid w:val="00267133"/>
    <w:rsid w:val="00267334"/>
    <w:rsid w:val="00267428"/>
    <w:rsid w:val="0026747D"/>
    <w:rsid w:val="002674B3"/>
    <w:rsid w:val="00267530"/>
    <w:rsid w:val="00267571"/>
    <w:rsid w:val="002675D4"/>
    <w:rsid w:val="002675EA"/>
    <w:rsid w:val="00267827"/>
    <w:rsid w:val="00267842"/>
    <w:rsid w:val="002678BB"/>
    <w:rsid w:val="00267947"/>
    <w:rsid w:val="00267951"/>
    <w:rsid w:val="00267953"/>
    <w:rsid w:val="00267978"/>
    <w:rsid w:val="00267A47"/>
    <w:rsid w:val="00267B47"/>
    <w:rsid w:val="00267B4B"/>
    <w:rsid w:val="00267BCB"/>
    <w:rsid w:val="00267C4C"/>
    <w:rsid w:val="00267D6E"/>
    <w:rsid w:val="00267E7E"/>
    <w:rsid w:val="00267FF9"/>
    <w:rsid w:val="0027016E"/>
    <w:rsid w:val="00270313"/>
    <w:rsid w:val="00270380"/>
    <w:rsid w:val="0027039D"/>
    <w:rsid w:val="002703B9"/>
    <w:rsid w:val="00270434"/>
    <w:rsid w:val="00270512"/>
    <w:rsid w:val="00270661"/>
    <w:rsid w:val="0027068A"/>
    <w:rsid w:val="002706FA"/>
    <w:rsid w:val="00270769"/>
    <w:rsid w:val="00270785"/>
    <w:rsid w:val="00270863"/>
    <w:rsid w:val="0027091D"/>
    <w:rsid w:val="00270965"/>
    <w:rsid w:val="00270BD8"/>
    <w:rsid w:val="00270BEA"/>
    <w:rsid w:val="00270C05"/>
    <w:rsid w:val="00270C63"/>
    <w:rsid w:val="00270CEE"/>
    <w:rsid w:val="00270CF9"/>
    <w:rsid w:val="00270D0C"/>
    <w:rsid w:val="00270D70"/>
    <w:rsid w:val="00270D90"/>
    <w:rsid w:val="00270DE6"/>
    <w:rsid w:val="00270F10"/>
    <w:rsid w:val="00270F83"/>
    <w:rsid w:val="00270FBF"/>
    <w:rsid w:val="00271207"/>
    <w:rsid w:val="002712A4"/>
    <w:rsid w:val="00271333"/>
    <w:rsid w:val="00271432"/>
    <w:rsid w:val="0027144A"/>
    <w:rsid w:val="00271563"/>
    <w:rsid w:val="002715BA"/>
    <w:rsid w:val="00271685"/>
    <w:rsid w:val="00271745"/>
    <w:rsid w:val="00271811"/>
    <w:rsid w:val="00271872"/>
    <w:rsid w:val="002718B9"/>
    <w:rsid w:val="002718FF"/>
    <w:rsid w:val="0027195F"/>
    <w:rsid w:val="00271A48"/>
    <w:rsid w:val="00271ADA"/>
    <w:rsid w:val="00271B69"/>
    <w:rsid w:val="00271BD1"/>
    <w:rsid w:val="00271CDA"/>
    <w:rsid w:val="00271DA5"/>
    <w:rsid w:val="00271DEE"/>
    <w:rsid w:val="00271F9A"/>
    <w:rsid w:val="00271FCF"/>
    <w:rsid w:val="002721B6"/>
    <w:rsid w:val="00272233"/>
    <w:rsid w:val="0027227D"/>
    <w:rsid w:val="00272319"/>
    <w:rsid w:val="00272320"/>
    <w:rsid w:val="00272356"/>
    <w:rsid w:val="00272361"/>
    <w:rsid w:val="00272406"/>
    <w:rsid w:val="0027260F"/>
    <w:rsid w:val="0027284B"/>
    <w:rsid w:val="00272887"/>
    <w:rsid w:val="00272AF3"/>
    <w:rsid w:val="00272B12"/>
    <w:rsid w:val="00272BB0"/>
    <w:rsid w:val="00272C18"/>
    <w:rsid w:val="00272CD1"/>
    <w:rsid w:val="00272D4D"/>
    <w:rsid w:val="00272D7E"/>
    <w:rsid w:val="00272DA5"/>
    <w:rsid w:val="00272E50"/>
    <w:rsid w:val="00272E9B"/>
    <w:rsid w:val="00272F44"/>
    <w:rsid w:val="00272FDE"/>
    <w:rsid w:val="00273070"/>
    <w:rsid w:val="0027309D"/>
    <w:rsid w:val="00273166"/>
    <w:rsid w:val="00273302"/>
    <w:rsid w:val="0027334A"/>
    <w:rsid w:val="00273428"/>
    <w:rsid w:val="00273541"/>
    <w:rsid w:val="002735AF"/>
    <w:rsid w:val="002735E9"/>
    <w:rsid w:val="00273618"/>
    <w:rsid w:val="0027371B"/>
    <w:rsid w:val="00273A31"/>
    <w:rsid w:val="00273C59"/>
    <w:rsid w:val="00273C8F"/>
    <w:rsid w:val="00273CBD"/>
    <w:rsid w:val="00273CDA"/>
    <w:rsid w:val="00273DAC"/>
    <w:rsid w:val="00273F04"/>
    <w:rsid w:val="00273F4E"/>
    <w:rsid w:val="00273FAD"/>
    <w:rsid w:val="00274073"/>
    <w:rsid w:val="002740BE"/>
    <w:rsid w:val="0027410E"/>
    <w:rsid w:val="0027411C"/>
    <w:rsid w:val="002742C3"/>
    <w:rsid w:val="002744C9"/>
    <w:rsid w:val="002744E0"/>
    <w:rsid w:val="002745E4"/>
    <w:rsid w:val="00274657"/>
    <w:rsid w:val="002746B2"/>
    <w:rsid w:val="00274714"/>
    <w:rsid w:val="00274762"/>
    <w:rsid w:val="00274798"/>
    <w:rsid w:val="002747AA"/>
    <w:rsid w:val="0027483D"/>
    <w:rsid w:val="0027487C"/>
    <w:rsid w:val="00274A6E"/>
    <w:rsid w:val="00274A8B"/>
    <w:rsid w:val="00274B1F"/>
    <w:rsid w:val="00274C5E"/>
    <w:rsid w:val="00274C9B"/>
    <w:rsid w:val="00274D43"/>
    <w:rsid w:val="00274D70"/>
    <w:rsid w:val="00274DD6"/>
    <w:rsid w:val="00274DD7"/>
    <w:rsid w:val="00274E37"/>
    <w:rsid w:val="00274E49"/>
    <w:rsid w:val="00274F91"/>
    <w:rsid w:val="00275187"/>
    <w:rsid w:val="0027518E"/>
    <w:rsid w:val="0027524E"/>
    <w:rsid w:val="00275283"/>
    <w:rsid w:val="00275285"/>
    <w:rsid w:val="002752C2"/>
    <w:rsid w:val="0027532A"/>
    <w:rsid w:val="00275422"/>
    <w:rsid w:val="00275534"/>
    <w:rsid w:val="00275551"/>
    <w:rsid w:val="0027564B"/>
    <w:rsid w:val="00275670"/>
    <w:rsid w:val="00275764"/>
    <w:rsid w:val="00275810"/>
    <w:rsid w:val="00275899"/>
    <w:rsid w:val="002758B8"/>
    <w:rsid w:val="0027591B"/>
    <w:rsid w:val="002759F7"/>
    <w:rsid w:val="00275B32"/>
    <w:rsid w:val="00275BDB"/>
    <w:rsid w:val="00275C9D"/>
    <w:rsid w:val="00275D5D"/>
    <w:rsid w:val="00275DB4"/>
    <w:rsid w:val="00275F15"/>
    <w:rsid w:val="0027605E"/>
    <w:rsid w:val="002760AB"/>
    <w:rsid w:val="002760DF"/>
    <w:rsid w:val="00276160"/>
    <w:rsid w:val="0027622E"/>
    <w:rsid w:val="002762D3"/>
    <w:rsid w:val="00276338"/>
    <w:rsid w:val="00276376"/>
    <w:rsid w:val="0027649A"/>
    <w:rsid w:val="00276505"/>
    <w:rsid w:val="0027663C"/>
    <w:rsid w:val="0027664F"/>
    <w:rsid w:val="00276675"/>
    <w:rsid w:val="00276692"/>
    <w:rsid w:val="002766BB"/>
    <w:rsid w:val="00276723"/>
    <w:rsid w:val="0027674E"/>
    <w:rsid w:val="0027683D"/>
    <w:rsid w:val="00276877"/>
    <w:rsid w:val="00276A4F"/>
    <w:rsid w:val="00276A6E"/>
    <w:rsid w:val="00276E61"/>
    <w:rsid w:val="00276F42"/>
    <w:rsid w:val="00276FB2"/>
    <w:rsid w:val="002771D2"/>
    <w:rsid w:val="0027720D"/>
    <w:rsid w:val="00277255"/>
    <w:rsid w:val="0027725A"/>
    <w:rsid w:val="0027734E"/>
    <w:rsid w:val="00277393"/>
    <w:rsid w:val="002773B8"/>
    <w:rsid w:val="0027740C"/>
    <w:rsid w:val="00277517"/>
    <w:rsid w:val="00277948"/>
    <w:rsid w:val="00277A3E"/>
    <w:rsid w:val="00277A9A"/>
    <w:rsid w:val="00277C35"/>
    <w:rsid w:val="00277CC9"/>
    <w:rsid w:val="00277CD2"/>
    <w:rsid w:val="00277CE4"/>
    <w:rsid w:val="00277D67"/>
    <w:rsid w:val="00277DF5"/>
    <w:rsid w:val="00277ED0"/>
    <w:rsid w:val="00277F72"/>
    <w:rsid w:val="00277FAE"/>
    <w:rsid w:val="00280105"/>
    <w:rsid w:val="00280195"/>
    <w:rsid w:val="0028026D"/>
    <w:rsid w:val="002803C5"/>
    <w:rsid w:val="00280408"/>
    <w:rsid w:val="00280426"/>
    <w:rsid w:val="00280471"/>
    <w:rsid w:val="002804CA"/>
    <w:rsid w:val="0028057A"/>
    <w:rsid w:val="0028072B"/>
    <w:rsid w:val="00280761"/>
    <w:rsid w:val="0028077F"/>
    <w:rsid w:val="002807BE"/>
    <w:rsid w:val="002808FB"/>
    <w:rsid w:val="002809CA"/>
    <w:rsid w:val="00280B87"/>
    <w:rsid w:val="00280BEC"/>
    <w:rsid w:val="00280C0A"/>
    <w:rsid w:val="00280C97"/>
    <w:rsid w:val="00280D85"/>
    <w:rsid w:val="00280DA2"/>
    <w:rsid w:val="00280DB4"/>
    <w:rsid w:val="00280E47"/>
    <w:rsid w:val="00280F4E"/>
    <w:rsid w:val="00280FF1"/>
    <w:rsid w:val="002810C2"/>
    <w:rsid w:val="002811A6"/>
    <w:rsid w:val="0028120A"/>
    <w:rsid w:val="002812EB"/>
    <w:rsid w:val="00281320"/>
    <w:rsid w:val="002813CB"/>
    <w:rsid w:val="002814C9"/>
    <w:rsid w:val="002815B6"/>
    <w:rsid w:val="002815B8"/>
    <w:rsid w:val="00281714"/>
    <w:rsid w:val="00281893"/>
    <w:rsid w:val="00281894"/>
    <w:rsid w:val="00281979"/>
    <w:rsid w:val="0028198D"/>
    <w:rsid w:val="00281DA4"/>
    <w:rsid w:val="00281DD3"/>
    <w:rsid w:val="00281DDD"/>
    <w:rsid w:val="00281EBD"/>
    <w:rsid w:val="00282000"/>
    <w:rsid w:val="00282054"/>
    <w:rsid w:val="0028207C"/>
    <w:rsid w:val="002820A4"/>
    <w:rsid w:val="002822D5"/>
    <w:rsid w:val="002822E3"/>
    <w:rsid w:val="002822EC"/>
    <w:rsid w:val="002824AA"/>
    <w:rsid w:val="00282533"/>
    <w:rsid w:val="002825FC"/>
    <w:rsid w:val="002827A4"/>
    <w:rsid w:val="002827F5"/>
    <w:rsid w:val="0028284D"/>
    <w:rsid w:val="0028285B"/>
    <w:rsid w:val="0028287E"/>
    <w:rsid w:val="002829F2"/>
    <w:rsid w:val="00282A1B"/>
    <w:rsid w:val="00282A49"/>
    <w:rsid w:val="00282AF8"/>
    <w:rsid w:val="00282B05"/>
    <w:rsid w:val="00282BF3"/>
    <w:rsid w:val="00282C17"/>
    <w:rsid w:val="00282C69"/>
    <w:rsid w:val="00282D43"/>
    <w:rsid w:val="00282D45"/>
    <w:rsid w:val="00282D4D"/>
    <w:rsid w:val="00282EE8"/>
    <w:rsid w:val="00282F04"/>
    <w:rsid w:val="00282FF1"/>
    <w:rsid w:val="002830B9"/>
    <w:rsid w:val="002830E2"/>
    <w:rsid w:val="0028310F"/>
    <w:rsid w:val="00283116"/>
    <w:rsid w:val="0028316B"/>
    <w:rsid w:val="00283188"/>
    <w:rsid w:val="00283196"/>
    <w:rsid w:val="002831DD"/>
    <w:rsid w:val="00283204"/>
    <w:rsid w:val="00283627"/>
    <w:rsid w:val="0028363C"/>
    <w:rsid w:val="00283702"/>
    <w:rsid w:val="002837A1"/>
    <w:rsid w:val="002837B2"/>
    <w:rsid w:val="0028386D"/>
    <w:rsid w:val="002838AE"/>
    <w:rsid w:val="0028392E"/>
    <w:rsid w:val="00283942"/>
    <w:rsid w:val="00283992"/>
    <w:rsid w:val="00283A20"/>
    <w:rsid w:val="00283A6B"/>
    <w:rsid w:val="00283ACD"/>
    <w:rsid w:val="00283B29"/>
    <w:rsid w:val="00283BCD"/>
    <w:rsid w:val="00283C17"/>
    <w:rsid w:val="00283CEF"/>
    <w:rsid w:val="00283D6E"/>
    <w:rsid w:val="00283DE2"/>
    <w:rsid w:val="00283E39"/>
    <w:rsid w:val="00283EC4"/>
    <w:rsid w:val="00284009"/>
    <w:rsid w:val="002841BE"/>
    <w:rsid w:val="00284201"/>
    <w:rsid w:val="0028420C"/>
    <w:rsid w:val="002842B2"/>
    <w:rsid w:val="002842E5"/>
    <w:rsid w:val="00284349"/>
    <w:rsid w:val="002843A6"/>
    <w:rsid w:val="002844E1"/>
    <w:rsid w:val="0028452B"/>
    <w:rsid w:val="00284599"/>
    <w:rsid w:val="002846DB"/>
    <w:rsid w:val="0028480C"/>
    <w:rsid w:val="00284916"/>
    <w:rsid w:val="002849A0"/>
    <w:rsid w:val="002849BC"/>
    <w:rsid w:val="002849DD"/>
    <w:rsid w:val="00284A97"/>
    <w:rsid w:val="00284B5D"/>
    <w:rsid w:val="00284B8A"/>
    <w:rsid w:val="00284C60"/>
    <w:rsid w:val="00284CD8"/>
    <w:rsid w:val="00284CFD"/>
    <w:rsid w:val="00284E13"/>
    <w:rsid w:val="00284E2D"/>
    <w:rsid w:val="00284EB2"/>
    <w:rsid w:val="00285025"/>
    <w:rsid w:val="00285034"/>
    <w:rsid w:val="00285041"/>
    <w:rsid w:val="002851BE"/>
    <w:rsid w:val="00285206"/>
    <w:rsid w:val="002853BC"/>
    <w:rsid w:val="00285401"/>
    <w:rsid w:val="00285439"/>
    <w:rsid w:val="002854AF"/>
    <w:rsid w:val="002855FE"/>
    <w:rsid w:val="002856D5"/>
    <w:rsid w:val="00285711"/>
    <w:rsid w:val="00285758"/>
    <w:rsid w:val="00285839"/>
    <w:rsid w:val="002858BA"/>
    <w:rsid w:val="00285AA1"/>
    <w:rsid w:val="00285AEB"/>
    <w:rsid w:val="00285C36"/>
    <w:rsid w:val="00285C8A"/>
    <w:rsid w:val="00285C8E"/>
    <w:rsid w:val="00285C8F"/>
    <w:rsid w:val="00285DC7"/>
    <w:rsid w:val="00285F7D"/>
    <w:rsid w:val="00285F80"/>
    <w:rsid w:val="00285FDA"/>
    <w:rsid w:val="00285FF5"/>
    <w:rsid w:val="0028601C"/>
    <w:rsid w:val="0028608F"/>
    <w:rsid w:val="00286121"/>
    <w:rsid w:val="0028618A"/>
    <w:rsid w:val="0028630B"/>
    <w:rsid w:val="0028640D"/>
    <w:rsid w:val="0028643B"/>
    <w:rsid w:val="00286560"/>
    <w:rsid w:val="002865D6"/>
    <w:rsid w:val="00286674"/>
    <w:rsid w:val="00286688"/>
    <w:rsid w:val="002866FF"/>
    <w:rsid w:val="00286711"/>
    <w:rsid w:val="00286772"/>
    <w:rsid w:val="002867D4"/>
    <w:rsid w:val="002867F5"/>
    <w:rsid w:val="0028681C"/>
    <w:rsid w:val="0028681F"/>
    <w:rsid w:val="00286967"/>
    <w:rsid w:val="002869E3"/>
    <w:rsid w:val="00286A19"/>
    <w:rsid w:val="00286AE1"/>
    <w:rsid w:val="00286B99"/>
    <w:rsid w:val="00286BB1"/>
    <w:rsid w:val="00286C6C"/>
    <w:rsid w:val="00286C97"/>
    <w:rsid w:val="00286D14"/>
    <w:rsid w:val="00286E80"/>
    <w:rsid w:val="00286E91"/>
    <w:rsid w:val="00286ECB"/>
    <w:rsid w:val="00286FA0"/>
    <w:rsid w:val="00286FC4"/>
    <w:rsid w:val="002871F4"/>
    <w:rsid w:val="002872D7"/>
    <w:rsid w:val="00287324"/>
    <w:rsid w:val="002873BF"/>
    <w:rsid w:val="00287696"/>
    <w:rsid w:val="002876D3"/>
    <w:rsid w:val="00287815"/>
    <w:rsid w:val="00287830"/>
    <w:rsid w:val="0028785F"/>
    <w:rsid w:val="002879D5"/>
    <w:rsid w:val="00287A6C"/>
    <w:rsid w:val="00287AC1"/>
    <w:rsid w:val="00287ACE"/>
    <w:rsid w:val="00287AFC"/>
    <w:rsid w:val="00287B48"/>
    <w:rsid w:val="00287C36"/>
    <w:rsid w:val="00287C84"/>
    <w:rsid w:val="00287CDF"/>
    <w:rsid w:val="00287D3A"/>
    <w:rsid w:val="00287D90"/>
    <w:rsid w:val="00287E96"/>
    <w:rsid w:val="00287F4C"/>
    <w:rsid w:val="00287F8D"/>
    <w:rsid w:val="00287F8E"/>
    <w:rsid w:val="00290115"/>
    <w:rsid w:val="0029031E"/>
    <w:rsid w:val="0029037B"/>
    <w:rsid w:val="002904A5"/>
    <w:rsid w:val="002904CF"/>
    <w:rsid w:val="00290571"/>
    <w:rsid w:val="002905A0"/>
    <w:rsid w:val="002905EF"/>
    <w:rsid w:val="002905F7"/>
    <w:rsid w:val="0029062D"/>
    <w:rsid w:val="002906F5"/>
    <w:rsid w:val="002907F7"/>
    <w:rsid w:val="002908A3"/>
    <w:rsid w:val="002908BB"/>
    <w:rsid w:val="00290A0A"/>
    <w:rsid w:val="00290A7E"/>
    <w:rsid w:val="00290AB9"/>
    <w:rsid w:val="00290B13"/>
    <w:rsid w:val="00290B5A"/>
    <w:rsid w:val="00290B5F"/>
    <w:rsid w:val="00290B75"/>
    <w:rsid w:val="00290BB3"/>
    <w:rsid w:val="00290C26"/>
    <w:rsid w:val="00290C8D"/>
    <w:rsid w:val="00290D28"/>
    <w:rsid w:val="002910EF"/>
    <w:rsid w:val="00291113"/>
    <w:rsid w:val="0029117C"/>
    <w:rsid w:val="00291194"/>
    <w:rsid w:val="00291220"/>
    <w:rsid w:val="002912CB"/>
    <w:rsid w:val="002913A5"/>
    <w:rsid w:val="00291407"/>
    <w:rsid w:val="00291469"/>
    <w:rsid w:val="002914DB"/>
    <w:rsid w:val="00291529"/>
    <w:rsid w:val="002916A6"/>
    <w:rsid w:val="002916D8"/>
    <w:rsid w:val="002916E0"/>
    <w:rsid w:val="002916E9"/>
    <w:rsid w:val="0029174E"/>
    <w:rsid w:val="00291769"/>
    <w:rsid w:val="0029176F"/>
    <w:rsid w:val="0029177C"/>
    <w:rsid w:val="00291885"/>
    <w:rsid w:val="002918E9"/>
    <w:rsid w:val="0029191C"/>
    <w:rsid w:val="002919A5"/>
    <w:rsid w:val="002919EF"/>
    <w:rsid w:val="00291A3D"/>
    <w:rsid w:val="00291A88"/>
    <w:rsid w:val="00291A8F"/>
    <w:rsid w:val="00291B76"/>
    <w:rsid w:val="00291C6F"/>
    <w:rsid w:val="00291D77"/>
    <w:rsid w:val="00291DE6"/>
    <w:rsid w:val="00291E0F"/>
    <w:rsid w:val="00291F07"/>
    <w:rsid w:val="00291FA9"/>
    <w:rsid w:val="00291FE9"/>
    <w:rsid w:val="00292177"/>
    <w:rsid w:val="00292197"/>
    <w:rsid w:val="002922A1"/>
    <w:rsid w:val="00292449"/>
    <w:rsid w:val="00292612"/>
    <w:rsid w:val="0029263D"/>
    <w:rsid w:val="002926B9"/>
    <w:rsid w:val="002926CB"/>
    <w:rsid w:val="00292740"/>
    <w:rsid w:val="00292757"/>
    <w:rsid w:val="002927A3"/>
    <w:rsid w:val="0029283E"/>
    <w:rsid w:val="0029284B"/>
    <w:rsid w:val="00292920"/>
    <w:rsid w:val="0029297C"/>
    <w:rsid w:val="002929D0"/>
    <w:rsid w:val="002929D8"/>
    <w:rsid w:val="00292AEE"/>
    <w:rsid w:val="00292B41"/>
    <w:rsid w:val="00292C30"/>
    <w:rsid w:val="00292CCD"/>
    <w:rsid w:val="00292DD8"/>
    <w:rsid w:val="00292E4B"/>
    <w:rsid w:val="00292F2B"/>
    <w:rsid w:val="002930F2"/>
    <w:rsid w:val="0029317B"/>
    <w:rsid w:val="002931E5"/>
    <w:rsid w:val="00293241"/>
    <w:rsid w:val="0029331C"/>
    <w:rsid w:val="00293466"/>
    <w:rsid w:val="002934ED"/>
    <w:rsid w:val="0029350B"/>
    <w:rsid w:val="00293528"/>
    <w:rsid w:val="00293553"/>
    <w:rsid w:val="0029358B"/>
    <w:rsid w:val="0029358E"/>
    <w:rsid w:val="002937C6"/>
    <w:rsid w:val="00293851"/>
    <w:rsid w:val="002938EA"/>
    <w:rsid w:val="002938F5"/>
    <w:rsid w:val="00293931"/>
    <w:rsid w:val="002939CF"/>
    <w:rsid w:val="00293A8F"/>
    <w:rsid w:val="00293B02"/>
    <w:rsid w:val="00293B5D"/>
    <w:rsid w:val="00293C18"/>
    <w:rsid w:val="00293D16"/>
    <w:rsid w:val="00293D96"/>
    <w:rsid w:val="00293DC0"/>
    <w:rsid w:val="00293E72"/>
    <w:rsid w:val="00293F5E"/>
    <w:rsid w:val="00293FDF"/>
    <w:rsid w:val="00293FEF"/>
    <w:rsid w:val="002940F3"/>
    <w:rsid w:val="002941D8"/>
    <w:rsid w:val="002943A3"/>
    <w:rsid w:val="002944A1"/>
    <w:rsid w:val="002944CB"/>
    <w:rsid w:val="00294697"/>
    <w:rsid w:val="002947C8"/>
    <w:rsid w:val="002947E9"/>
    <w:rsid w:val="00294809"/>
    <w:rsid w:val="00294888"/>
    <w:rsid w:val="002948FE"/>
    <w:rsid w:val="00294944"/>
    <w:rsid w:val="002949D3"/>
    <w:rsid w:val="00294B23"/>
    <w:rsid w:val="00294B8F"/>
    <w:rsid w:val="00294D45"/>
    <w:rsid w:val="00294F2D"/>
    <w:rsid w:val="00294F5C"/>
    <w:rsid w:val="00294FDC"/>
    <w:rsid w:val="0029503F"/>
    <w:rsid w:val="0029505F"/>
    <w:rsid w:val="00295083"/>
    <w:rsid w:val="00295166"/>
    <w:rsid w:val="00295306"/>
    <w:rsid w:val="00295354"/>
    <w:rsid w:val="0029537B"/>
    <w:rsid w:val="002953C8"/>
    <w:rsid w:val="002954D5"/>
    <w:rsid w:val="002955DF"/>
    <w:rsid w:val="002956A4"/>
    <w:rsid w:val="002957F7"/>
    <w:rsid w:val="00295869"/>
    <w:rsid w:val="002958B3"/>
    <w:rsid w:val="0029595E"/>
    <w:rsid w:val="00295A4B"/>
    <w:rsid w:val="00295BBC"/>
    <w:rsid w:val="00295C51"/>
    <w:rsid w:val="00295EB0"/>
    <w:rsid w:val="00295FB0"/>
    <w:rsid w:val="0029600F"/>
    <w:rsid w:val="00296022"/>
    <w:rsid w:val="00296173"/>
    <w:rsid w:val="002961B1"/>
    <w:rsid w:val="002961F1"/>
    <w:rsid w:val="00296251"/>
    <w:rsid w:val="002962D6"/>
    <w:rsid w:val="002963AD"/>
    <w:rsid w:val="002964F6"/>
    <w:rsid w:val="002965D1"/>
    <w:rsid w:val="002965F8"/>
    <w:rsid w:val="00296676"/>
    <w:rsid w:val="00296690"/>
    <w:rsid w:val="0029676B"/>
    <w:rsid w:val="0029691A"/>
    <w:rsid w:val="00296A30"/>
    <w:rsid w:val="00296A49"/>
    <w:rsid w:val="00296AB0"/>
    <w:rsid w:val="00296BA6"/>
    <w:rsid w:val="00296BD4"/>
    <w:rsid w:val="00296BEA"/>
    <w:rsid w:val="00296D1F"/>
    <w:rsid w:val="00296E15"/>
    <w:rsid w:val="00296E55"/>
    <w:rsid w:val="00296F7A"/>
    <w:rsid w:val="00297003"/>
    <w:rsid w:val="00297148"/>
    <w:rsid w:val="00297180"/>
    <w:rsid w:val="00297392"/>
    <w:rsid w:val="002973B5"/>
    <w:rsid w:val="00297524"/>
    <w:rsid w:val="00297530"/>
    <w:rsid w:val="00297532"/>
    <w:rsid w:val="00297582"/>
    <w:rsid w:val="00297694"/>
    <w:rsid w:val="00297772"/>
    <w:rsid w:val="00297822"/>
    <w:rsid w:val="00297872"/>
    <w:rsid w:val="00297C34"/>
    <w:rsid w:val="00297C7D"/>
    <w:rsid w:val="00297CA5"/>
    <w:rsid w:val="00297CBF"/>
    <w:rsid w:val="00297CE3"/>
    <w:rsid w:val="00297D64"/>
    <w:rsid w:val="00297E06"/>
    <w:rsid w:val="00297F58"/>
    <w:rsid w:val="00297F81"/>
    <w:rsid w:val="00297F9C"/>
    <w:rsid w:val="002A00DA"/>
    <w:rsid w:val="002A0184"/>
    <w:rsid w:val="002A01D6"/>
    <w:rsid w:val="002A0230"/>
    <w:rsid w:val="002A026F"/>
    <w:rsid w:val="002A040B"/>
    <w:rsid w:val="002A044F"/>
    <w:rsid w:val="002A045F"/>
    <w:rsid w:val="002A05D5"/>
    <w:rsid w:val="002A069C"/>
    <w:rsid w:val="002A073D"/>
    <w:rsid w:val="002A076C"/>
    <w:rsid w:val="002A0896"/>
    <w:rsid w:val="002A089C"/>
    <w:rsid w:val="002A0A7F"/>
    <w:rsid w:val="002A0B5A"/>
    <w:rsid w:val="002A0C15"/>
    <w:rsid w:val="002A0C55"/>
    <w:rsid w:val="002A0E20"/>
    <w:rsid w:val="002A0E83"/>
    <w:rsid w:val="002A0EF1"/>
    <w:rsid w:val="002A0EFD"/>
    <w:rsid w:val="002A0F0D"/>
    <w:rsid w:val="002A1054"/>
    <w:rsid w:val="002A1250"/>
    <w:rsid w:val="002A12A0"/>
    <w:rsid w:val="002A135A"/>
    <w:rsid w:val="002A1385"/>
    <w:rsid w:val="002A149A"/>
    <w:rsid w:val="002A14FA"/>
    <w:rsid w:val="002A15A5"/>
    <w:rsid w:val="002A163F"/>
    <w:rsid w:val="002A1640"/>
    <w:rsid w:val="002A1655"/>
    <w:rsid w:val="002A1664"/>
    <w:rsid w:val="002A1762"/>
    <w:rsid w:val="002A1A33"/>
    <w:rsid w:val="002A1AF6"/>
    <w:rsid w:val="002A1C67"/>
    <w:rsid w:val="002A1D4F"/>
    <w:rsid w:val="002A1D80"/>
    <w:rsid w:val="002A1E76"/>
    <w:rsid w:val="002A1EBB"/>
    <w:rsid w:val="002A1F3B"/>
    <w:rsid w:val="002A1F4A"/>
    <w:rsid w:val="002A2035"/>
    <w:rsid w:val="002A2134"/>
    <w:rsid w:val="002A223F"/>
    <w:rsid w:val="002A224A"/>
    <w:rsid w:val="002A2484"/>
    <w:rsid w:val="002A2514"/>
    <w:rsid w:val="002A2543"/>
    <w:rsid w:val="002A2555"/>
    <w:rsid w:val="002A2562"/>
    <w:rsid w:val="002A28C1"/>
    <w:rsid w:val="002A2960"/>
    <w:rsid w:val="002A2A4C"/>
    <w:rsid w:val="002A2B98"/>
    <w:rsid w:val="002A2BA4"/>
    <w:rsid w:val="002A2C13"/>
    <w:rsid w:val="002A2C3C"/>
    <w:rsid w:val="002A2D86"/>
    <w:rsid w:val="002A2ED8"/>
    <w:rsid w:val="002A2FD4"/>
    <w:rsid w:val="002A33AA"/>
    <w:rsid w:val="002A344A"/>
    <w:rsid w:val="002A3452"/>
    <w:rsid w:val="002A345A"/>
    <w:rsid w:val="002A347E"/>
    <w:rsid w:val="002A3482"/>
    <w:rsid w:val="002A355B"/>
    <w:rsid w:val="002A3680"/>
    <w:rsid w:val="002A370B"/>
    <w:rsid w:val="002A370E"/>
    <w:rsid w:val="002A371F"/>
    <w:rsid w:val="002A3742"/>
    <w:rsid w:val="002A3793"/>
    <w:rsid w:val="002A3832"/>
    <w:rsid w:val="002A3860"/>
    <w:rsid w:val="002A39BA"/>
    <w:rsid w:val="002A39D1"/>
    <w:rsid w:val="002A3A14"/>
    <w:rsid w:val="002A3A16"/>
    <w:rsid w:val="002A3A2F"/>
    <w:rsid w:val="002A3A67"/>
    <w:rsid w:val="002A3CFA"/>
    <w:rsid w:val="002A3E39"/>
    <w:rsid w:val="002A3E95"/>
    <w:rsid w:val="002A4067"/>
    <w:rsid w:val="002A40E7"/>
    <w:rsid w:val="002A4216"/>
    <w:rsid w:val="002A42FD"/>
    <w:rsid w:val="002A43A2"/>
    <w:rsid w:val="002A43BA"/>
    <w:rsid w:val="002A45CA"/>
    <w:rsid w:val="002A463F"/>
    <w:rsid w:val="002A46E1"/>
    <w:rsid w:val="002A47A4"/>
    <w:rsid w:val="002A4881"/>
    <w:rsid w:val="002A497C"/>
    <w:rsid w:val="002A4B10"/>
    <w:rsid w:val="002A4B6A"/>
    <w:rsid w:val="002A4C24"/>
    <w:rsid w:val="002A4C6A"/>
    <w:rsid w:val="002A4C6B"/>
    <w:rsid w:val="002A4E10"/>
    <w:rsid w:val="002A4EB3"/>
    <w:rsid w:val="002A4ECA"/>
    <w:rsid w:val="002A4ECF"/>
    <w:rsid w:val="002A5053"/>
    <w:rsid w:val="002A507D"/>
    <w:rsid w:val="002A5145"/>
    <w:rsid w:val="002A5170"/>
    <w:rsid w:val="002A52D4"/>
    <w:rsid w:val="002A534A"/>
    <w:rsid w:val="002A553D"/>
    <w:rsid w:val="002A558B"/>
    <w:rsid w:val="002A5787"/>
    <w:rsid w:val="002A587E"/>
    <w:rsid w:val="002A5B8A"/>
    <w:rsid w:val="002A5CAE"/>
    <w:rsid w:val="002A5CC5"/>
    <w:rsid w:val="002A5D8C"/>
    <w:rsid w:val="002A5E9D"/>
    <w:rsid w:val="002A5F60"/>
    <w:rsid w:val="002A603A"/>
    <w:rsid w:val="002A60E4"/>
    <w:rsid w:val="002A60EE"/>
    <w:rsid w:val="002A6203"/>
    <w:rsid w:val="002A6265"/>
    <w:rsid w:val="002A626E"/>
    <w:rsid w:val="002A62BD"/>
    <w:rsid w:val="002A62FA"/>
    <w:rsid w:val="002A640A"/>
    <w:rsid w:val="002A6454"/>
    <w:rsid w:val="002A6652"/>
    <w:rsid w:val="002A6805"/>
    <w:rsid w:val="002A691C"/>
    <w:rsid w:val="002A692B"/>
    <w:rsid w:val="002A6A0A"/>
    <w:rsid w:val="002A6A30"/>
    <w:rsid w:val="002A6A8C"/>
    <w:rsid w:val="002A6AE2"/>
    <w:rsid w:val="002A6AEE"/>
    <w:rsid w:val="002A6B3D"/>
    <w:rsid w:val="002A6CC6"/>
    <w:rsid w:val="002A6E33"/>
    <w:rsid w:val="002A6FCB"/>
    <w:rsid w:val="002A7059"/>
    <w:rsid w:val="002A70CD"/>
    <w:rsid w:val="002A713A"/>
    <w:rsid w:val="002A720B"/>
    <w:rsid w:val="002A7341"/>
    <w:rsid w:val="002A7364"/>
    <w:rsid w:val="002A756A"/>
    <w:rsid w:val="002A759A"/>
    <w:rsid w:val="002A75B6"/>
    <w:rsid w:val="002A7634"/>
    <w:rsid w:val="002A7683"/>
    <w:rsid w:val="002A773A"/>
    <w:rsid w:val="002A77E2"/>
    <w:rsid w:val="002A78B2"/>
    <w:rsid w:val="002A7AF8"/>
    <w:rsid w:val="002A7B78"/>
    <w:rsid w:val="002A7BBB"/>
    <w:rsid w:val="002A7BC9"/>
    <w:rsid w:val="002A7C02"/>
    <w:rsid w:val="002A7C43"/>
    <w:rsid w:val="002A7D33"/>
    <w:rsid w:val="002A7D79"/>
    <w:rsid w:val="002A7DC4"/>
    <w:rsid w:val="002A7E81"/>
    <w:rsid w:val="002A7F9A"/>
    <w:rsid w:val="002A7FE9"/>
    <w:rsid w:val="002B002B"/>
    <w:rsid w:val="002B0180"/>
    <w:rsid w:val="002B01C1"/>
    <w:rsid w:val="002B02AE"/>
    <w:rsid w:val="002B035F"/>
    <w:rsid w:val="002B03A6"/>
    <w:rsid w:val="002B0475"/>
    <w:rsid w:val="002B04C3"/>
    <w:rsid w:val="002B08AF"/>
    <w:rsid w:val="002B096D"/>
    <w:rsid w:val="002B09E9"/>
    <w:rsid w:val="002B0A71"/>
    <w:rsid w:val="002B0AD1"/>
    <w:rsid w:val="002B0B1F"/>
    <w:rsid w:val="002B0B60"/>
    <w:rsid w:val="002B0B71"/>
    <w:rsid w:val="002B0E58"/>
    <w:rsid w:val="002B0F40"/>
    <w:rsid w:val="002B10A7"/>
    <w:rsid w:val="002B10D3"/>
    <w:rsid w:val="002B1109"/>
    <w:rsid w:val="002B117C"/>
    <w:rsid w:val="002B11C0"/>
    <w:rsid w:val="002B1261"/>
    <w:rsid w:val="002B1325"/>
    <w:rsid w:val="002B13C1"/>
    <w:rsid w:val="002B15D3"/>
    <w:rsid w:val="002B15FE"/>
    <w:rsid w:val="002B16C1"/>
    <w:rsid w:val="002B18B5"/>
    <w:rsid w:val="002B18EB"/>
    <w:rsid w:val="002B1BEC"/>
    <w:rsid w:val="002B1CEE"/>
    <w:rsid w:val="002B1D5D"/>
    <w:rsid w:val="002B1DC0"/>
    <w:rsid w:val="002B1EFB"/>
    <w:rsid w:val="002B1F47"/>
    <w:rsid w:val="002B1F82"/>
    <w:rsid w:val="002B1FE6"/>
    <w:rsid w:val="002B20E6"/>
    <w:rsid w:val="002B2209"/>
    <w:rsid w:val="002B236B"/>
    <w:rsid w:val="002B236C"/>
    <w:rsid w:val="002B2420"/>
    <w:rsid w:val="002B259E"/>
    <w:rsid w:val="002B270B"/>
    <w:rsid w:val="002B2727"/>
    <w:rsid w:val="002B2766"/>
    <w:rsid w:val="002B282B"/>
    <w:rsid w:val="002B2847"/>
    <w:rsid w:val="002B284A"/>
    <w:rsid w:val="002B2859"/>
    <w:rsid w:val="002B295B"/>
    <w:rsid w:val="002B2AF6"/>
    <w:rsid w:val="002B2C23"/>
    <w:rsid w:val="002B2C25"/>
    <w:rsid w:val="002B2DAC"/>
    <w:rsid w:val="002B2E1E"/>
    <w:rsid w:val="002B2EBF"/>
    <w:rsid w:val="002B2F7F"/>
    <w:rsid w:val="002B302D"/>
    <w:rsid w:val="002B3310"/>
    <w:rsid w:val="002B3362"/>
    <w:rsid w:val="002B336F"/>
    <w:rsid w:val="002B33CF"/>
    <w:rsid w:val="002B346F"/>
    <w:rsid w:val="002B359B"/>
    <w:rsid w:val="002B35B6"/>
    <w:rsid w:val="002B36A3"/>
    <w:rsid w:val="002B37DB"/>
    <w:rsid w:val="002B38FF"/>
    <w:rsid w:val="002B3960"/>
    <w:rsid w:val="002B39E8"/>
    <w:rsid w:val="002B3A04"/>
    <w:rsid w:val="002B3ACA"/>
    <w:rsid w:val="002B3AF5"/>
    <w:rsid w:val="002B3BD4"/>
    <w:rsid w:val="002B3C80"/>
    <w:rsid w:val="002B3CBB"/>
    <w:rsid w:val="002B3EBB"/>
    <w:rsid w:val="002B3F92"/>
    <w:rsid w:val="002B415A"/>
    <w:rsid w:val="002B42CE"/>
    <w:rsid w:val="002B431F"/>
    <w:rsid w:val="002B449E"/>
    <w:rsid w:val="002B48A5"/>
    <w:rsid w:val="002B4927"/>
    <w:rsid w:val="002B49BF"/>
    <w:rsid w:val="002B49DC"/>
    <w:rsid w:val="002B4A52"/>
    <w:rsid w:val="002B4B45"/>
    <w:rsid w:val="002B4CA3"/>
    <w:rsid w:val="002B4DAE"/>
    <w:rsid w:val="002B4E85"/>
    <w:rsid w:val="002B4EAD"/>
    <w:rsid w:val="002B4F23"/>
    <w:rsid w:val="002B4F76"/>
    <w:rsid w:val="002B51CD"/>
    <w:rsid w:val="002B51D5"/>
    <w:rsid w:val="002B538F"/>
    <w:rsid w:val="002B547B"/>
    <w:rsid w:val="002B551B"/>
    <w:rsid w:val="002B5532"/>
    <w:rsid w:val="002B567C"/>
    <w:rsid w:val="002B5769"/>
    <w:rsid w:val="002B591B"/>
    <w:rsid w:val="002B595D"/>
    <w:rsid w:val="002B5970"/>
    <w:rsid w:val="002B5976"/>
    <w:rsid w:val="002B5993"/>
    <w:rsid w:val="002B5996"/>
    <w:rsid w:val="002B59B1"/>
    <w:rsid w:val="002B5AD4"/>
    <w:rsid w:val="002B5C97"/>
    <w:rsid w:val="002B5DA0"/>
    <w:rsid w:val="002B5E3E"/>
    <w:rsid w:val="002B6032"/>
    <w:rsid w:val="002B6071"/>
    <w:rsid w:val="002B6100"/>
    <w:rsid w:val="002B6178"/>
    <w:rsid w:val="002B623A"/>
    <w:rsid w:val="002B6385"/>
    <w:rsid w:val="002B63AD"/>
    <w:rsid w:val="002B6467"/>
    <w:rsid w:val="002B6493"/>
    <w:rsid w:val="002B6548"/>
    <w:rsid w:val="002B6641"/>
    <w:rsid w:val="002B6696"/>
    <w:rsid w:val="002B669A"/>
    <w:rsid w:val="002B682A"/>
    <w:rsid w:val="002B68FA"/>
    <w:rsid w:val="002B691F"/>
    <w:rsid w:val="002B6982"/>
    <w:rsid w:val="002B6AD1"/>
    <w:rsid w:val="002B6AE8"/>
    <w:rsid w:val="002B6CEC"/>
    <w:rsid w:val="002B6D02"/>
    <w:rsid w:val="002B6D10"/>
    <w:rsid w:val="002B6D21"/>
    <w:rsid w:val="002B6DFD"/>
    <w:rsid w:val="002B6E0F"/>
    <w:rsid w:val="002B6E67"/>
    <w:rsid w:val="002B6E79"/>
    <w:rsid w:val="002B6E97"/>
    <w:rsid w:val="002B6ED8"/>
    <w:rsid w:val="002B6F5B"/>
    <w:rsid w:val="002B6FF0"/>
    <w:rsid w:val="002B70B6"/>
    <w:rsid w:val="002B70BA"/>
    <w:rsid w:val="002B70C8"/>
    <w:rsid w:val="002B7176"/>
    <w:rsid w:val="002B72E7"/>
    <w:rsid w:val="002B73A1"/>
    <w:rsid w:val="002B73B5"/>
    <w:rsid w:val="002B7442"/>
    <w:rsid w:val="002B7531"/>
    <w:rsid w:val="002B7583"/>
    <w:rsid w:val="002B75E9"/>
    <w:rsid w:val="002B7678"/>
    <w:rsid w:val="002B76AC"/>
    <w:rsid w:val="002B7825"/>
    <w:rsid w:val="002B79B0"/>
    <w:rsid w:val="002B79C5"/>
    <w:rsid w:val="002B7C5E"/>
    <w:rsid w:val="002B7DB2"/>
    <w:rsid w:val="002B7EDA"/>
    <w:rsid w:val="002B7F81"/>
    <w:rsid w:val="002C0123"/>
    <w:rsid w:val="002C017A"/>
    <w:rsid w:val="002C01AD"/>
    <w:rsid w:val="002C027C"/>
    <w:rsid w:val="002C0332"/>
    <w:rsid w:val="002C0485"/>
    <w:rsid w:val="002C04E7"/>
    <w:rsid w:val="002C04F4"/>
    <w:rsid w:val="002C05E9"/>
    <w:rsid w:val="002C0698"/>
    <w:rsid w:val="002C074A"/>
    <w:rsid w:val="002C07BF"/>
    <w:rsid w:val="002C07DE"/>
    <w:rsid w:val="002C0838"/>
    <w:rsid w:val="002C0840"/>
    <w:rsid w:val="002C094F"/>
    <w:rsid w:val="002C0C69"/>
    <w:rsid w:val="002C0D34"/>
    <w:rsid w:val="002C0ED0"/>
    <w:rsid w:val="002C0FC9"/>
    <w:rsid w:val="002C0FF3"/>
    <w:rsid w:val="002C10F1"/>
    <w:rsid w:val="002C1103"/>
    <w:rsid w:val="002C11BB"/>
    <w:rsid w:val="002C121F"/>
    <w:rsid w:val="002C149D"/>
    <w:rsid w:val="002C14A8"/>
    <w:rsid w:val="002C164E"/>
    <w:rsid w:val="002C1974"/>
    <w:rsid w:val="002C19BC"/>
    <w:rsid w:val="002C1A34"/>
    <w:rsid w:val="002C1A43"/>
    <w:rsid w:val="002C1B0F"/>
    <w:rsid w:val="002C1B7B"/>
    <w:rsid w:val="002C1CA1"/>
    <w:rsid w:val="002C1E37"/>
    <w:rsid w:val="002C1FB8"/>
    <w:rsid w:val="002C1FCA"/>
    <w:rsid w:val="002C20A9"/>
    <w:rsid w:val="002C2137"/>
    <w:rsid w:val="002C220D"/>
    <w:rsid w:val="002C2265"/>
    <w:rsid w:val="002C22B6"/>
    <w:rsid w:val="002C22E0"/>
    <w:rsid w:val="002C2320"/>
    <w:rsid w:val="002C23AF"/>
    <w:rsid w:val="002C2453"/>
    <w:rsid w:val="002C2541"/>
    <w:rsid w:val="002C2589"/>
    <w:rsid w:val="002C2592"/>
    <w:rsid w:val="002C2607"/>
    <w:rsid w:val="002C26CF"/>
    <w:rsid w:val="002C2926"/>
    <w:rsid w:val="002C2A00"/>
    <w:rsid w:val="002C2A3B"/>
    <w:rsid w:val="002C2A4B"/>
    <w:rsid w:val="002C2AD5"/>
    <w:rsid w:val="002C2B39"/>
    <w:rsid w:val="002C2B73"/>
    <w:rsid w:val="002C2B9A"/>
    <w:rsid w:val="002C2C04"/>
    <w:rsid w:val="002C2C96"/>
    <w:rsid w:val="002C2CBF"/>
    <w:rsid w:val="002C2D15"/>
    <w:rsid w:val="002C2D6B"/>
    <w:rsid w:val="002C2E79"/>
    <w:rsid w:val="002C2EFF"/>
    <w:rsid w:val="002C2F86"/>
    <w:rsid w:val="002C3064"/>
    <w:rsid w:val="002C3158"/>
    <w:rsid w:val="002C327E"/>
    <w:rsid w:val="002C3580"/>
    <w:rsid w:val="002C3604"/>
    <w:rsid w:val="002C370E"/>
    <w:rsid w:val="002C3768"/>
    <w:rsid w:val="002C385C"/>
    <w:rsid w:val="002C3899"/>
    <w:rsid w:val="002C3944"/>
    <w:rsid w:val="002C39E7"/>
    <w:rsid w:val="002C3C02"/>
    <w:rsid w:val="002C3C41"/>
    <w:rsid w:val="002C3D4F"/>
    <w:rsid w:val="002C3D68"/>
    <w:rsid w:val="002C3D90"/>
    <w:rsid w:val="002C3E37"/>
    <w:rsid w:val="002C3EDD"/>
    <w:rsid w:val="002C4060"/>
    <w:rsid w:val="002C415D"/>
    <w:rsid w:val="002C41E9"/>
    <w:rsid w:val="002C4342"/>
    <w:rsid w:val="002C447D"/>
    <w:rsid w:val="002C44F6"/>
    <w:rsid w:val="002C4527"/>
    <w:rsid w:val="002C4585"/>
    <w:rsid w:val="002C4661"/>
    <w:rsid w:val="002C46A5"/>
    <w:rsid w:val="002C4783"/>
    <w:rsid w:val="002C4808"/>
    <w:rsid w:val="002C48D7"/>
    <w:rsid w:val="002C48E9"/>
    <w:rsid w:val="002C4923"/>
    <w:rsid w:val="002C4924"/>
    <w:rsid w:val="002C4975"/>
    <w:rsid w:val="002C4A30"/>
    <w:rsid w:val="002C4A84"/>
    <w:rsid w:val="002C4AEF"/>
    <w:rsid w:val="002C4B36"/>
    <w:rsid w:val="002C4BD9"/>
    <w:rsid w:val="002C4C46"/>
    <w:rsid w:val="002C4C48"/>
    <w:rsid w:val="002C4DC9"/>
    <w:rsid w:val="002C4E77"/>
    <w:rsid w:val="002C4F26"/>
    <w:rsid w:val="002C4F4D"/>
    <w:rsid w:val="002C4F84"/>
    <w:rsid w:val="002C4F87"/>
    <w:rsid w:val="002C5034"/>
    <w:rsid w:val="002C5043"/>
    <w:rsid w:val="002C514A"/>
    <w:rsid w:val="002C51DE"/>
    <w:rsid w:val="002C5347"/>
    <w:rsid w:val="002C55E2"/>
    <w:rsid w:val="002C5605"/>
    <w:rsid w:val="002C5677"/>
    <w:rsid w:val="002C579E"/>
    <w:rsid w:val="002C57AF"/>
    <w:rsid w:val="002C5A5F"/>
    <w:rsid w:val="002C5B41"/>
    <w:rsid w:val="002C5B66"/>
    <w:rsid w:val="002C5B6E"/>
    <w:rsid w:val="002C5B9F"/>
    <w:rsid w:val="002C5BDE"/>
    <w:rsid w:val="002C5D35"/>
    <w:rsid w:val="002C5D66"/>
    <w:rsid w:val="002C5F53"/>
    <w:rsid w:val="002C5F75"/>
    <w:rsid w:val="002C5FB2"/>
    <w:rsid w:val="002C604A"/>
    <w:rsid w:val="002C60A7"/>
    <w:rsid w:val="002C6194"/>
    <w:rsid w:val="002C61E4"/>
    <w:rsid w:val="002C6450"/>
    <w:rsid w:val="002C6638"/>
    <w:rsid w:val="002C670E"/>
    <w:rsid w:val="002C6741"/>
    <w:rsid w:val="002C6B66"/>
    <w:rsid w:val="002C6C57"/>
    <w:rsid w:val="002C6D02"/>
    <w:rsid w:val="002C6D55"/>
    <w:rsid w:val="002C6E0C"/>
    <w:rsid w:val="002C6E54"/>
    <w:rsid w:val="002C6F01"/>
    <w:rsid w:val="002C6F7A"/>
    <w:rsid w:val="002C701C"/>
    <w:rsid w:val="002C7378"/>
    <w:rsid w:val="002C74AB"/>
    <w:rsid w:val="002C74F7"/>
    <w:rsid w:val="002C75F2"/>
    <w:rsid w:val="002C7638"/>
    <w:rsid w:val="002C7791"/>
    <w:rsid w:val="002C77A1"/>
    <w:rsid w:val="002C77C2"/>
    <w:rsid w:val="002C7893"/>
    <w:rsid w:val="002C78D7"/>
    <w:rsid w:val="002C7A44"/>
    <w:rsid w:val="002C7B9F"/>
    <w:rsid w:val="002C7CC6"/>
    <w:rsid w:val="002C7DC9"/>
    <w:rsid w:val="002C7EB5"/>
    <w:rsid w:val="002C7F9C"/>
    <w:rsid w:val="002C7FC9"/>
    <w:rsid w:val="002D0017"/>
    <w:rsid w:val="002D010A"/>
    <w:rsid w:val="002D021E"/>
    <w:rsid w:val="002D0294"/>
    <w:rsid w:val="002D0336"/>
    <w:rsid w:val="002D036C"/>
    <w:rsid w:val="002D0425"/>
    <w:rsid w:val="002D06B4"/>
    <w:rsid w:val="002D0711"/>
    <w:rsid w:val="002D0718"/>
    <w:rsid w:val="002D086B"/>
    <w:rsid w:val="002D088E"/>
    <w:rsid w:val="002D08A0"/>
    <w:rsid w:val="002D08B0"/>
    <w:rsid w:val="002D08E7"/>
    <w:rsid w:val="002D0A85"/>
    <w:rsid w:val="002D0A8A"/>
    <w:rsid w:val="002D0C7F"/>
    <w:rsid w:val="002D0CDA"/>
    <w:rsid w:val="002D0FB7"/>
    <w:rsid w:val="002D103E"/>
    <w:rsid w:val="002D103F"/>
    <w:rsid w:val="002D1042"/>
    <w:rsid w:val="002D1117"/>
    <w:rsid w:val="002D12E7"/>
    <w:rsid w:val="002D13FC"/>
    <w:rsid w:val="002D14A6"/>
    <w:rsid w:val="002D14BA"/>
    <w:rsid w:val="002D1549"/>
    <w:rsid w:val="002D1596"/>
    <w:rsid w:val="002D15B9"/>
    <w:rsid w:val="002D15E3"/>
    <w:rsid w:val="002D162D"/>
    <w:rsid w:val="002D1769"/>
    <w:rsid w:val="002D17BA"/>
    <w:rsid w:val="002D1836"/>
    <w:rsid w:val="002D18DF"/>
    <w:rsid w:val="002D18F3"/>
    <w:rsid w:val="002D197D"/>
    <w:rsid w:val="002D19D8"/>
    <w:rsid w:val="002D1B47"/>
    <w:rsid w:val="002D1B8A"/>
    <w:rsid w:val="002D1BCA"/>
    <w:rsid w:val="002D1C2A"/>
    <w:rsid w:val="002D1CCC"/>
    <w:rsid w:val="002D1ED2"/>
    <w:rsid w:val="002D21E6"/>
    <w:rsid w:val="002D2245"/>
    <w:rsid w:val="002D22F4"/>
    <w:rsid w:val="002D2358"/>
    <w:rsid w:val="002D24B3"/>
    <w:rsid w:val="002D2511"/>
    <w:rsid w:val="002D2546"/>
    <w:rsid w:val="002D255A"/>
    <w:rsid w:val="002D2581"/>
    <w:rsid w:val="002D25E8"/>
    <w:rsid w:val="002D2651"/>
    <w:rsid w:val="002D284C"/>
    <w:rsid w:val="002D2866"/>
    <w:rsid w:val="002D2891"/>
    <w:rsid w:val="002D2BB8"/>
    <w:rsid w:val="002D2C6B"/>
    <w:rsid w:val="002D2C86"/>
    <w:rsid w:val="002D3134"/>
    <w:rsid w:val="002D31A0"/>
    <w:rsid w:val="002D31A9"/>
    <w:rsid w:val="002D3223"/>
    <w:rsid w:val="002D3298"/>
    <w:rsid w:val="002D32CA"/>
    <w:rsid w:val="002D342D"/>
    <w:rsid w:val="002D3568"/>
    <w:rsid w:val="002D364C"/>
    <w:rsid w:val="002D37C0"/>
    <w:rsid w:val="002D381D"/>
    <w:rsid w:val="002D390A"/>
    <w:rsid w:val="002D3995"/>
    <w:rsid w:val="002D39A5"/>
    <w:rsid w:val="002D3AA9"/>
    <w:rsid w:val="002D3AF1"/>
    <w:rsid w:val="002D3B5D"/>
    <w:rsid w:val="002D3CD3"/>
    <w:rsid w:val="002D3FE1"/>
    <w:rsid w:val="002D4066"/>
    <w:rsid w:val="002D40F5"/>
    <w:rsid w:val="002D412D"/>
    <w:rsid w:val="002D41FD"/>
    <w:rsid w:val="002D4243"/>
    <w:rsid w:val="002D4349"/>
    <w:rsid w:val="002D4383"/>
    <w:rsid w:val="002D444E"/>
    <w:rsid w:val="002D4462"/>
    <w:rsid w:val="002D44FA"/>
    <w:rsid w:val="002D460C"/>
    <w:rsid w:val="002D481F"/>
    <w:rsid w:val="002D48DC"/>
    <w:rsid w:val="002D48EB"/>
    <w:rsid w:val="002D4A83"/>
    <w:rsid w:val="002D4D33"/>
    <w:rsid w:val="002D4E1E"/>
    <w:rsid w:val="002D4EA5"/>
    <w:rsid w:val="002D4EEE"/>
    <w:rsid w:val="002D5137"/>
    <w:rsid w:val="002D516F"/>
    <w:rsid w:val="002D52F2"/>
    <w:rsid w:val="002D53B6"/>
    <w:rsid w:val="002D53E6"/>
    <w:rsid w:val="002D54C8"/>
    <w:rsid w:val="002D55EB"/>
    <w:rsid w:val="002D5672"/>
    <w:rsid w:val="002D57CA"/>
    <w:rsid w:val="002D5889"/>
    <w:rsid w:val="002D58A5"/>
    <w:rsid w:val="002D58CA"/>
    <w:rsid w:val="002D5925"/>
    <w:rsid w:val="002D5A74"/>
    <w:rsid w:val="002D5AA6"/>
    <w:rsid w:val="002D5E2A"/>
    <w:rsid w:val="002D5E35"/>
    <w:rsid w:val="002D5E82"/>
    <w:rsid w:val="002D5EDE"/>
    <w:rsid w:val="002D5F75"/>
    <w:rsid w:val="002D601A"/>
    <w:rsid w:val="002D60EB"/>
    <w:rsid w:val="002D60FF"/>
    <w:rsid w:val="002D6214"/>
    <w:rsid w:val="002D6578"/>
    <w:rsid w:val="002D6584"/>
    <w:rsid w:val="002D6641"/>
    <w:rsid w:val="002D666A"/>
    <w:rsid w:val="002D66C8"/>
    <w:rsid w:val="002D672A"/>
    <w:rsid w:val="002D6844"/>
    <w:rsid w:val="002D68D5"/>
    <w:rsid w:val="002D692B"/>
    <w:rsid w:val="002D6998"/>
    <w:rsid w:val="002D69DE"/>
    <w:rsid w:val="002D6A49"/>
    <w:rsid w:val="002D6AFB"/>
    <w:rsid w:val="002D6B3A"/>
    <w:rsid w:val="002D6BA1"/>
    <w:rsid w:val="002D6C2B"/>
    <w:rsid w:val="002D6C60"/>
    <w:rsid w:val="002D6C6E"/>
    <w:rsid w:val="002D6C71"/>
    <w:rsid w:val="002D6CB2"/>
    <w:rsid w:val="002D6CE7"/>
    <w:rsid w:val="002D6D3D"/>
    <w:rsid w:val="002D6D51"/>
    <w:rsid w:val="002D6D8D"/>
    <w:rsid w:val="002D6DB8"/>
    <w:rsid w:val="002D6DE3"/>
    <w:rsid w:val="002D6F39"/>
    <w:rsid w:val="002D700F"/>
    <w:rsid w:val="002D7031"/>
    <w:rsid w:val="002D73AA"/>
    <w:rsid w:val="002D74AA"/>
    <w:rsid w:val="002D7774"/>
    <w:rsid w:val="002D779F"/>
    <w:rsid w:val="002D796B"/>
    <w:rsid w:val="002D79D6"/>
    <w:rsid w:val="002D79DC"/>
    <w:rsid w:val="002D7AD5"/>
    <w:rsid w:val="002D7B09"/>
    <w:rsid w:val="002D7B81"/>
    <w:rsid w:val="002D7BB4"/>
    <w:rsid w:val="002D7C0E"/>
    <w:rsid w:val="002D7D27"/>
    <w:rsid w:val="002D7DFB"/>
    <w:rsid w:val="002D7E1C"/>
    <w:rsid w:val="002D7EC8"/>
    <w:rsid w:val="002D7FDC"/>
    <w:rsid w:val="002E0084"/>
    <w:rsid w:val="002E015D"/>
    <w:rsid w:val="002E01C7"/>
    <w:rsid w:val="002E0375"/>
    <w:rsid w:val="002E0406"/>
    <w:rsid w:val="002E0535"/>
    <w:rsid w:val="002E05E2"/>
    <w:rsid w:val="002E07C7"/>
    <w:rsid w:val="002E081F"/>
    <w:rsid w:val="002E08AD"/>
    <w:rsid w:val="002E08D1"/>
    <w:rsid w:val="002E0AD2"/>
    <w:rsid w:val="002E0B06"/>
    <w:rsid w:val="002E0B9C"/>
    <w:rsid w:val="002E0C5B"/>
    <w:rsid w:val="002E0CAA"/>
    <w:rsid w:val="002E0D25"/>
    <w:rsid w:val="002E0E97"/>
    <w:rsid w:val="002E0F39"/>
    <w:rsid w:val="002E0F72"/>
    <w:rsid w:val="002E0FF2"/>
    <w:rsid w:val="002E102D"/>
    <w:rsid w:val="002E110F"/>
    <w:rsid w:val="002E1130"/>
    <w:rsid w:val="002E11A3"/>
    <w:rsid w:val="002E12A0"/>
    <w:rsid w:val="002E14A2"/>
    <w:rsid w:val="002E154B"/>
    <w:rsid w:val="002E16CD"/>
    <w:rsid w:val="002E16DD"/>
    <w:rsid w:val="002E1731"/>
    <w:rsid w:val="002E176D"/>
    <w:rsid w:val="002E17C4"/>
    <w:rsid w:val="002E17CD"/>
    <w:rsid w:val="002E1842"/>
    <w:rsid w:val="002E1977"/>
    <w:rsid w:val="002E1A5C"/>
    <w:rsid w:val="002E1ACD"/>
    <w:rsid w:val="002E1B7A"/>
    <w:rsid w:val="002E1D4F"/>
    <w:rsid w:val="002E1D84"/>
    <w:rsid w:val="002E1D89"/>
    <w:rsid w:val="002E1E60"/>
    <w:rsid w:val="002E1E80"/>
    <w:rsid w:val="002E2030"/>
    <w:rsid w:val="002E203E"/>
    <w:rsid w:val="002E2111"/>
    <w:rsid w:val="002E213E"/>
    <w:rsid w:val="002E218B"/>
    <w:rsid w:val="002E22D4"/>
    <w:rsid w:val="002E2535"/>
    <w:rsid w:val="002E258E"/>
    <w:rsid w:val="002E2666"/>
    <w:rsid w:val="002E26A4"/>
    <w:rsid w:val="002E2723"/>
    <w:rsid w:val="002E2759"/>
    <w:rsid w:val="002E2874"/>
    <w:rsid w:val="002E29C0"/>
    <w:rsid w:val="002E29D2"/>
    <w:rsid w:val="002E29FB"/>
    <w:rsid w:val="002E2AB8"/>
    <w:rsid w:val="002E2BD7"/>
    <w:rsid w:val="002E2BFC"/>
    <w:rsid w:val="002E2E0D"/>
    <w:rsid w:val="002E2E56"/>
    <w:rsid w:val="002E2F3D"/>
    <w:rsid w:val="002E2F67"/>
    <w:rsid w:val="002E301C"/>
    <w:rsid w:val="002E304F"/>
    <w:rsid w:val="002E30DF"/>
    <w:rsid w:val="002E3165"/>
    <w:rsid w:val="002E31A9"/>
    <w:rsid w:val="002E3200"/>
    <w:rsid w:val="002E32A0"/>
    <w:rsid w:val="002E3622"/>
    <w:rsid w:val="002E385C"/>
    <w:rsid w:val="002E3A92"/>
    <w:rsid w:val="002E3BA8"/>
    <w:rsid w:val="002E3CAB"/>
    <w:rsid w:val="002E3D8E"/>
    <w:rsid w:val="002E3E0A"/>
    <w:rsid w:val="002E3E79"/>
    <w:rsid w:val="002E3EDC"/>
    <w:rsid w:val="002E4010"/>
    <w:rsid w:val="002E403D"/>
    <w:rsid w:val="002E419A"/>
    <w:rsid w:val="002E42D9"/>
    <w:rsid w:val="002E436A"/>
    <w:rsid w:val="002E43B1"/>
    <w:rsid w:val="002E455F"/>
    <w:rsid w:val="002E47A9"/>
    <w:rsid w:val="002E485B"/>
    <w:rsid w:val="002E4A0F"/>
    <w:rsid w:val="002E4BBD"/>
    <w:rsid w:val="002E4CD6"/>
    <w:rsid w:val="002E4DB3"/>
    <w:rsid w:val="002E4DB9"/>
    <w:rsid w:val="002E4E13"/>
    <w:rsid w:val="002E4E72"/>
    <w:rsid w:val="002E4ECD"/>
    <w:rsid w:val="002E4ED8"/>
    <w:rsid w:val="002E4F89"/>
    <w:rsid w:val="002E500D"/>
    <w:rsid w:val="002E5043"/>
    <w:rsid w:val="002E50E9"/>
    <w:rsid w:val="002E50F8"/>
    <w:rsid w:val="002E513B"/>
    <w:rsid w:val="002E52D3"/>
    <w:rsid w:val="002E5329"/>
    <w:rsid w:val="002E5404"/>
    <w:rsid w:val="002E5472"/>
    <w:rsid w:val="002E5483"/>
    <w:rsid w:val="002E54E3"/>
    <w:rsid w:val="002E5501"/>
    <w:rsid w:val="002E5550"/>
    <w:rsid w:val="002E5599"/>
    <w:rsid w:val="002E562C"/>
    <w:rsid w:val="002E562D"/>
    <w:rsid w:val="002E5716"/>
    <w:rsid w:val="002E578A"/>
    <w:rsid w:val="002E57C3"/>
    <w:rsid w:val="002E5860"/>
    <w:rsid w:val="002E5890"/>
    <w:rsid w:val="002E59A6"/>
    <w:rsid w:val="002E59AC"/>
    <w:rsid w:val="002E5AB9"/>
    <w:rsid w:val="002E5B48"/>
    <w:rsid w:val="002E5B76"/>
    <w:rsid w:val="002E5BB0"/>
    <w:rsid w:val="002E5DFD"/>
    <w:rsid w:val="002E5E8D"/>
    <w:rsid w:val="002E5FF3"/>
    <w:rsid w:val="002E6031"/>
    <w:rsid w:val="002E61F5"/>
    <w:rsid w:val="002E626F"/>
    <w:rsid w:val="002E6310"/>
    <w:rsid w:val="002E6341"/>
    <w:rsid w:val="002E6446"/>
    <w:rsid w:val="002E64D9"/>
    <w:rsid w:val="002E6589"/>
    <w:rsid w:val="002E658B"/>
    <w:rsid w:val="002E65DF"/>
    <w:rsid w:val="002E65F0"/>
    <w:rsid w:val="002E66CF"/>
    <w:rsid w:val="002E67AF"/>
    <w:rsid w:val="002E69B7"/>
    <w:rsid w:val="002E6AE7"/>
    <w:rsid w:val="002E6B1F"/>
    <w:rsid w:val="002E6B37"/>
    <w:rsid w:val="002E6BCD"/>
    <w:rsid w:val="002E6BEC"/>
    <w:rsid w:val="002E6C41"/>
    <w:rsid w:val="002E6CA3"/>
    <w:rsid w:val="002E6DDB"/>
    <w:rsid w:val="002E6DF9"/>
    <w:rsid w:val="002E6F3C"/>
    <w:rsid w:val="002E6FED"/>
    <w:rsid w:val="002E7140"/>
    <w:rsid w:val="002E73A4"/>
    <w:rsid w:val="002E754D"/>
    <w:rsid w:val="002E7692"/>
    <w:rsid w:val="002E76E2"/>
    <w:rsid w:val="002E7712"/>
    <w:rsid w:val="002E7734"/>
    <w:rsid w:val="002E783A"/>
    <w:rsid w:val="002E791B"/>
    <w:rsid w:val="002E7AB3"/>
    <w:rsid w:val="002E7AF9"/>
    <w:rsid w:val="002E7B73"/>
    <w:rsid w:val="002E7C3F"/>
    <w:rsid w:val="002E7CFD"/>
    <w:rsid w:val="002E7D33"/>
    <w:rsid w:val="002E7DC2"/>
    <w:rsid w:val="002E7E3D"/>
    <w:rsid w:val="002E7EDB"/>
    <w:rsid w:val="002E7F26"/>
    <w:rsid w:val="002E7F60"/>
    <w:rsid w:val="002E7F79"/>
    <w:rsid w:val="002F0051"/>
    <w:rsid w:val="002F0054"/>
    <w:rsid w:val="002F00A1"/>
    <w:rsid w:val="002F029F"/>
    <w:rsid w:val="002F03B2"/>
    <w:rsid w:val="002F0565"/>
    <w:rsid w:val="002F059C"/>
    <w:rsid w:val="002F05E7"/>
    <w:rsid w:val="002F0632"/>
    <w:rsid w:val="002F06D7"/>
    <w:rsid w:val="002F0962"/>
    <w:rsid w:val="002F0A11"/>
    <w:rsid w:val="002F0A3A"/>
    <w:rsid w:val="002F0ACD"/>
    <w:rsid w:val="002F0BAA"/>
    <w:rsid w:val="002F0C5C"/>
    <w:rsid w:val="002F0C61"/>
    <w:rsid w:val="002F0D3C"/>
    <w:rsid w:val="002F0D81"/>
    <w:rsid w:val="002F0E6E"/>
    <w:rsid w:val="002F0EE7"/>
    <w:rsid w:val="002F0EF1"/>
    <w:rsid w:val="002F0FA1"/>
    <w:rsid w:val="002F0FAC"/>
    <w:rsid w:val="002F1066"/>
    <w:rsid w:val="002F138A"/>
    <w:rsid w:val="002F13C9"/>
    <w:rsid w:val="002F13CE"/>
    <w:rsid w:val="002F14E2"/>
    <w:rsid w:val="002F1503"/>
    <w:rsid w:val="002F1717"/>
    <w:rsid w:val="002F1797"/>
    <w:rsid w:val="002F1893"/>
    <w:rsid w:val="002F19BD"/>
    <w:rsid w:val="002F1A15"/>
    <w:rsid w:val="002F1A50"/>
    <w:rsid w:val="002F1B29"/>
    <w:rsid w:val="002F1B5E"/>
    <w:rsid w:val="002F1C3D"/>
    <w:rsid w:val="002F1CA6"/>
    <w:rsid w:val="002F1CA8"/>
    <w:rsid w:val="002F1D4A"/>
    <w:rsid w:val="002F1D9A"/>
    <w:rsid w:val="002F1E1C"/>
    <w:rsid w:val="002F1FB3"/>
    <w:rsid w:val="002F2085"/>
    <w:rsid w:val="002F24E4"/>
    <w:rsid w:val="002F265C"/>
    <w:rsid w:val="002F289E"/>
    <w:rsid w:val="002F297D"/>
    <w:rsid w:val="002F2BD4"/>
    <w:rsid w:val="002F2C32"/>
    <w:rsid w:val="002F2E7A"/>
    <w:rsid w:val="002F2F58"/>
    <w:rsid w:val="002F3061"/>
    <w:rsid w:val="002F30CA"/>
    <w:rsid w:val="002F31C1"/>
    <w:rsid w:val="002F3255"/>
    <w:rsid w:val="002F32DA"/>
    <w:rsid w:val="002F338C"/>
    <w:rsid w:val="002F347A"/>
    <w:rsid w:val="002F348A"/>
    <w:rsid w:val="002F34EB"/>
    <w:rsid w:val="002F3557"/>
    <w:rsid w:val="002F3581"/>
    <w:rsid w:val="002F3609"/>
    <w:rsid w:val="002F37A5"/>
    <w:rsid w:val="002F37AD"/>
    <w:rsid w:val="002F3842"/>
    <w:rsid w:val="002F3884"/>
    <w:rsid w:val="002F3974"/>
    <w:rsid w:val="002F3A8E"/>
    <w:rsid w:val="002F3CA0"/>
    <w:rsid w:val="002F3DEF"/>
    <w:rsid w:val="002F3E17"/>
    <w:rsid w:val="002F3E3F"/>
    <w:rsid w:val="002F3FBB"/>
    <w:rsid w:val="002F40D4"/>
    <w:rsid w:val="002F4145"/>
    <w:rsid w:val="002F4152"/>
    <w:rsid w:val="002F41F6"/>
    <w:rsid w:val="002F4225"/>
    <w:rsid w:val="002F43BB"/>
    <w:rsid w:val="002F43BF"/>
    <w:rsid w:val="002F43D9"/>
    <w:rsid w:val="002F44F5"/>
    <w:rsid w:val="002F44FB"/>
    <w:rsid w:val="002F4576"/>
    <w:rsid w:val="002F4600"/>
    <w:rsid w:val="002F46F5"/>
    <w:rsid w:val="002F476C"/>
    <w:rsid w:val="002F48DE"/>
    <w:rsid w:val="002F49CF"/>
    <w:rsid w:val="002F49DD"/>
    <w:rsid w:val="002F4A2E"/>
    <w:rsid w:val="002F4C5E"/>
    <w:rsid w:val="002F4C7F"/>
    <w:rsid w:val="002F4CE5"/>
    <w:rsid w:val="002F4CF7"/>
    <w:rsid w:val="002F4D04"/>
    <w:rsid w:val="002F4D09"/>
    <w:rsid w:val="002F4EA9"/>
    <w:rsid w:val="002F4F15"/>
    <w:rsid w:val="002F4FC7"/>
    <w:rsid w:val="002F504C"/>
    <w:rsid w:val="002F518E"/>
    <w:rsid w:val="002F51B7"/>
    <w:rsid w:val="002F527B"/>
    <w:rsid w:val="002F5325"/>
    <w:rsid w:val="002F538D"/>
    <w:rsid w:val="002F53F9"/>
    <w:rsid w:val="002F5448"/>
    <w:rsid w:val="002F54C2"/>
    <w:rsid w:val="002F5527"/>
    <w:rsid w:val="002F5575"/>
    <w:rsid w:val="002F56F7"/>
    <w:rsid w:val="002F5819"/>
    <w:rsid w:val="002F5826"/>
    <w:rsid w:val="002F5827"/>
    <w:rsid w:val="002F5844"/>
    <w:rsid w:val="002F5866"/>
    <w:rsid w:val="002F586B"/>
    <w:rsid w:val="002F5915"/>
    <w:rsid w:val="002F5A5F"/>
    <w:rsid w:val="002F5AC8"/>
    <w:rsid w:val="002F5ADC"/>
    <w:rsid w:val="002F5B33"/>
    <w:rsid w:val="002F5BC0"/>
    <w:rsid w:val="002F5CFE"/>
    <w:rsid w:val="002F5D99"/>
    <w:rsid w:val="002F5DE5"/>
    <w:rsid w:val="002F5E06"/>
    <w:rsid w:val="002F5EC0"/>
    <w:rsid w:val="002F61B7"/>
    <w:rsid w:val="002F624E"/>
    <w:rsid w:val="002F6305"/>
    <w:rsid w:val="002F6315"/>
    <w:rsid w:val="002F63B7"/>
    <w:rsid w:val="002F641A"/>
    <w:rsid w:val="002F6468"/>
    <w:rsid w:val="002F656E"/>
    <w:rsid w:val="002F669B"/>
    <w:rsid w:val="002F67A7"/>
    <w:rsid w:val="002F68FD"/>
    <w:rsid w:val="002F6A99"/>
    <w:rsid w:val="002F6AC5"/>
    <w:rsid w:val="002F6B70"/>
    <w:rsid w:val="002F6CC8"/>
    <w:rsid w:val="002F6D1F"/>
    <w:rsid w:val="002F6EDC"/>
    <w:rsid w:val="002F6F48"/>
    <w:rsid w:val="002F702D"/>
    <w:rsid w:val="002F70F2"/>
    <w:rsid w:val="002F710C"/>
    <w:rsid w:val="002F71EA"/>
    <w:rsid w:val="002F7203"/>
    <w:rsid w:val="002F7432"/>
    <w:rsid w:val="002F74BD"/>
    <w:rsid w:val="002F755D"/>
    <w:rsid w:val="002F75E3"/>
    <w:rsid w:val="002F75FE"/>
    <w:rsid w:val="002F761E"/>
    <w:rsid w:val="002F76A7"/>
    <w:rsid w:val="002F76A9"/>
    <w:rsid w:val="002F771B"/>
    <w:rsid w:val="002F7781"/>
    <w:rsid w:val="002F77EB"/>
    <w:rsid w:val="002F7813"/>
    <w:rsid w:val="002F7818"/>
    <w:rsid w:val="002F78EB"/>
    <w:rsid w:val="002F78F8"/>
    <w:rsid w:val="002F79E3"/>
    <w:rsid w:val="002F7B62"/>
    <w:rsid w:val="002F7BC0"/>
    <w:rsid w:val="002F7C1D"/>
    <w:rsid w:val="002F7CC4"/>
    <w:rsid w:val="002F7D8A"/>
    <w:rsid w:val="002F7D9C"/>
    <w:rsid w:val="002F7F47"/>
    <w:rsid w:val="00300191"/>
    <w:rsid w:val="00300281"/>
    <w:rsid w:val="003002AE"/>
    <w:rsid w:val="00300311"/>
    <w:rsid w:val="00300328"/>
    <w:rsid w:val="0030034E"/>
    <w:rsid w:val="00300445"/>
    <w:rsid w:val="00300447"/>
    <w:rsid w:val="003004A1"/>
    <w:rsid w:val="00300706"/>
    <w:rsid w:val="00300870"/>
    <w:rsid w:val="00300872"/>
    <w:rsid w:val="00300A4E"/>
    <w:rsid w:val="00300A70"/>
    <w:rsid w:val="00300B25"/>
    <w:rsid w:val="00300BAD"/>
    <w:rsid w:val="00300CA3"/>
    <w:rsid w:val="00300CBD"/>
    <w:rsid w:val="00300D5B"/>
    <w:rsid w:val="00300D60"/>
    <w:rsid w:val="00300DBB"/>
    <w:rsid w:val="00300DC8"/>
    <w:rsid w:val="00300E5D"/>
    <w:rsid w:val="00300E6D"/>
    <w:rsid w:val="00300E9D"/>
    <w:rsid w:val="00301030"/>
    <w:rsid w:val="00301234"/>
    <w:rsid w:val="003012D0"/>
    <w:rsid w:val="003012D7"/>
    <w:rsid w:val="00301386"/>
    <w:rsid w:val="003013D6"/>
    <w:rsid w:val="003013D8"/>
    <w:rsid w:val="003016C3"/>
    <w:rsid w:val="003018CD"/>
    <w:rsid w:val="003019E5"/>
    <w:rsid w:val="00301AA2"/>
    <w:rsid w:val="00301AA7"/>
    <w:rsid w:val="00301AF4"/>
    <w:rsid w:val="00301B97"/>
    <w:rsid w:val="00301B98"/>
    <w:rsid w:val="00301C23"/>
    <w:rsid w:val="00301C42"/>
    <w:rsid w:val="00301D72"/>
    <w:rsid w:val="00301D73"/>
    <w:rsid w:val="00301D8C"/>
    <w:rsid w:val="00301DC2"/>
    <w:rsid w:val="00301EAC"/>
    <w:rsid w:val="00301EC7"/>
    <w:rsid w:val="00301FD0"/>
    <w:rsid w:val="00301FD4"/>
    <w:rsid w:val="00301FF7"/>
    <w:rsid w:val="0030206C"/>
    <w:rsid w:val="003021A8"/>
    <w:rsid w:val="003021AE"/>
    <w:rsid w:val="0030233F"/>
    <w:rsid w:val="003023A3"/>
    <w:rsid w:val="0030240D"/>
    <w:rsid w:val="00302469"/>
    <w:rsid w:val="003025A0"/>
    <w:rsid w:val="0030262D"/>
    <w:rsid w:val="003026B8"/>
    <w:rsid w:val="0030283D"/>
    <w:rsid w:val="00302861"/>
    <w:rsid w:val="00302881"/>
    <w:rsid w:val="0030297B"/>
    <w:rsid w:val="00302A16"/>
    <w:rsid w:val="00302A79"/>
    <w:rsid w:val="00302AA3"/>
    <w:rsid w:val="00302B20"/>
    <w:rsid w:val="00302B41"/>
    <w:rsid w:val="00302C3A"/>
    <w:rsid w:val="00302C4B"/>
    <w:rsid w:val="00302CD5"/>
    <w:rsid w:val="00302D1C"/>
    <w:rsid w:val="00302D6F"/>
    <w:rsid w:val="00302F32"/>
    <w:rsid w:val="0030308D"/>
    <w:rsid w:val="003030CA"/>
    <w:rsid w:val="0030315F"/>
    <w:rsid w:val="00303187"/>
    <w:rsid w:val="00303222"/>
    <w:rsid w:val="0030344E"/>
    <w:rsid w:val="003034C9"/>
    <w:rsid w:val="00303659"/>
    <w:rsid w:val="003036EB"/>
    <w:rsid w:val="0030378E"/>
    <w:rsid w:val="00303814"/>
    <w:rsid w:val="00303861"/>
    <w:rsid w:val="00303901"/>
    <w:rsid w:val="0030392C"/>
    <w:rsid w:val="0030399A"/>
    <w:rsid w:val="003039C0"/>
    <w:rsid w:val="00303A6C"/>
    <w:rsid w:val="00303AF8"/>
    <w:rsid w:val="00303AFD"/>
    <w:rsid w:val="00303CB4"/>
    <w:rsid w:val="00303CB7"/>
    <w:rsid w:val="00303CE2"/>
    <w:rsid w:val="00303D9E"/>
    <w:rsid w:val="00303E4A"/>
    <w:rsid w:val="00303F11"/>
    <w:rsid w:val="00303F96"/>
    <w:rsid w:val="00303F9B"/>
    <w:rsid w:val="00303FC7"/>
    <w:rsid w:val="00304022"/>
    <w:rsid w:val="0030407B"/>
    <w:rsid w:val="00304212"/>
    <w:rsid w:val="00304297"/>
    <w:rsid w:val="00304372"/>
    <w:rsid w:val="003043C7"/>
    <w:rsid w:val="0030470A"/>
    <w:rsid w:val="00304776"/>
    <w:rsid w:val="003047A4"/>
    <w:rsid w:val="003047CF"/>
    <w:rsid w:val="003047EF"/>
    <w:rsid w:val="00304883"/>
    <w:rsid w:val="003049EC"/>
    <w:rsid w:val="00304A04"/>
    <w:rsid w:val="00304B49"/>
    <w:rsid w:val="00304BBF"/>
    <w:rsid w:val="00304C24"/>
    <w:rsid w:val="00304C41"/>
    <w:rsid w:val="00304D25"/>
    <w:rsid w:val="00304D8B"/>
    <w:rsid w:val="00304DC1"/>
    <w:rsid w:val="00304E4A"/>
    <w:rsid w:val="00304E8B"/>
    <w:rsid w:val="00304E96"/>
    <w:rsid w:val="00304E97"/>
    <w:rsid w:val="00304EAF"/>
    <w:rsid w:val="00304ED8"/>
    <w:rsid w:val="00304F3B"/>
    <w:rsid w:val="0030501C"/>
    <w:rsid w:val="00305320"/>
    <w:rsid w:val="00305519"/>
    <w:rsid w:val="003055CB"/>
    <w:rsid w:val="003055EE"/>
    <w:rsid w:val="0030576A"/>
    <w:rsid w:val="0030580A"/>
    <w:rsid w:val="00305874"/>
    <w:rsid w:val="003059EF"/>
    <w:rsid w:val="003059F1"/>
    <w:rsid w:val="00305A34"/>
    <w:rsid w:val="00305AC6"/>
    <w:rsid w:val="00305AEF"/>
    <w:rsid w:val="00305BF8"/>
    <w:rsid w:val="00305BFE"/>
    <w:rsid w:val="00305C5F"/>
    <w:rsid w:val="00305CC4"/>
    <w:rsid w:val="00305E81"/>
    <w:rsid w:val="00305FB3"/>
    <w:rsid w:val="00305FCC"/>
    <w:rsid w:val="00305FF7"/>
    <w:rsid w:val="003060DF"/>
    <w:rsid w:val="003061AD"/>
    <w:rsid w:val="00306341"/>
    <w:rsid w:val="00306480"/>
    <w:rsid w:val="00306522"/>
    <w:rsid w:val="00306556"/>
    <w:rsid w:val="003066C2"/>
    <w:rsid w:val="003066FC"/>
    <w:rsid w:val="0030675A"/>
    <w:rsid w:val="003067D9"/>
    <w:rsid w:val="00306859"/>
    <w:rsid w:val="0030685C"/>
    <w:rsid w:val="00306861"/>
    <w:rsid w:val="0030689B"/>
    <w:rsid w:val="00306A0C"/>
    <w:rsid w:val="00306AAA"/>
    <w:rsid w:val="00306B18"/>
    <w:rsid w:val="00306BC8"/>
    <w:rsid w:val="00306D2C"/>
    <w:rsid w:val="00306D6D"/>
    <w:rsid w:val="00306DB0"/>
    <w:rsid w:val="00306DDB"/>
    <w:rsid w:val="00306E2D"/>
    <w:rsid w:val="003070EF"/>
    <w:rsid w:val="0030727A"/>
    <w:rsid w:val="00307302"/>
    <w:rsid w:val="003073AA"/>
    <w:rsid w:val="00307417"/>
    <w:rsid w:val="00307446"/>
    <w:rsid w:val="003074D3"/>
    <w:rsid w:val="00307531"/>
    <w:rsid w:val="00307577"/>
    <w:rsid w:val="003077CB"/>
    <w:rsid w:val="00307846"/>
    <w:rsid w:val="003078DF"/>
    <w:rsid w:val="00307964"/>
    <w:rsid w:val="00307A25"/>
    <w:rsid w:val="00307AD3"/>
    <w:rsid w:val="00307AE2"/>
    <w:rsid w:val="00307AE8"/>
    <w:rsid w:val="00307AEB"/>
    <w:rsid w:val="00307AF7"/>
    <w:rsid w:val="00307BA9"/>
    <w:rsid w:val="00307CE3"/>
    <w:rsid w:val="00307D33"/>
    <w:rsid w:val="00307D40"/>
    <w:rsid w:val="00307DFC"/>
    <w:rsid w:val="0031005E"/>
    <w:rsid w:val="0031026C"/>
    <w:rsid w:val="0031043B"/>
    <w:rsid w:val="003104E2"/>
    <w:rsid w:val="003104E7"/>
    <w:rsid w:val="003106B1"/>
    <w:rsid w:val="003106B6"/>
    <w:rsid w:val="003106E7"/>
    <w:rsid w:val="00310967"/>
    <w:rsid w:val="003109CF"/>
    <w:rsid w:val="003109E6"/>
    <w:rsid w:val="00310A4E"/>
    <w:rsid w:val="00310A75"/>
    <w:rsid w:val="00310B7D"/>
    <w:rsid w:val="00310B91"/>
    <w:rsid w:val="00310BB1"/>
    <w:rsid w:val="00310D8F"/>
    <w:rsid w:val="00310F3E"/>
    <w:rsid w:val="00310F80"/>
    <w:rsid w:val="0031112A"/>
    <w:rsid w:val="00311143"/>
    <w:rsid w:val="00311306"/>
    <w:rsid w:val="00311317"/>
    <w:rsid w:val="00311350"/>
    <w:rsid w:val="0031143B"/>
    <w:rsid w:val="003114B5"/>
    <w:rsid w:val="00311546"/>
    <w:rsid w:val="003115A5"/>
    <w:rsid w:val="003115B1"/>
    <w:rsid w:val="003116C2"/>
    <w:rsid w:val="003116C6"/>
    <w:rsid w:val="003116D2"/>
    <w:rsid w:val="00311729"/>
    <w:rsid w:val="00311777"/>
    <w:rsid w:val="003117E1"/>
    <w:rsid w:val="003118DF"/>
    <w:rsid w:val="0031190C"/>
    <w:rsid w:val="003119A6"/>
    <w:rsid w:val="003119DF"/>
    <w:rsid w:val="00311A68"/>
    <w:rsid w:val="00311D2A"/>
    <w:rsid w:val="00311D48"/>
    <w:rsid w:val="00311DBD"/>
    <w:rsid w:val="00311E64"/>
    <w:rsid w:val="00311FB8"/>
    <w:rsid w:val="003120F2"/>
    <w:rsid w:val="00312118"/>
    <w:rsid w:val="0031214F"/>
    <w:rsid w:val="00312378"/>
    <w:rsid w:val="003123EF"/>
    <w:rsid w:val="00312415"/>
    <w:rsid w:val="00312453"/>
    <w:rsid w:val="0031247B"/>
    <w:rsid w:val="00312533"/>
    <w:rsid w:val="00312625"/>
    <w:rsid w:val="003126A8"/>
    <w:rsid w:val="00312709"/>
    <w:rsid w:val="0031270D"/>
    <w:rsid w:val="00312762"/>
    <w:rsid w:val="0031283D"/>
    <w:rsid w:val="003128AF"/>
    <w:rsid w:val="003128BC"/>
    <w:rsid w:val="003128E4"/>
    <w:rsid w:val="003129EC"/>
    <w:rsid w:val="00312A77"/>
    <w:rsid w:val="00312A8B"/>
    <w:rsid w:val="00312AEC"/>
    <w:rsid w:val="00312AFA"/>
    <w:rsid w:val="00312B90"/>
    <w:rsid w:val="00312B92"/>
    <w:rsid w:val="00312C04"/>
    <w:rsid w:val="00312D25"/>
    <w:rsid w:val="00312E56"/>
    <w:rsid w:val="00312EFC"/>
    <w:rsid w:val="00312F6B"/>
    <w:rsid w:val="0031333A"/>
    <w:rsid w:val="00313371"/>
    <w:rsid w:val="003133B2"/>
    <w:rsid w:val="0031356E"/>
    <w:rsid w:val="00313650"/>
    <w:rsid w:val="003136BF"/>
    <w:rsid w:val="003136D2"/>
    <w:rsid w:val="003137BF"/>
    <w:rsid w:val="00313929"/>
    <w:rsid w:val="003139C3"/>
    <w:rsid w:val="00313A7E"/>
    <w:rsid w:val="00313A86"/>
    <w:rsid w:val="00313B25"/>
    <w:rsid w:val="00313D25"/>
    <w:rsid w:val="00313D56"/>
    <w:rsid w:val="00313DBE"/>
    <w:rsid w:val="00313F35"/>
    <w:rsid w:val="00313F68"/>
    <w:rsid w:val="00313FBE"/>
    <w:rsid w:val="00313FDB"/>
    <w:rsid w:val="003141A5"/>
    <w:rsid w:val="003141DF"/>
    <w:rsid w:val="0031428D"/>
    <w:rsid w:val="00314290"/>
    <w:rsid w:val="0031429F"/>
    <w:rsid w:val="003144A4"/>
    <w:rsid w:val="00314502"/>
    <w:rsid w:val="00314706"/>
    <w:rsid w:val="00314850"/>
    <w:rsid w:val="00314898"/>
    <w:rsid w:val="0031490A"/>
    <w:rsid w:val="0031494A"/>
    <w:rsid w:val="003149BE"/>
    <w:rsid w:val="00314B72"/>
    <w:rsid w:val="00314BF2"/>
    <w:rsid w:val="00314CBF"/>
    <w:rsid w:val="00314D4E"/>
    <w:rsid w:val="00314DBC"/>
    <w:rsid w:val="00314DCE"/>
    <w:rsid w:val="00314DF5"/>
    <w:rsid w:val="00314E1A"/>
    <w:rsid w:val="00314E2D"/>
    <w:rsid w:val="00314F31"/>
    <w:rsid w:val="00314F9C"/>
    <w:rsid w:val="00315064"/>
    <w:rsid w:val="00315145"/>
    <w:rsid w:val="0031518D"/>
    <w:rsid w:val="00315197"/>
    <w:rsid w:val="003151B0"/>
    <w:rsid w:val="003151C2"/>
    <w:rsid w:val="003151F3"/>
    <w:rsid w:val="003152EB"/>
    <w:rsid w:val="003152EC"/>
    <w:rsid w:val="00315451"/>
    <w:rsid w:val="0031558C"/>
    <w:rsid w:val="003155E9"/>
    <w:rsid w:val="003157F3"/>
    <w:rsid w:val="0031583B"/>
    <w:rsid w:val="00315858"/>
    <w:rsid w:val="00315960"/>
    <w:rsid w:val="00315A10"/>
    <w:rsid w:val="00315A34"/>
    <w:rsid w:val="00315A93"/>
    <w:rsid w:val="00315B61"/>
    <w:rsid w:val="00315C13"/>
    <w:rsid w:val="00315CDA"/>
    <w:rsid w:val="00315F01"/>
    <w:rsid w:val="0031605E"/>
    <w:rsid w:val="00316100"/>
    <w:rsid w:val="00316374"/>
    <w:rsid w:val="003163E2"/>
    <w:rsid w:val="003163E4"/>
    <w:rsid w:val="00316483"/>
    <w:rsid w:val="003164BE"/>
    <w:rsid w:val="003164DB"/>
    <w:rsid w:val="00316668"/>
    <w:rsid w:val="0031668F"/>
    <w:rsid w:val="003166D8"/>
    <w:rsid w:val="003166E3"/>
    <w:rsid w:val="003166E5"/>
    <w:rsid w:val="00316772"/>
    <w:rsid w:val="003167C3"/>
    <w:rsid w:val="0031682E"/>
    <w:rsid w:val="00316924"/>
    <w:rsid w:val="00316A77"/>
    <w:rsid w:val="00316ADA"/>
    <w:rsid w:val="00316BD6"/>
    <w:rsid w:val="00316D65"/>
    <w:rsid w:val="00316E6A"/>
    <w:rsid w:val="00316F03"/>
    <w:rsid w:val="00316F19"/>
    <w:rsid w:val="00316F6C"/>
    <w:rsid w:val="00316F7F"/>
    <w:rsid w:val="00317044"/>
    <w:rsid w:val="003172F7"/>
    <w:rsid w:val="00317300"/>
    <w:rsid w:val="00317378"/>
    <w:rsid w:val="003173AE"/>
    <w:rsid w:val="003173D9"/>
    <w:rsid w:val="0031741B"/>
    <w:rsid w:val="003174C7"/>
    <w:rsid w:val="003174CC"/>
    <w:rsid w:val="0031756C"/>
    <w:rsid w:val="0031765E"/>
    <w:rsid w:val="00317729"/>
    <w:rsid w:val="00317824"/>
    <w:rsid w:val="003178B9"/>
    <w:rsid w:val="00317AA7"/>
    <w:rsid w:val="00317AD5"/>
    <w:rsid w:val="00317C95"/>
    <w:rsid w:val="00317DBE"/>
    <w:rsid w:val="00317E98"/>
    <w:rsid w:val="00320160"/>
    <w:rsid w:val="0032016E"/>
    <w:rsid w:val="003203D1"/>
    <w:rsid w:val="00320443"/>
    <w:rsid w:val="003204A8"/>
    <w:rsid w:val="00320558"/>
    <w:rsid w:val="0032063B"/>
    <w:rsid w:val="003206E1"/>
    <w:rsid w:val="00320790"/>
    <w:rsid w:val="00320947"/>
    <w:rsid w:val="00320958"/>
    <w:rsid w:val="003209E7"/>
    <w:rsid w:val="00320B63"/>
    <w:rsid w:val="00320B6F"/>
    <w:rsid w:val="00320CF9"/>
    <w:rsid w:val="00320D81"/>
    <w:rsid w:val="00320FD0"/>
    <w:rsid w:val="00321018"/>
    <w:rsid w:val="00321131"/>
    <w:rsid w:val="00321271"/>
    <w:rsid w:val="003212F7"/>
    <w:rsid w:val="0032133E"/>
    <w:rsid w:val="003213DC"/>
    <w:rsid w:val="003213FD"/>
    <w:rsid w:val="00321467"/>
    <w:rsid w:val="003214D0"/>
    <w:rsid w:val="00321581"/>
    <w:rsid w:val="0032159D"/>
    <w:rsid w:val="003216B5"/>
    <w:rsid w:val="003218A6"/>
    <w:rsid w:val="003218F9"/>
    <w:rsid w:val="00321970"/>
    <w:rsid w:val="003219CA"/>
    <w:rsid w:val="00321A6D"/>
    <w:rsid w:val="00321A74"/>
    <w:rsid w:val="00321A90"/>
    <w:rsid w:val="00321B40"/>
    <w:rsid w:val="00321B6B"/>
    <w:rsid w:val="00321D09"/>
    <w:rsid w:val="00321D56"/>
    <w:rsid w:val="00321D5E"/>
    <w:rsid w:val="00321D60"/>
    <w:rsid w:val="00321E08"/>
    <w:rsid w:val="00321E7F"/>
    <w:rsid w:val="00321EFC"/>
    <w:rsid w:val="00322031"/>
    <w:rsid w:val="00322085"/>
    <w:rsid w:val="003221E6"/>
    <w:rsid w:val="00322295"/>
    <w:rsid w:val="00322342"/>
    <w:rsid w:val="003223A2"/>
    <w:rsid w:val="0032271C"/>
    <w:rsid w:val="00322836"/>
    <w:rsid w:val="00322837"/>
    <w:rsid w:val="00322941"/>
    <w:rsid w:val="003229A9"/>
    <w:rsid w:val="00322AFA"/>
    <w:rsid w:val="00322B78"/>
    <w:rsid w:val="00322E9D"/>
    <w:rsid w:val="00323033"/>
    <w:rsid w:val="0032307F"/>
    <w:rsid w:val="00323164"/>
    <w:rsid w:val="00323252"/>
    <w:rsid w:val="003232FC"/>
    <w:rsid w:val="00323375"/>
    <w:rsid w:val="003233D2"/>
    <w:rsid w:val="00323413"/>
    <w:rsid w:val="0032344A"/>
    <w:rsid w:val="003234A2"/>
    <w:rsid w:val="003234F5"/>
    <w:rsid w:val="003235A8"/>
    <w:rsid w:val="00323615"/>
    <w:rsid w:val="0032383A"/>
    <w:rsid w:val="00323913"/>
    <w:rsid w:val="0032395C"/>
    <w:rsid w:val="0032399A"/>
    <w:rsid w:val="003239D8"/>
    <w:rsid w:val="003239E5"/>
    <w:rsid w:val="00323A4E"/>
    <w:rsid w:val="00323A99"/>
    <w:rsid w:val="00323B0D"/>
    <w:rsid w:val="00323B50"/>
    <w:rsid w:val="00323B5D"/>
    <w:rsid w:val="00323B86"/>
    <w:rsid w:val="00323CB7"/>
    <w:rsid w:val="00323DBC"/>
    <w:rsid w:val="00323E7E"/>
    <w:rsid w:val="00323EC0"/>
    <w:rsid w:val="00323EE3"/>
    <w:rsid w:val="0032401A"/>
    <w:rsid w:val="00324221"/>
    <w:rsid w:val="00324227"/>
    <w:rsid w:val="0032422A"/>
    <w:rsid w:val="00324236"/>
    <w:rsid w:val="00324269"/>
    <w:rsid w:val="003243AE"/>
    <w:rsid w:val="003243E4"/>
    <w:rsid w:val="003243EE"/>
    <w:rsid w:val="00324484"/>
    <w:rsid w:val="003244F7"/>
    <w:rsid w:val="00324545"/>
    <w:rsid w:val="0032455A"/>
    <w:rsid w:val="0032466E"/>
    <w:rsid w:val="00324674"/>
    <w:rsid w:val="00324718"/>
    <w:rsid w:val="003247B0"/>
    <w:rsid w:val="003247F8"/>
    <w:rsid w:val="0032483A"/>
    <w:rsid w:val="0032488A"/>
    <w:rsid w:val="0032494E"/>
    <w:rsid w:val="0032495B"/>
    <w:rsid w:val="003249C6"/>
    <w:rsid w:val="00324A2E"/>
    <w:rsid w:val="00324A62"/>
    <w:rsid w:val="00324B3E"/>
    <w:rsid w:val="00324BF0"/>
    <w:rsid w:val="00324CE3"/>
    <w:rsid w:val="00324CF5"/>
    <w:rsid w:val="00324D0E"/>
    <w:rsid w:val="00324D13"/>
    <w:rsid w:val="00324D8A"/>
    <w:rsid w:val="00324E6C"/>
    <w:rsid w:val="00324F48"/>
    <w:rsid w:val="003250D4"/>
    <w:rsid w:val="003250D9"/>
    <w:rsid w:val="003251DB"/>
    <w:rsid w:val="003252A2"/>
    <w:rsid w:val="003252F6"/>
    <w:rsid w:val="003253EC"/>
    <w:rsid w:val="00325465"/>
    <w:rsid w:val="00325678"/>
    <w:rsid w:val="00325791"/>
    <w:rsid w:val="003257EA"/>
    <w:rsid w:val="00325828"/>
    <w:rsid w:val="003259AF"/>
    <w:rsid w:val="00325B07"/>
    <w:rsid w:val="00325B2E"/>
    <w:rsid w:val="00325D2E"/>
    <w:rsid w:val="00325D5E"/>
    <w:rsid w:val="00325E2E"/>
    <w:rsid w:val="0032603F"/>
    <w:rsid w:val="00326068"/>
    <w:rsid w:val="0032607C"/>
    <w:rsid w:val="0032629C"/>
    <w:rsid w:val="003262D3"/>
    <w:rsid w:val="003262DD"/>
    <w:rsid w:val="00326343"/>
    <w:rsid w:val="0032646E"/>
    <w:rsid w:val="00326564"/>
    <w:rsid w:val="00326664"/>
    <w:rsid w:val="003266D2"/>
    <w:rsid w:val="00326737"/>
    <w:rsid w:val="00326742"/>
    <w:rsid w:val="003267CA"/>
    <w:rsid w:val="003268F6"/>
    <w:rsid w:val="00326912"/>
    <w:rsid w:val="00326A33"/>
    <w:rsid w:val="00326ABE"/>
    <w:rsid w:val="00326B2E"/>
    <w:rsid w:val="00326C0D"/>
    <w:rsid w:val="00326C2C"/>
    <w:rsid w:val="00326D55"/>
    <w:rsid w:val="00326F01"/>
    <w:rsid w:val="00326FAD"/>
    <w:rsid w:val="0032705B"/>
    <w:rsid w:val="00327075"/>
    <w:rsid w:val="0032712B"/>
    <w:rsid w:val="0032719B"/>
    <w:rsid w:val="003271EC"/>
    <w:rsid w:val="0032724A"/>
    <w:rsid w:val="0032725F"/>
    <w:rsid w:val="0032726D"/>
    <w:rsid w:val="00327287"/>
    <w:rsid w:val="0032737C"/>
    <w:rsid w:val="003273C2"/>
    <w:rsid w:val="003273EE"/>
    <w:rsid w:val="0032754D"/>
    <w:rsid w:val="003275E0"/>
    <w:rsid w:val="0032771E"/>
    <w:rsid w:val="0032779D"/>
    <w:rsid w:val="003277A4"/>
    <w:rsid w:val="00327A23"/>
    <w:rsid w:val="00327A3E"/>
    <w:rsid w:val="00327BC5"/>
    <w:rsid w:val="00327C05"/>
    <w:rsid w:val="00327C07"/>
    <w:rsid w:val="00327D76"/>
    <w:rsid w:val="00327DC7"/>
    <w:rsid w:val="00327E20"/>
    <w:rsid w:val="00327F7B"/>
    <w:rsid w:val="00327FDD"/>
    <w:rsid w:val="00330000"/>
    <w:rsid w:val="00330015"/>
    <w:rsid w:val="003300A9"/>
    <w:rsid w:val="0033014F"/>
    <w:rsid w:val="00330439"/>
    <w:rsid w:val="0033045B"/>
    <w:rsid w:val="0033057D"/>
    <w:rsid w:val="003305BB"/>
    <w:rsid w:val="003305D4"/>
    <w:rsid w:val="00330625"/>
    <w:rsid w:val="0033069F"/>
    <w:rsid w:val="003306E1"/>
    <w:rsid w:val="00330774"/>
    <w:rsid w:val="0033090B"/>
    <w:rsid w:val="003309A7"/>
    <w:rsid w:val="00330C73"/>
    <w:rsid w:val="00330D02"/>
    <w:rsid w:val="00330D05"/>
    <w:rsid w:val="00330DAB"/>
    <w:rsid w:val="00330E6A"/>
    <w:rsid w:val="00330EB0"/>
    <w:rsid w:val="00330ECD"/>
    <w:rsid w:val="00330F6D"/>
    <w:rsid w:val="00330FE1"/>
    <w:rsid w:val="003310E9"/>
    <w:rsid w:val="003310F0"/>
    <w:rsid w:val="00331115"/>
    <w:rsid w:val="00331389"/>
    <w:rsid w:val="003313BC"/>
    <w:rsid w:val="0033147A"/>
    <w:rsid w:val="00331540"/>
    <w:rsid w:val="0033161D"/>
    <w:rsid w:val="0033168F"/>
    <w:rsid w:val="00331730"/>
    <w:rsid w:val="00331796"/>
    <w:rsid w:val="0033184B"/>
    <w:rsid w:val="0033188F"/>
    <w:rsid w:val="00331907"/>
    <w:rsid w:val="00331994"/>
    <w:rsid w:val="003319B8"/>
    <w:rsid w:val="003319F6"/>
    <w:rsid w:val="00331A07"/>
    <w:rsid w:val="00331A46"/>
    <w:rsid w:val="00331C1A"/>
    <w:rsid w:val="00331C28"/>
    <w:rsid w:val="00331C39"/>
    <w:rsid w:val="00331DEB"/>
    <w:rsid w:val="00331E55"/>
    <w:rsid w:val="00331F8A"/>
    <w:rsid w:val="00331FF0"/>
    <w:rsid w:val="00331FFB"/>
    <w:rsid w:val="00332006"/>
    <w:rsid w:val="0033203A"/>
    <w:rsid w:val="003320F2"/>
    <w:rsid w:val="00332159"/>
    <w:rsid w:val="0033218E"/>
    <w:rsid w:val="003322F5"/>
    <w:rsid w:val="003323B2"/>
    <w:rsid w:val="003325F9"/>
    <w:rsid w:val="00332656"/>
    <w:rsid w:val="00332765"/>
    <w:rsid w:val="0033277F"/>
    <w:rsid w:val="00332789"/>
    <w:rsid w:val="00332926"/>
    <w:rsid w:val="00332A01"/>
    <w:rsid w:val="00332A76"/>
    <w:rsid w:val="00332B06"/>
    <w:rsid w:val="00332B1B"/>
    <w:rsid w:val="00332C6D"/>
    <w:rsid w:val="00332DED"/>
    <w:rsid w:val="00332E00"/>
    <w:rsid w:val="003330CB"/>
    <w:rsid w:val="0033328C"/>
    <w:rsid w:val="003333B6"/>
    <w:rsid w:val="003333D8"/>
    <w:rsid w:val="003334C2"/>
    <w:rsid w:val="00333517"/>
    <w:rsid w:val="0033351F"/>
    <w:rsid w:val="003335FF"/>
    <w:rsid w:val="00333653"/>
    <w:rsid w:val="0033366D"/>
    <w:rsid w:val="00333714"/>
    <w:rsid w:val="00333739"/>
    <w:rsid w:val="00333770"/>
    <w:rsid w:val="00333885"/>
    <w:rsid w:val="0033393B"/>
    <w:rsid w:val="003339B0"/>
    <w:rsid w:val="00333A19"/>
    <w:rsid w:val="00333AAC"/>
    <w:rsid w:val="00333ACA"/>
    <w:rsid w:val="00333ADA"/>
    <w:rsid w:val="00333B8E"/>
    <w:rsid w:val="00333BD2"/>
    <w:rsid w:val="00333C29"/>
    <w:rsid w:val="00333C56"/>
    <w:rsid w:val="00333E64"/>
    <w:rsid w:val="00333EDA"/>
    <w:rsid w:val="00333EF0"/>
    <w:rsid w:val="00333FF4"/>
    <w:rsid w:val="0033404D"/>
    <w:rsid w:val="0033405B"/>
    <w:rsid w:val="0033406A"/>
    <w:rsid w:val="00334098"/>
    <w:rsid w:val="0033409D"/>
    <w:rsid w:val="0033416B"/>
    <w:rsid w:val="00334343"/>
    <w:rsid w:val="0033439E"/>
    <w:rsid w:val="00334439"/>
    <w:rsid w:val="0033443E"/>
    <w:rsid w:val="00334460"/>
    <w:rsid w:val="003344DE"/>
    <w:rsid w:val="0033455B"/>
    <w:rsid w:val="003345F7"/>
    <w:rsid w:val="00334674"/>
    <w:rsid w:val="00334716"/>
    <w:rsid w:val="00334718"/>
    <w:rsid w:val="003347A2"/>
    <w:rsid w:val="003347BF"/>
    <w:rsid w:val="00334861"/>
    <w:rsid w:val="0033491D"/>
    <w:rsid w:val="003349A0"/>
    <w:rsid w:val="003349EC"/>
    <w:rsid w:val="00334A57"/>
    <w:rsid w:val="00334D97"/>
    <w:rsid w:val="00334F59"/>
    <w:rsid w:val="00334F7C"/>
    <w:rsid w:val="00334F9C"/>
    <w:rsid w:val="00334FBB"/>
    <w:rsid w:val="00335013"/>
    <w:rsid w:val="0033503E"/>
    <w:rsid w:val="0033507C"/>
    <w:rsid w:val="003350AB"/>
    <w:rsid w:val="00335284"/>
    <w:rsid w:val="003352BB"/>
    <w:rsid w:val="003354B6"/>
    <w:rsid w:val="00335624"/>
    <w:rsid w:val="00335685"/>
    <w:rsid w:val="0033568D"/>
    <w:rsid w:val="0033588A"/>
    <w:rsid w:val="00335950"/>
    <w:rsid w:val="0033596E"/>
    <w:rsid w:val="00335A5E"/>
    <w:rsid w:val="00335B7D"/>
    <w:rsid w:val="00335BBF"/>
    <w:rsid w:val="00335C93"/>
    <w:rsid w:val="00335D4C"/>
    <w:rsid w:val="00335EF5"/>
    <w:rsid w:val="00335F4C"/>
    <w:rsid w:val="003360B0"/>
    <w:rsid w:val="003361C9"/>
    <w:rsid w:val="00336213"/>
    <w:rsid w:val="00336264"/>
    <w:rsid w:val="00336290"/>
    <w:rsid w:val="00336373"/>
    <w:rsid w:val="00336394"/>
    <w:rsid w:val="003363AF"/>
    <w:rsid w:val="00336474"/>
    <w:rsid w:val="003364EA"/>
    <w:rsid w:val="00336654"/>
    <w:rsid w:val="00336806"/>
    <w:rsid w:val="003368A6"/>
    <w:rsid w:val="0033692E"/>
    <w:rsid w:val="00336A0C"/>
    <w:rsid w:val="00336A10"/>
    <w:rsid w:val="00336BAC"/>
    <w:rsid w:val="00336BB2"/>
    <w:rsid w:val="00336C94"/>
    <w:rsid w:val="00336CE8"/>
    <w:rsid w:val="00336D99"/>
    <w:rsid w:val="00336E9C"/>
    <w:rsid w:val="00336EFE"/>
    <w:rsid w:val="00336F22"/>
    <w:rsid w:val="00336FA6"/>
    <w:rsid w:val="00336FD7"/>
    <w:rsid w:val="00337029"/>
    <w:rsid w:val="0033707C"/>
    <w:rsid w:val="00337133"/>
    <w:rsid w:val="003371E1"/>
    <w:rsid w:val="0033722A"/>
    <w:rsid w:val="003372C6"/>
    <w:rsid w:val="00337315"/>
    <w:rsid w:val="0033731E"/>
    <w:rsid w:val="0033736F"/>
    <w:rsid w:val="00337456"/>
    <w:rsid w:val="003374A3"/>
    <w:rsid w:val="00337535"/>
    <w:rsid w:val="0033764E"/>
    <w:rsid w:val="003376C6"/>
    <w:rsid w:val="003376D7"/>
    <w:rsid w:val="0033784B"/>
    <w:rsid w:val="0033784D"/>
    <w:rsid w:val="003378B1"/>
    <w:rsid w:val="003378E4"/>
    <w:rsid w:val="003379A6"/>
    <w:rsid w:val="00337B12"/>
    <w:rsid w:val="00337CBC"/>
    <w:rsid w:val="00337CDB"/>
    <w:rsid w:val="00337D70"/>
    <w:rsid w:val="00337DC6"/>
    <w:rsid w:val="00337DF9"/>
    <w:rsid w:val="00337EC9"/>
    <w:rsid w:val="00337F6F"/>
    <w:rsid w:val="0034006B"/>
    <w:rsid w:val="0034006C"/>
    <w:rsid w:val="003400B3"/>
    <w:rsid w:val="0034011B"/>
    <w:rsid w:val="003401A0"/>
    <w:rsid w:val="003401D9"/>
    <w:rsid w:val="00340389"/>
    <w:rsid w:val="00340493"/>
    <w:rsid w:val="003405C6"/>
    <w:rsid w:val="003405E7"/>
    <w:rsid w:val="00340700"/>
    <w:rsid w:val="00340791"/>
    <w:rsid w:val="003407CF"/>
    <w:rsid w:val="00340839"/>
    <w:rsid w:val="003408E1"/>
    <w:rsid w:val="0034092C"/>
    <w:rsid w:val="00340A36"/>
    <w:rsid w:val="00340ACA"/>
    <w:rsid w:val="00340C69"/>
    <w:rsid w:val="00340CC6"/>
    <w:rsid w:val="00340D45"/>
    <w:rsid w:val="00340D5B"/>
    <w:rsid w:val="00340D65"/>
    <w:rsid w:val="00341002"/>
    <w:rsid w:val="003411B6"/>
    <w:rsid w:val="003412A8"/>
    <w:rsid w:val="00341343"/>
    <w:rsid w:val="0034137F"/>
    <w:rsid w:val="003414D9"/>
    <w:rsid w:val="00341504"/>
    <w:rsid w:val="00341567"/>
    <w:rsid w:val="00341660"/>
    <w:rsid w:val="0034183E"/>
    <w:rsid w:val="003418FC"/>
    <w:rsid w:val="00341A6D"/>
    <w:rsid w:val="00341A9B"/>
    <w:rsid w:val="00341D28"/>
    <w:rsid w:val="00341E5D"/>
    <w:rsid w:val="00341EEC"/>
    <w:rsid w:val="00341FF1"/>
    <w:rsid w:val="00341FFD"/>
    <w:rsid w:val="003420CD"/>
    <w:rsid w:val="0034223B"/>
    <w:rsid w:val="003422B3"/>
    <w:rsid w:val="00342495"/>
    <w:rsid w:val="003424A7"/>
    <w:rsid w:val="00342510"/>
    <w:rsid w:val="003426A7"/>
    <w:rsid w:val="003426EE"/>
    <w:rsid w:val="00342729"/>
    <w:rsid w:val="0034290D"/>
    <w:rsid w:val="00342922"/>
    <w:rsid w:val="00342924"/>
    <w:rsid w:val="00342B3B"/>
    <w:rsid w:val="00342B77"/>
    <w:rsid w:val="00342C06"/>
    <w:rsid w:val="00342DD7"/>
    <w:rsid w:val="00342E2D"/>
    <w:rsid w:val="00342EC3"/>
    <w:rsid w:val="00342EC8"/>
    <w:rsid w:val="00342EFA"/>
    <w:rsid w:val="00342F36"/>
    <w:rsid w:val="00342F57"/>
    <w:rsid w:val="003431A6"/>
    <w:rsid w:val="00343292"/>
    <w:rsid w:val="0034331F"/>
    <w:rsid w:val="003434C6"/>
    <w:rsid w:val="003434E8"/>
    <w:rsid w:val="0034355D"/>
    <w:rsid w:val="003435B9"/>
    <w:rsid w:val="003436B3"/>
    <w:rsid w:val="0034377D"/>
    <w:rsid w:val="003437DD"/>
    <w:rsid w:val="003438DB"/>
    <w:rsid w:val="003439A6"/>
    <w:rsid w:val="00343AE8"/>
    <w:rsid w:val="00343BB6"/>
    <w:rsid w:val="00343C90"/>
    <w:rsid w:val="00343D46"/>
    <w:rsid w:val="00343D55"/>
    <w:rsid w:val="00343DAF"/>
    <w:rsid w:val="00343E17"/>
    <w:rsid w:val="00343E2E"/>
    <w:rsid w:val="00343E55"/>
    <w:rsid w:val="00343F67"/>
    <w:rsid w:val="00344012"/>
    <w:rsid w:val="00344037"/>
    <w:rsid w:val="003440C3"/>
    <w:rsid w:val="00344154"/>
    <w:rsid w:val="00344159"/>
    <w:rsid w:val="003442E2"/>
    <w:rsid w:val="00344320"/>
    <w:rsid w:val="003445B7"/>
    <w:rsid w:val="00344687"/>
    <w:rsid w:val="003446D0"/>
    <w:rsid w:val="0034478C"/>
    <w:rsid w:val="00344AFD"/>
    <w:rsid w:val="00344B04"/>
    <w:rsid w:val="00344B4A"/>
    <w:rsid w:val="00344CE0"/>
    <w:rsid w:val="00344E62"/>
    <w:rsid w:val="00344F3B"/>
    <w:rsid w:val="003450C0"/>
    <w:rsid w:val="00345237"/>
    <w:rsid w:val="00345369"/>
    <w:rsid w:val="003453CD"/>
    <w:rsid w:val="0034553B"/>
    <w:rsid w:val="0034559D"/>
    <w:rsid w:val="00345656"/>
    <w:rsid w:val="003457BC"/>
    <w:rsid w:val="00345814"/>
    <w:rsid w:val="00345850"/>
    <w:rsid w:val="0034585E"/>
    <w:rsid w:val="003458E4"/>
    <w:rsid w:val="00345924"/>
    <w:rsid w:val="0034595B"/>
    <w:rsid w:val="00345996"/>
    <w:rsid w:val="00345A95"/>
    <w:rsid w:val="00345AC5"/>
    <w:rsid w:val="00345B57"/>
    <w:rsid w:val="00345D21"/>
    <w:rsid w:val="00345EB5"/>
    <w:rsid w:val="00345F87"/>
    <w:rsid w:val="0034607F"/>
    <w:rsid w:val="00346174"/>
    <w:rsid w:val="00346324"/>
    <w:rsid w:val="003463B2"/>
    <w:rsid w:val="00346438"/>
    <w:rsid w:val="00346560"/>
    <w:rsid w:val="003465A3"/>
    <w:rsid w:val="003465B9"/>
    <w:rsid w:val="003465C0"/>
    <w:rsid w:val="003465DC"/>
    <w:rsid w:val="00346871"/>
    <w:rsid w:val="003468C8"/>
    <w:rsid w:val="0034692D"/>
    <w:rsid w:val="0034698A"/>
    <w:rsid w:val="0034699C"/>
    <w:rsid w:val="003469F5"/>
    <w:rsid w:val="00346B75"/>
    <w:rsid w:val="00346CF7"/>
    <w:rsid w:val="00346E3A"/>
    <w:rsid w:val="00346EFF"/>
    <w:rsid w:val="00346F76"/>
    <w:rsid w:val="00346FCA"/>
    <w:rsid w:val="0034707E"/>
    <w:rsid w:val="003470B1"/>
    <w:rsid w:val="003470C3"/>
    <w:rsid w:val="003470C7"/>
    <w:rsid w:val="00347174"/>
    <w:rsid w:val="003471CA"/>
    <w:rsid w:val="003471D7"/>
    <w:rsid w:val="0034727E"/>
    <w:rsid w:val="003472D5"/>
    <w:rsid w:val="003473C4"/>
    <w:rsid w:val="0034743C"/>
    <w:rsid w:val="0034747C"/>
    <w:rsid w:val="003475A5"/>
    <w:rsid w:val="003475EB"/>
    <w:rsid w:val="00347706"/>
    <w:rsid w:val="00347721"/>
    <w:rsid w:val="0034772C"/>
    <w:rsid w:val="003477AC"/>
    <w:rsid w:val="00347855"/>
    <w:rsid w:val="003478BC"/>
    <w:rsid w:val="00347A17"/>
    <w:rsid w:val="00347A82"/>
    <w:rsid w:val="00347B16"/>
    <w:rsid w:val="00347B69"/>
    <w:rsid w:val="00347B8F"/>
    <w:rsid w:val="00347CA0"/>
    <w:rsid w:val="00347D2F"/>
    <w:rsid w:val="00347D7E"/>
    <w:rsid w:val="00347E40"/>
    <w:rsid w:val="0035000D"/>
    <w:rsid w:val="00350027"/>
    <w:rsid w:val="003500DC"/>
    <w:rsid w:val="0035018B"/>
    <w:rsid w:val="0035018D"/>
    <w:rsid w:val="00350370"/>
    <w:rsid w:val="003503A6"/>
    <w:rsid w:val="00350473"/>
    <w:rsid w:val="0035052A"/>
    <w:rsid w:val="0035053C"/>
    <w:rsid w:val="0035057F"/>
    <w:rsid w:val="003507E5"/>
    <w:rsid w:val="0035088E"/>
    <w:rsid w:val="00350969"/>
    <w:rsid w:val="00350978"/>
    <w:rsid w:val="003509E4"/>
    <w:rsid w:val="00350A44"/>
    <w:rsid w:val="00350A4C"/>
    <w:rsid w:val="00350B09"/>
    <w:rsid w:val="00350B3D"/>
    <w:rsid w:val="00350B5F"/>
    <w:rsid w:val="00350BB7"/>
    <w:rsid w:val="00350DC9"/>
    <w:rsid w:val="00350DED"/>
    <w:rsid w:val="00350EA3"/>
    <w:rsid w:val="00350F42"/>
    <w:rsid w:val="00350F97"/>
    <w:rsid w:val="003510AC"/>
    <w:rsid w:val="00351137"/>
    <w:rsid w:val="003511B6"/>
    <w:rsid w:val="00351267"/>
    <w:rsid w:val="00351495"/>
    <w:rsid w:val="003514A7"/>
    <w:rsid w:val="003514D8"/>
    <w:rsid w:val="003515B0"/>
    <w:rsid w:val="003515CC"/>
    <w:rsid w:val="003517D7"/>
    <w:rsid w:val="00351903"/>
    <w:rsid w:val="0035190B"/>
    <w:rsid w:val="0035195F"/>
    <w:rsid w:val="00351979"/>
    <w:rsid w:val="003519B9"/>
    <w:rsid w:val="00351A97"/>
    <w:rsid w:val="00351BC3"/>
    <w:rsid w:val="00351C20"/>
    <w:rsid w:val="00351C36"/>
    <w:rsid w:val="00351C39"/>
    <w:rsid w:val="00351C98"/>
    <w:rsid w:val="00351DE8"/>
    <w:rsid w:val="00351E6E"/>
    <w:rsid w:val="00351E71"/>
    <w:rsid w:val="00351F30"/>
    <w:rsid w:val="00351F36"/>
    <w:rsid w:val="00351FF2"/>
    <w:rsid w:val="0035206D"/>
    <w:rsid w:val="00352145"/>
    <w:rsid w:val="003521FC"/>
    <w:rsid w:val="0035221B"/>
    <w:rsid w:val="003522F9"/>
    <w:rsid w:val="0035251D"/>
    <w:rsid w:val="0035252D"/>
    <w:rsid w:val="00352564"/>
    <w:rsid w:val="00352592"/>
    <w:rsid w:val="003525A6"/>
    <w:rsid w:val="0035270C"/>
    <w:rsid w:val="00352813"/>
    <w:rsid w:val="003528D6"/>
    <w:rsid w:val="00352936"/>
    <w:rsid w:val="003529B2"/>
    <w:rsid w:val="00352AF1"/>
    <w:rsid w:val="00352B36"/>
    <w:rsid w:val="00352C95"/>
    <w:rsid w:val="00352CAF"/>
    <w:rsid w:val="00352CD0"/>
    <w:rsid w:val="00352D7C"/>
    <w:rsid w:val="00352DC0"/>
    <w:rsid w:val="00352EB2"/>
    <w:rsid w:val="00352FD5"/>
    <w:rsid w:val="00353045"/>
    <w:rsid w:val="00353051"/>
    <w:rsid w:val="0035305C"/>
    <w:rsid w:val="00353089"/>
    <w:rsid w:val="003530B9"/>
    <w:rsid w:val="0035319C"/>
    <w:rsid w:val="003532BA"/>
    <w:rsid w:val="003533AD"/>
    <w:rsid w:val="003534EF"/>
    <w:rsid w:val="0035353A"/>
    <w:rsid w:val="00353727"/>
    <w:rsid w:val="0035395A"/>
    <w:rsid w:val="00353A99"/>
    <w:rsid w:val="00353B76"/>
    <w:rsid w:val="00353C2E"/>
    <w:rsid w:val="00353D74"/>
    <w:rsid w:val="00353DCC"/>
    <w:rsid w:val="00353E59"/>
    <w:rsid w:val="00353F6B"/>
    <w:rsid w:val="003540FE"/>
    <w:rsid w:val="00354126"/>
    <w:rsid w:val="0035418F"/>
    <w:rsid w:val="0035431C"/>
    <w:rsid w:val="00354375"/>
    <w:rsid w:val="0035439A"/>
    <w:rsid w:val="003543C6"/>
    <w:rsid w:val="00354553"/>
    <w:rsid w:val="003545AC"/>
    <w:rsid w:val="0035466A"/>
    <w:rsid w:val="0035478E"/>
    <w:rsid w:val="00354959"/>
    <w:rsid w:val="003549D6"/>
    <w:rsid w:val="00354A8C"/>
    <w:rsid w:val="00354B1F"/>
    <w:rsid w:val="00354CC5"/>
    <w:rsid w:val="00354D1E"/>
    <w:rsid w:val="00354DEF"/>
    <w:rsid w:val="00354E79"/>
    <w:rsid w:val="00354F09"/>
    <w:rsid w:val="00354F58"/>
    <w:rsid w:val="00354FA4"/>
    <w:rsid w:val="00354FA7"/>
    <w:rsid w:val="00354FAC"/>
    <w:rsid w:val="00355236"/>
    <w:rsid w:val="00355242"/>
    <w:rsid w:val="00355316"/>
    <w:rsid w:val="00355351"/>
    <w:rsid w:val="003554EE"/>
    <w:rsid w:val="003555F1"/>
    <w:rsid w:val="00355648"/>
    <w:rsid w:val="003556C5"/>
    <w:rsid w:val="003558D6"/>
    <w:rsid w:val="00355926"/>
    <w:rsid w:val="00355960"/>
    <w:rsid w:val="003559CD"/>
    <w:rsid w:val="003559D5"/>
    <w:rsid w:val="00355BC3"/>
    <w:rsid w:val="00355BEE"/>
    <w:rsid w:val="00355EE7"/>
    <w:rsid w:val="00355F91"/>
    <w:rsid w:val="00356009"/>
    <w:rsid w:val="003561DA"/>
    <w:rsid w:val="00356351"/>
    <w:rsid w:val="0035647A"/>
    <w:rsid w:val="003564DA"/>
    <w:rsid w:val="003564E4"/>
    <w:rsid w:val="00356570"/>
    <w:rsid w:val="0035659F"/>
    <w:rsid w:val="003565BB"/>
    <w:rsid w:val="003566F0"/>
    <w:rsid w:val="00356720"/>
    <w:rsid w:val="00356770"/>
    <w:rsid w:val="00356916"/>
    <w:rsid w:val="00356A1D"/>
    <w:rsid w:val="00356B1F"/>
    <w:rsid w:val="00356B33"/>
    <w:rsid w:val="00356B49"/>
    <w:rsid w:val="00356BE2"/>
    <w:rsid w:val="00356C6B"/>
    <w:rsid w:val="00356CC3"/>
    <w:rsid w:val="00356D2F"/>
    <w:rsid w:val="00356D97"/>
    <w:rsid w:val="00356E7A"/>
    <w:rsid w:val="00356F7E"/>
    <w:rsid w:val="00356FAE"/>
    <w:rsid w:val="0035706F"/>
    <w:rsid w:val="00357103"/>
    <w:rsid w:val="003571C7"/>
    <w:rsid w:val="0035721E"/>
    <w:rsid w:val="003573E2"/>
    <w:rsid w:val="00357405"/>
    <w:rsid w:val="003574D2"/>
    <w:rsid w:val="0035752B"/>
    <w:rsid w:val="003575B5"/>
    <w:rsid w:val="003576CC"/>
    <w:rsid w:val="0035780F"/>
    <w:rsid w:val="00357818"/>
    <w:rsid w:val="00357945"/>
    <w:rsid w:val="0035796A"/>
    <w:rsid w:val="003579F3"/>
    <w:rsid w:val="00357A9B"/>
    <w:rsid w:val="00357ADC"/>
    <w:rsid w:val="00357B99"/>
    <w:rsid w:val="00357C31"/>
    <w:rsid w:val="00357C55"/>
    <w:rsid w:val="00357CDA"/>
    <w:rsid w:val="00357D06"/>
    <w:rsid w:val="00357E20"/>
    <w:rsid w:val="00357E61"/>
    <w:rsid w:val="00357FC9"/>
    <w:rsid w:val="003600E9"/>
    <w:rsid w:val="003601A1"/>
    <w:rsid w:val="00360294"/>
    <w:rsid w:val="003603A7"/>
    <w:rsid w:val="003603CC"/>
    <w:rsid w:val="003603FE"/>
    <w:rsid w:val="0036045F"/>
    <w:rsid w:val="003604BF"/>
    <w:rsid w:val="00360533"/>
    <w:rsid w:val="00360743"/>
    <w:rsid w:val="003607A0"/>
    <w:rsid w:val="003607FE"/>
    <w:rsid w:val="00360844"/>
    <w:rsid w:val="0036086E"/>
    <w:rsid w:val="00360881"/>
    <w:rsid w:val="00360949"/>
    <w:rsid w:val="0036096F"/>
    <w:rsid w:val="00360A56"/>
    <w:rsid w:val="00360B23"/>
    <w:rsid w:val="00360BC0"/>
    <w:rsid w:val="00360BEB"/>
    <w:rsid w:val="00360D0E"/>
    <w:rsid w:val="00360D1A"/>
    <w:rsid w:val="00360F22"/>
    <w:rsid w:val="00360F6F"/>
    <w:rsid w:val="00360FC8"/>
    <w:rsid w:val="0036108B"/>
    <w:rsid w:val="003610F8"/>
    <w:rsid w:val="00361105"/>
    <w:rsid w:val="00361139"/>
    <w:rsid w:val="003613F3"/>
    <w:rsid w:val="00361406"/>
    <w:rsid w:val="00361427"/>
    <w:rsid w:val="0036146D"/>
    <w:rsid w:val="003614A8"/>
    <w:rsid w:val="0036160E"/>
    <w:rsid w:val="00361692"/>
    <w:rsid w:val="003616E0"/>
    <w:rsid w:val="00361822"/>
    <w:rsid w:val="0036182A"/>
    <w:rsid w:val="00361883"/>
    <w:rsid w:val="00361AE3"/>
    <w:rsid w:val="00361AF8"/>
    <w:rsid w:val="00361B72"/>
    <w:rsid w:val="00361C2F"/>
    <w:rsid w:val="00361DCD"/>
    <w:rsid w:val="00361E2C"/>
    <w:rsid w:val="00361E5E"/>
    <w:rsid w:val="00361E7A"/>
    <w:rsid w:val="00361E84"/>
    <w:rsid w:val="00361F7D"/>
    <w:rsid w:val="00361F89"/>
    <w:rsid w:val="003620F9"/>
    <w:rsid w:val="0036223D"/>
    <w:rsid w:val="003622EC"/>
    <w:rsid w:val="0036242F"/>
    <w:rsid w:val="00362437"/>
    <w:rsid w:val="0036259A"/>
    <w:rsid w:val="00362779"/>
    <w:rsid w:val="003629DB"/>
    <w:rsid w:val="003629F0"/>
    <w:rsid w:val="00362A36"/>
    <w:rsid w:val="00362AAC"/>
    <w:rsid w:val="00362AD4"/>
    <w:rsid w:val="00362C98"/>
    <w:rsid w:val="00362CCA"/>
    <w:rsid w:val="00362D45"/>
    <w:rsid w:val="00362DD2"/>
    <w:rsid w:val="00362E79"/>
    <w:rsid w:val="00362ECA"/>
    <w:rsid w:val="00362F09"/>
    <w:rsid w:val="00362FE7"/>
    <w:rsid w:val="00363052"/>
    <w:rsid w:val="003631B3"/>
    <w:rsid w:val="003631FE"/>
    <w:rsid w:val="00363223"/>
    <w:rsid w:val="0036323A"/>
    <w:rsid w:val="00363425"/>
    <w:rsid w:val="00363498"/>
    <w:rsid w:val="003634A5"/>
    <w:rsid w:val="0036351A"/>
    <w:rsid w:val="003635CB"/>
    <w:rsid w:val="00363642"/>
    <w:rsid w:val="0036365F"/>
    <w:rsid w:val="0036374F"/>
    <w:rsid w:val="0036376E"/>
    <w:rsid w:val="00363776"/>
    <w:rsid w:val="003637CD"/>
    <w:rsid w:val="003637F7"/>
    <w:rsid w:val="0036383D"/>
    <w:rsid w:val="00363930"/>
    <w:rsid w:val="00363942"/>
    <w:rsid w:val="0036394C"/>
    <w:rsid w:val="003639B9"/>
    <w:rsid w:val="00363A81"/>
    <w:rsid w:val="00363AF1"/>
    <w:rsid w:val="00363B24"/>
    <w:rsid w:val="00363BC0"/>
    <w:rsid w:val="00363CBF"/>
    <w:rsid w:val="00363DCB"/>
    <w:rsid w:val="00363DCE"/>
    <w:rsid w:val="00363F6D"/>
    <w:rsid w:val="00364292"/>
    <w:rsid w:val="003642A6"/>
    <w:rsid w:val="003642DF"/>
    <w:rsid w:val="003642EF"/>
    <w:rsid w:val="00364364"/>
    <w:rsid w:val="0036447A"/>
    <w:rsid w:val="003644B7"/>
    <w:rsid w:val="00364525"/>
    <w:rsid w:val="003647EF"/>
    <w:rsid w:val="00364871"/>
    <w:rsid w:val="0036498E"/>
    <w:rsid w:val="00364A76"/>
    <w:rsid w:val="00364A95"/>
    <w:rsid w:val="00364DEB"/>
    <w:rsid w:val="00364E55"/>
    <w:rsid w:val="00364EF9"/>
    <w:rsid w:val="00364F1B"/>
    <w:rsid w:val="00364F22"/>
    <w:rsid w:val="00364FC0"/>
    <w:rsid w:val="00365024"/>
    <w:rsid w:val="003650DB"/>
    <w:rsid w:val="003650E0"/>
    <w:rsid w:val="0036510F"/>
    <w:rsid w:val="0036516F"/>
    <w:rsid w:val="003651EB"/>
    <w:rsid w:val="0036529E"/>
    <w:rsid w:val="003652B1"/>
    <w:rsid w:val="003652D6"/>
    <w:rsid w:val="003652DB"/>
    <w:rsid w:val="00365302"/>
    <w:rsid w:val="00365309"/>
    <w:rsid w:val="00365382"/>
    <w:rsid w:val="003653D3"/>
    <w:rsid w:val="0036563E"/>
    <w:rsid w:val="003657B5"/>
    <w:rsid w:val="003657F5"/>
    <w:rsid w:val="003658FD"/>
    <w:rsid w:val="003659D3"/>
    <w:rsid w:val="00365A18"/>
    <w:rsid w:val="00365AB5"/>
    <w:rsid w:val="00365AE6"/>
    <w:rsid w:val="00365D26"/>
    <w:rsid w:val="00365D42"/>
    <w:rsid w:val="00365DF0"/>
    <w:rsid w:val="00365F7C"/>
    <w:rsid w:val="00365F81"/>
    <w:rsid w:val="00366054"/>
    <w:rsid w:val="0036612C"/>
    <w:rsid w:val="0036619B"/>
    <w:rsid w:val="00366367"/>
    <w:rsid w:val="0036639F"/>
    <w:rsid w:val="00366424"/>
    <w:rsid w:val="003664EB"/>
    <w:rsid w:val="003666D9"/>
    <w:rsid w:val="003668FD"/>
    <w:rsid w:val="00366A08"/>
    <w:rsid w:val="00366B1E"/>
    <w:rsid w:val="00366B36"/>
    <w:rsid w:val="00366CF8"/>
    <w:rsid w:val="00366D73"/>
    <w:rsid w:val="00366E83"/>
    <w:rsid w:val="00366FF2"/>
    <w:rsid w:val="00367081"/>
    <w:rsid w:val="00367096"/>
    <w:rsid w:val="00367188"/>
    <w:rsid w:val="00367313"/>
    <w:rsid w:val="0036734C"/>
    <w:rsid w:val="003674B3"/>
    <w:rsid w:val="0036771E"/>
    <w:rsid w:val="003678E0"/>
    <w:rsid w:val="00367951"/>
    <w:rsid w:val="00367C4D"/>
    <w:rsid w:val="00367CEC"/>
    <w:rsid w:val="00367E44"/>
    <w:rsid w:val="00367ED4"/>
    <w:rsid w:val="00370003"/>
    <w:rsid w:val="00370056"/>
    <w:rsid w:val="0037009F"/>
    <w:rsid w:val="003700F5"/>
    <w:rsid w:val="00370169"/>
    <w:rsid w:val="00370244"/>
    <w:rsid w:val="00370529"/>
    <w:rsid w:val="00370536"/>
    <w:rsid w:val="003706C7"/>
    <w:rsid w:val="0037095F"/>
    <w:rsid w:val="00370968"/>
    <w:rsid w:val="00370983"/>
    <w:rsid w:val="003709EB"/>
    <w:rsid w:val="00370A1C"/>
    <w:rsid w:val="00370AD8"/>
    <w:rsid w:val="00370B6D"/>
    <w:rsid w:val="00370C43"/>
    <w:rsid w:val="00370C78"/>
    <w:rsid w:val="00370C7C"/>
    <w:rsid w:val="00370D6A"/>
    <w:rsid w:val="00370F53"/>
    <w:rsid w:val="00370F5D"/>
    <w:rsid w:val="00370FA8"/>
    <w:rsid w:val="00371009"/>
    <w:rsid w:val="00371046"/>
    <w:rsid w:val="00371069"/>
    <w:rsid w:val="003710AF"/>
    <w:rsid w:val="003711D4"/>
    <w:rsid w:val="00371248"/>
    <w:rsid w:val="003712EE"/>
    <w:rsid w:val="00371459"/>
    <w:rsid w:val="00371472"/>
    <w:rsid w:val="0037154A"/>
    <w:rsid w:val="00371690"/>
    <w:rsid w:val="003716A1"/>
    <w:rsid w:val="003716C6"/>
    <w:rsid w:val="0037175E"/>
    <w:rsid w:val="00371789"/>
    <w:rsid w:val="0037179C"/>
    <w:rsid w:val="003717C3"/>
    <w:rsid w:val="003717F1"/>
    <w:rsid w:val="003718E3"/>
    <w:rsid w:val="00371A0E"/>
    <w:rsid w:val="00371A4D"/>
    <w:rsid w:val="00371BC4"/>
    <w:rsid w:val="00371C4D"/>
    <w:rsid w:val="00371C53"/>
    <w:rsid w:val="00371C56"/>
    <w:rsid w:val="00371CD8"/>
    <w:rsid w:val="00371D1F"/>
    <w:rsid w:val="00371DFF"/>
    <w:rsid w:val="00371EB3"/>
    <w:rsid w:val="00371EB7"/>
    <w:rsid w:val="00372011"/>
    <w:rsid w:val="00372114"/>
    <w:rsid w:val="00372233"/>
    <w:rsid w:val="003722C9"/>
    <w:rsid w:val="0037236B"/>
    <w:rsid w:val="0037237D"/>
    <w:rsid w:val="003723D5"/>
    <w:rsid w:val="00372472"/>
    <w:rsid w:val="003724E6"/>
    <w:rsid w:val="0037259D"/>
    <w:rsid w:val="0037261C"/>
    <w:rsid w:val="00372845"/>
    <w:rsid w:val="003728AA"/>
    <w:rsid w:val="0037290A"/>
    <w:rsid w:val="00372A95"/>
    <w:rsid w:val="00372B1E"/>
    <w:rsid w:val="00372B8E"/>
    <w:rsid w:val="00372BD1"/>
    <w:rsid w:val="00372C62"/>
    <w:rsid w:val="00372CD0"/>
    <w:rsid w:val="00372CF9"/>
    <w:rsid w:val="00372D40"/>
    <w:rsid w:val="00372E56"/>
    <w:rsid w:val="00372ED7"/>
    <w:rsid w:val="00372F72"/>
    <w:rsid w:val="00372FA0"/>
    <w:rsid w:val="00373520"/>
    <w:rsid w:val="00373522"/>
    <w:rsid w:val="0037353B"/>
    <w:rsid w:val="00373543"/>
    <w:rsid w:val="0037362B"/>
    <w:rsid w:val="0037367F"/>
    <w:rsid w:val="003736C8"/>
    <w:rsid w:val="0037373D"/>
    <w:rsid w:val="0037375A"/>
    <w:rsid w:val="003737DC"/>
    <w:rsid w:val="003737EE"/>
    <w:rsid w:val="00373998"/>
    <w:rsid w:val="00373A36"/>
    <w:rsid w:val="00373CE0"/>
    <w:rsid w:val="00373D01"/>
    <w:rsid w:val="00373FB4"/>
    <w:rsid w:val="00374038"/>
    <w:rsid w:val="00374074"/>
    <w:rsid w:val="003740CC"/>
    <w:rsid w:val="00374252"/>
    <w:rsid w:val="0037425A"/>
    <w:rsid w:val="0037425E"/>
    <w:rsid w:val="00374290"/>
    <w:rsid w:val="003742E1"/>
    <w:rsid w:val="00374306"/>
    <w:rsid w:val="00374383"/>
    <w:rsid w:val="0037443A"/>
    <w:rsid w:val="003746A4"/>
    <w:rsid w:val="00374781"/>
    <w:rsid w:val="0037480F"/>
    <w:rsid w:val="0037491A"/>
    <w:rsid w:val="00374927"/>
    <w:rsid w:val="003749F6"/>
    <w:rsid w:val="00374A0A"/>
    <w:rsid w:val="00374A0D"/>
    <w:rsid w:val="00374AA5"/>
    <w:rsid w:val="00374ACF"/>
    <w:rsid w:val="00374AF0"/>
    <w:rsid w:val="00374BE8"/>
    <w:rsid w:val="00374DBD"/>
    <w:rsid w:val="00374E1F"/>
    <w:rsid w:val="00374E78"/>
    <w:rsid w:val="0037501B"/>
    <w:rsid w:val="00375072"/>
    <w:rsid w:val="0037512E"/>
    <w:rsid w:val="00375138"/>
    <w:rsid w:val="00375199"/>
    <w:rsid w:val="003751C7"/>
    <w:rsid w:val="0037533B"/>
    <w:rsid w:val="003754E4"/>
    <w:rsid w:val="00375591"/>
    <w:rsid w:val="00375594"/>
    <w:rsid w:val="003755F9"/>
    <w:rsid w:val="00375618"/>
    <w:rsid w:val="00375686"/>
    <w:rsid w:val="003757B7"/>
    <w:rsid w:val="003757D0"/>
    <w:rsid w:val="0037583A"/>
    <w:rsid w:val="0037583F"/>
    <w:rsid w:val="00375887"/>
    <w:rsid w:val="003759B9"/>
    <w:rsid w:val="00375B43"/>
    <w:rsid w:val="00375B80"/>
    <w:rsid w:val="00375BA4"/>
    <w:rsid w:val="00375D66"/>
    <w:rsid w:val="00375D7A"/>
    <w:rsid w:val="00375D86"/>
    <w:rsid w:val="00375D8A"/>
    <w:rsid w:val="00375DF1"/>
    <w:rsid w:val="00375DF7"/>
    <w:rsid w:val="00375E00"/>
    <w:rsid w:val="00375E02"/>
    <w:rsid w:val="00375E61"/>
    <w:rsid w:val="00376208"/>
    <w:rsid w:val="00376265"/>
    <w:rsid w:val="00376271"/>
    <w:rsid w:val="003762A4"/>
    <w:rsid w:val="00376462"/>
    <w:rsid w:val="0037658B"/>
    <w:rsid w:val="0037662E"/>
    <w:rsid w:val="003766B1"/>
    <w:rsid w:val="003767B4"/>
    <w:rsid w:val="00376868"/>
    <w:rsid w:val="0037692B"/>
    <w:rsid w:val="0037698C"/>
    <w:rsid w:val="00376A56"/>
    <w:rsid w:val="00376A73"/>
    <w:rsid w:val="00376A87"/>
    <w:rsid w:val="00376B1A"/>
    <w:rsid w:val="00376B96"/>
    <w:rsid w:val="00376D46"/>
    <w:rsid w:val="00376DE4"/>
    <w:rsid w:val="00376E77"/>
    <w:rsid w:val="00376F3E"/>
    <w:rsid w:val="00376FAC"/>
    <w:rsid w:val="0037704A"/>
    <w:rsid w:val="0037705D"/>
    <w:rsid w:val="003770C8"/>
    <w:rsid w:val="00377126"/>
    <w:rsid w:val="0037715B"/>
    <w:rsid w:val="003771B3"/>
    <w:rsid w:val="0037724B"/>
    <w:rsid w:val="0037733F"/>
    <w:rsid w:val="00377368"/>
    <w:rsid w:val="003773B9"/>
    <w:rsid w:val="00377473"/>
    <w:rsid w:val="003774E0"/>
    <w:rsid w:val="00377520"/>
    <w:rsid w:val="00377613"/>
    <w:rsid w:val="00377651"/>
    <w:rsid w:val="003776DB"/>
    <w:rsid w:val="00377806"/>
    <w:rsid w:val="00377A4E"/>
    <w:rsid w:val="00377B63"/>
    <w:rsid w:val="00377CDA"/>
    <w:rsid w:val="00377E95"/>
    <w:rsid w:val="00377F51"/>
    <w:rsid w:val="00380021"/>
    <w:rsid w:val="003801DC"/>
    <w:rsid w:val="00380242"/>
    <w:rsid w:val="00380288"/>
    <w:rsid w:val="0038034D"/>
    <w:rsid w:val="00380372"/>
    <w:rsid w:val="003803FF"/>
    <w:rsid w:val="00380622"/>
    <w:rsid w:val="003807ED"/>
    <w:rsid w:val="0038080A"/>
    <w:rsid w:val="0038086E"/>
    <w:rsid w:val="003809E4"/>
    <w:rsid w:val="00380C53"/>
    <w:rsid w:val="00380E93"/>
    <w:rsid w:val="00380E9B"/>
    <w:rsid w:val="00380F25"/>
    <w:rsid w:val="00381072"/>
    <w:rsid w:val="00381091"/>
    <w:rsid w:val="003810BC"/>
    <w:rsid w:val="00381374"/>
    <w:rsid w:val="003813A2"/>
    <w:rsid w:val="003813B9"/>
    <w:rsid w:val="00381506"/>
    <w:rsid w:val="0038151D"/>
    <w:rsid w:val="003815F4"/>
    <w:rsid w:val="0038164B"/>
    <w:rsid w:val="0038166A"/>
    <w:rsid w:val="0038170D"/>
    <w:rsid w:val="00381823"/>
    <w:rsid w:val="003818C7"/>
    <w:rsid w:val="00381927"/>
    <w:rsid w:val="0038192D"/>
    <w:rsid w:val="00381AA0"/>
    <w:rsid w:val="00381B96"/>
    <w:rsid w:val="00381C71"/>
    <w:rsid w:val="00381D08"/>
    <w:rsid w:val="00382033"/>
    <w:rsid w:val="00382143"/>
    <w:rsid w:val="003821E0"/>
    <w:rsid w:val="0038222C"/>
    <w:rsid w:val="00382272"/>
    <w:rsid w:val="0038237F"/>
    <w:rsid w:val="00382391"/>
    <w:rsid w:val="003823A3"/>
    <w:rsid w:val="003828B5"/>
    <w:rsid w:val="00382BB9"/>
    <w:rsid w:val="00382C6D"/>
    <w:rsid w:val="00382C77"/>
    <w:rsid w:val="00382C87"/>
    <w:rsid w:val="00382C96"/>
    <w:rsid w:val="00382DFA"/>
    <w:rsid w:val="00382E85"/>
    <w:rsid w:val="00382EA9"/>
    <w:rsid w:val="00382EB4"/>
    <w:rsid w:val="00382FFA"/>
    <w:rsid w:val="0038302A"/>
    <w:rsid w:val="00383051"/>
    <w:rsid w:val="0038325D"/>
    <w:rsid w:val="003833B3"/>
    <w:rsid w:val="003833C1"/>
    <w:rsid w:val="003834EF"/>
    <w:rsid w:val="0038351C"/>
    <w:rsid w:val="0038352E"/>
    <w:rsid w:val="00383593"/>
    <w:rsid w:val="0038362C"/>
    <w:rsid w:val="003836FE"/>
    <w:rsid w:val="003837E2"/>
    <w:rsid w:val="0038391C"/>
    <w:rsid w:val="00383A36"/>
    <w:rsid w:val="00383A69"/>
    <w:rsid w:val="00383A88"/>
    <w:rsid w:val="00383B7A"/>
    <w:rsid w:val="00383BAF"/>
    <w:rsid w:val="00383D20"/>
    <w:rsid w:val="00383DF9"/>
    <w:rsid w:val="00383F8E"/>
    <w:rsid w:val="00384002"/>
    <w:rsid w:val="00384108"/>
    <w:rsid w:val="00384132"/>
    <w:rsid w:val="00384158"/>
    <w:rsid w:val="0038418F"/>
    <w:rsid w:val="00384258"/>
    <w:rsid w:val="00384378"/>
    <w:rsid w:val="00384439"/>
    <w:rsid w:val="003844C8"/>
    <w:rsid w:val="003845CC"/>
    <w:rsid w:val="00384616"/>
    <w:rsid w:val="0038468A"/>
    <w:rsid w:val="0038470C"/>
    <w:rsid w:val="00384735"/>
    <w:rsid w:val="003847E7"/>
    <w:rsid w:val="00384830"/>
    <w:rsid w:val="003848A8"/>
    <w:rsid w:val="003848F9"/>
    <w:rsid w:val="003848FE"/>
    <w:rsid w:val="00384B52"/>
    <w:rsid w:val="00384C68"/>
    <w:rsid w:val="00384D37"/>
    <w:rsid w:val="00384DD3"/>
    <w:rsid w:val="00384F67"/>
    <w:rsid w:val="00384F77"/>
    <w:rsid w:val="0038510A"/>
    <w:rsid w:val="00385126"/>
    <w:rsid w:val="003851AA"/>
    <w:rsid w:val="003851AC"/>
    <w:rsid w:val="00385352"/>
    <w:rsid w:val="00385359"/>
    <w:rsid w:val="00385377"/>
    <w:rsid w:val="003853CC"/>
    <w:rsid w:val="00385403"/>
    <w:rsid w:val="00385638"/>
    <w:rsid w:val="0038571F"/>
    <w:rsid w:val="0038577A"/>
    <w:rsid w:val="00385841"/>
    <w:rsid w:val="00385ADB"/>
    <w:rsid w:val="00385B60"/>
    <w:rsid w:val="00385BA7"/>
    <w:rsid w:val="00385E67"/>
    <w:rsid w:val="00385E8C"/>
    <w:rsid w:val="00385EB4"/>
    <w:rsid w:val="00385ED0"/>
    <w:rsid w:val="00385F87"/>
    <w:rsid w:val="00386139"/>
    <w:rsid w:val="00386265"/>
    <w:rsid w:val="003862CD"/>
    <w:rsid w:val="003862D0"/>
    <w:rsid w:val="0038630B"/>
    <w:rsid w:val="003863F7"/>
    <w:rsid w:val="00386446"/>
    <w:rsid w:val="003864A9"/>
    <w:rsid w:val="00386511"/>
    <w:rsid w:val="00386534"/>
    <w:rsid w:val="00386680"/>
    <w:rsid w:val="0038674B"/>
    <w:rsid w:val="00386760"/>
    <w:rsid w:val="00386907"/>
    <w:rsid w:val="00386930"/>
    <w:rsid w:val="0038693B"/>
    <w:rsid w:val="003869CE"/>
    <w:rsid w:val="00386BDE"/>
    <w:rsid w:val="00386DA4"/>
    <w:rsid w:val="00386E4F"/>
    <w:rsid w:val="00386F25"/>
    <w:rsid w:val="00386F71"/>
    <w:rsid w:val="00386F83"/>
    <w:rsid w:val="00386FF0"/>
    <w:rsid w:val="00387359"/>
    <w:rsid w:val="003873BF"/>
    <w:rsid w:val="0038745A"/>
    <w:rsid w:val="0038745C"/>
    <w:rsid w:val="00387527"/>
    <w:rsid w:val="003875BB"/>
    <w:rsid w:val="0038763E"/>
    <w:rsid w:val="0038766A"/>
    <w:rsid w:val="0038767C"/>
    <w:rsid w:val="00387763"/>
    <w:rsid w:val="00387797"/>
    <w:rsid w:val="003877B6"/>
    <w:rsid w:val="0038783D"/>
    <w:rsid w:val="003878FC"/>
    <w:rsid w:val="003879F4"/>
    <w:rsid w:val="003879F6"/>
    <w:rsid w:val="00387A3A"/>
    <w:rsid w:val="00387AA3"/>
    <w:rsid w:val="00387AAA"/>
    <w:rsid w:val="00387AC0"/>
    <w:rsid w:val="00387AD0"/>
    <w:rsid w:val="00387BFD"/>
    <w:rsid w:val="00387C35"/>
    <w:rsid w:val="00387CE1"/>
    <w:rsid w:val="00387EE6"/>
    <w:rsid w:val="00387F71"/>
    <w:rsid w:val="00387FAA"/>
    <w:rsid w:val="0039001D"/>
    <w:rsid w:val="00390063"/>
    <w:rsid w:val="003900E5"/>
    <w:rsid w:val="0039033E"/>
    <w:rsid w:val="00390386"/>
    <w:rsid w:val="003903E8"/>
    <w:rsid w:val="00390447"/>
    <w:rsid w:val="00390478"/>
    <w:rsid w:val="00390513"/>
    <w:rsid w:val="0039055F"/>
    <w:rsid w:val="003905AC"/>
    <w:rsid w:val="003905E8"/>
    <w:rsid w:val="003906CD"/>
    <w:rsid w:val="003906DF"/>
    <w:rsid w:val="003907BD"/>
    <w:rsid w:val="00390837"/>
    <w:rsid w:val="0039088D"/>
    <w:rsid w:val="003909FD"/>
    <w:rsid w:val="00390A2B"/>
    <w:rsid w:val="00390A46"/>
    <w:rsid w:val="00390B2F"/>
    <w:rsid w:val="00390BF7"/>
    <w:rsid w:val="00390BFA"/>
    <w:rsid w:val="00390C29"/>
    <w:rsid w:val="00390CD2"/>
    <w:rsid w:val="00390D0E"/>
    <w:rsid w:val="00390E62"/>
    <w:rsid w:val="00390E93"/>
    <w:rsid w:val="00390ED5"/>
    <w:rsid w:val="00391114"/>
    <w:rsid w:val="00391169"/>
    <w:rsid w:val="0039116E"/>
    <w:rsid w:val="00391317"/>
    <w:rsid w:val="0039139D"/>
    <w:rsid w:val="003915CD"/>
    <w:rsid w:val="00391743"/>
    <w:rsid w:val="0039174C"/>
    <w:rsid w:val="003917C0"/>
    <w:rsid w:val="00391830"/>
    <w:rsid w:val="0039186E"/>
    <w:rsid w:val="003918B4"/>
    <w:rsid w:val="00391A13"/>
    <w:rsid w:val="00391A52"/>
    <w:rsid w:val="00391A96"/>
    <w:rsid w:val="00391ABB"/>
    <w:rsid w:val="00391AD1"/>
    <w:rsid w:val="00391B0B"/>
    <w:rsid w:val="00391BB7"/>
    <w:rsid w:val="00391BF8"/>
    <w:rsid w:val="00391CC9"/>
    <w:rsid w:val="00391D47"/>
    <w:rsid w:val="00391D8E"/>
    <w:rsid w:val="00391FE2"/>
    <w:rsid w:val="00392092"/>
    <w:rsid w:val="003920A3"/>
    <w:rsid w:val="003920AE"/>
    <w:rsid w:val="00392130"/>
    <w:rsid w:val="00392157"/>
    <w:rsid w:val="00392159"/>
    <w:rsid w:val="00392192"/>
    <w:rsid w:val="003921FC"/>
    <w:rsid w:val="003922CE"/>
    <w:rsid w:val="00392311"/>
    <w:rsid w:val="00392592"/>
    <w:rsid w:val="003925D3"/>
    <w:rsid w:val="00392652"/>
    <w:rsid w:val="003926DB"/>
    <w:rsid w:val="003927A8"/>
    <w:rsid w:val="00392960"/>
    <w:rsid w:val="00392975"/>
    <w:rsid w:val="003929FD"/>
    <w:rsid w:val="00392A31"/>
    <w:rsid w:val="00392C32"/>
    <w:rsid w:val="00392C61"/>
    <w:rsid w:val="00392CDB"/>
    <w:rsid w:val="00392D03"/>
    <w:rsid w:val="00392DC0"/>
    <w:rsid w:val="00392E48"/>
    <w:rsid w:val="00393041"/>
    <w:rsid w:val="00393395"/>
    <w:rsid w:val="0039339D"/>
    <w:rsid w:val="003933B5"/>
    <w:rsid w:val="003933C3"/>
    <w:rsid w:val="00393526"/>
    <w:rsid w:val="003935F7"/>
    <w:rsid w:val="00393651"/>
    <w:rsid w:val="0039366A"/>
    <w:rsid w:val="003936E9"/>
    <w:rsid w:val="003936EC"/>
    <w:rsid w:val="0039396C"/>
    <w:rsid w:val="00393A53"/>
    <w:rsid w:val="00393ABF"/>
    <w:rsid w:val="00393C3C"/>
    <w:rsid w:val="00393C85"/>
    <w:rsid w:val="00393CAA"/>
    <w:rsid w:val="00393CEF"/>
    <w:rsid w:val="00393D76"/>
    <w:rsid w:val="00393E90"/>
    <w:rsid w:val="00393EC5"/>
    <w:rsid w:val="00393F6B"/>
    <w:rsid w:val="00393FDC"/>
    <w:rsid w:val="0039405C"/>
    <w:rsid w:val="0039432A"/>
    <w:rsid w:val="00394352"/>
    <w:rsid w:val="00394387"/>
    <w:rsid w:val="003943DD"/>
    <w:rsid w:val="003943F9"/>
    <w:rsid w:val="00394473"/>
    <w:rsid w:val="0039448F"/>
    <w:rsid w:val="003944AD"/>
    <w:rsid w:val="00394546"/>
    <w:rsid w:val="00394750"/>
    <w:rsid w:val="0039489C"/>
    <w:rsid w:val="0039489F"/>
    <w:rsid w:val="0039497E"/>
    <w:rsid w:val="00394A92"/>
    <w:rsid w:val="00394B1F"/>
    <w:rsid w:val="00394C80"/>
    <w:rsid w:val="00394CBF"/>
    <w:rsid w:val="00394D8A"/>
    <w:rsid w:val="00394DEA"/>
    <w:rsid w:val="00394E33"/>
    <w:rsid w:val="00394EC7"/>
    <w:rsid w:val="00394F0C"/>
    <w:rsid w:val="00394F92"/>
    <w:rsid w:val="00395036"/>
    <w:rsid w:val="0039515C"/>
    <w:rsid w:val="00395170"/>
    <w:rsid w:val="003952A5"/>
    <w:rsid w:val="00395345"/>
    <w:rsid w:val="00395386"/>
    <w:rsid w:val="00395490"/>
    <w:rsid w:val="003954D5"/>
    <w:rsid w:val="00395503"/>
    <w:rsid w:val="00395587"/>
    <w:rsid w:val="00395662"/>
    <w:rsid w:val="00395724"/>
    <w:rsid w:val="00395737"/>
    <w:rsid w:val="003957B1"/>
    <w:rsid w:val="003957B7"/>
    <w:rsid w:val="003957BA"/>
    <w:rsid w:val="00395884"/>
    <w:rsid w:val="00395A31"/>
    <w:rsid w:val="00395AA4"/>
    <w:rsid w:val="00395B1B"/>
    <w:rsid w:val="00395BC8"/>
    <w:rsid w:val="00395F72"/>
    <w:rsid w:val="00396195"/>
    <w:rsid w:val="003962FE"/>
    <w:rsid w:val="00396329"/>
    <w:rsid w:val="00396381"/>
    <w:rsid w:val="003963AA"/>
    <w:rsid w:val="003963E6"/>
    <w:rsid w:val="0039645D"/>
    <w:rsid w:val="00396478"/>
    <w:rsid w:val="003964E1"/>
    <w:rsid w:val="003964F9"/>
    <w:rsid w:val="00396524"/>
    <w:rsid w:val="003965A5"/>
    <w:rsid w:val="003966A2"/>
    <w:rsid w:val="003966E1"/>
    <w:rsid w:val="0039691E"/>
    <w:rsid w:val="00396B7E"/>
    <w:rsid w:val="00396CCF"/>
    <w:rsid w:val="00396D9E"/>
    <w:rsid w:val="00396E26"/>
    <w:rsid w:val="00396E40"/>
    <w:rsid w:val="00396E56"/>
    <w:rsid w:val="00396E68"/>
    <w:rsid w:val="00396E97"/>
    <w:rsid w:val="00396F90"/>
    <w:rsid w:val="00396F92"/>
    <w:rsid w:val="003971CB"/>
    <w:rsid w:val="0039720B"/>
    <w:rsid w:val="00397353"/>
    <w:rsid w:val="003973FD"/>
    <w:rsid w:val="00397570"/>
    <w:rsid w:val="00397600"/>
    <w:rsid w:val="0039761E"/>
    <w:rsid w:val="003976A2"/>
    <w:rsid w:val="00397922"/>
    <w:rsid w:val="00397964"/>
    <w:rsid w:val="0039798B"/>
    <w:rsid w:val="003979B7"/>
    <w:rsid w:val="00397A4D"/>
    <w:rsid w:val="00397B20"/>
    <w:rsid w:val="00397E15"/>
    <w:rsid w:val="00397FCC"/>
    <w:rsid w:val="003A002F"/>
    <w:rsid w:val="003A00F4"/>
    <w:rsid w:val="003A0114"/>
    <w:rsid w:val="003A0130"/>
    <w:rsid w:val="003A0155"/>
    <w:rsid w:val="003A0159"/>
    <w:rsid w:val="003A04A8"/>
    <w:rsid w:val="003A04F8"/>
    <w:rsid w:val="003A06AB"/>
    <w:rsid w:val="003A0701"/>
    <w:rsid w:val="003A0793"/>
    <w:rsid w:val="003A0897"/>
    <w:rsid w:val="003A089E"/>
    <w:rsid w:val="003A096D"/>
    <w:rsid w:val="003A0A0B"/>
    <w:rsid w:val="003A0A52"/>
    <w:rsid w:val="003A0BB0"/>
    <w:rsid w:val="003A0D14"/>
    <w:rsid w:val="003A0D32"/>
    <w:rsid w:val="003A0D7B"/>
    <w:rsid w:val="003A0FFD"/>
    <w:rsid w:val="003A1162"/>
    <w:rsid w:val="003A1197"/>
    <w:rsid w:val="003A11E1"/>
    <w:rsid w:val="003A13FE"/>
    <w:rsid w:val="003A1466"/>
    <w:rsid w:val="003A1567"/>
    <w:rsid w:val="003A171E"/>
    <w:rsid w:val="003A18C8"/>
    <w:rsid w:val="003A19D5"/>
    <w:rsid w:val="003A19F0"/>
    <w:rsid w:val="003A19F2"/>
    <w:rsid w:val="003A1A14"/>
    <w:rsid w:val="003A1B44"/>
    <w:rsid w:val="003A1B4C"/>
    <w:rsid w:val="003A1BBF"/>
    <w:rsid w:val="003A1D02"/>
    <w:rsid w:val="003A1D18"/>
    <w:rsid w:val="003A1D5A"/>
    <w:rsid w:val="003A1D77"/>
    <w:rsid w:val="003A1D8B"/>
    <w:rsid w:val="003A1DB8"/>
    <w:rsid w:val="003A1E2E"/>
    <w:rsid w:val="003A1EA9"/>
    <w:rsid w:val="003A202C"/>
    <w:rsid w:val="003A2111"/>
    <w:rsid w:val="003A223E"/>
    <w:rsid w:val="003A22C7"/>
    <w:rsid w:val="003A2337"/>
    <w:rsid w:val="003A239C"/>
    <w:rsid w:val="003A23CC"/>
    <w:rsid w:val="003A2413"/>
    <w:rsid w:val="003A2434"/>
    <w:rsid w:val="003A2493"/>
    <w:rsid w:val="003A2516"/>
    <w:rsid w:val="003A25D8"/>
    <w:rsid w:val="003A2614"/>
    <w:rsid w:val="003A278A"/>
    <w:rsid w:val="003A27FC"/>
    <w:rsid w:val="003A2814"/>
    <w:rsid w:val="003A2848"/>
    <w:rsid w:val="003A284B"/>
    <w:rsid w:val="003A2860"/>
    <w:rsid w:val="003A2871"/>
    <w:rsid w:val="003A2912"/>
    <w:rsid w:val="003A298E"/>
    <w:rsid w:val="003A29DC"/>
    <w:rsid w:val="003A2AF1"/>
    <w:rsid w:val="003A2B0C"/>
    <w:rsid w:val="003A2D11"/>
    <w:rsid w:val="003A2DFB"/>
    <w:rsid w:val="003A2F69"/>
    <w:rsid w:val="003A3000"/>
    <w:rsid w:val="003A319F"/>
    <w:rsid w:val="003A3341"/>
    <w:rsid w:val="003A34D2"/>
    <w:rsid w:val="003A356F"/>
    <w:rsid w:val="003A3589"/>
    <w:rsid w:val="003A3604"/>
    <w:rsid w:val="003A3672"/>
    <w:rsid w:val="003A38A2"/>
    <w:rsid w:val="003A38C1"/>
    <w:rsid w:val="003A39B2"/>
    <w:rsid w:val="003A3A85"/>
    <w:rsid w:val="003A3A87"/>
    <w:rsid w:val="003A3AB5"/>
    <w:rsid w:val="003A3ABE"/>
    <w:rsid w:val="003A3BF7"/>
    <w:rsid w:val="003A3CF0"/>
    <w:rsid w:val="003A3D29"/>
    <w:rsid w:val="003A3E19"/>
    <w:rsid w:val="003A3E72"/>
    <w:rsid w:val="003A3EFB"/>
    <w:rsid w:val="003A3F1B"/>
    <w:rsid w:val="003A3FC4"/>
    <w:rsid w:val="003A400A"/>
    <w:rsid w:val="003A401F"/>
    <w:rsid w:val="003A4051"/>
    <w:rsid w:val="003A40B2"/>
    <w:rsid w:val="003A439F"/>
    <w:rsid w:val="003A44E9"/>
    <w:rsid w:val="003A46B8"/>
    <w:rsid w:val="003A46C8"/>
    <w:rsid w:val="003A46E5"/>
    <w:rsid w:val="003A471E"/>
    <w:rsid w:val="003A47C3"/>
    <w:rsid w:val="003A47C8"/>
    <w:rsid w:val="003A49C8"/>
    <w:rsid w:val="003A49F8"/>
    <w:rsid w:val="003A4A0B"/>
    <w:rsid w:val="003A4A4F"/>
    <w:rsid w:val="003A4A8C"/>
    <w:rsid w:val="003A4A99"/>
    <w:rsid w:val="003A4AD0"/>
    <w:rsid w:val="003A4B11"/>
    <w:rsid w:val="003A4B3B"/>
    <w:rsid w:val="003A4BB5"/>
    <w:rsid w:val="003A4CE1"/>
    <w:rsid w:val="003A4EFD"/>
    <w:rsid w:val="003A4F36"/>
    <w:rsid w:val="003A512E"/>
    <w:rsid w:val="003A5190"/>
    <w:rsid w:val="003A51B3"/>
    <w:rsid w:val="003A524C"/>
    <w:rsid w:val="003A5387"/>
    <w:rsid w:val="003A54C1"/>
    <w:rsid w:val="003A5507"/>
    <w:rsid w:val="003A555C"/>
    <w:rsid w:val="003A556F"/>
    <w:rsid w:val="003A57E2"/>
    <w:rsid w:val="003A58E7"/>
    <w:rsid w:val="003A58F7"/>
    <w:rsid w:val="003A59DF"/>
    <w:rsid w:val="003A5AB3"/>
    <w:rsid w:val="003A5AC3"/>
    <w:rsid w:val="003A5C80"/>
    <w:rsid w:val="003A5CE0"/>
    <w:rsid w:val="003A5DC0"/>
    <w:rsid w:val="003A5FB5"/>
    <w:rsid w:val="003A6020"/>
    <w:rsid w:val="003A610E"/>
    <w:rsid w:val="003A623B"/>
    <w:rsid w:val="003A633A"/>
    <w:rsid w:val="003A64B1"/>
    <w:rsid w:val="003A65CE"/>
    <w:rsid w:val="003A677C"/>
    <w:rsid w:val="003A69F0"/>
    <w:rsid w:val="003A6A60"/>
    <w:rsid w:val="003A6CA7"/>
    <w:rsid w:val="003A6CF5"/>
    <w:rsid w:val="003A6D2C"/>
    <w:rsid w:val="003A6F77"/>
    <w:rsid w:val="003A7052"/>
    <w:rsid w:val="003A7063"/>
    <w:rsid w:val="003A7187"/>
    <w:rsid w:val="003A7386"/>
    <w:rsid w:val="003A7467"/>
    <w:rsid w:val="003A7494"/>
    <w:rsid w:val="003A751F"/>
    <w:rsid w:val="003A7561"/>
    <w:rsid w:val="003A757D"/>
    <w:rsid w:val="003A75D1"/>
    <w:rsid w:val="003A7656"/>
    <w:rsid w:val="003A76F0"/>
    <w:rsid w:val="003A7785"/>
    <w:rsid w:val="003A7834"/>
    <w:rsid w:val="003A7847"/>
    <w:rsid w:val="003A7928"/>
    <w:rsid w:val="003A7A4F"/>
    <w:rsid w:val="003A7ABE"/>
    <w:rsid w:val="003A7B06"/>
    <w:rsid w:val="003A7B25"/>
    <w:rsid w:val="003A7BD3"/>
    <w:rsid w:val="003A7BF5"/>
    <w:rsid w:val="003A7CE7"/>
    <w:rsid w:val="003A7D0C"/>
    <w:rsid w:val="003A7D76"/>
    <w:rsid w:val="003A7DE4"/>
    <w:rsid w:val="003A7E25"/>
    <w:rsid w:val="003A7E81"/>
    <w:rsid w:val="003B00DF"/>
    <w:rsid w:val="003B0211"/>
    <w:rsid w:val="003B0220"/>
    <w:rsid w:val="003B02E4"/>
    <w:rsid w:val="003B0357"/>
    <w:rsid w:val="003B0471"/>
    <w:rsid w:val="003B05BF"/>
    <w:rsid w:val="003B061B"/>
    <w:rsid w:val="003B089B"/>
    <w:rsid w:val="003B0AE1"/>
    <w:rsid w:val="003B0AF4"/>
    <w:rsid w:val="003B0B6D"/>
    <w:rsid w:val="003B0B85"/>
    <w:rsid w:val="003B0DBC"/>
    <w:rsid w:val="003B0DE9"/>
    <w:rsid w:val="003B0DF7"/>
    <w:rsid w:val="003B0E80"/>
    <w:rsid w:val="003B0EB0"/>
    <w:rsid w:val="003B0ED8"/>
    <w:rsid w:val="003B0EF4"/>
    <w:rsid w:val="003B0F7B"/>
    <w:rsid w:val="003B0FF6"/>
    <w:rsid w:val="003B107A"/>
    <w:rsid w:val="003B10D8"/>
    <w:rsid w:val="003B113B"/>
    <w:rsid w:val="003B11B6"/>
    <w:rsid w:val="003B1211"/>
    <w:rsid w:val="003B1285"/>
    <w:rsid w:val="003B12BD"/>
    <w:rsid w:val="003B1348"/>
    <w:rsid w:val="003B1403"/>
    <w:rsid w:val="003B14FC"/>
    <w:rsid w:val="003B153D"/>
    <w:rsid w:val="003B1661"/>
    <w:rsid w:val="003B16DB"/>
    <w:rsid w:val="003B16F1"/>
    <w:rsid w:val="003B17F8"/>
    <w:rsid w:val="003B18AA"/>
    <w:rsid w:val="003B18BB"/>
    <w:rsid w:val="003B18D8"/>
    <w:rsid w:val="003B1902"/>
    <w:rsid w:val="003B1965"/>
    <w:rsid w:val="003B1A21"/>
    <w:rsid w:val="003B1A25"/>
    <w:rsid w:val="003B1A84"/>
    <w:rsid w:val="003B1AE1"/>
    <w:rsid w:val="003B1B4D"/>
    <w:rsid w:val="003B1B8B"/>
    <w:rsid w:val="003B1BA5"/>
    <w:rsid w:val="003B1C0F"/>
    <w:rsid w:val="003B1C1F"/>
    <w:rsid w:val="003B1CA5"/>
    <w:rsid w:val="003B1D06"/>
    <w:rsid w:val="003B1D8D"/>
    <w:rsid w:val="003B1E61"/>
    <w:rsid w:val="003B1E85"/>
    <w:rsid w:val="003B21F8"/>
    <w:rsid w:val="003B227F"/>
    <w:rsid w:val="003B2293"/>
    <w:rsid w:val="003B2331"/>
    <w:rsid w:val="003B2335"/>
    <w:rsid w:val="003B23F2"/>
    <w:rsid w:val="003B23F8"/>
    <w:rsid w:val="003B2455"/>
    <w:rsid w:val="003B253C"/>
    <w:rsid w:val="003B265B"/>
    <w:rsid w:val="003B2939"/>
    <w:rsid w:val="003B29BA"/>
    <w:rsid w:val="003B29EF"/>
    <w:rsid w:val="003B2AB9"/>
    <w:rsid w:val="003B2B92"/>
    <w:rsid w:val="003B2BA4"/>
    <w:rsid w:val="003B2BC1"/>
    <w:rsid w:val="003B2BFE"/>
    <w:rsid w:val="003B2E33"/>
    <w:rsid w:val="003B2E6E"/>
    <w:rsid w:val="003B2F99"/>
    <w:rsid w:val="003B2FA3"/>
    <w:rsid w:val="003B2FA9"/>
    <w:rsid w:val="003B2FDB"/>
    <w:rsid w:val="003B30E2"/>
    <w:rsid w:val="003B313C"/>
    <w:rsid w:val="003B3142"/>
    <w:rsid w:val="003B3148"/>
    <w:rsid w:val="003B3150"/>
    <w:rsid w:val="003B3186"/>
    <w:rsid w:val="003B31A4"/>
    <w:rsid w:val="003B31FA"/>
    <w:rsid w:val="003B3333"/>
    <w:rsid w:val="003B33DC"/>
    <w:rsid w:val="003B346B"/>
    <w:rsid w:val="003B35DC"/>
    <w:rsid w:val="003B35F6"/>
    <w:rsid w:val="003B365C"/>
    <w:rsid w:val="003B37CB"/>
    <w:rsid w:val="003B38C7"/>
    <w:rsid w:val="003B3980"/>
    <w:rsid w:val="003B39A6"/>
    <w:rsid w:val="003B39C3"/>
    <w:rsid w:val="003B3A1B"/>
    <w:rsid w:val="003B3AA1"/>
    <w:rsid w:val="003B3B57"/>
    <w:rsid w:val="003B3BE6"/>
    <w:rsid w:val="003B3C43"/>
    <w:rsid w:val="003B3C77"/>
    <w:rsid w:val="003B3E75"/>
    <w:rsid w:val="003B400F"/>
    <w:rsid w:val="003B40A2"/>
    <w:rsid w:val="003B40CE"/>
    <w:rsid w:val="003B41B1"/>
    <w:rsid w:val="003B41C5"/>
    <w:rsid w:val="003B427B"/>
    <w:rsid w:val="003B42C6"/>
    <w:rsid w:val="003B450E"/>
    <w:rsid w:val="003B4513"/>
    <w:rsid w:val="003B45B6"/>
    <w:rsid w:val="003B45DC"/>
    <w:rsid w:val="003B4688"/>
    <w:rsid w:val="003B46FC"/>
    <w:rsid w:val="003B474A"/>
    <w:rsid w:val="003B47D5"/>
    <w:rsid w:val="003B4875"/>
    <w:rsid w:val="003B4911"/>
    <w:rsid w:val="003B4918"/>
    <w:rsid w:val="003B4941"/>
    <w:rsid w:val="003B4A3B"/>
    <w:rsid w:val="003B4A7B"/>
    <w:rsid w:val="003B4ACF"/>
    <w:rsid w:val="003B4B07"/>
    <w:rsid w:val="003B4B67"/>
    <w:rsid w:val="003B4C9B"/>
    <w:rsid w:val="003B4D1C"/>
    <w:rsid w:val="003B4D9C"/>
    <w:rsid w:val="003B4EA1"/>
    <w:rsid w:val="003B4F7E"/>
    <w:rsid w:val="003B505E"/>
    <w:rsid w:val="003B50DB"/>
    <w:rsid w:val="003B50EE"/>
    <w:rsid w:val="003B50FA"/>
    <w:rsid w:val="003B524F"/>
    <w:rsid w:val="003B5284"/>
    <w:rsid w:val="003B55A4"/>
    <w:rsid w:val="003B56CA"/>
    <w:rsid w:val="003B572C"/>
    <w:rsid w:val="003B5845"/>
    <w:rsid w:val="003B5871"/>
    <w:rsid w:val="003B595C"/>
    <w:rsid w:val="003B5962"/>
    <w:rsid w:val="003B5A22"/>
    <w:rsid w:val="003B5AEE"/>
    <w:rsid w:val="003B5B3B"/>
    <w:rsid w:val="003B5D86"/>
    <w:rsid w:val="003B5E60"/>
    <w:rsid w:val="003B5EA7"/>
    <w:rsid w:val="003B5FE4"/>
    <w:rsid w:val="003B6000"/>
    <w:rsid w:val="003B607F"/>
    <w:rsid w:val="003B60FE"/>
    <w:rsid w:val="003B617D"/>
    <w:rsid w:val="003B61DB"/>
    <w:rsid w:val="003B61EC"/>
    <w:rsid w:val="003B63C7"/>
    <w:rsid w:val="003B6418"/>
    <w:rsid w:val="003B6547"/>
    <w:rsid w:val="003B6600"/>
    <w:rsid w:val="003B6629"/>
    <w:rsid w:val="003B66E3"/>
    <w:rsid w:val="003B6740"/>
    <w:rsid w:val="003B67DD"/>
    <w:rsid w:val="003B68AC"/>
    <w:rsid w:val="003B68C3"/>
    <w:rsid w:val="003B6AA4"/>
    <w:rsid w:val="003B6BD6"/>
    <w:rsid w:val="003B6C59"/>
    <w:rsid w:val="003B6DC3"/>
    <w:rsid w:val="003B6DDD"/>
    <w:rsid w:val="003B6E1E"/>
    <w:rsid w:val="003B6FAE"/>
    <w:rsid w:val="003B6FFC"/>
    <w:rsid w:val="003B70E4"/>
    <w:rsid w:val="003B7115"/>
    <w:rsid w:val="003B71D7"/>
    <w:rsid w:val="003B71F8"/>
    <w:rsid w:val="003B724B"/>
    <w:rsid w:val="003B725D"/>
    <w:rsid w:val="003B72BE"/>
    <w:rsid w:val="003B7333"/>
    <w:rsid w:val="003B7380"/>
    <w:rsid w:val="003B7428"/>
    <w:rsid w:val="003B746E"/>
    <w:rsid w:val="003B7910"/>
    <w:rsid w:val="003B7995"/>
    <w:rsid w:val="003B7A71"/>
    <w:rsid w:val="003B7AE4"/>
    <w:rsid w:val="003B7EDE"/>
    <w:rsid w:val="003C003C"/>
    <w:rsid w:val="003C00A7"/>
    <w:rsid w:val="003C0121"/>
    <w:rsid w:val="003C018D"/>
    <w:rsid w:val="003C01B3"/>
    <w:rsid w:val="003C02AB"/>
    <w:rsid w:val="003C0452"/>
    <w:rsid w:val="003C049A"/>
    <w:rsid w:val="003C0530"/>
    <w:rsid w:val="003C058E"/>
    <w:rsid w:val="003C05B6"/>
    <w:rsid w:val="003C068E"/>
    <w:rsid w:val="003C073C"/>
    <w:rsid w:val="003C0876"/>
    <w:rsid w:val="003C087C"/>
    <w:rsid w:val="003C0A1F"/>
    <w:rsid w:val="003C0A4B"/>
    <w:rsid w:val="003C0BEF"/>
    <w:rsid w:val="003C0C37"/>
    <w:rsid w:val="003C0D70"/>
    <w:rsid w:val="003C0DA9"/>
    <w:rsid w:val="003C0E1F"/>
    <w:rsid w:val="003C0E20"/>
    <w:rsid w:val="003C0F5C"/>
    <w:rsid w:val="003C0FBF"/>
    <w:rsid w:val="003C11A2"/>
    <w:rsid w:val="003C155F"/>
    <w:rsid w:val="003C160D"/>
    <w:rsid w:val="003C1692"/>
    <w:rsid w:val="003C1714"/>
    <w:rsid w:val="003C1799"/>
    <w:rsid w:val="003C1899"/>
    <w:rsid w:val="003C1B3E"/>
    <w:rsid w:val="003C1B67"/>
    <w:rsid w:val="003C1BBD"/>
    <w:rsid w:val="003C1CA4"/>
    <w:rsid w:val="003C1D2E"/>
    <w:rsid w:val="003C1D87"/>
    <w:rsid w:val="003C1DCB"/>
    <w:rsid w:val="003C1E6E"/>
    <w:rsid w:val="003C1F07"/>
    <w:rsid w:val="003C2161"/>
    <w:rsid w:val="003C21C3"/>
    <w:rsid w:val="003C22A1"/>
    <w:rsid w:val="003C22A3"/>
    <w:rsid w:val="003C25C7"/>
    <w:rsid w:val="003C25F1"/>
    <w:rsid w:val="003C2622"/>
    <w:rsid w:val="003C2683"/>
    <w:rsid w:val="003C268D"/>
    <w:rsid w:val="003C26EC"/>
    <w:rsid w:val="003C26FD"/>
    <w:rsid w:val="003C27AE"/>
    <w:rsid w:val="003C27D1"/>
    <w:rsid w:val="003C2816"/>
    <w:rsid w:val="003C289E"/>
    <w:rsid w:val="003C28E9"/>
    <w:rsid w:val="003C2A60"/>
    <w:rsid w:val="003C2B27"/>
    <w:rsid w:val="003C2CC3"/>
    <w:rsid w:val="003C2CD2"/>
    <w:rsid w:val="003C2DD4"/>
    <w:rsid w:val="003C2E76"/>
    <w:rsid w:val="003C2EB7"/>
    <w:rsid w:val="003C2F94"/>
    <w:rsid w:val="003C2FED"/>
    <w:rsid w:val="003C3024"/>
    <w:rsid w:val="003C308B"/>
    <w:rsid w:val="003C3091"/>
    <w:rsid w:val="003C3098"/>
    <w:rsid w:val="003C3101"/>
    <w:rsid w:val="003C32E4"/>
    <w:rsid w:val="003C33A3"/>
    <w:rsid w:val="003C340C"/>
    <w:rsid w:val="003C356A"/>
    <w:rsid w:val="003C357C"/>
    <w:rsid w:val="003C35E5"/>
    <w:rsid w:val="003C36A2"/>
    <w:rsid w:val="003C3713"/>
    <w:rsid w:val="003C3894"/>
    <w:rsid w:val="003C38B9"/>
    <w:rsid w:val="003C3A51"/>
    <w:rsid w:val="003C3A61"/>
    <w:rsid w:val="003C3C6E"/>
    <w:rsid w:val="003C3E50"/>
    <w:rsid w:val="003C3E93"/>
    <w:rsid w:val="003C3EA8"/>
    <w:rsid w:val="003C3EFF"/>
    <w:rsid w:val="003C3F7A"/>
    <w:rsid w:val="003C3FBA"/>
    <w:rsid w:val="003C4049"/>
    <w:rsid w:val="003C4121"/>
    <w:rsid w:val="003C412D"/>
    <w:rsid w:val="003C4194"/>
    <w:rsid w:val="003C428C"/>
    <w:rsid w:val="003C43BC"/>
    <w:rsid w:val="003C4403"/>
    <w:rsid w:val="003C4467"/>
    <w:rsid w:val="003C4553"/>
    <w:rsid w:val="003C457A"/>
    <w:rsid w:val="003C4740"/>
    <w:rsid w:val="003C474C"/>
    <w:rsid w:val="003C485A"/>
    <w:rsid w:val="003C49A1"/>
    <w:rsid w:val="003C4A47"/>
    <w:rsid w:val="003C4A5B"/>
    <w:rsid w:val="003C4AC9"/>
    <w:rsid w:val="003C4B17"/>
    <w:rsid w:val="003C4B3F"/>
    <w:rsid w:val="003C4D8B"/>
    <w:rsid w:val="003C4DB6"/>
    <w:rsid w:val="003C4E85"/>
    <w:rsid w:val="003C4F98"/>
    <w:rsid w:val="003C525C"/>
    <w:rsid w:val="003C52B2"/>
    <w:rsid w:val="003C52DE"/>
    <w:rsid w:val="003C52FD"/>
    <w:rsid w:val="003C540A"/>
    <w:rsid w:val="003C5433"/>
    <w:rsid w:val="003C545F"/>
    <w:rsid w:val="003C54A4"/>
    <w:rsid w:val="003C54B1"/>
    <w:rsid w:val="003C55A9"/>
    <w:rsid w:val="003C55B9"/>
    <w:rsid w:val="003C5703"/>
    <w:rsid w:val="003C5711"/>
    <w:rsid w:val="003C5E06"/>
    <w:rsid w:val="003C5E16"/>
    <w:rsid w:val="003C600C"/>
    <w:rsid w:val="003C601A"/>
    <w:rsid w:val="003C604D"/>
    <w:rsid w:val="003C6060"/>
    <w:rsid w:val="003C607C"/>
    <w:rsid w:val="003C60F8"/>
    <w:rsid w:val="003C617C"/>
    <w:rsid w:val="003C61B7"/>
    <w:rsid w:val="003C6289"/>
    <w:rsid w:val="003C62F4"/>
    <w:rsid w:val="003C63DC"/>
    <w:rsid w:val="003C63EE"/>
    <w:rsid w:val="003C63F5"/>
    <w:rsid w:val="003C644D"/>
    <w:rsid w:val="003C648C"/>
    <w:rsid w:val="003C648D"/>
    <w:rsid w:val="003C6504"/>
    <w:rsid w:val="003C6562"/>
    <w:rsid w:val="003C674E"/>
    <w:rsid w:val="003C67C8"/>
    <w:rsid w:val="003C67F4"/>
    <w:rsid w:val="003C6903"/>
    <w:rsid w:val="003C69F7"/>
    <w:rsid w:val="003C6A28"/>
    <w:rsid w:val="003C6AD3"/>
    <w:rsid w:val="003C6B2B"/>
    <w:rsid w:val="003C6B54"/>
    <w:rsid w:val="003C6BAD"/>
    <w:rsid w:val="003C6C66"/>
    <w:rsid w:val="003C6D02"/>
    <w:rsid w:val="003C6D53"/>
    <w:rsid w:val="003C6E4E"/>
    <w:rsid w:val="003C6EE0"/>
    <w:rsid w:val="003C6FF8"/>
    <w:rsid w:val="003C706C"/>
    <w:rsid w:val="003C73C8"/>
    <w:rsid w:val="003C75F7"/>
    <w:rsid w:val="003C769F"/>
    <w:rsid w:val="003C76AB"/>
    <w:rsid w:val="003C76D8"/>
    <w:rsid w:val="003C775F"/>
    <w:rsid w:val="003C78FB"/>
    <w:rsid w:val="003C793D"/>
    <w:rsid w:val="003C79D8"/>
    <w:rsid w:val="003C7A17"/>
    <w:rsid w:val="003C7A1F"/>
    <w:rsid w:val="003C7A48"/>
    <w:rsid w:val="003C7A73"/>
    <w:rsid w:val="003C7ACC"/>
    <w:rsid w:val="003C7B40"/>
    <w:rsid w:val="003C7BB5"/>
    <w:rsid w:val="003C7BC4"/>
    <w:rsid w:val="003C7C97"/>
    <w:rsid w:val="003C7CF2"/>
    <w:rsid w:val="003C7CF4"/>
    <w:rsid w:val="003C7DAA"/>
    <w:rsid w:val="003C7DC4"/>
    <w:rsid w:val="003C7DCC"/>
    <w:rsid w:val="003C7DF4"/>
    <w:rsid w:val="003C7E27"/>
    <w:rsid w:val="003C7EC8"/>
    <w:rsid w:val="003D0066"/>
    <w:rsid w:val="003D00E0"/>
    <w:rsid w:val="003D012F"/>
    <w:rsid w:val="003D0225"/>
    <w:rsid w:val="003D02E1"/>
    <w:rsid w:val="003D034E"/>
    <w:rsid w:val="003D04AA"/>
    <w:rsid w:val="003D04ED"/>
    <w:rsid w:val="003D050C"/>
    <w:rsid w:val="003D051D"/>
    <w:rsid w:val="003D058B"/>
    <w:rsid w:val="003D05F5"/>
    <w:rsid w:val="003D0687"/>
    <w:rsid w:val="003D071E"/>
    <w:rsid w:val="003D0819"/>
    <w:rsid w:val="003D0825"/>
    <w:rsid w:val="003D0847"/>
    <w:rsid w:val="003D0975"/>
    <w:rsid w:val="003D0983"/>
    <w:rsid w:val="003D0999"/>
    <w:rsid w:val="003D09B4"/>
    <w:rsid w:val="003D09DE"/>
    <w:rsid w:val="003D0B2C"/>
    <w:rsid w:val="003D0BB4"/>
    <w:rsid w:val="003D0CFB"/>
    <w:rsid w:val="003D0D06"/>
    <w:rsid w:val="003D0DF4"/>
    <w:rsid w:val="003D0E0B"/>
    <w:rsid w:val="003D0E55"/>
    <w:rsid w:val="003D0E79"/>
    <w:rsid w:val="003D0EE8"/>
    <w:rsid w:val="003D1047"/>
    <w:rsid w:val="003D1057"/>
    <w:rsid w:val="003D108C"/>
    <w:rsid w:val="003D10A8"/>
    <w:rsid w:val="003D1141"/>
    <w:rsid w:val="003D1198"/>
    <w:rsid w:val="003D1388"/>
    <w:rsid w:val="003D142D"/>
    <w:rsid w:val="003D14E1"/>
    <w:rsid w:val="003D162D"/>
    <w:rsid w:val="003D1749"/>
    <w:rsid w:val="003D178C"/>
    <w:rsid w:val="003D18EA"/>
    <w:rsid w:val="003D190B"/>
    <w:rsid w:val="003D19B7"/>
    <w:rsid w:val="003D19E3"/>
    <w:rsid w:val="003D1A78"/>
    <w:rsid w:val="003D1B03"/>
    <w:rsid w:val="003D1B6A"/>
    <w:rsid w:val="003D1CB6"/>
    <w:rsid w:val="003D1DFF"/>
    <w:rsid w:val="003D1EE9"/>
    <w:rsid w:val="003D1FDD"/>
    <w:rsid w:val="003D1FFD"/>
    <w:rsid w:val="003D21A4"/>
    <w:rsid w:val="003D234E"/>
    <w:rsid w:val="003D2453"/>
    <w:rsid w:val="003D250D"/>
    <w:rsid w:val="003D2563"/>
    <w:rsid w:val="003D2628"/>
    <w:rsid w:val="003D26C8"/>
    <w:rsid w:val="003D26F4"/>
    <w:rsid w:val="003D273C"/>
    <w:rsid w:val="003D27C1"/>
    <w:rsid w:val="003D29C1"/>
    <w:rsid w:val="003D2BA9"/>
    <w:rsid w:val="003D2D5D"/>
    <w:rsid w:val="003D2F04"/>
    <w:rsid w:val="003D2F70"/>
    <w:rsid w:val="003D3050"/>
    <w:rsid w:val="003D3077"/>
    <w:rsid w:val="003D312E"/>
    <w:rsid w:val="003D3155"/>
    <w:rsid w:val="003D31AE"/>
    <w:rsid w:val="003D3265"/>
    <w:rsid w:val="003D32A5"/>
    <w:rsid w:val="003D338F"/>
    <w:rsid w:val="003D36A3"/>
    <w:rsid w:val="003D3774"/>
    <w:rsid w:val="003D3882"/>
    <w:rsid w:val="003D389D"/>
    <w:rsid w:val="003D3906"/>
    <w:rsid w:val="003D3A08"/>
    <w:rsid w:val="003D3ADB"/>
    <w:rsid w:val="003D3AED"/>
    <w:rsid w:val="003D3BBD"/>
    <w:rsid w:val="003D3D0D"/>
    <w:rsid w:val="003D3D0F"/>
    <w:rsid w:val="003D3F2B"/>
    <w:rsid w:val="003D3FA8"/>
    <w:rsid w:val="003D40FC"/>
    <w:rsid w:val="003D410A"/>
    <w:rsid w:val="003D4132"/>
    <w:rsid w:val="003D41A9"/>
    <w:rsid w:val="003D4504"/>
    <w:rsid w:val="003D457E"/>
    <w:rsid w:val="003D4653"/>
    <w:rsid w:val="003D466A"/>
    <w:rsid w:val="003D4694"/>
    <w:rsid w:val="003D4866"/>
    <w:rsid w:val="003D48F2"/>
    <w:rsid w:val="003D4A2A"/>
    <w:rsid w:val="003D4A45"/>
    <w:rsid w:val="003D4A5C"/>
    <w:rsid w:val="003D4A77"/>
    <w:rsid w:val="003D4AAF"/>
    <w:rsid w:val="003D4B88"/>
    <w:rsid w:val="003D4B96"/>
    <w:rsid w:val="003D4BE8"/>
    <w:rsid w:val="003D4D3C"/>
    <w:rsid w:val="003D4D6C"/>
    <w:rsid w:val="003D4D7C"/>
    <w:rsid w:val="003D4DB4"/>
    <w:rsid w:val="003D4DDC"/>
    <w:rsid w:val="003D4E0A"/>
    <w:rsid w:val="003D50AA"/>
    <w:rsid w:val="003D50CF"/>
    <w:rsid w:val="003D52F4"/>
    <w:rsid w:val="003D5360"/>
    <w:rsid w:val="003D54BF"/>
    <w:rsid w:val="003D55CB"/>
    <w:rsid w:val="003D56DB"/>
    <w:rsid w:val="003D574F"/>
    <w:rsid w:val="003D5768"/>
    <w:rsid w:val="003D595D"/>
    <w:rsid w:val="003D598A"/>
    <w:rsid w:val="003D5A79"/>
    <w:rsid w:val="003D5AB8"/>
    <w:rsid w:val="003D5F72"/>
    <w:rsid w:val="003D6078"/>
    <w:rsid w:val="003D609B"/>
    <w:rsid w:val="003D60EA"/>
    <w:rsid w:val="003D6129"/>
    <w:rsid w:val="003D6131"/>
    <w:rsid w:val="003D62FB"/>
    <w:rsid w:val="003D6354"/>
    <w:rsid w:val="003D6455"/>
    <w:rsid w:val="003D6644"/>
    <w:rsid w:val="003D6684"/>
    <w:rsid w:val="003D66A0"/>
    <w:rsid w:val="003D67DA"/>
    <w:rsid w:val="003D68C8"/>
    <w:rsid w:val="003D6961"/>
    <w:rsid w:val="003D69ED"/>
    <w:rsid w:val="003D6A5D"/>
    <w:rsid w:val="003D6A82"/>
    <w:rsid w:val="003D6B1D"/>
    <w:rsid w:val="003D6BA9"/>
    <w:rsid w:val="003D6C36"/>
    <w:rsid w:val="003D6DD5"/>
    <w:rsid w:val="003D6E51"/>
    <w:rsid w:val="003D6E68"/>
    <w:rsid w:val="003D6F8B"/>
    <w:rsid w:val="003D71E3"/>
    <w:rsid w:val="003D72D7"/>
    <w:rsid w:val="003D72DA"/>
    <w:rsid w:val="003D741F"/>
    <w:rsid w:val="003D74C6"/>
    <w:rsid w:val="003D74DF"/>
    <w:rsid w:val="003D7511"/>
    <w:rsid w:val="003D7641"/>
    <w:rsid w:val="003D764C"/>
    <w:rsid w:val="003D76D6"/>
    <w:rsid w:val="003D78AE"/>
    <w:rsid w:val="003D7902"/>
    <w:rsid w:val="003D790D"/>
    <w:rsid w:val="003D79B1"/>
    <w:rsid w:val="003D79B2"/>
    <w:rsid w:val="003D7B22"/>
    <w:rsid w:val="003D7BD5"/>
    <w:rsid w:val="003D7C6F"/>
    <w:rsid w:val="003D7C93"/>
    <w:rsid w:val="003D7D67"/>
    <w:rsid w:val="003D7DCE"/>
    <w:rsid w:val="003D7E74"/>
    <w:rsid w:val="003D7E9F"/>
    <w:rsid w:val="003D7FD2"/>
    <w:rsid w:val="003E002E"/>
    <w:rsid w:val="003E006C"/>
    <w:rsid w:val="003E01CA"/>
    <w:rsid w:val="003E01ED"/>
    <w:rsid w:val="003E02D1"/>
    <w:rsid w:val="003E035E"/>
    <w:rsid w:val="003E03C5"/>
    <w:rsid w:val="003E040D"/>
    <w:rsid w:val="003E0444"/>
    <w:rsid w:val="003E0478"/>
    <w:rsid w:val="003E052E"/>
    <w:rsid w:val="003E0599"/>
    <w:rsid w:val="003E0659"/>
    <w:rsid w:val="003E0661"/>
    <w:rsid w:val="003E06BE"/>
    <w:rsid w:val="003E06F4"/>
    <w:rsid w:val="003E0753"/>
    <w:rsid w:val="003E07A8"/>
    <w:rsid w:val="003E08CA"/>
    <w:rsid w:val="003E0944"/>
    <w:rsid w:val="003E0977"/>
    <w:rsid w:val="003E0A49"/>
    <w:rsid w:val="003E0A6E"/>
    <w:rsid w:val="003E0BAC"/>
    <w:rsid w:val="003E0C39"/>
    <w:rsid w:val="003E0C5B"/>
    <w:rsid w:val="003E0CC7"/>
    <w:rsid w:val="003E0E09"/>
    <w:rsid w:val="003E0EA3"/>
    <w:rsid w:val="003E0EDC"/>
    <w:rsid w:val="003E1015"/>
    <w:rsid w:val="003E1033"/>
    <w:rsid w:val="003E1067"/>
    <w:rsid w:val="003E106C"/>
    <w:rsid w:val="003E10A5"/>
    <w:rsid w:val="003E10AE"/>
    <w:rsid w:val="003E11B0"/>
    <w:rsid w:val="003E12E5"/>
    <w:rsid w:val="003E137A"/>
    <w:rsid w:val="003E1380"/>
    <w:rsid w:val="003E13AA"/>
    <w:rsid w:val="003E13B5"/>
    <w:rsid w:val="003E1532"/>
    <w:rsid w:val="003E1707"/>
    <w:rsid w:val="003E1768"/>
    <w:rsid w:val="003E17FF"/>
    <w:rsid w:val="003E196A"/>
    <w:rsid w:val="003E1A25"/>
    <w:rsid w:val="003E1BAC"/>
    <w:rsid w:val="003E1BF7"/>
    <w:rsid w:val="003E1C39"/>
    <w:rsid w:val="003E1D00"/>
    <w:rsid w:val="003E1D1D"/>
    <w:rsid w:val="003E1E45"/>
    <w:rsid w:val="003E1E70"/>
    <w:rsid w:val="003E1E90"/>
    <w:rsid w:val="003E1FCE"/>
    <w:rsid w:val="003E205F"/>
    <w:rsid w:val="003E2060"/>
    <w:rsid w:val="003E20B3"/>
    <w:rsid w:val="003E228A"/>
    <w:rsid w:val="003E22A7"/>
    <w:rsid w:val="003E22C2"/>
    <w:rsid w:val="003E230E"/>
    <w:rsid w:val="003E2442"/>
    <w:rsid w:val="003E25C1"/>
    <w:rsid w:val="003E25F4"/>
    <w:rsid w:val="003E2657"/>
    <w:rsid w:val="003E268F"/>
    <w:rsid w:val="003E27A1"/>
    <w:rsid w:val="003E28F0"/>
    <w:rsid w:val="003E29BA"/>
    <w:rsid w:val="003E2B37"/>
    <w:rsid w:val="003E2B48"/>
    <w:rsid w:val="003E2B61"/>
    <w:rsid w:val="003E2D4E"/>
    <w:rsid w:val="003E2E5B"/>
    <w:rsid w:val="003E2E6F"/>
    <w:rsid w:val="003E2F3C"/>
    <w:rsid w:val="003E2F86"/>
    <w:rsid w:val="003E2FB6"/>
    <w:rsid w:val="003E30DF"/>
    <w:rsid w:val="003E31A6"/>
    <w:rsid w:val="003E32A2"/>
    <w:rsid w:val="003E3468"/>
    <w:rsid w:val="003E35A8"/>
    <w:rsid w:val="003E35CF"/>
    <w:rsid w:val="003E36D5"/>
    <w:rsid w:val="003E38B7"/>
    <w:rsid w:val="003E3A2B"/>
    <w:rsid w:val="003E3ACF"/>
    <w:rsid w:val="003E3B36"/>
    <w:rsid w:val="003E3C6D"/>
    <w:rsid w:val="003E3CF1"/>
    <w:rsid w:val="003E3D24"/>
    <w:rsid w:val="003E3DA1"/>
    <w:rsid w:val="003E3DE3"/>
    <w:rsid w:val="003E3E92"/>
    <w:rsid w:val="003E3F07"/>
    <w:rsid w:val="003E3F24"/>
    <w:rsid w:val="003E3F3D"/>
    <w:rsid w:val="003E4023"/>
    <w:rsid w:val="003E40EC"/>
    <w:rsid w:val="003E41B5"/>
    <w:rsid w:val="003E4224"/>
    <w:rsid w:val="003E43B4"/>
    <w:rsid w:val="003E43E1"/>
    <w:rsid w:val="003E441C"/>
    <w:rsid w:val="003E4428"/>
    <w:rsid w:val="003E44E2"/>
    <w:rsid w:val="003E4526"/>
    <w:rsid w:val="003E4637"/>
    <w:rsid w:val="003E4644"/>
    <w:rsid w:val="003E464F"/>
    <w:rsid w:val="003E47E2"/>
    <w:rsid w:val="003E480B"/>
    <w:rsid w:val="003E4812"/>
    <w:rsid w:val="003E483B"/>
    <w:rsid w:val="003E48C8"/>
    <w:rsid w:val="003E4918"/>
    <w:rsid w:val="003E49CB"/>
    <w:rsid w:val="003E4B4E"/>
    <w:rsid w:val="003E4BA3"/>
    <w:rsid w:val="003E4C45"/>
    <w:rsid w:val="003E4E2B"/>
    <w:rsid w:val="003E4FBB"/>
    <w:rsid w:val="003E50A2"/>
    <w:rsid w:val="003E5113"/>
    <w:rsid w:val="003E513C"/>
    <w:rsid w:val="003E5191"/>
    <w:rsid w:val="003E51F3"/>
    <w:rsid w:val="003E5235"/>
    <w:rsid w:val="003E537B"/>
    <w:rsid w:val="003E5383"/>
    <w:rsid w:val="003E540A"/>
    <w:rsid w:val="003E54C3"/>
    <w:rsid w:val="003E54D6"/>
    <w:rsid w:val="003E55DC"/>
    <w:rsid w:val="003E562F"/>
    <w:rsid w:val="003E5849"/>
    <w:rsid w:val="003E58A1"/>
    <w:rsid w:val="003E591C"/>
    <w:rsid w:val="003E5995"/>
    <w:rsid w:val="003E59FE"/>
    <w:rsid w:val="003E5B91"/>
    <w:rsid w:val="003E5B96"/>
    <w:rsid w:val="003E5D0C"/>
    <w:rsid w:val="003E5EC2"/>
    <w:rsid w:val="003E60C6"/>
    <w:rsid w:val="003E6202"/>
    <w:rsid w:val="003E6282"/>
    <w:rsid w:val="003E6300"/>
    <w:rsid w:val="003E639A"/>
    <w:rsid w:val="003E6448"/>
    <w:rsid w:val="003E64E1"/>
    <w:rsid w:val="003E651D"/>
    <w:rsid w:val="003E660F"/>
    <w:rsid w:val="003E6A75"/>
    <w:rsid w:val="003E6ADF"/>
    <w:rsid w:val="003E6B6C"/>
    <w:rsid w:val="003E6C05"/>
    <w:rsid w:val="003E6C41"/>
    <w:rsid w:val="003E6C8A"/>
    <w:rsid w:val="003E6D56"/>
    <w:rsid w:val="003E6D97"/>
    <w:rsid w:val="003E6E5B"/>
    <w:rsid w:val="003E6EC9"/>
    <w:rsid w:val="003E6EF4"/>
    <w:rsid w:val="003E7011"/>
    <w:rsid w:val="003E70B3"/>
    <w:rsid w:val="003E71F8"/>
    <w:rsid w:val="003E72D7"/>
    <w:rsid w:val="003E731A"/>
    <w:rsid w:val="003E73D9"/>
    <w:rsid w:val="003E7579"/>
    <w:rsid w:val="003E7593"/>
    <w:rsid w:val="003E7657"/>
    <w:rsid w:val="003E7671"/>
    <w:rsid w:val="003E7685"/>
    <w:rsid w:val="003E77D6"/>
    <w:rsid w:val="003E7801"/>
    <w:rsid w:val="003E7831"/>
    <w:rsid w:val="003E7833"/>
    <w:rsid w:val="003E789E"/>
    <w:rsid w:val="003E78B9"/>
    <w:rsid w:val="003E7949"/>
    <w:rsid w:val="003E797B"/>
    <w:rsid w:val="003E7A36"/>
    <w:rsid w:val="003E7C18"/>
    <w:rsid w:val="003E7CAE"/>
    <w:rsid w:val="003E7D82"/>
    <w:rsid w:val="003E7D88"/>
    <w:rsid w:val="003E7DDD"/>
    <w:rsid w:val="003E7E40"/>
    <w:rsid w:val="003E7E8B"/>
    <w:rsid w:val="003E7F23"/>
    <w:rsid w:val="003E7FD1"/>
    <w:rsid w:val="003F001F"/>
    <w:rsid w:val="003F02AF"/>
    <w:rsid w:val="003F032C"/>
    <w:rsid w:val="003F042D"/>
    <w:rsid w:val="003F0451"/>
    <w:rsid w:val="003F04D9"/>
    <w:rsid w:val="003F0528"/>
    <w:rsid w:val="003F06F8"/>
    <w:rsid w:val="003F08E5"/>
    <w:rsid w:val="003F08EA"/>
    <w:rsid w:val="003F0905"/>
    <w:rsid w:val="003F091B"/>
    <w:rsid w:val="003F0A5B"/>
    <w:rsid w:val="003F0AB6"/>
    <w:rsid w:val="003F0AC7"/>
    <w:rsid w:val="003F0AFA"/>
    <w:rsid w:val="003F0B9D"/>
    <w:rsid w:val="003F0BBE"/>
    <w:rsid w:val="003F0BE7"/>
    <w:rsid w:val="003F0C61"/>
    <w:rsid w:val="003F0CAD"/>
    <w:rsid w:val="003F0D73"/>
    <w:rsid w:val="003F0DA3"/>
    <w:rsid w:val="003F0DA5"/>
    <w:rsid w:val="003F0E21"/>
    <w:rsid w:val="003F0E39"/>
    <w:rsid w:val="003F10E9"/>
    <w:rsid w:val="003F1291"/>
    <w:rsid w:val="003F1411"/>
    <w:rsid w:val="003F15E5"/>
    <w:rsid w:val="003F1668"/>
    <w:rsid w:val="003F166B"/>
    <w:rsid w:val="003F16B8"/>
    <w:rsid w:val="003F170F"/>
    <w:rsid w:val="003F17D5"/>
    <w:rsid w:val="003F1889"/>
    <w:rsid w:val="003F1990"/>
    <w:rsid w:val="003F19DC"/>
    <w:rsid w:val="003F1A24"/>
    <w:rsid w:val="003F1B48"/>
    <w:rsid w:val="003F1B51"/>
    <w:rsid w:val="003F1C13"/>
    <w:rsid w:val="003F1F99"/>
    <w:rsid w:val="003F2083"/>
    <w:rsid w:val="003F229B"/>
    <w:rsid w:val="003F23AF"/>
    <w:rsid w:val="003F240C"/>
    <w:rsid w:val="003F2471"/>
    <w:rsid w:val="003F24FA"/>
    <w:rsid w:val="003F2558"/>
    <w:rsid w:val="003F25A6"/>
    <w:rsid w:val="003F25FB"/>
    <w:rsid w:val="003F2658"/>
    <w:rsid w:val="003F2662"/>
    <w:rsid w:val="003F2664"/>
    <w:rsid w:val="003F26B7"/>
    <w:rsid w:val="003F26BA"/>
    <w:rsid w:val="003F274C"/>
    <w:rsid w:val="003F2B52"/>
    <w:rsid w:val="003F2C14"/>
    <w:rsid w:val="003F2C32"/>
    <w:rsid w:val="003F2CCF"/>
    <w:rsid w:val="003F2D3C"/>
    <w:rsid w:val="003F2E38"/>
    <w:rsid w:val="003F2E4F"/>
    <w:rsid w:val="003F2EC9"/>
    <w:rsid w:val="003F2FA5"/>
    <w:rsid w:val="003F3102"/>
    <w:rsid w:val="003F3138"/>
    <w:rsid w:val="003F31BD"/>
    <w:rsid w:val="003F323B"/>
    <w:rsid w:val="003F32C8"/>
    <w:rsid w:val="003F3348"/>
    <w:rsid w:val="003F33A9"/>
    <w:rsid w:val="003F33F6"/>
    <w:rsid w:val="003F3486"/>
    <w:rsid w:val="003F34D8"/>
    <w:rsid w:val="003F3616"/>
    <w:rsid w:val="003F364D"/>
    <w:rsid w:val="003F36D5"/>
    <w:rsid w:val="003F378B"/>
    <w:rsid w:val="003F3839"/>
    <w:rsid w:val="003F38AB"/>
    <w:rsid w:val="003F3A6F"/>
    <w:rsid w:val="003F3A94"/>
    <w:rsid w:val="003F3B51"/>
    <w:rsid w:val="003F3B6C"/>
    <w:rsid w:val="003F3C20"/>
    <w:rsid w:val="003F3C4E"/>
    <w:rsid w:val="003F3D5E"/>
    <w:rsid w:val="003F3D65"/>
    <w:rsid w:val="003F3D8D"/>
    <w:rsid w:val="003F3DD3"/>
    <w:rsid w:val="003F3E11"/>
    <w:rsid w:val="003F3E61"/>
    <w:rsid w:val="003F3F74"/>
    <w:rsid w:val="003F3FCC"/>
    <w:rsid w:val="003F4158"/>
    <w:rsid w:val="003F417F"/>
    <w:rsid w:val="003F4276"/>
    <w:rsid w:val="003F4330"/>
    <w:rsid w:val="003F456E"/>
    <w:rsid w:val="003F45DE"/>
    <w:rsid w:val="003F4652"/>
    <w:rsid w:val="003F4726"/>
    <w:rsid w:val="003F4758"/>
    <w:rsid w:val="003F489E"/>
    <w:rsid w:val="003F48E5"/>
    <w:rsid w:val="003F4900"/>
    <w:rsid w:val="003F492E"/>
    <w:rsid w:val="003F4C4A"/>
    <w:rsid w:val="003F4DCB"/>
    <w:rsid w:val="003F4E3F"/>
    <w:rsid w:val="003F4E89"/>
    <w:rsid w:val="003F4ED3"/>
    <w:rsid w:val="003F4FC7"/>
    <w:rsid w:val="003F5008"/>
    <w:rsid w:val="003F50BE"/>
    <w:rsid w:val="003F52A8"/>
    <w:rsid w:val="003F52B3"/>
    <w:rsid w:val="003F52DE"/>
    <w:rsid w:val="003F539B"/>
    <w:rsid w:val="003F53AD"/>
    <w:rsid w:val="003F554A"/>
    <w:rsid w:val="003F55B9"/>
    <w:rsid w:val="003F5679"/>
    <w:rsid w:val="003F573E"/>
    <w:rsid w:val="003F57ED"/>
    <w:rsid w:val="003F5807"/>
    <w:rsid w:val="003F594E"/>
    <w:rsid w:val="003F59D2"/>
    <w:rsid w:val="003F59D7"/>
    <w:rsid w:val="003F5C09"/>
    <w:rsid w:val="003F5C2A"/>
    <w:rsid w:val="003F5D07"/>
    <w:rsid w:val="003F5DB3"/>
    <w:rsid w:val="003F5ED7"/>
    <w:rsid w:val="003F5F0A"/>
    <w:rsid w:val="003F5F44"/>
    <w:rsid w:val="003F5F59"/>
    <w:rsid w:val="003F6177"/>
    <w:rsid w:val="003F61A7"/>
    <w:rsid w:val="003F61E3"/>
    <w:rsid w:val="003F62BA"/>
    <w:rsid w:val="003F637E"/>
    <w:rsid w:val="003F63BB"/>
    <w:rsid w:val="003F6538"/>
    <w:rsid w:val="003F65B5"/>
    <w:rsid w:val="003F65D1"/>
    <w:rsid w:val="003F65DF"/>
    <w:rsid w:val="003F665C"/>
    <w:rsid w:val="003F665F"/>
    <w:rsid w:val="003F66E5"/>
    <w:rsid w:val="003F6852"/>
    <w:rsid w:val="003F68BE"/>
    <w:rsid w:val="003F6959"/>
    <w:rsid w:val="003F69DC"/>
    <w:rsid w:val="003F6B03"/>
    <w:rsid w:val="003F6BA9"/>
    <w:rsid w:val="003F6D34"/>
    <w:rsid w:val="003F6E98"/>
    <w:rsid w:val="003F6F07"/>
    <w:rsid w:val="003F6F34"/>
    <w:rsid w:val="003F6F63"/>
    <w:rsid w:val="003F6F78"/>
    <w:rsid w:val="003F7004"/>
    <w:rsid w:val="003F7149"/>
    <w:rsid w:val="003F725F"/>
    <w:rsid w:val="003F7289"/>
    <w:rsid w:val="003F72CC"/>
    <w:rsid w:val="003F7315"/>
    <w:rsid w:val="003F73E6"/>
    <w:rsid w:val="003F743C"/>
    <w:rsid w:val="003F750F"/>
    <w:rsid w:val="003F764F"/>
    <w:rsid w:val="003F76F1"/>
    <w:rsid w:val="003F7892"/>
    <w:rsid w:val="003F78DE"/>
    <w:rsid w:val="003F7964"/>
    <w:rsid w:val="003F7987"/>
    <w:rsid w:val="003F79C2"/>
    <w:rsid w:val="003F79E7"/>
    <w:rsid w:val="003F7A28"/>
    <w:rsid w:val="003F7A68"/>
    <w:rsid w:val="003F7B55"/>
    <w:rsid w:val="003F7C70"/>
    <w:rsid w:val="003F7C79"/>
    <w:rsid w:val="003F7CEC"/>
    <w:rsid w:val="003F7D59"/>
    <w:rsid w:val="003F7EE8"/>
    <w:rsid w:val="003F7EFA"/>
    <w:rsid w:val="003F7F64"/>
    <w:rsid w:val="004001DA"/>
    <w:rsid w:val="004002D5"/>
    <w:rsid w:val="00400302"/>
    <w:rsid w:val="00400314"/>
    <w:rsid w:val="00400331"/>
    <w:rsid w:val="004003CB"/>
    <w:rsid w:val="004003FE"/>
    <w:rsid w:val="00400437"/>
    <w:rsid w:val="0040044E"/>
    <w:rsid w:val="00400463"/>
    <w:rsid w:val="0040047E"/>
    <w:rsid w:val="0040050F"/>
    <w:rsid w:val="00400554"/>
    <w:rsid w:val="0040057C"/>
    <w:rsid w:val="004005A4"/>
    <w:rsid w:val="004005C0"/>
    <w:rsid w:val="004005EE"/>
    <w:rsid w:val="00400632"/>
    <w:rsid w:val="004006AC"/>
    <w:rsid w:val="004006C1"/>
    <w:rsid w:val="00400801"/>
    <w:rsid w:val="00400AFB"/>
    <w:rsid w:val="00400BE9"/>
    <w:rsid w:val="00400C61"/>
    <w:rsid w:val="00400C84"/>
    <w:rsid w:val="00400CCD"/>
    <w:rsid w:val="00400CFA"/>
    <w:rsid w:val="00400D60"/>
    <w:rsid w:val="00400DDD"/>
    <w:rsid w:val="00400EEC"/>
    <w:rsid w:val="00400F31"/>
    <w:rsid w:val="004010C4"/>
    <w:rsid w:val="00401148"/>
    <w:rsid w:val="004011E3"/>
    <w:rsid w:val="004011E6"/>
    <w:rsid w:val="0040133C"/>
    <w:rsid w:val="00401591"/>
    <w:rsid w:val="0040163D"/>
    <w:rsid w:val="00401675"/>
    <w:rsid w:val="004016E0"/>
    <w:rsid w:val="004016EE"/>
    <w:rsid w:val="00401776"/>
    <w:rsid w:val="0040184E"/>
    <w:rsid w:val="004018C5"/>
    <w:rsid w:val="004018E4"/>
    <w:rsid w:val="00401938"/>
    <w:rsid w:val="004019D4"/>
    <w:rsid w:val="00401A79"/>
    <w:rsid w:val="00401CFF"/>
    <w:rsid w:val="00401EA4"/>
    <w:rsid w:val="00401ED4"/>
    <w:rsid w:val="00401FA6"/>
    <w:rsid w:val="00402030"/>
    <w:rsid w:val="00402097"/>
    <w:rsid w:val="0040229D"/>
    <w:rsid w:val="00402301"/>
    <w:rsid w:val="00402331"/>
    <w:rsid w:val="00402466"/>
    <w:rsid w:val="004024A4"/>
    <w:rsid w:val="0040253C"/>
    <w:rsid w:val="004025DB"/>
    <w:rsid w:val="0040273F"/>
    <w:rsid w:val="0040276F"/>
    <w:rsid w:val="00402AB2"/>
    <w:rsid w:val="00402BA5"/>
    <w:rsid w:val="00402C5B"/>
    <w:rsid w:val="00402D13"/>
    <w:rsid w:val="00402D75"/>
    <w:rsid w:val="00402EF2"/>
    <w:rsid w:val="00402F9A"/>
    <w:rsid w:val="00402FA3"/>
    <w:rsid w:val="00402FFD"/>
    <w:rsid w:val="00403061"/>
    <w:rsid w:val="004030DE"/>
    <w:rsid w:val="0040327B"/>
    <w:rsid w:val="004033ED"/>
    <w:rsid w:val="004034BC"/>
    <w:rsid w:val="0040356B"/>
    <w:rsid w:val="004035A9"/>
    <w:rsid w:val="0040365B"/>
    <w:rsid w:val="0040371F"/>
    <w:rsid w:val="004037D5"/>
    <w:rsid w:val="004038CA"/>
    <w:rsid w:val="004038D8"/>
    <w:rsid w:val="0040391C"/>
    <w:rsid w:val="00403945"/>
    <w:rsid w:val="0040398B"/>
    <w:rsid w:val="004039C4"/>
    <w:rsid w:val="004039D3"/>
    <w:rsid w:val="00403B53"/>
    <w:rsid w:val="00403B94"/>
    <w:rsid w:val="00403C36"/>
    <w:rsid w:val="00403C6E"/>
    <w:rsid w:val="00403DEF"/>
    <w:rsid w:val="00403E09"/>
    <w:rsid w:val="00403EB4"/>
    <w:rsid w:val="00403F8E"/>
    <w:rsid w:val="00404107"/>
    <w:rsid w:val="00404119"/>
    <w:rsid w:val="004041DB"/>
    <w:rsid w:val="0040432C"/>
    <w:rsid w:val="0040438C"/>
    <w:rsid w:val="004043C1"/>
    <w:rsid w:val="0040457E"/>
    <w:rsid w:val="00404680"/>
    <w:rsid w:val="004047B3"/>
    <w:rsid w:val="004048BF"/>
    <w:rsid w:val="004048EE"/>
    <w:rsid w:val="00404911"/>
    <w:rsid w:val="00404A04"/>
    <w:rsid w:val="00404C00"/>
    <w:rsid w:val="00404C04"/>
    <w:rsid w:val="00404C5F"/>
    <w:rsid w:val="00404C8D"/>
    <w:rsid w:val="00404D5B"/>
    <w:rsid w:val="00404DD2"/>
    <w:rsid w:val="00404EFA"/>
    <w:rsid w:val="004051BA"/>
    <w:rsid w:val="004051C4"/>
    <w:rsid w:val="00405233"/>
    <w:rsid w:val="004052FA"/>
    <w:rsid w:val="004053BE"/>
    <w:rsid w:val="004053D4"/>
    <w:rsid w:val="0040547E"/>
    <w:rsid w:val="004054A9"/>
    <w:rsid w:val="00405504"/>
    <w:rsid w:val="0040552D"/>
    <w:rsid w:val="004055BB"/>
    <w:rsid w:val="004055FD"/>
    <w:rsid w:val="00405600"/>
    <w:rsid w:val="00405694"/>
    <w:rsid w:val="00405711"/>
    <w:rsid w:val="00405731"/>
    <w:rsid w:val="004057D2"/>
    <w:rsid w:val="0040586C"/>
    <w:rsid w:val="00405924"/>
    <w:rsid w:val="004059C3"/>
    <w:rsid w:val="00405A16"/>
    <w:rsid w:val="00405AB9"/>
    <w:rsid w:val="00405B7B"/>
    <w:rsid w:val="00405C31"/>
    <w:rsid w:val="00405C79"/>
    <w:rsid w:val="00405CE2"/>
    <w:rsid w:val="00405CFC"/>
    <w:rsid w:val="00405FA8"/>
    <w:rsid w:val="00405FE2"/>
    <w:rsid w:val="0040608E"/>
    <w:rsid w:val="00406160"/>
    <w:rsid w:val="0040633E"/>
    <w:rsid w:val="00406433"/>
    <w:rsid w:val="004064CE"/>
    <w:rsid w:val="004064E2"/>
    <w:rsid w:val="004064E6"/>
    <w:rsid w:val="00406628"/>
    <w:rsid w:val="004066F9"/>
    <w:rsid w:val="00406778"/>
    <w:rsid w:val="004067FD"/>
    <w:rsid w:val="004068AF"/>
    <w:rsid w:val="0040691F"/>
    <w:rsid w:val="0040693B"/>
    <w:rsid w:val="00406A3D"/>
    <w:rsid w:val="00406A70"/>
    <w:rsid w:val="00406D6F"/>
    <w:rsid w:val="00406F3E"/>
    <w:rsid w:val="00406FD8"/>
    <w:rsid w:val="0040711D"/>
    <w:rsid w:val="0040715C"/>
    <w:rsid w:val="004071B0"/>
    <w:rsid w:val="004071B3"/>
    <w:rsid w:val="004071E1"/>
    <w:rsid w:val="00407342"/>
    <w:rsid w:val="0040741B"/>
    <w:rsid w:val="004074C5"/>
    <w:rsid w:val="00407543"/>
    <w:rsid w:val="0040754F"/>
    <w:rsid w:val="004076A2"/>
    <w:rsid w:val="004076DA"/>
    <w:rsid w:val="004076FB"/>
    <w:rsid w:val="004077EC"/>
    <w:rsid w:val="004078A2"/>
    <w:rsid w:val="00407C04"/>
    <w:rsid w:val="00407C2E"/>
    <w:rsid w:val="00407D06"/>
    <w:rsid w:val="00407D57"/>
    <w:rsid w:val="00407EA8"/>
    <w:rsid w:val="00407F15"/>
    <w:rsid w:val="00407F2F"/>
    <w:rsid w:val="00407FB5"/>
    <w:rsid w:val="004100A9"/>
    <w:rsid w:val="004100EA"/>
    <w:rsid w:val="0041015F"/>
    <w:rsid w:val="0041023F"/>
    <w:rsid w:val="00410256"/>
    <w:rsid w:val="00410285"/>
    <w:rsid w:val="004102E0"/>
    <w:rsid w:val="00410424"/>
    <w:rsid w:val="0041042D"/>
    <w:rsid w:val="0041048F"/>
    <w:rsid w:val="00410578"/>
    <w:rsid w:val="004106CB"/>
    <w:rsid w:val="00410784"/>
    <w:rsid w:val="0041097E"/>
    <w:rsid w:val="004109B8"/>
    <w:rsid w:val="00410A4D"/>
    <w:rsid w:val="00410CE5"/>
    <w:rsid w:val="00410E16"/>
    <w:rsid w:val="00410F2E"/>
    <w:rsid w:val="00411203"/>
    <w:rsid w:val="004113A0"/>
    <w:rsid w:val="004113C2"/>
    <w:rsid w:val="00411404"/>
    <w:rsid w:val="0041147B"/>
    <w:rsid w:val="004114F8"/>
    <w:rsid w:val="004115DF"/>
    <w:rsid w:val="00411650"/>
    <w:rsid w:val="004116A6"/>
    <w:rsid w:val="004116D9"/>
    <w:rsid w:val="004116FA"/>
    <w:rsid w:val="004117CD"/>
    <w:rsid w:val="00411839"/>
    <w:rsid w:val="00411A80"/>
    <w:rsid w:val="00411CE7"/>
    <w:rsid w:val="00411D99"/>
    <w:rsid w:val="00411DF6"/>
    <w:rsid w:val="00411F2C"/>
    <w:rsid w:val="00411F50"/>
    <w:rsid w:val="00411F5F"/>
    <w:rsid w:val="00411FCF"/>
    <w:rsid w:val="00412046"/>
    <w:rsid w:val="00412067"/>
    <w:rsid w:val="00412158"/>
    <w:rsid w:val="004122A9"/>
    <w:rsid w:val="004122CF"/>
    <w:rsid w:val="00412410"/>
    <w:rsid w:val="004124EE"/>
    <w:rsid w:val="00412533"/>
    <w:rsid w:val="004126F8"/>
    <w:rsid w:val="0041275E"/>
    <w:rsid w:val="004127EF"/>
    <w:rsid w:val="00412849"/>
    <w:rsid w:val="00412855"/>
    <w:rsid w:val="0041298B"/>
    <w:rsid w:val="004129F6"/>
    <w:rsid w:val="00412AFF"/>
    <w:rsid w:val="00412B65"/>
    <w:rsid w:val="00412CB9"/>
    <w:rsid w:val="00412E2F"/>
    <w:rsid w:val="00412E5A"/>
    <w:rsid w:val="00412E6B"/>
    <w:rsid w:val="00412F68"/>
    <w:rsid w:val="00412F87"/>
    <w:rsid w:val="00412FCF"/>
    <w:rsid w:val="00413039"/>
    <w:rsid w:val="00413087"/>
    <w:rsid w:val="004130A7"/>
    <w:rsid w:val="004130F7"/>
    <w:rsid w:val="00413523"/>
    <w:rsid w:val="00413641"/>
    <w:rsid w:val="00413669"/>
    <w:rsid w:val="004136E6"/>
    <w:rsid w:val="004136E9"/>
    <w:rsid w:val="004137A0"/>
    <w:rsid w:val="004137A8"/>
    <w:rsid w:val="0041384A"/>
    <w:rsid w:val="00413853"/>
    <w:rsid w:val="0041391E"/>
    <w:rsid w:val="00413991"/>
    <w:rsid w:val="00413A67"/>
    <w:rsid w:val="00413AED"/>
    <w:rsid w:val="00413C27"/>
    <w:rsid w:val="00413C5F"/>
    <w:rsid w:val="00413CBC"/>
    <w:rsid w:val="00413D9D"/>
    <w:rsid w:val="00413EBF"/>
    <w:rsid w:val="00413F6A"/>
    <w:rsid w:val="00413FFF"/>
    <w:rsid w:val="00414010"/>
    <w:rsid w:val="00414026"/>
    <w:rsid w:val="00414199"/>
    <w:rsid w:val="004141B0"/>
    <w:rsid w:val="00414238"/>
    <w:rsid w:val="00414788"/>
    <w:rsid w:val="004147F3"/>
    <w:rsid w:val="00414856"/>
    <w:rsid w:val="00414874"/>
    <w:rsid w:val="0041489F"/>
    <w:rsid w:val="004148C2"/>
    <w:rsid w:val="00414914"/>
    <w:rsid w:val="00414A62"/>
    <w:rsid w:val="00414B39"/>
    <w:rsid w:val="00414B6F"/>
    <w:rsid w:val="00414B81"/>
    <w:rsid w:val="00414BBF"/>
    <w:rsid w:val="00414D5C"/>
    <w:rsid w:val="00414E0B"/>
    <w:rsid w:val="00414FBB"/>
    <w:rsid w:val="00414FD0"/>
    <w:rsid w:val="004150F8"/>
    <w:rsid w:val="0041527F"/>
    <w:rsid w:val="004152B4"/>
    <w:rsid w:val="00415352"/>
    <w:rsid w:val="004153B6"/>
    <w:rsid w:val="00415445"/>
    <w:rsid w:val="004155B2"/>
    <w:rsid w:val="004155B5"/>
    <w:rsid w:val="0041564F"/>
    <w:rsid w:val="00415698"/>
    <w:rsid w:val="00415737"/>
    <w:rsid w:val="00415747"/>
    <w:rsid w:val="0041582B"/>
    <w:rsid w:val="004158D1"/>
    <w:rsid w:val="0041592A"/>
    <w:rsid w:val="00415930"/>
    <w:rsid w:val="0041596B"/>
    <w:rsid w:val="004159D0"/>
    <w:rsid w:val="00415A70"/>
    <w:rsid w:val="00415AD8"/>
    <w:rsid w:val="00415C71"/>
    <w:rsid w:val="00415CCF"/>
    <w:rsid w:val="00415D20"/>
    <w:rsid w:val="00415EC2"/>
    <w:rsid w:val="00415F47"/>
    <w:rsid w:val="00416064"/>
    <w:rsid w:val="00416065"/>
    <w:rsid w:val="00416077"/>
    <w:rsid w:val="00416085"/>
    <w:rsid w:val="004160E4"/>
    <w:rsid w:val="004161A4"/>
    <w:rsid w:val="00416272"/>
    <w:rsid w:val="0041651A"/>
    <w:rsid w:val="00416559"/>
    <w:rsid w:val="004165DA"/>
    <w:rsid w:val="004165FC"/>
    <w:rsid w:val="00416677"/>
    <w:rsid w:val="004167B4"/>
    <w:rsid w:val="00416958"/>
    <w:rsid w:val="00416AFB"/>
    <w:rsid w:val="00416C37"/>
    <w:rsid w:val="00416C57"/>
    <w:rsid w:val="00416CF7"/>
    <w:rsid w:val="00416D4D"/>
    <w:rsid w:val="00416D71"/>
    <w:rsid w:val="00416F1D"/>
    <w:rsid w:val="00416F5F"/>
    <w:rsid w:val="0041705B"/>
    <w:rsid w:val="00417062"/>
    <w:rsid w:val="0041708D"/>
    <w:rsid w:val="00417124"/>
    <w:rsid w:val="0041717C"/>
    <w:rsid w:val="0041718F"/>
    <w:rsid w:val="004171BF"/>
    <w:rsid w:val="00417213"/>
    <w:rsid w:val="00417409"/>
    <w:rsid w:val="004174F8"/>
    <w:rsid w:val="004175C9"/>
    <w:rsid w:val="0041782A"/>
    <w:rsid w:val="00417880"/>
    <w:rsid w:val="00417949"/>
    <w:rsid w:val="00417968"/>
    <w:rsid w:val="004179A4"/>
    <w:rsid w:val="00417A9A"/>
    <w:rsid w:val="00417B6F"/>
    <w:rsid w:val="00417C92"/>
    <w:rsid w:val="00417E42"/>
    <w:rsid w:val="00417E7A"/>
    <w:rsid w:val="00417F07"/>
    <w:rsid w:val="0042004C"/>
    <w:rsid w:val="0042012F"/>
    <w:rsid w:val="00420341"/>
    <w:rsid w:val="004204B2"/>
    <w:rsid w:val="004204E7"/>
    <w:rsid w:val="0042055C"/>
    <w:rsid w:val="0042056B"/>
    <w:rsid w:val="004206C7"/>
    <w:rsid w:val="00420817"/>
    <w:rsid w:val="00420879"/>
    <w:rsid w:val="00420A7B"/>
    <w:rsid w:val="00420AEE"/>
    <w:rsid w:val="00420B5F"/>
    <w:rsid w:val="00420C14"/>
    <w:rsid w:val="00420D3D"/>
    <w:rsid w:val="00420E5E"/>
    <w:rsid w:val="00420E9B"/>
    <w:rsid w:val="00420EE0"/>
    <w:rsid w:val="00420EEE"/>
    <w:rsid w:val="004210DB"/>
    <w:rsid w:val="0042119C"/>
    <w:rsid w:val="0042129C"/>
    <w:rsid w:val="004212C4"/>
    <w:rsid w:val="00421339"/>
    <w:rsid w:val="004213E6"/>
    <w:rsid w:val="004215CD"/>
    <w:rsid w:val="00421762"/>
    <w:rsid w:val="004217EC"/>
    <w:rsid w:val="00421816"/>
    <w:rsid w:val="00421831"/>
    <w:rsid w:val="00421872"/>
    <w:rsid w:val="0042194D"/>
    <w:rsid w:val="00421957"/>
    <w:rsid w:val="00421983"/>
    <w:rsid w:val="0042198A"/>
    <w:rsid w:val="00421A41"/>
    <w:rsid w:val="00421A49"/>
    <w:rsid w:val="00421AC4"/>
    <w:rsid w:val="00421AFF"/>
    <w:rsid w:val="00421B3D"/>
    <w:rsid w:val="00421BA3"/>
    <w:rsid w:val="00421CDD"/>
    <w:rsid w:val="00421D58"/>
    <w:rsid w:val="00421DB5"/>
    <w:rsid w:val="00421E54"/>
    <w:rsid w:val="00421F08"/>
    <w:rsid w:val="0042202B"/>
    <w:rsid w:val="0042205F"/>
    <w:rsid w:val="004220CB"/>
    <w:rsid w:val="0042213D"/>
    <w:rsid w:val="00422181"/>
    <w:rsid w:val="004223F3"/>
    <w:rsid w:val="004224AA"/>
    <w:rsid w:val="0042255E"/>
    <w:rsid w:val="00422579"/>
    <w:rsid w:val="004225DE"/>
    <w:rsid w:val="00422610"/>
    <w:rsid w:val="004226C7"/>
    <w:rsid w:val="004226EB"/>
    <w:rsid w:val="00422747"/>
    <w:rsid w:val="0042276D"/>
    <w:rsid w:val="00422910"/>
    <w:rsid w:val="00422954"/>
    <w:rsid w:val="00422C05"/>
    <w:rsid w:val="00422D77"/>
    <w:rsid w:val="00422F75"/>
    <w:rsid w:val="00422FA9"/>
    <w:rsid w:val="00422FCE"/>
    <w:rsid w:val="00422FE4"/>
    <w:rsid w:val="00423075"/>
    <w:rsid w:val="0042329B"/>
    <w:rsid w:val="004232DF"/>
    <w:rsid w:val="00423331"/>
    <w:rsid w:val="0042335D"/>
    <w:rsid w:val="004234DC"/>
    <w:rsid w:val="004235D1"/>
    <w:rsid w:val="00423610"/>
    <w:rsid w:val="004236B0"/>
    <w:rsid w:val="004236BA"/>
    <w:rsid w:val="00423942"/>
    <w:rsid w:val="00423970"/>
    <w:rsid w:val="00423AEC"/>
    <w:rsid w:val="00423B66"/>
    <w:rsid w:val="00423BA4"/>
    <w:rsid w:val="00423BF2"/>
    <w:rsid w:val="00423C48"/>
    <w:rsid w:val="00423C9B"/>
    <w:rsid w:val="00423D32"/>
    <w:rsid w:val="00423D3A"/>
    <w:rsid w:val="004242C4"/>
    <w:rsid w:val="00424378"/>
    <w:rsid w:val="00424787"/>
    <w:rsid w:val="00424879"/>
    <w:rsid w:val="00424948"/>
    <w:rsid w:val="00424AB1"/>
    <w:rsid w:val="00424B8D"/>
    <w:rsid w:val="00424CFE"/>
    <w:rsid w:val="00424DA7"/>
    <w:rsid w:val="00424DAF"/>
    <w:rsid w:val="00424E5A"/>
    <w:rsid w:val="00424EAD"/>
    <w:rsid w:val="00424EFD"/>
    <w:rsid w:val="00424F30"/>
    <w:rsid w:val="00424FB6"/>
    <w:rsid w:val="004250FC"/>
    <w:rsid w:val="00425106"/>
    <w:rsid w:val="00425124"/>
    <w:rsid w:val="00425193"/>
    <w:rsid w:val="004252A6"/>
    <w:rsid w:val="00425364"/>
    <w:rsid w:val="004255F0"/>
    <w:rsid w:val="004256C5"/>
    <w:rsid w:val="00425702"/>
    <w:rsid w:val="00425776"/>
    <w:rsid w:val="00425807"/>
    <w:rsid w:val="004258CC"/>
    <w:rsid w:val="00425A64"/>
    <w:rsid w:val="00425A68"/>
    <w:rsid w:val="00425BDC"/>
    <w:rsid w:val="00425C01"/>
    <w:rsid w:val="00425C53"/>
    <w:rsid w:val="00425DAD"/>
    <w:rsid w:val="00425E03"/>
    <w:rsid w:val="00425E54"/>
    <w:rsid w:val="00425E6D"/>
    <w:rsid w:val="00425E9E"/>
    <w:rsid w:val="00425EBA"/>
    <w:rsid w:val="00426091"/>
    <w:rsid w:val="00426154"/>
    <w:rsid w:val="004261B5"/>
    <w:rsid w:val="004262C5"/>
    <w:rsid w:val="004262D5"/>
    <w:rsid w:val="004262E9"/>
    <w:rsid w:val="00426351"/>
    <w:rsid w:val="004263C2"/>
    <w:rsid w:val="0042647D"/>
    <w:rsid w:val="004264AF"/>
    <w:rsid w:val="004264EF"/>
    <w:rsid w:val="00426526"/>
    <w:rsid w:val="00426556"/>
    <w:rsid w:val="00426599"/>
    <w:rsid w:val="004265A1"/>
    <w:rsid w:val="004265E1"/>
    <w:rsid w:val="00426608"/>
    <w:rsid w:val="00426655"/>
    <w:rsid w:val="00426692"/>
    <w:rsid w:val="004267DC"/>
    <w:rsid w:val="0042688C"/>
    <w:rsid w:val="004268AB"/>
    <w:rsid w:val="0042690D"/>
    <w:rsid w:val="00426912"/>
    <w:rsid w:val="004269D6"/>
    <w:rsid w:val="00426A34"/>
    <w:rsid w:val="00426AA8"/>
    <w:rsid w:val="00426CB4"/>
    <w:rsid w:val="00426CC8"/>
    <w:rsid w:val="00426CDB"/>
    <w:rsid w:val="00426DA9"/>
    <w:rsid w:val="00426E8B"/>
    <w:rsid w:val="00426ECC"/>
    <w:rsid w:val="00426FC1"/>
    <w:rsid w:val="00427011"/>
    <w:rsid w:val="0042708F"/>
    <w:rsid w:val="004271DD"/>
    <w:rsid w:val="00427534"/>
    <w:rsid w:val="004275FE"/>
    <w:rsid w:val="00427606"/>
    <w:rsid w:val="004276E9"/>
    <w:rsid w:val="00427741"/>
    <w:rsid w:val="00427886"/>
    <w:rsid w:val="004278AF"/>
    <w:rsid w:val="004278FE"/>
    <w:rsid w:val="00427928"/>
    <w:rsid w:val="004279C5"/>
    <w:rsid w:val="00427A2B"/>
    <w:rsid w:val="00427BF9"/>
    <w:rsid w:val="00427C23"/>
    <w:rsid w:val="00427CB3"/>
    <w:rsid w:val="00427D2B"/>
    <w:rsid w:val="00427DB6"/>
    <w:rsid w:val="00427E2D"/>
    <w:rsid w:val="00427E30"/>
    <w:rsid w:val="00427E88"/>
    <w:rsid w:val="00427E8B"/>
    <w:rsid w:val="00427EAA"/>
    <w:rsid w:val="00427EC2"/>
    <w:rsid w:val="00427F41"/>
    <w:rsid w:val="00427F57"/>
    <w:rsid w:val="00427F71"/>
    <w:rsid w:val="004301C1"/>
    <w:rsid w:val="00430217"/>
    <w:rsid w:val="004302ED"/>
    <w:rsid w:val="004303D4"/>
    <w:rsid w:val="00430477"/>
    <w:rsid w:val="0043057E"/>
    <w:rsid w:val="00430583"/>
    <w:rsid w:val="004305A5"/>
    <w:rsid w:val="00430604"/>
    <w:rsid w:val="0043067F"/>
    <w:rsid w:val="004306BC"/>
    <w:rsid w:val="0043071B"/>
    <w:rsid w:val="00430843"/>
    <w:rsid w:val="00430942"/>
    <w:rsid w:val="004309DD"/>
    <w:rsid w:val="00430A50"/>
    <w:rsid w:val="00430ADE"/>
    <w:rsid w:val="00430B93"/>
    <w:rsid w:val="00430B9A"/>
    <w:rsid w:val="00430C08"/>
    <w:rsid w:val="00430C0C"/>
    <w:rsid w:val="00430C9D"/>
    <w:rsid w:val="00430D75"/>
    <w:rsid w:val="00430E60"/>
    <w:rsid w:val="00430E61"/>
    <w:rsid w:val="00430E83"/>
    <w:rsid w:val="0043110B"/>
    <w:rsid w:val="0043117A"/>
    <w:rsid w:val="00431296"/>
    <w:rsid w:val="004312AA"/>
    <w:rsid w:val="004312F0"/>
    <w:rsid w:val="004313A8"/>
    <w:rsid w:val="00431450"/>
    <w:rsid w:val="0043146F"/>
    <w:rsid w:val="004314AC"/>
    <w:rsid w:val="0043155E"/>
    <w:rsid w:val="00431571"/>
    <w:rsid w:val="00431572"/>
    <w:rsid w:val="004315A1"/>
    <w:rsid w:val="0043171D"/>
    <w:rsid w:val="004317B5"/>
    <w:rsid w:val="004317CE"/>
    <w:rsid w:val="004317E5"/>
    <w:rsid w:val="00431ABF"/>
    <w:rsid w:val="00431B58"/>
    <w:rsid w:val="00431B86"/>
    <w:rsid w:val="00431C5F"/>
    <w:rsid w:val="00431CBB"/>
    <w:rsid w:val="00431CF7"/>
    <w:rsid w:val="00431ED2"/>
    <w:rsid w:val="00431F2A"/>
    <w:rsid w:val="0043212C"/>
    <w:rsid w:val="00432149"/>
    <w:rsid w:val="0043215F"/>
    <w:rsid w:val="004321E8"/>
    <w:rsid w:val="004322A0"/>
    <w:rsid w:val="004322C5"/>
    <w:rsid w:val="0043231D"/>
    <w:rsid w:val="004324E6"/>
    <w:rsid w:val="00432533"/>
    <w:rsid w:val="00432578"/>
    <w:rsid w:val="004327DD"/>
    <w:rsid w:val="00432873"/>
    <w:rsid w:val="00432879"/>
    <w:rsid w:val="0043289A"/>
    <w:rsid w:val="00432A70"/>
    <w:rsid w:val="00432AD5"/>
    <w:rsid w:val="00432C22"/>
    <w:rsid w:val="00432C7E"/>
    <w:rsid w:val="00432CA8"/>
    <w:rsid w:val="00432CCB"/>
    <w:rsid w:val="00432EDA"/>
    <w:rsid w:val="00432FE0"/>
    <w:rsid w:val="00433094"/>
    <w:rsid w:val="00433095"/>
    <w:rsid w:val="004330BB"/>
    <w:rsid w:val="004330C0"/>
    <w:rsid w:val="00433183"/>
    <w:rsid w:val="0043321C"/>
    <w:rsid w:val="0043333E"/>
    <w:rsid w:val="004333C5"/>
    <w:rsid w:val="00433402"/>
    <w:rsid w:val="00433478"/>
    <w:rsid w:val="00433537"/>
    <w:rsid w:val="00433650"/>
    <w:rsid w:val="00433676"/>
    <w:rsid w:val="004337AC"/>
    <w:rsid w:val="00433883"/>
    <w:rsid w:val="00433997"/>
    <w:rsid w:val="004339EE"/>
    <w:rsid w:val="00433A5B"/>
    <w:rsid w:val="00433A61"/>
    <w:rsid w:val="00433AC4"/>
    <w:rsid w:val="00433AD7"/>
    <w:rsid w:val="00433B79"/>
    <w:rsid w:val="00433C09"/>
    <w:rsid w:val="00433D0E"/>
    <w:rsid w:val="00433D54"/>
    <w:rsid w:val="00433D8F"/>
    <w:rsid w:val="00433DF9"/>
    <w:rsid w:val="00433E2A"/>
    <w:rsid w:val="00433E9A"/>
    <w:rsid w:val="00433F05"/>
    <w:rsid w:val="00433F1D"/>
    <w:rsid w:val="00433FFC"/>
    <w:rsid w:val="00434134"/>
    <w:rsid w:val="004341E0"/>
    <w:rsid w:val="004341F2"/>
    <w:rsid w:val="00434225"/>
    <w:rsid w:val="0043430A"/>
    <w:rsid w:val="00434362"/>
    <w:rsid w:val="0043437F"/>
    <w:rsid w:val="004343CC"/>
    <w:rsid w:val="0043443E"/>
    <w:rsid w:val="0043446B"/>
    <w:rsid w:val="0043446D"/>
    <w:rsid w:val="00434541"/>
    <w:rsid w:val="0043458C"/>
    <w:rsid w:val="004345A7"/>
    <w:rsid w:val="0043472C"/>
    <w:rsid w:val="0043479E"/>
    <w:rsid w:val="00434896"/>
    <w:rsid w:val="004348EE"/>
    <w:rsid w:val="00434B4B"/>
    <w:rsid w:val="00434BEC"/>
    <w:rsid w:val="00434DB0"/>
    <w:rsid w:val="00434F0B"/>
    <w:rsid w:val="00434F62"/>
    <w:rsid w:val="0043537A"/>
    <w:rsid w:val="00435449"/>
    <w:rsid w:val="004354FC"/>
    <w:rsid w:val="004356A1"/>
    <w:rsid w:val="004356A8"/>
    <w:rsid w:val="0043586C"/>
    <w:rsid w:val="004358AB"/>
    <w:rsid w:val="00435A93"/>
    <w:rsid w:val="00435ADB"/>
    <w:rsid w:val="00435C21"/>
    <w:rsid w:val="00435C78"/>
    <w:rsid w:val="00435DB9"/>
    <w:rsid w:val="00435E9B"/>
    <w:rsid w:val="00435F89"/>
    <w:rsid w:val="00435F91"/>
    <w:rsid w:val="00435FD0"/>
    <w:rsid w:val="00435FE0"/>
    <w:rsid w:val="00436049"/>
    <w:rsid w:val="0043611B"/>
    <w:rsid w:val="00436194"/>
    <w:rsid w:val="00436196"/>
    <w:rsid w:val="004362CF"/>
    <w:rsid w:val="0043631C"/>
    <w:rsid w:val="0043632A"/>
    <w:rsid w:val="0043637A"/>
    <w:rsid w:val="0043638F"/>
    <w:rsid w:val="004363E0"/>
    <w:rsid w:val="00436571"/>
    <w:rsid w:val="004365BB"/>
    <w:rsid w:val="004365CF"/>
    <w:rsid w:val="004365D2"/>
    <w:rsid w:val="00436667"/>
    <w:rsid w:val="0043674B"/>
    <w:rsid w:val="00436771"/>
    <w:rsid w:val="00436881"/>
    <w:rsid w:val="00436A6E"/>
    <w:rsid w:val="00436A74"/>
    <w:rsid w:val="00436AD0"/>
    <w:rsid w:val="00436BAE"/>
    <w:rsid w:val="00436D18"/>
    <w:rsid w:val="00436D8C"/>
    <w:rsid w:val="00436D93"/>
    <w:rsid w:val="00436E1C"/>
    <w:rsid w:val="00436E47"/>
    <w:rsid w:val="00436E9F"/>
    <w:rsid w:val="0043704E"/>
    <w:rsid w:val="0043705E"/>
    <w:rsid w:val="00437188"/>
    <w:rsid w:val="004371B1"/>
    <w:rsid w:val="0043735E"/>
    <w:rsid w:val="0043735F"/>
    <w:rsid w:val="004373ED"/>
    <w:rsid w:val="00437491"/>
    <w:rsid w:val="004374AC"/>
    <w:rsid w:val="00437533"/>
    <w:rsid w:val="004375DE"/>
    <w:rsid w:val="004375DF"/>
    <w:rsid w:val="00437642"/>
    <w:rsid w:val="004376B4"/>
    <w:rsid w:val="004376CD"/>
    <w:rsid w:val="00437866"/>
    <w:rsid w:val="00437889"/>
    <w:rsid w:val="004378C5"/>
    <w:rsid w:val="00437965"/>
    <w:rsid w:val="00437983"/>
    <w:rsid w:val="004379E8"/>
    <w:rsid w:val="00437A9F"/>
    <w:rsid w:val="00437B87"/>
    <w:rsid w:val="00437BC5"/>
    <w:rsid w:val="00437BD0"/>
    <w:rsid w:val="00437C14"/>
    <w:rsid w:val="00437C24"/>
    <w:rsid w:val="00437C72"/>
    <w:rsid w:val="00437CAE"/>
    <w:rsid w:val="00437CDE"/>
    <w:rsid w:val="00437DBC"/>
    <w:rsid w:val="00437E56"/>
    <w:rsid w:val="00437F83"/>
    <w:rsid w:val="004400EA"/>
    <w:rsid w:val="00440186"/>
    <w:rsid w:val="00440259"/>
    <w:rsid w:val="00440260"/>
    <w:rsid w:val="0044036C"/>
    <w:rsid w:val="00440444"/>
    <w:rsid w:val="00440502"/>
    <w:rsid w:val="0044060D"/>
    <w:rsid w:val="00440651"/>
    <w:rsid w:val="00440677"/>
    <w:rsid w:val="00440758"/>
    <w:rsid w:val="0044084F"/>
    <w:rsid w:val="00440A2B"/>
    <w:rsid w:val="00440A61"/>
    <w:rsid w:val="00440D46"/>
    <w:rsid w:val="00440D56"/>
    <w:rsid w:val="00440D61"/>
    <w:rsid w:val="00440D8D"/>
    <w:rsid w:val="00440E8F"/>
    <w:rsid w:val="00440EE6"/>
    <w:rsid w:val="0044103C"/>
    <w:rsid w:val="00441099"/>
    <w:rsid w:val="0044121A"/>
    <w:rsid w:val="00441232"/>
    <w:rsid w:val="00441272"/>
    <w:rsid w:val="0044168A"/>
    <w:rsid w:val="004417E8"/>
    <w:rsid w:val="0044192E"/>
    <w:rsid w:val="00441A08"/>
    <w:rsid w:val="00441A59"/>
    <w:rsid w:val="00441B11"/>
    <w:rsid w:val="00441BD4"/>
    <w:rsid w:val="00441CED"/>
    <w:rsid w:val="00441DB5"/>
    <w:rsid w:val="00441DFC"/>
    <w:rsid w:val="00441EE3"/>
    <w:rsid w:val="00441F1E"/>
    <w:rsid w:val="004420A0"/>
    <w:rsid w:val="004420BF"/>
    <w:rsid w:val="004420C5"/>
    <w:rsid w:val="00442315"/>
    <w:rsid w:val="00442347"/>
    <w:rsid w:val="00442597"/>
    <w:rsid w:val="0044264F"/>
    <w:rsid w:val="004426CC"/>
    <w:rsid w:val="0044271F"/>
    <w:rsid w:val="0044274C"/>
    <w:rsid w:val="00442776"/>
    <w:rsid w:val="004428CC"/>
    <w:rsid w:val="00442962"/>
    <w:rsid w:val="00442A3E"/>
    <w:rsid w:val="00442AB0"/>
    <w:rsid w:val="00442C7A"/>
    <w:rsid w:val="00442D1F"/>
    <w:rsid w:val="00442D60"/>
    <w:rsid w:val="00442D8B"/>
    <w:rsid w:val="00442E38"/>
    <w:rsid w:val="00442E72"/>
    <w:rsid w:val="00443076"/>
    <w:rsid w:val="00443089"/>
    <w:rsid w:val="004432BF"/>
    <w:rsid w:val="00443308"/>
    <w:rsid w:val="0044332C"/>
    <w:rsid w:val="0044353E"/>
    <w:rsid w:val="0044354E"/>
    <w:rsid w:val="0044371C"/>
    <w:rsid w:val="0044375E"/>
    <w:rsid w:val="0044376C"/>
    <w:rsid w:val="0044379F"/>
    <w:rsid w:val="00443869"/>
    <w:rsid w:val="00443A72"/>
    <w:rsid w:val="00443A87"/>
    <w:rsid w:val="00443B03"/>
    <w:rsid w:val="00443B78"/>
    <w:rsid w:val="00443C9E"/>
    <w:rsid w:val="00443E64"/>
    <w:rsid w:val="00443E8B"/>
    <w:rsid w:val="00443EB5"/>
    <w:rsid w:val="00443EFD"/>
    <w:rsid w:val="00443F28"/>
    <w:rsid w:val="00443FFF"/>
    <w:rsid w:val="004441A0"/>
    <w:rsid w:val="004441FD"/>
    <w:rsid w:val="00444261"/>
    <w:rsid w:val="004442FC"/>
    <w:rsid w:val="00444338"/>
    <w:rsid w:val="004444B2"/>
    <w:rsid w:val="004444DE"/>
    <w:rsid w:val="00444534"/>
    <w:rsid w:val="0044457D"/>
    <w:rsid w:val="00444713"/>
    <w:rsid w:val="004447BB"/>
    <w:rsid w:val="0044481F"/>
    <w:rsid w:val="004448AD"/>
    <w:rsid w:val="0044498B"/>
    <w:rsid w:val="00444A6B"/>
    <w:rsid w:val="00444B08"/>
    <w:rsid w:val="00444B2A"/>
    <w:rsid w:val="00444B77"/>
    <w:rsid w:val="00444BF1"/>
    <w:rsid w:val="00444BFB"/>
    <w:rsid w:val="00444C81"/>
    <w:rsid w:val="00444D42"/>
    <w:rsid w:val="00444EF2"/>
    <w:rsid w:val="00444FD4"/>
    <w:rsid w:val="00444FE7"/>
    <w:rsid w:val="004450B9"/>
    <w:rsid w:val="00445124"/>
    <w:rsid w:val="004453B1"/>
    <w:rsid w:val="004453EA"/>
    <w:rsid w:val="004454C6"/>
    <w:rsid w:val="00445612"/>
    <w:rsid w:val="00445671"/>
    <w:rsid w:val="0044571C"/>
    <w:rsid w:val="00445741"/>
    <w:rsid w:val="00445800"/>
    <w:rsid w:val="0044588E"/>
    <w:rsid w:val="0044589A"/>
    <w:rsid w:val="004458E1"/>
    <w:rsid w:val="00445914"/>
    <w:rsid w:val="004459D8"/>
    <w:rsid w:val="004459F1"/>
    <w:rsid w:val="00445B6D"/>
    <w:rsid w:val="00445BA5"/>
    <w:rsid w:val="00445BE1"/>
    <w:rsid w:val="00445C04"/>
    <w:rsid w:val="00445D03"/>
    <w:rsid w:val="00445D70"/>
    <w:rsid w:val="00445DA1"/>
    <w:rsid w:val="00445DFF"/>
    <w:rsid w:val="00445F1F"/>
    <w:rsid w:val="00445F49"/>
    <w:rsid w:val="00445FA5"/>
    <w:rsid w:val="00445FB8"/>
    <w:rsid w:val="00445FE8"/>
    <w:rsid w:val="0044600A"/>
    <w:rsid w:val="00446027"/>
    <w:rsid w:val="004460DA"/>
    <w:rsid w:val="0044628F"/>
    <w:rsid w:val="0044629E"/>
    <w:rsid w:val="004462B2"/>
    <w:rsid w:val="004462C9"/>
    <w:rsid w:val="004462D5"/>
    <w:rsid w:val="0044634A"/>
    <w:rsid w:val="004463F7"/>
    <w:rsid w:val="00446410"/>
    <w:rsid w:val="0044642F"/>
    <w:rsid w:val="00446598"/>
    <w:rsid w:val="00446766"/>
    <w:rsid w:val="00446819"/>
    <w:rsid w:val="00446914"/>
    <w:rsid w:val="00446B40"/>
    <w:rsid w:val="00446DC7"/>
    <w:rsid w:val="00446E92"/>
    <w:rsid w:val="00446F91"/>
    <w:rsid w:val="00446F94"/>
    <w:rsid w:val="00446FE5"/>
    <w:rsid w:val="004471C7"/>
    <w:rsid w:val="00447265"/>
    <w:rsid w:val="004472F1"/>
    <w:rsid w:val="0044732A"/>
    <w:rsid w:val="004473EF"/>
    <w:rsid w:val="00447438"/>
    <w:rsid w:val="0044765A"/>
    <w:rsid w:val="00447681"/>
    <w:rsid w:val="004476A9"/>
    <w:rsid w:val="004478AD"/>
    <w:rsid w:val="0044791C"/>
    <w:rsid w:val="004479D5"/>
    <w:rsid w:val="00447AA6"/>
    <w:rsid w:val="00447AD4"/>
    <w:rsid w:val="00447BBB"/>
    <w:rsid w:val="00447C7C"/>
    <w:rsid w:val="00447C99"/>
    <w:rsid w:val="00447E42"/>
    <w:rsid w:val="00447FD5"/>
    <w:rsid w:val="00450001"/>
    <w:rsid w:val="004500A5"/>
    <w:rsid w:val="004500F9"/>
    <w:rsid w:val="004502D0"/>
    <w:rsid w:val="004502D1"/>
    <w:rsid w:val="004502D7"/>
    <w:rsid w:val="004504DD"/>
    <w:rsid w:val="00450599"/>
    <w:rsid w:val="00450681"/>
    <w:rsid w:val="004506E4"/>
    <w:rsid w:val="0045072E"/>
    <w:rsid w:val="00450741"/>
    <w:rsid w:val="00450770"/>
    <w:rsid w:val="004507E3"/>
    <w:rsid w:val="00450847"/>
    <w:rsid w:val="00450952"/>
    <w:rsid w:val="0045095A"/>
    <w:rsid w:val="0045096F"/>
    <w:rsid w:val="00450997"/>
    <w:rsid w:val="004509F4"/>
    <w:rsid w:val="00450C0A"/>
    <w:rsid w:val="00450EBD"/>
    <w:rsid w:val="00450EC9"/>
    <w:rsid w:val="00450FA9"/>
    <w:rsid w:val="004510B4"/>
    <w:rsid w:val="004510F3"/>
    <w:rsid w:val="00451107"/>
    <w:rsid w:val="004511BC"/>
    <w:rsid w:val="0045121A"/>
    <w:rsid w:val="0045128C"/>
    <w:rsid w:val="0045129C"/>
    <w:rsid w:val="00451337"/>
    <w:rsid w:val="00451377"/>
    <w:rsid w:val="00451468"/>
    <w:rsid w:val="004514C1"/>
    <w:rsid w:val="00451775"/>
    <w:rsid w:val="0045181D"/>
    <w:rsid w:val="004518A3"/>
    <w:rsid w:val="00451A0C"/>
    <w:rsid w:val="00451A7D"/>
    <w:rsid w:val="00451B11"/>
    <w:rsid w:val="00451C11"/>
    <w:rsid w:val="00451CD8"/>
    <w:rsid w:val="00451E48"/>
    <w:rsid w:val="00451E60"/>
    <w:rsid w:val="00451FEF"/>
    <w:rsid w:val="00452046"/>
    <w:rsid w:val="0045204A"/>
    <w:rsid w:val="00452059"/>
    <w:rsid w:val="00452082"/>
    <w:rsid w:val="004523A1"/>
    <w:rsid w:val="004524BA"/>
    <w:rsid w:val="0045252D"/>
    <w:rsid w:val="00452545"/>
    <w:rsid w:val="004525D0"/>
    <w:rsid w:val="00452604"/>
    <w:rsid w:val="00452646"/>
    <w:rsid w:val="00452721"/>
    <w:rsid w:val="0045284E"/>
    <w:rsid w:val="004528DC"/>
    <w:rsid w:val="004528FB"/>
    <w:rsid w:val="00452A10"/>
    <w:rsid w:val="00452A7A"/>
    <w:rsid w:val="00452B84"/>
    <w:rsid w:val="00452D7C"/>
    <w:rsid w:val="00452E56"/>
    <w:rsid w:val="00452E90"/>
    <w:rsid w:val="00452F73"/>
    <w:rsid w:val="0045302F"/>
    <w:rsid w:val="0045319E"/>
    <w:rsid w:val="004531F0"/>
    <w:rsid w:val="00453227"/>
    <w:rsid w:val="0045324D"/>
    <w:rsid w:val="004534F7"/>
    <w:rsid w:val="004535B9"/>
    <w:rsid w:val="00453706"/>
    <w:rsid w:val="0045372E"/>
    <w:rsid w:val="00453828"/>
    <w:rsid w:val="00453834"/>
    <w:rsid w:val="00453A37"/>
    <w:rsid w:val="00453A4B"/>
    <w:rsid w:val="00453A51"/>
    <w:rsid w:val="00453A8B"/>
    <w:rsid w:val="00453ABC"/>
    <w:rsid w:val="00453ABE"/>
    <w:rsid w:val="00453CEA"/>
    <w:rsid w:val="00453E20"/>
    <w:rsid w:val="00453EE9"/>
    <w:rsid w:val="00453EF1"/>
    <w:rsid w:val="00453F03"/>
    <w:rsid w:val="00453F60"/>
    <w:rsid w:val="00453FF1"/>
    <w:rsid w:val="004540AE"/>
    <w:rsid w:val="004540E6"/>
    <w:rsid w:val="004540EC"/>
    <w:rsid w:val="004541B0"/>
    <w:rsid w:val="00454253"/>
    <w:rsid w:val="0045434E"/>
    <w:rsid w:val="0045449A"/>
    <w:rsid w:val="004544A9"/>
    <w:rsid w:val="00454584"/>
    <w:rsid w:val="00454585"/>
    <w:rsid w:val="004545D5"/>
    <w:rsid w:val="004545E2"/>
    <w:rsid w:val="0045461E"/>
    <w:rsid w:val="00454872"/>
    <w:rsid w:val="0045495B"/>
    <w:rsid w:val="004549F5"/>
    <w:rsid w:val="00454A3D"/>
    <w:rsid w:val="00454A4D"/>
    <w:rsid w:val="00454A82"/>
    <w:rsid w:val="00454B3B"/>
    <w:rsid w:val="00454B86"/>
    <w:rsid w:val="00454B9B"/>
    <w:rsid w:val="00454BAE"/>
    <w:rsid w:val="00454C32"/>
    <w:rsid w:val="00454CC2"/>
    <w:rsid w:val="00454DDE"/>
    <w:rsid w:val="00454ECA"/>
    <w:rsid w:val="00454F35"/>
    <w:rsid w:val="00454F79"/>
    <w:rsid w:val="0045504F"/>
    <w:rsid w:val="0045510A"/>
    <w:rsid w:val="00455115"/>
    <w:rsid w:val="00455148"/>
    <w:rsid w:val="004552B9"/>
    <w:rsid w:val="00455330"/>
    <w:rsid w:val="00455505"/>
    <w:rsid w:val="004556D2"/>
    <w:rsid w:val="004556E6"/>
    <w:rsid w:val="00455771"/>
    <w:rsid w:val="004557D0"/>
    <w:rsid w:val="0045591D"/>
    <w:rsid w:val="004559A6"/>
    <w:rsid w:val="00455A0D"/>
    <w:rsid w:val="00455A4E"/>
    <w:rsid w:val="00455AD3"/>
    <w:rsid w:val="00455BD0"/>
    <w:rsid w:val="00455CFD"/>
    <w:rsid w:val="00455D81"/>
    <w:rsid w:val="00455DED"/>
    <w:rsid w:val="0045608A"/>
    <w:rsid w:val="0045617B"/>
    <w:rsid w:val="0045620C"/>
    <w:rsid w:val="0045627A"/>
    <w:rsid w:val="004562FF"/>
    <w:rsid w:val="00456346"/>
    <w:rsid w:val="00456376"/>
    <w:rsid w:val="00456377"/>
    <w:rsid w:val="00456470"/>
    <w:rsid w:val="00456501"/>
    <w:rsid w:val="00456618"/>
    <w:rsid w:val="00456693"/>
    <w:rsid w:val="00456715"/>
    <w:rsid w:val="004567CD"/>
    <w:rsid w:val="00456860"/>
    <w:rsid w:val="004569A6"/>
    <w:rsid w:val="00456A62"/>
    <w:rsid w:val="00456B47"/>
    <w:rsid w:val="00456BAF"/>
    <w:rsid w:val="00456D56"/>
    <w:rsid w:val="00456D79"/>
    <w:rsid w:val="00456D96"/>
    <w:rsid w:val="00456E22"/>
    <w:rsid w:val="00456E56"/>
    <w:rsid w:val="00457017"/>
    <w:rsid w:val="00457068"/>
    <w:rsid w:val="0045708F"/>
    <w:rsid w:val="0045715F"/>
    <w:rsid w:val="004572F4"/>
    <w:rsid w:val="004573A8"/>
    <w:rsid w:val="004573B8"/>
    <w:rsid w:val="00457451"/>
    <w:rsid w:val="0045750E"/>
    <w:rsid w:val="00457605"/>
    <w:rsid w:val="00457668"/>
    <w:rsid w:val="0045768C"/>
    <w:rsid w:val="004579AD"/>
    <w:rsid w:val="00457A3F"/>
    <w:rsid w:val="00457BA1"/>
    <w:rsid w:val="00457C33"/>
    <w:rsid w:val="00457CC4"/>
    <w:rsid w:val="00457D49"/>
    <w:rsid w:val="00457DA7"/>
    <w:rsid w:val="00457FBF"/>
    <w:rsid w:val="0046000A"/>
    <w:rsid w:val="00460072"/>
    <w:rsid w:val="004601B4"/>
    <w:rsid w:val="004601F6"/>
    <w:rsid w:val="0046028A"/>
    <w:rsid w:val="0046034D"/>
    <w:rsid w:val="0046040E"/>
    <w:rsid w:val="00460419"/>
    <w:rsid w:val="0046043E"/>
    <w:rsid w:val="00460497"/>
    <w:rsid w:val="004605F6"/>
    <w:rsid w:val="004606F6"/>
    <w:rsid w:val="004608AC"/>
    <w:rsid w:val="00460919"/>
    <w:rsid w:val="00460971"/>
    <w:rsid w:val="0046099B"/>
    <w:rsid w:val="00460A06"/>
    <w:rsid w:val="00460A79"/>
    <w:rsid w:val="00460D01"/>
    <w:rsid w:val="00460D9C"/>
    <w:rsid w:val="00460E85"/>
    <w:rsid w:val="00460F34"/>
    <w:rsid w:val="00460F39"/>
    <w:rsid w:val="00460FF0"/>
    <w:rsid w:val="00461052"/>
    <w:rsid w:val="00461245"/>
    <w:rsid w:val="0046126E"/>
    <w:rsid w:val="00461280"/>
    <w:rsid w:val="00461354"/>
    <w:rsid w:val="0046140F"/>
    <w:rsid w:val="00461475"/>
    <w:rsid w:val="00461572"/>
    <w:rsid w:val="00461578"/>
    <w:rsid w:val="004615F1"/>
    <w:rsid w:val="004615FD"/>
    <w:rsid w:val="0046162F"/>
    <w:rsid w:val="0046166A"/>
    <w:rsid w:val="00461686"/>
    <w:rsid w:val="0046169B"/>
    <w:rsid w:val="0046184F"/>
    <w:rsid w:val="00461884"/>
    <w:rsid w:val="00461994"/>
    <w:rsid w:val="00461A19"/>
    <w:rsid w:val="00461A1B"/>
    <w:rsid w:val="00461A61"/>
    <w:rsid w:val="00461B1A"/>
    <w:rsid w:val="00461B94"/>
    <w:rsid w:val="00461BC6"/>
    <w:rsid w:val="00461BD3"/>
    <w:rsid w:val="00461CDD"/>
    <w:rsid w:val="00461D78"/>
    <w:rsid w:val="00461DE8"/>
    <w:rsid w:val="00461E20"/>
    <w:rsid w:val="00461E8D"/>
    <w:rsid w:val="00461FB2"/>
    <w:rsid w:val="00462183"/>
    <w:rsid w:val="004622EB"/>
    <w:rsid w:val="00462350"/>
    <w:rsid w:val="00462422"/>
    <w:rsid w:val="00462426"/>
    <w:rsid w:val="00462511"/>
    <w:rsid w:val="00462563"/>
    <w:rsid w:val="004625C1"/>
    <w:rsid w:val="004627FF"/>
    <w:rsid w:val="0046285D"/>
    <w:rsid w:val="004628A0"/>
    <w:rsid w:val="004628B9"/>
    <w:rsid w:val="0046298B"/>
    <w:rsid w:val="00462A53"/>
    <w:rsid w:val="00462B17"/>
    <w:rsid w:val="00462C99"/>
    <w:rsid w:val="00462D0B"/>
    <w:rsid w:val="00462D37"/>
    <w:rsid w:val="00462D77"/>
    <w:rsid w:val="00462DFA"/>
    <w:rsid w:val="00462EB3"/>
    <w:rsid w:val="00463099"/>
    <w:rsid w:val="004630E2"/>
    <w:rsid w:val="00463287"/>
    <w:rsid w:val="0046339E"/>
    <w:rsid w:val="00463436"/>
    <w:rsid w:val="00463444"/>
    <w:rsid w:val="00463527"/>
    <w:rsid w:val="00463659"/>
    <w:rsid w:val="00463689"/>
    <w:rsid w:val="004636F1"/>
    <w:rsid w:val="0046370B"/>
    <w:rsid w:val="004637B9"/>
    <w:rsid w:val="004638E1"/>
    <w:rsid w:val="00463D8D"/>
    <w:rsid w:val="00463DA7"/>
    <w:rsid w:val="00463E77"/>
    <w:rsid w:val="00463EAA"/>
    <w:rsid w:val="00463F1A"/>
    <w:rsid w:val="00463FBF"/>
    <w:rsid w:val="00463FE0"/>
    <w:rsid w:val="00463FE3"/>
    <w:rsid w:val="004640AC"/>
    <w:rsid w:val="00464176"/>
    <w:rsid w:val="0046420F"/>
    <w:rsid w:val="004643BF"/>
    <w:rsid w:val="004644D0"/>
    <w:rsid w:val="004644D8"/>
    <w:rsid w:val="0046453C"/>
    <w:rsid w:val="004645DB"/>
    <w:rsid w:val="00464853"/>
    <w:rsid w:val="0046496E"/>
    <w:rsid w:val="00464AE9"/>
    <w:rsid w:val="00464B71"/>
    <w:rsid w:val="00464C37"/>
    <w:rsid w:val="00464C38"/>
    <w:rsid w:val="00464C5D"/>
    <w:rsid w:val="00464CBC"/>
    <w:rsid w:val="00464D1C"/>
    <w:rsid w:val="00464E40"/>
    <w:rsid w:val="00464F35"/>
    <w:rsid w:val="00464FE0"/>
    <w:rsid w:val="00464FEB"/>
    <w:rsid w:val="004650CB"/>
    <w:rsid w:val="004650FF"/>
    <w:rsid w:val="0046516E"/>
    <w:rsid w:val="004651DC"/>
    <w:rsid w:val="004653D5"/>
    <w:rsid w:val="004654A3"/>
    <w:rsid w:val="0046550B"/>
    <w:rsid w:val="004656CA"/>
    <w:rsid w:val="004657D4"/>
    <w:rsid w:val="004657D6"/>
    <w:rsid w:val="004658E6"/>
    <w:rsid w:val="004659A5"/>
    <w:rsid w:val="004659B4"/>
    <w:rsid w:val="00465AD5"/>
    <w:rsid w:val="00465AE6"/>
    <w:rsid w:val="00465B71"/>
    <w:rsid w:val="00465BE9"/>
    <w:rsid w:val="00465C22"/>
    <w:rsid w:val="00465C2A"/>
    <w:rsid w:val="00465CF5"/>
    <w:rsid w:val="00465EF8"/>
    <w:rsid w:val="00465FB8"/>
    <w:rsid w:val="0046614E"/>
    <w:rsid w:val="00466231"/>
    <w:rsid w:val="00466277"/>
    <w:rsid w:val="0046637E"/>
    <w:rsid w:val="0046638F"/>
    <w:rsid w:val="0046641B"/>
    <w:rsid w:val="004664C6"/>
    <w:rsid w:val="004664F3"/>
    <w:rsid w:val="004664F7"/>
    <w:rsid w:val="00466579"/>
    <w:rsid w:val="00466586"/>
    <w:rsid w:val="0046683F"/>
    <w:rsid w:val="00466902"/>
    <w:rsid w:val="0046690E"/>
    <w:rsid w:val="0046692B"/>
    <w:rsid w:val="00466A27"/>
    <w:rsid w:val="00466ADA"/>
    <w:rsid w:val="00466AE5"/>
    <w:rsid w:val="00466B08"/>
    <w:rsid w:val="00466B4A"/>
    <w:rsid w:val="00466B55"/>
    <w:rsid w:val="00466B8D"/>
    <w:rsid w:val="00466C26"/>
    <w:rsid w:val="00466CCC"/>
    <w:rsid w:val="00466D16"/>
    <w:rsid w:val="00466D86"/>
    <w:rsid w:val="00466D8B"/>
    <w:rsid w:val="00466D9D"/>
    <w:rsid w:val="00466DBF"/>
    <w:rsid w:val="00466E6A"/>
    <w:rsid w:val="00466ED6"/>
    <w:rsid w:val="00466EF1"/>
    <w:rsid w:val="00466FE9"/>
    <w:rsid w:val="00466FF2"/>
    <w:rsid w:val="00467030"/>
    <w:rsid w:val="0046707B"/>
    <w:rsid w:val="00467091"/>
    <w:rsid w:val="004670AD"/>
    <w:rsid w:val="00467157"/>
    <w:rsid w:val="00467182"/>
    <w:rsid w:val="00467279"/>
    <w:rsid w:val="004672CD"/>
    <w:rsid w:val="00467344"/>
    <w:rsid w:val="00467498"/>
    <w:rsid w:val="00467619"/>
    <w:rsid w:val="00467624"/>
    <w:rsid w:val="00467770"/>
    <w:rsid w:val="00467879"/>
    <w:rsid w:val="00467A1B"/>
    <w:rsid w:val="00467A46"/>
    <w:rsid w:val="00467A4E"/>
    <w:rsid w:val="00467ABC"/>
    <w:rsid w:val="00467B79"/>
    <w:rsid w:val="00467BD1"/>
    <w:rsid w:val="00467C29"/>
    <w:rsid w:val="00467CF3"/>
    <w:rsid w:val="00467D27"/>
    <w:rsid w:val="00467E51"/>
    <w:rsid w:val="00467E62"/>
    <w:rsid w:val="00467EA9"/>
    <w:rsid w:val="00467F0E"/>
    <w:rsid w:val="00467F63"/>
    <w:rsid w:val="00467F72"/>
    <w:rsid w:val="00467FD4"/>
    <w:rsid w:val="00467FFA"/>
    <w:rsid w:val="00470037"/>
    <w:rsid w:val="0047004B"/>
    <w:rsid w:val="00470087"/>
    <w:rsid w:val="0047008B"/>
    <w:rsid w:val="00470129"/>
    <w:rsid w:val="0047013D"/>
    <w:rsid w:val="00470162"/>
    <w:rsid w:val="004701B6"/>
    <w:rsid w:val="004701DD"/>
    <w:rsid w:val="00470244"/>
    <w:rsid w:val="004702E8"/>
    <w:rsid w:val="00470392"/>
    <w:rsid w:val="00470571"/>
    <w:rsid w:val="004705CE"/>
    <w:rsid w:val="0047064A"/>
    <w:rsid w:val="004708CF"/>
    <w:rsid w:val="004708F9"/>
    <w:rsid w:val="0047097C"/>
    <w:rsid w:val="00470A7F"/>
    <w:rsid w:val="00470AC5"/>
    <w:rsid w:val="00470AE1"/>
    <w:rsid w:val="00470C02"/>
    <w:rsid w:val="00470CAD"/>
    <w:rsid w:val="00470DA4"/>
    <w:rsid w:val="00470E0C"/>
    <w:rsid w:val="00470ED9"/>
    <w:rsid w:val="00470F99"/>
    <w:rsid w:val="00471062"/>
    <w:rsid w:val="00471111"/>
    <w:rsid w:val="00471112"/>
    <w:rsid w:val="0047111B"/>
    <w:rsid w:val="0047119E"/>
    <w:rsid w:val="004711BA"/>
    <w:rsid w:val="004711BF"/>
    <w:rsid w:val="004711E1"/>
    <w:rsid w:val="004711E4"/>
    <w:rsid w:val="004711EA"/>
    <w:rsid w:val="0047128E"/>
    <w:rsid w:val="004712D8"/>
    <w:rsid w:val="0047135A"/>
    <w:rsid w:val="0047142D"/>
    <w:rsid w:val="00471496"/>
    <w:rsid w:val="00471555"/>
    <w:rsid w:val="00471561"/>
    <w:rsid w:val="00471755"/>
    <w:rsid w:val="00471874"/>
    <w:rsid w:val="00471938"/>
    <w:rsid w:val="004719B0"/>
    <w:rsid w:val="00471BB4"/>
    <w:rsid w:val="00471CD2"/>
    <w:rsid w:val="00471D93"/>
    <w:rsid w:val="00471DA9"/>
    <w:rsid w:val="00472091"/>
    <w:rsid w:val="0047213B"/>
    <w:rsid w:val="004721F5"/>
    <w:rsid w:val="0047224B"/>
    <w:rsid w:val="00472359"/>
    <w:rsid w:val="0047236B"/>
    <w:rsid w:val="004723E3"/>
    <w:rsid w:val="004724B6"/>
    <w:rsid w:val="0047253F"/>
    <w:rsid w:val="0047254F"/>
    <w:rsid w:val="0047269A"/>
    <w:rsid w:val="0047269E"/>
    <w:rsid w:val="00472922"/>
    <w:rsid w:val="0047296F"/>
    <w:rsid w:val="004729EB"/>
    <w:rsid w:val="00472B08"/>
    <w:rsid w:val="00472CDA"/>
    <w:rsid w:val="00472CDC"/>
    <w:rsid w:val="00472D1C"/>
    <w:rsid w:val="00472EC8"/>
    <w:rsid w:val="00472F0B"/>
    <w:rsid w:val="00472FDE"/>
    <w:rsid w:val="004730BD"/>
    <w:rsid w:val="0047315B"/>
    <w:rsid w:val="004732C1"/>
    <w:rsid w:val="0047330A"/>
    <w:rsid w:val="00473318"/>
    <w:rsid w:val="004733B5"/>
    <w:rsid w:val="004733CA"/>
    <w:rsid w:val="00473432"/>
    <w:rsid w:val="004735A1"/>
    <w:rsid w:val="0047363D"/>
    <w:rsid w:val="0047367D"/>
    <w:rsid w:val="004737BB"/>
    <w:rsid w:val="004738E6"/>
    <w:rsid w:val="004739B6"/>
    <w:rsid w:val="004739D6"/>
    <w:rsid w:val="004739D8"/>
    <w:rsid w:val="00473A11"/>
    <w:rsid w:val="00473A54"/>
    <w:rsid w:val="00473B1A"/>
    <w:rsid w:val="00473BD9"/>
    <w:rsid w:val="00473CC3"/>
    <w:rsid w:val="00473DF9"/>
    <w:rsid w:val="00473E8F"/>
    <w:rsid w:val="00473E94"/>
    <w:rsid w:val="00473EAB"/>
    <w:rsid w:val="00473EB6"/>
    <w:rsid w:val="00474015"/>
    <w:rsid w:val="00474028"/>
    <w:rsid w:val="0047402F"/>
    <w:rsid w:val="0047404B"/>
    <w:rsid w:val="00474166"/>
    <w:rsid w:val="00474230"/>
    <w:rsid w:val="004743CA"/>
    <w:rsid w:val="004743DB"/>
    <w:rsid w:val="00474468"/>
    <w:rsid w:val="0047465F"/>
    <w:rsid w:val="004748DD"/>
    <w:rsid w:val="00474982"/>
    <w:rsid w:val="0047499A"/>
    <w:rsid w:val="00474A24"/>
    <w:rsid w:val="00474A71"/>
    <w:rsid w:val="00474A8E"/>
    <w:rsid w:val="00474B50"/>
    <w:rsid w:val="00474B82"/>
    <w:rsid w:val="00474D61"/>
    <w:rsid w:val="00474E02"/>
    <w:rsid w:val="00474E47"/>
    <w:rsid w:val="00474EA9"/>
    <w:rsid w:val="00474EC3"/>
    <w:rsid w:val="00474F07"/>
    <w:rsid w:val="00475034"/>
    <w:rsid w:val="004750BC"/>
    <w:rsid w:val="004753CF"/>
    <w:rsid w:val="00475412"/>
    <w:rsid w:val="00475768"/>
    <w:rsid w:val="00475AB1"/>
    <w:rsid w:val="00475B1A"/>
    <w:rsid w:val="00475B4F"/>
    <w:rsid w:val="00475C12"/>
    <w:rsid w:val="00475CD8"/>
    <w:rsid w:val="00475CEE"/>
    <w:rsid w:val="00475D06"/>
    <w:rsid w:val="00475E78"/>
    <w:rsid w:val="00475F63"/>
    <w:rsid w:val="00475FD2"/>
    <w:rsid w:val="00476152"/>
    <w:rsid w:val="00476215"/>
    <w:rsid w:val="00476237"/>
    <w:rsid w:val="0047623A"/>
    <w:rsid w:val="00476249"/>
    <w:rsid w:val="0047627C"/>
    <w:rsid w:val="004763DC"/>
    <w:rsid w:val="0047647D"/>
    <w:rsid w:val="0047649F"/>
    <w:rsid w:val="00476661"/>
    <w:rsid w:val="0047666E"/>
    <w:rsid w:val="00476678"/>
    <w:rsid w:val="00476731"/>
    <w:rsid w:val="0047688E"/>
    <w:rsid w:val="00476BAD"/>
    <w:rsid w:val="00476C45"/>
    <w:rsid w:val="00476C7C"/>
    <w:rsid w:val="00476D20"/>
    <w:rsid w:val="00476D8F"/>
    <w:rsid w:val="00476DB6"/>
    <w:rsid w:val="00476EE1"/>
    <w:rsid w:val="00476F3D"/>
    <w:rsid w:val="0047703A"/>
    <w:rsid w:val="0047706E"/>
    <w:rsid w:val="00477138"/>
    <w:rsid w:val="00477251"/>
    <w:rsid w:val="00477308"/>
    <w:rsid w:val="0047732A"/>
    <w:rsid w:val="0047740D"/>
    <w:rsid w:val="0047750C"/>
    <w:rsid w:val="004775EA"/>
    <w:rsid w:val="004777C3"/>
    <w:rsid w:val="00477951"/>
    <w:rsid w:val="004779BB"/>
    <w:rsid w:val="004779D9"/>
    <w:rsid w:val="00477B4C"/>
    <w:rsid w:val="00477D75"/>
    <w:rsid w:val="00477E0D"/>
    <w:rsid w:val="00477E82"/>
    <w:rsid w:val="00477FFA"/>
    <w:rsid w:val="00480063"/>
    <w:rsid w:val="004800B7"/>
    <w:rsid w:val="004801A0"/>
    <w:rsid w:val="004801BF"/>
    <w:rsid w:val="004801CD"/>
    <w:rsid w:val="004801EA"/>
    <w:rsid w:val="00480290"/>
    <w:rsid w:val="00480318"/>
    <w:rsid w:val="004803F6"/>
    <w:rsid w:val="004803FF"/>
    <w:rsid w:val="004804AC"/>
    <w:rsid w:val="0048051E"/>
    <w:rsid w:val="0048057A"/>
    <w:rsid w:val="0048075E"/>
    <w:rsid w:val="00480788"/>
    <w:rsid w:val="00480798"/>
    <w:rsid w:val="004807C0"/>
    <w:rsid w:val="00480A81"/>
    <w:rsid w:val="00480B4B"/>
    <w:rsid w:val="00480B53"/>
    <w:rsid w:val="00480C5F"/>
    <w:rsid w:val="00480C9F"/>
    <w:rsid w:val="00480D52"/>
    <w:rsid w:val="00480DA0"/>
    <w:rsid w:val="00480DA5"/>
    <w:rsid w:val="00480DEF"/>
    <w:rsid w:val="00480DF1"/>
    <w:rsid w:val="00480EBB"/>
    <w:rsid w:val="0048107D"/>
    <w:rsid w:val="0048107F"/>
    <w:rsid w:val="00481097"/>
    <w:rsid w:val="004810AD"/>
    <w:rsid w:val="0048126D"/>
    <w:rsid w:val="00481319"/>
    <w:rsid w:val="004813C9"/>
    <w:rsid w:val="00481411"/>
    <w:rsid w:val="00481449"/>
    <w:rsid w:val="00481506"/>
    <w:rsid w:val="004815D3"/>
    <w:rsid w:val="00481666"/>
    <w:rsid w:val="00481682"/>
    <w:rsid w:val="00481961"/>
    <w:rsid w:val="004819D3"/>
    <w:rsid w:val="00481AE6"/>
    <w:rsid w:val="00481C90"/>
    <w:rsid w:val="00481D10"/>
    <w:rsid w:val="00481EE3"/>
    <w:rsid w:val="004820F6"/>
    <w:rsid w:val="00482341"/>
    <w:rsid w:val="004823A3"/>
    <w:rsid w:val="004823C4"/>
    <w:rsid w:val="004824AF"/>
    <w:rsid w:val="00482517"/>
    <w:rsid w:val="00482544"/>
    <w:rsid w:val="004825B0"/>
    <w:rsid w:val="0048263B"/>
    <w:rsid w:val="0048266C"/>
    <w:rsid w:val="004826EF"/>
    <w:rsid w:val="004827DF"/>
    <w:rsid w:val="00482A09"/>
    <w:rsid w:val="00482B21"/>
    <w:rsid w:val="00482C04"/>
    <w:rsid w:val="00482C2B"/>
    <w:rsid w:val="00482C3F"/>
    <w:rsid w:val="00482C80"/>
    <w:rsid w:val="00482E8B"/>
    <w:rsid w:val="00482EE9"/>
    <w:rsid w:val="00482F64"/>
    <w:rsid w:val="00482F74"/>
    <w:rsid w:val="00483081"/>
    <w:rsid w:val="00483114"/>
    <w:rsid w:val="004831C0"/>
    <w:rsid w:val="00483254"/>
    <w:rsid w:val="004832AD"/>
    <w:rsid w:val="004832BA"/>
    <w:rsid w:val="0048344A"/>
    <w:rsid w:val="0048344C"/>
    <w:rsid w:val="0048345D"/>
    <w:rsid w:val="004834DE"/>
    <w:rsid w:val="0048364D"/>
    <w:rsid w:val="004838B9"/>
    <w:rsid w:val="004839F5"/>
    <w:rsid w:val="004839FE"/>
    <w:rsid w:val="00483A70"/>
    <w:rsid w:val="00483A75"/>
    <w:rsid w:val="00483A7F"/>
    <w:rsid w:val="00483AB6"/>
    <w:rsid w:val="00483D29"/>
    <w:rsid w:val="00483D69"/>
    <w:rsid w:val="00483EEF"/>
    <w:rsid w:val="00483F36"/>
    <w:rsid w:val="004840C6"/>
    <w:rsid w:val="00484142"/>
    <w:rsid w:val="0048415C"/>
    <w:rsid w:val="004841BE"/>
    <w:rsid w:val="00484278"/>
    <w:rsid w:val="004842DF"/>
    <w:rsid w:val="00484446"/>
    <w:rsid w:val="00484477"/>
    <w:rsid w:val="00484586"/>
    <w:rsid w:val="004846A3"/>
    <w:rsid w:val="004846B8"/>
    <w:rsid w:val="004846C5"/>
    <w:rsid w:val="00484796"/>
    <w:rsid w:val="004847B5"/>
    <w:rsid w:val="00484826"/>
    <w:rsid w:val="004848A6"/>
    <w:rsid w:val="00484979"/>
    <w:rsid w:val="00484AC4"/>
    <w:rsid w:val="00484B29"/>
    <w:rsid w:val="00484B34"/>
    <w:rsid w:val="00484B5A"/>
    <w:rsid w:val="00484C3C"/>
    <w:rsid w:val="00484C88"/>
    <w:rsid w:val="00484D60"/>
    <w:rsid w:val="00484F66"/>
    <w:rsid w:val="00484FA5"/>
    <w:rsid w:val="00484FDA"/>
    <w:rsid w:val="00485149"/>
    <w:rsid w:val="0048516C"/>
    <w:rsid w:val="004851AE"/>
    <w:rsid w:val="00485215"/>
    <w:rsid w:val="004852C8"/>
    <w:rsid w:val="00485353"/>
    <w:rsid w:val="00485557"/>
    <w:rsid w:val="004855CE"/>
    <w:rsid w:val="0048563B"/>
    <w:rsid w:val="00485762"/>
    <w:rsid w:val="0048576E"/>
    <w:rsid w:val="0048580C"/>
    <w:rsid w:val="0048590B"/>
    <w:rsid w:val="00485918"/>
    <w:rsid w:val="00485A7F"/>
    <w:rsid w:val="00485B5D"/>
    <w:rsid w:val="00485BC6"/>
    <w:rsid w:val="00485C17"/>
    <w:rsid w:val="00485C8D"/>
    <w:rsid w:val="00485D01"/>
    <w:rsid w:val="00485D36"/>
    <w:rsid w:val="00485D57"/>
    <w:rsid w:val="00485E09"/>
    <w:rsid w:val="00485EBC"/>
    <w:rsid w:val="00485FC4"/>
    <w:rsid w:val="0048612D"/>
    <w:rsid w:val="0048615B"/>
    <w:rsid w:val="00486188"/>
    <w:rsid w:val="0048622A"/>
    <w:rsid w:val="00486283"/>
    <w:rsid w:val="004862B2"/>
    <w:rsid w:val="004862D7"/>
    <w:rsid w:val="00486391"/>
    <w:rsid w:val="00486422"/>
    <w:rsid w:val="00486557"/>
    <w:rsid w:val="004867D4"/>
    <w:rsid w:val="004869A4"/>
    <w:rsid w:val="004869CF"/>
    <w:rsid w:val="00486A2C"/>
    <w:rsid w:val="00486A91"/>
    <w:rsid w:val="00486B9E"/>
    <w:rsid w:val="00486C67"/>
    <w:rsid w:val="00486C73"/>
    <w:rsid w:val="00486F0F"/>
    <w:rsid w:val="0048707D"/>
    <w:rsid w:val="004870CE"/>
    <w:rsid w:val="004870EF"/>
    <w:rsid w:val="00487121"/>
    <w:rsid w:val="0048724F"/>
    <w:rsid w:val="00487261"/>
    <w:rsid w:val="0048729A"/>
    <w:rsid w:val="00487382"/>
    <w:rsid w:val="004876DA"/>
    <w:rsid w:val="00487773"/>
    <w:rsid w:val="00487797"/>
    <w:rsid w:val="00487800"/>
    <w:rsid w:val="0048786D"/>
    <w:rsid w:val="00487ABB"/>
    <w:rsid w:val="00487B49"/>
    <w:rsid w:val="00487D04"/>
    <w:rsid w:val="00487D5E"/>
    <w:rsid w:val="00487E9B"/>
    <w:rsid w:val="00487F06"/>
    <w:rsid w:val="00487F6E"/>
    <w:rsid w:val="00490098"/>
    <w:rsid w:val="004900F8"/>
    <w:rsid w:val="0049011B"/>
    <w:rsid w:val="004901FB"/>
    <w:rsid w:val="00490234"/>
    <w:rsid w:val="00490240"/>
    <w:rsid w:val="004903F7"/>
    <w:rsid w:val="0049054C"/>
    <w:rsid w:val="00490551"/>
    <w:rsid w:val="0049062A"/>
    <w:rsid w:val="0049070A"/>
    <w:rsid w:val="004907EF"/>
    <w:rsid w:val="004907F7"/>
    <w:rsid w:val="0049081A"/>
    <w:rsid w:val="0049086D"/>
    <w:rsid w:val="004908A3"/>
    <w:rsid w:val="004908CD"/>
    <w:rsid w:val="00490925"/>
    <w:rsid w:val="004909E2"/>
    <w:rsid w:val="00490A55"/>
    <w:rsid w:val="00490BB9"/>
    <w:rsid w:val="00490D1F"/>
    <w:rsid w:val="00490EA7"/>
    <w:rsid w:val="0049103E"/>
    <w:rsid w:val="00491044"/>
    <w:rsid w:val="0049105E"/>
    <w:rsid w:val="004910B9"/>
    <w:rsid w:val="0049115D"/>
    <w:rsid w:val="004911BC"/>
    <w:rsid w:val="00491220"/>
    <w:rsid w:val="0049155F"/>
    <w:rsid w:val="00491594"/>
    <w:rsid w:val="00491596"/>
    <w:rsid w:val="00491717"/>
    <w:rsid w:val="00491789"/>
    <w:rsid w:val="004917DF"/>
    <w:rsid w:val="00491829"/>
    <w:rsid w:val="00491874"/>
    <w:rsid w:val="004918C0"/>
    <w:rsid w:val="0049193C"/>
    <w:rsid w:val="00491A20"/>
    <w:rsid w:val="00491A51"/>
    <w:rsid w:val="00491A6D"/>
    <w:rsid w:val="00491A92"/>
    <w:rsid w:val="00491AAA"/>
    <w:rsid w:val="00491AEC"/>
    <w:rsid w:val="00491B09"/>
    <w:rsid w:val="00491B3F"/>
    <w:rsid w:val="00491DB8"/>
    <w:rsid w:val="00491FF4"/>
    <w:rsid w:val="00492095"/>
    <w:rsid w:val="004921D1"/>
    <w:rsid w:val="0049226E"/>
    <w:rsid w:val="00492425"/>
    <w:rsid w:val="0049259E"/>
    <w:rsid w:val="004925D8"/>
    <w:rsid w:val="004926E7"/>
    <w:rsid w:val="00492740"/>
    <w:rsid w:val="00492967"/>
    <w:rsid w:val="00492A62"/>
    <w:rsid w:val="00492A93"/>
    <w:rsid w:val="00492A94"/>
    <w:rsid w:val="00492A9E"/>
    <w:rsid w:val="00492C02"/>
    <w:rsid w:val="00492C0D"/>
    <w:rsid w:val="00492C4A"/>
    <w:rsid w:val="00492F67"/>
    <w:rsid w:val="00492FF9"/>
    <w:rsid w:val="00493041"/>
    <w:rsid w:val="00493063"/>
    <w:rsid w:val="0049306A"/>
    <w:rsid w:val="00493076"/>
    <w:rsid w:val="004930B0"/>
    <w:rsid w:val="004930D7"/>
    <w:rsid w:val="00493209"/>
    <w:rsid w:val="004932D7"/>
    <w:rsid w:val="0049347B"/>
    <w:rsid w:val="00493487"/>
    <w:rsid w:val="0049350C"/>
    <w:rsid w:val="004935F5"/>
    <w:rsid w:val="00493643"/>
    <w:rsid w:val="00493751"/>
    <w:rsid w:val="0049376F"/>
    <w:rsid w:val="0049380F"/>
    <w:rsid w:val="004938A0"/>
    <w:rsid w:val="004938EE"/>
    <w:rsid w:val="00493A61"/>
    <w:rsid w:val="00493BD4"/>
    <w:rsid w:val="00493E25"/>
    <w:rsid w:val="00493F0F"/>
    <w:rsid w:val="00493F9B"/>
    <w:rsid w:val="00494051"/>
    <w:rsid w:val="00494208"/>
    <w:rsid w:val="00494231"/>
    <w:rsid w:val="00494290"/>
    <w:rsid w:val="00494565"/>
    <w:rsid w:val="0049457A"/>
    <w:rsid w:val="00494697"/>
    <w:rsid w:val="0049472A"/>
    <w:rsid w:val="004947F5"/>
    <w:rsid w:val="00494917"/>
    <w:rsid w:val="00494961"/>
    <w:rsid w:val="00494B1D"/>
    <w:rsid w:val="00494BCB"/>
    <w:rsid w:val="00494C0C"/>
    <w:rsid w:val="00494C7B"/>
    <w:rsid w:val="00494D48"/>
    <w:rsid w:val="00494DE3"/>
    <w:rsid w:val="00494FC2"/>
    <w:rsid w:val="00494FCE"/>
    <w:rsid w:val="004950D2"/>
    <w:rsid w:val="0049517C"/>
    <w:rsid w:val="004951BC"/>
    <w:rsid w:val="00495246"/>
    <w:rsid w:val="00495289"/>
    <w:rsid w:val="004953DD"/>
    <w:rsid w:val="004953EB"/>
    <w:rsid w:val="00495656"/>
    <w:rsid w:val="00495719"/>
    <w:rsid w:val="00495741"/>
    <w:rsid w:val="00495781"/>
    <w:rsid w:val="00495802"/>
    <w:rsid w:val="00495B71"/>
    <w:rsid w:val="00495BB9"/>
    <w:rsid w:val="00495C3F"/>
    <w:rsid w:val="00495D9A"/>
    <w:rsid w:val="00495E82"/>
    <w:rsid w:val="00495F45"/>
    <w:rsid w:val="00496015"/>
    <w:rsid w:val="00496077"/>
    <w:rsid w:val="00496094"/>
    <w:rsid w:val="0049609B"/>
    <w:rsid w:val="004960E7"/>
    <w:rsid w:val="00496289"/>
    <w:rsid w:val="0049636F"/>
    <w:rsid w:val="004963B0"/>
    <w:rsid w:val="00496466"/>
    <w:rsid w:val="004965C0"/>
    <w:rsid w:val="0049668C"/>
    <w:rsid w:val="00496904"/>
    <w:rsid w:val="00496998"/>
    <w:rsid w:val="00496A39"/>
    <w:rsid w:val="00496B69"/>
    <w:rsid w:val="00496BA4"/>
    <w:rsid w:val="00496CA9"/>
    <w:rsid w:val="00496E26"/>
    <w:rsid w:val="00496E86"/>
    <w:rsid w:val="00496ED6"/>
    <w:rsid w:val="00496EF9"/>
    <w:rsid w:val="00496F7F"/>
    <w:rsid w:val="00496FF4"/>
    <w:rsid w:val="00497152"/>
    <w:rsid w:val="00497173"/>
    <w:rsid w:val="00497200"/>
    <w:rsid w:val="00497299"/>
    <w:rsid w:val="00497356"/>
    <w:rsid w:val="0049740C"/>
    <w:rsid w:val="0049743D"/>
    <w:rsid w:val="00497473"/>
    <w:rsid w:val="0049758A"/>
    <w:rsid w:val="00497687"/>
    <w:rsid w:val="004976B9"/>
    <w:rsid w:val="0049770E"/>
    <w:rsid w:val="00497765"/>
    <w:rsid w:val="004978D1"/>
    <w:rsid w:val="004978E6"/>
    <w:rsid w:val="00497932"/>
    <w:rsid w:val="00497A2C"/>
    <w:rsid w:val="00497BFA"/>
    <w:rsid w:val="00497CA1"/>
    <w:rsid w:val="00497D3B"/>
    <w:rsid w:val="00497E24"/>
    <w:rsid w:val="00497E2E"/>
    <w:rsid w:val="00497F34"/>
    <w:rsid w:val="00497F40"/>
    <w:rsid w:val="00497FA6"/>
    <w:rsid w:val="004A0103"/>
    <w:rsid w:val="004A01B8"/>
    <w:rsid w:val="004A02B7"/>
    <w:rsid w:val="004A030F"/>
    <w:rsid w:val="004A038D"/>
    <w:rsid w:val="004A03B9"/>
    <w:rsid w:val="004A03F6"/>
    <w:rsid w:val="004A0520"/>
    <w:rsid w:val="004A0679"/>
    <w:rsid w:val="004A07C3"/>
    <w:rsid w:val="004A08B8"/>
    <w:rsid w:val="004A0A7E"/>
    <w:rsid w:val="004A0B0B"/>
    <w:rsid w:val="004A0C1E"/>
    <w:rsid w:val="004A0D39"/>
    <w:rsid w:val="004A0D5C"/>
    <w:rsid w:val="004A0F11"/>
    <w:rsid w:val="004A0F57"/>
    <w:rsid w:val="004A1015"/>
    <w:rsid w:val="004A1060"/>
    <w:rsid w:val="004A10D6"/>
    <w:rsid w:val="004A119F"/>
    <w:rsid w:val="004A11D6"/>
    <w:rsid w:val="004A125A"/>
    <w:rsid w:val="004A1306"/>
    <w:rsid w:val="004A137F"/>
    <w:rsid w:val="004A14A9"/>
    <w:rsid w:val="004A15B6"/>
    <w:rsid w:val="004A15D6"/>
    <w:rsid w:val="004A1696"/>
    <w:rsid w:val="004A17D4"/>
    <w:rsid w:val="004A17F8"/>
    <w:rsid w:val="004A1833"/>
    <w:rsid w:val="004A1852"/>
    <w:rsid w:val="004A1868"/>
    <w:rsid w:val="004A18DC"/>
    <w:rsid w:val="004A197D"/>
    <w:rsid w:val="004A1B90"/>
    <w:rsid w:val="004A1BD2"/>
    <w:rsid w:val="004A1C24"/>
    <w:rsid w:val="004A1C85"/>
    <w:rsid w:val="004A1CEB"/>
    <w:rsid w:val="004A1D03"/>
    <w:rsid w:val="004A1D09"/>
    <w:rsid w:val="004A1E11"/>
    <w:rsid w:val="004A1E84"/>
    <w:rsid w:val="004A2027"/>
    <w:rsid w:val="004A2034"/>
    <w:rsid w:val="004A2096"/>
    <w:rsid w:val="004A20DC"/>
    <w:rsid w:val="004A21E6"/>
    <w:rsid w:val="004A2386"/>
    <w:rsid w:val="004A245F"/>
    <w:rsid w:val="004A2473"/>
    <w:rsid w:val="004A25FC"/>
    <w:rsid w:val="004A2631"/>
    <w:rsid w:val="004A26C6"/>
    <w:rsid w:val="004A26D7"/>
    <w:rsid w:val="004A26F6"/>
    <w:rsid w:val="004A270B"/>
    <w:rsid w:val="004A27CB"/>
    <w:rsid w:val="004A27DB"/>
    <w:rsid w:val="004A28EE"/>
    <w:rsid w:val="004A295E"/>
    <w:rsid w:val="004A2A1B"/>
    <w:rsid w:val="004A2A95"/>
    <w:rsid w:val="004A2C90"/>
    <w:rsid w:val="004A2D95"/>
    <w:rsid w:val="004A2E39"/>
    <w:rsid w:val="004A324E"/>
    <w:rsid w:val="004A32E1"/>
    <w:rsid w:val="004A335C"/>
    <w:rsid w:val="004A3502"/>
    <w:rsid w:val="004A3576"/>
    <w:rsid w:val="004A35AF"/>
    <w:rsid w:val="004A372B"/>
    <w:rsid w:val="004A3802"/>
    <w:rsid w:val="004A38C7"/>
    <w:rsid w:val="004A391A"/>
    <w:rsid w:val="004A39F6"/>
    <w:rsid w:val="004A3A4E"/>
    <w:rsid w:val="004A3A86"/>
    <w:rsid w:val="004A3AD2"/>
    <w:rsid w:val="004A3B5F"/>
    <w:rsid w:val="004A3B9A"/>
    <w:rsid w:val="004A3BCD"/>
    <w:rsid w:val="004A3C84"/>
    <w:rsid w:val="004A3CF2"/>
    <w:rsid w:val="004A3D32"/>
    <w:rsid w:val="004A3D4B"/>
    <w:rsid w:val="004A4106"/>
    <w:rsid w:val="004A4146"/>
    <w:rsid w:val="004A41E3"/>
    <w:rsid w:val="004A422F"/>
    <w:rsid w:val="004A42BA"/>
    <w:rsid w:val="004A4304"/>
    <w:rsid w:val="004A432B"/>
    <w:rsid w:val="004A436F"/>
    <w:rsid w:val="004A4450"/>
    <w:rsid w:val="004A44A5"/>
    <w:rsid w:val="004A460E"/>
    <w:rsid w:val="004A4677"/>
    <w:rsid w:val="004A4733"/>
    <w:rsid w:val="004A4786"/>
    <w:rsid w:val="004A47D1"/>
    <w:rsid w:val="004A47D9"/>
    <w:rsid w:val="004A48DA"/>
    <w:rsid w:val="004A4AAF"/>
    <w:rsid w:val="004A4CC7"/>
    <w:rsid w:val="004A4CF5"/>
    <w:rsid w:val="004A4D26"/>
    <w:rsid w:val="004A4D55"/>
    <w:rsid w:val="004A4E11"/>
    <w:rsid w:val="004A4E21"/>
    <w:rsid w:val="004A4E6A"/>
    <w:rsid w:val="004A4FD7"/>
    <w:rsid w:val="004A501F"/>
    <w:rsid w:val="004A50FC"/>
    <w:rsid w:val="004A51F4"/>
    <w:rsid w:val="004A5253"/>
    <w:rsid w:val="004A53F0"/>
    <w:rsid w:val="004A5492"/>
    <w:rsid w:val="004A54A5"/>
    <w:rsid w:val="004A5549"/>
    <w:rsid w:val="004A55E5"/>
    <w:rsid w:val="004A567F"/>
    <w:rsid w:val="004A5806"/>
    <w:rsid w:val="004A5877"/>
    <w:rsid w:val="004A5923"/>
    <w:rsid w:val="004A5925"/>
    <w:rsid w:val="004A5928"/>
    <w:rsid w:val="004A5A35"/>
    <w:rsid w:val="004A5A53"/>
    <w:rsid w:val="004A5AE9"/>
    <w:rsid w:val="004A5C52"/>
    <w:rsid w:val="004A5D89"/>
    <w:rsid w:val="004A5DDC"/>
    <w:rsid w:val="004A5F6D"/>
    <w:rsid w:val="004A600A"/>
    <w:rsid w:val="004A6035"/>
    <w:rsid w:val="004A617D"/>
    <w:rsid w:val="004A6219"/>
    <w:rsid w:val="004A627E"/>
    <w:rsid w:val="004A65F1"/>
    <w:rsid w:val="004A6620"/>
    <w:rsid w:val="004A67D6"/>
    <w:rsid w:val="004A6803"/>
    <w:rsid w:val="004A6897"/>
    <w:rsid w:val="004A690C"/>
    <w:rsid w:val="004A69A9"/>
    <w:rsid w:val="004A6D5A"/>
    <w:rsid w:val="004A6ECA"/>
    <w:rsid w:val="004A6F3D"/>
    <w:rsid w:val="004A7009"/>
    <w:rsid w:val="004A7096"/>
    <w:rsid w:val="004A70C4"/>
    <w:rsid w:val="004A70FB"/>
    <w:rsid w:val="004A7111"/>
    <w:rsid w:val="004A7117"/>
    <w:rsid w:val="004A7133"/>
    <w:rsid w:val="004A71E9"/>
    <w:rsid w:val="004A72FB"/>
    <w:rsid w:val="004A7497"/>
    <w:rsid w:val="004A763A"/>
    <w:rsid w:val="004A7640"/>
    <w:rsid w:val="004A7686"/>
    <w:rsid w:val="004A773E"/>
    <w:rsid w:val="004A79BC"/>
    <w:rsid w:val="004A79DF"/>
    <w:rsid w:val="004A7AB2"/>
    <w:rsid w:val="004A7AC2"/>
    <w:rsid w:val="004A7B6F"/>
    <w:rsid w:val="004A7B88"/>
    <w:rsid w:val="004A7B8A"/>
    <w:rsid w:val="004A7CA0"/>
    <w:rsid w:val="004A7CEC"/>
    <w:rsid w:val="004A7D53"/>
    <w:rsid w:val="004A7E20"/>
    <w:rsid w:val="004A7F61"/>
    <w:rsid w:val="004B00E2"/>
    <w:rsid w:val="004B0255"/>
    <w:rsid w:val="004B0335"/>
    <w:rsid w:val="004B0351"/>
    <w:rsid w:val="004B047B"/>
    <w:rsid w:val="004B04F1"/>
    <w:rsid w:val="004B0531"/>
    <w:rsid w:val="004B058A"/>
    <w:rsid w:val="004B067F"/>
    <w:rsid w:val="004B0773"/>
    <w:rsid w:val="004B07AB"/>
    <w:rsid w:val="004B07EB"/>
    <w:rsid w:val="004B07F6"/>
    <w:rsid w:val="004B0817"/>
    <w:rsid w:val="004B08F2"/>
    <w:rsid w:val="004B0A81"/>
    <w:rsid w:val="004B0BAA"/>
    <w:rsid w:val="004B0C1E"/>
    <w:rsid w:val="004B0C63"/>
    <w:rsid w:val="004B0E20"/>
    <w:rsid w:val="004B0E22"/>
    <w:rsid w:val="004B0FA7"/>
    <w:rsid w:val="004B0FD5"/>
    <w:rsid w:val="004B10A3"/>
    <w:rsid w:val="004B10A7"/>
    <w:rsid w:val="004B10DE"/>
    <w:rsid w:val="004B11B5"/>
    <w:rsid w:val="004B11CB"/>
    <w:rsid w:val="004B1229"/>
    <w:rsid w:val="004B12A7"/>
    <w:rsid w:val="004B12AF"/>
    <w:rsid w:val="004B139E"/>
    <w:rsid w:val="004B1535"/>
    <w:rsid w:val="004B1602"/>
    <w:rsid w:val="004B16C3"/>
    <w:rsid w:val="004B170D"/>
    <w:rsid w:val="004B175B"/>
    <w:rsid w:val="004B17A0"/>
    <w:rsid w:val="004B1848"/>
    <w:rsid w:val="004B18C2"/>
    <w:rsid w:val="004B198A"/>
    <w:rsid w:val="004B1A2C"/>
    <w:rsid w:val="004B1A69"/>
    <w:rsid w:val="004B1AC9"/>
    <w:rsid w:val="004B1B48"/>
    <w:rsid w:val="004B1B66"/>
    <w:rsid w:val="004B1D42"/>
    <w:rsid w:val="004B1E60"/>
    <w:rsid w:val="004B1EEA"/>
    <w:rsid w:val="004B1F21"/>
    <w:rsid w:val="004B1F7C"/>
    <w:rsid w:val="004B1F82"/>
    <w:rsid w:val="004B2018"/>
    <w:rsid w:val="004B208A"/>
    <w:rsid w:val="004B2092"/>
    <w:rsid w:val="004B21E4"/>
    <w:rsid w:val="004B23DE"/>
    <w:rsid w:val="004B2418"/>
    <w:rsid w:val="004B2498"/>
    <w:rsid w:val="004B258D"/>
    <w:rsid w:val="004B25B3"/>
    <w:rsid w:val="004B2730"/>
    <w:rsid w:val="004B27C9"/>
    <w:rsid w:val="004B27DE"/>
    <w:rsid w:val="004B281F"/>
    <w:rsid w:val="004B29AE"/>
    <w:rsid w:val="004B2CBC"/>
    <w:rsid w:val="004B2DB5"/>
    <w:rsid w:val="004B2E9A"/>
    <w:rsid w:val="004B2E9C"/>
    <w:rsid w:val="004B2EC4"/>
    <w:rsid w:val="004B2FAD"/>
    <w:rsid w:val="004B310C"/>
    <w:rsid w:val="004B31B4"/>
    <w:rsid w:val="004B3217"/>
    <w:rsid w:val="004B32B8"/>
    <w:rsid w:val="004B330B"/>
    <w:rsid w:val="004B330E"/>
    <w:rsid w:val="004B351F"/>
    <w:rsid w:val="004B3606"/>
    <w:rsid w:val="004B3796"/>
    <w:rsid w:val="004B3839"/>
    <w:rsid w:val="004B39AE"/>
    <w:rsid w:val="004B39C2"/>
    <w:rsid w:val="004B3B7B"/>
    <w:rsid w:val="004B3D33"/>
    <w:rsid w:val="004B3D6D"/>
    <w:rsid w:val="004B3F44"/>
    <w:rsid w:val="004B3F70"/>
    <w:rsid w:val="004B3FBC"/>
    <w:rsid w:val="004B402F"/>
    <w:rsid w:val="004B4077"/>
    <w:rsid w:val="004B4184"/>
    <w:rsid w:val="004B4213"/>
    <w:rsid w:val="004B43A6"/>
    <w:rsid w:val="004B444D"/>
    <w:rsid w:val="004B444F"/>
    <w:rsid w:val="004B4475"/>
    <w:rsid w:val="004B44B6"/>
    <w:rsid w:val="004B44E0"/>
    <w:rsid w:val="004B454C"/>
    <w:rsid w:val="004B463A"/>
    <w:rsid w:val="004B4957"/>
    <w:rsid w:val="004B4AB8"/>
    <w:rsid w:val="004B4B01"/>
    <w:rsid w:val="004B4B0B"/>
    <w:rsid w:val="004B4B1E"/>
    <w:rsid w:val="004B4B24"/>
    <w:rsid w:val="004B4BF8"/>
    <w:rsid w:val="004B4CD6"/>
    <w:rsid w:val="004B4CF8"/>
    <w:rsid w:val="004B4D4A"/>
    <w:rsid w:val="004B4DBC"/>
    <w:rsid w:val="004B4DF0"/>
    <w:rsid w:val="004B4F5B"/>
    <w:rsid w:val="004B4F94"/>
    <w:rsid w:val="004B4FBA"/>
    <w:rsid w:val="004B5013"/>
    <w:rsid w:val="004B503E"/>
    <w:rsid w:val="004B50BF"/>
    <w:rsid w:val="004B50D6"/>
    <w:rsid w:val="004B50F5"/>
    <w:rsid w:val="004B5157"/>
    <w:rsid w:val="004B5363"/>
    <w:rsid w:val="004B569C"/>
    <w:rsid w:val="004B579E"/>
    <w:rsid w:val="004B57C0"/>
    <w:rsid w:val="004B57EC"/>
    <w:rsid w:val="004B57F0"/>
    <w:rsid w:val="004B57FF"/>
    <w:rsid w:val="004B5863"/>
    <w:rsid w:val="004B5BFA"/>
    <w:rsid w:val="004B5CB1"/>
    <w:rsid w:val="004B5D8A"/>
    <w:rsid w:val="004B5DC1"/>
    <w:rsid w:val="004B5EB6"/>
    <w:rsid w:val="004B5EF3"/>
    <w:rsid w:val="004B60DB"/>
    <w:rsid w:val="004B6264"/>
    <w:rsid w:val="004B6271"/>
    <w:rsid w:val="004B62DE"/>
    <w:rsid w:val="004B64F6"/>
    <w:rsid w:val="004B64F9"/>
    <w:rsid w:val="004B6577"/>
    <w:rsid w:val="004B65E2"/>
    <w:rsid w:val="004B65FC"/>
    <w:rsid w:val="004B65FD"/>
    <w:rsid w:val="004B683D"/>
    <w:rsid w:val="004B6901"/>
    <w:rsid w:val="004B6A6D"/>
    <w:rsid w:val="004B6ACC"/>
    <w:rsid w:val="004B6E4D"/>
    <w:rsid w:val="004B7038"/>
    <w:rsid w:val="004B7060"/>
    <w:rsid w:val="004B712E"/>
    <w:rsid w:val="004B7267"/>
    <w:rsid w:val="004B72DC"/>
    <w:rsid w:val="004B7383"/>
    <w:rsid w:val="004B73A1"/>
    <w:rsid w:val="004B7409"/>
    <w:rsid w:val="004B7416"/>
    <w:rsid w:val="004B74DB"/>
    <w:rsid w:val="004B7510"/>
    <w:rsid w:val="004B757F"/>
    <w:rsid w:val="004B75B5"/>
    <w:rsid w:val="004B779E"/>
    <w:rsid w:val="004B7C1A"/>
    <w:rsid w:val="004B7E04"/>
    <w:rsid w:val="004B7EF4"/>
    <w:rsid w:val="004C006F"/>
    <w:rsid w:val="004C01C0"/>
    <w:rsid w:val="004C0355"/>
    <w:rsid w:val="004C0435"/>
    <w:rsid w:val="004C04AE"/>
    <w:rsid w:val="004C04F8"/>
    <w:rsid w:val="004C05F5"/>
    <w:rsid w:val="004C071D"/>
    <w:rsid w:val="004C07C7"/>
    <w:rsid w:val="004C082B"/>
    <w:rsid w:val="004C083C"/>
    <w:rsid w:val="004C08B6"/>
    <w:rsid w:val="004C08C5"/>
    <w:rsid w:val="004C08C9"/>
    <w:rsid w:val="004C0930"/>
    <w:rsid w:val="004C09A0"/>
    <w:rsid w:val="004C09C7"/>
    <w:rsid w:val="004C0B3C"/>
    <w:rsid w:val="004C0BD6"/>
    <w:rsid w:val="004C0C25"/>
    <w:rsid w:val="004C0C57"/>
    <w:rsid w:val="004C0C5E"/>
    <w:rsid w:val="004C0C6D"/>
    <w:rsid w:val="004C0C9C"/>
    <w:rsid w:val="004C0E73"/>
    <w:rsid w:val="004C0E97"/>
    <w:rsid w:val="004C0F30"/>
    <w:rsid w:val="004C0F63"/>
    <w:rsid w:val="004C1027"/>
    <w:rsid w:val="004C10F7"/>
    <w:rsid w:val="004C1165"/>
    <w:rsid w:val="004C1285"/>
    <w:rsid w:val="004C12F9"/>
    <w:rsid w:val="004C1301"/>
    <w:rsid w:val="004C1311"/>
    <w:rsid w:val="004C14FE"/>
    <w:rsid w:val="004C1588"/>
    <w:rsid w:val="004C1738"/>
    <w:rsid w:val="004C173D"/>
    <w:rsid w:val="004C174A"/>
    <w:rsid w:val="004C1872"/>
    <w:rsid w:val="004C1A75"/>
    <w:rsid w:val="004C1ABE"/>
    <w:rsid w:val="004C1C92"/>
    <w:rsid w:val="004C1DA5"/>
    <w:rsid w:val="004C1DE8"/>
    <w:rsid w:val="004C1F1F"/>
    <w:rsid w:val="004C1F26"/>
    <w:rsid w:val="004C1FE6"/>
    <w:rsid w:val="004C233B"/>
    <w:rsid w:val="004C2346"/>
    <w:rsid w:val="004C239E"/>
    <w:rsid w:val="004C2411"/>
    <w:rsid w:val="004C247E"/>
    <w:rsid w:val="004C24B5"/>
    <w:rsid w:val="004C2502"/>
    <w:rsid w:val="004C250C"/>
    <w:rsid w:val="004C2516"/>
    <w:rsid w:val="004C2596"/>
    <w:rsid w:val="004C25B0"/>
    <w:rsid w:val="004C25C3"/>
    <w:rsid w:val="004C2744"/>
    <w:rsid w:val="004C28CB"/>
    <w:rsid w:val="004C28DB"/>
    <w:rsid w:val="004C296B"/>
    <w:rsid w:val="004C2A9A"/>
    <w:rsid w:val="004C2B95"/>
    <w:rsid w:val="004C2C14"/>
    <w:rsid w:val="004C2C42"/>
    <w:rsid w:val="004C2C7D"/>
    <w:rsid w:val="004C2D81"/>
    <w:rsid w:val="004C2E1C"/>
    <w:rsid w:val="004C2EC6"/>
    <w:rsid w:val="004C2EF1"/>
    <w:rsid w:val="004C2F35"/>
    <w:rsid w:val="004C3197"/>
    <w:rsid w:val="004C3222"/>
    <w:rsid w:val="004C32A1"/>
    <w:rsid w:val="004C34F1"/>
    <w:rsid w:val="004C3517"/>
    <w:rsid w:val="004C359F"/>
    <w:rsid w:val="004C35A9"/>
    <w:rsid w:val="004C35DF"/>
    <w:rsid w:val="004C3648"/>
    <w:rsid w:val="004C375B"/>
    <w:rsid w:val="004C37B3"/>
    <w:rsid w:val="004C37FD"/>
    <w:rsid w:val="004C38ED"/>
    <w:rsid w:val="004C39B2"/>
    <w:rsid w:val="004C39E9"/>
    <w:rsid w:val="004C3A31"/>
    <w:rsid w:val="004C3B28"/>
    <w:rsid w:val="004C3B43"/>
    <w:rsid w:val="004C3BC7"/>
    <w:rsid w:val="004C3BDA"/>
    <w:rsid w:val="004C3BE6"/>
    <w:rsid w:val="004C3D51"/>
    <w:rsid w:val="004C3DD1"/>
    <w:rsid w:val="004C3DEB"/>
    <w:rsid w:val="004C3F34"/>
    <w:rsid w:val="004C4009"/>
    <w:rsid w:val="004C4023"/>
    <w:rsid w:val="004C4063"/>
    <w:rsid w:val="004C4071"/>
    <w:rsid w:val="004C40B6"/>
    <w:rsid w:val="004C40D3"/>
    <w:rsid w:val="004C4107"/>
    <w:rsid w:val="004C41AC"/>
    <w:rsid w:val="004C422D"/>
    <w:rsid w:val="004C42DF"/>
    <w:rsid w:val="004C433F"/>
    <w:rsid w:val="004C4395"/>
    <w:rsid w:val="004C45C2"/>
    <w:rsid w:val="004C471B"/>
    <w:rsid w:val="004C47F4"/>
    <w:rsid w:val="004C4814"/>
    <w:rsid w:val="004C4B5A"/>
    <w:rsid w:val="004C4B63"/>
    <w:rsid w:val="004C4B9A"/>
    <w:rsid w:val="004C4C2B"/>
    <w:rsid w:val="004C4CE6"/>
    <w:rsid w:val="004C4D68"/>
    <w:rsid w:val="004C4E3B"/>
    <w:rsid w:val="004C5071"/>
    <w:rsid w:val="004C5321"/>
    <w:rsid w:val="004C5359"/>
    <w:rsid w:val="004C538D"/>
    <w:rsid w:val="004C544B"/>
    <w:rsid w:val="004C5531"/>
    <w:rsid w:val="004C5808"/>
    <w:rsid w:val="004C5820"/>
    <w:rsid w:val="004C5828"/>
    <w:rsid w:val="004C5906"/>
    <w:rsid w:val="004C593F"/>
    <w:rsid w:val="004C5963"/>
    <w:rsid w:val="004C599D"/>
    <w:rsid w:val="004C5A79"/>
    <w:rsid w:val="004C5A8B"/>
    <w:rsid w:val="004C5BBD"/>
    <w:rsid w:val="004C5CC9"/>
    <w:rsid w:val="004C5D58"/>
    <w:rsid w:val="004C5DB5"/>
    <w:rsid w:val="004C5DF0"/>
    <w:rsid w:val="004C5E25"/>
    <w:rsid w:val="004C5FB8"/>
    <w:rsid w:val="004C5FEF"/>
    <w:rsid w:val="004C60CA"/>
    <w:rsid w:val="004C6191"/>
    <w:rsid w:val="004C61D0"/>
    <w:rsid w:val="004C6326"/>
    <w:rsid w:val="004C6360"/>
    <w:rsid w:val="004C64EB"/>
    <w:rsid w:val="004C6731"/>
    <w:rsid w:val="004C67E8"/>
    <w:rsid w:val="004C6935"/>
    <w:rsid w:val="004C69FE"/>
    <w:rsid w:val="004C6BD4"/>
    <w:rsid w:val="004C6C28"/>
    <w:rsid w:val="004C6CC9"/>
    <w:rsid w:val="004C6D04"/>
    <w:rsid w:val="004C6DAB"/>
    <w:rsid w:val="004C6FCA"/>
    <w:rsid w:val="004C70F0"/>
    <w:rsid w:val="004C70F6"/>
    <w:rsid w:val="004C71B6"/>
    <w:rsid w:val="004C71E7"/>
    <w:rsid w:val="004C74DC"/>
    <w:rsid w:val="004C7579"/>
    <w:rsid w:val="004C75D2"/>
    <w:rsid w:val="004C761D"/>
    <w:rsid w:val="004C763F"/>
    <w:rsid w:val="004C7717"/>
    <w:rsid w:val="004C774F"/>
    <w:rsid w:val="004C7766"/>
    <w:rsid w:val="004C77B0"/>
    <w:rsid w:val="004C77BF"/>
    <w:rsid w:val="004C7882"/>
    <w:rsid w:val="004C78A2"/>
    <w:rsid w:val="004C78D3"/>
    <w:rsid w:val="004C7AFE"/>
    <w:rsid w:val="004C7B11"/>
    <w:rsid w:val="004C7CD3"/>
    <w:rsid w:val="004C7D86"/>
    <w:rsid w:val="004C7D91"/>
    <w:rsid w:val="004C7DB5"/>
    <w:rsid w:val="004C7ED9"/>
    <w:rsid w:val="004C7EE8"/>
    <w:rsid w:val="004D002C"/>
    <w:rsid w:val="004D00C1"/>
    <w:rsid w:val="004D02B7"/>
    <w:rsid w:val="004D0343"/>
    <w:rsid w:val="004D04A5"/>
    <w:rsid w:val="004D0536"/>
    <w:rsid w:val="004D05DE"/>
    <w:rsid w:val="004D0612"/>
    <w:rsid w:val="004D0648"/>
    <w:rsid w:val="004D06F0"/>
    <w:rsid w:val="004D07D9"/>
    <w:rsid w:val="004D0866"/>
    <w:rsid w:val="004D090B"/>
    <w:rsid w:val="004D098C"/>
    <w:rsid w:val="004D09B4"/>
    <w:rsid w:val="004D0A37"/>
    <w:rsid w:val="004D0A48"/>
    <w:rsid w:val="004D0A54"/>
    <w:rsid w:val="004D0AA5"/>
    <w:rsid w:val="004D0BC3"/>
    <w:rsid w:val="004D0C27"/>
    <w:rsid w:val="004D0CBB"/>
    <w:rsid w:val="004D0E0A"/>
    <w:rsid w:val="004D0ED7"/>
    <w:rsid w:val="004D0F1C"/>
    <w:rsid w:val="004D0FC0"/>
    <w:rsid w:val="004D1234"/>
    <w:rsid w:val="004D1373"/>
    <w:rsid w:val="004D13AD"/>
    <w:rsid w:val="004D140D"/>
    <w:rsid w:val="004D14B5"/>
    <w:rsid w:val="004D154F"/>
    <w:rsid w:val="004D15D0"/>
    <w:rsid w:val="004D1849"/>
    <w:rsid w:val="004D1913"/>
    <w:rsid w:val="004D194B"/>
    <w:rsid w:val="004D1963"/>
    <w:rsid w:val="004D199A"/>
    <w:rsid w:val="004D19ED"/>
    <w:rsid w:val="004D1A25"/>
    <w:rsid w:val="004D1ACF"/>
    <w:rsid w:val="004D1B79"/>
    <w:rsid w:val="004D1BEB"/>
    <w:rsid w:val="004D1C94"/>
    <w:rsid w:val="004D1D79"/>
    <w:rsid w:val="004D1D91"/>
    <w:rsid w:val="004D1DEF"/>
    <w:rsid w:val="004D1EC2"/>
    <w:rsid w:val="004D1F9E"/>
    <w:rsid w:val="004D21BD"/>
    <w:rsid w:val="004D21F9"/>
    <w:rsid w:val="004D2307"/>
    <w:rsid w:val="004D23FA"/>
    <w:rsid w:val="004D2487"/>
    <w:rsid w:val="004D252B"/>
    <w:rsid w:val="004D2682"/>
    <w:rsid w:val="004D269D"/>
    <w:rsid w:val="004D281A"/>
    <w:rsid w:val="004D293C"/>
    <w:rsid w:val="004D2998"/>
    <w:rsid w:val="004D29C0"/>
    <w:rsid w:val="004D2A49"/>
    <w:rsid w:val="004D2ABC"/>
    <w:rsid w:val="004D2B75"/>
    <w:rsid w:val="004D2C65"/>
    <w:rsid w:val="004D2CC8"/>
    <w:rsid w:val="004D2D7F"/>
    <w:rsid w:val="004D2E4F"/>
    <w:rsid w:val="004D2E95"/>
    <w:rsid w:val="004D2ED6"/>
    <w:rsid w:val="004D2F74"/>
    <w:rsid w:val="004D2FD6"/>
    <w:rsid w:val="004D30BD"/>
    <w:rsid w:val="004D33BA"/>
    <w:rsid w:val="004D33D1"/>
    <w:rsid w:val="004D3408"/>
    <w:rsid w:val="004D34D8"/>
    <w:rsid w:val="004D353E"/>
    <w:rsid w:val="004D3592"/>
    <w:rsid w:val="004D35D2"/>
    <w:rsid w:val="004D3652"/>
    <w:rsid w:val="004D36A8"/>
    <w:rsid w:val="004D3715"/>
    <w:rsid w:val="004D373F"/>
    <w:rsid w:val="004D375A"/>
    <w:rsid w:val="004D37DA"/>
    <w:rsid w:val="004D37DE"/>
    <w:rsid w:val="004D3833"/>
    <w:rsid w:val="004D3854"/>
    <w:rsid w:val="004D3A51"/>
    <w:rsid w:val="004D3A9B"/>
    <w:rsid w:val="004D3C4B"/>
    <w:rsid w:val="004D3CED"/>
    <w:rsid w:val="004D3D20"/>
    <w:rsid w:val="004D3DBF"/>
    <w:rsid w:val="004D3E8D"/>
    <w:rsid w:val="004D3F3A"/>
    <w:rsid w:val="004D3FD8"/>
    <w:rsid w:val="004D400F"/>
    <w:rsid w:val="004D404F"/>
    <w:rsid w:val="004D4088"/>
    <w:rsid w:val="004D416F"/>
    <w:rsid w:val="004D4235"/>
    <w:rsid w:val="004D428D"/>
    <w:rsid w:val="004D4371"/>
    <w:rsid w:val="004D43B8"/>
    <w:rsid w:val="004D43E7"/>
    <w:rsid w:val="004D45A3"/>
    <w:rsid w:val="004D46AE"/>
    <w:rsid w:val="004D4721"/>
    <w:rsid w:val="004D486B"/>
    <w:rsid w:val="004D48AE"/>
    <w:rsid w:val="004D49F5"/>
    <w:rsid w:val="004D4AE3"/>
    <w:rsid w:val="004D4AF1"/>
    <w:rsid w:val="004D4B23"/>
    <w:rsid w:val="004D4C5E"/>
    <w:rsid w:val="004D4D13"/>
    <w:rsid w:val="004D4D7A"/>
    <w:rsid w:val="004D4DB3"/>
    <w:rsid w:val="004D4F68"/>
    <w:rsid w:val="004D5055"/>
    <w:rsid w:val="004D5171"/>
    <w:rsid w:val="004D51B0"/>
    <w:rsid w:val="004D5256"/>
    <w:rsid w:val="004D52ED"/>
    <w:rsid w:val="004D5386"/>
    <w:rsid w:val="004D53D9"/>
    <w:rsid w:val="004D53E5"/>
    <w:rsid w:val="004D5512"/>
    <w:rsid w:val="004D5523"/>
    <w:rsid w:val="004D566B"/>
    <w:rsid w:val="004D5783"/>
    <w:rsid w:val="004D5915"/>
    <w:rsid w:val="004D5B21"/>
    <w:rsid w:val="004D5B63"/>
    <w:rsid w:val="004D5B93"/>
    <w:rsid w:val="004D5BBE"/>
    <w:rsid w:val="004D5C47"/>
    <w:rsid w:val="004D5F33"/>
    <w:rsid w:val="004D6121"/>
    <w:rsid w:val="004D61E1"/>
    <w:rsid w:val="004D62CC"/>
    <w:rsid w:val="004D6378"/>
    <w:rsid w:val="004D637B"/>
    <w:rsid w:val="004D6545"/>
    <w:rsid w:val="004D66F8"/>
    <w:rsid w:val="004D67C5"/>
    <w:rsid w:val="004D6922"/>
    <w:rsid w:val="004D6971"/>
    <w:rsid w:val="004D69B3"/>
    <w:rsid w:val="004D6A63"/>
    <w:rsid w:val="004D6ABB"/>
    <w:rsid w:val="004D6AC6"/>
    <w:rsid w:val="004D6AEC"/>
    <w:rsid w:val="004D6B55"/>
    <w:rsid w:val="004D6C24"/>
    <w:rsid w:val="004D6D06"/>
    <w:rsid w:val="004D6D33"/>
    <w:rsid w:val="004D710C"/>
    <w:rsid w:val="004D7123"/>
    <w:rsid w:val="004D71FC"/>
    <w:rsid w:val="004D7362"/>
    <w:rsid w:val="004D73FB"/>
    <w:rsid w:val="004D74B9"/>
    <w:rsid w:val="004D75A6"/>
    <w:rsid w:val="004D7715"/>
    <w:rsid w:val="004D7790"/>
    <w:rsid w:val="004D781D"/>
    <w:rsid w:val="004D78A4"/>
    <w:rsid w:val="004D78B8"/>
    <w:rsid w:val="004D78C4"/>
    <w:rsid w:val="004D7A15"/>
    <w:rsid w:val="004D7A16"/>
    <w:rsid w:val="004D7A28"/>
    <w:rsid w:val="004D7A9F"/>
    <w:rsid w:val="004D7B75"/>
    <w:rsid w:val="004D7C80"/>
    <w:rsid w:val="004D7D40"/>
    <w:rsid w:val="004D7E2D"/>
    <w:rsid w:val="004D7E59"/>
    <w:rsid w:val="004E0038"/>
    <w:rsid w:val="004E00B6"/>
    <w:rsid w:val="004E02E0"/>
    <w:rsid w:val="004E0321"/>
    <w:rsid w:val="004E03E6"/>
    <w:rsid w:val="004E04C0"/>
    <w:rsid w:val="004E0667"/>
    <w:rsid w:val="004E06CC"/>
    <w:rsid w:val="004E071A"/>
    <w:rsid w:val="004E0753"/>
    <w:rsid w:val="004E078C"/>
    <w:rsid w:val="004E080D"/>
    <w:rsid w:val="004E0845"/>
    <w:rsid w:val="004E09BE"/>
    <w:rsid w:val="004E0AFD"/>
    <w:rsid w:val="004E0C14"/>
    <w:rsid w:val="004E0C1C"/>
    <w:rsid w:val="004E0C2F"/>
    <w:rsid w:val="004E0CFF"/>
    <w:rsid w:val="004E0E1A"/>
    <w:rsid w:val="004E0E81"/>
    <w:rsid w:val="004E0EA0"/>
    <w:rsid w:val="004E0ED3"/>
    <w:rsid w:val="004E10DB"/>
    <w:rsid w:val="004E1109"/>
    <w:rsid w:val="004E1116"/>
    <w:rsid w:val="004E1181"/>
    <w:rsid w:val="004E1220"/>
    <w:rsid w:val="004E13E3"/>
    <w:rsid w:val="004E155C"/>
    <w:rsid w:val="004E15A2"/>
    <w:rsid w:val="004E16CF"/>
    <w:rsid w:val="004E16EF"/>
    <w:rsid w:val="004E172E"/>
    <w:rsid w:val="004E197F"/>
    <w:rsid w:val="004E19BC"/>
    <w:rsid w:val="004E1A2B"/>
    <w:rsid w:val="004E1AAC"/>
    <w:rsid w:val="004E1B32"/>
    <w:rsid w:val="004E1C16"/>
    <w:rsid w:val="004E1D18"/>
    <w:rsid w:val="004E1E9B"/>
    <w:rsid w:val="004E1EDD"/>
    <w:rsid w:val="004E1F94"/>
    <w:rsid w:val="004E20CA"/>
    <w:rsid w:val="004E2193"/>
    <w:rsid w:val="004E22A4"/>
    <w:rsid w:val="004E2322"/>
    <w:rsid w:val="004E252D"/>
    <w:rsid w:val="004E2758"/>
    <w:rsid w:val="004E2763"/>
    <w:rsid w:val="004E2772"/>
    <w:rsid w:val="004E2783"/>
    <w:rsid w:val="004E27BB"/>
    <w:rsid w:val="004E2911"/>
    <w:rsid w:val="004E2962"/>
    <w:rsid w:val="004E29AF"/>
    <w:rsid w:val="004E29B8"/>
    <w:rsid w:val="004E2AF3"/>
    <w:rsid w:val="004E2C26"/>
    <w:rsid w:val="004E2CDF"/>
    <w:rsid w:val="004E2D60"/>
    <w:rsid w:val="004E2D68"/>
    <w:rsid w:val="004E2E85"/>
    <w:rsid w:val="004E2F37"/>
    <w:rsid w:val="004E2F3B"/>
    <w:rsid w:val="004E2F72"/>
    <w:rsid w:val="004E308D"/>
    <w:rsid w:val="004E3120"/>
    <w:rsid w:val="004E31B3"/>
    <w:rsid w:val="004E31D2"/>
    <w:rsid w:val="004E3279"/>
    <w:rsid w:val="004E333F"/>
    <w:rsid w:val="004E334A"/>
    <w:rsid w:val="004E36D3"/>
    <w:rsid w:val="004E36E6"/>
    <w:rsid w:val="004E370C"/>
    <w:rsid w:val="004E38F1"/>
    <w:rsid w:val="004E399D"/>
    <w:rsid w:val="004E3A79"/>
    <w:rsid w:val="004E3BED"/>
    <w:rsid w:val="004E3E0D"/>
    <w:rsid w:val="004E3E4B"/>
    <w:rsid w:val="004E3E62"/>
    <w:rsid w:val="004E3E82"/>
    <w:rsid w:val="004E4020"/>
    <w:rsid w:val="004E4250"/>
    <w:rsid w:val="004E428F"/>
    <w:rsid w:val="004E42D9"/>
    <w:rsid w:val="004E42EE"/>
    <w:rsid w:val="004E4301"/>
    <w:rsid w:val="004E43DB"/>
    <w:rsid w:val="004E4468"/>
    <w:rsid w:val="004E4470"/>
    <w:rsid w:val="004E454F"/>
    <w:rsid w:val="004E45BC"/>
    <w:rsid w:val="004E45D6"/>
    <w:rsid w:val="004E485B"/>
    <w:rsid w:val="004E4884"/>
    <w:rsid w:val="004E48FD"/>
    <w:rsid w:val="004E49D2"/>
    <w:rsid w:val="004E4ADE"/>
    <w:rsid w:val="004E4B2E"/>
    <w:rsid w:val="004E4B2F"/>
    <w:rsid w:val="004E4B3E"/>
    <w:rsid w:val="004E4B93"/>
    <w:rsid w:val="004E4BD2"/>
    <w:rsid w:val="004E4C30"/>
    <w:rsid w:val="004E4CA4"/>
    <w:rsid w:val="004E4CD0"/>
    <w:rsid w:val="004E4D37"/>
    <w:rsid w:val="004E4EA2"/>
    <w:rsid w:val="004E4ED3"/>
    <w:rsid w:val="004E4EE6"/>
    <w:rsid w:val="004E4F09"/>
    <w:rsid w:val="004E4F18"/>
    <w:rsid w:val="004E5041"/>
    <w:rsid w:val="004E50CA"/>
    <w:rsid w:val="004E50DD"/>
    <w:rsid w:val="004E5108"/>
    <w:rsid w:val="004E5127"/>
    <w:rsid w:val="004E51A6"/>
    <w:rsid w:val="004E5335"/>
    <w:rsid w:val="004E53F0"/>
    <w:rsid w:val="004E5459"/>
    <w:rsid w:val="004E54A9"/>
    <w:rsid w:val="004E5522"/>
    <w:rsid w:val="004E558E"/>
    <w:rsid w:val="004E578E"/>
    <w:rsid w:val="004E57FE"/>
    <w:rsid w:val="004E5861"/>
    <w:rsid w:val="004E5894"/>
    <w:rsid w:val="004E58A9"/>
    <w:rsid w:val="004E59E3"/>
    <w:rsid w:val="004E5A1F"/>
    <w:rsid w:val="004E5AF1"/>
    <w:rsid w:val="004E5DF6"/>
    <w:rsid w:val="004E5DFF"/>
    <w:rsid w:val="004E5ED8"/>
    <w:rsid w:val="004E5F66"/>
    <w:rsid w:val="004E6054"/>
    <w:rsid w:val="004E6057"/>
    <w:rsid w:val="004E6170"/>
    <w:rsid w:val="004E6291"/>
    <w:rsid w:val="004E6323"/>
    <w:rsid w:val="004E6529"/>
    <w:rsid w:val="004E6692"/>
    <w:rsid w:val="004E6736"/>
    <w:rsid w:val="004E675F"/>
    <w:rsid w:val="004E67A8"/>
    <w:rsid w:val="004E680D"/>
    <w:rsid w:val="004E684F"/>
    <w:rsid w:val="004E691D"/>
    <w:rsid w:val="004E692B"/>
    <w:rsid w:val="004E6950"/>
    <w:rsid w:val="004E6957"/>
    <w:rsid w:val="004E69E7"/>
    <w:rsid w:val="004E6A19"/>
    <w:rsid w:val="004E6A73"/>
    <w:rsid w:val="004E6D1B"/>
    <w:rsid w:val="004E6E1B"/>
    <w:rsid w:val="004E6E50"/>
    <w:rsid w:val="004E6EEB"/>
    <w:rsid w:val="004E7046"/>
    <w:rsid w:val="004E70D1"/>
    <w:rsid w:val="004E720C"/>
    <w:rsid w:val="004E7331"/>
    <w:rsid w:val="004E73C6"/>
    <w:rsid w:val="004E746F"/>
    <w:rsid w:val="004E74E8"/>
    <w:rsid w:val="004E750E"/>
    <w:rsid w:val="004E7535"/>
    <w:rsid w:val="004E7566"/>
    <w:rsid w:val="004E759B"/>
    <w:rsid w:val="004E75EE"/>
    <w:rsid w:val="004E767B"/>
    <w:rsid w:val="004E775C"/>
    <w:rsid w:val="004E7783"/>
    <w:rsid w:val="004E7AA0"/>
    <w:rsid w:val="004E7DA2"/>
    <w:rsid w:val="004E7DD2"/>
    <w:rsid w:val="004E7E90"/>
    <w:rsid w:val="004F0006"/>
    <w:rsid w:val="004F0217"/>
    <w:rsid w:val="004F02DF"/>
    <w:rsid w:val="004F031A"/>
    <w:rsid w:val="004F04E6"/>
    <w:rsid w:val="004F04F9"/>
    <w:rsid w:val="004F05B3"/>
    <w:rsid w:val="004F05D3"/>
    <w:rsid w:val="004F0661"/>
    <w:rsid w:val="004F0666"/>
    <w:rsid w:val="004F071C"/>
    <w:rsid w:val="004F0767"/>
    <w:rsid w:val="004F07AC"/>
    <w:rsid w:val="004F09B8"/>
    <w:rsid w:val="004F09FC"/>
    <w:rsid w:val="004F0A28"/>
    <w:rsid w:val="004F0B5F"/>
    <w:rsid w:val="004F0B62"/>
    <w:rsid w:val="004F0B8E"/>
    <w:rsid w:val="004F0C42"/>
    <w:rsid w:val="004F0C91"/>
    <w:rsid w:val="004F0D20"/>
    <w:rsid w:val="004F0F24"/>
    <w:rsid w:val="004F0F52"/>
    <w:rsid w:val="004F0F74"/>
    <w:rsid w:val="004F0FC0"/>
    <w:rsid w:val="004F0FE0"/>
    <w:rsid w:val="004F0FEF"/>
    <w:rsid w:val="004F122B"/>
    <w:rsid w:val="004F126F"/>
    <w:rsid w:val="004F1277"/>
    <w:rsid w:val="004F129D"/>
    <w:rsid w:val="004F1413"/>
    <w:rsid w:val="004F143D"/>
    <w:rsid w:val="004F1531"/>
    <w:rsid w:val="004F154A"/>
    <w:rsid w:val="004F1726"/>
    <w:rsid w:val="004F189F"/>
    <w:rsid w:val="004F18B9"/>
    <w:rsid w:val="004F193D"/>
    <w:rsid w:val="004F1A62"/>
    <w:rsid w:val="004F1A7B"/>
    <w:rsid w:val="004F1BD5"/>
    <w:rsid w:val="004F1C79"/>
    <w:rsid w:val="004F1C9E"/>
    <w:rsid w:val="004F1CE4"/>
    <w:rsid w:val="004F1CF7"/>
    <w:rsid w:val="004F1D0E"/>
    <w:rsid w:val="004F1EEE"/>
    <w:rsid w:val="004F1FFE"/>
    <w:rsid w:val="004F207D"/>
    <w:rsid w:val="004F2210"/>
    <w:rsid w:val="004F2289"/>
    <w:rsid w:val="004F22E6"/>
    <w:rsid w:val="004F231D"/>
    <w:rsid w:val="004F2354"/>
    <w:rsid w:val="004F2361"/>
    <w:rsid w:val="004F242D"/>
    <w:rsid w:val="004F2457"/>
    <w:rsid w:val="004F2497"/>
    <w:rsid w:val="004F255B"/>
    <w:rsid w:val="004F2595"/>
    <w:rsid w:val="004F25F7"/>
    <w:rsid w:val="004F2677"/>
    <w:rsid w:val="004F2872"/>
    <w:rsid w:val="004F28ED"/>
    <w:rsid w:val="004F29A2"/>
    <w:rsid w:val="004F2A23"/>
    <w:rsid w:val="004F2A60"/>
    <w:rsid w:val="004F2DD1"/>
    <w:rsid w:val="004F2E8A"/>
    <w:rsid w:val="004F2FB9"/>
    <w:rsid w:val="004F2FC3"/>
    <w:rsid w:val="004F3011"/>
    <w:rsid w:val="004F30C5"/>
    <w:rsid w:val="004F3136"/>
    <w:rsid w:val="004F327A"/>
    <w:rsid w:val="004F37E7"/>
    <w:rsid w:val="004F385F"/>
    <w:rsid w:val="004F3899"/>
    <w:rsid w:val="004F3A76"/>
    <w:rsid w:val="004F3B3D"/>
    <w:rsid w:val="004F3B51"/>
    <w:rsid w:val="004F3CAF"/>
    <w:rsid w:val="004F3D8A"/>
    <w:rsid w:val="004F3E2D"/>
    <w:rsid w:val="004F3F61"/>
    <w:rsid w:val="004F3F8D"/>
    <w:rsid w:val="004F4049"/>
    <w:rsid w:val="004F40BB"/>
    <w:rsid w:val="004F41CF"/>
    <w:rsid w:val="004F436F"/>
    <w:rsid w:val="004F43FE"/>
    <w:rsid w:val="004F4546"/>
    <w:rsid w:val="004F4670"/>
    <w:rsid w:val="004F46C6"/>
    <w:rsid w:val="004F4729"/>
    <w:rsid w:val="004F4783"/>
    <w:rsid w:val="004F4828"/>
    <w:rsid w:val="004F49C5"/>
    <w:rsid w:val="004F4B1D"/>
    <w:rsid w:val="004F4B71"/>
    <w:rsid w:val="004F4B72"/>
    <w:rsid w:val="004F4BBC"/>
    <w:rsid w:val="004F4BF1"/>
    <w:rsid w:val="004F4C06"/>
    <w:rsid w:val="004F4C6C"/>
    <w:rsid w:val="004F4D60"/>
    <w:rsid w:val="004F4D70"/>
    <w:rsid w:val="004F4DA2"/>
    <w:rsid w:val="004F4DCD"/>
    <w:rsid w:val="004F4E4E"/>
    <w:rsid w:val="004F5158"/>
    <w:rsid w:val="004F516C"/>
    <w:rsid w:val="004F51F7"/>
    <w:rsid w:val="004F5200"/>
    <w:rsid w:val="004F53C2"/>
    <w:rsid w:val="004F53FF"/>
    <w:rsid w:val="004F5497"/>
    <w:rsid w:val="004F54C9"/>
    <w:rsid w:val="004F5776"/>
    <w:rsid w:val="004F57D1"/>
    <w:rsid w:val="004F591A"/>
    <w:rsid w:val="004F593F"/>
    <w:rsid w:val="004F5995"/>
    <w:rsid w:val="004F5AC5"/>
    <w:rsid w:val="004F5B0C"/>
    <w:rsid w:val="004F5B35"/>
    <w:rsid w:val="004F5E8B"/>
    <w:rsid w:val="004F5EA8"/>
    <w:rsid w:val="004F5F8D"/>
    <w:rsid w:val="004F5F98"/>
    <w:rsid w:val="004F6200"/>
    <w:rsid w:val="004F625E"/>
    <w:rsid w:val="004F632C"/>
    <w:rsid w:val="004F6333"/>
    <w:rsid w:val="004F6359"/>
    <w:rsid w:val="004F63F9"/>
    <w:rsid w:val="004F6404"/>
    <w:rsid w:val="004F6415"/>
    <w:rsid w:val="004F64C8"/>
    <w:rsid w:val="004F64D2"/>
    <w:rsid w:val="004F650F"/>
    <w:rsid w:val="004F65E5"/>
    <w:rsid w:val="004F682B"/>
    <w:rsid w:val="004F686F"/>
    <w:rsid w:val="004F69CC"/>
    <w:rsid w:val="004F6AF7"/>
    <w:rsid w:val="004F6B72"/>
    <w:rsid w:val="004F6B7D"/>
    <w:rsid w:val="004F6C77"/>
    <w:rsid w:val="004F6ED2"/>
    <w:rsid w:val="004F6F0A"/>
    <w:rsid w:val="004F6F75"/>
    <w:rsid w:val="004F70E5"/>
    <w:rsid w:val="004F71AB"/>
    <w:rsid w:val="004F71DF"/>
    <w:rsid w:val="004F72E3"/>
    <w:rsid w:val="004F731B"/>
    <w:rsid w:val="004F7371"/>
    <w:rsid w:val="004F73F4"/>
    <w:rsid w:val="004F74CF"/>
    <w:rsid w:val="004F75D0"/>
    <w:rsid w:val="004F7661"/>
    <w:rsid w:val="004F79C5"/>
    <w:rsid w:val="004F79DB"/>
    <w:rsid w:val="004F7AC9"/>
    <w:rsid w:val="004F7AF6"/>
    <w:rsid w:val="004F7B96"/>
    <w:rsid w:val="004F7BC0"/>
    <w:rsid w:val="004F7C72"/>
    <w:rsid w:val="004F7D03"/>
    <w:rsid w:val="004F7D1E"/>
    <w:rsid w:val="004F7D7E"/>
    <w:rsid w:val="004F7ECE"/>
    <w:rsid w:val="00500008"/>
    <w:rsid w:val="00500079"/>
    <w:rsid w:val="00500135"/>
    <w:rsid w:val="00500293"/>
    <w:rsid w:val="00500368"/>
    <w:rsid w:val="00500395"/>
    <w:rsid w:val="005004FD"/>
    <w:rsid w:val="00500535"/>
    <w:rsid w:val="0050061C"/>
    <w:rsid w:val="00500719"/>
    <w:rsid w:val="00500837"/>
    <w:rsid w:val="005008AD"/>
    <w:rsid w:val="005008F3"/>
    <w:rsid w:val="00500957"/>
    <w:rsid w:val="005009A2"/>
    <w:rsid w:val="00500B6E"/>
    <w:rsid w:val="00500BD8"/>
    <w:rsid w:val="00500C5B"/>
    <w:rsid w:val="00500CE3"/>
    <w:rsid w:val="00500FBB"/>
    <w:rsid w:val="00500FCC"/>
    <w:rsid w:val="00500FDF"/>
    <w:rsid w:val="00500FFC"/>
    <w:rsid w:val="00501034"/>
    <w:rsid w:val="00501043"/>
    <w:rsid w:val="00501215"/>
    <w:rsid w:val="005012D0"/>
    <w:rsid w:val="00501310"/>
    <w:rsid w:val="0050132C"/>
    <w:rsid w:val="0050134B"/>
    <w:rsid w:val="00501529"/>
    <w:rsid w:val="00501532"/>
    <w:rsid w:val="00501673"/>
    <w:rsid w:val="005016B1"/>
    <w:rsid w:val="0050174A"/>
    <w:rsid w:val="00501822"/>
    <w:rsid w:val="00501911"/>
    <w:rsid w:val="0050192B"/>
    <w:rsid w:val="0050198D"/>
    <w:rsid w:val="005019D3"/>
    <w:rsid w:val="00501A5A"/>
    <w:rsid w:val="00501B19"/>
    <w:rsid w:val="00501BB1"/>
    <w:rsid w:val="00501C2C"/>
    <w:rsid w:val="00501D2D"/>
    <w:rsid w:val="00501E59"/>
    <w:rsid w:val="00501EF5"/>
    <w:rsid w:val="00501FBA"/>
    <w:rsid w:val="00502027"/>
    <w:rsid w:val="00502152"/>
    <w:rsid w:val="005021E4"/>
    <w:rsid w:val="005023BD"/>
    <w:rsid w:val="0050244F"/>
    <w:rsid w:val="00502562"/>
    <w:rsid w:val="005027BB"/>
    <w:rsid w:val="00502899"/>
    <w:rsid w:val="00502A0D"/>
    <w:rsid w:val="00502B0C"/>
    <w:rsid w:val="00502B43"/>
    <w:rsid w:val="00502B5C"/>
    <w:rsid w:val="00502B6E"/>
    <w:rsid w:val="00502CDF"/>
    <w:rsid w:val="00502CE4"/>
    <w:rsid w:val="00502E71"/>
    <w:rsid w:val="00502F0D"/>
    <w:rsid w:val="00502F5F"/>
    <w:rsid w:val="00502FFA"/>
    <w:rsid w:val="00503041"/>
    <w:rsid w:val="005031B3"/>
    <w:rsid w:val="005031F4"/>
    <w:rsid w:val="00503298"/>
    <w:rsid w:val="0050333C"/>
    <w:rsid w:val="0050339F"/>
    <w:rsid w:val="005034A4"/>
    <w:rsid w:val="005034D9"/>
    <w:rsid w:val="005034FB"/>
    <w:rsid w:val="0050376A"/>
    <w:rsid w:val="00503893"/>
    <w:rsid w:val="005038ED"/>
    <w:rsid w:val="00503928"/>
    <w:rsid w:val="00503943"/>
    <w:rsid w:val="00503964"/>
    <w:rsid w:val="00503A44"/>
    <w:rsid w:val="00503A5D"/>
    <w:rsid w:val="00503AF2"/>
    <w:rsid w:val="00503B3A"/>
    <w:rsid w:val="00503C6A"/>
    <w:rsid w:val="00503C8D"/>
    <w:rsid w:val="00503CFE"/>
    <w:rsid w:val="00503E32"/>
    <w:rsid w:val="00503E35"/>
    <w:rsid w:val="00503FE0"/>
    <w:rsid w:val="00504164"/>
    <w:rsid w:val="0050417F"/>
    <w:rsid w:val="005041C3"/>
    <w:rsid w:val="00504210"/>
    <w:rsid w:val="00504332"/>
    <w:rsid w:val="00504365"/>
    <w:rsid w:val="0050440C"/>
    <w:rsid w:val="005044B5"/>
    <w:rsid w:val="00504620"/>
    <w:rsid w:val="00504804"/>
    <w:rsid w:val="0050490A"/>
    <w:rsid w:val="00504979"/>
    <w:rsid w:val="00504A8B"/>
    <w:rsid w:val="00504AA2"/>
    <w:rsid w:val="00504AD5"/>
    <w:rsid w:val="00504BAC"/>
    <w:rsid w:val="00504BDC"/>
    <w:rsid w:val="00504C48"/>
    <w:rsid w:val="00504C62"/>
    <w:rsid w:val="00504D1C"/>
    <w:rsid w:val="00504D27"/>
    <w:rsid w:val="00504DC8"/>
    <w:rsid w:val="00504F11"/>
    <w:rsid w:val="00504FFA"/>
    <w:rsid w:val="00505137"/>
    <w:rsid w:val="005052AA"/>
    <w:rsid w:val="005053B9"/>
    <w:rsid w:val="005053ED"/>
    <w:rsid w:val="0050549F"/>
    <w:rsid w:val="00505507"/>
    <w:rsid w:val="00505519"/>
    <w:rsid w:val="00505834"/>
    <w:rsid w:val="005058B0"/>
    <w:rsid w:val="005059BB"/>
    <w:rsid w:val="00505B08"/>
    <w:rsid w:val="00505BDE"/>
    <w:rsid w:val="00505BE6"/>
    <w:rsid w:val="00505D78"/>
    <w:rsid w:val="00505E42"/>
    <w:rsid w:val="00505EAD"/>
    <w:rsid w:val="00505ED3"/>
    <w:rsid w:val="00506021"/>
    <w:rsid w:val="00506025"/>
    <w:rsid w:val="0050603A"/>
    <w:rsid w:val="005061BA"/>
    <w:rsid w:val="0050626E"/>
    <w:rsid w:val="005062B3"/>
    <w:rsid w:val="005063BE"/>
    <w:rsid w:val="00506453"/>
    <w:rsid w:val="0050652A"/>
    <w:rsid w:val="00506577"/>
    <w:rsid w:val="005066F9"/>
    <w:rsid w:val="005067A6"/>
    <w:rsid w:val="005068A1"/>
    <w:rsid w:val="005069D5"/>
    <w:rsid w:val="00506A74"/>
    <w:rsid w:val="00506B4C"/>
    <w:rsid w:val="00506C11"/>
    <w:rsid w:val="00506C29"/>
    <w:rsid w:val="00506CE7"/>
    <w:rsid w:val="00506F17"/>
    <w:rsid w:val="00506F69"/>
    <w:rsid w:val="00506F86"/>
    <w:rsid w:val="0050707B"/>
    <w:rsid w:val="005070F2"/>
    <w:rsid w:val="00507114"/>
    <w:rsid w:val="005071FC"/>
    <w:rsid w:val="005072DA"/>
    <w:rsid w:val="00507335"/>
    <w:rsid w:val="00507427"/>
    <w:rsid w:val="0050746D"/>
    <w:rsid w:val="005075C0"/>
    <w:rsid w:val="005075F1"/>
    <w:rsid w:val="00507671"/>
    <w:rsid w:val="00507784"/>
    <w:rsid w:val="005077BC"/>
    <w:rsid w:val="005077D7"/>
    <w:rsid w:val="00507876"/>
    <w:rsid w:val="005079BE"/>
    <w:rsid w:val="00507A72"/>
    <w:rsid w:val="00507AFC"/>
    <w:rsid w:val="00507C96"/>
    <w:rsid w:val="00507D2E"/>
    <w:rsid w:val="00507E76"/>
    <w:rsid w:val="00507F98"/>
    <w:rsid w:val="00507FE4"/>
    <w:rsid w:val="0051008D"/>
    <w:rsid w:val="005100DD"/>
    <w:rsid w:val="0051010D"/>
    <w:rsid w:val="00510179"/>
    <w:rsid w:val="00510190"/>
    <w:rsid w:val="005103C5"/>
    <w:rsid w:val="00510432"/>
    <w:rsid w:val="0051044A"/>
    <w:rsid w:val="00510522"/>
    <w:rsid w:val="0051070C"/>
    <w:rsid w:val="00510714"/>
    <w:rsid w:val="00510789"/>
    <w:rsid w:val="00510945"/>
    <w:rsid w:val="00510A13"/>
    <w:rsid w:val="00510A7A"/>
    <w:rsid w:val="00510AC0"/>
    <w:rsid w:val="00510AE8"/>
    <w:rsid w:val="00510BAC"/>
    <w:rsid w:val="00510C77"/>
    <w:rsid w:val="00510EE1"/>
    <w:rsid w:val="00510F24"/>
    <w:rsid w:val="00510F44"/>
    <w:rsid w:val="00510F63"/>
    <w:rsid w:val="00510FA0"/>
    <w:rsid w:val="00510FCA"/>
    <w:rsid w:val="005110F4"/>
    <w:rsid w:val="005111D1"/>
    <w:rsid w:val="005111FA"/>
    <w:rsid w:val="005114C3"/>
    <w:rsid w:val="005114F6"/>
    <w:rsid w:val="00511526"/>
    <w:rsid w:val="005115FA"/>
    <w:rsid w:val="005116AC"/>
    <w:rsid w:val="00511701"/>
    <w:rsid w:val="0051176D"/>
    <w:rsid w:val="005117AA"/>
    <w:rsid w:val="005117AB"/>
    <w:rsid w:val="005118FE"/>
    <w:rsid w:val="00511934"/>
    <w:rsid w:val="005119C9"/>
    <w:rsid w:val="005119EC"/>
    <w:rsid w:val="00511A6A"/>
    <w:rsid w:val="00511AC3"/>
    <w:rsid w:val="00511B74"/>
    <w:rsid w:val="00511BA3"/>
    <w:rsid w:val="00511C48"/>
    <w:rsid w:val="00511CC1"/>
    <w:rsid w:val="00511D69"/>
    <w:rsid w:val="00511FFB"/>
    <w:rsid w:val="00512046"/>
    <w:rsid w:val="00512065"/>
    <w:rsid w:val="00512318"/>
    <w:rsid w:val="0051245C"/>
    <w:rsid w:val="00512507"/>
    <w:rsid w:val="0051262F"/>
    <w:rsid w:val="00512670"/>
    <w:rsid w:val="00512703"/>
    <w:rsid w:val="00512705"/>
    <w:rsid w:val="005127BD"/>
    <w:rsid w:val="005127F0"/>
    <w:rsid w:val="00512816"/>
    <w:rsid w:val="005128E7"/>
    <w:rsid w:val="005129A6"/>
    <w:rsid w:val="00512A06"/>
    <w:rsid w:val="00512A5F"/>
    <w:rsid w:val="00512A6B"/>
    <w:rsid w:val="00512BA4"/>
    <w:rsid w:val="00512C7F"/>
    <w:rsid w:val="00512D02"/>
    <w:rsid w:val="00512D1A"/>
    <w:rsid w:val="00512D73"/>
    <w:rsid w:val="00512DFC"/>
    <w:rsid w:val="00512E13"/>
    <w:rsid w:val="00512E3F"/>
    <w:rsid w:val="00512E44"/>
    <w:rsid w:val="00512E72"/>
    <w:rsid w:val="00512EE8"/>
    <w:rsid w:val="0051316B"/>
    <w:rsid w:val="005131EA"/>
    <w:rsid w:val="0051343A"/>
    <w:rsid w:val="0051348E"/>
    <w:rsid w:val="005135D7"/>
    <w:rsid w:val="0051363A"/>
    <w:rsid w:val="005136B1"/>
    <w:rsid w:val="00513848"/>
    <w:rsid w:val="00513851"/>
    <w:rsid w:val="005138B6"/>
    <w:rsid w:val="0051395F"/>
    <w:rsid w:val="00513B07"/>
    <w:rsid w:val="00513C0C"/>
    <w:rsid w:val="00513CEE"/>
    <w:rsid w:val="00513DAD"/>
    <w:rsid w:val="0051401A"/>
    <w:rsid w:val="00514063"/>
    <w:rsid w:val="005141E9"/>
    <w:rsid w:val="00514217"/>
    <w:rsid w:val="005143CB"/>
    <w:rsid w:val="00514744"/>
    <w:rsid w:val="00514846"/>
    <w:rsid w:val="0051484E"/>
    <w:rsid w:val="00514927"/>
    <w:rsid w:val="0051495B"/>
    <w:rsid w:val="005149FF"/>
    <w:rsid w:val="00514A48"/>
    <w:rsid w:val="00514A81"/>
    <w:rsid w:val="00514BA3"/>
    <w:rsid w:val="00514BFC"/>
    <w:rsid w:val="00514C4B"/>
    <w:rsid w:val="00514D29"/>
    <w:rsid w:val="00514E16"/>
    <w:rsid w:val="00514E3B"/>
    <w:rsid w:val="00514EA8"/>
    <w:rsid w:val="00514FA9"/>
    <w:rsid w:val="00515089"/>
    <w:rsid w:val="0051522C"/>
    <w:rsid w:val="00515336"/>
    <w:rsid w:val="00515340"/>
    <w:rsid w:val="00515343"/>
    <w:rsid w:val="005153A4"/>
    <w:rsid w:val="00515423"/>
    <w:rsid w:val="00515444"/>
    <w:rsid w:val="00515572"/>
    <w:rsid w:val="0051558E"/>
    <w:rsid w:val="005155EA"/>
    <w:rsid w:val="00515678"/>
    <w:rsid w:val="0051568C"/>
    <w:rsid w:val="0051572B"/>
    <w:rsid w:val="0051573D"/>
    <w:rsid w:val="005157BA"/>
    <w:rsid w:val="005157F6"/>
    <w:rsid w:val="00515852"/>
    <w:rsid w:val="005158A0"/>
    <w:rsid w:val="005159E0"/>
    <w:rsid w:val="00515A05"/>
    <w:rsid w:val="00515AC3"/>
    <w:rsid w:val="00515AFD"/>
    <w:rsid w:val="00515B41"/>
    <w:rsid w:val="00515D45"/>
    <w:rsid w:val="00515DC1"/>
    <w:rsid w:val="00515E43"/>
    <w:rsid w:val="00515E4A"/>
    <w:rsid w:val="00515E5D"/>
    <w:rsid w:val="00515E9B"/>
    <w:rsid w:val="00515EB6"/>
    <w:rsid w:val="00515EB9"/>
    <w:rsid w:val="00515EC0"/>
    <w:rsid w:val="00515ECA"/>
    <w:rsid w:val="00515F78"/>
    <w:rsid w:val="00516079"/>
    <w:rsid w:val="005160B7"/>
    <w:rsid w:val="00516137"/>
    <w:rsid w:val="005162A1"/>
    <w:rsid w:val="00516530"/>
    <w:rsid w:val="00516533"/>
    <w:rsid w:val="005165C5"/>
    <w:rsid w:val="005165FF"/>
    <w:rsid w:val="00516837"/>
    <w:rsid w:val="0051683B"/>
    <w:rsid w:val="00516857"/>
    <w:rsid w:val="00516864"/>
    <w:rsid w:val="005168D2"/>
    <w:rsid w:val="005168D3"/>
    <w:rsid w:val="00516A25"/>
    <w:rsid w:val="00516B51"/>
    <w:rsid w:val="00516BB2"/>
    <w:rsid w:val="00516BD6"/>
    <w:rsid w:val="00516CE6"/>
    <w:rsid w:val="00516DC2"/>
    <w:rsid w:val="00516ED2"/>
    <w:rsid w:val="00517042"/>
    <w:rsid w:val="005170E9"/>
    <w:rsid w:val="005172F1"/>
    <w:rsid w:val="00517343"/>
    <w:rsid w:val="0051735A"/>
    <w:rsid w:val="00517418"/>
    <w:rsid w:val="0051750D"/>
    <w:rsid w:val="005175F8"/>
    <w:rsid w:val="00517660"/>
    <w:rsid w:val="005177EF"/>
    <w:rsid w:val="005179D7"/>
    <w:rsid w:val="00517A1B"/>
    <w:rsid w:val="00517B36"/>
    <w:rsid w:val="00517C0E"/>
    <w:rsid w:val="00517D3D"/>
    <w:rsid w:val="00517D8F"/>
    <w:rsid w:val="00517E37"/>
    <w:rsid w:val="00517EE9"/>
    <w:rsid w:val="00520033"/>
    <w:rsid w:val="0052005D"/>
    <w:rsid w:val="005201C7"/>
    <w:rsid w:val="005201FD"/>
    <w:rsid w:val="0052038D"/>
    <w:rsid w:val="0052039F"/>
    <w:rsid w:val="005203C9"/>
    <w:rsid w:val="00520553"/>
    <w:rsid w:val="005205AC"/>
    <w:rsid w:val="00520791"/>
    <w:rsid w:val="005207FD"/>
    <w:rsid w:val="00520A47"/>
    <w:rsid w:val="00520A49"/>
    <w:rsid w:val="00520A69"/>
    <w:rsid w:val="00520A6C"/>
    <w:rsid w:val="00520AC5"/>
    <w:rsid w:val="00520ACB"/>
    <w:rsid w:val="00520BE8"/>
    <w:rsid w:val="00520C18"/>
    <w:rsid w:val="00520CCE"/>
    <w:rsid w:val="00520D09"/>
    <w:rsid w:val="00520DDA"/>
    <w:rsid w:val="00520DFF"/>
    <w:rsid w:val="00520E66"/>
    <w:rsid w:val="00520EAF"/>
    <w:rsid w:val="00520FF6"/>
    <w:rsid w:val="005213EC"/>
    <w:rsid w:val="00521401"/>
    <w:rsid w:val="0052143C"/>
    <w:rsid w:val="005214CF"/>
    <w:rsid w:val="0052153F"/>
    <w:rsid w:val="00521573"/>
    <w:rsid w:val="0052164C"/>
    <w:rsid w:val="005216BC"/>
    <w:rsid w:val="005216CF"/>
    <w:rsid w:val="005216D7"/>
    <w:rsid w:val="00521707"/>
    <w:rsid w:val="00521710"/>
    <w:rsid w:val="005217CE"/>
    <w:rsid w:val="005218B8"/>
    <w:rsid w:val="00521A9E"/>
    <w:rsid w:val="00521C76"/>
    <w:rsid w:val="00521CBD"/>
    <w:rsid w:val="00521DC2"/>
    <w:rsid w:val="00521EA8"/>
    <w:rsid w:val="00521EDD"/>
    <w:rsid w:val="00521EFF"/>
    <w:rsid w:val="00521FCA"/>
    <w:rsid w:val="005220CE"/>
    <w:rsid w:val="0052216F"/>
    <w:rsid w:val="00522346"/>
    <w:rsid w:val="00522396"/>
    <w:rsid w:val="005223C7"/>
    <w:rsid w:val="005224B1"/>
    <w:rsid w:val="005225E5"/>
    <w:rsid w:val="0052264E"/>
    <w:rsid w:val="005226C7"/>
    <w:rsid w:val="00522744"/>
    <w:rsid w:val="00522874"/>
    <w:rsid w:val="00522879"/>
    <w:rsid w:val="00522A12"/>
    <w:rsid w:val="00522A47"/>
    <w:rsid w:val="00522BDD"/>
    <w:rsid w:val="00522C11"/>
    <w:rsid w:val="00522D81"/>
    <w:rsid w:val="00522F06"/>
    <w:rsid w:val="00522FD0"/>
    <w:rsid w:val="0052303D"/>
    <w:rsid w:val="00523052"/>
    <w:rsid w:val="005230C6"/>
    <w:rsid w:val="00523120"/>
    <w:rsid w:val="00523210"/>
    <w:rsid w:val="0052321A"/>
    <w:rsid w:val="005232DA"/>
    <w:rsid w:val="005233DF"/>
    <w:rsid w:val="0052344F"/>
    <w:rsid w:val="00523578"/>
    <w:rsid w:val="0052361C"/>
    <w:rsid w:val="00523666"/>
    <w:rsid w:val="0052366A"/>
    <w:rsid w:val="005236ED"/>
    <w:rsid w:val="005236F8"/>
    <w:rsid w:val="0052372F"/>
    <w:rsid w:val="005237FC"/>
    <w:rsid w:val="005238CA"/>
    <w:rsid w:val="005238F6"/>
    <w:rsid w:val="00523A0E"/>
    <w:rsid w:val="00523A23"/>
    <w:rsid w:val="00523A61"/>
    <w:rsid w:val="00523AD9"/>
    <w:rsid w:val="00523C16"/>
    <w:rsid w:val="00523C5C"/>
    <w:rsid w:val="00523C5E"/>
    <w:rsid w:val="00523DF2"/>
    <w:rsid w:val="00523EFB"/>
    <w:rsid w:val="00523F3A"/>
    <w:rsid w:val="00523F8E"/>
    <w:rsid w:val="00523FF6"/>
    <w:rsid w:val="005240EA"/>
    <w:rsid w:val="0052414A"/>
    <w:rsid w:val="005241A7"/>
    <w:rsid w:val="005242AF"/>
    <w:rsid w:val="005243DA"/>
    <w:rsid w:val="00524474"/>
    <w:rsid w:val="005244B3"/>
    <w:rsid w:val="00524534"/>
    <w:rsid w:val="00524737"/>
    <w:rsid w:val="00524793"/>
    <w:rsid w:val="005247D1"/>
    <w:rsid w:val="00524844"/>
    <w:rsid w:val="005248B7"/>
    <w:rsid w:val="00524939"/>
    <w:rsid w:val="00524A7A"/>
    <w:rsid w:val="00524BC1"/>
    <w:rsid w:val="00524BD6"/>
    <w:rsid w:val="00524D09"/>
    <w:rsid w:val="00524D15"/>
    <w:rsid w:val="00524DDA"/>
    <w:rsid w:val="00524E33"/>
    <w:rsid w:val="00524EA1"/>
    <w:rsid w:val="00524EB0"/>
    <w:rsid w:val="00525014"/>
    <w:rsid w:val="00525029"/>
    <w:rsid w:val="005250C6"/>
    <w:rsid w:val="00525164"/>
    <w:rsid w:val="00525191"/>
    <w:rsid w:val="00525202"/>
    <w:rsid w:val="005252CE"/>
    <w:rsid w:val="0052535D"/>
    <w:rsid w:val="00525374"/>
    <w:rsid w:val="0052545E"/>
    <w:rsid w:val="005256BD"/>
    <w:rsid w:val="00525724"/>
    <w:rsid w:val="00525726"/>
    <w:rsid w:val="0052586C"/>
    <w:rsid w:val="00525A3E"/>
    <w:rsid w:val="00525AFF"/>
    <w:rsid w:val="00525B71"/>
    <w:rsid w:val="00525B87"/>
    <w:rsid w:val="00525BA0"/>
    <w:rsid w:val="00525BB1"/>
    <w:rsid w:val="00525BCA"/>
    <w:rsid w:val="00525C2F"/>
    <w:rsid w:val="00525C3B"/>
    <w:rsid w:val="00525CC2"/>
    <w:rsid w:val="00525D56"/>
    <w:rsid w:val="00525D66"/>
    <w:rsid w:val="00525E43"/>
    <w:rsid w:val="00525EF2"/>
    <w:rsid w:val="00525EF6"/>
    <w:rsid w:val="00525F36"/>
    <w:rsid w:val="00525F96"/>
    <w:rsid w:val="005260FD"/>
    <w:rsid w:val="005261CE"/>
    <w:rsid w:val="00526219"/>
    <w:rsid w:val="0052623C"/>
    <w:rsid w:val="00526376"/>
    <w:rsid w:val="005263EB"/>
    <w:rsid w:val="0052655B"/>
    <w:rsid w:val="0052658A"/>
    <w:rsid w:val="0052664F"/>
    <w:rsid w:val="005266A5"/>
    <w:rsid w:val="0052673A"/>
    <w:rsid w:val="0052673D"/>
    <w:rsid w:val="005267E2"/>
    <w:rsid w:val="005268A1"/>
    <w:rsid w:val="0052691D"/>
    <w:rsid w:val="00526942"/>
    <w:rsid w:val="005269BD"/>
    <w:rsid w:val="005269C7"/>
    <w:rsid w:val="00526A1D"/>
    <w:rsid w:val="00526A4C"/>
    <w:rsid w:val="00526B43"/>
    <w:rsid w:val="00526B61"/>
    <w:rsid w:val="00526C09"/>
    <w:rsid w:val="00526D47"/>
    <w:rsid w:val="00526E2D"/>
    <w:rsid w:val="00526EAF"/>
    <w:rsid w:val="00526F6D"/>
    <w:rsid w:val="00526FDA"/>
    <w:rsid w:val="0052704A"/>
    <w:rsid w:val="00527067"/>
    <w:rsid w:val="0052712E"/>
    <w:rsid w:val="00527186"/>
    <w:rsid w:val="005273AD"/>
    <w:rsid w:val="005273DC"/>
    <w:rsid w:val="005273E9"/>
    <w:rsid w:val="0052743F"/>
    <w:rsid w:val="0052745C"/>
    <w:rsid w:val="0052749E"/>
    <w:rsid w:val="00527534"/>
    <w:rsid w:val="00527565"/>
    <w:rsid w:val="00527583"/>
    <w:rsid w:val="005275C5"/>
    <w:rsid w:val="0052766A"/>
    <w:rsid w:val="005276A6"/>
    <w:rsid w:val="00527786"/>
    <w:rsid w:val="005278E9"/>
    <w:rsid w:val="00527996"/>
    <w:rsid w:val="00527A17"/>
    <w:rsid w:val="00527A9C"/>
    <w:rsid w:val="00527CAD"/>
    <w:rsid w:val="00527D34"/>
    <w:rsid w:val="00527D37"/>
    <w:rsid w:val="00527D39"/>
    <w:rsid w:val="00527F13"/>
    <w:rsid w:val="00527F43"/>
    <w:rsid w:val="00527F98"/>
    <w:rsid w:val="00527FB0"/>
    <w:rsid w:val="0053024E"/>
    <w:rsid w:val="0053039A"/>
    <w:rsid w:val="005303DA"/>
    <w:rsid w:val="005304E7"/>
    <w:rsid w:val="0053050E"/>
    <w:rsid w:val="0053051E"/>
    <w:rsid w:val="00530562"/>
    <w:rsid w:val="0053061D"/>
    <w:rsid w:val="005307CA"/>
    <w:rsid w:val="00530811"/>
    <w:rsid w:val="00530985"/>
    <w:rsid w:val="005309F7"/>
    <w:rsid w:val="00530A05"/>
    <w:rsid w:val="00530AB2"/>
    <w:rsid w:val="00530B12"/>
    <w:rsid w:val="00530B5F"/>
    <w:rsid w:val="00530B61"/>
    <w:rsid w:val="00530B64"/>
    <w:rsid w:val="00530B8C"/>
    <w:rsid w:val="00530BB0"/>
    <w:rsid w:val="00530BEB"/>
    <w:rsid w:val="00530C06"/>
    <w:rsid w:val="00530C3D"/>
    <w:rsid w:val="00530DC8"/>
    <w:rsid w:val="00530E71"/>
    <w:rsid w:val="00530E9A"/>
    <w:rsid w:val="00530EB8"/>
    <w:rsid w:val="00530EE1"/>
    <w:rsid w:val="00530F33"/>
    <w:rsid w:val="00530F46"/>
    <w:rsid w:val="0053106A"/>
    <w:rsid w:val="0053108F"/>
    <w:rsid w:val="00531119"/>
    <w:rsid w:val="00531231"/>
    <w:rsid w:val="00531232"/>
    <w:rsid w:val="0053125A"/>
    <w:rsid w:val="00531355"/>
    <w:rsid w:val="00531358"/>
    <w:rsid w:val="0053136D"/>
    <w:rsid w:val="00531382"/>
    <w:rsid w:val="005313BD"/>
    <w:rsid w:val="005313C4"/>
    <w:rsid w:val="005313ED"/>
    <w:rsid w:val="00531469"/>
    <w:rsid w:val="005314A8"/>
    <w:rsid w:val="005314D9"/>
    <w:rsid w:val="00531514"/>
    <w:rsid w:val="00531621"/>
    <w:rsid w:val="0053164A"/>
    <w:rsid w:val="00531756"/>
    <w:rsid w:val="005318ED"/>
    <w:rsid w:val="00531912"/>
    <w:rsid w:val="00531979"/>
    <w:rsid w:val="00531993"/>
    <w:rsid w:val="00531BEF"/>
    <w:rsid w:val="00531C80"/>
    <w:rsid w:val="00531DAB"/>
    <w:rsid w:val="00531E29"/>
    <w:rsid w:val="00531E30"/>
    <w:rsid w:val="00531ED6"/>
    <w:rsid w:val="00531FC1"/>
    <w:rsid w:val="00531FCB"/>
    <w:rsid w:val="00531FDF"/>
    <w:rsid w:val="00532085"/>
    <w:rsid w:val="00532141"/>
    <w:rsid w:val="00532190"/>
    <w:rsid w:val="00532196"/>
    <w:rsid w:val="00532202"/>
    <w:rsid w:val="005324F3"/>
    <w:rsid w:val="00532575"/>
    <w:rsid w:val="00532577"/>
    <w:rsid w:val="0053257D"/>
    <w:rsid w:val="00532642"/>
    <w:rsid w:val="0053270E"/>
    <w:rsid w:val="00532820"/>
    <w:rsid w:val="005328FA"/>
    <w:rsid w:val="00532A1B"/>
    <w:rsid w:val="00532AD4"/>
    <w:rsid w:val="00532B53"/>
    <w:rsid w:val="00532B5C"/>
    <w:rsid w:val="00532CFE"/>
    <w:rsid w:val="00532D40"/>
    <w:rsid w:val="00532D9E"/>
    <w:rsid w:val="00532DDA"/>
    <w:rsid w:val="00532E9E"/>
    <w:rsid w:val="00532F3B"/>
    <w:rsid w:val="00532FB6"/>
    <w:rsid w:val="00532FD5"/>
    <w:rsid w:val="00533034"/>
    <w:rsid w:val="00533092"/>
    <w:rsid w:val="0053328C"/>
    <w:rsid w:val="005332A2"/>
    <w:rsid w:val="00533336"/>
    <w:rsid w:val="0053333F"/>
    <w:rsid w:val="00533451"/>
    <w:rsid w:val="005334A9"/>
    <w:rsid w:val="005334DB"/>
    <w:rsid w:val="00533530"/>
    <w:rsid w:val="00533622"/>
    <w:rsid w:val="00533667"/>
    <w:rsid w:val="00533793"/>
    <w:rsid w:val="005338EA"/>
    <w:rsid w:val="00533919"/>
    <w:rsid w:val="00533972"/>
    <w:rsid w:val="0053398E"/>
    <w:rsid w:val="0053399F"/>
    <w:rsid w:val="00533AC6"/>
    <w:rsid w:val="00533ADC"/>
    <w:rsid w:val="00533C60"/>
    <w:rsid w:val="00533CBD"/>
    <w:rsid w:val="00533D4A"/>
    <w:rsid w:val="00533D66"/>
    <w:rsid w:val="00533EAB"/>
    <w:rsid w:val="00534030"/>
    <w:rsid w:val="005340C8"/>
    <w:rsid w:val="005340D2"/>
    <w:rsid w:val="00534583"/>
    <w:rsid w:val="00534639"/>
    <w:rsid w:val="005347FD"/>
    <w:rsid w:val="0053486D"/>
    <w:rsid w:val="0053492B"/>
    <w:rsid w:val="00534960"/>
    <w:rsid w:val="0053498F"/>
    <w:rsid w:val="005349A6"/>
    <w:rsid w:val="00534A26"/>
    <w:rsid w:val="00534A32"/>
    <w:rsid w:val="00534AC7"/>
    <w:rsid w:val="00534ADB"/>
    <w:rsid w:val="00534C12"/>
    <w:rsid w:val="00534CBE"/>
    <w:rsid w:val="00534CEA"/>
    <w:rsid w:val="00534E9F"/>
    <w:rsid w:val="00534FEF"/>
    <w:rsid w:val="0053515B"/>
    <w:rsid w:val="00535193"/>
    <w:rsid w:val="00535209"/>
    <w:rsid w:val="00535244"/>
    <w:rsid w:val="0053527A"/>
    <w:rsid w:val="005352D4"/>
    <w:rsid w:val="0053544B"/>
    <w:rsid w:val="00535596"/>
    <w:rsid w:val="005355A6"/>
    <w:rsid w:val="0053563F"/>
    <w:rsid w:val="0053577D"/>
    <w:rsid w:val="005357B6"/>
    <w:rsid w:val="00535864"/>
    <w:rsid w:val="005358AA"/>
    <w:rsid w:val="0053599E"/>
    <w:rsid w:val="00535B1A"/>
    <w:rsid w:val="00535B31"/>
    <w:rsid w:val="00535BBA"/>
    <w:rsid w:val="00535CAF"/>
    <w:rsid w:val="00535CB5"/>
    <w:rsid w:val="00535CC3"/>
    <w:rsid w:val="00535E2F"/>
    <w:rsid w:val="00535F59"/>
    <w:rsid w:val="00535FF2"/>
    <w:rsid w:val="0053608A"/>
    <w:rsid w:val="005361AD"/>
    <w:rsid w:val="0053629F"/>
    <w:rsid w:val="005362DF"/>
    <w:rsid w:val="005363FB"/>
    <w:rsid w:val="0053650A"/>
    <w:rsid w:val="0053657D"/>
    <w:rsid w:val="00536587"/>
    <w:rsid w:val="005365E7"/>
    <w:rsid w:val="005366D2"/>
    <w:rsid w:val="0053674E"/>
    <w:rsid w:val="005367BF"/>
    <w:rsid w:val="005367E8"/>
    <w:rsid w:val="0053682B"/>
    <w:rsid w:val="005368D4"/>
    <w:rsid w:val="005368DC"/>
    <w:rsid w:val="00536955"/>
    <w:rsid w:val="00536959"/>
    <w:rsid w:val="0053696C"/>
    <w:rsid w:val="005369A1"/>
    <w:rsid w:val="005369BE"/>
    <w:rsid w:val="00536AD0"/>
    <w:rsid w:val="00536B42"/>
    <w:rsid w:val="00536D12"/>
    <w:rsid w:val="00536D5E"/>
    <w:rsid w:val="00536D76"/>
    <w:rsid w:val="00536DEE"/>
    <w:rsid w:val="00536DFF"/>
    <w:rsid w:val="00536E54"/>
    <w:rsid w:val="00536E62"/>
    <w:rsid w:val="00536F2A"/>
    <w:rsid w:val="0053706C"/>
    <w:rsid w:val="0053708A"/>
    <w:rsid w:val="00537154"/>
    <w:rsid w:val="00537253"/>
    <w:rsid w:val="005372EC"/>
    <w:rsid w:val="00537433"/>
    <w:rsid w:val="00537438"/>
    <w:rsid w:val="0053769C"/>
    <w:rsid w:val="005377E2"/>
    <w:rsid w:val="0053780E"/>
    <w:rsid w:val="0053790C"/>
    <w:rsid w:val="00537936"/>
    <w:rsid w:val="005379CF"/>
    <w:rsid w:val="00537A2E"/>
    <w:rsid w:val="00537BE5"/>
    <w:rsid w:val="00537BF0"/>
    <w:rsid w:val="00537C21"/>
    <w:rsid w:val="00537CAA"/>
    <w:rsid w:val="00537D60"/>
    <w:rsid w:val="00537D8C"/>
    <w:rsid w:val="00537DBF"/>
    <w:rsid w:val="00537DF4"/>
    <w:rsid w:val="00537E17"/>
    <w:rsid w:val="00537E8F"/>
    <w:rsid w:val="00537EC5"/>
    <w:rsid w:val="00537EF6"/>
    <w:rsid w:val="00537F72"/>
    <w:rsid w:val="00540045"/>
    <w:rsid w:val="005400A7"/>
    <w:rsid w:val="005400C8"/>
    <w:rsid w:val="00540135"/>
    <w:rsid w:val="0054016A"/>
    <w:rsid w:val="005401A5"/>
    <w:rsid w:val="0054026F"/>
    <w:rsid w:val="00540276"/>
    <w:rsid w:val="00540349"/>
    <w:rsid w:val="0054039A"/>
    <w:rsid w:val="0054039F"/>
    <w:rsid w:val="005403C5"/>
    <w:rsid w:val="005404D4"/>
    <w:rsid w:val="0054053A"/>
    <w:rsid w:val="0054058C"/>
    <w:rsid w:val="005405E0"/>
    <w:rsid w:val="005405F2"/>
    <w:rsid w:val="00540659"/>
    <w:rsid w:val="00540883"/>
    <w:rsid w:val="00540AA5"/>
    <w:rsid w:val="00540E7B"/>
    <w:rsid w:val="00540E9B"/>
    <w:rsid w:val="00540EB6"/>
    <w:rsid w:val="00540FFC"/>
    <w:rsid w:val="0054103E"/>
    <w:rsid w:val="0054129B"/>
    <w:rsid w:val="005412DD"/>
    <w:rsid w:val="0054137A"/>
    <w:rsid w:val="00541431"/>
    <w:rsid w:val="00541446"/>
    <w:rsid w:val="005414C0"/>
    <w:rsid w:val="0054152E"/>
    <w:rsid w:val="00541595"/>
    <w:rsid w:val="005415A0"/>
    <w:rsid w:val="0054166B"/>
    <w:rsid w:val="00541671"/>
    <w:rsid w:val="0054169F"/>
    <w:rsid w:val="005416EE"/>
    <w:rsid w:val="005418A8"/>
    <w:rsid w:val="00541A12"/>
    <w:rsid w:val="00541A55"/>
    <w:rsid w:val="00541A85"/>
    <w:rsid w:val="00541ABD"/>
    <w:rsid w:val="00541BD5"/>
    <w:rsid w:val="00541D03"/>
    <w:rsid w:val="00541D31"/>
    <w:rsid w:val="005420D0"/>
    <w:rsid w:val="00542169"/>
    <w:rsid w:val="005421D7"/>
    <w:rsid w:val="0054224C"/>
    <w:rsid w:val="00542342"/>
    <w:rsid w:val="0054240A"/>
    <w:rsid w:val="0054246F"/>
    <w:rsid w:val="005424D6"/>
    <w:rsid w:val="005424D7"/>
    <w:rsid w:val="00542571"/>
    <w:rsid w:val="00542617"/>
    <w:rsid w:val="00542666"/>
    <w:rsid w:val="00542732"/>
    <w:rsid w:val="005427AB"/>
    <w:rsid w:val="00542A1F"/>
    <w:rsid w:val="00542C39"/>
    <w:rsid w:val="00542D80"/>
    <w:rsid w:val="00542E89"/>
    <w:rsid w:val="00542E8E"/>
    <w:rsid w:val="00542EB2"/>
    <w:rsid w:val="00542F7B"/>
    <w:rsid w:val="00542FBD"/>
    <w:rsid w:val="0054308F"/>
    <w:rsid w:val="005430FC"/>
    <w:rsid w:val="005431D5"/>
    <w:rsid w:val="00543202"/>
    <w:rsid w:val="005432BB"/>
    <w:rsid w:val="00543338"/>
    <w:rsid w:val="0054344E"/>
    <w:rsid w:val="005434A4"/>
    <w:rsid w:val="00543575"/>
    <w:rsid w:val="0054359A"/>
    <w:rsid w:val="0054362A"/>
    <w:rsid w:val="00543634"/>
    <w:rsid w:val="005436CC"/>
    <w:rsid w:val="005437DF"/>
    <w:rsid w:val="0054380D"/>
    <w:rsid w:val="00543833"/>
    <w:rsid w:val="005438A1"/>
    <w:rsid w:val="005438EE"/>
    <w:rsid w:val="005439A6"/>
    <w:rsid w:val="005439CE"/>
    <w:rsid w:val="00543A01"/>
    <w:rsid w:val="00543A7B"/>
    <w:rsid w:val="00543B47"/>
    <w:rsid w:val="00543B5B"/>
    <w:rsid w:val="00543BC7"/>
    <w:rsid w:val="00543C2F"/>
    <w:rsid w:val="00543F0E"/>
    <w:rsid w:val="005440AB"/>
    <w:rsid w:val="00544289"/>
    <w:rsid w:val="00544321"/>
    <w:rsid w:val="00544349"/>
    <w:rsid w:val="005444D1"/>
    <w:rsid w:val="005444ED"/>
    <w:rsid w:val="005446B0"/>
    <w:rsid w:val="005446C8"/>
    <w:rsid w:val="005447AC"/>
    <w:rsid w:val="005447BD"/>
    <w:rsid w:val="005447D2"/>
    <w:rsid w:val="005447D3"/>
    <w:rsid w:val="005447E0"/>
    <w:rsid w:val="0054489E"/>
    <w:rsid w:val="005448E9"/>
    <w:rsid w:val="00544A52"/>
    <w:rsid w:val="00544BD1"/>
    <w:rsid w:val="00544C01"/>
    <w:rsid w:val="00544C41"/>
    <w:rsid w:val="00544CBF"/>
    <w:rsid w:val="00544CC9"/>
    <w:rsid w:val="00544CF3"/>
    <w:rsid w:val="00544D85"/>
    <w:rsid w:val="00544D9B"/>
    <w:rsid w:val="00544DBB"/>
    <w:rsid w:val="00544EF5"/>
    <w:rsid w:val="005451C2"/>
    <w:rsid w:val="0054521D"/>
    <w:rsid w:val="0054525C"/>
    <w:rsid w:val="005452A0"/>
    <w:rsid w:val="005452FE"/>
    <w:rsid w:val="005453B9"/>
    <w:rsid w:val="005453BA"/>
    <w:rsid w:val="00545549"/>
    <w:rsid w:val="00545571"/>
    <w:rsid w:val="005455B4"/>
    <w:rsid w:val="005455FF"/>
    <w:rsid w:val="00545658"/>
    <w:rsid w:val="0054568F"/>
    <w:rsid w:val="0054569D"/>
    <w:rsid w:val="005457CA"/>
    <w:rsid w:val="00545819"/>
    <w:rsid w:val="00545882"/>
    <w:rsid w:val="0054596B"/>
    <w:rsid w:val="00545977"/>
    <w:rsid w:val="00545A15"/>
    <w:rsid w:val="00545AA5"/>
    <w:rsid w:val="00545CB5"/>
    <w:rsid w:val="00545D37"/>
    <w:rsid w:val="00545EB3"/>
    <w:rsid w:val="00545EB7"/>
    <w:rsid w:val="00545ECF"/>
    <w:rsid w:val="00545F78"/>
    <w:rsid w:val="00546046"/>
    <w:rsid w:val="00546071"/>
    <w:rsid w:val="005460A4"/>
    <w:rsid w:val="005460F1"/>
    <w:rsid w:val="00546191"/>
    <w:rsid w:val="0054634D"/>
    <w:rsid w:val="00546412"/>
    <w:rsid w:val="00546543"/>
    <w:rsid w:val="005465C6"/>
    <w:rsid w:val="00546629"/>
    <w:rsid w:val="0054666E"/>
    <w:rsid w:val="0054669C"/>
    <w:rsid w:val="00546861"/>
    <w:rsid w:val="00546898"/>
    <w:rsid w:val="00546B44"/>
    <w:rsid w:val="00546B70"/>
    <w:rsid w:val="00546B9F"/>
    <w:rsid w:val="00546C8E"/>
    <w:rsid w:val="00546D19"/>
    <w:rsid w:val="00546D6F"/>
    <w:rsid w:val="00546DCA"/>
    <w:rsid w:val="005471EE"/>
    <w:rsid w:val="00547458"/>
    <w:rsid w:val="005474F4"/>
    <w:rsid w:val="0054759F"/>
    <w:rsid w:val="00547615"/>
    <w:rsid w:val="0054763E"/>
    <w:rsid w:val="005477CF"/>
    <w:rsid w:val="0054799C"/>
    <w:rsid w:val="00547A7D"/>
    <w:rsid w:val="00547B1F"/>
    <w:rsid w:val="00547BE2"/>
    <w:rsid w:val="00547BFA"/>
    <w:rsid w:val="00547D4C"/>
    <w:rsid w:val="00547DDC"/>
    <w:rsid w:val="00547EE6"/>
    <w:rsid w:val="00547F11"/>
    <w:rsid w:val="00547F20"/>
    <w:rsid w:val="00547FC6"/>
    <w:rsid w:val="00547FD1"/>
    <w:rsid w:val="00550038"/>
    <w:rsid w:val="00550144"/>
    <w:rsid w:val="00550167"/>
    <w:rsid w:val="00550306"/>
    <w:rsid w:val="00550393"/>
    <w:rsid w:val="0055041B"/>
    <w:rsid w:val="0055057F"/>
    <w:rsid w:val="005506C9"/>
    <w:rsid w:val="00550707"/>
    <w:rsid w:val="00550943"/>
    <w:rsid w:val="0055097B"/>
    <w:rsid w:val="005509CE"/>
    <w:rsid w:val="005509D1"/>
    <w:rsid w:val="00550A56"/>
    <w:rsid w:val="00550B2B"/>
    <w:rsid w:val="00550C4C"/>
    <w:rsid w:val="00550D3E"/>
    <w:rsid w:val="00550D67"/>
    <w:rsid w:val="00550D9D"/>
    <w:rsid w:val="00550F47"/>
    <w:rsid w:val="00550F58"/>
    <w:rsid w:val="00550FA1"/>
    <w:rsid w:val="00550FF9"/>
    <w:rsid w:val="005510D5"/>
    <w:rsid w:val="005510D6"/>
    <w:rsid w:val="005510DE"/>
    <w:rsid w:val="005512D2"/>
    <w:rsid w:val="005514AA"/>
    <w:rsid w:val="005514B0"/>
    <w:rsid w:val="005515EC"/>
    <w:rsid w:val="00551766"/>
    <w:rsid w:val="00551885"/>
    <w:rsid w:val="00551A6A"/>
    <w:rsid w:val="00551C90"/>
    <w:rsid w:val="00551D24"/>
    <w:rsid w:val="00551D5E"/>
    <w:rsid w:val="00551EB7"/>
    <w:rsid w:val="00551F8B"/>
    <w:rsid w:val="00551FC2"/>
    <w:rsid w:val="00552013"/>
    <w:rsid w:val="0055207C"/>
    <w:rsid w:val="0055215B"/>
    <w:rsid w:val="00552199"/>
    <w:rsid w:val="00552247"/>
    <w:rsid w:val="0055228D"/>
    <w:rsid w:val="0055238A"/>
    <w:rsid w:val="0055240E"/>
    <w:rsid w:val="0055240F"/>
    <w:rsid w:val="00552442"/>
    <w:rsid w:val="00552459"/>
    <w:rsid w:val="0055250B"/>
    <w:rsid w:val="005525C2"/>
    <w:rsid w:val="00552621"/>
    <w:rsid w:val="0055266A"/>
    <w:rsid w:val="005527C1"/>
    <w:rsid w:val="00552815"/>
    <w:rsid w:val="00552817"/>
    <w:rsid w:val="00552871"/>
    <w:rsid w:val="005528C4"/>
    <w:rsid w:val="00552A05"/>
    <w:rsid w:val="00552A08"/>
    <w:rsid w:val="00552AB6"/>
    <w:rsid w:val="00552B72"/>
    <w:rsid w:val="00552E29"/>
    <w:rsid w:val="00553029"/>
    <w:rsid w:val="0055302F"/>
    <w:rsid w:val="00553231"/>
    <w:rsid w:val="005533BD"/>
    <w:rsid w:val="00553492"/>
    <w:rsid w:val="005534DD"/>
    <w:rsid w:val="00553683"/>
    <w:rsid w:val="00553705"/>
    <w:rsid w:val="00553759"/>
    <w:rsid w:val="00553798"/>
    <w:rsid w:val="005537C6"/>
    <w:rsid w:val="005538C0"/>
    <w:rsid w:val="00553987"/>
    <w:rsid w:val="005539C7"/>
    <w:rsid w:val="00553A7D"/>
    <w:rsid w:val="00553C67"/>
    <w:rsid w:val="00553D49"/>
    <w:rsid w:val="00553DA9"/>
    <w:rsid w:val="00553DE7"/>
    <w:rsid w:val="00553DE8"/>
    <w:rsid w:val="00553E59"/>
    <w:rsid w:val="00553F08"/>
    <w:rsid w:val="00553F0E"/>
    <w:rsid w:val="00553FB4"/>
    <w:rsid w:val="00553FE2"/>
    <w:rsid w:val="005540BB"/>
    <w:rsid w:val="005540F7"/>
    <w:rsid w:val="00554118"/>
    <w:rsid w:val="00554356"/>
    <w:rsid w:val="00554358"/>
    <w:rsid w:val="00554393"/>
    <w:rsid w:val="0055447B"/>
    <w:rsid w:val="005544A1"/>
    <w:rsid w:val="005544EF"/>
    <w:rsid w:val="005546A2"/>
    <w:rsid w:val="005546C5"/>
    <w:rsid w:val="0055471A"/>
    <w:rsid w:val="00554730"/>
    <w:rsid w:val="005547C6"/>
    <w:rsid w:val="005548E9"/>
    <w:rsid w:val="00554932"/>
    <w:rsid w:val="0055499B"/>
    <w:rsid w:val="00554A32"/>
    <w:rsid w:val="00554A73"/>
    <w:rsid w:val="00554CC0"/>
    <w:rsid w:val="00554D03"/>
    <w:rsid w:val="00554D6D"/>
    <w:rsid w:val="00554E7C"/>
    <w:rsid w:val="00554F24"/>
    <w:rsid w:val="00554F33"/>
    <w:rsid w:val="00554F49"/>
    <w:rsid w:val="00555026"/>
    <w:rsid w:val="0055505B"/>
    <w:rsid w:val="005551EE"/>
    <w:rsid w:val="0055522B"/>
    <w:rsid w:val="00555264"/>
    <w:rsid w:val="0055528C"/>
    <w:rsid w:val="005553A7"/>
    <w:rsid w:val="005554A0"/>
    <w:rsid w:val="005554E9"/>
    <w:rsid w:val="00555508"/>
    <w:rsid w:val="00555595"/>
    <w:rsid w:val="005555C5"/>
    <w:rsid w:val="0055562E"/>
    <w:rsid w:val="0055572D"/>
    <w:rsid w:val="0055575F"/>
    <w:rsid w:val="005557D6"/>
    <w:rsid w:val="00555806"/>
    <w:rsid w:val="0055588F"/>
    <w:rsid w:val="00555C1D"/>
    <w:rsid w:val="00555DEF"/>
    <w:rsid w:val="00555E77"/>
    <w:rsid w:val="00555F98"/>
    <w:rsid w:val="005560DD"/>
    <w:rsid w:val="005561BD"/>
    <w:rsid w:val="00556201"/>
    <w:rsid w:val="00556203"/>
    <w:rsid w:val="0055623D"/>
    <w:rsid w:val="00556273"/>
    <w:rsid w:val="005562FD"/>
    <w:rsid w:val="00556348"/>
    <w:rsid w:val="00556433"/>
    <w:rsid w:val="005565F5"/>
    <w:rsid w:val="00556614"/>
    <w:rsid w:val="00556678"/>
    <w:rsid w:val="005566DF"/>
    <w:rsid w:val="0055671B"/>
    <w:rsid w:val="005567D5"/>
    <w:rsid w:val="00556870"/>
    <w:rsid w:val="00556981"/>
    <w:rsid w:val="00556BC8"/>
    <w:rsid w:val="00556C74"/>
    <w:rsid w:val="00556D24"/>
    <w:rsid w:val="00556DAB"/>
    <w:rsid w:val="00556E8A"/>
    <w:rsid w:val="00556EA2"/>
    <w:rsid w:val="00556EED"/>
    <w:rsid w:val="00556F27"/>
    <w:rsid w:val="00556FD1"/>
    <w:rsid w:val="00556FD8"/>
    <w:rsid w:val="00557057"/>
    <w:rsid w:val="0055707D"/>
    <w:rsid w:val="0055709E"/>
    <w:rsid w:val="00557134"/>
    <w:rsid w:val="00557249"/>
    <w:rsid w:val="00557329"/>
    <w:rsid w:val="0055735A"/>
    <w:rsid w:val="00557395"/>
    <w:rsid w:val="0055759E"/>
    <w:rsid w:val="0055759F"/>
    <w:rsid w:val="00557622"/>
    <w:rsid w:val="0055772D"/>
    <w:rsid w:val="005577AF"/>
    <w:rsid w:val="005577D1"/>
    <w:rsid w:val="00557924"/>
    <w:rsid w:val="00557A90"/>
    <w:rsid w:val="00557CDE"/>
    <w:rsid w:val="00557DB7"/>
    <w:rsid w:val="00557EB5"/>
    <w:rsid w:val="00557F15"/>
    <w:rsid w:val="00557FB1"/>
    <w:rsid w:val="005600DC"/>
    <w:rsid w:val="00560127"/>
    <w:rsid w:val="005601E1"/>
    <w:rsid w:val="005601F7"/>
    <w:rsid w:val="00560224"/>
    <w:rsid w:val="00560243"/>
    <w:rsid w:val="00560276"/>
    <w:rsid w:val="005602DE"/>
    <w:rsid w:val="00560327"/>
    <w:rsid w:val="0056040D"/>
    <w:rsid w:val="005604AF"/>
    <w:rsid w:val="00560592"/>
    <w:rsid w:val="00560A07"/>
    <w:rsid w:val="00560A1A"/>
    <w:rsid w:val="00560BB4"/>
    <w:rsid w:val="00560BC0"/>
    <w:rsid w:val="00560D41"/>
    <w:rsid w:val="00560D48"/>
    <w:rsid w:val="00560D6B"/>
    <w:rsid w:val="00560E4F"/>
    <w:rsid w:val="00560EE3"/>
    <w:rsid w:val="0056106D"/>
    <w:rsid w:val="005610BC"/>
    <w:rsid w:val="005610D8"/>
    <w:rsid w:val="0056119B"/>
    <w:rsid w:val="005611B1"/>
    <w:rsid w:val="0056129F"/>
    <w:rsid w:val="0056140C"/>
    <w:rsid w:val="00561422"/>
    <w:rsid w:val="00561494"/>
    <w:rsid w:val="005614A7"/>
    <w:rsid w:val="005615DE"/>
    <w:rsid w:val="00561747"/>
    <w:rsid w:val="0056199F"/>
    <w:rsid w:val="005619D0"/>
    <w:rsid w:val="00561A80"/>
    <w:rsid w:val="00561ABD"/>
    <w:rsid w:val="00561AD3"/>
    <w:rsid w:val="00561B4E"/>
    <w:rsid w:val="00561B60"/>
    <w:rsid w:val="00561BC7"/>
    <w:rsid w:val="00561C53"/>
    <w:rsid w:val="00561D2A"/>
    <w:rsid w:val="00561D35"/>
    <w:rsid w:val="00561D51"/>
    <w:rsid w:val="00561FB1"/>
    <w:rsid w:val="00562048"/>
    <w:rsid w:val="0056206E"/>
    <w:rsid w:val="00562090"/>
    <w:rsid w:val="005621EF"/>
    <w:rsid w:val="005621F0"/>
    <w:rsid w:val="0056228C"/>
    <w:rsid w:val="005622EB"/>
    <w:rsid w:val="005622FD"/>
    <w:rsid w:val="00562312"/>
    <w:rsid w:val="00562369"/>
    <w:rsid w:val="005623C8"/>
    <w:rsid w:val="0056250C"/>
    <w:rsid w:val="00562572"/>
    <w:rsid w:val="005625FC"/>
    <w:rsid w:val="00562650"/>
    <w:rsid w:val="00562691"/>
    <w:rsid w:val="005627E4"/>
    <w:rsid w:val="005627F8"/>
    <w:rsid w:val="0056281E"/>
    <w:rsid w:val="00562904"/>
    <w:rsid w:val="00562AA4"/>
    <w:rsid w:val="00562ACC"/>
    <w:rsid w:val="00562B41"/>
    <w:rsid w:val="00562BE9"/>
    <w:rsid w:val="00562DE0"/>
    <w:rsid w:val="00562E70"/>
    <w:rsid w:val="00562FC2"/>
    <w:rsid w:val="00563101"/>
    <w:rsid w:val="00563176"/>
    <w:rsid w:val="005633B5"/>
    <w:rsid w:val="0056348E"/>
    <w:rsid w:val="005634A4"/>
    <w:rsid w:val="005634A7"/>
    <w:rsid w:val="0056358F"/>
    <w:rsid w:val="0056359E"/>
    <w:rsid w:val="005635EE"/>
    <w:rsid w:val="00563627"/>
    <w:rsid w:val="00563756"/>
    <w:rsid w:val="00563917"/>
    <w:rsid w:val="00563984"/>
    <w:rsid w:val="00563A7F"/>
    <w:rsid w:val="00563B76"/>
    <w:rsid w:val="00563C20"/>
    <w:rsid w:val="00563CE4"/>
    <w:rsid w:val="00563DB4"/>
    <w:rsid w:val="00563DF1"/>
    <w:rsid w:val="00563E5F"/>
    <w:rsid w:val="00563E70"/>
    <w:rsid w:val="00563F1E"/>
    <w:rsid w:val="00563F61"/>
    <w:rsid w:val="0056402C"/>
    <w:rsid w:val="00564031"/>
    <w:rsid w:val="005640CC"/>
    <w:rsid w:val="00564306"/>
    <w:rsid w:val="005643B4"/>
    <w:rsid w:val="00564440"/>
    <w:rsid w:val="0056446B"/>
    <w:rsid w:val="00564474"/>
    <w:rsid w:val="00564510"/>
    <w:rsid w:val="005646AF"/>
    <w:rsid w:val="005646E9"/>
    <w:rsid w:val="0056485A"/>
    <w:rsid w:val="00564886"/>
    <w:rsid w:val="005648AD"/>
    <w:rsid w:val="00564900"/>
    <w:rsid w:val="0056494F"/>
    <w:rsid w:val="00564996"/>
    <w:rsid w:val="00564B6C"/>
    <w:rsid w:val="00564D6A"/>
    <w:rsid w:val="00564ECA"/>
    <w:rsid w:val="00564F77"/>
    <w:rsid w:val="0056510B"/>
    <w:rsid w:val="0056513C"/>
    <w:rsid w:val="00565174"/>
    <w:rsid w:val="00565247"/>
    <w:rsid w:val="00565270"/>
    <w:rsid w:val="005652B3"/>
    <w:rsid w:val="005652D4"/>
    <w:rsid w:val="0056534C"/>
    <w:rsid w:val="00565374"/>
    <w:rsid w:val="005653DD"/>
    <w:rsid w:val="0056558B"/>
    <w:rsid w:val="005655BB"/>
    <w:rsid w:val="00565653"/>
    <w:rsid w:val="00565685"/>
    <w:rsid w:val="005656E3"/>
    <w:rsid w:val="00565792"/>
    <w:rsid w:val="0056583A"/>
    <w:rsid w:val="00565922"/>
    <w:rsid w:val="00565AEB"/>
    <w:rsid w:val="00565B05"/>
    <w:rsid w:val="00565BDE"/>
    <w:rsid w:val="00565E7F"/>
    <w:rsid w:val="00565E9C"/>
    <w:rsid w:val="00565F32"/>
    <w:rsid w:val="00565F66"/>
    <w:rsid w:val="00565FD4"/>
    <w:rsid w:val="0056603A"/>
    <w:rsid w:val="00566179"/>
    <w:rsid w:val="00566184"/>
    <w:rsid w:val="00566192"/>
    <w:rsid w:val="00566336"/>
    <w:rsid w:val="00566508"/>
    <w:rsid w:val="00566552"/>
    <w:rsid w:val="005665A0"/>
    <w:rsid w:val="005666FC"/>
    <w:rsid w:val="00566773"/>
    <w:rsid w:val="00566915"/>
    <w:rsid w:val="00566959"/>
    <w:rsid w:val="005669A4"/>
    <w:rsid w:val="005669EF"/>
    <w:rsid w:val="00566A33"/>
    <w:rsid w:val="00566AA8"/>
    <w:rsid w:val="00566B16"/>
    <w:rsid w:val="00566BB0"/>
    <w:rsid w:val="00566BC5"/>
    <w:rsid w:val="00566CB1"/>
    <w:rsid w:val="00566DC2"/>
    <w:rsid w:val="00566E39"/>
    <w:rsid w:val="00566E45"/>
    <w:rsid w:val="00566E53"/>
    <w:rsid w:val="00566F5F"/>
    <w:rsid w:val="005670AB"/>
    <w:rsid w:val="0056723F"/>
    <w:rsid w:val="0056740A"/>
    <w:rsid w:val="0056746D"/>
    <w:rsid w:val="00567595"/>
    <w:rsid w:val="00567866"/>
    <w:rsid w:val="00567908"/>
    <w:rsid w:val="00567B45"/>
    <w:rsid w:val="00567B4A"/>
    <w:rsid w:val="00567BD8"/>
    <w:rsid w:val="00567C28"/>
    <w:rsid w:val="00567C9D"/>
    <w:rsid w:val="00567CCF"/>
    <w:rsid w:val="00567DFA"/>
    <w:rsid w:val="00567FAB"/>
    <w:rsid w:val="00567FD9"/>
    <w:rsid w:val="00570003"/>
    <w:rsid w:val="005700C4"/>
    <w:rsid w:val="00570176"/>
    <w:rsid w:val="0057017C"/>
    <w:rsid w:val="00570316"/>
    <w:rsid w:val="00570362"/>
    <w:rsid w:val="005705CC"/>
    <w:rsid w:val="005705CD"/>
    <w:rsid w:val="00570604"/>
    <w:rsid w:val="0057067D"/>
    <w:rsid w:val="00570971"/>
    <w:rsid w:val="00570A6D"/>
    <w:rsid w:val="00570A72"/>
    <w:rsid w:val="00570AC2"/>
    <w:rsid w:val="00570B03"/>
    <w:rsid w:val="00570B1A"/>
    <w:rsid w:val="00570C43"/>
    <w:rsid w:val="00570CC1"/>
    <w:rsid w:val="00570CF0"/>
    <w:rsid w:val="00570D7F"/>
    <w:rsid w:val="00570F17"/>
    <w:rsid w:val="00570F42"/>
    <w:rsid w:val="00570FC6"/>
    <w:rsid w:val="00570FDD"/>
    <w:rsid w:val="00571073"/>
    <w:rsid w:val="005710A2"/>
    <w:rsid w:val="005710EF"/>
    <w:rsid w:val="005711A8"/>
    <w:rsid w:val="005711BD"/>
    <w:rsid w:val="005712E8"/>
    <w:rsid w:val="005713CC"/>
    <w:rsid w:val="00571408"/>
    <w:rsid w:val="0057142B"/>
    <w:rsid w:val="00571527"/>
    <w:rsid w:val="005716A1"/>
    <w:rsid w:val="005716E2"/>
    <w:rsid w:val="005717F2"/>
    <w:rsid w:val="00571859"/>
    <w:rsid w:val="00571A27"/>
    <w:rsid w:val="00571A97"/>
    <w:rsid w:val="00571AF5"/>
    <w:rsid w:val="00571AFB"/>
    <w:rsid w:val="00571C48"/>
    <w:rsid w:val="00571C62"/>
    <w:rsid w:val="00571C68"/>
    <w:rsid w:val="00571E10"/>
    <w:rsid w:val="00571E1C"/>
    <w:rsid w:val="00571FD5"/>
    <w:rsid w:val="00572027"/>
    <w:rsid w:val="00572043"/>
    <w:rsid w:val="00572115"/>
    <w:rsid w:val="0057211F"/>
    <w:rsid w:val="0057252A"/>
    <w:rsid w:val="0057263B"/>
    <w:rsid w:val="00572645"/>
    <w:rsid w:val="00572694"/>
    <w:rsid w:val="00572781"/>
    <w:rsid w:val="005728B3"/>
    <w:rsid w:val="005728B6"/>
    <w:rsid w:val="005728C4"/>
    <w:rsid w:val="005728ED"/>
    <w:rsid w:val="00572947"/>
    <w:rsid w:val="00572989"/>
    <w:rsid w:val="005729DD"/>
    <w:rsid w:val="005729DF"/>
    <w:rsid w:val="00572A3B"/>
    <w:rsid w:val="00572C62"/>
    <w:rsid w:val="00572C6C"/>
    <w:rsid w:val="00572D0B"/>
    <w:rsid w:val="00572E37"/>
    <w:rsid w:val="00572EC2"/>
    <w:rsid w:val="00572F55"/>
    <w:rsid w:val="00573122"/>
    <w:rsid w:val="00573148"/>
    <w:rsid w:val="005732C5"/>
    <w:rsid w:val="00573393"/>
    <w:rsid w:val="0057339C"/>
    <w:rsid w:val="005733E1"/>
    <w:rsid w:val="005734B5"/>
    <w:rsid w:val="0057351F"/>
    <w:rsid w:val="00573521"/>
    <w:rsid w:val="005735A8"/>
    <w:rsid w:val="0057368F"/>
    <w:rsid w:val="0057369C"/>
    <w:rsid w:val="005737A0"/>
    <w:rsid w:val="005737BA"/>
    <w:rsid w:val="005738A7"/>
    <w:rsid w:val="005738F6"/>
    <w:rsid w:val="00573905"/>
    <w:rsid w:val="00573A80"/>
    <w:rsid w:val="00573B08"/>
    <w:rsid w:val="00573B27"/>
    <w:rsid w:val="00573BA0"/>
    <w:rsid w:val="00573BBC"/>
    <w:rsid w:val="00573CD5"/>
    <w:rsid w:val="00573DCF"/>
    <w:rsid w:val="00573E81"/>
    <w:rsid w:val="00573E9C"/>
    <w:rsid w:val="00573EA8"/>
    <w:rsid w:val="00573EDD"/>
    <w:rsid w:val="00573FBE"/>
    <w:rsid w:val="00574036"/>
    <w:rsid w:val="005740D5"/>
    <w:rsid w:val="0057434D"/>
    <w:rsid w:val="00574428"/>
    <w:rsid w:val="0057444E"/>
    <w:rsid w:val="005744A1"/>
    <w:rsid w:val="005744F9"/>
    <w:rsid w:val="00574554"/>
    <w:rsid w:val="0057457D"/>
    <w:rsid w:val="005745C2"/>
    <w:rsid w:val="00574624"/>
    <w:rsid w:val="005748FC"/>
    <w:rsid w:val="0057498B"/>
    <w:rsid w:val="00574999"/>
    <w:rsid w:val="00574AEA"/>
    <w:rsid w:val="00574BE1"/>
    <w:rsid w:val="00574BFD"/>
    <w:rsid w:val="00574F87"/>
    <w:rsid w:val="0057507B"/>
    <w:rsid w:val="005751A5"/>
    <w:rsid w:val="00575272"/>
    <w:rsid w:val="00575373"/>
    <w:rsid w:val="00575480"/>
    <w:rsid w:val="005754E8"/>
    <w:rsid w:val="00575549"/>
    <w:rsid w:val="00575849"/>
    <w:rsid w:val="0057590B"/>
    <w:rsid w:val="0057595A"/>
    <w:rsid w:val="005759C8"/>
    <w:rsid w:val="00575ABF"/>
    <w:rsid w:val="00575AF9"/>
    <w:rsid w:val="00575B61"/>
    <w:rsid w:val="00575B63"/>
    <w:rsid w:val="00575BCF"/>
    <w:rsid w:val="00575BDA"/>
    <w:rsid w:val="00575D42"/>
    <w:rsid w:val="00575DDD"/>
    <w:rsid w:val="00575EB4"/>
    <w:rsid w:val="00575ED8"/>
    <w:rsid w:val="00575F47"/>
    <w:rsid w:val="005760CF"/>
    <w:rsid w:val="00576159"/>
    <w:rsid w:val="0057642A"/>
    <w:rsid w:val="00576433"/>
    <w:rsid w:val="005764C2"/>
    <w:rsid w:val="005765E2"/>
    <w:rsid w:val="0057663D"/>
    <w:rsid w:val="005766FE"/>
    <w:rsid w:val="0057674B"/>
    <w:rsid w:val="00576751"/>
    <w:rsid w:val="005767AF"/>
    <w:rsid w:val="005767CA"/>
    <w:rsid w:val="00576898"/>
    <w:rsid w:val="00576A66"/>
    <w:rsid w:val="00576B32"/>
    <w:rsid w:val="00576C3B"/>
    <w:rsid w:val="00576E3F"/>
    <w:rsid w:val="00576E70"/>
    <w:rsid w:val="00576FDC"/>
    <w:rsid w:val="00577069"/>
    <w:rsid w:val="0057709F"/>
    <w:rsid w:val="005770A3"/>
    <w:rsid w:val="0057725D"/>
    <w:rsid w:val="005773B7"/>
    <w:rsid w:val="00577449"/>
    <w:rsid w:val="00577450"/>
    <w:rsid w:val="005775A0"/>
    <w:rsid w:val="00577602"/>
    <w:rsid w:val="00577671"/>
    <w:rsid w:val="00577734"/>
    <w:rsid w:val="00577797"/>
    <w:rsid w:val="005777F0"/>
    <w:rsid w:val="00577897"/>
    <w:rsid w:val="00577907"/>
    <w:rsid w:val="0057792F"/>
    <w:rsid w:val="0057798B"/>
    <w:rsid w:val="005779D4"/>
    <w:rsid w:val="005779D7"/>
    <w:rsid w:val="00577BB8"/>
    <w:rsid w:val="00577BE3"/>
    <w:rsid w:val="00577C5E"/>
    <w:rsid w:val="00577C7B"/>
    <w:rsid w:val="00577C94"/>
    <w:rsid w:val="00577CC2"/>
    <w:rsid w:val="00577E50"/>
    <w:rsid w:val="00577E86"/>
    <w:rsid w:val="00580297"/>
    <w:rsid w:val="00580360"/>
    <w:rsid w:val="0058048E"/>
    <w:rsid w:val="005804E8"/>
    <w:rsid w:val="00580612"/>
    <w:rsid w:val="00580659"/>
    <w:rsid w:val="005806B0"/>
    <w:rsid w:val="0058074B"/>
    <w:rsid w:val="00580758"/>
    <w:rsid w:val="0058077D"/>
    <w:rsid w:val="00580909"/>
    <w:rsid w:val="00580A35"/>
    <w:rsid w:val="00580A5C"/>
    <w:rsid w:val="00580A6F"/>
    <w:rsid w:val="00580A8F"/>
    <w:rsid w:val="00580B5B"/>
    <w:rsid w:val="00580B64"/>
    <w:rsid w:val="00580C6A"/>
    <w:rsid w:val="00580CC3"/>
    <w:rsid w:val="00580CED"/>
    <w:rsid w:val="00580DC6"/>
    <w:rsid w:val="00580E33"/>
    <w:rsid w:val="00580E79"/>
    <w:rsid w:val="00580EFD"/>
    <w:rsid w:val="00580F85"/>
    <w:rsid w:val="00580FC2"/>
    <w:rsid w:val="00580FEB"/>
    <w:rsid w:val="0058101F"/>
    <w:rsid w:val="005810BB"/>
    <w:rsid w:val="00581137"/>
    <w:rsid w:val="00581194"/>
    <w:rsid w:val="00581313"/>
    <w:rsid w:val="005813EB"/>
    <w:rsid w:val="005813F2"/>
    <w:rsid w:val="00581400"/>
    <w:rsid w:val="005814CD"/>
    <w:rsid w:val="00581597"/>
    <w:rsid w:val="005815F6"/>
    <w:rsid w:val="005816D8"/>
    <w:rsid w:val="005819FE"/>
    <w:rsid w:val="00581AB0"/>
    <w:rsid w:val="00581B5F"/>
    <w:rsid w:val="00581CD8"/>
    <w:rsid w:val="00581CE2"/>
    <w:rsid w:val="00581F1B"/>
    <w:rsid w:val="00582066"/>
    <w:rsid w:val="0058218D"/>
    <w:rsid w:val="0058234E"/>
    <w:rsid w:val="00582461"/>
    <w:rsid w:val="005825C4"/>
    <w:rsid w:val="005826B3"/>
    <w:rsid w:val="00582701"/>
    <w:rsid w:val="0058286B"/>
    <w:rsid w:val="005828CA"/>
    <w:rsid w:val="005828CD"/>
    <w:rsid w:val="005828F4"/>
    <w:rsid w:val="00582942"/>
    <w:rsid w:val="0058294B"/>
    <w:rsid w:val="00582A8E"/>
    <w:rsid w:val="00582AE1"/>
    <w:rsid w:val="00582B7F"/>
    <w:rsid w:val="00582BCE"/>
    <w:rsid w:val="00582C89"/>
    <w:rsid w:val="00582DA0"/>
    <w:rsid w:val="00582DB4"/>
    <w:rsid w:val="00582DE2"/>
    <w:rsid w:val="00582E4B"/>
    <w:rsid w:val="00582E83"/>
    <w:rsid w:val="00582EA7"/>
    <w:rsid w:val="00582F19"/>
    <w:rsid w:val="0058305F"/>
    <w:rsid w:val="00583153"/>
    <w:rsid w:val="00583237"/>
    <w:rsid w:val="00583488"/>
    <w:rsid w:val="005834EA"/>
    <w:rsid w:val="00583515"/>
    <w:rsid w:val="005835BF"/>
    <w:rsid w:val="005835C2"/>
    <w:rsid w:val="005836DD"/>
    <w:rsid w:val="005836DE"/>
    <w:rsid w:val="00583717"/>
    <w:rsid w:val="005837B3"/>
    <w:rsid w:val="005838DC"/>
    <w:rsid w:val="005838DE"/>
    <w:rsid w:val="00583A01"/>
    <w:rsid w:val="00583B16"/>
    <w:rsid w:val="00583C29"/>
    <w:rsid w:val="00583C9A"/>
    <w:rsid w:val="00583DA2"/>
    <w:rsid w:val="00583E28"/>
    <w:rsid w:val="00583E33"/>
    <w:rsid w:val="00583F36"/>
    <w:rsid w:val="005841A8"/>
    <w:rsid w:val="0058420C"/>
    <w:rsid w:val="00584262"/>
    <w:rsid w:val="005842B1"/>
    <w:rsid w:val="00584355"/>
    <w:rsid w:val="005843C4"/>
    <w:rsid w:val="005843E3"/>
    <w:rsid w:val="00584452"/>
    <w:rsid w:val="00584671"/>
    <w:rsid w:val="005846C7"/>
    <w:rsid w:val="005847A0"/>
    <w:rsid w:val="005847EC"/>
    <w:rsid w:val="0058492D"/>
    <w:rsid w:val="005849BE"/>
    <w:rsid w:val="00584AA6"/>
    <w:rsid w:val="00584AB3"/>
    <w:rsid w:val="00584BAC"/>
    <w:rsid w:val="00584C73"/>
    <w:rsid w:val="00584C9D"/>
    <w:rsid w:val="00584D46"/>
    <w:rsid w:val="00584DB4"/>
    <w:rsid w:val="00584EED"/>
    <w:rsid w:val="00584EF4"/>
    <w:rsid w:val="005850D5"/>
    <w:rsid w:val="00585166"/>
    <w:rsid w:val="00585188"/>
    <w:rsid w:val="00585287"/>
    <w:rsid w:val="0058533A"/>
    <w:rsid w:val="00585379"/>
    <w:rsid w:val="0058540D"/>
    <w:rsid w:val="005854AA"/>
    <w:rsid w:val="005855A4"/>
    <w:rsid w:val="005855F6"/>
    <w:rsid w:val="0058567E"/>
    <w:rsid w:val="00585692"/>
    <w:rsid w:val="005857EB"/>
    <w:rsid w:val="0058590F"/>
    <w:rsid w:val="005859B3"/>
    <w:rsid w:val="005859DE"/>
    <w:rsid w:val="00585A20"/>
    <w:rsid w:val="00585BA2"/>
    <w:rsid w:val="00585CDD"/>
    <w:rsid w:val="00585DE4"/>
    <w:rsid w:val="00585E80"/>
    <w:rsid w:val="00585ED0"/>
    <w:rsid w:val="00585EF0"/>
    <w:rsid w:val="00585FC2"/>
    <w:rsid w:val="00585FF3"/>
    <w:rsid w:val="0058611D"/>
    <w:rsid w:val="00586151"/>
    <w:rsid w:val="00586163"/>
    <w:rsid w:val="00586230"/>
    <w:rsid w:val="00586275"/>
    <w:rsid w:val="0058631B"/>
    <w:rsid w:val="0058643B"/>
    <w:rsid w:val="0058645B"/>
    <w:rsid w:val="0058652B"/>
    <w:rsid w:val="0058654D"/>
    <w:rsid w:val="0058658C"/>
    <w:rsid w:val="00586613"/>
    <w:rsid w:val="00586662"/>
    <w:rsid w:val="0058666D"/>
    <w:rsid w:val="005866E2"/>
    <w:rsid w:val="00586766"/>
    <w:rsid w:val="00586986"/>
    <w:rsid w:val="005869EC"/>
    <w:rsid w:val="00586A88"/>
    <w:rsid w:val="00586AEB"/>
    <w:rsid w:val="00586B02"/>
    <w:rsid w:val="00586B7C"/>
    <w:rsid w:val="00586B83"/>
    <w:rsid w:val="00586C09"/>
    <w:rsid w:val="00586DB6"/>
    <w:rsid w:val="005872B9"/>
    <w:rsid w:val="00587355"/>
    <w:rsid w:val="0058736F"/>
    <w:rsid w:val="0058752A"/>
    <w:rsid w:val="0058758B"/>
    <w:rsid w:val="005875AA"/>
    <w:rsid w:val="00587751"/>
    <w:rsid w:val="00587799"/>
    <w:rsid w:val="00587899"/>
    <w:rsid w:val="0058790B"/>
    <w:rsid w:val="00587B11"/>
    <w:rsid w:val="00587DB5"/>
    <w:rsid w:val="00587DC2"/>
    <w:rsid w:val="00587F17"/>
    <w:rsid w:val="00587F24"/>
    <w:rsid w:val="00587F64"/>
    <w:rsid w:val="00587F9B"/>
    <w:rsid w:val="00587FCC"/>
    <w:rsid w:val="00587FF1"/>
    <w:rsid w:val="0059002D"/>
    <w:rsid w:val="005900DB"/>
    <w:rsid w:val="00590159"/>
    <w:rsid w:val="005901C5"/>
    <w:rsid w:val="00590231"/>
    <w:rsid w:val="00590384"/>
    <w:rsid w:val="005903D5"/>
    <w:rsid w:val="0059042A"/>
    <w:rsid w:val="005904B1"/>
    <w:rsid w:val="00590576"/>
    <w:rsid w:val="005906F2"/>
    <w:rsid w:val="0059072A"/>
    <w:rsid w:val="0059073D"/>
    <w:rsid w:val="00590762"/>
    <w:rsid w:val="00590774"/>
    <w:rsid w:val="00590888"/>
    <w:rsid w:val="0059088D"/>
    <w:rsid w:val="00590994"/>
    <w:rsid w:val="0059099D"/>
    <w:rsid w:val="00590A35"/>
    <w:rsid w:val="00590B55"/>
    <w:rsid w:val="00590B60"/>
    <w:rsid w:val="00590C84"/>
    <w:rsid w:val="00590CAF"/>
    <w:rsid w:val="00590D00"/>
    <w:rsid w:val="00590D2E"/>
    <w:rsid w:val="00590D64"/>
    <w:rsid w:val="00590DFB"/>
    <w:rsid w:val="00590E8F"/>
    <w:rsid w:val="00590E96"/>
    <w:rsid w:val="00590E9D"/>
    <w:rsid w:val="005910E6"/>
    <w:rsid w:val="00591105"/>
    <w:rsid w:val="00591163"/>
    <w:rsid w:val="00591172"/>
    <w:rsid w:val="00591282"/>
    <w:rsid w:val="00591299"/>
    <w:rsid w:val="005912E7"/>
    <w:rsid w:val="00591352"/>
    <w:rsid w:val="0059141D"/>
    <w:rsid w:val="0059145E"/>
    <w:rsid w:val="00591489"/>
    <w:rsid w:val="005915AC"/>
    <w:rsid w:val="00591667"/>
    <w:rsid w:val="005917BE"/>
    <w:rsid w:val="005917FE"/>
    <w:rsid w:val="0059186F"/>
    <w:rsid w:val="005919BF"/>
    <w:rsid w:val="00591A64"/>
    <w:rsid w:val="00591AA8"/>
    <w:rsid w:val="00591ADC"/>
    <w:rsid w:val="00591BEA"/>
    <w:rsid w:val="00591C90"/>
    <w:rsid w:val="005920DE"/>
    <w:rsid w:val="005920FF"/>
    <w:rsid w:val="0059214E"/>
    <w:rsid w:val="005921ED"/>
    <w:rsid w:val="0059231D"/>
    <w:rsid w:val="0059237D"/>
    <w:rsid w:val="00592489"/>
    <w:rsid w:val="00592585"/>
    <w:rsid w:val="0059259D"/>
    <w:rsid w:val="005925FD"/>
    <w:rsid w:val="005927A2"/>
    <w:rsid w:val="00592965"/>
    <w:rsid w:val="00592C33"/>
    <w:rsid w:val="00592C9D"/>
    <w:rsid w:val="00592CAB"/>
    <w:rsid w:val="00592CF1"/>
    <w:rsid w:val="00592CFA"/>
    <w:rsid w:val="00592D6A"/>
    <w:rsid w:val="00592DF0"/>
    <w:rsid w:val="00592E4C"/>
    <w:rsid w:val="00592E78"/>
    <w:rsid w:val="00592EF0"/>
    <w:rsid w:val="00592F3C"/>
    <w:rsid w:val="00593061"/>
    <w:rsid w:val="005930A6"/>
    <w:rsid w:val="005930FE"/>
    <w:rsid w:val="00593216"/>
    <w:rsid w:val="00593324"/>
    <w:rsid w:val="0059345D"/>
    <w:rsid w:val="00593461"/>
    <w:rsid w:val="00593496"/>
    <w:rsid w:val="0059357E"/>
    <w:rsid w:val="0059358D"/>
    <w:rsid w:val="005935FA"/>
    <w:rsid w:val="00593600"/>
    <w:rsid w:val="0059368D"/>
    <w:rsid w:val="0059369C"/>
    <w:rsid w:val="005936B3"/>
    <w:rsid w:val="00593713"/>
    <w:rsid w:val="0059372F"/>
    <w:rsid w:val="005938A8"/>
    <w:rsid w:val="00593A74"/>
    <w:rsid w:val="00593A91"/>
    <w:rsid w:val="00593B6D"/>
    <w:rsid w:val="00593BDF"/>
    <w:rsid w:val="00593C89"/>
    <w:rsid w:val="00593DE9"/>
    <w:rsid w:val="00593F6C"/>
    <w:rsid w:val="00593F73"/>
    <w:rsid w:val="00593F74"/>
    <w:rsid w:val="00593F7C"/>
    <w:rsid w:val="00593F83"/>
    <w:rsid w:val="00593FAA"/>
    <w:rsid w:val="00594079"/>
    <w:rsid w:val="005940CA"/>
    <w:rsid w:val="00594224"/>
    <w:rsid w:val="0059434C"/>
    <w:rsid w:val="0059437A"/>
    <w:rsid w:val="00594464"/>
    <w:rsid w:val="00594502"/>
    <w:rsid w:val="00594666"/>
    <w:rsid w:val="00594759"/>
    <w:rsid w:val="005947A2"/>
    <w:rsid w:val="00594A92"/>
    <w:rsid w:val="00594AA7"/>
    <w:rsid w:val="00594AEE"/>
    <w:rsid w:val="00594DBA"/>
    <w:rsid w:val="00594DEF"/>
    <w:rsid w:val="00594E22"/>
    <w:rsid w:val="00594FDD"/>
    <w:rsid w:val="005950FE"/>
    <w:rsid w:val="005951CF"/>
    <w:rsid w:val="005952DA"/>
    <w:rsid w:val="005953C5"/>
    <w:rsid w:val="005954C3"/>
    <w:rsid w:val="005956CA"/>
    <w:rsid w:val="005958F2"/>
    <w:rsid w:val="00595930"/>
    <w:rsid w:val="00595A80"/>
    <w:rsid w:val="00595AA9"/>
    <w:rsid w:val="00595B31"/>
    <w:rsid w:val="00595C10"/>
    <w:rsid w:val="00595D9E"/>
    <w:rsid w:val="00595DBB"/>
    <w:rsid w:val="00595E74"/>
    <w:rsid w:val="00595E99"/>
    <w:rsid w:val="0059606E"/>
    <w:rsid w:val="00596129"/>
    <w:rsid w:val="0059613F"/>
    <w:rsid w:val="005961C0"/>
    <w:rsid w:val="005966C7"/>
    <w:rsid w:val="0059680B"/>
    <w:rsid w:val="00596891"/>
    <w:rsid w:val="005968C0"/>
    <w:rsid w:val="005969D0"/>
    <w:rsid w:val="00596A51"/>
    <w:rsid w:val="00596B77"/>
    <w:rsid w:val="00596BC3"/>
    <w:rsid w:val="00596D36"/>
    <w:rsid w:val="00596DB1"/>
    <w:rsid w:val="00596DC6"/>
    <w:rsid w:val="0059708D"/>
    <w:rsid w:val="00597103"/>
    <w:rsid w:val="005971BF"/>
    <w:rsid w:val="0059724A"/>
    <w:rsid w:val="00597259"/>
    <w:rsid w:val="0059728A"/>
    <w:rsid w:val="005973C9"/>
    <w:rsid w:val="00597431"/>
    <w:rsid w:val="00597568"/>
    <w:rsid w:val="00597573"/>
    <w:rsid w:val="005975ED"/>
    <w:rsid w:val="00597680"/>
    <w:rsid w:val="00597706"/>
    <w:rsid w:val="00597875"/>
    <w:rsid w:val="0059795E"/>
    <w:rsid w:val="00597B60"/>
    <w:rsid w:val="00597B7A"/>
    <w:rsid w:val="00597D06"/>
    <w:rsid w:val="00597D1E"/>
    <w:rsid w:val="00597D43"/>
    <w:rsid w:val="00597DBD"/>
    <w:rsid w:val="00597DCB"/>
    <w:rsid w:val="00597DDA"/>
    <w:rsid w:val="00597EC0"/>
    <w:rsid w:val="00597F10"/>
    <w:rsid w:val="00597F20"/>
    <w:rsid w:val="005A007A"/>
    <w:rsid w:val="005A0154"/>
    <w:rsid w:val="005A02D2"/>
    <w:rsid w:val="005A035E"/>
    <w:rsid w:val="005A03A7"/>
    <w:rsid w:val="005A0448"/>
    <w:rsid w:val="005A055D"/>
    <w:rsid w:val="005A05CE"/>
    <w:rsid w:val="005A05F1"/>
    <w:rsid w:val="005A063B"/>
    <w:rsid w:val="005A0AD3"/>
    <w:rsid w:val="005A0B1D"/>
    <w:rsid w:val="005A0B25"/>
    <w:rsid w:val="005A0BEC"/>
    <w:rsid w:val="005A0C1F"/>
    <w:rsid w:val="005A0D51"/>
    <w:rsid w:val="005A0D65"/>
    <w:rsid w:val="005A0E03"/>
    <w:rsid w:val="005A0E50"/>
    <w:rsid w:val="005A0E63"/>
    <w:rsid w:val="005A0EA1"/>
    <w:rsid w:val="005A0F9D"/>
    <w:rsid w:val="005A102C"/>
    <w:rsid w:val="005A1045"/>
    <w:rsid w:val="005A107C"/>
    <w:rsid w:val="005A1145"/>
    <w:rsid w:val="005A11A1"/>
    <w:rsid w:val="005A12D7"/>
    <w:rsid w:val="005A15CC"/>
    <w:rsid w:val="005A15E6"/>
    <w:rsid w:val="005A1617"/>
    <w:rsid w:val="005A1701"/>
    <w:rsid w:val="005A1784"/>
    <w:rsid w:val="005A17BC"/>
    <w:rsid w:val="005A1993"/>
    <w:rsid w:val="005A19F6"/>
    <w:rsid w:val="005A1A95"/>
    <w:rsid w:val="005A1C86"/>
    <w:rsid w:val="005A1DCF"/>
    <w:rsid w:val="005A1DDC"/>
    <w:rsid w:val="005A1DE3"/>
    <w:rsid w:val="005A1E3C"/>
    <w:rsid w:val="005A1E69"/>
    <w:rsid w:val="005A1EE2"/>
    <w:rsid w:val="005A1EE9"/>
    <w:rsid w:val="005A21A5"/>
    <w:rsid w:val="005A2266"/>
    <w:rsid w:val="005A2341"/>
    <w:rsid w:val="005A23AF"/>
    <w:rsid w:val="005A23D8"/>
    <w:rsid w:val="005A249C"/>
    <w:rsid w:val="005A2542"/>
    <w:rsid w:val="005A2567"/>
    <w:rsid w:val="005A265A"/>
    <w:rsid w:val="005A26F4"/>
    <w:rsid w:val="005A2792"/>
    <w:rsid w:val="005A27A4"/>
    <w:rsid w:val="005A2807"/>
    <w:rsid w:val="005A2839"/>
    <w:rsid w:val="005A288D"/>
    <w:rsid w:val="005A28DF"/>
    <w:rsid w:val="005A28EB"/>
    <w:rsid w:val="005A29B7"/>
    <w:rsid w:val="005A2A57"/>
    <w:rsid w:val="005A2AC1"/>
    <w:rsid w:val="005A2AC2"/>
    <w:rsid w:val="005A2C6B"/>
    <w:rsid w:val="005A2D4E"/>
    <w:rsid w:val="005A2D92"/>
    <w:rsid w:val="005A2DC5"/>
    <w:rsid w:val="005A301F"/>
    <w:rsid w:val="005A307E"/>
    <w:rsid w:val="005A3337"/>
    <w:rsid w:val="005A33F1"/>
    <w:rsid w:val="005A340C"/>
    <w:rsid w:val="005A350B"/>
    <w:rsid w:val="005A358D"/>
    <w:rsid w:val="005A35FF"/>
    <w:rsid w:val="005A3619"/>
    <w:rsid w:val="005A3666"/>
    <w:rsid w:val="005A36E0"/>
    <w:rsid w:val="005A37CF"/>
    <w:rsid w:val="005A37F6"/>
    <w:rsid w:val="005A3833"/>
    <w:rsid w:val="005A3951"/>
    <w:rsid w:val="005A3BC3"/>
    <w:rsid w:val="005A3C8C"/>
    <w:rsid w:val="005A3CCC"/>
    <w:rsid w:val="005A3CD1"/>
    <w:rsid w:val="005A3CF4"/>
    <w:rsid w:val="005A3D7B"/>
    <w:rsid w:val="005A3D8D"/>
    <w:rsid w:val="005A3E29"/>
    <w:rsid w:val="005A3EFB"/>
    <w:rsid w:val="005A405E"/>
    <w:rsid w:val="005A406A"/>
    <w:rsid w:val="005A40F5"/>
    <w:rsid w:val="005A41E4"/>
    <w:rsid w:val="005A41ED"/>
    <w:rsid w:val="005A421A"/>
    <w:rsid w:val="005A4278"/>
    <w:rsid w:val="005A42EE"/>
    <w:rsid w:val="005A453B"/>
    <w:rsid w:val="005A458E"/>
    <w:rsid w:val="005A45E1"/>
    <w:rsid w:val="005A47B4"/>
    <w:rsid w:val="005A48AF"/>
    <w:rsid w:val="005A48FF"/>
    <w:rsid w:val="005A4986"/>
    <w:rsid w:val="005A49C2"/>
    <w:rsid w:val="005A4A8A"/>
    <w:rsid w:val="005A4B7E"/>
    <w:rsid w:val="005A4BB8"/>
    <w:rsid w:val="005A4BC3"/>
    <w:rsid w:val="005A4C05"/>
    <w:rsid w:val="005A4C40"/>
    <w:rsid w:val="005A4CA7"/>
    <w:rsid w:val="005A4D63"/>
    <w:rsid w:val="005A4DB8"/>
    <w:rsid w:val="005A4F46"/>
    <w:rsid w:val="005A505E"/>
    <w:rsid w:val="005A51F8"/>
    <w:rsid w:val="005A52C7"/>
    <w:rsid w:val="005A538E"/>
    <w:rsid w:val="005A5405"/>
    <w:rsid w:val="005A549A"/>
    <w:rsid w:val="005A5511"/>
    <w:rsid w:val="005A55E9"/>
    <w:rsid w:val="005A5672"/>
    <w:rsid w:val="005A5737"/>
    <w:rsid w:val="005A57E7"/>
    <w:rsid w:val="005A58DC"/>
    <w:rsid w:val="005A59F8"/>
    <w:rsid w:val="005A5B21"/>
    <w:rsid w:val="005A5BF6"/>
    <w:rsid w:val="005A5D1B"/>
    <w:rsid w:val="005A5FC2"/>
    <w:rsid w:val="005A5FF3"/>
    <w:rsid w:val="005A5FFF"/>
    <w:rsid w:val="005A603D"/>
    <w:rsid w:val="005A6088"/>
    <w:rsid w:val="005A60A4"/>
    <w:rsid w:val="005A61AE"/>
    <w:rsid w:val="005A6286"/>
    <w:rsid w:val="005A63CE"/>
    <w:rsid w:val="005A6428"/>
    <w:rsid w:val="005A64C9"/>
    <w:rsid w:val="005A6564"/>
    <w:rsid w:val="005A656F"/>
    <w:rsid w:val="005A65FE"/>
    <w:rsid w:val="005A6702"/>
    <w:rsid w:val="005A6759"/>
    <w:rsid w:val="005A67F5"/>
    <w:rsid w:val="005A6806"/>
    <w:rsid w:val="005A6825"/>
    <w:rsid w:val="005A69D4"/>
    <w:rsid w:val="005A6AB2"/>
    <w:rsid w:val="005A6AE5"/>
    <w:rsid w:val="005A6D3C"/>
    <w:rsid w:val="005A6D87"/>
    <w:rsid w:val="005A7018"/>
    <w:rsid w:val="005A7150"/>
    <w:rsid w:val="005A725B"/>
    <w:rsid w:val="005A7269"/>
    <w:rsid w:val="005A7335"/>
    <w:rsid w:val="005A758E"/>
    <w:rsid w:val="005A7621"/>
    <w:rsid w:val="005A76B1"/>
    <w:rsid w:val="005A7721"/>
    <w:rsid w:val="005A77D2"/>
    <w:rsid w:val="005A78C3"/>
    <w:rsid w:val="005A7925"/>
    <w:rsid w:val="005A79CC"/>
    <w:rsid w:val="005A7AAD"/>
    <w:rsid w:val="005A7AC6"/>
    <w:rsid w:val="005A7B4B"/>
    <w:rsid w:val="005A7BC0"/>
    <w:rsid w:val="005A7BDE"/>
    <w:rsid w:val="005A7D5B"/>
    <w:rsid w:val="005A7E71"/>
    <w:rsid w:val="005A7E7D"/>
    <w:rsid w:val="005A7EC3"/>
    <w:rsid w:val="005A7EE2"/>
    <w:rsid w:val="005A7F29"/>
    <w:rsid w:val="005B0157"/>
    <w:rsid w:val="005B0316"/>
    <w:rsid w:val="005B035A"/>
    <w:rsid w:val="005B03EC"/>
    <w:rsid w:val="005B0547"/>
    <w:rsid w:val="005B05A7"/>
    <w:rsid w:val="005B0666"/>
    <w:rsid w:val="005B06FD"/>
    <w:rsid w:val="005B0710"/>
    <w:rsid w:val="005B07D4"/>
    <w:rsid w:val="005B0974"/>
    <w:rsid w:val="005B0AF3"/>
    <w:rsid w:val="005B0C98"/>
    <w:rsid w:val="005B0F00"/>
    <w:rsid w:val="005B0F49"/>
    <w:rsid w:val="005B108E"/>
    <w:rsid w:val="005B10FF"/>
    <w:rsid w:val="005B1154"/>
    <w:rsid w:val="005B1182"/>
    <w:rsid w:val="005B1232"/>
    <w:rsid w:val="005B1274"/>
    <w:rsid w:val="005B1323"/>
    <w:rsid w:val="005B1329"/>
    <w:rsid w:val="005B13BC"/>
    <w:rsid w:val="005B1414"/>
    <w:rsid w:val="005B141D"/>
    <w:rsid w:val="005B144F"/>
    <w:rsid w:val="005B145B"/>
    <w:rsid w:val="005B152F"/>
    <w:rsid w:val="005B164F"/>
    <w:rsid w:val="005B16F9"/>
    <w:rsid w:val="005B1780"/>
    <w:rsid w:val="005B18C3"/>
    <w:rsid w:val="005B18E7"/>
    <w:rsid w:val="005B1914"/>
    <w:rsid w:val="005B193C"/>
    <w:rsid w:val="005B19A7"/>
    <w:rsid w:val="005B1AF2"/>
    <w:rsid w:val="005B1B6B"/>
    <w:rsid w:val="005B1C6F"/>
    <w:rsid w:val="005B1CB6"/>
    <w:rsid w:val="005B1F25"/>
    <w:rsid w:val="005B20B5"/>
    <w:rsid w:val="005B2144"/>
    <w:rsid w:val="005B22A4"/>
    <w:rsid w:val="005B2351"/>
    <w:rsid w:val="005B237F"/>
    <w:rsid w:val="005B238C"/>
    <w:rsid w:val="005B24C9"/>
    <w:rsid w:val="005B253A"/>
    <w:rsid w:val="005B256C"/>
    <w:rsid w:val="005B2664"/>
    <w:rsid w:val="005B26DA"/>
    <w:rsid w:val="005B2787"/>
    <w:rsid w:val="005B2865"/>
    <w:rsid w:val="005B28CC"/>
    <w:rsid w:val="005B28F5"/>
    <w:rsid w:val="005B2A88"/>
    <w:rsid w:val="005B2B2D"/>
    <w:rsid w:val="005B2D86"/>
    <w:rsid w:val="005B2DAC"/>
    <w:rsid w:val="005B2E9C"/>
    <w:rsid w:val="005B2EAE"/>
    <w:rsid w:val="005B30A7"/>
    <w:rsid w:val="005B30E9"/>
    <w:rsid w:val="005B3103"/>
    <w:rsid w:val="005B312D"/>
    <w:rsid w:val="005B31CE"/>
    <w:rsid w:val="005B31D6"/>
    <w:rsid w:val="005B3390"/>
    <w:rsid w:val="005B341C"/>
    <w:rsid w:val="005B37DA"/>
    <w:rsid w:val="005B380B"/>
    <w:rsid w:val="005B383A"/>
    <w:rsid w:val="005B387B"/>
    <w:rsid w:val="005B3BB3"/>
    <w:rsid w:val="005B3D00"/>
    <w:rsid w:val="005B3DFF"/>
    <w:rsid w:val="005B4011"/>
    <w:rsid w:val="005B4093"/>
    <w:rsid w:val="005B40D1"/>
    <w:rsid w:val="005B4103"/>
    <w:rsid w:val="005B415B"/>
    <w:rsid w:val="005B41B0"/>
    <w:rsid w:val="005B41B7"/>
    <w:rsid w:val="005B4201"/>
    <w:rsid w:val="005B43C0"/>
    <w:rsid w:val="005B43DF"/>
    <w:rsid w:val="005B4414"/>
    <w:rsid w:val="005B45AE"/>
    <w:rsid w:val="005B4795"/>
    <w:rsid w:val="005B4804"/>
    <w:rsid w:val="005B4910"/>
    <w:rsid w:val="005B4971"/>
    <w:rsid w:val="005B4975"/>
    <w:rsid w:val="005B4AEC"/>
    <w:rsid w:val="005B4B49"/>
    <w:rsid w:val="005B4BF2"/>
    <w:rsid w:val="005B4CA0"/>
    <w:rsid w:val="005B4D08"/>
    <w:rsid w:val="005B4D6A"/>
    <w:rsid w:val="005B4DB2"/>
    <w:rsid w:val="005B4DD3"/>
    <w:rsid w:val="005B4E62"/>
    <w:rsid w:val="005B4F87"/>
    <w:rsid w:val="005B4FF1"/>
    <w:rsid w:val="005B5145"/>
    <w:rsid w:val="005B52BB"/>
    <w:rsid w:val="005B52DE"/>
    <w:rsid w:val="005B5444"/>
    <w:rsid w:val="005B551A"/>
    <w:rsid w:val="005B5533"/>
    <w:rsid w:val="005B5972"/>
    <w:rsid w:val="005B59A7"/>
    <w:rsid w:val="005B5A4C"/>
    <w:rsid w:val="005B5B1E"/>
    <w:rsid w:val="005B5B56"/>
    <w:rsid w:val="005B5C27"/>
    <w:rsid w:val="005B5CFE"/>
    <w:rsid w:val="005B5E41"/>
    <w:rsid w:val="005B5E66"/>
    <w:rsid w:val="005B5E81"/>
    <w:rsid w:val="005B5E95"/>
    <w:rsid w:val="005B5ED8"/>
    <w:rsid w:val="005B5F2D"/>
    <w:rsid w:val="005B5F99"/>
    <w:rsid w:val="005B60C4"/>
    <w:rsid w:val="005B6141"/>
    <w:rsid w:val="005B6243"/>
    <w:rsid w:val="005B629A"/>
    <w:rsid w:val="005B62CC"/>
    <w:rsid w:val="005B62F1"/>
    <w:rsid w:val="005B6618"/>
    <w:rsid w:val="005B663E"/>
    <w:rsid w:val="005B66DF"/>
    <w:rsid w:val="005B6737"/>
    <w:rsid w:val="005B6956"/>
    <w:rsid w:val="005B6AF1"/>
    <w:rsid w:val="005B6B19"/>
    <w:rsid w:val="005B6B95"/>
    <w:rsid w:val="005B6C30"/>
    <w:rsid w:val="005B6C8A"/>
    <w:rsid w:val="005B6DCA"/>
    <w:rsid w:val="005B6E6A"/>
    <w:rsid w:val="005B6E7C"/>
    <w:rsid w:val="005B6EB6"/>
    <w:rsid w:val="005B6EFB"/>
    <w:rsid w:val="005B70CA"/>
    <w:rsid w:val="005B70DF"/>
    <w:rsid w:val="005B7233"/>
    <w:rsid w:val="005B7253"/>
    <w:rsid w:val="005B72DC"/>
    <w:rsid w:val="005B7454"/>
    <w:rsid w:val="005B747D"/>
    <w:rsid w:val="005B74A4"/>
    <w:rsid w:val="005B74B1"/>
    <w:rsid w:val="005B75A6"/>
    <w:rsid w:val="005B7660"/>
    <w:rsid w:val="005B76D2"/>
    <w:rsid w:val="005B775D"/>
    <w:rsid w:val="005B77A9"/>
    <w:rsid w:val="005B782B"/>
    <w:rsid w:val="005B788F"/>
    <w:rsid w:val="005B7A19"/>
    <w:rsid w:val="005B7B01"/>
    <w:rsid w:val="005B7B28"/>
    <w:rsid w:val="005B7B3B"/>
    <w:rsid w:val="005B7BDC"/>
    <w:rsid w:val="005B7D12"/>
    <w:rsid w:val="005B7D58"/>
    <w:rsid w:val="005B7D83"/>
    <w:rsid w:val="005B7D8C"/>
    <w:rsid w:val="005B7EAB"/>
    <w:rsid w:val="005B7F0F"/>
    <w:rsid w:val="005B7F96"/>
    <w:rsid w:val="005C015E"/>
    <w:rsid w:val="005C01E0"/>
    <w:rsid w:val="005C02D5"/>
    <w:rsid w:val="005C035E"/>
    <w:rsid w:val="005C036F"/>
    <w:rsid w:val="005C0432"/>
    <w:rsid w:val="005C043F"/>
    <w:rsid w:val="005C074E"/>
    <w:rsid w:val="005C07D0"/>
    <w:rsid w:val="005C0846"/>
    <w:rsid w:val="005C0A5F"/>
    <w:rsid w:val="005C0B20"/>
    <w:rsid w:val="005C0B2E"/>
    <w:rsid w:val="005C0BA7"/>
    <w:rsid w:val="005C0BD2"/>
    <w:rsid w:val="005C0BEA"/>
    <w:rsid w:val="005C0C14"/>
    <w:rsid w:val="005C0C8D"/>
    <w:rsid w:val="005C0D1C"/>
    <w:rsid w:val="005C0D66"/>
    <w:rsid w:val="005C0E11"/>
    <w:rsid w:val="005C0E61"/>
    <w:rsid w:val="005C0E62"/>
    <w:rsid w:val="005C0E6C"/>
    <w:rsid w:val="005C107F"/>
    <w:rsid w:val="005C11D8"/>
    <w:rsid w:val="005C12E4"/>
    <w:rsid w:val="005C12E6"/>
    <w:rsid w:val="005C13D3"/>
    <w:rsid w:val="005C140C"/>
    <w:rsid w:val="005C1462"/>
    <w:rsid w:val="005C147C"/>
    <w:rsid w:val="005C14AA"/>
    <w:rsid w:val="005C1531"/>
    <w:rsid w:val="005C1599"/>
    <w:rsid w:val="005C160C"/>
    <w:rsid w:val="005C168D"/>
    <w:rsid w:val="005C18D8"/>
    <w:rsid w:val="005C1906"/>
    <w:rsid w:val="005C195C"/>
    <w:rsid w:val="005C1967"/>
    <w:rsid w:val="005C19B1"/>
    <w:rsid w:val="005C1B64"/>
    <w:rsid w:val="005C1B9C"/>
    <w:rsid w:val="005C1C14"/>
    <w:rsid w:val="005C1ECD"/>
    <w:rsid w:val="005C1F56"/>
    <w:rsid w:val="005C2134"/>
    <w:rsid w:val="005C2172"/>
    <w:rsid w:val="005C219F"/>
    <w:rsid w:val="005C21A5"/>
    <w:rsid w:val="005C22FB"/>
    <w:rsid w:val="005C25BA"/>
    <w:rsid w:val="005C25C1"/>
    <w:rsid w:val="005C2603"/>
    <w:rsid w:val="005C28D6"/>
    <w:rsid w:val="005C28DF"/>
    <w:rsid w:val="005C291C"/>
    <w:rsid w:val="005C2A29"/>
    <w:rsid w:val="005C2A4B"/>
    <w:rsid w:val="005C2A94"/>
    <w:rsid w:val="005C2B22"/>
    <w:rsid w:val="005C2C09"/>
    <w:rsid w:val="005C2C13"/>
    <w:rsid w:val="005C2CA9"/>
    <w:rsid w:val="005C2CF2"/>
    <w:rsid w:val="005C2EE7"/>
    <w:rsid w:val="005C2FA8"/>
    <w:rsid w:val="005C2FB8"/>
    <w:rsid w:val="005C2FFE"/>
    <w:rsid w:val="005C3008"/>
    <w:rsid w:val="005C3085"/>
    <w:rsid w:val="005C3192"/>
    <w:rsid w:val="005C322B"/>
    <w:rsid w:val="005C330F"/>
    <w:rsid w:val="005C3314"/>
    <w:rsid w:val="005C339A"/>
    <w:rsid w:val="005C3494"/>
    <w:rsid w:val="005C349B"/>
    <w:rsid w:val="005C3545"/>
    <w:rsid w:val="005C3567"/>
    <w:rsid w:val="005C3597"/>
    <w:rsid w:val="005C35E3"/>
    <w:rsid w:val="005C36B7"/>
    <w:rsid w:val="005C3AC9"/>
    <w:rsid w:val="005C3B0D"/>
    <w:rsid w:val="005C3B42"/>
    <w:rsid w:val="005C3BA0"/>
    <w:rsid w:val="005C3BED"/>
    <w:rsid w:val="005C3C97"/>
    <w:rsid w:val="005C3D27"/>
    <w:rsid w:val="005C3D45"/>
    <w:rsid w:val="005C40F5"/>
    <w:rsid w:val="005C4153"/>
    <w:rsid w:val="005C415F"/>
    <w:rsid w:val="005C4163"/>
    <w:rsid w:val="005C4202"/>
    <w:rsid w:val="005C4239"/>
    <w:rsid w:val="005C425D"/>
    <w:rsid w:val="005C42A7"/>
    <w:rsid w:val="005C42C5"/>
    <w:rsid w:val="005C432B"/>
    <w:rsid w:val="005C43D7"/>
    <w:rsid w:val="005C453C"/>
    <w:rsid w:val="005C45F0"/>
    <w:rsid w:val="005C468D"/>
    <w:rsid w:val="005C4782"/>
    <w:rsid w:val="005C48C7"/>
    <w:rsid w:val="005C48C9"/>
    <w:rsid w:val="005C490D"/>
    <w:rsid w:val="005C49A7"/>
    <w:rsid w:val="005C4A97"/>
    <w:rsid w:val="005C4BA7"/>
    <w:rsid w:val="005C4D79"/>
    <w:rsid w:val="005C4E78"/>
    <w:rsid w:val="005C4EA9"/>
    <w:rsid w:val="005C5023"/>
    <w:rsid w:val="005C509C"/>
    <w:rsid w:val="005C50A7"/>
    <w:rsid w:val="005C510C"/>
    <w:rsid w:val="005C511C"/>
    <w:rsid w:val="005C51AC"/>
    <w:rsid w:val="005C5252"/>
    <w:rsid w:val="005C5363"/>
    <w:rsid w:val="005C543D"/>
    <w:rsid w:val="005C545D"/>
    <w:rsid w:val="005C550E"/>
    <w:rsid w:val="005C555D"/>
    <w:rsid w:val="005C5644"/>
    <w:rsid w:val="005C5659"/>
    <w:rsid w:val="005C5683"/>
    <w:rsid w:val="005C5780"/>
    <w:rsid w:val="005C5802"/>
    <w:rsid w:val="005C5936"/>
    <w:rsid w:val="005C5A2D"/>
    <w:rsid w:val="005C5BA1"/>
    <w:rsid w:val="005C5BD5"/>
    <w:rsid w:val="005C5C0A"/>
    <w:rsid w:val="005C5C50"/>
    <w:rsid w:val="005C5CFF"/>
    <w:rsid w:val="005C5E8A"/>
    <w:rsid w:val="005C5FD2"/>
    <w:rsid w:val="005C5FDE"/>
    <w:rsid w:val="005C6005"/>
    <w:rsid w:val="005C6096"/>
    <w:rsid w:val="005C62D9"/>
    <w:rsid w:val="005C6334"/>
    <w:rsid w:val="005C646F"/>
    <w:rsid w:val="005C64C2"/>
    <w:rsid w:val="005C6562"/>
    <w:rsid w:val="005C6586"/>
    <w:rsid w:val="005C6679"/>
    <w:rsid w:val="005C66FD"/>
    <w:rsid w:val="005C67C1"/>
    <w:rsid w:val="005C6851"/>
    <w:rsid w:val="005C68D6"/>
    <w:rsid w:val="005C68ED"/>
    <w:rsid w:val="005C6A2A"/>
    <w:rsid w:val="005C6AB3"/>
    <w:rsid w:val="005C6AE2"/>
    <w:rsid w:val="005C6B43"/>
    <w:rsid w:val="005C6BC5"/>
    <w:rsid w:val="005C6C2E"/>
    <w:rsid w:val="005C6DD2"/>
    <w:rsid w:val="005C6DE7"/>
    <w:rsid w:val="005C6E1D"/>
    <w:rsid w:val="005C6FF6"/>
    <w:rsid w:val="005C7256"/>
    <w:rsid w:val="005C730D"/>
    <w:rsid w:val="005C7367"/>
    <w:rsid w:val="005C745F"/>
    <w:rsid w:val="005C7563"/>
    <w:rsid w:val="005C75B7"/>
    <w:rsid w:val="005C7747"/>
    <w:rsid w:val="005C7A12"/>
    <w:rsid w:val="005C7A42"/>
    <w:rsid w:val="005C7ABC"/>
    <w:rsid w:val="005C7BCE"/>
    <w:rsid w:val="005C7BEC"/>
    <w:rsid w:val="005C7C41"/>
    <w:rsid w:val="005C7C96"/>
    <w:rsid w:val="005C7CF1"/>
    <w:rsid w:val="005C7CF2"/>
    <w:rsid w:val="005C7D5E"/>
    <w:rsid w:val="005C7D6B"/>
    <w:rsid w:val="005C7E20"/>
    <w:rsid w:val="005C7E39"/>
    <w:rsid w:val="005C7E51"/>
    <w:rsid w:val="005C7E91"/>
    <w:rsid w:val="005D003D"/>
    <w:rsid w:val="005D00CE"/>
    <w:rsid w:val="005D0138"/>
    <w:rsid w:val="005D0195"/>
    <w:rsid w:val="005D01AD"/>
    <w:rsid w:val="005D01CD"/>
    <w:rsid w:val="005D0352"/>
    <w:rsid w:val="005D0391"/>
    <w:rsid w:val="005D04A7"/>
    <w:rsid w:val="005D04C1"/>
    <w:rsid w:val="005D05A1"/>
    <w:rsid w:val="005D0629"/>
    <w:rsid w:val="005D067B"/>
    <w:rsid w:val="005D06E0"/>
    <w:rsid w:val="005D08A5"/>
    <w:rsid w:val="005D0CA5"/>
    <w:rsid w:val="005D0F3F"/>
    <w:rsid w:val="005D0F40"/>
    <w:rsid w:val="005D10A4"/>
    <w:rsid w:val="005D10BF"/>
    <w:rsid w:val="005D112F"/>
    <w:rsid w:val="005D12A0"/>
    <w:rsid w:val="005D135D"/>
    <w:rsid w:val="005D13B3"/>
    <w:rsid w:val="005D144D"/>
    <w:rsid w:val="005D14A7"/>
    <w:rsid w:val="005D1531"/>
    <w:rsid w:val="005D1541"/>
    <w:rsid w:val="005D1611"/>
    <w:rsid w:val="005D16A8"/>
    <w:rsid w:val="005D171E"/>
    <w:rsid w:val="005D1743"/>
    <w:rsid w:val="005D1779"/>
    <w:rsid w:val="005D17E8"/>
    <w:rsid w:val="005D17EE"/>
    <w:rsid w:val="005D18F8"/>
    <w:rsid w:val="005D192F"/>
    <w:rsid w:val="005D1A04"/>
    <w:rsid w:val="005D1ACD"/>
    <w:rsid w:val="005D1C68"/>
    <w:rsid w:val="005D1CCE"/>
    <w:rsid w:val="005D1DB6"/>
    <w:rsid w:val="005D1F62"/>
    <w:rsid w:val="005D1F6E"/>
    <w:rsid w:val="005D1FF5"/>
    <w:rsid w:val="005D203B"/>
    <w:rsid w:val="005D218F"/>
    <w:rsid w:val="005D2331"/>
    <w:rsid w:val="005D249F"/>
    <w:rsid w:val="005D24D8"/>
    <w:rsid w:val="005D250E"/>
    <w:rsid w:val="005D2545"/>
    <w:rsid w:val="005D25AC"/>
    <w:rsid w:val="005D25C2"/>
    <w:rsid w:val="005D27E2"/>
    <w:rsid w:val="005D29DE"/>
    <w:rsid w:val="005D29EF"/>
    <w:rsid w:val="005D2A38"/>
    <w:rsid w:val="005D2A88"/>
    <w:rsid w:val="005D2AB3"/>
    <w:rsid w:val="005D2BB9"/>
    <w:rsid w:val="005D2C86"/>
    <w:rsid w:val="005D2D8B"/>
    <w:rsid w:val="005D2DAF"/>
    <w:rsid w:val="005D31E0"/>
    <w:rsid w:val="005D322B"/>
    <w:rsid w:val="005D3345"/>
    <w:rsid w:val="005D3518"/>
    <w:rsid w:val="005D3554"/>
    <w:rsid w:val="005D35CE"/>
    <w:rsid w:val="005D3651"/>
    <w:rsid w:val="005D36DD"/>
    <w:rsid w:val="005D37F0"/>
    <w:rsid w:val="005D37F7"/>
    <w:rsid w:val="005D381C"/>
    <w:rsid w:val="005D384C"/>
    <w:rsid w:val="005D38E1"/>
    <w:rsid w:val="005D3978"/>
    <w:rsid w:val="005D397A"/>
    <w:rsid w:val="005D3B2C"/>
    <w:rsid w:val="005D3B90"/>
    <w:rsid w:val="005D3C60"/>
    <w:rsid w:val="005D3C87"/>
    <w:rsid w:val="005D3CD1"/>
    <w:rsid w:val="005D3D29"/>
    <w:rsid w:val="005D3D6D"/>
    <w:rsid w:val="005D3DAA"/>
    <w:rsid w:val="005D3DD1"/>
    <w:rsid w:val="005D3FDB"/>
    <w:rsid w:val="005D3FF1"/>
    <w:rsid w:val="005D407F"/>
    <w:rsid w:val="005D40E3"/>
    <w:rsid w:val="005D410C"/>
    <w:rsid w:val="005D4157"/>
    <w:rsid w:val="005D4176"/>
    <w:rsid w:val="005D427A"/>
    <w:rsid w:val="005D4342"/>
    <w:rsid w:val="005D45F9"/>
    <w:rsid w:val="005D462C"/>
    <w:rsid w:val="005D46A3"/>
    <w:rsid w:val="005D46B5"/>
    <w:rsid w:val="005D47D7"/>
    <w:rsid w:val="005D47FF"/>
    <w:rsid w:val="005D484B"/>
    <w:rsid w:val="005D48AC"/>
    <w:rsid w:val="005D498A"/>
    <w:rsid w:val="005D4A00"/>
    <w:rsid w:val="005D4A13"/>
    <w:rsid w:val="005D4A9C"/>
    <w:rsid w:val="005D4B21"/>
    <w:rsid w:val="005D4DEC"/>
    <w:rsid w:val="005D4E20"/>
    <w:rsid w:val="005D4E38"/>
    <w:rsid w:val="005D4F9E"/>
    <w:rsid w:val="005D4FC6"/>
    <w:rsid w:val="005D5152"/>
    <w:rsid w:val="005D5524"/>
    <w:rsid w:val="005D55C5"/>
    <w:rsid w:val="005D561E"/>
    <w:rsid w:val="005D5698"/>
    <w:rsid w:val="005D5764"/>
    <w:rsid w:val="005D5775"/>
    <w:rsid w:val="005D5797"/>
    <w:rsid w:val="005D584F"/>
    <w:rsid w:val="005D58AD"/>
    <w:rsid w:val="005D58CB"/>
    <w:rsid w:val="005D597A"/>
    <w:rsid w:val="005D5BE8"/>
    <w:rsid w:val="005D5BF1"/>
    <w:rsid w:val="005D5C37"/>
    <w:rsid w:val="005D5D23"/>
    <w:rsid w:val="005D5D45"/>
    <w:rsid w:val="005D5DB2"/>
    <w:rsid w:val="005D5E99"/>
    <w:rsid w:val="005D5E9F"/>
    <w:rsid w:val="005D5FB7"/>
    <w:rsid w:val="005D5FE6"/>
    <w:rsid w:val="005D604A"/>
    <w:rsid w:val="005D605A"/>
    <w:rsid w:val="005D6273"/>
    <w:rsid w:val="005D628E"/>
    <w:rsid w:val="005D63E4"/>
    <w:rsid w:val="005D66B4"/>
    <w:rsid w:val="005D66ED"/>
    <w:rsid w:val="005D6838"/>
    <w:rsid w:val="005D692F"/>
    <w:rsid w:val="005D6969"/>
    <w:rsid w:val="005D69BD"/>
    <w:rsid w:val="005D6A1D"/>
    <w:rsid w:val="005D6A5F"/>
    <w:rsid w:val="005D6AA4"/>
    <w:rsid w:val="005D6B1F"/>
    <w:rsid w:val="005D6BFF"/>
    <w:rsid w:val="005D6C60"/>
    <w:rsid w:val="005D6CB8"/>
    <w:rsid w:val="005D6FBB"/>
    <w:rsid w:val="005D6FDA"/>
    <w:rsid w:val="005D704B"/>
    <w:rsid w:val="005D71DD"/>
    <w:rsid w:val="005D7259"/>
    <w:rsid w:val="005D7260"/>
    <w:rsid w:val="005D735C"/>
    <w:rsid w:val="005D7572"/>
    <w:rsid w:val="005D75B2"/>
    <w:rsid w:val="005D76B2"/>
    <w:rsid w:val="005D76EC"/>
    <w:rsid w:val="005D77A2"/>
    <w:rsid w:val="005D77CC"/>
    <w:rsid w:val="005D7A2A"/>
    <w:rsid w:val="005D7AE0"/>
    <w:rsid w:val="005D7AF1"/>
    <w:rsid w:val="005D7B6D"/>
    <w:rsid w:val="005D7B91"/>
    <w:rsid w:val="005D7C58"/>
    <w:rsid w:val="005D7C77"/>
    <w:rsid w:val="005D7D6A"/>
    <w:rsid w:val="005D7F3F"/>
    <w:rsid w:val="005D7FB3"/>
    <w:rsid w:val="005E0067"/>
    <w:rsid w:val="005E0089"/>
    <w:rsid w:val="005E00A9"/>
    <w:rsid w:val="005E02BA"/>
    <w:rsid w:val="005E0380"/>
    <w:rsid w:val="005E0420"/>
    <w:rsid w:val="005E04B3"/>
    <w:rsid w:val="005E04D6"/>
    <w:rsid w:val="005E05AD"/>
    <w:rsid w:val="005E05D4"/>
    <w:rsid w:val="005E061D"/>
    <w:rsid w:val="005E063D"/>
    <w:rsid w:val="005E0645"/>
    <w:rsid w:val="005E0736"/>
    <w:rsid w:val="005E0908"/>
    <w:rsid w:val="005E09A9"/>
    <w:rsid w:val="005E0B72"/>
    <w:rsid w:val="005E0BA3"/>
    <w:rsid w:val="005E0BD9"/>
    <w:rsid w:val="005E0C5D"/>
    <w:rsid w:val="005E0D4F"/>
    <w:rsid w:val="005E0E2C"/>
    <w:rsid w:val="005E1040"/>
    <w:rsid w:val="005E10D6"/>
    <w:rsid w:val="005E110C"/>
    <w:rsid w:val="005E11B6"/>
    <w:rsid w:val="005E127D"/>
    <w:rsid w:val="005E12C7"/>
    <w:rsid w:val="005E1319"/>
    <w:rsid w:val="005E140F"/>
    <w:rsid w:val="005E1435"/>
    <w:rsid w:val="005E14B6"/>
    <w:rsid w:val="005E14D0"/>
    <w:rsid w:val="005E1541"/>
    <w:rsid w:val="005E15F4"/>
    <w:rsid w:val="005E1656"/>
    <w:rsid w:val="005E1662"/>
    <w:rsid w:val="005E1685"/>
    <w:rsid w:val="005E16F4"/>
    <w:rsid w:val="005E18D4"/>
    <w:rsid w:val="005E18E1"/>
    <w:rsid w:val="005E1950"/>
    <w:rsid w:val="005E195C"/>
    <w:rsid w:val="005E1B53"/>
    <w:rsid w:val="005E1BCB"/>
    <w:rsid w:val="005E1C55"/>
    <w:rsid w:val="005E1D47"/>
    <w:rsid w:val="005E1D81"/>
    <w:rsid w:val="005E1EE1"/>
    <w:rsid w:val="005E1F09"/>
    <w:rsid w:val="005E1F38"/>
    <w:rsid w:val="005E1F99"/>
    <w:rsid w:val="005E1FC6"/>
    <w:rsid w:val="005E20A0"/>
    <w:rsid w:val="005E224E"/>
    <w:rsid w:val="005E22B0"/>
    <w:rsid w:val="005E243D"/>
    <w:rsid w:val="005E243E"/>
    <w:rsid w:val="005E24F3"/>
    <w:rsid w:val="005E2530"/>
    <w:rsid w:val="005E2763"/>
    <w:rsid w:val="005E27A3"/>
    <w:rsid w:val="005E27C6"/>
    <w:rsid w:val="005E27F6"/>
    <w:rsid w:val="005E2814"/>
    <w:rsid w:val="005E2828"/>
    <w:rsid w:val="005E2836"/>
    <w:rsid w:val="005E284A"/>
    <w:rsid w:val="005E2860"/>
    <w:rsid w:val="005E28EF"/>
    <w:rsid w:val="005E2976"/>
    <w:rsid w:val="005E29A8"/>
    <w:rsid w:val="005E29E8"/>
    <w:rsid w:val="005E2B4F"/>
    <w:rsid w:val="005E2B62"/>
    <w:rsid w:val="005E2B77"/>
    <w:rsid w:val="005E2CEE"/>
    <w:rsid w:val="005E2D0B"/>
    <w:rsid w:val="005E2D8F"/>
    <w:rsid w:val="005E2F6C"/>
    <w:rsid w:val="005E31B1"/>
    <w:rsid w:val="005E336F"/>
    <w:rsid w:val="005E346A"/>
    <w:rsid w:val="005E3668"/>
    <w:rsid w:val="005E37AD"/>
    <w:rsid w:val="005E3833"/>
    <w:rsid w:val="005E385D"/>
    <w:rsid w:val="005E392A"/>
    <w:rsid w:val="005E39AC"/>
    <w:rsid w:val="005E39E2"/>
    <w:rsid w:val="005E3A4E"/>
    <w:rsid w:val="005E3AF4"/>
    <w:rsid w:val="005E3B7D"/>
    <w:rsid w:val="005E3BB2"/>
    <w:rsid w:val="005E3C52"/>
    <w:rsid w:val="005E3CF9"/>
    <w:rsid w:val="005E3D86"/>
    <w:rsid w:val="005E3DFF"/>
    <w:rsid w:val="005E3E21"/>
    <w:rsid w:val="005E3EB0"/>
    <w:rsid w:val="005E3F72"/>
    <w:rsid w:val="005E4023"/>
    <w:rsid w:val="005E404B"/>
    <w:rsid w:val="005E4064"/>
    <w:rsid w:val="005E4239"/>
    <w:rsid w:val="005E432E"/>
    <w:rsid w:val="005E4404"/>
    <w:rsid w:val="005E44A9"/>
    <w:rsid w:val="005E44BB"/>
    <w:rsid w:val="005E44ED"/>
    <w:rsid w:val="005E4500"/>
    <w:rsid w:val="005E45BB"/>
    <w:rsid w:val="005E46B1"/>
    <w:rsid w:val="005E46C2"/>
    <w:rsid w:val="005E4773"/>
    <w:rsid w:val="005E48D3"/>
    <w:rsid w:val="005E499B"/>
    <w:rsid w:val="005E49DC"/>
    <w:rsid w:val="005E4A9F"/>
    <w:rsid w:val="005E4AF1"/>
    <w:rsid w:val="005E4B32"/>
    <w:rsid w:val="005E4CC3"/>
    <w:rsid w:val="005E4E05"/>
    <w:rsid w:val="005E4E2C"/>
    <w:rsid w:val="005E4ED9"/>
    <w:rsid w:val="005E4EE3"/>
    <w:rsid w:val="005E4F0C"/>
    <w:rsid w:val="005E4F9F"/>
    <w:rsid w:val="005E4FFB"/>
    <w:rsid w:val="005E50D4"/>
    <w:rsid w:val="005E5252"/>
    <w:rsid w:val="005E52B6"/>
    <w:rsid w:val="005E52D4"/>
    <w:rsid w:val="005E52E2"/>
    <w:rsid w:val="005E52F2"/>
    <w:rsid w:val="005E535A"/>
    <w:rsid w:val="005E53E9"/>
    <w:rsid w:val="005E5412"/>
    <w:rsid w:val="005E54B0"/>
    <w:rsid w:val="005E5575"/>
    <w:rsid w:val="005E55DC"/>
    <w:rsid w:val="005E5692"/>
    <w:rsid w:val="005E572B"/>
    <w:rsid w:val="005E5811"/>
    <w:rsid w:val="005E58A2"/>
    <w:rsid w:val="005E58F0"/>
    <w:rsid w:val="005E5977"/>
    <w:rsid w:val="005E59FF"/>
    <w:rsid w:val="005E5ABD"/>
    <w:rsid w:val="005E5AD4"/>
    <w:rsid w:val="005E5B3C"/>
    <w:rsid w:val="005E5B43"/>
    <w:rsid w:val="005E5B5B"/>
    <w:rsid w:val="005E5C17"/>
    <w:rsid w:val="005E5D46"/>
    <w:rsid w:val="005E5DDC"/>
    <w:rsid w:val="005E5FAF"/>
    <w:rsid w:val="005E5FBC"/>
    <w:rsid w:val="005E60F6"/>
    <w:rsid w:val="005E6178"/>
    <w:rsid w:val="005E62B7"/>
    <w:rsid w:val="005E6365"/>
    <w:rsid w:val="005E6462"/>
    <w:rsid w:val="005E64FA"/>
    <w:rsid w:val="005E683F"/>
    <w:rsid w:val="005E6859"/>
    <w:rsid w:val="005E68D9"/>
    <w:rsid w:val="005E68E4"/>
    <w:rsid w:val="005E6902"/>
    <w:rsid w:val="005E6A1D"/>
    <w:rsid w:val="005E6A80"/>
    <w:rsid w:val="005E6BD3"/>
    <w:rsid w:val="005E6EBE"/>
    <w:rsid w:val="005E6F34"/>
    <w:rsid w:val="005E71E6"/>
    <w:rsid w:val="005E7297"/>
    <w:rsid w:val="005E72BF"/>
    <w:rsid w:val="005E7389"/>
    <w:rsid w:val="005E7393"/>
    <w:rsid w:val="005E73B6"/>
    <w:rsid w:val="005E752B"/>
    <w:rsid w:val="005E78C0"/>
    <w:rsid w:val="005E7930"/>
    <w:rsid w:val="005E7952"/>
    <w:rsid w:val="005E7984"/>
    <w:rsid w:val="005E7996"/>
    <w:rsid w:val="005E7B7C"/>
    <w:rsid w:val="005E7B92"/>
    <w:rsid w:val="005E7BE2"/>
    <w:rsid w:val="005E7C23"/>
    <w:rsid w:val="005E7D87"/>
    <w:rsid w:val="005E7E65"/>
    <w:rsid w:val="005E7ECD"/>
    <w:rsid w:val="005F002E"/>
    <w:rsid w:val="005F002F"/>
    <w:rsid w:val="005F0093"/>
    <w:rsid w:val="005F0350"/>
    <w:rsid w:val="005F03B4"/>
    <w:rsid w:val="005F0425"/>
    <w:rsid w:val="005F0435"/>
    <w:rsid w:val="005F04F0"/>
    <w:rsid w:val="005F053C"/>
    <w:rsid w:val="005F0651"/>
    <w:rsid w:val="005F087B"/>
    <w:rsid w:val="005F0978"/>
    <w:rsid w:val="005F09AF"/>
    <w:rsid w:val="005F0A0B"/>
    <w:rsid w:val="005F0A20"/>
    <w:rsid w:val="005F0AA9"/>
    <w:rsid w:val="005F0B1A"/>
    <w:rsid w:val="005F0C7F"/>
    <w:rsid w:val="005F0C8A"/>
    <w:rsid w:val="005F0D53"/>
    <w:rsid w:val="005F0DF3"/>
    <w:rsid w:val="005F0DFB"/>
    <w:rsid w:val="005F0F53"/>
    <w:rsid w:val="005F0F98"/>
    <w:rsid w:val="005F0FFD"/>
    <w:rsid w:val="005F1004"/>
    <w:rsid w:val="005F1089"/>
    <w:rsid w:val="005F10EF"/>
    <w:rsid w:val="005F1203"/>
    <w:rsid w:val="005F1305"/>
    <w:rsid w:val="005F1326"/>
    <w:rsid w:val="005F152D"/>
    <w:rsid w:val="005F1683"/>
    <w:rsid w:val="005F1702"/>
    <w:rsid w:val="005F1711"/>
    <w:rsid w:val="005F1719"/>
    <w:rsid w:val="005F171A"/>
    <w:rsid w:val="005F177E"/>
    <w:rsid w:val="005F1791"/>
    <w:rsid w:val="005F183D"/>
    <w:rsid w:val="005F192C"/>
    <w:rsid w:val="005F19B2"/>
    <w:rsid w:val="005F19DC"/>
    <w:rsid w:val="005F1A72"/>
    <w:rsid w:val="005F1AEC"/>
    <w:rsid w:val="005F1B8B"/>
    <w:rsid w:val="005F1C45"/>
    <w:rsid w:val="005F1CAA"/>
    <w:rsid w:val="005F1DA4"/>
    <w:rsid w:val="005F1E60"/>
    <w:rsid w:val="005F1FB0"/>
    <w:rsid w:val="005F201C"/>
    <w:rsid w:val="005F22BE"/>
    <w:rsid w:val="005F22CB"/>
    <w:rsid w:val="005F22DF"/>
    <w:rsid w:val="005F23A2"/>
    <w:rsid w:val="005F26E7"/>
    <w:rsid w:val="005F270B"/>
    <w:rsid w:val="005F27FE"/>
    <w:rsid w:val="005F2826"/>
    <w:rsid w:val="005F2905"/>
    <w:rsid w:val="005F2914"/>
    <w:rsid w:val="005F2958"/>
    <w:rsid w:val="005F2B04"/>
    <w:rsid w:val="005F2B3C"/>
    <w:rsid w:val="005F2BB0"/>
    <w:rsid w:val="005F2C2F"/>
    <w:rsid w:val="005F2ED8"/>
    <w:rsid w:val="005F2F18"/>
    <w:rsid w:val="005F2F2A"/>
    <w:rsid w:val="005F2F2C"/>
    <w:rsid w:val="005F3004"/>
    <w:rsid w:val="005F30A7"/>
    <w:rsid w:val="005F30AE"/>
    <w:rsid w:val="005F30EE"/>
    <w:rsid w:val="005F3142"/>
    <w:rsid w:val="005F328C"/>
    <w:rsid w:val="005F329D"/>
    <w:rsid w:val="005F3341"/>
    <w:rsid w:val="005F334A"/>
    <w:rsid w:val="005F3362"/>
    <w:rsid w:val="005F336A"/>
    <w:rsid w:val="005F3425"/>
    <w:rsid w:val="005F352F"/>
    <w:rsid w:val="005F35DD"/>
    <w:rsid w:val="005F3606"/>
    <w:rsid w:val="005F36D4"/>
    <w:rsid w:val="005F36F2"/>
    <w:rsid w:val="005F372C"/>
    <w:rsid w:val="005F3751"/>
    <w:rsid w:val="005F385B"/>
    <w:rsid w:val="005F3988"/>
    <w:rsid w:val="005F3A94"/>
    <w:rsid w:val="005F3B39"/>
    <w:rsid w:val="005F3BEF"/>
    <w:rsid w:val="005F3C8D"/>
    <w:rsid w:val="005F3CE1"/>
    <w:rsid w:val="005F3E25"/>
    <w:rsid w:val="005F3EFD"/>
    <w:rsid w:val="005F3FCC"/>
    <w:rsid w:val="005F4084"/>
    <w:rsid w:val="005F4126"/>
    <w:rsid w:val="005F41BA"/>
    <w:rsid w:val="005F4214"/>
    <w:rsid w:val="005F422F"/>
    <w:rsid w:val="005F4373"/>
    <w:rsid w:val="005F43B0"/>
    <w:rsid w:val="005F43D2"/>
    <w:rsid w:val="005F442D"/>
    <w:rsid w:val="005F4431"/>
    <w:rsid w:val="005F45B7"/>
    <w:rsid w:val="005F465B"/>
    <w:rsid w:val="005F467B"/>
    <w:rsid w:val="005F478E"/>
    <w:rsid w:val="005F48AE"/>
    <w:rsid w:val="005F48F7"/>
    <w:rsid w:val="005F4981"/>
    <w:rsid w:val="005F4A9E"/>
    <w:rsid w:val="005F4AD6"/>
    <w:rsid w:val="005F4B2A"/>
    <w:rsid w:val="005F4BDE"/>
    <w:rsid w:val="005F4CAD"/>
    <w:rsid w:val="005F4DB0"/>
    <w:rsid w:val="005F4E28"/>
    <w:rsid w:val="005F4E9C"/>
    <w:rsid w:val="005F4EE2"/>
    <w:rsid w:val="005F4EFB"/>
    <w:rsid w:val="005F4F33"/>
    <w:rsid w:val="005F4FA2"/>
    <w:rsid w:val="005F4FF9"/>
    <w:rsid w:val="005F5014"/>
    <w:rsid w:val="005F504B"/>
    <w:rsid w:val="005F506B"/>
    <w:rsid w:val="005F51C8"/>
    <w:rsid w:val="005F523E"/>
    <w:rsid w:val="005F525B"/>
    <w:rsid w:val="005F52C3"/>
    <w:rsid w:val="005F53DF"/>
    <w:rsid w:val="005F5558"/>
    <w:rsid w:val="005F5640"/>
    <w:rsid w:val="005F56BF"/>
    <w:rsid w:val="005F56C4"/>
    <w:rsid w:val="005F5744"/>
    <w:rsid w:val="005F574E"/>
    <w:rsid w:val="005F57E9"/>
    <w:rsid w:val="005F5869"/>
    <w:rsid w:val="005F58C2"/>
    <w:rsid w:val="005F58F8"/>
    <w:rsid w:val="005F593E"/>
    <w:rsid w:val="005F5950"/>
    <w:rsid w:val="005F5AE6"/>
    <w:rsid w:val="005F5B32"/>
    <w:rsid w:val="005F5C32"/>
    <w:rsid w:val="005F5CA8"/>
    <w:rsid w:val="005F5CE5"/>
    <w:rsid w:val="005F5E43"/>
    <w:rsid w:val="005F5E65"/>
    <w:rsid w:val="005F5E6E"/>
    <w:rsid w:val="005F5E86"/>
    <w:rsid w:val="005F5F8B"/>
    <w:rsid w:val="005F60F0"/>
    <w:rsid w:val="005F6212"/>
    <w:rsid w:val="005F625A"/>
    <w:rsid w:val="005F627A"/>
    <w:rsid w:val="005F63BC"/>
    <w:rsid w:val="005F64BA"/>
    <w:rsid w:val="005F64FE"/>
    <w:rsid w:val="005F6519"/>
    <w:rsid w:val="005F680D"/>
    <w:rsid w:val="005F68AF"/>
    <w:rsid w:val="005F69A8"/>
    <w:rsid w:val="005F6A8A"/>
    <w:rsid w:val="005F6B99"/>
    <w:rsid w:val="005F6BEE"/>
    <w:rsid w:val="005F6BF3"/>
    <w:rsid w:val="005F6D0A"/>
    <w:rsid w:val="005F6D45"/>
    <w:rsid w:val="005F6D53"/>
    <w:rsid w:val="005F6E08"/>
    <w:rsid w:val="005F6E38"/>
    <w:rsid w:val="005F6ECC"/>
    <w:rsid w:val="005F6F2E"/>
    <w:rsid w:val="005F7021"/>
    <w:rsid w:val="005F721E"/>
    <w:rsid w:val="005F722A"/>
    <w:rsid w:val="005F731D"/>
    <w:rsid w:val="005F73DC"/>
    <w:rsid w:val="005F759A"/>
    <w:rsid w:val="005F7662"/>
    <w:rsid w:val="005F769C"/>
    <w:rsid w:val="005F76B1"/>
    <w:rsid w:val="005F7773"/>
    <w:rsid w:val="005F77A1"/>
    <w:rsid w:val="005F7812"/>
    <w:rsid w:val="005F784C"/>
    <w:rsid w:val="005F78E9"/>
    <w:rsid w:val="005F793F"/>
    <w:rsid w:val="005F79E3"/>
    <w:rsid w:val="005F7A3E"/>
    <w:rsid w:val="005F7BED"/>
    <w:rsid w:val="005F7C3E"/>
    <w:rsid w:val="005F7D82"/>
    <w:rsid w:val="005F7DD7"/>
    <w:rsid w:val="005F7E22"/>
    <w:rsid w:val="005F7E34"/>
    <w:rsid w:val="005F7E3F"/>
    <w:rsid w:val="005F7F1B"/>
    <w:rsid w:val="006000A2"/>
    <w:rsid w:val="006001AE"/>
    <w:rsid w:val="0060027F"/>
    <w:rsid w:val="006002F7"/>
    <w:rsid w:val="00600310"/>
    <w:rsid w:val="006003D4"/>
    <w:rsid w:val="00600474"/>
    <w:rsid w:val="00600590"/>
    <w:rsid w:val="006005AC"/>
    <w:rsid w:val="00600663"/>
    <w:rsid w:val="00600849"/>
    <w:rsid w:val="006008AB"/>
    <w:rsid w:val="006009CF"/>
    <w:rsid w:val="00600A03"/>
    <w:rsid w:val="00600A07"/>
    <w:rsid w:val="00600A33"/>
    <w:rsid w:val="00600CF3"/>
    <w:rsid w:val="00600D45"/>
    <w:rsid w:val="00600E66"/>
    <w:rsid w:val="00600EA5"/>
    <w:rsid w:val="00600F1B"/>
    <w:rsid w:val="00600F3A"/>
    <w:rsid w:val="00601001"/>
    <w:rsid w:val="00601013"/>
    <w:rsid w:val="0060103D"/>
    <w:rsid w:val="006011F6"/>
    <w:rsid w:val="00601297"/>
    <w:rsid w:val="006012E3"/>
    <w:rsid w:val="006014B2"/>
    <w:rsid w:val="0060168C"/>
    <w:rsid w:val="00601733"/>
    <w:rsid w:val="00601A3F"/>
    <w:rsid w:val="00601ADC"/>
    <w:rsid w:val="00601BB8"/>
    <w:rsid w:val="00601BBE"/>
    <w:rsid w:val="00601FBF"/>
    <w:rsid w:val="0060200D"/>
    <w:rsid w:val="00602278"/>
    <w:rsid w:val="006022AD"/>
    <w:rsid w:val="006022C9"/>
    <w:rsid w:val="006022D4"/>
    <w:rsid w:val="006023CA"/>
    <w:rsid w:val="0060259A"/>
    <w:rsid w:val="006025C4"/>
    <w:rsid w:val="00602663"/>
    <w:rsid w:val="006026A4"/>
    <w:rsid w:val="006026EE"/>
    <w:rsid w:val="006027E0"/>
    <w:rsid w:val="006027F3"/>
    <w:rsid w:val="0060284F"/>
    <w:rsid w:val="006028F9"/>
    <w:rsid w:val="006029E7"/>
    <w:rsid w:val="00602A18"/>
    <w:rsid w:val="00602B16"/>
    <w:rsid w:val="00602C07"/>
    <w:rsid w:val="00602C21"/>
    <w:rsid w:val="00602D52"/>
    <w:rsid w:val="00602DD6"/>
    <w:rsid w:val="00602DEE"/>
    <w:rsid w:val="006030DB"/>
    <w:rsid w:val="006031F8"/>
    <w:rsid w:val="006032AB"/>
    <w:rsid w:val="006032B0"/>
    <w:rsid w:val="0060331C"/>
    <w:rsid w:val="006035B0"/>
    <w:rsid w:val="00603680"/>
    <w:rsid w:val="00603886"/>
    <w:rsid w:val="006038BA"/>
    <w:rsid w:val="00603942"/>
    <w:rsid w:val="00603AAC"/>
    <w:rsid w:val="00603B29"/>
    <w:rsid w:val="00603BF9"/>
    <w:rsid w:val="00603CBD"/>
    <w:rsid w:val="00603CBE"/>
    <w:rsid w:val="00603DD6"/>
    <w:rsid w:val="00603E57"/>
    <w:rsid w:val="00603E86"/>
    <w:rsid w:val="00603EBC"/>
    <w:rsid w:val="00604097"/>
    <w:rsid w:val="006040DC"/>
    <w:rsid w:val="006040E5"/>
    <w:rsid w:val="0060420D"/>
    <w:rsid w:val="00604278"/>
    <w:rsid w:val="006045CB"/>
    <w:rsid w:val="006045F5"/>
    <w:rsid w:val="006045FD"/>
    <w:rsid w:val="00604621"/>
    <w:rsid w:val="00604637"/>
    <w:rsid w:val="00604698"/>
    <w:rsid w:val="006046C7"/>
    <w:rsid w:val="0060474A"/>
    <w:rsid w:val="006047B2"/>
    <w:rsid w:val="006047E2"/>
    <w:rsid w:val="0060484F"/>
    <w:rsid w:val="00604891"/>
    <w:rsid w:val="00604A38"/>
    <w:rsid w:val="00604AE5"/>
    <w:rsid w:val="00604AF6"/>
    <w:rsid w:val="00604B0C"/>
    <w:rsid w:val="00604B21"/>
    <w:rsid w:val="00604B8B"/>
    <w:rsid w:val="00604C5F"/>
    <w:rsid w:val="00604E2A"/>
    <w:rsid w:val="00604ECA"/>
    <w:rsid w:val="00604F18"/>
    <w:rsid w:val="00604F68"/>
    <w:rsid w:val="00605000"/>
    <w:rsid w:val="00605031"/>
    <w:rsid w:val="0060506C"/>
    <w:rsid w:val="006050A5"/>
    <w:rsid w:val="006051A5"/>
    <w:rsid w:val="006052F7"/>
    <w:rsid w:val="006053C9"/>
    <w:rsid w:val="006056A0"/>
    <w:rsid w:val="006056BF"/>
    <w:rsid w:val="00605890"/>
    <w:rsid w:val="006059AE"/>
    <w:rsid w:val="00605A54"/>
    <w:rsid w:val="00605ACD"/>
    <w:rsid w:val="00605B24"/>
    <w:rsid w:val="00605B57"/>
    <w:rsid w:val="00605B97"/>
    <w:rsid w:val="00605BB1"/>
    <w:rsid w:val="00605C1A"/>
    <w:rsid w:val="00605D11"/>
    <w:rsid w:val="00605D78"/>
    <w:rsid w:val="00605F30"/>
    <w:rsid w:val="00605F40"/>
    <w:rsid w:val="00606173"/>
    <w:rsid w:val="00606353"/>
    <w:rsid w:val="0060635C"/>
    <w:rsid w:val="006063E2"/>
    <w:rsid w:val="00606447"/>
    <w:rsid w:val="00606460"/>
    <w:rsid w:val="006064D3"/>
    <w:rsid w:val="00606508"/>
    <w:rsid w:val="00606712"/>
    <w:rsid w:val="0060674A"/>
    <w:rsid w:val="0060674B"/>
    <w:rsid w:val="006069D7"/>
    <w:rsid w:val="00606A38"/>
    <w:rsid w:val="00606A96"/>
    <w:rsid w:val="00606AF2"/>
    <w:rsid w:val="00606AF5"/>
    <w:rsid w:val="00606BB2"/>
    <w:rsid w:val="00606C47"/>
    <w:rsid w:val="00606D27"/>
    <w:rsid w:val="00606DE9"/>
    <w:rsid w:val="00606E1D"/>
    <w:rsid w:val="00606F3F"/>
    <w:rsid w:val="006070D3"/>
    <w:rsid w:val="006070E6"/>
    <w:rsid w:val="0060711A"/>
    <w:rsid w:val="00607182"/>
    <w:rsid w:val="006071F7"/>
    <w:rsid w:val="006073E7"/>
    <w:rsid w:val="0060745A"/>
    <w:rsid w:val="0060746C"/>
    <w:rsid w:val="00607479"/>
    <w:rsid w:val="00607488"/>
    <w:rsid w:val="0060748C"/>
    <w:rsid w:val="00607506"/>
    <w:rsid w:val="00607537"/>
    <w:rsid w:val="00607588"/>
    <w:rsid w:val="0060764A"/>
    <w:rsid w:val="00607776"/>
    <w:rsid w:val="006078C3"/>
    <w:rsid w:val="0060791D"/>
    <w:rsid w:val="00607A82"/>
    <w:rsid w:val="00607A8A"/>
    <w:rsid w:val="00607AC6"/>
    <w:rsid w:val="00607BC5"/>
    <w:rsid w:val="00607BCD"/>
    <w:rsid w:val="00607C05"/>
    <w:rsid w:val="00607C0B"/>
    <w:rsid w:val="00607DAF"/>
    <w:rsid w:val="00607DD9"/>
    <w:rsid w:val="00607E11"/>
    <w:rsid w:val="00610269"/>
    <w:rsid w:val="00610349"/>
    <w:rsid w:val="006103A7"/>
    <w:rsid w:val="006103EC"/>
    <w:rsid w:val="0061041D"/>
    <w:rsid w:val="00610424"/>
    <w:rsid w:val="00610600"/>
    <w:rsid w:val="0061065C"/>
    <w:rsid w:val="006106EA"/>
    <w:rsid w:val="006106F9"/>
    <w:rsid w:val="006108B5"/>
    <w:rsid w:val="00610C99"/>
    <w:rsid w:val="00610D72"/>
    <w:rsid w:val="00610EBC"/>
    <w:rsid w:val="00611030"/>
    <w:rsid w:val="0061107D"/>
    <w:rsid w:val="00611144"/>
    <w:rsid w:val="006111B5"/>
    <w:rsid w:val="00611339"/>
    <w:rsid w:val="00611410"/>
    <w:rsid w:val="00611451"/>
    <w:rsid w:val="006114E1"/>
    <w:rsid w:val="00611523"/>
    <w:rsid w:val="00611556"/>
    <w:rsid w:val="00611587"/>
    <w:rsid w:val="00611611"/>
    <w:rsid w:val="00611822"/>
    <w:rsid w:val="0061182A"/>
    <w:rsid w:val="0061191E"/>
    <w:rsid w:val="0061198C"/>
    <w:rsid w:val="00611B10"/>
    <w:rsid w:val="00611B93"/>
    <w:rsid w:val="00611C7E"/>
    <w:rsid w:val="00611CBC"/>
    <w:rsid w:val="00611CCD"/>
    <w:rsid w:val="00611D7C"/>
    <w:rsid w:val="00611DF9"/>
    <w:rsid w:val="00611F17"/>
    <w:rsid w:val="00611FB2"/>
    <w:rsid w:val="0061215F"/>
    <w:rsid w:val="00612193"/>
    <w:rsid w:val="0061219D"/>
    <w:rsid w:val="006122E3"/>
    <w:rsid w:val="006122E5"/>
    <w:rsid w:val="00612415"/>
    <w:rsid w:val="006126FB"/>
    <w:rsid w:val="00612764"/>
    <w:rsid w:val="00612833"/>
    <w:rsid w:val="006129C5"/>
    <w:rsid w:val="00612A33"/>
    <w:rsid w:val="00612A43"/>
    <w:rsid w:val="00612C02"/>
    <w:rsid w:val="00612C2F"/>
    <w:rsid w:val="00612C6A"/>
    <w:rsid w:val="00612D51"/>
    <w:rsid w:val="00612D99"/>
    <w:rsid w:val="00612DBC"/>
    <w:rsid w:val="00612E4A"/>
    <w:rsid w:val="00612EF5"/>
    <w:rsid w:val="00612F06"/>
    <w:rsid w:val="00612FEF"/>
    <w:rsid w:val="00612FF7"/>
    <w:rsid w:val="00613065"/>
    <w:rsid w:val="0061334B"/>
    <w:rsid w:val="006133D1"/>
    <w:rsid w:val="0061350D"/>
    <w:rsid w:val="00613563"/>
    <w:rsid w:val="0061356E"/>
    <w:rsid w:val="006135C8"/>
    <w:rsid w:val="006136CC"/>
    <w:rsid w:val="00613729"/>
    <w:rsid w:val="00613753"/>
    <w:rsid w:val="00613789"/>
    <w:rsid w:val="00613807"/>
    <w:rsid w:val="00613870"/>
    <w:rsid w:val="006138F8"/>
    <w:rsid w:val="00613934"/>
    <w:rsid w:val="00613A58"/>
    <w:rsid w:val="00613B4E"/>
    <w:rsid w:val="00613B9F"/>
    <w:rsid w:val="00613BD3"/>
    <w:rsid w:val="00613CF6"/>
    <w:rsid w:val="00613D17"/>
    <w:rsid w:val="00613D52"/>
    <w:rsid w:val="00613DC9"/>
    <w:rsid w:val="00613E11"/>
    <w:rsid w:val="00613F36"/>
    <w:rsid w:val="00613F54"/>
    <w:rsid w:val="00613F9B"/>
    <w:rsid w:val="00614094"/>
    <w:rsid w:val="006140A6"/>
    <w:rsid w:val="0061418C"/>
    <w:rsid w:val="0061419E"/>
    <w:rsid w:val="00614292"/>
    <w:rsid w:val="00614314"/>
    <w:rsid w:val="00614341"/>
    <w:rsid w:val="00614373"/>
    <w:rsid w:val="00614405"/>
    <w:rsid w:val="006145C0"/>
    <w:rsid w:val="006146EB"/>
    <w:rsid w:val="0061471D"/>
    <w:rsid w:val="0061471E"/>
    <w:rsid w:val="0061476F"/>
    <w:rsid w:val="0061482E"/>
    <w:rsid w:val="00614839"/>
    <w:rsid w:val="00614939"/>
    <w:rsid w:val="0061496A"/>
    <w:rsid w:val="006149C4"/>
    <w:rsid w:val="00614A64"/>
    <w:rsid w:val="00614A8C"/>
    <w:rsid w:val="00614ABE"/>
    <w:rsid w:val="00614EC4"/>
    <w:rsid w:val="00614EFC"/>
    <w:rsid w:val="00615051"/>
    <w:rsid w:val="0061510C"/>
    <w:rsid w:val="0061514C"/>
    <w:rsid w:val="006151AD"/>
    <w:rsid w:val="006151FE"/>
    <w:rsid w:val="00615251"/>
    <w:rsid w:val="006152FB"/>
    <w:rsid w:val="00615315"/>
    <w:rsid w:val="00615346"/>
    <w:rsid w:val="006153C4"/>
    <w:rsid w:val="006153F8"/>
    <w:rsid w:val="006153FF"/>
    <w:rsid w:val="0061564E"/>
    <w:rsid w:val="00615695"/>
    <w:rsid w:val="00615707"/>
    <w:rsid w:val="00615765"/>
    <w:rsid w:val="00615777"/>
    <w:rsid w:val="0061578E"/>
    <w:rsid w:val="006157FC"/>
    <w:rsid w:val="0061589A"/>
    <w:rsid w:val="00615978"/>
    <w:rsid w:val="00615A9E"/>
    <w:rsid w:val="00615AB3"/>
    <w:rsid w:val="00615ADE"/>
    <w:rsid w:val="00615AFF"/>
    <w:rsid w:val="00615B58"/>
    <w:rsid w:val="00615B9C"/>
    <w:rsid w:val="00615C73"/>
    <w:rsid w:val="00615D11"/>
    <w:rsid w:val="00615D83"/>
    <w:rsid w:val="00615E6C"/>
    <w:rsid w:val="00615F66"/>
    <w:rsid w:val="00615FA1"/>
    <w:rsid w:val="00615FC3"/>
    <w:rsid w:val="006160CD"/>
    <w:rsid w:val="006161D9"/>
    <w:rsid w:val="00616371"/>
    <w:rsid w:val="00616375"/>
    <w:rsid w:val="00616380"/>
    <w:rsid w:val="006163C7"/>
    <w:rsid w:val="00616407"/>
    <w:rsid w:val="006164BD"/>
    <w:rsid w:val="0061657C"/>
    <w:rsid w:val="006165D7"/>
    <w:rsid w:val="00616611"/>
    <w:rsid w:val="0061662E"/>
    <w:rsid w:val="00616826"/>
    <w:rsid w:val="006169E1"/>
    <w:rsid w:val="00616A83"/>
    <w:rsid w:val="00616B69"/>
    <w:rsid w:val="00616BC6"/>
    <w:rsid w:val="00616E40"/>
    <w:rsid w:val="00616EB4"/>
    <w:rsid w:val="00616EFB"/>
    <w:rsid w:val="00616F88"/>
    <w:rsid w:val="00616F94"/>
    <w:rsid w:val="0061710B"/>
    <w:rsid w:val="00617184"/>
    <w:rsid w:val="00617231"/>
    <w:rsid w:val="006172C1"/>
    <w:rsid w:val="006173CD"/>
    <w:rsid w:val="00617507"/>
    <w:rsid w:val="00617528"/>
    <w:rsid w:val="0061754D"/>
    <w:rsid w:val="00617587"/>
    <w:rsid w:val="006175D5"/>
    <w:rsid w:val="00617630"/>
    <w:rsid w:val="00617689"/>
    <w:rsid w:val="006177A6"/>
    <w:rsid w:val="006177D8"/>
    <w:rsid w:val="00617829"/>
    <w:rsid w:val="006179D2"/>
    <w:rsid w:val="006179DA"/>
    <w:rsid w:val="006179EF"/>
    <w:rsid w:val="006179F0"/>
    <w:rsid w:val="00617D40"/>
    <w:rsid w:val="00617D77"/>
    <w:rsid w:val="00617E24"/>
    <w:rsid w:val="00617E2C"/>
    <w:rsid w:val="00620382"/>
    <w:rsid w:val="006203E8"/>
    <w:rsid w:val="0062045E"/>
    <w:rsid w:val="00620498"/>
    <w:rsid w:val="0062052F"/>
    <w:rsid w:val="0062064A"/>
    <w:rsid w:val="00620671"/>
    <w:rsid w:val="006207A5"/>
    <w:rsid w:val="006207F1"/>
    <w:rsid w:val="006208CC"/>
    <w:rsid w:val="00620953"/>
    <w:rsid w:val="0062095B"/>
    <w:rsid w:val="00620C2E"/>
    <w:rsid w:val="00620D25"/>
    <w:rsid w:val="00620D3E"/>
    <w:rsid w:val="00620DD8"/>
    <w:rsid w:val="00620ECD"/>
    <w:rsid w:val="00620F5F"/>
    <w:rsid w:val="00620F7C"/>
    <w:rsid w:val="006210AB"/>
    <w:rsid w:val="006212F4"/>
    <w:rsid w:val="00621366"/>
    <w:rsid w:val="006213E2"/>
    <w:rsid w:val="0062142C"/>
    <w:rsid w:val="0062143B"/>
    <w:rsid w:val="006214EF"/>
    <w:rsid w:val="006215E7"/>
    <w:rsid w:val="006215EC"/>
    <w:rsid w:val="006216C9"/>
    <w:rsid w:val="00621769"/>
    <w:rsid w:val="006217A8"/>
    <w:rsid w:val="0062184D"/>
    <w:rsid w:val="0062185C"/>
    <w:rsid w:val="00621863"/>
    <w:rsid w:val="00621979"/>
    <w:rsid w:val="006219D1"/>
    <w:rsid w:val="00621A92"/>
    <w:rsid w:val="00621ACC"/>
    <w:rsid w:val="00621C11"/>
    <w:rsid w:val="00621F02"/>
    <w:rsid w:val="006220AE"/>
    <w:rsid w:val="006221F4"/>
    <w:rsid w:val="0062235E"/>
    <w:rsid w:val="0062238F"/>
    <w:rsid w:val="006223CF"/>
    <w:rsid w:val="0062241E"/>
    <w:rsid w:val="00622541"/>
    <w:rsid w:val="0062257D"/>
    <w:rsid w:val="006225B8"/>
    <w:rsid w:val="006225C9"/>
    <w:rsid w:val="00622793"/>
    <w:rsid w:val="006227C6"/>
    <w:rsid w:val="006228C5"/>
    <w:rsid w:val="006228DB"/>
    <w:rsid w:val="006228E1"/>
    <w:rsid w:val="0062292C"/>
    <w:rsid w:val="006229F9"/>
    <w:rsid w:val="00622A21"/>
    <w:rsid w:val="00622A56"/>
    <w:rsid w:val="00622AE7"/>
    <w:rsid w:val="00622BE0"/>
    <w:rsid w:val="00622BE7"/>
    <w:rsid w:val="00622C55"/>
    <w:rsid w:val="00622CEE"/>
    <w:rsid w:val="00622D85"/>
    <w:rsid w:val="00622DDC"/>
    <w:rsid w:val="00622EFB"/>
    <w:rsid w:val="00622F2D"/>
    <w:rsid w:val="00622F49"/>
    <w:rsid w:val="00623027"/>
    <w:rsid w:val="00623097"/>
    <w:rsid w:val="006230B5"/>
    <w:rsid w:val="006230D8"/>
    <w:rsid w:val="0062321E"/>
    <w:rsid w:val="00623289"/>
    <w:rsid w:val="006234DB"/>
    <w:rsid w:val="00623585"/>
    <w:rsid w:val="00623614"/>
    <w:rsid w:val="0062364C"/>
    <w:rsid w:val="00623651"/>
    <w:rsid w:val="0062372E"/>
    <w:rsid w:val="00623781"/>
    <w:rsid w:val="006237E2"/>
    <w:rsid w:val="006237ED"/>
    <w:rsid w:val="00623812"/>
    <w:rsid w:val="00623979"/>
    <w:rsid w:val="00623A0D"/>
    <w:rsid w:val="00623A0E"/>
    <w:rsid w:val="00623AE0"/>
    <w:rsid w:val="00623BB1"/>
    <w:rsid w:val="00623BD4"/>
    <w:rsid w:val="00623CF5"/>
    <w:rsid w:val="00623E91"/>
    <w:rsid w:val="00623F57"/>
    <w:rsid w:val="006242E5"/>
    <w:rsid w:val="00624301"/>
    <w:rsid w:val="006243A9"/>
    <w:rsid w:val="0062445E"/>
    <w:rsid w:val="006245BD"/>
    <w:rsid w:val="0062461C"/>
    <w:rsid w:val="0062465B"/>
    <w:rsid w:val="00624679"/>
    <w:rsid w:val="00624719"/>
    <w:rsid w:val="00624930"/>
    <w:rsid w:val="00624B69"/>
    <w:rsid w:val="00624B87"/>
    <w:rsid w:val="00624BCF"/>
    <w:rsid w:val="00624C69"/>
    <w:rsid w:val="00624C6C"/>
    <w:rsid w:val="00624C75"/>
    <w:rsid w:val="00624D0B"/>
    <w:rsid w:val="00624E0C"/>
    <w:rsid w:val="00624E2C"/>
    <w:rsid w:val="00624E81"/>
    <w:rsid w:val="00624EB5"/>
    <w:rsid w:val="00624F0B"/>
    <w:rsid w:val="00624F0D"/>
    <w:rsid w:val="00625073"/>
    <w:rsid w:val="00625367"/>
    <w:rsid w:val="00625371"/>
    <w:rsid w:val="0062537D"/>
    <w:rsid w:val="0062547E"/>
    <w:rsid w:val="006254DF"/>
    <w:rsid w:val="006254E5"/>
    <w:rsid w:val="006255B1"/>
    <w:rsid w:val="006255EC"/>
    <w:rsid w:val="006256D8"/>
    <w:rsid w:val="00625795"/>
    <w:rsid w:val="0062586C"/>
    <w:rsid w:val="006259C8"/>
    <w:rsid w:val="00625A8A"/>
    <w:rsid w:val="00625A99"/>
    <w:rsid w:val="00625BCA"/>
    <w:rsid w:val="00625C43"/>
    <w:rsid w:val="00625CF2"/>
    <w:rsid w:val="00625CFC"/>
    <w:rsid w:val="00625DCF"/>
    <w:rsid w:val="00625E1A"/>
    <w:rsid w:val="00625EFA"/>
    <w:rsid w:val="00625FA4"/>
    <w:rsid w:val="00626151"/>
    <w:rsid w:val="006261C0"/>
    <w:rsid w:val="00626242"/>
    <w:rsid w:val="006262AD"/>
    <w:rsid w:val="006262C6"/>
    <w:rsid w:val="00626364"/>
    <w:rsid w:val="006263E1"/>
    <w:rsid w:val="006264B3"/>
    <w:rsid w:val="006264E4"/>
    <w:rsid w:val="00626675"/>
    <w:rsid w:val="00626696"/>
    <w:rsid w:val="00626827"/>
    <w:rsid w:val="0062688D"/>
    <w:rsid w:val="00626967"/>
    <w:rsid w:val="00626A52"/>
    <w:rsid w:val="00626A82"/>
    <w:rsid w:val="00626C0D"/>
    <w:rsid w:val="00626CBD"/>
    <w:rsid w:val="00626E22"/>
    <w:rsid w:val="00626E52"/>
    <w:rsid w:val="00626EB1"/>
    <w:rsid w:val="00626F34"/>
    <w:rsid w:val="00626F89"/>
    <w:rsid w:val="00626FAA"/>
    <w:rsid w:val="00627007"/>
    <w:rsid w:val="0062703A"/>
    <w:rsid w:val="00627148"/>
    <w:rsid w:val="0062725C"/>
    <w:rsid w:val="0062727A"/>
    <w:rsid w:val="00627425"/>
    <w:rsid w:val="0062747A"/>
    <w:rsid w:val="00627543"/>
    <w:rsid w:val="00627550"/>
    <w:rsid w:val="00627560"/>
    <w:rsid w:val="00627636"/>
    <w:rsid w:val="0062775D"/>
    <w:rsid w:val="00627897"/>
    <w:rsid w:val="00627AEF"/>
    <w:rsid w:val="00627C78"/>
    <w:rsid w:val="00627C9C"/>
    <w:rsid w:val="00627D2B"/>
    <w:rsid w:val="00627D30"/>
    <w:rsid w:val="006300EE"/>
    <w:rsid w:val="00630182"/>
    <w:rsid w:val="006301A6"/>
    <w:rsid w:val="006301E4"/>
    <w:rsid w:val="00630236"/>
    <w:rsid w:val="00630299"/>
    <w:rsid w:val="006302BE"/>
    <w:rsid w:val="006302C8"/>
    <w:rsid w:val="00630379"/>
    <w:rsid w:val="006303B4"/>
    <w:rsid w:val="00630497"/>
    <w:rsid w:val="006304D8"/>
    <w:rsid w:val="006304E1"/>
    <w:rsid w:val="006305A8"/>
    <w:rsid w:val="00630620"/>
    <w:rsid w:val="0063065F"/>
    <w:rsid w:val="006306E4"/>
    <w:rsid w:val="00630879"/>
    <w:rsid w:val="0063093B"/>
    <w:rsid w:val="00630981"/>
    <w:rsid w:val="00630A30"/>
    <w:rsid w:val="00630A84"/>
    <w:rsid w:val="00630BCC"/>
    <w:rsid w:val="00630C7A"/>
    <w:rsid w:val="00630D04"/>
    <w:rsid w:val="00630D55"/>
    <w:rsid w:val="00630DA7"/>
    <w:rsid w:val="00630DFC"/>
    <w:rsid w:val="00630E47"/>
    <w:rsid w:val="00630ED7"/>
    <w:rsid w:val="00630F20"/>
    <w:rsid w:val="00630FBB"/>
    <w:rsid w:val="00630FD9"/>
    <w:rsid w:val="006310D4"/>
    <w:rsid w:val="0063128A"/>
    <w:rsid w:val="0063129D"/>
    <w:rsid w:val="006312EE"/>
    <w:rsid w:val="00631343"/>
    <w:rsid w:val="00631392"/>
    <w:rsid w:val="00631668"/>
    <w:rsid w:val="006316E1"/>
    <w:rsid w:val="00631700"/>
    <w:rsid w:val="00631739"/>
    <w:rsid w:val="00631855"/>
    <w:rsid w:val="006319CE"/>
    <w:rsid w:val="006319FD"/>
    <w:rsid w:val="00631A12"/>
    <w:rsid w:val="00631A2A"/>
    <w:rsid w:val="00631AB7"/>
    <w:rsid w:val="00631C19"/>
    <w:rsid w:val="00631CB2"/>
    <w:rsid w:val="00631D0C"/>
    <w:rsid w:val="00631E0E"/>
    <w:rsid w:val="00631E55"/>
    <w:rsid w:val="00632082"/>
    <w:rsid w:val="0063216F"/>
    <w:rsid w:val="00632256"/>
    <w:rsid w:val="00632374"/>
    <w:rsid w:val="00632388"/>
    <w:rsid w:val="006323F2"/>
    <w:rsid w:val="00632484"/>
    <w:rsid w:val="00632532"/>
    <w:rsid w:val="006327A1"/>
    <w:rsid w:val="006327FF"/>
    <w:rsid w:val="00632898"/>
    <w:rsid w:val="006328C2"/>
    <w:rsid w:val="00632BCB"/>
    <w:rsid w:val="00632C7A"/>
    <w:rsid w:val="00632D3B"/>
    <w:rsid w:val="00632D96"/>
    <w:rsid w:val="00632F2B"/>
    <w:rsid w:val="006330C5"/>
    <w:rsid w:val="00633189"/>
    <w:rsid w:val="0063342C"/>
    <w:rsid w:val="006334D7"/>
    <w:rsid w:val="0063352C"/>
    <w:rsid w:val="00633569"/>
    <w:rsid w:val="00633578"/>
    <w:rsid w:val="006336E8"/>
    <w:rsid w:val="006337DF"/>
    <w:rsid w:val="00633894"/>
    <w:rsid w:val="006338BA"/>
    <w:rsid w:val="006338DE"/>
    <w:rsid w:val="00633A3F"/>
    <w:rsid w:val="00633B60"/>
    <w:rsid w:val="00633E57"/>
    <w:rsid w:val="006340E1"/>
    <w:rsid w:val="006340F8"/>
    <w:rsid w:val="00634128"/>
    <w:rsid w:val="0063446D"/>
    <w:rsid w:val="00634485"/>
    <w:rsid w:val="006344AD"/>
    <w:rsid w:val="006344D8"/>
    <w:rsid w:val="0063452E"/>
    <w:rsid w:val="006345B9"/>
    <w:rsid w:val="006345DC"/>
    <w:rsid w:val="006346C3"/>
    <w:rsid w:val="006346D4"/>
    <w:rsid w:val="006347DD"/>
    <w:rsid w:val="006347E8"/>
    <w:rsid w:val="00634834"/>
    <w:rsid w:val="006348B0"/>
    <w:rsid w:val="006348FB"/>
    <w:rsid w:val="0063497E"/>
    <w:rsid w:val="00634AF9"/>
    <w:rsid w:val="00634B52"/>
    <w:rsid w:val="00634BFF"/>
    <w:rsid w:val="00634D1F"/>
    <w:rsid w:val="00634D2C"/>
    <w:rsid w:val="00634D8C"/>
    <w:rsid w:val="00634FA0"/>
    <w:rsid w:val="00635003"/>
    <w:rsid w:val="00635022"/>
    <w:rsid w:val="006351C0"/>
    <w:rsid w:val="0063549B"/>
    <w:rsid w:val="0063550D"/>
    <w:rsid w:val="0063559E"/>
    <w:rsid w:val="00635774"/>
    <w:rsid w:val="006357E8"/>
    <w:rsid w:val="006358B3"/>
    <w:rsid w:val="00635916"/>
    <w:rsid w:val="00635A34"/>
    <w:rsid w:val="00635A59"/>
    <w:rsid w:val="00635A72"/>
    <w:rsid w:val="00635B28"/>
    <w:rsid w:val="00635B4A"/>
    <w:rsid w:val="00635BAC"/>
    <w:rsid w:val="00635E2D"/>
    <w:rsid w:val="00635E46"/>
    <w:rsid w:val="00635E8D"/>
    <w:rsid w:val="00635EBC"/>
    <w:rsid w:val="00635F09"/>
    <w:rsid w:val="00635F17"/>
    <w:rsid w:val="00635F18"/>
    <w:rsid w:val="0063609E"/>
    <w:rsid w:val="0063610F"/>
    <w:rsid w:val="00636387"/>
    <w:rsid w:val="006364A3"/>
    <w:rsid w:val="006364AB"/>
    <w:rsid w:val="00636566"/>
    <w:rsid w:val="006365E2"/>
    <w:rsid w:val="0063663B"/>
    <w:rsid w:val="00636827"/>
    <w:rsid w:val="00636889"/>
    <w:rsid w:val="006368AD"/>
    <w:rsid w:val="00636990"/>
    <w:rsid w:val="00636A1C"/>
    <w:rsid w:val="00636A60"/>
    <w:rsid w:val="00636C21"/>
    <w:rsid w:val="00636C59"/>
    <w:rsid w:val="00636C9E"/>
    <w:rsid w:val="00636CD2"/>
    <w:rsid w:val="00636E52"/>
    <w:rsid w:val="00636F1E"/>
    <w:rsid w:val="00636FE8"/>
    <w:rsid w:val="00637072"/>
    <w:rsid w:val="00637086"/>
    <w:rsid w:val="006370A1"/>
    <w:rsid w:val="006370E4"/>
    <w:rsid w:val="00637159"/>
    <w:rsid w:val="00637241"/>
    <w:rsid w:val="00637370"/>
    <w:rsid w:val="0063738B"/>
    <w:rsid w:val="006373AE"/>
    <w:rsid w:val="0063742B"/>
    <w:rsid w:val="00637652"/>
    <w:rsid w:val="0063765B"/>
    <w:rsid w:val="0063771D"/>
    <w:rsid w:val="006377FB"/>
    <w:rsid w:val="006379CA"/>
    <w:rsid w:val="00637A35"/>
    <w:rsid w:val="00637A52"/>
    <w:rsid w:val="00637A71"/>
    <w:rsid w:val="00637BAA"/>
    <w:rsid w:val="00637C0F"/>
    <w:rsid w:val="00637C1C"/>
    <w:rsid w:val="00637CE1"/>
    <w:rsid w:val="00637FDB"/>
    <w:rsid w:val="0064004C"/>
    <w:rsid w:val="00640167"/>
    <w:rsid w:val="00640221"/>
    <w:rsid w:val="006403CD"/>
    <w:rsid w:val="006405D4"/>
    <w:rsid w:val="00640641"/>
    <w:rsid w:val="00640772"/>
    <w:rsid w:val="00640779"/>
    <w:rsid w:val="0064078B"/>
    <w:rsid w:val="0064083C"/>
    <w:rsid w:val="006408FA"/>
    <w:rsid w:val="00640A39"/>
    <w:rsid w:val="00640AAB"/>
    <w:rsid w:val="00640AFB"/>
    <w:rsid w:val="00640B4D"/>
    <w:rsid w:val="00640B8B"/>
    <w:rsid w:val="00640BB1"/>
    <w:rsid w:val="00640C72"/>
    <w:rsid w:val="00640CD4"/>
    <w:rsid w:val="00640F6B"/>
    <w:rsid w:val="006410FB"/>
    <w:rsid w:val="00641127"/>
    <w:rsid w:val="00641144"/>
    <w:rsid w:val="0064114B"/>
    <w:rsid w:val="00641198"/>
    <w:rsid w:val="006411BB"/>
    <w:rsid w:val="006411E6"/>
    <w:rsid w:val="0064122E"/>
    <w:rsid w:val="00641467"/>
    <w:rsid w:val="006414BD"/>
    <w:rsid w:val="00641572"/>
    <w:rsid w:val="006415D5"/>
    <w:rsid w:val="00641607"/>
    <w:rsid w:val="0064169F"/>
    <w:rsid w:val="006416DD"/>
    <w:rsid w:val="00641924"/>
    <w:rsid w:val="0064194C"/>
    <w:rsid w:val="0064196B"/>
    <w:rsid w:val="00641974"/>
    <w:rsid w:val="006419CA"/>
    <w:rsid w:val="006419F5"/>
    <w:rsid w:val="00641A2C"/>
    <w:rsid w:val="00641AC3"/>
    <w:rsid w:val="00641AED"/>
    <w:rsid w:val="00641B67"/>
    <w:rsid w:val="00641C46"/>
    <w:rsid w:val="00641DA2"/>
    <w:rsid w:val="00641DC3"/>
    <w:rsid w:val="00641DDA"/>
    <w:rsid w:val="00641FEE"/>
    <w:rsid w:val="006421C0"/>
    <w:rsid w:val="006421D5"/>
    <w:rsid w:val="00642229"/>
    <w:rsid w:val="00642242"/>
    <w:rsid w:val="006422A2"/>
    <w:rsid w:val="00642402"/>
    <w:rsid w:val="00642649"/>
    <w:rsid w:val="00642830"/>
    <w:rsid w:val="0064283B"/>
    <w:rsid w:val="00642845"/>
    <w:rsid w:val="0064293B"/>
    <w:rsid w:val="0064297E"/>
    <w:rsid w:val="00642983"/>
    <w:rsid w:val="006429D8"/>
    <w:rsid w:val="00642A56"/>
    <w:rsid w:val="00642AAC"/>
    <w:rsid w:val="00642ACB"/>
    <w:rsid w:val="00642B2E"/>
    <w:rsid w:val="00642B76"/>
    <w:rsid w:val="00642C8D"/>
    <w:rsid w:val="00642CD6"/>
    <w:rsid w:val="00642D1C"/>
    <w:rsid w:val="00642E44"/>
    <w:rsid w:val="00642E9E"/>
    <w:rsid w:val="00642F36"/>
    <w:rsid w:val="00643083"/>
    <w:rsid w:val="006430EA"/>
    <w:rsid w:val="00643109"/>
    <w:rsid w:val="0064318C"/>
    <w:rsid w:val="006431EF"/>
    <w:rsid w:val="006432E4"/>
    <w:rsid w:val="006433E1"/>
    <w:rsid w:val="00643615"/>
    <w:rsid w:val="00643743"/>
    <w:rsid w:val="006438B9"/>
    <w:rsid w:val="00643900"/>
    <w:rsid w:val="00643969"/>
    <w:rsid w:val="00643A5B"/>
    <w:rsid w:val="00643B86"/>
    <w:rsid w:val="00643CBB"/>
    <w:rsid w:val="00643CC8"/>
    <w:rsid w:val="00643DA4"/>
    <w:rsid w:val="00643DDC"/>
    <w:rsid w:val="00643DF8"/>
    <w:rsid w:val="00643E11"/>
    <w:rsid w:val="00643E50"/>
    <w:rsid w:val="00643E8A"/>
    <w:rsid w:val="00643F8E"/>
    <w:rsid w:val="00643FA9"/>
    <w:rsid w:val="00643FAF"/>
    <w:rsid w:val="00644019"/>
    <w:rsid w:val="00644093"/>
    <w:rsid w:val="0064416A"/>
    <w:rsid w:val="006441F0"/>
    <w:rsid w:val="0064422B"/>
    <w:rsid w:val="0064458C"/>
    <w:rsid w:val="006446A7"/>
    <w:rsid w:val="00644729"/>
    <w:rsid w:val="0064492A"/>
    <w:rsid w:val="0064499A"/>
    <w:rsid w:val="00644DC9"/>
    <w:rsid w:val="00644E2D"/>
    <w:rsid w:val="00644E38"/>
    <w:rsid w:val="00644E5C"/>
    <w:rsid w:val="00644F6C"/>
    <w:rsid w:val="00644F9D"/>
    <w:rsid w:val="00645015"/>
    <w:rsid w:val="0064502F"/>
    <w:rsid w:val="006450B1"/>
    <w:rsid w:val="00645147"/>
    <w:rsid w:val="00645285"/>
    <w:rsid w:val="0064535A"/>
    <w:rsid w:val="006453BE"/>
    <w:rsid w:val="00645540"/>
    <w:rsid w:val="00645588"/>
    <w:rsid w:val="0064559E"/>
    <w:rsid w:val="0064567F"/>
    <w:rsid w:val="00645780"/>
    <w:rsid w:val="00645862"/>
    <w:rsid w:val="00645998"/>
    <w:rsid w:val="00645A25"/>
    <w:rsid w:val="00645AE9"/>
    <w:rsid w:val="00645B88"/>
    <w:rsid w:val="00645C13"/>
    <w:rsid w:val="00645C26"/>
    <w:rsid w:val="00645C54"/>
    <w:rsid w:val="00645D58"/>
    <w:rsid w:val="00645D95"/>
    <w:rsid w:val="00645E42"/>
    <w:rsid w:val="00645EA8"/>
    <w:rsid w:val="00645F0A"/>
    <w:rsid w:val="00646084"/>
    <w:rsid w:val="0064610E"/>
    <w:rsid w:val="0064622F"/>
    <w:rsid w:val="006463F7"/>
    <w:rsid w:val="00646723"/>
    <w:rsid w:val="006468AB"/>
    <w:rsid w:val="006468C7"/>
    <w:rsid w:val="00646BE7"/>
    <w:rsid w:val="00646D09"/>
    <w:rsid w:val="00646D62"/>
    <w:rsid w:val="00646D6B"/>
    <w:rsid w:val="00646E0D"/>
    <w:rsid w:val="00646F91"/>
    <w:rsid w:val="0064708A"/>
    <w:rsid w:val="00647166"/>
    <w:rsid w:val="006471B3"/>
    <w:rsid w:val="0064721C"/>
    <w:rsid w:val="00647358"/>
    <w:rsid w:val="0064735D"/>
    <w:rsid w:val="006473B5"/>
    <w:rsid w:val="00647533"/>
    <w:rsid w:val="0064755E"/>
    <w:rsid w:val="006477E7"/>
    <w:rsid w:val="00647846"/>
    <w:rsid w:val="006478BB"/>
    <w:rsid w:val="006478E5"/>
    <w:rsid w:val="00647940"/>
    <w:rsid w:val="0064795B"/>
    <w:rsid w:val="00647A20"/>
    <w:rsid w:val="00647A78"/>
    <w:rsid w:val="00647B16"/>
    <w:rsid w:val="00647D88"/>
    <w:rsid w:val="00647DA5"/>
    <w:rsid w:val="00647DB7"/>
    <w:rsid w:val="00647E19"/>
    <w:rsid w:val="00647E4F"/>
    <w:rsid w:val="00647EC7"/>
    <w:rsid w:val="00647F2F"/>
    <w:rsid w:val="00647F5C"/>
    <w:rsid w:val="00647F82"/>
    <w:rsid w:val="00647FA8"/>
    <w:rsid w:val="00650144"/>
    <w:rsid w:val="00650245"/>
    <w:rsid w:val="0065030C"/>
    <w:rsid w:val="0065052B"/>
    <w:rsid w:val="0065053F"/>
    <w:rsid w:val="0065064F"/>
    <w:rsid w:val="00650758"/>
    <w:rsid w:val="0065078E"/>
    <w:rsid w:val="006507B2"/>
    <w:rsid w:val="00650906"/>
    <w:rsid w:val="00650AF0"/>
    <w:rsid w:val="00650B3F"/>
    <w:rsid w:val="00650B59"/>
    <w:rsid w:val="00650B9F"/>
    <w:rsid w:val="00650D86"/>
    <w:rsid w:val="00650D9D"/>
    <w:rsid w:val="00650DAF"/>
    <w:rsid w:val="00650F59"/>
    <w:rsid w:val="00650FDB"/>
    <w:rsid w:val="00651126"/>
    <w:rsid w:val="00651134"/>
    <w:rsid w:val="006511B4"/>
    <w:rsid w:val="00651234"/>
    <w:rsid w:val="00651235"/>
    <w:rsid w:val="006512F5"/>
    <w:rsid w:val="00651308"/>
    <w:rsid w:val="0065136F"/>
    <w:rsid w:val="00651420"/>
    <w:rsid w:val="00651494"/>
    <w:rsid w:val="006514B5"/>
    <w:rsid w:val="006514CA"/>
    <w:rsid w:val="00651616"/>
    <w:rsid w:val="0065163A"/>
    <w:rsid w:val="00651893"/>
    <w:rsid w:val="006518DC"/>
    <w:rsid w:val="00651922"/>
    <w:rsid w:val="0065194E"/>
    <w:rsid w:val="00651954"/>
    <w:rsid w:val="006519E9"/>
    <w:rsid w:val="00651AD8"/>
    <w:rsid w:val="00651AFC"/>
    <w:rsid w:val="00651B7E"/>
    <w:rsid w:val="00651BA8"/>
    <w:rsid w:val="00651BA9"/>
    <w:rsid w:val="00651BC3"/>
    <w:rsid w:val="00651D9A"/>
    <w:rsid w:val="00651DD6"/>
    <w:rsid w:val="00651E55"/>
    <w:rsid w:val="00651F46"/>
    <w:rsid w:val="006520F5"/>
    <w:rsid w:val="00652215"/>
    <w:rsid w:val="006522BA"/>
    <w:rsid w:val="00652392"/>
    <w:rsid w:val="0065246C"/>
    <w:rsid w:val="00652510"/>
    <w:rsid w:val="0065260B"/>
    <w:rsid w:val="00652795"/>
    <w:rsid w:val="006527F0"/>
    <w:rsid w:val="006527FB"/>
    <w:rsid w:val="0065281A"/>
    <w:rsid w:val="006528DE"/>
    <w:rsid w:val="0065294E"/>
    <w:rsid w:val="006529EB"/>
    <w:rsid w:val="00652AFF"/>
    <w:rsid w:val="00652B55"/>
    <w:rsid w:val="00652B5D"/>
    <w:rsid w:val="00652BF0"/>
    <w:rsid w:val="00652CE2"/>
    <w:rsid w:val="00652EAF"/>
    <w:rsid w:val="00652F16"/>
    <w:rsid w:val="00652FEE"/>
    <w:rsid w:val="0065303B"/>
    <w:rsid w:val="006530EE"/>
    <w:rsid w:val="006531C6"/>
    <w:rsid w:val="0065323E"/>
    <w:rsid w:val="006533FA"/>
    <w:rsid w:val="006534DE"/>
    <w:rsid w:val="006535B1"/>
    <w:rsid w:val="006535FD"/>
    <w:rsid w:val="00653626"/>
    <w:rsid w:val="0065362C"/>
    <w:rsid w:val="0065365B"/>
    <w:rsid w:val="00653667"/>
    <w:rsid w:val="006536BD"/>
    <w:rsid w:val="00653716"/>
    <w:rsid w:val="00653771"/>
    <w:rsid w:val="0065377A"/>
    <w:rsid w:val="00653899"/>
    <w:rsid w:val="006538F5"/>
    <w:rsid w:val="0065391D"/>
    <w:rsid w:val="0065397E"/>
    <w:rsid w:val="00653A0C"/>
    <w:rsid w:val="00653B14"/>
    <w:rsid w:val="00653B6C"/>
    <w:rsid w:val="00653BCC"/>
    <w:rsid w:val="00653D8B"/>
    <w:rsid w:val="00653E87"/>
    <w:rsid w:val="00653EB9"/>
    <w:rsid w:val="00653F7F"/>
    <w:rsid w:val="00654124"/>
    <w:rsid w:val="00654235"/>
    <w:rsid w:val="0065437A"/>
    <w:rsid w:val="0065450F"/>
    <w:rsid w:val="0065455B"/>
    <w:rsid w:val="006546AB"/>
    <w:rsid w:val="0065470F"/>
    <w:rsid w:val="00654838"/>
    <w:rsid w:val="00654882"/>
    <w:rsid w:val="006549CC"/>
    <w:rsid w:val="00654A22"/>
    <w:rsid w:val="00654A5E"/>
    <w:rsid w:val="00654AB0"/>
    <w:rsid w:val="00654CF4"/>
    <w:rsid w:val="00654E07"/>
    <w:rsid w:val="00654ED9"/>
    <w:rsid w:val="00654F8F"/>
    <w:rsid w:val="00654FAA"/>
    <w:rsid w:val="0065506A"/>
    <w:rsid w:val="00655149"/>
    <w:rsid w:val="006553BF"/>
    <w:rsid w:val="00655418"/>
    <w:rsid w:val="00655470"/>
    <w:rsid w:val="0065547F"/>
    <w:rsid w:val="00655481"/>
    <w:rsid w:val="00655536"/>
    <w:rsid w:val="00655725"/>
    <w:rsid w:val="006558E7"/>
    <w:rsid w:val="0065595A"/>
    <w:rsid w:val="006559CD"/>
    <w:rsid w:val="00655B52"/>
    <w:rsid w:val="00655BBA"/>
    <w:rsid w:val="00655BE4"/>
    <w:rsid w:val="00655C24"/>
    <w:rsid w:val="00655CA0"/>
    <w:rsid w:val="00655CB2"/>
    <w:rsid w:val="00655D00"/>
    <w:rsid w:val="00655D45"/>
    <w:rsid w:val="00655DA9"/>
    <w:rsid w:val="00655EBE"/>
    <w:rsid w:val="00655FE1"/>
    <w:rsid w:val="0065602D"/>
    <w:rsid w:val="00656218"/>
    <w:rsid w:val="0065622A"/>
    <w:rsid w:val="00656389"/>
    <w:rsid w:val="0065641E"/>
    <w:rsid w:val="00656459"/>
    <w:rsid w:val="006564A7"/>
    <w:rsid w:val="00656506"/>
    <w:rsid w:val="00656518"/>
    <w:rsid w:val="0065653F"/>
    <w:rsid w:val="00656677"/>
    <w:rsid w:val="00656710"/>
    <w:rsid w:val="00656785"/>
    <w:rsid w:val="0065680A"/>
    <w:rsid w:val="0065697C"/>
    <w:rsid w:val="00656985"/>
    <w:rsid w:val="00656A6D"/>
    <w:rsid w:val="00656C84"/>
    <w:rsid w:val="00656CD3"/>
    <w:rsid w:val="00656D00"/>
    <w:rsid w:val="00656DD3"/>
    <w:rsid w:val="00656E13"/>
    <w:rsid w:val="00656E1F"/>
    <w:rsid w:val="00656E22"/>
    <w:rsid w:val="00656F44"/>
    <w:rsid w:val="00656F4B"/>
    <w:rsid w:val="0065702A"/>
    <w:rsid w:val="006570C4"/>
    <w:rsid w:val="00657110"/>
    <w:rsid w:val="006571C6"/>
    <w:rsid w:val="0065720B"/>
    <w:rsid w:val="00657216"/>
    <w:rsid w:val="00657268"/>
    <w:rsid w:val="00657307"/>
    <w:rsid w:val="00657394"/>
    <w:rsid w:val="006574DD"/>
    <w:rsid w:val="00657600"/>
    <w:rsid w:val="00657628"/>
    <w:rsid w:val="00657666"/>
    <w:rsid w:val="0065767D"/>
    <w:rsid w:val="006576F3"/>
    <w:rsid w:val="0065770A"/>
    <w:rsid w:val="006577ED"/>
    <w:rsid w:val="006577F9"/>
    <w:rsid w:val="0065787D"/>
    <w:rsid w:val="00657A0C"/>
    <w:rsid w:val="00657A71"/>
    <w:rsid w:val="00657AD4"/>
    <w:rsid w:val="00657BE2"/>
    <w:rsid w:val="00657C52"/>
    <w:rsid w:val="00657E38"/>
    <w:rsid w:val="00657E7E"/>
    <w:rsid w:val="00657F0D"/>
    <w:rsid w:val="00657F43"/>
    <w:rsid w:val="00657FAE"/>
    <w:rsid w:val="0066002A"/>
    <w:rsid w:val="00660064"/>
    <w:rsid w:val="00660065"/>
    <w:rsid w:val="00660179"/>
    <w:rsid w:val="0066021E"/>
    <w:rsid w:val="006602E3"/>
    <w:rsid w:val="006602FE"/>
    <w:rsid w:val="006603FA"/>
    <w:rsid w:val="00660510"/>
    <w:rsid w:val="00660621"/>
    <w:rsid w:val="00660736"/>
    <w:rsid w:val="0066076B"/>
    <w:rsid w:val="00660775"/>
    <w:rsid w:val="0066077F"/>
    <w:rsid w:val="006607E4"/>
    <w:rsid w:val="00660815"/>
    <w:rsid w:val="0066084F"/>
    <w:rsid w:val="00660941"/>
    <w:rsid w:val="006609A7"/>
    <w:rsid w:val="00660A31"/>
    <w:rsid w:val="00660AA5"/>
    <w:rsid w:val="00660B05"/>
    <w:rsid w:val="00660B6F"/>
    <w:rsid w:val="00660C53"/>
    <w:rsid w:val="00660D29"/>
    <w:rsid w:val="00660D9B"/>
    <w:rsid w:val="00660E12"/>
    <w:rsid w:val="00660E29"/>
    <w:rsid w:val="00660ED8"/>
    <w:rsid w:val="00661101"/>
    <w:rsid w:val="00661157"/>
    <w:rsid w:val="006611DF"/>
    <w:rsid w:val="00661253"/>
    <w:rsid w:val="006614D6"/>
    <w:rsid w:val="006614EF"/>
    <w:rsid w:val="006615B5"/>
    <w:rsid w:val="00661761"/>
    <w:rsid w:val="006617DE"/>
    <w:rsid w:val="0066183A"/>
    <w:rsid w:val="006618D5"/>
    <w:rsid w:val="00661940"/>
    <w:rsid w:val="00661B91"/>
    <w:rsid w:val="00661BF9"/>
    <w:rsid w:val="00661C08"/>
    <w:rsid w:val="00661C21"/>
    <w:rsid w:val="00661C39"/>
    <w:rsid w:val="00661C8B"/>
    <w:rsid w:val="00661CAC"/>
    <w:rsid w:val="00661CD4"/>
    <w:rsid w:val="00661E8A"/>
    <w:rsid w:val="00661E8C"/>
    <w:rsid w:val="00661F58"/>
    <w:rsid w:val="00661F97"/>
    <w:rsid w:val="00661FCD"/>
    <w:rsid w:val="00662066"/>
    <w:rsid w:val="0066206B"/>
    <w:rsid w:val="006620C2"/>
    <w:rsid w:val="006621DE"/>
    <w:rsid w:val="006621E7"/>
    <w:rsid w:val="00662211"/>
    <w:rsid w:val="006624AF"/>
    <w:rsid w:val="006624BC"/>
    <w:rsid w:val="00662616"/>
    <w:rsid w:val="00662765"/>
    <w:rsid w:val="00662818"/>
    <w:rsid w:val="00662953"/>
    <w:rsid w:val="0066297D"/>
    <w:rsid w:val="00662990"/>
    <w:rsid w:val="00662AEE"/>
    <w:rsid w:val="00662B47"/>
    <w:rsid w:val="00662BBC"/>
    <w:rsid w:val="00662BDC"/>
    <w:rsid w:val="00662CCF"/>
    <w:rsid w:val="00662D0C"/>
    <w:rsid w:val="00662DBC"/>
    <w:rsid w:val="00662E25"/>
    <w:rsid w:val="00662E8C"/>
    <w:rsid w:val="00663092"/>
    <w:rsid w:val="006630AF"/>
    <w:rsid w:val="006630C7"/>
    <w:rsid w:val="0066311D"/>
    <w:rsid w:val="006631C7"/>
    <w:rsid w:val="006631EE"/>
    <w:rsid w:val="00663409"/>
    <w:rsid w:val="0066349C"/>
    <w:rsid w:val="00663566"/>
    <w:rsid w:val="006635AC"/>
    <w:rsid w:val="0066367A"/>
    <w:rsid w:val="006636C8"/>
    <w:rsid w:val="006636E0"/>
    <w:rsid w:val="0066375A"/>
    <w:rsid w:val="0066377D"/>
    <w:rsid w:val="00663885"/>
    <w:rsid w:val="006638B3"/>
    <w:rsid w:val="006638D0"/>
    <w:rsid w:val="006638D5"/>
    <w:rsid w:val="0066393D"/>
    <w:rsid w:val="00663BCD"/>
    <w:rsid w:val="00663BDA"/>
    <w:rsid w:val="00663CBE"/>
    <w:rsid w:val="00663D82"/>
    <w:rsid w:val="00663DBA"/>
    <w:rsid w:val="00663DF5"/>
    <w:rsid w:val="00663F61"/>
    <w:rsid w:val="00663F73"/>
    <w:rsid w:val="00663FB7"/>
    <w:rsid w:val="00663FC8"/>
    <w:rsid w:val="00664037"/>
    <w:rsid w:val="0066418A"/>
    <w:rsid w:val="006641A1"/>
    <w:rsid w:val="006641F5"/>
    <w:rsid w:val="006642E2"/>
    <w:rsid w:val="006643D2"/>
    <w:rsid w:val="00664425"/>
    <w:rsid w:val="00664514"/>
    <w:rsid w:val="00664557"/>
    <w:rsid w:val="006645F8"/>
    <w:rsid w:val="00664625"/>
    <w:rsid w:val="006646DB"/>
    <w:rsid w:val="00664736"/>
    <w:rsid w:val="006647B3"/>
    <w:rsid w:val="006647E8"/>
    <w:rsid w:val="006647F5"/>
    <w:rsid w:val="00664837"/>
    <w:rsid w:val="0066483D"/>
    <w:rsid w:val="00664930"/>
    <w:rsid w:val="00664968"/>
    <w:rsid w:val="006649D0"/>
    <w:rsid w:val="00664AC0"/>
    <w:rsid w:val="00664AFE"/>
    <w:rsid w:val="00664B16"/>
    <w:rsid w:val="00664B44"/>
    <w:rsid w:val="00664B70"/>
    <w:rsid w:val="00664BCE"/>
    <w:rsid w:val="00664C3B"/>
    <w:rsid w:val="00664C43"/>
    <w:rsid w:val="00664C80"/>
    <w:rsid w:val="00664C87"/>
    <w:rsid w:val="00664C8C"/>
    <w:rsid w:val="00664D59"/>
    <w:rsid w:val="00664DF7"/>
    <w:rsid w:val="00664E48"/>
    <w:rsid w:val="00664E5B"/>
    <w:rsid w:val="00664E94"/>
    <w:rsid w:val="00664F44"/>
    <w:rsid w:val="00664FAF"/>
    <w:rsid w:val="0066503B"/>
    <w:rsid w:val="006650C6"/>
    <w:rsid w:val="00665107"/>
    <w:rsid w:val="006651E5"/>
    <w:rsid w:val="006651FA"/>
    <w:rsid w:val="006652D9"/>
    <w:rsid w:val="006652FE"/>
    <w:rsid w:val="00665359"/>
    <w:rsid w:val="0066538F"/>
    <w:rsid w:val="006654C2"/>
    <w:rsid w:val="006654E1"/>
    <w:rsid w:val="0066553C"/>
    <w:rsid w:val="00665597"/>
    <w:rsid w:val="0066565C"/>
    <w:rsid w:val="00665725"/>
    <w:rsid w:val="00665836"/>
    <w:rsid w:val="00665890"/>
    <w:rsid w:val="00665911"/>
    <w:rsid w:val="00665A71"/>
    <w:rsid w:val="00665B51"/>
    <w:rsid w:val="00665B89"/>
    <w:rsid w:val="00665C33"/>
    <w:rsid w:val="00665D2C"/>
    <w:rsid w:val="00665E05"/>
    <w:rsid w:val="00665F5F"/>
    <w:rsid w:val="00665FF5"/>
    <w:rsid w:val="00666006"/>
    <w:rsid w:val="00666038"/>
    <w:rsid w:val="00666070"/>
    <w:rsid w:val="006660C2"/>
    <w:rsid w:val="006661B0"/>
    <w:rsid w:val="00666284"/>
    <w:rsid w:val="00666299"/>
    <w:rsid w:val="0066633D"/>
    <w:rsid w:val="006664FC"/>
    <w:rsid w:val="00666507"/>
    <w:rsid w:val="0066656D"/>
    <w:rsid w:val="006665D2"/>
    <w:rsid w:val="00666610"/>
    <w:rsid w:val="006667F0"/>
    <w:rsid w:val="00666813"/>
    <w:rsid w:val="0066683F"/>
    <w:rsid w:val="00666924"/>
    <w:rsid w:val="00666945"/>
    <w:rsid w:val="00666A49"/>
    <w:rsid w:val="00666A88"/>
    <w:rsid w:val="00666A9E"/>
    <w:rsid w:val="00666ACB"/>
    <w:rsid w:val="00666AEE"/>
    <w:rsid w:val="00666C79"/>
    <w:rsid w:val="00666D7A"/>
    <w:rsid w:val="00666D8E"/>
    <w:rsid w:val="00667057"/>
    <w:rsid w:val="0066707A"/>
    <w:rsid w:val="0066708E"/>
    <w:rsid w:val="006670F5"/>
    <w:rsid w:val="00667122"/>
    <w:rsid w:val="006673BF"/>
    <w:rsid w:val="006673E6"/>
    <w:rsid w:val="00667472"/>
    <w:rsid w:val="006674C8"/>
    <w:rsid w:val="00667826"/>
    <w:rsid w:val="0066789A"/>
    <w:rsid w:val="00667995"/>
    <w:rsid w:val="006679D8"/>
    <w:rsid w:val="00667A26"/>
    <w:rsid w:val="00667A88"/>
    <w:rsid w:val="00667AFB"/>
    <w:rsid w:val="00667AFC"/>
    <w:rsid w:val="00667B06"/>
    <w:rsid w:val="00667B23"/>
    <w:rsid w:val="00667B32"/>
    <w:rsid w:val="00667CE6"/>
    <w:rsid w:val="00667DFD"/>
    <w:rsid w:val="00667F28"/>
    <w:rsid w:val="00667FD7"/>
    <w:rsid w:val="0067007A"/>
    <w:rsid w:val="0067007D"/>
    <w:rsid w:val="00670155"/>
    <w:rsid w:val="00670187"/>
    <w:rsid w:val="00670254"/>
    <w:rsid w:val="0067026F"/>
    <w:rsid w:val="00670314"/>
    <w:rsid w:val="0067034F"/>
    <w:rsid w:val="006703AA"/>
    <w:rsid w:val="00670441"/>
    <w:rsid w:val="006704AC"/>
    <w:rsid w:val="00670537"/>
    <w:rsid w:val="0067059C"/>
    <w:rsid w:val="006705EA"/>
    <w:rsid w:val="00670A1A"/>
    <w:rsid w:val="00670A4C"/>
    <w:rsid w:val="00670B3B"/>
    <w:rsid w:val="00670B55"/>
    <w:rsid w:val="00670B7F"/>
    <w:rsid w:val="00670C43"/>
    <w:rsid w:val="00670C9D"/>
    <w:rsid w:val="00670D58"/>
    <w:rsid w:val="00670D6A"/>
    <w:rsid w:val="00670D7A"/>
    <w:rsid w:val="00670DAA"/>
    <w:rsid w:val="00670E77"/>
    <w:rsid w:val="006710BC"/>
    <w:rsid w:val="0067114A"/>
    <w:rsid w:val="00671166"/>
    <w:rsid w:val="006711B2"/>
    <w:rsid w:val="0067129A"/>
    <w:rsid w:val="0067130B"/>
    <w:rsid w:val="00671515"/>
    <w:rsid w:val="0067158F"/>
    <w:rsid w:val="0067159E"/>
    <w:rsid w:val="006715AC"/>
    <w:rsid w:val="0067160F"/>
    <w:rsid w:val="0067172B"/>
    <w:rsid w:val="00671786"/>
    <w:rsid w:val="0067178B"/>
    <w:rsid w:val="00671873"/>
    <w:rsid w:val="00671978"/>
    <w:rsid w:val="0067199C"/>
    <w:rsid w:val="00671E1E"/>
    <w:rsid w:val="00671F3F"/>
    <w:rsid w:val="00671FE5"/>
    <w:rsid w:val="0067231B"/>
    <w:rsid w:val="0067274B"/>
    <w:rsid w:val="0067274C"/>
    <w:rsid w:val="006729E3"/>
    <w:rsid w:val="00672A64"/>
    <w:rsid w:val="00672B01"/>
    <w:rsid w:val="00672B34"/>
    <w:rsid w:val="00672BAD"/>
    <w:rsid w:val="00672BD4"/>
    <w:rsid w:val="00672D71"/>
    <w:rsid w:val="00672DB2"/>
    <w:rsid w:val="00672DFD"/>
    <w:rsid w:val="00672E1D"/>
    <w:rsid w:val="00672F92"/>
    <w:rsid w:val="006730E8"/>
    <w:rsid w:val="00673247"/>
    <w:rsid w:val="00673259"/>
    <w:rsid w:val="0067325A"/>
    <w:rsid w:val="006732FA"/>
    <w:rsid w:val="00673362"/>
    <w:rsid w:val="006733B8"/>
    <w:rsid w:val="00673414"/>
    <w:rsid w:val="00673448"/>
    <w:rsid w:val="00673475"/>
    <w:rsid w:val="0067354E"/>
    <w:rsid w:val="0067355C"/>
    <w:rsid w:val="006735B0"/>
    <w:rsid w:val="006736B0"/>
    <w:rsid w:val="006736F4"/>
    <w:rsid w:val="0067385F"/>
    <w:rsid w:val="0067386A"/>
    <w:rsid w:val="0067391C"/>
    <w:rsid w:val="00673997"/>
    <w:rsid w:val="006739E3"/>
    <w:rsid w:val="00673AD8"/>
    <w:rsid w:val="00673AF8"/>
    <w:rsid w:val="00673B60"/>
    <w:rsid w:val="00673E3B"/>
    <w:rsid w:val="00673E45"/>
    <w:rsid w:val="00673ECF"/>
    <w:rsid w:val="00673FCC"/>
    <w:rsid w:val="00673FF3"/>
    <w:rsid w:val="0067408B"/>
    <w:rsid w:val="0067411D"/>
    <w:rsid w:val="0067434E"/>
    <w:rsid w:val="0067457A"/>
    <w:rsid w:val="006745A6"/>
    <w:rsid w:val="006748B3"/>
    <w:rsid w:val="0067490B"/>
    <w:rsid w:val="006749FE"/>
    <w:rsid w:val="00674A37"/>
    <w:rsid w:val="00674C00"/>
    <w:rsid w:val="00674D50"/>
    <w:rsid w:val="00674DE7"/>
    <w:rsid w:val="00674E20"/>
    <w:rsid w:val="00674EC8"/>
    <w:rsid w:val="006750E2"/>
    <w:rsid w:val="006750F4"/>
    <w:rsid w:val="0067519C"/>
    <w:rsid w:val="006752BF"/>
    <w:rsid w:val="00675372"/>
    <w:rsid w:val="0067537B"/>
    <w:rsid w:val="00675449"/>
    <w:rsid w:val="0067545E"/>
    <w:rsid w:val="006754F4"/>
    <w:rsid w:val="00675564"/>
    <w:rsid w:val="006755F9"/>
    <w:rsid w:val="0067572B"/>
    <w:rsid w:val="00675774"/>
    <w:rsid w:val="006757C0"/>
    <w:rsid w:val="006757DB"/>
    <w:rsid w:val="00675855"/>
    <w:rsid w:val="0067588C"/>
    <w:rsid w:val="00675897"/>
    <w:rsid w:val="00675924"/>
    <w:rsid w:val="00675930"/>
    <w:rsid w:val="00675980"/>
    <w:rsid w:val="006759B7"/>
    <w:rsid w:val="00675A27"/>
    <w:rsid w:val="00675DEB"/>
    <w:rsid w:val="00675E06"/>
    <w:rsid w:val="00675E70"/>
    <w:rsid w:val="00676134"/>
    <w:rsid w:val="0067624E"/>
    <w:rsid w:val="006762C3"/>
    <w:rsid w:val="006763C8"/>
    <w:rsid w:val="006764B8"/>
    <w:rsid w:val="00676505"/>
    <w:rsid w:val="0067653E"/>
    <w:rsid w:val="0067654C"/>
    <w:rsid w:val="0067682E"/>
    <w:rsid w:val="006768A2"/>
    <w:rsid w:val="00676A94"/>
    <w:rsid w:val="00676B43"/>
    <w:rsid w:val="00676B81"/>
    <w:rsid w:val="00676C8F"/>
    <w:rsid w:val="00676DCA"/>
    <w:rsid w:val="00676E86"/>
    <w:rsid w:val="00676E93"/>
    <w:rsid w:val="00676EF8"/>
    <w:rsid w:val="00677030"/>
    <w:rsid w:val="006772CE"/>
    <w:rsid w:val="006773F2"/>
    <w:rsid w:val="00677438"/>
    <w:rsid w:val="006774C7"/>
    <w:rsid w:val="006774F2"/>
    <w:rsid w:val="0067750B"/>
    <w:rsid w:val="00677549"/>
    <w:rsid w:val="006775C3"/>
    <w:rsid w:val="0067769B"/>
    <w:rsid w:val="006776A8"/>
    <w:rsid w:val="00677736"/>
    <w:rsid w:val="00677817"/>
    <w:rsid w:val="0067797C"/>
    <w:rsid w:val="0067798F"/>
    <w:rsid w:val="006779A8"/>
    <w:rsid w:val="006779AB"/>
    <w:rsid w:val="00677AC8"/>
    <w:rsid w:val="00677B0B"/>
    <w:rsid w:val="00677B51"/>
    <w:rsid w:val="00677BD4"/>
    <w:rsid w:val="00677C69"/>
    <w:rsid w:val="00677C74"/>
    <w:rsid w:val="00677D82"/>
    <w:rsid w:val="00677DDF"/>
    <w:rsid w:val="00677ECD"/>
    <w:rsid w:val="00677FAE"/>
    <w:rsid w:val="00680038"/>
    <w:rsid w:val="006800E2"/>
    <w:rsid w:val="006801F0"/>
    <w:rsid w:val="00680249"/>
    <w:rsid w:val="00680298"/>
    <w:rsid w:val="00680366"/>
    <w:rsid w:val="00680554"/>
    <w:rsid w:val="0068068D"/>
    <w:rsid w:val="006806B4"/>
    <w:rsid w:val="00680829"/>
    <w:rsid w:val="00680871"/>
    <w:rsid w:val="006808DE"/>
    <w:rsid w:val="006808EC"/>
    <w:rsid w:val="0068097F"/>
    <w:rsid w:val="006809AE"/>
    <w:rsid w:val="00680AE9"/>
    <w:rsid w:val="00680B89"/>
    <w:rsid w:val="00680BC4"/>
    <w:rsid w:val="00680C31"/>
    <w:rsid w:val="00680C49"/>
    <w:rsid w:val="00680CBB"/>
    <w:rsid w:val="00680E7F"/>
    <w:rsid w:val="0068107A"/>
    <w:rsid w:val="0068109D"/>
    <w:rsid w:val="006810A2"/>
    <w:rsid w:val="00681219"/>
    <w:rsid w:val="0068122B"/>
    <w:rsid w:val="006812CD"/>
    <w:rsid w:val="00681358"/>
    <w:rsid w:val="006813E8"/>
    <w:rsid w:val="00681403"/>
    <w:rsid w:val="006816AE"/>
    <w:rsid w:val="006816C3"/>
    <w:rsid w:val="00681707"/>
    <w:rsid w:val="00681793"/>
    <w:rsid w:val="00681839"/>
    <w:rsid w:val="0068199F"/>
    <w:rsid w:val="006819B4"/>
    <w:rsid w:val="006819FA"/>
    <w:rsid w:val="00681A1D"/>
    <w:rsid w:val="00681B7F"/>
    <w:rsid w:val="00681CB6"/>
    <w:rsid w:val="00681D16"/>
    <w:rsid w:val="00681EDB"/>
    <w:rsid w:val="00681F0E"/>
    <w:rsid w:val="0068207B"/>
    <w:rsid w:val="006820AE"/>
    <w:rsid w:val="00682222"/>
    <w:rsid w:val="0068223F"/>
    <w:rsid w:val="006822D4"/>
    <w:rsid w:val="00682458"/>
    <w:rsid w:val="0068247F"/>
    <w:rsid w:val="006824DF"/>
    <w:rsid w:val="006825BD"/>
    <w:rsid w:val="00682632"/>
    <w:rsid w:val="00682713"/>
    <w:rsid w:val="00682913"/>
    <w:rsid w:val="0068293A"/>
    <w:rsid w:val="006829F8"/>
    <w:rsid w:val="00682A87"/>
    <w:rsid w:val="00682B2C"/>
    <w:rsid w:val="00682B75"/>
    <w:rsid w:val="00682BC7"/>
    <w:rsid w:val="00682BD5"/>
    <w:rsid w:val="00682C05"/>
    <w:rsid w:val="00682D63"/>
    <w:rsid w:val="00682DA0"/>
    <w:rsid w:val="00682F57"/>
    <w:rsid w:val="00682F9A"/>
    <w:rsid w:val="00682F9E"/>
    <w:rsid w:val="006830EE"/>
    <w:rsid w:val="006831BF"/>
    <w:rsid w:val="00683213"/>
    <w:rsid w:val="00683256"/>
    <w:rsid w:val="006832CE"/>
    <w:rsid w:val="0068334A"/>
    <w:rsid w:val="00683375"/>
    <w:rsid w:val="006834B2"/>
    <w:rsid w:val="006834B9"/>
    <w:rsid w:val="0068353E"/>
    <w:rsid w:val="00683582"/>
    <w:rsid w:val="00683643"/>
    <w:rsid w:val="006836FC"/>
    <w:rsid w:val="006837E9"/>
    <w:rsid w:val="00683895"/>
    <w:rsid w:val="0068392E"/>
    <w:rsid w:val="0068399D"/>
    <w:rsid w:val="006839C4"/>
    <w:rsid w:val="00683BDD"/>
    <w:rsid w:val="00683C6D"/>
    <w:rsid w:val="00683E6C"/>
    <w:rsid w:val="00683EEA"/>
    <w:rsid w:val="0068404A"/>
    <w:rsid w:val="00684079"/>
    <w:rsid w:val="00684140"/>
    <w:rsid w:val="006841B2"/>
    <w:rsid w:val="006842B2"/>
    <w:rsid w:val="0068435F"/>
    <w:rsid w:val="00684371"/>
    <w:rsid w:val="006843EB"/>
    <w:rsid w:val="00684670"/>
    <w:rsid w:val="00684700"/>
    <w:rsid w:val="006848B4"/>
    <w:rsid w:val="00684925"/>
    <w:rsid w:val="00684CC3"/>
    <w:rsid w:val="00684CF7"/>
    <w:rsid w:val="00684DC4"/>
    <w:rsid w:val="00684EC9"/>
    <w:rsid w:val="00684EF9"/>
    <w:rsid w:val="00684F28"/>
    <w:rsid w:val="00684FC7"/>
    <w:rsid w:val="00684FE5"/>
    <w:rsid w:val="00685082"/>
    <w:rsid w:val="00685088"/>
    <w:rsid w:val="00685282"/>
    <w:rsid w:val="006853B1"/>
    <w:rsid w:val="00685469"/>
    <w:rsid w:val="006854BE"/>
    <w:rsid w:val="0068556E"/>
    <w:rsid w:val="0068584A"/>
    <w:rsid w:val="00685894"/>
    <w:rsid w:val="00685970"/>
    <w:rsid w:val="00685A26"/>
    <w:rsid w:val="00685B32"/>
    <w:rsid w:val="00685C3E"/>
    <w:rsid w:val="00685C81"/>
    <w:rsid w:val="00685CA7"/>
    <w:rsid w:val="00685CD2"/>
    <w:rsid w:val="00685D50"/>
    <w:rsid w:val="00685D63"/>
    <w:rsid w:val="00685D7A"/>
    <w:rsid w:val="00685E0E"/>
    <w:rsid w:val="00685E6D"/>
    <w:rsid w:val="00685EE4"/>
    <w:rsid w:val="00685F80"/>
    <w:rsid w:val="00685F84"/>
    <w:rsid w:val="00685F8B"/>
    <w:rsid w:val="00685FB2"/>
    <w:rsid w:val="006860E0"/>
    <w:rsid w:val="006863B0"/>
    <w:rsid w:val="00686464"/>
    <w:rsid w:val="006864D2"/>
    <w:rsid w:val="00686514"/>
    <w:rsid w:val="00686594"/>
    <w:rsid w:val="006865A7"/>
    <w:rsid w:val="006865AE"/>
    <w:rsid w:val="00686602"/>
    <w:rsid w:val="0068676A"/>
    <w:rsid w:val="006867FA"/>
    <w:rsid w:val="00686806"/>
    <w:rsid w:val="006868AF"/>
    <w:rsid w:val="00686A3A"/>
    <w:rsid w:val="00686A40"/>
    <w:rsid w:val="00686A65"/>
    <w:rsid w:val="00686B4A"/>
    <w:rsid w:val="00686BA1"/>
    <w:rsid w:val="00686BDE"/>
    <w:rsid w:val="00686D68"/>
    <w:rsid w:val="00686E77"/>
    <w:rsid w:val="00686FAB"/>
    <w:rsid w:val="006870B4"/>
    <w:rsid w:val="006870C5"/>
    <w:rsid w:val="006871A2"/>
    <w:rsid w:val="00687242"/>
    <w:rsid w:val="0068725F"/>
    <w:rsid w:val="0068728E"/>
    <w:rsid w:val="006872D4"/>
    <w:rsid w:val="0068731C"/>
    <w:rsid w:val="006873AF"/>
    <w:rsid w:val="006873CE"/>
    <w:rsid w:val="006874DB"/>
    <w:rsid w:val="006875DE"/>
    <w:rsid w:val="00687669"/>
    <w:rsid w:val="006876DD"/>
    <w:rsid w:val="00687758"/>
    <w:rsid w:val="00687781"/>
    <w:rsid w:val="0068783B"/>
    <w:rsid w:val="00687847"/>
    <w:rsid w:val="00687926"/>
    <w:rsid w:val="00687976"/>
    <w:rsid w:val="00687A57"/>
    <w:rsid w:val="00687AE6"/>
    <w:rsid w:val="00687B4D"/>
    <w:rsid w:val="00687CEE"/>
    <w:rsid w:val="00687D46"/>
    <w:rsid w:val="00687D99"/>
    <w:rsid w:val="00687E21"/>
    <w:rsid w:val="00687F1A"/>
    <w:rsid w:val="00687FA3"/>
    <w:rsid w:val="0069008D"/>
    <w:rsid w:val="006900E4"/>
    <w:rsid w:val="00690377"/>
    <w:rsid w:val="006903A0"/>
    <w:rsid w:val="0069043D"/>
    <w:rsid w:val="00690744"/>
    <w:rsid w:val="006907CC"/>
    <w:rsid w:val="00690877"/>
    <w:rsid w:val="006908F7"/>
    <w:rsid w:val="006908FA"/>
    <w:rsid w:val="0069094C"/>
    <w:rsid w:val="00690997"/>
    <w:rsid w:val="00690A72"/>
    <w:rsid w:val="00690A75"/>
    <w:rsid w:val="00690A87"/>
    <w:rsid w:val="00690AE2"/>
    <w:rsid w:val="00690B7B"/>
    <w:rsid w:val="00690BB1"/>
    <w:rsid w:val="00690BB4"/>
    <w:rsid w:val="00690C50"/>
    <w:rsid w:val="00690CB4"/>
    <w:rsid w:val="00690E07"/>
    <w:rsid w:val="00690E47"/>
    <w:rsid w:val="00690FA7"/>
    <w:rsid w:val="006910C9"/>
    <w:rsid w:val="00691137"/>
    <w:rsid w:val="006912E5"/>
    <w:rsid w:val="006913F2"/>
    <w:rsid w:val="00691533"/>
    <w:rsid w:val="00691584"/>
    <w:rsid w:val="0069160C"/>
    <w:rsid w:val="00691643"/>
    <w:rsid w:val="00691663"/>
    <w:rsid w:val="0069167C"/>
    <w:rsid w:val="0069170E"/>
    <w:rsid w:val="0069173C"/>
    <w:rsid w:val="0069175C"/>
    <w:rsid w:val="00691790"/>
    <w:rsid w:val="00691825"/>
    <w:rsid w:val="0069187A"/>
    <w:rsid w:val="006918F1"/>
    <w:rsid w:val="0069195B"/>
    <w:rsid w:val="0069199E"/>
    <w:rsid w:val="00691A29"/>
    <w:rsid w:val="00691C9F"/>
    <w:rsid w:val="00691CBA"/>
    <w:rsid w:val="00691DED"/>
    <w:rsid w:val="00691ED2"/>
    <w:rsid w:val="00691F2E"/>
    <w:rsid w:val="0069214B"/>
    <w:rsid w:val="00692240"/>
    <w:rsid w:val="0069224F"/>
    <w:rsid w:val="00692315"/>
    <w:rsid w:val="006925BF"/>
    <w:rsid w:val="00692630"/>
    <w:rsid w:val="006926C2"/>
    <w:rsid w:val="00692838"/>
    <w:rsid w:val="0069284F"/>
    <w:rsid w:val="00692869"/>
    <w:rsid w:val="00692B64"/>
    <w:rsid w:val="00692BD6"/>
    <w:rsid w:val="00692CEC"/>
    <w:rsid w:val="00692D2A"/>
    <w:rsid w:val="00692D91"/>
    <w:rsid w:val="00692D96"/>
    <w:rsid w:val="00692E4D"/>
    <w:rsid w:val="00692ED2"/>
    <w:rsid w:val="00692F44"/>
    <w:rsid w:val="0069303B"/>
    <w:rsid w:val="0069317B"/>
    <w:rsid w:val="006931D6"/>
    <w:rsid w:val="006931E1"/>
    <w:rsid w:val="006932AF"/>
    <w:rsid w:val="006932F4"/>
    <w:rsid w:val="006933A3"/>
    <w:rsid w:val="0069357B"/>
    <w:rsid w:val="006935C4"/>
    <w:rsid w:val="006935CB"/>
    <w:rsid w:val="0069362E"/>
    <w:rsid w:val="00693861"/>
    <w:rsid w:val="006938E1"/>
    <w:rsid w:val="006938E8"/>
    <w:rsid w:val="0069394D"/>
    <w:rsid w:val="0069396C"/>
    <w:rsid w:val="00693AD1"/>
    <w:rsid w:val="00693BB6"/>
    <w:rsid w:val="00693C4A"/>
    <w:rsid w:val="00693CA0"/>
    <w:rsid w:val="00693D3A"/>
    <w:rsid w:val="00693D3C"/>
    <w:rsid w:val="00693DE1"/>
    <w:rsid w:val="00693E43"/>
    <w:rsid w:val="00693E91"/>
    <w:rsid w:val="00693EFB"/>
    <w:rsid w:val="00694042"/>
    <w:rsid w:val="0069418E"/>
    <w:rsid w:val="006941B8"/>
    <w:rsid w:val="006941F1"/>
    <w:rsid w:val="00694241"/>
    <w:rsid w:val="006942B0"/>
    <w:rsid w:val="006943BB"/>
    <w:rsid w:val="00694457"/>
    <w:rsid w:val="0069479C"/>
    <w:rsid w:val="0069485B"/>
    <w:rsid w:val="006949FC"/>
    <w:rsid w:val="00694A49"/>
    <w:rsid w:val="00694AD7"/>
    <w:rsid w:val="00694BC5"/>
    <w:rsid w:val="00694CC6"/>
    <w:rsid w:val="006950EA"/>
    <w:rsid w:val="00695106"/>
    <w:rsid w:val="00695112"/>
    <w:rsid w:val="00695196"/>
    <w:rsid w:val="006953EE"/>
    <w:rsid w:val="00695446"/>
    <w:rsid w:val="006954FA"/>
    <w:rsid w:val="0069559C"/>
    <w:rsid w:val="006956D0"/>
    <w:rsid w:val="00695744"/>
    <w:rsid w:val="006957F9"/>
    <w:rsid w:val="00695862"/>
    <w:rsid w:val="00695873"/>
    <w:rsid w:val="006958E9"/>
    <w:rsid w:val="0069595D"/>
    <w:rsid w:val="00695A59"/>
    <w:rsid w:val="00695A79"/>
    <w:rsid w:val="00695BCB"/>
    <w:rsid w:val="00695BF9"/>
    <w:rsid w:val="00695C1E"/>
    <w:rsid w:val="00695D0F"/>
    <w:rsid w:val="00695D1E"/>
    <w:rsid w:val="00695E1F"/>
    <w:rsid w:val="00695E5E"/>
    <w:rsid w:val="00695FFF"/>
    <w:rsid w:val="00696086"/>
    <w:rsid w:val="006961AA"/>
    <w:rsid w:val="00696217"/>
    <w:rsid w:val="00696346"/>
    <w:rsid w:val="0069655A"/>
    <w:rsid w:val="00696595"/>
    <w:rsid w:val="00696602"/>
    <w:rsid w:val="0069673C"/>
    <w:rsid w:val="0069675A"/>
    <w:rsid w:val="00696798"/>
    <w:rsid w:val="006968EE"/>
    <w:rsid w:val="006968F4"/>
    <w:rsid w:val="006969C1"/>
    <w:rsid w:val="006969FB"/>
    <w:rsid w:val="00696C24"/>
    <w:rsid w:val="00696CAA"/>
    <w:rsid w:val="00696CB3"/>
    <w:rsid w:val="00696D4F"/>
    <w:rsid w:val="00696DA1"/>
    <w:rsid w:val="00696DC3"/>
    <w:rsid w:val="00696DC7"/>
    <w:rsid w:val="00696ED8"/>
    <w:rsid w:val="00696F68"/>
    <w:rsid w:val="00697019"/>
    <w:rsid w:val="0069702C"/>
    <w:rsid w:val="0069703F"/>
    <w:rsid w:val="0069706C"/>
    <w:rsid w:val="00697079"/>
    <w:rsid w:val="0069711E"/>
    <w:rsid w:val="0069714B"/>
    <w:rsid w:val="00697158"/>
    <w:rsid w:val="00697161"/>
    <w:rsid w:val="0069749D"/>
    <w:rsid w:val="006974CA"/>
    <w:rsid w:val="006974EC"/>
    <w:rsid w:val="00697511"/>
    <w:rsid w:val="00697594"/>
    <w:rsid w:val="006975FA"/>
    <w:rsid w:val="00697763"/>
    <w:rsid w:val="00697789"/>
    <w:rsid w:val="0069786E"/>
    <w:rsid w:val="0069789E"/>
    <w:rsid w:val="006978BE"/>
    <w:rsid w:val="00697985"/>
    <w:rsid w:val="00697995"/>
    <w:rsid w:val="006979DD"/>
    <w:rsid w:val="006979EB"/>
    <w:rsid w:val="00697ADB"/>
    <w:rsid w:val="00697AEF"/>
    <w:rsid w:val="00697C1B"/>
    <w:rsid w:val="00697E6A"/>
    <w:rsid w:val="00697E92"/>
    <w:rsid w:val="00697EAE"/>
    <w:rsid w:val="00697FA5"/>
    <w:rsid w:val="00697FC8"/>
    <w:rsid w:val="006A0084"/>
    <w:rsid w:val="006A01F2"/>
    <w:rsid w:val="006A027E"/>
    <w:rsid w:val="006A032A"/>
    <w:rsid w:val="006A04C4"/>
    <w:rsid w:val="006A059F"/>
    <w:rsid w:val="006A06B3"/>
    <w:rsid w:val="006A0728"/>
    <w:rsid w:val="006A0760"/>
    <w:rsid w:val="006A085E"/>
    <w:rsid w:val="006A08A4"/>
    <w:rsid w:val="006A0A15"/>
    <w:rsid w:val="006A0A29"/>
    <w:rsid w:val="006A0A4E"/>
    <w:rsid w:val="006A0AD6"/>
    <w:rsid w:val="006A0AFE"/>
    <w:rsid w:val="006A0AFF"/>
    <w:rsid w:val="006A0BFA"/>
    <w:rsid w:val="006A0C47"/>
    <w:rsid w:val="006A0CD8"/>
    <w:rsid w:val="006A0D5F"/>
    <w:rsid w:val="006A0DE8"/>
    <w:rsid w:val="006A0EE9"/>
    <w:rsid w:val="006A0F1C"/>
    <w:rsid w:val="006A1108"/>
    <w:rsid w:val="006A1195"/>
    <w:rsid w:val="006A1280"/>
    <w:rsid w:val="006A12CC"/>
    <w:rsid w:val="006A1323"/>
    <w:rsid w:val="006A1459"/>
    <w:rsid w:val="006A1466"/>
    <w:rsid w:val="006A1481"/>
    <w:rsid w:val="006A16A5"/>
    <w:rsid w:val="006A16BC"/>
    <w:rsid w:val="006A16EF"/>
    <w:rsid w:val="006A1702"/>
    <w:rsid w:val="006A174C"/>
    <w:rsid w:val="006A1752"/>
    <w:rsid w:val="006A17A0"/>
    <w:rsid w:val="006A199C"/>
    <w:rsid w:val="006A19F4"/>
    <w:rsid w:val="006A1A0D"/>
    <w:rsid w:val="006A1AD1"/>
    <w:rsid w:val="006A1AF6"/>
    <w:rsid w:val="006A1C0C"/>
    <w:rsid w:val="006A1D05"/>
    <w:rsid w:val="006A1DE0"/>
    <w:rsid w:val="006A1E6C"/>
    <w:rsid w:val="006A1EFB"/>
    <w:rsid w:val="006A1F65"/>
    <w:rsid w:val="006A2057"/>
    <w:rsid w:val="006A20B6"/>
    <w:rsid w:val="006A2166"/>
    <w:rsid w:val="006A234F"/>
    <w:rsid w:val="006A239D"/>
    <w:rsid w:val="006A2413"/>
    <w:rsid w:val="006A2495"/>
    <w:rsid w:val="006A2593"/>
    <w:rsid w:val="006A272F"/>
    <w:rsid w:val="006A28B1"/>
    <w:rsid w:val="006A28E5"/>
    <w:rsid w:val="006A28EE"/>
    <w:rsid w:val="006A29FD"/>
    <w:rsid w:val="006A2B8B"/>
    <w:rsid w:val="006A2C07"/>
    <w:rsid w:val="006A2C37"/>
    <w:rsid w:val="006A2E18"/>
    <w:rsid w:val="006A2F0A"/>
    <w:rsid w:val="006A2F72"/>
    <w:rsid w:val="006A2FFD"/>
    <w:rsid w:val="006A3053"/>
    <w:rsid w:val="006A30D7"/>
    <w:rsid w:val="006A3183"/>
    <w:rsid w:val="006A31DB"/>
    <w:rsid w:val="006A320E"/>
    <w:rsid w:val="006A3243"/>
    <w:rsid w:val="006A328D"/>
    <w:rsid w:val="006A329C"/>
    <w:rsid w:val="006A32C8"/>
    <w:rsid w:val="006A32E2"/>
    <w:rsid w:val="006A340C"/>
    <w:rsid w:val="006A34C3"/>
    <w:rsid w:val="006A34C9"/>
    <w:rsid w:val="006A3579"/>
    <w:rsid w:val="006A3593"/>
    <w:rsid w:val="006A3707"/>
    <w:rsid w:val="006A37DC"/>
    <w:rsid w:val="006A388A"/>
    <w:rsid w:val="006A38B1"/>
    <w:rsid w:val="006A3A7B"/>
    <w:rsid w:val="006A3AEC"/>
    <w:rsid w:val="006A3B8A"/>
    <w:rsid w:val="006A3CD5"/>
    <w:rsid w:val="006A3D2F"/>
    <w:rsid w:val="006A3DB1"/>
    <w:rsid w:val="006A3DD3"/>
    <w:rsid w:val="006A3FF6"/>
    <w:rsid w:val="006A4204"/>
    <w:rsid w:val="006A42F9"/>
    <w:rsid w:val="006A42FB"/>
    <w:rsid w:val="006A4301"/>
    <w:rsid w:val="006A43B8"/>
    <w:rsid w:val="006A43F0"/>
    <w:rsid w:val="006A4481"/>
    <w:rsid w:val="006A45E8"/>
    <w:rsid w:val="006A4741"/>
    <w:rsid w:val="006A4880"/>
    <w:rsid w:val="006A48F0"/>
    <w:rsid w:val="006A4980"/>
    <w:rsid w:val="006A4A37"/>
    <w:rsid w:val="006A4A92"/>
    <w:rsid w:val="006A4AAC"/>
    <w:rsid w:val="006A4B41"/>
    <w:rsid w:val="006A4B61"/>
    <w:rsid w:val="006A4B6C"/>
    <w:rsid w:val="006A4C04"/>
    <w:rsid w:val="006A4C2E"/>
    <w:rsid w:val="006A4EA1"/>
    <w:rsid w:val="006A4F63"/>
    <w:rsid w:val="006A5084"/>
    <w:rsid w:val="006A50C7"/>
    <w:rsid w:val="006A50DB"/>
    <w:rsid w:val="006A5182"/>
    <w:rsid w:val="006A5291"/>
    <w:rsid w:val="006A5329"/>
    <w:rsid w:val="006A53AE"/>
    <w:rsid w:val="006A5488"/>
    <w:rsid w:val="006A54F7"/>
    <w:rsid w:val="006A567D"/>
    <w:rsid w:val="006A57CA"/>
    <w:rsid w:val="006A5810"/>
    <w:rsid w:val="006A583D"/>
    <w:rsid w:val="006A5AD6"/>
    <w:rsid w:val="006A5CE1"/>
    <w:rsid w:val="006A5D42"/>
    <w:rsid w:val="006A5D56"/>
    <w:rsid w:val="006A5D60"/>
    <w:rsid w:val="006A5DB3"/>
    <w:rsid w:val="006A5E00"/>
    <w:rsid w:val="006A5F13"/>
    <w:rsid w:val="006A5F3C"/>
    <w:rsid w:val="006A603B"/>
    <w:rsid w:val="006A60C8"/>
    <w:rsid w:val="006A63F4"/>
    <w:rsid w:val="006A65E5"/>
    <w:rsid w:val="006A6782"/>
    <w:rsid w:val="006A686D"/>
    <w:rsid w:val="006A6A0F"/>
    <w:rsid w:val="006A6A87"/>
    <w:rsid w:val="006A6B8E"/>
    <w:rsid w:val="006A6BA5"/>
    <w:rsid w:val="006A6BE5"/>
    <w:rsid w:val="006A6C0F"/>
    <w:rsid w:val="006A6D3C"/>
    <w:rsid w:val="006A6D4F"/>
    <w:rsid w:val="006A6D50"/>
    <w:rsid w:val="006A6DFA"/>
    <w:rsid w:val="006A6F5C"/>
    <w:rsid w:val="006A6FE4"/>
    <w:rsid w:val="006A70AD"/>
    <w:rsid w:val="006A70E1"/>
    <w:rsid w:val="006A70EF"/>
    <w:rsid w:val="006A70F1"/>
    <w:rsid w:val="006A7132"/>
    <w:rsid w:val="006A72A8"/>
    <w:rsid w:val="006A72EA"/>
    <w:rsid w:val="006A7331"/>
    <w:rsid w:val="006A7529"/>
    <w:rsid w:val="006A7600"/>
    <w:rsid w:val="006A78DE"/>
    <w:rsid w:val="006A78F9"/>
    <w:rsid w:val="006A7920"/>
    <w:rsid w:val="006A798D"/>
    <w:rsid w:val="006A7995"/>
    <w:rsid w:val="006A79AA"/>
    <w:rsid w:val="006A79DA"/>
    <w:rsid w:val="006A7AD0"/>
    <w:rsid w:val="006A7B15"/>
    <w:rsid w:val="006A7B8A"/>
    <w:rsid w:val="006A7B9E"/>
    <w:rsid w:val="006A7C0D"/>
    <w:rsid w:val="006A7E7A"/>
    <w:rsid w:val="006B0056"/>
    <w:rsid w:val="006B007A"/>
    <w:rsid w:val="006B00E8"/>
    <w:rsid w:val="006B00EA"/>
    <w:rsid w:val="006B01E3"/>
    <w:rsid w:val="006B0225"/>
    <w:rsid w:val="006B03B2"/>
    <w:rsid w:val="006B03DE"/>
    <w:rsid w:val="006B04BB"/>
    <w:rsid w:val="006B0758"/>
    <w:rsid w:val="006B078A"/>
    <w:rsid w:val="006B07A0"/>
    <w:rsid w:val="006B0823"/>
    <w:rsid w:val="006B08D3"/>
    <w:rsid w:val="006B0A0E"/>
    <w:rsid w:val="006B0A15"/>
    <w:rsid w:val="006B0A3D"/>
    <w:rsid w:val="006B0B44"/>
    <w:rsid w:val="006B0B61"/>
    <w:rsid w:val="006B0C00"/>
    <w:rsid w:val="006B0C10"/>
    <w:rsid w:val="006B0CA3"/>
    <w:rsid w:val="006B0CA8"/>
    <w:rsid w:val="006B0E26"/>
    <w:rsid w:val="006B0E3A"/>
    <w:rsid w:val="006B0F36"/>
    <w:rsid w:val="006B1007"/>
    <w:rsid w:val="006B10D0"/>
    <w:rsid w:val="006B1149"/>
    <w:rsid w:val="006B114C"/>
    <w:rsid w:val="006B1150"/>
    <w:rsid w:val="006B1248"/>
    <w:rsid w:val="006B12D3"/>
    <w:rsid w:val="006B1319"/>
    <w:rsid w:val="006B1402"/>
    <w:rsid w:val="006B1428"/>
    <w:rsid w:val="006B1465"/>
    <w:rsid w:val="006B16AC"/>
    <w:rsid w:val="006B183B"/>
    <w:rsid w:val="006B1844"/>
    <w:rsid w:val="006B1904"/>
    <w:rsid w:val="006B1A25"/>
    <w:rsid w:val="006B1C28"/>
    <w:rsid w:val="006B1C65"/>
    <w:rsid w:val="006B1C74"/>
    <w:rsid w:val="006B1CD8"/>
    <w:rsid w:val="006B1DA3"/>
    <w:rsid w:val="006B1DA7"/>
    <w:rsid w:val="006B1DD5"/>
    <w:rsid w:val="006B1E7F"/>
    <w:rsid w:val="006B1F53"/>
    <w:rsid w:val="006B1F5B"/>
    <w:rsid w:val="006B1FE9"/>
    <w:rsid w:val="006B2095"/>
    <w:rsid w:val="006B22A5"/>
    <w:rsid w:val="006B22FA"/>
    <w:rsid w:val="006B250D"/>
    <w:rsid w:val="006B2561"/>
    <w:rsid w:val="006B25DE"/>
    <w:rsid w:val="006B268A"/>
    <w:rsid w:val="006B2748"/>
    <w:rsid w:val="006B28A5"/>
    <w:rsid w:val="006B2907"/>
    <w:rsid w:val="006B297A"/>
    <w:rsid w:val="006B2B75"/>
    <w:rsid w:val="006B2C62"/>
    <w:rsid w:val="006B2C9D"/>
    <w:rsid w:val="006B2D76"/>
    <w:rsid w:val="006B2E1B"/>
    <w:rsid w:val="006B2E67"/>
    <w:rsid w:val="006B2EDD"/>
    <w:rsid w:val="006B2F39"/>
    <w:rsid w:val="006B2F42"/>
    <w:rsid w:val="006B318F"/>
    <w:rsid w:val="006B31C0"/>
    <w:rsid w:val="006B3282"/>
    <w:rsid w:val="006B34BB"/>
    <w:rsid w:val="006B368B"/>
    <w:rsid w:val="006B36B7"/>
    <w:rsid w:val="006B376C"/>
    <w:rsid w:val="006B3783"/>
    <w:rsid w:val="006B37F8"/>
    <w:rsid w:val="006B380D"/>
    <w:rsid w:val="006B3831"/>
    <w:rsid w:val="006B38CD"/>
    <w:rsid w:val="006B3945"/>
    <w:rsid w:val="006B39AF"/>
    <w:rsid w:val="006B3AD3"/>
    <w:rsid w:val="006B3AE5"/>
    <w:rsid w:val="006B3CA4"/>
    <w:rsid w:val="006B3D35"/>
    <w:rsid w:val="006B3D51"/>
    <w:rsid w:val="006B3D57"/>
    <w:rsid w:val="006B3DCD"/>
    <w:rsid w:val="006B3E0C"/>
    <w:rsid w:val="006B3E29"/>
    <w:rsid w:val="006B3EB7"/>
    <w:rsid w:val="006B4043"/>
    <w:rsid w:val="006B4060"/>
    <w:rsid w:val="006B40C0"/>
    <w:rsid w:val="006B40C7"/>
    <w:rsid w:val="006B426E"/>
    <w:rsid w:val="006B42D5"/>
    <w:rsid w:val="006B4372"/>
    <w:rsid w:val="006B44BF"/>
    <w:rsid w:val="006B4549"/>
    <w:rsid w:val="006B4649"/>
    <w:rsid w:val="006B4722"/>
    <w:rsid w:val="006B4752"/>
    <w:rsid w:val="006B47AB"/>
    <w:rsid w:val="006B47BB"/>
    <w:rsid w:val="006B4814"/>
    <w:rsid w:val="006B484A"/>
    <w:rsid w:val="006B4910"/>
    <w:rsid w:val="006B4BF6"/>
    <w:rsid w:val="006B4C2A"/>
    <w:rsid w:val="006B4C8E"/>
    <w:rsid w:val="006B4D56"/>
    <w:rsid w:val="006B4DF5"/>
    <w:rsid w:val="006B4F23"/>
    <w:rsid w:val="006B4FD8"/>
    <w:rsid w:val="006B515F"/>
    <w:rsid w:val="006B5212"/>
    <w:rsid w:val="006B5517"/>
    <w:rsid w:val="006B57A3"/>
    <w:rsid w:val="006B57FC"/>
    <w:rsid w:val="006B57FE"/>
    <w:rsid w:val="006B5843"/>
    <w:rsid w:val="006B59FB"/>
    <w:rsid w:val="006B5A8F"/>
    <w:rsid w:val="006B5E1C"/>
    <w:rsid w:val="006B5E42"/>
    <w:rsid w:val="006B5EA3"/>
    <w:rsid w:val="006B5F09"/>
    <w:rsid w:val="006B606E"/>
    <w:rsid w:val="006B6088"/>
    <w:rsid w:val="006B6117"/>
    <w:rsid w:val="006B613A"/>
    <w:rsid w:val="006B635C"/>
    <w:rsid w:val="006B63FD"/>
    <w:rsid w:val="006B6525"/>
    <w:rsid w:val="006B6657"/>
    <w:rsid w:val="006B670E"/>
    <w:rsid w:val="006B68A7"/>
    <w:rsid w:val="006B68E5"/>
    <w:rsid w:val="006B690B"/>
    <w:rsid w:val="006B693F"/>
    <w:rsid w:val="006B6A16"/>
    <w:rsid w:val="006B6A6E"/>
    <w:rsid w:val="006B6B11"/>
    <w:rsid w:val="006B6B48"/>
    <w:rsid w:val="006B6B80"/>
    <w:rsid w:val="006B6B82"/>
    <w:rsid w:val="006B6BC5"/>
    <w:rsid w:val="006B6DE0"/>
    <w:rsid w:val="006B6E29"/>
    <w:rsid w:val="006B70B7"/>
    <w:rsid w:val="006B712D"/>
    <w:rsid w:val="006B7133"/>
    <w:rsid w:val="006B71ED"/>
    <w:rsid w:val="006B7234"/>
    <w:rsid w:val="006B7359"/>
    <w:rsid w:val="006B73DC"/>
    <w:rsid w:val="006B7528"/>
    <w:rsid w:val="006B7555"/>
    <w:rsid w:val="006B7572"/>
    <w:rsid w:val="006B76AA"/>
    <w:rsid w:val="006B7748"/>
    <w:rsid w:val="006B795C"/>
    <w:rsid w:val="006B7BBB"/>
    <w:rsid w:val="006B7C92"/>
    <w:rsid w:val="006B7CD3"/>
    <w:rsid w:val="006B7D93"/>
    <w:rsid w:val="006B7DB7"/>
    <w:rsid w:val="006B7E6F"/>
    <w:rsid w:val="006B7F19"/>
    <w:rsid w:val="006B7F68"/>
    <w:rsid w:val="006B7F82"/>
    <w:rsid w:val="006B7FAA"/>
    <w:rsid w:val="006C00FC"/>
    <w:rsid w:val="006C029E"/>
    <w:rsid w:val="006C02E1"/>
    <w:rsid w:val="006C0424"/>
    <w:rsid w:val="006C0436"/>
    <w:rsid w:val="006C0457"/>
    <w:rsid w:val="006C0491"/>
    <w:rsid w:val="006C0519"/>
    <w:rsid w:val="006C05A6"/>
    <w:rsid w:val="006C05FA"/>
    <w:rsid w:val="006C0672"/>
    <w:rsid w:val="006C0676"/>
    <w:rsid w:val="006C06B9"/>
    <w:rsid w:val="006C07DE"/>
    <w:rsid w:val="006C0977"/>
    <w:rsid w:val="006C09F1"/>
    <w:rsid w:val="006C0A30"/>
    <w:rsid w:val="006C0AD6"/>
    <w:rsid w:val="006C0BD4"/>
    <w:rsid w:val="006C0C27"/>
    <w:rsid w:val="006C0D52"/>
    <w:rsid w:val="006C0E58"/>
    <w:rsid w:val="006C0F20"/>
    <w:rsid w:val="006C0F6E"/>
    <w:rsid w:val="006C106A"/>
    <w:rsid w:val="006C124E"/>
    <w:rsid w:val="006C128E"/>
    <w:rsid w:val="006C1458"/>
    <w:rsid w:val="006C1459"/>
    <w:rsid w:val="006C153D"/>
    <w:rsid w:val="006C1681"/>
    <w:rsid w:val="006C16F2"/>
    <w:rsid w:val="006C1703"/>
    <w:rsid w:val="006C17C9"/>
    <w:rsid w:val="006C187F"/>
    <w:rsid w:val="006C197C"/>
    <w:rsid w:val="006C1AD6"/>
    <w:rsid w:val="006C1B91"/>
    <w:rsid w:val="006C1C3B"/>
    <w:rsid w:val="006C1C5B"/>
    <w:rsid w:val="006C1C8C"/>
    <w:rsid w:val="006C1CA4"/>
    <w:rsid w:val="006C1CF8"/>
    <w:rsid w:val="006C1D71"/>
    <w:rsid w:val="006C1EDB"/>
    <w:rsid w:val="006C1F5B"/>
    <w:rsid w:val="006C1F61"/>
    <w:rsid w:val="006C223D"/>
    <w:rsid w:val="006C22AC"/>
    <w:rsid w:val="006C238A"/>
    <w:rsid w:val="006C2497"/>
    <w:rsid w:val="006C24D4"/>
    <w:rsid w:val="006C2860"/>
    <w:rsid w:val="006C2878"/>
    <w:rsid w:val="006C2904"/>
    <w:rsid w:val="006C2907"/>
    <w:rsid w:val="006C295B"/>
    <w:rsid w:val="006C2AA0"/>
    <w:rsid w:val="006C2B7D"/>
    <w:rsid w:val="006C2DA5"/>
    <w:rsid w:val="006C2DF1"/>
    <w:rsid w:val="006C2E05"/>
    <w:rsid w:val="006C2E29"/>
    <w:rsid w:val="006C2E3F"/>
    <w:rsid w:val="006C31B4"/>
    <w:rsid w:val="006C32FC"/>
    <w:rsid w:val="006C3409"/>
    <w:rsid w:val="006C3417"/>
    <w:rsid w:val="006C34B9"/>
    <w:rsid w:val="006C34CB"/>
    <w:rsid w:val="006C3538"/>
    <w:rsid w:val="006C3551"/>
    <w:rsid w:val="006C3686"/>
    <w:rsid w:val="006C3712"/>
    <w:rsid w:val="006C3719"/>
    <w:rsid w:val="006C37F2"/>
    <w:rsid w:val="006C38C3"/>
    <w:rsid w:val="006C38FB"/>
    <w:rsid w:val="006C3904"/>
    <w:rsid w:val="006C39A3"/>
    <w:rsid w:val="006C3AB8"/>
    <w:rsid w:val="006C3AD4"/>
    <w:rsid w:val="006C3B96"/>
    <w:rsid w:val="006C3C48"/>
    <w:rsid w:val="006C3C8C"/>
    <w:rsid w:val="006C3EF5"/>
    <w:rsid w:val="006C3F8F"/>
    <w:rsid w:val="006C3FB2"/>
    <w:rsid w:val="006C3FDB"/>
    <w:rsid w:val="006C3FEE"/>
    <w:rsid w:val="006C3FF0"/>
    <w:rsid w:val="006C4060"/>
    <w:rsid w:val="006C4094"/>
    <w:rsid w:val="006C41ED"/>
    <w:rsid w:val="006C41F5"/>
    <w:rsid w:val="006C4279"/>
    <w:rsid w:val="006C42B4"/>
    <w:rsid w:val="006C4339"/>
    <w:rsid w:val="006C4539"/>
    <w:rsid w:val="006C4570"/>
    <w:rsid w:val="006C4770"/>
    <w:rsid w:val="006C477E"/>
    <w:rsid w:val="006C495F"/>
    <w:rsid w:val="006C4A2C"/>
    <w:rsid w:val="006C4A60"/>
    <w:rsid w:val="006C4B98"/>
    <w:rsid w:val="006C4BEF"/>
    <w:rsid w:val="006C4C4E"/>
    <w:rsid w:val="006C4C91"/>
    <w:rsid w:val="006C4D1F"/>
    <w:rsid w:val="006C4D3C"/>
    <w:rsid w:val="006C4D84"/>
    <w:rsid w:val="006C4DDF"/>
    <w:rsid w:val="006C4F5B"/>
    <w:rsid w:val="006C4F85"/>
    <w:rsid w:val="006C4FA9"/>
    <w:rsid w:val="006C4FE7"/>
    <w:rsid w:val="006C50B0"/>
    <w:rsid w:val="006C5109"/>
    <w:rsid w:val="006C51C5"/>
    <w:rsid w:val="006C5207"/>
    <w:rsid w:val="006C52A7"/>
    <w:rsid w:val="006C5398"/>
    <w:rsid w:val="006C53E5"/>
    <w:rsid w:val="006C54C7"/>
    <w:rsid w:val="006C559A"/>
    <w:rsid w:val="006C560C"/>
    <w:rsid w:val="006C5620"/>
    <w:rsid w:val="006C5713"/>
    <w:rsid w:val="006C5800"/>
    <w:rsid w:val="006C58A0"/>
    <w:rsid w:val="006C5A80"/>
    <w:rsid w:val="006C5AF8"/>
    <w:rsid w:val="006C5B16"/>
    <w:rsid w:val="006C5BF4"/>
    <w:rsid w:val="006C5BF8"/>
    <w:rsid w:val="006C5D5E"/>
    <w:rsid w:val="006C5DB1"/>
    <w:rsid w:val="006C5DFB"/>
    <w:rsid w:val="006C5EB2"/>
    <w:rsid w:val="006C5F3C"/>
    <w:rsid w:val="006C5FCF"/>
    <w:rsid w:val="006C5FE7"/>
    <w:rsid w:val="006C5FF6"/>
    <w:rsid w:val="006C5FF7"/>
    <w:rsid w:val="006C6073"/>
    <w:rsid w:val="006C60F0"/>
    <w:rsid w:val="006C61C0"/>
    <w:rsid w:val="006C61CA"/>
    <w:rsid w:val="006C6250"/>
    <w:rsid w:val="006C62CC"/>
    <w:rsid w:val="006C633A"/>
    <w:rsid w:val="006C6399"/>
    <w:rsid w:val="006C640C"/>
    <w:rsid w:val="006C64D0"/>
    <w:rsid w:val="006C6518"/>
    <w:rsid w:val="006C6532"/>
    <w:rsid w:val="006C65CA"/>
    <w:rsid w:val="006C6604"/>
    <w:rsid w:val="006C6683"/>
    <w:rsid w:val="006C66DE"/>
    <w:rsid w:val="006C66FD"/>
    <w:rsid w:val="006C67C3"/>
    <w:rsid w:val="006C6AE5"/>
    <w:rsid w:val="006C6AFC"/>
    <w:rsid w:val="006C6B29"/>
    <w:rsid w:val="006C6B85"/>
    <w:rsid w:val="006C6C0A"/>
    <w:rsid w:val="006C6D19"/>
    <w:rsid w:val="006C6E7F"/>
    <w:rsid w:val="006C6EB9"/>
    <w:rsid w:val="006C6F81"/>
    <w:rsid w:val="006C6FC2"/>
    <w:rsid w:val="006C708A"/>
    <w:rsid w:val="006C7097"/>
    <w:rsid w:val="006C70FF"/>
    <w:rsid w:val="006C7117"/>
    <w:rsid w:val="006C71B4"/>
    <w:rsid w:val="006C7325"/>
    <w:rsid w:val="006C73B4"/>
    <w:rsid w:val="006C740B"/>
    <w:rsid w:val="006C74D8"/>
    <w:rsid w:val="006C7632"/>
    <w:rsid w:val="006C769B"/>
    <w:rsid w:val="006C78D0"/>
    <w:rsid w:val="006C792C"/>
    <w:rsid w:val="006C79D7"/>
    <w:rsid w:val="006C7A06"/>
    <w:rsid w:val="006C7A82"/>
    <w:rsid w:val="006C7B90"/>
    <w:rsid w:val="006C7C13"/>
    <w:rsid w:val="006C7C67"/>
    <w:rsid w:val="006C7C81"/>
    <w:rsid w:val="006C7CBD"/>
    <w:rsid w:val="006C7CF5"/>
    <w:rsid w:val="006C7E01"/>
    <w:rsid w:val="006D00B4"/>
    <w:rsid w:val="006D00FD"/>
    <w:rsid w:val="006D014C"/>
    <w:rsid w:val="006D023D"/>
    <w:rsid w:val="006D02C2"/>
    <w:rsid w:val="006D0324"/>
    <w:rsid w:val="006D0336"/>
    <w:rsid w:val="006D0363"/>
    <w:rsid w:val="006D052B"/>
    <w:rsid w:val="006D053B"/>
    <w:rsid w:val="006D0635"/>
    <w:rsid w:val="006D071E"/>
    <w:rsid w:val="006D0766"/>
    <w:rsid w:val="006D0944"/>
    <w:rsid w:val="006D09F8"/>
    <w:rsid w:val="006D0A62"/>
    <w:rsid w:val="006D0C38"/>
    <w:rsid w:val="006D0C55"/>
    <w:rsid w:val="006D0CA3"/>
    <w:rsid w:val="006D0D8E"/>
    <w:rsid w:val="006D0D94"/>
    <w:rsid w:val="006D0E57"/>
    <w:rsid w:val="006D0E65"/>
    <w:rsid w:val="006D104D"/>
    <w:rsid w:val="006D10A4"/>
    <w:rsid w:val="006D10BB"/>
    <w:rsid w:val="006D1198"/>
    <w:rsid w:val="006D122D"/>
    <w:rsid w:val="006D13AE"/>
    <w:rsid w:val="006D13C8"/>
    <w:rsid w:val="006D1465"/>
    <w:rsid w:val="006D1503"/>
    <w:rsid w:val="006D1568"/>
    <w:rsid w:val="006D15F5"/>
    <w:rsid w:val="006D162D"/>
    <w:rsid w:val="006D16DD"/>
    <w:rsid w:val="006D1751"/>
    <w:rsid w:val="006D17CC"/>
    <w:rsid w:val="006D1832"/>
    <w:rsid w:val="006D1844"/>
    <w:rsid w:val="006D1890"/>
    <w:rsid w:val="006D1967"/>
    <w:rsid w:val="006D1A06"/>
    <w:rsid w:val="006D1B06"/>
    <w:rsid w:val="006D1B3D"/>
    <w:rsid w:val="006D1B83"/>
    <w:rsid w:val="006D1C73"/>
    <w:rsid w:val="006D1CA9"/>
    <w:rsid w:val="006D1CBD"/>
    <w:rsid w:val="006D1E0C"/>
    <w:rsid w:val="006D1EC6"/>
    <w:rsid w:val="006D1F97"/>
    <w:rsid w:val="006D219D"/>
    <w:rsid w:val="006D21C6"/>
    <w:rsid w:val="006D21DD"/>
    <w:rsid w:val="006D23C3"/>
    <w:rsid w:val="006D2578"/>
    <w:rsid w:val="006D262F"/>
    <w:rsid w:val="006D26E3"/>
    <w:rsid w:val="006D2883"/>
    <w:rsid w:val="006D28E2"/>
    <w:rsid w:val="006D29AB"/>
    <w:rsid w:val="006D29AC"/>
    <w:rsid w:val="006D2A5E"/>
    <w:rsid w:val="006D2A93"/>
    <w:rsid w:val="006D2BFB"/>
    <w:rsid w:val="006D2C9F"/>
    <w:rsid w:val="006D2DCA"/>
    <w:rsid w:val="006D2E51"/>
    <w:rsid w:val="006D2ECB"/>
    <w:rsid w:val="006D2F39"/>
    <w:rsid w:val="006D2F65"/>
    <w:rsid w:val="006D3058"/>
    <w:rsid w:val="006D30EC"/>
    <w:rsid w:val="006D3112"/>
    <w:rsid w:val="006D32BF"/>
    <w:rsid w:val="006D330C"/>
    <w:rsid w:val="006D3392"/>
    <w:rsid w:val="006D3477"/>
    <w:rsid w:val="006D34FB"/>
    <w:rsid w:val="006D358E"/>
    <w:rsid w:val="006D367F"/>
    <w:rsid w:val="006D3690"/>
    <w:rsid w:val="006D379C"/>
    <w:rsid w:val="006D3820"/>
    <w:rsid w:val="006D3868"/>
    <w:rsid w:val="006D3901"/>
    <w:rsid w:val="006D390C"/>
    <w:rsid w:val="006D3A96"/>
    <w:rsid w:val="006D3B0C"/>
    <w:rsid w:val="006D3B5F"/>
    <w:rsid w:val="006D3B79"/>
    <w:rsid w:val="006D3BB5"/>
    <w:rsid w:val="006D3EBD"/>
    <w:rsid w:val="006D41A5"/>
    <w:rsid w:val="006D41AB"/>
    <w:rsid w:val="006D420C"/>
    <w:rsid w:val="006D42F2"/>
    <w:rsid w:val="006D433A"/>
    <w:rsid w:val="006D4386"/>
    <w:rsid w:val="006D43EB"/>
    <w:rsid w:val="006D45AA"/>
    <w:rsid w:val="006D47A2"/>
    <w:rsid w:val="006D48CB"/>
    <w:rsid w:val="006D48CE"/>
    <w:rsid w:val="006D48FE"/>
    <w:rsid w:val="006D4951"/>
    <w:rsid w:val="006D49BC"/>
    <w:rsid w:val="006D49F2"/>
    <w:rsid w:val="006D4A51"/>
    <w:rsid w:val="006D4B67"/>
    <w:rsid w:val="006D4B8B"/>
    <w:rsid w:val="006D4B8D"/>
    <w:rsid w:val="006D4C88"/>
    <w:rsid w:val="006D4D66"/>
    <w:rsid w:val="006D4DD2"/>
    <w:rsid w:val="006D4E79"/>
    <w:rsid w:val="006D4E99"/>
    <w:rsid w:val="006D4F0E"/>
    <w:rsid w:val="006D4F2A"/>
    <w:rsid w:val="006D50D8"/>
    <w:rsid w:val="006D50F4"/>
    <w:rsid w:val="006D5137"/>
    <w:rsid w:val="006D517A"/>
    <w:rsid w:val="006D5351"/>
    <w:rsid w:val="006D5426"/>
    <w:rsid w:val="006D5429"/>
    <w:rsid w:val="006D5491"/>
    <w:rsid w:val="006D5623"/>
    <w:rsid w:val="006D56B5"/>
    <w:rsid w:val="006D5706"/>
    <w:rsid w:val="006D577E"/>
    <w:rsid w:val="006D58C0"/>
    <w:rsid w:val="006D5A23"/>
    <w:rsid w:val="006D5A71"/>
    <w:rsid w:val="006D5AE9"/>
    <w:rsid w:val="006D5AF7"/>
    <w:rsid w:val="006D5BC7"/>
    <w:rsid w:val="006D5C85"/>
    <w:rsid w:val="006D5CBF"/>
    <w:rsid w:val="006D5CE4"/>
    <w:rsid w:val="006D5E15"/>
    <w:rsid w:val="006D5E18"/>
    <w:rsid w:val="006D5F3B"/>
    <w:rsid w:val="006D60B8"/>
    <w:rsid w:val="006D613F"/>
    <w:rsid w:val="006D616B"/>
    <w:rsid w:val="006D619F"/>
    <w:rsid w:val="006D61A7"/>
    <w:rsid w:val="006D61B0"/>
    <w:rsid w:val="006D61D0"/>
    <w:rsid w:val="006D6276"/>
    <w:rsid w:val="006D6295"/>
    <w:rsid w:val="006D62A1"/>
    <w:rsid w:val="006D6341"/>
    <w:rsid w:val="006D64C9"/>
    <w:rsid w:val="006D6731"/>
    <w:rsid w:val="006D67D9"/>
    <w:rsid w:val="006D68ED"/>
    <w:rsid w:val="006D68F3"/>
    <w:rsid w:val="006D69EF"/>
    <w:rsid w:val="006D6C80"/>
    <w:rsid w:val="006D6D4F"/>
    <w:rsid w:val="006D6E16"/>
    <w:rsid w:val="006D6E5E"/>
    <w:rsid w:val="006D6ECF"/>
    <w:rsid w:val="006D6F21"/>
    <w:rsid w:val="006D6F27"/>
    <w:rsid w:val="006D6F3B"/>
    <w:rsid w:val="006D702D"/>
    <w:rsid w:val="006D7264"/>
    <w:rsid w:val="006D72C0"/>
    <w:rsid w:val="006D72E4"/>
    <w:rsid w:val="006D7334"/>
    <w:rsid w:val="006D7367"/>
    <w:rsid w:val="006D737F"/>
    <w:rsid w:val="006D7457"/>
    <w:rsid w:val="006D7475"/>
    <w:rsid w:val="006D750D"/>
    <w:rsid w:val="006D7608"/>
    <w:rsid w:val="006D762C"/>
    <w:rsid w:val="006D77DB"/>
    <w:rsid w:val="006D77DC"/>
    <w:rsid w:val="006D7AC1"/>
    <w:rsid w:val="006D7C8A"/>
    <w:rsid w:val="006D7D39"/>
    <w:rsid w:val="006D7DA6"/>
    <w:rsid w:val="006D7F90"/>
    <w:rsid w:val="006E0017"/>
    <w:rsid w:val="006E0036"/>
    <w:rsid w:val="006E0166"/>
    <w:rsid w:val="006E0202"/>
    <w:rsid w:val="006E02C8"/>
    <w:rsid w:val="006E02CC"/>
    <w:rsid w:val="006E0384"/>
    <w:rsid w:val="006E03F7"/>
    <w:rsid w:val="006E0450"/>
    <w:rsid w:val="006E04DF"/>
    <w:rsid w:val="006E051C"/>
    <w:rsid w:val="006E0575"/>
    <w:rsid w:val="006E0590"/>
    <w:rsid w:val="006E064D"/>
    <w:rsid w:val="006E06F2"/>
    <w:rsid w:val="006E070F"/>
    <w:rsid w:val="006E0743"/>
    <w:rsid w:val="006E0744"/>
    <w:rsid w:val="006E087A"/>
    <w:rsid w:val="006E08A6"/>
    <w:rsid w:val="006E0908"/>
    <w:rsid w:val="006E091D"/>
    <w:rsid w:val="006E09DB"/>
    <w:rsid w:val="006E0A50"/>
    <w:rsid w:val="006E0A77"/>
    <w:rsid w:val="006E0AAD"/>
    <w:rsid w:val="006E0AFD"/>
    <w:rsid w:val="006E0B7A"/>
    <w:rsid w:val="006E0BFD"/>
    <w:rsid w:val="006E0CA8"/>
    <w:rsid w:val="006E0D3B"/>
    <w:rsid w:val="006E0D44"/>
    <w:rsid w:val="006E0E2E"/>
    <w:rsid w:val="006E0E32"/>
    <w:rsid w:val="006E0ED6"/>
    <w:rsid w:val="006E1114"/>
    <w:rsid w:val="006E1197"/>
    <w:rsid w:val="006E11E2"/>
    <w:rsid w:val="006E121B"/>
    <w:rsid w:val="006E137C"/>
    <w:rsid w:val="006E146A"/>
    <w:rsid w:val="006E1500"/>
    <w:rsid w:val="006E159A"/>
    <w:rsid w:val="006E163D"/>
    <w:rsid w:val="006E16B7"/>
    <w:rsid w:val="006E16E0"/>
    <w:rsid w:val="006E1934"/>
    <w:rsid w:val="006E1AA6"/>
    <w:rsid w:val="006E1C0C"/>
    <w:rsid w:val="006E1C73"/>
    <w:rsid w:val="006E1CF2"/>
    <w:rsid w:val="006E1E4A"/>
    <w:rsid w:val="006E1E69"/>
    <w:rsid w:val="006E1EE1"/>
    <w:rsid w:val="006E214C"/>
    <w:rsid w:val="006E215D"/>
    <w:rsid w:val="006E217D"/>
    <w:rsid w:val="006E22C1"/>
    <w:rsid w:val="006E230B"/>
    <w:rsid w:val="006E23CD"/>
    <w:rsid w:val="006E251F"/>
    <w:rsid w:val="006E2649"/>
    <w:rsid w:val="006E274B"/>
    <w:rsid w:val="006E27DC"/>
    <w:rsid w:val="006E285A"/>
    <w:rsid w:val="006E2B17"/>
    <w:rsid w:val="006E2B39"/>
    <w:rsid w:val="006E2B61"/>
    <w:rsid w:val="006E2B6D"/>
    <w:rsid w:val="006E2C40"/>
    <w:rsid w:val="006E2D3E"/>
    <w:rsid w:val="006E2DD1"/>
    <w:rsid w:val="006E2DEE"/>
    <w:rsid w:val="006E2F98"/>
    <w:rsid w:val="006E2F9E"/>
    <w:rsid w:val="006E3041"/>
    <w:rsid w:val="006E30E1"/>
    <w:rsid w:val="006E31FF"/>
    <w:rsid w:val="006E3272"/>
    <w:rsid w:val="006E33DC"/>
    <w:rsid w:val="006E354C"/>
    <w:rsid w:val="006E36F1"/>
    <w:rsid w:val="006E36F7"/>
    <w:rsid w:val="006E37E3"/>
    <w:rsid w:val="006E38FC"/>
    <w:rsid w:val="006E3B3A"/>
    <w:rsid w:val="006E3CE0"/>
    <w:rsid w:val="006E3D8C"/>
    <w:rsid w:val="006E3FF7"/>
    <w:rsid w:val="006E417F"/>
    <w:rsid w:val="006E41E7"/>
    <w:rsid w:val="006E425C"/>
    <w:rsid w:val="006E42FD"/>
    <w:rsid w:val="006E431B"/>
    <w:rsid w:val="006E4437"/>
    <w:rsid w:val="006E44C0"/>
    <w:rsid w:val="006E4511"/>
    <w:rsid w:val="006E465D"/>
    <w:rsid w:val="006E4684"/>
    <w:rsid w:val="006E46FB"/>
    <w:rsid w:val="006E4874"/>
    <w:rsid w:val="006E4953"/>
    <w:rsid w:val="006E4989"/>
    <w:rsid w:val="006E49B0"/>
    <w:rsid w:val="006E4AB9"/>
    <w:rsid w:val="006E4CE1"/>
    <w:rsid w:val="006E4CFC"/>
    <w:rsid w:val="006E4DB4"/>
    <w:rsid w:val="006E4E21"/>
    <w:rsid w:val="006E4E65"/>
    <w:rsid w:val="006E4E6A"/>
    <w:rsid w:val="006E4EB3"/>
    <w:rsid w:val="006E4EF5"/>
    <w:rsid w:val="006E4F91"/>
    <w:rsid w:val="006E4FB7"/>
    <w:rsid w:val="006E5254"/>
    <w:rsid w:val="006E52D2"/>
    <w:rsid w:val="006E53B6"/>
    <w:rsid w:val="006E53C8"/>
    <w:rsid w:val="006E540A"/>
    <w:rsid w:val="006E5531"/>
    <w:rsid w:val="006E557F"/>
    <w:rsid w:val="006E562F"/>
    <w:rsid w:val="006E5A54"/>
    <w:rsid w:val="006E5A96"/>
    <w:rsid w:val="006E5D2B"/>
    <w:rsid w:val="006E5D41"/>
    <w:rsid w:val="006E5D82"/>
    <w:rsid w:val="006E5DB5"/>
    <w:rsid w:val="006E5DC7"/>
    <w:rsid w:val="006E5DD3"/>
    <w:rsid w:val="006E5DDA"/>
    <w:rsid w:val="006E5DDC"/>
    <w:rsid w:val="006E5DF1"/>
    <w:rsid w:val="006E5EA4"/>
    <w:rsid w:val="006E5EFC"/>
    <w:rsid w:val="006E5F39"/>
    <w:rsid w:val="006E6195"/>
    <w:rsid w:val="006E61AD"/>
    <w:rsid w:val="006E629F"/>
    <w:rsid w:val="006E6355"/>
    <w:rsid w:val="006E6387"/>
    <w:rsid w:val="006E63B8"/>
    <w:rsid w:val="006E63E6"/>
    <w:rsid w:val="006E6815"/>
    <w:rsid w:val="006E6862"/>
    <w:rsid w:val="006E68B8"/>
    <w:rsid w:val="006E68FF"/>
    <w:rsid w:val="006E6AB7"/>
    <w:rsid w:val="006E6AE6"/>
    <w:rsid w:val="006E6B2F"/>
    <w:rsid w:val="006E6B38"/>
    <w:rsid w:val="006E6B82"/>
    <w:rsid w:val="006E6CDF"/>
    <w:rsid w:val="006E7143"/>
    <w:rsid w:val="006E7177"/>
    <w:rsid w:val="006E729E"/>
    <w:rsid w:val="006E7308"/>
    <w:rsid w:val="006E73FA"/>
    <w:rsid w:val="006E7515"/>
    <w:rsid w:val="006E7532"/>
    <w:rsid w:val="006E7638"/>
    <w:rsid w:val="006E765E"/>
    <w:rsid w:val="006E7799"/>
    <w:rsid w:val="006E7804"/>
    <w:rsid w:val="006E78F6"/>
    <w:rsid w:val="006E7999"/>
    <w:rsid w:val="006E7A9E"/>
    <w:rsid w:val="006E7AD4"/>
    <w:rsid w:val="006E7C07"/>
    <w:rsid w:val="006E7C4F"/>
    <w:rsid w:val="006E7DA8"/>
    <w:rsid w:val="006E7F88"/>
    <w:rsid w:val="006F004E"/>
    <w:rsid w:val="006F011A"/>
    <w:rsid w:val="006F0168"/>
    <w:rsid w:val="006F0190"/>
    <w:rsid w:val="006F02F7"/>
    <w:rsid w:val="006F03CB"/>
    <w:rsid w:val="006F0526"/>
    <w:rsid w:val="006F053A"/>
    <w:rsid w:val="006F0654"/>
    <w:rsid w:val="006F0813"/>
    <w:rsid w:val="006F08DC"/>
    <w:rsid w:val="006F0B90"/>
    <w:rsid w:val="006F0CA1"/>
    <w:rsid w:val="006F0CDE"/>
    <w:rsid w:val="006F0E2E"/>
    <w:rsid w:val="006F0EA0"/>
    <w:rsid w:val="006F0F01"/>
    <w:rsid w:val="006F0F7C"/>
    <w:rsid w:val="006F1030"/>
    <w:rsid w:val="006F1178"/>
    <w:rsid w:val="006F1253"/>
    <w:rsid w:val="006F12BF"/>
    <w:rsid w:val="006F13BA"/>
    <w:rsid w:val="006F13D6"/>
    <w:rsid w:val="006F143D"/>
    <w:rsid w:val="006F1479"/>
    <w:rsid w:val="006F14A5"/>
    <w:rsid w:val="006F15C0"/>
    <w:rsid w:val="006F1660"/>
    <w:rsid w:val="006F17AE"/>
    <w:rsid w:val="006F17AF"/>
    <w:rsid w:val="006F17EF"/>
    <w:rsid w:val="006F1806"/>
    <w:rsid w:val="006F1866"/>
    <w:rsid w:val="006F1908"/>
    <w:rsid w:val="006F1BD5"/>
    <w:rsid w:val="006F1C6E"/>
    <w:rsid w:val="006F1C8B"/>
    <w:rsid w:val="006F1CC0"/>
    <w:rsid w:val="006F1DCD"/>
    <w:rsid w:val="006F1EC1"/>
    <w:rsid w:val="006F1EE1"/>
    <w:rsid w:val="006F1F83"/>
    <w:rsid w:val="006F1F8B"/>
    <w:rsid w:val="006F1F98"/>
    <w:rsid w:val="006F209F"/>
    <w:rsid w:val="006F20A8"/>
    <w:rsid w:val="006F2131"/>
    <w:rsid w:val="006F225E"/>
    <w:rsid w:val="006F22F9"/>
    <w:rsid w:val="006F231D"/>
    <w:rsid w:val="006F2365"/>
    <w:rsid w:val="006F23CF"/>
    <w:rsid w:val="006F23F0"/>
    <w:rsid w:val="006F240F"/>
    <w:rsid w:val="006F24A0"/>
    <w:rsid w:val="006F24A6"/>
    <w:rsid w:val="006F24D6"/>
    <w:rsid w:val="006F2613"/>
    <w:rsid w:val="006F2674"/>
    <w:rsid w:val="006F28F5"/>
    <w:rsid w:val="006F292E"/>
    <w:rsid w:val="006F296F"/>
    <w:rsid w:val="006F2980"/>
    <w:rsid w:val="006F2A41"/>
    <w:rsid w:val="006F2AAD"/>
    <w:rsid w:val="006F2AF4"/>
    <w:rsid w:val="006F2B1B"/>
    <w:rsid w:val="006F2BD5"/>
    <w:rsid w:val="006F2C4B"/>
    <w:rsid w:val="006F2C4E"/>
    <w:rsid w:val="006F2C5A"/>
    <w:rsid w:val="006F2C5C"/>
    <w:rsid w:val="006F2D82"/>
    <w:rsid w:val="006F2D98"/>
    <w:rsid w:val="006F2DAB"/>
    <w:rsid w:val="006F2E34"/>
    <w:rsid w:val="006F2E50"/>
    <w:rsid w:val="006F2FE1"/>
    <w:rsid w:val="006F3115"/>
    <w:rsid w:val="006F336D"/>
    <w:rsid w:val="006F3383"/>
    <w:rsid w:val="006F33AA"/>
    <w:rsid w:val="006F3418"/>
    <w:rsid w:val="006F3464"/>
    <w:rsid w:val="006F34D3"/>
    <w:rsid w:val="006F34DB"/>
    <w:rsid w:val="006F357B"/>
    <w:rsid w:val="006F365B"/>
    <w:rsid w:val="006F369E"/>
    <w:rsid w:val="006F3733"/>
    <w:rsid w:val="006F374C"/>
    <w:rsid w:val="006F37FE"/>
    <w:rsid w:val="006F3881"/>
    <w:rsid w:val="006F39E4"/>
    <w:rsid w:val="006F3AF7"/>
    <w:rsid w:val="006F3B42"/>
    <w:rsid w:val="006F3B63"/>
    <w:rsid w:val="006F3BAF"/>
    <w:rsid w:val="006F3BDF"/>
    <w:rsid w:val="006F3D1A"/>
    <w:rsid w:val="006F3D40"/>
    <w:rsid w:val="006F3DF0"/>
    <w:rsid w:val="006F3E87"/>
    <w:rsid w:val="006F3EB9"/>
    <w:rsid w:val="006F3EFD"/>
    <w:rsid w:val="006F3F1C"/>
    <w:rsid w:val="006F3F4C"/>
    <w:rsid w:val="006F3FB5"/>
    <w:rsid w:val="006F401A"/>
    <w:rsid w:val="006F416C"/>
    <w:rsid w:val="006F416D"/>
    <w:rsid w:val="006F431B"/>
    <w:rsid w:val="006F43EC"/>
    <w:rsid w:val="006F43F0"/>
    <w:rsid w:val="006F458A"/>
    <w:rsid w:val="006F4619"/>
    <w:rsid w:val="006F4636"/>
    <w:rsid w:val="006F46CF"/>
    <w:rsid w:val="006F46EA"/>
    <w:rsid w:val="006F47B1"/>
    <w:rsid w:val="006F47D1"/>
    <w:rsid w:val="006F4872"/>
    <w:rsid w:val="006F4899"/>
    <w:rsid w:val="006F491B"/>
    <w:rsid w:val="006F4971"/>
    <w:rsid w:val="006F4AD6"/>
    <w:rsid w:val="006F4B10"/>
    <w:rsid w:val="006F4B6F"/>
    <w:rsid w:val="006F4C39"/>
    <w:rsid w:val="006F4CD4"/>
    <w:rsid w:val="006F4CE0"/>
    <w:rsid w:val="006F4DF8"/>
    <w:rsid w:val="006F4E31"/>
    <w:rsid w:val="006F4E46"/>
    <w:rsid w:val="006F4E75"/>
    <w:rsid w:val="006F4ED4"/>
    <w:rsid w:val="006F4FBA"/>
    <w:rsid w:val="006F4FC4"/>
    <w:rsid w:val="006F5017"/>
    <w:rsid w:val="006F5093"/>
    <w:rsid w:val="006F511B"/>
    <w:rsid w:val="006F5283"/>
    <w:rsid w:val="006F52D5"/>
    <w:rsid w:val="006F54F0"/>
    <w:rsid w:val="006F54FF"/>
    <w:rsid w:val="006F5530"/>
    <w:rsid w:val="006F553E"/>
    <w:rsid w:val="006F5860"/>
    <w:rsid w:val="006F59D6"/>
    <w:rsid w:val="006F5AAC"/>
    <w:rsid w:val="006F5BA2"/>
    <w:rsid w:val="006F5D0C"/>
    <w:rsid w:val="006F5DAD"/>
    <w:rsid w:val="006F5F73"/>
    <w:rsid w:val="006F5F8A"/>
    <w:rsid w:val="006F605A"/>
    <w:rsid w:val="006F60B8"/>
    <w:rsid w:val="006F619A"/>
    <w:rsid w:val="006F62C0"/>
    <w:rsid w:val="006F62DE"/>
    <w:rsid w:val="006F6449"/>
    <w:rsid w:val="006F652C"/>
    <w:rsid w:val="006F65AF"/>
    <w:rsid w:val="006F6634"/>
    <w:rsid w:val="006F67DF"/>
    <w:rsid w:val="006F691C"/>
    <w:rsid w:val="006F6A07"/>
    <w:rsid w:val="006F6A32"/>
    <w:rsid w:val="006F6A4C"/>
    <w:rsid w:val="006F6B4F"/>
    <w:rsid w:val="006F6B54"/>
    <w:rsid w:val="006F6B64"/>
    <w:rsid w:val="006F6B7E"/>
    <w:rsid w:val="006F6E27"/>
    <w:rsid w:val="006F6E60"/>
    <w:rsid w:val="006F6EF1"/>
    <w:rsid w:val="006F6EFB"/>
    <w:rsid w:val="006F6F50"/>
    <w:rsid w:val="006F7020"/>
    <w:rsid w:val="006F7096"/>
    <w:rsid w:val="006F70E1"/>
    <w:rsid w:val="006F70FE"/>
    <w:rsid w:val="006F7293"/>
    <w:rsid w:val="006F72CA"/>
    <w:rsid w:val="006F759E"/>
    <w:rsid w:val="006F76BB"/>
    <w:rsid w:val="006F7760"/>
    <w:rsid w:val="006F7775"/>
    <w:rsid w:val="006F7938"/>
    <w:rsid w:val="006F793C"/>
    <w:rsid w:val="006F7961"/>
    <w:rsid w:val="006F7976"/>
    <w:rsid w:val="006F79F3"/>
    <w:rsid w:val="006F7B7B"/>
    <w:rsid w:val="006F7CFD"/>
    <w:rsid w:val="006F7E79"/>
    <w:rsid w:val="006F7F8D"/>
    <w:rsid w:val="00700064"/>
    <w:rsid w:val="00700112"/>
    <w:rsid w:val="007002AB"/>
    <w:rsid w:val="007002BD"/>
    <w:rsid w:val="007002CE"/>
    <w:rsid w:val="00700378"/>
    <w:rsid w:val="007004AB"/>
    <w:rsid w:val="0070059B"/>
    <w:rsid w:val="0070061E"/>
    <w:rsid w:val="00700629"/>
    <w:rsid w:val="00700691"/>
    <w:rsid w:val="007006B1"/>
    <w:rsid w:val="00700763"/>
    <w:rsid w:val="007009AB"/>
    <w:rsid w:val="00700A81"/>
    <w:rsid w:val="00700B6A"/>
    <w:rsid w:val="00700BC3"/>
    <w:rsid w:val="00700C14"/>
    <w:rsid w:val="00700ECF"/>
    <w:rsid w:val="00701006"/>
    <w:rsid w:val="007010C8"/>
    <w:rsid w:val="007011F8"/>
    <w:rsid w:val="0070151C"/>
    <w:rsid w:val="007015B1"/>
    <w:rsid w:val="0070173C"/>
    <w:rsid w:val="007017B6"/>
    <w:rsid w:val="007018A2"/>
    <w:rsid w:val="00701953"/>
    <w:rsid w:val="00701ACE"/>
    <w:rsid w:val="00701B78"/>
    <w:rsid w:val="00701CBE"/>
    <w:rsid w:val="00701CD6"/>
    <w:rsid w:val="00701D4C"/>
    <w:rsid w:val="00701E33"/>
    <w:rsid w:val="00701E5B"/>
    <w:rsid w:val="00701ED7"/>
    <w:rsid w:val="00701F5C"/>
    <w:rsid w:val="00701FA5"/>
    <w:rsid w:val="00702036"/>
    <w:rsid w:val="00702147"/>
    <w:rsid w:val="0070216E"/>
    <w:rsid w:val="00702381"/>
    <w:rsid w:val="00702392"/>
    <w:rsid w:val="007023F7"/>
    <w:rsid w:val="0070247F"/>
    <w:rsid w:val="007026C0"/>
    <w:rsid w:val="00702798"/>
    <w:rsid w:val="007027C6"/>
    <w:rsid w:val="0070281F"/>
    <w:rsid w:val="007029E4"/>
    <w:rsid w:val="00702AA0"/>
    <w:rsid w:val="00702BA6"/>
    <w:rsid w:val="00702C9A"/>
    <w:rsid w:val="00702CD2"/>
    <w:rsid w:val="00702D5A"/>
    <w:rsid w:val="00702E18"/>
    <w:rsid w:val="00702EDA"/>
    <w:rsid w:val="00702F3D"/>
    <w:rsid w:val="0070306F"/>
    <w:rsid w:val="00703150"/>
    <w:rsid w:val="0070319C"/>
    <w:rsid w:val="00703274"/>
    <w:rsid w:val="007032BA"/>
    <w:rsid w:val="007032BD"/>
    <w:rsid w:val="007032DB"/>
    <w:rsid w:val="00703307"/>
    <w:rsid w:val="007033C5"/>
    <w:rsid w:val="0070342B"/>
    <w:rsid w:val="0070348A"/>
    <w:rsid w:val="00703689"/>
    <w:rsid w:val="0070372B"/>
    <w:rsid w:val="00703809"/>
    <w:rsid w:val="0070386C"/>
    <w:rsid w:val="00703889"/>
    <w:rsid w:val="00703897"/>
    <w:rsid w:val="00703901"/>
    <w:rsid w:val="00703A3A"/>
    <w:rsid w:val="00703A3D"/>
    <w:rsid w:val="00703B19"/>
    <w:rsid w:val="00703B43"/>
    <w:rsid w:val="00703B53"/>
    <w:rsid w:val="00703BAF"/>
    <w:rsid w:val="00703BBE"/>
    <w:rsid w:val="00703C30"/>
    <w:rsid w:val="00703D04"/>
    <w:rsid w:val="00703D27"/>
    <w:rsid w:val="00703FAF"/>
    <w:rsid w:val="00703FC5"/>
    <w:rsid w:val="00703FD4"/>
    <w:rsid w:val="00704216"/>
    <w:rsid w:val="0070435D"/>
    <w:rsid w:val="00704376"/>
    <w:rsid w:val="00704391"/>
    <w:rsid w:val="007043FE"/>
    <w:rsid w:val="00704554"/>
    <w:rsid w:val="007045AD"/>
    <w:rsid w:val="007045DB"/>
    <w:rsid w:val="007046FE"/>
    <w:rsid w:val="00704773"/>
    <w:rsid w:val="0070479A"/>
    <w:rsid w:val="007047D2"/>
    <w:rsid w:val="007047E8"/>
    <w:rsid w:val="007048AF"/>
    <w:rsid w:val="00704A24"/>
    <w:rsid w:val="00704A5E"/>
    <w:rsid w:val="00704A67"/>
    <w:rsid w:val="00704A8B"/>
    <w:rsid w:val="00704CC1"/>
    <w:rsid w:val="00704CDB"/>
    <w:rsid w:val="00704D44"/>
    <w:rsid w:val="00704DF6"/>
    <w:rsid w:val="00704FAD"/>
    <w:rsid w:val="00704FC8"/>
    <w:rsid w:val="007051BD"/>
    <w:rsid w:val="007052FC"/>
    <w:rsid w:val="00705458"/>
    <w:rsid w:val="00705601"/>
    <w:rsid w:val="007056FC"/>
    <w:rsid w:val="0070572A"/>
    <w:rsid w:val="007057E7"/>
    <w:rsid w:val="00705A12"/>
    <w:rsid w:val="00705A2C"/>
    <w:rsid w:val="00705B5C"/>
    <w:rsid w:val="00705BB2"/>
    <w:rsid w:val="00705BB5"/>
    <w:rsid w:val="00705C37"/>
    <w:rsid w:val="00705CA3"/>
    <w:rsid w:val="00705EE5"/>
    <w:rsid w:val="00705F3E"/>
    <w:rsid w:val="00706079"/>
    <w:rsid w:val="00706127"/>
    <w:rsid w:val="00706150"/>
    <w:rsid w:val="00706166"/>
    <w:rsid w:val="0070620D"/>
    <w:rsid w:val="007062B3"/>
    <w:rsid w:val="00706418"/>
    <w:rsid w:val="00706520"/>
    <w:rsid w:val="00706637"/>
    <w:rsid w:val="00706719"/>
    <w:rsid w:val="007067A7"/>
    <w:rsid w:val="007067C7"/>
    <w:rsid w:val="007069E8"/>
    <w:rsid w:val="00706A64"/>
    <w:rsid w:val="00706ABC"/>
    <w:rsid w:val="00706C4D"/>
    <w:rsid w:val="00706D68"/>
    <w:rsid w:val="00706F5A"/>
    <w:rsid w:val="00706FDD"/>
    <w:rsid w:val="00707001"/>
    <w:rsid w:val="00707010"/>
    <w:rsid w:val="0070704B"/>
    <w:rsid w:val="0070706C"/>
    <w:rsid w:val="00707149"/>
    <w:rsid w:val="0070730E"/>
    <w:rsid w:val="0070736B"/>
    <w:rsid w:val="00707379"/>
    <w:rsid w:val="00707480"/>
    <w:rsid w:val="00707767"/>
    <w:rsid w:val="00707809"/>
    <w:rsid w:val="00707811"/>
    <w:rsid w:val="0070790A"/>
    <w:rsid w:val="00707963"/>
    <w:rsid w:val="007079CB"/>
    <w:rsid w:val="00707A26"/>
    <w:rsid w:val="00707B02"/>
    <w:rsid w:val="00707B68"/>
    <w:rsid w:val="00707D50"/>
    <w:rsid w:val="00707D68"/>
    <w:rsid w:val="00707E88"/>
    <w:rsid w:val="00707EE9"/>
    <w:rsid w:val="00707FED"/>
    <w:rsid w:val="0071006A"/>
    <w:rsid w:val="0071007F"/>
    <w:rsid w:val="0071012B"/>
    <w:rsid w:val="0071014D"/>
    <w:rsid w:val="007102AF"/>
    <w:rsid w:val="0071037D"/>
    <w:rsid w:val="0071058B"/>
    <w:rsid w:val="0071063E"/>
    <w:rsid w:val="00710675"/>
    <w:rsid w:val="00710687"/>
    <w:rsid w:val="00710701"/>
    <w:rsid w:val="0071092A"/>
    <w:rsid w:val="007109C7"/>
    <w:rsid w:val="00710B41"/>
    <w:rsid w:val="00710BA1"/>
    <w:rsid w:val="00710CD2"/>
    <w:rsid w:val="00710DBE"/>
    <w:rsid w:val="00710DF2"/>
    <w:rsid w:val="00710E51"/>
    <w:rsid w:val="00710E68"/>
    <w:rsid w:val="00710E78"/>
    <w:rsid w:val="00710EB7"/>
    <w:rsid w:val="00710F41"/>
    <w:rsid w:val="00711004"/>
    <w:rsid w:val="00711024"/>
    <w:rsid w:val="007110B5"/>
    <w:rsid w:val="007111CA"/>
    <w:rsid w:val="007111F5"/>
    <w:rsid w:val="007113C5"/>
    <w:rsid w:val="007116C0"/>
    <w:rsid w:val="007118D1"/>
    <w:rsid w:val="007118DF"/>
    <w:rsid w:val="00711A2A"/>
    <w:rsid w:val="00711A9F"/>
    <w:rsid w:val="00711AAE"/>
    <w:rsid w:val="00711AB8"/>
    <w:rsid w:val="00711C35"/>
    <w:rsid w:val="00711CC7"/>
    <w:rsid w:val="00711CDF"/>
    <w:rsid w:val="00711D32"/>
    <w:rsid w:val="00711D33"/>
    <w:rsid w:val="00711D6B"/>
    <w:rsid w:val="00711E19"/>
    <w:rsid w:val="00711EC7"/>
    <w:rsid w:val="00711F8C"/>
    <w:rsid w:val="0071205E"/>
    <w:rsid w:val="007120C2"/>
    <w:rsid w:val="007121A9"/>
    <w:rsid w:val="007121AD"/>
    <w:rsid w:val="00712209"/>
    <w:rsid w:val="00712227"/>
    <w:rsid w:val="007123D7"/>
    <w:rsid w:val="00712443"/>
    <w:rsid w:val="0071254C"/>
    <w:rsid w:val="00712579"/>
    <w:rsid w:val="007125CE"/>
    <w:rsid w:val="007125F5"/>
    <w:rsid w:val="00712793"/>
    <w:rsid w:val="00712820"/>
    <w:rsid w:val="0071283C"/>
    <w:rsid w:val="007128E7"/>
    <w:rsid w:val="0071297A"/>
    <w:rsid w:val="00712A97"/>
    <w:rsid w:val="00712AD8"/>
    <w:rsid w:val="00712ADC"/>
    <w:rsid w:val="00712B77"/>
    <w:rsid w:val="00712C7C"/>
    <w:rsid w:val="00712E4E"/>
    <w:rsid w:val="00712EDB"/>
    <w:rsid w:val="00712F4B"/>
    <w:rsid w:val="00712F9B"/>
    <w:rsid w:val="0071304C"/>
    <w:rsid w:val="0071355F"/>
    <w:rsid w:val="0071367E"/>
    <w:rsid w:val="007136AB"/>
    <w:rsid w:val="007137ED"/>
    <w:rsid w:val="0071380D"/>
    <w:rsid w:val="007138A7"/>
    <w:rsid w:val="007138E8"/>
    <w:rsid w:val="00713AAA"/>
    <w:rsid w:val="00713B2C"/>
    <w:rsid w:val="00713BE0"/>
    <w:rsid w:val="00713F11"/>
    <w:rsid w:val="00714026"/>
    <w:rsid w:val="00714143"/>
    <w:rsid w:val="00714166"/>
    <w:rsid w:val="007141A9"/>
    <w:rsid w:val="007141B4"/>
    <w:rsid w:val="00714221"/>
    <w:rsid w:val="007143AF"/>
    <w:rsid w:val="00714458"/>
    <w:rsid w:val="00714495"/>
    <w:rsid w:val="0071452D"/>
    <w:rsid w:val="00714555"/>
    <w:rsid w:val="00714661"/>
    <w:rsid w:val="007147D3"/>
    <w:rsid w:val="0071485A"/>
    <w:rsid w:val="007148EC"/>
    <w:rsid w:val="00714922"/>
    <w:rsid w:val="00714A64"/>
    <w:rsid w:val="00714AD0"/>
    <w:rsid w:val="00714B75"/>
    <w:rsid w:val="00714E33"/>
    <w:rsid w:val="00714EE0"/>
    <w:rsid w:val="00714F70"/>
    <w:rsid w:val="0071501F"/>
    <w:rsid w:val="00715037"/>
    <w:rsid w:val="0071507A"/>
    <w:rsid w:val="0071508D"/>
    <w:rsid w:val="007152D8"/>
    <w:rsid w:val="00715432"/>
    <w:rsid w:val="0071543C"/>
    <w:rsid w:val="0071545B"/>
    <w:rsid w:val="0071549A"/>
    <w:rsid w:val="007156D4"/>
    <w:rsid w:val="007156E6"/>
    <w:rsid w:val="007157D6"/>
    <w:rsid w:val="007157F7"/>
    <w:rsid w:val="00715811"/>
    <w:rsid w:val="0071582F"/>
    <w:rsid w:val="00715844"/>
    <w:rsid w:val="00715982"/>
    <w:rsid w:val="007159FF"/>
    <w:rsid w:val="00715A68"/>
    <w:rsid w:val="00715B1C"/>
    <w:rsid w:val="00715C3A"/>
    <w:rsid w:val="00715F33"/>
    <w:rsid w:val="00715F69"/>
    <w:rsid w:val="00715FA9"/>
    <w:rsid w:val="00715FD6"/>
    <w:rsid w:val="00716038"/>
    <w:rsid w:val="0071608F"/>
    <w:rsid w:val="00716168"/>
    <w:rsid w:val="0071619A"/>
    <w:rsid w:val="007161A1"/>
    <w:rsid w:val="007161C9"/>
    <w:rsid w:val="007161D2"/>
    <w:rsid w:val="00716263"/>
    <w:rsid w:val="007162A2"/>
    <w:rsid w:val="007163A0"/>
    <w:rsid w:val="00716445"/>
    <w:rsid w:val="007164B9"/>
    <w:rsid w:val="0071650C"/>
    <w:rsid w:val="00716606"/>
    <w:rsid w:val="0071679B"/>
    <w:rsid w:val="00716865"/>
    <w:rsid w:val="00716A18"/>
    <w:rsid w:val="00716A1C"/>
    <w:rsid w:val="00716A82"/>
    <w:rsid w:val="00716B9F"/>
    <w:rsid w:val="00716C0B"/>
    <w:rsid w:val="00716DC2"/>
    <w:rsid w:val="00716E2B"/>
    <w:rsid w:val="00716E70"/>
    <w:rsid w:val="00716E90"/>
    <w:rsid w:val="00716F73"/>
    <w:rsid w:val="00716FB6"/>
    <w:rsid w:val="00716FE2"/>
    <w:rsid w:val="00717034"/>
    <w:rsid w:val="00717059"/>
    <w:rsid w:val="007171C5"/>
    <w:rsid w:val="007171F8"/>
    <w:rsid w:val="007171FE"/>
    <w:rsid w:val="00717266"/>
    <w:rsid w:val="007172ED"/>
    <w:rsid w:val="007174B8"/>
    <w:rsid w:val="00717548"/>
    <w:rsid w:val="007175D3"/>
    <w:rsid w:val="00717663"/>
    <w:rsid w:val="007176EC"/>
    <w:rsid w:val="00717702"/>
    <w:rsid w:val="007177D8"/>
    <w:rsid w:val="007177F3"/>
    <w:rsid w:val="00717894"/>
    <w:rsid w:val="007178A0"/>
    <w:rsid w:val="007178F9"/>
    <w:rsid w:val="00717A0A"/>
    <w:rsid w:val="00717A60"/>
    <w:rsid w:val="00717BC0"/>
    <w:rsid w:val="00717C4E"/>
    <w:rsid w:val="00717CBC"/>
    <w:rsid w:val="00717D03"/>
    <w:rsid w:val="00717F2C"/>
    <w:rsid w:val="00717F91"/>
    <w:rsid w:val="00720054"/>
    <w:rsid w:val="0072011F"/>
    <w:rsid w:val="007203BD"/>
    <w:rsid w:val="007204D8"/>
    <w:rsid w:val="00720622"/>
    <w:rsid w:val="0072064B"/>
    <w:rsid w:val="0072069D"/>
    <w:rsid w:val="00720793"/>
    <w:rsid w:val="00720880"/>
    <w:rsid w:val="00720898"/>
    <w:rsid w:val="00720925"/>
    <w:rsid w:val="0072092F"/>
    <w:rsid w:val="00720962"/>
    <w:rsid w:val="00720A97"/>
    <w:rsid w:val="00720B0E"/>
    <w:rsid w:val="00720CC2"/>
    <w:rsid w:val="00720E7C"/>
    <w:rsid w:val="00720F3C"/>
    <w:rsid w:val="00720FE5"/>
    <w:rsid w:val="0072104A"/>
    <w:rsid w:val="0072111C"/>
    <w:rsid w:val="00721234"/>
    <w:rsid w:val="007212A3"/>
    <w:rsid w:val="00721339"/>
    <w:rsid w:val="00721370"/>
    <w:rsid w:val="00721386"/>
    <w:rsid w:val="007213A7"/>
    <w:rsid w:val="00721465"/>
    <w:rsid w:val="00721495"/>
    <w:rsid w:val="007214CC"/>
    <w:rsid w:val="007214F3"/>
    <w:rsid w:val="00721515"/>
    <w:rsid w:val="00721516"/>
    <w:rsid w:val="007215B9"/>
    <w:rsid w:val="007215E3"/>
    <w:rsid w:val="007216BD"/>
    <w:rsid w:val="0072170C"/>
    <w:rsid w:val="00721756"/>
    <w:rsid w:val="0072182D"/>
    <w:rsid w:val="007218E2"/>
    <w:rsid w:val="007218F6"/>
    <w:rsid w:val="00721A3F"/>
    <w:rsid w:val="00721BAC"/>
    <w:rsid w:val="00721BEF"/>
    <w:rsid w:val="00721C7B"/>
    <w:rsid w:val="00721C92"/>
    <w:rsid w:val="00721DC9"/>
    <w:rsid w:val="00721EBE"/>
    <w:rsid w:val="00721F58"/>
    <w:rsid w:val="007220C5"/>
    <w:rsid w:val="007221EA"/>
    <w:rsid w:val="00722259"/>
    <w:rsid w:val="00722294"/>
    <w:rsid w:val="00722520"/>
    <w:rsid w:val="007225E0"/>
    <w:rsid w:val="007227C4"/>
    <w:rsid w:val="007228EE"/>
    <w:rsid w:val="00722B3B"/>
    <w:rsid w:val="00722BAC"/>
    <w:rsid w:val="00722BF5"/>
    <w:rsid w:val="00722C3D"/>
    <w:rsid w:val="00722E02"/>
    <w:rsid w:val="00722E6B"/>
    <w:rsid w:val="00722ECA"/>
    <w:rsid w:val="00722F3C"/>
    <w:rsid w:val="00722F86"/>
    <w:rsid w:val="00722F89"/>
    <w:rsid w:val="00723024"/>
    <w:rsid w:val="007231B2"/>
    <w:rsid w:val="00723203"/>
    <w:rsid w:val="00723227"/>
    <w:rsid w:val="0072332C"/>
    <w:rsid w:val="007234A0"/>
    <w:rsid w:val="007235D9"/>
    <w:rsid w:val="0072364B"/>
    <w:rsid w:val="007236E8"/>
    <w:rsid w:val="0072371E"/>
    <w:rsid w:val="00723727"/>
    <w:rsid w:val="00723797"/>
    <w:rsid w:val="0072381C"/>
    <w:rsid w:val="0072383C"/>
    <w:rsid w:val="00723A0E"/>
    <w:rsid w:val="00723A9C"/>
    <w:rsid w:val="00723ABC"/>
    <w:rsid w:val="00723B07"/>
    <w:rsid w:val="00723B42"/>
    <w:rsid w:val="00723E29"/>
    <w:rsid w:val="00723EB6"/>
    <w:rsid w:val="00723F13"/>
    <w:rsid w:val="00723F69"/>
    <w:rsid w:val="00723F97"/>
    <w:rsid w:val="00723FEA"/>
    <w:rsid w:val="0072418A"/>
    <w:rsid w:val="007241A8"/>
    <w:rsid w:val="0072427E"/>
    <w:rsid w:val="00724297"/>
    <w:rsid w:val="00724496"/>
    <w:rsid w:val="007244F9"/>
    <w:rsid w:val="007247A3"/>
    <w:rsid w:val="007247F6"/>
    <w:rsid w:val="0072482D"/>
    <w:rsid w:val="0072484E"/>
    <w:rsid w:val="00724863"/>
    <w:rsid w:val="007248BF"/>
    <w:rsid w:val="007248DA"/>
    <w:rsid w:val="00724A2B"/>
    <w:rsid w:val="00724A7B"/>
    <w:rsid w:val="00724AA2"/>
    <w:rsid w:val="00724B06"/>
    <w:rsid w:val="00724B97"/>
    <w:rsid w:val="00724D9E"/>
    <w:rsid w:val="00724DA2"/>
    <w:rsid w:val="00724E4D"/>
    <w:rsid w:val="00724F59"/>
    <w:rsid w:val="00724F8F"/>
    <w:rsid w:val="00724FD9"/>
    <w:rsid w:val="0072551A"/>
    <w:rsid w:val="0072559C"/>
    <w:rsid w:val="007256EB"/>
    <w:rsid w:val="0072572E"/>
    <w:rsid w:val="0072578B"/>
    <w:rsid w:val="007257F1"/>
    <w:rsid w:val="00725875"/>
    <w:rsid w:val="007258E4"/>
    <w:rsid w:val="00725ACF"/>
    <w:rsid w:val="00725C0B"/>
    <w:rsid w:val="00725C1D"/>
    <w:rsid w:val="00725C25"/>
    <w:rsid w:val="00725C35"/>
    <w:rsid w:val="00725CDD"/>
    <w:rsid w:val="00725CDF"/>
    <w:rsid w:val="00725F65"/>
    <w:rsid w:val="00725FBB"/>
    <w:rsid w:val="0072603C"/>
    <w:rsid w:val="0072619D"/>
    <w:rsid w:val="0072627C"/>
    <w:rsid w:val="00726281"/>
    <w:rsid w:val="007262B4"/>
    <w:rsid w:val="007262CC"/>
    <w:rsid w:val="00726380"/>
    <w:rsid w:val="007263B1"/>
    <w:rsid w:val="007263F8"/>
    <w:rsid w:val="00726432"/>
    <w:rsid w:val="00726492"/>
    <w:rsid w:val="007266B7"/>
    <w:rsid w:val="00726760"/>
    <w:rsid w:val="0072680D"/>
    <w:rsid w:val="007268F6"/>
    <w:rsid w:val="00726953"/>
    <w:rsid w:val="00726980"/>
    <w:rsid w:val="0072698F"/>
    <w:rsid w:val="007269AF"/>
    <w:rsid w:val="00726AAC"/>
    <w:rsid w:val="00726ABA"/>
    <w:rsid w:val="00726AC6"/>
    <w:rsid w:val="00726B0F"/>
    <w:rsid w:val="00726C33"/>
    <w:rsid w:val="00726CA2"/>
    <w:rsid w:val="00726D28"/>
    <w:rsid w:val="00726E4E"/>
    <w:rsid w:val="00726E7E"/>
    <w:rsid w:val="00726E9D"/>
    <w:rsid w:val="00726F2A"/>
    <w:rsid w:val="00726F31"/>
    <w:rsid w:val="00726FD9"/>
    <w:rsid w:val="0072723D"/>
    <w:rsid w:val="007272DE"/>
    <w:rsid w:val="007272ED"/>
    <w:rsid w:val="00727341"/>
    <w:rsid w:val="00727510"/>
    <w:rsid w:val="007275B4"/>
    <w:rsid w:val="00727656"/>
    <w:rsid w:val="0072766C"/>
    <w:rsid w:val="007276C9"/>
    <w:rsid w:val="007277CF"/>
    <w:rsid w:val="0072788E"/>
    <w:rsid w:val="00727905"/>
    <w:rsid w:val="007279D3"/>
    <w:rsid w:val="00727A53"/>
    <w:rsid w:val="00727A7A"/>
    <w:rsid w:val="00727BA2"/>
    <w:rsid w:val="00727BA8"/>
    <w:rsid w:val="00727BD9"/>
    <w:rsid w:val="00727F46"/>
    <w:rsid w:val="00727F88"/>
    <w:rsid w:val="007300ED"/>
    <w:rsid w:val="00730119"/>
    <w:rsid w:val="00730126"/>
    <w:rsid w:val="0073026C"/>
    <w:rsid w:val="00730398"/>
    <w:rsid w:val="0073040A"/>
    <w:rsid w:val="00730425"/>
    <w:rsid w:val="00730429"/>
    <w:rsid w:val="0073057E"/>
    <w:rsid w:val="0073061E"/>
    <w:rsid w:val="00730896"/>
    <w:rsid w:val="007308C3"/>
    <w:rsid w:val="00730A0F"/>
    <w:rsid w:val="00730AF1"/>
    <w:rsid w:val="00730B95"/>
    <w:rsid w:val="00730C31"/>
    <w:rsid w:val="00730C89"/>
    <w:rsid w:val="00730CE0"/>
    <w:rsid w:val="00730D22"/>
    <w:rsid w:val="00730DB0"/>
    <w:rsid w:val="00730E28"/>
    <w:rsid w:val="00730EB0"/>
    <w:rsid w:val="00730F92"/>
    <w:rsid w:val="00731237"/>
    <w:rsid w:val="007312D4"/>
    <w:rsid w:val="00731315"/>
    <w:rsid w:val="007313E7"/>
    <w:rsid w:val="0073143F"/>
    <w:rsid w:val="007314A7"/>
    <w:rsid w:val="007314C7"/>
    <w:rsid w:val="00731798"/>
    <w:rsid w:val="007317AD"/>
    <w:rsid w:val="00731850"/>
    <w:rsid w:val="00731856"/>
    <w:rsid w:val="007318F4"/>
    <w:rsid w:val="00731B94"/>
    <w:rsid w:val="00731C49"/>
    <w:rsid w:val="00731CC6"/>
    <w:rsid w:val="00731D14"/>
    <w:rsid w:val="00731D94"/>
    <w:rsid w:val="00731DD2"/>
    <w:rsid w:val="00731E2E"/>
    <w:rsid w:val="00731EF4"/>
    <w:rsid w:val="00731F1C"/>
    <w:rsid w:val="0073203A"/>
    <w:rsid w:val="0073212B"/>
    <w:rsid w:val="007321CE"/>
    <w:rsid w:val="00732321"/>
    <w:rsid w:val="00732507"/>
    <w:rsid w:val="00732564"/>
    <w:rsid w:val="007326A8"/>
    <w:rsid w:val="007326D1"/>
    <w:rsid w:val="007328A2"/>
    <w:rsid w:val="0073292E"/>
    <w:rsid w:val="00732A30"/>
    <w:rsid w:val="00732A7B"/>
    <w:rsid w:val="00732B2B"/>
    <w:rsid w:val="00732B6F"/>
    <w:rsid w:val="00732CEB"/>
    <w:rsid w:val="00732EA6"/>
    <w:rsid w:val="00732F60"/>
    <w:rsid w:val="00732FA5"/>
    <w:rsid w:val="007330BD"/>
    <w:rsid w:val="00733160"/>
    <w:rsid w:val="00733263"/>
    <w:rsid w:val="007332C7"/>
    <w:rsid w:val="0073342B"/>
    <w:rsid w:val="0073345B"/>
    <w:rsid w:val="007334AF"/>
    <w:rsid w:val="007334B5"/>
    <w:rsid w:val="007334F2"/>
    <w:rsid w:val="00733546"/>
    <w:rsid w:val="00733568"/>
    <w:rsid w:val="007335D2"/>
    <w:rsid w:val="00733612"/>
    <w:rsid w:val="007336BE"/>
    <w:rsid w:val="00733788"/>
    <w:rsid w:val="00733820"/>
    <w:rsid w:val="00733841"/>
    <w:rsid w:val="007339B4"/>
    <w:rsid w:val="00733B1B"/>
    <w:rsid w:val="00733D02"/>
    <w:rsid w:val="00733DA7"/>
    <w:rsid w:val="00733EB2"/>
    <w:rsid w:val="00733FA1"/>
    <w:rsid w:val="007340E9"/>
    <w:rsid w:val="00734176"/>
    <w:rsid w:val="007341BF"/>
    <w:rsid w:val="007341CC"/>
    <w:rsid w:val="007341D6"/>
    <w:rsid w:val="007341E5"/>
    <w:rsid w:val="0073431B"/>
    <w:rsid w:val="0073433A"/>
    <w:rsid w:val="007343BC"/>
    <w:rsid w:val="00734500"/>
    <w:rsid w:val="007345DC"/>
    <w:rsid w:val="007345E0"/>
    <w:rsid w:val="00734656"/>
    <w:rsid w:val="007346AC"/>
    <w:rsid w:val="0073472F"/>
    <w:rsid w:val="00734987"/>
    <w:rsid w:val="00734B0E"/>
    <w:rsid w:val="00734B71"/>
    <w:rsid w:val="00734C8E"/>
    <w:rsid w:val="00734D7A"/>
    <w:rsid w:val="00734E3F"/>
    <w:rsid w:val="00734E70"/>
    <w:rsid w:val="00735072"/>
    <w:rsid w:val="0073538E"/>
    <w:rsid w:val="007353AC"/>
    <w:rsid w:val="007353ED"/>
    <w:rsid w:val="007353F2"/>
    <w:rsid w:val="0073540A"/>
    <w:rsid w:val="007354A9"/>
    <w:rsid w:val="007354FC"/>
    <w:rsid w:val="00735501"/>
    <w:rsid w:val="0073570B"/>
    <w:rsid w:val="0073577F"/>
    <w:rsid w:val="007357FD"/>
    <w:rsid w:val="00735905"/>
    <w:rsid w:val="00735932"/>
    <w:rsid w:val="0073596B"/>
    <w:rsid w:val="00735A2E"/>
    <w:rsid w:val="00735AC5"/>
    <w:rsid w:val="00735B3E"/>
    <w:rsid w:val="00735B65"/>
    <w:rsid w:val="00735EB0"/>
    <w:rsid w:val="00735FF1"/>
    <w:rsid w:val="00736046"/>
    <w:rsid w:val="00736096"/>
    <w:rsid w:val="00736182"/>
    <w:rsid w:val="00736308"/>
    <w:rsid w:val="0073638D"/>
    <w:rsid w:val="0073646A"/>
    <w:rsid w:val="0073649C"/>
    <w:rsid w:val="007364D4"/>
    <w:rsid w:val="007366A0"/>
    <w:rsid w:val="007366E8"/>
    <w:rsid w:val="00736772"/>
    <w:rsid w:val="00736797"/>
    <w:rsid w:val="00736813"/>
    <w:rsid w:val="0073696D"/>
    <w:rsid w:val="00736BD1"/>
    <w:rsid w:val="00736CC5"/>
    <w:rsid w:val="00736D89"/>
    <w:rsid w:val="00736DC3"/>
    <w:rsid w:val="00736E82"/>
    <w:rsid w:val="00736E88"/>
    <w:rsid w:val="00736EC8"/>
    <w:rsid w:val="00736EFE"/>
    <w:rsid w:val="00737122"/>
    <w:rsid w:val="0073727A"/>
    <w:rsid w:val="00737363"/>
    <w:rsid w:val="007373E7"/>
    <w:rsid w:val="00737557"/>
    <w:rsid w:val="007375AF"/>
    <w:rsid w:val="0073770B"/>
    <w:rsid w:val="0073778A"/>
    <w:rsid w:val="00737A4D"/>
    <w:rsid w:val="00737AA5"/>
    <w:rsid w:val="00737C7B"/>
    <w:rsid w:val="00737D4A"/>
    <w:rsid w:val="00737E3A"/>
    <w:rsid w:val="00737E86"/>
    <w:rsid w:val="00737F02"/>
    <w:rsid w:val="00737F8F"/>
    <w:rsid w:val="007400A2"/>
    <w:rsid w:val="0074034C"/>
    <w:rsid w:val="007404B4"/>
    <w:rsid w:val="007405E4"/>
    <w:rsid w:val="00740660"/>
    <w:rsid w:val="007406F0"/>
    <w:rsid w:val="00740772"/>
    <w:rsid w:val="0074077E"/>
    <w:rsid w:val="0074078B"/>
    <w:rsid w:val="00740815"/>
    <w:rsid w:val="0074091B"/>
    <w:rsid w:val="007409F4"/>
    <w:rsid w:val="00740A89"/>
    <w:rsid w:val="00740AFA"/>
    <w:rsid w:val="00740B96"/>
    <w:rsid w:val="00740CDA"/>
    <w:rsid w:val="00740CEC"/>
    <w:rsid w:val="00740D8C"/>
    <w:rsid w:val="00740E39"/>
    <w:rsid w:val="00740ED3"/>
    <w:rsid w:val="0074106E"/>
    <w:rsid w:val="00741319"/>
    <w:rsid w:val="0074137D"/>
    <w:rsid w:val="007413FC"/>
    <w:rsid w:val="0074142D"/>
    <w:rsid w:val="00741482"/>
    <w:rsid w:val="007415B6"/>
    <w:rsid w:val="0074170A"/>
    <w:rsid w:val="00741732"/>
    <w:rsid w:val="007417DE"/>
    <w:rsid w:val="00741849"/>
    <w:rsid w:val="007418A6"/>
    <w:rsid w:val="00741A35"/>
    <w:rsid w:val="00741A71"/>
    <w:rsid w:val="00741A7D"/>
    <w:rsid w:val="00741B1A"/>
    <w:rsid w:val="00741BD3"/>
    <w:rsid w:val="00741CEE"/>
    <w:rsid w:val="00741CFF"/>
    <w:rsid w:val="00741DA1"/>
    <w:rsid w:val="00741DB2"/>
    <w:rsid w:val="00741EE1"/>
    <w:rsid w:val="00741F65"/>
    <w:rsid w:val="00742063"/>
    <w:rsid w:val="00742076"/>
    <w:rsid w:val="007420E7"/>
    <w:rsid w:val="00742318"/>
    <w:rsid w:val="0074239B"/>
    <w:rsid w:val="0074259D"/>
    <w:rsid w:val="007425B0"/>
    <w:rsid w:val="00742601"/>
    <w:rsid w:val="0074260B"/>
    <w:rsid w:val="00742632"/>
    <w:rsid w:val="00742799"/>
    <w:rsid w:val="0074279C"/>
    <w:rsid w:val="007428F1"/>
    <w:rsid w:val="00742919"/>
    <w:rsid w:val="00742973"/>
    <w:rsid w:val="00742B2F"/>
    <w:rsid w:val="00742CB4"/>
    <w:rsid w:val="00742CD9"/>
    <w:rsid w:val="00742E2D"/>
    <w:rsid w:val="00742E51"/>
    <w:rsid w:val="00742E6E"/>
    <w:rsid w:val="00742FEA"/>
    <w:rsid w:val="0074301A"/>
    <w:rsid w:val="00743065"/>
    <w:rsid w:val="007430D1"/>
    <w:rsid w:val="007433D7"/>
    <w:rsid w:val="007434A8"/>
    <w:rsid w:val="007434C3"/>
    <w:rsid w:val="00743538"/>
    <w:rsid w:val="00743653"/>
    <w:rsid w:val="007437FC"/>
    <w:rsid w:val="0074381F"/>
    <w:rsid w:val="00743847"/>
    <w:rsid w:val="007439AE"/>
    <w:rsid w:val="00743B1F"/>
    <w:rsid w:val="00743B3F"/>
    <w:rsid w:val="00743BC4"/>
    <w:rsid w:val="00743BF0"/>
    <w:rsid w:val="00743C08"/>
    <w:rsid w:val="00743E56"/>
    <w:rsid w:val="00743F16"/>
    <w:rsid w:val="00743F1A"/>
    <w:rsid w:val="00743F63"/>
    <w:rsid w:val="00744047"/>
    <w:rsid w:val="0074404D"/>
    <w:rsid w:val="007441B9"/>
    <w:rsid w:val="007444F9"/>
    <w:rsid w:val="00744685"/>
    <w:rsid w:val="00744764"/>
    <w:rsid w:val="007447B4"/>
    <w:rsid w:val="007447C5"/>
    <w:rsid w:val="007447CD"/>
    <w:rsid w:val="0074482A"/>
    <w:rsid w:val="007448C1"/>
    <w:rsid w:val="00744A4C"/>
    <w:rsid w:val="00744AA4"/>
    <w:rsid w:val="00744AB6"/>
    <w:rsid w:val="00744B82"/>
    <w:rsid w:val="00744C00"/>
    <w:rsid w:val="00744CFD"/>
    <w:rsid w:val="00744D4B"/>
    <w:rsid w:val="00744D97"/>
    <w:rsid w:val="00744DA2"/>
    <w:rsid w:val="00744E29"/>
    <w:rsid w:val="00744EA6"/>
    <w:rsid w:val="00744F46"/>
    <w:rsid w:val="007450DB"/>
    <w:rsid w:val="00745139"/>
    <w:rsid w:val="00745157"/>
    <w:rsid w:val="007451B8"/>
    <w:rsid w:val="00745246"/>
    <w:rsid w:val="007452EC"/>
    <w:rsid w:val="007453A6"/>
    <w:rsid w:val="00745507"/>
    <w:rsid w:val="0074565E"/>
    <w:rsid w:val="00745694"/>
    <w:rsid w:val="0074575B"/>
    <w:rsid w:val="00745796"/>
    <w:rsid w:val="0074589C"/>
    <w:rsid w:val="007459DD"/>
    <w:rsid w:val="00745AAE"/>
    <w:rsid w:val="00745B34"/>
    <w:rsid w:val="00745BCA"/>
    <w:rsid w:val="00745BCC"/>
    <w:rsid w:val="00745BE4"/>
    <w:rsid w:val="00745C34"/>
    <w:rsid w:val="00745C43"/>
    <w:rsid w:val="00745D7D"/>
    <w:rsid w:val="00745E88"/>
    <w:rsid w:val="00745EE6"/>
    <w:rsid w:val="00745F3E"/>
    <w:rsid w:val="00745F49"/>
    <w:rsid w:val="00745F50"/>
    <w:rsid w:val="00745F9C"/>
    <w:rsid w:val="00745FE7"/>
    <w:rsid w:val="00746173"/>
    <w:rsid w:val="007461CF"/>
    <w:rsid w:val="007463D3"/>
    <w:rsid w:val="00746565"/>
    <w:rsid w:val="007468D1"/>
    <w:rsid w:val="007469A7"/>
    <w:rsid w:val="00746A87"/>
    <w:rsid w:val="00746B3F"/>
    <w:rsid w:val="00746B51"/>
    <w:rsid w:val="00746D2B"/>
    <w:rsid w:val="00746D53"/>
    <w:rsid w:val="00746D57"/>
    <w:rsid w:val="00746DD7"/>
    <w:rsid w:val="00746F6E"/>
    <w:rsid w:val="00746FF9"/>
    <w:rsid w:val="0074704C"/>
    <w:rsid w:val="007472DC"/>
    <w:rsid w:val="007472F3"/>
    <w:rsid w:val="00747450"/>
    <w:rsid w:val="0074749F"/>
    <w:rsid w:val="007476BD"/>
    <w:rsid w:val="007477DE"/>
    <w:rsid w:val="00747846"/>
    <w:rsid w:val="00747936"/>
    <w:rsid w:val="00747B0C"/>
    <w:rsid w:val="00747B3C"/>
    <w:rsid w:val="00747C23"/>
    <w:rsid w:val="00747CC2"/>
    <w:rsid w:val="00747CDA"/>
    <w:rsid w:val="00747DBC"/>
    <w:rsid w:val="00747E1F"/>
    <w:rsid w:val="00747ED0"/>
    <w:rsid w:val="00747EF1"/>
    <w:rsid w:val="007500C4"/>
    <w:rsid w:val="00750129"/>
    <w:rsid w:val="0075014F"/>
    <w:rsid w:val="00750236"/>
    <w:rsid w:val="0075024A"/>
    <w:rsid w:val="007502AC"/>
    <w:rsid w:val="007502FA"/>
    <w:rsid w:val="00750334"/>
    <w:rsid w:val="007503C5"/>
    <w:rsid w:val="007503FA"/>
    <w:rsid w:val="00750421"/>
    <w:rsid w:val="0075046A"/>
    <w:rsid w:val="00750510"/>
    <w:rsid w:val="00750591"/>
    <w:rsid w:val="0075062E"/>
    <w:rsid w:val="007506BC"/>
    <w:rsid w:val="007507FC"/>
    <w:rsid w:val="007508A3"/>
    <w:rsid w:val="007508A4"/>
    <w:rsid w:val="007508C0"/>
    <w:rsid w:val="007508E2"/>
    <w:rsid w:val="00750B4B"/>
    <w:rsid w:val="00750C21"/>
    <w:rsid w:val="00750C97"/>
    <w:rsid w:val="00750DE9"/>
    <w:rsid w:val="00750DF3"/>
    <w:rsid w:val="00750E80"/>
    <w:rsid w:val="00750FE5"/>
    <w:rsid w:val="00750FEE"/>
    <w:rsid w:val="007510CE"/>
    <w:rsid w:val="007510D2"/>
    <w:rsid w:val="007510D5"/>
    <w:rsid w:val="007510DA"/>
    <w:rsid w:val="00751124"/>
    <w:rsid w:val="0075136C"/>
    <w:rsid w:val="0075137D"/>
    <w:rsid w:val="00751380"/>
    <w:rsid w:val="007513AC"/>
    <w:rsid w:val="007513D4"/>
    <w:rsid w:val="00751426"/>
    <w:rsid w:val="007514E1"/>
    <w:rsid w:val="0075175F"/>
    <w:rsid w:val="007517B9"/>
    <w:rsid w:val="00751828"/>
    <w:rsid w:val="0075187B"/>
    <w:rsid w:val="007518D1"/>
    <w:rsid w:val="00751924"/>
    <w:rsid w:val="0075197E"/>
    <w:rsid w:val="007519E8"/>
    <w:rsid w:val="00751A98"/>
    <w:rsid w:val="00751AC1"/>
    <w:rsid w:val="00751AEF"/>
    <w:rsid w:val="00751BC1"/>
    <w:rsid w:val="00751C05"/>
    <w:rsid w:val="00751C5B"/>
    <w:rsid w:val="00751D13"/>
    <w:rsid w:val="00751E46"/>
    <w:rsid w:val="00751F68"/>
    <w:rsid w:val="00752045"/>
    <w:rsid w:val="0075239F"/>
    <w:rsid w:val="0075241A"/>
    <w:rsid w:val="00752450"/>
    <w:rsid w:val="00752452"/>
    <w:rsid w:val="007524A0"/>
    <w:rsid w:val="0075262D"/>
    <w:rsid w:val="007526CE"/>
    <w:rsid w:val="007526FF"/>
    <w:rsid w:val="00752702"/>
    <w:rsid w:val="00752725"/>
    <w:rsid w:val="00752795"/>
    <w:rsid w:val="007527CC"/>
    <w:rsid w:val="007527DE"/>
    <w:rsid w:val="0075281A"/>
    <w:rsid w:val="00752828"/>
    <w:rsid w:val="00752893"/>
    <w:rsid w:val="007528B8"/>
    <w:rsid w:val="00752938"/>
    <w:rsid w:val="0075294C"/>
    <w:rsid w:val="0075295B"/>
    <w:rsid w:val="00752A88"/>
    <w:rsid w:val="00752C6E"/>
    <w:rsid w:val="00752DAE"/>
    <w:rsid w:val="00752DB1"/>
    <w:rsid w:val="00752DF3"/>
    <w:rsid w:val="00752E3E"/>
    <w:rsid w:val="00752E6B"/>
    <w:rsid w:val="00752F4D"/>
    <w:rsid w:val="00752FC5"/>
    <w:rsid w:val="00753037"/>
    <w:rsid w:val="0075311E"/>
    <w:rsid w:val="00753145"/>
    <w:rsid w:val="0075317B"/>
    <w:rsid w:val="0075324F"/>
    <w:rsid w:val="00753362"/>
    <w:rsid w:val="0075341C"/>
    <w:rsid w:val="00753427"/>
    <w:rsid w:val="0075345C"/>
    <w:rsid w:val="0075363F"/>
    <w:rsid w:val="007536EA"/>
    <w:rsid w:val="0075373C"/>
    <w:rsid w:val="007538D6"/>
    <w:rsid w:val="007539CF"/>
    <w:rsid w:val="007539F5"/>
    <w:rsid w:val="00753ACA"/>
    <w:rsid w:val="00753BA4"/>
    <w:rsid w:val="00753C78"/>
    <w:rsid w:val="00753CA2"/>
    <w:rsid w:val="00753D3D"/>
    <w:rsid w:val="00753D7B"/>
    <w:rsid w:val="00753E05"/>
    <w:rsid w:val="00753E26"/>
    <w:rsid w:val="00753EBC"/>
    <w:rsid w:val="00754000"/>
    <w:rsid w:val="0075406B"/>
    <w:rsid w:val="007540F4"/>
    <w:rsid w:val="007540F6"/>
    <w:rsid w:val="007541DA"/>
    <w:rsid w:val="00754211"/>
    <w:rsid w:val="00754215"/>
    <w:rsid w:val="007542BA"/>
    <w:rsid w:val="00754381"/>
    <w:rsid w:val="00754512"/>
    <w:rsid w:val="0075452F"/>
    <w:rsid w:val="007545B3"/>
    <w:rsid w:val="007545FD"/>
    <w:rsid w:val="0075462F"/>
    <w:rsid w:val="00754693"/>
    <w:rsid w:val="00754717"/>
    <w:rsid w:val="00754741"/>
    <w:rsid w:val="007548AB"/>
    <w:rsid w:val="0075498B"/>
    <w:rsid w:val="00754B0A"/>
    <w:rsid w:val="00754C50"/>
    <w:rsid w:val="00754E4D"/>
    <w:rsid w:val="00754E58"/>
    <w:rsid w:val="00754F1F"/>
    <w:rsid w:val="00754F22"/>
    <w:rsid w:val="00754F3E"/>
    <w:rsid w:val="00754FED"/>
    <w:rsid w:val="007551BA"/>
    <w:rsid w:val="00755221"/>
    <w:rsid w:val="00755272"/>
    <w:rsid w:val="0075536A"/>
    <w:rsid w:val="00755492"/>
    <w:rsid w:val="00755522"/>
    <w:rsid w:val="007555EF"/>
    <w:rsid w:val="00755639"/>
    <w:rsid w:val="007557F5"/>
    <w:rsid w:val="007559CB"/>
    <w:rsid w:val="00755A5D"/>
    <w:rsid w:val="00755B44"/>
    <w:rsid w:val="00755C47"/>
    <w:rsid w:val="00755C81"/>
    <w:rsid w:val="00755C8C"/>
    <w:rsid w:val="00755CED"/>
    <w:rsid w:val="00755E0C"/>
    <w:rsid w:val="00755E14"/>
    <w:rsid w:val="00755E8E"/>
    <w:rsid w:val="00755EFB"/>
    <w:rsid w:val="00755F6F"/>
    <w:rsid w:val="00755F7C"/>
    <w:rsid w:val="007560B3"/>
    <w:rsid w:val="00756179"/>
    <w:rsid w:val="0075625B"/>
    <w:rsid w:val="007563DE"/>
    <w:rsid w:val="00756410"/>
    <w:rsid w:val="007564C4"/>
    <w:rsid w:val="007564D9"/>
    <w:rsid w:val="00756538"/>
    <w:rsid w:val="00756756"/>
    <w:rsid w:val="007567DD"/>
    <w:rsid w:val="007567E0"/>
    <w:rsid w:val="00756934"/>
    <w:rsid w:val="00756936"/>
    <w:rsid w:val="00756992"/>
    <w:rsid w:val="007569DB"/>
    <w:rsid w:val="00756A61"/>
    <w:rsid w:val="00756AAB"/>
    <w:rsid w:val="00756D67"/>
    <w:rsid w:val="00756D98"/>
    <w:rsid w:val="00756E90"/>
    <w:rsid w:val="00756EBC"/>
    <w:rsid w:val="00756F7B"/>
    <w:rsid w:val="00757058"/>
    <w:rsid w:val="007570B9"/>
    <w:rsid w:val="007570BD"/>
    <w:rsid w:val="007570F1"/>
    <w:rsid w:val="0075720D"/>
    <w:rsid w:val="00757284"/>
    <w:rsid w:val="00757630"/>
    <w:rsid w:val="00757859"/>
    <w:rsid w:val="00757883"/>
    <w:rsid w:val="0075788F"/>
    <w:rsid w:val="00757962"/>
    <w:rsid w:val="007579D6"/>
    <w:rsid w:val="00757A17"/>
    <w:rsid w:val="00757A6A"/>
    <w:rsid w:val="00757B42"/>
    <w:rsid w:val="00757B53"/>
    <w:rsid w:val="00757BB1"/>
    <w:rsid w:val="00757BE4"/>
    <w:rsid w:val="00757C71"/>
    <w:rsid w:val="00757CAE"/>
    <w:rsid w:val="00757D00"/>
    <w:rsid w:val="00757D2A"/>
    <w:rsid w:val="00757DAD"/>
    <w:rsid w:val="00757FBC"/>
    <w:rsid w:val="0076002A"/>
    <w:rsid w:val="00760048"/>
    <w:rsid w:val="00760052"/>
    <w:rsid w:val="00760059"/>
    <w:rsid w:val="007600D0"/>
    <w:rsid w:val="00760117"/>
    <w:rsid w:val="0076012F"/>
    <w:rsid w:val="007601D3"/>
    <w:rsid w:val="0076030C"/>
    <w:rsid w:val="00760465"/>
    <w:rsid w:val="0076048F"/>
    <w:rsid w:val="00760514"/>
    <w:rsid w:val="007605BE"/>
    <w:rsid w:val="007605E4"/>
    <w:rsid w:val="00760773"/>
    <w:rsid w:val="0076095B"/>
    <w:rsid w:val="007609B4"/>
    <w:rsid w:val="00760A95"/>
    <w:rsid w:val="00760AC9"/>
    <w:rsid w:val="00760B74"/>
    <w:rsid w:val="00760BA0"/>
    <w:rsid w:val="00760C33"/>
    <w:rsid w:val="00760C80"/>
    <w:rsid w:val="00760D0C"/>
    <w:rsid w:val="00760D8B"/>
    <w:rsid w:val="00760E64"/>
    <w:rsid w:val="00760EBA"/>
    <w:rsid w:val="00760F32"/>
    <w:rsid w:val="00760F3E"/>
    <w:rsid w:val="00761103"/>
    <w:rsid w:val="00761198"/>
    <w:rsid w:val="00761253"/>
    <w:rsid w:val="00761282"/>
    <w:rsid w:val="0076141A"/>
    <w:rsid w:val="0076182E"/>
    <w:rsid w:val="0076185D"/>
    <w:rsid w:val="00761902"/>
    <w:rsid w:val="00761952"/>
    <w:rsid w:val="00761C91"/>
    <w:rsid w:val="00761CAD"/>
    <w:rsid w:val="00761CF4"/>
    <w:rsid w:val="00761D02"/>
    <w:rsid w:val="00761DB7"/>
    <w:rsid w:val="00761F4B"/>
    <w:rsid w:val="00761F95"/>
    <w:rsid w:val="00761FAD"/>
    <w:rsid w:val="00761FB5"/>
    <w:rsid w:val="00761FB8"/>
    <w:rsid w:val="00762020"/>
    <w:rsid w:val="007620A0"/>
    <w:rsid w:val="007620A8"/>
    <w:rsid w:val="00762154"/>
    <w:rsid w:val="007622DE"/>
    <w:rsid w:val="0076235A"/>
    <w:rsid w:val="00762410"/>
    <w:rsid w:val="007624F1"/>
    <w:rsid w:val="00762611"/>
    <w:rsid w:val="007626F8"/>
    <w:rsid w:val="00762A1F"/>
    <w:rsid w:val="00762A2E"/>
    <w:rsid w:val="00762CB6"/>
    <w:rsid w:val="00762D63"/>
    <w:rsid w:val="00762DE2"/>
    <w:rsid w:val="00762E74"/>
    <w:rsid w:val="00762F88"/>
    <w:rsid w:val="00763112"/>
    <w:rsid w:val="00763169"/>
    <w:rsid w:val="0076330F"/>
    <w:rsid w:val="007633D1"/>
    <w:rsid w:val="0076341C"/>
    <w:rsid w:val="007635BA"/>
    <w:rsid w:val="007635CE"/>
    <w:rsid w:val="0076364D"/>
    <w:rsid w:val="0076376D"/>
    <w:rsid w:val="00763867"/>
    <w:rsid w:val="007638D5"/>
    <w:rsid w:val="0076392B"/>
    <w:rsid w:val="007639EC"/>
    <w:rsid w:val="00763D05"/>
    <w:rsid w:val="00763E66"/>
    <w:rsid w:val="00763E87"/>
    <w:rsid w:val="00763F6F"/>
    <w:rsid w:val="00763FCF"/>
    <w:rsid w:val="007641C3"/>
    <w:rsid w:val="00764416"/>
    <w:rsid w:val="007644D6"/>
    <w:rsid w:val="00764579"/>
    <w:rsid w:val="0076459C"/>
    <w:rsid w:val="007645AA"/>
    <w:rsid w:val="007645B3"/>
    <w:rsid w:val="00764714"/>
    <w:rsid w:val="007649DF"/>
    <w:rsid w:val="00764A69"/>
    <w:rsid w:val="00764A6E"/>
    <w:rsid w:val="00764A9A"/>
    <w:rsid w:val="00764B87"/>
    <w:rsid w:val="00764B9D"/>
    <w:rsid w:val="00764BC1"/>
    <w:rsid w:val="00764BEE"/>
    <w:rsid w:val="00764C18"/>
    <w:rsid w:val="00764D7C"/>
    <w:rsid w:val="00764F08"/>
    <w:rsid w:val="007650D1"/>
    <w:rsid w:val="00765263"/>
    <w:rsid w:val="0076526B"/>
    <w:rsid w:val="007652A4"/>
    <w:rsid w:val="007652F9"/>
    <w:rsid w:val="007653AA"/>
    <w:rsid w:val="00765407"/>
    <w:rsid w:val="0076549F"/>
    <w:rsid w:val="00765560"/>
    <w:rsid w:val="0076563E"/>
    <w:rsid w:val="00765751"/>
    <w:rsid w:val="007657C3"/>
    <w:rsid w:val="00765903"/>
    <w:rsid w:val="0076593C"/>
    <w:rsid w:val="00765996"/>
    <w:rsid w:val="00765A19"/>
    <w:rsid w:val="00765A1A"/>
    <w:rsid w:val="00765A33"/>
    <w:rsid w:val="00765A72"/>
    <w:rsid w:val="00765B35"/>
    <w:rsid w:val="00765D14"/>
    <w:rsid w:val="00765DA1"/>
    <w:rsid w:val="00765DC7"/>
    <w:rsid w:val="00765E9A"/>
    <w:rsid w:val="00765FCA"/>
    <w:rsid w:val="00766066"/>
    <w:rsid w:val="0076615F"/>
    <w:rsid w:val="0076619A"/>
    <w:rsid w:val="0076619C"/>
    <w:rsid w:val="0076621E"/>
    <w:rsid w:val="0076626B"/>
    <w:rsid w:val="00766367"/>
    <w:rsid w:val="00766384"/>
    <w:rsid w:val="007663FA"/>
    <w:rsid w:val="00766502"/>
    <w:rsid w:val="00766564"/>
    <w:rsid w:val="0076672E"/>
    <w:rsid w:val="0076680C"/>
    <w:rsid w:val="007668CB"/>
    <w:rsid w:val="007668F1"/>
    <w:rsid w:val="007669E0"/>
    <w:rsid w:val="00766A3F"/>
    <w:rsid w:val="00766B34"/>
    <w:rsid w:val="00766C1F"/>
    <w:rsid w:val="00766CA2"/>
    <w:rsid w:val="00766D51"/>
    <w:rsid w:val="00766DA6"/>
    <w:rsid w:val="00766E44"/>
    <w:rsid w:val="00766E59"/>
    <w:rsid w:val="00766EAB"/>
    <w:rsid w:val="00766EF5"/>
    <w:rsid w:val="00766FF3"/>
    <w:rsid w:val="00767039"/>
    <w:rsid w:val="00767173"/>
    <w:rsid w:val="007671A5"/>
    <w:rsid w:val="00767227"/>
    <w:rsid w:val="0076723F"/>
    <w:rsid w:val="00767242"/>
    <w:rsid w:val="00767488"/>
    <w:rsid w:val="007674E5"/>
    <w:rsid w:val="00767511"/>
    <w:rsid w:val="007675EB"/>
    <w:rsid w:val="007677A4"/>
    <w:rsid w:val="00767897"/>
    <w:rsid w:val="0076794D"/>
    <w:rsid w:val="00767D38"/>
    <w:rsid w:val="00767DFC"/>
    <w:rsid w:val="00767F0E"/>
    <w:rsid w:val="00767F35"/>
    <w:rsid w:val="00767FBF"/>
    <w:rsid w:val="00770015"/>
    <w:rsid w:val="00770028"/>
    <w:rsid w:val="007702E4"/>
    <w:rsid w:val="0077033D"/>
    <w:rsid w:val="00770460"/>
    <w:rsid w:val="00770565"/>
    <w:rsid w:val="0077060D"/>
    <w:rsid w:val="0077065F"/>
    <w:rsid w:val="00770674"/>
    <w:rsid w:val="0077067C"/>
    <w:rsid w:val="00770768"/>
    <w:rsid w:val="0077099E"/>
    <w:rsid w:val="007709CB"/>
    <w:rsid w:val="00770A6F"/>
    <w:rsid w:val="00770B20"/>
    <w:rsid w:val="00770BA5"/>
    <w:rsid w:val="00770C7C"/>
    <w:rsid w:val="00770CC7"/>
    <w:rsid w:val="00770D1A"/>
    <w:rsid w:val="00770F86"/>
    <w:rsid w:val="007710B4"/>
    <w:rsid w:val="0077111F"/>
    <w:rsid w:val="00771155"/>
    <w:rsid w:val="007711A3"/>
    <w:rsid w:val="007711DD"/>
    <w:rsid w:val="00771235"/>
    <w:rsid w:val="0077143D"/>
    <w:rsid w:val="0077146C"/>
    <w:rsid w:val="0077148A"/>
    <w:rsid w:val="007714AE"/>
    <w:rsid w:val="007714B2"/>
    <w:rsid w:val="007714B6"/>
    <w:rsid w:val="007714BE"/>
    <w:rsid w:val="007716EE"/>
    <w:rsid w:val="00771723"/>
    <w:rsid w:val="0077180F"/>
    <w:rsid w:val="00771828"/>
    <w:rsid w:val="00771A79"/>
    <w:rsid w:val="00771D34"/>
    <w:rsid w:val="00771DF5"/>
    <w:rsid w:val="00771E1F"/>
    <w:rsid w:val="00771EA8"/>
    <w:rsid w:val="007720AC"/>
    <w:rsid w:val="007720F0"/>
    <w:rsid w:val="0077210A"/>
    <w:rsid w:val="0077210D"/>
    <w:rsid w:val="0077217F"/>
    <w:rsid w:val="00772183"/>
    <w:rsid w:val="007721A4"/>
    <w:rsid w:val="007722E4"/>
    <w:rsid w:val="00772381"/>
    <w:rsid w:val="007723A5"/>
    <w:rsid w:val="00772497"/>
    <w:rsid w:val="007724EB"/>
    <w:rsid w:val="0077253F"/>
    <w:rsid w:val="007725A7"/>
    <w:rsid w:val="007725C1"/>
    <w:rsid w:val="00772848"/>
    <w:rsid w:val="00772991"/>
    <w:rsid w:val="00772A0E"/>
    <w:rsid w:val="00772AB5"/>
    <w:rsid w:val="00772C87"/>
    <w:rsid w:val="00772D1C"/>
    <w:rsid w:val="00772D48"/>
    <w:rsid w:val="00772DD5"/>
    <w:rsid w:val="00772DF0"/>
    <w:rsid w:val="0077305F"/>
    <w:rsid w:val="0077321F"/>
    <w:rsid w:val="007732C9"/>
    <w:rsid w:val="007732EE"/>
    <w:rsid w:val="00773382"/>
    <w:rsid w:val="00773460"/>
    <w:rsid w:val="00773572"/>
    <w:rsid w:val="007735A6"/>
    <w:rsid w:val="007735CC"/>
    <w:rsid w:val="007735E1"/>
    <w:rsid w:val="0077364C"/>
    <w:rsid w:val="007736CA"/>
    <w:rsid w:val="00773726"/>
    <w:rsid w:val="0077377C"/>
    <w:rsid w:val="007738AC"/>
    <w:rsid w:val="00773A04"/>
    <w:rsid w:val="00773A15"/>
    <w:rsid w:val="00773CEE"/>
    <w:rsid w:val="00773DFF"/>
    <w:rsid w:val="00773E10"/>
    <w:rsid w:val="00773FF0"/>
    <w:rsid w:val="007740BA"/>
    <w:rsid w:val="007742BC"/>
    <w:rsid w:val="007742F3"/>
    <w:rsid w:val="0077438A"/>
    <w:rsid w:val="00774410"/>
    <w:rsid w:val="007744D7"/>
    <w:rsid w:val="00774522"/>
    <w:rsid w:val="00774589"/>
    <w:rsid w:val="007745F3"/>
    <w:rsid w:val="007745F7"/>
    <w:rsid w:val="00774699"/>
    <w:rsid w:val="00774794"/>
    <w:rsid w:val="007747C9"/>
    <w:rsid w:val="0077480B"/>
    <w:rsid w:val="00774884"/>
    <w:rsid w:val="00774A7E"/>
    <w:rsid w:val="00774A9B"/>
    <w:rsid w:val="00774B22"/>
    <w:rsid w:val="00774C8D"/>
    <w:rsid w:val="00774C94"/>
    <w:rsid w:val="00774CAC"/>
    <w:rsid w:val="00774DB7"/>
    <w:rsid w:val="00774DDF"/>
    <w:rsid w:val="00774E8D"/>
    <w:rsid w:val="00774ECA"/>
    <w:rsid w:val="00774F3C"/>
    <w:rsid w:val="00774FC1"/>
    <w:rsid w:val="0077516A"/>
    <w:rsid w:val="007753B3"/>
    <w:rsid w:val="007753CE"/>
    <w:rsid w:val="0077540B"/>
    <w:rsid w:val="0077543B"/>
    <w:rsid w:val="00775447"/>
    <w:rsid w:val="0077548D"/>
    <w:rsid w:val="007754AD"/>
    <w:rsid w:val="00775611"/>
    <w:rsid w:val="00775631"/>
    <w:rsid w:val="007756A0"/>
    <w:rsid w:val="00775729"/>
    <w:rsid w:val="007757D5"/>
    <w:rsid w:val="00775AFE"/>
    <w:rsid w:val="00775B01"/>
    <w:rsid w:val="00775C84"/>
    <w:rsid w:val="00775CCA"/>
    <w:rsid w:val="00775D0F"/>
    <w:rsid w:val="00775DA6"/>
    <w:rsid w:val="00775DA7"/>
    <w:rsid w:val="00775ECB"/>
    <w:rsid w:val="00775EE5"/>
    <w:rsid w:val="00775FBF"/>
    <w:rsid w:val="00776010"/>
    <w:rsid w:val="00776062"/>
    <w:rsid w:val="00776315"/>
    <w:rsid w:val="00776316"/>
    <w:rsid w:val="00776538"/>
    <w:rsid w:val="00776589"/>
    <w:rsid w:val="00776591"/>
    <w:rsid w:val="007765AE"/>
    <w:rsid w:val="007765FC"/>
    <w:rsid w:val="0077661C"/>
    <w:rsid w:val="00776653"/>
    <w:rsid w:val="00776683"/>
    <w:rsid w:val="007766C6"/>
    <w:rsid w:val="00776716"/>
    <w:rsid w:val="00776756"/>
    <w:rsid w:val="00776895"/>
    <w:rsid w:val="007768B5"/>
    <w:rsid w:val="007768BE"/>
    <w:rsid w:val="007768FB"/>
    <w:rsid w:val="007769CF"/>
    <w:rsid w:val="00776A03"/>
    <w:rsid w:val="00776AFC"/>
    <w:rsid w:val="00776B18"/>
    <w:rsid w:val="00776D23"/>
    <w:rsid w:val="00776DCB"/>
    <w:rsid w:val="00776DD5"/>
    <w:rsid w:val="00776E30"/>
    <w:rsid w:val="00776FAF"/>
    <w:rsid w:val="007770BF"/>
    <w:rsid w:val="007771A5"/>
    <w:rsid w:val="007771A7"/>
    <w:rsid w:val="0077722C"/>
    <w:rsid w:val="00777287"/>
    <w:rsid w:val="007772C3"/>
    <w:rsid w:val="0077742E"/>
    <w:rsid w:val="0077744D"/>
    <w:rsid w:val="00777489"/>
    <w:rsid w:val="007774FD"/>
    <w:rsid w:val="00777679"/>
    <w:rsid w:val="007776DB"/>
    <w:rsid w:val="007778DA"/>
    <w:rsid w:val="0077791A"/>
    <w:rsid w:val="00777A1C"/>
    <w:rsid w:val="00777B63"/>
    <w:rsid w:val="00777BB4"/>
    <w:rsid w:val="00777BE3"/>
    <w:rsid w:val="00777C98"/>
    <w:rsid w:val="00777CEB"/>
    <w:rsid w:val="00777D55"/>
    <w:rsid w:val="00777DAE"/>
    <w:rsid w:val="00777E11"/>
    <w:rsid w:val="00777E2A"/>
    <w:rsid w:val="00777E31"/>
    <w:rsid w:val="00777EFF"/>
    <w:rsid w:val="00777FCF"/>
    <w:rsid w:val="00780082"/>
    <w:rsid w:val="007800DC"/>
    <w:rsid w:val="007800F8"/>
    <w:rsid w:val="00780192"/>
    <w:rsid w:val="0078021F"/>
    <w:rsid w:val="0078026B"/>
    <w:rsid w:val="00780639"/>
    <w:rsid w:val="007807D6"/>
    <w:rsid w:val="00780813"/>
    <w:rsid w:val="0078081B"/>
    <w:rsid w:val="00780854"/>
    <w:rsid w:val="007808A9"/>
    <w:rsid w:val="007808C2"/>
    <w:rsid w:val="007808E8"/>
    <w:rsid w:val="00780951"/>
    <w:rsid w:val="00780973"/>
    <w:rsid w:val="00780A4B"/>
    <w:rsid w:val="00780B98"/>
    <w:rsid w:val="00780CDA"/>
    <w:rsid w:val="00780D52"/>
    <w:rsid w:val="00780D55"/>
    <w:rsid w:val="00780E3A"/>
    <w:rsid w:val="00780F1C"/>
    <w:rsid w:val="00780FDA"/>
    <w:rsid w:val="00781017"/>
    <w:rsid w:val="0078104D"/>
    <w:rsid w:val="00781087"/>
    <w:rsid w:val="007810C9"/>
    <w:rsid w:val="00781117"/>
    <w:rsid w:val="0078112E"/>
    <w:rsid w:val="007811BB"/>
    <w:rsid w:val="0078121F"/>
    <w:rsid w:val="007812ED"/>
    <w:rsid w:val="0078144B"/>
    <w:rsid w:val="00781491"/>
    <w:rsid w:val="0078155C"/>
    <w:rsid w:val="00781650"/>
    <w:rsid w:val="00781670"/>
    <w:rsid w:val="007816CB"/>
    <w:rsid w:val="00781751"/>
    <w:rsid w:val="007817C4"/>
    <w:rsid w:val="0078193D"/>
    <w:rsid w:val="00781A13"/>
    <w:rsid w:val="00781A41"/>
    <w:rsid w:val="00781B5E"/>
    <w:rsid w:val="00781C01"/>
    <w:rsid w:val="00781C55"/>
    <w:rsid w:val="00781D0B"/>
    <w:rsid w:val="00781D7E"/>
    <w:rsid w:val="00781D8D"/>
    <w:rsid w:val="00781E4F"/>
    <w:rsid w:val="00781EEA"/>
    <w:rsid w:val="00781F5C"/>
    <w:rsid w:val="007820E4"/>
    <w:rsid w:val="007820E5"/>
    <w:rsid w:val="007820F3"/>
    <w:rsid w:val="00782155"/>
    <w:rsid w:val="0078218F"/>
    <w:rsid w:val="00782361"/>
    <w:rsid w:val="0078238E"/>
    <w:rsid w:val="0078248C"/>
    <w:rsid w:val="007825F1"/>
    <w:rsid w:val="00782799"/>
    <w:rsid w:val="00782883"/>
    <w:rsid w:val="007828F5"/>
    <w:rsid w:val="0078295F"/>
    <w:rsid w:val="007829A0"/>
    <w:rsid w:val="00782A4D"/>
    <w:rsid w:val="00782ADB"/>
    <w:rsid w:val="00782C0E"/>
    <w:rsid w:val="00782C44"/>
    <w:rsid w:val="00782D77"/>
    <w:rsid w:val="00782E2F"/>
    <w:rsid w:val="00782E58"/>
    <w:rsid w:val="00782FA8"/>
    <w:rsid w:val="00782FDC"/>
    <w:rsid w:val="00783032"/>
    <w:rsid w:val="00783092"/>
    <w:rsid w:val="0078312F"/>
    <w:rsid w:val="007831E9"/>
    <w:rsid w:val="007831FF"/>
    <w:rsid w:val="00783446"/>
    <w:rsid w:val="0078347F"/>
    <w:rsid w:val="007834B5"/>
    <w:rsid w:val="0078357E"/>
    <w:rsid w:val="0078364A"/>
    <w:rsid w:val="0078366F"/>
    <w:rsid w:val="00783742"/>
    <w:rsid w:val="0078374E"/>
    <w:rsid w:val="007837C1"/>
    <w:rsid w:val="00783955"/>
    <w:rsid w:val="00783980"/>
    <w:rsid w:val="007839A6"/>
    <w:rsid w:val="00783A69"/>
    <w:rsid w:val="00783A7F"/>
    <w:rsid w:val="00783BE2"/>
    <w:rsid w:val="00783C02"/>
    <w:rsid w:val="00783C25"/>
    <w:rsid w:val="00783D1D"/>
    <w:rsid w:val="00783D36"/>
    <w:rsid w:val="00783D3C"/>
    <w:rsid w:val="00783DDA"/>
    <w:rsid w:val="00783E2C"/>
    <w:rsid w:val="00783EBE"/>
    <w:rsid w:val="00783ED9"/>
    <w:rsid w:val="00783F7A"/>
    <w:rsid w:val="0078407D"/>
    <w:rsid w:val="0078408D"/>
    <w:rsid w:val="00784107"/>
    <w:rsid w:val="007841CB"/>
    <w:rsid w:val="00784307"/>
    <w:rsid w:val="00784310"/>
    <w:rsid w:val="00784318"/>
    <w:rsid w:val="00784499"/>
    <w:rsid w:val="00784530"/>
    <w:rsid w:val="007845C8"/>
    <w:rsid w:val="007845F5"/>
    <w:rsid w:val="007845F9"/>
    <w:rsid w:val="00784748"/>
    <w:rsid w:val="00784813"/>
    <w:rsid w:val="007848E3"/>
    <w:rsid w:val="00784958"/>
    <w:rsid w:val="00784976"/>
    <w:rsid w:val="007849E1"/>
    <w:rsid w:val="00784AD7"/>
    <w:rsid w:val="00784BC3"/>
    <w:rsid w:val="00784C48"/>
    <w:rsid w:val="00784CFB"/>
    <w:rsid w:val="00784D24"/>
    <w:rsid w:val="00784DD8"/>
    <w:rsid w:val="00784DF7"/>
    <w:rsid w:val="00784E7B"/>
    <w:rsid w:val="00784EEE"/>
    <w:rsid w:val="00784F12"/>
    <w:rsid w:val="00784F34"/>
    <w:rsid w:val="00784FD8"/>
    <w:rsid w:val="00784FFB"/>
    <w:rsid w:val="007851A4"/>
    <w:rsid w:val="007852BC"/>
    <w:rsid w:val="007854F2"/>
    <w:rsid w:val="00785658"/>
    <w:rsid w:val="007856B1"/>
    <w:rsid w:val="00785795"/>
    <w:rsid w:val="007858DC"/>
    <w:rsid w:val="00785905"/>
    <w:rsid w:val="0078598A"/>
    <w:rsid w:val="00785A3E"/>
    <w:rsid w:val="00785A74"/>
    <w:rsid w:val="00785BE0"/>
    <w:rsid w:val="00785C0F"/>
    <w:rsid w:val="00785C37"/>
    <w:rsid w:val="00785CCD"/>
    <w:rsid w:val="00785D66"/>
    <w:rsid w:val="00785E75"/>
    <w:rsid w:val="00785E90"/>
    <w:rsid w:val="00785ED3"/>
    <w:rsid w:val="00785EF1"/>
    <w:rsid w:val="00785F98"/>
    <w:rsid w:val="007860E2"/>
    <w:rsid w:val="00786170"/>
    <w:rsid w:val="00786197"/>
    <w:rsid w:val="00786201"/>
    <w:rsid w:val="00786374"/>
    <w:rsid w:val="0078637E"/>
    <w:rsid w:val="007863A7"/>
    <w:rsid w:val="007863B1"/>
    <w:rsid w:val="007864CC"/>
    <w:rsid w:val="0078650D"/>
    <w:rsid w:val="00786556"/>
    <w:rsid w:val="007865E3"/>
    <w:rsid w:val="007868BE"/>
    <w:rsid w:val="007869D4"/>
    <w:rsid w:val="007869F9"/>
    <w:rsid w:val="00786B0F"/>
    <w:rsid w:val="00786B5C"/>
    <w:rsid w:val="00786BED"/>
    <w:rsid w:val="00786D2F"/>
    <w:rsid w:val="00786D33"/>
    <w:rsid w:val="00786D8E"/>
    <w:rsid w:val="00786E7A"/>
    <w:rsid w:val="00786F2A"/>
    <w:rsid w:val="00786FEC"/>
    <w:rsid w:val="00787025"/>
    <w:rsid w:val="007870C9"/>
    <w:rsid w:val="007870F3"/>
    <w:rsid w:val="0078714D"/>
    <w:rsid w:val="00787308"/>
    <w:rsid w:val="00787309"/>
    <w:rsid w:val="0078738D"/>
    <w:rsid w:val="0078742D"/>
    <w:rsid w:val="007875CE"/>
    <w:rsid w:val="00787635"/>
    <w:rsid w:val="007876D0"/>
    <w:rsid w:val="0078792A"/>
    <w:rsid w:val="00787A04"/>
    <w:rsid w:val="00787CE5"/>
    <w:rsid w:val="00787E82"/>
    <w:rsid w:val="00787EE8"/>
    <w:rsid w:val="0079000A"/>
    <w:rsid w:val="007900EA"/>
    <w:rsid w:val="00790300"/>
    <w:rsid w:val="007903A6"/>
    <w:rsid w:val="0079044D"/>
    <w:rsid w:val="0079053D"/>
    <w:rsid w:val="00790570"/>
    <w:rsid w:val="00790689"/>
    <w:rsid w:val="0079073E"/>
    <w:rsid w:val="0079085C"/>
    <w:rsid w:val="007908ED"/>
    <w:rsid w:val="007908FA"/>
    <w:rsid w:val="0079094C"/>
    <w:rsid w:val="0079094E"/>
    <w:rsid w:val="007909B7"/>
    <w:rsid w:val="00790AC5"/>
    <w:rsid w:val="00790AE2"/>
    <w:rsid w:val="00790DA2"/>
    <w:rsid w:val="00790DC1"/>
    <w:rsid w:val="00790E6B"/>
    <w:rsid w:val="00790FA4"/>
    <w:rsid w:val="00791174"/>
    <w:rsid w:val="007912AF"/>
    <w:rsid w:val="00791321"/>
    <w:rsid w:val="00791328"/>
    <w:rsid w:val="00791426"/>
    <w:rsid w:val="00791466"/>
    <w:rsid w:val="007915DA"/>
    <w:rsid w:val="0079162D"/>
    <w:rsid w:val="0079167B"/>
    <w:rsid w:val="0079173D"/>
    <w:rsid w:val="0079186C"/>
    <w:rsid w:val="00791992"/>
    <w:rsid w:val="00791B7F"/>
    <w:rsid w:val="00791B97"/>
    <w:rsid w:val="00791BD7"/>
    <w:rsid w:val="00791C33"/>
    <w:rsid w:val="00791D5C"/>
    <w:rsid w:val="00791D8E"/>
    <w:rsid w:val="00791DF2"/>
    <w:rsid w:val="00791E47"/>
    <w:rsid w:val="00791E4B"/>
    <w:rsid w:val="00791E7F"/>
    <w:rsid w:val="00791F82"/>
    <w:rsid w:val="007920E2"/>
    <w:rsid w:val="0079216F"/>
    <w:rsid w:val="00792202"/>
    <w:rsid w:val="00792288"/>
    <w:rsid w:val="007922C3"/>
    <w:rsid w:val="00792397"/>
    <w:rsid w:val="00792520"/>
    <w:rsid w:val="00792680"/>
    <w:rsid w:val="0079273B"/>
    <w:rsid w:val="00792751"/>
    <w:rsid w:val="00792782"/>
    <w:rsid w:val="007927FE"/>
    <w:rsid w:val="00792849"/>
    <w:rsid w:val="0079292D"/>
    <w:rsid w:val="00792976"/>
    <w:rsid w:val="00792ACA"/>
    <w:rsid w:val="00792B2A"/>
    <w:rsid w:val="00792CC6"/>
    <w:rsid w:val="00792CF7"/>
    <w:rsid w:val="00792DA4"/>
    <w:rsid w:val="00792EFA"/>
    <w:rsid w:val="00792F2A"/>
    <w:rsid w:val="00792F74"/>
    <w:rsid w:val="007930AF"/>
    <w:rsid w:val="007931FC"/>
    <w:rsid w:val="00793207"/>
    <w:rsid w:val="0079324A"/>
    <w:rsid w:val="007932BD"/>
    <w:rsid w:val="00793317"/>
    <w:rsid w:val="007933FC"/>
    <w:rsid w:val="007937C2"/>
    <w:rsid w:val="007938CC"/>
    <w:rsid w:val="00793ADB"/>
    <w:rsid w:val="00793C68"/>
    <w:rsid w:val="00793D2A"/>
    <w:rsid w:val="00793DB1"/>
    <w:rsid w:val="00793DBB"/>
    <w:rsid w:val="00793F9A"/>
    <w:rsid w:val="007940B0"/>
    <w:rsid w:val="007940EF"/>
    <w:rsid w:val="00794178"/>
    <w:rsid w:val="0079425C"/>
    <w:rsid w:val="0079431E"/>
    <w:rsid w:val="00794385"/>
    <w:rsid w:val="007943F7"/>
    <w:rsid w:val="0079440C"/>
    <w:rsid w:val="007944C9"/>
    <w:rsid w:val="00794536"/>
    <w:rsid w:val="007946AA"/>
    <w:rsid w:val="00794823"/>
    <w:rsid w:val="00794859"/>
    <w:rsid w:val="007948C8"/>
    <w:rsid w:val="007948FC"/>
    <w:rsid w:val="00794944"/>
    <w:rsid w:val="00794A16"/>
    <w:rsid w:val="00794A52"/>
    <w:rsid w:val="00794A88"/>
    <w:rsid w:val="00794B40"/>
    <w:rsid w:val="00794B7F"/>
    <w:rsid w:val="00794C19"/>
    <w:rsid w:val="00794D79"/>
    <w:rsid w:val="00794E62"/>
    <w:rsid w:val="00794EF3"/>
    <w:rsid w:val="00794F3F"/>
    <w:rsid w:val="00794F43"/>
    <w:rsid w:val="00795011"/>
    <w:rsid w:val="00795023"/>
    <w:rsid w:val="0079513A"/>
    <w:rsid w:val="007952A9"/>
    <w:rsid w:val="0079539C"/>
    <w:rsid w:val="00795494"/>
    <w:rsid w:val="007954E0"/>
    <w:rsid w:val="007955A4"/>
    <w:rsid w:val="0079562D"/>
    <w:rsid w:val="00795694"/>
    <w:rsid w:val="0079576D"/>
    <w:rsid w:val="00795808"/>
    <w:rsid w:val="00795825"/>
    <w:rsid w:val="007958F4"/>
    <w:rsid w:val="007958FA"/>
    <w:rsid w:val="00795919"/>
    <w:rsid w:val="00795CF3"/>
    <w:rsid w:val="00795EC4"/>
    <w:rsid w:val="00795EED"/>
    <w:rsid w:val="00795F52"/>
    <w:rsid w:val="00796093"/>
    <w:rsid w:val="007961EB"/>
    <w:rsid w:val="007962CD"/>
    <w:rsid w:val="0079631E"/>
    <w:rsid w:val="00796350"/>
    <w:rsid w:val="007964E8"/>
    <w:rsid w:val="0079650F"/>
    <w:rsid w:val="00796514"/>
    <w:rsid w:val="0079652F"/>
    <w:rsid w:val="0079681A"/>
    <w:rsid w:val="00796B1F"/>
    <w:rsid w:val="00796BBB"/>
    <w:rsid w:val="00796FBC"/>
    <w:rsid w:val="00796FF0"/>
    <w:rsid w:val="0079708E"/>
    <w:rsid w:val="00797098"/>
    <w:rsid w:val="00797111"/>
    <w:rsid w:val="007971A4"/>
    <w:rsid w:val="0079721B"/>
    <w:rsid w:val="0079746D"/>
    <w:rsid w:val="00797483"/>
    <w:rsid w:val="007975D2"/>
    <w:rsid w:val="0079763A"/>
    <w:rsid w:val="0079773E"/>
    <w:rsid w:val="0079779B"/>
    <w:rsid w:val="007977B3"/>
    <w:rsid w:val="007977D3"/>
    <w:rsid w:val="00797880"/>
    <w:rsid w:val="007978AB"/>
    <w:rsid w:val="00797929"/>
    <w:rsid w:val="00797A18"/>
    <w:rsid w:val="00797A2E"/>
    <w:rsid w:val="00797BED"/>
    <w:rsid w:val="00797E0E"/>
    <w:rsid w:val="00797E90"/>
    <w:rsid w:val="00797EB3"/>
    <w:rsid w:val="00797F43"/>
    <w:rsid w:val="00797FB5"/>
    <w:rsid w:val="007A00B4"/>
    <w:rsid w:val="007A02BF"/>
    <w:rsid w:val="007A0340"/>
    <w:rsid w:val="007A0377"/>
    <w:rsid w:val="007A065E"/>
    <w:rsid w:val="007A06B4"/>
    <w:rsid w:val="007A07BD"/>
    <w:rsid w:val="007A0870"/>
    <w:rsid w:val="007A08C4"/>
    <w:rsid w:val="007A08D3"/>
    <w:rsid w:val="007A09AA"/>
    <w:rsid w:val="007A0B00"/>
    <w:rsid w:val="007A0B1E"/>
    <w:rsid w:val="007A0B71"/>
    <w:rsid w:val="007A0E78"/>
    <w:rsid w:val="007A0F02"/>
    <w:rsid w:val="007A0F09"/>
    <w:rsid w:val="007A0FBB"/>
    <w:rsid w:val="007A0FF7"/>
    <w:rsid w:val="007A10B4"/>
    <w:rsid w:val="007A10D9"/>
    <w:rsid w:val="007A11AC"/>
    <w:rsid w:val="007A11E7"/>
    <w:rsid w:val="007A1316"/>
    <w:rsid w:val="007A1345"/>
    <w:rsid w:val="007A14D0"/>
    <w:rsid w:val="007A14FC"/>
    <w:rsid w:val="007A15D7"/>
    <w:rsid w:val="007A15DB"/>
    <w:rsid w:val="007A167B"/>
    <w:rsid w:val="007A17CA"/>
    <w:rsid w:val="007A18FF"/>
    <w:rsid w:val="007A195C"/>
    <w:rsid w:val="007A1965"/>
    <w:rsid w:val="007A19A5"/>
    <w:rsid w:val="007A1B5C"/>
    <w:rsid w:val="007A1C31"/>
    <w:rsid w:val="007A1C87"/>
    <w:rsid w:val="007A1C90"/>
    <w:rsid w:val="007A1CC8"/>
    <w:rsid w:val="007A1CE4"/>
    <w:rsid w:val="007A1DB4"/>
    <w:rsid w:val="007A1E73"/>
    <w:rsid w:val="007A1E7A"/>
    <w:rsid w:val="007A1F0A"/>
    <w:rsid w:val="007A1F2A"/>
    <w:rsid w:val="007A2158"/>
    <w:rsid w:val="007A2259"/>
    <w:rsid w:val="007A229E"/>
    <w:rsid w:val="007A22E0"/>
    <w:rsid w:val="007A2360"/>
    <w:rsid w:val="007A2501"/>
    <w:rsid w:val="007A251D"/>
    <w:rsid w:val="007A2523"/>
    <w:rsid w:val="007A2551"/>
    <w:rsid w:val="007A2618"/>
    <w:rsid w:val="007A26AC"/>
    <w:rsid w:val="007A276D"/>
    <w:rsid w:val="007A27F2"/>
    <w:rsid w:val="007A28B3"/>
    <w:rsid w:val="007A28E6"/>
    <w:rsid w:val="007A2A71"/>
    <w:rsid w:val="007A2BE3"/>
    <w:rsid w:val="007A2DF8"/>
    <w:rsid w:val="007A2E04"/>
    <w:rsid w:val="007A2EA8"/>
    <w:rsid w:val="007A2F0C"/>
    <w:rsid w:val="007A2F1B"/>
    <w:rsid w:val="007A2FE8"/>
    <w:rsid w:val="007A2FEC"/>
    <w:rsid w:val="007A305F"/>
    <w:rsid w:val="007A3178"/>
    <w:rsid w:val="007A3187"/>
    <w:rsid w:val="007A3198"/>
    <w:rsid w:val="007A32E9"/>
    <w:rsid w:val="007A3332"/>
    <w:rsid w:val="007A33C4"/>
    <w:rsid w:val="007A3400"/>
    <w:rsid w:val="007A342C"/>
    <w:rsid w:val="007A3575"/>
    <w:rsid w:val="007A3618"/>
    <w:rsid w:val="007A36A1"/>
    <w:rsid w:val="007A38F0"/>
    <w:rsid w:val="007A395C"/>
    <w:rsid w:val="007A3976"/>
    <w:rsid w:val="007A3A11"/>
    <w:rsid w:val="007A3AA3"/>
    <w:rsid w:val="007A3C93"/>
    <w:rsid w:val="007A3CBD"/>
    <w:rsid w:val="007A3D25"/>
    <w:rsid w:val="007A3DC0"/>
    <w:rsid w:val="007A3EAA"/>
    <w:rsid w:val="007A3F39"/>
    <w:rsid w:val="007A408B"/>
    <w:rsid w:val="007A4141"/>
    <w:rsid w:val="007A415F"/>
    <w:rsid w:val="007A4271"/>
    <w:rsid w:val="007A42E9"/>
    <w:rsid w:val="007A43DD"/>
    <w:rsid w:val="007A45BC"/>
    <w:rsid w:val="007A461B"/>
    <w:rsid w:val="007A4778"/>
    <w:rsid w:val="007A47B7"/>
    <w:rsid w:val="007A481D"/>
    <w:rsid w:val="007A4897"/>
    <w:rsid w:val="007A48CA"/>
    <w:rsid w:val="007A4A30"/>
    <w:rsid w:val="007A4A59"/>
    <w:rsid w:val="007A4AB7"/>
    <w:rsid w:val="007A4AFD"/>
    <w:rsid w:val="007A4B4A"/>
    <w:rsid w:val="007A4B9E"/>
    <w:rsid w:val="007A4C84"/>
    <w:rsid w:val="007A4CDB"/>
    <w:rsid w:val="007A4D1B"/>
    <w:rsid w:val="007A4D24"/>
    <w:rsid w:val="007A4DF5"/>
    <w:rsid w:val="007A4FA7"/>
    <w:rsid w:val="007A5052"/>
    <w:rsid w:val="007A5072"/>
    <w:rsid w:val="007A5162"/>
    <w:rsid w:val="007A51B0"/>
    <w:rsid w:val="007A52A4"/>
    <w:rsid w:val="007A5558"/>
    <w:rsid w:val="007A555C"/>
    <w:rsid w:val="007A5611"/>
    <w:rsid w:val="007A57D6"/>
    <w:rsid w:val="007A57E3"/>
    <w:rsid w:val="007A57EF"/>
    <w:rsid w:val="007A584A"/>
    <w:rsid w:val="007A58B3"/>
    <w:rsid w:val="007A58F0"/>
    <w:rsid w:val="007A591C"/>
    <w:rsid w:val="007A59FE"/>
    <w:rsid w:val="007A5AD0"/>
    <w:rsid w:val="007A5BC2"/>
    <w:rsid w:val="007A5C26"/>
    <w:rsid w:val="007A5C28"/>
    <w:rsid w:val="007A5C96"/>
    <w:rsid w:val="007A5CB5"/>
    <w:rsid w:val="007A5CE7"/>
    <w:rsid w:val="007A5D72"/>
    <w:rsid w:val="007A5DC8"/>
    <w:rsid w:val="007A5E41"/>
    <w:rsid w:val="007A5E52"/>
    <w:rsid w:val="007A5ECD"/>
    <w:rsid w:val="007A62BE"/>
    <w:rsid w:val="007A64A6"/>
    <w:rsid w:val="007A64BF"/>
    <w:rsid w:val="007A64C2"/>
    <w:rsid w:val="007A68C5"/>
    <w:rsid w:val="007A691B"/>
    <w:rsid w:val="007A6924"/>
    <w:rsid w:val="007A693D"/>
    <w:rsid w:val="007A6981"/>
    <w:rsid w:val="007A698F"/>
    <w:rsid w:val="007A69C3"/>
    <w:rsid w:val="007A6A8E"/>
    <w:rsid w:val="007A6B8D"/>
    <w:rsid w:val="007A6BAA"/>
    <w:rsid w:val="007A6BBC"/>
    <w:rsid w:val="007A6BE6"/>
    <w:rsid w:val="007A6C88"/>
    <w:rsid w:val="007A6EFE"/>
    <w:rsid w:val="007A6F59"/>
    <w:rsid w:val="007A70FC"/>
    <w:rsid w:val="007A71CA"/>
    <w:rsid w:val="007A7236"/>
    <w:rsid w:val="007A72C1"/>
    <w:rsid w:val="007A734C"/>
    <w:rsid w:val="007A7369"/>
    <w:rsid w:val="007A7387"/>
    <w:rsid w:val="007A753E"/>
    <w:rsid w:val="007A760F"/>
    <w:rsid w:val="007A77F4"/>
    <w:rsid w:val="007A7879"/>
    <w:rsid w:val="007A78B2"/>
    <w:rsid w:val="007A7978"/>
    <w:rsid w:val="007A79D4"/>
    <w:rsid w:val="007A7A67"/>
    <w:rsid w:val="007A7BB4"/>
    <w:rsid w:val="007A7CDE"/>
    <w:rsid w:val="007A7D73"/>
    <w:rsid w:val="007A7DA6"/>
    <w:rsid w:val="007A7F37"/>
    <w:rsid w:val="007A7F51"/>
    <w:rsid w:val="007B0074"/>
    <w:rsid w:val="007B010C"/>
    <w:rsid w:val="007B0119"/>
    <w:rsid w:val="007B0265"/>
    <w:rsid w:val="007B0272"/>
    <w:rsid w:val="007B02BA"/>
    <w:rsid w:val="007B0425"/>
    <w:rsid w:val="007B05B2"/>
    <w:rsid w:val="007B066A"/>
    <w:rsid w:val="007B06FE"/>
    <w:rsid w:val="007B075D"/>
    <w:rsid w:val="007B0800"/>
    <w:rsid w:val="007B080F"/>
    <w:rsid w:val="007B09DB"/>
    <w:rsid w:val="007B0A02"/>
    <w:rsid w:val="007B0B2E"/>
    <w:rsid w:val="007B0B6A"/>
    <w:rsid w:val="007B0C9E"/>
    <w:rsid w:val="007B0CDD"/>
    <w:rsid w:val="007B0E0D"/>
    <w:rsid w:val="007B0E73"/>
    <w:rsid w:val="007B0F1E"/>
    <w:rsid w:val="007B0F3C"/>
    <w:rsid w:val="007B105A"/>
    <w:rsid w:val="007B10F1"/>
    <w:rsid w:val="007B1102"/>
    <w:rsid w:val="007B1146"/>
    <w:rsid w:val="007B1165"/>
    <w:rsid w:val="007B11AD"/>
    <w:rsid w:val="007B1237"/>
    <w:rsid w:val="007B130C"/>
    <w:rsid w:val="007B13F1"/>
    <w:rsid w:val="007B1436"/>
    <w:rsid w:val="007B156E"/>
    <w:rsid w:val="007B1573"/>
    <w:rsid w:val="007B16C1"/>
    <w:rsid w:val="007B16D2"/>
    <w:rsid w:val="007B16E0"/>
    <w:rsid w:val="007B1789"/>
    <w:rsid w:val="007B1940"/>
    <w:rsid w:val="007B1955"/>
    <w:rsid w:val="007B1966"/>
    <w:rsid w:val="007B1A18"/>
    <w:rsid w:val="007B1A38"/>
    <w:rsid w:val="007B1A90"/>
    <w:rsid w:val="007B1AAF"/>
    <w:rsid w:val="007B1AC8"/>
    <w:rsid w:val="007B1B78"/>
    <w:rsid w:val="007B1B95"/>
    <w:rsid w:val="007B1BAC"/>
    <w:rsid w:val="007B1C6F"/>
    <w:rsid w:val="007B1F16"/>
    <w:rsid w:val="007B20DA"/>
    <w:rsid w:val="007B2149"/>
    <w:rsid w:val="007B21A8"/>
    <w:rsid w:val="007B223B"/>
    <w:rsid w:val="007B2300"/>
    <w:rsid w:val="007B24F2"/>
    <w:rsid w:val="007B24FC"/>
    <w:rsid w:val="007B25F9"/>
    <w:rsid w:val="007B26A2"/>
    <w:rsid w:val="007B27E1"/>
    <w:rsid w:val="007B281B"/>
    <w:rsid w:val="007B28CF"/>
    <w:rsid w:val="007B2938"/>
    <w:rsid w:val="007B29BB"/>
    <w:rsid w:val="007B2A1A"/>
    <w:rsid w:val="007B2A21"/>
    <w:rsid w:val="007B2B17"/>
    <w:rsid w:val="007B2BF9"/>
    <w:rsid w:val="007B2C92"/>
    <w:rsid w:val="007B2CB0"/>
    <w:rsid w:val="007B2CFC"/>
    <w:rsid w:val="007B2D5F"/>
    <w:rsid w:val="007B2E1A"/>
    <w:rsid w:val="007B2E69"/>
    <w:rsid w:val="007B2EE4"/>
    <w:rsid w:val="007B2EF0"/>
    <w:rsid w:val="007B2F9A"/>
    <w:rsid w:val="007B2FBB"/>
    <w:rsid w:val="007B3115"/>
    <w:rsid w:val="007B31B5"/>
    <w:rsid w:val="007B326B"/>
    <w:rsid w:val="007B32A9"/>
    <w:rsid w:val="007B33A5"/>
    <w:rsid w:val="007B3414"/>
    <w:rsid w:val="007B3488"/>
    <w:rsid w:val="007B3498"/>
    <w:rsid w:val="007B3601"/>
    <w:rsid w:val="007B371F"/>
    <w:rsid w:val="007B37BC"/>
    <w:rsid w:val="007B3827"/>
    <w:rsid w:val="007B38A2"/>
    <w:rsid w:val="007B3A41"/>
    <w:rsid w:val="007B3B5F"/>
    <w:rsid w:val="007B3D4A"/>
    <w:rsid w:val="007B3E48"/>
    <w:rsid w:val="007B3E70"/>
    <w:rsid w:val="007B3FBC"/>
    <w:rsid w:val="007B3FD6"/>
    <w:rsid w:val="007B4062"/>
    <w:rsid w:val="007B40FF"/>
    <w:rsid w:val="007B4134"/>
    <w:rsid w:val="007B418D"/>
    <w:rsid w:val="007B41BC"/>
    <w:rsid w:val="007B41CC"/>
    <w:rsid w:val="007B4216"/>
    <w:rsid w:val="007B4314"/>
    <w:rsid w:val="007B4425"/>
    <w:rsid w:val="007B46A8"/>
    <w:rsid w:val="007B48DC"/>
    <w:rsid w:val="007B48E4"/>
    <w:rsid w:val="007B4928"/>
    <w:rsid w:val="007B4A80"/>
    <w:rsid w:val="007B4A9C"/>
    <w:rsid w:val="007B4B5A"/>
    <w:rsid w:val="007B4B81"/>
    <w:rsid w:val="007B4D7A"/>
    <w:rsid w:val="007B4D9E"/>
    <w:rsid w:val="007B4EC8"/>
    <w:rsid w:val="007B4F3D"/>
    <w:rsid w:val="007B4F6E"/>
    <w:rsid w:val="007B4FE9"/>
    <w:rsid w:val="007B500B"/>
    <w:rsid w:val="007B5081"/>
    <w:rsid w:val="007B511A"/>
    <w:rsid w:val="007B5193"/>
    <w:rsid w:val="007B51BD"/>
    <w:rsid w:val="007B51E0"/>
    <w:rsid w:val="007B5217"/>
    <w:rsid w:val="007B5370"/>
    <w:rsid w:val="007B53D1"/>
    <w:rsid w:val="007B53D7"/>
    <w:rsid w:val="007B5533"/>
    <w:rsid w:val="007B5616"/>
    <w:rsid w:val="007B56EA"/>
    <w:rsid w:val="007B570C"/>
    <w:rsid w:val="007B5740"/>
    <w:rsid w:val="007B57CB"/>
    <w:rsid w:val="007B5939"/>
    <w:rsid w:val="007B594D"/>
    <w:rsid w:val="007B5AAA"/>
    <w:rsid w:val="007B5B3C"/>
    <w:rsid w:val="007B5B70"/>
    <w:rsid w:val="007B5BBF"/>
    <w:rsid w:val="007B5BCA"/>
    <w:rsid w:val="007B5D27"/>
    <w:rsid w:val="007B5D77"/>
    <w:rsid w:val="007B5F67"/>
    <w:rsid w:val="007B6065"/>
    <w:rsid w:val="007B608F"/>
    <w:rsid w:val="007B60FE"/>
    <w:rsid w:val="007B6203"/>
    <w:rsid w:val="007B6234"/>
    <w:rsid w:val="007B6257"/>
    <w:rsid w:val="007B62CE"/>
    <w:rsid w:val="007B6301"/>
    <w:rsid w:val="007B64A6"/>
    <w:rsid w:val="007B6613"/>
    <w:rsid w:val="007B6664"/>
    <w:rsid w:val="007B66F5"/>
    <w:rsid w:val="007B6755"/>
    <w:rsid w:val="007B677C"/>
    <w:rsid w:val="007B67A3"/>
    <w:rsid w:val="007B67B7"/>
    <w:rsid w:val="007B6848"/>
    <w:rsid w:val="007B6949"/>
    <w:rsid w:val="007B69A0"/>
    <w:rsid w:val="007B69D2"/>
    <w:rsid w:val="007B69D4"/>
    <w:rsid w:val="007B6C90"/>
    <w:rsid w:val="007B6CCD"/>
    <w:rsid w:val="007B6CDD"/>
    <w:rsid w:val="007B6E53"/>
    <w:rsid w:val="007B701C"/>
    <w:rsid w:val="007B7120"/>
    <w:rsid w:val="007B716C"/>
    <w:rsid w:val="007B72ED"/>
    <w:rsid w:val="007B7304"/>
    <w:rsid w:val="007B73D5"/>
    <w:rsid w:val="007B73D8"/>
    <w:rsid w:val="007B74D0"/>
    <w:rsid w:val="007B74DD"/>
    <w:rsid w:val="007B74FC"/>
    <w:rsid w:val="007B75B7"/>
    <w:rsid w:val="007B76CB"/>
    <w:rsid w:val="007B76D3"/>
    <w:rsid w:val="007B776C"/>
    <w:rsid w:val="007B77C5"/>
    <w:rsid w:val="007B7810"/>
    <w:rsid w:val="007B78A8"/>
    <w:rsid w:val="007B78C1"/>
    <w:rsid w:val="007B7971"/>
    <w:rsid w:val="007B7B3F"/>
    <w:rsid w:val="007B7C80"/>
    <w:rsid w:val="007B7DBB"/>
    <w:rsid w:val="007B7DD4"/>
    <w:rsid w:val="007B7EC2"/>
    <w:rsid w:val="007B7EC8"/>
    <w:rsid w:val="007B7EE7"/>
    <w:rsid w:val="007B7EF0"/>
    <w:rsid w:val="007B7F12"/>
    <w:rsid w:val="007C001A"/>
    <w:rsid w:val="007C0081"/>
    <w:rsid w:val="007C00DA"/>
    <w:rsid w:val="007C018D"/>
    <w:rsid w:val="007C037A"/>
    <w:rsid w:val="007C040C"/>
    <w:rsid w:val="007C0422"/>
    <w:rsid w:val="007C043A"/>
    <w:rsid w:val="007C04DB"/>
    <w:rsid w:val="007C04E4"/>
    <w:rsid w:val="007C05A1"/>
    <w:rsid w:val="007C06EA"/>
    <w:rsid w:val="007C0997"/>
    <w:rsid w:val="007C0AD6"/>
    <w:rsid w:val="007C0AE0"/>
    <w:rsid w:val="007C0B1C"/>
    <w:rsid w:val="007C0B6C"/>
    <w:rsid w:val="007C0BBF"/>
    <w:rsid w:val="007C0BFC"/>
    <w:rsid w:val="007C0C9D"/>
    <w:rsid w:val="007C0CB3"/>
    <w:rsid w:val="007C0DA6"/>
    <w:rsid w:val="007C0DE2"/>
    <w:rsid w:val="007C0E1A"/>
    <w:rsid w:val="007C0E36"/>
    <w:rsid w:val="007C0F07"/>
    <w:rsid w:val="007C0F5C"/>
    <w:rsid w:val="007C0F96"/>
    <w:rsid w:val="007C1057"/>
    <w:rsid w:val="007C1215"/>
    <w:rsid w:val="007C1275"/>
    <w:rsid w:val="007C136A"/>
    <w:rsid w:val="007C13B9"/>
    <w:rsid w:val="007C148D"/>
    <w:rsid w:val="007C152C"/>
    <w:rsid w:val="007C1564"/>
    <w:rsid w:val="007C15D5"/>
    <w:rsid w:val="007C16D0"/>
    <w:rsid w:val="007C1874"/>
    <w:rsid w:val="007C18AF"/>
    <w:rsid w:val="007C18D3"/>
    <w:rsid w:val="007C191D"/>
    <w:rsid w:val="007C192E"/>
    <w:rsid w:val="007C1C3A"/>
    <w:rsid w:val="007C1D96"/>
    <w:rsid w:val="007C1DBD"/>
    <w:rsid w:val="007C1DD7"/>
    <w:rsid w:val="007C24B8"/>
    <w:rsid w:val="007C251E"/>
    <w:rsid w:val="007C255E"/>
    <w:rsid w:val="007C263C"/>
    <w:rsid w:val="007C26F7"/>
    <w:rsid w:val="007C2702"/>
    <w:rsid w:val="007C2739"/>
    <w:rsid w:val="007C278F"/>
    <w:rsid w:val="007C279D"/>
    <w:rsid w:val="007C27B9"/>
    <w:rsid w:val="007C27EC"/>
    <w:rsid w:val="007C2831"/>
    <w:rsid w:val="007C2882"/>
    <w:rsid w:val="007C2B14"/>
    <w:rsid w:val="007C2B76"/>
    <w:rsid w:val="007C2C9D"/>
    <w:rsid w:val="007C2E2C"/>
    <w:rsid w:val="007C2ECE"/>
    <w:rsid w:val="007C2F8F"/>
    <w:rsid w:val="007C312C"/>
    <w:rsid w:val="007C321B"/>
    <w:rsid w:val="007C32B1"/>
    <w:rsid w:val="007C32ED"/>
    <w:rsid w:val="007C330A"/>
    <w:rsid w:val="007C336E"/>
    <w:rsid w:val="007C3575"/>
    <w:rsid w:val="007C363D"/>
    <w:rsid w:val="007C36A2"/>
    <w:rsid w:val="007C373D"/>
    <w:rsid w:val="007C3799"/>
    <w:rsid w:val="007C382E"/>
    <w:rsid w:val="007C383A"/>
    <w:rsid w:val="007C384A"/>
    <w:rsid w:val="007C3922"/>
    <w:rsid w:val="007C394A"/>
    <w:rsid w:val="007C39BE"/>
    <w:rsid w:val="007C39CA"/>
    <w:rsid w:val="007C3AAD"/>
    <w:rsid w:val="007C3BC4"/>
    <w:rsid w:val="007C3CE1"/>
    <w:rsid w:val="007C3D34"/>
    <w:rsid w:val="007C3D90"/>
    <w:rsid w:val="007C3EC4"/>
    <w:rsid w:val="007C3F42"/>
    <w:rsid w:val="007C3F64"/>
    <w:rsid w:val="007C3FE8"/>
    <w:rsid w:val="007C4046"/>
    <w:rsid w:val="007C41C6"/>
    <w:rsid w:val="007C429F"/>
    <w:rsid w:val="007C42FA"/>
    <w:rsid w:val="007C4311"/>
    <w:rsid w:val="007C4386"/>
    <w:rsid w:val="007C43A3"/>
    <w:rsid w:val="007C475D"/>
    <w:rsid w:val="007C4771"/>
    <w:rsid w:val="007C477B"/>
    <w:rsid w:val="007C4840"/>
    <w:rsid w:val="007C4A7B"/>
    <w:rsid w:val="007C4B29"/>
    <w:rsid w:val="007C4B79"/>
    <w:rsid w:val="007C4BB5"/>
    <w:rsid w:val="007C4D1A"/>
    <w:rsid w:val="007C4D85"/>
    <w:rsid w:val="007C4E83"/>
    <w:rsid w:val="007C4E88"/>
    <w:rsid w:val="007C4F02"/>
    <w:rsid w:val="007C4F3B"/>
    <w:rsid w:val="007C50A2"/>
    <w:rsid w:val="007C50E6"/>
    <w:rsid w:val="007C5151"/>
    <w:rsid w:val="007C5207"/>
    <w:rsid w:val="007C5212"/>
    <w:rsid w:val="007C52DE"/>
    <w:rsid w:val="007C54AA"/>
    <w:rsid w:val="007C55B4"/>
    <w:rsid w:val="007C55D5"/>
    <w:rsid w:val="007C56AE"/>
    <w:rsid w:val="007C58DB"/>
    <w:rsid w:val="007C5926"/>
    <w:rsid w:val="007C59F2"/>
    <w:rsid w:val="007C5A0D"/>
    <w:rsid w:val="007C5D58"/>
    <w:rsid w:val="007C5D5B"/>
    <w:rsid w:val="007C5D6F"/>
    <w:rsid w:val="007C5D7D"/>
    <w:rsid w:val="007C5D8B"/>
    <w:rsid w:val="007C5DD9"/>
    <w:rsid w:val="007C5F31"/>
    <w:rsid w:val="007C5F6F"/>
    <w:rsid w:val="007C5FA6"/>
    <w:rsid w:val="007C610D"/>
    <w:rsid w:val="007C616A"/>
    <w:rsid w:val="007C62DA"/>
    <w:rsid w:val="007C6342"/>
    <w:rsid w:val="007C642E"/>
    <w:rsid w:val="007C64A3"/>
    <w:rsid w:val="007C6506"/>
    <w:rsid w:val="007C652A"/>
    <w:rsid w:val="007C6543"/>
    <w:rsid w:val="007C66D1"/>
    <w:rsid w:val="007C6821"/>
    <w:rsid w:val="007C68D3"/>
    <w:rsid w:val="007C695E"/>
    <w:rsid w:val="007C6983"/>
    <w:rsid w:val="007C6BE1"/>
    <w:rsid w:val="007C6FC7"/>
    <w:rsid w:val="007C711A"/>
    <w:rsid w:val="007C7225"/>
    <w:rsid w:val="007C7238"/>
    <w:rsid w:val="007C725E"/>
    <w:rsid w:val="007C732A"/>
    <w:rsid w:val="007C73F7"/>
    <w:rsid w:val="007C7425"/>
    <w:rsid w:val="007C7447"/>
    <w:rsid w:val="007C75F6"/>
    <w:rsid w:val="007C7694"/>
    <w:rsid w:val="007C769F"/>
    <w:rsid w:val="007C7713"/>
    <w:rsid w:val="007C7764"/>
    <w:rsid w:val="007C77BF"/>
    <w:rsid w:val="007C79A0"/>
    <w:rsid w:val="007C7A32"/>
    <w:rsid w:val="007C7A8F"/>
    <w:rsid w:val="007C7A97"/>
    <w:rsid w:val="007C7B0E"/>
    <w:rsid w:val="007C7C27"/>
    <w:rsid w:val="007C7C61"/>
    <w:rsid w:val="007C7C9E"/>
    <w:rsid w:val="007C7CC2"/>
    <w:rsid w:val="007C7D52"/>
    <w:rsid w:val="007C7E3C"/>
    <w:rsid w:val="007C7EE8"/>
    <w:rsid w:val="007C7F6C"/>
    <w:rsid w:val="007C7FDF"/>
    <w:rsid w:val="007D008D"/>
    <w:rsid w:val="007D01A0"/>
    <w:rsid w:val="007D01FA"/>
    <w:rsid w:val="007D0208"/>
    <w:rsid w:val="007D0325"/>
    <w:rsid w:val="007D0332"/>
    <w:rsid w:val="007D03B0"/>
    <w:rsid w:val="007D03EF"/>
    <w:rsid w:val="007D04CE"/>
    <w:rsid w:val="007D05F2"/>
    <w:rsid w:val="007D0603"/>
    <w:rsid w:val="007D0696"/>
    <w:rsid w:val="007D0717"/>
    <w:rsid w:val="007D0752"/>
    <w:rsid w:val="007D08FC"/>
    <w:rsid w:val="007D0922"/>
    <w:rsid w:val="007D09D3"/>
    <w:rsid w:val="007D0A00"/>
    <w:rsid w:val="007D0C09"/>
    <w:rsid w:val="007D0C36"/>
    <w:rsid w:val="007D0C76"/>
    <w:rsid w:val="007D0D66"/>
    <w:rsid w:val="007D0D87"/>
    <w:rsid w:val="007D0D96"/>
    <w:rsid w:val="007D0E1C"/>
    <w:rsid w:val="007D0E22"/>
    <w:rsid w:val="007D0EC2"/>
    <w:rsid w:val="007D0EC3"/>
    <w:rsid w:val="007D0F0E"/>
    <w:rsid w:val="007D10B4"/>
    <w:rsid w:val="007D10B6"/>
    <w:rsid w:val="007D11E3"/>
    <w:rsid w:val="007D1201"/>
    <w:rsid w:val="007D12D5"/>
    <w:rsid w:val="007D133F"/>
    <w:rsid w:val="007D135E"/>
    <w:rsid w:val="007D148D"/>
    <w:rsid w:val="007D14DB"/>
    <w:rsid w:val="007D155E"/>
    <w:rsid w:val="007D15AE"/>
    <w:rsid w:val="007D16B3"/>
    <w:rsid w:val="007D16B6"/>
    <w:rsid w:val="007D18F5"/>
    <w:rsid w:val="007D19DC"/>
    <w:rsid w:val="007D1C33"/>
    <w:rsid w:val="007D1CC3"/>
    <w:rsid w:val="007D1D4B"/>
    <w:rsid w:val="007D1D7D"/>
    <w:rsid w:val="007D1E14"/>
    <w:rsid w:val="007D1E63"/>
    <w:rsid w:val="007D1ECF"/>
    <w:rsid w:val="007D1F21"/>
    <w:rsid w:val="007D1F90"/>
    <w:rsid w:val="007D2005"/>
    <w:rsid w:val="007D2062"/>
    <w:rsid w:val="007D2110"/>
    <w:rsid w:val="007D22C6"/>
    <w:rsid w:val="007D22D9"/>
    <w:rsid w:val="007D22FF"/>
    <w:rsid w:val="007D2366"/>
    <w:rsid w:val="007D241A"/>
    <w:rsid w:val="007D245A"/>
    <w:rsid w:val="007D24B4"/>
    <w:rsid w:val="007D24D7"/>
    <w:rsid w:val="007D2555"/>
    <w:rsid w:val="007D2575"/>
    <w:rsid w:val="007D25AE"/>
    <w:rsid w:val="007D2615"/>
    <w:rsid w:val="007D2626"/>
    <w:rsid w:val="007D26D7"/>
    <w:rsid w:val="007D2763"/>
    <w:rsid w:val="007D27BD"/>
    <w:rsid w:val="007D27E4"/>
    <w:rsid w:val="007D28D9"/>
    <w:rsid w:val="007D28EA"/>
    <w:rsid w:val="007D290C"/>
    <w:rsid w:val="007D2958"/>
    <w:rsid w:val="007D29A8"/>
    <w:rsid w:val="007D29EF"/>
    <w:rsid w:val="007D2B59"/>
    <w:rsid w:val="007D2BDD"/>
    <w:rsid w:val="007D2C55"/>
    <w:rsid w:val="007D2C90"/>
    <w:rsid w:val="007D2D10"/>
    <w:rsid w:val="007D2E8F"/>
    <w:rsid w:val="007D2ED7"/>
    <w:rsid w:val="007D2F50"/>
    <w:rsid w:val="007D2FFC"/>
    <w:rsid w:val="007D300F"/>
    <w:rsid w:val="007D3041"/>
    <w:rsid w:val="007D3068"/>
    <w:rsid w:val="007D3091"/>
    <w:rsid w:val="007D3122"/>
    <w:rsid w:val="007D31E3"/>
    <w:rsid w:val="007D3233"/>
    <w:rsid w:val="007D3290"/>
    <w:rsid w:val="007D32FC"/>
    <w:rsid w:val="007D3351"/>
    <w:rsid w:val="007D336F"/>
    <w:rsid w:val="007D350A"/>
    <w:rsid w:val="007D35B9"/>
    <w:rsid w:val="007D35CB"/>
    <w:rsid w:val="007D35F0"/>
    <w:rsid w:val="007D3661"/>
    <w:rsid w:val="007D3753"/>
    <w:rsid w:val="007D378B"/>
    <w:rsid w:val="007D37D4"/>
    <w:rsid w:val="007D37F5"/>
    <w:rsid w:val="007D3810"/>
    <w:rsid w:val="007D3ACA"/>
    <w:rsid w:val="007D3AE1"/>
    <w:rsid w:val="007D3B71"/>
    <w:rsid w:val="007D3D61"/>
    <w:rsid w:val="007D3D92"/>
    <w:rsid w:val="007D3D93"/>
    <w:rsid w:val="007D3F27"/>
    <w:rsid w:val="007D3F90"/>
    <w:rsid w:val="007D3FF6"/>
    <w:rsid w:val="007D4107"/>
    <w:rsid w:val="007D41EB"/>
    <w:rsid w:val="007D4257"/>
    <w:rsid w:val="007D4287"/>
    <w:rsid w:val="007D434B"/>
    <w:rsid w:val="007D4352"/>
    <w:rsid w:val="007D4468"/>
    <w:rsid w:val="007D4523"/>
    <w:rsid w:val="007D4646"/>
    <w:rsid w:val="007D46DA"/>
    <w:rsid w:val="007D4702"/>
    <w:rsid w:val="007D4814"/>
    <w:rsid w:val="007D487A"/>
    <w:rsid w:val="007D499D"/>
    <w:rsid w:val="007D4A1F"/>
    <w:rsid w:val="007D4B06"/>
    <w:rsid w:val="007D4B67"/>
    <w:rsid w:val="007D4C03"/>
    <w:rsid w:val="007D4EB7"/>
    <w:rsid w:val="007D4F1A"/>
    <w:rsid w:val="007D4FDE"/>
    <w:rsid w:val="007D4FFF"/>
    <w:rsid w:val="007D5003"/>
    <w:rsid w:val="007D50FC"/>
    <w:rsid w:val="007D51DB"/>
    <w:rsid w:val="007D51E2"/>
    <w:rsid w:val="007D51ED"/>
    <w:rsid w:val="007D5247"/>
    <w:rsid w:val="007D524C"/>
    <w:rsid w:val="007D5262"/>
    <w:rsid w:val="007D5403"/>
    <w:rsid w:val="007D5435"/>
    <w:rsid w:val="007D5485"/>
    <w:rsid w:val="007D54B2"/>
    <w:rsid w:val="007D559B"/>
    <w:rsid w:val="007D55B3"/>
    <w:rsid w:val="007D5706"/>
    <w:rsid w:val="007D575F"/>
    <w:rsid w:val="007D58A3"/>
    <w:rsid w:val="007D590D"/>
    <w:rsid w:val="007D59FB"/>
    <w:rsid w:val="007D5C28"/>
    <w:rsid w:val="007D5C6D"/>
    <w:rsid w:val="007D5DBA"/>
    <w:rsid w:val="007D5EBF"/>
    <w:rsid w:val="007D5FEF"/>
    <w:rsid w:val="007D60DA"/>
    <w:rsid w:val="007D61B4"/>
    <w:rsid w:val="007D630D"/>
    <w:rsid w:val="007D63FD"/>
    <w:rsid w:val="007D6414"/>
    <w:rsid w:val="007D661D"/>
    <w:rsid w:val="007D667B"/>
    <w:rsid w:val="007D66B1"/>
    <w:rsid w:val="007D6809"/>
    <w:rsid w:val="007D6832"/>
    <w:rsid w:val="007D6883"/>
    <w:rsid w:val="007D693B"/>
    <w:rsid w:val="007D6971"/>
    <w:rsid w:val="007D6A0B"/>
    <w:rsid w:val="007D6A89"/>
    <w:rsid w:val="007D6BAC"/>
    <w:rsid w:val="007D6BBA"/>
    <w:rsid w:val="007D6C2C"/>
    <w:rsid w:val="007D6CF2"/>
    <w:rsid w:val="007D6E33"/>
    <w:rsid w:val="007D6E5A"/>
    <w:rsid w:val="007D6F6D"/>
    <w:rsid w:val="007D6FB2"/>
    <w:rsid w:val="007D6FBF"/>
    <w:rsid w:val="007D702F"/>
    <w:rsid w:val="007D7110"/>
    <w:rsid w:val="007D714B"/>
    <w:rsid w:val="007D7163"/>
    <w:rsid w:val="007D721E"/>
    <w:rsid w:val="007D7358"/>
    <w:rsid w:val="007D7378"/>
    <w:rsid w:val="007D74CD"/>
    <w:rsid w:val="007D74DF"/>
    <w:rsid w:val="007D750A"/>
    <w:rsid w:val="007D7612"/>
    <w:rsid w:val="007D7673"/>
    <w:rsid w:val="007D76AA"/>
    <w:rsid w:val="007D770F"/>
    <w:rsid w:val="007D78CE"/>
    <w:rsid w:val="007D791A"/>
    <w:rsid w:val="007D7A36"/>
    <w:rsid w:val="007D7A4E"/>
    <w:rsid w:val="007D7B57"/>
    <w:rsid w:val="007D7BDA"/>
    <w:rsid w:val="007D7C2D"/>
    <w:rsid w:val="007D7C4E"/>
    <w:rsid w:val="007D7C9C"/>
    <w:rsid w:val="007D7CD6"/>
    <w:rsid w:val="007D7DCA"/>
    <w:rsid w:val="007D7E20"/>
    <w:rsid w:val="007D7E91"/>
    <w:rsid w:val="007D7EDD"/>
    <w:rsid w:val="007D7F2B"/>
    <w:rsid w:val="007D7F85"/>
    <w:rsid w:val="007D7FA9"/>
    <w:rsid w:val="007D7FB1"/>
    <w:rsid w:val="007D7FF5"/>
    <w:rsid w:val="007E0012"/>
    <w:rsid w:val="007E0080"/>
    <w:rsid w:val="007E00C4"/>
    <w:rsid w:val="007E011E"/>
    <w:rsid w:val="007E0144"/>
    <w:rsid w:val="007E0236"/>
    <w:rsid w:val="007E0504"/>
    <w:rsid w:val="007E05A5"/>
    <w:rsid w:val="007E0675"/>
    <w:rsid w:val="007E06E1"/>
    <w:rsid w:val="007E0806"/>
    <w:rsid w:val="007E08FA"/>
    <w:rsid w:val="007E090A"/>
    <w:rsid w:val="007E090B"/>
    <w:rsid w:val="007E0960"/>
    <w:rsid w:val="007E09AC"/>
    <w:rsid w:val="007E09CE"/>
    <w:rsid w:val="007E09D9"/>
    <w:rsid w:val="007E0A76"/>
    <w:rsid w:val="007E0AAD"/>
    <w:rsid w:val="007E0E0D"/>
    <w:rsid w:val="007E0F5D"/>
    <w:rsid w:val="007E1143"/>
    <w:rsid w:val="007E1245"/>
    <w:rsid w:val="007E12BA"/>
    <w:rsid w:val="007E1312"/>
    <w:rsid w:val="007E138D"/>
    <w:rsid w:val="007E13FC"/>
    <w:rsid w:val="007E1629"/>
    <w:rsid w:val="007E1853"/>
    <w:rsid w:val="007E1854"/>
    <w:rsid w:val="007E18D4"/>
    <w:rsid w:val="007E1959"/>
    <w:rsid w:val="007E198F"/>
    <w:rsid w:val="007E19C1"/>
    <w:rsid w:val="007E19E4"/>
    <w:rsid w:val="007E1AF3"/>
    <w:rsid w:val="007E1B19"/>
    <w:rsid w:val="007E1B20"/>
    <w:rsid w:val="007E1B40"/>
    <w:rsid w:val="007E1B4D"/>
    <w:rsid w:val="007E1B51"/>
    <w:rsid w:val="007E1B57"/>
    <w:rsid w:val="007E1BA3"/>
    <w:rsid w:val="007E1C1B"/>
    <w:rsid w:val="007E1C73"/>
    <w:rsid w:val="007E1E63"/>
    <w:rsid w:val="007E1F08"/>
    <w:rsid w:val="007E1F59"/>
    <w:rsid w:val="007E1F7E"/>
    <w:rsid w:val="007E1F88"/>
    <w:rsid w:val="007E1FE1"/>
    <w:rsid w:val="007E216E"/>
    <w:rsid w:val="007E21E9"/>
    <w:rsid w:val="007E22C6"/>
    <w:rsid w:val="007E24AC"/>
    <w:rsid w:val="007E25AF"/>
    <w:rsid w:val="007E2727"/>
    <w:rsid w:val="007E284E"/>
    <w:rsid w:val="007E28B9"/>
    <w:rsid w:val="007E28BD"/>
    <w:rsid w:val="007E2909"/>
    <w:rsid w:val="007E2B3C"/>
    <w:rsid w:val="007E2C0C"/>
    <w:rsid w:val="007E2C6F"/>
    <w:rsid w:val="007E2D6A"/>
    <w:rsid w:val="007E2F5F"/>
    <w:rsid w:val="007E3003"/>
    <w:rsid w:val="007E31FE"/>
    <w:rsid w:val="007E329C"/>
    <w:rsid w:val="007E33A6"/>
    <w:rsid w:val="007E343E"/>
    <w:rsid w:val="007E345B"/>
    <w:rsid w:val="007E3467"/>
    <w:rsid w:val="007E34E6"/>
    <w:rsid w:val="007E35D7"/>
    <w:rsid w:val="007E35E3"/>
    <w:rsid w:val="007E36D9"/>
    <w:rsid w:val="007E37BA"/>
    <w:rsid w:val="007E37F2"/>
    <w:rsid w:val="007E38B7"/>
    <w:rsid w:val="007E3936"/>
    <w:rsid w:val="007E39CC"/>
    <w:rsid w:val="007E3A2C"/>
    <w:rsid w:val="007E3D01"/>
    <w:rsid w:val="007E3D89"/>
    <w:rsid w:val="007E3E66"/>
    <w:rsid w:val="007E3F09"/>
    <w:rsid w:val="007E3F49"/>
    <w:rsid w:val="007E3F4B"/>
    <w:rsid w:val="007E3F7E"/>
    <w:rsid w:val="007E4076"/>
    <w:rsid w:val="007E408F"/>
    <w:rsid w:val="007E4248"/>
    <w:rsid w:val="007E4283"/>
    <w:rsid w:val="007E42AC"/>
    <w:rsid w:val="007E42CA"/>
    <w:rsid w:val="007E4335"/>
    <w:rsid w:val="007E45D6"/>
    <w:rsid w:val="007E464F"/>
    <w:rsid w:val="007E4680"/>
    <w:rsid w:val="007E4715"/>
    <w:rsid w:val="007E48EF"/>
    <w:rsid w:val="007E48F0"/>
    <w:rsid w:val="007E4914"/>
    <w:rsid w:val="007E4A90"/>
    <w:rsid w:val="007E4ACB"/>
    <w:rsid w:val="007E4ACC"/>
    <w:rsid w:val="007E4ADE"/>
    <w:rsid w:val="007E4E5C"/>
    <w:rsid w:val="007E4F46"/>
    <w:rsid w:val="007E4F6D"/>
    <w:rsid w:val="007E50D8"/>
    <w:rsid w:val="007E50DC"/>
    <w:rsid w:val="007E518B"/>
    <w:rsid w:val="007E55AE"/>
    <w:rsid w:val="007E55DC"/>
    <w:rsid w:val="007E562A"/>
    <w:rsid w:val="007E5648"/>
    <w:rsid w:val="007E56E8"/>
    <w:rsid w:val="007E5709"/>
    <w:rsid w:val="007E5738"/>
    <w:rsid w:val="007E5760"/>
    <w:rsid w:val="007E57C5"/>
    <w:rsid w:val="007E57D9"/>
    <w:rsid w:val="007E582B"/>
    <w:rsid w:val="007E587C"/>
    <w:rsid w:val="007E5A4C"/>
    <w:rsid w:val="007E5B6B"/>
    <w:rsid w:val="007E5C6E"/>
    <w:rsid w:val="007E5CCA"/>
    <w:rsid w:val="007E5D19"/>
    <w:rsid w:val="007E5E91"/>
    <w:rsid w:val="007E611A"/>
    <w:rsid w:val="007E6291"/>
    <w:rsid w:val="007E63B5"/>
    <w:rsid w:val="007E63C6"/>
    <w:rsid w:val="007E6435"/>
    <w:rsid w:val="007E643A"/>
    <w:rsid w:val="007E643E"/>
    <w:rsid w:val="007E646B"/>
    <w:rsid w:val="007E6478"/>
    <w:rsid w:val="007E6483"/>
    <w:rsid w:val="007E64A5"/>
    <w:rsid w:val="007E66A1"/>
    <w:rsid w:val="007E6731"/>
    <w:rsid w:val="007E676C"/>
    <w:rsid w:val="007E6785"/>
    <w:rsid w:val="007E67D2"/>
    <w:rsid w:val="007E684F"/>
    <w:rsid w:val="007E68D3"/>
    <w:rsid w:val="007E68EB"/>
    <w:rsid w:val="007E6A6F"/>
    <w:rsid w:val="007E6ACF"/>
    <w:rsid w:val="007E6B07"/>
    <w:rsid w:val="007E6B20"/>
    <w:rsid w:val="007E6B6D"/>
    <w:rsid w:val="007E6C1A"/>
    <w:rsid w:val="007E6D58"/>
    <w:rsid w:val="007E6DA2"/>
    <w:rsid w:val="007E6E1D"/>
    <w:rsid w:val="007E6E2C"/>
    <w:rsid w:val="007E6E6C"/>
    <w:rsid w:val="007E6F05"/>
    <w:rsid w:val="007E707D"/>
    <w:rsid w:val="007E71CA"/>
    <w:rsid w:val="007E7255"/>
    <w:rsid w:val="007E72E6"/>
    <w:rsid w:val="007E730A"/>
    <w:rsid w:val="007E7330"/>
    <w:rsid w:val="007E7349"/>
    <w:rsid w:val="007E7471"/>
    <w:rsid w:val="007E7554"/>
    <w:rsid w:val="007E763C"/>
    <w:rsid w:val="007E7676"/>
    <w:rsid w:val="007E76F2"/>
    <w:rsid w:val="007E77DE"/>
    <w:rsid w:val="007E789A"/>
    <w:rsid w:val="007E7986"/>
    <w:rsid w:val="007E7A41"/>
    <w:rsid w:val="007E7B3B"/>
    <w:rsid w:val="007E7B89"/>
    <w:rsid w:val="007E7C53"/>
    <w:rsid w:val="007E7C6F"/>
    <w:rsid w:val="007E7CAA"/>
    <w:rsid w:val="007E7E5A"/>
    <w:rsid w:val="007E7EEB"/>
    <w:rsid w:val="007E7F4B"/>
    <w:rsid w:val="007E7F77"/>
    <w:rsid w:val="007E7FBD"/>
    <w:rsid w:val="007F000D"/>
    <w:rsid w:val="007F001C"/>
    <w:rsid w:val="007F012A"/>
    <w:rsid w:val="007F016C"/>
    <w:rsid w:val="007F01AF"/>
    <w:rsid w:val="007F02E1"/>
    <w:rsid w:val="007F0391"/>
    <w:rsid w:val="007F03A5"/>
    <w:rsid w:val="007F03F5"/>
    <w:rsid w:val="007F04A2"/>
    <w:rsid w:val="007F05BA"/>
    <w:rsid w:val="007F0828"/>
    <w:rsid w:val="007F08AC"/>
    <w:rsid w:val="007F08EA"/>
    <w:rsid w:val="007F094D"/>
    <w:rsid w:val="007F0CC7"/>
    <w:rsid w:val="007F0D26"/>
    <w:rsid w:val="007F0E0E"/>
    <w:rsid w:val="007F0E18"/>
    <w:rsid w:val="007F0E9D"/>
    <w:rsid w:val="007F0ED8"/>
    <w:rsid w:val="007F0F37"/>
    <w:rsid w:val="007F0F4E"/>
    <w:rsid w:val="007F0F64"/>
    <w:rsid w:val="007F103C"/>
    <w:rsid w:val="007F105A"/>
    <w:rsid w:val="007F107C"/>
    <w:rsid w:val="007F11D6"/>
    <w:rsid w:val="007F1291"/>
    <w:rsid w:val="007F12B2"/>
    <w:rsid w:val="007F1365"/>
    <w:rsid w:val="007F143D"/>
    <w:rsid w:val="007F1528"/>
    <w:rsid w:val="007F1664"/>
    <w:rsid w:val="007F1747"/>
    <w:rsid w:val="007F176B"/>
    <w:rsid w:val="007F17C4"/>
    <w:rsid w:val="007F197F"/>
    <w:rsid w:val="007F1ACF"/>
    <w:rsid w:val="007F1C01"/>
    <w:rsid w:val="007F1C08"/>
    <w:rsid w:val="007F1E85"/>
    <w:rsid w:val="007F1EC9"/>
    <w:rsid w:val="007F1FBB"/>
    <w:rsid w:val="007F1FF3"/>
    <w:rsid w:val="007F2089"/>
    <w:rsid w:val="007F20E7"/>
    <w:rsid w:val="007F2115"/>
    <w:rsid w:val="007F2130"/>
    <w:rsid w:val="007F221C"/>
    <w:rsid w:val="007F223D"/>
    <w:rsid w:val="007F2266"/>
    <w:rsid w:val="007F240B"/>
    <w:rsid w:val="007F2458"/>
    <w:rsid w:val="007F245C"/>
    <w:rsid w:val="007F24F5"/>
    <w:rsid w:val="007F2507"/>
    <w:rsid w:val="007F2670"/>
    <w:rsid w:val="007F2768"/>
    <w:rsid w:val="007F286A"/>
    <w:rsid w:val="007F28D5"/>
    <w:rsid w:val="007F2927"/>
    <w:rsid w:val="007F2968"/>
    <w:rsid w:val="007F29CF"/>
    <w:rsid w:val="007F2AED"/>
    <w:rsid w:val="007F2B9C"/>
    <w:rsid w:val="007F2BC7"/>
    <w:rsid w:val="007F2C19"/>
    <w:rsid w:val="007F2C48"/>
    <w:rsid w:val="007F2CED"/>
    <w:rsid w:val="007F2DBD"/>
    <w:rsid w:val="007F2EF4"/>
    <w:rsid w:val="007F2F98"/>
    <w:rsid w:val="007F2FCA"/>
    <w:rsid w:val="007F3031"/>
    <w:rsid w:val="007F30D6"/>
    <w:rsid w:val="007F30F9"/>
    <w:rsid w:val="007F326B"/>
    <w:rsid w:val="007F32A7"/>
    <w:rsid w:val="007F32F1"/>
    <w:rsid w:val="007F3309"/>
    <w:rsid w:val="007F335D"/>
    <w:rsid w:val="007F348E"/>
    <w:rsid w:val="007F356E"/>
    <w:rsid w:val="007F35FD"/>
    <w:rsid w:val="007F3631"/>
    <w:rsid w:val="007F3640"/>
    <w:rsid w:val="007F3747"/>
    <w:rsid w:val="007F3787"/>
    <w:rsid w:val="007F3849"/>
    <w:rsid w:val="007F387C"/>
    <w:rsid w:val="007F38AE"/>
    <w:rsid w:val="007F3902"/>
    <w:rsid w:val="007F3990"/>
    <w:rsid w:val="007F3BA0"/>
    <w:rsid w:val="007F3BA6"/>
    <w:rsid w:val="007F3CA3"/>
    <w:rsid w:val="007F3D11"/>
    <w:rsid w:val="007F3D45"/>
    <w:rsid w:val="007F3E99"/>
    <w:rsid w:val="007F3EC5"/>
    <w:rsid w:val="007F3F8F"/>
    <w:rsid w:val="007F4052"/>
    <w:rsid w:val="007F4127"/>
    <w:rsid w:val="007F4245"/>
    <w:rsid w:val="007F432C"/>
    <w:rsid w:val="007F4490"/>
    <w:rsid w:val="007F44A5"/>
    <w:rsid w:val="007F44E0"/>
    <w:rsid w:val="007F4609"/>
    <w:rsid w:val="007F49CA"/>
    <w:rsid w:val="007F4AFF"/>
    <w:rsid w:val="007F4B6D"/>
    <w:rsid w:val="007F4BEA"/>
    <w:rsid w:val="007F4C40"/>
    <w:rsid w:val="007F4C64"/>
    <w:rsid w:val="007F4D7B"/>
    <w:rsid w:val="007F4DB8"/>
    <w:rsid w:val="007F4E62"/>
    <w:rsid w:val="007F4E79"/>
    <w:rsid w:val="007F4EC4"/>
    <w:rsid w:val="007F4ED8"/>
    <w:rsid w:val="007F4F75"/>
    <w:rsid w:val="007F4F9A"/>
    <w:rsid w:val="007F509D"/>
    <w:rsid w:val="007F50E6"/>
    <w:rsid w:val="007F5116"/>
    <w:rsid w:val="007F5132"/>
    <w:rsid w:val="007F5198"/>
    <w:rsid w:val="007F51C9"/>
    <w:rsid w:val="007F520F"/>
    <w:rsid w:val="007F5240"/>
    <w:rsid w:val="007F5280"/>
    <w:rsid w:val="007F5347"/>
    <w:rsid w:val="007F53E2"/>
    <w:rsid w:val="007F5412"/>
    <w:rsid w:val="007F55F2"/>
    <w:rsid w:val="007F5605"/>
    <w:rsid w:val="007F5639"/>
    <w:rsid w:val="007F56A8"/>
    <w:rsid w:val="007F572C"/>
    <w:rsid w:val="007F5733"/>
    <w:rsid w:val="007F57C5"/>
    <w:rsid w:val="007F5877"/>
    <w:rsid w:val="007F5920"/>
    <w:rsid w:val="007F594B"/>
    <w:rsid w:val="007F5A96"/>
    <w:rsid w:val="007F5BC2"/>
    <w:rsid w:val="007F5BC9"/>
    <w:rsid w:val="007F5CC8"/>
    <w:rsid w:val="007F5E78"/>
    <w:rsid w:val="007F5FC5"/>
    <w:rsid w:val="007F603A"/>
    <w:rsid w:val="007F6083"/>
    <w:rsid w:val="007F60BB"/>
    <w:rsid w:val="007F60EC"/>
    <w:rsid w:val="007F61AF"/>
    <w:rsid w:val="007F6226"/>
    <w:rsid w:val="007F6369"/>
    <w:rsid w:val="007F63D2"/>
    <w:rsid w:val="007F63F9"/>
    <w:rsid w:val="007F6404"/>
    <w:rsid w:val="007F6455"/>
    <w:rsid w:val="007F64A6"/>
    <w:rsid w:val="007F659F"/>
    <w:rsid w:val="007F660D"/>
    <w:rsid w:val="007F6731"/>
    <w:rsid w:val="007F67B2"/>
    <w:rsid w:val="007F683E"/>
    <w:rsid w:val="007F6904"/>
    <w:rsid w:val="007F6957"/>
    <w:rsid w:val="007F69FD"/>
    <w:rsid w:val="007F6A21"/>
    <w:rsid w:val="007F6AF2"/>
    <w:rsid w:val="007F6AF7"/>
    <w:rsid w:val="007F6BBA"/>
    <w:rsid w:val="007F6D20"/>
    <w:rsid w:val="007F6D26"/>
    <w:rsid w:val="007F6D59"/>
    <w:rsid w:val="007F6D82"/>
    <w:rsid w:val="007F6E34"/>
    <w:rsid w:val="007F6E92"/>
    <w:rsid w:val="007F6F25"/>
    <w:rsid w:val="007F6FB5"/>
    <w:rsid w:val="007F6FD0"/>
    <w:rsid w:val="007F7039"/>
    <w:rsid w:val="007F70C5"/>
    <w:rsid w:val="007F7159"/>
    <w:rsid w:val="007F7363"/>
    <w:rsid w:val="007F7367"/>
    <w:rsid w:val="007F743F"/>
    <w:rsid w:val="007F7482"/>
    <w:rsid w:val="007F74B6"/>
    <w:rsid w:val="007F7516"/>
    <w:rsid w:val="007F7532"/>
    <w:rsid w:val="007F75DC"/>
    <w:rsid w:val="007F763F"/>
    <w:rsid w:val="007F7696"/>
    <w:rsid w:val="007F76F6"/>
    <w:rsid w:val="007F77BF"/>
    <w:rsid w:val="007F7804"/>
    <w:rsid w:val="007F7837"/>
    <w:rsid w:val="007F7A89"/>
    <w:rsid w:val="007F7A8F"/>
    <w:rsid w:val="007F7BF1"/>
    <w:rsid w:val="007F7C30"/>
    <w:rsid w:val="007F7CF5"/>
    <w:rsid w:val="007F7D89"/>
    <w:rsid w:val="007F7DC7"/>
    <w:rsid w:val="007F7DE3"/>
    <w:rsid w:val="007F7EE3"/>
    <w:rsid w:val="007F7FCB"/>
    <w:rsid w:val="007F7FE6"/>
    <w:rsid w:val="00800031"/>
    <w:rsid w:val="008001AE"/>
    <w:rsid w:val="00800232"/>
    <w:rsid w:val="008002EA"/>
    <w:rsid w:val="008003B3"/>
    <w:rsid w:val="008003D2"/>
    <w:rsid w:val="008004F6"/>
    <w:rsid w:val="00800574"/>
    <w:rsid w:val="00800611"/>
    <w:rsid w:val="008006F7"/>
    <w:rsid w:val="008008DA"/>
    <w:rsid w:val="00800917"/>
    <w:rsid w:val="0080091C"/>
    <w:rsid w:val="0080094C"/>
    <w:rsid w:val="00800B46"/>
    <w:rsid w:val="00800B75"/>
    <w:rsid w:val="00800C6E"/>
    <w:rsid w:val="00800C92"/>
    <w:rsid w:val="00800E10"/>
    <w:rsid w:val="00800E12"/>
    <w:rsid w:val="00800E35"/>
    <w:rsid w:val="00800E5C"/>
    <w:rsid w:val="00800EF0"/>
    <w:rsid w:val="00800FD5"/>
    <w:rsid w:val="0080120E"/>
    <w:rsid w:val="00801237"/>
    <w:rsid w:val="00801262"/>
    <w:rsid w:val="00801299"/>
    <w:rsid w:val="0080129E"/>
    <w:rsid w:val="008013BA"/>
    <w:rsid w:val="008013F6"/>
    <w:rsid w:val="0080140F"/>
    <w:rsid w:val="0080141A"/>
    <w:rsid w:val="00801423"/>
    <w:rsid w:val="00801461"/>
    <w:rsid w:val="008014C4"/>
    <w:rsid w:val="0080150E"/>
    <w:rsid w:val="00801633"/>
    <w:rsid w:val="00801880"/>
    <w:rsid w:val="008018D8"/>
    <w:rsid w:val="00801977"/>
    <w:rsid w:val="00801BE0"/>
    <w:rsid w:val="00801C60"/>
    <w:rsid w:val="00801CE7"/>
    <w:rsid w:val="00801D88"/>
    <w:rsid w:val="00801DA1"/>
    <w:rsid w:val="00801DA2"/>
    <w:rsid w:val="00801E0C"/>
    <w:rsid w:val="00801E5B"/>
    <w:rsid w:val="00801EEB"/>
    <w:rsid w:val="0080200F"/>
    <w:rsid w:val="00802301"/>
    <w:rsid w:val="008023A5"/>
    <w:rsid w:val="008024BC"/>
    <w:rsid w:val="008024F3"/>
    <w:rsid w:val="0080258D"/>
    <w:rsid w:val="008025C1"/>
    <w:rsid w:val="0080270D"/>
    <w:rsid w:val="0080273D"/>
    <w:rsid w:val="00802858"/>
    <w:rsid w:val="008028B1"/>
    <w:rsid w:val="00802918"/>
    <w:rsid w:val="00802A7D"/>
    <w:rsid w:val="00802A80"/>
    <w:rsid w:val="00802B87"/>
    <w:rsid w:val="00802BB1"/>
    <w:rsid w:val="00802D26"/>
    <w:rsid w:val="00802D54"/>
    <w:rsid w:val="00802D93"/>
    <w:rsid w:val="00802E74"/>
    <w:rsid w:val="0080315C"/>
    <w:rsid w:val="0080328E"/>
    <w:rsid w:val="008032F2"/>
    <w:rsid w:val="0080334B"/>
    <w:rsid w:val="0080356F"/>
    <w:rsid w:val="00803707"/>
    <w:rsid w:val="00803737"/>
    <w:rsid w:val="00803784"/>
    <w:rsid w:val="008037FF"/>
    <w:rsid w:val="00803839"/>
    <w:rsid w:val="008038CA"/>
    <w:rsid w:val="0080394D"/>
    <w:rsid w:val="00803951"/>
    <w:rsid w:val="00803A3D"/>
    <w:rsid w:val="00803A7E"/>
    <w:rsid w:val="00803AD3"/>
    <w:rsid w:val="00803BBB"/>
    <w:rsid w:val="00803BE3"/>
    <w:rsid w:val="00803BF3"/>
    <w:rsid w:val="00803BF8"/>
    <w:rsid w:val="00803C93"/>
    <w:rsid w:val="00803D5F"/>
    <w:rsid w:val="00803E22"/>
    <w:rsid w:val="00803EB2"/>
    <w:rsid w:val="00803EBF"/>
    <w:rsid w:val="008040BE"/>
    <w:rsid w:val="008041B3"/>
    <w:rsid w:val="00804254"/>
    <w:rsid w:val="00804279"/>
    <w:rsid w:val="008042A2"/>
    <w:rsid w:val="0080478F"/>
    <w:rsid w:val="008047C4"/>
    <w:rsid w:val="00804835"/>
    <w:rsid w:val="0080483D"/>
    <w:rsid w:val="00804858"/>
    <w:rsid w:val="00804938"/>
    <w:rsid w:val="00804985"/>
    <w:rsid w:val="008049B6"/>
    <w:rsid w:val="008049F3"/>
    <w:rsid w:val="00804AE8"/>
    <w:rsid w:val="00804C06"/>
    <w:rsid w:val="00804C8D"/>
    <w:rsid w:val="00804CBE"/>
    <w:rsid w:val="00804D3D"/>
    <w:rsid w:val="00804E19"/>
    <w:rsid w:val="00804E2F"/>
    <w:rsid w:val="00804E59"/>
    <w:rsid w:val="00804EE8"/>
    <w:rsid w:val="00804FC5"/>
    <w:rsid w:val="00805075"/>
    <w:rsid w:val="00805098"/>
    <w:rsid w:val="008050AA"/>
    <w:rsid w:val="00805123"/>
    <w:rsid w:val="00805137"/>
    <w:rsid w:val="0080513F"/>
    <w:rsid w:val="00805200"/>
    <w:rsid w:val="0080521A"/>
    <w:rsid w:val="00805256"/>
    <w:rsid w:val="00805277"/>
    <w:rsid w:val="008052B5"/>
    <w:rsid w:val="008052D1"/>
    <w:rsid w:val="008053DB"/>
    <w:rsid w:val="008053E0"/>
    <w:rsid w:val="00805453"/>
    <w:rsid w:val="00805476"/>
    <w:rsid w:val="008054D3"/>
    <w:rsid w:val="00805575"/>
    <w:rsid w:val="008057F1"/>
    <w:rsid w:val="0080588A"/>
    <w:rsid w:val="00805898"/>
    <w:rsid w:val="0080597F"/>
    <w:rsid w:val="00805A69"/>
    <w:rsid w:val="00805C45"/>
    <w:rsid w:val="00805D20"/>
    <w:rsid w:val="00805DE8"/>
    <w:rsid w:val="00805E11"/>
    <w:rsid w:val="00805ED0"/>
    <w:rsid w:val="00805F38"/>
    <w:rsid w:val="008060C4"/>
    <w:rsid w:val="00806210"/>
    <w:rsid w:val="008062B4"/>
    <w:rsid w:val="00806316"/>
    <w:rsid w:val="0080634C"/>
    <w:rsid w:val="0080634F"/>
    <w:rsid w:val="008063F2"/>
    <w:rsid w:val="00806402"/>
    <w:rsid w:val="008064FF"/>
    <w:rsid w:val="008065A0"/>
    <w:rsid w:val="008066DA"/>
    <w:rsid w:val="00806722"/>
    <w:rsid w:val="008067C8"/>
    <w:rsid w:val="00806834"/>
    <w:rsid w:val="008068A0"/>
    <w:rsid w:val="00806901"/>
    <w:rsid w:val="00806A33"/>
    <w:rsid w:val="00806A5D"/>
    <w:rsid w:val="00806AF3"/>
    <w:rsid w:val="00806AFD"/>
    <w:rsid w:val="00806BCB"/>
    <w:rsid w:val="00806C61"/>
    <w:rsid w:val="00806CB0"/>
    <w:rsid w:val="00806CE9"/>
    <w:rsid w:val="00806D23"/>
    <w:rsid w:val="00806D8F"/>
    <w:rsid w:val="00806DF5"/>
    <w:rsid w:val="00806FAD"/>
    <w:rsid w:val="0080714C"/>
    <w:rsid w:val="00807263"/>
    <w:rsid w:val="008074D8"/>
    <w:rsid w:val="0080762D"/>
    <w:rsid w:val="0080768F"/>
    <w:rsid w:val="0080778F"/>
    <w:rsid w:val="00807827"/>
    <w:rsid w:val="00807A79"/>
    <w:rsid w:val="00807AE3"/>
    <w:rsid w:val="00807B50"/>
    <w:rsid w:val="00807BAB"/>
    <w:rsid w:val="00807C01"/>
    <w:rsid w:val="00807C06"/>
    <w:rsid w:val="00807CBB"/>
    <w:rsid w:val="00807D21"/>
    <w:rsid w:val="00807DB8"/>
    <w:rsid w:val="00807DFA"/>
    <w:rsid w:val="00807E92"/>
    <w:rsid w:val="008100CC"/>
    <w:rsid w:val="00810132"/>
    <w:rsid w:val="00810383"/>
    <w:rsid w:val="0081050A"/>
    <w:rsid w:val="00810650"/>
    <w:rsid w:val="008106F6"/>
    <w:rsid w:val="008107D1"/>
    <w:rsid w:val="008107E1"/>
    <w:rsid w:val="00810990"/>
    <w:rsid w:val="00810AEA"/>
    <w:rsid w:val="00810B5F"/>
    <w:rsid w:val="00810B96"/>
    <w:rsid w:val="00810C4B"/>
    <w:rsid w:val="00810E2F"/>
    <w:rsid w:val="00810ECA"/>
    <w:rsid w:val="00810F0D"/>
    <w:rsid w:val="008110A9"/>
    <w:rsid w:val="008110F1"/>
    <w:rsid w:val="00811154"/>
    <w:rsid w:val="00811162"/>
    <w:rsid w:val="00811311"/>
    <w:rsid w:val="00811561"/>
    <w:rsid w:val="00811567"/>
    <w:rsid w:val="00811583"/>
    <w:rsid w:val="00811765"/>
    <w:rsid w:val="0081182C"/>
    <w:rsid w:val="008118D8"/>
    <w:rsid w:val="00811952"/>
    <w:rsid w:val="00811966"/>
    <w:rsid w:val="008119B7"/>
    <w:rsid w:val="00811A06"/>
    <w:rsid w:val="00811A9E"/>
    <w:rsid w:val="00811AD0"/>
    <w:rsid w:val="00811B30"/>
    <w:rsid w:val="00811D92"/>
    <w:rsid w:val="00811E0C"/>
    <w:rsid w:val="00811E27"/>
    <w:rsid w:val="00811E41"/>
    <w:rsid w:val="00811F3E"/>
    <w:rsid w:val="00811F7A"/>
    <w:rsid w:val="00812062"/>
    <w:rsid w:val="008120C0"/>
    <w:rsid w:val="008121C0"/>
    <w:rsid w:val="00812277"/>
    <w:rsid w:val="00812284"/>
    <w:rsid w:val="00812286"/>
    <w:rsid w:val="00812294"/>
    <w:rsid w:val="0081236F"/>
    <w:rsid w:val="00812391"/>
    <w:rsid w:val="0081239B"/>
    <w:rsid w:val="00812451"/>
    <w:rsid w:val="008124BA"/>
    <w:rsid w:val="008124E3"/>
    <w:rsid w:val="00812574"/>
    <w:rsid w:val="008125C1"/>
    <w:rsid w:val="008127E9"/>
    <w:rsid w:val="008127EF"/>
    <w:rsid w:val="008127F5"/>
    <w:rsid w:val="008128A2"/>
    <w:rsid w:val="008129A9"/>
    <w:rsid w:val="008129C4"/>
    <w:rsid w:val="008129D1"/>
    <w:rsid w:val="008129E3"/>
    <w:rsid w:val="00812A7E"/>
    <w:rsid w:val="00812E07"/>
    <w:rsid w:val="00812E5D"/>
    <w:rsid w:val="00812F0D"/>
    <w:rsid w:val="0081301A"/>
    <w:rsid w:val="0081307C"/>
    <w:rsid w:val="0081323B"/>
    <w:rsid w:val="0081327E"/>
    <w:rsid w:val="0081331C"/>
    <w:rsid w:val="008133B6"/>
    <w:rsid w:val="00813420"/>
    <w:rsid w:val="008134E1"/>
    <w:rsid w:val="00813510"/>
    <w:rsid w:val="0081354E"/>
    <w:rsid w:val="00813565"/>
    <w:rsid w:val="008135B7"/>
    <w:rsid w:val="0081360D"/>
    <w:rsid w:val="008137AC"/>
    <w:rsid w:val="0081381C"/>
    <w:rsid w:val="00813830"/>
    <w:rsid w:val="00813845"/>
    <w:rsid w:val="008138B9"/>
    <w:rsid w:val="008138E3"/>
    <w:rsid w:val="00813925"/>
    <w:rsid w:val="008139C5"/>
    <w:rsid w:val="00813BDC"/>
    <w:rsid w:val="00813C98"/>
    <w:rsid w:val="00813E06"/>
    <w:rsid w:val="00813E51"/>
    <w:rsid w:val="00813EB9"/>
    <w:rsid w:val="00813F1A"/>
    <w:rsid w:val="00813FC7"/>
    <w:rsid w:val="00814194"/>
    <w:rsid w:val="00814222"/>
    <w:rsid w:val="00814256"/>
    <w:rsid w:val="00814302"/>
    <w:rsid w:val="00814574"/>
    <w:rsid w:val="00814600"/>
    <w:rsid w:val="0081464C"/>
    <w:rsid w:val="00814733"/>
    <w:rsid w:val="0081478B"/>
    <w:rsid w:val="0081481D"/>
    <w:rsid w:val="008148A7"/>
    <w:rsid w:val="008149DF"/>
    <w:rsid w:val="00814AA9"/>
    <w:rsid w:val="00814B81"/>
    <w:rsid w:val="00814D38"/>
    <w:rsid w:val="00814E9D"/>
    <w:rsid w:val="00814ED0"/>
    <w:rsid w:val="00814F2E"/>
    <w:rsid w:val="0081509B"/>
    <w:rsid w:val="008151A4"/>
    <w:rsid w:val="008151CA"/>
    <w:rsid w:val="0081521D"/>
    <w:rsid w:val="008152EC"/>
    <w:rsid w:val="008153E4"/>
    <w:rsid w:val="00815462"/>
    <w:rsid w:val="00815673"/>
    <w:rsid w:val="00815786"/>
    <w:rsid w:val="008157C3"/>
    <w:rsid w:val="00815964"/>
    <w:rsid w:val="00815A0A"/>
    <w:rsid w:val="00815A1F"/>
    <w:rsid w:val="00815B3A"/>
    <w:rsid w:val="00815BC1"/>
    <w:rsid w:val="00815C12"/>
    <w:rsid w:val="00815C5A"/>
    <w:rsid w:val="00815C7C"/>
    <w:rsid w:val="00815D6F"/>
    <w:rsid w:val="00815DB1"/>
    <w:rsid w:val="00815DE1"/>
    <w:rsid w:val="00815DFF"/>
    <w:rsid w:val="00815FED"/>
    <w:rsid w:val="0081609A"/>
    <w:rsid w:val="008160B1"/>
    <w:rsid w:val="00816107"/>
    <w:rsid w:val="00816281"/>
    <w:rsid w:val="008162DE"/>
    <w:rsid w:val="0081632E"/>
    <w:rsid w:val="008163B2"/>
    <w:rsid w:val="008163EA"/>
    <w:rsid w:val="00816599"/>
    <w:rsid w:val="0081660D"/>
    <w:rsid w:val="008166F2"/>
    <w:rsid w:val="00816721"/>
    <w:rsid w:val="0081679E"/>
    <w:rsid w:val="00816815"/>
    <w:rsid w:val="00816899"/>
    <w:rsid w:val="00816992"/>
    <w:rsid w:val="00816AD8"/>
    <w:rsid w:val="00816B84"/>
    <w:rsid w:val="00816BA4"/>
    <w:rsid w:val="00816C4D"/>
    <w:rsid w:val="00816D08"/>
    <w:rsid w:val="00816D48"/>
    <w:rsid w:val="00816DD8"/>
    <w:rsid w:val="00816E21"/>
    <w:rsid w:val="00816FE6"/>
    <w:rsid w:val="00817013"/>
    <w:rsid w:val="0081704E"/>
    <w:rsid w:val="0081706E"/>
    <w:rsid w:val="0081708E"/>
    <w:rsid w:val="0081721B"/>
    <w:rsid w:val="008172BA"/>
    <w:rsid w:val="0081730B"/>
    <w:rsid w:val="008173EB"/>
    <w:rsid w:val="0081756C"/>
    <w:rsid w:val="008175C0"/>
    <w:rsid w:val="00817629"/>
    <w:rsid w:val="00817669"/>
    <w:rsid w:val="008176EE"/>
    <w:rsid w:val="008177CE"/>
    <w:rsid w:val="00817801"/>
    <w:rsid w:val="00817832"/>
    <w:rsid w:val="008179F2"/>
    <w:rsid w:val="00817B7F"/>
    <w:rsid w:val="00817D1D"/>
    <w:rsid w:val="00817D29"/>
    <w:rsid w:val="00817DF6"/>
    <w:rsid w:val="00817E09"/>
    <w:rsid w:val="00817E63"/>
    <w:rsid w:val="00817E87"/>
    <w:rsid w:val="00817E90"/>
    <w:rsid w:val="00817EB0"/>
    <w:rsid w:val="00817EFC"/>
    <w:rsid w:val="00820041"/>
    <w:rsid w:val="008200C2"/>
    <w:rsid w:val="008200C8"/>
    <w:rsid w:val="008201E7"/>
    <w:rsid w:val="00820355"/>
    <w:rsid w:val="00820367"/>
    <w:rsid w:val="0082037E"/>
    <w:rsid w:val="00820388"/>
    <w:rsid w:val="0082047E"/>
    <w:rsid w:val="00820558"/>
    <w:rsid w:val="00820685"/>
    <w:rsid w:val="008206C9"/>
    <w:rsid w:val="00820711"/>
    <w:rsid w:val="00820817"/>
    <w:rsid w:val="0082082C"/>
    <w:rsid w:val="008209B5"/>
    <w:rsid w:val="00820AE1"/>
    <w:rsid w:val="00820C87"/>
    <w:rsid w:val="00820EB4"/>
    <w:rsid w:val="00820EE3"/>
    <w:rsid w:val="00820FB4"/>
    <w:rsid w:val="00821197"/>
    <w:rsid w:val="00821244"/>
    <w:rsid w:val="00821287"/>
    <w:rsid w:val="008212F6"/>
    <w:rsid w:val="0082150A"/>
    <w:rsid w:val="008215BF"/>
    <w:rsid w:val="008215DD"/>
    <w:rsid w:val="008218A4"/>
    <w:rsid w:val="008218BD"/>
    <w:rsid w:val="00821BD0"/>
    <w:rsid w:val="00821BD1"/>
    <w:rsid w:val="00821D16"/>
    <w:rsid w:val="00821D7A"/>
    <w:rsid w:val="00821E21"/>
    <w:rsid w:val="00821E6C"/>
    <w:rsid w:val="00821EB1"/>
    <w:rsid w:val="008220B1"/>
    <w:rsid w:val="00822115"/>
    <w:rsid w:val="008221E9"/>
    <w:rsid w:val="0082223E"/>
    <w:rsid w:val="00822290"/>
    <w:rsid w:val="008223D8"/>
    <w:rsid w:val="008224B7"/>
    <w:rsid w:val="0082277A"/>
    <w:rsid w:val="008227D8"/>
    <w:rsid w:val="008228E4"/>
    <w:rsid w:val="008229D1"/>
    <w:rsid w:val="00822B00"/>
    <w:rsid w:val="00822B17"/>
    <w:rsid w:val="00822BD9"/>
    <w:rsid w:val="00822BE7"/>
    <w:rsid w:val="00822C86"/>
    <w:rsid w:val="00822E57"/>
    <w:rsid w:val="00822F10"/>
    <w:rsid w:val="00822F19"/>
    <w:rsid w:val="00822FC8"/>
    <w:rsid w:val="00823033"/>
    <w:rsid w:val="0082310E"/>
    <w:rsid w:val="0082311E"/>
    <w:rsid w:val="00823159"/>
    <w:rsid w:val="008231FC"/>
    <w:rsid w:val="008232D6"/>
    <w:rsid w:val="00823500"/>
    <w:rsid w:val="0082352A"/>
    <w:rsid w:val="00823621"/>
    <w:rsid w:val="0082362D"/>
    <w:rsid w:val="00823715"/>
    <w:rsid w:val="00823792"/>
    <w:rsid w:val="0082388D"/>
    <w:rsid w:val="00823917"/>
    <w:rsid w:val="00823A6C"/>
    <w:rsid w:val="00823AF3"/>
    <w:rsid w:val="00823B75"/>
    <w:rsid w:val="00823C02"/>
    <w:rsid w:val="00823C2B"/>
    <w:rsid w:val="00823C6A"/>
    <w:rsid w:val="00823CA5"/>
    <w:rsid w:val="00823D11"/>
    <w:rsid w:val="00823D37"/>
    <w:rsid w:val="00823E10"/>
    <w:rsid w:val="00823E56"/>
    <w:rsid w:val="00823E91"/>
    <w:rsid w:val="00824014"/>
    <w:rsid w:val="00824068"/>
    <w:rsid w:val="008242BE"/>
    <w:rsid w:val="008245D2"/>
    <w:rsid w:val="00824678"/>
    <w:rsid w:val="0082467B"/>
    <w:rsid w:val="008246CE"/>
    <w:rsid w:val="00824718"/>
    <w:rsid w:val="0082474D"/>
    <w:rsid w:val="00824750"/>
    <w:rsid w:val="00824817"/>
    <w:rsid w:val="00824839"/>
    <w:rsid w:val="00824915"/>
    <w:rsid w:val="00824A6A"/>
    <w:rsid w:val="00824AA7"/>
    <w:rsid w:val="00824ABC"/>
    <w:rsid w:val="00824B31"/>
    <w:rsid w:val="00824B5E"/>
    <w:rsid w:val="00824EC7"/>
    <w:rsid w:val="00824F99"/>
    <w:rsid w:val="00824FDB"/>
    <w:rsid w:val="00825025"/>
    <w:rsid w:val="008250EB"/>
    <w:rsid w:val="008250F1"/>
    <w:rsid w:val="008254F4"/>
    <w:rsid w:val="0082570D"/>
    <w:rsid w:val="008257BE"/>
    <w:rsid w:val="008257E0"/>
    <w:rsid w:val="008258C1"/>
    <w:rsid w:val="00825904"/>
    <w:rsid w:val="0082593E"/>
    <w:rsid w:val="00825A4B"/>
    <w:rsid w:val="00825A6F"/>
    <w:rsid w:val="00825BD3"/>
    <w:rsid w:val="00825CF8"/>
    <w:rsid w:val="00825D9D"/>
    <w:rsid w:val="00825DC2"/>
    <w:rsid w:val="00825E76"/>
    <w:rsid w:val="00825F36"/>
    <w:rsid w:val="00825FA6"/>
    <w:rsid w:val="00825FB2"/>
    <w:rsid w:val="0082626D"/>
    <w:rsid w:val="0082627E"/>
    <w:rsid w:val="008263B7"/>
    <w:rsid w:val="008264C7"/>
    <w:rsid w:val="00826624"/>
    <w:rsid w:val="0082663F"/>
    <w:rsid w:val="00826685"/>
    <w:rsid w:val="00826703"/>
    <w:rsid w:val="00826865"/>
    <w:rsid w:val="00826934"/>
    <w:rsid w:val="00826935"/>
    <w:rsid w:val="008269BE"/>
    <w:rsid w:val="008269E6"/>
    <w:rsid w:val="008269FD"/>
    <w:rsid w:val="00826A23"/>
    <w:rsid w:val="00826BC6"/>
    <w:rsid w:val="00826EC7"/>
    <w:rsid w:val="00826F8B"/>
    <w:rsid w:val="00826FB1"/>
    <w:rsid w:val="00826FD9"/>
    <w:rsid w:val="008270B7"/>
    <w:rsid w:val="00827154"/>
    <w:rsid w:val="0082715B"/>
    <w:rsid w:val="008271BF"/>
    <w:rsid w:val="008271CC"/>
    <w:rsid w:val="00827260"/>
    <w:rsid w:val="0082726A"/>
    <w:rsid w:val="00827295"/>
    <w:rsid w:val="0082745A"/>
    <w:rsid w:val="00827464"/>
    <w:rsid w:val="008274CF"/>
    <w:rsid w:val="008274E4"/>
    <w:rsid w:val="00827507"/>
    <w:rsid w:val="00827639"/>
    <w:rsid w:val="00827673"/>
    <w:rsid w:val="00827924"/>
    <w:rsid w:val="00827B22"/>
    <w:rsid w:val="00827BA3"/>
    <w:rsid w:val="00827BBA"/>
    <w:rsid w:val="00827CDA"/>
    <w:rsid w:val="00827DD3"/>
    <w:rsid w:val="00827F80"/>
    <w:rsid w:val="00827FA8"/>
    <w:rsid w:val="0083003C"/>
    <w:rsid w:val="0083004E"/>
    <w:rsid w:val="00830163"/>
    <w:rsid w:val="0083022E"/>
    <w:rsid w:val="0083026E"/>
    <w:rsid w:val="008303A9"/>
    <w:rsid w:val="0083040E"/>
    <w:rsid w:val="00830451"/>
    <w:rsid w:val="008305D4"/>
    <w:rsid w:val="008305E7"/>
    <w:rsid w:val="0083072D"/>
    <w:rsid w:val="008307C2"/>
    <w:rsid w:val="00830A1F"/>
    <w:rsid w:val="00830A2F"/>
    <w:rsid w:val="00830B32"/>
    <w:rsid w:val="00830D5E"/>
    <w:rsid w:val="00830E11"/>
    <w:rsid w:val="00830E7F"/>
    <w:rsid w:val="00830F76"/>
    <w:rsid w:val="008310EB"/>
    <w:rsid w:val="008311A3"/>
    <w:rsid w:val="008312E0"/>
    <w:rsid w:val="00831303"/>
    <w:rsid w:val="0083131B"/>
    <w:rsid w:val="00831328"/>
    <w:rsid w:val="00831558"/>
    <w:rsid w:val="008316AF"/>
    <w:rsid w:val="008317BF"/>
    <w:rsid w:val="00831B23"/>
    <w:rsid w:val="00831D50"/>
    <w:rsid w:val="00831F24"/>
    <w:rsid w:val="00831F8C"/>
    <w:rsid w:val="0083213E"/>
    <w:rsid w:val="0083219E"/>
    <w:rsid w:val="008323EC"/>
    <w:rsid w:val="008325FC"/>
    <w:rsid w:val="0083267D"/>
    <w:rsid w:val="0083268E"/>
    <w:rsid w:val="0083275B"/>
    <w:rsid w:val="00832810"/>
    <w:rsid w:val="008328BF"/>
    <w:rsid w:val="00832A3D"/>
    <w:rsid w:val="00832A90"/>
    <w:rsid w:val="00832BD4"/>
    <w:rsid w:val="00832D60"/>
    <w:rsid w:val="00832E43"/>
    <w:rsid w:val="00832EAD"/>
    <w:rsid w:val="00832EBE"/>
    <w:rsid w:val="00832F56"/>
    <w:rsid w:val="00832FD2"/>
    <w:rsid w:val="00833087"/>
    <w:rsid w:val="00833089"/>
    <w:rsid w:val="00833101"/>
    <w:rsid w:val="00833137"/>
    <w:rsid w:val="0083332D"/>
    <w:rsid w:val="008334FC"/>
    <w:rsid w:val="0083356B"/>
    <w:rsid w:val="008336A0"/>
    <w:rsid w:val="00833773"/>
    <w:rsid w:val="008337D3"/>
    <w:rsid w:val="00833845"/>
    <w:rsid w:val="0083384E"/>
    <w:rsid w:val="008339F1"/>
    <w:rsid w:val="00833A41"/>
    <w:rsid w:val="00833A77"/>
    <w:rsid w:val="00833B55"/>
    <w:rsid w:val="00833B9E"/>
    <w:rsid w:val="00833BD9"/>
    <w:rsid w:val="00833C2D"/>
    <w:rsid w:val="00833D33"/>
    <w:rsid w:val="00833D44"/>
    <w:rsid w:val="00833DFA"/>
    <w:rsid w:val="00833E04"/>
    <w:rsid w:val="00833ECC"/>
    <w:rsid w:val="008340AB"/>
    <w:rsid w:val="00834128"/>
    <w:rsid w:val="00834285"/>
    <w:rsid w:val="008343EF"/>
    <w:rsid w:val="008343F7"/>
    <w:rsid w:val="008344E2"/>
    <w:rsid w:val="00834549"/>
    <w:rsid w:val="008346D9"/>
    <w:rsid w:val="008347A3"/>
    <w:rsid w:val="008347E8"/>
    <w:rsid w:val="00834856"/>
    <w:rsid w:val="0083488B"/>
    <w:rsid w:val="008348C8"/>
    <w:rsid w:val="00834918"/>
    <w:rsid w:val="0083498D"/>
    <w:rsid w:val="00834AE1"/>
    <w:rsid w:val="00834B22"/>
    <w:rsid w:val="00834B2D"/>
    <w:rsid w:val="00834BBB"/>
    <w:rsid w:val="00834C19"/>
    <w:rsid w:val="00834C2E"/>
    <w:rsid w:val="00834C69"/>
    <w:rsid w:val="00834C6A"/>
    <w:rsid w:val="00834DB6"/>
    <w:rsid w:val="00834DB7"/>
    <w:rsid w:val="00834E9A"/>
    <w:rsid w:val="00834EF1"/>
    <w:rsid w:val="00834F98"/>
    <w:rsid w:val="00834FB5"/>
    <w:rsid w:val="00834FD7"/>
    <w:rsid w:val="0083509A"/>
    <w:rsid w:val="008350B9"/>
    <w:rsid w:val="00835119"/>
    <w:rsid w:val="00835211"/>
    <w:rsid w:val="008354A8"/>
    <w:rsid w:val="008354D2"/>
    <w:rsid w:val="008356ED"/>
    <w:rsid w:val="00835752"/>
    <w:rsid w:val="00835814"/>
    <w:rsid w:val="00835825"/>
    <w:rsid w:val="008358CF"/>
    <w:rsid w:val="008358D1"/>
    <w:rsid w:val="0083598D"/>
    <w:rsid w:val="00835ACD"/>
    <w:rsid w:val="00835BF5"/>
    <w:rsid w:val="00835CB3"/>
    <w:rsid w:val="00835E2F"/>
    <w:rsid w:val="00835E40"/>
    <w:rsid w:val="00835E63"/>
    <w:rsid w:val="00835F67"/>
    <w:rsid w:val="0083602A"/>
    <w:rsid w:val="0083602F"/>
    <w:rsid w:val="0083634D"/>
    <w:rsid w:val="00836415"/>
    <w:rsid w:val="00836458"/>
    <w:rsid w:val="008364AB"/>
    <w:rsid w:val="008364F3"/>
    <w:rsid w:val="00836562"/>
    <w:rsid w:val="008365DD"/>
    <w:rsid w:val="0083672C"/>
    <w:rsid w:val="008367F1"/>
    <w:rsid w:val="00836801"/>
    <w:rsid w:val="00836848"/>
    <w:rsid w:val="008368F3"/>
    <w:rsid w:val="0083698D"/>
    <w:rsid w:val="00836ABA"/>
    <w:rsid w:val="00836B60"/>
    <w:rsid w:val="00836C01"/>
    <w:rsid w:val="00836CB5"/>
    <w:rsid w:val="00836FDE"/>
    <w:rsid w:val="00836FE2"/>
    <w:rsid w:val="00837134"/>
    <w:rsid w:val="00837145"/>
    <w:rsid w:val="0083720D"/>
    <w:rsid w:val="008372C1"/>
    <w:rsid w:val="0083731F"/>
    <w:rsid w:val="008374B5"/>
    <w:rsid w:val="00837575"/>
    <w:rsid w:val="008375EA"/>
    <w:rsid w:val="008376C0"/>
    <w:rsid w:val="008377FD"/>
    <w:rsid w:val="00837903"/>
    <w:rsid w:val="008379AF"/>
    <w:rsid w:val="008379CA"/>
    <w:rsid w:val="00837A8D"/>
    <w:rsid w:val="00837CE3"/>
    <w:rsid w:val="00837CFF"/>
    <w:rsid w:val="00837E3F"/>
    <w:rsid w:val="00837E45"/>
    <w:rsid w:val="00837F3F"/>
    <w:rsid w:val="00837F94"/>
    <w:rsid w:val="00837FEE"/>
    <w:rsid w:val="0084003F"/>
    <w:rsid w:val="008401C3"/>
    <w:rsid w:val="008401D3"/>
    <w:rsid w:val="00840218"/>
    <w:rsid w:val="0084028C"/>
    <w:rsid w:val="0084030D"/>
    <w:rsid w:val="00840399"/>
    <w:rsid w:val="00840433"/>
    <w:rsid w:val="008404E6"/>
    <w:rsid w:val="00840556"/>
    <w:rsid w:val="00840569"/>
    <w:rsid w:val="008405D9"/>
    <w:rsid w:val="0084062F"/>
    <w:rsid w:val="008408A0"/>
    <w:rsid w:val="00840AB6"/>
    <w:rsid w:val="00840AF4"/>
    <w:rsid w:val="00840B46"/>
    <w:rsid w:val="00840C6C"/>
    <w:rsid w:val="00840DED"/>
    <w:rsid w:val="00840DF0"/>
    <w:rsid w:val="00840E0B"/>
    <w:rsid w:val="00840F20"/>
    <w:rsid w:val="00840F6C"/>
    <w:rsid w:val="008410C7"/>
    <w:rsid w:val="008411B3"/>
    <w:rsid w:val="0084134E"/>
    <w:rsid w:val="00841452"/>
    <w:rsid w:val="008414F7"/>
    <w:rsid w:val="0084176C"/>
    <w:rsid w:val="00841812"/>
    <w:rsid w:val="00841822"/>
    <w:rsid w:val="008418B4"/>
    <w:rsid w:val="0084194D"/>
    <w:rsid w:val="00841993"/>
    <w:rsid w:val="008419F6"/>
    <w:rsid w:val="00841A14"/>
    <w:rsid w:val="00841BE9"/>
    <w:rsid w:val="00841BF7"/>
    <w:rsid w:val="00841C48"/>
    <w:rsid w:val="00841DA6"/>
    <w:rsid w:val="00841DCA"/>
    <w:rsid w:val="00841E06"/>
    <w:rsid w:val="00841E08"/>
    <w:rsid w:val="00841F08"/>
    <w:rsid w:val="00841F6F"/>
    <w:rsid w:val="00842091"/>
    <w:rsid w:val="00842346"/>
    <w:rsid w:val="00842412"/>
    <w:rsid w:val="008424A8"/>
    <w:rsid w:val="008424B6"/>
    <w:rsid w:val="0084252E"/>
    <w:rsid w:val="008425EE"/>
    <w:rsid w:val="00842637"/>
    <w:rsid w:val="00842697"/>
    <w:rsid w:val="00842706"/>
    <w:rsid w:val="00842747"/>
    <w:rsid w:val="008427A2"/>
    <w:rsid w:val="0084282D"/>
    <w:rsid w:val="00842841"/>
    <w:rsid w:val="00842A55"/>
    <w:rsid w:val="00842C23"/>
    <w:rsid w:val="00842CCE"/>
    <w:rsid w:val="00842D14"/>
    <w:rsid w:val="00842D4B"/>
    <w:rsid w:val="00842DCC"/>
    <w:rsid w:val="00842E80"/>
    <w:rsid w:val="00842E9F"/>
    <w:rsid w:val="00842F12"/>
    <w:rsid w:val="008430A1"/>
    <w:rsid w:val="008430FB"/>
    <w:rsid w:val="0084312F"/>
    <w:rsid w:val="00843141"/>
    <w:rsid w:val="0084328D"/>
    <w:rsid w:val="0084340F"/>
    <w:rsid w:val="008434BE"/>
    <w:rsid w:val="00843541"/>
    <w:rsid w:val="00843688"/>
    <w:rsid w:val="008437FD"/>
    <w:rsid w:val="00843919"/>
    <w:rsid w:val="00843939"/>
    <w:rsid w:val="0084394B"/>
    <w:rsid w:val="00843A2B"/>
    <w:rsid w:val="00843A5E"/>
    <w:rsid w:val="00843B2B"/>
    <w:rsid w:val="00843B3C"/>
    <w:rsid w:val="00843B8F"/>
    <w:rsid w:val="00843DBE"/>
    <w:rsid w:val="00843F0D"/>
    <w:rsid w:val="0084414C"/>
    <w:rsid w:val="0084422A"/>
    <w:rsid w:val="008442E1"/>
    <w:rsid w:val="0084431E"/>
    <w:rsid w:val="008443A8"/>
    <w:rsid w:val="008445C2"/>
    <w:rsid w:val="008445DF"/>
    <w:rsid w:val="00844609"/>
    <w:rsid w:val="00844628"/>
    <w:rsid w:val="008446AC"/>
    <w:rsid w:val="008446DD"/>
    <w:rsid w:val="00844810"/>
    <w:rsid w:val="0084489F"/>
    <w:rsid w:val="00844902"/>
    <w:rsid w:val="00844906"/>
    <w:rsid w:val="00844935"/>
    <w:rsid w:val="008449D9"/>
    <w:rsid w:val="00844B3F"/>
    <w:rsid w:val="00844BB4"/>
    <w:rsid w:val="00844C0D"/>
    <w:rsid w:val="00844CC1"/>
    <w:rsid w:val="00844CF7"/>
    <w:rsid w:val="00844E6F"/>
    <w:rsid w:val="00844EC5"/>
    <w:rsid w:val="00844F02"/>
    <w:rsid w:val="00844F2E"/>
    <w:rsid w:val="00844F52"/>
    <w:rsid w:val="00845066"/>
    <w:rsid w:val="00845154"/>
    <w:rsid w:val="008451E7"/>
    <w:rsid w:val="00845235"/>
    <w:rsid w:val="00845321"/>
    <w:rsid w:val="0084545D"/>
    <w:rsid w:val="0084552A"/>
    <w:rsid w:val="008455AE"/>
    <w:rsid w:val="008455E0"/>
    <w:rsid w:val="008456EF"/>
    <w:rsid w:val="0084578C"/>
    <w:rsid w:val="008457CF"/>
    <w:rsid w:val="008457D7"/>
    <w:rsid w:val="008459A6"/>
    <w:rsid w:val="00845A5C"/>
    <w:rsid w:val="00845AA1"/>
    <w:rsid w:val="00845C3F"/>
    <w:rsid w:val="00845C88"/>
    <w:rsid w:val="00845CB2"/>
    <w:rsid w:val="00845E22"/>
    <w:rsid w:val="00845ED0"/>
    <w:rsid w:val="00845F07"/>
    <w:rsid w:val="00845F70"/>
    <w:rsid w:val="00845FF6"/>
    <w:rsid w:val="008460D3"/>
    <w:rsid w:val="00846172"/>
    <w:rsid w:val="00846324"/>
    <w:rsid w:val="00846326"/>
    <w:rsid w:val="00846334"/>
    <w:rsid w:val="008464A8"/>
    <w:rsid w:val="00846522"/>
    <w:rsid w:val="00846656"/>
    <w:rsid w:val="008466A4"/>
    <w:rsid w:val="008466AC"/>
    <w:rsid w:val="00846760"/>
    <w:rsid w:val="008468F0"/>
    <w:rsid w:val="00846903"/>
    <w:rsid w:val="00846980"/>
    <w:rsid w:val="00846991"/>
    <w:rsid w:val="008469CC"/>
    <w:rsid w:val="008469EC"/>
    <w:rsid w:val="00846A12"/>
    <w:rsid w:val="00846B18"/>
    <w:rsid w:val="00846E93"/>
    <w:rsid w:val="00846E9D"/>
    <w:rsid w:val="00846EB1"/>
    <w:rsid w:val="00846EE5"/>
    <w:rsid w:val="00846F76"/>
    <w:rsid w:val="00847060"/>
    <w:rsid w:val="00847061"/>
    <w:rsid w:val="0084711D"/>
    <w:rsid w:val="008471C0"/>
    <w:rsid w:val="00847282"/>
    <w:rsid w:val="008472F0"/>
    <w:rsid w:val="0084731F"/>
    <w:rsid w:val="0084736A"/>
    <w:rsid w:val="008473A7"/>
    <w:rsid w:val="00847459"/>
    <w:rsid w:val="0084748F"/>
    <w:rsid w:val="0084759B"/>
    <w:rsid w:val="008478CF"/>
    <w:rsid w:val="00847970"/>
    <w:rsid w:val="008479E3"/>
    <w:rsid w:val="00847B17"/>
    <w:rsid w:val="00847B27"/>
    <w:rsid w:val="00847B72"/>
    <w:rsid w:val="00847CDE"/>
    <w:rsid w:val="00847D61"/>
    <w:rsid w:val="00847E28"/>
    <w:rsid w:val="00847E32"/>
    <w:rsid w:val="00847FFE"/>
    <w:rsid w:val="0085006D"/>
    <w:rsid w:val="00850117"/>
    <w:rsid w:val="00850141"/>
    <w:rsid w:val="008501DA"/>
    <w:rsid w:val="00850212"/>
    <w:rsid w:val="00850299"/>
    <w:rsid w:val="008502B4"/>
    <w:rsid w:val="0085031A"/>
    <w:rsid w:val="00850334"/>
    <w:rsid w:val="008503E7"/>
    <w:rsid w:val="00850455"/>
    <w:rsid w:val="0085048D"/>
    <w:rsid w:val="008507D0"/>
    <w:rsid w:val="008507D6"/>
    <w:rsid w:val="0085083E"/>
    <w:rsid w:val="00850958"/>
    <w:rsid w:val="00850AB5"/>
    <w:rsid w:val="00850AE6"/>
    <w:rsid w:val="00850B90"/>
    <w:rsid w:val="00850BB3"/>
    <w:rsid w:val="00850BD1"/>
    <w:rsid w:val="00850CB9"/>
    <w:rsid w:val="00850CE2"/>
    <w:rsid w:val="00850D6E"/>
    <w:rsid w:val="00850DFD"/>
    <w:rsid w:val="00850E82"/>
    <w:rsid w:val="00850EAE"/>
    <w:rsid w:val="00851074"/>
    <w:rsid w:val="008511BE"/>
    <w:rsid w:val="00851207"/>
    <w:rsid w:val="008515A9"/>
    <w:rsid w:val="008515D6"/>
    <w:rsid w:val="008515E4"/>
    <w:rsid w:val="008515FB"/>
    <w:rsid w:val="00851603"/>
    <w:rsid w:val="00851611"/>
    <w:rsid w:val="0085167A"/>
    <w:rsid w:val="0085168E"/>
    <w:rsid w:val="00851709"/>
    <w:rsid w:val="008517E9"/>
    <w:rsid w:val="0085184F"/>
    <w:rsid w:val="00851869"/>
    <w:rsid w:val="00851A05"/>
    <w:rsid w:val="00851AFF"/>
    <w:rsid w:val="00851B48"/>
    <w:rsid w:val="00851C25"/>
    <w:rsid w:val="00851E3D"/>
    <w:rsid w:val="00851E79"/>
    <w:rsid w:val="00851EF5"/>
    <w:rsid w:val="00852006"/>
    <w:rsid w:val="00852015"/>
    <w:rsid w:val="00852059"/>
    <w:rsid w:val="008520AD"/>
    <w:rsid w:val="0085218C"/>
    <w:rsid w:val="00852204"/>
    <w:rsid w:val="0085227E"/>
    <w:rsid w:val="008522AB"/>
    <w:rsid w:val="008522AF"/>
    <w:rsid w:val="0085236F"/>
    <w:rsid w:val="0085259C"/>
    <w:rsid w:val="008526F7"/>
    <w:rsid w:val="0085279F"/>
    <w:rsid w:val="00852960"/>
    <w:rsid w:val="00852A0D"/>
    <w:rsid w:val="00852CB9"/>
    <w:rsid w:val="00852D0E"/>
    <w:rsid w:val="00852EDB"/>
    <w:rsid w:val="00853076"/>
    <w:rsid w:val="00853145"/>
    <w:rsid w:val="0085319D"/>
    <w:rsid w:val="008531E8"/>
    <w:rsid w:val="008531F7"/>
    <w:rsid w:val="00853314"/>
    <w:rsid w:val="00853410"/>
    <w:rsid w:val="008534F7"/>
    <w:rsid w:val="00853542"/>
    <w:rsid w:val="008535D6"/>
    <w:rsid w:val="00853676"/>
    <w:rsid w:val="008536BF"/>
    <w:rsid w:val="0085378B"/>
    <w:rsid w:val="0085380C"/>
    <w:rsid w:val="00853840"/>
    <w:rsid w:val="0085386B"/>
    <w:rsid w:val="00853877"/>
    <w:rsid w:val="0085392C"/>
    <w:rsid w:val="00853AD2"/>
    <w:rsid w:val="00853AFC"/>
    <w:rsid w:val="00853B52"/>
    <w:rsid w:val="00853B60"/>
    <w:rsid w:val="00853B6C"/>
    <w:rsid w:val="00853BD5"/>
    <w:rsid w:val="00853C18"/>
    <w:rsid w:val="00853C87"/>
    <w:rsid w:val="00853D9F"/>
    <w:rsid w:val="00853DD1"/>
    <w:rsid w:val="00853DD2"/>
    <w:rsid w:val="00853E1F"/>
    <w:rsid w:val="00853EB7"/>
    <w:rsid w:val="00853ED7"/>
    <w:rsid w:val="00853F3E"/>
    <w:rsid w:val="00853FDE"/>
    <w:rsid w:val="00854037"/>
    <w:rsid w:val="0085405B"/>
    <w:rsid w:val="008540E3"/>
    <w:rsid w:val="00854134"/>
    <w:rsid w:val="00854145"/>
    <w:rsid w:val="00854163"/>
    <w:rsid w:val="0085424B"/>
    <w:rsid w:val="00854331"/>
    <w:rsid w:val="0085452F"/>
    <w:rsid w:val="008545FB"/>
    <w:rsid w:val="00854754"/>
    <w:rsid w:val="00854783"/>
    <w:rsid w:val="008547ED"/>
    <w:rsid w:val="00854854"/>
    <w:rsid w:val="00854895"/>
    <w:rsid w:val="00854983"/>
    <w:rsid w:val="008549E2"/>
    <w:rsid w:val="00854A75"/>
    <w:rsid w:val="00854A76"/>
    <w:rsid w:val="00854C18"/>
    <w:rsid w:val="00854CAC"/>
    <w:rsid w:val="00854D00"/>
    <w:rsid w:val="00854E41"/>
    <w:rsid w:val="00854E9B"/>
    <w:rsid w:val="00854EBA"/>
    <w:rsid w:val="00854EDD"/>
    <w:rsid w:val="00854FD9"/>
    <w:rsid w:val="008550AC"/>
    <w:rsid w:val="008550D4"/>
    <w:rsid w:val="0085515F"/>
    <w:rsid w:val="0085517A"/>
    <w:rsid w:val="00855183"/>
    <w:rsid w:val="008551A1"/>
    <w:rsid w:val="00855263"/>
    <w:rsid w:val="008552C4"/>
    <w:rsid w:val="0085532D"/>
    <w:rsid w:val="0085538C"/>
    <w:rsid w:val="00855465"/>
    <w:rsid w:val="00855471"/>
    <w:rsid w:val="00855482"/>
    <w:rsid w:val="0085558C"/>
    <w:rsid w:val="0085562B"/>
    <w:rsid w:val="0085587D"/>
    <w:rsid w:val="00855907"/>
    <w:rsid w:val="008559F2"/>
    <w:rsid w:val="00855AB8"/>
    <w:rsid w:val="00855B12"/>
    <w:rsid w:val="00855C20"/>
    <w:rsid w:val="00855C58"/>
    <w:rsid w:val="00855C7D"/>
    <w:rsid w:val="00855DA1"/>
    <w:rsid w:val="00855DCB"/>
    <w:rsid w:val="00855E58"/>
    <w:rsid w:val="00855E7E"/>
    <w:rsid w:val="00855EEA"/>
    <w:rsid w:val="00855F8A"/>
    <w:rsid w:val="00856124"/>
    <w:rsid w:val="008561D9"/>
    <w:rsid w:val="0085625C"/>
    <w:rsid w:val="00856290"/>
    <w:rsid w:val="008562C1"/>
    <w:rsid w:val="00856341"/>
    <w:rsid w:val="008563AF"/>
    <w:rsid w:val="00856435"/>
    <w:rsid w:val="00856513"/>
    <w:rsid w:val="00856677"/>
    <w:rsid w:val="008566A4"/>
    <w:rsid w:val="00856755"/>
    <w:rsid w:val="008567DB"/>
    <w:rsid w:val="0085695C"/>
    <w:rsid w:val="008569D8"/>
    <w:rsid w:val="008569FC"/>
    <w:rsid w:val="00856A18"/>
    <w:rsid w:val="00856A40"/>
    <w:rsid w:val="00856BFE"/>
    <w:rsid w:val="00856BFF"/>
    <w:rsid w:val="00856C5A"/>
    <w:rsid w:val="00856D1E"/>
    <w:rsid w:val="00856D65"/>
    <w:rsid w:val="00856DD9"/>
    <w:rsid w:val="00856DDA"/>
    <w:rsid w:val="0085702A"/>
    <w:rsid w:val="008570E4"/>
    <w:rsid w:val="00857161"/>
    <w:rsid w:val="00857265"/>
    <w:rsid w:val="0085729D"/>
    <w:rsid w:val="00857331"/>
    <w:rsid w:val="0085734C"/>
    <w:rsid w:val="00857371"/>
    <w:rsid w:val="008573C5"/>
    <w:rsid w:val="0085747E"/>
    <w:rsid w:val="00857523"/>
    <w:rsid w:val="008575F9"/>
    <w:rsid w:val="0085760D"/>
    <w:rsid w:val="0085768D"/>
    <w:rsid w:val="008577CE"/>
    <w:rsid w:val="008578C3"/>
    <w:rsid w:val="00857981"/>
    <w:rsid w:val="00857998"/>
    <w:rsid w:val="00857B52"/>
    <w:rsid w:val="00857B95"/>
    <w:rsid w:val="00857BD1"/>
    <w:rsid w:val="00857C19"/>
    <w:rsid w:val="00857C79"/>
    <w:rsid w:val="00857C96"/>
    <w:rsid w:val="00857CD1"/>
    <w:rsid w:val="00857DBA"/>
    <w:rsid w:val="00857E25"/>
    <w:rsid w:val="00857ED3"/>
    <w:rsid w:val="00857FE5"/>
    <w:rsid w:val="00860020"/>
    <w:rsid w:val="0086002F"/>
    <w:rsid w:val="0086005E"/>
    <w:rsid w:val="00860073"/>
    <w:rsid w:val="00860147"/>
    <w:rsid w:val="0086014C"/>
    <w:rsid w:val="00860197"/>
    <w:rsid w:val="00860239"/>
    <w:rsid w:val="0086028E"/>
    <w:rsid w:val="00860294"/>
    <w:rsid w:val="008602D1"/>
    <w:rsid w:val="008602D6"/>
    <w:rsid w:val="00860349"/>
    <w:rsid w:val="0086077B"/>
    <w:rsid w:val="008607F7"/>
    <w:rsid w:val="00860817"/>
    <w:rsid w:val="00860A06"/>
    <w:rsid w:val="00860AEB"/>
    <w:rsid w:val="00860AFA"/>
    <w:rsid w:val="00860B22"/>
    <w:rsid w:val="00860C09"/>
    <w:rsid w:val="00860D73"/>
    <w:rsid w:val="00860E5D"/>
    <w:rsid w:val="00860ECD"/>
    <w:rsid w:val="00861040"/>
    <w:rsid w:val="0086108F"/>
    <w:rsid w:val="008612EC"/>
    <w:rsid w:val="0086139C"/>
    <w:rsid w:val="0086145C"/>
    <w:rsid w:val="00861478"/>
    <w:rsid w:val="008616D8"/>
    <w:rsid w:val="008616F6"/>
    <w:rsid w:val="00861748"/>
    <w:rsid w:val="00861778"/>
    <w:rsid w:val="00861781"/>
    <w:rsid w:val="0086178F"/>
    <w:rsid w:val="008618C3"/>
    <w:rsid w:val="008618C4"/>
    <w:rsid w:val="00861937"/>
    <w:rsid w:val="00861978"/>
    <w:rsid w:val="0086199E"/>
    <w:rsid w:val="00861A70"/>
    <w:rsid w:val="00861AAA"/>
    <w:rsid w:val="00861AD8"/>
    <w:rsid w:val="00861B0A"/>
    <w:rsid w:val="00861C7B"/>
    <w:rsid w:val="00861CC6"/>
    <w:rsid w:val="00861D58"/>
    <w:rsid w:val="00861E34"/>
    <w:rsid w:val="0086203B"/>
    <w:rsid w:val="0086206A"/>
    <w:rsid w:val="008620BF"/>
    <w:rsid w:val="0086217E"/>
    <w:rsid w:val="008622EB"/>
    <w:rsid w:val="008623A9"/>
    <w:rsid w:val="008623AA"/>
    <w:rsid w:val="00862431"/>
    <w:rsid w:val="00862440"/>
    <w:rsid w:val="008624DB"/>
    <w:rsid w:val="00862634"/>
    <w:rsid w:val="0086273A"/>
    <w:rsid w:val="0086279F"/>
    <w:rsid w:val="008628A1"/>
    <w:rsid w:val="008628BB"/>
    <w:rsid w:val="008629FC"/>
    <w:rsid w:val="008629FE"/>
    <w:rsid w:val="00862AA2"/>
    <w:rsid w:val="00862B5F"/>
    <w:rsid w:val="00862C5A"/>
    <w:rsid w:val="00862D21"/>
    <w:rsid w:val="00862D3E"/>
    <w:rsid w:val="00862DD1"/>
    <w:rsid w:val="00862E8C"/>
    <w:rsid w:val="00862EF9"/>
    <w:rsid w:val="00862F88"/>
    <w:rsid w:val="00862FBD"/>
    <w:rsid w:val="00862FDD"/>
    <w:rsid w:val="0086315A"/>
    <w:rsid w:val="00863236"/>
    <w:rsid w:val="00863283"/>
    <w:rsid w:val="00863441"/>
    <w:rsid w:val="008634B6"/>
    <w:rsid w:val="00863605"/>
    <w:rsid w:val="00863723"/>
    <w:rsid w:val="008637AB"/>
    <w:rsid w:val="008637D0"/>
    <w:rsid w:val="008637D8"/>
    <w:rsid w:val="00863851"/>
    <w:rsid w:val="008639CF"/>
    <w:rsid w:val="008639F8"/>
    <w:rsid w:val="00863A17"/>
    <w:rsid w:val="00863AFD"/>
    <w:rsid w:val="00863BFC"/>
    <w:rsid w:val="00863DCD"/>
    <w:rsid w:val="00863F4D"/>
    <w:rsid w:val="00863F5B"/>
    <w:rsid w:val="00863F64"/>
    <w:rsid w:val="00863FAE"/>
    <w:rsid w:val="0086405A"/>
    <w:rsid w:val="008642C6"/>
    <w:rsid w:val="0086439D"/>
    <w:rsid w:val="008643E4"/>
    <w:rsid w:val="00864462"/>
    <w:rsid w:val="00864679"/>
    <w:rsid w:val="008646E5"/>
    <w:rsid w:val="0086473E"/>
    <w:rsid w:val="008647F2"/>
    <w:rsid w:val="00864873"/>
    <w:rsid w:val="008648E4"/>
    <w:rsid w:val="00864B0B"/>
    <w:rsid w:val="00864BB6"/>
    <w:rsid w:val="00864E02"/>
    <w:rsid w:val="00864E8C"/>
    <w:rsid w:val="00864EAB"/>
    <w:rsid w:val="00865070"/>
    <w:rsid w:val="00865137"/>
    <w:rsid w:val="00865142"/>
    <w:rsid w:val="008652C0"/>
    <w:rsid w:val="0086530F"/>
    <w:rsid w:val="00865328"/>
    <w:rsid w:val="00865351"/>
    <w:rsid w:val="008653F7"/>
    <w:rsid w:val="00865406"/>
    <w:rsid w:val="0086540F"/>
    <w:rsid w:val="0086541E"/>
    <w:rsid w:val="00865464"/>
    <w:rsid w:val="0086547E"/>
    <w:rsid w:val="00865515"/>
    <w:rsid w:val="0086564E"/>
    <w:rsid w:val="0086565A"/>
    <w:rsid w:val="00865742"/>
    <w:rsid w:val="008658C4"/>
    <w:rsid w:val="00865950"/>
    <w:rsid w:val="008659D4"/>
    <w:rsid w:val="00865AB8"/>
    <w:rsid w:val="00865B63"/>
    <w:rsid w:val="00865C25"/>
    <w:rsid w:val="00865EBB"/>
    <w:rsid w:val="00865F43"/>
    <w:rsid w:val="00865F64"/>
    <w:rsid w:val="008661A2"/>
    <w:rsid w:val="0086639F"/>
    <w:rsid w:val="0086646F"/>
    <w:rsid w:val="008664BF"/>
    <w:rsid w:val="008664F4"/>
    <w:rsid w:val="00866523"/>
    <w:rsid w:val="0086654F"/>
    <w:rsid w:val="0086660A"/>
    <w:rsid w:val="0086663E"/>
    <w:rsid w:val="008666A4"/>
    <w:rsid w:val="0086670C"/>
    <w:rsid w:val="008667B4"/>
    <w:rsid w:val="00866896"/>
    <w:rsid w:val="008669D9"/>
    <w:rsid w:val="00866B85"/>
    <w:rsid w:val="00866B8D"/>
    <w:rsid w:val="00866C1C"/>
    <w:rsid w:val="00866C93"/>
    <w:rsid w:val="00866D8B"/>
    <w:rsid w:val="00866DDB"/>
    <w:rsid w:val="00866F4A"/>
    <w:rsid w:val="00866F6B"/>
    <w:rsid w:val="00867041"/>
    <w:rsid w:val="0086709C"/>
    <w:rsid w:val="008670F9"/>
    <w:rsid w:val="008670FF"/>
    <w:rsid w:val="008671E5"/>
    <w:rsid w:val="00867284"/>
    <w:rsid w:val="008672BE"/>
    <w:rsid w:val="00867487"/>
    <w:rsid w:val="008674A2"/>
    <w:rsid w:val="008674FD"/>
    <w:rsid w:val="0086751E"/>
    <w:rsid w:val="0086754E"/>
    <w:rsid w:val="0086759A"/>
    <w:rsid w:val="008676AA"/>
    <w:rsid w:val="008676B8"/>
    <w:rsid w:val="00867727"/>
    <w:rsid w:val="008677E7"/>
    <w:rsid w:val="008677FD"/>
    <w:rsid w:val="008677FF"/>
    <w:rsid w:val="0086780D"/>
    <w:rsid w:val="008679F0"/>
    <w:rsid w:val="00867A3D"/>
    <w:rsid w:val="00867ACA"/>
    <w:rsid w:val="00867CE2"/>
    <w:rsid w:val="00867D74"/>
    <w:rsid w:val="00867DB8"/>
    <w:rsid w:val="00867E51"/>
    <w:rsid w:val="00870023"/>
    <w:rsid w:val="0087006C"/>
    <w:rsid w:val="008701DF"/>
    <w:rsid w:val="00870231"/>
    <w:rsid w:val="00870284"/>
    <w:rsid w:val="008702DF"/>
    <w:rsid w:val="00870363"/>
    <w:rsid w:val="0087036B"/>
    <w:rsid w:val="00870387"/>
    <w:rsid w:val="008704D7"/>
    <w:rsid w:val="008704E6"/>
    <w:rsid w:val="008705F2"/>
    <w:rsid w:val="00870711"/>
    <w:rsid w:val="0087075A"/>
    <w:rsid w:val="008707E2"/>
    <w:rsid w:val="00870807"/>
    <w:rsid w:val="008708AC"/>
    <w:rsid w:val="00870AAD"/>
    <w:rsid w:val="00870C14"/>
    <w:rsid w:val="00870CB9"/>
    <w:rsid w:val="00870D18"/>
    <w:rsid w:val="00870D62"/>
    <w:rsid w:val="00870D76"/>
    <w:rsid w:val="00870DF4"/>
    <w:rsid w:val="00870EC4"/>
    <w:rsid w:val="00870F65"/>
    <w:rsid w:val="008710A0"/>
    <w:rsid w:val="008710A4"/>
    <w:rsid w:val="008712FD"/>
    <w:rsid w:val="00871393"/>
    <w:rsid w:val="008714F8"/>
    <w:rsid w:val="008716B3"/>
    <w:rsid w:val="008716F1"/>
    <w:rsid w:val="00871718"/>
    <w:rsid w:val="00871774"/>
    <w:rsid w:val="00871856"/>
    <w:rsid w:val="0087198E"/>
    <w:rsid w:val="008719E1"/>
    <w:rsid w:val="00871B8C"/>
    <w:rsid w:val="00871C59"/>
    <w:rsid w:val="00871D45"/>
    <w:rsid w:val="00871E60"/>
    <w:rsid w:val="0087201E"/>
    <w:rsid w:val="008720B5"/>
    <w:rsid w:val="00872142"/>
    <w:rsid w:val="008723E6"/>
    <w:rsid w:val="0087241E"/>
    <w:rsid w:val="0087245E"/>
    <w:rsid w:val="00872481"/>
    <w:rsid w:val="008724FC"/>
    <w:rsid w:val="00872524"/>
    <w:rsid w:val="0087253A"/>
    <w:rsid w:val="00872549"/>
    <w:rsid w:val="0087258D"/>
    <w:rsid w:val="008726A2"/>
    <w:rsid w:val="008727D0"/>
    <w:rsid w:val="008727E4"/>
    <w:rsid w:val="008727F2"/>
    <w:rsid w:val="008727FE"/>
    <w:rsid w:val="00872804"/>
    <w:rsid w:val="0087283E"/>
    <w:rsid w:val="008728E7"/>
    <w:rsid w:val="00872AF0"/>
    <w:rsid w:val="00872B95"/>
    <w:rsid w:val="00872D10"/>
    <w:rsid w:val="00872D1D"/>
    <w:rsid w:val="00872D7A"/>
    <w:rsid w:val="00872EDC"/>
    <w:rsid w:val="00872EE7"/>
    <w:rsid w:val="00872EEE"/>
    <w:rsid w:val="00872F13"/>
    <w:rsid w:val="00873158"/>
    <w:rsid w:val="008731C0"/>
    <w:rsid w:val="008733FF"/>
    <w:rsid w:val="00873528"/>
    <w:rsid w:val="00873533"/>
    <w:rsid w:val="00873554"/>
    <w:rsid w:val="0087366D"/>
    <w:rsid w:val="008736A8"/>
    <w:rsid w:val="008736CE"/>
    <w:rsid w:val="008736F4"/>
    <w:rsid w:val="00873750"/>
    <w:rsid w:val="00873854"/>
    <w:rsid w:val="0087386A"/>
    <w:rsid w:val="00873905"/>
    <w:rsid w:val="0087395A"/>
    <w:rsid w:val="00873AC7"/>
    <w:rsid w:val="00873D8F"/>
    <w:rsid w:val="00873E54"/>
    <w:rsid w:val="00873F89"/>
    <w:rsid w:val="00874021"/>
    <w:rsid w:val="00874099"/>
    <w:rsid w:val="008740A9"/>
    <w:rsid w:val="008740E7"/>
    <w:rsid w:val="00874160"/>
    <w:rsid w:val="008742F2"/>
    <w:rsid w:val="008743CA"/>
    <w:rsid w:val="0087448E"/>
    <w:rsid w:val="00874497"/>
    <w:rsid w:val="0087455B"/>
    <w:rsid w:val="008745E0"/>
    <w:rsid w:val="00874620"/>
    <w:rsid w:val="0087480B"/>
    <w:rsid w:val="008748D5"/>
    <w:rsid w:val="00874931"/>
    <w:rsid w:val="00874956"/>
    <w:rsid w:val="00874A21"/>
    <w:rsid w:val="00874B37"/>
    <w:rsid w:val="00874B7B"/>
    <w:rsid w:val="00874CA0"/>
    <w:rsid w:val="00874D21"/>
    <w:rsid w:val="00874D28"/>
    <w:rsid w:val="00874DA0"/>
    <w:rsid w:val="00874DE5"/>
    <w:rsid w:val="00874DFC"/>
    <w:rsid w:val="00874ECD"/>
    <w:rsid w:val="00874FF0"/>
    <w:rsid w:val="00875084"/>
    <w:rsid w:val="008750CE"/>
    <w:rsid w:val="0087510B"/>
    <w:rsid w:val="00875126"/>
    <w:rsid w:val="0087519A"/>
    <w:rsid w:val="008751AF"/>
    <w:rsid w:val="0087524D"/>
    <w:rsid w:val="00875261"/>
    <w:rsid w:val="008752B2"/>
    <w:rsid w:val="00875301"/>
    <w:rsid w:val="008753B7"/>
    <w:rsid w:val="008754DF"/>
    <w:rsid w:val="0087551A"/>
    <w:rsid w:val="00875582"/>
    <w:rsid w:val="008755D5"/>
    <w:rsid w:val="008757E8"/>
    <w:rsid w:val="00875897"/>
    <w:rsid w:val="00875948"/>
    <w:rsid w:val="00875A14"/>
    <w:rsid w:val="00875A49"/>
    <w:rsid w:val="00875AA9"/>
    <w:rsid w:val="00875C1D"/>
    <w:rsid w:val="00875C79"/>
    <w:rsid w:val="00875C84"/>
    <w:rsid w:val="00875CE0"/>
    <w:rsid w:val="00875CFF"/>
    <w:rsid w:val="00875EB8"/>
    <w:rsid w:val="00876048"/>
    <w:rsid w:val="008760B5"/>
    <w:rsid w:val="00876135"/>
    <w:rsid w:val="00876152"/>
    <w:rsid w:val="00876210"/>
    <w:rsid w:val="00876233"/>
    <w:rsid w:val="00876277"/>
    <w:rsid w:val="008762F7"/>
    <w:rsid w:val="008763C7"/>
    <w:rsid w:val="008763DE"/>
    <w:rsid w:val="00876507"/>
    <w:rsid w:val="0087682B"/>
    <w:rsid w:val="0087685B"/>
    <w:rsid w:val="00876869"/>
    <w:rsid w:val="008768F6"/>
    <w:rsid w:val="0087696E"/>
    <w:rsid w:val="00876A44"/>
    <w:rsid w:val="00876B07"/>
    <w:rsid w:val="00876B09"/>
    <w:rsid w:val="00876BF1"/>
    <w:rsid w:val="00876BF9"/>
    <w:rsid w:val="00876C6E"/>
    <w:rsid w:val="00876EF6"/>
    <w:rsid w:val="008770EA"/>
    <w:rsid w:val="00877123"/>
    <w:rsid w:val="00877187"/>
    <w:rsid w:val="00877250"/>
    <w:rsid w:val="00877365"/>
    <w:rsid w:val="008773F7"/>
    <w:rsid w:val="0087741D"/>
    <w:rsid w:val="0087742C"/>
    <w:rsid w:val="008774E1"/>
    <w:rsid w:val="0087758D"/>
    <w:rsid w:val="0087764C"/>
    <w:rsid w:val="008777F1"/>
    <w:rsid w:val="008779CA"/>
    <w:rsid w:val="00877A85"/>
    <w:rsid w:val="00877B28"/>
    <w:rsid w:val="00877B2A"/>
    <w:rsid w:val="00877B6C"/>
    <w:rsid w:val="00877C6C"/>
    <w:rsid w:val="00877CBD"/>
    <w:rsid w:val="00877D20"/>
    <w:rsid w:val="00877EEF"/>
    <w:rsid w:val="00877F25"/>
    <w:rsid w:val="00877FAC"/>
    <w:rsid w:val="00877FE3"/>
    <w:rsid w:val="008800C1"/>
    <w:rsid w:val="008800ED"/>
    <w:rsid w:val="00880104"/>
    <w:rsid w:val="0088021D"/>
    <w:rsid w:val="0088024C"/>
    <w:rsid w:val="0088028F"/>
    <w:rsid w:val="0088031B"/>
    <w:rsid w:val="0088038F"/>
    <w:rsid w:val="008803C2"/>
    <w:rsid w:val="0088045E"/>
    <w:rsid w:val="00880516"/>
    <w:rsid w:val="00880762"/>
    <w:rsid w:val="008807D9"/>
    <w:rsid w:val="00880816"/>
    <w:rsid w:val="008809F2"/>
    <w:rsid w:val="00880A6F"/>
    <w:rsid w:val="00880A96"/>
    <w:rsid w:val="00880AA7"/>
    <w:rsid w:val="00880ABA"/>
    <w:rsid w:val="00880ABF"/>
    <w:rsid w:val="00880B75"/>
    <w:rsid w:val="00880B90"/>
    <w:rsid w:val="00880C0B"/>
    <w:rsid w:val="00880C39"/>
    <w:rsid w:val="00880C95"/>
    <w:rsid w:val="00880CCE"/>
    <w:rsid w:val="00880D40"/>
    <w:rsid w:val="00880D7E"/>
    <w:rsid w:val="00880DE4"/>
    <w:rsid w:val="00880F21"/>
    <w:rsid w:val="00880FB8"/>
    <w:rsid w:val="0088108D"/>
    <w:rsid w:val="008810F2"/>
    <w:rsid w:val="00881107"/>
    <w:rsid w:val="00881127"/>
    <w:rsid w:val="00881131"/>
    <w:rsid w:val="00881155"/>
    <w:rsid w:val="008811EA"/>
    <w:rsid w:val="008812E3"/>
    <w:rsid w:val="00881325"/>
    <w:rsid w:val="00881331"/>
    <w:rsid w:val="00881428"/>
    <w:rsid w:val="00881499"/>
    <w:rsid w:val="00881516"/>
    <w:rsid w:val="00881593"/>
    <w:rsid w:val="008816D2"/>
    <w:rsid w:val="008816E5"/>
    <w:rsid w:val="00881767"/>
    <w:rsid w:val="008819BA"/>
    <w:rsid w:val="00881A46"/>
    <w:rsid w:val="00881ABE"/>
    <w:rsid w:val="00881B2F"/>
    <w:rsid w:val="00881C5B"/>
    <w:rsid w:val="00881C8B"/>
    <w:rsid w:val="00881D0F"/>
    <w:rsid w:val="00881D9D"/>
    <w:rsid w:val="00881E17"/>
    <w:rsid w:val="00881F23"/>
    <w:rsid w:val="00881FE7"/>
    <w:rsid w:val="00882003"/>
    <w:rsid w:val="00882047"/>
    <w:rsid w:val="0088205B"/>
    <w:rsid w:val="0088226D"/>
    <w:rsid w:val="0088235F"/>
    <w:rsid w:val="00882425"/>
    <w:rsid w:val="00882470"/>
    <w:rsid w:val="00882543"/>
    <w:rsid w:val="00882630"/>
    <w:rsid w:val="0088278A"/>
    <w:rsid w:val="008827FC"/>
    <w:rsid w:val="0088293B"/>
    <w:rsid w:val="00882975"/>
    <w:rsid w:val="008829FE"/>
    <w:rsid w:val="00882A61"/>
    <w:rsid w:val="00882E0E"/>
    <w:rsid w:val="00882F0A"/>
    <w:rsid w:val="00882F0D"/>
    <w:rsid w:val="00882F10"/>
    <w:rsid w:val="00882F32"/>
    <w:rsid w:val="00883053"/>
    <w:rsid w:val="008830E2"/>
    <w:rsid w:val="0088314D"/>
    <w:rsid w:val="00883198"/>
    <w:rsid w:val="00883239"/>
    <w:rsid w:val="008832FB"/>
    <w:rsid w:val="0088344A"/>
    <w:rsid w:val="00883600"/>
    <w:rsid w:val="00883649"/>
    <w:rsid w:val="0088371F"/>
    <w:rsid w:val="00883818"/>
    <w:rsid w:val="008838C0"/>
    <w:rsid w:val="00883952"/>
    <w:rsid w:val="00883955"/>
    <w:rsid w:val="00883A78"/>
    <w:rsid w:val="00883B25"/>
    <w:rsid w:val="00883CE5"/>
    <w:rsid w:val="00883D5C"/>
    <w:rsid w:val="00883D6B"/>
    <w:rsid w:val="00883D97"/>
    <w:rsid w:val="00883DB7"/>
    <w:rsid w:val="00883F88"/>
    <w:rsid w:val="0088417E"/>
    <w:rsid w:val="00884217"/>
    <w:rsid w:val="0088439E"/>
    <w:rsid w:val="008843C7"/>
    <w:rsid w:val="00884455"/>
    <w:rsid w:val="00884493"/>
    <w:rsid w:val="0088454D"/>
    <w:rsid w:val="00884656"/>
    <w:rsid w:val="008846A9"/>
    <w:rsid w:val="00884720"/>
    <w:rsid w:val="008847D5"/>
    <w:rsid w:val="00884933"/>
    <w:rsid w:val="0088498D"/>
    <w:rsid w:val="00884A0A"/>
    <w:rsid w:val="00884A74"/>
    <w:rsid w:val="00884AC3"/>
    <w:rsid w:val="00884B27"/>
    <w:rsid w:val="00884C42"/>
    <w:rsid w:val="00884CA2"/>
    <w:rsid w:val="00884D72"/>
    <w:rsid w:val="00884D8A"/>
    <w:rsid w:val="00884DC1"/>
    <w:rsid w:val="00884F61"/>
    <w:rsid w:val="00884FE2"/>
    <w:rsid w:val="0088515B"/>
    <w:rsid w:val="008851B7"/>
    <w:rsid w:val="008851C1"/>
    <w:rsid w:val="008852AE"/>
    <w:rsid w:val="008852FF"/>
    <w:rsid w:val="008853CC"/>
    <w:rsid w:val="00885416"/>
    <w:rsid w:val="008855A0"/>
    <w:rsid w:val="008855D3"/>
    <w:rsid w:val="008855E0"/>
    <w:rsid w:val="0088575C"/>
    <w:rsid w:val="008857A5"/>
    <w:rsid w:val="008857F2"/>
    <w:rsid w:val="0088582B"/>
    <w:rsid w:val="008858AA"/>
    <w:rsid w:val="008859FB"/>
    <w:rsid w:val="00885A3B"/>
    <w:rsid w:val="00885A55"/>
    <w:rsid w:val="00885C76"/>
    <w:rsid w:val="00885DFA"/>
    <w:rsid w:val="00885F33"/>
    <w:rsid w:val="00885FE2"/>
    <w:rsid w:val="00886179"/>
    <w:rsid w:val="008862D5"/>
    <w:rsid w:val="00886303"/>
    <w:rsid w:val="0088638B"/>
    <w:rsid w:val="00886434"/>
    <w:rsid w:val="00886490"/>
    <w:rsid w:val="0088662D"/>
    <w:rsid w:val="0088663D"/>
    <w:rsid w:val="008866ED"/>
    <w:rsid w:val="00886782"/>
    <w:rsid w:val="00886869"/>
    <w:rsid w:val="008868A1"/>
    <w:rsid w:val="008868BC"/>
    <w:rsid w:val="00886930"/>
    <w:rsid w:val="0088694C"/>
    <w:rsid w:val="00886A0E"/>
    <w:rsid w:val="00886A1D"/>
    <w:rsid w:val="00886A57"/>
    <w:rsid w:val="00886B26"/>
    <w:rsid w:val="00886B86"/>
    <w:rsid w:val="00886BBC"/>
    <w:rsid w:val="00886C68"/>
    <w:rsid w:val="00886CCD"/>
    <w:rsid w:val="00886DC4"/>
    <w:rsid w:val="00887114"/>
    <w:rsid w:val="008871F0"/>
    <w:rsid w:val="0088727F"/>
    <w:rsid w:val="00887421"/>
    <w:rsid w:val="00887443"/>
    <w:rsid w:val="0088751F"/>
    <w:rsid w:val="008875CD"/>
    <w:rsid w:val="0088773E"/>
    <w:rsid w:val="00887940"/>
    <w:rsid w:val="00887945"/>
    <w:rsid w:val="00887A2F"/>
    <w:rsid w:val="00887A66"/>
    <w:rsid w:val="00887AA7"/>
    <w:rsid w:val="00887BFC"/>
    <w:rsid w:val="00887C30"/>
    <w:rsid w:val="00887C42"/>
    <w:rsid w:val="00887E11"/>
    <w:rsid w:val="00887E15"/>
    <w:rsid w:val="00890054"/>
    <w:rsid w:val="008900C3"/>
    <w:rsid w:val="00890108"/>
    <w:rsid w:val="0089013D"/>
    <w:rsid w:val="00890168"/>
    <w:rsid w:val="00890260"/>
    <w:rsid w:val="0089037E"/>
    <w:rsid w:val="008903D7"/>
    <w:rsid w:val="00890426"/>
    <w:rsid w:val="00890544"/>
    <w:rsid w:val="008905AA"/>
    <w:rsid w:val="008905AE"/>
    <w:rsid w:val="00890658"/>
    <w:rsid w:val="008908DC"/>
    <w:rsid w:val="00890AB9"/>
    <w:rsid w:val="00890B01"/>
    <w:rsid w:val="00890B0E"/>
    <w:rsid w:val="00890BF3"/>
    <w:rsid w:val="00890C11"/>
    <w:rsid w:val="00890D54"/>
    <w:rsid w:val="00890D73"/>
    <w:rsid w:val="00890DC7"/>
    <w:rsid w:val="00890F86"/>
    <w:rsid w:val="00891050"/>
    <w:rsid w:val="0089120C"/>
    <w:rsid w:val="00891235"/>
    <w:rsid w:val="008912E0"/>
    <w:rsid w:val="008913B2"/>
    <w:rsid w:val="008913EA"/>
    <w:rsid w:val="0089142D"/>
    <w:rsid w:val="00891492"/>
    <w:rsid w:val="0089161E"/>
    <w:rsid w:val="0089163A"/>
    <w:rsid w:val="008916B8"/>
    <w:rsid w:val="008916CB"/>
    <w:rsid w:val="008917D2"/>
    <w:rsid w:val="00891833"/>
    <w:rsid w:val="008918BB"/>
    <w:rsid w:val="008919AC"/>
    <w:rsid w:val="008919C3"/>
    <w:rsid w:val="00891ACF"/>
    <w:rsid w:val="00891B1E"/>
    <w:rsid w:val="00891C7A"/>
    <w:rsid w:val="00891D1F"/>
    <w:rsid w:val="00891D9C"/>
    <w:rsid w:val="00891DC0"/>
    <w:rsid w:val="00891DCB"/>
    <w:rsid w:val="00891E3A"/>
    <w:rsid w:val="00891EBE"/>
    <w:rsid w:val="00891F01"/>
    <w:rsid w:val="00891F0E"/>
    <w:rsid w:val="00891F30"/>
    <w:rsid w:val="00891F4B"/>
    <w:rsid w:val="00891FE0"/>
    <w:rsid w:val="0089204E"/>
    <w:rsid w:val="00892122"/>
    <w:rsid w:val="00892272"/>
    <w:rsid w:val="008922B9"/>
    <w:rsid w:val="0089232E"/>
    <w:rsid w:val="008923D6"/>
    <w:rsid w:val="008923DB"/>
    <w:rsid w:val="00892427"/>
    <w:rsid w:val="0089258F"/>
    <w:rsid w:val="00892626"/>
    <w:rsid w:val="00892657"/>
    <w:rsid w:val="0089269A"/>
    <w:rsid w:val="0089269C"/>
    <w:rsid w:val="00892703"/>
    <w:rsid w:val="00892746"/>
    <w:rsid w:val="00892885"/>
    <w:rsid w:val="008928B5"/>
    <w:rsid w:val="00892903"/>
    <w:rsid w:val="00892A02"/>
    <w:rsid w:val="00892A9D"/>
    <w:rsid w:val="00892B04"/>
    <w:rsid w:val="00892CB5"/>
    <w:rsid w:val="00892CE3"/>
    <w:rsid w:val="00892E97"/>
    <w:rsid w:val="00892EFD"/>
    <w:rsid w:val="00892F68"/>
    <w:rsid w:val="00893303"/>
    <w:rsid w:val="008933CD"/>
    <w:rsid w:val="00893506"/>
    <w:rsid w:val="0089350D"/>
    <w:rsid w:val="00893565"/>
    <w:rsid w:val="008935D5"/>
    <w:rsid w:val="00893665"/>
    <w:rsid w:val="0089373F"/>
    <w:rsid w:val="008937F0"/>
    <w:rsid w:val="008938F6"/>
    <w:rsid w:val="00893979"/>
    <w:rsid w:val="008939C5"/>
    <w:rsid w:val="00893A9F"/>
    <w:rsid w:val="00893AAC"/>
    <w:rsid w:val="00893B41"/>
    <w:rsid w:val="00893B9A"/>
    <w:rsid w:val="00893BC3"/>
    <w:rsid w:val="00893C2C"/>
    <w:rsid w:val="00893CFE"/>
    <w:rsid w:val="00893D42"/>
    <w:rsid w:val="00893F56"/>
    <w:rsid w:val="00894058"/>
    <w:rsid w:val="00894170"/>
    <w:rsid w:val="008941A0"/>
    <w:rsid w:val="0089426F"/>
    <w:rsid w:val="008942CE"/>
    <w:rsid w:val="00894560"/>
    <w:rsid w:val="008945EC"/>
    <w:rsid w:val="00894894"/>
    <w:rsid w:val="008948D3"/>
    <w:rsid w:val="00894A28"/>
    <w:rsid w:val="00894AB3"/>
    <w:rsid w:val="00894B60"/>
    <w:rsid w:val="00894D47"/>
    <w:rsid w:val="00894E32"/>
    <w:rsid w:val="00894EBE"/>
    <w:rsid w:val="00895101"/>
    <w:rsid w:val="008952CA"/>
    <w:rsid w:val="008952F2"/>
    <w:rsid w:val="00895376"/>
    <w:rsid w:val="0089539B"/>
    <w:rsid w:val="0089541C"/>
    <w:rsid w:val="00895427"/>
    <w:rsid w:val="008954D7"/>
    <w:rsid w:val="0089556E"/>
    <w:rsid w:val="008957DA"/>
    <w:rsid w:val="0089582F"/>
    <w:rsid w:val="008958F5"/>
    <w:rsid w:val="00895A2C"/>
    <w:rsid w:val="00895C2C"/>
    <w:rsid w:val="00895C2E"/>
    <w:rsid w:val="00895E41"/>
    <w:rsid w:val="0089607D"/>
    <w:rsid w:val="008961D5"/>
    <w:rsid w:val="00896213"/>
    <w:rsid w:val="0089641D"/>
    <w:rsid w:val="00896458"/>
    <w:rsid w:val="008964EF"/>
    <w:rsid w:val="00896649"/>
    <w:rsid w:val="008966BC"/>
    <w:rsid w:val="00896784"/>
    <w:rsid w:val="00896864"/>
    <w:rsid w:val="008968BD"/>
    <w:rsid w:val="008968F1"/>
    <w:rsid w:val="00896916"/>
    <w:rsid w:val="00896CAB"/>
    <w:rsid w:val="00896CD1"/>
    <w:rsid w:val="00896D23"/>
    <w:rsid w:val="00896D56"/>
    <w:rsid w:val="00896D6E"/>
    <w:rsid w:val="00896F34"/>
    <w:rsid w:val="008970DD"/>
    <w:rsid w:val="008972BF"/>
    <w:rsid w:val="0089732B"/>
    <w:rsid w:val="00897404"/>
    <w:rsid w:val="00897432"/>
    <w:rsid w:val="0089746C"/>
    <w:rsid w:val="00897495"/>
    <w:rsid w:val="008974AC"/>
    <w:rsid w:val="008974B6"/>
    <w:rsid w:val="008974D8"/>
    <w:rsid w:val="0089762C"/>
    <w:rsid w:val="0089767E"/>
    <w:rsid w:val="00897686"/>
    <w:rsid w:val="00897697"/>
    <w:rsid w:val="008978E1"/>
    <w:rsid w:val="00897984"/>
    <w:rsid w:val="008979A7"/>
    <w:rsid w:val="008979FD"/>
    <w:rsid w:val="00897A69"/>
    <w:rsid w:val="00897D23"/>
    <w:rsid w:val="00897DD8"/>
    <w:rsid w:val="00897E40"/>
    <w:rsid w:val="00897F1A"/>
    <w:rsid w:val="00897F65"/>
    <w:rsid w:val="008A01BF"/>
    <w:rsid w:val="008A0243"/>
    <w:rsid w:val="008A02E5"/>
    <w:rsid w:val="008A04E6"/>
    <w:rsid w:val="008A0616"/>
    <w:rsid w:val="008A084E"/>
    <w:rsid w:val="008A087E"/>
    <w:rsid w:val="008A08F4"/>
    <w:rsid w:val="008A091B"/>
    <w:rsid w:val="008A0952"/>
    <w:rsid w:val="008A0970"/>
    <w:rsid w:val="008A0975"/>
    <w:rsid w:val="008A0AF5"/>
    <w:rsid w:val="008A0E25"/>
    <w:rsid w:val="008A0E33"/>
    <w:rsid w:val="008A0E83"/>
    <w:rsid w:val="008A10A6"/>
    <w:rsid w:val="008A10C5"/>
    <w:rsid w:val="008A1142"/>
    <w:rsid w:val="008A11A7"/>
    <w:rsid w:val="008A13BC"/>
    <w:rsid w:val="008A14CC"/>
    <w:rsid w:val="008A1546"/>
    <w:rsid w:val="008A15B9"/>
    <w:rsid w:val="008A1606"/>
    <w:rsid w:val="008A16BD"/>
    <w:rsid w:val="008A16C1"/>
    <w:rsid w:val="008A16CB"/>
    <w:rsid w:val="008A175A"/>
    <w:rsid w:val="008A1793"/>
    <w:rsid w:val="008A1804"/>
    <w:rsid w:val="008A1A4A"/>
    <w:rsid w:val="008A1AF3"/>
    <w:rsid w:val="008A1DC7"/>
    <w:rsid w:val="008A1EC1"/>
    <w:rsid w:val="008A1F0E"/>
    <w:rsid w:val="008A1F81"/>
    <w:rsid w:val="008A2127"/>
    <w:rsid w:val="008A225E"/>
    <w:rsid w:val="008A2264"/>
    <w:rsid w:val="008A2293"/>
    <w:rsid w:val="008A248C"/>
    <w:rsid w:val="008A2492"/>
    <w:rsid w:val="008A2538"/>
    <w:rsid w:val="008A25AB"/>
    <w:rsid w:val="008A25C7"/>
    <w:rsid w:val="008A267F"/>
    <w:rsid w:val="008A2708"/>
    <w:rsid w:val="008A298C"/>
    <w:rsid w:val="008A29A6"/>
    <w:rsid w:val="008A29AC"/>
    <w:rsid w:val="008A29BA"/>
    <w:rsid w:val="008A2ABE"/>
    <w:rsid w:val="008A2B3E"/>
    <w:rsid w:val="008A2BB9"/>
    <w:rsid w:val="008A2BDE"/>
    <w:rsid w:val="008A2C43"/>
    <w:rsid w:val="008A2CB1"/>
    <w:rsid w:val="008A2CFC"/>
    <w:rsid w:val="008A2E67"/>
    <w:rsid w:val="008A2EB8"/>
    <w:rsid w:val="008A2ECD"/>
    <w:rsid w:val="008A2EED"/>
    <w:rsid w:val="008A2EFB"/>
    <w:rsid w:val="008A2F55"/>
    <w:rsid w:val="008A30A3"/>
    <w:rsid w:val="008A30E9"/>
    <w:rsid w:val="008A325B"/>
    <w:rsid w:val="008A3273"/>
    <w:rsid w:val="008A332F"/>
    <w:rsid w:val="008A33E4"/>
    <w:rsid w:val="008A3447"/>
    <w:rsid w:val="008A34DE"/>
    <w:rsid w:val="008A358A"/>
    <w:rsid w:val="008A387F"/>
    <w:rsid w:val="008A391F"/>
    <w:rsid w:val="008A3A14"/>
    <w:rsid w:val="008A3A2D"/>
    <w:rsid w:val="008A3A3D"/>
    <w:rsid w:val="008A3AE3"/>
    <w:rsid w:val="008A3B88"/>
    <w:rsid w:val="008A3CB0"/>
    <w:rsid w:val="008A3E65"/>
    <w:rsid w:val="008A3E8F"/>
    <w:rsid w:val="008A3F46"/>
    <w:rsid w:val="008A3F66"/>
    <w:rsid w:val="008A3FB3"/>
    <w:rsid w:val="008A4161"/>
    <w:rsid w:val="008A4231"/>
    <w:rsid w:val="008A423A"/>
    <w:rsid w:val="008A42D4"/>
    <w:rsid w:val="008A42D8"/>
    <w:rsid w:val="008A4312"/>
    <w:rsid w:val="008A43FB"/>
    <w:rsid w:val="008A44EA"/>
    <w:rsid w:val="008A457D"/>
    <w:rsid w:val="008A45A9"/>
    <w:rsid w:val="008A46CA"/>
    <w:rsid w:val="008A49F6"/>
    <w:rsid w:val="008A4A6B"/>
    <w:rsid w:val="008A4A9C"/>
    <w:rsid w:val="008A4B7D"/>
    <w:rsid w:val="008A4BE8"/>
    <w:rsid w:val="008A4C82"/>
    <w:rsid w:val="008A4D14"/>
    <w:rsid w:val="008A4D1C"/>
    <w:rsid w:val="008A4D48"/>
    <w:rsid w:val="008A4F32"/>
    <w:rsid w:val="008A501E"/>
    <w:rsid w:val="008A5195"/>
    <w:rsid w:val="008A5205"/>
    <w:rsid w:val="008A5339"/>
    <w:rsid w:val="008A553F"/>
    <w:rsid w:val="008A555D"/>
    <w:rsid w:val="008A56D8"/>
    <w:rsid w:val="008A56F5"/>
    <w:rsid w:val="008A57E8"/>
    <w:rsid w:val="008A587E"/>
    <w:rsid w:val="008A591C"/>
    <w:rsid w:val="008A59F9"/>
    <w:rsid w:val="008A5A0C"/>
    <w:rsid w:val="008A5A2C"/>
    <w:rsid w:val="008A5A3C"/>
    <w:rsid w:val="008A5A88"/>
    <w:rsid w:val="008A5ABB"/>
    <w:rsid w:val="008A5C1E"/>
    <w:rsid w:val="008A5CAB"/>
    <w:rsid w:val="008A5E53"/>
    <w:rsid w:val="008A5E5F"/>
    <w:rsid w:val="008A5F36"/>
    <w:rsid w:val="008A5F78"/>
    <w:rsid w:val="008A5F9F"/>
    <w:rsid w:val="008A6133"/>
    <w:rsid w:val="008A616E"/>
    <w:rsid w:val="008A6240"/>
    <w:rsid w:val="008A624B"/>
    <w:rsid w:val="008A62E5"/>
    <w:rsid w:val="008A63D1"/>
    <w:rsid w:val="008A6412"/>
    <w:rsid w:val="008A6413"/>
    <w:rsid w:val="008A641D"/>
    <w:rsid w:val="008A686F"/>
    <w:rsid w:val="008A687F"/>
    <w:rsid w:val="008A68A5"/>
    <w:rsid w:val="008A68B0"/>
    <w:rsid w:val="008A6994"/>
    <w:rsid w:val="008A69A2"/>
    <w:rsid w:val="008A6A11"/>
    <w:rsid w:val="008A6ADB"/>
    <w:rsid w:val="008A6B39"/>
    <w:rsid w:val="008A6B5B"/>
    <w:rsid w:val="008A6B8A"/>
    <w:rsid w:val="008A6C5A"/>
    <w:rsid w:val="008A6C8A"/>
    <w:rsid w:val="008A6C8D"/>
    <w:rsid w:val="008A6D78"/>
    <w:rsid w:val="008A6E90"/>
    <w:rsid w:val="008A6F2D"/>
    <w:rsid w:val="008A6FA4"/>
    <w:rsid w:val="008A702B"/>
    <w:rsid w:val="008A7110"/>
    <w:rsid w:val="008A7153"/>
    <w:rsid w:val="008A715A"/>
    <w:rsid w:val="008A73A6"/>
    <w:rsid w:val="008A7567"/>
    <w:rsid w:val="008A756D"/>
    <w:rsid w:val="008A7576"/>
    <w:rsid w:val="008A7582"/>
    <w:rsid w:val="008A7593"/>
    <w:rsid w:val="008A759C"/>
    <w:rsid w:val="008A7851"/>
    <w:rsid w:val="008A7A06"/>
    <w:rsid w:val="008A7B28"/>
    <w:rsid w:val="008A7B64"/>
    <w:rsid w:val="008A7C58"/>
    <w:rsid w:val="008A7D19"/>
    <w:rsid w:val="008A7D47"/>
    <w:rsid w:val="008B008D"/>
    <w:rsid w:val="008B00B2"/>
    <w:rsid w:val="008B00F3"/>
    <w:rsid w:val="008B0188"/>
    <w:rsid w:val="008B019B"/>
    <w:rsid w:val="008B01BE"/>
    <w:rsid w:val="008B0259"/>
    <w:rsid w:val="008B029A"/>
    <w:rsid w:val="008B033E"/>
    <w:rsid w:val="008B03BD"/>
    <w:rsid w:val="008B03F2"/>
    <w:rsid w:val="008B053A"/>
    <w:rsid w:val="008B055D"/>
    <w:rsid w:val="008B069B"/>
    <w:rsid w:val="008B06A2"/>
    <w:rsid w:val="008B0799"/>
    <w:rsid w:val="008B0994"/>
    <w:rsid w:val="008B09B9"/>
    <w:rsid w:val="008B0B08"/>
    <w:rsid w:val="008B0B0F"/>
    <w:rsid w:val="008B0B4B"/>
    <w:rsid w:val="008B0B88"/>
    <w:rsid w:val="008B0C1F"/>
    <w:rsid w:val="008B0C66"/>
    <w:rsid w:val="008B0C9A"/>
    <w:rsid w:val="008B0CA3"/>
    <w:rsid w:val="008B0DBD"/>
    <w:rsid w:val="008B0E05"/>
    <w:rsid w:val="008B0EB1"/>
    <w:rsid w:val="008B0FAA"/>
    <w:rsid w:val="008B10FB"/>
    <w:rsid w:val="008B1168"/>
    <w:rsid w:val="008B1335"/>
    <w:rsid w:val="008B13F7"/>
    <w:rsid w:val="008B1433"/>
    <w:rsid w:val="008B1440"/>
    <w:rsid w:val="008B1480"/>
    <w:rsid w:val="008B15E8"/>
    <w:rsid w:val="008B1625"/>
    <w:rsid w:val="008B1626"/>
    <w:rsid w:val="008B1874"/>
    <w:rsid w:val="008B1879"/>
    <w:rsid w:val="008B18EA"/>
    <w:rsid w:val="008B197A"/>
    <w:rsid w:val="008B19E0"/>
    <w:rsid w:val="008B1C59"/>
    <w:rsid w:val="008B1CBD"/>
    <w:rsid w:val="008B1CF8"/>
    <w:rsid w:val="008B1D73"/>
    <w:rsid w:val="008B1F1F"/>
    <w:rsid w:val="008B1F4A"/>
    <w:rsid w:val="008B1FD6"/>
    <w:rsid w:val="008B1FE2"/>
    <w:rsid w:val="008B2002"/>
    <w:rsid w:val="008B2044"/>
    <w:rsid w:val="008B206F"/>
    <w:rsid w:val="008B20B1"/>
    <w:rsid w:val="008B2247"/>
    <w:rsid w:val="008B2350"/>
    <w:rsid w:val="008B23AD"/>
    <w:rsid w:val="008B25E5"/>
    <w:rsid w:val="008B2602"/>
    <w:rsid w:val="008B2629"/>
    <w:rsid w:val="008B2660"/>
    <w:rsid w:val="008B26AD"/>
    <w:rsid w:val="008B2704"/>
    <w:rsid w:val="008B27B9"/>
    <w:rsid w:val="008B28B9"/>
    <w:rsid w:val="008B28CE"/>
    <w:rsid w:val="008B2910"/>
    <w:rsid w:val="008B29CA"/>
    <w:rsid w:val="008B2A1E"/>
    <w:rsid w:val="008B2A6C"/>
    <w:rsid w:val="008B2A75"/>
    <w:rsid w:val="008B2AA0"/>
    <w:rsid w:val="008B2B09"/>
    <w:rsid w:val="008B2C1D"/>
    <w:rsid w:val="008B2D40"/>
    <w:rsid w:val="008B2DD9"/>
    <w:rsid w:val="008B2F13"/>
    <w:rsid w:val="008B2F78"/>
    <w:rsid w:val="008B2FC0"/>
    <w:rsid w:val="008B3055"/>
    <w:rsid w:val="008B30A8"/>
    <w:rsid w:val="008B30BD"/>
    <w:rsid w:val="008B30BF"/>
    <w:rsid w:val="008B30D9"/>
    <w:rsid w:val="008B3107"/>
    <w:rsid w:val="008B3379"/>
    <w:rsid w:val="008B33AC"/>
    <w:rsid w:val="008B3519"/>
    <w:rsid w:val="008B3624"/>
    <w:rsid w:val="008B365F"/>
    <w:rsid w:val="008B3672"/>
    <w:rsid w:val="008B37E7"/>
    <w:rsid w:val="008B380C"/>
    <w:rsid w:val="008B3813"/>
    <w:rsid w:val="008B3838"/>
    <w:rsid w:val="008B383C"/>
    <w:rsid w:val="008B3A34"/>
    <w:rsid w:val="008B3B5D"/>
    <w:rsid w:val="008B3C1E"/>
    <w:rsid w:val="008B3D1F"/>
    <w:rsid w:val="008B3DCF"/>
    <w:rsid w:val="008B3DD0"/>
    <w:rsid w:val="008B3E12"/>
    <w:rsid w:val="008B3EAC"/>
    <w:rsid w:val="008B3ED4"/>
    <w:rsid w:val="008B3F0F"/>
    <w:rsid w:val="008B3F8A"/>
    <w:rsid w:val="008B3FCC"/>
    <w:rsid w:val="008B4060"/>
    <w:rsid w:val="008B4105"/>
    <w:rsid w:val="008B41DB"/>
    <w:rsid w:val="008B4365"/>
    <w:rsid w:val="008B4392"/>
    <w:rsid w:val="008B443F"/>
    <w:rsid w:val="008B450F"/>
    <w:rsid w:val="008B456E"/>
    <w:rsid w:val="008B462C"/>
    <w:rsid w:val="008B4682"/>
    <w:rsid w:val="008B468B"/>
    <w:rsid w:val="008B4761"/>
    <w:rsid w:val="008B49D5"/>
    <w:rsid w:val="008B4B0C"/>
    <w:rsid w:val="008B4C10"/>
    <w:rsid w:val="008B4CDC"/>
    <w:rsid w:val="008B4D20"/>
    <w:rsid w:val="008B4DBD"/>
    <w:rsid w:val="008B4FA1"/>
    <w:rsid w:val="008B5056"/>
    <w:rsid w:val="008B5096"/>
    <w:rsid w:val="008B51E1"/>
    <w:rsid w:val="008B5374"/>
    <w:rsid w:val="008B541B"/>
    <w:rsid w:val="008B551D"/>
    <w:rsid w:val="008B55DB"/>
    <w:rsid w:val="008B5667"/>
    <w:rsid w:val="008B57A0"/>
    <w:rsid w:val="008B5876"/>
    <w:rsid w:val="008B595E"/>
    <w:rsid w:val="008B5A31"/>
    <w:rsid w:val="008B5B19"/>
    <w:rsid w:val="008B5BAB"/>
    <w:rsid w:val="008B5BB8"/>
    <w:rsid w:val="008B5BBA"/>
    <w:rsid w:val="008B5C3E"/>
    <w:rsid w:val="008B5C63"/>
    <w:rsid w:val="008B5C7F"/>
    <w:rsid w:val="008B5C8F"/>
    <w:rsid w:val="008B5D03"/>
    <w:rsid w:val="008B5DAC"/>
    <w:rsid w:val="008B60DC"/>
    <w:rsid w:val="008B60F4"/>
    <w:rsid w:val="008B619D"/>
    <w:rsid w:val="008B61E8"/>
    <w:rsid w:val="008B623C"/>
    <w:rsid w:val="008B62CA"/>
    <w:rsid w:val="008B63D3"/>
    <w:rsid w:val="008B648B"/>
    <w:rsid w:val="008B65CB"/>
    <w:rsid w:val="008B677B"/>
    <w:rsid w:val="008B69A2"/>
    <w:rsid w:val="008B6AF5"/>
    <w:rsid w:val="008B6BBA"/>
    <w:rsid w:val="008B6C00"/>
    <w:rsid w:val="008B6C6E"/>
    <w:rsid w:val="008B6ED0"/>
    <w:rsid w:val="008B6ED9"/>
    <w:rsid w:val="008B6F2E"/>
    <w:rsid w:val="008B6F5B"/>
    <w:rsid w:val="008B7018"/>
    <w:rsid w:val="008B702A"/>
    <w:rsid w:val="008B7075"/>
    <w:rsid w:val="008B71D5"/>
    <w:rsid w:val="008B7203"/>
    <w:rsid w:val="008B7250"/>
    <w:rsid w:val="008B72EF"/>
    <w:rsid w:val="008B73A5"/>
    <w:rsid w:val="008B7411"/>
    <w:rsid w:val="008B74D7"/>
    <w:rsid w:val="008B75B9"/>
    <w:rsid w:val="008B7616"/>
    <w:rsid w:val="008B7645"/>
    <w:rsid w:val="008B7661"/>
    <w:rsid w:val="008B770D"/>
    <w:rsid w:val="008B7732"/>
    <w:rsid w:val="008B7786"/>
    <w:rsid w:val="008B77FC"/>
    <w:rsid w:val="008B781C"/>
    <w:rsid w:val="008B7886"/>
    <w:rsid w:val="008B78B4"/>
    <w:rsid w:val="008B79DF"/>
    <w:rsid w:val="008B79F1"/>
    <w:rsid w:val="008B7AB8"/>
    <w:rsid w:val="008B7B50"/>
    <w:rsid w:val="008B7B58"/>
    <w:rsid w:val="008B7C54"/>
    <w:rsid w:val="008B7DB8"/>
    <w:rsid w:val="008B7EBB"/>
    <w:rsid w:val="008B7FAD"/>
    <w:rsid w:val="008C0269"/>
    <w:rsid w:val="008C02A2"/>
    <w:rsid w:val="008C02CB"/>
    <w:rsid w:val="008C02CF"/>
    <w:rsid w:val="008C034C"/>
    <w:rsid w:val="008C0368"/>
    <w:rsid w:val="008C0413"/>
    <w:rsid w:val="008C044E"/>
    <w:rsid w:val="008C04EB"/>
    <w:rsid w:val="008C04FC"/>
    <w:rsid w:val="008C065B"/>
    <w:rsid w:val="008C0743"/>
    <w:rsid w:val="008C0783"/>
    <w:rsid w:val="008C07F8"/>
    <w:rsid w:val="008C0856"/>
    <w:rsid w:val="008C0987"/>
    <w:rsid w:val="008C0B3B"/>
    <w:rsid w:val="008C0B43"/>
    <w:rsid w:val="008C0BAE"/>
    <w:rsid w:val="008C0BB6"/>
    <w:rsid w:val="008C0C2A"/>
    <w:rsid w:val="008C0D63"/>
    <w:rsid w:val="008C0DE4"/>
    <w:rsid w:val="008C0E07"/>
    <w:rsid w:val="008C0F6F"/>
    <w:rsid w:val="008C1033"/>
    <w:rsid w:val="008C10C3"/>
    <w:rsid w:val="008C10C7"/>
    <w:rsid w:val="008C1229"/>
    <w:rsid w:val="008C1238"/>
    <w:rsid w:val="008C1360"/>
    <w:rsid w:val="008C1420"/>
    <w:rsid w:val="008C14EC"/>
    <w:rsid w:val="008C1545"/>
    <w:rsid w:val="008C168A"/>
    <w:rsid w:val="008C18C4"/>
    <w:rsid w:val="008C1A91"/>
    <w:rsid w:val="008C1B6F"/>
    <w:rsid w:val="008C1C51"/>
    <w:rsid w:val="008C1D07"/>
    <w:rsid w:val="008C1D32"/>
    <w:rsid w:val="008C1DBE"/>
    <w:rsid w:val="008C1DD7"/>
    <w:rsid w:val="008C1E88"/>
    <w:rsid w:val="008C1F80"/>
    <w:rsid w:val="008C1FBE"/>
    <w:rsid w:val="008C1FD1"/>
    <w:rsid w:val="008C1FF6"/>
    <w:rsid w:val="008C20C6"/>
    <w:rsid w:val="008C20DE"/>
    <w:rsid w:val="008C21F1"/>
    <w:rsid w:val="008C221C"/>
    <w:rsid w:val="008C22FA"/>
    <w:rsid w:val="008C23C3"/>
    <w:rsid w:val="008C244A"/>
    <w:rsid w:val="008C27F7"/>
    <w:rsid w:val="008C286B"/>
    <w:rsid w:val="008C2900"/>
    <w:rsid w:val="008C295B"/>
    <w:rsid w:val="008C297B"/>
    <w:rsid w:val="008C297D"/>
    <w:rsid w:val="008C2B81"/>
    <w:rsid w:val="008C2C90"/>
    <w:rsid w:val="008C2DA3"/>
    <w:rsid w:val="008C2DA4"/>
    <w:rsid w:val="008C2DB4"/>
    <w:rsid w:val="008C2DB9"/>
    <w:rsid w:val="008C2DCA"/>
    <w:rsid w:val="008C2E12"/>
    <w:rsid w:val="008C2E41"/>
    <w:rsid w:val="008C2E93"/>
    <w:rsid w:val="008C2EBF"/>
    <w:rsid w:val="008C2EF9"/>
    <w:rsid w:val="008C2F18"/>
    <w:rsid w:val="008C304F"/>
    <w:rsid w:val="008C309A"/>
    <w:rsid w:val="008C31F6"/>
    <w:rsid w:val="008C3243"/>
    <w:rsid w:val="008C3251"/>
    <w:rsid w:val="008C32E4"/>
    <w:rsid w:val="008C3327"/>
    <w:rsid w:val="008C335C"/>
    <w:rsid w:val="008C340B"/>
    <w:rsid w:val="008C3439"/>
    <w:rsid w:val="008C3601"/>
    <w:rsid w:val="008C3748"/>
    <w:rsid w:val="008C379B"/>
    <w:rsid w:val="008C3873"/>
    <w:rsid w:val="008C38E2"/>
    <w:rsid w:val="008C39F8"/>
    <w:rsid w:val="008C3A61"/>
    <w:rsid w:val="008C3B6C"/>
    <w:rsid w:val="008C3BF1"/>
    <w:rsid w:val="008C3D08"/>
    <w:rsid w:val="008C3DFE"/>
    <w:rsid w:val="008C3E13"/>
    <w:rsid w:val="008C3E6D"/>
    <w:rsid w:val="008C3F0D"/>
    <w:rsid w:val="008C3F22"/>
    <w:rsid w:val="008C3F86"/>
    <w:rsid w:val="008C412A"/>
    <w:rsid w:val="008C41DC"/>
    <w:rsid w:val="008C41E1"/>
    <w:rsid w:val="008C42BD"/>
    <w:rsid w:val="008C436C"/>
    <w:rsid w:val="008C4438"/>
    <w:rsid w:val="008C44FA"/>
    <w:rsid w:val="008C4562"/>
    <w:rsid w:val="008C45B5"/>
    <w:rsid w:val="008C45D6"/>
    <w:rsid w:val="008C46A5"/>
    <w:rsid w:val="008C4723"/>
    <w:rsid w:val="008C4788"/>
    <w:rsid w:val="008C47B6"/>
    <w:rsid w:val="008C47BA"/>
    <w:rsid w:val="008C4812"/>
    <w:rsid w:val="008C4815"/>
    <w:rsid w:val="008C4821"/>
    <w:rsid w:val="008C48B5"/>
    <w:rsid w:val="008C491D"/>
    <w:rsid w:val="008C4984"/>
    <w:rsid w:val="008C49B2"/>
    <w:rsid w:val="008C49D0"/>
    <w:rsid w:val="008C4A4D"/>
    <w:rsid w:val="008C4A4E"/>
    <w:rsid w:val="008C4AB1"/>
    <w:rsid w:val="008C4C19"/>
    <w:rsid w:val="008C4C28"/>
    <w:rsid w:val="008C4F5F"/>
    <w:rsid w:val="008C5043"/>
    <w:rsid w:val="008C50C4"/>
    <w:rsid w:val="008C51B0"/>
    <w:rsid w:val="008C51F9"/>
    <w:rsid w:val="008C5216"/>
    <w:rsid w:val="008C531B"/>
    <w:rsid w:val="008C5367"/>
    <w:rsid w:val="008C536A"/>
    <w:rsid w:val="008C5384"/>
    <w:rsid w:val="008C5500"/>
    <w:rsid w:val="008C5513"/>
    <w:rsid w:val="008C553B"/>
    <w:rsid w:val="008C55A8"/>
    <w:rsid w:val="008C576C"/>
    <w:rsid w:val="008C5872"/>
    <w:rsid w:val="008C59F0"/>
    <w:rsid w:val="008C5A32"/>
    <w:rsid w:val="008C5A74"/>
    <w:rsid w:val="008C5B09"/>
    <w:rsid w:val="008C5B1C"/>
    <w:rsid w:val="008C5C3A"/>
    <w:rsid w:val="008C5C5D"/>
    <w:rsid w:val="008C5C9A"/>
    <w:rsid w:val="008C5DA7"/>
    <w:rsid w:val="008C5DA9"/>
    <w:rsid w:val="008C5DE1"/>
    <w:rsid w:val="008C61EB"/>
    <w:rsid w:val="008C6464"/>
    <w:rsid w:val="008C6539"/>
    <w:rsid w:val="008C6939"/>
    <w:rsid w:val="008C69A5"/>
    <w:rsid w:val="008C6A30"/>
    <w:rsid w:val="008C6A5E"/>
    <w:rsid w:val="008C6AB6"/>
    <w:rsid w:val="008C6CBE"/>
    <w:rsid w:val="008C6CF7"/>
    <w:rsid w:val="008C6D1F"/>
    <w:rsid w:val="008C6D74"/>
    <w:rsid w:val="008C6EBD"/>
    <w:rsid w:val="008C702B"/>
    <w:rsid w:val="008C7069"/>
    <w:rsid w:val="008C70FA"/>
    <w:rsid w:val="008C7196"/>
    <w:rsid w:val="008C7220"/>
    <w:rsid w:val="008C730F"/>
    <w:rsid w:val="008C7383"/>
    <w:rsid w:val="008C75B6"/>
    <w:rsid w:val="008C75DD"/>
    <w:rsid w:val="008C76AD"/>
    <w:rsid w:val="008C76B1"/>
    <w:rsid w:val="008C7718"/>
    <w:rsid w:val="008C7914"/>
    <w:rsid w:val="008C796B"/>
    <w:rsid w:val="008C7979"/>
    <w:rsid w:val="008C7ABD"/>
    <w:rsid w:val="008C7B89"/>
    <w:rsid w:val="008C7BEB"/>
    <w:rsid w:val="008C7D0E"/>
    <w:rsid w:val="008C7E7A"/>
    <w:rsid w:val="008C7E90"/>
    <w:rsid w:val="008C7EF9"/>
    <w:rsid w:val="008D0057"/>
    <w:rsid w:val="008D0128"/>
    <w:rsid w:val="008D0134"/>
    <w:rsid w:val="008D0233"/>
    <w:rsid w:val="008D0268"/>
    <w:rsid w:val="008D0277"/>
    <w:rsid w:val="008D037C"/>
    <w:rsid w:val="008D04E2"/>
    <w:rsid w:val="008D059A"/>
    <w:rsid w:val="008D07D5"/>
    <w:rsid w:val="008D07F3"/>
    <w:rsid w:val="008D07F9"/>
    <w:rsid w:val="008D0808"/>
    <w:rsid w:val="008D0888"/>
    <w:rsid w:val="008D08B9"/>
    <w:rsid w:val="008D0969"/>
    <w:rsid w:val="008D0B44"/>
    <w:rsid w:val="008D0B6F"/>
    <w:rsid w:val="008D0BC3"/>
    <w:rsid w:val="008D0C7E"/>
    <w:rsid w:val="008D0E05"/>
    <w:rsid w:val="008D0F0C"/>
    <w:rsid w:val="008D0F10"/>
    <w:rsid w:val="008D0F26"/>
    <w:rsid w:val="008D0FD1"/>
    <w:rsid w:val="008D1096"/>
    <w:rsid w:val="008D109E"/>
    <w:rsid w:val="008D10CE"/>
    <w:rsid w:val="008D1134"/>
    <w:rsid w:val="008D11A8"/>
    <w:rsid w:val="008D12FE"/>
    <w:rsid w:val="008D136E"/>
    <w:rsid w:val="008D13BF"/>
    <w:rsid w:val="008D1546"/>
    <w:rsid w:val="008D1665"/>
    <w:rsid w:val="008D18A0"/>
    <w:rsid w:val="008D1926"/>
    <w:rsid w:val="008D19DF"/>
    <w:rsid w:val="008D1B4B"/>
    <w:rsid w:val="008D1FEC"/>
    <w:rsid w:val="008D2148"/>
    <w:rsid w:val="008D225F"/>
    <w:rsid w:val="008D23E6"/>
    <w:rsid w:val="008D2470"/>
    <w:rsid w:val="008D24FF"/>
    <w:rsid w:val="008D263F"/>
    <w:rsid w:val="008D27EF"/>
    <w:rsid w:val="008D2860"/>
    <w:rsid w:val="008D2895"/>
    <w:rsid w:val="008D29A5"/>
    <w:rsid w:val="008D29BC"/>
    <w:rsid w:val="008D29EB"/>
    <w:rsid w:val="008D2A38"/>
    <w:rsid w:val="008D2A76"/>
    <w:rsid w:val="008D2BC8"/>
    <w:rsid w:val="008D2C59"/>
    <w:rsid w:val="008D2C89"/>
    <w:rsid w:val="008D2D28"/>
    <w:rsid w:val="008D2D45"/>
    <w:rsid w:val="008D2E19"/>
    <w:rsid w:val="008D2E8B"/>
    <w:rsid w:val="008D2ED0"/>
    <w:rsid w:val="008D2EE8"/>
    <w:rsid w:val="008D2F94"/>
    <w:rsid w:val="008D3044"/>
    <w:rsid w:val="008D30A4"/>
    <w:rsid w:val="008D3203"/>
    <w:rsid w:val="008D3232"/>
    <w:rsid w:val="008D34CD"/>
    <w:rsid w:val="008D3529"/>
    <w:rsid w:val="008D359A"/>
    <w:rsid w:val="008D38EC"/>
    <w:rsid w:val="008D396D"/>
    <w:rsid w:val="008D3AB1"/>
    <w:rsid w:val="008D3E64"/>
    <w:rsid w:val="008D3F0F"/>
    <w:rsid w:val="008D3FD4"/>
    <w:rsid w:val="008D409C"/>
    <w:rsid w:val="008D4107"/>
    <w:rsid w:val="008D431B"/>
    <w:rsid w:val="008D4353"/>
    <w:rsid w:val="008D436E"/>
    <w:rsid w:val="008D43D8"/>
    <w:rsid w:val="008D4696"/>
    <w:rsid w:val="008D471E"/>
    <w:rsid w:val="008D475A"/>
    <w:rsid w:val="008D47C4"/>
    <w:rsid w:val="008D4821"/>
    <w:rsid w:val="008D48F6"/>
    <w:rsid w:val="008D4990"/>
    <w:rsid w:val="008D49D1"/>
    <w:rsid w:val="008D4AF2"/>
    <w:rsid w:val="008D4B14"/>
    <w:rsid w:val="008D4BCF"/>
    <w:rsid w:val="008D4C46"/>
    <w:rsid w:val="008D4CA3"/>
    <w:rsid w:val="008D4D06"/>
    <w:rsid w:val="008D4D47"/>
    <w:rsid w:val="008D4E0A"/>
    <w:rsid w:val="008D4E96"/>
    <w:rsid w:val="008D4F33"/>
    <w:rsid w:val="008D4F61"/>
    <w:rsid w:val="008D4F63"/>
    <w:rsid w:val="008D4FBB"/>
    <w:rsid w:val="008D4FCF"/>
    <w:rsid w:val="008D4FF8"/>
    <w:rsid w:val="008D5012"/>
    <w:rsid w:val="008D505E"/>
    <w:rsid w:val="008D5067"/>
    <w:rsid w:val="008D507E"/>
    <w:rsid w:val="008D50A7"/>
    <w:rsid w:val="008D5178"/>
    <w:rsid w:val="008D521B"/>
    <w:rsid w:val="008D5245"/>
    <w:rsid w:val="008D54E4"/>
    <w:rsid w:val="008D555F"/>
    <w:rsid w:val="008D55A8"/>
    <w:rsid w:val="008D55EC"/>
    <w:rsid w:val="008D55EF"/>
    <w:rsid w:val="008D57CD"/>
    <w:rsid w:val="008D584B"/>
    <w:rsid w:val="008D5A34"/>
    <w:rsid w:val="008D5B95"/>
    <w:rsid w:val="008D5BEF"/>
    <w:rsid w:val="008D5C47"/>
    <w:rsid w:val="008D5E3C"/>
    <w:rsid w:val="008D5E6D"/>
    <w:rsid w:val="008D5F5E"/>
    <w:rsid w:val="008D6128"/>
    <w:rsid w:val="008D6152"/>
    <w:rsid w:val="008D61B5"/>
    <w:rsid w:val="008D629A"/>
    <w:rsid w:val="008D62DC"/>
    <w:rsid w:val="008D6386"/>
    <w:rsid w:val="008D638B"/>
    <w:rsid w:val="008D64D0"/>
    <w:rsid w:val="008D65CF"/>
    <w:rsid w:val="008D661F"/>
    <w:rsid w:val="008D6844"/>
    <w:rsid w:val="008D6995"/>
    <w:rsid w:val="008D6A11"/>
    <w:rsid w:val="008D6A4A"/>
    <w:rsid w:val="008D6BC5"/>
    <w:rsid w:val="008D6E48"/>
    <w:rsid w:val="008D6F08"/>
    <w:rsid w:val="008D6FA9"/>
    <w:rsid w:val="008D70A2"/>
    <w:rsid w:val="008D71BE"/>
    <w:rsid w:val="008D7238"/>
    <w:rsid w:val="008D730E"/>
    <w:rsid w:val="008D73F6"/>
    <w:rsid w:val="008D7475"/>
    <w:rsid w:val="008D752D"/>
    <w:rsid w:val="008D7565"/>
    <w:rsid w:val="008D7590"/>
    <w:rsid w:val="008D75A3"/>
    <w:rsid w:val="008D7621"/>
    <w:rsid w:val="008D767A"/>
    <w:rsid w:val="008D767E"/>
    <w:rsid w:val="008D7707"/>
    <w:rsid w:val="008D77A0"/>
    <w:rsid w:val="008D786F"/>
    <w:rsid w:val="008D7929"/>
    <w:rsid w:val="008D7C66"/>
    <w:rsid w:val="008D7D59"/>
    <w:rsid w:val="008D7DF7"/>
    <w:rsid w:val="008D7ED0"/>
    <w:rsid w:val="008D7EDF"/>
    <w:rsid w:val="008D7F73"/>
    <w:rsid w:val="008D7F90"/>
    <w:rsid w:val="008E00A0"/>
    <w:rsid w:val="008E0158"/>
    <w:rsid w:val="008E01DD"/>
    <w:rsid w:val="008E01FD"/>
    <w:rsid w:val="008E0244"/>
    <w:rsid w:val="008E0264"/>
    <w:rsid w:val="008E02B3"/>
    <w:rsid w:val="008E03DF"/>
    <w:rsid w:val="008E0425"/>
    <w:rsid w:val="008E0494"/>
    <w:rsid w:val="008E04BA"/>
    <w:rsid w:val="008E05E4"/>
    <w:rsid w:val="008E063D"/>
    <w:rsid w:val="008E06DF"/>
    <w:rsid w:val="008E0735"/>
    <w:rsid w:val="008E0788"/>
    <w:rsid w:val="008E07CB"/>
    <w:rsid w:val="008E08CD"/>
    <w:rsid w:val="008E08F2"/>
    <w:rsid w:val="008E0954"/>
    <w:rsid w:val="008E0AE1"/>
    <w:rsid w:val="008E0AE7"/>
    <w:rsid w:val="008E0AF1"/>
    <w:rsid w:val="008E0B55"/>
    <w:rsid w:val="008E0B63"/>
    <w:rsid w:val="008E0CBE"/>
    <w:rsid w:val="008E0D53"/>
    <w:rsid w:val="008E0EB3"/>
    <w:rsid w:val="008E0EB6"/>
    <w:rsid w:val="008E0FF7"/>
    <w:rsid w:val="008E10BE"/>
    <w:rsid w:val="008E11BA"/>
    <w:rsid w:val="008E12F7"/>
    <w:rsid w:val="008E132D"/>
    <w:rsid w:val="008E140B"/>
    <w:rsid w:val="008E148C"/>
    <w:rsid w:val="008E15E3"/>
    <w:rsid w:val="008E1789"/>
    <w:rsid w:val="008E17E6"/>
    <w:rsid w:val="008E1816"/>
    <w:rsid w:val="008E18C7"/>
    <w:rsid w:val="008E1A70"/>
    <w:rsid w:val="008E1AAC"/>
    <w:rsid w:val="008E1CA1"/>
    <w:rsid w:val="008E1DE2"/>
    <w:rsid w:val="008E1E39"/>
    <w:rsid w:val="008E1F67"/>
    <w:rsid w:val="008E208A"/>
    <w:rsid w:val="008E20BC"/>
    <w:rsid w:val="008E20E4"/>
    <w:rsid w:val="008E216E"/>
    <w:rsid w:val="008E220E"/>
    <w:rsid w:val="008E226B"/>
    <w:rsid w:val="008E22E8"/>
    <w:rsid w:val="008E2316"/>
    <w:rsid w:val="008E23E9"/>
    <w:rsid w:val="008E2484"/>
    <w:rsid w:val="008E24CE"/>
    <w:rsid w:val="008E2529"/>
    <w:rsid w:val="008E25D6"/>
    <w:rsid w:val="008E2735"/>
    <w:rsid w:val="008E27C3"/>
    <w:rsid w:val="008E2842"/>
    <w:rsid w:val="008E28D2"/>
    <w:rsid w:val="008E2937"/>
    <w:rsid w:val="008E2B19"/>
    <w:rsid w:val="008E2BA7"/>
    <w:rsid w:val="008E2BE0"/>
    <w:rsid w:val="008E2C98"/>
    <w:rsid w:val="008E2DFE"/>
    <w:rsid w:val="008E2E54"/>
    <w:rsid w:val="008E2E67"/>
    <w:rsid w:val="008E2E94"/>
    <w:rsid w:val="008E319B"/>
    <w:rsid w:val="008E3264"/>
    <w:rsid w:val="008E32E1"/>
    <w:rsid w:val="008E3310"/>
    <w:rsid w:val="008E33E1"/>
    <w:rsid w:val="008E345F"/>
    <w:rsid w:val="008E3506"/>
    <w:rsid w:val="008E356A"/>
    <w:rsid w:val="008E3599"/>
    <w:rsid w:val="008E35A7"/>
    <w:rsid w:val="008E367D"/>
    <w:rsid w:val="008E370B"/>
    <w:rsid w:val="008E37BB"/>
    <w:rsid w:val="008E38C7"/>
    <w:rsid w:val="008E38D7"/>
    <w:rsid w:val="008E3A0C"/>
    <w:rsid w:val="008E3A5B"/>
    <w:rsid w:val="008E3B47"/>
    <w:rsid w:val="008E3D3A"/>
    <w:rsid w:val="008E3E3F"/>
    <w:rsid w:val="008E3E6B"/>
    <w:rsid w:val="008E3F97"/>
    <w:rsid w:val="008E4062"/>
    <w:rsid w:val="008E4075"/>
    <w:rsid w:val="008E40E3"/>
    <w:rsid w:val="008E410C"/>
    <w:rsid w:val="008E4203"/>
    <w:rsid w:val="008E43CC"/>
    <w:rsid w:val="008E442C"/>
    <w:rsid w:val="008E4440"/>
    <w:rsid w:val="008E449E"/>
    <w:rsid w:val="008E44AD"/>
    <w:rsid w:val="008E45A4"/>
    <w:rsid w:val="008E4622"/>
    <w:rsid w:val="008E46EF"/>
    <w:rsid w:val="008E46FB"/>
    <w:rsid w:val="008E47E9"/>
    <w:rsid w:val="008E498B"/>
    <w:rsid w:val="008E4A1B"/>
    <w:rsid w:val="008E4B85"/>
    <w:rsid w:val="008E4B94"/>
    <w:rsid w:val="008E4C64"/>
    <w:rsid w:val="008E4C6B"/>
    <w:rsid w:val="008E4D71"/>
    <w:rsid w:val="008E4D9B"/>
    <w:rsid w:val="008E4DC0"/>
    <w:rsid w:val="008E4E85"/>
    <w:rsid w:val="008E51DA"/>
    <w:rsid w:val="008E52C2"/>
    <w:rsid w:val="008E52FC"/>
    <w:rsid w:val="008E5445"/>
    <w:rsid w:val="008E5568"/>
    <w:rsid w:val="008E56E7"/>
    <w:rsid w:val="008E576F"/>
    <w:rsid w:val="008E57D7"/>
    <w:rsid w:val="008E5837"/>
    <w:rsid w:val="008E584F"/>
    <w:rsid w:val="008E5859"/>
    <w:rsid w:val="008E596B"/>
    <w:rsid w:val="008E59B0"/>
    <w:rsid w:val="008E59CE"/>
    <w:rsid w:val="008E5ACD"/>
    <w:rsid w:val="008E5BA9"/>
    <w:rsid w:val="008E5C9C"/>
    <w:rsid w:val="008E5DE9"/>
    <w:rsid w:val="008E5E36"/>
    <w:rsid w:val="008E5EE8"/>
    <w:rsid w:val="008E5F75"/>
    <w:rsid w:val="008E5FF8"/>
    <w:rsid w:val="008E62DD"/>
    <w:rsid w:val="008E6416"/>
    <w:rsid w:val="008E6523"/>
    <w:rsid w:val="008E6882"/>
    <w:rsid w:val="008E692B"/>
    <w:rsid w:val="008E6957"/>
    <w:rsid w:val="008E6B26"/>
    <w:rsid w:val="008E6B27"/>
    <w:rsid w:val="008E6E26"/>
    <w:rsid w:val="008E6E51"/>
    <w:rsid w:val="008E6F18"/>
    <w:rsid w:val="008E6F47"/>
    <w:rsid w:val="008E7306"/>
    <w:rsid w:val="008E730A"/>
    <w:rsid w:val="008E73A9"/>
    <w:rsid w:val="008E7407"/>
    <w:rsid w:val="008E7482"/>
    <w:rsid w:val="008E74DF"/>
    <w:rsid w:val="008E7531"/>
    <w:rsid w:val="008E75A6"/>
    <w:rsid w:val="008E75A8"/>
    <w:rsid w:val="008E7707"/>
    <w:rsid w:val="008E772C"/>
    <w:rsid w:val="008E7852"/>
    <w:rsid w:val="008E7886"/>
    <w:rsid w:val="008E78CF"/>
    <w:rsid w:val="008E7C7C"/>
    <w:rsid w:val="008E7C83"/>
    <w:rsid w:val="008E7C8E"/>
    <w:rsid w:val="008E7DBF"/>
    <w:rsid w:val="008E7DD3"/>
    <w:rsid w:val="008E7E11"/>
    <w:rsid w:val="008E7E12"/>
    <w:rsid w:val="008E7E67"/>
    <w:rsid w:val="008E7F7D"/>
    <w:rsid w:val="008E7F8B"/>
    <w:rsid w:val="008E7FB7"/>
    <w:rsid w:val="008F02D8"/>
    <w:rsid w:val="008F0323"/>
    <w:rsid w:val="008F03A7"/>
    <w:rsid w:val="008F03BA"/>
    <w:rsid w:val="008F0516"/>
    <w:rsid w:val="008F0521"/>
    <w:rsid w:val="008F0601"/>
    <w:rsid w:val="008F06B8"/>
    <w:rsid w:val="008F06E2"/>
    <w:rsid w:val="008F073A"/>
    <w:rsid w:val="008F0779"/>
    <w:rsid w:val="008F0818"/>
    <w:rsid w:val="008F0894"/>
    <w:rsid w:val="008F08AA"/>
    <w:rsid w:val="008F08CE"/>
    <w:rsid w:val="008F0A38"/>
    <w:rsid w:val="008F0A94"/>
    <w:rsid w:val="008F0AD6"/>
    <w:rsid w:val="008F0E26"/>
    <w:rsid w:val="008F0EFB"/>
    <w:rsid w:val="008F0F1E"/>
    <w:rsid w:val="008F11EF"/>
    <w:rsid w:val="008F1219"/>
    <w:rsid w:val="008F1221"/>
    <w:rsid w:val="008F127E"/>
    <w:rsid w:val="008F12A5"/>
    <w:rsid w:val="008F131D"/>
    <w:rsid w:val="008F1325"/>
    <w:rsid w:val="008F133E"/>
    <w:rsid w:val="008F14A5"/>
    <w:rsid w:val="008F14A7"/>
    <w:rsid w:val="008F1540"/>
    <w:rsid w:val="008F16C2"/>
    <w:rsid w:val="008F1704"/>
    <w:rsid w:val="008F171E"/>
    <w:rsid w:val="008F1753"/>
    <w:rsid w:val="008F181C"/>
    <w:rsid w:val="008F1835"/>
    <w:rsid w:val="008F19EA"/>
    <w:rsid w:val="008F1A02"/>
    <w:rsid w:val="008F1A83"/>
    <w:rsid w:val="008F1B36"/>
    <w:rsid w:val="008F1B4D"/>
    <w:rsid w:val="008F1BBC"/>
    <w:rsid w:val="008F1BFA"/>
    <w:rsid w:val="008F1E6B"/>
    <w:rsid w:val="008F1EF4"/>
    <w:rsid w:val="008F1EFC"/>
    <w:rsid w:val="008F23B4"/>
    <w:rsid w:val="008F2415"/>
    <w:rsid w:val="008F263C"/>
    <w:rsid w:val="008F2674"/>
    <w:rsid w:val="008F2713"/>
    <w:rsid w:val="008F2746"/>
    <w:rsid w:val="008F2766"/>
    <w:rsid w:val="008F2813"/>
    <w:rsid w:val="008F2828"/>
    <w:rsid w:val="008F29B9"/>
    <w:rsid w:val="008F29F4"/>
    <w:rsid w:val="008F2A1A"/>
    <w:rsid w:val="008F2D2A"/>
    <w:rsid w:val="008F2DF5"/>
    <w:rsid w:val="008F2E4B"/>
    <w:rsid w:val="008F2E9F"/>
    <w:rsid w:val="008F2F6A"/>
    <w:rsid w:val="008F300C"/>
    <w:rsid w:val="008F3074"/>
    <w:rsid w:val="008F3153"/>
    <w:rsid w:val="008F3285"/>
    <w:rsid w:val="008F3289"/>
    <w:rsid w:val="008F3335"/>
    <w:rsid w:val="008F336D"/>
    <w:rsid w:val="008F3572"/>
    <w:rsid w:val="008F36A4"/>
    <w:rsid w:val="008F36CA"/>
    <w:rsid w:val="008F37D0"/>
    <w:rsid w:val="008F3E9B"/>
    <w:rsid w:val="008F3E9D"/>
    <w:rsid w:val="008F3F18"/>
    <w:rsid w:val="008F3FA0"/>
    <w:rsid w:val="008F402E"/>
    <w:rsid w:val="008F4250"/>
    <w:rsid w:val="008F4252"/>
    <w:rsid w:val="008F432F"/>
    <w:rsid w:val="008F4478"/>
    <w:rsid w:val="008F448A"/>
    <w:rsid w:val="008F44D4"/>
    <w:rsid w:val="008F4504"/>
    <w:rsid w:val="008F4536"/>
    <w:rsid w:val="008F4577"/>
    <w:rsid w:val="008F45AC"/>
    <w:rsid w:val="008F45ED"/>
    <w:rsid w:val="008F46C8"/>
    <w:rsid w:val="008F4963"/>
    <w:rsid w:val="008F4980"/>
    <w:rsid w:val="008F4B4B"/>
    <w:rsid w:val="008F4C79"/>
    <w:rsid w:val="008F4D56"/>
    <w:rsid w:val="008F4D72"/>
    <w:rsid w:val="008F4ECC"/>
    <w:rsid w:val="008F501C"/>
    <w:rsid w:val="008F501D"/>
    <w:rsid w:val="008F50D0"/>
    <w:rsid w:val="008F5183"/>
    <w:rsid w:val="008F522B"/>
    <w:rsid w:val="008F53F6"/>
    <w:rsid w:val="008F5401"/>
    <w:rsid w:val="008F54A8"/>
    <w:rsid w:val="008F5570"/>
    <w:rsid w:val="008F56C3"/>
    <w:rsid w:val="008F5736"/>
    <w:rsid w:val="008F5785"/>
    <w:rsid w:val="008F57C4"/>
    <w:rsid w:val="008F581F"/>
    <w:rsid w:val="008F58B2"/>
    <w:rsid w:val="008F5A38"/>
    <w:rsid w:val="008F5ABF"/>
    <w:rsid w:val="008F5B20"/>
    <w:rsid w:val="008F5BE6"/>
    <w:rsid w:val="008F5BF4"/>
    <w:rsid w:val="008F5CC6"/>
    <w:rsid w:val="008F5D13"/>
    <w:rsid w:val="008F5D6B"/>
    <w:rsid w:val="008F5D77"/>
    <w:rsid w:val="008F5DE0"/>
    <w:rsid w:val="008F5E3B"/>
    <w:rsid w:val="008F5F1E"/>
    <w:rsid w:val="008F5FB9"/>
    <w:rsid w:val="008F612F"/>
    <w:rsid w:val="008F6171"/>
    <w:rsid w:val="008F6239"/>
    <w:rsid w:val="008F62BE"/>
    <w:rsid w:val="008F656E"/>
    <w:rsid w:val="008F6584"/>
    <w:rsid w:val="008F65AB"/>
    <w:rsid w:val="008F65BB"/>
    <w:rsid w:val="008F68D8"/>
    <w:rsid w:val="008F6994"/>
    <w:rsid w:val="008F69A0"/>
    <w:rsid w:val="008F69E7"/>
    <w:rsid w:val="008F6A80"/>
    <w:rsid w:val="008F6A8D"/>
    <w:rsid w:val="008F6AB4"/>
    <w:rsid w:val="008F6B71"/>
    <w:rsid w:val="008F6B77"/>
    <w:rsid w:val="008F6BEA"/>
    <w:rsid w:val="008F6C81"/>
    <w:rsid w:val="008F6D76"/>
    <w:rsid w:val="008F6E53"/>
    <w:rsid w:val="008F6F11"/>
    <w:rsid w:val="008F6F98"/>
    <w:rsid w:val="008F6FB0"/>
    <w:rsid w:val="008F7062"/>
    <w:rsid w:val="008F710E"/>
    <w:rsid w:val="008F71E9"/>
    <w:rsid w:val="008F7273"/>
    <w:rsid w:val="008F72B8"/>
    <w:rsid w:val="008F72B9"/>
    <w:rsid w:val="008F738D"/>
    <w:rsid w:val="008F74B0"/>
    <w:rsid w:val="008F74B7"/>
    <w:rsid w:val="008F7552"/>
    <w:rsid w:val="008F75A3"/>
    <w:rsid w:val="008F766F"/>
    <w:rsid w:val="008F76DC"/>
    <w:rsid w:val="008F771B"/>
    <w:rsid w:val="008F77BD"/>
    <w:rsid w:val="008F78DE"/>
    <w:rsid w:val="008F7A2A"/>
    <w:rsid w:val="008F7B32"/>
    <w:rsid w:val="008F7BBF"/>
    <w:rsid w:val="008F7BC2"/>
    <w:rsid w:val="008F7BFF"/>
    <w:rsid w:val="008F7C0B"/>
    <w:rsid w:val="008F7DFF"/>
    <w:rsid w:val="008F7FBA"/>
    <w:rsid w:val="00900026"/>
    <w:rsid w:val="009000B4"/>
    <w:rsid w:val="009001D6"/>
    <w:rsid w:val="009001D8"/>
    <w:rsid w:val="009002A0"/>
    <w:rsid w:val="009002C9"/>
    <w:rsid w:val="009002FA"/>
    <w:rsid w:val="00900338"/>
    <w:rsid w:val="00900373"/>
    <w:rsid w:val="009003DD"/>
    <w:rsid w:val="00900608"/>
    <w:rsid w:val="009006DC"/>
    <w:rsid w:val="009006ED"/>
    <w:rsid w:val="009007B0"/>
    <w:rsid w:val="00900895"/>
    <w:rsid w:val="009008B7"/>
    <w:rsid w:val="009008CD"/>
    <w:rsid w:val="0090093D"/>
    <w:rsid w:val="00900945"/>
    <w:rsid w:val="0090096F"/>
    <w:rsid w:val="00900975"/>
    <w:rsid w:val="009009AA"/>
    <w:rsid w:val="00900AC9"/>
    <w:rsid w:val="00900B0B"/>
    <w:rsid w:val="00900B40"/>
    <w:rsid w:val="00900B41"/>
    <w:rsid w:val="00900B68"/>
    <w:rsid w:val="00900BC2"/>
    <w:rsid w:val="00900C73"/>
    <w:rsid w:val="00900C87"/>
    <w:rsid w:val="00900C89"/>
    <w:rsid w:val="00900D44"/>
    <w:rsid w:val="00900DB2"/>
    <w:rsid w:val="00900DF4"/>
    <w:rsid w:val="00900E21"/>
    <w:rsid w:val="00900E39"/>
    <w:rsid w:val="00900FB4"/>
    <w:rsid w:val="00900FE0"/>
    <w:rsid w:val="00901075"/>
    <w:rsid w:val="009012EB"/>
    <w:rsid w:val="00901590"/>
    <w:rsid w:val="00901755"/>
    <w:rsid w:val="009017F3"/>
    <w:rsid w:val="00901899"/>
    <w:rsid w:val="0090194C"/>
    <w:rsid w:val="0090197C"/>
    <w:rsid w:val="009019A1"/>
    <w:rsid w:val="00901ABA"/>
    <w:rsid w:val="00901B14"/>
    <w:rsid w:val="00901B4D"/>
    <w:rsid w:val="00901BEB"/>
    <w:rsid w:val="00901CF9"/>
    <w:rsid w:val="00901D01"/>
    <w:rsid w:val="00901D11"/>
    <w:rsid w:val="00901D34"/>
    <w:rsid w:val="00901D4C"/>
    <w:rsid w:val="00901E27"/>
    <w:rsid w:val="00901E4D"/>
    <w:rsid w:val="00901F65"/>
    <w:rsid w:val="00901F80"/>
    <w:rsid w:val="00901FB6"/>
    <w:rsid w:val="00901FC5"/>
    <w:rsid w:val="00902077"/>
    <w:rsid w:val="00902087"/>
    <w:rsid w:val="009020D4"/>
    <w:rsid w:val="00902144"/>
    <w:rsid w:val="00902219"/>
    <w:rsid w:val="009022D1"/>
    <w:rsid w:val="0090231E"/>
    <w:rsid w:val="0090233F"/>
    <w:rsid w:val="0090237A"/>
    <w:rsid w:val="009023B6"/>
    <w:rsid w:val="009023D2"/>
    <w:rsid w:val="00902404"/>
    <w:rsid w:val="00902455"/>
    <w:rsid w:val="0090259B"/>
    <w:rsid w:val="00902907"/>
    <w:rsid w:val="00902BFC"/>
    <w:rsid w:val="00902CE1"/>
    <w:rsid w:val="00902D0A"/>
    <w:rsid w:val="00902D20"/>
    <w:rsid w:val="00902D36"/>
    <w:rsid w:val="00902D55"/>
    <w:rsid w:val="00902E31"/>
    <w:rsid w:val="00902ED9"/>
    <w:rsid w:val="0090303B"/>
    <w:rsid w:val="0090304A"/>
    <w:rsid w:val="00903109"/>
    <w:rsid w:val="00903310"/>
    <w:rsid w:val="0090336E"/>
    <w:rsid w:val="00903421"/>
    <w:rsid w:val="009034B3"/>
    <w:rsid w:val="00903504"/>
    <w:rsid w:val="009035B9"/>
    <w:rsid w:val="009035DA"/>
    <w:rsid w:val="00903732"/>
    <w:rsid w:val="00903743"/>
    <w:rsid w:val="0090377A"/>
    <w:rsid w:val="00903785"/>
    <w:rsid w:val="009037D8"/>
    <w:rsid w:val="0090382A"/>
    <w:rsid w:val="0090386D"/>
    <w:rsid w:val="009038B3"/>
    <w:rsid w:val="009038D8"/>
    <w:rsid w:val="00903915"/>
    <w:rsid w:val="0090391A"/>
    <w:rsid w:val="0090399B"/>
    <w:rsid w:val="009039CC"/>
    <w:rsid w:val="009039F3"/>
    <w:rsid w:val="00903A4B"/>
    <w:rsid w:val="00903B4A"/>
    <w:rsid w:val="00903BAD"/>
    <w:rsid w:val="00903CBB"/>
    <w:rsid w:val="00903D49"/>
    <w:rsid w:val="00903D66"/>
    <w:rsid w:val="00903DD7"/>
    <w:rsid w:val="00903DE6"/>
    <w:rsid w:val="00903E44"/>
    <w:rsid w:val="00903E4C"/>
    <w:rsid w:val="00904047"/>
    <w:rsid w:val="00904178"/>
    <w:rsid w:val="0090417C"/>
    <w:rsid w:val="00904183"/>
    <w:rsid w:val="009041D7"/>
    <w:rsid w:val="00904299"/>
    <w:rsid w:val="00904311"/>
    <w:rsid w:val="00904472"/>
    <w:rsid w:val="009046DA"/>
    <w:rsid w:val="0090470B"/>
    <w:rsid w:val="009047DE"/>
    <w:rsid w:val="00904878"/>
    <w:rsid w:val="0090487B"/>
    <w:rsid w:val="009048CA"/>
    <w:rsid w:val="009048F7"/>
    <w:rsid w:val="00904945"/>
    <w:rsid w:val="00904A54"/>
    <w:rsid w:val="00904AD4"/>
    <w:rsid w:val="00904B56"/>
    <w:rsid w:val="00904CB1"/>
    <w:rsid w:val="00904E37"/>
    <w:rsid w:val="0090505B"/>
    <w:rsid w:val="00905119"/>
    <w:rsid w:val="009051BF"/>
    <w:rsid w:val="00905204"/>
    <w:rsid w:val="009052E2"/>
    <w:rsid w:val="009053CB"/>
    <w:rsid w:val="00905533"/>
    <w:rsid w:val="009055FE"/>
    <w:rsid w:val="00905658"/>
    <w:rsid w:val="00905702"/>
    <w:rsid w:val="0090573B"/>
    <w:rsid w:val="00905764"/>
    <w:rsid w:val="009058C0"/>
    <w:rsid w:val="009059BD"/>
    <w:rsid w:val="009059C9"/>
    <w:rsid w:val="009059F3"/>
    <w:rsid w:val="00905A24"/>
    <w:rsid w:val="00905AEA"/>
    <w:rsid w:val="00905CCD"/>
    <w:rsid w:val="00905E21"/>
    <w:rsid w:val="00905E4B"/>
    <w:rsid w:val="00905E8E"/>
    <w:rsid w:val="00905F4E"/>
    <w:rsid w:val="00905F7D"/>
    <w:rsid w:val="00906054"/>
    <w:rsid w:val="00906169"/>
    <w:rsid w:val="009062A5"/>
    <w:rsid w:val="009062BA"/>
    <w:rsid w:val="00906410"/>
    <w:rsid w:val="00906455"/>
    <w:rsid w:val="0090645F"/>
    <w:rsid w:val="0090647B"/>
    <w:rsid w:val="009064CB"/>
    <w:rsid w:val="009064E5"/>
    <w:rsid w:val="00906533"/>
    <w:rsid w:val="009065DB"/>
    <w:rsid w:val="009067D3"/>
    <w:rsid w:val="00906804"/>
    <w:rsid w:val="0090684D"/>
    <w:rsid w:val="0090689D"/>
    <w:rsid w:val="00906A47"/>
    <w:rsid w:val="00906A7A"/>
    <w:rsid w:val="00906C0B"/>
    <w:rsid w:val="00906DEF"/>
    <w:rsid w:val="00906E92"/>
    <w:rsid w:val="00906F7C"/>
    <w:rsid w:val="009070EC"/>
    <w:rsid w:val="00907123"/>
    <w:rsid w:val="00907153"/>
    <w:rsid w:val="009071E4"/>
    <w:rsid w:val="00907216"/>
    <w:rsid w:val="009072F1"/>
    <w:rsid w:val="009073B6"/>
    <w:rsid w:val="00907436"/>
    <w:rsid w:val="009074A5"/>
    <w:rsid w:val="00907581"/>
    <w:rsid w:val="00907624"/>
    <w:rsid w:val="00907663"/>
    <w:rsid w:val="0090768E"/>
    <w:rsid w:val="009076AD"/>
    <w:rsid w:val="009076CA"/>
    <w:rsid w:val="009076D5"/>
    <w:rsid w:val="009077F8"/>
    <w:rsid w:val="009078C8"/>
    <w:rsid w:val="009079C5"/>
    <w:rsid w:val="009079D3"/>
    <w:rsid w:val="00907A53"/>
    <w:rsid w:val="00907A98"/>
    <w:rsid w:val="00907B7F"/>
    <w:rsid w:val="00907C60"/>
    <w:rsid w:val="00907C96"/>
    <w:rsid w:val="00907E1A"/>
    <w:rsid w:val="00907E1B"/>
    <w:rsid w:val="00907E2E"/>
    <w:rsid w:val="00907E8F"/>
    <w:rsid w:val="00907EBE"/>
    <w:rsid w:val="00907EEF"/>
    <w:rsid w:val="00907F07"/>
    <w:rsid w:val="00910006"/>
    <w:rsid w:val="00910020"/>
    <w:rsid w:val="009101C1"/>
    <w:rsid w:val="0091052D"/>
    <w:rsid w:val="00910628"/>
    <w:rsid w:val="00910669"/>
    <w:rsid w:val="00910759"/>
    <w:rsid w:val="009107C7"/>
    <w:rsid w:val="0091080C"/>
    <w:rsid w:val="00910865"/>
    <w:rsid w:val="0091092A"/>
    <w:rsid w:val="00910A97"/>
    <w:rsid w:val="00910B90"/>
    <w:rsid w:val="00910BC1"/>
    <w:rsid w:val="00910C1C"/>
    <w:rsid w:val="00910C63"/>
    <w:rsid w:val="00910CBC"/>
    <w:rsid w:val="00910CD2"/>
    <w:rsid w:val="00910CFF"/>
    <w:rsid w:val="00910DDB"/>
    <w:rsid w:val="00910E0E"/>
    <w:rsid w:val="00910E7C"/>
    <w:rsid w:val="00910F35"/>
    <w:rsid w:val="00910F63"/>
    <w:rsid w:val="0091103A"/>
    <w:rsid w:val="00911085"/>
    <w:rsid w:val="00911159"/>
    <w:rsid w:val="00911197"/>
    <w:rsid w:val="0091119C"/>
    <w:rsid w:val="009111BE"/>
    <w:rsid w:val="00911293"/>
    <w:rsid w:val="009112AE"/>
    <w:rsid w:val="009112F5"/>
    <w:rsid w:val="009112FB"/>
    <w:rsid w:val="0091136E"/>
    <w:rsid w:val="00911462"/>
    <w:rsid w:val="0091156E"/>
    <w:rsid w:val="0091157A"/>
    <w:rsid w:val="009117F1"/>
    <w:rsid w:val="009118D6"/>
    <w:rsid w:val="009119AE"/>
    <w:rsid w:val="00911A41"/>
    <w:rsid w:val="00911B6C"/>
    <w:rsid w:val="00911CB6"/>
    <w:rsid w:val="00911CCA"/>
    <w:rsid w:val="00911D54"/>
    <w:rsid w:val="00911E56"/>
    <w:rsid w:val="00911F19"/>
    <w:rsid w:val="00911FCC"/>
    <w:rsid w:val="00911FD3"/>
    <w:rsid w:val="009122A9"/>
    <w:rsid w:val="009122AF"/>
    <w:rsid w:val="0091230B"/>
    <w:rsid w:val="009124B9"/>
    <w:rsid w:val="0091265F"/>
    <w:rsid w:val="009126AF"/>
    <w:rsid w:val="009126BB"/>
    <w:rsid w:val="0091280C"/>
    <w:rsid w:val="00912AD5"/>
    <w:rsid w:val="00912C86"/>
    <w:rsid w:val="00912D40"/>
    <w:rsid w:val="00912FC9"/>
    <w:rsid w:val="00913393"/>
    <w:rsid w:val="00913401"/>
    <w:rsid w:val="00913474"/>
    <w:rsid w:val="0091349A"/>
    <w:rsid w:val="009134B3"/>
    <w:rsid w:val="009134FA"/>
    <w:rsid w:val="0091352C"/>
    <w:rsid w:val="009135AA"/>
    <w:rsid w:val="009136A2"/>
    <w:rsid w:val="009136BF"/>
    <w:rsid w:val="009137AE"/>
    <w:rsid w:val="0091380F"/>
    <w:rsid w:val="009138EF"/>
    <w:rsid w:val="00913905"/>
    <w:rsid w:val="009139AC"/>
    <w:rsid w:val="00913B67"/>
    <w:rsid w:val="00913B92"/>
    <w:rsid w:val="00913BA7"/>
    <w:rsid w:val="00913BAE"/>
    <w:rsid w:val="00913C2E"/>
    <w:rsid w:val="00913D3A"/>
    <w:rsid w:val="00913E7A"/>
    <w:rsid w:val="00913E96"/>
    <w:rsid w:val="00913ED0"/>
    <w:rsid w:val="00913F73"/>
    <w:rsid w:val="00913FFB"/>
    <w:rsid w:val="00914043"/>
    <w:rsid w:val="009143F4"/>
    <w:rsid w:val="00914450"/>
    <w:rsid w:val="00914451"/>
    <w:rsid w:val="009144E1"/>
    <w:rsid w:val="009145E4"/>
    <w:rsid w:val="00914666"/>
    <w:rsid w:val="00914830"/>
    <w:rsid w:val="0091492B"/>
    <w:rsid w:val="0091493B"/>
    <w:rsid w:val="009149AE"/>
    <w:rsid w:val="00914A5B"/>
    <w:rsid w:val="00914B98"/>
    <w:rsid w:val="00914BC7"/>
    <w:rsid w:val="00914C9B"/>
    <w:rsid w:val="00914D00"/>
    <w:rsid w:val="00914E3D"/>
    <w:rsid w:val="00914F1B"/>
    <w:rsid w:val="0091514D"/>
    <w:rsid w:val="0091514F"/>
    <w:rsid w:val="00915155"/>
    <w:rsid w:val="00915164"/>
    <w:rsid w:val="009152B6"/>
    <w:rsid w:val="0091541F"/>
    <w:rsid w:val="009154C2"/>
    <w:rsid w:val="00915526"/>
    <w:rsid w:val="0091552B"/>
    <w:rsid w:val="00915544"/>
    <w:rsid w:val="00915582"/>
    <w:rsid w:val="0091567D"/>
    <w:rsid w:val="00915699"/>
    <w:rsid w:val="009156A3"/>
    <w:rsid w:val="009156E2"/>
    <w:rsid w:val="0091570A"/>
    <w:rsid w:val="00915736"/>
    <w:rsid w:val="00915770"/>
    <w:rsid w:val="00915802"/>
    <w:rsid w:val="0091581B"/>
    <w:rsid w:val="00915937"/>
    <w:rsid w:val="00915964"/>
    <w:rsid w:val="0091596B"/>
    <w:rsid w:val="009159CD"/>
    <w:rsid w:val="00915B2E"/>
    <w:rsid w:val="00915C4F"/>
    <w:rsid w:val="00915E21"/>
    <w:rsid w:val="00915F34"/>
    <w:rsid w:val="0091607E"/>
    <w:rsid w:val="009160BA"/>
    <w:rsid w:val="0091619D"/>
    <w:rsid w:val="009161EE"/>
    <w:rsid w:val="009161FF"/>
    <w:rsid w:val="00916348"/>
    <w:rsid w:val="009163D0"/>
    <w:rsid w:val="00916573"/>
    <w:rsid w:val="009165F8"/>
    <w:rsid w:val="00916638"/>
    <w:rsid w:val="0091669B"/>
    <w:rsid w:val="009166DB"/>
    <w:rsid w:val="009166F6"/>
    <w:rsid w:val="00916757"/>
    <w:rsid w:val="00916763"/>
    <w:rsid w:val="00916823"/>
    <w:rsid w:val="00916935"/>
    <w:rsid w:val="009169FD"/>
    <w:rsid w:val="00916ABB"/>
    <w:rsid w:val="00916AE9"/>
    <w:rsid w:val="00916B74"/>
    <w:rsid w:val="00916CF5"/>
    <w:rsid w:val="00916D00"/>
    <w:rsid w:val="00916E9D"/>
    <w:rsid w:val="00916F43"/>
    <w:rsid w:val="00917084"/>
    <w:rsid w:val="009172EA"/>
    <w:rsid w:val="00917351"/>
    <w:rsid w:val="009173A3"/>
    <w:rsid w:val="009173DE"/>
    <w:rsid w:val="009175E1"/>
    <w:rsid w:val="009175FC"/>
    <w:rsid w:val="00917627"/>
    <w:rsid w:val="0091766E"/>
    <w:rsid w:val="0091767E"/>
    <w:rsid w:val="009176A7"/>
    <w:rsid w:val="009176BC"/>
    <w:rsid w:val="009176CD"/>
    <w:rsid w:val="00917788"/>
    <w:rsid w:val="009177DD"/>
    <w:rsid w:val="00917A44"/>
    <w:rsid w:val="00917AA5"/>
    <w:rsid w:val="00917AF6"/>
    <w:rsid w:val="00917BB5"/>
    <w:rsid w:val="00917E11"/>
    <w:rsid w:val="00920041"/>
    <w:rsid w:val="0092005F"/>
    <w:rsid w:val="00920110"/>
    <w:rsid w:val="00920174"/>
    <w:rsid w:val="0092018D"/>
    <w:rsid w:val="009202C1"/>
    <w:rsid w:val="009202D4"/>
    <w:rsid w:val="00920381"/>
    <w:rsid w:val="0092057C"/>
    <w:rsid w:val="009205D2"/>
    <w:rsid w:val="00920642"/>
    <w:rsid w:val="00920673"/>
    <w:rsid w:val="0092068A"/>
    <w:rsid w:val="00920735"/>
    <w:rsid w:val="00920738"/>
    <w:rsid w:val="00920818"/>
    <w:rsid w:val="00920824"/>
    <w:rsid w:val="0092099E"/>
    <w:rsid w:val="009209B7"/>
    <w:rsid w:val="00920A83"/>
    <w:rsid w:val="00920A98"/>
    <w:rsid w:val="00920B1A"/>
    <w:rsid w:val="00920BFC"/>
    <w:rsid w:val="00920D53"/>
    <w:rsid w:val="00920D8F"/>
    <w:rsid w:val="00920DC1"/>
    <w:rsid w:val="00921037"/>
    <w:rsid w:val="00921181"/>
    <w:rsid w:val="00921242"/>
    <w:rsid w:val="009212A3"/>
    <w:rsid w:val="00921319"/>
    <w:rsid w:val="0092131B"/>
    <w:rsid w:val="009213B8"/>
    <w:rsid w:val="009213D1"/>
    <w:rsid w:val="009216F3"/>
    <w:rsid w:val="00921765"/>
    <w:rsid w:val="00921835"/>
    <w:rsid w:val="009218D6"/>
    <w:rsid w:val="0092194B"/>
    <w:rsid w:val="009219AB"/>
    <w:rsid w:val="009219DA"/>
    <w:rsid w:val="00921A48"/>
    <w:rsid w:val="00921E7E"/>
    <w:rsid w:val="00921EDB"/>
    <w:rsid w:val="00921F63"/>
    <w:rsid w:val="0092208C"/>
    <w:rsid w:val="00922127"/>
    <w:rsid w:val="009221F4"/>
    <w:rsid w:val="0092235A"/>
    <w:rsid w:val="009223DD"/>
    <w:rsid w:val="00922464"/>
    <w:rsid w:val="00922487"/>
    <w:rsid w:val="009225CC"/>
    <w:rsid w:val="009225FC"/>
    <w:rsid w:val="0092278C"/>
    <w:rsid w:val="0092292D"/>
    <w:rsid w:val="009229B6"/>
    <w:rsid w:val="009229C7"/>
    <w:rsid w:val="00922A19"/>
    <w:rsid w:val="00922A43"/>
    <w:rsid w:val="00922A62"/>
    <w:rsid w:val="00922AEA"/>
    <w:rsid w:val="00922BD0"/>
    <w:rsid w:val="00922D1B"/>
    <w:rsid w:val="009233C7"/>
    <w:rsid w:val="009233F5"/>
    <w:rsid w:val="0092354F"/>
    <w:rsid w:val="009235D0"/>
    <w:rsid w:val="009236BD"/>
    <w:rsid w:val="00923763"/>
    <w:rsid w:val="00923787"/>
    <w:rsid w:val="00923873"/>
    <w:rsid w:val="009238EE"/>
    <w:rsid w:val="00923923"/>
    <w:rsid w:val="0092392B"/>
    <w:rsid w:val="00923961"/>
    <w:rsid w:val="0092396F"/>
    <w:rsid w:val="00923B0A"/>
    <w:rsid w:val="00923B3A"/>
    <w:rsid w:val="00923CA6"/>
    <w:rsid w:val="00923CBE"/>
    <w:rsid w:val="00923D0A"/>
    <w:rsid w:val="00923D21"/>
    <w:rsid w:val="00923D52"/>
    <w:rsid w:val="00923DDB"/>
    <w:rsid w:val="00923E3B"/>
    <w:rsid w:val="00923E6E"/>
    <w:rsid w:val="00923E87"/>
    <w:rsid w:val="00923ECD"/>
    <w:rsid w:val="00923F08"/>
    <w:rsid w:val="00923F89"/>
    <w:rsid w:val="00923FE3"/>
    <w:rsid w:val="00924096"/>
    <w:rsid w:val="0092421C"/>
    <w:rsid w:val="0092425A"/>
    <w:rsid w:val="009242AD"/>
    <w:rsid w:val="0092431C"/>
    <w:rsid w:val="0092434B"/>
    <w:rsid w:val="009243B7"/>
    <w:rsid w:val="0092451D"/>
    <w:rsid w:val="009246BF"/>
    <w:rsid w:val="0092489A"/>
    <w:rsid w:val="00924AF9"/>
    <w:rsid w:val="00924DD8"/>
    <w:rsid w:val="00924E06"/>
    <w:rsid w:val="00924E75"/>
    <w:rsid w:val="00924F1A"/>
    <w:rsid w:val="00924F37"/>
    <w:rsid w:val="00924F57"/>
    <w:rsid w:val="00925080"/>
    <w:rsid w:val="00925098"/>
    <w:rsid w:val="00925135"/>
    <w:rsid w:val="00925137"/>
    <w:rsid w:val="009253A3"/>
    <w:rsid w:val="009253C5"/>
    <w:rsid w:val="009253D5"/>
    <w:rsid w:val="00925450"/>
    <w:rsid w:val="00925475"/>
    <w:rsid w:val="009254B8"/>
    <w:rsid w:val="00925547"/>
    <w:rsid w:val="009255C1"/>
    <w:rsid w:val="009256F9"/>
    <w:rsid w:val="00925803"/>
    <w:rsid w:val="0092587F"/>
    <w:rsid w:val="00925A1D"/>
    <w:rsid w:val="00925B13"/>
    <w:rsid w:val="00925C3A"/>
    <w:rsid w:val="00925C9A"/>
    <w:rsid w:val="00925E0D"/>
    <w:rsid w:val="00925E34"/>
    <w:rsid w:val="00925F0D"/>
    <w:rsid w:val="00925F2C"/>
    <w:rsid w:val="00926088"/>
    <w:rsid w:val="0092612A"/>
    <w:rsid w:val="00926162"/>
    <w:rsid w:val="0092616F"/>
    <w:rsid w:val="0092625F"/>
    <w:rsid w:val="0092629F"/>
    <w:rsid w:val="00926390"/>
    <w:rsid w:val="009265F9"/>
    <w:rsid w:val="0092662C"/>
    <w:rsid w:val="00926684"/>
    <w:rsid w:val="00926738"/>
    <w:rsid w:val="0092674C"/>
    <w:rsid w:val="0092677D"/>
    <w:rsid w:val="00926810"/>
    <w:rsid w:val="0092696D"/>
    <w:rsid w:val="009269C5"/>
    <w:rsid w:val="00926A04"/>
    <w:rsid w:val="00926A22"/>
    <w:rsid w:val="00926A96"/>
    <w:rsid w:val="00926BE5"/>
    <w:rsid w:val="00926CE1"/>
    <w:rsid w:val="00926D74"/>
    <w:rsid w:val="00926E60"/>
    <w:rsid w:val="00926FE7"/>
    <w:rsid w:val="0092703A"/>
    <w:rsid w:val="00927061"/>
    <w:rsid w:val="00927146"/>
    <w:rsid w:val="0092725F"/>
    <w:rsid w:val="009272A8"/>
    <w:rsid w:val="009272F5"/>
    <w:rsid w:val="00927331"/>
    <w:rsid w:val="009273CE"/>
    <w:rsid w:val="0092743A"/>
    <w:rsid w:val="009274C7"/>
    <w:rsid w:val="00927556"/>
    <w:rsid w:val="0092785A"/>
    <w:rsid w:val="0092794E"/>
    <w:rsid w:val="00927962"/>
    <w:rsid w:val="009279B5"/>
    <w:rsid w:val="009279B8"/>
    <w:rsid w:val="00927A3B"/>
    <w:rsid w:val="00927A91"/>
    <w:rsid w:val="00927B5A"/>
    <w:rsid w:val="00927BF1"/>
    <w:rsid w:val="00927D8C"/>
    <w:rsid w:val="00927DD1"/>
    <w:rsid w:val="00930074"/>
    <w:rsid w:val="00930521"/>
    <w:rsid w:val="009305E6"/>
    <w:rsid w:val="009307E1"/>
    <w:rsid w:val="009307FF"/>
    <w:rsid w:val="00930885"/>
    <w:rsid w:val="0093094A"/>
    <w:rsid w:val="00930998"/>
    <w:rsid w:val="00930ABE"/>
    <w:rsid w:val="00930B02"/>
    <w:rsid w:val="00930B05"/>
    <w:rsid w:val="00930B79"/>
    <w:rsid w:val="00930CDD"/>
    <w:rsid w:val="00930CF0"/>
    <w:rsid w:val="00930E3B"/>
    <w:rsid w:val="00930EAB"/>
    <w:rsid w:val="00930EDE"/>
    <w:rsid w:val="00930EF7"/>
    <w:rsid w:val="00930F64"/>
    <w:rsid w:val="00930F69"/>
    <w:rsid w:val="00930F77"/>
    <w:rsid w:val="00931037"/>
    <w:rsid w:val="00931235"/>
    <w:rsid w:val="00931354"/>
    <w:rsid w:val="00931447"/>
    <w:rsid w:val="009314A6"/>
    <w:rsid w:val="009314D4"/>
    <w:rsid w:val="0093152A"/>
    <w:rsid w:val="00931769"/>
    <w:rsid w:val="009318A3"/>
    <w:rsid w:val="009318E0"/>
    <w:rsid w:val="0093192F"/>
    <w:rsid w:val="00931A3C"/>
    <w:rsid w:val="00931A70"/>
    <w:rsid w:val="00931B1F"/>
    <w:rsid w:val="00931BB2"/>
    <w:rsid w:val="00931C8F"/>
    <w:rsid w:val="00931D00"/>
    <w:rsid w:val="00931E1E"/>
    <w:rsid w:val="00931E27"/>
    <w:rsid w:val="00931E5E"/>
    <w:rsid w:val="00931EA4"/>
    <w:rsid w:val="00931F11"/>
    <w:rsid w:val="00932082"/>
    <w:rsid w:val="009321AA"/>
    <w:rsid w:val="009321C7"/>
    <w:rsid w:val="009322A0"/>
    <w:rsid w:val="00932561"/>
    <w:rsid w:val="009326AA"/>
    <w:rsid w:val="00932826"/>
    <w:rsid w:val="0093291F"/>
    <w:rsid w:val="0093297A"/>
    <w:rsid w:val="009329AE"/>
    <w:rsid w:val="009329D5"/>
    <w:rsid w:val="00932A15"/>
    <w:rsid w:val="00932B0D"/>
    <w:rsid w:val="00932B43"/>
    <w:rsid w:val="00932B9B"/>
    <w:rsid w:val="00932CF0"/>
    <w:rsid w:val="00932D32"/>
    <w:rsid w:val="00932D84"/>
    <w:rsid w:val="00932DC6"/>
    <w:rsid w:val="00932EAD"/>
    <w:rsid w:val="00932F0C"/>
    <w:rsid w:val="00932F5E"/>
    <w:rsid w:val="0093321D"/>
    <w:rsid w:val="0093323A"/>
    <w:rsid w:val="00933240"/>
    <w:rsid w:val="0093326C"/>
    <w:rsid w:val="009332A4"/>
    <w:rsid w:val="00933303"/>
    <w:rsid w:val="00933341"/>
    <w:rsid w:val="00933463"/>
    <w:rsid w:val="00933531"/>
    <w:rsid w:val="009336BB"/>
    <w:rsid w:val="00933796"/>
    <w:rsid w:val="009337B4"/>
    <w:rsid w:val="009337CD"/>
    <w:rsid w:val="009337F8"/>
    <w:rsid w:val="0093387D"/>
    <w:rsid w:val="00933A55"/>
    <w:rsid w:val="00933AC9"/>
    <w:rsid w:val="00933BA3"/>
    <w:rsid w:val="00933C17"/>
    <w:rsid w:val="00933CDB"/>
    <w:rsid w:val="00933CE1"/>
    <w:rsid w:val="00933D26"/>
    <w:rsid w:val="00933D86"/>
    <w:rsid w:val="00933E7A"/>
    <w:rsid w:val="00933EC3"/>
    <w:rsid w:val="00933F33"/>
    <w:rsid w:val="00933F44"/>
    <w:rsid w:val="00934026"/>
    <w:rsid w:val="00934128"/>
    <w:rsid w:val="0093419A"/>
    <w:rsid w:val="00934288"/>
    <w:rsid w:val="009342D5"/>
    <w:rsid w:val="0093433A"/>
    <w:rsid w:val="00934370"/>
    <w:rsid w:val="009344A7"/>
    <w:rsid w:val="009344E4"/>
    <w:rsid w:val="009345DF"/>
    <w:rsid w:val="0093461F"/>
    <w:rsid w:val="00934621"/>
    <w:rsid w:val="00934647"/>
    <w:rsid w:val="0093469F"/>
    <w:rsid w:val="009346E3"/>
    <w:rsid w:val="0093473F"/>
    <w:rsid w:val="00934831"/>
    <w:rsid w:val="009348CB"/>
    <w:rsid w:val="00934983"/>
    <w:rsid w:val="00934B5C"/>
    <w:rsid w:val="00934BB2"/>
    <w:rsid w:val="00934BE8"/>
    <w:rsid w:val="00934C5F"/>
    <w:rsid w:val="00934CFD"/>
    <w:rsid w:val="00934EF6"/>
    <w:rsid w:val="00934F2D"/>
    <w:rsid w:val="00934F55"/>
    <w:rsid w:val="009350DF"/>
    <w:rsid w:val="0093518B"/>
    <w:rsid w:val="009354E1"/>
    <w:rsid w:val="0093551E"/>
    <w:rsid w:val="0093563B"/>
    <w:rsid w:val="00935641"/>
    <w:rsid w:val="0093571B"/>
    <w:rsid w:val="00935869"/>
    <w:rsid w:val="009358D7"/>
    <w:rsid w:val="00935A93"/>
    <w:rsid w:val="00935B7B"/>
    <w:rsid w:val="00935C8B"/>
    <w:rsid w:val="00935DA6"/>
    <w:rsid w:val="00935F7C"/>
    <w:rsid w:val="0093604E"/>
    <w:rsid w:val="00936093"/>
    <w:rsid w:val="009361AE"/>
    <w:rsid w:val="00936226"/>
    <w:rsid w:val="009363A2"/>
    <w:rsid w:val="009363D0"/>
    <w:rsid w:val="009363E3"/>
    <w:rsid w:val="0093641F"/>
    <w:rsid w:val="00936471"/>
    <w:rsid w:val="009364DB"/>
    <w:rsid w:val="0093650B"/>
    <w:rsid w:val="00936664"/>
    <w:rsid w:val="009366A2"/>
    <w:rsid w:val="00936770"/>
    <w:rsid w:val="0093680A"/>
    <w:rsid w:val="00936858"/>
    <w:rsid w:val="00936A1C"/>
    <w:rsid w:val="00936A44"/>
    <w:rsid w:val="00936BA8"/>
    <w:rsid w:val="00936BB6"/>
    <w:rsid w:val="00936BDE"/>
    <w:rsid w:val="00936C5A"/>
    <w:rsid w:val="00936C6E"/>
    <w:rsid w:val="00936D54"/>
    <w:rsid w:val="00936D83"/>
    <w:rsid w:val="00936EC5"/>
    <w:rsid w:val="00936EF3"/>
    <w:rsid w:val="00936FC2"/>
    <w:rsid w:val="00936FD9"/>
    <w:rsid w:val="009370FC"/>
    <w:rsid w:val="0093710C"/>
    <w:rsid w:val="00937159"/>
    <w:rsid w:val="009371A1"/>
    <w:rsid w:val="009371BA"/>
    <w:rsid w:val="009371D8"/>
    <w:rsid w:val="0093723F"/>
    <w:rsid w:val="00937257"/>
    <w:rsid w:val="0093747A"/>
    <w:rsid w:val="009374DB"/>
    <w:rsid w:val="009375AA"/>
    <w:rsid w:val="009375F9"/>
    <w:rsid w:val="00937628"/>
    <w:rsid w:val="0093773A"/>
    <w:rsid w:val="00937AAC"/>
    <w:rsid w:val="00937BC1"/>
    <w:rsid w:val="00937BC8"/>
    <w:rsid w:val="00937D33"/>
    <w:rsid w:val="00937E29"/>
    <w:rsid w:val="00937E9C"/>
    <w:rsid w:val="00937EF9"/>
    <w:rsid w:val="00937F12"/>
    <w:rsid w:val="00937F97"/>
    <w:rsid w:val="00940233"/>
    <w:rsid w:val="009402B8"/>
    <w:rsid w:val="0094036A"/>
    <w:rsid w:val="0094039F"/>
    <w:rsid w:val="00940434"/>
    <w:rsid w:val="009404FC"/>
    <w:rsid w:val="0094055D"/>
    <w:rsid w:val="00940593"/>
    <w:rsid w:val="00940A3D"/>
    <w:rsid w:val="00940B0C"/>
    <w:rsid w:val="00940B81"/>
    <w:rsid w:val="00940BB4"/>
    <w:rsid w:val="00940C36"/>
    <w:rsid w:val="00940C85"/>
    <w:rsid w:val="00940F5E"/>
    <w:rsid w:val="00941084"/>
    <w:rsid w:val="0094113C"/>
    <w:rsid w:val="00941171"/>
    <w:rsid w:val="00941211"/>
    <w:rsid w:val="00941350"/>
    <w:rsid w:val="00941364"/>
    <w:rsid w:val="00941468"/>
    <w:rsid w:val="0094148F"/>
    <w:rsid w:val="009414EE"/>
    <w:rsid w:val="00941582"/>
    <w:rsid w:val="0094169C"/>
    <w:rsid w:val="00941865"/>
    <w:rsid w:val="0094188D"/>
    <w:rsid w:val="009418A8"/>
    <w:rsid w:val="009419F8"/>
    <w:rsid w:val="00941A0E"/>
    <w:rsid w:val="00941A1B"/>
    <w:rsid w:val="00941A29"/>
    <w:rsid w:val="00941B60"/>
    <w:rsid w:val="00941BFA"/>
    <w:rsid w:val="00941C69"/>
    <w:rsid w:val="00941C8C"/>
    <w:rsid w:val="00941E6B"/>
    <w:rsid w:val="00941E9C"/>
    <w:rsid w:val="00941EBC"/>
    <w:rsid w:val="00941EDC"/>
    <w:rsid w:val="00941F2C"/>
    <w:rsid w:val="00941FEE"/>
    <w:rsid w:val="00942092"/>
    <w:rsid w:val="009421C4"/>
    <w:rsid w:val="009421E3"/>
    <w:rsid w:val="00942343"/>
    <w:rsid w:val="00942499"/>
    <w:rsid w:val="009424D9"/>
    <w:rsid w:val="009425CD"/>
    <w:rsid w:val="009425D5"/>
    <w:rsid w:val="009425EC"/>
    <w:rsid w:val="00942796"/>
    <w:rsid w:val="0094297A"/>
    <w:rsid w:val="009429A7"/>
    <w:rsid w:val="00942AB6"/>
    <w:rsid w:val="00942B78"/>
    <w:rsid w:val="00942C13"/>
    <w:rsid w:val="00942C84"/>
    <w:rsid w:val="00942CB8"/>
    <w:rsid w:val="00942CDE"/>
    <w:rsid w:val="00942D44"/>
    <w:rsid w:val="00942E22"/>
    <w:rsid w:val="00942E4B"/>
    <w:rsid w:val="00942E6F"/>
    <w:rsid w:val="00942F23"/>
    <w:rsid w:val="00942F5C"/>
    <w:rsid w:val="00943002"/>
    <w:rsid w:val="00943018"/>
    <w:rsid w:val="00943030"/>
    <w:rsid w:val="009432E6"/>
    <w:rsid w:val="00943320"/>
    <w:rsid w:val="0094339E"/>
    <w:rsid w:val="00943402"/>
    <w:rsid w:val="00943442"/>
    <w:rsid w:val="0094344B"/>
    <w:rsid w:val="00943465"/>
    <w:rsid w:val="0094352D"/>
    <w:rsid w:val="0094360B"/>
    <w:rsid w:val="009436C8"/>
    <w:rsid w:val="00943840"/>
    <w:rsid w:val="009438A5"/>
    <w:rsid w:val="009439B0"/>
    <w:rsid w:val="00943A38"/>
    <w:rsid w:val="00943B27"/>
    <w:rsid w:val="00943C80"/>
    <w:rsid w:val="00943CBB"/>
    <w:rsid w:val="00943CE5"/>
    <w:rsid w:val="00943D02"/>
    <w:rsid w:val="00943D71"/>
    <w:rsid w:val="00943DB7"/>
    <w:rsid w:val="00943DEE"/>
    <w:rsid w:val="00943E15"/>
    <w:rsid w:val="00943F80"/>
    <w:rsid w:val="00944016"/>
    <w:rsid w:val="0094401C"/>
    <w:rsid w:val="00944102"/>
    <w:rsid w:val="009442A8"/>
    <w:rsid w:val="009442D5"/>
    <w:rsid w:val="009443A3"/>
    <w:rsid w:val="0094447D"/>
    <w:rsid w:val="009448F5"/>
    <w:rsid w:val="009449F1"/>
    <w:rsid w:val="00944AE9"/>
    <w:rsid w:val="00944B39"/>
    <w:rsid w:val="00944C1A"/>
    <w:rsid w:val="00944C76"/>
    <w:rsid w:val="00944C97"/>
    <w:rsid w:val="00944CA2"/>
    <w:rsid w:val="00944CB6"/>
    <w:rsid w:val="00944E88"/>
    <w:rsid w:val="00944FAD"/>
    <w:rsid w:val="00944FE0"/>
    <w:rsid w:val="009450DE"/>
    <w:rsid w:val="00945139"/>
    <w:rsid w:val="00945187"/>
    <w:rsid w:val="00945240"/>
    <w:rsid w:val="0094528C"/>
    <w:rsid w:val="00945317"/>
    <w:rsid w:val="009454B6"/>
    <w:rsid w:val="009454C7"/>
    <w:rsid w:val="009455A8"/>
    <w:rsid w:val="00945665"/>
    <w:rsid w:val="0094566D"/>
    <w:rsid w:val="0094568E"/>
    <w:rsid w:val="009456D2"/>
    <w:rsid w:val="009456FE"/>
    <w:rsid w:val="0094580C"/>
    <w:rsid w:val="0094584F"/>
    <w:rsid w:val="0094587C"/>
    <w:rsid w:val="0094598C"/>
    <w:rsid w:val="009459C6"/>
    <w:rsid w:val="009459D0"/>
    <w:rsid w:val="009459D5"/>
    <w:rsid w:val="00945A3A"/>
    <w:rsid w:val="00945BFC"/>
    <w:rsid w:val="00945D1F"/>
    <w:rsid w:val="00945E63"/>
    <w:rsid w:val="00945EE2"/>
    <w:rsid w:val="009460AD"/>
    <w:rsid w:val="00946124"/>
    <w:rsid w:val="009462A3"/>
    <w:rsid w:val="00946387"/>
    <w:rsid w:val="009465DC"/>
    <w:rsid w:val="009465EA"/>
    <w:rsid w:val="00946659"/>
    <w:rsid w:val="00946880"/>
    <w:rsid w:val="009468AA"/>
    <w:rsid w:val="009468B4"/>
    <w:rsid w:val="009468FF"/>
    <w:rsid w:val="00946934"/>
    <w:rsid w:val="00946A0D"/>
    <w:rsid w:val="00946A3D"/>
    <w:rsid w:val="00946A6F"/>
    <w:rsid w:val="00946ABC"/>
    <w:rsid w:val="00946AF1"/>
    <w:rsid w:val="00946B1F"/>
    <w:rsid w:val="00946B44"/>
    <w:rsid w:val="00946B6B"/>
    <w:rsid w:val="00946D12"/>
    <w:rsid w:val="00946D67"/>
    <w:rsid w:val="00946EE1"/>
    <w:rsid w:val="00946EF2"/>
    <w:rsid w:val="00946F31"/>
    <w:rsid w:val="0094737D"/>
    <w:rsid w:val="009473F5"/>
    <w:rsid w:val="00947441"/>
    <w:rsid w:val="00947489"/>
    <w:rsid w:val="009474A4"/>
    <w:rsid w:val="0094759A"/>
    <w:rsid w:val="0094765A"/>
    <w:rsid w:val="0094773E"/>
    <w:rsid w:val="0094779D"/>
    <w:rsid w:val="009478D7"/>
    <w:rsid w:val="009479CF"/>
    <w:rsid w:val="00947A31"/>
    <w:rsid w:val="00947C62"/>
    <w:rsid w:val="00950008"/>
    <w:rsid w:val="009500B5"/>
    <w:rsid w:val="009500DA"/>
    <w:rsid w:val="0095017D"/>
    <w:rsid w:val="00950258"/>
    <w:rsid w:val="0095032E"/>
    <w:rsid w:val="009503E5"/>
    <w:rsid w:val="0095050F"/>
    <w:rsid w:val="009505F7"/>
    <w:rsid w:val="0095062E"/>
    <w:rsid w:val="00950648"/>
    <w:rsid w:val="009506B5"/>
    <w:rsid w:val="009506CF"/>
    <w:rsid w:val="009509DF"/>
    <w:rsid w:val="009509E6"/>
    <w:rsid w:val="00950B26"/>
    <w:rsid w:val="00950B4A"/>
    <w:rsid w:val="00950BA7"/>
    <w:rsid w:val="00950C08"/>
    <w:rsid w:val="00950C21"/>
    <w:rsid w:val="00950C69"/>
    <w:rsid w:val="00950C73"/>
    <w:rsid w:val="00950C78"/>
    <w:rsid w:val="00950D0E"/>
    <w:rsid w:val="00950F0F"/>
    <w:rsid w:val="00950F7F"/>
    <w:rsid w:val="00950FAD"/>
    <w:rsid w:val="00950FDF"/>
    <w:rsid w:val="0095116C"/>
    <w:rsid w:val="009512FC"/>
    <w:rsid w:val="009513F6"/>
    <w:rsid w:val="00951411"/>
    <w:rsid w:val="009514DA"/>
    <w:rsid w:val="0095150F"/>
    <w:rsid w:val="009515E9"/>
    <w:rsid w:val="00951900"/>
    <w:rsid w:val="00951927"/>
    <w:rsid w:val="009519BE"/>
    <w:rsid w:val="00951ACA"/>
    <w:rsid w:val="00951BC8"/>
    <w:rsid w:val="00951BEB"/>
    <w:rsid w:val="00951C51"/>
    <w:rsid w:val="00951CCB"/>
    <w:rsid w:val="00951DBC"/>
    <w:rsid w:val="00952106"/>
    <w:rsid w:val="0095211A"/>
    <w:rsid w:val="00952407"/>
    <w:rsid w:val="00952441"/>
    <w:rsid w:val="00952442"/>
    <w:rsid w:val="009524CF"/>
    <w:rsid w:val="009524D5"/>
    <w:rsid w:val="009525B6"/>
    <w:rsid w:val="00952624"/>
    <w:rsid w:val="00952648"/>
    <w:rsid w:val="0095266F"/>
    <w:rsid w:val="0095284E"/>
    <w:rsid w:val="009529ED"/>
    <w:rsid w:val="00952B60"/>
    <w:rsid w:val="00952BC6"/>
    <w:rsid w:val="00952BE3"/>
    <w:rsid w:val="00952BF6"/>
    <w:rsid w:val="00952D96"/>
    <w:rsid w:val="00952E7E"/>
    <w:rsid w:val="00952E84"/>
    <w:rsid w:val="00952F93"/>
    <w:rsid w:val="00953184"/>
    <w:rsid w:val="009531AD"/>
    <w:rsid w:val="009531AE"/>
    <w:rsid w:val="009531B5"/>
    <w:rsid w:val="009531C3"/>
    <w:rsid w:val="00953256"/>
    <w:rsid w:val="00953315"/>
    <w:rsid w:val="00953523"/>
    <w:rsid w:val="009535B7"/>
    <w:rsid w:val="00953814"/>
    <w:rsid w:val="00953826"/>
    <w:rsid w:val="00953843"/>
    <w:rsid w:val="009538B2"/>
    <w:rsid w:val="0095393C"/>
    <w:rsid w:val="00953A3B"/>
    <w:rsid w:val="00953A64"/>
    <w:rsid w:val="00953BE2"/>
    <w:rsid w:val="00953E22"/>
    <w:rsid w:val="00953EC7"/>
    <w:rsid w:val="00953F1F"/>
    <w:rsid w:val="00954083"/>
    <w:rsid w:val="0095414E"/>
    <w:rsid w:val="009542C4"/>
    <w:rsid w:val="00954359"/>
    <w:rsid w:val="009543E6"/>
    <w:rsid w:val="009543E9"/>
    <w:rsid w:val="009544EC"/>
    <w:rsid w:val="009545AF"/>
    <w:rsid w:val="0095466B"/>
    <w:rsid w:val="009546CD"/>
    <w:rsid w:val="009546E6"/>
    <w:rsid w:val="009547C5"/>
    <w:rsid w:val="00954830"/>
    <w:rsid w:val="0095493D"/>
    <w:rsid w:val="00954945"/>
    <w:rsid w:val="00954980"/>
    <w:rsid w:val="009549F1"/>
    <w:rsid w:val="00954AB8"/>
    <w:rsid w:val="00954B78"/>
    <w:rsid w:val="00954BB9"/>
    <w:rsid w:val="00954D84"/>
    <w:rsid w:val="00954DA8"/>
    <w:rsid w:val="00954DD1"/>
    <w:rsid w:val="00954E65"/>
    <w:rsid w:val="00954F54"/>
    <w:rsid w:val="00954F5C"/>
    <w:rsid w:val="00954FA6"/>
    <w:rsid w:val="009550CD"/>
    <w:rsid w:val="00955264"/>
    <w:rsid w:val="0095532B"/>
    <w:rsid w:val="009553CF"/>
    <w:rsid w:val="009554EC"/>
    <w:rsid w:val="009555FA"/>
    <w:rsid w:val="009556AA"/>
    <w:rsid w:val="00955714"/>
    <w:rsid w:val="00955729"/>
    <w:rsid w:val="00955808"/>
    <w:rsid w:val="009559D0"/>
    <w:rsid w:val="009559E7"/>
    <w:rsid w:val="00955ACF"/>
    <w:rsid w:val="00955BB6"/>
    <w:rsid w:val="00955C3D"/>
    <w:rsid w:val="00955CDB"/>
    <w:rsid w:val="00955CDD"/>
    <w:rsid w:val="00955CE5"/>
    <w:rsid w:val="00955E05"/>
    <w:rsid w:val="00955EC4"/>
    <w:rsid w:val="00955F36"/>
    <w:rsid w:val="00956005"/>
    <w:rsid w:val="00956058"/>
    <w:rsid w:val="00956152"/>
    <w:rsid w:val="009561E9"/>
    <w:rsid w:val="0095625B"/>
    <w:rsid w:val="009562C7"/>
    <w:rsid w:val="009564C1"/>
    <w:rsid w:val="009566C2"/>
    <w:rsid w:val="00956712"/>
    <w:rsid w:val="0095676D"/>
    <w:rsid w:val="00956774"/>
    <w:rsid w:val="00956854"/>
    <w:rsid w:val="00956863"/>
    <w:rsid w:val="0095689F"/>
    <w:rsid w:val="009568BB"/>
    <w:rsid w:val="0095691A"/>
    <w:rsid w:val="0095697B"/>
    <w:rsid w:val="00956983"/>
    <w:rsid w:val="009569F9"/>
    <w:rsid w:val="00956A8A"/>
    <w:rsid w:val="00956AAA"/>
    <w:rsid w:val="00956AED"/>
    <w:rsid w:val="00956B87"/>
    <w:rsid w:val="00956BC3"/>
    <w:rsid w:val="00956C68"/>
    <w:rsid w:val="00956C74"/>
    <w:rsid w:val="00956D4B"/>
    <w:rsid w:val="00956E1B"/>
    <w:rsid w:val="00956EE1"/>
    <w:rsid w:val="0095712D"/>
    <w:rsid w:val="009571A9"/>
    <w:rsid w:val="009571F4"/>
    <w:rsid w:val="009572A9"/>
    <w:rsid w:val="00957358"/>
    <w:rsid w:val="00957383"/>
    <w:rsid w:val="009574F4"/>
    <w:rsid w:val="0095754C"/>
    <w:rsid w:val="00957645"/>
    <w:rsid w:val="00957689"/>
    <w:rsid w:val="009577BF"/>
    <w:rsid w:val="009577D1"/>
    <w:rsid w:val="009577F9"/>
    <w:rsid w:val="0095785D"/>
    <w:rsid w:val="009578D0"/>
    <w:rsid w:val="0095795A"/>
    <w:rsid w:val="00957961"/>
    <w:rsid w:val="00957B8F"/>
    <w:rsid w:val="00957C79"/>
    <w:rsid w:val="00957CA9"/>
    <w:rsid w:val="00957CCA"/>
    <w:rsid w:val="00957CF4"/>
    <w:rsid w:val="00957D63"/>
    <w:rsid w:val="00957D68"/>
    <w:rsid w:val="00957DBD"/>
    <w:rsid w:val="00957E16"/>
    <w:rsid w:val="00957E54"/>
    <w:rsid w:val="00957F13"/>
    <w:rsid w:val="00957F69"/>
    <w:rsid w:val="00957FE4"/>
    <w:rsid w:val="00957FF1"/>
    <w:rsid w:val="0096002B"/>
    <w:rsid w:val="00960061"/>
    <w:rsid w:val="009600D7"/>
    <w:rsid w:val="00960179"/>
    <w:rsid w:val="0096025C"/>
    <w:rsid w:val="009602A2"/>
    <w:rsid w:val="009603AA"/>
    <w:rsid w:val="009603EB"/>
    <w:rsid w:val="009604F2"/>
    <w:rsid w:val="009604F3"/>
    <w:rsid w:val="009604FD"/>
    <w:rsid w:val="0096050E"/>
    <w:rsid w:val="009605AF"/>
    <w:rsid w:val="009605F4"/>
    <w:rsid w:val="00960656"/>
    <w:rsid w:val="00960667"/>
    <w:rsid w:val="00960727"/>
    <w:rsid w:val="00960794"/>
    <w:rsid w:val="0096079B"/>
    <w:rsid w:val="009609F1"/>
    <w:rsid w:val="00960B24"/>
    <w:rsid w:val="00960B27"/>
    <w:rsid w:val="00960B9E"/>
    <w:rsid w:val="00960D99"/>
    <w:rsid w:val="00960DFB"/>
    <w:rsid w:val="00960F22"/>
    <w:rsid w:val="00960FD2"/>
    <w:rsid w:val="00961052"/>
    <w:rsid w:val="009610F4"/>
    <w:rsid w:val="009611DB"/>
    <w:rsid w:val="0096122B"/>
    <w:rsid w:val="009612B1"/>
    <w:rsid w:val="00961399"/>
    <w:rsid w:val="009613D7"/>
    <w:rsid w:val="0096158B"/>
    <w:rsid w:val="00961643"/>
    <w:rsid w:val="00961703"/>
    <w:rsid w:val="00961768"/>
    <w:rsid w:val="009619BC"/>
    <w:rsid w:val="00961A9A"/>
    <w:rsid w:val="00961BD2"/>
    <w:rsid w:val="00961BEA"/>
    <w:rsid w:val="00961CAA"/>
    <w:rsid w:val="00961DE9"/>
    <w:rsid w:val="00961ED0"/>
    <w:rsid w:val="00961FB6"/>
    <w:rsid w:val="00961FEE"/>
    <w:rsid w:val="0096200B"/>
    <w:rsid w:val="0096202C"/>
    <w:rsid w:val="00962052"/>
    <w:rsid w:val="009620A7"/>
    <w:rsid w:val="00962208"/>
    <w:rsid w:val="00962254"/>
    <w:rsid w:val="00962296"/>
    <w:rsid w:val="009622B0"/>
    <w:rsid w:val="009622C4"/>
    <w:rsid w:val="00962412"/>
    <w:rsid w:val="00962635"/>
    <w:rsid w:val="00962665"/>
    <w:rsid w:val="00962699"/>
    <w:rsid w:val="0096269A"/>
    <w:rsid w:val="009626BB"/>
    <w:rsid w:val="009626E3"/>
    <w:rsid w:val="0096279D"/>
    <w:rsid w:val="009628C9"/>
    <w:rsid w:val="009629B0"/>
    <w:rsid w:val="00962A3F"/>
    <w:rsid w:val="00962AD9"/>
    <w:rsid w:val="00962CB7"/>
    <w:rsid w:val="00962D8E"/>
    <w:rsid w:val="0096301C"/>
    <w:rsid w:val="0096311F"/>
    <w:rsid w:val="00963139"/>
    <w:rsid w:val="00963335"/>
    <w:rsid w:val="00963362"/>
    <w:rsid w:val="00963433"/>
    <w:rsid w:val="00963493"/>
    <w:rsid w:val="009634F2"/>
    <w:rsid w:val="00963592"/>
    <w:rsid w:val="009635C9"/>
    <w:rsid w:val="009635CA"/>
    <w:rsid w:val="009635F9"/>
    <w:rsid w:val="00963611"/>
    <w:rsid w:val="00963699"/>
    <w:rsid w:val="009637FC"/>
    <w:rsid w:val="0096394D"/>
    <w:rsid w:val="00963B1E"/>
    <w:rsid w:val="00963B27"/>
    <w:rsid w:val="00963C6F"/>
    <w:rsid w:val="00963CBD"/>
    <w:rsid w:val="00963D77"/>
    <w:rsid w:val="00963DF7"/>
    <w:rsid w:val="00964133"/>
    <w:rsid w:val="00964219"/>
    <w:rsid w:val="009642F4"/>
    <w:rsid w:val="00964395"/>
    <w:rsid w:val="00964614"/>
    <w:rsid w:val="009646F1"/>
    <w:rsid w:val="00964728"/>
    <w:rsid w:val="00964733"/>
    <w:rsid w:val="0096482C"/>
    <w:rsid w:val="00964987"/>
    <w:rsid w:val="009649C3"/>
    <w:rsid w:val="009649E3"/>
    <w:rsid w:val="00964A08"/>
    <w:rsid w:val="00964A7A"/>
    <w:rsid w:val="00964BA7"/>
    <w:rsid w:val="00964BBE"/>
    <w:rsid w:val="00964CF1"/>
    <w:rsid w:val="00964E67"/>
    <w:rsid w:val="00964E73"/>
    <w:rsid w:val="00964FA4"/>
    <w:rsid w:val="00964FA8"/>
    <w:rsid w:val="00965170"/>
    <w:rsid w:val="00965345"/>
    <w:rsid w:val="009653CE"/>
    <w:rsid w:val="00965433"/>
    <w:rsid w:val="009654A8"/>
    <w:rsid w:val="00965589"/>
    <w:rsid w:val="009655AF"/>
    <w:rsid w:val="009656B3"/>
    <w:rsid w:val="00965828"/>
    <w:rsid w:val="00965965"/>
    <w:rsid w:val="00965967"/>
    <w:rsid w:val="00965BC5"/>
    <w:rsid w:val="00965BDA"/>
    <w:rsid w:val="00965CB9"/>
    <w:rsid w:val="00965D3B"/>
    <w:rsid w:val="00965D3D"/>
    <w:rsid w:val="00965D80"/>
    <w:rsid w:val="00965DC6"/>
    <w:rsid w:val="00965FC4"/>
    <w:rsid w:val="00966052"/>
    <w:rsid w:val="009661BB"/>
    <w:rsid w:val="009661C3"/>
    <w:rsid w:val="009661C4"/>
    <w:rsid w:val="0096628C"/>
    <w:rsid w:val="0096632E"/>
    <w:rsid w:val="009663F1"/>
    <w:rsid w:val="00966407"/>
    <w:rsid w:val="00966444"/>
    <w:rsid w:val="009664A0"/>
    <w:rsid w:val="009664FF"/>
    <w:rsid w:val="0096659A"/>
    <w:rsid w:val="00966681"/>
    <w:rsid w:val="00966692"/>
    <w:rsid w:val="009666F1"/>
    <w:rsid w:val="009667D3"/>
    <w:rsid w:val="00966874"/>
    <w:rsid w:val="00966894"/>
    <w:rsid w:val="009668D7"/>
    <w:rsid w:val="009669AC"/>
    <w:rsid w:val="00966A6B"/>
    <w:rsid w:val="00966A7D"/>
    <w:rsid w:val="00966B50"/>
    <w:rsid w:val="00966B6A"/>
    <w:rsid w:val="00966DA7"/>
    <w:rsid w:val="00966E28"/>
    <w:rsid w:val="00966E4C"/>
    <w:rsid w:val="00966E61"/>
    <w:rsid w:val="00966F06"/>
    <w:rsid w:val="00967039"/>
    <w:rsid w:val="009670BE"/>
    <w:rsid w:val="009670E3"/>
    <w:rsid w:val="00967148"/>
    <w:rsid w:val="00967264"/>
    <w:rsid w:val="009673DD"/>
    <w:rsid w:val="00967481"/>
    <w:rsid w:val="00967596"/>
    <w:rsid w:val="009677CE"/>
    <w:rsid w:val="00967837"/>
    <w:rsid w:val="00967919"/>
    <w:rsid w:val="0096799D"/>
    <w:rsid w:val="009679ED"/>
    <w:rsid w:val="00967A24"/>
    <w:rsid w:val="00967AA4"/>
    <w:rsid w:val="00967AF8"/>
    <w:rsid w:val="00967B53"/>
    <w:rsid w:val="00967B8F"/>
    <w:rsid w:val="00967CBA"/>
    <w:rsid w:val="00967CF2"/>
    <w:rsid w:val="00967D12"/>
    <w:rsid w:val="00967F3D"/>
    <w:rsid w:val="00967F6C"/>
    <w:rsid w:val="00967FF7"/>
    <w:rsid w:val="00970269"/>
    <w:rsid w:val="00970283"/>
    <w:rsid w:val="0097040D"/>
    <w:rsid w:val="0097041E"/>
    <w:rsid w:val="00970527"/>
    <w:rsid w:val="009705F1"/>
    <w:rsid w:val="009708F2"/>
    <w:rsid w:val="009709B0"/>
    <w:rsid w:val="00970ADA"/>
    <w:rsid w:val="00970B1A"/>
    <w:rsid w:val="00970BCE"/>
    <w:rsid w:val="00970C01"/>
    <w:rsid w:val="00970C54"/>
    <w:rsid w:val="00970E50"/>
    <w:rsid w:val="00970F89"/>
    <w:rsid w:val="0097104A"/>
    <w:rsid w:val="00971087"/>
    <w:rsid w:val="0097117A"/>
    <w:rsid w:val="0097118A"/>
    <w:rsid w:val="00971242"/>
    <w:rsid w:val="009712F7"/>
    <w:rsid w:val="009713DB"/>
    <w:rsid w:val="0097153D"/>
    <w:rsid w:val="00971651"/>
    <w:rsid w:val="009716E3"/>
    <w:rsid w:val="00971720"/>
    <w:rsid w:val="00971725"/>
    <w:rsid w:val="00971750"/>
    <w:rsid w:val="00971774"/>
    <w:rsid w:val="00971783"/>
    <w:rsid w:val="009717B3"/>
    <w:rsid w:val="009717C0"/>
    <w:rsid w:val="00971924"/>
    <w:rsid w:val="00971B79"/>
    <w:rsid w:val="00971B8D"/>
    <w:rsid w:val="00971C7D"/>
    <w:rsid w:val="00971CB7"/>
    <w:rsid w:val="00971E7C"/>
    <w:rsid w:val="00971ED3"/>
    <w:rsid w:val="00971EF7"/>
    <w:rsid w:val="00972013"/>
    <w:rsid w:val="00972065"/>
    <w:rsid w:val="0097206B"/>
    <w:rsid w:val="009720D3"/>
    <w:rsid w:val="0097216E"/>
    <w:rsid w:val="0097220B"/>
    <w:rsid w:val="00972266"/>
    <w:rsid w:val="00972434"/>
    <w:rsid w:val="009724F5"/>
    <w:rsid w:val="00972524"/>
    <w:rsid w:val="009725A5"/>
    <w:rsid w:val="009725DE"/>
    <w:rsid w:val="009726B2"/>
    <w:rsid w:val="00972876"/>
    <w:rsid w:val="009728DE"/>
    <w:rsid w:val="00972999"/>
    <w:rsid w:val="009729A7"/>
    <w:rsid w:val="00972A30"/>
    <w:rsid w:val="00972A65"/>
    <w:rsid w:val="00972BBA"/>
    <w:rsid w:val="00972BBE"/>
    <w:rsid w:val="00972C04"/>
    <w:rsid w:val="00972C2F"/>
    <w:rsid w:val="00972C34"/>
    <w:rsid w:val="00972CAB"/>
    <w:rsid w:val="00972D28"/>
    <w:rsid w:val="00972DB9"/>
    <w:rsid w:val="00972DEE"/>
    <w:rsid w:val="00972F36"/>
    <w:rsid w:val="00972FBA"/>
    <w:rsid w:val="00973094"/>
    <w:rsid w:val="00973192"/>
    <w:rsid w:val="00973196"/>
    <w:rsid w:val="00973212"/>
    <w:rsid w:val="009733FE"/>
    <w:rsid w:val="00973454"/>
    <w:rsid w:val="0097349B"/>
    <w:rsid w:val="009736FE"/>
    <w:rsid w:val="0097383F"/>
    <w:rsid w:val="0097386E"/>
    <w:rsid w:val="009738CC"/>
    <w:rsid w:val="00973A3F"/>
    <w:rsid w:val="00973A4C"/>
    <w:rsid w:val="00973A7A"/>
    <w:rsid w:val="00973AC8"/>
    <w:rsid w:val="00973AFB"/>
    <w:rsid w:val="00973C4A"/>
    <w:rsid w:val="00973CB5"/>
    <w:rsid w:val="00973DBF"/>
    <w:rsid w:val="00973E51"/>
    <w:rsid w:val="00973E5D"/>
    <w:rsid w:val="00973E77"/>
    <w:rsid w:val="00973E87"/>
    <w:rsid w:val="00973E90"/>
    <w:rsid w:val="00973EDB"/>
    <w:rsid w:val="0097402E"/>
    <w:rsid w:val="00974085"/>
    <w:rsid w:val="009740CB"/>
    <w:rsid w:val="009740D4"/>
    <w:rsid w:val="0097414F"/>
    <w:rsid w:val="0097417A"/>
    <w:rsid w:val="00974221"/>
    <w:rsid w:val="009742A8"/>
    <w:rsid w:val="0097434A"/>
    <w:rsid w:val="009744BD"/>
    <w:rsid w:val="00974603"/>
    <w:rsid w:val="009747F5"/>
    <w:rsid w:val="00974880"/>
    <w:rsid w:val="0097489C"/>
    <w:rsid w:val="009748BD"/>
    <w:rsid w:val="009748C9"/>
    <w:rsid w:val="00974967"/>
    <w:rsid w:val="009749AA"/>
    <w:rsid w:val="00974BB2"/>
    <w:rsid w:val="00974BDE"/>
    <w:rsid w:val="00974C81"/>
    <w:rsid w:val="00974CFE"/>
    <w:rsid w:val="00974D10"/>
    <w:rsid w:val="00974D83"/>
    <w:rsid w:val="00974F2C"/>
    <w:rsid w:val="00974F41"/>
    <w:rsid w:val="009750D9"/>
    <w:rsid w:val="009752E9"/>
    <w:rsid w:val="0097530C"/>
    <w:rsid w:val="0097537D"/>
    <w:rsid w:val="0097548D"/>
    <w:rsid w:val="00975641"/>
    <w:rsid w:val="00975689"/>
    <w:rsid w:val="009756C5"/>
    <w:rsid w:val="009756F3"/>
    <w:rsid w:val="0097571E"/>
    <w:rsid w:val="00975737"/>
    <w:rsid w:val="0097578D"/>
    <w:rsid w:val="009758FE"/>
    <w:rsid w:val="00975971"/>
    <w:rsid w:val="00975B59"/>
    <w:rsid w:val="00975C9B"/>
    <w:rsid w:val="00975C9C"/>
    <w:rsid w:val="00975F35"/>
    <w:rsid w:val="00975FAF"/>
    <w:rsid w:val="009760C0"/>
    <w:rsid w:val="0097611C"/>
    <w:rsid w:val="00976154"/>
    <w:rsid w:val="0097616B"/>
    <w:rsid w:val="009761D4"/>
    <w:rsid w:val="00976394"/>
    <w:rsid w:val="009763A1"/>
    <w:rsid w:val="00976401"/>
    <w:rsid w:val="0097649D"/>
    <w:rsid w:val="0097679C"/>
    <w:rsid w:val="009768C3"/>
    <w:rsid w:val="00976918"/>
    <w:rsid w:val="0097692E"/>
    <w:rsid w:val="00976953"/>
    <w:rsid w:val="00976BA0"/>
    <w:rsid w:val="00976BB0"/>
    <w:rsid w:val="00976BCF"/>
    <w:rsid w:val="00976D11"/>
    <w:rsid w:val="00976D5B"/>
    <w:rsid w:val="00976E8B"/>
    <w:rsid w:val="00976F41"/>
    <w:rsid w:val="00976F85"/>
    <w:rsid w:val="00976FAF"/>
    <w:rsid w:val="00976FD9"/>
    <w:rsid w:val="009770BD"/>
    <w:rsid w:val="009770FF"/>
    <w:rsid w:val="00977321"/>
    <w:rsid w:val="00977343"/>
    <w:rsid w:val="00977447"/>
    <w:rsid w:val="00977467"/>
    <w:rsid w:val="009775F5"/>
    <w:rsid w:val="00977605"/>
    <w:rsid w:val="0097764E"/>
    <w:rsid w:val="009776B3"/>
    <w:rsid w:val="0097771F"/>
    <w:rsid w:val="00977780"/>
    <w:rsid w:val="00977939"/>
    <w:rsid w:val="00977A3B"/>
    <w:rsid w:val="00977AEC"/>
    <w:rsid w:val="00977C44"/>
    <w:rsid w:val="00977C9A"/>
    <w:rsid w:val="00977D11"/>
    <w:rsid w:val="00977D5C"/>
    <w:rsid w:val="00977EDB"/>
    <w:rsid w:val="00977EFE"/>
    <w:rsid w:val="00977FD4"/>
    <w:rsid w:val="0098002C"/>
    <w:rsid w:val="00980075"/>
    <w:rsid w:val="009800A6"/>
    <w:rsid w:val="00980179"/>
    <w:rsid w:val="0098024C"/>
    <w:rsid w:val="00980310"/>
    <w:rsid w:val="00980459"/>
    <w:rsid w:val="0098049D"/>
    <w:rsid w:val="009804AC"/>
    <w:rsid w:val="00980574"/>
    <w:rsid w:val="0098058D"/>
    <w:rsid w:val="009806F9"/>
    <w:rsid w:val="0098071D"/>
    <w:rsid w:val="00980AA6"/>
    <w:rsid w:val="00980CE0"/>
    <w:rsid w:val="00980E19"/>
    <w:rsid w:val="00980E23"/>
    <w:rsid w:val="00980E2F"/>
    <w:rsid w:val="00980FEE"/>
    <w:rsid w:val="00981055"/>
    <w:rsid w:val="009810F4"/>
    <w:rsid w:val="0098113F"/>
    <w:rsid w:val="00981161"/>
    <w:rsid w:val="009811DE"/>
    <w:rsid w:val="009812C1"/>
    <w:rsid w:val="0098144C"/>
    <w:rsid w:val="00981498"/>
    <w:rsid w:val="00981508"/>
    <w:rsid w:val="00981673"/>
    <w:rsid w:val="0098168F"/>
    <w:rsid w:val="009817A5"/>
    <w:rsid w:val="009819FA"/>
    <w:rsid w:val="00981AE4"/>
    <w:rsid w:val="00981AEA"/>
    <w:rsid w:val="00981AEB"/>
    <w:rsid w:val="00981B61"/>
    <w:rsid w:val="00981BA4"/>
    <w:rsid w:val="00981C7D"/>
    <w:rsid w:val="00981DAE"/>
    <w:rsid w:val="00981E44"/>
    <w:rsid w:val="00981E4E"/>
    <w:rsid w:val="00981EDE"/>
    <w:rsid w:val="009820B1"/>
    <w:rsid w:val="009820BD"/>
    <w:rsid w:val="009820ED"/>
    <w:rsid w:val="0098214D"/>
    <w:rsid w:val="00982170"/>
    <w:rsid w:val="0098225C"/>
    <w:rsid w:val="0098225F"/>
    <w:rsid w:val="009822FE"/>
    <w:rsid w:val="00982355"/>
    <w:rsid w:val="00982516"/>
    <w:rsid w:val="0098259B"/>
    <w:rsid w:val="0098270C"/>
    <w:rsid w:val="0098272B"/>
    <w:rsid w:val="00982948"/>
    <w:rsid w:val="009829D7"/>
    <w:rsid w:val="009829E5"/>
    <w:rsid w:val="00982A7A"/>
    <w:rsid w:val="00982A81"/>
    <w:rsid w:val="00982BDE"/>
    <w:rsid w:val="00982C6D"/>
    <w:rsid w:val="00982CF4"/>
    <w:rsid w:val="00982D29"/>
    <w:rsid w:val="00982DF0"/>
    <w:rsid w:val="009831AB"/>
    <w:rsid w:val="00983231"/>
    <w:rsid w:val="0098324A"/>
    <w:rsid w:val="0098328F"/>
    <w:rsid w:val="009833D4"/>
    <w:rsid w:val="00983415"/>
    <w:rsid w:val="0098344D"/>
    <w:rsid w:val="00983483"/>
    <w:rsid w:val="009836EF"/>
    <w:rsid w:val="00983738"/>
    <w:rsid w:val="009837A0"/>
    <w:rsid w:val="009837A4"/>
    <w:rsid w:val="009837D6"/>
    <w:rsid w:val="00983896"/>
    <w:rsid w:val="009838A7"/>
    <w:rsid w:val="0098392F"/>
    <w:rsid w:val="00983968"/>
    <w:rsid w:val="009839DC"/>
    <w:rsid w:val="00983A27"/>
    <w:rsid w:val="00983B6F"/>
    <w:rsid w:val="00983BDC"/>
    <w:rsid w:val="00983BFE"/>
    <w:rsid w:val="00983C59"/>
    <w:rsid w:val="00983E0D"/>
    <w:rsid w:val="00983E54"/>
    <w:rsid w:val="00983ED8"/>
    <w:rsid w:val="00983F13"/>
    <w:rsid w:val="00983F69"/>
    <w:rsid w:val="00983FB9"/>
    <w:rsid w:val="0098400D"/>
    <w:rsid w:val="00984059"/>
    <w:rsid w:val="009840E4"/>
    <w:rsid w:val="00984118"/>
    <w:rsid w:val="00984212"/>
    <w:rsid w:val="009842DC"/>
    <w:rsid w:val="0098435A"/>
    <w:rsid w:val="009843A4"/>
    <w:rsid w:val="009843F3"/>
    <w:rsid w:val="00984489"/>
    <w:rsid w:val="009844A8"/>
    <w:rsid w:val="0098459B"/>
    <w:rsid w:val="009845CA"/>
    <w:rsid w:val="009845CF"/>
    <w:rsid w:val="009845FF"/>
    <w:rsid w:val="009846AE"/>
    <w:rsid w:val="00984749"/>
    <w:rsid w:val="00984752"/>
    <w:rsid w:val="009847DF"/>
    <w:rsid w:val="009848A7"/>
    <w:rsid w:val="0098495D"/>
    <w:rsid w:val="00984CB4"/>
    <w:rsid w:val="00984E96"/>
    <w:rsid w:val="00984F98"/>
    <w:rsid w:val="00984FBC"/>
    <w:rsid w:val="00984FF9"/>
    <w:rsid w:val="00985008"/>
    <w:rsid w:val="0098516C"/>
    <w:rsid w:val="009851C6"/>
    <w:rsid w:val="0098538E"/>
    <w:rsid w:val="0098550D"/>
    <w:rsid w:val="00985520"/>
    <w:rsid w:val="00985535"/>
    <w:rsid w:val="0098554F"/>
    <w:rsid w:val="0098558C"/>
    <w:rsid w:val="00985612"/>
    <w:rsid w:val="009857F9"/>
    <w:rsid w:val="00985824"/>
    <w:rsid w:val="009858AD"/>
    <w:rsid w:val="009858EC"/>
    <w:rsid w:val="009858ED"/>
    <w:rsid w:val="0098591D"/>
    <w:rsid w:val="00985C4E"/>
    <w:rsid w:val="00985C78"/>
    <w:rsid w:val="00985CBB"/>
    <w:rsid w:val="00985D12"/>
    <w:rsid w:val="00985D50"/>
    <w:rsid w:val="00985F5C"/>
    <w:rsid w:val="00985F6C"/>
    <w:rsid w:val="00986179"/>
    <w:rsid w:val="00986182"/>
    <w:rsid w:val="009861BA"/>
    <w:rsid w:val="00986236"/>
    <w:rsid w:val="0098628D"/>
    <w:rsid w:val="009863BB"/>
    <w:rsid w:val="009863F6"/>
    <w:rsid w:val="009864DF"/>
    <w:rsid w:val="0098662F"/>
    <w:rsid w:val="009866C8"/>
    <w:rsid w:val="009866CC"/>
    <w:rsid w:val="0098681F"/>
    <w:rsid w:val="00986834"/>
    <w:rsid w:val="00986919"/>
    <w:rsid w:val="00986A05"/>
    <w:rsid w:val="00986A13"/>
    <w:rsid w:val="00986A26"/>
    <w:rsid w:val="00986A5D"/>
    <w:rsid w:val="00986A89"/>
    <w:rsid w:val="00986B05"/>
    <w:rsid w:val="00986B7A"/>
    <w:rsid w:val="00986BBD"/>
    <w:rsid w:val="00986DF4"/>
    <w:rsid w:val="00986F16"/>
    <w:rsid w:val="00986F4D"/>
    <w:rsid w:val="00986FA0"/>
    <w:rsid w:val="00986FD1"/>
    <w:rsid w:val="0098704C"/>
    <w:rsid w:val="00987187"/>
    <w:rsid w:val="00987341"/>
    <w:rsid w:val="009875D2"/>
    <w:rsid w:val="0098765D"/>
    <w:rsid w:val="009877BF"/>
    <w:rsid w:val="009877E4"/>
    <w:rsid w:val="0098781C"/>
    <w:rsid w:val="0098787A"/>
    <w:rsid w:val="00987885"/>
    <w:rsid w:val="009878CF"/>
    <w:rsid w:val="00987921"/>
    <w:rsid w:val="00987939"/>
    <w:rsid w:val="00987ABC"/>
    <w:rsid w:val="00987BC9"/>
    <w:rsid w:val="00987D34"/>
    <w:rsid w:val="00987D8E"/>
    <w:rsid w:val="00987E2E"/>
    <w:rsid w:val="00987E6A"/>
    <w:rsid w:val="00987E6E"/>
    <w:rsid w:val="00987EE2"/>
    <w:rsid w:val="00987EF6"/>
    <w:rsid w:val="00987F69"/>
    <w:rsid w:val="00987F81"/>
    <w:rsid w:val="00987F90"/>
    <w:rsid w:val="00987F92"/>
    <w:rsid w:val="00990030"/>
    <w:rsid w:val="00990095"/>
    <w:rsid w:val="009900C3"/>
    <w:rsid w:val="00990195"/>
    <w:rsid w:val="009901E1"/>
    <w:rsid w:val="00990249"/>
    <w:rsid w:val="009902BC"/>
    <w:rsid w:val="00990372"/>
    <w:rsid w:val="00990384"/>
    <w:rsid w:val="009904ED"/>
    <w:rsid w:val="00990694"/>
    <w:rsid w:val="0099071A"/>
    <w:rsid w:val="00990843"/>
    <w:rsid w:val="00990894"/>
    <w:rsid w:val="00990955"/>
    <w:rsid w:val="00990A13"/>
    <w:rsid w:val="00990AD4"/>
    <w:rsid w:val="00990B2A"/>
    <w:rsid w:val="00990C0A"/>
    <w:rsid w:val="00990C11"/>
    <w:rsid w:val="00990C17"/>
    <w:rsid w:val="00990C7E"/>
    <w:rsid w:val="00990D69"/>
    <w:rsid w:val="00990E06"/>
    <w:rsid w:val="00990E3E"/>
    <w:rsid w:val="00990EFD"/>
    <w:rsid w:val="00990F6B"/>
    <w:rsid w:val="00990F8F"/>
    <w:rsid w:val="0099147E"/>
    <w:rsid w:val="00991656"/>
    <w:rsid w:val="009917F8"/>
    <w:rsid w:val="0099189C"/>
    <w:rsid w:val="009918A6"/>
    <w:rsid w:val="009919C7"/>
    <w:rsid w:val="00991A4A"/>
    <w:rsid w:val="00991C23"/>
    <w:rsid w:val="00991C47"/>
    <w:rsid w:val="00991C49"/>
    <w:rsid w:val="00991D1F"/>
    <w:rsid w:val="00991D45"/>
    <w:rsid w:val="00991DFC"/>
    <w:rsid w:val="00991E4C"/>
    <w:rsid w:val="00991EEC"/>
    <w:rsid w:val="00992080"/>
    <w:rsid w:val="00992094"/>
    <w:rsid w:val="0099218E"/>
    <w:rsid w:val="009922EC"/>
    <w:rsid w:val="009923C4"/>
    <w:rsid w:val="00992569"/>
    <w:rsid w:val="009925C5"/>
    <w:rsid w:val="009926D3"/>
    <w:rsid w:val="009928CF"/>
    <w:rsid w:val="009928F6"/>
    <w:rsid w:val="00992958"/>
    <w:rsid w:val="009929B1"/>
    <w:rsid w:val="009929C3"/>
    <w:rsid w:val="009929C5"/>
    <w:rsid w:val="00992A6C"/>
    <w:rsid w:val="00992A98"/>
    <w:rsid w:val="00992DC4"/>
    <w:rsid w:val="00992E13"/>
    <w:rsid w:val="00992E21"/>
    <w:rsid w:val="00992EB5"/>
    <w:rsid w:val="00992FCC"/>
    <w:rsid w:val="00992FE9"/>
    <w:rsid w:val="009931CB"/>
    <w:rsid w:val="009933E9"/>
    <w:rsid w:val="00993407"/>
    <w:rsid w:val="00993500"/>
    <w:rsid w:val="00993533"/>
    <w:rsid w:val="00993538"/>
    <w:rsid w:val="009936C0"/>
    <w:rsid w:val="00993709"/>
    <w:rsid w:val="0099378B"/>
    <w:rsid w:val="0099387A"/>
    <w:rsid w:val="0099388D"/>
    <w:rsid w:val="009938D0"/>
    <w:rsid w:val="009938E2"/>
    <w:rsid w:val="009938F9"/>
    <w:rsid w:val="00993912"/>
    <w:rsid w:val="00993ACD"/>
    <w:rsid w:val="00993B7F"/>
    <w:rsid w:val="00993C1E"/>
    <w:rsid w:val="00993C36"/>
    <w:rsid w:val="00993E2F"/>
    <w:rsid w:val="00993E35"/>
    <w:rsid w:val="00993E9A"/>
    <w:rsid w:val="00993ED9"/>
    <w:rsid w:val="00993F73"/>
    <w:rsid w:val="009940C2"/>
    <w:rsid w:val="0099427B"/>
    <w:rsid w:val="00994464"/>
    <w:rsid w:val="00994507"/>
    <w:rsid w:val="009945B3"/>
    <w:rsid w:val="009946FB"/>
    <w:rsid w:val="00994798"/>
    <w:rsid w:val="009947B1"/>
    <w:rsid w:val="00994808"/>
    <w:rsid w:val="00994877"/>
    <w:rsid w:val="009949DA"/>
    <w:rsid w:val="009949E2"/>
    <w:rsid w:val="00994A43"/>
    <w:rsid w:val="00994A94"/>
    <w:rsid w:val="00994CB9"/>
    <w:rsid w:val="00994CE5"/>
    <w:rsid w:val="00994D29"/>
    <w:rsid w:val="00994E50"/>
    <w:rsid w:val="00994FDF"/>
    <w:rsid w:val="00995336"/>
    <w:rsid w:val="009953A9"/>
    <w:rsid w:val="009953D3"/>
    <w:rsid w:val="009955BE"/>
    <w:rsid w:val="009955E1"/>
    <w:rsid w:val="009956C8"/>
    <w:rsid w:val="00995736"/>
    <w:rsid w:val="00995891"/>
    <w:rsid w:val="009958A2"/>
    <w:rsid w:val="00995914"/>
    <w:rsid w:val="00995961"/>
    <w:rsid w:val="009959C6"/>
    <w:rsid w:val="00995B22"/>
    <w:rsid w:val="00995BD7"/>
    <w:rsid w:val="00995C05"/>
    <w:rsid w:val="00995C27"/>
    <w:rsid w:val="00995CB1"/>
    <w:rsid w:val="00995CE0"/>
    <w:rsid w:val="00995D4D"/>
    <w:rsid w:val="00995EB3"/>
    <w:rsid w:val="00995F6E"/>
    <w:rsid w:val="0099604A"/>
    <w:rsid w:val="0099613F"/>
    <w:rsid w:val="00996217"/>
    <w:rsid w:val="0099622D"/>
    <w:rsid w:val="00996275"/>
    <w:rsid w:val="0099636E"/>
    <w:rsid w:val="00996464"/>
    <w:rsid w:val="00996501"/>
    <w:rsid w:val="00996503"/>
    <w:rsid w:val="009965AB"/>
    <w:rsid w:val="009965DC"/>
    <w:rsid w:val="00996626"/>
    <w:rsid w:val="00996686"/>
    <w:rsid w:val="0099671A"/>
    <w:rsid w:val="00996731"/>
    <w:rsid w:val="00996755"/>
    <w:rsid w:val="00996950"/>
    <w:rsid w:val="00996A94"/>
    <w:rsid w:val="00996C69"/>
    <w:rsid w:val="00996D78"/>
    <w:rsid w:val="00996DDB"/>
    <w:rsid w:val="00996E26"/>
    <w:rsid w:val="00996E8A"/>
    <w:rsid w:val="00996FCE"/>
    <w:rsid w:val="00996FF8"/>
    <w:rsid w:val="009970CC"/>
    <w:rsid w:val="00997111"/>
    <w:rsid w:val="00997112"/>
    <w:rsid w:val="0099717C"/>
    <w:rsid w:val="009971EF"/>
    <w:rsid w:val="009971FE"/>
    <w:rsid w:val="00997261"/>
    <w:rsid w:val="0099729C"/>
    <w:rsid w:val="009973EA"/>
    <w:rsid w:val="009973F1"/>
    <w:rsid w:val="0099747E"/>
    <w:rsid w:val="0099751D"/>
    <w:rsid w:val="00997663"/>
    <w:rsid w:val="0099767B"/>
    <w:rsid w:val="009976A7"/>
    <w:rsid w:val="0099771C"/>
    <w:rsid w:val="00997777"/>
    <w:rsid w:val="00997819"/>
    <w:rsid w:val="0099799B"/>
    <w:rsid w:val="00997AB5"/>
    <w:rsid w:val="00997AF8"/>
    <w:rsid w:val="00997C8F"/>
    <w:rsid w:val="00997CDA"/>
    <w:rsid w:val="00997DE3"/>
    <w:rsid w:val="00997DEA"/>
    <w:rsid w:val="00997E63"/>
    <w:rsid w:val="00997F37"/>
    <w:rsid w:val="00997F9C"/>
    <w:rsid w:val="009A0006"/>
    <w:rsid w:val="009A0196"/>
    <w:rsid w:val="009A0224"/>
    <w:rsid w:val="009A0305"/>
    <w:rsid w:val="009A0335"/>
    <w:rsid w:val="009A0360"/>
    <w:rsid w:val="009A0568"/>
    <w:rsid w:val="009A0656"/>
    <w:rsid w:val="009A06DC"/>
    <w:rsid w:val="009A06FC"/>
    <w:rsid w:val="009A070F"/>
    <w:rsid w:val="009A0742"/>
    <w:rsid w:val="009A07B1"/>
    <w:rsid w:val="009A07EF"/>
    <w:rsid w:val="009A0926"/>
    <w:rsid w:val="009A0940"/>
    <w:rsid w:val="009A09AD"/>
    <w:rsid w:val="009A09CE"/>
    <w:rsid w:val="009A0AAC"/>
    <w:rsid w:val="009A0C3C"/>
    <w:rsid w:val="009A0D21"/>
    <w:rsid w:val="009A0D4A"/>
    <w:rsid w:val="009A0D5E"/>
    <w:rsid w:val="009A0E0B"/>
    <w:rsid w:val="009A0E83"/>
    <w:rsid w:val="009A0F54"/>
    <w:rsid w:val="009A0F5C"/>
    <w:rsid w:val="009A125E"/>
    <w:rsid w:val="009A136B"/>
    <w:rsid w:val="009A13A2"/>
    <w:rsid w:val="009A146B"/>
    <w:rsid w:val="009A1630"/>
    <w:rsid w:val="009A16F6"/>
    <w:rsid w:val="009A170B"/>
    <w:rsid w:val="009A185A"/>
    <w:rsid w:val="009A187E"/>
    <w:rsid w:val="009A18BD"/>
    <w:rsid w:val="009A1991"/>
    <w:rsid w:val="009A19EE"/>
    <w:rsid w:val="009A1A10"/>
    <w:rsid w:val="009A1A6D"/>
    <w:rsid w:val="009A1DFD"/>
    <w:rsid w:val="009A1EA9"/>
    <w:rsid w:val="009A1F61"/>
    <w:rsid w:val="009A208C"/>
    <w:rsid w:val="009A215A"/>
    <w:rsid w:val="009A225B"/>
    <w:rsid w:val="009A2368"/>
    <w:rsid w:val="009A24C0"/>
    <w:rsid w:val="009A2539"/>
    <w:rsid w:val="009A2572"/>
    <w:rsid w:val="009A267B"/>
    <w:rsid w:val="009A273E"/>
    <w:rsid w:val="009A276F"/>
    <w:rsid w:val="009A279B"/>
    <w:rsid w:val="009A2836"/>
    <w:rsid w:val="009A2880"/>
    <w:rsid w:val="009A295E"/>
    <w:rsid w:val="009A29D8"/>
    <w:rsid w:val="009A2A46"/>
    <w:rsid w:val="009A2B29"/>
    <w:rsid w:val="009A2BD1"/>
    <w:rsid w:val="009A2C28"/>
    <w:rsid w:val="009A2C5D"/>
    <w:rsid w:val="009A2C74"/>
    <w:rsid w:val="009A2D2A"/>
    <w:rsid w:val="009A2DA1"/>
    <w:rsid w:val="009A2DAD"/>
    <w:rsid w:val="009A2E2B"/>
    <w:rsid w:val="009A2E93"/>
    <w:rsid w:val="009A2F6F"/>
    <w:rsid w:val="009A2FBE"/>
    <w:rsid w:val="009A31C6"/>
    <w:rsid w:val="009A321B"/>
    <w:rsid w:val="009A329F"/>
    <w:rsid w:val="009A33BA"/>
    <w:rsid w:val="009A3417"/>
    <w:rsid w:val="009A34CC"/>
    <w:rsid w:val="009A388A"/>
    <w:rsid w:val="009A39E4"/>
    <w:rsid w:val="009A3AF5"/>
    <w:rsid w:val="009A3C87"/>
    <w:rsid w:val="009A3C98"/>
    <w:rsid w:val="009A3E23"/>
    <w:rsid w:val="009A3E51"/>
    <w:rsid w:val="009A3EAF"/>
    <w:rsid w:val="009A3F0C"/>
    <w:rsid w:val="009A40D0"/>
    <w:rsid w:val="009A4121"/>
    <w:rsid w:val="009A4135"/>
    <w:rsid w:val="009A416A"/>
    <w:rsid w:val="009A417C"/>
    <w:rsid w:val="009A41E3"/>
    <w:rsid w:val="009A42AF"/>
    <w:rsid w:val="009A4399"/>
    <w:rsid w:val="009A43BA"/>
    <w:rsid w:val="009A446E"/>
    <w:rsid w:val="009A44B5"/>
    <w:rsid w:val="009A4539"/>
    <w:rsid w:val="009A469D"/>
    <w:rsid w:val="009A469F"/>
    <w:rsid w:val="009A47F0"/>
    <w:rsid w:val="009A4900"/>
    <w:rsid w:val="009A490C"/>
    <w:rsid w:val="009A4A27"/>
    <w:rsid w:val="009A4A62"/>
    <w:rsid w:val="009A4A6E"/>
    <w:rsid w:val="009A4A88"/>
    <w:rsid w:val="009A4B16"/>
    <w:rsid w:val="009A4BB4"/>
    <w:rsid w:val="009A4C68"/>
    <w:rsid w:val="009A4D9F"/>
    <w:rsid w:val="009A4EEC"/>
    <w:rsid w:val="009A4F8E"/>
    <w:rsid w:val="009A508B"/>
    <w:rsid w:val="009A5148"/>
    <w:rsid w:val="009A51A9"/>
    <w:rsid w:val="009A5373"/>
    <w:rsid w:val="009A539B"/>
    <w:rsid w:val="009A550E"/>
    <w:rsid w:val="009A5706"/>
    <w:rsid w:val="009A5755"/>
    <w:rsid w:val="009A5934"/>
    <w:rsid w:val="009A5A2D"/>
    <w:rsid w:val="009A5A7F"/>
    <w:rsid w:val="009A5BA4"/>
    <w:rsid w:val="009A5E06"/>
    <w:rsid w:val="009A5E58"/>
    <w:rsid w:val="009A5EE0"/>
    <w:rsid w:val="009A5F6C"/>
    <w:rsid w:val="009A5FED"/>
    <w:rsid w:val="009A608B"/>
    <w:rsid w:val="009A6110"/>
    <w:rsid w:val="009A6151"/>
    <w:rsid w:val="009A6174"/>
    <w:rsid w:val="009A6218"/>
    <w:rsid w:val="009A6252"/>
    <w:rsid w:val="009A62CB"/>
    <w:rsid w:val="009A64EF"/>
    <w:rsid w:val="009A6663"/>
    <w:rsid w:val="009A66AF"/>
    <w:rsid w:val="009A676C"/>
    <w:rsid w:val="009A6905"/>
    <w:rsid w:val="009A6B25"/>
    <w:rsid w:val="009A6B72"/>
    <w:rsid w:val="009A6CCD"/>
    <w:rsid w:val="009A6D70"/>
    <w:rsid w:val="009A6E6D"/>
    <w:rsid w:val="009A6FCE"/>
    <w:rsid w:val="009A6FF2"/>
    <w:rsid w:val="009A7172"/>
    <w:rsid w:val="009A7227"/>
    <w:rsid w:val="009A73B0"/>
    <w:rsid w:val="009A7496"/>
    <w:rsid w:val="009A74EF"/>
    <w:rsid w:val="009A7501"/>
    <w:rsid w:val="009A7599"/>
    <w:rsid w:val="009A75A3"/>
    <w:rsid w:val="009A7657"/>
    <w:rsid w:val="009A76E8"/>
    <w:rsid w:val="009A7774"/>
    <w:rsid w:val="009A78C0"/>
    <w:rsid w:val="009A7935"/>
    <w:rsid w:val="009A7A3D"/>
    <w:rsid w:val="009A7B68"/>
    <w:rsid w:val="009A7D16"/>
    <w:rsid w:val="009A7D53"/>
    <w:rsid w:val="009A7DE9"/>
    <w:rsid w:val="009A7E13"/>
    <w:rsid w:val="009A7E8C"/>
    <w:rsid w:val="009A7E97"/>
    <w:rsid w:val="009A7F5D"/>
    <w:rsid w:val="009A7F95"/>
    <w:rsid w:val="009B00BB"/>
    <w:rsid w:val="009B0231"/>
    <w:rsid w:val="009B046E"/>
    <w:rsid w:val="009B0471"/>
    <w:rsid w:val="009B052A"/>
    <w:rsid w:val="009B05DB"/>
    <w:rsid w:val="009B0666"/>
    <w:rsid w:val="009B06F8"/>
    <w:rsid w:val="009B082D"/>
    <w:rsid w:val="009B08DC"/>
    <w:rsid w:val="009B0A61"/>
    <w:rsid w:val="009B0A67"/>
    <w:rsid w:val="009B0AA9"/>
    <w:rsid w:val="009B0B74"/>
    <w:rsid w:val="009B0BB4"/>
    <w:rsid w:val="009B0D53"/>
    <w:rsid w:val="009B0DD3"/>
    <w:rsid w:val="009B0DE7"/>
    <w:rsid w:val="009B0EB3"/>
    <w:rsid w:val="009B0F99"/>
    <w:rsid w:val="009B0FC8"/>
    <w:rsid w:val="009B110F"/>
    <w:rsid w:val="009B11A3"/>
    <w:rsid w:val="009B12A8"/>
    <w:rsid w:val="009B138E"/>
    <w:rsid w:val="009B1562"/>
    <w:rsid w:val="009B1583"/>
    <w:rsid w:val="009B15BB"/>
    <w:rsid w:val="009B16AC"/>
    <w:rsid w:val="009B17F8"/>
    <w:rsid w:val="009B1844"/>
    <w:rsid w:val="009B186C"/>
    <w:rsid w:val="009B18C9"/>
    <w:rsid w:val="009B195D"/>
    <w:rsid w:val="009B1A4C"/>
    <w:rsid w:val="009B1A9E"/>
    <w:rsid w:val="009B1CF5"/>
    <w:rsid w:val="009B1D53"/>
    <w:rsid w:val="009B1DA0"/>
    <w:rsid w:val="009B1EC0"/>
    <w:rsid w:val="009B1F61"/>
    <w:rsid w:val="009B1F8C"/>
    <w:rsid w:val="009B1F9C"/>
    <w:rsid w:val="009B1FA8"/>
    <w:rsid w:val="009B202E"/>
    <w:rsid w:val="009B20E6"/>
    <w:rsid w:val="009B211C"/>
    <w:rsid w:val="009B2173"/>
    <w:rsid w:val="009B21CB"/>
    <w:rsid w:val="009B2266"/>
    <w:rsid w:val="009B2296"/>
    <w:rsid w:val="009B229D"/>
    <w:rsid w:val="009B231F"/>
    <w:rsid w:val="009B23E3"/>
    <w:rsid w:val="009B24C9"/>
    <w:rsid w:val="009B25AF"/>
    <w:rsid w:val="009B25D1"/>
    <w:rsid w:val="009B266F"/>
    <w:rsid w:val="009B2687"/>
    <w:rsid w:val="009B26FA"/>
    <w:rsid w:val="009B2768"/>
    <w:rsid w:val="009B276A"/>
    <w:rsid w:val="009B2806"/>
    <w:rsid w:val="009B2858"/>
    <w:rsid w:val="009B29A4"/>
    <w:rsid w:val="009B29C0"/>
    <w:rsid w:val="009B2A75"/>
    <w:rsid w:val="009B2ACB"/>
    <w:rsid w:val="009B2B79"/>
    <w:rsid w:val="009B2BA6"/>
    <w:rsid w:val="009B2BCC"/>
    <w:rsid w:val="009B2C5F"/>
    <w:rsid w:val="009B2D81"/>
    <w:rsid w:val="009B2F0E"/>
    <w:rsid w:val="009B2F52"/>
    <w:rsid w:val="009B2F74"/>
    <w:rsid w:val="009B3122"/>
    <w:rsid w:val="009B316F"/>
    <w:rsid w:val="009B3267"/>
    <w:rsid w:val="009B335E"/>
    <w:rsid w:val="009B34C2"/>
    <w:rsid w:val="009B360F"/>
    <w:rsid w:val="009B362A"/>
    <w:rsid w:val="009B365D"/>
    <w:rsid w:val="009B374A"/>
    <w:rsid w:val="009B3799"/>
    <w:rsid w:val="009B3813"/>
    <w:rsid w:val="009B3899"/>
    <w:rsid w:val="009B39F1"/>
    <w:rsid w:val="009B39FC"/>
    <w:rsid w:val="009B3A87"/>
    <w:rsid w:val="009B3D01"/>
    <w:rsid w:val="009B3D15"/>
    <w:rsid w:val="009B3E11"/>
    <w:rsid w:val="009B3FA4"/>
    <w:rsid w:val="009B40BD"/>
    <w:rsid w:val="009B40DF"/>
    <w:rsid w:val="009B41A4"/>
    <w:rsid w:val="009B41C9"/>
    <w:rsid w:val="009B4319"/>
    <w:rsid w:val="009B4345"/>
    <w:rsid w:val="009B43E0"/>
    <w:rsid w:val="009B45C7"/>
    <w:rsid w:val="009B462D"/>
    <w:rsid w:val="009B4760"/>
    <w:rsid w:val="009B47DC"/>
    <w:rsid w:val="009B4804"/>
    <w:rsid w:val="009B4918"/>
    <w:rsid w:val="009B491F"/>
    <w:rsid w:val="009B4A84"/>
    <w:rsid w:val="009B4B9E"/>
    <w:rsid w:val="009B4C01"/>
    <w:rsid w:val="009B4F38"/>
    <w:rsid w:val="009B4FFD"/>
    <w:rsid w:val="009B513F"/>
    <w:rsid w:val="009B51C7"/>
    <w:rsid w:val="009B51DB"/>
    <w:rsid w:val="009B528F"/>
    <w:rsid w:val="009B55C2"/>
    <w:rsid w:val="009B55E0"/>
    <w:rsid w:val="009B55E6"/>
    <w:rsid w:val="009B5692"/>
    <w:rsid w:val="009B56D3"/>
    <w:rsid w:val="009B577F"/>
    <w:rsid w:val="009B5840"/>
    <w:rsid w:val="009B5946"/>
    <w:rsid w:val="009B5987"/>
    <w:rsid w:val="009B5C6F"/>
    <w:rsid w:val="009B5D2C"/>
    <w:rsid w:val="009B5D2E"/>
    <w:rsid w:val="009B5DA7"/>
    <w:rsid w:val="009B5E00"/>
    <w:rsid w:val="009B5EBC"/>
    <w:rsid w:val="009B5ECD"/>
    <w:rsid w:val="009B625D"/>
    <w:rsid w:val="009B6314"/>
    <w:rsid w:val="009B6379"/>
    <w:rsid w:val="009B6382"/>
    <w:rsid w:val="009B6387"/>
    <w:rsid w:val="009B6389"/>
    <w:rsid w:val="009B65E6"/>
    <w:rsid w:val="009B6627"/>
    <w:rsid w:val="009B66AA"/>
    <w:rsid w:val="009B66CC"/>
    <w:rsid w:val="009B66D0"/>
    <w:rsid w:val="009B66E0"/>
    <w:rsid w:val="009B66F4"/>
    <w:rsid w:val="009B6744"/>
    <w:rsid w:val="009B67C3"/>
    <w:rsid w:val="009B6828"/>
    <w:rsid w:val="009B68F9"/>
    <w:rsid w:val="009B6955"/>
    <w:rsid w:val="009B6B89"/>
    <w:rsid w:val="009B6C46"/>
    <w:rsid w:val="009B6C56"/>
    <w:rsid w:val="009B6CE7"/>
    <w:rsid w:val="009B6DCB"/>
    <w:rsid w:val="009B6DE0"/>
    <w:rsid w:val="009B70F9"/>
    <w:rsid w:val="009B7280"/>
    <w:rsid w:val="009B7365"/>
    <w:rsid w:val="009B73FF"/>
    <w:rsid w:val="009B74B2"/>
    <w:rsid w:val="009B751B"/>
    <w:rsid w:val="009B7536"/>
    <w:rsid w:val="009B75D5"/>
    <w:rsid w:val="009B764E"/>
    <w:rsid w:val="009B76E1"/>
    <w:rsid w:val="009B77D2"/>
    <w:rsid w:val="009B78C7"/>
    <w:rsid w:val="009B78E6"/>
    <w:rsid w:val="009B79D7"/>
    <w:rsid w:val="009B7AE5"/>
    <w:rsid w:val="009B7B2C"/>
    <w:rsid w:val="009B7B8A"/>
    <w:rsid w:val="009B7BFD"/>
    <w:rsid w:val="009B7E8D"/>
    <w:rsid w:val="009B7ECA"/>
    <w:rsid w:val="009B7EE5"/>
    <w:rsid w:val="009B7F79"/>
    <w:rsid w:val="009C006D"/>
    <w:rsid w:val="009C008A"/>
    <w:rsid w:val="009C0098"/>
    <w:rsid w:val="009C012B"/>
    <w:rsid w:val="009C0196"/>
    <w:rsid w:val="009C022C"/>
    <w:rsid w:val="009C0277"/>
    <w:rsid w:val="009C0352"/>
    <w:rsid w:val="009C03A2"/>
    <w:rsid w:val="009C03D7"/>
    <w:rsid w:val="009C0445"/>
    <w:rsid w:val="009C05A2"/>
    <w:rsid w:val="009C0722"/>
    <w:rsid w:val="009C07AF"/>
    <w:rsid w:val="009C07E2"/>
    <w:rsid w:val="009C0926"/>
    <w:rsid w:val="009C0B94"/>
    <w:rsid w:val="009C0D4F"/>
    <w:rsid w:val="009C0DCE"/>
    <w:rsid w:val="009C0DE8"/>
    <w:rsid w:val="009C0DEF"/>
    <w:rsid w:val="009C0E01"/>
    <w:rsid w:val="009C0EB5"/>
    <w:rsid w:val="009C0EF4"/>
    <w:rsid w:val="009C0F5E"/>
    <w:rsid w:val="009C1016"/>
    <w:rsid w:val="009C1124"/>
    <w:rsid w:val="009C117F"/>
    <w:rsid w:val="009C12B4"/>
    <w:rsid w:val="009C1399"/>
    <w:rsid w:val="009C1485"/>
    <w:rsid w:val="009C15E5"/>
    <w:rsid w:val="009C162B"/>
    <w:rsid w:val="009C1644"/>
    <w:rsid w:val="009C16DF"/>
    <w:rsid w:val="009C1711"/>
    <w:rsid w:val="009C173D"/>
    <w:rsid w:val="009C1768"/>
    <w:rsid w:val="009C177D"/>
    <w:rsid w:val="009C17B0"/>
    <w:rsid w:val="009C18BC"/>
    <w:rsid w:val="009C1B3B"/>
    <w:rsid w:val="009C1C33"/>
    <w:rsid w:val="009C1E7D"/>
    <w:rsid w:val="009C1EA3"/>
    <w:rsid w:val="009C2098"/>
    <w:rsid w:val="009C2127"/>
    <w:rsid w:val="009C2138"/>
    <w:rsid w:val="009C2176"/>
    <w:rsid w:val="009C21FD"/>
    <w:rsid w:val="009C222F"/>
    <w:rsid w:val="009C241D"/>
    <w:rsid w:val="009C247A"/>
    <w:rsid w:val="009C24D9"/>
    <w:rsid w:val="009C24FB"/>
    <w:rsid w:val="009C256D"/>
    <w:rsid w:val="009C2603"/>
    <w:rsid w:val="009C269F"/>
    <w:rsid w:val="009C2702"/>
    <w:rsid w:val="009C288E"/>
    <w:rsid w:val="009C28D0"/>
    <w:rsid w:val="009C28FB"/>
    <w:rsid w:val="009C2A73"/>
    <w:rsid w:val="009C2C4B"/>
    <w:rsid w:val="009C2C7E"/>
    <w:rsid w:val="009C2CF5"/>
    <w:rsid w:val="009C2D21"/>
    <w:rsid w:val="009C2D6C"/>
    <w:rsid w:val="009C2D90"/>
    <w:rsid w:val="009C2EB5"/>
    <w:rsid w:val="009C2F8E"/>
    <w:rsid w:val="009C302E"/>
    <w:rsid w:val="009C311F"/>
    <w:rsid w:val="009C3270"/>
    <w:rsid w:val="009C3280"/>
    <w:rsid w:val="009C3411"/>
    <w:rsid w:val="009C345D"/>
    <w:rsid w:val="009C362B"/>
    <w:rsid w:val="009C3654"/>
    <w:rsid w:val="009C3863"/>
    <w:rsid w:val="009C389B"/>
    <w:rsid w:val="009C38AD"/>
    <w:rsid w:val="009C38BB"/>
    <w:rsid w:val="009C38DF"/>
    <w:rsid w:val="009C38EC"/>
    <w:rsid w:val="009C3927"/>
    <w:rsid w:val="009C39DD"/>
    <w:rsid w:val="009C3A17"/>
    <w:rsid w:val="009C3A79"/>
    <w:rsid w:val="009C3AFA"/>
    <w:rsid w:val="009C3C32"/>
    <w:rsid w:val="009C3C33"/>
    <w:rsid w:val="009C3CCC"/>
    <w:rsid w:val="009C3D4D"/>
    <w:rsid w:val="009C3D76"/>
    <w:rsid w:val="009C3D7E"/>
    <w:rsid w:val="009C3EDE"/>
    <w:rsid w:val="009C3F2A"/>
    <w:rsid w:val="009C3F2F"/>
    <w:rsid w:val="009C3F71"/>
    <w:rsid w:val="009C3FB1"/>
    <w:rsid w:val="009C4089"/>
    <w:rsid w:val="009C40CE"/>
    <w:rsid w:val="009C40E2"/>
    <w:rsid w:val="009C4180"/>
    <w:rsid w:val="009C4246"/>
    <w:rsid w:val="009C4267"/>
    <w:rsid w:val="009C4421"/>
    <w:rsid w:val="009C4589"/>
    <w:rsid w:val="009C458D"/>
    <w:rsid w:val="009C4635"/>
    <w:rsid w:val="009C468F"/>
    <w:rsid w:val="009C471E"/>
    <w:rsid w:val="009C4746"/>
    <w:rsid w:val="009C4820"/>
    <w:rsid w:val="009C4826"/>
    <w:rsid w:val="009C4860"/>
    <w:rsid w:val="009C4920"/>
    <w:rsid w:val="009C49CF"/>
    <w:rsid w:val="009C4A02"/>
    <w:rsid w:val="009C4A4B"/>
    <w:rsid w:val="009C4B85"/>
    <w:rsid w:val="009C4BD1"/>
    <w:rsid w:val="009C4C7C"/>
    <w:rsid w:val="009C4CB8"/>
    <w:rsid w:val="009C4FCA"/>
    <w:rsid w:val="009C50E1"/>
    <w:rsid w:val="009C519C"/>
    <w:rsid w:val="009C5275"/>
    <w:rsid w:val="009C5286"/>
    <w:rsid w:val="009C5290"/>
    <w:rsid w:val="009C5297"/>
    <w:rsid w:val="009C52EA"/>
    <w:rsid w:val="009C540D"/>
    <w:rsid w:val="009C547F"/>
    <w:rsid w:val="009C54E7"/>
    <w:rsid w:val="009C5575"/>
    <w:rsid w:val="009C5605"/>
    <w:rsid w:val="009C5662"/>
    <w:rsid w:val="009C568B"/>
    <w:rsid w:val="009C56A6"/>
    <w:rsid w:val="009C572B"/>
    <w:rsid w:val="009C57B3"/>
    <w:rsid w:val="009C5835"/>
    <w:rsid w:val="009C5862"/>
    <w:rsid w:val="009C5987"/>
    <w:rsid w:val="009C5A06"/>
    <w:rsid w:val="009C5C49"/>
    <w:rsid w:val="009C5C53"/>
    <w:rsid w:val="009C5C93"/>
    <w:rsid w:val="009C5D12"/>
    <w:rsid w:val="009C5D21"/>
    <w:rsid w:val="009C5E03"/>
    <w:rsid w:val="009C5E49"/>
    <w:rsid w:val="009C5E9E"/>
    <w:rsid w:val="009C5F2E"/>
    <w:rsid w:val="009C5F49"/>
    <w:rsid w:val="009C607F"/>
    <w:rsid w:val="009C6085"/>
    <w:rsid w:val="009C60F1"/>
    <w:rsid w:val="009C61BF"/>
    <w:rsid w:val="009C61F5"/>
    <w:rsid w:val="009C630F"/>
    <w:rsid w:val="009C63DF"/>
    <w:rsid w:val="009C6463"/>
    <w:rsid w:val="009C6474"/>
    <w:rsid w:val="009C64BA"/>
    <w:rsid w:val="009C6744"/>
    <w:rsid w:val="009C6841"/>
    <w:rsid w:val="009C6842"/>
    <w:rsid w:val="009C6850"/>
    <w:rsid w:val="009C68D4"/>
    <w:rsid w:val="009C6A08"/>
    <w:rsid w:val="009C6C67"/>
    <w:rsid w:val="009C6D1F"/>
    <w:rsid w:val="009C6ED4"/>
    <w:rsid w:val="009C6FA7"/>
    <w:rsid w:val="009C7037"/>
    <w:rsid w:val="009C71FB"/>
    <w:rsid w:val="009C7396"/>
    <w:rsid w:val="009C74A2"/>
    <w:rsid w:val="009C74A5"/>
    <w:rsid w:val="009C74BE"/>
    <w:rsid w:val="009C7546"/>
    <w:rsid w:val="009C758C"/>
    <w:rsid w:val="009C7694"/>
    <w:rsid w:val="009C76BE"/>
    <w:rsid w:val="009C7757"/>
    <w:rsid w:val="009C779D"/>
    <w:rsid w:val="009C77DB"/>
    <w:rsid w:val="009C77EF"/>
    <w:rsid w:val="009C794C"/>
    <w:rsid w:val="009C79B6"/>
    <w:rsid w:val="009C7A52"/>
    <w:rsid w:val="009C7D09"/>
    <w:rsid w:val="009C7F42"/>
    <w:rsid w:val="009C7F80"/>
    <w:rsid w:val="009C7F9D"/>
    <w:rsid w:val="009D0127"/>
    <w:rsid w:val="009D013C"/>
    <w:rsid w:val="009D017E"/>
    <w:rsid w:val="009D02C6"/>
    <w:rsid w:val="009D0526"/>
    <w:rsid w:val="009D07C6"/>
    <w:rsid w:val="009D08CC"/>
    <w:rsid w:val="009D09D8"/>
    <w:rsid w:val="009D0C7B"/>
    <w:rsid w:val="009D0EE6"/>
    <w:rsid w:val="009D0F34"/>
    <w:rsid w:val="009D0FF2"/>
    <w:rsid w:val="009D113B"/>
    <w:rsid w:val="009D1156"/>
    <w:rsid w:val="009D11A6"/>
    <w:rsid w:val="009D12DE"/>
    <w:rsid w:val="009D13EB"/>
    <w:rsid w:val="009D14A6"/>
    <w:rsid w:val="009D14D6"/>
    <w:rsid w:val="009D16BF"/>
    <w:rsid w:val="009D16FB"/>
    <w:rsid w:val="009D17FB"/>
    <w:rsid w:val="009D18AD"/>
    <w:rsid w:val="009D18BF"/>
    <w:rsid w:val="009D18C3"/>
    <w:rsid w:val="009D18CA"/>
    <w:rsid w:val="009D1925"/>
    <w:rsid w:val="009D1974"/>
    <w:rsid w:val="009D198E"/>
    <w:rsid w:val="009D1CAE"/>
    <w:rsid w:val="009D1DD1"/>
    <w:rsid w:val="009D1DDE"/>
    <w:rsid w:val="009D1E10"/>
    <w:rsid w:val="009D1EB7"/>
    <w:rsid w:val="009D1F41"/>
    <w:rsid w:val="009D1F6A"/>
    <w:rsid w:val="009D1FD2"/>
    <w:rsid w:val="009D2028"/>
    <w:rsid w:val="009D2084"/>
    <w:rsid w:val="009D20E7"/>
    <w:rsid w:val="009D2164"/>
    <w:rsid w:val="009D224D"/>
    <w:rsid w:val="009D2255"/>
    <w:rsid w:val="009D22C5"/>
    <w:rsid w:val="009D22EC"/>
    <w:rsid w:val="009D2304"/>
    <w:rsid w:val="009D2457"/>
    <w:rsid w:val="009D245A"/>
    <w:rsid w:val="009D245F"/>
    <w:rsid w:val="009D263F"/>
    <w:rsid w:val="009D266F"/>
    <w:rsid w:val="009D2722"/>
    <w:rsid w:val="009D2805"/>
    <w:rsid w:val="009D28E4"/>
    <w:rsid w:val="009D2917"/>
    <w:rsid w:val="009D2A15"/>
    <w:rsid w:val="009D2A41"/>
    <w:rsid w:val="009D2A86"/>
    <w:rsid w:val="009D2AA7"/>
    <w:rsid w:val="009D2B33"/>
    <w:rsid w:val="009D2B75"/>
    <w:rsid w:val="009D2F1C"/>
    <w:rsid w:val="009D2F22"/>
    <w:rsid w:val="009D2F3A"/>
    <w:rsid w:val="009D2F7E"/>
    <w:rsid w:val="009D3070"/>
    <w:rsid w:val="009D3149"/>
    <w:rsid w:val="009D3194"/>
    <w:rsid w:val="009D32A2"/>
    <w:rsid w:val="009D333F"/>
    <w:rsid w:val="009D3467"/>
    <w:rsid w:val="009D351C"/>
    <w:rsid w:val="009D354E"/>
    <w:rsid w:val="009D355A"/>
    <w:rsid w:val="009D3565"/>
    <w:rsid w:val="009D35F6"/>
    <w:rsid w:val="009D360A"/>
    <w:rsid w:val="009D370E"/>
    <w:rsid w:val="009D376F"/>
    <w:rsid w:val="009D37CB"/>
    <w:rsid w:val="009D3806"/>
    <w:rsid w:val="009D387B"/>
    <w:rsid w:val="009D387E"/>
    <w:rsid w:val="009D395C"/>
    <w:rsid w:val="009D3A80"/>
    <w:rsid w:val="009D3C79"/>
    <w:rsid w:val="009D3C85"/>
    <w:rsid w:val="009D3CC9"/>
    <w:rsid w:val="009D3D5B"/>
    <w:rsid w:val="009D3DC7"/>
    <w:rsid w:val="009D3EBC"/>
    <w:rsid w:val="009D3EE6"/>
    <w:rsid w:val="009D3FAF"/>
    <w:rsid w:val="009D40AF"/>
    <w:rsid w:val="009D4247"/>
    <w:rsid w:val="009D4262"/>
    <w:rsid w:val="009D4272"/>
    <w:rsid w:val="009D429E"/>
    <w:rsid w:val="009D4303"/>
    <w:rsid w:val="009D4346"/>
    <w:rsid w:val="009D4389"/>
    <w:rsid w:val="009D43ED"/>
    <w:rsid w:val="009D4477"/>
    <w:rsid w:val="009D4509"/>
    <w:rsid w:val="009D4534"/>
    <w:rsid w:val="009D453B"/>
    <w:rsid w:val="009D4699"/>
    <w:rsid w:val="009D469E"/>
    <w:rsid w:val="009D47E3"/>
    <w:rsid w:val="009D486B"/>
    <w:rsid w:val="009D48F0"/>
    <w:rsid w:val="009D4979"/>
    <w:rsid w:val="009D4AF8"/>
    <w:rsid w:val="009D4B1E"/>
    <w:rsid w:val="009D4B23"/>
    <w:rsid w:val="009D4CBA"/>
    <w:rsid w:val="009D4CBE"/>
    <w:rsid w:val="009D4D84"/>
    <w:rsid w:val="009D4D9C"/>
    <w:rsid w:val="009D4DA8"/>
    <w:rsid w:val="009D4E14"/>
    <w:rsid w:val="009D4FA2"/>
    <w:rsid w:val="009D5036"/>
    <w:rsid w:val="009D5164"/>
    <w:rsid w:val="009D521B"/>
    <w:rsid w:val="009D5290"/>
    <w:rsid w:val="009D52BD"/>
    <w:rsid w:val="009D53C2"/>
    <w:rsid w:val="009D53CD"/>
    <w:rsid w:val="009D53CE"/>
    <w:rsid w:val="009D544B"/>
    <w:rsid w:val="009D5495"/>
    <w:rsid w:val="009D54A0"/>
    <w:rsid w:val="009D551C"/>
    <w:rsid w:val="009D552C"/>
    <w:rsid w:val="009D5565"/>
    <w:rsid w:val="009D5589"/>
    <w:rsid w:val="009D55E2"/>
    <w:rsid w:val="009D560F"/>
    <w:rsid w:val="009D5658"/>
    <w:rsid w:val="009D56E6"/>
    <w:rsid w:val="009D5747"/>
    <w:rsid w:val="009D57E6"/>
    <w:rsid w:val="009D5829"/>
    <w:rsid w:val="009D5886"/>
    <w:rsid w:val="009D589F"/>
    <w:rsid w:val="009D5921"/>
    <w:rsid w:val="009D5924"/>
    <w:rsid w:val="009D59E7"/>
    <w:rsid w:val="009D5BEF"/>
    <w:rsid w:val="009D5CAE"/>
    <w:rsid w:val="009D5D35"/>
    <w:rsid w:val="009D5D97"/>
    <w:rsid w:val="009D5DAB"/>
    <w:rsid w:val="009D5E25"/>
    <w:rsid w:val="009D5E3E"/>
    <w:rsid w:val="009D5E91"/>
    <w:rsid w:val="009D5E95"/>
    <w:rsid w:val="009D5F7C"/>
    <w:rsid w:val="009D5FD9"/>
    <w:rsid w:val="009D609B"/>
    <w:rsid w:val="009D610B"/>
    <w:rsid w:val="009D61CB"/>
    <w:rsid w:val="009D6225"/>
    <w:rsid w:val="009D6354"/>
    <w:rsid w:val="009D64B9"/>
    <w:rsid w:val="009D64D2"/>
    <w:rsid w:val="009D6509"/>
    <w:rsid w:val="009D6535"/>
    <w:rsid w:val="009D669B"/>
    <w:rsid w:val="009D66B7"/>
    <w:rsid w:val="009D6743"/>
    <w:rsid w:val="009D67D9"/>
    <w:rsid w:val="009D6915"/>
    <w:rsid w:val="009D693D"/>
    <w:rsid w:val="009D694C"/>
    <w:rsid w:val="009D6A1D"/>
    <w:rsid w:val="009D6AEC"/>
    <w:rsid w:val="009D6CCA"/>
    <w:rsid w:val="009D6CDB"/>
    <w:rsid w:val="009D6E01"/>
    <w:rsid w:val="009D6E08"/>
    <w:rsid w:val="009D6E7E"/>
    <w:rsid w:val="009D6F62"/>
    <w:rsid w:val="009D7029"/>
    <w:rsid w:val="009D7143"/>
    <w:rsid w:val="009D714B"/>
    <w:rsid w:val="009D7263"/>
    <w:rsid w:val="009D7310"/>
    <w:rsid w:val="009D7373"/>
    <w:rsid w:val="009D73D4"/>
    <w:rsid w:val="009D7424"/>
    <w:rsid w:val="009D7444"/>
    <w:rsid w:val="009D7463"/>
    <w:rsid w:val="009D766D"/>
    <w:rsid w:val="009D7675"/>
    <w:rsid w:val="009D76F8"/>
    <w:rsid w:val="009D78B5"/>
    <w:rsid w:val="009D7994"/>
    <w:rsid w:val="009D79CD"/>
    <w:rsid w:val="009D7A45"/>
    <w:rsid w:val="009D7B3C"/>
    <w:rsid w:val="009D7C5E"/>
    <w:rsid w:val="009D7D40"/>
    <w:rsid w:val="009D7D75"/>
    <w:rsid w:val="009D7D7C"/>
    <w:rsid w:val="009D7D9D"/>
    <w:rsid w:val="009D7DBD"/>
    <w:rsid w:val="009D7EAD"/>
    <w:rsid w:val="009D7F12"/>
    <w:rsid w:val="009D7F8E"/>
    <w:rsid w:val="009E0092"/>
    <w:rsid w:val="009E01F4"/>
    <w:rsid w:val="009E04A6"/>
    <w:rsid w:val="009E04BC"/>
    <w:rsid w:val="009E051D"/>
    <w:rsid w:val="009E05B1"/>
    <w:rsid w:val="009E0680"/>
    <w:rsid w:val="009E06B2"/>
    <w:rsid w:val="009E06DE"/>
    <w:rsid w:val="009E0720"/>
    <w:rsid w:val="009E0790"/>
    <w:rsid w:val="009E079A"/>
    <w:rsid w:val="009E080E"/>
    <w:rsid w:val="009E08DE"/>
    <w:rsid w:val="009E08E3"/>
    <w:rsid w:val="009E0906"/>
    <w:rsid w:val="009E0A83"/>
    <w:rsid w:val="009E0AD1"/>
    <w:rsid w:val="009E0B55"/>
    <w:rsid w:val="009E0B5C"/>
    <w:rsid w:val="009E0BC1"/>
    <w:rsid w:val="009E0C83"/>
    <w:rsid w:val="009E0D23"/>
    <w:rsid w:val="009E0E7D"/>
    <w:rsid w:val="009E0E8D"/>
    <w:rsid w:val="009E0EC0"/>
    <w:rsid w:val="009E0F4A"/>
    <w:rsid w:val="009E0FFC"/>
    <w:rsid w:val="009E1090"/>
    <w:rsid w:val="009E10DB"/>
    <w:rsid w:val="009E11D3"/>
    <w:rsid w:val="009E1213"/>
    <w:rsid w:val="009E125D"/>
    <w:rsid w:val="009E12C0"/>
    <w:rsid w:val="009E12E1"/>
    <w:rsid w:val="009E1359"/>
    <w:rsid w:val="009E13E3"/>
    <w:rsid w:val="009E1526"/>
    <w:rsid w:val="009E153F"/>
    <w:rsid w:val="009E1634"/>
    <w:rsid w:val="009E1732"/>
    <w:rsid w:val="009E1769"/>
    <w:rsid w:val="009E1969"/>
    <w:rsid w:val="009E19BD"/>
    <w:rsid w:val="009E19D3"/>
    <w:rsid w:val="009E1A6C"/>
    <w:rsid w:val="009E1A92"/>
    <w:rsid w:val="009E1D15"/>
    <w:rsid w:val="009E1D1E"/>
    <w:rsid w:val="009E1DB7"/>
    <w:rsid w:val="009E1E0F"/>
    <w:rsid w:val="009E1E7B"/>
    <w:rsid w:val="009E1F7A"/>
    <w:rsid w:val="009E2039"/>
    <w:rsid w:val="009E204F"/>
    <w:rsid w:val="009E2099"/>
    <w:rsid w:val="009E220A"/>
    <w:rsid w:val="009E2276"/>
    <w:rsid w:val="009E22A3"/>
    <w:rsid w:val="009E2336"/>
    <w:rsid w:val="009E24C0"/>
    <w:rsid w:val="009E24E1"/>
    <w:rsid w:val="009E24E9"/>
    <w:rsid w:val="009E25EE"/>
    <w:rsid w:val="009E2774"/>
    <w:rsid w:val="009E284F"/>
    <w:rsid w:val="009E2921"/>
    <w:rsid w:val="009E29FF"/>
    <w:rsid w:val="009E2A64"/>
    <w:rsid w:val="009E2AE8"/>
    <w:rsid w:val="009E2AED"/>
    <w:rsid w:val="009E2B9C"/>
    <w:rsid w:val="009E2D7F"/>
    <w:rsid w:val="009E2DA8"/>
    <w:rsid w:val="009E2EEE"/>
    <w:rsid w:val="009E2F50"/>
    <w:rsid w:val="009E2F7C"/>
    <w:rsid w:val="009E3000"/>
    <w:rsid w:val="009E304E"/>
    <w:rsid w:val="009E31CE"/>
    <w:rsid w:val="009E3336"/>
    <w:rsid w:val="009E3437"/>
    <w:rsid w:val="009E34B8"/>
    <w:rsid w:val="009E34E4"/>
    <w:rsid w:val="009E356E"/>
    <w:rsid w:val="009E35E6"/>
    <w:rsid w:val="009E3610"/>
    <w:rsid w:val="009E362C"/>
    <w:rsid w:val="009E362E"/>
    <w:rsid w:val="009E380C"/>
    <w:rsid w:val="009E3815"/>
    <w:rsid w:val="009E3898"/>
    <w:rsid w:val="009E392A"/>
    <w:rsid w:val="009E3980"/>
    <w:rsid w:val="009E39CA"/>
    <w:rsid w:val="009E3A64"/>
    <w:rsid w:val="009E3AA4"/>
    <w:rsid w:val="009E3ACF"/>
    <w:rsid w:val="009E3BF3"/>
    <w:rsid w:val="009E3C4E"/>
    <w:rsid w:val="009E3CBF"/>
    <w:rsid w:val="009E3E62"/>
    <w:rsid w:val="009E3E86"/>
    <w:rsid w:val="009E3EED"/>
    <w:rsid w:val="009E3EFC"/>
    <w:rsid w:val="009E3F58"/>
    <w:rsid w:val="009E3F5E"/>
    <w:rsid w:val="009E4052"/>
    <w:rsid w:val="009E405B"/>
    <w:rsid w:val="009E40DF"/>
    <w:rsid w:val="009E413F"/>
    <w:rsid w:val="009E4322"/>
    <w:rsid w:val="009E4363"/>
    <w:rsid w:val="009E44E1"/>
    <w:rsid w:val="009E44EB"/>
    <w:rsid w:val="009E451C"/>
    <w:rsid w:val="009E453F"/>
    <w:rsid w:val="009E4548"/>
    <w:rsid w:val="009E45BE"/>
    <w:rsid w:val="009E4669"/>
    <w:rsid w:val="009E46B2"/>
    <w:rsid w:val="009E475B"/>
    <w:rsid w:val="009E4812"/>
    <w:rsid w:val="009E4857"/>
    <w:rsid w:val="009E4898"/>
    <w:rsid w:val="009E49B5"/>
    <w:rsid w:val="009E49D5"/>
    <w:rsid w:val="009E4A70"/>
    <w:rsid w:val="009E4B5F"/>
    <w:rsid w:val="009E4B74"/>
    <w:rsid w:val="009E4C05"/>
    <w:rsid w:val="009E4CDC"/>
    <w:rsid w:val="009E4D5F"/>
    <w:rsid w:val="009E4EA9"/>
    <w:rsid w:val="009E4F5C"/>
    <w:rsid w:val="009E4F6D"/>
    <w:rsid w:val="009E501B"/>
    <w:rsid w:val="009E5077"/>
    <w:rsid w:val="009E50F0"/>
    <w:rsid w:val="009E5208"/>
    <w:rsid w:val="009E5232"/>
    <w:rsid w:val="009E5238"/>
    <w:rsid w:val="009E5266"/>
    <w:rsid w:val="009E549E"/>
    <w:rsid w:val="009E558B"/>
    <w:rsid w:val="009E55A9"/>
    <w:rsid w:val="009E5748"/>
    <w:rsid w:val="009E5804"/>
    <w:rsid w:val="009E5859"/>
    <w:rsid w:val="009E58EE"/>
    <w:rsid w:val="009E591E"/>
    <w:rsid w:val="009E5B2F"/>
    <w:rsid w:val="009E5C71"/>
    <w:rsid w:val="009E5C92"/>
    <w:rsid w:val="009E5D9F"/>
    <w:rsid w:val="009E5E7A"/>
    <w:rsid w:val="009E5E99"/>
    <w:rsid w:val="009E5F30"/>
    <w:rsid w:val="009E5F4E"/>
    <w:rsid w:val="009E602D"/>
    <w:rsid w:val="009E62F2"/>
    <w:rsid w:val="009E636C"/>
    <w:rsid w:val="009E63C1"/>
    <w:rsid w:val="009E63FF"/>
    <w:rsid w:val="009E6486"/>
    <w:rsid w:val="009E64E0"/>
    <w:rsid w:val="009E64E3"/>
    <w:rsid w:val="009E64F6"/>
    <w:rsid w:val="009E64F7"/>
    <w:rsid w:val="009E654F"/>
    <w:rsid w:val="009E661E"/>
    <w:rsid w:val="009E6620"/>
    <w:rsid w:val="009E663D"/>
    <w:rsid w:val="009E6734"/>
    <w:rsid w:val="009E677D"/>
    <w:rsid w:val="009E67E9"/>
    <w:rsid w:val="009E681E"/>
    <w:rsid w:val="009E6AE4"/>
    <w:rsid w:val="009E6D0A"/>
    <w:rsid w:val="009E6D1C"/>
    <w:rsid w:val="009E6DC1"/>
    <w:rsid w:val="009E6E0E"/>
    <w:rsid w:val="009E70B7"/>
    <w:rsid w:val="009E7163"/>
    <w:rsid w:val="009E7174"/>
    <w:rsid w:val="009E7178"/>
    <w:rsid w:val="009E71B4"/>
    <w:rsid w:val="009E721D"/>
    <w:rsid w:val="009E7260"/>
    <w:rsid w:val="009E749D"/>
    <w:rsid w:val="009E7692"/>
    <w:rsid w:val="009E769F"/>
    <w:rsid w:val="009E779D"/>
    <w:rsid w:val="009E780A"/>
    <w:rsid w:val="009E78F1"/>
    <w:rsid w:val="009E797A"/>
    <w:rsid w:val="009E79AC"/>
    <w:rsid w:val="009E79CE"/>
    <w:rsid w:val="009E7A06"/>
    <w:rsid w:val="009E7B42"/>
    <w:rsid w:val="009E7CD9"/>
    <w:rsid w:val="009E7CFE"/>
    <w:rsid w:val="009E7DEF"/>
    <w:rsid w:val="009E7E1D"/>
    <w:rsid w:val="009E7F65"/>
    <w:rsid w:val="009F0034"/>
    <w:rsid w:val="009F0057"/>
    <w:rsid w:val="009F0060"/>
    <w:rsid w:val="009F0094"/>
    <w:rsid w:val="009F00A0"/>
    <w:rsid w:val="009F01D5"/>
    <w:rsid w:val="009F0245"/>
    <w:rsid w:val="009F040E"/>
    <w:rsid w:val="009F05B7"/>
    <w:rsid w:val="009F05BD"/>
    <w:rsid w:val="009F0675"/>
    <w:rsid w:val="009F07C9"/>
    <w:rsid w:val="009F0997"/>
    <w:rsid w:val="009F09B4"/>
    <w:rsid w:val="009F09F1"/>
    <w:rsid w:val="009F0B97"/>
    <w:rsid w:val="009F0E75"/>
    <w:rsid w:val="009F1083"/>
    <w:rsid w:val="009F1112"/>
    <w:rsid w:val="009F11FE"/>
    <w:rsid w:val="009F1294"/>
    <w:rsid w:val="009F12FD"/>
    <w:rsid w:val="009F136B"/>
    <w:rsid w:val="009F146A"/>
    <w:rsid w:val="009F1480"/>
    <w:rsid w:val="009F1496"/>
    <w:rsid w:val="009F1526"/>
    <w:rsid w:val="009F16D8"/>
    <w:rsid w:val="009F1817"/>
    <w:rsid w:val="009F1977"/>
    <w:rsid w:val="009F1A23"/>
    <w:rsid w:val="009F1A4E"/>
    <w:rsid w:val="009F1ADA"/>
    <w:rsid w:val="009F1AFB"/>
    <w:rsid w:val="009F1C39"/>
    <w:rsid w:val="009F1D7B"/>
    <w:rsid w:val="009F1DB5"/>
    <w:rsid w:val="009F1DCF"/>
    <w:rsid w:val="009F1E3D"/>
    <w:rsid w:val="009F2008"/>
    <w:rsid w:val="009F20AD"/>
    <w:rsid w:val="009F2165"/>
    <w:rsid w:val="009F21DF"/>
    <w:rsid w:val="009F21EB"/>
    <w:rsid w:val="009F226D"/>
    <w:rsid w:val="009F228C"/>
    <w:rsid w:val="009F2303"/>
    <w:rsid w:val="009F2314"/>
    <w:rsid w:val="009F2378"/>
    <w:rsid w:val="009F24A9"/>
    <w:rsid w:val="009F2552"/>
    <w:rsid w:val="009F25EE"/>
    <w:rsid w:val="009F2BC1"/>
    <w:rsid w:val="009F2BF5"/>
    <w:rsid w:val="009F2BF6"/>
    <w:rsid w:val="009F2E48"/>
    <w:rsid w:val="009F3063"/>
    <w:rsid w:val="009F30BE"/>
    <w:rsid w:val="009F311A"/>
    <w:rsid w:val="009F3272"/>
    <w:rsid w:val="009F32A7"/>
    <w:rsid w:val="009F34B4"/>
    <w:rsid w:val="009F3572"/>
    <w:rsid w:val="009F3586"/>
    <w:rsid w:val="009F359F"/>
    <w:rsid w:val="009F36A5"/>
    <w:rsid w:val="009F372E"/>
    <w:rsid w:val="009F3862"/>
    <w:rsid w:val="009F3877"/>
    <w:rsid w:val="009F394E"/>
    <w:rsid w:val="009F3965"/>
    <w:rsid w:val="009F3972"/>
    <w:rsid w:val="009F3AB8"/>
    <w:rsid w:val="009F3C2A"/>
    <w:rsid w:val="009F3C77"/>
    <w:rsid w:val="009F3DFC"/>
    <w:rsid w:val="009F3E8D"/>
    <w:rsid w:val="009F3EBA"/>
    <w:rsid w:val="009F3F14"/>
    <w:rsid w:val="009F407F"/>
    <w:rsid w:val="009F425C"/>
    <w:rsid w:val="009F4272"/>
    <w:rsid w:val="009F436B"/>
    <w:rsid w:val="009F43ED"/>
    <w:rsid w:val="009F442B"/>
    <w:rsid w:val="009F4499"/>
    <w:rsid w:val="009F44DB"/>
    <w:rsid w:val="009F45C6"/>
    <w:rsid w:val="009F4648"/>
    <w:rsid w:val="009F46C5"/>
    <w:rsid w:val="009F486A"/>
    <w:rsid w:val="009F48C5"/>
    <w:rsid w:val="009F48C8"/>
    <w:rsid w:val="009F4942"/>
    <w:rsid w:val="009F4B92"/>
    <w:rsid w:val="009F4CE9"/>
    <w:rsid w:val="009F4E4F"/>
    <w:rsid w:val="009F4E87"/>
    <w:rsid w:val="009F4EB7"/>
    <w:rsid w:val="009F4ED1"/>
    <w:rsid w:val="009F5003"/>
    <w:rsid w:val="009F50E6"/>
    <w:rsid w:val="009F5487"/>
    <w:rsid w:val="009F550F"/>
    <w:rsid w:val="009F55FF"/>
    <w:rsid w:val="009F5662"/>
    <w:rsid w:val="009F56C6"/>
    <w:rsid w:val="009F56D2"/>
    <w:rsid w:val="009F56E6"/>
    <w:rsid w:val="009F5753"/>
    <w:rsid w:val="009F5B10"/>
    <w:rsid w:val="009F5B5B"/>
    <w:rsid w:val="009F5D2D"/>
    <w:rsid w:val="009F5DAA"/>
    <w:rsid w:val="009F5DB2"/>
    <w:rsid w:val="009F5E7C"/>
    <w:rsid w:val="009F60B5"/>
    <w:rsid w:val="009F60EC"/>
    <w:rsid w:val="009F62F8"/>
    <w:rsid w:val="009F6378"/>
    <w:rsid w:val="009F63EF"/>
    <w:rsid w:val="009F656B"/>
    <w:rsid w:val="009F6570"/>
    <w:rsid w:val="009F67D6"/>
    <w:rsid w:val="009F6900"/>
    <w:rsid w:val="009F69C7"/>
    <w:rsid w:val="009F6A3F"/>
    <w:rsid w:val="009F6B92"/>
    <w:rsid w:val="009F6DBC"/>
    <w:rsid w:val="009F6DC5"/>
    <w:rsid w:val="009F6DD2"/>
    <w:rsid w:val="009F6E1F"/>
    <w:rsid w:val="009F6ECA"/>
    <w:rsid w:val="009F7091"/>
    <w:rsid w:val="009F741F"/>
    <w:rsid w:val="009F7491"/>
    <w:rsid w:val="009F749A"/>
    <w:rsid w:val="009F75A8"/>
    <w:rsid w:val="009F75E6"/>
    <w:rsid w:val="009F7A60"/>
    <w:rsid w:val="009F7A8E"/>
    <w:rsid w:val="009F7B7E"/>
    <w:rsid w:val="009F7C48"/>
    <w:rsid w:val="009F7C50"/>
    <w:rsid w:val="009F7CAE"/>
    <w:rsid w:val="009F7D20"/>
    <w:rsid w:val="009F7D43"/>
    <w:rsid w:val="009F7E69"/>
    <w:rsid w:val="009F7EB4"/>
    <w:rsid w:val="009F7EBD"/>
    <w:rsid w:val="009F7EF2"/>
    <w:rsid w:val="00A0004F"/>
    <w:rsid w:val="00A00361"/>
    <w:rsid w:val="00A003A5"/>
    <w:rsid w:val="00A003BC"/>
    <w:rsid w:val="00A00558"/>
    <w:rsid w:val="00A005D0"/>
    <w:rsid w:val="00A0061C"/>
    <w:rsid w:val="00A006E4"/>
    <w:rsid w:val="00A0072A"/>
    <w:rsid w:val="00A00761"/>
    <w:rsid w:val="00A0078D"/>
    <w:rsid w:val="00A00888"/>
    <w:rsid w:val="00A00904"/>
    <w:rsid w:val="00A00B18"/>
    <w:rsid w:val="00A00C07"/>
    <w:rsid w:val="00A00C19"/>
    <w:rsid w:val="00A00C2A"/>
    <w:rsid w:val="00A00DAF"/>
    <w:rsid w:val="00A00DDB"/>
    <w:rsid w:val="00A00DE6"/>
    <w:rsid w:val="00A00DFB"/>
    <w:rsid w:val="00A00E65"/>
    <w:rsid w:val="00A00E85"/>
    <w:rsid w:val="00A00EA1"/>
    <w:rsid w:val="00A00F68"/>
    <w:rsid w:val="00A01274"/>
    <w:rsid w:val="00A01453"/>
    <w:rsid w:val="00A014E5"/>
    <w:rsid w:val="00A015A9"/>
    <w:rsid w:val="00A015F0"/>
    <w:rsid w:val="00A018A2"/>
    <w:rsid w:val="00A01947"/>
    <w:rsid w:val="00A019AB"/>
    <w:rsid w:val="00A01A6B"/>
    <w:rsid w:val="00A01B85"/>
    <w:rsid w:val="00A01BC0"/>
    <w:rsid w:val="00A01BC8"/>
    <w:rsid w:val="00A01C03"/>
    <w:rsid w:val="00A01D9B"/>
    <w:rsid w:val="00A01F3D"/>
    <w:rsid w:val="00A01F83"/>
    <w:rsid w:val="00A02032"/>
    <w:rsid w:val="00A020F4"/>
    <w:rsid w:val="00A0211A"/>
    <w:rsid w:val="00A02174"/>
    <w:rsid w:val="00A0217C"/>
    <w:rsid w:val="00A021CE"/>
    <w:rsid w:val="00A0220C"/>
    <w:rsid w:val="00A0222D"/>
    <w:rsid w:val="00A022E0"/>
    <w:rsid w:val="00A024CC"/>
    <w:rsid w:val="00A02527"/>
    <w:rsid w:val="00A02598"/>
    <w:rsid w:val="00A025B1"/>
    <w:rsid w:val="00A02603"/>
    <w:rsid w:val="00A02762"/>
    <w:rsid w:val="00A0276A"/>
    <w:rsid w:val="00A0276C"/>
    <w:rsid w:val="00A02788"/>
    <w:rsid w:val="00A02818"/>
    <w:rsid w:val="00A028A4"/>
    <w:rsid w:val="00A028F6"/>
    <w:rsid w:val="00A02993"/>
    <w:rsid w:val="00A029C2"/>
    <w:rsid w:val="00A029C4"/>
    <w:rsid w:val="00A02A6C"/>
    <w:rsid w:val="00A02AF7"/>
    <w:rsid w:val="00A02B56"/>
    <w:rsid w:val="00A02BA9"/>
    <w:rsid w:val="00A02C6B"/>
    <w:rsid w:val="00A02CE3"/>
    <w:rsid w:val="00A02CFF"/>
    <w:rsid w:val="00A02D04"/>
    <w:rsid w:val="00A02D14"/>
    <w:rsid w:val="00A02DF4"/>
    <w:rsid w:val="00A02E33"/>
    <w:rsid w:val="00A02E37"/>
    <w:rsid w:val="00A02EE2"/>
    <w:rsid w:val="00A0302B"/>
    <w:rsid w:val="00A030EA"/>
    <w:rsid w:val="00A032CA"/>
    <w:rsid w:val="00A0338E"/>
    <w:rsid w:val="00A03542"/>
    <w:rsid w:val="00A03585"/>
    <w:rsid w:val="00A0358E"/>
    <w:rsid w:val="00A03618"/>
    <w:rsid w:val="00A03701"/>
    <w:rsid w:val="00A03775"/>
    <w:rsid w:val="00A0389C"/>
    <w:rsid w:val="00A03A87"/>
    <w:rsid w:val="00A03B92"/>
    <w:rsid w:val="00A03C5A"/>
    <w:rsid w:val="00A03C79"/>
    <w:rsid w:val="00A03D13"/>
    <w:rsid w:val="00A03D27"/>
    <w:rsid w:val="00A03D29"/>
    <w:rsid w:val="00A03D9C"/>
    <w:rsid w:val="00A03DEE"/>
    <w:rsid w:val="00A03EF1"/>
    <w:rsid w:val="00A03F37"/>
    <w:rsid w:val="00A03F7B"/>
    <w:rsid w:val="00A04176"/>
    <w:rsid w:val="00A0425A"/>
    <w:rsid w:val="00A043F6"/>
    <w:rsid w:val="00A04477"/>
    <w:rsid w:val="00A0459E"/>
    <w:rsid w:val="00A045A4"/>
    <w:rsid w:val="00A0460B"/>
    <w:rsid w:val="00A04690"/>
    <w:rsid w:val="00A046CB"/>
    <w:rsid w:val="00A048B9"/>
    <w:rsid w:val="00A04988"/>
    <w:rsid w:val="00A04A98"/>
    <w:rsid w:val="00A04B1D"/>
    <w:rsid w:val="00A04BA3"/>
    <w:rsid w:val="00A04DAA"/>
    <w:rsid w:val="00A04FA0"/>
    <w:rsid w:val="00A050FC"/>
    <w:rsid w:val="00A051D3"/>
    <w:rsid w:val="00A05274"/>
    <w:rsid w:val="00A05275"/>
    <w:rsid w:val="00A05388"/>
    <w:rsid w:val="00A0539E"/>
    <w:rsid w:val="00A053E6"/>
    <w:rsid w:val="00A05439"/>
    <w:rsid w:val="00A0544E"/>
    <w:rsid w:val="00A054CB"/>
    <w:rsid w:val="00A054E2"/>
    <w:rsid w:val="00A05574"/>
    <w:rsid w:val="00A055B2"/>
    <w:rsid w:val="00A05606"/>
    <w:rsid w:val="00A05613"/>
    <w:rsid w:val="00A056F8"/>
    <w:rsid w:val="00A0570D"/>
    <w:rsid w:val="00A05747"/>
    <w:rsid w:val="00A057B7"/>
    <w:rsid w:val="00A05814"/>
    <w:rsid w:val="00A05879"/>
    <w:rsid w:val="00A05A17"/>
    <w:rsid w:val="00A05A75"/>
    <w:rsid w:val="00A05CBA"/>
    <w:rsid w:val="00A05D37"/>
    <w:rsid w:val="00A05D7D"/>
    <w:rsid w:val="00A05DDA"/>
    <w:rsid w:val="00A05DEF"/>
    <w:rsid w:val="00A05DFA"/>
    <w:rsid w:val="00A05F7B"/>
    <w:rsid w:val="00A05FD3"/>
    <w:rsid w:val="00A05FF3"/>
    <w:rsid w:val="00A06045"/>
    <w:rsid w:val="00A06185"/>
    <w:rsid w:val="00A0627A"/>
    <w:rsid w:val="00A063F1"/>
    <w:rsid w:val="00A06462"/>
    <w:rsid w:val="00A0647B"/>
    <w:rsid w:val="00A0656A"/>
    <w:rsid w:val="00A06666"/>
    <w:rsid w:val="00A066AF"/>
    <w:rsid w:val="00A0676B"/>
    <w:rsid w:val="00A067E1"/>
    <w:rsid w:val="00A068A1"/>
    <w:rsid w:val="00A06ABD"/>
    <w:rsid w:val="00A06B32"/>
    <w:rsid w:val="00A06BFB"/>
    <w:rsid w:val="00A06C81"/>
    <w:rsid w:val="00A06CA4"/>
    <w:rsid w:val="00A06CE8"/>
    <w:rsid w:val="00A06D32"/>
    <w:rsid w:val="00A06F7F"/>
    <w:rsid w:val="00A06FE0"/>
    <w:rsid w:val="00A0700D"/>
    <w:rsid w:val="00A0716D"/>
    <w:rsid w:val="00A072EE"/>
    <w:rsid w:val="00A0730A"/>
    <w:rsid w:val="00A073B6"/>
    <w:rsid w:val="00A0748B"/>
    <w:rsid w:val="00A0759F"/>
    <w:rsid w:val="00A076A0"/>
    <w:rsid w:val="00A0778E"/>
    <w:rsid w:val="00A077BE"/>
    <w:rsid w:val="00A077C6"/>
    <w:rsid w:val="00A07838"/>
    <w:rsid w:val="00A07862"/>
    <w:rsid w:val="00A07865"/>
    <w:rsid w:val="00A0789F"/>
    <w:rsid w:val="00A07ABF"/>
    <w:rsid w:val="00A07C6A"/>
    <w:rsid w:val="00A07C8C"/>
    <w:rsid w:val="00A07E28"/>
    <w:rsid w:val="00A07ED5"/>
    <w:rsid w:val="00A07EDB"/>
    <w:rsid w:val="00A07FCA"/>
    <w:rsid w:val="00A10014"/>
    <w:rsid w:val="00A10239"/>
    <w:rsid w:val="00A1027F"/>
    <w:rsid w:val="00A102BF"/>
    <w:rsid w:val="00A102D7"/>
    <w:rsid w:val="00A1044F"/>
    <w:rsid w:val="00A104C0"/>
    <w:rsid w:val="00A1052C"/>
    <w:rsid w:val="00A107C7"/>
    <w:rsid w:val="00A1090C"/>
    <w:rsid w:val="00A10960"/>
    <w:rsid w:val="00A10972"/>
    <w:rsid w:val="00A10A0D"/>
    <w:rsid w:val="00A10A32"/>
    <w:rsid w:val="00A10A43"/>
    <w:rsid w:val="00A10C95"/>
    <w:rsid w:val="00A10D59"/>
    <w:rsid w:val="00A10D5B"/>
    <w:rsid w:val="00A10D87"/>
    <w:rsid w:val="00A10DE6"/>
    <w:rsid w:val="00A10FAE"/>
    <w:rsid w:val="00A1121B"/>
    <w:rsid w:val="00A1131A"/>
    <w:rsid w:val="00A113E3"/>
    <w:rsid w:val="00A11493"/>
    <w:rsid w:val="00A11522"/>
    <w:rsid w:val="00A1163B"/>
    <w:rsid w:val="00A11824"/>
    <w:rsid w:val="00A11857"/>
    <w:rsid w:val="00A1189D"/>
    <w:rsid w:val="00A1194D"/>
    <w:rsid w:val="00A11966"/>
    <w:rsid w:val="00A11977"/>
    <w:rsid w:val="00A1197B"/>
    <w:rsid w:val="00A11BF4"/>
    <w:rsid w:val="00A11CB4"/>
    <w:rsid w:val="00A11CD2"/>
    <w:rsid w:val="00A11CFA"/>
    <w:rsid w:val="00A11DE1"/>
    <w:rsid w:val="00A11ED9"/>
    <w:rsid w:val="00A11F05"/>
    <w:rsid w:val="00A12079"/>
    <w:rsid w:val="00A120D7"/>
    <w:rsid w:val="00A1214B"/>
    <w:rsid w:val="00A121BC"/>
    <w:rsid w:val="00A12428"/>
    <w:rsid w:val="00A1243C"/>
    <w:rsid w:val="00A12453"/>
    <w:rsid w:val="00A124F5"/>
    <w:rsid w:val="00A12638"/>
    <w:rsid w:val="00A126CC"/>
    <w:rsid w:val="00A127C3"/>
    <w:rsid w:val="00A1285F"/>
    <w:rsid w:val="00A12A10"/>
    <w:rsid w:val="00A12B1F"/>
    <w:rsid w:val="00A12B3F"/>
    <w:rsid w:val="00A12B7B"/>
    <w:rsid w:val="00A12CBB"/>
    <w:rsid w:val="00A12D02"/>
    <w:rsid w:val="00A12D3C"/>
    <w:rsid w:val="00A1304B"/>
    <w:rsid w:val="00A13152"/>
    <w:rsid w:val="00A131EC"/>
    <w:rsid w:val="00A132C8"/>
    <w:rsid w:val="00A13316"/>
    <w:rsid w:val="00A13401"/>
    <w:rsid w:val="00A13416"/>
    <w:rsid w:val="00A13424"/>
    <w:rsid w:val="00A134CB"/>
    <w:rsid w:val="00A134FB"/>
    <w:rsid w:val="00A13515"/>
    <w:rsid w:val="00A136B0"/>
    <w:rsid w:val="00A136C0"/>
    <w:rsid w:val="00A1370E"/>
    <w:rsid w:val="00A13977"/>
    <w:rsid w:val="00A13A5C"/>
    <w:rsid w:val="00A13A8F"/>
    <w:rsid w:val="00A13C16"/>
    <w:rsid w:val="00A13E3A"/>
    <w:rsid w:val="00A13F28"/>
    <w:rsid w:val="00A13F70"/>
    <w:rsid w:val="00A13F81"/>
    <w:rsid w:val="00A13FD6"/>
    <w:rsid w:val="00A1404F"/>
    <w:rsid w:val="00A14074"/>
    <w:rsid w:val="00A1416F"/>
    <w:rsid w:val="00A14406"/>
    <w:rsid w:val="00A1441B"/>
    <w:rsid w:val="00A14587"/>
    <w:rsid w:val="00A145C8"/>
    <w:rsid w:val="00A1470C"/>
    <w:rsid w:val="00A14963"/>
    <w:rsid w:val="00A14A61"/>
    <w:rsid w:val="00A14AC6"/>
    <w:rsid w:val="00A14AD7"/>
    <w:rsid w:val="00A14B86"/>
    <w:rsid w:val="00A14BD4"/>
    <w:rsid w:val="00A14C16"/>
    <w:rsid w:val="00A14C5B"/>
    <w:rsid w:val="00A14CA1"/>
    <w:rsid w:val="00A14CEE"/>
    <w:rsid w:val="00A14CFA"/>
    <w:rsid w:val="00A14D06"/>
    <w:rsid w:val="00A14DF1"/>
    <w:rsid w:val="00A14F85"/>
    <w:rsid w:val="00A14FA2"/>
    <w:rsid w:val="00A14FBC"/>
    <w:rsid w:val="00A14FD2"/>
    <w:rsid w:val="00A151C4"/>
    <w:rsid w:val="00A15256"/>
    <w:rsid w:val="00A1526F"/>
    <w:rsid w:val="00A152F9"/>
    <w:rsid w:val="00A153F1"/>
    <w:rsid w:val="00A15415"/>
    <w:rsid w:val="00A15470"/>
    <w:rsid w:val="00A155F8"/>
    <w:rsid w:val="00A15667"/>
    <w:rsid w:val="00A1569D"/>
    <w:rsid w:val="00A15895"/>
    <w:rsid w:val="00A15919"/>
    <w:rsid w:val="00A15970"/>
    <w:rsid w:val="00A159EC"/>
    <w:rsid w:val="00A15C7C"/>
    <w:rsid w:val="00A15CD0"/>
    <w:rsid w:val="00A15CE6"/>
    <w:rsid w:val="00A15E41"/>
    <w:rsid w:val="00A15E7D"/>
    <w:rsid w:val="00A15EC0"/>
    <w:rsid w:val="00A15EF7"/>
    <w:rsid w:val="00A15F03"/>
    <w:rsid w:val="00A15FD6"/>
    <w:rsid w:val="00A15FE2"/>
    <w:rsid w:val="00A16014"/>
    <w:rsid w:val="00A160D8"/>
    <w:rsid w:val="00A16126"/>
    <w:rsid w:val="00A161C9"/>
    <w:rsid w:val="00A16244"/>
    <w:rsid w:val="00A16291"/>
    <w:rsid w:val="00A16293"/>
    <w:rsid w:val="00A162F8"/>
    <w:rsid w:val="00A164D1"/>
    <w:rsid w:val="00A165C4"/>
    <w:rsid w:val="00A165F2"/>
    <w:rsid w:val="00A16689"/>
    <w:rsid w:val="00A16719"/>
    <w:rsid w:val="00A167A0"/>
    <w:rsid w:val="00A16896"/>
    <w:rsid w:val="00A16958"/>
    <w:rsid w:val="00A169A7"/>
    <w:rsid w:val="00A169A9"/>
    <w:rsid w:val="00A169CA"/>
    <w:rsid w:val="00A169E2"/>
    <w:rsid w:val="00A16A35"/>
    <w:rsid w:val="00A16B90"/>
    <w:rsid w:val="00A16C3E"/>
    <w:rsid w:val="00A16D6B"/>
    <w:rsid w:val="00A16DFF"/>
    <w:rsid w:val="00A16E05"/>
    <w:rsid w:val="00A16FB1"/>
    <w:rsid w:val="00A17036"/>
    <w:rsid w:val="00A170DE"/>
    <w:rsid w:val="00A17198"/>
    <w:rsid w:val="00A171C9"/>
    <w:rsid w:val="00A17327"/>
    <w:rsid w:val="00A17388"/>
    <w:rsid w:val="00A1768F"/>
    <w:rsid w:val="00A176B1"/>
    <w:rsid w:val="00A1792F"/>
    <w:rsid w:val="00A1799E"/>
    <w:rsid w:val="00A17A6F"/>
    <w:rsid w:val="00A17ADC"/>
    <w:rsid w:val="00A17D7B"/>
    <w:rsid w:val="00A17E47"/>
    <w:rsid w:val="00A17EA8"/>
    <w:rsid w:val="00A17EF3"/>
    <w:rsid w:val="00A17FDA"/>
    <w:rsid w:val="00A17FF7"/>
    <w:rsid w:val="00A20068"/>
    <w:rsid w:val="00A2006E"/>
    <w:rsid w:val="00A200DD"/>
    <w:rsid w:val="00A201DE"/>
    <w:rsid w:val="00A20210"/>
    <w:rsid w:val="00A20475"/>
    <w:rsid w:val="00A204E3"/>
    <w:rsid w:val="00A20506"/>
    <w:rsid w:val="00A2063B"/>
    <w:rsid w:val="00A206AC"/>
    <w:rsid w:val="00A207D9"/>
    <w:rsid w:val="00A2088E"/>
    <w:rsid w:val="00A2089F"/>
    <w:rsid w:val="00A2091F"/>
    <w:rsid w:val="00A209FE"/>
    <w:rsid w:val="00A20BE4"/>
    <w:rsid w:val="00A20CA2"/>
    <w:rsid w:val="00A20CD9"/>
    <w:rsid w:val="00A20D70"/>
    <w:rsid w:val="00A20E7A"/>
    <w:rsid w:val="00A20E7B"/>
    <w:rsid w:val="00A20F26"/>
    <w:rsid w:val="00A20FFE"/>
    <w:rsid w:val="00A21002"/>
    <w:rsid w:val="00A212C7"/>
    <w:rsid w:val="00A2141B"/>
    <w:rsid w:val="00A2158C"/>
    <w:rsid w:val="00A215BD"/>
    <w:rsid w:val="00A21626"/>
    <w:rsid w:val="00A2163C"/>
    <w:rsid w:val="00A217D5"/>
    <w:rsid w:val="00A217F0"/>
    <w:rsid w:val="00A21823"/>
    <w:rsid w:val="00A2193B"/>
    <w:rsid w:val="00A2193F"/>
    <w:rsid w:val="00A219BB"/>
    <w:rsid w:val="00A219BE"/>
    <w:rsid w:val="00A219D9"/>
    <w:rsid w:val="00A21A72"/>
    <w:rsid w:val="00A21BA8"/>
    <w:rsid w:val="00A21BD1"/>
    <w:rsid w:val="00A21C6D"/>
    <w:rsid w:val="00A21CA1"/>
    <w:rsid w:val="00A21CED"/>
    <w:rsid w:val="00A21D21"/>
    <w:rsid w:val="00A21DC1"/>
    <w:rsid w:val="00A21E16"/>
    <w:rsid w:val="00A21EAE"/>
    <w:rsid w:val="00A21ECB"/>
    <w:rsid w:val="00A21FCE"/>
    <w:rsid w:val="00A22030"/>
    <w:rsid w:val="00A220A6"/>
    <w:rsid w:val="00A220E0"/>
    <w:rsid w:val="00A22191"/>
    <w:rsid w:val="00A221B0"/>
    <w:rsid w:val="00A221E5"/>
    <w:rsid w:val="00A22271"/>
    <w:rsid w:val="00A223F7"/>
    <w:rsid w:val="00A2247C"/>
    <w:rsid w:val="00A2268A"/>
    <w:rsid w:val="00A22743"/>
    <w:rsid w:val="00A22759"/>
    <w:rsid w:val="00A2277C"/>
    <w:rsid w:val="00A22788"/>
    <w:rsid w:val="00A22864"/>
    <w:rsid w:val="00A22998"/>
    <w:rsid w:val="00A229CE"/>
    <w:rsid w:val="00A229E2"/>
    <w:rsid w:val="00A229F2"/>
    <w:rsid w:val="00A22A0C"/>
    <w:rsid w:val="00A22A7B"/>
    <w:rsid w:val="00A22B41"/>
    <w:rsid w:val="00A22B4C"/>
    <w:rsid w:val="00A22B74"/>
    <w:rsid w:val="00A22C47"/>
    <w:rsid w:val="00A22C50"/>
    <w:rsid w:val="00A22CB1"/>
    <w:rsid w:val="00A22CDA"/>
    <w:rsid w:val="00A22D47"/>
    <w:rsid w:val="00A22EE7"/>
    <w:rsid w:val="00A22F78"/>
    <w:rsid w:val="00A2312B"/>
    <w:rsid w:val="00A232EB"/>
    <w:rsid w:val="00A23374"/>
    <w:rsid w:val="00A233ED"/>
    <w:rsid w:val="00A23417"/>
    <w:rsid w:val="00A23498"/>
    <w:rsid w:val="00A234AC"/>
    <w:rsid w:val="00A23549"/>
    <w:rsid w:val="00A2358E"/>
    <w:rsid w:val="00A23606"/>
    <w:rsid w:val="00A237A5"/>
    <w:rsid w:val="00A23811"/>
    <w:rsid w:val="00A238AC"/>
    <w:rsid w:val="00A2392C"/>
    <w:rsid w:val="00A239BD"/>
    <w:rsid w:val="00A23AC8"/>
    <w:rsid w:val="00A23D94"/>
    <w:rsid w:val="00A23DA0"/>
    <w:rsid w:val="00A23DF2"/>
    <w:rsid w:val="00A23E84"/>
    <w:rsid w:val="00A23FE1"/>
    <w:rsid w:val="00A240A5"/>
    <w:rsid w:val="00A24104"/>
    <w:rsid w:val="00A2443C"/>
    <w:rsid w:val="00A2452C"/>
    <w:rsid w:val="00A246D5"/>
    <w:rsid w:val="00A24789"/>
    <w:rsid w:val="00A247DE"/>
    <w:rsid w:val="00A247E3"/>
    <w:rsid w:val="00A247EC"/>
    <w:rsid w:val="00A2485A"/>
    <w:rsid w:val="00A2488D"/>
    <w:rsid w:val="00A248AD"/>
    <w:rsid w:val="00A248B2"/>
    <w:rsid w:val="00A248E8"/>
    <w:rsid w:val="00A24B64"/>
    <w:rsid w:val="00A24BC7"/>
    <w:rsid w:val="00A24C9C"/>
    <w:rsid w:val="00A24DF5"/>
    <w:rsid w:val="00A24E42"/>
    <w:rsid w:val="00A24E88"/>
    <w:rsid w:val="00A24EBF"/>
    <w:rsid w:val="00A25286"/>
    <w:rsid w:val="00A253ED"/>
    <w:rsid w:val="00A25469"/>
    <w:rsid w:val="00A255A7"/>
    <w:rsid w:val="00A255B9"/>
    <w:rsid w:val="00A25606"/>
    <w:rsid w:val="00A257A7"/>
    <w:rsid w:val="00A257BB"/>
    <w:rsid w:val="00A257C7"/>
    <w:rsid w:val="00A257E2"/>
    <w:rsid w:val="00A257E3"/>
    <w:rsid w:val="00A25880"/>
    <w:rsid w:val="00A25895"/>
    <w:rsid w:val="00A258E1"/>
    <w:rsid w:val="00A2599F"/>
    <w:rsid w:val="00A25A31"/>
    <w:rsid w:val="00A25AF5"/>
    <w:rsid w:val="00A25BF9"/>
    <w:rsid w:val="00A25C1A"/>
    <w:rsid w:val="00A25D0E"/>
    <w:rsid w:val="00A25D11"/>
    <w:rsid w:val="00A25DA3"/>
    <w:rsid w:val="00A25E06"/>
    <w:rsid w:val="00A25E7A"/>
    <w:rsid w:val="00A25EEC"/>
    <w:rsid w:val="00A25FB7"/>
    <w:rsid w:val="00A26215"/>
    <w:rsid w:val="00A26391"/>
    <w:rsid w:val="00A2648F"/>
    <w:rsid w:val="00A2690A"/>
    <w:rsid w:val="00A26995"/>
    <w:rsid w:val="00A269E7"/>
    <w:rsid w:val="00A26A77"/>
    <w:rsid w:val="00A26AC8"/>
    <w:rsid w:val="00A26B0E"/>
    <w:rsid w:val="00A26C0E"/>
    <w:rsid w:val="00A26C4B"/>
    <w:rsid w:val="00A26D14"/>
    <w:rsid w:val="00A26D78"/>
    <w:rsid w:val="00A26E81"/>
    <w:rsid w:val="00A26EE0"/>
    <w:rsid w:val="00A26F8E"/>
    <w:rsid w:val="00A273A9"/>
    <w:rsid w:val="00A273DE"/>
    <w:rsid w:val="00A273ED"/>
    <w:rsid w:val="00A27409"/>
    <w:rsid w:val="00A27434"/>
    <w:rsid w:val="00A274E0"/>
    <w:rsid w:val="00A27507"/>
    <w:rsid w:val="00A27563"/>
    <w:rsid w:val="00A27574"/>
    <w:rsid w:val="00A275E2"/>
    <w:rsid w:val="00A27780"/>
    <w:rsid w:val="00A27838"/>
    <w:rsid w:val="00A27874"/>
    <w:rsid w:val="00A278FF"/>
    <w:rsid w:val="00A27A4D"/>
    <w:rsid w:val="00A27AC2"/>
    <w:rsid w:val="00A27B50"/>
    <w:rsid w:val="00A27B63"/>
    <w:rsid w:val="00A27C43"/>
    <w:rsid w:val="00A27CEC"/>
    <w:rsid w:val="00A27DFD"/>
    <w:rsid w:val="00A27E3F"/>
    <w:rsid w:val="00A27E7D"/>
    <w:rsid w:val="00A27EFA"/>
    <w:rsid w:val="00A27F59"/>
    <w:rsid w:val="00A27F9B"/>
    <w:rsid w:val="00A3000F"/>
    <w:rsid w:val="00A300BC"/>
    <w:rsid w:val="00A30101"/>
    <w:rsid w:val="00A301E2"/>
    <w:rsid w:val="00A30280"/>
    <w:rsid w:val="00A302A5"/>
    <w:rsid w:val="00A302B4"/>
    <w:rsid w:val="00A303B6"/>
    <w:rsid w:val="00A30505"/>
    <w:rsid w:val="00A3053E"/>
    <w:rsid w:val="00A30685"/>
    <w:rsid w:val="00A30705"/>
    <w:rsid w:val="00A30887"/>
    <w:rsid w:val="00A30A88"/>
    <w:rsid w:val="00A30B71"/>
    <w:rsid w:val="00A30C89"/>
    <w:rsid w:val="00A30CEC"/>
    <w:rsid w:val="00A30DB7"/>
    <w:rsid w:val="00A30FCB"/>
    <w:rsid w:val="00A30FE1"/>
    <w:rsid w:val="00A31045"/>
    <w:rsid w:val="00A310C0"/>
    <w:rsid w:val="00A310DA"/>
    <w:rsid w:val="00A3110A"/>
    <w:rsid w:val="00A3113F"/>
    <w:rsid w:val="00A311EE"/>
    <w:rsid w:val="00A312B7"/>
    <w:rsid w:val="00A31409"/>
    <w:rsid w:val="00A314C0"/>
    <w:rsid w:val="00A314FE"/>
    <w:rsid w:val="00A3156D"/>
    <w:rsid w:val="00A315CE"/>
    <w:rsid w:val="00A3170E"/>
    <w:rsid w:val="00A3179D"/>
    <w:rsid w:val="00A317C4"/>
    <w:rsid w:val="00A3187B"/>
    <w:rsid w:val="00A31A35"/>
    <w:rsid w:val="00A31B05"/>
    <w:rsid w:val="00A31B0C"/>
    <w:rsid w:val="00A31B13"/>
    <w:rsid w:val="00A31C32"/>
    <w:rsid w:val="00A31C89"/>
    <w:rsid w:val="00A31D73"/>
    <w:rsid w:val="00A31D7C"/>
    <w:rsid w:val="00A31FBF"/>
    <w:rsid w:val="00A320DC"/>
    <w:rsid w:val="00A320EF"/>
    <w:rsid w:val="00A3210E"/>
    <w:rsid w:val="00A32134"/>
    <w:rsid w:val="00A32273"/>
    <w:rsid w:val="00A32367"/>
    <w:rsid w:val="00A323EE"/>
    <w:rsid w:val="00A323FD"/>
    <w:rsid w:val="00A32424"/>
    <w:rsid w:val="00A3259A"/>
    <w:rsid w:val="00A32667"/>
    <w:rsid w:val="00A32728"/>
    <w:rsid w:val="00A3293F"/>
    <w:rsid w:val="00A32991"/>
    <w:rsid w:val="00A32994"/>
    <w:rsid w:val="00A329B0"/>
    <w:rsid w:val="00A32A63"/>
    <w:rsid w:val="00A32A82"/>
    <w:rsid w:val="00A32B02"/>
    <w:rsid w:val="00A32BA3"/>
    <w:rsid w:val="00A32C63"/>
    <w:rsid w:val="00A32CEB"/>
    <w:rsid w:val="00A32DAF"/>
    <w:rsid w:val="00A32E1A"/>
    <w:rsid w:val="00A32EA3"/>
    <w:rsid w:val="00A32ED0"/>
    <w:rsid w:val="00A32EDC"/>
    <w:rsid w:val="00A32F11"/>
    <w:rsid w:val="00A32F60"/>
    <w:rsid w:val="00A33049"/>
    <w:rsid w:val="00A33061"/>
    <w:rsid w:val="00A33177"/>
    <w:rsid w:val="00A3321E"/>
    <w:rsid w:val="00A333CB"/>
    <w:rsid w:val="00A333F5"/>
    <w:rsid w:val="00A33413"/>
    <w:rsid w:val="00A334CE"/>
    <w:rsid w:val="00A33563"/>
    <w:rsid w:val="00A33786"/>
    <w:rsid w:val="00A3394D"/>
    <w:rsid w:val="00A33C34"/>
    <w:rsid w:val="00A33C7B"/>
    <w:rsid w:val="00A33CC3"/>
    <w:rsid w:val="00A33E4B"/>
    <w:rsid w:val="00A33ED2"/>
    <w:rsid w:val="00A33EE8"/>
    <w:rsid w:val="00A34045"/>
    <w:rsid w:val="00A34115"/>
    <w:rsid w:val="00A343F8"/>
    <w:rsid w:val="00A34424"/>
    <w:rsid w:val="00A34444"/>
    <w:rsid w:val="00A34481"/>
    <w:rsid w:val="00A3452C"/>
    <w:rsid w:val="00A34729"/>
    <w:rsid w:val="00A34835"/>
    <w:rsid w:val="00A34882"/>
    <w:rsid w:val="00A34A70"/>
    <w:rsid w:val="00A34BBA"/>
    <w:rsid w:val="00A34C2F"/>
    <w:rsid w:val="00A34CED"/>
    <w:rsid w:val="00A34F04"/>
    <w:rsid w:val="00A34FCA"/>
    <w:rsid w:val="00A34FF5"/>
    <w:rsid w:val="00A3502C"/>
    <w:rsid w:val="00A35037"/>
    <w:rsid w:val="00A35077"/>
    <w:rsid w:val="00A35211"/>
    <w:rsid w:val="00A3522F"/>
    <w:rsid w:val="00A35271"/>
    <w:rsid w:val="00A352DF"/>
    <w:rsid w:val="00A35357"/>
    <w:rsid w:val="00A35402"/>
    <w:rsid w:val="00A3545E"/>
    <w:rsid w:val="00A355AF"/>
    <w:rsid w:val="00A35774"/>
    <w:rsid w:val="00A3577A"/>
    <w:rsid w:val="00A357A6"/>
    <w:rsid w:val="00A357FF"/>
    <w:rsid w:val="00A35923"/>
    <w:rsid w:val="00A3595A"/>
    <w:rsid w:val="00A35973"/>
    <w:rsid w:val="00A35AE0"/>
    <w:rsid w:val="00A35B95"/>
    <w:rsid w:val="00A35B9C"/>
    <w:rsid w:val="00A35BD4"/>
    <w:rsid w:val="00A35C04"/>
    <w:rsid w:val="00A35C84"/>
    <w:rsid w:val="00A35CD0"/>
    <w:rsid w:val="00A35CF6"/>
    <w:rsid w:val="00A35D76"/>
    <w:rsid w:val="00A35D8E"/>
    <w:rsid w:val="00A35E22"/>
    <w:rsid w:val="00A35EF8"/>
    <w:rsid w:val="00A35F38"/>
    <w:rsid w:val="00A35F75"/>
    <w:rsid w:val="00A35F83"/>
    <w:rsid w:val="00A35FA1"/>
    <w:rsid w:val="00A35FCF"/>
    <w:rsid w:val="00A35FD6"/>
    <w:rsid w:val="00A36035"/>
    <w:rsid w:val="00A361A9"/>
    <w:rsid w:val="00A361E4"/>
    <w:rsid w:val="00A36201"/>
    <w:rsid w:val="00A36317"/>
    <w:rsid w:val="00A3639C"/>
    <w:rsid w:val="00A363DB"/>
    <w:rsid w:val="00A3642C"/>
    <w:rsid w:val="00A364D0"/>
    <w:rsid w:val="00A36612"/>
    <w:rsid w:val="00A366A2"/>
    <w:rsid w:val="00A366A7"/>
    <w:rsid w:val="00A3676E"/>
    <w:rsid w:val="00A36850"/>
    <w:rsid w:val="00A36959"/>
    <w:rsid w:val="00A369D1"/>
    <w:rsid w:val="00A36A2E"/>
    <w:rsid w:val="00A36A60"/>
    <w:rsid w:val="00A36BD0"/>
    <w:rsid w:val="00A36C0E"/>
    <w:rsid w:val="00A36EA5"/>
    <w:rsid w:val="00A36F31"/>
    <w:rsid w:val="00A36F8A"/>
    <w:rsid w:val="00A36FEF"/>
    <w:rsid w:val="00A370C8"/>
    <w:rsid w:val="00A37124"/>
    <w:rsid w:val="00A37152"/>
    <w:rsid w:val="00A371B8"/>
    <w:rsid w:val="00A37293"/>
    <w:rsid w:val="00A37380"/>
    <w:rsid w:val="00A373B0"/>
    <w:rsid w:val="00A373D4"/>
    <w:rsid w:val="00A37515"/>
    <w:rsid w:val="00A37541"/>
    <w:rsid w:val="00A3756F"/>
    <w:rsid w:val="00A37576"/>
    <w:rsid w:val="00A375D4"/>
    <w:rsid w:val="00A37642"/>
    <w:rsid w:val="00A376D7"/>
    <w:rsid w:val="00A37937"/>
    <w:rsid w:val="00A37996"/>
    <w:rsid w:val="00A379D0"/>
    <w:rsid w:val="00A379E4"/>
    <w:rsid w:val="00A37A4D"/>
    <w:rsid w:val="00A37C6E"/>
    <w:rsid w:val="00A37CBB"/>
    <w:rsid w:val="00A37DDC"/>
    <w:rsid w:val="00A37DFF"/>
    <w:rsid w:val="00A37EB9"/>
    <w:rsid w:val="00A37F61"/>
    <w:rsid w:val="00A37FCA"/>
    <w:rsid w:val="00A400F9"/>
    <w:rsid w:val="00A401EE"/>
    <w:rsid w:val="00A402AF"/>
    <w:rsid w:val="00A402C1"/>
    <w:rsid w:val="00A4030E"/>
    <w:rsid w:val="00A4035E"/>
    <w:rsid w:val="00A4052B"/>
    <w:rsid w:val="00A405AD"/>
    <w:rsid w:val="00A405D9"/>
    <w:rsid w:val="00A40830"/>
    <w:rsid w:val="00A408EC"/>
    <w:rsid w:val="00A40A01"/>
    <w:rsid w:val="00A40C0F"/>
    <w:rsid w:val="00A40C83"/>
    <w:rsid w:val="00A40CFF"/>
    <w:rsid w:val="00A40D07"/>
    <w:rsid w:val="00A40DAD"/>
    <w:rsid w:val="00A40ECE"/>
    <w:rsid w:val="00A41150"/>
    <w:rsid w:val="00A41161"/>
    <w:rsid w:val="00A41214"/>
    <w:rsid w:val="00A414F3"/>
    <w:rsid w:val="00A41517"/>
    <w:rsid w:val="00A4155E"/>
    <w:rsid w:val="00A41576"/>
    <w:rsid w:val="00A41582"/>
    <w:rsid w:val="00A415A0"/>
    <w:rsid w:val="00A41640"/>
    <w:rsid w:val="00A4167C"/>
    <w:rsid w:val="00A416C7"/>
    <w:rsid w:val="00A417BE"/>
    <w:rsid w:val="00A4185F"/>
    <w:rsid w:val="00A41A98"/>
    <w:rsid w:val="00A41C58"/>
    <w:rsid w:val="00A41D2B"/>
    <w:rsid w:val="00A41D2C"/>
    <w:rsid w:val="00A41E1F"/>
    <w:rsid w:val="00A41E31"/>
    <w:rsid w:val="00A41E42"/>
    <w:rsid w:val="00A42058"/>
    <w:rsid w:val="00A42070"/>
    <w:rsid w:val="00A42213"/>
    <w:rsid w:val="00A4225C"/>
    <w:rsid w:val="00A42396"/>
    <w:rsid w:val="00A42410"/>
    <w:rsid w:val="00A4241D"/>
    <w:rsid w:val="00A4256B"/>
    <w:rsid w:val="00A42758"/>
    <w:rsid w:val="00A42778"/>
    <w:rsid w:val="00A42831"/>
    <w:rsid w:val="00A428C8"/>
    <w:rsid w:val="00A42912"/>
    <w:rsid w:val="00A4291D"/>
    <w:rsid w:val="00A42934"/>
    <w:rsid w:val="00A429D1"/>
    <w:rsid w:val="00A42A22"/>
    <w:rsid w:val="00A42A43"/>
    <w:rsid w:val="00A42B31"/>
    <w:rsid w:val="00A42B76"/>
    <w:rsid w:val="00A42CBD"/>
    <w:rsid w:val="00A42D0C"/>
    <w:rsid w:val="00A42E8F"/>
    <w:rsid w:val="00A42EE8"/>
    <w:rsid w:val="00A42F98"/>
    <w:rsid w:val="00A4322E"/>
    <w:rsid w:val="00A4330C"/>
    <w:rsid w:val="00A43312"/>
    <w:rsid w:val="00A433A3"/>
    <w:rsid w:val="00A43569"/>
    <w:rsid w:val="00A43593"/>
    <w:rsid w:val="00A435C7"/>
    <w:rsid w:val="00A435F5"/>
    <w:rsid w:val="00A43686"/>
    <w:rsid w:val="00A4387D"/>
    <w:rsid w:val="00A43950"/>
    <w:rsid w:val="00A43A06"/>
    <w:rsid w:val="00A43A0A"/>
    <w:rsid w:val="00A43AAE"/>
    <w:rsid w:val="00A43B67"/>
    <w:rsid w:val="00A43C5D"/>
    <w:rsid w:val="00A43D91"/>
    <w:rsid w:val="00A43EA9"/>
    <w:rsid w:val="00A43EDE"/>
    <w:rsid w:val="00A43F2C"/>
    <w:rsid w:val="00A440B7"/>
    <w:rsid w:val="00A441C7"/>
    <w:rsid w:val="00A44228"/>
    <w:rsid w:val="00A442A4"/>
    <w:rsid w:val="00A44311"/>
    <w:rsid w:val="00A445A7"/>
    <w:rsid w:val="00A44690"/>
    <w:rsid w:val="00A4483F"/>
    <w:rsid w:val="00A44872"/>
    <w:rsid w:val="00A44958"/>
    <w:rsid w:val="00A449AA"/>
    <w:rsid w:val="00A449C3"/>
    <w:rsid w:val="00A44A11"/>
    <w:rsid w:val="00A44A32"/>
    <w:rsid w:val="00A44B22"/>
    <w:rsid w:val="00A44B9A"/>
    <w:rsid w:val="00A44C36"/>
    <w:rsid w:val="00A44CD3"/>
    <w:rsid w:val="00A44D11"/>
    <w:rsid w:val="00A44D6F"/>
    <w:rsid w:val="00A44D94"/>
    <w:rsid w:val="00A44DEE"/>
    <w:rsid w:val="00A44F54"/>
    <w:rsid w:val="00A44FC4"/>
    <w:rsid w:val="00A45029"/>
    <w:rsid w:val="00A45031"/>
    <w:rsid w:val="00A45126"/>
    <w:rsid w:val="00A45138"/>
    <w:rsid w:val="00A45211"/>
    <w:rsid w:val="00A453A8"/>
    <w:rsid w:val="00A4545D"/>
    <w:rsid w:val="00A4554C"/>
    <w:rsid w:val="00A4554D"/>
    <w:rsid w:val="00A456C2"/>
    <w:rsid w:val="00A45813"/>
    <w:rsid w:val="00A45836"/>
    <w:rsid w:val="00A4584B"/>
    <w:rsid w:val="00A4594D"/>
    <w:rsid w:val="00A45A13"/>
    <w:rsid w:val="00A45A2D"/>
    <w:rsid w:val="00A45A84"/>
    <w:rsid w:val="00A45B0C"/>
    <w:rsid w:val="00A45BBA"/>
    <w:rsid w:val="00A45CA0"/>
    <w:rsid w:val="00A45DE0"/>
    <w:rsid w:val="00A45E50"/>
    <w:rsid w:val="00A45F12"/>
    <w:rsid w:val="00A45FED"/>
    <w:rsid w:val="00A460D9"/>
    <w:rsid w:val="00A46153"/>
    <w:rsid w:val="00A46208"/>
    <w:rsid w:val="00A4624A"/>
    <w:rsid w:val="00A4651D"/>
    <w:rsid w:val="00A46579"/>
    <w:rsid w:val="00A465DE"/>
    <w:rsid w:val="00A466ED"/>
    <w:rsid w:val="00A4679A"/>
    <w:rsid w:val="00A467DB"/>
    <w:rsid w:val="00A4685C"/>
    <w:rsid w:val="00A46887"/>
    <w:rsid w:val="00A4689B"/>
    <w:rsid w:val="00A46971"/>
    <w:rsid w:val="00A46AD3"/>
    <w:rsid w:val="00A46C9C"/>
    <w:rsid w:val="00A46CCD"/>
    <w:rsid w:val="00A46CFA"/>
    <w:rsid w:val="00A46D44"/>
    <w:rsid w:val="00A46D5A"/>
    <w:rsid w:val="00A46D6C"/>
    <w:rsid w:val="00A46E06"/>
    <w:rsid w:val="00A46E63"/>
    <w:rsid w:val="00A46FA1"/>
    <w:rsid w:val="00A4705B"/>
    <w:rsid w:val="00A47227"/>
    <w:rsid w:val="00A472E9"/>
    <w:rsid w:val="00A472FE"/>
    <w:rsid w:val="00A4767A"/>
    <w:rsid w:val="00A477DF"/>
    <w:rsid w:val="00A4794A"/>
    <w:rsid w:val="00A47A0D"/>
    <w:rsid w:val="00A47A94"/>
    <w:rsid w:val="00A47AB6"/>
    <w:rsid w:val="00A47B43"/>
    <w:rsid w:val="00A47B4A"/>
    <w:rsid w:val="00A47BC0"/>
    <w:rsid w:val="00A47CAC"/>
    <w:rsid w:val="00A47D25"/>
    <w:rsid w:val="00A47D69"/>
    <w:rsid w:val="00A47E1D"/>
    <w:rsid w:val="00A47E85"/>
    <w:rsid w:val="00A47F7A"/>
    <w:rsid w:val="00A50003"/>
    <w:rsid w:val="00A50256"/>
    <w:rsid w:val="00A5046F"/>
    <w:rsid w:val="00A50496"/>
    <w:rsid w:val="00A504C7"/>
    <w:rsid w:val="00A50513"/>
    <w:rsid w:val="00A50549"/>
    <w:rsid w:val="00A50551"/>
    <w:rsid w:val="00A5069F"/>
    <w:rsid w:val="00A5077F"/>
    <w:rsid w:val="00A50B1C"/>
    <w:rsid w:val="00A50B6E"/>
    <w:rsid w:val="00A50C69"/>
    <w:rsid w:val="00A50C70"/>
    <w:rsid w:val="00A50FCD"/>
    <w:rsid w:val="00A51044"/>
    <w:rsid w:val="00A510D4"/>
    <w:rsid w:val="00A511D2"/>
    <w:rsid w:val="00A5121D"/>
    <w:rsid w:val="00A514A7"/>
    <w:rsid w:val="00A5153F"/>
    <w:rsid w:val="00A51581"/>
    <w:rsid w:val="00A515F0"/>
    <w:rsid w:val="00A51640"/>
    <w:rsid w:val="00A516B5"/>
    <w:rsid w:val="00A51714"/>
    <w:rsid w:val="00A517B7"/>
    <w:rsid w:val="00A517D8"/>
    <w:rsid w:val="00A51949"/>
    <w:rsid w:val="00A51968"/>
    <w:rsid w:val="00A51A10"/>
    <w:rsid w:val="00A51B8C"/>
    <w:rsid w:val="00A51CB9"/>
    <w:rsid w:val="00A51CF8"/>
    <w:rsid w:val="00A51D36"/>
    <w:rsid w:val="00A51D50"/>
    <w:rsid w:val="00A51D98"/>
    <w:rsid w:val="00A51E45"/>
    <w:rsid w:val="00A51EB4"/>
    <w:rsid w:val="00A51EEE"/>
    <w:rsid w:val="00A51EF0"/>
    <w:rsid w:val="00A51F55"/>
    <w:rsid w:val="00A52040"/>
    <w:rsid w:val="00A520F9"/>
    <w:rsid w:val="00A5214F"/>
    <w:rsid w:val="00A52293"/>
    <w:rsid w:val="00A52310"/>
    <w:rsid w:val="00A523A7"/>
    <w:rsid w:val="00A523FC"/>
    <w:rsid w:val="00A52481"/>
    <w:rsid w:val="00A524E0"/>
    <w:rsid w:val="00A526B2"/>
    <w:rsid w:val="00A526F0"/>
    <w:rsid w:val="00A5270C"/>
    <w:rsid w:val="00A5270F"/>
    <w:rsid w:val="00A527BF"/>
    <w:rsid w:val="00A52863"/>
    <w:rsid w:val="00A529E8"/>
    <w:rsid w:val="00A52A84"/>
    <w:rsid w:val="00A52ABC"/>
    <w:rsid w:val="00A52CC1"/>
    <w:rsid w:val="00A52D42"/>
    <w:rsid w:val="00A52D46"/>
    <w:rsid w:val="00A52D68"/>
    <w:rsid w:val="00A52D88"/>
    <w:rsid w:val="00A52E72"/>
    <w:rsid w:val="00A52ED9"/>
    <w:rsid w:val="00A52F0F"/>
    <w:rsid w:val="00A530B7"/>
    <w:rsid w:val="00A53143"/>
    <w:rsid w:val="00A531C8"/>
    <w:rsid w:val="00A531EF"/>
    <w:rsid w:val="00A53361"/>
    <w:rsid w:val="00A53414"/>
    <w:rsid w:val="00A5354D"/>
    <w:rsid w:val="00A53565"/>
    <w:rsid w:val="00A535D2"/>
    <w:rsid w:val="00A535EC"/>
    <w:rsid w:val="00A5370D"/>
    <w:rsid w:val="00A537A2"/>
    <w:rsid w:val="00A538DC"/>
    <w:rsid w:val="00A53A1E"/>
    <w:rsid w:val="00A53A56"/>
    <w:rsid w:val="00A53AE1"/>
    <w:rsid w:val="00A53BFA"/>
    <w:rsid w:val="00A53C7C"/>
    <w:rsid w:val="00A53D6B"/>
    <w:rsid w:val="00A53D74"/>
    <w:rsid w:val="00A53F3E"/>
    <w:rsid w:val="00A53FC2"/>
    <w:rsid w:val="00A540E0"/>
    <w:rsid w:val="00A540E3"/>
    <w:rsid w:val="00A541B0"/>
    <w:rsid w:val="00A541C6"/>
    <w:rsid w:val="00A5424E"/>
    <w:rsid w:val="00A54288"/>
    <w:rsid w:val="00A54330"/>
    <w:rsid w:val="00A54408"/>
    <w:rsid w:val="00A54479"/>
    <w:rsid w:val="00A544A5"/>
    <w:rsid w:val="00A544FF"/>
    <w:rsid w:val="00A54551"/>
    <w:rsid w:val="00A5455D"/>
    <w:rsid w:val="00A54681"/>
    <w:rsid w:val="00A54B4F"/>
    <w:rsid w:val="00A54C3F"/>
    <w:rsid w:val="00A54CB9"/>
    <w:rsid w:val="00A54CBD"/>
    <w:rsid w:val="00A54D4D"/>
    <w:rsid w:val="00A54E83"/>
    <w:rsid w:val="00A54E88"/>
    <w:rsid w:val="00A54F07"/>
    <w:rsid w:val="00A550F2"/>
    <w:rsid w:val="00A551E5"/>
    <w:rsid w:val="00A553A1"/>
    <w:rsid w:val="00A555B2"/>
    <w:rsid w:val="00A555C1"/>
    <w:rsid w:val="00A5562E"/>
    <w:rsid w:val="00A55708"/>
    <w:rsid w:val="00A55712"/>
    <w:rsid w:val="00A55870"/>
    <w:rsid w:val="00A558F1"/>
    <w:rsid w:val="00A55914"/>
    <w:rsid w:val="00A559A9"/>
    <w:rsid w:val="00A55A31"/>
    <w:rsid w:val="00A55A35"/>
    <w:rsid w:val="00A55BDD"/>
    <w:rsid w:val="00A55EAA"/>
    <w:rsid w:val="00A55F4B"/>
    <w:rsid w:val="00A55FD8"/>
    <w:rsid w:val="00A5603D"/>
    <w:rsid w:val="00A56057"/>
    <w:rsid w:val="00A56073"/>
    <w:rsid w:val="00A56173"/>
    <w:rsid w:val="00A56187"/>
    <w:rsid w:val="00A56276"/>
    <w:rsid w:val="00A562C4"/>
    <w:rsid w:val="00A5639C"/>
    <w:rsid w:val="00A5639E"/>
    <w:rsid w:val="00A564B7"/>
    <w:rsid w:val="00A564D5"/>
    <w:rsid w:val="00A56535"/>
    <w:rsid w:val="00A5678D"/>
    <w:rsid w:val="00A569B8"/>
    <w:rsid w:val="00A56B8D"/>
    <w:rsid w:val="00A56D5E"/>
    <w:rsid w:val="00A56DF3"/>
    <w:rsid w:val="00A56E2C"/>
    <w:rsid w:val="00A56E83"/>
    <w:rsid w:val="00A56EAD"/>
    <w:rsid w:val="00A56F92"/>
    <w:rsid w:val="00A5702B"/>
    <w:rsid w:val="00A57219"/>
    <w:rsid w:val="00A57262"/>
    <w:rsid w:val="00A5745B"/>
    <w:rsid w:val="00A575B4"/>
    <w:rsid w:val="00A57720"/>
    <w:rsid w:val="00A5778A"/>
    <w:rsid w:val="00A577B8"/>
    <w:rsid w:val="00A579BF"/>
    <w:rsid w:val="00A57A98"/>
    <w:rsid w:val="00A57BBC"/>
    <w:rsid w:val="00A57C1C"/>
    <w:rsid w:val="00A57C22"/>
    <w:rsid w:val="00A57EAF"/>
    <w:rsid w:val="00A57F35"/>
    <w:rsid w:val="00A57F50"/>
    <w:rsid w:val="00A57F68"/>
    <w:rsid w:val="00A57F70"/>
    <w:rsid w:val="00A57FC4"/>
    <w:rsid w:val="00A6037A"/>
    <w:rsid w:val="00A6041D"/>
    <w:rsid w:val="00A6049D"/>
    <w:rsid w:val="00A60717"/>
    <w:rsid w:val="00A607FC"/>
    <w:rsid w:val="00A607FE"/>
    <w:rsid w:val="00A6081F"/>
    <w:rsid w:val="00A60828"/>
    <w:rsid w:val="00A608C3"/>
    <w:rsid w:val="00A60A21"/>
    <w:rsid w:val="00A60BF2"/>
    <w:rsid w:val="00A60D28"/>
    <w:rsid w:val="00A60D39"/>
    <w:rsid w:val="00A60D9F"/>
    <w:rsid w:val="00A60DE4"/>
    <w:rsid w:val="00A60ED9"/>
    <w:rsid w:val="00A61008"/>
    <w:rsid w:val="00A61165"/>
    <w:rsid w:val="00A611BE"/>
    <w:rsid w:val="00A611CB"/>
    <w:rsid w:val="00A611D4"/>
    <w:rsid w:val="00A61206"/>
    <w:rsid w:val="00A614D0"/>
    <w:rsid w:val="00A614D6"/>
    <w:rsid w:val="00A617F3"/>
    <w:rsid w:val="00A6180A"/>
    <w:rsid w:val="00A61900"/>
    <w:rsid w:val="00A61915"/>
    <w:rsid w:val="00A61929"/>
    <w:rsid w:val="00A6198A"/>
    <w:rsid w:val="00A619B4"/>
    <w:rsid w:val="00A61B43"/>
    <w:rsid w:val="00A61BBF"/>
    <w:rsid w:val="00A61BC5"/>
    <w:rsid w:val="00A61C56"/>
    <w:rsid w:val="00A61F35"/>
    <w:rsid w:val="00A61FC6"/>
    <w:rsid w:val="00A62109"/>
    <w:rsid w:val="00A6224C"/>
    <w:rsid w:val="00A6229B"/>
    <w:rsid w:val="00A622FD"/>
    <w:rsid w:val="00A62431"/>
    <w:rsid w:val="00A62650"/>
    <w:rsid w:val="00A62768"/>
    <w:rsid w:val="00A6279E"/>
    <w:rsid w:val="00A62932"/>
    <w:rsid w:val="00A62A8F"/>
    <w:rsid w:val="00A62AF6"/>
    <w:rsid w:val="00A62BA1"/>
    <w:rsid w:val="00A62C6B"/>
    <w:rsid w:val="00A62D2B"/>
    <w:rsid w:val="00A62D34"/>
    <w:rsid w:val="00A62D38"/>
    <w:rsid w:val="00A62DBF"/>
    <w:rsid w:val="00A62DC2"/>
    <w:rsid w:val="00A62DD3"/>
    <w:rsid w:val="00A62E57"/>
    <w:rsid w:val="00A62ECE"/>
    <w:rsid w:val="00A62EE5"/>
    <w:rsid w:val="00A630BA"/>
    <w:rsid w:val="00A630C5"/>
    <w:rsid w:val="00A63233"/>
    <w:rsid w:val="00A632B9"/>
    <w:rsid w:val="00A6333F"/>
    <w:rsid w:val="00A63453"/>
    <w:rsid w:val="00A6350E"/>
    <w:rsid w:val="00A63546"/>
    <w:rsid w:val="00A635B1"/>
    <w:rsid w:val="00A635FC"/>
    <w:rsid w:val="00A63868"/>
    <w:rsid w:val="00A63879"/>
    <w:rsid w:val="00A6390B"/>
    <w:rsid w:val="00A63918"/>
    <w:rsid w:val="00A6397B"/>
    <w:rsid w:val="00A639D4"/>
    <w:rsid w:val="00A63A7A"/>
    <w:rsid w:val="00A63B74"/>
    <w:rsid w:val="00A63B84"/>
    <w:rsid w:val="00A63D9B"/>
    <w:rsid w:val="00A63E61"/>
    <w:rsid w:val="00A63EFA"/>
    <w:rsid w:val="00A63F05"/>
    <w:rsid w:val="00A63F62"/>
    <w:rsid w:val="00A63F68"/>
    <w:rsid w:val="00A640CD"/>
    <w:rsid w:val="00A641D1"/>
    <w:rsid w:val="00A643DE"/>
    <w:rsid w:val="00A6445F"/>
    <w:rsid w:val="00A6448D"/>
    <w:rsid w:val="00A644A7"/>
    <w:rsid w:val="00A6457B"/>
    <w:rsid w:val="00A64595"/>
    <w:rsid w:val="00A64670"/>
    <w:rsid w:val="00A646D8"/>
    <w:rsid w:val="00A64943"/>
    <w:rsid w:val="00A649D6"/>
    <w:rsid w:val="00A64A20"/>
    <w:rsid w:val="00A64A78"/>
    <w:rsid w:val="00A64B9D"/>
    <w:rsid w:val="00A64BD3"/>
    <w:rsid w:val="00A64D0F"/>
    <w:rsid w:val="00A64D1F"/>
    <w:rsid w:val="00A64DEF"/>
    <w:rsid w:val="00A64E87"/>
    <w:rsid w:val="00A64F8A"/>
    <w:rsid w:val="00A64F8C"/>
    <w:rsid w:val="00A650B5"/>
    <w:rsid w:val="00A65172"/>
    <w:rsid w:val="00A65233"/>
    <w:rsid w:val="00A6528C"/>
    <w:rsid w:val="00A65365"/>
    <w:rsid w:val="00A654D8"/>
    <w:rsid w:val="00A65542"/>
    <w:rsid w:val="00A6564D"/>
    <w:rsid w:val="00A656C2"/>
    <w:rsid w:val="00A658AA"/>
    <w:rsid w:val="00A658E3"/>
    <w:rsid w:val="00A659A8"/>
    <w:rsid w:val="00A659B4"/>
    <w:rsid w:val="00A65B1C"/>
    <w:rsid w:val="00A65C88"/>
    <w:rsid w:val="00A65CCF"/>
    <w:rsid w:val="00A65CE3"/>
    <w:rsid w:val="00A65DA7"/>
    <w:rsid w:val="00A65DB0"/>
    <w:rsid w:val="00A65E2E"/>
    <w:rsid w:val="00A65E72"/>
    <w:rsid w:val="00A65F36"/>
    <w:rsid w:val="00A66000"/>
    <w:rsid w:val="00A66017"/>
    <w:rsid w:val="00A66152"/>
    <w:rsid w:val="00A66156"/>
    <w:rsid w:val="00A6616A"/>
    <w:rsid w:val="00A66287"/>
    <w:rsid w:val="00A66430"/>
    <w:rsid w:val="00A6651E"/>
    <w:rsid w:val="00A667E9"/>
    <w:rsid w:val="00A66801"/>
    <w:rsid w:val="00A668C0"/>
    <w:rsid w:val="00A66A4C"/>
    <w:rsid w:val="00A66AD5"/>
    <w:rsid w:val="00A66AFC"/>
    <w:rsid w:val="00A66B42"/>
    <w:rsid w:val="00A66CDC"/>
    <w:rsid w:val="00A66D97"/>
    <w:rsid w:val="00A66F5C"/>
    <w:rsid w:val="00A66F8C"/>
    <w:rsid w:val="00A66FA0"/>
    <w:rsid w:val="00A66FF4"/>
    <w:rsid w:val="00A6708E"/>
    <w:rsid w:val="00A67272"/>
    <w:rsid w:val="00A6729E"/>
    <w:rsid w:val="00A673E3"/>
    <w:rsid w:val="00A67473"/>
    <w:rsid w:val="00A67570"/>
    <w:rsid w:val="00A67571"/>
    <w:rsid w:val="00A676A9"/>
    <w:rsid w:val="00A67785"/>
    <w:rsid w:val="00A679AB"/>
    <w:rsid w:val="00A67B6D"/>
    <w:rsid w:val="00A67B96"/>
    <w:rsid w:val="00A67BDF"/>
    <w:rsid w:val="00A67BEB"/>
    <w:rsid w:val="00A67CBA"/>
    <w:rsid w:val="00A67E48"/>
    <w:rsid w:val="00A70092"/>
    <w:rsid w:val="00A700A6"/>
    <w:rsid w:val="00A700CD"/>
    <w:rsid w:val="00A7017C"/>
    <w:rsid w:val="00A701D2"/>
    <w:rsid w:val="00A70255"/>
    <w:rsid w:val="00A703EE"/>
    <w:rsid w:val="00A704A3"/>
    <w:rsid w:val="00A704A9"/>
    <w:rsid w:val="00A704B6"/>
    <w:rsid w:val="00A704E1"/>
    <w:rsid w:val="00A705E3"/>
    <w:rsid w:val="00A70663"/>
    <w:rsid w:val="00A70942"/>
    <w:rsid w:val="00A70948"/>
    <w:rsid w:val="00A70A29"/>
    <w:rsid w:val="00A70B16"/>
    <w:rsid w:val="00A70B86"/>
    <w:rsid w:val="00A70C27"/>
    <w:rsid w:val="00A70C63"/>
    <w:rsid w:val="00A70C8D"/>
    <w:rsid w:val="00A70CBF"/>
    <w:rsid w:val="00A70D5A"/>
    <w:rsid w:val="00A70D78"/>
    <w:rsid w:val="00A70EF8"/>
    <w:rsid w:val="00A7108F"/>
    <w:rsid w:val="00A710CD"/>
    <w:rsid w:val="00A710E7"/>
    <w:rsid w:val="00A71177"/>
    <w:rsid w:val="00A711FA"/>
    <w:rsid w:val="00A712A8"/>
    <w:rsid w:val="00A712F1"/>
    <w:rsid w:val="00A7132F"/>
    <w:rsid w:val="00A7133C"/>
    <w:rsid w:val="00A71393"/>
    <w:rsid w:val="00A71613"/>
    <w:rsid w:val="00A71649"/>
    <w:rsid w:val="00A7166C"/>
    <w:rsid w:val="00A716EA"/>
    <w:rsid w:val="00A71744"/>
    <w:rsid w:val="00A717D9"/>
    <w:rsid w:val="00A718A9"/>
    <w:rsid w:val="00A71A37"/>
    <w:rsid w:val="00A71EE1"/>
    <w:rsid w:val="00A71F1A"/>
    <w:rsid w:val="00A71F55"/>
    <w:rsid w:val="00A71FC2"/>
    <w:rsid w:val="00A720E9"/>
    <w:rsid w:val="00A721DF"/>
    <w:rsid w:val="00A72253"/>
    <w:rsid w:val="00A722AC"/>
    <w:rsid w:val="00A72351"/>
    <w:rsid w:val="00A72389"/>
    <w:rsid w:val="00A72496"/>
    <w:rsid w:val="00A72611"/>
    <w:rsid w:val="00A72693"/>
    <w:rsid w:val="00A726B1"/>
    <w:rsid w:val="00A72764"/>
    <w:rsid w:val="00A7279C"/>
    <w:rsid w:val="00A72941"/>
    <w:rsid w:val="00A72997"/>
    <w:rsid w:val="00A729F3"/>
    <w:rsid w:val="00A72AA6"/>
    <w:rsid w:val="00A72B98"/>
    <w:rsid w:val="00A72BE8"/>
    <w:rsid w:val="00A72C20"/>
    <w:rsid w:val="00A72C76"/>
    <w:rsid w:val="00A72E42"/>
    <w:rsid w:val="00A72E5D"/>
    <w:rsid w:val="00A72EB8"/>
    <w:rsid w:val="00A72F21"/>
    <w:rsid w:val="00A72F54"/>
    <w:rsid w:val="00A72F91"/>
    <w:rsid w:val="00A72F9C"/>
    <w:rsid w:val="00A72FED"/>
    <w:rsid w:val="00A73050"/>
    <w:rsid w:val="00A73073"/>
    <w:rsid w:val="00A73108"/>
    <w:rsid w:val="00A7318F"/>
    <w:rsid w:val="00A73221"/>
    <w:rsid w:val="00A73272"/>
    <w:rsid w:val="00A733E0"/>
    <w:rsid w:val="00A73475"/>
    <w:rsid w:val="00A73504"/>
    <w:rsid w:val="00A735D4"/>
    <w:rsid w:val="00A735F0"/>
    <w:rsid w:val="00A736E3"/>
    <w:rsid w:val="00A73760"/>
    <w:rsid w:val="00A7380E"/>
    <w:rsid w:val="00A739B8"/>
    <w:rsid w:val="00A739DC"/>
    <w:rsid w:val="00A73C87"/>
    <w:rsid w:val="00A73CE6"/>
    <w:rsid w:val="00A73DA0"/>
    <w:rsid w:val="00A73EAC"/>
    <w:rsid w:val="00A74023"/>
    <w:rsid w:val="00A74024"/>
    <w:rsid w:val="00A7424C"/>
    <w:rsid w:val="00A742FD"/>
    <w:rsid w:val="00A7434C"/>
    <w:rsid w:val="00A74581"/>
    <w:rsid w:val="00A74646"/>
    <w:rsid w:val="00A748BB"/>
    <w:rsid w:val="00A74AC5"/>
    <w:rsid w:val="00A74B62"/>
    <w:rsid w:val="00A74BA3"/>
    <w:rsid w:val="00A74BE2"/>
    <w:rsid w:val="00A74C3A"/>
    <w:rsid w:val="00A74D83"/>
    <w:rsid w:val="00A74E29"/>
    <w:rsid w:val="00A74E2D"/>
    <w:rsid w:val="00A74E3E"/>
    <w:rsid w:val="00A74E6D"/>
    <w:rsid w:val="00A75004"/>
    <w:rsid w:val="00A75061"/>
    <w:rsid w:val="00A75190"/>
    <w:rsid w:val="00A7526A"/>
    <w:rsid w:val="00A7534C"/>
    <w:rsid w:val="00A75364"/>
    <w:rsid w:val="00A75426"/>
    <w:rsid w:val="00A754B0"/>
    <w:rsid w:val="00A754BC"/>
    <w:rsid w:val="00A75515"/>
    <w:rsid w:val="00A75589"/>
    <w:rsid w:val="00A75596"/>
    <w:rsid w:val="00A75607"/>
    <w:rsid w:val="00A75735"/>
    <w:rsid w:val="00A75751"/>
    <w:rsid w:val="00A757CA"/>
    <w:rsid w:val="00A7592B"/>
    <w:rsid w:val="00A75952"/>
    <w:rsid w:val="00A759B9"/>
    <w:rsid w:val="00A75AB3"/>
    <w:rsid w:val="00A75AF1"/>
    <w:rsid w:val="00A75B14"/>
    <w:rsid w:val="00A75BB1"/>
    <w:rsid w:val="00A75BE5"/>
    <w:rsid w:val="00A75C63"/>
    <w:rsid w:val="00A75CB2"/>
    <w:rsid w:val="00A75D61"/>
    <w:rsid w:val="00A75D9E"/>
    <w:rsid w:val="00A75E1E"/>
    <w:rsid w:val="00A75E72"/>
    <w:rsid w:val="00A75F5E"/>
    <w:rsid w:val="00A75FCC"/>
    <w:rsid w:val="00A76033"/>
    <w:rsid w:val="00A761BF"/>
    <w:rsid w:val="00A76347"/>
    <w:rsid w:val="00A7649B"/>
    <w:rsid w:val="00A7656C"/>
    <w:rsid w:val="00A765CF"/>
    <w:rsid w:val="00A765F7"/>
    <w:rsid w:val="00A7662C"/>
    <w:rsid w:val="00A76681"/>
    <w:rsid w:val="00A766CD"/>
    <w:rsid w:val="00A766F3"/>
    <w:rsid w:val="00A767F6"/>
    <w:rsid w:val="00A768AA"/>
    <w:rsid w:val="00A768AF"/>
    <w:rsid w:val="00A76939"/>
    <w:rsid w:val="00A76A77"/>
    <w:rsid w:val="00A76ADC"/>
    <w:rsid w:val="00A76B16"/>
    <w:rsid w:val="00A76B24"/>
    <w:rsid w:val="00A76B56"/>
    <w:rsid w:val="00A76CAA"/>
    <w:rsid w:val="00A76CFF"/>
    <w:rsid w:val="00A76D16"/>
    <w:rsid w:val="00A76D4F"/>
    <w:rsid w:val="00A76E86"/>
    <w:rsid w:val="00A76ED1"/>
    <w:rsid w:val="00A76EE3"/>
    <w:rsid w:val="00A77159"/>
    <w:rsid w:val="00A77189"/>
    <w:rsid w:val="00A77222"/>
    <w:rsid w:val="00A77401"/>
    <w:rsid w:val="00A77412"/>
    <w:rsid w:val="00A77535"/>
    <w:rsid w:val="00A77689"/>
    <w:rsid w:val="00A776BE"/>
    <w:rsid w:val="00A7776A"/>
    <w:rsid w:val="00A777F9"/>
    <w:rsid w:val="00A778F6"/>
    <w:rsid w:val="00A778FD"/>
    <w:rsid w:val="00A7799A"/>
    <w:rsid w:val="00A77AE2"/>
    <w:rsid w:val="00A77BE4"/>
    <w:rsid w:val="00A77DDB"/>
    <w:rsid w:val="00A77F1C"/>
    <w:rsid w:val="00A77F65"/>
    <w:rsid w:val="00A77FBA"/>
    <w:rsid w:val="00A77FE9"/>
    <w:rsid w:val="00A8014E"/>
    <w:rsid w:val="00A80269"/>
    <w:rsid w:val="00A802B0"/>
    <w:rsid w:val="00A802F5"/>
    <w:rsid w:val="00A804B4"/>
    <w:rsid w:val="00A80545"/>
    <w:rsid w:val="00A80549"/>
    <w:rsid w:val="00A80849"/>
    <w:rsid w:val="00A80871"/>
    <w:rsid w:val="00A80875"/>
    <w:rsid w:val="00A808B9"/>
    <w:rsid w:val="00A808BD"/>
    <w:rsid w:val="00A808C5"/>
    <w:rsid w:val="00A8095A"/>
    <w:rsid w:val="00A8096F"/>
    <w:rsid w:val="00A80B6B"/>
    <w:rsid w:val="00A80BDD"/>
    <w:rsid w:val="00A80D17"/>
    <w:rsid w:val="00A80D30"/>
    <w:rsid w:val="00A80DB2"/>
    <w:rsid w:val="00A80F6A"/>
    <w:rsid w:val="00A80F95"/>
    <w:rsid w:val="00A80FB2"/>
    <w:rsid w:val="00A80FB7"/>
    <w:rsid w:val="00A8109E"/>
    <w:rsid w:val="00A8163E"/>
    <w:rsid w:val="00A81665"/>
    <w:rsid w:val="00A8170C"/>
    <w:rsid w:val="00A8173D"/>
    <w:rsid w:val="00A817AC"/>
    <w:rsid w:val="00A819C7"/>
    <w:rsid w:val="00A81A0F"/>
    <w:rsid w:val="00A81B52"/>
    <w:rsid w:val="00A81B7D"/>
    <w:rsid w:val="00A81BD1"/>
    <w:rsid w:val="00A81CCC"/>
    <w:rsid w:val="00A81CFB"/>
    <w:rsid w:val="00A81E77"/>
    <w:rsid w:val="00A8217E"/>
    <w:rsid w:val="00A821CC"/>
    <w:rsid w:val="00A8253A"/>
    <w:rsid w:val="00A825AE"/>
    <w:rsid w:val="00A825BA"/>
    <w:rsid w:val="00A825C7"/>
    <w:rsid w:val="00A825FA"/>
    <w:rsid w:val="00A826A6"/>
    <w:rsid w:val="00A826D4"/>
    <w:rsid w:val="00A828AC"/>
    <w:rsid w:val="00A829B3"/>
    <w:rsid w:val="00A82BC8"/>
    <w:rsid w:val="00A82C31"/>
    <w:rsid w:val="00A82C53"/>
    <w:rsid w:val="00A82E1A"/>
    <w:rsid w:val="00A82E37"/>
    <w:rsid w:val="00A82F0D"/>
    <w:rsid w:val="00A82F46"/>
    <w:rsid w:val="00A82FCD"/>
    <w:rsid w:val="00A8307D"/>
    <w:rsid w:val="00A83276"/>
    <w:rsid w:val="00A83648"/>
    <w:rsid w:val="00A83707"/>
    <w:rsid w:val="00A8373C"/>
    <w:rsid w:val="00A837DF"/>
    <w:rsid w:val="00A83844"/>
    <w:rsid w:val="00A83A42"/>
    <w:rsid w:val="00A83BB3"/>
    <w:rsid w:val="00A83C18"/>
    <w:rsid w:val="00A83C1A"/>
    <w:rsid w:val="00A83C62"/>
    <w:rsid w:val="00A83E25"/>
    <w:rsid w:val="00A83E49"/>
    <w:rsid w:val="00A83E73"/>
    <w:rsid w:val="00A83F2F"/>
    <w:rsid w:val="00A84005"/>
    <w:rsid w:val="00A840BF"/>
    <w:rsid w:val="00A841AF"/>
    <w:rsid w:val="00A843C8"/>
    <w:rsid w:val="00A84566"/>
    <w:rsid w:val="00A8464E"/>
    <w:rsid w:val="00A84719"/>
    <w:rsid w:val="00A8477D"/>
    <w:rsid w:val="00A849BA"/>
    <w:rsid w:val="00A84A7D"/>
    <w:rsid w:val="00A84B1B"/>
    <w:rsid w:val="00A84B77"/>
    <w:rsid w:val="00A84C1C"/>
    <w:rsid w:val="00A84CD1"/>
    <w:rsid w:val="00A84CF9"/>
    <w:rsid w:val="00A84D73"/>
    <w:rsid w:val="00A84D84"/>
    <w:rsid w:val="00A84DE1"/>
    <w:rsid w:val="00A84F26"/>
    <w:rsid w:val="00A84F88"/>
    <w:rsid w:val="00A850C0"/>
    <w:rsid w:val="00A85141"/>
    <w:rsid w:val="00A851D4"/>
    <w:rsid w:val="00A85230"/>
    <w:rsid w:val="00A853A5"/>
    <w:rsid w:val="00A8543F"/>
    <w:rsid w:val="00A85462"/>
    <w:rsid w:val="00A8550D"/>
    <w:rsid w:val="00A85565"/>
    <w:rsid w:val="00A855A4"/>
    <w:rsid w:val="00A855B3"/>
    <w:rsid w:val="00A855FE"/>
    <w:rsid w:val="00A85937"/>
    <w:rsid w:val="00A8596A"/>
    <w:rsid w:val="00A8598E"/>
    <w:rsid w:val="00A859A7"/>
    <w:rsid w:val="00A859E4"/>
    <w:rsid w:val="00A859F6"/>
    <w:rsid w:val="00A85A28"/>
    <w:rsid w:val="00A85AA8"/>
    <w:rsid w:val="00A85B69"/>
    <w:rsid w:val="00A85BCB"/>
    <w:rsid w:val="00A85C47"/>
    <w:rsid w:val="00A85C60"/>
    <w:rsid w:val="00A85C88"/>
    <w:rsid w:val="00A85CB3"/>
    <w:rsid w:val="00A85D6D"/>
    <w:rsid w:val="00A85DBF"/>
    <w:rsid w:val="00A85DD7"/>
    <w:rsid w:val="00A85EA1"/>
    <w:rsid w:val="00A86030"/>
    <w:rsid w:val="00A86053"/>
    <w:rsid w:val="00A86109"/>
    <w:rsid w:val="00A8616F"/>
    <w:rsid w:val="00A861F7"/>
    <w:rsid w:val="00A86268"/>
    <w:rsid w:val="00A8652A"/>
    <w:rsid w:val="00A86698"/>
    <w:rsid w:val="00A866E7"/>
    <w:rsid w:val="00A867A2"/>
    <w:rsid w:val="00A867D7"/>
    <w:rsid w:val="00A86851"/>
    <w:rsid w:val="00A868CA"/>
    <w:rsid w:val="00A86919"/>
    <w:rsid w:val="00A86ACE"/>
    <w:rsid w:val="00A86B4B"/>
    <w:rsid w:val="00A86C2C"/>
    <w:rsid w:val="00A86D1A"/>
    <w:rsid w:val="00A86E51"/>
    <w:rsid w:val="00A86ECD"/>
    <w:rsid w:val="00A86EE0"/>
    <w:rsid w:val="00A870B9"/>
    <w:rsid w:val="00A87152"/>
    <w:rsid w:val="00A871B3"/>
    <w:rsid w:val="00A87200"/>
    <w:rsid w:val="00A87267"/>
    <w:rsid w:val="00A87364"/>
    <w:rsid w:val="00A87552"/>
    <w:rsid w:val="00A8769B"/>
    <w:rsid w:val="00A87702"/>
    <w:rsid w:val="00A87721"/>
    <w:rsid w:val="00A87739"/>
    <w:rsid w:val="00A87790"/>
    <w:rsid w:val="00A877AD"/>
    <w:rsid w:val="00A8789D"/>
    <w:rsid w:val="00A878A1"/>
    <w:rsid w:val="00A8798C"/>
    <w:rsid w:val="00A879E8"/>
    <w:rsid w:val="00A87B59"/>
    <w:rsid w:val="00A87DF7"/>
    <w:rsid w:val="00A87E8B"/>
    <w:rsid w:val="00A9006F"/>
    <w:rsid w:val="00A900D4"/>
    <w:rsid w:val="00A90114"/>
    <w:rsid w:val="00A90204"/>
    <w:rsid w:val="00A903CD"/>
    <w:rsid w:val="00A9044D"/>
    <w:rsid w:val="00A9054D"/>
    <w:rsid w:val="00A90552"/>
    <w:rsid w:val="00A9055A"/>
    <w:rsid w:val="00A9059C"/>
    <w:rsid w:val="00A90637"/>
    <w:rsid w:val="00A906F0"/>
    <w:rsid w:val="00A907C6"/>
    <w:rsid w:val="00A908D2"/>
    <w:rsid w:val="00A90CB5"/>
    <w:rsid w:val="00A90CBC"/>
    <w:rsid w:val="00A90DBB"/>
    <w:rsid w:val="00A90DE5"/>
    <w:rsid w:val="00A90E32"/>
    <w:rsid w:val="00A91091"/>
    <w:rsid w:val="00A9114F"/>
    <w:rsid w:val="00A9131B"/>
    <w:rsid w:val="00A9136B"/>
    <w:rsid w:val="00A91374"/>
    <w:rsid w:val="00A913A4"/>
    <w:rsid w:val="00A91437"/>
    <w:rsid w:val="00A91454"/>
    <w:rsid w:val="00A9150F"/>
    <w:rsid w:val="00A915F2"/>
    <w:rsid w:val="00A91653"/>
    <w:rsid w:val="00A9166A"/>
    <w:rsid w:val="00A91879"/>
    <w:rsid w:val="00A919F4"/>
    <w:rsid w:val="00A91C00"/>
    <w:rsid w:val="00A91C09"/>
    <w:rsid w:val="00A91C9D"/>
    <w:rsid w:val="00A91D8F"/>
    <w:rsid w:val="00A91EE9"/>
    <w:rsid w:val="00A91F1E"/>
    <w:rsid w:val="00A91F8B"/>
    <w:rsid w:val="00A91FAE"/>
    <w:rsid w:val="00A920AD"/>
    <w:rsid w:val="00A92137"/>
    <w:rsid w:val="00A9244E"/>
    <w:rsid w:val="00A9246C"/>
    <w:rsid w:val="00A924A8"/>
    <w:rsid w:val="00A924CB"/>
    <w:rsid w:val="00A924EE"/>
    <w:rsid w:val="00A92502"/>
    <w:rsid w:val="00A92678"/>
    <w:rsid w:val="00A9268A"/>
    <w:rsid w:val="00A92710"/>
    <w:rsid w:val="00A9281F"/>
    <w:rsid w:val="00A928E8"/>
    <w:rsid w:val="00A929A5"/>
    <w:rsid w:val="00A92AEB"/>
    <w:rsid w:val="00A92B35"/>
    <w:rsid w:val="00A92C1E"/>
    <w:rsid w:val="00A92CC9"/>
    <w:rsid w:val="00A92CE8"/>
    <w:rsid w:val="00A92E56"/>
    <w:rsid w:val="00A92ED2"/>
    <w:rsid w:val="00A92F3C"/>
    <w:rsid w:val="00A92F40"/>
    <w:rsid w:val="00A93037"/>
    <w:rsid w:val="00A930F2"/>
    <w:rsid w:val="00A93152"/>
    <w:rsid w:val="00A931DF"/>
    <w:rsid w:val="00A93223"/>
    <w:rsid w:val="00A93292"/>
    <w:rsid w:val="00A933AC"/>
    <w:rsid w:val="00A936E1"/>
    <w:rsid w:val="00A9380A"/>
    <w:rsid w:val="00A9385B"/>
    <w:rsid w:val="00A93A7B"/>
    <w:rsid w:val="00A93B75"/>
    <w:rsid w:val="00A93BB1"/>
    <w:rsid w:val="00A93C06"/>
    <w:rsid w:val="00A93D2B"/>
    <w:rsid w:val="00A93D96"/>
    <w:rsid w:val="00A93DF9"/>
    <w:rsid w:val="00A93E27"/>
    <w:rsid w:val="00A93F5D"/>
    <w:rsid w:val="00A93FBE"/>
    <w:rsid w:val="00A93FCB"/>
    <w:rsid w:val="00A93FDA"/>
    <w:rsid w:val="00A9406B"/>
    <w:rsid w:val="00A940CE"/>
    <w:rsid w:val="00A9410D"/>
    <w:rsid w:val="00A94136"/>
    <w:rsid w:val="00A941DE"/>
    <w:rsid w:val="00A942D9"/>
    <w:rsid w:val="00A943AF"/>
    <w:rsid w:val="00A94472"/>
    <w:rsid w:val="00A945A3"/>
    <w:rsid w:val="00A946D0"/>
    <w:rsid w:val="00A94701"/>
    <w:rsid w:val="00A9472E"/>
    <w:rsid w:val="00A9475C"/>
    <w:rsid w:val="00A9477A"/>
    <w:rsid w:val="00A947CE"/>
    <w:rsid w:val="00A9491F"/>
    <w:rsid w:val="00A94AC2"/>
    <w:rsid w:val="00A94B87"/>
    <w:rsid w:val="00A94C68"/>
    <w:rsid w:val="00A94C6F"/>
    <w:rsid w:val="00A94CB5"/>
    <w:rsid w:val="00A94D0B"/>
    <w:rsid w:val="00A94D24"/>
    <w:rsid w:val="00A94D99"/>
    <w:rsid w:val="00A94DC9"/>
    <w:rsid w:val="00A94DDB"/>
    <w:rsid w:val="00A94E2E"/>
    <w:rsid w:val="00A94F3B"/>
    <w:rsid w:val="00A94F3D"/>
    <w:rsid w:val="00A94F5A"/>
    <w:rsid w:val="00A95025"/>
    <w:rsid w:val="00A95040"/>
    <w:rsid w:val="00A95098"/>
    <w:rsid w:val="00A950B8"/>
    <w:rsid w:val="00A950D0"/>
    <w:rsid w:val="00A95122"/>
    <w:rsid w:val="00A95159"/>
    <w:rsid w:val="00A95197"/>
    <w:rsid w:val="00A95245"/>
    <w:rsid w:val="00A9539A"/>
    <w:rsid w:val="00A95415"/>
    <w:rsid w:val="00A9549F"/>
    <w:rsid w:val="00A9558B"/>
    <w:rsid w:val="00A95737"/>
    <w:rsid w:val="00A95809"/>
    <w:rsid w:val="00A95897"/>
    <w:rsid w:val="00A95A9D"/>
    <w:rsid w:val="00A95AA2"/>
    <w:rsid w:val="00A95B12"/>
    <w:rsid w:val="00A95B71"/>
    <w:rsid w:val="00A95D16"/>
    <w:rsid w:val="00A95DC1"/>
    <w:rsid w:val="00A95E0F"/>
    <w:rsid w:val="00A95E54"/>
    <w:rsid w:val="00A95EB1"/>
    <w:rsid w:val="00A95EBC"/>
    <w:rsid w:val="00A95F06"/>
    <w:rsid w:val="00A95FE7"/>
    <w:rsid w:val="00A961F5"/>
    <w:rsid w:val="00A96234"/>
    <w:rsid w:val="00A96286"/>
    <w:rsid w:val="00A96332"/>
    <w:rsid w:val="00A96368"/>
    <w:rsid w:val="00A96376"/>
    <w:rsid w:val="00A96402"/>
    <w:rsid w:val="00A96459"/>
    <w:rsid w:val="00A965E2"/>
    <w:rsid w:val="00A965F0"/>
    <w:rsid w:val="00A96693"/>
    <w:rsid w:val="00A966BB"/>
    <w:rsid w:val="00A96738"/>
    <w:rsid w:val="00A967B9"/>
    <w:rsid w:val="00A9681C"/>
    <w:rsid w:val="00A9681E"/>
    <w:rsid w:val="00A96870"/>
    <w:rsid w:val="00A969AD"/>
    <w:rsid w:val="00A96A10"/>
    <w:rsid w:val="00A96A2B"/>
    <w:rsid w:val="00A96A5B"/>
    <w:rsid w:val="00A96AA1"/>
    <w:rsid w:val="00A96B67"/>
    <w:rsid w:val="00A96BF4"/>
    <w:rsid w:val="00A96C4B"/>
    <w:rsid w:val="00A96CA4"/>
    <w:rsid w:val="00A96D12"/>
    <w:rsid w:val="00A96DB5"/>
    <w:rsid w:val="00A96E41"/>
    <w:rsid w:val="00A96E76"/>
    <w:rsid w:val="00A96EB2"/>
    <w:rsid w:val="00A97074"/>
    <w:rsid w:val="00A97076"/>
    <w:rsid w:val="00A97118"/>
    <w:rsid w:val="00A9711C"/>
    <w:rsid w:val="00A9717C"/>
    <w:rsid w:val="00A971C8"/>
    <w:rsid w:val="00A9727C"/>
    <w:rsid w:val="00A972EB"/>
    <w:rsid w:val="00A97384"/>
    <w:rsid w:val="00A97395"/>
    <w:rsid w:val="00A974B4"/>
    <w:rsid w:val="00A9768A"/>
    <w:rsid w:val="00A976AA"/>
    <w:rsid w:val="00A976C7"/>
    <w:rsid w:val="00A9775F"/>
    <w:rsid w:val="00A977C4"/>
    <w:rsid w:val="00A977D6"/>
    <w:rsid w:val="00A977ED"/>
    <w:rsid w:val="00A978B7"/>
    <w:rsid w:val="00A9794D"/>
    <w:rsid w:val="00A97957"/>
    <w:rsid w:val="00A97AC8"/>
    <w:rsid w:val="00A97BB3"/>
    <w:rsid w:val="00A97BB5"/>
    <w:rsid w:val="00A97C8D"/>
    <w:rsid w:val="00A97CA4"/>
    <w:rsid w:val="00A97D73"/>
    <w:rsid w:val="00A97E0F"/>
    <w:rsid w:val="00A97E44"/>
    <w:rsid w:val="00A97E69"/>
    <w:rsid w:val="00A97E72"/>
    <w:rsid w:val="00A97EC7"/>
    <w:rsid w:val="00A97F2E"/>
    <w:rsid w:val="00A97F47"/>
    <w:rsid w:val="00AA00B3"/>
    <w:rsid w:val="00AA00D1"/>
    <w:rsid w:val="00AA0155"/>
    <w:rsid w:val="00AA022D"/>
    <w:rsid w:val="00AA0365"/>
    <w:rsid w:val="00AA03FE"/>
    <w:rsid w:val="00AA0622"/>
    <w:rsid w:val="00AA0645"/>
    <w:rsid w:val="00AA0650"/>
    <w:rsid w:val="00AA06CB"/>
    <w:rsid w:val="00AA074C"/>
    <w:rsid w:val="00AA091A"/>
    <w:rsid w:val="00AA0A27"/>
    <w:rsid w:val="00AA0AE7"/>
    <w:rsid w:val="00AA0B0C"/>
    <w:rsid w:val="00AA0B95"/>
    <w:rsid w:val="00AA0BB2"/>
    <w:rsid w:val="00AA0C66"/>
    <w:rsid w:val="00AA0D00"/>
    <w:rsid w:val="00AA0DC6"/>
    <w:rsid w:val="00AA0E48"/>
    <w:rsid w:val="00AA0E7A"/>
    <w:rsid w:val="00AA0EA6"/>
    <w:rsid w:val="00AA0F59"/>
    <w:rsid w:val="00AA0F6D"/>
    <w:rsid w:val="00AA0F87"/>
    <w:rsid w:val="00AA10F4"/>
    <w:rsid w:val="00AA1401"/>
    <w:rsid w:val="00AA1545"/>
    <w:rsid w:val="00AA1563"/>
    <w:rsid w:val="00AA160C"/>
    <w:rsid w:val="00AA1786"/>
    <w:rsid w:val="00AA1799"/>
    <w:rsid w:val="00AA17B4"/>
    <w:rsid w:val="00AA19B3"/>
    <w:rsid w:val="00AA1A55"/>
    <w:rsid w:val="00AA1AEE"/>
    <w:rsid w:val="00AA1BB8"/>
    <w:rsid w:val="00AA1D5B"/>
    <w:rsid w:val="00AA1DA6"/>
    <w:rsid w:val="00AA1E2F"/>
    <w:rsid w:val="00AA1E9D"/>
    <w:rsid w:val="00AA1F1A"/>
    <w:rsid w:val="00AA1FB7"/>
    <w:rsid w:val="00AA1FBB"/>
    <w:rsid w:val="00AA1FCD"/>
    <w:rsid w:val="00AA20A8"/>
    <w:rsid w:val="00AA215D"/>
    <w:rsid w:val="00AA2421"/>
    <w:rsid w:val="00AA2445"/>
    <w:rsid w:val="00AA248D"/>
    <w:rsid w:val="00AA2585"/>
    <w:rsid w:val="00AA25C7"/>
    <w:rsid w:val="00AA262D"/>
    <w:rsid w:val="00AA2788"/>
    <w:rsid w:val="00AA279A"/>
    <w:rsid w:val="00AA27E3"/>
    <w:rsid w:val="00AA27E6"/>
    <w:rsid w:val="00AA2839"/>
    <w:rsid w:val="00AA28E0"/>
    <w:rsid w:val="00AA2951"/>
    <w:rsid w:val="00AA29A7"/>
    <w:rsid w:val="00AA2A69"/>
    <w:rsid w:val="00AA2BD3"/>
    <w:rsid w:val="00AA2CEB"/>
    <w:rsid w:val="00AA2DBD"/>
    <w:rsid w:val="00AA2ED5"/>
    <w:rsid w:val="00AA2F64"/>
    <w:rsid w:val="00AA2F96"/>
    <w:rsid w:val="00AA2F9F"/>
    <w:rsid w:val="00AA2FBD"/>
    <w:rsid w:val="00AA2FDF"/>
    <w:rsid w:val="00AA30BB"/>
    <w:rsid w:val="00AA32FD"/>
    <w:rsid w:val="00AA335F"/>
    <w:rsid w:val="00AA33D6"/>
    <w:rsid w:val="00AA33FC"/>
    <w:rsid w:val="00AA34B1"/>
    <w:rsid w:val="00AA34FF"/>
    <w:rsid w:val="00AA350F"/>
    <w:rsid w:val="00AA353C"/>
    <w:rsid w:val="00AA3569"/>
    <w:rsid w:val="00AA35C5"/>
    <w:rsid w:val="00AA37E9"/>
    <w:rsid w:val="00AA38C9"/>
    <w:rsid w:val="00AA391D"/>
    <w:rsid w:val="00AA3A23"/>
    <w:rsid w:val="00AA3B3A"/>
    <w:rsid w:val="00AA3B89"/>
    <w:rsid w:val="00AA3BC6"/>
    <w:rsid w:val="00AA3C31"/>
    <w:rsid w:val="00AA3CE6"/>
    <w:rsid w:val="00AA3E4D"/>
    <w:rsid w:val="00AA3EBB"/>
    <w:rsid w:val="00AA3F50"/>
    <w:rsid w:val="00AA408F"/>
    <w:rsid w:val="00AA4091"/>
    <w:rsid w:val="00AA40B6"/>
    <w:rsid w:val="00AA40D1"/>
    <w:rsid w:val="00AA423D"/>
    <w:rsid w:val="00AA424E"/>
    <w:rsid w:val="00AA4367"/>
    <w:rsid w:val="00AA438E"/>
    <w:rsid w:val="00AA43C2"/>
    <w:rsid w:val="00AA43FD"/>
    <w:rsid w:val="00AA44CC"/>
    <w:rsid w:val="00AA4509"/>
    <w:rsid w:val="00AA4531"/>
    <w:rsid w:val="00AA4736"/>
    <w:rsid w:val="00AA4798"/>
    <w:rsid w:val="00AA4801"/>
    <w:rsid w:val="00AA4813"/>
    <w:rsid w:val="00AA486A"/>
    <w:rsid w:val="00AA48BA"/>
    <w:rsid w:val="00AA49A3"/>
    <w:rsid w:val="00AA49D7"/>
    <w:rsid w:val="00AA4BBD"/>
    <w:rsid w:val="00AA4C23"/>
    <w:rsid w:val="00AA4C61"/>
    <w:rsid w:val="00AA4CAA"/>
    <w:rsid w:val="00AA4F50"/>
    <w:rsid w:val="00AA5191"/>
    <w:rsid w:val="00AA51CC"/>
    <w:rsid w:val="00AA5260"/>
    <w:rsid w:val="00AA532F"/>
    <w:rsid w:val="00AA5386"/>
    <w:rsid w:val="00AA53A9"/>
    <w:rsid w:val="00AA53C8"/>
    <w:rsid w:val="00AA557E"/>
    <w:rsid w:val="00AA567E"/>
    <w:rsid w:val="00AA5729"/>
    <w:rsid w:val="00AA572A"/>
    <w:rsid w:val="00AA5794"/>
    <w:rsid w:val="00AA57F8"/>
    <w:rsid w:val="00AA5876"/>
    <w:rsid w:val="00AA5879"/>
    <w:rsid w:val="00AA5971"/>
    <w:rsid w:val="00AA5A0B"/>
    <w:rsid w:val="00AA5A1F"/>
    <w:rsid w:val="00AA5B2F"/>
    <w:rsid w:val="00AA5B49"/>
    <w:rsid w:val="00AA5B5E"/>
    <w:rsid w:val="00AA5B60"/>
    <w:rsid w:val="00AA5C21"/>
    <w:rsid w:val="00AA5C69"/>
    <w:rsid w:val="00AA5C7A"/>
    <w:rsid w:val="00AA5CB9"/>
    <w:rsid w:val="00AA5DF2"/>
    <w:rsid w:val="00AA5F7A"/>
    <w:rsid w:val="00AA6185"/>
    <w:rsid w:val="00AA61C3"/>
    <w:rsid w:val="00AA6225"/>
    <w:rsid w:val="00AA62DD"/>
    <w:rsid w:val="00AA62E8"/>
    <w:rsid w:val="00AA636C"/>
    <w:rsid w:val="00AA63C1"/>
    <w:rsid w:val="00AA64D2"/>
    <w:rsid w:val="00AA6703"/>
    <w:rsid w:val="00AA6709"/>
    <w:rsid w:val="00AA686E"/>
    <w:rsid w:val="00AA68FB"/>
    <w:rsid w:val="00AA69A4"/>
    <w:rsid w:val="00AA6A5C"/>
    <w:rsid w:val="00AA6AB8"/>
    <w:rsid w:val="00AA6B5B"/>
    <w:rsid w:val="00AA6B6D"/>
    <w:rsid w:val="00AA6D0F"/>
    <w:rsid w:val="00AA6E60"/>
    <w:rsid w:val="00AA6F97"/>
    <w:rsid w:val="00AA704A"/>
    <w:rsid w:val="00AA7079"/>
    <w:rsid w:val="00AA70FE"/>
    <w:rsid w:val="00AA73A2"/>
    <w:rsid w:val="00AA73FF"/>
    <w:rsid w:val="00AA7460"/>
    <w:rsid w:val="00AA746D"/>
    <w:rsid w:val="00AA74BE"/>
    <w:rsid w:val="00AA779C"/>
    <w:rsid w:val="00AA77F1"/>
    <w:rsid w:val="00AA77F3"/>
    <w:rsid w:val="00AA7A13"/>
    <w:rsid w:val="00AA7A7B"/>
    <w:rsid w:val="00AA7AB0"/>
    <w:rsid w:val="00AA7AD9"/>
    <w:rsid w:val="00AA7B40"/>
    <w:rsid w:val="00AA7B4B"/>
    <w:rsid w:val="00AA7BE4"/>
    <w:rsid w:val="00AA7C70"/>
    <w:rsid w:val="00AA7CDC"/>
    <w:rsid w:val="00AA7D4F"/>
    <w:rsid w:val="00AA7D64"/>
    <w:rsid w:val="00AA7DF2"/>
    <w:rsid w:val="00AA7E56"/>
    <w:rsid w:val="00AA7EC1"/>
    <w:rsid w:val="00AA7F17"/>
    <w:rsid w:val="00AA7F18"/>
    <w:rsid w:val="00AA7F45"/>
    <w:rsid w:val="00AA7F61"/>
    <w:rsid w:val="00AA7F95"/>
    <w:rsid w:val="00AB009D"/>
    <w:rsid w:val="00AB02BA"/>
    <w:rsid w:val="00AB02CE"/>
    <w:rsid w:val="00AB02E9"/>
    <w:rsid w:val="00AB0514"/>
    <w:rsid w:val="00AB055F"/>
    <w:rsid w:val="00AB05CA"/>
    <w:rsid w:val="00AB05CF"/>
    <w:rsid w:val="00AB05F7"/>
    <w:rsid w:val="00AB063D"/>
    <w:rsid w:val="00AB0660"/>
    <w:rsid w:val="00AB0678"/>
    <w:rsid w:val="00AB068B"/>
    <w:rsid w:val="00AB06C3"/>
    <w:rsid w:val="00AB0710"/>
    <w:rsid w:val="00AB078D"/>
    <w:rsid w:val="00AB07BF"/>
    <w:rsid w:val="00AB08D8"/>
    <w:rsid w:val="00AB09A6"/>
    <w:rsid w:val="00AB0B2E"/>
    <w:rsid w:val="00AB0BA7"/>
    <w:rsid w:val="00AB0BB6"/>
    <w:rsid w:val="00AB0BE9"/>
    <w:rsid w:val="00AB0C65"/>
    <w:rsid w:val="00AB0C74"/>
    <w:rsid w:val="00AB0DE5"/>
    <w:rsid w:val="00AB0E59"/>
    <w:rsid w:val="00AB0E82"/>
    <w:rsid w:val="00AB0EE3"/>
    <w:rsid w:val="00AB0F8A"/>
    <w:rsid w:val="00AB1038"/>
    <w:rsid w:val="00AB1121"/>
    <w:rsid w:val="00AB1166"/>
    <w:rsid w:val="00AB1396"/>
    <w:rsid w:val="00AB13C1"/>
    <w:rsid w:val="00AB13F0"/>
    <w:rsid w:val="00AB1552"/>
    <w:rsid w:val="00AB1557"/>
    <w:rsid w:val="00AB164C"/>
    <w:rsid w:val="00AB1845"/>
    <w:rsid w:val="00AB18A5"/>
    <w:rsid w:val="00AB1AD6"/>
    <w:rsid w:val="00AB1B7A"/>
    <w:rsid w:val="00AB1B7E"/>
    <w:rsid w:val="00AB1BD0"/>
    <w:rsid w:val="00AB1C77"/>
    <w:rsid w:val="00AB1CCF"/>
    <w:rsid w:val="00AB1EC0"/>
    <w:rsid w:val="00AB213B"/>
    <w:rsid w:val="00AB2241"/>
    <w:rsid w:val="00AB224F"/>
    <w:rsid w:val="00AB2269"/>
    <w:rsid w:val="00AB2312"/>
    <w:rsid w:val="00AB23E6"/>
    <w:rsid w:val="00AB24E4"/>
    <w:rsid w:val="00AB2741"/>
    <w:rsid w:val="00AB280A"/>
    <w:rsid w:val="00AB2835"/>
    <w:rsid w:val="00AB284B"/>
    <w:rsid w:val="00AB2B3B"/>
    <w:rsid w:val="00AB2C6D"/>
    <w:rsid w:val="00AB2C79"/>
    <w:rsid w:val="00AB2D30"/>
    <w:rsid w:val="00AB2E74"/>
    <w:rsid w:val="00AB2E8E"/>
    <w:rsid w:val="00AB329F"/>
    <w:rsid w:val="00AB32C0"/>
    <w:rsid w:val="00AB3355"/>
    <w:rsid w:val="00AB3475"/>
    <w:rsid w:val="00AB3539"/>
    <w:rsid w:val="00AB36CB"/>
    <w:rsid w:val="00AB3710"/>
    <w:rsid w:val="00AB372E"/>
    <w:rsid w:val="00AB37DD"/>
    <w:rsid w:val="00AB390A"/>
    <w:rsid w:val="00AB3918"/>
    <w:rsid w:val="00AB3A7E"/>
    <w:rsid w:val="00AB3C7C"/>
    <w:rsid w:val="00AB3D53"/>
    <w:rsid w:val="00AB3DDB"/>
    <w:rsid w:val="00AB3E6C"/>
    <w:rsid w:val="00AB4022"/>
    <w:rsid w:val="00AB4131"/>
    <w:rsid w:val="00AB42E3"/>
    <w:rsid w:val="00AB430B"/>
    <w:rsid w:val="00AB434A"/>
    <w:rsid w:val="00AB4354"/>
    <w:rsid w:val="00AB4465"/>
    <w:rsid w:val="00AB4596"/>
    <w:rsid w:val="00AB46BB"/>
    <w:rsid w:val="00AB4712"/>
    <w:rsid w:val="00AB47B4"/>
    <w:rsid w:val="00AB4902"/>
    <w:rsid w:val="00AB4A43"/>
    <w:rsid w:val="00AB4A55"/>
    <w:rsid w:val="00AB4A5D"/>
    <w:rsid w:val="00AB4A8D"/>
    <w:rsid w:val="00AB4A91"/>
    <w:rsid w:val="00AB4B2E"/>
    <w:rsid w:val="00AB4CBC"/>
    <w:rsid w:val="00AB4D46"/>
    <w:rsid w:val="00AB5050"/>
    <w:rsid w:val="00AB50E7"/>
    <w:rsid w:val="00AB5254"/>
    <w:rsid w:val="00AB554E"/>
    <w:rsid w:val="00AB5552"/>
    <w:rsid w:val="00AB55C6"/>
    <w:rsid w:val="00AB5639"/>
    <w:rsid w:val="00AB56D4"/>
    <w:rsid w:val="00AB5750"/>
    <w:rsid w:val="00AB57AD"/>
    <w:rsid w:val="00AB5847"/>
    <w:rsid w:val="00AB5896"/>
    <w:rsid w:val="00AB59CA"/>
    <w:rsid w:val="00AB5A29"/>
    <w:rsid w:val="00AB5C6B"/>
    <w:rsid w:val="00AB5C9A"/>
    <w:rsid w:val="00AB5D08"/>
    <w:rsid w:val="00AB5D15"/>
    <w:rsid w:val="00AB5DCF"/>
    <w:rsid w:val="00AB5EBF"/>
    <w:rsid w:val="00AB5EE5"/>
    <w:rsid w:val="00AB5F0B"/>
    <w:rsid w:val="00AB5FB8"/>
    <w:rsid w:val="00AB5FD3"/>
    <w:rsid w:val="00AB60A6"/>
    <w:rsid w:val="00AB618D"/>
    <w:rsid w:val="00AB6298"/>
    <w:rsid w:val="00AB62B6"/>
    <w:rsid w:val="00AB6319"/>
    <w:rsid w:val="00AB6693"/>
    <w:rsid w:val="00AB6738"/>
    <w:rsid w:val="00AB6781"/>
    <w:rsid w:val="00AB683A"/>
    <w:rsid w:val="00AB68B8"/>
    <w:rsid w:val="00AB68DE"/>
    <w:rsid w:val="00AB69A7"/>
    <w:rsid w:val="00AB6B8E"/>
    <w:rsid w:val="00AB6D7C"/>
    <w:rsid w:val="00AB6E28"/>
    <w:rsid w:val="00AB6E82"/>
    <w:rsid w:val="00AB6F5E"/>
    <w:rsid w:val="00AB6FDE"/>
    <w:rsid w:val="00AB7056"/>
    <w:rsid w:val="00AB70B3"/>
    <w:rsid w:val="00AB70C0"/>
    <w:rsid w:val="00AB714D"/>
    <w:rsid w:val="00AB7226"/>
    <w:rsid w:val="00AB7234"/>
    <w:rsid w:val="00AB729E"/>
    <w:rsid w:val="00AB74F5"/>
    <w:rsid w:val="00AB755F"/>
    <w:rsid w:val="00AB759C"/>
    <w:rsid w:val="00AB75AB"/>
    <w:rsid w:val="00AB7614"/>
    <w:rsid w:val="00AB76CD"/>
    <w:rsid w:val="00AB776C"/>
    <w:rsid w:val="00AB7784"/>
    <w:rsid w:val="00AB7A3E"/>
    <w:rsid w:val="00AB7AA3"/>
    <w:rsid w:val="00AB7CA0"/>
    <w:rsid w:val="00AB7CC3"/>
    <w:rsid w:val="00AB7E9A"/>
    <w:rsid w:val="00AB7EA0"/>
    <w:rsid w:val="00AB7ECA"/>
    <w:rsid w:val="00AB7EF3"/>
    <w:rsid w:val="00AB7F54"/>
    <w:rsid w:val="00AC0006"/>
    <w:rsid w:val="00AC0155"/>
    <w:rsid w:val="00AC019A"/>
    <w:rsid w:val="00AC0264"/>
    <w:rsid w:val="00AC04A2"/>
    <w:rsid w:val="00AC057F"/>
    <w:rsid w:val="00AC05BC"/>
    <w:rsid w:val="00AC0619"/>
    <w:rsid w:val="00AC06D4"/>
    <w:rsid w:val="00AC073E"/>
    <w:rsid w:val="00AC0899"/>
    <w:rsid w:val="00AC08AB"/>
    <w:rsid w:val="00AC08AF"/>
    <w:rsid w:val="00AC08B5"/>
    <w:rsid w:val="00AC0ABE"/>
    <w:rsid w:val="00AC0C58"/>
    <w:rsid w:val="00AC0D6B"/>
    <w:rsid w:val="00AC0DAA"/>
    <w:rsid w:val="00AC0EA4"/>
    <w:rsid w:val="00AC0ED4"/>
    <w:rsid w:val="00AC0F16"/>
    <w:rsid w:val="00AC0FE1"/>
    <w:rsid w:val="00AC10EA"/>
    <w:rsid w:val="00AC113A"/>
    <w:rsid w:val="00AC1200"/>
    <w:rsid w:val="00AC1490"/>
    <w:rsid w:val="00AC151A"/>
    <w:rsid w:val="00AC1637"/>
    <w:rsid w:val="00AC1862"/>
    <w:rsid w:val="00AC18EF"/>
    <w:rsid w:val="00AC190A"/>
    <w:rsid w:val="00AC1A53"/>
    <w:rsid w:val="00AC1A69"/>
    <w:rsid w:val="00AC1AA5"/>
    <w:rsid w:val="00AC1B90"/>
    <w:rsid w:val="00AC1BB4"/>
    <w:rsid w:val="00AC1E54"/>
    <w:rsid w:val="00AC1EB0"/>
    <w:rsid w:val="00AC1ED0"/>
    <w:rsid w:val="00AC1F00"/>
    <w:rsid w:val="00AC1F64"/>
    <w:rsid w:val="00AC21B2"/>
    <w:rsid w:val="00AC244E"/>
    <w:rsid w:val="00AC2489"/>
    <w:rsid w:val="00AC2547"/>
    <w:rsid w:val="00AC26E0"/>
    <w:rsid w:val="00AC2741"/>
    <w:rsid w:val="00AC2758"/>
    <w:rsid w:val="00AC295B"/>
    <w:rsid w:val="00AC295C"/>
    <w:rsid w:val="00AC2997"/>
    <w:rsid w:val="00AC2A8E"/>
    <w:rsid w:val="00AC2D47"/>
    <w:rsid w:val="00AC2E30"/>
    <w:rsid w:val="00AC2E55"/>
    <w:rsid w:val="00AC2E5E"/>
    <w:rsid w:val="00AC2EB6"/>
    <w:rsid w:val="00AC30D1"/>
    <w:rsid w:val="00AC30D3"/>
    <w:rsid w:val="00AC310D"/>
    <w:rsid w:val="00AC31E7"/>
    <w:rsid w:val="00AC358B"/>
    <w:rsid w:val="00AC35FA"/>
    <w:rsid w:val="00AC36C4"/>
    <w:rsid w:val="00AC380A"/>
    <w:rsid w:val="00AC38DF"/>
    <w:rsid w:val="00AC39B1"/>
    <w:rsid w:val="00AC39BA"/>
    <w:rsid w:val="00AC3A6C"/>
    <w:rsid w:val="00AC3D4C"/>
    <w:rsid w:val="00AC3F07"/>
    <w:rsid w:val="00AC3FCD"/>
    <w:rsid w:val="00AC401A"/>
    <w:rsid w:val="00AC4033"/>
    <w:rsid w:val="00AC4047"/>
    <w:rsid w:val="00AC4049"/>
    <w:rsid w:val="00AC41DC"/>
    <w:rsid w:val="00AC41E7"/>
    <w:rsid w:val="00AC441D"/>
    <w:rsid w:val="00AC44B5"/>
    <w:rsid w:val="00AC459B"/>
    <w:rsid w:val="00AC45D4"/>
    <w:rsid w:val="00AC468E"/>
    <w:rsid w:val="00AC4732"/>
    <w:rsid w:val="00AC47F7"/>
    <w:rsid w:val="00AC482B"/>
    <w:rsid w:val="00AC4879"/>
    <w:rsid w:val="00AC4989"/>
    <w:rsid w:val="00AC49D4"/>
    <w:rsid w:val="00AC4AE3"/>
    <w:rsid w:val="00AC4B69"/>
    <w:rsid w:val="00AC4C9D"/>
    <w:rsid w:val="00AC4DB8"/>
    <w:rsid w:val="00AC4DCF"/>
    <w:rsid w:val="00AC4DFD"/>
    <w:rsid w:val="00AC4E13"/>
    <w:rsid w:val="00AC4E22"/>
    <w:rsid w:val="00AC4EA3"/>
    <w:rsid w:val="00AC4EDC"/>
    <w:rsid w:val="00AC4F7F"/>
    <w:rsid w:val="00AC51E3"/>
    <w:rsid w:val="00AC5475"/>
    <w:rsid w:val="00AC5586"/>
    <w:rsid w:val="00AC55A4"/>
    <w:rsid w:val="00AC560C"/>
    <w:rsid w:val="00AC56E3"/>
    <w:rsid w:val="00AC56F3"/>
    <w:rsid w:val="00AC57D0"/>
    <w:rsid w:val="00AC593B"/>
    <w:rsid w:val="00AC5A05"/>
    <w:rsid w:val="00AC5A14"/>
    <w:rsid w:val="00AC5A31"/>
    <w:rsid w:val="00AC5A39"/>
    <w:rsid w:val="00AC5A3A"/>
    <w:rsid w:val="00AC5BC1"/>
    <w:rsid w:val="00AC5DA0"/>
    <w:rsid w:val="00AC5E6F"/>
    <w:rsid w:val="00AC5EE3"/>
    <w:rsid w:val="00AC5F95"/>
    <w:rsid w:val="00AC5FED"/>
    <w:rsid w:val="00AC601B"/>
    <w:rsid w:val="00AC6090"/>
    <w:rsid w:val="00AC60AF"/>
    <w:rsid w:val="00AC61C1"/>
    <w:rsid w:val="00AC62EE"/>
    <w:rsid w:val="00AC644E"/>
    <w:rsid w:val="00AC65A7"/>
    <w:rsid w:val="00AC6613"/>
    <w:rsid w:val="00AC6698"/>
    <w:rsid w:val="00AC673C"/>
    <w:rsid w:val="00AC677D"/>
    <w:rsid w:val="00AC67DB"/>
    <w:rsid w:val="00AC690F"/>
    <w:rsid w:val="00AC692E"/>
    <w:rsid w:val="00AC6959"/>
    <w:rsid w:val="00AC6962"/>
    <w:rsid w:val="00AC698C"/>
    <w:rsid w:val="00AC6AA3"/>
    <w:rsid w:val="00AC6AB8"/>
    <w:rsid w:val="00AC6C50"/>
    <w:rsid w:val="00AC6D02"/>
    <w:rsid w:val="00AC6D58"/>
    <w:rsid w:val="00AC6D62"/>
    <w:rsid w:val="00AC6D67"/>
    <w:rsid w:val="00AC6D96"/>
    <w:rsid w:val="00AC6E68"/>
    <w:rsid w:val="00AC6ED1"/>
    <w:rsid w:val="00AC6F25"/>
    <w:rsid w:val="00AC6F70"/>
    <w:rsid w:val="00AC7114"/>
    <w:rsid w:val="00AC7145"/>
    <w:rsid w:val="00AC7210"/>
    <w:rsid w:val="00AC7279"/>
    <w:rsid w:val="00AC7333"/>
    <w:rsid w:val="00AC738D"/>
    <w:rsid w:val="00AC73DE"/>
    <w:rsid w:val="00AC7441"/>
    <w:rsid w:val="00AC74C9"/>
    <w:rsid w:val="00AC74EA"/>
    <w:rsid w:val="00AC751F"/>
    <w:rsid w:val="00AC75AF"/>
    <w:rsid w:val="00AC76B1"/>
    <w:rsid w:val="00AC7741"/>
    <w:rsid w:val="00AC785B"/>
    <w:rsid w:val="00AC78BC"/>
    <w:rsid w:val="00AC7907"/>
    <w:rsid w:val="00AC7950"/>
    <w:rsid w:val="00AC79D4"/>
    <w:rsid w:val="00AC79F4"/>
    <w:rsid w:val="00AC7C8B"/>
    <w:rsid w:val="00AC7CB8"/>
    <w:rsid w:val="00AC7E1F"/>
    <w:rsid w:val="00AC7FA8"/>
    <w:rsid w:val="00AD000D"/>
    <w:rsid w:val="00AD0030"/>
    <w:rsid w:val="00AD00B7"/>
    <w:rsid w:val="00AD00C3"/>
    <w:rsid w:val="00AD00D6"/>
    <w:rsid w:val="00AD01CB"/>
    <w:rsid w:val="00AD0202"/>
    <w:rsid w:val="00AD02FD"/>
    <w:rsid w:val="00AD031A"/>
    <w:rsid w:val="00AD034E"/>
    <w:rsid w:val="00AD04FC"/>
    <w:rsid w:val="00AD0535"/>
    <w:rsid w:val="00AD0698"/>
    <w:rsid w:val="00AD069B"/>
    <w:rsid w:val="00AD07C4"/>
    <w:rsid w:val="00AD0818"/>
    <w:rsid w:val="00AD099A"/>
    <w:rsid w:val="00AD0A95"/>
    <w:rsid w:val="00AD0A9A"/>
    <w:rsid w:val="00AD0AF6"/>
    <w:rsid w:val="00AD0BEF"/>
    <w:rsid w:val="00AD0DC8"/>
    <w:rsid w:val="00AD0F7C"/>
    <w:rsid w:val="00AD0FDA"/>
    <w:rsid w:val="00AD1047"/>
    <w:rsid w:val="00AD1048"/>
    <w:rsid w:val="00AD106E"/>
    <w:rsid w:val="00AD1118"/>
    <w:rsid w:val="00AD11F1"/>
    <w:rsid w:val="00AD1261"/>
    <w:rsid w:val="00AD12A3"/>
    <w:rsid w:val="00AD1309"/>
    <w:rsid w:val="00AD134B"/>
    <w:rsid w:val="00AD13F7"/>
    <w:rsid w:val="00AD13FC"/>
    <w:rsid w:val="00AD14B2"/>
    <w:rsid w:val="00AD1521"/>
    <w:rsid w:val="00AD15DF"/>
    <w:rsid w:val="00AD15E7"/>
    <w:rsid w:val="00AD17F7"/>
    <w:rsid w:val="00AD1930"/>
    <w:rsid w:val="00AD197F"/>
    <w:rsid w:val="00AD19BC"/>
    <w:rsid w:val="00AD19D8"/>
    <w:rsid w:val="00AD1A47"/>
    <w:rsid w:val="00AD1A4D"/>
    <w:rsid w:val="00AD1A92"/>
    <w:rsid w:val="00AD1B4C"/>
    <w:rsid w:val="00AD1B5E"/>
    <w:rsid w:val="00AD1B83"/>
    <w:rsid w:val="00AD1CA3"/>
    <w:rsid w:val="00AD1D6B"/>
    <w:rsid w:val="00AD1F46"/>
    <w:rsid w:val="00AD1F55"/>
    <w:rsid w:val="00AD1FAB"/>
    <w:rsid w:val="00AD1FFC"/>
    <w:rsid w:val="00AD2009"/>
    <w:rsid w:val="00AD2030"/>
    <w:rsid w:val="00AD2076"/>
    <w:rsid w:val="00AD20A0"/>
    <w:rsid w:val="00AD20BB"/>
    <w:rsid w:val="00AD2160"/>
    <w:rsid w:val="00AD21A9"/>
    <w:rsid w:val="00AD2245"/>
    <w:rsid w:val="00AD22DC"/>
    <w:rsid w:val="00AD2444"/>
    <w:rsid w:val="00AD2507"/>
    <w:rsid w:val="00AD27E2"/>
    <w:rsid w:val="00AD291C"/>
    <w:rsid w:val="00AD293C"/>
    <w:rsid w:val="00AD293D"/>
    <w:rsid w:val="00AD295A"/>
    <w:rsid w:val="00AD29F3"/>
    <w:rsid w:val="00AD2B8A"/>
    <w:rsid w:val="00AD2BCE"/>
    <w:rsid w:val="00AD2BD8"/>
    <w:rsid w:val="00AD2C25"/>
    <w:rsid w:val="00AD2C92"/>
    <w:rsid w:val="00AD2DA3"/>
    <w:rsid w:val="00AD2DC8"/>
    <w:rsid w:val="00AD2E72"/>
    <w:rsid w:val="00AD2F5B"/>
    <w:rsid w:val="00AD2FDA"/>
    <w:rsid w:val="00AD30D1"/>
    <w:rsid w:val="00AD3126"/>
    <w:rsid w:val="00AD347E"/>
    <w:rsid w:val="00AD35CD"/>
    <w:rsid w:val="00AD3636"/>
    <w:rsid w:val="00AD36FE"/>
    <w:rsid w:val="00AD3879"/>
    <w:rsid w:val="00AD39D3"/>
    <w:rsid w:val="00AD39DB"/>
    <w:rsid w:val="00AD3B13"/>
    <w:rsid w:val="00AD3C03"/>
    <w:rsid w:val="00AD3C50"/>
    <w:rsid w:val="00AD3CD6"/>
    <w:rsid w:val="00AD3E62"/>
    <w:rsid w:val="00AD3E7C"/>
    <w:rsid w:val="00AD4062"/>
    <w:rsid w:val="00AD4095"/>
    <w:rsid w:val="00AD40A6"/>
    <w:rsid w:val="00AD40EC"/>
    <w:rsid w:val="00AD418B"/>
    <w:rsid w:val="00AD41BA"/>
    <w:rsid w:val="00AD41E8"/>
    <w:rsid w:val="00AD4201"/>
    <w:rsid w:val="00AD42DD"/>
    <w:rsid w:val="00AD45AB"/>
    <w:rsid w:val="00AD4733"/>
    <w:rsid w:val="00AD4741"/>
    <w:rsid w:val="00AD474B"/>
    <w:rsid w:val="00AD4799"/>
    <w:rsid w:val="00AD493F"/>
    <w:rsid w:val="00AD496C"/>
    <w:rsid w:val="00AD49A7"/>
    <w:rsid w:val="00AD4A1F"/>
    <w:rsid w:val="00AD4A6A"/>
    <w:rsid w:val="00AD4AA0"/>
    <w:rsid w:val="00AD4B01"/>
    <w:rsid w:val="00AD4C15"/>
    <w:rsid w:val="00AD4E21"/>
    <w:rsid w:val="00AD4F55"/>
    <w:rsid w:val="00AD5007"/>
    <w:rsid w:val="00AD5065"/>
    <w:rsid w:val="00AD507D"/>
    <w:rsid w:val="00AD50EB"/>
    <w:rsid w:val="00AD52CD"/>
    <w:rsid w:val="00AD53AD"/>
    <w:rsid w:val="00AD5681"/>
    <w:rsid w:val="00AD574F"/>
    <w:rsid w:val="00AD5771"/>
    <w:rsid w:val="00AD57E8"/>
    <w:rsid w:val="00AD57F7"/>
    <w:rsid w:val="00AD59B1"/>
    <w:rsid w:val="00AD59C2"/>
    <w:rsid w:val="00AD59F0"/>
    <w:rsid w:val="00AD5A86"/>
    <w:rsid w:val="00AD5B0E"/>
    <w:rsid w:val="00AD5C69"/>
    <w:rsid w:val="00AD5C85"/>
    <w:rsid w:val="00AD5E60"/>
    <w:rsid w:val="00AD5E86"/>
    <w:rsid w:val="00AD5EBB"/>
    <w:rsid w:val="00AD5F3B"/>
    <w:rsid w:val="00AD5F4A"/>
    <w:rsid w:val="00AD5F58"/>
    <w:rsid w:val="00AD6132"/>
    <w:rsid w:val="00AD6180"/>
    <w:rsid w:val="00AD61D3"/>
    <w:rsid w:val="00AD625B"/>
    <w:rsid w:val="00AD63E5"/>
    <w:rsid w:val="00AD6525"/>
    <w:rsid w:val="00AD660C"/>
    <w:rsid w:val="00AD66B6"/>
    <w:rsid w:val="00AD66DB"/>
    <w:rsid w:val="00AD688C"/>
    <w:rsid w:val="00AD6A00"/>
    <w:rsid w:val="00AD6CAC"/>
    <w:rsid w:val="00AD6CC0"/>
    <w:rsid w:val="00AD6E69"/>
    <w:rsid w:val="00AD6FD9"/>
    <w:rsid w:val="00AD6FEE"/>
    <w:rsid w:val="00AD705B"/>
    <w:rsid w:val="00AD70FB"/>
    <w:rsid w:val="00AD7194"/>
    <w:rsid w:val="00AD71EA"/>
    <w:rsid w:val="00AD7276"/>
    <w:rsid w:val="00AD7283"/>
    <w:rsid w:val="00AD72ED"/>
    <w:rsid w:val="00AD73DE"/>
    <w:rsid w:val="00AD73E3"/>
    <w:rsid w:val="00AD74B2"/>
    <w:rsid w:val="00AD75A8"/>
    <w:rsid w:val="00AD75B9"/>
    <w:rsid w:val="00AD769D"/>
    <w:rsid w:val="00AD77FA"/>
    <w:rsid w:val="00AD7809"/>
    <w:rsid w:val="00AD7870"/>
    <w:rsid w:val="00AD7923"/>
    <w:rsid w:val="00AD7975"/>
    <w:rsid w:val="00AD79A6"/>
    <w:rsid w:val="00AD7AC2"/>
    <w:rsid w:val="00AD7B21"/>
    <w:rsid w:val="00AD7B7A"/>
    <w:rsid w:val="00AD7CF5"/>
    <w:rsid w:val="00AD7FD4"/>
    <w:rsid w:val="00AE0033"/>
    <w:rsid w:val="00AE003B"/>
    <w:rsid w:val="00AE0061"/>
    <w:rsid w:val="00AE0073"/>
    <w:rsid w:val="00AE007E"/>
    <w:rsid w:val="00AE00C8"/>
    <w:rsid w:val="00AE00E7"/>
    <w:rsid w:val="00AE0143"/>
    <w:rsid w:val="00AE01A8"/>
    <w:rsid w:val="00AE0345"/>
    <w:rsid w:val="00AE03E8"/>
    <w:rsid w:val="00AE05E8"/>
    <w:rsid w:val="00AE0621"/>
    <w:rsid w:val="00AE066B"/>
    <w:rsid w:val="00AE072B"/>
    <w:rsid w:val="00AE07C6"/>
    <w:rsid w:val="00AE0819"/>
    <w:rsid w:val="00AE08A1"/>
    <w:rsid w:val="00AE08EA"/>
    <w:rsid w:val="00AE0929"/>
    <w:rsid w:val="00AE0ACC"/>
    <w:rsid w:val="00AE0B91"/>
    <w:rsid w:val="00AE0C0B"/>
    <w:rsid w:val="00AE0D2A"/>
    <w:rsid w:val="00AE0EC4"/>
    <w:rsid w:val="00AE0F60"/>
    <w:rsid w:val="00AE10EB"/>
    <w:rsid w:val="00AE1130"/>
    <w:rsid w:val="00AE1250"/>
    <w:rsid w:val="00AE12DA"/>
    <w:rsid w:val="00AE1339"/>
    <w:rsid w:val="00AE1457"/>
    <w:rsid w:val="00AE14F9"/>
    <w:rsid w:val="00AE16C5"/>
    <w:rsid w:val="00AE16F1"/>
    <w:rsid w:val="00AE170F"/>
    <w:rsid w:val="00AE1754"/>
    <w:rsid w:val="00AE1825"/>
    <w:rsid w:val="00AE19B8"/>
    <w:rsid w:val="00AE1A74"/>
    <w:rsid w:val="00AE1A9B"/>
    <w:rsid w:val="00AE1AEA"/>
    <w:rsid w:val="00AE1AF3"/>
    <w:rsid w:val="00AE1B6C"/>
    <w:rsid w:val="00AE1B9D"/>
    <w:rsid w:val="00AE1C6E"/>
    <w:rsid w:val="00AE1D45"/>
    <w:rsid w:val="00AE1E3D"/>
    <w:rsid w:val="00AE1F69"/>
    <w:rsid w:val="00AE1F72"/>
    <w:rsid w:val="00AE211E"/>
    <w:rsid w:val="00AE2168"/>
    <w:rsid w:val="00AE2242"/>
    <w:rsid w:val="00AE230B"/>
    <w:rsid w:val="00AE233F"/>
    <w:rsid w:val="00AE2397"/>
    <w:rsid w:val="00AE2469"/>
    <w:rsid w:val="00AE2494"/>
    <w:rsid w:val="00AE251B"/>
    <w:rsid w:val="00AE2639"/>
    <w:rsid w:val="00AE2656"/>
    <w:rsid w:val="00AE2785"/>
    <w:rsid w:val="00AE293F"/>
    <w:rsid w:val="00AE2A3D"/>
    <w:rsid w:val="00AE2AC0"/>
    <w:rsid w:val="00AE2B5E"/>
    <w:rsid w:val="00AE2C74"/>
    <w:rsid w:val="00AE2D44"/>
    <w:rsid w:val="00AE2D7D"/>
    <w:rsid w:val="00AE2DD9"/>
    <w:rsid w:val="00AE2EA7"/>
    <w:rsid w:val="00AE2ED9"/>
    <w:rsid w:val="00AE2F5C"/>
    <w:rsid w:val="00AE3167"/>
    <w:rsid w:val="00AE31D8"/>
    <w:rsid w:val="00AE31EA"/>
    <w:rsid w:val="00AE32C3"/>
    <w:rsid w:val="00AE330A"/>
    <w:rsid w:val="00AE3492"/>
    <w:rsid w:val="00AE34FB"/>
    <w:rsid w:val="00AE35E8"/>
    <w:rsid w:val="00AE35E9"/>
    <w:rsid w:val="00AE3644"/>
    <w:rsid w:val="00AE3715"/>
    <w:rsid w:val="00AE37FD"/>
    <w:rsid w:val="00AE38F0"/>
    <w:rsid w:val="00AE3939"/>
    <w:rsid w:val="00AE39E3"/>
    <w:rsid w:val="00AE3A98"/>
    <w:rsid w:val="00AE3B29"/>
    <w:rsid w:val="00AE3C74"/>
    <w:rsid w:val="00AE3E37"/>
    <w:rsid w:val="00AE3E5B"/>
    <w:rsid w:val="00AE3F01"/>
    <w:rsid w:val="00AE409B"/>
    <w:rsid w:val="00AE40B8"/>
    <w:rsid w:val="00AE4207"/>
    <w:rsid w:val="00AE4249"/>
    <w:rsid w:val="00AE4324"/>
    <w:rsid w:val="00AE4435"/>
    <w:rsid w:val="00AE4440"/>
    <w:rsid w:val="00AE4534"/>
    <w:rsid w:val="00AE4633"/>
    <w:rsid w:val="00AE46B5"/>
    <w:rsid w:val="00AE47F1"/>
    <w:rsid w:val="00AE4855"/>
    <w:rsid w:val="00AE490A"/>
    <w:rsid w:val="00AE495A"/>
    <w:rsid w:val="00AE4A75"/>
    <w:rsid w:val="00AE4A98"/>
    <w:rsid w:val="00AE4B17"/>
    <w:rsid w:val="00AE4B82"/>
    <w:rsid w:val="00AE4BCA"/>
    <w:rsid w:val="00AE4C68"/>
    <w:rsid w:val="00AE4CAC"/>
    <w:rsid w:val="00AE4CFA"/>
    <w:rsid w:val="00AE4D56"/>
    <w:rsid w:val="00AE4DE9"/>
    <w:rsid w:val="00AE4E1F"/>
    <w:rsid w:val="00AE4E4C"/>
    <w:rsid w:val="00AE4E7C"/>
    <w:rsid w:val="00AE4F2C"/>
    <w:rsid w:val="00AE4FCD"/>
    <w:rsid w:val="00AE516D"/>
    <w:rsid w:val="00AE5258"/>
    <w:rsid w:val="00AE5403"/>
    <w:rsid w:val="00AE55C1"/>
    <w:rsid w:val="00AE562A"/>
    <w:rsid w:val="00AE565B"/>
    <w:rsid w:val="00AE56E7"/>
    <w:rsid w:val="00AE57E8"/>
    <w:rsid w:val="00AE5834"/>
    <w:rsid w:val="00AE58AB"/>
    <w:rsid w:val="00AE58DE"/>
    <w:rsid w:val="00AE58E4"/>
    <w:rsid w:val="00AE59C5"/>
    <w:rsid w:val="00AE59EC"/>
    <w:rsid w:val="00AE5A62"/>
    <w:rsid w:val="00AE5B15"/>
    <w:rsid w:val="00AE5BB2"/>
    <w:rsid w:val="00AE5C15"/>
    <w:rsid w:val="00AE5D93"/>
    <w:rsid w:val="00AE5FC9"/>
    <w:rsid w:val="00AE60A2"/>
    <w:rsid w:val="00AE60C6"/>
    <w:rsid w:val="00AE6144"/>
    <w:rsid w:val="00AE6150"/>
    <w:rsid w:val="00AE6212"/>
    <w:rsid w:val="00AE622F"/>
    <w:rsid w:val="00AE626F"/>
    <w:rsid w:val="00AE6272"/>
    <w:rsid w:val="00AE6311"/>
    <w:rsid w:val="00AE64D8"/>
    <w:rsid w:val="00AE6593"/>
    <w:rsid w:val="00AE6828"/>
    <w:rsid w:val="00AE68C8"/>
    <w:rsid w:val="00AE6998"/>
    <w:rsid w:val="00AE69CD"/>
    <w:rsid w:val="00AE6A1D"/>
    <w:rsid w:val="00AE6ABE"/>
    <w:rsid w:val="00AE6AE0"/>
    <w:rsid w:val="00AE6B46"/>
    <w:rsid w:val="00AE6B69"/>
    <w:rsid w:val="00AE6B71"/>
    <w:rsid w:val="00AE6BE0"/>
    <w:rsid w:val="00AE6CB3"/>
    <w:rsid w:val="00AE6D30"/>
    <w:rsid w:val="00AE6D38"/>
    <w:rsid w:val="00AE6D60"/>
    <w:rsid w:val="00AE6D66"/>
    <w:rsid w:val="00AE7086"/>
    <w:rsid w:val="00AE70C9"/>
    <w:rsid w:val="00AE7103"/>
    <w:rsid w:val="00AE7107"/>
    <w:rsid w:val="00AE71DF"/>
    <w:rsid w:val="00AE7281"/>
    <w:rsid w:val="00AE7329"/>
    <w:rsid w:val="00AE742B"/>
    <w:rsid w:val="00AE747F"/>
    <w:rsid w:val="00AE7508"/>
    <w:rsid w:val="00AE7526"/>
    <w:rsid w:val="00AE7589"/>
    <w:rsid w:val="00AE76B7"/>
    <w:rsid w:val="00AE76E2"/>
    <w:rsid w:val="00AE76EC"/>
    <w:rsid w:val="00AE7725"/>
    <w:rsid w:val="00AE77D7"/>
    <w:rsid w:val="00AE780D"/>
    <w:rsid w:val="00AE786C"/>
    <w:rsid w:val="00AE7889"/>
    <w:rsid w:val="00AE78A2"/>
    <w:rsid w:val="00AE79AC"/>
    <w:rsid w:val="00AE7AA1"/>
    <w:rsid w:val="00AE7B7E"/>
    <w:rsid w:val="00AE7D63"/>
    <w:rsid w:val="00AE7DEC"/>
    <w:rsid w:val="00AE7E24"/>
    <w:rsid w:val="00AE7E54"/>
    <w:rsid w:val="00AE7FF7"/>
    <w:rsid w:val="00AF00ED"/>
    <w:rsid w:val="00AF00F6"/>
    <w:rsid w:val="00AF017B"/>
    <w:rsid w:val="00AF03CD"/>
    <w:rsid w:val="00AF0407"/>
    <w:rsid w:val="00AF040D"/>
    <w:rsid w:val="00AF048D"/>
    <w:rsid w:val="00AF0610"/>
    <w:rsid w:val="00AF062D"/>
    <w:rsid w:val="00AF06A4"/>
    <w:rsid w:val="00AF06D5"/>
    <w:rsid w:val="00AF06F8"/>
    <w:rsid w:val="00AF077D"/>
    <w:rsid w:val="00AF0796"/>
    <w:rsid w:val="00AF080D"/>
    <w:rsid w:val="00AF0818"/>
    <w:rsid w:val="00AF0860"/>
    <w:rsid w:val="00AF08BF"/>
    <w:rsid w:val="00AF0A70"/>
    <w:rsid w:val="00AF0B2D"/>
    <w:rsid w:val="00AF0C69"/>
    <w:rsid w:val="00AF0CA0"/>
    <w:rsid w:val="00AF0CB4"/>
    <w:rsid w:val="00AF0D0C"/>
    <w:rsid w:val="00AF0D64"/>
    <w:rsid w:val="00AF0ED4"/>
    <w:rsid w:val="00AF0F1E"/>
    <w:rsid w:val="00AF0FBD"/>
    <w:rsid w:val="00AF0FCA"/>
    <w:rsid w:val="00AF1214"/>
    <w:rsid w:val="00AF1220"/>
    <w:rsid w:val="00AF1286"/>
    <w:rsid w:val="00AF13B6"/>
    <w:rsid w:val="00AF15E4"/>
    <w:rsid w:val="00AF16F2"/>
    <w:rsid w:val="00AF188C"/>
    <w:rsid w:val="00AF1956"/>
    <w:rsid w:val="00AF1A46"/>
    <w:rsid w:val="00AF1A98"/>
    <w:rsid w:val="00AF1C3A"/>
    <w:rsid w:val="00AF1CBA"/>
    <w:rsid w:val="00AF1F4B"/>
    <w:rsid w:val="00AF200D"/>
    <w:rsid w:val="00AF21FD"/>
    <w:rsid w:val="00AF236A"/>
    <w:rsid w:val="00AF23EB"/>
    <w:rsid w:val="00AF2423"/>
    <w:rsid w:val="00AF248C"/>
    <w:rsid w:val="00AF2494"/>
    <w:rsid w:val="00AF24AB"/>
    <w:rsid w:val="00AF24C7"/>
    <w:rsid w:val="00AF2539"/>
    <w:rsid w:val="00AF255F"/>
    <w:rsid w:val="00AF25C2"/>
    <w:rsid w:val="00AF270B"/>
    <w:rsid w:val="00AF279A"/>
    <w:rsid w:val="00AF29C7"/>
    <w:rsid w:val="00AF29D6"/>
    <w:rsid w:val="00AF2A50"/>
    <w:rsid w:val="00AF2A8F"/>
    <w:rsid w:val="00AF2AF3"/>
    <w:rsid w:val="00AF2B78"/>
    <w:rsid w:val="00AF2C9F"/>
    <w:rsid w:val="00AF2D67"/>
    <w:rsid w:val="00AF2DD1"/>
    <w:rsid w:val="00AF2EFD"/>
    <w:rsid w:val="00AF2F29"/>
    <w:rsid w:val="00AF2F50"/>
    <w:rsid w:val="00AF2F79"/>
    <w:rsid w:val="00AF30DE"/>
    <w:rsid w:val="00AF3110"/>
    <w:rsid w:val="00AF3136"/>
    <w:rsid w:val="00AF3143"/>
    <w:rsid w:val="00AF3243"/>
    <w:rsid w:val="00AF3382"/>
    <w:rsid w:val="00AF3417"/>
    <w:rsid w:val="00AF34A2"/>
    <w:rsid w:val="00AF34C8"/>
    <w:rsid w:val="00AF357B"/>
    <w:rsid w:val="00AF35BC"/>
    <w:rsid w:val="00AF36E5"/>
    <w:rsid w:val="00AF36FA"/>
    <w:rsid w:val="00AF3748"/>
    <w:rsid w:val="00AF3929"/>
    <w:rsid w:val="00AF3944"/>
    <w:rsid w:val="00AF397F"/>
    <w:rsid w:val="00AF39AB"/>
    <w:rsid w:val="00AF3AA3"/>
    <w:rsid w:val="00AF3AA4"/>
    <w:rsid w:val="00AF3BA4"/>
    <w:rsid w:val="00AF3BBF"/>
    <w:rsid w:val="00AF3C74"/>
    <w:rsid w:val="00AF3D54"/>
    <w:rsid w:val="00AF3EAC"/>
    <w:rsid w:val="00AF3FB7"/>
    <w:rsid w:val="00AF3FC5"/>
    <w:rsid w:val="00AF404F"/>
    <w:rsid w:val="00AF40F3"/>
    <w:rsid w:val="00AF41AA"/>
    <w:rsid w:val="00AF4273"/>
    <w:rsid w:val="00AF4387"/>
    <w:rsid w:val="00AF4439"/>
    <w:rsid w:val="00AF4517"/>
    <w:rsid w:val="00AF4537"/>
    <w:rsid w:val="00AF4568"/>
    <w:rsid w:val="00AF45B9"/>
    <w:rsid w:val="00AF4632"/>
    <w:rsid w:val="00AF468B"/>
    <w:rsid w:val="00AF4736"/>
    <w:rsid w:val="00AF4738"/>
    <w:rsid w:val="00AF47BD"/>
    <w:rsid w:val="00AF4848"/>
    <w:rsid w:val="00AF48C5"/>
    <w:rsid w:val="00AF497A"/>
    <w:rsid w:val="00AF4A93"/>
    <w:rsid w:val="00AF4AB7"/>
    <w:rsid w:val="00AF4BC2"/>
    <w:rsid w:val="00AF4C0C"/>
    <w:rsid w:val="00AF4CFE"/>
    <w:rsid w:val="00AF4D21"/>
    <w:rsid w:val="00AF4D33"/>
    <w:rsid w:val="00AF4D48"/>
    <w:rsid w:val="00AF4E90"/>
    <w:rsid w:val="00AF4EE4"/>
    <w:rsid w:val="00AF4F07"/>
    <w:rsid w:val="00AF4FCD"/>
    <w:rsid w:val="00AF5034"/>
    <w:rsid w:val="00AF504C"/>
    <w:rsid w:val="00AF5110"/>
    <w:rsid w:val="00AF51AB"/>
    <w:rsid w:val="00AF52B0"/>
    <w:rsid w:val="00AF546B"/>
    <w:rsid w:val="00AF547A"/>
    <w:rsid w:val="00AF5549"/>
    <w:rsid w:val="00AF558D"/>
    <w:rsid w:val="00AF55B8"/>
    <w:rsid w:val="00AF56CA"/>
    <w:rsid w:val="00AF56EE"/>
    <w:rsid w:val="00AF58BB"/>
    <w:rsid w:val="00AF5B69"/>
    <w:rsid w:val="00AF5CE3"/>
    <w:rsid w:val="00AF5EF2"/>
    <w:rsid w:val="00AF603F"/>
    <w:rsid w:val="00AF6078"/>
    <w:rsid w:val="00AF6086"/>
    <w:rsid w:val="00AF6127"/>
    <w:rsid w:val="00AF62B0"/>
    <w:rsid w:val="00AF63B8"/>
    <w:rsid w:val="00AF6516"/>
    <w:rsid w:val="00AF65E5"/>
    <w:rsid w:val="00AF6726"/>
    <w:rsid w:val="00AF6883"/>
    <w:rsid w:val="00AF696D"/>
    <w:rsid w:val="00AF69BF"/>
    <w:rsid w:val="00AF6AA5"/>
    <w:rsid w:val="00AF6BAB"/>
    <w:rsid w:val="00AF6BB6"/>
    <w:rsid w:val="00AF6C8A"/>
    <w:rsid w:val="00AF6D13"/>
    <w:rsid w:val="00AF6D7D"/>
    <w:rsid w:val="00AF6D82"/>
    <w:rsid w:val="00AF6E67"/>
    <w:rsid w:val="00AF6E96"/>
    <w:rsid w:val="00AF70D7"/>
    <w:rsid w:val="00AF7284"/>
    <w:rsid w:val="00AF72D6"/>
    <w:rsid w:val="00AF7305"/>
    <w:rsid w:val="00AF7342"/>
    <w:rsid w:val="00AF7413"/>
    <w:rsid w:val="00AF745D"/>
    <w:rsid w:val="00AF74B1"/>
    <w:rsid w:val="00AF7517"/>
    <w:rsid w:val="00AF75F8"/>
    <w:rsid w:val="00AF760A"/>
    <w:rsid w:val="00AF7726"/>
    <w:rsid w:val="00AF7780"/>
    <w:rsid w:val="00AF77F2"/>
    <w:rsid w:val="00AF78C2"/>
    <w:rsid w:val="00AF78CB"/>
    <w:rsid w:val="00AF7906"/>
    <w:rsid w:val="00AF792A"/>
    <w:rsid w:val="00AF7C76"/>
    <w:rsid w:val="00AF7D16"/>
    <w:rsid w:val="00AF7E12"/>
    <w:rsid w:val="00AF7E6F"/>
    <w:rsid w:val="00AF7F1C"/>
    <w:rsid w:val="00AF7F20"/>
    <w:rsid w:val="00AF7F69"/>
    <w:rsid w:val="00AF7F8C"/>
    <w:rsid w:val="00B001AB"/>
    <w:rsid w:val="00B00233"/>
    <w:rsid w:val="00B0024B"/>
    <w:rsid w:val="00B00321"/>
    <w:rsid w:val="00B003C6"/>
    <w:rsid w:val="00B00465"/>
    <w:rsid w:val="00B004B6"/>
    <w:rsid w:val="00B004D6"/>
    <w:rsid w:val="00B005B8"/>
    <w:rsid w:val="00B00642"/>
    <w:rsid w:val="00B0079D"/>
    <w:rsid w:val="00B007AF"/>
    <w:rsid w:val="00B00813"/>
    <w:rsid w:val="00B008BE"/>
    <w:rsid w:val="00B00A1B"/>
    <w:rsid w:val="00B00A72"/>
    <w:rsid w:val="00B00ACB"/>
    <w:rsid w:val="00B00BEE"/>
    <w:rsid w:val="00B00D77"/>
    <w:rsid w:val="00B00D84"/>
    <w:rsid w:val="00B00DD0"/>
    <w:rsid w:val="00B00E68"/>
    <w:rsid w:val="00B00EB1"/>
    <w:rsid w:val="00B00FDF"/>
    <w:rsid w:val="00B00FEA"/>
    <w:rsid w:val="00B01041"/>
    <w:rsid w:val="00B01221"/>
    <w:rsid w:val="00B012D3"/>
    <w:rsid w:val="00B01375"/>
    <w:rsid w:val="00B013E1"/>
    <w:rsid w:val="00B01492"/>
    <w:rsid w:val="00B01583"/>
    <w:rsid w:val="00B01592"/>
    <w:rsid w:val="00B016AB"/>
    <w:rsid w:val="00B017CA"/>
    <w:rsid w:val="00B017F9"/>
    <w:rsid w:val="00B0195A"/>
    <w:rsid w:val="00B01985"/>
    <w:rsid w:val="00B01989"/>
    <w:rsid w:val="00B019FE"/>
    <w:rsid w:val="00B01B06"/>
    <w:rsid w:val="00B01B5B"/>
    <w:rsid w:val="00B01BA9"/>
    <w:rsid w:val="00B01C94"/>
    <w:rsid w:val="00B01D5F"/>
    <w:rsid w:val="00B01E9D"/>
    <w:rsid w:val="00B01ECF"/>
    <w:rsid w:val="00B020D8"/>
    <w:rsid w:val="00B02163"/>
    <w:rsid w:val="00B021B7"/>
    <w:rsid w:val="00B021D1"/>
    <w:rsid w:val="00B0224F"/>
    <w:rsid w:val="00B022D7"/>
    <w:rsid w:val="00B023BE"/>
    <w:rsid w:val="00B0256F"/>
    <w:rsid w:val="00B02726"/>
    <w:rsid w:val="00B027A1"/>
    <w:rsid w:val="00B02AC0"/>
    <w:rsid w:val="00B02ACB"/>
    <w:rsid w:val="00B02ADC"/>
    <w:rsid w:val="00B02BB6"/>
    <w:rsid w:val="00B02BD9"/>
    <w:rsid w:val="00B02CE9"/>
    <w:rsid w:val="00B02CEF"/>
    <w:rsid w:val="00B02E56"/>
    <w:rsid w:val="00B02E64"/>
    <w:rsid w:val="00B02FDB"/>
    <w:rsid w:val="00B030A7"/>
    <w:rsid w:val="00B03175"/>
    <w:rsid w:val="00B031C0"/>
    <w:rsid w:val="00B031CE"/>
    <w:rsid w:val="00B034E4"/>
    <w:rsid w:val="00B0350D"/>
    <w:rsid w:val="00B035DF"/>
    <w:rsid w:val="00B0363C"/>
    <w:rsid w:val="00B037F0"/>
    <w:rsid w:val="00B03832"/>
    <w:rsid w:val="00B03950"/>
    <w:rsid w:val="00B039C2"/>
    <w:rsid w:val="00B03A8C"/>
    <w:rsid w:val="00B03ABB"/>
    <w:rsid w:val="00B03B5B"/>
    <w:rsid w:val="00B03C53"/>
    <w:rsid w:val="00B03E75"/>
    <w:rsid w:val="00B03ED8"/>
    <w:rsid w:val="00B0400D"/>
    <w:rsid w:val="00B04012"/>
    <w:rsid w:val="00B0410F"/>
    <w:rsid w:val="00B0415D"/>
    <w:rsid w:val="00B0417A"/>
    <w:rsid w:val="00B041AF"/>
    <w:rsid w:val="00B041B1"/>
    <w:rsid w:val="00B042A4"/>
    <w:rsid w:val="00B04302"/>
    <w:rsid w:val="00B0435E"/>
    <w:rsid w:val="00B0441B"/>
    <w:rsid w:val="00B048A2"/>
    <w:rsid w:val="00B04967"/>
    <w:rsid w:val="00B0498F"/>
    <w:rsid w:val="00B04998"/>
    <w:rsid w:val="00B049BE"/>
    <w:rsid w:val="00B04C33"/>
    <w:rsid w:val="00B04C9A"/>
    <w:rsid w:val="00B04CF6"/>
    <w:rsid w:val="00B04E47"/>
    <w:rsid w:val="00B04E6F"/>
    <w:rsid w:val="00B04EDE"/>
    <w:rsid w:val="00B05079"/>
    <w:rsid w:val="00B050CE"/>
    <w:rsid w:val="00B051D8"/>
    <w:rsid w:val="00B05251"/>
    <w:rsid w:val="00B05324"/>
    <w:rsid w:val="00B05329"/>
    <w:rsid w:val="00B0562A"/>
    <w:rsid w:val="00B05667"/>
    <w:rsid w:val="00B05768"/>
    <w:rsid w:val="00B057D7"/>
    <w:rsid w:val="00B05805"/>
    <w:rsid w:val="00B0591C"/>
    <w:rsid w:val="00B059C8"/>
    <w:rsid w:val="00B059FE"/>
    <w:rsid w:val="00B05A03"/>
    <w:rsid w:val="00B05A80"/>
    <w:rsid w:val="00B05B43"/>
    <w:rsid w:val="00B05B9B"/>
    <w:rsid w:val="00B05CA8"/>
    <w:rsid w:val="00B05CF2"/>
    <w:rsid w:val="00B05D3D"/>
    <w:rsid w:val="00B05F65"/>
    <w:rsid w:val="00B060B7"/>
    <w:rsid w:val="00B06283"/>
    <w:rsid w:val="00B0636D"/>
    <w:rsid w:val="00B065DD"/>
    <w:rsid w:val="00B065E4"/>
    <w:rsid w:val="00B066C5"/>
    <w:rsid w:val="00B066C9"/>
    <w:rsid w:val="00B066D9"/>
    <w:rsid w:val="00B06735"/>
    <w:rsid w:val="00B0677B"/>
    <w:rsid w:val="00B06903"/>
    <w:rsid w:val="00B0695C"/>
    <w:rsid w:val="00B06B6A"/>
    <w:rsid w:val="00B06B87"/>
    <w:rsid w:val="00B06B8F"/>
    <w:rsid w:val="00B06BAD"/>
    <w:rsid w:val="00B06D85"/>
    <w:rsid w:val="00B06E42"/>
    <w:rsid w:val="00B06EBB"/>
    <w:rsid w:val="00B06EFC"/>
    <w:rsid w:val="00B0713A"/>
    <w:rsid w:val="00B07154"/>
    <w:rsid w:val="00B071EB"/>
    <w:rsid w:val="00B07226"/>
    <w:rsid w:val="00B074D1"/>
    <w:rsid w:val="00B07522"/>
    <w:rsid w:val="00B07526"/>
    <w:rsid w:val="00B07536"/>
    <w:rsid w:val="00B07541"/>
    <w:rsid w:val="00B0767E"/>
    <w:rsid w:val="00B07689"/>
    <w:rsid w:val="00B0768B"/>
    <w:rsid w:val="00B0787D"/>
    <w:rsid w:val="00B0788F"/>
    <w:rsid w:val="00B07907"/>
    <w:rsid w:val="00B07938"/>
    <w:rsid w:val="00B0796C"/>
    <w:rsid w:val="00B079B3"/>
    <w:rsid w:val="00B07BAC"/>
    <w:rsid w:val="00B100FD"/>
    <w:rsid w:val="00B1014B"/>
    <w:rsid w:val="00B10262"/>
    <w:rsid w:val="00B10354"/>
    <w:rsid w:val="00B103DC"/>
    <w:rsid w:val="00B1043C"/>
    <w:rsid w:val="00B10457"/>
    <w:rsid w:val="00B105FD"/>
    <w:rsid w:val="00B10738"/>
    <w:rsid w:val="00B1075B"/>
    <w:rsid w:val="00B10903"/>
    <w:rsid w:val="00B1091D"/>
    <w:rsid w:val="00B1099D"/>
    <w:rsid w:val="00B10ABC"/>
    <w:rsid w:val="00B10CC5"/>
    <w:rsid w:val="00B10CC8"/>
    <w:rsid w:val="00B10E2E"/>
    <w:rsid w:val="00B1104F"/>
    <w:rsid w:val="00B1113B"/>
    <w:rsid w:val="00B1118B"/>
    <w:rsid w:val="00B111A4"/>
    <w:rsid w:val="00B111C9"/>
    <w:rsid w:val="00B111CD"/>
    <w:rsid w:val="00B1121F"/>
    <w:rsid w:val="00B11240"/>
    <w:rsid w:val="00B1131B"/>
    <w:rsid w:val="00B11374"/>
    <w:rsid w:val="00B11379"/>
    <w:rsid w:val="00B11434"/>
    <w:rsid w:val="00B1150A"/>
    <w:rsid w:val="00B11580"/>
    <w:rsid w:val="00B1164B"/>
    <w:rsid w:val="00B1166E"/>
    <w:rsid w:val="00B116EE"/>
    <w:rsid w:val="00B11722"/>
    <w:rsid w:val="00B11775"/>
    <w:rsid w:val="00B1178C"/>
    <w:rsid w:val="00B1190C"/>
    <w:rsid w:val="00B11A8E"/>
    <w:rsid w:val="00B11ADA"/>
    <w:rsid w:val="00B11B03"/>
    <w:rsid w:val="00B11DF6"/>
    <w:rsid w:val="00B11E8C"/>
    <w:rsid w:val="00B11F3C"/>
    <w:rsid w:val="00B12118"/>
    <w:rsid w:val="00B12119"/>
    <w:rsid w:val="00B12131"/>
    <w:rsid w:val="00B12185"/>
    <w:rsid w:val="00B123AC"/>
    <w:rsid w:val="00B123E3"/>
    <w:rsid w:val="00B12408"/>
    <w:rsid w:val="00B12523"/>
    <w:rsid w:val="00B1253E"/>
    <w:rsid w:val="00B12642"/>
    <w:rsid w:val="00B12709"/>
    <w:rsid w:val="00B1274E"/>
    <w:rsid w:val="00B12754"/>
    <w:rsid w:val="00B127B3"/>
    <w:rsid w:val="00B12912"/>
    <w:rsid w:val="00B12A43"/>
    <w:rsid w:val="00B12AB3"/>
    <w:rsid w:val="00B12AEF"/>
    <w:rsid w:val="00B12B68"/>
    <w:rsid w:val="00B12C21"/>
    <w:rsid w:val="00B12C57"/>
    <w:rsid w:val="00B12DA4"/>
    <w:rsid w:val="00B12DD4"/>
    <w:rsid w:val="00B12F46"/>
    <w:rsid w:val="00B12F47"/>
    <w:rsid w:val="00B13385"/>
    <w:rsid w:val="00B1348B"/>
    <w:rsid w:val="00B13524"/>
    <w:rsid w:val="00B1357B"/>
    <w:rsid w:val="00B135A4"/>
    <w:rsid w:val="00B13666"/>
    <w:rsid w:val="00B1366B"/>
    <w:rsid w:val="00B1372F"/>
    <w:rsid w:val="00B13848"/>
    <w:rsid w:val="00B138FA"/>
    <w:rsid w:val="00B139AA"/>
    <w:rsid w:val="00B13A81"/>
    <w:rsid w:val="00B13AC7"/>
    <w:rsid w:val="00B13AEF"/>
    <w:rsid w:val="00B13B52"/>
    <w:rsid w:val="00B13BFB"/>
    <w:rsid w:val="00B13BFF"/>
    <w:rsid w:val="00B13D48"/>
    <w:rsid w:val="00B13E4D"/>
    <w:rsid w:val="00B13E6D"/>
    <w:rsid w:val="00B13F2D"/>
    <w:rsid w:val="00B13F40"/>
    <w:rsid w:val="00B13FCA"/>
    <w:rsid w:val="00B14029"/>
    <w:rsid w:val="00B1403A"/>
    <w:rsid w:val="00B1403F"/>
    <w:rsid w:val="00B1405C"/>
    <w:rsid w:val="00B1419C"/>
    <w:rsid w:val="00B14293"/>
    <w:rsid w:val="00B142BF"/>
    <w:rsid w:val="00B143A7"/>
    <w:rsid w:val="00B14420"/>
    <w:rsid w:val="00B14522"/>
    <w:rsid w:val="00B14524"/>
    <w:rsid w:val="00B146EC"/>
    <w:rsid w:val="00B14760"/>
    <w:rsid w:val="00B14761"/>
    <w:rsid w:val="00B147BD"/>
    <w:rsid w:val="00B147D6"/>
    <w:rsid w:val="00B148E8"/>
    <w:rsid w:val="00B14925"/>
    <w:rsid w:val="00B14934"/>
    <w:rsid w:val="00B149CC"/>
    <w:rsid w:val="00B14A78"/>
    <w:rsid w:val="00B14ABE"/>
    <w:rsid w:val="00B14B3E"/>
    <w:rsid w:val="00B14B4A"/>
    <w:rsid w:val="00B14B90"/>
    <w:rsid w:val="00B14C91"/>
    <w:rsid w:val="00B14CAD"/>
    <w:rsid w:val="00B14CB4"/>
    <w:rsid w:val="00B14E87"/>
    <w:rsid w:val="00B14E93"/>
    <w:rsid w:val="00B14F4B"/>
    <w:rsid w:val="00B1500F"/>
    <w:rsid w:val="00B15020"/>
    <w:rsid w:val="00B151FC"/>
    <w:rsid w:val="00B153DE"/>
    <w:rsid w:val="00B154F0"/>
    <w:rsid w:val="00B15571"/>
    <w:rsid w:val="00B15598"/>
    <w:rsid w:val="00B155A7"/>
    <w:rsid w:val="00B155FF"/>
    <w:rsid w:val="00B156B1"/>
    <w:rsid w:val="00B15759"/>
    <w:rsid w:val="00B158C7"/>
    <w:rsid w:val="00B15928"/>
    <w:rsid w:val="00B159A9"/>
    <w:rsid w:val="00B15AB5"/>
    <w:rsid w:val="00B15C87"/>
    <w:rsid w:val="00B15D37"/>
    <w:rsid w:val="00B15D43"/>
    <w:rsid w:val="00B15D61"/>
    <w:rsid w:val="00B15D6C"/>
    <w:rsid w:val="00B15E00"/>
    <w:rsid w:val="00B15EBE"/>
    <w:rsid w:val="00B16051"/>
    <w:rsid w:val="00B1605B"/>
    <w:rsid w:val="00B160CE"/>
    <w:rsid w:val="00B16155"/>
    <w:rsid w:val="00B16171"/>
    <w:rsid w:val="00B161A4"/>
    <w:rsid w:val="00B161EB"/>
    <w:rsid w:val="00B162BB"/>
    <w:rsid w:val="00B162CE"/>
    <w:rsid w:val="00B16422"/>
    <w:rsid w:val="00B1648E"/>
    <w:rsid w:val="00B16557"/>
    <w:rsid w:val="00B165D3"/>
    <w:rsid w:val="00B16620"/>
    <w:rsid w:val="00B16712"/>
    <w:rsid w:val="00B16840"/>
    <w:rsid w:val="00B16949"/>
    <w:rsid w:val="00B169A3"/>
    <w:rsid w:val="00B16A89"/>
    <w:rsid w:val="00B16B25"/>
    <w:rsid w:val="00B16B9B"/>
    <w:rsid w:val="00B16BA0"/>
    <w:rsid w:val="00B16DD4"/>
    <w:rsid w:val="00B16FFC"/>
    <w:rsid w:val="00B1718C"/>
    <w:rsid w:val="00B1743E"/>
    <w:rsid w:val="00B17464"/>
    <w:rsid w:val="00B1765F"/>
    <w:rsid w:val="00B176B7"/>
    <w:rsid w:val="00B177EA"/>
    <w:rsid w:val="00B1780C"/>
    <w:rsid w:val="00B17936"/>
    <w:rsid w:val="00B17A0B"/>
    <w:rsid w:val="00B17B68"/>
    <w:rsid w:val="00B17B85"/>
    <w:rsid w:val="00B17C98"/>
    <w:rsid w:val="00B17CA3"/>
    <w:rsid w:val="00B17CCE"/>
    <w:rsid w:val="00B17D56"/>
    <w:rsid w:val="00B17DA0"/>
    <w:rsid w:val="00B17DA7"/>
    <w:rsid w:val="00B17DBA"/>
    <w:rsid w:val="00B17FA2"/>
    <w:rsid w:val="00B17FE6"/>
    <w:rsid w:val="00B2002B"/>
    <w:rsid w:val="00B2014F"/>
    <w:rsid w:val="00B2017F"/>
    <w:rsid w:val="00B201A9"/>
    <w:rsid w:val="00B201EA"/>
    <w:rsid w:val="00B201EF"/>
    <w:rsid w:val="00B202AB"/>
    <w:rsid w:val="00B20440"/>
    <w:rsid w:val="00B2044F"/>
    <w:rsid w:val="00B20463"/>
    <w:rsid w:val="00B205D6"/>
    <w:rsid w:val="00B20681"/>
    <w:rsid w:val="00B20691"/>
    <w:rsid w:val="00B20719"/>
    <w:rsid w:val="00B207AB"/>
    <w:rsid w:val="00B20872"/>
    <w:rsid w:val="00B208BA"/>
    <w:rsid w:val="00B2091D"/>
    <w:rsid w:val="00B20A83"/>
    <w:rsid w:val="00B20B01"/>
    <w:rsid w:val="00B20B13"/>
    <w:rsid w:val="00B20B89"/>
    <w:rsid w:val="00B20CF2"/>
    <w:rsid w:val="00B20DA3"/>
    <w:rsid w:val="00B20DAB"/>
    <w:rsid w:val="00B20F3E"/>
    <w:rsid w:val="00B210EE"/>
    <w:rsid w:val="00B210F5"/>
    <w:rsid w:val="00B211A6"/>
    <w:rsid w:val="00B2136A"/>
    <w:rsid w:val="00B213C9"/>
    <w:rsid w:val="00B213E4"/>
    <w:rsid w:val="00B21540"/>
    <w:rsid w:val="00B215D5"/>
    <w:rsid w:val="00B216AF"/>
    <w:rsid w:val="00B2179C"/>
    <w:rsid w:val="00B2186D"/>
    <w:rsid w:val="00B21904"/>
    <w:rsid w:val="00B219FA"/>
    <w:rsid w:val="00B21A19"/>
    <w:rsid w:val="00B21B62"/>
    <w:rsid w:val="00B21D2C"/>
    <w:rsid w:val="00B21DD4"/>
    <w:rsid w:val="00B21E1E"/>
    <w:rsid w:val="00B21F08"/>
    <w:rsid w:val="00B21F9B"/>
    <w:rsid w:val="00B21FEC"/>
    <w:rsid w:val="00B220B5"/>
    <w:rsid w:val="00B2227E"/>
    <w:rsid w:val="00B222B6"/>
    <w:rsid w:val="00B22553"/>
    <w:rsid w:val="00B225FE"/>
    <w:rsid w:val="00B2261E"/>
    <w:rsid w:val="00B226B5"/>
    <w:rsid w:val="00B22784"/>
    <w:rsid w:val="00B228D1"/>
    <w:rsid w:val="00B22953"/>
    <w:rsid w:val="00B22A76"/>
    <w:rsid w:val="00B22B09"/>
    <w:rsid w:val="00B22D39"/>
    <w:rsid w:val="00B22D56"/>
    <w:rsid w:val="00B22D7B"/>
    <w:rsid w:val="00B22D98"/>
    <w:rsid w:val="00B22DA9"/>
    <w:rsid w:val="00B22EC7"/>
    <w:rsid w:val="00B22F05"/>
    <w:rsid w:val="00B23101"/>
    <w:rsid w:val="00B23143"/>
    <w:rsid w:val="00B23156"/>
    <w:rsid w:val="00B231CB"/>
    <w:rsid w:val="00B231F7"/>
    <w:rsid w:val="00B23351"/>
    <w:rsid w:val="00B23641"/>
    <w:rsid w:val="00B236C6"/>
    <w:rsid w:val="00B23810"/>
    <w:rsid w:val="00B23834"/>
    <w:rsid w:val="00B238BC"/>
    <w:rsid w:val="00B238E0"/>
    <w:rsid w:val="00B2396C"/>
    <w:rsid w:val="00B2397E"/>
    <w:rsid w:val="00B239B0"/>
    <w:rsid w:val="00B239B4"/>
    <w:rsid w:val="00B23A02"/>
    <w:rsid w:val="00B23A7C"/>
    <w:rsid w:val="00B23B49"/>
    <w:rsid w:val="00B23DEB"/>
    <w:rsid w:val="00B23F1F"/>
    <w:rsid w:val="00B23F40"/>
    <w:rsid w:val="00B23FDE"/>
    <w:rsid w:val="00B240FB"/>
    <w:rsid w:val="00B24173"/>
    <w:rsid w:val="00B242C1"/>
    <w:rsid w:val="00B242F3"/>
    <w:rsid w:val="00B24312"/>
    <w:rsid w:val="00B2431A"/>
    <w:rsid w:val="00B24391"/>
    <w:rsid w:val="00B244FD"/>
    <w:rsid w:val="00B24520"/>
    <w:rsid w:val="00B2467A"/>
    <w:rsid w:val="00B246B9"/>
    <w:rsid w:val="00B246D8"/>
    <w:rsid w:val="00B247DC"/>
    <w:rsid w:val="00B24886"/>
    <w:rsid w:val="00B248CF"/>
    <w:rsid w:val="00B248ED"/>
    <w:rsid w:val="00B2495B"/>
    <w:rsid w:val="00B249A8"/>
    <w:rsid w:val="00B24A5F"/>
    <w:rsid w:val="00B24A6A"/>
    <w:rsid w:val="00B24AA8"/>
    <w:rsid w:val="00B24B57"/>
    <w:rsid w:val="00B24BD5"/>
    <w:rsid w:val="00B24BE0"/>
    <w:rsid w:val="00B24C3A"/>
    <w:rsid w:val="00B24CB2"/>
    <w:rsid w:val="00B24E04"/>
    <w:rsid w:val="00B24ED4"/>
    <w:rsid w:val="00B24F56"/>
    <w:rsid w:val="00B24F5A"/>
    <w:rsid w:val="00B2506A"/>
    <w:rsid w:val="00B25130"/>
    <w:rsid w:val="00B2514E"/>
    <w:rsid w:val="00B25219"/>
    <w:rsid w:val="00B25231"/>
    <w:rsid w:val="00B2527C"/>
    <w:rsid w:val="00B2536F"/>
    <w:rsid w:val="00B2537C"/>
    <w:rsid w:val="00B25681"/>
    <w:rsid w:val="00B256AD"/>
    <w:rsid w:val="00B257E7"/>
    <w:rsid w:val="00B25905"/>
    <w:rsid w:val="00B25A6C"/>
    <w:rsid w:val="00B25B00"/>
    <w:rsid w:val="00B25B96"/>
    <w:rsid w:val="00B25C43"/>
    <w:rsid w:val="00B25C69"/>
    <w:rsid w:val="00B25C75"/>
    <w:rsid w:val="00B25CEB"/>
    <w:rsid w:val="00B25D6F"/>
    <w:rsid w:val="00B25E99"/>
    <w:rsid w:val="00B25EAC"/>
    <w:rsid w:val="00B25EB1"/>
    <w:rsid w:val="00B25FF4"/>
    <w:rsid w:val="00B26005"/>
    <w:rsid w:val="00B2607D"/>
    <w:rsid w:val="00B26144"/>
    <w:rsid w:val="00B26153"/>
    <w:rsid w:val="00B261A8"/>
    <w:rsid w:val="00B261B6"/>
    <w:rsid w:val="00B26270"/>
    <w:rsid w:val="00B2633B"/>
    <w:rsid w:val="00B264E0"/>
    <w:rsid w:val="00B264FE"/>
    <w:rsid w:val="00B2672C"/>
    <w:rsid w:val="00B26769"/>
    <w:rsid w:val="00B26836"/>
    <w:rsid w:val="00B2683D"/>
    <w:rsid w:val="00B2687B"/>
    <w:rsid w:val="00B26889"/>
    <w:rsid w:val="00B26924"/>
    <w:rsid w:val="00B26A65"/>
    <w:rsid w:val="00B26AA9"/>
    <w:rsid w:val="00B26AD2"/>
    <w:rsid w:val="00B26C48"/>
    <w:rsid w:val="00B26C61"/>
    <w:rsid w:val="00B26D91"/>
    <w:rsid w:val="00B26E5B"/>
    <w:rsid w:val="00B26FB9"/>
    <w:rsid w:val="00B271E1"/>
    <w:rsid w:val="00B27209"/>
    <w:rsid w:val="00B27260"/>
    <w:rsid w:val="00B272D8"/>
    <w:rsid w:val="00B2747E"/>
    <w:rsid w:val="00B274BE"/>
    <w:rsid w:val="00B274DE"/>
    <w:rsid w:val="00B275F8"/>
    <w:rsid w:val="00B27649"/>
    <w:rsid w:val="00B276DE"/>
    <w:rsid w:val="00B27741"/>
    <w:rsid w:val="00B2787D"/>
    <w:rsid w:val="00B27884"/>
    <w:rsid w:val="00B278BB"/>
    <w:rsid w:val="00B278CD"/>
    <w:rsid w:val="00B27903"/>
    <w:rsid w:val="00B27955"/>
    <w:rsid w:val="00B27970"/>
    <w:rsid w:val="00B2798B"/>
    <w:rsid w:val="00B27A2C"/>
    <w:rsid w:val="00B27AFA"/>
    <w:rsid w:val="00B27B3B"/>
    <w:rsid w:val="00B27B67"/>
    <w:rsid w:val="00B27B7B"/>
    <w:rsid w:val="00B27CAD"/>
    <w:rsid w:val="00B27DE1"/>
    <w:rsid w:val="00B27E98"/>
    <w:rsid w:val="00B27E9C"/>
    <w:rsid w:val="00B27F05"/>
    <w:rsid w:val="00B27F83"/>
    <w:rsid w:val="00B300ED"/>
    <w:rsid w:val="00B30184"/>
    <w:rsid w:val="00B3025B"/>
    <w:rsid w:val="00B30398"/>
    <w:rsid w:val="00B303C7"/>
    <w:rsid w:val="00B30465"/>
    <w:rsid w:val="00B304F8"/>
    <w:rsid w:val="00B30523"/>
    <w:rsid w:val="00B3052E"/>
    <w:rsid w:val="00B305B5"/>
    <w:rsid w:val="00B30708"/>
    <w:rsid w:val="00B30727"/>
    <w:rsid w:val="00B30770"/>
    <w:rsid w:val="00B3085D"/>
    <w:rsid w:val="00B308B3"/>
    <w:rsid w:val="00B30914"/>
    <w:rsid w:val="00B309C2"/>
    <w:rsid w:val="00B30A49"/>
    <w:rsid w:val="00B30B10"/>
    <w:rsid w:val="00B30B88"/>
    <w:rsid w:val="00B30B90"/>
    <w:rsid w:val="00B30BE1"/>
    <w:rsid w:val="00B30C96"/>
    <w:rsid w:val="00B30CC0"/>
    <w:rsid w:val="00B30CFE"/>
    <w:rsid w:val="00B30D7D"/>
    <w:rsid w:val="00B30DC4"/>
    <w:rsid w:val="00B30EA4"/>
    <w:rsid w:val="00B30FA0"/>
    <w:rsid w:val="00B30FA4"/>
    <w:rsid w:val="00B30FAA"/>
    <w:rsid w:val="00B3100F"/>
    <w:rsid w:val="00B310B7"/>
    <w:rsid w:val="00B3114A"/>
    <w:rsid w:val="00B312F2"/>
    <w:rsid w:val="00B3139B"/>
    <w:rsid w:val="00B313ED"/>
    <w:rsid w:val="00B31464"/>
    <w:rsid w:val="00B31509"/>
    <w:rsid w:val="00B31525"/>
    <w:rsid w:val="00B31567"/>
    <w:rsid w:val="00B3157F"/>
    <w:rsid w:val="00B317BB"/>
    <w:rsid w:val="00B317D0"/>
    <w:rsid w:val="00B3183D"/>
    <w:rsid w:val="00B31888"/>
    <w:rsid w:val="00B31943"/>
    <w:rsid w:val="00B319D6"/>
    <w:rsid w:val="00B31B4A"/>
    <w:rsid w:val="00B31B69"/>
    <w:rsid w:val="00B31B70"/>
    <w:rsid w:val="00B31BB9"/>
    <w:rsid w:val="00B31BBF"/>
    <w:rsid w:val="00B31C36"/>
    <w:rsid w:val="00B31C4A"/>
    <w:rsid w:val="00B31C68"/>
    <w:rsid w:val="00B31CFF"/>
    <w:rsid w:val="00B31DA8"/>
    <w:rsid w:val="00B31E22"/>
    <w:rsid w:val="00B31E32"/>
    <w:rsid w:val="00B31F5D"/>
    <w:rsid w:val="00B3213D"/>
    <w:rsid w:val="00B3217A"/>
    <w:rsid w:val="00B3233E"/>
    <w:rsid w:val="00B3255E"/>
    <w:rsid w:val="00B32642"/>
    <w:rsid w:val="00B3287B"/>
    <w:rsid w:val="00B329E4"/>
    <w:rsid w:val="00B32A4A"/>
    <w:rsid w:val="00B32AD4"/>
    <w:rsid w:val="00B32C33"/>
    <w:rsid w:val="00B32CBD"/>
    <w:rsid w:val="00B32CDF"/>
    <w:rsid w:val="00B33062"/>
    <w:rsid w:val="00B33285"/>
    <w:rsid w:val="00B33391"/>
    <w:rsid w:val="00B3343D"/>
    <w:rsid w:val="00B33483"/>
    <w:rsid w:val="00B33598"/>
    <w:rsid w:val="00B335AC"/>
    <w:rsid w:val="00B335D1"/>
    <w:rsid w:val="00B336AD"/>
    <w:rsid w:val="00B33702"/>
    <w:rsid w:val="00B3375C"/>
    <w:rsid w:val="00B33827"/>
    <w:rsid w:val="00B338AB"/>
    <w:rsid w:val="00B338E0"/>
    <w:rsid w:val="00B33A19"/>
    <w:rsid w:val="00B33B60"/>
    <w:rsid w:val="00B33BB1"/>
    <w:rsid w:val="00B33CEF"/>
    <w:rsid w:val="00B33DD9"/>
    <w:rsid w:val="00B33E0E"/>
    <w:rsid w:val="00B33E1A"/>
    <w:rsid w:val="00B33EB1"/>
    <w:rsid w:val="00B33ED1"/>
    <w:rsid w:val="00B33EEF"/>
    <w:rsid w:val="00B33F31"/>
    <w:rsid w:val="00B340C0"/>
    <w:rsid w:val="00B340F6"/>
    <w:rsid w:val="00B34107"/>
    <w:rsid w:val="00B341DA"/>
    <w:rsid w:val="00B3425B"/>
    <w:rsid w:val="00B34265"/>
    <w:rsid w:val="00B342D9"/>
    <w:rsid w:val="00B343BD"/>
    <w:rsid w:val="00B343EC"/>
    <w:rsid w:val="00B3453C"/>
    <w:rsid w:val="00B34563"/>
    <w:rsid w:val="00B34737"/>
    <w:rsid w:val="00B347B4"/>
    <w:rsid w:val="00B349DD"/>
    <w:rsid w:val="00B34A68"/>
    <w:rsid w:val="00B34A87"/>
    <w:rsid w:val="00B34B05"/>
    <w:rsid w:val="00B34B7D"/>
    <w:rsid w:val="00B34BA6"/>
    <w:rsid w:val="00B34C0F"/>
    <w:rsid w:val="00B34DAD"/>
    <w:rsid w:val="00B34E04"/>
    <w:rsid w:val="00B34E4E"/>
    <w:rsid w:val="00B34FBF"/>
    <w:rsid w:val="00B352C8"/>
    <w:rsid w:val="00B3534A"/>
    <w:rsid w:val="00B354F0"/>
    <w:rsid w:val="00B35537"/>
    <w:rsid w:val="00B355CF"/>
    <w:rsid w:val="00B35726"/>
    <w:rsid w:val="00B3588E"/>
    <w:rsid w:val="00B35A9A"/>
    <w:rsid w:val="00B35B1D"/>
    <w:rsid w:val="00B35BDF"/>
    <w:rsid w:val="00B35D25"/>
    <w:rsid w:val="00B35D6F"/>
    <w:rsid w:val="00B35F1B"/>
    <w:rsid w:val="00B36164"/>
    <w:rsid w:val="00B36252"/>
    <w:rsid w:val="00B36266"/>
    <w:rsid w:val="00B363A6"/>
    <w:rsid w:val="00B36471"/>
    <w:rsid w:val="00B36570"/>
    <w:rsid w:val="00B36574"/>
    <w:rsid w:val="00B365A5"/>
    <w:rsid w:val="00B36679"/>
    <w:rsid w:val="00B36874"/>
    <w:rsid w:val="00B368A6"/>
    <w:rsid w:val="00B36A29"/>
    <w:rsid w:val="00B36B6F"/>
    <w:rsid w:val="00B36C5B"/>
    <w:rsid w:val="00B36D98"/>
    <w:rsid w:val="00B36DD6"/>
    <w:rsid w:val="00B36E71"/>
    <w:rsid w:val="00B3716B"/>
    <w:rsid w:val="00B371D5"/>
    <w:rsid w:val="00B371DE"/>
    <w:rsid w:val="00B3725D"/>
    <w:rsid w:val="00B37270"/>
    <w:rsid w:val="00B372B4"/>
    <w:rsid w:val="00B37407"/>
    <w:rsid w:val="00B37415"/>
    <w:rsid w:val="00B374E6"/>
    <w:rsid w:val="00B37555"/>
    <w:rsid w:val="00B376A8"/>
    <w:rsid w:val="00B376F8"/>
    <w:rsid w:val="00B37747"/>
    <w:rsid w:val="00B377AC"/>
    <w:rsid w:val="00B3780A"/>
    <w:rsid w:val="00B379FA"/>
    <w:rsid w:val="00B37AD1"/>
    <w:rsid w:val="00B37B86"/>
    <w:rsid w:val="00B37BD0"/>
    <w:rsid w:val="00B37C41"/>
    <w:rsid w:val="00B37C65"/>
    <w:rsid w:val="00B37DDD"/>
    <w:rsid w:val="00B37E28"/>
    <w:rsid w:val="00B4006D"/>
    <w:rsid w:val="00B4027A"/>
    <w:rsid w:val="00B40392"/>
    <w:rsid w:val="00B403F4"/>
    <w:rsid w:val="00B40542"/>
    <w:rsid w:val="00B406AA"/>
    <w:rsid w:val="00B406E5"/>
    <w:rsid w:val="00B40749"/>
    <w:rsid w:val="00B40801"/>
    <w:rsid w:val="00B40831"/>
    <w:rsid w:val="00B40853"/>
    <w:rsid w:val="00B4091A"/>
    <w:rsid w:val="00B409DE"/>
    <w:rsid w:val="00B40A44"/>
    <w:rsid w:val="00B40A65"/>
    <w:rsid w:val="00B40A7A"/>
    <w:rsid w:val="00B40B53"/>
    <w:rsid w:val="00B40B88"/>
    <w:rsid w:val="00B40B99"/>
    <w:rsid w:val="00B40CC5"/>
    <w:rsid w:val="00B40CF2"/>
    <w:rsid w:val="00B40F19"/>
    <w:rsid w:val="00B40F4F"/>
    <w:rsid w:val="00B40F6A"/>
    <w:rsid w:val="00B41019"/>
    <w:rsid w:val="00B4111C"/>
    <w:rsid w:val="00B41151"/>
    <w:rsid w:val="00B414D9"/>
    <w:rsid w:val="00B41594"/>
    <w:rsid w:val="00B41708"/>
    <w:rsid w:val="00B4172B"/>
    <w:rsid w:val="00B4177E"/>
    <w:rsid w:val="00B41804"/>
    <w:rsid w:val="00B418BE"/>
    <w:rsid w:val="00B4194A"/>
    <w:rsid w:val="00B4194C"/>
    <w:rsid w:val="00B41969"/>
    <w:rsid w:val="00B419B3"/>
    <w:rsid w:val="00B419E3"/>
    <w:rsid w:val="00B41AAD"/>
    <w:rsid w:val="00B41C29"/>
    <w:rsid w:val="00B41C8F"/>
    <w:rsid w:val="00B41D0B"/>
    <w:rsid w:val="00B41E31"/>
    <w:rsid w:val="00B41EE4"/>
    <w:rsid w:val="00B41F73"/>
    <w:rsid w:val="00B42019"/>
    <w:rsid w:val="00B420F0"/>
    <w:rsid w:val="00B4210B"/>
    <w:rsid w:val="00B421AA"/>
    <w:rsid w:val="00B422E5"/>
    <w:rsid w:val="00B4235A"/>
    <w:rsid w:val="00B423C3"/>
    <w:rsid w:val="00B42420"/>
    <w:rsid w:val="00B42515"/>
    <w:rsid w:val="00B425ED"/>
    <w:rsid w:val="00B4263C"/>
    <w:rsid w:val="00B426AB"/>
    <w:rsid w:val="00B426AF"/>
    <w:rsid w:val="00B426EC"/>
    <w:rsid w:val="00B426F4"/>
    <w:rsid w:val="00B42766"/>
    <w:rsid w:val="00B427E1"/>
    <w:rsid w:val="00B427F5"/>
    <w:rsid w:val="00B42837"/>
    <w:rsid w:val="00B4283A"/>
    <w:rsid w:val="00B4283F"/>
    <w:rsid w:val="00B428CD"/>
    <w:rsid w:val="00B429DF"/>
    <w:rsid w:val="00B42CF3"/>
    <w:rsid w:val="00B42DA6"/>
    <w:rsid w:val="00B42E28"/>
    <w:rsid w:val="00B42E5C"/>
    <w:rsid w:val="00B42EC6"/>
    <w:rsid w:val="00B42F2F"/>
    <w:rsid w:val="00B42F46"/>
    <w:rsid w:val="00B4316D"/>
    <w:rsid w:val="00B43275"/>
    <w:rsid w:val="00B432AD"/>
    <w:rsid w:val="00B433A6"/>
    <w:rsid w:val="00B4342E"/>
    <w:rsid w:val="00B434DF"/>
    <w:rsid w:val="00B4355C"/>
    <w:rsid w:val="00B435F9"/>
    <w:rsid w:val="00B438F3"/>
    <w:rsid w:val="00B4394D"/>
    <w:rsid w:val="00B43AE9"/>
    <w:rsid w:val="00B43C85"/>
    <w:rsid w:val="00B43D16"/>
    <w:rsid w:val="00B43D3A"/>
    <w:rsid w:val="00B43DAC"/>
    <w:rsid w:val="00B43E76"/>
    <w:rsid w:val="00B43EDD"/>
    <w:rsid w:val="00B43EEB"/>
    <w:rsid w:val="00B43F2E"/>
    <w:rsid w:val="00B43F97"/>
    <w:rsid w:val="00B44377"/>
    <w:rsid w:val="00B444A6"/>
    <w:rsid w:val="00B44769"/>
    <w:rsid w:val="00B44989"/>
    <w:rsid w:val="00B44AE5"/>
    <w:rsid w:val="00B44B9B"/>
    <w:rsid w:val="00B44BC1"/>
    <w:rsid w:val="00B44BD7"/>
    <w:rsid w:val="00B44CDC"/>
    <w:rsid w:val="00B44D43"/>
    <w:rsid w:val="00B44E0F"/>
    <w:rsid w:val="00B44E9E"/>
    <w:rsid w:val="00B44FA8"/>
    <w:rsid w:val="00B44FDB"/>
    <w:rsid w:val="00B45018"/>
    <w:rsid w:val="00B45243"/>
    <w:rsid w:val="00B45314"/>
    <w:rsid w:val="00B45345"/>
    <w:rsid w:val="00B4544C"/>
    <w:rsid w:val="00B45466"/>
    <w:rsid w:val="00B454BB"/>
    <w:rsid w:val="00B45616"/>
    <w:rsid w:val="00B456E0"/>
    <w:rsid w:val="00B45813"/>
    <w:rsid w:val="00B45964"/>
    <w:rsid w:val="00B4598D"/>
    <w:rsid w:val="00B45A05"/>
    <w:rsid w:val="00B45A7A"/>
    <w:rsid w:val="00B45AB4"/>
    <w:rsid w:val="00B45AD6"/>
    <w:rsid w:val="00B45B9F"/>
    <w:rsid w:val="00B45BCF"/>
    <w:rsid w:val="00B45C77"/>
    <w:rsid w:val="00B45D0B"/>
    <w:rsid w:val="00B45D62"/>
    <w:rsid w:val="00B46079"/>
    <w:rsid w:val="00B460AF"/>
    <w:rsid w:val="00B460FC"/>
    <w:rsid w:val="00B46166"/>
    <w:rsid w:val="00B46192"/>
    <w:rsid w:val="00B46196"/>
    <w:rsid w:val="00B4632C"/>
    <w:rsid w:val="00B4639B"/>
    <w:rsid w:val="00B463FF"/>
    <w:rsid w:val="00B4686A"/>
    <w:rsid w:val="00B4692C"/>
    <w:rsid w:val="00B46A36"/>
    <w:rsid w:val="00B46A68"/>
    <w:rsid w:val="00B46B3E"/>
    <w:rsid w:val="00B46BF3"/>
    <w:rsid w:val="00B46CB0"/>
    <w:rsid w:val="00B46D07"/>
    <w:rsid w:val="00B46D75"/>
    <w:rsid w:val="00B46DAF"/>
    <w:rsid w:val="00B46DCC"/>
    <w:rsid w:val="00B46DCE"/>
    <w:rsid w:val="00B46E51"/>
    <w:rsid w:val="00B46ED6"/>
    <w:rsid w:val="00B47096"/>
    <w:rsid w:val="00B471E7"/>
    <w:rsid w:val="00B4720E"/>
    <w:rsid w:val="00B47266"/>
    <w:rsid w:val="00B47267"/>
    <w:rsid w:val="00B4727A"/>
    <w:rsid w:val="00B47335"/>
    <w:rsid w:val="00B4735B"/>
    <w:rsid w:val="00B473DC"/>
    <w:rsid w:val="00B474B0"/>
    <w:rsid w:val="00B4754D"/>
    <w:rsid w:val="00B4757F"/>
    <w:rsid w:val="00B4760C"/>
    <w:rsid w:val="00B4768E"/>
    <w:rsid w:val="00B4787D"/>
    <w:rsid w:val="00B47886"/>
    <w:rsid w:val="00B4794A"/>
    <w:rsid w:val="00B47956"/>
    <w:rsid w:val="00B47D6C"/>
    <w:rsid w:val="00B47DF8"/>
    <w:rsid w:val="00B47FCA"/>
    <w:rsid w:val="00B5000B"/>
    <w:rsid w:val="00B5002A"/>
    <w:rsid w:val="00B5014B"/>
    <w:rsid w:val="00B5027F"/>
    <w:rsid w:val="00B50429"/>
    <w:rsid w:val="00B50460"/>
    <w:rsid w:val="00B50461"/>
    <w:rsid w:val="00B5047B"/>
    <w:rsid w:val="00B50611"/>
    <w:rsid w:val="00B506F1"/>
    <w:rsid w:val="00B506F8"/>
    <w:rsid w:val="00B5081E"/>
    <w:rsid w:val="00B5082F"/>
    <w:rsid w:val="00B50848"/>
    <w:rsid w:val="00B50AF9"/>
    <w:rsid w:val="00B50AFD"/>
    <w:rsid w:val="00B50BA7"/>
    <w:rsid w:val="00B50BB5"/>
    <w:rsid w:val="00B50C4B"/>
    <w:rsid w:val="00B50CE9"/>
    <w:rsid w:val="00B51007"/>
    <w:rsid w:val="00B510E3"/>
    <w:rsid w:val="00B51128"/>
    <w:rsid w:val="00B51196"/>
    <w:rsid w:val="00B51243"/>
    <w:rsid w:val="00B5124D"/>
    <w:rsid w:val="00B512E2"/>
    <w:rsid w:val="00B513B1"/>
    <w:rsid w:val="00B513F2"/>
    <w:rsid w:val="00B51431"/>
    <w:rsid w:val="00B51508"/>
    <w:rsid w:val="00B51520"/>
    <w:rsid w:val="00B5161A"/>
    <w:rsid w:val="00B51711"/>
    <w:rsid w:val="00B51796"/>
    <w:rsid w:val="00B518E1"/>
    <w:rsid w:val="00B51BCA"/>
    <w:rsid w:val="00B51C3C"/>
    <w:rsid w:val="00B51CA1"/>
    <w:rsid w:val="00B51DCD"/>
    <w:rsid w:val="00B51E35"/>
    <w:rsid w:val="00B51E6F"/>
    <w:rsid w:val="00B51EE9"/>
    <w:rsid w:val="00B51EFD"/>
    <w:rsid w:val="00B51F26"/>
    <w:rsid w:val="00B51F51"/>
    <w:rsid w:val="00B51FEC"/>
    <w:rsid w:val="00B521EF"/>
    <w:rsid w:val="00B521F9"/>
    <w:rsid w:val="00B523B0"/>
    <w:rsid w:val="00B52629"/>
    <w:rsid w:val="00B52650"/>
    <w:rsid w:val="00B526DF"/>
    <w:rsid w:val="00B52725"/>
    <w:rsid w:val="00B527D7"/>
    <w:rsid w:val="00B52882"/>
    <w:rsid w:val="00B528D8"/>
    <w:rsid w:val="00B52962"/>
    <w:rsid w:val="00B52963"/>
    <w:rsid w:val="00B529A8"/>
    <w:rsid w:val="00B529B1"/>
    <w:rsid w:val="00B529BF"/>
    <w:rsid w:val="00B52C39"/>
    <w:rsid w:val="00B52CDB"/>
    <w:rsid w:val="00B52D96"/>
    <w:rsid w:val="00B52E4B"/>
    <w:rsid w:val="00B531A7"/>
    <w:rsid w:val="00B531E5"/>
    <w:rsid w:val="00B532B1"/>
    <w:rsid w:val="00B53422"/>
    <w:rsid w:val="00B534C3"/>
    <w:rsid w:val="00B534FA"/>
    <w:rsid w:val="00B535FE"/>
    <w:rsid w:val="00B53663"/>
    <w:rsid w:val="00B5382B"/>
    <w:rsid w:val="00B53852"/>
    <w:rsid w:val="00B53C07"/>
    <w:rsid w:val="00B53C5E"/>
    <w:rsid w:val="00B53D90"/>
    <w:rsid w:val="00B53EC6"/>
    <w:rsid w:val="00B53FAA"/>
    <w:rsid w:val="00B54018"/>
    <w:rsid w:val="00B540AE"/>
    <w:rsid w:val="00B543B7"/>
    <w:rsid w:val="00B5461F"/>
    <w:rsid w:val="00B54629"/>
    <w:rsid w:val="00B54675"/>
    <w:rsid w:val="00B54684"/>
    <w:rsid w:val="00B547D3"/>
    <w:rsid w:val="00B547FB"/>
    <w:rsid w:val="00B5488F"/>
    <w:rsid w:val="00B548B4"/>
    <w:rsid w:val="00B548F3"/>
    <w:rsid w:val="00B549EA"/>
    <w:rsid w:val="00B54A09"/>
    <w:rsid w:val="00B54A74"/>
    <w:rsid w:val="00B54B52"/>
    <w:rsid w:val="00B54B86"/>
    <w:rsid w:val="00B54C7C"/>
    <w:rsid w:val="00B54C9C"/>
    <w:rsid w:val="00B54D5D"/>
    <w:rsid w:val="00B54D7D"/>
    <w:rsid w:val="00B54E70"/>
    <w:rsid w:val="00B54F65"/>
    <w:rsid w:val="00B54F69"/>
    <w:rsid w:val="00B55016"/>
    <w:rsid w:val="00B550DA"/>
    <w:rsid w:val="00B55168"/>
    <w:rsid w:val="00B551B5"/>
    <w:rsid w:val="00B552AC"/>
    <w:rsid w:val="00B55345"/>
    <w:rsid w:val="00B556C0"/>
    <w:rsid w:val="00B556DA"/>
    <w:rsid w:val="00B557EC"/>
    <w:rsid w:val="00B55B09"/>
    <w:rsid w:val="00B55B45"/>
    <w:rsid w:val="00B55B48"/>
    <w:rsid w:val="00B55C18"/>
    <w:rsid w:val="00B55C21"/>
    <w:rsid w:val="00B55CCE"/>
    <w:rsid w:val="00B55E29"/>
    <w:rsid w:val="00B55E5B"/>
    <w:rsid w:val="00B55F4C"/>
    <w:rsid w:val="00B55F4D"/>
    <w:rsid w:val="00B55F7A"/>
    <w:rsid w:val="00B5609B"/>
    <w:rsid w:val="00B5628E"/>
    <w:rsid w:val="00B5633B"/>
    <w:rsid w:val="00B5639E"/>
    <w:rsid w:val="00B56469"/>
    <w:rsid w:val="00B5652C"/>
    <w:rsid w:val="00B5654B"/>
    <w:rsid w:val="00B565DD"/>
    <w:rsid w:val="00B568BC"/>
    <w:rsid w:val="00B56908"/>
    <w:rsid w:val="00B5691B"/>
    <w:rsid w:val="00B56AC7"/>
    <w:rsid w:val="00B56ACC"/>
    <w:rsid w:val="00B56D7D"/>
    <w:rsid w:val="00B56D90"/>
    <w:rsid w:val="00B56F02"/>
    <w:rsid w:val="00B56F5B"/>
    <w:rsid w:val="00B57037"/>
    <w:rsid w:val="00B57040"/>
    <w:rsid w:val="00B5708D"/>
    <w:rsid w:val="00B57275"/>
    <w:rsid w:val="00B572E1"/>
    <w:rsid w:val="00B575A9"/>
    <w:rsid w:val="00B576AA"/>
    <w:rsid w:val="00B57740"/>
    <w:rsid w:val="00B5776C"/>
    <w:rsid w:val="00B577DF"/>
    <w:rsid w:val="00B5780D"/>
    <w:rsid w:val="00B5787E"/>
    <w:rsid w:val="00B5790C"/>
    <w:rsid w:val="00B57937"/>
    <w:rsid w:val="00B579D5"/>
    <w:rsid w:val="00B579E8"/>
    <w:rsid w:val="00B57A7E"/>
    <w:rsid w:val="00B57B23"/>
    <w:rsid w:val="00B57C14"/>
    <w:rsid w:val="00B57C33"/>
    <w:rsid w:val="00B57E12"/>
    <w:rsid w:val="00B57F98"/>
    <w:rsid w:val="00B57FB8"/>
    <w:rsid w:val="00B6005D"/>
    <w:rsid w:val="00B600A9"/>
    <w:rsid w:val="00B600CB"/>
    <w:rsid w:val="00B600D4"/>
    <w:rsid w:val="00B601E8"/>
    <w:rsid w:val="00B6040C"/>
    <w:rsid w:val="00B60415"/>
    <w:rsid w:val="00B6058B"/>
    <w:rsid w:val="00B6058E"/>
    <w:rsid w:val="00B60679"/>
    <w:rsid w:val="00B60762"/>
    <w:rsid w:val="00B60852"/>
    <w:rsid w:val="00B608FE"/>
    <w:rsid w:val="00B6093A"/>
    <w:rsid w:val="00B60980"/>
    <w:rsid w:val="00B609F3"/>
    <w:rsid w:val="00B60B21"/>
    <w:rsid w:val="00B60B6D"/>
    <w:rsid w:val="00B60BC2"/>
    <w:rsid w:val="00B60BCB"/>
    <w:rsid w:val="00B60C1F"/>
    <w:rsid w:val="00B60CB8"/>
    <w:rsid w:val="00B60E07"/>
    <w:rsid w:val="00B60E08"/>
    <w:rsid w:val="00B60FBB"/>
    <w:rsid w:val="00B61000"/>
    <w:rsid w:val="00B61029"/>
    <w:rsid w:val="00B61075"/>
    <w:rsid w:val="00B610ED"/>
    <w:rsid w:val="00B611B0"/>
    <w:rsid w:val="00B611DB"/>
    <w:rsid w:val="00B612CB"/>
    <w:rsid w:val="00B612CD"/>
    <w:rsid w:val="00B612F6"/>
    <w:rsid w:val="00B612FD"/>
    <w:rsid w:val="00B6137A"/>
    <w:rsid w:val="00B6139D"/>
    <w:rsid w:val="00B613C2"/>
    <w:rsid w:val="00B614AE"/>
    <w:rsid w:val="00B614CB"/>
    <w:rsid w:val="00B6156C"/>
    <w:rsid w:val="00B615D3"/>
    <w:rsid w:val="00B616E0"/>
    <w:rsid w:val="00B61764"/>
    <w:rsid w:val="00B6176B"/>
    <w:rsid w:val="00B61787"/>
    <w:rsid w:val="00B61797"/>
    <w:rsid w:val="00B61A90"/>
    <w:rsid w:val="00B61B73"/>
    <w:rsid w:val="00B61BB8"/>
    <w:rsid w:val="00B61CAC"/>
    <w:rsid w:val="00B61DA1"/>
    <w:rsid w:val="00B61E3E"/>
    <w:rsid w:val="00B61E66"/>
    <w:rsid w:val="00B61EB1"/>
    <w:rsid w:val="00B61FB0"/>
    <w:rsid w:val="00B62031"/>
    <w:rsid w:val="00B62244"/>
    <w:rsid w:val="00B622AF"/>
    <w:rsid w:val="00B622E2"/>
    <w:rsid w:val="00B62393"/>
    <w:rsid w:val="00B6239E"/>
    <w:rsid w:val="00B623D9"/>
    <w:rsid w:val="00B6255E"/>
    <w:rsid w:val="00B626F3"/>
    <w:rsid w:val="00B627EA"/>
    <w:rsid w:val="00B62863"/>
    <w:rsid w:val="00B628A0"/>
    <w:rsid w:val="00B628CC"/>
    <w:rsid w:val="00B62994"/>
    <w:rsid w:val="00B629F3"/>
    <w:rsid w:val="00B62AA5"/>
    <w:rsid w:val="00B62BD7"/>
    <w:rsid w:val="00B62C37"/>
    <w:rsid w:val="00B62D5B"/>
    <w:rsid w:val="00B62D9D"/>
    <w:rsid w:val="00B62ED0"/>
    <w:rsid w:val="00B62F63"/>
    <w:rsid w:val="00B62F7A"/>
    <w:rsid w:val="00B62F83"/>
    <w:rsid w:val="00B630D3"/>
    <w:rsid w:val="00B630FD"/>
    <w:rsid w:val="00B63127"/>
    <w:rsid w:val="00B631E4"/>
    <w:rsid w:val="00B63398"/>
    <w:rsid w:val="00B633D3"/>
    <w:rsid w:val="00B63475"/>
    <w:rsid w:val="00B634EC"/>
    <w:rsid w:val="00B63594"/>
    <w:rsid w:val="00B63743"/>
    <w:rsid w:val="00B6393F"/>
    <w:rsid w:val="00B639ED"/>
    <w:rsid w:val="00B639F5"/>
    <w:rsid w:val="00B63A52"/>
    <w:rsid w:val="00B63A9F"/>
    <w:rsid w:val="00B63B88"/>
    <w:rsid w:val="00B63BA0"/>
    <w:rsid w:val="00B63BA2"/>
    <w:rsid w:val="00B63BDF"/>
    <w:rsid w:val="00B63E14"/>
    <w:rsid w:val="00B63F27"/>
    <w:rsid w:val="00B63F6F"/>
    <w:rsid w:val="00B63F85"/>
    <w:rsid w:val="00B6429D"/>
    <w:rsid w:val="00B642F7"/>
    <w:rsid w:val="00B6431F"/>
    <w:rsid w:val="00B6436C"/>
    <w:rsid w:val="00B643C0"/>
    <w:rsid w:val="00B643F1"/>
    <w:rsid w:val="00B6444C"/>
    <w:rsid w:val="00B64474"/>
    <w:rsid w:val="00B64549"/>
    <w:rsid w:val="00B645BD"/>
    <w:rsid w:val="00B64677"/>
    <w:rsid w:val="00B646F0"/>
    <w:rsid w:val="00B647AA"/>
    <w:rsid w:val="00B648AE"/>
    <w:rsid w:val="00B64964"/>
    <w:rsid w:val="00B64A10"/>
    <w:rsid w:val="00B64B18"/>
    <w:rsid w:val="00B64B5E"/>
    <w:rsid w:val="00B64D99"/>
    <w:rsid w:val="00B64DA7"/>
    <w:rsid w:val="00B64DED"/>
    <w:rsid w:val="00B65000"/>
    <w:rsid w:val="00B6509C"/>
    <w:rsid w:val="00B6517C"/>
    <w:rsid w:val="00B652C9"/>
    <w:rsid w:val="00B6543C"/>
    <w:rsid w:val="00B65506"/>
    <w:rsid w:val="00B65525"/>
    <w:rsid w:val="00B6557A"/>
    <w:rsid w:val="00B655F9"/>
    <w:rsid w:val="00B6564A"/>
    <w:rsid w:val="00B65746"/>
    <w:rsid w:val="00B6589E"/>
    <w:rsid w:val="00B65978"/>
    <w:rsid w:val="00B65A2A"/>
    <w:rsid w:val="00B65AF5"/>
    <w:rsid w:val="00B65B66"/>
    <w:rsid w:val="00B65C82"/>
    <w:rsid w:val="00B65D51"/>
    <w:rsid w:val="00B65DD4"/>
    <w:rsid w:val="00B65DD9"/>
    <w:rsid w:val="00B65DDA"/>
    <w:rsid w:val="00B65E54"/>
    <w:rsid w:val="00B65E61"/>
    <w:rsid w:val="00B65FB4"/>
    <w:rsid w:val="00B65FFF"/>
    <w:rsid w:val="00B6607B"/>
    <w:rsid w:val="00B66263"/>
    <w:rsid w:val="00B662B9"/>
    <w:rsid w:val="00B6631B"/>
    <w:rsid w:val="00B663D3"/>
    <w:rsid w:val="00B6657B"/>
    <w:rsid w:val="00B66790"/>
    <w:rsid w:val="00B667CE"/>
    <w:rsid w:val="00B66828"/>
    <w:rsid w:val="00B66844"/>
    <w:rsid w:val="00B668A0"/>
    <w:rsid w:val="00B668E9"/>
    <w:rsid w:val="00B6693D"/>
    <w:rsid w:val="00B66ABA"/>
    <w:rsid w:val="00B66E4C"/>
    <w:rsid w:val="00B66FB9"/>
    <w:rsid w:val="00B66FE4"/>
    <w:rsid w:val="00B67074"/>
    <w:rsid w:val="00B67144"/>
    <w:rsid w:val="00B671DD"/>
    <w:rsid w:val="00B67247"/>
    <w:rsid w:val="00B672CC"/>
    <w:rsid w:val="00B6734B"/>
    <w:rsid w:val="00B6735F"/>
    <w:rsid w:val="00B673A1"/>
    <w:rsid w:val="00B67433"/>
    <w:rsid w:val="00B6748C"/>
    <w:rsid w:val="00B675B6"/>
    <w:rsid w:val="00B67652"/>
    <w:rsid w:val="00B6766C"/>
    <w:rsid w:val="00B67702"/>
    <w:rsid w:val="00B6777F"/>
    <w:rsid w:val="00B6782B"/>
    <w:rsid w:val="00B67895"/>
    <w:rsid w:val="00B67A5A"/>
    <w:rsid w:val="00B67AEA"/>
    <w:rsid w:val="00B67C81"/>
    <w:rsid w:val="00B67CB1"/>
    <w:rsid w:val="00B67CE0"/>
    <w:rsid w:val="00B67E39"/>
    <w:rsid w:val="00B67EEE"/>
    <w:rsid w:val="00B67FEC"/>
    <w:rsid w:val="00B700B0"/>
    <w:rsid w:val="00B700D0"/>
    <w:rsid w:val="00B70189"/>
    <w:rsid w:val="00B70214"/>
    <w:rsid w:val="00B7032A"/>
    <w:rsid w:val="00B7036F"/>
    <w:rsid w:val="00B703AC"/>
    <w:rsid w:val="00B7045E"/>
    <w:rsid w:val="00B704F1"/>
    <w:rsid w:val="00B70518"/>
    <w:rsid w:val="00B7056E"/>
    <w:rsid w:val="00B70575"/>
    <w:rsid w:val="00B70580"/>
    <w:rsid w:val="00B705B0"/>
    <w:rsid w:val="00B706EC"/>
    <w:rsid w:val="00B70730"/>
    <w:rsid w:val="00B70803"/>
    <w:rsid w:val="00B70940"/>
    <w:rsid w:val="00B709A6"/>
    <w:rsid w:val="00B709C5"/>
    <w:rsid w:val="00B70B8A"/>
    <w:rsid w:val="00B70C24"/>
    <w:rsid w:val="00B70E4E"/>
    <w:rsid w:val="00B70E62"/>
    <w:rsid w:val="00B70F07"/>
    <w:rsid w:val="00B70FFA"/>
    <w:rsid w:val="00B71197"/>
    <w:rsid w:val="00B7131A"/>
    <w:rsid w:val="00B71414"/>
    <w:rsid w:val="00B714C8"/>
    <w:rsid w:val="00B714CF"/>
    <w:rsid w:val="00B715C3"/>
    <w:rsid w:val="00B716A0"/>
    <w:rsid w:val="00B718F4"/>
    <w:rsid w:val="00B71EF5"/>
    <w:rsid w:val="00B71F36"/>
    <w:rsid w:val="00B71FF8"/>
    <w:rsid w:val="00B72091"/>
    <w:rsid w:val="00B7211D"/>
    <w:rsid w:val="00B72199"/>
    <w:rsid w:val="00B721A6"/>
    <w:rsid w:val="00B72223"/>
    <w:rsid w:val="00B722CA"/>
    <w:rsid w:val="00B723A0"/>
    <w:rsid w:val="00B72458"/>
    <w:rsid w:val="00B724AD"/>
    <w:rsid w:val="00B725B2"/>
    <w:rsid w:val="00B725FF"/>
    <w:rsid w:val="00B726A1"/>
    <w:rsid w:val="00B726D8"/>
    <w:rsid w:val="00B727C2"/>
    <w:rsid w:val="00B727D6"/>
    <w:rsid w:val="00B7282A"/>
    <w:rsid w:val="00B7285E"/>
    <w:rsid w:val="00B728A3"/>
    <w:rsid w:val="00B728F3"/>
    <w:rsid w:val="00B7293A"/>
    <w:rsid w:val="00B72B8D"/>
    <w:rsid w:val="00B72DF9"/>
    <w:rsid w:val="00B72FB4"/>
    <w:rsid w:val="00B73000"/>
    <w:rsid w:val="00B730FE"/>
    <w:rsid w:val="00B73180"/>
    <w:rsid w:val="00B731EA"/>
    <w:rsid w:val="00B73320"/>
    <w:rsid w:val="00B73460"/>
    <w:rsid w:val="00B73545"/>
    <w:rsid w:val="00B7364E"/>
    <w:rsid w:val="00B736E6"/>
    <w:rsid w:val="00B7375E"/>
    <w:rsid w:val="00B7377E"/>
    <w:rsid w:val="00B737A2"/>
    <w:rsid w:val="00B7398B"/>
    <w:rsid w:val="00B73A46"/>
    <w:rsid w:val="00B73A72"/>
    <w:rsid w:val="00B73CE7"/>
    <w:rsid w:val="00B73D81"/>
    <w:rsid w:val="00B73DFF"/>
    <w:rsid w:val="00B73E3A"/>
    <w:rsid w:val="00B73F34"/>
    <w:rsid w:val="00B740AC"/>
    <w:rsid w:val="00B74124"/>
    <w:rsid w:val="00B7416D"/>
    <w:rsid w:val="00B74189"/>
    <w:rsid w:val="00B7418B"/>
    <w:rsid w:val="00B742DB"/>
    <w:rsid w:val="00B74358"/>
    <w:rsid w:val="00B74594"/>
    <w:rsid w:val="00B745DC"/>
    <w:rsid w:val="00B7477A"/>
    <w:rsid w:val="00B747EC"/>
    <w:rsid w:val="00B74804"/>
    <w:rsid w:val="00B749F5"/>
    <w:rsid w:val="00B74A07"/>
    <w:rsid w:val="00B74A0E"/>
    <w:rsid w:val="00B74A5D"/>
    <w:rsid w:val="00B74A86"/>
    <w:rsid w:val="00B74B62"/>
    <w:rsid w:val="00B74BA8"/>
    <w:rsid w:val="00B74D50"/>
    <w:rsid w:val="00B74E3D"/>
    <w:rsid w:val="00B74E94"/>
    <w:rsid w:val="00B74F25"/>
    <w:rsid w:val="00B74FCF"/>
    <w:rsid w:val="00B75040"/>
    <w:rsid w:val="00B7517E"/>
    <w:rsid w:val="00B7524E"/>
    <w:rsid w:val="00B75286"/>
    <w:rsid w:val="00B7533C"/>
    <w:rsid w:val="00B753F3"/>
    <w:rsid w:val="00B75492"/>
    <w:rsid w:val="00B754AC"/>
    <w:rsid w:val="00B754C4"/>
    <w:rsid w:val="00B754CE"/>
    <w:rsid w:val="00B7563B"/>
    <w:rsid w:val="00B756BC"/>
    <w:rsid w:val="00B75755"/>
    <w:rsid w:val="00B75868"/>
    <w:rsid w:val="00B759AA"/>
    <w:rsid w:val="00B759D2"/>
    <w:rsid w:val="00B75A33"/>
    <w:rsid w:val="00B75AAB"/>
    <w:rsid w:val="00B75B7D"/>
    <w:rsid w:val="00B75B93"/>
    <w:rsid w:val="00B75BC2"/>
    <w:rsid w:val="00B75C5D"/>
    <w:rsid w:val="00B75D7C"/>
    <w:rsid w:val="00B75E54"/>
    <w:rsid w:val="00B75EFE"/>
    <w:rsid w:val="00B75F32"/>
    <w:rsid w:val="00B75F3D"/>
    <w:rsid w:val="00B75F71"/>
    <w:rsid w:val="00B75F9C"/>
    <w:rsid w:val="00B75FBF"/>
    <w:rsid w:val="00B760AF"/>
    <w:rsid w:val="00B760FF"/>
    <w:rsid w:val="00B76189"/>
    <w:rsid w:val="00B7618D"/>
    <w:rsid w:val="00B761E3"/>
    <w:rsid w:val="00B761E6"/>
    <w:rsid w:val="00B76274"/>
    <w:rsid w:val="00B7650D"/>
    <w:rsid w:val="00B76538"/>
    <w:rsid w:val="00B765F7"/>
    <w:rsid w:val="00B76604"/>
    <w:rsid w:val="00B76686"/>
    <w:rsid w:val="00B7668C"/>
    <w:rsid w:val="00B766A7"/>
    <w:rsid w:val="00B76920"/>
    <w:rsid w:val="00B76922"/>
    <w:rsid w:val="00B76A52"/>
    <w:rsid w:val="00B76E56"/>
    <w:rsid w:val="00B7700A"/>
    <w:rsid w:val="00B770C7"/>
    <w:rsid w:val="00B77217"/>
    <w:rsid w:val="00B77225"/>
    <w:rsid w:val="00B772B2"/>
    <w:rsid w:val="00B7740D"/>
    <w:rsid w:val="00B77483"/>
    <w:rsid w:val="00B77489"/>
    <w:rsid w:val="00B7781A"/>
    <w:rsid w:val="00B779E0"/>
    <w:rsid w:val="00B77A55"/>
    <w:rsid w:val="00B77A9B"/>
    <w:rsid w:val="00B77B82"/>
    <w:rsid w:val="00B77BA7"/>
    <w:rsid w:val="00B77C3D"/>
    <w:rsid w:val="00B77C85"/>
    <w:rsid w:val="00B77CE2"/>
    <w:rsid w:val="00B77D23"/>
    <w:rsid w:val="00B77EE6"/>
    <w:rsid w:val="00B77FE5"/>
    <w:rsid w:val="00B80050"/>
    <w:rsid w:val="00B80062"/>
    <w:rsid w:val="00B80100"/>
    <w:rsid w:val="00B8012B"/>
    <w:rsid w:val="00B8039F"/>
    <w:rsid w:val="00B803BD"/>
    <w:rsid w:val="00B80426"/>
    <w:rsid w:val="00B80463"/>
    <w:rsid w:val="00B80648"/>
    <w:rsid w:val="00B806B7"/>
    <w:rsid w:val="00B8074C"/>
    <w:rsid w:val="00B808A6"/>
    <w:rsid w:val="00B808AD"/>
    <w:rsid w:val="00B808C4"/>
    <w:rsid w:val="00B8095E"/>
    <w:rsid w:val="00B8096F"/>
    <w:rsid w:val="00B809E0"/>
    <w:rsid w:val="00B80A4B"/>
    <w:rsid w:val="00B80B56"/>
    <w:rsid w:val="00B80C0A"/>
    <w:rsid w:val="00B80CCB"/>
    <w:rsid w:val="00B80DED"/>
    <w:rsid w:val="00B80E02"/>
    <w:rsid w:val="00B80EC2"/>
    <w:rsid w:val="00B80F66"/>
    <w:rsid w:val="00B810A4"/>
    <w:rsid w:val="00B81128"/>
    <w:rsid w:val="00B81215"/>
    <w:rsid w:val="00B81222"/>
    <w:rsid w:val="00B8122C"/>
    <w:rsid w:val="00B81379"/>
    <w:rsid w:val="00B813A1"/>
    <w:rsid w:val="00B81453"/>
    <w:rsid w:val="00B8149C"/>
    <w:rsid w:val="00B81596"/>
    <w:rsid w:val="00B81887"/>
    <w:rsid w:val="00B819C6"/>
    <w:rsid w:val="00B81AB4"/>
    <w:rsid w:val="00B81B0B"/>
    <w:rsid w:val="00B81B87"/>
    <w:rsid w:val="00B81B9F"/>
    <w:rsid w:val="00B81CBC"/>
    <w:rsid w:val="00B81D44"/>
    <w:rsid w:val="00B81D7D"/>
    <w:rsid w:val="00B81E39"/>
    <w:rsid w:val="00B81E99"/>
    <w:rsid w:val="00B81E9E"/>
    <w:rsid w:val="00B81EF5"/>
    <w:rsid w:val="00B81F91"/>
    <w:rsid w:val="00B81FA5"/>
    <w:rsid w:val="00B81FC5"/>
    <w:rsid w:val="00B81FFC"/>
    <w:rsid w:val="00B82037"/>
    <w:rsid w:val="00B8214A"/>
    <w:rsid w:val="00B82278"/>
    <w:rsid w:val="00B8229E"/>
    <w:rsid w:val="00B822A2"/>
    <w:rsid w:val="00B82392"/>
    <w:rsid w:val="00B823B5"/>
    <w:rsid w:val="00B823C3"/>
    <w:rsid w:val="00B8240C"/>
    <w:rsid w:val="00B82427"/>
    <w:rsid w:val="00B82463"/>
    <w:rsid w:val="00B82515"/>
    <w:rsid w:val="00B82554"/>
    <w:rsid w:val="00B82808"/>
    <w:rsid w:val="00B8299D"/>
    <w:rsid w:val="00B82A20"/>
    <w:rsid w:val="00B82AEC"/>
    <w:rsid w:val="00B82BA7"/>
    <w:rsid w:val="00B82CD3"/>
    <w:rsid w:val="00B82CD4"/>
    <w:rsid w:val="00B82D5B"/>
    <w:rsid w:val="00B82DC4"/>
    <w:rsid w:val="00B82DFE"/>
    <w:rsid w:val="00B82E0B"/>
    <w:rsid w:val="00B82E5F"/>
    <w:rsid w:val="00B82FEB"/>
    <w:rsid w:val="00B830AF"/>
    <w:rsid w:val="00B830C9"/>
    <w:rsid w:val="00B830E9"/>
    <w:rsid w:val="00B830FA"/>
    <w:rsid w:val="00B83163"/>
    <w:rsid w:val="00B83181"/>
    <w:rsid w:val="00B83229"/>
    <w:rsid w:val="00B83347"/>
    <w:rsid w:val="00B83373"/>
    <w:rsid w:val="00B8342D"/>
    <w:rsid w:val="00B8359B"/>
    <w:rsid w:val="00B83629"/>
    <w:rsid w:val="00B836AC"/>
    <w:rsid w:val="00B836C2"/>
    <w:rsid w:val="00B83796"/>
    <w:rsid w:val="00B83845"/>
    <w:rsid w:val="00B83891"/>
    <w:rsid w:val="00B8394F"/>
    <w:rsid w:val="00B8397C"/>
    <w:rsid w:val="00B83A25"/>
    <w:rsid w:val="00B83A92"/>
    <w:rsid w:val="00B83B14"/>
    <w:rsid w:val="00B83C4F"/>
    <w:rsid w:val="00B83D84"/>
    <w:rsid w:val="00B83D85"/>
    <w:rsid w:val="00B83DE4"/>
    <w:rsid w:val="00B83E3E"/>
    <w:rsid w:val="00B84137"/>
    <w:rsid w:val="00B84152"/>
    <w:rsid w:val="00B841B1"/>
    <w:rsid w:val="00B8427D"/>
    <w:rsid w:val="00B842A3"/>
    <w:rsid w:val="00B84316"/>
    <w:rsid w:val="00B84370"/>
    <w:rsid w:val="00B84455"/>
    <w:rsid w:val="00B84472"/>
    <w:rsid w:val="00B8449A"/>
    <w:rsid w:val="00B84582"/>
    <w:rsid w:val="00B845DC"/>
    <w:rsid w:val="00B84641"/>
    <w:rsid w:val="00B84A66"/>
    <w:rsid w:val="00B84B06"/>
    <w:rsid w:val="00B84B32"/>
    <w:rsid w:val="00B84C9D"/>
    <w:rsid w:val="00B84D50"/>
    <w:rsid w:val="00B84ED4"/>
    <w:rsid w:val="00B8503B"/>
    <w:rsid w:val="00B85041"/>
    <w:rsid w:val="00B850B0"/>
    <w:rsid w:val="00B850F9"/>
    <w:rsid w:val="00B851DF"/>
    <w:rsid w:val="00B85206"/>
    <w:rsid w:val="00B8529E"/>
    <w:rsid w:val="00B85333"/>
    <w:rsid w:val="00B85385"/>
    <w:rsid w:val="00B85387"/>
    <w:rsid w:val="00B8544E"/>
    <w:rsid w:val="00B85479"/>
    <w:rsid w:val="00B854BB"/>
    <w:rsid w:val="00B85548"/>
    <w:rsid w:val="00B856E9"/>
    <w:rsid w:val="00B8570D"/>
    <w:rsid w:val="00B85820"/>
    <w:rsid w:val="00B85870"/>
    <w:rsid w:val="00B85893"/>
    <w:rsid w:val="00B858D5"/>
    <w:rsid w:val="00B859DF"/>
    <w:rsid w:val="00B859F9"/>
    <w:rsid w:val="00B85A5B"/>
    <w:rsid w:val="00B85C63"/>
    <w:rsid w:val="00B85CA4"/>
    <w:rsid w:val="00B85CC3"/>
    <w:rsid w:val="00B85D37"/>
    <w:rsid w:val="00B85D6B"/>
    <w:rsid w:val="00B85DD4"/>
    <w:rsid w:val="00B85E3B"/>
    <w:rsid w:val="00B85F3D"/>
    <w:rsid w:val="00B85F4D"/>
    <w:rsid w:val="00B85F7A"/>
    <w:rsid w:val="00B8610A"/>
    <w:rsid w:val="00B8610C"/>
    <w:rsid w:val="00B86376"/>
    <w:rsid w:val="00B864B9"/>
    <w:rsid w:val="00B86522"/>
    <w:rsid w:val="00B86545"/>
    <w:rsid w:val="00B865C4"/>
    <w:rsid w:val="00B865F2"/>
    <w:rsid w:val="00B866C6"/>
    <w:rsid w:val="00B86710"/>
    <w:rsid w:val="00B86756"/>
    <w:rsid w:val="00B867C0"/>
    <w:rsid w:val="00B8680D"/>
    <w:rsid w:val="00B86811"/>
    <w:rsid w:val="00B86885"/>
    <w:rsid w:val="00B86A1C"/>
    <w:rsid w:val="00B86AE9"/>
    <w:rsid w:val="00B86BFA"/>
    <w:rsid w:val="00B86C03"/>
    <w:rsid w:val="00B86C76"/>
    <w:rsid w:val="00B86CB8"/>
    <w:rsid w:val="00B86E4B"/>
    <w:rsid w:val="00B86EC8"/>
    <w:rsid w:val="00B87088"/>
    <w:rsid w:val="00B871A5"/>
    <w:rsid w:val="00B87206"/>
    <w:rsid w:val="00B873A7"/>
    <w:rsid w:val="00B873FD"/>
    <w:rsid w:val="00B8746B"/>
    <w:rsid w:val="00B8749C"/>
    <w:rsid w:val="00B87641"/>
    <w:rsid w:val="00B8768B"/>
    <w:rsid w:val="00B8779B"/>
    <w:rsid w:val="00B8787B"/>
    <w:rsid w:val="00B878CC"/>
    <w:rsid w:val="00B878F7"/>
    <w:rsid w:val="00B87A6D"/>
    <w:rsid w:val="00B87AF6"/>
    <w:rsid w:val="00B87C0A"/>
    <w:rsid w:val="00B87C11"/>
    <w:rsid w:val="00B87C2C"/>
    <w:rsid w:val="00B87C36"/>
    <w:rsid w:val="00B87C5B"/>
    <w:rsid w:val="00B87C66"/>
    <w:rsid w:val="00B87D47"/>
    <w:rsid w:val="00B87DEB"/>
    <w:rsid w:val="00B87E1A"/>
    <w:rsid w:val="00B87E3F"/>
    <w:rsid w:val="00B87F02"/>
    <w:rsid w:val="00B87F94"/>
    <w:rsid w:val="00B87FAC"/>
    <w:rsid w:val="00B87FCE"/>
    <w:rsid w:val="00B900B3"/>
    <w:rsid w:val="00B900DF"/>
    <w:rsid w:val="00B90146"/>
    <w:rsid w:val="00B901DF"/>
    <w:rsid w:val="00B90216"/>
    <w:rsid w:val="00B90283"/>
    <w:rsid w:val="00B902A8"/>
    <w:rsid w:val="00B90342"/>
    <w:rsid w:val="00B90418"/>
    <w:rsid w:val="00B905C1"/>
    <w:rsid w:val="00B90726"/>
    <w:rsid w:val="00B90924"/>
    <w:rsid w:val="00B90A3D"/>
    <w:rsid w:val="00B90A91"/>
    <w:rsid w:val="00B90ACF"/>
    <w:rsid w:val="00B90B20"/>
    <w:rsid w:val="00B90D8C"/>
    <w:rsid w:val="00B90DB2"/>
    <w:rsid w:val="00B90DE9"/>
    <w:rsid w:val="00B90E0E"/>
    <w:rsid w:val="00B90F0D"/>
    <w:rsid w:val="00B90F8F"/>
    <w:rsid w:val="00B90F9D"/>
    <w:rsid w:val="00B91123"/>
    <w:rsid w:val="00B91169"/>
    <w:rsid w:val="00B9117C"/>
    <w:rsid w:val="00B9125B"/>
    <w:rsid w:val="00B9148C"/>
    <w:rsid w:val="00B9149E"/>
    <w:rsid w:val="00B914AF"/>
    <w:rsid w:val="00B9157D"/>
    <w:rsid w:val="00B9159E"/>
    <w:rsid w:val="00B917AD"/>
    <w:rsid w:val="00B917CB"/>
    <w:rsid w:val="00B91820"/>
    <w:rsid w:val="00B91A2D"/>
    <w:rsid w:val="00B91C56"/>
    <w:rsid w:val="00B91CD4"/>
    <w:rsid w:val="00B91DC5"/>
    <w:rsid w:val="00B91E7E"/>
    <w:rsid w:val="00B91E97"/>
    <w:rsid w:val="00B91FBD"/>
    <w:rsid w:val="00B91FD1"/>
    <w:rsid w:val="00B91FDE"/>
    <w:rsid w:val="00B920D5"/>
    <w:rsid w:val="00B920ED"/>
    <w:rsid w:val="00B9214D"/>
    <w:rsid w:val="00B9242E"/>
    <w:rsid w:val="00B924A7"/>
    <w:rsid w:val="00B9255B"/>
    <w:rsid w:val="00B9263E"/>
    <w:rsid w:val="00B9266B"/>
    <w:rsid w:val="00B926F2"/>
    <w:rsid w:val="00B92754"/>
    <w:rsid w:val="00B927EF"/>
    <w:rsid w:val="00B92968"/>
    <w:rsid w:val="00B929C8"/>
    <w:rsid w:val="00B92A1C"/>
    <w:rsid w:val="00B92A74"/>
    <w:rsid w:val="00B92A87"/>
    <w:rsid w:val="00B92ADA"/>
    <w:rsid w:val="00B92AE8"/>
    <w:rsid w:val="00B92B3C"/>
    <w:rsid w:val="00B92B65"/>
    <w:rsid w:val="00B92C53"/>
    <w:rsid w:val="00B92C66"/>
    <w:rsid w:val="00B92C87"/>
    <w:rsid w:val="00B92CCC"/>
    <w:rsid w:val="00B92D08"/>
    <w:rsid w:val="00B92DF2"/>
    <w:rsid w:val="00B92E84"/>
    <w:rsid w:val="00B92EA5"/>
    <w:rsid w:val="00B9312F"/>
    <w:rsid w:val="00B93170"/>
    <w:rsid w:val="00B93180"/>
    <w:rsid w:val="00B93231"/>
    <w:rsid w:val="00B93249"/>
    <w:rsid w:val="00B932D0"/>
    <w:rsid w:val="00B93313"/>
    <w:rsid w:val="00B93366"/>
    <w:rsid w:val="00B935A7"/>
    <w:rsid w:val="00B935D7"/>
    <w:rsid w:val="00B93625"/>
    <w:rsid w:val="00B936C4"/>
    <w:rsid w:val="00B936CD"/>
    <w:rsid w:val="00B93704"/>
    <w:rsid w:val="00B93804"/>
    <w:rsid w:val="00B9392D"/>
    <w:rsid w:val="00B93A93"/>
    <w:rsid w:val="00B93B4E"/>
    <w:rsid w:val="00B93BB5"/>
    <w:rsid w:val="00B93C53"/>
    <w:rsid w:val="00B93CAF"/>
    <w:rsid w:val="00B93CCE"/>
    <w:rsid w:val="00B93D41"/>
    <w:rsid w:val="00B93EC4"/>
    <w:rsid w:val="00B93EC5"/>
    <w:rsid w:val="00B93F56"/>
    <w:rsid w:val="00B9407B"/>
    <w:rsid w:val="00B94161"/>
    <w:rsid w:val="00B941A7"/>
    <w:rsid w:val="00B9439D"/>
    <w:rsid w:val="00B943FF"/>
    <w:rsid w:val="00B94428"/>
    <w:rsid w:val="00B9447B"/>
    <w:rsid w:val="00B946F4"/>
    <w:rsid w:val="00B94763"/>
    <w:rsid w:val="00B94778"/>
    <w:rsid w:val="00B9478A"/>
    <w:rsid w:val="00B9487E"/>
    <w:rsid w:val="00B94881"/>
    <w:rsid w:val="00B949D4"/>
    <w:rsid w:val="00B94A03"/>
    <w:rsid w:val="00B94A49"/>
    <w:rsid w:val="00B94AB1"/>
    <w:rsid w:val="00B94B6E"/>
    <w:rsid w:val="00B94BFF"/>
    <w:rsid w:val="00B94C57"/>
    <w:rsid w:val="00B94C5E"/>
    <w:rsid w:val="00B94CCB"/>
    <w:rsid w:val="00B94D72"/>
    <w:rsid w:val="00B94E51"/>
    <w:rsid w:val="00B94E6B"/>
    <w:rsid w:val="00B94EA1"/>
    <w:rsid w:val="00B94F14"/>
    <w:rsid w:val="00B950B6"/>
    <w:rsid w:val="00B95128"/>
    <w:rsid w:val="00B95289"/>
    <w:rsid w:val="00B952A6"/>
    <w:rsid w:val="00B95302"/>
    <w:rsid w:val="00B9561B"/>
    <w:rsid w:val="00B958E5"/>
    <w:rsid w:val="00B958FF"/>
    <w:rsid w:val="00B95990"/>
    <w:rsid w:val="00B959B0"/>
    <w:rsid w:val="00B95A21"/>
    <w:rsid w:val="00B95A28"/>
    <w:rsid w:val="00B95A9F"/>
    <w:rsid w:val="00B95AF7"/>
    <w:rsid w:val="00B95BD6"/>
    <w:rsid w:val="00B95D69"/>
    <w:rsid w:val="00B95DB5"/>
    <w:rsid w:val="00B95E01"/>
    <w:rsid w:val="00B95E17"/>
    <w:rsid w:val="00B95ED5"/>
    <w:rsid w:val="00B95ED8"/>
    <w:rsid w:val="00B95F8A"/>
    <w:rsid w:val="00B95FA5"/>
    <w:rsid w:val="00B95FD0"/>
    <w:rsid w:val="00B9602E"/>
    <w:rsid w:val="00B960A7"/>
    <w:rsid w:val="00B9631F"/>
    <w:rsid w:val="00B96320"/>
    <w:rsid w:val="00B96364"/>
    <w:rsid w:val="00B96397"/>
    <w:rsid w:val="00B9639A"/>
    <w:rsid w:val="00B963BE"/>
    <w:rsid w:val="00B96429"/>
    <w:rsid w:val="00B96490"/>
    <w:rsid w:val="00B965C9"/>
    <w:rsid w:val="00B965CE"/>
    <w:rsid w:val="00B96601"/>
    <w:rsid w:val="00B9669B"/>
    <w:rsid w:val="00B96714"/>
    <w:rsid w:val="00B967B0"/>
    <w:rsid w:val="00B967BA"/>
    <w:rsid w:val="00B96825"/>
    <w:rsid w:val="00B968B1"/>
    <w:rsid w:val="00B96994"/>
    <w:rsid w:val="00B96B1E"/>
    <w:rsid w:val="00B96B42"/>
    <w:rsid w:val="00B96B50"/>
    <w:rsid w:val="00B96B7A"/>
    <w:rsid w:val="00B96DD6"/>
    <w:rsid w:val="00B96EF2"/>
    <w:rsid w:val="00B96F32"/>
    <w:rsid w:val="00B96F3B"/>
    <w:rsid w:val="00B97014"/>
    <w:rsid w:val="00B97018"/>
    <w:rsid w:val="00B97084"/>
    <w:rsid w:val="00B970EA"/>
    <w:rsid w:val="00B9720A"/>
    <w:rsid w:val="00B97393"/>
    <w:rsid w:val="00B973AA"/>
    <w:rsid w:val="00B9746F"/>
    <w:rsid w:val="00B97503"/>
    <w:rsid w:val="00B97592"/>
    <w:rsid w:val="00B97621"/>
    <w:rsid w:val="00B976A5"/>
    <w:rsid w:val="00B976D5"/>
    <w:rsid w:val="00B97724"/>
    <w:rsid w:val="00B97863"/>
    <w:rsid w:val="00B97969"/>
    <w:rsid w:val="00B979E5"/>
    <w:rsid w:val="00B979EF"/>
    <w:rsid w:val="00B979FF"/>
    <w:rsid w:val="00B97A2D"/>
    <w:rsid w:val="00B97A9F"/>
    <w:rsid w:val="00B97B2D"/>
    <w:rsid w:val="00B97B97"/>
    <w:rsid w:val="00B97BDA"/>
    <w:rsid w:val="00B97C2D"/>
    <w:rsid w:val="00B97D32"/>
    <w:rsid w:val="00B97D7A"/>
    <w:rsid w:val="00B97D82"/>
    <w:rsid w:val="00B97DBC"/>
    <w:rsid w:val="00B97E8F"/>
    <w:rsid w:val="00BA002E"/>
    <w:rsid w:val="00BA00DE"/>
    <w:rsid w:val="00BA014B"/>
    <w:rsid w:val="00BA0394"/>
    <w:rsid w:val="00BA0462"/>
    <w:rsid w:val="00BA049E"/>
    <w:rsid w:val="00BA04B8"/>
    <w:rsid w:val="00BA0514"/>
    <w:rsid w:val="00BA0540"/>
    <w:rsid w:val="00BA0550"/>
    <w:rsid w:val="00BA05C3"/>
    <w:rsid w:val="00BA0628"/>
    <w:rsid w:val="00BA06C1"/>
    <w:rsid w:val="00BA072D"/>
    <w:rsid w:val="00BA08C5"/>
    <w:rsid w:val="00BA094C"/>
    <w:rsid w:val="00BA0B25"/>
    <w:rsid w:val="00BA0BB7"/>
    <w:rsid w:val="00BA0C68"/>
    <w:rsid w:val="00BA0CA4"/>
    <w:rsid w:val="00BA0D0B"/>
    <w:rsid w:val="00BA0DE8"/>
    <w:rsid w:val="00BA0E51"/>
    <w:rsid w:val="00BA0E98"/>
    <w:rsid w:val="00BA0F45"/>
    <w:rsid w:val="00BA114F"/>
    <w:rsid w:val="00BA1174"/>
    <w:rsid w:val="00BA1214"/>
    <w:rsid w:val="00BA1241"/>
    <w:rsid w:val="00BA12AE"/>
    <w:rsid w:val="00BA12C8"/>
    <w:rsid w:val="00BA12E8"/>
    <w:rsid w:val="00BA1412"/>
    <w:rsid w:val="00BA159C"/>
    <w:rsid w:val="00BA159F"/>
    <w:rsid w:val="00BA1622"/>
    <w:rsid w:val="00BA1735"/>
    <w:rsid w:val="00BA17EB"/>
    <w:rsid w:val="00BA1801"/>
    <w:rsid w:val="00BA180D"/>
    <w:rsid w:val="00BA1889"/>
    <w:rsid w:val="00BA192D"/>
    <w:rsid w:val="00BA19AF"/>
    <w:rsid w:val="00BA1A3A"/>
    <w:rsid w:val="00BA1B11"/>
    <w:rsid w:val="00BA1B37"/>
    <w:rsid w:val="00BA1C2D"/>
    <w:rsid w:val="00BA1C84"/>
    <w:rsid w:val="00BA1D62"/>
    <w:rsid w:val="00BA1EBD"/>
    <w:rsid w:val="00BA1EEA"/>
    <w:rsid w:val="00BA200A"/>
    <w:rsid w:val="00BA20B0"/>
    <w:rsid w:val="00BA20FE"/>
    <w:rsid w:val="00BA221C"/>
    <w:rsid w:val="00BA2375"/>
    <w:rsid w:val="00BA2376"/>
    <w:rsid w:val="00BA2479"/>
    <w:rsid w:val="00BA247E"/>
    <w:rsid w:val="00BA24BC"/>
    <w:rsid w:val="00BA2541"/>
    <w:rsid w:val="00BA2621"/>
    <w:rsid w:val="00BA27C2"/>
    <w:rsid w:val="00BA295C"/>
    <w:rsid w:val="00BA29EA"/>
    <w:rsid w:val="00BA2A4C"/>
    <w:rsid w:val="00BA2A93"/>
    <w:rsid w:val="00BA2CAB"/>
    <w:rsid w:val="00BA2D1D"/>
    <w:rsid w:val="00BA2D3C"/>
    <w:rsid w:val="00BA2D96"/>
    <w:rsid w:val="00BA2E39"/>
    <w:rsid w:val="00BA2E5F"/>
    <w:rsid w:val="00BA2E68"/>
    <w:rsid w:val="00BA2F66"/>
    <w:rsid w:val="00BA30C2"/>
    <w:rsid w:val="00BA30D6"/>
    <w:rsid w:val="00BA3106"/>
    <w:rsid w:val="00BA31B0"/>
    <w:rsid w:val="00BA33AA"/>
    <w:rsid w:val="00BA3470"/>
    <w:rsid w:val="00BA34F0"/>
    <w:rsid w:val="00BA352C"/>
    <w:rsid w:val="00BA3555"/>
    <w:rsid w:val="00BA357B"/>
    <w:rsid w:val="00BA35D1"/>
    <w:rsid w:val="00BA362F"/>
    <w:rsid w:val="00BA3692"/>
    <w:rsid w:val="00BA375F"/>
    <w:rsid w:val="00BA382A"/>
    <w:rsid w:val="00BA38DA"/>
    <w:rsid w:val="00BA3902"/>
    <w:rsid w:val="00BA39CB"/>
    <w:rsid w:val="00BA3AA0"/>
    <w:rsid w:val="00BA3AEB"/>
    <w:rsid w:val="00BA3C8E"/>
    <w:rsid w:val="00BA3EFB"/>
    <w:rsid w:val="00BA3FD0"/>
    <w:rsid w:val="00BA405E"/>
    <w:rsid w:val="00BA40C9"/>
    <w:rsid w:val="00BA418B"/>
    <w:rsid w:val="00BA4395"/>
    <w:rsid w:val="00BA4630"/>
    <w:rsid w:val="00BA47B7"/>
    <w:rsid w:val="00BA47D8"/>
    <w:rsid w:val="00BA4902"/>
    <w:rsid w:val="00BA491C"/>
    <w:rsid w:val="00BA4977"/>
    <w:rsid w:val="00BA49A3"/>
    <w:rsid w:val="00BA4A76"/>
    <w:rsid w:val="00BA4BAF"/>
    <w:rsid w:val="00BA4C61"/>
    <w:rsid w:val="00BA4CF2"/>
    <w:rsid w:val="00BA4D09"/>
    <w:rsid w:val="00BA4E3C"/>
    <w:rsid w:val="00BA4FB4"/>
    <w:rsid w:val="00BA50BE"/>
    <w:rsid w:val="00BA50EA"/>
    <w:rsid w:val="00BA5131"/>
    <w:rsid w:val="00BA513D"/>
    <w:rsid w:val="00BA5149"/>
    <w:rsid w:val="00BA51A0"/>
    <w:rsid w:val="00BA51AF"/>
    <w:rsid w:val="00BA522F"/>
    <w:rsid w:val="00BA5272"/>
    <w:rsid w:val="00BA52B6"/>
    <w:rsid w:val="00BA5308"/>
    <w:rsid w:val="00BA53C5"/>
    <w:rsid w:val="00BA540D"/>
    <w:rsid w:val="00BA54BE"/>
    <w:rsid w:val="00BA54DE"/>
    <w:rsid w:val="00BA5510"/>
    <w:rsid w:val="00BA55FB"/>
    <w:rsid w:val="00BA5612"/>
    <w:rsid w:val="00BA5683"/>
    <w:rsid w:val="00BA568B"/>
    <w:rsid w:val="00BA5729"/>
    <w:rsid w:val="00BA582C"/>
    <w:rsid w:val="00BA5851"/>
    <w:rsid w:val="00BA5935"/>
    <w:rsid w:val="00BA5948"/>
    <w:rsid w:val="00BA5AEF"/>
    <w:rsid w:val="00BA5B72"/>
    <w:rsid w:val="00BA5C3D"/>
    <w:rsid w:val="00BA5C4B"/>
    <w:rsid w:val="00BA5C59"/>
    <w:rsid w:val="00BA5CE1"/>
    <w:rsid w:val="00BA5D0B"/>
    <w:rsid w:val="00BA5D82"/>
    <w:rsid w:val="00BA5D93"/>
    <w:rsid w:val="00BA5E6E"/>
    <w:rsid w:val="00BA5FE1"/>
    <w:rsid w:val="00BA60F1"/>
    <w:rsid w:val="00BA61B4"/>
    <w:rsid w:val="00BA61EC"/>
    <w:rsid w:val="00BA61FC"/>
    <w:rsid w:val="00BA6268"/>
    <w:rsid w:val="00BA633C"/>
    <w:rsid w:val="00BA63CE"/>
    <w:rsid w:val="00BA6410"/>
    <w:rsid w:val="00BA641B"/>
    <w:rsid w:val="00BA6432"/>
    <w:rsid w:val="00BA6448"/>
    <w:rsid w:val="00BA662B"/>
    <w:rsid w:val="00BA668F"/>
    <w:rsid w:val="00BA6871"/>
    <w:rsid w:val="00BA687C"/>
    <w:rsid w:val="00BA68E4"/>
    <w:rsid w:val="00BA6AFD"/>
    <w:rsid w:val="00BA6B2B"/>
    <w:rsid w:val="00BA6D82"/>
    <w:rsid w:val="00BA6E3C"/>
    <w:rsid w:val="00BA6F83"/>
    <w:rsid w:val="00BA6FB1"/>
    <w:rsid w:val="00BA71FD"/>
    <w:rsid w:val="00BA7233"/>
    <w:rsid w:val="00BA724E"/>
    <w:rsid w:val="00BA728C"/>
    <w:rsid w:val="00BA72A2"/>
    <w:rsid w:val="00BA734A"/>
    <w:rsid w:val="00BA7583"/>
    <w:rsid w:val="00BA75C9"/>
    <w:rsid w:val="00BA76B7"/>
    <w:rsid w:val="00BA7707"/>
    <w:rsid w:val="00BA778B"/>
    <w:rsid w:val="00BA7794"/>
    <w:rsid w:val="00BA77CD"/>
    <w:rsid w:val="00BA792F"/>
    <w:rsid w:val="00BA793D"/>
    <w:rsid w:val="00BA7983"/>
    <w:rsid w:val="00BA79FA"/>
    <w:rsid w:val="00BA7B73"/>
    <w:rsid w:val="00BA7D01"/>
    <w:rsid w:val="00BA7D73"/>
    <w:rsid w:val="00BA7EF2"/>
    <w:rsid w:val="00BA7F76"/>
    <w:rsid w:val="00BA7FC9"/>
    <w:rsid w:val="00BB000F"/>
    <w:rsid w:val="00BB00D6"/>
    <w:rsid w:val="00BB0167"/>
    <w:rsid w:val="00BB0199"/>
    <w:rsid w:val="00BB0234"/>
    <w:rsid w:val="00BB0236"/>
    <w:rsid w:val="00BB029D"/>
    <w:rsid w:val="00BB02B4"/>
    <w:rsid w:val="00BB0353"/>
    <w:rsid w:val="00BB035E"/>
    <w:rsid w:val="00BB037A"/>
    <w:rsid w:val="00BB04A4"/>
    <w:rsid w:val="00BB04AB"/>
    <w:rsid w:val="00BB05F5"/>
    <w:rsid w:val="00BB0647"/>
    <w:rsid w:val="00BB06FD"/>
    <w:rsid w:val="00BB0797"/>
    <w:rsid w:val="00BB08E8"/>
    <w:rsid w:val="00BB0903"/>
    <w:rsid w:val="00BB0932"/>
    <w:rsid w:val="00BB0B0F"/>
    <w:rsid w:val="00BB0B35"/>
    <w:rsid w:val="00BB0D1D"/>
    <w:rsid w:val="00BB0D3F"/>
    <w:rsid w:val="00BB0D74"/>
    <w:rsid w:val="00BB0D9B"/>
    <w:rsid w:val="00BB0F48"/>
    <w:rsid w:val="00BB1106"/>
    <w:rsid w:val="00BB112D"/>
    <w:rsid w:val="00BB13B6"/>
    <w:rsid w:val="00BB13DE"/>
    <w:rsid w:val="00BB14A0"/>
    <w:rsid w:val="00BB14A4"/>
    <w:rsid w:val="00BB151E"/>
    <w:rsid w:val="00BB15CA"/>
    <w:rsid w:val="00BB1602"/>
    <w:rsid w:val="00BB161F"/>
    <w:rsid w:val="00BB1650"/>
    <w:rsid w:val="00BB1667"/>
    <w:rsid w:val="00BB17D5"/>
    <w:rsid w:val="00BB198A"/>
    <w:rsid w:val="00BB1B1A"/>
    <w:rsid w:val="00BB1B2F"/>
    <w:rsid w:val="00BB1B85"/>
    <w:rsid w:val="00BB1B93"/>
    <w:rsid w:val="00BB1C22"/>
    <w:rsid w:val="00BB1D25"/>
    <w:rsid w:val="00BB1D33"/>
    <w:rsid w:val="00BB1E51"/>
    <w:rsid w:val="00BB1E5A"/>
    <w:rsid w:val="00BB2183"/>
    <w:rsid w:val="00BB22DF"/>
    <w:rsid w:val="00BB2367"/>
    <w:rsid w:val="00BB23E0"/>
    <w:rsid w:val="00BB2403"/>
    <w:rsid w:val="00BB26A5"/>
    <w:rsid w:val="00BB26CB"/>
    <w:rsid w:val="00BB2796"/>
    <w:rsid w:val="00BB27B6"/>
    <w:rsid w:val="00BB291B"/>
    <w:rsid w:val="00BB2955"/>
    <w:rsid w:val="00BB295E"/>
    <w:rsid w:val="00BB29DC"/>
    <w:rsid w:val="00BB2C48"/>
    <w:rsid w:val="00BB2D3C"/>
    <w:rsid w:val="00BB2D5F"/>
    <w:rsid w:val="00BB2E43"/>
    <w:rsid w:val="00BB2E79"/>
    <w:rsid w:val="00BB316B"/>
    <w:rsid w:val="00BB31AF"/>
    <w:rsid w:val="00BB32FE"/>
    <w:rsid w:val="00BB33D0"/>
    <w:rsid w:val="00BB33D8"/>
    <w:rsid w:val="00BB33FB"/>
    <w:rsid w:val="00BB3418"/>
    <w:rsid w:val="00BB3523"/>
    <w:rsid w:val="00BB353C"/>
    <w:rsid w:val="00BB354A"/>
    <w:rsid w:val="00BB36EB"/>
    <w:rsid w:val="00BB37D7"/>
    <w:rsid w:val="00BB37F7"/>
    <w:rsid w:val="00BB3973"/>
    <w:rsid w:val="00BB3A0B"/>
    <w:rsid w:val="00BB3A74"/>
    <w:rsid w:val="00BB3B04"/>
    <w:rsid w:val="00BB3B3B"/>
    <w:rsid w:val="00BB3C50"/>
    <w:rsid w:val="00BB3CF2"/>
    <w:rsid w:val="00BB3D95"/>
    <w:rsid w:val="00BB3E69"/>
    <w:rsid w:val="00BB3E88"/>
    <w:rsid w:val="00BB3F92"/>
    <w:rsid w:val="00BB401A"/>
    <w:rsid w:val="00BB4287"/>
    <w:rsid w:val="00BB43CA"/>
    <w:rsid w:val="00BB4446"/>
    <w:rsid w:val="00BB4451"/>
    <w:rsid w:val="00BB44C9"/>
    <w:rsid w:val="00BB4693"/>
    <w:rsid w:val="00BB482B"/>
    <w:rsid w:val="00BB48E5"/>
    <w:rsid w:val="00BB4A44"/>
    <w:rsid w:val="00BB4ABC"/>
    <w:rsid w:val="00BB4AC5"/>
    <w:rsid w:val="00BB4D93"/>
    <w:rsid w:val="00BB4DB4"/>
    <w:rsid w:val="00BB4DBC"/>
    <w:rsid w:val="00BB4E0E"/>
    <w:rsid w:val="00BB4E1B"/>
    <w:rsid w:val="00BB4E2A"/>
    <w:rsid w:val="00BB501D"/>
    <w:rsid w:val="00BB5073"/>
    <w:rsid w:val="00BB509A"/>
    <w:rsid w:val="00BB526D"/>
    <w:rsid w:val="00BB5284"/>
    <w:rsid w:val="00BB53AB"/>
    <w:rsid w:val="00BB552B"/>
    <w:rsid w:val="00BB5567"/>
    <w:rsid w:val="00BB55F1"/>
    <w:rsid w:val="00BB55F7"/>
    <w:rsid w:val="00BB5674"/>
    <w:rsid w:val="00BB5716"/>
    <w:rsid w:val="00BB5914"/>
    <w:rsid w:val="00BB5BF8"/>
    <w:rsid w:val="00BB5CC7"/>
    <w:rsid w:val="00BB5D3D"/>
    <w:rsid w:val="00BB5D8A"/>
    <w:rsid w:val="00BB5E54"/>
    <w:rsid w:val="00BB5F40"/>
    <w:rsid w:val="00BB5F60"/>
    <w:rsid w:val="00BB5FC2"/>
    <w:rsid w:val="00BB602E"/>
    <w:rsid w:val="00BB6121"/>
    <w:rsid w:val="00BB6358"/>
    <w:rsid w:val="00BB6370"/>
    <w:rsid w:val="00BB649F"/>
    <w:rsid w:val="00BB6568"/>
    <w:rsid w:val="00BB6593"/>
    <w:rsid w:val="00BB65B4"/>
    <w:rsid w:val="00BB65C9"/>
    <w:rsid w:val="00BB65D2"/>
    <w:rsid w:val="00BB67DC"/>
    <w:rsid w:val="00BB6923"/>
    <w:rsid w:val="00BB6C9C"/>
    <w:rsid w:val="00BB6CE4"/>
    <w:rsid w:val="00BB6D2F"/>
    <w:rsid w:val="00BB6DA6"/>
    <w:rsid w:val="00BB70F3"/>
    <w:rsid w:val="00BB717C"/>
    <w:rsid w:val="00BB71DC"/>
    <w:rsid w:val="00BB7202"/>
    <w:rsid w:val="00BB72C4"/>
    <w:rsid w:val="00BB73D1"/>
    <w:rsid w:val="00BB7471"/>
    <w:rsid w:val="00BB767B"/>
    <w:rsid w:val="00BB76B0"/>
    <w:rsid w:val="00BB76E8"/>
    <w:rsid w:val="00BB77F5"/>
    <w:rsid w:val="00BB790D"/>
    <w:rsid w:val="00BB7A40"/>
    <w:rsid w:val="00BB7B81"/>
    <w:rsid w:val="00BB7C06"/>
    <w:rsid w:val="00BB7C2F"/>
    <w:rsid w:val="00BB7DEF"/>
    <w:rsid w:val="00BB7F1D"/>
    <w:rsid w:val="00BB7F8D"/>
    <w:rsid w:val="00BC0166"/>
    <w:rsid w:val="00BC01CC"/>
    <w:rsid w:val="00BC01CF"/>
    <w:rsid w:val="00BC0282"/>
    <w:rsid w:val="00BC02E9"/>
    <w:rsid w:val="00BC0396"/>
    <w:rsid w:val="00BC03EB"/>
    <w:rsid w:val="00BC0654"/>
    <w:rsid w:val="00BC074A"/>
    <w:rsid w:val="00BC075D"/>
    <w:rsid w:val="00BC086F"/>
    <w:rsid w:val="00BC090A"/>
    <w:rsid w:val="00BC0923"/>
    <w:rsid w:val="00BC0A22"/>
    <w:rsid w:val="00BC0ADB"/>
    <w:rsid w:val="00BC0B07"/>
    <w:rsid w:val="00BC0BCD"/>
    <w:rsid w:val="00BC0C3A"/>
    <w:rsid w:val="00BC0DBC"/>
    <w:rsid w:val="00BC0E55"/>
    <w:rsid w:val="00BC0E90"/>
    <w:rsid w:val="00BC0F1B"/>
    <w:rsid w:val="00BC1112"/>
    <w:rsid w:val="00BC11F1"/>
    <w:rsid w:val="00BC124B"/>
    <w:rsid w:val="00BC1398"/>
    <w:rsid w:val="00BC13A4"/>
    <w:rsid w:val="00BC1440"/>
    <w:rsid w:val="00BC1469"/>
    <w:rsid w:val="00BC1479"/>
    <w:rsid w:val="00BC148C"/>
    <w:rsid w:val="00BC14BB"/>
    <w:rsid w:val="00BC1516"/>
    <w:rsid w:val="00BC151B"/>
    <w:rsid w:val="00BC1561"/>
    <w:rsid w:val="00BC177A"/>
    <w:rsid w:val="00BC18A7"/>
    <w:rsid w:val="00BC195F"/>
    <w:rsid w:val="00BC1A83"/>
    <w:rsid w:val="00BC1AEB"/>
    <w:rsid w:val="00BC1B53"/>
    <w:rsid w:val="00BC1BF6"/>
    <w:rsid w:val="00BC1C57"/>
    <w:rsid w:val="00BC1CCC"/>
    <w:rsid w:val="00BC1D5E"/>
    <w:rsid w:val="00BC1EA4"/>
    <w:rsid w:val="00BC1EA7"/>
    <w:rsid w:val="00BC1FD3"/>
    <w:rsid w:val="00BC203D"/>
    <w:rsid w:val="00BC2118"/>
    <w:rsid w:val="00BC2153"/>
    <w:rsid w:val="00BC217C"/>
    <w:rsid w:val="00BC22D1"/>
    <w:rsid w:val="00BC23D3"/>
    <w:rsid w:val="00BC23ED"/>
    <w:rsid w:val="00BC2412"/>
    <w:rsid w:val="00BC2486"/>
    <w:rsid w:val="00BC2657"/>
    <w:rsid w:val="00BC277A"/>
    <w:rsid w:val="00BC27BC"/>
    <w:rsid w:val="00BC27CA"/>
    <w:rsid w:val="00BC2815"/>
    <w:rsid w:val="00BC28A7"/>
    <w:rsid w:val="00BC2966"/>
    <w:rsid w:val="00BC2970"/>
    <w:rsid w:val="00BC29B2"/>
    <w:rsid w:val="00BC2AB4"/>
    <w:rsid w:val="00BC2B25"/>
    <w:rsid w:val="00BC2B8B"/>
    <w:rsid w:val="00BC2BAE"/>
    <w:rsid w:val="00BC2CA8"/>
    <w:rsid w:val="00BC2CCE"/>
    <w:rsid w:val="00BC2CED"/>
    <w:rsid w:val="00BC2D00"/>
    <w:rsid w:val="00BC2D1E"/>
    <w:rsid w:val="00BC2E06"/>
    <w:rsid w:val="00BC2E7A"/>
    <w:rsid w:val="00BC3124"/>
    <w:rsid w:val="00BC3157"/>
    <w:rsid w:val="00BC319B"/>
    <w:rsid w:val="00BC31E9"/>
    <w:rsid w:val="00BC327F"/>
    <w:rsid w:val="00BC333B"/>
    <w:rsid w:val="00BC33AC"/>
    <w:rsid w:val="00BC3410"/>
    <w:rsid w:val="00BC35BC"/>
    <w:rsid w:val="00BC35EF"/>
    <w:rsid w:val="00BC362C"/>
    <w:rsid w:val="00BC36AF"/>
    <w:rsid w:val="00BC36DB"/>
    <w:rsid w:val="00BC36E6"/>
    <w:rsid w:val="00BC36F5"/>
    <w:rsid w:val="00BC37AA"/>
    <w:rsid w:val="00BC37C4"/>
    <w:rsid w:val="00BC3A11"/>
    <w:rsid w:val="00BC3AC5"/>
    <w:rsid w:val="00BC3B55"/>
    <w:rsid w:val="00BC3BBF"/>
    <w:rsid w:val="00BC3C3B"/>
    <w:rsid w:val="00BC3C46"/>
    <w:rsid w:val="00BC3CA8"/>
    <w:rsid w:val="00BC3D5F"/>
    <w:rsid w:val="00BC3E56"/>
    <w:rsid w:val="00BC3EFE"/>
    <w:rsid w:val="00BC3F01"/>
    <w:rsid w:val="00BC3FB1"/>
    <w:rsid w:val="00BC3FE1"/>
    <w:rsid w:val="00BC41CE"/>
    <w:rsid w:val="00BC427C"/>
    <w:rsid w:val="00BC429A"/>
    <w:rsid w:val="00BC430B"/>
    <w:rsid w:val="00BC444D"/>
    <w:rsid w:val="00BC4463"/>
    <w:rsid w:val="00BC4510"/>
    <w:rsid w:val="00BC4560"/>
    <w:rsid w:val="00BC4621"/>
    <w:rsid w:val="00BC4682"/>
    <w:rsid w:val="00BC4743"/>
    <w:rsid w:val="00BC49AF"/>
    <w:rsid w:val="00BC4A6B"/>
    <w:rsid w:val="00BC4A70"/>
    <w:rsid w:val="00BC4B11"/>
    <w:rsid w:val="00BC4B30"/>
    <w:rsid w:val="00BC4D28"/>
    <w:rsid w:val="00BC4D77"/>
    <w:rsid w:val="00BC4DE1"/>
    <w:rsid w:val="00BC4F15"/>
    <w:rsid w:val="00BC4F26"/>
    <w:rsid w:val="00BC4F2D"/>
    <w:rsid w:val="00BC4FD7"/>
    <w:rsid w:val="00BC504E"/>
    <w:rsid w:val="00BC50A5"/>
    <w:rsid w:val="00BC50D0"/>
    <w:rsid w:val="00BC519A"/>
    <w:rsid w:val="00BC51A2"/>
    <w:rsid w:val="00BC51BF"/>
    <w:rsid w:val="00BC53E5"/>
    <w:rsid w:val="00BC5402"/>
    <w:rsid w:val="00BC5479"/>
    <w:rsid w:val="00BC55B4"/>
    <w:rsid w:val="00BC565A"/>
    <w:rsid w:val="00BC5883"/>
    <w:rsid w:val="00BC59DF"/>
    <w:rsid w:val="00BC59E3"/>
    <w:rsid w:val="00BC5A6D"/>
    <w:rsid w:val="00BC5B4D"/>
    <w:rsid w:val="00BC5B67"/>
    <w:rsid w:val="00BC5C7E"/>
    <w:rsid w:val="00BC5D1A"/>
    <w:rsid w:val="00BC5DE4"/>
    <w:rsid w:val="00BC5E8A"/>
    <w:rsid w:val="00BC6001"/>
    <w:rsid w:val="00BC605D"/>
    <w:rsid w:val="00BC60FB"/>
    <w:rsid w:val="00BC6154"/>
    <w:rsid w:val="00BC61CB"/>
    <w:rsid w:val="00BC6281"/>
    <w:rsid w:val="00BC6310"/>
    <w:rsid w:val="00BC638E"/>
    <w:rsid w:val="00BC63CC"/>
    <w:rsid w:val="00BC63EB"/>
    <w:rsid w:val="00BC6563"/>
    <w:rsid w:val="00BC66EB"/>
    <w:rsid w:val="00BC68E1"/>
    <w:rsid w:val="00BC68E6"/>
    <w:rsid w:val="00BC69AE"/>
    <w:rsid w:val="00BC6A10"/>
    <w:rsid w:val="00BC6B18"/>
    <w:rsid w:val="00BC6BB9"/>
    <w:rsid w:val="00BC6C18"/>
    <w:rsid w:val="00BC6CBD"/>
    <w:rsid w:val="00BC6E4B"/>
    <w:rsid w:val="00BC6E70"/>
    <w:rsid w:val="00BC6E84"/>
    <w:rsid w:val="00BC6FBA"/>
    <w:rsid w:val="00BC7060"/>
    <w:rsid w:val="00BC7065"/>
    <w:rsid w:val="00BC70EA"/>
    <w:rsid w:val="00BC7237"/>
    <w:rsid w:val="00BC7307"/>
    <w:rsid w:val="00BC7377"/>
    <w:rsid w:val="00BC74CA"/>
    <w:rsid w:val="00BC752C"/>
    <w:rsid w:val="00BC75D3"/>
    <w:rsid w:val="00BC763A"/>
    <w:rsid w:val="00BC76B4"/>
    <w:rsid w:val="00BC7737"/>
    <w:rsid w:val="00BC774D"/>
    <w:rsid w:val="00BC77A5"/>
    <w:rsid w:val="00BC77FE"/>
    <w:rsid w:val="00BC7B4E"/>
    <w:rsid w:val="00BC7C99"/>
    <w:rsid w:val="00BC7CD1"/>
    <w:rsid w:val="00BC7D98"/>
    <w:rsid w:val="00BC7E29"/>
    <w:rsid w:val="00BC7F09"/>
    <w:rsid w:val="00BD0111"/>
    <w:rsid w:val="00BD0279"/>
    <w:rsid w:val="00BD0284"/>
    <w:rsid w:val="00BD04D5"/>
    <w:rsid w:val="00BD050B"/>
    <w:rsid w:val="00BD05FE"/>
    <w:rsid w:val="00BD0696"/>
    <w:rsid w:val="00BD07F8"/>
    <w:rsid w:val="00BD08F8"/>
    <w:rsid w:val="00BD09F0"/>
    <w:rsid w:val="00BD0ACE"/>
    <w:rsid w:val="00BD0BFF"/>
    <w:rsid w:val="00BD0C62"/>
    <w:rsid w:val="00BD0CD3"/>
    <w:rsid w:val="00BD0CD4"/>
    <w:rsid w:val="00BD0CE1"/>
    <w:rsid w:val="00BD0DDD"/>
    <w:rsid w:val="00BD0F72"/>
    <w:rsid w:val="00BD0FFB"/>
    <w:rsid w:val="00BD10DB"/>
    <w:rsid w:val="00BD1156"/>
    <w:rsid w:val="00BD1271"/>
    <w:rsid w:val="00BD15C4"/>
    <w:rsid w:val="00BD15D3"/>
    <w:rsid w:val="00BD1626"/>
    <w:rsid w:val="00BD1627"/>
    <w:rsid w:val="00BD1631"/>
    <w:rsid w:val="00BD1682"/>
    <w:rsid w:val="00BD1694"/>
    <w:rsid w:val="00BD16D9"/>
    <w:rsid w:val="00BD16DE"/>
    <w:rsid w:val="00BD18C1"/>
    <w:rsid w:val="00BD1966"/>
    <w:rsid w:val="00BD1ACE"/>
    <w:rsid w:val="00BD1B66"/>
    <w:rsid w:val="00BD1B98"/>
    <w:rsid w:val="00BD1C34"/>
    <w:rsid w:val="00BD1D70"/>
    <w:rsid w:val="00BD1DDF"/>
    <w:rsid w:val="00BD1E15"/>
    <w:rsid w:val="00BD1E5C"/>
    <w:rsid w:val="00BD20A8"/>
    <w:rsid w:val="00BD2102"/>
    <w:rsid w:val="00BD2269"/>
    <w:rsid w:val="00BD22D1"/>
    <w:rsid w:val="00BD22F5"/>
    <w:rsid w:val="00BD2300"/>
    <w:rsid w:val="00BD25A7"/>
    <w:rsid w:val="00BD25B5"/>
    <w:rsid w:val="00BD26C6"/>
    <w:rsid w:val="00BD27EB"/>
    <w:rsid w:val="00BD2845"/>
    <w:rsid w:val="00BD28A8"/>
    <w:rsid w:val="00BD2A9D"/>
    <w:rsid w:val="00BD2B29"/>
    <w:rsid w:val="00BD2BA6"/>
    <w:rsid w:val="00BD2BE0"/>
    <w:rsid w:val="00BD2C5A"/>
    <w:rsid w:val="00BD2CF2"/>
    <w:rsid w:val="00BD2CFF"/>
    <w:rsid w:val="00BD2D94"/>
    <w:rsid w:val="00BD2EC6"/>
    <w:rsid w:val="00BD2F10"/>
    <w:rsid w:val="00BD3117"/>
    <w:rsid w:val="00BD31C3"/>
    <w:rsid w:val="00BD323E"/>
    <w:rsid w:val="00BD3416"/>
    <w:rsid w:val="00BD3515"/>
    <w:rsid w:val="00BD351C"/>
    <w:rsid w:val="00BD35B8"/>
    <w:rsid w:val="00BD36D9"/>
    <w:rsid w:val="00BD37F2"/>
    <w:rsid w:val="00BD3A34"/>
    <w:rsid w:val="00BD3AB9"/>
    <w:rsid w:val="00BD3AF4"/>
    <w:rsid w:val="00BD3BA5"/>
    <w:rsid w:val="00BD3C0D"/>
    <w:rsid w:val="00BD3C14"/>
    <w:rsid w:val="00BD3CC5"/>
    <w:rsid w:val="00BD3CFC"/>
    <w:rsid w:val="00BD3D53"/>
    <w:rsid w:val="00BD3D9E"/>
    <w:rsid w:val="00BD3DFD"/>
    <w:rsid w:val="00BD3EF7"/>
    <w:rsid w:val="00BD3FB1"/>
    <w:rsid w:val="00BD3FD5"/>
    <w:rsid w:val="00BD4002"/>
    <w:rsid w:val="00BD4138"/>
    <w:rsid w:val="00BD4162"/>
    <w:rsid w:val="00BD4287"/>
    <w:rsid w:val="00BD448D"/>
    <w:rsid w:val="00BD4497"/>
    <w:rsid w:val="00BD4566"/>
    <w:rsid w:val="00BD4583"/>
    <w:rsid w:val="00BD45CD"/>
    <w:rsid w:val="00BD45EB"/>
    <w:rsid w:val="00BD46DA"/>
    <w:rsid w:val="00BD46DD"/>
    <w:rsid w:val="00BD4749"/>
    <w:rsid w:val="00BD4751"/>
    <w:rsid w:val="00BD4804"/>
    <w:rsid w:val="00BD4841"/>
    <w:rsid w:val="00BD499F"/>
    <w:rsid w:val="00BD49F9"/>
    <w:rsid w:val="00BD4A98"/>
    <w:rsid w:val="00BD4ACA"/>
    <w:rsid w:val="00BD4B61"/>
    <w:rsid w:val="00BD4B71"/>
    <w:rsid w:val="00BD4C06"/>
    <w:rsid w:val="00BD4CCB"/>
    <w:rsid w:val="00BD4DEB"/>
    <w:rsid w:val="00BD4E76"/>
    <w:rsid w:val="00BD4F25"/>
    <w:rsid w:val="00BD4F72"/>
    <w:rsid w:val="00BD4FBA"/>
    <w:rsid w:val="00BD5029"/>
    <w:rsid w:val="00BD5051"/>
    <w:rsid w:val="00BD5098"/>
    <w:rsid w:val="00BD512C"/>
    <w:rsid w:val="00BD5173"/>
    <w:rsid w:val="00BD51A0"/>
    <w:rsid w:val="00BD52A8"/>
    <w:rsid w:val="00BD52CE"/>
    <w:rsid w:val="00BD5559"/>
    <w:rsid w:val="00BD5606"/>
    <w:rsid w:val="00BD57C5"/>
    <w:rsid w:val="00BD58A2"/>
    <w:rsid w:val="00BD58B3"/>
    <w:rsid w:val="00BD5B09"/>
    <w:rsid w:val="00BD5B18"/>
    <w:rsid w:val="00BD5B54"/>
    <w:rsid w:val="00BD5B95"/>
    <w:rsid w:val="00BD5E96"/>
    <w:rsid w:val="00BD5EC8"/>
    <w:rsid w:val="00BD5F22"/>
    <w:rsid w:val="00BD5F6D"/>
    <w:rsid w:val="00BD5FE3"/>
    <w:rsid w:val="00BD6038"/>
    <w:rsid w:val="00BD6055"/>
    <w:rsid w:val="00BD6070"/>
    <w:rsid w:val="00BD6072"/>
    <w:rsid w:val="00BD6099"/>
    <w:rsid w:val="00BD60D3"/>
    <w:rsid w:val="00BD614D"/>
    <w:rsid w:val="00BD61E9"/>
    <w:rsid w:val="00BD625B"/>
    <w:rsid w:val="00BD6428"/>
    <w:rsid w:val="00BD646D"/>
    <w:rsid w:val="00BD64EF"/>
    <w:rsid w:val="00BD655E"/>
    <w:rsid w:val="00BD65BB"/>
    <w:rsid w:val="00BD6627"/>
    <w:rsid w:val="00BD6631"/>
    <w:rsid w:val="00BD6642"/>
    <w:rsid w:val="00BD666C"/>
    <w:rsid w:val="00BD67D1"/>
    <w:rsid w:val="00BD67DF"/>
    <w:rsid w:val="00BD68E2"/>
    <w:rsid w:val="00BD69F8"/>
    <w:rsid w:val="00BD6B79"/>
    <w:rsid w:val="00BD6BE1"/>
    <w:rsid w:val="00BD6C18"/>
    <w:rsid w:val="00BD6C98"/>
    <w:rsid w:val="00BD6CFE"/>
    <w:rsid w:val="00BD6F6F"/>
    <w:rsid w:val="00BD6F86"/>
    <w:rsid w:val="00BD726E"/>
    <w:rsid w:val="00BD7311"/>
    <w:rsid w:val="00BD7394"/>
    <w:rsid w:val="00BD7397"/>
    <w:rsid w:val="00BD73A8"/>
    <w:rsid w:val="00BD73B1"/>
    <w:rsid w:val="00BD73F8"/>
    <w:rsid w:val="00BD7450"/>
    <w:rsid w:val="00BD74B8"/>
    <w:rsid w:val="00BD758F"/>
    <w:rsid w:val="00BD75AE"/>
    <w:rsid w:val="00BD7721"/>
    <w:rsid w:val="00BD7800"/>
    <w:rsid w:val="00BD78C6"/>
    <w:rsid w:val="00BD795B"/>
    <w:rsid w:val="00BD7A69"/>
    <w:rsid w:val="00BD7AC0"/>
    <w:rsid w:val="00BD7BE4"/>
    <w:rsid w:val="00BD7DB0"/>
    <w:rsid w:val="00BD7E47"/>
    <w:rsid w:val="00BD7E5D"/>
    <w:rsid w:val="00BE0019"/>
    <w:rsid w:val="00BE006D"/>
    <w:rsid w:val="00BE00A8"/>
    <w:rsid w:val="00BE01E4"/>
    <w:rsid w:val="00BE026E"/>
    <w:rsid w:val="00BE0340"/>
    <w:rsid w:val="00BE038B"/>
    <w:rsid w:val="00BE049C"/>
    <w:rsid w:val="00BE04DF"/>
    <w:rsid w:val="00BE0543"/>
    <w:rsid w:val="00BE0572"/>
    <w:rsid w:val="00BE0577"/>
    <w:rsid w:val="00BE0642"/>
    <w:rsid w:val="00BE0787"/>
    <w:rsid w:val="00BE0843"/>
    <w:rsid w:val="00BE084D"/>
    <w:rsid w:val="00BE0AEF"/>
    <w:rsid w:val="00BE0D1E"/>
    <w:rsid w:val="00BE0E84"/>
    <w:rsid w:val="00BE0FBD"/>
    <w:rsid w:val="00BE0FEC"/>
    <w:rsid w:val="00BE1134"/>
    <w:rsid w:val="00BE119D"/>
    <w:rsid w:val="00BE135A"/>
    <w:rsid w:val="00BE13B0"/>
    <w:rsid w:val="00BE1417"/>
    <w:rsid w:val="00BE14FF"/>
    <w:rsid w:val="00BE15FC"/>
    <w:rsid w:val="00BE16E2"/>
    <w:rsid w:val="00BE1753"/>
    <w:rsid w:val="00BE1829"/>
    <w:rsid w:val="00BE1874"/>
    <w:rsid w:val="00BE18BE"/>
    <w:rsid w:val="00BE18F5"/>
    <w:rsid w:val="00BE19C5"/>
    <w:rsid w:val="00BE1D5D"/>
    <w:rsid w:val="00BE1E44"/>
    <w:rsid w:val="00BE1EF2"/>
    <w:rsid w:val="00BE1FE5"/>
    <w:rsid w:val="00BE1FE9"/>
    <w:rsid w:val="00BE20C6"/>
    <w:rsid w:val="00BE2251"/>
    <w:rsid w:val="00BE2330"/>
    <w:rsid w:val="00BE24D4"/>
    <w:rsid w:val="00BE24E4"/>
    <w:rsid w:val="00BE27D3"/>
    <w:rsid w:val="00BE285A"/>
    <w:rsid w:val="00BE28A2"/>
    <w:rsid w:val="00BE29CB"/>
    <w:rsid w:val="00BE2AC6"/>
    <w:rsid w:val="00BE2B11"/>
    <w:rsid w:val="00BE2C38"/>
    <w:rsid w:val="00BE2C4A"/>
    <w:rsid w:val="00BE2CD5"/>
    <w:rsid w:val="00BE2E04"/>
    <w:rsid w:val="00BE2F54"/>
    <w:rsid w:val="00BE3007"/>
    <w:rsid w:val="00BE308B"/>
    <w:rsid w:val="00BE309C"/>
    <w:rsid w:val="00BE3148"/>
    <w:rsid w:val="00BE31E1"/>
    <w:rsid w:val="00BE3365"/>
    <w:rsid w:val="00BE338C"/>
    <w:rsid w:val="00BE358D"/>
    <w:rsid w:val="00BE35EF"/>
    <w:rsid w:val="00BE3718"/>
    <w:rsid w:val="00BE3758"/>
    <w:rsid w:val="00BE3787"/>
    <w:rsid w:val="00BE37AB"/>
    <w:rsid w:val="00BE382D"/>
    <w:rsid w:val="00BE3869"/>
    <w:rsid w:val="00BE3986"/>
    <w:rsid w:val="00BE3AEB"/>
    <w:rsid w:val="00BE3B5B"/>
    <w:rsid w:val="00BE3C93"/>
    <w:rsid w:val="00BE3CA8"/>
    <w:rsid w:val="00BE3CB8"/>
    <w:rsid w:val="00BE3CBA"/>
    <w:rsid w:val="00BE3D07"/>
    <w:rsid w:val="00BE3ECB"/>
    <w:rsid w:val="00BE3EDB"/>
    <w:rsid w:val="00BE3F30"/>
    <w:rsid w:val="00BE40D9"/>
    <w:rsid w:val="00BE416F"/>
    <w:rsid w:val="00BE4203"/>
    <w:rsid w:val="00BE4290"/>
    <w:rsid w:val="00BE42BC"/>
    <w:rsid w:val="00BE441F"/>
    <w:rsid w:val="00BE44F5"/>
    <w:rsid w:val="00BE456D"/>
    <w:rsid w:val="00BE4627"/>
    <w:rsid w:val="00BE47D2"/>
    <w:rsid w:val="00BE4870"/>
    <w:rsid w:val="00BE4943"/>
    <w:rsid w:val="00BE4A97"/>
    <w:rsid w:val="00BE4C8B"/>
    <w:rsid w:val="00BE4CC6"/>
    <w:rsid w:val="00BE4CE2"/>
    <w:rsid w:val="00BE4D09"/>
    <w:rsid w:val="00BE4D5A"/>
    <w:rsid w:val="00BE4D90"/>
    <w:rsid w:val="00BE4DB9"/>
    <w:rsid w:val="00BE4E23"/>
    <w:rsid w:val="00BE5127"/>
    <w:rsid w:val="00BE51CC"/>
    <w:rsid w:val="00BE5221"/>
    <w:rsid w:val="00BE531B"/>
    <w:rsid w:val="00BE54D1"/>
    <w:rsid w:val="00BE5504"/>
    <w:rsid w:val="00BE554B"/>
    <w:rsid w:val="00BE55DD"/>
    <w:rsid w:val="00BE5749"/>
    <w:rsid w:val="00BE57F5"/>
    <w:rsid w:val="00BE58EA"/>
    <w:rsid w:val="00BE5A34"/>
    <w:rsid w:val="00BE5AFA"/>
    <w:rsid w:val="00BE5B6E"/>
    <w:rsid w:val="00BE5C19"/>
    <w:rsid w:val="00BE5D08"/>
    <w:rsid w:val="00BE5DA5"/>
    <w:rsid w:val="00BE5F5D"/>
    <w:rsid w:val="00BE5FC8"/>
    <w:rsid w:val="00BE6042"/>
    <w:rsid w:val="00BE60E0"/>
    <w:rsid w:val="00BE61FD"/>
    <w:rsid w:val="00BE626B"/>
    <w:rsid w:val="00BE6341"/>
    <w:rsid w:val="00BE6352"/>
    <w:rsid w:val="00BE6371"/>
    <w:rsid w:val="00BE63AF"/>
    <w:rsid w:val="00BE640A"/>
    <w:rsid w:val="00BE6436"/>
    <w:rsid w:val="00BE6448"/>
    <w:rsid w:val="00BE64E2"/>
    <w:rsid w:val="00BE64EC"/>
    <w:rsid w:val="00BE656A"/>
    <w:rsid w:val="00BE65AB"/>
    <w:rsid w:val="00BE65F4"/>
    <w:rsid w:val="00BE6850"/>
    <w:rsid w:val="00BE6A50"/>
    <w:rsid w:val="00BE6AAC"/>
    <w:rsid w:val="00BE6B5C"/>
    <w:rsid w:val="00BE6B7F"/>
    <w:rsid w:val="00BE6BA2"/>
    <w:rsid w:val="00BE6C39"/>
    <w:rsid w:val="00BE6D17"/>
    <w:rsid w:val="00BE6F3A"/>
    <w:rsid w:val="00BE6F97"/>
    <w:rsid w:val="00BE6FA8"/>
    <w:rsid w:val="00BE6FCD"/>
    <w:rsid w:val="00BE7082"/>
    <w:rsid w:val="00BE70EF"/>
    <w:rsid w:val="00BE729D"/>
    <w:rsid w:val="00BE7373"/>
    <w:rsid w:val="00BE73A9"/>
    <w:rsid w:val="00BE73F7"/>
    <w:rsid w:val="00BE7416"/>
    <w:rsid w:val="00BE74A6"/>
    <w:rsid w:val="00BE74F5"/>
    <w:rsid w:val="00BE7507"/>
    <w:rsid w:val="00BE7609"/>
    <w:rsid w:val="00BE7766"/>
    <w:rsid w:val="00BE782B"/>
    <w:rsid w:val="00BE7954"/>
    <w:rsid w:val="00BE7A7C"/>
    <w:rsid w:val="00BE7BBD"/>
    <w:rsid w:val="00BE7D3D"/>
    <w:rsid w:val="00BE7D67"/>
    <w:rsid w:val="00BE7D7D"/>
    <w:rsid w:val="00BE7FB6"/>
    <w:rsid w:val="00BF00CF"/>
    <w:rsid w:val="00BF00FC"/>
    <w:rsid w:val="00BF014B"/>
    <w:rsid w:val="00BF0177"/>
    <w:rsid w:val="00BF01FA"/>
    <w:rsid w:val="00BF0200"/>
    <w:rsid w:val="00BF02B4"/>
    <w:rsid w:val="00BF02EF"/>
    <w:rsid w:val="00BF03A5"/>
    <w:rsid w:val="00BF03E2"/>
    <w:rsid w:val="00BF0405"/>
    <w:rsid w:val="00BF056B"/>
    <w:rsid w:val="00BF05A2"/>
    <w:rsid w:val="00BF060A"/>
    <w:rsid w:val="00BF0AAA"/>
    <w:rsid w:val="00BF0B06"/>
    <w:rsid w:val="00BF0B90"/>
    <w:rsid w:val="00BF0BB1"/>
    <w:rsid w:val="00BF0BDC"/>
    <w:rsid w:val="00BF0CA3"/>
    <w:rsid w:val="00BF0CB8"/>
    <w:rsid w:val="00BF0CFA"/>
    <w:rsid w:val="00BF0D40"/>
    <w:rsid w:val="00BF0EC0"/>
    <w:rsid w:val="00BF0F44"/>
    <w:rsid w:val="00BF0FC5"/>
    <w:rsid w:val="00BF1038"/>
    <w:rsid w:val="00BF1069"/>
    <w:rsid w:val="00BF11D0"/>
    <w:rsid w:val="00BF1223"/>
    <w:rsid w:val="00BF1234"/>
    <w:rsid w:val="00BF1249"/>
    <w:rsid w:val="00BF12BD"/>
    <w:rsid w:val="00BF1317"/>
    <w:rsid w:val="00BF1396"/>
    <w:rsid w:val="00BF158A"/>
    <w:rsid w:val="00BF15F1"/>
    <w:rsid w:val="00BF1804"/>
    <w:rsid w:val="00BF1872"/>
    <w:rsid w:val="00BF1A30"/>
    <w:rsid w:val="00BF1AD7"/>
    <w:rsid w:val="00BF1B91"/>
    <w:rsid w:val="00BF1C7C"/>
    <w:rsid w:val="00BF1CAE"/>
    <w:rsid w:val="00BF1D83"/>
    <w:rsid w:val="00BF1DD6"/>
    <w:rsid w:val="00BF1FB1"/>
    <w:rsid w:val="00BF2086"/>
    <w:rsid w:val="00BF21D4"/>
    <w:rsid w:val="00BF228F"/>
    <w:rsid w:val="00BF229F"/>
    <w:rsid w:val="00BF22D2"/>
    <w:rsid w:val="00BF2385"/>
    <w:rsid w:val="00BF23A0"/>
    <w:rsid w:val="00BF253D"/>
    <w:rsid w:val="00BF2625"/>
    <w:rsid w:val="00BF2629"/>
    <w:rsid w:val="00BF2786"/>
    <w:rsid w:val="00BF27B8"/>
    <w:rsid w:val="00BF2837"/>
    <w:rsid w:val="00BF28E7"/>
    <w:rsid w:val="00BF28EE"/>
    <w:rsid w:val="00BF2959"/>
    <w:rsid w:val="00BF2C55"/>
    <w:rsid w:val="00BF2C64"/>
    <w:rsid w:val="00BF2CA9"/>
    <w:rsid w:val="00BF2D25"/>
    <w:rsid w:val="00BF2DC9"/>
    <w:rsid w:val="00BF2DFB"/>
    <w:rsid w:val="00BF2EEF"/>
    <w:rsid w:val="00BF2F6A"/>
    <w:rsid w:val="00BF2F9B"/>
    <w:rsid w:val="00BF30A4"/>
    <w:rsid w:val="00BF30FC"/>
    <w:rsid w:val="00BF317A"/>
    <w:rsid w:val="00BF3235"/>
    <w:rsid w:val="00BF3245"/>
    <w:rsid w:val="00BF3264"/>
    <w:rsid w:val="00BF32B1"/>
    <w:rsid w:val="00BF3341"/>
    <w:rsid w:val="00BF3346"/>
    <w:rsid w:val="00BF3444"/>
    <w:rsid w:val="00BF34A0"/>
    <w:rsid w:val="00BF3572"/>
    <w:rsid w:val="00BF35CB"/>
    <w:rsid w:val="00BF35D6"/>
    <w:rsid w:val="00BF362D"/>
    <w:rsid w:val="00BF3652"/>
    <w:rsid w:val="00BF3719"/>
    <w:rsid w:val="00BF3763"/>
    <w:rsid w:val="00BF37EC"/>
    <w:rsid w:val="00BF38A8"/>
    <w:rsid w:val="00BF3A0A"/>
    <w:rsid w:val="00BF3C39"/>
    <w:rsid w:val="00BF3CD7"/>
    <w:rsid w:val="00BF3DA1"/>
    <w:rsid w:val="00BF3DA4"/>
    <w:rsid w:val="00BF3DD2"/>
    <w:rsid w:val="00BF3E08"/>
    <w:rsid w:val="00BF3E4C"/>
    <w:rsid w:val="00BF3E67"/>
    <w:rsid w:val="00BF3EFD"/>
    <w:rsid w:val="00BF3F2E"/>
    <w:rsid w:val="00BF3F35"/>
    <w:rsid w:val="00BF3FDE"/>
    <w:rsid w:val="00BF4031"/>
    <w:rsid w:val="00BF4253"/>
    <w:rsid w:val="00BF42BF"/>
    <w:rsid w:val="00BF4410"/>
    <w:rsid w:val="00BF447B"/>
    <w:rsid w:val="00BF4506"/>
    <w:rsid w:val="00BF450B"/>
    <w:rsid w:val="00BF46F4"/>
    <w:rsid w:val="00BF48DA"/>
    <w:rsid w:val="00BF48ED"/>
    <w:rsid w:val="00BF49E0"/>
    <w:rsid w:val="00BF4AEB"/>
    <w:rsid w:val="00BF4B4F"/>
    <w:rsid w:val="00BF4C08"/>
    <w:rsid w:val="00BF4C69"/>
    <w:rsid w:val="00BF4C94"/>
    <w:rsid w:val="00BF4E33"/>
    <w:rsid w:val="00BF4ECB"/>
    <w:rsid w:val="00BF50A7"/>
    <w:rsid w:val="00BF52B2"/>
    <w:rsid w:val="00BF52B8"/>
    <w:rsid w:val="00BF5341"/>
    <w:rsid w:val="00BF543B"/>
    <w:rsid w:val="00BF55B4"/>
    <w:rsid w:val="00BF56BB"/>
    <w:rsid w:val="00BF5750"/>
    <w:rsid w:val="00BF5781"/>
    <w:rsid w:val="00BF59B7"/>
    <w:rsid w:val="00BF5A36"/>
    <w:rsid w:val="00BF5A78"/>
    <w:rsid w:val="00BF5B90"/>
    <w:rsid w:val="00BF5BDF"/>
    <w:rsid w:val="00BF5C34"/>
    <w:rsid w:val="00BF5C4F"/>
    <w:rsid w:val="00BF5D45"/>
    <w:rsid w:val="00BF612D"/>
    <w:rsid w:val="00BF6151"/>
    <w:rsid w:val="00BF618C"/>
    <w:rsid w:val="00BF61EF"/>
    <w:rsid w:val="00BF61F5"/>
    <w:rsid w:val="00BF626D"/>
    <w:rsid w:val="00BF6519"/>
    <w:rsid w:val="00BF66FB"/>
    <w:rsid w:val="00BF6765"/>
    <w:rsid w:val="00BF67B1"/>
    <w:rsid w:val="00BF67F2"/>
    <w:rsid w:val="00BF6837"/>
    <w:rsid w:val="00BF6841"/>
    <w:rsid w:val="00BF692C"/>
    <w:rsid w:val="00BF694F"/>
    <w:rsid w:val="00BF6A06"/>
    <w:rsid w:val="00BF6AA3"/>
    <w:rsid w:val="00BF6ABD"/>
    <w:rsid w:val="00BF6B6B"/>
    <w:rsid w:val="00BF6C08"/>
    <w:rsid w:val="00BF6C5A"/>
    <w:rsid w:val="00BF6CDD"/>
    <w:rsid w:val="00BF6CEA"/>
    <w:rsid w:val="00BF6E84"/>
    <w:rsid w:val="00BF6EC1"/>
    <w:rsid w:val="00BF6F5E"/>
    <w:rsid w:val="00BF6F9B"/>
    <w:rsid w:val="00BF6FA7"/>
    <w:rsid w:val="00BF7114"/>
    <w:rsid w:val="00BF7365"/>
    <w:rsid w:val="00BF7385"/>
    <w:rsid w:val="00BF7400"/>
    <w:rsid w:val="00BF74D0"/>
    <w:rsid w:val="00BF7554"/>
    <w:rsid w:val="00BF7683"/>
    <w:rsid w:val="00BF7792"/>
    <w:rsid w:val="00BF77DF"/>
    <w:rsid w:val="00BF7A17"/>
    <w:rsid w:val="00BF7A37"/>
    <w:rsid w:val="00BF7B17"/>
    <w:rsid w:val="00BF7C29"/>
    <w:rsid w:val="00BF7CD8"/>
    <w:rsid w:val="00BF7CDD"/>
    <w:rsid w:val="00BF7D32"/>
    <w:rsid w:val="00BF7D85"/>
    <w:rsid w:val="00BF7E1A"/>
    <w:rsid w:val="00C000AB"/>
    <w:rsid w:val="00C0032C"/>
    <w:rsid w:val="00C00356"/>
    <w:rsid w:val="00C003C6"/>
    <w:rsid w:val="00C00436"/>
    <w:rsid w:val="00C00508"/>
    <w:rsid w:val="00C00515"/>
    <w:rsid w:val="00C00579"/>
    <w:rsid w:val="00C0068C"/>
    <w:rsid w:val="00C006E7"/>
    <w:rsid w:val="00C007B7"/>
    <w:rsid w:val="00C007F2"/>
    <w:rsid w:val="00C00871"/>
    <w:rsid w:val="00C0098D"/>
    <w:rsid w:val="00C009DC"/>
    <w:rsid w:val="00C009E0"/>
    <w:rsid w:val="00C00A04"/>
    <w:rsid w:val="00C00B44"/>
    <w:rsid w:val="00C00B4D"/>
    <w:rsid w:val="00C00CF5"/>
    <w:rsid w:val="00C00D31"/>
    <w:rsid w:val="00C00EA9"/>
    <w:rsid w:val="00C00ED4"/>
    <w:rsid w:val="00C00EFB"/>
    <w:rsid w:val="00C01053"/>
    <w:rsid w:val="00C01109"/>
    <w:rsid w:val="00C0120C"/>
    <w:rsid w:val="00C0121D"/>
    <w:rsid w:val="00C0141E"/>
    <w:rsid w:val="00C01445"/>
    <w:rsid w:val="00C014C8"/>
    <w:rsid w:val="00C014D4"/>
    <w:rsid w:val="00C0155E"/>
    <w:rsid w:val="00C015E6"/>
    <w:rsid w:val="00C01677"/>
    <w:rsid w:val="00C01776"/>
    <w:rsid w:val="00C01793"/>
    <w:rsid w:val="00C0180E"/>
    <w:rsid w:val="00C01871"/>
    <w:rsid w:val="00C0192C"/>
    <w:rsid w:val="00C01985"/>
    <w:rsid w:val="00C019D1"/>
    <w:rsid w:val="00C01C8B"/>
    <w:rsid w:val="00C01C94"/>
    <w:rsid w:val="00C01CE9"/>
    <w:rsid w:val="00C01D1A"/>
    <w:rsid w:val="00C01D89"/>
    <w:rsid w:val="00C01F4F"/>
    <w:rsid w:val="00C0206E"/>
    <w:rsid w:val="00C02101"/>
    <w:rsid w:val="00C02154"/>
    <w:rsid w:val="00C02169"/>
    <w:rsid w:val="00C0223C"/>
    <w:rsid w:val="00C023B8"/>
    <w:rsid w:val="00C023EB"/>
    <w:rsid w:val="00C02412"/>
    <w:rsid w:val="00C0269D"/>
    <w:rsid w:val="00C026CA"/>
    <w:rsid w:val="00C026DF"/>
    <w:rsid w:val="00C026EA"/>
    <w:rsid w:val="00C0278D"/>
    <w:rsid w:val="00C0285A"/>
    <w:rsid w:val="00C02917"/>
    <w:rsid w:val="00C0294D"/>
    <w:rsid w:val="00C029D2"/>
    <w:rsid w:val="00C02A15"/>
    <w:rsid w:val="00C02A3D"/>
    <w:rsid w:val="00C02A5F"/>
    <w:rsid w:val="00C02A7F"/>
    <w:rsid w:val="00C02BC0"/>
    <w:rsid w:val="00C02CFD"/>
    <w:rsid w:val="00C02F2C"/>
    <w:rsid w:val="00C030BA"/>
    <w:rsid w:val="00C03185"/>
    <w:rsid w:val="00C0346F"/>
    <w:rsid w:val="00C034D4"/>
    <w:rsid w:val="00C03513"/>
    <w:rsid w:val="00C0359F"/>
    <w:rsid w:val="00C03658"/>
    <w:rsid w:val="00C03884"/>
    <w:rsid w:val="00C0399F"/>
    <w:rsid w:val="00C039B2"/>
    <w:rsid w:val="00C03B70"/>
    <w:rsid w:val="00C03BA4"/>
    <w:rsid w:val="00C03BB8"/>
    <w:rsid w:val="00C03DD6"/>
    <w:rsid w:val="00C03DF0"/>
    <w:rsid w:val="00C03E5F"/>
    <w:rsid w:val="00C03EDC"/>
    <w:rsid w:val="00C03F5D"/>
    <w:rsid w:val="00C040B8"/>
    <w:rsid w:val="00C0411C"/>
    <w:rsid w:val="00C041DB"/>
    <w:rsid w:val="00C041E9"/>
    <w:rsid w:val="00C042F1"/>
    <w:rsid w:val="00C04352"/>
    <w:rsid w:val="00C04452"/>
    <w:rsid w:val="00C04529"/>
    <w:rsid w:val="00C0456D"/>
    <w:rsid w:val="00C04592"/>
    <w:rsid w:val="00C0473E"/>
    <w:rsid w:val="00C047CE"/>
    <w:rsid w:val="00C04816"/>
    <w:rsid w:val="00C0484F"/>
    <w:rsid w:val="00C04A8C"/>
    <w:rsid w:val="00C04BB1"/>
    <w:rsid w:val="00C04BC1"/>
    <w:rsid w:val="00C04C50"/>
    <w:rsid w:val="00C04CA7"/>
    <w:rsid w:val="00C04D80"/>
    <w:rsid w:val="00C04E29"/>
    <w:rsid w:val="00C04E5A"/>
    <w:rsid w:val="00C04E82"/>
    <w:rsid w:val="00C04E8C"/>
    <w:rsid w:val="00C04F02"/>
    <w:rsid w:val="00C04F11"/>
    <w:rsid w:val="00C04FCE"/>
    <w:rsid w:val="00C05093"/>
    <w:rsid w:val="00C051A0"/>
    <w:rsid w:val="00C051C9"/>
    <w:rsid w:val="00C052A1"/>
    <w:rsid w:val="00C05344"/>
    <w:rsid w:val="00C055A1"/>
    <w:rsid w:val="00C055A2"/>
    <w:rsid w:val="00C0566D"/>
    <w:rsid w:val="00C05695"/>
    <w:rsid w:val="00C057C3"/>
    <w:rsid w:val="00C057F6"/>
    <w:rsid w:val="00C05816"/>
    <w:rsid w:val="00C058CB"/>
    <w:rsid w:val="00C05905"/>
    <w:rsid w:val="00C05910"/>
    <w:rsid w:val="00C05C1B"/>
    <w:rsid w:val="00C05C61"/>
    <w:rsid w:val="00C05C6E"/>
    <w:rsid w:val="00C05D50"/>
    <w:rsid w:val="00C06173"/>
    <w:rsid w:val="00C06176"/>
    <w:rsid w:val="00C0618E"/>
    <w:rsid w:val="00C0619A"/>
    <w:rsid w:val="00C06256"/>
    <w:rsid w:val="00C0626E"/>
    <w:rsid w:val="00C0627E"/>
    <w:rsid w:val="00C06348"/>
    <w:rsid w:val="00C0638B"/>
    <w:rsid w:val="00C063F7"/>
    <w:rsid w:val="00C0643D"/>
    <w:rsid w:val="00C06513"/>
    <w:rsid w:val="00C06570"/>
    <w:rsid w:val="00C065CF"/>
    <w:rsid w:val="00C0662E"/>
    <w:rsid w:val="00C06760"/>
    <w:rsid w:val="00C068CC"/>
    <w:rsid w:val="00C068E3"/>
    <w:rsid w:val="00C0695C"/>
    <w:rsid w:val="00C06960"/>
    <w:rsid w:val="00C06BC8"/>
    <w:rsid w:val="00C06BCC"/>
    <w:rsid w:val="00C06BFA"/>
    <w:rsid w:val="00C06DFF"/>
    <w:rsid w:val="00C06F20"/>
    <w:rsid w:val="00C06F55"/>
    <w:rsid w:val="00C06FCB"/>
    <w:rsid w:val="00C0713F"/>
    <w:rsid w:val="00C071C8"/>
    <w:rsid w:val="00C071FC"/>
    <w:rsid w:val="00C072BC"/>
    <w:rsid w:val="00C072EF"/>
    <w:rsid w:val="00C07391"/>
    <w:rsid w:val="00C0750A"/>
    <w:rsid w:val="00C07522"/>
    <w:rsid w:val="00C0768B"/>
    <w:rsid w:val="00C076A9"/>
    <w:rsid w:val="00C076DC"/>
    <w:rsid w:val="00C07712"/>
    <w:rsid w:val="00C07762"/>
    <w:rsid w:val="00C0787C"/>
    <w:rsid w:val="00C07946"/>
    <w:rsid w:val="00C0794B"/>
    <w:rsid w:val="00C0795E"/>
    <w:rsid w:val="00C07968"/>
    <w:rsid w:val="00C07A46"/>
    <w:rsid w:val="00C07AB5"/>
    <w:rsid w:val="00C07B26"/>
    <w:rsid w:val="00C07BF1"/>
    <w:rsid w:val="00C07C0D"/>
    <w:rsid w:val="00C07CAF"/>
    <w:rsid w:val="00C07CB6"/>
    <w:rsid w:val="00C07CC4"/>
    <w:rsid w:val="00C07D18"/>
    <w:rsid w:val="00C07D98"/>
    <w:rsid w:val="00C07DAD"/>
    <w:rsid w:val="00C10037"/>
    <w:rsid w:val="00C1003C"/>
    <w:rsid w:val="00C1006E"/>
    <w:rsid w:val="00C10073"/>
    <w:rsid w:val="00C101C4"/>
    <w:rsid w:val="00C10264"/>
    <w:rsid w:val="00C1031E"/>
    <w:rsid w:val="00C10369"/>
    <w:rsid w:val="00C103B9"/>
    <w:rsid w:val="00C104F4"/>
    <w:rsid w:val="00C10551"/>
    <w:rsid w:val="00C10576"/>
    <w:rsid w:val="00C1060D"/>
    <w:rsid w:val="00C1069D"/>
    <w:rsid w:val="00C107F2"/>
    <w:rsid w:val="00C10818"/>
    <w:rsid w:val="00C108A5"/>
    <w:rsid w:val="00C10978"/>
    <w:rsid w:val="00C109AC"/>
    <w:rsid w:val="00C10A30"/>
    <w:rsid w:val="00C10A78"/>
    <w:rsid w:val="00C10AA5"/>
    <w:rsid w:val="00C10AC0"/>
    <w:rsid w:val="00C10B23"/>
    <w:rsid w:val="00C10B56"/>
    <w:rsid w:val="00C10BBE"/>
    <w:rsid w:val="00C10C89"/>
    <w:rsid w:val="00C10CBC"/>
    <w:rsid w:val="00C10D00"/>
    <w:rsid w:val="00C10EB9"/>
    <w:rsid w:val="00C10F0F"/>
    <w:rsid w:val="00C10F73"/>
    <w:rsid w:val="00C10FD8"/>
    <w:rsid w:val="00C11006"/>
    <w:rsid w:val="00C11309"/>
    <w:rsid w:val="00C11399"/>
    <w:rsid w:val="00C113DF"/>
    <w:rsid w:val="00C1146D"/>
    <w:rsid w:val="00C114B4"/>
    <w:rsid w:val="00C114C6"/>
    <w:rsid w:val="00C115BE"/>
    <w:rsid w:val="00C115C3"/>
    <w:rsid w:val="00C115E0"/>
    <w:rsid w:val="00C115F6"/>
    <w:rsid w:val="00C11615"/>
    <w:rsid w:val="00C11768"/>
    <w:rsid w:val="00C117EB"/>
    <w:rsid w:val="00C1182F"/>
    <w:rsid w:val="00C11CC0"/>
    <w:rsid w:val="00C11D34"/>
    <w:rsid w:val="00C11E08"/>
    <w:rsid w:val="00C11E13"/>
    <w:rsid w:val="00C11F08"/>
    <w:rsid w:val="00C11F10"/>
    <w:rsid w:val="00C11F2D"/>
    <w:rsid w:val="00C11F36"/>
    <w:rsid w:val="00C12180"/>
    <w:rsid w:val="00C12345"/>
    <w:rsid w:val="00C12370"/>
    <w:rsid w:val="00C12431"/>
    <w:rsid w:val="00C124AD"/>
    <w:rsid w:val="00C124B4"/>
    <w:rsid w:val="00C124C5"/>
    <w:rsid w:val="00C12666"/>
    <w:rsid w:val="00C1267A"/>
    <w:rsid w:val="00C126B6"/>
    <w:rsid w:val="00C126D4"/>
    <w:rsid w:val="00C127F7"/>
    <w:rsid w:val="00C128AB"/>
    <w:rsid w:val="00C128E4"/>
    <w:rsid w:val="00C12944"/>
    <w:rsid w:val="00C12A41"/>
    <w:rsid w:val="00C12AA4"/>
    <w:rsid w:val="00C12AB2"/>
    <w:rsid w:val="00C12AC3"/>
    <w:rsid w:val="00C12AD4"/>
    <w:rsid w:val="00C12CC2"/>
    <w:rsid w:val="00C12CF3"/>
    <w:rsid w:val="00C12E24"/>
    <w:rsid w:val="00C12E2A"/>
    <w:rsid w:val="00C13301"/>
    <w:rsid w:val="00C13525"/>
    <w:rsid w:val="00C135B4"/>
    <w:rsid w:val="00C1369F"/>
    <w:rsid w:val="00C136D7"/>
    <w:rsid w:val="00C137AF"/>
    <w:rsid w:val="00C137D6"/>
    <w:rsid w:val="00C138E0"/>
    <w:rsid w:val="00C13A0C"/>
    <w:rsid w:val="00C13A10"/>
    <w:rsid w:val="00C13A3F"/>
    <w:rsid w:val="00C13A5D"/>
    <w:rsid w:val="00C13CD6"/>
    <w:rsid w:val="00C13CFD"/>
    <w:rsid w:val="00C13DE0"/>
    <w:rsid w:val="00C13FE0"/>
    <w:rsid w:val="00C14075"/>
    <w:rsid w:val="00C140C3"/>
    <w:rsid w:val="00C14179"/>
    <w:rsid w:val="00C14211"/>
    <w:rsid w:val="00C14292"/>
    <w:rsid w:val="00C14469"/>
    <w:rsid w:val="00C146DA"/>
    <w:rsid w:val="00C147F5"/>
    <w:rsid w:val="00C1486D"/>
    <w:rsid w:val="00C1487D"/>
    <w:rsid w:val="00C1491B"/>
    <w:rsid w:val="00C14994"/>
    <w:rsid w:val="00C14B41"/>
    <w:rsid w:val="00C14C88"/>
    <w:rsid w:val="00C14CBB"/>
    <w:rsid w:val="00C14CE0"/>
    <w:rsid w:val="00C14D2E"/>
    <w:rsid w:val="00C14D91"/>
    <w:rsid w:val="00C14EE0"/>
    <w:rsid w:val="00C14EFC"/>
    <w:rsid w:val="00C14F63"/>
    <w:rsid w:val="00C14FDB"/>
    <w:rsid w:val="00C14FEC"/>
    <w:rsid w:val="00C15037"/>
    <w:rsid w:val="00C15147"/>
    <w:rsid w:val="00C152D4"/>
    <w:rsid w:val="00C15463"/>
    <w:rsid w:val="00C154AA"/>
    <w:rsid w:val="00C1559E"/>
    <w:rsid w:val="00C156E8"/>
    <w:rsid w:val="00C1572B"/>
    <w:rsid w:val="00C15730"/>
    <w:rsid w:val="00C15786"/>
    <w:rsid w:val="00C158C2"/>
    <w:rsid w:val="00C159D8"/>
    <w:rsid w:val="00C15BA2"/>
    <w:rsid w:val="00C15C0D"/>
    <w:rsid w:val="00C15DB3"/>
    <w:rsid w:val="00C15EC0"/>
    <w:rsid w:val="00C15ECB"/>
    <w:rsid w:val="00C15F2B"/>
    <w:rsid w:val="00C15FBF"/>
    <w:rsid w:val="00C15FCD"/>
    <w:rsid w:val="00C16220"/>
    <w:rsid w:val="00C163CB"/>
    <w:rsid w:val="00C16461"/>
    <w:rsid w:val="00C16512"/>
    <w:rsid w:val="00C167F2"/>
    <w:rsid w:val="00C1688E"/>
    <w:rsid w:val="00C168A5"/>
    <w:rsid w:val="00C1692B"/>
    <w:rsid w:val="00C16977"/>
    <w:rsid w:val="00C16ABE"/>
    <w:rsid w:val="00C16AF1"/>
    <w:rsid w:val="00C16B80"/>
    <w:rsid w:val="00C16CD0"/>
    <w:rsid w:val="00C16CD4"/>
    <w:rsid w:val="00C16DD2"/>
    <w:rsid w:val="00C16EDB"/>
    <w:rsid w:val="00C16F49"/>
    <w:rsid w:val="00C16F65"/>
    <w:rsid w:val="00C16F94"/>
    <w:rsid w:val="00C17203"/>
    <w:rsid w:val="00C17339"/>
    <w:rsid w:val="00C17478"/>
    <w:rsid w:val="00C17641"/>
    <w:rsid w:val="00C17694"/>
    <w:rsid w:val="00C17730"/>
    <w:rsid w:val="00C178C9"/>
    <w:rsid w:val="00C1794B"/>
    <w:rsid w:val="00C17996"/>
    <w:rsid w:val="00C17A1E"/>
    <w:rsid w:val="00C17A48"/>
    <w:rsid w:val="00C17A63"/>
    <w:rsid w:val="00C17B68"/>
    <w:rsid w:val="00C17BA8"/>
    <w:rsid w:val="00C17BF3"/>
    <w:rsid w:val="00C17C80"/>
    <w:rsid w:val="00C17D54"/>
    <w:rsid w:val="00C17E00"/>
    <w:rsid w:val="00C17E96"/>
    <w:rsid w:val="00C17EB2"/>
    <w:rsid w:val="00C17F76"/>
    <w:rsid w:val="00C20037"/>
    <w:rsid w:val="00C200C1"/>
    <w:rsid w:val="00C201A5"/>
    <w:rsid w:val="00C202C8"/>
    <w:rsid w:val="00C20402"/>
    <w:rsid w:val="00C20500"/>
    <w:rsid w:val="00C2050E"/>
    <w:rsid w:val="00C20579"/>
    <w:rsid w:val="00C205F9"/>
    <w:rsid w:val="00C2069C"/>
    <w:rsid w:val="00C206D8"/>
    <w:rsid w:val="00C207B3"/>
    <w:rsid w:val="00C20994"/>
    <w:rsid w:val="00C20A3C"/>
    <w:rsid w:val="00C20A6B"/>
    <w:rsid w:val="00C20AE5"/>
    <w:rsid w:val="00C20B7E"/>
    <w:rsid w:val="00C20BE5"/>
    <w:rsid w:val="00C20E05"/>
    <w:rsid w:val="00C2112F"/>
    <w:rsid w:val="00C21159"/>
    <w:rsid w:val="00C211E0"/>
    <w:rsid w:val="00C2123F"/>
    <w:rsid w:val="00C21244"/>
    <w:rsid w:val="00C21443"/>
    <w:rsid w:val="00C2148D"/>
    <w:rsid w:val="00C21573"/>
    <w:rsid w:val="00C215A7"/>
    <w:rsid w:val="00C217DD"/>
    <w:rsid w:val="00C2184F"/>
    <w:rsid w:val="00C218E7"/>
    <w:rsid w:val="00C2198D"/>
    <w:rsid w:val="00C21A1C"/>
    <w:rsid w:val="00C21A54"/>
    <w:rsid w:val="00C21A71"/>
    <w:rsid w:val="00C21A9B"/>
    <w:rsid w:val="00C21AA0"/>
    <w:rsid w:val="00C21AF7"/>
    <w:rsid w:val="00C21B1C"/>
    <w:rsid w:val="00C21CDB"/>
    <w:rsid w:val="00C21EC2"/>
    <w:rsid w:val="00C21F05"/>
    <w:rsid w:val="00C2204F"/>
    <w:rsid w:val="00C223C1"/>
    <w:rsid w:val="00C22420"/>
    <w:rsid w:val="00C224F7"/>
    <w:rsid w:val="00C2258E"/>
    <w:rsid w:val="00C226E8"/>
    <w:rsid w:val="00C22809"/>
    <w:rsid w:val="00C228CB"/>
    <w:rsid w:val="00C22A47"/>
    <w:rsid w:val="00C22A9E"/>
    <w:rsid w:val="00C22B5C"/>
    <w:rsid w:val="00C22B76"/>
    <w:rsid w:val="00C22BB0"/>
    <w:rsid w:val="00C22BFC"/>
    <w:rsid w:val="00C22CAE"/>
    <w:rsid w:val="00C22D9C"/>
    <w:rsid w:val="00C22F05"/>
    <w:rsid w:val="00C22FFE"/>
    <w:rsid w:val="00C23111"/>
    <w:rsid w:val="00C23171"/>
    <w:rsid w:val="00C231E8"/>
    <w:rsid w:val="00C231FC"/>
    <w:rsid w:val="00C23236"/>
    <w:rsid w:val="00C232C3"/>
    <w:rsid w:val="00C232EE"/>
    <w:rsid w:val="00C23311"/>
    <w:rsid w:val="00C233EC"/>
    <w:rsid w:val="00C23470"/>
    <w:rsid w:val="00C2349F"/>
    <w:rsid w:val="00C23507"/>
    <w:rsid w:val="00C2358B"/>
    <w:rsid w:val="00C235B6"/>
    <w:rsid w:val="00C2362B"/>
    <w:rsid w:val="00C238FA"/>
    <w:rsid w:val="00C23971"/>
    <w:rsid w:val="00C23C01"/>
    <w:rsid w:val="00C23D1C"/>
    <w:rsid w:val="00C23DF8"/>
    <w:rsid w:val="00C23EF1"/>
    <w:rsid w:val="00C23FDA"/>
    <w:rsid w:val="00C24079"/>
    <w:rsid w:val="00C241E3"/>
    <w:rsid w:val="00C241E9"/>
    <w:rsid w:val="00C2436A"/>
    <w:rsid w:val="00C243BD"/>
    <w:rsid w:val="00C2457E"/>
    <w:rsid w:val="00C24689"/>
    <w:rsid w:val="00C2468B"/>
    <w:rsid w:val="00C24693"/>
    <w:rsid w:val="00C24710"/>
    <w:rsid w:val="00C24737"/>
    <w:rsid w:val="00C24767"/>
    <w:rsid w:val="00C24788"/>
    <w:rsid w:val="00C247FD"/>
    <w:rsid w:val="00C2486B"/>
    <w:rsid w:val="00C24879"/>
    <w:rsid w:val="00C24901"/>
    <w:rsid w:val="00C24932"/>
    <w:rsid w:val="00C24968"/>
    <w:rsid w:val="00C2496A"/>
    <w:rsid w:val="00C24980"/>
    <w:rsid w:val="00C24CC1"/>
    <w:rsid w:val="00C24E47"/>
    <w:rsid w:val="00C24E4A"/>
    <w:rsid w:val="00C24EBF"/>
    <w:rsid w:val="00C24F3E"/>
    <w:rsid w:val="00C25072"/>
    <w:rsid w:val="00C250A5"/>
    <w:rsid w:val="00C250FD"/>
    <w:rsid w:val="00C25233"/>
    <w:rsid w:val="00C2544C"/>
    <w:rsid w:val="00C255A4"/>
    <w:rsid w:val="00C255CE"/>
    <w:rsid w:val="00C255FE"/>
    <w:rsid w:val="00C2575B"/>
    <w:rsid w:val="00C257B6"/>
    <w:rsid w:val="00C257BD"/>
    <w:rsid w:val="00C25870"/>
    <w:rsid w:val="00C258D9"/>
    <w:rsid w:val="00C258F4"/>
    <w:rsid w:val="00C25AB5"/>
    <w:rsid w:val="00C25C5B"/>
    <w:rsid w:val="00C25CBA"/>
    <w:rsid w:val="00C25DDD"/>
    <w:rsid w:val="00C25EA1"/>
    <w:rsid w:val="00C25EEB"/>
    <w:rsid w:val="00C260EA"/>
    <w:rsid w:val="00C2612F"/>
    <w:rsid w:val="00C2614C"/>
    <w:rsid w:val="00C26156"/>
    <w:rsid w:val="00C2619C"/>
    <w:rsid w:val="00C2623A"/>
    <w:rsid w:val="00C262CB"/>
    <w:rsid w:val="00C263CC"/>
    <w:rsid w:val="00C26427"/>
    <w:rsid w:val="00C26537"/>
    <w:rsid w:val="00C26544"/>
    <w:rsid w:val="00C26598"/>
    <w:rsid w:val="00C265B7"/>
    <w:rsid w:val="00C266FA"/>
    <w:rsid w:val="00C2694D"/>
    <w:rsid w:val="00C26957"/>
    <w:rsid w:val="00C26987"/>
    <w:rsid w:val="00C269EE"/>
    <w:rsid w:val="00C26BC2"/>
    <w:rsid w:val="00C26BC9"/>
    <w:rsid w:val="00C26BED"/>
    <w:rsid w:val="00C26CF8"/>
    <w:rsid w:val="00C26DE0"/>
    <w:rsid w:val="00C26EE9"/>
    <w:rsid w:val="00C272F2"/>
    <w:rsid w:val="00C27329"/>
    <w:rsid w:val="00C2732F"/>
    <w:rsid w:val="00C27344"/>
    <w:rsid w:val="00C27717"/>
    <w:rsid w:val="00C2777D"/>
    <w:rsid w:val="00C2778B"/>
    <w:rsid w:val="00C2787C"/>
    <w:rsid w:val="00C27BBA"/>
    <w:rsid w:val="00C27C13"/>
    <w:rsid w:val="00C27CA6"/>
    <w:rsid w:val="00C27D76"/>
    <w:rsid w:val="00C27D91"/>
    <w:rsid w:val="00C27E21"/>
    <w:rsid w:val="00C27F91"/>
    <w:rsid w:val="00C300BF"/>
    <w:rsid w:val="00C30167"/>
    <w:rsid w:val="00C3039C"/>
    <w:rsid w:val="00C304BF"/>
    <w:rsid w:val="00C304F7"/>
    <w:rsid w:val="00C30530"/>
    <w:rsid w:val="00C30540"/>
    <w:rsid w:val="00C3055C"/>
    <w:rsid w:val="00C305B6"/>
    <w:rsid w:val="00C30753"/>
    <w:rsid w:val="00C3078E"/>
    <w:rsid w:val="00C30830"/>
    <w:rsid w:val="00C308CD"/>
    <w:rsid w:val="00C308D4"/>
    <w:rsid w:val="00C309A5"/>
    <w:rsid w:val="00C30B24"/>
    <w:rsid w:val="00C30B69"/>
    <w:rsid w:val="00C30B78"/>
    <w:rsid w:val="00C30BA9"/>
    <w:rsid w:val="00C30BD4"/>
    <w:rsid w:val="00C30C0D"/>
    <w:rsid w:val="00C30C63"/>
    <w:rsid w:val="00C30CA2"/>
    <w:rsid w:val="00C30D7F"/>
    <w:rsid w:val="00C30F7A"/>
    <w:rsid w:val="00C31090"/>
    <w:rsid w:val="00C31107"/>
    <w:rsid w:val="00C3116F"/>
    <w:rsid w:val="00C3117B"/>
    <w:rsid w:val="00C311D3"/>
    <w:rsid w:val="00C3132B"/>
    <w:rsid w:val="00C31388"/>
    <w:rsid w:val="00C3141F"/>
    <w:rsid w:val="00C3149B"/>
    <w:rsid w:val="00C314B0"/>
    <w:rsid w:val="00C31543"/>
    <w:rsid w:val="00C31564"/>
    <w:rsid w:val="00C31618"/>
    <w:rsid w:val="00C31649"/>
    <w:rsid w:val="00C316C5"/>
    <w:rsid w:val="00C31740"/>
    <w:rsid w:val="00C317A4"/>
    <w:rsid w:val="00C317D8"/>
    <w:rsid w:val="00C31890"/>
    <w:rsid w:val="00C31ACA"/>
    <w:rsid w:val="00C31B66"/>
    <w:rsid w:val="00C31BEC"/>
    <w:rsid w:val="00C31C34"/>
    <w:rsid w:val="00C31CDA"/>
    <w:rsid w:val="00C31E2E"/>
    <w:rsid w:val="00C31E33"/>
    <w:rsid w:val="00C31E96"/>
    <w:rsid w:val="00C31F1E"/>
    <w:rsid w:val="00C3219F"/>
    <w:rsid w:val="00C321D0"/>
    <w:rsid w:val="00C324D3"/>
    <w:rsid w:val="00C3255F"/>
    <w:rsid w:val="00C3261C"/>
    <w:rsid w:val="00C3261F"/>
    <w:rsid w:val="00C326BF"/>
    <w:rsid w:val="00C3274D"/>
    <w:rsid w:val="00C32762"/>
    <w:rsid w:val="00C3279B"/>
    <w:rsid w:val="00C329F5"/>
    <w:rsid w:val="00C32A46"/>
    <w:rsid w:val="00C32B24"/>
    <w:rsid w:val="00C32CF6"/>
    <w:rsid w:val="00C32DC5"/>
    <w:rsid w:val="00C32F9C"/>
    <w:rsid w:val="00C33028"/>
    <w:rsid w:val="00C3308D"/>
    <w:rsid w:val="00C33134"/>
    <w:rsid w:val="00C33151"/>
    <w:rsid w:val="00C3317C"/>
    <w:rsid w:val="00C33181"/>
    <w:rsid w:val="00C331D8"/>
    <w:rsid w:val="00C33200"/>
    <w:rsid w:val="00C33259"/>
    <w:rsid w:val="00C3326D"/>
    <w:rsid w:val="00C334A5"/>
    <w:rsid w:val="00C33534"/>
    <w:rsid w:val="00C33646"/>
    <w:rsid w:val="00C33777"/>
    <w:rsid w:val="00C33883"/>
    <w:rsid w:val="00C33A25"/>
    <w:rsid w:val="00C33A3F"/>
    <w:rsid w:val="00C33A79"/>
    <w:rsid w:val="00C33B7B"/>
    <w:rsid w:val="00C33C19"/>
    <w:rsid w:val="00C33C3D"/>
    <w:rsid w:val="00C33CAD"/>
    <w:rsid w:val="00C33D1A"/>
    <w:rsid w:val="00C33D5A"/>
    <w:rsid w:val="00C33E84"/>
    <w:rsid w:val="00C33EA3"/>
    <w:rsid w:val="00C33EF6"/>
    <w:rsid w:val="00C33F1C"/>
    <w:rsid w:val="00C33F20"/>
    <w:rsid w:val="00C33F29"/>
    <w:rsid w:val="00C33F47"/>
    <w:rsid w:val="00C34080"/>
    <w:rsid w:val="00C340DB"/>
    <w:rsid w:val="00C34108"/>
    <w:rsid w:val="00C34211"/>
    <w:rsid w:val="00C34270"/>
    <w:rsid w:val="00C34379"/>
    <w:rsid w:val="00C34388"/>
    <w:rsid w:val="00C34444"/>
    <w:rsid w:val="00C346B5"/>
    <w:rsid w:val="00C34713"/>
    <w:rsid w:val="00C34760"/>
    <w:rsid w:val="00C347FD"/>
    <w:rsid w:val="00C34803"/>
    <w:rsid w:val="00C34928"/>
    <w:rsid w:val="00C34995"/>
    <w:rsid w:val="00C34AA7"/>
    <w:rsid w:val="00C34BF1"/>
    <w:rsid w:val="00C34C42"/>
    <w:rsid w:val="00C34ECF"/>
    <w:rsid w:val="00C34EDD"/>
    <w:rsid w:val="00C34F6D"/>
    <w:rsid w:val="00C3509B"/>
    <w:rsid w:val="00C35155"/>
    <w:rsid w:val="00C35164"/>
    <w:rsid w:val="00C35343"/>
    <w:rsid w:val="00C3538A"/>
    <w:rsid w:val="00C3549D"/>
    <w:rsid w:val="00C354D1"/>
    <w:rsid w:val="00C35565"/>
    <w:rsid w:val="00C355E0"/>
    <w:rsid w:val="00C355FE"/>
    <w:rsid w:val="00C3563A"/>
    <w:rsid w:val="00C3568D"/>
    <w:rsid w:val="00C35731"/>
    <w:rsid w:val="00C3582B"/>
    <w:rsid w:val="00C35879"/>
    <w:rsid w:val="00C35897"/>
    <w:rsid w:val="00C358DC"/>
    <w:rsid w:val="00C35A10"/>
    <w:rsid w:val="00C35A2A"/>
    <w:rsid w:val="00C35AA7"/>
    <w:rsid w:val="00C35B92"/>
    <w:rsid w:val="00C35BB4"/>
    <w:rsid w:val="00C35BE0"/>
    <w:rsid w:val="00C35C62"/>
    <w:rsid w:val="00C3614F"/>
    <w:rsid w:val="00C36275"/>
    <w:rsid w:val="00C36297"/>
    <w:rsid w:val="00C36334"/>
    <w:rsid w:val="00C36444"/>
    <w:rsid w:val="00C36526"/>
    <w:rsid w:val="00C367C4"/>
    <w:rsid w:val="00C3684D"/>
    <w:rsid w:val="00C369CA"/>
    <w:rsid w:val="00C369DA"/>
    <w:rsid w:val="00C36B7E"/>
    <w:rsid w:val="00C36BAC"/>
    <w:rsid w:val="00C36BB6"/>
    <w:rsid w:val="00C36BD2"/>
    <w:rsid w:val="00C36BF8"/>
    <w:rsid w:val="00C36C1B"/>
    <w:rsid w:val="00C36C8A"/>
    <w:rsid w:val="00C36D2C"/>
    <w:rsid w:val="00C36E0C"/>
    <w:rsid w:val="00C36E6C"/>
    <w:rsid w:val="00C36E75"/>
    <w:rsid w:val="00C36EFD"/>
    <w:rsid w:val="00C36FB1"/>
    <w:rsid w:val="00C36FDB"/>
    <w:rsid w:val="00C370C7"/>
    <w:rsid w:val="00C37142"/>
    <w:rsid w:val="00C37195"/>
    <w:rsid w:val="00C37223"/>
    <w:rsid w:val="00C37224"/>
    <w:rsid w:val="00C3729C"/>
    <w:rsid w:val="00C37373"/>
    <w:rsid w:val="00C373A7"/>
    <w:rsid w:val="00C374EC"/>
    <w:rsid w:val="00C375BC"/>
    <w:rsid w:val="00C3764E"/>
    <w:rsid w:val="00C376B8"/>
    <w:rsid w:val="00C376E3"/>
    <w:rsid w:val="00C37767"/>
    <w:rsid w:val="00C377F4"/>
    <w:rsid w:val="00C377F6"/>
    <w:rsid w:val="00C3785D"/>
    <w:rsid w:val="00C378B1"/>
    <w:rsid w:val="00C3791A"/>
    <w:rsid w:val="00C37A9F"/>
    <w:rsid w:val="00C37AC8"/>
    <w:rsid w:val="00C37B1D"/>
    <w:rsid w:val="00C37B38"/>
    <w:rsid w:val="00C37B73"/>
    <w:rsid w:val="00C37C12"/>
    <w:rsid w:val="00C37C55"/>
    <w:rsid w:val="00C37CCE"/>
    <w:rsid w:val="00C37D17"/>
    <w:rsid w:val="00C37DD9"/>
    <w:rsid w:val="00C37E0E"/>
    <w:rsid w:val="00C37E47"/>
    <w:rsid w:val="00C401F0"/>
    <w:rsid w:val="00C40385"/>
    <w:rsid w:val="00C404AB"/>
    <w:rsid w:val="00C4055C"/>
    <w:rsid w:val="00C405B9"/>
    <w:rsid w:val="00C406C1"/>
    <w:rsid w:val="00C4074F"/>
    <w:rsid w:val="00C40789"/>
    <w:rsid w:val="00C407C2"/>
    <w:rsid w:val="00C408BE"/>
    <w:rsid w:val="00C40939"/>
    <w:rsid w:val="00C40959"/>
    <w:rsid w:val="00C409DB"/>
    <w:rsid w:val="00C40D82"/>
    <w:rsid w:val="00C40D8E"/>
    <w:rsid w:val="00C40E78"/>
    <w:rsid w:val="00C40E7C"/>
    <w:rsid w:val="00C40F37"/>
    <w:rsid w:val="00C40FD1"/>
    <w:rsid w:val="00C41134"/>
    <w:rsid w:val="00C41149"/>
    <w:rsid w:val="00C411B4"/>
    <w:rsid w:val="00C41288"/>
    <w:rsid w:val="00C413C5"/>
    <w:rsid w:val="00C41567"/>
    <w:rsid w:val="00C415D5"/>
    <w:rsid w:val="00C4167A"/>
    <w:rsid w:val="00C417D8"/>
    <w:rsid w:val="00C4182A"/>
    <w:rsid w:val="00C4194E"/>
    <w:rsid w:val="00C4197C"/>
    <w:rsid w:val="00C4197F"/>
    <w:rsid w:val="00C419CE"/>
    <w:rsid w:val="00C41BA6"/>
    <w:rsid w:val="00C41BF5"/>
    <w:rsid w:val="00C41BF8"/>
    <w:rsid w:val="00C41CD9"/>
    <w:rsid w:val="00C41DAF"/>
    <w:rsid w:val="00C41DDA"/>
    <w:rsid w:val="00C41E8A"/>
    <w:rsid w:val="00C41EF6"/>
    <w:rsid w:val="00C41F96"/>
    <w:rsid w:val="00C42128"/>
    <w:rsid w:val="00C4213F"/>
    <w:rsid w:val="00C42167"/>
    <w:rsid w:val="00C4225A"/>
    <w:rsid w:val="00C423B2"/>
    <w:rsid w:val="00C423B5"/>
    <w:rsid w:val="00C4240E"/>
    <w:rsid w:val="00C4268A"/>
    <w:rsid w:val="00C426AC"/>
    <w:rsid w:val="00C426B8"/>
    <w:rsid w:val="00C427B3"/>
    <w:rsid w:val="00C42857"/>
    <w:rsid w:val="00C42922"/>
    <w:rsid w:val="00C4298D"/>
    <w:rsid w:val="00C42A54"/>
    <w:rsid w:val="00C42A60"/>
    <w:rsid w:val="00C42B98"/>
    <w:rsid w:val="00C42BFA"/>
    <w:rsid w:val="00C42D38"/>
    <w:rsid w:val="00C42D4F"/>
    <w:rsid w:val="00C42DD2"/>
    <w:rsid w:val="00C42EAC"/>
    <w:rsid w:val="00C42F88"/>
    <w:rsid w:val="00C430CB"/>
    <w:rsid w:val="00C43197"/>
    <w:rsid w:val="00C4328B"/>
    <w:rsid w:val="00C4340F"/>
    <w:rsid w:val="00C43480"/>
    <w:rsid w:val="00C4354C"/>
    <w:rsid w:val="00C43586"/>
    <w:rsid w:val="00C435DD"/>
    <w:rsid w:val="00C4361F"/>
    <w:rsid w:val="00C4378A"/>
    <w:rsid w:val="00C437B8"/>
    <w:rsid w:val="00C438A8"/>
    <w:rsid w:val="00C4394B"/>
    <w:rsid w:val="00C43AE6"/>
    <w:rsid w:val="00C43C20"/>
    <w:rsid w:val="00C43C21"/>
    <w:rsid w:val="00C43C55"/>
    <w:rsid w:val="00C441FC"/>
    <w:rsid w:val="00C44209"/>
    <w:rsid w:val="00C4433C"/>
    <w:rsid w:val="00C4447E"/>
    <w:rsid w:val="00C44693"/>
    <w:rsid w:val="00C446E1"/>
    <w:rsid w:val="00C44778"/>
    <w:rsid w:val="00C448BA"/>
    <w:rsid w:val="00C448DF"/>
    <w:rsid w:val="00C44952"/>
    <w:rsid w:val="00C44994"/>
    <w:rsid w:val="00C44AEA"/>
    <w:rsid w:val="00C44AF2"/>
    <w:rsid w:val="00C44BC5"/>
    <w:rsid w:val="00C44CD4"/>
    <w:rsid w:val="00C44CF1"/>
    <w:rsid w:val="00C44DFA"/>
    <w:rsid w:val="00C44DFB"/>
    <w:rsid w:val="00C44E0F"/>
    <w:rsid w:val="00C44F65"/>
    <w:rsid w:val="00C45030"/>
    <w:rsid w:val="00C45071"/>
    <w:rsid w:val="00C45124"/>
    <w:rsid w:val="00C452A7"/>
    <w:rsid w:val="00C45388"/>
    <w:rsid w:val="00C453FE"/>
    <w:rsid w:val="00C45447"/>
    <w:rsid w:val="00C4544B"/>
    <w:rsid w:val="00C454EA"/>
    <w:rsid w:val="00C45525"/>
    <w:rsid w:val="00C4554B"/>
    <w:rsid w:val="00C45626"/>
    <w:rsid w:val="00C456E5"/>
    <w:rsid w:val="00C4572F"/>
    <w:rsid w:val="00C45732"/>
    <w:rsid w:val="00C4573A"/>
    <w:rsid w:val="00C457B8"/>
    <w:rsid w:val="00C457C5"/>
    <w:rsid w:val="00C45805"/>
    <w:rsid w:val="00C45854"/>
    <w:rsid w:val="00C458D0"/>
    <w:rsid w:val="00C458EC"/>
    <w:rsid w:val="00C458FF"/>
    <w:rsid w:val="00C45981"/>
    <w:rsid w:val="00C45A28"/>
    <w:rsid w:val="00C45A32"/>
    <w:rsid w:val="00C45AE6"/>
    <w:rsid w:val="00C45AF4"/>
    <w:rsid w:val="00C45BCC"/>
    <w:rsid w:val="00C45C16"/>
    <w:rsid w:val="00C45CDB"/>
    <w:rsid w:val="00C45DAF"/>
    <w:rsid w:val="00C45DF7"/>
    <w:rsid w:val="00C46051"/>
    <w:rsid w:val="00C460C0"/>
    <w:rsid w:val="00C4610F"/>
    <w:rsid w:val="00C461AB"/>
    <w:rsid w:val="00C46225"/>
    <w:rsid w:val="00C463CE"/>
    <w:rsid w:val="00C46443"/>
    <w:rsid w:val="00C46677"/>
    <w:rsid w:val="00C46706"/>
    <w:rsid w:val="00C46753"/>
    <w:rsid w:val="00C467F7"/>
    <w:rsid w:val="00C46871"/>
    <w:rsid w:val="00C46968"/>
    <w:rsid w:val="00C469B1"/>
    <w:rsid w:val="00C46A89"/>
    <w:rsid w:val="00C46C6F"/>
    <w:rsid w:val="00C46CAE"/>
    <w:rsid w:val="00C46D89"/>
    <w:rsid w:val="00C46E73"/>
    <w:rsid w:val="00C46EAD"/>
    <w:rsid w:val="00C46EB5"/>
    <w:rsid w:val="00C46EC1"/>
    <w:rsid w:val="00C46EF0"/>
    <w:rsid w:val="00C46F01"/>
    <w:rsid w:val="00C47052"/>
    <w:rsid w:val="00C47079"/>
    <w:rsid w:val="00C47097"/>
    <w:rsid w:val="00C471EE"/>
    <w:rsid w:val="00C47202"/>
    <w:rsid w:val="00C47231"/>
    <w:rsid w:val="00C47262"/>
    <w:rsid w:val="00C472E5"/>
    <w:rsid w:val="00C47358"/>
    <w:rsid w:val="00C4735F"/>
    <w:rsid w:val="00C47366"/>
    <w:rsid w:val="00C47385"/>
    <w:rsid w:val="00C47485"/>
    <w:rsid w:val="00C474AC"/>
    <w:rsid w:val="00C474BF"/>
    <w:rsid w:val="00C474F4"/>
    <w:rsid w:val="00C474FD"/>
    <w:rsid w:val="00C475D1"/>
    <w:rsid w:val="00C476C2"/>
    <w:rsid w:val="00C47928"/>
    <w:rsid w:val="00C47A44"/>
    <w:rsid w:val="00C47B77"/>
    <w:rsid w:val="00C47BB8"/>
    <w:rsid w:val="00C47C35"/>
    <w:rsid w:val="00C47CAF"/>
    <w:rsid w:val="00C47D35"/>
    <w:rsid w:val="00C47D46"/>
    <w:rsid w:val="00C47D8F"/>
    <w:rsid w:val="00C47D9D"/>
    <w:rsid w:val="00C5001D"/>
    <w:rsid w:val="00C50042"/>
    <w:rsid w:val="00C5008B"/>
    <w:rsid w:val="00C500A4"/>
    <w:rsid w:val="00C50158"/>
    <w:rsid w:val="00C5023A"/>
    <w:rsid w:val="00C506EC"/>
    <w:rsid w:val="00C5070D"/>
    <w:rsid w:val="00C5079E"/>
    <w:rsid w:val="00C507C3"/>
    <w:rsid w:val="00C507E8"/>
    <w:rsid w:val="00C508C5"/>
    <w:rsid w:val="00C50928"/>
    <w:rsid w:val="00C50976"/>
    <w:rsid w:val="00C50B59"/>
    <w:rsid w:val="00C50C17"/>
    <w:rsid w:val="00C50C3A"/>
    <w:rsid w:val="00C50CD4"/>
    <w:rsid w:val="00C50D10"/>
    <w:rsid w:val="00C50DE5"/>
    <w:rsid w:val="00C50DE9"/>
    <w:rsid w:val="00C50E31"/>
    <w:rsid w:val="00C50FCF"/>
    <w:rsid w:val="00C51000"/>
    <w:rsid w:val="00C51014"/>
    <w:rsid w:val="00C510A1"/>
    <w:rsid w:val="00C511C4"/>
    <w:rsid w:val="00C51241"/>
    <w:rsid w:val="00C512F2"/>
    <w:rsid w:val="00C51353"/>
    <w:rsid w:val="00C51385"/>
    <w:rsid w:val="00C51548"/>
    <w:rsid w:val="00C5165D"/>
    <w:rsid w:val="00C51699"/>
    <w:rsid w:val="00C5193D"/>
    <w:rsid w:val="00C51BC5"/>
    <w:rsid w:val="00C51E3E"/>
    <w:rsid w:val="00C51E58"/>
    <w:rsid w:val="00C51F1B"/>
    <w:rsid w:val="00C51FE5"/>
    <w:rsid w:val="00C5203D"/>
    <w:rsid w:val="00C520C9"/>
    <w:rsid w:val="00C520DC"/>
    <w:rsid w:val="00C5210E"/>
    <w:rsid w:val="00C52127"/>
    <w:rsid w:val="00C5228F"/>
    <w:rsid w:val="00C524B1"/>
    <w:rsid w:val="00C525A0"/>
    <w:rsid w:val="00C52674"/>
    <w:rsid w:val="00C52681"/>
    <w:rsid w:val="00C52711"/>
    <w:rsid w:val="00C52743"/>
    <w:rsid w:val="00C52794"/>
    <w:rsid w:val="00C528C5"/>
    <w:rsid w:val="00C528CF"/>
    <w:rsid w:val="00C52951"/>
    <w:rsid w:val="00C52B13"/>
    <w:rsid w:val="00C52B26"/>
    <w:rsid w:val="00C52C44"/>
    <w:rsid w:val="00C52DD8"/>
    <w:rsid w:val="00C52DDA"/>
    <w:rsid w:val="00C52E58"/>
    <w:rsid w:val="00C52E77"/>
    <w:rsid w:val="00C52E82"/>
    <w:rsid w:val="00C52FF2"/>
    <w:rsid w:val="00C533AD"/>
    <w:rsid w:val="00C534C2"/>
    <w:rsid w:val="00C535A4"/>
    <w:rsid w:val="00C536CD"/>
    <w:rsid w:val="00C536EE"/>
    <w:rsid w:val="00C536F1"/>
    <w:rsid w:val="00C539CC"/>
    <w:rsid w:val="00C53B3B"/>
    <w:rsid w:val="00C53BC8"/>
    <w:rsid w:val="00C53BE9"/>
    <w:rsid w:val="00C53CF2"/>
    <w:rsid w:val="00C53E1B"/>
    <w:rsid w:val="00C54020"/>
    <w:rsid w:val="00C54048"/>
    <w:rsid w:val="00C541CB"/>
    <w:rsid w:val="00C54222"/>
    <w:rsid w:val="00C54338"/>
    <w:rsid w:val="00C54422"/>
    <w:rsid w:val="00C54586"/>
    <w:rsid w:val="00C546FD"/>
    <w:rsid w:val="00C54737"/>
    <w:rsid w:val="00C547FE"/>
    <w:rsid w:val="00C5481A"/>
    <w:rsid w:val="00C548C0"/>
    <w:rsid w:val="00C54AB5"/>
    <w:rsid w:val="00C54B80"/>
    <w:rsid w:val="00C54BBE"/>
    <w:rsid w:val="00C54D88"/>
    <w:rsid w:val="00C54DDB"/>
    <w:rsid w:val="00C54E4C"/>
    <w:rsid w:val="00C54EC8"/>
    <w:rsid w:val="00C54FD3"/>
    <w:rsid w:val="00C5502A"/>
    <w:rsid w:val="00C55150"/>
    <w:rsid w:val="00C55180"/>
    <w:rsid w:val="00C55195"/>
    <w:rsid w:val="00C55272"/>
    <w:rsid w:val="00C552CA"/>
    <w:rsid w:val="00C553F9"/>
    <w:rsid w:val="00C55466"/>
    <w:rsid w:val="00C554E1"/>
    <w:rsid w:val="00C55512"/>
    <w:rsid w:val="00C5567E"/>
    <w:rsid w:val="00C55717"/>
    <w:rsid w:val="00C558E1"/>
    <w:rsid w:val="00C558EF"/>
    <w:rsid w:val="00C558FA"/>
    <w:rsid w:val="00C55935"/>
    <w:rsid w:val="00C55959"/>
    <w:rsid w:val="00C559E4"/>
    <w:rsid w:val="00C55A09"/>
    <w:rsid w:val="00C55A4C"/>
    <w:rsid w:val="00C55AAB"/>
    <w:rsid w:val="00C55AD0"/>
    <w:rsid w:val="00C55AD5"/>
    <w:rsid w:val="00C55B8A"/>
    <w:rsid w:val="00C55BCA"/>
    <w:rsid w:val="00C55C11"/>
    <w:rsid w:val="00C55CCD"/>
    <w:rsid w:val="00C55DD6"/>
    <w:rsid w:val="00C55FA6"/>
    <w:rsid w:val="00C5606E"/>
    <w:rsid w:val="00C56085"/>
    <w:rsid w:val="00C560B5"/>
    <w:rsid w:val="00C561C9"/>
    <w:rsid w:val="00C56343"/>
    <w:rsid w:val="00C56368"/>
    <w:rsid w:val="00C56490"/>
    <w:rsid w:val="00C56539"/>
    <w:rsid w:val="00C5666E"/>
    <w:rsid w:val="00C5677A"/>
    <w:rsid w:val="00C567D0"/>
    <w:rsid w:val="00C56820"/>
    <w:rsid w:val="00C568CF"/>
    <w:rsid w:val="00C5698C"/>
    <w:rsid w:val="00C569D7"/>
    <w:rsid w:val="00C56A6C"/>
    <w:rsid w:val="00C56B1A"/>
    <w:rsid w:val="00C56BDB"/>
    <w:rsid w:val="00C56C12"/>
    <w:rsid w:val="00C56D55"/>
    <w:rsid w:val="00C56EBE"/>
    <w:rsid w:val="00C56EC4"/>
    <w:rsid w:val="00C56F29"/>
    <w:rsid w:val="00C5702D"/>
    <w:rsid w:val="00C57134"/>
    <w:rsid w:val="00C57194"/>
    <w:rsid w:val="00C5737C"/>
    <w:rsid w:val="00C57428"/>
    <w:rsid w:val="00C57437"/>
    <w:rsid w:val="00C5757E"/>
    <w:rsid w:val="00C5773B"/>
    <w:rsid w:val="00C57828"/>
    <w:rsid w:val="00C57977"/>
    <w:rsid w:val="00C57A0E"/>
    <w:rsid w:val="00C57A1E"/>
    <w:rsid w:val="00C57C67"/>
    <w:rsid w:val="00C57CA0"/>
    <w:rsid w:val="00C57DEF"/>
    <w:rsid w:val="00C57F44"/>
    <w:rsid w:val="00C6007E"/>
    <w:rsid w:val="00C602F8"/>
    <w:rsid w:val="00C60430"/>
    <w:rsid w:val="00C60470"/>
    <w:rsid w:val="00C6053A"/>
    <w:rsid w:val="00C6055A"/>
    <w:rsid w:val="00C60595"/>
    <w:rsid w:val="00C606CA"/>
    <w:rsid w:val="00C60849"/>
    <w:rsid w:val="00C60924"/>
    <w:rsid w:val="00C609FD"/>
    <w:rsid w:val="00C60A1E"/>
    <w:rsid w:val="00C60AF8"/>
    <w:rsid w:val="00C60AF9"/>
    <w:rsid w:val="00C60B0F"/>
    <w:rsid w:val="00C60EF6"/>
    <w:rsid w:val="00C60F1C"/>
    <w:rsid w:val="00C60F8D"/>
    <w:rsid w:val="00C6103E"/>
    <w:rsid w:val="00C61052"/>
    <w:rsid w:val="00C61067"/>
    <w:rsid w:val="00C6106F"/>
    <w:rsid w:val="00C610D7"/>
    <w:rsid w:val="00C6111A"/>
    <w:rsid w:val="00C61156"/>
    <w:rsid w:val="00C612D4"/>
    <w:rsid w:val="00C6133C"/>
    <w:rsid w:val="00C6142A"/>
    <w:rsid w:val="00C61479"/>
    <w:rsid w:val="00C614E5"/>
    <w:rsid w:val="00C614E7"/>
    <w:rsid w:val="00C61535"/>
    <w:rsid w:val="00C61556"/>
    <w:rsid w:val="00C6161A"/>
    <w:rsid w:val="00C616D3"/>
    <w:rsid w:val="00C61711"/>
    <w:rsid w:val="00C61767"/>
    <w:rsid w:val="00C6180B"/>
    <w:rsid w:val="00C6181C"/>
    <w:rsid w:val="00C61870"/>
    <w:rsid w:val="00C61959"/>
    <w:rsid w:val="00C6197F"/>
    <w:rsid w:val="00C61B39"/>
    <w:rsid w:val="00C61BA6"/>
    <w:rsid w:val="00C61BC5"/>
    <w:rsid w:val="00C61CEB"/>
    <w:rsid w:val="00C61D20"/>
    <w:rsid w:val="00C61DA4"/>
    <w:rsid w:val="00C61DA6"/>
    <w:rsid w:val="00C61E0E"/>
    <w:rsid w:val="00C61ECA"/>
    <w:rsid w:val="00C61F76"/>
    <w:rsid w:val="00C61FB7"/>
    <w:rsid w:val="00C62003"/>
    <w:rsid w:val="00C62026"/>
    <w:rsid w:val="00C6206A"/>
    <w:rsid w:val="00C62076"/>
    <w:rsid w:val="00C62147"/>
    <w:rsid w:val="00C6221F"/>
    <w:rsid w:val="00C6228A"/>
    <w:rsid w:val="00C622B2"/>
    <w:rsid w:val="00C62373"/>
    <w:rsid w:val="00C624F1"/>
    <w:rsid w:val="00C62581"/>
    <w:rsid w:val="00C62772"/>
    <w:rsid w:val="00C6281B"/>
    <w:rsid w:val="00C62978"/>
    <w:rsid w:val="00C62ACD"/>
    <w:rsid w:val="00C62BD6"/>
    <w:rsid w:val="00C62C2B"/>
    <w:rsid w:val="00C62FFC"/>
    <w:rsid w:val="00C63011"/>
    <w:rsid w:val="00C6318B"/>
    <w:rsid w:val="00C63260"/>
    <w:rsid w:val="00C632D8"/>
    <w:rsid w:val="00C633DC"/>
    <w:rsid w:val="00C63443"/>
    <w:rsid w:val="00C6345D"/>
    <w:rsid w:val="00C6348E"/>
    <w:rsid w:val="00C6349B"/>
    <w:rsid w:val="00C6369B"/>
    <w:rsid w:val="00C63929"/>
    <w:rsid w:val="00C63977"/>
    <w:rsid w:val="00C63A3C"/>
    <w:rsid w:val="00C63B7A"/>
    <w:rsid w:val="00C63D98"/>
    <w:rsid w:val="00C63D99"/>
    <w:rsid w:val="00C63E6A"/>
    <w:rsid w:val="00C63EB9"/>
    <w:rsid w:val="00C63EEB"/>
    <w:rsid w:val="00C64030"/>
    <w:rsid w:val="00C640BA"/>
    <w:rsid w:val="00C6415C"/>
    <w:rsid w:val="00C64212"/>
    <w:rsid w:val="00C64296"/>
    <w:rsid w:val="00C643C2"/>
    <w:rsid w:val="00C643C4"/>
    <w:rsid w:val="00C643EA"/>
    <w:rsid w:val="00C643EE"/>
    <w:rsid w:val="00C64450"/>
    <w:rsid w:val="00C6449D"/>
    <w:rsid w:val="00C644BA"/>
    <w:rsid w:val="00C645A7"/>
    <w:rsid w:val="00C645B3"/>
    <w:rsid w:val="00C64604"/>
    <w:rsid w:val="00C6470A"/>
    <w:rsid w:val="00C6471E"/>
    <w:rsid w:val="00C6478C"/>
    <w:rsid w:val="00C647A8"/>
    <w:rsid w:val="00C6481A"/>
    <w:rsid w:val="00C64865"/>
    <w:rsid w:val="00C648B9"/>
    <w:rsid w:val="00C64B6B"/>
    <w:rsid w:val="00C64BE9"/>
    <w:rsid w:val="00C64C17"/>
    <w:rsid w:val="00C64CED"/>
    <w:rsid w:val="00C64D18"/>
    <w:rsid w:val="00C64D23"/>
    <w:rsid w:val="00C64D83"/>
    <w:rsid w:val="00C64DED"/>
    <w:rsid w:val="00C64F9D"/>
    <w:rsid w:val="00C6512C"/>
    <w:rsid w:val="00C65177"/>
    <w:rsid w:val="00C653CB"/>
    <w:rsid w:val="00C653D5"/>
    <w:rsid w:val="00C6544C"/>
    <w:rsid w:val="00C654AC"/>
    <w:rsid w:val="00C6552F"/>
    <w:rsid w:val="00C65539"/>
    <w:rsid w:val="00C65573"/>
    <w:rsid w:val="00C656BC"/>
    <w:rsid w:val="00C656DE"/>
    <w:rsid w:val="00C656E3"/>
    <w:rsid w:val="00C65A57"/>
    <w:rsid w:val="00C65B46"/>
    <w:rsid w:val="00C65C45"/>
    <w:rsid w:val="00C65C4C"/>
    <w:rsid w:val="00C65E27"/>
    <w:rsid w:val="00C65E39"/>
    <w:rsid w:val="00C65EB0"/>
    <w:rsid w:val="00C65ED8"/>
    <w:rsid w:val="00C660F1"/>
    <w:rsid w:val="00C6626C"/>
    <w:rsid w:val="00C662E0"/>
    <w:rsid w:val="00C66397"/>
    <w:rsid w:val="00C663A0"/>
    <w:rsid w:val="00C663E1"/>
    <w:rsid w:val="00C663F1"/>
    <w:rsid w:val="00C66441"/>
    <w:rsid w:val="00C664D0"/>
    <w:rsid w:val="00C664E0"/>
    <w:rsid w:val="00C66575"/>
    <w:rsid w:val="00C665BC"/>
    <w:rsid w:val="00C6663F"/>
    <w:rsid w:val="00C667FB"/>
    <w:rsid w:val="00C66820"/>
    <w:rsid w:val="00C66898"/>
    <w:rsid w:val="00C66A4A"/>
    <w:rsid w:val="00C66B20"/>
    <w:rsid w:val="00C66B9C"/>
    <w:rsid w:val="00C66BA5"/>
    <w:rsid w:val="00C66CE4"/>
    <w:rsid w:val="00C66D0A"/>
    <w:rsid w:val="00C66DA0"/>
    <w:rsid w:val="00C66EDF"/>
    <w:rsid w:val="00C66EF0"/>
    <w:rsid w:val="00C67002"/>
    <w:rsid w:val="00C67012"/>
    <w:rsid w:val="00C67046"/>
    <w:rsid w:val="00C67168"/>
    <w:rsid w:val="00C671DB"/>
    <w:rsid w:val="00C67366"/>
    <w:rsid w:val="00C673DE"/>
    <w:rsid w:val="00C673F9"/>
    <w:rsid w:val="00C67429"/>
    <w:rsid w:val="00C6742F"/>
    <w:rsid w:val="00C67442"/>
    <w:rsid w:val="00C6767E"/>
    <w:rsid w:val="00C6775A"/>
    <w:rsid w:val="00C677BA"/>
    <w:rsid w:val="00C677D7"/>
    <w:rsid w:val="00C6783F"/>
    <w:rsid w:val="00C6789E"/>
    <w:rsid w:val="00C679B6"/>
    <w:rsid w:val="00C67A14"/>
    <w:rsid w:val="00C67A5F"/>
    <w:rsid w:val="00C67AA4"/>
    <w:rsid w:val="00C67AE2"/>
    <w:rsid w:val="00C67C76"/>
    <w:rsid w:val="00C67E41"/>
    <w:rsid w:val="00C67E6A"/>
    <w:rsid w:val="00C67E7D"/>
    <w:rsid w:val="00C67EC6"/>
    <w:rsid w:val="00C67EDE"/>
    <w:rsid w:val="00C67FE1"/>
    <w:rsid w:val="00C70022"/>
    <w:rsid w:val="00C70135"/>
    <w:rsid w:val="00C70172"/>
    <w:rsid w:val="00C70289"/>
    <w:rsid w:val="00C70300"/>
    <w:rsid w:val="00C70436"/>
    <w:rsid w:val="00C704A4"/>
    <w:rsid w:val="00C7076F"/>
    <w:rsid w:val="00C7088F"/>
    <w:rsid w:val="00C709A9"/>
    <w:rsid w:val="00C70A57"/>
    <w:rsid w:val="00C70A9D"/>
    <w:rsid w:val="00C70AF1"/>
    <w:rsid w:val="00C70AF2"/>
    <w:rsid w:val="00C70B18"/>
    <w:rsid w:val="00C70B34"/>
    <w:rsid w:val="00C70C03"/>
    <w:rsid w:val="00C70C63"/>
    <w:rsid w:val="00C70CEE"/>
    <w:rsid w:val="00C70DAA"/>
    <w:rsid w:val="00C70E31"/>
    <w:rsid w:val="00C71012"/>
    <w:rsid w:val="00C7106D"/>
    <w:rsid w:val="00C710B7"/>
    <w:rsid w:val="00C71153"/>
    <w:rsid w:val="00C711DE"/>
    <w:rsid w:val="00C7123F"/>
    <w:rsid w:val="00C71264"/>
    <w:rsid w:val="00C71285"/>
    <w:rsid w:val="00C712C3"/>
    <w:rsid w:val="00C712FA"/>
    <w:rsid w:val="00C71388"/>
    <w:rsid w:val="00C71572"/>
    <w:rsid w:val="00C71658"/>
    <w:rsid w:val="00C717F7"/>
    <w:rsid w:val="00C7184F"/>
    <w:rsid w:val="00C718B4"/>
    <w:rsid w:val="00C71927"/>
    <w:rsid w:val="00C7192F"/>
    <w:rsid w:val="00C71A26"/>
    <w:rsid w:val="00C71B1A"/>
    <w:rsid w:val="00C71B6C"/>
    <w:rsid w:val="00C71B79"/>
    <w:rsid w:val="00C71BD9"/>
    <w:rsid w:val="00C71CE3"/>
    <w:rsid w:val="00C71D1D"/>
    <w:rsid w:val="00C71D3B"/>
    <w:rsid w:val="00C71DB5"/>
    <w:rsid w:val="00C71E08"/>
    <w:rsid w:val="00C71F49"/>
    <w:rsid w:val="00C71FE6"/>
    <w:rsid w:val="00C72003"/>
    <w:rsid w:val="00C7203E"/>
    <w:rsid w:val="00C72045"/>
    <w:rsid w:val="00C72098"/>
    <w:rsid w:val="00C720F5"/>
    <w:rsid w:val="00C72100"/>
    <w:rsid w:val="00C72294"/>
    <w:rsid w:val="00C723A3"/>
    <w:rsid w:val="00C72413"/>
    <w:rsid w:val="00C7241E"/>
    <w:rsid w:val="00C724A7"/>
    <w:rsid w:val="00C72553"/>
    <w:rsid w:val="00C725F9"/>
    <w:rsid w:val="00C7267A"/>
    <w:rsid w:val="00C726AD"/>
    <w:rsid w:val="00C726C3"/>
    <w:rsid w:val="00C726D4"/>
    <w:rsid w:val="00C72771"/>
    <w:rsid w:val="00C72798"/>
    <w:rsid w:val="00C7296D"/>
    <w:rsid w:val="00C72982"/>
    <w:rsid w:val="00C72AB9"/>
    <w:rsid w:val="00C72AFB"/>
    <w:rsid w:val="00C72C48"/>
    <w:rsid w:val="00C72CBB"/>
    <w:rsid w:val="00C72D10"/>
    <w:rsid w:val="00C72D9E"/>
    <w:rsid w:val="00C72EB6"/>
    <w:rsid w:val="00C72F99"/>
    <w:rsid w:val="00C73135"/>
    <w:rsid w:val="00C73340"/>
    <w:rsid w:val="00C733E2"/>
    <w:rsid w:val="00C734D3"/>
    <w:rsid w:val="00C734E2"/>
    <w:rsid w:val="00C735E3"/>
    <w:rsid w:val="00C737B7"/>
    <w:rsid w:val="00C737F6"/>
    <w:rsid w:val="00C738CA"/>
    <w:rsid w:val="00C7390D"/>
    <w:rsid w:val="00C73923"/>
    <w:rsid w:val="00C73927"/>
    <w:rsid w:val="00C73934"/>
    <w:rsid w:val="00C73C5E"/>
    <w:rsid w:val="00C73DDB"/>
    <w:rsid w:val="00C73F8F"/>
    <w:rsid w:val="00C73FFA"/>
    <w:rsid w:val="00C7404A"/>
    <w:rsid w:val="00C7406C"/>
    <w:rsid w:val="00C74070"/>
    <w:rsid w:val="00C740C0"/>
    <w:rsid w:val="00C7426E"/>
    <w:rsid w:val="00C743FF"/>
    <w:rsid w:val="00C744DB"/>
    <w:rsid w:val="00C74647"/>
    <w:rsid w:val="00C74711"/>
    <w:rsid w:val="00C747C7"/>
    <w:rsid w:val="00C74A4D"/>
    <w:rsid w:val="00C74A84"/>
    <w:rsid w:val="00C74B75"/>
    <w:rsid w:val="00C74C91"/>
    <w:rsid w:val="00C74CA8"/>
    <w:rsid w:val="00C74D43"/>
    <w:rsid w:val="00C74DDF"/>
    <w:rsid w:val="00C74DF5"/>
    <w:rsid w:val="00C74E38"/>
    <w:rsid w:val="00C74F2E"/>
    <w:rsid w:val="00C74F86"/>
    <w:rsid w:val="00C74F91"/>
    <w:rsid w:val="00C74F93"/>
    <w:rsid w:val="00C750B8"/>
    <w:rsid w:val="00C75197"/>
    <w:rsid w:val="00C751A0"/>
    <w:rsid w:val="00C75568"/>
    <w:rsid w:val="00C755EE"/>
    <w:rsid w:val="00C75616"/>
    <w:rsid w:val="00C75723"/>
    <w:rsid w:val="00C7593E"/>
    <w:rsid w:val="00C759FC"/>
    <w:rsid w:val="00C75A41"/>
    <w:rsid w:val="00C75AF1"/>
    <w:rsid w:val="00C75B0D"/>
    <w:rsid w:val="00C75B91"/>
    <w:rsid w:val="00C75BD9"/>
    <w:rsid w:val="00C75CD5"/>
    <w:rsid w:val="00C75CDF"/>
    <w:rsid w:val="00C75CF9"/>
    <w:rsid w:val="00C75D0B"/>
    <w:rsid w:val="00C75D81"/>
    <w:rsid w:val="00C75E06"/>
    <w:rsid w:val="00C75E5E"/>
    <w:rsid w:val="00C75EC6"/>
    <w:rsid w:val="00C7606D"/>
    <w:rsid w:val="00C761F5"/>
    <w:rsid w:val="00C76232"/>
    <w:rsid w:val="00C76258"/>
    <w:rsid w:val="00C763DB"/>
    <w:rsid w:val="00C76441"/>
    <w:rsid w:val="00C76521"/>
    <w:rsid w:val="00C767D8"/>
    <w:rsid w:val="00C76847"/>
    <w:rsid w:val="00C768E4"/>
    <w:rsid w:val="00C76957"/>
    <w:rsid w:val="00C76A2E"/>
    <w:rsid w:val="00C76A4A"/>
    <w:rsid w:val="00C76A78"/>
    <w:rsid w:val="00C76B25"/>
    <w:rsid w:val="00C76B32"/>
    <w:rsid w:val="00C76BAC"/>
    <w:rsid w:val="00C76C65"/>
    <w:rsid w:val="00C76DB7"/>
    <w:rsid w:val="00C76DEC"/>
    <w:rsid w:val="00C76F96"/>
    <w:rsid w:val="00C77019"/>
    <w:rsid w:val="00C7722C"/>
    <w:rsid w:val="00C772A3"/>
    <w:rsid w:val="00C7734B"/>
    <w:rsid w:val="00C774CB"/>
    <w:rsid w:val="00C77571"/>
    <w:rsid w:val="00C776EB"/>
    <w:rsid w:val="00C7771C"/>
    <w:rsid w:val="00C77847"/>
    <w:rsid w:val="00C77889"/>
    <w:rsid w:val="00C778FC"/>
    <w:rsid w:val="00C77972"/>
    <w:rsid w:val="00C77974"/>
    <w:rsid w:val="00C77AB9"/>
    <w:rsid w:val="00C77ACD"/>
    <w:rsid w:val="00C77BC0"/>
    <w:rsid w:val="00C77C11"/>
    <w:rsid w:val="00C77CB1"/>
    <w:rsid w:val="00C77CE4"/>
    <w:rsid w:val="00C77E4F"/>
    <w:rsid w:val="00C77EFC"/>
    <w:rsid w:val="00C80016"/>
    <w:rsid w:val="00C800D6"/>
    <w:rsid w:val="00C801DB"/>
    <w:rsid w:val="00C80323"/>
    <w:rsid w:val="00C804D3"/>
    <w:rsid w:val="00C80584"/>
    <w:rsid w:val="00C805B6"/>
    <w:rsid w:val="00C805F2"/>
    <w:rsid w:val="00C8067A"/>
    <w:rsid w:val="00C80681"/>
    <w:rsid w:val="00C80701"/>
    <w:rsid w:val="00C807BF"/>
    <w:rsid w:val="00C80887"/>
    <w:rsid w:val="00C808FD"/>
    <w:rsid w:val="00C8094F"/>
    <w:rsid w:val="00C809B4"/>
    <w:rsid w:val="00C809D2"/>
    <w:rsid w:val="00C80A20"/>
    <w:rsid w:val="00C80B58"/>
    <w:rsid w:val="00C80C0D"/>
    <w:rsid w:val="00C80C63"/>
    <w:rsid w:val="00C80CB4"/>
    <w:rsid w:val="00C80D1B"/>
    <w:rsid w:val="00C80D7E"/>
    <w:rsid w:val="00C80D95"/>
    <w:rsid w:val="00C80E7E"/>
    <w:rsid w:val="00C80E82"/>
    <w:rsid w:val="00C80EE6"/>
    <w:rsid w:val="00C8101A"/>
    <w:rsid w:val="00C81218"/>
    <w:rsid w:val="00C8124A"/>
    <w:rsid w:val="00C81326"/>
    <w:rsid w:val="00C8133A"/>
    <w:rsid w:val="00C81364"/>
    <w:rsid w:val="00C813E6"/>
    <w:rsid w:val="00C814FB"/>
    <w:rsid w:val="00C814FD"/>
    <w:rsid w:val="00C8151B"/>
    <w:rsid w:val="00C815E4"/>
    <w:rsid w:val="00C81636"/>
    <w:rsid w:val="00C816C6"/>
    <w:rsid w:val="00C8177E"/>
    <w:rsid w:val="00C8181E"/>
    <w:rsid w:val="00C81869"/>
    <w:rsid w:val="00C818EE"/>
    <w:rsid w:val="00C81944"/>
    <w:rsid w:val="00C819C4"/>
    <w:rsid w:val="00C819F2"/>
    <w:rsid w:val="00C81AAC"/>
    <w:rsid w:val="00C81B87"/>
    <w:rsid w:val="00C81C0D"/>
    <w:rsid w:val="00C81C94"/>
    <w:rsid w:val="00C81DA8"/>
    <w:rsid w:val="00C81E09"/>
    <w:rsid w:val="00C81E97"/>
    <w:rsid w:val="00C81EB0"/>
    <w:rsid w:val="00C81F3A"/>
    <w:rsid w:val="00C81FAF"/>
    <w:rsid w:val="00C81FCB"/>
    <w:rsid w:val="00C81FF8"/>
    <w:rsid w:val="00C82014"/>
    <w:rsid w:val="00C82311"/>
    <w:rsid w:val="00C82468"/>
    <w:rsid w:val="00C82539"/>
    <w:rsid w:val="00C8259E"/>
    <w:rsid w:val="00C825EC"/>
    <w:rsid w:val="00C82859"/>
    <w:rsid w:val="00C829E3"/>
    <w:rsid w:val="00C82AB6"/>
    <w:rsid w:val="00C82C60"/>
    <w:rsid w:val="00C82CF7"/>
    <w:rsid w:val="00C82D41"/>
    <w:rsid w:val="00C82D9D"/>
    <w:rsid w:val="00C83019"/>
    <w:rsid w:val="00C8330D"/>
    <w:rsid w:val="00C83394"/>
    <w:rsid w:val="00C833B2"/>
    <w:rsid w:val="00C834B0"/>
    <w:rsid w:val="00C834F8"/>
    <w:rsid w:val="00C835E7"/>
    <w:rsid w:val="00C83712"/>
    <w:rsid w:val="00C83738"/>
    <w:rsid w:val="00C837C4"/>
    <w:rsid w:val="00C837D9"/>
    <w:rsid w:val="00C83824"/>
    <w:rsid w:val="00C838AC"/>
    <w:rsid w:val="00C83957"/>
    <w:rsid w:val="00C83BFA"/>
    <w:rsid w:val="00C83D2B"/>
    <w:rsid w:val="00C83D82"/>
    <w:rsid w:val="00C83E0B"/>
    <w:rsid w:val="00C83E77"/>
    <w:rsid w:val="00C83E8F"/>
    <w:rsid w:val="00C83EB6"/>
    <w:rsid w:val="00C83EDB"/>
    <w:rsid w:val="00C83F18"/>
    <w:rsid w:val="00C83F22"/>
    <w:rsid w:val="00C83F59"/>
    <w:rsid w:val="00C83FE4"/>
    <w:rsid w:val="00C84008"/>
    <w:rsid w:val="00C84085"/>
    <w:rsid w:val="00C8413F"/>
    <w:rsid w:val="00C842B7"/>
    <w:rsid w:val="00C845A1"/>
    <w:rsid w:val="00C84604"/>
    <w:rsid w:val="00C8481A"/>
    <w:rsid w:val="00C84844"/>
    <w:rsid w:val="00C84A2A"/>
    <w:rsid w:val="00C84B1D"/>
    <w:rsid w:val="00C84C96"/>
    <w:rsid w:val="00C84FB9"/>
    <w:rsid w:val="00C84FF1"/>
    <w:rsid w:val="00C85244"/>
    <w:rsid w:val="00C85283"/>
    <w:rsid w:val="00C852F6"/>
    <w:rsid w:val="00C8539B"/>
    <w:rsid w:val="00C853BB"/>
    <w:rsid w:val="00C854B9"/>
    <w:rsid w:val="00C8562D"/>
    <w:rsid w:val="00C8566E"/>
    <w:rsid w:val="00C856DB"/>
    <w:rsid w:val="00C85703"/>
    <w:rsid w:val="00C8576C"/>
    <w:rsid w:val="00C858E3"/>
    <w:rsid w:val="00C8590B"/>
    <w:rsid w:val="00C85920"/>
    <w:rsid w:val="00C859F1"/>
    <w:rsid w:val="00C85A0E"/>
    <w:rsid w:val="00C85AAA"/>
    <w:rsid w:val="00C85B40"/>
    <w:rsid w:val="00C85B72"/>
    <w:rsid w:val="00C85B98"/>
    <w:rsid w:val="00C85CA5"/>
    <w:rsid w:val="00C85CE4"/>
    <w:rsid w:val="00C85D31"/>
    <w:rsid w:val="00C85E8B"/>
    <w:rsid w:val="00C85EBB"/>
    <w:rsid w:val="00C85F65"/>
    <w:rsid w:val="00C85FC3"/>
    <w:rsid w:val="00C86189"/>
    <w:rsid w:val="00C861DE"/>
    <w:rsid w:val="00C863D8"/>
    <w:rsid w:val="00C8665F"/>
    <w:rsid w:val="00C866D9"/>
    <w:rsid w:val="00C867F7"/>
    <w:rsid w:val="00C86815"/>
    <w:rsid w:val="00C8689D"/>
    <w:rsid w:val="00C868F4"/>
    <w:rsid w:val="00C86908"/>
    <w:rsid w:val="00C86970"/>
    <w:rsid w:val="00C86A02"/>
    <w:rsid w:val="00C86B97"/>
    <w:rsid w:val="00C86D1E"/>
    <w:rsid w:val="00C86D5A"/>
    <w:rsid w:val="00C86D73"/>
    <w:rsid w:val="00C86D76"/>
    <w:rsid w:val="00C86DEA"/>
    <w:rsid w:val="00C86E58"/>
    <w:rsid w:val="00C86F36"/>
    <w:rsid w:val="00C86FF9"/>
    <w:rsid w:val="00C870D6"/>
    <w:rsid w:val="00C871AF"/>
    <w:rsid w:val="00C871F9"/>
    <w:rsid w:val="00C8727B"/>
    <w:rsid w:val="00C87575"/>
    <w:rsid w:val="00C8759B"/>
    <w:rsid w:val="00C8764D"/>
    <w:rsid w:val="00C876F6"/>
    <w:rsid w:val="00C87780"/>
    <w:rsid w:val="00C87800"/>
    <w:rsid w:val="00C878F4"/>
    <w:rsid w:val="00C87A7A"/>
    <w:rsid w:val="00C87B45"/>
    <w:rsid w:val="00C87B6F"/>
    <w:rsid w:val="00C87BD7"/>
    <w:rsid w:val="00C87C12"/>
    <w:rsid w:val="00C87C5D"/>
    <w:rsid w:val="00C87D93"/>
    <w:rsid w:val="00C87EC6"/>
    <w:rsid w:val="00C87F87"/>
    <w:rsid w:val="00C90055"/>
    <w:rsid w:val="00C9010C"/>
    <w:rsid w:val="00C9015E"/>
    <w:rsid w:val="00C903B9"/>
    <w:rsid w:val="00C90407"/>
    <w:rsid w:val="00C904B8"/>
    <w:rsid w:val="00C904C2"/>
    <w:rsid w:val="00C90579"/>
    <w:rsid w:val="00C9065C"/>
    <w:rsid w:val="00C908BD"/>
    <w:rsid w:val="00C90949"/>
    <w:rsid w:val="00C909BF"/>
    <w:rsid w:val="00C90A07"/>
    <w:rsid w:val="00C90A16"/>
    <w:rsid w:val="00C90AB4"/>
    <w:rsid w:val="00C90AFE"/>
    <w:rsid w:val="00C90B33"/>
    <w:rsid w:val="00C90CD3"/>
    <w:rsid w:val="00C90D4C"/>
    <w:rsid w:val="00C90ED0"/>
    <w:rsid w:val="00C90EF0"/>
    <w:rsid w:val="00C90F7D"/>
    <w:rsid w:val="00C9104F"/>
    <w:rsid w:val="00C91385"/>
    <w:rsid w:val="00C91386"/>
    <w:rsid w:val="00C91414"/>
    <w:rsid w:val="00C91467"/>
    <w:rsid w:val="00C914AE"/>
    <w:rsid w:val="00C915DC"/>
    <w:rsid w:val="00C91662"/>
    <w:rsid w:val="00C9166B"/>
    <w:rsid w:val="00C916B6"/>
    <w:rsid w:val="00C9171E"/>
    <w:rsid w:val="00C91744"/>
    <w:rsid w:val="00C9178E"/>
    <w:rsid w:val="00C918C8"/>
    <w:rsid w:val="00C91920"/>
    <w:rsid w:val="00C91938"/>
    <w:rsid w:val="00C9194C"/>
    <w:rsid w:val="00C91A51"/>
    <w:rsid w:val="00C91B0D"/>
    <w:rsid w:val="00C91C2A"/>
    <w:rsid w:val="00C91E64"/>
    <w:rsid w:val="00C91E6F"/>
    <w:rsid w:val="00C91EBC"/>
    <w:rsid w:val="00C91EC6"/>
    <w:rsid w:val="00C9203D"/>
    <w:rsid w:val="00C92173"/>
    <w:rsid w:val="00C922F4"/>
    <w:rsid w:val="00C9242D"/>
    <w:rsid w:val="00C924F2"/>
    <w:rsid w:val="00C92550"/>
    <w:rsid w:val="00C92706"/>
    <w:rsid w:val="00C92750"/>
    <w:rsid w:val="00C92886"/>
    <w:rsid w:val="00C9292C"/>
    <w:rsid w:val="00C9293B"/>
    <w:rsid w:val="00C929A9"/>
    <w:rsid w:val="00C92B4A"/>
    <w:rsid w:val="00C92B5E"/>
    <w:rsid w:val="00C92C7B"/>
    <w:rsid w:val="00C92CB3"/>
    <w:rsid w:val="00C92CE3"/>
    <w:rsid w:val="00C92DC2"/>
    <w:rsid w:val="00C92DFA"/>
    <w:rsid w:val="00C92E62"/>
    <w:rsid w:val="00C92ED1"/>
    <w:rsid w:val="00C92EF8"/>
    <w:rsid w:val="00C92F38"/>
    <w:rsid w:val="00C92F9E"/>
    <w:rsid w:val="00C93029"/>
    <w:rsid w:val="00C9310E"/>
    <w:rsid w:val="00C932BD"/>
    <w:rsid w:val="00C932DA"/>
    <w:rsid w:val="00C93321"/>
    <w:rsid w:val="00C934CB"/>
    <w:rsid w:val="00C93596"/>
    <w:rsid w:val="00C937B4"/>
    <w:rsid w:val="00C9388B"/>
    <w:rsid w:val="00C9391A"/>
    <w:rsid w:val="00C9397F"/>
    <w:rsid w:val="00C939B6"/>
    <w:rsid w:val="00C93A54"/>
    <w:rsid w:val="00C93AFD"/>
    <w:rsid w:val="00C93B4B"/>
    <w:rsid w:val="00C93B4D"/>
    <w:rsid w:val="00C93B8F"/>
    <w:rsid w:val="00C93BA8"/>
    <w:rsid w:val="00C93CA4"/>
    <w:rsid w:val="00C93E0E"/>
    <w:rsid w:val="00C93E20"/>
    <w:rsid w:val="00C93ED1"/>
    <w:rsid w:val="00C9400D"/>
    <w:rsid w:val="00C94020"/>
    <w:rsid w:val="00C94031"/>
    <w:rsid w:val="00C940BB"/>
    <w:rsid w:val="00C94139"/>
    <w:rsid w:val="00C94307"/>
    <w:rsid w:val="00C94369"/>
    <w:rsid w:val="00C943F4"/>
    <w:rsid w:val="00C944C0"/>
    <w:rsid w:val="00C944EB"/>
    <w:rsid w:val="00C94550"/>
    <w:rsid w:val="00C945B8"/>
    <w:rsid w:val="00C945F9"/>
    <w:rsid w:val="00C94670"/>
    <w:rsid w:val="00C94691"/>
    <w:rsid w:val="00C9474F"/>
    <w:rsid w:val="00C94790"/>
    <w:rsid w:val="00C947B3"/>
    <w:rsid w:val="00C949F4"/>
    <w:rsid w:val="00C94A0E"/>
    <w:rsid w:val="00C94A52"/>
    <w:rsid w:val="00C94B5E"/>
    <w:rsid w:val="00C94C80"/>
    <w:rsid w:val="00C94CAB"/>
    <w:rsid w:val="00C94DBB"/>
    <w:rsid w:val="00C94E72"/>
    <w:rsid w:val="00C94FA7"/>
    <w:rsid w:val="00C95054"/>
    <w:rsid w:val="00C95084"/>
    <w:rsid w:val="00C9530C"/>
    <w:rsid w:val="00C95489"/>
    <w:rsid w:val="00C9551A"/>
    <w:rsid w:val="00C95547"/>
    <w:rsid w:val="00C95580"/>
    <w:rsid w:val="00C955B2"/>
    <w:rsid w:val="00C956B5"/>
    <w:rsid w:val="00C95768"/>
    <w:rsid w:val="00C9580B"/>
    <w:rsid w:val="00C959D7"/>
    <w:rsid w:val="00C95AD5"/>
    <w:rsid w:val="00C95BBF"/>
    <w:rsid w:val="00C95CA3"/>
    <w:rsid w:val="00C95DEB"/>
    <w:rsid w:val="00C95E75"/>
    <w:rsid w:val="00C95F30"/>
    <w:rsid w:val="00C960F3"/>
    <w:rsid w:val="00C96118"/>
    <w:rsid w:val="00C9623F"/>
    <w:rsid w:val="00C9626A"/>
    <w:rsid w:val="00C96400"/>
    <w:rsid w:val="00C96489"/>
    <w:rsid w:val="00C96573"/>
    <w:rsid w:val="00C9657A"/>
    <w:rsid w:val="00C9665D"/>
    <w:rsid w:val="00C966C4"/>
    <w:rsid w:val="00C96795"/>
    <w:rsid w:val="00C967DE"/>
    <w:rsid w:val="00C9697D"/>
    <w:rsid w:val="00C96A52"/>
    <w:rsid w:val="00C96AF4"/>
    <w:rsid w:val="00C96B04"/>
    <w:rsid w:val="00C96B49"/>
    <w:rsid w:val="00C96C8E"/>
    <w:rsid w:val="00C96C91"/>
    <w:rsid w:val="00C96C99"/>
    <w:rsid w:val="00C96E1E"/>
    <w:rsid w:val="00C96F35"/>
    <w:rsid w:val="00C972F7"/>
    <w:rsid w:val="00C97448"/>
    <w:rsid w:val="00C975B8"/>
    <w:rsid w:val="00C9765F"/>
    <w:rsid w:val="00C9768B"/>
    <w:rsid w:val="00C97757"/>
    <w:rsid w:val="00C97782"/>
    <w:rsid w:val="00C9784E"/>
    <w:rsid w:val="00C97861"/>
    <w:rsid w:val="00C97864"/>
    <w:rsid w:val="00C97900"/>
    <w:rsid w:val="00C979E5"/>
    <w:rsid w:val="00C97A28"/>
    <w:rsid w:val="00C97AA2"/>
    <w:rsid w:val="00C97AE0"/>
    <w:rsid w:val="00C97AE6"/>
    <w:rsid w:val="00C97AFC"/>
    <w:rsid w:val="00C97C39"/>
    <w:rsid w:val="00C97D62"/>
    <w:rsid w:val="00C97DF3"/>
    <w:rsid w:val="00C97E0C"/>
    <w:rsid w:val="00C97ECE"/>
    <w:rsid w:val="00CA0089"/>
    <w:rsid w:val="00CA00A6"/>
    <w:rsid w:val="00CA00AF"/>
    <w:rsid w:val="00CA00F7"/>
    <w:rsid w:val="00CA01E9"/>
    <w:rsid w:val="00CA0421"/>
    <w:rsid w:val="00CA0468"/>
    <w:rsid w:val="00CA046E"/>
    <w:rsid w:val="00CA047B"/>
    <w:rsid w:val="00CA0552"/>
    <w:rsid w:val="00CA05C7"/>
    <w:rsid w:val="00CA05D8"/>
    <w:rsid w:val="00CA08EC"/>
    <w:rsid w:val="00CA093F"/>
    <w:rsid w:val="00CA0A52"/>
    <w:rsid w:val="00CA0A60"/>
    <w:rsid w:val="00CA0A75"/>
    <w:rsid w:val="00CA0AF5"/>
    <w:rsid w:val="00CA0B6C"/>
    <w:rsid w:val="00CA0D50"/>
    <w:rsid w:val="00CA0DA2"/>
    <w:rsid w:val="00CA0DD1"/>
    <w:rsid w:val="00CA0E92"/>
    <w:rsid w:val="00CA0F11"/>
    <w:rsid w:val="00CA1006"/>
    <w:rsid w:val="00CA1038"/>
    <w:rsid w:val="00CA1065"/>
    <w:rsid w:val="00CA1197"/>
    <w:rsid w:val="00CA11A8"/>
    <w:rsid w:val="00CA11D3"/>
    <w:rsid w:val="00CA126A"/>
    <w:rsid w:val="00CA1306"/>
    <w:rsid w:val="00CA130D"/>
    <w:rsid w:val="00CA1484"/>
    <w:rsid w:val="00CA1535"/>
    <w:rsid w:val="00CA173D"/>
    <w:rsid w:val="00CA17A7"/>
    <w:rsid w:val="00CA19B6"/>
    <w:rsid w:val="00CA19C0"/>
    <w:rsid w:val="00CA1A1E"/>
    <w:rsid w:val="00CA1A39"/>
    <w:rsid w:val="00CA1B3B"/>
    <w:rsid w:val="00CA1D6B"/>
    <w:rsid w:val="00CA1E21"/>
    <w:rsid w:val="00CA1EB8"/>
    <w:rsid w:val="00CA1FB5"/>
    <w:rsid w:val="00CA2091"/>
    <w:rsid w:val="00CA2239"/>
    <w:rsid w:val="00CA2246"/>
    <w:rsid w:val="00CA225B"/>
    <w:rsid w:val="00CA229C"/>
    <w:rsid w:val="00CA233C"/>
    <w:rsid w:val="00CA23C4"/>
    <w:rsid w:val="00CA24C6"/>
    <w:rsid w:val="00CA25A8"/>
    <w:rsid w:val="00CA25B3"/>
    <w:rsid w:val="00CA25DF"/>
    <w:rsid w:val="00CA2653"/>
    <w:rsid w:val="00CA2680"/>
    <w:rsid w:val="00CA27AA"/>
    <w:rsid w:val="00CA284F"/>
    <w:rsid w:val="00CA2892"/>
    <w:rsid w:val="00CA28D3"/>
    <w:rsid w:val="00CA2956"/>
    <w:rsid w:val="00CA298C"/>
    <w:rsid w:val="00CA29C1"/>
    <w:rsid w:val="00CA2BC0"/>
    <w:rsid w:val="00CA2D5B"/>
    <w:rsid w:val="00CA2D8F"/>
    <w:rsid w:val="00CA2DD0"/>
    <w:rsid w:val="00CA2F46"/>
    <w:rsid w:val="00CA301D"/>
    <w:rsid w:val="00CA324A"/>
    <w:rsid w:val="00CA32AE"/>
    <w:rsid w:val="00CA3379"/>
    <w:rsid w:val="00CA338E"/>
    <w:rsid w:val="00CA34BD"/>
    <w:rsid w:val="00CA36E6"/>
    <w:rsid w:val="00CA39D8"/>
    <w:rsid w:val="00CA3AC1"/>
    <w:rsid w:val="00CA3AEB"/>
    <w:rsid w:val="00CA3B48"/>
    <w:rsid w:val="00CA3B93"/>
    <w:rsid w:val="00CA3BC9"/>
    <w:rsid w:val="00CA3CB4"/>
    <w:rsid w:val="00CA3D71"/>
    <w:rsid w:val="00CA3D95"/>
    <w:rsid w:val="00CA3DD1"/>
    <w:rsid w:val="00CA3E88"/>
    <w:rsid w:val="00CA3E92"/>
    <w:rsid w:val="00CA3F32"/>
    <w:rsid w:val="00CA3FB6"/>
    <w:rsid w:val="00CA3FBB"/>
    <w:rsid w:val="00CA3FCC"/>
    <w:rsid w:val="00CA4016"/>
    <w:rsid w:val="00CA4091"/>
    <w:rsid w:val="00CA40C7"/>
    <w:rsid w:val="00CA4132"/>
    <w:rsid w:val="00CA443F"/>
    <w:rsid w:val="00CA447C"/>
    <w:rsid w:val="00CA45EB"/>
    <w:rsid w:val="00CA4606"/>
    <w:rsid w:val="00CA4669"/>
    <w:rsid w:val="00CA46DE"/>
    <w:rsid w:val="00CA4732"/>
    <w:rsid w:val="00CA4770"/>
    <w:rsid w:val="00CA4948"/>
    <w:rsid w:val="00CA498A"/>
    <w:rsid w:val="00CA49C5"/>
    <w:rsid w:val="00CA4A1D"/>
    <w:rsid w:val="00CA4C3D"/>
    <w:rsid w:val="00CA4C43"/>
    <w:rsid w:val="00CA4D6B"/>
    <w:rsid w:val="00CA4DE9"/>
    <w:rsid w:val="00CA5002"/>
    <w:rsid w:val="00CA5145"/>
    <w:rsid w:val="00CA51AE"/>
    <w:rsid w:val="00CA51F4"/>
    <w:rsid w:val="00CA524E"/>
    <w:rsid w:val="00CA52C1"/>
    <w:rsid w:val="00CA5310"/>
    <w:rsid w:val="00CA54E1"/>
    <w:rsid w:val="00CA5766"/>
    <w:rsid w:val="00CA57A0"/>
    <w:rsid w:val="00CA58FE"/>
    <w:rsid w:val="00CA59A4"/>
    <w:rsid w:val="00CA5A38"/>
    <w:rsid w:val="00CA5A75"/>
    <w:rsid w:val="00CA5A95"/>
    <w:rsid w:val="00CA5C52"/>
    <w:rsid w:val="00CA5D02"/>
    <w:rsid w:val="00CA5D90"/>
    <w:rsid w:val="00CA5E7E"/>
    <w:rsid w:val="00CA5EAE"/>
    <w:rsid w:val="00CA60D5"/>
    <w:rsid w:val="00CA611C"/>
    <w:rsid w:val="00CA627E"/>
    <w:rsid w:val="00CA6345"/>
    <w:rsid w:val="00CA669A"/>
    <w:rsid w:val="00CA66C4"/>
    <w:rsid w:val="00CA674A"/>
    <w:rsid w:val="00CA6796"/>
    <w:rsid w:val="00CA6848"/>
    <w:rsid w:val="00CA6926"/>
    <w:rsid w:val="00CA694C"/>
    <w:rsid w:val="00CA69C7"/>
    <w:rsid w:val="00CA69CB"/>
    <w:rsid w:val="00CA6A37"/>
    <w:rsid w:val="00CA6A49"/>
    <w:rsid w:val="00CA6B99"/>
    <w:rsid w:val="00CA6BCF"/>
    <w:rsid w:val="00CA6C4F"/>
    <w:rsid w:val="00CA6E82"/>
    <w:rsid w:val="00CA6EAC"/>
    <w:rsid w:val="00CA6FD3"/>
    <w:rsid w:val="00CA6FFB"/>
    <w:rsid w:val="00CA70FC"/>
    <w:rsid w:val="00CA7112"/>
    <w:rsid w:val="00CA726E"/>
    <w:rsid w:val="00CA7288"/>
    <w:rsid w:val="00CA72F3"/>
    <w:rsid w:val="00CA735B"/>
    <w:rsid w:val="00CA752B"/>
    <w:rsid w:val="00CA7619"/>
    <w:rsid w:val="00CA7662"/>
    <w:rsid w:val="00CA79BF"/>
    <w:rsid w:val="00CA7A12"/>
    <w:rsid w:val="00CA7A5F"/>
    <w:rsid w:val="00CA7C5E"/>
    <w:rsid w:val="00CA7CB7"/>
    <w:rsid w:val="00CA7D93"/>
    <w:rsid w:val="00CA7E48"/>
    <w:rsid w:val="00CA7EE9"/>
    <w:rsid w:val="00CB004B"/>
    <w:rsid w:val="00CB0053"/>
    <w:rsid w:val="00CB0087"/>
    <w:rsid w:val="00CB0094"/>
    <w:rsid w:val="00CB00C0"/>
    <w:rsid w:val="00CB0110"/>
    <w:rsid w:val="00CB019E"/>
    <w:rsid w:val="00CB01A8"/>
    <w:rsid w:val="00CB037D"/>
    <w:rsid w:val="00CB0382"/>
    <w:rsid w:val="00CB04BD"/>
    <w:rsid w:val="00CB0566"/>
    <w:rsid w:val="00CB05E3"/>
    <w:rsid w:val="00CB0603"/>
    <w:rsid w:val="00CB0611"/>
    <w:rsid w:val="00CB0618"/>
    <w:rsid w:val="00CB07BE"/>
    <w:rsid w:val="00CB0954"/>
    <w:rsid w:val="00CB09A5"/>
    <w:rsid w:val="00CB09BB"/>
    <w:rsid w:val="00CB0A4E"/>
    <w:rsid w:val="00CB0A90"/>
    <w:rsid w:val="00CB0AB1"/>
    <w:rsid w:val="00CB0C01"/>
    <w:rsid w:val="00CB0E86"/>
    <w:rsid w:val="00CB0FB5"/>
    <w:rsid w:val="00CB1003"/>
    <w:rsid w:val="00CB1208"/>
    <w:rsid w:val="00CB137D"/>
    <w:rsid w:val="00CB13C4"/>
    <w:rsid w:val="00CB140F"/>
    <w:rsid w:val="00CB178D"/>
    <w:rsid w:val="00CB17B1"/>
    <w:rsid w:val="00CB18B4"/>
    <w:rsid w:val="00CB18D4"/>
    <w:rsid w:val="00CB190A"/>
    <w:rsid w:val="00CB19C2"/>
    <w:rsid w:val="00CB1B1F"/>
    <w:rsid w:val="00CB1B96"/>
    <w:rsid w:val="00CB1C8D"/>
    <w:rsid w:val="00CB1CCA"/>
    <w:rsid w:val="00CB1E5A"/>
    <w:rsid w:val="00CB1FE6"/>
    <w:rsid w:val="00CB2043"/>
    <w:rsid w:val="00CB2064"/>
    <w:rsid w:val="00CB206A"/>
    <w:rsid w:val="00CB20D0"/>
    <w:rsid w:val="00CB212A"/>
    <w:rsid w:val="00CB2184"/>
    <w:rsid w:val="00CB21FB"/>
    <w:rsid w:val="00CB2213"/>
    <w:rsid w:val="00CB2246"/>
    <w:rsid w:val="00CB22F4"/>
    <w:rsid w:val="00CB2350"/>
    <w:rsid w:val="00CB2451"/>
    <w:rsid w:val="00CB250B"/>
    <w:rsid w:val="00CB2540"/>
    <w:rsid w:val="00CB2575"/>
    <w:rsid w:val="00CB2905"/>
    <w:rsid w:val="00CB291D"/>
    <w:rsid w:val="00CB29CA"/>
    <w:rsid w:val="00CB2AFD"/>
    <w:rsid w:val="00CB2B6D"/>
    <w:rsid w:val="00CB2BB9"/>
    <w:rsid w:val="00CB2C90"/>
    <w:rsid w:val="00CB2CC9"/>
    <w:rsid w:val="00CB2D4C"/>
    <w:rsid w:val="00CB2E1A"/>
    <w:rsid w:val="00CB30BE"/>
    <w:rsid w:val="00CB315D"/>
    <w:rsid w:val="00CB316F"/>
    <w:rsid w:val="00CB32C5"/>
    <w:rsid w:val="00CB3488"/>
    <w:rsid w:val="00CB3661"/>
    <w:rsid w:val="00CB36CE"/>
    <w:rsid w:val="00CB371A"/>
    <w:rsid w:val="00CB38D4"/>
    <w:rsid w:val="00CB3912"/>
    <w:rsid w:val="00CB3A69"/>
    <w:rsid w:val="00CB3A71"/>
    <w:rsid w:val="00CB3B27"/>
    <w:rsid w:val="00CB3B28"/>
    <w:rsid w:val="00CB3B38"/>
    <w:rsid w:val="00CB3BE4"/>
    <w:rsid w:val="00CB3C67"/>
    <w:rsid w:val="00CB3EEC"/>
    <w:rsid w:val="00CB3FEA"/>
    <w:rsid w:val="00CB4034"/>
    <w:rsid w:val="00CB4096"/>
    <w:rsid w:val="00CB4185"/>
    <w:rsid w:val="00CB4190"/>
    <w:rsid w:val="00CB42BB"/>
    <w:rsid w:val="00CB4311"/>
    <w:rsid w:val="00CB4390"/>
    <w:rsid w:val="00CB4400"/>
    <w:rsid w:val="00CB4434"/>
    <w:rsid w:val="00CB451F"/>
    <w:rsid w:val="00CB45A0"/>
    <w:rsid w:val="00CB46E8"/>
    <w:rsid w:val="00CB4737"/>
    <w:rsid w:val="00CB4773"/>
    <w:rsid w:val="00CB47D7"/>
    <w:rsid w:val="00CB4996"/>
    <w:rsid w:val="00CB4B04"/>
    <w:rsid w:val="00CB4B7F"/>
    <w:rsid w:val="00CB4BF5"/>
    <w:rsid w:val="00CB4D33"/>
    <w:rsid w:val="00CB4D98"/>
    <w:rsid w:val="00CB4DF5"/>
    <w:rsid w:val="00CB4E3B"/>
    <w:rsid w:val="00CB4E5D"/>
    <w:rsid w:val="00CB4EA6"/>
    <w:rsid w:val="00CB4EFC"/>
    <w:rsid w:val="00CB5065"/>
    <w:rsid w:val="00CB50D7"/>
    <w:rsid w:val="00CB523A"/>
    <w:rsid w:val="00CB526E"/>
    <w:rsid w:val="00CB5308"/>
    <w:rsid w:val="00CB5324"/>
    <w:rsid w:val="00CB532F"/>
    <w:rsid w:val="00CB538C"/>
    <w:rsid w:val="00CB546A"/>
    <w:rsid w:val="00CB54B1"/>
    <w:rsid w:val="00CB5511"/>
    <w:rsid w:val="00CB56AB"/>
    <w:rsid w:val="00CB571B"/>
    <w:rsid w:val="00CB57E8"/>
    <w:rsid w:val="00CB5800"/>
    <w:rsid w:val="00CB58B6"/>
    <w:rsid w:val="00CB5926"/>
    <w:rsid w:val="00CB59F6"/>
    <w:rsid w:val="00CB5CB9"/>
    <w:rsid w:val="00CB5E32"/>
    <w:rsid w:val="00CB5F07"/>
    <w:rsid w:val="00CB6029"/>
    <w:rsid w:val="00CB60D0"/>
    <w:rsid w:val="00CB61DA"/>
    <w:rsid w:val="00CB62E7"/>
    <w:rsid w:val="00CB6408"/>
    <w:rsid w:val="00CB64C4"/>
    <w:rsid w:val="00CB6535"/>
    <w:rsid w:val="00CB6536"/>
    <w:rsid w:val="00CB65A7"/>
    <w:rsid w:val="00CB660A"/>
    <w:rsid w:val="00CB6643"/>
    <w:rsid w:val="00CB6667"/>
    <w:rsid w:val="00CB680E"/>
    <w:rsid w:val="00CB68BE"/>
    <w:rsid w:val="00CB68E2"/>
    <w:rsid w:val="00CB6944"/>
    <w:rsid w:val="00CB69EB"/>
    <w:rsid w:val="00CB6A3F"/>
    <w:rsid w:val="00CB6A8E"/>
    <w:rsid w:val="00CB6AEC"/>
    <w:rsid w:val="00CB6DB8"/>
    <w:rsid w:val="00CB6E0B"/>
    <w:rsid w:val="00CB6E45"/>
    <w:rsid w:val="00CB6F2B"/>
    <w:rsid w:val="00CB6F4D"/>
    <w:rsid w:val="00CB6F5B"/>
    <w:rsid w:val="00CB6F8D"/>
    <w:rsid w:val="00CB7119"/>
    <w:rsid w:val="00CB726A"/>
    <w:rsid w:val="00CB7625"/>
    <w:rsid w:val="00CB7653"/>
    <w:rsid w:val="00CB7847"/>
    <w:rsid w:val="00CB78FF"/>
    <w:rsid w:val="00CB79AF"/>
    <w:rsid w:val="00CB7A12"/>
    <w:rsid w:val="00CB7A60"/>
    <w:rsid w:val="00CB7AA5"/>
    <w:rsid w:val="00CB7B40"/>
    <w:rsid w:val="00CB7BED"/>
    <w:rsid w:val="00CB7DAE"/>
    <w:rsid w:val="00CB7E11"/>
    <w:rsid w:val="00CB7E81"/>
    <w:rsid w:val="00CB7F70"/>
    <w:rsid w:val="00CB7F9A"/>
    <w:rsid w:val="00CC0010"/>
    <w:rsid w:val="00CC00DA"/>
    <w:rsid w:val="00CC0116"/>
    <w:rsid w:val="00CC0133"/>
    <w:rsid w:val="00CC0394"/>
    <w:rsid w:val="00CC03AD"/>
    <w:rsid w:val="00CC03C0"/>
    <w:rsid w:val="00CC03D1"/>
    <w:rsid w:val="00CC0487"/>
    <w:rsid w:val="00CC0562"/>
    <w:rsid w:val="00CC0603"/>
    <w:rsid w:val="00CC06DF"/>
    <w:rsid w:val="00CC07A7"/>
    <w:rsid w:val="00CC07D3"/>
    <w:rsid w:val="00CC07DF"/>
    <w:rsid w:val="00CC0858"/>
    <w:rsid w:val="00CC08C2"/>
    <w:rsid w:val="00CC0A4A"/>
    <w:rsid w:val="00CC0A8D"/>
    <w:rsid w:val="00CC0AC1"/>
    <w:rsid w:val="00CC0AE3"/>
    <w:rsid w:val="00CC0CB6"/>
    <w:rsid w:val="00CC0CD0"/>
    <w:rsid w:val="00CC0E2F"/>
    <w:rsid w:val="00CC0FC8"/>
    <w:rsid w:val="00CC100B"/>
    <w:rsid w:val="00CC114B"/>
    <w:rsid w:val="00CC1347"/>
    <w:rsid w:val="00CC16EF"/>
    <w:rsid w:val="00CC1A2E"/>
    <w:rsid w:val="00CC1A9E"/>
    <w:rsid w:val="00CC1AAA"/>
    <w:rsid w:val="00CC1CBE"/>
    <w:rsid w:val="00CC1DD6"/>
    <w:rsid w:val="00CC1E7B"/>
    <w:rsid w:val="00CC1EA3"/>
    <w:rsid w:val="00CC1F08"/>
    <w:rsid w:val="00CC217A"/>
    <w:rsid w:val="00CC21D0"/>
    <w:rsid w:val="00CC2258"/>
    <w:rsid w:val="00CC232F"/>
    <w:rsid w:val="00CC23EF"/>
    <w:rsid w:val="00CC2465"/>
    <w:rsid w:val="00CC24BE"/>
    <w:rsid w:val="00CC251D"/>
    <w:rsid w:val="00CC27B1"/>
    <w:rsid w:val="00CC2805"/>
    <w:rsid w:val="00CC2812"/>
    <w:rsid w:val="00CC29DD"/>
    <w:rsid w:val="00CC29E9"/>
    <w:rsid w:val="00CC2A01"/>
    <w:rsid w:val="00CC2A7B"/>
    <w:rsid w:val="00CC2AC2"/>
    <w:rsid w:val="00CC2B3E"/>
    <w:rsid w:val="00CC2B66"/>
    <w:rsid w:val="00CC2C8E"/>
    <w:rsid w:val="00CC2DE6"/>
    <w:rsid w:val="00CC2E9B"/>
    <w:rsid w:val="00CC2FAC"/>
    <w:rsid w:val="00CC3052"/>
    <w:rsid w:val="00CC3097"/>
    <w:rsid w:val="00CC3157"/>
    <w:rsid w:val="00CC31FA"/>
    <w:rsid w:val="00CC335E"/>
    <w:rsid w:val="00CC3441"/>
    <w:rsid w:val="00CC359C"/>
    <w:rsid w:val="00CC3618"/>
    <w:rsid w:val="00CC3743"/>
    <w:rsid w:val="00CC3767"/>
    <w:rsid w:val="00CC377F"/>
    <w:rsid w:val="00CC3A00"/>
    <w:rsid w:val="00CC3B5C"/>
    <w:rsid w:val="00CC3BCE"/>
    <w:rsid w:val="00CC3BDF"/>
    <w:rsid w:val="00CC3C0D"/>
    <w:rsid w:val="00CC3CB0"/>
    <w:rsid w:val="00CC3D09"/>
    <w:rsid w:val="00CC3D88"/>
    <w:rsid w:val="00CC3E36"/>
    <w:rsid w:val="00CC3E4A"/>
    <w:rsid w:val="00CC3EA3"/>
    <w:rsid w:val="00CC3F4A"/>
    <w:rsid w:val="00CC3F72"/>
    <w:rsid w:val="00CC4000"/>
    <w:rsid w:val="00CC4111"/>
    <w:rsid w:val="00CC4134"/>
    <w:rsid w:val="00CC4151"/>
    <w:rsid w:val="00CC4226"/>
    <w:rsid w:val="00CC4257"/>
    <w:rsid w:val="00CC42FD"/>
    <w:rsid w:val="00CC438D"/>
    <w:rsid w:val="00CC4401"/>
    <w:rsid w:val="00CC4436"/>
    <w:rsid w:val="00CC450A"/>
    <w:rsid w:val="00CC450D"/>
    <w:rsid w:val="00CC4532"/>
    <w:rsid w:val="00CC471F"/>
    <w:rsid w:val="00CC4772"/>
    <w:rsid w:val="00CC4877"/>
    <w:rsid w:val="00CC4931"/>
    <w:rsid w:val="00CC494E"/>
    <w:rsid w:val="00CC4970"/>
    <w:rsid w:val="00CC4A51"/>
    <w:rsid w:val="00CC4A8D"/>
    <w:rsid w:val="00CC4B9D"/>
    <w:rsid w:val="00CC4BC4"/>
    <w:rsid w:val="00CC4BF5"/>
    <w:rsid w:val="00CC4C5F"/>
    <w:rsid w:val="00CC4F35"/>
    <w:rsid w:val="00CC50BE"/>
    <w:rsid w:val="00CC5205"/>
    <w:rsid w:val="00CC5207"/>
    <w:rsid w:val="00CC525C"/>
    <w:rsid w:val="00CC5409"/>
    <w:rsid w:val="00CC55F3"/>
    <w:rsid w:val="00CC5640"/>
    <w:rsid w:val="00CC5652"/>
    <w:rsid w:val="00CC56B2"/>
    <w:rsid w:val="00CC5705"/>
    <w:rsid w:val="00CC5710"/>
    <w:rsid w:val="00CC57D5"/>
    <w:rsid w:val="00CC5823"/>
    <w:rsid w:val="00CC5AA0"/>
    <w:rsid w:val="00CC5E56"/>
    <w:rsid w:val="00CC5F8A"/>
    <w:rsid w:val="00CC5F92"/>
    <w:rsid w:val="00CC5FFA"/>
    <w:rsid w:val="00CC604C"/>
    <w:rsid w:val="00CC60A2"/>
    <w:rsid w:val="00CC60AB"/>
    <w:rsid w:val="00CC62B2"/>
    <w:rsid w:val="00CC6344"/>
    <w:rsid w:val="00CC6426"/>
    <w:rsid w:val="00CC652F"/>
    <w:rsid w:val="00CC65CF"/>
    <w:rsid w:val="00CC65D9"/>
    <w:rsid w:val="00CC6733"/>
    <w:rsid w:val="00CC674C"/>
    <w:rsid w:val="00CC67C5"/>
    <w:rsid w:val="00CC680D"/>
    <w:rsid w:val="00CC6811"/>
    <w:rsid w:val="00CC68F1"/>
    <w:rsid w:val="00CC691B"/>
    <w:rsid w:val="00CC69CA"/>
    <w:rsid w:val="00CC6A06"/>
    <w:rsid w:val="00CC6A20"/>
    <w:rsid w:val="00CC6A2F"/>
    <w:rsid w:val="00CC6A37"/>
    <w:rsid w:val="00CC6A73"/>
    <w:rsid w:val="00CC6CFC"/>
    <w:rsid w:val="00CC6CFD"/>
    <w:rsid w:val="00CC6D72"/>
    <w:rsid w:val="00CC6D91"/>
    <w:rsid w:val="00CC6F36"/>
    <w:rsid w:val="00CC6F6C"/>
    <w:rsid w:val="00CC7001"/>
    <w:rsid w:val="00CC7024"/>
    <w:rsid w:val="00CC702D"/>
    <w:rsid w:val="00CC707A"/>
    <w:rsid w:val="00CC70A7"/>
    <w:rsid w:val="00CC70D2"/>
    <w:rsid w:val="00CC721C"/>
    <w:rsid w:val="00CC723C"/>
    <w:rsid w:val="00CC7259"/>
    <w:rsid w:val="00CC7304"/>
    <w:rsid w:val="00CC730B"/>
    <w:rsid w:val="00CC73E1"/>
    <w:rsid w:val="00CC73F7"/>
    <w:rsid w:val="00CC746C"/>
    <w:rsid w:val="00CC7490"/>
    <w:rsid w:val="00CC7568"/>
    <w:rsid w:val="00CC758B"/>
    <w:rsid w:val="00CC75F6"/>
    <w:rsid w:val="00CC76CA"/>
    <w:rsid w:val="00CC7715"/>
    <w:rsid w:val="00CC786E"/>
    <w:rsid w:val="00CC788F"/>
    <w:rsid w:val="00CC78B7"/>
    <w:rsid w:val="00CC7957"/>
    <w:rsid w:val="00CC7969"/>
    <w:rsid w:val="00CC7986"/>
    <w:rsid w:val="00CC79DE"/>
    <w:rsid w:val="00CC7B5E"/>
    <w:rsid w:val="00CC7B91"/>
    <w:rsid w:val="00CC7BF4"/>
    <w:rsid w:val="00CC7C46"/>
    <w:rsid w:val="00CC7D52"/>
    <w:rsid w:val="00CC7D89"/>
    <w:rsid w:val="00CC7E35"/>
    <w:rsid w:val="00CC7E64"/>
    <w:rsid w:val="00CC7F2E"/>
    <w:rsid w:val="00CC7FEF"/>
    <w:rsid w:val="00CD0049"/>
    <w:rsid w:val="00CD005C"/>
    <w:rsid w:val="00CD00B9"/>
    <w:rsid w:val="00CD0100"/>
    <w:rsid w:val="00CD01D0"/>
    <w:rsid w:val="00CD02C2"/>
    <w:rsid w:val="00CD02FC"/>
    <w:rsid w:val="00CD0391"/>
    <w:rsid w:val="00CD0527"/>
    <w:rsid w:val="00CD0576"/>
    <w:rsid w:val="00CD0599"/>
    <w:rsid w:val="00CD05ED"/>
    <w:rsid w:val="00CD07C4"/>
    <w:rsid w:val="00CD0A20"/>
    <w:rsid w:val="00CD0A90"/>
    <w:rsid w:val="00CD0AAD"/>
    <w:rsid w:val="00CD0BCF"/>
    <w:rsid w:val="00CD0D84"/>
    <w:rsid w:val="00CD0EE2"/>
    <w:rsid w:val="00CD0F49"/>
    <w:rsid w:val="00CD0FB2"/>
    <w:rsid w:val="00CD1172"/>
    <w:rsid w:val="00CD12D7"/>
    <w:rsid w:val="00CD13CE"/>
    <w:rsid w:val="00CD15B5"/>
    <w:rsid w:val="00CD1618"/>
    <w:rsid w:val="00CD16FD"/>
    <w:rsid w:val="00CD1727"/>
    <w:rsid w:val="00CD1917"/>
    <w:rsid w:val="00CD1A94"/>
    <w:rsid w:val="00CD1C9C"/>
    <w:rsid w:val="00CD1CC4"/>
    <w:rsid w:val="00CD1D8A"/>
    <w:rsid w:val="00CD1FB6"/>
    <w:rsid w:val="00CD209F"/>
    <w:rsid w:val="00CD2135"/>
    <w:rsid w:val="00CD2243"/>
    <w:rsid w:val="00CD227A"/>
    <w:rsid w:val="00CD22F9"/>
    <w:rsid w:val="00CD2306"/>
    <w:rsid w:val="00CD24A8"/>
    <w:rsid w:val="00CD255C"/>
    <w:rsid w:val="00CD25BB"/>
    <w:rsid w:val="00CD2694"/>
    <w:rsid w:val="00CD27F3"/>
    <w:rsid w:val="00CD28DD"/>
    <w:rsid w:val="00CD2BC9"/>
    <w:rsid w:val="00CD2CBB"/>
    <w:rsid w:val="00CD2CCF"/>
    <w:rsid w:val="00CD2CDB"/>
    <w:rsid w:val="00CD2D6C"/>
    <w:rsid w:val="00CD2D7B"/>
    <w:rsid w:val="00CD2DC0"/>
    <w:rsid w:val="00CD2E95"/>
    <w:rsid w:val="00CD3019"/>
    <w:rsid w:val="00CD33DD"/>
    <w:rsid w:val="00CD3626"/>
    <w:rsid w:val="00CD3668"/>
    <w:rsid w:val="00CD36C5"/>
    <w:rsid w:val="00CD3753"/>
    <w:rsid w:val="00CD37ED"/>
    <w:rsid w:val="00CD3811"/>
    <w:rsid w:val="00CD388D"/>
    <w:rsid w:val="00CD393D"/>
    <w:rsid w:val="00CD3971"/>
    <w:rsid w:val="00CD3B03"/>
    <w:rsid w:val="00CD3B56"/>
    <w:rsid w:val="00CD3B6A"/>
    <w:rsid w:val="00CD3BC3"/>
    <w:rsid w:val="00CD3C63"/>
    <w:rsid w:val="00CD3CC2"/>
    <w:rsid w:val="00CD3CC7"/>
    <w:rsid w:val="00CD3CE3"/>
    <w:rsid w:val="00CD3F10"/>
    <w:rsid w:val="00CD3F31"/>
    <w:rsid w:val="00CD3FF4"/>
    <w:rsid w:val="00CD4041"/>
    <w:rsid w:val="00CD40C0"/>
    <w:rsid w:val="00CD413B"/>
    <w:rsid w:val="00CD4331"/>
    <w:rsid w:val="00CD4400"/>
    <w:rsid w:val="00CD44BF"/>
    <w:rsid w:val="00CD4542"/>
    <w:rsid w:val="00CD461D"/>
    <w:rsid w:val="00CD4927"/>
    <w:rsid w:val="00CD4969"/>
    <w:rsid w:val="00CD4970"/>
    <w:rsid w:val="00CD49A1"/>
    <w:rsid w:val="00CD49D9"/>
    <w:rsid w:val="00CD4AC0"/>
    <w:rsid w:val="00CD4B24"/>
    <w:rsid w:val="00CD4D10"/>
    <w:rsid w:val="00CD4D80"/>
    <w:rsid w:val="00CD4D9D"/>
    <w:rsid w:val="00CD4E47"/>
    <w:rsid w:val="00CD514E"/>
    <w:rsid w:val="00CD51AC"/>
    <w:rsid w:val="00CD5364"/>
    <w:rsid w:val="00CD53A8"/>
    <w:rsid w:val="00CD5458"/>
    <w:rsid w:val="00CD549E"/>
    <w:rsid w:val="00CD5620"/>
    <w:rsid w:val="00CD565F"/>
    <w:rsid w:val="00CD5859"/>
    <w:rsid w:val="00CD58BB"/>
    <w:rsid w:val="00CD5954"/>
    <w:rsid w:val="00CD595A"/>
    <w:rsid w:val="00CD59CE"/>
    <w:rsid w:val="00CD5B6B"/>
    <w:rsid w:val="00CD5C16"/>
    <w:rsid w:val="00CD5E7D"/>
    <w:rsid w:val="00CD5FA5"/>
    <w:rsid w:val="00CD607B"/>
    <w:rsid w:val="00CD6117"/>
    <w:rsid w:val="00CD617B"/>
    <w:rsid w:val="00CD61F3"/>
    <w:rsid w:val="00CD623D"/>
    <w:rsid w:val="00CD627A"/>
    <w:rsid w:val="00CD62F0"/>
    <w:rsid w:val="00CD6348"/>
    <w:rsid w:val="00CD6405"/>
    <w:rsid w:val="00CD642C"/>
    <w:rsid w:val="00CD6491"/>
    <w:rsid w:val="00CD6506"/>
    <w:rsid w:val="00CD6526"/>
    <w:rsid w:val="00CD65B8"/>
    <w:rsid w:val="00CD668B"/>
    <w:rsid w:val="00CD66AA"/>
    <w:rsid w:val="00CD6781"/>
    <w:rsid w:val="00CD6803"/>
    <w:rsid w:val="00CD6899"/>
    <w:rsid w:val="00CD68C6"/>
    <w:rsid w:val="00CD690E"/>
    <w:rsid w:val="00CD6949"/>
    <w:rsid w:val="00CD6B06"/>
    <w:rsid w:val="00CD6C1D"/>
    <w:rsid w:val="00CD6CA4"/>
    <w:rsid w:val="00CD6D0D"/>
    <w:rsid w:val="00CD6D45"/>
    <w:rsid w:val="00CD6E9F"/>
    <w:rsid w:val="00CD6F0D"/>
    <w:rsid w:val="00CD7076"/>
    <w:rsid w:val="00CD7115"/>
    <w:rsid w:val="00CD719B"/>
    <w:rsid w:val="00CD71CE"/>
    <w:rsid w:val="00CD7271"/>
    <w:rsid w:val="00CD739D"/>
    <w:rsid w:val="00CD73B5"/>
    <w:rsid w:val="00CD74DB"/>
    <w:rsid w:val="00CD7640"/>
    <w:rsid w:val="00CD780F"/>
    <w:rsid w:val="00CD7838"/>
    <w:rsid w:val="00CD7B41"/>
    <w:rsid w:val="00CD7B98"/>
    <w:rsid w:val="00CD7BB1"/>
    <w:rsid w:val="00CD7CFA"/>
    <w:rsid w:val="00CD7E3D"/>
    <w:rsid w:val="00CD7E79"/>
    <w:rsid w:val="00CD7EE8"/>
    <w:rsid w:val="00CD7F19"/>
    <w:rsid w:val="00CD7F3C"/>
    <w:rsid w:val="00CE005C"/>
    <w:rsid w:val="00CE0066"/>
    <w:rsid w:val="00CE006D"/>
    <w:rsid w:val="00CE00CF"/>
    <w:rsid w:val="00CE02BB"/>
    <w:rsid w:val="00CE02C3"/>
    <w:rsid w:val="00CE0339"/>
    <w:rsid w:val="00CE0351"/>
    <w:rsid w:val="00CE0421"/>
    <w:rsid w:val="00CE0423"/>
    <w:rsid w:val="00CE042E"/>
    <w:rsid w:val="00CE0457"/>
    <w:rsid w:val="00CE053D"/>
    <w:rsid w:val="00CE065E"/>
    <w:rsid w:val="00CE0760"/>
    <w:rsid w:val="00CE0793"/>
    <w:rsid w:val="00CE08A7"/>
    <w:rsid w:val="00CE08D8"/>
    <w:rsid w:val="00CE0C46"/>
    <w:rsid w:val="00CE0D27"/>
    <w:rsid w:val="00CE0DA5"/>
    <w:rsid w:val="00CE0E44"/>
    <w:rsid w:val="00CE0F28"/>
    <w:rsid w:val="00CE0F68"/>
    <w:rsid w:val="00CE104D"/>
    <w:rsid w:val="00CE1079"/>
    <w:rsid w:val="00CE1257"/>
    <w:rsid w:val="00CE12D9"/>
    <w:rsid w:val="00CE12F9"/>
    <w:rsid w:val="00CE1340"/>
    <w:rsid w:val="00CE1407"/>
    <w:rsid w:val="00CE1579"/>
    <w:rsid w:val="00CE15B5"/>
    <w:rsid w:val="00CE1699"/>
    <w:rsid w:val="00CE16B1"/>
    <w:rsid w:val="00CE16BC"/>
    <w:rsid w:val="00CE184A"/>
    <w:rsid w:val="00CE18D6"/>
    <w:rsid w:val="00CE1B4C"/>
    <w:rsid w:val="00CE1BB7"/>
    <w:rsid w:val="00CE1C88"/>
    <w:rsid w:val="00CE1D78"/>
    <w:rsid w:val="00CE1E23"/>
    <w:rsid w:val="00CE1FB6"/>
    <w:rsid w:val="00CE1FDC"/>
    <w:rsid w:val="00CE208A"/>
    <w:rsid w:val="00CE20AC"/>
    <w:rsid w:val="00CE20BF"/>
    <w:rsid w:val="00CE2171"/>
    <w:rsid w:val="00CE2175"/>
    <w:rsid w:val="00CE21E9"/>
    <w:rsid w:val="00CE2267"/>
    <w:rsid w:val="00CE228A"/>
    <w:rsid w:val="00CE22D2"/>
    <w:rsid w:val="00CE233A"/>
    <w:rsid w:val="00CE2380"/>
    <w:rsid w:val="00CE2554"/>
    <w:rsid w:val="00CE25B3"/>
    <w:rsid w:val="00CE25CD"/>
    <w:rsid w:val="00CE263A"/>
    <w:rsid w:val="00CE26C7"/>
    <w:rsid w:val="00CE289E"/>
    <w:rsid w:val="00CE29AD"/>
    <w:rsid w:val="00CE2A94"/>
    <w:rsid w:val="00CE2ADC"/>
    <w:rsid w:val="00CE2AEB"/>
    <w:rsid w:val="00CE2E2A"/>
    <w:rsid w:val="00CE2F6C"/>
    <w:rsid w:val="00CE2FC6"/>
    <w:rsid w:val="00CE3032"/>
    <w:rsid w:val="00CE30C1"/>
    <w:rsid w:val="00CE31BF"/>
    <w:rsid w:val="00CE322A"/>
    <w:rsid w:val="00CE3266"/>
    <w:rsid w:val="00CE3277"/>
    <w:rsid w:val="00CE3346"/>
    <w:rsid w:val="00CE3385"/>
    <w:rsid w:val="00CE3458"/>
    <w:rsid w:val="00CE34D2"/>
    <w:rsid w:val="00CE362F"/>
    <w:rsid w:val="00CE3678"/>
    <w:rsid w:val="00CE36EE"/>
    <w:rsid w:val="00CE3832"/>
    <w:rsid w:val="00CE386E"/>
    <w:rsid w:val="00CE39C3"/>
    <w:rsid w:val="00CE3A7E"/>
    <w:rsid w:val="00CE3ABF"/>
    <w:rsid w:val="00CE3D30"/>
    <w:rsid w:val="00CE3D71"/>
    <w:rsid w:val="00CE3DC9"/>
    <w:rsid w:val="00CE3F17"/>
    <w:rsid w:val="00CE410F"/>
    <w:rsid w:val="00CE4125"/>
    <w:rsid w:val="00CE4185"/>
    <w:rsid w:val="00CE4278"/>
    <w:rsid w:val="00CE44D5"/>
    <w:rsid w:val="00CE458C"/>
    <w:rsid w:val="00CE4612"/>
    <w:rsid w:val="00CE4670"/>
    <w:rsid w:val="00CE46A1"/>
    <w:rsid w:val="00CE46C0"/>
    <w:rsid w:val="00CE4808"/>
    <w:rsid w:val="00CE481E"/>
    <w:rsid w:val="00CE4912"/>
    <w:rsid w:val="00CE4940"/>
    <w:rsid w:val="00CE4951"/>
    <w:rsid w:val="00CE4B79"/>
    <w:rsid w:val="00CE4B8E"/>
    <w:rsid w:val="00CE4BAA"/>
    <w:rsid w:val="00CE4C15"/>
    <w:rsid w:val="00CE4C23"/>
    <w:rsid w:val="00CE4E07"/>
    <w:rsid w:val="00CE4F67"/>
    <w:rsid w:val="00CE5061"/>
    <w:rsid w:val="00CE50B3"/>
    <w:rsid w:val="00CE50E9"/>
    <w:rsid w:val="00CE5217"/>
    <w:rsid w:val="00CE53CC"/>
    <w:rsid w:val="00CE540E"/>
    <w:rsid w:val="00CE5573"/>
    <w:rsid w:val="00CE5723"/>
    <w:rsid w:val="00CE572A"/>
    <w:rsid w:val="00CE574D"/>
    <w:rsid w:val="00CE58DF"/>
    <w:rsid w:val="00CE59A4"/>
    <w:rsid w:val="00CE59EB"/>
    <w:rsid w:val="00CE5A6D"/>
    <w:rsid w:val="00CE5ABB"/>
    <w:rsid w:val="00CE5B13"/>
    <w:rsid w:val="00CE5C18"/>
    <w:rsid w:val="00CE5E24"/>
    <w:rsid w:val="00CE5E42"/>
    <w:rsid w:val="00CE5EC7"/>
    <w:rsid w:val="00CE5F47"/>
    <w:rsid w:val="00CE5FA1"/>
    <w:rsid w:val="00CE5FB4"/>
    <w:rsid w:val="00CE6023"/>
    <w:rsid w:val="00CE6068"/>
    <w:rsid w:val="00CE6159"/>
    <w:rsid w:val="00CE6178"/>
    <w:rsid w:val="00CE638B"/>
    <w:rsid w:val="00CE642A"/>
    <w:rsid w:val="00CE6653"/>
    <w:rsid w:val="00CE66C4"/>
    <w:rsid w:val="00CE680B"/>
    <w:rsid w:val="00CE68D7"/>
    <w:rsid w:val="00CE68DC"/>
    <w:rsid w:val="00CE69CA"/>
    <w:rsid w:val="00CE69FC"/>
    <w:rsid w:val="00CE6CA3"/>
    <w:rsid w:val="00CE6DE1"/>
    <w:rsid w:val="00CE6DEB"/>
    <w:rsid w:val="00CE6F0E"/>
    <w:rsid w:val="00CE6F28"/>
    <w:rsid w:val="00CE6FA5"/>
    <w:rsid w:val="00CE7070"/>
    <w:rsid w:val="00CE7104"/>
    <w:rsid w:val="00CE71FD"/>
    <w:rsid w:val="00CE72C4"/>
    <w:rsid w:val="00CE7330"/>
    <w:rsid w:val="00CE7425"/>
    <w:rsid w:val="00CE7615"/>
    <w:rsid w:val="00CE76BF"/>
    <w:rsid w:val="00CE7752"/>
    <w:rsid w:val="00CE7775"/>
    <w:rsid w:val="00CE77D2"/>
    <w:rsid w:val="00CE7814"/>
    <w:rsid w:val="00CE785B"/>
    <w:rsid w:val="00CE78E4"/>
    <w:rsid w:val="00CE79F3"/>
    <w:rsid w:val="00CE7B08"/>
    <w:rsid w:val="00CE7B9A"/>
    <w:rsid w:val="00CE7CB9"/>
    <w:rsid w:val="00CE7DAE"/>
    <w:rsid w:val="00CE7DBE"/>
    <w:rsid w:val="00CE7E46"/>
    <w:rsid w:val="00CE7E6E"/>
    <w:rsid w:val="00CE7EC1"/>
    <w:rsid w:val="00CF0013"/>
    <w:rsid w:val="00CF005C"/>
    <w:rsid w:val="00CF0093"/>
    <w:rsid w:val="00CF0173"/>
    <w:rsid w:val="00CF021E"/>
    <w:rsid w:val="00CF0248"/>
    <w:rsid w:val="00CF03BD"/>
    <w:rsid w:val="00CF03F2"/>
    <w:rsid w:val="00CF0466"/>
    <w:rsid w:val="00CF05A5"/>
    <w:rsid w:val="00CF05C6"/>
    <w:rsid w:val="00CF0731"/>
    <w:rsid w:val="00CF0767"/>
    <w:rsid w:val="00CF078B"/>
    <w:rsid w:val="00CF07F6"/>
    <w:rsid w:val="00CF08F1"/>
    <w:rsid w:val="00CF0A0A"/>
    <w:rsid w:val="00CF0A32"/>
    <w:rsid w:val="00CF0B67"/>
    <w:rsid w:val="00CF0B9E"/>
    <w:rsid w:val="00CF0D7E"/>
    <w:rsid w:val="00CF0E9C"/>
    <w:rsid w:val="00CF0EC2"/>
    <w:rsid w:val="00CF0F73"/>
    <w:rsid w:val="00CF0F85"/>
    <w:rsid w:val="00CF0FC9"/>
    <w:rsid w:val="00CF0FEF"/>
    <w:rsid w:val="00CF1022"/>
    <w:rsid w:val="00CF102E"/>
    <w:rsid w:val="00CF1114"/>
    <w:rsid w:val="00CF118F"/>
    <w:rsid w:val="00CF12F4"/>
    <w:rsid w:val="00CF14C5"/>
    <w:rsid w:val="00CF1571"/>
    <w:rsid w:val="00CF1682"/>
    <w:rsid w:val="00CF16AD"/>
    <w:rsid w:val="00CF1737"/>
    <w:rsid w:val="00CF173A"/>
    <w:rsid w:val="00CF176B"/>
    <w:rsid w:val="00CF1794"/>
    <w:rsid w:val="00CF17C8"/>
    <w:rsid w:val="00CF18D0"/>
    <w:rsid w:val="00CF1979"/>
    <w:rsid w:val="00CF1A35"/>
    <w:rsid w:val="00CF1AC5"/>
    <w:rsid w:val="00CF1AD4"/>
    <w:rsid w:val="00CF1BE9"/>
    <w:rsid w:val="00CF1C3B"/>
    <w:rsid w:val="00CF1D15"/>
    <w:rsid w:val="00CF1D8F"/>
    <w:rsid w:val="00CF1F7D"/>
    <w:rsid w:val="00CF208D"/>
    <w:rsid w:val="00CF210A"/>
    <w:rsid w:val="00CF2111"/>
    <w:rsid w:val="00CF2143"/>
    <w:rsid w:val="00CF2348"/>
    <w:rsid w:val="00CF236C"/>
    <w:rsid w:val="00CF2475"/>
    <w:rsid w:val="00CF2486"/>
    <w:rsid w:val="00CF24FC"/>
    <w:rsid w:val="00CF252B"/>
    <w:rsid w:val="00CF255B"/>
    <w:rsid w:val="00CF2AD7"/>
    <w:rsid w:val="00CF2C9A"/>
    <w:rsid w:val="00CF2D5D"/>
    <w:rsid w:val="00CF2DA2"/>
    <w:rsid w:val="00CF2DA8"/>
    <w:rsid w:val="00CF2DD7"/>
    <w:rsid w:val="00CF2E05"/>
    <w:rsid w:val="00CF2ED9"/>
    <w:rsid w:val="00CF2FCB"/>
    <w:rsid w:val="00CF30D8"/>
    <w:rsid w:val="00CF30F0"/>
    <w:rsid w:val="00CF31ED"/>
    <w:rsid w:val="00CF328F"/>
    <w:rsid w:val="00CF32A3"/>
    <w:rsid w:val="00CF32D0"/>
    <w:rsid w:val="00CF3308"/>
    <w:rsid w:val="00CF3490"/>
    <w:rsid w:val="00CF355C"/>
    <w:rsid w:val="00CF3595"/>
    <w:rsid w:val="00CF370F"/>
    <w:rsid w:val="00CF378D"/>
    <w:rsid w:val="00CF3795"/>
    <w:rsid w:val="00CF37F7"/>
    <w:rsid w:val="00CF3820"/>
    <w:rsid w:val="00CF3B75"/>
    <w:rsid w:val="00CF3BF1"/>
    <w:rsid w:val="00CF3CD1"/>
    <w:rsid w:val="00CF3FF8"/>
    <w:rsid w:val="00CF404B"/>
    <w:rsid w:val="00CF4083"/>
    <w:rsid w:val="00CF40EE"/>
    <w:rsid w:val="00CF4225"/>
    <w:rsid w:val="00CF42A4"/>
    <w:rsid w:val="00CF42B9"/>
    <w:rsid w:val="00CF4353"/>
    <w:rsid w:val="00CF43DC"/>
    <w:rsid w:val="00CF468A"/>
    <w:rsid w:val="00CF473F"/>
    <w:rsid w:val="00CF4771"/>
    <w:rsid w:val="00CF47D1"/>
    <w:rsid w:val="00CF48B2"/>
    <w:rsid w:val="00CF48F3"/>
    <w:rsid w:val="00CF4913"/>
    <w:rsid w:val="00CF4926"/>
    <w:rsid w:val="00CF495D"/>
    <w:rsid w:val="00CF4A64"/>
    <w:rsid w:val="00CF4A83"/>
    <w:rsid w:val="00CF4B03"/>
    <w:rsid w:val="00CF4C38"/>
    <w:rsid w:val="00CF4CC0"/>
    <w:rsid w:val="00CF4ECF"/>
    <w:rsid w:val="00CF50A9"/>
    <w:rsid w:val="00CF50D5"/>
    <w:rsid w:val="00CF51A8"/>
    <w:rsid w:val="00CF5207"/>
    <w:rsid w:val="00CF521C"/>
    <w:rsid w:val="00CF5224"/>
    <w:rsid w:val="00CF524B"/>
    <w:rsid w:val="00CF5293"/>
    <w:rsid w:val="00CF52BE"/>
    <w:rsid w:val="00CF52C4"/>
    <w:rsid w:val="00CF5328"/>
    <w:rsid w:val="00CF532C"/>
    <w:rsid w:val="00CF53F2"/>
    <w:rsid w:val="00CF548A"/>
    <w:rsid w:val="00CF54AE"/>
    <w:rsid w:val="00CF5540"/>
    <w:rsid w:val="00CF55DA"/>
    <w:rsid w:val="00CF56CE"/>
    <w:rsid w:val="00CF57EA"/>
    <w:rsid w:val="00CF589F"/>
    <w:rsid w:val="00CF591D"/>
    <w:rsid w:val="00CF59AB"/>
    <w:rsid w:val="00CF59B6"/>
    <w:rsid w:val="00CF5A06"/>
    <w:rsid w:val="00CF5AF7"/>
    <w:rsid w:val="00CF5B08"/>
    <w:rsid w:val="00CF5BE3"/>
    <w:rsid w:val="00CF5D17"/>
    <w:rsid w:val="00CF5D1A"/>
    <w:rsid w:val="00CF5EF5"/>
    <w:rsid w:val="00CF5F62"/>
    <w:rsid w:val="00CF5F76"/>
    <w:rsid w:val="00CF5FAC"/>
    <w:rsid w:val="00CF603C"/>
    <w:rsid w:val="00CF61CA"/>
    <w:rsid w:val="00CF621A"/>
    <w:rsid w:val="00CF6271"/>
    <w:rsid w:val="00CF62D4"/>
    <w:rsid w:val="00CF6498"/>
    <w:rsid w:val="00CF6540"/>
    <w:rsid w:val="00CF65D2"/>
    <w:rsid w:val="00CF6653"/>
    <w:rsid w:val="00CF66F3"/>
    <w:rsid w:val="00CF6810"/>
    <w:rsid w:val="00CF6826"/>
    <w:rsid w:val="00CF682D"/>
    <w:rsid w:val="00CF6854"/>
    <w:rsid w:val="00CF693F"/>
    <w:rsid w:val="00CF6965"/>
    <w:rsid w:val="00CF6A71"/>
    <w:rsid w:val="00CF6B11"/>
    <w:rsid w:val="00CF6C03"/>
    <w:rsid w:val="00CF6DE1"/>
    <w:rsid w:val="00CF6DEF"/>
    <w:rsid w:val="00CF6F10"/>
    <w:rsid w:val="00CF71E4"/>
    <w:rsid w:val="00CF724F"/>
    <w:rsid w:val="00CF729A"/>
    <w:rsid w:val="00CF72B2"/>
    <w:rsid w:val="00CF72F3"/>
    <w:rsid w:val="00CF732E"/>
    <w:rsid w:val="00CF7495"/>
    <w:rsid w:val="00CF75D8"/>
    <w:rsid w:val="00CF7692"/>
    <w:rsid w:val="00CF78C1"/>
    <w:rsid w:val="00CF7911"/>
    <w:rsid w:val="00CF7995"/>
    <w:rsid w:val="00CF79E0"/>
    <w:rsid w:val="00CF7A50"/>
    <w:rsid w:val="00CF7B93"/>
    <w:rsid w:val="00CF7D66"/>
    <w:rsid w:val="00CF7E9F"/>
    <w:rsid w:val="00CF7F2B"/>
    <w:rsid w:val="00CF7F50"/>
    <w:rsid w:val="00CF7F5A"/>
    <w:rsid w:val="00D002E1"/>
    <w:rsid w:val="00D00395"/>
    <w:rsid w:val="00D003EC"/>
    <w:rsid w:val="00D00434"/>
    <w:rsid w:val="00D00438"/>
    <w:rsid w:val="00D0045B"/>
    <w:rsid w:val="00D0059A"/>
    <w:rsid w:val="00D005E3"/>
    <w:rsid w:val="00D00673"/>
    <w:rsid w:val="00D0068D"/>
    <w:rsid w:val="00D00821"/>
    <w:rsid w:val="00D0098F"/>
    <w:rsid w:val="00D00BC2"/>
    <w:rsid w:val="00D00BE8"/>
    <w:rsid w:val="00D00C42"/>
    <w:rsid w:val="00D00C97"/>
    <w:rsid w:val="00D00D08"/>
    <w:rsid w:val="00D00D09"/>
    <w:rsid w:val="00D00DC8"/>
    <w:rsid w:val="00D00EB6"/>
    <w:rsid w:val="00D00F69"/>
    <w:rsid w:val="00D00FF2"/>
    <w:rsid w:val="00D01208"/>
    <w:rsid w:val="00D01253"/>
    <w:rsid w:val="00D01260"/>
    <w:rsid w:val="00D012B7"/>
    <w:rsid w:val="00D012F5"/>
    <w:rsid w:val="00D01337"/>
    <w:rsid w:val="00D01562"/>
    <w:rsid w:val="00D01565"/>
    <w:rsid w:val="00D015E6"/>
    <w:rsid w:val="00D01679"/>
    <w:rsid w:val="00D018B5"/>
    <w:rsid w:val="00D0198D"/>
    <w:rsid w:val="00D019B7"/>
    <w:rsid w:val="00D01A0E"/>
    <w:rsid w:val="00D01BAC"/>
    <w:rsid w:val="00D01BC7"/>
    <w:rsid w:val="00D01C1E"/>
    <w:rsid w:val="00D01C4B"/>
    <w:rsid w:val="00D01CE9"/>
    <w:rsid w:val="00D01CEB"/>
    <w:rsid w:val="00D01F1D"/>
    <w:rsid w:val="00D01F99"/>
    <w:rsid w:val="00D02017"/>
    <w:rsid w:val="00D021A7"/>
    <w:rsid w:val="00D022C2"/>
    <w:rsid w:val="00D02325"/>
    <w:rsid w:val="00D02432"/>
    <w:rsid w:val="00D02472"/>
    <w:rsid w:val="00D0247F"/>
    <w:rsid w:val="00D026C3"/>
    <w:rsid w:val="00D028FA"/>
    <w:rsid w:val="00D02940"/>
    <w:rsid w:val="00D0296A"/>
    <w:rsid w:val="00D02990"/>
    <w:rsid w:val="00D02B6F"/>
    <w:rsid w:val="00D02C69"/>
    <w:rsid w:val="00D02CEA"/>
    <w:rsid w:val="00D02E2C"/>
    <w:rsid w:val="00D02E2D"/>
    <w:rsid w:val="00D02ED7"/>
    <w:rsid w:val="00D030FD"/>
    <w:rsid w:val="00D031AC"/>
    <w:rsid w:val="00D031EA"/>
    <w:rsid w:val="00D032DE"/>
    <w:rsid w:val="00D032F1"/>
    <w:rsid w:val="00D03393"/>
    <w:rsid w:val="00D033C6"/>
    <w:rsid w:val="00D0348E"/>
    <w:rsid w:val="00D03600"/>
    <w:rsid w:val="00D036B2"/>
    <w:rsid w:val="00D036FD"/>
    <w:rsid w:val="00D03728"/>
    <w:rsid w:val="00D0375F"/>
    <w:rsid w:val="00D037BA"/>
    <w:rsid w:val="00D037E1"/>
    <w:rsid w:val="00D03828"/>
    <w:rsid w:val="00D03870"/>
    <w:rsid w:val="00D03998"/>
    <w:rsid w:val="00D03A0C"/>
    <w:rsid w:val="00D03A58"/>
    <w:rsid w:val="00D03E52"/>
    <w:rsid w:val="00D03F1E"/>
    <w:rsid w:val="00D04021"/>
    <w:rsid w:val="00D0407F"/>
    <w:rsid w:val="00D040BB"/>
    <w:rsid w:val="00D040E5"/>
    <w:rsid w:val="00D04137"/>
    <w:rsid w:val="00D0437E"/>
    <w:rsid w:val="00D04466"/>
    <w:rsid w:val="00D044B9"/>
    <w:rsid w:val="00D0467C"/>
    <w:rsid w:val="00D047A6"/>
    <w:rsid w:val="00D04812"/>
    <w:rsid w:val="00D04876"/>
    <w:rsid w:val="00D04884"/>
    <w:rsid w:val="00D048F7"/>
    <w:rsid w:val="00D04960"/>
    <w:rsid w:val="00D04B31"/>
    <w:rsid w:val="00D04C2A"/>
    <w:rsid w:val="00D04C57"/>
    <w:rsid w:val="00D04CA3"/>
    <w:rsid w:val="00D04DC4"/>
    <w:rsid w:val="00D04E00"/>
    <w:rsid w:val="00D04E34"/>
    <w:rsid w:val="00D04F3F"/>
    <w:rsid w:val="00D04FC0"/>
    <w:rsid w:val="00D04FEE"/>
    <w:rsid w:val="00D0503F"/>
    <w:rsid w:val="00D05046"/>
    <w:rsid w:val="00D050EC"/>
    <w:rsid w:val="00D050F8"/>
    <w:rsid w:val="00D05116"/>
    <w:rsid w:val="00D051D6"/>
    <w:rsid w:val="00D0527C"/>
    <w:rsid w:val="00D05426"/>
    <w:rsid w:val="00D05440"/>
    <w:rsid w:val="00D05609"/>
    <w:rsid w:val="00D05614"/>
    <w:rsid w:val="00D05623"/>
    <w:rsid w:val="00D05624"/>
    <w:rsid w:val="00D05695"/>
    <w:rsid w:val="00D056D7"/>
    <w:rsid w:val="00D05713"/>
    <w:rsid w:val="00D057D9"/>
    <w:rsid w:val="00D05912"/>
    <w:rsid w:val="00D05972"/>
    <w:rsid w:val="00D05AD1"/>
    <w:rsid w:val="00D05B7E"/>
    <w:rsid w:val="00D05BFF"/>
    <w:rsid w:val="00D05C46"/>
    <w:rsid w:val="00D05C5D"/>
    <w:rsid w:val="00D05DC8"/>
    <w:rsid w:val="00D05E99"/>
    <w:rsid w:val="00D05F58"/>
    <w:rsid w:val="00D05FB6"/>
    <w:rsid w:val="00D06027"/>
    <w:rsid w:val="00D060B7"/>
    <w:rsid w:val="00D06140"/>
    <w:rsid w:val="00D06189"/>
    <w:rsid w:val="00D0618C"/>
    <w:rsid w:val="00D0619C"/>
    <w:rsid w:val="00D0624E"/>
    <w:rsid w:val="00D06309"/>
    <w:rsid w:val="00D06359"/>
    <w:rsid w:val="00D06366"/>
    <w:rsid w:val="00D063C6"/>
    <w:rsid w:val="00D063DE"/>
    <w:rsid w:val="00D06533"/>
    <w:rsid w:val="00D06564"/>
    <w:rsid w:val="00D065F1"/>
    <w:rsid w:val="00D066CA"/>
    <w:rsid w:val="00D067D9"/>
    <w:rsid w:val="00D06886"/>
    <w:rsid w:val="00D06899"/>
    <w:rsid w:val="00D068AC"/>
    <w:rsid w:val="00D068B6"/>
    <w:rsid w:val="00D068F0"/>
    <w:rsid w:val="00D06995"/>
    <w:rsid w:val="00D06A57"/>
    <w:rsid w:val="00D06BA5"/>
    <w:rsid w:val="00D06CA4"/>
    <w:rsid w:val="00D06D8F"/>
    <w:rsid w:val="00D06DC3"/>
    <w:rsid w:val="00D06DFB"/>
    <w:rsid w:val="00D06E05"/>
    <w:rsid w:val="00D06F5B"/>
    <w:rsid w:val="00D07081"/>
    <w:rsid w:val="00D072B4"/>
    <w:rsid w:val="00D07330"/>
    <w:rsid w:val="00D07379"/>
    <w:rsid w:val="00D074BD"/>
    <w:rsid w:val="00D074C7"/>
    <w:rsid w:val="00D07591"/>
    <w:rsid w:val="00D07746"/>
    <w:rsid w:val="00D077F8"/>
    <w:rsid w:val="00D07923"/>
    <w:rsid w:val="00D079D1"/>
    <w:rsid w:val="00D07A05"/>
    <w:rsid w:val="00D07A14"/>
    <w:rsid w:val="00D07BFD"/>
    <w:rsid w:val="00D07D07"/>
    <w:rsid w:val="00D07DE8"/>
    <w:rsid w:val="00D07F5C"/>
    <w:rsid w:val="00D07F93"/>
    <w:rsid w:val="00D100E9"/>
    <w:rsid w:val="00D100EB"/>
    <w:rsid w:val="00D100FC"/>
    <w:rsid w:val="00D10109"/>
    <w:rsid w:val="00D10263"/>
    <w:rsid w:val="00D1030B"/>
    <w:rsid w:val="00D1035C"/>
    <w:rsid w:val="00D103C3"/>
    <w:rsid w:val="00D103D1"/>
    <w:rsid w:val="00D104DD"/>
    <w:rsid w:val="00D10501"/>
    <w:rsid w:val="00D105AD"/>
    <w:rsid w:val="00D105C6"/>
    <w:rsid w:val="00D105FE"/>
    <w:rsid w:val="00D10625"/>
    <w:rsid w:val="00D1079B"/>
    <w:rsid w:val="00D107F9"/>
    <w:rsid w:val="00D10987"/>
    <w:rsid w:val="00D10BA0"/>
    <w:rsid w:val="00D11018"/>
    <w:rsid w:val="00D1102F"/>
    <w:rsid w:val="00D11141"/>
    <w:rsid w:val="00D1115E"/>
    <w:rsid w:val="00D1116F"/>
    <w:rsid w:val="00D11304"/>
    <w:rsid w:val="00D11380"/>
    <w:rsid w:val="00D1142E"/>
    <w:rsid w:val="00D11541"/>
    <w:rsid w:val="00D11604"/>
    <w:rsid w:val="00D1163D"/>
    <w:rsid w:val="00D11686"/>
    <w:rsid w:val="00D117AE"/>
    <w:rsid w:val="00D11887"/>
    <w:rsid w:val="00D1188F"/>
    <w:rsid w:val="00D11966"/>
    <w:rsid w:val="00D1196B"/>
    <w:rsid w:val="00D119A1"/>
    <w:rsid w:val="00D119D9"/>
    <w:rsid w:val="00D11AB4"/>
    <w:rsid w:val="00D11B5F"/>
    <w:rsid w:val="00D11BA2"/>
    <w:rsid w:val="00D11BE5"/>
    <w:rsid w:val="00D11C52"/>
    <w:rsid w:val="00D11CB4"/>
    <w:rsid w:val="00D11D47"/>
    <w:rsid w:val="00D11DDD"/>
    <w:rsid w:val="00D11E68"/>
    <w:rsid w:val="00D11E7E"/>
    <w:rsid w:val="00D11F6E"/>
    <w:rsid w:val="00D12088"/>
    <w:rsid w:val="00D120D1"/>
    <w:rsid w:val="00D120D4"/>
    <w:rsid w:val="00D12162"/>
    <w:rsid w:val="00D122D8"/>
    <w:rsid w:val="00D12352"/>
    <w:rsid w:val="00D12448"/>
    <w:rsid w:val="00D12477"/>
    <w:rsid w:val="00D124DC"/>
    <w:rsid w:val="00D12540"/>
    <w:rsid w:val="00D12733"/>
    <w:rsid w:val="00D12869"/>
    <w:rsid w:val="00D1297B"/>
    <w:rsid w:val="00D12A03"/>
    <w:rsid w:val="00D12A6B"/>
    <w:rsid w:val="00D12AE0"/>
    <w:rsid w:val="00D12B95"/>
    <w:rsid w:val="00D12B9A"/>
    <w:rsid w:val="00D12BCE"/>
    <w:rsid w:val="00D12C56"/>
    <w:rsid w:val="00D12CC1"/>
    <w:rsid w:val="00D12DD9"/>
    <w:rsid w:val="00D12E30"/>
    <w:rsid w:val="00D12EA0"/>
    <w:rsid w:val="00D12FA7"/>
    <w:rsid w:val="00D12FDE"/>
    <w:rsid w:val="00D1315A"/>
    <w:rsid w:val="00D1317B"/>
    <w:rsid w:val="00D1322A"/>
    <w:rsid w:val="00D132E1"/>
    <w:rsid w:val="00D13397"/>
    <w:rsid w:val="00D133E6"/>
    <w:rsid w:val="00D134A5"/>
    <w:rsid w:val="00D135E6"/>
    <w:rsid w:val="00D13607"/>
    <w:rsid w:val="00D13766"/>
    <w:rsid w:val="00D13809"/>
    <w:rsid w:val="00D13978"/>
    <w:rsid w:val="00D139E6"/>
    <w:rsid w:val="00D13AE9"/>
    <w:rsid w:val="00D13C35"/>
    <w:rsid w:val="00D13CA3"/>
    <w:rsid w:val="00D13CC9"/>
    <w:rsid w:val="00D13CFC"/>
    <w:rsid w:val="00D13D7B"/>
    <w:rsid w:val="00D13E1E"/>
    <w:rsid w:val="00D13E8A"/>
    <w:rsid w:val="00D13EA8"/>
    <w:rsid w:val="00D1404E"/>
    <w:rsid w:val="00D1411F"/>
    <w:rsid w:val="00D1418A"/>
    <w:rsid w:val="00D1423F"/>
    <w:rsid w:val="00D14245"/>
    <w:rsid w:val="00D14312"/>
    <w:rsid w:val="00D143AB"/>
    <w:rsid w:val="00D14500"/>
    <w:rsid w:val="00D146B7"/>
    <w:rsid w:val="00D1475A"/>
    <w:rsid w:val="00D1481D"/>
    <w:rsid w:val="00D14990"/>
    <w:rsid w:val="00D14A09"/>
    <w:rsid w:val="00D14A58"/>
    <w:rsid w:val="00D14A8B"/>
    <w:rsid w:val="00D14B0C"/>
    <w:rsid w:val="00D14B81"/>
    <w:rsid w:val="00D14BCF"/>
    <w:rsid w:val="00D14CA6"/>
    <w:rsid w:val="00D14D92"/>
    <w:rsid w:val="00D14DD8"/>
    <w:rsid w:val="00D14DE3"/>
    <w:rsid w:val="00D14E33"/>
    <w:rsid w:val="00D14FF4"/>
    <w:rsid w:val="00D150AC"/>
    <w:rsid w:val="00D150D4"/>
    <w:rsid w:val="00D1519D"/>
    <w:rsid w:val="00D15226"/>
    <w:rsid w:val="00D1525D"/>
    <w:rsid w:val="00D153B3"/>
    <w:rsid w:val="00D153BE"/>
    <w:rsid w:val="00D153E5"/>
    <w:rsid w:val="00D153F9"/>
    <w:rsid w:val="00D15437"/>
    <w:rsid w:val="00D154F3"/>
    <w:rsid w:val="00D155E5"/>
    <w:rsid w:val="00D156DA"/>
    <w:rsid w:val="00D15837"/>
    <w:rsid w:val="00D1586E"/>
    <w:rsid w:val="00D15934"/>
    <w:rsid w:val="00D159C5"/>
    <w:rsid w:val="00D159CE"/>
    <w:rsid w:val="00D15AE8"/>
    <w:rsid w:val="00D15B34"/>
    <w:rsid w:val="00D15B64"/>
    <w:rsid w:val="00D15C9E"/>
    <w:rsid w:val="00D15CDB"/>
    <w:rsid w:val="00D15CF0"/>
    <w:rsid w:val="00D15DFE"/>
    <w:rsid w:val="00D15E4A"/>
    <w:rsid w:val="00D15EB3"/>
    <w:rsid w:val="00D15F87"/>
    <w:rsid w:val="00D15FAE"/>
    <w:rsid w:val="00D16075"/>
    <w:rsid w:val="00D16131"/>
    <w:rsid w:val="00D16192"/>
    <w:rsid w:val="00D1619B"/>
    <w:rsid w:val="00D161DA"/>
    <w:rsid w:val="00D1620C"/>
    <w:rsid w:val="00D16217"/>
    <w:rsid w:val="00D1622A"/>
    <w:rsid w:val="00D1636D"/>
    <w:rsid w:val="00D16412"/>
    <w:rsid w:val="00D164C5"/>
    <w:rsid w:val="00D166FE"/>
    <w:rsid w:val="00D16727"/>
    <w:rsid w:val="00D1684D"/>
    <w:rsid w:val="00D168CF"/>
    <w:rsid w:val="00D168EB"/>
    <w:rsid w:val="00D16916"/>
    <w:rsid w:val="00D16C9A"/>
    <w:rsid w:val="00D16E18"/>
    <w:rsid w:val="00D16E1E"/>
    <w:rsid w:val="00D16EA4"/>
    <w:rsid w:val="00D16FCF"/>
    <w:rsid w:val="00D1720F"/>
    <w:rsid w:val="00D17211"/>
    <w:rsid w:val="00D1732B"/>
    <w:rsid w:val="00D17330"/>
    <w:rsid w:val="00D1733C"/>
    <w:rsid w:val="00D17388"/>
    <w:rsid w:val="00D1741B"/>
    <w:rsid w:val="00D1744B"/>
    <w:rsid w:val="00D174B6"/>
    <w:rsid w:val="00D174DA"/>
    <w:rsid w:val="00D17593"/>
    <w:rsid w:val="00D175C3"/>
    <w:rsid w:val="00D17603"/>
    <w:rsid w:val="00D177E0"/>
    <w:rsid w:val="00D177F3"/>
    <w:rsid w:val="00D17811"/>
    <w:rsid w:val="00D1783C"/>
    <w:rsid w:val="00D178A2"/>
    <w:rsid w:val="00D17909"/>
    <w:rsid w:val="00D17946"/>
    <w:rsid w:val="00D1795F"/>
    <w:rsid w:val="00D179DD"/>
    <w:rsid w:val="00D17A02"/>
    <w:rsid w:val="00D17C24"/>
    <w:rsid w:val="00D17C43"/>
    <w:rsid w:val="00D17D19"/>
    <w:rsid w:val="00D17DE4"/>
    <w:rsid w:val="00D17E14"/>
    <w:rsid w:val="00D17F05"/>
    <w:rsid w:val="00D17FCD"/>
    <w:rsid w:val="00D17FE6"/>
    <w:rsid w:val="00D20033"/>
    <w:rsid w:val="00D2013B"/>
    <w:rsid w:val="00D20166"/>
    <w:rsid w:val="00D201DC"/>
    <w:rsid w:val="00D2027A"/>
    <w:rsid w:val="00D20289"/>
    <w:rsid w:val="00D2031E"/>
    <w:rsid w:val="00D203D8"/>
    <w:rsid w:val="00D20451"/>
    <w:rsid w:val="00D20657"/>
    <w:rsid w:val="00D2073E"/>
    <w:rsid w:val="00D20783"/>
    <w:rsid w:val="00D208D3"/>
    <w:rsid w:val="00D20914"/>
    <w:rsid w:val="00D2094E"/>
    <w:rsid w:val="00D20974"/>
    <w:rsid w:val="00D209CA"/>
    <w:rsid w:val="00D20A18"/>
    <w:rsid w:val="00D20AF9"/>
    <w:rsid w:val="00D20C16"/>
    <w:rsid w:val="00D20C2D"/>
    <w:rsid w:val="00D20D33"/>
    <w:rsid w:val="00D20E14"/>
    <w:rsid w:val="00D20F9F"/>
    <w:rsid w:val="00D2100E"/>
    <w:rsid w:val="00D21117"/>
    <w:rsid w:val="00D21151"/>
    <w:rsid w:val="00D2116B"/>
    <w:rsid w:val="00D211A5"/>
    <w:rsid w:val="00D211EA"/>
    <w:rsid w:val="00D21278"/>
    <w:rsid w:val="00D2129F"/>
    <w:rsid w:val="00D212A6"/>
    <w:rsid w:val="00D212D2"/>
    <w:rsid w:val="00D212DF"/>
    <w:rsid w:val="00D21309"/>
    <w:rsid w:val="00D2138A"/>
    <w:rsid w:val="00D213BA"/>
    <w:rsid w:val="00D21437"/>
    <w:rsid w:val="00D21535"/>
    <w:rsid w:val="00D216D4"/>
    <w:rsid w:val="00D21713"/>
    <w:rsid w:val="00D21868"/>
    <w:rsid w:val="00D218CF"/>
    <w:rsid w:val="00D21919"/>
    <w:rsid w:val="00D21934"/>
    <w:rsid w:val="00D21B35"/>
    <w:rsid w:val="00D21B82"/>
    <w:rsid w:val="00D21BA3"/>
    <w:rsid w:val="00D21DBC"/>
    <w:rsid w:val="00D21DC0"/>
    <w:rsid w:val="00D21E29"/>
    <w:rsid w:val="00D21EC2"/>
    <w:rsid w:val="00D22001"/>
    <w:rsid w:val="00D22161"/>
    <w:rsid w:val="00D2216A"/>
    <w:rsid w:val="00D22181"/>
    <w:rsid w:val="00D2219A"/>
    <w:rsid w:val="00D224A4"/>
    <w:rsid w:val="00D225B2"/>
    <w:rsid w:val="00D2264D"/>
    <w:rsid w:val="00D2268F"/>
    <w:rsid w:val="00D22713"/>
    <w:rsid w:val="00D2276E"/>
    <w:rsid w:val="00D22793"/>
    <w:rsid w:val="00D22911"/>
    <w:rsid w:val="00D22914"/>
    <w:rsid w:val="00D2293D"/>
    <w:rsid w:val="00D229FA"/>
    <w:rsid w:val="00D22A1E"/>
    <w:rsid w:val="00D22A47"/>
    <w:rsid w:val="00D22AB6"/>
    <w:rsid w:val="00D22B2B"/>
    <w:rsid w:val="00D22B43"/>
    <w:rsid w:val="00D22D87"/>
    <w:rsid w:val="00D22E40"/>
    <w:rsid w:val="00D22F09"/>
    <w:rsid w:val="00D22F0A"/>
    <w:rsid w:val="00D22F6F"/>
    <w:rsid w:val="00D23002"/>
    <w:rsid w:val="00D2304F"/>
    <w:rsid w:val="00D230C5"/>
    <w:rsid w:val="00D230E4"/>
    <w:rsid w:val="00D23174"/>
    <w:rsid w:val="00D2319D"/>
    <w:rsid w:val="00D23202"/>
    <w:rsid w:val="00D23256"/>
    <w:rsid w:val="00D232CD"/>
    <w:rsid w:val="00D232D5"/>
    <w:rsid w:val="00D23300"/>
    <w:rsid w:val="00D23338"/>
    <w:rsid w:val="00D233FA"/>
    <w:rsid w:val="00D23488"/>
    <w:rsid w:val="00D235E1"/>
    <w:rsid w:val="00D235E4"/>
    <w:rsid w:val="00D2373D"/>
    <w:rsid w:val="00D2378C"/>
    <w:rsid w:val="00D2380E"/>
    <w:rsid w:val="00D2387F"/>
    <w:rsid w:val="00D2388C"/>
    <w:rsid w:val="00D23917"/>
    <w:rsid w:val="00D23A7B"/>
    <w:rsid w:val="00D23AB3"/>
    <w:rsid w:val="00D23B27"/>
    <w:rsid w:val="00D23B5C"/>
    <w:rsid w:val="00D23BB3"/>
    <w:rsid w:val="00D23BDE"/>
    <w:rsid w:val="00D23BFD"/>
    <w:rsid w:val="00D23CC6"/>
    <w:rsid w:val="00D23CF3"/>
    <w:rsid w:val="00D23DA8"/>
    <w:rsid w:val="00D23F94"/>
    <w:rsid w:val="00D23FCD"/>
    <w:rsid w:val="00D2405F"/>
    <w:rsid w:val="00D240B3"/>
    <w:rsid w:val="00D240EF"/>
    <w:rsid w:val="00D24151"/>
    <w:rsid w:val="00D24200"/>
    <w:rsid w:val="00D24279"/>
    <w:rsid w:val="00D242A0"/>
    <w:rsid w:val="00D242E4"/>
    <w:rsid w:val="00D242F7"/>
    <w:rsid w:val="00D2442D"/>
    <w:rsid w:val="00D24528"/>
    <w:rsid w:val="00D245F5"/>
    <w:rsid w:val="00D247B6"/>
    <w:rsid w:val="00D248C9"/>
    <w:rsid w:val="00D24973"/>
    <w:rsid w:val="00D24996"/>
    <w:rsid w:val="00D249E8"/>
    <w:rsid w:val="00D24AA5"/>
    <w:rsid w:val="00D24B72"/>
    <w:rsid w:val="00D24C66"/>
    <w:rsid w:val="00D24CAE"/>
    <w:rsid w:val="00D24CC4"/>
    <w:rsid w:val="00D24DC9"/>
    <w:rsid w:val="00D24E0B"/>
    <w:rsid w:val="00D24E57"/>
    <w:rsid w:val="00D24ED7"/>
    <w:rsid w:val="00D24EE9"/>
    <w:rsid w:val="00D25002"/>
    <w:rsid w:val="00D25089"/>
    <w:rsid w:val="00D251D3"/>
    <w:rsid w:val="00D25566"/>
    <w:rsid w:val="00D2558F"/>
    <w:rsid w:val="00D25659"/>
    <w:rsid w:val="00D256E9"/>
    <w:rsid w:val="00D258E2"/>
    <w:rsid w:val="00D25ADB"/>
    <w:rsid w:val="00D25AE7"/>
    <w:rsid w:val="00D25B04"/>
    <w:rsid w:val="00D25D37"/>
    <w:rsid w:val="00D25D48"/>
    <w:rsid w:val="00D25E8F"/>
    <w:rsid w:val="00D25F36"/>
    <w:rsid w:val="00D2602E"/>
    <w:rsid w:val="00D260C6"/>
    <w:rsid w:val="00D26253"/>
    <w:rsid w:val="00D2625A"/>
    <w:rsid w:val="00D262CC"/>
    <w:rsid w:val="00D26432"/>
    <w:rsid w:val="00D26564"/>
    <w:rsid w:val="00D26619"/>
    <w:rsid w:val="00D2666C"/>
    <w:rsid w:val="00D266FB"/>
    <w:rsid w:val="00D26703"/>
    <w:rsid w:val="00D2679A"/>
    <w:rsid w:val="00D2683E"/>
    <w:rsid w:val="00D269E0"/>
    <w:rsid w:val="00D26B47"/>
    <w:rsid w:val="00D26B48"/>
    <w:rsid w:val="00D26B61"/>
    <w:rsid w:val="00D26C55"/>
    <w:rsid w:val="00D26F77"/>
    <w:rsid w:val="00D272A6"/>
    <w:rsid w:val="00D272D5"/>
    <w:rsid w:val="00D27541"/>
    <w:rsid w:val="00D2772E"/>
    <w:rsid w:val="00D278BC"/>
    <w:rsid w:val="00D278E7"/>
    <w:rsid w:val="00D278FA"/>
    <w:rsid w:val="00D27945"/>
    <w:rsid w:val="00D27B44"/>
    <w:rsid w:val="00D27CC6"/>
    <w:rsid w:val="00D27D4E"/>
    <w:rsid w:val="00D27E6C"/>
    <w:rsid w:val="00D27E92"/>
    <w:rsid w:val="00D27F11"/>
    <w:rsid w:val="00D301D8"/>
    <w:rsid w:val="00D301F6"/>
    <w:rsid w:val="00D302D7"/>
    <w:rsid w:val="00D303F1"/>
    <w:rsid w:val="00D304F9"/>
    <w:rsid w:val="00D30542"/>
    <w:rsid w:val="00D30591"/>
    <w:rsid w:val="00D309BF"/>
    <w:rsid w:val="00D30A63"/>
    <w:rsid w:val="00D30AFD"/>
    <w:rsid w:val="00D30B1D"/>
    <w:rsid w:val="00D30D03"/>
    <w:rsid w:val="00D30D0E"/>
    <w:rsid w:val="00D30D35"/>
    <w:rsid w:val="00D30D44"/>
    <w:rsid w:val="00D30E43"/>
    <w:rsid w:val="00D30EF8"/>
    <w:rsid w:val="00D30F8E"/>
    <w:rsid w:val="00D30FE4"/>
    <w:rsid w:val="00D3127D"/>
    <w:rsid w:val="00D31541"/>
    <w:rsid w:val="00D3170A"/>
    <w:rsid w:val="00D3178D"/>
    <w:rsid w:val="00D3179F"/>
    <w:rsid w:val="00D3182D"/>
    <w:rsid w:val="00D318FB"/>
    <w:rsid w:val="00D31A13"/>
    <w:rsid w:val="00D31A41"/>
    <w:rsid w:val="00D31B31"/>
    <w:rsid w:val="00D31B37"/>
    <w:rsid w:val="00D31B7A"/>
    <w:rsid w:val="00D31BC0"/>
    <w:rsid w:val="00D31BD0"/>
    <w:rsid w:val="00D31CA8"/>
    <w:rsid w:val="00D31CBF"/>
    <w:rsid w:val="00D31D12"/>
    <w:rsid w:val="00D31D94"/>
    <w:rsid w:val="00D31F31"/>
    <w:rsid w:val="00D31F4A"/>
    <w:rsid w:val="00D32035"/>
    <w:rsid w:val="00D32062"/>
    <w:rsid w:val="00D32169"/>
    <w:rsid w:val="00D32199"/>
    <w:rsid w:val="00D321C1"/>
    <w:rsid w:val="00D321FC"/>
    <w:rsid w:val="00D322B2"/>
    <w:rsid w:val="00D323C7"/>
    <w:rsid w:val="00D325FE"/>
    <w:rsid w:val="00D32615"/>
    <w:rsid w:val="00D3266A"/>
    <w:rsid w:val="00D326D7"/>
    <w:rsid w:val="00D326FA"/>
    <w:rsid w:val="00D32762"/>
    <w:rsid w:val="00D327B7"/>
    <w:rsid w:val="00D32806"/>
    <w:rsid w:val="00D32839"/>
    <w:rsid w:val="00D328E0"/>
    <w:rsid w:val="00D328E6"/>
    <w:rsid w:val="00D32999"/>
    <w:rsid w:val="00D32AE4"/>
    <w:rsid w:val="00D32BC6"/>
    <w:rsid w:val="00D32C23"/>
    <w:rsid w:val="00D32C2E"/>
    <w:rsid w:val="00D32C45"/>
    <w:rsid w:val="00D32C48"/>
    <w:rsid w:val="00D32C8C"/>
    <w:rsid w:val="00D32EDE"/>
    <w:rsid w:val="00D32EE4"/>
    <w:rsid w:val="00D32F3A"/>
    <w:rsid w:val="00D32FB2"/>
    <w:rsid w:val="00D32FFD"/>
    <w:rsid w:val="00D33073"/>
    <w:rsid w:val="00D33088"/>
    <w:rsid w:val="00D3338A"/>
    <w:rsid w:val="00D333A3"/>
    <w:rsid w:val="00D333F3"/>
    <w:rsid w:val="00D33448"/>
    <w:rsid w:val="00D33555"/>
    <w:rsid w:val="00D335F1"/>
    <w:rsid w:val="00D336AA"/>
    <w:rsid w:val="00D336D3"/>
    <w:rsid w:val="00D3386F"/>
    <w:rsid w:val="00D338ED"/>
    <w:rsid w:val="00D33986"/>
    <w:rsid w:val="00D33C3F"/>
    <w:rsid w:val="00D33C76"/>
    <w:rsid w:val="00D33E7F"/>
    <w:rsid w:val="00D33EB3"/>
    <w:rsid w:val="00D340AB"/>
    <w:rsid w:val="00D340BD"/>
    <w:rsid w:val="00D34114"/>
    <w:rsid w:val="00D34275"/>
    <w:rsid w:val="00D342DF"/>
    <w:rsid w:val="00D3445B"/>
    <w:rsid w:val="00D34494"/>
    <w:rsid w:val="00D345DC"/>
    <w:rsid w:val="00D345EF"/>
    <w:rsid w:val="00D3463C"/>
    <w:rsid w:val="00D347D7"/>
    <w:rsid w:val="00D34963"/>
    <w:rsid w:val="00D349AD"/>
    <w:rsid w:val="00D34B7A"/>
    <w:rsid w:val="00D34C84"/>
    <w:rsid w:val="00D34DFD"/>
    <w:rsid w:val="00D34E4E"/>
    <w:rsid w:val="00D34FC4"/>
    <w:rsid w:val="00D34FDF"/>
    <w:rsid w:val="00D35000"/>
    <w:rsid w:val="00D35133"/>
    <w:rsid w:val="00D35178"/>
    <w:rsid w:val="00D351C8"/>
    <w:rsid w:val="00D3536B"/>
    <w:rsid w:val="00D35493"/>
    <w:rsid w:val="00D354FE"/>
    <w:rsid w:val="00D355F1"/>
    <w:rsid w:val="00D356B7"/>
    <w:rsid w:val="00D357A5"/>
    <w:rsid w:val="00D357F0"/>
    <w:rsid w:val="00D35845"/>
    <w:rsid w:val="00D35860"/>
    <w:rsid w:val="00D3591F"/>
    <w:rsid w:val="00D3592C"/>
    <w:rsid w:val="00D359C9"/>
    <w:rsid w:val="00D35A69"/>
    <w:rsid w:val="00D35B05"/>
    <w:rsid w:val="00D35B5D"/>
    <w:rsid w:val="00D35C8C"/>
    <w:rsid w:val="00D35CD6"/>
    <w:rsid w:val="00D35D71"/>
    <w:rsid w:val="00D35DC0"/>
    <w:rsid w:val="00D35E19"/>
    <w:rsid w:val="00D35F08"/>
    <w:rsid w:val="00D3606C"/>
    <w:rsid w:val="00D3635E"/>
    <w:rsid w:val="00D36396"/>
    <w:rsid w:val="00D36446"/>
    <w:rsid w:val="00D3654B"/>
    <w:rsid w:val="00D36778"/>
    <w:rsid w:val="00D36843"/>
    <w:rsid w:val="00D36930"/>
    <w:rsid w:val="00D3697F"/>
    <w:rsid w:val="00D36B56"/>
    <w:rsid w:val="00D36B8B"/>
    <w:rsid w:val="00D36C7C"/>
    <w:rsid w:val="00D36E58"/>
    <w:rsid w:val="00D36F4C"/>
    <w:rsid w:val="00D370DF"/>
    <w:rsid w:val="00D3714C"/>
    <w:rsid w:val="00D3714D"/>
    <w:rsid w:val="00D371EA"/>
    <w:rsid w:val="00D37255"/>
    <w:rsid w:val="00D37335"/>
    <w:rsid w:val="00D373F7"/>
    <w:rsid w:val="00D37455"/>
    <w:rsid w:val="00D374F2"/>
    <w:rsid w:val="00D37592"/>
    <w:rsid w:val="00D375DE"/>
    <w:rsid w:val="00D375F3"/>
    <w:rsid w:val="00D37699"/>
    <w:rsid w:val="00D37780"/>
    <w:rsid w:val="00D377FA"/>
    <w:rsid w:val="00D377FD"/>
    <w:rsid w:val="00D37892"/>
    <w:rsid w:val="00D37A1A"/>
    <w:rsid w:val="00D37A5D"/>
    <w:rsid w:val="00D37AFB"/>
    <w:rsid w:val="00D37B10"/>
    <w:rsid w:val="00D37DAA"/>
    <w:rsid w:val="00D37E28"/>
    <w:rsid w:val="00D37EF1"/>
    <w:rsid w:val="00D37EFD"/>
    <w:rsid w:val="00D400E5"/>
    <w:rsid w:val="00D402AB"/>
    <w:rsid w:val="00D40310"/>
    <w:rsid w:val="00D4031F"/>
    <w:rsid w:val="00D40470"/>
    <w:rsid w:val="00D404B7"/>
    <w:rsid w:val="00D40626"/>
    <w:rsid w:val="00D406D2"/>
    <w:rsid w:val="00D4070A"/>
    <w:rsid w:val="00D4086A"/>
    <w:rsid w:val="00D40984"/>
    <w:rsid w:val="00D409D8"/>
    <w:rsid w:val="00D40B12"/>
    <w:rsid w:val="00D40B65"/>
    <w:rsid w:val="00D40C3D"/>
    <w:rsid w:val="00D40C6F"/>
    <w:rsid w:val="00D40C81"/>
    <w:rsid w:val="00D40D26"/>
    <w:rsid w:val="00D40DB3"/>
    <w:rsid w:val="00D40DB7"/>
    <w:rsid w:val="00D40DBB"/>
    <w:rsid w:val="00D40E64"/>
    <w:rsid w:val="00D41265"/>
    <w:rsid w:val="00D41270"/>
    <w:rsid w:val="00D412CE"/>
    <w:rsid w:val="00D4133E"/>
    <w:rsid w:val="00D4148F"/>
    <w:rsid w:val="00D414C4"/>
    <w:rsid w:val="00D414F6"/>
    <w:rsid w:val="00D41651"/>
    <w:rsid w:val="00D41709"/>
    <w:rsid w:val="00D417A6"/>
    <w:rsid w:val="00D41A00"/>
    <w:rsid w:val="00D41A35"/>
    <w:rsid w:val="00D41BC8"/>
    <w:rsid w:val="00D41D48"/>
    <w:rsid w:val="00D41D4F"/>
    <w:rsid w:val="00D41D86"/>
    <w:rsid w:val="00D41EBA"/>
    <w:rsid w:val="00D41F35"/>
    <w:rsid w:val="00D41FB3"/>
    <w:rsid w:val="00D42200"/>
    <w:rsid w:val="00D422CF"/>
    <w:rsid w:val="00D423BA"/>
    <w:rsid w:val="00D425BC"/>
    <w:rsid w:val="00D42734"/>
    <w:rsid w:val="00D42768"/>
    <w:rsid w:val="00D427AB"/>
    <w:rsid w:val="00D427AC"/>
    <w:rsid w:val="00D427B9"/>
    <w:rsid w:val="00D427F2"/>
    <w:rsid w:val="00D42874"/>
    <w:rsid w:val="00D4296A"/>
    <w:rsid w:val="00D42A1A"/>
    <w:rsid w:val="00D42A2A"/>
    <w:rsid w:val="00D42C7C"/>
    <w:rsid w:val="00D42D66"/>
    <w:rsid w:val="00D42DD0"/>
    <w:rsid w:val="00D42E13"/>
    <w:rsid w:val="00D42EC8"/>
    <w:rsid w:val="00D42FB2"/>
    <w:rsid w:val="00D4311C"/>
    <w:rsid w:val="00D431C5"/>
    <w:rsid w:val="00D4326F"/>
    <w:rsid w:val="00D432AC"/>
    <w:rsid w:val="00D43321"/>
    <w:rsid w:val="00D43426"/>
    <w:rsid w:val="00D4344B"/>
    <w:rsid w:val="00D4345D"/>
    <w:rsid w:val="00D43510"/>
    <w:rsid w:val="00D43537"/>
    <w:rsid w:val="00D43659"/>
    <w:rsid w:val="00D43675"/>
    <w:rsid w:val="00D436C2"/>
    <w:rsid w:val="00D438D6"/>
    <w:rsid w:val="00D439AF"/>
    <w:rsid w:val="00D43A0F"/>
    <w:rsid w:val="00D43BF0"/>
    <w:rsid w:val="00D43BFF"/>
    <w:rsid w:val="00D43C99"/>
    <w:rsid w:val="00D43CA8"/>
    <w:rsid w:val="00D43CDF"/>
    <w:rsid w:val="00D43D08"/>
    <w:rsid w:val="00D43E5D"/>
    <w:rsid w:val="00D43F3C"/>
    <w:rsid w:val="00D4405E"/>
    <w:rsid w:val="00D4406D"/>
    <w:rsid w:val="00D44110"/>
    <w:rsid w:val="00D441EC"/>
    <w:rsid w:val="00D44237"/>
    <w:rsid w:val="00D4425B"/>
    <w:rsid w:val="00D4426F"/>
    <w:rsid w:val="00D44324"/>
    <w:rsid w:val="00D44535"/>
    <w:rsid w:val="00D4465C"/>
    <w:rsid w:val="00D44840"/>
    <w:rsid w:val="00D44948"/>
    <w:rsid w:val="00D44A6E"/>
    <w:rsid w:val="00D44B63"/>
    <w:rsid w:val="00D44C26"/>
    <w:rsid w:val="00D44D32"/>
    <w:rsid w:val="00D44D65"/>
    <w:rsid w:val="00D44EEB"/>
    <w:rsid w:val="00D4504B"/>
    <w:rsid w:val="00D451ED"/>
    <w:rsid w:val="00D45269"/>
    <w:rsid w:val="00D4542B"/>
    <w:rsid w:val="00D45536"/>
    <w:rsid w:val="00D45613"/>
    <w:rsid w:val="00D4568F"/>
    <w:rsid w:val="00D456A2"/>
    <w:rsid w:val="00D45759"/>
    <w:rsid w:val="00D457CA"/>
    <w:rsid w:val="00D4583A"/>
    <w:rsid w:val="00D45984"/>
    <w:rsid w:val="00D459FE"/>
    <w:rsid w:val="00D45A1D"/>
    <w:rsid w:val="00D45BA5"/>
    <w:rsid w:val="00D45BF6"/>
    <w:rsid w:val="00D45D6E"/>
    <w:rsid w:val="00D45E80"/>
    <w:rsid w:val="00D45ECC"/>
    <w:rsid w:val="00D45F32"/>
    <w:rsid w:val="00D45F4F"/>
    <w:rsid w:val="00D46002"/>
    <w:rsid w:val="00D46043"/>
    <w:rsid w:val="00D46196"/>
    <w:rsid w:val="00D46213"/>
    <w:rsid w:val="00D46602"/>
    <w:rsid w:val="00D4661A"/>
    <w:rsid w:val="00D466A4"/>
    <w:rsid w:val="00D466A9"/>
    <w:rsid w:val="00D4687A"/>
    <w:rsid w:val="00D46911"/>
    <w:rsid w:val="00D4692B"/>
    <w:rsid w:val="00D46937"/>
    <w:rsid w:val="00D46940"/>
    <w:rsid w:val="00D469D4"/>
    <w:rsid w:val="00D46AA8"/>
    <w:rsid w:val="00D46AAA"/>
    <w:rsid w:val="00D46DA4"/>
    <w:rsid w:val="00D46DAA"/>
    <w:rsid w:val="00D46DBF"/>
    <w:rsid w:val="00D46E29"/>
    <w:rsid w:val="00D46F6D"/>
    <w:rsid w:val="00D46FA8"/>
    <w:rsid w:val="00D4703A"/>
    <w:rsid w:val="00D470AB"/>
    <w:rsid w:val="00D47111"/>
    <w:rsid w:val="00D4728B"/>
    <w:rsid w:val="00D472CE"/>
    <w:rsid w:val="00D47438"/>
    <w:rsid w:val="00D47496"/>
    <w:rsid w:val="00D474AE"/>
    <w:rsid w:val="00D474F6"/>
    <w:rsid w:val="00D47509"/>
    <w:rsid w:val="00D47595"/>
    <w:rsid w:val="00D475C3"/>
    <w:rsid w:val="00D477F6"/>
    <w:rsid w:val="00D4787A"/>
    <w:rsid w:val="00D47957"/>
    <w:rsid w:val="00D4796C"/>
    <w:rsid w:val="00D47AA8"/>
    <w:rsid w:val="00D47AC4"/>
    <w:rsid w:val="00D47C1C"/>
    <w:rsid w:val="00D47C82"/>
    <w:rsid w:val="00D47CC9"/>
    <w:rsid w:val="00D47D01"/>
    <w:rsid w:val="00D47D3C"/>
    <w:rsid w:val="00D47D49"/>
    <w:rsid w:val="00D47D7C"/>
    <w:rsid w:val="00D47EB2"/>
    <w:rsid w:val="00D47F52"/>
    <w:rsid w:val="00D47FA4"/>
    <w:rsid w:val="00D50107"/>
    <w:rsid w:val="00D5040E"/>
    <w:rsid w:val="00D505C8"/>
    <w:rsid w:val="00D50688"/>
    <w:rsid w:val="00D50716"/>
    <w:rsid w:val="00D50761"/>
    <w:rsid w:val="00D5083F"/>
    <w:rsid w:val="00D50849"/>
    <w:rsid w:val="00D5084C"/>
    <w:rsid w:val="00D508C4"/>
    <w:rsid w:val="00D50ADB"/>
    <w:rsid w:val="00D50AFC"/>
    <w:rsid w:val="00D50B43"/>
    <w:rsid w:val="00D50B69"/>
    <w:rsid w:val="00D50C3F"/>
    <w:rsid w:val="00D50C41"/>
    <w:rsid w:val="00D50CE0"/>
    <w:rsid w:val="00D50D09"/>
    <w:rsid w:val="00D50D46"/>
    <w:rsid w:val="00D50E0B"/>
    <w:rsid w:val="00D50EBA"/>
    <w:rsid w:val="00D50FC9"/>
    <w:rsid w:val="00D510C7"/>
    <w:rsid w:val="00D51116"/>
    <w:rsid w:val="00D5113C"/>
    <w:rsid w:val="00D5118F"/>
    <w:rsid w:val="00D511A8"/>
    <w:rsid w:val="00D511DD"/>
    <w:rsid w:val="00D5129D"/>
    <w:rsid w:val="00D513DC"/>
    <w:rsid w:val="00D51411"/>
    <w:rsid w:val="00D5142F"/>
    <w:rsid w:val="00D51505"/>
    <w:rsid w:val="00D51524"/>
    <w:rsid w:val="00D5155F"/>
    <w:rsid w:val="00D515DC"/>
    <w:rsid w:val="00D515F2"/>
    <w:rsid w:val="00D51794"/>
    <w:rsid w:val="00D517C4"/>
    <w:rsid w:val="00D518B8"/>
    <w:rsid w:val="00D51935"/>
    <w:rsid w:val="00D51A4B"/>
    <w:rsid w:val="00D51B64"/>
    <w:rsid w:val="00D51C6A"/>
    <w:rsid w:val="00D51CD5"/>
    <w:rsid w:val="00D51D02"/>
    <w:rsid w:val="00D52044"/>
    <w:rsid w:val="00D520A5"/>
    <w:rsid w:val="00D5213E"/>
    <w:rsid w:val="00D52175"/>
    <w:rsid w:val="00D521A1"/>
    <w:rsid w:val="00D52266"/>
    <w:rsid w:val="00D522D2"/>
    <w:rsid w:val="00D522EB"/>
    <w:rsid w:val="00D52357"/>
    <w:rsid w:val="00D52438"/>
    <w:rsid w:val="00D52459"/>
    <w:rsid w:val="00D524AE"/>
    <w:rsid w:val="00D52510"/>
    <w:rsid w:val="00D52691"/>
    <w:rsid w:val="00D526A5"/>
    <w:rsid w:val="00D526DA"/>
    <w:rsid w:val="00D52715"/>
    <w:rsid w:val="00D52837"/>
    <w:rsid w:val="00D528DA"/>
    <w:rsid w:val="00D5293C"/>
    <w:rsid w:val="00D52B28"/>
    <w:rsid w:val="00D52B2A"/>
    <w:rsid w:val="00D52BBC"/>
    <w:rsid w:val="00D52C1A"/>
    <w:rsid w:val="00D52C99"/>
    <w:rsid w:val="00D52D44"/>
    <w:rsid w:val="00D52D54"/>
    <w:rsid w:val="00D52D9F"/>
    <w:rsid w:val="00D52E0B"/>
    <w:rsid w:val="00D52EA6"/>
    <w:rsid w:val="00D52F06"/>
    <w:rsid w:val="00D52F9E"/>
    <w:rsid w:val="00D53005"/>
    <w:rsid w:val="00D53151"/>
    <w:rsid w:val="00D531BB"/>
    <w:rsid w:val="00D531BC"/>
    <w:rsid w:val="00D5320A"/>
    <w:rsid w:val="00D53284"/>
    <w:rsid w:val="00D5341B"/>
    <w:rsid w:val="00D5341D"/>
    <w:rsid w:val="00D53477"/>
    <w:rsid w:val="00D5352D"/>
    <w:rsid w:val="00D5357E"/>
    <w:rsid w:val="00D53698"/>
    <w:rsid w:val="00D53700"/>
    <w:rsid w:val="00D5383B"/>
    <w:rsid w:val="00D538F1"/>
    <w:rsid w:val="00D53951"/>
    <w:rsid w:val="00D539C8"/>
    <w:rsid w:val="00D53ACE"/>
    <w:rsid w:val="00D53C88"/>
    <w:rsid w:val="00D53D45"/>
    <w:rsid w:val="00D53D50"/>
    <w:rsid w:val="00D53DF1"/>
    <w:rsid w:val="00D53FCB"/>
    <w:rsid w:val="00D54051"/>
    <w:rsid w:val="00D5410C"/>
    <w:rsid w:val="00D54198"/>
    <w:rsid w:val="00D54387"/>
    <w:rsid w:val="00D543E6"/>
    <w:rsid w:val="00D5454E"/>
    <w:rsid w:val="00D5463B"/>
    <w:rsid w:val="00D54702"/>
    <w:rsid w:val="00D5470C"/>
    <w:rsid w:val="00D54778"/>
    <w:rsid w:val="00D54907"/>
    <w:rsid w:val="00D5494B"/>
    <w:rsid w:val="00D54A81"/>
    <w:rsid w:val="00D54AD8"/>
    <w:rsid w:val="00D54C06"/>
    <w:rsid w:val="00D54C46"/>
    <w:rsid w:val="00D54C61"/>
    <w:rsid w:val="00D54C64"/>
    <w:rsid w:val="00D54C99"/>
    <w:rsid w:val="00D54E31"/>
    <w:rsid w:val="00D54E65"/>
    <w:rsid w:val="00D54F20"/>
    <w:rsid w:val="00D54F40"/>
    <w:rsid w:val="00D54F49"/>
    <w:rsid w:val="00D550DC"/>
    <w:rsid w:val="00D551D8"/>
    <w:rsid w:val="00D55307"/>
    <w:rsid w:val="00D55367"/>
    <w:rsid w:val="00D55389"/>
    <w:rsid w:val="00D55463"/>
    <w:rsid w:val="00D55486"/>
    <w:rsid w:val="00D55494"/>
    <w:rsid w:val="00D554A3"/>
    <w:rsid w:val="00D55512"/>
    <w:rsid w:val="00D5557E"/>
    <w:rsid w:val="00D5559F"/>
    <w:rsid w:val="00D555E5"/>
    <w:rsid w:val="00D556BD"/>
    <w:rsid w:val="00D557E6"/>
    <w:rsid w:val="00D55851"/>
    <w:rsid w:val="00D559D5"/>
    <w:rsid w:val="00D55A2F"/>
    <w:rsid w:val="00D55AE3"/>
    <w:rsid w:val="00D55B66"/>
    <w:rsid w:val="00D55BB5"/>
    <w:rsid w:val="00D55C36"/>
    <w:rsid w:val="00D55C8F"/>
    <w:rsid w:val="00D55DBA"/>
    <w:rsid w:val="00D55DDB"/>
    <w:rsid w:val="00D55DE7"/>
    <w:rsid w:val="00D55E0A"/>
    <w:rsid w:val="00D5605F"/>
    <w:rsid w:val="00D56076"/>
    <w:rsid w:val="00D5612C"/>
    <w:rsid w:val="00D5613B"/>
    <w:rsid w:val="00D562EB"/>
    <w:rsid w:val="00D56365"/>
    <w:rsid w:val="00D5644D"/>
    <w:rsid w:val="00D5646E"/>
    <w:rsid w:val="00D56617"/>
    <w:rsid w:val="00D5665A"/>
    <w:rsid w:val="00D566AB"/>
    <w:rsid w:val="00D5674B"/>
    <w:rsid w:val="00D567F3"/>
    <w:rsid w:val="00D56824"/>
    <w:rsid w:val="00D56872"/>
    <w:rsid w:val="00D568D8"/>
    <w:rsid w:val="00D56958"/>
    <w:rsid w:val="00D569F5"/>
    <w:rsid w:val="00D56A14"/>
    <w:rsid w:val="00D56AC1"/>
    <w:rsid w:val="00D56CA5"/>
    <w:rsid w:val="00D56DED"/>
    <w:rsid w:val="00D56EE0"/>
    <w:rsid w:val="00D56F29"/>
    <w:rsid w:val="00D57254"/>
    <w:rsid w:val="00D5731D"/>
    <w:rsid w:val="00D57401"/>
    <w:rsid w:val="00D574F1"/>
    <w:rsid w:val="00D57575"/>
    <w:rsid w:val="00D576B4"/>
    <w:rsid w:val="00D577B5"/>
    <w:rsid w:val="00D57846"/>
    <w:rsid w:val="00D57942"/>
    <w:rsid w:val="00D57952"/>
    <w:rsid w:val="00D579AB"/>
    <w:rsid w:val="00D57A5A"/>
    <w:rsid w:val="00D57B54"/>
    <w:rsid w:val="00D57BC7"/>
    <w:rsid w:val="00D57D0E"/>
    <w:rsid w:val="00D57D44"/>
    <w:rsid w:val="00D57E7E"/>
    <w:rsid w:val="00D57F4D"/>
    <w:rsid w:val="00D57FC3"/>
    <w:rsid w:val="00D57FDD"/>
    <w:rsid w:val="00D600B3"/>
    <w:rsid w:val="00D600C9"/>
    <w:rsid w:val="00D601BD"/>
    <w:rsid w:val="00D6027E"/>
    <w:rsid w:val="00D6033D"/>
    <w:rsid w:val="00D603C4"/>
    <w:rsid w:val="00D603CB"/>
    <w:rsid w:val="00D603F3"/>
    <w:rsid w:val="00D6046F"/>
    <w:rsid w:val="00D604DD"/>
    <w:rsid w:val="00D60658"/>
    <w:rsid w:val="00D608FE"/>
    <w:rsid w:val="00D60937"/>
    <w:rsid w:val="00D60A6C"/>
    <w:rsid w:val="00D60B39"/>
    <w:rsid w:val="00D60B5E"/>
    <w:rsid w:val="00D60B7D"/>
    <w:rsid w:val="00D60C4C"/>
    <w:rsid w:val="00D60D2D"/>
    <w:rsid w:val="00D60D7A"/>
    <w:rsid w:val="00D60E21"/>
    <w:rsid w:val="00D60EC5"/>
    <w:rsid w:val="00D61061"/>
    <w:rsid w:val="00D6108E"/>
    <w:rsid w:val="00D6121A"/>
    <w:rsid w:val="00D6128C"/>
    <w:rsid w:val="00D61313"/>
    <w:rsid w:val="00D613C5"/>
    <w:rsid w:val="00D613DE"/>
    <w:rsid w:val="00D613FD"/>
    <w:rsid w:val="00D6143E"/>
    <w:rsid w:val="00D614BD"/>
    <w:rsid w:val="00D6152F"/>
    <w:rsid w:val="00D6159D"/>
    <w:rsid w:val="00D6164A"/>
    <w:rsid w:val="00D616E4"/>
    <w:rsid w:val="00D616F1"/>
    <w:rsid w:val="00D61715"/>
    <w:rsid w:val="00D617FB"/>
    <w:rsid w:val="00D61880"/>
    <w:rsid w:val="00D61883"/>
    <w:rsid w:val="00D6189D"/>
    <w:rsid w:val="00D61A80"/>
    <w:rsid w:val="00D61B09"/>
    <w:rsid w:val="00D61B51"/>
    <w:rsid w:val="00D61BEE"/>
    <w:rsid w:val="00D61DB3"/>
    <w:rsid w:val="00D61F5A"/>
    <w:rsid w:val="00D620EA"/>
    <w:rsid w:val="00D6210A"/>
    <w:rsid w:val="00D621D3"/>
    <w:rsid w:val="00D62259"/>
    <w:rsid w:val="00D62322"/>
    <w:rsid w:val="00D6238E"/>
    <w:rsid w:val="00D623E4"/>
    <w:rsid w:val="00D625F8"/>
    <w:rsid w:val="00D62648"/>
    <w:rsid w:val="00D6272D"/>
    <w:rsid w:val="00D627CA"/>
    <w:rsid w:val="00D62806"/>
    <w:rsid w:val="00D6280A"/>
    <w:rsid w:val="00D6282B"/>
    <w:rsid w:val="00D6283B"/>
    <w:rsid w:val="00D6289A"/>
    <w:rsid w:val="00D62983"/>
    <w:rsid w:val="00D6299A"/>
    <w:rsid w:val="00D629B6"/>
    <w:rsid w:val="00D629E6"/>
    <w:rsid w:val="00D62AC9"/>
    <w:rsid w:val="00D62ADD"/>
    <w:rsid w:val="00D62B0D"/>
    <w:rsid w:val="00D62C3F"/>
    <w:rsid w:val="00D62D35"/>
    <w:rsid w:val="00D62EE9"/>
    <w:rsid w:val="00D62F23"/>
    <w:rsid w:val="00D63025"/>
    <w:rsid w:val="00D63079"/>
    <w:rsid w:val="00D630BC"/>
    <w:rsid w:val="00D630C2"/>
    <w:rsid w:val="00D631B7"/>
    <w:rsid w:val="00D631DF"/>
    <w:rsid w:val="00D63223"/>
    <w:rsid w:val="00D632F1"/>
    <w:rsid w:val="00D63329"/>
    <w:rsid w:val="00D635C4"/>
    <w:rsid w:val="00D635C9"/>
    <w:rsid w:val="00D63608"/>
    <w:rsid w:val="00D6365B"/>
    <w:rsid w:val="00D636A3"/>
    <w:rsid w:val="00D637B3"/>
    <w:rsid w:val="00D638DE"/>
    <w:rsid w:val="00D6397D"/>
    <w:rsid w:val="00D63B17"/>
    <w:rsid w:val="00D63B85"/>
    <w:rsid w:val="00D63DA9"/>
    <w:rsid w:val="00D63E1F"/>
    <w:rsid w:val="00D63F5C"/>
    <w:rsid w:val="00D63F94"/>
    <w:rsid w:val="00D63FC9"/>
    <w:rsid w:val="00D64058"/>
    <w:rsid w:val="00D640D5"/>
    <w:rsid w:val="00D6434F"/>
    <w:rsid w:val="00D643AC"/>
    <w:rsid w:val="00D64589"/>
    <w:rsid w:val="00D64647"/>
    <w:rsid w:val="00D646C2"/>
    <w:rsid w:val="00D646CF"/>
    <w:rsid w:val="00D646F1"/>
    <w:rsid w:val="00D647F2"/>
    <w:rsid w:val="00D6485C"/>
    <w:rsid w:val="00D64867"/>
    <w:rsid w:val="00D648A9"/>
    <w:rsid w:val="00D649B5"/>
    <w:rsid w:val="00D64A53"/>
    <w:rsid w:val="00D64B34"/>
    <w:rsid w:val="00D64C41"/>
    <w:rsid w:val="00D64CAE"/>
    <w:rsid w:val="00D64D36"/>
    <w:rsid w:val="00D64FB9"/>
    <w:rsid w:val="00D65056"/>
    <w:rsid w:val="00D650C8"/>
    <w:rsid w:val="00D650E4"/>
    <w:rsid w:val="00D65137"/>
    <w:rsid w:val="00D65183"/>
    <w:rsid w:val="00D65230"/>
    <w:rsid w:val="00D6527E"/>
    <w:rsid w:val="00D652EF"/>
    <w:rsid w:val="00D65310"/>
    <w:rsid w:val="00D65327"/>
    <w:rsid w:val="00D6538C"/>
    <w:rsid w:val="00D653BA"/>
    <w:rsid w:val="00D653CB"/>
    <w:rsid w:val="00D6543E"/>
    <w:rsid w:val="00D6553E"/>
    <w:rsid w:val="00D65572"/>
    <w:rsid w:val="00D655D9"/>
    <w:rsid w:val="00D656F2"/>
    <w:rsid w:val="00D65719"/>
    <w:rsid w:val="00D65779"/>
    <w:rsid w:val="00D65A1D"/>
    <w:rsid w:val="00D65A9B"/>
    <w:rsid w:val="00D65AD3"/>
    <w:rsid w:val="00D65B5E"/>
    <w:rsid w:val="00D65B9D"/>
    <w:rsid w:val="00D65C91"/>
    <w:rsid w:val="00D65C97"/>
    <w:rsid w:val="00D65DA3"/>
    <w:rsid w:val="00D65E97"/>
    <w:rsid w:val="00D66044"/>
    <w:rsid w:val="00D66150"/>
    <w:rsid w:val="00D6619A"/>
    <w:rsid w:val="00D662F6"/>
    <w:rsid w:val="00D662FE"/>
    <w:rsid w:val="00D66364"/>
    <w:rsid w:val="00D66464"/>
    <w:rsid w:val="00D664CA"/>
    <w:rsid w:val="00D66762"/>
    <w:rsid w:val="00D6676D"/>
    <w:rsid w:val="00D667D8"/>
    <w:rsid w:val="00D668C4"/>
    <w:rsid w:val="00D668EB"/>
    <w:rsid w:val="00D6693E"/>
    <w:rsid w:val="00D66A4E"/>
    <w:rsid w:val="00D66B12"/>
    <w:rsid w:val="00D66B89"/>
    <w:rsid w:val="00D66BAE"/>
    <w:rsid w:val="00D66C3E"/>
    <w:rsid w:val="00D66CDE"/>
    <w:rsid w:val="00D66D7D"/>
    <w:rsid w:val="00D66E01"/>
    <w:rsid w:val="00D66E09"/>
    <w:rsid w:val="00D66FC6"/>
    <w:rsid w:val="00D67059"/>
    <w:rsid w:val="00D6711F"/>
    <w:rsid w:val="00D67135"/>
    <w:rsid w:val="00D67196"/>
    <w:rsid w:val="00D672A9"/>
    <w:rsid w:val="00D672AC"/>
    <w:rsid w:val="00D672CB"/>
    <w:rsid w:val="00D6732E"/>
    <w:rsid w:val="00D67335"/>
    <w:rsid w:val="00D6740A"/>
    <w:rsid w:val="00D6742B"/>
    <w:rsid w:val="00D67454"/>
    <w:rsid w:val="00D6769B"/>
    <w:rsid w:val="00D67785"/>
    <w:rsid w:val="00D67803"/>
    <w:rsid w:val="00D6789A"/>
    <w:rsid w:val="00D678D5"/>
    <w:rsid w:val="00D679C4"/>
    <w:rsid w:val="00D67A30"/>
    <w:rsid w:val="00D67BD5"/>
    <w:rsid w:val="00D67C4C"/>
    <w:rsid w:val="00D67C69"/>
    <w:rsid w:val="00D67CAE"/>
    <w:rsid w:val="00D67CFF"/>
    <w:rsid w:val="00D67D42"/>
    <w:rsid w:val="00D67D44"/>
    <w:rsid w:val="00D67F43"/>
    <w:rsid w:val="00D67F55"/>
    <w:rsid w:val="00D67FA8"/>
    <w:rsid w:val="00D67FE1"/>
    <w:rsid w:val="00D7000C"/>
    <w:rsid w:val="00D701D9"/>
    <w:rsid w:val="00D7028B"/>
    <w:rsid w:val="00D70567"/>
    <w:rsid w:val="00D70666"/>
    <w:rsid w:val="00D7074B"/>
    <w:rsid w:val="00D708CF"/>
    <w:rsid w:val="00D70B91"/>
    <w:rsid w:val="00D70C9D"/>
    <w:rsid w:val="00D70D35"/>
    <w:rsid w:val="00D70D49"/>
    <w:rsid w:val="00D70D92"/>
    <w:rsid w:val="00D70E6D"/>
    <w:rsid w:val="00D70EB6"/>
    <w:rsid w:val="00D70F04"/>
    <w:rsid w:val="00D71036"/>
    <w:rsid w:val="00D7107E"/>
    <w:rsid w:val="00D7124E"/>
    <w:rsid w:val="00D71278"/>
    <w:rsid w:val="00D713CB"/>
    <w:rsid w:val="00D71404"/>
    <w:rsid w:val="00D71559"/>
    <w:rsid w:val="00D71604"/>
    <w:rsid w:val="00D71635"/>
    <w:rsid w:val="00D716D2"/>
    <w:rsid w:val="00D7170D"/>
    <w:rsid w:val="00D71815"/>
    <w:rsid w:val="00D718A0"/>
    <w:rsid w:val="00D7190D"/>
    <w:rsid w:val="00D719C5"/>
    <w:rsid w:val="00D71AF2"/>
    <w:rsid w:val="00D71B20"/>
    <w:rsid w:val="00D71B34"/>
    <w:rsid w:val="00D71C95"/>
    <w:rsid w:val="00D71CDA"/>
    <w:rsid w:val="00D71E0E"/>
    <w:rsid w:val="00D71E86"/>
    <w:rsid w:val="00D72078"/>
    <w:rsid w:val="00D722EF"/>
    <w:rsid w:val="00D72602"/>
    <w:rsid w:val="00D72638"/>
    <w:rsid w:val="00D726A9"/>
    <w:rsid w:val="00D72700"/>
    <w:rsid w:val="00D728D9"/>
    <w:rsid w:val="00D72918"/>
    <w:rsid w:val="00D7291B"/>
    <w:rsid w:val="00D729C1"/>
    <w:rsid w:val="00D72A21"/>
    <w:rsid w:val="00D72ACA"/>
    <w:rsid w:val="00D72B01"/>
    <w:rsid w:val="00D72B0D"/>
    <w:rsid w:val="00D72B51"/>
    <w:rsid w:val="00D72BCC"/>
    <w:rsid w:val="00D72BD4"/>
    <w:rsid w:val="00D72C04"/>
    <w:rsid w:val="00D72C6A"/>
    <w:rsid w:val="00D72CDE"/>
    <w:rsid w:val="00D72E20"/>
    <w:rsid w:val="00D72E4F"/>
    <w:rsid w:val="00D72ED3"/>
    <w:rsid w:val="00D72F09"/>
    <w:rsid w:val="00D72FEC"/>
    <w:rsid w:val="00D73034"/>
    <w:rsid w:val="00D731C6"/>
    <w:rsid w:val="00D731DE"/>
    <w:rsid w:val="00D73259"/>
    <w:rsid w:val="00D7340A"/>
    <w:rsid w:val="00D73459"/>
    <w:rsid w:val="00D734BB"/>
    <w:rsid w:val="00D734E5"/>
    <w:rsid w:val="00D73539"/>
    <w:rsid w:val="00D7354A"/>
    <w:rsid w:val="00D73641"/>
    <w:rsid w:val="00D73789"/>
    <w:rsid w:val="00D73855"/>
    <w:rsid w:val="00D7385A"/>
    <w:rsid w:val="00D73872"/>
    <w:rsid w:val="00D738CF"/>
    <w:rsid w:val="00D73A4B"/>
    <w:rsid w:val="00D73E0D"/>
    <w:rsid w:val="00D73F09"/>
    <w:rsid w:val="00D742DD"/>
    <w:rsid w:val="00D7439E"/>
    <w:rsid w:val="00D744F0"/>
    <w:rsid w:val="00D7454E"/>
    <w:rsid w:val="00D7465B"/>
    <w:rsid w:val="00D746A8"/>
    <w:rsid w:val="00D746FF"/>
    <w:rsid w:val="00D74959"/>
    <w:rsid w:val="00D749C2"/>
    <w:rsid w:val="00D74B04"/>
    <w:rsid w:val="00D74BEF"/>
    <w:rsid w:val="00D74C09"/>
    <w:rsid w:val="00D74C1E"/>
    <w:rsid w:val="00D74C47"/>
    <w:rsid w:val="00D74CE7"/>
    <w:rsid w:val="00D74CFF"/>
    <w:rsid w:val="00D74D17"/>
    <w:rsid w:val="00D74D64"/>
    <w:rsid w:val="00D74E3F"/>
    <w:rsid w:val="00D74E87"/>
    <w:rsid w:val="00D74F1B"/>
    <w:rsid w:val="00D7500B"/>
    <w:rsid w:val="00D750DA"/>
    <w:rsid w:val="00D75120"/>
    <w:rsid w:val="00D75259"/>
    <w:rsid w:val="00D752EB"/>
    <w:rsid w:val="00D7540D"/>
    <w:rsid w:val="00D754BD"/>
    <w:rsid w:val="00D754D4"/>
    <w:rsid w:val="00D755F2"/>
    <w:rsid w:val="00D75619"/>
    <w:rsid w:val="00D75659"/>
    <w:rsid w:val="00D75770"/>
    <w:rsid w:val="00D75987"/>
    <w:rsid w:val="00D759D6"/>
    <w:rsid w:val="00D75B06"/>
    <w:rsid w:val="00D75B0B"/>
    <w:rsid w:val="00D75B94"/>
    <w:rsid w:val="00D75D12"/>
    <w:rsid w:val="00D75D39"/>
    <w:rsid w:val="00D75D4E"/>
    <w:rsid w:val="00D75D9B"/>
    <w:rsid w:val="00D75DA2"/>
    <w:rsid w:val="00D75E09"/>
    <w:rsid w:val="00D75EF8"/>
    <w:rsid w:val="00D75F44"/>
    <w:rsid w:val="00D76054"/>
    <w:rsid w:val="00D76057"/>
    <w:rsid w:val="00D760B8"/>
    <w:rsid w:val="00D7611D"/>
    <w:rsid w:val="00D76142"/>
    <w:rsid w:val="00D76151"/>
    <w:rsid w:val="00D76241"/>
    <w:rsid w:val="00D7628D"/>
    <w:rsid w:val="00D76569"/>
    <w:rsid w:val="00D765A5"/>
    <w:rsid w:val="00D766D4"/>
    <w:rsid w:val="00D7687A"/>
    <w:rsid w:val="00D7688E"/>
    <w:rsid w:val="00D76C3D"/>
    <w:rsid w:val="00D76C6E"/>
    <w:rsid w:val="00D76C87"/>
    <w:rsid w:val="00D76CD2"/>
    <w:rsid w:val="00D76DFE"/>
    <w:rsid w:val="00D76E10"/>
    <w:rsid w:val="00D76E25"/>
    <w:rsid w:val="00D76F84"/>
    <w:rsid w:val="00D76F95"/>
    <w:rsid w:val="00D76FE5"/>
    <w:rsid w:val="00D77005"/>
    <w:rsid w:val="00D7720A"/>
    <w:rsid w:val="00D77249"/>
    <w:rsid w:val="00D77377"/>
    <w:rsid w:val="00D77525"/>
    <w:rsid w:val="00D77680"/>
    <w:rsid w:val="00D77712"/>
    <w:rsid w:val="00D77829"/>
    <w:rsid w:val="00D77851"/>
    <w:rsid w:val="00D778F6"/>
    <w:rsid w:val="00D77954"/>
    <w:rsid w:val="00D779AB"/>
    <w:rsid w:val="00D77A2B"/>
    <w:rsid w:val="00D77A41"/>
    <w:rsid w:val="00D77B5A"/>
    <w:rsid w:val="00D77C05"/>
    <w:rsid w:val="00D77D72"/>
    <w:rsid w:val="00D77DC6"/>
    <w:rsid w:val="00D77EED"/>
    <w:rsid w:val="00D77F10"/>
    <w:rsid w:val="00D800F6"/>
    <w:rsid w:val="00D80194"/>
    <w:rsid w:val="00D801CE"/>
    <w:rsid w:val="00D80342"/>
    <w:rsid w:val="00D80404"/>
    <w:rsid w:val="00D8041C"/>
    <w:rsid w:val="00D805EF"/>
    <w:rsid w:val="00D8068D"/>
    <w:rsid w:val="00D80729"/>
    <w:rsid w:val="00D80769"/>
    <w:rsid w:val="00D80971"/>
    <w:rsid w:val="00D80B0C"/>
    <w:rsid w:val="00D80D45"/>
    <w:rsid w:val="00D80DA7"/>
    <w:rsid w:val="00D80FA4"/>
    <w:rsid w:val="00D80FD9"/>
    <w:rsid w:val="00D810B8"/>
    <w:rsid w:val="00D81124"/>
    <w:rsid w:val="00D8113E"/>
    <w:rsid w:val="00D81149"/>
    <w:rsid w:val="00D8122A"/>
    <w:rsid w:val="00D8128F"/>
    <w:rsid w:val="00D812BE"/>
    <w:rsid w:val="00D81362"/>
    <w:rsid w:val="00D813C5"/>
    <w:rsid w:val="00D81527"/>
    <w:rsid w:val="00D81541"/>
    <w:rsid w:val="00D8156A"/>
    <w:rsid w:val="00D815A4"/>
    <w:rsid w:val="00D815AA"/>
    <w:rsid w:val="00D815E3"/>
    <w:rsid w:val="00D817CF"/>
    <w:rsid w:val="00D818D8"/>
    <w:rsid w:val="00D81B2A"/>
    <w:rsid w:val="00D81B91"/>
    <w:rsid w:val="00D81C03"/>
    <w:rsid w:val="00D81C85"/>
    <w:rsid w:val="00D81CA6"/>
    <w:rsid w:val="00D81DD7"/>
    <w:rsid w:val="00D81E03"/>
    <w:rsid w:val="00D81E85"/>
    <w:rsid w:val="00D81F50"/>
    <w:rsid w:val="00D8200C"/>
    <w:rsid w:val="00D82177"/>
    <w:rsid w:val="00D8220F"/>
    <w:rsid w:val="00D82361"/>
    <w:rsid w:val="00D823E7"/>
    <w:rsid w:val="00D825D4"/>
    <w:rsid w:val="00D8268A"/>
    <w:rsid w:val="00D826D2"/>
    <w:rsid w:val="00D826DB"/>
    <w:rsid w:val="00D826F4"/>
    <w:rsid w:val="00D82741"/>
    <w:rsid w:val="00D82918"/>
    <w:rsid w:val="00D82BC0"/>
    <w:rsid w:val="00D82BDF"/>
    <w:rsid w:val="00D82C66"/>
    <w:rsid w:val="00D82CBC"/>
    <w:rsid w:val="00D82D2B"/>
    <w:rsid w:val="00D82DCF"/>
    <w:rsid w:val="00D82E90"/>
    <w:rsid w:val="00D82EC9"/>
    <w:rsid w:val="00D82F81"/>
    <w:rsid w:val="00D82FB4"/>
    <w:rsid w:val="00D83052"/>
    <w:rsid w:val="00D830FB"/>
    <w:rsid w:val="00D83178"/>
    <w:rsid w:val="00D83185"/>
    <w:rsid w:val="00D83187"/>
    <w:rsid w:val="00D83300"/>
    <w:rsid w:val="00D83316"/>
    <w:rsid w:val="00D83447"/>
    <w:rsid w:val="00D834B4"/>
    <w:rsid w:val="00D834E2"/>
    <w:rsid w:val="00D835C6"/>
    <w:rsid w:val="00D83716"/>
    <w:rsid w:val="00D8377F"/>
    <w:rsid w:val="00D837A6"/>
    <w:rsid w:val="00D837C0"/>
    <w:rsid w:val="00D8388D"/>
    <w:rsid w:val="00D83936"/>
    <w:rsid w:val="00D839E3"/>
    <w:rsid w:val="00D83A39"/>
    <w:rsid w:val="00D83D92"/>
    <w:rsid w:val="00D83D98"/>
    <w:rsid w:val="00D83E61"/>
    <w:rsid w:val="00D8404A"/>
    <w:rsid w:val="00D84092"/>
    <w:rsid w:val="00D840BE"/>
    <w:rsid w:val="00D840F1"/>
    <w:rsid w:val="00D84103"/>
    <w:rsid w:val="00D8413E"/>
    <w:rsid w:val="00D841BB"/>
    <w:rsid w:val="00D8426B"/>
    <w:rsid w:val="00D843C2"/>
    <w:rsid w:val="00D843E4"/>
    <w:rsid w:val="00D844B5"/>
    <w:rsid w:val="00D84677"/>
    <w:rsid w:val="00D84690"/>
    <w:rsid w:val="00D84758"/>
    <w:rsid w:val="00D8479E"/>
    <w:rsid w:val="00D847AC"/>
    <w:rsid w:val="00D84809"/>
    <w:rsid w:val="00D84870"/>
    <w:rsid w:val="00D848D3"/>
    <w:rsid w:val="00D848F5"/>
    <w:rsid w:val="00D849A5"/>
    <w:rsid w:val="00D84B15"/>
    <w:rsid w:val="00D84BED"/>
    <w:rsid w:val="00D84CC4"/>
    <w:rsid w:val="00D84DB3"/>
    <w:rsid w:val="00D84F48"/>
    <w:rsid w:val="00D84FAE"/>
    <w:rsid w:val="00D84FE3"/>
    <w:rsid w:val="00D85038"/>
    <w:rsid w:val="00D850B0"/>
    <w:rsid w:val="00D850F4"/>
    <w:rsid w:val="00D851B6"/>
    <w:rsid w:val="00D851E1"/>
    <w:rsid w:val="00D852DE"/>
    <w:rsid w:val="00D8534B"/>
    <w:rsid w:val="00D85406"/>
    <w:rsid w:val="00D85470"/>
    <w:rsid w:val="00D855C7"/>
    <w:rsid w:val="00D85602"/>
    <w:rsid w:val="00D856F7"/>
    <w:rsid w:val="00D856FC"/>
    <w:rsid w:val="00D85851"/>
    <w:rsid w:val="00D85895"/>
    <w:rsid w:val="00D85935"/>
    <w:rsid w:val="00D859A4"/>
    <w:rsid w:val="00D85C14"/>
    <w:rsid w:val="00D85C27"/>
    <w:rsid w:val="00D85C5B"/>
    <w:rsid w:val="00D85D05"/>
    <w:rsid w:val="00D85DFA"/>
    <w:rsid w:val="00D86039"/>
    <w:rsid w:val="00D860A6"/>
    <w:rsid w:val="00D8614F"/>
    <w:rsid w:val="00D86191"/>
    <w:rsid w:val="00D86197"/>
    <w:rsid w:val="00D86363"/>
    <w:rsid w:val="00D863C1"/>
    <w:rsid w:val="00D86634"/>
    <w:rsid w:val="00D86765"/>
    <w:rsid w:val="00D867F8"/>
    <w:rsid w:val="00D869BA"/>
    <w:rsid w:val="00D869CB"/>
    <w:rsid w:val="00D86A1C"/>
    <w:rsid w:val="00D86A2B"/>
    <w:rsid w:val="00D86B94"/>
    <w:rsid w:val="00D86E6C"/>
    <w:rsid w:val="00D86FAA"/>
    <w:rsid w:val="00D87045"/>
    <w:rsid w:val="00D8707F"/>
    <w:rsid w:val="00D870AE"/>
    <w:rsid w:val="00D8718A"/>
    <w:rsid w:val="00D87333"/>
    <w:rsid w:val="00D87344"/>
    <w:rsid w:val="00D87350"/>
    <w:rsid w:val="00D87541"/>
    <w:rsid w:val="00D87648"/>
    <w:rsid w:val="00D876CF"/>
    <w:rsid w:val="00D8789E"/>
    <w:rsid w:val="00D878F5"/>
    <w:rsid w:val="00D87A03"/>
    <w:rsid w:val="00D87A20"/>
    <w:rsid w:val="00D87A64"/>
    <w:rsid w:val="00D87B96"/>
    <w:rsid w:val="00D87CFC"/>
    <w:rsid w:val="00D87E47"/>
    <w:rsid w:val="00D87EC9"/>
    <w:rsid w:val="00D87EF1"/>
    <w:rsid w:val="00D9008F"/>
    <w:rsid w:val="00D900AB"/>
    <w:rsid w:val="00D900DD"/>
    <w:rsid w:val="00D90145"/>
    <w:rsid w:val="00D90235"/>
    <w:rsid w:val="00D90287"/>
    <w:rsid w:val="00D90320"/>
    <w:rsid w:val="00D90349"/>
    <w:rsid w:val="00D9037F"/>
    <w:rsid w:val="00D90384"/>
    <w:rsid w:val="00D90528"/>
    <w:rsid w:val="00D90557"/>
    <w:rsid w:val="00D9059B"/>
    <w:rsid w:val="00D906FE"/>
    <w:rsid w:val="00D907CE"/>
    <w:rsid w:val="00D9084B"/>
    <w:rsid w:val="00D9088A"/>
    <w:rsid w:val="00D90D13"/>
    <w:rsid w:val="00D90D14"/>
    <w:rsid w:val="00D910AE"/>
    <w:rsid w:val="00D911D3"/>
    <w:rsid w:val="00D91258"/>
    <w:rsid w:val="00D91260"/>
    <w:rsid w:val="00D9130B"/>
    <w:rsid w:val="00D9131A"/>
    <w:rsid w:val="00D91331"/>
    <w:rsid w:val="00D91376"/>
    <w:rsid w:val="00D91507"/>
    <w:rsid w:val="00D9161B"/>
    <w:rsid w:val="00D91633"/>
    <w:rsid w:val="00D91737"/>
    <w:rsid w:val="00D91845"/>
    <w:rsid w:val="00D918EC"/>
    <w:rsid w:val="00D91933"/>
    <w:rsid w:val="00D91946"/>
    <w:rsid w:val="00D91A8C"/>
    <w:rsid w:val="00D91AF1"/>
    <w:rsid w:val="00D91B0B"/>
    <w:rsid w:val="00D91C1D"/>
    <w:rsid w:val="00D91F36"/>
    <w:rsid w:val="00D91FB0"/>
    <w:rsid w:val="00D91FFD"/>
    <w:rsid w:val="00D9226F"/>
    <w:rsid w:val="00D92291"/>
    <w:rsid w:val="00D922A0"/>
    <w:rsid w:val="00D92371"/>
    <w:rsid w:val="00D923A6"/>
    <w:rsid w:val="00D92458"/>
    <w:rsid w:val="00D925DA"/>
    <w:rsid w:val="00D925F7"/>
    <w:rsid w:val="00D92775"/>
    <w:rsid w:val="00D927BA"/>
    <w:rsid w:val="00D92805"/>
    <w:rsid w:val="00D92917"/>
    <w:rsid w:val="00D9294E"/>
    <w:rsid w:val="00D92967"/>
    <w:rsid w:val="00D929B9"/>
    <w:rsid w:val="00D92A21"/>
    <w:rsid w:val="00D92A55"/>
    <w:rsid w:val="00D92A61"/>
    <w:rsid w:val="00D92AA7"/>
    <w:rsid w:val="00D92C13"/>
    <w:rsid w:val="00D92C5A"/>
    <w:rsid w:val="00D92DFB"/>
    <w:rsid w:val="00D92E47"/>
    <w:rsid w:val="00D92EC0"/>
    <w:rsid w:val="00D92EDC"/>
    <w:rsid w:val="00D92F27"/>
    <w:rsid w:val="00D92F33"/>
    <w:rsid w:val="00D92F43"/>
    <w:rsid w:val="00D92FBB"/>
    <w:rsid w:val="00D9303A"/>
    <w:rsid w:val="00D93091"/>
    <w:rsid w:val="00D9309B"/>
    <w:rsid w:val="00D930B8"/>
    <w:rsid w:val="00D930E1"/>
    <w:rsid w:val="00D9319E"/>
    <w:rsid w:val="00D931EF"/>
    <w:rsid w:val="00D9328A"/>
    <w:rsid w:val="00D932C1"/>
    <w:rsid w:val="00D932D7"/>
    <w:rsid w:val="00D9345A"/>
    <w:rsid w:val="00D93474"/>
    <w:rsid w:val="00D934EB"/>
    <w:rsid w:val="00D935AA"/>
    <w:rsid w:val="00D93672"/>
    <w:rsid w:val="00D93701"/>
    <w:rsid w:val="00D9386C"/>
    <w:rsid w:val="00D9395F"/>
    <w:rsid w:val="00D9397C"/>
    <w:rsid w:val="00D9398B"/>
    <w:rsid w:val="00D939CE"/>
    <w:rsid w:val="00D939DE"/>
    <w:rsid w:val="00D93A91"/>
    <w:rsid w:val="00D93B58"/>
    <w:rsid w:val="00D93BA2"/>
    <w:rsid w:val="00D93C66"/>
    <w:rsid w:val="00D93D35"/>
    <w:rsid w:val="00D93E7E"/>
    <w:rsid w:val="00D93FA6"/>
    <w:rsid w:val="00D93FB9"/>
    <w:rsid w:val="00D94180"/>
    <w:rsid w:val="00D94191"/>
    <w:rsid w:val="00D94321"/>
    <w:rsid w:val="00D94478"/>
    <w:rsid w:val="00D94537"/>
    <w:rsid w:val="00D946A6"/>
    <w:rsid w:val="00D9493E"/>
    <w:rsid w:val="00D94A20"/>
    <w:rsid w:val="00D94BBD"/>
    <w:rsid w:val="00D94C0E"/>
    <w:rsid w:val="00D94CBC"/>
    <w:rsid w:val="00D94DE2"/>
    <w:rsid w:val="00D94FAA"/>
    <w:rsid w:val="00D9503B"/>
    <w:rsid w:val="00D9509A"/>
    <w:rsid w:val="00D9518F"/>
    <w:rsid w:val="00D95206"/>
    <w:rsid w:val="00D95244"/>
    <w:rsid w:val="00D9527F"/>
    <w:rsid w:val="00D952D2"/>
    <w:rsid w:val="00D9544B"/>
    <w:rsid w:val="00D95463"/>
    <w:rsid w:val="00D9552C"/>
    <w:rsid w:val="00D9555F"/>
    <w:rsid w:val="00D9557D"/>
    <w:rsid w:val="00D956EE"/>
    <w:rsid w:val="00D9570F"/>
    <w:rsid w:val="00D95926"/>
    <w:rsid w:val="00D95A05"/>
    <w:rsid w:val="00D95A45"/>
    <w:rsid w:val="00D95A69"/>
    <w:rsid w:val="00D95B85"/>
    <w:rsid w:val="00D95C92"/>
    <w:rsid w:val="00D95D59"/>
    <w:rsid w:val="00D95D66"/>
    <w:rsid w:val="00D95D8E"/>
    <w:rsid w:val="00D95DE9"/>
    <w:rsid w:val="00D95DF9"/>
    <w:rsid w:val="00D95F4E"/>
    <w:rsid w:val="00D96044"/>
    <w:rsid w:val="00D96099"/>
    <w:rsid w:val="00D9609B"/>
    <w:rsid w:val="00D961CA"/>
    <w:rsid w:val="00D96231"/>
    <w:rsid w:val="00D962BD"/>
    <w:rsid w:val="00D96461"/>
    <w:rsid w:val="00D96495"/>
    <w:rsid w:val="00D96545"/>
    <w:rsid w:val="00D96614"/>
    <w:rsid w:val="00D96619"/>
    <w:rsid w:val="00D96842"/>
    <w:rsid w:val="00D96A27"/>
    <w:rsid w:val="00D96A65"/>
    <w:rsid w:val="00D96B29"/>
    <w:rsid w:val="00D96C41"/>
    <w:rsid w:val="00D96C5B"/>
    <w:rsid w:val="00D96CA8"/>
    <w:rsid w:val="00D96D57"/>
    <w:rsid w:val="00D96D9F"/>
    <w:rsid w:val="00D96E36"/>
    <w:rsid w:val="00D96FAB"/>
    <w:rsid w:val="00D96FBA"/>
    <w:rsid w:val="00D9718D"/>
    <w:rsid w:val="00D97191"/>
    <w:rsid w:val="00D97242"/>
    <w:rsid w:val="00D9729B"/>
    <w:rsid w:val="00D97308"/>
    <w:rsid w:val="00D9733C"/>
    <w:rsid w:val="00D9747D"/>
    <w:rsid w:val="00D974CB"/>
    <w:rsid w:val="00D974D4"/>
    <w:rsid w:val="00D97539"/>
    <w:rsid w:val="00D9756D"/>
    <w:rsid w:val="00D97589"/>
    <w:rsid w:val="00D97662"/>
    <w:rsid w:val="00D978EB"/>
    <w:rsid w:val="00D97931"/>
    <w:rsid w:val="00D97AD8"/>
    <w:rsid w:val="00D97B95"/>
    <w:rsid w:val="00D97BD5"/>
    <w:rsid w:val="00D97D10"/>
    <w:rsid w:val="00D97D41"/>
    <w:rsid w:val="00D97D52"/>
    <w:rsid w:val="00D97E45"/>
    <w:rsid w:val="00D97EA3"/>
    <w:rsid w:val="00D97EAA"/>
    <w:rsid w:val="00D97EE7"/>
    <w:rsid w:val="00D97EF5"/>
    <w:rsid w:val="00D97F0F"/>
    <w:rsid w:val="00D97F30"/>
    <w:rsid w:val="00D97FCC"/>
    <w:rsid w:val="00DA0039"/>
    <w:rsid w:val="00DA00FC"/>
    <w:rsid w:val="00DA0156"/>
    <w:rsid w:val="00DA0160"/>
    <w:rsid w:val="00DA01E2"/>
    <w:rsid w:val="00DA0248"/>
    <w:rsid w:val="00DA0413"/>
    <w:rsid w:val="00DA0456"/>
    <w:rsid w:val="00DA0538"/>
    <w:rsid w:val="00DA05AD"/>
    <w:rsid w:val="00DA05F6"/>
    <w:rsid w:val="00DA076C"/>
    <w:rsid w:val="00DA07E0"/>
    <w:rsid w:val="00DA0832"/>
    <w:rsid w:val="00DA0875"/>
    <w:rsid w:val="00DA0925"/>
    <w:rsid w:val="00DA0978"/>
    <w:rsid w:val="00DA0CFC"/>
    <w:rsid w:val="00DA0D5B"/>
    <w:rsid w:val="00DA0DE9"/>
    <w:rsid w:val="00DA0E2A"/>
    <w:rsid w:val="00DA0F0F"/>
    <w:rsid w:val="00DA0F61"/>
    <w:rsid w:val="00DA106F"/>
    <w:rsid w:val="00DA1143"/>
    <w:rsid w:val="00DA126E"/>
    <w:rsid w:val="00DA128E"/>
    <w:rsid w:val="00DA12E6"/>
    <w:rsid w:val="00DA12F5"/>
    <w:rsid w:val="00DA1331"/>
    <w:rsid w:val="00DA163A"/>
    <w:rsid w:val="00DA167A"/>
    <w:rsid w:val="00DA178E"/>
    <w:rsid w:val="00DA1862"/>
    <w:rsid w:val="00DA18A4"/>
    <w:rsid w:val="00DA18D5"/>
    <w:rsid w:val="00DA19F2"/>
    <w:rsid w:val="00DA1A29"/>
    <w:rsid w:val="00DA1AE3"/>
    <w:rsid w:val="00DA1B9E"/>
    <w:rsid w:val="00DA1C47"/>
    <w:rsid w:val="00DA1C75"/>
    <w:rsid w:val="00DA1D03"/>
    <w:rsid w:val="00DA1D05"/>
    <w:rsid w:val="00DA1D17"/>
    <w:rsid w:val="00DA1E09"/>
    <w:rsid w:val="00DA1F9B"/>
    <w:rsid w:val="00DA2009"/>
    <w:rsid w:val="00DA2174"/>
    <w:rsid w:val="00DA2196"/>
    <w:rsid w:val="00DA21AF"/>
    <w:rsid w:val="00DA21C3"/>
    <w:rsid w:val="00DA21C5"/>
    <w:rsid w:val="00DA220B"/>
    <w:rsid w:val="00DA23D6"/>
    <w:rsid w:val="00DA2434"/>
    <w:rsid w:val="00DA249B"/>
    <w:rsid w:val="00DA24ED"/>
    <w:rsid w:val="00DA2627"/>
    <w:rsid w:val="00DA2727"/>
    <w:rsid w:val="00DA279D"/>
    <w:rsid w:val="00DA287A"/>
    <w:rsid w:val="00DA291C"/>
    <w:rsid w:val="00DA294A"/>
    <w:rsid w:val="00DA29A4"/>
    <w:rsid w:val="00DA29ED"/>
    <w:rsid w:val="00DA2B38"/>
    <w:rsid w:val="00DA2B39"/>
    <w:rsid w:val="00DA2BA9"/>
    <w:rsid w:val="00DA2BB0"/>
    <w:rsid w:val="00DA2BB9"/>
    <w:rsid w:val="00DA2CAA"/>
    <w:rsid w:val="00DA2D01"/>
    <w:rsid w:val="00DA2DA3"/>
    <w:rsid w:val="00DA2DC8"/>
    <w:rsid w:val="00DA2E21"/>
    <w:rsid w:val="00DA2EC3"/>
    <w:rsid w:val="00DA2F2F"/>
    <w:rsid w:val="00DA2FA2"/>
    <w:rsid w:val="00DA3159"/>
    <w:rsid w:val="00DA3210"/>
    <w:rsid w:val="00DA3249"/>
    <w:rsid w:val="00DA32CD"/>
    <w:rsid w:val="00DA32F0"/>
    <w:rsid w:val="00DA33D7"/>
    <w:rsid w:val="00DA3467"/>
    <w:rsid w:val="00DA34C3"/>
    <w:rsid w:val="00DA357A"/>
    <w:rsid w:val="00DA3663"/>
    <w:rsid w:val="00DA3732"/>
    <w:rsid w:val="00DA3744"/>
    <w:rsid w:val="00DA3905"/>
    <w:rsid w:val="00DA3A32"/>
    <w:rsid w:val="00DA3B9A"/>
    <w:rsid w:val="00DA3BD0"/>
    <w:rsid w:val="00DA3C72"/>
    <w:rsid w:val="00DA3D92"/>
    <w:rsid w:val="00DA3E70"/>
    <w:rsid w:val="00DA3F28"/>
    <w:rsid w:val="00DA404E"/>
    <w:rsid w:val="00DA4146"/>
    <w:rsid w:val="00DA4157"/>
    <w:rsid w:val="00DA4213"/>
    <w:rsid w:val="00DA442F"/>
    <w:rsid w:val="00DA47D2"/>
    <w:rsid w:val="00DA49BF"/>
    <w:rsid w:val="00DA4AF1"/>
    <w:rsid w:val="00DA4B34"/>
    <w:rsid w:val="00DA4B5A"/>
    <w:rsid w:val="00DA4CBD"/>
    <w:rsid w:val="00DA4D7A"/>
    <w:rsid w:val="00DA4D83"/>
    <w:rsid w:val="00DA4E3A"/>
    <w:rsid w:val="00DA4EC5"/>
    <w:rsid w:val="00DA4EDF"/>
    <w:rsid w:val="00DA4EE3"/>
    <w:rsid w:val="00DA4FC2"/>
    <w:rsid w:val="00DA537A"/>
    <w:rsid w:val="00DA5398"/>
    <w:rsid w:val="00DA544C"/>
    <w:rsid w:val="00DA547B"/>
    <w:rsid w:val="00DA5480"/>
    <w:rsid w:val="00DA5493"/>
    <w:rsid w:val="00DA54A3"/>
    <w:rsid w:val="00DA5593"/>
    <w:rsid w:val="00DA562E"/>
    <w:rsid w:val="00DA5688"/>
    <w:rsid w:val="00DA56C2"/>
    <w:rsid w:val="00DA571C"/>
    <w:rsid w:val="00DA5743"/>
    <w:rsid w:val="00DA5872"/>
    <w:rsid w:val="00DA58BC"/>
    <w:rsid w:val="00DA58C9"/>
    <w:rsid w:val="00DA5922"/>
    <w:rsid w:val="00DA597B"/>
    <w:rsid w:val="00DA598A"/>
    <w:rsid w:val="00DA59F9"/>
    <w:rsid w:val="00DA5AA9"/>
    <w:rsid w:val="00DA5B43"/>
    <w:rsid w:val="00DA5C77"/>
    <w:rsid w:val="00DA5C8D"/>
    <w:rsid w:val="00DA5CA2"/>
    <w:rsid w:val="00DA5CCA"/>
    <w:rsid w:val="00DA5F59"/>
    <w:rsid w:val="00DA6137"/>
    <w:rsid w:val="00DA6163"/>
    <w:rsid w:val="00DA6264"/>
    <w:rsid w:val="00DA62C3"/>
    <w:rsid w:val="00DA6316"/>
    <w:rsid w:val="00DA642D"/>
    <w:rsid w:val="00DA64E5"/>
    <w:rsid w:val="00DA651E"/>
    <w:rsid w:val="00DA6532"/>
    <w:rsid w:val="00DA65B4"/>
    <w:rsid w:val="00DA667A"/>
    <w:rsid w:val="00DA6770"/>
    <w:rsid w:val="00DA67C1"/>
    <w:rsid w:val="00DA6A07"/>
    <w:rsid w:val="00DA6A2C"/>
    <w:rsid w:val="00DA6A2E"/>
    <w:rsid w:val="00DA6A8D"/>
    <w:rsid w:val="00DA6ACE"/>
    <w:rsid w:val="00DA6C37"/>
    <w:rsid w:val="00DA6C96"/>
    <w:rsid w:val="00DA6CEF"/>
    <w:rsid w:val="00DA6F3F"/>
    <w:rsid w:val="00DA7016"/>
    <w:rsid w:val="00DA7073"/>
    <w:rsid w:val="00DA7084"/>
    <w:rsid w:val="00DA70FE"/>
    <w:rsid w:val="00DA716E"/>
    <w:rsid w:val="00DA718B"/>
    <w:rsid w:val="00DA721E"/>
    <w:rsid w:val="00DA72A8"/>
    <w:rsid w:val="00DA7380"/>
    <w:rsid w:val="00DA7393"/>
    <w:rsid w:val="00DA748B"/>
    <w:rsid w:val="00DA74D9"/>
    <w:rsid w:val="00DA75C8"/>
    <w:rsid w:val="00DA767F"/>
    <w:rsid w:val="00DA7729"/>
    <w:rsid w:val="00DA78C5"/>
    <w:rsid w:val="00DA79BC"/>
    <w:rsid w:val="00DA79DF"/>
    <w:rsid w:val="00DA7A54"/>
    <w:rsid w:val="00DA7A61"/>
    <w:rsid w:val="00DA7A6A"/>
    <w:rsid w:val="00DA7A9D"/>
    <w:rsid w:val="00DA7AE5"/>
    <w:rsid w:val="00DA7B7F"/>
    <w:rsid w:val="00DA7B91"/>
    <w:rsid w:val="00DA7C36"/>
    <w:rsid w:val="00DA7C4A"/>
    <w:rsid w:val="00DA7C90"/>
    <w:rsid w:val="00DA7CC7"/>
    <w:rsid w:val="00DA7CE1"/>
    <w:rsid w:val="00DA7D4B"/>
    <w:rsid w:val="00DA7D4D"/>
    <w:rsid w:val="00DA7D71"/>
    <w:rsid w:val="00DA7E53"/>
    <w:rsid w:val="00DA7F1B"/>
    <w:rsid w:val="00DB0057"/>
    <w:rsid w:val="00DB01AE"/>
    <w:rsid w:val="00DB01C4"/>
    <w:rsid w:val="00DB01F5"/>
    <w:rsid w:val="00DB0266"/>
    <w:rsid w:val="00DB02B2"/>
    <w:rsid w:val="00DB038C"/>
    <w:rsid w:val="00DB0433"/>
    <w:rsid w:val="00DB04A5"/>
    <w:rsid w:val="00DB05B0"/>
    <w:rsid w:val="00DB06BF"/>
    <w:rsid w:val="00DB082E"/>
    <w:rsid w:val="00DB0835"/>
    <w:rsid w:val="00DB0959"/>
    <w:rsid w:val="00DB095F"/>
    <w:rsid w:val="00DB0C61"/>
    <w:rsid w:val="00DB0D10"/>
    <w:rsid w:val="00DB0EA8"/>
    <w:rsid w:val="00DB0EE3"/>
    <w:rsid w:val="00DB0F86"/>
    <w:rsid w:val="00DB0FDC"/>
    <w:rsid w:val="00DB10E6"/>
    <w:rsid w:val="00DB1102"/>
    <w:rsid w:val="00DB110F"/>
    <w:rsid w:val="00DB111B"/>
    <w:rsid w:val="00DB114E"/>
    <w:rsid w:val="00DB11E6"/>
    <w:rsid w:val="00DB1241"/>
    <w:rsid w:val="00DB133C"/>
    <w:rsid w:val="00DB13A2"/>
    <w:rsid w:val="00DB13F4"/>
    <w:rsid w:val="00DB1411"/>
    <w:rsid w:val="00DB14A7"/>
    <w:rsid w:val="00DB14E3"/>
    <w:rsid w:val="00DB14F1"/>
    <w:rsid w:val="00DB1687"/>
    <w:rsid w:val="00DB17B0"/>
    <w:rsid w:val="00DB17D9"/>
    <w:rsid w:val="00DB185D"/>
    <w:rsid w:val="00DB18A5"/>
    <w:rsid w:val="00DB18F7"/>
    <w:rsid w:val="00DB1909"/>
    <w:rsid w:val="00DB1AC8"/>
    <w:rsid w:val="00DB1CD6"/>
    <w:rsid w:val="00DB1E35"/>
    <w:rsid w:val="00DB1E4D"/>
    <w:rsid w:val="00DB1F25"/>
    <w:rsid w:val="00DB1F31"/>
    <w:rsid w:val="00DB1F6F"/>
    <w:rsid w:val="00DB212E"/>
    <w:rsid w:val="00DB2248"/>
    <w:rsid w:val="00DB22AF"/>
    <w:rsid w:val="00DB23BC"/>
    <w:rsid w:val="00DB23F5"/>
    <w:rsid w:val="00DB26AA"/>
    <w:rsid w:val="00DB280F"/>
    <w:rsid w:val="00DB2823"/>
    <w:rsid w:val="00DB2906"/>
    <w:rsid w:val="00DB291F"/>
    <w:rsid w:val="00DB29EE"/>
    <w:rsid w:val="00DB2A4E"/>
    <w:rsid w:val="00DB2A7E"/>
    <w:rsid w:val="00DB2B36"/>
    <w:rsid w:val="00DB2B42"/>
    <w:rsid w:val="00DB2B7D"/>
    <w:rsid w:val="00DB2BCC"/>
    <w:rsid w:val="00DB2C09"/>
    <w:rsid w:val="00DB2C32"/>
    <w:rsid w:val="00DB2C67"/>
    <w:rsid w:val="00DB2CB4"/>
    <w:rsid w:val="00DB2D16"/>
    <w:rsid w:val="00DB2E93"/>
    <w:rsid w:val="00DB2EEA"/>
    <w:rsid w:val="00DB2FA3"/>
    <w:rsid w:val="00DB2FD3"/>
    <w:rsid w:val="00DB3362"/>
    <w:rsid w:val="00DB33F4"/>
    <w:rsid w:val="00DB3650"/>
    <w:rsid w:val="00DB36AB"/>
    <w:rsid w:val="00DB3822"/>
    <w:rsid w:val="00DB3929"/>
    <w:rsid w:val="00DB3993"/>
    <w:rsid w:val="00DB3999"/>
    <w:rsid w:val="00DB3A24"/>
    <w:rsid w:val="00DB3A8A"/>
    <w:rsid w:val="00DB3AF7"/>
    <w:rsid w:val="00DB3C66"/>
    <w:rsid w:val="00DB3D50"/>
    <w:rsid w:val="00DB3F77"/>
    <w:rsid w:val="00DB3F8B"/>
    <w:rsid w:val="00DB3F99"/>
    <w:rsid w:val="00DB3FFE"/>
    <w:rsid w:val="00DB41A3"/>
    <w:rsid w:val="00DB425B"/>
    <w:rsid w:val="00DB4392"/>
    <w:rsid w:val="00DB43A7"/>
    <w:rsid w:val="00DB43A8"/>
    <w:rsid w:val="00DB4521"/>
    <w:rsid w:val="00DB4529"/>
    <w:rsid w:val="00DB4602"/>
    <w:rsid w:val="00DB4697"/>
    <w:rsid w:val="00DB47E9"/>
    <w:rsid w:val="00DB4822"/>
    <w:rsid w:val="00DB485A"/>
    <w:rsid w:val="00DB4914"/>
    <w:rsid w:val="00DB4A77"/>
    <w:rsid w:val="00DB4BC2"/>
    <w:rsid w:val="00DB4C05"/>
    <w:rsid w:val="00DB4C10"/>
    <w:rsid w:val="00DB4C93"/>
    <w:rsid w:val="00DB4D14"/>
    <w:rsid w:val="00DB4F69"/>
    <w:rsid w:val="00DB4FF0"/>
    <w:rsid w:val="00DB5103"/>
    <w:rsid w:val="00DB5124"/>
    <w:rsid w:val="00DB515C"/>
    <w:rsid w:val="00DB51AF"/>
    <w:rsid w:val="00DB5392"/>
    <w:rsid w:val="00DB539B"/>
    <w:rsid w:val="00DB53E5"/>
    <w:rsid w:val="00DB54BC"/>
    <w:rsid w:val="00DB5564"/>
    <w:rsid w:val="00DB5591"/>
    <w:rsid w:val="00DB561B"/>
    <w:rsid w:val="00DB5627"/>
    <w:rsid w:val="00DB568D"/>
    <w:rsid w:val="00DB56CA"/>
    <w:rsid w:val="00DB5733"/>
    <w:rsid w:val="00DB5751"/>
    <w:rsid w:val="00DB583C"/>
    <w:rsid w:val="00DB587D"/>
    <w:rsid w:val="00DB5937"/>
    <w:rsid w:val="00DB5959"/>
    <w:rsid w:val="00DB599E"/>
    <w:rsid w:val="00DB5B12"/>
    <w:rsid w:val="00DB5B9A"/>
    <w:rsid w:val="00DB5C7E"/>
    <w:rsid w:val="00DB5C81"/>
    <w:rsid w:val="00DB5CAE"/>
    <w:rsid w:val="00DB5DA1"/>
    <w:rsid w:val="00DB5E30"/>
    <w:rsid w:val="00DB5E84"/>
    <w:rsid w:val="00DB5FDF"/>
    <w:rsid w:val="00DB6018"/>
    <w:rsid w:val="00DB611D"/>
    <w:rsid w:val="00DB6180"/>
    <w:rsid w:val="00DB6238"/>
    <w:rsid w:val="00DB626F"/>
    <w:rsid w:val="00DB6288"/>
    <w:rsid w:val="00DB6307"/>
    <w:rsid w:val="00DB63E7"/>
    <w:rsid w:val="00DB63EE"/>
    <w:rsid w:val="00DB6430"/>
    <w:rsid w:val="00DB661B"/>
    <w:rsid w:val="00DB6667"/>
    <w:rsid w:val="00DB674C"/>
    <w:rsid w:val="00DB6A06"/>
    <w:rsid w:val="00DB6A62"/>
    <w:rsid w:val="00DB6ACF"/>
    <w:rsid w:val="00DB6BEB"/>
    <w:rsid w:val="00DB6C34"/>
    <w:rsid w:val="00DB6CAB"/>
    <w:rsid w:val="00DB6E5F"/>
    <w:rsid w:val="00DB6E9E"/>
    <w:rsid w:val="00DB6EAF"/>
    <w:rsid w:val="00DB6F2E"/>
    <w:rsid w:val="00DB6F66"/>
    <w:rsid w:val="00DB709B"/>
    <w:rsid w:val="00DB7159"/>
    <w:rsid w:val="00DB71FB"/>
    <w:rsid w:val="00DB7279"/>
    <w:rsid w:val="00DB72C7"/>
    <w:rsid w:val="00DB75FE"/>
    <w:rsid w:val="00DB76E4"/>
    <w:rsid w:val="00DB78B6"/>
    <w:rsid w:val="00DB7902"/>
    <w:rsid w:val="00DB7929"/>
    <w:rsid w:val="00DB7B34"/>
    <w:rsid w:val="00DB7C26"/>
    <w:rsid w:val="00DB7C9F"/>
    <w:rsid w:val="00DB7CF1"/>
    <w:rsid w:val="00DB7D08"/>
    <w:rsid w:val="00DB7D74"/>
    <w:rsid w:val="00DB7D88"/>
    <w:rsid w:val="00DB7D9A"/>
    <w:rsid w:val="00DB7DF6"/>
    <w:rsid w:val="00DB7E25"/>
    <w:rsid w:val="00DB7E59"/>
    <w:rsid w:val="00DB7F2E"/>
    <w:rsid w:val="00DB7F66"/>
    <w:rsid w:val="00DC0062"/>
    <w:rsid w:val="00DC0196"/>
    <w:rsid w:val="00DC0278"/>
    <w:rsid w:val="00DC02FE"/>
    <w:rsid w:val="00DC0376"/>
    <w:rsid w:val="00DC03D0"/>
    <w:rsid w:val="00DC03F9"/>
    <w:rsid w:val="00DC042B"/>
    <w:rsid w:val="00DC04CE"/>
    <w:rsid w:val="00DC04FB"/>
    <w:rsid w:val="00DC05AE"/>
    <w:rsid w:val="00DC05EC"/>
    <w:rsid w:val="00DC0657"/>
    <w:rsid w:val="00DC0669"/>
    <w:rsid w:val="00DC076A"/>
    <w:rsid w:val="00DC0891"/>
    <w:rsid w:val="00DC08FF"/>
    <w:rsid w:val="00DC0A3C"/>
    <w:rsid w:val="00DC0A4B"/>
    <w:rsid w:val="00DC0A74"/>
    <w:rsid w:val="00DC0BB2"/>
    <w:rsid w:val="00DC0BFC"/>
    <w:rsid w:val="00DC0C63"/>
    <w:rsid w:val="00DC0C6C"/>
    <w:rsid w:val="00DC0CBE"/>
    <w:rsid w:val="00DC0D91"/>
    <w:rsid w:val="00DC0D9E"/>
    <w:rsid w:val="00DC0DAA"/>
    <w:rsid w:val="00DC0DAC"/>
    <w:rsid w:val="00DC0DB0"/>
    <w:rsid w:val="00DC0E5A"/>
    <w:rsid w:val="00DC0F24"/>
    <w:rsid w:val="00DC0F95"/>
    <w:rsid w:val="00DC0FB9"/>
    <w:rsid w:val="00DC0FCB"/>
    <w:rsid w:val="00DC1175"/>
    <w:rsid w:val="00DC13C3"/>
    <w:rsid w:val="00DC1428"/>
    <w:rsid w:val="00DC145B"/>
    <w:rsid w:val="00DC17B2"/>
    <w:rsid w:val="00DC17E7"/>
    <w:rsid w:val="00DC1840"/>
    <w:rsid w:val="00DC18B2"/>
    <w:rsid w:val="00DC18BB"/>
    <w:rsid w:val="00DC1996"/>
    <w:rsid w:val="00DC19F7"/>
    <w:rsid w:val="00DC19F8"/>
    <w:rsid w:val="00DC1B89"/>
    <w:rsid w:val="00DC1BB2"/>
    <w:rsid w:val="00DC1C0A"/>
    <w:rsid w:val="00DC1E08"/>
    <w:rsid w:val="00DC1ED9"/>
    <w:rsid w:val="00DC203D"/>
    <w:rsid w:val="00DC2084"/>
    <w:rsid w:val="00DC20BC"/>
    <w:rsid w:val="00DC21D8"/>
    <w:rsid w:val="00DC21EE"/>
    <w:rsid w:val="00DC22A2"/>
    <w:rsid w:val="00DC23BA"/>
    <w:rsid w:val="00DC24AA"/>
    <w:rsid w:val="00DC24CF"/>
    <w:rsid w:val="00DC253D"/>
    <w:rsid w:val="00DC2575"/>
    <w:rsid w:val="00DC25C4"/>
    <w:rsid w:val="00DC2611"/>
    <w:rsid w:val="00DC2635"/>
    <w:rsid w:val="00DC2703"/>
    <w:rsid w:val="00DC270C"/>
    <w:rsid w:val="00DC2848"/>
    <w:rsid w:val="00DC2956"/>
    <w:rsid w:val="00DC298D"/>
    <w:rsid w:val="00DC2990"/>
    <w:rsid w:val="00DC2A94"/>
    <w:rsid w:val="00DC2B77"/>
    <w:rsid w:val="00DC2B90"/>
    <w:rsid w:val="00DC2BF4"/>
    <w:rsid w:val="00DC2C2C"/>
    <w:rsid w:val="00DC2CCC"/>
    <w:rsid w:val="00DC2D14"/>
    <w:rsid w:val="00DC2D39"/>
    <w:rsid w:val="00DC2D3B"/>
    <w:rsid w:val="00DC2D95"/>
    <w:rsid w:val="00DC2E47"/>
    <w:rsid w:val="00DC2E64"/>
    <w:rsid w:val="00DC2EAB"/>
    <w:rsid w:val="00DC2EE8"/>
    <w:rsid w:val="00DC2FAC"/>
    <w:rsid w:val="00DC2FAD"/>
    <w:rsid w:val="00DC305B"/>
    <w:rsid w:val="00DC3090"/>
    <w:rsid w:val="00DC3353"/>
    <w:rsid w:val="00DC3478"/>
    <w:rsid w:val="00DC351B"/>
    <w:rsid w:val="00DC359E"/>
    <w:rsid w:val="00DC364C"/>
    <w:rsid w:val="00DC37CA"/>
    <w:rsid w:val="00DC37E3"/>
    <w:rsid w:val="00DC38F9"/>
    <w:rsid w:val="00DC3921"/>
    <w:rsid w:val="00DC3973"/>
    <w:rsid w:val="00DC3AEF"/>
    <w:rsid w:val="00DC3B79"/>
    <w:rsid w:val="00DC3C55"/>
    <w:rsid w:val="00DC3E75"/>
    <w:rsid w:val="00DC3EA7"/>
    <w:rsid w:val="00DC3F6E"/>
    <w:rsid w:val="00DC4045"/>
    <w:rsid w:val="00DC4223"/>
    <w:rsid w:val="00DC42C1"/>
    <w:rsid w:val="00DC4422"/>
    <w:rsid w:val="00DC4451"/>
    <w:rsid w:val="00DC44BE"/>
    <w:rsid w:val="00DC4600"/>
    <w:rsid w:val="00DC4893"/>
    <w:rsid w:val="00DC4901"/>
    <w:rsid w:val="00DC4941"/>
    <w:rsid w:val="00DC4A7F"/>
    <w:rsid w:val="00DC4AE7"/>
    <w:rsid w:val="00DC4B72"/>
    <w:rsid w:val="00DC4B7C"/>
    <w:rsid w:val="00DC4BAB"/>
    <w:rsid w:val="00DC4BDA"/>
    <w:rsid w:val="00DC4C21"/>
    <w:rsid w:val="00DC4C6C"/>
    <w:rsid w:val="00DC4C96"/>
    <w:rsid w:val="00DC4CC6"/>
    <w:rsid w:val="00DC4E45"/>
    <w:rsid w:val="00DC5029"/>
    <w:rsid w:val="00DC5097"/>
    <w:rsid w:val="00DC50BF"/>
    <w:rsid w:val="00DC5102"/>
    <w:rsid w:val="00DC5124"/>
    <w:rsid w:val="00DC5174"/>
    <w:rsid w:val="00DC5190"/>
    <w:rsid w:val="00DC5201"/>
    <w:rsid w:val="00DC523F"/>
    <w:rsid w:val="00DC52A4"/>
    <w:rsid w:val="00DC52F3"/>
    <w:rsid w:val="00DC5462"/>
    <w:rsid w:val="00DC56A8"/>
    <w:rsid w:val="00DC56E7"/>
    <w:rsid w:val="00DC5879"/>
    <w:rsid w:val="00DC58D0"/>
    <w:rsid w:val="00DC5995"/>
    <w:rsid w:val="00DC5A04"/>
    <w:rsid w:val="00DC5A0F"/>
    <w:rsid w:val="00DC5AD5"/>
    <w:rsid w:val="00DC5BD8"/>
    <w:rsid w:val="00DC5C64"/>
    <w:rsid w:val="00DC5D52"/>
    <w:rsid w:val="00DC5E00"/>
    <w:rsid w:val="00DC5E42"/>
    <w:rsid w:val="00DC5F1E"/>
    <w:rsid w:val="00DC5F3E"/>
    <w:rsid w:val="00DC6087"/>
    <w:rsid w:val="00DC6137"/>
    <w:rsid w:val="00DC6254"/>
    <w:rsid w:val="00DC639C"/>
    <w:rsid w:val="00DC64E3"/>
    <w:rsid w:val="00DC6512"/>
    <w:rsid w:val="00DC654A"/>
    <w:rsid w:val="00DC6698"/>
    <w:rsid w:val="00DC6720"/>
    <w:rsid w:val="00DC6728"/>
    <w:rsid w:val="00DC685C"/>
    <w:rsid w:val="00DC69D7"/>
    <w:rsid w:val="00DC6B30"/>
    <w:rsid w:val="00DC6CA9"/>
    <w:rsid w:val="00DC6D58"/>
    <w:rsid w:val="00DC6E78"/>
    <w:rsid w:val="00DC6EA1"/>
    <w:rsid w:val="00DC6F8C"/>
    <w:rsid w:val="00DC7042"/>
    <w:rsid w:val="00DC70D9"/>
    <w:rsid w:val="00DC728C"/>
    <w:rsid w:val="00DC73FE"/>
    <w:rsid w:val="00DC7469"/>
    <w:rsid w:val="00DC7476"/>
    <w:rsid w:val="00DC74D6"/>
    <w:rsid w:val="00DC74D7"/>
    <w:rsid w:val="00DC77B5"/>
    <w:rsid w:val="00DC77F3"/>
    <w:rsid w:val="00DC7827"/>
    <w:rsid w:val="00DC7829"/>
    <w:rsid w:val="00DC7A06"/>
    <w:rsid w:val="00DC7A12"/>
    <w:rsid w:val="00DC7BA5"/>
    <w:rsid w:val="00DC7BA9"/>
    <w:rsid w:val="00DC7C7F"/>
    <w:rsid w:val="00DC7CD4"/>
    <w:rsid w:val="00DC7DAF"/>
    <w:rsid w:val="00DC7E81"/>
    <w:rsid w:val="00DC7F9C"/>
    <w:rsid w:val="00DC7FB1"/>
    <w:rsid w:val="00DD0046"/>
    <w:rsid w:val="00DD00BD"/>
    <w:rsid w:val="00DD0103"/>
    <w:rsid w:val="00DD017A"/>
    <w:rsid w:val="00DD0259"/>
    <w:rsid w:val="00DD0270"/>
    <w:rsid w:val="00DD036A"/>
    <w:rsid w:val="00DD03F3"/>
    <w:rsid w:val="00DD04B3"/>
    <w:rsid w:val="00DD04D7"/>
    <w:rsid w:val="00DD0569"/>
    <w:rsid w:val="00DD056D"/>
    <w:rsid w:val="00DD05DC"/>
    <w:rsid w:val="00DD06BF"/>
    <w:rsid w:val="00DD0708"/>
    <w:rsid w:val="00DD0713"/>
    <w:rsid w:val="00DD0773"/>
    <w:rsid w:val="00DD090C"/>
    <w:rsid w:val="00DD0936"/>
    <w:rsid w:val="00DD0953"/>
    <w:rsid w:val="00DD09A3"/>
    <w:rsid w:val="00DD0A4A"/>
    <w:rsid w:val="00DD0A58"/>
    <w:rsid w:val="00DD0A69"/>
    <w:rsid w:val="00DD0D02"/>
    <w:rsid w:val="00DD0D09"/>
    <w:rsid w:val="00DD0D6F"/>
    <w:rsid w:val="00DD0D74"/>
    <w:rsid w:val="00DD0D7B"/>
    <w:rsid w:val="00DD0DD4"/>
    <w:rsid w:val="00DD0EA1"/>
    <w:rsid w:val="00DD0FD0"/>
    <w:rsid w:val="00DD0FD6"/>
    <w:rsid w:val="00DD1071"/>
    <w:rsid w:val="00DD1181"/>
    <w:rsid w:val="00DD11B3"/>
    <w:rsid w:val="00DD1225"/>
    <w:rsid w:val="00DD1369"/>
    <w:rsid w:val="00DD14C2"/>
    <w:rsid w:val="00DD1573"/>
    <w:rsid w:val="00DD15C1"/>
    <w:rsid w:val="00DD1671"/>
    <w:rsid w:val="00DD168F"/>
    <w:rsid w:val="00DD169A"/>
    <w:rsid w:val="00DD16AA"/>
    <w:rsid w:val="00DD1752"/>
    <w:rsid w:val="00DD1772"/>
    <w:rsid w:val="00DD17E6"/>
    <w:rsid w:val="00DD1881"/>
    <w:rsid w:val="00DD19D6"/>
    <w:rsid w:val="00DD1C13"/>
    <w:rsid w:val="00DD1CD2"/>
    <w:rsid w:val="00DD1D79"/>
    <w:rsid w:val="00DD1DA6"/>
    <w:rsid w:val="00DD1DBC"/>
    <w:rsid w:val="00DD1E39"/>
    <w:rsid w:val="00DD1E64"/>
    <w:rsid w:val="00DD1EBF"/>
    <w:rsid w:val="00DD1ECF"/>
    <w:rsid w:val="00DD1FEF"/>
    <w:rsid w:val="00DD20AC"/>
    <w:rsid w:val="00DD21EB"/>
    <w:rsid w:val="00DD2352"/>
    <w:rsid w:val="00DD24EE"/>
    <w:rsid w:val="00DD2532"/>
    <w:rsid w:val="00DD2545"/>
    <w:rsid w:val="00DD2550"/>
    <w:rsid w:val="00DD2669"/>
    <w:rsid w:val="00DD283A"/>
    <w:rsid w:val="00DD2853"/>
    <w:rsid w:val="00DD28F6"/>
    <w:rsid w:val="00DD2926"/>
    <w:rsid w:val="00DD29E7"/>
    <w:rsid w:val="00DD2A44"/>
    <w:rsid w:val="00DD2BB4"/>
    <w:rsid w:val="00DD2E59"/>
    <w:rsid w:val="00DD2ECD"/>
    <w:rsid w:val="00DD2F80"/>
    <w:rsid w:val="00DD2FC4"/>
    <w:rsid w:val="00DD310A"/>
    <w:rsid w:val="00DD3157"/>
    <w:rsid w:val="00DD31DF"/>
    <w:rsid w:val="00DD3213"/>
    <w:rsid w:val="00DD323A"/>
    <w:rsid w:val="00DD3466"/>
    <w:rsid w:val="00DD34A2"/>
    <w:rsid w:val="00DD34E1"/>
    <w:rsid w:val="00DD3535"/>
    <w:rsid w:val="00DD357A"/>
    <w:rsid w:val="00DD3593"/>
    <w:rsid w:val="00DD35DD"/>
    <w:rsid w:val="00DD3634"/>
    <w:rsid w:val="00DD379C"/>
    <w:rsid w:val="00DD3867"/>
    <w:rsid w:val="00DD3881"/>
    <w:rsid w:val="00DD38FF"/>
    <w:rsid w:val="00DD39E9"/>
    <w:rsid w:val="00DD3B3F"/>
    <w:rsid w:val="00DD3D5B"/>
    <w:rsid w:val="00DD40B7"/>
    <w:rsid w:val="00DD4113"/>
    <w:rsid w:val="00DD411A"/>
    <w:rsid w:val="00DD416B"/>
    <w:rsid w:val="00DD4170"/>
    <w:rsid w:val="00DD417C"/>
    <w:rsid w:val="00DD418C"/>
    <w:rsid w:val="00DD41B2"/>
    <w:rsid w:val="00DD41BB"/>
    <w:rsid w:val="00DD4379"/>
    <w:rsid w:val="00DD44AC"/>
    <w:rsid w:val="00DD44DC"/>
    <w:rsid w:val="00DD4596"/>
    <w:rsid w:val="00DD4691"/>
    <w:rsid w:val="00DD46BA"/>
    <w:rsid w:val="00DD480C"/>
    <w:rsid w:val="00DD48D0"/>
    <w:rsid w:val="00DD48F1"/>
    <w:rsid w:val="00DD4A8E"/>
    <w:rsid w:val="00DD4AD9"/>
    <w:rsid w:val="00DD4B3C"/>
    <w:rsid w:val="00DD4C2C"/>
    <w:rsid w:val="00DD4D3C"/>
    <w:rsid w:val="00DD4F06"/>
    <w:rsid w:val="00DD4F55"/>
    <w:rsid w:val="00DD4F90"/>
    <w:rsid w:val="00DD4FF6"/>
    <w:rsid w:val="00DD4FF7"/>
    <w:rsid w:val="00DD5094"/>
    <w:rsid w:val="00DD50F2"/>
    <w:rsid w:val="00DD522B"/>
    <w:rsid w:val="00DD5230"/>
    <w:rsid w:val="00DD53B4"/>
    <w:rsid w:val="00DD547C"/>
    <w:rsid w:val="00DD551A"/>
    <w:rsid w:val="00DD5598"/>
    <w:rsid w:val="00DD5604"/>
    <w:rsid w:val="00DD5636"/>
    <w:rsid w:val="00DD567C"/>
    <w:rsid w:val="00DD571F"/>
    <w:rsid w:val="00DD5908"/>
    <w:rsid w:val="00DD595C"/>
    <w:rsid w:val="00DD5A8C"/>
    <w:rsid w:val="00DD5BF4"/>
    <w:rsid w:val="00DD5D48"/>
    <w:rsid w:val="00DD5D9F"/>
    <w:rsid w:val="00DD5EFC"/>
    <w:rsid w:val="00DD60E2"/>
    <w:rsid w:val="00DD6198"/>
    <w:rsid w:val="00DD6228"/>
    <w:rsid w:val="00DD63BA"/>
    <w:rsid w:val="00DD6583"/>
    <w:rsid w:val="00DD65F1"/>
    <w:rsid w:val="00DD666E"/>
    <w:rsid w:val="00DD6759"/>
    <w:rsid w:val="00DD67A0"/>
    <w:rsid w:val="00DD67A4"/>
    <w:rsid w:val="00DD6819"/>
    <w:rsid w:val="00DD6964"/>
    <w:rsid w:val="00DD69A4"/>
    <w:rsid w:val="00DD6A34"/>
    <w:rsid w:val="00DD6AEB"/>
    <w:rsid w:val="00DD6AFE"/>
    <w:rsid w:val="00DD6B33"/>
    <w:rsid w:val="00DD6BBC"/>
    <w:rsid w:val="00DD6F70"/>
    <w:rsid w:val="00DD6F79"/>
    <w:rsid w:val="00DD6FAC"/>
    <w:rsid w:val="00DD7003"/>
    <w:rsid w:val="00DD709D"/>
    <w:rsid w:val="00DD7129"/>
    <w:rsid w:val="00DD719F"/>
    <w:rsid w:val="00DD71D3"/>
    <w:rsid w:val="00DD7269"/>
    <w:rsid w:val="00DD7294"/>
    <w:rsid w:val="00DD731E"/>
    <w:rsid w:val="00DD7440"/>
    <w:rsid w:val="00DD7468"/>
    <w:rsid w:val="00DD74C6"/>
    <w:rsid w:val="00DD75FD"/>
    <w:rsid w:val="00DD768C"/>
    <w:rsid w:val="00DD76D8"/>
    <w:rsid w:val="00DD76EC"/>
    <w:rsid w:val="00DD77B8"/>
    <w:rsid w:val="00DD7913"/>
    <w:rsid w:val="00DD7943"/>
    <w:rsid w:val="00DD79F2"/>
    <w:rsid w:val="00DD7BD9"/>
    <w:rsid w:val="00DD7CD1"/>
    <w:rsid w:val="00DD7CEC"/>
    <w:rsid w:val="00DD7D08"/>
    <w:rsid w:val="00DD7D34"/>
    <w:rsid w:val="00DD7F8E"/>
    <w:rsid w:val="00DE0030"/>
    <w:rsid w:val="00DE00A0"/>
    <w:rsid w:val="00DE0199"/>
    <w:rsid w:val="00DE0266"/>
    <w:rsid w:val="00DE035D"/>
    <w:rsid w:val="00DE0412"/>
    <w:rsid w:val="00DE046B"/>
    <w:rsid w:val="00DE0498"/>
    <w:rsid w:val="00DE0503"/>
    <w:rsid w:val="00DE050F"/>
    <w:rsid w:val="00DE0575"/>
    <w:rsid w:val="00DE069F"/>
    <w:rsid w:val="00DE06A8"/>
    <w:rsid w:val="00DE0714"/>
    <w:rsid w:val="00DE07AC"/>
    <w:rsid w:val="00DE07C6"/>
    <w:rsid w:val="00DE08EB"/>
    <w:rsid w:val="00DE08EC"/>
    <w:rsid w:val="00DE0996"/>
    <w:rsid w:val="00DE09E7"/>
    <w:rsid w:val="00DE0A0D"/>
    <w:rsid w:val="00DE0A98"/>
    <w:rsid w:val="00DE0B3C"/>
    <w:rsid w:val="00DE0D70"/>
    <w:rsid w:val="00DE0EAD"/>
    <w:rsid w:val="00DE0F18"/>
    <w:rsid w:val="00DE1011"/>
    <w:rsid w:val="00DE1178"/>
    <w:rsid w:val="00DE1200"/>
    <w:rsid w:val="00DE13E4"/>
    <w:rsid w:val="00DE14D4"/>
    <w:rsid w:val="00DE16A6"/>
    <w:rsid w:val="00DE17B3"/>
    <w:rsid w:val="00DE17D9"/>
    <w:rsid w:val="00DE1816"/>
    <w:rsid w:val="00DE189D"/>
    <w:rsid w:val="00DE18A1"/>
    <w:rsid w:val="00DE1936"/>
    <w:rsid w:val="00DE19FA"/>
    <w:rsid w:val="00DE1BE2"/>
    <w:rsid w:val="00DE1C56"/>
    <w:rsid w:val="00DE1C8F"/>
    <w:rsid w:val="00DE1D28"/>
    <w:rsid w:val="00DE1FA2"/>
    <w:rsid w:val="00DE1FCE"/>
    <w:rsid w:val="00DE200D"/>
    <w:rsid w:val="00DE207D"/>
    <w:rsid w:val="00DE2227"/>
    <w:rsid w:val="00DE2240"/>
    <w:rsid w:val="00DE2257"/>
    <w:rsid w:val="00DE229F"/>
    <w:rsid w:val="00DE22AF"/>
    <w:rsid w:val="00DE2475"/>
    <w:rsid w:val="00DE25F8"/>
    <w:rsid w:val="00DE2642"/>
    <w:rsid w:val="00DE26DD"/>
    <w:rsid w:val="00DE2864"/>
    <w:rsid w:val="00DE2885"/>
    <w:rsid w:val="00DE28BF"/>
    <w:rsid w:val="00DE2AD0"/>
    <w:rsid w:val="00DE2B05"/>
    <w:rsid w:val="00DE2B6A"/>
    <w:rsid w:val="00DE2E91"/>
    <w:rsid w:val="00DE2EA4"/>
    <w:rsid w:val="00DE2F1E"/>
    <w:rsid w:val="00DE300E"/>
    <w:rsid w:val="00DE3013"/>
    <w:rsid w:val="00DE305A"/>
    <w:rsid w:val="00DE32C0"/>
    <w:rsid w:val="00DE32DB"/>
    <w:rsid w:val="00DE33E9"/>
    <w:rsid w:val="00DE344C"/>
    <w:rsid w:val="00DE3563"/>
    <w:rsid w:val="00DE35EF"/>
    <w:rsid w:val="00DE367F"/>
    <w:rsid w:val="00DE37F9"/>
    <w:rsid w:val="00DE3850"/>
    <w:rsid w:val="00DE38A5"/>
    <w:rsid w:val="00DE3A75"/>
    <w:rsid w:val="00DE3E57"/>
    <w:rsid w:val="00DE3F3F"/>
    <w:rsid w:val="00DE3F69"/>
    <w:rsid w:val="00DE4032"/>
    <w:rsid w:val="00DE411F"/>
    <w:rsid w:val="00DE4196"/>
    <w:rsid w:val="00DE41C1"/>
    <w:rsid w:val="00DE42C6"/>
    <w:rsid w:val="00DE438D"/>
    <w:rsid w:val="00DE4457"/>
    <w:rsid w:val="00DE44B4"/>
    <w:rsid w:val="00DE454D"/>
    <w:rsid w:val="00DE4591"/>
    <w:rsid w:val="00DE460A"/>
    <w:rsid w:val="00DE48A7"/>
    <w:rsid w:val="00DE4987"/>
    <w:rsid w:val="00DE4A4A"/>
    <w:rsid w:val="00DE4ABC"/>
    <w:rsid w:val="00DE4C25"/>
    <w:rsid w:val="00DE4C97"/>
    <w:rsid w:val="00DE4F0D"/>
    <w:rsid w:val="00DE4F3B"/>
    <w:rsid w:val="00DE4FE8"/>
    <w:rsid w:val="00DE5086"/>
    <w:rsid w:val="00DE515D"/>
    <w:rsid w:val="00DE5349"/>
    <w:rsid w:val="00DE5378"/>
    <w:rsid w:val="00DE541B"/>
    <w:rsid w:val="00DE562E"/>
    <w:rsid w:val="00DE5641"/>
    <w:rsid w:val="00DE5716"/>
    <w:rsid w:val="00DE5833"/>
    <w:rsid w:val="00DE5876"/>
    <w:rsid w:val="00DE5A3F"/>
    <w:rsid w:val="00DE5D37"/>
    <w:rsid w:val="00DE5E9F"/>
    <w:rsid w:val="00DE5ECA"/>
    <w:rsid w:val="00DE5F21"/>
    <w:rsid w:val="00DE60D9"/>
    <w:rsid w:val="00DE6118"/>
    <w:rsid w:val="00DE61B0"/>
    <w:rsid w:val="00DE61B8"/>
    <w:rsid w:val="00DE63C6"/>
    <w:rsid w:val="00DE6486"/>
    <w:rsid w:val="00DE6516"/>
    <w:rsid w:val="00DE657D"/>
    <w:rsid w:val="00DE65BA"/>
    <w:rsid w:val="00DE6751"/>
    <w:rsid w:val="00DE67BC"/>
    <w:rsid w:val="00DE6868"/>
    <w:rsid w:val="00DE6874"/>
    <w:rsid w:val="00DE6945"/>
    <w:rsid w:val="00DE6AD3"/>
    <w:rsid w:val="00DE6BFF"/>
    <w:rsid w:val="00DE6D4D"/>
    <w:rsid w:val="00DE6D7E"/>
    <w:rsid w:val="00DE7049"/>
    <w:rsid w:val="00DE7110"/>
    <w:rsid w:val="00DE7127"/>
    <w:rsid w:val="00DE716B"/>
    <w:rsid w:val="00DE71FF"/>
    <w:rsid w:val="00DE720E"/>
    <w:rsid w:val="00DE7272"/>
    <w:rsid w:val="00DE72C9"/>
    <w:rsid w:val="00DE730B"/>
    <w:rsid w:val="00DE740D"/>
    <w:rsid w:val="00DE7538"/>
    <w:rsid w:val="00DE764F"/>
    <w:rsid w:val="00DE76A5"/>
    <w:rsid w:val="00DE78A3"/>
    <w:rsid w:val="00DE78E9"/>
    <w:rsid w:val="00DE78EB"/>
    <w:rsid w:val="00DE794E"/>
    <w:rsid w:val="00DE7992"/>
    <w:rsid w:val="00DE79DB"/>
    <w:rsid w:val="00DE7A36"/>
    <w:rsid w:val="00DE7A76"/>
    <w:rsid w:val="00DE7B8B"/>
    <w:rsid w:val="00DE7C06"/>
    <w:rsid w:val="00DE7F25"/>
    <w:rsid w:val="00DE7F7E"/>
    <w:rsid w:val="00DE7FCE"/>
    <w:rsid w:val="00DF0116"/>
    <w:rsid w:val="00DF0137"/>
    <w:rsid w:val="00DF015E"/>
    <w:rsid w:val="00DF0167"/>
    <w:rsid w:val="00DF0213"/>
    <w:rsid w:val="00DF0362"/>
    <w:rsid w:val="00DF0435"/>
    <w:rsid w:val="00DF04BB"/>
    <w:rsid w:val="00DF04C3"/>
    <w:rsid w:val="00DF04E4"/>
    <w:rsid w:val="00DF0524"/>
    <w:rsid w:val="00DF0555"/>
    <w:rsid w:val="00DF0572"/>
    <w:rsid w:val="00DF0589"/>
    <w:rsid w:val="00DF05BB"/>
    <w:rsid w:val="00DF05C4"/>
    <w:rsid w:val="00DF0692"/>
    <w:rsid w:val="00DF06C2"/>
    <w:rsid w:val="00DF06E3"/>
    <w:rsid w:val="00DF0758"/>
    <w:rsid w:val="00DF0806"/>
    <w:rsid w:val="00DF089B"/>
    <w:rsid w:val="00DF0A4D"/>
    <w:rsid w:val="00DF0C60"/>
    <w:rsid w:val="00DF0E61"/>
    <w:rsid w:val="00DF0F4B"/>
    <w:rsid w:val="00DF0F57"/>
    <w:rsid w:val="00DF102B"/>
    <w:rsid w:val="00DF11AE"/>
    <w:rsid w:val="00DF125D"/>
    <w:rsid w:val="00DF13F2"/>
    <w:rsid w:val="00DF1407"/>
    <w:rsid w:val="00DF1411"/>
    <w:rsid w:val="00DF1567"/>
    <w:rsid w:val="00DF15ED"/>
    <w:rsid w:val="00DF184C"/>
    <w:rsid w:val="00DF1862"/>
    <w:rsid w:val="00DF1882"/>
    <w:rsid w:val="00DF1967"/>
    <w:rsid w:val="00DF1A5B"/>
    <w:rsid w:val="00DF1A80"/>
    <w:rsid w:val="00DF1AEE"/>
    <w:rsid w:val="00DF1B10"/>
    <w:rsid w:val="00DF1D27"/>
    <w:rsid w:val="00DF1D68"/>
    <w:rsid w:val="00DF1D9E"/>
    <w:rsid w:val="00DF1E1F"/>
    <w:rsid w:val="00DF1E72"/>
    <w:rsid w:val="00DF1E8F"/>
    <w:rsid w:val="00DF1F48"/>
    <w:rsid w:val="00DF1FC7"/>
    <w:rsid w:val="00DF203C"/>
    <w:rsid w:val="00DF21AC"/>
    <w:rsid w:val="00DF22BC"/>
    <w:rsid w:val="00DF22CD"/>
    <w:rsid w:val="00DF2326"/>
    <w:rsid w:val="00DF2424"/>
    <w:rsid w:val="00DF2461"/>
    <w:rsid w:val="00DF2469"/>
    <w:rsid w:val="00DF2497"/>
    <w:rsid w:val="00DF2553"/>
    <w:rsid w:val="00DF2606"/>
    <w:rsid w:val="00DF262B"/>
    <w:rsid w:val="00DF2653"/>
    <w:rsid w:val="00DF26FD"/>
    <w:rsid w:val="00DF2878"/>
    <w:rsid w:val="00DF28DE"/>
    <w:rsid w:val="00DF2A05"/>
    <w:rsid w:val="00DF2A97"/>
    <w:rsid w:val="00DF2B0E"/>
    <w:rsid w:val="00DF2E53"/>
    <w:rsid w:val="00DF2F10"/>
    <w:rsid w:val="00DF2F34"/>
    <w:rsid w:val="00DF305A"/>
    <w:rsid w:val="00DF324D"/>
    <w:rsid w:val="00DF32FA"/>
    <w:rsid w:val="00DF348F"/>
    <w:rsid w:val="00DF3607"/>
    <w:rsid w:val="00DF3747"/>
    <w:rsid w:val="00DF3781"/>
    <w:rsid w:val="00DF37BF"/>
    <w:rsid w:val="00DF37D1"/>
    <w:rsid w:val="00DF386B"/>
    <w:rsid w:val="00DF3885"/>
    <w:rsid w:val="00DF3887"/>
    <w:rsid w:val="00DF3B32"/>
    <w:rsid w:val="00DF3C77"/>
    <w:rsid w:val="00DF3D14"/>
    <w:rsid w:val="00DF3E06"/>
    <w:rsid w:val="00DF3F73"/>
    <w:rsid w:val="00DF4045"/>
    <w:rsid w:val="00DF4101"/>
    <w:rsid w:val="00DF432F"/>
    <w:rsid w:val="00DF43AC"/>
    <w:rsid w:val="00DF44C1"/>
    <w:rsid w:val="00DF4517"/>
    <w:rsid w:val="00DF45CD"/>
    <w:rsid w:val="00DF461A"/>
    <w:rsid w:val="00DF46D9"/>
    <w:rsid w:val="00DF487F"/>
    <w:rsid w:val="00DF491F"/>
    <w:rsid w:val="00DF4937"/>
    <w:rsid w:val="00DF495A"/>
    <w:rsid w:val="00DF4BA2"/>
    <w:rsid w:val="00DF4BC5"/>
    <w:rsid w:val="00DF4CC4"/>
    <w:rsid w:val="00DF4CC8"/>
    <w:rsid w:val="00DF4DEF"/>
    <w:rsid w:val="00DF4F7E"/>
    <w:rsid w:val="00DF5042"/>
    <w:rsid w:val="00DF5047"/>
    <w:rsid w:val="00DF51FE"/>
    <w:rsid w:val="00DF52A4"/>
    <w:rsid w:val="00DF531E"/>
    <w:rsid w:val="00DF5507"/>
    <w:rsid w:val="00DF561F"/>
    <w:rsid w:val="00DF5649"/>
    <w:rsid w:val="00DF57B7"/>
    <w:rsid w:val="00DF5834"/>
    <w:rsid w:val="00DF58F3"/>
    <w:rsid w:val="00DF5A4E"/>
    <w:rsid w:val="00DF5A8F"/>
    <w:rsid w:val="00DF5BDD"/>
    <w:rsid w:val="00DF5C03"/>
    <w:rsid w:val="00DF5C18"/>
    <w:rsid w:val="00DF5E98"/>
    <w:rsid w:val="00DF5F7E"/>
    <w:rsid w:val="00DF5F8F"/>
    <w:rsid w:val="00DF605C"/>
    <w:rsid w:val="00DF6201"/>
    <w:rsid w:val="00DF620D"/>
    <w:rsid w:val="00DF63B3"/>
    <w:rsid w:val="00DF63F9"/>
    <w:rsid w:val="00DF6433"/>
    <w:rsid w:val="00DF6566"/>
    <w:rsid w:val="00DF656C"/>
    <w:rsid w:val="00DF658B"/>
    <w:rsid w:val="00DF65A8"/>
    <w:rsid w:val="00DF6649"/>
    <w:rsid w:val="00DF6695"/>
    <w:rsid w:val="00DF6765"/>
    <w:rsid w:val="00DF678D"/>
    <w:rsid w:val="00DF681F"/>
    <w:rsid w:val="00DF6826"/>
    <w:rsid w:val="00DF685D"/>
    <w:rsid w:val="00DF6951"/>
    <w:rsid w:val="00DF696C"/>
    <w:rsid w:val="00DF6A68"/>
    <w:rsid w:val="00DF6AAC"/>
    <w:rsid w:val="00DF6D42"/>
    <w:rsid w:val="00DF6DF0"/>
    <w:rsid w:val="00DF6E86"/>
    <w:rsid w:val="00DF6EC4"/>
    <w:rsid w:val="00DF6F24"/>
    <w:rsid w:val="00DF6FF1"/>
    <w:rsid w:val="00DF7016"/>
    <w:rsid w:val="00DF7272"/>
    <w:rsid w:val="00DF72E7"/>
    <w:rsid w:val="00DF73B5"/>
    <w:rsid w:val="00DF7489"/>
    <w:rsid w:val="00DF74EA"/>
    <w:rsid w:val="00DF761F"/>
    <w:rsid w:val="00DF773A"/>
    <w:rsid w:val="00DF77A8"/>
    <w:rsid w:val="00DF7822"/>
    <w:rsid w:val="00DF78CA"/>
    <w:rsid w:val="00DF7992"/>
    <w:rsid w:val="00DF7A0C"/>
    <w:rsid w:val="00DF7AE3"/>
    <w:rsid w:val="00DF7E26"/>
    <w:rsid w:val="00DF7EF3"/>
    <w:rsid w:val="00E00442"/>
    <w:rsid w:val="00E004EC"/>
    <w:rsid w:val="00E00539"/>
    <w:rsid w:val="00E00561"/>
    <w:rsid w:val="00E00963"/>
    <w:rsid w:val="00E009B6"/>
    <w:rsid w:val="00E00DD7"/>
    <w:rsid w:val="00E00F1F"/>
    <w:rsid w:val="00E0101F"/>
    <w:rsid w:val="00E0115F"/>
    <w:rsid w:val="00E011A3"/>
    <w:rsid w:val="00E011C9"/>
    <w:rsid w:val="00E01367"/>
    <w:rsid w:val="00E0143C"/>
    <w:rsid w:val="00E01451"/>
    <w:rsid w:val="00E0146F"/>
    <w:rsid w:val="00E014E8"/>
    <w:rsid w:val="00E014EB"/>
    <w:rsid w:val="00E0155A"/>
    <w:rsid w:val="00E01657"/>
    <w:rsid w:val="00E01748"/>
    <w:rsid w:val="00E017B0"/>
    <w:rsid w:val="00E01966"/>
    <w:rsid w:val="00E01A8B"/>
    <w:rsid w:val="00E01AB6"/>
    <w:rsid w:val="00E01ACB"/>
    <w:rsid w:val="00E01B80"/>
    <w:rsid w:val="00E01B89"/>
    <w:rsid w:val="00E01C04"/>
    <w:rsid w:val="00E01CEC"/>
    <w:rsid w:val="00E01D83"/>
    <w:rsid w:val="00E01DC9"/>
    <w:rsid w:val="00E01DDF"/>
    <w:rsid w:val="00E01ED5"/>
    <w:rsid w:val="00E01F5F"/>
    <w:rsid w:val="00E01F9D"/>
    <w:rsid w:val="00E01FA5"/>
    <w:rsid w:val="00E01FBE"/>
    <w:rsid w:val="00E01FD6"/>
    <w:rsid w:val="00E01FF8"/>
    <w:rsid w:val="00E02077"/>
    <w:rsid w:val="00E020A4"/>
    <w:rsid w:val="00E021B5"/>
    <w:rsid w:val="00E0226F"/>
    <w:rsid w:val="00E022A5"/>
    <w:rsid w:val="00E0253B"/>
    <w:rsid w:val="00E0259E"/>
    <w:rsid w:val="00E025FD"/>
    <w:rsid w:val="00E02699"/>
    <w:rsid w:val="00E0272F"/>
    <w:rsid w:val="00E0283C"/>
    <w:rsid w:val="00E02A7B"/>
    <w:rsid w:val="00E02A7F"/>
    <w:rsid w:val="00E02C68"/>
    <w:rsid w:val="00E02C76"/>
    <w:rsid w:val="00E02CED"/>
    <w:rsid w:val="00E02D64"/>
    <w:rsid w:val="00E02DA1"/>
    <w:rsid w:val="00E02F00"/>
    <w:rsid w:val="00E02F54"/>
    <w:rsid w:val="00E02F9A"/>
    <w:rsid w:val="00E02FFF"/>
    <w:rsid w:val="00E03004"/>
    <w:rsid w:val="00E030EE"/>
    <w:rsid w:val="00E0312F"/>
    <w:rsid w:val="00E0324B"/>
    <w:rsid w:val="00E0327E"/>
    <w:rsid w:val="00E03334"/>
    <w:rsid w:val="00E0349B"/>
    <w:rsid w:val="00E034D7"/>
    <w:rsid w:val="00E034FE"/>
    <w:rsid w:val="00E0351A"/>
    <w:rsid w:val="00E03662"/>
    <w:rsid w:val="00E0366C"/>
    <w:rsid w:val="00E03696"/>
    <w:rsid w:val="00E036EF"/>
    <w:rsid w:val="00E036FA"/>
    <w:rsid w:val="00E0378E"/>
    <w:rsid w:val="00E037D8"/>
    <w:rsid w:val="00E037E5"/>
    <w:rsid w:val="00E037F7"/>
    <w:rsid w:val="00E0381B"/>
    <w:rsid w:val="00E03AFD"/>
    <w:rsid w:val="00E03B3D"/>
    <w:rsid w:val="00E03B5D"/>
    <w:rsid w:val="00E03B7E"/>
    <w:rsid w:val="00E03D3D"/>
    <w:rsid w:val="00E03D3F"/>
    <w:rsid w:val="00E03D52"/>
    <w:rsid w:val="00E03DD5"/>
    <w:rsid w:val="00E03E3E"/>
    <w:rsid w:val="00E03F5A"/>
    <w:rsid w:val="00E03F98"/>
    <w:rsid w:val="00E04181"/>
    <w:rsid w:val="00E045B5"/>
    <w:rsid w:val="00E04696"/>
    <w:rsid w:val="00E046F6"/>
    <w:rsid w:val="00E0471D"/>
    <w:rsid w:val="00E04766"/>
    <w:rsid w:val="00E047AE"/>
    <w:rsid w:val="00E047DF"/>
    <w:rsid w:val="00E04809"/>
    <w:rsid w:val="00E0498A"/>
    <w:rsid w:val="00E04A1B"/>
    <w:rsid w:val="00E04A87"/>
    <w:rsid w:val="00E04AA4"/>
    <w:rsid w:val="00E04AB0"/>
    <w:rsid w:val="00E04BB4"/>
    <w:rsid w:val="00E04BD7"/>
    <w:rsid w:val="00E04BFB"/>
    <w:rsid w:val="00E04C3E"/>
    <w:rsid w:val="00E04CA4"/>
    <w:rsid w:val="00E04DAE"/>
    <w:rsid w:val="00E0518E"/>
    <w:rsid w:val="00E0529A"/>
    <w:rsid w:val="00E054E6"/>
    <w:rsid w:val="00E0553F"/>
    <w:rsid w:val="00E05571"/>
    <w:rsid w:val="00E055BA"/>
    <w:rsid w:val="00E0566D"/>
    <w:rsid w:val="00E056CB"/>
    <w:rsid w:val="00E056D3"/>
    <w:rsid w:val="00E0576A"/>
    <w:rsid w:val="00E05788"/>
    <w:rsid w:val="00E057F3"/>
    <w:rsid w:val="00E05831"/>
    <w:rsid w:val="00E05955"/>
    <w:rsid w:val="00E05974"/>
    <w:rsid w:val="00E05984"/>
    <w:rsid w:val="00E059D9"/>
    <w:rsid w:val="00E05B37"/>
    <w:rsid w:val="00E05C64"/>
    <w:rsid w:val="00E05E37"/>
    <w:rsid w:val="00E05E5D"/>
    <w:rsid w:val="00E05EF7"/>
    <w:rsid w:val="00E05F10"/>
    <w:rsid w:val="00E05F92"/>
    <w:rsid w:val="00E05FF4"/>
    <w:rsid w:val="00E06097"/>
    <w:rsid w:val="00E060A3"/>
    <w:rsid w:val="00E06163"/>
    <w:rsid w:val="00E061BB"/>
    <w:rsid w:val="00E061FA"/>
    <w:rsid w:val="00E06437"/>
    <w:rsid w:val="00E0652A"/>
    <w:rsid w:val="00E06576"/>
    <w:rsid w:val="00E06688"/>
    <w:rsid w:val="00E06844"/>
    <w:rsid w:val="00E06869"/>
    <w:rsid w:val="00E06883"/>
    <w:rsid w:val="00E068E8"/>
    <w:rsid w:val="00E06926"/>
    <w:rsid w:val="00E06974"/>
    <w:rsid w:val="00E069E6"/>
    <w:rsid w:val="00E069FD"/>
    <w:rsid w:val="00E06A05"/>
    <w:rsid w:val="00E06C95"/>
    <w:rsid w:val="00E06CC6"/>
    <w:rsid w:val="00E06DBE"/>
    <w:rsid w:val="00E06DCB"/>
    <w:rsid w:val="00E06DD0"/>
    <w:rsid w:val="00E06E37"/>
    <w:rsid w:val="00E06ED9"/>
    <w:rsid w:val="00E06F36"/>
    <w:rsid w:val="00E07015"/>
    <w:rsid w:val="00E0706F"/>
    <w:rsid w:val="00E071D1"/>
    <w:rsid w:val="00E07319"/>
    <w:rsid w:val="00E07340"/>
    <w:rsid w:val="00E07345"/>
    <w:rsid w:val="00E073AD"/>
    <w:rsid w:val="00E07715"/>
    <w:rsid w:val="00E077B8"/>
    <w:rsid w:val="00E07819"/>
    <w:rsid w:val="00E0781E"/>
    <w:rsid w:val="00E0787B"/>
    <w:rsid w:val="00E079E4"/>
    <w:rsid w:val="00E07A70"/>
    <w:rsid w:val="00E07AC2"/>
    <w:rsid w:val="00E07ACA"/>
    <w:rsid w:val="00E07E40"/>
    <w:rsid w:val="00E07F52"/>
    <w:rsid w:val="00E1003D"/>
    <w:rsid w:val="00E1008F"/>
    <w:rsid w:val="00E10141"/>
    <w:rsid w:val="00E1014E"/>
    <w:rsid w:val="00E101EC"/>
    <w:rsid w:val="00E101FE"/>
    <w:rsid w:val="00E10304"/>
    <w:rsid w:val="00E10320"/>
    <w:rsid w:val="00E10341"/>
    <w:rsid w:val="00E10392"/>
    <w:rsid w:val="00E103C1"/>
    <w:rsid w:val="00E10407"/>
    <w:rsid w:val="00E1048E"/>
    <w:rsid w:val="00E104E2"/>
    <w:rsid w:val="00E10579"/>
    <w:rsid w:val="00E105E3"/>
    <w:rsid w:val="00E105FD"/>
    <w:rsid w:val="00E10675"/>
    <w:rsid w:val="00E106D1"/>
    <w:rsid w:val="00E1085D"/>
    <w:rsid w:val="00E10929"/>
    <w:rsid w:val="00E10941"/>
    <w:rsid w:val="00E10A4F"/>
    <w:rsid w:val="00E10ADE"/>
    <w:rsid w:val="00E10AE6"/>
    <w:rsid w:val="00E10D86"/>
    <w:rsid w:val="00E10D87"/>
    <w:rsid w:val="00E10DA7"/>
    <w:rsid w:val="00E10EA4"/>
    <w:rsid w:val="00E10F46"/>
    <w:rsid w:val="00E10FF0"/>
    <w:rsid w:val="00E1101D"/>
    <w:rsid w:val="00E1110B"/>
    <w:rsid w:val="00E11145"/>
    <w:rsid w:val="00E111ED"/>
    <w:rsid w:val="00E11330"/>
    <w:rsid w:val="00E11399"/>
    <w:rsid w:val="00E115D7"/>
    <w:rsid w:val="00E11648"/>
    <w:rsid w:val="00E11735"/>
    <w:rsid w:val="00E117CC"/>
    <w:rsid w:val="00E117DE"/>
    <w:rsid w:val="00E11845"/>
    <w:rsid w:val="00E11858"/>
    <w:rsid w:val="00E1192F"/>
    <w:rsid w:val="00E11B79"/>
    <w:rsid w:val="00E11BCF"/>
    <w:rsid w:val="00E11BD0"/>
    <w:rsid w:val="00E11CDF"/>
    <w:rsid w:val="00E11D50"/>
    <w:rsid w:val="00E11DE9"/>
    <w:rsid w:val="00E11F3F"/>
    <w:rsid w:val="00E12029"/>
    <w:rsid w:val="00E1204A"/>
    <w:rsid w:val="00E1206F"/>
    <w:rsid w:val="00E1210A"/>
    <w:rsid w:val="00E12172"/>
    <w:rsid w:val="00E12388"/>
    <w:rsid w:val="00E124FA"/>
    <w:rsid w:val="00E1253E"/>
    <w:rsid w:val="00E125EA"/>
    <w:rsid w:val="00E12654"/>
    <w:rsid w:val="00E1269F"/>
    <w:rsid w:val="00E126F7"/>
    <w:rsid w:val="00E12758"/>
    <w:rsid w:val="00E12BDB"/>
    <w:rsid w:val="00E12BF8"/>
    <w:rsid w:val="00E12C1D"/>
    <w:rsid w:val="00E12D96"/>
    <w:rsid w:val="00E12E49"/>
    <w:rsid w:val="00E12E60"/>
    <w:rsid w:val="00E12EA5"/>
    <w:rsid w:val="00E12EB0"/>
    <w:rsid w:val="00E12EEE"/>
    <w:rsid w:val="00E12EF1"/>
    <w:rsid w:val="00E12F35"/>
    <w:rsid w:val="00E12F5E"/>
    <w:rsid w:val="00E12FE7"/>
    <w:rsid w:val="00E13003"/>
    <w:rsid w:val="00E13021"/>
    <w:rsid w:val="00E13207"/>
    <w:rsid w:val="00E13232"/>
    <w:rsid w:val="00E13276"/>
    <w:rsid w:val="00E13311"/>
    <w:rsid w:val="00E1355F"/>
    <w:rsid w:val="00E135EC"/>
    <w:rsid w:val="00E138C2"/>
    <w:rsid w:val="00E13ACD"/>
    <w:rsid w:val="00E13BB0"/>
    <w:rsid w:val="00E13D5B"/>
    <w:rsid w:val="00E13F20"/>
    <w:rsid w:val="00E13F3C"/>
    <w:rsid w:val="00E13F44"/>
    <w:rsid w:val="00E13FE6"/>
    <w:rsid w:val="00E14046"/>
    <w:rsid w:val="00E14134"/>
    <w:rsid w:val="00E1414B"/>
    <w:rsid w:val="00E14277"/>
    <w:rsid w:val="00E1437F"/>
    <w:rsid w:val="00E143BF"/>
    <w:rsid w:val="00E143EC"/>
    <w:rsid w:val="00E1441A"/>
    <w:rsid w:val="00E14558"/>
    <w:rsid w:val="00E146DC"/>
    <w:rsid w:val="00E1472C"/>
    <w:rsid w:val="00E14868"/>
    <w:rsid w:val="00E148BF"/>
    <w:rsid w:val="00E14939"/>
    <w:rsid w:val="00E14B17"/>
    <w:rsid w:val="00E14B2E"/>
    <w:rsid w:val="00E14B3D"/>
    <w:rsid w:val="00E14CAD"/>
    <w:rsid w:val="00E14CCE"/>
    <w:rsid w:val="00E14E2B"/>
    <w:rsid w:val="00E14ED6"/>
    <w:rsid w:val="00E150F5"/>
    <w:rsid w:val="00E1515A"/>
    <w:rsid w:val="00E15354"/>
    <w:rsid w:val="00E1535F"/>
    <w:rsid w:val="00E153E0"/>
    <w:rsid w:val="00E153E2"/>
    <w:rsid w:val="00E1542F"/>
    <w:rsid w:val="00E15461"/>
    <w:rsid w:val="00E1550B"/>
    <w:rsid w:val="00E155A4"/>
    <w:rsid w:val="00E156DE"/>
    <w:rsid w:val="00E157A2"/>
    <w:rsid w:val="00E158F4"/>
    <w:rsid w:val="00E15A2F"/>
    <w:rsid w:val="00E15A5C"/>
    <w:rsid w:val="00E15B32"/>
    <w:rsid w:val="00E15B5F"/>
    <w:rsid w:val="00E15C09"/>
    <w:rsid w:val="00E15C10"/>
    <w:rsid w:val="00E15C34"/>
    <w:rsid w:val="00E15DE0"/>
    <w:rsid w:val="00E15E0F"/>
    <w:rsid w:val="00E15F60"/>
    <w:rsid w:val="00E16194"/>
    <w:rsid w:val="00E161C7"/>
    <w:rsid w:val="00E16439"/>
    <w:rsid w:val="00E1646F"/>
    <w:rsid w:val="00E164D0"/>
    <w:rsid w:val="00E1651B"/>
    <w:rsid w:val="00E165A0"/>
    <w:rsid w:val="00E16788"/>
    <w:rsid w:val="00E167FC"/>
    <w:rsid w:val="00E1680F"/>
    <w:rsid w:val="00E1686E"/>
    <w:rsid w:val="00E16899"/>
    <w:rsid w:val="00E168B9"/>
    <w:rsid w:val="00E16923"/>
    <w:rsid w:val="00E16960"/>
    <w:rsid w:val="00E16A37"/>
    <w:rsid w:val="00E16A3D"/>
    <w:rsid w:val="00E16A5D"/>
    <w:rsid w:val="00E16C2B"/>
    <w:rsid w:val="00E16C2F"/>
    <w:rsid w:val="00E16CD2"/>
    <w:rsid w:val="00E16DE9"/>
    <w:rsid w:val="00E16E94"/>
    <w:rsid w:val="00E16EBA"/>
    <w:rsid w:val="00E16ED9"/>
    <w:rsid w:val="00E16FA4"/>
    <w:rsid w:val="00E16FA7"/>
    <w:rsid w:val="00E17090"/>
    <w:rsid w:val="00E171CF"/>
    <w:rsid w:val="00E1757C"/>
    <w:rsid w:val="00E17727"/>
    <w:rsid w:val="00E1788F"/>
    <w:rsid w:val="00E1797A"/>
    <w:rsid w:val="00E179EF"/>
    <w:rsid w:val="00E17A86"/>
    <w:rsid w:val="00E17CF4"/>
    <w:rsid w:val="00E17D81"/>
    <w:rsid w:val="00E17E42"/>
    <w:rsid w:val="00E17F86"/>
    <w:rsid w:val="00E17FD7"/>
    <w:rsid w:val="00E20057"/>
    <w:rsid w:val="00E202A0"/>
    <w:rsid w:val="00E20315"/>
    <w:rsid w:val="00E203BF"/>
    <w:rsid w:val="00E203CF"/>
    <w:rsid w:val="00E20479"/>
    <w:rsid w:val="00E204E2"/>
    <w:rsid w:val="00E204F1"/>
    <w:rsid w:val="00E2053F"/>
    <w:rsid w:val="00E205CF"/>
    <w:rsid w:val="00E2062E"/>
    <w:rsid w:val="00E208E6"/>
    <w:rsid w:val="00E20B7E"/>
    <w:rsid w:val="00E20CBD"/>
    <w:rsid w:val="00E20CF2"/>
    <w:rsid w:val="00E20D26"/>
    <w:rsid w:val="00E20D46"/>
    <w:rsid w:val="00E20DE1"/>
    <w:rsid w:val="00E20DF4"/>
    <w:rsid w:val="00E210A1"/>
    <w:rsid w:val="00E211F5"/>
    <w:rsid w:val="00E21204"/>
    <w:rsid w:val="00E213A0"/>
    <w:rsid w:val="00E21446"/>
    <w:rsid w:val="00E21527"/>
    <w:rsid w:val="00E21561"/>
    <w:rsid w:val="00E21738"/>
    <w:rsid w:val="00E217E8"/>
    <w:rsid w:val="00E2188C"/>
    <w:rsid w:val="00E21A7F"/>
    <w:rsid w:val="00E21A8F"/>
    <w:rsid w:val="00E21ACA"/>
    <w:rsid w:val="00E21B06"/>
    <w:rsid w:val="00E21C06"/>
    <w:rsid w:val="00E21D51"/>
    <w:rsid w:val="00E21D59"/>
    <w:rsid w:val="00E21E0F"/>
    <w:rsid w:val="00E21E16"/>
    <w:rsid w:val="00E21EC6"/>
    <w:rsid w:val="00E21F79"/>
    <w:rsid w:val="00E220DC"/>
    <w:rsid w:val="00E22107"/>
    <w:rsid w:val="00E22140"/>
    <w:rsid w:val="00E2218C"/>
    <w:rsid w:val="00E223A9"/>
    <w:rsid w:val="00E223EF"/>
    <w:rsid w:val="00E22436"/>
    <w:rsid w:val="00E22499"/>
    <w:rsid w:val="00E2255B"/>
    <w:rsid w:val="00E226BA"/>
    <w:rsid w:val="00E226F3"/>
    <w:rsid w:val="00E229D1"/>
    <w:rsid w:val="00E229FB"/>
    <w:rsid w:val="00E22A62"/>
    <w:rsid w:val="00E22B6D"/>
    <w:rsid w:val="00E22D17"/>
    <w:rsid w:val="00E22DD7"/>
    <w:rsid w:val="00E22ED3"/>
    <w:rsid w:val="00E22FC6"/>
    <w:rsid w:val="00E22FF0"/>
    <w:rsid w:val="00E231D7"/>
    <w:rsid w:val="00E231E0"/>
    <w:rsid w:val="00E2320B"/>
    <w:rsid w:val="00E232A3"/>
    <w:rsid w:val="00E232C5"/>
    <w:rsid w:val="00E2338E"/>
    <w:rsid w:val="00E233C7"/>
    <w:rsid w:val="00E233DF"/>
    <w:rsid w:val="00E2354E"/>
    <w:rsid w:val="00E2365F"/>
    <w:rsid w:val="00E23693"/>
    <w:rsid w:val="00E236AE"/>
    <w:rsid w:val="00E2377B"/>
    <w:rsid w:val="00E23793"/>
    <w:rsid w:val="00E2379D"/>
    <w:rsid w:val="00E237A8"/>
    <w:rsid w:val="00E237D7"/>
    <w:rsid w:val="00E2388D"/>
    <w:rsid w:val="00E23A1E"/>
    <w:rsid w:val="00E23B7A"/>
    <w:rsid w:val="00E23C0D"/>
    <w:rsid w:val="00E23C33"/>
    <w:rsid w:val="00E23D2B"/>
    <w:rsid w:val="00E23D5F"/>
    <w:rsid w:val="00E23F0C"/>
    <w:rsid w:val="00E23FE8"/>
    <w:rsid w:val="00E2412C"/>
    <w:rsid w:val="00E24177"/>
    <w:rsid w:val="00E241A1"/>
    <w:rsid w:val="00E241C0"/>
    <w:rsid w:val="00E24281"/>
    <w:rsid w:val="00E242A1"/>
    <w:rsid w:val="00E24351"/>
    <w:rsid w:val="00E24436"/>
    <w:rsid w:val="00E24498"/>
    <w:rsid w:val="00E244A1"/>
    <w:rsid w:val="00E24521"/>
    <w:rsid w:val="00E245E8"/>
    <w:rsid w:val="00E2463E"/>
    <w:rsid w:val="00E24654"/>
    <w:rsid w:val="00E2468C"/>
    <w:rsid w:val="00E2469B"/>
    <w:rsid w:val="00E246A9"/>
    <w:rsid w:val="00E247BA"/>
    <w:rsid w:val="00E247EA"/>
    <w:rsid w:val="00E24972"/>
    <w:rsid w:val="00E24A65"/>
    <w:rsid w:val="00E24A8A"/>
    <w:rsid w:val="00E24ACE"/>
    <w:rsid w:val="00E24B59"/>
    <w:rsid w:val="00E24BA3"/>
    <w:rsid w:val="00E24BA8"/>
    <w:rsid w:val="00E24C38"/>
    <w:rsid w:val="00E24DF8"/>
    <w:rsid w:val="00E24E42"/>
    <w:rsid w:val="00E24F60"/>
    <w:rsid w:val="00E24F71"/>
    <w:rsid w:val="00E24F74"/>
    <w:rsid w:val="00E25043"/>
    <w:rsid w:val="00E2510D"/>
    <w:rsid w:val="00E2513B"/>
    <w:rsid w:val="00E25173"/>
    <w:rsid w:val="00E251F6"/>
    <w:rsid w:val="00E252BF"/>
    <w:rsid w:val="00E252EA"/>
    <w:rsid w:val="00E25310"/>
    <w:rsid w:val="00E25402"/>
    <w:rsid w:val="00E2544F"/>
    <w:rsid w:val="00E25456"/>
    <w:rsid w:val="00E25496"/>
    <w:rsid w:val="00E25544"/>
    <w:rsid w:val="00E25549"/>
    <w:rsid w:val="00E25706"/>
    <w:rsid w:val="00E25753"/>
    <w:rsid w:val="00E25806"/>
    <w:rsid w:val="00E258EE"/>
    <w:rsid w:val="00E25993"/>
    <w:rsid w:val="00E25A3B"/>
    <w:rsid w:val="00E25AD7"/>
    <w:rsid w:val="00E25BF4"/>
    <w:rsid w:val="00E25C2B"/>
    <w:rsid w:val="00E25CE4"/>
    <w:rsid w:val="00E25D8D"/>
    <w:rsid w:val="00E25DA0"/>
    <w:rsid w:val="00E260E9"/>
    <w:rsid w:val="00E26217"/>
    <w:rsid w:val="00E26229"/>
    <w:rsid w:val="00E262EA"/>
    <w:rsid w:val="00E26391"/>
    <w:rsid w:val="00E263A7"/>
    <w:rsid w:val="00E2655C"/>
    <w:rsid w:val="00E265FB"/>
    <w:rsid w:val="00E2666A"/>
    <w:rsid w:val="00E26690"/>
    <w:rsid w:val="00E266A8"/>
    <w:rsid w:val="00E267AD"/>
    <w:rsid w:val="00E26981"/>
    <w:rsid w:val="00E26A8E"/>
    <w:rsid w:val="00E26AA5"/>
    <w:rsid w:val="00E26B34"/>
    <w:rsid w:val="00E26C22"/>
    <w:rsid w:val="00E26C40"/>
    <w:rsid w:val="00E26D83"/>
    <w:rsid w:val="00E26E1C"/>
    <w:rsid w:val="00E2710C"/>
    <w:rsid w:val="00E2714B"/>
    <w:rsid w:val="00E271BD"/>
    <w:rsid w:val="00E2721B"/>
    <w:rsid w:val="00E2724D"/>
    <w:rsid w:val="00E2727F"/>
    <w:rsid w:val="00E27298"/>
    <w:rsid w:val="00E27331"/>
    <w:rsid w:val="00E27334"/>
    <w:rsid w:val="00E2736B"/>
    <w:rsid w:val="00E274BE"/>
    <w:rsid w:val="00E27508"/>
    <w:rsid w:val="00E27628"/>
    <w:rsid w:val="00E27649"/>
    <w:rsid w:val="00E2774F"/>
    <w:rsid w:val="00E277A7"/>
    <w:rsid w:val="00E277A8"/>
    <w:rsid w:val="00E277B1"/>
    <w:rsid w:val="00E277BA"/>
    <w:rsid w:val="00E2780E"/>
    <w:rsid w:val="00E27811"/>
    <w:rsid w:val="00E278CA"/>
    <w:rsid w:val="00E279F5"/>
    <w:rsid w:val="00E27B42"/>
    <w:rsid w:val="00E27B60"/>
    <w:rsid w:val="00E27B9C"/>
    <w:rsid w:val="00E27CC3"/>
    <w:rsid w:val="00E27CF0"/>
    <w:rsid w:val="00E27DE7"/>
    <w:rsid w:val="00E27E04"/>
    <w:rsid w:val="00E27E88"/>
    <w:rsid w:val="00E27EFA"/>
    <w:rsid w:val="00E30092"/>
    <w:rsid w:val="00E3011C"/>
    <w:rsid w:val="00E30161"/>
    <w:rsid w:val="00E3018B"/>
    <w:rsid w:val="00E301A8"/>
    <w:rsid w:val="00E302A8"/>
    <w:rsid w:val="00E30330"/>
    <w:rsid w:val="00E3034E"/>
    <w:rsid w:val="00E30571"/>
    <w:rsid w:val="00E30698"/>
    <w:rsid w:val="00E306E7"/>
    <w:rsid w:val="00E3078F"/>
    <w:rsid w:val="00E307A7"/>
    <w:rsid w:val="00E309C8"/>
    <w:rsid w:val="00E30A3B"/>
    <w:rsid w:val="00E30B67"/>
    <w:rsid w:val="00E30BBE"/>
    <w:rsid w:val="00E30C60"/>
    <w:rsid w:val="00E30C67"/>
    <w:rsid w:val="00E30C91"/>
    <w:rsid w:val="00E30CC0"/>
    <w:rsid w:val="00E30E84"/>
    <w:rsid w:val="00E30F6F"/>
    <w:rsid w:val="00E3101D"/>
    <w:rsid w:val="00E310FA"/>
    <w:rsid w:val="00E31223"/>
    <w:rsid w:val="00E3123E"/>
    <w:rsid w:val="00E31391"/>
    <w:rsid w:val="00E313D8"/>
    <w:rsid w:val="00E31482"/>
    <w:rsid w:val="00E314B6"/>
    <w:rsid w:val="00E3151A"/>
    <w:rsid w:val="00E316E5"/>
    <w:rsid w:val="00E316F7"/>
    <w:rsid w:val="00E31894"/>
    <w:rsid w:val="00E31965"/>
    <w:rsid w:val="00E31966"/>
    <w:rsid w:val="00E31B65"/>
    <w:rsid w:val="00E31B6F"/>
    <w:rsid w:val="00E31D18"/>
    <w:rsid w:val="00E31D7A"/>
    <w:rsid w:val="00E31DBB"/>
    <w:rsid w:val="00E31E67"/>
    <w:rsid w:val="00E31E96"/>
    <w:rsid w:val="00E31F03"/>
    <w:rsid w:val="00E31FF4"/>
    <w:rsid w:val="00E3224A"/>
    <w:rsid w:val="00E32465"/>
    <w:rsid w:val="00E32649"/>
    <w:rsid w:val="00E3266F"/>
    <w:rsid w:val="00E3276F"/>
    <w:rsid w:val="00E327E8"/>
    <w:rsid w:val="00E3280E"/>
    <w:rsid w:val="00E3290B"/>
    <w:rsid w:val="00E32988"/>
    <w:rsid w:val="00E329B5"/>
    <w:rsid w:val="00E32A02"/>
    <w:rsid w:val="00E32B9D"/>
    <w:rsid w:val="00E32BCB"/>
    <w:rsid w:val="00E32CF1"/>
    <w:rsid w:val="00E32D40"/>
    <w:rsid w:val="00E32DBC"/>
    <w:rsid w:val="00E32E1F"/>
    <w:rsid w:val="00E32E85"/>
    <w:rsid w:val="00E32F24"/>
    <w:rsid w:val="00E32FDA"/>
    <w:rsid w:val="00E33010"/>
    <w:rsid w:val="00E330A1"/>
    <w:rsid w:val="00E33123"/>
    <w:rsid w:val="00E33169"/>
    <w:rsid w:val="00E33185"/>
    <w:rsid w:val="00E33188"/>
    <w:rsid w:val="00E331BB"/>
    <w:rsid w:val="00E331EE"/>
    <w:rsid w:val="00E3323C"/>
    <w:rsid w:val="00E3332D"/>
    <w:rsid w:val="00E33429"/>
    <w:rsid w:val="00E33470"/>
    <w:rsid w:val="00E3364A"/>
    <w:rsid w:val="00E33674"/>
    <w:rsid w:val="00E3368A"/>
    <w:rsid w:val="00E336D4"/>
    <w:rsid w:val="00E336DA"/>
    <w:rsid w:val="00E33777"/>
    <w:rsid w:val="00E33837"/>
    <w:rsid w:val="00E3391A"/>
    <w:rsid w:val="00E3393A"/>
    <w:rsid w:val="00E339FD"/>
    <w:rsid w:val="00E33A17"/>
    <w:rsid w:val="00E33A33"/>
    <w:rsid w:val="00E33A73"/>
    <w:rsid w:val="00E33B83"/>
    <w:rsid w:val="00E33C19"/>
    <w:rsid w:val="00E33C1C"/>
    <w:rsid w:val="00E33D49"/>
    <w:rsid w:val="00E340A8"/>
    <w:rsid w:val="00E34127"/>
    <w:rsid w:val="00E341BE"/>
    <w:rsid w:val="00E341F8"/>
    <w:rsid w:val="00E3423F"/>
    <w:rsid w:val="00E3424A"/>
    <w:rsid w:val="00E34267"/>
    <w:rsid w:val="00E34307"/>
    <w:rsid w:val="00E3433D"/>
    <w:rsid w:val="00E3457E"/>
    <w:rsid w:val="00E346B6"/>
    <w:rsid w:val="00E34717"/>
    <w:rsid w:val="00E34741"/>
    <w:rsid w:val="00E34779"/>
    <w:rsid w:val="00E347E0"/>
    <w:rsid w:val="00E3498E"/>
    <w:rsid w:val="00E34B36"/>
    <w:rsid w:val="00E34CD5"/>
    <w:rsid w:val="00E34E71"/>
    <w:rsid w:val="00E34F42"/>
    <w:rsid w:val="00E34FC4"/>
    <w:rsid w:val="00E3513B"/>
    <w:rsid w:val="00E35151"/>
    <w:rsid w:val="00E3522E"/>
    <w:rsid w:val="00E35347"/>
    <w:rsid w:val="00E35433"/>
    <w:rsid w:val="00E3548D"/>
    <w:rsid w:val="00E3550E"/>
    <w:rsid w:val="00E3552E"/>
    <w:rsid w:val="00E355CB"/>
    <w:rsid w:val="00E358A5"/>
    <w:rsid w:val="00E358D4"/>
    <w:rsid w:val="00E358DD"/>
    <w:rsid w:val="00E35A91"/>
    <w:rsid w:val="00E35DEE"/>
    <w:rsid w:val="00E35E3F"/>
    <w:rsid w:val="00E35E41"/>
    <w:rsid w:val="00E35EC8"/>
    <w:rsid w:val="00E35F3F"/>
    <w:rsid w:val="00E360B7"/>
    <w:rsid w:val="00E360C7"/>
    <w:rsid w:val="00E3618E"/>
    <w:rsid w:val="00E36312"/>
    <w:rsid w:val="00E3633C"/>
    <w:rsid w:val="00E363A9"/>
    <w:rsid w:val="00E36413"/>
    <w:rsid w:val="00E3646D"/>
    <w:rsid w:val="00E3647E"/>
    <w:rsid w:val="00E365DC"/>
    <w:rsid w:val="00E365FE"/>
    <w:rsid w:val="00E36693"/>
    <w:rsid w:val="00E367FB"/>
    <w:rsid w:val="00E36808"/>
    <w:rsid w:val="00E369F6"/>
    <w:rsid w:val="00E369FF"/>
    <w:rsid w:val="00E36B23"/>
    <w:rsid w:val="00E36B77"/>
    <w:rsid w:val="00E36BF5"/>
    <w:rsid w:val="00E36C0C"/>
    <w:rsid w:val="00E36C7B"/>
    <w:rsid w:val="00E36C8E"/>
    <w:rsid w:val="00E36CAE"/>
    <w:rsid w:val="00E36DBA"/>
    <w:rsid w:val="00E36E47"/>
    <w:rsid w:val="00E36EB6"/>
    <w:rsid w:val="00E36F56"/>
    <w:rsid w:val="00E3701E"/>
    <w:rsid w:val="00E37146"/>
    <w:rsid w:val="00E3715D"/>
    <w:rsid w:val="00E3716B"/>
    <w:rsid w:val="00E37220"/>
    <w:rsid w:val="00E3722C"/>
    <w:rsid w:val="00E37315"/>
    <w:rsid w:val="00E37352"/>
    <w:rsid w:val="00E37385"/>
    <w:rsid w:val="00E3746B"/>
    <w:rsid w:val="00E374E2"/>
    <w:rsid w:val="00E37542"/>
    <w:rsid w:val="00E375AF"/>
    <w:rsid w:val="00E375BB"/>
    <w:rsid w:val="00E37708"/>
    <w:rsid w:val="00E37A9A"/>
    <w:rsid w:val="00E37B06"/>
    <w:rsid w:val="00E37B46"/>
    <w:rsid w:val="00E37B71"/>
    <w:rsid w:val="00E37C06"/>
    <w:rsid w:val="00E37C53"/>
    <w:rsid w:val="00E37C72"/>
    <w:rsid w:val="00E37C8D"/>
    <w:rsid w:val="00E37CD1"/>
    <w:rsid w:val="00E37DBD"/>
    <w:rsid w:val="00E37EC5"/>
    <w:rsid w:val="00E40002"/>
    <w:rsid w:val="00E40050"/>
    <w:rsid w:val="00E4011D"/>
    <w:rsid w:val="00E40120"/>
    <w:rsid w:val="00E401D8"/>
    <w:rsid w:val="00E40342"/>
    <w:rsid w:val="00E405E7"/>
    <w:rsid w:val="00E40763"/>
    <w:rsid w:val="00E4079C"/>
    <w:rsid w:val="00E40877"/>
    <w:rsid w:val="00E408B0"/>
    <w:rsid w:val="00E408B3"/>
    <w:rsid w:val="00E408FE"/>
    <w:rsid w:val="00E40908"/>
    <w:rsid w:val="00E409DC"/>
    <w:rsid w:val="00E40A7F"/>
    <w:rsid w:val="00E40B1E"/>
    <w:rsid w:val="00E40BBB"/>
    <w:rsid w:val="00E40BD5"/>
    <w:rsid w:val="00E40C09"/>
    <w:rsid w:val="00E40C4F"/>
    <w:rsid w:val="00E40C5A"/>
    <w:rsid w:val="00E40CF3"/>
    <w:rsid w:val="00E40CF5"/>
    <w:rsid w:val="00E40E2A"/>
    <w:rsid w:val="00E40EEA"/>
    <w:rsid w:val="00E40FCE"/>
    <w:rsid w:val="00E41018"/>
    <w:rsid w:val="00E41031"/>
    <w:rsid w:val="00E4119B"/>
    <w:rsid w:val="00E411A7"/>
    <w:rsid w:val="00E4137D"/>
    <w:rsid w:val="00E4143D"/>
    <w:rsid w:val="00E414EB"/>
    <w:rsid w:val="00E41680"/>
    <w:rsid w:val="00E4180D"/>
    <w:rsid w:val="00E41836"/>
    <w:rsid w:val="00E41863"/>
    <w:rsid w:val="00E418CB"/>
    <w:rsid w:val="00E41982"/>
    <w:rsid w:val="00E41CA6"/>
    <w:rsid w:val="00E41D04"/>
    <w:rsid w:val="00E41D4C"/>
    <w:rsid w:val="00E41DA7"/>
    <w:rsid w:val="00E41E10"/>
    <w:rsid w:val="00E41E34"/>
    <w:rsid w:val="00E41E79"/>
    <w:rsid w:val="00E41EC5"/>
    <w:rsid w:val="00E41EF7"/>
    <w:rsid w:val="00E41F15"/>
    <w:rsid w:val="00E41F5F"/>
    <w:rsid w:val="00E420B8"/>
    <w:rsid w:val="00E421C6"/>
    <w:rsid w:val="00E42290"/>
    <w:rsid w:val="00E422C9"/>
    <w:rsid w:val="00E4247C"/>
    <w:rsid w:val="00E424C3"/>
    <w:rsid w:val="00E425B4"/>
    <w:rsid w:val="00E42792"/>
    <w:rsid w:val="00E4280D"/>
    <w:rsid w:val="00E428D4"/>
    <w:rsid w:val="00E42910"/>
    <w:rsid w:val="00E4297D"/>
    <w:rsid w:val="00E42998"/>
    <w:rsid w:val="00E42A9D"/>
    <w:rsid w:val="00E42BBC"/>
    <w:rsid w:val="00E42BDA"/>
    <w:rsid w:val="00E42CD9"/>
    <w:rsid w:val="00E42FDE"/>
    <w:rsid w:val="00E43052"/>
    <w:rsid w:val="00E43067"/>
    <w:rsid w:val="00E43304"/>
    <w:rsid w:val="00E4341C"/>
    <w:rsid w:val="00E43463"/>
    <w:rsid w:val="00E434FC"/>
    <w:rsid w:val="00E43524"/>
    <w:rsid w:val="00E4358C"/>
    <w:rsid w:val="00E435AD"/>
    <w:rsid w:val="00E4360F"/>
    <w:rsid w:val="00E436AF"/>
    <w:rsid w:val="00E43ABD"/>
    <w:rsid w:val="00E43EF9"/>
    <w:rsid w:val="00E43F05"/>
    <w:rsid w:val="00E43FCC"/>
    <w:rsid w:val="00E4403B"/>
    <w:rsid w:val="00E4404A"/>
    <w:rsid w:val="00E440B4"/>
    <w:rsid w:val="00E4412D"/>
    <w:rsid w:val="00E44142"/>
    <w:rsid w:val="00E44199"/>
    <w:rsid w:val="00E4420F"/>
    <w:rsid w:val="00E442AE"/>
    <w:rsid w:val="00E4442A"/>
    <w:rsid w:val="00E4444D"/>
    <w:rsid w:val="00E44623"/>
    <w:rsid w:val="00E44628"/>
    <w:rsid w:val="00E4463A"/>
    <w:rsid w:val="00E446A7"/>
    <w:rsid w:val="00E4470E"/>
    <w:rsid w:val="00E44714"/>
    <w:rsid w:val="00E44718"/>
    <w:rsid w:val="00E4477F"/>
    <w:rsid w:val="00E447A2"/>
    <w:rsid w:val="00E44845"/>
    <w:rsid w:val="00E44902"/>
    <w:rsid w:val="00E44968"/>
    <w:rsid w:val="00E44A4D"/>
    <w:rsid w:val="00E44AD0"/>
    <w:rsid w:val="00E44B0E"/>
    <w:rsid w:val="00E44CAA"/>
    <w:rsid w:val="00E44D09"/>
    <w:rsid w:val="00E44F79"/>
    <w:rsid w:val="00E450B0"/>
    <w:rsid w:val="00E450DF"/>
    <w:rsid w:val="00E4514A"/>
    <w:rsid w:val="00E451B1"/>
    <w:rsid w:val="00E45284"/>
    <w:rsid w:val="00E45412"/>
    <w:rsid w:val="00E4559A"/>
    <w:rsid w:val="00E4560F"/>
    <w:rsid w:val="00E4568A"/>
    <w:rsid w:val="00E45876"/>
    <w:rsid w:val="00E458AA"/>
    <w:rsid w:val="00E458EE"/>
    <w:rsid w:val="00E458F7"/>
    <w:rsid w:val="00E45972"/>
    <w:rsid w:val="00E45A77"/>
    <w:rsid w:val="00E45CFB"/>
    <w:rsid w:val="00E45D5B"/>
    <w:rsid w:val="00E45D9A"/>
    <w:rsid w:val="00E45DDE"/>
    <w:rsid w:val="00E45F98"/>
    <w:rsid w:val="00E45FDE"/>
    <w:rsid w:val="00E4600A"/>
    <w:rsid w:val="00E4600B"/>
    <w:rsid w:val="00E460CE"/>
    <w:rsid w:val="00E460F8"/>
    <w:rsid w:val="00E46124"/>
    <w:rsid w:val="00E4615A"/>
    <w:rsid w:val="00E462B1"/>
    <w:rsid w:val="00E4649A"/>
    <w:rsid w:val="00E465A9"/>
    <w:rsid w:val="00E465EF"/>
    <w:rsid w:val="00E46600"/>
    <w:rsid w:val="00E46702"/>
    <w:rsid w:val="00E46808"/>
    <w:rsid w:val="00E46899"/>
    <w:rsid w:val="00E469D0"/>
    <w:rsid w:val="00E46A61"/>
    <w:rsid w:val="00E46B63"/>
    <w:rsid w:val="00E46DA6"/>
    <w:rsid w:val="00E47097"/>
    <w:rsid w:val="00E470BD"/>
    <w:rsid w:val="00E471B5"/>
    <w:rsid w:val="00E47254"/>
    <w:rsid w:val="00E47290"/>
    <w:rsid w:val="00E472E7"/>
    <w:rsid w:val="00E47510"/>
    <w:rsid w:val="00E4760B"/>
    <w:rsid w:val="00E4775F"/>
    <w:rsid w:val="00E477C4"/>
    <w:rsid w:val="00E4784F"/>
    <w:rsid w:val="00E478C6"/>
    <w:rsid w:val="00E478CE"/>
    <w:rsid w:val="00E47A15"/>
    <w:rsid w:val="00E47A9E"/>
    <w:rsid w:val="00E47B5F"/>
    <w:rsid w:val="00E47B7B"/>
    <w:rsid w:val="00E47CEB"/>
    <w:rsid w:val="00E47DF9"/>
    <w:rsid w:val="00E47EBD"/>
    <w:rsid w:val="00E47F29"/>
    <w:rsid w:val="00E501AC"/>
    <w:rsid w:val="00E50263"/>
    <w:rsid w:val="00E50314"/>
    <w:rsid w:val="00E5033A"/>
    <w:rsid w:val="00E5033E"/>
    <w:rsid w:val="00E50352"/>
    <w:rsid w:val="00E50389"/>
    <w:rsid w:val="00E503ED"/>
    <w:rsid w:val="00E5045E"/>
    <w:rsid w:val="00E5046C"/>
    <w:rsid w:val="00E5052A"/>
    <w:rsid w:val="00E505E1"/>
    <w:rsid w:val="00E50670"/>
    <w:rsid w:val="00E506B9"/>
    <w:rsid w:val="00E5070B"/>
    <w:rsid w:val="00E50754"/>
    <w:rsid w:val="00E507F0"/>
    <w:rsid w:val="00E5089E"/>
    <w:rsid w:val="00E5099C"/>
    <w:rsid w:val="00E509A7"/>
    <w:rsid w:val="00E50A14"/>
    <w:rsid w:val="00E50A6D"/>
    <w:rsid w:val="00E50A80"/>
    <w:rsid w:val="00E50A9B"/>
    <w:rsid w:val="00E50AA8"/>
    <w:rsid w:val="00E50ABB"/>
    <w:rsid w:val="00E50B1A"/>
    <w:rsid w:val="00E50BA7"/>
    <w:rsid w:val="00E50BCA"/>
    <w:rsid w:val="00E50D53"/>
    <w:rsid w:val="00E50DF3"/>
    <w:rsid w:val="00E50E9F"/>
    <w:rsid w:val="00E51073"/>
    <w:rsid w:val="00E510E0"/>
    <w:rsid w:val="00E512CB"/>
    <w:rsid w:val="00E51330"/>
    <w:rsid w:val="00E513AA"/>
    <w:rsid w:val="00E51426"/>
    <w:rsid w:val="00E51831"/>
    <w:rsid w:val="00E51B47"/>
    <w:rsid w:val="00E51BA5"/>
    <w:rsid w:val="00E51C01"/>
    <w:rsid w:val="00E51E06"/>
    <w:rsid w:val="00E51E70"/>
    <w:rsid w:val="00E51EE5"/>
    <w:rsid w:val="00E51EEF"/>
    <w:rsid w:val="00E52034"/>
    <w:rsid w:val="00E52111"/>
    <w:rsid w:val="00E521A8"/>
    <w:rsid w:val="00E52358"/>
    <w:rsid w:val="00E5249D"/>
    <w:rsid w:val="00E52513"/>
    <w:rsid w:val="00E52537"/>
    <w:rsid w:val="00E5256E"/>
    <w:rsid w:val="00E5259F"/>
    <w:rsid w:val="00E5268D"/>
    <w:rsid w:val="00E526AC"/>
    <w:rsid w:val="00E52752"/>
    <w:rsid w:val="00E527D1"/>
    <w:rsid w:val="00E528D1"/>
    <w:rsid w:val="00E528E7"/>
    <w:rsid w:val="00E528FC"/>
    <w:rsid w:val="00E5294F"/>
    <w:rsid w:val="00E5295C"/>
    <w:rsid w:val="00E52A5F"/>
    <w:rsid w:val="00E52BC1"/>
    <w:rsid w:val="00E52BC8"/>
    <w:rsid w:val="00E52BF9"/>
    <w:rsid w:val="00E52CEC"/>
    <w:rsid w:val="00E52CF7"/>
    <w:rsid w:val="00E52D91"/>
    <w:rsid w:val="00E52DBA"/>
    <w:rsid w:val="00E52DF2"/>
    <w:rsid w:val="00E530A9"/>
    <w:rsid w:val="00E53105"/>
    <w:rsid w:val="00E53109"/>
    <w:rsid w:val="00E5316E"/>
    <w:rsid w:val="00E5322E"/>
    <w:rsid w:val="00E53266"/>
    <w:rsid w:val="00E53271"/>
    <w:rsid w:val="00E5335A"/>
    <w:rsid w:val="00E53440"/>
    <w:rsid w:val="00E534A0"/>
    <w:rsid w:val="00E5358D"/>
    <w:rsid w:val="00E535E0"/>
    <w:rsid w:val="00E535E2"/>
    <w:rsid w:val="00E536B7"/>
    <w:rsid w:val="00E536E0"/>
    <w:rsid w:val="00E536E4"/>
    <w:rsid w:val="00E537DA"/>
    <w:rsid w:val="00E5380B"/>
    <w:rsid w:val="00E53831"/>
    <w:rsid w:val="00E53839"/>
    <w:rsid w:val="00E5383D"/>
    <w:rsid w:val="00E53885"/>
    <w:rsid w:val="00E53B40"/>
    <w:rsid w:val="00E53C6A"/>
    <w:rsid w:val="00E53D21"/>
    <w:rsid w:val="00E53D3E"/>
    <w:rsid w:val="00E54085"/>
    <w:rsid w:val="00E540A1"/>
    <w:rsid w:val="00E54153"/>
    <w:rsid w:val="00E542B8"/>
    <w:rsid w:val="00E54389"/>
    <w:rsid w:val="00E543F2"/>
    <w:rsid w:val="00E544A9"/>
    <w:rsid w:val="00E54522"/>
    <w:rsid w:val="00E54543"/>
    <w:rsid w:val="00E545D7"/>
    <w:rsid w:val="00E54600"/>
    <w:rsid w:val="00E546D9"/>
    <w:rsid w:val="00E54807"/>
    <w:rsid w:val="00E5482F"/>
    <w:rsid w:val="00E5488B"/>
    <w:rsid w:val="00E548BA"/>
    <w:rsid w:val="00E548DF"/>
    <w:rsid w:val="00E54934"/>
    <w:rsid w:val="00E54A22"/>
    <w:rsid w:val="00E54A4D"/>
    <w:rsid w:val="00E54A60"/>
    <w:rsid w:val="00E54A77"/>
    <w:rsid w:val="00E54BED"/>
    <w:rsid w:val="00E54D24"/>
    <w:rsid w:val="00E54D7F"/>
    <w:rsid w:val="00E54E18"/>
    <w:rsid w:val="00E54EC2"/>
    <w:rsid w:val="00E54F40"/>
    <w:rsid w:val="00E54F5E"/>
    <w:rsid w:val="00E54F6C"/>
    <w:rsid w:val="00E54F7F"/>
    <w:rsid w:val="00E54FA4"/>
    <w:rsid w:val="00E5522C"/>
    <w:rsid w:val="00E5525E"/>
    <w:rsid w:val="00E55263"/>
    <w:rsid w:val="00E552CA"/>
    <w:rsid w:val="00E55389"/>
    <w:rsid w:val="00E555C7"/>
    <w:rsid w:val="00E55629"/>
    <w:rsid w:val="00E5563E"/>
    <w:rsid w:val="00E5566D"/>
    <w:rsid w:val="00E5567E"/>
    <w:rsid w:val="00E5571D"/>
    <w:rsid w:val="00E55724"/>
    <w:rsid w:val="00E557FD"/>
    <w:rsid w:val="00E55852"/>
    <w:rsid w:val="00E55881"/>
    <w:rsid w:val="00E558FC"/>
    <w:rsid w:val="00E5590D"/>
    <w:rsid w:val="00E5593B"/>
    <w:rsid w:val="00E55A37"/>
    <w:rsid w:val="00E55A55"/>
    <w:rsid w:val="00E55ADB"/>
    <w:rsid w:val="00E55B8C"/>
    <w:rsid w:val="00E55BF4"/>
    <w:rsid w:val="00E55C89"/>
    <w:rsid w:val="00E55D75"/>
    <w:rsid w:val="00E55E91"/>
    <w:rsid w:val="00E55EE9"/>
    <w:rsid w:val="00E55F49"/>
    <w:rsid w:val="00E55F5A"/>
    <w:rsid w:val="00E55F6F"/>
    <w:rsid w:val="00E56035"/>
    <w:rsid w:val="00E56126"/>
    <w:rsid w:val="00E5613A"/>
    <w:rsid w:val="00E561FC"/>
    <w:rsid w:val="00E56224"/>
    <w:rsid w:val="00E5625C"/>
    <w:rsid w:val="00E562E2"/>
    <w:rsid w:val="00E563CE"/>
    <w:rsid w:val="00E563EC"/>
    <w:rsid w:val="00E56436"/>
    <w:rsid w:val="00E56468"/>
    <w:rsid w:val="00E5647B"/>
    <w:rsid w:val="00E564EA"/>
    <w:rsid w:val="00E56501"/>
    <w:rsid w:val="00E5669A"/>
    <w:rsid w:val="00E5691D"/>
    <w:rsid w:val="00E56AC4"/>
    <w:rsid w:val="00E56BA6"/>
    <w:rsid w:val="00E56BA8"/>
    <w:rsid w:val="00E56C0E"/>
    <w:rsid w:val="00E56D08"/>
    <w:rsid w:val="00E56D0C"/>
    <w:rsid w:val="00E56D6A"/>
    <w:rsid w:val="00E56DF9"/>
    <w:rsid w:val="00E5702F"/>
    <w:rsid w:val="00E57064"/>
    <w:rsid w:val="00E57141"/>
    <w:rsid w:val="00E57171"/>
    <w:rsid w:val="00E57244"/>
    <w:rsid w:val="00E57262"/>
    <w:rsid w:val="00E57441"/>
    <w:rsid w:val="00E57476"/>
    <w:rsid w:val="00E57495"/>
    <w:rsid w:val="00E574D2"/>
    <w:rsid w:val="00E57581"/>
    <w:rsid w:val="00E5762A"/>
    <w:rsid w:val="00E5768B"/>
    <w:rsid w:val="00E57694"/>
    <w:rsid w:val="00E576AB"/>
    <w:rsid w:val="00E576C7"/>
    <w:rsid w:val="00E57785"/>
    <w:rsid w:val="00E5780F"/>
    <w:rsid w:val="00E57854"/>
    <w:rsid w:val="00E57998"/>
    <w:rsid w:val="00E57A51"/>
    <w:rsid w:val="00E57A68"/>
    <w:rsid w:val="00E57B17"/>
    <w:rsid w:val="00E57BA2"/>
    <w:rsid w:val="00E57BB0"/>
    <w:rsid w:val="00E57BB2"/>
    <w:rsid w:val="00E57C22"/>
    <w:rsid w:val="00E57D92"/>
    <w:rsid w:val="00E57E9F"/>
    <w:rsid w:val="00E57F43"/>
    <w:rsid w:val="00E60015"/>
    <w:rsid w:val="00E60063"/>
    <w:rsid w:val="00E60083"/>
    <w:rsid w:val="00E6010C"/>
    <w:rsid w:val="00E60215"/>
    <w:rsid w:val="00E6033A"/>
    <w:rsid w:val="00E603FC"/>
    <w:rsid w:val="00E6047E"/>
    <w:rsid w:val="00E6049A"/>
    <w:rsid w:val="00E60581"/>
    <w:rsid w:val="00E60675"/>
    <w:rsid w:val="00E60774"/>
    <w:rsid w:val="00E607C4"/>
    <w:rsid w:val="00E608A6"/>
    <w:rsid w:val="00E60948"/>
    <w:rsid w:val="00E6096B"/>
    <w:rsid w:val="00E60A1B"/>
    <w:rsid w:val="00E60A77"/>
    <w:rsid w:val="00E60C53"/>
    <w:rsid w:val="00E60D4F"/>
    <w:rsid w:val="00E60D7A"/>
    <w:rsid w:val="00E60DB7"/>
    <w:rsid w:val="00E60DBF"/>
    <w:rsid w:val="00E60E0B"/>
    <w:rsid w:val="00E60EF4"/>
    <w:rsid w:val="00E60FF6"/>
    <w:rsid w:val="00E610EE"/>
    <w:rsid w:val="00E610F2"/>
    <w:rsid w:val="00E61183"/>
    <w:rsid w:val="00E611AD"/>
    <w:rsid w:val="00E613D5"/>
    <w:rsid w:val="00E61447"/>
    <w:rsid w:val="00E61465"/>
    <w:rsid w:val="00E6147F"/>
    <w:rsid w:val="00E6149A"/>
    <w:rsid w:val="00E614A4"/>
    <w:rsid w:val="00E615A7"/>
    <w:rsid w:val="00E615C3"/>
    <w:rsid w:val="00E61634"/>
    <w:rsid w:val="00E616B2"/>
    <w:rsid w:val="00E6184E"/>
    <w:rsid w:val="00E61955"/>
    <w:rsid w:val="00E619C4"/>
    <w:rsid w:val="00E61A25"/>
    <w:rsid w:val="00E61A2D"/>
    <w:rsid w:val="00E61A34"/>
    <w:rsid w:val="00E61A49"/>
    <w:rsid w:val="00E61A8F"/>
    <w:rsid w:val="00E61B98"/>
    <w:rsid w:val="00E61BC4"/>
    <w:rsid w:val="00E61C5E"/>
    <w:rsid w:val="00E61C80"/>
    <w:rsid w:val="00E61C9F"/>
    <w:rsid w:val="00E61CD9"/>
    <w:rsid w:val="00E61F33"/>
    <w:rsid w:val="00E61F6B"/>
    <w:rsid w:val="00E61FF0"/>
    <w:rsid w:val="00E620B3"/>
    <w:rsid w:val="00E62224"/>
    <w:rsid w:val="00E6224D"/>
    <w:rsid w:val="00E62342"/>
    <w:rsid w:val="00E6254A"/>
    <w:rsid w:val="00E625A7"/>
    <w:rsid w:val="00E626CE"/>
    <w:rsid w:val="00E6274D"/>
    <w:rsid w:val="00E62776"/>
    <w:rsid w:val="00E627B3"/>
    <w:rsid w:val="00E627D5"/>
    <w:rsid w:val="00E627E0"/>
    <w:rsid w:val="00E628A4"/>
    <w:rsid w:val="00E62963"/>
    <w:rsid w:val="00E62B24"/>
    <w:rsid w:val="00E62B76"/>
    <w:rsid w:val="00E62C8B"/>
    <w:rsid w:val="00E62C8D"/>
    <w:rsid w:val="00E62D86"/>
    <w:rsid w:val="00E62DA1"/>
    <w:rsid w:val="00E62DF1"/>
    <w:rsid w:val="00E62E1D"/>
    <w:rsid w:val="00E62F09"/>
    <w:rsid w:val="00E6301D"/>
    <w:rsid w:val="00E63144"/>
    <w:rsid w:val="00E63194"/>
    <w:rsid w:val="00E632E9"/>
    <w:rsid w:val="00E63502"/>
    <w:rsid w:val="00E635DC"/>
    <w:rsid w:val="00E63647"/>
    <w:rsid w:val="00E63759"/>
    <w:rsid w:val="00E63893"/>
    <w:rsid w:val="00E63937"/>
    <w:rsid w:val="00E63A81"/>
    <w:rsid w:val="00E63ACD"/>
    <w:rsid w:val="00E63B2C"/>
    <w:rsid w:val="00E63CFE"/>
    <w:rsid w:val="00E63E4A"/>
    <w:rsid w:val="00E63F2B"/>
    <w:rsid w:val="00E63F80"/>
    <w:rsid w:val="00E63FC2"/>
    <w:rsid w:val="00E64036"/>
    <w:rsid w:val="00E6405E"/>
    <w:rsid w:val="00E641C8"/>
    <w:rsid w:val="00E6436C"/>
    <w:rsid w:val="00E643B3"/>
    <w:rsid w:val="00E643B5"/>
    <w:rsid w:val="00E64438"/>
    <w:rsid w:val="00E6446F"/>
    <w:rsid w:val="00E64494"/>
    <w:rsid w:val="00E6450C"/>
    <w:rsid w:val="00E6452F"/>
    <w:rsid w:val="00E64676"/>
    <w:rsid w:val="00E6469E"/>
    <w:rsid w:val="00E6470B"/>
    <w:rsid w:val="00E6475B"/>
    <w:rsid w:val="00E64811"/>
    <w:rsid w:val="00E64826"/>
    <w:rsid w:val="00E648E5"/>
    <w:rsid w:val="00E649E0"/>
    <w:rsid w:val="00E649EE"/>
    <w:rsid w:val="00E64A00"/>
    <w:rsid w:val="00E64A04"/>
    <w:rsid w:val="00E64A20"/>
    <w:rsid w:val="00E64A8F"/>
    <w:rsid w:val="00E64AE3"/>
    <w:rsid w:val="00E64B4F"/>
    <w:rsid w:val="00E64BCF"/>
    <w:rsid w:val="00E64C1C"/>
    <w:rsid w:val="00E64C1F"/>
    <w:rsid w:val="00E64C27"/>
    <w:rsid w:val="00E64FE7"/>
    <w:rsid w:val="00E65006"/>
    <w:rsid w:val="00E651CE"/>
    <w:rsid w:val="00E651E2"/>
    <w:rsid w:val="00E65222"/>
    <w:rsid w:val="00E6523F"/>
    <w:rsid w:val="00E65267"/>
    <w:rsid w:val="00E65314"/>
    <w:rsid w:val="00E6544C"/>
    <w:rsid w:val="00E65484"/>
    <w:rsid w:val="00E65545"/>
    <w:rsid w:val="00E65572"/>
    <w:rsid w:val="00E65579"/>
    <w:rsid w:val="00E65612"/>
    <w:rsid w:val="00E65634"/>
    <w:rsid w:val="00E657E5"/>
    <w:rsid w:val="00E6583B"/>
    <w:rsid w:val="00E6588D"/>
    <w:rsid w:val="00E658F1"/>
    <w:rsid w:val="00E65A40"/>
    <w:rsid w:val="00E65B33"/>
    <w:rsid w:val="00E65DF1"/>
    <w:rsid w:val="00E65E36"/>
    <w:rsid w:val="00E65FB7"/>
    <w:rsid w:val="00E65FCC"/>
    <w:rsid w:val="00E6633A"/>
    <w:rsid w:val="00E663AC"/>
    <w:rsid w:val="00E664FF"/>
    <w:rsid w:val="00E6650E"/>
    <w:rsid w:val="00E66541"/>
    <w:rsid w:val="00E665CF"/>
    <w:rsid w:val="00E66604"/>
    <w:rsid w:val="00E66743"/>
    <w:rsid w:val="00E667C7"/>
    <w:rsid w:val="00E66821"/>
    <w:rsid w:val="00E66831"/>
    <w:rsid w:val="00E66853"/>
    <w:rsid w:val="00E66951"/>
    <w:rsid w:val="00E6695D"/>
    <w:rsid w:val="00E669D6"/>
    <w:rsid w:val="00E66BFA"/>
    <w:rsid w:val="00E66C28"/>
    <w:rsid w:val="00E66C8D"/>
    <w:rsid w:val="00E66ECC"/>
    <w:rsid w:val="00E66EFB"/>
    <w:rsid w:val="00E66F3F"/>
    <w:rsid w:val="00E67027"/>
    <w:rsid w:val="00E67066"/>
    <w:rsid w:val="00E6708A"/>
    <w:rsid w:val="00E670F4"/>
    <w:rsid w:val="00E671A3"/>
    <w:rsid w:val="00E671AB"/>
    <w:rsid w:val="00E671C3"/>
    <w:rsid w:val="00E671F9"/>
    <w:rsid w:val="00E67220"/>
    <w:rsid w:val="00E6726C"/>
    <w:rsid w:val="00E672A1"/>
    <w:rsid w:val="00E672F4"/>
    <w:rsid w:val="00E6739B"/>
    <w:rsid w:val="00E67439"/>
    <w:rsid w:val="00E67494"/>
    <w:rsid w:val="00E674E6"/>
    <w:rsid w:val="00E6753C"/>
    <w:rsid w:val="00E67606"/>
    <w:rsid w:val="00E67630"/>
    <w:rsid w:val="00E6770E"/>
    <w:rsid w:val="00E67719"/>
    <w:rsid w:val="00E67732"/>
    <w:rsid w:val="00E67785"/>
    <w:rsid w:val="00E6778B"/>
    <w:rsid w:val="00E677F4"/>
    <w:rsid w:val="00E67986"/>
    <w:rsid w:val="00E67A16"/>
    <w:rsid w:val="00E67B2F"/>
    <w:rsid w:val="00E67C30"/>
    <w:rsid w:val="00E67CF1"/>
    <w:rsid w:val="00E67D25"/>
    <w:rsid w:val="00E67E58"/>
    <w:rsid w:val="00E67EAF"/>
    <w:rsid w:val="00E67F5C"/>
    <w:rsid w:val="00E67FAE"/>
    <w:rsid w:val="00E700A7"/>
    <w:rsid w:val="00E70161"/>
    <w:rsid w:val="00E70324"/>
    <w:rsid w:val="00E703A0"/>
    <w:rsid w:val="00E70571"/>
    <w:rsid w:val="00E705C5"/>
    <w:rsid w:val="00E7069A"/>
    <w:rsid w:val="00E70745"/>
    <w:rsid w:val="00E7081A"/>
    <w:rsid w:val="00E70895"/>
    <w:rsid w:val="00E708AC"/>
    <w:rsid w:val="00E708E4"/>
    <w:rsid w:val="00E70949"/>
    <w:rsid w:val="00E70AB8"/>
    <w:rsid w:val="00E70B0D"/>
    <w:rsid w:val="00E70B2A"/>
    <w:rsid w:val="00E70BF9"/>
    <w:rsid w:val="00E70C78"/>
    <w:rsid w:val="00E70EE0"/>
    <w:rsid w:val="00E71009"/>
    <w:rsid w:val="00E71114"/>
    <w:rsid w:val="00E711DB"/>
    <w:rsid w:val="00E71248"/>
    <w:rsid w:val="00E7132D"/>
    <w:rsid w:val="00E7136E"/>
    <w:rsid w:val="00E713D8"/>
    <w:rsid w:val="00E713F6"/>
    <w:rsid w:val="00E71525"/>
    <w:rsid w:val="00E71565"/>
    <w:rsid w:val="00E7158B"/>
    <w:rsid w:val="00E715CE"/>
    <w:rsid w:val="00E7187B"/>
    <w:rsid w:val="00E718BD"/>
    <w:rsid w:val="00E718C2"/>
    <w:rsid w:val="00E71901"/>
    <w:rsid w:val="00E71917"/>
    <w:rsid w:val="00E719FE"/>
    <w:rsid w:val="00E71AFB"/>
    <w:rsid w:val="00E71B31"/>
    <w:rsid w:val="00E71C01"/>
    <w:rsid w:val="00E71C8C"/>
    <w:rsid w:val="00E71CFF"/>
    <w:rsid w:val="00E71D41"/>
    <w:rsid w:val="00E71D63"/>
    <w:rsid w:val="00E71DDB"/>
    <w:rsid w:val="00E71DEA"/>
    <w:rsid w:val="00E71E16"/>
    <w:rsid w:val="00E71EFC"/>
    <w:rsid w:val="00E72037"/>
    <w:rsid w:val="00E72083"/>
    <w:rsid w:val="00E720C1"/>
    <w:rsid w:val="00E720EF"/>
    <w:rsid w:val="00E72225"/>
    <w:rsid w:val="00E7223B"/>
    <w:rsid w:val="00E72248"/>
    <w:rsid w:val="00E72249"/>
    <w:rsid w:val="00E722A1"/>
    <w:rsid w:val="00E722EF"/>
    <w:rsid w:val="00E7242A"/>
    <w:rsid w:val="00E72478"/>
    <w:rsid w:val="00E72487"/>
    <w:rsid w:val="00E724FB"/>
    <w:rsid w:val="00E726D9"/>
    <w:rsid w:val="00E727E2"/>
    <w:rsid w:val="00E727FC"/>
    <w:rsid w:val="00E72823"/>
    <w:rsid w:val="00E7285C"/>
    <w:rsid w:val="00E7291C"/>
    <w:rsid w:val="00E72A30"/>
    <w:rsid w:val="00E72C29"/>
    <w:rsid w:val="00E72C84"/>
    <w:rsid w:val="00E72CA2"/>
    <w:rsid w:val="00E72D9C"/>
    <w:rsid w:val="00E72E98"/>
    <w:rsid w:val="00E72EFD"/>
    <w:rsid w:val="00E72F74"/>
    <w:rsid w:val="00E7302C"/>
    <w:rsid w:val="00E73191"/>
    <w:rsid w:val="00E73198"/>
    <w:rsid w:val="00E731A4"/>
    <w:rsid w:val="00E732DD"/>
    <w:rsid w:val="00E7330F"/>
    <w:rsid w:val="00E733DF"/>
    <w:rsid w:val="00E735A9"/>
    <w:rsid w:val="00E73675"/>
    <w:rsid w:val="00E736D1"/>
    <w:rsid w:val="00E736DB"/>
    <w:rsid w:val="00E7372A"/>
    <w:rsid w:val="00E7388D"/>
    <w:rsid w:val="00E7391F"/>
    <w:rsid w:val="00E73ACD"/>
    <w:rsid w:val="00E73B8F"/>
    <w:rsid w:val="00E73BC1"/>
    <w:rsid w:val="00E73CF4"/>
    <w:rsid w:val="00E73E6F"/>
    <w:rsid w:val="00E73EFF"/>
    <w:rsid w:val="00E73FA2"/>
    <w:rsid w:val="00E73FAE"/>
    <w:rsid w:val="00E74025"/>
    <w:rsid w:val="00E7407A"/>
    <w:rsid w:val="00E74174"/>
    <w:rsid w:val="00E74185"/>
    <w:rsid w:val="00E741A8"/>
    <w:rsid w:val="00E7429B"/>
    <w:rsid w:val="00E744CF"/>
    <w:rsid w:val="00E74554"/>
    <w:rsid w:val="00E7461D"/>
    <w:rsid w:val="00E74727"/>
    <w:rsid w:val="00E74813"/>
    <w:rsid w:val="00E74A8A"/>
    <w:rsid w:val="00E74B54"/>
    <w:rsid w:val="00E74BD7"/>
    <w:rsid w:val="00E74BF7"/>
    <w:rsid w:val="00E74D6C"/>
    <w:rsid w:val="00E74E58"/>
    <w:rsid w:val="00E7518D"/>
    <w:rsid w:val="00E754C5"/>
    <w:rsid w:val="00E754D4"/>
    <w:rsid w:val="00E7566F"/>
    <w:rsid w:val="00E75670"/>
    <w:rsid w:val="00E75755"/>
    <w:rsid w:val="00E7594F"/>
    <w:rsid w:val="00E75980"/>
    <w:rsid w:val="00E759C3"/>
    <w:rsid w:val="00E75A9D"/>
    <w:rsid w:val="00E75B26"/>
    <w:rsid w:val="00E75B49"/>
    <w:rsid w:val="00E75B61"/>
    <w:rsid w:val="00E75BA8"/>
    <w:rsid w:val="00E75CC7"/>
    <w:rsid w:val="00E75F87"/>
    <w:rsid w:val="00E75FC8"/>
    <w:rsid w:val="00E76228"/>
    <w:rsid w:val="00E76289"/>
    <w:rsid w:val="00E762CD"/>
    <w:rsid w:val="00E7630A"/>
    <w:rsid w:val="00E7630C"/>
    <w:rsid w:val="00E763C0"/>
    <w:rsid w:val="00E76426"/>
    <w:rsid w:val="00E76446"/>
    <w:rsid w:val="00E7652A"/>
    <w:rsid w:val="00E765DD"/>
    <w:rsid w:val="00E766F9"/>
    <w:rsid w:val="00E767AA"/>
    <w:rsid w:val="00E767E7"/>
    <w:rsid w:val="00E7680D"/>
    <w:rsid w:val="00E768E7"/>
    <w:rsid w:val="00E768F5"/>
    <w:rsid w:val="00E76930"/>
    <w:rsid w:val="00E769B5"/>
    <w:rsid w:val="00E769EB"/>
    <w:rsid w:val="00E769F1"/>
    <w:rsid w:val="00E76BBB"/>
    <w:rsid w:val="00E76C2D"/>
    <w:rsid w:val="00E76C3C"/>
    <w:rsid w:val="00E76C91"/>
    <w:rsid w:val="00E76CB0"/>
    <w:rsid w:val="00E76CD5"/>
    <w:rsid w:val="00E76D40"/>
    <w:rsid w:val="00E76DA7"/>
    <w:rsid w:val="00E76DF3"/>
    <w:rsid w:val="00E76DF7"/>
    <w:rsid w:val="00E76ED0"/>
    <w:rsid w:val="00E76EFE"/>
    <w:rsid w:val="00E77080"/>
    <w:rsid w:val="00E770C2"/>
    <w:rsid w:val="00E77169"/>
    <w:rsid w:val="00E771C4"/>
    <w:rsid w:val="00E771FB"/>
    <w:rsid w:val="00E7728A"/>
    <w:rsid w:val="00E77328"/>
    <w:rsid w:val="00E77347"/>
    <w:rsid w:val="00E77387"/>
    <w:rsid w:val="00E773DF"/>
    <w:rsid w:val="00E7741C"/>
    <w:rsid w:val="00E77503"/>
    <w:rsid w:val="00E7758C"/>
    <w:rsid w:val="00E77842"/>
    <w:rsid w:val="00E77909"/>
    <w:rsid w:val="00E7790F"/>
    <w:rsid w:val="00E7794F"/>
    <w:rsid w:val="00E77966"/>
    <w:rsid w:val="00E77A3D"/>
    <w:rsid w:val="00E77B08"/>
    <w:rsid w:val="00E77B64"/>
    <w:rsid w:val="00E77C78"/>
    <w:rsid w:val="00E77DC5"/>
    <w:rsid w:val="00E77E29"/>
    <w:rsid w:val="00E77EAF"/>
    <w:rsid w:val="00E77FDA"/>
    <w:rsid w:val="00E80053"/>
    <w:rsid w:val="00E80080"/>
    <w:rsid w:val="00E80106"/>
    <w:rsid w:val="00E80421"/>
    <w:rsid w:val="00E80423"/>
    <w:rsid w:val="00E8043F"/>
    <w:rsid w:val="00E804F0"/>
    <w:rsid w:val="00E80620"/>
    <w:rsid w:val="00E8085A"/>
    <w:rsid w:val="00E80932"/>
    <w:rsid w:val="00E80988"/>
    <w:rsid w:val="00E809A6"/>
    <w:rsid w:val="00E809D6"/>
    <w:rsid w:val="00E80A11"/>
    <w:rsid w:val="00E80A25"/>
    <w:rsid w:val="00E80A4D"/>
    <w:rsid w:val="00E80AF9"/>
    <w:rsid w:val="00E80BB2"/>
    <w:rsid w:val="00E80BEF"/>
    <w:rsid w:val="00E80C49"/>
    <w:rsid w:val="00E80D33"/>
    <w:rsid w:val="00E80D76"/>
    <w:rsid w:val="00E80E83"/>
    <w:rsid w:val="00E81022"/>
    <w:rsid w:val="00E8113B"/>
    <w:rsid w:val="00E8115B"/>
    <w:rsid w:val="00E811B9"/>
    <w:rsid w:val="00E81302"/>
    <w:rsid w:val="00E81408"/>
    <w:rsid w:val="00E8148B"/>
    <w:rsid w:val="00E814CC"/>
    <w:rsid w:val="00E81515"/>
    <w:rsid w:val="00E815B5"/>
    <w:rsid w:val="00E815F6"/>
    <w:rsid w:val="00E816B9"/>
    <w:rsid w:val="00E8173F"/>
    <w:rsid w:val="00E8185D"/>
    <w:rsid w:val="00E81A0A"/>
    <w:rsid w:val="00E81A39"/>
    <w:rsid w:val="00E81A6E"/>
    <w:rsid w:val="00E81A73"/>
    <w:rsid w:val="00E81DDD"/>
    <w:rsid w:val="00E81EEE"/>
    <w:rsid w:val="00E81F98"/>
    <w:rsid w:val="00E820E0"/>
    <w:rsid w:val="00E8229C"/>
    <w:rsid w:val="00E8239C"/>
    <w:rsid w:val="00E823EC"/>
    <w:rsid w:val="00E8241B"/>
    <w:rsid w:val="00E8247B"/>
    <w:rsid w:val="00E824D6"/>
    <w:rsid w:val="00E82533"/>
    <w:rsid w:val="00E825CF"/>
    <w:rsid w:val="00E826C8"/>
    <w:rsid w:val="00E826D0"/>
    <w:rsid w:val="00E8279E"/>
    <w:rsid w:val="00E8280E"/>
    <w:rsid w:val="00E82824"/>
    <w:rsid w:val="00E828B5"/>
    <w:rsid w:val="00E82989"/>
    <w:rsid w:val="00E82A34"/>
    <w:rsid w:val="00E82A5C"/>
    <w:rsid w:val="00E82B42"/>
    <w:rsid w:val="00E82BE5"/>
    <w:rsid w:val="00E82C2C"/>
    <w:rsid w:val="00E82DB8"/>
    <w:rsid w:val="00E82DE5"/>
    <w:rsid w:val="00E82E38"/>
    <w:rsid w:val="00E82E90"/>
    <w:rsid w:val="00E832A6"/>
    <w:rsid w:val="00E832BA"/>
    <w:rsid w:val="00E833CA"/>
    <w:rsid w:val="00E8364F"/>
    <w:rsid w:val="00E837F9"/>
    <w:rsid w:val="00E83955"/>
    <w:rsid w:val="00E83A68"/>
    <w:rsid w:val="00E83A9F"/>
    <w:rsid w:val="00E83AC7"/>
    <w:rsid w:val="00E83C45"/>
    <w:rsid w:val="00E83C5C"/>
    <w:rsid w:val="00E83E84"/>
    <w:rsid w:val="00E83F53"/>
    <w:rsid w:val="00E8401B"/>
    <w:rsid w:val="00E84083"/>
    <w:rsid w:val="00E84226"/>
    <w:rsid w:val="00E842B5"/>
    <w:rsid w:val="00E8433E"/>
    <w:rsid w:val="00E84391"/>
    <w:rsid w:val="00E8452C"/>
    <w:rsid w:val="00E845A2"/>
    <w:rsid w:val="00E8460F"/>
    <w:rsid w:val="00E8479E"/>
    <w:rsid w:val="00E847DE"/>
    <w:rsid w:val="00E84984"/>
    <w:rsid w:val="00E849AE"/>
    <w:rsid w:val="00E84B56"/>
    <w:rsid w:val="00E84BA9"/>
    <w:rsid w:val="00E84BCE"/>
    <w:rsid w:val="00E84C03"/>
    <w:rsid w:val="00E84C2B"/>
    <w:rsid w:val="00E84CBB"/>
    <w:rsid w:val="00E84CD7"/>
    <w:rsid w:val="00E84D52"/>
    <w:rsid w:val="00E84D84"/>
    <w:rsid w:val="00E84E20"/>
    <w:rsid w:val="00E84EDE"/>
    <w:rsid w:val="00E84F01"/>
    <w:rsid w:val="00E84FB1"/>
    <w:rsid w:val="00E85042"/>
    <w:rsid w:val="00E850A6"/>
    <w:rsid w:val="00E85223"/>
    <w:rsid w:val="00E8524A"/>
    <w:rsid w:val="00E853E6"/>
    <w:rsid w:val="00E85596"/>
    <w:rsid w:val="00E855BB"/>
    <w:rsid w:val="00E855CA"/>
    <w:rsid w:val="00E85632"/>
    <w:rsid w:val="00E85696"/>
    <w:rsid w:val="00E856D2"/>
    <w:rsid w:val="00E857F4"/>
    <w:rsid w:val="00E85808"/>
    <w:rsid w:val="00E8585A"/>
    <w:rsid w:val="00E85926"/>
    <w:rsid w:val="00E859BE"/>
    <w:rsid w:val="00E85A3B"/>
    <w:rsid w:val="00E85A82"/>
    <w:rsid w:val="00E85B59"/>
    <w:rsid w:val="00E85BEE"/>
    <w:rsid w:val="00E85C62"/>
    <w:rsid w:val="00E85C96"/>
    <w:rsid w:val="00E85C9C"/>
    <w:rsid w:val="00E85CA2"/>
    <w:rsid w:val="00E85E27"/>
    <w:rsid w:val="00E85E96"/>
    <w:rsid w:val="00E85EB0"/>
    <w:rsid w:val="00E85F3D"/>
    <w:rsid w:val="00E85FFB"/>
    <w:rsid w:val="00E8602E"/>
    <w:rsid w:val="00E86057"/>
    <w:rsid w:val="00E860B8"/>
    <w:rsid w:val="00E862F0"/>
    <w:rsid w:val="00E863AD"/>
    <w:rsid w:val="00E864D9"/>
    <w:rsid w:val="00E86525"/>
    <w:rsid w:val="00E86528"/>
    <w:rsid w:val="00E865BC"/>
    <w:rsid w:val="00E8669A"/>
    <w:rsid w:val="00E8672B"/>
    <w:rsid w:val="00E86754"/>
    <w:rsid w:val="00E8677A"/>
    <w:rsid w:val="00E867C8"/>
    <w:rsid w:val="00E868DF"/>
    <w:rsid w:val="00E869D4"/>
    <w:rsid w:val="00E869F8"/>
    <w:rsid w:val="00E86A11"/>
    <w:rsid w:val="00E86A41"/>
    <w:rsid w:val="00E86A84"/>
    <w:rsid w:val="00E86BD8"/>
    <w:rsid w:val="00E86C61"/>
    <w:rsid w:val="00E86C9C"/>
    <w:rsid w:val="00E86D52"/>
    <w:rsid w:val="00E86DD2"/>
    <w:rsid w:val="00E86DEE"/>
    <w:rsid w:val="00E86E7C"/>
    <w:rsid w:val="00E86ED4"/>
    <w:rsid w:val="00E8723C"/>
    <w:rsid w:val="00E8744D"/>
    <w:rsid w:val="00E87525"/>
    <w:rsid w:val="00E875E9"/>
    <w:rsid w:val="00E87612"/>
    <w:rsid w:val="00E8769B"/>
    <w:rsid w:val="00E87714"/>
    <w:rsid w:val="00E87855"/>
    <w:rsid w:val="00E87892"/>
    <w:rsid w:val="00E87925"/>
    <w:rsid w:val="00E8794F"/>
    <w:rsid w:val="00E87975"/>
    <w:rsid w:val="00E87ADC"/>
    <w:rsid w:val="00E87AEC"/>
    <w:rsid w:val="00E87B43"/>
    <w:rsid w:val="00E87B6F"/>
    <w:rsid w:val="00E87CC8"/>
    <w:rsid w:val="00E87CE4"/>
    <w:rsid w:val="00E87D13"/>
    <w:rsid w:val="00E87E0E"/>
    <w:rsid w:val="00E87E40"/>
    <w:rsid w:val="00E87F41"/>
    <w:rsid w:val="00E90069"/>
    <w:rsid w:val="00E90082"/>
    <w:rsid w:val="00E901B7"/>
    <w:rsid w:val="00E90219"/>
    <w:rsid w:val="00E9022D"/>
    <w:rsid w:val="00E902A2"/>
    <w:rsid w:val="00E902AB"/>
    <w:rsid w:val="00E9040D"/>
    <w:rsid w:val="00E90437"/>
    <w:rsid w:val="00E90448"/>
    <w:rsid w:val="00E90477"/>
    <w:rsid w:val="00E90495"/>
    <w:rsid w:val="00E904A3"/>
    <w:rsid w:val="00E904C1"/>
    <w:rsid w:val="00E904CB"/>
    <w:rsid w:val="00E9055A"/>
    <w:rsid w:val="00E905EA"/>
    <w:rsid w:val="00E90650"/>
    <w:rsid w:val="00E90777"/>
    <w:rsid w:val="00E90814"/>
    <w:rsid w:val="00E9085B"/>
    <w:rsid w:val="00E908A0"/>
    <w:rsid w:val="00E908F9"/>
    <w:rsid w:val="00E90954"/>
    <w:rsid w:val="00E9098A"/>
    <w:rsid w:val="00E90ABA"/>
    <w:rsid w:val="00E90B2F"/>
    <w:rsid w:val="00E90B40"/>
    <w:rsid w:val="00E90C46"/>
    <w:rsid w:val="00E90EA1"/>
    <w:rsid w:val="00E90FB9"/>
    <w:rsid w:val="00E90FD6"/>
    <w:rsid w:val="00E91072"/>
    <w:rsid w:val="00E9110D"/>
    <w:rsid w:val="00E91230"/>
    <w:rsid w:val="00E9124A"/>
    <w:rsid w:val="00E91350"/>
    <w:rsid w:val="00E91470"/>
    <w:rsid w:val="00E9157D"/>
    <w:rsid w:val="00E9159A"/>
    <w:rsid w:val="00E915A4"/>
    <w:rsid w:val="00E91604"/>
    <w:rsid w:val="00E91685"/>
    <w:rsid w:val="00E917B0"/>
    <w:rsid w:val="00E91899"/>
    <w:rsid w:val="00E918BA"/>
    <w:rsid w:val="00E91995"/>
    <w:rsid w:val="00E919CB"/>
    <w:rsid w:val="00E91A94"/>
    <w:rsid w:val="00E91C52"/>
    <w:rsid w:val="00E91C9C"/>
    <w:rsid w:val="00E91D2A"/>
    <w:rsid w:val="00E91D40"/>
    <w:rsid w:val="00E91EE3"/>
    <w:rsid w:val="00E91F81"/>
    <w:rsid w:val="00E920CA"/>
    <w:rsid w:val="00E922BA"/>
    <w:rsid w:val="00E922F1"/>
    <w:rsid w:val="00E923C5"/>
    <w:rsid w:val="00E92444"/>
    <w:rsid w:val="00E924C0"/>
    <w:rsid w:val="00E9250C"/>
    <w:rsid w:val="00E9250F"/>
    <w:rsid w:val="00E92652"/>
    <w:rsid w:val="00E926AA"/>
    <w:rsid w:val="00E926AC"/>
    <w:rsid w:val="00E926B4"/>
    <w:rsid w:val="00E9273B"/>
    <w:rsid w:val="00E9275D"/>
    <w:rsid w:val="00E92808"/>
    <w:rsid w:val="00E9281C"/>
    <w:rsid w:val="00E92820"/>
    <w:rsid w:val="00E9288E"/>
    <w:rsid w:val="00E928AF"/>
    <w:rsid w:val="00E928BD"/>
    <w:rsid w:val="00E92960"/>
    <w:rsid w:val="00E929BD"/>
    <w:rsid w:val="00E92A86"/>
    <w:rsid w:val="00E92ACC"/>
    <w:rsid w:val="00E92B0F"/>
    <w:rsid w:val="00E92B38"/>
    <w:rsid w:val="00E92B92"/>
    <w:rsid w:val="00E92C60"/>
    <w:rsid w:val="00E92D02"/>
    <w:rsid w:val="00E92E75"/>
    <w:rsid w:val="00E92F36"/>
    <w:rsid w:val="00E930CC"/>
    <w:rsid w:val="00E930E4"/>
    <w:rsid w:val="00E93197"/>
    <w:rsid w:val="00E931EC"/>
    <w:rsid w:val="00E93257"/>
    <w:rsid w:val="00E932BC"/>
    <w:rsid w:val="00E93317"/>
    <w:rsid w:val="00E9338C"/>
    <w:rsid w:val="00E9346F"/>
    <w:rsid w:val="00E93597"/>
    <w:rsid w:val="00E9364A"/>
    <w:rsid w:val="00E9372B"/>
    <w:rsid w:val="00E9375E"/>
    <w:rsid w:val="00E93783"/>
    <w:rsid w:val="00E93798"/>
    <w:rsid w:val="00E93893"/>
    <w:rsid w:val="00E93941"/>
    <w:rsid w:val="00E93995"/>
    <w:rsid w:val="00E939E6"/>
    <w:rsid w:val="00E93A53"/>
    <w:rsid w:val="00E93AAA"/>
    <w:rsid w:val="00E93C8B"/>
    <w:rsid w:val="00E93CC3"/>
    <w:rsid w:val="00E940B1"/>
    <w:rsid w:val="00E940E5"/>
    <w:rsid w:val="00E94180"/>
    <w:rsid w:val="00E94352"/>
    <w:rsid w:val="00E94376"/>
    <w:rsid w:val="00E944EF"/>
    <w:rsid w:val="00E94587"/>
    <w:rsid w:val="00E94601"/>
    <w:rsid w:val="00E9465D"/>
    <w:rsid w:val="00E94734"/>
    <w:rsid w:val="00E947BF"/>
    <w:rsid w:val="00E949A5"/>
    <w:rsid w:val="00E94A9B"/>
    <w:rsid w:val="00E94BBD"/>
    <w:rsid w:val="00E94BF1"/>
    <w:rsid w:val="00E94C22"/>
    <w:rsid w:val="00E94C48"/>
    <w:rsid w:val="00E94CAB"/>
    <w:rsid w:val="00E94CAD"/>
    <w:rsid w:val="00E94D8A"/>
    <w:rsid w:val="00E94EE9"/>
    <w:rsid w:val="00E9512B"/>
    <w:rsid w:val="00E95323"/>
    <w:rsid w:val="00E953C2"/>
    <w:rsid w:val="00E95402"/>
    <w:rsid w:val="00E954E5"/>
    <w:rsid w:val="00E955C6"/>
    <w:rsid w:val="00E9577C"/>
    <w:rsid w:val="00E9588A"/>
    <w:rsid w:val="00E958AE"/>
    <w:rsid w:val="00E95944"/>
    <w:rsid w:val="00E95A77"/>
    <w:rsid w:val="00E95A96"/>
    <w:rsid w:val="00E95AF0"/>
    <w:rsid w:val="00E95B2C"/>
    <w:rsid w:val="00E95B61"/>
    <w:rsid w:val="00E95C05"/>
    <w:rsid w:val="00E95D4B"/>
    <w:rsid w:val="00E95E53"/>
    <w:rsid w:val="00E95F45"/>
    <w:rsid w:val="00E9610F"/>
    <w:rsid w:val="00E9616E"/>
    <w:rsid w:val="00E9617D"/>
    <w:rsid w:val="00E962DB"/>
    <w:rsid w:val="00E9634F"/>
    <w:rsid w:val="00E9638D"/>
    <w:rsid w:val="00E96434"/>
    <w:rsid w:val="00E964CC"/>
    <w:rsid w:val="00E9655B"/>
    <w:rsid w:val="00E965E3"/>
    <w:rsid w:val="00E9668D"/>
    <w:rsid w:val="00E9689C"/>
    <w:rsid w:val="00E969AD"/>
    <w:rsid w:val="00E969E6"/>
    <w:rsid w:val="00E96CC1"/>
    <w:rsid w:val="00E96CFA"/>
    <w:rsid w:val="00E96D6D"/>
    <w:rsid w:val="00E96E2E"/>
    <w:rsid w:val="00E96F7A"/>
    <w:rsid w:val="00E96F80"/>
    <w:rsid w:val="00E97163"/>
    <w:rsid w:val="00E971C9"/>
    <w:rsid w:val="00E97352"/>
    <w:rsid w:val="00E9739E"/>
    <w:rsid w:val="00E97475"/>
    <w:rsid w:val="00E97494"/>
    <w:rsid w:val="00E975AF"/>
    <w:rsid w:val="00E975CE"/>
    <w:rsid w:val="00E97613"/>
    <w:rsid w:val="00E9762D"/>
    <w:rsid w:val="00E978CE"/>
    <w:rsid w:val="00E97962"/>
    <w:rsid w:val="00E9798C"/>
    <w:rsid w:val="00E97B02"/>
    <w:rsid w:val="00E97BFE"/>
    <w:rsid w:val="00E97C32"/>
    <w:rsid w:val="00E97C43"/>
    <w:rsid w:val="00E97D51"/>
    <w:rsid w:val="00E97DFB"/>
    <w:rsid w:val="00E97F7A"/>
    <w:rsid w:val="00E97F83"/>
    <w:rsid w:val="00EA00BB"/>
    <w:rsid w:val="00EA018E"/>
    <w:rsid w:val="00EA01D5"/>
    <w:rsid w:val="00EA022F"/>
    <w:rsid w:val="00EA0238"/>
    <w:rsid w:val="00EA0381"/>
    <w:rsid w:val="00EA039F"/>
    <w:rsid w:val="00EA048D"/>
    <w:rsid w:val="00EA04ED"/>
    <w:rsid w:val="00EA0658"/>
    <w:rsid w:val="00EA07B5"/>
    <w:rsid w:val="00EA0948"/>
    <w:rsid w:val="00EA0955"/>
    <w:rsid w:val="00EA0A57"/>
    <w:rsid w:val="00EA0AD4"/>
    <w:rsid w:val="00EA0D1F"/>
    <w:rsid w:val="00EA0D8A"/>
    <w:rsid w:val="00EA0D98"/>
    <w:rsid w:val="00EA0DAD"/>
    <w:rsid w:val="00EA0EC1"/>
    <w:rsid w:val="00EA0FCA"/>
    <w:rsid w:val="00EA1158"/>
    <w:rsid w:val="00EA116E"/>
    <w:rsid w:val="00EA126C"/>
    <w:rsid w:val="00EA132E"/>
    <w:rsid w:val="00EA1344"/>
    <w:rsid w:val="00EA1372"/>
    <w:rsid w:val="00EA139D"/>
    <w:rsid w:val="00EA14C4"/>
    <w:rsid w:val="00EA157E"/>
    <w:rsid w:val="00EA1784"/>
    <w:rsid w:val="00EA1937"/>
    <w:rsid w:val="00EA1970"/>
    <w:rsid w:val="00EA1986"/>
    <w:rsid w:val="00EA1A81"/>
    <w:rsid w:val="00EA1BF9"/>
    <w:rsid w:val="00EA1D1D"/>
    <w:rsid w:val="00EA1DAA"/>
    <w:rsid w:val="00EA1DF7"/>
    <w:rsid w:val="00EA1EC7"/>
    <w:rsid w:val="00EA1EDB"/>
    <w:rsid w:val="00EA2060"/>
    <w:rsid w:val="00EA20B7"/>
    <w:rsid w:val="00EA2169"/>
    <w:rsid w:val="00EA219A"/>
    <w:rsid w:val="00EA222A"/>
    <w:rsid w:val="00EA2284"/>
    <w:rsid w:val="00EA22C7"/>
    <w:rsid w:val="00EA2364"/>
    <w:rsid w:val="00EA244F"/>
    <w:rsid w:val="00EA247E"/>
    <w:rsid w:val="00EA24CB"/>
    <w:rsid w:val="00EA2524"/>
    <w:rsid w:val="00EA2647"/>
    <w:rsid w:val="00EA281C"/>
    <w:rsid w:val="00EA2842"/>
    <w:rsid w:val="00EA2943"/>
    <w:rsid w:val="00EA294A"/>
    <w:rsid w:val="00EA294D"/>
    <w:rsid w:val="00EA296C"/>
    <w:rsid w:val="00EA2971"/>
    <w:rsid w:val="00EA29DA"/>
    <w:rsid w:val="00EA2A60"/>
    <w:rsid w:val="00EA2A72"/>
    <w:rsid w:val="00EA2AEA"/>
    <w:rsid w:val="00EA2B0A"/>
    <w:rsid w:val="00EA2C08"/>
    <w:rsid w:val="00EA2C10"/>
    <w:rsid w:val="00EA2C4F"/>
    <w:rsid w:val="00EA2CE6"/>
    <w:rsid w:val="00EA2D55"/>
    <w:rsid w:val="00EA2EC8"/>
    <w:rsid w:val="00EA306D"/>
    <w:rsid w:val="00EA3104"/>
    <w:rsid w:val="00EA3127"/>
    <w:rsid w:val="00EA3174"/>
    <w:rsid w:val="00EA31BB"/>
    <w:rsid w:val="00EA3200"/>
    <w:rsid w:val="00EA32AE"/>
    <w:rsid w:val="00EA3355"/>
    <w:rsid w:val="00EA335F"/>
    <w:rsid w:val="00EA361F"/>
    <w:rsid w:val="00EA36A6"/>
    <w:rsid w:val="00EA36A9"/>
    <w:rsid w:val="00EA37D5"/>
    <w:rsid w:val="00EA39A3"/>
    <w:rsid w:val="00EA3A5E"/>
    <w:rsid w:val="00EA3B4A"/>
    <w:rsid w:val="00EA3B8D"/>
    <w:rsid w:val="00EA3C40"/>
    <w:rsid w:val="00EA3D07"/>
    <w:rsid w:val="00EA3DB6"/>
    <w:rsid w:val="00EA4016"/>
    <w:rsid w:val="00EA4067"/>
    <w:rsid w:val="00EA40FA"/>
    <w:rsid w:val="00EA418A"/>
    <w:rsid w:val="00EA4299"/>
    <w:rsid w:val="00EA433D"/>
    <w:rsid w:val="00EA438D"/>
    <w:rsid w:val="00EA44E0"/>
    <w:rsid w:val="00EA4568"/>
    <w:rsid w:val="00EA45AD"/>
    <w:rsid w:val="00EA45F6"/>
    <w:rsid w:val="00EA45FD"/>
    <w:rsid w:val="00EA4619"/>
    <w:rsid w:val="00EA473F"/>
    <w:rsid w:val="00EA47A1"/>
    <w:rsid w:val="00EA47EF"/>
    <w:rsid w:val="00EA47FC"/>
    <w:rsid w:val="00EA48B9"/>
    <w:rsid w:val="00EA49A5"/>
    <w:rsid w:val="00EA49B2"/>
    <w:rsid w:val="00EA4B1E"/>
    <w:rsid w:val="00EA4B4F"/>
    <w:rsid w:val="00EA4C47"/>
    <w:rsid w:val="00EA4D5B"/>
    <w:rsid w:val="00EA4D73"/>
    <w:rsid w:val="00EA4E01"/>
    <w:rsid w:val="00EA4E02"/>
    <w:rsid w:val="00EA4EAC"/>
    <w:rsid w:val="00EA4EC5"/>
    <w:rsid w:val="00EA4F3C"/>
    <w:rsid w:val="00EA4F3F"/>
    <w:rsid w:val="00EA4F58"/>
    <w:rsid w:val="00EA5045"/>
    <w:rsid w:val="00EA52E0"/>
    <w:rsid w:val="00EA53D8"/>
    <w:rsid w:val="00EA53DA"/>
    <w:rsid w:val="00EA5507"/>
    <w:rsid w:val="00EA55D8"/>
    <w:rsid w:val="00EA55DD"/>
    <w:rsid w:val="00EA5614"/>
    <w:rsid w:val="00EA561D"/>
    <w:rsid w:val="00EA564A"/>
    <w:rsid w:val="00EA5672"/>
    <w:rsid w:val="00EA56E4"/>
    <w:rsid w:val="00EA5742"/>
    <w:rsid w:val="00EA57D9"/>
    <w:rsid w:val="00EA57E8"/>
    <w:rsid w:val="00EA582E"/>
    <w:rsid w:val="00EA595F"/>
    <w:rsid w:val="00EA5A17"/>
    <w:rsid w:val="00EA5BEA"/>
    <w:rsid w:val="00EA5E93"/>
    <w:rsid w:val="00EA604D"/>
    <w:rsid w:val="00EA6177"/>
    <w:rsid w:val="00EA6218"/>
    <w:rsid w:val="00EA62B6"/>
    <w:rsid w:val="00EA62F1"/>
    <w:rsid w:val="00EA6320"/>
    <w:rsid w:val="00EA6348"/>
    <w:rsid w:val="00EA6396"/>
    <w:rsid w:val="00EA6397"/>
    <w:rsid w:val="00EA6484"/>
    <w:rsid w:val="00EA649E"/>
    <w:rsid w:val="00EA650D"/>
    <w:rsid w:val="00EA655B"/>
    <w:rsid w:val="00EA65AA"/>
    <w:rsid w:val="00EA662B"/>
    <w:rsid w:val="00EA672F"/>
    <w:rsid w:val="00EA6735"/>
    <w:rsid w:val="00EA686B"/>
    <w:rsid w:val="00EA68A4"/>
    <w:rsid w:val="00EA6A8F"/>
    <w:rsid w:val="00EA6B0D"/>
    <w:rsid w:val="00EA6C0D"/>
    <w:rsid w:val="00EA6C80"/>
    <w:rsid w:val="00EA6D24"/>
    <w:rsid w:val="00EA6D9B"/>
    <w:rsid w:val="00EA6E59"/>
    <w:rsid w:val="00EA6FD8"/>
    <w:rsid w:val="00EA6FDA"/>
    <w:rsid w:val="00EA6FE2"/>
    <w:rsid w:val="00EA719B"/>
    <w:rsid w:val="00EA71B9"/>
    <w:rsid w:val="00EA7255"/>
    <w:rsid w:val="00EA7304"/>
    <w:rsid w:val="00EA734E"/>
    <w:rsid w:val="00EA73A0"/>
    <w:rsid w:val="00EA7481"/>
    <w:rsid w:val="00EA752E"/>
    <w:rsid w:val="00EA7857"/>
    <w:rsid w:val="00EA7896"/>
    <w:rsid w:val="00EA78EA"/>
    <w:rsid w:val="00EA7A0D"/>
    <w:rsid w:val="00EA7B89"/>
    <w:rsid w:val="00EA7B94"/>
    <w:rsid w:val="00EA7D9E"/>
    <w:rsid w:val="00EA7EC4"/>
    <w:rsid w:val="00EA7ED1"/>
    <w:rsid w:val="00EA7F06"/>
    <w:rsid w:val="00EA7F27"/>
    <w:rsid w:val="00EB000A"/>
    <w:rsid w:val="00EB00E0"/>
    <w:rsid w:val="00EB0112"/>
    <w:rsid w:val="00EB0155"/>
    <w:rsid w:val="00EB0187"/>
    <w:rsid w:val="00EB01FE"/>
    <w:rsid w:val="00EB028C"/>
    <w:rsid w:val="00EB0361"/>
    <w:rsid w:val="00EB0550"/>
    <w:rsid w:val="00EB0556"/>
    <w:rsid w:val="00EB08AF"/>
    <w:rsid w:val="00EB090D"/>
    <w:rsid w:val="00EB09DA"/>
    <w:rsid w:val="00EB09EA"/>
    <w:rsid w:val="00EB0A67"/>
    <w:rsid w:val="00EB0A76"/>
    <w:rsid w:val="00EB0B4A"/>
    <w:rsid w:val="00EB0B84"/>
    <w:rsid w:val="00EB0C21"/>
    <w:rsid w:val="00EB0C81"/>
    <w:rsid w:val="00EB0DE1"/>
    <w:rsid w:val="00EB0E46"/>
    <w:rsid w:val="00EB0E8E"/>
    <w:rsid w:val="00EB0E9B"/>
    <w:rsid w:val="00EB0F91"/>
    <w:rsid w:val="00EB0FBA"/>
    <w:rsid w:val="00EB1003"/>
    <w:rsid w:val="00EB10ED"/>
    <w:rsid w:val="00EB1183"/>
    <w:rsid w:val="00EB11AE"/>
    <w:rsid w:val="00EB125F"/>
    <w:rsid w:val="00EB128D"/>
    <w:rsid w:val="00EB12E6"/>
    <w:rsid w:val="00EB1386"/>
    <w:rsid w:val="00EB1434"/>
    <w:rsid w:val="00EB14F8"/>
    <w:rsid w:val="00EB1502"/>
    <w:rsid w:val="00EB157D"/>
    <w:rsid w:val="00EB159D"/>
    <w:rsid w:val="00EB15C5"/>
    <w:rsid w:val="00EB1651"/>
    <w:rsid w:val="00EB1680"/>
    <w:rsid w:val="00EB174A"/>
    <w:rsid w:val="00EB1759"/>
    <w:rsid w:val="00EB17BD"/>
    <w:rsid w:val="00EB1858"/>
    <w:rsid w:val="00EB18A3"/>
    <w:rsid w:val="00EB190E"/>
    <w:rsid w:val="00EB19D1"/>
    <w:rsid w:val="00EB1A94"/>
    <w:rsid w:val="00EB1ABC"/>
    <w:rsid w:val="00EB1B92"/>
    <w:rsid w:val="00EB1BB9"/>
    <w:rsid w:val="00EB1BC0"/>
    <w:rsid w:val="00EB1CCA"/>
    <w:rsid w:val="00EB1E1D"/>
    <w:rsid w:val="00EB1EF0"/>
    <w:rsid w:val="00EB1EF1"/>
    <w:rsid w:val="00EB1FC9"/>
    <w:rsid w:val="00EB2213"/>
    <w:rsid w:val="00EB2342"/>
    <w:rsid w:val="00EB23FD"/>
    <w:rsid w:val="00EB2577"/>
    <w:rsid w:val="00EB2669"/>
    <w:rsid w:val="00EB2776"/>
    <w:rsid w:val="00EB277B"/>
    <w:rsid w:val="00EB27B1"/>
    <w:rsid w:val="00EB27C3"/>
    <w:rsid w:val="00EB2898"/>
    <w:rsid w:val="00EB2938"/>
    <w:rsid w:val="00EB29BC"/>
    <w:rsid w:val="00EB2BA0"/>
    <w:rsid w:val="00EB2CBD"/>
    <w:rsid w:val="00EB2D15"/>
    <w:rsid w:val="00EB2D29"/>
    <w:rsid w:val="00EB2D46"/>
    <w:rsid w:val="00EB2E66"/>
    <w:rsid w:val="00EB2E9B"/>
    <w:rsid w:val="00EB2FEA"/>
    <w:rsid w:val="00EB300D"/>
    <w:rsid w:val="00EB3059"/>
    <w:rsid w:val="00EB31E3"/>
    <w:rsid w:val="00EB326E"/>
    <w:rsid w:val="00EB3272"/>
    <w:rsid w:val="00EB328D"/>
    <w:rsid w:val="00EB342F"/>
    <w:rsid w:val="00EB3594"/>
    <w:rsid w:val="00EB3658"/>
    <w:rsid w:val="00EB3698"/>
    <w:rsid w:val="00EB39CC"/>
    <w:rsid w:val="00EB3B02"/>
    <w:rsid w:val="00EB3B2C"/>
    <w:rsid w:val="00EB3BD8"/>
    <w:rsid w:val="00EB3C48"/>
    <w:rsid w:val="00EB3CB2"/>
    <w:rsid w:val="00EB3CCD"/>
    <w:rsid w:val="00EB3CD1"/>
    <w:rsid w:val="00EB3D1B"/>
    <w:rsid w:val="00EB3D60"/>
    <w:rsid w:val="00EB3D95"/>
    <w:rsid w:val="00EB3F03"/>
    <w:rsid w:val="00EB3F59"/>
    <w:rsid w:val="00EB3FFE"/>
    <w:rsid w:val="00EB402B"/>
    <w:rsid w:val="00EB4274"/>
    <w:rsid w:val="00EB4497"/>
    <w:rsid w:val="00EB44A9"/>
    <w:rsid w:val="00EB483F"/>
    <w:rsid w:val="00EB4845"/>
    <w:rsid w:val="00EB4A65"/>
    <w:rsid w:val="00EB4B0E"/>
    <w:rsid w:val="00EB4BCF"/>
    <w:rsid w:val="00EB4C85"/>
    <w:rsid w:val="00EB4D07"/>
    <w:rsid w:val="00EB4D26"/>
    <w:rsid w:val="00EB4D84"/>
    <w:rsid w:val="00EB4DFF"/>
    <w:rsid w:val="00EB4E04"/>
    <w:rsid w:val="00EB4E11"/>
    <w:rsid w:val="00EB4EBA"/>
    <w:rsid w:val="00EB4ED7"/>
    <w:rsid w:val="00EB4F6D"/>
    <w:rsid w:val="00EB4FEF"/>
    <w:rsid w:val="00EB5010"/>
    <w:rsid w:val="00EB5066"/>
    <w:rsid w:val="00EB51A5"/>
    <w:rsid w:val="00EB51FC"/>
    <w:rsid w:val="00EB527A"/>
    <w:rsid w:val="00EB52AB"/>
    <w:rsid w:val="00EB5352"/>
    <w:rsid w:val="00EB538D"/>
    <w:rsid w:val="00EB552C"/>
    <w:rsid w:val="00EB560B"/>
    <w:rsid w:val="00EB5692"/>
    <w:rsid w:val="00EB56B6"/>
    <w:rsid w:val="00EB583D"/>
    <w:rsid w:val="00EB58E0"/>
    <w:rsid w:val="00EB596D"/>
    <w:rsid w:val="00EB5A14"/>
    <w:rsid w:val="00EB5AFB"/>
    <w:rsid w:val="00EB5C16"/>
    <w:rsid w:val="00EB5C43"/>
    <w:rsid w:val="00EB5CD4"/>
    <w:rsid w:val="00EB5D6B"/>
    <w:rsid w:val="00EB5DB8"/>
    <w:rsid w:val="00EB5DC6"/>
    <w:rsid w:val="00EB5DF1"/>
    <w:rsid w:val="00EB5E24"/>
    <w:rsid w:val="00EB5E9F"/>
    <w:rsid w:val="00EB5EB5"/>
    <w:rsid w:val="00EB5EDC"/>
    <w:rsid w:val="00EB5F1D"/>
    <w:rsid w:val="00EB615A"/>
    <w:rsid w:val="00EB61A0"/>
    <w:rsid w:val="00EB6300"/>
    <w:rsid w:val="00EB6311"/>
    <w:rsid w:val="00EB644D"/>
    <w:rsid w:val="00EB6457"/>
    <w:rsid w:val="00EB6470"/>
    <w:rsid w:val="00EB649C"/>
    <w:rsid w:val="00EB6530"/>
    <w:rsid w:val="00EB656D"/>
    <w:rsid w:val="00EB65E1"/>
    <w:rsid w:val="00EB6611"/>
    <w:rsid w:val="00EB66C8"/>
    <w:rsid w:val="00EB6749"/>
    <w:rsid w:val="00EB67A1"/>
    <w:rsid w:val="00EB683E"/>
    <w:rsid w:val="00EB6909"/>
    <w:rsid w:val="00EB692D"/>
    <w:rsid w:val="00EB6A14"/>
    <w:rsid w:val="00EB6A67"/>
    <w:rsid w:val="00EB6AEC"/>
    <w:rsid w:val="00EB6B0F"/>
    <w:rsid w:val="00EB6B77"/>
    <w:rsid w:val="00EB6CD8"/>
    <w:rsid w:val="00EB6DF9"/>
    <w:rsid w:val="00EB6EDD"/>
    <w:rsid w:val="00EB6EF3"/>
    <w:rsid w:val="00EB6F13"/>
    <w:rsid w:val="00EB6F1F"/>
    <w:rsid w:val="00EB70DC"/>
    <w:rsid w:val="00EB7141"/>
    <w:rsid w:val="00EB716D"/>
    <w:rsid w:val="00EB7198"/>
    <w:rsid w:val="00EB731D"/>
    <w:rsid w:val="00EB7400"/>
    <w:rsid w:val="00EB7435"/>
    <w:rsid w:val="00EB745D"/>
    <w:rsid w:val="00EB7466"/>
    <w:rsid w:val="00EB7666"/>
    <w:rsid w:val="00EB76B4"/>
    <w:rsid w:val="00EB76E2"/>
    <w:rsid w:val="00EB780B"/>
    <w:rsid w:val="00EB78F4"/>
    <w:rsid w:val="00EB78FA"/>
    <w:rsid w:val="00EB79F8"/>
    <w:rsid w:val="00EB7A76"/>
    <w:rsid w:val="00EB7A96"/>
    <w:rsid w:val="00EB7BFC"/>
    <w:rsid w:val="00EB7E30"/>
    <w:rsid w:val="00EB7FAE"/>
    <w:rsid w:val="00EB7FB2"/>
    <w:rsid w:val="00EC0120"/>
    <w:rsid w:val="00EC01F4"/>
    <w:rsid w:val="00EC0553"/>
    <w:rsid w:val="00EC083C"/>
    <w:rsid w:val="00EC087F"/>
    <w:rsid w:val="00EC0A50"/>
    <w:rsid w:val="00EC0B23"/>
    <w:rsid w:val="00EC0C14"/>
    <w:rsid w:val="00EC0CBB"/>
    <w:rsid w:val="00EC0DA5"/>
    <w:rsid w:val="00EC0E21"/>
    <w:rsid w:val="00EC0E3D"/>
    <w:rsid w:val="00EC0FF3"/>
    <w:rsid w:val="00EC10B7"/>
    <w:rsid w:val="00EC12EA"/>
    <w:rsid w:val="00EC131D"/>
    <w:rsid w:val="00EC1406"/>
    <w:rsid w:val="00EC145C"/>
    <w:rsid w:val="00EC15A9"/>
    <w:rsid w:val="00EC171E"/>
    <w:rsid w:val="00EC17C6"/>
    <w:rsid w:val="00EC184D"/>
    <w:rsid w:val="00EC195A"/>
    <w:rsid w:val="00EC1985"/>
    <w:rsid w:val="00EC1997"/>
    <w:rsid w:val="00EC1A13"/>
    <w:rsid w:val="00EC1A16"/>
    <w:rsid w:val="00EC1A1D"/>
    <w:rsid w:val="00EC1C55"/>
    <w:rsid w:val="00EC1D17"/>
    <w:rsid w:val="00EC1D4F"/>
    <w:rsid w:val="00EC1D69"/>
    <w:rsid w:val="00EC1EA0"/>
    <w:rsid w:val="00EC2086"/>
    <w:rsid w:val="00EC20CE"/>
    <w:rsid w:val="00EC21ED"/>
    <w:rsid w:val="00EC2423"/>
    <w:rsid w:val="00EC2472"/>
    <w:rsid w:val="00EC24C4"/>
    <w:rsid w:val="00EC25DC"/>
    <w:rsid w:val="00EC2601"/>
    <w:rsid w:val="00EC2612"/>
    <w:rsid w:val="00EC2709"/>
    <w:rsid w:val="00EC2739"/>
    <w:rsid w:val="00EC2783"/>
    <w:rsid w:val="00EC288F"/>
    <w:rsid w:val="00EC2973"/>
    <w:rsid w:val="00EC29F1"/>
    <w:rsid w:val="00EC2B8E"/>
    <w:rsid w:val="00EC2BC0"/>
    <w:rsid w:val="00EC2C8C"/>
    <w:rsid w:val="00EC2C93"/>
    <w:rsid w:val="00EC2CC3"/>
    <w:rsid w:val="00EC2D35"/>
    <w:rsid w:val="00EC2EED"/>
    <w:rsid w:val="00EC2F63"/>
    <w:rsid w:val="00EC2FE9"/>
    <w:rsid w:val="00EC31FD"/>
    <w:rsid w:val="00EC3284"/>
    <w:rsid w:val="00EC3412"/>
    <w:rsid w:val="00EC34BD"/>
    <w:rsid w:val="00EC34EF"/>
    <w:rsid w:val="00EC351E"/>
    <w:rsid w:val="00EC352E"/>
    <w:rsid w:val="00EC3767"/>
    <w:rsid w:val="00EC3831"/>
    <w:rsid w:val="00EC3851"/>
    <w:rsid w:val="00EC390A"/>
    <w:rsid w:val="00EC3A2E"/>
    <w:rsid w:val="00EC3B3F"/>
    <w:rsid w:val="00EC3B7C"/>
    <w:rsid w:val="00EC3B90"/>
    <w:rsid w:val="00EC3C62"/>
    <w:rsid w:val="00EC3D54"/>
    <w:rsid w:val="00EC3FA3"/>
    <w:rsid w:val="00EC3FDC"/>
    <w:rsid w:val="00EC4049"/>
    <w:rsid w:val="00EC41CB"/>
    <w:rsid w:val="00EC42BD"/>
    <w:rsid w:val="00EC42C7"/>
    <w:rsid w:val="00EC432D"/>
    <w:rsid w:val="00EC436D"/>
    <w:rsid w:val="00EC44C5"/>
    <w:rsid w:val="00EC4531"/>
    <w:rsid w:val="00EC4642"/>
    <w:rsid w:val="00EC46F6"/>
    <w:rsid w:val="00EC4770"/>
    <w:rsid w:val="00EC47D6"/>
    <w:rsid w:val="00EC4803"/>
    <w:rsid w:val="00EC498D"/>
    <w:rsid w:val="00EC4A34"/>
    <w:rsid w:val="00EC4A35"/>
    <w:rsid w:val="00EC4AB8"/>
    <w:rsid w:val="00EC4B56"/>
    <w:rsid w:val="00EC4C51"/>
    <w:rsid w:val="00EC4D6B"/>
    <w:rsid w:val="00EC4E5F"/>
    <w:rsid w:val="00EC4EC5"/>
    <w:rsid w:val="00EC5016"/>
    <w:rsid w:val="00EC5040"/>
    <w:rsid w:val="00EC5058"/>
    <w:rsid w:val="00EC5194"/>
    <w:rsid w:val="00EC51C7"/>
    <w:rsid w:val="00EC521B"/>
    <w:rsid w:val="00EC5311"/>
    <w:rsid w:val="00EC5339"/>
    <w:rsid w:val="00EC533D"/>
    <w:rsid w:val="00EC5386"/>
    <w:rsid w:val="00EC53C0"/>
    <w:rsid w:val="00EC53D3"/>
    <w:rsid w:val="00EC560C"/>
    <w:rsid w:val="00EC572D"/>
    <w:rsid w:val="00EC590B"/>
    <w:rsid w:val="00EC5980"/>
    <w:rsid w:val="00EC59D5"/>
    <w:rsid w:val="00EC5B3D"/>
    <w:rsid w:val="00EC5C3C"/>
    <w:rsid w:val="00EC5C65"/>
    <w:rsid w:val="00EC5D0A"/>
    <w:rsid w:val="00EC5D44"/>
    <w:rsid w:val="00EC5D73"/>
    <w:rsid w:val="00EC5E70"/>
    <w:rsid w:val="00EC5F7E"/>
    <w:rsid w:val="00EC5F81"/>
    <w:rsid w:val="00EC5F99"/>
    <w:rsid w:val="00EC5FAF"/>
    <w:rsid w:val="00EC5FDD"/>
    <w:rsid w:val="00EC6009"/>
    <w:rsid w:val="00EC609A"/>
    <w:rsid w:val="00EC6140"/>
    <w:rsid w:val="00EC6194"/>
    <w:rsid w:val="00EC6256"/>
    <w:rsid w:val="00EC6463"/>
    <w:rsid w:val="00EC64D0"/>
    <w:rsid w:val="00EC65DE"/>
    <w:rsid w:val="00EC6607"/>
    <w:rsid w:val="00EC66EB"/>
    <w:rsid w:val="00EC66F8"/>
    <w:rsid w:val="00EC6860"/>
    <w:rsid w:val="00EC698B"/>
    <w:rsid w:val="00EC69F9"/>
    <w:rsid w:val="00EC6A77"/>
    <w:rsid w:val="00EC6C44"/>
    <w:rsid w:val="00EC6C7E"/>
    <w:rsid w:val="00EC6C86"/>
    <w:rsid w:val="00EC6CC4"/>
    <w:rsid w:val="00EC6DD3"/>
    <w:rsid w:val="00EC6DDC"/>
    <w:rsid w:val="00EC6E47"/>
    <w:rsid w:val="00EC6F92"/>
    <w:rsid w:val="00EC6FB5"/>
    <w:rsid w:val="00EC6FB8"/>
    <w:rsid w:val="00EC70F0"/>
    <w:rsid w:val="00EC70F9"/>
    <w:rsid w:val="00EC723B"/>
    <w:rsid w:val="00EC7286"/>
    <w:rsid w:val="00EC729D"/>
    <w:rsid w:val="00EC7394"/>
    <w:rsid w:val="00EC7494"/>
    <w:rsid w:val="00EC7499"/>
    <w:rsid w:val="00EC760A"/>
    <w:rsid w:val="00EC7762"/>
    <w:rsid w:val="00EC799B"/>
    <w:rsid w:val="00EC7A4F"/>
    <w:rsid w:val="00EC7A97"/>
    <w:rsid w:val="00EC7B6C"/>
    <w:rsid w:val="00EC7C62"/>
    <w:rsid w:val="00EC7C66"/>
    <w:rsid w:val="00EC7CB4"/>
    <w:rsid w:val="00EC7D7E"/>
    <w:rsid w:val="00EC7E3A"/>
    <w:rsid w:val="00EC7E77"/>
    <w:rsid w:val="00EC7E7B"/>
    <w:rsid w:val="00EC7EC8"/>
    <w:rsid w:val="00EC7F64"/>
    <w:rsid w:val="00ED0005"/>
    <w:rsid w:val="00ED025D"/>
    <w:rsid w:val="00ED02EC"/>
    <w:rsid w:val="00ED0313"/>
    <w:rsid w:val="00ED031F"/>
    <w:rsid w:val="00ED044C"/>
    <w:rsid w:val="00ED04B1"/>
    <w:rsid w:val="00ED0564"/>
    <w:rsid w:val="00ED05D1"/>
    <w:rsid w:val="00ED05D7"/>
    <w:rsid w:val="00ED0644"/>
    <w:rsid w:val="00ED0745"/>
    <w:rsid w:val="00ED07B4"/>
    <w:rsid w:val="00ED07DD"/>
    <w:rsid w:val="00ED07F4"/>
    <w:rsid w:val="00ED0901"/>
    <w:rsid w:val="00ED0959"/>
    <w:rsid w:val="00ED09EB"/>
    <w:rsid w:val="00ED09FF"/>
    <w:rsid w:val="00ED0A0A"/>
    <w:rsid w:val="00ED0A54"/>
    <w:rsid w:val="00ED0A9B"/>
    <w:rsid w:val="00ED0B24"/>
    <w:rsid w:val="00ED0CC1"/>
    <w:rsid w:val="00ED0DE1"/>
    <w:rsid w:val="00ED0E28"/>
    <w:rsid w:val="00ED0EBD"/>
    <w:rsid w:val="00ED0F54"/>
    <w:rsid w:val="00ED125A"/>
    <w:rsid w:val="00ED1317"/>
    <w:rsid w:val="00ED1364"/>
    <w:rsid w:val="00ED141C"/>
    <w:rsid w:val="00ED15B6"/>
    <w:rsid w:val="00ED165E"/>
    <w:rsid w:val="00ED1698"/>
    <w:rsid w:val="00ED16CC"/>
    <w:rsid w:val="00ED1737"/>
    <w:rsid w:val="00ED186B"/>
    <w:rsid w:val="00ED1AC9"/>
    <w:rsid w:val="00ED1B0D"/>
    <w:rsid w:val="00ED1B28"/>
    <w:rsid w:val="00ED1C58"/>
    <w:rsid w:val="00ED1E97"/>
    <w:rsid w:val="00ED1F89"/>
    <w:rsid w:val="00ED2006"/>
    <w:rsid w:val="00ED21A8"/>
    <w:rsid w:val="00ED238F"/>
    <w:rsid w:val="00ED23FD"/>
    <w:rsid w:val="00ED2564"/>
    <w:rsid w:val="00ED259C"/>
    <w:rsid w:val="00ED25D2"/>
    <w:rsid w:val="00ED2647"/>
    <w:rsid w:val="00ED26DF"/>
    <w:rsid w:val="00ED287D"/>
    <w:rsid w:val="00ED2938"/>
    <w:rsid w:val="00ED296F"/>
    <w:rsid w:val="00ED2A0F"/>
    <w:rsid w:val="00ED2B47"/>
    <w:rsid w:val="00ED2C72"/>
    <w:rsid w:val="00ED2CFB"/>
    <w:rsid w:val="00ED2DE1"/>
    <w:rsid w:val="00ED2F32"/>
    <w:rsid w:val="00ED316F"/>
    <w:rsid w:val="00ED31E7"/>
    <w:rsid w:val="00ED3284"/>
    <w:rsid w:val="00ED3343"/>
    <w:rsid w:val="00ED3381"/>
    <w:rsid w:val="00ED33D3"/>
    <w:rsid w:val="00ED33E0"/>
    <w:rsid w:val="00ED34B0"/>
    <w:rsid w:val="00ED3507"/>
    <w:rsid w:val="00ED3548"/>
    <w:rsid w:val="00ED35FD"/>
    <w:rsid w:val="00ED36CB"/>
    <w:rsid w:val="00ED371B"/>
    <w:rsid w:val="00ED376A"/>
    <w:rsid w:val="00ED379F"/>
    <w:rsid w:val="00ED3909"/>
    <w:rsid w:val="00ED39E0"/>
    <w:rsid w:val="00ED3A2A"/>
    <w:rsid w:val="00ED3A40"/>
    <w:rsid w:val="00ED3BA0"/>
    <w:rsid w:val="00ED3BD5"/>
    <w:rsid w:val="00ED3D18"/>
    <w:rsid w:val="00ED3E6D"/>
    <w:rsid w:val="00ED4056"/>
    <w:rsid w:val="00ED4113"/>
    <w:rsid w:val="00ED4274"/>
    <w:rsid w:val="00ED431A"/>
    <w:rsid w:val="00ED4330"/>
    <w:rsid w:val="00ED436D"/>
    <w:rsid w:val="00ED4415"/>
    <w:rsid w:val="00ED45CF"/>
    <w:rsid w:val="00ED4601"/>
    <w:rsid w:val="00ED465D"/>
    <w:rsid w:val="00ED46C0"/>
    <w:rsid w:val="00ED49B2"/>
    <w:rsid w:val="00ED4B65"/>
    <w:rsid w:val="00ED4BE0"/>
    <w:rsid w:val="00ED4CEC"/>
    <w:rsid w:val="00ED4ED4"/>
    <w:rsid w:val="00ED4EFE"/>
    <w:rsid w:val="00ED4F30"/>
    <w:rsid w:val="00ED5076"/>
    <w:rsid w:val="00ED50E2"/>
    <w:rsid w:val="00ED513D"/>
    <w:rsid w:val="00ED51BD"/>
    <w:rsid w:val="00ED52E9"/>
    <w:rsid w:val="00ED52F1"/>
    <w:rsid w:val="00ED53E4"/>
    <w:rsid w:val="00ED53EC"/>
    <w:rsid w:val="00ED540E"/>
    <w:rsid w:val="00ED5506"/>
    <w:rsid w:val="00ED5511"/>
    <w:rsid w:val="00ED553C"/>
    <w:rsid w:val="00ED554C"/>
    <w:rsid w:val="00ED560C"/>
    <w:rsid w:val="00ED5730"/>
    <w:rsid w:val="00ED573F"/>
    <w:rsid w:val="00ED578F"/>
    <w:rsid w:val="00ED57CD"/>
    <w:rsid w:val="00ED5833"/>
    <w:rsid w:val="00ED5836"/>
    <w:rsid w:val="00ED587E"/>
    <w:rsid w:val="00ED593E"/>
    <w:rsid w:val="00ED5A4A"/>
    <w:rsid w:val="00ED5A65"/>
    <w:rsid w:val="00ED5A92"/>
    <w:rsid w:val="00ED5C15"/>
    <w:rsid w:val="00ED5C5D"/>
    <w:rsid w:val="00ED5C83"/>
    <w:rsid w:val="00ED5DFD"/>
    <w:rsid w:val="00ED600C"/>
    <w:rsid w:val="00ED6061"/>
    <w:rsid w:val="00ED6155"/>
    <w:rsid w:val="00ED6184"/>
    <w:rsid w:val="00ED6354"/>
    <w:rsid w:val="00ED65DB"/>
    <w:rsid w:val="00ED6614"/>
    <w:rsid w:val="00ED661F"/>
    <w:rsid w:val="00ED668D"/>
    <w:rsid w:val="00ED678F"/>
    <w:rsid w:val="00ED6796"/>
    <w:rsid w:val="00ED67B4"/>
    <w:rsid w:val="00ED685B"/>
    <w:rsid w:val="00ED68E4"/>
    <w:rsid w:val="00ED697F"/>
    <w:rsid w:val="00ED6A40"/>
    <w:rsid w:val="00ED6B3A"/>
    <w:rsid w:val="00ED6C08"/>
    <w:rsid w:val="00ED6C36"/>
    <w:rsid w:val="00ED6C89"/>
    <w:rsid w:val="00ED6D51"/>
    <w:rsid w:val="00ED6DCD"/>
    <w:rsid w:val="00ED6E69"/>
    <w:rsid w:val="00ED6E7F"/>
    <w:rsid w:val="00ED6F2F"/>
    <w:rsid w:val="00ED6FC3"/>
    <w:rsid w:val="00ED7077"/>
    <w:rsid w:val="00ED715E"/>
    <w:rsid w:val="00ED71DD"/>
    <w:rsid w:val="00ED7220"/>
    <w:rsid w:val="00ED7261"/>
    <w:rsid w:val="00ED73CE"/>
    <w:rsid w:val="00ED73D5"/>
    <w:rsid w:val="00ED7467"/>
    <w:rsid w:val="00ED7561"/>
    <w:rsid w:val="00ED75E1"/>
    <w:rsid w:val="00ED75ED"/>
    <w:rsid w:val="00ED7763"/>
    <w:rsid w:val="00ED77CE"/>
    <w:rsid w:val="00ED784F"/>
    <w:rsid w:val="00ED78D4"/>
    <w:rsid w:val="00ED7A26"/>
    <w:rsid w:val="00ED7B00"/>
    <w:rsid w:val="00ED7BFC"/>
    <w:rsid w:val="00ED7DFF"/>
    <w:rsid w:val="00ED7EE4"/>
    <w:rsid w:val="00ED7F4C"/>
    <w:rsid w:val="00EE0075"/>
    <w:rsid w:val="00EE007C"/>
    <w:rsid w:val="00EE00B3"/>
    <w:rsid w:val="00EE01D1"/>
    <w:rsid w:val="00EE02D4"/>
    <w:rsid w:val="00EE0370"/>
    <w:rsid w:val="00EE054C"/>
    <w:rsid w:val="00EE05CF"/>
    <w:rsid w:val="00EE0654"/>
    <w:rsid w:val="00EE066A"/>
    <w:rsid w:val="00EE07AE"/>
    <w:rsid w:val="00EE090E"/>
    <w:rsid w:val="00EE09E4"/>
    <w:rsid w:val="00EE0ADB"/>
    <w:rsid w:val="00EE0B97"/>
    <w:rsid w:val="00EE0E73"/>
    <w:rsid w:val="00EE0F4B"/>
    <w:rsid w:val="00EE1168"/>
    <w:rsid w:val="00EE12ED"/>
    <w:rsid w:val="00EE15F3"/>
    <w:rsid w:val="00EE1623"/>
    <w:rsid w:val="00EE167F"/>
    <w:rsid w:val="00EE1710"/>
    <w:rsid w:val="00EE186D"/>
    <w:rsid w:val="00EE189E"/>
    <w:rsid w:val="00EE190E"/>
    <w:rsid w:val="00EE19CE"/>
    <w:rsid w:val="00EE1A18"/>
    <w:rsid w:val="00EE1A68"/>
    <w:rsid w:val="00EE1AD3"/>
    <w:rsid w:val="00EE1B01"/>
    <w:rsid w:val="00EE1B54"/>
    <w:rsid w:val="00EE1B59"/>
    <w:rsid w:val="00EE1B65"/>
    <w:rsid w:val="00EE1D06"/>
    <w:rsid w:val="00EE1E75"/>
    <w:rsid w:val="00EE210B"/>
    <w:rsid w:val="00EE211D"/>
    <w:rsid w:val="00EE2146"/>
    <w:rsid w:val="00EE236D"/>
    <w:rsid w:val="00EE23DE"/>
    <w:rsid w:val="00EE2554"/>
    <w:rsid w:val="00EE258D"/>
    <w:rsid w:val="00EE2632"/>
    <w:rsid w:val="00EE271E"/>
    <w:rsid w:val="00EE27D4"/>
    <w:rsid w:val="00EE27FD"/>
    <w:rsid w:val="00EE290D"/>
    <w:rsid w:val="00EE295A"/>
    <w:rsid w:val="00EE2A66"/>
    <w:rsid w:val="00EE2A79"/>
    <w:rsid w:val="00EE2B5D"/>
    <w:rsid w:val="00EE2B8D"/>
    <w:rsid w:val="00EE2C94"/>
    <w:rsid w:val="00EE2DF9"/>
    <w:rsid w:val="00EE2E04"/>
    <w:rsid w:val="00EE2E42"/>
    <w:rsid w:val="00EE2E9C"/>
    <w:rsid w:val="00EE2ECB"/>
    <w:rsid w:val="00EE2F39"/>
    <w:rsid w:val="00EE2FD3"/>
    <w:rsid w:val="00EE2FF6"/>
    <w:rsid w:val="00EE30CE"/>
    <w:rsid w:val="00EE3138"/>
    <w:rsid w:val="00EE323F"/>
    <w:rsid w:val="00EE333E"/>
    <w:rsid w:val="00EE341A"/>
    <w:rsid w:val="00EE358A"/>
    <w:rsid w:val="00EE36D2"/>
    <w:rsid w:val="00EE3807"/>
    <w:rsid w:val="00EE383B"/>
    <w:rsid w:val="00EE399D"/>
    <w:rsid w:val="00EE3A55"/>
    <w:rsid w:val="00EE3A69"/>
    <w:rsid w:val="00EE3ADA"/>
    <w:rsid w:val="00EE3AFA"/>
    <w:rsid w:val="00EE3C28"/>
    <w:rsid w:val="00EE3CF3"/>
    <w:rsid w:val="00EE3D79"/>
    <w:rsid w:val="00EE3F05"/>
    <w:rsid w:val="00EE405B"/>
    <w:rsid w:val="00EE409D"/>
    <w:rsid w:val="00EE40B4"/>
    <w:rsid w:val="00EE40E9"/>
    <w:rsid w:val="00EE415C"/>
    <w:rsid w:val="00EE417C"/>
    <w:rsid w:val="00EE4184"/>
    <w:rsid w:val="00EE418C"/>
    <w:rsid w:val="00EE41E3"/>
    <w:rsid w:val="00EE420A"/>
    <w:rsid w:val="00EE4234"/>
    <w:rsid w:val="00EE4383"/>
    <w:rsid w:val="00EE44DD"/>
    <w:rsid w:val="00EE4615"/>
    <w:rsid w:val="00EE4684"/>
    <w:rsid w:val="00EE477A"/>
    <w:rsid w:val="00EE479B"/>
    <w:rsid w:val="00EE4809"/>
    <w:rsid w:val="00EE496C"/>
    <w:rsid w:val="00EE4988"/>
    <w:rsid w:val="00EE49D4"/>
    <w:rsid w:val="00EE4A41"/>
    <w:rsid w:val="00EE4AA3"/>
    <w:rsid w:val="00EE4AE6"/>
    <w:rsid w:val="00EE4B14"/>
    <w:rsid w:val="00EE4BDF"/>
    <w:rsid w:val="00EE4CDA"/>
    <w:rsid w:val="00EE4D68"/>
    <w:rsid w:val="00EE4E06"/>
    <w:rsid w:val="00EE4E4D"/>
    <w:rsid w:val="00EE4F54"/>
    <w:rsid w:val="00EE4F75"/>
    <w:rsid w:val="00EE4FAF"/>
    <w:rsid w:val="00EE4FD2"/>
    <w:rsid w:val="00EE51D4"/>
    <w:rsid w:val="00EE52C3"/>
    <w:rsid w:val="00EE530D"/>
    <w:rsid w:val="00EE530E"/>
    <w:rsid w:val="00EE53D1"/>
    <w:rsid w:val="00EE549B"/>
    <w:rsid w:val="00EE54CF"/>
    <w:rsid w:val="00EE550C"/>
    <w:rsid w:val="00EE5559"/>
    <w:rsid w:val="00EE5609"/>
    <w:rsid w:val="00EE5886"/>
    <w:rsid w:val="00EE58A0"/>
    <w:rsid w:val="00EE58BE"/>
    <w:rsid w:val="00EE5967"/>
    <w:rsid w:val="00EE5A55"/>
    <w:rsid w:val="00EE5B8F"/>
    <w:rsid w:val="00EE5C31"/>
    <w:rsid w:val="00EE5D4D"/>
    <w:rsid w:val="00EE5D84"/>
    <w:rsid w:val="00EE5DC6"/>
    <w:rsid w:val="00EE5E01"/>
    <w:rsid w:val="00EE5E45"/>
    <w:rsid w:val="00EE5E5B"/>
    <w:rsid w:val="00EE5EA0"/>
    <w:rsid w:val="00EE5EAB"/>
    <w:rsid w:val="00EE5EDA"/>
    <w:rsid w:val="00EE60B9"/>
    <w:rsid w:val="00EE61BC"/>
    <w:rsid w:val="00EE61C8"/>
    <w:rsid w:val="00EE625A"/>
    <w:rsid w:val="00EE62C1"/>
    <w:rsid w:val="00EE62C6"/>
    <w:rsid w:val="00EE631B"/>
    <w:rsid w:val="00EE6356"/>
    <w:rsid w:val="00EE64E6"/>
    <w:rsid w:val="00EE6560"/>
    <w:rsid w:val="00EE66C2"/>
    <w:rsid w:val="00EE6A53"/>
    <w:rsid w:val="00EE6A6D"/>
    <w:rsid w:val="00EE6AA6"/>
    <w:rsid w:val="00EE6ABC"/>
    <w:rsid w:val="00EE6AF7"/>
    <w:rsid w:val="00EE6E53"/>
    <w:rsid w:val="00EE6E66"/>
    <w:rsid w:val="00EE6F14"/>
    <w:rsid w:val="00EE6F42"/>
    <w:rsid w:val="00EE713C"/>
    <w:rsid w:val="00EE7270"/>
    <w:rsid w:val="00EE729A"/>
    <w:rsid w:val="00EE72D9"/>
    <w:rsid w:val="00EE7308"/>
    <w:rsid w:val="00EE730D"/>
    <w:rsid w:val="00EE758E"/>
    <w:rsid w:val="00EE760B"/>
    <w:rsid w:val="00EE76AF"/>
    <w:rsid w:val="00EE77BD"/>
    <w:rsid w:val="00EE7870"/>
    <w:rsid w:val="00EE789A"/>
    <w:rsid w:val="00EE78C8"/>
    <w:rsid w:val="00EE7985"/>
    <w:rsid w:val="00EE79EB"/>
    <w:rsid w:val="00EE7B2E"/>
    <w:rsid w:val="00EE7DC1"/>
    <w:rsid w:val="00EE7E29"/>
    <w:rsid w:val="00EE7EC2"/>
    <w:rsid w:val="00EE7F34"/>
    <w:rsid w:val="00EE7F79"/>
    <w:rsid w:val="00EE7FC0"/>
    <w:rsid w:val="00EF0048"/>
    <w:rsid w:val="00EF00D8"/>
    <w:rsid w:val="00EF012B"/>
    <w:rsid w:val="00EF01EB"/>
    <w:rsid w:val="00EF038B"/>
    <w:rsid w:val="00EF03CB"/>
    <w:rsid w:val="00EF053B"/>
    <w:rsid w:val="00EF0652"/>
    <w:rsid w:val="00EF07BB"/>
    <w:rsid w:val="00EF07BF"/>
    <w:rsid w:val="00EF07CE"/>
    <w:rsid w:val="00EF0833"/>
    <w:rsid w:val="00EF0A1C"/>
    <w:rsid w:val="00EF0AAB"/>
    <w:rsid w:val="00EF0ABA"/>
    <w:rsid w:val="00EF0AF5"/>
    <w:rsid w:val="00EF0B77"/>
    <w:rsid w:val="00EF0D62"/>
    <w:rsid w:val="00EF0D74"/>
    <w:rsid w:val="00EF0E63"/>
    <w:rsid w:val="00EF0F5D"/>
    <w:rsid w:val="00EF103E"/>
    <w:rsid w:val="00EF1066"/>
    <w:rsid w:val="00EF1150"/>
    <w:rsid w:val="00EF124F"/>
    <w:rsid w:val="00EF129A"/>
    <w:rsid w:val="00EF12C9"/>
    <w:rsid w:val="00EF13D4"/>
    <w:rsid w:val="00EF1474"/>
    <w:rsid w:val="00EF14A6"/>
    <w:rsid w:val="00EF14EE"/>
    <w:rsid w:val="00EF1521"/>
    <w:rsid w:val="00EF1559"/>
    <w:rsid w:val="00EF15B8"/>
    <w:rsid w:val="00EF167B"/>
    <w:rsid w:val="00EF16A3"/>
    <w:rsid w:val="00EF1790"/>
    <w:rsid w:val="00EF17A2"/>
    <w:rsid w:val="00EF1948"/>
    <w:rsid w:val="00EF196D"/>
    <w:rsid w:val="00EF1A1B"/>
    <w:rsid w:val="00EF1B24"/>
    <w:rsid w:val="00EF1B88"/>
    <w:rsid w:val="00EF1C3C"/>
    <w:rsid w:val="00EF1C44"/>
    <w:rsid w:val="00EF1C61"/>
    <w:rsid w:val="00EF1C7E"/>
    <w:rsid w:val="00EF1CEF"/>
    <w:rsid w:val="00EF1EB1"/>
    <w:rsid w:val="00EF1EE6"/>
    <w:rsid w:val="00EF1EF9"/>
    <w:rsid w:val="00EF1F50"/>
    <w:rsid w:val="00EF21C7"/>
    <w:rsid w:val="00EF2200"/>
    <w:rsid w:val="00EF2393"/>
    <w:rsid w:val="00EF242B"/>
    <w:rsid w:val="00EF25DA"/>
    <w:rsid w:val="00EF26A9"/>
    <w:rsid w:val="00EF26DD"/>
    <w:rsid w:val="00EF2766"/>
    <w:rsid w:val="00EF2802"/>
    <w:rsid w:val="00EF282C"/>
    <w:rsid w:val="00EF28A9"/>
    <w:rsid w:val="00EF299A"/>
    <w:rsid w:val="00EF29A3"/>
    <w:rsid w:val="00EF29B5"/>
    <w:rsid w:val="00EF29BD"/>
    <w:rsid w:val="00EF2A42"/>
    <w:rsid w:val="00EF2A5F"/>
    <w:rsid w:val="00EF2B77"/>
    <w:rsid w:val="00EF2BE5"/>
    <w:rsid w:val="00EF2D4E"/>
    <w:rsid w:val="00EF2E02"/>
    <w:rsid w:val="00EF2F29"/>
    <w:rsid w:val="00EF301A"/>
    <w:rsid w:val="00EF3157"/>
    <w:rsid w:val="00EF33AE"/>
    <w:rsid w:val="00EF3464"/>
    <w:rsid w:val="00EF351C"/>
    <w:rsid w:val="00EF3521"/>
    <w:rsid w:val="00EF35A7"/>
    <w:rsid w:val="00EF3702"/>
    <w:rsid w:val="00EF37C1"/>
    <w:rsid w:val="00EF39EA"/>
    <w:rsid w:val="00EF3A3A"/>
    <w:rsid w:val="00EF3A68"/>
    <w:rsid w:val="00EF3B12"/>
    <w:rsid w:val="00EF3B4D"/>
    <w:rsid w:val="00EF3B59"/>
    <w:rsid w:val="00EF3C1A"/>
    <w:rsid w:val="00EF3D09"/>
    <w:rsid w:val="00EF3ED7"/>
    <w:rsid w:val="00EF3F3B"/>
    <w:rsid w:val="00EF3F53"/>
    <w:rsid w:val="00EF3FB9"/>
    <w:rsid w:val="00EF4011"/>
    <w:rsid w:val="00EF40C3"/>
    <w:rsid w:val="00EF4177"/>
    <w:rsid w:val="00EF4196"/>
    <w:rsid w:val="00EF422B"/>
    <w:rsid w:val="00EF42F5"/>
    <w:rsid w:val="00EF4433"/>
    <w:rsid w:val="00EF4541"/>
    <w:rsid w:val="00EF4554"/>
    <w:rsid w:val="00EF45C9"/>
    <w:rsid w:val="00EF47A9"/>
    <w:rsid w:val="00EF47F6"/>
    <w:rsid w:val="00EF4809"/>
    <w:rsid w:val="00EF4842"/>
    <w:rsid w:val="00EF4886"/>
    <w:rsid w:val="00EF497F"/>
    <w:rsid w:val="00EF49D7"/>
    <w:rsid w:val="00EF49F1"/>
    <w:rsid w:val="00EF49FB"/>
    <w:rsid w:val="00EF4A07"/>
    <w:rsid w:val="00EF4A57"/>
    <w:rsid w:val="00EF4A8D"/>
    <w:rsid w:val="00EF4BD9"/>
    <w:rsid w:val="00EF4C2D"/>
    <w:rsid w:val="00EF4C61"/>
    <w:rsid w:val="00EF4D34"/>
    <w:rsid w:val="00EF4E72"/>
    <w:rsid w:val="00EF4EA7"/>
    <w:rsid w:val="00EF4F97"/>
    <w:rsid w:val="00EF4FF4"/>
    <w:rsid w:val="00EF5039"/>
    <w:rsid w:val="00EF5057"/>
    <w:rsid w:val="00EF5153"/>
    <w:rsid w:val="00EF5156"/>
    <w:rsid w:val="00EF523D"/>
    <w:rsid w:val="00EF530B"/>
    <w:rsid w:val="00EF533B"/>
    <w:rsid w:val="00EF539A"/>
    <w:rsid w:val="00EF53EE"/>
    <w:rsid w:val="00EF53FD"/>
    <w:rsid w:val="00EF546A"/>
    <w:rsid w:val="00EF54B0"/>
    <w:rsid w:val="00EF5518"/>
    <w:rsid w:val="00EF5527"/>
    <w:rsid w:val="00EF5675"/>
    <w:rsid w:val="00EF587F"/>
    <w:rsid w:val="00EF5949"/>
    <w:rsid w:val="00EF5A0C"/>
    <w:rsid w:val="00EF5B54"/>
    <w:rsid w:val="00EF5DBB"/>
    <w:rsid w:val="00EF6052"/>
    <w:rsid w:val="00EF60E9"/>
    <w:rsid w:val="00EF6122"/>
    <w:rsid w:val="00EF615A"/>
    <w:rsid w:val="00EF623C"/>
    <w:rsid w:val="00EF6361"/>
    <w:rsid w:val="00EF6410"/>
    <w:rsid w:val="00EF6461"/>
    <w:rsid w:val="00EF64AC"/>
    <w:rsid w:val="00EF653A"/>
    <w:rsid w:val="00EF658F"/>
    <w:rsid w:val="00EF66A2"/>
    <w:rsid w:val="00EF681B"/>
    <w:rsid w:val="00EF699A"/>
    <w:rsid w:val="00EF6A62"/>
    <w:rsid w:val="00EF6A6F"/>
    <w:rsid w:val="00EF6B1B"/>
    <w:rsid w:val="00EF6C06"/>
    <w:rsid w:val="00EF6C49"/>
    <w:rsid w:val="00EF6C5B"/>
    <w:rsid w:val="00EF6CA7"/>
    <w:rsid w:val="00EF6D68"/>
    <w:rsid w:val="00EF6DE8"/>
    <w:rsid w:val="00EF6E92"/>
    <w:rsid w:val="00EF6EB9"/>
    <w:rsid w:val="00EF70AC"/>
    <w:rsid w:val="00EF70CB"/>
    <w:rsid w:val="00EF70D5"/>
    <w:rsid w:val="00EF7101"/>
    <w:rsid w:val="00EF7297"/>
    <w:rsid w:val="00EF72EE"/>
    <w:rsid w:val="00EF745E"/>
    <w:rsid w:val="00EF758A"/>
    <w:rsid w:val="00EF75EF"/>
    <w:rsid w:val="00EF773B"/>
    <w:rsid w:val="00EF77ED"/>
    <w:rsid w:val="00EF780C"/>
    <w:rsid w:val="00EF7926"/>
    <w:rsid w:val="00EF792C"/>
    <w:rsid w:val="00EF7996"/>
    <w:rsid w:val="00EF7A22"/>
    <w:rsid w:val="00EF7D7D"/>
    <w:rsid w:val="00EF7DE6"/>
    <w:rsid w:val="00EF7E0F"/>
    <w:rsid w:val="00EF7E37"/>
    <w:rsid w:val="00EF7E9A"/>
    <w:rsid w:val="00EF7FFA"/>
    <w:rsid w:val="00F00099"/>
    <w:rsid w:val="00F00176"/>
    <w:rsid w:val="00F00306"/>
    <w:rsid w:val="00F003AF"/>
    <w:rsid w:val="00F004A8"/>
    <w:rsid w:val="00F004C7"/>
    <w:rsid w:val="00F00500"/>
    <w:rsid w:val="00F00546"/>
    <w:rsid w:val="00F00590"/>
    <w:rsid w:val="00F00593"/>
    <w:rsid w:val="00F006E5"/>
    <w:rsid w:val="00F007B0"/>
    <w:rsid w:val="00F007DF"/>
    <w:rsid w:val="00F0084C"/>
    <w:rsid w:val="00F00878"/>
    <w:rsid w:val="00F00A47"/>
    <w:rsid w:val="00F00B00"/>
    <w:rsid w:val="00F00DF5"/>
    <w:rsid w:val="00F00E96"/>
    <w:rsid w:val="00F00EB7"/>
    <w:rsid w:val="00F00F6D"/>
    <w:rsid w:val="00F010AB"/>
    <w:rsid w:val="00F011B0"/>
    <w:rsid w:val="00F0122F"/>
    <w:rsid w:val="00F01251"/>
    <w:rsid w:val="00F01310"/>
    <w:rsid w:val="00F01404"/>
    <w:rsid w:val="00F0140E"/>
    <w:rsid w:val="00F0146A"/>
    <w:rsid w:val="00F014E0"/>
    <w:rsid w:val="00F0162F"/>
    <w:rsid w:val="00F016C7"/>
    <w:rsid w:val="00F016F1"/>
    <w:rsid w:val="00F01710"/>
    <w:rsid w:val="00F01823"/>
    <w:rsid w:val="00F0197E"/>
    <w:rsid w:val="00F019AF"/>
    <w:rsid w:val="00F01A21"/>
    <w:rsid w:val="00F01A90"/>
    <w:rsid w:val="00F01B5D"/>
    <w:rsid w:val="00F01BAF"/>
    <w:rsid w:val="00F01C99"/>
    <w:rsid w:val="00F01D42"/>
    <w:rsid w:val="00F01EC8"/>
    <w:rsid w:val="00F01FB4"/>
    <w:rsid w:val="00F01FF0"/>
    <w:rsid w:val="00F020F4"/>
    <w:rsid w:val="00F022DC"/>
    <w:rsid w:val="00F022F0"/>
    <w:rsid w:val="00F0230F"/>
    <w:rsid w:val="00F02363"/>
    <w:rsid w:val="00F023F7"/>
    <w:rsid w:val="00F024E9"/>
    <w:rsid w:val="00F024EB"/>
    <w:rsid w:val="00F0257A"/>
    <w:rsid w:val="00F02629"/>
    <w:rsid w:val="00F026F5"/>
    <w:rsid w:val="00F0276B"/>
    <w:rsid w:val="00F027B3"/>
    <w:rsid w:val="00F02833"/>
    <w:rsid w:val="00F028CD"/>
    <w:rsid w:val="00F028D0"/>
    <w:rsid w:val="00F02964"/>
    <w:rsid w:val="00F02975"/>
    <w:rsid w:val="00F02B32"/>
    <w:rsid w:val="00F02C31"/>
    <w:rsid w:val="00F02D1F"/>
    <w:rsid w:val="00F02D77"/>
    <w:rsid w:val="00F02F4C"/>
    <w:rsid w:val="00F02FC9"/>
    <w:rsid w:val="00F03035"/>
    <w:rsid w:val="00F03055"/>
    <w:rsid w:val="00F03130"/>
    <w:rsid w:val="00F03302"/>
    <w:rsid w:val="00F0333F"/>
    <w:rsid w:val="00F033C2"/>
    <w:rsid w:val="00F033CB"/>
    <w:rsid w:val="00F033D9"/>
    <w:rsid w:val="00F0340A"/>
    <w:rsid w:val="00F03666"/>
    <w:rsid w:val="00F03855"/>
    <w:rsid w:val="00F039A7"/>
    <w:rsid w:val="00F039AF"/>
    <w:rsid w:val="00F03A10"/>
    <w:rsid w:val="00F03AB5"/>
    <w:rsid w:val="00F03ACF"/>
    <w:rsid w:val="00F03C30"/>
    <w:rsid w:val="00F03C94"/>
    <w:rsid w:val="00F03D28"/>
    <w:rsid w:val="00F03DF6"/>
    <w:rsid w:val="00F03E22"/>
    <w:rsid w:val="00F04064"/>
    <w:rsid w:val="00F04173"/>
    <w:rsid w:val="00F043AF"/>
    <w:rsid w:val="00F043E4"/>
    <w:rsid w:val="00F044F9"/>
    <w:rsid w:val="00F04538"/>
    <w:rsid w:val="00F0456B"/>
    <w:rsid w:val="00F045FF"/>
    <w:rsid w:val="00F0467F"/>
    <w:rsid w:val="00F0477D"/>
    <w:rsid w:val="00F04891"/>
    <w:rsid w:val="00F049B2"/>
    <w:rsid w:val="00F049C6"/>
    <w:rsid w:val="00F049E2"/>
    <w:rsid w:val="00F04A0B"/>
    <w:rsid w:val="00F04A78"/>
    <w:rsid w:val="00F04AB1"/>
    <w:rsid w:val="00F04B37"/>
    <w:rsid w:val="00F04BA4"/>
    <w:rsid w:val="00F04BC3"/>
    <w:rsid w:val="00F04E0F"/>
    <w:rsid w:val="00F04E8E"/>
    <w:rsid w:val="00F05012"/>
    <w:rsid w:val="00F05040"/>
    <w:rsid w:val="00F05371"/>
    <w:rsid w:val="00F053D6"/>
    <w:rsid w:val="00F05426"/>
    <w:rsid w:val="00F054F3"/>
    <w:rsid w:val="00F05537"/>
    <w:rsid w:val="00F05556"/>
    <w:rsid w:val="00F05598"/>
    <w:rsid w:val="00F055BD"/>
    <w:rsid w:val="00F05681"/>
    <w:rsid w:val="00F056C2"/>
    <w:rsid w:val="00F0578F"/>
    <w:rsid w:val="00F05842"/>
    <w:rsid w:val="00F05854"/>
    <w:rsid w:val="00F0593B"/>
    <w:rsid w:val="00F0597F"/>
    <w:rsid w:val="00F0599D"/>
    <w:rsid w:val="00F059A9"/>
    <w:rsid w:val="00F05A0D"/>
    <w:rsid w:val="00F05AA2"/>
    <w:rsid w:val="00F05C31"/>
    <w:rsid w:val="00F05C77"/>
    <w:rsid w:val="00F05CA7"/>
    <w:rsid w:val="00F05CD7"/>
    <w:rsid w:val="00F05E25"/>
    <w:rsid w:val="00F05E55"/>
    <w:rsid w:val="00F05F36"/>
    <w:rsid w:val="00F0612D"/>
    <w:rsid w:val="00F062BF"/>
    <w:rsid w:val="00F062FC"/>
    <w:rsid w:val="00F0636F"/>
    <w:rsid w:val="00F063E3"/>
    <w:rsid w:val="00F06440"/>
    <w:rsid w:val="00F0648A"/>
    <w:rsid w:val="00F0649C"/>
    <w:rsid w:val="00F064B1"/>
    <w:rsid w:val="00F065C1"/>
    <w:rsid w:val="00F06613"/>
    <w:rsid w:val="00F0663D"/>
    <w:rsid w:val="00F066F1"/>
    <w:rsid w:val="00F06738"/>
    <w:rsid w:val="00F0678B"/>
    <w:rsid w:val="00F067EB"/>
    <w:rsid w:val="00F06967"/>
    <w:rsid w:val="00F06980"/>
    <w:rsid w:val="00F069E2"/>
    <w:rsid w:val="00F06A21"/>
    <w:rsid w:val="00F06AB7"/>
    <w:rsid w:val="00F06B0F"/>
    <w:rsid w:val="00F06C83"/>
    <w:rsid w:val="00F06CDF"/>
    <w:rsid w:val="00F06EB1"/>
    <w:rsid w:val="00F06F35"/>
    <w:rsid w:val="00F06FB1"/>
    <w:rsid w:val="00F07081"/>
    <w:rsid w:val="00F0708F"/>
    <w:rsid w:val="00F071D6"/>
    <w:rsid w:val="00F07272"/>
    <w:rsid w:val="00F074BA"/>
    <w:rsid w:val="00F07536"/>
    <w:rsid w:val="00F0768A"/>
    <w:rsid w:val="00F076D2"/>
    <w:rsid w:val="00F077CE"/>
    <w:rsid w:val="00F077D3"/>
    <w:rsid w:val="00F0785C"/>
    <w:rsid w:val="00F078B2"/>
    <w:rsid w:val="00F07907"/>
    <w:rsid w:val="00F0793E"/>
    <w:rsid w:val="00F0798F"/>
    <w:rsid w:val="00F079BF"/>
    <w:rsid w:val="00F079F7"/>
    <w:rsid w:val="00F07A5D"/>
    <w:rsid w:val="00F07AEF"/>
    <w:rsid w:val="00F07AF8"/>
    <w:rsid w:val="00F07B43"/>
    <w:rsid w:val="00F07B93"/>
    <w:rsid w:val="00F07C0B"/>
    <w:rsid w:val="00F07D09"/>
    <w:rsid w:val="00F07E2F"/>
    <w:rsid w:val="00F07F95"/>
    <w:rsid w:val="00F10110"/>
    <w:rsid w:val="00F1014C"/>
    <w:rsid w:val="00F10157"/>
    <w:rsid w:val="00F102FB"/>
    <w:rsid w:val="00F1033B"/>
    <w:rsid w:val="00F1039F"/>
    <w:rsid w:val="00F103C0"/>
    <w:rsid w:val="00F1040F"/>
    <w:rsid w:val="00F104BF"/>
    <w:rsid w:val="00F104EA"/>
    <w:rsid w:val="00F10514"/>
    <w:rsid w:val="00F105DB"/>
    <w:rsid w:val="00F10619"/>
    <w:rsid w:val="00F10689"/>
    <w:rsid w:val="00F10733"/>
    <w:rsid w:val="00F1074A"/>
    <w:rsid w:val="00F107A7"/>
    <w:rsid w:val="00F108DC"/>
    <w:rsid w:val="00F1090A"/>
    <w:rsid w:val="00F1092B"/>
    <w:rsid w:val="00F10997"/>
    <w:rsid w:val="00F109DB"/>
    <w:rsid w:val="00F10A5B"/>
    <w:rsid w:val="00F10AA8"/>
    <w:rsid w:val="00F10AEC"/>
    <w:rsid w:val="00F10B35"/>
    <w:rsid w:val="00F10B53"/>
    <w:rsid w:val="00F10C00"/>
    <w:rsid w:val="00F10DD3"/>
    <w:rsid w:val="00F10E11"/>
    <w:rsid w:val="00F11003"/>
    <w:rsid w:val="00F11020"/>
    <w:rsid w:val="00F1108D"/>
    <w:rsid w:val="00F110C6"/>
    <w:rsid w:val="00F111B4"/>
    <w:rsid w:val="00F111D9"/>
    <w:rsid w:val="00F112CA"/>
    <w:rsid w:val="00F11323"/>
    <w:rsid w:val="00F11463"/>
    <w:rsid w:val="00F114CF"/>
    <w:rsid w:val="00F114EC"/>
    <w:rsid w:val="00F115F3"/>
    <w:rsid w:val="00F11609"/>
    <w:rsid w:val="00F11649"/>
    <w:rsid w:val="00F11801"/>
    <w:rsid w:val="00F11872"/>
    <w:rsid w:val="00F1188D"/>
    <w:rsid w:val="00F1188E"/>
    <w:rsid w:val="00F11901"/>
    <w:rsid w:val="00F1197E"/>
    <w:rsid w:val="00F11A13"/>
    <w:rsid w:val="00F11ADE"/>
    <w:rsid w:val="00F11D08"/>
    <w:rsid w:val="00F11D67"/>
    <w:rsid w:val="00F11F28"/>
    <w:rsid w:val="00F11F34"/>
    <w:rsid w:val="00F11FFE"/>
    <w:rsid w:val="00F1202D"/>
    <w:rsid w:val="00F12161"/>
    <w:rsid w:val="00F121F0"/>
    <w:rsid w:val="00F12221"/>
    <w:rsid w:val="00F12530"/>
    <w:rsid w:val="00F125A3"/>
    <w:rsid w:val="00F12649"/>
    <w:rsid w:val="00F12740"/>
    <w:rsid w:val="00F1277E"/>
    <w:rsid w:val="00F127E7"/>
    <w:rsid w:val="00F12812"/>
    <w:rsid w:val="00F12A7F"/>
    <w:rsid w:val="00F12ABA"/>
    <w:rsid w:val="00F12BB7"/>
    <w:rsid w:val="00F12BBF"/>
    <w:rsid w:val="00F12BDC"/>
    <w:rsid w:val="00F12C92"/>
    <w:rsid w:val="00F12D13"/>
    <w:rsid w:val="00F12D56"/>
    <w:rsid w:val="00F12D93"/>
    <w:rsid w:val="00F12E54"/>
    <w:rsid w:val="00F12F8A"/>
    <w:rsid w:val="00F130A6"/>
    <w:rsid w:val="00F130AB"/>
    <w:rsid w:val="00F131CA"/>
    <w:rsid w:val="00F1340B"/>
    <w:rsid w:val="00F13512"/>
    <w:rsid w:val="00F13654"/>
    <w:rsid w:val="00F136B7"/>
    <w:rsid w:val="00F13886"/>
    <w:rsid w:val="00F1388F"/>
    <w:rsid w:val="00F1390E"/>
    <w:rsid w:val="00F13AAF"/>
    <w:rsid w:val="00F13B75"/>
    <w:rsid w:val="00F13C67"/>
    <w:rsid w:val="00F13C70"/>
    <w:rsid w:val="00F13C74"/>
    <w:rsid w:val="00F13E36"/>
    <w:rsid w:val="00F13FC7"/>
    <w:rsid w:val="00F1403A"/>
    <w:rsid w:val="00F140EB"/>
    <w:rsid w:val="00F1419D"/>
    <w:rsid w:val="00F142E8"/>
    <w:rsid w:val="00F142FD"/>
    <w:rsid w:val="00F1437A"/>
    <w:rsid w:val="00F143D8"/>
    <w:rsid w:val="00F143F3"/>
    <w:rsid w:val="00F14446"/>
    <w:rsid w:val="00F14454"/>
    <w:rsid w:val="00F14480"/>
    <w:rsid w:val="00F144B2"/>
    <w:rsid w:val="00F14654"/>
    <w:rsid w:val="00F1471E"/>
    <w:rsid w:val="00F14722"/>
    <w:rsid w:val="00F14756"/>
    <w:rsid w:val="00F14768"/>
    <w:rsid w:val="00F1479C"/>
    <w:rsid w:val="00F14875"/>
    <w:rsid w:val="00F1494E"/>
    <w:rsid w:val="00F14984"/>
    <w:rsid w:val="00F14A93"/>
    <w:rsid w:val="00F14ABD"/>
    <w:rsid w:val="00F14BC7"/>
    <w:rsid w:val="00F14C93"/>
    <w:rsid w:val="00F14D3A"/>
    <w:rsid w:val="00F14FAE"/>
    <w:rsid w:val="00F14FD0"/>
    <w:rsid w:val="00F15089"/>
    <w:rsid w:val="00F150AB"/>
    <w:rsid w:val="00F15113"/>
    <w:rsid w:val="00F1516A"/>
    <w:rsid w:val="00F1516B"/>
    <w:rsid w:val="00F1518B"/>
    <w:rsid w:val="00F1525C"/>
    <w:rsid w:val="00F152BB"/>
    <w:rsid w:val="00F153FD"/>
    <w:rsid w:val="00F154BB"/>
    <w:rsid w:val="00F1553A"/>
    <w:rsid w:val="00F15550"/>
    <w:rsid w:val="00F155A0"/>
    <w:rsid w:val="00F155D5"/>
    <w:rsid w:val="00F157E0"/>
    <w:rsid w:val="00F158DE"/>
    <w:rsid w:val="00F1595D"/>
    <w:rsid w:val="00F15B41"/>
    <w:rsid w:val="00F15B51"/>
    <w:rsid w:val="00F15BA4"/>
    <w:rsid w:val="00F15BE0"/>
    <w:rsid w:val="00F15C00"/>
    <w:rsid w:val="00F15C92"/>
    <w:rsid w:val="00F15CD4"/>
    <w:rsid w:val="00F15DA4"/>
    <w:rsid w:val="00F15DFF"/>
    <w:rsid w:val="00F15E1B"/>
    <w:rsid w:val="00F15E40"/>
    <w:rsid w:val="00F15EBC"/>
    <w:rsid w:val="00F16002"/>
    <w:rsid w:val="00F16367"/>
    <w:rsid w:val="00F16400"/>
    <w:rsid w:val="00F16476"/>
    <w:rsid w:val="00F1649F"/>
    <w:rsid w:val="00F16527"/>
    <w:rsid w:val="00F1653A"/>
    <w:rsid w:val="00F165B8"/>
    <w:rsid w:val="00F16677"/>
    <w:rsid w:val="00F166E1"/>
    <w:rsid w:val="00F167B0"/>
    <w:rsid w:val="00F1681E"/>
    <w:rsid w:val="00F1697E"/>
    <w:rsid w:val="00F169AA"/>
    <w:rsid w:val="00F16A85"/>
    <w:rsid w:val="00F16A98"/>
    <w:rsid w:val="00F16A9C"/>
    <w:rsid w:val="00F16AAD"/>
    <w:rsid w:val="00F16B49"/>
    <w:rsid w:val="00F16B8B"/>
    <w:rsid w:val="00F16DB5"/>
    <w:rsid w:val="00F16DE3"/>
    <w:rsid w:val="00F16DEE"/>
    <w:rsid w:val="00F16F3E"/>
    <w:rsid w:val="00F16F8A"/>
    <w:rsid w:val="00F17034"/>
    <w:rsid w:val="00F17180"/>
    <w:rsid w:val="00F17182"/>
    <w:rsid w:val="00F171A9"/>
    <w:rsid w:val="00F17219"/>
    <w:rsid w:val="00F17223"/>
    <w:rsid w:val="00F17387"/>
    <w:rsid w:val="00F174DD"/>
    <w:rsid w:val="00F175E4"/>
    <w:rsid w:val="00F1760B"/>
    <w:rsid w:val="00F17639"/>
    <w:rsid w:val="00F177C3"/>
    <w:rsid w:val="00F177DD"/>
    <w:rsid w:val="00F1785D"/>
    <w:rsid w:val="00F178FB"/>
    <w:rsid w:val="00F1790E"/>
    <w:rsid w:val="00F17988"/>
    <w:rsid w:val="00F179A0"/>
    <w:rsid w:val="00F17A1D"/>
    <w:rsid w:val="00F17B78"/>
    <w:rsid w:val="00F17B8E"/>
    <w:rsid w:val="00F17BBE"/>
    <w:rsid w:val="00F17C31"/>
    <w:rsid w:val="00F17C60"/>
    <w:rsid w:val="00F17D39"/>
    <w:rsid w:val="00F17D75"/>
    <w:rsid w:val="00F17E05"/>
    <w:rsid w:val="00F17E52"/>
    <w:rsid w:val="00F17FB3"/>
    <w:rsid w:val="00F200CE"/>
    <w:rsid w:val="00F200D6"/>
    <w:rsid w:val="00F20130"/>
    <w:rsid w:val="00F2015D"/>
    <w:rsid w:val="00F2022D"/>
    <w:rsid w:val="00F20290"/>
    <w:rsid w:val="00F2038D"/>
    <w:rsid w:val="00F2046E"/>
    <w:rsid w:val="00F206CA"/>
    <w:rsid w:val="00F2077D"/>
    <w:rsid w:val="00F20802"/>
    <w:rsid w:val="00F20878"/>
    <w:rsid w:val="00F2094E"/>
    <w:rsid w:val="00F20A2D"/>
    <w:rsid w:val="00F20BF3"/>
    <w:rsid w:val="00F20C23"/>
    <w:rsid w:val="00F20D55"/>
    <w:rsid w:val="00F20E6A"/>
    <w:rsid w:val="00F20ED9"/>
    <w:rsid w:val="00F20FA9"/>
    <w:rsid w:val="00F210CF"/>
    <w:rsid w:val="00F211D2"/>
    <w:rsid w:val="00F21215"/>
    <w:rsid w:val="00F21242"/>
    <w:rsid w:val="00F21245"/>
    <w:rsid w:val="00F2136B"/>
    <w:rsid w:val="00F214B8"/>
    <w:rsid w:val="00F215D4"/>
    <w:rsid w:val="00F21613"/>
    <w:rsid w:val="00F21624"/>
    <w:rsid w:val="00F2172A"/>
    <w:rsid w:val="00F218A0"/>
    <w:rsid w:val="00F218BF"/>
    <w:rsid w:val="00F21966"/>
    <w:rsid w:val="00F219AD"/>
    <w:rsid w:val="00F21A26"/>
    <w:rsid w:val="00F21C63"/>
    <w:rsid w:val="00F21C78"/>
    <w:rsid w:val="00F21C9D"/>
    <w:rsid w:val="00F21D07"/>
    <w:rsid w:val="00F21D70"/>
    <w:rsid w:val="00F21EB4"/>
    <w:rsid w:val="00F21FF5"/>
    <w:rsid w:val="00F22094"/>
    <w:rsid w:val="00F2211B"/>
    <w:rsid w:val="00F221A8"/>
    <w:rsid w:val="00F22461"/>
    <w:rsid w:val="00F224B2"/>
    <w:rsid w:val="00F22635"/>
    <w:rsid w:val="00F2268B"/>
    <w:rsid w:val="00F22844"/>
    <w:rsid w:val="00F228BA"/>
    <w:rsid w:val="00F22A72"/>
    <w:rsid w:val="00F22B91"/>
    <w:rsid w:val="00F22C05"/>
    <w:rsid w:val="00F22D01"/>
    <w:rsid w:val="00F22E32"/>
    <w:rsid w:val="00F22F11"/>
    <w:rsid w:val="00F230A7"/>
    <w:rsid w:val="00F230E0"/>
    <w:rsid w:val="00F230E3"/>
    <w:rsid w:val="00F2312A"/>
    <w:rsid w:val="00F23139"/>
    <w:rsid w:val="00F23162"/>
    <w:rsid w:val="00F232E6"/>
    <w:rsid w:val="00F2338B"/>
    <w:rsid w:val="00F23391"/>
    <w:rsid w:val="00F233BA"/>
    <w:rsid w:val="00F23442"/>
    <w:rsid w:val="00F23468"/>
    <w:rsid w:val="00F2348E"/>
    <w:rsid w:val="00F234A3"/>
    <w:rsid w:val="00F2354F"/>
    <w:rsid w:val="00F237F4"/>
    <w:rsid w:val="00F237F6"/>
    <w:rsid w:val="00F238A8"/>
    <w:rsid w:val="00F239A1"/>
    <w:rsid w:val="00F23A88"/>
    <w:rsid w:val="00F23A91"/>
    <w:rsid w:val="00F23ABF"/>
    <w:rsid w:val="00F23AE6"/>
    <w:rsid w:val="00F23B27"/>
    <w:rsid w:val="00F23B7E"/>
    <w:rsid w:val="00F23C3B"/>
    <w:rsid w:val="00F23D84"/>
    <w:rsid w:val="00F23E2B"/>
    <w:rsid w:val="00F23FA5"/>
    <w:rsid w:val="00F24102"/>
    <w:rsid w:val="00F2412C"/>
    <w:rsid w:val="00F2415D"/>
    <w:rsid w:val="00F2433D"/>
    <w:rsid w:val="00F243AC"/>
    <w:rsid w:val="00F24412"/>
    <w:rsid w:val="00F2443D"/>
    <w:rsid w:val="00F244E1"/>
    <w:rsid w:val="00F24535"/>
    <w:rsid w:val="00F2459D"/>
    <w:rsid w:val="00F24670"/>
    <w:rsid w:val="00F2469B"/>
    <w:rsid w:val="00F24771"/>
    <w:rsid w:val="00F24830"/>
    <w:rsid w:val="00F24869"/>
    <w:rsid w:val="00F24A50"/>
    <w:rsid w:val="00F24A6B"/>
    <w:rsid w:val="00F24AF8"/>
    <w:rsid w:val="00F24BB8"/>
    <w:rsid w:val="00F24CEB"/>
    <w:rsid w:val="00F24D03"/>
    <w:rsid w:val="00F24D5D"/>
    <w:rsid w:val="00F24D81"/>
    <w:rsid w:val="00F24E88"/>
    <w:rsid w:val="00F24FFF"/>
    <w:rsid w:val="00F25156"/>
    <w:rsid w:val="00F251C2"/>
    <w:rsid w:val="00F2539E"/>
    <w:rsid w:val="00F25416"/>
    <w:rsid w:val="00F2544E"/>
    <w:rsid w:val="00F254B1"/>
    <w:rsid w:val="00F25659"/>
    <w:rsid w:val="00F25A33"/>
    <w:rsid w:val="00F25A39"/>
    <w:rsid w:val="00F25DFF"/>
    <w:rsid w:val="00F25F39"/>
    <w:rsid w:val="00F25FDB"/>
    <w:rsid w:val="00F25FE3"/>
    <w:rsid w:val="00F26041"/>
    <w:rsid w:val="00F26318"/>
    <w:rsid w:val="00F26341"/>
    <w:rsid w:val="00F263FE"/>
    <w:rsid w:val="00F2647E"/>
    <w:rsid w:val="00F26715"/>
    <w:rsid w:val="00F26725"/>
    <w:rsid w:val="00F26739"/>
    <w:rsid w:val="00F2681E"/>
    <w:rsid w:val="00F26882"/>
    <w:rsid w:val="00F26B0B"/>
    <w:rsid w:val="00F26B92"/>
    <w:rsid w:val="00F26BB6"/>
    <w:rsid w:val="00F26BCE"/>
    <w:rsid w:val="00F26C0C"/>
    <w:rsid w:val="00F26C39"/>
    <w:rsid w:val="00F26C4E"/>
    <w:rsid w:val="00F26CC1"/>
    <w:rsid w:val="00F26DF6"/>
    <w:rsid w:val="00F26DF9"/>
    <w:rsid w:val="00F26EBA"/>
    <w:rsid w:val="00F26F74"/>
    <w:rsid w:val="00F26FE0"/>
    <w:rsid w:val="00F270ED"/>
    <w:rsid w:val="00F270F1"/>
    <w:rsid w:val="00F27151"/>
    <w:rsid w:val="00F27220"/>
    <w:rsid w:val="00F27245"/>
    <w:rsid w:val="00F2732F"/>
    <w:rsid w:val="00F27558"/>
    <w:rsid w:val="00F27565"/>
    <w:rsid w:val="00F2769B"/>
    <w:rsid w:val="00F279CC"/>
    <w:rsid w:val="00F27A52"/>
    <w:rsid w:val="00F27A6F"/>
    <w:rsid w:val="00F27AD9"/>
    <w:rsid w:val="00F27B7F"/>
    <w:rsid w:val="00F27B91"/>
    <w:rsid w:val="00F27D7E"/>
    <w:rsid w:val="00F27ECB"/>
    <w:rsid w:val="00F300DE"/>
    <w:rsid w:val="00F302B0"/>
    <w:rsid w:val="00F302E9"/>
    <w:rsid w:val="00F304D2"/>
    <w:rsid w:val="00F30537"/>
    <w:rsid w:val="00F3065F"/>
    <w:rsid w:val="00F3077F"/>
    <w:rsid w:val="00F30787"/>
    <w:rsid w:val="00F307F5"/>
    <w:rsid w:val="00F30813"/>
    <w:rsid w:val="00F30886"/>
    <w:rsid w:val="00F308DF"/>
    <w:rsid w:val="00F3091F"/>
    <w:rsid w:val="00F309CC"/>
    <w:rsid w:val="00F30BAA"/>
    <w:rsid w:val="00F30D65"/>
    <w:rsid w:val="00F30DBB"/>
    <w:rsid w:val="00F30DD6"/>
    <w:rsid w:val="00F30DD9"/>
    <w:rsid w:val="00F30E79"/>
    <w:rsid w:val="00F30EE5"/>
    <w:rsid w:val="00F30EEF"/>
    <w:rsid w:val="00F30F1F"/>
    <w:rsid w:val="00F30FE6"/>
    <w:rsid w:val="00F310A6"/>
    <w:rsid w:val="00F3122C"/>
    <w:rsid w:val="00F31251"/>
    <w:rsid w:val="00F31336"/>
    <w:rsid w:val="00F3141C"/>
    <w:rsid w:val="00F3151B"/>
    <w:rsid w:val="00F3157E"/>
    <w:rsid w:val="00F3166B"/>
    <w:rsid w:val="00F316D2"/>
    <w:rsid w:val="00F31716"/>
    <w:rsid w:val="00F3187D"/>
    <w:rsid w:val="00F319BC"/>
    <w:rsid w:val="00F31AB5"/>
    <w:rsid w:val="00F31ABC"/>
    <w:rsid w:val="00F31C27"/>
    <w:rsid w:val="00F31D0D"/>
    <w:rsid w:val="00F31F48"/>
    <w:rsid w:val="00F31F4D"/>
    <w:rsid w:val="00F31F55"/>
    <w:rsid w:val="00F31FA1"/>
    <w:rsid w:val="00F31FE1"/>
    <w:rsid w:val="00F31FF9"/>
    <w:rsid w:val="00F320D9"/>
    <w:rsid w:val="00F32146"/>
    <w:rsid w:val="00F32484"/>
    <w:rsid w:val="00F32486"/>
    <w:rsid w:val="00F324AC"/>
    <w:rsid w:val="00F326A1"/>
    <w:rsid w:val="00F32713"/>
    <w:rsid w:val="00F32732"/>
    <w:rsid w:val="00F32739"/>
    <w:rsid w:val="00F32785"/>
    <w:rsid w:val="00F327F2"/>
    <w:rsid w:val="00F32830"/>
    <w:rsid w:val="00F32907"/>
    <w:rsid w:val="00F329E7"/>
    <w:rsid w:val="00F32AB2"/>
    <w:rsid w:val="00F32AC6"/>
    <w:rsid w:val="00F32C3D"/>
    <w:rsid w:val="00F32C6F"/>
    <w:rsid w:val="00F32CE0"/>
    <w:rsid w:val="00F32D20"/>
    <w:rsid w:val="00F32E7D"/>
    <w:rsid w:val="00F32EB2"/>
    <w:rsid w:val="00F32FA1"/>
    <w:rsid w:val="00F32FCE"/>
    <w:rsid w:val="00F33063"/>
    <w:rsid w:val="00F33121"/>
    <w:rsid w:val="00F33197"/>
    <w:rsid w:val="00F331BA"/>
    <w:rsid w:val="00F332D4"/>
    <w:rsid w:val="00F332DC"/>
    <w:rsid w:val="00F3330C"/>
    <w:rsid w:val="00F333FB"/>
    <w:rsid w:val="00F337BF"/>
    <w:rsid w:val="00F33905"/>
    <w:rsid w:val="00F33941"/>
    <w:rsid w:val="00F339F0"/>
    <w:rsid w:val="00F33A0A"/>
    <w:rsid w:val="00F33A14"/>
    <w:rsid w:val="00F33A90"/>
    <w:rsid w:val="00F33AA1"/>
    <w:rsid w:val="00F33AF4"/>
    <w:rsid w:val="00F33B79"/>
    <w:rsid w:val="00F33BAB"/>
    <w:rsid w:val="00F33BE1"/>
    <w:rsid w:val="00F33C0A"/>
    <w:rsid w:val="00F33C22"/>
    <w:rsid w:val="00F33D6C"/>
    <w:rsid w:val="00F33D9F"/>
    <w:rsid w:val="00F33DE0"/>
    <w:rsid w:val="00F33EA4"/>
    <w:rsid w:val="00F34006"/>
    <w:rsid w:val="00F3416D"/>
    <w:rsid w:val="00F34203"/>
    <w:rsid w:val="00F344A1"/>
    <w:rsid w:val="00F344C0"/>
    <w:rsid w:val="00F3450C"/>
    <w:rsid w:val="00F345C7"/>
    <w:rsid w:val="00F3466A"/>
    <w:rsid w:val="00F3479B"/>
    <w:rsid w:val="00F3479D"/>
    <w:rsid w:val="00F347B5"/>
    <w:rsid w:val="00F34893"/>
    <w:rsid w:val="00F34985"/>
    <w:rsid w:val="00F34A4F"/>
    <w:rsid w:val="00F34A60"/>
    <w:rsid w:val="00F34A98"/>
    <w:rsid w:val="00F34ACB"/>
    <w:rsid w:val="00F34B80"/>
    <w:rsid w:val="00F34CAA"/>
    <w:rsid w:val="00F34D98"/>
    <w:rsid w:val="00F34DA2"/>
    <w:rsid w:val="00F34E17"/>
    <w:rsid w:val="00F34F4F"/>
    <w:rsid w:val="00F34FF0"/>
    <w:rsid w:val="00F350F6"/>
    <w:rsid w:val="00F351A4"/>
    <w:rsid w:val="00F35376"/>
    <w:rsid w:val="00F353AF"/>
    <w:rsid w:val="00F3546A"/>
    <w:rsid w:val="00F357D1"/>
    <w:rsid w:val="00F357D2"/>
    <w:rsid w:val="00F358DB"/>
    <w:rsid w:val="00F359E8"/>
    <w:rsid w:val="00F35AFF"/>
    <w:rsid w:val="00F35B27"/>
    <w:rsid w:val="00F35BC2"/>
    <w:rsid w:val="00F35C86"/>
    <w:rsid w:val="00F35C8B"/>
    <w:rsid w:val="00F35D57"/>
    <w:rsid w:val="00F35D5D"/>
    <w:rsid w:val="00F35DB3"/>
    <w:rsid w:val="00F35E33"/>
    <w:rsid w:val="00F35E77"/>
    <w:rsid w:val="00F35E80"/>
    <w:rsid w:val="00F35F68"/>
    <w:rsid w:val="00F35F8E"/>
    <w:rsid w:val="00F36058"/>
    <w:rsid w:val="00F3605D"/>
    <w:rsid w:val="00F3617C"/>
    <w:rsid w:val="00F3628F"/>
    <w:rsid w:val="00F36366"/>
    <w:rsid w:val="00F363EA"/>
    <w:rsid w:val="00F36424"/>
    <w:rsid w:val="00F364C9"/>
    <w:rsid w:val="00F364F1"/>
    <w:rsid w:val="00F3650A"/>
    <w:rsid w:val="00F3652F"/>
    <w:rsid w:val="00F3653A"/>
    <w:rsid w:val="00F365D9"/>
    <w:rsid w:val="00F36634"/>
    <w:rsid w:val="00F367EB"/>
    <w:rsid w:val="00F3695B"/>
    <w:rsid w:val="00F369B6"/>
    <w:rsid w:val="00F369CE"/>
    <w:rsid w:val="00F36A38"/>
    <w:rsid w:val="00F36C7F"/>
    <w:rsid w:val="00F36C9B"/>
    <w:rsid w:val="00F36DB3"/>
    <w:rsid w:val="00F36FC7"/>
    <w:rsid w:val="00F370CA"/>
    <w:rsid w:val="00F370D8"/>
    <w:rsid w:val="00F3734D"/>
    <w:rsid w:val="00F37353"/>
    <w:rsid w:val="00F373DB"/>
    <w:rsid w:val="00F373F9"/>
    <w:rsid w:val="00F37446"/>
    <w:rsid w:val="00F37487"/>
    <w:rsid w:val="00F374E5"/>
    <w:rsid w:val="00F375B5"/>
    <w:rsid w:val="00F375FF"/>
    <w:rsid w:val="00F37813"/>
    <w:rsid w:val="00F37896"/>
    <w:rsid w:val="00F37AD9"/>
    <w:rsid w:val="00F37B0C"/>
    <w:rsid w:val="00F37B12"/>
    <w:rsid w:val="00F37CA8"/>
    <w:rsid w:val="00F37CAA"/>
    <w:rsid w:val="00F37CFC"/>
    <w:rsid w:val="00F37E5C"/>
    <w:rsid w:val="00F37F50"/>
    <w:rsid w:val="00F37F60"/>
    <w:rsid w:val="00F37F97"/>
    <w:rsid w:val="00F37FC9"/>
    <w:rsid w:val="00F40093"/>
    <w:rsid w:val="00F4009C"/>
    <w:rsid w:val="00F402C5"/>
    <w:rsid w:val="00F40421"/>
    <w:rsid w:val="00F4043E"/>
    <w:rsid w:val="00F4045C"/>
    <w:rsid w:val="00F40542"/>
    <w:rsid w:val="00F405DE"/>
    <w:rsid w:val="00F40614"/>
    <w:rsid w:val="00F40691"/>
    <w:rsid w:val="00F40747"/>
    <w:rsid w:val="00F40886"/>
    <w:rsid w:val="00F40967"/>
    <w:rsid w:val="00F40995"/>
    <w:rsid w:val="00F40A1E"/>
    <w:rsid w:val="00F40A81"/>
    <w:rsid w:val="00F40AD4"/>
    <w:rsid w:val="00F40AFD"/>
    <w:rsid w:val="00F40B20"/>
    <w:rsid w:val="00F40BA6"/>
    <w:rsid w:val="00F40BB3"/>
    <w:rsid w:val="00F40D38"/>
    <w:rsid w:val="00F40DAB"/>
    <w:rsid w:val="00F40F0D"/>
    <w:rsid w:val="00F40F99"/>
    <w:rsid w:val="00F41000"/>
    <w:rsid w:val="00F410CE"/>
    <w:rsid w:val="00F41280"/>
    <w:rsid w:val="00F41326"/>
    <w:rsid w:val="00F414BF"/>
    <w:rsid w:val="00F415BD"/>
    <w:rsid w:val="00F41743"/>
    <w:rsid w:val="00F41924"/>
    <w:rsid w:val="00F41A06"/>
    <w:rsid w:val="00F41A3F"/>
    <w:rsid w:val="00F41AB0"/>
    <w:rsid w:val="00F41B9E"/>
    <w:rsid w:val="00F41BCF"/>
    <w:rsid w:val="00F41CA1"/>
    <w:rsid w:val="00F41E34"/>
    <w:rsid w:val="00F41ECE"/>
    <w:rsid w:val="00F41F01"/>
    <w:rsid w:val="00F41F11"/>
    <w:rsid w:val="00F41F90"/>
    <w:rsid w:val="00F41FBF"/>
    <w:rsid w:val="00F420BD"/>
    <w:rsid w:val="00F420C8"/>
    <w:rsid w:val="00F420D1"/>
    <w:rsid w:val="00F42108"/>
    <w:rsid w:val="00F42156"/>
    <w:rsid w:val="00F42215"/>
    <w:rsid w:val="00F42283"/>
    <w:rsid w:val="00F4229C"/>
    <w:rsid w:val="00F422AA"/>
    <w:rsid w:val="00F42362"/>
    <w:rsid w:val="00F4239D"/>
    <w:rsid w:val="00F424B8"/>
    <w:rsid w:val="00F42505"/>
    <w:rsid w:val="00F4256A"/>
    <w:rsid w:val="00F42647"/>
    <w:rsid w:val="00F426E4"/>
    <w:rsid w:val="00F4272F"/>
    <w:rsid w:val="00F427EC"/>
    <w:rsid w:val="00F42825"/>
    <w:rsid w:val="00F4299A"/>
    <w:rsid w:val="00F429BC"/>
    <w:rsid w:val="00F429C6"/>
    <w:rsid w:val="00F429E4"/>
    <w:rsid w:val="00F42A46"/>
    <w:rsid w:val="00F42A67"/>
    <w:rsid w:val="00F42B3E"/>
    <w:rsid w:val="00F42BA5"/>
    <w:rsid w:val="00F42DDF"/>
    <w:rsid w:val="00F42F6F"/>
    <w:rsid w:val="00F430C2"/>
    <w:rsid w:val="00F4315C"/>
    <w:rsid w:val="00F4318E"/>
    <w:rsid w:val="00F43259"/>
    <w:rsid w:val="00F435F2"/>
    <w:rsid w:val="00F436F5"/>
    <w:rsid w:val="00F43716"/>
    <w:rsid w:val="00F4372D"/>
    <w:rsid w:val="00F43755"/>
    <w:rsid w:val="00F439FC"/>
    <w:rsid w:val="00F43AA0"/>
    <w:rsid w:val="00F43AA4"/>
    <w:rsid w:val="00F43AE0"/>
    <w:rsid w:val="00F43BFC"/>
    <w:rsid w:val="00F43D41"/>
    <w:rsid w:val="00F43D71"/>
    <w:rsid w:val="00F43DD8"/>
    <w:rsid w:val="00F43E21"/>
    <w:rsid w:val="00F43EEA"/>
    <w:rsid w:val="00F4421C"/>
    <w:rsid w:val="00F443F2"/>
    <w:rsid w:val="00F443F6"/>
    <w:rsid w:val="00F4441C"/>
    <w:rsid w:val="00F44444"/>
    <w:rsid w:val="00F44475"/>
    <w:rsid w:val="00F446F5"/>
    <w:rsid w:val="00F44792"/>
    <w:rsid w:val="00F44852"/>
    <w:rsid w:val="00F44855"/>
    <w:rsid w:val="00F44873"/>
    <w:rsid w:val="00F44893"/>
    <w:rsid w:val="00F44973"/>
    <w:rsid w:val="00F449DD"/>
    <w:rsid w:val="00F44A0A"/>
    <w:rsid w:val="00F44A2E"/>
    <w:rsid w:val="00F44A2F"/>
    <w:rsid w:val="00F44A69"/>
    <w:rsid w:val="00F44ACD"/>
    <w:rsid w:val="00F44AFC"/>
    <w:rsid w:val="00F44B39"/>
    <w:rsid w:val="00F44B95"/>
    <w:rsid w:val="00F44BEA"/>
    <w:rsid w:val="00F44C03"/>
    <w:rsid w:val="00F44CC9"/>
    <w:rsid w:val="00F44CDE"/>
    <w:rsid w:val="00F44E5A"/>
    <w:rsid w:val="00F44FBB"/>
    <w:rsid w:val="00F45247"/>
    <w:rsid w:val="00F452AD"/>
    <w:rsid w:val="00F452D6"/>
    <w:rsid w:val="00F452F4"/>
    <w:rsid w:val="00F4534E"/>
    <w:rsid w:val="00F453AA"/>
    <w:rsid w:val="00F45403"/>
    <w:rsid w:val="00F45471"/>
    <w:rsid w:val="00F4550B"/>
    <w:rsid w:val="00F4554D"/>
    <w:rsid w:val="00F45678"/>
    <w:rsid w:val="00F456AA"/>
    <w:rsid w:val="00F457EF"/>
    <w:rsid w:val="00F4586F"/>
    <w:rsid w:val="00F45AF2"/>
    <w:rsid w:val="00F45C1B"/>
    <w:rsid w:val="00F45D22"/>
    <w:rsid w:val="00F45D2B"/>
    <w:rsid w:val="00F45E09"/>
    <w:rsid w:val="00F45E2C"/>
    <w:rsid w:val="00F45FD4"/>
    <w:rsid w:val="00F460C1"/>
    <w:rsid w:val="00F46126"/>
    <w:rsid w:val="00F4627D"/>
    <w:rsid w:val="00F4629D"/>
    <w:rsid w:val="00F462C4"/>
    <w:rsid w:val="00F46501"/>
    <w:rsid w:val="00F46591"/>
    <w:rsid w:val="00F46673"/>
    <w:rsid w:val="00F4667A"/>
    <w:rsid w:val="00F4669D"/>
    <w:rsid w:val="00F4673F"/>
    <w:rsid w:val="00F46943"/>
    <w:rsid w:val="00F46949"/>
    <w:rsid w:val="00F46A06"/>
    <w:rsid w:val="00F46AB9"/>
    <w:rsid w:val="00F46ABA"/>
    <w:rsid w:val="00F46BE9"/>
    <w:rsid w:val="00F46C04"/>
    <w:rsid w:val="00F46D94"/>
    <w:rsid w:val="00F46EC9"/>
    <w:rsid w:val="00F46EFC"/>
    <w:rsid w:val="00F47008"/>
    <w:rsid w:val="00F47078"/>
    <w:rsid w:val="00F471FD"/>
    <w:rsid w:val="00F472CF"/>
    <w:rsid w:val="00F4730D"/>
    <w:rsid w:val="00F4751B"/>
    <w:rsid w:val="00F47688"/>
    <w:rsid w:val="00F47913"/>
    <w:rsid w:val="00F4792B"/>
    <w:rsid w:val="00F4794E"/>
    <w:rsid w:val="00F479B0"/>
    <w:rsid w:val="00F47A13"/>
    <w:rsid w:val="00F47A5B"/>
    <w:rsid w:val="00F47AE1"/>
    <w:rsid w:val="00F47BD0"/>
    <w:rsid w:val="00F47BE7"/>
    <w:rsid w:val="00F47C06"/>
    <w:rsid w:val="00F47C45"/>
    <w:rsid w:val="00F47D0C"/>
    <w:rsid w:val="00F47D23"/>
    <w:rsid w:val="00F47D6B"/>
    <w:rsid w:val="00F47FBE"/>
    <w:rsid w:val="00F47FDF"/>
    <w:rsid w:val="00F501BE"/>
    <w:rsid w:val="00F501C1"/>
    <w:rsid w:val="00F5023D"/>
    <w:rsid w:val="00F5023F"/>
    <w:rsid w:val="00F5025F"/>
    <w:rsid w:val="00F50260"/>
    <w:rsid w:val="00F5027D"/>
    <w:rsid w:val="00F503A3"/>
    <w:rsid w:val="00F503DD"/>
    <w:rsid w:val="00F504F0"/>
    <w:rsid w:val="00F5059B"/>
    <w:rsid w:val="00F50637"/>
    <w:rsid w:val="00F50688"/>
    <w:rsid w:val="00F507C7"/>
    <w:rsid w:val="00F50822"/>
    <w:rsid w:val="00F50900"/>
    <w:rsid w:val="00F50927"/>
    <w:rsid w:val="00F50A55"/>
    <w:rsid w:val="00F50AC6"/>
    <w:rsid w:val="00F50C25"/>
    <w:rsid w:val="00F50C4E"/>
    <w:rsid w:val="00F50D26"/>
    <w:rsid w:val="00F50DBB"/>
    <w:rsid w:val="00F51071"/>
    <w:rsid w:val="00F510DE"/>
    <w:rsid w:val="00F511AE"/>
    <w:rsid w:val="00F51222"/>
    <w:rsid w:val="00F51358"/>
    <w:rsid w:val="00F51385"/>
    <w:rsid w:val="00F51411"/>
    <w:rsid w:val="00F514B0"/>
    <w:rsid w:val="00F5151B"/>
    <w:rsid w:val="00F5157B"/>
    <w:rsid w:val="00F51679"/>
    <w:rsid w:val="00F516E2"/>
    <w:rsid w:val="00F51742"/>
    <w:rsid w:val="00F51989"/>
    <w:rsid w:val="00F5198F"/>
    <w:rsid w:val="00F519FB"/>
    <w:rsid w:val="00F51A8B"/>
    <w:rsid w:val="00F51B30"/>
    <w:rsid w:val="00F51D7C"/>
    <w:rsid w:val="00F51DC0"/>
    <w:rsid w:val="00F51FFE"/>
    <w:rsid w:val="00F52029"/>
    <w:rsid w:val="00F5213D"/>
    <w:rsid w:val="00F521C6"/>
    <w:rsid w:val="00F522B6"/>
    <w:rsid w:val="00F52351"/>
    <w:rsid w:val="00F52395"/>
    <w:rsid w:val="00F523A5"/>
    <w:rsid w:val="00F52441"/>
    <w:rsid w:val="00F52450"/>
    <w:rsid w:val="00F52612"/>
    <w:rsid w:val="00F526B3"/>
    <w:rsid w:val="00F5278D"/>
    <w:rsid w:val="00F5281B"/>
    <w:rsid w:val="00F5282B"/>
    <w:rsid w:val="00F528B6"/>
    <w:rsid w:val="00F52953"/>
    <w:rsid w:val="00F52BFC"/>
    <w:rsid w:val="00F52C63"/>
    <w:rsid w:val="00F52DD3"/>
    <w:rsid w:val="00F52E4A"/>
    <w:rsid w:val="00F52F2C"/>
    <w:rsid w:val="00F53000"/>
    <w:rsid w:val="00F53016"/>
    <w:rsid w:val="00F531AD"/>
    <w:rsid w:val="00F531F9"/>
    <w:rsid w:val="00F53246"/>
    <w:rsid w:val="00F532A9"/>
    <w:rsid w:val="00F533A3"/>
    <w:rsid w:val="00F533C5"/>
    <w:rsid w:val="00F53409"/>
    <w:rsid w:val="00F535EC"/>
    <w:rsid w:val="00F53775"/>
    <w:rsid w:val="00F53809"/>
    <w:rsid w:val="00F53914"/>
    <w:rsid w:val="00F539AF"/>
    <w:rsid w:val="00F53A26"/>
    <w:rsid w:val="00F53B56"/>
    <w:rsid w:val="00F53C38"/>
    <w:rsid w:val="00F53CE1"/>
    <w:rsid w:val="00F53DF9"/>
    <w:rsid w:val="00F53FA2"/>
    <w:rsid w:val="00F54112"/>
    <w:rsid w:val="00F54186"/>
    <w:rsid w:val="00F54188"/>
    <w:rsid w:val="00F5421F"/>
    <w:rsid w:val="00F5423E"/>
    <w:rsid w:val="00F54241"/>
    <w:rsid w:val="00F54248"/>
    <w:rsid w:val="00F543B6"/>
    <w:rsid w:val="00F5449F"/>
    <w:rsid w:val="00F544E4"/>
    <w:rsid w:val="00F54528"/>
    <w:rsid w:val="00F54631"/>
    <w:rsid w:val="00F54713"/>
    <w:rsid w:val="00F547F4"/>
    <w:rsid w:val="00F5486F"/>
    <w:rsid w:val="00F548CD"/>
    <w:rsid w:val="00F549C9"/>
    <w:rsid w:val="00F54B13"/>
    <w:rsid w:val="00F54B8B"/>
    <w:rsid w:val="00F54C18"/>
    <w:rsid w:val="00F54C5D"/>
    <w:rsid w:val="00F54C8A"/>
    <w:rsid w:val="00F54C96"/>
    <w:rsid w:val="00F54CD2"/>
    <w:rsid w:val="00F54DE3"/>
    <w:rsid w:val="00F54DFF"/>
    <w:rsid w:val="00F54F71"/>
    <w:rsid w:val="00F54F99"/>
    <w:rsid w:val="00F55057"/>
    <w:rsid w:val="00F550E2"/>
    <w:rsid w:val="00F551D3"/>
    <w:rsid w:val="00F5537B"/>
    <w:rsid w:val="00F553F6"/>
    <w:rsid w:val="00F5544F"/>
    <w:rsid w:val="00F554CD"/>
    <w:rsid w:val="00F55515"/>
    <w:rsid w:val="00F555BB"/>
    <w:rsid w:val="00F55610"/>
    <w:rsid w:val="00F55780"/>
    <w:rsid w:val="00F55820"/>
    <w:rsid w:val="00F55834"/>
    <w:rsid w:val="00F55878"/>
    <w:rsid w:val="00F558F1"/>
    <w:rsid w:val="00F55981"/>
    <w:rsid w:val="00F55BA0"/>
    <w:rsid w:val="00F55BD1"/>
    <w:rsid w:val="00F55BE8"/>
    <w:rsid w:val="00F55C08"/>
    <w:rsid w:val="00F55CB7"/>
    <w:rsid w:val="00F55E86"/>
    <w:rsid w:val="00F55E8E"/>
    <w:rsid w:val="00F55E91"/>
    <w:rsid w:val="00F55F13"/>
    <w:rsid w:val="00F5607E"/>
    <w:rsid w:val="00F560C2"/>
    <w:rsid w:val="00F560C4"/>
    <w:rsid w:val="00F56151"/>
    <w:rsid w:val="00F561E5"/>
    <w:rsid w:val="00F56204"/>
    <w:rsid w:val="00F56509"/>
    <w:rsid w:val="00F565FE"/>
    <w:rsid w:val="00F566B2"/>
    <w:rsid w:val="00F5671B"/>
    <w:rsid w:val="00F567A4"/>
    <w:rsid w:val="00F567E8"/>
    <w:rsid w:val="00F56846"/>
    <w:rsid w:val="00F56A16"/>
    <w:rsid w:val="00F56A55"/>
    <w:rsid w:val="00F56AB3"/>
    <w:rsid w:val="00F56BA6"/>
    <w:rsid w:val="00F56CE6"/>
    <w:rsid w:val="00F56D8C"/>
    <w:rsid w:val="00F56DA4"/>
    <w:rsid w:val="00F56E5E"/>
    <w:rsid w:val="00F56FDF"/>
    <w:rsid w:val="00F56FE4"/>
    <w:rsid w:val="00F57029"/>
    <w:rsid w:val="00F570D7"/>
    <w:rsid w:val="00F571B5"/>
    <w:rsid w:val="00F5721A"/>
    <w:rsid w:val="00F57226"/>
    <w:rsid w:val="00F57392"/>
    <w:rsid w:val="00F573C5"/>
    <w:rsid w:val="00F5750D"/>
    <w:rsid w:val="00F575D6"/>
    <w:rsid w:val="00F575EF"/>
    <w:rsid w:val="00F57627"/>
    <w:rsid w:val="00F576BD"/>
    <w:rsid w:val="00F576E2"/>
    <w:rsid w:val="00F5782E"/>
    <w:rsid w:val="00F5789E"/>
    <w:rsid w:val="00F578CD"/>
    <w:rsid w:val="00F5792C"/>
    <w:rsid w:val="00F5796F"/>
    <w:rsid w:val="00F57A3E"/>
    <w:rsid w:val="00F57BB2"/>
    <w:rsid w:val="00F57E16"/>
    <w:rsid w:val="00F57E3F"/>
    <w:rsid w:val="00F57FC7"/>
    <w:rsid w:val="00F601F7"/>
    <w:rsid w:val="00F602C4"/>
    <w:rsid w:val="00F60307"/>
    <w:rsid w:val="00F6039E"/>
    <w:rsid w:val="00F60416"/>
    <w:rsid w:val="00F60417"/>
    <w:rsid w:val="00F604F0"/>
    <w:rsid w:val="00F604FC"/>
    <w:rsid w:val="00F6059B"/>
    <w:rsid w:val="00F606C6"/>
    <w:rsid w:val="00F60799"/>
    <w:rsid w:val="00F60921"/>
    <w:rsid w:val="00F60925"/>
    <w:rsid w:val="00F60A40"/>
    <w:rsid w:val="00F60BBC"/>
    <w:rsid w:val="00F60DAF"/>
    <w:rsid w:val="00F60DD5"/>
    <w:rsid w:val="00F60F1E"/>
    <w:rsid w:val="00F610A3"/>
    <w:rsid w:val="00F6112E"/>
    <w:rsid w:val="00F612BC"/>
    <w:rsid w:val="00F61390"/>
    <w:rsid w:val="00F614D4"/>
    <w:rsid w:val="00F61742"/>
    <w:rsid w:val="00F617DB"/>
    <w:rsid w:val="00F618AF"/>
    <w:rsid w:val="00F618B2"/>
    <w:rsid w:val="00F618EE"/>
    <w:rsid w:val="00F61B66"/>
    <w:rsid w:val="00F61B85"/>
    <w:rsid w:val="00F61BA4"/>
    <w:rsid w:val="00F61CAF"/>
    <w:rsid w:val="00F61CC9"/>
    <w:rsid w:val="00F61DD1"/>
    <w:rsid w:val="00F61E0D"/>
    <w:rsid w:val="00F61EBC"/>
    <w:rsid w:val="00F61F3B"/>
    <w:rsid w:val="00F61F65"/>
    <w:rsid w:val="00F62166"/>
    <w:rsid w:val="00F62229"/>
    <w:rsid w:val="00F6225D"/>
    <w:rsid w:val="00F622CA"/>
    <w:rsid w:val="00F623A7"/>
    <w:rsid w:val="00F623AB"/>
    <w:rsid w:val="00F62432"/>
    <w:rsid w:val="00F6256E"/>
    <w:rsid w:val="00F625F2"/>
    <w:rsid w:val="00F6278B"/>
    <w:rsid w:val="00F62852"/>
    <w:rsid w:val="00F6292D"/>
    <w:rsid w:val="00F629EA"/>
    <w:rsid w:val="00F62A8A"/>
    <w:rsid w:val="00F62C68"/>
    <w:rsid w:val="00F62C8E"/>
    <w:rsid w:val="00F62CDD"/>
    <w:rsid w:val="00F62D42"/>
    <w:rsid w:val="00F62E04"/>
    <w:rsid w:val="00F62E4A"/>
    <w:rsid w:val="00F62E4D"/>
    <w:rsid w:val="00F62EB3"/>
    <w:rsid w:val="00F62F1E"/>
    <w:rsid w:val="00F62FD5"/>
    <w:rsid w:val="00F630F0"/>
    <w:rsid w:val="00F6316A"/>
    <w:rsid w:val="00F6323D"/>
    <w:rsid w:val="00F6324E"/>
    <w:rsid w:val="00F632AA"/>
    <w:rsid w:val="00F633D5"/>
    <w:rsid w:val="00F63508"/>
    <w:rsid w:val="00F63582"/>
    <w:rsid w:val="00F63744"/>
    <w:rsid w:val="00F63767"/>
    <w:rsid w:val="00F637B9"/>
    <w:rsid w:val="00F6382F"/>
    <w:rsid w:val="00F638B7"/>
    <w:rsid w:val="00F638BB"/>
    <w:rsid w:val="00F6393C"/>
    <w:rsid w:val="00F63A7D"/>
    <w:rsid w:val="00F63B0B"/>
    <w:rsid w:val="00F63C1B"/>
    <w:rsid w:val="00F63C8D"/>
    <w:rsid w:val="00F63CE0"/>
    <w:rsid w:val="00F63D1A"/>
    <w:rsid w:val="00F63D36"/>
    <w:rsid w:val="00F63D9B"/>
    <w:rsid w:val="00F63DCC"/>
    <w:rsid w:val="00F63DE0"/>
    <w:rsid w:val="00F63EE6"/>
    <w:rsid w:val="00F63F08"/>
    <w:rsid w:val="00F63F0E"/>
    <w:rsid w:val="00F63F1D"/>
    <w:rsid w:val="00F63F28"/>
    <w:rsid w:val="00F63F48"/>
    <w:rsid w:val="00F64151"/>
    <w:rsid w:val="00F64263"/>
    <w:rsid w:val="00F64330"/>
    <w:rsid w:val="00F64419"/>
    <w:rsid w:val="00F64448"/>
    <w:rsid w:val="00F64603"/>
    <w:rsid w:val="00F64789"/>
    <w:rsid w:val="00F64864"/>
    <w:rsid w:val="00F6486B"/>
    <w:rsid w:val="00F648CE"/>
    <w:rsid w:val="00F6492E"/>
    <w:rsid w:val="00F64962"/>
    <w:rsid w:val="00F649AF"/>
    <w:rsid w:val="00F64A18"/>
    <w:rsid w:val="00F64A62"/>
    <w:rsid w:val="00F64AA4"/>
    <w:rsid w:val="00F64B71"/>
    <w:rsid w:val="00F64BA0"/>
    <w:rsid w:val="00F64BB5"/>
    <w:rsid w:val="00F64C7E"/>
    <w:rsid w:val="00F64CCA"/>
    <w:rsid w:val="00F64E95"/>
    <w:rsid w:val="00F64F01"/>
    <w:rsid w:val="00F64FCD"/>
    <w:rsid w:val="00F65147"/>
    <w:rsid w:val="00F651C8"/>
    <w:rsid w:val="00F65296"/>
    <w:rsid w:val="00F652AB"/>
    <w:rsid w:val="00F653ED"/>
    <w:rsid w:val="00F65414"/>
    <w:rsid w:val="00F65435"/>
    <w:rsid w:val="00F654FB"/>
    <w:rsid w:val="00F6566D"/>
    <w:rsid w:val="00F657BD"/>
    <w:rsid w:val="00F65886"/>
    <w:rsid w:val="00F65945"/>
    <w:rsid w:val="00F65AF6"/>
    <w:rsid w:val="00F65B3C"/>
    <w:rsid w:val="00F65B83"/>
    <w:rsid w:val="00F65B9C"/>
    <w:rsid w:val="00F65BF2"/>
    <w:rsid w:val="00F65C4D"/>
    <w:rsid w:val="00F65DDB"/>
    <w:rsid w:val="00F65DE5"/>
    <w:rsid w:val="00F65F88"/>
    <w:rsid w:val="00F65FC2"/>
    <w:rsid w:val="00F66026"/>
    <w:rsid w:val="00F6605B"/>
    <w:rsid w:val="00F663A1"/>
    <w:rsid w:val="00F663A8"/>
    <w:rsid w:val="00F663DE"/>
    <w:rsid w:val="00F66416"/>
    <w:rsid w:val="00F665E7"/>
    <w:rsid w:val="00F66649"/>
    <w:rsid w:val="00F6674F"/>
    <w:rsid w:val="00F668FA"/>
    <w:rsid w:val="00F669E2"/>
    <w:rsid w:val="00F669FC"/>
    <w:rsid w:val="00F66A44"/>
    <w:rsid w:val="00F66B3D"/>
    <w:rsid w:val="00F66B46"/>
    <w:rsid w:val="00F66B4E"/>
    <w:rsid w:val="00F66C30"/>
    <w:rsid w:val="00F66D0F"/>
    <w:rsid w:val="00F66DA1"/>
    <w:rsid w:val="00F66DAF"/>
    <w:rsid w:val="00F66EFF"/>
    <w:rsid w:val="00F66F5F"/>
    <w:rsid w:val="00F66FFB"/>
    <w:rsid w:val="00F6707B"/>
    <w:rsid w:val="00F67092"/>
    <w:rsid w:val="00F67138"/>
    <w:rsid w:val="00F67189"/>
    <w:rsid w:val="00F672C0"/>
    <w:rsid w:val="00F67361"/>
    <w:rsid w:val="00F67490"/>
    <w:rsid w:val="00F674EF"/>
    <w:rsid w:val="00F67648"/>
    <w:rsid w:val="00F6779C"/>
    <w:rsid w:val="00F6793E"/>
    <w:rsid w:val="00F67BA7"/>
    <w:rsid w:val="00F67BC3"/>
    <w:rsid w:val="00F67C50"/>
    <w:rsid w:val="00F67C85"/>
    <w:rsid w:val="00F67D18"/>
    <w:rsid w:val="00F67DC8"/>
    <w:rsid w:val="00F67E15"/>
    <w:rsid w:val="00F7007B"/>
    <w:rsid w:val="00F700AB"/>
    <w:rsid w:val="00F70120"/>
    <w:rsid w:val="00F70153"/>
    <w:rsid w:val="00F701CA"/>
    <w:rsid w:val="00F701DD"/>
    <w:rsid w:val="00F702D2"/>
    <w:rsid w:val="00F70300"/>
    <w:rsid w:val="00F7030E"/>
    <w:rsid w:val="00F70326"/>
    <w:rsid w:val="00F70332"/>
    <w:rsid w:val="00F70432"/>
    <w:rsid w:val="00F70435"/>
    <w:rsid w:val="00F7054E"/>
    <w:rsid w:val="00F705C3"/>
    <w:rsid w:val="00F70618"/>
    <w:rsid w:val="00F706F8"/>
    <w:rsid w:val="00F70768"/>
    <w:rsid w:val="00F70775"/>
    <w:rsid w:val="00F70782"/>
    <w:rsid w:val="00F707AB"/>
    <w:rsid w:val="00F7084C"/>
    <w:rsid w:val="00F708BC"/>
    <w:rsid w:val="00F709F5"/>
    <w:rsid w:val="00F70A36"/>
    <w:rsid w:val="00F70A64"/>
    <w:rsid w:val="00F70A6D"/>
    <w:rsid w:val="00F70B4B"/>
    <w:rsid w:val="00F70CD7"/>
    <w:rsid w:val="00F70D47"/>
    <w:rsid w:val="00F70DE7"/>
    <w:rsid w:val="00F7100F"/>
    <w:rsid w:val="00F7109E"/>
    <w:rsid w:val="00F710CB"/>
    <w:rsid w:val="00F710E1"/>
    <w:rsid w:val="00F711A8"/>
    <w:rsid w:val="00F7123D"/>
    <w:rsid w:val="00F71379"/>
    <w:rsid w:val="00F7140C"/>
    <w:rsid w:val="00F714D5"/>
    <w:rsid w:val="00F71513"/>
    <w:rsid w:val="00F71590"/>
    <w:rsid w:val="00F716AC"/>
    <w:rsid w:val="00F716E3"/>
    <w:rsid w:val="00F717AF"/>
    <w:rsid w:val="00F7181E"/>
    <w:rsid w:val="00F718AB"/>
    <w:rsid w:val="00F718E7"/>
    <w:rsid w:val="00F718F0"/>
    <w:rsid w:val="00F719A8"/>
    <w:rsid w:val="00F71AD7"/>
    <w:rsid w:val="00F71B27"/>
    <w:rsid w:val="00F71CBA"/>
    <w:rsid w:val="00F71D27"/>
    <w:rsid w:val="00F71E27"/>
    <w:rsid w:val="00F71E9D"/>
    <w:rsid w:val="00F71F17"/>
    <w:rsid w:val="00F7217A"/>
    <w:rsid w:val="00F722AA"/>
    <w:rsid w:val="00F72470"/>
    <w:rsid w:val="00F724B4"/>
    <w:rsid w:val="00F72525"/>
    <w:rsid w:val="00F72595"/>
    <w:rsid w:val="00F72741"/>
    <w:rsid w:val="00F728A1"/>
    <w:rsid w:val="00F729E5"/>
    <w:rsid w:val="00F72A35"/>
    <w:rsid w:val="00F72C18"/>
    <w:rsid w:val="00F72C32"/>
    <w:rsid w:val="00F72EA4"/>
    <w:rsid w:val="00F72EE4"/>
    <w:rsid w:val="00F72EFA"/>
    <w:rsid w:val="00F72F66"/>
    <w:rsid w:val="00F730DC"/>
    <w:rsid w:val="00F73135"/>
    <w:rsid w:val="00F731B9"/>
    <w:rsid w:val="00F731C2"/>
    <w:rsid w:val="00F73282"/>
    <w:rsid w:val="00F732AE"/>
    <w:rsid w:val="00F73311"/>
    <w:rsid w:val="00F733B9"/>
    <w:rsid w:val="00F73457"/>
    <w:rsid w:val="00F7348B"/>
    <w:rsid w:val="00F735DB"/>
    <w:rsid w:val="00F73641"/>
    <w:rsid w:val="00F737B0"/>
    <w:rsid w:val="00F738C7"/>
    <w:rsid w:val="00F73921"/>
    <w:rsid w:val="00F73931"/>
    <w:rsid w:val="00F73996"/>
    <w:rsid w:val="00F739FA"/>
    <w:rsid w:val="00F73A85"/>
    <w:rsid w:val="00F73AAB"/>
    <w:rsid w:val="00F73BCE"/>
    <w:rsid w:val="00F73BDE"/>
    <w:rsid w:val="00F73BFF"/>
    <w:rsid w:val="00F73CB3"/>
    <w:rsid w:val="00F73D8B"/>
    <w:rsid w:val="00F7417B"/>
    <w:rsid w:val="00F7427E"/>
    <w:rsid w:val="00F744CB"/>
    <w:rsid w:val="00F746F9"/>
    <w:rsid w:val="00F7470E"/>
    <w:rsid w:val="00F74734"/>
    <w:rsid w:val="00F7475D"/>
    <w:rsid w:val="00F74761"/>
    <w:rsid w:val="00F748A8"/>
    <w:rsid w:val="00F74918"/>
    <w:rsid w:val="00F74954"/>
    <w:rsid w:val="00F74BE8"/>
    <w:rsid w:val="00F74D2D"/>
    <w:rsid w:val="00F74DE8"/>
    <w:rsid w:val="00F74E8E"/>
    <w:rsid w:val="00F74EBF"/>
    <w:rsid w:val="00F74F34"/>
    <w:rsid w:val="00F74F4D"/>
    <w:rsid w:val="00F74F73"/>
    <w:rsid w:val="00F74FE0"/>
    <w:rsid w:val="00F75017"/>
    <w:rsid w:val="00F7512F"/>
    <w:rsid w:val="00F752C6"/>
    <w:rsid w:val="00F752F4"/>
    <w:rsid w:val="00F7532B"/>
    <w:rsid w:val="00F75400"/>
    <w:rsid w:val="00F75468"/>
    <w:rsid w:val="00F756C3"/>
    <w:rsid w:val="00F756E8"/>
    <w:rsid w:val="00F75737"/>
    <w:rsid w:val="00F7578C"/>
    <w:rsid w:val="00F757AE"/>
    <w:rsid w:val="00F758CE"/>
    <w:rsid w:val="00F75996"/>
    <w:rsid w:val="00F759D2"/>
    <w:rsid w:val="00F75A0B"/>
    <w:rsid w:val="00F75ABF"/>
    <w:rsid w:val="00F75CC4"/>
    <w:rsid w:val="00F75D7C"/>
    <w:rsid w:val="00F75E62"/>
    <w:rsid w:val="00F75ECB"/>
    <w:rsid w:val="00F75FAB"/>
    <w:rsid w:val="00F7612B"/>
    <w:rsid w:val="00F762C5"/>
    <w:rsid w:val="00F763AE"/>
    <w:rsid w:val="00F76449"/>
    <w:rsid w:val="00F766A1"/>
    <w:rsid w:val="00F766BA"/>
    <w:rsid w:val="00F768CC"/>
    <w:rsid w:val="00F768E5"/>
    <w:rsid w:val="00F769B2"/>
    <w:rsid w:val="00F76B8A"/>
    <w:rsid w:val="00F76C32"/>
    <w:rsid w:val="00F76E6A"/>
    <w:rsid w:val="00F76E6F"/>
    <w:rsid w:val="00F76F78"/>
    <w:rsid w:val="00F76FA5"/>
    <w:rsid w:val="00F76FA7"/>
    <w:rsid w:val="00F771FD"/>
    <w:rsid w:val="00F77225"/>
    <w:rsid w:val="00F772A9"/>
    <w:rsid w:val="00F77307"/>
    <w:rsid w:val="00F77368"/>
    <w:rsid w:val="00F7739C"/>
    <w:rsid w:val="00F773B7"/>
    <w:rsid w:val="00F773B8"/>
    <w:rsid w:val="00F77407"/>
    <w:rsid w:val="00F776B2"/>
    <w:rsid w:val="00F77843"/>
    <w:rsid w:val="00F7784E"/>
    <w:rsid w:val="00F77867"/>
    <w:rsid w:val="00F77888"/>
    <w:rsid w:val="00F778A5"/>
    <w:rsid w:val="00F779C6"/>
    <w:rsid w:val="00F77ABC"/>
    <w:rsid w:val="00F77AD0"/>
    <w:rsid w:val="00F77AF5"/>
    <w:rsid w:val="00F77C45"/>
    <w:rsid w:val="00F77D05"/>
    <w:rsid w:val="00F77D94"/>
    <w:rsid w:val="00F77E68"/>
    <w:rsid w:val="00F77EB5"/>
    <w:rsid w:val="00F77ED0"/>
    <w:rsid w:val="00F80040"/>
    <w:rsid w:val="00F801FA"/>
    <w:rsid w:val="00F80236"/>
    <w:rsid w:val="00F8038F"/>
    <w:rsid w:val="00F803B0"/>
    <w:rsid w:val="00F803F2"/>
    <w:rsid w:val="00F803F3"/>
    <w:rsid w:val="00F80472"/>
    <w:rsid w:val="00F80480"/>
    <w:rsid w:val="00F804FE"/>
    <w:rsid w:val="00F805DE"/>
    <w:rsid w:val="00F806A8"/>
    <w:rsid w:val="00F80745"/>
    <w:rsid w:val="00F80770"/>
    <w:rsid w:val="00F80773"/>
    <w:rsid w:val="00F8093C"/>
    <w:rsid w:val="00F80967"/>
    <w:rsid w:val="00F809DF"/>
    <w:rsid w:val="00F80CAA"/>
    <w:rsid w:val="00F80D12"/>
    <w:rsid w:val="00F80D38"/>
    <w:rsid w:val="00F80DB7"/>
    <w:rsid w:val="00F80F0E"/>
    <w:rsid w:val="00F80F59"/>
    <w:rsid w:val="00F80FB9"/>
    <w:rsid w:val="00F81011"/>
    <w:rsid w:val="00F810DB"/>
    <w:rsid w:val="00F810EC"/>
    <w:rsid w:val="00F81233"/>
    <w:rsid w:val="00F81282"/>
    <w:rsid w:val="00F81335"/>
    <w:rsid w:val="00F8134B"/>
    <w:rsid w:val="00F81382"/>
    <w:rsid w:val="00F81457"/>
    <w:rsid w:val="00F816B2"/>
    <w:rsid w:val="00F81750"/>
    <w:rsid w:val="00F8179D"/>
    <w:rsid w:val="00F81802"/>
    <w:rsid w:val="00F81933"/>
    <w:rsid w:val="00F81A18"/>
    <w:rsid w:val="00F81A28"/>
    <w:rsid w:val="00F81A93"/>
    <w:rsid w:val="00F81B34"/>
    <w:rsid w:val="00F81C41"/>
    <w:rsid w:val="00F81CF2"/>
    <w:rsid w:val="00F81D26"/>
    <w:rsid w:val="00F81E7C"/>
    <w:rsid w:val="00F81E80"/>
    <w:rsid w:val="00F81FA1"/>
    <w:rsid w:val="00F81FF2"/>
    <w:rsid w:val="00F81FF4"/>
    <w:rsid w:val="00F821B3"/>
    <w:rsid w:val="00F822BE"/>
    <w:rsid w:val="00F82466"/>
    <w:rsid w:val="00F825C0"/>
    <w:rsid w:val="00F825FF"/>
    <w:rsid w:val="00F8261D"/>
    <w:rsid w:val="00F82734"/>
    <w:rsid w:val="00F82767"/>
    <w:rsid w:val="00F827D8"/>
    <w:rsid w:val="00F82913"/>
    <w:rsid w:val="00F8299B"/>
    <w:rsid w:val="00F82B3D"/>
    <w:rsid w:val="00F830D1"/>
    <w:rsid w:val="00F83366"/>
    <w:rsid w:val="00F833AE"/>
    <w:rsid w:val="00F833E1"/>
    <w:rsid w:val="00F8355E"/>
    <w:rsid w:val="00F83574"/>
    <w:rsid w:val="00F83591"/>
    <w:rsid w:val="00F835AB"/>
    <w:rsid w:val="00F83617"/>
    <w:rsid w:val="00F83820"/>
    <w:rsid w:val="00F8383F"/>
    <w:rsid w:val="00F83854"/>
    <w:rsid w:val="00F83881"/>
    <w:rsid w:val="00F8391A"/>
    <w:rsid w:val="00F83977"/>
    <w:rsid w:val="00F8399A"/>
    <w:rsid w:val="00F839A1"/>
    <w:rsid w:val="00F83B52"/>
    <w:rsid w:val="00F83B80"/>
    <w:rsid w:val="00F83BF1"/>
    <w:rsid w:val="00F83C45"/>
    <w:rsid w:val="00F83CA4"/>
    <w:rsid w:val="00F83D60"/>
    <w:rsid w:val="00F83E00"/>
    <w:rsid w:val="00F83E0F"/>
    <w:rsid w:val="00F83EC9"/>
    <w:rsid w:val="00F84040"/>
    <w:rsid w:val="00F8420E"/>
    <w:rsid w:val="00F84226"/>
    <w:rsid w:val="00F8431F"/>
    <w:rsid w:val="00F844FE"/>
    <w:rsid w:val="00F845E2"/>
    <w:rsid w:val="00F8463B"/>
    <w:rsid w:val="00F846E0"/>
    <w:rsid w:val="00F84891"/>
    <w:rsid w:val="00F84907"/>
    <w:rsid w:val="00F8490D"/>
    <w:rsid w:val="00F8499A"/>
    <w:rsid w:val="00F849F4"/>
    <w:rsid w:val="00F84A6B"/>
    <w:rsid w:val="00F84AFA"/>
    <w:rsid w:val="00F84B02"/>
    <w:rsid w:val="00F84B30"/>
    <w:rsid w:val="00F84B51"/>
    <w:rsid w:val="00F84B7B"/>
    <w:rsid w:val="00F84C13"/>
    <w:rsid w:val="00F84CC7"/>
    <w:rsid w:val="00F84D62"/>
    <w:rsid w:val="00F84D78"/>
    <w:rsid w:val="00F84E0F"/>
    <w:rsid w:val="00F84E59"/>
    <w:rsid w:val="00F84ECF"/>
    <w:rsid w:val="00F84EE1"/>
    <w:rsid w:val="00F84EE7"/>
    <w:rsid w:val="00F84FA2"/>
    <w:rsid w:val="00F850B2"/>
    <w:rsid w:val="00F850B7"/>
    <w:rsid w:val="00F850FF"/>
    <w:rsid w:val="00F852A0"/>
    <w:rsid w:val="00F852A9"/>
    <w:rsid w:val="00F853B5"/>
    <w:rsid w:val="00F8549A"/>
    <w:rsid w:val="00F854F3"/>
    <w:rsid w:val="00F85542"/>
    <w:rsid w:val="00F85627"/>
    <w:rsid w:val="00F8564E"/>
    <w:rsid w:val="00F8566E"/>
    <w:rsid w:val="00F85679"/>
    <w:rsid w:val="00F8567A"/>
    <w:rsid w:val="00F8570E"/>
    <w:rsid w:val="00F8579E"/>
    <w:rsid w:val="00F85842"/>
    <w:rsid w:val="00F8584E"/>
    <w:rsid w:val="00F8593D"/>
    <w:rsid w:val="00F85953"/>
    <w:rsid w:val="00F85A44"/>
    <w:rsid w:val="00F85AC2"/>
    <w:rsid w:val="00F85B51"/>
    <w:rsid w:val="00F85C04"/>
    <w:rsid w:val="00F85D53"/>
    <w:rsid w:val="00F85E00"/>
    <w:rsid w:val="00F85E3A"/>
    <w:rsid w:val="00F85EC0"/>
    <w:rsid w:val="00F85F31"/>
    <w:rsid w:val="00F8600E"/>
    <w:rsid w:val="00F86081"/>
    <w:rsid w:val="00F860D5"/>
    <w:rsid w:val="00F8618F"/>
    <w:rsid w:val="00F86224"/>
    <w:rsid w:val="00F86251"/>
    <w:rsid w:val="00F86257"/>
    <w:rsid w:val="00F862B0"/>
    <w:rsid w:val="00F86329"/>
    <w:rsid w:val="00F86368"/>
    <w:rsid w:val="00F863BA"/>
    <w:rsid w:val="00F863CB"/>
    <w:rsid w:val="00F86484"/>
    <w:rsid w:val="00F864E3"/>
    <w:rsid w:val="00F8660A"/>
    <w:rsid w:val="00F866F2"/>
    <w:rsid w:val="00F8684E"/>
    <w:rsid w:val="00F86853"/>
    <w:rsid w:val="00F868C8"/>
    <w:rsid w:val="00F869FB"/>
    <w:rsid w:val="00F86A4F"/>
    <w:rsid w:val="00F86B54"/>
    <w:rsid w:val="00F86CB3"/>
    <w:rsid w:val="00F86CE2"/>
    <w:rsid w:val="00F86D99"/>
    <w:rsid w:val="00F86DDB"/>
    <w:rsid w:val="00F86E73"/>
    <w:rsid w:val="00F86F73"/>
    <w:rsid w:val="00F86FDD"/>
    <w:rsid w:val="00F8707F"/>
    <w:rsid w:val="00F87083"/>
    <w:rsid w:val="00F870DF"/>
    <w:rsid w:val="00F870E6"/>
    <w:rsid w:val="00F87595"/>
    <w:rsid w:val="00F875F2"/>
    <w:rsid w:val="00F875F5"/>
    <w:rsid w:val="00F87659"/>
    <w:rsid w:val="00F8766A"/>
    <w:rsid w:val="00F87698"/>
    <w:rsid w:val="00F876CD"/>
    <w:rsid w:val="00F877DA"/>
    <w:rsid w:val="00F877F1"/>
    <w:rsid w:val="00F87859"/>
    <w:rsid w:val="00F8794A"/>
    <w:rsid w:val="00F879B9"/>
    <w:rsid w:val="00F87AC4"/>
    <w:rsid w:val="00F87AD8"/>
    <w:rsid w:val="00F87B23"/>
    <w:rsid w:val="00F87BFB"/>
    <w:rsid w:val="00F87F3A"/>
    <w:rsid w:val="00F90145"/>
    <w:rsid w:val="00F90224"/>
    <w:rsid w:val="00F9022C"/>
    <w:rsid w:val="00F904F7"/>
    <w:rsid w:val="00F9064A"/>
    <w:rsid w:val="00F906CF"/>
    <w:rsid w:val="00F90838"/>
    <w:rsid w:val="00F90844"/>
    <w:rsid w:val="00F9097A"/>
    <w:rsid w:val="00F90B18"/>
    <w:rsid w:val="00F90B4A"/>
    <w:rsid w:val="00F90B9C"/>
    <w:rsid w:val="00F90C14"/>
    <w:rsid w:val="00F90C30"/>
    <w:rsid w:val="00F90D3B"/>
    <w:rsid w:val="00F90DE3"/>
    <w:rsid w:val="00F91107"/>
    <w:rsid w:val="00F911B0"/>
    <w:rsid w:val="00F9125D"/>
    <w:rsid w:val="00F9127F"/>
    <w:rsid w:val="00F912B6"/>
    <w:rsid w:val="00F9132D"/>
    <w:rsid w:val="00F9143A"/>
    <w:rsid w:val="00F915E0"/>
    <w:rsid w:val="00F9168F"/>
    <w:rsid w:val="00F91735"/>
    <w:rsid w:val="00F9179A"/>
    <w:rsid w:val="00F918CE"/>
    <w:rsid w:val="00F91985"/>
    <w:rsid w:val="00F919C7"/>
    <w:rsid w:val="00F91A1E"/>
    <w:rsid w:val="00F91B5E"/>
    <w:rsid w:val="00F91BAE"/>
    <w:rsid w:val="00F91C18"/>
    <w:rsid w:val="00F91D6A"/>
    <w:rsid w:val="00F91E21"/>
    <w:rsid w:val="00F91E7F"/>
    <w:rsid w:val="00F91F2F"/>
    <w:rsid w:val="00F92092"/>
    <w:rsid w:val="00F9213C"/>
    <w:rsid w:val="00F921B2"/>
    <w:rsid w:val="00F92208"/>
    <w:rsid w:val="00F9238E"/>
    <w:rsid w:val="00F923E3"/>
    <w:rsid w:val="00F92405"/>
    <w:rsid w:val="00F9256B"/>
    <w:rsid w:val="00F925B2"/>
    <w:rsid w:val="00F92600"/>
    <w:rsid w:val="00F92711"/>
    <w:rsid w:val="00F927A9"/>
    <w:rsid w:val="00F927CB"/>
    <w:rsid w:val="00F9285C"/>
    <w:rsid w:val="00F928C3"/>
    <w:rsid w:val="00F928CA"/>
    <w:rsid w:val="00F92A39"/>
    <w:rsid w:val="00F92A60"/>
    <w:rsid w:val="00F92B16"/>
    <w:rsid w:val="00F92C66"/>
    <w:rsid w:val="00F92C94"/>
    <w:rsid w:val="00F92CFD"/>
    <w:rsid w:val="00F92F7C"/>
    <w:rsid w:val="00F92FCD"/>
    <w:rsid w:val="00F9312B"/>
    <w:rsid w:val="00F933F6"/>
    <w:rsid w:val="00F935D6"/>
    <w:rsid w:val="00F936EF"/>
    <w:rsid w:val="00F936FA"/>
    <w:rsid w:val="00F937DA"/>
    <w:rsid w:val="00F93862"/>
    <w:rsid w:val="00F93957"/>
    <w:rsid w:val="00F939A0"/>
    <w:rsid w:val="00F93A10"/>
    <w:rsid w:val="00F93A50"/>
    <w:rsid w:val="00F93B65"/>
    <w:rsid w:val="00F93BA3"/>
    <w:rsid w:val="00F93BD1"/>
    <w:rsid w:val="00F93C5A"/>
    <w:rsid w:val="00F93D0E"/>
    <w:rsid w:val="00F93E8C"/>
    <w:rsid w:val="00F93E98"/>
    <w:rsid w:val="00F93F2A"/>
    <w:rsid w:val="00F93F6C"/>
    <w:rsid w:val="00F9408D"/>
    <w:rsid w:val="00F940AD"/>
    <w:rsid w:val="00F9420D"/>
    <w:rsid w:val="00F94217"/>
    <w:rsid w:val="00F942EC"/>
    <w:rsid w:val="00F94306"/>
    <w:rsid w:val="00F94408"/>
    <w:rsid w:val="00F944DC"/>
    <w:rsid w:val="00F94523"/>
    <w:rsid w:val="00F9459C"/>
    <w:rsid w:val="00F94666"/>
    <w:rsid w:val="00F94685"/>
    <w:rsid w:val="00F94703"/>
    <w:rsid w:val="00F94728"/>
    <w:rsid w:val="00F947C5"/>
    <w:rsid w:val="00F947D0"/>
    <w:rsid w:val="00F948F4"/>
    <w:rsid w:val="00F94905"/>
    <w:rsid w:val="00F94BF6"/>
    <w:rsid w:val="00F94E20"/>
    <w:rsid w:val="00F94EE1"/>
    <w:rsid w:val="00F94F3F"/>
    <w:rsid w:val="00F94F7D"/>
    <w:rsid w:val="00F95121"/>
    <w:rsid w:val="00F95216"/>
    <w:rsid w:val="00F95251"/>
    <w:rsid w:val="00F95255"/>
    <w:rsid w:val="00F952B1"/>
    <w:rsid w:val="00F952B9"/>
    <w:rsid w:val="00F952C9"/>
    <w:rsid w:val="00F954A8"/>
    <w:rsid w:val="00F954F3"/>
    <w:rsid w:val="00F95562"/>
    <w:rsid w:val="00F955D3"/>
    <w:rsid w:val="00F95668"/>
    <w:rsid w:val="00F956A5"/>
    <w:rsid w:val="00F95898"/>
    <w:rsid w:val="00F9597F"/>
    <w:rsid w:val="00F959E5"/>
    <w:rsid w:val="00F95A45"/>
    <w:rsid w:val="00F95A64"/>
    <w:rsid w:val="00F95A73"/>
    <w:rsid w:val="00F95AE0"/>
    <w:rsid w:val="00F95B89"/>
    <w:rsid w:val="00F95CAF"/>
    <w:rsid w:val="00F95D63"/>
    <w:rsid w:val="00F95D83"/>
    <w:rsid w:val="00F95E78"/>
    <w:rsid w:val="00F95ECF"/>
    <w:rsid w:val="00F95F5E"/>
    <w:rsid w:val="00F961A7"/>
    <w:rsid w:val="00F961CC"/>
    <w:rsid w:val="00F96232"/>
    <w:rsid w:val="00F96305"/>
    <w:rsid w:val="00F96351"/>
    <w:rsid w:val="00F9665E"/>
    <w:rsid w:val="00F96698"/>
    <w:rsid w:val="00F96707"/>
    <w:rsid w:val="00F9671B"/>
    <w:rsid w:val="00F96824"/>
    <w:rsid w:val="00F968D6"/>
    <w:rsid w:val="00F968E6"/>
    <w:rsid w:val="00F96A0F"/>
    <w:rsid w:val="00F96CC9"/>
    <w:rsid w:val="00F96D1E"/>
    <w:rsid w:val="00F96D43"/>
    <w:rsid w:val="00F96E64"/>
    <w:rsid w:val="00F96EC6"/>
    <w:rsid w:val="00F96F2B"/>
    <w:rsid w:val="00F97001"/>
    <w:rsid w:val="00F9700C"/>
    <w:rsid w:val="00F9711D"/>
    <w:rsid w:val="00F9716D"/>
    <w:rsid w:val="00F971EA"/>
    <w:rsid w:val="00F9739D"/>
    <w:rsid w:val="00F973B6"/>
    <w:rsid w:val="00F97415"/>
    <w:rsid w:val="00F975AD"/>
    <w:rsid w:val="00F9760E"/>
    <w:rsid w:val="00F97705"/>
    <w:rsid w:val="00F97855"/>
    <w:rsid w:val="00F97A45"/>
    <w:rsid w:val="00F97A91"/>
    <w:rsid w:val="00F97AA6"/>
    <w:rsid w:val="00F97AEC"/>
    <w:rsid w:val="00F97EF8"/>
    <w:rsid w:val="00F97FF6"/>
    <w:rsid w:val="00FA000B"/>
    <w:rsid w:val="00FA0108"/>
    <w:rsid w:val="00FA025E"/>
    <w:rsid w:val="00FA02FD"/>
    <w:rsid w:val="00FA03DD"/>
    <w:rsid w:val="00FA040A"/>
    <w:rsid w:val="00FA0468"/>
    <w:rsid w:val="00FA0643"/>
    <w:rsid w:val="00FA0673"/>
    <w:rsid w:val="00FA06AC"/>
    <w:rsid w:val="00FA0718"/>
    <w:rsid w:val="00FA07E7"/>
    <w:rsid w:val="00FA0845"/>
    <w:rsid w:val="00FA0885"/>
    <w:rsid w:val="00FA088A"/>
    <w:rsid w:val="00FA0973"/>
    <w:rsid w:val="00FA09DD"/>
    <w:rsid w:val="00FA0B2C"/>
    <w:rsid w:val="00FA0B57"/>
    <w:rsid w:val="00FA0B60"/>
    <w:rsid w:val="00FA0BE6"/>
    <w:rsid w:val="00FA0BE9"/>
    <w:rsid w:val="00FA0C01"/>
    <w:rsid w:val="00FA0C54"/>
    <w:rsid w:val="00FA0D07"/>
    <w:rsid w:val="00FA0DC0"/>
    <w:rsid w:val="00FA0E59"/>
    <w:rsid w:val="00FA0F9B"/>
    <w:rsid w:val="00FA11F9"/>
    <w:rsid w:val="00FA123F"/>
    <w:rsid w:val="00FA12CC"/>
    <w:rsid w:val="00FA12D3"/>
    <w:rsid w:val="00FA13AE"/>
    <w:rsid w:val="00FA164D"/>
    <w:rsid w:val="00FA169B"/>
    <w:rsid w:val="00FA177D"/>
    <w:rsid w:val="00FA182F"/>
    <w:rsid w:val="00FA185D"/>
    <w:rsid w:val="00FA18F4"/>
    <w:rsid w:val="00FA1D53"/>
    <w:rsid w:val="00FA1DFE"/>
    <w:rsid w:val="00FA1ED5"/>
    <w:rsid w:val="00FA2004"/>
    <w:rsid w:val="00FA20E7"/>
    <w:rsid w:val="00FA21B9"/>
    <w:rsid w:val="00FA22D1"/>
    <w:rsid w:val="00FA23C8"/>
    <w:rsid w:val="00FA23F9"/>
    <w:rsid w:val="00FA2427"/>
    <w:rsid w:val="00FA254E"/>
    <w:rsid w:val="00FA266D"/>
    <w:rsid w:val="00FA271A"/>
    <w:rsid w:val="00FA27BC"/>
    <w:rsid w:val="00FA2801"/>
    <w:rsid w:val="00FA2836"/>
    <w:rsid w:val="00FA2875"/>
    <w:rsid w:val="00FA2933"/>
    <w:rsid w:val="00FA2BB5"/>
    <w:rsid w:val="00FA2E7E"/>
    <w:rsid w:val="00FA2FD7"/>
    <w:rsid w:val="00FA300B"/>
    <w:rsid w:val="00FA309E"/>
    <w:rsid w:val="00FA315F"/>
    <w:rsid w:val="00FA3182"/>
    <w:rsid w:val="00FA31EE"/>
    <w:rsid w:val="00FA3348"/>
    <w:rsid w:val="00FA3357"/>
    <w:rsid w:val="00FA33D3"/>
    <w:rsid w:val="00FA3642"/>
    <w:rsid w:val="00FA3668"/>
    <w:rsid w:val="00FA367B"/>
    <w:rsid w:val="00FA36E4"/>
    <w:rsid w:val="00FA3794"/>
    <w:rsid w:val="00FA3813"/>
    <w:rsid w:val="00FA3851"/>
    <w:rsid w:val="00FA3924"/>
    <w:rsid w:val="00FA3AD8"/>
    <w:rsid w:val="00FA3C5E"/>
    <w:rsid w:val="00FA3C65"/>
    <w:rsid w:val="00FA3D92"/>
    <w:rsid w:val="00FA3EE5"/>
    <w:rsid w:val="00FA3F2E"/>
    <w:rsid w:val="00FA3FE0"/>
    <w:rsid w:val="00FA40B0"/>
    <w:rsid w:val="00FA41C6"/>
    <w:rsid w:val="00FA428A"/>
    <w:rsid w:val="00FA42B4"/>
    <w:rsid w:val="00FA4413"/>
    <w:rsid w:val="00FA44FA"/>
    <w:rsid w:val="00FA4546"/>
    <w:rsid w:val="00FA45F8"/>
    <w:rsid w:val="00FA4606"/>
    <w:rsid w:val="00FA4717"/>
    <w:rsid w:val="00FA475F"/>
    <w:rsid w:val="00FA4880"/>
    <w:rsid w:val="00FA48A6"/>
    <w:rsid w:val="00FA48CC"/>
    <w:rsid w:val="00FA4937"/>
    <w:rsid w:val="00FA4955"/>
    <w:rsid w:val="00FA4A10"/>
    <w:rsid w:val="00FA4BA2"/>
    <w:rsid w:val="00FA4BBC"/>
    <w:rsid w:val="00FA4C15"/>
    <w:rsid w:val="00FA4C95"/>
    <w:rsid w:val="00FA4D76"/>
    <w:rsid w:val="00FA4E2C"/>
    <w:rsid w:val="00FA4E38"/>
    <w:rsid w:val="00FA4E44"/>
    <w:rsid w:val="00FA4E6D"/>
    <w:rsid w:val="00FA4F75"/>
    <w:rsid w:val="00FA4F8F"/>
    <w:rsid w:val="00FA525E"/>
    <w:rsid w:val="00FA529E"/>
    <w:rsid w:val="00FA53B4"/>
    <w:rsid w:val="00FA53D3"/>
    <w:rsid w:val="00FA541B"/>
    <w:rsid w:val="00FA5442"/>
    <w:rsid w:val="00FA5448"/>
    <w:rsid w:val="00FA547E"/>
    <w:rsid w:val="00FA54C0"/>
    <w:rsid w:val="00FA5788"/>
    <w:rsid w:val="00FA5792"/>
    <w:rsid w:val="00FA57A7"/>
    <w:rsid w:val="00FA57E4"/>
    <w:rsid w:val="00FA57EB"/>
    <w:rsid w:val="00FA580D"/>
    <w:rsid w:val="00FA5864"/>
    <w:rsid w:val="00FA5881"/>
    <w:rsid w:val="00FA59FE"/>
    <w:rsid w:val="00FA5A4F"/>
    <w:rsid w:val="00FA5B0E"/>
    <w:rsid w:val="00FA5B2F"/>
    <w:rsid w:val="00FA5B43"/>
    <w:rsid w:val="00FA5C2D"/>
    <w:rsid w:val="00FA5E07"/>
    <w:rsid w:val="00FA5E5C"/>
    <w:rsid w:val="00FA5EFF"/>
    <w:rsid w:val="00FA6049"/>
    <w:rsid w:val="00FA607A"/>
    <w:rsid w:val="00FA6138"/>
    <w:rsid w:val="00FA62B1"/>
    <w:rsid w:val="00FA631D"/>
    <w:rsid w:val="00FA63E9"/>
    <w:rsid w:val="00FA63EE"/>
    <w:rsid w:val="00FA64AB"/>
    <w:rsid w:val="00FA64C4"/>
    <w:rsid w:val="00FA6615"/>
    <w:rsid w:val="00FA67E7"/>
    <w:rsid w:val="00FA6972"/>
    <w:rsid w:val="00FA6B59"/>
    <w:rsid w:val="00FA6B66"/>
    <w:rsid w:val="00FA6CB9"/>
    <w:rsid w:val="00FA6D9D"/>
    <w:rsid w:val="00FA6DD2"/>
    <w:rsid w:val="00FA6E87"/>
    <w:rsid w:val="00FA7161"/>
    <w:rsid w:val="00FA7168"/>
    <w:rsid w:val="00FA7196"/>
    <w:rsid w:val="00FA71D2"/>
    <w:rsid w:val="00FA7205"/>
    <w:rsid w:val="00FA7228"/>
    <w:rsid w:val="00FA726B"/>
    <w:rsid w:val="00FA72C0"/>
    <w:rsid w:val="00FA7332"/>
    <w:rsid w:val="00FA73CB"/>
    <w:rsid w:val="00FA7476"/>
    <w:rsid w:val="00FA74BD"/>
    <w:rsid w:val="00FA74DE"/>
    <w:rsid w:val="00FA75D1"/>
    <w:rsid w:val="00FA7612"/>
    <w:rsid w:val="00FA77C5"/>
    <w:rsid w:val="00FA78E8"/>
    <w:rsid w:val="00FA7903"/>
    <w:rsid w:val="00FA79EC"/>
    <w:rsid w:val="00FA7A15"/>
    <w:rsid w:val="00FA7A64"/>
    <w:rsid w:val="00FA7CF4"/>
    <w:rsid w:val="00FA7D4D"/>
    <w:rsid w:val="00FA7D7D"/>
    <w:rsid w:val="00FA7E2B"/>
    <w:rsid w:val="00FA7E4C"/>
    <w:rsid w:val="00FB0378"/>
    <w:rsid w:val="00FB052A"/>
    <w:rsid w:val="00FB05A1"/>
    <w:rsid w:val="00FB064F"/>
    <w:rsid w:val="00FB0670"/>
    <w:rsid w:val="00FB0771"/>
    <w:rsid w:val="00FB0881"/>
    <w:rsid w:val="00FB0888"/>
    <w:rsid w:val="00FB08D6"/>
    <w:rsid w:val="00FB0A28"/>
    <w:rsid w:val="00FB0C61"/>
    <w:rsid w:val="00FB0E2A"/>
    <w:rsid w:val="00FB0EBD"/>
    <w:rsid w:val="00FB116A"/>
    <w:rsid w:val="00FB1276"/>
    <w:rsid w:val="00FB12EA"/>
    <w:rsid w:val="00FB1336"/>
    <w:rsid w:val="00FB14DE"/>
    <w:rsid w:val="00FB14E0"/>
    <w:rsid w:val="00FB16D7"/>
    <w:rsid w:val="00FB1710"/>
    <w:rsid w:val="00FB177E"/>
    <w:rsid w:val="00FB17A3"/>
    <w:rsid w:val="00FB17E4"/>
    <w:rsid w:val="00FB198B"/>
    <w:rsid w:val="00FB1A64"/>
    <w:rsid w:val="00FB1ACA"/>
    <w:rsid w:val="00FB1D98"/>
    <w:rsid w:val="00FB1DE1"/>
    <w:rsid w:val="00FB1E9E"/>
    <w:rsid w:val="00FB1F5F"/>
    <w:rsid w:val="00FB2078"/>
    <w:rsid w:val="00FB20D0"/>
    <w:rsid w:val="00FB20E3"/>
    <w:rsid w:val="00FB21BD"/>
    <w:rsid w:val="00FB2300"/>
    <w:rsid w:val="00FB236C"/>
    <w:rsid w:val="00FB23D6"/>
    <w:rsid w:val="00FB23E9"/>
    <w:rsid w:val="00FB24E2"/>
    <w:rsid w:val="00FB2578"/>
    <w:rsid w:val="00FB2614"/>
    <w:rsid w:val="00FB2623"/>
    <w:rsid w:val="00FB272D"/>
    <w:rsid w:val="00FB2765"/>
    <w:rsid w:val="00FB278D"/>
    <w:rsid w:val="00FB278E"/>
    <w:rsid w:val="00FB27BE"/>
    <w:rsid w:val="00FB2837"/>
    <w:rsid w:val="00FB287D"/>
    <w:rsid w:val="00FB2915"/>
    <w:rsid w:val="00FB2B06"/>
    <w:rsid w:val="00FB2BDB"/>
    <w:rsid w:val="00FB2BFB"/>
    <w:rsid w:val="00FB2C31"/>
    <w:rsid w:val="00FB2EB8"/>
    <w:rsid w:val="00FB2F25"/>
    <w:rsid w:val="00FB2F44"/>
    <w:rsid w:val="00FB2F8F"/>
    <w:rsid w:val="00FB3094"/>
    <w:rsid w:val="00FB3129"/>
    <w:rsid w:val="00FB3328"/>
    <w:rsid w:val="00FB338D"/>
    <w:rsid w:val="00FB3425"/>
    <w:rsid w:val="00FB34F7"/>
    <w:rsid w:val="00FB3512"/>
    <w:rsid w:val="00FB3587"/>
    <w:rsid w:val="00FB3803"/>
    <w:rsid w:val="00FB3825"/>
    <w:rsid w:val="00FB3871"/>
    <w:rsid w:val="00FB38BA"/>
    <w:rsid w:val="00FB38E4"/>
    <w:rsid w:val="00FB3A5B"/>
    <w:rsid w:val="00FB3B6A"/>
    <w:rsid w:val="00FB3B98"/>
    <w:rsid w:val="00FB3D21"/>
    <w:rsid w:val="00FB3D25"/>
    <w:rsid w:val="00FB3D61"/>
    <w:rsid w:val="00FB3F7F"/>
    <w:rsid w:val="00FB3FD5"/>
    <w:rsid w:val="00FB4060"/>
    <w:rsid w:val="00FB4145"/>
    <w:rsid w:val="00FB41D0"/>
    <w:rsid w:val="00FB43E7"/>
    <w:rsid w:val="00FB45D8"/>
    <w:rsid w:val="00FB463F"/>
    <w:rsid w:val="00FB46B0"/>
    <w:rsid w:val="00FB4722"/>
    <w:rsid w:val="00FB4779"/>
    <w:rsid w:val="00FB477D"/>
    <w:rsid w:val="00FB480E"/>
    <w:rsid w:val="00FB48FF"/>
    <w:rsid w:val="00FB4906"/>
    <w:rsid w:val="00FB496B"/>
    <w:rsid w:val="00FB4A24"/>
    <w:rsid w:val="00FB4A69"/>
    <w:rsid w:val="00FB4B4A"/>
    <w:rsid w:val="00FB4BBE"/>
    <w:rsid w:val="00FB4BD6"/>
    <w:rsid w:val="00FB4CB8"/>
    <w:rsid w:val="00FB4CE7"/>
    <w:rsid w:val="00FB4DAB"/>
    <w:rsid w:val="00FB4E81"/>
    <w:rsid w:val="00FB4E86"/>
    <w:rsid w:val="00FB4EDA"/>
    <w:rsid w:val="00FB4FCA"/>
    <w:rsid w:val="00FB5264"/>
    <w:rsid w:val="00FB52AE"/>
    <w:rsid w:val="00FB5303"/>
    <w:rsid w:val="00FB541B"/>
    <w:rsid w:val="00FB5436"/>
    <w:rsid w:val="00FB5453"/>
    <w:rsid w:val="00FB54C4"/>
    <w:rsid w:val="00FB5527"/>
    <w:rsid w:val="00FB5543"/>
    <w:rsid w:val="00FB559B"/>
    <w:rsid w:val="00FB5784"/>
    <w:rsid w:val="00FB579F"/>
    <w:rsid w:val="00FB57A5"/>
    <w:rsid w:val="00FB57ED"/>
    <w:rsid w:val="00FB58AC"/>
    <w:rsid w:val="00FB58F1"/>
    <w:rsid w:val="00FB5950"/>
    <w:rsid w:val="00FB5BE0"/>
    <w:rsid w:val="00FB5C4A"/>
    <w:rsid w:val="00FB5C72"/>
    <w:rsid w:val="00FB5EB8"/>
    <w:rsid w:val="00FB5F87"/>
    <w:rsid w:val="00FB6048"/>
    <w:rsid w:val="00FB6197"/>
    <w:rsid w:val="00FB61E8"/>
    <w:rsid w:val="00FB6296"/>
    <w:rsid w:val="00FB62A9"/>
    <w:rsid w:val="00FB62AD"/>
    <w:rsid w:val="00FB62B9"/>
    <w:rsid w:val="00FB631E"/>
    <w:rsid w:val="00FB6555"/>
    <w:rsid w:val="00FB6580"/>
    <w:rsid w:val="00FB65B8"/>
    <w:rsid w:val="00FB65FE"/>
    <w:rsid w:val="00FB67FA"/>
    <w:rsid w:val="00FB697A"/>
    <w:rsid w:val="00FB69B0"/>
    <w:rsid w:val="00FB6AE9"/>
    <w:rsid w:val="00FB6AEE"/>
    <w:rsid w:val="00FB6BCB"/>
    <w:rsid w:val="00FB6D37"/>
    <w:rsid w:val="00FB6D80"/>
    <w:rsid w:val="00FB6EAF"/>
    <w:rsid w:val="00FB6F21"/>
    <w:rsid w:val="00FB6F53"/>
    <w:rsid w:val="00FB6FFB"/>
    <w:rsid w:val="00FB700D"/>
    <w:rsid w:val="00FB70E5"/>
    <w:rsid w:val="00FB7292"/>
    <w:rsid w:val="00FB72BD"/>
    <w:rsid w:val="00FB739B"/>
    <w:rsid w:val="00FB73DF"/>
    <w:rsid w:val="00FB7441"/>
    <w:rsid w:val="00FB7519"/>
    <w:rsid w:val="00FB7854"/>
    <w:rsid w:val="00FB78CC"/>
    <w:rsid w:val="00FB7939"/>
    <w:rsid w:val="00FB7A36"/>
    <w:rsid w:val="00FB7A45"/>
    <w:rsid w:val="00FB7AA8"/>
    <w:rsid w:val="00FB7AB9"/>
    <w:rsid w:val="00FB7BF5"/>
    <w:rsid w:val="00FB7C6D"/>
    <w:rsid w:val="00FB7D4C"/>
    <w:rsid w:val="00FB7D89"/>
    <w:rsid w:val="00FB7E25"/>
    <w:rsid w:val="00FC0058"/>
    <w:rsid w:val="00FC00C4"/>
    <w:rsid w:val="00FC01AA"/>
    <w:rsid w:val="00FC01AE"/>
    <w:rsid w:val="00FC027F"/>
    <w:rsid w:val="00FC029D"/>
    <w:rsid w:val="00FC037B"/>
    <w:rsid w:val="00FC05B0"/>
    <w:rsid w:val="00FC0611"/>
    <w:rsid w:val="00FC065C"/>
    <w:rsid w:val="00FC0912"/>
    <w:rsid w:val="00FC0947"/>
    <w:rsid w:val="00FC09BA"/>
    <w:rsid w:val="00FC0BE6"/>
    <w:rsid w:val="00FC0C42"/>
    <w:rsid w:val="00FC0DA7"/>
    <w:rsid w:val="00FC0E77"/>
    <w:rsid w:val="00FC0E8E"/>
    <w:rsid w:val="00FC0EC8"/>
    <w:rsid w:val="00FC10EE"/>
    <w:rsid w:val="00FC1191"/>
    <w:rsid w:val="00FC1290"/>
    <w:rsid w:val="00FC12DB"/>
    <w:rsid w:val="00FC1386"/>
    <w:rsid w:val="00FC13A7"/>
    <w:rsid w:val="00FC1536"/>
    <w:rsid w:val="00FC153B"/>
    <w:rsid w:val="00FC1589"/>
    <w:rsid w:val="00FC15DE"/>
    <w:rsid w:val="00FC16E4"/>
    <w:rsid w:val="00FC1991"/>
    <w:rsid w:val="00FC1ACF"/>
    <w:rsid w:val="00FC1B1D"/>
    <w:rsid w:val="00FC1C38"/>
    <w:rsid w:val="00FC1CC6"/>
    <w:rsid w:val="00FC1D08"/>
    <w:rsid w:val="00FC1DAC"/>
    <w:rsid w:val="00FC2186"/>
    <w:rsid w:val="00FC225C"/>
    <w:rsid w:val="00FC22D0"/>
    <w:rsid w:val="00FC2309"/>
    <w:rsid w:val="00FC2370"/>
    <w:rsid w:val="00FC23B0"/>
    <w:rsid w:val="00FC255A"/>
    <w:rsid w:val="00FC2628"/>
    <w:rsid w:val="00FC26AB"/>
    <w:rsid w:val="00FC2717"/>
    <w:rsid w:val="00FC2786"/>
    <w:rsid w:val="00FC27A3"/>
    <w:rsid w:val="00FC2813"/>
    <w:rsid w:val="00FC2A09"/>
    <w:rsid w:val="00FC2A82"/>
    <w:rsid w:val="00FC2B78"/>
    <w:rsid w:val="00FC2CD8"/>
    <w:rsid w:val="00FC2D87"/>
    <w:rsid w:val="00FC2DA3"/>
    <w:rsid w:val="00FC2DC9"/>
    <w:rsid w:val="00FC2DCA"/>
    <w:rsid w:val="00FC2DF6"/>
    <w:rsid w:val="00FC2DF7"/>
    <w:rsid w:val="00FC32E1"/>
    <w:rsid w:val="00FC33D7"/>
    <w:rsid w:val="00FC33E7"/>
    <w:rsid w:val="00FC34B2"/>
    <w:rsid w:val="00FC34F3"/>
    <w:rsid w:val="00FC34FC"/>
    <w:rsid w:val="00FC3510"/>
    <w:rsid w:val="00FC3641"/>
    <w:rsid w:val="00FC36AC"/>
    <w:rsid w:val="00FC3711"/>
    <w:rsid w:val="00FC3803"/>
    <w:rsid w:val="00FC3839"/>
    <w:rsid w:val="00FC3940"/>
    <w:rsid w:val="00FC39D6"/>
    <w:rsid w:val="00FC39EC"/>
    <w:rsid w:val="00FC39F0"/>
    <w:rsid w:val="00FC3A3C"/>
    <w:rsid w:val="00FC3BA5"/>
    <w:rsid w:val="00FC3D69"/>
    <w:rsid w:val="00FC3E05"/>
    <w:rsid w:val="00FC3E57"/>
    <w:rsid w:val="00FC3FF2"/>
    <w:rsid w:val="00FC4086"/>
    <w:rsid w:val="00FC413A"/>
    <w:rsid w:val="00FC4260"/>
    <w:rsid w:val="00FC428C"/>
    <w:rsid w:val="00FC4375"/>
    <w:rsid w:val="00FC438B"/>
    <w:rsid w:val="00FC44D5"/>
    <w:rsid w:val="00FC4676"/>
    <w:rsid w:val="00FC4698"/>
    <w:rsid w:val="00FC4791"/>
    <w:rsid w:val="00FC4907"/>
    <w:rsid w:val="00FC4948"/>
    <w:rsid w:val="00FC4B69"/>
    <w:rsid w:val="00FC4B8A"/>
    <w:rsid w:val="00FC4B9D"/>
    <w:rsid w:val="00FC4BAA"/>
    <w:rsid w:val="00FC4C7C"/>
    <w:rsid w:val="00FC4D4B"/>
    <w:rsid w:val="00FC4DA3"/>
    <w:rsid w:val="00FC4E24"/>
    <w:rsid w:val="00FC4EE8"/>
    <w:rsid w:val="00FC4FA2"/>
    <w:rsid w:val="00FC5077"/>
    <w:rsid w:val="00FC526C"/>
    <w:rsid w:val="00FC53B6"/>
    <w:rsid w:val="00FC5424"/>
    <w:rsid w:val="00FC5538"/>
    <w:rsid w:val="00FC5558"/>
    <w:rsid w:val="00FC5586"/>
    <w:rsid w:val="00FC559B"/>
    <w:rsid w:val="00FC55CE"/>
    <w:rsid w:val="00FC567C"/>
    <w:rsid w:val="00FC56FF"/>
    <w:rsid w:val="00FC5758"/>
    <w:rsid w:val="00FC57F6"/>
    <w:rsid w:val="00FC591F"/>
    <w:rsid w:val="00FC5A2F"/>
    <w:rsid w:val="00FC5AEE"/>
    <w:rsid w:val="00FC5BA4"/>
    <w:rsid w:val="00FC5C97"/>
    <w:rsid w:val="00FC5D60"/>
    <w:rsid w:val="00FC5D7E"/>
    <w:rsid w:val="00FC5DA1"/>
    <w:rsid w:val="00FC5DB7"/>
    <w:rsid w:val="00FC5FD2"/>
    <w:rsid w:val="00FC5FF3"/>
    <w:rsid w:val="00FC6159"/>
    <w:rsid w:val="00FC6303"/>
    <w:rsid w:val="00FC6356"/>
    <w:rsid w:val="00FC646E"/>
    <w:rsid w:val="00FC6491"/>
    <w:rsid w:val="00FC6599"/>
    <w:rsid w:val="00FC659D"/>
    <w:rsid w:val="00FC65CB"/>
    <w:rsid w:val="00FC65FA"/>
    <w:rsid w:val="00FC675B"/>
    <w:rsid w:val="00FC6840"/>
    <w:rsid w:val="00FC691B"/>
    <w:rsid w:val="00FC6952"/>
    <w:rsid w:val="00FC69AD"/>
    <w:rsid w:val="00FC6D12"/>
    <w:rsid w:val="00FC6DEB"/>
    <w:rsid w:val="00FC6E40"/>
    <w:rsid w:val="00FC6F0B"/>
    <w:rsid w:val="00FC6FAF"/>
    <w:rsid w:val="00FC707B"/>
    <w:rsid w:val="00FC7093"/>
    <w:rsid w:val="00FC715B"/>
    <w:rsid w:val="00FC71B1"/>
    <w:rsid w:val="00FC71D1"/>
    <w:rsid w:val="00FC71FE"/>
    <w:rsid w:val="00FC7423"/>
    <w:rsid w:val="00FC74E5"/>
    <w:rsid w:val="00FC7616"/>
    <w:rsid w:val="00FC761A"/>
    <w:rsid w:val="00FC7692"/>
    <w:rsid w:val="00FC773F"/>
    <w:rsid w:val="00FC7887"/>
    <w:rsid w:val="00FC797D"/>
    <w:rsid w:val="00FC7996"/>
    <w:rsid w:val="00FC7999"/>
    <w:rsid w:val="00FC79BD"/>
    <w:rsid w:val="00FC7A2A"/>
    <w:rsid w:val="00FC7A91"/>
    <w:rsid w:val="00FC7AB2"/>
    <w:rsid w:val="00FC7D1F"/>
    <w:rsid w:val="00FC7D2D"/>
    <w:rsid w:val="00FC7EA2"/>
    <w:rsid w:val="00FC7EFF"/>
    <w:rsid w:val="00FC7F0E"/>
    <w:rsid w:val="00FC7FA5"/>
    <w:rsid w:val="00FD00DC"/>
    <w:rsid w:val="00FD0219"/>
    <w:rsid w:val="00FD0245"/>
    <w:rsid w:val="00FD02CF"/>
    <w:rsid w:val="00FD02D5"/>
    <w:rsid w:val="00FD033F"/>
    <w:rsid w:val="00FD035F"/>
    <w:rsid w:val="00FD03DF"/>
    <w:rsid w:val="00FD0725"/>
    <w:rsid w:val="00FD075E"/>
    <w:rsid w:val="00FD096F"/>
    <w:rsid w:val="00FD09A6"/>
    <w:rsid w:val="00FD0B09"/>
    <w:rsid w:val="00FD0B81"/>
    <w:rsid w:val="00FD0D23"/>
    <w:rsid w:val="00FD0D45"/>
    <w:rsid w:val="00FD0DA2"/>
    <w:rsid w:val="00FD0DE9"/>
    <w:rsid w:val="00FD0E29"/>
    <w:rsid w:val="00FD1130"/>
    <w:rsid w:val="00FD1178"/>
    <w:rsid w:val="00FD1392"/>
    <w:rsid w:val="00FD144C"/>
    <w:rsid w:val="00FD149C"/>
    <w:rsid w:val="00FD1679"/>
    <w:rsid w:val="00FD1694"/>
    <w:rsid w:val="00FD169C"/>
    <w:rsid w:val="00FD1714"/>
    <w:rsid w:val="00FD18D9"/>
    <w:rsid w:val="00FD191B"/>
    <w:rsid w:val="00FD19A8"/>
    <w:rsid w:val="00FD19B4"/>
    <w:rsid w:val="00FD19E2"/>
    <w:rsid w:val="00FD1A6A"/>
    <w:rsid w:val="00FD1A96"/>
    <w:rsid w:val="00FD1ACC"/>
    <w:rsid w:val="00FD1AF1"/>
    <w:rsid w:val="00FD1B5B"/>
    <w:rsid w:val="00FD1BB7"/>
    <w:rsid w:val="00FD1C94"/>
    <w:rsid w:val="00FD1D08"/>
    <w:rsid w:val="00FD1E80"/>
    <w:rsid w:val="00FD1E8D"/>
    <w:rsid w:val="00FD1EBA"/>
    <w:rsid w:val="00FD1EEF"/>
    <w:rsid w:val="00FD1EF5"/>
    <w:rsid w:val="00FD1F2C"/>
    <w:rsid w:val="00FD1F48"/>
    <w:rsid w:val="00FD1F59"/>
    <w:rsid w:val="00FD1FE4"/>
    <w:rsid w:val="00FD1FF3"/>
    <w:rsid w:val="00FD2151"/>
    <w:rsid w:val="00FD2185"/>
    <w:rsid w:val="00FD22C2"/>
    <w:rsid w:val="00FD22E3"/>
    <w:rsid w:val="00FD241B"/>
    <w:rsid w:val="00FD258E"/>
    <w:rsid w:val="00FD25B9"/>
    <w:rsid w:val="00FD25CD"/>
    <w:rsid w:val="00FD2665"/>
    <w:rsid w:val="00FD267C"/>
    <w:rsid w:val="00FD2731"/>
    <w:rsid w:val="00FD2743"/>
    <w:rsid w:val="00FD289B"/>
    <w:rsid w:val="00FD29A8"/>
    <w:rsid w:val="00FD29C2"/>
    <w:rsid w:val="00FD29C5"/>
    <w:rsid w:val="00FD2BDA"/>
    <w:rsid w:val="00FD2E15"/>
    <w:rsid w:val="00FD2E7F"/>
    <w:rsid w:val="00FD2E8B"/>
    <w:rsid w:val="00FD2F99"/>
    <w:rsid w:val="00FD2FB4"/>
    <w:rsid w:val="00FD3215"/>
    <w:rsid w:val="00FD34D0"/>
    <w:rsid w:val="00FD350A"/>
    <w:rsid w:val="00FD3564"/>
    <w:rsid w:val="00FD35A8"/>
    <w:rsid w:val="00FD360D"/>
    <w:rsid w:val="00FD368F"/>
    <w:rsid w:val="00FD3766"/>
    <w:rsid w:val="00FD386F"/>
    <w:rsid w:val="00FD3893"/>
    <w:rsid w:val="00FD3973"/>
    <w:rsid w:val="00FD3AD4"/>
    <w:rsid w:val="00FD3ADE"/>
    <w:rsid w:val="00FD3AEA"/>
    <w:rsid w:val="00FD3B08"/>
    <w:rsid w:val="00FD3B12"/>
    <w:rsid w:val="00FD3B31"/>
    <w:rsid w:val="00FD3C69"/>
    <w:rsid w:val="00FD3CFD"/>
    <w:rsid w:val="00FD3D83"/>
    <w:rsid w:val="00FD4053"/>
    <w:rsid w:val="00FD40E5"/>
    <w:rsid w:val="00FD426D"/>
    <w:rsid w:val="00FD4404"/>
    <w:rsid w:val="00FD4467"/>
    <w:rsid w:val="00FD4475"/>
    <w:rsid w:val="00FD45EA"/>
    <w:rsid w:val="00FD4633"/>
    <w:rsid w:val="00FD463B"/>
    <w:rsid w:val="00FD4794"/>
    <w:rsid w:val="00FD48A7"/>
    <w:rsid w:val="00FD4927"/>
    <w:rsid w:val="00FD4A66"/>
    <w:rsid w:val="00FD4A90"/>
    <w:rsid w:val="00FD4B10"/>
    <w:rsid w:val="00FD4BE4"/>
    <w:rsid w:val="00FD4BFD"/>
    <w:rsid w:val="00FD4C1C"/>
    <w:rsid w:val="00FD4CA8"/>
    <w:rsid w:val="00FD4CEB"/>
    <w:rsid w:val="00FD4D45"/>
    <w:rsid w:val="00FD4DCC"/>
    <w:rsid w:val="00FD4EDB"/>
    <w:rsid w:val="00FD4F59"/>
    <w:rsid w:val="00FD5137"/>
    <w:rsid w:val="00FD51A5"/>
    <w:rsid w:val="00FD51A6"/>
    <w:rsid w:val="00FD51E1"/>
    <w:rsid w:val="00FD525A"/>
    <w:rsid w:val="00FD5388"/>
    <w:rsid w:val="00FD53C5"/>
    <w:rsid w:val="00FD53F5"/>
    <w:rsid w:val="00FD5423"/>
    <w:rsid w:val="00FD551D"/>
    <w:rsid w:val="00FD558A"/>
    <w:rsid w:val="00FD55AD"/>
    <w:rsid w:val="00FD5632"/>
    <w:rsid w:val="00FD5760"/>
    <w:rsid w:val="00FD5781"/>
    <w:rsid w:val="00FD57F4"/>
    <w:rsid w:val="00FD587D"/>
    <w:rsid w:val="00FD594D"/>
    <w:rsid w:val="00FD595A"/>
    <w:rsid w:val="00FD599F"/>
    <w:rsid w:val="00FD59F1"/>
    <w:rsid w:val="00FD5A36"/>
    <w:rsid w:val="00FD5A84"/>
    <w:rsid w:val="00FD5ADB"/>
    <w:rsid w:val="00FD5B37"/>
    <w:rsid w:val="00FD5C8F"/>
    <w:rsid w:val="00FD5CD0"/>
    <w:rsid w:val="00FD5D57"/>
    <w:rsid w:val="00FD5EC4"/>
    <w:rsid w:val="00FD5EC5"/>
    <w:rsid w:val="00FD5F59"/>
    <w:rsid w:val="00FD5FED"/>
    <w:rsid w:val="00FD600F"/>
    <w:rsid w:val="00FD6101"/>
    <w:rsid w:val="00FD6141"/>
    <w:rsid w:val="00FD6155"/>
    <w:rsid w:val="00FD6165"/>
    <w:rsid w:val="00FD6195"/>
    <w:rsid w:val="00FD62C1"/>
    <w:rsid w:val="00FD6352"/>
    <w:rsid w:val="00FD63A5"/>
    <w:rsid w:val="00FD63F0"/>
    <w:rsid w:val="00FD648E"/>
    <w:rsid w:val="00FD657C"/>
    <w:rsid w:val="00FD65FA"/>
    <w:rsid w:val="00FD663C"/>
    <w:rsid w:val="00FD665D"/>
    <w:rsid w:val="00FD6672"/>
    <w:rsid w:val="00FD68D2"/>
    <w:rsid w:val="00FD6904"/>
    <w:rsid w:val="00FD6A86"/>
    <w:rsid w:val="00FD6B8B"/>
    <w:rsid w:val="00FD6B8F"/>
    <w:rsid w:val="00FD6BF3"/>
    <w:rsid w:val="00FD6C20"/>
    <w:rsid w:val="00FD6C37"/>
    <w:rsid w:val="00FD6DBE"/>
    <w:rsid w:val="00FD6DD0"/>
    <w:rsid w:val="00FD6E60"/>
    <w:rsid w:val="00FD6E96"/>
    <w:rsid w:val="00FD7019"/>
    <w:rsid w:val="00FD702A"/>
    <w:rsid w:val="00FD74C3"/>
    <w:rsid w:val="00FD74F5"/>
    <w:rsid w:val="00FD7573"/>
    <w:rsid w:val="00FD7646"/>
    <w:rsid w:val="00FD77C7"/>
    <w:rsid w:val="00FD77EF"/>
    <w:rsid w:val="00FD780A"/>
    <w:rsid w:val="00FD781F"/>
    <w:rsid w:val="00FD78FC"/>
    <w:rsid w:val="00FD7930"/>
    <w:rsid w:val="00FD7A86"/>
    <w:rsid w:val="00FD7AE4"/>
    <w:rsid w:val="00FD7BE7"/>
    <w:rsid w:val="00FD7CB8"/>
    <w:rsid w:val="00FD7CE4"/>
    <w:rsid w:val="00FD7CFC"/>
    <w:rsid w:val="00FD7D81"/>
    <w:rsid w:val="00FD7DB7"/>
    <w:rsid w:val="00FD7E0A"/>
    <w:rsid w:val="00FD7E70"/>
    <w:rsid w:val="00FD7F47"/>
    <w:rsid w:val="00FD7FAB"/>
    <w:rsid w:val="00FE00B4"/>
    <w:rsid w:val="00FE00C0"/>
    <w:rsid w:val="00FE020D"/>
    <w:rsid w:val="00FE025C"/>
    <w:rsid w:val="00FE029D"/>
    <w:rsid w:val="00FE0310"/>
    <w:rsid w:val="00FE0337"/>
    <w:rsid w:val="00FE0444"/>
    <w:rsid w:val="00FE04C1"/>
    <w:rsid w:val="00FE0587"/>
    <w:rsid w:val="00FE071E"/>
    <w:rsid w:val="00FE0916"/>
    <w:rsid w:val="00FE0A3C"/>
    <w:rsid w:val="00FE0B09"/>
    <w:rsid w:val="00FE0BDB"/>
    <w:rsid w:val="00FE0C70"/>
    <w:rsid w:val="00FE0CD9"/>
    <w:rsid w:val="00FE0DCE"/>
    <w:rsid w:val="00FE0E71"/>
    <w:rsid w:val="00FE0E9A"/>
    <w:rsid w:val="00FE0EA0"/>
    <w:rsid w:val="00FE1064"/>
    <w:rsid w:val="00FE110C"/>
    <w:rsid w:val="00FE127C"/>
    <w:rsid w:val="00FE12C9"/>
    <w:rsid w:val="00FE12E4"/>
    <w:rsid w:val="00FE13B4"/>
    <w:rsid w:val="00FE1599"/>
    <w:rsid w:val="00FE16B4"/>
    <w:rsid w:val="00FE1712"/>
    <w:rsid w:val="00FE1753"/>
    <w:rsid w:val="00FE179E"/>
    <w:rsid w:val="00FE1846"/>
    <w:rsid w:val="00FE19C7"/>
    <w:rsid w:val="00FE1A44"/>
    <w:rsid w:val="00FE1B87"/>
    <w:rsid w:val="00FE1BAE"/>
    <w:rsid w:val="00FE1BD3"/>
    <w:rsid w:val="00FE1C0E"/>
    <w:rsid w:val="00FE1D0B"/>
    <w:rsid w:val="00FE1DD0"/>
    <w:rsid w:val="00FE1DF2"/>
    <w:rsid w:val="00FE1E5E"/>
    <w:rsid w:val="00FE1EFB"/>
    <w:rsid w:val="00FE1F3F"/>
    <w:rsid w:val="00FE1FD1"/>
    <w:rsid w:val="00FE2139"/>
    <w:rsid w:val="00FE223F"/>
    <w:rsid w:val="00FE22D3"/>
    <w:rsid w:val="00FE22ED"/>
    <w:rsid w:val="00FE234C"/>
    <w:rsid w:val="00FE23D9"/>
    <w:rsid w:val="00FE2464"/>
    <w:rsid w:val="00FE2476"/>
    <w:rsid w:val="00FE2620"/>
    <w:rsid w:val="00FE2700"/>
    <w:rsid w:val="00FE282F"/>
    <w:rsid w:val="00FE2913"/>
    <w:rsid w:val="00FE299D"/>
    <w:rsid w:val="00FE2AB6"/>
    <w:rsid w:val="00FE2B19"/>
    <w:rsid w:val="00FE2BEB"/>
    <w:rsid w:val="00FE2D04"/>
    <w:rsid w:val="00FE2D11"/>
    <w:rsid w:val="00FE2D53"/>
    <w:rsid w:val="00FE2E65"/>
    <w:rsid w:val="00FE2EBD"/>
    <w:rsid w:val="00FE2F14"/>
    <w:rsid w:val="00FE2FC4"/>
    <w:rsid w:val="00FE2FE7"/>
    <w:rsid w:val="00FE305E"/>
    <w:rsid w:val="00FE30C0"/>
    <w:rsid w:val="00FE327D"/>
    <w:rsid w:val="00FE3285"/>
    <w:rsid w:val="00FE32B8"/>
    <w:rsid w:val="00FE32EC"/>
    <w:rsid w:val="00FE336E"/>
    <w:rsid w:val="00FE343C"/>
    <w:rsid w:val="00FE3500"/>
    <w:rsid w:val="00FE353D"/>
    <w:rsid w:val="00FE3778"/>
    <w:rsid w:val="00FE3817"/>
    <w:rsid w:val="00FE3A0B"/>
    <w:rsid w:val="00FE3AE8"/>
    <w:rsid w:val="00FE3BBB"/>
    <w:rsid w:val="00FE3BD7"/>
    <w:rsid w:val="00FE3C2C"/>
    <w:rsid w:val="00FE3D55"/>
    <w:rsid w:val="00FE3D5B"/>
    <w:rsid w:val="00FE3DAE"/>
    <w:rsid w:val="00FE3EA9"/>
    <w:rsid w:val="00FE409A"/>
    <w:rsid w:val="00FE4164"/>
    <w:rsid w:val="00FE4256"/>
    <w:rsid w:val="00FE4341"/>
    <w:rsid w:val="00FE43E4"/>
    <w:rsid w:val="00FE43EA"/>
    <w:rsid w:val="00FE4488"/>
    <w:rsid w:val="00FE4552"/>
    <w:rsid w:val="00FE45FE"/>
    <w:rsid w:val="00FE4701"/>
    <w:rsid w:val="00FE4786"/>
    <w:rsid w:val="00FE47DC"/>
    <w:rsid w:val="00FE4824"/>
    <w:rsid w:val="00FE4918"/>
    <w:rsid w:val="00FE4936"/>
    <w:rsid w:val="00FE4B97"/>
    <w:rsid w:val="00FE4D67"/>
    <w:rsid w:val="00FE4D81"/>
    <w:rsid w:val="00FE4E94"/>
    <w:rsid w:val="00FE4F3E"/>
    <w:rsid w:val="00FE4F83"/>
    <w:rsid w:val="00FE4FC3"/>
    <w:rsid w:val="00FE509F"/>
    <w:rsid w:val="00FE50BD"/>
    <w:rsid w:val="00FE5155"/>
    <w:rsid w:val="00FE51CA"/>
    <w:rsid w:val="00FE51FE"/>
    <w:rsid w:val="00FE5446"/>
    <w:rsid w:val="00FE54CA"/>
    <w:rsid w:val="00FE5528"/>
    <w:rsid w:val="00FE5573"/>
    <w:rsid w:val="00FE5624"/>
    <w:rsid w:val="00FE564E"/>
    <w:rsid w:val="00FE585A"/>
    <w:rsid w:val="00FE5875"/>
    <w:rsid w:val="00FE588C"/>
    <w:rsid w:val="00FE5A17"/>
    <w:rsid w:val="00FE5A9B"/>
    <w:rsid w:val="00FE5ACA"/>
    <w:rsid w:val="00FE5B22"/>
    <w:rsid w:val="00FE5C60"/>
    <w:rsid w:val="00FE5EA6"/>
    <w:rsid w:val="00FE5FE0"/>
    <w:rsid w:val="00FE602A"/>
    <w:rsid w:val="00FE6091"/>
    <w:rsid w:val="00FE60E0"/>
    <w:rsid w:val="00FE611F"/>
    <w:rsid w:val="00FE612A"/>
    <w:rsid w:val="00FE63E8"/>
    <w:rsid w:val="00FE65EB"/>
    <w:rsid w:val="00FE66BB"/>
    <w:rsid w:val="00FE6727"/>
    <w:rsid w:val="00FE6747"/>
    <w:rsid w:val="00FE678A"/>
    <w:rsid w:val="00FE687A"/>
    <w:rsid w:val="00FE6A90"/>
    <w:rsid w:val="00FE6C7B"/>
    <w:rsid w:val="00FE6E3A"/>
    <w:rsid w:val="00FE6E69"/>
    <w:rsid w:val="00FE6EA7"/>
    <w:rsid w:val="00FE6FD5"/>
    <w:rsid w:val="00FE7000"/>
    <w:rsid w:val="00FE7015"/>
    <w:rsid w:val="00FE705A"/>
    <w:rsid w:val="00FE7077"/>
    <w:rsid w:val="00FE71C9"/>
    <w:rsid w:val="00FE7262"/>
    <w:rsid w:val="00FE72E0"/>
    <w:rsid w:val="00FE7323"/>
    <w:rsid w:val="00FE73DD"/>
    <w:rsid w:val="00FE74D0"/>
    <w:rsid w:val="00FE74F8"/>
    <w:rsid w:val="00FE75BD"/>
    <w:rsid w:val="00FE7688"/>
    <w:rsid w:val="00FE76D8"/>
    <w:rsid w:val="00FE7739"/>
    <w:rsid w:val="00FE7763"/>
    <w:rsid w:val="00FE7929"/>
    <w:rsid w:val="00FE7958"/>
    <w:rsid w:val="00FE7999"/>
    <w:rsid w:val="00FE7A47"/>
    <w:rsid w:val="00FE7A7A"/>
    <w:rsid w:val="00FE7D3B"/>
    <w:rsid w:val="00FE7DC0"/>
    <w:rsid w:val="00FE7F75"/>
    <w:rsid w:val="00FE7FD3"/>
    <w:rsid w:val="00FF00D5"/>
    <w:rsid w:val="00FF00EB"/>
    <w:rsid w:val="00FF01A7"/>
    <w:rsid w:val="00FF02DE"/>
    <w:rsid w:val="00FF0459"/>
    <w:rsid w:val="00FF0490"/>
    <w:rsid w:val="00FF04E7"/>
    <w:rsid w:val="00FF052C"/>
    <w:rsid w:val="00FF0635"/>
    <w:rsid w:val="00FF081B"/>
    <w:rsid w:val="00FF0A69"/>
    <w:rsid w:val="00FF0A87"/>
    <w:rsid w:val="00FF0C09"/>
    <w:rsid w:val="00FF0CD9"/>
    <w:rsid w:val="00FF0CDE"/>
    <w:rsid w:val="00FF0D83"/>
    <w:rsid w:val="00FF0DEC"/>
    <w:rsid w:val="00FF0FF9"/>
    <w:rsid w:val="00FF1191"/>
    <w:rsid w:val="00FF119A"/>
    <w:rsid w:val="00FF11DD"/>
    <w:rsid w:val="00FF13F4"/>
    <w:rsid w:val="00FF151C"/>
    <w:rsid w:val="00FF1626"/>
    <w:rsid w:val="00FF16CA"/>
    <w:rsid w:val="00FF173C"/>
    <w:rsid w:val="00FF178E"/>
    <w:rsid w:val="00FF17C6"/>
    <w:rsid w:val="00FF1965"/>
    <w:rsid w:val="00FF1A2F"/>
    <w:rsid w:val="00FF1B62"/>
    <w:rsid w:val="00FF1C92"/>
    <w:rsid w:val="00FF1C97"/>
    <w:rsid w:val="00FF1D15"/>
    <w:rsid w:val="00FF1D4C"/>
    <w:rsid w:val="00FF1DE3"/>
    <w:rsid w:val="00FF1E58"/>
    <w:rsid w:val="00FF1E66"/>
    <w:rsid w:val="00FF20C1"/>
    <w:rsid w:val="00FF2151"/>
    <w:rsid w:val="00FF229B"/>
    <w:rsid w:val="00FF22C8"/>
    <w:rsid w:val="00FF2398"/>
    <w:rsid w:val="00FF23FC"/>
    <w:rsid w:val="00FF2440"/>
    <w:rsid w:val="00FF245C"/>
    <w:rsid w:val="00FF2510"/>
    <w:rsid w:val="00FF25B8"/>
    <w:rsid w:val="00FF2602"/>
    <w:rsid w:val="00FF2630"/>
    <w:rsid w:val="00FF263B"/>
    <w:rsid w:val="00FF2834"/>
    <w:rsid w:val="00FF292B"/>
    <w:rsid w:val="00FF29AB"/>
    <w:rsid w:val="00FF29BC"/>
    <w:rsid w:val="00FF29D1"/>
    <w:rsid w:val="00FF29F3"/>
    <w:rsid w:val="00FF2BCF"/>
    <w:rsid w:val="00FF2BF7"/>
    <w:rsid w:val="00FF2C23"/>
    <w:rsid w:val="00FF2D3C"/>
    <w:rsid w:val="00FF2F4D"/>
    <w:rsid w:val="00FF2FA0"/>
    <w:rsid w:val="00FF2FCE"/>
    <w:rsid w:val="00FF301D"/>
    <w:rsid w:val="00FF3046"/>
    <w:rsid w:val="00FF3086"/>
    <w:rsid w:val="00FF3119"/>
    <w:rsid w:val="00FF3200"/>
    <w:rsid w:val="00FF3231"/>
    <w:rsid w:val="00FF324E"/>
    <w:rsid w:val="00FF32D9"/>
    <w:rsid w:val="00FF330B"/>
    <w:rsid w:val="00FF3346"/>
    <w:rsid w:val="00FF3387"/>
    <w:rsid w:val="00FF3673"/>
    <w:rsid w:val="00FF37B1"/>
    <w:rsid w:val="00FF3879"/>
    <w:rsid w:val="00FF394E"/>
    <w:rsid w:val="00FF39D2"/>
    <w:rsid w:val="00FF39EF"/>
    <w:rsid w:val="00FF3B41"/>
    <w:rsid w:val="00FF3B9B"/>
    <w:rsid w:val="00FF3CA0"/>
    <w:rsid w:val="00FF3CD1"/>
    <w:rsid w:val="00FF3D8C"/>
    <w:rsid w:val="00FF3DEB"/>
    <w:rsid w:val="00FF3F47"/>
    <w:rsid w:val="00FF3FD2"/>
    <w:rsid w:val="00FF3FD3"/>
    <w:rsid w:val="00FF407A"/>
    <w:rsid w:val="00FF435F"/>
    <w:rsid w:val="00FF44A0"/>
    <w:rsid w:val="00FF44CB"/>
    <w:rsid w:val="00FF46B8"/>
    <w:rsid w:val="00FF47B5"/>
    <w:rsid w:val="00FF48DF"/>
    <w:rsid w:val="00FF48E7"/>
    <w:rsid w:val="00FF48ED"/>
    <w:rsid w:val="00FF494B"/>
    <w:rsid w:val="00FF4A84"/>
    <w:rsid w:val="00FF4AC4"/>
    <w:rsid w:val="00FF4AD4"/>
    <w:rsid w:val="00FF4AD7"/>
    <w:rsid w:val="00FF4B77"/>
    <w:rsid w:val="00FF4B86"/>
    <w:rsid w:val="00FF4BC8"/>
    <w:rsid w:val="00FF4CDE"/>
    <w:rsid w:val="00FF4D16"/>
    <w:rsid w:val="00FF4DFA"/>
    <w:rsid w:val="00FF4F09"/>
    <w:rsid w:val="00FF4F7E"/>
    <w:rsid w:val="00FF4FC7"/>
    <w:rsid w:val="00FF4FDA"/>
    <w:rsid w:val="00FF501A"/>
    <w:rsid w:val="00FF5036"/>
    <w:rsid w:val="00FF5038"/>
    <w:rsid w:val="00FF5058"/>
    <w:rsid w:val="00FF5127"/>
    <w:rsid w:val="00FF5185"/>
    <w:rsid w:val="00FF51C5"/>
    <w:rsid w:val="00FF525A"/>
    <w:rsid w:val="00FF5324"/>
    <w:rsid w:val="00FF53C6"/>
    <w:rsid w:val="00FF53D0"/>
    <w:rsid w:val="00FF5493"/>
    <w:rsid w:val="00FF5563"/>
    <w:rsid w:val="00FF55E3"/>
    <w:rsid w:val="00FF5628"/>
    <w:rsid w:val="00FF576C"/>
    <w:rsid w:val="00FF5790"/>
    <w:rsid w:val="00FF57C3"/>
    <w:rsid w:val="00FF595B"/>
    <w:rsid w:val="00FF597F"/>
    <w:rsid w:val="00FF5C05"/>
    <w:rsid w:val="00FF5C97"/>
    <w:rsid w:val="00FF5D28"/>
    <w:rsid w:val="00FF5D42"/>
    <w:rsid w:val="00FF5D5F"/>
    <w:rsid w:val="00FF5DBB"/>
    <w:rsid w:val="00FF5DEE"/>
    <w:rsid w:val="00FF5EF2"/>
    <w:rsid w:val="00FF6018"/>
    <w:rsid w:val="00FF618A"/>
    <w:rsid w:val="00FF627E"/>
    <w:rsid w:val="00FF636E"/>
    <w:rsid w:val="00FF63E4"/>
    <w:rsid w:val="00FF63E5"/>
    <w:rsid w:val="00FF63FE"/>
    <w:rsid w:val="00FF6449"/>
    <w:rsid w:val="00FF645D"/>
    <w:rsid w:val="00FF6715"/>
    <w:rsid w:val="00FF6782"/>
    <w:rsid w:val="00FF6802"/>
    <w:rsid w:val="00FF6808"/>
    <w:rsid w:val="00FF6900"/>
    <w:rsid w:val="00FF69B0"/>
    <w:rsid w:val="00FF69F9"/>
    <w:rsid w:val="00FF6A1A"/>
    <w:rsid w:val="00FF6A2B"/>
    <w:rsid w:val="00FF6AC0"/>
    <w:rsid w:val="00FF6B83"/>
    <w:rsid w:val="00FF6B9F"/>
    <w:rsid w:val="00FF6CE1"/>
    <w:rsid w:val="00FF6D18"/>
    <w:rsid w:val="00FF6D3E"/>
    <w:rsid w:val="00FF6DD9"/>
    <w:rsid w:val="00FF6DDB"/>
    <w:rsid w:val="00FF6E88"/>
    <w:rsid w:val="00FF6EFC"/>
    <w:rsid w:val="00FF70DE"/>
    <w:rsid w:val="00FF730E"/>
    <w:rsid w:val="00FF732D"/>
    <w:rsid w:val="00FF733C"/>
    <w:rsid w:val="00FF7341"/>
    <w:rsid w:val="00FF738F"/>
    <w:rsid w:val="00FF73C5"/>
    <w:rsid w:val="00FF7406"/>
    <w:rsid w:val="00FF76A5"/>
    <w:rsid w:val="00FF7831"/>
    <w:rsid w:val="00FF7873"/>
    <w:rsid w:val="00FF78D8"/>
    <w:rsid w:val="00FF7954"/>
    <w:rsid w:val="00FF798A"/>
    <w:rsid w:val="00FF7A2E"/>
    <w:rsid w:val="00FF7AAF"/>
    <w:rsid w:val="00FF7AFF"/>
    <w:rsid w:val="00FF7C85"/>
    <w:rsid w:val="00FF7D8E"/>
    <w:rsid w:val="00FF7E94"/>
    <w:rsid w:val="020EF820"/>
    <w:rsid w:val="0215BE4A"/>
    <w:rsid w:val="0317BF17"/>
    <w:rsid w:val="03A6E1A2"/>
    <w:rsid w:val="03C58901"/>
    <w:rsid w:val="05CBBB56"/>
    <w:rsid w:val="0644BEC1"/>
    <w:rsid w:val="077CD247"/>
    <w:rsid w:val="090E8D46"/>
    <w:rsid w:val="09632348"/>
    <w:rsid w:val="09E98207"/>
    <w:rsid w:val="0A5DD204"/>
    <w:rsid w:val="0A69E1DC"/>
    <w:rsid w:val="0A80E9C2"/>
    <w:rsid w:val="0AF30571"/>
    <w:rsid w:val="0BDF70AD"/>
    <w:rsid w:val="0C608222"/>
    <w:rsid w:val="0D2677B3"/>
    <w:rsid w:val="0DB88A84"/>
    <w:rsid w:val="0DFE5654"/>
    <w:rsid w:val="0F1F4881"/>
    <w:rsid w:val="0F8F0BB5"/>
    <w:rsid w:val="0FF85ABD"/>
    <w:rsid w:val="107D9F5D"/>
    <w:rsid w:val="109CF1FC"/>
    <w:rsid w:val="119D5F77"/>
    <w:rsid w:val="1220842C"/>
    <w:rsid w:val="122773A0"/>
    <w:rsid w:val="12CFC3A6"/>
    <w:rsid w:val="1389C001"/>
    <w:rsid w:val="15345AE8"/>
    <w:rsid w:val="15FDA6DD"/>
    <w:rsid w:val="170FE65F"/>
    <w:rsid w:val="1717D8E9"/>
    <w:rsid w:val="18FA73DD"/>
    <w:rsid w:val="191732A7"/>
    <w:rsid w:val="1ABCEA6A"/>
    <w:rsid w:val="1BCC7648"/>
    <w:rsid w:val="1D26A0E0"/>
    <w:rsid w:val="1D75CA0A"/>
    <w:rsid w:val="1F35F71B"/>
    <w:rsid w:val="1FFC1AEB"/>
    <w:rsid w:val="22373345"/>
    <w:rsid w:val="23E4EE49"/>
    <w:rsid w:val="242EB8CC"/>
    <w:rsid w:val="2430790A"/>
    <w:rsid w:val="24FBC106"/>
    <w:rsid w:val="25B1ADA3"/>
    <w:rsid w:val="27D84BA3"/>
    <w:rsid w:val="28043650"/>
    <w:rsid w:val="280B91F3"/>
    <w:rsid w:val="29170CB8"/>
    <w:rsid w:val="2962A620"/>
    <w:rsid w:val="29A6B135"/>
    <w:rsid w:val="29C1ACD9"/>
    <w:rsid w:val="29DE4025"/>
    <w:rsid w:val="2A61532D"/>
    <w:rsid w:val="2C6B3354"/>
    <w:rsid w:val="2C84834C"/>
    <w:rsid w:val="2D79D83E"/>
    <w:rsid w:val="2D81A94F"/>
    <w:rsid w:val="2DAF3863"/>
    <w:rsid w:val="2E4BA594"/>
    <w:rsid w:val="2E712690"/>
    <w:rsid w:val="3077328B"/>
    <w:rsid w:val="30D4F88F"/>
    <w:rsid w:val="316F009B"/>
    <w:rsid w:val="32360CBD"/>
    <w:rsid w:val="345ECE41"/>
    <w:rsid w:val="34AE0EA0"/>
    <w:rsid w:val="3572AA17"/>
    <w:rsid w:val="3580E331"/>
    <w:rsid w:val="3737A30F"/>
    <w:rsid w:val="3738E72F"/>
    <w:rsid w:val="38F3615C"/>
    <w:rsid w:val="39C4548F"/>
    <w:rsid w:val="39DDD689"/>
    <w:rsid w:val="3A85024E"/>
    <w:rsid w:val="3B7B1EA7"/>
    <w:rsid w:val="3B8DEF00"/>
    <w:rsid w:val="3C7A11A2"/>
    <w:rsid w:val="3D3CED83"/>
    <w:rsid w:val="3E1D50B2"/>
    <w:rsid w:val="3EAD4DBB"/>
    <w:rsid w:val="3F51FB50"/>
    <w:rsid w:val="3F84C21E"/>
    <w:rsid w:val="4041BAD0"/>
    <w:rsid w:val="40691C28"/>
    <w:rsid w:val="407C112D"/>
    <w:rsid w:val="412F320D"/>
    <w:rsid w:val="41417496"/>
    <w:rsid w:val="42FC3DB4"/>
    <w:rsid w:val="438F946C"/>
    <w:rsid w:val="4431D3CD"/>
    <w:rsid w:val="447D042B"/>
    <w:rsid w:val="448DAA2E"/>
    <w:rsid w:val="44DD2579"/>
    <w:rsid w:val="45398B50"/>
    <w:rsid w:val="45DADB45"/>
    <w:rsid w:val="46D1111F"/>
    <w:rsid w:val="47AC4219"/>
    <w:rsid w:val="47C309B6"/>
    <w:rsid w:val="49241462"/>
    <w:rsid w:val="4C3CB812"/>
    <w:rsid w:val="4D0BC447"/>
    <w:rsid w:val="4F23D110"/>
    <w:rsid w:val="4F2BD6D1"/>
    <w:rsid w:val="4FA0965D"/>
    <w:rsid w:val="4FF13A78"/>
    <w:rsid w:val="50D508E3"/>
    <w:rsid w:val="5417E7DC"/>
    <w:rsid w:val="548AF0BC"/>
    <w:rsid w:val="5577BE64"/>
    <w:rsid w:val="561FD1DD"/>
    <w:rsid w:val="58E42A0B"/>
    <w:rsid w:val="58EDFDE5"/>
    <w:rsid w:val="595A9F3D"/>
    <w:rsid w:val="5A033A67"/>
    <w:rsid w:val="5A84BE87"/>
    <w:rsid w:val="5A943E46"/>
    <w:rsid w:val="5AFA60CE"/>
    <w:rsid w:val="5AFDC22F"/>
    <w:rsid w:val="5BA9C56D"/>
    <w:rsid w:val="5C6EC7D7"/>
    <w:rsid w:val="5DC26C22"/>
    <w:rsid w:val="5E8C15A1"/>
    <w:rsid w:val="5E92E38B"/>
    <w:rsid w:val="5F7CADB1"/>
    <w:rsid w:val="6109D8BE"/>
    <w:rsid w:val="6189DBF4"/>
    <w:rsid w:val="63A56637"/>
    <w:rsid w:val="64549CC3"/>
    <w:rsid w:val="64686DFE"/>
    <w:rsid w:val="64F87C5A"/>
    <w:rsid w:val="652B8C24"/>
    <w:rsid w:val="654A4CDA"/>
    <w:rsid w:val="65A82D03"/>
    <w:rsid w:val="665B2990"/>
    <w:rsid w:val="672E3C42"/>
    <w:rsid w:val="67F6F9F1"/>
    <w:rsid w:val="692F08CF"/>
    <w:rsid w:val="6A23D6F2"/>
    <w:rsid w:val="6ACB13FA"/>
    <w:rsid w:val="6CA39044"/>
    <w:rsid w:val="6D69CA61"/>
    <w:rsid w:val="6E2964AC"/>
    <w:rsid w:val="6E3670D4"/>
    <w:rsid w:val="6E400764"/>
    <w:rsid w:val="6F59C5E1"/>
    <w:rsid w:val="6FEF8DB8"/>
    <w:rsid w:val="70207D4B"/>
    <w:rsid w:val="712F71F2"/>
    <w:rsid w:val="71FE6300"/>
    <w:rsid w:val="71FEE248"/>
    <w:rsid w:val="720977B4"/>
    <w:rsid w:val="72BB42AD"/>
    <w:rsid w:val="72BBFFBA"/>
    <w:rsid w:val="7366B5AD"/>
    <w:rsid w:val="73FA7E8C"/>
    <w:rsid w:val="7441D757"/>
    <w:rsid w:val="7576D764"/>
    <w:rsid w:val="75F8CD24"/>
    <w:rsid w:val="770FD6E4"/>
    <w:rsid w:val="77F9901E"/>
    <w:rsid w:val="7816D421"/>
    <w:rsid w:val="797502B6"/>
    <w:rsid w:val="79D98306"/>
    <w:rsid w:val="7A3B05EE"/>
    <w:rsid w:val="7BBA1785"/>
    <w:rsid w:val="7C35C975"/>
    <w:rsid w:val="7C68D64D"/>
    <w:rsid w:val="7C6E5E1B"/>
    <w:rsid w:val="7C78F9DB"/>
    <w:rsid w:val="7CE7C285"/>
    <w:rsid w:val="7DB2D842"/>
    <w:rsid w:val="7DBB8F16"/>
    <w:rsid w:val="7E7A941B"/>
    <w:rsid w:val="7EF2F48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30E628"/>
  <w15:docId w15:val="{AC4B800A-A7D2-4722-800D-CCF8A9B36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qFormat="1"/>
    <w:lsdException w:name="List Number 3" w:semiHidden="1" w:uiPriority="0"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855C7"/>
    <w:rPr>
      <w:rFonts w:ascii="Arial" w:hAnsi="Arial"/>
    </w:rPr>
  </w:style>
  <w:style w:type="paragraph" w:styleId="Heading1">
    <w:name w:val="heading 1"/>
    <w:basedOn w:val="Normal"/>
    <w:next w:val="Normal"/>
    <w:link w:val="Heading1Char"/>
    <w:uiPriority w:val="9"/>
    <w:qFormat/>
    <w:rsid w:val="00AB68DE"/>
    <w:pPr>
      <w:keepNext/>
      <w:keepLines/>
      <w:pageBreakBefore/>
      <w:numPr>
        <w:numId w:val="4"/>
      </w:numPr>
      <w:spacing w:before="240" w:after="120" w:line="276" w:lineRule="auto"/>
      <w:outlineLvl w:val="0"/>
    </w:pPr>
    <w:rPr>
      <w:rFonts w:eastAsiaTheme="majorEastAsia" w:cstheme="majorBidi"/>
      <w:b/>
      <w:sz w:val="32"/>
      <w:szCs w:val="32"/>
    </w:rPr>
  </w:style>
  <w:style w:type="paragraph" w:styleId="Heading2">
    <w:name w:val="heading 2"/>
    <w:basedOn w:val="Normal"/>
    <w:next w:val="Body"/>
    <w:link w:val="Heading2Char"/>
    <w:uiPriority w:val="9"/>
    <w:unhideWhenUsed/>
    <w:qFormat/>
    <w:rsid w:val="003F61A7"/>
    <w:pPr>
      <w:keepNext/>
      <w:keepLines/>
      <w:numPr>
        <w:ilvl w:val="1"/>
        <w:numId w:val="4"/>
      </w:numPr>
      <w:spacing w:before="240" w:after="60" w:line="276" w:lineRule="auto"/>
      <w:outlineLvl w:val="1"/>
    </w:pPr>
    <w:rPr>
      <w:rFonts w:eastAsiaTheme="majorEastAsia" w:cstheme="majorBidi"/>
      <w:b/>
      <w:i/>
      <w:sz w:val="28"/>
      <w:szCs w:val="26"/>
    </w:rPr>
  </w:style>
  <w:style w:type="paragraph" w:styleId="Heading3">
    <w:name w:val="heading 3"/>
    <w:basedOn w:val="Normal"/>
    <w:next w:val="Body"/>
    <w:link w:val="Heading3Char"/>
    <w:uiPriority w:val="9"/>
    <w:unhideWhenUsed/>
    <w:qFormat/>
    <w:rsid w:val="000F32B1"/>
    <w:pPr>
      <w:keepNext/>
      <w:keepLines/>
      <w:numPr>
        <w:ilvl w:val="2"/>
        <w:numId w:val="4"/>
      </w:numPr>
      <w:spacing w:before="240" w:after="60" w:line="276" w:lineRule="auto"/>
      <w:outlineLvl w:val="2"/>
    </w:pPr>
    <w:rPr>
      <w:rFonts w:eastAsiaTheme="majorEastAsia" w:cstheme="majorBidi"/>
      <w:b/>
      <w:sz w:val="24"/>
      <w:szCs w:val="24"/>
    </w:rPr>
  </w:style>
  <w:style w:type="paragraph" w:styleId="Heading4">
    <w:name w:val="heading 4"/>
    <w:basedOn w:val="Normal"/>
    <w:next w:val="Body"/>
    <w:link w:val="Heading4Char"/>
    <w:uiPriority w:val="9"/>
    <w:unhideWhenUsed/>
    <w:qFormat/>
    <w:rsid w:val="001A0C7D"/>
    <w:pPr>
      <w:keepNext/>
      <w:keepLines/>
      <w:numPr>
        <w:ilvl w:val="3"/>
        <w:numId w:val="4"/>
      </w:numPr>
      <w:spacing w:before="240" w:after="60" w:line="276" w:lineRule="auto"/>
      <w:outlineLvl w:val="3"/>
    </w:pPr>
    <w:rPr>
      <w:rFonts w:eastAsiaTheme="majorEastAsia" w:cstheme="majorBidi"/>
      <w:b/>
      <w:iCs/>
    </w:rPr>
  </w:style>
  <w:style w:type="paragraph" w:styleId="Heading5">
    <w:name w:val="heading 5"/>
    <w:basedOn w:val="Normal"/>
    <w:next w:val="Body"/>
    <w:link w:val="Heading5Char"/>
    <w:uiPriority w:val="9"/>
    <w:unhideWhenUsed/>
    <w:qFormat/>
    <w:rsid w:val="00603DD6"/>
    <w:pPr>
      <w:keepNext/>
      <w:keepLines/>
      <w:numPr>
        <w:ilvl w:val="4"/>
        <w:numId w:val="4"/>
      </w:numPr>
      <w:spacing w:before="40" w:after="120"/>
      <w:outlineLvl w:val="4"/>
    </w:pPr>
    <w:rPr>
      <w:rFonts w:eastAsiaTheme="majorEastAsia" w:cstheme="majorBidi"/>
      <w:b/>
      <w:i/>
    </w:rPr>
  </w:style>
  <w:style w:type="paragraph" w:styleId="Heading6">
    <w:name w:val="heading 6"/>
    <w:basedOn w:val="Normal"/>
    <w:next w:val="Normal"/>
    <w:link w:val="Heading6Char"/>
    <w:uiPriority w:val="9"/>
    <w:unhideWhenUsed/>
    <w:qFormat/>
    <w:rsid w:val="008F4250"/>
    <w:pPr>
      <w:keepNext/>
      <w:keepLines/>
      <w:spacing w:before="40" w:after="0"/>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68DE"/>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3F61A7"/>
    <w:rPr>
      <w:rFonts w:ascii="Arial" w:eastAsiaTheme="majorEastAsia" w:hAnsi="Arial" w:cstheme="majorBidi"/>
      <w:b/>
      <w:i/>
      <w:sz w:val="28"/>
      <w:szCs w:val="26"/>
    </w:rPr>
  </w:style>
  <w:style w:type="character" w:customStyle="1" w:styleId="Heading3Char">
    <w:name w:val="Heading 3 Char"/>
    <w:basedOn w:val="DefaultParagraphFont"/>
    <w:link w:val="Heading3"/>
    <w:uiPriority w:val="9"/>
    <w:rsid w:val="00990894"/>
    <w:rPr>
      <w:rFonts w:ascii="Arial" w:eastAsiaTheme="majorEastAsia" w:hAnsi="Arial" w:cstheme="majorBidi"/>
      <w:b/>
      <w:sz w:val="24"/>
      <w:szCs w:val="24"/>
    </w:rPr>
  </w:style>
  <w:style w:type="character" w:customStyle="1" w:styleId="Heading4Char">
    <w:name w:val="Heading 4 Char"/>
    <w:basedOn w:val="DefaultParagraphFont"/>
    <w:link w:val="Heading4"/>
    <w:uiPriority w:val="9"/>
    <w:rsid w:val="001A0C7D"/>
    <w:rPr>
      <w:rFonts w:ascii="Arial" w:eastAsiaTheme="majorEastAsia" w:hAnsi="Arial" w:cstheme="majorBidi"/>
      <w:b/>
      <w:iCs/>
    </w:rPr>
  </w:style>
  <w:style w:type="character" w:customStyle="1" w:styleId="Heading5Char">
    <w:name w:val="Heading 5 Char"/>
    <w:basedOn w:val="DefaultParagraphFont"/>
    <w:link w:val="Heading5"/>
    <w:uiPriority w:val="9"/>
    <w:rsid w:val="00603DD6"/>
    <w:rPr>
      <w:rFonts w:ascii="Arial" w:eastAsiaTheme="majorEastAsia" w:hAnsi="Arial" w:cstheme="majorBidi"/>
      <w:b/>
      <w:i/>
    </w:rPr>
  </w:style>
  <w:style w:type="character" w:customStyle="1" w:styleId="Heading6Char">
    <w:name w:val="Heading 6 Char"/>
    <w:basedOn w:val="DefaultParagraphFont"/>
    <w:link w:val="Heading6"/>
    <w:uiPriority w:val="9"/>
    <w:rsid w:val="008F4250"/>
    <w:rPr>
      <w:rFonts w:ascii="Yu Gothic Light" w:eastAsiaTheme="majorEastAsia" w:hAnsi="Yu Gothic Light" w:cstheme="majorBidi"/>
    </w:rPr>
  </w:style>
  <w:style w:type="paragraph" w:styleId="BodyText">
    <w:name w:val="Body Text"/>
    <w:basedOn w:val="Normal"/>
    <w:link w:val="BodyTextChar"/>
    <w:uiPriority w:val="99"/>
    <w:unhideWhenUsed/>
    <w:rsid w:val="00154FBF"/>
    <w:pPr>
      <w:spacing w:after="120"/>
    </w:pPr>
  </w:style>
  <w:style w:type="character" w:customStyle="1" w:styleId="BodyTextChar">
    <w:name w:val="Body Text Char"/>
    <w:basedOn w:val="DefaultParagraphFont"/>
    <w:link w:val="BodyText"/>
    <w:uiPriority w:val="99"/>
    <w:rsid w:val="00154FBF"/>
    <w:rPr>
      <w:rFonts w:ascii="Yu Gothic Light" w:hAnsi="Yu Gothic Light"/>
    </w:rPr>
  </w:style>
  <w:style w:type="paragraph" w:customStyle="1" w:styleId="Body">
    <w:name w:val="Body"/>
    <w:basedOn w:val="BodyText"/>
    <w:link w:val="BodyChar"/>
    <w:qFormat/>
    <w:rsid w:val="002E626F"/>
    <w:pPr>
      <w:spacing w:after="180"/>
    </w:pPr>
  </w:style>
  <w:style w:type="paragraph" w:customStyle="1" w:styleId="NICEnormal">
    <w:name w:val="NICE normal"/>
    <w:basedOn w:val="Normal"/>
    <w:link w:val="NICEnormalChar"/>
    <w:qFormat/>
    <w:rsid w:val="0085386B"/>
  </w:style>
  <w:style w:type="character" w:customStyle="1" w:styleId="BodyChar">
    <w:name w:val="Body Char"/>
    <w:basedOn w:val="BodyTextChar"/>
    <w:link w:val="Body"/>
    <w:rsid w:val="002E626F"/>
    <w:rPr>
      <w:rFonts w:ascii="Yu Gothic Light" w:hAnsi="Yu Gothic Light"/>
    </w:rPr>
  </w:style>
  <w:style w:type="table" w:styleId="TableGrid">
    <w:name w:val="Table Grid"/>
    <w:aliases w:val="Dossier table,Section 3- footnotes,NICE table,EVD CLL"/>
    <w:basedOn w:val="TableNormal"/>
    <w:uiPriority w:val="39"/>
    <w:rsid w:val="00941B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ICEnormalChar">
    <w:name w:val="NICE normal Char"/>
    <w:basedOn w:val="DefaultParagraphFont"/>
    <w:link w:val="NICEnormal"/>
    <w:rsid w:val="0085386B"/>
    <w:rPr>
      <w:rFonts w:ascii="Arial" w:hAnsi="Arial"/>
    </w:rPr>
  </w:style>
  <w:style w:type="paragraph" w:styleId="Header">
    <w:name w:val="header"/>
    <w:basedOn w:val="Normal"/>
    <w:link w:val="HeaderChar"/>
    <w:uiPriority w:val="99"/>
    <w:unhideWhenUsed/>
    <w:rsid w:val="00F01B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1BAF"/>
    <w:rPr>
      <w:rFonts w:ascii="Yu Gothic Light" w:hAnsi="Yu Gothic Light"/>
    </w:rPr>
  </w:style>
  <w:style w:type="paragraph" w:styleId="Footer">
    <w:name w:val="footer"/>
    <w:basedOn w:val="Normal"/>
    <w:link w:val="FooterChar"/>
    <w:uiPriority w:val="99"/>
    <w:unhideWhenUsed/>
    <w:rsid w:val="00F01B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1BAF"/>
    <w:rPr>
      <w:rFonts w:ascii="Yu Gothic Light" w:hAnsi="Yu Gothic Light"/>
    </w:rPr>
  </w:style>
  <w:style w:type="character" w:styleId="PageNumber">
    <w:name w:val="page number"/>
    <w:rsid w:val="00753E26"/>
    <w:rPr>
      <w:rFonts w:ascii="Arial" w:hAnsi="Arial"/>
      <w:sz w:val="24"/>
    </w:rPr>
  </w:style>
  <w:style w:type="paragraph" w:styleId="TOC2">
    <w:name w:val="toc 2"/>
    <w:basedOn w:val="Normal"/>
    <w:next w:val="Normal"/>
    <w:autoRedefine/>
    <w:uiPriority w:val="39"/>
    <w:unhideWhenUsed/>
    <w:rsid w:val="008E5E36"/>
    <w:pPr>
      <w:tabs>
        <w:tab w:val="left" w:pos="1100"/>
        <w:tab w:val="right" w:leader="dot" w:pos="9016"/>
      </w:tabs>
      <w:spacing w:after="60"/>
    </w:pPr>
  </w:style>
  <w:style w:type="paragraph" w:styleId="TOC1">
    <w:name w:val="toc 1"/>
    <w:basedOn w:val="Normal"/>
    <w:next w:val="Normal"/>
    <w:autoRedefine/>
    <w:uiPriority w:val="39"/>
    <w:unhideWhenUsed/>
    <w:rsid w:val="003F091B"/>
    <w:pPr>
      <w:tabs>
        <w:tab w:val="left" w:pos="660"/>
        <w:tab w:val="right" w:leader="dot" w:pos="9016"/>
      </w:tabs>
      <w:spacing w:after="60"/>
    </w:pPr>
  </w:style>
  <w:style w:type="character" w:styleId="Hyperlink">
    <w:name w:val="Hyperlink"/>
    <w:basedOn w:val="DefaultParagraphFont"/>
    <w:uiPriority w:val="99"/>
    <w:unhideWhenUsed/>
    <w:rsid w:val="00E451B1"/>
    <w:rPr>
      <w:color w:val="0563C1" w:themeColor="hyperlink"/>
      <w:u w:val="single"/>
    </w:rPr>
  </w:style>
  <w:style w:type="character" w:styleId="CommentReference">
    <w:name w:val="annotation reference"/>
    <w:basedOn w:val="DefaultParagraphFont"/>
    <w:unhideWhenUsed/>
    <w:rsid w:val="005B4DB2"/>
    <w:rPr>
      <w:sz w:val="16"/>
      <w:szCs w:val="16"/>
    </w:rPr>
  </w:style>
  <w:style w:type="paragraph" w:styleId="CommentText">
    <w:name w:val="annotation text"/>
    <w:aliases w:val="Annotationtext,- H19,Comment Text Char2,Comment Text Char Char1,Comment Text Char2 Char Char,Comment Text Char Char1 Char Char,Comment Text Char2 Char Char Char Char,Comment Text Char1 Char Char Char Char1 Char,Char1,Char2, Char1"/>
    <w:basedOn w:val="Normal"/>
    <w:link w:val="CommentTextChar"/>
    <w:unhideWhenUsed/>
    <w:qFormat/>
    <w:rsid w:val="005B4DB2"/>
    <w:pPr>
      <w:spacing w:line="240" w:lineRule="auto"/>
    </w:pPr>
    <w:rPr>
      <w:sz w:val="20"/>
      <w:szCs w:val="20"/>
    </w:rPr>
  </w:style>
  <w:style w:type="character" w:customStyle="1" w:styleId="CommentTextChar">
    <w:name w:val="Comment Text Char"/>
    <w:aliases w:val="Annotationtext Char,- H19 Char,Comment Text Char2 Char,Comment Text Char Char1 Char,Comment Text Char2 Char Char Char,Comment Text Char Char1 Char Char Char,Comment Text Char2 Char Char Char Char Char,Char1 Char,Char2 Char, Char1 Char"/>
    <w:basedOn w:val="DefaultParagraphFont"/>
    <w:link w:val="CommentText"/>
    <w:rsid w:val="005B4DB2"/>
    <w:rPr>
      <w:rFonts w:ascii="Yu Gothic Light" w:hAnsi="Yu Gothic Light"/>
      <w:sz w:val="20"/>
      <w:szCs w:val="20"/>
    </w:rPr>
  </w:style>
  <w:style w:type="paragraph" w:styleId="CommentSubject">
    <w:name w:val="annotation subject"/>
    <w:basedOn w:val="CommentText"/>
    <w:next w:val="CommentText"/>
    <w:link w:val="CommentSubjectChar"/>
    <w:uiPriority w:val="99"/>
    <w:semiHidden/>
    <w:unhideWhenUsed/>
    <w:rsid w:val="005B4DB2"/>
    <w:rPr>
      <w:b/>
      <w:bCs/>
    </w:rPr>
  </w:style>
  <w:style w:type="character" w:customStyle="1" w:styleId="CommentSubjectChar">
    <w:name w:val="Comment Subject Char"/>
    <w:basedOn w:val="CommentTextChar"/>
    <w:link w:val="CommentSubject"/>
    <w:uiPriority w:val="99"/>
    <w:semiHidden/>
    <w:rsid w:val="005B4DB2"/>
    <w:rPr>
      <w:rFonts w:ascii="Yu Gothic Light" w:hAnsi="Yu Gothic Light"/>
      <w:b/>
      <w:bCs/>
      <w:sz w:val="20"/>
      <w:szCs w:val="20"/>
    </w:rPr>
  </w:style>
  <w:style w:type="paragraph" w:customStyle="1" w:styleId="nonTOCheading">
    <w:name w:val="nonTOC heading"/>
    <w:link w:val="nonTOCheadingChar"/>
    <w:qFormat/>
    <w:rsid w:val="00444EF2"/>
    <w:pPr>
      <w:keepNext/>
      <w:spacing w:after="240"/>
    </w:pPr>
    <w:rPr>
      <w:rFonts w:ascii="Arial" w:hAnsi="Arial"/>
      <w:b/>
      <w:bCs/>
      <w:sz w:val="32"/>
      <w:szCs w:val="32"/>
    </w:rPr>
  </w:style>
  <w:style w:type="character" w:customStyle="1" w:styleId="nonTOCheadingChar">
    <w:name w:val="nonTOC heading Char"/>
    <w:basedOn w:val="BodyChar"/>
    <w:link w:val="nonTOCheading"/>
    <w:rsid w:val="00444EF2"/>
    <w:rPr>
      <w:rFonts w:ascii="Arial" w:hAnsi="Arial"/>
      <w:b/>
      <w:bCs/>
      <w:sz w:val="32"/>
      <w:szCs w:val="32"/>
    </w:rPr>
  </w:style>
  <w:style w:type="paragraph" w:styleId="Caption">
    <w:name w:val="caption"/>
    <w:aliases w:val="Asc Table/Figure Caption,Table Caption,NICE Caption,- H17,Bayer Caption,IB Caption,Medical Caption,B Caption,Caption - H17,Table Caption 1,Figure caption,Figure caption1 Char Char,Figure Source,Caption Char1 Char,Caption Char Char Char,..."/>
    <w:basedOn w:val="Normal"/>
    <w:next w:val="Normal"/>
    <w:link w:val="CaptionChar"/>
    <w:uiPriority w:val="35"/>
    <w:unhideWhenUsed/>
    <w:qFormat/>
    <w:rsid w:val="006A388A"/>
    <w:pPr>
      <w:keepNext/>
      <w:spacing w:before="240" w:after="0" w:line="240" w:lineRule="auto"/>
    </w:pPr>
    <w:rPr>
      <w:b/>
      <w:iCs/>
      <w:szCs w:val="18"/>
    </w:rPr>
  </w:style>
  <w:style w:type="paragraph" w:customStyle="1" w:styleId="Tableheading">
    <w:name w:val="Table heading"/>
    <w:link w:val="TableheadingChar"/>
    <w:qFormat/>
    <w:rsid w:val="00444EF2"/>
    <w:pPr>
      <w:spacing w:before="40" w:after="40" w:line="240" w:lineRule="auto"/>
    </w:pPr>
    <w:rPr>
      <w:rFonts w:ascii="Arial" w:hAnsi="Arial"/>
      <w:b/>
      <w:bCs/>
      <w:sz w:val="20"/>
      <w:szCs w:val="20"/>
    </w:rPr>
  </w:style>
  <w:style w:type="paragraph" w:customStyle="1" w:styleId="Tablebody">
    <w:name w:val="Table body"/>
    <w:link w:val="TablebodyChar"/>
    <w:qFormat/>
    <w:rsid w:val="00444EF2"/>
    <w:pPr>
      <w:spacing w:before="40" w:after="40" w:line="240" w:lineRule="auto"/>
    </w:pPr>
    <w:rPr>
      <w:rFonts w:ascii="Arial" w:hAnsi="Arial"/>
      <w:sz w:val="20"/>
      <w:szCs w:val="20"/>
    </w:rPr>
  </w:style>
  <w:style w:type="character" w:customStyle="1" w:styleId="TableheadingChar">
    <w:name w:val="Table heading Char"/>
    <w:basedOn w:val="BodyChar"/>
    <w:link w:val="Tableheading"/>
    <w:rsid w:val="00444EF2"/>
    <w:rPr>
      <w:rFonts w:ascii="Arial" w:hAnsi="Arial"/>
      <w:b/>
      <w:bCs/>
      <w:sz w:val="20"/>
      <w:szCs w:val="20"/>
    </w:rPr>
  </w:style>
  <w:style w:type="paragraph" w:customStyle="1" w:styleId="Footnotes">
    <w:name w:val="Footnotes"/>
    <w:next w:val="Body"/>
    <w:link w:val="FootnotesChar"/>
    <w:qFormat/>
    <w:rsid w:val="006F6B64"/>
    <w:pPr>
      <w:spacing w:after="360" w:line="240" w:lineRule="auto"/>
    </w:pPr>
    <w:rPr>
      <w:rFonts w:ascii="Arial" w:hAnsi="Arial"/>
      <w:sz w:val="18"/>
      <w:szCs w:val="18"/>
    </w:rPr>
  </w:style>
  <w:style w:type="character" w:customStyle="1" w:styleId="TablebodyChar">
    <w:name w:val="Table body Char"/>
    <w:basedOn w:val="BodyChar"/>
    <w:link w:val="Tablebody"/>
    <w:rsid w:val="00444EF2"/>
    <w:rPr>
      <w:rFonts w:ascii="Arial" w:hAnsi="Arial"/>
      <w:sz w:val="20"/>
      <w:szCs w:val="20"/>
    </w:rPr>
  </w:style>
  <w:style w:type="character" w:customStyle="1" w:styleId="FootnotesChar">
    <w:name w:val="Footnotes Char"/>
    <w:basedOn w:val="BodyChar"/>
    <w:link w:val="Footnotes"/>
    <w:rsid w:val="006F6B64"/>
    <w:rPr>
      <w:rFonts w:ascii="Arial" w:hAnsi="Arial"/>
      <w:sz w:val="18"/>
      <w:szCs w:val="18"/>
    </w:rPr>
  </w:style>
  <w:style w:type="paragraph" w:styleId="TOC3">
    <w:name w:val="toc 3"/>
    <w:basedOn w:val="Normal"/>
    <w:next w:val="Normal"/>
    <w:autoRedefine/>
    <w:uiPriority w:val="39"/>
    <w:unhideWhenUsed/>
    <w:rsid w:val="00D41D48"/>
    <w:pPr>
      <w:spacing w:after="100"/>
      <w:ind w:left="440"/>
    </w:pPr>
  </w:style>
  <w:style w:type="table" w:customStyle="1" w:styleId="Generaltable">
    <w:name w:val="General table"/>
    <w:basedOn w:val="TableNormal"/>
    <w:uiPriority w:val="99"/>
    <w:rsid w:val="008A4C82"/>
    <w:pPr>
      <w:spacing w:after="0" w:line="240" w:lineRule="auto"/>
    </w:pPr>
    <w:rPr>
      <w:rFonts w:ascii="Yu Gothic Light" w:hAnsi="Yu Gothic Ligh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rial" w:hAnsi="Arial"/>
      </w:rPr>
      <w:tblPr/>
      <w:tcPr>
        <w:shd w:val="clear" w:color="auto" w:fill="D9D9D9" w:themeFill="background1" w:themeFillShade="D9"/>
      </w:tcPr>
    </w:tblStylePr>
  </w:style>
  <w:style w:type="paragraph" w:customStyle="1" w:styleId="Appendix1heading">
    <w:name w:val="Appendix 1 heading"/>
    <w:basedOn w:val="Heading1"/>
    <w:next w:val="Body"/>
    <w:link w:val="Appendix1headingChar"/>
    <w:qFormat/>
    <w:rsid w:val="00F70153"/>
    <w:pPr>
      <w:keepLines w:val="0"/>
      <w:numPr>
        <w:numId w:val="2"/>
      </w:numPr>
    </w:pPr>
    <w:rPr>
      <w:rFonts w:eastAsia="Calibri Light" w:cs="Yu Gothic Light"/>
      <w:bCs/>
      <w:kern w:val="32"/>
      <w:lang w:val="en-US"/>
    </w:rPr>
  </w:style>
  <w:style w:type="paragraph" w:customStyle="1" w:styleId="Appendix2heading">
    <w:name w:val="Appendix 2 heading"/>
    <w:basedOn w:val="Heading2"/>
    <w:next w:val="Body"/>
    <w:link w:val="Appendix2headingChar"/>
    <w:qFormat/>
    <w:rsid w:val="001F07DD"/>
    <w:pPr>
      <w:keepLines w:val="0"/>
      <w:numPr>
        <w:numId w:val="2"/>
      </w:numPr>
      <w:tabs>
        <w:tab w:val="left" w:pos="1134"/>
      </w:tabs>
    </w:pPr>
    <w:rPr>
      <w:rFonts w:eastAsia="Calibri Light" w:cs="Yu Gothic Light"/>
      <w:bCs/>
      <w:iCs/>
      <w:szCs w:val="28"/>
    </w:rPr>
  </w:style>
  <w:style w:type="character" w:customStyle="1" w:styleId="Appendix1headingChar">
    <w:name w:val="Appendix 1 heading Char"/>
    <w:basedOn w:val="Heading1Char"/>
    <w:link w:val="Appendix1heading"/>
    <w:rsid w:val="00F70153"/>
    <w:rPr>
      <w:rFonts w:ascii="Arial" w:eastAsia="Calibri Light" w:hAnsi="Arial" w:cs="Yu Gothic Light"/>
      <w:b/>
      <w:bCs/>
      <w:kern w:val="32"/>
      <w:sz w:val="32"/>
      <w:szCs w:val="32"/>
      <w:lang w:val="en-US"/>
    </w:rPr>
  </w:style>
  <w:style w:type="paragraph" w:customStyle="1" w:styleId="Appendix3heading">
    <w:name w:val="Appendix 3 heading"/>
    <w:basedOn w:val="Heading3"/>
    <w:next w:val="Body"/>
    <w:link w:val="Appendix3headingChar"/>
    <w:qFormat/>
    <w:rsid w:val="001F07DD"/>
    <w:pPr>
      <w:keepLines w:val="0"/>
      <w:numPr>
        <w:numId w:val="2"/>
      </w:numPr>
    </w:pPr>
    <w:rPr>
      <w:rFonts w:eastAsia="Calibri Light" w:cs="Yu Gothic Light"/>
      <w:bCs/>
    </w:rPr>
  </w:style>
  <w:style w:type="character" w:customStyle="1" w:styleId="Appendix2headingChar">
    <w:name w:val="Appendix 2 heading Char"/>
    <w:basedOn w:val="Heading2Char"/>
    <w:link w:val="Appendix2heading"/>
    <w:rsid w:val="001F07DD"/>
    <w:rPr>
      <w:rFonts w:ascii="Arial" w:eastAsia="Calibri Light" w:hAnsi="Arial" w:cs="Yu Gothic Light"/>
      <w:b/>
      <w:bCs/>
      <w:i/>
      <w:iCs/>
      <w:sz w:val="28"/>
      <w:szCs w:val="28"/>
    </w:rPr>
  </w:style>
  <w:style w:type="paragraph" w:customStyle="1" w:styleId="Appendix4heading">
    <w:name w:val="Appendix 4 heading"/>
    <w:basedOn w:val="Heading4"/>
    <w:next w:val="Body"/>
    <w:link w:val="Appendix4headingChar"/>
    <w:qFormat/>
    <w:rsid w:val="001F07DD"/>
    <w:pPr>
      <w:keepLines w:val="0"/>
      <w:numPr>
        <w:numId w:val="2"/>
      </w:numPr>
    </w:pPr>
    <w:rPr>
      <w:rFonts w:eastAsia="Calibri Light" w:cs="Calibri Light"/>
      <w:bCs/>
      <w:iCs w:val="0"/>
      <w:sz w:val="24"/>
      <w:szCs w:val="28"/>
    </w:rPr>
  </w:style>
  <w:style w:type="character" w:customStyle="1" w:styleId="Appendix3headingChar">
    <w:name w:val="Appendix 3 heading Char"/>
    <w:basedOn w:val="Heading3Char"/>
    <w:link w:val="Appendix3heading"/>
    <w:rsid w:val="001F07DD"/>
    <w:rPr>
      <w:rFonts w:ascii="Arial" w:eastAsia="Calibri Light" w:hAnsi="Arial" w:cs="Yu Gothic Light"/>
      <w:b/>
      <w:bCs/>
      <w:sz w:val="24"/>
      <w:szCs w:val="24"/>
    </w:rPr>
  </w:style>
  <w:style w:type="character" w:customStyle="1" w:styleId="Appendix4headingChar">
    <w:name w:val="Appendix 4 heading Char"/>
    <w:basedOn w:val="Heading4Char"/>
    <w:link w:val="Appendix4heading"/>
    <w:rsid w:val="001F07DD"/>
    <w:rPr>
      <w:rFonts w:ascii="Arial" w:eastAsia="Calibri Light" w:hAnsi="Arial" w:cs="Calibri Light"/>
      <w:b/>
      <w:bCs/>
      <w:iCs w:val="0"/>
      <w:sz w:val="24"/>
      <w:szCs w:val="28"/>
    </w:rPr>
  </w:style>
  <w:style w:type="table" w:customStyle="1" w:styleId="Figurebox">
    <w:name w:val="Figure box"/>
    <w:basedOn w:val="TableNormal"/>
    <w:uiPriority w:val="99"/>
    <w:rsid w:val="006A388A"/>
    <w:pPr>
      <w:spacing w:after="0" w:line="240" w:lineRule="auto"/>
    </w:pPr>
    <w:tblPr>
      <w:tblCellMar>
        <w:left w:w="0" w:type="dxa"/>
        <w:right w:w="28" w:type="dxa"/>
      </w:tblCellMar>
    </w:tblPr>
  </w:style>
  <w:style w:type="paragraph" w:styleId="ListBullet">
    <w:name w:val="List Bullet"/>
    <w:basedOn w:val="Normal"/>
    <w:uiPriority w:val="99"/>
    <w:unhideWhenUsed/>
    <w:rsid w:val="001B7209"/>
    <w:pPr>
      <w:numPr>
        <w:numId w:val="1"/>
      </w:numPr>
      <w:contextualSpacing/>
    </w:pPr>
  </w:style>
  <w:style w:type="paragraph" w:customStyle="1" w:styleId="Summarybox">
    <w:name w:val="Summary box"/>
    <w:link w:val="SummaryboxChar"/>
    <w:qFormat/>
    <w:rsid w:val="00444EF2"/>
    <w:pPr>
      <w:spacing w:before="120" w:after="0" w:line="240" w:lineRule="auto"/>
    </w:pPr>
    <w:rPr>
      <w:rFonts w:ascii="Arial" w:hAnsi="Arial"/>
    </w:rPr>
  </w:style>
  <w:style w:type="paragraph" w:styleId="ListParagraph">
    <w:name w:val="List Paragraph"/>
    <w:aliases w:val="Bullet 1,Bullet1,Section 5,Bullets Points,Bulleted - 2"/>
    <w:basedOn w:val="Normal"/>
    <w:link w:val="ListParagraphChar"/>
    <w:qFormat/>
    <w:rsid w:val="00C9397F"/>
    <w:pPr>
      <w:ind w:left="720"/>
      <w:contextualSpacing/>
    </w:pPr>
  </w:style>
  <w:style w:type="character" w:customStyle="1" w:styleId="SummaryboxChar">
    <w:name w:val="Summary box Char"/>
    <w:basedOn w:val="BodyChar"/>
    <w:link w:val="Summarybox"/>
    <w:rsid w:val="00444EF2"/>
    <w:rPr>
      <w:rFonts w:ascii="Arial" w:hAnsi="Arial"/>
    </w:rPr>
  </w:style>
  <w:style w:type="paragraph" w:customStyle="1" w:styleId="EndNoteBibliographyTitle">
    <w:name w:val="EndNote Bibliography Title"/>
    <w:basedOn w:val="Normal"/>
    <w:link w:val="EndNoteBibliographyTitleChar"/>
    <w:rsid w:val="007555EF"/>
    <w:pPr>
      <w:spacing w:after="0"/>
      <w:jc w:val="center"/>
    </w:pPr>
    <w:rPr>
      <w:rFonts w:cs="Arial"/>
      <w:noProof/>
      <w:lang w:val="en-US"/>
    </w:rPr>
  </w:style>
  <w:style w:type="character" w:customStyle="1" w:styleId="EndNoteBibliographyTitleChar">
    <w:name w:val="EndNote Bibliography Title Char"/>
    <w:basedOn w:val="BodyChar"/>
    <w:link w:val="EndNoteBibliographyTitle"/>
    <w:rsid w:val="007555EF"/>
    <w:rPr>
      <w:rFonts w:ascii="Arial" w:hAnsi="Arial" w:cs="Arial"/>
      <w:noProof/>
      <w:lang w:val="en-US"/>
    </w:rPr>
  </w:style>
  <w:style w:type="paragraph" w:customStyle="1" w:styleId="EndNoteBibliography">
    <w:name w:val="EndNote Bibliography"/>
    <w:basedOn w:val="Normal"/>
    <w:link w:val="EndNoteBibliographyChar"/>
    <w:rsid w:val="007555EF"/>
    <w:pPr>
      <w:spacing w:line="240" w:lineRule="auto"/>
    </w:pPr>
    <w:rPr>
      <w:rFonts w:cs="Arial"/>
      <w:noProof/>
      <w:lang w:val="en-US"/>
    </w:rPr>
  </w:style>
  <w:style w:type="character" w:customStyle="1" w:styleId="EndNoteBibliographyChar">
    <w:name w:val="EndNote Bibliography Char"/>
    <w:basedOn w:val="BodyChar"/>
    <w:link w:val="EndNoteBibliography"/>
    <w:rsid w:val="007555EF"/>
    <w:rPr>
      <w:rFonts w:ascii="Arial" w:hAnsi="Arial" w:cs="Arial"/>
      <w:noProof/>
      <w:lang w:val="en-US"/>
    </w:rPr>
  </w:style>
  <w:style w:type="character" w:styleId="UnresolvedMention">
    <w:name w:val="Unresolved Mention"/>
    <w:basedOn w:val="DefaultParagraphFont"/>
    <w:uiPriority w:val="99"/>
    <w:unhideWhenUsed/>
    <w:rsid w:val="007555EF"/>
    <w:rPr>
      <w:color w:val="605E5C"/>
      <w:shd w:val="clear" w:color="auto" w:fill="E1DFDD"/>
    </w:rPr>
  </w:style>
  <w:style w:type="character" w:styleId="Emphasis">
    <w:name w:val="Emphasis"/>
    <w:basedOn w:val="DefaultParagraphFont"/>
    <w:uiPriority w:val="20"/>
    <w:qFormat/>
    <w:rsid w:val="00283116"/>
    <w:rPr>
      <w:i/>
      <w:iCs/>
    </w:rPr>
  </w:style>
  <w:style w:type="paragraph" w:styleId="TableofFigures">
    <w:name w:val="table of figures"/>
    <w:basedOn w:val="Normal"/>
    <w:next w:val="Normal"/>
    <w:uiPriority w:val="99"/>
    <w:unhideWhenUsed/>
    <w:rsid w:val="004908A3"/>
    <w:pPr>
      <w:spacing w:after="0"/>
    </w:pPr>
  </w:style>
  <w:style w:type="paragraph" w:styleId="Revision">
    <w:name w:val="Revision"/>
    <w:hidden/>
    <w:uiPriority w:val="99"/>
    <w:semiHidden/>
    <w:rsid w:val="00CF603C"/>
    <w:pPr>
      <w:spacing w:after="0" w:line="240" w:lineRule="auto"/>
    </w:pPr>
    <w:rPr>
      <w:rFonts w:ascii="Yu Gothic Light" w:hAnsi="Yu Gothic Light"/>
    </w:rPr>
  </w:style>
  <w:style w:type="character" w:styleId="Mention">
    <w:name w:val="Mention"/>
    <w:basedOn w:val="DefaultParagraphFont"/>
    <w:uiPriority w:val="99"/>
    <w:unhideWhenUsed/>
    <w:rsid w:val="003E2657"/>
    <w:rPr>
      <w:color w:val="2B579A"/>
      <w:shd w:val="clear" w:color="auto" w:fill="E1DFDD"/>
    </w:rPr>
  </w:style>
  <w:style w:type="paragraph" w:styleId="BalloonText">
    <w:name w:val="Balloon Text"/>
    <w:basedOn w:val="Normal"/>
    <w:link w:val="BalloonTextChar"/>
    <w:uiPriority w:val="99"/>
    <w:semiHidden/>
    <w:unhideWhenUsed/>
    <w:rsid w:val="001A7BD6"/>
    <w:pPr>
      <w:spacing w:after="0" w:line="240" w:lineRule="auto"/>
    </w:pPr>
    <w:rPr>
      <w:rFonts w:ascii="Yu Mincho" w:hAnsi="Yu Mincho" w:cs="Yu Mincho"/>
      <w:sz w:val="18"/>
      <w:szCs w:val="18"/>
    </w:rPr>
  </w:style>
  <w:style w:type="character" w:customStyle="1" w:styleId="BalloonTextChar">
    <w:name w:val="Balloon Text Char"/>
    <w:basedOn w:val="DefaultParagraphFont"/>
    <w:link w:val="BalloonText"/>
    <w:uiPriority w:val="99"/>
    <w:semiHidden/>
    <w:rsid w:val="001A7BD6"/>
    <w:rPr>
      <w:rFonts w:ascii="Yu Mincho" w:hAnsi="Yu Mincho" w:cs="Yu Mincho"/>
      <w:sz w:val="18"/>
      <w:szCs w:val="18"/>
    </w:rPr>
  </w:style>
  <w:style w:type="paragraph" w:customStyle="1" w:styleId="Bulletindent1last">
    <w:name w:val="Bullet indent 1 last"/>
    <w:basedOn w:val="NICEnormal"/>
    <w:next w:val="NICEnormal"/>
    <w:rsid w:val="00404C5F"/>
    <w:pPr>
      <w:numPr>
        <w:numId w:val="5"/>
      </w:numPr>
    </w:pPr>
    <w:rPr>
      <w:rFonts w:eastAsia="Calibri Light" w:cs="Calibri Light"/>
      <w:szCs w:val="24"/>
    </w:rPr>
  </w:style>
  <w:style w:type="paragraph" w:customStyle="1" w:styleId="Tabletext">
    <w:name w:val="Table text"/>
    <w:basedOn w:val="Normal"/>
    <w:link w:val="TabletextChar"/>
    <w:qFormat/>
    <w:rsid w:val="00404C5F"/>
    <w:pPr>
      <w:spacing w:before="60" w:after="60" w:line="240" w:lineRule="auto"/>
    </w:pPr>
    <w:rPr>
      <w:rFonts w:eastAsia="Calibri Light" w:cs="Calibri Light"/>
      <w:sz w:val="20"/>
      <w:szCs w:val="24"/>
    </w:rPr>
  </w:style>
  <w:style w:type="character" w:customStyle="1" w:styleId="TabletextChar">
    <w:name w:val="Table text Char"/>
    <w:link w:val="Tabletext"/>
    <w:rsid w:val="00404C5F"/>
    <w:rPr>
      <w:rFonts w:ascii="Yu Gothic Light" w:eastAsia="Calibri Light" w:hAnsi="Yu Gothic Light" w:cs="Calibri Light"/>
      <w:sz w:val="20"/>
      <w:szCs w:val="24"/>
    </w:rPr>
  </w:style>
  <w:style w:type="paragraph" w:styleId="FootnoteText">
    <w:name w:val="footnote text"/>
    <w:basedOn w:val="Normal"/>
    <w:link w:val="FootnoteTextChar"/>
    <w:uiPriority w:val="99"/>
    <w:semiHidden/>
    <w:unhideWhenUsed/>
    <w:rsid w:val="00910020"/>
    <w:pPr>
      <w:spacing w:after="60" w:line="240" w:lineRule="auto"/>
    </w:pPr>
    <w:rPr>
      <w:sz w:val="16"/>
      <w:szCs w:val="20"/>
    </w:rPr>
  </w:style>
  <w:style w:type="character" w:customStyle="1" w:styleId="FootnoteTextChar">
    <w:name w:val="Footnote Text Char"/>
    <w:basedOn w:val="DefaultParagraphFont"/>
    <w:link w:val="FootnoteText"/>
    <w:uiPriority w:val="99"/>
    <w:semiHidden/>
    <w:rsid w:val="005D4FC6"/>
    <w:rPr>
      <w:rFonts w:ascii="Arial" w:hAnsi="Arial"/>
      <w:sz w:val="16"/>
      <w:szCs w:val="20"/>
    </w:rPr>
  </w:style>
  <w:style w:type="character" w:styleId="FootnoteReference">
    <w:name w:val="footnote reference"/>
    <w:basedOn w:val="DefaultParagraphFont"/>
    <w:uiPriority w:val="99"/>
    <w:unhideWhenUsed/>
    <w:rsid w:val="005D4FC6"/>
    <w:rPr>
      <w:vertAlign w:val="superscript"/>
    </w:rPr>
  </w:style>
  <w:style w:type="paragraph" w:customStyle="1" w:styleId="paragraph">
    <w:name w:val="paragraph"/>
    <w:basedOn w:val="Normal"/>
    <w:rsid w:val="00217323"/>
    <w:pPr>
      <w:spacing w:before="100" w:beforeAutospacing="1" w:after="100" w:afterAutospacing="1" w:line="240" w:lineRule="auto"/>
    </w:pPr>
    <w:rPr>
      <w:rFonts w:ascii="Calibri Light" w:eastAsia="Calibri Light" w:hAnsi="Calibri Light" w:cs="Calibri Light"/>
      <w:sz w:val="24"/>
      <w:szCs w:val="24"/>
      <w:lang w:val="en-US"/>
    </w:rPr>
  </w:style>
  <w:style w:type="character" w:customStyle="1" w:styleId="normaltextrun">
    <w:name w:val="normaltextrun"/>
    <w:basedOn w:val="DefaultParagraphFont"/>
    <w:rsid w:val="00217323"/>
  </w:style>
  <w:style w:type="character" w:customStyle="1" w:styleId="eop">
    <w:name w:val="eop"/>
    <w:basedOn w:val="DefaultParagraphFont"/>
    <w:rsid w:val="00217323"/>
  </w:style>
  <w:style w:type="paragraph" w:customStyle="1" w:styleId="Default">
    <w:name w:val="Default"/>
    <w:rsid w:val="004F6C77"/>
    <w:pPr>
      <w:autoSpaceDE w:val="0"/>
      <w:autoSpaceDN w:val="0"/>
      <w:adjustRightInd w:val="0"/>
      <w:spacing w:after="0" w:line="240" w:lineRule="auto"/>
    </w:pPr>
    <w:rPr>
      <w:rFonts w:ascii="Calibri Light" w:hAnsi="Calibri Light" w:cs="Calibri Light"/>
      <w:color w:val="000000"/>
      <w:sz w:val="24"/>
      <w:szCs w:val="24"/>
      <w:lang w:val="en-US"/>
    </w:rPr>
  </w:style>
  <w:style w:type="character" w:styleId="PlaceholderText">
    <w:name w:val="Placeholder Text"/>
    <w:basedOn w:val="DefaultParagraphFont"/>
    <w:uiPriority w:val="99"/>
    <w:semiHidden/>
    <w:rsid w:val="00865F43"/>
    <w:rPr>
      <w:color w:val="808080"/>
    </w:rPr>
  </w:style>
  <w:style w:type="paragraph" w:customStyle="1" w:styleId="Bullet2">
    <w:name w:val="Bullet 2"/>
    <w:basedOn w:val="Normal"/>
    <w:link w:val="Bullet2Char"/>
    <w:qFormat/>
    <w:rsid w:val="00E75CC7"/>
    <w:pPr>
      <w:tabs>
        <w:tab w:val="num" w:pos="357"/>
      </w:tabs>
      <w:spacing w:before="120" w:after="120" w:line="360" w:lineRule="auto"/>
      <w:ind w:left="720" w:hanging="363"/>
    </w:pPr>
    <w:rPr>
      <w:rFonts w:eastAsia="Calibri Light" w:cs="Calibri Light"/>
      <w:color w:val="000000" w:themeColor="text1"/>
      <w:szCs w:val="24"/>
    </w:rPr>
  </w:style>
  <w:style w:type="character" w:customStyle="1" w:styleId="Bullet2Char">
    <w:name w:val="Bullet 2 Char"/>
    <w:basedOn w:val="DefaultParagraphFont"/>
    <w:link w:val="Bullet2"/>
    <w:rsid w:val="00E75CC7"/>
    <w:rPr>
      <w:rFonts w:ascii="Yu Gothic Light" w:eastAsia="Calibri Light" w:hAnsi="Yu Gothic Light" w:cs="Calibri Light"/>
      <w:color w:val="000000" w:themeColor="text1"/>
      <w:szCs w:val="24"/>
    </w:rPr>
  </w:style>
  <w:style w:type="paragraph" w:styleId="NormalWeb">
    <w:name w:val="Normal (Web)"/>
    <w:basedOn w:val="Normal"/>
    <w:uiPriority w:val="99"/>
    <w:unhideWhenUsed/>
    <w:rsid w:val="000D6871"/>
    <w:pPr>
      <w:spacing w:before="100" w:beforeAutospacing="1" w:after="100" w:afterAutospacing="1" w:line="240" w:lineRule="auto"/>
    </w:pPr>
    <w:rPr>
      <w:rFonts w:ascii="Calibri Light" w:eastAsia="Calibri Light" w:hAnsi="Calibri Light" w:cs="Calibri Light"/>
      <w:sz w:val="24"/>
      <w:szCs w:val="24"/>
      <w:lang w:eastAsia="ja-JP"/>
    </w:rPr>
  </w:style>
  <w:style w:type="character" w:styleId="FollowedHyperlink">
    <w:name w:val="FollowedHyperlink"/>
    <w:basedOn w:val="DefaultParagraphFont"/>
    <w:uiPriority w:val="99"/>
    <w:semiHidden/>
    <w:unhideWhenUsed/>
    <w:rsid w:val="00B01041"/>
    <w:rPr>
      <w:color w:val="954F72" w:themeColor="followedHyperlink"/>
      <w:u w:val="single"/>
    </w:rPr>
  </w:style>
  <w:style w:type="paragraph" w:customStyle="1" w:styleId="In-textheading">
    <w:name w:val="In-text heading"/>
    <w:basedOn w:val="Body"/>
    <w:link w:val="In-textheadingChar"/>
    <w:qFormat/>
    <w:rsid w:val="00BB43CA"/>
    <w:pPr>
      <w:keepNext/>
      <w:spacing w:after="120"/>
    </w:pPr>
    <w:rPr>
      <w:i/>
      <w:iCs/>
    </w:rPr>
  </w:style>
  <w:style w:type="character" w:customStyle="1" w:styleId="In-textheadingChar">
    <w:name w:val="In-text heading Char"/>
    <w:basedOn w:val="BodyChar"/>
    <w:link w:val="In-textheading"/>
    <w:rsid w:val="00BB43CA"/>
    <w:rPr>
      <w:rFonts w:ascii="Arial" w:hAnsi="Arial"/>
      <w:i/>
      <w:iCs/>
    </w:rPr>
  </w:style>
  <w:style w:type="paragraph" w:customStyle="1" w:styleId="pf1">
    <w:name w:val="pf1"/>
    <w:basedOn w:val="Normal"/>
    <w:rsid w:val="008F498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f0">
    <w:name w:val="pf0"/>
    <w:basedOn w:val="Normal"/>
    <w:rsid w:val="008F498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f01">
    <w:name w:val="cf01"/>
    <w:basedOn w:val="DefaultParagraphFont"/>
    <w:rsid w:val="008F4980"/>
    <w:rPr>
      <w:rFonts w:ascii="Segoe UI" w:hAnsi="Segoe UI" w:cs="Segoe UI" w:hint="default"/>
      <w:sz w:val="18"/>
      <w:szCs w:val="18"/>
    </w:rPr>
  </w:style>
  <w:style w:type="paragraph" w:customStyle="1" w:styleId="Tablebullet1">
    <w:name w:val="Table bullet 1"/>
    <w:basedOn w:val="Tabletext"/>
    <w:link w:val="Tablebullet1Char"/>
    <w:qFormat/>
    <w:rsid w:val="002F4FC7"/>
    <w:pPr>
      <w:numPr>
        <w:numId w:val="16"/>
      </w:numPr>
    </w:pPr>
    <w:rPr>
      <w:rFonts w:eastAsia="Calibri" w:cs="Times New Roman"/>
    </w:rPr>
  </w:style>
  <w:style w:type="character" w:customStyle="1" w:styleId="Tablebullet1Char">
    <w:name w:val="Table bullet 1 Char"/>
    <w:basedOn w:val="DefaultParagraphFont"/>
    <w:link w:val="Tablebullet1"/>
    <w:locked/>
    <w:rsid w:val="002F4FC7"/>
    <w:rPr>
      <w:rFonts w:ascii="Arial" w:eastAsia="Calibri" w:hAnsi="Arial" w:cs="Times New Roman"/>
      <w:sz w:val="20"/>
      <w:szCs w:val="24"/>
    </w:rPr>
  </w:style>
  <w:style w:type="paragraph" w:customStyle="1" w:styleId="Tablebullet2">
    <w:name w:val="Table bullet 2"/>
    <w:basedOn w:val="Tablebullet1"/>
    <w:qFormat/>
    <w:rsid w:val="002F4FC7"/>
    <w:pPr>
      <w:numPr>
        <w:ilvl w:val="1"/>
      </w:numPr>
      <w:tabs>
        <w:tab w:val="num" w:pos="360"/>
      </w:tabs>
    </w:pPr>
  </w:style>
  <w:style w:type="paragraph" w:customStyle="1" w:styleId="Tablebullet3">
    <w:name w:val="Table bullet 3"/>
    <w:basedOn w:val="Tablebullet1"/>
    <w:qFormat/>
    <w:rsid w:val="002F4FC7"/>
    <w:pPr>
      <w:numPr>
        <w:ilvl w:val="2"/>
      </w:numPr>
      <w:tabs>
        <w:tab w:val="num" w:pos="360"/>
      </w:tabs>
    </w:pPr>
  </w:style>
  <w:style w:type="numbering" w:customStyle="1" w:styleId="Tablebulletlist">
    <w:name w:val="Table bullet list"/>
    <w:uiPriority w:val="99"/>
    <w:rsid w:val="002F4FC7"/>
    <w:pPr>
      <w:numPr>
        <w:numId w:val="16"/>
      </w:numPr>
    </w:pPr>
  </w:style>
  <w:style w:type="paragraph" w:customStyle="1" w:styleId="TableText0">
    <w:name w:val="Table Text"/>
    <w:basedOn w:val="Normal"/>
    <w:link w:val="TableTextChar0"/>
    <w:qFormat/>
    <w:rsid w:val="007A5E41"/>
    <w:pPr>
      <w:tabs>
        <w:tab w:val="left" w:pos="0"/>
      </w:tabs>
      <w:spacing w:before="60" w:after="60" w:line="240" w:lineRule="auto"/>
    </w:pPr>
    <w:rPr>
      <w:rFonts w:cs="Arial"/>
      <w:color w:val="000000" w:themeColor="text1"/>
      <w:sz w:val="20"/>
      <w:szCs w:val="20"/>
      <w:lang w:eastAsia="en-GB"/>
    </w:rPr>
  </w:style>
  <w:style w:type="character" w:customStyle="1" w:styleId="TableTextChar0">
    <w:name w:val="Table Text Char"/>
    <w:basedOn w:val="DefaultParagraphFont"/>
    <w:link w:val="TableText0"/>
    <w:rsid w:val="007A5E41"/>
    <w:rPr>
      <w:rFonts w:ascii="Arial" w:hAnsi="Arial" w:cs="Arial"/>
      <w:color w:val="000000" w:themeColor="text1"/>
      <w:sz w:val="20"/>
      <w:szCs w:val="20"/>
      <w:lang w:eastAsia="en-GB"/>
    </w:rPr>
  </w:style>
  <w:style w:type="character" w:customStyle="1" w:styleId="ListParagraphChar">
    <w:name w:val="List Paragraph Char"/>
    <w:aliases w:val="Bullet 1 Char,Bullet1 Char,Section 5 Char,Bullets Points Char,Bulleted - 2 Char"/>
    <w:basedOn w:val="DefaultParagraphFont"/>
    <w:link w:val="ListParagraph"/>
    <w:rsid w:val="002B1D5D"/>
    <w:rPr>
      <w:rFonts w:ascii="Arial" w:hAnsi="Arial"/>
    </w:rPr>
  </w:style>
  <w:style w:type="character" w:customStyle="1" w:styleId="findhit">
    <w:name w:val="findhit"/>
    <w:basedOn w:val="DefaultParagraphFont"/>
    <w:rsid w:val="00E92A86"/>
  </w:style>
  <w:style w:type="paragraph" w:customStyle="1" w:styleId="NICElegend">
    <w:name w:val="NICE legend"/>
    <w:basedOn w:val="NICETabletext"/>
    <w:qFormat/>
    <w:rsid w:val="00333653"/>
    <w:pPr>
      <w:spacing w:after="0"/>
    </w:pPr>
    <w:rPr>
      <w:sz w:val="18"/>
    </w:rPr>
  </w:style>
  <w:style w:type="paragraph" w:customStyle="1" w:styleId="NICETabletext">
    <w:name w:val="NICE Table text"/>
    <w:basedOn w:val="Normal"/>
    <w:link w:val="NICETabletextChar"/>
    <w:qFormat/>
    <w:rsid w:val="00333653"/>
    <w:pPr>
      <w:keepNext/>
      <w:spacing w:after="60" w:line="240" w:lineRule="auto"/>
    </w:pPr>
    <w:rPr>
      <w:rFonts w:eastAsia="Times New Roman" w:cs="Times New Roman"/>
      <w:sz w:val="20"/>
      <w:szCs w:val="24"/>
    </w:rPr>
  </w:style>
  <w:style w:type="character" w:customStyle="1" w:styleId="NICETabletextChar">
    <w:name w:val="NICE Table text Char"/>
    <w:link w:val="NICETabletext"/>
    <w:rsid w:val="00333653"/>
    <w:rPr>
      <w:rFonts w:ascii="Arial" w:eastAsia="Times New Roman" w:hAnsi="Arial" w:cs="Times New Roman"/>
      <w:sz w:val="20"/>
      <w:szCs w:val="24"/>
    </w:rPr>
  </w:style>
  <w:style w:type="paragraph" w:customStyle="1" w:styleId="NICETableHeader">
    <w:name w:val="NICE Table Header"/>
    <w:basedOn w:val="NICETabletext"/>
    <w:qFormat/>
    <w:rsid w:val="00E863AD"/>
    <w:pPr>
      <w:shd w:val="clear" w:color="auto" w:fill="D9D9D9" w:themeFill="background1" w:themeFillShade="D9"/>
      <w:tabs>
        <w:tab w:val="left" w:pos="2041"/>
      </w:tabs>
    </w:pPr>
    <w:rPr>
      <w:b/>
    </w:rPr>
  </w:style>
  <w:style w:type="table" w:styleId="TableGridLight">
    <w:name w:val="Grid Table Light"/>
    <w:basedOn w:val="TableNormal"/>
    <w:uiPriority w:val="40"/>
    <w:rsid w:val="00E863AD"/>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cPr>
        <w:shd w:val="clear" w:color="auto" w:fill="D9D9D9" w:themeFill="background1" w:themeFillShade="D9"/>
      </w:tcPr>
    </w:tblStylePr>
  </w:style>
  <w:style w:type="paragraph" w:customStyle="1" w:styleId="NICECIC">
    <w:name w:val="NICE CIC"/>
    <w:basedOn w:val="Normal"/>
    <w:link w:val="NICECICChar"/>
    <w:qFormat/>
    <w:rsid w:val="00A435F5"/>
    <w:pPr>
      <w:shd w:val="clear" w:color="auto" w:fill="66FFFF"/>
    </w:pPr>
    <w:rPr>
      <w:rFonts w:eastAsia="Times New Roman" w:cs="Times New Roman"/>
      <w:szCs w:val="24"/>
      <w:u w:val="single"/>
    </w:rPr>
  </w:style>
  <w:style w:type="character" w:customStyle="1" w:styleId="NICECICChar">
    <w:name w:val="NICE CIC Char"/>
    <w:basedOn w:val="DefaultParagraphFont"/>
    <w:link w:val="NICECIC"/>
    <w:rsid w:val="00A435F5"/>
    <w:rPr>
      <w:rFonts w:ascii="Arial" w:eastAsia="Times New Roman" w:hAnsi="Arial" w:cs="Times New Roman"/>
      <w:szCs w:val="24"/>
      <w:u w:val="single"/>
      <w:shd w:val="clear" w:color="auto" w:fill="66FFFF"/>
    </w:rPr>
  </w:style>
  <w:style w:type="paragraph" w:customStyle="1" w:styleId="Style5">
    <w:name w:val="Style5"/>
    <w:basedOn w:val="Heading5"/>
    <w:link w:val="Style5Char"/>
    <w:qFormat/>
    <w:rsid w:val="00A435F5"/>
    <w:pPr>
      <w:numPr>
        <w:ilvl w:val="0"/>
        <w:numId w:val="0"/>
      </w:numPr>
      <w:spacing w:line="240" w:lineRule="auto"/>
    </w:pPr>
    <w:rPr>
      <w:i w:val="0"/>
      <w:sz w:val="24"/>
      <w:szCs w:val="24"/>
    </w:rPr>
  </w:style>
  <w:style w:type="character" w:customStyle="1" w:styleId="Style5Char">
    <w:name w:val="Style5 Char"/>
    <w:basedOn w:val="Heading6Char"/>
    <w:link w:val="Style5"/>
    <w:rsid w:val="00A435F5"/>
    <w:rPr>
      <w:rFonts w:ascii="Arial" w:eastAsiaTheme="majorEastAsia" w:hAnsi="Arial" w:cstheme="majorBidi"/>
      <w:b/>
      <w:sz w:val="24"/>
      <w:szCs w:val="24"/>
    </w:rPr>
  </w:style>
  <w:style w:type="paragraph" w:customStyle="1" w:styleId="NICEHeading1">
    <w:name w:val="NICE Heading 1"/>
    <w:basedOn w:val="Heading1"/>
    <w:rsid w:val="00A435F5"/>
    <w:pPr>
      <w:keepLines w:val="0"/>
      <w:pageBreakBefore w:val="0"/>
      <w:numPr>
        <w:numId w:val="29"/>
      </w:numPr>
      <w:spacing w:line="360" w:lineRule="auto"/>
    </w:pPr>
    <w:rPr>
      <w:rFonts w:eastAsia="Times New Roman" w:cs="Arial"/>
      <w:bCs/>
      <w:kern w:val="32"/>
      <w:lang w:val="en-US"/>
    </w:rPr>
  </w:style>
  <w:style w:type="paragraph" w:customStyle="1" w:styleId="NICEHeader2">
    <w:name w:val="NICE Header 2"/>
    <w:basedOn w:val="Heading2"/>
    <w:rsid w:val="00A435F5"/>
    <w:pPr>
      <w:keepLines w:val="0"/>
      <w:numPr>
        <w:numId w:val="29"/>
      </w:numPr>
      <w:tabs>
        <w:tab w:val="left" w:pos="1134"/>
      </w:tabs>
      <w:spacing w:line="360" w:lineRule="auto"/>
    </w:pPr>
    <w:rPr>
      <w:rFonts w:eastAsia="Times New Roman" w:cs="Arial"/>
      <w:bCs/>
      <w:iCs/>
      <w:szCs w:val="28"/>
    </w:rPr>
  </w:style>
  <w:style w:type="paragraph" w:customStyle="1" w:styleId="NICEHeader3">
    <w:name w:val="NICE Header 3"/>
    <w:basedOn w:val="Heading3"/>
    <w:rsid w:val="00A435F5"/>
    <w:pPr>
      <w:keepLines w:val="0"/>
      <w:numPr>
        <w:numId w:val="29"/>
      </w:numPr>
      <w:spacing w:line="360" w:lineRule="auto"/>
    </w:pPr>
    <w:rPr>
      <w:rFonts w:eastAsia="Times New Roman" w:cs="Arial"/>
      <w:bCs/>
      <w:lang w:val="en-US"/>
    </w:rPr>
  </w:style>
  <w:style w:type="paragraph" w:customStyle="1" w:styleId="NICEtableCIC">
    <w:name w:val="NICE table CIC"/>
    <w:basedOn w:val="NICETabletext"/>
    <w:qFormat/>
    <w:rsid w:val="00A435F5"/>
    <w:pPr>
      <w:shd w:val="clear" w:color="auto" w:fill="66FFFF"/>
    </w:pPr>
    <w:rPr>
      <w:u w:val="single"/>
    </w:rPr>
  </w:style>
  <w:style w:type="paragraph" w:customStyle="1" w:styleId="AscNormal">
    <w:name w:val="Asc Normal"/>
    <w:basedOn w:val="Normal"/>
    <w:link w:val="AscNormalChar"/>
    <w:qFormat/>
    <w:rsid w:val="00A435F5"/>
    <w:pPr>
      <w:spacing w:after="0" w:line="240" w:lineRule="auto"/>
    </w:pPr>
    <w:rPr>
      <w:rFonts w:asciiTheme="majorHAnsi" w:eastAsia="Times New Roman" w:hAnsiTheme="majorHAnsi" w:cs="Times New Roman"/>
      <w:color w:val="262626" w:themeColor="text1" w:themeTint="D9"/>
      <w:sz w:val="24"/>
      <w:szCs w:val="24"/>
      <w:lang w:val="en-US"/>
    </w:rPr>
  </w:style>
  <w:style w:type="character" w:customStyle="1" w:styleId="AscNormalChar">
    <w:name w:val="Asc Normal Char"/>
    <w:basedOn w:val="DefaultParagraphFont"/>
    <w:link w:val="AscNormal"/>
    <w:rsid w:val="00A435F5"/>
    <w:rPr>
      <w:rFonts w:asciiTheme="majorHAnsi" w:eastAsia="Times New Roman" w:hAnsiTheme="majorHAnsi" w:cs="Times New Roman"/>
      <w:color w:val="262626" w:themeColor="text1" w:themeTint="D9"/>
      <w:sz w:val="24"/>
      <w:szCs w:val="24"/>
      <w:lang w:val="en-US"/>
    </w:rPr>
  </w:style>
  <w:style w:type="paragraph" w:customStyle="1" w:styleId="Asctablesandfigures">
    <w:name w:val="Asc tables and figures"/>
    <w:basedOn w:val="NoSpacing"/>
    <w:qFormat/>
    <w:rsid w:val="00A435F5"/>
    <w:rPr>
      <w:rFonts w:asciiTheme="majorHAnsi" w:eastAsia="Times New Roman" w:hAnsiTheme="majorHAnsi" w:cs="Times New Roman"/>
      <w:sz w:val="18"/>
      <w:szCs w:val="24"/>
      <w:lang w:val="en-US"/>
    </w:rPr>
  </w:style>
  <w:style w:type="paragraph" w:styleId="NoSpacing">
    <w:name w:val="No Spacing"/>
    <w:uiPriority w:val="1"/>
    <w:qFormat/>
    <w:rsid w:val="00A435F5"/>
    <w:pPr>
      <w:spacing w:after="0" w:line="240" w:lineRule="auto"/>
    </w:pPr>
    <w:rPr>
      <w:rFonts w:ascii="Arial" w:hAnsi="Arial"/>
    </w:rPr>
  </w:style>
  <w:style w:type="paragraph" w:styleId="TOCHeading">
    <w:name w:val="TOC Heading"/>
    <w:basedOn w:val="Heading1"/>
    <w:next w:val="Normal"/>
    <w:uiPriority w:val="39"/>
    <w:unhideWhenUsed/>
    <w:qFormat/>
    <w:rsid w:val="00A435F5"/>
    <w:pPr>
      <w:pageBreakBefore w:val="0"/>
      <w:numPr>
        <w:numId w:val="0"/>
      </w:numPr>
      <w:spacing w:after="0" w:line="259" w:lineRule="auto"/>
      <w:outlineLvl w:val="9"/>
    </w:pPr>
    <w:rPr>
      <w:rFonts w:asciiTheme="majorHAnsi" w:hAnsiTheme="majorHAnsi"/>
      <w:b w:val="0"/>
      <w:color w:val="2F5496" w:themeColor="accent1" w:themeShade="BF"/>
      <w:lang w:val="en-US"/>
    </w:rPr>
  </w:style>
  <w:style w:type="paragraph" w:customStyle="1" w:styleId="AscHeading1">
    <w:name w:val="Asc Heading 1"/>
    <w:basedOn w:val="Heading1"/>
    <w:next w:val="AscNormal"/>
    <w:qFormat/>
    <w:rsid w:val="00A435F5"/>
    <w:pPr>
      <w:pageBreakBefore w:val="0"/>
      <w:numPr>
        <w:numId w:val="0"/>
      </w:numPr>
      <w:spacing w:after="0" w:line="240" w:lineRule="auto"/>
    </w:pPr>
    <w:rPr>
      <w:color w:val="002060"/>
      <w:lang w:val="en-US" w:eastAsia="en-GB"/>
    </w:rPr>
  </w:style>
  <w:style w:type="paragraph" w:customStyle="1" w:styleId="AscHeading2">
    <w:name w:val="Asc Heading 2"/>
    <w:basedOn w:val="Heading2"/>
    <w:next w:val="AscNormal"/>
    <w:qFormat/>
    <w:rsid w:val="00A435F5"/>
    <w:pPr>
      <w:numPr>
        <w:ilvl w:val="0"/>
        <w:numId w:val="0"/>
      </w:numPr>
      <w:spacing w:before="40" w:after="0" w:line="240" w:lineRule="auto"/>
    </w:pPr>
    <w:rPr>
      <w:b w:val="0"/>
      <w:i w:val="0"/>
      <w:color w:val="002060"/>
      <w:sz w:val="26"/>
      <w:lang w:val="en-US" w:eastAsia="en-GB"/>
    </w:rPr>
  </w:style>
  <w:style w:type="paragraph" w:styleId="Title">
    <w:name w:val="Title"/>
    <w:basedOn w:val="Normal"/>
    <w:next w:val="Normal"/>
    <w:link w:val="TitleChar"/>
    <w:uiPriority w:val="10"/>
    <w:qFormat/>
    <w:rsid w:val="00A435F5"/>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A435F5"/>
    <w:rPr>
      <w:rFonts w:asciiTheme="majorHAnsi" w:eastAsiaTheme="majorEastAsia" w:hAnsiTheme="majorHAnsi" w:cstheme="majorBidi"/>
      <w:spacing w:val="-10"/>
      <w:kern w:val="28"/>
      <w:sz w:val="56"/>
      <w:szCs w:val="56"/>
      <w:lang w:val="en-US"/>
    </w:rPr>
  </w:style>
  <w:style w:type="paragraph" w:customStyle="1" w:styleId="AscHeading3">
    <w:name w:val="Asc Heading 3"/>
    <w:basedOn w:val="Heading3"/>
    <w:next w:val="AscNormal"/>
    <w:qFormat/>
    <w:rsid w:val="00A435F5"/>
    <w:pPr>
      <w:numPr>
        <w:ilvl w:val="0"/>
        <w:numId w:val="0"/>
      </w:numPr>
      <w:spacing w:before="40" w:after="0" w:line="240" w:lineRule="auto"/>
    </w:pPr>
    <w:rPr>
      <w:b w:val="0"/>
      <w:color w:val="002060"/>
      <w:lang w:val="en-US"/>
    </w:rPr>
  </w:style>
  <w:style w:type="paragraph" w:customStyle="1" w:styleId="Legend">
    <w:name w:val="Legend"/>
    <w:basedOn w:val="Normal"/>
    <w:link w:val="LegendChar"/>
    <w:uiPriority w:val="3"/>
    <w:qFormat/>
    <w:rsid w:val="00A435F5"/>
    <w:pPr>
      <w:spacing w:before="60" w:after="60" w:line="240" w:lineRule="auto"/>
    </w:pPr>
    <w:rPr>
      <w:rFonts w:cs="Arial"/>
      <w:color w:val="000000" w:themeColor="text1"/>
      <w:sz w:val="18"/>
      <w:szCs w:val="18"/>
    </w:rPr>
  </w:style>
  <w:style w:type="character" w:customStyle="1" w:styleId="LegendChar">
    <w:name w:val="Legend Char"/>
    <w:basedOn w:val="DefaultParagraphFont"/>
    <w:link w:val="Legend"/>
    <w:uiPriority w:val="3"/>
    <w:rsid w:val="00A435F5"/>
    <w:rPr>
      <w:rFonts w:ascii="Arial" w:hAnsi="Arial" w:cs="Arial"/>
      <w:color w:val="000000" w:themeColor="text1"/>
      <w:sz w:val="18"/>
      <w:szCs w:val="18"/>
    </w:rPr>
  </w:style>
  <w:style w:type="table" w:styleId="GridTable4-Accent5">
    <w:name w:val="Grid Table 4 Accent 5"/>
    <w:basedOn w:val="TableNormal"/>
    <w:uiPriority w:val="49"/>
    <w:rsid w:val="00A435F5"/>
    <w:pPr>
      <w:spacing w:after="0" w:line="240" w:lineRule="auto"/>
    </w:pPr>
    <w:rPr>
      <w:sz w:val="24"/>
      <w:szCs w:val="24"/>
      <w:lang w:val="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TableHeading0">
    <w:name w:val="Table Heading"/>
    <w:basedOn w:val="Normal"/>
    <w:link w:val="TableHeadingChar0"/>
    <w:rsid w:val="00A435F5"/>
    <w:pPr>
      <w:keepNext/>
      <w:tabs>
        <w:tab w:val="left" w:pos="268"/>
      </w:tabs>
      <w:spacing w:before="60" w:after="60" w:line="240" w:lineRule="auto"/>
      <w:jc w:val="center"/>
    </w:pPr>
    <w:rPr>
      <w:rFonts w:eastAsiaTheme="majorEastAsia" w:cs="Arial"/>
      <w:b/>
      <w:sz w:val="20"/>
      <w:szCs w:val="20"/>
      <w:lang w:eastAsia="en-GB" w:bidi="en-US"/>
    </w:rPr>
  </w:style>
  <w:style w:type="character" w:customStyle="1" w:styleId="TableHeadingChar0">
    <w:name w:val="Table Heading Char"/>
    <w:basedOn w:val="DefaultParagraphFont"/>
    <w:link w:val="TableHeading0"/>
    <w:rsid w:val="00A435F5"/>
    <w:rPr>
      <w:rFonts w:ascii="Arial" w:eastAsiaTheme="majorEastAsia" w:hAnsi="Arial" w:cs="Arial"/>
      <w:b/>
      <w:sz w:val="20"/>
      <w:szCs w:val="20"/>
      <w:lang w:eastAsia="en-GB" w:bidi="en-US"/>
    </w:rPr>
  </w:style>
  <w:style w:type="paragraph" w:customStyle="1" w:styleId="TableTextBullet">
    <w:name w:val="Table Text Bullet"/>
    <w:basedOn w:val="TableText0"/>
    <w:link w:val="TableTextBulletChar"/>
    <w:uiPriority w:val="3"/>
    <w:qFormat/>
    <w:rsid w:val="00A435F5"/>
    <w:pPr>
      <w:numPr>
        <w:numId w:val="30"/>
      </w:numPr>
    </w:pPr>
  </w:style>
  <w:style w:type="character" w:customStyle="1" w:styleId="TableTextBulletChar">
    <w:name w:val="Table Text Bullet Char"/>
    <w:basedOn w:val="TableTextChar0"/>
    <w:link w:val="TableTextBullet"/>
    <w:uiPriority w:val="3"/>
    <w:rsid w:val="00A435F5"/>
    <w:rPr>
      <w:rFonts w:ascii="Arial" w:hAnsi="Arial" w:cs="Arial"/>
      <w:color w:val="000000" w:themeColor="text1"/>
      <w:sz w:val="20"/>
      <w:szCs w:val="20"/>
      <w:lang w:eastAsia="en-GB"/>
    </w:rPr>
  </w:style>
  <w:style w:type="paragraph" w:customStyle="1" w:styleId="SmTableheadings">
    <w:name w:val="Sm Table headings"/>
    <w:basedOn w:val="Normal"/>
    <w:rsid w:val="00A435F5"/>
    <w:pPr>
      <w:keepNext/>
      <w:spacing w:before="160" w:after="0" w:line="240" w:lineRule="exact"/>
    </w:pPr>
    <w:rPr>
      <w:rFonts w:ascii="Verdana" w:eastAsia="Times New Roman" w:hAnsi="Verdana" w:cs="Times New Roman"/>
      <w:b/>
      <w:sz w:val="16"/>
      <w:szCs w:val="20"/>
      <w:lang w:val="en-US"/>
    </w:rPr>
  </w:style>
  <w:style w:type="paragraph" w:customStyle="1" w:styleId="SmTabletext">
    <w:name w:val="Sm Table text"/>
    <w:basedOn w:val="TableText0"/>
    <w:rsid w:val="00A435F5"/>
    <w:pPr>
      <w:tabs>
        <w:tab w:val="clear" w:pos="0"/>
      </w:tabs>
      <w:spacing w:before="40" w:after="40" w:line="210" w:lineRule="atLeast"/>
    </w:pPr>
    <w:rPr>
      <w:rFonts w:ascii="Verdana" w:eastAsia="Times New Roman" w:hAnsi="Verdana" w:cs="Times New Roman"/>
      <w:color w:val="auto"/>
      <w:spacing w:val="-4"/>
      <w:sz w:val="16"/>
      <w:lang w:val="en-US" w:eastAsia="en-US"/>
    </w:rPr>
  </w:style>
  <w:style w:type="character" w:customStyle="1" w:styleId="highlight">
    <w:name w:val="highlight"/>
    <w:basedOn w:val="DefaultParagraphFont"/>
    <w:rsid w:val="00A435F5"/>
  </w:style>
  <w:style w:type="character" w:styleId="IntenseReference">
    <w:name w:val="Intense Reference"/>
    <w:basedOn w:val="DefaultParagraphFont"/>
    <w:uiPriority w:val="32"/>
    <w:qFormat/>
    <w:rsid w:val="00A435F5"/>
    <w:rPr>
      <w:rFonts w:asciiTheme="majorHAnsi" w:hAnsiTheme="majorHAnsi"/>
      <w:b w:val="0"/>
      <w:bCs/>
      <w:smallCaps/>
      <w:color w:val="4472C4" w:themeColor="accent1"/>
      <w:spacing w:val="5"/>
      <w:sz w:val="18"/>
    </w:rPr>
  </w:style>
  <w:style w:type="character" w:styleId="SubtleReference">
    <w:name w:val="Subtle Reference"/>
    <w:basedOn w:val="DefaultParagraphFont"/>
    <w:uiPriority w:val="31"/>
    <w:qFormat/>
    <w:rsid w:val="00A435F5"/>
    <w:rPr>
      <w:rFonts w:asciiTheme="majorHAnsi" w:hAnsiTheme="majorHAnsi"/>
      <w:smallCaps/>
      <w:color w:val="5A5A5A" w:themeColor="text1" w:themeTint="A5"/>
      <w:sz w:val="18"/>
    </w:rPr>
  </w:style>
  <w:style w:type="paragraph" w:styleId="TOC4">
    <w:name w:val="toc 4"/>
    <w:basedOn w:val="Normal"/>
    <w:next w:val="Normal"/>
    <w:autoRedefine/>
    <w:uiPriority w:val="39"/>
    <w:unhideWhenUsed/>
    <w:rsid w:val="00A82FCD"/>
    <w:pPr>
      <w:spacing w:after="100"/>
      <w:ind w:left="660"/>
    </w:pPr>
    <w:rPr>
      <w:rFonts w:asciiTheme="minorHAnsi" w:eastAsiaTheme="minorEastAsia" w:hAnsiTheme="minorHAnsi"/>
      <w:lang w:eastAsia="en-GB"/>
    </w:rPr>
  </w:style>
  <w:style w:type="paragraph" w:styleId="TOC5">
    <w:name w:val="toc 5"/>
    <w:basedOn w:val="Normal"/>
    <w:next w:val="Normal"/>
    <w:autoRedefine/>
    <w:uiPriority w:val="39"/>
    <w:unhideWhenUsed/>
    <w:rsid w:val="00A82FCD"/>
    <w:pPr>
      <w:spacing w:after="100"/>
      <w:ind w:left="880"/>
    </w:pPr>
    <w:rPr>
      <w:rFonts w:asciiTheme="minorHAnsi" w:eastAsiaTheme="minorEastAsia" w:hAnsiTheme="minorHAnsi"/>
      <w:lang w:eastAsia="en-GB"/>
    </w:rPr>
  </w:style>
  <w:style w:type="paragraph" w:styleId="TOC6">
    <w:name w:val="toc 6"/>
    <w:basedOn w:val="Normal"/>
    <w:next w:val="Normal"/>
    <w:autoRedefine/>
    <w:uiPriority w:val="39"/>
    <w:unhideWhenUsed/>
    <w:rsid w:val="00A82FCD"/>
    <w:pPr>
      <w:spacing w:after="100"/>
      <w:ind w:left="1100"/>
    </w:pPr>
    <w:rPr>
      <w:rFonts w:asciiTheme="minorHAnsi" w:eastAsiaTheme="minorEastAsia" w:hAnsiTheme="minorHAnsi"/>
      <w:lang w:eastAsia="en-GB"/>
    </w:rPr>
  </w:style>
  <w:style w:type="paragraph" w:styleId="TOC7">
    <w:name w:val="toc 7"/>
    <w:basedOn w:val="Normal"/>
    <w:next w:val="Normal"/>
    <w:autoRedefine/>
    <w:uiPriority w:val="39"/>
    <w:unhideWhenUsed/>
    <w:rsid w:val="00A82FCD"/>
    <w:pPr>
      <w:spacing w:after="100"/>
      <w:ind w:left="1320"/>
    </w:pPr>
    <w:rPr>
      <w:rFonts w:asciiTheme="minorHAnsi" w:eastAsiaTheme="minorEastAsia" w:hAnsiTheme="minorHAnsi"/>
      <w:lang w:eastAsia="en-GB"/>
    </w:rPr>
  </w:style>
  <w:style w:type="paragraph" w:styleId="TOC8">
    <w:name w:val="toc 8"/>
    <w:basedOn w:val="Normal"/>
    <w:next w:val="Normal"/>
    <w:autoRedefine/>
    <w:uiPriority w:val="39"/>
    <w:unhideWhenUsed/>
    <w:rsid w:val="00A82FCD"/>
    <w:pPr>
      <w:spacing w:after="100"/>
      <w:ind w:left="1540"/>
    </w:pPr>
    <w:rPr>
      <w:rFonts w:asciiTheme="minorHAnsi" w:eastAsiaTheme="minorEastAsia" w:hAnsiTheme="minorHAnsi"/>
      <w:lang w:eastAsia="en-GB"/>
    </w:rPr>
  </w:style>
  <w:style w:type="paragraph" w:styleId="TOC9">
    <w:name w:val="toc 9"/>
    <w:basedOn w:val="Normal"/>
    <w:next w:val="Normal"/>
    <w:autoRedefine/>
    <w:uiPriority w:val="39"/>
    <w:unhideWhenUsed/>
    <w:rsid w:val="00A82FCD"/>
    <w:pPr>
      <w:spacing w:after="100"/>
      <w:ind w:left="1760"/>
    </w:pPr>
    <w:rPr>
      <w:rFonts w:asciiTheme="minorHAnsi" w:eastAsiaTheme="minorEastAsia" w:hAnsiTheme="minorHAnsi"/>
      <w:lang w:eastAsia="en-GB"/>
    </w:rPr>
  </w:style>
  <w:style w:type="paragraph" w:customStyle="1" w:styleId="MSDBodyText">
    <w:name w:val="MSD Body Text"/>
    <w:qFormat/>
    <w:rsid w:val="002B51CD"/>
    <w:pPr>
      <w:spacing w:after="240" w:line="360" w:lineRule="auto"/>
    </w:pPr>
    <w:rPr>
      <w:rFonts w:ascii="Arial" w:eastAsia="Times New Roman" w:hAnsi="Arial" w:cs="Times New Roman"/>
      <w:sz w:val="24"/>
      <w:szCs w:val="24"/>
    </w:rPr>
  </w:style>
  <w:style w:type="character" w:styleId="EndnoteReference">
    <w:name w:val="endnote reference"/>
    <w:basedOn w:val="DefaultParagraphFont"/>
    <w:uiPriority w:val="99"/>
    <w:semiHidden/>
    <w:unhideWhenUsed/>
    <w:rsid w:val="00F03ACF"/>
    <w:rPr>
      <w:vertAlign w:val="superscript"/>
    </w:rPr>
  </w:style>
  <w:style w:type="paragraph" w:styleId="Bibliography">
    <w:name w:val="Bibliography"/>
    <w:basedOn w:val="Normal"/>
    <w:next w:val="Normal"/>
    <w:uiPriority w:val="37"/>
    <w:unhideWhenUsed/>
    <w:rsid w:val="00D7611D"/>
    <w:pPr>
      <w:tabs>
        <w:tab w:val="left" w:pos="264"/>
      </w:tabs>
      <w:spacing w:after="0" w:line="480" w:lineRule="auto"/>
      <w:ind w:left="264" w:hanging="264"/>
    </w:pPr>
  </w:style>
  <w:style w:type="table" w:styleId="PlainTable1">
    <w:name w:val="Plain Table 1"/>
    <w:basedOn w:val="TableNormal"/>
    <w:uiPriority w:val="41"/>
    <w:rsid w:val="0076185D"/>
    <w:pPr>
      <w:spacing w:after="0" w:line="240" w:lineRule="auto"/>
    </w:pPr>
    <w:rPr>
      <w:rFonts w:ascii="Times New Roman" w:hAnsi="Times New Roman"/>
      <w:sz w:val="24"/>
      <w:szCs w:val="24"/>
      <w:lang w:val="id-ID"/>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scHeading4">
    <w:name w:val="Asc Heading 4"/>
    <w:basedOn w:val="Heading4"/>
    <w:next w:val="AscNormal"/>
    <w:qFormat/>
    <w:rsid w:val="00D159CE"/>
    <w:pPr>
      <w:numPr>
        <w:ilvl w:val="0"/>
        <w:numId w:val="0"/>
      </w:numPr>
      <w:tabs>
        <w:tab w:val="num" w:pos="360"/>
      </w:tabs>
      <w:spacing w:before="40" w:after="0" w:line="240" w:lineRule="auto"/>
    </w:pPr>
    <w:rPr>
      <w:rFonts w:eastAsia="Yu Gothic Light" w:cs="Times New Roman"/>
      <w:b w:val="0"/>
      <w:i/>
      <w:color w:val="002060"/>
      <w:sz w:val="24"/>
      <w:szCs w:val="24"/>
      <w:lang w:val="en-US"/>
    </w:rPr>
  </w:style>
  <w:style w:type="paragraph" w:customStyle="1" w:styleId="AscHeading5">
    <w:name w:val="Asc Heading 5"/>
    <w:basedOn w:val="Heading5"/>
    <w:qFormat/>
    <w:rsid w:val="00D159CE"/>
    <w:pPr>
      <w:numPr>
        <w:ilvl w:val="0"/>
        <w:numId w:val="0"/>
      </w:numPr>
      <w:tabs>
        <w:tab w:val="num" w:pos="360"/>
      </w:tabs>
      <w:spacing w:after="0" w:line="240" w:lineRule="auto"/>
    </w:pPr>
    <w:rPr>
      <w:rFonts w:eastAsia="Yu Gothic Light" w:cs="Times New Roman"/>
      <w:b w:val="0"/>
      <w:i w:val="0"/>
      <w:color w:val="002060"/>
      <w:sz w:val="24"/>
      <w:szCs w:val="24"/>
      <w:lang w:val="en-US"/>
    </w:rPr>
  </w:style>
  <w:style w:type="character" w:customStyle="1" w:styleId="cf11">
    <w:name w:val="cf11"/>
    <w:basedOn w:val="DefaultParagraphFont"/>
    <w:rsid w:val="00285839"/>
    <w:rPr>
      <w:rFonts w:ascii="Segoe UI" w:hAnsi="Segoe UI" w:cs="Segoe UI" w:hint="default"/>
      <w:b/>
      <w:bCs/>
      <w:sz w:val="18"/>
      <w:szCs w:val="18"/>
    </w:rPr>
  </w:style>
  <w:style w:type="table" w:styleId="GridTable1Light">
    <w:name w:val="Grid Table 1 Light"/>
    <w:basedOn w:val="TableNormal"/>
    <w:uiPriority w:val="46"/>
    <w:rsid w:val="00A9491F"/>
    <w:pPr>
      <w:spacing w:after="0" w:line="240" w:lineRule="auto"/>
    </w:pPr>
    <w:rPr>
      <w:rFonts w:ascii="Times New Roman" w:hAnsi="Times New Roman"/>
      <w:sz w:val="24"/>
      <w:szCs w:val="24"/>
      <w:lang w:val="id-ID"/>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odyText2">
    <w:name w:val="Body Text 2"/>
    <w:basedOn w:val="Normal"/>
    <w:link w:val="BodyText2Char"/>
    <w:uiPriority w:val="99"/>
    <w:semiHidden/>
    <w:unhideWhenUsed/>
    <w:rsid w:val="00CF6826"/>
    <w:pPr>
      <w:spacing w:after="120" w:line="480" w:lineRule="auto"/>
    </w:pPr>
  </w:style>
  <w:style w:type="character" w:customStyle="1" w:styleId="BodyText2Char">
    <w:name w:val="Body Text 2 Char"/>
    <w:basedOn w:val="DefaultParagraphFont"/>
    <w:link w:val="BodyText2"/>
    <w:uiPriority w:val="99"/>
    <w:semiHidden/>
    <w:rsid w:val="00CF6826"/>
    <w:rPr>
      <w:rFonts w:ascii="Arial" w:hAnsi="Arial"/>
    </w:rPr>
  </w:style>
  <w:style w:type="character" w:styleId="Strong">
    <w:name w:val="Strong"/>
    <w:basedOn w:val="DefaultParagraphFont"/>
    <w:uiPriority w:val="22"/>
    <w:qFormat/>
    <w:rsid w:val="000B148D"/>
    <w:rPr>
      <w:b/>
      <w:bCs/>
    </w:rPr>
  </w:style>
  <w:style w:type="table" w:customStyle="1" w:styleId="TableGrid0">
    <w:name w:val="TableGrid"/>
    <w:rsid w:val="000B148D"/>
    <w:pPr>
      <w:spacing w:after="0" w:line="240" w:lineRule="auto"/>
    </w:pPr>
    <w:rPr>
      <w:rFonts w:eastAsiaTheme="minorEastAsia"/>
      <w:lang w:eastAsia="en-GB"/>
    </w:rPr>
    <w:tblPr>
      <w:tblCellMar>
        <w:top w:w="0" w:type="dxa"/>
        <w:left w:w="0" w:type="dxa"/>
        <w:bottom w:w="0" w:type="dxa"/>
        <w:right w:w="0" w:type="dxa"/>
      </w:tblCellMar>
    </w:tblPr>
  </w:style>
  <w:style w:type="paragraph" w:styleId="ListNumber">
    <w:name w:val="List Number"/>
    <w:basedOn w:val="BodyText"/>
    <w:qFormat/>
    <w:rsid w:val="000B148D"/>
    <w:pPr>
      <w:numPr>
        <w:numId w:val="41"/>
      </w:numPr>
      <w:spacing w:before="120" w:line="288" w:lineRule="auto"/>
      <w:jc w:val="both"/>
    </w:pPr>
    <w:rPr>
      <w:rFonts w:ascii="Verdana" w:hAnsi="Verdana"/>
      <w:sz w:val="20"/>
      <w:szCs w:val="24"/>
    </w:rPr>
  </w:style>
  <w:style w:type="paragraph" w:styleId="ListNumber2">
    <w:name w:val="List Number 2"/>
    <w:basedOn w:val="BodyText"/>
    <w:qFormat/>
    <w:rsid w:val="000B148D"/>
    <w:pPr>
      <w:numPr>
        <w:ilvl w:val="1"/>
        <w:numId w:val="41"/>
      </w:numPr>
      <w:spacing w:before="120" w:line="288" w:lineRule="auto"/>
      <w:jc w:val="both"/>
    </w:pPr>
    <w:rPr>
      <w:rFonts w:ascii="Verdana" w:hAnsi="Verdana"/>
      <w:sz w:val="20"/>
      <w:szCs w:val="24"/>
    </w:rPr>
  </w:style>
  <w:style w:type="paragraph" w:styleId="ListNumber3">
    <w:name w:val="List Number 3"/>
    <w:basedOn w:val="BodyText"/>
    <w:qFormat/>
    <w:rsid w:val="000B148D"/>
    <w:pPr>
      <w:numPr>
        <w:ilvl w:val="2"/>
        <w:numId w:val="41"/>
      </w:numPr>
      <w:spacing w:before="120" w:line="288" w:lineRule="auto"/>
      <w:jc w:val="both"/>
    </w:pPr>
    <w:rPr>
      <w:rFonts w:ascii="Verdana" w:hAnsi="Verdana"/>
      <w:sz w:val="20"/>
      <w:szCs w:val="24"/>
    </w:rPr>
  </w:style>
  <w:style w:type="paragraph" w:styleId="Subtitle">
    <w:name w:val="Subtitle"/>
    <w:basedOn w:val="Normal"/>
    <w:next w:val="Normal"/>
    <w:link w:val="SubtitleChar"/>
    <w:qFormat/>
    <w:rsid w:val="000B148D"/>
    <w:pPr>
      <w:numPr>
        <w:ilvl w:val="1"/>
      </w:numPr>
      <w:spacing w:after="0" w:line="288" w:lineRule="auto"/>
      <w:jc w:val="center"/>
    </w:pPr>
    <w:rPr>
      <w:rFonts w:ascii="Verdana" w:eastAsiaTheme="minorEastAsia" w:hAnsi="Verdana"/>
      <w:b/>
      <w:sz w:val="32"/>
      <w:szCs w:val="24"/>
    </w:rPr>
  </w:style>
  <w:style w:type="character" w:customStyle="1" w:styleId="SubtitleChar">
    <w:name w:val="Subtitle Char"/>
    <w:basedOn w:val="DefaultParagraphFont"/>
    <w:link w:val="Subtitle"/>
    <w:rsid w:val="000B148D"/>
    <w:rPr>
      <w:rFonts w:ascii="Verdana" w:eastAsiaTheme="minorEastAsia" w:hAnsi="Verdana"/>
      <w:b/>
      <w:sz w:val="32"/>
      <w:szCs w:val="24"/>
    </w:rPr>
  </w:style>
  <w:style w:type="numbering" w:customStyle="1" w:styleId="FieconNumberList">
    <w:name w:val="Fiecon Number List"/>
    <w:basedOn w:val="NoList"/>
    <w:uiPriority w:val="99"/>
    <w:rsid w:val="000B148D"/>
    <w:pPr>
      <w:numPr>
        <w:numId w:val="41"/>
      </w:numPr>
    </w:pPr>
  </w:style>
  <w:style w:type="numbering" w:customStyle="1" w:styleId="EODBullets">
    <w:name w:val="EOD Bullets"/>
    <w:basedOn w:val="NoList"/>
    <w:uiPriority w:val="99"/>
    <w:rsid w:val="000B148D"/>
    <w:pPr>
      <w:numPr>
        <w:numId w:val="42"/>
      </w:numPr>
    </w:pPr>
  </w:style>
  <w:style w:type="paragraph" w:styleId="EndnoteText">
    <w:name w:val="endnote text"/>
    <w:basedOn w:val="Normal"/>
    <w:link w:val="EndnoteTextChar"/>
    <w:uiPriority w:val="99"/>
    <w:semiHidden/>
    <w:unhideWhenUsed/>
    <w:rsid w:val="000B148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148D"/>
    <w:rPr>
      <w:rFonts w:ascii="Arial" w:hAnsi="Arial"/>
      <w:sz w:val="20"/>
      <w:szCs w:val="20"/>
    </w:rPr>
  </w:style>
  <w:style w:type="character" w:styleId="Hashtag">
    <w:name w:val="Hashtag"/>
    <w:basedOn w:val="DefaultParagraphFont"/>
    <w:uiPriority w:val="99"/>
    <w:unhideWhenUsed/>
    <w:rsid w:val="000B148D"/>
    <w:rPr>
      <w:color w:val="2B579A"/>
      <w:shd w:val="clear" w:color="auto" w:fill="E1DFDD"/>
    </w:rPr>
  </w:style>
  <w:style w:type="paragraph" w:customStyle="1" w:styleId="Bulletindent2">
    <w:name w:val="Bullet indent 2"/>
    <w:basedOn w:val="NICEnormal"/>
    <w:rsid w:val="000B148D"/>
    <w:pPr>
      <w:numPr>
        <w:ilvl w:val="1"/>
        <w:numId w:val="46"/>
      </w:numPr>
      <w:spacing w:after="0" w:line="360" w:lineRule="auto"/>
    </w:pPr>
    <w:rPr>
      <w:rFonts w:eastAsia="Times New Roman" w:cs="Times New Roman"/>
      <w:sz w:val="24"/>
      <w:szCs w:val="24"/>
    </w:rPr>
  </w:style>
  <w:style w:type="paragraph" w:customStyle="1" w:styleId="C-TableText">
    <w:name w:val="C-Table Text"/>
    <w:link w:val="C-TableTextChar"/>
    <w:rsid w:val="000B148D"/>
    <w:pPr>
      <w:spacing w:before="60" w:after="60" w:line="240" w:lineRule="auto"/>
    </w:pPr>
    <w:rPr>
      <w:rFonts w:ascii="Times New Roman" w:eastAsia="Times New Roman" w:hAnsi="Times New Roman" w:cs="Times New Roman"/>
      <w:szCs w:val="20"/>
      <w:lang w:val="en-US"/>
    </w:rPr>
  </w:style>
  <w:style w:type="character" w:customStyle="1" w:styleId="C-TableTextChar">
    <w:name w:val="C-Table Text Char"/>
    <w:link w:val="C-TableText"/>
    <w:locked/>
    <w:rsid w:val="000B148D"/>
    <w:rPr>
      <w:rFonts w:ascii="Times New Roman" w:eastAsia="Times New Roman" w:hAnsi="Times New Roman" w:cs="Times New Roman"/>
      <w:szCs w:val="20"/>
      <w:lang w:val="en-US"/>
    </w:rPr>
  </w:style>
  <w:style w:type="character" w:customStyle="1" w:styleId="CaptionChar">
    <w:name w:val="Caption Char"/>
    <w:aliases w:val="Asc Table/Figure Caption Char,Table Caption Char,NICE Caption Char,- H17 Char,Bayer Caption Char,IB Caption Char,Medical Caption Char,B Caption Char,Caption - H17 Char,Table Caption 1 Char,Figure caption Char,Figure caption1 Char Char Char"/>
    <w:basedOn w:val="DefaultParagraphFont"/>
    <w:link w:val="Caption"/>
    <w:uiPriority w:val="35"/>
    <w:rsid w:val="00C57194"/>
    <w:rPr>
      <w:rFonts w:ascii="Arial" w:hAnsi="Arial"/>
      <w:b/>
      <w:iCs/>
      <w:szCs w:val="18"/>
    </w:rPr>
  </w:style>
  <w:style w:type="paragraph" w:customStyle="1" w:styleId="AscTableFigureText">
    <w:name w:val="Asc Table/Figure Text"/>
    <w:basedOn w:val="NoSpacing"/>
    <w:qFormat/>
    <w:rsid w:val="00670187"/>
    <w:rPr>
      <w:rFonts w:ascii="Calibri Light" w:eastAsia="Times New Roman" w:hAnsi="Calibri Light" w:cs="Times New Roman"/>
      <w:sz w:val="20"/>
      <w:szCs w:val="24"/>
      <w:lang w:val="en-US"/>
    </w:rPr>
  </w:style>
  <w:style w:type="paragraph" w:customStyle="1" w:styleId="Answer">
    <w:name w:val="Answer"/>
    <w:basedOn w:val="NICEnormal"/>
    <w:link w:val="AnswerCharChar"/>
    <w:qFormat/>
    <w:rsid w:val="00670187"/>
    <w:pPr>
      <w:spacing w:before="120" w:after="120" w:line="300" w:lineRule="auto"/>
      <w:jc w:val="both"/>
    </w:pPr>
    <w:rPr>
      <w:rFonts w:eastAsia="Times New Roman" w:cs="Times New Roman"/>
    </w:rPr>
  </w:style>
  <w:style w:type="character" w:customStyle="1" w:styleId="AnswerCharChar">
    <w:name w:val="Answer Char Char"/>
    <w:link w:val="Answer"/>
    <w:rsid w:val="00670187"/>
    <w:rPr>
      <w:rFonts w:ascii="Arial" w:eastAsia="Times New Roman" w:hAnsi="Arial" w:cs="Times New Roman"/>
    </w:rPr>
  </w:style>
  <w:style w:type="character" w:customStyle="1" w:styleId="ui-provider">
    <w:name w:val="ui-provider"/>
    <w:basedOn w:val="DefaultParagraphFont"/>
    <w:rsid w:val="00670187"/>
  </w:style>
  <w:style w:type="paragraph" w:customStyle="1" w:styleId="ck-editor-image-container">
    <w:name w:val="ck-editor-image-container"/>
    <w:basedOn w:val="Normal"/>
    <w:rsid w:val="0067018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BodyText">
    <w:name w:val="C-Body Text"/>
    <w:link w:val="C-BodyTextChar"/>
    <w:qFormat/>
    <w:rsid w:val="00D036B2"/>
    <w:pPr>
      <w:spacing w:before="120" w:after="120" w:line="280" w:lineRule="atLeast"/>
    </w:pPr>
    <w:rPr>
      <w:rFonts w:ascii="Times New Roman" w:eastAsiaTheme="minorEastAsia" w:hAnsi="Times New Roman" w:cs="Times New Roman"/>
      <w:sz w:val="24"/>
      <w:szCs w:val="20"/>
      <w:lang w:val="en-US"/>
    </w:rPr>
  </w:style>
  <w:style w:type="character" w:customStyle="1" w:styleId="C-BodyTextChar">
    <w:name w:val="C-Body Text Char"/>
    <w:link w:val="C-BodyText"/>
    <w:rsid w:val="00D036B2"/>
    <w:rPr>
      <w:rFonts w:ascii="Times New Roman" w:eastAsiaTheme="minorEastAsia" w:hAnsi="Times New Roman" w:cs="Times New Roman"/>
      <w:sz w:val="24"/>
      <w:szCs w:val="20"/>
      <w:lang w:val="en-US"/>
    </w:rPr>
  </w:style>
  <w:style w:type="table" w:customStyle="1" w:styleId="EVDCLL1">
    <w:name w:val="EVD CLL1"/>
    <w:basedOn w:val="TableNormal"/>
    <w:next w:val="TableGrid"/>
    <w:uiPriority w:val="39"/>
    <w:rsid w:val="00D34DFD"/>
    <w:pPr>
      <w:spacing w:after="0" w:line="240" w:lineRule="auto"/>
    </w:pPr>
    <w:rPr>
      <w:rFonts w:ascii="Verdana" w:hAnsi="Verdana"/>
      <w:szCs w:val="24"/>
    </w:rPr>
    <w:tblPr>
      <w:tblCellMar>
        <w:left w:w="0" w:type="dxa"/>
        <w:right w:w="0" w:type="dxa"/>
      </w:tblCellMar>
    </w:tblPr>
  </w:style>
  <w:style w:type="table" w:customStyle="1" w:styleId="EVDCLL11">
    <w:name w:val="EVD CLL11"/>
    <w:basedOn w:val="TableNormal"/>
    <w:next w:val="TableGrid"/>
    <w:uiPriority w:val="39"/>
    <w:rsid w:val="00A71613"/>
    <w:pPr>
      <w:spacing w:after="0" w:line="240" w:lineRule="auto"/>
    </w:pPr>
    <w:rPr>
      <w:rFonts w:ascii="Verdana" w:eastAsia="Times New Roman" w:hAnsi="Verdana" w:cs="Arial"/>
      <w:szCs w:val="24"/>
    </w:rPr>
    <w:tblPr>
      <w:tblCellMar>
        <w:left w:w="0" w:type="dxa"/>
        <w:right w:w="0" w:type="dxa"/>
      </w:tblCellMar>
    </w:tblPr>
  </w:style>
  <w:style w:type="table" w:customStyle="1" w:styleId="EVDCLL12">
    <w:name w:val="EVD CLL12"/>
    <w:basedOn w:val="TableNormal"/>
    <w:next w:val="TableGrid"/>
    <w:uiPriority w:val="39"/>
    <w:rsid w:val="002822EC"/>
    <w:pPr>
      <w:spacing w:after="0" w:line="240" w:lineRule="auto"/>
    </w:pPr>
    <w:rPr>
      <w:rFonts w:ascii="Verdana" w:eastAsia="Times New Roman" w:hAnsi="Verdana" w:cs="Arial"/>
      <w:szCs w:val="24"/>
    </w:rPr>
    <w:tblPr>
      <w:tblCellMar>
        <w:left w:w="0" w:type="dxa"/>
        <w:right w:w="0" w:type="dxa"/>
      </w:tblCellMar>
    </w:tblPr>
  </w:style>
  <w:style w:type="table" w:customStyle="1" w:styleId="EVDCLL13">
    <w:name w:val="EVD CLL13"/>
    <w:basedOn w:val="TableNormal"/>
    <w:next w:val="TableGrid"/>
    <w:uiPriority w:val="39"/>
    <w:rsid w:val="00E33470"/>
    <w:pPr>
      <w:spacing w:after="0" w:line="240" w:lineRule="auto"/>
    </w:pPr>
    <w:rPr>
      <w:rFonts w:ascii="Verdana" w:eastAsia="Times New Roman" w:hAnsi="Verdana" w:cs="Arial"/>
      <w:szCs w:val="24"/>
    </w:rPr>
    <w:tblPr>
      <w:tblCellMar>
        <w:left w:w="0" w:type="dxa"/>
        <w:right w:w="0" w:type="dxa"/>
      </w:tblCellMar>
    </w:tblPr>
  </w:style>
  <w:style w:type="table" w:customStyle="1" w:styleId="EVDCLL14">
    <w:name w:val="EVD CLL14"/>
    <w:basedOn w:val="TableNormal"/>
    <w:next w:val="TableGrid"/>
    <w:uiPriority w:val="39"/>
    <w:rsid w:val="00B165D3"/>
    <w:pPr>
      <w:spacing w:after="0" w:line="240" w:lineRule="auto"/>
    </w:pPr>
    <w:rPr>
      <w:rFonts w:ascii="Verdana" w:eastAsia="Times New Roman" w:hAnsi="Verdana" w:cs="Arial"/>
      <w:szCs w:val="24"/>
    </w:rPr>
    <w:tblPr>
      <w:tblCellMar>
        <w:left w:w="0" w:type="dxa"/>
        <w:right w:w="0" w:type="dxa"/>
      </w:tblCellMar>
    </w:tblPr>
  </w:style>
  <w:style w:type="table" w:customStyle="1" w:styleId="EVDCLL15">
    <w:name w:val="EVD CLL15"/>
    <w:basedOn w:val="TableNormal"/>
    <w:next w:val="TableGrid"/>
    <w:uiPriority w:val="39"/>
    <w:rsid w:val="00CB0FB5"/>
    <w:pPr>
      <w:spacing w:after="0" w:line="240" w:lineRule="auto"/>
    </w:pPr>
    <w:rPr>
      <w:rFonts w:ascii="Verdana" w:eastAsia="Times New Roman" w:hAnsi="Verdana" w:cs="Arial"/>
      <w:szCs w:val="24"/>
    </w:rPr>
    <w:tblPr>
      <w:tblCellMar>
        <w:left w:w="0" w:type="dxa"/>
        <w:right w:w="0" w:type="dxa"/>
      </w:tblCellMar>
    </w:tblPr>
  </w:style>
  <w:style w:type="table" w:customStyle="1" w:styleId="EVDCLL16">
    <w:name w:val="EVD CLL16"/>
    <w:basedOn w:val="TableNormal"/>
    <w:next w:val="TableGrid"/>
    <w:uiPriority w:val="39"/>
    <w:rsid w:val="006228C5"/>
    <w:pPr>
      <w:spacing w:after="0" w:line="240" w:lineRule="auto"/>
    </w:pPr>
    <w:rPr>
      <w:rFonts w:ascii="Verdana" w:eastAsia="Times New Roman" w:hAnsi="Verdana" w:cs="Arial"/>
      <w:szCs w:val="24"/>
    </w:rPr>
    <w:tblPr>
      <w:tblCellMar>
        <w:left w:w="0" w:type="dxa"/>
        <w:right w:w="0" w:type="dxa"/>
      </w:tblCellMar>
    </w:tblPr>
  </w:style>
  <w:style w:type="table" w:customStyle="1" w:styleId="EVDCLL17">
    <w:name w:val="EVD CLL17"/>
    <w:basedOn w:val="TableNormal"/>
    <w:next w:val="TableGrid"/>
    <w:uiPriority w:val="39"/>
    <w:rsid w:val="006228C5"/>
    <w:pPr>
      <w:spacing w:after="0" w:line="240" w:lineRule="auto"/>
    </w:pPr>
    <w:rPr>
      <w:rFonts w:ascii="Verdana" w:eastAsia="Times New Roman" w:hAnsi="Verdana" w:cs="Arial"/>
      <w:szCs w:val="24"/>
    </w:rPr>
    <w:tblPr>
      <w:tblCellMar>
        <w:left w:w="0" w:type="dxa"/>
        <w:right w:w="0" w:type="dxa"/>
      </w:tblCellMar>
    </w:tblPr>
  </w:style>
  <w:style w:type="table" w:customStyle="1" w:styleId="EVDCLL18">
    <w:name w:val="EVD CLL18"/>
    <w:basedOn w:val="TableNormal"/>
    <w:next w:val="TableGrid"/>
    <w:uiPriority w:val="39"/>
    <w:rsid w:val="00846980"/>
    <w:pPr>
      <w:spacing w:after="0" w:line="240" w:lineRule="auto"/>
    </w:pPr>
    <w:rPr>
      <w:rFonts w:ascii="Verdana" w:eastAsia="Times New Roman" w:hAnsi="Verdana" w:cs="Arial"/>
      <w:szCs w:val="24"/>
    </w:rPr>
    <w:tblPr>
      <w:tblCellMar>
        <w:left w:w="0" w:type="dxa"/>
        <w:right w:w="0" w:type="dxa"/>
      </w:tblCellMar>
    </w:tblPr>
  </w:style>
  <w:style w:type="table" w:customStyle="1" w:styleId="EVDCLL19">
    <w:name w:val="EVD CLL19"/>
    <w:basedOn w:val="TableNormal"/>
    <w:next w:val="TableGrid"/>
    <w:uiPriority w:val="39"/>
    <w:rsid w:val="00BC4B11"/>
    <w:pPr>
      <w:spacing w:after="0" w:line="240" w:lineRule="auto"/>
    </w:pPr>
    <w:rPr>
      <w:rFonts w:ascii="Verdana" w:eastAsia="Times New Roman" w:hAnsi="Verdana" w:cs="Arial"/>
      <w:szCs w:val="24"/>
    </w:rPr>
    <w:tblPr>
      <w:tblCellMar>
        <w:left w:w="0" w:type="dxa"/>
        <w:right w:w="0" w:type="dxa"/>
      </w:tblCellMar>
    </w:tblPr>
  </w:style>
  <w:style w:type="table" w:customStyle="1" w:styleId="EVDCLL110">
    <w:name w:val="EVD CLL110"/>
    <w:basedOn w:val="TableNormal"/>
    <w:next w:val="TableGrid"/>
    <w:uiPriority w:val="39"/>
    <w:rsid w:val="00BB73D1"/>
    <w:pPr>
      <w:spacing w:after="0" w:line="240" w:lineRule="auto"/>
    </w:pPr>
    <w:rPr>
      <w:rFonts w:ascii="Verdana" w:eastAsia="Times New Roman" w:hAnsi="Verdana" w:cs="Arial"/>
      <w:szCs w:val="24"/>
    </w:rPr>
    <w:tblPr>
      <w:tblCellMar>
        <w:left w:w="0" w:type="dxa"/>
        <w:right w:w="0" w:type="dxa"/>
      </w:tblCellMar>
    </w:tblPr>
  </w:style>
  <w:style w:type="table" w:styleId="PlainTable2">
    <w:name w:val="Plain Table 2"/>
    <w:basedOn w:val="TableNormal"/>
    <w:uiPriority w:val="42"/>
    <w:rsid w:val="00F63F48"/>
    <w:pPr>
      <w:spacing w:before="100" w:after="0" w:line="240" w:lineRule="auto"/>
    </w:pPr>
    <w:rPr>
      <w:rFonts w:eastAsiaTheme="minorEastAsia"/>
      <w:sz w:val="20"/>
      <w:szCs w:val="20"/>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466899">
      <w:bodyDiv w:val="1"/>
      <w:marLeft w:val="0"/>
      <w:marRight w:val="0"/>
      <w:marTop w:val="0"/>
      <w:marBottom w:val="0"/>
      <w:divBdr>
        <w:top w:val="none" w:sz="0" w:space="0" w:color="auto"/>
        <w:left w:val="none" w:sz="0" w:space="0" w:color="auto"/>
        <w:bottom w:val="none" w:sz="0" w:space="0" w:color="auto"/>
        <w:right w:val="none" w:sz="0" w:space="0" w:color="auto"/>
      </w:divBdr>
    </w:div>
    <w:div w:id="43405419">
      <w:bodyDiv w:val="1"/>
      <w:marLeft w:val="0"/>
      <w:marRight w:val="0"/>
      <w:marTop w:val="0"/>
      <w:marBottom w:val="0"/>
      <w:divBdr>
        <w:top w:val="none" w:sz="0" w:space="0" w:color="auto"/>
        <w:left w:val="none" w:sz="0" w:space="0" w:color="auto"/>
        <w:bottom w:val="none" w:sz="0" w:space="0" w:color="auto"/>
        <w:right w:val="none" w:sz="0" w:space="0" w:color="auto"/>
      </w:divBdr>
    </w:div>
    <w:div w:id="51780054">
      <w:bodyDiv w:val="1"/>
      <w:marLeft w:val="0"/>
      <w:marRight w:val="0"/>
      <w:marTop w:val="0"/>
      <w:marBottom w:val="0"/>
      <w:divBdr>
        <w:top w:val="none" w:sz="0" w:space="0" w:color="auto"/>
        <w:left w:val="none" w:sz="0" w:space="0" w:color="auto"/>
        <w:bottom w:val="none" w:sz="0" w:space="0" w:color="auto"/>
        <w:right w:val="none" w:sz="0" w:space="0" w:color="auto"/>
      </w:divBdr>
    </w:div>
    <w:div w:id="116219732">
      <w:bodyDiv w:val="1"/>
      <w:marLeft w:val="0"/>
      <w:marRight w:val="0"/>
      <w:marTop w:val="0"/>
      <w:marBottom w:val="0"/>
      <w:divBdr>
        <w:top w:val="none" w:sz="0" w:space="0" w:color="auto"/>
        <w:left w:val="none" w:sz="0" w:space="0" w:color="auto"/>
        <w:bottom w:val="none" w:sz="0" w:space="0" w:color="auto"/>
        <w:right w:val="none" w:sz="0" w:space="0" w:color="auto"/>
      </w:divBdr>
    </w:div>
    <w:div w:id="134614032">
      <w:bodyDiv w:val="1"/>
      <w:marLeft w:val="0"/>
      <w:marRight w:val="0"/>
      <w:marTop w:val="0"/>
      <w:marBottom w:val="0"/>
      <w:divBdr>
        <w:top w:val="none" w:sz="0" w:space="0" w:color="auto"/>
        <w:left w:val="none" w:sz="0" w:space="0" w:color="auto"/>
        <w:bottom w:val="none" w:sz="0" w:space="0" w:color="auto"/>
        <w:right w:val="none" w:sz="0" w:space="0" w:color="auto"/>
      </w:divBdr>
    </w:div>
    <w:div w:id="142738645">
      <w:bodyDiv w:val="1"/>
      <w:marLeft w:val="0"/>
      <w:marRight w:val="0"/>
      <w:marTop w:val="0"/>
      <w:marBottom w:val="0"/>
      <w:divBdr>
        <w:top w:val="none" w:sz="0" w:space="0" w:color="auto"/>
        <w:left w:val="none" w:sz="0" w:space="0" w:color="auto"/>
        <w:bottom w:val="none" w:sz="0" w:space="0" w:color="auto"/>
        <w:right w:val="none" w:sz="0" w:space="0" w:color="auto"/>
      </w:divBdr>
    </w:div>
    <w:div w:id="225460393">
      <w:bodyDiv w:val="1"/>
      <w:marLeft w:val="0"/>
      <w:marRight w:val="0"/>
      <w:marTop w:val="0"/>
      <w:marBottom w:val="0"/>
      <w:divBdr>
        <w:top w:val="none" w:sz="0" w:space="0" w:color="auto"/>
        <w:left w:val="none" w:sz="0" w:space="0" w:color="auto"/>
        <w:bottom w:val="none" w:sz="0" w:space="0" w:color="auto"/>
        <w:right w:val="none" w:sz="0" w:space="0" w:color="auto"/>
      </w:divBdr>
    </w:div>
    <w:div w:id="239102780">
      <w:bodyDiv w:val="1"/>
      <w:marLeft w:val="0"/>
      <w:marRight w:val="0"/>
      <w:marTop w:val="0"/>
      <w:marBottom w:val="0"/>
      <w:divBdr>
        <w:top w:val="none" w:sz="0" w:space="0" w:color="auto"/>
        <w:left w:val="none" w:sz="0" w:space="0" w:color="auto"/>
        <w:bottom w:val="none" w:sz="0" w:space="0" w:color="auto"/>
        <w:right w:val="none" w:sz="0" w:space="0" w:color="auto"/>
      </w:divBdr>
      <w:divsChild>
        <w:div w:id="1403485023">
          <w:marLeft w:val="0"/>
          <w:marRight w:val="0"/>
          <w:marTop w:val="0"/>
          <w:marBottom w:val="0"/>
          <w:divBdr>
            <w:top w:val="none" w:sz="0" w:space="0" w:color="auto"/>
            <w:left w:val="none" w:sz="0" w:space="0" w:color="auto"/>
            <w:bottom w:val="none" w:sz="0" w:space="0" w:color="auto"/>
            <w:right w:val="none" w:sz="0" w:space="0" w:color="auto"/>
          </w:divBdr>
        </w:div>
      </w:divsChild>
    </w:div>
    <w:div w:id="269317248">
      <w:bodyDiv w:val="1"/>
      <w:marLeft w:val="0"/>
      <w:marRight w:val="0"/>
      <w:marTop w:val="0"/>
      <w:marBottom w:val="0"/>
      <w:divBdr>
        <w:top w:val="none" w:sz="0" w:space="0" w:color="auto"/>
        <w:left w:val="none" w:sz="0" w:space="0" w:color="auto"/>
        <w:bottom w:val="none" w:sz="0" w:space="0" w:color="auto"/>
        <w:right w:val="none" w:sz="0" w:space="0" w:color="auto"/>
      </w:divBdr>
      <w:divsChild>
        <w:div w:id="799225004">
          <w:marLeft w:val="0"/>
          <w:marRight w:val="0"/>
          <w:marTop w:val="0"/>
          <w:marBottom w:val="0"/>
          <w:divBdr>
            <w:top w:val="none" w:sz="0" w:space="0" w:color="auto"/>
            <w:left w:val="none" w:sz="0" w:space="0" w:color="auto"/>
            <w:bottom w:val="none" w:sz="0" w:space="0" w:color="auto"/>
            <w:right w:val="none" w:sz="0" w:space="0" w:color="auto"/>
          </w:divBdr>
        </w:div>
      </w:divsChild>
    </w:div>
    <w:div w:id="284164396">
      <w:bodyDiv w:val="1"/>
      <w:marLeft w:val="0"/>
      <w:marRight w:val="0"/>
      <w:marTop w:val="0"/>
      <w:marBottom w:val="0"/>
      <w:divBdr>
        <w:top w:val="none" w:sz="0" w:space="0" w:color="auto"/>
        <w:left w:val="none" w:sz="0" w:space="0" w:color="auto"/>
        <w:bottom w:val="none" w:sz="0" w:space="0" w:color="auto"/>
        <w:right w:val="none" w:sz="0" w:space="0" w:color="auto"/>
      </w:divBdr>
    </w:div>
    <w:div w:id="307128566">
      <w:bodyDiv w:val="1"/>
      <w:marLeft w:val="0"/>
      <w:marRight w:val="0"/>
      <w:marTop w:val="0"/>
      <w:marBottom w:val="0"/>
      <w:divBdr>
        <w:top w:val="none" w:sz="0" w:space="0" w:color="auto"/>
        <w:left w:val="none" w:sz="0" w:space="0" w:color="auto"/>
        <w:bottom w:val="none" w:sz="0" w:space="0" w:color="auto"/>
        <w:right w:val="none" w:sz="0" w:space="0" w:color="auto"/>
      </w:divBdr>
      <w:divsChild>
        <w:div w:id="98454184">
          <w:marLeft w:val="446"/>
          <w:marRight w:val="0"/>
          <w:marTop w:val="67"/>
          <w:marBottom w:val="0"/>
          <w:divBdr>
            <w:top w:val="none" w:sz="0" w:space="0" w:color="auto"/>
            <w:left w:val="none" w:sz="0" w:space="0" w:color="auto"/>
            <w:bottom w:val="none" w:sz="0" w:space="0" w:color="auto"/>
            <w:right w:val="none" w:sz="0" w:space="0" w:color="auto"/>
          </w:divBdr>
        </w:div>
        <w:div w:id="250742271">
          <w:marLeft w:val="446"/>
          <w:marRight w:val="0"/>
          <w:marTop w:val="67"/>
          <w:marBottom w:val="0"/>
          <w:divBdr>
            <w:top w:val="none" w:sz="0" w:space="0" w:color="auto"/>
            <w:left w:val="none" w:sz="0" w:space="0" w:color="auto"/>
            <w:bottom w:val="none" w:sz="0" w:space="0" w:color="auto"/>
            <w:right w:val="none" w:sz="0" w:space="0" w:color="auto"/>
          </w:divBdr>
        </w:div>
      </w:divsChild>
    </w:div>
    <w:div w:id="360404609">
      <w:bodyDiv w:val="1"/>
      <w:marLeft w:val="0"/>
      <w:marRight w:val="0"/>
      <w:marTop w:val="0"/>
      <w:marBottom w:val="0"/>
      <w:divBdr>
        <w:top w:val="none" w:sz="0" w:space="0" w:color="auto"/>
        <w:left w:val="none" w:sz="0" w:space="0" w:color="auto"/>
        <w:bottom w:val="none" w:sz="0" w:space="0" w:color="auto"/>
        <w:right w:val="none" w:sz="0" w:space="0" w:color="auto"/>
      </w:divBdr>
    </w:div>
    <w:div w:id="381486287">
      <w:bodyDiv w:val="1"/>
      <w:marLeft w:val="0"/>
      <w:marRight w:val="0"/>
      <w:marTop w:val="0"/>
      <w:marBottom w:val="0"/>
      <w:divBdr>
        <w:top w:val="none" w:sz="0" w:space="0" w:color="auto"/>
        <w:left w:val="none" w:sz="0" w:space="0" w:color="auto"/>
        <w:bottom w:val="none" w:sz="0" w:space="0" w:color="auto"/>
        <w:right w:val="none" w:sz="0" w:space="0" w:color="auto"/>
      </w:divBdr>
      <w:divsChild>
        <w:div w:id="463693235">
          <w:marLeft w:val="274"/>
          <w:marRight w:val="0"/>
          <w:marTop w:val="0"/>
          <w:marBottom w:val="0"/>
          <w:divBdr>
            <w:top w:val="none" w:sz="0" w:space="0" w:color="auto"/>
            <w:left w:val="none" w:sz="0" w:space="0" w:color="auto"/>
            <w:bottom w:val="none" w:sz="0" w:space="0" w:color="auto"/>
            <w:right w:val="none" w:sz="0" w:space="0" w:color="auto"/>
          </w:divBdr>
        </w:div>
        <w:div w:id="730226689">
          <w:marLeft w:val="274"/>
          <w:marRight w:val="0"/>
          <w:marTop w:val="0"/>
          <w:marBottom w:val="0"/>
          <w:divBdr>
            <w:top w:val="none" w:sz="0" w:space="0" w:color="auto"/>
            <w:left w:val="none" w:sz="0" w:space="0" w:color="auto"/>
            <w:bottom w:val="none" w:sz="0" w:space="0" w:color="auto"/>
            <w:right w:val="none" w:sz="0" w:space="0" w:color="auto"/>
          </w:divBdr>
        </w:div>
        <w:div w:id="932205501">
          <w:marLeft w:val="274"/>
          <w:marRight w:val="0"/>
          <w:marTop w:val="0"/>
          <w:marBottom w:val="0"/>
          <w:divBdr>
            <w:top w:val="none" w:sz="0" w:space="0" w:color="auto"/>
            <w:left w:val="none" w:sz="0" w:space="0" w:color="auto"/>
            <w:bottom w:val="none" w:sz="0" w:space="0" w:color="auto"/>
            <w:right w:val="none" w:sz="0" w:space="0" w:color="auto"/>
          </w:divBdr>
        </w:div>
      </w:divsChild>
    </w:div>
    <w:div w:id="404882933">
      <w:bodyDiv w:val="1"/>
      <w:marLeft w:val="0"/>
      <w:marRight w:val="0"/>
      <w:marTop w:val="0"/>
      <w:marBottom w:val="0"/>
      <w:divBdr>
        <w:top w:val="none" w:sz="0" w:space="0" w:color="auto"/>
        <w:left w:val="none" w:sz="0" w:space="0" w:color="auto"/>
        <w:bottom w:val="none" w:sz="0" w:space="0" w:color="auto"/>
        <w:right w:val="none" w:sz="0" w:space="0" w:color="auto"/>
      </w:divBdr>
    </w:div>
    <w:div w:id="426775534">
      <w:bodyDiv w:val="1"/>
      <w:marLeft w:val="0"/>
      <w:marRight w:val="0"/>
      <w:marTop w:val="0"/>
      <w:marBottom w:val="0"/>
      <w:divBdr>
        <w:top w:val="none" w:sz="0" w:space="0" w:color="auto"/>
        <w:left w:val="none" w:sz="0" w:space="0" w:color="auto"/>
        <w:bottom w:val="none" w:sz="0" w:space="0" w:color="auto"/>
        <w:right w:val="none" w:sz="0" w:space="0" w:color="auto"/>
      </w:divBdr>
    </w:div>
    <w:div w:id="439884643">
      <w:bodyDiv w:val="1"/>
      <w:marLeft w:val="0"/>
      <w:marRight w:val="0"/>
      <w:marTop w:val="0"/>
      <w:marBottom w:val="0"/>
      <w:divBdr>
        <w:top w:val="none" w:sz="0" w:space="0" w:color="auto"/>
        <w:left w:val="none" w:sz="0" w:space="0" w:color="auto"/>
        <w:bottom w:val="none" w:sz="0" w:space="0" w:color="auto"/>
        <w:right w:val="none" w:sz="0" w:space="0" w:color="auto"/>
      </w:divBdr>
    </w:div>
    <w:div w:id="464932129">
      <w:bodyDiv w:val="1"/>
      <w:marLeft w:val="0"/>
      <w:marRight w:val="0"/>
      <w:marTop w:val="0"/>
      <w:marBottom w:val="0"/>
      <w:divBdr>
        <w:top w:val="none" w:sz="0" w:space="0" w:color="auto"/>
        <w:left w:val="none" w:sz="0" w:space="0" w:color="auto"/>
        <w:bottom w:val="none" w:sz="0" w:space="0" w:color="auto"/>
        <w:right w:val="none" w:sz="0" w:space="0" w:color="auto"/>
      </w:divBdr>
    </w:div>
    <w:div w:id="478304247">
      <w:bodyDiv w:val="1"/>
      <w:marLeft w:val="0"/>
      <w:marRight w:val="0"/>
      <w:marTop w:val="0"/>
      <w:marBottom w:val="0"/>
      <w:divBdr>
        <w:top w:val="none" w:sz="0" w:space="0" w:color="auto"/>
        <w:left w:val="none" w:sz="0" w:space="0" w:color="auto"/>
        <w:bottom w:val="none" w:sz="0" w:space="0" w:color="auto"/>
        <w:right w:val="none" w:sz="0" w:space="0" w:color="auto"/>
      </w:divBdr>
    </w:div>
    <w:div w:id="516121640">
      <w:bodyDiv w:val="1"/>
      <w:marLeft w:val="0"/>
      <w:marRight w:val="0"/>
      <w:marTop w:val="0"/>
      <w:marBottom w:val="0"/>
      <w:divBdr>
        <w:top w:val="none" w:sz="0" w:space="0" w:color="auto"/>
        <w:left w:val="none" w:sz="0" w:space="0" w:color="auto"/>
        <w:bottom w:val="none" w:sz="0" w:space="0" w:color="auto"/>
        <w:right w:val="none" w:sz="0" w:space="0" w:color="auto"/>
      </w:divBdr>
    </w:div>
    <w:div w:id="520778666">
      <w:bodyDiv w:val="1"/>
      <w:marLeft w:val="0"/>
      <w:marRight w:val="0"/>
      <w:marTop w:val="0"/>
      <w:marBottom w:val="0"/>
      <w:divBdr>
        <w:top w:val="none" w:sz="0" w:space="0" w:color="auto"/>
        <w:left w:val="none" w:sz="0" w:space="0" w:color="auto"/>
        <w:bottom w:val="none" w:sz="0" w:space="0" w:color="auto"/>
        <w:right w:val="none" w:sz="0" w:space="0" w:color="auto"/>
      </w:divBdr>
    </w:div>
    <w:div w:id="524099226">
      <w:bodyDiv w:val="1"/>
      <w:marLeft w:val="0"/>
      <w:marRight w:val="0"/>
      <w:marTop w:val="0"/>
      <w:marBottom w:val="0"/>
      <w:divBdr>
        <w:top w:val="none" w:sz="0" w:space="0" w:color="auto"/>
        <w:left w:val="none" w:sz="0" w:space="0" w:color="auto"/>
        <w:bottom w:val="none" w:sz="0" w:space="0" w:color="auto"/>
        <w:right w:val="none" w:sz="0" w:space="0" w:color="auto"/>
      </w:divBdr>
      <w:divsChild>
        <w:div w:id="1012026924">
          <w:marLeft w:val="446"/>
          <w:marRight w:val="0"/>
          <w:marTop w:val="77"/>
          <w:marBottom w:val="0"/>
          <w:divBdr>
            <w:top w:val="none" w:sz="0" w:space="0" w:color="auto"/>
            <w:left w:val="none" w:sz="0" w:space="0" w:color="auto"/>
            <w:bottom w:val="none" w:sz="0" w:space="0" w:color="auto"/>
            <w:right w:val="none" w:sz="0" w:space="0" w:color="auto"/>
          </w:divBdr>
        </w:div>
      </w:divsChild>
    </w:div>
    <w:div w:id="535234840">
      <w:bodyDiv w:val="1"/>
      <w:marLeft w:val="0"/>
      <w:marRight w:val="0"/>
      <w:marTop w:val="0"/>
      <w:marBottom w:val="0"/>
      <w:divBdr>
        <w:top w:val="none" w:sz="0" w:space="0" w:color="auto"/>
        <w:left w:val="none" w:sz="0" w:space="0" w:color="auto"/>
        <w:bottom w:val="none" w:sz="0" w:space="0" w:color="auto"/>
        <w:right w:val="none" w:sz="0" w:space="0" w:color="auto"/>
      </w:divBdr>
    </w:div>
    <w:div w:id="568926857">
      <w:bodyDiv w:val="1"/>
      <w:marLeft w:val="0"/>
      <w:marRight w:val="0"/>
      <w:marTop w:val="0"/>
      <w:marBottom w:val="0"/>
      <w:divBdr>
        <w:top w:val="none" w:sz="0" w:space="0" w:color="auto"/>
        <w:left w:val="none" w:sz="0" w:space="0" w:color="auto"/>
        <w:bottom w:val="none" w:sz="0" w:space="0" w:color="auto"/>
        <w:right w:val="none" w:sz="0" w:space="0" w:color="auto"/>
      </w:divBdr>
    </w:div>
    <w:div w:id="577518241">
      <w:bodyDiv w:val="1"/>
      <w:marLeft w:val="0"/>
      <w:marRight w:val="0"/>
      <w:marTop w:val="0"/>
      <w:marBottom w:val="0"/>
      <w:divBdr>
        <w:top w:val="none" w:sz="0" w:space="0" w:color="auto"/>
        <w:left w:val="none" w:sz="0" w:space="0" w:color="auto"/>
        <w:bottom w:val="none" w:sz="0" w:space="0" w:color="auto"/>
        <w:right w:val="none" w:sz="0" w:space="0" w:color="auto"/>
      </w:divBdr>
    </w:div>
    <w:div w:id="584269636">
      <w:bodyDiv w:val="1"/>
      <w:marLeft w:val="0"/>
      <w:marRight w:val="0"/>
      <w:marTop w:val="0"/>
      <w:marBottom w:val="0"/>
      <w:divBdr>
        <w:top w:val="none" w:sz="0" w:space="0" w:color="auto"/>
        <w:left w:val="none" w:sz="0" w:space="0" w:color="auto"/>
        <w:bottom w:val="none" w:sz="0" w:space="0" w:color="auto"/>
        <w:right w:val="none" w:sz="0" w:space="0" w:color="auto"/>
      </w:divBdr>
    </w:div>
    <w:div w:id="614214244">
      <w:bodyDiv w:val="1"/>
      <w:marLeft w:val="0"/>
      <w:marRight w:val="0"/>
      <w:marTop w:val="0"/>
      <w:marBottom w:val="0"/>
      <w:divBdr>
        <w:top w:val="none" w:sz="0" w:space="0" w:color="auto"/>
        <w:left w:val="none" w:sz="0" w:space="0" w:color="auto"/>
        <w:bottom w:val="none" w:sz="0" w:space="0" w:color="auto"/>
        <w:right w:val="none" w:sz="0" w:space="0" w:color="auto"/>
      </w:divBdr>
    </w:div>
    <w:div w:id="614364662">
      <w:bodyDiv w:val="1"/>
      <w:marLeft w:val="0"/>
      <w:marRight w:val="0"/>
      <w:marTop w:val="0"/>
      <w:marBottom w:val="0"/>
      <w:divBdr>
        <w:top w:val="none" w:sz="0" w:space="0" w:color="auto"/>
        <w:left w:val="none" w:sz="0" w:space="0" w:color="auto"/>
        <w:bottom w:val="none" w:sz="0" w:space="0" w:color="auto"/>
        <w:right w:val="none" w:sz="0" w:space="0" w:color="auto"/>
      </w:divBdr>
    </w:div>
    <w:div w:id="649747542">
      <w:bodyDiv w:val="1"/>
      <w:marLeft w:val="0"/>
      <w:marRight w:val="0"/>
      <w:marTop w:val="0"/>
      <w:marBottom w:val="0"/>
      <w:divBdr>
        <w:top w:val="none" w:sz="0" w:space="0" w:color="auto"/>
        <w:left w:val="none" w:sz="0" w:space="0" w:color="auto"/>
        <w:bottom w:val="none" w:sz="0" w:space="0" w:color="auto"/>
        <w:right w:val="none" w:sz="0" w:space="0" w:color="auto"/>
      </w:divBdr>
    </w:div>
    <w:div w:id="730034104">
      <w:bodyDiv w:val="1"/>
      <w:marLeft w:val="0"/>
      <w:marRight w:val="0"/>
      <w:marTop w:val="0"/>
      <w:marBottom w:val="0"/>
      <w:divBdr>
        <w:top w:val="none" w:sz="0" w:space="0" w:color="auto"/>
        <w:left w:val="none" w:sz="0" w:space="0" w:color="auto"/>
        <w:bottom w:val="none" w:sz="0" w:space="0" w:color="auto"/>
        <w:right w:val="none" w:sz="0" w:space="0" w:color="auto"/>
      </w:divBdr>
      <w:divsChild>
        <w:div w:id="407650715">
          <w:marLeft w:val="0"/>
          <w:marRight w:val="0"/>
          <w:marTop w:val="0"/>
          <w:marBottom w:val="0"/>
          <w:divBdr>
            <w:top w:val="none" w:sz="0" w:space="0" w:color="auto"/>
            <w:left w:val="none" w:sz="0" w:space="0" w:color="auto"/>
            <w:bottom w:val="none" w:sz="0" w:space="0" w:color="auto"/>
            <w:right w:val="none" w:sz="0" w:space="0" w:color="auto"/>
          </w:divBdr>
        </w:div>
        <w:div w:id="1584726067">
          <w:marLeft w:val="0"/>
          <w:marRight w:val="0"/>
          <w:marTop w:val="0"/>
          <w:marBottom w:val="0"/>
          <w:divBdr>
            <w:top w:val="none" w:sz="0" w:space="0" w:color="auto"/>
            <w:left w:val="none" w:sz="0" w:space="0" w:color="auto"/>
            <w:bottom w:val="none" w:sz="0" w:space="0" w:color="auto"/>
            <w:right w:val="none" w:sz="0" w:space="0" w:color="auto"/>
          </w:divBdr>
        </w:div>
        <w:div w:id="1768037957">
          <w:marLeft w:val="0"/>
          <w:marRight w:val="0"/>
          <w:marTop w:val="0"/>
          <w:marBottom w:val="0"/>
          <w:divBdr>
            <w:top w:val="none" w:sz="0" w:space="0" w:color="auto"/>
            <w:left w:val="none" w:sz="0" w:space="0" w:color="auto"/>
            <w:bottom w:val="none" w:sz="0" w:space="0" w:color="auto"/>
            <w:right w:val="none" w:sz="0" w:space="0" w:color="auto"/>
          </w:divBdr>
        </w:div>
      </w:divsChild>
    </w:div>
    <w:div w:id="775953086">
      <w:bodyDiv w:val="1"/>
      <w:marLeft w:val="0"/>
      <w:marRight w:val="0"/>
      <w:marTop w:val="0"/>
      <w:marBottom w:val="0"/>
      <w:divBdr>
        <w:top w:val="none" w:sz="0" w:space="0" w:color="auto"/>
        <w:left w:val="none" w:sz="0" w:space="0" w:color="auto"/>
        <w:bottom w:val="none" w:sz="0" w:space="0" w:color="auto"/>
        <w:right w:val="none" w:sz="0" w:space="0" w:color="auto"/>
      </w:divBdr>
    </w:div>
    <w:div w:id="779296792">
      <w:bodyDiv w:val="1"/>
      <w:marLeft w:val="0"/>
      <w:marRight w:val="0"/>
      <w:marTop w:val="0"/>
      <w:marBottom w:val="0"/>
      <w:divBdr>
        <w:top w:val="none" w:sz="0" w:space="0" w:color="auto"/>
        <w:left w:val="none" w:sz="0" w:space="0" w:color="auto"/>
        <w:bottom w:val="none" w:sz="0" w:space="0" w:color="auto"/>
        <w:right w:val="none" w:sz="0" w:space="0" w:color="auto"/>
      </w:divBdr>
    </w:div>
    <w:div w:id="785467473">
      <w:bodyDiv w:val="1"/>
      <w:marLeft w:val="0"/>
      <w:marRight w:val="0"/>
      <w:marTop w:val="0"/>
      <w:marBottom w:val="0"/>
      <w:divBdr>
        <w:top w:val="none" w:sz="0" w:space="0" w:color="auto"/>
        <w:left w:val="none" w:sz="0" w:space="0" w:color="auto"/>
        <w:bottom w:val="none" w:sz="0" w:space="0" w:color="auto"/>
        <w:right w:val="none" w:sz="0" w:space="0" w:color="auto"/>
      </w:divBdr>
      <w:divsChild>
        <w:div w:id="240876688">
          <w:marLeft w:val="0"/>
          <w:marRight w:val="0"/>
          <w:marTop w:val="0"/>
          <w:marBottom w:val="0"/>
          <w:divBdr>
            <w:top w:val="none" w:sz="0" w:space="0" w:color="auto"/>
            <w:left w:val="none" w:sz="0" w:space="0" w:color="auto"/>
            <w:bottom w:val="none" w:sz="0" w:space="0" w:color="auto"/>
            <w:right w:val="none" w:sz="0" w:space="0" w:color="auto"/>
          </w:divBdr>
        </w:div>
        <w:div w:id="1549994956">
          <w:marLeft w:val="0"/>
          <w:marRight w:val="0"/>
          <w:marTop w:val="0"/>
          <w:marBottom w:val="0"/>
          <w:divBdr>
            <w:top w:val="none" w:sz="0" w:space="0" w:color="auto"/>
            <w:left w:val="none" w:sz="0" w:space="0" w:color="auto"/>
            <w:bottom w:val="none" w:sz="0" w:space="0" w:color="auto"/>
            <w:right w:val="none" w:sz="0" w:space="0" w:color="auto"/>
          </w:divBdr>
        </w:div>
      </w:divsChild>
    </w:div>
    <w:div w:id="860317380">
      <w:bodyDiv w:val="1"/>
      <w:marLeft w:val="0"/>
      <w:marRight w:val="0"/>
      <w:marTop w:val="0"/>
      <w:marBottom w:val="0"/>
      <w:divBdr>
        <w:top w:val="none" w:sz="0" w:space="0" w:color="auto"/>
        <w:left w:val="none" w:sz="0" w:space="0" w:color="auto"/>
        <w:bottom w:val="none" w:sz="0" w:space="0" w:color="auto"/>
        <w:right w:val="none" w:sz="0" w:space="0" w:color="auto"/>
      </w:divBdr>
    </w:div>
    <w:div w:id="931209212">
      <w:bodyDiv w:val="1"/>
      <w:marLeft w:val="0"/>
      <w:marRight w:val="0"/>
      <w:marTop w:val="0"/>
      <w:marBottom w:val="0"/>
      <w:divBdr>
        <w:top w:val="none" w:sz="0" w:space="0" w:color="auto"/>
        <w:left w:val="none" w:sz="0" w:space="0" w:color="auto"/>
        <w:bottom w:val="none" w:sz="0" w:space="0" w:color="auto"/>
        <w:right w:val="none" w:sz="0" w:space="0" w:color="auto"/>
      </w:divBdr>
    </w:div>
    <w:div w:id="937757243">
      <w:bodyDiv w:val="1"/>
      <w:marLeft w:val="0"/>
      <w:marRight w:val="0"/>
      <w:marTop w:val="0"/>
      <w:marBottom w:val="0"/>
      <w:divBdr>
        <w:top w:val="none" w:sz="0" w:space="0" w:color="auto"/>
        <w:left w:val="none" w:sz="0" w:space="0" w:color="auto"/>
        <w:bottom w:val="none" w:sz="0" w:space="0" w:color="auto"/>
        <w:right w:val="none" w:sz="0" w:space="0" w:color="auto"/>
      </w:divBdr>
    </w:div>
    <w:div w:id="947276372">
      <w:bodyDiv w:val="1"/>
      <w:marLeft w:val="0"/>
      <w:marRight w:val="0"/>
      <w:marTop w:val="0"/>
      <w:marBottom w:val="0"/>
      <w:divBdr>
        <w:top w:val="none" w:sz="0" w:space="0" w:color="auto"/>
        <w:left w:val="none" w:sz="0" w:space="0" w:color="auto"/>
        <w:bottom w:val="none" w:sz="0" w:space="0" w:color="auto"/>
        <w:right w:val="none" w:sz="0" w:space="0" w:color="auto"/>
      </w:divBdr>
    </w:div>
    <w:div w:id="957251186">
      <w:bodyDiv w:val="1"/>
      <w:marLeft w:val="0"/>
      <w:marRight w:val="0"/>
      <w:marTop w:val="0"/>
      <w:marBottom w:val="0"/>
      <w:divBdr>
        <w:top w:val="none" w:sz="0" w:space="0" w:color="auto"/>
        <w:left w:val="none" w:sz="0" w:space="0" w:color="auto"/>
        <w:bottom w:val="none" w:sz="0" w:space="0" w:color="auto"/>
        <w:right w:val="none" w:sz="0" w:space="0" w:color="auto"/>
      </w:divBdr>
    </w:div>
    <w:div w:id="1035542228">
      <w:bodyDiv w:val="1"/>
      <w:marLeft w:val="0"/>
      <w:marRight w:val="0"/>
      <w:marTop w:val="0"/>
      <w:marBottom w:val="0"/>
      <w:divBdr>
        <w:top w:val="none" w:sz="0" w:space="0" w:color="auto"/>
        <w:left w:val="none" w:sz="0" w:space="0" w:color="auto"/>
        <w:bottom w:val="none" w:sz="0" w:space="0" w:color="auto"/>
        <w:right w:val="none" w:sz="0" w:space="0" w:color="auto"/>
      </w:divBdr>
    </w:div>
    <w:div w:id="1056049573">
      <w:bodyDiv w:val="1"/>
      <w:marLeft w:val="0"/>
      <w:marRight w:val="0"/>
      <w:marTop w:val="0"/>
      <w:marBottom w:val="0"/>
      <w:divBdr>
        <w:top w:val="none" w:sz="0" w:space="0" w:color="auto"/>
        <w:left w:val="none" w:sz="0" w:space="0" w:color="auto"/>
        <w:bottom w:val="none" w:sz="0" w:space="0" w:color="auto"/>
        <w:right w:val="none" w:sz="0" w:space="0" w:color="auto"/>
      </w:divBdr>
    </w:div>
    <w:div w:id="1063452777">
      <w:bodyDiv w:val="1"/>
      <w:marLeft w:val="0"/>
      <w:marRight w:val="0"/>
      <w:marTop w:val="0"/>
      <w:marBottom w:val="0"/>
      <w:divBdr>
        <w:top w:val="none" w:sz="0" w:space="0" w:color="auto"/>
        <w:left w:val="none" w:sz="0" w:space="0" w:color="auto"/>
        <w:bottom w:val="none" w:sz="0" w:space="0" w:color="auto"/>
        <w:right w:val="none" w:sz="0" w:space="0" w:color="auto"/>
      </w:divBdr>
    </w:div>
    <w:div w:id="1173446774">
      <w:bodyDiv w:val="1"/>
      <w:marLeft w:val="0"/>
      <w:marRight w:val="0"/>
      <w:marTop w:val="0"/>
      <w:marBottom w:val="0"/>
      <w:divBdr>
        <w:top w:val="none" w:sz="0" w:space="0" w:color="auto"/>
        <w:left w:val="none" w:sz="0" w:space="0" w:color="auto"/>
        <w:bottom w:val="none" w:sz="0" w:space="0" w:color="auto"/>
        <w:right w:val="none" w:sz="0" w:space="0" w:color="auto"/>
      </w:divBdr>
    </w:div>
    <w:div w:id="1202594159">
      <w:bodyDiv w:val="1"/>
      <w:marLeft w:val="0"/>
      <w:marRight w:val="0"/>
      <w:marTop w:val="0"/>
      <w:marBottom w:val="0"/>
      <w:divBdr>
        <w:top w:val="none" w:sz="0" w:space="0" w:color="auto"/>
        <w:left w:val="none" w:sz="0" w:space="0" w:color="auto"/>
        <w:bottom w:val="none" w:sz="0" w:space="0" w:color="auto"/>
        <w:right w:val="none" w:sz="0" w:space="0" w:color="auto"/>
      </w:divBdr>
    </w:div>
    <w:div w:id="1234311376">
      <w:bodyDiv w:val="1"/>
      <w:marLeft w:val="0"/>
      <w:marRight w:val="0"/>
      <w:marTop w:val="0"/>
      <w:marBottom w:val="0"/>
      <w:divBdr>
        <w:top w:val="none" w:sz="0" w:space="0" w:color="auto"/>
        <w:left w:val="none" w:sz="0" w:space="0" w:color="auto"/>
        <w:bottom w:val="none" w:sz="0" w:space="0" w:color="auto"/>
        <w:right w:val="none" w:sz="0" w:space="0" w:color="auto"/>
      </w:divBdr>
    </w:div>
    <w:div w:id="1250239202">
      <w:bodyDiv w:val="1"/>
      <w:marLeft w:val="0"/>
      <w:marRight w:val="0"/>
      <w:marTop w:val="0"/>
      <w:marBottom w:val="0"/>
      <w:divBdr>
        <w:top w:val="none" w:sz="0" w:space="0" w:color="auto"/>
        <w:left w:val="none" w:sz="0" w:space="0" w:color="auto"/>
        <w:bottom w:val="none" w:sz="0" w:space="0" w:color="auto"/>
        <w:right w:val="none" w:sz="0" w:space="0" w:color="auto"/>
      </w:divBdr>
    </w:div>
    <w:div w:id="1303659807">
      <w:bodyDiv w:val="1"/>
      <w:marLeft w:val="0"/>
      <w:marRight w:val="0"/>
      <w:marTop w:val="0"/>
      <w:marBottom w:val="0"/>
      <w:divBdr>
        <w:top w:val="none" w:sz="0" w:space="0" w:color="auto"/>
        <w:left w:val="none" w:sz="0" w:space="0" w:color="auto"/>
        <w:bottom w:val="none" w:sz="0" w:space="0" w:color="auto"/>
        <w:right w:val="none" w:sz="0" w:space="0" w:color="auto"/>
      </w:divBdr>
    </w:div>
    <w:div w:id="1316028606">
      <w:bodyDiv w:val="1"/>
      <w:marLeft w:val="0"/>
      <w:marRight w:val="0"/>
      <w:marTop w:val="0"/>
      <w:marBottom w:val="0"/>
      <w:divBdr>
        <w:top w:val="none" w:sz="0" w:space="0" w:color="auto"/>
        <w:left w:val="none" w:sz="0" w:space="0" w:color="auto"/>
        <w:bottom w:val="none" w:sz="0" w:space="0" w:color="auto"/>
        <w:right w:val="none" w:sz="0" w:space="0" w:color="auto"/>
      </w:divBdr>
      <w:divsChild>
        <w:div w:id="2026976035">
          <w:marLeft w:val="446"/>
          <w:marRight w:val="0"/>
          <w:marTop w:val="77"/>
          <w:marBottom w:val="0"/>
          <w:divBdr>
            <w:top w:val="none" w:sz="0" w:space="0" w:color="auto"/>
            <w:left w:val="none" w:sz="0" w:space="0" w:color="auto"/>
            <w:bottom w:val="none" w:sz="0" w:space="0" w:color="auto"/>
            <w:right w:val="none" w:sz="0" w:space="0" w:color="auto"/>
          </w:divBdr>
        </w:div>
      </w:divsChild>
    </w:div>
    <w:div w:id="1331906837">
      <w:bodyDiv w:val="1"/>
      <w:marLeft w:val="0"/>
      <w:marRight w:val="0"/>
      <w:marTop w:val="0"/>
      <w:marBottom w:val="0"/>
      <w:divBdr>
        <w:top w:val="none" w:sz="0" w:space="0" w:color="auto"/>
        <w:left w:val="none" w:sz="0" w:space="0" w:color="auto"/>
        <w:bottom w:val="none" w:sz="0" w:space="0" w:color="auto"/>
        <w:right w:val="none" w:sz="0" w:space="0" w:color="auto"/>
      </w:divBdr>
    </w:div>
    <w:div w:id="1344043091">
      <w:bodyDiv w:val="1"/>
      <w:marLeft w:val="0"/>
      <w:marRight w:val="0"/>
      <w:marTop w:val="0"/>
      <w:marBottom w:val="0"/>
      <w:divBdr>
        <w:top w:val="none" w:sz="0" w:space="0" w:color="auto"/>
        <w:left w:val="none" w:sz="0" w:space="0" w:color="auto"/>
        <w:bottom w:val="none" w:sz="0" w:space="0" w:color="auto"/>
        <w:right w:val="none" w:sz="0" w:space="0" w:color="auto"/>
      </w:divBdr>
      <w:divsChild>
        <w:div w:id="1298146932">
          <w:marLeft w:val="960"/>
          <w:marRight w:val="0"/>
          <w:marTop w:val="0"/>
          <w:marBottom w:val="0"/>
          <w:divBdr>
            <w:top w:val="none" w:sz="0" w:space="0" w:color="auto"/>
            <w:left w:val="none" w:sz="0" w:space="0" w:color="auto"/>
            <w:bottom w:val="none" w:sz="0" w:space="0" w:color="auto"/>
            <w:right w:val="none" w:sz="0" w:space="0" w:color="auto"/>
          </w:divBdr>
        </w:div>
      </w:divsChild>
    </w:div>
    <w:div w:id="1346638015">
      <w:bodyDiv w:val="1"/>
      <w:marLeft w:val="0"/>
      <w:marRight w:val="0"/>
      <w:marTop w:val="0"/>
      <w:marBottom w:val="0"/>
      <w:divBdr>
        <w:top w:val="none" w:sz="0" w:space="0" w:color="auto"/>
        <w:left w:val="none" w:sz="0" w:space="0" w:color="auto"/>
        <w:bottom w:val="none" w:sz="0" w:space="0" w:color="auto"/>
        <w:right w:val="none" w:sz="0" w:space="0" w:color="auto"/>
      </w:divBdr>
    </w:div>
    <w:div w:id="1361931479">
      <w:bodyDiv w:val="1"/>
      <w:marLeft w:val="0"/>
      <w:marRight w:val="0"/>
      <w:marTop w:val="0"/>
      <w:marBottom w:val="0"/>
      <w:divBdr>
        <w:top w:val="none" w:sz="0" w:space="0" w:color="auto"/>
        <w:left w:val="none" w:sz="0" w:space="0" w:color="auto"/>
        <w:bottom w:val="none" w:sz="0" w:space="0" w:color="auto"/>
        <w:right w:val="none" w:sz="0" w:space="0" w:color="auto"/>
      </w:divBdr>
    </w:div>
    <w:div w:id="1412267717">
      <w:bodyDiv w:val="1"/>
      <w:marLeft w:val="0"/>
      <w:marRight w:val="0"/>
      <w:marTop w:val="0"/>
      <w:marBottom w:val="0"/>
      <w:divBdr>
        <w:top w:val="none" w:sz="0" w:space="0" w:color="auto"/>
        <w:left w:val="none" w:sz="0" w:space="0" w:color="auto"/>
        <w:bottom w:val="none" w:sz="0" w:space="0" w:color="auto"/>
        <w:right w:val="none" w:sz="0" w:space="0" w:color="auto"/>
      </w:divBdr>
      <w:divsChild>
        <w:div w:id="1244683389">
          <w:marLeft w:val="0"/>
          <w:marRight w:val="0"/>
          <w:marTop w:val="0"/>
          <w:marBottom w:val="0"/>
          <w:divBdr>
            <w:top w:val="none" w:sz="0" w:space="0" w:color="auto"/>
            <w:left w:val="none" w:sz="0" w:space="0" w:color="auto"/>
            <w:bottom w:val="none" w:sz="0" w:space="0" w:color="auto"/>
            <w:right w:val="none" w:sz="0" w:space="0" w:color="auto"/>
          </w:divBdr>
        </w:div>
      </w:divsChild>
    </w:div>
    <w:div w:id="1520508983">
      <w:bodyDiv w:val="1"/>
      <w:marLeft w:val="0"/>
      <w:marRight w:val="0"/>
      <w:marTop w:val="0"/>
      <w:marBottom w:val="0"/>
      <w:divBdr>
        <w:top w:val="none" w:sz="0" w:space="0" w:color="auto"/>
        <w:left w:val="none" w:sz="0" w:space="0" w:color="auto"/>
        <w:bottom w:val="none" w:sz="0" w:space="0" w:color="auto"/>
        <w:right w:val="none" w:sz="0" w:space="0" w:color="auto"/>
      </w:divBdr>
    </w:div>
    <w:div w:id="1549487414">
      <w:bodyDiv w:val="1"/>
      <w:marLeft w:val="0"/>
      <w:marRight w:val="0"/>
      <w:marTop w:val="0"/>
      <w:marBottom w:val="0"/>
      <w:divBdr>
        <w:top w:val="none" w:sz="0" w:space="0" w:color="auto"/>
        <w:left w:val="none" w:sz="0" w:space="0" w:color="auto"/>
        <w:bottom w:val="none" w:sz="0" w:space="0" w:color="auto"/>
        <w:right w:val="none" w:sz="0" w:space="0" w:color="auto"/>
      </w:divBdr>
    </w:div>
    <w:div w:id="1580629620">
      <w:bodyDiv w:val="1"/>
      <w:marLeft w:val="0"/>
      <w:marRight w:val="0"/>
      <w:marTop w:val="0"/>
      <w:marBottom w:val="0"/>
      <w:divBdr>
        <w:top w:val="none" w:sz="0" w:space="0" w:color="auto"/>
        <w:left w:val="none" w:sz="0" w:space="0" w:color="auto"/>
        <w:bottom w:val="none" w:sz="0" w:space="0" w:color="auto"/>
        <w:right w:val="none" w:sz="0" w:space="0" w:color="auto"/>
      </w:divBdr>
      <w:divsChild>
        <w:div w:id="509371772">
          <w:marLeft w:val="0"/>
          <w:marRight w:val="0"/>
          <w:marTop w:val="0"/>
          <w:marBottom w:val="0"/>
          <w:divBdr>
            <w:top w:val="none" w:sz="0" w:space="0" w:color="auto"/>
            <w:left w:val="none" w:sz="0" w:space="0" w:color="auto"/>
            <w:bottom w:val="none" w:sz="0" w:space="0" w:color="auto"/>
            <w:right w:val="none" w:sz="0" w:space="0" w:color="auto"/>
          </w:divBdr>
        </w:div>
      </w:divsChild>
    </w:div>
    <w:div w:id="1596211235">
      <w:bodyDiv w:val="1"/>
      <w:marLeft w:val="0"/>
      <w:marRight w:val="0"/>
      <w:marTop w:val="0"/>
      <w:marBottom w:val="0"/>
      <w:divBdr>
        <w:top w:val="none" w:sz="0" w:space="0" w:color="auto"/>
        <w:left w:val="none" w:sz="0" w:space="0" w:color="auto"/>
        <w:bottom w:val="none" w:sz="0" w:space="0" w:color="auto"/>
        <w:right w:val="none" w:sz="0" w:space="0" w:color="auto"/>
      </w:divBdr>
    </w:div>
    <w:div w:id="1612936291">
      <w:bodyDiv w:val="1"/>
      <w:marLeft w:val="0"/>
      <w:marRight w:val="0"/>
      <w:marTop w:val="0"/>
      <w:marBottom w:val="0"/>
      <w:divBdr>
        <w:top w:val="none" w:sz="0" w:space="0" w:color="auto"/>
        <w:left w:val="none" w:sz="0" w:space="0" w:color="auto"/>
        <w:bottom w:val="none" w:sz="0" w:space="0" w:color="auto"/>
        <w:right w:val="none" w:sz="0" w:space="0" w:color="auto"/>
      </w:divBdr>
    </w:div>
    <w:div w:id="1624648296">
      <w:bodyDiv w:val="1"/>
      <w:marLeft w:val="0"/>
      <w:marRight w:val="0"/>
      <w:marTop w:val="0"/>
      <w:marBottom w:val="0"/>
      <w:divBdr>
        <w:top w:val="none" w:sz="0" w:space="0" w:color="auto"/>
        <w:left w:val="none" w:sz="0" w:space="0" w:color="auto"/>
        <w:bottom w:val="none" w:sz="0" w:space="0" w:color="auto"/>
        <w:right w:val="none" w:sz="0" w:space="0" w:color="auto"/>
      </w:divBdr>
    </w:div>
    <w:div w:id="1644656766">
      <w:bodyDiv w:val="1"/>
      <w:marLeft w:val="0"/>
      <w:marRight w:val="0"/>
      <w:marTop w:val="0"/>
      <w:marBottom w:val="0"/>
      <w:divBdr>
        <w:top w:val="none" w:sz="0" w:space="0" w:color="auto"/>
        <w:left w:val="none" w:sz="0" w:space="0" w:color="auto"/>
        <w:bottom w:val="none" w:sz="0" w:space="0" w:color="auto"/>
        <w:right w:val="none" w:sz="0" w:space="0" w:color="auto"/>
      </w:divBdr>
    </w:div>
    <w:div w:id="1651708612">
      <w:bodyDiv w:val="1"/>
      <w:marLeft w:val="0"/>
      <w:marRight w:val="0"/>
      <w:marTop w:val="0"/>
      <w:marBottom w:val="0"/>
      <w:divBdr>
        <w:top w:val="none" w:sz="0" w:space="0" w:color="auto"/>
        <w:left w:val="none" w:sz="0" w:space="0" w:color="auto"/>
        <w:bottom w:val="none" w:sz="0" w:space="0" w:color="auto"/>
        <w:right w:val="none" w:sz="0" w:space="0" w:color="auto"/>
      </w:divBdr>
      <w:divsChild>
        <w:div w:id="1652052702">
          <w:marLeft w:val="0"/>
          <w:marRight w:val="0"/>
          <w:marTop w:val="0"/>
          <w:marBottom w:val="0"/>
          <w:divBdr>
            <w:top w:val="none" w:sz="0" w:space="0" w:color="auto"/>
            <w:left w:val="none" w:sz="0" w:space="0" w:color="auto"/>
            <w:bottom w:val="none" w:sz="0" w:space="0" w:color="auto"/>
            <w:right w:val="none" w:sz="0" w:space="0" w:color="auto"/>
          </w:divBdr>
        </w:div>
        <w:div w:id="1727875306">
          <w:marLeft w:val="0"/>
          <w:marRight w:val="0"/>
          <w:marTop w:val="0"/>
          <w:marBottom w:val="0"/>
          <w:divBdr>
            <w:top w:val="none" w:sz="0" w:space="0" w:color="auto"/>
            <w:left w:val="none" w:sz="0" w:space="0" w:color="auto"/>
            <w:bottom w:val="none" w:sz="0" w:space="0" w:color="auto"/>
            <w:right w:val="none" w:sz="0" w:space="0" w:color="auto"/>
          </w:divBdr>
        </w:div>
      </w:divsChild>
    </w:div>
    <w:div w:id="1659962052">
      <w:bodyDiv w:val="1"/>
      <w:marLeft w:val="0"/>
      <w:marRight w:val="0"/>
      <w:marTop w:val="0"/>
      <w:marBottom w:val="0"/>
      <w:divBdr>
        <w:top w:val="none" w:sz="0" w:space="0" w:color="auto"/>
        <w:left w:val="none" w:sz="0" w:space="0" w:color="auto"/>
        <w:bottom w:val="none" w:sz="0" w:space="0" w:color="auto"/>
        <w:right w:val="none" w:sz="0" w:space="0" w:color="auto"/>
      </w:divBdr>
    </w:div>
    <w:div w:id="1664973375">
      <w:bodyDiv w:val="1"/>
      <w:marLeft w:val="0"/>
      <w:marRight w:val="0"/>
      <w:marTop w:val="0"/>
      <w:marBottom w:val="0"/>
      <w:divBdr>
        <w:top w:val="none" w:sz="0" w:space="0" w:color="auto"/>
        <w:left w:val="none" w:sz="0" w:space="0" w:color="auto"/>
        <w:bottom w:val="none" w:sz="0" w:space="0" w:color="auto"/>
        <w:right w:val="none" w:sz="0" w:space="0" w:color="auto"/>
      </w:divBdr>
    </w:div>
    <w:div w:id="1694114756">
      <w:bodyDiv w:val="1"/>
      <w:marLeft w:val="0"/>
      <w:marRight w:val="0"/>
      <w:marTop w:val="0"/>
      <w:marBottom w:val="0"/>
      <w:divBdr>
        <w:top w:val="none" w:sz="0" w:space="0" w:color="auto"/>
        <w:left w:val="none" w:sz="0" w:space="0" w:color="auto"/>
        <w:bottom w:val="none" w:sz="0" w:space="0" w:color="auto"/>
        <w:right w:val="none" w:sz="0" w:space="0" w:color="auto"/>
      </w:divBdr>
    </w:div>
    <w:div w:id="1703554180">
      <w:bodyDiv w:val="1"/>
      <w:marLeft w:val="0"/>
      <w:marRight w:val="0"/>
      <w:marTop w:val="0"/>
      <w:marBottom w:val="0"/>
      <w:divBdr>
        <w:top w:val="none" w:sz="0" w:space="0" w:color="auto"/>
        <w:left w:val="none" w:sz="0" w:space="0" w:color="auto"/>
        <w:bottom w:val="none" w:sz="0" w:space="0" w:color="auto"/>
        <w:right w:val="none" w:sz="0" w:space="0" w:color="auto"/>
      </w:divBdr>
    </w:div>
    <w:div w:id="1715503091">
      <w:bodyDiv w:val="1"/>
      <w:marLeft w:val="0"/>
      <w:marRight w:val="0"/>
      <w:marTop w:val="0"/>
      <w:marBottom w:val="0"/>
      <w:divBdr>
        <w:top w:val="none" w:sz="0" w:space="0" w:color="auto"/>
        <w:left w:val="none" w:sz="0" w:space="0" w:color="auto"/>
        <w:bottom w:val="none" w:sz="0" w:space="0" w:color="auto"/>
        <w:right w:val="none" w:sz="0" w:space="0" w:color="auto"/>
      </w:divBdr>
    </w:div>
    <w:div w:id="1722629354">
      <w:bodyDiv w:val="1"/>
      <w:marLeft w:val="0"/>
      <w:marRight w:val="0"/>
      <w:marTop w:val="0"/>
      <w:marBottom w:val="0"/>
      <w:divBdr>
        <w:top w:val="none" w:sz="0" w:space="0" w:color="auto"/>
        <w:left w:val="none" w:sz="0" w:space="0" w:color="auto"/>
        <w:bottom w:val="none" w:sz="0" w:space="0" w:color="auto"/>
        <w:right w:val="none" w:sz="0" w:space="0" w:color="auto"/>
      </w:divBdr>
      <w:divsChild>
        <w:div w:id="175970430">
          <w:marLeft w:val="274"/>
          <w:marRight w:val="0"/>
          <w:marTop w:val="0"/>
          <w:marBottom w:val="0"/>
          <w:divBdr>
            <w:top w:val="none" w:sz="0" w:space="0" w:color="auto"/>
            <w:left w:val="none" w:sz="0" w:space="0" w:color="auto"/>
            <w:bottom w:val="none" w:sz="0" w:space="0" w:color="auto"/>
            <w:right w:val="none" w:sz="0" w:space="0" w:color="auto"/>
          </w:divBdr>
        </w:div>
        <w:div w:id="1515146812">
          <w:marLeft w:val="274"/>
          <w:marRight w:val="0"/>
          <w:marTop w:val="0"/>
          <w:marBottom w:val="0"/>
          <w:divBdr>
            <w:top w:val="none" w:sz="0" w:space="0" w:color="auto"/>
            <w:left w:val="none" w:sz="0" w:space="0" w:color="auto"/>
            <w:bottom w:val="none" w:sz="0" w:space="0" w:color="auto"/>
            <w:right w:val="none" w:sz="0" w:space="0" w:color="auto"/>
          </w:divBdr>
        </w:div>
        <w:div w:id="1730150729">
          <w:marLeft w:val="274"/>
          <w:marRight w:val="0"/>
          <w:marTop w:val="0"/>
          <w:marBottom w:val="0"/>
          <w:divBdr>
            <w:top w:val="none" w:sz="0" w:space="0" w:color="auto"/>
            <w:left w:val="none" w:sz="0" w:space="0" w:color="auto"/>
            <w:bottom w:val="none" w:sz="0" w:space="0" w:color="auto"/>
            <w:right w:val="none" w:sz="0" w:space="0" w:color="auto"/>
          </w:divBdr>
        </w:div>
      </w:divsChild>
    </w:div>
    <w:div w:id="1786928113">
      <w:bodyDiv w:val="1"/>
      <w:marLeft w:val="0"/>
      <w:marRight w:val="0"/>
      <w:marTop w:val="0"/>
      <w:marBottom w:val="0"/>
      <w:divBdr>
        <w:top w:val="none" w:sz="0" w:space="0" w:color="auto"/>
        <w:left w:val="none" w:sz="0" w:space="0" w:color="auto"/>
        <w:bottom w:val="none" w:sz="0" w:space="0" w:color="auto"/>
        <w:right w:val="none" w:sz="0" w:space="0" w:color="auto"/>
      </w:divBdr>
    </w:div>
    <w:div w:id="1885480454">
      <w:bodyDiv w:val="1"/>
      <w:marLeft w:val="0"/>
      <w:marRight w:val="0"/>
      <w:marTop w:val="0"/>
      <w:marBottom w:val="0"/>
      <w:divBdr>
        <w:top w:val="none" w:sz="0" w:space="0" w:color="auto"/>
        <w:left w:val="none" w:sz="0" w:space="0" w:color="auto"/>
        <w:bottom w:val="none" w:sz="0" w:space="0" w:color="auto"/>
        <w:right w:val="none" w:sz="0" w:space="0" w:color="auto"/>
      </w:divBdr>
    </w:div>
    <w:div w:id="1901018159">
      <w:bodyDiv w:val="1"/>
      <w:marLeft w:val="0"/>
      <w:marRight w:val="0"/>
      <w:marTop w:val="0"/>
      <w:marBottom w:val="0"/>
      <w:divBdr>
        <w:top w:val="none" w:sz="0" w:space="0" w:color="auto"/>
        <w:left w:val="none" w:sz="0" w:space="0" w:color="auto"/>
        <w:bottom w:val="none" w:sz="0" w:space="0" w:color="auto"/>
        <w:right w:val="none" w:sz="0" w:space="0" w:color="auto"/>
      </w:divBdr>
    </w:div>
    <w:div w:id="1967272685">
      <w:bodyDiv w:val="1"/>
      <w:marLeft w:val="0"/>
      <w:marRight w:val="0"/>
      <w:marTop w:val="0"/>
      <w:marBottom w:val="0"/>
      <w:divBdr>
        <w:top w:val="none" w:sz="0" w:space="0" w:color="auto"/>
        <w:left w:val="none" w:sz="0" w:space="0" w:color="auto"/>
        <w:bottom w:val="none" w:sz="0" w:space="0" w:color="auto"/>
        <w:right w:val="none" w:sz="0" w:space="0" w:color="auto"/>
      </w:divBdr>
    </w:div>
    <w:div w:id="2023890980">
      <w:bodyDiv w:val="1"/>
      <w:marLeft w:val="0"/>
      <w:marRight w:val="0"/>
      <w:marTop w:val="0"/>
      <w:marBottom w:val="0"/>
      <w:divBdr>
        <w:top w:val="none" w:sz="0" w:space="0" w:color="auto"/>
        <w:left w:val="none" w:sz="0" w:space="0" w:color="auto"/>
        <w:bottom w:val="none" w:sz="0" w:space="0" w:color="auto"/>
        <w:right w:val="none" w:sz="0" w:space="0" w:color="auto"/>
      </w:divBdr>
    </w:div>
    <w:div w:id="2042435988">
      <w:bodyDiv w:val="1"/>
      <w:marLeft w:val="0"/>
      <w:marRight w:val="0"/>
      <w:marTop w:val="0"/>
      <w:marBottom w:val="0"/>
      <w:divBdr>
        <w:top w:val="none" w:sz="0" w:space="0" w:color="auto"/>
        <w:left w:val="none" w:sz="0" w:space="0" w:color="auto"/>
        <w:bottom w:val="none" w:sz="0" w:space="0" w:color="auto"/>
        <w:right w:val="none" w:sz="0" w:space="0" w:color="auto"/>
      </w:divBdr>
      <w:divsChild>
        <w:div w:id="1067413263">
          <w:marLeft w:val="0"/>
          <w:marRight w:val="0"/>
          <w:marTop w:val="0"/>
          <w:marBottom w:val="0"/>
          <w:divBdr>
            <w:top w:val="none" w:sz="0" w:space="0" w:color="auto"/>
            <w:left w:val="none" w:sz="0" w:space="0" w:color="auto"/>
            <w:bottom w:val="none" w:sz="0" w:space="0" w:color="auto"/>
            <w:right w:val="none" w:sz="0" w:space="0" w:color="auto"/>
          </w:divBdr>
        </w:div>
        <w:div w:id="1138182663">
          <w:marLeft w:val="0"/>
          <w:marRight w:val="0"/>
          <w:marTop w:val="0"/>
          <w:marBottom w:val="0"/>
          <w:divBdr>
            <w:top w:val="none" w:sz="0" w:space="0" w:color="auto"/>
            <w:left w:val="none" w:sz="0" w:space="0" w:color="auto"/>
            <w:bottom w:val="none" w:sz="0" w:space="0" w:color="auto"/>
            <w:right w:val="none" w:sz="0" w:space="0" w:color="auto"/>
          </w:divBdr>
        </w:div>
      </w:divsChild>
    </w:div>
    <w:div w:id="2082824967">
      <w:bodyDiv w:val="1"/>
      <w:marLeft w:val="0"/>
      <w:marRight w:val="0"/>
      <w:marTop w:val="0"/>
      <w:marBottom w:val="0"/>
      <w:divBdr>
        <w:top w:val="none" w:sz="0" w:space="0" w:color="auto"/>
        <w:left w:val="none" w:sz="0" w:space="0" w:color="auto"/>
        <w:bottom w:val="none" w:sz="0" w:space="0" w:color="auto"/>
        <w:right w:val="none" w:sz="0" w:space="0" w:color="auto"/>
      </w:divBdr>
    </w:div>
    <w:div w:id="2133013086">
      <w:bodyDiv w:val="1"/>
      <w:marLeft w:val="0"/>
      <w:marRight w:val="0"/>
      <w:marTop w:val="0"/>
      <w:marBottom w:val="0"/>
      <w:divBdr>
        <w:top w:val="none" w:sz="0" w:space="0" w:color="auto"/>
        <w:left w:val="none" w:sz="0" w:space="0" w:color="auto"/>
        <w:bottom w:val="none" w:sz="0" w:space="0" w:color="auto"/>
        <w:right w:val="none" w:sz="0" w:space="0" w:color="auto"/>
      </w:divBdr>
    </w:div>
    <w:div w:id="21404913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oter" Target="footer6.xml"/><Relationship Id="rId21" Type="http://schemas.openxmlformats.org/officeDocument/2006/relationships/footer" Target="footer2.xml"/><Relationship Id="rId34" Type="http://schemas.openxmlformats.org/officeDocument/2006/relationships/header" Target="header1.xml"/><Relationship Id="rId42" Type="http://schemas.openxmlformats.org/officeDocument/2006/relationships/header" Target="header5.xml"/><Relationship Id="rId47"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footer" Target="footer5.xml"/><Relationship Id="rId40" Type="http://schemas.openxmlformats.org/officeDocument/2006/relationships/header" Target="header4.xml"/><Relationship Id="rId45" Type="http://schemas.openxmlformats.org/officeDocument/2006/relationships/footer" Target="footer9.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2.xml"/><Relationship Id="rId49" Type="http://schemas.microsoft.com/office/2019/05/relationships/documenttasks" Target="documenttasks/documenttasks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3.xml"/><Relationship Id="rId44" Type="http://schemas.openxmlformats.org/officeDocument/2006/relationships/image" Target="media/image21.gi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gif"/><Relationship Id="rId30" Type="http://schemas.openxmlformats.org/officeDocument/2006/relationships/image" Target="media/image18.gif"/><Relationship Id="rId35" Type="http://schemas.openxmlformats.org/officeDocument/2006/relationships/footer" Target="footer4.xml"/><Relationship Id="rId43" Type="http://schemas.openxmlformats.org/officeDocument/2006/relationships/footer" Target="footer8.xm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header" Target="header3.xml"/><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styles" Target="styles.xml"/></Relationships>
</file>

<file path=word/documenttasks/documenttasks1.xml><?xml version="1.0" encoding="utf-8"?>
<t:Tasks xmlns:t="http://schemas.microsoft.com/office/tasks/2019/documenttasks" xmlns:oel="http://schemas.microsoft.com/office/2019/extlst">
  <t:Task id="{FE69ED2B-47E5-4B27-966D-C4602FE85779}">
    <t:Anchor>
      <t:Comment id="662767287"/>
    </t:Anchor>
    <t:History>
      <t:Event id="{7BFFB778-4D3D-45DC-B795-6510FE174CDE}" time="2023-01-29T14:17:27.717Z">
        <t:Attribution userId="S::will.wright@fiecon.com::22c6a2fe-741a-4a28-9755-1190b5e72835" userProvider="AD" userName="Will Wright"/>
        <t:Anchor>
          <t:Comment id="662767287"/>
        </t:Anchor>
        <t:Create/>
      </t:Event>
      <t:Event id="{56C7CA97-60D4-4121-A7A8-C7BBB66D7CA4}" time="2023-01-29T14:17:27.717Z">
        <t:Attribution userId="S::will.wright@fiecon.com::22c6a2fe-741a-4a28-9755-1190b5e72835" userProvider="AD" userName="Will Wright"/>
        <t:Anchor>
          <t:Comment id="662767287"/>
        </t:Anchor>
        <t:Assign userId="S::Sofie.Bojarski@fiecon.com::ec8d35fa-9159-4787-9d36-beea1ac597ba" userProvider="AD" userName="Sofie Czarnota-Bojarski"/>
      </t:Event>
      <t:Event id="{859C03DC-766D-495B-8894-2B1868CAC1B3}" time="2023-01-29T14:17:27.717Z">
        <t:Attribution userId="S::will.wright@fiecon.com::22c6a2fe-741a-4a28-9755-1190b5e72835" userProvider="AD" userName="Will Wright"/>
        <t:Anchor>
          <t:Comment id="662767287"/>
        </t:Anchor>
        <t:SetTitle title="LiveInsighter ref? @Sofie Czarnota-Bojarski "/>
      </t:Event>
      <t:Event id="{1EDE3EC9-15BD-4AC5-805A-026CF6097659}" time="2023-01-30T09:40:11.011Z">
        <t:Attribution userId="S::Sofie.Bojarski@fiecon.com::ec8d35fa-9159-4787-9d36-beea1ac597ba" userProvider="AD" userName="Sofie Czarnota-Bojarski"/>
        <t:Progress percentComplete="100"/>
      </t:Event>
    </t:History>
  </t:Task>
  <t:Task id="{1B2A8324-A146-417D-A067-995D3FF7F9BB}">
    <t:Anchor>
      <t:Comment id="662767299"/>
    </t:Anchor>
    <t:History>
      <t:Event id="{7BFFB778-4D3D-45DC-B795-6510FE174CDE}" time="2023-01-29T14:17:27.717Z">
        <t:Attribution userId="S::will.wright@fiecon.com::22c6a2fe-741a-4a28-9755-1190b5e72835" userProvider="AD" userName="Will Wright"/>
        <t:Anchor>
          <t:Comment id="662767299"/>
        </t:Anchor>
        <t:Create/>
      </t:Event>
      <t:Event id="{56C7CA97-60D4-4121-A7A8-C7BBB66D7CA4}" time="2023-01-29T14:17:27.717Z">
        <t:Attribution userId="S::will.wright@fiecon.com::22c6a2fe-741a-4a28-9755-1190b5e72835" userProvider="AD" userName="Will Wright"/>
        <t:Anchor>
          <t:Comment id="662767299"/>
        </t:Anchor>
        <t:Assign userId="S::Sofie.Bojarski@fiecon.com::ec8d35fa-9159-4787-9d36-beea1ac597ba" userProvider="AD" userName="Sofie Czarnota-Bojarski"/>
      </t:Event>
      <t:Event id="{859C03DC-766D-495B-8894-2B1868CAC1B3}" time="2023-01-29T14:17:27.717Z">
        <t:Attribution userId="S::will.wright@fiecon.com::22c6a2fe-741a-4a28-9755-1190b5e72835" userProvider="AD" userName="Will Wright"/>
        <t:Anchor>
          <t:Comment id="662767299"/>
        </t:Anchor>
        <t:SetTitle title="LiveInsighter ref? @Sofie Czarnota-Bojarski "/>
      </t:Event>
      <t:Event id="{E714F0D9-573D-470F-9A1A-A7FFD5D90CA4}" time="2023-01-30T09:41:07.958Z">
        <t:Attribution userId="S::Sofie.Bojarski@fiecon.com::ec8d35fa-9159-4787-9d36-beea1ac597ba" userProvider="AD" userName="Sofie Czarnota-Bojarski"/>
        <t:Progress percentComplete="100"/>
      </t:Event>
    </t:History>
  </t:Task>
  <t:Task id="{35734E95-5508-45F1-B931-44718AA4B480}">
    <t:Anchor>
      <t:Comment id="662872174"/>
    </t:Anchor>
    <t:History>
      <t:Event id="{C35E44D0-4DDE-4AD9-90AA-31FBDF5D977F}" time="2023-01-24T16:49:27.025Z">
        <t:Attribution userId="S::will.wright@fiecon.com::22c6a2fe-741a-4a28-9755-1190b5e72835" userProvider="AD" userName="Will Wright"/>
        <t:Anchor>
          <t:Comment id="662872172"/>
        </t:Anchor>
        <t:Create/>
      </t:Event>
      <t:Event id="{77CCF699-3156-4F0B-9EC4-AAA9DD3C1200}" time="2023-01-24T16:49:27.025Z">
        <t:Attribution userId="S::will.wright@fiecon.com::22c6a2fe-741a-4a28-9755-1190b5e72835" userProvider="AD" userName="Will Wright"/>
        <t:Anchor>
          <t:Comment id="662872172"/>
        </t:Anchor>
        <t:Assign userId="S::Sofie.Bojarski@fiecon.com::ec8d35fa-9159-4787-9d36-beea1ac597ba" userProvider="AD" userName="Sofie Czarnota-Bojarski"/>
      </t:Event>
      <t:Event id="{1B2819F0-2AD8-4A7E-A78F-502093A79011}" time="2023-01-24T16:49:27.025Z">
        <t:Attribution userId="S::will.wright@fiecon.com::22c6a2fe-741a-4a28-9755-1190b5e72835" userProvider="AD" userName="Will Wright"/>
        <t:Anchor>
          <t:Comment id="662872172"/>
        </t:Anchor>
        <t:SetTitle title="@Sofie Czarnota-Bojarski looks like 2L has repetition of SG...should one of the SGs be in 3L"/>
      </t:Event>
      <t:Event id="{381EABE3-2C13-49A4-A284-CA43433A4225}" time="2023-01-30T20:00:59.196Z">
        <t:Attribution userId="S::will.wright@fiecon.com::22c6a2fe-741a-4a28-9755-1190b5e72835" userProvider="AD" userName="Will Wright"/>
        <t:Progress percentComplete="100"/>
      </t:Event>
      <t:Event id="{4CC4D084-0031-4BA7-ABBA-9492E576AE90}" time="2023-01-30T20:01:05.098Z">
        <t:Attribution userId="S::will.wright@fiecon.com::22c6a2fe-741a-4a28-9755-1190b5e72835" userProvider="AD" userName="Will Wright"/>
        <t:Progress percentComplete="0"/>
      </t:Event>
      <t:Event id="{02D6018D-3DB2-405E-BF79-02B1B04DB407}" time="2023-01-30T20:03:29.812Z">
        <t:Attribution userId="S::will.wright@fiecon.com::22c6a2fe-741a-4a28-9755-1190b5e72835" userProvider="AD" userName="Will Wright"/>
        <t:Progress percentComplete="100"/>
      </t:Event>
      <t:Event id="{D374DE9C-40F3-4379-85F6-DFC461585709}" time="2023-01-30T20:03:30.994Z">
        <t:Attribution userId="S::will.wright@fiecon.com::22c6a2fe-741a-4a28-9755-1190b5e72835" userProvider="AD" userName="Will Wright"/>
        <t:Undo id="{02D6018D-3DB2-405E-BF79-02B1B04DB407}"/>
      </t:Event>
    </t:History>
  </t:Task>
</t:Task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B95489E0E09497DB8EEB1E537422179"/>
        <w:category>
          <w:name w:val="General"/>
          <w:gallery w:val="placeholder"/>
        </w:category>
        <w:types>
          <w:type w:val="bbPlcHdr"/>
        </w:types>
        <w:behaviors>
          <w:behavior w:val="content"/>
        </w:behaviors>
        <w:guid w:val="{2444E1BD-B5EA-4701-9378-B2C1A7124D99}"/>
      </w:docPartPr>
      <w:docPartBody>
        <w:p w:rsidR="00A6554C" w:rsidRDefault="00CE5061" w:rsidP="00CE5061">
          <w:pPr>
            <w:pStyle w:val="5B95489E0E09497DB8EEB1E537422179"/>
          </w:pPr>
          <w:r w:rsidRPr="00620E42">
            <w:rPr>
              <w:rStyle w:val="PlaceholderText"/>
            </w:rPr>
            <w:t>Click or tap here to enter text.</w:t>
          </w:r>
        </w:p>
      </w:docPartBody>
    </w:docPart>
    <w:docPart>
      <w:docPartPr>
        <w:name w:val="8C143A42E93E4E6B8C3F432F3C1C8FD7"/>
        <w:category>
          <w:name w:val="General"/>
          <w:gallery w:val="placeholder"/>
        </w:category>
        <w:types>
          <w:type w:val="bbPlcHdr"/>
        </w:types>
        <w:behaviors>
          <w:behavior w:val="content"/>
        </w:behaviors>
        <w:guid w:val="{72EA71BA-300E-482E-A54D-1F41DF2DDD58}"/>
      </w:docPartPr>
      <w:docPartBody>
        <w:p w:rsidR="0052312B" w:rsidRDefault="00F51317">
          <w:pPr>
            <w:pStyle w:val="8C143A42E93E4E6B8C3F432F3C1C8FD7"/>
          </w:pPr>
          <w:r w:rsidRPr="00620E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TimesNewRoman">
    <w:altName w:val="Yu Gothic"/>
    <w:panose1 w:val="00000000000000000000"/>
    <w:charset w:val="80"/>
    <w:family w:val="auto"/>
    <w:notTrueType/>
    <w:pitch w:val="default"/>
    <w:sig w:usb0="00000003" w:usb1="08070000" w:usb2="00000010" w:usb3="00000000" w:csb0="0002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CE4"/>
    <w:rsid w:val="0000316C"/>
    <w:rsid w:val="001571F9"/>
    <w:rsid w:val="00161DC4"/>
    <w:rsid w:val="00175083"/>
    <w:rsid w:val="00207F52"/>
    <w:rsid w:val="00211204"/>
    <w:rsid w:val="00214465"/>
    <w:rsid w:val="00273C91"/>
    <w:rsid w:val="002D612D"/>
    <w:rsid w:val="002E0B58"/>
    <w:rsid w:val="00300A88"/>
    <w:rsid w:val="00324297"/>
    <w:rsid w:val="00367DA7"/>
    <w:rsid w:val="003A03EE"/>
    <w:rsid w:val="003E3B17"/>
    <w:rsid w:val="003E7B63"/>
    <w:rsid w:val="003F1C6F"/>
    <w:rsid w:val="0045380F"/>
    <w:rsid w:val="00461598"/>
    <w:rsid w:val="00485AC4"/>
    <w:rsid w:val="004D22F9"/>
    <w:rsid w:val="00517C1F"/>
    <w:rsid w:val="0052312B"/>
    <w:rsid w:val="00581ACB"/>
    <w:rsid w:val="00602661"/>
    <w:rsid w:val="006320FB"/>
    <w:rsid w:val="00685B6C"/>
    <w:rsid w:val="006A0884"/>
    <w:rsid w:val="006E34B6"/>
    <w:rsid w:val="007861AF"/>
    <w:rsid w:val="007F557E"/>
    <w:rsid w:val="007F7250"/>
    <w:rsid w:val="008A7371"/>
    <w:rsid w:val="008C360E"/>
    <w:rsid w:val="00940233"/>
    <w:rsid w:val="00947A67"/>
    <w:rsid w:val="00950B08"/>
    <w:rsid w:val="00951D71"/>
    <w:rsid w:val="009E2A18"/>
    <w:rsid w:val="00A6554C"/>
    <w:rsid w:val="00B2632F"/>
    <w:rsid w:val="00B51850"/>
    <w:rsid w:val="00B52976"/>
    <w:rsid w:val="00BB3665"/>
    <w:rsid w:val="00BD7439"/>
    <w:rsid w:val="00BF1E18"/>
    <w:rsid w:val="00C069AF"/>
    <w:rsid w:val="00C22165"/>
    <w:rsid w:val="00C66CE4"/>
    <w:rsid w:val="00CC795D"/>
    <w:rsid w:val="00CE5061"/>
    <w:rsid w:val="00CF33F6"/>
    <w:rsid w:val="00CF50FE"/>
    <w:rsid w:val="00D2119B"/>
    <w:rsid w:val="00D64CEB"/>
    <w:rsid w:val="00DD025E"/>
    <w:rsid w:val="00DD2704"/>
    <w:rsid w:val="00DE09A1"/>
    <w:rsid w:val="00E045DF"/>
    <w:rsid w:val="00E10718"/>
    <w:rsid w:val="00E36A1D"/>
    <w:rsid w:val="00E436F3"/>
    <w:rsid w:val="00E51B66"/>
    <w:rsid w:val="00EE7EDD"/>
    <w:rsid w:val="00EF1D58"/>
    <w:rsid w:val="00EF5456"/>
    <w:rsid w:val="00F51317"/>
    <w:rsid w:val="00F55B5D"/>
    <w:rsid w:val="00F9230B"/>
    <w:rsid w:val="00FB0765"/>
    <w:rsid w:val="00FB117B"/>
    <w:rsid w:val="00FF364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5B95489E0E09497DB8EEB1E537422179">
    <w:name w:val="5B95489E0E09497DB8EEB1E537422179"/>
    <w:rsid w:val="00CE5061"/>
  </w:style>
  <w:style w:type="paragraph" w:customStyle="1" w:styleId="8C143A42E93E4E6B8C3F432F3C1C8FD7">
    <w:name w:val="8C143A42E93E4E6B8C3F432F3C1C8F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1456"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74EFEBF-60DD-41C6-9C5C-B7E70CE11DCD}">
  <we:reference id="8bc018e3-f345-40d4-8f1d-97951765d531" version="3.0.0.0" store="EXCatalog" storeType="EXCatalog"/>
  <we:alternateReferences>
    <we:reference id="WA104380862" version="3.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37a3244b-8d9d-4aef-aec1-d0a9ae605831">
      <Terms xmlns="http://schemas.microsoft.com/office/infopath/2007/PartnerControls"/>
    </lcf76f155ced4ddcb4097134ff3c332f>
    <SharedWithUsers xmlns="83eb5440-7b86-44da-a554-9f8a9bbddb0c">
      <UserInfo>
        <DisplayName>Patel, Keyur</DisplayName>
        <AccountId>106</AccountId>
        <AccountType/>
      </UserInfo>
      <UserInfo>
        <DisplayName>Mughal, Farhan</DisplayName>
        <AccountId>28</AccountId>
        <AccountType/>
      </UserInfo>
      <UserInfo>
        <DisplayName>McLachlan, Safa</DisplayName>
        <AccountId>60</AccountId>
        <AccountType/>
      </UserInfo>
    </SharedWithUsers>
    <TaxCatchAll xmlns="83eb5440-7b86-44da-a554-9f8a9bbddb0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73246E86DD8774490A885F8B57BC5E1" ma:contentTypeVersion="14" ma:contentTypeDescription="Create a new document." ma:contentTypeScope="" ma:versionID="870b48da89bf4efb8f4a9d74569f3651">
  <xsd:schema xmlns:xsd="http://www.w3.org/2001/XMLSchema" xmlns:xs="http://www.w3.org/2001/XMLSchema" xmlns:p="http://schemas.microsoft.com/office/2006/metadata/properties" xmlns:ns2="37a3244b-8d9d-4aef-aec1-d0a9ae605831" xmlns:ns3="83eb5440-7b86-44da-a554-9f8a9bbddb0c" targetNamespace="http://schemas.microsoft.com/office/2006/metadata/properties" ma:root="true" ma:fieldsID="92a88eb61c7c476d799c3758b2bde129" ns2:_="" ns3:_="">
    <xsd:import namespace="37a3244b-8d9d-4aef-aec1-d0a9ae605831"/>
    <xsd:import namespace="83eb5440-7b86-44da-a554-9f8a9bbddb0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SearchPropertie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DateTake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a3244b-8d9d-4aef-aec1-d0a9ae6058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f9e8461a-8119-4f82-8990-34d27a6b4b8f" ma:termSetId="09814cd3-568e-fe90-9814-8d621ff8fb84" ma:anchorId="fba54fb3-c3e1-fe81-a776-ca4b69148c4d" ma:open="true" ma:isKeyword="false">
      <xsd:complexType>
        <xsd:sequence>
          <xsd:element ref="pc:Terms" minOccurs="0" maxOccurs="1"/>
        </xsd:sequence>
      </xsd:complex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3eb5440-7b86-44da-a554-9f8a9bbddb0c"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23cfcf79-cbb5-45cd-8ef2-a6bb54179dbb}" ma:internalName="TaxCatchAll" ma:showField="CatchAllData" ma:web="83eb5440-7b86-44da-a554-9f8a9bbddb0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856D92-4242-41C6-9B61-483714C7AC4C}">
  <ds:schemaRefs>
    <ds:schemaRef ds:uri="http://purl.org/dc/elements/1.1/"/>
    <ds:schemaRef ds:uri="http://schemas.microsoft.com/office/2006/metadata/properties"/>
    <ds:schemaRef ds:uri="http://purl.org/dc/terms/"/>
    <ds:schemaRef ds:uri="0b2f630d-eb13-429c-9fed-208db19ac429"/>
    <ds:schemaRef ds:uri="http://schemas.microsoft.com/office/2006/documentManagement/types"/>
    <ds:schemaRef ds:uri="http://schemas.openxmlformats.org/package/2006/metadata/core-properties"/>
    <ds:schemaRef ds:uri="http://purl.org/dc/dcmitype/"/>
    <ds:schemaRef ds:uri="http://schemas.microsoft.com/office/infopath/2007/PartnerControls"/>
    <ds:schemaRef ds:uri="8b435ef2-faa5-40b4-aba2-2d0e269bdfa8"/>
    <ds:schemaRef ds:uri="http://www.w3.org/XML/1998/namespace"/>
  </ds:schemaRefs>
</ds:datastoreItem>
</file>

<file path=customXml/itemProps2.xml><?xml version="1.0" encoding="utf-8"?>
<ds:datastoreItem xmlns:ds="http://schemas.openxmlformats.org/officeDocument/2006/customXml" ds:itemID="{624FFCE8-61A8-4356-950A-EFBF77BB0828}">
  <ds:schemaRefs>
    <ds:schemaRef ds:uri="http://schemas.microsoft.com/sharepoint/v3/contenttype/forms"/>
  </ds:schemaRefs>
</ds:datastoreItem>
</file>

<file path=customXml/itemProps3.xml><?xml version="1.0" encoding="utf-8"?>
<ds:datastoreItem xmlns:ds="http://schemas.openxmlformats.org/officeDocument/2006/customXml" ds:itemID="{02C75A85-DE75-4908-B6AC-D68A660680E9}"/>
</file>

<file path=customXml/itemProps4.xml><?xml version="1.0" encoding="utf-8"?>
<ds:datastoreItem xmlns:ds="http://schemas.openxmlformats.org/officeDocument/2006/customXml" ds:itemID="{4A1BD352-631D-4BC2-B88E-DAF3D2A1D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1290</TotalTime>
  <Pages>188</Pages>
  <Words>405834</Words>
  <Characters>2313259</Characters>
  <Application>Microsoft Office Word</Application>
  <DocSecurity>0</DocSecurity>
  <Lines>19277</Lines>
  <Paragraphs>5427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2713666</CharactersWithSpaces>
  <SharedDoc>false</SharedDoc>
  <HLinks>
    <vt:vector size="1308" baseType="variant">
      <vt:variant>
        <vt:i4>7405629</vt:i4>
      </vt:variant>
      <vt:variant>
        <vt:i4>5432</vt:i4>
      </vt:variant>
      <vt:variant>
        <vt:i4>0</vt:i4>
      </vt:variant>
      <vt:variant>
        <vt:i4>5</vt:i4>
      </vt:variant>
      <vt:variant>
        <vt:lpwstr/>
      </vt:variant>
      <vt:variant>
        <vt:lpwstr>_ENREF_161</vt:lpwstr>
      </vt:variant>
      <vt:variant>
        <vt:i4>7798846</vt:i4>
      </vt:variant>
      <vt:variant>
        <vt:i4>5321</vt:i4>
      </vt:variant>
      <vt:variant>
        <vt:i4>0</vt:i4>
      </vt:variant>
      <vt:variant>
        <vt:i4>5</vt:i4>
      </vt:variant>
      <vt:variant>
        <vt:lpwstr/>
      </vt:variant>
      <vt:variant>
        <vt:lpwstr>_ENREF_157</vt:lpwstr>
      </vt:variant>
      <vt:variant>
        <vt:i4>7667774</vt:i4>
      </vt:variant>
      <vt:variant>
        <vt:i4>5241</vt:i4>
      </vt:variant>
      <vt:variant>
        <vt:i4>0</vt:i4>
      </vt:variant>
      <vt:variant>
        <vt:i4>5</vt:i4>
      </vt:variant>
      <vt:variant>
        <vt:lpwstr/>
      </vt:variant>
      <vt:variant>
        <vt:lpwstr>_ENREF_155</vt:lpwstr>
      </vt:variant>
      <vt:variant>
        <vt:i4>7471163</vt:i4>
      </vt:variant>
      <vt:variant>
        <vt:i4>3685</vt:i4>
      </vt:variant>
      <vt:variant>
        <vt:i4>0</vt:i4>
      </vt:variant>
      <vt:variant>
        <vt:i4>5</vt:i4>
      </vt:variant>
      <vt:variant>
        <vt:lpwstr/>
      </vt:variant>
      <vt:variant>
        <vt:lpwstr>_ENREF_102</vt:lpwstr>
      </vt:variant>
      <vt:variant>
        <vt:i4>7667771</vt:i4>
      </vt:variant>
      <vt:variant>
        <vt:i4>3404</vt:i4>
      </vt:variant>
      <vt:variant>
        <vt:i4>0</vt:i4>
      </vt:variant>
      <vt:variant>
        <vt:i4>5</vt:i4>
      </vt:variant>
      <vt:variant>
        <vt:lpwstr/>
      </vt:variant>
      <vt:variant>
        <vt:lpwstr>_ENREF_105</vt:lpwstr>
      </vt:variant>
      <vt:variant>
        <vt:i4>7471163</vt:i4>
      </vt:variant>
      <vt:variant>
        <vt:i4>3149</vt:i4>
      </vt:variant>
      <vt:variant>
        <vt:i4>0</vt:i4>
      </vt:variant>
      <vt:variant>
        <vt:i4>5</vt:i4>
      </vt:variant>
      <vt:variant>
        <vt:lpwstr/>
      </vt:variant>
      <vt:variant>
        <vt:lpwstr>_ENREF_102</vt:lpwstr>
      </vt:variant>
      <vt:variant>
        <vt:i4>7471163</vt:i4>
      </vt:variant>
      <vt:variant>
        <vt:i4>3125</vt:i4>
      </vt:variant>
      <vt:variant>
        <vt:i4>0</vt:i4>
      </vt:variant>
      <vt:variant>
        <vt:i4>5</vt:i4>
      </vt:variant>
      <vt:variant>
        <vt:lpwstr/>
      </vt:variant>
      <vt:variant>
        <vt:lpwstr>_ENREF_102</vt:lpwstr>
      </vt:variant>
      <vt:variant>
        <vt:i4>7667770</vt:i4>
      </vt:variant>
      <vt:variant>
        <vt:i4>2826</vt:i4>
      </vt:variant>
      <vt:variant>
        <vt:i4>0</vt:i4>
      </vt:variant>
      <vt:variant>
        <vt:i4>5</vt:i4>
      </vt:variant>
      <vt:variant>
        <vt:lpwstr/>
      </vt:variant>
      <vt:variant>
        <vt:lpwstr>_ENREF_115</vt:lpwstr>
      </vt:variant>
      <vt:variant>
        <vt:i4>7471162</vt:i4>
      </vt:variant>
      <vt:variant>
        <vt:i4>2740</vt:i4>
      </vt:variant>
      <vt:variant>
        <vt:i4>0</vt:i4>
      </vt:variant>
      <vt:variant>
        <vt:i4>5</vt:i4>
      </vt:variant>
      <vt:variant>
        <vt:lpwstr/>
      </vt:variant>
      <vt:variant>
        <vt:lpwstr>_ENREF_112</vt:lpwstr>
      </vt:variant>
      <vt:variant>
        <vt:i4>4653067</vt:i4>
      </vt:variant>
      <vt:variant>
        <vt:i4>1677</vt:i4>
      </vt:variant>
      <vt:variant>
        <vt:i4>0</vt:i4>
      </vt:variant>
      <vt:variant>
        <vt:i4>5</vt:i4>
      </vt:variant>
      <vt:variant>
        <vt:lpwstr/>
      </vt:variant>
      <vt:variant>
        <vt:lpwstr>_ENREF_68</vt:lpwstr>
      </vt:variant>
      <vt:variant>
        <vt:i4>1245245</vt:i4>
      </vt:variant>
      <vt:variant>
        <vt:i4>1250</vt:i4>
      </vt:variant>
      <vt:variant>
        <vt:i4>0</vt:i4>
      </vt:variant>
      <vt:variant>
        <vt:i4>5</vt:i4>
      </vt:variant>
      <vt:variant>
        <vt:lpwstr/>
      </vt:variant>
      <vt:variant>
        <vt:lpwstr>_Toc129351048</vt:lpwstr>
      </vt:variant>
      <vt:variant>
        <vt:i4>1245245</vt:i4>
      </vt:variant>
      <vt:variant>
        <vt:i4>1244</vt:i4>
      </vt:variant>
      <vt:variant>
        <vt:i4>0</vt:i4>
      </vt:variant>
      <vt:variant>
        <vt:i4>5</vt:i4>
      </vt:variant>
      <vt:variant>
        <vt:lpwstr/>
      </vt:variant>
      <vt:variant>
        <vt:lpwstr>_Toc129351047</vt:lpwstr>
      </vt:variant>
      <vt:variant>
        <vt:i4>1245245</vt:i4>
      </vt:variant>
      <vt:variant>
        <vt:i4>1238</vt:i4>
      </vt:variant>
      <vt:variant>
        <vt:i4>0</vt:i4>
      </vt:variant>
      <vt:variant>
        <vt:i4>5</vt:i4>
      </vt:variant>
      <vt:variant>
        <vt:lpwstr/>
      </vt:variant>
      <vt:variant>
        <vt:lpwstr>_Toc129351046</vt:lpwstr>
      </vt:variant>
      <vt:variant>
        <vt:i4>1245245</vt:i4>
      </vt:variant>
      <vt:variant>
        <vt:i4>1232</vt:i4>
      </vt:variant>
      <vt:variant>
        <vt:i4>0</vt:i4>
      </vt:variant>
      <vt:variant>
        <vt:i4>5</vt:i4>
      </vt:variant>
      <vt:variant>
        <vt:lpwstr/>
      </vt:variant>
      <vt:variant>
        <vt:lpwstr>_Toc129351045</vt:lpwstr>
      </vt:variant>
      <vt:variant>
        <vt:i4>1245245</vt:i4>
      </vt:variant>
      <vt:variant>
        <vt:i4>1226</vt:i4>
      </vt:variant>
      <vt:variant>
        <vt:i4>0</vt:i4>
      </vt:variant>
      <vt:variant>
        <vt:i4>5</vt:i4>
      </vt:variant>
      <vt:variant>
        <vt:lpwstr/>
      </vt:variant>
      <vt:variant>
        <vt:lpwstr>_Toc129351044</vt:lpwstr>
      </vt:variant>
      <vt:variant>
        <vt:i4>1245245</vt:i4>
      </vt:variant>
      <vt:variant>
        <vt:i4>1220</vt:i4>
      </vt:variant>
      <vt:variant>
        <vt:i4>0</vt:i4>
      </vt:variant>
      <vt:variant>
        <vt:i4>5</vt:i4>
      </vt:variant>
      <vt:variant>
        <vt:lpwstr/>
      </vt:variant>
      <vt:variant>
        <vt:lpwstr>_Toc129351043</vt:lpwstr>
      </vt:variant>
      <vt:variant>
        <vt:i4>1245245</vt:i4>
      </vt:variant>
      <vt:variant>
        <vt:i4>1214</vt:i4>
      </vt:variant>
      <vt:variant>
        <vt:i4>0</vt:i4>
      </vt:variant>
      <vt:variant>
        <vt:i4>5</vt:i4>
      </vt:variant>
      <vt:variant>
        <vt:lpwstr/>
      </vt:variant>
      <vt:variant>
        <vt:lpwstr>_Toc129351042</vt:lpwstr>
      </vt:variant>
      <vt:variant>
        <vt:i4>1245245</vt:i4>
      </vt:variant>
      <vt:variant>
        <vt:i4>1208</vt:i4>
      </vt:variant>
      <vt:variant>
        <vt:i4>0</vt:i4>
      </vt:variant>
      <vt:variant>
        <vt:i4>5</vt:i4>
      </vt:variant>
      <vt:variant>
        <vt:lpwstr/>
      </vt:variant>
      <vt:variant>
        <vt:lpwstr>_Toc129351041</vt:lpwstr>
      </vt:variant>
      <vt:variant>
        <vt:i4>1245245</vt:i4>
      </vt:variant>
      <vt:variant>
        <vt:i4>1202</vt:i4>
      </vt:variant>
      <vt:variant>
        <vt:i4>0</vt:i4>
      </vt:variant>
      <vt:variant>
        <vt:i4>5</vt:i4>
      </vt:variant>
      <vt:variant>
        <vt:lpwstr/>
      </vt:variant>
      <vt:variant>
        <vt:lpwstr>_Toc129351040</vt:lpwstr>
      </vt:variant>
      <vt:variant>
        <vt:i4>1310781</vt:i4>
      </vt:variant>
      <vt:variant>
        <vt:i4>1196</vt:i4>
      </vt:variant>
      <vt:variant>
        <vt:i4>0</vt:i4>
      </vt:variant>
      <vt:variant>
        <vt:i4>5</vt:i4>
      </vt:variant>
      <vt:variant>
        <vt:lpwstr/>
      </vt:variant>
      <vt:variant>
        <vt:lpwstr>_Toc129351039</vt:lpwstr>
      </vt:variant>
      <vt:variant>
        <vt:i4>1310781</vt:i4>
      </vt:variant>
      <vt:variant>
        <vt:i4>1190</vt:i4>
      </vt:variant>
      <vt:variant>
        <vt:i4>0</vt:i4>
      </vt:variant>
      <vt:variant>
        <vt:i4>5</vt:i4>
      </vt:variant>
      <vt:variant>
        <vt:lpwstr/>
      </vt:variant>
      <vt:variant>
        <vt:lpwstr>_Toc129351038</vt:lpwstr>
      </vt:variant>
      <vt:variant>
        <vt:i4>1310781</vt:i4>
      </vt:variant>
      <vt:variant>
        <vt:i4>1184</vt:i4>
      </vt:variant>
      <vt:variant>
        <vt:i4>0</vt:i4>
      </vt:variant>
      <vt:variant>
        <vt:i4>5</vt:i4>
      </vt:variant>
      <vt:variant>
        <vt:lpwstr/>
      </vt:variant>
      <vt:variant>
        <vt:lpwstr>_Toc129351037</vt:lpwstr>
      </vt:variant>
      <vt:variant>
        <vt:i4>1310781</vt:i4>
      </vt:variant>
      <vt:variant>
        <vt:i4>1178</vt:i4>
      </vt:variant>
      <vt:variant>
        <vt:i4>0</vt:i4>
      </vt:variant>
      <vt:variant>
        <vt:i4>5</vt:i4>
      </vt:variant>
      <vt:variant>
        <vt:lpwstr/>
      </vt:variant>
      <vt:variant>
        <vt:lpwstr>_Toc129351036</vt:lpwstr>
      </vt:variant>
      <vt:variant>
        <vt:i4>1310781</vt:i4>
      </vt:variant>
      <vt:variant>
        <vt:i4>1172</vt:i4>
      </vt:variant>
      <vt:variant>
        <vt:i4>0</vt:i4>
      </vt:variant>
      <vt:variant>
        <vt:i4>5</vt:i4>
      </vt:variant>
      <vt:variant>
        <vt:lpwstr/>
      </vt:variant>
      <vt:variant>
        <vt:lpwstr>_Toc129351035</vt:lpwstr>
      </vt:variant>
      <vt:variant>
        <vt:i4>1310781</vt:i4>
      </vt:variant>
      <vt:variant>
        <vt:i4>1166</vt:i4>
      </vt:variant>
      <vt:variant>
        <vt:i4>0</vt:i4>
      </vt:variant>
      <vt:variant>
        <vt:i4>5</vt:i4>
      </vt:variant>
      <vt:variant>
        <vt:lpwstr/>
      </vt:variant>
      <vt:variant>
        <vt:lpwstr>_Toc129351034</vt:lpwstr>
      </vt:variant>
      <vt:variant>
        <vt:i4>1310781</vt:i4>
      </vt:variant>
      <vt:variant>
        <vt:i4>1160</vt:i4>
      </vt:variant>
      <vt:variant>
        <vt:i4>0</vt:i4>
      </vt:variant>
      <vt:variant>
        <vt:i4>5</vt:i4>
      </vt:variant>
      <vt:variant>
        <vt:lpwstr/>
      </vt:variant>
      <vt:variant>
        <vt:lpwstr>_Toc129351033</vt:lpwstr>
      </vt:variant>
      <vt:variant>
        <vt:i4>1310781</vt:i4>
      </vt:variant>
      <vt:variant>
        <vt:i4>1154</vt:i4>
      </vt:variant>
      <vt:variant>
        <vt:i4>0</vt:i4>
      </vt:variant>
      <vt:variant>
        <vt:i4>5</vt:i4>
      </vt:variant>
      <vt:variant>
        <vt:lpwstr/>
      </vt:variant>
      <vt:variant>
        <vt:lpwstr>_Toc129351032</vt:lpwstr>
      </vt:variant>
      <vt:variant>
        <vt:i4>1310781</vt:i4>
      </vt:variant>
      <vt:variant>
        <vt:i4>1148</vt:i4>
      </vt:variant>
      <vt:variant>
        <vt:i4>0</vt:i4>
      </vt:variant>
      <vt:variant>
        <vt:i4>5</vt:i4>
      </vt:variant>
      <vt:variant>
        <vt:lpwstr/>
      </vt:variant>
      <vt:variant>
        <vt:lpwstr>_Toc129351031</vt:lpwstr>
      </vt:variant>
      <vt:variant>
        <vt:i4>1310781</vt:i4>
      </vt:variant>
      <vt:variant>
        <vt:i4>1142</vt:i4>
      </vt:variant>
      <vt:variant>
        <vt:i4>0</vt:i4>
      </vt:variant>
      <vt:variant>
        <vt:i4>5</vt:i4>
      </vt:variant>
      <vt:variant>
        <vt:lpwstr/>
      </vt:variant>
      <vt:variant>
        <vt:lpwstr>_Toc129351030</vt:lpwstr>
      </vt:variant>
      <vt:variant>
        <vt:i4>1376317</vt:i4>
      </vt:variant>
      <vt:variant>
        <vt:i4>1136</vt:i4>
      </vt:variant>
      <vt:variant>
        <vt:i4>0</vt:i4>
      </vt:variant>
      <vt:variant>
        <vt:i4>5</vt:i4>
      </vt:variant>
      <vt:variant>
        <vt:lpwstr/>
      </vt:variant>
      <vt:variant>
        <vt:lpwstr>_Toc129351029</vt:lpwstr>
      </vt:variant>
      <vt:variant>
        <vt:i4>1376317</vt:i4>
      </vt:variant>
      <vt:variant>
        <vt:i4>1130</vt:i4>
      </vt:variant>
      <vt:variant>
        <vt:i4>0</vt:i4>
      </vt:variant>
      <vt:variant>
        <vt:i4>5</vt:i4>
      </vt:variant>
      <vt:variant>
        <vt:lpwstr/>
      </vt:variant>
      <vt:variant>
        <vt:lpwstr>_Toc129351028</vt:lpwstr>
      </vt:variant>
      <vt:variant>
        <vt:i4>1376317</vt:i4>
      </vt:variant>
      <vt:variant>
        <vt:i4>1124</vt:i4>
      </vt:variant>
      <vt:variant>
        <vt:i4>0</vt:i4>
      </vt:variant>
      <vt:variant>
        <vt:i4>5</vt:i4>
      </vt:variant>
      <vt:variant>
        <vt:lpwstr/>
      </vt:variant>
      <vt:variant>
        <vt:lpwstr>_Toc129351027</vt:lpwstr>
      </vt:variant>
      <vt:variant>
        <vt:i4>1376317</vt:i4>
      </vt:variant>
      <vt:variant>
        <vt:i4>1118</vt:i4>
      </vt:variant>
      <vt:variant>
        <vt:i4>0</vt:i4>
      </vt:variant>
      <vt:variant>
        <vt:i4>5</vt:i4>
      </vt:variant>
      <vt:variant>
        <vt:lpwstr/>
      </vt:variant>
      <vt:variant>
        <vt:lpwstr>_Toc129351026</vt:lpwstr>
      </vt:variant>
      <vt:variant>
        <vt:i4>1376317</vt:i4>
      </vt:variant>
      <vt:variant>
        <vt:i4>1112</vt:i4>
      </vt:variant>
      <vt:variant>
        <vt:i4>0</vt:i4>
      </vt:variant>
      <vt:variant>
        <vt:i4>5</vt:i4>
      </vt:variant>
      <vt:variant>
        <vt:lpwstr/>
      </vt:variant>
      <vt:variant>
        <vt:lpwstr>_Toc129351025</vt:lpwstr>
      </vt:variant>
      <vt:variant>
        <vt:i4>1376317</vt:i4>
      </vt:variant>
      <vt:variant>
        <vt:i4>1106</vt:i4>
      </vt:variant>
      <vt:variant>
        <vt:i4>0</vt:i4>
      </vt:variant>
      <vt:variant>
        <vt:i4>5</vt:i4>
      </vt:variant>
      <vt:variant>
        <vt:lpwstr/>
      </vt:variant>
      <vt:variant>
        <vt:lpwstr>_Toc129351024</vt:lpwstr>
      </vt:variant>
      <vt:variant>
        <vt:i4>1376317</vt:i4>
      </vt:variant>
      <vt:variant>
        <vt:i4>1100</vt:i4>
      </vt:variant>
      <vt:variant>
        <vt:i4>0</vt:i4>
      </vt:variant>
      <vt:variant>
        <vt:i4>5</vt:i4>
      </vt:variant>
      <vt:variant>
        <vt:lpwstr/>
      </vt:variant>
      <vt:variant>
        <vt:lpwstr>_Toc129351023</vt:lpwstr>
      </vt:variant>
      <vt:variant>
        <vt:i4>1376317</vt:i4>
      </vt:variant>
      <vt:variant>
        <vt:i4>1094</vt:i4>
      </vt:variant>
      <vt:variant>
        <vt:i4>0</vt:i4>
      </vt:variant>
      <vt:variant>
        <vt:i4>5</vt:i4>
      </vt:variant>
      <vt:variant>
        <vt:lpwstr/>
      </vt:variant>
      <vt:variant>
        <vt:lpwstr>_Toc129351022</vt:lpwstr>
      </vt:variant>
      <vt:variant>
        <vt:i4>1376317</vt:i4>
      </vt:variant>
      <vt:variant>
        <vt:i4>1088</vt:i4>
      </vt:variant>
      <vt:variant>
        <vt:i4>0</vt:i4>
      </vt:variant>
      <vt:variant>
        <vt:i4>5</vt:i4>
      </vt:variant>
      <vt:variant>
        <vt:lpwstr/>
      </vt:variant>
      <vt:variant>
        <vt:lpwstr>_Toc129351021</vt:lpwstr>
      </vt:variant>
      <vt:variant>
        <vt:i4>1376317</vt:i4>
      </vt:variant>
      <vt:variant>
        <vt:i4>1082</vt:i4>
      </vt:variant>
      <vt:variant>
        <vt:i4>0</vt:i4>
      </vt:variant>
      <vt:variant>
        <vt:i4>5</vt:i4>
      </vt:variant>
      <vt:variant>
        <vt:lpwstr/>
      </vt:variant>
      <vt:variant>
        <vt:lpwstr>_Toc129351020</vt:lpwstr>
      </vt:variant>
      <vt:variant>
        <vt:i4>1441853</vt:i4>
      </vt:variant>
      <vt:variant>
        <vt:i4>1076</vt:i4>
      </vt:variant>
      <vt:variant>
        <vt:i4>0</vt:i4>
      </vt:variant>
      <vt:variant>
        <vt:i4>5</vt:i4>
      </vt:variant>
      <vt:variant>
        <vt:lpwstr/>
      </vt:variant>
      <vt:variant>
        <vt:lpwstr>_Toc129351019</vt:lpwstr>
      </vt:variant>
      <vt:variant>
        <vt:i4>1441853</vt:i4>
      </vt:variant>
      <vt:variant>
        <vt:i4>1070</vt:i4>
      </vt:variant>
      <vt:variant>
        <vt:i4>0</vt:i4>
      </vt:variant>
      <vt:variant>
        <vt:i4>5</vt:i4>
      </vt:variant>
      <vt:variant>
        <vt:lpwstr/>
      </vt:variant>
      <vt:variant>
        <vt:lpwstr>_Toc129351018</vt:lpwstr>
      </vt:variant>
      <vt:variant>
        <vt:i4>1441853</vt:i4>
      </vt:variant>
      <vt:variant>
        <vt:i4>1064</vt:i4>
      </vt:variant>
      <vt:variant>
        <vt:i4>0</vt:i4>
      </vt:variant>
      <vt:variant>
        <vt:i4>5</vt:i4>
      </vt:variant>
      <vt:variant>
        <vt:lpwstr/>
      </vt:variant>
      <vt:variant>
        <vt:lpwstr>_Toc129351017</vt:lpwstr>
      </vt:variant>
      <vt:variant>
        <vt:i4>1441853</vt:i4>
      </vt:variant>
      <vt:variant>
        <vt:i4>1058</vt:i4>
      </vt:variant>
      <vt:variant>
        <vt:i4>0</vt:i4>
      </vt:variant>
      <vt:variant>
        <vt:i4>5</vt:i4>
      </vt:variant>
      <vt:variant>
        <vt:lpwstr/>
      </vt:variant>
      <vt:variant>
        <vt:lpwstr>_Toc129351016</vt:lpwstr>
      </vt:variant>
      <vt:variant>
        <vt:i4>1441853</vt:i4>
      </vt:variant>
      <vt:variant>
        <vt:i4>1052</vt:i4>
      </vt:variant>
      <vt:variant>
        <vt:i4>0</vt:i4>
      </vt:variant>
      <vt:variant>
        <vt:i4>5</vt:i4>
      </vt:variant>
      <vt:variant>
        <vt:lpwstr/>
      </vt:variant>
      <vt:variant>
        <vt:lpwstr>_Toc129351015</vt:lpwstr>
      </vt:variant>
      <vt:variant>
        <vt:i4>1441853</vt:i4>
      </vt:variant>
      <vt:variant>
        <vt:i4>1046</vt:i4>
      </vt:variant>
      <vt:variant>
        <vt:i4>0</vt:i4>
      </vt:variant>
      <vt:variant>
        <vt:i4>5</vt:i4>
      </vt:variant>
      <vt:variant>
        <vt:lpwstr/>
      </vt:variant>
      <vt:variant>
        <vt:lpwstr>_Toc129351014</vt:lpwstr>
      </vt:variant>
      <vt:variant>
        <vt:i4>1441853</vt:i4>
      </vt:variant>
      <vt:variant>
        <vt:i4>1040</vt:i4>
      </vt:variant>
      <vt:variant>
        <vt:i4>0</vt:i4>
      </vt:variant>
      <vt:variant>
        <vt:i4>5</vt:i4>
      </vt:variant>
      <vt:variant>
        <vt:lpwstr/>
      </vt:variant>
      <vt:variant>
        <vt:lpwstr>_Toc129351013</vt:lpwstr>
      </vt:variant>
      <vt:variant>
        <vt:i4>1441853</vt:i4>
      </vt:variant>
      <vt:variant>
        <vt:i4>1034</vt:i4>
      </vt:variant>
      <vt:variant>
        <vt:i4>0</vt:i4>
      </vt:variant>
      <vt:variant>
        <vt:i4>5</vt:i4>
      </vt:variant>
      <vt:variant>
        <vt:lpwstr/>
      </vt:variant>
      <vt:variant>
        <vt:lpwstr>_Toc129351012</vt:lpwstr>
      </vt:variant>
      <vt:variant>
        <vt:i4>1441853</vt:i4>
      </vt:variant>
      <vt:variant>
        <vt:i4>1028</vt:i4>
      </vt:variant>
      <vt:variant>
        <vt:i4>0</vt:i4>
      </vt:variant>
      <vt:variant>
        <vt:i4>5</vt:i4>
      </vt:variant>
      <vt:variant>
        <vt:lpwstr/>
      </vt:variant>
      <vt:variant>
        <vt:lpwstr>_Toc129351011</vt:lpwstr>
      </vt:variant>
      <vt:variant>
        <vt:i4>1441853</vt:i4>
      </vt:variant>
      <vt:variant>
        <vt:i4>1022</vt:i4>
      </vt:variant>
      <vt:variant>
        <vt:i4>0</vt:i4>
      </vt:variant>
      <vt:variant>
        <vt:i4>5</vt:i4>
      </vt:variant>
      <vt:variant>
        <vt:lpwstr/>
      </vt:variant>
      <vt:variant>
        <vt:lpwstr>_Toc129351010</vt:lpwstr>
      </vt:variant>
      <vt:variant>
        <vt:i4>1507389</vt:i4>
      </vt:variant>
      <vt:variant>
        <vt:i4>1016</vt:i4>
      </vt:variant>
      <vt:variant>
        <vt:i4>0</vt:i4>
      </vt:variant>
      <vt:variant>
        <vt:i4>5</vt:i4>
      </vt:variant>
      <vt:variant>
        <vt:lpwstr/>
      </vt:variant>
      <vt:variant>
        <vt:lpwstr>_Toc129351009</vt:lpwstr>
      </vt:variant>
      <vt:variant>
        <vt:i4>1507389</vt:i4>
      </vt:variant>
      <vt:variant>
        <vt:i4>1010</vt:i4>
      </vt:variant>
      <vt:variant>
        <vt:i4>0</vt:i4>
      </vt:variant>
      <vt:variant>
        <vt:i4>5</vt:i4>
      </vt:variant>
      <vt:variant>
        <vt:lpwstr/>
      </vt:variant>
      <vt:variant>
        <vt:lpwstr>_Toc129351008</vt:lpwstr>
      </vt:variant>
      <vt:variant>
        <vt:i4>1507389</vt:i4>
      </vt:variant>
      <vt:variant>
        <vt:i4>1004</vt:i4>
      </vt:variant>
      <vt:variant>
        <vt:i4>0</vt:i4>
      </vt:variant>
      <vt:variant>
        <vt:i4>5</vt:i4>
      </vt:variant>
      <vt:variant>
        <vt:lpwstr/>
      </vt:variant>
      <vt:variant>
        <vt:lpwstr>_Toc129351007</vt:lpwstr>
      </vt:variant>
      <vt:variant>
        <vt:i4>1507389</vt:i4>
      </vt:variant>
      <vt:variant>
        <vt:i4>998</vt:i4>
      </vt:variant>
      <vt:variant>
        <vt:i4>0</vt:i4>
      </vt:variant>
      <vt:variant>
        <vt:i4>5</vt:i4>
      </vt:variant>
      <vt:variant>
        <vt:lpwstr/>
      </vt:variant>
      <vt:variant>
        <vt:lpwstr>_Toc129351006</vt:lpwstr>
      </vt:variant>
      <vt:variant>
        <vt:i4>1507389</vt:i4>
      </vt:variant>
      <vt:variant>
        <vt:i4>992</vt:i4>
      </vt:variant>
      <vt:variant>
        <vt:i4>0</vt:i4>
      </vt:variant>
      <vt:variant>
        <vt:i4>5</vt:i4>
      </vt:variant>
      <vt:variant>
        <vt:lpwstr/>
      </vt:variant>
      <vt:variant>
        <vt:lpwstr>_Toc129351005</vt:lpwstr>
      </vt:variant>
      <vt:variant>
        <vt:i4>1507389</vt:i4>
      </vt:variant>
      <vt:variant>
        <vt:i4>986</vt:i4>
      </vt:variant>
      <vt:variant>
        <vt:i4>0</vt:i4>
      </vt:variant>
      <vt:variant>
        <vt:i4>5</vt:i4>
      </vt:variant>
      <vt:variant>
        <vt:lpwstr/>
      </vt:variant>
      <vt:variant>
        <vt:lpwstr>_Toc129351004</vt:lpwstr>
      </vt:variant>
      <vt:variant>
        <vt:i4>1507389</vt:i4>
      </vt:variant>
      <vt:variant>
        <vt:i4>980</vt:i4>
      </vt:variant>
      <vt:variant>
        <vt:i4>0</vt:i4>
      </vt:variant>
      <vt:variant>
        <vt:i4>5</vt:i4>
      </vt:variant>
      <vt:variant>
        <vt:lpwstr/>
      </vt:variant>
      <vt:variant>
        <vt:lpwstr>_Toc129351003</vt:lpwstr>
      </vt:variant>
      <vt:variant>
        <vt:i4>1507389</vt:i4>
      </vt:variant>
      <vt:variant>
        <vt:i4>974</vt:i4>
      </vt:variant>
      <vt:variant>
        <vt:i4>0</vt:i4>
      </vt:variant>
      <vt:variant>
        <vt:i4>5</vt:i4>
      </vt:variant>
      <vt:variant>
        <vt:lpwstr/>
      </vt:variant>
      <vt:variant>
        <vt:lpwstr>_Toc129351002</vt:lpwstr>
      </vt:variant>
      <vt:variant>
        <vt:i4>1507389</vt:i4>
      </vt:variant>
      <vt:variant>
        <vt:i4>968</vt:i4>
      </vt:variant>
      <vt:variant>
        <vt:i4>0</vt:i4>
      </vt:variant>
      <vt:variant>
        <vt:i4>5</vt:i4>
      </vt:variant>
      <vt:variant>
        <vt:lpwstr/>
      </vt:variant>
      <vt:variant>
        <vt:lpwstr>_Toc129351001</vt:lpwstr>
      </vt:variant>
      <vt:variant>
        <vt:i4>1507389</vt:i4>
      </vt:variant>
      <vt:variant>
        <vt:i4>962</vt:i4>
      </vt:variant>
      <vt:variant>
        <vt:i4>0</vt:i4>
      </vt:variant>
      <vt:variant>
        <vt:i4>5</vt:i4>
      </vt:variant>
      <vt:variant>
        <vt:lpwstr/>
      </vt:variant>
      <vt:variant>
        <vt:lpwstr>_Toc129351000</vt:lpwstr>
      </vt:variant>
      <vt:variant>
        <vt:i4>2031668</vt:i4>
      </vt:variant>
      <vt:variant>
        <vt:i4>956</vt:i4>
      </vt:variant>
      <vt:variant>
        <vt:i4>0</vt:i4>
      </vt:variant>
      <vt:variant>
        <vt:i4>5</vt:i4>
      </vt:variant>
      <vt:variant>
        <vt:lpwstr/>
      </vt:variant>
      <vt:variant>
        <vt:lpwstr>_Toc129350999</vt:lpwstr>
      </vt:variant>
      <vt:variant>
        <vt:i4>2031668</vt:i4>
      </vt:variant>
      <vt:variant>
        <vt:i4>950</vt:i4>
      </vt:variant>
      <vt:variant>
        <vt:i4>0</vt:i4>
      </vt:variant>
      <vt:variant>
        <vt:i4>5</vt:i4>
      </vt:variant>
      <vt:variant>
        <vt:lpwstr/>
      </vt:variant>
      <vt:variant>
        <vt:lpwstr>_Toc129350998</vt:lpwstr>
      </vt:variant>
      <vt:variant>
        <vt:i4>2031668</vt:i4>
      </vt:variant>
      <vt:variant>
        <vt:i4>944</vt:i4>
      </vt:variant>
      <vt:variant>
        <vt:i4>0</vt:i4>
      </vt:variant>
      <vt:variant>
        <vt:i4>5</vt:i4>
      </vt:variant>
      <vt:variant>
        <vt:lpwstr/>
      </vt:variant>
      <vt:variant>
        <vt:lpwstr>_Toc129350997</vt:lpwstr>
      </vt:variant>
      <vt:variant>
        <vt:i4>2031668</vt:i4>
      </vt:variant>
      <vt:variant>
        <vt:i4>938</vt:i4>
      </vt:variant>
      <vt:variant>
        <vt:i4>0</vt:i4>
      </vt:variant>
      <vt:variant>
        <vt:i4>5</vt:i4>
      </vt:variant>
      <vt:variant>
        <vt:lpwstr/>
      </vt:variant>
      <vt:variant>
        <vt:lpwstr>_Toc129350996</vt:lpwstr>
      </vt:variant>
      <vt:variant>
        <vt:i4>2031668</vt:i4>
      </vt:variant>
      <vt:variant>
        <vt:i4>932</vt:i4>
      </vt:variant>
      <vt:variant>
        <vt:i4>0</vt:i4>
      </vt:variant>
      <vt:variant>
        <vt:i4>5</vt:i4>
      </vt:variant>
      <vt:variant>
        <vt:lpwstr/>
      </vt:variant>
      <vt:variant>
        <vt:lpwstr>_Toc129350995</vt:lpwstr>
      </vt:variant>
      <vt:variant>
        <vt:i4>2031668</vt:i4>
      </vt:variant>
      <vt:variant>
        <vt:i4>926</vt:i4>
      </vt:variant>
      <vt:variant>
        <vt:i4>0</vt:i4>
      </vt:variant>
      <vt:variant>
        <vt:i4>5</vt:i4>
      </vt:variant>
      <vt:variant>
        <vt:lpwstr/>
      </vt:variant>
      <vt:variant>
        <vt:lpwstr>_Toc129350994</vt:lpwstr>
      </vt:variant>
      <vt:variant>
        <vt:i4>2031668</vt:i4>
      </vt:variant>
      <vt:variant>
        <vt:i4>920</vt:i4>
      </vt:variant>
      <vt:variant>
        <vt:i4>0</vt:i4>
      </vt:variant>
      <vt:variant>
        <vt:i4>5</vt:i4>
      </vt:variant>
      <vt:variant>
        <vt:lpwstr/>
      </vt:variant>
      <vt:variant>
        <vt:lpwstr>_Toc129350993</vt:lpwstr>
      </vt:variant>
      <vt:variant>
        <vt:i4>2031668</vt:i4>
      </vt:variant>
      <vt:variant>
        <vt:i4>914</vt:i4>
      </vt:variant>
      <vt:variant>
        <vt:i4>0</vt:i4>
      </vt:variant>
      <vt:variant>
        <vt:i4>5</vt:i4>
      </vt:variant>
      <vt:variant>
        <vt:lpwstr/>
      </vt:variant>
      <vt:variant>
        <vt:lpwstr>_Toc129350992</vt:lpwstr>
      </vt:variant>
      <vt:variant>
        <vt:i4>2031668</vt:i4>
      </vt:variant>
      <vt:variant>
        <vt:i4>908</vt:i4>
      </vt:variant>
      <vt:variant>
        <vt:i4>0</vt:i4>
      </vt:variant>
      <vt:variant>
        <vt:i4>5</vt:i4>
      </vt:variant>
      <vt:variant>
        <vt:lpwstr/>
      </vt:variant>
      <vt:variant>
        <vt:lpwstr>_Toc129350991</vt:lpwstr>
      </vt:variant>
      <vt:variant>
        <vt:i4>2031668</vt:i4>
      </vt:variant>
      <vt:variant>
        <vt:i4>902</vt:i4>
      </vt:variant>
      <vt:variant>
        <vt:i4>0</vt:i4>
      </vt:variant>
      <vt:variant>
        <vt:i4>5</vt:i4>
      </vt:variant>
      <vt:variant>
        <vt:lpwstr/>
      </vt:variant>
      <vt:variant>
        <vt:lpwstr>_Toc129350990</vt:lpwstr>
      </vt:variant>
      <vt:variant>
        <vt:i4>1966132</vt:i4>
      </vt:variant>
      <vt:variant>
        <vt:i4>896</vt:i4>
      </vt:variant>
      <vt:variant>
        <vt:i4>0</vt:i4>
      </vt:variant>
      <vt:variant>
        <vt:i4>5</vt:i4>
      </vt:variant>
      <vt:variant>
        <vt:lpwstr/>
      </vt:variant>
      <vt:variant>
        <vt:lpwstr>_Toc129350989</vt:lpwstr>
      </vt:variant>
      <vt:variant>
        <vt:i4>1966132</vt:i4>
      </vt:variant>
      <vt:variant>
        <vt:i4>890</vt:i4>
      </vt:variant>
      <vt:variant>
        <vt:i4>0</vt:i4>
      </vt:variant>
      <vt:variant>
        <vt:i4>5</vt:i4>
      </vt:variant>
      <vt:variant>
        <vt:lpwstr/>
      </vt:variant>
      <vt:variant>
        <vt:lpwstr>_Toc129350988</vt:lpwstr>
      </vt:variant>
      <vt:variant>
        <vt:i4>1966132</vt:i4>
      </vt:variant>
      <vt:variant>
        <vt:i4>884</vt:i4>
      </vt:variant>
      <vt:variant>
        <vt:i4>0</vt:i4>
      </vt:variant>
      <vt:variant>
        <vt:i4>5</vt:i4>
      </vt:variant>
      <vt:variant>
        <vt:lpwstr/>
      </vt:variant>
      <vt:variant>
        <vt:lpwstr>_Toc129350987</vt:lpwstr>
      </vt:variant>
      <vt:variant>
        <vt:i4>1966132</vt:i4>
      </vt:variant>
      <vt:variant>
        <vt:i4>878</vt:i4>
      </vt:variant>
      <vt:variant>
        <vt:i4>0</vt:i4>
      </vt:variant>
      <vt:variant>
        <vt:i4>5</vt:i4>
      </vt:variant>
      <vt:variant>
        <vt:lpwstr/>
      </vt:variant>
      <vt:variant>
        <vt:lpwstr>_Toc129350986</vt:lpwstr>
      </vt:variant>
      <vt:variant>
        <vt:i4>1966132</vt:i4>
      </vt:variant>
      <vt:variant>
        <vt:i4>872</vt:i4>
      </vt:variant>
      <vt:variant>
        <vt:i4>0</vt:i4>
      </vt:variant>
      <vt:variant>
        <vt:i4>5</vt:i4>
      </vt:variant>
      <vt:variant>
        <vt:lpwstr/>
      </vt:variant>
      <vt:variant>
        <vt:lpwstr>_Toc129350985</vt:lpwstr>
      </vt:variant>
      <vt:variant>
        <vt:i4>1966132</vt:i4>
      </vt:variant>
      <vt:variant>
        <vt:i4>866</vt:i4>
      </vt:variant>
      <vt:variant>
        <vt:i4>0</vt:i4>
      </vt:variant>
      <vt:variant>
        <vt:i4>5</vt:i4>
      </vt:variant>
      <vt:variant>
        <vt:lpwstr/>
      </vt:variant>
      <vt:variant>
        <vt:lpwstr>_Toc129350984</vt:lpwstr>
      </vt:variant>
      <vt:variant>
        <vt:i4>1966132</vt:i4>
      </vt:variant>
      <vt:variant>
        <vt:i4>860</vt:i4>
      </vt:variant>
      <vt:variant>
        <vt:i4>0</vt:i4>
      </vt:variant>
      <vt:variant>
        <vt:i4>5</vt:i4>
      </vt:variant>
      <vt:variant>
        <vt:lpwstr/>
      </vt:variant>
      <vt:variant>
        <vt:lpwstr>_Toc129350983</vt:lpwstr>
      </vt:variant>
      <vt:variant>
        <vt:i4>1966132</vt:i4>
      </vt:variant>
      <vt:variant>
        <vt:i4>854</vt:i4>
      </vt:variant>
      <vt:variant>
        <vt:i4>0</vt:i4>
      </vt:variant>
      <vt:variant>
        <vt:i4>5</vt:i4>
      </vt:variant>
      <vt:variant>
        <vt:lpwstr/>
      </vt:variant>
      <vt:variant>
        <vt:lpwstr>_Toc129350982</vt:lpwstr>
      </vt:variant>
      <vt:variant>
        <vt:i4>1966132</vt:i4>
      </vt:variant>
      <vt:variant>
        <vt:i4>848</vt:i4>
      </vt:variant>
      <vt:variant>
        <vt:i4>0</vt:i4>
      </vt:variant>
      <vt:variant>
        <vt:i4>5</vt:i4>
      </vt:variant>
      <vt:variant>
        <vt:lpwstr/>
      </vt:variant>
      <vt:variant>
        <vt:lpwstr>_Toc129350981</vt:lpwstr>
      </vt:variant>
      <vt:variant>
        <vt:i4>1966132</vt:i4>
      </vt:variant>
      <vt:variant>
        <vt:i4>842</vt:i4>
      </vt:variant>
      <vt:variant>
        <vt:i4>0</vt:i4>
      </vt:variant>
      <vt:variant>
        <vt:i4>5</vt:i4>
      </vt:variant>
      <vt:variant>
        <vt:lpwstr/>
      </vt:variant>
      <vt:variant>
        <vt:lpwstr>_Toc129350980</vt:lpwstr>
      </vt:variant>
      <vt:variant>
        <vt:i4>1114164</vt:i4>
      </vt:variant>
      <vt:variant>
        <vt:i4>836</vt:i4>
      </vt:variant>
      <vt:variant>
        <vt:i4>0</vt:i4>
      </vt:variant>
      <vt:variant>
        <vt:i4>5</vt:i4>
      </vt:variant>
      <vt:variant>
        <vt:lpwstr/>
      </vt:variant>
      <vt:variant>
        <vt:lpwstr>_Toc129350979</vt:lpwstr>
      </vt:variant>
      <vt:variant>
        <vt:i4>1114164</vt:i4>
      </vt:variant>
      <vt:variant>
        <vt:i4>830</vt:i4>
      </vt:variant>
      <vt:variant>
        <vt:i4>0</vt:i4>
      </vt:variant>
      <vt:variant>
        <vt:i4>5</vt:i4>
      </vt:variant>
      <vt:variant>
        <vt:lpwstr/>
      </vt:variant>
      <vt:variant>
        <vt:lpwstr>_Toc129350978</vt:lpwstr>
      </vt:variant>
      <vt:variant>
        <vt:i4>1114164</vt:i4>
      </vt:variant>
      <vt:variant>
        <vt:i4>824</vt:i4>
      </vt:variant>
      <vt:variant>
        <vt:i4>0</vt:i4>
      </vt:variant>
      <vt:variant>
        <vt:i4>5</vt:i4>
      </vt:variant>
      <vt:variant>
        <vt:lpwstr/>
      </vt:variant>
      <vt:variant>
        <vt:lpwstr>_Toc129350977</vt:lpwstr>
      </vt:variant>
      <vt:variant>
        <vt:i4>1114164</vt:i4>
      </vt:variant>
      <vt:variant>
        <vt:i4>818</vt:i4>
      </vt:variant>
      <vt:variant>
        <vt:i4>0</vt:i4>
      </vt:variant>
      <vt:variant>
        <vt:i4>5</vt:i4>
      </vt:variant>
      <vt:variant>
        <vt:lpwstr/>
      </vt:variant>
      <vt:variant>
        <vt:lpwstr>_Toc129350976</vt:lpwstr>
      </vt:variant>
      <vt:variant>
        <vt:i4>1114164</vt:i4>
      </vt:variant>
      <vt:variant>
        <vt:i4>809</vt:i4>
      </vt:variant>
      <vt:variant>
        <vt:i4>0</vt:i4>
      </vt:variant>
      <vt:variant>
        <vt:i4>5</vt:i4>
      </vt:variant>
      <vt:variant>
        <vt:lpwstr/>
      </vt:variant>
      <vt:variant>
        <vt:lpwstr>_Toc129350975</vt:lpwstr>
      </vt:variant>
      <vt:variant>
        <vt:i4>1114164</vt:i4>
      </vt:variant>
      <vt:variant>
        <vt:i4>803</vt:i4>
      </vt:variant>
      <vt:variant>
        <vt:i4>0</vt:i4>
      </vt:variant>
      <vt:variant>
        <vt:i4>5</vt:i4>
      </vt:variant>
      <vt:variant>
        <vt:lpwstr/>
      </vt:variant>
      <vt:variant>
        <vt:lpwstr>_Toc129350974</vt:lpwstr>
      </vt:variant>
      <vt:variant>
        <vt:i4>1114164</vt:i4>
      </vt:variant>
      <vt:variant>
        <vt:i4>797</vt:i4>
      </vt:variant>
      <vt:variant>
        <vt:i4>0</vt:i4>
      </vt:variant>
      <vt:variant>
        <vt:i4>5</vt:i4>
      </vt:variant>
      <vt:variant>
        <vt:lpwstr/>
      </vt:variant>
      <vt:variant>
        <vt:lpwstr>_Toc129350973</vt:lpwstr>
      </vt:variant>
      <vt:variant>
        <vt:i4>1114164</vt:i4>
      </vt:variant>
      <vt:variant>
        <vt:i4>791</vt:i4>
      </vt:variant>
      <vt:variant>
        <vt:i4>0</vt:i4>
      </vt:variant>
      <vt:variant>
        <vt:i4>5</vt:i4>
      </vt:variant>
      <vt:variant>
        <vt:lpwstr/>
      </vt:variant>
      <vt:variant>
        <vt:lpwstr>_Toc129350972</vt:lpwstr>
      </vt:variant>
      <vt:variant>
        <vt:i4>1114164</vt:i4>
      </vt:variant>
      <vt:variant>
        <vt:i4>785</vt:i4>
      </vt:variant>
      <vt:variant>
        <vt:i4>0</vt:i4>
      </vt:variant>
      <vt:variant>
        <vt:i4>5</vt:i4>
      </vt:variant>
      <vt:variant>
        <vt:lpwstr/>
      </vt:variant>
      <vt:variant>
        <vt:lpwstr>_Toc129350971</vt:lpwstr>
      </vt:variant>
      <vt:variant>
        <vt:i4>1114164</vt:i4>
      </vt:variant>
      <vt:variant>
        <vt:i4>779</vt:i4>
      </vt:variant>
      <vt:variant>
        <vt:i4>0</vt:i4>
      </vt:variant>
      <vt:variant>
        <vt:i4>5</vt:i4>
      </vt:variant>
      <vt:variant>
        <vt:lpwstr/>
      </vt:variant>
      <vt:variant>
        <vt:lpwstr>_Toc129350970</vt:lpwstr>
      </vt:variant>
      <vt:variant>
        <vt:i4>1048628</vt:i4>
      </vt:variant>
      <vt:variant>
        <vt:i4>773</vt:i4>
      </vt:variant>
      <vt:variant>
        <vt:i4>0</vt:i4>
      </vt:variant>
      <vt:variant>
        <vt:i4>5</vt:i4>
      </vt:variant>
      <vt:variant>
        <vt:lpwstr/>
      </vt:variant>
      <vt:variant>
        <vt:lpwstr>_Toc129350969</vt:lpwstr>
      </vt:variant>
      <vt:variant>
        <vt:i4>1048628</vt:i4>
      </vt:variant>
      <vt:variant>
        <vt:i4>767</vt:i4>
      </vt:variant>
      <vt:variant>
        <vt:i4>0</vt:i4>
      </vt:variant>
      <vt:variant>
        <vt:i4>5</vt:i4>
      </vt:variant>
      <vt:variant>
        <vt:lpwstr/>
      </vt:variant>
      <vt:variant>
        <vt:lpwstr>_Toc129350968</vt:lpwstr>
      </vt:variant>
      <vt:variant>
        <vt:i4>1048628</vt:i4>
      </vt:variant>
      <vt:variant>
        <vt:i4>761</vt:i4>
      </vt:variant>
      <vt:variant>
        <vt:i4>0</vt:i4>
      </vt:variant>
      <vt:variant>
        <vt:i4>5</vt:i4>
      </vt:variant>
      <vt:variant>
        <vt:lpwstr/>
      </vt:variant>
      <vt:variant>
        <vt:lpwstr>_Toc129350967</vt:lpwstr>
      </vt:variant>
      <vt:variant>
        <vt:i4>1048628</vt:i4>
      </vt:variant>
      <vt:variant>
        <vt:i4>755</vt:i4>
      </vt:variant>
      <vt:variant>
        <vt:i4>0</vt:i4>
      </vt:variant>
      <vt:variant>
        <vt:i4>5</vt:i4>
      </vt:variant>
      <vt:variant>
        <vt:lpwstr/>
      </vt:variant>
      <vt:variant>
        <vt:lpwstr>_Toc129350966</vt:lpwstr>
      </vt:variant>
      <vt:variant>
        <vt:i4>1048628</vt:i4>
      </vt:variant>
      <vt:variant>
        <vt:i4>749</vt:i4>
      </vt:variant>
      <vt:variant>
        <vt:i4>0</vt:i4>
      </vt:variant>
      <vt:variant>
        <vt:i4>5</vt:i4>
      </vt:variant>
      <vt:variant>
        <vt:lpwstr/>
      </vt:variant>
      <vt:variant>
        <vt:lpwstr>_Toc129350965</vt:lpwstr>
      </vt:variant>
      <vt:variant>
        <vt:i4>1048628</vt:i4>
      </vt:variant>
      <vt:variant>
        <vt:i4>743</vt:i4>
      </vt:variant>
      <vt:variant>
        <vt:i4>0</vt:i4>
      </vt:variant>
      <vt:variant>
        <vt:i4>5</vt:i4>
      </vt:variant>
      <vt:variant>
        <vt:lpwstr/>
      </vt:variant>
      <vt:variant>
        <vt:lpwstr>_Toc129350964</vt:lpwstr>
      </vt:variant>
      <vt:variant>
        <vt:i4>1048628</vt:i4>
      </vt:variant>
      <vt:variant>
        <vt:i4>737</vt:i4>
      </vt:variant>
      <vt:variant>
        <vt:i4>0</vt:i4>
      </vt:variant>
      <vt:variant>
        <vt:i4>5</vt:i4>
      </vt:variant>
      <vt:variant>
        <vt:lpwstr/>
      </vt:variant>
      <vt:variant>
        <vt:lpwstr>_Toc129350963</vt:lpwstr>
      </vt:variant>
      <vt:variant>
        <vt:i4>1048628</vt:i4>
      </vt:variant>
      <vt:variant>
        <vt:i4>731</vt:i4>
      </vt:variant>
      <vt:variant>
        <vt:i4>0</vt:i4>
      </vt:variant>
      <vt:variant>
        <vt:i4>5</vt:i4>
      </vt:variant>
      <vt:variant>
        <vt:lpwstr/>
      </vt:variant>
      <vt:variant>
        <vt:lpwstr>_Toc129350962</vt:lpwstr>
      </vt:variant>
      <vt:variant>
        <vt:i4>1048628</vt:i4>
      </vt:variant>
      <vt:variant>
        <vt:i4>725</vt:i4>
      </vt:variant>
      <vt:variant>
        <vt:i4>0</vt:i4>
      </vt:variant>
      <vt:variant>
        <vt:i4>5</vt:i4>
      </vt:variant>
      <vt:variant>
        <vt:lpwstr/>
      </vt:variant>
      <vt:variant>
        <vt:lpwstr>_Toc129350961</vt:lpwstr>
      </vt:variant>
      <vt:variant>
        <vt:i4>1048628</vt:i4>
      </vt:variant>
      <vt:variant>
        <vt:i4>719</vt:i4>
      </vt:variant>
      <vt:variant>
        <vt:i4>0</vt:i4>
      </vt:variant>
      <vt:variant>
        <vt:i4>5</vt:i4>
      </vt:variant>
      <vt:variant>
        <vt:lpwstr/>
      </vt:variant>
      <vt:variant>
        <vt:lpwstr>_Toc129350960</vt:lpwstr>
      </vt:variant>
      <vt:variant>
        <vt:i4>1245236</vt:i4>
      </vt:variant>
      <vt:variant>
        <vt:i4>713</vt:i4>
      </vt:variant>
      <vt:variant>
        <vt:i4>0</vt:i4>
      </vt:variant>
      <vt:variant>
        <vt:i4>5</vt:i4>
      </vt:variant>
      <vt:variant>
        <vt:lpwstr/>
      </vt:variant>
      <vt:variant>
        <vt:lpwstr>_Toc129350959</vt:lpwstr>
      </vt:variant>
      <vt:variant>
        <vt:i4>1245236</vt:i4>
      </vt:variant>
      <vt:variant>
        <vt:i4>707</vt:i4>
      </vt:variant>
      <vt:variant>
        <vt:i4>0</vt:i4>
      </vt:variant>
      <vt:variant>
        <vt:i4>5</vt:i4>
      </vt:variant>
      <vt:variant>
        <vt:lpwstr/>
      </vt:variant>
      <vt:variant>
        <vt:lpwstr>_Toc129350958</vt:lpwstr>
      </vt:variant>
      <vt:variant>
        <vt:i4>1245236</vt:i4>
      </vt:variant>
      <vt:variant>
        <vt:i4>701</vt:i4>
      </vt:variant>
      <vt:variant>
        <vt:i4>0</vt:i4>
      </vt:variant>
      <vt:variant>
        <vt:i4>5</vt:i4>
      </vt:variant>
      <vt:variant>
        <vt:lpwstr/>
      </vt:variant>
      <vt:variant>
        <vt:lpwstr>_Toc129350957</vt:lpwstr>
      </vt:variant>
      <vt:variant>
        <vt:i4>1245236</vt:i4>
      </vt:variant>
      <vt:variant>
        <vt:i4>695</vt:i4>
      </vt:variant>
      <vt:variant>
        <vt:i4>0</vt:i4>
      </vt:variant>
      <vt:variant>
        <vt:i4>5</vt:i4>
      </vt:variant>
      <vt:variant>
        <vt:lpwstr/>
      </vt:variant>
      <vt:variant>
        <vt:lpwstr>_Toc129350956</vt:lpwstr>
      </vt:variant>
      <vt:variant>
        <vt:i4>1245236</vt:i4>
      </vt:variant>
      <vt:variant>
        <vt:i4>689</vt:i4>
      </vt:variant>
      <vt:variant>
        <vt:i4>0</vt:i4>
      </vt:variant>
      <vt:variant>
        <vt:i4>5</vt:i4>
      </vt:variant>
      <vt:variant>
        <vt:lpwstr/>
      </vt:variant>
      <vt:variant>
        <vt:lpwstr>_Toc129350955</vt:lpwstr>
      </vt:variant>
      <vt:variant>
        <vt:i4>1245236</vt:i4>
      </vt:variant>
      <vt:variant>
        <vt:i4>683</vt:i4>
      </vt:variant>
      <vt:variant>
        <vt:i4>0</vt:i4>
      </vt:variant>
      <vt:variant>
        <vt:i4>5</vt:i4>
      </vt:variant>
      <vt:variant>
        <vt:lpwstr/>
      </vt:variant>
      <vt:variant>
        <vt:lpwstr>_Toc129350954</vt:lpwstr>
      </vt:variant>
      <vt:variant>
        <vt:i4>1245236</vt:i4>
      </vt:variant>
      <vt:variant>
        <vt:i4>677</vt:i4>
      </vt:variant>
      <vt:variant>
        <vt:i4>0</vt:i4>
      </vt:variant>
      <vt:variant>
        <vt:i4>5</vt:i4>
      </vt:variant>
      <vt:variant>
        <vt:lpwstr/>
      </vt:variant>
      <vt:variant>
        <vt:lpwstr>_Toc129350953</vt:lpwstr>
      </vt:variant>
      <vt:variant>
        <vt:i4>1245236</vt:i4>
      </vt:variant>
      <vt:variant>
        <vt:i4>671</vt:i4>
      </vt:variant>
      <vt:variant>
        <vt:i4>0</vt:i4>
      </vt:variant>
      <vt:variant>
        <vt:i4>5</vt:i4>
      </vt:variant>
      <vt:variant>
        <vt:lpwstr/>
      </vt:variant>
      <vt:variant>
        <vt:lpwstr>_Toc129350952</vt:lpwstr>
      </vt:variant>
      <vt:variant>
        <vt:i4>1245236</vt:i4>
      </vt:variant>
      <vt:variant>
        <vt:i4>665</vt:i4>
      </vt:variant>
      <vt:variant>
        <vt:i4>0</vt:i4>
      </vt:variant>
      <vt:variant>
        <vt:i4>5</vt:i4>
      </vt:variant>
      <vt:variant>
        <vt:lpwstr/>
      </vt:variant>
      <vt:variant>
        <vt:lpwstr>_Toc129350951</vt:lpwstr>
      </vt:variant>
      <vt:variant>
        <vt:i4>1245236</vt:i4>
      </vt:variant>
      <vt:variant>
        <vt:i4>659</vt:i4>
      </vt:variant>
      <vt:variant>
        <vt:i4>0</vt:i4>
      </vt:variant>
      <vt:variant>
        <vt:i4>5</vt:i4>
      </vt:variant>
      <vt:variant>
        <vt:lpwstr/>
      </vt:variant>
      <vt:variant>
        <vt:lpwstr>_Toc129350950</vt:lpwstr>
      </vt:variant>
      <vt:variant>
        <vt:i4>1179700</vt:i4>
      </vt:variant>
      <vt:variant>
        <vt:i4>653</vt:i4>
      </vt:variant>
      <vt:variant>
        <vt:i4>0</vt:i4>
      </vt:variant>
      <vt:variant>
        <vt:i4>5</vt:i4>
      </vt:variant>
      <vt:variant>
        <vt:lpwstr/>
      </vt:variant>
      <vt:variant>
        <vt:lpwstr>_Toc129350949</vt:lpwstr>
      </vt:variant>
      <vt:variant>
        <vt:i4>1179700</vt:i4>
      </vt:variant>
      <vt:variant>
        <vt:i4>647</vt:i4>
      </vt:variant>
      <vt:variant>
        <vt:i4>0</vt:i4>
      </vt:variant>
      <vt:variant>
        <vt:i4>5</vt:i4>
      </vt:variant>
      <vt:variant>
        <vt:lpwstr/>
      </vt:variant>
      <vt:variant>
        <vt:lpwstr>_Toc129350948</vt:lpwstr>
      </vt:variant>
      <vt:variant>
        <vt:i4>1179700</vt:i4>
      </vt:variant>
      <vt:variant>
        <vt:i4>641</vt:i4>
      </vt:variant>
      <vt:variant>
        <vt:i4>0</vt:i4>
      </vt:variant>
      <vt:variant>
        <vt:i4>5</vt:i4>
      </vt:variant>
      <vt:variant>
        <vt:lpwstr/>
      </vt:variant>
      <vt:variant>
        <vt:lpwstr>_Toc129350947</vt:lpwstr>
      </vt:variant>
      <vt:variant>
        <vt:i4>1179700</vt:i4>
      </vt:variant>
      <vt:variant>
        <vt:i4>635</vt:i4>
      </vt:variant>
      <vt:variant>
        <vt:i4>0</vt:i4>
      </vt:variant>
      <vt:variant>
        <vt:i4>5</vt:i4>
      </vt:variant>
      <vt:variant>
        <vt:lpwstr/>
      </vt:variant>
      <vt:variant>
        <vt:lpwstr>_Toc129350946</vt:lpwstr>
      </vt:variant>
      <vt:variant>
        <vt:i4>1179700</vt:i4>
      </vt:variant>
      <vt:variant>
        <vt:i4>629</vt:i4>
      </vt:variant>
      <vt:variant>
        <vt:i4>0</vt:i4>
      </vt:variant>
      <vt:variant>
        <vt:i4>5</vt:i4>
      </vt:variant>
      <vt:variant>
        <vt:lpwstr/>
      </vt:variant>
      <vt:variant>
        <vt:lpwstr>_Toc129350945</vt:lpwstr>
      </vt:variant>
      <vt:variant>
        <vt:i4>1179700</vt:i4>
      </vt:variant>
      <vt:variant>
        <vt:i4>623</vt:i4>
      </vt:variant>
      <vt:variant>
        <vt:i4>0</vt:i4>
      </vt:variant>
      <vt:variant>
        <vt:i4>5</vt:i4>
      </vt:variant>
      <vt:variant>
        <vt:lpwstr/>
      </vt:variant>
      <vt:variant>
        <vt:lpwstr>_Toc129350944</vt:lpwstr>
      </vt:variant>
      <vt:variant>
        <vt:i4>1179700</vt:i4>
      </vt:variant>
      <vt:variant>
        <vt:i4>617</vt:i4>
      </vt:variant>
      <vt:variant>
        <vt:i4>0</vt:i4>
      </vt:variant>
      <vt:variant>
        <vt:i4>5</vt:i4>
      </vt:variant>
      <vt:variant>
        <vt:lpwstr/>
      </vt:variant>
      <vt:variant>
        <vt:lpwstr>_Toc129350943</vt:lpwstr>
      </vt:variant>
      <vt:variant>
        <vt:i4>1179700</vt:i4>
      </vt:variant>
      <vt:variant>
        <vt:i4>611</vt:i4>
      </vt:variant>
      <vt:variant>
        <vt:i4>0</vt:i4>
      </vt:variant>
      <vt:variant>
        <vt:i4>5</vt:i4>
      </vt:variant>
      <vt:variant>
        <vt:lpwstr/>
      </vt:variant>
      <vt:variant>
        <vt:lpwstr>_Toc129350942</vt:lpwstr>
      </vt:variant>
      <vt:variant>
        <vt:i4>1179700</vt:i4>
      </vt:variant>
      <vt:variant>
        <vt:i4>605</vt:i4>
      </vt:variant>
      <vt:variant>
        <vt:i4>0</vt:i4>
      </vt:variant>
      <vt:variant>
        <vt:i4>5</vt:i4>
      </vt:variant>
      <vt:variant>
        <vt:lpwstr/>
      </vt:variant>
      <vt:variant>
        <vt:lpwstr>_Toc129350941</vt:lpwstr>
      </vt:variant>
      <vt:variant>
        <vt:i4>1179700</vt:i4>
      </vt:variant>
      <vt:variant>
        <vt:i4>599</vt:i4>
      </vt:variant>
      <vt:variant>
        <vt:i4>0</vt:i4>
      </vt:variant>
      <vt:variant>
        <vt:i4>5</vt:i4>
      </vt:variant>
      <vt:variant>
        <vt:lpwstr/>
      </vt:variant>
      <vt:variant>
        <vt:lpwstr>_Toc129350940</vt:lpwstr>
      </vt:variant>
      <vt:variant>
        <vt:i4>1376308</vt:i4>
      </vt:variant>
      <vt:variant>
        <vt:i4>593</vt:i4>
      </vt:variant>
      <vt:variant>
        <vt:i4>0</vt:i4>
      </vt:variant>
      <vt:variant>
        <vt:i4>5</vt:i4>
      </vt:variant>
      <vt:variant>
        <vt:lpwstr/>
      </vt:variant>
      <vt:variant>
        <vt:lpwstr>_Toc129350939</vt:lpwstr>
      </vt:variant>
      <vt:variant>
        <vt:i4>1376308</vt:i4>
      </vt:variant>
      <vt:variant>
        <vt:i4>587</vt:i4>
      </vt:variant>
      <vt:variant>
        <vt:i4>0</vt:i4>
      </vt:variant>
      <vt:variant>
        <vt:i4>5</vt:i4>
      </vt:variant>
      <vt:variant>
        <vt:lpwstr/>
      </vt:variant>
      <vt:variant>
        <vt:lpwstr>_Toc129350938</vt:lpwstr>
      </vt:variant>
      <vt:variant>
        <vt:i4>1376308</vt:i4>
      </vt:variant>
      <vt:variant>
        <vt:i4>581</vt:i4>
      </vt:variant>
      <vt:variant>
        <vt:i4>0</vt:i4>
      </vt:variant>
      <vt:variant>
        <vt:i4>5</vt:i4>
      </vt:variant>
      <vt:variant>
        <vt:lpwstr/>
      </vt:variant>
      <vt:variant>
        <vt:lpwstr>_Toc129350937</vt:lpwstr>
      </vt:variant>
      <vt:variant>
        <vt:i4>1376308</vt:i4>
      </vt:variant>
      <vt:variant>
        <vt:i4>575</vt:i4>
      </vt:variant>
      <vt:variant>
        <vt:i4>0</vt:i4>
      </vt:variant>
      <vt:variant>
        <vt:i4>5</vt:i4>
      </vt:variant>
      <vt:variant>
        <vt:lpwstr/>
      </vt:variant>
      <vt:variant>
        <vt:lpwstr>_Toc129350936</vt:lpwstr>
      </vt:variant>
      <vt:variant>
        <vt:i4>1376308</vt:i4>
      </vt:variant>
      <vt:variant>
        <vt:i4>569</vt:i4>
      </vt:variant>
      <vt:variant>
        <vt:i4>0</vt:i4>
      </vt:variant>
      <vt:variant>
        <vt:i4>5</vt:i4>
      </vt:variant>
      <vt:variant>
        <vt:lpwstr/>
      </vt:variant>
      <vt:variant>
        <vt:lpwstr>_Toc129350935</vt:lpwstr>
      </vt:variant>
      <vt:variant>
        <vt:i4>1376308</vt:i4>
      </vt:variant>
      <vt:variant>
        <vt:i4>563</vt:i4>
      </vt:variant>
      <vt:variant>
        <vt:i4>0</vt:i4>
      </vt:variant>
      <vt:variant>
        <vt:i4>5</vt:i4>
      </vt:variant>
      <vt:variant>
        <vt:lpwstr/>
      </vt:variant>
      <vt:variant>
        <vt:lpwstr>_Toc129350934</vt:lpwstr>
      </vt:variant>
      <vt:variant>
        <vt:i4>1376308</vt:i4>
      </vt:variant>
      <vt:variant>
        <vt:i4>557</vt:i4>
      </vt:variant>
      <vt:variant>
        <vt:i4>0</vt:i4>
      </vt:variant>
      <vt:variant>
        <vt:i4>5</vt:i4>
      </vt:variant>
      <vt:variant>
        <vt:lpwstr/>
      </vt:variant>
      <vt:variant>
        <vt:lpwstr>_Toc129350933</vt:lpwstr>
      </vt:variant>
      <vt:variant>
        <vt:i4>1376308</vt:i4>
      </vt:variant>
      <vt:variant>
        <vt:i4>551</vt:i4>
      </vt:variant>
      <vt:variant>
        <vt:i4>0</vt:i4>
      </vt:variant>
      <vt:variant>
        <vt:i4>5</vt:i4>
      </vt:variant>
      <vt:variant>
        <vt:lpwstr/>
      </vt:variant>
      <vt:variant>
        <vt:lpwstr>_Toc129350932</vt:lpwstr>
      </vt:variant>
      <vt:variant>
        <vt:i4>1376308</vt:i4>
      </vt:variant>
      <vt:variant>
        <vt:i4>545</vt:i4>
      </vt:variant>
      <vt:variant>
        <vt:i4>0</vt:i4>
      </vt:variant>
      <vt:variant>
        <vt:i4>5</vt:i4>
      </vt:variant>
      <vt:variant>
        <vt:lpwstr/>
      </vt:variant>
      <vt:variant>
        <vt:lpwstr>_Toc129350931</vt:lpwstr>
      </vt:variant>
      <vt:variant>
        <vt:i4>1376308</vt:i4>
      </vt:variant>
      <vt:variant>
        <vt:i4>539</vt:i4>
      </vt:variant>
      <vt:variant>
        <vt:i4>0</vt:i4>
      </vt:variant>
      <vt:variant>
        <vt:i4>5</vt:i4>
      </vt:variant>
      <vt:variant>
        <vt:lpwstr/>
      </vt:variant>
      <vt:variant>
        <vt:lpwstr>_Toc129350930</vt:lpwstr>
      </vt:variant>
      <vt:variant>
        <vt:i4>1310772</vt:i4>
      </vt:variant>
      <vt:variant>
        <vt:i4>533</vt:i4>
      </vt:variant>
      <vt:variant>
        <vt:i4>0</vt:i4>
      </vt:variant>
      <vt:variant>
        <vt:i4>5</vt:i4>
      </vt:variant>
      <vt:variant>
        <vt:lpwstr/>
      </vt:variant>
      <vt:variant>
        <vt:lpwstr>_Toc129350929</vt:lpwstr>
      </vt:variant>
      <vt:variant>
        <vt:i4>1310772</vt:i4>
      </vt:variant>
      <vt:variant>
        <vt:i4>527</vt:i4>
      </vt:variant>
      <vt:variant>
        <vt:i4>0</vt:i4>
      </vt:variant>
      <vt:variant>
        <vt:i4>5</vt:i4>
      </vt:variant>
      <vt:variant>
        <vt:lpwstr/>
      </vt:variant>
      <vt:variant>
        <vt:lpwstr>_Toc129350928</vt:lpwstr>
      </vt:variant>
      <vt:variant>
        <vt:i4>1310772</vt:i4>
      </vt:variant>
      <vt:variant>
        <vt:i4>521</vt:i4>
      </vt:variant>
      <vt:variant>
        <vt:i4>0</vt:i4>
      </vt:variant>
      <vt:variant>
        <vt:i4>5</vt:i4>
      </vt:variant>
      <vt:variant>
        <vt:lpwstr/>
      </vt:variant>
      <vt:variant>
        <vt:lpwstr>_Toc129350927</vt:lpwstr>
      </vt:variant>
      <vt:variant>
        <vt:i4>1310772</vt:i4>
      </vt:variant>
      <vt:variant>
        <vt:i4>512</vt:i4>
      </vt:variant>
      <vt:variant>
        <vt:i4>0</vt:i4>
      </vt:variant>
      <vt:variant>
        <vt:i4>5</vt:i4>
      </vt:variant>
      <vt:variant>
        <vt:lpwstr/>
      </vt:variant>
      <vt:variant>
        <vt:lpwstr>_Toc129350926</vt:lpwstr>
      </vt:variant>
      <vt:variant>
        <vt:i4>1310772</vt:i4>
      </vt:variant>
      <vt:variant>
        <vt:i4>506</vt:i4>
      </vt:variant>
      <vt:variant>
        <vt:i4>0</vt:i4>
      </vt:variant>
      <vt:variant>
        <vt:i4>5</vt:i4>
      </vt:variant>
      <vt:variant>
        <vt:lpwstr/>
      </vt:variant>
      <vt:variant>
        <vt:lpwstr>_Toc129350925</vt:lpwstr>
      </vt:variant>
      <vt:variant>
        <vt:i4>1310772</vt:i4>
      </vt:variant>
      <vt:variant>
        <vt:i4>500</vt:i4>
      </vt:variant>
      <vt:variant>
        <vt:i4>0</vt:i4>
      </vt:variant>
      <vt:variant>
        <vt:i4>5</vt:i4>
      </vt:variant>
      <vt:variant>
        <vt:lpwstr/>
      </vt:variant>
      <vt:variant>
        <vt:lpwstr>_Toc129350924</vt:lpwstr>
      </vt:variant>
      <vt:variant>
        <vt:i4>1310772</vt:i4>
      </vt:variant>
      <vt:variant>
        <vt:i4>494</vt:i4>
      </vt:variant>
      <vt:variant>
        <vt:i4>0</vt:i4>
      </vt:variant>
      <vt:variant>
        <vt:i4>5</vt:i4>
      </vt:variant>
      <vt:variant>
        <vt:lpwstr/>
      </vt:variant>
      <vt:variant>
        <vt:lpwstr>_Toc129350923</vt:lpwstr>
      </vt:variant>
      <vt:variant>
        <vt:i4>1310772</vt:i4>
      </vt:variant>
      <vt:variant>
        <vt:i4>488</vt:i4>
      </vt:variant>
      <vt:variant>
        <vt:i4>0</vt:i4>
      </vt:variant>
      <vt:variant>
        <vt:i4>5</vt:i4>
      </vt:variant>
      <vt:variant>
        <vt:lpwstr/>
      </vt:variant>
      <vt:variant>
        <vt:lpwstr>_Toc129350922</vt:lpwstr>
      </vt:variant>
      <vt:variant>
        <vt:i4>1310772</vt:i4>
      </vt:variant>
      <vt:variant>
        <vt:i4>482</vt:i4>
      </vt:variant>
      <vt:variant>
        <vt:i4>0</vt:i4>
      </vt:variant>
      <vt:variant>
        <vt:i4>5</vt:i4>
      </vt:variant>
      <vt:variant>
        <vt:lpwstr/>
      </vt:variant>
      <vt:variant>
        <vt:lpwstr>_Toc129350921</vt:lpwstr>
      </vt:variant>
      <vt:variant>
        <vt:i4>1310772</vt:i4>
      </vt:variant>
      <vt:variant>
        <vt:i4>476</vt:i4>
      </vt:variant>
      <vt:variant>
        <vt:i4>0</vt:i4>
      </vt:variant>
      <vt:variant>
        <vt:i4>5</vt:i4>
      </vt:variant>
      <vt:variant>
        <vt:lpwstr/>
      </vt:variant>
      <vt:variant>
        <vt:lpwstr>_Toc129350920</vt:lpwstr>
      </vt:variant>
      <vt:variant>
        <vt:i4>1507380</vt:i4>
      </vt:variant>
      <vt:variant>
        <vt:i4>470</vt:i4>
      </vt:variant>
      <vt:variant>
        <vt:i4>0</vt:i4>
      </vt:variant>
      <vt:variant>
        <vt:i4>5</vt:i4>
      </vt:variant>
      <vt:variant>
        <vt:lpwstr/>
      </vt:variant>
      <vt:variant>
        <vt:lpwstr>_Toc129350919</vt:lpwstr>
      </vt:variant>
      <vt:variant>
        <vt:i4>1507380</vt:i4>
      </vt:variant>
      <vt:variant>
        <vt:i4>464</vt:i4>
      </vt:variant>
      <vt:variant>
        <vt:i4>0</vt:i4>
      </vt:variant>
      <vt:variant>
        <vt:i4>5</vt:i4>
      </vt:variant>
      <vt:variant>
        <vt:lpwstr/>
      </vt:variant>
      <vt:variant>
        <vt:lpwstr>_Toc129350918</vt:lpwstr>
      </vt:variant>
      <vt:variant>
        <vt:i4>1507380</vt:i4>
      </vt:variant>
      <vt:variant>
        <vt:i4>458</vt:i4>
      </vt:variant>
      <vt:variant>
        <vt:i4>0</vt:i4>
      </vt:variant>
      <vt:variant>
        <vt:i4>5</vt:i4>
      </vt:variant>
      <vt:variant>
        <vt:lpwstr/>
      </vt:variant>
      <vt:variant>
        <vt:lpwstr>_Toc129350917</vt:lpwstr>
      </vt:variant>
      <vt:variant>
        <vt:i4>1507380</vt:i4>
      </vt:variant>
      <vt:variant>
        <vt:i4>452</vt:i4>
      </vt:variant>
      <vt:variant>
        <vt:i4>0</vt:i4>
      </vt:variant>
      <vt:variant>
        <vt:i4>5</vt:i4>
      </vt:variant>
      <vt:variant>
        <vt:lpwstr/>
      </vt:variant>
      <vt:variant>
        <vt:lpwstr>_Toc129350916</vt:lpwstr>
      </vt:variant>
      <vt:variant>
        <vt:i4>1507380</vt:i4>
      </vt:variant>
      <vt:variant>
        <vt:i4>446</vt:i4>
      </vt:variant>
      <vt:variant>
        <vt:i4>0</vt:i4>
      </vt:variant>
      <vt:variant>
        <vt:i4>5</vt:i4>
      </vt:variant>
      <vt:variant>
        <vt:lpwstr/>
      </vt:variant>
      <vt:variant>
        <vt:lpwstr>_Toc129350915</vt:lpwstr>
      </vt:variant>
      <vt:variant>
        <vt:i4>1507380</vt:i4>
      </vt:variant>
      <vt:variant>
        <vt:i4>440</vt:i4>
      </vt:variant>
      <vt:variant>
        <vt:i4>0</vt:i4>
      </vt:variant>
      <vt:variant>
        <vt:i4>5</vt:i4>
      </vt:variant>
      <vt:variant>
        <vt:lpwstr/>
      </vt:variant>
      <vt:variant>
        <vt:lpwstr>_Toc129350914</vt:lpwstr>
      </vt:variant>
      <vt:variant>
        <vt:i4>1507380</vt:i4>
      </vt:variant>
      <vt:variant>
        <vt:i4>434</vt:i4>
      </vt:variant>
      <vt:variant>
        <vt:i4>0</vt:i4>
      </vt:variant>
      <vt:variant>
        <vt:i4>5</vt:i4>
      </vt:variant>
      <vt:variant>
        <vt:lpwstr/>
      </vt:variant>
      <vt:variant>
        <vt:lpwstr>_Toc129350913</vt:lpwstr>
      </vt:variant>
      <vt:variant>
        <vt:i4>1507380</vt:i4>
      </vt:variant>
      <vt:variant>
        <vt:i4>428</vt:i4>
      </vt:variant>
      <vt:variant>
        <vt:i4>0</vt:i4>
      </vt:variant>
      <vt:variant>
        <vt:i4>5</vt:i4>
      </vt:variant>
      <vt:variant>
        <vt:lpwstr/>
      </vt:variant>
      <vt:variant>
        <vt:lpwstr>_Toc129350912</vt:lpwstr>
      </vt:variant>
      <vt:variant>
        <vt:i4>1507380</vt:i4>
      </vt:variant>
      <vt:variant>
        <vt:i4>422</vt:i4>
      </vt:variant>
      <vt:variant>
        <vt:i4>0</vt:i4>
      </vt:variant>
      <vt:variant>
        <vt:i4>5</vt:i4>
      </vt:variant>
      <vt:variant>
        <vt:lpwstr/>
      </vt:variant>
      <vt:variant>
        <vt:lpwstr>_Toc129350911</vt:lpwstr>
      </vt:variant>
      <vt:variant>
        <vt:i4>1507380</vt:i4>
      </vt:variant>
      <vt:variant>
        <vt:i4>416</vt:i4>
      </vt:variant>
      <vt:variant>
        <vt:i4>0</vt:i4>
      </vt:variant>
      <vt:variant>
        <vt:i4>5</vt:i4>
      </vt:variant>
      <vt:variant>
        <vt:lpwstr/>
      </vt:variant>
      <vt:variant>
        <vt:lpwstr>_Toc129350910</vt:lpwstr>
      </vt:variant>
      <vt:variant>
        <vt:i4>1441844</vt:i4>
      </vt:variant>
      <vt:variant>
        <vt:i4>410</vt:i4>
      </vt:variant>
      <vt:variant>
        <vt:i4>0</vt:i4>
      </vt:variant>
      <vt:variant>
        <vt:i4>5</vt:i4>
      </vt:variant>
      <vt:variant>
        <vt:lpwstr/>
      </vt:variant>
      <vt:variant>
        <vt:lpwstr>_Toc129350909</vt:lpwstr>
      </vt:variant>
      <vt:variant>
        <vt:i4>1441844</vt:i4>
      </vt:variant>
      <vt:variant>
        <vt:i4>404</vt:i4>
      </vt:variant>
      <vt:variant>
        <vt:i4>0</vt:i4>
      </vt:variant>
      <vt:variant>
        <vt:i4>5</vt:i4>
      </vt:variant>
      <vt:variant>
        <vt:lpwstr/>
      </vt:variant>
      <vt:variant>
        <vt:lpwstr>_Toc129350908</vt:lpwstr>
      </vt:variant>
      <vt:variant>
        <vt:i4>1441844</vt:i4>
      </vt:variant>
      <vt:variant>
        <vt:i4>398</vt:i4>
      </vt:variant>
      <vt:variant>
        <vt:i4>0</vt:i4>
      </vt:variant>
      <vt:variant>
        <vt:i4>5</vt:i4>
      </vt:variant>
      <vt:variant>
        <vt:lpwstr/>
      </vt:variant>
      <vt:variant>
        <vt:lpwstr>_Toc129350907</vt:lpwstr>
      </vt:variant>
      <vt:variant>
        <vt:i4>1441844</vt:i4>
      </vt:variant>
      <vt:variant>
        <vt:i4>392</vt:i4>
      </vt:variant>
      <vt:variant>
        <vt:i4>0</vt:i4>
      </vt:variant>
      <vt:variant>
        <vt:i4>5</vt:i4>
      </vt:variant>
      <vt:variant>
        <vt:lpwstr/>
      </vt:variant>
      <vt:variant>
        <vt:lpwstr>_Toc129350906</vt:lpwstr>
      </vt:variant>
      <vt:variant>
        <vt:i4>1441844</vt:i4>
      </vt:variant>
      <vt:variant>
        <vt:i4>386</vt:i4>
      </vt:variant>
      <vt:variant>
        <vt:i4>0</vt:i4>
      </vt:variant>
      <vt:variant>
        <vt:i4>5</vt:i4>
      </vt:variant>
      <vt:variant>
        <vt:lpwstr/>
      </vt:variant>
      <vt:variant>
        <vt:lpwstr>_Toc129350905</vt:lpwstr>
      </vt:variant>
      <vt:variant>
        <vt:i4>1441844</vt:i4>
      </vt:variant>
      <vt:variant>
        <vt:i4>380</vt:i4>
      </vt:variant>
      <vt:variant>
        <vt:i4>0</vt:i4>
      </vt:variant>
      <vt:variant>
        <vt:i4>5</vt:i4>
      </vt:variant>
      <vt:variant>
        <vt:lpwstr/>
      </vt:variant>
      <vt:variant>
        <vt:lpwstr>_Toc129350904</vt:lpwstr>
      </vt:variant>
      <vt:variant>
        <vt:i4>1441844</vt:i4>
      </vt:variant>
      <vt:variant>
        <vt:i4>374</vt:i4>
      </vt:variant>
      <vt:variant>
        <vt:i4>0</vt:i4>
      </vt:variant>
      <vt:variant>
        <vt:i4>5</vt:i4>
      </vt:variant>
      <vt:variant>
        <vt:lpwstr/>
      </vt:variant>
      <vt:variant>
        <vt:lpwstr>_Toc129350903</vt:lpwstr>
      </vt:variant>
      <vt:variant>
        <vt:i4>1441844</vt:i4>
      </vt:variant>
      <vt:variant>
        <vt:i4>368</vt:i4>
      </vt:variant>
      <vt:variant>
        <vt:i4>0</vt:i4>
      </vt:variant>
      <vt:variant>
        <vt:i4>5</vt:i4>
      </vt:variant>
      <vt:variant>
        <vt:lpwstr/>
      </vt:variant>
      <vt:variant>
        <vt:lpwstr>_Toc129350902</vt:lpwstr>
      </vt:variant>
      <vt:variant>
        <vt:i4>1441844</vt:i4>
      </vt:variant>
      <vt:variant>
        <vt:i4>362</vt:i4>
      </vt:variant>
      <vt:variant>
        <vt:i4>0</vt:i4>
      </vt:variant>
      <vt:variant>
        <vt:i4>5</vt:i4>
      </vt:variant>
      <vt:variant>
        <vt:lpwstr/>
      </vt:variant>
      <vt:variant>
        <vt:lpwstr>_Toc129350901</vt:lpwstr>
      </vt:variant>
      <vt:variant>
        <vt:i4>1441844</vt:i4>
      </vt:variant>
      <vt:variant>
        <vt:i4>356</vt:i4>
      </vt:variant>
      <vt:variant>
        <vt:i4>0</vt:i4>
      </vt:variant>
      <vt:variant>
        <vt:i4>5</vt:i4>
      </vt:variant>
      <vt:variant>
        <vt:lpwstr/>
      </vt:variant>
      <vt:variant>
        <vt:lpwstr>_Toc129350900</vt:lpwstr>
      </vt:variant>
      <vt:variant>
        <vt:i4>2031669</vt:i4>
      </vt:variant>
      <vt:variant>
        <vt:i4>350</vt:i4>
      </vt:variant>
      <vt:variant>
        <vt:i4>0</vt:i4>
      </vt:variant>
      <vt:variant>
        <vt:i4>5</vt:i4>
      </vt:variant>
      <vt:variant>
        <vt:lpwstr/>
      </vt:variant>
      <vt:variant>
        <vt:lpwstr>_Toc129350899</vt:lpwstr>
      </vt:variant>
      <vt:variant>
        <vt:i4>2031669</vt:i4>
      </vt:variant>
      <vt:variant>
        <vt:i4>344</vt:i4>
      </vt:variant>
      <vt:variant>
        <vt:i4>0</vt:i4>
      </vt:variant>
      <vt:variant>
        <vt:i4>5</vt:i4>
      </vt:variant>
      <vt:variant>
        <vt:lpwstr/>
      </vt:variant>
      <vt:variant>
        <vt:lpwstr>_Toc129350898</vt:lpwstr>
      </vt:variant>
      <vt:variant>
        <vt:i4>2031669</vt:i4>
      </vt:variant>
      <vt:variant>
        <vt:i4>338</vt:i4>
      </vt:variant>
      <vt:variant>
        <vt:i4>0</vt:i4>
      </vt:variant>
      <vt:variant>
        <vt:i4>5</vt:i4>
      </vt:variant>
      <vt:variant>
        <vt:lpwstr/>
      </vt:variant>
      <vt:variant>
        <vt:lpwstr>_Toc129350897</vt:lpwstr>
      </vt:variant>
      <vt:variant>
        <vt:i4>2031669</vt:i4>
      </vt:variant>
      <vt:variant>
        <vt:i4>332</vt:i4>
      </vt:variant>
      <vt:variant>
        <vt:i4>0</vt:i4>
      </vt:variant>
      <vt:variant>
        <vt:i4>5</vt:i4>
      </vt:variant>
      <vt:variant>
        <vt:lpwstr/>
      </vt:variant>
      <vt:variant>
        <vt:lpwstr>_Toc129350896</vt:lpwstr>
      </vt:variant>
      <vt:variant>
        <vt:i4>2031669</vt:i4>
      </vt:variant>
      <vt:variant>
        <vt:i4>326</vt:i4>
      </vt:variant>
      <vt:variant>
        <vt:i4>0</vt:i4>
      </vt:variant>
      <vt:variant>
        <vt:i4>5</vt:i4>
      </vt:variant>
      <vt:variant>
        <vt:lpwstr/>
      </vt:variant>
      <vt:variant>
        <vt:lpwstr>_Toc129350895</vt:lpwstr>
      </vt:variant>
      <vt:variant>
        <vt:i4>2031669</vt:i4>
      </vt:variant>
      <vt:variant>
        <vt:i4>320</vt:i4>
      </vt:variant>
      <vt:variant>
        <vt:i4>0</vt:i4>
      </vt:variant>
      <vt:variant>
        <vt:i4>5</vt:i4>
      </vt:variant>
      <vt:variant>
        <vt:lpwstr/>
      </vt:variant>
      <vt:variant>
        <vt:lpwstr>_Toc129350894</vt:lpwstr>
      </vt:variant>
      <vt:variant>
        <vt:i4>2031669</vt:i4>
      </vt:variant>
      <vt:variant>
        <vt:i4>314</vt:i4>
      </vt:variant>
      <vt:variant>
        <vt:i4>0</vt:i4>
      </vt:variant>
      <vt:variant>
        <vt:i4>5</vt:i4>
      </vt:variant>
      <vt:variant>
        <vt:lpwstr/>
      </vt:variant>
      <vt:variant>
        <vt:lpwstr>_Toc129350893</vt:lpwstr>
      </vt:variant>
      <vt:variant>
        <vt:i4>2031669</vt:i4>
      </vt:variant>
      <vt:variant>
        <vt:i4>308</vt:i4>
      </vt:variant>
      <vt:variant>
        <vt:i4>0</vt:i4>
      </vt:variant>
      <vt:variant>
        <vt:i4>5</vt:i4>
      </vt:variant>
      <vt:variant>
        <vt:lpwstr/>
      </vt:variant>
      <vt:variant>
        <vt:lpwstr>_Toc129350892</vt:lpwstr>
      </vt:variant>
      <vt:variant>
        <vt:i4>2031669</vt:i4>
      </vt:variant>
      <vt:variant>
        <vt:i4>302</vt:i4>
      </vt:variant>
      <vt:variant>
        <vt:i4>0</vt:i4>
      </vt:variant>
      <vt:variant>
        <vt:i4>5</vt:i4>
      </vt:variant>
      <vt:variant>
        <vt:lpwstr/>
      </vt:variant>
      <vt:variant>
        <vt:lpwstr>_Toc129350891</vt:lpwstr>
      </vt:variant>
      <vt:variant>
        <vt:i4>2031669</vt:i4>
      </vt:variant>
      <vt:variant>
        <vt:i4>296</vt:i4>
      </vt:variant>
      <vt:variant>
        <vt:i4>0</vt:i4>
      </vt:variant>
      <vt:variant>
        <vt:i4>5</vt:i4>
      </vt:variant>
      <vt:variant>
        <vt:lpwstr/>
      </vt:variant>
      <vt:variant>
        <vt:lpwstr>_Toc129350890</vt:lpwstr>
      </vt:variant>
      <vt:variant>
        <vt:i4>1966133</vt:i4>
      </vt:variant>
      <vt:variant>
        <vt:i4>290</vt:i4>
      </vt:variant>
      <vt:variant>
        <vt:i4>0</vt:i4>
      </vt:variant>
      <vt:variant>
        <vt:i4>5</vt:i4>
      </vt:variant>
      <vt:variant>
        <vt:lpwstr/>
      </vt:variant>
      <vt:variant>
        <vt:lpwstr>_Toc129350889</vt:lpwstr>
      </vt:variant>
      <vt:variant>
        <vt:i4>1966133</vt:i4>
      </vt:variant>
      <vt:variant>
        <vt:i4>284</vt:i4>
      </vt:variant>
      <vt:variant>
        <vt:i4>0</vt:i4>
      </vt:variant>
      <vt:variant>
        <vt:i4>5</vt:i4>
      </vt:variant>
      <vt:variant>
        <vt:lpwstr/>
      </vt:variant>
      <vt:variant>
        <vt:lpwstr>_Toc129350888</vt:lpwstr>
      </vt:variant>
      <vt:variant>
        <vt:i4>1966133</vt:i4>
      </vt:variant>
      <vt:variant>
        <vt:i4>278</vt:i4>
      </vt:variant>
      <vt:variant>
        <vt:i4>0</vt:i4>
      </vt:variant>
      <vt:variant>
        <vt:i4>5</vt:i4>
      </vt:variant>
      <vt:variant>
        <vt:lpwstr/>
      </vt:variant>
      <vt:variant>
        <vt:lpwstr>_Toc129350887</vt:lpwstr>
      </vt:variant>
      <vt:variant>
        <vt:i4>1966133</vt:i4>
      </vt:variant>
      <vt:variant>
        <vt:i4>272</vt:i4>
      </vt:variant>
      <vt:variant>
        <vt:i4>0</vt:i4>
      </vt:variant>
      <vt:variant>
        <vt:i4>5</vt:i4>
      </vt:variant>
      <vt:variant>
        <vt:lpwstr/>
      </vt:variant>
      <vt:variant>
        <vt:lpwstr>_Toc129350886</vt:lpwstr>
      </vt:variant>
      <vt:variant>
        <vt:i4>1966133</vt:i4>
      </vt:variant>
      <vt:variant>
        <vt:i4>266</vt:i4>
      </vt:variant>
      <vt:variant>
        <vt:i4>0</vt:i4>
      </vt:variant>
      <vt:variant>
        <vt:i4>5</vt:i4>
      </vt:variant>
      <vt:variant>
        <vt:lpwstr/>
      </vt:variant>
      <vt:variant>
        <vt:lpwstr>_Toc129350885</vt:lpwstr>
      </vt:variant>
      <vt:variant>
        <vt:i4>1966133</vt:i4>
      </vt:variant>
      <vt:variant>
        <vt:i4>260</vt:i4>
      </vt:variant>
      <vt:variant>
        <vt:i4>0</vt:i4>
      </vt:variant>
      <vt:variant>
        <vt:i4>5</vt:i4>
      </vt:variant>
      <vt:variant>
        <vt:lpwstr/>
      </vt:variant>
      <vt:variant>
        <vt:lpwstr>_Toc129350884</vt:lpwstr>
      </vt:variant>
      <vt:variant>
        <vt:i4>1966133</vt:i4>
      </vt:variant>
      <vt:variant>
        <vt:i4>254</vt:i4>
      </vt:variant>
      <vt:variant>
        <vt:i4>0</vt:i4>
      </vt:variant>
      <vt:variant>
        <vt:i4>5</vt:i4>
      </vt:variant>
      <vt:variant>
        <vt:lpwstr/>
      </vt:variant>
      <vt:variant>
        <vt:lpwstr>_Toc129350883</vt:lpwstr>
      </vt:variant>
      <vt:variant>
        <vt:i4>1966133</vt:i4>
      </vt:variant>
      <vt:variant>
        <vt:i4>248</vt:i4>
      </vt:variant>
      <vt:variant>
        <vt:i4>0</vt:i4>
      </vt:variant>
      <vt:variant>
        <vt:i4>5</vt:i4>
      </vt:variant>
      <vt:variant>
        <vt:lpwstr/>
      </vt:variant>
      <vt:variant>
        <vt:lpwstr>_Toc129350882</vt:lpwstr>
      </vt:variant>
      <vt:variant>
        <vt:i4>1966133</vt:i4>
      </vt:variant>
      <vt:variant>
        <vt:i4>242</vt:i4>
      </vt:variant>
      <vt:variant>
        <vt:i4>0</vt:i4>
      </vt:variant>
      <vt:variant>
        <vt:i4>5</vt:i4>
      </vt:variant>
      <vt:variant>
        <vt:lpwstr/>
      </vt:variant>
      <vt:variant>
        <vt:lpwstr>_Toc129350881</vt:lpwstr>
      </vt:variant>
      <vt:variant>
        <vt:i4>1966133</vt:i4>
      </vt:variant>
      <vt:variant>
        <vt:i4>236</vt:i4>
      </vt:variant>
      <vt:variant>
        <vt:i4>0</vt:i4>
      </vt:variant>
      <vt:variant>
        <vt:i4>5</vt:i4>
      </vt:variant>
      <vt:variant>
        <vt:lpwstr/>
      </vt:variant>
      <vt:variant>
        <vt:lpwstr>_Toc129350880</vt:lpwstr>
      </vt:variant>
      <vt:variant>
        <vt:i4>1114165</vt:i4>
      </vt:variant>
      <vt:variant>
        <vt:i4>230</vt:i4>
      </vt:variant>
      <vt:variant>
        <vt:i4>0</vt:i4>
      </vt:variant>
      <vt:variant>
        <vt:i4>5</vt:i4>
      </vt:variant>
      <vt:variant>
        <vt:lpwstr/>
      </vt:variant>
      <vt:variant>
        <vt:lpwstr>_Toc129350879</vt:lpwstr>
      </vt:variant>
      <vt:variant>
        <vt:i4>1114165</vt:i4>
      </vt:variant>
      <vt:variant>
        <vt:i4>224</vt:i4>
      </vt:variant>
      <vt:variant>
        <vt:i4>0</vt:i4>
      </vt:variant>
      <vt:variant>
        <vt:i4>5</vt:i4>
      </vt:variant>
      <vt:variant>
        <vt:lpwstr/>
      </vt:variant>
      <vt:variant>
        <vt:lpwstr>_Toc129350878</vt:lpwstr>
      </vt:variant>
      <vt:variant>
        <vt:i4>1114165</vt:i4>
      </vt:variant>
      <vt:variant>
        <vt:i4>218</vt:i4>
      </vt:variant>
      <vt:variant>
        <vt:i4>0</vt:i4>
      </vt:variant>
      <vt:variant>
        <vt:i4>5</vt:i4>
      </vt:variant>
      <vt:variant>
        <vt:lpwstr/>
      </vt:variant>
      <vt:variant>
        <vt:lpwstr>_Toc129350877</vt:lpwstr>
      </vt:variant>
      <vt:variant>
        <vt:i4>1114165</vt:i4>
      </vt:variant>
      <vt:variant>
        <vt:i4>212</vt:i4>
      </vt:variant>
      <vt:variant>
        <vt:i4>0</vt:i4>
      </vt:variant>
      <vt:variant>
        <vt:i4>5</vt:i4>
      </vt:variant>
      <vt:variant>
        <vt:lpwstr/>
      </vt:variant>
      <vt:variant>
        <vt:lpwstr>_Toc129350876</vt:lpwstr>
      </vt:variant>
      <vt:variant>
        <vt:i4>1114165</vt:i4>
      </vt:variant>
      <vt:variant>
        <vt:i4>206</vt:i4>
      </vt:variant>
      <vt:variant>
        <vt:i4>0</vt:i4>
      </vt:variant>
      <vt:variant>
        <vt:i4>5</vt:i4>
      </vt:variant>
      <vt:variant>
        <vt:lpwstr/>
      </vt:variant>
      <vt:variant>
        <vt:lpwstr>_Toc129350875</vt:lpwstr>
      </vt:variant>
      <vt:variant>
        <vt:i4>1114165</vt:i4>
      </vt:variant>
      <vt:variant>
        <vt:i4>200</vt:i4>
      </vt:variant>
      <vt:variant>
        <vt:i4>0</vt:i4>
      </vt:variant>
      <vt:variant>
        <vt:i4>5</vt:i4>
      </vt:variant>
      <vt:variant>
        <vt:lpwstr/>
      </vt:variant>
      <vt:variant>
        <vt:lpwstr>_Toc129350874</vt:lpwstr>
      </vt:variant>
      <vt:variant>
        <vt:i4>1114165</vt:i4>
      </vt:variant>
      <vt:variant>
        <vt:i4>194</vt:i4>
      </vt:variant>
      <vt:variant>
        <vt:i4>0</vt:i4>
      </vt:variant>
      <vt:variant>
        <vt:i4>5</vt:i4>
      </vt:variant>
      <vt:variant>
        <vt:lpwstr/>
      </vt:variant>
      <vt:variant>
        <vt:lpwstr>_Toc129350873</vt:lpwstr>
      </vt:variant>
      <vt:variant>
        <vt:i4>1114165</vt:i4>
      </vt:variant>
      <vt:variant>
        <vt:i4>188</vt:i4>
      </vt:variant>
      <vt:variant>
        <vt:i4>0</vt:i4>
      </vt:variant>
      <vt:variant>
        <vt:i4>5</vt:i4>
      </vt:variant>
      <vt:variant>
        <vt:lpwstr/>
      </vt:variant>
      <vt:variant>
        <vt:lpwstr>_Toc129350872</vt:lpwstr>
      </vt:variant>
      <vt:variant>
        <vt:i4>1114165</vt:i4>
      </vt:variant>
      <vt:variant>
        <vt:i4>182</vt:i4>
      </vt:variant>
      <vt:variant>
        <vt:i4>0</vt:i4>
      </vt:variant>
      <vt:variant>
        <vt:i4>5</vt:i4>
      </vt:variant>
      <vt:variant>
        <vt:lpwstr/>
      </vt:variant>
      <vt:variant>
        <vt:lpwstr>_Toc129350871</vt:lpwstr>
      </vt:variant>
      <vt:variant>
        <vt:i4>1114165</vt:i4>
      </vt:variant>
      <vt:variant>
        <vt:i4>176</vt:i4>
      </vt:variant>
      <vt:variant>
        <vt:i4>0</vt:i4>
      </vt:variant>
      <vt:variant>
        <vt:i4>5</vt:i4>
      </vt:variant>
      <vt:variant>
        <vt:lpwstr/>
      </vt:variant>
      <vt:variant>
        <vt:lpwstr>_Toc129350870</vt:lpwstr>
      </vt:variant>
      <vt:variant>
        <vt:i4>1048629</vt:i4>
      </vt:variant>
      <vt:variant>
        <vt:i4>170</vt:i4>
      </vt:variant>
      <vt:variant>
        <vt:i4>0</vt:i4>
      </vt:variant>
      <vt:variant>
        <vt:i4>5</vt:i4>
      </vt:variant>
      <vt:variant>
        <vt:lpwstr/>
      </vt:variant>
      <vt:variant>
        <vt:lpwstr>_Toc129350869</vt:lpwstr>
      </vt:variant>
      <vt:variant>
        <vt:i4>1048629</vt:i4>
      </vt:variant>
      <vt:variant>
        <vt:i4>164</vt:i4>
      </vt:variant>
      <vt:variant>
        <vt:i4>0</vt:i4>
      </vt:variant>
      <vt:variant>
        <vt:i4>5</vt:i4>
      </vt:variant>
      <vt:variant>
        <vt:lpwstr/>
      </vt:variant>
      <vt:variant>
        <vt:lpwstr>_Toc129350868</vt:lpwstr>
      </vt:variant>
      <vt:variant>
        <vt:i4>1048629</vt:i4>
      </vt:variant>
      <vt:variant>
        <vt:i4>158</vt:i4>
      </vt:variant>
      <vt:variant>
        <vt:i4>0</vt:i4>
      </vt:variant>
      <vt:variant>
        <vt:i4>5</vt:i4>
      </vt:variant>
      <vt:variant>
        <vt:lpwstr/>
      </vt:variant>
      <vt:variant>
        <vt:lpwstr>_Toc129350867</vt:lpwstr>
      </vt:variant>
      <vt:variant>
        <vt:i4>1048629</vt:i4>
      </vt:variant>
      <vt:variant>
        <vt:i4>152</vt:i4>
      </vt:variant>
      <vt:variant>
        <vt:i4>0</vt:i4>
      </vt:variant>
      <vt:variant>
        <vt:i4>5</vt:i4>
      </vt:variant>
      <vt:variant>
        <vt:lpwstr/>
      </vt:variant>
      <vt:variant>
        <vt:lpwstr>_Toc129350866</vt:lpwstr>
      </vt:variant>
      <vt:variant>
        <vt:i4>1048629</vt:i4>
      </vt:variant>
      <vt:variant>
        <vt:i4>146</vt:i4>
      </vt:variant>
      <vt:variant>
        <vt:i4>0</vt:i4>
      </vt:variant>
      <vt:variant>
        <vt:i4>5</vt:i4>
      </vt:variant>
      <vt:variant>
        <vt:lpwstr/>
      </vt:variant>
      <vt:variant>
        <vt:lpwstr>_Toc129350865</vt:lpwstr>
      </vt:variant>
      <vt:variant>
        <vt:i4>1048629</vt:i4>
      </vt:variant>
      <vt:variant>
        <vt:i4>140</vt:i4>
      </vt:variant>
      <vt:variant>
        <vt:i4>0</vt:i4>
      </vt:variant>
      <vt:variant>
        <vt:i4>5</vt:i4>
      </vt:variant>
      <vt:variant>
        <vt:lpwstr/>
      </vt:variant>
      <vt:variant>
        <vt:lpwstr>_Toc129350864</vt:lpwstr>
      </vt:variant>
      <vt:variant>
        <vt:i4>1048629</vt:i4>
      </vt:variant>
      <vt:variant>
        <vt:i4>134</vt:i4>
      </vt:variant>
      <vt:variant>
        <vt:i4>0</vt:i4>
      </vt:variant>
      <vt:variant>
        <vt:i4>5</vt:i4>
      </vt:variant>
      <vt:variant>
        <vt:lpwstr/>
      </vt:variant>
      <vt:variant>
        <vt:lpwstr>_Toc129350863</vt:lpwstr>
      </vt:variant>
      <vt:variant>
        <vt:i4>1048629</vt:i4>
      </vt:variant>
      <vt:variant>
        <vt:i4>128</vt:i4>
      </vt:variant>
      <vt:variant>
        <vt:i4>0</vt:i4>
      </vt:variant>
      <vt:variant>
        <vt:i4>5</vt:i4>
      </vt:variant>
      <vt:variant>
        <vt:lpwstr/>
      </vt:variant>
      <vt:variant>
        <vt:lpwstr>_Toc129350862</vt:lpwstr>
      </vt:variant>
      <vt:variant>
        <vt:i4>1048629</vt:i4>
      </vt:variant>
      <vt:variant>
        <vt:i4>122</vt:i4>
      </vt:variant>
      <vt:variant>
        <vt:i4>0</vt:i4>
      </vt:variant>
      <vt:variant>
        <vt:i4>5</vt:i4>
      </vt:variant>
      <vt:variant>
        <vt:lpwstr/>
      </vt:variant>
      <vt:variant>
        <vt:lpwstr>_Toc129350861</vt:lpwstr>
      </vt:variant>
      <vt:variant>
        <vt:i4>1048629</vt:i4>
      </vt:variant>
      <vt:variant>
        <vt:i4>116</vt:i4>
      </vt:variant>
      <vt:variant>
        <vt:i4>0</vt:i4>
      </vt:variant>
      <vt:variant>
        <vt:i4>5</vt:i4>
      </vt:variant>
      <vt:variant>
        <vt:lpwstr/>
      </vt:variant>
      <vt:variant>
        <vt:lpwstr>_Toc129350860</vt:lpwstr>
      </vt:variant>
      <vt:variant>
        <vt:i4>1245237</vt:i4>
      </vt:variant>
      <vt:variant>
        <vt:i4>110</vt:i4>
      </vt:variant>
      <vt:variant>
        <vt:i4>0</vt:i4>
      </vt:variant>
      <vt:variant>
        <vt:i4>5</vt:i4>
      </vt:variant>
      <vt:variant>
        <vt:lpwstr/>
      </vt:variant>
      <vt:variant>
        <vt:lpwstr>_Toc129350859</vt:lpwstr>
      </vt:variant>
      <vt:variant>
        <vt:i4>1245237</vt:i4>
      </vt:variant>
      <vt:variant>
        <vt:i4>104</vt:i4>
      </vt:variant>
      <vt:variant>
        <vt:i4>0</vt:i4>
      </vt:variant>
      <vt:variant>
        <vt:i4>5</vt:i4>
      </vt:variant>
      <vt:variant>
        <vt:lpwstr/>
      </vt:variant>
      <vt:variant>
        <vt:lpwstr>_Toc129350858</vt:lpwstr>
      </vt:variant>
      <vt:variant>
        <vt:i4>1245237</vt:i4>
      </vt:variant>
      <vt:variant>
        <vt:i4>98</vt:i4>
      </vt:variant>
      <vt:variant>
        <vt:i4>0</vt:i4>
      </vt:variant>
      <vt:variant>
        <vt:i4>5</vt:i4>
      </vt:variant>
      <vt:variant>
        <vt:lpwstr/>
      </vt:variant>
      <vt:variant>
        <vt:lpwstr>_Toc129350857</vt:lpwstr>
      </vt:variant>
      <vt:variant>
        <vt:i4>1245237</vt:i4>
      </vt:variant>
      <vt:variant>
        <vt:i4>92</vt:i4>
      </vt:variant>
      <vt:variant>
        <vt:i4>0</vt:i4>
      </vt:variant>
      <vt:variant>
        <vt:i4>5</vt:i4>
      </vt:variant>
      <vt:variant>
        <vt:lpwstr/>
      </vt:variant>
      <vt:variant>
        <vt:lpwstr>_Toc129350856</vt:lpwstr>
      </vt:variant>
      <vt:variant>
        <vt:i4>1245237</vt:i4>
      </vt:variant>
      <vt:variant>
        <vt:i4>86</vt:i4>
      </vt:variant>
      <vt:variant>
        <vt:i4>0</vt:i4>
      </vt:variant>
      <vt:variant>
        <vt:i4>5</vt:i4>
      </vt:variant>
      <vt:variant>
        <vt:lpwstr/>
      </vt:variant>
      <vt:variant>
        <vt:lpwstr>_Toc129350855</vt:lpwstr>
      </vt:variant>
      <vt:variant>
        <vt:i4>1245237</vt:i4>
      </vt:variant>
      <vt:variant>
        <vt:i4>80</vt:i4>
      </vt:variant>
      <vt:variant>
        <vt:i4>0</vt:i4>
      </vt:variant>
      <vt:variant>
        <vt:i4>5</vt:i4>
      </vt:variant>
      <vt:variant>
        <vt:lpwstr/>
      </vt:variant>
      <vt:variant>
        <vt:lpwstr>_Toc129350854</vt:lpwstr>
      </vt:variant>
      <vt:variant>
        <vt:i4>1245237</vt:i4>
      </vt:variant>
      <vt:variant>
        <vt:i4>74</vt:i4>
      </vt:variant>
      <vt:variant>
        <vt:i4>0</vt:i4>
      </vt:variant>
      <vt:variant>
        <vt:i4>5</vt:i4>
      </vt:variant>
      <vt:variant>
        <vt:lpwstr/>
      </vt:variant>
      <vt:variant>
        <vt:lpwstr>_Toc129350853</vt:lpwstr>
      </vt:variant>
      <vt:variant>
        <vt:i4>1245237</vt:i4>
      </vt:variant>
      <vt:variant>
        <vt:i4>68</vt:i4>
      </vt:variant>
      <vt:variant>
        <vt:i4>0</vt:i4>
      </vt:variant>
      <vt:variant>
        <vt:i4>5</vt:i4>
      </vt:variant>
      <vt:variant>
        <vt:lpwstr/>
      </vt:variant>
      <vt:variant>
        <vt:lpwstr>_Toc129350852</vt:lpwstr>
      </vt:variant>
      <vt:variant>
        <vt:i4>1245237</vt:i4>
      </vt:variant>
      <vt:variant>
        <vt:i4>62</vt:i4>
      </vt:variant>
      <vt:variant>
        <vt:i4>0</vt:i4>
      </vt:variant>
      <vt:variant>
        <vt:i4>5</vt:i4>
      </vt:variant>
      <vt:variant>
        <vt:lpwstr/>
      </vt:variant>
      <vt:variant>
        <vt:lpwstr>_Toc129350851</vt:lpwstr>
      </vt:variant>
      <vt:variant>
        <vt:i4>1245237</vt:i4>
      </vt:variant>
      <vt:variant>
        <vt:i4>56</vt:i4>
      </vt:variant>
      <vt:variant>
        <vt:i4>0</vt:i4>
      </vt:variant>
      <vt:variant>
        <vt:i4>5</vt:i4>
      </vt:variant>
      <vt:variant>
        <vt:lpwstr/>
      </vt:variant>
      <vt:variant>
        <vt:lpwstr>_Toc129350850</vt:lpwstr>
      </vt:variant>
      <vt:variant>
        <vt:i4>1179701</vt:i4>
      </vt:variant>
      <vt:variant>
        <vt:i4>50</vt:i4>
      </vt:variant>
      <vt:variant>
        <vt:i4>0</vt:i4>
      </vt:variant>
      <vt:variant>
        <vt:i4>5</vt:i4>
      </vt:variant>
      <vt:variant>
        <vt:lpwstr/>
      </vt:variant>
      <vt:variant>
        <vt:lpwstr>_Toc129350849</vt:lpwstr>
      </vt:variant>
      <vt:variant>
        <vt:i4>1179701</vt:i4>
      </vt:variant>
      <vt:variant>
        <vt:i4>44</vt:i4>
      </vt:variant>
      <vt:variant>
        <vt:i4>0</vt:i4>
      </vt:variant>
      <vt:variant>
        <vt:i4>5</vt:i4>
      </vt:variant>
      <vt:variant>
        <vt:lpwstr/>
      </vt:variant>
      <vt:variant>
        <vt:lpwstr>_Toc129350848</vt:lpwstr>
      </vt:variant>
      <vt:variant>
        <vt:i4>1179701</vt:i4>
      </vt:variant>
      <vt:variant>
        <vt:i4>38</vt:i4>
      </vt:variant>
      <vt:variant>
        <vt:i4>0</vt:i4>
      </vt:variant>
      <vt:variant>
        <vt:i4>5</vt:i4>
      </vt:variant>
      <vt:variant>
        <vt:lpwstr/>
      </vt:variant>
      <vt:variant>
        <vt:lpwstr>_Toc129350847</vt:lpwstr>
      </vt:variant>
      <vt:variant>
        <vt:i4>1179701</vt:i4>
      </vt:variant>
      <vt:variant>
        <vt:i4>32</vt:i4>
      </vt:variant>
      <vt:variant>
        <vt:i4>0</vt:i4>
      </vt:variant>
      <vt:variant>
        <vt:i4>5</vt:i4>
      </vt:variant>
      <vt:variant>
        <vt:lpwstr/>
      </vt:variant>
      <vt:variant>
        <vt:lpwstr>_Toc129350846</vt:lpwstr>
      </vt:variant>
      <vt:variant>
        <vt:i4>1179701</vt:i4>
      </vt:variant>
      <vt:variant>
        <vt:i4>26</vt:i4>
      </vt:variant>
      <vt:variant>
        <vt:i4>0</vt:i4>
      </vt:variant>
      <vt:variant>
        <vt:i4>5</vt:i4>
      </vt:variant>
      <vt:variant>
        <vt:lpwstr/>
      </vt:variant>
      <vt:variant>
        <vt:lpwstr>_Toc129350845</vt:lpwstr>
      </vt:variant>
      <vt:variant>
        <vt:i4>1179701</vt:i4>
      </vt:variant>
      <vt:variant>
        <vt:i4>20</vt:i4>
      </vt:variant>
      <vt:variant>
        <vt:i4>0</vt:i4>
      </vt:variant>
      <vt:variant>
        <vt:i4>5</vt:i4>
      </vt:variant>
      <vt:variant>
        <vt:lpwstr/>
      </vt:variant>
      <vt:variant>
        <vt:lpwstr>_Toc129350844</vt:lpwstr>
      </vt:variant>
      <vt:variant>
        <vt:i4>1179701</vt:i4>
      </vt:variant>
      <vt:variant>
        <vt:i4>14</vt:i4>
      </vt:variant>
      <vt:variant>
        <vt:i4>0</vt:i4>
      </vt:variant>
      <vt:variant>
        <vt:i4>5</vt:i4>
      </vt:variant>
      <vt:variant>
        <vt:lpwstr/>
      </vt:variant>
      <vt:variant>
        <vt:lpwstr>_Toc129350843</vt:lpwstr>
      </vt:variant>
      <vt:variant>
        <vt:i4>1179701</vt:i4>
      </vt:variant>
      <vt:variant>
        <vt:i4>8</vt:i4>
      </vt:variant>
      <vt:variant>
        <vt:i4>0</vt:i4>
      </vt:variant>
      <vt:variant>
        <vt:i4>5</vt:i4>
      </vt:variant>
      <vt:variant>
        <vt:lpwstr/>
      </vt:variant>
      <vt:variant>
        <vt:lpwstr>_Toc129350842</vt:lpwstr>
      </vt:variant>
      <vt:variant>
        <vt:i4>1179701</vt:i4>
      </vt:variant>
      <vt:variant>
        <vt:i4>2</vt:i4>
      </vt:variant>
      <vt:variant>
        <vt:i4>0</vt:i4>
      </vt:variant>
      <vt:variant>
        <vt:i4>5</vt:i4>
      </vt:variant>
      <vt:variant>
        <vt:lpwstr/>
      </vt:variant>
      <vt:variant>
        <vt:lpwstr>_Toc129350841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Agyei-Kyeremateng</dc:creator>
  <cp:keywords/>
  <dc:description/>
  <cp:lastModifiedBy>Damian Kosinski</cp:lastModifiedBy>
  <cp:revision>75</cp:revision>
  <cp:lastPrinted>2022-02-20T01:52:00Z</cp:lastPrinted>
  <dcterms:created xsi:type="dcterms:W3CDTF">2023-03-10T19:46:00Z</dcterms:created>
  <dcterms:modified xsi:type="dcterms:W3CDTF">2025-02-07T09:53:00Z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0x010100A73246E86DD8774490A885F8B57BC5E1</vt:lpwstr>
  </property>
  <property fmtid="{D5CDD505-2E9C-101B-9397-08002B2CF9AE}" pid="4" name="GrammarlyDocumentId">
    <vt:lpwstr>9f372253ddec132ec373352e5e5ce26dd316f9a283f54d40c38973d7c3f48bd2</vt:lpwstr>
  </property>
  <property fmtid="{D5CDD505-2E9C-101B-9397-08002B2CF9AE}" pid="5" name="ZOTERO_PREF_2">
    <vt:lpwstr>ontAskDelayCitationUpdates" value="true"/&gt;&lt;/prefs&gt;&lt;/data&gt;</vt:lpwstr>
  </property>
  <property fmtid="{D5CDD505-2E9C-101B-9397-08002B2CF9AE}" pid="6" name="ZOTERO_PREF_1">
    <vt:lpwstr>&lt;data data-version="3" zotero-version="6.0.22"&gt;&lt;session id="ZQXrI66U"/&gt;&lt;style id="http://www.zotero.org/styles/succinct-medical-communications" hasBibliography="1" bibliographyStyleHasBeenSet="1"/&gt;&lt;prefs&gt;&lt;pref name="fieldType" value="Field"/&gt;&lt;pref name="d</vt:lpwstr>
  </property>
</Properties>
</file>